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40A" w:rsidRPr="00986937" w:rsidRDefault="00C4540A" w:rsidP="00D75A2A">
      <w:pPr>
        <w:spacing w:after="120"/>
        <w:jc w:val="right"/>
        <w:rPr>
          <w:b/>
          <w:bCs/>
          <w:i/>
          <w:iCs/>
          <w:sz w:val="22"/>
          <w:szCs w:val="22"/>
          <w:u w:val="single"/>
          <w:rtl/>
        </w:rPr>
      </w:pPr>
      <w:r w:rsidRPr="00986937">
        <w:rPr>
          <w:rFonts w:hint="cs"/>
          <w:b/>
          <w:bCs/>
          <w:sz w:val="22"/>
          <w:szCs w:val="22"/>
          <w:rtl/>
        </w:rPr>
        <w:t>משפט ציבורי</w:t>
      </w:r>
      <w:r w:rsidRPr="00986937">
        <w:rPr>
          <w:rFonts w:hint="cs"/>
          <w:sz w:val="22"/>
          <w:szCs w:val="22"/>
          <w:rtl/>
        </w:rPr>
        <w:t xml:space="preserve">, </w:t>
      </w:r>
      <w:r w:rsidRPr="00986937">
        <w:rPr>
          <w:rFonts w:hint="cs"/>
          <w:i/>
          <w:iCs/>
          <w:sz w:val="22"/>
          <w:szCs w:val="22"/>
          <w:rtl/>
        </w:rPr>
        <w:t>תשע"</w:t>
      </w:r>
      <w:r w:rsidR="00D75A2A" w:rsidRPr="00986937">
        <w:rPr>
          <w:rFonts w:hint="cs"/>
          <w:i/>
          <w:iCs/>
          <w:sz w:val="22"/>
          <w:szCs w:val="22"/>
          <w:rtl/>
        </w:rPr>
        <w:t>ה</w:t>
      </w:r>
      <w:r w:rsidRPr="00986937">
        <w:rPr>
          <w:rFonts w:hint="cs"/>
          <w:sz w:val="22"/>
          <w:szCs w:val="22"/>
          <w:rtl/>
        </w:rPr>
        <w:t xml:space="preserve">, </w:t>
      </w:r>
      <w:r w:rsidRPr="00986937">
        <w:rPr>
          <w:rFonts w:hint="cs"/>
          <w:b/>
          <w:bCs/>
          <w:sz w:val="22"/>
          <w:szCs w:val="22"/>
          <w:rtl/>
        </w:rPr>
        <w:t>סמסטר א',</w:t>
      </w:r>
      <w:r w:rsidRPr="00986937">
        <w:rPr>
          <w:rFonts w:hint="cs"/>
          <w:sz w:val="22"/>
          <w:szCs w:val="22"/>
          <w:rtl/>
        </w:rPr>
        <w:t xml:space="preserve"> ד"ר אילן סבן, אוקטובר 201</w:t>
      </w:r>
      <w:r w:rsidR="00D75A2A" w:rsidRPr="00986937">
        <w:rPr>
          <w:rFonts w:hint="cs"/>
          <w:sz w:val="22"/>
          <w:szCs w:val="22"/>
          <w:rtl/>
        </w:rPr>
        <w:t>4</w:t>
      </w:r>
      <w:r w:rsidRPr="00986937">
        <w:rPr>
          <w:rFonts w:hint="cs"/>
          <w:sz w:val="22"/>
          <w:szCs w:val="22"/>
          <w:rtl/>
        </w:rPr>
        <w:t xml:space="preserve">, </w:t>
      </w:r>
      <w:r w:rsidRPr="005366A8">
        <w:rPr>
          <w:rFonts w:hint="cs"/>
          <w:b/>
          <w:bCs/>
          <w:i/>
          <w:iCs/>
          <w:sz w:val="22"/>
          <w:szCs w:val="22"/>
          <w:highlight w:val="magenta"/>
          <w:u w:val="single"/>
          <w:rtl/>
        </w:rPr>
        <w:t>פגישה 1</w:t>
      </w:r>
    </w:p>
    <w:p w:rsidR="00C4540A" w:rsidRPr="00986937" w:rsidRDefault="00C4540A" w:rsidP="00C4540A">
      <w:pPr>
        <w:spacing w:after="120"/>
        <w:jc w:val="left"/>
        <w:rPr>
          <w:b/>
          <w:bCs/>
          <w:sz w:val="22"/>
          <w:szCs w:val="22"/>
          <w:rtl/>
        </w:rPr>
      </w:pPr>
      <w:r w:rsidRPr="00986937">
        <w:rPr>
          <w:rFonts w:hint="cs"/>
          <w:i/>
          <w:iCs/>
          <w:sz w:val="22"/>
          <w:szCs w:val="22"/>
          <w:highlight w:val="yellow"/>
          <w:rtl/>
        </w:rPr>
        <w:t>ברוכים הבאים ובהצלחה.</w:t>
      </w:r>
    </w:p>
    <w:p w:rsidR="007E5DAE" w:rsidRPr="00986937" w:rsidRDefault="00C4540A" w:rsidP="00C4540A">
      <w:pPr>
        <w:jc w:val="center"/>
        <w:rPr>
          <w:rFonts w:cs="Guttman-Soncino"/>
          <w:b/>
          <w:bCs/>
          <w:rtl/>
        </w:rPr>
      </w:pPr>
      <w:r w:rsidRPr="00986937">
        <w:rPr>
          <w:rFonts w:cs="Guttman-Soncino" w:hint="cs"/>
          <w:b/>
          <w:bCs/>
          <w:rtl/>
        </w:rPr>
        <w:t xml:space="preserve">מספר הערות על </w:t>
      </w:r>
      <w:r w:rsidR="007E5DAE" w:rsidRPr="00986937">
        <w:rPr>
          <w:rFonts w:cs="Guttman-Soncino" w:hint="cs"/>
          <w:b/>
          <w:bCs/>
          <w:rtl/>
        </w:rPr>
        <w:t>מספר "תופעות":</w:t>
      </w:r>
    </w:p>
    <w:p w:rsidR="007E5DAE" w:rsidRPr="00986937" w:rsidRDefault="00C4540A" w:rsidP="007E5DAE">
      <w:pPr>
        <w:jc w:val="center"/>
        <w:rPr>
          <w:rFonts w:cs="Guttman-Soncino"/>
          <w:b/>
          <w:bCs/>
          <w:rtl/>
        </w:rPr>
      </w:pPr>
      <w:r w:rsidRPr="00986937">
        <w:rPr>
          <w:rFonts w:cs="Guttman-Soncino" w:hint="cs"/>
          <w:b/>
          <w:bCs/>
          <w:rtl/>
        </w:rPr>
        <w:t>תופעת "המשפט"</w:t>
      </w:r>
      <w:r w:rsidR="007E5DAE" w:rsidRPr="00986937">
        <w:rPr>
          <w:rFonts w:cs="Guttman-Soncino" w:hint="cs"/>
          <w:b/>
          <w:bCs/>
          <w:rtl/>
        </w:rPr>
        <w:t xml:space="preserve">; </w:t>
      </w:r>
    </w:p>
    <w:p w:rsidR="007E5DAE" w:rsidRPr="00986937" w:rsidRDefault="00C4540A" w:rsidP="007E5DAE">
      <w:pPr>
        <w:jc w:val="center"/>
        <w:rPr>
          <w:rFonts w:cs="Guttman-Soncino"/>
          <w:b/>
          <w:bCs/>
          <w:rtl/>
        </w:rPr>
      </w:pPr>
      <w:r w:rsidRPr="00986937">
        <w:rPr>
          <w:rFonts w:cs="Guttman-Soncino" w:hint="cs"/>
          <w:b/>
          <w:bCs/>
          <w:rtl/>
        </w:rPr>
        <w:t>"</w:t>
      </w:r>
      <w:r w:rsidR="007E5DAE" w:rsidRPr="00986937">
        <w:rPr>
          <w:rFonts w:cs="Guttman-Soncino" w:hint="cs"/>
          <w:b/>
          <w:bCs/>
          <w:rtl/>
        </w:rPr>
        <w:t>ה</w:t>
      </w:r>
      <w:r w:rsidRPr="00986937">
        <w:rPr>
          <w:rFonts w:cs="Guttman-Soncino" w:hint="cs"/>
          <w:b/>
          <w:bCs/>
          <w:rtl/>
        </w:rPr>
        <w:t xml:space="preserve">משפט </w:t>
      </w:r>
      <w:r w:rsidR="007E5DAE" w:rsidRPr="00986937">
        <w:rPr>
          <w:rFonts w:cs="Guttman-Soncino" w:hint="cs"/>
          <w:b/>
          <w:bCs/>
          <w:rtl/>
        </w:rPr>
        <w:t>ה</w:t>
      </w:r>
      <w:r w:rsidRPr="00986937">
        <w:rPr>
          <w:rFonts w:cs="Guttman-Soncino" w:hint="cs"/>
          <w:b/>
          <w:bCs/>
          <w:rtl/>
        </w:rPr>
        <w:t>ציבורי"</w:t>
      </w:r>
      <w:r w:rsidR="007E5DAE" w:rsidRPr="00986937">
        <w:rPr>
          <w:rFonts w:cs="Guttman-Soncino" w:hint="cs"/>
          <w:b/>
          <w:bCs/>
          <w:rtl/>
        </w:rPr>
        <w:t xml:space="preserve">, וקונקרטית, </w:t>
      </w:r>
      <w:r w:rsidRPr="00986937">
        <w:rPr>
          <w:rFonts w:cs="Guttman-Soncino" w:hint="cs"/>
          <w:b/>
          <w:bCs/>
          <w:rtl/>
        </w:rPr>
        <w:t>"</w:t>
      </w:r>
      <w:r w:rsidR="007E5DAE" w:rsidRPr="00986937">
        <w:rPr>
          <w:rFonts w:cs="Guttman-Soncino" w:hint="cs"/>
          <w:b/>
          <w:bCs/>
          <w:rtl/>
        </w:rPr>
        <w:t>ה</w:t>
      </w:r>
      <w:r w:rsidRPr="00986937">
        <w:rPr>
          <w:rFonts w:cs="Guttman-Soncino" w:hint="cs"/>
          <w:b/>
          <w:bCs/>
          <w:rtl/>
        </w:rPr>
        <w:t xml:space="preserve">משפט </w:t>
      </w:r>
      <w:r w:rsidR="007E5DAE" w:rsidRPr="00986937">
        <w:rPr>
          <w:rFonts w:cs="Guttman-Soncino" w:hint="cs"/>
          <w:b/>
          <w:bCs/>
          <w:rtl/>
        </w:rPr>
        <w:t>ה</w:t>
      </w:r>
      <w:r w:rsidRPr="00986937">
        <w:rPr>
          <w:rFonts w:cs="Guttman-Soncino" w:hint="cs"/>
          <w:b/>
          <w:bCs/>
          <w:rtl/>
        </w:rPr>
        <w:t>ציבורי בישראל"</w:t>
      </w:r>
      <w:r w:rsidR="007E5DAE" w:rsidRPr="00986937">
        <w:rPr>
          <w:rFonts w:cs="Guttman-Soncino" w:hint="cs"/>
          <w:b/>
          <w:bCs/>
          <w:rtl/>
        </w:rPr>
        <w:t xml:space="preserve">; </w:t>
      </w:r>
    </w:p>
    <w:p w:rsidR="00C4540A" w:rsidRPr="00986937" w:rsidRDefault="007E5DAE" w:rsidP="007E5DAE">
      <w:pPr>
        <w:spacing w:after="120"/>
        <w:jc w:val="center"/>
        <w:rPr>
          <w:rFonts w:cs="Guttman-Soncino"/>
          <w:b/>
          <w:bCs/>
          <w:rtl/>
        </w:rPr>
      </w:pPr>
      <w:r w:rsidRPr="00986937">
        <w:rPr>
          <w:rFonts w:cs="Guttman-Soncino" w:hint="cs"/>
          <w:b/>
          <w:bCs/>
          <w:rtl/>
        </w:rPr>
        <w:t>ועל "ישראל";</w:t>
      </w:r>
      <w:r w:rsidR="00657FAA">
        <w:rPr>
          <w:rFonts w:cs="Guttman-Soncino" w:hint="cs"/>
          <w:b/>
          <w:bCs/>
          <w:rtl/>
        </w:rPr>
        <w:t xml:space="preserve"> </w:t>
      </w:r>
    </w:p>
    <w:p w:rsidR="00C4540A" w:rsidRPr="00986937" w:rsidRDefault="00C4540A" w:rsidP="007E5DAE">
      <w:pPr>
        <w:pStyle w:val="T-body"/>
        <w:spacing w:line="240" w:lineRule="auto"/>
        <w:jc w:val="center"/>
        <w:rPr>
          <w:b/>
          <w:bCs/>
          <w:sz w:val="22"/>
          <w:szCs w:val="22"/>
          <w:rtl/>
        </w:rPr>
      </w:pPr>
      <w:r w:rsidRPr="00986937">
        <w:rPr>
          <w:rFonts w:cs="Guttman-Soncino" w:hint="cs"/>
          <w:b/>
          <w:bCs/>
          <w:rtl/>
        </w:rPr>
        <w:t>ו</w:t>
      </w:r>
      <w:r w:rsidR="007E5DAE" w:rsidRPr="00986937">
        <w:rPr>
          <w:rFonts w:cs="Guttman-Soncino" w:hint="cs"/>
          <w:b/>
          <w:bCs/>
          <w:rtl/>
        </w:rPr>
        <w:t xml:space="preserve">מספר נקודות על </w:t>
      </w:r>
      <w:r w:rsidRPr="00986937">
        <w:rPr>
          <w:rFonts w:cs="Guttman-Soncino" w:hint="cs"/>
          <w:b/>
          <w:bCs/>
          <w:rtl/>
        </w:rPr>
        <w:t>לימודי</w:t>
      </w:r>
      <w:r w:rsidR="007E5DAE" w:rsidRPr="00986937">
        <w:rPr>
          <w:rFonts w:cs="Guttman-Soncino" w:hint="cs"/>
          <w:b/>
          <w:bCs/>
          <w:rtl/>
        </w:rPr>
        <w:t>ם</w:t>
      </w:r>
      <w:r w:rsidRPr="00986937">
        <w:rPr>
          <w:rFonts w:cs="Guttman-Soncino" w:hint="cs"/>
          <w:b/>
          <w:bCs/>
          <w:rtl/>
        </w:rPr>
        <w:t xml:space="preserve"> באוניברסיטה</w:t>
      </w:r>
    </w:p>
    <w:p w:rsidR="00C4540A" w:rsidRPr="00986937" w:rsidRDefault="00C4540A" w:rsidP="00C4540A">
      <w:pPr>
        <w:pStyle w:val="T-body"/>
        <w:spacing w:line="240" w:lineRule="auto"/>
        <w:rPr>
          <w:b/>
          <w:bCs/>
          <w:sz w:val="22"/>
          <w:szCs w:val="22"/>
          <w:rtl/>
        </w:rPr>
      </w:pPr>
    </w:p>
    <w:p w:rsidR="00C4540A" w:rsidRPr="00986937" w:rsidRDefault="00C4540A" w:rsidP="00C4540A">
      <w:pPr>
        <w:rPr>
          <w:b/>
          <w:bCs/>
          <w:i/>
          <w:iCs/>
          <w:sz w:val="22"/>
          <w:szCs w:val="22"/>
          <w:rtl/>
        </w:rPr>
      </w:pPr>
      <w:r w:rsidRPr="00986937">
        <w:rPr>
          <w:rFonts w:hint="cs"/>
          <w:b/>
          <w:bCs/>
          <w:i/>
          <w:iCs/>
          <w:sz w:val="22"/>
          <w:szCs w:val="22"/>
          <w:rtl/>
        </w:rPr>
        <w:t>היש קושי בטיעון הלוגי הבא?</w:t>
      </w:r>
    </w:p>
    <w:p w:rsidR="00C4540A" w:rsidRPr="00986937" w:rsidRDefault="00C4540A" w:rsidP="00C4540A">
      <w:pPr>
        <w:ind w:left="720"/>
        <w:rPr>
          <w:rFonts w:cs="David"/>
          <w:sz w:val="22"/>
          <w:szCs w:val="22"/>
          <w:rtl/>
        </w:rPr>
      </w:pPr>
      <w:r w:rsidRPr="00986937">
        <w:rPr>
          <w:rFonts w:cs="David" w:hint="cs"/>
          <w:sz w:val="22"/>
          <w:szCs w:val="22"/>
          <w:rtl/>
        </w:rPr>
        <w:t>בעלי חיים מגדלים את צאצאיהם</w:t>
      </w:r>
    </w:p>
    <w:p w:rsidR="00C4540A" w:rsidRPr="00986937" w:rsidRDefault="00C4540A" w:rsidP="00C4540A">
      <w:pPr>
        <w:ind w:left="720"/>
        <w:rPr>
          <w:rFonts w:cs="David"/>
          <w:sz w:val="22"/>
          <w:szCs w:val="22"/>
          <w:rtl/>
        </w:rPr>
      </w:pPr>
      <w:r w:rsidRPr="00986937">
        <w:rPr>
          <w:rFonts w:cs="David"/>
          <w:sz w:val="22"/>
          <w:szCs w:val="22"/>
          <w:rtl/>
        </w:rPr>
        <w:t xml:space="preserve">בני אדם הם </w:t>
      </w:r>
      <w:r w:rsidRPr="00986937">
        <w:rPr>
          <w:rFonts w:cs="David" w:hint="cs"/>
          <w:sz w:val="22"/>
          <w:szCs w:val="22"/>
          <w:rtl/>
        </w:rPr>
        <w:t>בעלי חיים</w:t>
      </w:r>
    </w:p>
    <w:p w:rsidR="00C4540A" w:rsidRPr="00986937" w:rsidRDefault="00C4540A" w:rsidP="00C4540A">
      <w:pPr>
        <w:ind w:left="720"/>
        <w:rPr>
          <w:sz w:val="22"/>
          <w:szCs w:val="22"/>
          <w:rtl/>
        </w:rPr>
      </w:pPr>
      <w:r w:rsidRPr="00986937">
        <w:rPr>
          <w:rFonts w:cs="David"/>
          <w:sz w:val="22"/>
          <w:szCs w:val="22"/>
          <w:rtl/>
        </w:rPr>
        <w:t>=&gt; בני אדם צריכים לגדל את צאצאיהם</w:t>
      </w:r>
    </w:p>
    <w:p w:rsidR="00C4540A" w:rsidRPr="00986937" w:rsidRDefault="00C4540A" w:rsidP="00C4540A">
      <w:pPr>
        <w:rPr>
          <w:sz w:val="22"/>
          <w:szCs w:val="22"/>
          <w:rtl/>
        </w:rPr>
      </w:pPr>
    </w:p>
    <w:p w:rsidR="00C4540A" w:rsidRPr="00986937" w:rsidRDefault="00C4540A" w:rsidP="00C4540A">
      <w:pPr>
        <w:pStyle w:val="T-body"/>
        <w:spacing w:line="240" w:lineRule="auto"/>
        <w:rPr>
          <w:b/>
          <w:bCs/>
          <w:sz w:val="22"/>
          <w:szCs w:val="22"/>
          <w:rtl/>
        </w:rPr>
      </w:pPr>
      <w:r w:rsidRPr="00986937">
        <w:rPr>
          <w:rFonts w:hint="cs"/>
          <w:b/>
          <w:bCs/>
          <w:sz w:val="22"/>
          <w:szCs w:val="22"/>
          <w:rtl/>
        </w:rPr>
        <w:t>=-=</w:t>
      </w:r>
      <w:r w:rsidR="003B6D6D">
        <w:rPr>
          <w:rFonts w:hint="cs"/>
          <w:b/>
          <w:bCs/>
          <w:sz w:val="22"/>
          <w:szCs w:val="22"/>
          <w:rtl/>
        </w:rPr>
        <w:t xml:space="preserve"> </w:t>
      </w:r>
    </w:p>
    <w:p w:rsidR="00C4540A" w:rsidRPr="00986937" w:rsidRDefault="00C4540A" w:rsidP="00D93C38">
      <w:pPr>
        <w:rPr>
          <w:b/>
          <w:bCs/>
          <w:sz w:val="22"/>
          <w:szCs w:val="22"/>
          <w:rtl/>
        </w:rPr>
      </w:pPr>
      <w:r w:rsidRPr="00986937">
        <w:rPr>
          <w:rFonts w:hint="cs"/>
          <w:b/>
          <w:bCs/>
          <w:sz w:val="22"/>
          <w:szCs w:val="22"/>
          <w:rtl/>
        </w:rPr>
        <w:t xml:space="preserve">דוגמא לפעולה אנושית שגרתית ולמעטפת המשפטית </w:t>
      </w:r>
      <w:r w:rsidR="00D93C38" w:rsidRPr="00986937">
        <w:rPr>
          <w:rFonts w:hint="cs"/>
          <w:b/>
          <w:bCs/>
          <w:sz w:val="22"/>
          <w:szCs w:val="22"/>
          <w:rtl/>
        </w:rPr>
        <w:t>המלווה אותה</w:t>
      </w:r>
      <w:r w:rsidRPr="00986937">
        <w:rPr>
          <w:rFonts w:hint="cs"/>
          <w:b/>
          <w:bCs/>
          <w:sz w:val="22"/>
          <w:szCs w:val="22"/>
          <w:rtl/>
        </w:rPr>
        <w:t xml:space="preserve">: </w:t>
      </w:r>
    </w:p>
    <w:p w:rsidR="00C4540A" w:rsidRPr="00986937" w:rsidRDefault="00C4540A" w:rsidP="00C4540A">
      <w:pPr>
        <w:rPr>
          <w:i/>
          <w:iCs/>
          <w:sz w:val="22"/>
          <w:szCs w:val="22"/>
          <w:rtl/>
        </w:rPr>
      </w:pPr>
      <w:r w:rsidRPr="00986937">
        <w:rPr>
          <w:rFonts w:hint="cs"/>
          <w:b/>
          <w:bCs/>
          <w:i/>
          <w:iCs/>
          <w:sz w:val="22"/>
          <w:szCs w:val="22"/>
          <w:rtl/>
        </w:rPr>
        <w:t>הפעלת מסעדה</w:t>
      </w:r>
    </w:p>
    <w:p w:rsidR="00C4540A" w:rsidRPr="00986937" w:rsidRDefault="00C4540A" w:rsidP="00C4540A">
      <w:pPr>
        <w:rPr>
          <w:sz w:val="22"/>
          <w:szCs w:val="22"/>
          <w:rtl/>
        </w:rPr>
      </w:pPr>
    </w:p>
    <w:p w:rsidR="00C4540A" w:rsidRPr="00986937" w:rsidRDefault="00C4540A" w:rsidP="00D75A2A">
      <w:pPr>
        <w:spacing w:after="120"/>
        <w:rPr>
          <w:sz w:val="22"/>
          <w:szCs w:val="22"/>
          <w:rtl/>
        </w:rPr>
      </w:pPr>
      <w:r w:rsidRPr="00986937">
        <w:rPr>
          <w:rFonts w:hint="cs"/>
          <w:sz w:val="22"/>
          <w:szCs w:val="22"/>
          <w:rtl/>
        </w:rPr>
        <w:t>שותפים שוכרים מקום כדי להפעיל מסעדה (הסכם ביניהם)</w:t>
      </w:r>
      <w:r w:rsidR="00D93C38" w:rsidRPr="00986937">
        <w:rPr>
          <w:rFonts w:hint="cs"/>
          <w:sz w:val="22"/>
          <w:szCs w:val="22"/>
          <w:rtl/>
        </w:rPr>
        <w:t>;</w:t>
      </w:r>
    </w:p>
    <w:p w:rsidR="00C4540A" w:rsidRPr="00986937" w:rsidRDefault="00C4540A" w:rsidP="00D75A2A">
      <w:pPr>
        <w:spacing w:after="120"/>
        <w:rPr>
          <w:sz w:val="22"/>
          <w:szCs w:val="22"/>
          <w:rtl/>
        </w:rPr>
      </w:pPr>
      <w:r w:rsidRPr="00986937">
        <w:rPr>
          <w:rFonts w:hint="cs"/>
          <w:sz w:val="22"/>
          <w:szCs w:val="22"/>
          <w:rtl/>
        </w:rPr>
        <w:t>בוחרים לו שם (האם השם לא תפוס? סימני מסחר); שילוט (מיקום השלט, גודלו, האם אפשר להתערב בשפתו?)</w:t>
      </w:r>
      <w:r w:rsidR="00D93C38" w:rsidRPr="00986937">
        <w:rPr>
          <w:rFonts w:hint="cs"/>
          <w:sz w:val="22"/>
          <w:szCs w:val="22"/>
          <w:rtl/>
        </w:rPr>
        <w:t>;</w:t>
      </w:r>
    </w:p>
    <w:p w:rsidR="00C4540A" w:rsidRPr="00986937" w:rsidRDefault="00D93C38" w:rsidP="00D75A2A">
      <w:pPr>
        <w:spacing w:after="120"/>
        <w:rPr>
          <w:sz w:val="22"/>
          <w:szCs w:val="22"/>
          <w:rtl/>
        </w:rPr>
      </w:pPr>
      <w:r w:rsidRPr="00986937">
        <w:rPr>
          <w:rFonts w:hint="cs"/>
          <w:sz w:val="22"/>
          <w:szCs w:val="22"/>
          <w:rtl/>
        </w:rPr>
        <w:t xml:space="preserve">ההסכם שלהם עם </w:t>
      </w:r>
      <w:r w:rsidR="00C4540A" w:rsidRPr="00986937">
        <w:rPr>
          <w:rFonts w:hint="cs"/>
          <w:sz w:val="22"/>
          <w:szCs w:val="22"/>
          <w:rtl/>
        </w:rPr>
        <w:t xml:space="preserve">בעל </w:t>
      </w:r>
      <w:r w:rsidRPr="00986937">
        <w:rPr>
          <w:rFonts w:hint="cs"/>
          <w:sz w:val="22"/>
          <w:szCs w:val="22"/>
          <w:rtl/>
        </w:rPr>
        <w:t>ה</w:t>
      </w:r>
      <w:r w:rsidR="00C4540A" w:rsidRPr="00986937">
        <w:rPr>
          <w:rFonts w:hint="cs"/>
          <w:sz w:val="22"/>
          <w:szCs w:val="22"/>
          <w:rtl/>
        </w:rPr>
        <w:t>בית (הסכם שכירות)</w:t>
      </w:r>
      <w:r w:rsidRPr="00986937">
        <w:rPr>
          <w:rFonts w:hint="cs"/>
          <w:sz w:val="22"/>
          <w:szCs w:val="22"/>
          <w:rtl/>
        </w:rPr>
        <w:t>;</w:t>
      </w:r>
    </w:p>
    <w:p w:rsidR="00C4540A" w:rsidRPr="00986937" w:rsidRDefault="00D93C38" w:rsidP="00D93C38">
      <w:pPr>
        <w:spacing w:after="120"/>
        <w:rPr>
          <w:sz w:val="22"/>
          <w:szCs w:val="22"/>
          <w:rtl/>
        </w:rPr>
      </w:pPr>
      <w:r w:rsidRPr="00986937">
        <w:rPr>
          <w:rFonts w:hint="cs"/>
          <w:sz w:val="22"/>
          <w:szCs w:val="22"/>
          <w:rtl/>
        </w:rPr>
        <w:t xml:space="preserve">עם </w:t>
      </w:r>
      <w:r w:rsidR="00C4540A" w:rsidRPr="00986937">
        <w:rPr>
          <w:rFonts w:hint="cs"/>
          <w:sz w:val="22"/>
          <w:szCs w:val="22"/>
          <w:rtl/>
        </w:rPr>
        <w:t>עובדי</w:t>
      </w:r>
      <w:r w:rsidRPr="00986937">
        <w:rPr>
          <w:rFonts w:hint="cs"/>
          <w:sz w:val="22"/>
          <w:szCs w:val="22"/>
          <w:rtl/>
        </w:rPr>
        <w:t xml:space="preserve"> המסעדה</w:t>
      </w:r>
      <w:r w:rsidR="00C4540A" w:rsidRPr="00986937">
        <w:rPr>
          <w:rFonts w:hint="cs"/>
          <w:sz w:val="22"/>
          <w:szCs w:val="22"/>
          <w:rtl/>
        </w:rPr>
        <w:t xml:space="preserve"> (הסכם עבודה)</w:t>
      </w:r>
      <w:r w:rsidRPr="00986937">
        <w:rPr>
          <w:rFonts w:hint="cs"/>
          <w:sz w:val="22"/>
          <w:szCs w:val="22"/>
          <w:rtl/>
        </w:rPr>
        <w:t>;</w:t>
      </w:r>
    </w:p>
    <w:p w:rsidR="00C4540A" w:rsidRPr="00986937" w:rsidRDefault="00D93C38" w:rsidP="00D75A2A">
      <w:pPr>
        <w:spacing w:after="120"/>
        <w:rPr>
          <w:sz w:val="22"/>
          <w:szCs w:val="22"/>
          <w:rtl/>
        </w:rPr>
      </w:pPr>
      <w:r w:rsidRPr="00986937">
        <w:rPr>
          <w:rFonts w:hint="cs"/>
          <w:sz w:val="22"/>
          <w:szCs w:val="22"/>
          <w:rtl/>
        </w:rPr>
        <w:t>מערכת היחסים למול ה</w:t>
      </w:r>
      <w:r w:rsidR="00C4540A" w:rsidRPr="00986937">
        <w:rPr>
          <w:rFonts w:hint="cs"/>
          <w:sz w:val="22"/>
          <w:szCs w:val="22"/>
          <w:rtl/>
        </w:rPr>
        <w:t>לקוחות (יחסים חוזיים; יחסים נזיקיים; יחסים, חלילה, פליליים)</w:t>
      </w:r>
      <w:r w:rsidRPr="00986937">
        <w:rPr>
          <w:rFonts w:hint="cs"/>
          <w:sz w:val="22"/>
          <w:szCs w:val="22"/>
          <w:rtl/>
        </w:rPr>
        <w:t>;</w:t>
      </w:r>
    </w:p>
    <w:p w:rsidR="00C4540A" w:rsidRPr="00986937" w:rsidRDefault="00D93C38" w:rsidP="00D93C38">
      <w:pPr>
        <w:rPr>
          <w:sz w:val="22"/>
          <w:szCs w:val="22"/>
          <w:rtl/>
        </w:rPr>
      </w:pPr>
      <w:r w:rsidRPr="00986937">
        <w:rPr>
          <w:rFonts w:hint="cs"/>
          <w:sz w:val="22"/>
          <w:szCs w:val="22"/>
          <w:rtl/>
        </w:rPr>
        <w:t xml:space="preserve">למול </w:t>
      </w:r>
      <w:r w:rsidR="00D75A2A" w:rsidRPr="00986937">
        <w:rPr>
          <w:rFonts w:hint="cs"/>
          <w:sz w:val="22"/>
          <w:szCs w:val="22"/>
          <w:rtl/>
        </w:rPr>
        <w:t>עסקים ואנשים (</w:t>
      </w:r>
      <w:r w:rsidRPr="00986937">
        <w:rPr>
          <w:rFonts w:hint="cs"/>
          <w:sz w:val="22"/>
          <w:szCs w:val="22"/>
          <w:rtl/>
        </w:rPr>
        <w:t>"</w:t>
      </w:r>
      <w:r w:rsidR="00D75A2A" w:rsidRPr="00986937">
        <w:rPr>
          <w:rFonts w:hint="cs"/>
          <w:sz w:val="22"/>
          <w:szCs w:val="22"/>
          <w:rtl/>
        </w:rPr>
        <w:t>ספקים</w:t>
      </w:r>
      <w:r w:rsidRPr="00986937">
        <w:rPr>
          <w:rFonts w:hint="cs"/>
          <w:sz w:val="22"/>
          <w:szCs w:val="22"/>
          <w:rtl/>
        </w:rPr>
        <w:t>"</w:t>
      </w:r>
      <w:r w:rsidR="00D75A2A" w:rsidRPr="00986937">
        <w:rPr>
          <w:rFonts w:hint="cs"/>
          <w:sz w:val="22"/>
          <w:szCs w:val="22"/>
          <w:rtl/>
        </w:rPr>
        <w:t xml:space="preserve">) שהם </w:t>
      </w:r>
      <w:r w:rsidR="00C4540A" w:rsidRPr="00986937">
        <w:rPr>
          <w:rFonts w:hint="cs"/>
          <w:sz w:val="22"/>
          <w:szCs w:val="22"/>
          <w:rtl/>
        </w:rPr>
        <w:t xml:space="preserve">נותני </w:t>
      </w:r>
      <w:r w:rsidR="00D75A2A" w:rsidRPr="00986937">
        <w:rPr>
          <w:rFonts w:hint="cs"/>
          <w:sz w:val="22"/>
          <w:szCs w:val="22"/>
          <w:rtl/>
        </w:rPr>
        <w:t>מוצרים ו</w:t>
      </w:r>
      <w:r w:rsidR="00C4540A" w:rsidRPr="00986937">
        <w:rPr>
          <w:rFonts w:hint="cs"/>
          <w:sz w:val="22"/>
          <w:szCs w:val="22"/>
          <w:rtl/>
        </w:rPr>
        <w:t xml:space="preserve">שירותים למסעדה: </w:t>
      </w:r>
      <w:r w:rsidRPr="00986937">
        <w:rPr>
          <w:rFonts w:hint="cs"/>
          <w:sz w:val="22"/>
          <w:szCs w:val="22"/>
          <w:rtl/>
        </w:rPr>
        <w:t>ה</w:t>
      </w:r>
      <w:r w:rsidR="00C4540A" w:rsidRPr="00986937">
        <w:rPr>
          <w:rFonts w:hint="cs"/>
          <w:sz w:val="22"/>
          <w:szCs w:val="22"/>
          <w:rtl/>
        </w:rPr>
        <w:t>הסכ</w:t>
      </w:r>
      <w:r w:rsidRPr="00986937">
        <w:rPr>
          <w:rFonts w:hint="cs"/>
          <w:sz w:val="22"/>
          <w:szCs w:val="22"/>
          <w:rtl/>
        </w:rPr>
        <w:t>מי</w:t>
      </w:r>
      <w:r w:rsidR="00C4540A" w:rsidRPr="00986937">
        <w:rPr>
          <w:rFonts w:hint="cs"/>
          <w:sz w:val="22"/>
          <w:szCs w:val="22"/>
          <w:rtl/>
        </w:rPr>
        <w:t>ם בינם לבין נותני שירותים</w:t>
      </w:r>
      <w:r w:rsidRPr="00986937">
        <w:rPr>
          <w:rFonts w:hint="cs"/>
          <w:sz w:val="22"/>
          <w:szCs w:val="22"/>
          <w:rtl/>
        </w:rPr>
        <w:t xml:space="preserve"> </w:t>
      </w:r>
      <w:r w:rsidRPr="00986937">
        <w:rPr>
          <w:sz w:val="22"/>
          <w:szCs w:val="22"/>
          <w:rtl/>
        </w:rPr>
        <w:t>–</w:t>
      </w:r>
      <w:r w:rsidRPr="00986937">
        <w:rPr>
          <w:rFonts w:hint="cs"/>
          <w:sz w:val="22"/>
          <w:szCs w:val="22"/>
          <w:rtl/>
        </w:rPr>
        <w:t xml:space="preserve"> החשבונות:</w:t>
      </w:r>
    </w:p>
    <w:p w:rsidR="00C4540A" w:rsidRPr="00986937" w:rsidRDefault="00C4540A" w:rsidP="00C4540A">
      <w:pPr>
        <w:ind w:left="720"/>
        <w:rPr>
          <w:sz w:val="22"/>
          <w:szCs w:val="22"/>
          <w:rtl/>
        </w:rPr>
      </w:pPr>
      <w:r w:rsidRPr="00986937">
        <w:rPr>
          <w:rFonts w:hint="cs"/>
          <w:sz w:val="22"/>
          <w:szCs w:val="22"/>
          <w:rtl/>
        </w:rPr>
        <w:t>מוצרי מזון גולמיים</w:t>
      </w:r>
    </w:p>
    <w:p w:rsidR="00C4540A" w:rsidRPr="00986937" w:rsidRDefault="00C4540A" w:rsidP="00C4540A">
      <w:pPr>
        <w:ind w:left="720"/>
        <w:rPr>
          <w:sz w:val="22"/>
          <w:szCs w:val="22"/>
          <w:rtl/>
        </w:rPr>
      </w:pPr>
      <w:r w:rsidRPr="00986937">
        <w:rPr>
          <w:rFonts w:hint="cs"/>
          <w:sz w:val="22"/>
          <w:szCs w:val="22"/>
          <w:rtl/>
        </w:rPr>
        <w:t>מים, חשמל, גז, טלפון</w:t>
      </w:r>
    </w:p>
    <w:p w:rsidR="00C4540A" w:rsidRPr="00986937" w:rsidRDefault="00C4540A" w:rsidP="00C4540A">
      <w:pPr>
        <w:ind w:left="720"/>
        <w:rPr>
          <w:sz w:val="22"/>
          <w:szCs w:val="22"/>
          <w:rtl/>
        </w:rPr>
      </w:pPr>
      <w:r w:rsidRPr="00986937">
        <w:rPr>
          <w:rFonts w:hint="cs"/>
          <w:sz w:val="22"/>
          <w:szCs w:val="22"/>
          <w:rtl/>
        </w:rPr>
        <w:t>ניקיון</w:t>
      </w:r>
      <w:r w:rsidR="007E5DAE" w:rsidRPr="00986937">
        <w:rPr>
          <w:rFonts w:hint="cs"/>
          <w:sz w:val="22"/>
          <w:szCs w:val="22"/>
          <w:rtl/>
        </w:rPr>
        <w:t>, עם זה דרך קבלן ניקיון</w:t>
      </w:r>
    </w:p>
    <w:p w:rsidR="00C4540A" w:rsidRPr="00986937" w:rsidRDefault="00D93C38" w:rsidP="00C4540A">
      <w:pPr>
        <w:ind w:left="720"/>
        <w:rPr>
          <w:sz w:val="22"/>
          <w:szCs w:val="22"/>
          <w:rtl/>
        </w:rPr>
      </w:pPr>
      <w:r w:rsidRPr="00986937">
        <w:rPr>
          <w:sz w:val="22"/>
          <w:szCs w:val="22"/>
        </w:rPr>
        <w:t>Wi-Fi</w:t>
      </w:r>
      <w:r w:rsidR="00C4540A" w:rsidRPr="00986937">
        <w:rPr>
          <w:rFonts w:hint="cs"/>
          <w:sz w:val="22"/>
          <w:szCs w:val="22"/>
          <w:rtl/>
        </w:rPr>
        <w:t>, אינטרנט, טלוויזיה (כבלים/ לוויין)</w:t>
      </w:r>
    </w:p>
    <w:p w:rsidR="00C4540A" w:rsidRPr="00986937" w:rsidRDefault="00D93C38" w:rsidP="00C4540A">
      <w:pPr>
        <w:ind w:left="720"/>
        <w:rPr>
          <w:sz w:val="22"/>
          <w:szCs w:val="22"/>
          <w:rtl/>
        </w:rPr>
      </w:pPr>
      <w:r w:rsidRPr="00986937">
        <w:rPr>
          <w:rFonts w:hint="cs"/>
          <w:sz w:val="22"/>
          <w:szCs w:val="22"/>
          <w:rtl/>
        </w:rPr>
        <w:t xml:space="preserve">הסדרי </w:t>
      </w:r>
      <w:r w:rsidR="00C4540A" w:rsidRPr="00986937">
        <w:rPr>
          <w:rFonts w:hint="cs"/>
          <w:sz w:val="22"/>
          <w:szCs w:val="22"/>
          <w:rtl/>
        </w:rPr>
        <w:t>פרסום</w:t>
      </w:r>
    </w:p>
    <w:p w:rsidR="00C4540A" w:rsidRPr="00986937" w:rsidRDefault="00C4540A" w:rsidP="00D75A2A">
      <w:pPr>
        <w:spacing w:after="120"/>
        <w:ind w:left="720"/>
        <w:rPr>
          <w:sz w:val="22"/>
          <w:szCs w:val="22"/>
          <w:rtl/>
        </w:rPr>
      </w:pPr>
      <w:r w:rsidRPr="00986937">
        <w:rPr>
          <w:rFonts w:hint="cs"/>
          <w:sz w:val="22"/>
          <w:szCs w:val="22"/>
          <w:rtl/>
        </w:rPr>
        <w:t>מוזיקה (זכויות יוצרים)</w:t>
      </w:r>
    </w:p>
    <w:p w:rsidR="00C4540A" w:rsidRPr="00986937" w:rsidRDefault="00D75A2A" w:rsidP="00C4540A">
      <w:pPr>
        <w:rPr>
          <w:sz w:val="22"/>
          <w:szCs w:val="22"/>
          <w:rtl/>
        </w:rPr>
      </w:pPr>
      <w:r w:rsidRPr="00986937">
        <w:rPr>
          <w:rFonts w:hint="cs"/>
          <w:sz w:val="22"/>
          <w:szCs w:val="22"/>
          <w:rtl/>
        </w:rPr>
        <w:t xml:space="preserve">קבלת </w:t>
      </w:r>
      <w:r w:rsidR="00C4540A" w:rsidRPr="00986937">
        <w:rPr>
          <w:rFonts w:hint="cs"/>
          <w:sz w:val="22"/>
          <w:szCs w:val="22"/>
          <w:rtl/>
        </w:rPr>
        <w:t>רישיון עסק</w:t>
      </w:r>
      <w:r w:rsidRPr="00986937">
        <w:rPr>
          <w:rFonts w:hint="cs"/>
          <w:sz w:val="22"/>
          <w:szCs w:val="22"/>
          <w:rtl/>
        </w:rPr>
        <w:t xml:space="preserve"> והתנאים הנלווים לו</w:t>
      </w:r>
      <w:r w:rsidR="007E5DAE" w:rsidRPr="00986937">
        <w:rPr>
          <w:rFonts w:hint="cs"/>
          <w:sz w:val="22"/>
          <w:szCs w:val="22"/>
          <w:rtl/>
        </w:rPr>
        <w:t>:</w:t>
      </w:r>
    </w:p>
    <w:p w:rsidR="00D75A2A" w:rsidRPr="00986937" w:rsidRDefault="00D75A2A" w:rsidP="00D75A2A">
      <w:pPr>
        <w:ind w:left="720"/>
        <w:rPr>
          <w:sz w:val="22"/>
          <w:szCs w:val="22"/>
          <w:rtl/>
        </w:rPr>
      </w:pPr>
      <w:r w:rsidRPr="00986937">
        <w:rPr>
          <w:rFonts w:hint="cs"/>
          <w:sz w:val="22"/>
          <w:szCs w:val="22"/>
          <w:rtl/>
        </w:rPr>
        <w:t>חופש העיסוק</w:t>
      </w:r>
    </w:p>
    <w:p w:rsidR="00C4540A" w:rsidRPr="00986937" w:rsidRDefault="00C4540A" w:rsidP="00C4540A">
      <w:pPr>
        <w:ind w:left="720"/>
        <w:rPr>
          <w:sz w:val="22"/>
          <w:szCs w:val="22"/>
          <w:rtl/>
        </w:rPr>
      </w:pPr>
      <w:r w:rsidRPr="00986937">
        <w:rPr>
          <w:rFonts w:hint="cs"/>
          <w:sz w:val="22"/>
          <w:szCs w:val="22"/>
          <w:rtl/>
        </w:rPr>
        <w:t>מטרד רעש, ריח, סוג של סכנות במישור התברואה</w:t>
      </w:r>
    </w:p>
    <w:p w:rsidR="00C4540A" w:rsidRPr="00986937" w:rsidRDefault="00C4540A" w:rsidP="00C4540A">
      <w:pPr>
        <w:ind w:left="720"/>
        <w:rPr>
          <w:sz w:val="22"/>
          <w:szCs w:val="22"/>
          <w:rtl/>
        </w:rPr>
      </w:pPr>
      <w:r w:rsidRPr="00986937">
        <w:rPr>
          <w:rFonts w:hint="cs"/>
          <w:sz w:val="22"/>
          <w:szCs w:val="22"/>
          <w:rtl/>
        </w:rPr>
        <w:t xml:space="preserve">פעילות בשבת; פעילות בימי מועד </w:t>
      </w:r>
      <w:r w:rsidRPr="00986937">
        <w:rPr>
          <w:sz w:val="22"/>
          <w:szCs w:val="22"/>
          <w:rtl/>
        </w:rPr>
        <w:t>–</w:t>
      </w:r>
      <w:r w:rsidRPr="00986937">
        <w:rPr>
          <w:rFonts w:hint="cs"/>
          <w:sz w:val="22"/>
          <w:szCs w:val="22"/>
          <w:rtl/>
        </w:rPr>
        <w:t xml:space="preserve"> יום כיפור; ט' באב</w:t>
      </w:r>
    </w:p>
    <w:p w:rsidR="00C4540A" w:rsidRPr="00986937" w:rsidRDefault="00C4540A" w:rsidP="00C4540A">
      <w:pPr>
        <w:ind w:left="720"/>
        <w:rPr>
          <w:sz w:val="22"/>
          <w:szCs w:val="22"/>
          <w:rtl/>
        </w:rPr>
      </w:pPr>
      <w:r w:rsidRPr="00986937">
        <w:rPr>
          <w:rFonts w:hint="cs"/>
          <w:sz w:val="22"/>
          <w:szCs w:val="22"/>
          <w:rtl/>
        </w:rPr>
        <w:t>הגבלות על טיב המזון (תברואה); הגבלות על סוג המזון (מוצרי חזיר למשל);</w:t>
      </w:r>
    </w:p>
    <w:p w:rsidR="00C4540A" w:rsidRPr="00986937" w:rsidRDefault="00C4540A" w:rsidP="00D75A2A">
      <w:pPr>
        <w:spacing w:after="120"/>
        <w:ind w:left="720"/>
        <w:rPr>
          <w:sz w:val="22"/>
          <w:szCs w:val="22"/>
          <w:rtl/>
        </w:rPr>
      </w:pPr>
      <w:r w:rsidRPr="00986937">
        <w:rPr>
          <w:rFonts w:hint="cs"/>
          <w:sz w:val="22"/>
          <w:szCs w:val="22"/>
          <w:rtl/>
        </w:rPr>
        <w:t>סוגיית הכשרות</w:t>
      </w:r>
    </w:p>
    <w:p w:rsidR="00C4540A" w:rsidRPr="00986937" w:rsidRDefault="007E5DAE" w:rsidP="00C4540A">
      <w:pPr>
        <w:rPr>
          <w:sz w:val="22"/>
          <w:szCs w:val="22"/>
          <w:rtl/>
        </w:rPr>
      </w:pPr>
      <w:r w:rsidRPr="00986937">
        <w:rPr>
          <w:rFonts w:hint="cs"/>
          <w:sz w:val="22"/>
          <w:szCs w:val="22"/>
          <w:rtl/>
        </w:rPr>
        <w:t>ה</w:t>
      </w:r>
      <w:r w:rsidR="00D75A2A" w:rsidRPr="00986937">
        <w:rPr>
          <w:rFonts w:hint="cs"/>
          <w:sz w:val="22"/>
          <w:szCs w:val="22"/>
          <w:rtl/>
        </w:rPr>
        <w:t>מיסוי</w:t>
      </w:r>
    </w:p>
    <w:p w:rsidR="00D75A2A" w:rsidRPr="00986937" w:rsidRDefault="00D75A2A" w:rsidP="00D75A2A">
      <w:pPr>
        <w:ind w:left="720"/>
        <w:rPr>
          <w:sz w:val="22"/>
          <w:szCs w:val="22"/>
          <w:rtl/>
        </w:rPr>
      </w:pPr>
      <w:r w:rsidRPr="00986937">
        <w:rPr>
          <w:rFonts w:hint="cs"/>
          <w:sz w:val="22"/>
          <w:szCs w:val="22"/>
          <w:rtl/>
        </w:rPr>
        <w:t>מס הכנסה</w:t>
      </w:r>
    </w:p>
    <w:p w:rsidR="00D75A2A" w:rsidRPr="00986937" w:rsidRDefault="00D75A2A" w:rsidP="00D75A2A">
      <w:pPr>
        <w:ind w:left="720"/>
        <w:rPr>
          <w:sz w:val="22"/>
          <w:szCs w:val="22"/>
          <w:rtl/>
        </w:rPr>
      </w:pPr>
      <w:r w:rsidRPr="00986937">
        <w:rPr>
          <w:rFonts w:hint="cs"/>
          <w:sz w:val="22"/>
          <w:szCs w:val="22"/>
          <w:rtl/>
        </w:rPr>
        <w:t>מע"ם</w:t>
      </w:r>
    </w:p>
    <w:p w:rsidR="00D75A2A" w:rsidRPr="00986937" w:rsidRDefault="00D75A2A" w:rsidP="00D75A2A">
      <w:pPr>
        <w:ind w:left="720"/>
        <w:rPr>
          <w:sz w:val="22"/>
          <w:szCs w:val="22"/>
          <w:rtl/>
        </w:rPr>
      </w:pPr>
      <w:r w:rsidRPr="00986937">
        <w:rPr>
          <w:rFonts w:hint="cs"/>
          <w:sz w:val="22"/>
          <w:szCs w:val="22"/>
          <w:rtl/>
        </w:rPr>
        <w:t>ארנונה (המיסים העירוניים)</w:t>
      </w:r>
    </w:p>
    <w:p w:rsidR="00D75A2A" w:rsidRPr="00986937" w:rsidRDefault="00D75A2A" w:rsidP="00D75A2A">
      <w:pPr>
        <w:ind w:left="720"/>
        <w:rPr>
          <w:sz w:val="22"/>
          <w:szCs w:val="22"/>
          <w:rtl/>
        </w:rPr>
      </w:pPr>
    </w:p>
    <w:p w:rsidR="007E5DAE" w:rsidRPr="00986937" w:rsidRDefault="007E5DAE" w:rsidP="00D75A2A">
      <w:pPr>
        <w:spacing w:after="120"/>
        <w:rPr>
          <w:sz w:val="22"/>
          <w:szCs w:val="22"/>
          <w:rtl/>
        </w:rPr>
      </w:pPr>
      <w:r w:rsidRPr="00986937">
        <w:rPr>
          <w:rFonts w:hint="cs"/>
          <w:sz w:val="22"/>
          <w:szCs w:val="22"/>
          <w:rtl/>
        </w:rPr>
        <w:t>[...]</w:t>
      </w:r>
    </w:p>
    <w:p w:rsidR="00C4540A" w:rsidRPr="00986937" w:rsidRDefault="00C4540A" w:rsidP="00D75A2A">
      <w:pPr>
        <w:spacing w:after="120"/>
        <w:rPr>
          <w:sz w:val="22"/>
          <w:szCs w:val="22"/>
          <w:rtl/>
        </w:rPr>
      </w:pPr>
      <w:r w:rsidRPr="00986937">
        <w:rPr>
          <w:rFonts w:hint="cs"/>
          <w:sz w:val="22"/>
          <w:szCs w:val="22"/>
          <w:rtl/>
        </w:rPr>
        <w:t>איך היחסים הללו מוסדרים?</w:t>
      </w:r>
    </w:p>
    <w:p w:rsidR="00C4540A" w:rsidRPr="00986937" w:rsidRDefault="00C4540A" w:rsidP="00AA403D">
      <w:pPr>
        <w:spacing w:after="60"/>
        <w:ind w:left="720"/>
        <w:rPr>
          <w:sz w:val="22"/>
          <w:szCs w:val="22"/>
          <w:rtl/>
        </w:rPr>
      </w:pPr>
      <w:r w:rsidRPr="00986937">
        <w:rPr>
          <w:rFonts w:hint="cs"/>
          <w:sz w:val="22"/>
          <w:szCs w:val="22"/>
          <w:u w:val="single"/>
          <w:rtl/>
        </w:rPr>
        <w:t>ראשית</w:t>
      </w:r>
      <w:r w:rsidRPr="00986937">
        <w:rPr>
          <w:rFonts w:hint="cs"/>
          <w:sz w:val="22"/>
          <w:szCs w:val="22"/>
          <w:rtl/>
        </w:rPr>
        <w:t xml:space="preserve">, דרך מערכת יחסים </w:t>
      </w:r>
      <w:r w:rsidRPr="00986937">
        <w:rPr>
          <w:rFonts w:hint="cs"/>
          <w:sz w:val="22"/>
          <w:szCs w:val="22"/>
          <w:u w:val="single"/>
          <w:rtl/>
        </w:rPr>
        <w:t xml:space="preserve">שהיא כולה או בעיקרה מחוץ למשפט, לא מוסדרת </w:t>
      </w:r>
      <w:r w:rsidR="00D75A2A" w:rsidRPr="00986937">
        <w:rPr>
          <w:rFonts w:hint="cs"/>
          <w:sz w:val="22"/>
          <w:szCs w:val="22"/>
          <w:u w:val="single"/>
          <w:rtl/>
        </w:rPr>
        <w:t xml:space="preserve">ממשית </w:t>
      </w:r>
      <w:r w:rsidRPr="00986937">
        <w:rPr>
          <w:rFonts w:hint="cs"/>
          <w:sz w:val="22"/>
          <w:szCs w:val="22"/>
          <w:u w:val="single"/>
          <w:rtl/>
        </w:rPr>
        <w:t>על ידי המשפט</w:t>
      </w:r>
      <w:r w:rsidRPr="00986937">
        <w:rPr>
          <w:rFonts w:hint="cs"/>
          <w:sz w:val="22"/>
          <w:szCs w:val="22"/>
          <w:rtl/>
        </w:rPr>
        <w:t xml:space="preserve">. </w:t>
      </w:r>
    </w:p>
    <w:p w:rsidR="00C4540A" w:rsidRPr="00986937" w:rsidRDefault="00C4540A" w:rsidP="00AA403D">
      <w:pPr>
        <w:spacing w:after="60"/>
        <w:ind w:left="720"/>
        <w:rPr>
          <w:sz w:val="22"/>
          <w:szCs w:val="22"/>
          <w:rtl/>
        </w:rPr>
      </w:pPr>
      <w:r w:rsidRPr="00986937">
        <w:rPr>
          <w:rFonts w:hint="cs"/>
          <w:sz w:val="22"/>
          <w:szCs w:val="22"/>
          <w:rtl/>
        </w:rPr>
        <w:t>מערכת התמריצים הפועלת על הצדדים, למשל, ביחסים של נותן שירות וצרכן: כדי שמסעדה תצליח צריך לעשות א' ו-ב'. האוכל צריך להיות טוב; שאלת מחירו; איכות השירות; הדימוי; המקום, נגישותו, יופיו, יוקרתו..</w:t>
      </w:r>
    </w:p>
    <w:p w:rsidR="00C4540A" w:rsidRPr="00986937" w:rsidRDefault="00C4540A" w:rsidP="00AA403D">
      <w:pPr>
        <w:spacing w:after="60"/>
        <w:ind w:left="1440"/>
        <w:rPr>
          <w:sz w:val="22"/>
          <w:szCs w:val="22"/>
          <w:rtl/>
        </w:rPr>
      </w:pPr>
      <w:r w:rsidRPr="00986937">
        <w:rPr>
          <w:rFonts w:hint="cs"/>
          <w:sz w:val="22"/>
          <w:szCs w:val="22"/>
          <w:rtl/>
        </w:rPr>
        <w:t xml:space="preserve">חלק חשוב מהיחסים, מההצלחה, לא ממש מושפע מהמשפט, או מושפע מעט: המשפט קובע סטנדרטים מסוימים של מינימום </w:t>
      </w:r>
      <w:r w:rsidRPr="00986937">
        <w:rPr>
          <w:sz w:val="22"/>
          <w:szCs w:val="22"/>
          <w:rtl/>
        </w:rPr>
        <w:t>–</w:t>
      </w:r>
      <w:r w:rsidRPr="00986937">
        <w:rPr>
          <w:rFonts w:hint="cs"/>
          <w:sz w:val="22"/>
          <w:szCs w:val="22"/>
          <w:rtl/>
        </w:rPr>
        <w:t xml:space="preserve"> למשל בנושא תברואה או בנושא רמת-השירות; אך הוא לרוב הוא לא מתערב בשאלת המחיר של הארוחה.. ולא קובע אם יהיה מאד נקי.. או השירות יהיה בדרגה סבירה, להבדיל מטובה או טובה מאד. הוא משרטט את המינימום ההכרחי </w:t>
      </w:r>
      <w:r w:rsidRPr="00986937">
        <w:rPr>
          <w:sz w:val="22"/>
          <w:szCs w:val="22"/>
          <w:rtl/>
        </w:rPr>
        <w:t>–</w:t>
      </w:r>
      <w:r w:rsidRPr="00986937">
        <w:rPr>
          <w:rFonts w:hint="cs"/>
          <w:sz w:val="22"/>
          <w:szCs w:val="22"/>
          <w:rtl/>
        </w:rPr>
        <w:t xml:space="preserve"> ומעבר לו יש מרווח של חופש.</w:t>
      </w:r>
    </w:p>
    <w:p w:rsidR="00C4540A" w:rsidRPr="00986937" w:rsidRDefault="00C4540A" w:rsidP="00AA403D">
      <w:pPr>
        <w:spacing w:after="60"/>
        <w:ind w:left="1440"/>
        <w:rPr>
          <w:sz w:val="22"/>
          <w:szCs w:val="22"/>
          <w:rtl/>
        </w:rPr>
      </w:pPr>
      <w:r w:rsidRPr="00986937">
        <w:rPr>
          <w:rFonts w:hint="cs"/>
          <w:sz w:val="22"/>
          <w:szCs w:val="22"/>
          <w:rtl/>
        </w:rPr>
        <w:t xml:space="preserve">רמת הבישול, רמת השירות, רמת הניהול </w:t>
      </w:r>
      <w:r w:rsidRPr="00986937">
        <w:rPr>
          <w:sz w:val="22"/>
          <w:szCs w:val="22"/>
          <w:rtl/>
        </w:rPr>
        <w:t>–</w:t>
      </w:r>
      <w:r w:rsidRPr="00986937">
        <w:rPr>
          <w:rFonts w:hint="cs"/>
          <w:sz w:val="22"/>
          <w:szCs w:val="22"/>
          <w:rtl/>
        </w:rPr>
        <w:t xml:space="preserve"> מקצועות/ מקצועיות</w:t>
      </w:r>
    </w:p>
    <w:p w:rsidR="00C4540A" w:rsidRPr="00986937" w:rsidRDefault="00C4540A" w:rsidP="00AA403D">
      <w:pPr>
        <w:spacing w:after="60"/>
        <w:ind w:left="720"/>
        <w:rPr>
          <w:sz w:val="22"/>
          <w:szCs w:val="22"/>
          <w:rtl/>
        </w:rPr>
      </w:pPr>
      <w:r w:rsidRPr="00986937">
        <w:rPr>
          <w:rFonts w:hint="cs"/>
          <w:sz w:val="22"/>
          <w:szCs w:val="22"/>
          <w:u w:val="single"/>
          <w:rtl/>
        </w:rPr>
        <w:t>שנית</w:t>
      </w:r>
      <w:r w:rsidRPr="00986937">
        <w:rPr>
          <w:rFonts w:hint="cs"/>
          <w:sz w:val="22"/>
          <w:szCs w:val="22"/>
          <w:rtl/>
        </w:rPr>
        <w:t xml:space="preserve">, חלקים חשובים ממערכות היחסים המופיעות סביב המסעדה מוסדרים </w:t>
      </w:r>
      <w:r w:rsidR="00D75A2A" w:rsidRPr="00986937">
        <w:rPr>
          <w:rFonts w:hint="cs"/>
          <w:sz w:val="22"/>
          <w:szCs w:val="22"/>
          <w:rtl/>
        </w:rPr>
        <w:t xml:space="preserve">בכל זאת </w:t>
      </w:r>
      <w:r w:rsidRPr="00986937">
        <w:rPr>
          <w:rFonts w:hint="cs"/>
          <w:sz w:val="22"/>
          <w:szCs w:val="22"/>
          <w:rtl/>
        </w:rPr>
        <w:t xml:space="preserve">באמצעות </w:t>
      </w:r>
      <w:r w:rsidR="00D75A2A" w:rsidRPr="00986937">
        <w:rPr>
          <w:rFonts w:hint="cs"/>
          <w:sz w:val="22"/>
          <w:szCs w:val="22"/>
          <w:u w:val="single"/>
          <w:rtl/>
        </w:rPr>
        <w:t>המשפט</w:t>
      </w:r>
      <w:r w:rsidRPr="00986937">
        <w:rPr>
          <w:rFonts w:hint="cs"/>
          <w:sz w:val="22"/>
          <w:szCs w:val="22"/>
          <w:rtl/>
        </w:rPr>
        <w:t>, מערכות מצטברות של הוראות-דין:</w:t>
      </w:r>
    </w:p>
    <w:p w:rsidR="00D75A2A" w:rsidRPr="00986937" w:rsidRDefault="00D75A2A" w:rsidP="00AA403D">
      <w:pPr>
        <w:spacing w:after="60"/>
        <w:ind w:left="1440"/>
        <w:rPr>
          <w:sz w:val="22"/>
          <w:szCs w:val="22"/>
          <w:rtl/>
        </w:rPr>
      </w:pPr>
      <w:r w:rsidRPr="00986937">
        <w:rPr>
          <w:rFonts w:hint="cs"/>
          <w:sz w:val="22"/>
          <w:szCs w:val="22"/>
          <w:u w:val="single"/>
          <w:rtl/>
        </w:rPr>
        <w:t xml:space="preserve">חלקן מצויות בעיקרן במישור העובר </w:t>
      </w:r>
      <w:r w:rsidRPr="00986937">
        <w:rPr>
          <w:rFonts w:hint="cs"/>
          <w:b/>
          <w:bCs/>
          <w:sz w:val="22"/>
          <w:szCs w:val="22"/>
          <w:u w:val="single"/>
          <w:rtl/>
        </w:rPr>
        <w:t xml:space="preserve">בין אדם לחברו, </w:t>
      </w:r>
      <w:r w:rsidRPr="00AA403D">
        <w:rPr>
          <w:rFonts w:hint="cs"/>
          <w:b/>
          <w:bCs/>
          <w:sz w:val="22"/>
          <w:szCs w:val="22"/>
          <w:highlight w:val="yellow"/>
          <w:u w:val="single"/>
          <w:rtl/>
        </w:rPr>
        <w:t>"המשפט הפרטי":</w:t>
      </w:r>
    </w:p>
    <w:p w:rsidR="00C4540A" w:rsidRPr="00986937" w:rsidRDefault="00C4540A" w:rsidP="00AA403D">
      <w:pPr>
        <w:spacing w:after="60"/>
        <w:ind w:left="2160"/>
        <w:rPr>
          <w:sz w:val="22"/>
          <w:szCs w:val="22"/>
          <w:rtl/>
        </w:rPr>
      </w:pPr>
      <w:r w:rsidRPr="00986937">
        <w:rPr>
          <w:rFonts w:hint="cs"/>
          <w:sz w:val="22"/>
          <w:szCs w:val="22"/>
          <w:rtl/>
        </w:rPr>
        <w:lastRenderedPageBreak/>
        <w:t>דיני חוזים</w:t>
      </w:r>
    </w:p>
    <w:p w:rsidR="00C4540A" w:rsidRPr="00986937" w:rsidRDefault="00C4540A" w:rsidP="00AA403D">
      <w:pPr>
        <w:spacing w:after="60"/>
        <w:ind w:left="2160"/>
        <w:rPr>
          <w:sz w:val="22"/>
          <w:szCs w:val="22"/>
          <w:rtl/>
        </w:rPr>
      </w:pPr>
      <w:r w:rsidRPr="00986937">
        <w:rPr>
          <w:rFonts w:hint="cs"/>
          <w:sz w:val="22"/>
          <w:szCs w:val="22"/>
          <w:rtl/>
        </w:rPr>
        <w:t>דיני נזיקין</w:t>
      </w:r>
    </w:p>
    <w:p w:rsidR="00C4540A" w:rsidRPr="00986937" w:rsidRDefault="00C4540A" w:rsidP="00AA403D">
      <w:pPr>
        <w:spacing w:after="60"/>
        <w:ind w:left="2160"/>
        <w:rPr>
          <w:sz w:val="22"/>
          <w:szCs w:val="22"/>
          <w:rtl/>
        </w:rPr>
      </w:pPr>
      <w:r w:rsidRPr="00986937">
        <w:rPr>
          <w:rFonts w:hint="cs"/>
          <w:sz w:val="22"/>
          <w:szCs w:val="22"/>
          <w:rtl/>
        </w:rPr>
        <w:t>דיני עבודה</w:t>
      </w:r>
    </w:p>
    <w:p w:rsidR="00C4540A" w:rsidRPr="00986937" w:rsidRDefault="00C4540A" w:rsidP="00AA403D">
      <w:pPr>
        <w:spacing w:after="60"/>
        <w:ind w:left="2880" w:hanging="720"/>
        <w:rPr>
          <w:sz w:val="22"/>
          <w:szCs w:val="22"/>
          <w:rtl/>
        </w:rPr>
      </w:pPr>
      <w:r w:rsidRPr="00986937">
        <w:rPr>
          <w:rFonts w:hint="cs"/>
          <w:sz w:val="22"/>
          <w:szCs w:val="22"/>
          <w:rtl/>
        </w:rPr>
        <w:t>די</w:t>
      </w:r>
      <w:r w:rsidR="00D93C38" w:rsidRPr="00986937">
        <w:rPr>
          <w:rFonts w:hint="cs"/>
          <w:sz w:val="22"/>
          <w:szCs w:val="22"/>
          <w:rtl/>
        </w:rPr>
        <w:t>ני העונשין (המשפט הפ</w:t>
      </w:r>
      <w:r w:rsidRPr="00986937">
        <w:rPr>
          <w:rFonts w:hint="cs"/>
          <w:sz w:val="22"/>
          <w:szCs w:val="22"/>
          <w:rtl/>
        </w:rPr>
        <w:t>לילי</w:t>
      </w:r>
      <w:r w:rsidR="00D93C38" w:rsidRPr="00986937">
        <w:rPr>
          <w:rFonts w:hint="cs"/>
          <w:sz w:val="22"/>
          <w:szCs w:val="22"/>
          <w:rtl/>
        </w:rPr>
        <w:t>)</w:t>
      </w:r>
      <w:r w:rsidRPr="00986937">
        <w:rPr>
          <w:rFonts w:hint="cs"/>
          <w:sz w:val="22"/>
          <w:szCs w:val="22"/>
          <w:rtl/>
        </w:rPr>
        <w:t xml:space="preserve"> </w:t>
      </w:r>
      <w:r w:rsidRPr="00986937">
        <w:rPr>
          <w:sz w:val="22"/>
          <w:szCs w:val="22"/>
          <w:rtl/>
        </w:rPr>
        <w:t>–</w:t>
      </w:r>
      <w:r w:rsidRPr="00986937">
        <w:rPr>
          <w:rFonts w:hint="cs"/>
          <w:sz w:val="22"/>
          <w:szCs w:val="22"/>
          <w:rtl/>
        </w:rPr>
        <w:t xml:space="preserve"> רישוי עסק, תברואה, סוג האוכל, מכירת אלכהול מתחת לגיל, </w:t>
      </w:r>
      <w:r w:rsidR="00AA403D" w:rsidRPr="00AA403D">
        <w:rPr>
          <w:rFonts w:hint="cs"/>
          <w:i/>
          <w:iCs/>
          <w:sz w:val="22"/>
          <w:szCs w:val="22"/>
          <w:rtl/>
        </w:rPr>
        <w:t>[לא ניכנס כאן לדיון בשאלת הסיווג של המשפט הפלילי בגדר משפט פרטי או משפט ציבורי]</w:t>
      </w:r>
      <w:r w:rsidR="00D93C38" w:rsidRPr="00986937">
        <w:rPr>
          <w:rFonts w:hint="cs"/>
          <w:sz w:val="22"/>
          <w:szCs w:val="22"/>
          <w:rtl/>
        </w:rPr>
        <w:t>...</w:t>
      </w:r>
    </w:p>
    <w:p w:rsidR="00C4540A" w:rsidRPr="00986937" w:rsidRDefault="00C4540A" w:rsidP="00AA403D">
      <w:pPr>
        <w:spacing w:after="60"/>
        <w:ind w:left="2160"/>
        <w:rPr>
          <w:sz w:val="22"/>
          <w:szCs w:val="22"/>
          <w:rtl/>
        </w:rPr>
      </w:pPr>
      <w:r w:rsidRPr="00986937">
        <w:rPr>
          <w:rFonts w:hint="cs"/>
          <w:sz w:val="22"/>
          <w:szCs w:val="22"/>
          <w:rtl/>
        </w:rPr>
        <w:t>דיני ...</w:t>
      </w:r>
    </w:p>
    <w:p w:rsidR="00C4540A" w:rsidRPr="00986937" w:rsidRDefault="00C4540A" w:rsidP="00AA403D">
      <w:pPr>
        <w:spacing w:after="60"/>
        <w:ind w:left="1440"/>
        <w:rPr>
          <w:sz w:val="22"/>
          <w:szCs w:val="22"/>
          <w:rtl/>
        </w:rPr>
      </w:pPr>
      <w:r w:rsidRPr="00986937">
        <w:rPr>
          <w:rFonts w:hint="cs"/>
          <w:sz w:val="22"/>
          <w:szCs w:val="22"/>
          <w:rtl/>
        </w:rPr>
        <w:t xml:space="preserve">אך יש עוד מערכת אחת מאד משמעותית של דין </w:t>
      </w:r>
      <w:r w:rsidRPr="00986937">
        <w:rPr>
          <w:sz w:val="22"/>
          <w:szCs w:val="22"/>
          <w:rtl/>
        </w:rPr>
        <w:t>–</w:t>
      </w:r>
      <w:r w:rsidRPr="00986937">
        <w:rPr>
          <w:rFonts w:hint="cs"/>
          <w:sz w:val="22"/>
          <w:szCs w:val="22"/>
          <w:rtl/>
        </w:rPr>
        <w:t xml:space="preserve"> היא </w:t>
      </w:r>
      <w:r w:rsidR="00D75A2A" w:rsidRPr="00AA403D">
        <w:rPr>
          <w:rFonts w:hint="cs"/>
          <w:b/>
          <w:bCs/>
          <w:sz w:val="22"/>
          <w:szCs w:val="22"/>
          <w:highlight w:val="yellow"/>
          <w:u w:val="single"/>
          <w:rtl/>
        </w:rPr>
        <w:t>"</w:t>
      </w:r>
      <w:r w:rsidRPr="00AA403D">
        <w:rPr>
          <w:rFonts w:hint="cs"/>
          <w:b/>
          <w:bCs/>
          <w:sz w:val="22"/>
          <w:szCs w:val="22"/>
          <w:highlight w:val="yellow"/>
          <w:u w:val="single"/>
          <w:rtl/>
        </w:rPr>
        <w:t>המשפט הציבורי</w:t>
      </w:r>
      <w:r w:rsidR="00D75A2A" w:rsidRPr="00AA403D">
        <w:rPr>
          <w:rFonts w:hint="cs"/>
          <w:b/>
          <w:bCs/>
          <w:sz w:val="22"/>
          <w:szCs w:val="22"/>
          <w:highlight w:val="yellow"/>
          <w:u w:val="single"/>
          <w:rtl/>
        </w:rPr>
        <w:t>",</w:t>
      </w:r>
      <w:r w:rsidR="00D75A2A" w:rsidRPr="00986937">
        <w:rPr>
          <w:rFonts w:hint="cs"/>
          <w:b/>
          <w:bCs/>
          <w:sz w:val="22"/>
          <w:szCs w:val="22"/>
          <w:u w:val="single"/>
          <w:rtl/>
        </w:rPr>
        <w:t xml:space="preserve"> זה המצוי בינינו לבין השלטון</w:t>
      </w:r>
      <w:r w:rsidR="00D75A2A" w:rsidRPr="00986937">
        <w:rPr>
          <w:rFonts w:hint="cs"/>
          <w:b/>
          <w:bCs/>
          <w:sz w:val="22"/>
          <w:szCs w:val="22"/>
          <w:rtl/>
        </w:rPr>
        <w:t xml:space="preserve"> (השלטון המרכזי/ המדינה/ הממשלה, או השלטון המקומי </w:t>
      </w:r>
      <w:r w:rsidR="00D75A2A" w:rsidRPr="00986937">
        <w:rPr>
          <w:b/>
          <w:bCs/>
          <w:sz w:val="22"/>
          <w:szCs w:val="22"/>
          <w:rtl/>
        </w:rPr>
        <w:t>–</w:t>
      </w:r>
      <w:r w:rsidR="00D75A2A" w:rsidRPr="00986937">
        <w:rPr>
          <w:rFonts w:hint="cs"/>
          <w:b/>
          <w:bCs/>
          <w:sz w:val="22"/>
          <w:szCs w:val="22"/>
          <w:rtl/>
        </w:rPr>
        <w:t xml:space="preserve"> העירייה/ הישוב שבתוכו אנו פועלים)</w:t>
      </w:r>
      <w:r w:rsidRPr="00986937">
        <w:rPr>
          <w:rFonts w:hint="cs"/>
          <w:sz w:val="22"/>
          <w:szCs w:val="22"/>
          <w:rtl/>
        </w:rPr>
        <w:t>:</w:t>
      </w:r>
    </w:p>
    <w:p w:rsidR="00D93C38" w:rsidRPr="00986937" w:rsidRDefault="00D93C38" w:rsidP="00AA403D">
      <w:pPr>
        <w:spacing w:after="60"/>
        <w:ind w:left="2160"/>
        <w:rPr>
          <w:sz w:val="22"/>
          <w:szCs w:val="22"/>
          <w:rtl/>
        </w:rPr>
      </w:pPr>
      <w:r w:rsidRPr="00986937">
        <w:rPr>
          <w:rFonts w:hint="cs"/>
          <w:sz w:val="22"/>
          <w:szCs w:val="22"/>
          <w:rtl/>
        </w:rPr>
        <w:t>מה מקור התוקף של עצם דרישת הרישיון? או מקור הסמכות להטיל מס מסוים בשיעור מסוים?</w:t>
      </w:r>
    </w:p>
    <w:p w:rsidR="00D93C38" w:rsidRPr="00986937" w:rsidRDefault="00D93C38" w:rsidP="00AA403D">
      <w:pPr>
        <w:spacing w:after="60"/>
        <w:ind w:left="2160"/>
        <w:rPr>
          <w:sz w:val="22"/>
          <w:szCs w:val="22"/>
          <w:rtl/>
        </w:rPr>
      </w:pPr>
      <w:r w:rsidRPr="00986937">
        <w:rPr>
          <w:rFonts w:hint="cs"/>
          <w:sz w:val="22"/>
          <w:szCs w:val="22"/>
          <w:rtl/>
        </w:rPr>
        <w:t>מה מקור התוקף של כל הדינים שהוזכרו לעיל: חוזים, נזיקין, דיני העונשין?</w:t>
      </w:r>
    </w:p>
    <w:p w:rsidR="00C4540A" w:rsidRPr="00986937" w:rsidRDefault="00D93C38" w:rsidP="00AA403D">
      <w:pPr>
        <w:spacing w:after="60"/>
        <w:ind w:left="2160"/>
        <w:rPr>
          <w:sz w:val="22"/>
          <w:szCs w:val="22"/>
          <w:rtl/>
        </w:rPr>
      </w:pPr>
      <w:r w:rsidRPr="00986937">
        <w:rPr>
          <w:rFonts w:hint="cs"/>
          <w:sz w:val="22"/>
          <w:szCs w:val="22"/>
          <w:rtl/>
        </w:rPr>
        <w:t xml:space="preserve">בהנחה שיש סמכות תקפה לדרוש רישיון עסק: </w:t>
      </w:r>
      <w:r w:rsidR="00C4540A" w:rsidRPr="00986937">
        <w:rPr>
          <w:rFonts w:hint="cs"/>
          <w:sz w:val="22"/>
          <w:szCs w:val="22"/>
          <w:rtl/>
        </w:rPr>
        <w:t>מי מוסמך לתת או לא לתת רישיון?</w:t>
      </w:r>
    </w:p>
    <w:p w:rsidR="00C4540A" w:rsidRPr="00986937" w:rsidRDefault="00C4540A" w:rsidP="00AA403D">
      <w:pPr>
        <w:spacing w:after="60"/>
        <w:ind w:left="2160"/>
        <w:rPr>
          <w:sz w:val="22"/>
          <w:szCs w:val="22"/>
          <w:rtl/>
        </w:rPr>
      </w:pPr>
      <w:r w:rsidRPr="00986937">
        <w:rPr>
          <w:rFonts w:hint="cs"/>
          <w:sz w:val="22"/>
          <w:szCs w:val="22"/>
          <w:rtl/>
        </w:rPr>
        <w:t>כיצד צריכים הפקחים לפעול?</w:t>
      </w:r>
      <w:r w:rsidR="00D93C38" w:rsidRPr="00986937">
        <w:rPr>
          <w:rFonts w:hint="cs"/>
          <w:sz w:val="22"/>
          <w:szCs w:val="22"/>
          <w:rtl/>
        </w:rPr>
        <w:t xml:space="preserve"> מה מקור סמכות הפיקוח שלהם?</w:t>
      </w:r>
    </w:p>
    <w:p w:rsidR="00C4540A" w:rsidRPr="00986937" w:rsidRDefault="00C4540A" w:rsidP="00AA403D">
      <w:pPr>
        <w:spacing w:after="60"/>
        <w:ind w:left="2160"/>
        <w:rPr>
          <w:sz w:val="22"/>
          <w:szCs w:val="22"/>
          <w:rtl/>
        </w:rPr>
      </w:pPr>
      <w:r w:rsidRPr="00986937">
        <w:rPr>
          <w:rFonts w:hint="cs"/>
          <w:sz w:val="22"/>
          <w:szCs w:val="22"/>
          <w:rtl/>
        </w:rPr>
        <w:t xml:space="preserve">איזה דברים יהיו בסמכות הרשות המקומית ואיזה בסמכות </w:t>
      </w:r>
      <w:r w:rsidR="00D93C38" w:rsidRPr="00986937">
        <w:rPr>
          <w:rFonts w:hint="cs"/>
          <w:sz w:val="22"/>
          <w:szCs w:val="22"/>
          <w:rtl/>
        </w:rPr>
        <w:t>השלטון המרכזי</w:t>
      </w:r>
      <w:r w:rsidRPr="00986937">
        <w:rPr>
          <w:rFonts w:hint="cs"/>
          <w:sz w:val="22"/>
          <w:szCs w:val="22"/>
          <w:rtl/>
        </w:rPr>
        <w:t xml:space="preserve">? </w:t>
      </w:r>
    </w:p>
    <w:p w:rsidR="00D93C38" w:rsidRPr="00986937" w:rsidRDefault="00D93C38" w:rsidP="00AA403D">
      <w:pPr>
        <w:spacing w:after="60"/>
        <w:ind w:left="2160"/>
        <w:rPr>
          <w:sz w:val="22"/>
          <w:szCs w:val="22"/>
          <w:rtl/>
        </w:rPr>
      </w:pPr>
      <w:r w:rsidRPr="00986937">
        <w:rPr>
          <w:rFonts w:hint="cs"/>
          <w:sz w:val="22"/>
          <w:szCs w:val="22"/>
          <w:rtl/>
        </w:rPr>
        <w:t xml:space="preserve">בתוך השלטון המרכזי: </w:t>
      </w:r>
      <w:r w:rsidR="00C4540A" w:rsidRPr="00986937">
        <w:rPr>
          <w:rFonts w:hint="cs"/>
          <w:sz w:val="22"/>
          <w:szCs w:val="22"/>
          <w:rtl/>
        </w:rPr>
        <w:t xml:space="preserve">האם בסמכות הכנסת או </w:t>
      </w:r>
      <w:r w:rsidRPr="00986937">
        <w:rPr>
          <w:rFonts w:hint="cs"/>
          <w:sz w:val="22"/>
          <w:szCs w:val="22"/>
          <w:rtl/>
        </w:rPr>
        <w:t xml:space="preserve">שמא </w:t>
      </w:r>
      <w:r w:rsidR="00C4540A" w:rsidRPr="00986937">
        <w:rPr>
          <w:rFonts w:hint="cs"/>
          <w:sz w:val="22"/>
          <w:szCs w:val="22"/>
          <w:rtl/>
        </w:rPr>
        <w:t xml:space="preserve">בסמכות הממשלה? </w:t>
      </w:r>
    </w:p>
    <w:p w:rsidR="00C4540A" w:rsidRPr="00986937" w:rsidRDefault="00C4540A" w:rsidP="00AA403D">
      <w:pPr>
        <w:spacing w:after="60"/>
        <w:ind w:left="2880" w:hanging="720"/>
        <w:rPr>
          <w:sz w:val="22"/>
          <w:szCs w:val="22"/>
          <w:rtl/>
        </w:rPr>
      </w:pPr>
      <w:r w:rsidRPr="00986937">
        <w:rPr>
          <w:rFonts w:hint="cs"/>
          <w:sz w:val="22"/>
          <w:szCs w:val="22"/>
          <w:rtl/>
        </w:rPr>
        <w:t xml:space="preserve">מה התפקיד של בתי המשפט כאן? </w:t>
      </w:r>
      <w:r w:rsidR="00D93C38" w:rsidRPr="00986937">
        <w:rPr>
          <w:rFonts w:hint="cs"/>
          <w:sz w:val="22"/>
          <w:szCs w:val="22"/>
          <w:rtl/>
        </w:rPr>
        <w:t>ו</w:t>
      </w:r>
      <w:r w:rsidRPr="00986937">
        <w:rPr>
          <w:rFonts w:hint="cs"/>
          <w:sz w:val="22"/>
          <w:szCs w:val="22"/>
          <w:rtl/>
        </w:rPr>
        <w:t xml:space="preserve">מי ממנה את השופטים? </w:t>
      </w:r>
      <w:r w:rsidR="00D93C38" w:rsidRPr="00986937">
        <w:rPr>
          <w:rFonts w:hint="cs"/>
          <w:sz w:val="22"/>
          <w:szCs w:val="22"/>
          <w:rtl/>
        </w:rPr>
        <w:t>ו</w:t>
      </w:r>
      <w:r w:rsidRPr="00986937">
        <w:rPr>
          <w:rFonts w:hint="cs"/>
          <w:sz w:val="22"/>
          <w:szCs w:val="22"/>
          <w:rtl/>
        </w:rPr>
        <w:t xml:space="preserve">מהי סמכותם של השופטים? </w:t>
      </w:r>
      <w:r w:rsidR="00D93C38" w:rsidRPr="00986937">
        <w:rPr>
          <w:rFonts w:hint="cs"/>
          <w:sz w:val="22"/>
          <w:szCs w:val="22"/>
          <w:rtl/>
        </w:rPr>
        <w:t>ו</w:t>
      </w:r>
      <w:r w:rsidRPr="00986937">
        <w:rPr>
          <w:rFonts w:hint="cs"/>
          <w:sz w:val="22"/>
          <w:szCs w:val="22"/>
          <w:rtl/>
        </w:rPr>
        <w:t>מי קובע שכך תהיה הסמכות, שכך ייעשה המינוי? ...</w:t>
      </w:r>
    </w:p>
    <w:p w:rsidR="00D93C38" w:rsidRPr="00986937" w:rsidRDefault="00D93C38" w:rsidP="00C4540A">
      <w:pPr>
        <w:ind w:left="2160"/>
        <w:rPr>
          <w:sz w:val="22"/>
          <w:szCs w:val="22"/>
          <w:rtl/>
        </w:rPr>
      </w:pPr>
    </w:p>
    <w:p w:rsidR="00C4540A" w:rsidRPr="00986937" w:rsidRDefault="00C4540A" w:rsidP="00C4540A">
      <w:pPr>
        <w:pStyle w:val="T-body"/>
        <w:spacing w:line="240" w:lineRule="auto"/>
        <w:rPr>
          <w:rFonts w:ascii="Arial" w:hAnsi="Arial" w:cs="Arial"/>
          <w:b/>
          <w:bCs/>
          <w:sz w:val="22"/>
          <w:szCs w:val="22"/>
          <w:rtl/>
        </w:rPr>
      </w:pPr>
      <w:r w:rsidRPr="00986937">
        <w:rPr>
          <w:rFonts w:ascii="Arial" w:hAnsi="Arial" w:cs="Arial" w:hint="cs"/>
          <w:b/>
          <w:bCs/>
          <w:sz w:val="22"/>
          <w:szCs w:val="22"/>
          <w:rtl/>
        </w:rPr>
        <w:t>=-=</w:t>
      </w:r>
    </w:p>
    <w:p w:rsidR="00C4540A" w:rsidRPr="00986937" w:rsidRDefault="00C4540A" w:rsidP="00C4540A">
      <w:pPr>
        <w:pStyle w:val="T-body"/>
        <w:spacing w:after="120" w:line="240" w:lineRule="auto"/>
        <w:jc w:val="center"/>
        <w:rPr>
          <w:rFonts w:ascii="Arial" w:hAnsi="Arial" w:cs="Arial"/>
          <w:b/>
          <w:bCs/>
          <w:sz w:val="22"/>
          <w:szCs w:val="22"/>
          <w:rtl/>
        </w:rPr>
      </w:pPr>
      <w:r w:rsidRPr="00986937">
        <w:rPr>
          <w:rFonts w:ascii="Arial" w:hAnsi="Arial" w:cs="Arial" w:hint="cs"/>
          <w:b/>
          <w:bCs/>
          <w:sz w:val="22"/>
          <w:szCs w:val="22"/>
          <w:rtl/>
        </w:rPr>
        <w:t>מהו הדימיון, מהו השוני, בין הנורמות המופיעות להלן?</w:t>
      </w:r>
    </w:p>
    <w:p w:rsidR="00C4540A" w:rsidRPr="00986937" w:rsidRDefault="00C4540A" w:rsidP="00C4540A">
      <w:pPr>
        <w:pStyle w:val="T-body"/>
        <w:spacing w:after="120" w:line="240" w:lineRule="auto"/>
        <w:ind w:left="720"/>
        <w:rPr>
          <w:rFonts w:cs="David"/>
          <w:b/>
          <w:bCs/>
          <w:sz w:val="22"/>
          <w:szCs w:val="22"/>
          <w:rtl/>
        </w:rPr>
      </w:pPr>
      <w:r w:rsidRPr="00986937">
        <w:rPr>
          <w:rFonts w:cs="David" w:hint="cs"/>
          <w:b/>
          <w:bCs/>
          <w:sz w:val="22"/>
          <w:szCs w:val="22"/>
          <w:highlight w:val="yellow"/>
          <w:rtl/>
        </w:rPr>
        <w:t>חוק יסוד: הכנסת</w:t>
      </w:r>
    </w:p>
    <w:p w:rsidR="00C4540A" w:rsidRPr="00986937" w:rsidRDefault="00C4540A" w:rsidP="00C4540A">
      <w:pPr>
        <w:pStyle w:val="T-body"/>
        <w:spacing w:line="240" w:lineRule="auto"/>
        <w:rPr>
          <w:rFonts w:cs="David"/>
          <w:sz w:val="22"/>
          <w:szCs w:val="22"/>
          <w:rtl/>
        </w:rPr>
      </w:pPr>
      <w:r w:rsidRPr="00986937">
        <w:rPr>
          <w:rFonts w:cs="David" w:hint="cs"/>
          <w:sz w:val="22"/>
          <w:szCs w:val="22"/>
          <w:rtl/>
        </w:rPr>
        <w:tab/>
      </w:r>
      <w:r w:rsidRPr="00986937">
        <w:rPr>
          <w:rFonts w:cs="David"/>
          <w:sz w:val="22"/>
          <w:szCs w:val="22"/>
          <w:rtl/>
        </w:rPr>
        <w:t xml:space="preserve">1. </w:t>
      </w:r>
      <w:r w:rsidRPr="00986937">
        <w:rPr>
          <w:rFonts w:cs="David" w:hint="cs"/>
          <w:sz w:val="22"/>
          <w:szCs w:val="22"/>
          <w:rtl/>
        </w:rPr>
        <w:t>[</w:t>
      </w:r>
      <w:r w:rsidRPr="00986937">
        <w:rPr>
          <w:rFonts w:cs="David"/>
          <w:sz w:val="22"/>
          <w:szCs w:val="22"/>
          <w:rtl/>
        </w:rPr>
        <w:t>המהות</w:t>
      </w:r>
      <w:r w:rsidRPr="00986937">
        <w:rPr>
          <w:rFonts w:cs="David" w:hint="cs"/>
          <w:sz w:val="22"/>
          <w:szCs w:val="22"/>
          <w:rtl/>
        </w:rPr>
        <w:t>]</w:t>
      </w:r>
      <w:r w:rsidRPr="00986937">
        <w:rPr>
          <w:rFonts w:cs="David"/>
          <w:sz w:val="22"/>
          <w:szCs w:val="22"/>
          <w:rtl/>
        </w:rPr>
        <w:t xml:space="preserve"> </w:t>
      </w:r>
    </w:p>
    <w:p w:rsidR="00C4540A" w:rsidRPr="00986937" w:rsidRDefault="00C4540A" w:rsidP="00C4540A">
      <w:pPr>
        <w:pStyle w:val="T-body"/>
        <w:spacing w:after="120" w:line="240" w:lineRule="auto"/>
        <w:rPr>
          <w:rFonts w:cs="David"/>
          <w:sz w:val="22"/>
          <w:szCs w:val="22"/>
          <w:rtl/>
        </w:rPr>
      </w:pPr>
      <w:r w:rsidRPr="00986937">
        <w:rPr>
          <w:rFonts w:cs="David"/>
          <w:sz w:val="22"/>
          <w:szCs w:val="22"/>
          <w:rtl/>
        </w:rPr>
        <w:t>הכנסת היא בית הנבחרים של המדינה.</w:t>
      </w:r>
    </w:p>
    <w:p w:rsidR="00C4540A" w:rsidRPr="00986937" w:rsidRDefault="00C4540A" w:rsidP="00C4540A">
      <w:pPr>
        <w:pStyle w:val="T-body"/>
        <w:spacing w:line="240" w:lineRule="auto"/>
        <w:rPr>
          <w:rFonts w:cs="David"/>
          <w:sz w:val="22"/>
          <w:szCs w:val="22"/>
          <w:rtl/>
        </w:rPr>
      </w:pPr>
      <w:r w:rsidRPr="00986937">
        <w:rPr>
          <w:rFonts w:cs="David" w:hint="cs"/>
          <w:sz w:val="22"/>
          <w:szCs w:val="22"/>
          <w:rtl/>
        </w:rPr>
        <w:tab/>
      </w:r>
      <w:r w:rsidRPr="00986937">
        <w:rPr>
          <w:rFonts w:cs="David"/>
          <w:sz w:val="22"/>
          <w:szCs w:val="22"/>
          <w:rtl/>
        </w:rPr>
        <w:t xml:space="preserve">4. </w:t>
      </w:r>
      <w:r w:rsidRPr="00986937">
        <w:rPr>
          <w:rFonts w:cs="David" w:hint="cs"/>
          <w:sz w:val="22"/>
          <w:szCs w:val="22"/>
          <w:rtl/>
        </w:rPr>
        <w:t>[</w:t>
      </w:r>
      <w:r w:rsidRPr="00986937">
        <w:rPr>
          <w:rFonts w:cs="David"/>
          <w:sz w:val="22"/>
          <w:szCs w:val="22"/>
          <w:rtl/>
        </w:rPr>
        <w:t>שיטת הבחירות</w:t>
      </w:r>
      <w:r w:rsidRPr="00986937">
        <w:rPr>
          <w:rFonts w:cs="David" w:hint="cs"/>
          <w:sz w:val="22"/>
          <w:szCs w:val="22"/>
          <w:rtl/>
        </w:rPr>
        <w:t>]</w:t>
      </w:r>
    </w:p>
    <w:p w:rsidR="00C4540A" w:rsidRPr="00986937" w:rsidRDefault="00C4540A" w:rsidP="00C4540A">
      <w:pPr>
        <w:pStyle w:val="T-body"/>
        <w:spacing w:after="120" w:line="240" w:lineRule="auto"/>
        <w:rPr>
          <w:rFonts w:cs="David"/>
          <w:sz w:val="22"/>
          <w:szCs w:val="22"/>
          <w:rtl/>
        </w:rPr>
      </w:pPr>
      <w:r w:rsidRPr="00986937">
        <w:rPr>
          <w:rFonts w:cs="David"/>
          <w:sz w:val="22"/>
          <w:szCs w:val="22"/>
          <w:rtl/>
        </w:rPr>
        <w:t>הכנסת תיבחר בבחירות כלליות, ארציות, ישירות, שוות, חשאיות ויחסיות, לפי חוק הבחירות לכנסת; אין לשנות סעיף זה, אלא ברוב של חברי הכנסת.</w:t>
      </w:r>
    </w:p>
    <w:p w:rsidR="00C4540A" w:rsidRPr="00986937" w:rsidRDefault="00C4540A" w:rsidP="00C4540A">
      <w:pPr>
        <w:pStyle w:val="T-body"/>
        <w:spacing w:line="240" w:lineRule="auto"/>
        <w:ind w:left="720"/>
        <w:rPr>
          <w:rFonts w:cs="David"/>
          <w:sz w:val="22"/>
          <w:szCs w:val="22"/>
          <w:rtl/>
        </w:rPr>
      </w:pPr>
      <w:r w:rsidRPr="00986937">
        <w:rPr>
          <w:rFonts w:cs="David"/>
          <w:sz w:val="22"/>
          <w:szCs w:val="22"/>
          <w:rtl/>
        </w:rPr>
        <w:t xml:space="preserve">5. </w:t>
      </w:r>
      <w:r w:rsidRPr="00986937">
        <w:rPr>
          <w:rFonts w:cs="David" w:hint="cs"/>
          <w:sz w:val="22"/>
          <w:szCs w:val="22"/>
          <w:rtl/>
        </w:rPr>
        <w:t>[</w:t>
      </w:r>
      <w:r w:rsidRPr="00986937">
        <w:rPr>
          <w:rFonts w:cs="David"/>
          <w:sz w:val="22"/>
          <w:szCs w:val="22"/>
          <w:rtl/>
        </w:rPr>
        <w:t>הזכות לבחור</w:t>
      </w:r>
      <w:r w:rsidRPr="00986937">
        <w:rPr>
          <w:rFonts w:cs="David" w:hint="cs"/>
          <w:sz w:val="22"/>
          <w:szCs w:val="22"/>
          <w:rtl/>
        </w:rPr>
        <w:t>]</w:t>
      </w:r>
    </w:p>
    <w:p w:rsidR="00C4540A" w:rsidRPr="00986937" w:rsidRDefault="00C4540A" w:rsidP="00C4540A">
      <w:pPr>
        <w:pStyle w:val="T-body"/>
        <w:spacing w:after="120" w:line="240" w:lineRule="auto"/>
        <w:rPr>
          <w:rFonts w:cs="David"/>
          <w:sz w:val="22"/>
          <w:szCs w:val="22"/>
          <w:rtl/>
        </w:rPr>
      </w:pPr>
      <w:r w:rsidRPr="00986937">
        <w:rPr>
          <w:rFonts w:cs="David"/>
          <w:sz w:val="22"/>
          <w:szCs w:val="22"/>
          <w:rtl/>
        </w:rPr>
        <w:t xml:space="preserve"> כל  אזרח  ישראלי  בן  שמונה  עשרה שנה ומעלה זכאי לבחור לכנסת, אם בית-משפט לא</w:t>
      </w:r>
      <w:r w:rsidRPr="00986937">
        <w:rPr>
          <w:rFonts w:cs="David" w:hint="cs"/>
          <w:sz w:val="22"/>
          <w:szCs w:val="22"/>
          <w:rtl/>
        </w:rPr>
        <w:t xml:space="preserve"> </w:t>
      </w:r>
      <w:r w:rsidRPr="00986937">
        <w:rPr>
          <w:rFonts w:cs="David"/>
          <w:sz w:val="22"/>
          <w:szCs w:val="22"/>
          <w:rtl/>
        </w:rPr>
        <w:t xml:space="preserve"> שלל  ממנו  זכות  זו  על  פי  חוק; חוק הבחירות יקבע את המועד שבו ייחשב אדם בן שמונה עשרה שנה לענין השימוש בזכות הבחירה לכנסת.</w:t>
      </w:r>
    </w:p>
    <w:p w:rsidR="00C4540A" w:rsidRPr="00986937" w:rsidRDefault="00C4540A" w:rsidP="00C4540A">
      <w:pPr>
        <w:pStyle w:val="T-body"/>
        <w:spacing w:line="240" w:lineRule="auto"/>
        <w:rPr>
          <w:rFonts w:cs="David"/>
          <w:sz w:val="22"/>
          <w:szCs w:val="22"/>
          <w:rtl/>
        </w:rPr>
      </w:pPr>
      <w:r w:rsidRPr="00986937">
        <w:rPr>
          <w:rFonts w:cs="David" w:hint="cs"/>
          <w:sz w:val="22"/>
          <w:szCs w:val="22"/>
          <w:rtl/>
        </w:rPr>
        <w:tab/>
      </w:r>
      <w:r w:rsidRPr="00986937">
        <w:rPr>
          <w:rFonts w:cs="David"/>
          <w:sz w:val="22"/>
          <w:szCs w:val="22"/>
          <w:rtl/>
        </w:rPr>
        <w:t xml:space="preserve">25. </w:t>
      </w:r>
      <w:r w:rsidRPr="00986937">
        <w:rPr>
          <w:rFonts w:cs="David" w:hint="cs"/>
          <w:sz w:val="22"/>
          <w:szCs w:val="22"/>
          <w:rtl/>
        </w:rPr>
        <w:t>[</w:t>
      </w:r>
      <w:r w:rsidRPr="00986937">
        <w:rPr>
          <w:rFonts w:cs="David"/>
          <w:sz w:val="22"/>
          <w:szCs w:val="22"/>
          <w:rtl/>
        </w:rPr>
        <w:t>רוב</w:t>
      </w:r>
      <w:r w:rsidRPr="00986937">
        <w:rPr>
          <w:rFonts w:cs="David" w:hint="cs"/>
          <w:sz w:val="22"/>
          <w:szCs w:val="22"/>
          <w:rtl/>
        </w:rPr>
        <w:t>]</w:t>
      </w:r>
    </w:p>
    <w:p w:rsidR="00C4540A" w:rsidRPr="00986937" w:rsidRDefault="00C4540A" w:rsidP="00C4540A">
      <w:pPr>
        <w:pStyle w:val="T-body"/>
        <w:spacing w:line="240" w:lineRule="auto"/>
        <w:rPr>
          <w:rFonts w:cs="David"/>
          <w:sz w:val="22"/>
          <w:szCs w:val="22"/>
          <w:rtl/>
        </w:rPr>
      </w:pPr>
      <w:r w:rsidRPr="00986937">
        <w:rPr>
          <w:rFonts w:cs="David"/>
          <w:sz w:val="22"/>
          <w:szCs w:val="22"/>
          <w:rtl/>
        </w:rPr>
        <w:t xml:space="preserve"> הכנסת  תחליט  ברוב  דעות  של  המשתתפים  בהצבעה, כשהנמנעים  אינם  באים במנין המשתתפים בהצבעה;</w:t>
      </w:r>
      <w:r w:rsidRPr="00986937">
        <w:rPr>
          <w:rFonts w:cs="David" w:hint="cs"/>
          <w:sz w:val="22"/>
          <w:szCs w:val="22"/>
          <w:rtl/>
        </w:rPr>
        <w:t xml:space="preserve"> </w:t>
      </w:r>
      <w:r w:rsidRPr="00986937">
        <w:rPr>
          <w:rFonts w:cs="David"/>
          <w:sz w:val="22"/>
          <w:szCs w:val="22"/>
          <w:rtl/>
        </w:rPr>
        <w:t>סדרי ההצבעה ייקבעו בתקנון; והכל כשאין בחוק הוראה אחרת לענין זה.</w:t>
      </w:r>
    </w:p>
    <w:p w:rsidR="00C4540A" w:rsidRPr="00986937" w:rsidRDefault="00C4540A" w:rsidP="00C4540A">
      <w:pPr>
        <w:pStyle w:val="T-body"/>
        <w:spacing w:line="240" w:lineRule="auto"/>
        <w:rPr>
          <w:rFonts w:cs="David"/>
          <w:sz w:val="22"/>
          <w:szCs w:val="22"/>
          <w:rtl/>
        </w:rPr>
      </w:pPr>
    </w:p>
    <w:p w:rsidR="00C4540A" w:rsidRPr="00986937" w:rsidRDefault="00C4540A" w:rsidP="00C4540A">
      <w:pPr>
        <w:pStyle w:val="T-body"/>
        <w:spacing w:line="240" w:lineRule="auto"/>
        <w:rPr>
          <w:rFonts w:ascii="Arial" w:hAnsi="Arial" w:cs="Arial"/>
          <w:sz w:val="22"/>
          <w:szCs w:val="22"/>
          <w:rtl/>
        </w:rPr>
      </w:pPr>
    </w:p>
    <w:p w:rsidR="00C4540A" w:rsidRPr="00986937" w:rsidRDefault="00C4540A" w:rsidP="00C4540A">
      <w:pPr>
        <w:spacing w:after="120"/>
        <w:ind w:left="720"/>
        <w:rPr>
          <w:rFonts w:cs="David"/>
          <w:b/>
          <w:bCs/>
          <w:sz w:val="22"/>
          <w:szCs w:val="22"/>
          <w:rtl/>
        </w:rPr>
      </w:pPr>
      <w:r w:rsidRPr="00986937">
        <w:rPr>
          <w:rFonts w:cs="David"/>
          <w:b/>
          <w:bCs/>
          <w:sz w:val="22"/>
          <w:szCs w:val="22"/>
          <w:highlight w:val="yellow"/>
          <w:rtl/>
        </w:rPr>
        <w:t>חוק יסוד: כבוד האדם וחירותו</w:t>
      </w:r>
    </w:p>
    <w:p w:rsidR="00AA403D" w:rsidRPr="00AA403D" w:rsidRDefault="00AA403D" w:rsidP="00AA403D">
      <w:pPr>
        <w:spacing w:after="120"/>
        <w:ind w:left="455" w:hanging="227"/>
        <w:rPr>
          <w:rFonts w:cs="David"/>
          <w:sz w:val="22"/>
          <w:szCs w:val="22"/>
          <w:rtl/>
        </w:rPr>
      </w:pPr>
      <w:r>
        <w:rPr>
          <w:rFonts w:cs="David" w:hint="cs"/>
          <w:sz w:val="22"/>
          <w:szCs w:val="22"/>
          <w:rtl/>
        </w:rPr>
        <w:t xml:space="preserve">1. </w:t>
      </w:r>
      <w:r w:rsidRPr="00AA403D">
        <w:rPr>
          <w:rFonts w:cs="David"/>
          <w:sz w:val="22"/>
          <w:szCs w:val="22"/>
          <w:rtl/>
        </w:rPr>
        <w:t>זכויות היסוד של האדם בישראל מושתתות על ההכרה בערך האדם, בקדושת חייו ובהיותו בן-חורין, והן יכובדו ברוח העקרונות שבהכרזה על הקמת מדינת ישראל.</w:t>
      </w:r>
    </w:p>
    <w:p w:rsidR="00C4540A" w:rsidRPr="00986937" w:rsidRDefault="00C4540A" w:rsidP="00C4540A">
      <w:pPr>
        <w:spacing w:after="120"/>
        <w:ind w:left="228" w:hanging="227"/>
        <w:rPr>
          <w:rFonts w:cs="David"/>
          <w:sz w:val="22"/>
          <w:szCs w:val="22"/>
          <w:rtl/>
        </w:rPr>
      </w:pPr>
      <w:r w:rsidRPr="00986937">
        <w:rPr>
          <w:rFonts w:cs="David" w:hint="cs"/>
          <w:sz w:val="22"/>
          <w:szCs w:val="22"/>
          <w:rtl/>
        </w:rPr>
        <w:tab/>
        <w:t xml:space="preserve">2. </w:t>
      </w:r>
      <w:r w:rsidRPr="00986937">
        <w:rPr>
          <w:rFonts w:cs="David"/>
          <w:sz w:val="22"/>
          <w:szCs w:val="22"/>
          <w:rtl/>
        </w:rPr>
        <w:t>אין פוגעים בחייו, בגופו, או בכבודו של אדם באשר הוא אדם.</w:t>
      </w:r>
    </w:p>
    <w:p w:rsidR="00C4540A" w:rsidRPr="00986937" w:rsidRDefault="00C4540A" w:rsidP="00C4540A">
      <w:pPr>
        <w:spacing w:after="120"/>
        <w:ind w:left="456" w:hanging="227"/>
        <w:rPr>
          <w:rFonts w:cs="David"/>
          <w:sz w:val="22"/>
          <w:szCs w:val="22"/>
          <w:rtl/>
        </w:rPr>
      </w:pPr>
      <w:r w:rsidRPr="00986937">
        <w:rPr>
          <w:rFonts w:cs="David" w:hint="cs"/>
          <w:sz w:val="22"/>
          <w:szCs w:val="22"/>
          <w:rtl/>
        </w:rPr>
        <w:t xml:space="preserve">4. </w:t>
      </w:r>
      <w:r w:rsidRPr="00986937">
        <w:rPr>
          <w:rFonts w:cs="David"/>
          <w:sz w:val="22"/>
          <w:szCs w:val="22"/>
          <w:rtl/>
        </w:rPr>
        <w:t>כל אדם זכאי להגנה על חייו, על גופו ועל כבודו.</w:t>
      </w:r>
    </w:p>
    <w:p w:rsidR="00C4540A" w:rsidRDefault="00C4540A" w:rsidP="00C4540A">
      <w:pPr>
        <w:spacing w:after="120"/>
        <w:ind w:left="456" w:hanging="227"/>
        <w:rPr>
          <w:rFonts w:cs="David"/>
          <w:sz w:val="22"/>
          <w:szCs w:val="22"/>
          <w:rtl/>
        </w:rPr>
      </w:pPr>
      <w:r w:rsidRPr="00986937">
        <w:rPr>
          <w:rFonts w:cs="David"/>
          <w:sz w:val="22"/>
          <w:szCs w:val="22"/>
          <w:rtl/>
        </w:rPr>
        <w:t>5. אין נוטלים ואין מגבילים את חירותו של אדם במאסר, במעצר, בהסגרה או בכל דרך אחרת.</w:t>
      </w:r>
    </w:p>
    <w:p w:rsidR="00AA403D" w:rsidRDefault="00AA403D" w:rsidP="00C4540A">
      <w:pPr>
        <w:spacing w:after="120"/>
        <w:ind w:left="456" w:hanging="227"/>
        <w:rPr>
          <w:rFonts w:cs="David"/>
          <w:sz w:val="22"/>
          <w:szCs w:val="22"/>
          <w:rtl/>
        </w:rPr>
      </w:pPr>
      <w:r>
        <w:rPr>
          <w:rFonts w:cs="David" w:hint="cs"/>
          <w:sz w:val="22"/>
          <w:szCs w:val="22"/>
          <w:rtl/>
        </w:rPr>
        <w:t>6. (א) כל אדם חופשי לצאת מישראל.</w:t>
      </w:r>
    </w:p>
    <w:p w:rsidR="00AA403D" w:rsidRPr="00986937" w:rsidRDefault="00AA403D" w:rsidP="00AA403D">
      <w:pPr>
        <w:spacing w:after="120"/>
        <w:ind w:left="683" w:hanging="227"/>
        <w:rPr>
          <w:rFonts w:cs="David"/>
          <w:sz w:val="22"/>
          <w:szCs w:val="22"/>
          <w:rtl/>
        </w:rPr>
      </w:pPr>
      <w:r>
        <w:rPr>
          <w:rFonts w:cs="David" w:hint="cs"/>
          <w:sz w:val="22"/>
          <w:szCs w:val="22"/>
          <w:rtl/>
        </w:rPr>
        <w:t>(ב) כל אזרח ישראלי הנמצא בחוץ לארץ זכאי להיכנס לישראל</w:t>
      </w:r>
    </w:p>
    <w:p w:rsidR="00C4540A" w:rsidRPr="00986937" w:rsidRDefault="00C4540A" w:rsidP="00C4540A">
      <w:pPr>
        <w:spacing w:after="120"/>
        <w:ind w:left="456" w:hanging="227"/>
        <w:rPr>
          <w:rFonts w:cs="David"/>
          <w:sz w:val="22"/>
          <w:szCs w:val="22"/>
          <w:rtl/>
        </w:rPr>
      </w:pPr>
      <w:r w:rsidRPr="00986937">
        <w:rPr>
          <w:rFonts w:cs="David" w:hint="cs"/>
          <w:sz w:val="22"/>
          <w:szCs w:val="22"/>
          <w:rtl/>
        </w:rPr>
        <w:t>...</w:t>
      </w:r>
    </w:p>
    <w:p w:rsidR="00C4540A" w:rsidRPr="00986937" w:rsidRDefault="00C4540A" w:rsidP="00C4540A">
      <w:pPr>
        <w:ind w:left="456" w:hanging="228"/>
        <w:rPr>
          <w:rFonts w:cs="David"/>
          <w:sz w:val="22"/>
          <w:szCs w:val="22"/>
          <w:rtl/>
        </w:rPr>
      </w:pPr>
      <w:r w:rsidRPr="00986937">
        <w:rPr>
          <w:rFonts w:cs="David"/>
          <w:sz w:val="22"/>
          <w:szCs w:val="22"/>
          <w:rtl/>
        </w:rPr>
        <w:t>8. אין פוגעים בזכויות שלפי חוק-יסוד זה אלא בחוק ההולם את ערכיה של מדינת ישראל, שנועד לתכלית ראויה, ובמידה שאינה עולה על הנדרש או לפי חוק כאמור מכוח הסמכה מפורשת בו.</w:t>
      </w:r>
    </w:p>
    <w:p w:rsidR="00C4540A" w:rsidRPr="00986937" w:rsidRDefault="00C4540A" w:rsidP="00C4540A">
      <w:pPr>
        <w:rPr>
          <w:rFonts w:cs="David"/>
          <w:sz w:val="22"/>
          <w:szCs w:val="22"/>
          <w:rtl/>
        </w:rPr>
      </w:pPr>
    </w:p>
    <w:p w:rsidR="00C4540A" w:rsidRPr="00986937" w:rsidRDefault="00C4540A" w:rsidP="00C4540A">
      <w:pPr>
        <w:rPr>
          <w:rFonts w:cs="David"/>
          <w:sz w:val="22"/>
          <w:szCs w:val="22"/>
          <w:rtl/>
        </w:rPr>
      </w:pPr>
    </w:p>
    <w:p w:rsidR="00C4540A" w:rsidRPr="00986937" w:rsidRDefault="00C4540A" w:rsidP="00C4540A">
      <w:pPr>
        <w:pStyle w:val="T-body"/>
        <w:spacing w:line="240" w:lineRule="auto"/>
        <w:ind w:left="720"/>
        <w:rPr>
          <w:rFonts w:cs="David"/>
          <w:sz w:val="22"/>
          <w:szCs w:val="22"/>
          <w:rtl/>
        </w:rPr>
      </w:pPr>
      <w:r w:rsidRPr="00986937">
        <w:rPr>
          <w:rFonts w:cs="David"/>
          <w:b/>
          <w:bCs/>
          <w:sz w:val="22"/>
          <w:szCs w:val="22"/>
          <w:highlight w:val="yellow"/>
          <w:rtl/>
        </w:rPr>
        <w:t>חוק העונשין, תשל"ז-1977</w:t>
      </w:r>
      <w:r w:rsidRPr="00986937">
        <w:rPr>
          <w:rFonts w:cs="David"/>
          <w:sz w:val="22"/>
          <w:szCs w:val="22"/>
          <w:rtl/>
        </w:rPr>
        <w:t xml:space="preserve"> </w:t>
      </w:r>
    </w:p>
    <w:p w:rsidR="00C4540A" w:rsidRPr="00986937" w:rsidRDefault="00C4540A" w:rsidP="00C4540A">
      <w:pPr>
        <w:pStyle w:val="T-body"/>
        <w:spacing w:line="240" w:lineRule="auto"/>
        <w:rPr>
          <w:rFonts w:cs="David"/>
          <w:sz w:val="22"/>
          <w:szCs w:val="22"/>
          <w:rtl/>
        </w:rPr>
      </w:pPr>
      <w:r w:rsidRPr="00986937">
        <w:rPr>
          <w:rFonts w:cs="David"/>
          <w:sz w:val="22"/>
          <w:szCs w:val="22"/>
          <w:rtl/>
        </w:rPr>
        <w:t xml:space="preserve">300. </w:t>
      </w:r>
      <w:r w:rsidRPr="00986937">
        <w:rPr>
          <w:rFonts w:cs="David" w:hint="cs"/>
          <w:sz w:val="22"/>
          <w:szCs w:val="22"/>
          <w:rtl/>
        </w:rPr>
        <w:t>[</w:t>
      </w:r>
      <w:r w:rsidRPr="00986937">
        <w:rPr>
          <w:rFonts w:cs="David"/>
          <w:sz w:val="22"/>
          <w:szCs w:val="22"/>
          <w:rtl/>
        </w:rPr>
        <w:t>רצח</w:t>
      </w:r>
      <w:r w:rsidRPr="00986937">
        <w:rPr>
          <w:rFonts w:cs="David" w:hint="cs"/>
          <w:sz w:val="22"/>
          <w:szCs w:val="22"/>
          <w:rtl/>
        </w:rPr>
        <w:t>]</w:t>
      </w:r>
    </w:p>
    <w:p w:rsidR="00C4540A" w:rsidRPr="00986937" w:rsidRDefault="00C4540A" w:rsidP="00C4540A">
      <w:pPr>
        <w:pStyle w:val="T-body"/>
        <w:spacing w:line="240" w:lineRule="auto"/>
        <w:rPr>
          <w:rFonts w:cs="David"/>
          <w:sz w:val="22"/>
          <w:szCs w:val="22"/>
          <w:rtl/>
        </w:rPr>
      </w:pPr>
      <w:r w:rsidRPr="00986937">
        <w:rPr>
          <w:rFonts w:cs="David"/>
          <w:sz w:val="22"/>
          <w:szCs w:val="22"/>
          <w:rtl/>
        </w:rPr>
        <w:t xml:space="preserve"> (א) העושה אחת מאלה יאשם ברצח ודינו - מאסר עולם ועונש זה בלבד: </w:t>
      </w:r>
      <w:r w:rsidRPr="00986937">
        <w:rPr>
          <w:rFonts w:cs="David" w:hint="cs"/>
          <w:sz w:val="22"/>
          <w:szCs w:val="22"/>
          <w:rtl/>
        </w:rPr>
        <w:t>[...]</w:t>
      </w:r>
      <w:r w:rsidRPr="00986937">
        <w:rPr>
          <w:rFonts w:cs="David"/>
          <w:sz w:val="22"/>
          <w:szCs w:val="22"/>
          <w:rtl/>
        </w:rPr>
        <w:t xml:space="preserve">; </w:t>
      </w:r>
    </w:p>
    <w:p w:rsidR="00C4540A" w:rsidRPr="00986937" w:rsidRDefault="00C4540A" w:rsidP="00C4540A">
      <w:pPr>
        <w:pStyle w:val="T-body"/>
        <w:spacing w:line="240" w:lineRule="auto"/>
        <w:ind w:left="720"/>
        <w:rPr>
          <w:rFonts w:cs="David"/>
          <w:sz w:val="22"/>
          <w:szCs w:val="22"/>
          <w:rtl/>
        </w:rPr>
      </w:pPr>
      <w:r w:rsidRPr="00986937">
        <w:rPr>
          <w:rFonts w:cs="David"/>
          <w:sz w:val="22"/>
          <w:szCs w:val="22"/>
          <w:rtl/>
        </w:rPr>
        <w:t xml:space="preserve">(2) גורם בכוונה תחילה למותו של אדם; </w:t>
      </w:r>
      <w:r w:rsidRPr="00986937">
        <w:rPr>
          <w:rFonts w:cs="David" w:hint="cs"/>
          <w:sz w:val="22"/>
          <w:szCs w:val="22"/>
          <w:rtl/>
        </w:rPr>
        <w:t>[...]</w:t>
      </w:r>
    </w:p>
    <w:p w:rsidR="00C4540A" w:rsidRPr="00986937" w:rsidRDefault="00C4540A" w:rsidP="00C4540A">
      <w:pPr>
        <w:pStyle w:val="T-body"/>
        <w:spacing w:line="240" w:lineRule="auto"/>
        <w:ind w:left="720"/>
        <w:rPr>
          <w:rFonts w:cs="David"/>
          <w:sz w:val="22"/>
          <w:szCs w:val="22"/>
          <w:rtl/>
        </w:rPr>
      </w:pPr>
    </w:p>
    <w:p w:rsidR="00C4540A" w:rsidRPr="00986937" w:rsidRDefault="00C4540A" w:rsidP="00C4540A">
      <w:pPr>
        <w:pStyle w:val="T-body"/>
        <w:spacing w:line="240" w:lineRule="auto"/>
        <w:ind w:left="720"/>
        <w:rPr>
          <w:rFonts w:cs="David"/>
          <w:sz w:val="22"/>
          <w:szCs w:val="22"/>
          <w:rtl/>
        </w:rPr>
      </w:pPr>
    </w:p>
    <w:p w:rsidR="00C4540A" w:rsidRPr="00986937" w:rsidRDefault="00C4540A" w:rsidP="00C4540A">
      <w:pPr>
        <w:pStyle w:val="T-body"/>
        <w:spacing w:line="240" w:lineRule="auto"/>
        <w:ind w:left="720"/>
        <w:rPr>
          <w:rFonts w:cs="David"/>
          <w:b/>
          <w:bCs/>
          <w:sz w:val="22"/>
          <w:szCs w:val="22"/>
          <w:rtl/>
        </w:rPr>
      </w:pPr>
      <w:r w:rsidRPr="00986937">
        <w:rPr>
          <w:rFonts w:cs="David"/>
          <w:b/>
          <w:bCs/>
          <w:sz w:val="22"/>
          <w:szCs w:val="22"/>
          <w:highlight w:val="yellow"/>
          <w:rtl/>
        </w:rPr>
        <w:t>חוק החוזים (חלק כללי), תשל"ג-1973</w:t>
      </w:r>
      <w:r w:rsidRPr="00986937">
        <w:rPr>
          <w:rFonts w:cs="David"/>
          <w:b/>
          <w:bCs/>
          <w:sz w:val="22"/>
          <w:szCs w:val="22"/>
          <w:rtl/>
        </w:rPr>
        <w:t xml:space="preserve">  </w:t>
      </w:r>
    </w:p>
    <w:p w:rsidR="00C4540A" w:rsidRPr="00986937" w:rsidRDefault="00C4540A" w:rsidP="00C4540A">
      <w:pPr>
        <w:pStyle w:val="T-body"/>
        <w:spacing w:line="240" w:lineRule="auto"/>
        <w:rPr>
          <w:rFonts w:cs="David"/>
          <w:sz w:val="22"/>
          <w:szCs w:val="22"/>
          <w:rtl/>
        </w:rPr>
      </w:pPr>
      <w:r w:rsidRPr="00986937">
        <w:rPr>
          <w:rFonts w:cs="David" w:hint="cs"/>
          <w:sz w:val="22"/>
          <w:szCs w:val="22"/>
          <w:rtl/>
        </w:rPr>
        <w:t>1. [</w:t>
      </w:r>
      <w:r w:rsidRPr="00986937">
        <w:rPr>
          <w:rFonts w:cs="David"/>
          <w:sz w:val="22"/>
          <w:szCs w:val="22"/>
          <w:rtl/>
        </w:rPr>
        <w:t>כריתת החוזה</w:t>
      </w:r>
      <w:r w:rsidRPr="00986937">
        <w:rPr>
          <w:rFonts w:cs="David" w:hint="cs"/>
          <w:sz w:val="22"/>
          <w:szCs w:val="22"/>
          <w:rtl/>
        </w:rPr>
        <w:t xml:space="preserve"> </w:t>
      </w:r>
      <w:r w:rsidRPr="00986937">
        <w:rPr>
          <w:rFonts w:cs="David"/>
          <w:sz w:val="22"/>
          <w:szCs w:val="22"/>
          <w:rtl/>
        </w:rPr>
        <w:t>–</w:t>
      </w:r>
      <w:r w:rsidRPr="00986937">
        <w:rPr>
          <w:rFonts w:cs="David" w:hint="cs"/>
          <w:sz w:val="22"/>
          <w:szCs w:val="22"/>
          <w:rtl/>
        </w:rPr>
        <w:t xml:space="preserve"> כיצד]</w:t>
      </w:r>
    </w:p>
    <w:p w:rsidR="00C4540A" w:rsidRPr="00986937" w:rsidRDefault="00C4540A" w:rsidP="00C4540A">
      <w:pPr>
        <w:rPr>
          <w:rFonts w:cs="David"/>
          <w:sz w:val="22"/>
          <w:szCs w:val="22"/>
          <w:rtl/>
        </w:rPr>
      </w:pPr>
      <w:r w:rsidRPr="00986937">
        <w:rPr>
          <w:rFonts w:cs="David"/>
          <w:sz w:val="22"/>
          <w:szCs w:val="22"/>
          <w:rtl/>
        </w:rPr>
        <w:t xml:space="preserve"> חוזה נכרת בדרך של הצעה וקיבול לפי הוראות פרק זה</w:t>
      </w:r>
      <w:r w:rsidRPr="00986937">
        <w:rPr>
          <w:rFonts w:cs="David" w:hint="cs"/>
          <w:sz w:val="22"/>
          <w:szCs w:val="22"/>
          <w:rtl/>
        </w:rPr>
        <w:t>.</w:t>
      </w:r>
    </w:p>
    <w:p w:rsidR="00C4540A" w:rsidRPr="00986937" w:rsidRDefault="00C4540A" w:rsidP="00C4540A">
      <w:pPr>
        <w:rPr>
          <w:rFonts w:cs="David"/>
          <w:sz w:val="22"/>
          <w:szCs w:val="22"/>
          <w:rtl/>
        </w:rPr>
      </w:pPr>
    </w:p>
    <w:p w:rsidR="00C4540A" w:rsidRPr="00986937" w:rsidRDefault="00C4540A" w:rsidP="00C4540A">
      <w:pPr>
        <w:rPr>
          <w:rFonts w:cs="David"/>
          <w:sz w:val="22"/>
          <w:szCs w:val="22"/>
          <w:rtl/>
        </w:rPr>
      </w:pPr>
    </w:p>
    <w:p w:rsidR="00C4540A" w:rsidRPr="00986937" w:rsidRDefault="00C4540A" w:rsidP="00C4540A">
      <w:pPr>
        <w:ind w:left="720"/>
        <w:rPr>
          <w:rFonts w:cs="David"/>
          <w:b/>
          <w:bCs/>
          <w:sz w:val="22"/>
          <w:szCs w:val="22"/>
          <w:rtl/>
        </w:rPr>
      </w:pPr>
      <w:r w:rsidRPr="00986937">
        <w:rPr>
          <w:rFonts w:cs="David"/>
          <w:b/>
          <w:bCs/>
          <w:sz w:val="22"/>
          <w:szCs w:val="22"/>
          <w:highlight w:val="yellow"/>
          <w:rtl/>
        </w:rPr>
        <w:t>חוק המקרקעין, תשכ"ט-1969</w:t>
      </w:r>
      <w:r w:rsidRPr="00986937">
        <w:rPr>
          <w:rFonts w:cs="David"/>
          <w:b/>
          <w:bCs/>
          <w:sz w:val="22"/>
          <w:szCs w:val="22"/>
          <w:rtl/>
        </w:rPr>
        <w:t xml:space="preserve">  </w:t>
      </w:r>
    </w:p>
    <w:p w:rsidR="00C4540A" w:rsidRPr="00986937" w:rsidRDefault="00C4540A" w:rsidP="00C4540A">
      <w:pPr>
        <w:rPr>
          <w:rFonts w:cs="David"/>
          <w:sz w:val="22"/>
          <w:szCs w:val="22"/>
          <w:rtl/>
        </w:rPr>
      </w:pPr>
      <w:r w:rsidRPr="00986937">
        <w:rPr>
          <w:rFonts w:cs="David"/>
          <w:sz w:val="22"/>
          <w:szCs w:val="22"/>
          <w:rtl/>
        </w:rPr>
        <w:t xml:space="preserve"> 8. </w:t>
      </w:r>
      <w:r w:rsidRPr="00986937">
        <w:rPr>
          <w:rFonts w:cs="David" w:hint="cs"/>
          <w:sz w:val="22"/>
          <w:szCs w:val="22"/>
          <w:rtl/>
        </w:rPr>
        <w:t>[</w:t>
      </w:r>
      <w:r w:rsidRPr="00986937">
        <w:rPr>
          <w:rFonts w:cs="David"/>
          <w:sz w:val="22"/>
          <w:szCs w:val="22"/>
          <w:rtl/>
        </w:rPr>
        <w:t>צורתה של התחייבות</w:t>
      </w:r>
      <w:r w:rsidRPr="00986937">
        <w:rPr>
          <w:rFonts w:cs="David" w:hint="cs"/>
          <w:sz w:val="22"/>
          <w:szCs w:val="22"/>
          <w:rtl/>
        </w:rPr>
        <w:t>]</w:t>
      </w:r>
    </w:p>
    <w:p w:rsidR="00C4540A" w:rsidRPr="00986937" w:rsidRDefault="00C4540A" w:rsidP="00C4540A">
      <w:pPr>
        <w:rPr>
          <w:rFonts w:cs="David"/>
          <w:sz w:val="22"/>
          <w:szCs w:val="22"/>
          <w:rtl/>
        </w:rPr>
      </w:pPr>
      <w:r w:rsidRPr="00986937">
        <w:rPr>
          <w:rFonts w:cs="David"/>
          <w:sz w:val="22"/>
          <w:szCs w:val="22"/>
          <w:rtl/>
        </w:rPr>
        <w:t>התחייבות לעשות עסקה במקרקעין טעונה מסמך בכתב.</w:t>
      </w:r>
    </w:p>
    <w:p w:rsidR="00C4540A" w:rsidRPr="00986937" w:rsidRDefault="00C4540A" w:rsidP="00C4540A">
      <w:pPr>
        <w:rPr>
          <w:rFonts w:cs="David"/>
          <w:sz w:val="22"/>
          <w:szCs w:val="22"/>
          <w:rtl/>
        </w:rPr>
      </w:pPr>
    </w:p>
    <w:p w:rsidR="00C4540A" w:rsidRPr="00986937" w:rsidRDefault="00C4540A" w:rsidP="00C4540A">
      <w:pPr>
        <w:pStyle w:val="T-body"/>
        <w:spacing w:after="120" w:line="240" w:lineRule="auto"/>
        <w:ind w:left="3600"/>
        <w:rPr>
          <w:sz w:val="22"/>
          <w:szCs w:val="22"/>
          <w:rtl/>
        </w:rPr>
      </w:pPr>
      <w:r w:rsidRPr="00986937">
        <w:rPr>
          <w:rFonts w:hint="cs"/>
          <w:sz w:val="22"/>
          <w:szCs w:val="22"/>
          <w:rtl/>
        </w:rPr>
        <w:t>=-=</w:t>
      </w:r>
    </w:p>
    <w:p w:rsidR="007E5DAE" w:rsidRPr="00D71E41" w:rsidRDefault="007E5DAE" w:rsidP="00C4540A">
      <w:pPr>
        <w:pStyle w:val="T-body"/>
        <w:spacing w:after="120" w:line="240" w:lineRule="auto"/>
        <w:ind w:left="3600"/>
        <w:rPr>
          <w:sz w:val="26"/>
          <w:szCs w:val="26"/>
          <w:rtl/>
        </w:rPr>
      </w:pPr>
    </w:p>
    <w:p w:rsidR="00C4540A" w:rsidRPr="00D71E41" w:rsidRDefault="00C4540A" w:rsidP="00C4540A">
      <w:pPr>
        <w:pStyle w:val="T-body"/>
        <w:spacing w:after="120" w:line="240" w:lineRule="auto"/>
        <w:ind w:left="3600"/>
        <w:rPr>
          <w:rFonts w:cs="FrankRuehl"/>
          <w:b/>
          <w:bCs/>
          <w:sz w:val="26"/>
          <w:szCs w:val="26"/>
          <w:rtl/>
        </w:rPr>
      </w:pPr>
      <w:r w:rsidRPr="00D71E41">
        <w:rPr>
          <w:rFonts w:cs="FrankRuehl" w:hint="cs"/>
          <w:b/>
          <w:bCs/>
          <w:sz w:val="26"/>
          <w:szCs w:val="26"/>
          <w:rtl/>
        </w:rPr>
        <w:t xml:space="preserve">"ישראל היא מדינה נורמלית שאינה נורמלית;..." </w:t>
      </w:r>
    </w:p>
    <w:p w:rsidR="00C4540A" w:rsidRPr="00986937" w:rsidRDefault="00C4540A" w:rsidP="00C4540A">
      <w:pPr>
        <w:pStyle w:val="T-body"/>
        <w:spacing w:line="240" w:lineRule="auto"/>
        <w:ind w:left="4320"/>
        <w:rPr>
          <w:b/>
          <w:bCs/>
          <w:sz w:val="22"/>
          <w:szCs w:val="22"/>
          <w:rtl/>
        </w:rPr>
      </w:pPr>
      <w:r w:rsidRPr="00986937">
        <w:rPr>
          <w:b/>
          <w:bCs/>
          <w:sz w:val="22"/>
          <w:szCs w:val="22"/>
          <w:rtl/>
        </w:rPr>
        <w:t>–</w:t>
      </w:r>
      <w:r w:rsidRPr="00986937">
        <w:rPr>
          <w:rFonts w:hint="cs"/>
          <w:b/>
          <w:bCs/>
          <w:sz w:val="22"/>
          <w:szCs w:val="22"/>
          <w:rtl/>
        </w:rPr>
        <w:t xml:space="preserve"> השופט רובינשטיין בפסק דין האגודה לזכויות האזרח</w:t>
      </w:r>
      <w:r w:rsidRPr="00986937">
        <w:rPr>
          <w:b/>
          <w:bCs/>
          <w:sz w:val="22"/>
          <w:szCs w:val="22"/>
          <w:vertAlign w:val="superscript"/>
          <w:rtl/>
        </w:rPr>
        <w:footnoteReference w:id="2"/>
      </w:r>
    </w:p>
    <w:p w:rsidR="00C4540A" w:rsidRPr="00986937" w:rsidRDefault="00C4540A" w:rsidP="00C4540A">
      <w:pPr>
        <w:pStyle w:val="T-body"/>
        <w:spacing w:line="240" w:lineRule="auto"/>
        <w:ind w:left="4320"/>
        <w:rPr>
          <w:b/>
          <w:bCs/>
          <w:sz w:val="22"/>
          <w:szCs w:val="22"/>
          <w:rtl/>
        </w:rPr>
      </w:pPr>
    </w:p>
    <w:p w:rsidR="00C4540A" w:rsidRPr="00986937" w:rsidRDefault="00C4540A" w:rsidP="00C4540A">
      <w:pPr>
        <w:spacing w:after="60"/>
        <w:rPr>
          <w:sz w:val="22"/>
          <w:szCs w:val="22"/>
          <w:rtl/>
        </w:rPr>
      </w:pPr>
      <w:r w:rsidRPr="00986937">
        <w:rPr>
          <w:rFonts w:hint="cs"/>
          <w:sz w:val="22"/>
          <w:szCs w:val="22"/>
          <w:rtl/>
        </w:rPr>
        <w:t xml:space="preserve">אם למתוח קצת את הדברים של השופט רובינשטיין, הרי שניתן לדבר דרכם על המימד 'הסכיזופרני' שבקיום שלנו כחברה, ועל השתקפות הסכיזופרניה הזו גם במשפט שלנו: </w:t>
      </w:r>
    </w:p>
    <w:p w:rsidR="00C4540A" w:rsidRPr="00986937" w:rsidRDefault="00C4540A" w:rsidP="00C4540A">
      <w:pPr>
        <w:spacing w:after="60"/>
        <w:ind w:left="720"/>
        <w:rPr>
          <w:sz w:val="22"/>
          <w:szCs w:val="22"/>
        </w:rPr>
      </w:pPr>
      <w:r w:rsidRPr="00986937">
        <w:rPr>
          <w:rFonts w:hint="cs"/>
          <w:sz w:val="22"/>
          <w:szCs w:val="22"/>
          <w:rtl/>
        </w:rPr>
        <w:t>יש את החיים הרגילים שהוא, המשפט, מנסה להסדיר; ומופיעים גם החיים הסוערים והקשים ש</w:t>
      </w:r>
      <w:r w:rsidR="00D71E41">
        <w:rPr>
          <w:rFonts w:hint="cs"/>
          <w:sz w:val="22"/>
          <w:szCs w:val="22"/>
          <w:rtl/>
        </w:rPr>
        <w:t xml:space="preserve">אותם </w:t>
      </w:r>
      <w:r w:rsidRPr="00986937">
        <w:rPr>
          <w:rFonts w:hint="cs"/>
          <w:sz w:val="22"/>
          <w:szCs w:val="22"/>
          <w:rtl/>
        </w:rPr>
        <w:t xml:space="preserve">הוא מנסה להסדיר. </w:t>
      </w:r>
    </w:p>
    <w:p w:rsidR="00C4540A" w:rsidRPr="00986937" w:rsidRDefault="00C4540A" w:rsidP="00C4540A">
      <w:pPr>
        <w:spacing w:after="60"/>
        <w:rPr>
          <w:sz w:val="22"/>
          <w:szCs w:val="22"/>
          <w:rtl/>
        </w:rPr>
      </w:pPr>
      <w:r w:rsidRPr="00986937">
        <w:rPr>
          <w:rFonts w:hint="cs"/>
          <w:sz w:val="22"/>
          <w:szCs w:val="22"/>
          <w:rtl/>
        </w:rPr>
        <w:t>במילים אחרות, מצד אחד יש לנו את התכנים 'הרגילים'</w:t>
      </w:r>
      <w:r w:rsidR="00D71E41">
        <w:rPr>
          <w:rFonts w:hint="cs"/>
          <w:sz w:val="22"/>
          <w:szCs w:val="22"/>
          <w:rtl/>
        </w:rPr>
        <w:t>, הכמעט אוניברסאליים,</w:t>
      </w:r>
      <w:r w:rsidRPr="00986937">
        <w:rPr>
          <w:rFonts w:hint="cs"/>
          <w:sz w:val="22"/>
          <w:szCs w:val="22"/>
          <w:rtl/>
        </w:rPr>
        <w:t xml:space="preserve"> של החיים: דיני חוזים, נזיקין, עבודה, משפחה, דיני תאגידים, קניין, קניין רוחני וכדומה; זה העיסוק בנורמאלי, בשוטף. מצד שני, המשפט עוסק, בו-זמנית ובעיקר דרך דיני העונשין ודרך חלקים מהמשפט הציבורי, גם במה שהוא פתולוגי בחיים האנושיים וגם במה שהוא מיוחד או קשה במיוחד במציאות החברתית של ישראל. </w:t>
      </w:r>
    </w:p>
    <w:p w:rsidR="00C4540A" w:rsidRPr="00986937" w:rsidRDefault="00C4540A" w:rsidP="00C4540A">
      <w:pPr>
        <w:spacing w:after="60"/>
        <w:rPr>
          <w:b/>
          <w:bCs/>
          <w:sz w:val="22"/>
          <w:szCs w:val="22"/>
          <w:rtl/>
        </w:rPr>
      </w:pPr>
    </w:p>
    <w:p w:rsidR="00C4540A" w:rsidRPr="00986937" w:rsidRDefault="00C4540A" w:rsidP="00C4540A">
      <w:pPr>
        <w:spacing w:after="60"/>
        <w:rPr>
          <w:b/>
          <w:bCs/>
          <w:sz w:val="22"/>
          <w:szCs w:val="22"/>
          <w:rtl/>
        </w:rPr>
      </w:pPr>
      <w:r w:rsidRPr="00986937">
        <w:rPr>
          <w:rFonts w:hint="cs"/>
          <w:b/>
          <w:bCs/>
          <w:sz w:val="22"/>
          <w:szCs w:val="22"/>
          <w:rtl/>
        </w:rPr>
        <w:t xml:space="preserve">במשפט הציבורי יש ארבעה סוגים עיקריים של הכרעות נורמטיביות. </w:t>
      </w:r>
    </w:p>
    <w:p w:rsidR="00C4540A" w:rsidRPr="00986937" w:rsidRDefault="00C4540A" w:rsidP="00C4540A">
      <w:pPr>
        <w:spacing w:after="60"/>
        <w:rPr>
          <w:sz w:val="22"/>
          <w:szCs w:val="22"/>
          <w:rtl/>
        </w:rPr>
      </w:pPr>
      <w:r w:rsidRPr="00986937">
        <w:rPr>
          <w:rFonts w:hint="cs"/>
          <w:sz w:val="22"/>
          <w:szCs w:val="22"/>
          <w:rtl/>
        </w:rPr>
        <w:t xml:space="preserve">מהצד האחד מצויה שגרת החיים הרגילה, שבה מעורבת המדינה כשחקן כלכלי או כגורם רגולטיבי (גורם מסדיר ומפקח) או כגורם שלטוני קובע-מדיניות ומקבל הכרעות שוטפות (גורם מנהל). ראו בין היתר, </w:t>
      </w:r>
      <w:r w:rsidRPr="00AA403D">
        <w:rPr>
          <w:rFonts w:hint="cs"/>
          <w:b/>
          <w:bCs/>
          <w:sz w:val="22"/>
          <w:szCs w:val="22"/>
          <w:rtl/>
        </w:rPr>
        <w:t>דיני מכרזים, דיני תכנון ובנייה, רישיונות עסק, חוזי-רשות, סוגיות של מיסוי מקומי וארצי, ביטוח לאומי, דיני רשויות מקומיות, ועוד ועוד</w:t>
      </w:r>
      <w:r w:rsidRPr="00986937">
        <w:rPr>
          <w:rFonts w:hint="cs"/>
          <w:sz w:val="22"/>
          <w:szCs w:val="22"/>
          <w:rtl/>
        </w:rPr>
        <w:t xml:space="preserve">. זהו עולם של נורמאליות, של דרמות קטנות. </w:t>
      </w:r>
    </w:p>
    <w:p w:rsidR="00C4540A" w:rsidRPr="00986937" w:rsidRDefault="00C4540A" w:rsidP="00C4540A">
      <w:pPr>
        <w:spacing w:after="60"/>
        <w:rPr>
          <w:sz w:val="22"/>
          <w:szCs w:val="22"/>
          <w:rtl/>
        </w:rPr>
      </w:pPr>
      <w:r w:rsidRPr="00986937">
        <w:rPr>
          <w:rFonts w:hint="cs"/>
          <w:sz w:val="22"/>
          <w:szCs w:val="22"/>
          <w:rtl/>
        </w:rPr>
        <w:t>[אך גם דרמות קטנות אלו עשויות להיטען באנרגיות של דרמה יותר גדולה אם הן יהוו זירה לסכסוך עמוק יותר, למשל לאומי או דתי].</w:t>
      </w:r>
    </w:p>
    <w:p w:rsidR="00C4540A" w:rsidRPr="00986937" w:rsidRDefault="00C4540A" w:rsidP="00C4540A">
      <w:pPr>
        <w:spacing w:after="60"/>
        <w:rPr>
          <w:sz w:val="22"/>
          <w:szCs w:val="22"/>
          <w:rtl/>
        </w:rPr>
      </w:pPr>
      <w:r w:rsidRPr="00986937">
        <w:rPr>
          <w:rFonts w:hint="cs"/>
          <w:sz w:val="22"/>
          <w:szCs w:val="22"/>
          <w:rtl/>
        </w:rPr>
        <w:t xml:space="preserve">מעבר לכך מופיעים שלשה סוגים נוספים של הכרעות של משפט ציבורי, והם נושאים </w:t>
      </w:r>
      <w:r w:rsidRPr="00986937">
        <w:rPr>
          <w:rFonts w:hint="cs"/>
          <w:i/>
          <w:iCs/>
          <w:sz w:val="22"/>
          <w:szCs w:val="22"/>
          <w:rtl/>
        </w:rPr>
        <w:t>מלכתחילה</w:t>
      </w:r>
      <w:r w:rsidRPr="00986937">
        <w:rPr>
          <w:rFonts w:hint="cs"/>
          <w:sz w:val="22"/>
          <w:szCs w:val="22"/>
          <w:rtl/>
        </w:rPr>
        <w:t xml:space="preserve"> פוטנציאל לדרמה גדולה. </w:t>
      </w:r>
    </w:p>
    <w:p w:rsidR="00C4540A" w:rsidRPr="00986937" w:rsidRDefault="00C4540A" w:rsidP="00C4540A">
      <w:pPr>
        <w:spacing w:after="60"/>
        <w:rPr>
          <w:sz w:val="22"/>
          <w:szCs w:val="22"/>
          <w:rtl/>
        </w:rPr>
      </w:pPr>
      <w:r w:rsidRPr="00986937">
        <w:rPr>
          <w:rFonts w:hint="cs"/>
          <w:sz w:val="22"/>
          <w:szCs w:val="22"/>
          <w:rtl/>
        </w:rPr>
        <w:t xml:space="preserve">סוג אחד ומאד מרכזי נוגע </w:t>
      </w:r>
      <w:r w:rsidRPr="00AA403D">
        <w:rPr>
          <w:rFonts w:hint="cs"/>
          <w:b/>
          <w:bCs/>
          <w:sz w:val="22"/>
          <w:szCs w:val="22"/>
          <w:rtl/>
        </w:rPr>
        <w:t>ל"כללי המשחק" בחברה</w:t>
      </w:r>
      <w:r w:rsidRPr="00986937">
        <w:rPr>
          <w:rFonts w:hint="cs"/>
          <w:sz w:val="22"/>
          <w:szCs w:val="22"/>
          <w:rtl/>
        </w:rPr>
        <w:t xml:space="preserve">. כלומר לכללים שמפרטים ומבטאים את ערכי היסוד של החברה, ואלו הנוגעים לחלוקת התפקידים השלטוניים בה. חלוקת תפקידים היא </w:t>
      </w:r>
      <w:r w:rsidRPr="00986937">
        <w:rPr>
          <w:rFonts w:hint="cs"/>
          <w:b/>
          <w:bCs/>
          <w:sz w:val="22"/>
          <w:szCs w:val="22"/>
          <w:rtl/>
        </w:rPr>
        <w:t>חלוקה של כוח/עוצמה</w:t>
      </w:r>
      <w:r w:rsidRPr="00986937">
        <w:rPr>
          <w:rFonts w:hint="cs"/>
          <w:sz w:val="22"/>
          <w:szCs w:val="22"/>
          <w:rtl/>
        </w:rPr>
        <w:t xml:space="preserve"> בין רשויות (ובעצם גם בין אנשים) וזו פעולה עם רגישיות רבה. באופן קונקרטי יותר מדובר בשאלות הבאות:</w:t>
      </w:r>
    </w:p>
    <w:p w:rsidR="00C4540A" w:rsidRPr="00986937" w:rsidRDefault="00C4540A" w:rsidP="00C4540A">
      <w:pPr>
        <w:spacing w:after="60"/>
        <w:ind w:left="720"/>
        <w:rPr>
          <w:sz w:val="22"/>
          <w:szCs w:val="22"/>
          <w:rtl/>
        </w:rPr>
      </w:pPr>
      <w:r w:rsidRPr="00986937">
        <w:rPr>
          <w:rFonts w:hint="cs"/>
          <w:sz w:val="22"/>
          <w:szCs w:val="22"/>
          <w:rtl/>
        </w:rPr>
        <w:t>מהן זכויות האדם וכיצד ובאיזה היקף הן יוגנו? מהו אופן הבחירה או המינוי של הרשויות השלטוניות? מה הכוח/הסמכות של כל רשות? איך ומי מקבל הכרעה על מלחמה ועל שלום? איך מתקבלת חקיקה? איך נערכים הבחירות? האם יש נורמות גבוהות שהן בסיס לביקורת שיפוטית חוקתית, ואיך מקבלים אותן ואיך משנים אותן? ועוד שאלות ממין זה.</w:t>
      </w:r>
    </w:p>
    <w:p w:rsidR="00C4540A" w:rsidRPr="00986937" w:rsidRDefault="00C4540A" w:rsidP="00C4540A">
      <w:pPr>
        <w:spacing w:after="60"/>
        <w:rPr>
          <w:sz w:val="22"/>
          <w:szCs w:val="22"/>
          <w:rtl/>
        </w:rPr>
      </w:pPr>
      <w:r w:rsidRPr="00986937">
        <w:rPr>
          <w:rFonts w:hint="cs"/>
          <w:sz w:val="22"/>
          <w:szCs w:val="22"/>
          <w:rtl/>
        </w:rPr>
        <w:t xml:space="preserve">סוג שני של הכרעות בעלות פוטנציאל דרמטי נוגע לנורמות הפליליות ולנורמות האתיות שמלוות אנשי שלטון. זהו </w:t>
      </w:r>
      <w:r w:rsidRPr="00AA403D">
        <w:rPr>
          <w:rFonts w:hint="cs"/>
          <w:b/>
          <w:bCs/>
          <w:sz w:val="22"/>
          <w:szCs w:val="22"/>
          <w:rtl/>
        </w:rPr>
        <w:t>המאבק בשחיתות השלטונית</w:t>
      </w:r>
      <w:r w:rsidRPr="00986937">
        <w:rPr>
          <w:rFonts w:hint="cs"/>
          <w:sz w:val="22"/>
          <w:szCs w:val="22"/>
          <w:rtl/>
        </w:rPr>
        <w:t>.</w:t>
      </w:r>
    </w:p>
    <w:p w:rsidR="00C4540A" w:rsidRPr="00986937" w:rsidRDefault="00C4540A" w:rsidP="00C4540A">
      <w:pPr>
        <w:spacing w:after="60"/>
        <w:rPr>
          <w:sz w:val="22"/>
          <w:szCs w:val="22"/>
          <w:rtl/>
        </w:rPr>
      </w:pPr>
      <w:r w:rsidRPr="00986937">
        <w:rPr>
          <w:rFonts w:hint="cs"/>
          <w:sz w:val="22"/>
          <w:szCs w:val="22"/>
          <w:rtl/>
        </w:rPr>
        <w:t xml:space="preserve">סוג שלישי של </w:t>
      </w:r>
      <w:r w:rsidRPr="00AA403D">
        <w:rPr>
          <w:rFonts w:hint="cs"/>
          <w:b/>
          <w:bCs/>
          <w:sz w:val="22"/>
          <w:szCs w:val="22"/>
          <w:rtl/>
        </w:rPr>
        <w:t>הכרעות דרמטיות שבהן מעורב המשפט הציבורי, הן ההכרעות בסוגיות מעולם המציאות 'שבחוץ' והן הרות-גורל</w:t>
      </w:r>
      <w:r w:rsidRPr="00986937">
        <w:rPr>
          <w:rFonts w:hint="cs"/>
          <w:sz w:val="22"/>
          <w:szCs w:val="22"/>
          <w:rtl/>
        </w:rPr>
        <w:t xml:space="preserve">: סוגיות הנוגעות בפחדים הגדולים של החברה, ולפחות של קהילת-הרוב בתוכה </w:t>
      </w:r>
      <w:r w:rsidRPr="00986937">
        <w:rPr>
          <w:sz w:val="22"/>
          <w:szCs w:val="22"/>
          <w:rtl/>
        </w:rPr>
        <w:t>–</w:t>
      </w:r>
      <w:r w:rsidRPr="00986937">
        <w:rPr>
          <w:rFonts w:hint="cs"/>
          <w:sz w:val="22"/>
          <w:szCs w:val="22"/>
          <w:rtl/>
        </w:rPr>
        <w:t xml:space="preserve"> פחדים ביטחוניים, פחדים דמוגרפיים; פחדים מפני שינוי עמוק במעמד הכלכלי; התנגדויות עמוקות בתחום הערכי (דת, מצפון); ובמקביל, הכרעות שמגרות פחדים של קהילות מיעוט מפני דיכוין, הדרתן, או קמילת זהותן הקבוצתית, תרבותן, שפתן וכדומה. </w:t>
      </w:r>
    </w:p>
    <w:p w:rsidR="00C4540A" w:rsidRPr="00986937" w:rsidRDefault="00C4540A" w:rsidP="008E7AEF">
      <w:pPr>
        <w:spacing w:after="60"/>
        <w:rPr>
          <w:sz w:val="22"/>
          <w:szCs w:val="22"/>
          <w:rtl/>
        </w:rPr>
      </w:pPr>
      <w:r w:rsidRPr="00986937">
        <w:rPr>
          <w:rFonts w:hint="cs"/>
          <w:sz w:val="22"/>
          <w:szCs w:val="22"/>
          <w:rtl/>
        </w:rPr>
        <w:t>=-=</w:t>
      </w:r>
    </w:p>
    <w:p w:rsidR="008E7AEF" w:rsidRPr="00986937" w:rsidRDefault="008E7AEF" w:rsidP="008E7AEF">
      <w:pPr>
        <w:ind w:left="-59"/>
        <w:jc w:val="center"/>
        <w:rPr>
          <w:rFonts w:ascii="Arial" w:hAnsi="Arial" w:cs="Guttman-Soncino"/>
          <w:b/>
          <w:bCs/>
          <w:sz w:val="22"/>
          <w:szCs w:val="22"/>
          <w:rtl/>
        </w:rPr>
      </w:pPr>
      <w:r w:rsidRPr="00986937">
        <w:rPr>
          <w:rFonts w:ascii="Arial" w:hAnsi="Arial" w:cs="Guttman-Soncino" w:hint="cs"/>
          <w:b/>
          <w:bCs/>
          <w:sz w:val="22"/>
          <w:szCs w:val="22"/>
          <w:highlight w:val="yellow"/>
          <w:rtl/>
        </w:rPr>
        <w:t>קטגוריות של "מעמד אזרחי"</w:t>
      </w:r>
    </w:p>
    <w:p w:rsidR="008E7AEF" w:rsidRPr="00986937" w:rsidRDefault="008E7AEF" w:rsidP="008E7AEF">
      <w:pPr>
        <w:widowControl w:val="0"/>
        <w:suppressLineNumbers/>
        <w:spacing w:after="120"/>
        <w:rPr>
          <w:rFonts w:ascii="Arial" w:hAnsi="Arial" w:cs="Arial"/>
          <w:b/>
          <w:bCs/>
          <w:sz w:val="22"/>
          <w:szCs w:val="22"/>
          <w:highlight w:val="yellow"/>
          <w:rtl/>
        </w:rPr>
      </w:pPr>
      <w:r w:rsidRPr="00986937">
        <w:rPr>
          <w:rFonts w:ascii="Arial" w:hAnsi="Arial" w:cs="Arial"/>
          <w:b/>
          <w:bCs/>
          <w:sz w:val="22"/>
          <w:szCs w:val="22"/>
          <w:highlight w:val="yellow"/>
          <w:rtl/>
        </w:rPr>
        <w:t xml:space="preserve">אזרח, </w:t>
      </w:r>
    </w:p>
    <w:p w:rsidR="008E7AEF" w:rsidRPr="00986937" w:rsidRDefault="008E7AEF" w:rsidP="008E7AEF">
      <w:pPr>
        <w:widowControl w:val="0"/>
        <w:suppressLineNumbers/>
        <w:spacing w:after="120"/>
        <w:rPr>
          <w:rFonts w:ascii="Arial" w:hAnsi="Arial" w:cs="Arial"/>
          <w:b/>
          <w:bCs/>
          <w:sz w:val="22"/>
          <w:szCs w:val="22"/>
          <w:highlight w:val="yellow"/>
          <w:rtl/>
        </w:rPr>
      </w:pPr>
      <w:r w:rsidRPr="00986937">
        <w:rPr>
          <w:rFonts w:ascii="Arial" w:hAnsi="Arial" w:cs="Arial"/>
          <w:b/>
          <w:bCs/>
          <w:sz w:val="22"/>
          <w:szCs w:val="22"/>
          <w:highlight w:val="yellow"/>
          <w:rtl/>
        </w:rPr>
        <w:t>תושב</w:t>
      </w:r>
    </w:p>
    <w:p w:rsidR="008E7AEF" w:rsidRPr="00986937" w:rsidRDefault="008E7AEF" w:rsidP="008E7AEF">
      <w:pPr>
        <w:widowControl w:val="0"/>
        <w:suppressLineNumbers/>
        <w:spacing w:after="120"/>
        <w:ind w:left="720"/>
        <w:rPr>
          <w:rFonts w:ascii="Arial" w:hAnsi="Arial" w:cs="Arial"/>
          <w:b/>
          <w:bCs/>
          <w:sz w:val="22"/>
          <w:szCs w:val="22"/>
          <w:highlight w:val="yellow"/>
          <w:rtl/>
        </w:rPr>
      </w:pPr>
      <w:r w:rsidRPr="00986937">
        <w:rPr>
          <w:rFonts w:ascii="Arial" w:hAnsi="Arial" w:cs="Arial" w:hint="cs"/>
          <w:b/>
          <w:bCs/>
          <w:sz w:val="22"/>
          <w:szCs w:val="22"/>
          <w:highlight w:val="yellow"/>
          <w:rtl/>
        </w:rPr>
        <w:t>הפלסטינים תושבי ירושלים המזרחית;</w:t>
      </w:r>
    </w:p>
    <w:p w:rsidR="008E7AEF" w:rsidRPr="00986937" w:rsidRDefault="008E7AEF" w:rsidP="008E7AEF">
      <w:pPr>
        <w:widowControl w:val="0"/>
        <w:suppressLineNumbers/>
        <w:spacing w:after="120"/>
        <w:ind w:left="720"/>
        <w:rPr>
          <w:rFonts w:ascii="Arial" w:hAnsi="Arial" w:cs="Arial"/>
          <w:b/>
          <w:bCs/>
          <w:sz w:val="22"/>
          <w:szCs w:val="22"/>
          <w:highlight w:val="yellow"/>
          <w:rtl/>
        </w:rPr>
      </w:pPr>
      <w:r w:rsidRPr="00986937">
        <w:rPr>
          <w:rFonts w:ascii="Arial" w:hAnsi="Arial" w:cs="Arial" w:hint="cs"/>
          <w:b/>
          <w:bCs/>
          <w:sz w:val="22"/>
          <w:szCs w:val="22"/>
          <w:highlight w:val="yellow"/>
          <w:rtl/>
        </w:rPr>
        <w:t>הדרוזים ברמת-הגולן</w:t>
      </w:r>
      <w:r w:rsidRPr="00986937">
        <w:rPr>
          <w:rFonts w:ascii="Arial" w:hAnsi="Arial" w:cs="Arial"/>
          <w:b/>
          <w:bCs/>
          <w:sz w:val="22"/>
          <w:szCs w:val="22"/>
          <w:highlight w:val="yellow"/>
          <w:rtl/>
        </w:rPr>
        <w:t xml:space="preserve"> </w:t>
      </w:r>
    </w:p>
    <w:p w:rsidR="008E7AEF" w:rsidRPr="00986937" w:rsidRDefault="008E7AEF" w:rsidP="008E7AEF">
      <w:pPr>
        <w:widowControl w:val="0"/>
        <w:suppressLineNumbers/>
        <w:spacing w:after="120"/>
        <w:rPr>
          <w:rFonts w:ascii="Arial" w:hAnsi="Arial" w:cs="Arial"/>
          <w:b/>
          <w:bCs/>
          <w:sz w:val="22"/>
          <w:szCs w:val="22"/>
          <w:highlight w:val="yellow"/>
          <w:rtl/>
        </w:rPr>
      </w:pPr>
      <w:r w:rsidRPr="00986937">
        <w:rPr>
          <w:rFonts w:ascii="Arial" w:hAnsi="Arial" w:cs="Arial" w:hint="cs"/>
          <w:b/>
          <w:bCs/>
          <w:sz w:val="22"/>
          <w:szCs w:val="22"/>
          <w:highlight w:val="yellow"/>
          <w:rtl/>
        </w:rPr>
        <w:t xml:space="preserve">"מתאזרח" </w:t>
      </w:r>
    </w:p>
    <w:p w:rsidR="008E7AEF" w:rsidRPr="00986937" w:rsidRDefault="008E7AEF" w:rsidP="008E7AEF">
      <w:pPr>
        <w:widowControl w:val="0"/>
        <w:suppressLineNumbers/>
        <w:spacing w:after="120"/>
        <w:ind w:left="720"/>
        <w:rPr>
          <w:rFonts w:ascii="Arial" w:hAnsi="Arial" w:cs="Arial"/>
          <w:b/>
          <w:bCs/>
          <w:sz w:val="22"/>
          <w:szCs w:val="22"/>
          <w:highlight w:val="yellow"/>
          <w:rtl/>
        </w:rPr>
      </w:pPr>
      <w:r w:rsidRPr="00986937">
        <w:rPr>
          <w:rFonts w:ascii="Arial" w:hAnsi="Arial" w:cs="Arial" w:hint="cs"/>
          <w:b/>
          <w:bCs/>
          <w:sz w:val="22"/>
          <w:szCs w:val="22"/>
          <w:highlight w:val="yellow"/>
          <w:rtl/>
        </w:rPr>
        <w:t xml:space="preserve">(בעיקר איחוד משפחות בין בני-זוג, לאחר תקופת תושבות), </w:t>
      </w:r>
    </w:p>
    <w:p w:rsidR="008E7AEF" w:rsidRPr="00986937" w:rsidRDefault="008E7AEF" w:rsidP="008E7AEF">
      <w:pPr>
        <w:widowControl w:val="0"/>
        <w:suppressLineNumbers/>
        <w:spacing w:after="120"/>
        <w:rPr>
          <w:rFonts w:ascii="Arial" w:hAnsi="Arial" w:cs="Arial"/>
          <w:b/>
          <w:bCs/>
          <w:sz w:val="22"/>
          <w:szCs w:val="22"/>
          <w:highlight w:val="yellow"/>
          <w:rtl/>
        </w:rPr>
      </w:pPr>
      <w:r w:rsidRPr="00986937">
        <w:rPr>
          <w:rFonts w:ascii="Arial" w:hAnsi="Arial" w:cs="Arial"/>
          <w:b/>
          <w:bCs/>
          <w:sz w:val="22"/>
          <w:szCs w:val="22"/>
          <w:highlight w:val="yellow"/>
          <w:rtl/>
        </w:rPr>
        <w:t>בעלי היתר שהייה לסוגיו</w:t>
      </w:r>
      <w:r w:rsidRPr="00986937">
        <w:rPr>
          <w:rFonts w:ascii="Arial" w:hAnsi="Arial" w:cs="Arial" w:hint="cs"/>
          <w:b/>
          <w:bCs/>
          <w:sz w:val="22"/>
          <w:szCs w:val="22"/>
          <w:highlight w:val="yellow"/>
          <w:rtl/>
        </w:rPr>
        <w:t>:</w:t>
      </w:r>
    </w:p>
    <w:p w:rsidR="008E7AEF" w:rsidRPr="00986937" w:rsidRDefault="008E7AEF" w:rsidP="008E7AEF">
      <w:pPr>
        <w:widowControl w:val="0"/>
        <w:suppressLineNumbers/>
        <w:spacing w:after="120"/>
        <w:ind w:left="720"/>
        <w:rPr>
          <w:rFonts w:ascii="Arial" w:hAnsi="Arial" w:cs="Arial"/>
          <w:b/>
          <w:bCs/>
          <w:sz w:val="22"/>
          <w:szCs w:val="22"/>
          <w:highlight w:val="yellow"/>
          <w:rtl/>
        </w:rPr>
      </w:pPr>
      <w:r w:rsidRPr="00986937">
        <w:rPr>
          <w:rFonts w:ascii="Arial" w:hAnsi="Arial" w:cs="Arial" w:hint="cs"/>
          <w:b/>
          <w:bCs/>
          <w:sz w:val="22"/>
          <w:szCs w:val="22"/>
          <w:highlight w:val="yellow"/>
          <w:rtl/>
        </w:rPr>
        <w:t>תיירים;</w:t>
      </w:r>
      <w:r w:rsidRPr="00986937">
        <w:rPr>
          <w:rFonts w:ascii="Arial" w:hAnsi="Arial" w:cs="Arial"/>
          <w:b/>
          <w:bCs/>
          <w:sz w:val="22"/>
          <w:szCs w:val="22"/>
          <w:highlight w:val="yellow"/>
          <w:rtl/>
        </w:rPr>
        <w:t xml:space="preserve"> </w:t>
      </w:r>
    </w:p>
    <w:p w:rsidR="008E7AEF" w:rsidRPr="00986937" w:rsidRDefault="008E7AEF" w:rsidP="008E7AEF">
      <w:pPr>
        <w:widowControl w:val="0"/>
        <w:suppressLineNumbers/>
        <w:spacing w:after="120"/>
        <w:ind w:left="720"/>
        <w:rPr>
          <w:rFonts w:ascii="Arial" w:hAnsi="Arial" w:cs="Arial"/>
          <w:b/>
          <w:bCs/>
          <w:sz w:val="22"/>
          <w:szCs w:val="22"/>
          <w:highlight w:val="yellow"/>
          <w:rtl/>
        </w:rPr>
      </w:pPr>
      <w:r w:rsidRPr="00986937">
        <w:rPr>
          <w:rFonts w:ascii="Arial" w:hAnsi="Arial" w:cs="Arial" w:hint="cs"/>
          <w:b/>
          <w:bCs/>
          <w:sz w:val="22"/>
          <w:szCs w:val="22"/>
          <w:highlight w:val="yellow"/>
          <w:rtl/>
        </w:rPr>
        <w:t>מבקשי-מקלט/ מסתננים;</w:t>
      </w:r>
    </w:p>
    <w:p w:rsidR="008E7AEF" w:rsidRPr="00986937" w:rsidRDefault="008E7AEF" w:rsidP="008E7AEF">
      <w:pPr>
        <w:widowControl w:val="0"/>
        <w:suppressLineNumbers/>
        <w:spacing w:after="120"/>
        <w:ind w:left="720"/>
        <w:rPr>
          <w:rFonts w:ascii="Arial" w:hAnsi="Arial" w:cs="Arial"/>
          <w:b/>
          <w:bCs/>
          <w:sz w:val="22"/>
          <w:szCs w:val="22"/>
          <w:highlight w:val="yellow"/>
          <w:rtl/>
        </w:rPr>
      </w:pPr>
      <w:r w:rsidRPr="00986937">
        <w:rPr>
          <w:rFonts w:ascii="Arial" w:hAnsi="Arial" w:cs="Arial" w:hint="cs"/>
          <w:b/>
          <w:bCs/>
          <w:sz w:val="22"/>
          <w:szCs w:val="22"/>
          <w:highlight w:val="yellow"/>
          <w:rtl/>
        </w:rPr>
        <w:t>עובדים זרים עם ויזת עבודה; ...</w:t>
      </w:r>
    </w:p>
    <w:p w:rsidR="008E7AEF" w:rsidRPr="00986937" w:rsidRDefault="008E7AEF" w:rsidP="008E7AEF">
      <w:pPr>
        <w:widowControl w:val="0"/>
        <w:suppressLineNumbers/>
        <w:spacing w:after="120"/>
        <w:rPr>
          <w:rFonts w:ascii="Arial" w:hAnsi="Arial" w:cs="Arial"/>
          <w:b/>
          <w:bCs/>
          <w:sz w:val="22"/>
          <w:szCs w:val="22"/>
          <w:rtl/>
        </w:rPr>
      </w:pPr>
      <w:r w:rsidRPr="00AA403D">
        <w:rPr>
          <w:rFonts w:ascii="Arial" w:hAnsi="Arial" w:cs="Arial"/>
          <w:b/>
          <w:bCs/>
          <w:sz w:val="22"/>
          <w:szCs w:val="22"/>
          <w:highlight w:val="yellow"/>
          <w:u w:val="single"/>
          <w:rtl/>
        </w:rPr>
        <w:t>חסרי</w:t>
      </w:r>
      <w:r w:rsidRPr="00986937">
        <w:rPr>
          <w:rFonts w:ascii="Arial" w:hAnsi="Arial" w:cs="Arial"/>
          <w:b/>
          <w:bCs/>
          <w:sz w:val="22"/>
          <w:szCs w:val="22"/>
          <w:highlight w:val="yellow"/>
          <w:rtl/>
        </w:rPr>
        <w:t xml:space="preserve"> היתר </w:t>
      </w:r>
      <w:r w:rsidRPr="00986937">
        <w:rPr>
          <w:rFonts w:ascii="Arial" w:hAnsi="Arial" w:cs="Arial" w:hint="cs"/>
          <w:b/>
          <w:bCs/>
          <w:sz w:val="22"/>
          <w:szCs w:val="22"/>
          <w:highlight w:val="yellow"/>
          <w:rtl/>
        </w:rPr>
        <w:t>שהייה</w:t>
      </w:r>
    </w:p>
    <w:p w:rsidR="008E7AEF" w:rsidRPr="00986937" w:rsidRDefault="008E7AEF" w:rsidP="008E7AEF">
      <w:pPr>
        <w:widowControl w:val="0"/>
        <w:suppressLineNumbers/>
        <w:spacing w:after="120"/>
        <w:rPr>
          <w:rFonts w:ascii="Arial" w:hAnsi="Arial" w:cs="Arial"/>
          <w:b/>
          <w:bCs/>
          <w:sz w:val="22"/>
          <w:szCs w:val="22"/>
          <w:highlight w:val="yellow"/>
          <w:rtl/>
        </w:rPr>
      </w:pPr>
      <w:r w:rsidRPr="00986937">
        <w:rPr>
          <w:rFonts w:ascii="Arial" w:hAnsi="Arial" w:cs="Arial" w:hint="cs"/>
          <w:b/>
          <w:bCs/>
          <w:sz w:val="22"/>
          <w:szCs w:val="22"/>
          <w:highlight w:val="yellow"/>
          <w:rtl/>
        </w:rPr>
        <w:t>הפלסטינים בשטחים</w:t>
      </w:r>
    </w:p>
    <w:p w:rsidR="008E7AEF" w:rsidRPr="00986937" w:rsidRDefault="008E7AEF" w:rsidP="008E7AEF">
      <w:pPr>
        <w:widowControl w:val="0"/>
        <w:suppressLineNumbers/>
        <w:spacing w:after="120"/>
        <w:ind w:left="720"/>
        <w:rPr>
          <w:rFonts w:ascii="Arial" w:hAnsi="Arial" w:cs="Arial"/>
          <w:b/>
          <w:bCs/>
          <w:sz w:val="22"/>
          <w:szCs w:val="22"/>
          <w:highlight w:val="yellow"/>
          <w:rtl/>
        </w:rPr>
      </w:pPr>
      <w:r w:rsidRPr="00986937">
        <w:rPr>
          <w:rFonts w:ascii="Arial" w:hAnsi="Arial" w:cs="Arial" w:hint="cs"/>
          <w:b/>
          <w:bCs/>
          <w:sz w:val="22"/>
          <w:szCs w:val="22"/>
          <w:highlight w:val="yellow"/>
          <w:rtl/>
        </w:rPr>
        <w:t>בגדה המערבית</w:t>
      </w:r>
    </w:p>
    <w:p w:rsidR="008E7AEF" w:rsidRPr="00986937" w:rsidRDefault="008E7AEF" w:rsidP="008E7AEF">
      <w:pPr>
        <w:widowControl w:val="0"/>
        <w:suppressLineNumbers/>
        <w:spacing w:after="120"/>
        <w:ind w:left="720"/>
        <w:rPr>
          <w:rFonts w:ascii="Arial" w:hAnsi="Arial" w:cs="Arial"/>
          <w:b/>
          <w:bCs/>
          <w:sz w:val="22"/>
          <w:szCs w:val="22"/>
          <w:rtl/>
        </w:rPr>
      </w:pPr>
      <w:r w:rsidRPr="00986937">
        <w:rPr>
          <w:rFonts w:ascii="Arial" w:hAnsi="Arial" w:cs="Arial" w:hint="cs"/>
          <w:b/>
          <w:bCs/>
          <w:sz w:val="22"/>
          <w:szCs w:val="22"/>
          <w:highlight w:val="yellow"/>
          <w:rtl/>
        </w:rPr>
        <w:t>ברצועת עזה</w:t>
      </w:r>
    </w:p>
    <w:p w:rsidR="008E7AEF" w:rsidRDefault="00692191" w:rsidP="008E7AEF">
      <w:pPr>
        <w:ind w:left="-59"/>
        <w:rPr>
          <w:rFonts w:ascii="Arial" w:hAnsi="Arial" w:cs="Arial"/>
          <w:b/>
          <w:bCs/>
          <w:sz w:val="22"/>
          <w:szCs w:val="22"/>
          <w:rtl/>
        </w:rPr>
      </w:pPr>
      <w:r>
        <w:rPr>
          <w:rFonts w:ascii="Arial" w:hAnsi="Arial" w:cs="Arial" w:hint="cs"/>
          <w:b/>
          <w:bCs/>
          <w:sz w:val="22"/>
          <w:szCs w:val="22"/>
          <w:rtl/>
        </w:rPr>
        <w:t>=-=</w:t>
      </w:r>
    </w:p>
    <w:p w:rsidR="00692191" w:rsidRPr="00986937" w:rsidRDefault="00692191" w:rsidP="008E7AEF">
      <w:pPr>
        <w:ind w:left="-59"/>
        <w:rPr>
          <w:rFonts w:ascii="Arial" w:hAnsi="Arial" w:cs="Arial"/>
          <w:b/>
          <w:bCs/>
          <w:sz w:val="22"/>
          <w:szCs w:val="22"/>
          <w:rtl/>
        </w:rPr>
      </w:pPr>
    </w:p>
    <w:p w:rsidR="00F47D76" w:rsidRPr="00986937" w:rsidRDefault="00F47D76" w:rsidP="00CE6041">
      <w:pPr>
        <w:spacing w:after="120"/>
        <w:rPr>
          <w:b/>
          <w:bCs/>
          <w:sz w:val="22"/>
          <w:szCs w:val="22"/>
        </w:rPr>
      </w:pPr>
      <w:r w:rsidRPr="00986937">
        <w:rPr>
          <w:b/>
          <w:bCs/>
          <w:sz w:val="22"/>
          <w:szCs w:val="22"/>
          <w:rtl/>
        </w:rPr>
        <w:t>תשע"ה מיליון</w:t>
      </w:r>
    </w:p>
    <w:p w:rsidR="00F47D76" w:rsidRPr="00986937" w:rsidRDefault="00F47D76" w:rsidP="00692191">
      <w:pPr>
        <w:spacing w:after="120"/>
        <w:jc w:val="left"/>
        <w:rPr>
          <w:b/>
          <w:bCs/>
          <w:sz w:val="22"/>
          <w:szCs w:val="22"/>
        </w:rPr>
      </w:pPr>
      <w:r w:rsidRPr="00986937">
        <w:rPr>
          <w:b/>
          <w:bCs/>
          <w:sz w:val="22"/>
          <w:szCs w:val="22"/>
          <w:rtl/>
        </w:rPr>
        <w:t>המספר הכל כך מצמרר מקבל משמעות אחרת, של תקומה: יותר מ־6 מיליון יהודים חיים בישראל ערב השנה החדשה (לפי הלמ"ס הרף נחצה אשתקד) • מספר בעלי האזרחות הישראלית נוגע ב־9 מיליון נפש</w:t>
      </w:r>
    </w:p>
    <w:p w:rsidR="00F47D76" w:rsidRPr="00986937" w:rsidRDefault="00F47D76" w:rsidP="000B7168">
      <w:pPr>
        <w:numPr>
          <w:ilvl w:val="0"/>
          <w:numId w:val="4"/>
        </w:numPr>
        <w:spacing w:after="120"/>
        <w:jc w:val="left"/>
        <w:rPr>
          <w:b/>
          <w:bCs/>
          <w:sz w:val="22"/>
          <w:szCs w:val="22"/>
        </w:rPr>
      </w:pPr>
      <w:r w:rsidRPr="00986937">
        <w:rPr>
          <w:b/>
          <w:bCs/>
          <w:sz w:val="22"/>
          <w:szCs w:val="22"/>
          <w:rtl/>
        </w:rPr>
        <w:t>יורי ילון</w:t>
      </w:r>
    </w:p>
    <w:p w:rsidR="00F47D76" w:rsidRPr="00986937" w:rsidRDefault="00F47D76" w:rsidP="00692191">
      <w:pPr>
        <w:jc w:val="left"/>
        <w:rPr>
          <w:sz w:val="22"/>
          <w:szCs w:val="22"/>
          <w:rtl/>
        </w:rPr>
      </w:pPr>
      <w:r w:rsidRPr="00986937">
        <w:rPr>
          <w:sz w:val="22"/>
          <w:szCs w:val="22"/>
        </w:rPr>
        <w:t xml:space="preserve"> 22.09.2014 </w:t>
      </w:r>
      <w:r w:rsidR="00CE6041" w:rsidRPr="00986937">
        <w:rPr>
          <w:rFonts w:hint="cs"/>
          <w:b/>
          <w:bCs/>
          <w:i/>
          <w:iCs/>
          <w:sz w:val="22"/>
          <w:szCs w:val="22"/>
          <w:rtl/>
        </w:rPr>
        <w:t>ישראל היום</w:t>
      </w:r>
    </w:p>
    <w:p w:rsidR="00CE6041" w:rsidRPr="00986937" w:rsidRDefault="00CE6041" w:rsidP="00692191">
      <w:pPr>
        <w:jc w:val="left"/>
        <w:rPr>
          <w:sz w:val="22"/>
          <w:szCs w:val="22"/>
          <w:rtl/>
        </w:rPr>
      </w:pPr>
    </w:p>
    <w:p w:rsidR="00F47D76" w:rsidRPr="00986937" w:rsidRDefault="00F47D76" w:rsidP="00692191">
      <w:pPr>
        <w:spacing w:after="60"/>
        <w:jc w:val="left"/>
        <w:rPr>
          <w:sz w:val="22"/>
          <w:szCs w:val="22"/>
        </w:rPr>
      </w:pPr>
      <w:r w:rsidRPr="00986937">
        <w:rPr>
          <w:sz w:val="22"/>
          <w:szCs w:val="22"/>
          <w:rtl/>
        </w:rPr>
        <w:t>קצת קשה להתרגל למספרים הללו, אבל מתברר שגדלנו, ולא רק בשנה. ערב השנה החדשה לפי מרשם האוכלוסין וההגירה, עם תחילת שנת תשע"ה כבר יש כמעט 9 מיליון ישראלים - 8,904,373 ליתר דיוק (חלקם אינם מתגוררים בישראל), מתוכם כ־6,104,000 יהודים (יש לציין כי לפי נתוני הלמ"ס, הרף של 6 מיליון יהודים נחצה כבר לפני שנה</w:t>
      </w:r>
      <w:r w:rsidR="00CE6041" w:rsidRPr="00986937">
        <w:rPr>
          <w:rFonts w:hint="cs"/>
          <w:sz w:val="22"/>
          <w:szCs w:val="22"/>
          <w:rtl/>
        </w:rPr>
        <w:t>).</w:t>
      </w:r>
      <w:r w:rsidRPr="00986937">
        <w:rPr>
          <w:sz w:val="22"/>
          <w:szCs w:val="22"/>
        </w:rPr>
        <w:t> </w:t>
      </w:r>
    </w:p>
    <w:p w:rsidR="00F47D76" w:rsidRPr="00986937" w:rsidRDefault="00F47D76" w:rsidP="00692191">
      <w:pPr>
        <w:spacing w:after="60"/>
        <w:jc w:val="left"/>
        <w:rPr>
          <w:sz w:val="22"/>
          <w:szCs w:val="22"/>
        </w:rPr>
      </w:pPr>
      <w:r w:rsidRPr="00986937">
        <w:rPr>
          <w:sz w:val="22"/>
          <w:szCs w:val="22"/>
          <w:rtl/>
        </w:rPr>
        <w:t>לשם השוואה, בשנה הקודמת לכך נרשמו בנתוני משרד הפנים 8,730,562 ישראלים. לפי נתוני הלמ"ס, מתוכם היו אז 6,066,000 יהודים. מהנתונים עולה כי מספר הבנים שנולדו בשנה העברית הנוכחית גדול ממספר הבנות. כך, 90,646 בנים נולדו בתשע"ד בעוד מספר הבנות שנולדו עמד על 85,584. בסך הכל נולדו 176,230 תינוקות שנרשמו בשנה המסתיימת לה בימים אלה. מדובר בעלייה ביחס לשנת תשע"ג, שבה נולדו 160,749 תינוקות</w:t>
      </w:r>
      <w:r w:rsidRPr="00986937">
        <w:rPr>
          <w:sz w:val="22"/>
          <w:szCs w:val="22"/>
        </w:rPr>
        <w:t>. </w:t>
      </w:r>
    </w:p>
    <w:p w:rsidR="00F47D76" w:rsidRPr="00986937" w:rsidRDefault="00F47D76" w:rsidP="00692191">
      <w:pPr>
        <w:spacing w:after="60"/>
        <w:jc w:val="left"/>
        <w:rPr>
          <w:sz w:val="22"/>
          <w:szCs w:val="22"/>
        </w:rPr>
      </w:pPr>
      <w:r w:rsidRPr="00986937">
        <w:rPr>
          <w:sz w:val="22"/>
          <w:szCs w:val="22"/>
          <w:rtl/>
        </w:rPr>
        <w:t>חיזוק ללידות מבית היה אפשר לקבל בזכות העולים מחו"ל. מספר העולים שנרשמו בשנת תשע"ד הוא 24,801 - גידול לעומת 16,968 עולים בתשע"ג</w:t>
      </w:r>
      <w:r w:rsidRPr="00986937">
        <w:rPr>
          <w:sz w:val="22"/>
          <w:szCs w:val="22"/>
        </w:rPr>
        <w:t>. </w:t>
      </w:r>
    </w:p>
    <w:p w:rsidR="00F47D76" w:rsidRPr="00986937" w:rsidRDefault="00F47D76" w:rsidP="00692191">
      <w:pPr>
        <w:spacing w:after="60"/>
        <w:jc w:val="left"/>
        <w:rPr>
          <w:sz w:val="22"/>
          <w:szCs w:val="22"/>
        </w:rPr>
      </w:pPr>
      <w:r w:rsidRPr="00986937">
        <w:rPr>
          <w:sz w:val="22"/>
          <w:szCs w:val="22"/>
          <w:rtl/>
        </w:rPr>
        <w:t xml:space="preserve">ולא מעט מהעולים ארצה מקווים גם למצוא בה אהבה. הם יכולים להתרשם מכך שבשנת תשע"ד נרשמו נישואיהם של 140,591 ישראלים, לעומת 127,052 ישראלים שנישאו בתשע"ג. מנגד, נרשמו בשנה העברית המסתיימת גירושיהם של 32,457 ישראלים, לעומת 29,616 גירושים של ישראלים בתשע"ג. </w:t>
      </w:r>
      <w:r w:rsidRPr="00986937">
        <w:rPr>
          <w:sz w:val="22"/>
          <w:szCs w:val="22"/>
        </w:rPr>
        <w:t> </w:t>
      </w:r>
    </w:p>
    <w:p w:rsidR="00F47D76" w:rsidRPr="00986937" w:rsidRDefault="00F47D76" w:rsidP="00692191">
      <w:pPr>
        <w:spacing w:after="60"/>
        <w:jc w:val="left"/>
        <w:rPr>
          <w:sz w:val="22"/>
          <w:szCs w:val="22"/>
        </w:rPr>
      </w:pPr>
      <w:r w:rsidRPr="00986937">
        <w:rPr>
          <w:b/>
          <w:bCs/>
          <w:sz w:val="22"/>
          <w:szCs w:val="22"/>
          <w:rtl/>
        </w:rPr>
        <w:t>רויטרס</w:t>
      </w:r>
    </w:p>
    <w:p w:rsidR="00CE6041" w:rsidRPr="00986937" w:rsidRDefault="00F47D76" w:rsidP="00692191">
      <w:pPr>
        <w:spacing w:after="60"/>
        <w:jc w:val="left"/>
        <w:rPr>
          <w:sz w:val="22"/>
          <w:szCs w:val="22"/>
          <w:rtl/>
        </w:rPr>
      </w:pPr>
      <w:r w:rsidRPr="00986937">
        <w:rPr>
          <w:sz w:val="22"/>
          <w:szCs w:val="22"/>
          <w:rtl/>
        </w:rPr>
        <w:t xml:space="preserve">ראש הממשלה בנימין נתניהו, שקיבל אתמול מהסטטיסטיקן הממשלתי פרופ' דני פפרמן את השנתון הסטטיסטי של שנת 2013, ציין בפתח ישיבת הממשלה כי "ערב ראש השנה אוכלוסיית ישראל עברה את 8 מיליון בני האדם, ולא פחות חשוב מזה - בפעם הראשונה בתולדות מדינת ישראל חיים בישראל יותר מ־6 מיליון יהודים". נתניהו הדגיש כי "למספר הזה יש משמעות כפולה ומכופלת לאור הנתיב שעבר עמנו במאה האחרונה גם לתוך המאה הזאת". מנתוני הלשכה המרכזית לסטטיסטיקה, שאליהם התייחס נתניהו, עולה כי בסוף השנה מנתה אוכלוסיית ישראל 8,134,000 נפש, מתוכם 6,104,000 יהודים, 1,683,000 ערבים ו־347 אלף אחרים. </w:t>
      </w:r>
    </w:p>
    <w:p w:rsidR="00F47D76" w:rsidRPr="00986937" w:rsidRDefault="00F47D76" w:rsidP="00692191">
      <w:pPr>
        <w:spacing w:after="60"/>
        <w:jc w:val="left"/>
        <w:rPr>
          <w:sz w:val="22"/>
          <w:szCs w:val="22"/>
        </w:rPr>
      </w:pPr>
      <w:r w:rsidRPr="00986937">
        <w:rPr>
          <w:sz w:val="22"/>
          <w:szCs w:val="22"/>
          <w:rtl/>
        </w:rPr>
        <w:t>יצוין כי הנתון שפורסם אתמול על ידי משרד הפנים כולל ישראלים ויהודים ששוהים בחו"ל, ולכן יש הבדל בין נתונים אלו ובין נתוני הלמ"ס</w:t>
      </w:r>
      <w:r w:rsidRPr="00986937">
        <w:rPr>
          <w:sz w:val="22"/>
          <w:szCs w:val="22"/>
        </w:rPr>
        <w:t>.</w:t>
      </w:r>
    </w:p>
    <w:p w:rsidR="008E7AEF" w:rsidRPr="00986937" w:rsidRDefault="008E7AEF" w:rsidP="00692191">
      <w:pPr>
        <w:jc w:val="left"/>
        <w:rPr>
          <w:sz w:val="22"/>
          <w:szCs w:val="22"/>
          <w:rtl/>
        </w:rPr>
      </w:pPr>
    </w:p>
    <w:p w:rsidR="00CE6041" w:rsidRPr="00986937" w:rsidRDefault="00CE6041" w:rsidP="00692191">
      <w:pPr>
        <w:spacing w:after="60"/>
        <w:jc w:val="left"/>
        <w:rPr>
          <w:sz w:val="22"/>
          <w:szCs w:val="22"/>
          <w:rtl/>
        </w:rPr>
      </w:pPr>
      <w:r w:rsidRPr="00986937">
        <w:rPr>
          <w:rFonts w:hint="cs"/>
          <w:sz w:val="22"/>
          <w:szCs w:val="22"/>
          <w:rtl/>
        </w:rPr>
        <w:t>=-=</w:t>
      </w:r>
    </w:p>
    <w:p w:rsidR="00CE6041" w:rsidRPr="00986937" w:rsidRDefault="00CE6041" w:rsidP="00692191">
      <w:pPr>
        <w:spacing w:after="60"/>
        <w:jc w:val="left"/>
        <w:rPr>
          <w:b/>
          <w:bCs/>
          <w:sz w:val="22"/>
          <w:szCs w:val="22"/>
        </w:rPr>
      </w:pPr>
      <w:r w:rsidRPr="00986937">
        <w:rPr>
          <w:b/>
          <w:bCs/>
          <w:sz w:val="22"/>
          <w:szCs w:val="22"/>
          <w:rtl/>
        </w:rPr>
        <w:t>עצמאות 65</w:t>
      </w:r>
      <w:r w:rsidRPr="00986937">
        <w:rPr>
          <w:b/>
          <w:bCs/>
          <w:sz w:val="22"/>
          <w:szCs w:val="22"/>
        </w:rPr>
        <w:t xml:space="preserve"> || </w:t>
      </w:r>
      <w:r w:rsidRPr="00986937">
        <w:rPr>
          <w:b/>
          <w:bCs/>
          <w:sz w:val="22"/>
          <w:szCs w:val="22"/>
          <w:rtl/>
        </w:rPr>
        <w:t>יותר מ-8 מיליון תושבים בישראל; 70% צברים</w:t>
      </w:r>
    </w:p>
    <w:p w:rsidR="00CE6041" w:rsidRPr="00986937" w:rsidRDefault="00CE6041" w:rsidP="00692191">
      <w:pPr>
        <w:spacing w:after="60"/>
        <w:jc w:val="left"/>
        <w:rPr>
          <w:b/>
          <w:bCs/>
          <w:sz w:val="22"/>
          <w:szCs w:val="22"/>
        </w:rPr>
      </w:pPr>
      <w:r w:rsidRPr="00986937">
        <w:rPr>
          <w:b/>
          <w:bCs/>
          <w:sz w:val="22"/>
          <w:szCs w:val="22"/>
          <w:rtl/>
        </w:rPr>
        <w:t>הלשכה המרכזית לסטטיסטיקה פירסמה היום: בישראל חיים 6.042 מיליון יהודים</w:t>
      </w:r>
    </w:p>
    <w:p w:rsidR="00CE6041" w:rsidRPr="00986937" w:rsidRDefault="005D7968" w:rsidP="000B7168">
      <w:pPr>
        <w:numPr>
          <w:ilvl w:val="0"/>
          <w:numId w:val="5"/>
        </w:numPr>
        <w:spacing w:after="60"/>
        <w:jc w:val="left"/>
        <w:rPr>
          <w:sz w:val="22"/>
          <w:szCs w:val="22"/>
        </w:rPr>
      </w:pPr>
      <w:hyperlink r:id="rId8" w:history="1">
        <w:r w:rsidR="00CE6041" w:rsidRPr="00986937">
          <w:rPr>
            <w:rStyle w:val="Hyperlink"/>
            <w:b/>
            <w:bCs/>
            <w:sz w:val="22"/>
            <w:szCs w:val="22"/>
            <w:rtl/>
          </w:rPr>
          <w:t>מוטי בסוק</w:t>
        </w:r>
      </w:hyperlink>
    </w:p>
    <w:p w:rsidR="00CE6041" w:rsidRPr="00986937" w:rsidRDefault="00CE6041" w:rsidP="000B7168">
      <w:pPr>
        <w:numPr>
          <w:ilvl w:val="0"/>
          <w:numId w:val="5"/>
        </w:numPr>
        <w:spacing w:after="60"/>
        <w:jc w:val="left"/>
        <w:rPr>
          <w:sz w:val="22"/>
          <w:szCs w:val="22"/>
        </w:rPr>
      </w:pPr>
      <w:r w:rsidRPr="00986937">
        <w:rPr>
          <w:sz w:val="22"/>
          <w:szCs w:val="22"/>
        </w:rPr>
        <w:t>14.04.</w:t>
      </w:r>
      <w:r w:rsidRPr="00986937">
        <w:rPr>
          <w:sz w:val="22"/>
          <w:szCs w:val="22"/>
          <w:highlight w:val="yellow"/>
        </w:rPr>
        <w:t>2013</w:t>
      </w:r>
      <w:r w:rsidR="00AA403D">
        <w:rPr>
          <w:rFonts w:hint="cs"/>
          <w:sz w:val="22"/>
          <w:szCs w:val="22"/>
          <w:rtl/>
        </w:rPr>
        <w:t xml:space="preserve">, </w:t>
      </w:r>
      <w:r w:rsidR="00AA403D" w:rsidRPr="00AA403D">
        <w:rPr>
          <w:rFonts w:hint="cs"/>
          <w:b/>
          <w:bCs/>
          <w:i/>
          <w:iCs/>
          <w:sz w:val="22"/>
          <w:szCs w:val="22"/>
          <w:rtl/>
        </w:rPr>
        <w:t>הארץ</w:t>
      </w:r>
    </w:p>
    <w:p w:rsidR="00CE6041" w:rsidRPr="00986937" w:rsidRDefault="00CE6041" w:rsidP="000B7168">
      <w:pPr>
        <w:numPr>
          <w:ilvl w:val="0"/>
          <w:numId w:val="5"/>
        </w:numPr>
        <w:spacing w:after="60"/>
        <w:jc w:val="left"/>
        <w:rPr>
          <w:sz w:val="22"/>
          <w:szCs w:val="22"/>
        </w:rPr>
      </w:pPr>
    </w:p>
    <w:p w:rsidR="00CE6041" w:rsidRPr="00986937" w:rsidRDefault="00CE6041" w:rsidP="00692191">
      <w:pPr>
        <w:spacing w:after="60"/>
        <w:jc w:val="left"/>
        <w:rPr>
          <w:sz w:val="22"/>
          <w:szCs w:val="22"/>
        </w:rPr>
      </w:pPr>
      <w:r w:rsidRPr="00986937">
        <w:rPr>
          <w:sz w:val="22"/>
          <w:szCs w:val="22"/>
          <w:rtl/>
        </w:rPr>
        <w:t>ערב יום העצמאות ה-65 למדינת ישראל, אוכלוסיית ישראל מונה לראשונה יותר מ-8 מיליון נפש. מנתונים שפירסמה היום הלשכה המרכזית לסטטיסטיקה עולה כי בישראל חיים 8.018 מיליון תושבים. עם קום המדינה חיו בארץ 806 אלף תושבים בלבד</w:t>
      </w:r>
      <w:r w:rsidRPr="00986937">
        <w:rPr>
          <w:sz w:val="22"/>
          <w:szCs w:val="22"/>
        </w:rPr>
        <w:t>.</w:t>
      </w:r>
    </w:p>
    <w:p w:rsidR="00CE6041" w:rsidRPr="00986937" w:rsidRDefault="00CE6041" w:rsidP="00692191">
      <w:pPr>
        <w:spacing w:after="60"/>
        <w:jc w:val="left"/>
        <w:rPr>
          <w:sz w:val="22"/>
          <w:szCs w:val="22"/>
        </w:rPr>
      </w:pPr>
      <w:r w:rsidRPr="00986937">
        <w:rPr>
          <w:sz w:val="22"/>
          <w:szCs w:val="22"/>
          <w:highlight w:val="yellow"/>
          <w:rtl/>
        </w:rPr>
        <w:t>בישראל חיים 6.042 מיליון יהודים (75.3% מכלל אזרחי המדינה) 1.658 מיליון ערבים (20.7%) ו-318 אלף (4%) נוצרים לא ערבים, בני דתות אחרות וחסרי סיווג דת במשרד הפנים. מספר תושבי המדינה אינו כולל את אוכלוסיית העובדים הזרים, המוערכת בלפחות 200 אלף איש</w:t>
      </w:r>
      <w:r w:rsidRPr="00986937">
        <w:rPr>
          <w:sz w:val="22"/>
          <w:szCs w:val="22"/>
          <w:highlight w:val="yellow"/>
        </w:rPr>
        <w:t>.</w:t>
      </w:r>
    </w:p>
    <w:p w:rsidR="00CE6041" w:rsidRPr="00986937" w:rsidRDefault="00CE6041" w:rsidP="00692191">
      <w:pPr>
        <w:spacing w:after="60"/>
        <w:jc w:val="left"/>
        <w:rPr>
          <w:sz w:val="22"/>
          <w:szCs w:val="22"/>
        </w:rPr>
      </w:pPr>
      <w:r w:rsidRPr="00986937">
        <w:rPr>
          <w:sz w:val="22"/>
          <w:szCs w:val="22"/>
          <w:rtl/>
        </w:rPr>
        <w:t>מאז יום העצמאות הקודם, גדלה אוכלוסיית ישראל בכ-137 אלף איש (1.8%), גידול דומה לזה שבשנים האחרונות. בתקופה זו נולדו כ-163 אלף תינוקות ונפטרו כ-41 אלף איש. מספר העולים שהגיעו לארץ היה כ-19.5 אלף</w:t>
      </w:r>
      <w:r w:rsidRPr="00986937">
        <w:rPr>
          <w:sz w:val="22"/>
          <w:szCs w:val="22"/>
        </w:rPr>
        <w:t>.</w:t>
      </w:r>
    </w:p>
    <w:p w:rsidR="00CE6041" w:rsidRPr="00986937" w:rsidRDefault="00CE6041" w:rsidP="00692191">
      <w:pPr>
        <w:spacing w:after="60"/>
        <w:jc w:val="left"/>
        <w:rPr>
          <w:sz w:val="22"/>
          <w:szCs w:val="22"/>
        </w:rPr>
      </w:pPr>
      <w:r w:rsidRPr="00986937">
        <w:rPr>
          <w:sz w:val="22"/>
          <w:szCs w:val="22"/>
          <w:rtl/>
        </w:rPr>
        <w:t>בסוף 2011 למעלה מ-70% מתושבי הארץ היו צברים, ילידי ישראל (יותר ממחציתם לפחות דור שני בארץ) לעומת 35% עם קום המדינה ב-1948</w:t>
      </w:r>
      <w:r w:rsidRPr="00986937">
        <w:rPr>
          <w:sz w:val="22"/>
          <w:szCs w:val="22"/>
        </w:rPr>
        <w:t>.</w:t>
      </w:r>
    </w:p>
    <w:p w:rsidR="00CE6041" w:rsidRDefault="00CE6041" w:rsidP="00692191">
      <w:pPr>
        <w:spacing w:after="60"/>
        <w:jc w:val="left"/>
        <w:rPr>
          <w:sz w:val="22"/>
          <w:szCs w:val="22"/>
          <w:rtl/>
        </w:rPr>
      </w:pPr>
      <w:r w:rsidRPr="00986937">
        <w:rPr>
          <w:sz w:val="22"/>
          <w:szCs w:val="22"/>
          <w:rtl/>
        </w:rPr>
        <w:t>ב-1948 רק עיר אחת בישראל מנתה יותר מ-100 אלף תושבים - תל אביב. היום יש בישראל 14 ערים המונות יותר מ-100 אלף תושבים, מהן שש עם יותר מ-200 אלף תושבים: ירושלים, תל אביב, חיפה, ראשון לציון, אשדוד ופתח תקווה</w:t>
      </w:r>
      <w:r w:rsidRPr="00986937">
        <w:rPr>
          <w:sz w:val="22"/>
          <w:szCs w:val="22"/>
        </w:rPr>
        <w:t>.</w:t>
      </w:r>
    </w:p>
    <w:p w:rsidR="00692191" w:rsidRPr="00986937" w:rsidRDefault="00692191" w:rsidP="00692191">
      <w:pPr>
        <w:spacing w:after="60"/>
        <w:jc w:val="left"/>
        <w:rPr>
          <w:sz w:val="22"/>
          <w:szCs w:val="22"/>
          <w:rtl/>
        </w:rPr>
      </w:pPr>
    </w:p>
    <w:p w:rsidR="00CE6041" w:rsidRPr="00986937" w:rsidRDefault="00986937" w:rsidP="00692191">
      <w:pPr>
        <w:spacing w:after="60"/>
        <w:jc w:val="left"/>
        <w:rPr>
          <w:sz w:val="22"/>
          <w:szCs w:val="22"/>
          <w:rtl/>
        </w:rPr>
      </w:pPr>
      <w:r w:rsidRPr="00986937">
        <w:rPr>
          <w:rFonts w:hint="cs"/>
          <w:sz w:val="22"/>
          <w:szCs w:val="22"/>
          <w:rtl/>
        </w:rPr>
        <w:t>=-=</w:t>
      </w:r>
    </w:p>
    <w:p w:rsidR="00986937" w:rsidRPr="00986937" w:rsidRDefault="00986937" w:rsidP="00692191">
      <w:pPr>
        <w:spacing w:after="60"/>
        <w:jc w:val="left"/>
        <w:rPr>
          <w:b/>
          <w:bCs/>
          <w:sz w:val="22"/>
          <w:szCs w:val="22"/>
        </w:rPr>
      </w:pPr>
      <w:r w:rsidRPr="00986937">
        <w:rPr>
          <w:b/>
          <w:bCs/>
          <w:sz w:val="22"/>
          <w:szCs w:val="22"/>
          <w:rtl/>
        </w:rPr>
        <w:t xml:space="preserve">בניגוד לטענות בימין: מסמך רשמי מראה כי 2.6 מיליון </w:t>
      </w:r>
      <w:r w:rsidRPr="00692191">
        <w:rPr>
          <w:b/>
          <w:bCs/>
          <w:sz w:val="22"/>
          <w:szCs w:val="22"/>
          <w:highlight w:val="yellow"/>
          <w:rtl/>
        </w:rPr>
        <w:t>פלסטינים מתגוררים בגדה</w:t>
      </w:r>
    </w:p>
    <w:p w:rsidR="00986937" w:rsidRPr="00986937" w:rsidRDefault="00986937" w:rsidP="00692191">
      <w:pPr>
        <w:spacing w:after="60"/>
        <w:jc w:val="left"/>
        <w:rPr>
          <w:sz w:val="22"/>
          <w:szCs w:val="22"/>
        </w:rPr>
      </w:pPr>
      <w:r w:rsidRPr="00986937">
        <w:rPr>
          <w:sz w:val="22"/>
          <w:szCs w:val="22"/>
          <w:rtl/>
        </w:rPr>
        <w:t>בשנים האחרונות ניטש מאבק עז יצרים על מספר הפלסטינים בשטחים. בימין אומרים כי בגדה חיים מיליון וחצי פלסטינים, אך הנתונים מספרים סיפור אחר</w:t>
      </w:r>
    </w:p>
    <w:p w:rsidR="00986937" w:rsidRPr="00986937" w:rsidRDefault="005D7968" w:rsidP="000B7168">
      <w:pPr>
        <w:numPr>
          <w:ilvl w:val="0"/>
          <w:numId w:val="6"/>
        </w:numPr>
        <w:spacing w:after="60"/>
        <w:jc w:val="left"/>
        <w:rPr>
          <w:sz w:val="22"/>
          <w:szCs w:val="22"/>
        </w:rPr>
      </w:pPr>
      <w:hyperlink r:id="rId9" w:history="1">
        <w:r w:rsidR="00986937" w:rsidRPr="00986937">
          <w:rPr>
            <w:rStyle w:val="Hyperlink"/>
            <w:b/>
            <w:bCs/>
            <w:sz w:val="22"/>
            <w:szCs w:val="22"/>
            <w:rtl/>
          </w:rPr>
          <w:t>ניר חסון</w:t>
        </w:r>
      </w:hyperlink>
    </w:p>
    <w:p w:rsidR="00986937" w:rsidRPr="00986937" w:rsidRDefault="00986937" w:rsidP="000B7168">
      <w:pPr>
        <w:numPr>
          <w:ilvl w:val="0"/>
          <w:numId w:val="6"/>
        </w:numPr>
        <w:spacing w:after="60"/>
        <w:jc w:val="left"/>
        <w:rPr>
          <w:sz w:val="22"/>
          <w:szCs w:val="22"/>
        </w:rPr>
      </w:pPr>
      <w:r w:rsidRPr="00986937">
        <w:rPr>
          <w:sz w:val="22"/>
          <w:szCs w:val="22"/>
        </w:rPr>
        <w:t>30.06.2013</w:t>
      </w:r>
      <w:r w:rsidR="00D71E41">
        <w:rPr>
          <w:rFonts w:hint="cs"/>
          <w:sz w:val="22"/>
          <w:szCs w:val="22"/>
          <w:rtl/>
        </w:rPr>
        <w:t xml:space="preserve">, </w:t>
      </w:r>
      <w:r w:rsidR="00D71E41" w:rsidRPr="00D71E41">
        <w:rPr>
          <w:rFonts w:hint="cs"/>
          <w:b/>
          <w:bCs/>
          <w:i/>
          <w:iCs/>
          <w:sz w:val="22"/>
          <w:szCs w:val="22"/>
          <w:rtl/>
        </w:rPr>
        <w:t>הארץ</w:t>
      </w:r>
    </w:p>
    <w:p w:rsidR="00986937" w:rsidRPr="00AE44B8" w:rsidRDefault="00986937" w:rsidP="00692191">
      <w:pPr>
        <w:spacing w:after="60"/>
        <w:jc w:val="left"/>
        <w:rPr>
          <w:sz w:val="22"/>
          <w:szCs w:val="22"/>
        </w:rPr>
      </w:pPr>
      <w:r w:rsidRPr="00AE44B8">
        <w:rPr>
          <w:sz w:val="22"/>
          <w:szCs w:val="22"/>
          <w:rtl/>
        </w:rPr>
        <w:t>במאי 2012 חיו בגדה המערבית 2,657,029 פלסטינים – כך מתברר ממסמך של המינהל האזרחי שהגיע לידי "הארץ". בנוסף, המסמך מצביע על עלייה של 29% במספר הפלסטינים מאז שנת 2000. אבל בשנים האחרונות ניטש מאבק עז יצרים על מספר הפלסטינים הגרים בשטחים, וקבוצת חוקרים בשם "הצוות האמריקאי-ישראלי לדמוגרפיה", מנסה זה שמונה שנים להוכיח שהפלסטינים הצליחו בתחכום רב להוסיף למספרם עוד כמיליון איש. אף שאין לטענות הקבוצה סימוכין בקרב מומחי הדמוגרפיה בארץ ובעולם, היא זוכה לעדנה רבה בין דוברים ופוליטיקאים בימין</w:t>
      </w:r>
      <w:r w:rsidRPr="00AE44B8">
        <w:rPr>
          <w:sz w:val="22"/>
          <w:szCs w:val="22"/>
        </w:rPr>
        <w:t>.</w:t>
      </w:r>
    </w:p>
    <w:p w:rsidR="00986937" w:rsidRPr="00AE44B8" w:rsidRDefault="00986937" w:rsidP="00692191">
      <w:pPr>
        <w:spacing w:after="60"/>
        <w:jc w:val="left"/>
        <w:rPr>
          <w:sz w:val="22"/>
          <w:szCs w:val="22"/>
        </w:rPr>
      </w:pPr>
      <w:r w:rsidRPr="00AE44B8">
        <w:rPr>
          <w:sz w:val="22"/>
          <w:szCs w:val="22"/>
          <w:rtl/>
        </w:rPr>
        <w:t>לטענת הצוות האמריקאי-ישראלי, בגדה חיים מיליון וחצי פלסטינים. טיעון נוסף ולא פחות חשוב של הצוות הוא שהזמן והדמוגרפיה פועלים לטובת ישראל ולא לטובת הפלסטינים. את הנתון אימצו חלקים בימין – מיו"ר הבית היהודי נפתלי בנט, דרך ח"כ ציפי חוטובלי (ליכוד) ועד משה ארנס. מסקנתם היא שאם יש רק מיליון וחצי פלסטינים, והשד דמוגרפי אינו קיים, אין צורך להיכנס למו"מ על הקמת מדינה פלסטינית; הגיע הזמן לדבר על אופן סיפוח השטחים והתושבים</w:t>
      </w:r>
      <w:r w:rsidRPr="00AE44B8">
        <w:rPr>
          <w:sz w:val="22"/>
          <w:szCs w:val="22"/>
        </w:rPr>
        <w:t>.</w:t>
      </w:r>
    </w:p>
    <w:p w:rsidR="00986937" w:rsidRPr="00AE44B8" w:rsidRDefault="00986937" w:rsidP="00692191">
      <w:pPr>
        <w:spacing w:after="60"/>
        <w:jc w:val="left"/>
        <w:rPr>
          <w:sz w:val="22"/>
          <w:szCs w:val="22"/>
        </w:rPr>
      </w:pPr>
      <w:r w:rsidRPr="00AE44B8">
        <w:rPr>
          <w:sz w:val="22"/>
          <w:szCs w:val="22"/>
          <w:rtl/>
        </w:rPr>
        <w:t>ח"כ חוטובלי מאמינה שבטווח ארוך, ישראל יכולה לאזרח את כל הפלסטינים בגדה ולשמור על זהותה היהודית. "יש מיליון וחצי פלסטינים ביהודה ושומרון ו-400 אלף מתנחלים, ואף אחד לא הולך לשום מקום</w:t>
      </w:r>
      <w:r w:rsidRPr="00AE44B8">
        <w:rPr>
          <w:sz w:val="22"/>
          <w:szCs w:val="22"/>
        </w:rPr>
        <w:t>", </w:t>
      </w:r>
      <w:hyperlink r:id="rId10" w:history="1">
        <w:r w:rsidRPr="00AE44B8">
          <w:rPr>
            <w:rStyle w:val="Hyperlink"/>
            <w:sz w:val="22"/>
            <w:szCs w:val="22"/>
            <w:rtl/>
          </w:rPr>
          <w:t>אמר לאחרונה בנט בריאיון לוושינגטון פוסט</w:t>
        </w:r>
      </w:hyperlink>
      <w:r w:rsidRPr="00AE44B8">
        <w:rPr>
          <w:sz w:val="22"/>
          <w:szCs w:val="22"/>
        </w:rPr>
        <w:t xml:space="preserve">. </w:t>
      </w:r>
      <w:r w:rsidRPr="00AE44B8">
        <w:rPr>
          <w:sz w:val="22"/>
          <w:szCs w:val="22"/>
          <w:rtl/>
        </w:rPr>
        <w:t>כשבודקים מהיכן נלקח המספר מיליון וחצי, מגיעים תמיד לאותו המקום – הצוות האמריקאי-ישראלי לדמוגרפיה. "מה שהקבוצה הזאת עושה גובל בפשע, זו הונאת מקרו", אומר הגיאוגרף</w:t>
      </w:r>
      <w:r w:rsidRPr="00AE44B8">
        <w:rPr>
          <w:sz w:val="22"/>
          <w:szCs w:val="22"/>
        </w:rPr>
        <w:t>,</w:t>
      </w:r>
      <w:r w:rsidR="00AA403D" w:rsidRPr="00AE44B8">
        <w:rPr>
          <w:sz w:val="22"/>
          <w:szCs w:val="22"/>
        </w:rPr>
        <w:t xml:space="preserve"> </w:t>
      </w:r>
      <w:hyperlink r:id="rId11" w:history="1">
        <w:r w:rsidRPr="00AE44B8">
          <w:rPr>
            <w:rStyle w:val="Hyperlink"/>
            <w:sz w:val="22"/>
            <w:szCs w:val="22"/>
            <w:rtl/>
          </w:rPr>
          <w:t>הפרופ' ארנון סופר</w:t>
        </w:r>
      </w:hyperlink>
      <w:r w:rsidRPr="00AE44B8">
        <w:rPr>
          <w:sz w:val="22"/>
          <w:szCs w:val="22"/>
        </w:rPr>
        <w:t xml:space="preserve">, </w:t>
      </w:r>
      <w:r w:rsidRPr="00AE44B8">
        <w:rPr>
          <w:sz w:val="22"/>
          <w:szCs w:val="22"/>
          <w:rtl/>
        </w:rPr>
        <w:t>גדול המבקרים של פעילות הקבוצה</w:t>
      </w:r>
      <w:r w:rsidRPr="00AE44B8">
        <w:rPr>
          <w:sz w:val="22"/>
          <w:szCs w:val="22"/>
        </w:rPr>
        <w:t>.</w:t>
      </w:r>
    </w:p>
    <w:p w:rsidR="00986937" w:rsidRPr="00AE44B8" w:rsidRDefault="00986937" w:rsidP="00692191">
      <w:pPr>
        <w:spacing w:after="60"/>
        <w:jc w:val="left"/>
        <w:rPr>
          <w:sz w:val="22"/>
          <w:szCs w:val="22"/>
        </w:rPr>
      </w:pPr>
      <w:r w:rsidRPr="00AE44B8">
        <w:rPr>
          <w:sz w:val="22"/>
          <w:szCs w:val="22"/>
          <w:rtl/>
        </w:rPr>
        <w:t>אחד מראשי צוות הוא יורם אטינגר, איש ימין ודיפלומט לשעבר. בצוות המדעי שאחראי לנתונים חברים בנט צימרמן, אנליסט של בנק השקעות, ולצדו מייקל זייד, ד"ר לפיזיקה, וההיסטוריונית רוברטה זייד. המסמך שלהם פורסם זמן קצר לפני ההתנתקות ב-2005 ונתפס אז כניסיון לבלום את ההתנתקות באמצעות ערעור על הנתונים הדמוגרפיים. זאת, באמצעות ערעור על שני מפקדי האוכלוסין של הרשות הפלסטינית ב-1997 וב-2007, המפקדים היחידים בשטחים מאז 1967. הם נעשו בפיקוח ממשלת נורבגיה</w:t>
      </w:r>
      <w:r w:rsidRPr="00AE44B8">
        <w:rPr>
          <w:sz w:val="22"/>
          <w:szCs w:val="22"/>
        </w:rPr>
        <w:t>.</w:t>
      </w:r>
    </w:p>
    <w:p w:rsidR="00986937" w:rsidRPr="00AE44B8" w:rsidRDefault="00986937" w:rsidP="00692191">
      <w:pPr>
        <w:spacing w:after="60"/>
        <w:jc w:val="left"/>
        <w:rPr>
          <w:sz w:val="22"/>
          <w:szCs w:val="22"/>
        </w:rPr>
      </w:pPr>
      <w:r w:rsidRPr="00AE44B8">
        <w:rPr>
          <w:sz w:val="22"/>
          <w:szCs w:val="22"/>
          <w:rtl/>
        </w:rPr>
        <w:t>על בסיס המפקדים האלו מעריכים הפלסטינים, ובעקבותיהם צה"ל, האו"ם, השב"כ, כל מדינות העולם ורוב הדמוגרפים בארץ, את מספר הפלסטינים בגדה ב-2.7-2.6 מיליון איש</w:t>
      </w:r>
      <w:r w:rsidRPr="00AE44B8">
        <w:rPr>
          <w:sz w:val="22"/>
          <w:szCs w:val="22"/>
        </w:rPr>
        <w:t>.</w:t>
      </w:r>
    </w:p>
    <w:p w:rsidR="00986937" w:rsidRPr="00AE44B8" w:rsidRDefault="00986937" w:rsidP="00692191">
      <w:pPr>
        <w:spacing w:after="60"/>
        <w:jc w:val="left"/>
        <w:rPr>
          <w:sz w:val="22"/>
          <w:szCs w:val="22"/>
        </w:rPr>
      </w:pPr>
      <w:r w:rsidRPr="00AE44B8">
        <w:rPr>
          <w:sz w:val="22"/>
          <w:szCs w:val="22"/>
          <w:highlight w:val="yellow"/>
          <w:rtl/>
        </w:rPr>
        <w:t>לטענת הצוות האמריקאי-ישראלי, המפקדים מעוותים מכמה סיבות: מפני שבחישובים מונים הפלסטינים את 300 אלף תושבי מזרח ירושלים כפלסטינים, בעוד ישראל מונה אותם כערביי ישראל; עוד טוענים חברי הצוות, שהפלסטינים מכלילים תושבים שעזבו את הגדה לפני שנים רבות; ושלישית, הם מציגים גידול אוכלוסין בלתי מוסבר, יותר מדי לידות ופחות מדי מיתות</w:t>
      </w:r>
      <w:r w:rsidRPr="00AE44B8">
        <w:rPr>
          <w:sz w:val="22"/>
          <w:szCs w:val="22"/>
          <w:highlight w:val="yellow"/>
        </w:rPr>
        <w:t>.</w:t>
      </w:r>
    </w:p>
    <w:p w:rsidR="00986937" w:rsidRPr="00AE44B8" w:rsidRDefault="00986937" w:rsidP="00692191">
      <w:pPr>
        <w:spacing w:after="60"/>
        <w:jc w:val="left"/>
        <w:rPr>
          <w:sz w:val="22"/>
          <w:szCs w:val="22"/>
        </w:rPr>
      </w:pPr>
      <w:r w:rsidRPr="00AE44B8">
        <w:rPr>
          <w:sz w:val="22"/>
          <w:szCs w:val="22"/>
        </w:rPr>
        <w:t>"</w:t>
      </w:r>
      <w:r w:rsidRPr="00AE44B8">
        <w:rPr>
          <w:sz w:val="22"/>
          <w:szCs w:val="22"/>
          <w:rtl/>
        </w:rPr>
        <w:t>אלה לא בהכרח שקרים", אומר אטינגר, "אבל הפלסטינים סופרים אחרת. הבעיה היא לא אתם, הבעיה היא עם אלו שמקבלים את הנתונים שלהם בלי לבדוק. למשל, בעניין הלידות יש שם עבודה מאוד לא מדויקת, בלשון המעטה". אנשי הצוות מצביעים על ירידה דרמטית בפריון בחברה הערבית בכל המזרח התיכון. לדברי אטינגר, הפריון של אשה יהודיה בישראל גבוה היום משל נשים במדינות שכנות</w:t>
      </w:r>
      <w:r w:rsidRPr="00AE44B8">
        <w:rPr>
          <w:sz w:val="22"/>
          <w:szCs w:val="22"/>
        </w:rPr>
        <w:t>.</w:t>
      </w:r>
    </w:p>
    <w:p w:rsidR="00986937" w:rsidRPr="00AE44B8" w:rsidRDefault="005D7968" w:rsidP="00692191">
      <w:pPr>
        <w:spacing w:after="60"/>
        <w:jc w:val="left"/>
        <w:rPr>
          <w:sz w:val="22"/>
          <w:szCs w:val="22"/>
        </w:rPr>
      </w:pPr>
      <w:hyperlink r:id="rId12" w:history="1">
        <w:r w:rsidR="00986937" w:rsidRPr="00AE44B8">
          <w:rPr>
            <w:rStyle w:val="Hyperlink"/>
            <w:sz w:val="22"/>
            <w:szCs w:val="22"/>
            <w:rtl/>
          </w:rPr>
          <w:t>הפרופ' סופר ידוע זה שנים ארוכות כנביא זעם דמוגרפי</w:t>
        </w:r>
      </w:hyperlink>
      <w:r w:rsidR="00986937" w:rsidRPr="00AE44B8">
        <w:rPr>
          <w:sz w:val="22"/>
          <w:szCs w:val="22"/>
        </w:rPr>
        <w:t xml:space="preserve">. </w:t>
      </w:r>
      <w:r w:rsidR="00986937" w:rsidRPr="00AE44B8">
        <w:rPr>
          <w:sz w:val="22"/>
          <w:szCs w:val="22"/>
          <w:rtl/>
        </w:rPr>
        <w:t>פגישתו עם ראש הממשלה לשעבר, אריאל שרון בשנת 2004, נחשבת אבן דרך בהחלטת אריאל שרון לצאת מרצועת עזה. בעיניו, הצוות הישראל-אמריקאי הוא חבורה של שרלטנים שעושם מעשי רמייה מסוכנים, מסיבות פוליטיות. כבר ב-2007 פרסם סופר, עם יניב גמבש, מסמך ארוך, בשם "תעתועי פער המיליון", שמתייחס לטענות הצוות. המסמך, שגולש לעתים ללשון לא-אקדמית, קובע שכל 21 ההנחות במסמך של הצוות הישראלי-אמריקאי פגומות מדעית</w:t>
      </w:r>
      <w:r w:rsidR="00986937" w:rsidRPr="00AE44B8">
        <w:rPr>
          <w:sz w:val="22"/>
          <w:szCs w:val="22"/>
        </w:rPr>
        <w:t>. </w:t>
      </w:r>
    </w:p>
    <w:p w:rsidR="00986937" w:rsidRPr="00AE44B8" w:rsidRDefault="00986937" w:rsidP="00692191">
      <w:pPr>
        <w:spacing w:after="60"/>
        <w:jc w:val="left"/>
        <w:rPr>
          <w:sz w:val="22"/>
          <w:szCs w:val="22"/>
          <w:highlight w:val="yellow"/>
        </w:rPr>
      </w:pPr>
      <w:r w:rsidRPr="00AE44B8">
        <w:rPr>
          <w:sz w:val="22"/>
          <w:szCs w:val="22"/>
        </w:rPr>
        <w:t>"</w:t>
      </w:r>
      <w:r w:rsidRPr="00AE44B8">
        <w:rPr>
          <w:sz w:val="22"/>
          <w:szCs w:val="22"/>
          <w:highlight w:val="yellow"/>
          <w:rtl/>
        </w:rPr>
        <w:t>קח, למשל, את נושא התמותה", אומר סופר. "היהודים שייכים לעם נורמלי שיש לו הרבה זקנים, באוכלוסייה הערבית אין הרבה מבוגרים ולא מתים שם הרבה. בתוך ישראל, על כל 1,000 איש יש כשישה מתים בשנה, אצל הערבים - 2.5</w:t>
      </w:r>
      <w:r w:rsidRPr="00AE44B8">
        <w:rPr>
          <w:sz w:val="22"/>
          <w:szCs w:val="22"/>
          <w:highlight w:val="yellow"/>
        </w:rPr>
        <w:t>".</w:t>
      </w:r>
    </w:p>
    <w:p w:rsidR="00986937" w:rsidRPr="00AE44B8" w:rsidRDefault="00986937" w:rsidP="00692191">
      <w:pPr>
        <w:spacing w:after="60"/>
        <w:jc w:val="left"/>
        <w:rPr>
          <w:sz w:val="22"/>
          <w:szCs w:val="22"/>
        </w:rPr>
      </w:pPr>
      <w:r w:rsidRPr="00AE44B8">
        <w:rPr>
          <w:sz w:val="22"/>
          <w:szCs w:val="22"/>
          <w:highlight w:val="yellow"/>
          <w:rtl/>
        </w:rPr>
        <w:t>סופר מסכים שיש ירידה בילודה, אבל מכיוון ששיעור הדור הצעיר בשטחים גדול מאוד ביחס לשאר האוכלוסייה, נוצר "מומנטום דמוגרפי", שלפיו מספר הלידות של פלסטיניות אמנם יורד, אף בגלל שיעור הצעירים הגבוה מספר האמהות יהיה גדול בשנים הקרובות</w:t>
      </w:r>
      <w:r w:rsidRPr="00AE44B8">
        <w:rPr>
          <w:sz w:val="22"/>
          <w:szCs w:val="22"/>
        </w:rPr>
        <w:t>.</w:t>
      </w:r>
    </w:p>
    <w:p w:rsidR="00986937" w:rsidRPr="00AE44B8" w:rsidRDefault="00986937" w:rsidP="00692191">
      <w:pPr>
        <w:spacing w:after="60"/>
        <w:jc w:val="left"/>
        <w:rPr>
          <w:sz w:val="22"/>
          <w:szCs w:val="22"/>
        </w:rPr>
      </w:pPr>
      <w:r w:rsidRPr="00AE44B8">
        <w:rPr>
          <w:sz w:val="22"/>
          <w:szCs w:val="22"/>
        </w:rPr>
        <w:t>"</w:t>
      </w:r>
      <w:r w:rsidRPr="00AE44B8">
        <w:rPr>
          <w:sz w:val="22"/>
          <w:szCs w:val="22"/>
          <w:highlight w:val="yellow"/>
          <w:rtl/>
        </w:rPr>
        <w:t>חברי הצוות גם מספרים שבכל שנה עוזבים בין 60 ל-80 אלף איש את הארץ. אז אם תהיה לנו סבלנות, עוד כמה שנים הערבי האחרון יכבה את האור. תאמין לי, הייתי בכל המעברים, אין דבר כזה. זה בלבול מוח. הם גם טוענים שצריך להוריד מהספירה 400 אלף פלסטינים שגרים בחו"ל, אבל מה מספר הצברים שיושבים בניו-יורק</w:t>
      </w:r>
      <w:r w:rsidRPr="00AE44B8">
        <w:rPr>
          <w:sz w:val="22"/>
          <w:szCs w:val="22"/>
          <w:highlight w:val="yellow"/>
        </w:rPr>
        <w:t>?".</w:t>
      </w:r>
    </w:p>
    <w:p w:rsidR="00986937" w:rsidRPr="00AE44B8" w:rsidRDefault="00986937" w:rsidP="00692191">
      <w:pPr>
        <w:spacing w:after="60"/>
        <w:jc w:val="left"/>
        <w:rPr>
          <w:sz w:val="22"/>
          <w:szCs w:val="22"/>
        </w:rPr>
      </w:pPr>
      <w:r w:rsidRPr="00AE44B8">
        <w:rPr>
          <w:sz w:val="22"/>
          <w:szCs w:val="22"/>
          <w:rtl/>
        </w:rPr>
        <w:t>הוויכוח מתנקז בסופו של דבר לשאלה מספרית פשוטה – האם יש רוב יהודי בין הירדן לים? לדברי אטינגר, הרוב היהודי קיים ומוצק. לדבריו, שיעור היהודים בקרב התושבים בין הים לירדן הוא 66%. חשוב מכך, בשל השינוי בשיעורי הפריון, הרוב יציב. "אין פצצת זמן ערבית, יש רוח גבית יהודית", הוא אומר</w:t>
      </w:r>
      <w:r w:rsidRPr="00AE44B8">
        <w:rPr>
          <w:sz w:val="22"/>
          <w:szCs w:val="22"/>
        </w:rPr>
        <w:t>.</w:t>
      </w:r>
    </w:p>
    <w:p w:rsidR="00986937" w:rsidRPr="00AE44B8" w:rsidRDefault="00986937" w:rsidP="00692191">
      <w:pPr>
        <w:spacing w:after="60"/>
        <w:jc w:val="left"/>
        <w:rPr>
          <w:sz w:val="22"/>
          <w:szCs w:val="22"/>
        </w:rPr>
      </w:pPr>
      <w:r w:rsidRPr="00AE44B8">
        <w:rPr>
          <w:sz w:val="22"/>
          <w:szCs w:val="22"/>
          <w:rtl/>
        </w:rPr>
        <w:t xml:space="preserve">הנתונים של סופר, המקובלים על כל מי שעוסק בדבר, מספרים סיפור אחר: </w:t>
      </w:r>
      <w:r w:rsidRPr="00AE44B8">
        <w:rPr>
          <w:sz w:val="22"/>
          <w:szCs w:val="22"/>
          <w:highlight w:val="yellow"/>
          <w:rtl/>
        </w:rPr>
        <w:t>בישראל חיים 6.2 מיליון יהודים ואחרים; בעזה חיים 1.7 מיליון פלסטינים; בגדה חיים כ-2.5 מיליון פלסטינים. בישראל חיים עוד 1.6 מיליון פלסטינים, לא כולל דרוזים. כך שיוצא שיש 5.8 מיליון ערבים ו-6.2 מיליון יהודים. "תוסיף לזה 60 אלף מסתננים, 120 אלף תיירים כביכול שנשארו בישראל, 300 אלף פלסטינים שנכנסו מאז 67' וחיים בישראל, עובדים זרים, ויוצא שנכון להיום אנחנו 49% בין הירדן לים". "אם זה היה ויכוח אקדמי, לא היה שווה לי להתעסק אתם", אומר סופר, "אבל פתאום בוגי (משה יעלון, שר הביטחון) אומר לי שאין לנו בעיה דמוגרפית</w:t>
      </w:r>
      <w:r w:rsidRPr="00AE44B8">
        <w:rPr>
          <w:sz w:val="22"/>
          <w:szCs w:val="22"/>
          <w:highlight w:val="yellow"/>
        </w:rPr>
        <w:t>".</w:t>
      </w:r>
      <w:r w:rsidRPr="00AE44B8">
        <w:rPr>
          <w:sz w:val="22"/>
          <w:szCs w:val="22"/>
        </w:rPr>
        <w:t xml:space="preserve">  </w:t>
      </w:r>
    </w:p>
    <w:p w:rsidR="00986937" w:rsidRPr="00D71E41" w:rsidRDefault="00986937" w:rsidP="00692191">
      <w:pPr>
        <w:spacing w:after="60"/>
        <w:jc w:val="left"/>
        <w:rPr>
          <w:sz w:val="20"/>
          <w:szCs w:val="20"/>
          <w:rtl/>
        </w:rPr>
      </w:pPr>
      <w:r w:rsidRPr="00AE44B8">
        <w:rPr>
          <w:sz w:val="22"/>
          <w:szCs w:val="22"/>
        </w:rPr>
        <w:t>"</w:t>
      </w:r>
      <w:r w:rsidRPr="00AE44B8">
        <w:rPr>
          <w:sz w:val="22"/>
          <w:szCs w:val="22"/>
          <w:rtl/>
        </w:rPr>
        <w:t>הדיון על עתיד השטחים חשוב מספיק כדי שנקיים אותו על בסיס עובדות ונתונים אמיתיים", אומר ד"ר אסף שרון, מנהלה האקדמי של מולד, מכון מחקר שמאל. "ה'עובדות' עליהן מבוססת האסטרטגיה של הימין האידיאולוגי משוללות יסוד. אנשי הימין שוכחים ששקר שחוזרים עליו ללא הרף לא הופך לאמת. סיפוח השטחים פירושו מדינה דו-לאומית. אפשר לתמוך בזה ואפשר להתנגד לזה, אבל אי אפשר להכחיש את זה</w:t>
      </w:r>
      <w:r w:rsidRPr="00AE44B8">
        <w:rPr>
          <w:sz w:val="22"/>
          <w:szCs w:val="22"/>
        </w:rPr>
        <w:t>".</w:t>
      </w:r>
    </w:p>
    <w:p w:rsidR="00986937" w:rsidRDefault="00AB6AB5" w:rsidP="00986937">
      <w:pPr>
        <w:spacing w:after="60"/>
        <w:rPr>
          <w:sz w:val="22"/>
          <w:szCs w:val="22"/>
          <w:rtl/>
        </w:rPr>
      </w:pPr>
      <w:r>
        <w:rPr>
          <w:rFonts w:hint="cs"/>
          <w:sz w:val="22"/>
          <w:szCs w:val="22"/>
          <w:rtl/>
        </w:rPr>
        <w:t>=-=</w:t>
      </w:r>
    </w:p>
    <w:p w:rsidR="00AB6AB5" w:rsidRDefault="005D7968" w:rsidP="00986937">
      <w:pPr>
        <w:spacing w:after="60"/>
        <w:rPr>
          <w:sz w:val="22"/>
          <w:szCs w:val="22"/>
          <w:rtl/>
        </w:rPr>
      </w:pPr>
      <w:hyperlink r:id="rId13" w:history="1">
        <w:r w:rsidR="00AB6AB5" w:rsidRPr="0093342C">
          <w:rPr>
            <w:rStyle w:val="Hyperlink"/>
            <w:sz w:val="22"/>
            <w:szCs w:val="22"/>
          </w:rPr>
          <w:t>http://library.kiwix.org/wikipedia_he_all/A/%D7%A8%D7%A6%D7%95%D7%A2%D7%AA%20%D7%A2%D7%96%D7%94.html</w:t>
        </w:r>
      </w:hyperlink>
    </w:p>
    <w:p w:rsidR="00AB6AB5" w:rsidRDefault="00AB6AB5" w:rsidP="00AB6AB5">
      <w:pPr>
        <w:pStyle w:val="Heading1"/>
        <w:pBdr>
          <w:bottom w:val="single" w:sz="4" w:space="0" w:color="AAAAAA"/>
        </w:pBdr>
        <w:shd w:val="clear" w:color="auto" w:fill="FFFFFF"/>
        <w:spacing w:after="120" w:line="288" w:lineRule="atLeast"/>
        <w:rPr>
          <w:rFonts w:ascii="Arial" w:hAnsi="Arial" w:cs="Arial"/>
          <w:b w:val="0"/>
          <w:bCs w:val="0"/>
          <w:color w:val="000000"/>
          <w:sz w:val="38"/>
          <w:szCs w:val="38"/>
        </w:rPr>
      </w:pPr>
      <w:r>
        <w:rPr>
          <w:rFonts w:ascii="Arial" w:hAnsi="Arial" w:cs="Arial"/>
          <w:b w:val="0"/>
          <w:bCs w:val="0"/>
          <w:color w:val="000000"/>
          <w:sz w:val="38"/>
          <w:szCs w:val="38"/>
          <w:rtl/>
        </w:rPr>
        <w:t>רצועת עזה</w:t>
      </w:r>
    </w:p>
    <w:p w:rsidR="00AB6AB5" w:rsidRDefault="00AB6AB5" w:rsidP="00AB6AB5">
      <w:pPr>
        <w:spacing w:line="243" w:lineRule="atLeast"/>
        <w:rPr>
          <w:rFonts w:ascii="Arial" w:hAnsi="Arial" w:cs="Arial"/>
          <w:color w:val="000000"/>
          <w:sz w:val="20"/>
          <w:szCs w:val="20"/>
          <w:rtl/>
        </w:rPr>
      </w:pPr>
      <w:r>
        <w:rPr>
          <w:rFonts w:ascii="Arial" w:hAnsi="Arial" w:cs="Arial"/>
          <w:color w:val="000000"/>
          <w:sz w:val="20"/>
          <w:szCs w:val="20"/>
          <w:rtl/>
        </w:rPr>
        <w:t>מתוך ויקיפדיה, האנציקלופדיה החופשית</w:t>
      </w:r>
    </w:p>
    <w:p w:rsidR="00AB6AB5" w:rsidRDefault="00AB6AB5" w:rsidP="00AB6AB5">
      <w:pPr>
        <w:spacing w:line="243" w:lineRule="atLeast"/>
        <w:rPr>
          <w:rFonts w:ascii="Arial" w:hAnsi="Arial" w:cs="Arial"/>
          <w:color w:val="000000"/>
          <w:sz w:val="20"/>
          <w:szCs w:val="20"/>
        </w:rPr>
      </w:pPr>
    </w:p>
    <w:p w:rsidR="00AB6AB5" w:rsidRDefault="00AB6AB5" w:rsidP="00AB6AB5">
      <w:pPr>
        <w:pStyle w:val="NormalWeb"/>
        <w:bidi/>
        <w:spacing w:before="0" w:beforeAutospacing="0" w:after="0" w:afterAutospacing="0"/>
        <w:rPr>
          <w:rFonts w:ascii="Arial" w:hAnsi="Arial" w:cs="Arial"/>
          <w:color w:val="000000"/>
          <w:sz w:val="19"/>
          <w:szCs w:val="19"/>
        </w:rPr>
      </w:pPr>
      <w:r>
        <w:rPr>
          <w:rFonts w:ascii="Arial" w:hAnsi="Arial" w:cs="Arial"/>
          <w:b/>
          <w:bCs/>
          <w:color w:val="000000"/>
          <w:sz w:val="19"/>
          <w:szCs w:val="19"/>
          <w:rtl/>
        </w:rPr>
        <w:t>רצועת עזה</w:t>
      </w:r>
      <w:r>
        <w:rPr>
          <w:rStyle w:val="apple-converted-space"/>
          <w:rFonts w:ascii="Arial" w:hAnsi="Arial" w:cs="Arial"/>
          <w:color w:val="000000"/>
          <w:sz w:val="19"/>
          <w:szCs w:val="19"/>
        </w:rPr>
        <w:t> </w:t>
      </w:r>
      <w:r>
        <w:rPr>
          <w:rFonts w:ascii="Arial" w:hAnsi="Arial" w:cs="Arial"/>
          <w:color w:val="000000"/>
          <w:sz w:val="19"/>
          <w:szCs w:val="19"/>
        </w:rPr>
        <w:t>(</w:t>
      </w:r>
      <w:r>
        <w:rPr>
          <w:rFonts w:ascii="Arial" w:hAnsi="Arial" w:cs="Arial"/>
          <w:color w:val="000000"/>
          <w:sz w:val="19"/>
          <w:szCs w:val="19"/>
          <w:rtl/>
        </w:rPr>
        <w:t>ב</w:t>
      </w:r>
      <w:hyperlink r:id="rId14" w:history="1">
        <w:r>
          <w:rPr>
            <w:rStyle w:val="Hyperlink"/>
            <w:rFonts w:ascii="Arial" w:hAnsi="Arial" w:cs="Arial"/>
            <w:color w:val="5A3696"/>
            <w:sz w:val="19"/>
            <w:szCs w:val="19"/>
            <w:rtl/>
          </w:rPr>
          <w:t>ערבית</w:t>
        </w:r>
      </w:hyperlink>
      <w:r>
        <w:rPr>
          <w:rFonts w:ascii="Arial" w:hAnsi="Arial" w:cs="Arial"/>
          <w:color w:val="000000"/>
          <w:sz w:val="19"/>
          <w:szCs w:val="19"/>
        </w:rPr>
        <w:t>:</w:t>
      </w:r>
      <w:r>
        <w:rPr>
          <w:rStyle w:val="apple-converted-space"/>
          <w:rFonts w:ascii="Arial" w:hAnsi="Arial" w:cs="Arial"/>
          <w:color w:val="000000"/>
          <w:sz w:val="19"/>
          <w:szCs w:val="19"/>
        </w:rPr>
        <w:t> </w:t>
      </w:r>
      <w:r>
        <w:rPr>
          <w:rFonts w:ascii="Arial" w:hAnsi="Arial" w:cs="Arial"/>
          <w:b/>
          <w:bCs/>
          <w:color w:val="000000"/>
          <w:sz w:val="19"/>
          <w:szCs w:val="19"/>
          <w:rtl/>
          <w:lang w:bidi="ar-SA"/>
        </w:rPr>
        <w:t>قطاع غزّة</w:t>
      </w:r>
      <w:r>
        <w:rPr>
          <w:rStyle w:val="apple-converted-space"/>
          <w:rFonts w:ascii="Arial" w:hAnsi="Arial" w:cs="Arial"/>
          <w:color w:val="000000"/>
          <w:sz w:val="19"/>
          <w:szCs w:val="19"/>
        </w:rPr>
        <w:t> </w:t>
      </w:r>
      <w:r>
        <w:rPr>
          <w:rFonts w:ascii="Arial" w:hAnsi="Arial" w:cs="Arial"/>
          <w:color w:val="000000"/>
          <w:sz w:val="19"/>
          <w:szCs w:val="19"/>
        </w:rPr>
        <w:t xml:space="preserve">- </w:t>
      </w:r>
      <w:r>
        <w:rPr>
          <w:rFonts w:ascii="Arial" w:hAnsi="Arial" w:cs="Arial"/>
          <w:color w:val="000000"/>
          <w:sz w:val="19"/>
          <w:szCs w:val="19"/>
          <w:rtl/>
        </w:rPr>
        <w:t>קֻטַאע עַ'זֶה) היא רצועת אדמה</w:t>
      </w:r>
      <w:r>
        <w:rPr>
          <w:rStyle w:val="apple-converted-space"/>
          <w:rFonts w:ascii="Arial" w:hAnsi="Arial" w:cs="Arial"/>
          <w:color w:val="000000"/>
          <w:sz w:val="19"/>
          <w:szCs w:val="19"/>
        </w:rPr>
        <w:t> </w:t>
      </w:r>
      <w:hyperlink r:id="rId15" w:history="1">
        <w:r>
          <w:rPr>
            <w:rStyle w:val="Hyperlink"/>
            <w:rFonts w:ascii="Arial" w:hAnsi="Arial" w:cs="Arial"/>
            <w:color w:val="5A3696"/>
            <w:sz w:val="19"/>
            <w:szCs w:val="19"/>
            <w:rtl/>
          </w:rPr>
          <w:t>חופית</w:t>
        </w:r>
      </w:hyperlink>
      <w:r>
        <w:rPr>
          <w:rStyle w:val="apple-converted-space"/>
          <w:rFonts w:ascii="Arial" w:hAnsi="Arial" w:cs="Arial"/>
          <w:color w:val="000000"/>
          <w:sz w:val="19"/>
          <w:szCs w:val="19"/>
        </w:rPr>
        <w:t> </w:t>
      </w:r>
      <w:r>
        <w:rPr>
          <w:rFonts w:ascii="Arial" w:hAnsi="Arial" w:cs="Arial"/>
          <w:color w:val="000000"/>
          <w:sz w:val="19"/>
          <w:szCs w:val="19"/>
          <w:rtl/>
        </w:rPr>
        <w:t>בדרום</w:t>
      </w:r>
      <w:r>
        <w:rPr>
          <w:rStyle w:val="apple-converted-space"/>
          <w:rFonts w:ascii="Arial" w:hAnsi="Arial" w:cs="Arial"/>
          <w:color w:val="000000"/>
          <w:sz w:val="19"/>
          <w:szCs w:val="19"/>
        </w:rPr>
        <w:t> </w:t>
      </w:r>
      <w:hyperlink r:id="rId16" w:history="1">
        <w:r>
          <w:rPr>
            <w:rStyle w:val="Hyperlink"/>
            <w:rFonts w:ascii="Arial" w:hAnsi="Arial" w:cs="Arial"/>
            <w:color w:val="5A3696"/>
            <w:sz w:val="19"/>
            <w:szCs w:val="19"/>
            <w:rtl/>
          </w:rPr>
          <w:t>מישור החוף הדרומי</w:t>
        </w:r>
      </w:hyperlink>
      <w:r>
        <w:rPr>
          <w:rStyle w:val="apple-converted-space"/>
          <w:rFonts w:ascii="Arial" w:hAnsi="Arial" w:cs="Arial"/>
          <w:color w:val="000000"/>
          <w:sz w:val="19"/>
          <w:szCs w:val="19"/>
        </w:rPr>
        <w:t> </w:t>
      </w:r>
      <w:r>
        <w:rPr>
          <w:rFonts w:ascii="Arial" w:hAnsi="Arial" w:cs="Arial"/>
          <w:color w:val="000000"/>
          <w:sz w:val="19"/>
          <w:szCs w:val="19"/>
          <w:rtl/>
        </w:rPr>
        <w:t>של</w:t>
      </w:r>
      <w:r>
        <w:rPr>
          <w:rStyle w:val="apple-converted-space"/>
          <w:rFonts w:ascii="Arial" w:hAnsi="Arial" w:cs="Arial"/>
          <w:color w:val="000000"/>
          <w:sz w:val="19"/>
          <w:szCs w:val="19"/>
        </w:rPr>
        <w:t> </w:t>
      </w:r>
      <w:hyperlink r:id="rId17" w:history="1">
        <w:r>
          <w:rPr>
            <w:rStyle w:val="Hyperlink"/>
            <w:rFonts w:ascii="Arial" w:hAnsi="Arial" w:cs="Arial"/>
            <w:color w:val="5A3696"/>
            <w:sz w:val="19"/>
            <w:szCs w:val="19"/>
            <w:rtl/>
          </w:rPr>
          <w:t>ארץ ישראל</w:t>
        </w:r>
      </w:hyperlink>
      <w:r>
        <w:rPr>
          <w:rFonts w:ascii="Arial" w:hAnsi="Arial" w:cs="Arial"/>
          <w:color w:val="000000"/>
          <w:sz w:val="19"/>
          <w:szCs w:val="19"/>
        </w:rPr>
        <w:t xml:space="preserve">. </w:t>
      </w:r>
      <w:r>
        <w:rPr>
          <w:rFonts w:ascii="Arial" w:hAnsi="Arial" w:cs="Arial"/>
          <w:color w:val="000000"/>
          <w:sz w:val="19"/>
          <w:szCs w:val="19"/>
          <w:rtl/>
        </w:rPr>
        <w:t>היא גובלת ב</w:t>
      </w:r>
      <w:hyperlink r:id="rId18" w:history="1">
        <w:r>
          <w:rPr>
            <w:rStyle w:val="Hyperlink"/>
            <w:rFonts w:ascii="Arial" w:hAnsi="Arial" w:cs="Arial"/>
            <w:color w:val="5A3696"/>
            <w:sz w:val="19"/>
            <w:szCs w:val="19"/>
            <w:rtl/>
          </w:rPr>
          <w:t>מצרים</w:t>
        </w:r>
      </w:hyperlink>
      <w:r>
        <w:rPr>
          <w:rStyle w:val="apple-converted-space"/>
          <w:rFonts w:ascii="Arial" w:hAnsi="Arial" w:cs="Arial"/>
          <w:color w:val="000000"/>
          <w:sz w:val="19"/>
          <w:szCs w:val="19"/>
        </w:rPr>
        <w:t> </w:t>
      </w:r>
      <w:r>
        <w:rPr>
          <w:rFonts w:ascii="Arial" w:hAnsi="Arial" w:cs="Arial"/>
          <w:color w:val="000000"/>
          <w:sz w:val="19"/>
          <w:szCs w:val="19"/>
          <w:rtl/>
        </w:rPr>
        <w:t>מדרום-מערב וב</w:t>
      </w:r>
      <w:hyperlink r:id="rId19" w:history="1">
        <w:r>
          <w:rPr>
            <w:rStyle w:val="Hyperlink"/>
            <w:rFonts w:ascii="Arial" w:hAnsi="Arial" w:cs="Arial"/>
            <w:color w:val="5A3696"/>
            <w:sz w:val="19"/>
            <w:szCs w:val="19"/>
            <w:rtl/>
          </w:rPr>
          <w:t>ישראל</w:t>
        </w:r>
      </w:hyperlink>
      <w:r>
        <w:rPr>
          <w:rStyle w:val="apple-converted-space"/>
          <w:rFonts w:ascii="Arial" w:hAnsi="Arial" w:cs="Arial"/>
          <w:color w:val="000000"/>
          <w:sz w:val="19"/>
          <w:szCs w:val="19"/>
        </w:rPr>
        <w:t> </w:t>
      </w:r>
      <w:r>
        <w:rPr>
          <w:rFonts w:ascii="Arial" w:hAnsi="Arial" w:cs="Arial"/>
          <w:color w:val="000000"/>
          <w:sz w:val="19"/>
          <w:szCs w:val="19"/>
          <w:rtl/>
        </w:rPr>
        <w:t>מדרום, מזרח וצפון. אורכה כ-41</w:t>
      </w:r>
      <w:r>
        <w:rPr>
          <w:rStyle w:val="apple-converted-space"/>
          <w:rFonts w:ascii="Arial" w:hAnsi="Arial" w:cs="Arial"/>
          <w:color w:val="000000"/>
          <w:sz w:val="19"/>
          <w:szCs w:val="19"/>
        </w:rPr>
        <w:t> </w:t>
      </w:r>
      <w:hyperlink r:id="rId20" w:history="1">
        <w:r>
          <w:rPr>
            <w:rStyle w:val="Hyperlink"/>
            <w:rFonts w:ascii="Arial" w:hAnsi="Arial" w:cs="Arial"/>
            <w:color w:val="5A3696"/>
            <w:sz w:val="19"/>
            <w:szCs w:val="19"/>
            <w:rtl/>
          </w:rPr>
          <w:t>קילומטרים</w:t>
        </w:r>
      </w:hyperlink>
      <w:r>
        <w:rPr>
          <w:rFonts w:ascii="Arial" w:hAnsi="Arial" w:cs="Arial"/>
          <w:color w:val="000000"/>
          <w:sz w:val="19"/>
          <w:szCs w:val="19"/>
        </w:rPr>
        <w:t xml:space="preserve">, </w:t>
      </w:r>
      <w:r>
        <w:rPr>
          <w:rFonts w:ascii="Arial" w:hAnsi="Arial" w:cs="Arial"/>
          <w:color w:val="000000"/>
          <w:sz w:val="19"/>
          <w:szCs w:val="19"/>
          <w:rtl/>
        </w:rPr>
        <w:t>רוחבה נע בין שישה לשנים עשר קילומטרים ושטחה הכולל כ-360 קילומטר רבוע. מבחינת ריבונות היא מזוהה עם</w:t>
      </w:r>
      <w:r>
        <w:rPr>
          <w:rStyle w:val="apple-converted-space"/>
          <w:rFonts w:ascii="Arial" w:hAnsi="Arial" w:cs="Arial"/>
          <w:color w:val="000000"/>
          <w:sz w:val="19"/>
          <w:szCs w:val="19"/>
        </w:rPr>
        <w:t> </w:t>
      </w:r>
      <w:hyperlink r:id="rId21" w:history="1">
        <w:r>
          <w:rPr>
            <w:rStyle w:val="Hyperlink"/>
            <w:rFonts w:ascii="Arial" w:hAnsi="Arial" w:cs="Arial"/>
            <w:color w:val="5A3696"/>
            <w:sz w:val="19"/>
            <w:szCs w:val="19"/>
            <w:rtl/>
          </w:rPr>
          <w:t>הרשות הפלסטינית</w:t>
        </w:r>
      </w:hyperlink>
      <w:r>
        <w:rPr>
          <w:rFonts w:ascii="Arial" w:hAnsi="Arial" w:cs="Arial"/>
          <w:color w:val="000000"/>
          <w:sz w:val="19"/>
          <w:szCs w:val="19"/>
        </w:rPr>
        <w:t xml:space="preserve">, </w:t>
      </w:r>
      <w:r>
        <w:rPr>
          <w:rFonts w:ascii="Arial" w:hAnsi="Arial" w:cs="Arial"/>
          <w:color w:val="000000"/>
          <w:sz w:val="19"/>
          <w:szCs w:val="19"/>
          <w:rtl/>
        </w:rPr>
        <w:t>ומאז</w:t>
      </w:r>
      <w:r>
        <w:rPr>
          <w:rStyle w:val="apple-converted-space"/>
          <w:rFonts w:ascii="Arial" w:hAnsi="Arial" w:cs="Arial"/>
          <w:color w:val="000000"/>
          <w:sz w:val="19"/>
          <w:szCs w:val="19"/>
        </w:rPr>
        <w:t> </w:t>
      </w:r>
      <w:hyperlink r:id="rId22" w:history="1">
        <w:r>
          <w:rPr>
            <w:rStyle w:val="Hyperlink"/>
            <w:rFonts w:ascii="Arial" w:hAnsi="Arial" w:cs="Arial"/>
            <w:color w:val="5A3696"/>
            <w:sz w:val="19"/>
            <w:szCs w:val="19"/>
          </w:rPr>
          <w:t>2007</w:t>
        </w:r>
      </w:hyperlink>
      <w:r>
        <w:rPr>
          <w:rStyle w:val="apple-converted-space"/>
          <w:rFonts w:ascii="Arial" w:hAnsi="Arial" w:cs="Arial"/>
          <w:color w:val="000000"/>
          <w:sz w:val="19"/>
          <w:szCs w:val="19"/>
        </w:rPr>
        <w:t> </w:t>
      </w:r>
      <w:r>
        <w:rPr>
          <w:rFonts w:ascii="Arial" w:hAnsi="Arial" w:cs="Arial"/>
          <w:color w:val="000000"/>
          <w:sz w:val="19"/>
          <w:szCs w:val="19"/>
          <w:rtl/>
        </w:rPr>
        <w:t>היא בשליטת החמאס. נכון ליולי 2008 מתגוררים ברצועת עזה כ-1.5 מיליון תושבים, מתוכם קרוב למיליון מוגדרים כ</w:t>
      </w:r>
      <w:hyperlink r:id="rId23" w:history="1">
        <w:r>
          <w:rPr>
            <w:rStyle w:val="Hyperlink"/>
            <w:rFonts w:ascii="Arial" w:hAnsi="Arial" w:cs="Arial"/>
            <w:color w:val="5A3696"/>
            <w:sz w:val="19"/>
            <w:szCs w:val="19"/>
            <w:rtl/>
          </w:rPr>
          <w:t>פליטים</w:t>
        </w:r>
      </w:hyperlink>
      <w:r>
        <w:rPr>
          <w:rStyle w:val="apple-converted-space"/>
          <w:rFonts w:ascii="Arial" w:hAnsi="Arial" w:cs="Arial"/>
          <w:color w:val="000000"/>
          <w:sz w:val="19"/>
          <w:szCs w:val="19"/>
        </w:rPr>
        <w:t> </w:t>
      </w:r>
      <w:r>
        <w:rPr>
          <w:rFonts w:ascii="Arial" w:hAnsi="Arial" w:cs="Arial"/>
          <w:color w:val="000000"/>
          <w:sz w:val="19"/>
          <w:szCs w:val="19"/>
          <w:rtl/>
        </w:rPr>
        <w:t>וכמחציתם מתגוררים ב</w:t>
      </w:r>
      <w:hyperlink r:id="rId24" w:history="1">
        <w:r>
          <w:rPr>
            <w:rStyle w:val="Hyperlink"/>
            <w:rFonts w:ascii="Arial" w:hAnsi="Arial" w:cs="Arial"/>
            <w:color w:val="5A3696"/>
            <w:sz w:val="19"/>
            <w:szCs w:val="19"/>
            <w:rtl/>
          </w:rPr>
          <w:t>מחנות הפליטים</w:t>
        </w:r>
      </w:hyperlink>
      <w:hyperlink r:id="rId25" w:anchor="cite_note-CIA-1" w:history="1">
        <w:r>
          <w:rPr>
            <w:rStyle w:val="Hyperlink"/>
            <w:rFonts w:ascii="Arial" w:hAnsi="Arial" w:cs="Arial"/>
            <w:color w:val="5A3696"/>
            <w:sz w:val="19"/>
            <w:szCs w:val="19"/>
            <w:vertAlign w:val="superscript"/>
          </w:rPr>
          <w:t>[1]</w:t>
        </w:r>
      </w:hyperlink>
      <w:r>
        <w:rPr>
          <w:rFonts w:ascii="Arial" w:hAnsi="Arial" w:cs="Arial"/>
          <w:color w:val="000000"/>
          <w:sz w:val="19"/>
          <w:szCs w:val="19"/>
        </w:rPr>
        <w:t xml:space="preserve">. </w:t>
      </w:r>
      <w:r>
        <w:rPr>
          <w:rFonts w:ascii="Arial" w:hAnsi="Arial" w:cs="Arial"/>
          <w:color w:val="000000"/>
          <w:sz w:val="19"/>
          <w:szCs w:val="19"/>
          <w:rtl/>
        </w:rPr>
        <w:t>גבולותיה של הרצועה הוגדרו ב</w:t>
      </w:r>
      <w:hyperlink r:id="rId26" w:history="1">
        <w:r>
          <w:rPr>
            <w:rStyle w:val="Hyperlink"/>
            <w:rFonts w:ascii="Arial" w:hAnsi="Arial" w:cs="Arial"/>
            <w:color w:val="5A3696"/>
            <w:sz w:val="19"/>
            <w:szCs w:val="19"/>
            <w:rtl/>
          </w:rPr>
          <w:t>הסכמי שביתת הנשק בתום מלחמת העצמאות</w:t>
        </w:r>
      </w:hyperlink>
      <w:r>
        <w:rPr>
          <w:rStyle w:val="apple-converted-space"/>
          <w:rFonts w:ascii="Arial" w:hAnsi="Arial" w:cs="Arial"/>
          <w:color w:val="000000"/>
          <w:sz w:val="19"/>
          <w:szCs w:val="19"/>
        </w:rPr>
        <w:t> </w:t>
      </w:r>
      <w:r>
        <w:rPr>
          <w:rFonts w:ascii="Arial" w:hAnsi="Arial" w:cs="Arial"/>
          <w:color w:val="000000"/>
          <w:sz w:val="19"/>
          <w:szCs w:val="19"/>
          <w:rtl/>
        </w:rPr>
        <w:t>שנחתמו ב</w:t>
      </w:r>
      <w:hyperlink r:id="rId27" w:history="1">
        <w:r>
          <w:rPr>
            <w:rStyle w:val="Hyperlink"/>
            <w:rFonts w:ascii="Arial" w:hAnsi="Arial" w:cs="Arial"/>
            <w:color w:val="5A3696"/>
            <w:sz w:val="19"/>
            <w:szCs w:val="19"/>
            <w:rtl/>
          </w:rPr>
          <w:t>רודוס</w:t>
        </w:r>
      </w:hyperlink>
      <w:r>
        <w:rPr>
          <w:rStyle w:val="apple-converted-space"/>
          <w:rFonts w:ascii="Arial" w:hAnsi="Arial" w:cs="Arial"/>
          <w:color w:val="000000"/>
          <w:sz w:val="19"/>
          <w:szCs w:val="19"/>
        </w:rPr>
        <w:t> </w:t>
      </w:r>
      <w:r>
        <w:rPr>
          <w:rFonts w:ascii="Arial" w:hAnsi="Arial" w:cs="Arial"/>
          <w:color w:val="000000"/>
          <w:sz w:val="19"/>
          <w:szCs w:val="19"/>
          <w:rtl/>
        </w:rPr>
        <w:t>בין</w:t>
      </w:r>
      <w:r>
        <w:rPr>
          <w:rStyle w:val="apple-converted-space"/>
          <w:rFonts w:ascii="Arial" w:hAnsi="Arial" w:cs="Arial"/>
          <w:color w:val="000000"/>
          <w:sz w:val="19"/>
          <w:szCs w:val="19"/>
        </w:rPr>
        <w:t> </w:t>
      </w:r>
      <w:hyperlink r:id="rId28" w:history="1">
        <w:r>
          <w:rPr>
            <w:rStyle w:val="Hyperlink"/>
            <w:rFonts w:ascii="Arial" w:hAnsi="Arial" w:cs="Arial"/>
            <w:color w:val="5A3696"/>
            <w:sz w:val="19"/>
            <w:szCs w:val="19"/>
            <w:rtl/>
          </w:rPr>
          <w:t>ישראל</w:t>
        </w:r>
      </w:hyperlink>
      <w:r>
        <w:rPr>
          <w:rStyle w:val="apple-converted-space"/>
          <w:rFonts w:ascii="Arial" w:hAnsi="Arial" w:cs="Arial"/>
          <w:color w:val="000000"/>
          <w:sz w:val="19"/>
          <w:szCs w:val="19"/>
        </w:rPr>
        <w:t> </w:t>
      </w:r>
      <w:r>
        <w:rPr>
          <w:rFonts w:ascii="Arial" w:hAnsi="Arial" w:cs="Arial"/>
          <w:color w:val="000000"/>
          <w:sz w:val="19"/>
          <w:szCs w:val="19"/>
          <w:rtl/>
        </w:rPr>
        <w:t>ל</w:t>
      </w:r>
      <w:hyperlink r:id="rId29" w:history="1">
        <w:r>
          <w:rPr>
            <w:rStyle w:val="Hyperlink"/>
            <w:rFonts w:ascii="Arial" w:hAnsi="Arial" w:cs="Arial"/>
            <w:color w:val="5A3696"/>
            <w:sz w:val="19"/>
            <w:szCs w:val="19"/>
            <w:rtl/>
          </w:rPr>
          <w:t>מצרים</w:t>
        </w:r>
      </w:hyperlink>
      <w:r>
        <w:rPr>
          <w:rStyle w:val="apple-converted-space"/>
          <w:rFonts w:ascii="Arial" w:hAnsi="Arial" w:cs="Arial"/>
          <w:color w:val="000000"/>
          <w:sz w:val="19"/>
          <w:szCs w:val="19"/>
        </w:rPr>
        <w:t> </w:t>
      </w:r>
      <w:r>
        <w:rPr>
          <w:rFonts w:ascii="Arial" w:hAnsi="Arial" w:cs="Arial"/>
          <w:color w:val="000000"/>
          <w:sz w:val="19"/>
          <w:szCs w:val="19"/>
          <w:rtl/>
        </w:rPr>
        <w:t>בשנת</w:t>
      </w:r>
      <w:r>
        <w:rPr>
          <w:rStyle w:val="apple-converted-space"/>
          <w:rFonts w:ascii="Arial" w:hAnsi="Arial" w:cs="Arial"/>
          <w:color w:val="000000"/>
          <w:sz w:val="19"/>
          <w:szCs w:val="19"/>
        </w:rPr>
        <w:t> </w:t>
      </w:r>
      <w:hyperlink r:id="rId30" w:history="1">
        <w:r>
          <w:rPr>
            <w:rStyle w:val="Hyperlink"/>
            <w:rFonts w:ascii="Arial" w:hAnsi="Arial" w:cs="Arial"/>
            <w:color w:val="5A3696"/>
            <w:sz w:val="19"/>
            <w:szCs w:val="19"/>
          </w:rPr>
          <w:t>1949</w:t>
        </w:r>
      </w:hyperlink>
      <w:r>
        <w:rPr>
          <w:rFonts w:ascii="Arial" w:hAnsi="Arial" w:cs="Arial"/>
          <w:color w:val="000000"/>
          <w:sz w:val="19"/>
          <w:szCs w:val="19"/>
        </w:rPr>
        <w:t>.</w:t>
      </w:r>
    </w:p>
    <w:p w:rsidR="00AB6AB5" w:rsidRDefault="00AB6AB5" w:rsidP="00986937">
      <w:pPr>
        <w:spacing w:after="60"/>
        <w:rPr>
          <w:sz w:val="22"/>
          <w:szCs w:val="22"/>
          <w:rtl/>
        </w:rPr>
      </w:pPr>
      <w:r>
        <w:rPr>
          <w:rFonts w:hint="cs"/>
          <w:sz w:val="22"/>
          <w:szCs w:val="22"/>
          <w:rtl/>
        </w:rPr>
        <w:t>...</w:t>
      </w:r>
    </w:p>
    <w:p w:rsidR="00AB6AB5" w:rsidRPr="00AB6AB5" w:rsidRDefault="00AB6AB5" w:rsidP="00AB6AB5">
      <w:pPr>
        <w:spacing w:after="60"/>
        <w:rPr>
          <w:rFonts w:asciiTheme="minorBidi" w:hAnsiTheme="minorBidi" w:cstheme="minorBidi"/>
          <w:sz w:val="19"/>
          <w:szCs w:val="19"/>
          <w:rtl/>
        </w:rPr>
      </w:pPr>
      <w:r w:rsidRPr="00AB6AB5">
        <w:rPr>
          <w:rFonts w:asciiTheme="minorBidi" w:hAnsiTheme="minorBidi" w:cstheme="minorBidi" w:hint="cs"/>
          <w:color w:val="000000"/>
          <w:sz w:val="19"/>
          <w:szCs w:val="19"/>
          <w:highlight w:val="yellow"/>
          <w:shd w:val="clear" w:color="auto" w:fill="FFFFFF"/>
          <w:rtl/>
        </w:rPr>
        <w:t>נ</w:t>
      </w:r>
      <w:r w:rsidRPr="00AB6AB5">
        <w:rPr>
          <w:rFonts w:asciiTheme="minorBidi" w:hAnsiTheme="minorBidi" w:cstheme="minorBidi"/>
          <w:color w:val="000000"/>
          <w:sz w:val="19"/>
          <w:szCs w:val="19"/>
          <w:highlight w:val="yellow"/>
          <w:shd w:val="clear" w:color="auto" w:fill="FFFFFF"/>
          <w:rtl/>
        </w:rPr>
        <w:t>כון ליולי</w:t>
      </w:r>
      <w:r w:rsidRPr="00AB6AB5">
        <w:rPr>
          <w:rStyle w:val="apple-converted-space"/>
          <w:rFonts w:asciiTheme="minorBidi" w:hAnsiTheme="minorBidi" w:cstheme="minorBidi"/>
          <w:color w:val="000000"/>
          <w:sz w:val="19"/>
          <w:szCs w:val="19"/>
          <w:shd w:val="clear" w:color="auto" w:fill="FFFFFF"/>
        </w:rPr>
        <w:t> </w:t>
      </w:r>
      <w:hyperlink r:id="rId31" w:history="1">
        <w:r w:rsidRPr="00AB6AB5">
          <w:rPr>
            <w:rStyle w:val="Hyperlink"/>
            <w:rFonts w:asciiTheme="minorBidi" w:hAnsiTheme="minorBidi" w:cstheme="minorBidi"/>
            <w:color w:val="5A3696"/>
            <w:sz w:val="19"/>
            <w:szCs w:val="19"/>
            <w:shd w:val="clear" w:color="auto" w:fill="FFFFFF"/>
          </w:rPr>
          <w:t>2008</w:t>
        </w:r>
      </w:hyperlink>
      <w:r w:rsidRPr="00AB6AB5">
        <w:rPr>
          <w:rStyle w:val="apple-converted-space"/>
          <w:rFonts w:asciiTheme="minorBidi" w:hAnsiTheme="minorBidi" w:cstheme="minorBidi"/>
          <w:color w:val="000000"/>
          <w:sz w:val="19"/>
          <w:szCs w:val="19"/>
          <w:shd w:val="clear" w:color="auto" w:fill="FFFFFF"/>
        </w:rPr>
        <w:t> </w:t>
      </w:r>
      <w:r w:rsidRPr="00AB6AB5">
        <w:rPr>
          <w:rFonts w:asciiTheme="minorBidi" w:hAnsiTheme="minorBidi" w:cstheme="minorBidi"/>
          <w:color w:val="000000"/>
          <w:sz w:val="19"/>
          <w:szCs w:val="19"/>
          <w:highlight w:val="yellow"/>
          <w:shd w:val="clear" w:color="auto" w:fill="FFFFFF"/>
          <w:rtl/>
        </w:rPr>
        <w:t>מתגוררים ברצועת עזה כ-1.5 מיליון תושבים, מתוכם קרוב למיליון מוגדרים כפליטים וכמחציתם מתגוררים במחנות פליטים</w:t>
      </w:r>
      <w:r>
        <w:rPr>
          <w:rFonts w:asciiTheme="minorBidi" w:hAnsiTheme="minorBidi" w:cstheme="minorBidi" w:hint="cs"/>
          <w:color w:val="000000"/>
          <w:sz w:val="19"/>
          <w:szCs w:val="19"/>
          <w:shd w:val="clear" w:color="auto" w:fill="FFFFFF"/>
          <w:rtl/>
        </w:rPr>
        <w:t xml:space="preserve">. </w:t>
      </w:r>
      <w:r w:rsidRPr="00AB6AB5">
        <w:rPr>
          <w:rFonts w:asciiTheme="minorBidi" w:hAnsiTheme="minorBidi" w:cstheme="minorBidi"/>
          <w:color w:val="000000"/>
          <w:sz w:val="19"/>
          <w:szCs w:val="19"/>
          <w:shd w:val="clear" w:color="auto" w:fill="FFFFFF"/>
          <w:rtl/>
        </w:rPr>
        <w:t>רצועת עזה נמצאת במוקד בעיית הפליטים. חמישית מאוכלוסיית הפליטים ה</w:t>
      </w:r>
      <w:hyperlink r:id="rId32" w:history="1">
        <w:r w:rsidRPr="00AB6AB5">
          <w:rPr>
            <w:rStyle w:val="Hyperlink"/>
            <w:rFonts w:asciiTheme="minorBidi" w:hAnsiTheme="minorBidi" w:cstheme="minorBidi"/>
            <w:color w:val="5A3696"/>
            <w:sz w:val="19"/>
            <w:szCs w:val="19"/>
            <w:shd w:val="clear" w:color="auto" w:fill="FFFFFF"/>
            <w:rtl/>
          </w:rPr>
          <w:t>פלסטינים</w:t>
        </w:r>
      </w:hyperlink>
      <w:r w:rsidRPr="00AB6AB5">
        <w:rPr>
          <w:rStyle w:val="apple-converted-space"/>
          <w:rFonts w:asciiTheme="minorBidi" w:hAnsiTheme="minorBidi" w:cstheme="minorBidi"/>
          <w:color w:val="000000"/>
          <w:sz w:val="19"/>
          <w:szCs w:val="19"/>
          <w:shd w:val="clear" w:color="auto" w:fill="FFFFFF"/>
        </w:rPr>
        <w:t> </w:t>
      </w:r>
      <w:r w:rsidRPr="00AB6AB5">
        <w:rPr>
          <w:rFonts w:asciiTheme="minorBidi" w:hAnsiTheme="minorBidi" w:cstheme="minorBidi"/>
          <w:color w:val="000000"/>
          <w:sz w:val="19"/>
          <w:szCs w:val="19"/>
          <w:shd w:val="clear" w:color="auto" w:fill="FFFFFF"/>
          <w:rtl/>
        </w:rPr>
        <w:t>יושבים בחבל</w:t>
      </w:r>
      <w:r w:rsidRPr="00AB6AB5">
        <w:rPr>
          <w:rStyle w:val="apple-converted-space"/>
          <w:rFonts w:asciiTheme="minorBidi" w:hAnsiTheme="minorBidi" w:cstheme="minorBidi"/>
          <w:color w:val="000000"/>
          <w:sz w:val="19"/>
          <w:szCs w:val="19"/>
          <w:shd w:val="clear" w:color="auto" w:fill="FFFFFF"/>
        </w:rPr>
        <w:t> </w:t>
      </w:r>
      <w:hyperlink r:id="rId33" w:history="1">
        <w:r w:rsidRPr="00AB6AB5">
          <w:rPr>
            <w:rStyle w:val="Hyperlink"/>
            <w:rFonts w:asciiTheme="minorBidi" w:hAnsiTheme="minorBidi" w:cstheme="minorBidi"/>
            <w:color w:val="5A3696"/>
            <w:sz w:val="19"/>
            <w:szCs w:val="19"/>
            <w:shd w:val="clear" w:color="auto" w:fill="FFFFFF"/>
            <w:rtl/>
          </w:rPr>
          <w:t>עזה</w:t>
        </w:r>
      </w:hyperlink>
      <w:r>
        <w:rPr>
          <w:rFonts w:asciiTheme="minorBidi" w:hAnsiTheme="minorBidi" w:cstheme="minorBidi" w:hint="cs"/>
          <w:color w:val="000000"/>
          <w:sz w:val="19"/>
          <w:szCs w:val="19"/>
          <w:shd w:val="clear" w:color="auto" w:fill="FFFFFF"/>
          <w:rtl/>
        </w:rPr>
        <w:t xml:space="preserve"> </w:t>
      </w:r>
      <w:r w:rsidRPr="00AB6AB5">
        <w:rPr>
          <w:rFonts w:asciiTheme="minorBidi" w:hAnsiTheme="minorBidi" w:cstheme="minorBidi"/>
          <w:color w:val="000000"/>
          <w:sz w:val="19"/>
          <w:szCs w:val="19"/>
          <w:shd w:val="clear" w:color="auto" w:fill="FFFFFF"/>
          <w:rtl/>
        </w:rPr>
        <w:t>והם מהווים את מרבית ה</w:t>
      </w:r>
      <w:hyperlink r:id="rId34" w:history="1">
        <w:r w:rsidRPr="00AB6AB5">
          <w:rPr>
            <w:rStyle w:val="Hyperlink"/>
            <w:rFonts w:asciiTheme="minorBidi" w:hAnsiTheme="minorBidi" w:cstheme="minorBidi"/>
            <w:color w:val="5A3696"/>
            <w:sz w:val="19"/>
            <w:szCs w:val="19"/>
            <w:shd w:val="clear" w:color="auto" w:fill="FFFFFF"/>
            <w:rtl/>
          </w:rPr>
          <w:t>אוכלוסייה</w:t>
        </w:r>
      </w:hyperlink>
      <w:r w:rsidRPr="00AB6AB5">
        <w:rPr>
          <w:rStyle w:val="apple-converted-space"/>
          <w:rFonts w:asciiTheme="minorBidi" w:hAnsiTheme="minorBidi" w:cstheme="minorBidi"/>
          <w:color w:val="000000"/>
          <w:sz w:val="19"/>
          <w:szCs w:val="19"/>
          <w:shd w:val="clear" w:color="auto" w:fill="FFFFFF"/>
        </w:rPr>
        <w:t> </w:t>
      </w:r>
      <w:r w:rsidRPr="00AB6AB5">
        <w:rPr>
          <w:rFonts w:asciiTheme="minorBidi" w:hAnsiTheme="minorBidi" w:cstheme="minorBidi"/>
          <w:color w:val="000000"/>
          <w:sz w:val="19"/>
          <w:szCs w:val="19"/>
          <w:shd w:val="clear" w:color="auto" w:fill="FFFFFF"/>
          <w:rtl/>
        </w:rPr>
        <w:t>בחבל כולו</w:t>
      </w:r>
      <w:r w:rsidRPr="00AB6AB5">
        <w:rPr>
          <w:rFonts w:asciiTheme="minorBidi" w:hAnsiTheme="minorBidi" w:cstheme="minorBidi"/>
          <w:color w:val="000000"/>
          <w:sz w:val="19"/>
          <w:szCs w:val="19"/>
          <w:shd w:val="clear" w:color="auto" w:fill="FFFFFF"/>
        </w:rPr>
        <w:t>.</w:t>
      </w:r>
      <w:r>
        <w:rPr>
          <w:rFonts w:asciiTheme="minorBidi" w:hAnsiTheme="minorBidi" w:cstheme="minorBidi" w:hint="cs"/>
          <w:sz w:val="19"/>
          <w:szCs w:val="19"/>
          <w:rtl/>
        </w:rPr>
        <w:t xml:space="preserve"> [המקור לנתונים אלו: </w:t>
      </w:r>
      <w:hyperlink r:id="rId35" w:anchor="cite_ref-CIA-1-0" w:history="1">
        <w:r w:rsidRPr="00AB6AB5">
          <w:rPr>
            <w:rStyle w:val="Hyperlink"/>
            <w:rFonts w:asciiTheme="minorBidi" w:hAnsiTheme="minorBidi" w:cstheme="minorBidi"/>
            <w:sz w:val="19"/>
            <w:szCs w:val="19"/>
          </w:rPr>
          <w:t>1.0</w:t>
        </w:r>
      </w:hyperlink>
      <w:r w:rsidRPr="00AB6AB5">
        <w:rPr>
          <w:rFonts w:asciiTheme="minorBidi" w:hAnsiTheme="minorBidi" w:cstheme="minorBidi"/>
          <w:sz w:val="19"/>
          <w:szCs w:val="19"/>
        </w:rPr>
        <w:t> </w:t>
      </w:r>
      <w:hyperlink r:id="rId36" w:anchor="cite_ref-CIA-1-1" w:history="1">
        <w:r w:rsidRPr="00AB6AB5">
          <w:rPr>
            <w:rStyle w:val="Hyperlink"/>
            <w:rFonts w:asciiTheme="minorBidi" w:hAnsiTheme="minorBidi" w:cstheme="minorBidi"/>
            <w:sz w:val="19"/>
            <w:szCs w:val="19"/>
          </w:rPr>
          <w:t>1.1</w:t>
        </w:r>
      </w:hyperlink>
      <w:r w:rsidRPr="00AB6AB5">
        <w:rPr>
          <w:rFonts w:asciiTheme="minorBidi" w:hAnsiTheme="minorBidi" w:cstheme="minorBidi"/>
          <w:sz w:val="19"/>
          <w:szCs w:val="19"/>
        </w:rPr>
        <w:t> </w:t>
      </w:r>
      <w:hyperlink r:id="rId37" w:history="1">
        <w:r w:rsidRPr="00AB6AB5">
          <w:rPr>
            <w:rStyle w:val="Hyperlink"/>
            <w:rFonts w:asciiTheme="minorBidi" w:hAnsiTheme="minorBidi" w:cstheme="minorBidi"/>
            <w:sz w:val="19"/>
            <w:szCs w:val="19"/>
          </w:rPr>
          <w:t>The world Factbook, Middle East, Gaza Strip</w:t>
        </w:r>
      </w:hyperlink>
      <w:r w:rsidRPr="00AB6AB5">
        <w:rPr>
          <w:rFonts w:asciiTheme="minorBidi" w:hAnsiTheme="minorBidi" w:cstheme="minorBidi"/>
          <w:sz w:val="19"/>
          <w:szCs w:val="19"/>
        </w:rPr>
        <w:t> </w:t>
      </w:r>
      <w:r w:rsidRPr="00AB6AB5">
        <w:rPr>
          <w:rFonts w:asciiTheme="minorBidi" w:hAnsiTheme="minorBidi" w:cstheme="minorBidi"/>
          <w:sz w:val="19"/>
          <w:szCs w:val="19"/>
          <w:rtl/>
        </w:rPr>
        <w:t>באתר ה</w:t>
      </w:r>
      <w:hyperlink r:id="rId38" w:history="1">
        <w:r w:rsidRPr="00AB6AB5">
          <w:rPr>
            <w:rStyle w:val="Hyperlink"/>
            <w:rFonts w:asciiTheme="minorBidi" w:hAnsiTheme="minorBidi" w:cstheme="minorBidi"/>
            <w:sz w:val="19"/>
            <w:szCs w:val="19"/>
          </w:rPr>
          <w:t>CIA</w:t>
        </w:r>
      </w:hyperlink>
      <w:r>
        <w:rPr>
          <w:rFonts w:asciiTheme="minorBidi" w:hAnsiTheme="minorBidi" w:cstheme="minorBidi" w:hint="cs"/>
          <w:sz w:val="19"/>
          <w:szCs w:val="19"/>
          <w:rtl/>
        </w:rPr>
        <w:t>]</w:t>
      </w:r>
    </w:p>
    <w:p w:rsidR="00C4540A" w:rsidRPr="00AB6AB5" w:rsidRDefault="00C4540A" w:rsidP="00986937">
      <w:pPr>
        <w:spacing w:after="60"/>
        <w:rPr>
          <w:rFonts w:asciiTheme="minorBidi" w:hAnsiTheme="minorBidi" w:cstheme="minorBidi"/>
          <w:sz w:val="19"/>
          <w:szCs w:val="19"/>
          <w:rtl/>
        </w:rPr>
      </w:pPr>
      <w:r w:rsidRPr="00AB6AB5">
        <w:rPr>
          <w:rFonts w:asciiTheme="minorBidi" w:hAnsiTheme="minorBidi" w:cstheme="minorBidi"/>
          <w:sz w:val="19"/>
          <w:szCs w:val="19"/>
          <w:rtl/>
        </w:rPr>
        <w:t>=-=</w:t>
      </w:r>
    </w:p>
    <w:p w:rsidR="00AE44B8" w:rsidRDefault="00AE44B8" w:rsidP="00986937">
      <w:pPr>
        <w:spacing w:after="60"/>
        <w:rPr>
          <w:sz w:val="22"/>
          <w:szCs w:val="22"/>
          <w:rtl/>
        </w:rPr>
      </w:pPr>
      <w:r>
        <w:rPr>
          <w:noProof/>
          <w:sz w:val="22"/>
          <w:szCs w:val="22"/>
        </w:rPr>
        <w:drawing>
          <wp:inline distT="0" distB="0" distL="0" distR="0">
            <wp:extent cx="2382520" cy="5647690"/>
            <wp:effectExtent l="19050" t="0" r="0" b="0"/>
            <wp:docPr id="65" name="Picture 65" descr="מפת אדמות קקל / צילום: יח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מפת אדמות קקל / צילום: יחצ"/>
                    <pic:cNvPicPr>
                      <a:picLocks noChangeAspect="1" noChangeArrowheads="1"/>
                    </pic:cNvPicPr>
                  </pic:nvPicPr>
                  <pic:blipFill>
                    <a:blip r:embed="rId39" cstate="print"/>
                    <a:srcRect/>
                    <a:stretch>
                      <a:fillRect/>
                    </a:stretch>
                  </pic:blipFill>
                  <pic:spPr bwMode="auto">
                    <a:xfrm>
                      <a:off x="0" y="0"/>
                      <a:ext cx="2382520" cy="5647690"/>
                    </a:xfrm>
                    <a:prstGeom prst="rect">
                      <a:avLst/>
                    </a:prstGeom>
                    <a:noFill/>
                    <a:ln w="9525">
                      <a:noFill/>
                      <a:miter lim="800000"/>
                      <a:headEnd/>
                      <a:tailEnd/>
                    </a:ln>
                  </pic:spPr>
                </pic:pic>
              </a:graphicData>
            </a:graphic>
          </wp:inline>
        </w:drawing>
      </w:r>
    </w:p>
    <w:p w:rsidR="00AE44B8" w:rsidRDefault="00AE44B8" w:rsidP="00986937">
      <w:pPr>
        <w:spacing w:after="60"/>
        <w:rPr>
          <w:sz w:val="22"/>
          <w:szCs w:val="22"/>
          <w:rtl/>
        </w:rPr>
      </w:pPr>
    </w:p>
    <w:p w:rsidR="00AE44B8" w:rsidRPr="00986937" w:rsidRDefault="00AE44B8" w:rsidP="00AB6AB5">
      <w:pPr>
        <w:spacing w:after="60"/>
        <w:rPr>
          <w:sz w:val="22"/>
          <w:szCs w:val="22"/>
          <w:rtl/>
        </w:rPr>
      </w:pPr>
      <w:r>
        <w:rPr>
          <w:rFonts w:hint="cs"/>
          <w:sz w:val="22"/>
          <w:szCs w:val="22"/>
          <w:rtl/>
        </w:rPr>
        <w:t>=-=</w:t>
      </w:r>
    </w:p>
    <w:p w:rsidR="00C4540A" w:rsidRPr="00986937" w:rsidRDefault="00C4540A" w:rsidP="00692191">
      <w:pPr>
        <w:rPr>
          <w:sz w:val="22"/>
          <w:szCs w:val="22"/>
          <w:rtl/>
        </w:rPr>
      </w:pPr>
      <w:r w:rsidRPr="00986937">
        <w:rPr>
          <w:rFonts w:hint="cs"/>
          <w:b/>
          <w:bCs/>
          <w:sz w:val="22"/>
          <w:szCs w:val="22"/>
          <w:highlight w:val="yellow"/>
          <w:u w:val="single"/>
          <w:rtl/>
        </w:rPr>
        <w:t>לפגישה הקרובה</w:t>
      </w:r>
      <w:r w:rsidRPr="00986937">
        <w:rPr>
          <w:rFonts w:hint="cs"/>
          <w:b/>
          <w:bCs/>
          <w:sz w:val="22"/>
          <w:szCs w:val="22"/>
          <w:highlight w:val="yellow"/>
          <w:rtl/>
        </w:rPr>
        <w:t>:</w:t>
      </w:r>
      <w:r w:rsidRPr="00986937">
        <w:rPr>
          <w:rFonts w:hint="cs"/>
          <w:sz w:val="22"/>
          <w:szCs w:val="22"/>
          <w:rtl/>
        </w:rPr>
        <w:t xml:space="preserve"> </w:t>
      </w:r>
      <w:r w:rsidR="00D71E41">
        <w:rPr>
          <w:rFonts w:hint="cs"/>
          <w:sz w:val="22"/>
          <w:szCs w:val="22"/>
          <w:rtl/>
        </w:rPr>
        <w:t>אנא קראו את העמודים שלעיל, ו</w:t>
      </w:r>
      <w:r w:rsidR="00692191">
        <w:rPr>
          <w:rFonts w:hint="cs"/>
          <w:sz w:val="22"/>
          <w:szCs w:val="22"/>
          <w:rtl/>
        </w:rPr>
        <w:t xml:space="preserve">כן </w:t>
      </w:r>
      <w:r w:rsidRPr="00986937">
        <w:rPr>
          <w:rFonts w:hint="cs"/>
          <w:sz w:val="22"/>
          <w:szCs w:val="22"/>
          <w:rtl/>
        </w:rPr>
        <w:t xml:space="preserve">את פסק דין </w:t>
      </w:r>
      <w:r w:rsidRPr="00D71E41">
        <w:rPr>
          <w:rFonts w:hint="cs"/>
          <w:b/>
          <w:bCs/>
          <w:sz w:val="22"/>
          <w:szCs w:val="22"/>
          <w:rtl/>
        </w:rPr>
        <w:t>הועד הציבורי נגד עינויים בישראל</w:t>
      </w:r>
      <w:r w:rsidRPr="00986937">
        <w:rPr>
          <w:rFonts w:hint="cs"/>
          <w:sz w:val="22"/>
          <w:szCs w:val="22"/>
          <w:rtl/>
        </w:rPr>
        <w:t xml:space="preserve"> המופיע במערכת המוּדל. </w:t>
      </w:r>
    </w:p>
    <w:p w:rsidR="00C4540A" w:rsidRPr="00986937" w:rsidRDefault="00C4540A" w:rsidP="00C4540A">
      <w:pPr>
        <w:ind w:left="720"/>
        <w:rPr>
          <w:sz w:val="22"/>
          <w:szCs w:val="22"/>
          <w:rtl/>
        </w:rPr>
      </w:pPr>
      <w:r w:rsidRPr="00986937">
        <w:rPr>
          <w:rFonts w:hint="cs"/>
          <w:sz w:val="22"/>
          <w:szCs w:val="22"/>
          <w:rtl/>
        </w:rPr>
        <w:t>נסו לעקוב אחרי ה</w:t>
      </w:r>
      <w:r w:rsidR="00692191">
        <w:rPr>
          <w:rFonts w:hint="cs"/>
          <w:sz w:val="22"/>
          <w:szCs w:val="22"/>
          <w:rtl/>
        </w:rPr>
        <w:t xml:space="preserve">שאלות שבית המשפט שואל, וראו את </w:t>
      </w:r>
      <w:r w:rsidRPr="00986937">
        <w:rPr>
          <w:rFonts w:hint="cs"/>
          <w:sz w:val="22"/>
          <w:szCs w:val="22"/>
          <w:rtl/>
        </w:rPr>
        <w:t>תשובות</w:t>
      </w:r>
      <w:r w:rsidR="00692191">
        <w:rPr>
          <w:rFonts w:hint="cs"/>
          <w:sz w:val="22"/>
          <w:szCs w:val="22"/>
          <w:rtl/>
        </w:rPr>
        <w:t>יו</w:t>
      </w:r>
      <w:r w:rsidRPr="00986937">
        <w:rPr>
          <w:rFonts w:hint="cs"/>
          <w:sz w:val="22"/>
          <w:szCs w:val="22"/>
          <w:rtl/>
        </w:rPr>
        <w:t>.</w:t>
      </w:r>
    </w:p>
    <w:p w:rsidR="00C4540A" w:rsidRPr="00986937" w:rsidRDefault="00C4540A" w:rsidP="00C4540A">
      <w:pPr>
        <w:ind w:left="720"/>
        <w:rPr>
          <w:sz w:val="22"/>
          <w:szCs w:val="22"/>
          <w:rtl/>
        </w:rPr>
      </w:pPr>
      <w:r w:rsidRPr="00986937">
        <w:rPr>
          <w:rFonts w:hint="cs"/>
          <w:sz w:val="22"/>
          <w:szCs w:val="22"/>
          <w:rtl/>
        </w:rPr>
        <w:t>מדוע העתירה מתקבלת?</w:t>
      </w:r>
    </w:p>
    <w:p w:rsidR="005366A8" w:rsidRDefault="00C4540A" w:rsidP="00AB6AB5">
      <w:pPr>
        <w:ind w:left="720"/>
        <w:rPr>
          <w:sz w:val="22"/>
          <w:szCs w:val="22"/>
          <w:rtl/>
        </w:rPr>
      </w:pPr>
      <w:r w:rsidRPr="00986937">
        <w:rPr>
          <w:rFonts w:hint="cs"/>
          <w:sz w:val="22"/>
          <w:szCs w:val="22"/>
          <w:rtl/>
        </w:rPr>
        <w:t xml:space="preserve">איזה שאלה בית המשפט מזכיר, אך לה אין הוא עונה, שכן היא לא </w:t>
      </w:r>
      <w:r w:rsidR="00D71E41">
        <w:rPr>
          <w:rFonts w:hint="cs"/>
          <w:sz w:val="22"/>
          <w:szCs w:val="22"/>
          <w:rtl/>
        </w:rPr>
        <w:t>עמדה על הפרק (לא בשלה/הבשילה)</w:t>
      </w:r>
      <w:r w:rsidRPr="00986937">
        <w:rPr>
          <w:rFonts w:hint="cs"/>
          <w:sz w:val="22"/>
          <w:szCs w:val="22"/>
          <w:rtl/>
        </w:rPr>
        <w:t xml:space="preserve"> </w:t>
      </w:r>
      <w:r w:rsidR="00D71E41">
        <w:rPr>
          <w:rFonts w:hint="cs"/>
          <w:sz w:val="22"/>
          <w:szCs w:val="22"/>
          <w:rtl/>
        </w:rPr>
        <w:t>בעת מתן פסק הדין</w:t>
      </w:r>
      <w:r w:rsidRPr="00986937">
        <w:rPr>
          <w:rFonts w:hint="cs"/>
          <w:sz w:val="22"/>
          <w:szCs w:val="22"/>
          <w:rtl/>
        </w:rPr>
        <w:t>?</w:t>
      </w:r>
    </w:p>
    <w:p w:rsidR="005366A8" w:rsidRDefault="005366A8" w:rsidP="005366A8">
      <w:pPr>
        <w:jc w:val="left"/>
        <w:rPr>
          <w:sz w:val="22"/>
          <w:szCs w:val="22"/>
          <w:rtl/>
        </w:rPr>
      </w:pPr>
    </w:p>
    <w:p w:rsidR="005366A8" w:rsidRDefault="005366A8" w:rsidP="005366A8">
      <w:pPr>
        <w:jc w:val="right"/>
        <w:rPr>
          <w:rtl/>
        </w:rPr>
      </w:pPr>
      <w:r w:rsidRPr="007F6E4F">
        <w:rPr>
          <w:rFonts w:hint="cs"/>
          <w:b/>
          <w:bCs/>
          <w:sz w:val="22"/>
          <w:szCs w:val="22"/>
          <w:rtl/>
        </w:rPr>
        <w:t>משפט ציבורי</w:t>
      </w:r>
      <w:r>
        <w:rPr>
          <w:rFonts w:hint="cs"/>
          <w:sz w:val="22"/>
          <w:szCs w:val="22"/>
          <w:rtl/>
        </w:rPr>
        <w:t xml:space="preserve">, </w:t>
      </w:r>
      <w:r w:rsidRPr="00C4131E">
        <w:rPr>
          <w:rFonts w:hint="cs"/>
          <w:i/>
          <w:iCs/>
          <w:sz w:val="22"/>
          <w:szCs w:val="22"/>
          <w:rtl/>
        </w:rPr>
        <w:t>תשע"</w:t>
      </w:r>
      <w:r>
        <w:rPr>
          <w:rFonts w:hint="cs"/>
          <w:i/>
          <w:iCs/>
          <w:sz w:val="22"/>
          <w:szCs w:val="22"/>
          <w:rtl/>
        </w:rPr>
        <w:t>ה</w:t>
      </w:r>
      <w:r>
        <w:rPr>
          <w:rFonts w:hint="cs"/>
          <w:sz w:val="22"/>
          <w:szCs w:val="22"/>
          <w:rtl/>
        </w:rPr>
        <w:t xml:space="preserve">, </w:t>
      </w:r>
      <w:r w:rsidRPr="007F6E4F">
        <w:rPr>
          <w:rFonts w:hint="cs"/>
          <w:b/>
          <w:bCs/>
          <w:sz w:val="22"/>
          <w:szCs w:val="22"/>
          <w:rtl/>
        </w:rPr>
        <w:t>סמסטר א',</w:t>
      </w:r>
      <w:r>
        <w:rPr>
          <w:rFonts w:hint="cs"/>
          <w:sz w:val="22"/>
          <w:szCs w:val="22"/>
          <w:rtl/>
        </w:rPr>
        <w:t xml:space="preserve"> ד"ר אילן סבן, אוקטובר 2014, </w:t>
      </w:r>
      <w:r w:rsidRPr="005366A8">
        <w:rPr>
          <w:rFonts w:hint="cs"/>
          <w:b/>
          <w:bCs/>
          <w:i/>
          <w:iCs/>
          <w:sz w:val="22"/>
          <w:szCs w:val="22"/>
          <w:highlight w:val="magenta"/>
          <w:u w:val="single"/>
          <w:rtl/>
        </w:rPr>
        <w:t>פגישה 2</w:t>
      </w:r>
    </w:p>
    <w:p w:rsidR="005366A8" w:rsidRPr="00762BA4" w:rsidRDefault="005366A8" w:rsidP="005366A8">
      <w:pPr>
        <w:spacing w:after="120"/>
        <w:ind w:left="2160"/>
        <w:rPr>
          <w:rFonts w:ascii="Arial" w:hAnsi="Arial" w:cs="Arial"/>
          <w:b/>
          <w:bCs/>
          <w:u w:val="single"/>
          <w:rtl/>
        </w:rPr>
      </w:pPr>
      <w:r w:rsidRPr="00762BA4">
        <w:rPr>
          <w:rFonts w:ascii="Arial" w:hAnsi="Arial" w:cs="Arial"/>
          <w:b/>
          <w:bCs/>
          <w:highlight w:val="yellow"/>
          <w:u w:val="single"/>
          <w:rtl/>
        </w:rPr>
        <w:t>מתווה הקורס</w:t>
      </w:r>
    </w:p>
    <w:p w:rsidR="005366A8" w:rsidRPr="007C0BC4" w:rsidRDefault="005366A8" w:rsidP="005366A8">
      <w:pPr>
        <w:spacing w:after="120"/>
        <w:ind w:left="360"/>
        <w:rPr>
          <w:b/>
          <w:bCs/>
          <w:u w:val="single"/>
          <w:rtl/>
        </w:rPr>
      </w:pPr>
      <w:r w:rsidRPr="00762BA4">
        <w:rPr>
          <w:rFonts w:hint="cs"/>
          <w:b/>
          <w:bCs/>
          <w:highlight w:val="yellow"/>
          <w:u w:val="single"/>
          <w:rtl/>
        </w:rPr>
        <w:t>סמסטר א'</w:t>
      </w:r>
    </w:p>
    <w:p w:rsidR="005366A8" w:rsidRDefault="005366A8" w:rsidP="005366A8">
      <w:pPr>
        <w:rPr>
          <w:b/>
          <w:bCs/>
          <w:rtl/>
        </w:rPr>
      </w:pPr>
      <w:r>
        <w:rPr>
          <w:rFonts w:hint="cs"/>
          <w:b/>
          <w:bCs/>
          <w:rtl/>
        </w:rPr>
        <w:t xml:space="preserve">פגישות </w:t>
      </w:r>
      <w:r w:rsidRPr="007C0BC4">
        <w:rPr>
          <w:rFonts w:hint="cs"/>
          <w:b/>
          <w:bCs/>
          <w:rtl/>
        </w:rPr>
        <w:t>מבוא</w:t>
      </w:r>
    </w:p>
    <w:p w:rsidR="005366A8" w:rsidRPr="00A56538" w:rsidRDefault="005366A8" w:rsidP="005366A8">
      <w:pPr>
        <w:spacing w:after="120"/>
        <w:ind w:left="371"/>
        <w:rPr>
          <w:sz w:val="22"/>
          <w:szCs w:val="22"/>
          <w:rtl/>
        </w:rPr>
      </w:pPr>
      <w:r>
        <w:rPr>
          <w:rFonts w:hint="cs"/>
          <w:sz w:val="22"/>
          <w:szCs w:val="22"/>
          <w:rtl/>
        </w:rPr>
        <w:t xml:space="preserve">"הנורמטיביות" שבמשפט: לא מה יש, אלא מה צריך להיות; וכן </w:t>
      </w:r>
      <w:r w:rsidRPr="00A56538">
        <w:rPr>
          <w:rFonts w:hint="cs"/>
          <w:sz w:val="22"/>
          <w:szCs w:val="22"/>
          <w:rtl/>
        </w:rPr>
        <w:t>חשיבות המושג "סמכות" במשפט הציבורי</w:t>
      </w:r>
    </w:p>
    <w:p w:rsidR="005366A8" w:rsidRPr="007C0BC4" w:rsidRDefault="005366A8" w:rsidP="005366A8">
      <w:pPr>
        <w:rPr>
          <w:b/>
          <w:bCs/>
          <w:rtl/>
        </w:rPr>
      </w:pPr>
      <w:r w:rsidRPr="00693327">
        <w:rPr>
          <w:rFonts w:hint="cs"/>
          <w:b/>
          <w:bCs/>
          <w:u w:val="single"/>
          <w:rtl/>
        </w:rPr>
        <w:t>החוקה המהותית</w:t>
      </w:r>
      <w:r>
        <w:rPr>
          <w:rFonts w:hint="cs"/>
          <w:b/>
          <w:bCs/>
          <w:rtl/>
        </w:rPr>
        <w:t xml:space="preserve">/ החוקה </w:t>
      </w:r>
      <w:r w:rsidRPr="007C0BC4">
        <w:rPr>
          <w:rFonts w:hint="cs"/>
          <w:b/>
          <w:bCs/>
          <w:rtl/>
        </w:rPr>
        <w:t>המטריאלית של ישראל</w:t>
      </w:r>
    </w:p>
    <w:p w:rsidR="005366A8" w:rsidRPr="00A56538" w:rsidRDefault="005366A8" w:rsidP="005366A8">
      <w:pPr>
        <w:ind w:left="360"/>
        <w:rPr>
          <w:sz w:val="22"/>
          <w:szCs w:val="22"/>
          <w:rtl/>
        </w:rPr>
      </w:pPr>
      <w:r w:rsidRPr="00A56538">
        <w:rPr>
          <w:rFonts w:hint="cs"/>
          <w:sz w:val="22"/>
          <w:szCs w:val="22"/>
          <w:rtl/>
        </w:rPr>
        <w:t>"עקרונות היסוד" של "המדינה היהודית והדמוקרטית" (מקור מרכזי לזיהויים: "מגילת העצמאות")</w:t>
      </w:r>
    </w:p>
    <w:p w:rsidR="005366A8" w:rsidRPr="00A56538" w:rsidRDefault="005366A8" w:rsidP="005366A8">
      <w:pPr>
        <w:ind w:left="360"/>
        <w:rPr>
          <w:sz w:val="22"/>
          <w:szCs w:val="22"/>
          <w:rtl/>
        </w:rPr>
      </w:pPr>
      <w:r w:rsidRPr="00A56538">
        <w:rPr>
          <w:rFonts w:hint="cs"/>
          <w:sz w:val="22"/>
          <w:szCs w:val="22"/>
          <w:rtl/>
        </w:rPr>
        <w:t>משמעותם המשפטית של עקרונות אלה:</w:t>
      </w:r>
    </w:p>
    <w:p w:rsidR="005366A8" w:rsidRPr="00A56538" w:rsidRDefault="005366A8" w:rsidP="005366A8">
      <w:pPr>
        <w:ind w:left="720"/>
        <w:rPr>
          <w:sz w:val="22"/>
          <w:szCs w:val="22"/>
          <w:rtl/>
        </w:rPr>
      </w:pPr>
      <w:r w:rsidRPr="00A56538">
        <w:rPr>
          <w:rFonts w:hint="cs"/>
          <w:sz w:val="22"/>
          <w:szCs w:val="22"/>
          <w:rtl/>
        </w:rPr>
        <w:t>מיקומם בפירמידה הנורמטיבית</w:t>
      </w:r>
    </w:p>
    <w:p w:rsidR="005366A8" w:rsidRDefault="005366A8" w:rsidP="005366A8">
      <w:pPr>
        <w:spacing w:after="120"/>
        <w:ind w:left="717"/>
        <w:rPr>
          <w:rtl/>
        </w:rPr>
      </w:pPr>
      <w:r w:rsidRPr="00A56538">
        <w:rPr>
          <w:rFonts w:hint="cs"/>
          <w:sz w:val="22"/>
          <w:szCs w:val="22"/>
          <w:rtl/>
        </w:rPr>
        <w:t>השפעתם העמוקה על "הפרשנות התכליתית"</w:t>
      </w:r>
    </w:p>
    <w:p w:rsidR="005366A8" w:rsidRPr="007C0BC4" w:rsidRDefault="005366A8" w:rsidP="005366A8">
      <w:pPr>
        <w:rPr>
          <w:b/>
          <w:bCs/>
          <w:rtl/>
        </w:rPr>
      </w:pPr>
      <w:r w:rsidRPr="00693327">
        <w:rPr>
          <w:rFonts w:hint="cs"/>
          <w:b/>
          <w:bCs/>
          <w:u w:val="single"/>
          <w:rtl/>
        </w:rPr>
        <w:t>החוקה הפורמאלית</w:t>
      </w:r>
      <w:r w:rsidRPr="007C0BC4">
        <w:rPr>
          <w:rFonts w:hint="cs"/>
          <w:b/>
          <w:bCs/>
          <w:rtl/>
        </w:rPr>
        <w:t xml:space="preserve"> של ישראל</w:t>
      </w:r>
      <w:r>
        <w:rPr>
          <w:rFonts w:hint="cs"/>
          <w:b/>
          <w:bCs/>
          <w:rtl/>
        </w:rPr>
        <w:t xml:space="preserve">: חוקי היסוד </w:t>
      </w:r>
    </w:p>
    <w:p w:rsidR="005366A8" w:rsidRDefault="005366A8" w:rsidP="005366A8">
      <w:pPr>
        <w:ind w:left="360"/>
        <w:rPr>
          <w:sz w:val="22"/>
          <w:szCs w:val="22"/>
          <w:rtl/>
        </w:rPr>
      </w:pPr>
      <w:r>
        <w:rPr>
          <w:rFonts w:hint="cs"/>
          <w:sz w:val="22"/>
          <w:szCs w:val="22"/>
          <w:rtl/>
        </w:rPr>
        <w:t>"</w:t>
      </w:r>
      <w:r w:rsidRPr="00A56538">
        <w:rPr>
          <w:rFonts w:hint="cs"/>
          <w:sz w:val="22"/>
          <w:szCs w:val="22"/>
          <w:rtl/>
        </w:rPr>
        <w:t>הסמכות המכוננת</w:t>
      </w:r>
      <w:r>
        <w:rPr>
          <w:rFonts w:hint="cs"/>
          <w:sz w:val="22"/>
          <w:szCs w:val="22"/>
          <w:rtl/>
        </w:rPr>
        <w:t>"</w:t>
      </w:r>
      <w:r w:rsidRPr="00A56538">
        <w:rPr>
          <w:rFonts w:hint="cs"/>
          <w:sz w:val="22"/>
          <w:szCs w:val="22"/>
          <w:rtl/>
        </w:rPr>
        <w:t xml:space="preserve"> של הכנסת </w:t>
      </w:r>
      <w:r w:rsidRPr="00A56538">
        <w:rPr>
          <w:sz w:val="22"/>
          <w:szCs w:val="22"/>
          <w:rtl/>
        </w:rPr>
        <w:t>–</w:t>
      </w:r>
      <w:r w:rsidRPr="00A56538">
        <w:rPr>
          <w:rFonts w:hint="cs"/>
          <w:sz w:val="22"/>
          <w:szCs w:val="22"/>
          <w:rtl/>
        </w:rPr>
        <w:t xml:space="preserve"> תפיסת "שני הכובעים"</w:t>
      </w:r>
      <w:r>
        <w:rPr>
          <w:rFonts w:hint="cs"/>
          <w:sz w:val="22"/>
          <w:szCs w:val="22"/>
          <w:rtl/>
        </w:rPr>
        <w:t xml:space="preserve"> של הכנסת: הכובע המכונן והכובע המחוקק שלה</w:t>
      </w:r>
    </w:p>
    <w:p w:rsidR="005366A8" w:rsidRPr="00A56538" w:rsidRDefault="005366A8" w:rsidP="005366A8">
      <w:pPr>
        <w:ind w:left="360"/>
        <w:rPr>
          <w:sz w:val="22"/>
          <w:szCs w:val="22"/>
          <w:rtl/>
        </w:rPr>
      </w:pPr>
      <w:r>
        <w:rPr>
          <w:rFonts w:hint="cs"/>
          <w:sz w:val="22"/>
          <w:szCs w:val="22"/>
          <w:rtl/>
        </w:rPr>
        <w:t>כינון חוקי היסוד מכוח הסמכות המכוננת: עיגון חוקתי של ערכים, עקרונות, "כללי-המשחק", מוסדות שלטון</w:t>
      </w:r>
    </w:p>
    <w:p w:rsidR="005366A8" w:rsidRPr="00A56538" w:rsidRDefault="005366A8" w:rsidP="005366A8">
      <w:pPr>
        <w:ind w:left="360"/>
        <w:rPr>
          <w:sz w:val="22"/>
          <w:szCs w:val="22"/>
          <w:rtl/>
        </w:rPr>
      </w:pPr>
      <w:r>
        <w:rPr>
          <w:rFonts w:hint="cs"/>
          <w:sz w:val="22"/>
          <w:szCs w:val="22"/>
          <w:rtl/>
        </w:rPr>
        <w:t xml:space="preserve">מהם </w:t>
      </w:r>
      <w:r w:rsidRPr="00A56538">
        <w:rPr>
          <w:rFonts w:hint="cs"/>
          <w:sz w:val="22"/>
          <w:szCs w:val="22"/>
          <w:rtl/>
        </w:rPr>
        <w:t>כללי ההכרעה בעת "מתקל דינים"</w:t>
      </w:r>
      <w:r>
        <w:rPr>
          <w:rFonts w:hint="cs"/>
          <w:sz w:val="22"/>
          <w:szCs w:val="22"/>
          <w:rtl/>
        </w:rPr>
        <w:t>:</w:t>
      </w:r>
      <w:r w:rsidRPr="00A56538">
        <w:rPr>
          <w:rFonts w:hint="cs"/>
          <w:sz w:val="22"/>
          <w:szCs w:val="22"/>
          <w:rtl/>
        </w:rPr>
        <w:t xml:space="preserve"> התנגשות בין דין אחד לדין אחר</w:t>
      </w:r>
      <w:r>
        <w:rPr>
          <w:rFonts w:hint="cs"/>
          <w:sz w:val="22"/>
          <w:szCs w:val="22"/>
          <w:rtl/>
        </w:rPr>
        <w:t>?</w:t>
      </w:r>
    </w:p>
    <w:p w:rsidR="005366A8" w:rsidRPr="00A56538" w:rsidRDefault="005366A8" w:rsidP="005366A8">
      <w:pPr>
        <w:ind w:left="360"/>
        <w:rPr>
          <w:sz w:val="22"/>
          <w:szCs w:val="22"/>
          <w:rtl/>
        </w:rPr>
      </w:pPr>
      <w:r w:rsidRPr="00A56538">
        <w:rPr>
          <w:rFonts w:hint="cs"/>
          <w:sz w:val="22"/>
          <w:szCs w:val="22"/>
          <w:rtl/>
        </w:rPr>
        <w:t xml:space="preserve">"ביקורת שיפוטית חוקתית" </w:t>
      </w:r>
      <w:r w:rsidRPr="00A56538">
        <w:rPr>
          <w:sz w:val="22"/>
          <w:szCs w:val="22"/>
          <w:rtl/>
        </w:rPr>
        <w:t>–</w:t>
      </w:r>
      <w:r w:rsidRPr="00A56538">
        <w:rPr>
          <w:rFonts w:hint="cs"/>
          <w:sz w:val="22"/>
          <w:szCs w:val="22"/>
          <w:rtl/>
        </w:rPr>
        <w:t xml:space="preserve"> </w:t>
      </w:r>
      <w:r>
        <w:rPr>
          <w:rFonts w:hint="cs"/>
          <w:sz w:val="22"/>
          <w:szCs w:val="22"/>
          <w:rtl/>
        </w:rPr>
        <w:t xml:space="preserve">היש </w:t>
      </w:r>
      <w:r w:rsidRPr="00A56538">
        <w:rPr>
          <w:rFonts w:hint="cs"/>
          <w:sz w:val="22"/>
          <w:szCs w:val="22"/>
          <w:rtl/>
        </w:rPr>
        <w:t xml:space="preserve">סמכות </w:t>
      </w:r>
      <w:r>
        <w:rPr>
          <w:rFonts w:hint="cs"/>
          <w:sz w:val="22"/>
          <w:szCs w:val="22"/>
          <w:rtl/>
        </w:rPr>
        <w:t>ל</w:t>
      </w:r>
      <w:r w:rsidRPr="00A56538">
        <w:rPr>
          <w:rFonts w:hint="cs"/>
          <w:sz w:val="22"/>
          <w:szCs w:val="22"/>
          <w:rtl/>
        </w:rPr>
        <w:t xml:space="preserve">בתי המשפט לבחון </w:t>
      </w:r>
      <w:r>
        <w:rPr>
          <w:rFonts w:hint="cs"/>
          <w:sz w:val="22"/>
          <w:szCs w:val="22"/>
          <w:rtl/>
        </w:rPr>
        <w:t xml:space="preserve">את </w:t>
      </w:r>
      <w:r w:rsidRPr="00A56538">
        <w:rPr>
          <w:rFonts w:hint="cs"/>
          <w:sz w:val="22"/>
          <w:szCs w:val="22"/>
          <w:rtl/>
        </w:rPr>
        <w:t>תוקפם של חוקים</w:t>
      </w:r>
      <w:r>
        <w:rPr>
          <w:rFonts w:hint="cs"/>
          <w:sz w:val="22"/>
          <w:szCs w:val="22"/>
          <w:rtl/>
        </w:rPr>
        <w:t>?</w:t>
      </w:r>
    </w:p>
    <w:p w:rsidR="005366A8" w:rsidRPr="00A56538" w:rsidRDefault="005366A8" w:rsidP="005366A8">
      <w:pPr>
        <w:ind w:left="360"/>
        <w:rPr>
          <w:sz w:val="22"/>
          <w:szCs w:val="22"/>
          <w:rtl/>
        </w:rPr>
      </w:pPr>
      <w:r w:rsidRPr="00A56538">
        <w:rPr>
          <w:rFonts w:hint="cs"/>
          <w:sz w:val="22"/>
          <w:szCs w:val="22"/>
          <w:rtl/>
        </w:rPr>
        <w:t>"פסקת ההגבלה"</w:t>
      </w:r>
    </w:p>
    <w:p w:rsidR="005366A8" w:rsidRPr="00A56538" w:rsidRDefault="005366A8" w:rsidP="005366A8">
      <w:pPr>
        <w:ind w:left="360"/>
        <w:rPr>
          <w:sz w:val="22"/>
          <w:szCs w:val="22"/>
          <w:rtl/>
        </w:rPr>
      </w:pPr>
      <w:r w:rsidRPr="00A56538">
        <w:rPr>
          <w:rFonts w:hint="cs"/>
          <w:sz w:val="22"/>
          <w:szCs w:val="22"/>
          <w:rtl/>
        </w:rPr>
        <w:t>"פסקת ההתגברות"</w:t>
      </w:r>
    </w:p>
    <w:p w:rsidR="005366A8" w:rsidRPr="00A56538" w:rsidRDefault="005366A8" w:rsidP="005366A8">
      <w:pPr>
        <w:spacing w:after="120"/>
        <w:ind w:left="357"/>
        <w:rPr>
          <w:sz w:val="22"/>
          <w:szCs w:val="22"/>
          <w:rtl/>
        </w:rPr>
      </w:pPr>
      <w:r>
        <w:rPr>
          <w:rFonts w:hint="cs"/>
          <w:sz w:val="22"/>
          <w:szCs w:val="22"/>
          <w:rtl/>
        </w:rPr>
        <w:t>"</w:t>
      </w:r>
      <w:r w:rsidRPr="00A56538">
        <w:rPr>
          <w:rFonts w:hint="cs"/>
          <w:sz w:val="22"/>
          <w:szCs w:val="22"/>
          <w:rtl/>
        </w:rPr>
        <w:t>פסקת שמירת הדינים"</w:t>
      </w:r>
    </w:p>
    <w:p w:rsidR="005366A8" w:rsidRPr="007C0BC4" w:rsidRDefault="005366A8" w:rsidP="005366A8">
      <w:pPr>
        <w:spacing w:after="120"/>
        <w:rPr>
          <w:b/>
          <w:bCs/>
          <w:rtl/>
        </w:rPr>
      </w:pPr>
      <w:r w:rsidRPr="00693327">
        <w:rPr>
          <w:rFonts w:hint="cs"/>
          <w:b/>
          <w:bCs/>
          <w:u w:val="single"/>
          <w:rtl/>
        </w:rPr>
        <w:t>הרשויות השלטוניות המרכזיות</w:t>
      </w:r>
      <w:r>
        <w:rPr>
          <w:rFonts w:hint="cs"/>
          <w:b/>
          <w:bCs/>
          <w:rtl/>
        </w:rPr>
        <w:t xml:space="preserve">/ </w:t>
      </w:r>
      <w:r w:rsidRPr="007C0BC4">
        <w:rPr>
          <w:rFonts w:hint="cs"/>
          <w:b/>
          <w:bCs/>
          <w:rtl/>
        </w:rPr>
        <w:t>מוסדות שלטוניים מרכזיים</w:t>
      </w:r>
      <w:r>
        <w:rPr>
          <w:rFonts w:hint="cs"/>
          <w:b/>
          <w:bCs/>
          <w:rtl/>
        </w:rPr>
        <w:t xml:space="preserve"> </w:t>
      </w:r>
      <w:r w:rsidRPr="00753BD9">
        <w:rPr>
          <w:rFonts w:hint="cs"/>
          <w:rtl/>
        </w:rPr>
        <w:t>(חלק חשוב מהסדר</w:t>
      </w:r>
      <w:r>
        <w:rPr>
          <w:rFonts w:hint="cs"/>
          <w:rtl/>
        </w:rPr>
        <w:t>תם</w:t>
      </w:r>
      <w:r w:rsidRPr="00753BD9">
        <w:rPr>
          <w:rFonts w:hint="cs"/>
          <w:rtl/>
        </w:rPr>
        <w:t xml:space="preserve"> </w:t>
      </w:r>
      <w:r>
        <w:rPr>
          <w:rFonts w:hint="cs"/>
          <w:rtl/>
        </w:rPr>
        <w:t xml:space="preserve">גם </w:t>
      </w:r>
      <w:r w:rsidRPr="00753BD9">
        <w:rPr>
          <w:rFonts w:hint="cs"/>
          <w:rtl/>
        </w:rPr>
        <w:t xml:space="preserve">הוא </w:t>
      </w:r>
      <w:r>
        <w:rPr>
          <w:rFonts w:hint="cs"/>
          <w:rtl/>
        </w:rPr>
        <w:t xml:space="preserve">נעשה </w:t>
      </w:r>
      <w:r w:rsidRPr="00753BD9">
        <w:rPr>
          <w:rFonts w:hint="cs"/>
          <w:rtl/>
        </w:rPr>
        <w:t>בגדרם של חוקי היסוד)</w:t>
      </w:r>
    </w:p>
    <w:p w:rsidR="005366A8" w:rsidRPr="00A56538" w:rsidRDefault="005366A8" w:rsidP="005366A8">
      <w:pPr>
        <w:spacing w:after="60"/>
        <w:ind w:left="360"/>
        <w:rPr>
          <w:b/>
          <w:bCs/>
          <w:sz w:val="22"/>
          <w:szCs w:val="22"/>
          <w:rtl/>
        </w:rPr>
      </w:pPr>
      <w:r w:rsidRPr="00A56538">
        <w:rPr>
          <w:rFonts w:hint="cs"/>
          <w:b/>
          <w:bCs/>
          <w:sz w:val="22"/>
          <w:szCs w:val="22"/>
          <w:rtl/>
        </w:rPr>
        <w:t>הכנסת</w:t>
      </w:r>
      <w:r>
        <w:rPr>
          <w:rFonts w:hint="cs"/>
          <w:b/>
          <w:bCs/>
          <w:sz w:val="22"/>
          <w:szCs w:val="22"/>
          <w:rtl/>
        </w:rPr>
        <w:t xml:space="preserve"> וכן חסינות חברי הכנסת</w:t>
      </w:r>
    </w:p>
    <w:p w:rsidR="005366A8" w:rsidRPr="00A56538" w:rsidRDefault="005366A8" w:rsidP="005366A8">
      <w:pPr>
        <w:spacing w:after="60"/>
        <w:ind w:left="360"/>
        <w:rPr>
          <w:b/>
          <w:bCs/>
          <w:sz w:val="22"/>
          <w:szCs w:val="22"/>
          <w:rtl/>
        </w:rPr>
      </w:pPr>
      <w:r w:rsidRPr="00A56538">
        <w:rPr>
          <w:rFonts w:hint="cs"/>
          <w:b/>
          <w:bCs/>
          <w:sz w:val="22"/>
          <w:szCs w:val="22"/>
          <w:rtl/>
        </w:rPr>
        <w:t>הממשלה</w:t>
      </w:r>
    </w:p>
    <w:p w:rsidR="005366A8" w:rsidRPr="00A56538" w:rsidRDefault="005366A8" w:rsidP="005366A8">
      <w:pPr>
        <w:ind w:left="360"/>
        <w:rPr>
          <w:sz w:val="22"/>
          <w:szCs w:val="22"/>
          <w:rtl/>
        </w:rPr>
      </w:pPr>
      <w:r w:rsidRPr="00A56538">
        <w:rPr>
          <w:rFonts w:hint="cs"/>
          <w:sz w:val="22"/>
          <w:szCs w:val="22"/>
          <w:rtl/>
        </w:rPr>
        <w:t>[נשיא המדינה]</w:t>
      </w:r>
    </w:p>
    <w:p w:rsidR="005366A8" w:rsidRPr="00A56538" w:rsidRDefault="005366A8" w:rsidP="005366A8">
      <w:pPr>
        <w:ind w:left="360"/>
        <w:rPr>
          <w:sz w:val="22"/>
          <w:szCs w:val="22"/>
          <w:rtl/>
        </w:rPr>
      </w:pPr>
      <w:r w:rsidRPr="00A56538">
        <w:rPr>
          <w:rFonts w:hint="cs"/>
          <w:sz w:val="22"/>
          <w:szCs w:val="22"/>
          <w:rtl/>
        </w:rPr>
        <w:t>[מבקר המדינה]</w:t>
      </w:r>
    </w:p>
    <w:p w:rsidR="005366A8" w:rsidRPr="00A56538" w:rsidRDefault="005366A8" w:rsidP="005366A8">
      <w:pPr>
        <w:spacing w:after="60"/>
        <w:ind w:left="360"/>
        <w:rPr>
          <w:sz w:val="22"/>
          <w:szCs w:val="22"/>
          <w:rtl/>
        </w:rPr>
      </w:pPr>
      <w:r w:rsidRPr="00A56538">
        <w:rPr>
          <w:rFonts w:hint="cs"/>
          <w:sz w:val="22"/>
          <w:szCs w:val="22"/>
          <w:rtl/>
        </w:rPr>
        <w:t>[הרשות השופטת]</w:t>
      </w:r>
    </w:p>
    <w:p w:rsidR="005366A8" w:rsidRPr="00A56538" w:rsidRDefault="005366A8" w:rsidP="005366A8">
      <w:pPr>
        <w:spacing w:after="60"/>
        <w:ind w:left="360"/>
        <w:rPr>
          <w:b/>
          <w:bCs/>
          <w:sz w:val="22"/>
          <w:szCs w:val="22"/>
          <w:rtl/>
        </w:rPr>
      </w:pPr>
      <w:r w:rsidRPr="00A56538">
        <w:rPr>
          <w:rFonts w:hint="cs"/>
          <w:b/>
          <w:bCs/>
          <w:sz w:val="22"/>
          <w:szCs w:val="22"/>
          <w:rtl/>
        </w:rPr>
        <w:t xml:space="preserve">השלטון המקומי </w:t>
      </w:r>
      <w:r w:rsidRPr="00A56538">
        <w:rPr>
          <w:b/>
          <w:bCs/>
          <w:sz w:val="22"/>
          <w:szCs w:val="22"/>
          <w:rtl/>
        </w:rPr>
        <w:t>–</w:t>
      </w:r>
      <w:r w:rsidRPr="00A56538">
        <w:rPr>
          <w:rFonts w:hint="cs"/>
          <w:b/>
          <w:bCs/>
          <w:sz w:val="22"/>
          <w:szCs w:val="22"/>
          <w:rtl/>
        </w:rPr>
        <w:t xml:space="preserve"> הרשויות המקומיות </w:t>
      </w:r>
    </w:p>
    <w:p w:rsidR="005366A8" w:rsidRPr="00A56538" w:rsidRDefault="005366A8" w:rsidP="005366A8">
      <w:pPr>
        <w:spacing w:after="120"/>
        <w:ind w:left="360"/>
        <w:rPr>
          <w:sz w:val="22"/>
          <w:szCs w:val="22"/>
          <w:rtl/>
        </w:rPr>
      </w:pPr>
      <w:r w:rsidRPr="00A56538">
        <w:rPr>
          <w:rFonts w:hint="cs"/>
          <w:b/>
          <w:bCs/>
          <w:sz w:val="22"/>
          <w:szCs w:val="22"/>
          <w:rtl/>
        </w:rPr>
        <w:t>היועץ המשפטי לממשלה</w:t>
      </w:r>
    </w:p>
    <w:p w:rsidR="005366A8" w:rsidRPr="00762BA4" w:rsidRDefault="005366A8" w:rsidP="005366A8">
      <w:pPr>
        <w:spacing w:after="60"/>
        <w:rPr>
          <w:rtl/>
        </w:rPr>
      </w:pPr>
      <w:r w:rsidRPr="00762BA4">
        <w:rPr>
          <w:rFonts w:hint="cs"/>
          <w:b/>
          <w:bCs/>
          <w:rtl/>
        </w:rPr>
        <w:t xml:space="preserve">יסודות של </w:t>
      </w:r>
      <w:r w:rsidRPr="001532A2">
        <w:rPr>
          <w:rFonts w:hint="cs"/>
          <w:b/>
          <w:bCs/>
          <w:u w:val="single"/>
          <w:rtl/>
        </w:rPr>
        <w:t>המשפט המינהלי</w:t>
      </w:r>
      <w:r>
        <w:rPr>
          <w:rFonts w:hint="cs"/>
          <w:b/>
          <w:bCs/>
          <w:rtl/>
        </w:rPr>
        <w:t xml:space="preserve"> של ישראל </w:t>
      </w:r>
      <w:r>
        <w:rPr>
          <w:rFonts w:hint="cs"/>
          <w:rtl/>
        </w:rPr>
        <w:t>[שיעורים לא מעטים..]</w:t>
      </w:r>
    </w:p>
    <w:p w:rsidR="005366A8" w:rsidRPr="00A56538" w:rsidRDefault="005366A8" w:rsidP="005366A8">
      <w:pPr>
        <w:spacing w:after="60"/>
        <w:ind w:left="360"/>
        <w:rPr>
          <w:b/>
          <w:bCs/>
          <w:sz w:val="22"/>
          <w:szCs w:val="22"/>
          <w:rtl/>
        </w:rPr>
      </w:pPr>
      <w:r w:rsidRPr="00A56538">
        <w:rPr>
          <w:rFonts w:hint="cs"/>
          <w:b/>
          <w:bCs/>
          <w:sz w:val="22"/>
          <w:szCs w:val="22"/>
          <w:rtl/>
        </w:rPr>
        <w:t>דיני הסמכות המינהלית</w:t>
      </w:r>
    </w:p>
    <w:p w:rsidR="005366A8" w:rsidRPr="00A56538" w:rsidRDefault="005366A8" w:rsidP="005366A8">
      <w:pPr>
        <w:ind w:left="360"/>
        <w:rPr>
          <w:b/>
          <w:bCs/>
          <w:sz w:val="22"/>
          <w:szCs w:val="22"/>
          <w:rtl/>
        </w:rPr>
      </w:pPr>
      <w:r w:rsidRPr="00A56538">
        <w:rPr>
          <w:rFonts w:hint="cs"/>
          <w:b/>
          <w:bCs/>
          <w:sz w:val="22"/>
          <w:szCs w:val="22"/>
          <w:rtl/>
        </w:rPr>
        <w:t>דיני ההליך המינהלי</w:t>
      </w:r>
    </w:p>
    <w:p w:rsidR="005366A8" w:rsidRPr="00A56538" w:rsidRDefault="005366A8" w:rsidP="005366A8">
      <w:pPr>
        <w:rPr>
          <w:b/>
          <w:bCs/>
          <w:sz w:val="22"/>
          <w:szCs w:val="22"/>
          <w:rtl/>
        </w:rPr>
      </w:pPr>
    </w:p>
    <w:p w:rsidR="005366A8" w:rsidRPr="00762BA4" w:rsidRDefault="005366A8" w:rsidP="005366A8">
      <w:pPr>
        <w:spacing w:after="120"/>
        <w:ind w:left="360"/>
        <w:rPr>
          <w:b/>
          <w:bCs/>
          <w:u w:val="single"/>
          <w:rtl/>
        </w:rPr>
      </w:pPr>
      <w:r w:rsidRPr="00762BA4">
        <w:rPr>
          <w:rFonts w:hint="cs"/>
          <w:b/>
          <w:bCs/>
          <w:highlight w:val="yellow"/>
          <w:u w:val="single"/>
          <w:rtl/>
        </w:rPr>
        <w:t>סמסטר ב'</w:t>
      </w:r>
    </w:p>
    <w:p w:rsidR="005366A8" w:rsidRPr="00A56538" w:rsidRDefault="005366A8" w:rsidP="005366A8">
      <w:pPr>
        <w:spacing w:after="60"/>
        <w:ind w:left="360"/>
        <w:rPr>
          <w:b/>
          <w:bCs/>
          <w:sz w:val="22"/>
          <w:szCs w:val="22"/>
          <w:rtl/>
        </w:rPr>
      </w:pPr>
      <w:r w:rsidRPr="00A56538">
        <w:rPr>
          <w:rFonts w:hint="cs"/>
          <w:b/>
          <w:bCs/>
          <w:sz w:val="22"/>
          <w:szCs w:val="22"/>
          <w:rtl/>
        </w:rPr>
        <w:t>דיני שיקול הדעת המינהלי</w:t>
      </w:r>
    </w:p>
    <w:p w:rsidR="005366A8" w:rsidRDefault="005366A8" w:rsidP="005366A8">
      <w:pPr>
        <w:spacing w:after="120"/>
        <w:ind w:left="357"/>
        <w:rPr>
          <w:b/>
          <w:bCs/>
          <w:rtl/>
        </w:rPr>
      </w:pPr>
      <w:r w:rsidRPr="00A56538">
        <w:rPr>
          <w:rFonts w:hint="cs"/>
          <w:b/>
          <w:bCs/>
          <w:sz w:val="22"/>
          <w:szCs w:val="22"/>
          <w:rtl/>
        </w:rPr>
        <w:t>סוגיות מיוחדות במשפט המינהלי</w:t>
      </w:r>
    </w:p>
    <w:p w:rsidR="005366A8" w:rsidRPr="00693327" w:rsidRDefault="005366A8" w:rsidP="005366A8">
      <w:pPr>
        <w:spacing w:after="60"/>
        <w:rPr>
          <w:b/>
          <w:bCs/>
          <w:u w:val="single"/>
          <w:rtl/>
        </w:rPr>
      </w:pPr>
      <w:r w:rsidRPr="00693327">
        <w:rPr>
          <w:rFonts w:hint="cs"/>
          <w:b/>
          <w:bCs/>
          <w:u w:val="single"/>
          <w:rtl/>
        </w:rPr>
        <w:t>זכויות האדם בישראל</w:t>
      </w:r>
    </w:p>
    <w:p w:rsidR="005366A8" w:rsidRPr="00693327" w:rsidRDefault="005366A8" w:rsidP="005366A8">
      <w:pPr>
        <w:spacing w:after="60"/>
        <w:ind w:left="360"/>
        <w:rPr>
          <w:sz w:val="22"/>
          <w:szCs w:val="22"/>
          <w:rtl/>
        </w:rPr>
      </w:pPr>
      <w:r w:rsidRPr="00693327">
        <w:rPr>
          <w:rFonts w:hint="cs"/>
          <w:sz w:val="22"/>
          <w:szCs w:val="22"/>
          <w:rtl/>
        </w:rPr>
        <w:t>קטגוריות של מעמד אזרחי (אזרח, תושב, עובד זר, מבקש מקלט, פליט...)</w:t>
      </w:r>
    </w:p>
    <w:p w:rsidR="005366A8" w:rsidRPr="00693327" w:rsidRDefault="005366A8" w:rsidP="005366A8">
      <w:pPr>
        <w:spacing w:after="60"/>
        <w:ind w:left="360"/>
        <w:rPr>
          <w:sz w:val="22"/>
          <w:szCs w:val="22"/>
          <w:rtl/>
        </w:rPr>
      </w:pPr>
      <w:r w:rsidRPr="00693327">
        <w:rPr>
          <w:rFonts w:hint="cs"/>
          <w:sz w:val="22"/>
          <w:szCs w:val="22"/>
          <w:rtl/>
        </w:rPr>
        <w:t>סמכויות שעת חירום</w:t>
      </w:r>
    </w:p>
    <w:p w:rsidR="005366A8" w:rsidRPr="00693327" w:rsidRDefault="005366A8" w:rsidP="005366A8">
      <w:pPr>
        <w:spacing w:after="60"/>
        <w:ind w:left="720"/>
        <w:rPr>
          <w:sz w:val="22"/>
          <w:szCs w:val="22"/>
          <w:rtl/>
        </w:rPr>
      </w:pPr>
      <w:r w:rsidRPr="00693327">
        <w:rPr>
          <w:rFonts w:hint="cs"/>
          <w:sz w:val="22"/>
          <w:szCs w:val="22"/>
          <w:rtl/>
        </w:rPr>
        <w:t>כולל הדין שעניינו הפלסטינים בשטחים הכבושים, או השטחים הנתונים "בתפיסה לוחמתית"</w:t>
      </w:r>
    </w:p>
    <w:p w:rsidR="005366A8" w:rsidRPr="00693327" w:rsidRDefault="005366A8" w:rsidP="005366A8">
      <w:pPr>
        <w:spacing w:after="60"/>
        <w:ind w:left="1077" w:hanging="720"/>
        <w:rPr>
          <w:sz w:val="22"/>
          <w:szCs w:val="22"/>
          <w:rtl/>
        </w:rPr>
      </w:pPr>
      <w:r w:rsidRPr="00693327">
        <w:rPr>
          <w:rFonts w:hint="cs"/>
          <w:sz w:val="22"/>
          <w:szCs w:val="22"/>
          <w:rtl/>
        </w:rPr>
        <w:t>זכויות מיעוטים (המיעוט הערבי-פלסטיני והמיעוט הדתי בתוך קהילת הרוב היהודית): זכויות קיבוציות/ זכויות הנובעות מהשונות הקבוצתית, מהשתייכות לקבוצת מיעוט תרבותית, שהמשכיות תרבותה תלויה בהגנה נוספת</w:t>
      </w:r>
    </w:p>
    <w:p w:rsidR="005366A8" w:rsidRPr="00693327" w:rsidRDefault="005366A8" w:rsidP="005366A8">
      <w:pPr>
        <w:spacing w:after="60"/>
        <w:ind w:left="360"/>
        <w:rPr>
          <w:sz w:val="22"/>
          <w:szCs w:val="22"/>
          <w:rtl/>
        </w:rPr>
      </w:pPr>
      <w:r w:rsidRPr="00693327">
        <w:rPr>
          <w:rFonts w:hint="cs"/>
          <w:sz w:val="22"/>
          <w:szCs w:val="22"/>
          <w:rtl/>
        </w:rPr>
        <w:t>הזכות לבחור ולהיבחר</w:t>
      </w:r>
    </w:p>
    <w:p w:rsidR="005366A8" w:rsidRPr="00693327" w:rsidRDefault="005366A8" w:rsidP="005366A8">
      <w:pPr>
        <w:spacing w:after="60"/>
        <w:ind w:left="360"/>
        <w:rPr>
          <w:sz w:val="22"/>
          <w:szCs w:val="22"/>
          <w:rtl/>
        </w:rPr>
      </w:pPr>
      <w:r w:rsidRPr="00693327">
        <w:rPr>
          <w:rFonts w:hint="cs"/>
          <w:sz w:val="22"/>
          <w:szCs w:val="22"/>
          <w:rtl/>
        </w:rPr>
        <w:t>חופש הביטוי</w:t>
      </w:r>
    </w:p>
    <w:p w:rsidR="005366A8" w:rsidRPr="00693327" w:rsidRDefault="005366A8" w:rsidP="005366A8">
      <w:pPr>
        <w:spacing w:after="60"/>
        <w:ind w:left="360"/>
        <w:rPr>
          <w:sz w:val="22"/>
          <w:szCs w:val="22"/>
          <w:rtl/>
        </w:rPr>
      </w:pPr>
      <w:r w:rsidRPr="00693327">
        <w:rPr>
          <w:rFonts w:hint="cs"/>
          <w:sz w:val="22"/>
          <w:szCs w:val="22"/>
          <w:rtl/>
        </w:rPr>
        <w:t>חופש ההפגנה</w:t>
      </w:r>
    </w:p>
    <w:p w:rsidR="005366A8" w:rsidRPr="00693327" w:rsidRDefault="005366A8" w:rsidP="005366A8">
      <w:pPr>
        <w:spacing w:after="60"/>
        <w:ind w:left="360"/>
        <w:rPr>
          <w:sz w:val="22"/>
          <w:szCs w:val="22"/>
          <w:rtl/>
        </w:rPr>
      </w:pPr>
      <w:r w:rsidRPr="00693327">
        <w:rPr>
          <w:rFonts w:hint="cs"/>
          <w:sz w:val="22"/>
          <w:szCs w:val="22"/>
          <w:rtl/>
        </w:rPr>
        <w:t>חופש הדת והמצפון</w:t>
      </w:r>
    </w:p>
    <w:p w:rsidR="005366A8" w:rsidRPr="00693327" w:rsidRDefault="005366A8" w:rsidP="005366A8">
      <w:pPr>
        <w:spacing w:after="60"/>
        <w:ind w:left="360"/>
        <w:rPr>
          <w:sz w:val="22"/>
          <w:szCs w:val="22"/>
          <w:rtl/>
        </w:rPr>
      </w:pPr>
      <w:r w:rsidRPr="00693327">
        <w:rPr>
          <w:rFonts w:hint="cs"/>
          <w:sz w:val="22"/>
          <w:szCs w:val="22"/>
          <w:rtl/>
        </w:rPr>
        <w:t>הזכות לשוויון</w:t>
      </w:r>
    </w:p>
    <w:p w:rsidR="005366A8" w:rsidRPr="00693327" w:rsidRDefault="005366A8" w:rsidP="005366A8">
      <w:pPr>
        <w:spacing w:after="120"/>
        <w:ind w:left="360"/>
        <w:rPr>
          <w:sz w:val="22"/>
          <w:szCs w:val="22"/>
          <w:rtl/>
        </w:rPr>
      </w:pPr>
      <w:r w:rsidRPr="00693327">
        <w:rPr>
          <w:rFonts w:hint="cs"/>
          <w:sz w:val="22"/>
          <w:szCs w:val="22"/>
          <w:rtl/>
        </w:rPr>
        <w:t>זכויות חברתיות</w:t>
      </w:r>
    </w:p>
    <w:p w:rsidR="005366A8" w:rsidRPr="007C0BC4" w:rsidRDefault="005366A8" w:rsidP="005366A8">
      <w:pPr>
        <w:spacing w:after="120"/>
        <w:rPr>
          <w:b/>
          <w:bCs/>
          <w:rtl/>
        </w:rPr>
      </w:pPr>
      <w:r w:rsidRPr="00693327">
        <w:rPr>
          <w:rFonts w:hint="cs"/>
          <w:b/>
          <w:bCs/>
          <w:u w:val="single"/>
          <w:rtl/>
        </w:rPr>
        <w:t>תוצאות ה</w:t>
      </w:r>
      <w:r w:rsidRPr="00693327">
        <w:rPr>
          <w:b/>
          <w:bCs/>
          <w:u w:val="single"/>
          <w:rtl/>
        </w:rPr>
        <w:t>הפרה של כללי המשפט הציבורי</w:t>
      </w:r>
      <w:r w:rsidRPr="007C0BC4">
        <w:rPr>
          <w:b/>
          <w:bCs/>
          <w:rtl/>
        </w:rPr>
        <w:t>: תרופות</w:t>
      </w:r>
      <w:r>
        <w:rPr>
          <w:rFonts w:hint="cs"/>
          <w:b/>
          <w:bCs/>
          <w:rtl/>
        </w:rPr>
        <w:t xml:space="preserve"> שניתנות/ סעדים שניתנים</w:t>
      </w:r>
    </w:p>
    <w:p w:rsidR="005366A8" w:rsidRPr="007C0BC4" w:rsidRDefault="005366A8" w:rsidP="005366A8">
      <w:pPr>
        <w:rPr>
          <w:b/>
          <w:bCs/>
          <w:rtl/>
        </w:rPr>
      </w:pPr>
      <w:r w:rsidRPr="00693327">
        <w:rPr>
          <w:rFonts w:hint="cs"/>
          <w:b/>
          <w:bCs/>
          <w:u w:val="single"/>
          <w:rtl/>
        </w:rPr>
        <w:t xml:space="preserve">סמכויות </w:t>
      </w:r>
      <w:r w:rsidRPr="00693327">
        <w:rPr>
          <w:b/>
          <w:bCs/>
          <w:u w:val="single"/>
          <w:rtl/>
        </w:rPr>
        <w:t>השיפוט</w:t>
      </w:r>
      <w:r w:rsidRPr="007C0BC4">
        <w:rPr>
          <w:b/>
          <w:bCs/>
          <w:rtl/>
        </w:rPr>
        <w:t xml:space="preserve"> בעניינים של </w:t>
      </w:r>
      <w:r>
        <w:rPr>
          <w:rFonts w:hint="cs"/>
          <w:b/>
          <w:bCs/>
          <w:rtl/>
        </w:rPr>
        <w:t>ה</w:t>
      </w:r>
      <w:r w:rsidRPr="007C0BC4">
        <w:rPr>
          <w:b/>
          <w:bCs/>
          <w:rtl/>
        </w:rPr>
        <w:t xml:space="preserve">משפט </w:t>
      </w:r>
      <w:r>
        <w:rPr>
          <w:rFonts w:hint="cs"/>
          <w:b/>
          <w:bCs/>
          <w:rtl/>
        </w:rPr>
        <w:t>ה</w:t>
      </w:r>
      <w:r w:rsidRPr="007C0BC4">
        <w:rPr>
          <w:b/>
          <w:bCs/>
          <w:rtl/>
        </w:rPr>
        <w:t>ציבורי</w:t>
      </w:r>
    </w:p>
    <w:p w:rsidR="005366A8" w:rsidRPr="00693327" w:rsidRDefault="005366A8" w:rsidP="005366A8">
      <w:pPr>
        <w:ind w:left="360"/>
        <w:rPr>
          <w:sz w:val="22"/>
          <w:szCs w:val="22"/>
          <w:rtl/>
        </w:rPr>
      </w:pPr>
      <w:r w:rsidRPr="00693327">
        <w:rPr>
          <w:sz w:val="22"/>
          <w:szCs w:val="22"/>
          <w:rtl/>
        </w:rPr>
        <w:t xml:space="preserve">סמכויות השיפוט בעניינים של </w:t>
      </w:r>
      <w:r w:rsidRPr="00693327">
        <w:rPr>
          <w:rFonts w:hint="cs"/>
          <w:sz w:val="22"/>
          <w:szCs w:val="22"/>
          <w:rtl/>
        </w:rPr>
        <w:t>ה</w:t>
      </w:r>
      <w:r w:rsidRPr="00693327">
        <w:rPr>
          <w:sz w:val="22"/>
          <w:szCs w:val="22"/>
          <w:rtl/>
        </w:rPr>
        <w:t xml:space="preserve">משפט </w:t>
      </w:r>
      <w:r w:rsidRPr="00693327">
        <w:rPr>
          <w:rFonts w:hint="cs"/>
          <w:sz w:val="22"/>
          <w:szCs w:val="22"/>
          <w:rtl/>
        </w:rPr>
        <w:t>ה</w:t>
      </w:r>
      <w:r w:rsidRPr="00693327">
        <w:rPr>
          <w:sz w:val="22"/>
          <w:szCs w:val="22"/>
          <w:rtl/>
        </w:rPr>
        <w:t>ציבורי</w:t>
      </w:r>
    </w:p>
    <w:p w:rsidR="005366A8" w:rsidRPr="007C0BC4" w:rsidRDefault="005366A8" w:rsidP="005366A8">
      <w:pPr>
        <w:ind w:left="360"/>
        <w:rPr>
          <w:rtl/>
        </w:rPr>
      </w:pPr>
      <w:r w:rsidRPr="00693327">
        <w:rPr>
          <w:sz w:val="22"/>
          <w:szCs w:val="22"/>
          <w:rtl/>
        </w:rPr>
        <w:t xml:space="preserve">שיקול-הדעת בהפעלת סמכות השיפוט בעניינים של </w:t>
      </w:r>
      <w:r w:rsidRPr="00693327">
        <w:rPr>
          <w:rFonts w:hint="cs"/>
          <w:sz w:val="22"/>
          <w:szCs w:val="22"/>
          <w:rtl/>
        </w:rPr>
        <w:t>ה</w:t>
      </w:r>
      <w:r w:rsidRPr="00693327">
        <w:rPr>
          <w:sz w:val="22"/>
          <w:szCs w:val="22"/>
          <w:rtl/>
        </w:rPr>
        <w:t xml:space="preserve">משפט </w:t>
      </w:r>
      <w:r w:rsidRPr="00693327">
        <w:rPr>
          <w:rFonts w:hint="cs"/>
          <w:sz w:val="22"/>
          <w:szCs w:val="22"/>
          <w:rtl/>
        </w:rPr>
        <w:t>ה</w:t>
      </w:r>
      <w:r w:rsidRPr="00693327">
        <w:rPr>
          <w:sz w:val="22"/>
          <w:szCs w:val="22"/>
          <w:rtl/>
        </w:rPr>
        <w:t xml:space="preserve">ציבורי – </w:t>
      </w:r>
      <w:r w:rsidRPr="00693327">
        <w:rPr>
          <w:rFonts w:hint="cs"/>
          <w:sz w:val="22"/>
          <w:szCs w:val="22"/>
          <w:rtl/>
        </w:rPr>
        <w:t xml:space="preserve">בין היתר, </w:t>
      </w:r>
      <w:r w:rsidRPr="00693327">
        <w:rPr>
          <w:sz w:val="22"/>
          <w:szCs w:val="22"/>
          <w:rtl/>
        </w:rPr>
        <w:t>"עילות הסף" ל</w:t>
      </w:r>
      <w:r w:rsidRPr="00693327">
        <w:rPr>
          <w:rFonts w:hint="cs"/>
          <w:sz w:val="22"/>
          <w:szCs w:val="22"/>
          <w:rtl/>
        </w:rPr>
        <w:t>דיון ב</w:t>
      </w:r>
      <w:r w:rsidRPr="00693327">
        <w:rPr>
          <w:sz w:val="22"/>
          <w:szCs w:val="22"/>
          <w:rtl/>
        </w:rPr>
        <w:t>עתירות</w:t>
      </w:r>
      <w:r w:rsidRPr="007C0BC4">
        <w:rPr>
          <w:b/>
          <w:bCs/>
          <w:rtl/>
        </w:rPr>
        <w:t xml:space="preserve"> </w:t>
      </w:r>
    </w:p>
    <w:p w:rsidR="005366A8" w:rsidRDefault="005366A8" w:rsidP="005366A8">
      <w:pPr>
        <w:pStyle w:val="T-body"/>
        <w:spacing w:after="120" w:line="240" w:lineRule="auto"/>
        <w:jc w:val="center"/>
        <w:rPr>
          <w:b/>
          <w:bCs/>
          <w:rtl/>
        </w:rPr>
      </w:pPr>
      <w:r>
        <w:rPr>
          <w:rFonts w:ascii="Arial" w:hAnsi="Arial" w:cs="Arial"/>
          <w:b/>
          <w:bCs/>
          <w:highlight w:val="yellow"/>
          <w:rtl/>
        </w:rPr>
        <w:br w:type="page"/>
      </w:r>
      <w:r w:rsidRPr="00C30390">
        <w:rPr>
          <w:rFonts w:ascii="Arial" w:hAnsi="Arial" w:cs="Arial"/>
          <w:b/>
          <w:bCs/>
          <w:highlight w:val="yellow"/>
          <w:rtl/>
        </w:rPr>
        <w:t>פירמידת הנורמות ופירמידת המוסדות</w:t>
      </w:r>
      <w:r w:rsidRPr="00C30390">
        <w:rPr>
          <w:rFonts w:ascii="Arial" w:hAnsi="Arial" w:cs="Arial" w:hint="cs"/>
          <w:b/>
          <w:bCs/>
          <w:highlight w:val="yellow"/>
          <w:rtl/>
        </w:rPr>
        <w:t>, ולשם קיצור "הפירמידה הנורמטיבית"</w:t>
      </w:r>
    </w:p>
    <w:p w:rsidR="005366A8" w:rsidRDefault="005D7968" w:rsidP="005366A8">
      <w:pPr>
        <w:rPr>
          <w:rtl/>
        </w:rPr>
      </w:pPr>
      <w:r>
        <w:rPr>
          <w:noProof/>
          <w:rtl/>
        </w:rPr>
        <w:pict>
          <v:line id="_x0000_s1088" style="position:absolute;left:0;text-align:left;z-index:251723776;mso-position-horizontal-relative:page" from="480.6pt,13.3pt" to="520.8pt,42.05pt">
            <v:stroke startarrow="block" endarrow="block"/>
            <w10:wrap anchorx="page"/>
          </v:line>
        </w:pict>
      </w:r>
      <w:r>
        <w:rPr>
          <w:rtl/>
        </w:rPr>
        <w:pict>
          <v:line id="_x0000_s1027" style="position:absolute;left:0;text-align:left;flip:y;z-index:251661312;mso-position-horizontal-relative:page" from="121.05pt,10.7pt" to="193.05pt,154.7pt">
            <v:stroke endarrow="block"/>
            <w10:wrap anchorx="page"/>
          </v:line>
        </w:pict>
      </w:r>
      <w:r>
        <w:rPr>
          <w:rtl/>
        </w:rPr>
        <w:pict>
          <v:line id="_x0000_s1026" style="position:absolute;left:0;text-align:left;flip:x;z-index:251660288;mso-position-horizontal-relative:page" from="148.05pt,13.3pt" to="220.05pt,165.7pt">
            <w10:wrap anchorx="page"/>
          </v:line>
        </w:pict>
      </w:r>
      <w:r>
        <w:rPr>
          <w:rtl/>
        </w:rPr>
        <w:pict>
          <v:rect id="_x0000_s1028" style="position:absolute;left:0;text-align:left;margin-left:460.8pt;margin-top:10.65pt;width:7.2pt;height:7.2pt;z-index:251662336;mso-position-horizontal-relative:page" o:allowincell="f">
            <w10:wrap anchorx="page"/>
          </v:rect>
        </w:pict>
      </w:r>
      <w:r>
        <w:rPr>
          <w:rtl/>
        </w:rPr>
        <w:pict>
          <v:rect id="_x0000_s1029" style="position:absolute;left:0;text-align:left;margin-left:3in;margin-top:11.85pt;width:7.2pt;height:7.2pt;z-index:251663360;mso-position-horizontal-relative:page" o:allowincell="f">
            <w10:wrap anchorx="page"/>
          </v:rect>
        </w:pict>
      </w:r>
      <w:r w:rsidR="005366A8">
        <w:rPr>
          <w:rtl/>
        </w:rPr>
        <w:tab/>
      </w:r>
      <w:r w:rsidR="005366A8" w:rsidRPr="00E77B21">
        <w:rPr>
          <w:b/>
          <w:bCs/>
          <w:rtl/>
        </w:rPr>
        <w:t>הנורמה הבסיסית</w:t>
      </w:r>
      <w:r w:rsidR="005366A8">
        <w:rPr>
          <w:rtl/>
        </w:rPr>
        <w:tab/>
      </w:r>
      <w:r w:rsidR="005366A8">
        <w:rPr>
          <w:rtl/>
        </w:rPr>
        <w:tab/>
      </w:r>
      <w:r w:rsidR="005366A8">
        <w:rPr>
          <w:rtl/>
        </w:rPr>
        <w:tab/>
      </w:r>
      <w:r w:rsidR="005366A8">
        <w:rPr>
          <w:rtl/>
        </w:rPr>
        <w:tab/>
      </w:r>
      <w:r w:rsidR="005366A8">
        <w:rPr>
          <w:rtl/>
        </w:rPr>
        <w:tab/>
      </w:r>
      <w:r w:rsidR="005366A8">
        <w:rPr>
          <w:rtl/>
        </w:rPr>
        <w:tab/>
      </w:r>
      <w:r w:rsidR="005366A8">
        <w:rPr>
          <w:rtl/>
        </w:rPr>
        <w:tab/>
      </w:r>
      <w:r w:rsidR="005366A8">
        <w:rPr>
          <w:rFonts w:hint="cs"/>
          <w:b/>
          <w:bCs/>
          <w:rtl/>
        </w:rPr>
        <w:t>"</w:t>
      </w:r>
      <w:r w:rsidR="005366A8" w:rsidRPr="00E77B21">
        <w:rPr>
          <w:b/>
          <w:bCs/>
          <w:rtl/>
        </w:rPr>
        <w:t>הריבון</w:t>
      </w:r>
      <w:r w:rsidR="005366A8">
        <w:rPr>
          <w:rFonts w:hint="cs"/>
          <w:b/>
          <w:bCs/>
          <w:rtl/>
        </w:rPr>
        <w:t>"</w:t>
      </w:r>
    </w:p>
    <w:p w:rsidR="005366A8" w:rsidRDefault="005D7968" w:rsidP="005366A8">
      <w:pPr>
        <w:spacing w:after="120" w:line="288" w:lineRule="auto"/>
        <w:rPr>
          <w:rtl/>
        </w:rPr>
      </w:pPr>
      <w:r>
        <w:rPr>
          <w:rtl/>
        </w:rPr>
        <w:pict>
          <v:line id="_x0000_s1031" style="position:absolute;left:0;text-align:left;flip:x;z-index:251665408;mso-position-horizontal-relative:page" from="391.05pt,5.9pt" to="468pt,181.3pt" o:allowincell="f">
            <w10:wrap anchorx="page"/>
          </v:line>
        </w:pict>
      </w:r>
      <w:r>
        <w:rPr>
          <w:rtl/>
        </w:rPr>
        <w:pict>
          <v:line id="_x0000_s1030" style="position:absolute;left:0;text-align:left;z-index:251664384;mso-position-horizontal-relative:page" from="468pt,5.9pt" to="562.05pt,181.3pt" o:allowincell="f">
            <w10:wrap anchorx="page"/>
          </v:line>
        </w:pict>
      </w:r>
      <w:r>
        <w:rPr>
          <w:rtl/>
        </w:rPr>
        <w:pict>
          <v:line id="_x0000_s1033" style="position:absolute;left:0;text-align:left;z-index:251667456;mso-position-horizontal-relative:page" from="223.2pt,5.25pt" to="301.05pt,181.3pt" o:allowincell="f">
            <w10:wrap anchorx="page"/>
          </v:line>
        </w:pict>
      </w:r>
      <w:r w:rsidR="005366A8">
        <w:rPr>
          <w:rtl/>
        </w:rPr>
        <w:tab/>
      </w:r>
      <w:r w:rsidR="005366A8">
        <w:rPr>
          <w:rtl/>
        </w:rPr>
        <w:tab/>
        <w:t xml:space="preserve">   </w:t>
      </w:r>
      <w:r w:rsidR="005366A8">
        <w:rPr>
          <w:rtl/>
        </w:rPr>
        <w:tab/>
      </w:r>
      <w:r w:rsidR="005366A8">
        <w:rPr>
          <w:rtl/>
        </w:rPr>
        <w:tab/>
      </w:r>
      <w:r w:rsidR="005366A8">
        <w:rPr>
          <w:rtl/>
        </w:rPr>
        <w:tab/>
      </w:r>
      <w:r w:rsidR="005366A8">
        <w:rPr>
          <w:rtl/>
        </w:rPr>
        <w:tab/>
      </w:r>
      <w:r w:rsidR="005366A8">
        <w:rPr>
          <w:rtl/>
        </w:rPr>
        <w:tab/>
      </w:r>
      <w:r w:rsidR="005366A8">
        <w:rPr>
          <w:rtl/>
        </w:rPr>
        <w:tab/>
      </w:r>
      <w:r w:rsidR="005366A8">
        <w:rPr>
          <w:rtl/>
        </w:rPr>
        <w:tab/>
        <w:t xml:space="preserve">  </w:t>
      </w:r>
    </w:p>
    <w:p w:rsidR="005366A8" w:rsidRDefault="005D7968" w:rsidP="005366A8">
      <w:pPr>
        <w:spacing w:line="288" w:lineRule="auto"/>
        <w:rPr>
          <w:rtl/>
        </w:rPr>
      </w:pPr>
      <w:r>
        <w:rPr>
          <w:noProof/>
          <w:rtl/>
        </w:rPr>
        <w:pict>
          <v:line id="_x0000_s1087" style="position:absolute;left:0;text-align:left;z-index:251722752;mso-position-horizontal-relative:page" from="243.85pt,9pt" to="301.05pt,59.7pt">
            <v:stroke startarrow="block" endarrow="block"/>
            <w10:wrap anchorx="page"/>
          </v:line>
        </w:pict>
      </w:r>
      <w:r>
        <w:rPr>
          <w:noProof/>
          <w:rtl/>
        </w:rPr>
        <w:pict>
          <v:line id="_x0000_s1057" style="position:absolute;left:0;text-align:left;flip:x y;z-index:251692032" from="435.85pt,9pt" to="472.6pt,28.7pt">
            <v:stroke endarrow="block"/>
            <w10:wrap anchorx="page"/>
          </v:line>
        </w:pict>
      </w:r>
      <w:r>
        <w:rPr>
          <w:noProof/>
          <w:rtl/>
        </w:rPr>
        <w:pict>
          <v:line id="_x0000_s1044" style="position:absolute;left:0;text-align:left;flip:y;z-index:251678720;mso-position-horizontal-relative:page" from="400.05pt,12.95pt" to="452.25pt,59.7pt">
            <v:stroke startarrow="block" endarrow="block"/>
            <w10:wrap anchorx="page"/>
          </v:line>
        </w:pict>
      </w:r>
      <w:r>
        <w:rPr>
          <w:noProof/>
          <w:rtl/>
        </w:rPr>
        <w:pict>
          <v:line id="_x0000_s1049" style="position:absolute;left:0;text-align:left;z-index:251683840;mso-position-horizontal-relative:page" from="202.05pt,14.7pt" to="238.05pt,14.7pt">
            <w10:wrap anchorx="page"/>
          </v:line>
        </w:pict>
      </w:r>
      <w:r>
        <w:rPr>
          <w:noProof/>
          <w:rtl/>
        </w:rPr>
        <w:pict>
          <v:line id="_x0000_s1045" style="position:absolute;left:0;text-align:left;z-index:251679744;mso-position-horizontal-relative:page" from="445.05pt,14.7pt" to="488.25pt,14.7pt">
            <w10:wrap anchorx="page"/>
          </v:line>
        </w:pict>
      </w:r>
      <w:r w:rsidR="005366A8">
        <w:rPr>
          <w:rFonts w:hint="cs"/>
          <w:rtl/>
        </w:rPr>
        <w:t>"ערכי</w:t>
      </w:r>
      <w:r w:rsidR="005366A8">
        <w:rPr>
          <w:rtl/>
        </w:rPr>
        <w:tab/>
      </w:r>
      <w:r w:rsidR="005366A8">
        <w:rPr>
          <w:rtl/>
        </w:rPr>
        <w:tab/>
        <w:t>חוקה</w:t>
      </w:r>
      <w:r w:rsidR="005366A8">
        <w:rPr>
          <w:rtl/>
        </w:rPr>
        <w:tab/>
      </w:r>
      <w:r w:rsidR="005366A8">
        <w:rPr>
          <w:rtl/>
        </w:rPr>
        <w:tab/>
      </w:r>
      <w:r w:rsidR="005366A8">
        <w:rPr>
          <w:rtl/>
        </w:rPr>
        <w:tab/>
      </w:r>
      <w:r w:rsidR="005366A8">
        <w:rPr>
          <w:rtl/>
        </w:rPr>
        <w:tab/>
      </w:r>
      <w:r w:rsidR="005366A8">
        <w:rPr>
          <w:rtl/>
        </w:rPr>
        <w:tab/>
      </w:r>
      <w:r w:rsidR="005366A8">
        <w:rPr>
          <w:rtl/>
        </w:rPr>
        <w:tab/>
        <w:t xml:space="preserve">       </w:t>
      </w:r>
      <w:r w:rsidR="005366A8">
        <w:rPr>
          <w:rFonts w:hint="cs"/>
          <w:rtl/>
        </w:rPr>
        <w:t>ה</w:t>
      </w:r>
      <w:r w:rsidR="005366A8">
        <w:rPr>
          <w:rtl/>
        </w:rPr>
        <w:t xml:space="preserve">מוסד </w:t>
      </w:r>
      <w:r w:rsidR="005366A8">
        <w:rPr>
          <w:rFonts w:hint="cs"/>
          <w:rtl/>
        </w:rPr>
        <w:t>ה</w:t>
      </w:r>
      <w:r w:rsidR="005366A8">
        <w:rPr>
          <w:rtl/>
        </w:rPr>
        <w:t>מכונן</w:t>
      </w:r>
    </w:p>
    <w:p w:rsidR="005366A8" w:rsidRDefault="005D7968" w:rsidP="005366A8">
      <w:pPr>
        <w:spacing w:after="120" w:line="288" w:lineRule="auto"/>
        <w:rPr>
          <w:rtl/>
        </w:rPr>
      </w:pPr>
      <w:r>
        <w:rPr>
          <w:noProof/>
          <w:rtl/>
        </w:rPr>
        <w:pict>
          <v:line id="_x0000_s1054" style="position:absolute;left:0;text-align:left;flip:x y;z-index:251688960" from="445.3pt,10.15pt" to="465.55pt,10.15pt">
            <v:stroke endarrow="block"/>
            <w10:wrap anchorx="page"/>
          </v:line>
        </w:pict>
      </w:r>
      <w:r>
        <w:rPr>
          <w:rtl/>
        </w:rPr>
        <w:pict>
          <v:line id="_x0000_s1041" style="position:absolute;left:0;text-align:left;z-index:251675648;mso-position-horizontal-relative:page" from="247.05pt,10.15pt" to="287.25pt,38.9pt">
            <v:stroke startarrow="block" endarrow="block"/>
            <w10:wrap anchorx="page"/>
          </v:line>
        </w:pict>
      </w:r>
      <w:r>
        <w:rPr>
          <w:rtl/>
        </w:rPr>
        <w:pict>
          <v:line id="_x0000_s1035" style="position:absolute;left:0;text-align:left;flip:y;z-index:251669504;mso-position-horizontal-relative:page" from="409.05pt,14.65pt" to="452.25pt,38.9pt">
            <v:stroke startarrow="block" endarrow="block"/>
            <w10:wrap anchorx="page"/>
          </v:line>
        </w:pict>
      </w:r>
      <w:r>
        <w:rPr>
          <w:noProof/>
          <w:rtl/>
        </w:rPr>
        <w:pict>
          <v:line id="_x0000_s1056" style="position:absolute;left:0;text-align:left;z-index:251691008" from="477.85pt,19.15pt" to="504.85pt,106.2pt">
            <v:stroke endarrow="block"/>
            <w10:wrap anchorx="page"/>
          </v:line>
        </w:pict>
      </w:r>
      <w:r>
        <w:rPr>
          <w:noProof/>
          <w:rtl/>
        </w:rPr>
        <w:pict>
          <v:line id="_x0000_s1053" style="position:absolute;left:0;text-align:left;flip:y;z-index:251687936;mso-position-horizontal-relative:page" from="499.05pt,10.15pt" to="520.8pt,23.8pt" strokeweight="3pt">
            <v:stroke linestyle="thinThin"/>
            <w10:wrap anchorx="page"/>
          </v:line>
        </w:pict>
      </w:r>
      <w:r>
        <w:rPr>
          <w:noProof/>
          <w:rtl/>
        </w:rPr>
        <w:pict>
          <v:line id="_x0000_s1055" style="position:absolute;left:0;text-align:left;z-index:251689984" from="472.6pt,7.2pt" to="477.85pt,52.2pt">
            <v:stroke endarrow="block"/>
            <w10:wrap anchorx="page"/>
          </v:line>
        </w:pict>
      </w:r>
      <w:r>
        <w:rPr>
          <w:noProof/>
          <w:rtl/>
        </w:rPr>
        <w:pict>
          <v:line id="_x0000_s1050" style="position:absolute;left:0;text-align:left;z-index:251684864;mso-position-horizontal-relative:page" from="193.05pt,19.15pt" to="247.05pt,19.15pt">
            <w10:wrap anchorx="page"/>
          </v:line>
        </w:pict>
      </w:r>
      <w:r>
        <w:rPr>
          <w:noProof/>
          <w:rtl/>
        </w:rPr>
        <w:pict>
          <v:line id="_x0000_s1046" style="position:absolute;left:0;text-align:left;z-index:251680768;mso-position-horizontal-relative:page" from="445.05pt,19.15pt" to="499.05pt,19.15pt">
            <w10:wrap anchorx="page"/>
          </v:line>
        </w:pict>
      </w:r>
      <w:r w:rsidR="005366A8">
        <w:rPr>
          <w:rFonts w:hint="cs"/>
          <w:rtl/>
        </w:rPr>
        <w:t>היסוד"</w:t>
      </w:r>
      <w:r w:rsidR="005366A8">
        <w:rPr>
          <w:rtl/>
        </w:rPr>
        <w:tab/>
      </w:r>
      <w:r w:rsidR="005366A8">
        <w:rPr>
          <w:rtl/>
        </w:rPr>
        <w:tab/>
        <w:t>חוקים</w:t>
      </w:r>
      <w:r w:rsidR="005366A8">
        <w:rPr>
          <w:rFonts w:hint="cs"/>
          <w:rtl/>
        </w:rPr>
        <w:tab/>
      </w:r>
      <w:r w:rsidR="005366A8">
        <w:rPr>
          <w:rFonts w:hint="cs"/>
          <w:rtl/>
        </w:rPr>
        <w:tab/>
      </w:r>
      <w:r w:rsidR="005366A8">
        <w:rPr>
          <w:rFonts w:hint="cs"/>
          <w:rtl/>
        </w:rPr>
        <w:tab/>
      </w:r>
      <w:r w:rsidR="005366A8">
        <w:rPr>
          <w:rFonts w:hint="cs"/>
          <w:rtl/>
        </w:rPr>
        <w:tab/>
      </w:r>
      <w:r w:rsidR="005366A8">
        <w:rPr>
          <w:rFonts w:hint="cs"/>
          <w:rtl/>
        </w:rPr>
        <w:tab/>
      </w:r>
      <w:r w:rsidR="005366A8">
        <w:rPr>
          <w:rFonts w:hint="cs"/>
          <w:rtl/>
        </w:rPr>
        <w:tab/>
      </w:r>
      <w:r w:rsidR="005366A8">
        <w:rPr>
          <w:rFonts w:hint="cs"/>
          <w:rtl/>
        </w:rPr>
        <w:tab/>
        <w:t>ה</w:t>
      </w:r>
      <w:r w:rsidR="005366A8">
        <w:rPr>
          <w:rtl/>
        </w:rPr>
        <w:t xml:space="preserve">מוסד </w:t>
      </w:r>
      <w:r w:rsidR="005366A8">
        <w:rPr>
          <w:rFonts w:hint="cs"/>
          <w:rtl/>
        </w:rPr>
        <w:t>ה</w:t>
      </w:r>
      <w:r w:rsidR="005366A8">
        <w:rPr>
          <w:rtl/>
        </w:rPr>
        <w:t>מחוקק</w:t>
      </w:r>
    </w:p>
    <w:p w:rsidR="005366A8" w:rsidRPr="006273C4" w:rsidRDefault="005D7968" w:rsidP="005366A8">
      <w:pPr>
        <w:spacing w:after="120" w:line="288" w:lineRule="auto"/>
        <w:rPr>
          <w:i/>
          <w:iCs/>
          <w:sz w:val="20"/>
          <w:szCs w:val="20"/>
          <w:rtl/>
        </w:rPr>
      </w:pPr>
      <w:r w:rsidRPr="005D7968">
        <w:rPr>
          <w:rtl/>
        </w:rPr>
        <w:pict>
          <v:line id="_x0000_s1040" style="position:absolute;left:0;text-align:left;flip:y;z-index:251674624;mso-position-horizontal-relative:page" from="409.05pt,9.4pt" to="436.05pt,22.4pt">
            <v:stroke endarrow="block"/>
            <w10:wrap anchorx="page"/>
          </v:line>
        </w:pict>
      </w:r>
      <w:r w:rsidRPr="005D7968">
        <w:rPr>
          <w:noProof/>
          <w:rtl/>
        </w:rPr>
        <w:pict>
          <v:line id="_x0000_s1086" style="position:absolute;left:0;text-align:left;flip:y;z-index:251721728;mso-position-horizontal-relative:page" from="421.05pt,275.65pt" to="440.25pt,282.05pt">
            <v:stroke endarrow="block"/>
            <w10:wrap anchorx="page"/>
          </v:line>
        </w:pict>
      </w:r>
      <w:r w:rsidRPr="005D7968">
        <w:rPr>
          <w:noProof/>
          <w:rtl/>
        </w:rPr>
        <w:pict>
          <v:line id="_x0000_s1052" style="position:absolute;left:0;text-align:left;z-index:251686912;mso-position-horizontal-relative:page" from="436.05pt,14.6pt" to="508.05pt,14.6pt">
            <w10:wrap anchorx="page"/>
          </v:line>
        </w:pict>
      </w:r>
      <w:r w:rsidR="005366A8">
        <w:rPr>
          <w:rtl/>
        </w:rPr>
        <w:tab/>
      </w:r>
      <w:r w:rsidR="005366A8" w:rsidRPr="006273C4">
        <w:rPr>
          <w:rFonts w:hint="cs"/>
          <w:i/>
          <w:iCs/>
          <w:sz w:val="20"/>
          <w:szCs w:val="20"/>
          <w:rtl/>
        </w:rPr>
        <w:t>"משפט מקובל נוסח ישראל"</w:t>
      </w:r>
      <w:r w:rsidR="005366A8" w:rsidRPr="006273C4">
        <w:rPr>
          <w:i/>
          <w:iCs/>
          <w:sz w:val="20"/>
          <w:szCs w:val="20"/>
          <w:rtl/>
        </w:rPr>
        <w:tab/>
      </w:r>
      <w:r w:rsidR="005366A8" w:rsidRPr="006273C4">
        <w:rPr>
          <w:i/>
          <w:iCs/>
          <w:sz w:val="20"/>
          <w:szCs w:val="20"/>
          <w:rtl/>
        </w:rPr>
        <w:tab/>
      </w:r>
      <w:r w:rsidR="005366A8" w:rsidRPr="006273C4">
        <w:rPr>
          <w:i/>
          <w:iCs/>
          <w:sz w:val="20"/>
          <w:szCs w:val="20"/>
          <w:rtl/>
        </w:rPr>
        <w:tab/>
      </w:r>
      <w:r w:rsidR="005366A8" w:rsidRPr="006273C4">
        <w:rPr>
          <w:i/>
          <w:iCs/>
          <w:sz w:val="20"/>
          <w:szCs w:val="20"/>
          <w:rtl/>
        </w:rPr>
        <w:tab/>
        <w:t xml:space="preserve">         </w:t>
      </w:r>
    </w:p>
    <w:p w:rsidR="005366A8" w:rsidRDefault="005D7968" w:rsidP="005366A8">
      <w:pPr>
        <w:rPr>
          <w:rtl/>
        </w:rPr>
      </w:pPr>
      <w:r>
        <w:rPr>
          <w:rtl/>
        </w:rPr>
        <w:pict>
          <v:line id="_x0000_s1038" style="position:absolute;left:0;text-align:left;z-index:251672576;mso-position-horizontal-relative:page" from="400.05pt,19.05pt" to="400.05pt,64.45pt">
            <v:stroke startarrow="block" endarrow="block"/>
            <w10:wrap anchorx="page"/>
          </v:line>
        </w:pict>
      </w:r>
      <w:r>
        <w:rPr>
          <w:rtl/>
        </w:rPr>
        <w:pict>
          <v:line id="_x0000_s1037" style="position:absolute;left:0;text-align:left;z-index:251671552;mso-position-horizontal-relative:page" from="409.05pt,15.3pt" to="450.45pt,25.65pt" o:allowincell="f">
            <v:stroke startarrow="block" endarrow="block"/>
            <w10:wrap anchorx="page"/>
          </v:line>
        </w:pict>
      </w:r>
      <w:r>
        <w:rPr>
          <w:rtl/>
        </w:rPr>
        <w:pict>
          <v:line id="_x0000_s1036" style="position:absolute;left:0;text-align:left;flip:y;z-index:251670528;mso-position-horizontal-relative:page" from="409.05pt,8.25pt" to="445.05pt,10.05pt" o:allowincell="f">
            <v:stroke startarrow="block" endarrow="block"/>
            <w10:wrap anchorx="page"/>
          </v:line>
        </w:pict>
      </w:r>
      <w:r>
        <w:rPr>
          <w:rtl/>
        </w:rPr>
        <w:pict>
          <v:line id="_x0000_s1042" style="position:absolute;left:0;text-align:left;flip:x;z-index:251676672;mso-position-horizontal-relative:page" from="238.05pt,7.05pt" to="280.8pt,10.05pt">
            <v:stroke endarrow="block"/>
            <w10:wrap anchorx="page"/>
          </v:line>
        </w:pict>
      </w:r>
      <w:r>
        <w:rPr>
          <w:rtl/>
        </w:rPr>
        <w:pict>
          <v:line id="_x0000_s1043" style="position:absolute;left:0;text-align:left;flip:x;z-index:251677696;mso-position-horizontal-relative:page" from="238.05pt,19.05pt" to="292.05pt,55.65pt">
            <v:stroke endarrow="block"/>
            <w10:wrap anchorx="page"/>
          </v:line>
        </w:pict>
      </w:r>
      <w:r>
        <w:rPr>
          <w:noProof/>
          <w:rtl/>
        </w:rPr>
        <w:pict>
          <v:line id="_x0000_s1048" style="position:absolute;left:0;text-align:left;z-index:251682816;mso-position-horizontal-relative:page" from="418.05pt,19.05pt" to="526.05pt,19.05pt">
            <w10:wrap anchorx="page"/>
          </v:line>
        </w:pict>
      </w:r>
      <w:r w:rsidR="005366A8">
        <w:rPr>
          <w:rtl/>
        </w:rPr>
        <w:tab/>
      </w:r>
      <w:r w:rsidR="005366A8">
        <w:rPr>
          <w:rFonts w:hint="cs"/>
          <w:rtl/>
        </w:rPr>
        <w:t xml:space="preserve"> </w:t>
      </w:r>
      <w:r w:rsidR="005366A8">
        <w:rPr>
          <w:rtl/>
        </w:rPr>
        <w:t>תקנות</w:t>
      </w:r>
      <w:r w:rsidR="005366A8">
        <w:rPr>
          <w:rFonts w:hint="cs"/>
          <w:rtl/>
        </w:rPr>
        <w:t xml:space="preserve"> וחוקי-עזר</w:t>
      </w:r>
      <w:r w:rsidR="005366A8">
        <w:rPr>
          <w:rtl/>
        </w:rPr>
        <w:tab/>
        <w:t xml:space="preserve">         </w:t>
      </w:r>
      <w:r w:rsidR="005366A8">
        <w:rPr>
          <w:rtl/>
        </w:rPr>
        <w:tab/>
      </w:r>
      <w:r w:rsidR="005366A8">
        <w:rPr>
          <w:bdr w:val="single" w:sz="4" w:space="0" w:color="auto"/>
          <w:rtl/>
        </w:rPr>
        <w:t>פסקי דין</w:t>
      </w:r>
      <w:r w:rsidR="005366A8">
        <w:rPr>
          <w:bdr w:val="single" w:sz="4" w:space="0" w:color="auto"/>
          <w:rtl/>
        </w:rPr>
        <w:tab/>
      </w:r>
      <w:r w:rsidR="005366A8">
        <w:rPr>
          <w:rtl/>
        </w:rPr>
        <w:tab/>
      </w:r>
      <w:r w:rsidR="005366A8">
        <w:rPr>
          <w:bdr w:val="single" w:sz="4" w:space="0" w:color="auto"/>
          <w:rtl/>
        </w:rPr>
        <w:t>בתי המשפט</w:t>
      </w:r>
      <w:r w:rsidR="005366A8">
        <w:rPr>
          <w:rtl/>
        </w:rPr>
        <w:tab/>
      </w:r>
      <w:r w:rsidR="005366A8">
        <w:rPr>
          <w:rFonts w:hint="cs"/>
          <w:rtl/>
        </w:rPr>
        <w:tab/>
        <w:t>הממשלה</w:t>
      </w:r>
      <w:r w:rsidR="005366A8">
        <w:rPr>
          <w:rtl/>
        </w:rPr>
        <w:tab/>
      </w:r>
      <w:r w:rsidR="005366A8">
        <w:rPr>
          <w:rFonts w:hint="cs"/>
          <w:rtl/>
        </w:rPr>
        <w:t xml:space="preserve">, </w:t>
      </w:r>
    </w:p>
    <w:p w:rsidR="005366A8" w:rsidRDefault="005366A8" w:rsidP="005366A8">
      <w:pPr>
        <w:rPr>
          <w:rtl/>
        </w:rPr>
      </w:pPr>
      <w:r>
        <w:rPr>
          <w:rFonts w:hint="cs"/>
          <w:rtl/>
        </w:rPr>
        <w:t xml:space="preserve">                                                                                                         השלטון המקומי</w:t>
      </w:r>
    </w:p>
    <w:p w:rsidR="005366A8" w:rsidRDefault="005D7968" w:rsidP="005366A8">
      <w:pPr>
        <w:rPr>
          <w:rtl/>
        </w:rPr>
      </w:pPr>
      <w:r>
        <w:rPr>
          <w:rtl/>
        </w:rPr>
        <w:pict>
          <v:oval id="_x0000_s1039" style="position:absolute;left:0;text-align:left;margin-left:94.05pt;margin-top:21.85pt;width:186.75pt;height:36pt;z-index:251673600;mso-position-horizontal-relative:page" o:allowincell="f">
            <v:textbox style="mso-next-textbox:#_x0000_s1039">
              <w:txbxContent>
                <w:p w:rsidR="005366A8" w:rsidRPr="00E77B21" w:rsidRDefault="005366A8" w:rsidP="005366A8">
                  <w:pPr>
                    <w:rPr>
                      <w:b/>
                      <w:bCs/>
                      <w:rtl/>
                    </w:rPr>
                  </w:pPr>
                  <w:r w:rsidRPr="00E77B21">
                    <w:rPr>
                      <w:b/>
                      <w:bCs/>
                      <w:rtl/>
                    </w:rPr>
                    <w:t>בני החברה/ אזרחי המדינה</w:t>
                  </w:r>
                </w:p>
              </w:txbxContent>
            </v:textbox>
            <w10:wrap anchorx="page"/>
          </v:oval>
        </w:pict>
      </w:r>
      <w:r>
        <w:rPr>
          <w:noProof/>
          <w:rtl/>
        </w:rPr>
        <w:pict>
          <v:line id="_x0000_s1051" style="position:absolute;left:0;text-align:left;z-index:251685888;mso-position-horizontal-relative:page" from="166.05pt,17.85pt" to="274.05pt,17.85pt">
            <w10:wrap anchorx="page"/>
          </v:line>
        </w:pict>
      </w:r>
      <w:r w:rsidR="005366A8">
        <w:rPr>
          <w:rFonts w:hint="cs"/>
          <w:rtl/>
        </w:rPr>
        <w:t xml:space="preserve">        </w:t>
      </w:r>
      <w:r w:rsidR="005366A8">
        <w:rPr>
          <w:rtl/>
        </w:rPr>
        <w:t>צווים</w:t>
      </w:r>
      <w:r w:rsidR="005366A8">
        <w:rPr>
          <w:rFonts w:hint="cs"/>
          <w:rtl/>
        </w:rPr>
        <w:t xml:space="preserve"> ו"פעולות מינהל" אחרות   </w:t>
      </w:r>
      <w:r w:rsidR="005366A8">
        <w:rPr>
          <w:rtl/>
        </w:rPr>
        <w:tab/>
      </w:r>
      <w:r w:rsidR="005366A8">
        <w:rPr>
          <w:rtl/>
        </w:rPr>
        <w:tab/>
      </w:r>
      <w:r w:rsidR="005366A8">
        <w:rPr>
          <w:rtl/>
        </w:rPr>
        <w:tab/>
        <w:t xml:space="preserve">        </w:t>
      </w:r>
      <w:r w:rsidR="005366A8">
        <w:rPr>
          <w:rFonts w:hint="cs"/>
          <w:rtl/>
        </w:rPr>
        <w:t xml:space="preserve">   ורשויות המינהל האחרות</w:t>
      </w:r>
      <w:r w:rsidR="005366A8">
        <w:rPr>
          <w:rtl/>
        </w:rPr>
        <w:t xml:space="preserve"> </w:t>
      </w:r>
    </w:p>
    <w:p w:rsidR="005366A8" w:rsidRDefault="005D7968" w:rsidP="005366A8">
      <w:pPr>
        <w:spacing w:after="120" w:line="288" w:lineRule="auto"/>
        <w:rPr>
          <w:rtl/>
        </w:rPr>
      </w:pPr>
      <w:r>
        <w:rPr>
          <w:noProof/>
          <w:rtl/>
        </w:rPr>
        <w:pict>
          <v:line id="_x0000_s1047" style="position:absolute;left:0;text-align:left;z-index:251681792;mso-position-horizontal-relative:page" from="409.05pt,4.3pt" to="535.05pt,4.3pt">
            <w10:wrap anchorx="page"/>
          </v:line>
        </w:pict>
      </w:r>
    </w:p>
    <w:p w:rsidR="005366A8" w:rsidRDefault="005D7968" w:rsidP="005366A8">
      <w:pPr>
        <w:pStyle w:val="T-body"/>
        <w:spacing w:after="120"/>
        <w:rPr>
          <w:rtl/>
        </w:rPr>
      </w:pPr>
      <w:r>
        <w:rPr>
          <w:rtl/>
        </w:rPr>
        <w:pict>
          <v:line id="_x0000_s1034" style="position:absolute;left:0;text-align:left;flip:x y;z-index:251668480;mso-position-horizontal-relative:page" from="139.05pt,19.2pt" to="302.4pt,19.9pt" o:allowincell="f">
            <w10:wrap anchorx="page"/>
          </v:line>
        </w:pict>
      </w:r>
      <w:r>
        <w:rPr>
          <w:rtl/>
        </w:rPr>
        <w:pict>
          <v:line id="_x0000_s1032" style="position:absolute;left:0;text-align:left;flip:x;z-index:251666432;mso-position-horizontal-relative:page" from="388.8pt,20.55pt" to="561.6pt,20.55pt" o:allowincell="f">
            <w10:wrap anchorx="page"/>
          </v:line>
        </w:pict>
      </w:r>
      <w:r w:rsidR="005366A8">
        <w:rPr>
          <w:rtl/>
        </w:rPr>
        <w:t>נורמות ופעולות בתחום המשפט הפרטי</w:t>
      </w:r>
      <w:r w:rsidR="005366A8">
        <w:rPr>
          <w:rtl/>
        </w:rPr>
        <w:tab/>
      </w:r>
      <w:r w:rsidR="005366A8">
        <w:rPr>
          <w:rtl/>
        </w:rPr>
        <w:tab/>
      </w:r>
      <w:r w:rsidR="005366A8">
        <w:rPr>
          <w:rtl/>
        </w:rPr>
        <w:tab/>
      </w:r>
      <w:r w:rsidR="005366A8">
        <w:rPr>
          <w:rtl/>
        </w:rPr>
        <w:tab/>
      </w:r>
    </w:p>
    <w:p w:rsidR="005366A8" w:rsidRPr="00024E7B" w:rsidRDefault="005366A8" w:rsidP="005366A8">
      <w:pPr>
        <w:rPr>
          <w:sz w:val="22"/>
          <w:szCs w:val="22"/>
          <w:rtl/>
        </w:rPr>
      </w:pPr>
      <w:r>
        <w:rPr>
          <w:rtl/>
        </w:rPr>
        <w:tab/>
      </w:r>
      <w:r w:rsidRPr="00024E7B">
        <w:rPr>
          <w:rFonts w:ascii="Arial" w:hAnsi="Arial" w:cs="Arial"/>
          <w:b/>
          <w:bCs/>
          <w:sz w:val="22"/>
          <w:szCs w:val="22"/>
          <w:highlight w:val="yellow"/>
          <w:rtl/>
        </w:rPr>
        <w:t>פירמידת הנורמות</w:t>
      </w:r>
      <w:r w:rsidRPr="00024E7B">
        <w:rPr>
          <w:b/>
          <w:bCs/>
          <w:sz w:val="22"/>
          <w:szCs w:val="22"/>
          <w:rtl/>
        </w:rPr>
        <w:tab/>
      </w:r>
      <w:r w:rsidRPr="00024E7B">
        <w:rPr>
          <w:b/>
          <w:bCs/>
          <w:sz w:val="22"/>
          <w:szCs w:val="22"/>
          <w:rtl/>
        </w:rPr>
        <w:tab/>
      </w:r>
      <w:r w:rsidRPr="00024E7B">
        <w:rPr>
          <w:b/>
          <w:bCs/>
          <w:sz w:val="22"/>
          <w:szCs w:val="22"/>
          <w:rtl/>
        </w:rPr>
        <w:tab/>
      </w:r>
      <w:r w:rsidRPr="00024E7B">
        <w:rPr>
          <w:b/>
          <w:bCs/>
          <w:sz w:val="22"/>
          <w:szCs w:val="22"/>
          <w:rtl/>
        </w:rPr>
        <w:tab/>
      </w:r>
      <w:r w:rsidRPr="00024E7B">
        <w:rPr>
          <w:b/>
          <w:bCs/>
          <w:sz w:val="22"/>
          <w:szCs w:val="22"/>
          <w:rtl/>
        </w:rPr>
        <w:tab/>
      </w:r>
      <w:r w:rsidRPr="00024E7B">
        <w:rPr>
          <w:rFonts w:ascii="Arial" w:hAnsi="Arial" w:cs="Arial"/>
          <w:b/>
          <w:bCs/>
          <w:sz w:val="22"/>
          <w:szCs w:val="22"/>
          <w:highlight w:val="yellow"/>
          <w:rtl/>
        </w:rPr>
        <w:t>פירמידת המוסדות</w:t>
      </w:r>
    </w:p>
    <w:p w:rsidR="005366A8" w:rsidRDefault="005366A8" w:rsidP="005366A8">
      <w:pPr>
        <w:rPr>
          <w:rFonts w:ascii="Arial" w:hAnsi="Arial" w:cs="Arial"/>
          <w:b/>
          <w:bCs/>
          <w:sz w:val="22"/>
          <w:szCs w:val="22"/>
          <w:rtl/>
        </w:rPr>
      </w:pPr>
    </w:p>
    <w:p w:rsidR="005366A8" w:rsidRDefault="005366A8" w:rsidP="005366A8">
      <w:pPr>
        <w:pStyle w:val="T-body"/>
        <w:spacing w:after="120" w:line="240" w:lineRule="auto"/>
        <w:jc w:val="left"/>
        <w:rPr>
          <w:b/>
          <w:bCs/>
          <w:rtl/>
        </w:rPr>
      </w:pPr>
    </w:p>
    <w:p w:rsidR="005366A8" w:rsidRDefault="005366A8" w:rsidP="005366A8">
      <w:pPr>
        <w:pStyle w:val="T-body"/>
        <w:spacing w:after="120" w:line="240" w:lineRule="auto"/>
        <w:jc w:val="left"/>
        <w:rPr>
          <w:b/>
          <w:bCs/>
          <w:rtl/>
        </w:rPr>
      </w:pPr>
      <w:r>
        <w:rPr>
          <w:rFonts w:ascii="Arial" w:hAnsi="Arial" w:cs="Arial" w:hint="cs"/>
          <w:b/>
          <w:bCs/>
          <w:rtl/>
        </w:rPr>
        <w:t xml:space="preserve">הפירמידה הנורמטיבית </w:t>
      </w:r>
      <w:r w:rsidRPr="00D1207B">
        <w:rPr>
          <w:rFonts w:ascii="Arial" w:hAnsi="Arial" w:cs="Arial" w:hint="cs"/>
          <w:b/>
          <w:bCs/>
          <w:highlight w:val="yellow"/>
          <w:u w:val="single"/>
          <w:rtl/>
        </w:rPr>
        <w:t>הקודמת</w:t>
      </w:r>
      <w:r>
        <w:rPr>
          <w:rFonts w:ascii="Arial" w:hAnsi="Arial" w:cs="Arial" w:hint="cs"/>
          <w:b/>
          <w:bCs/>
          <w:rtl/>
        </w:rPr>
        <w:t xml:space="preserve">, זו </w:t>
      </w:r>
      <w:r w:rsidRPr="00723037">
        <w:rPr>
          <w:rFonts w:ascii="Arial" w:hAnsi="Arial" w:cs="Arial" w:hint="cs"/>
          <w:b/>
          <w:bCs/>
          <w:u w:val="single"/>
          <w:rtl/>
        </w:rPr>
        <w:t>ש</w:t>
      </w:r>
      <w:r w:rsidRPr="00723037">
        <w:rPr>
          <w:rFonts w:ascii="Arial" w:hAnsi="Arial" w:cs="Arial" w:hint="cs"/>
          <w:b/>
          <w:bCs/>
          <w:i/>
          <w:iCs/>
          <w:highlight w:val="yellow"/>
          <w:u w:val="single"/>
          <w:rtl/>
        </w:rPr>
        <w:t>בטרם</w:t>
      </w:r>
      <w:r w:rsidRPr="00723037">
        <w:rPr>
          <w:rFonts w:ascii="Arial" w:hAnsi="Arial" w:cs="Arial" w:hint="cs"/>
          <w:b/>
          <w:bCs/>
          <w:highlight w:val="yellow"/>
          <w:u w:val="single"/>
          <w:rtl/>
        </w:rPr>
        <w:t xml:space="preserve"> "המהפכה החוקתית"</w:t>
      </w:r>
      <w:r>
        <w:rPr>
          <w:rFonts w:ascii="Arial" w:hAnsi="Arial" w:cs="Arial" w:hint="cs"/>
          <w:b/>
          <w:bCs/>
          <w:rtl/>
        </w:rPr>
        <w:t xml:space="preserve"> שהתרחשה בשנות התשעים</w:t>
      </w:r>
      <w:r>
        <w:rPr>
          <w:rFonts w:hint="cs"/>
          <w:b/>
          <w:bCs/>
          <w:rtl/>
        </w:rPr>
        <w:t xml:space="preserve"> </w:t>
      </w:r>
    </w:p>
    <w:p w:rsidR="005366A8" w:rsidRDefault="005D7968" w:rsidP="005366A8">
      <w:pPr>
        <w:rPr>
          <w:rtl/>
        </w:rPr>
      </w:pPr>
      <w:r>
        <w:rPr>
          <w:rtl/>
        </w:rPr>
        <w:pict>
          <v:line id="_x0000_s1059" style="position:absolute;left:0;text-align:left;flip:y;z-index:251694080;mso-position-horizontal-relative:page" from="121.05pt,10.7pt" to="193.05pt,154.7pt">
            <v:stroke endarrow="block"/>
            <w10:wrap anchorx="page"/>
          </v:line>
        </w:pict>
      </w:r>
      <w:r>
        <w:rPr>
          <w:rtl/>
        </w:rPr>
        <w:pict>
          <v:line id="_x0000_s1058" style="position:absolute;left:0;text-align:left;flip:x;z-index:251693056;mso-position-horizontal-relative:page" from="148.05pt,13.3pt" to="220.05pt,165.7pt">
            <w10:wrap anchorx="page"/>
          </v:line>
        </w:pict>
      </w:r>
      <w:r>
        <w:rPr>
          <w:rtl/>
        </w:rPr>
        <w:pict>
          <v:rect id="_x0000_s1060" style="position:absolute;left:0;text-align:left;margin-left:460.8pt;margin-top:10.65pt;width:7.2pt;height:7.2pt;z-index:251695104;mso-position-horizontal-relative:page" o:allowincell="f">
            <w10:wrap anchorx="page"/>
          </v:rect>
        </w:pict>
      </w:r>
      <w:r>
        <w:rPr>
          <w:rtl/>
        </w:rPr>
        <w:pict>
          <v:rect id="_x0000_s1061" style="position:absolute;left:0;text-align:left;margin-left:3in;margin-top:11.85pt;width:7.2pt;height:7.2pt;z-index:251696128;mso-position-horizontal-relative:page" o:allowincell="f">
            <w10:wrap anchorx="page"/>
          </v:rect>
        </w:pict>
      </w:r>
      <w:r w:rsidR="005366A8">
        <w:rPr>
          <w:rtl/>
        </w:rPr>
        <w:tab/>
      </w:r>
      <w:r w:rsidR="005366A8" w:rsidRPr="00E77B21">
        <w:rPr>
          <w:b/>
          <w:bCs/>
          <w:rtl/>
        </w:rPr>
        <w:t>הנורמה הבסיסית</w:t>
      </w:r>
      <w:r w:rsidR="005366A8">
        <w:rPr>
          <w:rtl/>
        </w:rPr>
        <w:tab/>
      </w:r>
      <w:r w:rsidR="005366A8">
        <w:rPr>
          <w:rtl/>
        </w:rPr>
        <w:tab/>
      </w:r>
      <w:r w:rsidR="005366A8">
        <w:rPr>
          <w:rtl/>
        </w:rPr>
        <w:tab/>
      </w:r>
      <w:r w:rsidR="005366A8">
        <w:rPr>
          <w:rtl/>
        </w:rPr>
        <w:tab/>
      </w:r>
      <w:r w:rsidR="005366A8">
        <w:rPr>
          <w:rtl/>
        </w:rPr>
        <w:tab/>
      </w:r>
      <w:r w:rsidR="005366A8">
        <w:rPr>
          <w:rtl/>
        </w:rPr>
        <w:tab/>
      </w:r>
      <w:r w:rsidR="005366A8">
        <w:rPr>
          <w:rtl/>
        </w:rPr>
        <w:tab/>
      </w:r>
      <w:r w:rsidR="005366A8">
        <w:rPr>
          <w:rFonts w:hint="cs"/>
          <w:b/>
          <w:bCs/>
          <w:rtl/>
        </w:rPr>
        <w:t>"</w:t>
      </w:r>
      <w:r w:rsidR="005366A8" w:rsidRPr="00E77B21">
        <w:rPr>
          <w:b/>
          <w:bCs/>
          <w:rtl/>
        </w:rPr>
        <w:t>הריבון</w:t>
      </w:r>
      <w:r w:rsidR="005366A8">
        <w:rPr>
          <w:rFonts w:hint="cs"/>
          <w:b/>
          <w:bCs/>
          <w:rtl/>
        </w:rPr>
        <w:t>"</w:t>
      </w:r>
    </w:p>
    <w:p w:rsidR="005366A8" w:rsidRDefault="005D7968" w:rsidP="005366A8">
      <w:pPr>
        <w:spacing w:after="120" w:line="288" w:lineRule="auto"/>
        <w:rPr>
          <w:rtl/>
        </w:rPr>
      </w:pPr>
      <w:r>
        <w:rPr>
          <w:noProof/>
          <w:rtl/>
        </w:rPr>
        <w:pict>
          <v:line id="_x0000_s1089" style="position:absolute;left:0;text-align:left;z-index:251724800;mso-position-horizontal-relative:page" from="480.6pt,-.5pt" to="522.6pt,23.7pt">
            <v:stroke startarrow="block" endarrow="block"/>
            <w10:wrap anchorx="page"/>
          </v:line>
        </w:pict>
      </w:r>
      <w:r>
        <w:rPr>
          <w:rtl/>
        </w:rPr>
        <w:pict>
          <v:line id="_x0000_s1063" style="position:absolute;left:0;text-align:left;flip:x;z-index:251698176;mso-position-horizontal-relative:page" from="391.05pt,5.9pt" to="468pt,181.3pt" o:allowincell="f">
            <w10:wrap anchorx="page"/>
          </v:line>
        </w:pict>
      </w:r>
      <w:r>
        <w:rPr>
          <w:rtl/>
        </w:rPr>
        <w:pict>
          <v:line id="_x0000_s1062" style="position:absolute;left:0;text-align:left;z-index:251697152;mso-position-horizontal-relative:page" from="468pt,5.9pt" to="562.05pt,181.3pt" o:allowincell="f">
            <w10:wrap anchorx="page"/>
          </v:line>
        </w:pict>
      </w:r>
      <w:r>
        <w:rPr>
          <w:rtl/>
        </w:rPr>
        <w:pict>
          <v:line id="_x0000_s1065" style="position:absolute;left:0;text-align:left;z-index:251700224;mso-position-horizontal-relative:page" from="223.2pt,5.25pt" to="301.05pt,181.3pt" o:allowincell="f">
            <w10:wrap anchorx="page"/>
          </v:line>
        </w:pict>
      </w:r>
      <w:r w:rsidR="005366A8">
        <w:rPr>
          <w:rtl/>
        </w:rPr>
        <w:tab/>
      </w:r>
      <w:r w:rsidR="005366A8">
        <w:rPr>
          <w:rtl/>
        </w:rPr>
        <w:tab/>
        <w:t xml:space="preserve">   </w:t>
      </w:r>
      <w:r w:rsidR="005366A8">
        <w:rPr>
          <w:rtl/>
        </w:rPr>
        <w:tab/>
      </w:r>
      <w:r w:rsidR="005366A8">
        <w:rPr>
          <w:rtl/>
        </w:rPr>
        <w:tab/>
      </w:r>
      <w:r w:rsidR="005366A8">
        <w:rPr>
          <w:rtl/>
        </w:rPr>
        <w:tab/>
      </w:r>
      <w:r w:rsidR="005366A8">
        <w:rPr>
          <w:rtl/>
        </w:rPr>
        <w:tab/>
      </w:r>
      <w:r w:rsidR="005366A8">
        <w:rPr>
          <w:rtl/>
        </w:rPr>
        <w:tab/>
      </w:r>
      <w:r w:rsidR="005366A8">
        <w:rPr>
          <w:rtl/>
        </w:rPr>
        <w:tab/>
      </w:r>
      <w:r w:rsidR="005366A8">
        <w:rPr>
          <w:rtl/>
        </w:rPr>
        <w:tab/>
        <w:t xml:space="preserve">  </w:t>
      </w:r>
    </w:p>
    <w:p w:rsidR="005366A8" w:rsidRDefault="005D7968" w:rsidP="005366A8">
      <w:pPr>
        <w:spacing w:line="288" w:lineRule="auto"/>
        <w:rPr>
          <w:rtl/>
        </w:rPr>
      </w:pPr>
      <w:r>
        <w:rPr>
          <w:noProof/>
          <w:rtl/>
        </w:rPr>
        <w:pict>
          <v:line id="_x0000_s1085" style="position:absolute;left:0;text-align:left;flip:x y;z-index:251720704" from="435.85pt,9pt" to="472.6pt,28.7pt">
            <v:stroke endarrow="block"/>
            <w10:wrap anchorx="page"/>
          </v:line>
        </w:pict>
      </w:r>
      <w:r>
        <w:rPr>
          <w:noProof/>
          <w:rtl/>
        </w:rPr>
        <w:pict>
          <v:line id="_x0000_s1075" style="position:absolute;left:0;text-align:left;flip:y;z-index:251710464;mso-position-horizontal-relative:page" from="400.05pt,12.95pt" to="452.25pt,59.7pt">
            <v:stroke startarrow="block" endarrow="block"/>
            <w10:wrap anchorx="page"/>
          </v:line>
        </w:pict>
      </w:r>
      <w:r w:rsidR="005366A8">
        <w:rPr>
          <w:rFonts w:hint="cs"/>
          <w:rtl/>
        </w:rPr>
        <w:t>"ערכי</w:t>
      </w:r>
      <w:r w:rsidR="005366A8">
        <w:rPr>
          <w:rtl/>
        </w:rPr>
        <w:tab/>
      </w:r>
      <w:r w:rsidR="005366A8">
        <w:rPr>
          <w:rtl/>
        </w:rPr>
        <w:tab/>
        <w:t>חוק</w:t>
      </w:r>
      <w:r w:rsidR="005366A8">
        <w:rPr>
          <w:rFonts w:hint="cs"/>
          <w:rtl/>
        </w:rPr>
        <w:t>י יסוד וחוקים</w:t>
      </w:r>
      <w:r w:rsidR="005366A8">
        <w:rPr>
          <w:rtl/>
        </w:rPr>
        <w:tab/>
      </w:r>
      <w:r w:rsidR="005366A8">
        <w:rPr>
          <w:rtl/>
        </w:rPr>
        <w:tab/>
      </w:r>
      <w:r w:rsidR="005366A8">
        <w:rPr>
          <w:rtl/>
        </w:rPr>
        <w:tab/>
      </w:r>
      <w:r w:rsidR="005366A8">
        <w:rPr>
          <w:rtl/>
        </w:rPr>
        <w:tab/>
      </w:r>
      <w:r w:rsidR="005366A8">
        <w:rPr>
          <w:rtl/>
        </w:rPr>
        <w:tab/>
      </w:r>
      <w:r w:rsidR="005366A8">
        <w:rPr>
          <w:rFonts w:hint="cs"/>
          <w:rtl/>
        </w:rPr>
        <w:t xml:space="preserve">          </w:t>
      </w:r>
    </w:p>
    <w:p w:rsidR="005366A8" w:rsidRDefault="005D7968" w:rsidP="005366A8">
      <w:pPr>
        <w:spacing w:after="120" w:line="288" w:lineRule="auto"/>
        <w:rPr>
          <w:rtl/>
        </w:rPr>
      </w:pPr>
      <w:r>
        <w:rPr>
          <w:rtl/>
        </w:rPr>
        <w:pict>
          <v:line id="_x0000_s1072" style="position:absolute;left:0;text-align:left;z-index:251707392;mso-position-horizontal-relative:page" from="247.05pt,10.15pt" to="287.25pt,38.9pt">
            <v:stroke startarrow="block" endarrow="block"/>
            <w10:wrap anchorx="page"/>
          </v:line>
        </w:pict>
      </w:r>
      <w:r>
        <w:rPr>
          <w:noProof/>
          <w:rtl/>
        </w:rPr>
        <w:pict>
          <v:line id="_x0000_s1084" style="position:absolute;left:0;text-align:left;z-index:251719680" from="477.85pt,19.15pt" to="504.85pt,106.2pt">
            <v:stroke endarrow="block"/>
            <w10:wrap anchorx="page"/>
          </v:line>
        </w:pict>
      </w:r>
      <w:r>
        <w:rPr>
          <w:noProof/>
          <w:rtl/>
        </w:rPr>
        <w:pict>
          <v:line id="_x0000_s1082" style="position:absolute;left:0;text-align:left;flip:y;z-index:251717632;mso-position-horizontal-relative:page" from="499.05pt,10.15pt" to="520.8pt,23.8pt" strokeweight="3pt">
            <v:stroke linestyle="thinThin"/>
            <w10:wrap anchorx="page"/>
          </v:line>
        </w:pict>
      </w:r>
      <w:r>
        <w:rPr>
          <w:noProof/>
          <w:rtl/>
        </w:rPr>
        <w:pict>
          <v:line id="_x0000_s1083" style="position:absolute;left:0;text-align:left;z-index:251718656" from="472.6pt,7.2pt" to="477.85pt,52.2pt">
            <v:stroke endarrow="block"/>
            <w10:wrap anchorx="page"/>
          </v:line>
        </w:pict>
      </w:r>
      <w:r>
        <w:rPr>
          <w:noProof/>
          <w:rtl/>
        </w:rPr>
        <w:pict>
          <v:line id="_x0000_s1079" style="position:absolute;left:0;text-align:left;z-index:251714560;mso-position-horizontal-relative:page" from="193.05pt,19.15pt" to="247.05pt,19.15pt">
            <w10:wrap anchorx="page"/>
          </v:line>
        </w:pict>
      </w:r>
      <w:r>
        <w:rPr>
          <w:noProof/>
          <w:rtl/>
        </w:rPr>
        <w:pict>
          <v:line id="_x0000_s1076" style="position:absolute;left:0;text-align:left;z-index:251711488;mso-position-horizontal-relative:page" from="445.05pt,19.15pt" to="499.05pt,19.15pt">
            <w10:wrap anchorx="page"/>
          </v:line>
        </w:pict>
      </w:r>
      <w:r w:rsidR="005366A8">
        <w:rPr>
          <w:rFonts w:hint="cs"/>
          <w:rtl/>
        </w:rPr>
        <w:t>היסוד"</w:t>
      </w:r>
      <w:r w:rsidR="005366A8">
        <w:rPr>
          <w:rtl/>
        </w:rPr>
        <w:tab/>
      </w:r>
      <w:r w:rsidR="005366A8">
        <w:rPr>
          <w:rtl/>
        </w:rPr>
        <w:tab/>
      </w:r>
      <w:r w:rsidR="005366A8">
        <w:rPr>
          <w:rFonts w:hint="cs"/>
          <w:rtl/>
        </w:rPr>
        <w:tab/>
      </w:r>
      <w:r w:rsidR="005366A8">
        <w:rPr>
          <w:rFonts w:hint="cs"/>
          <w:rtl/>
        </w:rPr>
        <w:tab/>
      </w:r>
      <w:r w:rsidR="005366A8">
        <w:rPr>
          <w:rFonts w:hint="cs"/>
          <w:rtl/>
        </w:rPr>
        <w:tab/>
      </w:r>
      <w:r w:rsidR="005366A8">
        <w:rPr>
          <w:rFonts w:hint="cs"/>
          <w:rtl/>
        </w:rPr>
        <w:tab/>
      </w:r>
      <w:r w:rsidR="005366A8">
        <w:rPr>
          <w:rFonts w:hint="cs"/>
          <w:rtl/>
        </w:rPr>
        <w:tab/>
        <w:t xml:space="preserve"> </w:t>
      </w:r>
      <w:r w:rsidR="005366A8">
        <w:rPr>
          <w:rFonts w:hint="cs"/>
          <w:rtl/>
        </w:rPr>
        <w:tab/>
        <w:t xml:space="preserve">         הכנסת</w:t>
      </w:r>
    </w:p>
    <w:p w:rsidR="005366A8" w:rsidRPr="006273C4" w:rsidRDefault="005D7968" w:rsidP="005366A8">
      <w:pPr>
        <w:spacing w:after="120" w:line="288" w:lineRule="auto"/>
        <w:rPr>
          <w:i/>
          <w:iCs/>
          <w:sz w:val="20"/>
          <w:szCs w:val="20"/>
          <w:rtl/>
        </w:rPr>
      </w:pPr>
      <w:r w:rsidRPr="005D7968">
        <w:rPr>
          <w:rtl/>
        </w:rPr>
        <w:pict>
          <v:line id="_x0000_s1071" style="position:absolute;left:0;text-align:left;flip:y;z-index:251706368;mso-position-horizontal-relative:page" from="409.05pt,9.95pt" to="428.25pt,16.35pt">
            <v:stroke endarrow="block"/>
            <w10:wrap anchorx="page"/>
          </v:line>
        </w:pict>
      </w:r>
      <w:r w:rsidRPr="005D7968">
        <w:rPr>
          <w:noProof/>
          <w:rtl/>
        </w:rPr>
        <w:pict>
          <v:line id="_x0000_s1081" style="position:absolute;left:0;text-align:left;z-index:251716608;mso-position-horizontal-relative:page" from="436.05pt,14.55pt" to="508.05pt,14.55pt">
            <w10:wrap anchorx="page"/>
          </v:line>
        </w:pict>
      </w:r>
      <w:r w:rsidR="005366A8">
        <w:rPr>
          <w:rtl/>
        </w:rPr>
        <w:tab/>
      </w:r>
      <w:r w:rsidR="005366A8" w:rsidRPr="006273C4">
        <w:rPr>
          <w:rFonts w:hint="cs"/>
          <w:i/>
          <w:iCs/>
          <w:sz w:val="20"/>
          <w:szCs w:val="20"/>
          <w:rtl/>
        </w:rPr>
        <w:t>"משפט מקובל נוסח ישראל"</w:t>
      </w:r>
      <w:r w:rsidR="005366A8" w:rsidRPr="006273C4">
        <w:rPr>
          <w:i/>
          <w:iCs/>
          <w:sz w:val="20"/>
          <w:szCs w:val="20"/>
          <w:rtl/>
        </w:rPr>
        <w:tab/>
      </w:r>
      <w:r w:rsidR="005366A8" w:rsidRPr="006273C4">
        <w:rPr>
          <w:i/>
          <w:iCs/>
          <w:sz w:val="20"/>
          <w:szCs w:val="20"/>
          <w:rtl/>
        </w:rPr>
        <w:tab/>
      </w:r>
      <w:r w:rsidR="005366A8" w:rsidRPr="006273C4">
        <w:rPr>
          <w:i/>
          <w:iCs/>
          <w:sz w:val="20"/>
          <w:szCs w:val="20"/>
          <w:rtl/>
        </w:rPr>
        <w:tab/>
      </w:r>
      <w:r w:rsidR="005366A8" w:rsidRPr="006273C4">
        <w:rPr>
          <w:i/>
          <w:iCs/>
          <w:sz w:val="20"/>
          <w:szCs w:val="20"/>
          <w:rtl/>
        </w:rPr>
        <w:tab/>
        <w:t xml:space="preserve">         </w:t>
      </w:r>
    </w:p>
    <w:p w:rsidR="005366A8" w:rsidRDefault="005D7968" w:rsidP="005366A8">
      <w:pPr>
        <w:rPr>
          <w:rtl/>
        </w:rPr>
      </w:pPr>
      <w:r>
        <w:rPr>
          <w:rtl/>
        </w:rPr>
        <w:pict>
          <v:line id="_x0000_s1069" style="position:absolute;left:0;text-align:left;z-index:251704320;mso-position-horizontal-relative:page" from="400.05pt,19.05pt" to="400.05pt,64.45pt">
            <v:stroke startarrow="block" endarrow="block"/>
            <w10:wrap anchorx="page"/>
          </v:line>
        </w:pict>
      </w:r>
      <w:r>
        <w:rPr>
          <w:rtl/>
        </w:rPr>
        <w:pict>
          <v:line id="_x0000_s1068" style="position:absolute;left:0;text-align:left;z-index:251703296;mso-position-horizontal-relative:page" from="409.05pt,15.3pt" to="450.45pt,25.65pt" o:allowincell="f">
            <v:stroke startarrow="block" endarrow="block"/>
            <w10:wrap anchorx="page"/>
          </v:line>
        </w:pict>
      </w:r>
      <w:r>
        <w:rPr>
          <w:rtl/>
        </w:rPr>
        <w:pict>
          <v:line id="_x0000_s1067" style="position:absolute;left:0;text-align:left;flip:y;z-index:251702272;mso-position-horizontal-relative:page" from="409.05pt,8.25pt" to="445.05pt,10.05pt" o:allowincell="f">
            <v:stroke startarrow="block" endarrow="block"/>
            <w10:wrap anchorx="page"/>
          </v:line>
        </w:pict>
      </w:r>
      <w:r>
        <w:rPr>
          <w:rtl/>
        </w:rPr>
        <w:pict>
          <v:line id="_x0000_s1073" style="position:absolute;left:0;text-align:left;flip:x;z-index:251708416;mso-position-horizontal-relative:page" from="238.05pt,7.05pt" to="280.8pt,10.05pt">
            <v:stroke endarrow="block"/>
            <w10:wrap anchorx="page"/>
          </v:line>
        </w:pict>
      </w:r>
      <w:r>
        <w:rPr>
          <w:rtl/>
        </w:rPr>
        <w:pict>
          <v:line id="_x0000_s1074" style="position:absolute;left:0;text-align:left;flip:x;z-index:251709440;mso-position-horizontal-relative:page" from="238.05pt,19.05pt" to="292.05pt,55.65pt">
            <v:stroke endarrow="block"/>
            <w10:wrap anchorx="page"/>
          </v:line>
        </w:pict>
      </w:r>
      <w:r>
        <w:rPr>
          <w:noProof/>
          <w:rtl/>
        </w:rPr>
        <w:pict>
          <v:line id="_x0000_s1078" style="position:absolute;left:0;text-align:left;z-index:251713536;mso-position-horizontal-relative:page" from="418.05pt,19.05pt" to="526.05pt,19.05pt">
            <w10:wrap anchorx="page"/>
          </v:line>
        </w:pict>
      </w:r>
      <w:r w:rsidR="005366A8">
        <w:rPr>
          <w:rtl/>
        </w:rPr>
        <w:tab/>
      </w:r>
      <w:r w:rsidR="005366A8">
        <w:rPr>
          <w:rFonts w:hint="cs"/>
          <w:rtl/>
        </w:rPr>
        <w:t xml:space="preserve"> </w:t>
      </w:r>
      <w:r w:rsidR="005366A8">
        <w:rPr>
          <w:rtl/>
        </w:rPr>
        <w:t>תקנות</w:t>
      </w:r>
      <w:r w:rsidR="005366A8">
        <w:rPr>
          <w:rFonts w:hint="cs"/>
          <w:rtl/>
        </w:rPr>
        <w:t xml:space="preserve"> וחוקי-עזר</w:t>
      </w:r>
      <w:r w:rsidR="005366A8">
        <w:rPr>
          <w:rtl/>
        </w:rPr>
        <w:tab/>
        <w:t xml:space="preserve">         </w:t>
      </w:r>
      <w:r w:rsidR="005366A8">
        <w:rPr>
          <w:rtl/>
        </w:rPr>
        <w:tab/>
      </w:r>
      <w:r w:rsidR="005366A8">
        <w:rPr>
          <w:bdr w:val="single" w:sz="4" w:space="0" w:color="auto"/>
          <w:rtl/>
        </w:rPr>
        <w:t>פסקי דין</w:t>
      </w:r>
      <w:r w:rsidR="005366A8">
        <w:rPr>
          <w:bdr w:val="single" w:sz="4" w:space="0" w:color="auto"/>
          <w:rtl/>
        </w:rPr>
        <w:tab/>
      </w:r>
      <w:r w:rsidR="005366A8">
        <w:rPr>
          <w:rtl/>
        </w:rPr>
        <w:tab/>
      </w:r>
      <w:r w:rsidR="005366A8">
        <w:rPr>
          <w:bdr w:val="single" w:sz="4" w:space="0" w:color="auto"/>
          <w:rtl/>
        </w:rPr>
        <w:t>בתי המשפט</w:t>
      </w:r>
      <w:r w:rsidR="005366A8">
        <w:rPr>
          <w:rtl/>
        </w:rPr>
        <w:tab/>
      </w:r>
      <w:r w:rsidR="005366A8">
        <w:rPr>
          <w:rFonts w:hint="cs"/>
          <w:rtl/>
        </w:rPr>
        <w:tab/>
        <w:t>הממשלה</w:t>
      </w:r>
      <w:r w:rsidR="005366A8">
        <w:rPr>
          <w:rtl/>
        </w:rPr>
        <w:tab/>
      </w:r>
      <w:r w:rsidR="005366A8">
        <w:rPr>
          <w:rFonts w:hint="cs"/>
          <w:rtl/>
        </w:rPr>
        <w:t xml:space="preserve">, </w:t>
      </w:r>
    </w:p>
    <w:p w:rsidR="005366A8" w:rsidRDefault="005366A8" w:rsidP="005366A8">
      <w:pPr>
        <w:rPr>
          <w:rtl/>
        </w:rPr>
      </w:pPr>
      <w:r>
        <w:rPr>
          <w:rFonts w:hint="cs"/>
          <w:rtl/>
        </w:rPr>
        <w:t xml:space="preserve">                                                                                                         השלטון המקומי</w:t>
      </w:r>
    </w:p>
    <w:p w:rsidR="005366A8" w:rsidRDefault="005D7968" w:rsidP="005366A8">
      <w:pPr>
        <w:rPr>
          <w:rtl/>
        </w:rPr>
      </w:pPr>
      <w:r>
        <w:rPr>
          <w:rtl/>
        </w:rPr>
        <w:pict>
          <v:oval id="_x0000_s1070" style="position:absolute;left:0;text-align:left;margin-left:94.05pt;margin-top:21.85pt;width:186.75pt;height:36pt;z-index:251705344;mso-position-horizontal-relative:page" o:allowincell="f">
            <v:textbox style="mso-next-textbox:#_x0000_s1070">
              <w:txbxContent>
                <w:p w:rsidR="005366A8" w:rsidRPr="00E77B21" w:rsidRDefault="005366A8" w:rsidP="005366A8">
                  <w:pPr>
                    <w:rPr>
                      <w:b/>
                      <w:bCs/>
                      <w:rtl/>
                    </w:rPr>
                  </w:pPr>
                  <w:r w:rsidRPr="00E77B21">
                    <w:rPr>
                      <w:b/>
                      <w:bCs/>
                      <w:rtl/>
                    </w:rPr>
                    <w:t>בני החברה/ אזרחי המדינה</w:t>
                  </w:r>
                </w:p>
              </w:txbxContent>
            </v:textbox>
            <w10:wrap anchorx="page"/>
          </v:oval>
        </w:pict>
      </w:r>
      <w:r>
        <w:rPr>
          <w:noProof/>
          <w:rtl/>
        </w:rPr>
        <w:pict>
          <v:line id="_x0000_s1080" style="position:absolute;left:0;text-align:left;z-index:251715584;mso-position-horizontal-relative:page" from="166.05pt,17.85pt" to="274.05pt,17.85pt">
            <w10:wrap anchorx="page"/>
          </v:line>
        </w:pict>
      </w:r>
      <w:r w:rsidR="005366A8">
        <w:rPr>
          <w:rFonts w:hint="cs"/>
          <w:rtl/>
        </w:rPr>
        <w:t xml:space="preserve">        </w:t>
      </w:r>
      <w:r w:rsidR="005366A8">
        <w:rPr>
          <w:rtl/>
        </w:rPr>
        <w:t>צווים</w:t>
      </w:r>
      <w:r w:rsidR="005366A8">
        <w:rPr>
          <w:rFonts w:hint="cs"/>
          <w:rtl/>
        </w:rPr>
        <w:t xml:space="preserve"> ו"פעולות מינהל" אחרות   </w:t>
      </w:r>
      <w:r w:rsidR="005366A8">
        <w:rPr>
          <w:rtl/>
        </w:rPr>
        <w:tab/>
      </w:r>
      <w:r w:rsidR="005366A8">
        <w:rPr>
          <w:rtl/>
        </w:rPr>
        <w:tab/>
      </w:r>
      <w:r w:rsidR="005366A8">
        <w:rPr>
          <w:rtl/>
        </w:rPr>
        <w:tab/>
        <w:t xml:space="preserve">        </w:t>
      </w:r>
      <w:r w:rsidR="005366A8">
        <w:rPr>
          <w:rFonts w:hint="cs"/>
          <w:rtl/>
        </w:rPr>
        <w:t xml:space="preserve">   ורשויות המינהל האחרות</w:t>
      </w:r>
      <w:r w:rsidR="005366A8">
        <w:rPr>
          <w:rtl/>
        </w:rPr>
        <w:t xml:space="preserve"> </w:t>
      </w:r>
    </w:p>
    <w:p w:rsidR="005366A8" w:rsidRDefault="005D7968" w:rsidP="005366A8">
      <w:pPr>
        <w:spacing w:after="120" w:line="288" w:lineRule="auto"/>
        <w:rPr>
          <w:rtl/>
        </w:rPr>
      </w:pPr>
      <w:r>
        <w:rPr>
          <w:noProof/>
          <w:rtl/>
        </w:rPr>
        <w:pict>
          <v:line id="_x0000_s1077" style="position:absolute;left:0;text-align:left;z-index:251712512;mso-position-horizontal-relative:page" from="409.05pt,4.3pt" to="535.05pt,4.3pt">
            <w10:wrap anchorx="page"/>
          </v:line>
        </w:pict>
      </w:r>
    </w:p>
    <w:p w:rsidR="005366A8" w:rsidRDefault="005D7968" w:rsidP="005366A8">
      <w:pPr>
        <w:pStyle w:val="T-body"/>
        <w:spacing w:after="120"/>
        <w:rPr>
          <w:rtl/>
        </w:rPr>
      </w:pPr>
      <w:r>
        <w:rPr>
          <w:rtl/>
        </w:rPr>
        <w:pict>
          <v:line id="_x0000_s1066" style="position:absolute;left:0;text-align:left;flip:x y;z-index:251701248;mso-position-horizontal-relative:page" from="139.05pt,19.2pt" to="302.4pt,19.9pt" o:allowincell="f">
            <w10:wrap anchorx="page"/>
          </v:line>
        </w:pict>
      </w:r>
      <w:r>
        <w:rPr>
          <w:rtl/>
        </w:rPr>
        <w:pict>
          <v:line id="_x0000_s1064" style="position:absolute;left:0;text-align:left;flip:x;z-index:251699200;mso-position-horizontal-relative:page" from="388.8pt,20.55pt" to="561.6pt,20.55pt" o:allowincell="f">
            <w10:wrap anchorx="page"/>
          </v:line>
        </w:pict>
      </w:r>
      <w:r w:rsidR="005366A8">
        <w:rPr>
          <w:rtl/>
        </w:rPr>
        <w:t>נורמות ופעולות בתחום המשפט הפרטי</w:t>
      </w:r>
      <w:r w:rsidR="005366A8">
        <w:rPr>
          <w:rtl/>
        </w:rPr>
        <w:tab/>
      </w:r>
      <w:r w:rsidR="005366A8">
        <w:rPr>
          <w:rtl/>
        </w:rPr>
        <w:tab/>
      </w:r>
      <w:r w:rsidR="005366A8">
        <w:rPr>
          <w:rtl/>
        </w:rPr>
        <w:tab/>
      </w:r>
      <w:r w:rsidR="005366A8">
        <w:rPr>
          <w:rtl/>
        </w:rPr>
        <w:tab/>
      </w:r>
    </w:p>
    <w:p w:rsidR="005366A8" w:rsidRPr="00024E7B" w:rsidRDefault="005366A8" w:rsidP="005366A8">
      <w:pPr>
        <w:rPr>
          <w:sz w:val="22"/>
          <w:szCs w:val="22"/>
          <w:rtl/>
        </w:rPr>
      </w:pPr>
      <w:r>
        <w:rPr>
          <w:rtl/>
        </w:rPr>
        <w:tab/>
      </w:r>
      <w:r w:rsidRPr="00024E7B">
        <w:rPr>
          <w:rFonts w:ascii="Arial" w:hAnsi="Arial" w:cs="Arial"/>
          <w:b/>
          <w:bCs/>
          <w:sz w:val="22"/>
          <w:szCs w:val="22"/>
          <w:highlight w:val="yellow"/>
          <w:rtl/>
        </w:rPr>
        <w:t>פירמידת הנורמות</w:t>
      </w:r>
      <w:r w:rsidRPr="00024E7B">
        <w:rPr>
          <w:b/>
          <w:bCs/>
          <w:sz w:val="22"/>
          <w:szCs w:val="22"/>
          <w:rtl/>
        </w:rPr>
        <w:tab/>
      </w:r>
      <w:r w:rsidRPr="00024E7B">
        <w:rPr>
          <w:b/>
          <w:bCs/>
          <w:sz w:val="22"/>
          <w:szCs w:val="22"/>
          <w:rtl/>
        </w:rPr>
        <w:tab/>
      </w:r>
      <w:r w:rsidRPr="00024E7B">
        <w:rPr>
          <w:b/>
          <w:bCs/>
          <w:sz w:val="22"/>
          <w:szCs w:val="22"/>
          <w:rtl/>
        </w:rPr>
        <w:tab/>
      </w:r>
      <w:r w:rsidRPr="00024E7B">
        <w:rPr>
          <w:b/>
          <w:bCs/>
          <w:sz w:val="22"/>
          <w:szCs w:val="22"/>
          <w:rtl/>
        </w:rPr>
        <w:tab/>
      </w:r>
      <w:r w:rsidRPr="00024E7B">
        <w:rPr>
          <w:b/>
          <w:bCs/>
          <w:sz w:val="22"/>
          <w:szCs w:val="22"/>
          <w:rtl/>
        </w:rPr>
        <w:tab/>
      </w:r>
      <w:r w:rsidRPr="00024E7B">
        <w:rPr>
          <w:rFonts w:ascii="Arial" w:hAnsi="Arial" w:cs="Arial"/>
          <w:b/>
          <w:bCs/>
          <w:sz w:val="22"/>
          <w:szCs w:val="22"/>
          <w:highlight w:val="yellow"/>
          <w:rtl/>
        </w:rPr>
        <w:t>פירמידת המוסדות</w:t>
      </w:r>
    </w:p>
    <w:p w:rsidR="005366A8" w:rsidRDefault="005366A8" w:rsidP="005366A8">
      <w:pPr>
        <w:rPr>
          <w:rFonts w:ascii="Arial" w:hAnsi="Arial" w:cs="Arial"/>
          <w:b/>
          <w:bCs/>
          <w:sz w:val="22"/>
          <w:szCs w:val="22"/>
          <w:rtl/>
        </w:rPr>
      </w:pPr>
    </w:p>
    <w:p w:rsidR="005366A8" w:rsidRDefault="005366A8" w:rsidP="005366A8">
      <w:pPr>
        <w:rPr>
          <w:rFonts w:ascii="Arial" w:hAnsi="Arial" w:cs="Arial"/>
          <w:b/>
          <w:bCs/>
          <w:sz w:val="22"/>
          <w:szCs w:val="22"/>
          <w:rtl/>
        </w:rPr>
      </w:pPr>
      <w:r>
        <w:rPr>
          <w:rFonts w:ascii="Arial" w:hAnsi="Arial" w:cs="Arial" w:hint="cs"/>
          <w:b/>
          <w:bCs/>
          <w:sz w:val="22"/>
          <w:szCs w:val="22"/>
          <w:rtl/>
        </w:rPr>
        <w:t>=-=</w:t>
      </w:r>
    </w:p>
    <w:p w:rsidR="005366A8" w:rsidRDefault="005366A8" w:rsidP="005366A8">
      <w:pPr>
        <w:rPr>
          <w:rFonts w:ascii="Arial" w:hAnsi="Arial" w:cs="Arial"/>
          <w:b/>
          <w:bCs/>
          <w:sz w:val="22"/>
          <w:szCs w:val="22"/>
          <w:rtl/>
        </w:rPr>
      </w:pPr>
    </w:p>
    <w:p w:rsidR="005366A8" w:rsidRDefault="005366A8" w:rsidP="005366A8">
      <w:pPr>
        <w:spacing w:after="120"/>
        <w:rPr>
          <w:rFonts w:ascii="Arial" w:hAnsi="Arial" w:cs="Arial"/>
          <w:sz w:val="20"/>
          <w:szCs w:val="20"/>
          <w:highlight w:val="yellow"/>
          <w:rtl/>
        </w:rPr>
      </w:pPr>
      <w:r>
        <w:rPr>
          <w:rFonts w:ascii="Arial" w:hAnsi="Arial" w:cs="Arial" w:hint="cs"/>
          <w:sz w:val="20"/>
          <w:szCs w:val="20"/>
          <w:highlight w:val="yellow"/>
          <w:rtl/>
        </w:rPr>
        <w:t>הניחו את הדוגמא הבאה:</w:t>
      </w:r>
    </w:p>
    <w:p w:rsidR="005366A8" w:rsidRPr="000F40FF" w:rsidRDefault="005366A8" w:rsidP="005366A8">
      <w:pPr>
        <w:ind w:left="720"/>
        <w:rPr>
          <w:rFonts w:ascii="Arial" w:hAnsi="Arial" w:cs="Arial"/>
          <w:sz w:val="20"/>
          <w:szCs w:val="20"/>
          <w:highlight w:val="yellow"/>
          <w:rtl/>
        </w:rPr>
      </w:pPr>
      <w:r w:rsidRPr="000F40FF">
        <w:rPr>
          <w:rFonts w:ascii="Arial" w:hAnsi="Arial" w:cs="Arial" w:hint="cs"/>
          <w:sz w:val="20"/>
          <w:szCs w:val="20"/>
          <w:highlight w:val="yellow"/>
          <w:rtl/>
        </w:rPr>
        <w:t xml:space="preserve">סגן </w:t>
      </w:r>
      <w:r w:rsidRPr="000F40FF">
        <w:rPr>
          <w:rFonts w:ascii="Arial" w:hAnsi="Arial" w:cs="Arial"/>
          <w:sz w:val="20"/>
          <w:szCs w:val="20"/>
          <w:highlight w:val="yellow"/>
          <w:rtl/>
        </w:rPr>
        <w:t xml:space="preserve">ראש עירית בית שמש מודיע לבעליה של מסעדת "ספר-ריבּז" על ביטול רישיון העסק שלה.  </w:t>
      </w:r>
    </w:p>
    <w:p w:rsidR="005366A8" w:rsidRDefault="005366A8" w:rsidP="005366A8">
      <w:pPr>
        <w:ind w:left="720"/>
        <w:rPr>
          <w:rFonts w:ascii="Arial" w:hAnsi="Arial" w:cs="Arial"/>
          <w:sz w:val="20"/>
          <w:szCs w:val="20"/>
          <w:rtl/>
        </w:rPr>
      </w:pPr>
      <w:r w:rsidRPr="000F40FF">
        <w:rPr>
          <w:rFonts w:ascii="Arial" w:hAnsi="Arial" w:cs="Arial"/>
          <w:sz w:val="20"/>
          <w:szCs w:val="20"/>
          <w:highlight w:val="yellow"/>
          <w:rtl/>
        </w:rPr>
        <w:t xml:space="preserve">נימוקי הביטול: הפרה של </w:t>
      </w:r>
      <w:r w:rsidRPr="000F40FF">
        <w:rPr>
          <w:rFonts w:ascii="Arial" w:hAnsi="Arial" w:cs="Arial"/>
          <w:b/>
          <w:bCs/>
          <w:sz w:val="20"/>
          <w:szCs w:val="20"/>
          <w:highlight w:val="yellow"/>
          <w:rtl/>
        </w:rPr>
        <w:t xml:space="preserve">תקנות רישוי עסקים (תנאי תברואה נאותים לבתי אוכל), </w:t>
      </w:r>
      <w:r>
        <w:rPr>
          <w:rFonts w:ascii="Arial" w:hAnsi="Arial" w:cs="Arial" w:hint="cs"/>
          <w:b/>
          <w:bCs/>
          <w:sz w:val="20"/>
          <w:szCs w:val="20"/>
          <w:highlight w:val="yellow"/>
          <w:rtl/>
        </w:rPr>
        <w:t>ה</w:t>
      </w:r>
      <w:r w:rsidRPr="000F40FF">
        <w:rPr>
          <w:rFonts w:ascii="Arial" w:hAnsi="Arial" w:cs="Arial"/>
          <w:b/>
          <w:bCs/>
          <w:sz w:val="20"/>
          <w:szCs w:val="20"/>
          <w:highlight w:val="yellow"/>
          <w:rtl/>
        </w:rPr>
        <w:t>תשמ"ג-1983</w:t>
      </w:r>
      <w:r w:rsidRPr="000F40FF">
        <w:rPr>
          <w:rFonts w:ascii="Arial" w:hAnsi="Arial" w:cs="Arial"/>
          <w:sz w:val="20"/>
          <w:szCs w:val="20"/>
          <w:highlight w:val="yellow"/>
          <w:rtl/>
        </w:rPr>
        <w:t>.</w:t>
      </w:r>
    </w:p>
    <w:p w:rsidR="005366A8" w:rsidRPr="000F40FF" w:rsidRDefault="005366A8" w:rsidP="005366A8">
      <w:pPr>
        <w:rPr>
          <w:rFonts w:ascii="Arial" w:hAnsi="Arial" w:cs="Arial"/>
          <w:sz w:val="20"/>
          <w:szCs w:val="20"/>
          <w:rtl/>
        </w:rPr>
      </w:pPr>
    </w:p>
    <w:p w:rsidR="005366A8" w:rsidRPr="000F40FF" w:rsidRDefault="005366A8" w:rsidP="005366A8">
      <w:pPr>
        <w:spacing w:after="120"/>
        <w:jc w:val="center"/>
        <w:rPr>
          <w:b/>
          <w:bCs/>
          <w:sz w:val="20"/>
          <w:szCs w:val="20"/>
          <w:rtl/>
        </w:rPr>
      </w:pPr>
      <w:r w:rsidRPr="00EB6A71">
        <w:rPr>
          <w:rFonts w:hint="cs"/>
          <w:b/>
          <w:bCs/>
          <w:sz w:val="20"/>
          <w:szCs w:val="20"/>
          <w:highlight w:val="yellow"/>
          <w:rtl/>
        </w:rPr>
        <w:t>תקנות</w:t>
      </w:r>
      <w:r w:rsidRPr="000F40FF">
        <w:rPr>
          <w:rFonts w:hint="cs"/>
          <w:b/>
          <w:bCs/>
          <w:sz w:val="20"/>
          <w:szCs w:val="20"/>
          <w:rtl/>
        </w:rPr>
        <w:t xml:space="preserve"> רישוי עסקים (תנאי תברואה נאותים לבתי אוכל), התשמ"ג-1983</w:t>
      </w:r>
    </w:p>
    <w:p w:rsidR="005366A8" w:rsidRPr="000F40FF" w:rsidRDefault="005366A8" w:rsidP="005366A8">
      <w:pPr>
        <w:rPr>
          <w:rFonts w:cs="David"/>
          <w:sz w:val="20"/>
          <w:szCs w:val="20"/>
          <w:rtl/>
        </w:rPr>
      </w:pPr>
      <w:r w:rsidRPr="000F40FF">
        <w:rPr>
          <w:rFonts w:cs="David" w:hint="cs"/>
          <w:sz w:val="20"/>
          <w:szCs w:val="20"/>
          <w:rtl/>
        </w:rPr>
        <w:t xml:space="preserve">בתוקף סמכותי לפי סעיף 10 לחוק רישוי עסקים, התשכ"ח-1968 (להלן - החוק), ובתוקף הסמכות לפי סעיף 3 לפקודת בריאות הציבור (מזון), 1935, שנטלתי לעצמי בהתאם לסעיף 32 לחוק-יסוד: הממשלה, אני מתקין תקנות אלה: […] </w:t>
      </w:r>
    </w:p>
    <w:p w:rsidR="005366A8" w:rsidRPr="000F40FF" w:rsidRDefault="005366A8" w:rsidP="005366A8">
      <w:pPr>
        <w:ind w:left="720"/>
        <w:rPr>
          <w:rFonts w:cs="David"/>
          <w:sz w:val="20"/>
          <w:szCs w:val="20"/>
          <w:rtl/>
        </w:rPr>
      </w:pPr>
      <w:r w:rsidRPr="000F40FF">
        <w:rPr>
          <w:sz w:val="20"/>
          <w:szCs w:val="20"/>
          <w:rtl/>
        </w:rPr>
        <w:t>{שורה של הוראות ביחס לשמירת מזון בקירור; מים; אוורור</w:t>
      </w:r>
      <w:r w:rsidRPr="000F40FF">
        <w:rPr>
          <w:rFonts w:hint="cs"/>
          <w:sz w:val="20"/>
          <w:szCs w:val="20"/>
          <w:rtl/>
        </w:rPr>
        <w:t>, סילוק שפכים ופסולת,</w:t>
      </w:r>
      <w:r w:rsidRPr="000F40FF">
        <w:rPr>
          <w:sz w:val="20"/>
          <w:szCs w:val="20"/>
          <w:rtl/>
        </w:rPr>
        <w:t xml:space="preserve"> וכדומה}</w:t>
      </w:r>
    </w:p>
    <w:p w:rsidR="005366A8" w:rsidRPr="000F40FF" w:rsidRDefault="005366A8" w:rsidP="005366A8">
      <w:pPr>
        <w:rPr>
          <w:rFonts w:cs="David"/>
          <w:sz w:val="20"/>
          <w:szCs w:val="20"/>
          <w:rtl/>
        </w:rPr>
      </w:pPr>
      <w:r w:rsidRPr="000F40FF">
        <w:rPr>
          <w:rFonts w:cs="David"/>
          <w:sz w:val="20"/>
          <w:szCs w:val="20"/>
          <w:rtl/>
        </w:rPr>
        <w:tab/>
      </w:r>
    </w:p>
    <w:p w:rsidR="005366A8" w:rsidRPr="000F40FF" w:rsidRDefault="005366A8" w:rsidP="005366A8">
      <w:pPr>
        <w:jc w:val="center"/>
        <w:rPr>
          <w:b/>
          <w:bCs/>
          <w:sz w:val="20"/>
          <w:szCs w:val="20"/>
          <w:rtl/>
        </w:rPr>
      </w:pPr>
      <w:r w:rsidRPr="00EB6A71">
        <w:rPr>
          <w:rFonts w:hint="cs"/>
          <w:b/>
          <w:bCs/>
          <w:sz w:val="20"/>
          <w:szCs w:val="20"/>
          <w:highlight w:val="yellow"/>
          <w:rtl/>
        </w:rPr>
        <w:t>חוק</w:t>
      </w:r>
      <w:r w:rsidRPr="000F40FF">
        <w:rPr>
          <w:rFonts w:hint="cs"/>
          <w:b/>
          <w:bCs/>
          <w:sz w:val="20"/>
          <w:szCs w:val="20"/>
          <w:rtl/>
        </w:rPr>
        <w:t xml:space="preserve"> רישוי עסקים, התשכ"ח-1968</w:t>
      </w:r>
    </w:p>
    <w:p w:rsidR="005366A8" w:rsidRPr="000F40FF" w:rsidRDefault="005366A8" w:rsidP="005366A8">
      <w:pPr>
        <w:pStyle w:val="P00"/>
        <w:spacing w:before="0"/>
        <w:ind w:left="624" w:right="1134"/>
        <w:rPr>
          <w:rStyle w:val="default"/>
          <w:rFonts w:cs="David"/>
          <w:szCs w:val="20"/>
          <w:rtl/>
        </w:rPr>
      </w:pPr>
      <w:r w:rsidRPr="000F40FF">
        <w:rPr>
          <w:rStyle w:val="big-number"/>
          <w:rFonts w:cs="David"/>
          <w:szCs w:val="20"/>
          <w:rtl/>
        </w:rPr>
        <w:t>1.</w:t>
      </w:r>
      <w:r w:rsidRPr="000F40FF">
        <w:rPr>
          <w:rFonts w:cs="Miriam"/>
          <w:noProof w:val="0"/>
          <w:szCs w:val="20"/>
          <w:rtl/>
        </w:rPr>
        <w:t xml:space="preserve"> </w:t>
      </w:r>
      <w:r w:rsidRPr="000F40FF">
        <w:rPr>
          <w:rFonts w:cs="David" w:hint="cs"/>
          <w:szCs w:val="20"/>
          <w:rtl/>
        </w:rPr>
        <w:t>[</w:t>
      </w:r>
      <w:r w:rsidRPr="000F40FF">
        <w:rPr>
          <w:rFonts w:cs="David"/>
          <w:szCs w:val="20"/>
          <w:rtl/>
        </w:rPr>
        <w:t>צ</w:t>
      </w:r>
      <w:r w:rsidRPr="000F40FF">
        <w:rPr>
          <w:rFonts w:cs="David" w:hint="cs"/>
          <w:szCs w:val="20"/>
          <w:rtl/>
        </w:rPr>
        <w:t>ווים בדבר עסקים טעו</w:t>
      </w:r>
      <w:r w:rsidRPr="000F40FF">
        <w:rPr>
          <w:rFonts w:cs="David"/>
          <w:szCs w:val="20"/>
          <w:rtl/>
        </w:rPr>
        <w:t>נ</w:t>
      </w:r>
      <w:r w:rsidRPr="000F40FF">
        <w:rPr>
          <w:rFonts w:cs="David" w:hint="cs"/>
          <w:szCs w:val="20"/>
          <w:rtl/>
        </w:rPr>
        <w:t>י רישוי]</w:t>
      </w:r>
    </w:p>
    <w:p w:rsidR="005366A8" w:rsidRPr="000F40FF" w:rsidRDefault="005366A8" w:rsidP="005366A8">
      <w:pPr>
        <w:pStyle w:val="P00"/>
        <w:spacing w:before="0"/>
        <w:ind w:left="0" w:right="1134"/>
        <w:rPr>
          <w:rStyle w:val="default"/>
          <w:rFonts w:cs="David"/>
          <w:szCs w:val="20"/>
          <w:rtl/>
        </w:rPr>
      </w:pPr>
      <w:r w:rsidRPr="000F40FF">
        <w:rPr>
          <w:rStyle w:val="default"/>
          <w:rFonts w:cs="David"/>
          <w:szCs w:val="20"/>
          <w:rtl/>
        </w:rPr>
        <w:t>(</w:t>
      </w:r>
      <w:r w:rsidRPr="000F40FF">
        <w:rPr>
          <w:rStyle w:val="default"/>
          <w:rFonts w:cs="David" w:hint="cs"/>
          <w:szCs w:val="20"/>
          <w:rtl/>
        </w:rPr>
        <w:t>א)</w:t>
      </w:r>
      <w:r w:rsidRPr="000F40FF">
        <w:rPr>
          <w:rStyle w:val="default"/>
          <w:rFonts w:cs="David"/>
          <w:szCs w:val="20"/>
          <w:rtl/>
        </w:rPr>
        <w:tab/>
      </w:r>
      <w:r w:rsidRPr="000F40FF">
        <w:rPr>
          <w:rStyle w:val="default"/>
          <w:rFonts w:cs="David" w:hint="cs"/>
          <w:szCs w:val="20"/>
          <w:rtl/>
        </w:rPr>
        <w:t>שר הפנים, רשאי לקבוע בצווים עסקים טעוני רישוי ולהגדירם, כדי להבטיח בהם מטרות אלה או מקצתן:</w:t>
      </w:r>
    </w:p>
    <w:p w:rsidR="005366A8" w:rsidRPr="000F40FF" w:rsidRDefault="005366A8" w:rsidP="005366A8">
      <w:pPr>
        <w:pStyle w:val="P22"/>
        <w:spacing w:before="0"/>
        <w:ind w:left="1021" w:right="1134"/>
        <w:rPr>
          <w:rStyle w:val="default"/>
          <w:rFonts w:cs="David"/>
          <w:szCs w:val="20"/>
          <w:rtl/>
        </w:rPr>
      </w:pPr>
      <w:r w:rsidRPr="000F40FF">
        <w:rPr>
          <w:rStyle w:val="default"/>
          <w:rFonts w:cs="David"/>
          <w:szCs w:val="20"/>
          <w:rtl/>
        </w:rPr>
        <w:t>(1)</w:t>
      </w:r>
      <w:r w:rsidRPr="000F40FF">
        <w:rPr>
          <w:rStyle w:val="default"/>
          <w:rFonts w:cs="David"/>
          <w:szCs w:val="20"/>
          <w:rtl/>
        </w:rPr>
        <w:tab/>
      </w:r>
      <w:r w:rsidRPr="000F40FF">
        <w:rPr>
          <w:rStyle w:val="default"/>
          <w:rFonts w:cs="David" w:hint="cs"/>
          <w:szCs w:val="20"/>
          <w:rtl/>
        </w:rPr>
        <w:t>איכות נאותה של הסביבה ומניעת מפגעים ומטרדים; [...]</w:t>
      </w:r>
    </w:p>
    <w:p w:rsidR="005366A8" w:rsidRPr="000F40FF" w:rsidRDefault="005366A8" w:rsidP="005366A8">
      <w:pPr>
        <w:pStyle w:val="P22"/>
        <w:spacing w:before="0"/>
        <w:ind w:left="1021" w:right="1134"/>
        <w:rPr>
          <w:rStyle w:val="default"/>
          <w:rFonts w:cs="David"/>
          <w:szCs w:val="20"/>
          <w:rtl/>
        </w:rPr>
      </w:pPr>
      <w:r w:rsidRPr="000F40FF">
        <w:rPr>
          <w:rStyle w:val="default"/>
          <w:rFonts w:cs="David"/>
          <w:szCs w:val="20"/>
          <w:rtl/>
        </w:rPr>
        <w:t>(3)</w:t>
      </w:r>
      <w:r w:rsidRPr="000F40FF">
        <w:rPr>
          <w:rStyle w:val="default"/>
          <w:rFonts w:cs="David"/>
          <w:szCs w:val="20"/>
          <w:rtl/>
        </w:rPr>
        <w:tab/>
      </w:r>
      <w:r w:rsidRPr="000F40FF">
        <w:rPr>
          <w:rStyle w:val="default"/>
          <w:rFonts w:cs="David" w:hint="cs"/>
          <w:szCs w:val="20"/>
          <w:rtl/>
        </w:rPr>
        <w:t>בטיחות של הנמצאים במקום העסק או בסביבתו;</w:t>
      </w:r>
    </w:p>
    <w:p w:rsidR="005366A8" w:rsidRPr="000F40FF" w:rsidRDefault="005366A8" w:rsidP="005366A8">
      <w:pPr>
        <w:pStyle w:val="P22"/>
        <w:spacing w:before="0"/>
        <w:ind w:left="1021" w:right="1134"/>
        <w:rPr>
          <w:rStyle w:val="default"/>
          <w:rFonts w:cs="David"/>
          <w:szCs w:val="20"/>
          <w:rtl/>
        </w:rPr>
      </w:pPr>
      <w:r w:rsidRPr="000F40FF">
        <w:rPr>
          <w:rStyle w:val="default"/>
          <w:rFonts w:cs="David"/>
          <w:szCs w:val="20"/>
          <w:rtl/>
        </w:rPr>
        <w:t>(4)</w:t>
      </w:r>
      <w:r w:rsidRPr="000F40FF">
        <w:rPr>
          <w:rStyle w:val="default"/>
          <w:rFonts w:cs="David"/>
          <w:szCs w:val="20"/>
          <w:rtl/>
        </w:rPr>
        <w:tab/>
      </w:r>
      <w:r w:rsidRPr="000F40FF">
        <w:rPr>
          <w:rStyle w:val="default"/>
          <w:rFonts w:cs="David" w:hint="cs"/>
          <w:szCs w:val="20"/>
          <w:rtl/>
        </w:rPr>
        <w:t>מניעת סכנות של מחלות בעלי חיים ומניעת זיהום</w:t>
      </w:r>
      <w:r w:rsidRPr="000F40FF">
        <w:rPr>
          <w:rStyle w:val="default"/>
          <w:rFonts w:cs="David"/>
          <w:szCs w:val="20"/>
          <w:rtl/>
        </w:rPr>
        <w:t xml:space="preserve"> </w:t>
      </w:r>
      <w:r w:rsidRPr="000F40FF">
        <w:rPr>
          <w:rStyle w:val="default"/>
          <w:rFonts w:cs="David" w:hint="cs"/>
          <w:szCs w:val="20"/>
          <w:rtl/>
        </w:rPr>
        <w:t>מקורות מים בח</w:t>
      </w:r>
      <w:r w:rsidRPr="000F40FF">
        <w:rPr>
          <w:rStyle w:val="default"/>
          <w:rFonts w:cs="David"/>
          <w:szCs w:val="20"/>
          <w:rtl/>
        </w:rPr>
        <w:t>מ</w:t>
      </w:r>
      <w:r w:rsidRPr="000F40FF">
        <w:rPr>
          <w:rStyle w:val="default"/>
          <w:rFonts w:cs="David" w:hint="cs"/>
          <w:szCs w:val="20"/>
          <w:rtl/>
        </w:rPr>
        <w:t>רי הדברה, בדשנים או בתרופות;</w:t>
      </w:r>
    </w:p>
    <w:p w:rsidR="005366A8" w:rsidRPr="000F40FF" w:rsidRDefault="005366A8" w:rsidP="005366A8">
      <w:pPr>
        <w:pStyle w:val="P22"/>
        <w:spacing w:before="0"/>
        <w:ind w:left="1021" w:right="1134"/>
        <w:rPr>
          <w:rStyle w:val="default"/>
          <w:rFonts w:cs="David"/>
          <w:szCs w:val="20"/>
          <w:rtl/>
        </w:rPr>
      </w:pPr>
      <w:r w:rsidRPr="000F40FF">
        <w:rPr>
          <w:rStyle w:val="default"/>
          <w:rFonts w:cs="David"/>
          <w:szCs w:val="20"/>
          <w:rtl/>
        </w:rPr>
        <w:t>(5)</w:t>
      </w:r>
      <w:r w:rsidRPr="000F40FF">
        <w:rPr>
          <w:rStyle w:val="default"/>
          <w:rFonts w:cs="David"/>
          <w:szCs w:val="20"/>
          <w:rtl/>
        </w:rPr>
        <w:tab/>
      </w:r>
      <w:r w:rsidRPr="000F40FF">
        <w:rPr>
          <w:rStyle w:val="default"/>
          <w:rFonts w:cs="David" w:hint="cs"/>
          <w:szCs w:val="20"/>
          <w:rtl/>
        </w:rPr>
        <w:t>בריאות הציבור, לרבות תנאי תברואה נאותים; [...]</w:t>
      </w:r>
    </w:p>
    <w:p w:rsidR="005366A8" w:rsidRPr="000F40FF" w:rsidRDefault="005366A8" w:rsidP="005366A8">
      <w:pPr>
        <w:pStyle w:val="P00"/>
        <w:spacing w:before="0"/>
        <w:ind w:left="0" w:right="1134"/>
        <w:rPr>
          <w:rStyle w:val="default"/>
          <w:rFonts w:cs="David"/>
          <w:szCs w:val="20"/>
          <w:rtl/>
        </w:rPr>
      </w:pPr>
      <w:r w:rsidRPr="000F40FF">
        <w:rPr>
          <w:rStyle w:val="default"/>
          <w:rFonts w:cs="David"/>
          <w:szCs w:val="20"/>
          <w:rtl/>
        </w:rPr>
        <w:t xml:space="preserve"> (</w:t>
      </w:r>
      <w:r w:rsidRPr="000F40FF">
        <w:rPr>
          <w:rStyle w:val="default"/>
          <w:rFonts w:cs="David" w:hint="cs"/>
          <w:szCs w:val="20"/>
          <w:rtl/>
        </w:rPr>
        <w:t>ב)</w:t>
      </w:r>
      <w:r w:rsidRPr="000F40FF">
        <w:rPr>
          <w:rStyle w:val="default"/>
          <w:rFonts w:cs="David"/>
          <w:szCs w:val="20"/>
          <w:rtl/>
        </w:rPr>
        <w:tab/>
      </w:r>
      <w:r w:rsidRPr="000F40FF">
        <w:rPr>
          <w:rStyle w:val="default"/>
          <w:rFonts w:cs="David" w:hint="cs"/>
          <w:szCs w:val="20"/>
          <w:rtl/>
        </w:rPr>
        <w:t>היתה אחת ממטרות הרישוי מטרה כמפורט להלן</w:t>
      </w:r>
      <w:r w:rsidRPr="000F40FF">
        <w:rPr>
          <w:rStyle w:val="default"/>
          <w:rFonts w:cs="David"/>
          <w:szCs w:val="20"/>
          <w:rtl/>
        </w:rPr>
        <w:t xml:space="preserve">, </w:t>
      </w:r>
      <w:r w:rsidRPr="000F40FF">
        <w:rPr>
          <w:rStyle w:val="default"/>
          <w:rFonts w:cs="David" w:hint="cs"/>
          <w:szCs w:val="20"/>
          <w:rtl/>
        </w:rPr>
        <w:t xml:space="preserve">טעון הצו התייעצות </w:t>
      </w:r>
      <w:r w:rsidRPr="000F40FF">
        <w:rPr>
          <w:rStyle w:val="default"/>
          <w:szCs w:val="20"/>
          <w:rtl/>
        </w:rPr>
        <w:t>—</w:t>
      </w:r>
      <w:r w:rsidRPr="000F40FF">
        <w:rPr>
          <w:rStyle w:val="default"/>
          <w:rFonts w:cs="David" w:hint="cs"/>
          <w:szCs w:val="20"/>
          <w:rtl/>
        </w:rPr>
        <w:t>[...]</w:t>
      </w:r>
    </w:p>
    <w:p w:rsidR="005366A8" w:rsidRPr="000F40FF" w:rsidRDefault="005366A8" w:rsidP="005366A8">
      <w:pPr>
        <w:pStyle w:val="P22"/>
        <w:spacing w:before="0"/>
        <w:ind w:left="1021" w:right="1134"/>
        <w:rPr>
          <w:rStyle w:val="default"/>
          <w:rFonts w:cs="David"/>
          <w:szCs w:val="20"/>
          <w:rtl/>
        </w:rPr>
      </w:pPr>
      <w:r w:rsidRPr="000F40FF">
        <w:rPr>
          <w:rStyle w:val="default"/>
          <w:rFonts w:cs="David"/>
          <w:szCs w:val="20"/>
          <w:rtl/>
        </w:rPr>
        <w:t xml:space="preserve"> (5)</w:t>
      </w:r>
      <w:r w:rsidRPr="000F40FF">
        <w:rPr>
          <w:rStyle w:val="default"/>
          <w:rFonts w:cs="David"/>
          <w:szCs w:val="20"/>
          <w:rtl/>
        </w:rPr>
        <w:tab/>
      </w:r>
      <w:r w:rsidRPr="000F40FF">
        <w:rPr>
          <w:rStyle w:val="default"/>
          <w:rFonts w:cs="David" w:hint="cs"/>
          <w:szCs w:val="20"/>
          <w:rtl/>
        </w:rPr>
        <w:t xml:space="preserve">בסעיף קטן (א)(5) </w:t>
      </w:r>
      <w:r w:rsidRPr="000F40FF">
        <w:rPr>
          <w:rStyle w:val="default"/>
          <w:szCs w:val="20"/>
          <w:rtl/>
        </w:rPr>
        <w:t>—</w:t>
      </w:r>
      <w:r w:rsidRPr="000F40FF">
        <w:rPr>
          <w:rStyle w:val="default"/>
          <w:rFonts w:cs="David" w:hint="cs"/>
          <w:szCs w:val="20"/>
          <w:rtl/>
        </w:rPr>
        <w:t xml:space="preserve"> עם שר הבריאות.[...]</w:t>
      </w:r>
    </w:p>
    <w:p w:rsidR="005366A8" w:rsidRPr="000F40FF" w:rsidRDefault="005366A8" w:rsidP="005366A8">
      <w:pPr>
        <w:ind w:left="720"/>
        <w:rPr>
          <w:rFonts w:cs="David"/>
          <w:sz w:val="20"/>
          <w:szCs w:val="20"/>
          <w:rtl/>
        </w:rPr>
      </w:pPr>
    </w:p>
    <w:p w:rsidR="005366A8" w:rsidRPr="000F40FF" w:rsidRDefault="005366A8" w:rsidP="005366A8">
      <w:pPr>
        <w:ind w:left="720"/>
        <w:rPr>
          <w:rFonts w:cs="David"/>
          <w:sz w:val="20"/>
          <w:szCs w:val="20"/>
          <w:rtl/>
        </w:rPr>
      </w:pPr>
      <w:r w:rsidRPr="000F40FF">
        <w:rPr>
          <w:rFonts w:cs="David" w:hint="cs"/>
          <w:sz w:val="20"/>
          <w:szCs w:val="20"/>
          <w:rtl/>
        </w:rPr>
        <w:t xml:space="preserve">5. [רשויות הרישוי] </w:t>
      </w:r>
    </w:p>
    <w:p w:rsidR="005366A8" w:rsidRPr="000F40FF" w:rsidRDefault="005366A8" w:rsidP="005366A8">
      <w:pPr>
        <w:rPr>
          <w:rFonts w:cs="David"/>
          <w:sz w:val="20"/>
          <w:szCs w:val="20"/>
          <w:rtl/>
        </w:rPr>
      </w:pPr>
      <w:r w:rsidRPr="000F40FF">
        <w:rPr>
          <w:rFonts w:cs="David" w:hint="cs"/>
          <w:sz w:val="20"/>
          <w:szCs w:val="20"/>
          <w:rtl/>
        </w:rPr>
        <w:t>(א)  רשות הרישוי לעסק טעון רישוי היא -</w:t>
      </w:r>
    </w:p>
    <w:p w:rsidR="005366A8" w:rsidRPr="000F40FF" w:rsidRDefault="005366A8" w:rsidP="005366A8">
      <w:pPr>
        <w:spacing w:after="120"/>
        <w:ind w:left="1440"/>
        <w:rPr>
          <w:rFonts w:cs="David"/>
          <w:sz w:val="20"/>
          <w:szCs w:val="20"/>
          <w:rtl/>
        </w:rPr>
      </w:pPr>
      <w:r w:rsidRPr="000F40FF">
        <w:rPr>
          <w:rFonts w:cs="David" w:hint="cs"/>
          <w:sz w:val="20"/>
          <w:szCs w:val="20"/>
          <w:rtl/>
        </w:rPr>
        <w:t>(1)   בתחום רשות מקומית - ראש הרשות המקומית או מי שהוא הסמיכו לכך; [...]</w:t>
      </w:r>
    </w:p>
    <w:p w:rsidR="005366A8" w:rsidRPr="000F40FF" w:rsidRDefault="005366A8" w:rsidP="005366A8">
      <w:pPr>
        <w:ind w:left="720"/>
        <w:rPr>
          <w:rFonts w:cs="David"/>
          <w:sz w:val="20"/>
          <w:szCs w:val="20"/>
          <w:rtl/>
        </w:rPr>
      </w:pPr>
      <w:r w:rsidRPr="000F40FF">
        <w:rPr>
          <w:rFonts w:cs="David" w:hint="cs"/>
          <w:sz w:val="20"/>
          <w:szCs w:val="20"/>
          <w:rtl/>
        </w:rPr>
        <w:t xml:space="preserve">6ו. [בדיקות עזר] </w:t>
      </w:r>
    </w:p>
    <w:p w:rsidR="005366A8" w:rsidRPr="000F40FF" w:rsidRDefault="005366A8" w:rsidP="005366A8">
      <w:pPr>
        <w:spacing w:after="120"/>
        <w:rPr>
          <w:rFonts w:cs="David"/>
          <w:sz w:val="20"/>
          <w:szCs w:val="20"/>
          <w:rtl/>
        </w:rPr>
      </w:pPr>
      <w:r w:rsidRPr="000F40FF">
        <w:rPr>
          <w:rFonts w:cs="David" w:hint="cs"/>
          <w:sz w:val="20"/>
          <w:szCs w:val="20"/>
          <w:rtl/>
        </w:rPr>
        <w:t>רשות הרישוי או נותן האישור רשאים להסתייע בבעלי מקצוע שקיבלו הסמכה לפי חוק זה, שאינם עובדי מדינה או עובדי הרשויות המקומיות, לענין עמידתו של עסק בתנאים שנקבעו לפי סעיף 7 ובדרישות החוק והתקנות החלים עליו.</w:t>
      </w:r>
    </w:p>
    <w:p w:rsidR="005366A8" w:rsidRPr="000F40FF" w:rsidRDefault="005366A8" w:rsidP="005366A8">
      <w:pPr>
        <w:ind w:left="720"/>
        <w:rPr>
          <w:rFonts w:cs="David"/>
          <w:sz w:val="20"/>
          <w:szCs w:val="20"/>
          <w:rtl/>
        </w:rPr>
      </w:pPr>
      <w:r w:rsidRPr="000F40FF">
        <w:rPr>
          <w:rFonts w:cs="David" w:hint="cs"/>
          <w:sz w:val="20"/>
          <w:szCs w:val="20"/>
          <w:rtl/>
        </w:rPr>
        <w:t xml:space="preserve">7ג. [ביטול רשיון והיתר זמני] </w:t>
      </w:r>
    </w:p>
    <w:p w:rsidR="005366A8" w:rsidRPr="000F40FF" w:rsidRDefault="005366A8" w:rsidP="005366A8">
      <w:pPr>
        <w:ind w:left="720" w:hanging="720"/>
        <w:rPr>
          <w:rFonts w:cs="David"/>
          <w:sz w:val="20"/>
          <w:szCs w:val="20"/>
          <w:rtl/>
        </w:rPr>
      </w:pPr>
      <w:r w:rsidRPr="000F40FF">
        <w:rPr>
          <w:rFonts w:cs="David" w:hint="cs"/>
          <w:sz w:val="20"/>
          <w:szCs w:val="20"/>
          <w:rtl/>
        </w:rPr>
        <w:t>(א)  רשות הרישוי רשאית לבטל רשיון או היתר זמני מיוזמתה היא או מיוזמת נותן האישור.</w:t>
      </w:r>
    </w:p>
    <w:p w:rsidR="005366A8" w:rsidRPr="000F40FF" w:rsidRDefault="005366A8" w:rsidP="005366A8">
      <w:pPr>
        <w:ind w:left="720" w:hanging="720"/>
        <w:rPr>
          <w:rFonts w:cs="David"/>
          <w:sz w:val="20"/>
          <w:szCs w:val="20"/>
          <w:rtl/>
        </w:rPr>
      </w:pPr>
      <w:r w:rsidRPr="000F40FF">
        <w:rPr>
          <w:rFonts w:cs="David" w:hint="cs"/>
          <w:sz w:val="20"/>
          <w:szCs w:val="20"/>
          <w:rtl/>
        </w:rPr>
        <w:t>(ב)  לא יבוטל רשיון או היתר זמני מיוזמתה של רשות הרישוי אלא לאחר התייעצות עם נותן אישור המומקד על קיום מטרה מן המטרות האמורות בסעיף 1(א) שאי קיומה משמש עילה לביטול.</w:t>
      </w:r>
    </w:p>
    <w:p w:rsidR="005366A8" w:rsidRPr="000F40FF" w:rsidRDefault="005366A8" w:rsidP="005366A8">
      <w:pPr>
        <w:ind w:left="720" w:hanging="720"/>
        <w:rPr>
          <w:rFonts w:cs="David"/>
          <w:sz w:val="20"/>
          <w:szCs w:val="20"/>
          <w:rtl/>
        </w:rPr>
      </w:pPr>
      <w:r w:rsidRPr="000F40FF">
        <w:rPr>
          <w:rFonts w:cs="David" w:hint="cs"/>
          <w:sz w:val="20"/>
          <w:szCs w:val="20"/>
          <w:rtl/>
        </w:rPr>
        <w:t>(ג)  לא יבוטל רשיון או היתר זמני אלא לאחר שניתנה לבעל הרשיון  או ההיתר הזמני הזדמנות להשמיע את טענותיו. [...]</w:t>
      </w:r>
    </w:p>
    <w:p w:rsidR="005366A8" w:rsidRPr="000F40FF" w:rsidRDefault="005366A8" w:rsidP="005366A8">
      <w:pPr>
        <w:ind w:left="720"/>
        <w:rPr>
          <w:rFonts w:cs="David"/>
          <w:sz w:val="20"/>
          <w:szCs w:val="20"/>
          <w:rtl/>
        </w:rPr>
      </w:pPr>
    </w:p>
    <w:p w:rsidR="005366A8" w:rsidRPr="000F40FF" w:rsidRDefault="005366A8" w:rsidP="005366A8">
      <w:pPr>
        <w:ind w:left="720"/>
        <w:rPr>
          <w:rFonts w:cs="David"/>
          <w:sz w:val="20"/>
          <w:szCs w:val="20"/>
          <w:rtl/>
        </w:rPr>
      </w:pPr>
      <w:r w:rsidRPr="000F40FF">
        <w:rPr>
          <w:rFonts w:cs="David" w:hint="cs"/>
          <w:sz w:val="20"/>
          <w:szCs w:val="20"/>
          <w:rtl/>
        </w:rPr>
        <w:t xml:space="preserve">10. [(הסמכות להתקין) תקנות בריאות הציבור] </w:t>
      </w:r>
    </w:p>
    <w:p w:rsidR="005366A8" w:rsidRPr="000F40FF" w:rsidRDefault="005366A8" w:rsidP="005366A8">
      <w:pPr>
        <w:spacing w:after="120"/>
        <w:rPr>
          <w:rFonts w:cs="David"/>
          <w:sz w:val="20"/>
          <w:szCs w:val="20"/>
          <w:rtl/>
        </w:rPr>
      </w:pPr>
      <w:r w:rsidRPr="000F40FF">
        <w:rPr>
          <w:rFonts w:cs="David" w:hint="cs"/>
          <w:sz w:val="20"/>
          <w:szCs w:val="20"/>
          <w:rtl/>
        </w:rPr>
        <w:t>(א)  שר הבריאות, בהתייעצות עם השר לאיכות הסביבה, רשאי להתקין לכלל העסקים טעוני הרישוי או לסוגים מהם, תקנות להגנה על בריאות הציבור, לרבות הבטחת תנאי תברואה נאותים ולרבות תקנות שענינן הוראות בנוגע להדרכת מועסקים לצורך הבטחת המטרות האמורות. […]</w:t>
      </w:r>
    </w:p>
    <w:p w:rsidR="005366A8" w:rsidRPr="000F40FF" w:rsidRDefault="005366A8" w:rsidP="005366A8">
      <w:pPr>
        <w:jc w:val="center"/>
        <w:rPr>
          <w:b/>
          <w:bCs/>
          <w:sz w:val="20"/>
          <w:szCs w:val="20"/>
          <w:rtl/>
        </w:rPr>
      </w:pPr>
      <w:r w:rsidRPr="00EB6A71">
        <w:rPr>
          <w:rFonts w:hint="cs"/>
          <w:b/>
          <w:bCs/>
          <w:sz w:val="20"/>
          <w:szCs w:val="20"/>
          <w:highlight w:val="yellow"/>
          <w:rtl/>
        </w:rPr>
        <w:t>פקודת</w:t>
      </w:r>
      <w:r w:rsidRPr="000F40FF">
        <w:rPr>
          <w:rFonts w:hint="cs"/>
          <w:b/>
          <w:bCs/>
          <w:sz w:val="20"/>
          <w:szCs w:val="20"/>
          <w:rtl/>
        </w:rPr>
        <w:t xml:space="preserve"> בריאות הציבור (מזון) [נוסח חדש], התשמ"ג-1983</w:t>
      </w:r>
    </w:p>
    <w:p w:rsidR="005366A8" w:rsidRPr="000F40FF" w:rsidRDefault="005366A8" w:rsidP="005366A8">
      <w:pPr>
        <w:ind w:left="720"/>
        <w:rPr>
          <w:rFonts w:cs="David"/>
          <w:sz w:val="20"/>
          <w:szCs w:val="20"/>
          <w:rtl/>
        </w:rPr>
      </w:pPr>
      <w:r w:rsidRPr="000F40FF">
        <w:rPr>
          <w:rFonts w:hint="cs"/>
          <w:sz w:val="20"/>
          <w:szCs w:val="20"/>
          <w:rtl/>
        </w:rPr>
        <w:t>3</w:t>
      </w:r>
      <w:r w:rsidRPr="000F40FF">
        <w:rPr>
          <w:rFonts w:cs="David" w:hint="cs"/>
          <w:sz w:val="20"/>
          <w:szCs w:val="20"/>
          <w:rtl/>
        </w:rPr>
        <w:t>. [סמכות המנהל להתקין תקנות]</w:t>
      </w:r>
    </w:p>
    <w:p w:rsidR="005366A8" w:rsidRPr="000F40FF" w:rsidRDefault="005366A8" w:rsidP="005366A8">
      <w:pPr>
        <w:rPr>
          <w:rFonts w:ascii="Arial" w:hAnsi="Arial" w:cs="Arial"/>
          <w:b/>
          <w:bCs/>
          <w:sz w:val="20"/>
          <w:szCs w:val="20"/>
          <w:rtl/>
        </w:rPr>
      </w:pPr>
      <w:r w:rsidRPr="000F40FF">
        <w:rPr>
          <w:rFonts w:cs="David" w:hint="cs"/>
          <w:sz w:val="20"/>
          <w:szCs w:val="20"/>
          <w:rtl/>
        </w:rPr>
        <w:t xml:space="preserve">המנהל {מנכ"ל משרד הבריאות}רשאי, באישור שר הבריאות, להתקין תקנות המרשות </w:t>
      </w:r>
      <w:r w:rsidRPr="000F40FF">
        <w:rPr>
          <w:rFonts w:cs="David"/>
          <w:sz w:val="20"/>
          <w:szCs w:val="20"/>
          <w:rtl/>
        </w:rPr>
        <w:t>–</w:t>
      </w:r>
      <w:r w:rsidRPr="000F40FF">
        <w:rPr>
          <w:rFonts w:cs="David" w:hint="cs"/>
          <w:sz w:val="20"/>
          <w:szCs w:val="20"/>
          <w:rtl/>
        </w:rPr>
        <w:t xml:space="preserve"> דרך כלל או ביחס לאזור או למקום שיפורטו - נקיטת אמצעים למניעת סכנה לבריאות הציבור מיבוא, הכנה, החסנה והפצה של מזון שנועד למכירה למאכל אדם, וכן למניעת סימון כוזב של מזון, ובלי לגרוע מכלליות הסמכויות הניתנות בזה, יכולות תקנות כאמור </w:t>
      </w:r>
      <w:r w:rsidRPr="000F40FF">
        <w:rPr>
          <w:rFonts w:cs="David"/>
          <w:sz w:val="20"/>
          <w:szCs w:val="20"/>
          <w:rtl/>
        </w:rPr>
        <w:t>–</w:t>
      </w:r>
      <w:r w:rsidRPr="000F40FF">
        <w:rPr>
          <w:rFonts w:cs="David" w:hint="cs"/>
          <w:sz w:val="20"/>
          <w:szCs w:val="20"/>
          <w:rtl/>
        </w:rPr>
        <w:t xml:space="preserve"> [...]  (2)   להגדיר, לפי הצורך, איכותו, מהותו ותכונותיו של מזון, לפרט תקנים הנדרשים ביחס למזון כאמור ולקבוע איזה חסר ברכיב מן הרכיבים הרגילים של חומר, ואיזו תוספת של דבר זר בחומר או איזה שיעור של מים בו, יהיו לענין פקודה זו ראיה לכך שאין החומר אמיתי או שהוא מזיק לבריאות; […]</w:t>
      </w:r>
    </w:p>
    <w:p w:rsidR="005366A8" w:rsidRDefault="005366A8" w:rsidP="005366A8">
      <w:pPr>
        <w:rPr>
          <w:rFonts w:cs="David"/>
          <w:sz w:val="20"/>
          <w:szCs w:val="20"/>
          <w:rtl/>
        </w:rPr>
      </w:pPr>
    </w:p>
    <w:p w:rsidR="005366A8" w:rsidRPr="001543B0" w:rsidRDefault="005366A8" w:rsidP="005366A8">
      <w:pPr>
        <w:rPr>
          <w:rFonts w:cs="David"/>
          <w:sz w:val="20"/>
          <w:szCs w:val="20"/>
          <w:rtl/>
        </w:rPr>
      </w:pPr>
      <w:r>
        <w:rPr>
          <w:rFonts w:cs="David" w:hint="cs"/>
          <w:sz w:val="20"/>
          <w:szCs w:val="20"/>
          <w:rtl/>
        </w:rPr>
        <w:t>=-=</w:t>
      </w:r>
    </w:p>
    <w:p w:rsidR="005366A8" w:rsidRPr="001543B0" w:rsidRDefault="005366A8" w:rsidP="005366A8">
      <w:pPr>
        <w:pStyle w:val="T-body"/>
        <w:spacing w:after="120" w:line="240" w:lineRule="auto"/>
        <w:ind w:left="720"/>
        <w:rPr>
          <w:rFonts w:cs="David"/>
          <w:b/>
          <w:bCs/>
          <w:sz w:val="20"/>
          <w:szCs w:val="20"/>
          <w:rtl/>
        </w:rPr>
      </w:pPr>
      <w:r w:rsidRPr="00EB6A71">
        <w:rPr>
          <w:rFonts w:cs="David" w:hint="cs"/>
          <w:b/>
          <w:bCs/>
          <w:sz w:val="20"/>
          <w:szCs w:val="20"/>
          <w:highlight w:val="yellow"/>
          <w:rtl/>
        </w:rPr>
        <w:t>חוק יסוד</w:t>
      </w:r>
      <w:r w:rsidRPr="001543B0">
        <w:rPr>
          <w:rFonts w:cs="David" w:hint="cs"/>
          <w:b/>
          <w:bCs/>
          <w:sz w:val="20"/>
          <w:szCs w:val="20"/>
          <w:rtl/>
        </w:rPr>
        <w:t>: הכנסת</w:t>
      </w:r>
    </w:p>
    <w:p w:rsidR="005366A8" w:rsidRPr="001543B0" w:rsidRDefault="005366A8" w:rsidP="005366A8">
      <w:pPr>
        <w:pStyle w:val="T-body"/>
        <w:spacing w:line="240" w:lineRule="auto"/>
        <w:rPr>
          <w:rFonts w:cs="David"/>
          <w:sz w:val="20"/>
          <w:szCs w:val="20"/>
          <w:rtl/>
        </w:rPr>
      </w:pPr>
      <w:r w:rsidRPr="001543B0">
        <w:rPr>
          <w:rFonts w:cs="David" w:hint="cs"/>
          <w:sz w:val="20"/>
          <w:szCs w:val="20"/>
          <w:rtl/>
        </w:rPr>
        <w:tab/>
      </w:r>
      <w:r w:rsidRPr="001543B0">
        <w:rPr>
          <w:rFonts w:cs="David"/>
          <w:sz w:val="20"/>
          <w:szCs w:val="20"/>
          <w:rtl/>
        </w:rPr>
        <w:t xml:space="preserve">1. </w:t>
      </w:r>
      <w:r w:rsidRPr="001543B0">
        <w:rPr>
          <w:rFonts w:cs="David" w:hint="cs"/>
          <w:sz w:val="20"/>
          <w:szCs w:val="20"/>
          <w:rtl/>
        </w:rPr>
        <w:t>[</w:t>
      </w:r>
      <w:r w:rsidRPr="001543B0">
        <w:rPr>
          <w:rFonts w:cs="David"/>
          <w:sz w:val="20"/>
          <w:szCs w:val="20"/>
          <w:rtl/>
        </w:rPr>
        <w:t>המהות</w:t>
      </w:r>
      <w:r w:rsidRPr="001543B0">
        <w:rPr>
          <w:rFonts w:cs="David" w:hint="cs"/>
          <w:sz w:val="20"/>
          <w:szCs w:val="20"/>
          <w:rtl/>
        </w:rPr>
        <w:t>]</w:t>
      </w:r>
      <w:r w:rsidRPr="001543B0">
        <w:rPr>
          <w:rFonts w:cs="David"/>
          <w:sz w:val="20"/>
          <w:szCs w:val="20"/>
          <w:rtl/>
        </w:rPr>
        <w:t xml:space="preserve"> </w:t>
      </w:r>
    </w:p>
    <w:p w:rsidR="005366A8" w:rsidRPr="001543B0" w:rsidRDefault="005366A8" w:rsidP="005366A8">
      <w:pPr>
        <w:pStyle w:val="T-body"/>
        <w:spacing w:after="120" w:line="240" w:lineRule="auto"/>
        <w:rPr>
          <w:rFonts w:cs="David"/>
          <w:sz w:val="20"/>
          <w:szCs w:val="20"/>
          <w:rtl/>
        </w:rPr>
      </w:pPr>
      <w:r w:rsidRPr="001543B0">
        <w:rPr>
          <w:rFonts w:cs="David"/>
          <w:sz w:val="20"/>
          <w:szCs w:val="20"/>
          <w:rtl/>
        </w:rPr>
        <w:t>הכנסת היא בית הנבחרים של המדינה.</w:t>
      </w:r>
    </w:p>
    <w:p w:rsidR="005366A8" w:rsidRPr="001543B0" w:rsidRDefault="005366A8" w:rsidP="005366A8">
      <w:pPr>
        <w:pStyle w:val="T-body"/>
        <w:spacing w:line="240" w:lineRule="auto"/>
        <w:rPr>
          <w:rFonts w:cs="David"/>
          <w:sz w:val="20"/>
          <w:szCs w:val="20"/>
          <w:rtl/>
        </w:rPr>
      </w:pPr>
      <w:r w:rsidRPr="001543B0">
        <w:rPr>
          <w:rFonts w:cs="David" w:hint="cs"/>
          <w:sz w:val="20"/>
          <w:szCs w:val="20"/>
          <w:rtl/>
        </w:rPr>
        <w:tab/>
      </w:r>
      <w:r w:rsidRPr="001543B0">
        <w:rPr>
          <w:rFonts w:cs="David"/>
          <w:sz w:val="20"/>
          <w:szCs w:val="20"/>
          <w:rtl/>
        </w:rPr>
        <w:t xml:space="preserve">4. </w:t>
      </w:r>
      <w:r w:rsidRPr="001543B0">
        <w:rPr>
          <w:rFonts w:cs="David" w:hint="cs"/>
          <w:sz w:val="20"/>
          <w:szCs w:val="20"/>
          <w:rtl/>
        </w:rPr>
        <w:t>[</w:t>
      </w:r>
      <w:r w:rsidRPr="001543B0">
        <w:rPr>
          <w:rFonts w:cs="David"/>
          <w:sz w:val="20"/>
          <w:szCs w:val="20"/>
          <w:rtl/>
        </w:rPr>
        <w:t>שיטת הבחירות</w:t>
      </w:r>
      <w:r w:rsidRPr="001543B0">
        <w:rPr>
          <w:rFonts w:cs="David" w:hint="cs"/>
          <w:sz w:val="20"/>
          <w:szCs w:val="20"/>
          <w:rtl/>
        </w:rPr>
        <w:t>]</w:t>
      </w:r>
    </w:p>
    <w:p w:rsidR="005366A8" w:rsidRPr="001543B0" w:rsidRDefault="005366A8" w:rsidP="005366A8">
      <w:pPr>
        <w:pStyle w:val="T-body"/>
        <w:spacing w:after="120" w:line="240" w:lineRule="auto"/>
        <w:rPr>
          <w:rFonts w:cs="David"/>
          <w:sz w:val="20"/>
          <w:szCs w:val="20"/>
          <w:rtl/>
        </w:rPr>
      </w:pPr>
      <w:r w:rsidRPr="001543B0">
        <w:rPr>
          <w:rFonts w:cs="David"/>
          <w:sz w:val="20"/>
          <w:szCs w:val="20"/>
          <w:rtl/>
        </w:rPr>
        <w:t>הכנסת תיבחר בבחירות כלליות, ארציות, ישירות, שוות, חשאיות ויחסיות, לפי חוק הבחירות לכנסת; אין לשנות סעיף זה, אלא ברוב של חברי הכנסת.</w:t>
      </w:r>
    </w:p>
    <w:p w:rsidR="005366A8" w:rsidRPr="001543B0" w:rsidRDefault="005366A8" w:rsidP="005366A8">
      <w:pPr>
        <w:pStyle w:val="T-body"/>
        <w:spacing w:line="240" w:lineRule="auto"/>
        <w:ind w:left="720"/>
        <w:rPr>
          <w:rFonts w:cs="David"/>
          <w:sz w:val="20"/>
          <w:szCs w:val="20"/>
          <w:rtl/>
        </w:rPr>
      </w:pPr>
      <w:r w:rsidRPr="001543B0">
        <w:rPr>
          <w:rFonts w:cs="David"/>
          <w:sz w:val="20"/>
          <w:szCs w:val="20"/>
          <w:rtl/>
        </w:rPr>
        <w:t xml:space="preserve">5. </w:t>
      </w:r>
      <w:r w:rsidRPr="001543B0">
        <w:rPr>
          <w:rFonts w:cs="David" w:hint="cs"/>
          <w:sz w:val="20"/>
          <w:szCs w:val="20"/>
          <w:rtl/>
        </w:rPr>
        <w:t>[</w:t>
      </w:r>
      <w:r w:rsidRPr="001543B0">
        <w:rPr>
          <w:rFonts w:cs="David"/>
          <w:sz w:val="20"/>
          <w:szCs w:val="20"/>
          <w:rtl/>
        </w:rPr>
        <w:t>הזכות לבחור</w:t>
      </w:r>
      <w:r w:rsidRPr="001543B0">
        <w:rPr>
          <w:rFonts w:cs="David" w:hint="cs"/>
          <w:sz w:val="20"/>
          <w:szCs w:val="20"/>
          <w:rtl/>
        </w:rPr>
        <w:t>]</w:t>
      </w:r>
    </w:p>
    <w:p w:rsidR="005366A8" w:rsidRPr="001543B0" w:rsidRDefault="005366A8" w:rsidP="005366A8">
      <w:pPr>
        <w:pStyle w:val="T-body"/>
        <w:spacing w:after="120" w:line="240" w:lineRule="auto"/>
        <w:rPr>
          <w:rFonts w:cs="David"/>
          <w:sz w:val="20"/>
          <w:szCs w:val="20"/>
          <w:rtl/>
        </w:rPr>
      </w:pPr>
      <w:r w:rsidRPr="001543B0">
        <w:rPr>
          <w:rFonts w:cs="David"/>
          <w:sz w:val="20"/>
          <w:szCs w:val="20"/>
          <w:rtl/>
        </w:rPr>
        <w:t xml:space="preserve"> כל  אזרח  ישראלי  בן  שמונה  עשרה שנה ומעלה זכאי לבחור לכנסת, אם בית-משפט לא</w:t>
      </w:r>
      <w:r w:rsidRPr="001543B0">
        <w:rPr>
          <w:rFonts w:cs="David" w:hint="cs"/>
          <w:sz w:val="20"/>
          <w:szCs w:val="20"/>
          <w:rtl/>
        </w:rPr>
        <w:t xml:space="preserve"> </w:t>
      </w:r>
      <w:r w:rsidRPr="001543B0">
        <w:rPr>
          <w:rFonts w:cs="David"/>
          <w:sz w:val="20"/>
          <w:szCs w:val="20"/>
          <w:rtl/>
        </w:rPr>
        <w:t xml:space="preserve"> שלל  ממנו  זכות  זו  על  פי  חוק; חוק הבחירות יקבע את המועד שבו ייחשב אדם בן שמונה עשרה שנה לענין השימוש בזכות הבחירה לכנסת.</w:t>
      </w:r>
    </w:p>
    <w:p w:rsidR="005366A8" w:rsidRPr="001543B0" w:rsidRDefault="005366A8" w:rsidP="005366A8">
      <w:pPr>
        <w:pStyle w:val="T-body"/>
        <w:spacing w:line="240" w:lineRule="auto"/>
        <w:rPr>
          <w:rFonts w:cs="David"/>
          <w:sz w:val="20"/>
          <w:szCs w:val="20"/>
          <w:rtl/>
        </w:rPr>
      </w:pPr>
      <w:r w:rsidRPr="001543B0">
        <w:rPr>
          <w:rFonts w:cs="David" w:hint="cs"/>
          <w:sz w:val="20"/>
          <w:szCs w:val="20"/>
          <w:rtl/>
        </w:rPr>
        <w:tab/>
      </w:r>
      <w:r w:rsidRPr="001543B0">
        <w:rPr>
          <w:rFonts w:cs="David"/>
          <w:sz w:val="20"/>
          <w:szCs w:val="20"/>
          <w:rtl/>
        </w:rPr>
        <w:t xml:space="preserve">25. </w:t>
      </w:r>
      <w:r w:rsidRPr="001543B0">
        <w:rPr>
          <w:rFonts w:cs="David" w:hint="cs"/>
          <w:sz w:val="20"/>
          <w:szCs w:val="20"/>
          <w:rtl/>
        </w:rPr>
        <w:t>[</w:t>
      </w:r>
      <w:r w:rsidRPr="001543B0">
        <w:rPr>
          <w:rFonts w:cs="David"/>
          <w:sz w:val="20"/>
          <w:szCs w:val="20"/>
          <w:rtl/>
        </w:rPr>
        <w:t>רוב</w:t>
      </w:r>
      <w:r w:rsidRPr="001543B0">
        <w:rPr>
          <w:rFonts w:cs="David" w:hint="cs"/>
          <w:sz w:val="20"/>
          <w:szCs w:val="20"/>
          <w:rtl/>
        </w:rPr>
        <w:t>]</w:t>
      </w:r>
    </w:p>
    <w:p w:rsidR="005366A8" w:rsidRPr="001543B0" w:rsidRDefault="005366A8" w:rsidP="005366A8">
      <w:pPr>
        <w:pStyle w:val="T-body"/>
        <w:spacing w:line="240" w:lineRule="auto"/>
        <w:rPr>
          <w:rFonts w:cs="David"/>
          <w:sz w:val="20"/>
          <w:szCs w:val="20"/>
          <w:rtl/>
        </w:rPr>
      </w:pPr>
      <w:r w:rsidRPr="001543B0">
        <w:rPr>
          <w:rFonts w:cs="David"/>
          <w:sz w:val="20"/>
          <w:szCs w:val="20"/>
          <w:rtl/>
        </w:rPr>
        <w:t xml:space="preserve"> הכנסת  תחליט  ברוב  דעות  של  המשתתפים  בהצבעה, כשהנמנעים  אינם  באים במנין המשתתפים בהצבעה;</w:t>
      </w:r>
      <w:r w:rsidRPr="001543B0">
        <w:rPr>
          <w:rFonts w:cs="David" w:hint="cs"/>
          <w:sz w:val="20"/>
          <w:szCs w:val="20"/>
          <w:rtl/>
        </w:rPr>
        <w:t xml:space="preserve"> </w:t>
      </w:r>
      <w:r w:rsidRPr="001543B0">
        <w:rPr>
          <w:rFonts w:cs="David"/>
          <w:sz w:val="20"/>
          <w:szCs w:val="20"/>
          <w:rtl/>
        </w:rPr>
        <w:t>סדרי ההצבעה ייקבעו בתקנון; והכל כשאין בחוק הוראה אחרת לענין זה.</w:t>
      </w:r>
    </w:p>
    <w:p w:rsidR="005366A8" w:rsidRPr="001543B0" w:rsidRDefault="005366A8" w:rsidP="005366A8">
      <w:pPr>
        <w:pStyle w:val="T-body"/>
        <w:spacing w:line="240" w:lineRule="auto"/>
        <w:rPr>
          <w:rFonts w:cs="David"/>
          <w:sz w:val="20"/>
          <w:szCs w:val="20"/>
          <w:rtl/>
        </w:rPr>
      </w:pPr>
    </w:p>
    <w:p w:rsidR="005366A8" w:rsidRDefault="005366A8" w:rsidP="005366A8">
      <w:pPr>
        <w:pStyle w:val="T-body"/>
        <w:spacing w:line="240" w:lineRule="auto"/>
        <w:rPr>
          <w:rFonts w:ascii="Arial" w:hAnsi="Arial" w:cs="Arial"/>
          <w:sz w:val="20"/>
          <w:szCs w:val="20"/>
          <w:rtl/>
        </w:rPr>
      </w:pPr>
    </w:p>
    <w:p w:rsidR="005366A8" w:rsidRPr="009F5777" w:rsidRDefault="005366A8" w:rsidP="005366A8">
      <w:pPr>
        <w:pStyle w:val="T-body"/>
        <w:spacing w:line="240" w:lineRule="auto"/>
        <w:ind w:left="720"/>
        <w:rPr>
          <w:rFonts w:ascii="Arial" w:hAnsi="Arial" w:cs="David"/>
          <w:b/>
          <w:bCs/>
          <w:sz w:val="20"/>
          <w:szCs w:val="20"/>
          <w:rtl/>
        </w:rPr>
      </w:pPr>
      <w:r w:rsidRPr="009F5777">
        <w:rPr>
          <w:rFonts w:ascii="Arial" w:hAnsi="Arial" w:cs="David" w:hint="cs"/>
          <w:b/>
          <w:bCs/>
          <w:sz w:val="20"/>
          <w:szCs w:val="20"/>
          <w:highlight w:val="yellow"/>
          <w:rtl/>
        </w:rPr>
        <w:t>חוק יסוד</w:t>
      </w:r>
      <w:r w:rsidRPr="009F5777">
        <w:rPr>
          <w:rFonts w:ascii="Arial" w:hAnsi="Arial" w:cs="David" w:hint="cs"/>
          <w:b/>
          <w:bCs/>
          <w:sz w:val="20"/>
          <w:szCs w:val="20"/>
          <w:rtl/>
        </w:rPr>
        <w:t>: הממשלה</w:t>
      </w:r>
    </w:p>
    <w:p w:rsidR="005366A8" w:rsidRPr="009F5777" w:rsidRDefault="005366A8" w:rsidP="005366A8">
      <w:pPr>
        <w:spacing w:line="288" w:lineRule="auto"/>
        <w:rPr>
          <w:rFonts w:cs="David"/>
          <w:sz w:val="20"/>
          <w:szCs w:val="20"/>
          <w:rtl/>
        </w:rPr>
      </w:pPr>
    </w:p>
    <w:p w:rsidR="005366A8" w:rsidRPr="009F5777" w:rsidRDefault="005366A8" w:rsidP="005366A8">
      <w:pPr>
        <w:spacing w:line="288" w:lineRule="auto"/>
        <w:ind w:left="720"/>
        <w:rPr>
          <w:rFonts w:cs="David"/>
          <w:sz w:val="20"/>
          <w:szCs w:val="20"/>
          <w:rtl/>
        </w:rPr>
      </w:pPr>
      <w:r w:rsidRPr="009F5777">
        <w:rPr>
          <w:rFonts w:cs="David"/>
          <w:sz w:val="20"/>
          <w:szCs w:val="20"/>
          <w:rtl/>
        </w:rPr>
        <w:t xml:space="preserve"> 34. </w:t>
      </w:r>
      <w:r>
        <w:rPr>
          <w:rFonts w:cs="David" w:hint="cs"/>
          <w:sz w:val="20"/>
          <w:szCs w:val="20"/>
          <w:rtl/>
        </w:rPr>
        <w:t>[</w:t>
      </w:r>
      <w:r w:rsidRPr="009F5777">
        <w:rPr>
          <w:rFonts w:cs="David"/>
          <w:sz w:val="20"/>
          <w:szCs w:val="20"/>
          <w:rtl/>
        </w:rPr>
        <w:t>נטילת סמכויות</w:t>
      </w:r>
      <w:r>
        <w:rPr>
          <w:rFonts w:cs="David" w:hint="cs"/>
          <w:sz w:val="20"/>
          <w:szCs w:val="20"/>
          <w:rtl/>
        </w:rPr>
        <w:t>]</w:t>
      </w:r>
    </w:p>
    <w:p w:rsidR="005366A8" w:rsidRPr="009F5777" w:rsidRDefault="005366A8" w:rsidP="005366A8">
      <w:pPr>
        <w:spacing w:line="288" w:lineRule="auto"/>
        <w:rPr>
          <w:rFonts w:cs="David"/>
          <w:sz w:val="20"/>
          <w:szCs w:val="20"/>
          <w:rtl/>
        </w:rPr>
      </w:pPr>
      <w:r w:rsidRPr="009F5777">
        <w:rPr>
          <w:rFonts w:cs="David"/>
          <w:sz w:val="20"/>
          <w:szCs w:val="20"/>
          <w:rtl/>
        </w:rPr>
        <w:t>שר הממונה על ביצועו של חוק רשאי ליטול לעצמו כל סמכות, למעט סמכות בעלת אופי שיפוטי, הנתונה על פי אותו חוק לעובד המדינה, אם אין כוונה אחרת משתמעת מן החוק;</w:t>
      </w:r>
      <w:r>
        <w:rPr>
          <w:rFonts w:cs="David" w:hint="cs"/>
          <w:sz w:val="20"/>
          <w:szCs w:val="20"/>
          <w:rtl/>
        </w:rPr>
        <w:t xml:space="preserve"> </w:t>
      </w:r>
      <w:r w:rsidRPr="009F5777">
        <w:rPr>
          <w:rFonts w:cs="David"/>
          <w:sz w:val="20"/>
          <w:szCs w:val="20"/>
          <w:rtl/>
        </w:rPr>
        <w:t xml:space="preserve">השר רשאי לעשות כאמור לענין מסוים או לתקופה מסוימת. </w:t>
      </w:r>
    </w:p>
    <w:p w:rsidR="005366A8" w:rsidRDefault="005366A8" w:rsidP="005366A8">
      <w:pPr>
        <w:pStyle w:val="T-body"/>
        <w:spacing w:line="240" w:lineRule="auto"/>
        <w:rPr>
          <w:rFonts w:ascii="Arial" w:hAnsi="Arial" w:cs="Arial"/>
          <w:sz w:val="20"/>
          <w:szCs w:val="20"/>
          <w:rtl/>
        </w:rPr>
      </w:pPr>
    </w:p>
    <w:p w:rsidR="005366A8" w:rsidRPr="001543B0" w:rsidRDefault="005366A8" w:rsidP="005366A8">
      <w:pPr>
        <w:pStyle w:val="T-body"/>
        <w:spacing w:line="240" w:lineRule="auto"/>
        <w:rPr>
          <w:rFonts w:ascii="Arial" w:hAnsi="Arial" w:cs="Arial"/>
          <w:sz w:val="20"/>
          <w:szCs w:val="20"/>
          <w:rtl/>
        </w:rPr>
      </w:pPr>
    </w:p>
    <w:p w:rsidR="005366A8" w:rsidRPr="001543B0" w:rsidRDefault="005366A8" w:rsidP="005366A8">
      <w:pPr>
        <w:spacing w:after="120"/>
        <w:ind w:left="720"/>
        <w:rPr>
          <w:rFonts w:cs="David"/>
          <w:b/>
          <w:bCs/>
          <w:sz w:val="20"/>
          <w:szCs w:val="20"/>
          <w:rtl/>
        </w:rPr>
      </w:pPr>
      <w:r w:rsidRPr="00EB6A71">
        <w:rPr>
          <w:rFonts w:cs="David"/>
          <w:b/>
          <w:bCs/>
          <w:sz w:val="20"/>
          <w:szCs w:val="20"/>
          <w:highlight w:val="yellow"/>
          <w:rtl/>
        </w:rPr>
        <w:t>חוק יסוד</w:t>
      </w:r>
      <w:r w:rsidRPr="001543B0">
        <w:rPr>
          <w:rFonts w:cs="David"/>
          <w:b/>
          <w:bCs/>
          <w:sz w:val="20"/>
          <w:szCs w:val="20"/>
          <w:rtl/>
        </w:rPr>
        <w:t>: כבוד האדם וחירותו</w:t>
      </w:r>
    </w:p>
    <w:p w:rsidR="005366A8" w:rsidRPr="001543B0" w:rsidRDefault="005366A8" w:rsidP="005366A8">
      <w:pPr>
        <w:rPr>
          <w:rFonts w:cs="David"/>
          <w:sz w:val="20"/>
          <w:szCs w:val="20"/>
          <w:rtl/>
        </w:rPr>
      </w:pPr>
      <w:r w:rsidRPr="001543B0">
        <w:rPr>
          <w:rFonts w:cs="David" w:hint="cs"/>
          <w:sz w:val="20"/>
          <w:szCs w:val="20"/>
          <w:rtl/>
        </w:rPr>
        <w:tab/>
        <w:t>8. [</w:t>
      </w:r>
      <w:r>
        <w:rPr>
          <w:rFonts w:cs="David" w:hint="cs"/>
          <w:sz w:val="20"/>
          <w:szCs w:val="20"/>
          <w:rtl/>
        </w:rPr>
        <w:t xml:space="preserve">פגיעה בזכויות </w:t>
      </w:r>
      <w:r w:rsidRPr="00FE2787">
        <w:rPr>
          <w:sz w:val="20"/>
          <w:szCs w:val="20"/>
          <w:rtl/>
        </w:rPr>
        <w:t>(פסקת ההגבלה)</w:t>
      </w:r>
      <w:r w:rsidRPr="001543B0">
        <w:rPr>
          <w:rFonts w:cs="David" w:hint="cs"/>
          <w:sz w:val="20"/>
          <w:szCs w:val="20"/>
          <w:rtl/>
        </w:rPr>
        <w:t>]</w:t>
      </w:r>
    </w:p>
    <w:p w:rsidR="005366A8" w:rsidRPr="001543B0" w:rsidRDefault="005366A8" w:rsidP="005366A8">
      <w:pPr>
        <w:rPr>
          <w:rFonts w:cs="David"/>
          <w:sz w:val="20"/>
          <w:szCs w:val="20"/>
          <w:rtl/>
        </w:rPr>
      </w:pPr>
      <w:r w:rsidRPr="001543B0">
        <w:rPr>
          <w:rFonts w:cs="David"/>
          <w:sz w:val="20"/>
          <w:szCs w:val="20"/>
          <w:rtl/>
        </w:rPr>
        <w:t>אין פוגעים בזכויות שלפי חוק-יסוד זה אלא בחוק ההולם את ערכיה של מדינת ישראל, שנועד לתכלית ראויה, ובמידה שאינה עולה על הנדרש או לפי חוק כאמור מכוח הסמכה מפורשת בו.</w:t>
      </w:r>
    </w:p>
    <w:p w:rsidR="005366A8" w:rsidRPr="00B221AF" w:rsidRDefault="005366A8" w:rsidP="005366A8">
      <w:pPr>
        <w:rPr>
          <w:rFonts w:cs="David"/>
          <w:b/>
          <w:bCs/>
          <w:sz w:val="20"/>
          <w:szCs w:val="20"/>
          <w:rtl/>
        </w:rPr>
      </w:pPr>
    </w:p>
    <w:p w:rsidR="005366A8" w:rsidRPr="00B221AF" w:rsidRDefault="005366A8" w:rsidP="005366A8">
      <w:pPr>
        <w:ind w:left="720"/>
        <w:rPr>
          <w:rFonts w:cs="David"/>
          <w:b/>
          <w:bCs/>
          <w:sz w:val="20"/>
          <w:szCs w:val="20"/>
          <w:rtl/>
        </w:rPr>
      </w:pPr>
      <w:r w:rsidRPr="00B221AF">
        <w:rPr>
          <w:rFonts w:cs="David"/>
          <w:b/>
          <w:bCs/>
          <w:sz w:val="20"/>
          <w:szCs w:val="20"/>
          <w:rtl/>
        </w:rPr>
        <w:t xml:space="preserve">10. </w:t>
      </w:r>
      <w:r>
        <w:rPr>
          <w:rFonts w:cs="David" w:hint="cs"/>
          <w:b/>
          <w:bCs/>
          <w:sz w:val="20"/>
          <w:szCs w:val="20"/>
          <w:rtl/>
        </w:rPr>
        <w:t>[</w:t>
      </w:r>
      <w:r w:rsidRPr="00B221AF">
        <w:rPr>
          <w:rFonts w:cs="David"/>
          <w:sz w:val="20"/>
          <w:szCs w:val="20"/>
          <w:rtl/>
        </w:rPr>
        <w:t>שמירת דינים</w:t>
      </w:r>
      <w:r>
        <w:rPr>
          <w:rFonts w:cs="David" w:hint="cs"/>
          <w:sz w:val="20"/>
          <w:szCs w:val="20"/>
          <w:rtl/>
        </w:rPr>
        <w:t>]</w:t>
      </w:r>
      <w:r w:rsidRPr="00B221AF">
        <w:rPr>
          <w:rFonts w:cs="David"/>
          <w:b/>
          <w:bCs/>
          <w:sz w:val="20"/>
          <w:szCs w:val="20"/>
          <w:rtl/>
        </w:rPr>
        <w:t xml:space="preserve"> </w:t>
      </w:r>
    </w:p>
    <w:p w:rsidR="005366A8" w:rsidRPr="00EB6A71" w:rsidRDefault="005366A8" w:rsidP="005366A8">
      <w:pPr>
        <w:pStyle w:val="T-body"/>
        <w:spacing w:line="240" w:lineRule="auto"/>
        <w:rPr>
          <w:rFonts w:cs="David"/>
          <w:sz w:val="20"/>
          <w:szCs w:val="20"/>
          <w:rtl/>
        </w:rPr>
      </w:pPr>
      <w:r w:rsidRPr="00EB6A71">
        <w:rPr>
          <w:rFonts w:cs="David"/>
          <w:sz w:val="20"/>
          <w:szCs w:val="20"/>
          <w:rtl/>
        </w:rPr>
        <w:t>אין בחוק-יסוד זה כדי לפגוע בתקפו של דין שהיה קיים ערב תחילתו של חוק-היסוד.</w:t>
      </w:r>
    </w:p>
    <w:p w:rsidR="005366A8" w:rsidRDefault="005366A8" w:rsidP="005366A8">
      <w:pPr>
        <w:pStyle w:val="T-body"/>
        <w:spacing w:line="240" w:lineRule="auto"/>
        <w:rPr>
          <w:rFonts w:cs="David"/>
          <w:sz w:val="20"/>
          <w:szCs w:val="20"/>
          <w:rtl/>
        </w:rPr>
      </w:pPr>
    </w:p>
    <w:p w:rsidR="005366A8" w:rsidRDefault="005366A8" w:rsidP="005366A8">
      <w:pPr>
        <w:pStyle w:val="T-body"/>
        <w:spacing w:line="240" w:lineRule="auto"/>
        <w:rPr>
          <w:rFonts w:cs="David"/>
          <w:sz w:val="20"/>
          <w:szCs w:val="20"/>
          <w:rtl/>
        </w:rPr>
      </w:pPr>
    </w:p>
    <w:p w:rsidR="005366A8" w:rsidRPr="001543B0" w:rsidRDefault="005366A8" w:rsidP="005366A8">
      <w:pPr>
        <w:spacing w:after="120"/>
        <w:ind w:left="720"/>
        <w:rPr>
          <w:rFonts w:cs="David"/>
          <w:b/>
          <w:bCs/>
          <w:sz w:val="20"/>
          <w:szCs w:val="20"/>
          <w:rtl/>
        </w:rPr>
      </w:pPr>
      <w:r w:rsidRPr="00EB6A71">
        <w:rPr>
          <w:rFonts w:cs="David"/>
          <w:b/>
          <w:bCs/>
          <w:sz w:val="20"/>
          <w:szCs w:val="20"/>
          <w:highlight w:val="yellow"/>
          <w:rtl/>
        </w:rPr>
        <w:t>חוק יסוד</w:t>
      </w:r>
      <w:r w:rsidRPr="001543B0">
        <w:rPr>
          <w:rFonts w:cs="David"/>
          <w:b/>
          <w:bCs/>
          <w:sz w:val="20"/>
          <w:szCs w:val="20"/>
          <w:rtl/>
        </w:rPr>
        <w:t xml:space="preserve">: </w:t>
      </w:r>
      <w:r>
        <w:rPr>
          <w:rFonts w:cs="David" w:hint="cs"/>
          <w:b/>
          <w:bCs/>
          <w:sz w:val="20"/>
          <w:szCs w:val="20"/>
          <w:rtl/>
        </w:rPr>
        <w:t>חופש העיסוק</w:t>
      </w:r>
    </w:p>
    <w:p w:rsidR="005366A8" w:rsidRDefault="005366A8" w:rsidP="005366A8">
      <w:pPr>
        <w:ind w:left="720"/>
        <w:rPr>
          <w:rFonts w:cs="David"/>
          <w:sz w:val="20"/>
          <w:szCs w:val="20"/>
          <w:rtl/>
        </w:rPr>
      </w:pPr>
      <w:r>
        <w:rPr>
          <w:rFonts w:cs="David" w:hint="cs"/>
          <w:sz w:val="20"/>
          <w:szCs w:val="20"/>
          <w:rtl/>
        </w:rPr>
        <w:t>3. [חופש העיסוק]</w:t>
      </w:r>
    </w:p>
    <w:p w:rsidR="005366A8" w:rsidRDefault="005366A8" w:rsidP="005366A8">
      <w:pPr>
        <w:spacing w:after="120"/>
        <w:rPr>
          <w:rFonts w:cs="David"/>
          <w:sz w:val="20"/>
          <w:szCs w:val="20"/>
          <w:rtl/>
        </w:rPr>
      </w:pPr>
      <w:r w:rsidRPr="008F059E">
        <w:rPr>
          <w:rFonts w:cs="David"/>
          <w:sz w:val="20"/>
          <w:szCs w:val="20"/>
          <w:rtl/>
        </w:rPr>
        <w:t>כל אזרח או תושב של המדינה זכאי לעסוק בכל עיסוק, מקצוע או משלח יד.</w:t>
      </w:r>
    </w:p>
    <w:p w:rsidR="005366A8" w:rsidRPr="001543B0" w:rsidRDefault="005366A8" w:rsidP="005366A8">
      <w:pPr>
        <w:rPr>
          <w:rFonts w:cs="David"/>
          <w:sz w:val="20"/>
          <w:szCs w:val="20"/>
          <w:rtl/>
        </w:rPr>
      </w:pPr>
      <w:r w:rsidRPr="001543B0">
        <w:rPr>
          <w:rFonts w:cs="David" w:hint="cs"/>
          <w:sz w:val="20"/>
          <w:szCs w:val="20"/>
          <w:rtl/>
        </w:rPr>
        <w:tab/>
      </w:r>
      <w:r>
        <w:rPr>
          <w:rFonts w:cs="David" w:hint="cs"/>
          <w:sz w:val="20"/>
          <w:szCs w:val="20"/>
          <w:rtl/>
        </w:rPr>
        <w:t>4</w:t>
      </w:r>
      <w:r w:rsidRPr="001543B0">
        <w:rPr>
          <w:rFonts w:cs="David" w:hint="cs"/>
          <w:sz w:val="20"/>
          <w:szCs w:val="20"/>
          <w:rtl/>
        </w:rPr>
        <w:t>. [</w:t>
      </w:r>
      <w:r>
        <w:rPr>
          <w:rFonts w:cs="David" w:hint="cs"/>
          <w:sz w:val="20"/>
          <w:szCs w:val="20"/>
          <w:rtl/>
        </w:rPr>
        <w:t>פגיעה בחופש העיסוק</w:t>
      </w:r>
      <w:r>
        <w:rPr>
          <w:rFonts w:hint="cs"/>
          <w:sz w:val="20"/>
          <w:szCs w:val="20"/>
          <w:rtl/>
        </w:rPr>
        <w:t xml:space="preserve"> </w:t>
      </w:r>
      <w:r w:rsidRPr="00FE2787">
        <w:rPr>
          <w:sz w:val="20"/>
          <w:szCs w:val="20"/>
          <w:rtl/>
        </w:rPr>
        <w:t>(פסקת ההגבלה)</w:t>
      </w:r>
      <w:r w:rsidRPr="001543B0">
        <w:rPr>
          <w:rFonts w:cs="David" w:hint="cs"/>
          <w:sz w:val="20"/>
          <w:szCs w:val="20"/>
          <w:rtl/>
        </w:rPr>
        <w:t>]</w:t>
      </w:r>
    </w:p>
    <w:p w:rsidR="005366A8" w:rsidRPr="001543B0" w:rsidRDefault="005366A8" w:rsidP="005366A8">
      <w:pPr>
        <w:rPr>
          <w:rFonts w:cs="David"/>
          <w:sz w:val="20"/>
          <w:szCs w:val="20"/>
          <w:rtl/>
        </w:rPr>
      </w:pPr>
      <w:r w:rsidRPr="00FE2787">
        <w:rPr>
          <w:rFonts w:cs="David"/>
          <w:sz w:val="20"/>
          <w:szCs w:val="20"/>
          <w:rtl/>
        </w:rPr>
        <w:t>אין פוגעים בחופש העיסוק אלא בחוק ההולם את ערכיה של מדינת ישראל, שנועד לתכלית ראויה, ובמידה שאינה עולה על הנדרש, או לפי</w:t>
      </w:r>
      <w:r>
        <w:rPr>
          <w:rFonts w:cs="David"/>
          <w:sz w:val="20"/>
          <w:szCs w:val="20"/>
          <w:rtl/>
        </w:rPr>
        <w:t xml:space="preserve"> חוק כאמור מכוח הסמכה מפורשת בו</w:t>
      </w:r>
      <w:r w:rsidRPr="001543B0">
        <w:rPr>
          <w:rFonts w:cs="David"/>
          <w:sz w:val="20"/>
          <w:szCs w:val="20"/>
          <w:rtl/>
        </w:rPr>
        <w:t>.</w:t>
      </w:r>
    </w:p>
    <w:p w:rsidR="005366A8" w:rsidRDefault="005366A8" w:rsidP="005366A8">
      <w:pPr>
        <w:pStyle w:val="T-body"/>
        <w:spacing w:line="240" w:lineRule="auto"/>
        <w:rPr>
          <w:rFonts w:cs="David"/>
          <w:sz w:val="20"/>
          <w:szCs w:val="20"/>
          <w:rtl/>
        </w:rPr>
      </w:pPr>
    </w:p>
    <w:p w:rsidR="005366A8" w:rsidRDefault="005366A8" w:rsidP="005366A8">
      <w:pPr>
        <w:rPr>
          <w:rFonts w:ascii="Arial" w:hAnsi="Arial" w:cs="Arial"/>
          <w:b/>
          <w:bCs/>
          <w:sz w:val="22"/>
          <w:szCs w:val="22"/>
          <w:rtl/>
        </w:rPr>
      </w:pPr>
    </w:p>
    <w:p w:rsidR="005366A8" w:rsidRDefault="005366A8" w:rsidP="005366A8">
      <w:pPr>
        <w:rPr>
          <w:rFonts w:cs="David"/>
          <w:sz w:val="20"/>
          <w:szCs w:val="20"/>
          <w:rtl/>
        </w:rPr>
      </w:pPr>
      <w:r w:rsidRPr="001543B0">
        <w:rPr>
          <w:rFonts w:cs="David" w:hint="cs"/>
          <w:sz w:val="20"/>
          <w:szCs w:val="20"/>
          <w:rtl/>
        </w:rPr>
        <w:t>=-=</w:t>
      </w:r>
    </w:p>
    <w:p w:rsidR="005366A8" w:rsidRPr="00D67B58" w:rsidRDefault="005366A8" w:rsidP="005366A8">
      <w:pPr>
        <w:rPr>
          <w:rFonts w:ascii="Arial" w:hAnsi="Arial" w:cs="Arial"/>
          <w:b/>
          <w:bCs/>
          <w:u w:val="single"/>
          <w:rtl/>
        </w:rPr>
      </w:pPr>
      <w:r>
        <w:rPr>
          <w:rFonts w:ascii="Arial" w:hAnsi="Arial" w:cs="Arial" w:hint="cs"/>
          <w:b/>
          <w:bCs/>
          <w:highlight w:val="yellow"/>
          <w:u w:val="single"/>
          <w:rtl/>
        </w:rPr>
        <w:t>"</w:t>
      </w:r>
      <w:r w:rsidRPr="00D67B58">
        <w:rPr>
          <w:rFonts w:ascii="Arial" w:hAnsi="Arial" w:cs="Arial"/>
          <w:b/>
          <w:bCs/>
          <w:highlight w:val="yellow"/>
          <w:u w:val="single"/>
          <w:rtl/>
        </w:rPr>
        <w:t>שלטון החוק</w:t>
      </w:r>
      <w:r w:rsidRPr="00D67B58">
        <w:rPr>
          <w:rFonts w:ascii="Arial" w:hAnsi="Arial" w:cs="Arial" w:hint="cs"/>
          <w:b/>
          <w:bCs/>
          <w:highlight w:val="yellow"/>
          <w:u w:val="single"/>
          <w:rtl/>
        </w:rPr>
        <w:t>"</w:t>
      </w:r>
    </w:p>
    <w:p w:rsidR="005366A8" w:rsidRDefault="005366A8" w:rsidP="005366A8">
      <w:pPr>
        <w:rPr>
          <w:rFonts w:ascii="Arial" w:hAnsi="Arial" w:cs="Arial"/>
          <w:sz w:val="22"/>
          <w:szCs w:val="22"/>
          <w:highlight w:val="yellow"/>
          <w:u w:val="single"/>
          <w:rtl/>
        </w:rPr>
      </w:pPr>
    </w:p>
    <w:p w:rsidR="005366A8" w:rsidRPr="00E61C71" w:rsidRDefault="005366A8" w:rsidP="005366A8">
      <w:pPr>
        <w:jc w:val="center"/>
        <w:rPr>
          <w:rFonts w:ascii="Arial" w:hAnsi="Arial" w:cs="Arial"/>
          <w:sz w:val="22"/>
          <w:szCs w:val="22"/>
          <w:u w:val="single"/>
          <w:rtl/>
        </w:rPr>
      </w:pPr>
      <w:r w:rsidRPr="00C90DB8">
        <w:rPr>
          <w:rFonts w:ascii="Arial" w:hAnsi="Arial" w:cs="Arial"/>
          <w:sz w:val="22"/>
          <w:szCs w:val="22"/>
          <w:highlight w:val="yellow"/>
          <w:u w:val="single"/>
          <w:rtl/>
        </w:rPr>
        <w:t xml:space="preserve">בג"צ 5100/94 </w:t>
      </w:r>
      <w:r w:rsidRPr="00C90DB8">
        <w:rPr>
          <w:rFonts w:ascii="Arial" w:hAnsi="Arial" w:cs="Arial"/>
          <w:b/>
          <w:bCs/>
          <w:sz w:val="22"/>
          <w:szCs w:val="22"/>
          <w:highlight w:val="yellow"/>
          <w:u w:val="single"/>
          <w:rtl/>
        </w:rPr>
        <w:t>הועד הציבורי נגד עינויים בישראל נ' ממשלת ישראל,</w:t>
      </w:r>
      <w:r w:rsidRPr="00C90DB8">
        <w:rPr>
          <w:rFonts w:ascii="Arial" w:hAnsi="Arial" w:cs="Arial"/>
          <w:sz w:val="22"/>
          <w:szCs w:val="22"/>
          <w:highlight w:val="yellow"/>
          <w:u w:val="single"/>
          <w:rtl/>
        </w:rPr>
        <w:t xml:space="preserve"> פ"ד נג(4) 8</w:t>
      </w:r>
      <w:r w:rsidRPr="00C33120">
        <w:rPr>
          <w:rFonts w:ascii="Arial" w:hAnsi="Arial" w:cs="Arial"/>
          <w:sz w:val="22"/>
          <w:szCs w:val="22"/>
          <w:highlight w:val="yellow"/>
          <w:u w:val="single"/>
          <w:rtl/>
        </w:rPr>
        <w:t>17</w:t>
      </w:r>
      <w:r w:rsidRPr="00C33120">
        <w:rPr>
          <w:rFonts w:ascii="Arial" w:hAnsi="Arial" w:cs="Arial" w:hint="cs"/>
          <w:sz w:val="22"/>
          <w:szCs w:val="22"/>
          <w:highlight w:val="yellow"/>
          <w:u w:val="single"/>
          <w:rtl/>
        </w:rPr>
        <w:t xml:space="preserve"> (1999)</w:t>
      </w:r>
    </w:p>
    <w:p w:rsidR="005366A8" w:rsidRDefault="005366A8" w:rsidP="005366A8">
      <w:pPr>
        <w:pStyle w:val="FootnoteText"/>
        <w:ind w:left="720" w:hanging="720"/>
        <w:rPr>
          <w:u w:val="single"/>
          <w:rtl/>
        </w:rPr>
      </w:pPr>
    </w:p>
    <w:p w:rsidR="005366A8" w:rsidRPr="00BA2B3F" w:rsidRDefault="005366A8" w:rsidP="005366A8">
      <w:pPr>
        <w:rPr>
          <w:b/>
          <w:bCs/>
          <w:rtl/>
        </w:rPr>
      </w:pPr>
      <w:r w:rsidRPr="001911BC">
        <w:rPr>
          <w:rFonts w:hint="cs"/>
          <w:b/>
          <w:bCs/>
          <w:u w:val="single"/>
          <w:rtl/>
        </w:rPr>
        <w:t>מהי השאלה המרכזית שבית המשפט שואל</w:t>
      </w:r>
      <w:r w:rsidRPr="00BA2B3F">
        <w:rPr>
          <w:rFonts w:hint="cs"/>
          <w:b/>
          <w:bCs/>
          <w:rtl/>
        </w:rPr>
        <w:t>?</w:t>
      </w:r>
    </w:p>
    <w:p w:rsidR="005366A8" w:rsidRPr="00BA2B3F" w:rsidRDefault="005366A8" w:rsidP="005366A8">
      <w:pPr>
        <w:ind w:left="720"/>
        <w:rPr>
          <w:b/>
          <w:bCs/>
          <w:rtl/>
        </w:rPr>
      </w:pPr>
      <w:r w:rsidRPr="00BA2B3F">
        <w:rPr>
          <w:rFonts w:hint="cs"/>
          <w:b/>
          <w:bCs/>
          <w:rtl/>
        </w:rPr>
        <w:t>על איזה שאלות-משנה הוא עונה בדרך?</w:t>
      </w:r>
    </w:p>
    <w:p w:rsidR="005366A8" w:rsidRPr="00BA2B3F" w:rsidRDefault="005366A8" w:rsidP="005366A8">
      <w:pPr>
        <w:ind w:left="720"/>
        <w:rPr>
          <w:b/>
          <w:bCs/>
          <w:rtl/>
        </w:rPr>
      </w:pPr>
      <w:r w:rsidRPr="00BA2B3F">
        <w:rPr>
          <w:rFonts w:hint="cs"/>
          <w:b/>
          <w:bCs/>
          <w:rtl/>
        </w:rPr>
        <w:t>איזה שאלה בית המשפט מזכיר, אך לה אין הוא עונה, שכן היא לא בשלה ולא ברור אם תהיה בשלה להכרעה?</w:t>
      </w:r>
    </w:p>
    <w:p w:rsidR="005366A8" w:rsidRDefault="005366A8" w:rsidP="005366A8">
      <w:pPr>
        <w:rPr>
          <w:b/>
          <w:bCs/>
          <w:rtl/>
        </w:rPr>
      </w:pPr>
      <w:r w:rsidRPr="001911BC">
        <w:rPr>
          <w:rFonts w:hint="cs"/>
          <w:b/>
          <w:bCs/>
          <w:u w:val="single"/>
          <w:rtl/>
        </w:rPr>
        <w:t xml:space="preserve">מדוע העתירה מתקבלת </w:t>
      </w:r>
      <w:r w:rsidRPr="001911BC">
        <w:rPr>
          <w:b/>
          <w:bCs/>
          <w:u w:val="single"/>
          <w:rtl/>
        </w:rPr>
        <w:t>–</w:t>
      </w:r>
      <w:r w:rsidRPr="001911BC">
        <w:rPr>
          <w:rFonts w:hint="cs"/>
          <w:b/>
          <w:bCs/>
          <w:u w:val="single"/>
          <w:rtl/>
        </w:rPr>
        <w:t xml:space="preserve"> מהו לב הדברים</w:t>
      </w:r>
      <w:r w:rsidRPr="00BA2B3F">
        <w:rPr>
          <w:rFonts w:hint="cs"/>
          <w:b/>
          <w:bCs/>
          <w:rtl/>
        </w:rPr>
        <w:t>?</w:t>
      </w:r>
    </w:p>
    <w:p w:rsidR="005366A8" w:rsidRPr="00BA2B3F" w:rsidRDefault="005366A8" w:rsidP="005366A8">
      <w:pPr>
        <w:rPr>
          <w:b/>
          <w:bCs/>
          <w:rtl/>
        </w:rPr>
      </w:pPr>
      <w:r>
        <w:rPr>
          <w:rFonts w:hint="cs"/>
          <w:b/>
          <w:bCs/>
          <w:rtl/>
        </w:rPr>
        <w:t>מה עוד אנו למדים מפסק הדין לבד מההכרעה בסוגיה או בסוגיות הקונקרטיות שעמדו בו להכרעה?</w:t>
      </w:r>
    </w:p>
    <w:p w:rsidR="005366A8" w:rsidRDefault="005366A8" w:rsidP="005366A8">
      <w:pPr>
        <w:pStyle w:val="FootnoteText"/>
        <w:ind w:left="720" w:hanging="720"/>
        <w:rPr>
          <w:u w:val="single"/>
          <w:rtl/>
        </w:rPr>
      </w:pPr>
    </w:p>
    <w:p w:rsidR="005366A8" w:rsidRDefault="005366A8" w:rsidP="005366A8">
      <w:pPr>
        <w:pStyle w:val="FootnoteText"/>
        <w:ind w:left="720" w:hanging="720"/>
        <w:rPr>
          <w:u w:val="single"/>
          <w:rtl/>
        </w:rPr>
      </w:pPr>
      <w:r>
        <w:rPr>
          <w:rFonts w:hint="cs"/>
          <w:u w:val="single"/>
          <w:rtl/>
        </w:rPr>
        <w:t>הוראות דין רלבנטיות:</w:t>
      </w:r>
    </w:p>
    <w:p w:rsidR="005366A8" w:rsidRPr="00E61C71" w:rsidRDefault="005366A8" w:rsidP="005366A8">
      <w:pPr>
        <w:pStyle w:val="FootnoteText"/>
        <w:ind w:left="720" w:hanging="720"/>
        <w:rPr>
          <w:u w:val="single"/>
          <w:rtl/>
        </w:rPr>
      </w:pPr>
    </w:p>
    <w:p w:rsidR="005366A8" w:rsidRDefault="005366A8" w:rsidP="005366A8">
      <w:pPr>
        <w:pStyle w:val="FootnoteText"/>
        <w:ind w:left="720" w:hanging="720"/>
        <w:rPr>
          <w:rtl/>
        </w:rPr>
      </w:pPr>
      <w:r w:rsidRPr="006051F2">
        <w:rPr>
          <w:rFonts w:hint="cs"/>
          <w:rtl/>
        </w:rPr>
        <w:t xml:space="preserve">סעיף 40 </w:t>
      </w:r>
      <w:r w:rsidRPr="003E056E">
        <w:rPr>
          <w:rFonts w:hint="cs"/>
          <w:rtl/>
        </w:rPr>
        <w:t xml:space="preserve">(דאז, והיום סע' 32) </w:t>
      </w:r>
      <w:r w:rsidRPr="00BA2B3F">
        <w:rPr>
          <w:rFonts w:cs="David" w:hint="cs"/>
          <w:rtl/>
        </w:rPr>
        <w:t>לחוק יסוד: הממשלה</w:t>
      </w:r>
      <w:r w:rsidRPr="00BA2B3F">
        <w:rPr>
          <w:rFonts w:cs="David"/>
          <w:rtl/>
        </w:rPr>
        <w:t xml:space="preserve"> –</w:t>
      </w:r>
      <w:r w:rsidRPr="006051F2">
        <w:rPr>
          <w:rFonts w:hint="cs"/>
          <w:rtl/>
        </w:rPr>
        <w:t xml:space="preserve"> </w:t>
      </w:r>
    </w:p>
    <w:p w:rsidR="005366A8" w:rsidRPr="00F47E98" w:rsidRDefault="005366A8" w:rsidP="005366A8">
      <w:pPr>
        <w:pStyle w:val="FootnoteText"/>
        <w:ind w:left="1440" w:hanging="720"/>
        <w:rPr>
          <w:rFonts w:cs="David"/>
          <w:rtl/>
        </w:rPr>
      </w:pPr>
      <w:r w:rsidRPr="006051F2">
        <w:rPr>
          <w:rtl/>
        </w:rPr>
        <w:t xml:space="preserve">"הסמכות השיורית" </w:t>
      </w:r>
      <w:r w:rsidRPr="006051F2">
        <w:t>–</w:t>
      </w:r>
      <w:r w:rsidRPr="006051F2">
        <w:rPr>
          <w:rtl/>
        </w:rPr>
        <w:t xml:space="preserve"> סמכות</w:t>
      </w:r>
      <w:r>
        <w:rPr>
          <w:rFonts w:hint="cs"/>
          <w:rtl/>
        </w:rPr>
        <w:t xml:space="preserve"> הממשלה:</w:t>
      </w:r>
      <w:r w:rsidRPr="006051F2">
        <w:rPr>
          <w:rtl/>
        </w:rPr>
        <w:t xml:space="preserve"> </w:t>
      </w:r>
      <w:r w:rsidRPr="00F47E98">
        <w:rPr>
          <w:rFonts w:cs="David"/>
          <w:rtl/>
        </w:rPr>
        <w:t>"לעשות בשם המדינה, בכפוף לכל דין, כל פעולה שעשייתה אינה מוטלת בדין על רשות אחרת"</w:t>
      </w:r>
    </w:p>
    <w:p w:rsidR="005366A8" w:rsidRDefault="005366A8" w:rsidP="005366A8">
      <w:pPr>
        <w:pStyle w:val="FootnoteText"/>
        <w:ind w:left="720" w:hanging="720"/>
        <w:rPr>
          <w:rtl/>
        </w:rPr>
      </w:pPr>
    </w:p>
    <w:p w:rsidR="005366A8" w:rsidRPr="00BA2B3F" w:rsidRDefault="005366A8" w:rsidP="005366A8">
      <w:pPr>
        <w:pStyle w:val="FootnoteText"/>
        <w:ind w:left="720" w:hanging="720"/>
        <w:rPr>
          <w:rFonts w:cs="David"/>
          <w:rtl/>
        </w:rPr>
      </w:pPr>
      <w:r w:rsidRPr="006051F2">
        <w:rPr>
          <w:rtl/>
        </w:rPr>
        <w:t xml:space="preserve">סע' 2 </w:t>
      </w:r>
      <w:r w:rsidRPr="00BA2B3F">
        <w:rPr>
          <w:rFonts w:cs="David"/>
          <w:rtl/>
        </w:rPr>
        <w:t>לפקודת הפרוצדורה הפלילית (עדות)</w:t>
      </w:r>
    </w:p>
    <w:p w:rsidR="005366A8" w:rsidRDefault="005366A8" w:rsidP="005366A8">
      <w:pPr>
        <w:pStyle w:val="4"/>
        <w:bidi w:val="0"/>
        <w:spacing w:line="240" w:lineRule="auto"/>
        <w:ind w:left="720" w:right="735"/>
        <w:jc w:val="left"/>
        <w:rPr>
          <w:rFonts w:ascii="Times New Roman" w:hAnsi="Times New Roman"/>
        </w:rPr>
      </w:pPr>
      <w:r w:rsidRPr="00C36802">
        <w:rPr>
          <w:rFonts w:ascii="Times New Roman" w:hAnsi="Times New Roman"/>
        </w:rPr>
        <w:t>“An officer of police of or above the rank of inspector, or any other officer or class of officers generally or specially authorised in writing by the Chief Secretary to the Government, to hold enquiries into the commission of offences, may examine orally any person supposed to be acquainted with the facts and circumstances of any offence in respect whereof such officer of police or other authorised officer as aforesaid is enquiring, and may reduce into writing any statement by a person so examined.”</w:t>
      </w:r>
    </w:p>
    <w:p w:rsidR="005366A8" w:rsidRDefault="005366A8" w:rsidP="005366A8">
      <w:pPr>
        <w:pStyle w:val="4"/>
        <w:spacing w:line="240" w:lineRule="auto"/>
        <w:jc w:val="left"/>
        <w:rPr>
          <w:rFonts w:ascii="Times New Roman" w:hAnsi="Times New Roman"/>
          <w:rtl/>
        </w:rPr>
      </w:pPr>
    </w:p>
    <w:p w:rsidR="005366A8" w:rsidRPr="006051F2" w:rsidRDefault="005366A8" w:rsidP="005366A8">
      <w:pPr>
        <w:pStyle w:val="4"/>
        <w:spacing w:line="240" w:lineRule="auto"/>
        <w:jc w:val="left"/>
        <w:rPr>
          <w:rFonts w:ascii="Times New Roman" w:hAnsi="Times New Roman"/>
          <w:rtl/>
        </w:rPr>
      </w:pPr>
      <w:r w:rsidRPr="006051F2">
        <w:rPr>
          <w:rFonts w:ascii="Times New Roman" w:hAnsi="Times New Roman" w:hint="cs"/>
          <w:rtl/>
        </w:rPr>
        <w:t xml:space="preserve">סעיף 34 יא' </w:t>
      </w:r>
      <w:r w:rsidRPr="00BA2B3F">
        <w:rPr>
          <w:rFonts w:ascii="Times New Roman" w:hAnsi="Times New Roman" w:cs="David" w:hint="cs"/>
          <w:rtl/>
        </w:rPr>
        <w:t>לחוק העונשין, התשל"ז-1977</w:t>
      </w:r>
      <w:r w:rsidRPr="006051F2">
        <w:rPr>
          <w:rFonts w:ascii="Times New Roman" w:hAnsi="Times New Roman" w:hint="cs"/>
          <w:rtl/>
        </w:rPr>
        <w:t xml:space="preserve"> </w:t>
      </w:r>
      <w:r w:rsidRPr="006051F2">
        <w:rPr>
          <w:rFonts w:ascii="Times New Roman" w:hAnsi="Times New Roman"/>
          <w:rtl/>
        </w:rPr>
        <w:t>–</w:t>
      </w:r>
      <w:r w:rsidRPr="006051F2">
        <w:rPr>
          <w:rFonts w:ascii="Times New Roman" w:hAnsi="Times New Roman" w:hint="cs"/>
          <w:rtl/>
        </w:rPr>
        <w:t xml:space="preserve"> הגנת "הצורך":</w:t>
      </w:r>
    </w:p>
    <w:p w:rsidR="005366A8" w:rsidRPr="00F47E98" w:rsidRDefault="005366A8" w:rsidP="005366A8">
      <w:pPr>
        <w:pStyle w:val="T-body"/>
        <w:spacing w:line="240" w:lineRule="auto"/>
        <w:ind w:left="720"/>
        <w:rPr>
          <w:rFonts w:cs="David"/>
          <w:sz w:val="22"/>
          <w:szCs w:val="22"/>
          <w:rtl/>
        </w:rPr>
      </w:pPr>
      <w:r w:rsidRPr="00F47E98">
        <w:rPr>
          <w:rFonts w:cs="David" w:hint="cs"/>
          <w:sz w:val="22"/>
          <w:szCs w:val="22"/>
          <w:rtl/>
        </w:rPr>
        <w:t>לא יישא אדם באחריות פלילית למעשה שהיה דרוש באופן מיידי להצלת חייו, חירותו, גופו או רכושו, שלו או של זולתו, מסכנה מוחשית של פגיעה חמורה הנובעת ממצב דברים נתון בשעת המעשה, ולא היתה לו דרך אחרת אלא לעשותו.</w:t>
      </w:r>
    </w:p>
    <w:p w:rsidR="005366A8" w:rsidRDefault="005366A8" w:rsidP="005366A8">
      <w:pPr>
        <w:pStyle w:val="FootnoteText"/>
        <w:ind w:left="720" w:hanging="720"/>
        <w:rPr>
          <w:rtl/>
        </w:rPr>
      </w:pPr>
    </w:p>
    <w:p w:rsidR="005366A8" w:rsidRPr="006051F2" w:rsidRDefault="005366A8" w:rsidP="005366A8">
      <w:pPr>
        <w:pStyle w:val="FootnoteText"/>
        <w:ind w:left="720" w:hanging="720"/>
        <w:rPr>
          <w:rtl/>
        </w:rPr>
      </w:pPr>
      <w:r w:rsidRPr="006051F2">
        <w:rPr>
          <w:rFonts w:hint="cs"/>
          <w:rtl/>
        </w:rPr>
        <w:t xml:space="preserve">סע' 8 </w:t>
      </w:r>
      <w:r w:rsidRPr="00BA2B3F">
        <w:rPr>
          <w:rFonts w:cs="David" w:hint="cs"/>
          <w:rtl/>
        </w:rPr>
        <w:t>לחוק יסוד: כבוד האדם וחירותו</w:t>
      </w:r>
      <w:r>
        <w:rPr>
          <w:rFonts w:hint="cs"/>
          <w:rtl/>
        </w:rPr>
        <w:t xml:space="preserve"> [לעיל]</w:t>
      </w:r>
    </w:p>
    <w:p w:rsidR="005366A8" w:rsidRPr="00BA2B3F" w:rsidRDefault="005366A8" w:rsidP="005366A8">
      <w:pPr>
        <w:ind w:left="720"/>
        <w:rPr>
          <w:rFonts w:cs="David"/>
          <w:sz w:val="22"/>
          <w:szCs w:val="22"/>
          <w:rtl/>
        </w:rPr>
      </w:pPr>
      <w:r w:rsidRPr="00BA2B3F">
        <w:rPr>
          <w:rFonts w:cs="David"/>
          <w:sz w:val="22"/>
          <w:szCs w:val="22"/>
          <w:rtl/>
        </w:rPr>
        <w:t>אין פוגעים בזכויות שלפי חוק-יסוד זה אלא בחוק ההולם את ערכיה של מדינת ישראל, שנועד לתכלית ראויה, ובמידה שאינה עולה על הנדרש או לפי חוק כאמור מכוח הסמכה מפורשת בו.</w:t>
      </w:r>
    </w:p>
    <w:p w:rsidR="005366A8" w:rsidRPr="008C4836" w:rsidRDefault="005366A8" w:rsidP="005366A8">
      <w:pPr>
        <w:ind w:left="1440"/>
        <w:rPr>
          <w:rFonts w:cs="FrankRuehl"/>
          <w:sz w:val="20"/>
          <w:szCs w:val="20"/>
          <w:rtl/>
        </w:rPr>
      </w:pPr>
    </w:p>
    <w:p w:rsidR="005366A8" w:rsidRPr="00817104" w:rsidRDefault="005366A8" w:rsidP="005366A8">
      <w:pPr>
        <w:pStyle w:val="BlockText"/>
        <w:ind w:left="0"/>
        <w:rPr>
          <w:rFonts w:ascii="Arial" w:hAnsi="Arial" w:cs="Arial"/>
          <w:sz w:val="18"/>
          <w:szCs w:val="18"/>
          <w:rtl/>
        </w:rPr>
      </w:pPr>
      <w:r>
        <w:rPr>
          <w:rFonts w:ascii="Arial" w:hAnsi="Arial" w:cs="Arial" w:hint="cs"/>
          <w:sz w:val="18"/>
          <w:szCs w:val="18"/>
          <w:rtl/>
        </w:rPr>
        <w:t>=-=</w:t>
      </w:r>
    </w:p>
    <w:p w:rsidR="005366A8" w:rsidRPr="00A22843" w:rsidRDefault="005366A8" w:rsidP="005366A8">
      <w:pPr>
        <w:pStyle w:val="T-body"/>
        <w:spacing w:line="240" w:lineRule="auto"/>
        <w:jc w:val="left"/>
        <w:rPr>
          <w:rFonts w:ascii="Arial" w:hAnsi="Arial" w:cs="Arial"/>
          <w:sz w:val="20"/>
          <w:szCs w:val="20"/>
          <w:rtl/>
        </w:rPr>
      </w:pPr>
      <w:r w:rsidRPr="00A22843">
        <w:rPr>
          <w:rFonts w:ascii="Arial" w:hAnsi="Arial" w:cs="Arial" w:hint="cs"/>
          <w:sz w:val="20"/>
          <w:szCs w:val="20"/>
          <w:rtl/>
        </w:rPr>
        <w:t>[קטעים מתוך פסק הדין]</w:t>
      </w:r>
    </w:p>
    <w:p w:rsidR="005366A8" w:rsidRPr="003A5D38" w:rsidRDefault="005366A8" w:rsidP="005366A8">
      <w:pPr>
        <w:pStyle w:val="T-body"/>
        <w:spacing w:line="240" w:lineRule="auto"/>
        <w:jc w:val="left"/>
        <w:rPr>
          <w:rFonts w:ascii="Arial" w:hAnsi="Arial" w:cs="Arial"/>
          <w:sz w:val="22"/>
          <w:szCs w:val="22"/>
          <w:rtl/>
        </w:rPr>
      </w:pPr>
    </w:p>
    <w:p w:rsidR="005366A8" w:rsidRPr="003A5D38" w:rsidRDefault="005366A8" w:rsidP="005366A8">
      <w:pPr>
        <w:pStyle w:val="T-body"/>
        <w:spacing w:after="60" w:line="240" w:lineRule="auto"/>
        <w:rPr>
          <w:sz w:val="22"/>
          <w:szCs w:val="22"/>
          <w:rtl/>
        </w:rPr>
      </w:pPr>
      <w:r w:rsidRPr="003A5D38">
        <w:rPr>
          <w:rFonts w:hint="cs"/>
          <w:sz w:val="22"/>
          <w:szCs w:val="22"/>
          <w:highlight w:val="yellow"/>
          <w:rtl/>
        </w:rPr>
        <w:t>שירות הביטחון הכללי חוקר חשודים בביצוע עבירו</w:t>
      </w:r>
      <w:r w:rsidRPr="003A5D38">
        <w:rPr>
          <w:sz w:val="22"/>
          <w:szCs w:val="22"/>
          <w:highlight w:val="yellow"/>
          <w:rtl/>
        </w:rPr>
        <w:t>ת</w:t>
      </w:r>
      <w:r w:rsidRPr="003A5D38">
        <w:rPr>
          <w:rFonts w:hint="cs"/>
          <w:sz w:val="22"/>
          <w:szCs w:val="22"/>
          <w:highlight w:val="yellow"/>
          <w:rtl/>
        </w:rPr>
        <w:t xml:space="preserve"> כנגד ביטחון המדינה. המוסמך הוא לערוך חקירות אלה? הוא עושה כן על פי הנחיות הקובעות את שיטות החקירה. ההנחיות מתירות לחוקרים גם שימוש באמצעים פיזיים כנגד הנחקרים (כגון "טלטולים" ותנוחת "שבאח"). הבסיס להיתרים הוא, שהדבר דרוש באופן מיידי להצלת חיי אדם. האם ה</w:t>
      </w:r>
      <w:r w:rsidRPr="003A5D38">
        <w:rPr>
          <w:sz w:val="22"/>
          <w:szCs w:val="22"/>
          <w:highlight w:val="yellow"/>
          <w:rtl/>
        </w:rPr>
        <w:t>י</w:t>
      </w:r>
      <w:r w:rsidRPr="003A5D38">
        <w:rPr>
          <w:rFonts w:hint="cs"/>
          <w:sz w:val="22"/>
          <w:szCs w:val="22"/>
          <w:highlight w:val="yellow"/>
          <w:rtl/>
        </w:rPr>
        <w:t>תרים אלה הם כדין?</w:t>
      </w:r>
    </w:p>
    <w:p w:rsidR="005366A8" w:rsidRPr="003A5D38" w:rsidRDefault="005366A8" w:rsidP="005366A8">
      <w:pPr>
        <w:pStyle w:val="T-body"/>
        <w:spacing w:after="60" w:line="240" w:lineRule="auto"/>
        <w:rPr>
          <w:sz w:val="22"/>
          <w:szCs w:val="22"/>
          <w:rtl/>
        </w:rPr>
      </w:pPr>
      <w:r w:rsidRPr="003A5D38">
        <w:rPr>
          <w:rFonts w:hint="cs"/>
          <w:sz w:val="22"/>
          <w:szCs w:val="22"/>
          <w:rtl/>
        </w:rPr>
        <w:t xml:space="preserve"> החקירה נעשית לרוב במקום שהנחקר עצור בו. חקירה זו - אפילו אם אין היא נעשית תוך כדי שימוש באמצעים פיזיים - פוגעת בחירותו של הנחקר. היא פוגעת לעיתים בכבודו ובצנעת הפרט שלו. במדינת חוק אין סמכות לבצע חקירה כזו בלא </w:t>
      </w:r>
      <w:r w:rsidRPr="003A5D38">
        <w:rPr>
          <w:sz w:val="22"/>
          <w:szCs w:val="22"/>
          <w:rtl/>
        </w:rPr>
        <w:t>ה</w:t>
      </w:r>
      <w:r w:rsidRPr="003A5D38">
        <w:rPr>
          <w:rFonts w:hint="cs"/>
          <w:sz w:val="22"/>
          <w:szCs w:val="22"/>
          <w:rtl/>
        </w:rPr>
        <w:t>סמכה בחקיקה ראשית, או בחקיקת משנה מכוח הסמכה מפורשת לכך בחקיקה ראשית.</w:t>
      </w:r>
    </w:p>
    <w:p w:rsidR="005366A8" w:rsidRPr="003A5D38" w:rsidRDefault="005366A8" w:rsidP="005366A8">
      <w:pPr>
        <w:pStyle w:val="4"/>
        <w:spacing w:line="240" w:lineRule="auto"/>
        <w:jc w:val="left"/>
        <w:rPr>
          <w:rFonts w:ascii="Times New Roman" w:hAnsi="Times New Roman"/>
          <w:rtl/>
        </w:rPr>
      </w:pPr>
      <w:r w:rsidRPr="003A5D38">
        <w:rPr>
          <w:rFonts w:ascii="Times New Roman" w:hAnsi="Times New Roman" w:hint="cs"/>
          <w:rtl/>
        </w:rPr>
        <w:t>ביטוי לעיקרון זה נתן המחוקק בחוק סדר הדין הפלילי (סמכויות אכיפה - מעצרים), התשנ"ו</w:t>
      </w:r>
      <w:r>
        <w:rPr>
          <w:rFonts w:ascii="Times New Roman" w:hAnsi="Times New Roman" w:hint="cs"/>
          <w:rtl/>
        </w:rPr>
        <w:t xml:space="preserve"> </w:t>
      </w:r>
      <w:r w:rsidRPr="003A5D38">
        <w:rPr>
          <w:rFonts w:ascii="Times New Roman" w:hAnsi="Times New Roman" w:hint="cs"/>
          <w:rtl/>
        </w:rPr>
        <w:t>1996-, בקבעו:</w:t>
      </w:r>
    </w:p>
    <w:p w:rsidR="005366A8" w:rsidRPr="003A5D38" w:rsidRDefault="005366A8" w:rsidP="005366A8">
      <w:pPr>
        <w:pStyle w:val="5"/>
        <w:jc w:val="left"/>
        <w:rPr>
          <w:rFonts w:ascii="Times New Roman" w:hAnsi="Times New Roman" w:cs="Times New Roman"/>
          <w:rtl/>
        </w:rPr>
      </w:pPr>
      <w:r w:rsidRPr="003A5D38">
        <w:rPr>
          <w:rFonts w:ascii="Times New Roman" w:hAnsi="Times New Roman" w:cs="Times New Roman"/>
          <w:rtl/>
        </w:rPr>
        <w:t>"</w:t>
      </w:r>
      <w:r w:rsidRPr="003A5D38">
        <w:rPr>
          <w:rFonts w:ascii="Times New Roman" w:hAnsi="Times New Roman" w:cs="Times New Roman" w:hint="cs"/>
          <w:rtl/>
        </w:rPr>
        <w:t>אין מעצר ועיכוב אלא בחוק או לפי חוק מכוח הסמכה מפורשת בו" (סעיף 1(א)).</w:t>
      </w:r>
    </w:p>
    <w:p w:rsidR="005366A8" w:rsidRPr="003A5D38" w:rsidRDefault="005366A8" w:rsidP="005366A8">
      <w:pPr>
        <w:pStyle w:val="T-body"/>
        <w:spacing w:after="60" w:line="240" w:lineRule="auto"/>
        <w:rPr>
          <w:b/>
          <w:bCs/>
          <w:sz w:val="22"/>
          <w:szCs w:val="22"/>
          <w:rtl/>
        </w:rPr>
      </w:pPr>
      <w:r w:rsidRPr="003A5D38">
        <w:rPr>
          <w:rFonts w:hint="cs"/>
          <w:sz w:val="22"/>
          <w:szCs w:val="22"/>
          <w:rtl/>
        </w:rPr>
        <w:t xml:space="preserve">כך דורש </w:t>
      </w:r>
      <w:r w:rsidRPr="003A5D38">
        <w:rPr>
          <w:sz w:val="22"/>
          <w:szCs w:val="22"/>
          <w:rtl/>
        </w:rPr>
        <w:t>ע</w:t>
      </w:r>
      <w:r w:rsidRPr="003A5D38">
        <w:rPr>
          <w:rFonts w:hint="cs"/>
          <w:sz w:val="22"/>
          <w:szCs w:val="22"/>
          <w:rtl/>
        </w:rPr>
        <w:t>קרון שלטון החוק (הפורמלי והמהותי). כך נדרש על פי עקרון חוקיות המנהל. "אם הרשות אינה יכולה להצביע על חוק ממנו נובעת הסמכות לעשות אותו מעשה, המעשה אינו בתחום הסמכות ולכן הוא בלתי-חוקי"</w:t>
      </w:r>
      <w:r w:rsidRPr="003A5D38">
        <w:rPr>
          <w:rFonts w:hint="cs"/>
          <w:b/>
          <w:bCs/>
          <w:sz w:val="22"/>
          <w:szCs w:val="22"/>
          <w:rtl/>
        </w:rPr>
        <w:t>.</w:t>
      </w:r>
    </w:p>
    <w:p w:rsidR="005366A8" w:rsidRPr="003A5D38" w:rsidRDefault="005366A8" w:rsidP="005366A8">
      <w:pPr>
        <w:pStyle w:val="T-body"/>
        <w:spacing w:after="60" w:line="240" w:lineRule="auto"/>
        <w:rPr>
          <w:b/>
          <w:bCs/>
          <w:sz w:val="22"/>
          <w:szCs w:val="22"/>
          <w:rtl/>
        </w:rPr>
      </w:pPr>
      <w:r w:rsidRPr="003A5D38">
        <w:rPr>
          <w:sz w:val="22"/>
          <w:szCs w:val="22"/>
          <w:rtl/>
        </w:rPr>
        <w:t>ה</w:t>
      </w:r>
      <w:r w:rsidRPr="003A5D38">
        <w:rPr>
          <w:rFonts w:hint="cs"/>
          <w:sz w:val="22"/>
          <w:szCs w:val="22"/>
          <w:rtl/>
        </w:rPr>
        <w:t>חוק וחקיקת המשנ</w:t>
      </w:r>
      <w:r w:rsidRPr="003A5D38">
        <w:rPr>
          <w:sz w:val="22"/>
          <w:szCs w:val="22"/>
          <w:rtl/>
        </w:rPr>
        <w:t>ה</w:t>
      </w:r>
      <w:r w:rsidRPr="003A5D38">
        <w:rPr>
          <w:rFonts w:hint="cs"/>
          <w:sz w:val="22"/>
          <w:szCs w:val="22"/>
          <w:rtl/>
        </w:rPr>
        <w:t xml:space="preserve"> צריכים לקיים את הדרישות הקבועות בחוק יסוד: כבוד האדם וחירותו (ראו סעיף 8 לחוק היסוד).</w:t>
      </w:r>
    </w:p>
    <w:p w:rsidR="005366A8" w:rsidRPr="003A5D38" w:rsidRDefault="005366A8" w:rsidP="005366A8">
      <w:pPr>
        <w:pStyle w:val="T-body"/>
        <w:spacing w:after="60" w:line="240" w:lineRule="auto"/>
        <w:rPr>
          <w:sz w:val="22"/>
          <w:szCs w:val="22"/>
          <w:rtl/>
        </w:rPr>
      </w:pPr>
    </w:p>
    <w:p w:rsidR="005366A8" w:rsidRPr="003A5D38" w:rsidRDefault="005366A8" w:rsidP="005366A8">
      <w:pPr>
        <w:pStyle w:val="T-body"/>
        <w:spacing w:after="120" w:line="240" w:lineRule="auto"/>
        <w:rPr>
          <w:b/>
          <w:bCs/>
          <w:sz w:val="22"/>
          <w:szCs w:val="22"/>
          <w:rtl/>
        </w:rPr>
      </w:pPr>
      <w:r w:rsidRPr="003A5D38">
        <w:rPr>
          <w:rFonts w:hint="cs"/>
          <w:sz w:val="22"/>
          <w:szCs w:val="22"/>
          <w:highlight w:val="yellow"/>
          <w:rtl/>
        </w:rPr>
        <w:t>ה</w:t>
      </w:r>
      <w:r>
        <w:rPr>
          <w:rFonts w:hint="cs"/>
          <w:sz w:val="22"/>
          <w:szCs w:val="22"/>
          <w:highlight w:val="yellow"/>
          <w:rtl/>
        </w:rPr>
        <w:t xml:space="preserve">אם </w:t>
      </w:r>
      <w:r w:rsidRPr="003A5D38">
        <w:rPr>
          <w:rFonts w:hint="cs"/>
          <w:sz w:val="22"/>
          <w:szCs w:val="22"/>
          <w:highlight w:val="yellow"/>
          <w:rtl/>
        </w:rPr>
        <w:t>קיימת הוראת חוק המסמיכה את חוקרי השב"כ לבצע חקירות במובן עליו עמדנו?</w:t>
      </w:r>
    </w:p>
    <w:p w:rsidR="005366A8" w:rsidRPr="003A5D38" w:rsidRDefault="005366A8" w:rsidP="005366A8">
      <w:pPr>
        <w:pStyle w:val="T-body"/>
        <w:spacing w:after="60" w:line="240" w:lineRule="auto"/>
        <w:rPr>
          <w:b/>
          <w:bCs/>
          <w:sz w:val="22"/>
          <w:szCs w:val="22"/>
          <w:rtl/>
        </w:rPr>
      </w:pPr>
      <w:r w:rsidRPr="006027F9">
        <w:rPr>
          <w:rFonts w:hint="cs"/>
          <w:sz w:val="22"/>
          <w:szCs w:val="22"/>
          <w:highlight w:val="yellow"/>
          <w:rtl/>
        </w:rPr>
        <w:t>סמכותה ה"שיורית" של הממשלה</w:t>
      </w:r>
      <w:r w:rsidRPr="003A5D38">
        <w:rPr>
          <w:rFonts w:hint="cs"/>
          <w:sz w:val="22"/>
          <w:szCs w:val="22"/>
          <w:rtl/>
        </w:rPr>
        <w:t xml:space="preserve"> [סעיף 40 (דאז, והיום סע' 32) לחוק יסוד: הממשלה</w:t>
      </w:r>
      <w:r w:rsidRPr="003A5D38">
        <w:rPr>
          <w:sz w:val="22"/>
          <w:szCs w:val="22"/>
          <w:rtl/>
        </w:rPr>
        <w:t xml:space="preserve"> –</w:t>
      </w:r>
      <w:r w:rsidRPr="003A5D38">
        <w:rPr>
          <w:rFonts w:hint="cs"/>
          <w:sz w:val="22"/>
          <w:szCs w:val="22"/>
          <w:rtl/>
        </w:rPr>
        <w:t xml:space="preserve"> ה</w:t>
      </w:r>
      <w:r w:rsidRPr="003A5D38">
        <w:rPr>
          <w:sz w:val="22"/>
          <w:szCs w:val="22"/>
          <w:rtl/>
        </w:rPr>
        <w:t>סמכות "לעשות בשם המדינה, בכפוף לכל דין, כל פעולה שעשייתה אינה מוטלת בדין על רשות אחרת"</w:t>
      </w:r>
      <w:r w:rsidRPr="003A5D38">
        <w:rPr>
          <w:rFonts w:hint="cs"/>
          <w:sz w:val="22"/>
          <w:szCs w:val="22"/>
          <w:rtl/>
        </w:rPr>
        <w:t xml:space="preserve">] אינה מקור לסמכות הפוגעת בחירותו של הפרט.  הסמכות ה"שיורית" של הממשלה מעניקה לה כוח לפעול במקום שקיים "חלל מנהלי" (ראו בג"ץ </w:t>
      </w:r>
      <w:r w:rsidRPr="003A5D38">
        <w:rPr>
          <w:sz w:val="22"/>
          <w:szCs w:val="22"/>
          <w:rtl/>
        </w:rPr>
        <w:t xml:space="preserve">2918/93 </w:t>
      </w:r>
      <w:r w:rsidRPr="003A5D38">
        <w:rPr>
          <w:sz w:val="22"/>
          <w:szCs w:val="22"/>
          <w:u w:val="single"/>
          <w:rtl/>
        </w:rPr>
        <w:t>ע</w:t>
      </w:r>
      <w:r w:rsidRPr="003A5D38">
        <w:rPr>
          <w:rFonts w:hint="cs"/>
          <w:sz w:val="22"/>
          <w:szCs w:val="22"/>
          <w:u w:val="single"/>
          <w:rtl/>
        </w:rPr>
        <w:t>יריית קרית גת נ' מדינת ישראל ואח'</w:t>
      </w:r>
      <w:r w:rsidRPr="003A5D38">
        <w:rPr>
          <w:sz w:val="22"/>
          <w:szCs w:val="22"/>
          <w:rtl/>
        </w:rPr>
        <w:t xml:space="preserve">, </w:t>
      </w:r>
      <w:r w:rsidRPr="003A5D38">
        <w:rPr>
          <w:rFonts w:hint="cs"/>
          <w:sz w:val="22"/>
          <w:szCs w:val="22"/>
          <w:rtl/>
        </w:rPr>
        <w:t>פ"ד מז(5) 832, 843). "חלל מנהלי" כזה אינו קיים בעניין שלפנינו, שכן הוא "מולא" בעיקרון הכללי בדבר חירות הפרט.</w:t>
      </w:r>
    </w:p>
    <w:p w:rsidR="005366A8" w:rsidRPr="003A5D38" w:rsidRDefault="005366A8" w:rsidP="005366A8">
      <w:pPr>
        <w:pStyle w:val="T-body"/>
        <w:spacing w:after="60" w:line="240" w:lineRule="auto"/>
        <w:rPr>
          <w:sz w:val="22"/>
          <w:szCs w:val="22"/>
          <w:rtl/>
        </w:rPr>
      </w:pPr>
      <w:r w:rsidRPr="003A5D38">
        <w:rPr>
          <w:rFonts w:hint="cs"/>
          <w:sz w:val="22"/>
          <w:szCs w:val="22"/>
          <w:rtl/>
        </w:rPr>
        <w:t xml:space="preserve">התשובה [לסמכות החקירה] מעוגנת </w:t>
      </w:r>
      <w:r w:rsidRPr="006027F9">
        <w:rPr>
          <w:rFonts w:hint="cs"/>
          <w:sz w:val="22"/>
          <w:szCs w:val="22"/>
          <w:highlight w:val="yellow"/>
          <w:rtl/>
        </w:rPr>
        <w:t>בסעיף 2(1) לפקודת הפרוצדורה הפלילית (עדות)</w:t>
      </w:r>
      <w:r w:rsidRPr="006027F9">
        <w:rPr>
          <w:rFonts w:hint="cs"/>
          <w:b/>
          <w:bCs/>
          <w:sz w:val="22"/>
          <w:szCs w:val="22"/>
          <w:highlight w:val="yellow"/>
          <w:rtl/>
        </w:rPr>
        <w:t>.</w:t>
      </w:r>
      <w:r w:rsidRPr="003A5D38">
        <w:rPr>
          <w:rFonts w:hint="cs"/>
          <w:b/>
          <w:bCs/>
          <w:sz w:val="22"/>
          <w:szCs w:val="22"/>
          <w:rtl/>
        </w:rPr>
        <w:t xml:space="preserve"> </w:t>
      </w:r>
    </w:p>
    <w:p w:rsidR="005366A8" w:rsidRPr="003A5D38" w:rsidRDefault="005366A8" w:rsidP="005366A8">
      <w:pPr>
        <w:pStyle w:val="T-body"/>
        <w:bidi w:val="0"/>
        <w:spacing w:after="60" w:line="240" w:lineRule="auto"/>
        <w:ind w:left="720" w:right="735"/>
        <w:rPr>
          <w:sz w:val="22"/>
          <w:szCs w:val="22"/>
        </w:rPr>
      </w:pPr>
      <w:r w:rsidRPr="003A5D38">
        <w:rPr>
          <w:sz w:val="22"/>
          <w:szCs w:val="22"/>
        </w:rPr>
        <w:t xml:space="preserve">“An officer of police of or above the rank of inspector, or any other officer or class of officers generally or specially authorised in writing by the Chief Secretary to the Government, to hold enquiries into the commission of offences, may examine orally any person supposed to be acquainted with the facts and circumstances of any offence in respect whereof such officer of police or other authorised officer as aforesaid is enquiring, and may reduce into writing any statement by a person so examined.”  </w:t>
      </w:r>
    </w:p>
    <w:p w:rsidR="005366A8" w:rsidRPr="003A5D38" w:rsidRDefault="005366A8" w:rsidP="005366A8">
      <w:pPr>
        <w:pStyle w:val="T-body"/>
        <w:spacing w:after="60" w:line="240" w:lineRule="auto"/>
        <w:ind w:left="720"/>
        <w:rPr>
          <w:b/>
          <w:bCs/>
          <w:sz w:val="22"/>
          <w:szCs w:val="22"/>
          <w:rtl/>
        </w:rPr>
      </w:pPr>
      <w:r w:rsidRPr="003A5D38">
        <w:rPr>
          <w:sz w:val="22"/>
          <w:szCs w:val="22"/>
          <w:rtl/>
        </w:rPr>
        <w:t>מ</w:t>
      </w:r>
      <w:r w:rsidRPr="003A5D38">
        <w:rPr>
          <w:rFonts w:hint="cs"/>
          <w:sz w:val="22"/>
          <w:szCs w:val="22"/>
          <w:rtl/>
        </w:rPr>
        <w:t>כוחה של הוראה זו הסמיך שר המשפטים באופן פרטני, חוקרים של השב"כ, ששמותיהם מפורטים בכתב ההסמכה, לערוך חקירות על ביצוע עבירות בתחום הפעילות החבלנית העוינת. [...]</w:t>
      </w:r>
    </w:p>
    <w:p w:rsidR="005366A8" w:rsidRPr="003A5D38" w:rsidRDefault="005366A8" w:rsidP="005366A8">
      <w:pPr>
        <w:pStyle w:val="T-body"/>
        <w:spacing w:after="60" w:line="240" w:lineRule="auto"/>
        <w:rPr>
          <w:sz w:val="22"/>
          <w:szCs w:val="22"/>
          <w:rtl/>
        </w:rPr>
      </w:pPr>
    </w:p>
    <w:p w:rsidR="005366A8" w:rsidRPr="003A5D38" w:rsidRDefault="005366A8" w:rsidP="005366A8">
      <w:pPr>
        <w:pStyle w:val="T-body"/>
        <w:spacing w:after="60" w:line="240" w:lineRule="auto"/>
        <w:rPr>
          <w:b/>
          <w:bCs/>
          <w:sz w:val="22"/>
          <w:szCs w:val="22"/>
          <w:rtl/>
        </w:rPr>
      </w:pPr>
      <w:r w:rsidRPr="003A5D38">
        <w:rPr>
          <w:rFonts w:hint="cs"/>
          <w:sz w:val="22"/>
          <w:szCs w:val="22"/>
          <w:highlight w:val="yellow"/>
          <w:rtl/>
        </w:rPr>
        <w:t xml:space="preserve">לחוקרי השב"כ הוענקה סמכות חקירה </w:t>
      </w:r>
      <w:r>
        <w:rPr>
          <w:rFonts w:hint="cs"/>
          <w:sz w:val="22"/>
          <w:szCs w:val="22"/>
          <w:highlight w:val="yellow"/>
          <w:rtl/>
        </w:rPr>
        <w:t>..</w:t>
      </w:r>
      <w:r w:rsidRPr="003A5D38">
        <w:rPr>
          <w:rFonts w:hint="cs"/>
          <w:sz w:val="22"/>
          <w:szCs w:val="22"/>
          <w:highlight w:val="yellow"/>
          <w:rtl/>
        </w:rPr>
        <w:t>. מהו היקפה של סמכות זו, והאם היא משתרעת גם על שימוש באמצעים פיזיים במהלך החקירה ולשם קידומה? האם ניתן לעשות שימוש באמצעים הפיזיים הננקטים על ידי חוקרי השב"כ (כגון טלטולים, תנוחת "שבאח", מניע</w:t>
      </w:r>
      <w:r w:rsidRPr="003A5D38">
        <w:rPr>
          <w:sz w:val="22"/>
          <w:szCs w:val="22"/>
          <w:highlight w:val="yellow"/>
          <w:rtl/>
        </w:rPr>
        <w:t>ת</w:t>
      </w:r>
      <w:r w:rsidRPr="003A5D38">
        <w:rPr>
          <w:rFonts w:hint="cs"/>
          <w:sz w:val="22"/>
          <w:szCs w:val="22"/>
          <w:highlight w:val="yellow"/>
          <w:rtl/>
        </w:rPr>
        <w:t xml:space="preserve"> שינה) מכוח סמכות החקירה הנתונה לחוקרי השב"כ?</w:t>
      </w:r>
    </w:p>
    <w:p w:rsidR="005366A8" w:rsidRPr="003A5D38" w:rsidRDefault="005366A8" w:rsidP="005366A8">
      <w:pPr>
        <w:pStyle w:val="T-body"/>
        <w:spacing w:after="60" w:line="240" w:lineRule="auto"/>
        <w:rPr>
          <w:b/>
          <w:bCs/>
          <w:sz w:val="22"/>
          <w:szCs w:val="22"/>
          <w:rtl/>
        </w:rPr>
      </w:pPr>
      <w:r w:rsidRPr="003A5D38">
        <w:rPr>
          <w:rFonts w:hint="cs"/>
          <w:sz w:val="22"/>
          <w:szCs w:val="22"/>
          <w:rtl/>
        </w:rPr>
        <w:t>נטען בפנינו, כי חלק מהאמצעים הפיזיים הננקטים על ידי חוקרי השב"כ מותרים הם על פי דיני החקירה עצמם.</w:t>
      </w:r>
    </w:p>
    <w:p w:rsidR="005366A8" w:rsidRPr="003A5D38" w:rsidRDefault="005366A8" w:rsidP="005366A8">
      <w:pPr>
        <w:pStyle w:val="T-body"/>
        <w:spacing w:after="60" w:line="240" w:lineRule="auto"/>
        <w:rPr>
          <w:b/>
          <w:bCs/>
          <w:sz w:val="22"/>
          <w:szCs w:val="22"/>
          <w:rtl/>
        </w:rPr>
      </w:pPr>
      <w:r w:rsidRPr="003A5D38">
        <w:rPr>
          <w:rFonts w:hint="cs"/>
          <w:sz w:val="22"/>
          <w:szCs w:val="22"/>
          <w:rtl/>
        </w:rPr>
        <w:t>האם מאפשרים "דיני החקירה" שימוש באמצעים פיזיים אלה בחקירות השב"כ?</w:t>
      </w:r>
    </w:p>
    <w:p w:rsidR="005366A8" w:rsidRPr="003A5D38" w:rsidRDefault="005366A8" w:rsidP="005366A8">
      <w:pPr>
        <w:pStyle w:val="T-body"/>
        <w:spacing w:after="60" w:line="240" w:lineRule="auto"/>
        <w:rPr>
          <w:b/>
          <w:bCs/>
          <w:sz w:val="22"/>
          <w:szCs w:val="22"/>
          <w:rtl/>
        </w:rPr>
      </w:pPr>
      <w:r w:rsidRPr="003A5D38">
        <w:rPr>
          <w:sz w:val="22"/>
          <w:szCs w:val="22"/>
          <w:u w:val="single"/>
          <w:rtl/>
        </w:rPr>
        <w:t>ר</w:t>
      </w:r>
      <w:r w:rsidRPr="003A5D38">
        <w:rPr>
          <w:rFonts w:hint="cs"/>
          <w:sz w:val="22"/>
          <w:szCs w:val="22"/>
          <w:u w:val="single"/>
          <w:rtl/>
        </w:rPr>
        <w:t>אשית</w:t>
      </w:r>
      <w:r w:rsidRPr="003A5D38">
        <w:rPr>
          <w:sz w:val="22"/>
          <w:szCs w:val="22"/>
          <w:rtl/>
        </w:rPr>
        <w:t xml:space="preserve">, </w:t>
      </w:r>
      <w:r w:rsidRPr="003A5D38">
        <w:rPr>
          <w:rFonts w:hint="cs"/>
          <w:sz w:val="22"/>
          <w:szCs w:val="22"/>
          <w:rtl/>
        </w:rPr>
        <w:t>חקירה סבירה היא חקירה ללא עינויים, ללא יחס אכזרי או בלתי אנוש</w:t>
      </w:r>
      <w:r w:rsidRPr="003A5D38">
        <w:rPr>
          <w:sz w:val="22"/>
          <w:szCs w:val="22"/>
          <w:rtl/>
        </w:rPr>
        <w:t>י</w:t>
      </w:r>
      <w:r w:rsidRPr="003A5D38">
        <w:rPr>
          <w:rFonts w:hint="cs"/>
          <w:sz w:val="22"/>
          <w:szCs w:val="22"/>
          <w:rtl/>
        </w:rPr>
        <w:t xml:space="preserve"> כלפי הנחקר, וללא יחס משפיל כלפיו. חל איסור על שימוש "באמצעים ברוטליים ובלתי אנושיים" במהלך החקירה</w:t>
      </w:r>
      <w:r w:rsidRPr="003A5D38">
        <w:rPr>
          <w:rFonts w:hint="cs"/>
          <w:b/>
          <w:bCs/>
          <w:sz w:val="22"/>
          <w:szCs w:val="22"/>
          <w:rtl/>
        </w:rPr>
        <w:t>.</w:t>
      </w:r>
    </w:p>
    <w:p w:rsidR="005366A8" w:rsidRPr="003A5D38" w:rsidRDefault="005366A8" w:rsidP="005366A8">
      <w:pPr>
        <w:pStyle w:val="T-body"/>
        <w:spacing w:after="60" w:line="240" w:lineRule="auto"/>
        <w:rPr>
          <w:sz w:val="22"/>
          <w:szCs w:val="22"/>
          <w:rtl/>
        </w:rPr>
      </w:pPr>
      <w:r w:rsidRPr="003A5D38">
        <w:rPr>
          <w:rFonts w:hint="cs"/>
          <w:sz w:val="22"/>
          <w:szCs w:val="22"/>
          <w:rtl/>
        </w:rPr>
        <w:t>מסקנה זו עולה בקנה אחד עם המשפט הבינלאומי ההסכמי - אשר ישראל צד לו - האוסר על שימוש בעינויים (</w:t>
      </w:r>
      <w:r w:rsidRPr="003A5D38">
        <w:rPr>
          <w:sz w:val="22"/>
          <w:szCs w:val="22"/>
        </w:rPr>
        <w:t>torture</w:t>
      </w:r>
      <w:r w:rsidRPr="003A5D38">
        <w:rPr>
          <w:sz w:val="22"/>
          <w:szCs w:val="22"/>
          <w:rtl/>
        </w:rPr>
        <w:t xml:space="preserve">), </w:t>
      </w:r>
      <w:r w:rsidRPr="003A5D38">
        <w:rPr>
          <w:rFonts w:hint="cs"/>
          <w:sz w:val="22"/>
          <w:szCs w:val="22"/>
          <w:rtl/>
        </w:rPr>
        <w:t xml:space="preserve">ב"יחס אכזרי ולא אנושי" </w:t>
      </w:r>
      <w:r w:rsidRPr="003A5D38">
        <w:rPr>
          <w:sz w:val="22"/>
          <w:szCs w:val="22"/>
        </w:rPr>
        <w:t>(cruel, inhuman treatment)</w:t>
      </w:r>
      <w:r w:rsidRPr="003A5D38">
        <w:rPr>
          <w:sz w:val="22"/>
          <w:szCs w:val="22"/>
          <w:rtl/>
        </w:rPr>
        <w:t xml:space="preserve"> </w:t>
      </w:r>
      <w:r w:rsidRPr="003A5D38">
        <w:rPr>
          <w:rFonts w:hint="cs"/>
          <w:sz w:val="22"/>
          <w:szCs w:val="22"/>
          <w:rtl/>
        </w:rPr>
        <w:t xml:space="preserve">וב"יחס משפיל" </w:t>
      </w:r>
      <w:r w:rsidRPr="003A5D38">
        <w:rPr>
          <w:sz w:val="22"/>
          <w:szCs w:val="22"/>
        </w:rPr>
        <w:t>(degrading treatment)</w:t>
      </w:r>
      <w:r w:rsidRPr="003A5D38">
        <w:rPr>
          <w:sz w:val="22"/>
          <w:szCs w:val="22"/>
          <w:rtl/>
        </w:rPr>
        <w:t>.</w:t>
      </w:r>
    </w:p>
    <w:p w:rsidR="005366A8" w:rsidRPr="003A5D38" w:rsidRDefault="005366A8" w:rsidP="005366A8">
      <w:pPr>
        <w:pStyle w:val="T-body"/>
        <w:spacing w:after="60" w:line="240" w:lineRule="auto"/>
        <w:rPr>
          <w:b/>
          <w:bCs/>
          <w:sz w:val="22"/>
          <w:szCs w:val="22"/>
          <w:rtl/>
        </w:rPr>
      </w:pPr>
      <w:r w:rsidRPr="00D67B58">
        <w:rPr>
          <w:rFonts w:hint="cs"/>
          <w:sz w:val="22"/>
          <w:szCs w:val="22"/>
          <w:highlight w:val="yellow"/>
          <w:rtl/>
        </w:rPr>
        <w:t>איסורים אלה הם "מוחלטים". אין להם "חריגים", ואין בהם איזונים.</w:t>
      </w:r>
      <w:r w:rsidRPr="003A5D38">
        <w:rPr>
          <w:rFonts w:hint="cs"/>
          <w:sz w:val="22"/>
          <w:szCs w:val="22"/>
          <w:rtl/>
        </w:rPr>
        <w:t xml:space="preserve"> אכן,</w:t>
      </w:r>
      <w:r w:rsidRPr="003A5D38">
        <w:rPr>
          <w:b/>
          <w:bCs/>
          <w:sz w:val="22"/>
          <w:szCs w:val="22"/>
          <w:rtl/>
        </w:rPr>
        <w:t xml:space="preserve"> </w:t>
      </w:r>
      <w:r w:rsidRPr="003A5D38">
        <w:rPr>
          <w:sz w:val="22"/>
          <w:szCs w:val="22"/>
          <w:rtl/>
        </w:rPr>
        <w:t>א</w:t>
      </w:r>
      <w:r w:rsidRPr="003A5D38">
        <w:rPr>
          <w:rFonts w:hint="cs"/>
          <w:sz w:val="22"/>
          <w:szCs w:val="22"/>
          <w:rtl/>
        </w:rPr>
        <w:t>לימות כלפי גופו או נפשו של הנחקר אינה מהווה אמצעי סביר בחקירה.</w:t>
      </w:r>
    </w:p>
    <w:p w:rsidR="005366A8" w:rsidRPr="003A5D38" w:rsidRDefault="005366A8" w:rsidP="005366A8">
      <w:pPr>
        <w:pStyle w:val="T-body"/>
        <w:spacing w:after="60" w:line="240" w:lineRule="auto"/>
        <w:rPr>
          <w:b/>
          <w:bCs/>
          <w:sz w:val="22"/>
          <w:szCs w:val="22"/>
          <w:rtl/>
        </w:rPr>
      </w:pPr>
      <w:r w:rsidRPr="003A5D38">
        <w:rPr>
          <w:sz w:val="22"/>
          <w:szCs w:val="22"/>
          <w:u w:val="single"/>
          <w:rtl/>
        </w:rPr>
        <w:t>ש</w:t>
      </w:r>
      <w:r w:rsidRPr="003A5D38">
        <w:rPr>
          <w:rFonts w:hint="cs"/>
          <w:sz w:val="22"/>
          <w:szCs w:val="22"/>
          <w:u w:val="single"/>
          <w:rtl/>
        </w:rPr>
        <w:t>נית</w:t>
      </w:r>
      <w:r w:rsidRPr="003A5D38">
        <w:rPr>
          <w:sz w:val="22"/>
          <w:szCs w:val="22"/>
          <w:rtl/>
        </w:rPr>
        <w:t xml:space="preserve">, </w:t>
      </w:r>
      <w:r w:rsidRPr="003A5D38">
        <w:rPr>
          <w:rFonts w:hint="cs"/>
          <w:sz w:val="22"/>
          <w:szCs w:val="22"/>
          <w:rtl/>
        </w:rPr>
        <w:t>חקירה סבירה עלולה לגרום לחוסר נוחות; תוצאתה עלולה להיות חוס</w:t>
      </w:r>
      <w:r w:rsidRPr="003A5D38">
        <w:rPr>
          <w:sz w:val="22"/>
          <w:szCs w:val="22"/>
          <w:rtl/>
        </w:rPr>
        <w:t>ר</w:t>
      </w:r>
      <w:r w:rsidRPr="003A5D38">
        <w:rPr>
          <w:rFonts w:hint="cs"/>
          <w:sz w:val="22"/>
          <w:szCs w:val="22"/>
          <w:rtl/>
        </w:rPr>
        <w:t xml:space="preserve"> שינה מספיקה; תנאי עריכתה עשויים להיות בלתי נעימים. אכן, ניתן לקיים חקירה יעילה גם בלא אלימות; מותר להזקק, במסגרת הדין, לתחבולות מסויימות ולפעולות מתוחכמות, המשמשות כבר כיום את החוקרים (במשטרה ובשב"כ); חקירות כאלה - המותרות במתוקנות שבאומות - יכולות להיו</w:t>
      </w:r>
      <w:r w:rsidRPr="003A5D38">
        <w:rPr>
          <w:sz w:val="22"/>
          <w:szCs w:val="22"/>
          <w:rtl/>
        </w:rPr>
        <w:t>ת</w:t>
      </w:r>
      <w:r w:rsidRPr="003A5D38">
        <w:rPr>
          <w:rFonts w:hint="cs"/>
          <w:sz w:val="22"/>
          <w:szCs w:val="22"/>
          <w:rtl/>
        </w:rPr>
        <w:t xml:space="preserve"> יעילות ולהשיג את מטרתן. בסופו של דבר, חוקיות החקירה נגזרת מתכליתה הראויה ומאמצעיה המידתיים. כך, למשל, מניעת שינה לתקופה ארוכה, או מניעת שינה בלילה בלא שצורכי החקירה יחייבו זאת, הוא שימוש באמצעי חקירה מעבר למידה הדרושה.</w:t>
      </w:r>
    </w:p>
    <w:p w:rsidR="005366A8" w:rsidRPr="003A5D38" w:rsidRDefault="005366A8" w:rsidP="005366A8">
      <w:pPr>
        <w:pStyle w:val="T-body"/>
        <w:spacing w:after="60" w:line="240" w:lineRule="auto"/>
        <w:rPr>
          <w:b/>
          <w:bCs/>
          <w:sz w:val="22"/>
          <w:szCs w:val="22"/>
          <w:rtl/>
        </w:rPr>
      </w:pPr>
      <w:r w:rsidRPr="003A5D38">
        <w:rPr>
          <w:rFonts w:hint="cs"/>
          <w:b/>
          <w:bCs/>
          <w:sz w:val="22"/>
          <w:szCs w:val="22"/>
          <w:rtl/>
        </w:rPr>
        <w:t>מן הכלל אל הפרט</w:t>
      </w:r>
    </w:p>
    <w:p w:rsidR="005366A8" w:rsidRPr="00854677" w:rsidRDefault="005366A8" w:rsidP="005366A8">
      <w:pPr>
        <w:pStyle w:val="T-body"/>
        <w:spacing w:after="60" w:line="240" w:lineRule="auto"/>
        <w:rPr>
          <w:sz w:val="22"/>
          <w:szCs w:val="22"/>
          <w:highlight w:val="yellow"/>
          <w:rtl/>
        </w:rPr>
      </w:pPr>
      <w:r w:rsidRPr="00854677">
        <w:rPr>
          <w:rFonts w:hint="cs"/>
          <w:sz w:val="22"/>
          <w:szCs w:val="22"/>
          <w:highlight w:val="yellow"/>
          <w:rtl/>
        </w:rPr>
        <w:t>טלטול; תנוחת שבאח</w:t>
      </w:r>
    </w:p>
    <w:p w:rsidR="005366A8" w:rsidRPr="00854677" w:rsidRDefault="005366A8" w:rsidP="005366A8">
      <w:pPr>
        <w:pStyle w:val="T-body"/>
        <w:spacing w:after="60" w:line="240" w:lineRule="auto"/>
        <w:rPr>
          <w:sz w:val="22"/>
          <w:szCs w:val="22"/>
          <w:highlight w:val="yellow"/>
          <w:rtl/>
        </w:rPr>
      </w:pPr>
      <w:r w:rsidRPr="00854677">
        <w:rPr>
          <w:rFonts w:hint="cs"/>
          <w:sz w:val="22"/>
          <w:szCs w:val="22"/>
          <w:highlight w:val="yellow"/>
          <w:rtl/>
        </w:rPr>
        <w:t xml:space="preserve">שק על הראש </w:t>
      </w:r>
      <w:r w:rsidRPr="00854677">
        <w:rPr>
          <w:sz w:val="22"/>
          <w:szCs w:val="22"/>
          <w:highlight w:val="yellow"/>
          <w:rtl/>
        </w:rPr>
        <w:t>–</w:t>
      </w:r>
      <w:r w:rsidRPr="00854677">
        <w:rPr>
          <w:rFonts w:hint="cs"/>
          <w:sz w:val="22"/>
          <w:szCs w:val="22"/>
          <w:highlight w:val="yellow"/>
          <w:rtl/>
        </w:rPr>
        <w:t xml:space="preserve"> כיסוי הראש כולו, להבדיל מן העיניים </w:t>
      </w:r>
    </w:p>
    <w:p w:rsidR="005366A8" w:rsidRPr="00854677" w:rsidRDefault="005366A8" w:rsidP="005366A8">
      <w:pPr>
        <w:pStyle w:val="T-body"/>
        <w:spacing w:after="60" w:line="240" w:lineRule="auto"/>
        <w:rPr>
          <w:sz w:val="22"/>
          <w:szCs w:val="22"/>
          <w:highlight w:val="yellow"/>
          <w:rtl/>
        </w:rPr>
      </w:pPr>
      <w:r w:rsidRPr="00854677">
        <w:rPr>
          <w:rFonts w:hint="cs"/>
          <w:sz w:val="22"/>
          <w:szCs w:val="22"/>
          <w:highlight w:val="yellow"/>
          <w:rtl/>
        </w:rPr>
        <w:t>מוסיקה רועשת</w:t>
      </w:r>
    </w:p>
    <w:p w:rsidR="005366A8" w:rsidRPr="003A5D38" w:rsidRDefault="005366A8" w:rsidP="005366A8">
      <w:pPr>
        <w:pStyle w:val="T-body"/>
        <w:spacing w:after="60" w:line="240" w:lineRule="auto"/>
        <w:rPr>
          <w:sz w:val="22"/>
          <w:szCs w:val="22"/>
          <w:rtl/>
        </w:rPr>
      </w:pPr>
      <w:r w:rsidRPr="00854677">
        <w:rPr>
          <w:rFonts w:hint="cs"/>
          <w:sz w:val="22"/>
          <w:szCs w:val="22"/>
          <w:highlight w:val="yellow"/>
          <w:rtl/>
        </w:rPr>
        <w:t>עייפות/ שינה</w:t>
      </w:r>
      <w:r w:rsidRPr="003A5D38">
        <w:rPr>
          <w:rFonts w:hint="cs"/>
          <w:sz w:val="22"/>
          <w:szCs w:val="22"/>
          <w:rtl/>
        </w:rPr>
        <w:t xml:space="preserve"> </w:t>
      </w:r>
      <w:r w:rsidRPr="003A5D38">
        <w:rPr>
          <w:sz w:val="22"/>
          <w:szCs w:val="22"/>
          <w:rtl/>
        </w:rPr>
        <w:t>–</w:t>
      </w:r>
      <w:r w:rsidRPr="003A5D38">
        <w:rPr>
          <w:rFonts w:hint="cs"/>
          <w:sz w:val="22"/>
          <w:szCs w:val="22"/>
          <w:rtl/>
        </w:rPr>
        <w:t xml:space="preserve"> האם מופיע כאן מעבר מ"תוצאת לוואי של צרכים חקירתיים אינהרנטיים, למטרה ב</w:t>
      </w:r>
      <w:r w:rsidRPr="003A5D38">
        <w:rPr>
          <w:sz w:val="22"/>
          <w:szCs w:val="22"/>
          <w:rtl/>
        </w:rPr>
        <w:t>פ</w:t>
      </w:r>
      <w:r w:rsidRPr="003A5D38">
        <w:rPr>
          <w:rFonts w:hint="cs"/>
          <w:sz w:val="22"/>
          <w:szCs w:val="22"/>
          <w:rtl/>
        </w:rPr>
        <w:t>ני עצמה. אם נמנעת שינה מן הנחקר במכוון, לאורך זמן, וזאת אך בשל מטרה להתישו ולשבור את רוחו- אין הדבר מצוי בגדריה של חקירה הוגנת וסבירה."</w:t>
      </w:r>
    </w:p>
    <w:p w:rsidR="005366A8" w:rsidRPr="003A5D38" w:rsidRDefault="005366A8" w:rsidP="005366A8">
      <w:pPr>
        <w:pStyle w:val="T-body"/>
        <w:spacing w:after="60" w:line="240" w:lineRule="auto"/>
        <w:rPr>
          <w:sz w:val="22"/>
          <w:szCs w:val="22"/>
          <w:rtl/>
        </w:rPr>
      </w:pPr>
      <w:r w:rsidRPr="003A5D38">
        <w:rPr>
          <w:rFonts w:hint="cs"/>
          <w:sz w:val="22"/>
          <w:szCs w:val="22"/>
          <w:rtl/>
        </w:rPr>
        <w:t>סמכות החקירה המוקנית על פי חוק לחוקר שב"כ היא אותה סמכות חקירה המוקנית על פי חוק לחוקר משטרה. יוצא כי הסייגים החלים על חקירת משטר</w:t>
      </w:r>
      <w:r w:rsidRPr="003A5D38">
        <w:rPr>
          <w:sz w:val="22"/>
          <w:szCs w:val="22"/>
          <w:rtl/>
        </w:rPr>
        <w:t>ה</w:t>
      </w:r>
      <w:r w:rsidRPr="003A5D38">
        <w:rPr>
          <w:rFonts w:hint="cs"/>
          <w:sz w:val="22"/>
          <w:szCs w:val="22"/>
          <w:rtl/>
        </w:rPr>
        <w:t xml:space="preserve"> חלים גם על חקירת שב"כ. אין הוראת חוק המקנה לחוקר שב"כ סמכו</w:t>
      </w:r>
      <w:r w:rsidRPr="003A5D38">
        <w:rPr>
          <w:sz w:val="22"/>
          <w:szCs w:val="22"/>
          <w:rtl/>
        </w:rPr>
        <w:t>ת</w:t>
      </w:r>
      <w:r w:rsidRPr="003A5D38">
        <w:rPr>
          <w:rFonts w:hint="cs"/>
          <w:sz w:val="22"/>
          <w:szCs w:val="22"/>
          <w:rtl/>
        </w:rPr>
        <w:t xml:space="preserve"> חקירה מיוחדת, שונה וחמורה מזו המוקנית לחוקר משטרה.</w:t>
      </w:r>
    </w:p>
    <w:p w:rsidR="005366A8" w:rsidRPr="003A5D38" w:rsidRDefault="005366A8" w:rsidP="005366A8">
      <w:pPr>
        <w:pStyle w:val="T-body"/>
        <w:spacing w:after="120" w:line="240" w:lineRule="auto"/>
        <w:rPr>
          <w:sz w:val="22"/>
          <w:szCs w:val="22"/>
          <w:rtl/>
        </w:rPr>
      </w:pPr>
      <w:r w:rsidRPr="006027F9">
        <w:rPr>
          <w:rFonts w:hint="cs"/>
          <w:sz w:val="22"/>
          <w:szCs w:val="22"/>
          <w:rtl/>
        </w:rPr>
        <w:t>הגענו לכלל מסקנה כי אנשי השב"כ שקיבלו הרשאה לכך (על פי פקודת הפרוצדורה הפלילית (עדות)) מוסמכים לבצע חקירות. סמכות זו - כמו סמכות החקירה של שוטר - אינה כוללת בחובה את רוב רובם של אמצעי החקירה הפיזיים, נשוא העתירה שלפנינו.</w:t>
      </w:r>
      <w:r w:rsidRPr="003A5D38">
        <w:rPr>
          <w:rFonts w:hint="cs"/>
          <w:sz w:val="22"/>
          <w:szCs w:val="22"/>
          <w:rtl/>
        </w:rPr>
        <w:t xml:space="preserve"> </w:t>
      </w:r>
    </w:p>
    <w:p w:rsidR="005366A8" w:rsidRPr="003A5D38" w:rsidRDefault="005366A8" w:rsidP="005366A8">
      <w:pPr>
        <w:pStyle w:val="T-body"/>
        <w:spacing w:after="60" w:line="240" w:lineRule="auto"/>
        <w:rPr>
          <w:sz w:val="22"/>
          <w:szCs w:val="22"/>
          <w:rtl/>
        </w:rPr>
      </w:pPr>
      <w:r w:rsidRPr="003A5D38">
        <w:rPr>
          <w:rFonts w:hint="cs"/>
          <w:sz w:val="22"/>
          <w:szCs w:val="22"/>
          <w:highlight w:val="yellow"/>
          <w:rtl/>
        </w:rPr>
        <w:t>האם ניתן לבסס את הסמכות להפעיל</w:t>
      </w:r>
      <w:r w:rsidRPr="003A5D38">
        <w:rPr>
          <w:sz w:val="22"/>
          <w:szCs w:val="22"/>
          <w:highlight w:val="yellow"/>
          <w:rtl/>
        </w:rPr>
        <w:t xml:space="preserve"> </w:t>
      </w:r>
      <w:r w:rsidRPr="003A5D38">
        <w:rPr>
          <w:rFonts w:hint="cs"/>
          <w:sz w:val="22"/>
          <w:szCs w:val="22"/>
          <w:highlight w:val="yellow"/>
          <w:rtl/>
        </w:rPr>
        <w:t>אמצעי חקירה אלה על מקור משפטי שמעבר לעצם סמכות החקירה?</w:t>
      </w:r>
    </w:p>
    <w:p w:rsidR="005366A8" w:rsidRPr="003A5D38" w:rsidRDefault="005366A8" w:rsidP="005366A8">
      <w:pPr>
        <w:pStyle w:val="4"/>
        <w:spacing w:line="240" w:lineRule="auto"/>
        <w:jc w:val="left"/>
        <w:rPr>
          <w:rFonts w:ascii="Times New Roman" w:hAnsi="Times New Roman"/>
          <w:rtl/>
        </w:rPr>
      </w:pPr>
      <w:r w:rsidRPr="00854677">
        <w:rPr>
          <w:rFonts w:ascii="Times New Roman" w:hAnsi="Times New Roman" w:hint="cs"/>
          <w:highlight w:val="yellow"/>
          <w:rtl/>
        </w:rPr>
        <w:t>הסייג לאחריות הפלילית הקבוע בהוראת ה"צורך" שבחוק העונשין</w:t>
      </w:r>
      <w:r w:rsidRPr="003A5D38">
        <w:rPr>
          <w:rFonts w:ascii="Times New Roman" w:hAnsi="Times New Roman" w:hint="cs"/>
          <w:rtl/>
        </w:rPr>
        <w:t>. וזו לשון ההוראה (</w:t>
      </w:r>
      <w:r w:rsidRPr="006027F9">
        <w:rPr>
          <w:rFonts w:ascii="Times New Roman" w:hAnsi="Times New Roman" w:hint="cs"/>
          <w:highlight w:val="yellow"/>
          <w:rtl/>
        </w:rPr>
        <w:t>סעיף 34 יא' [לחוק העונשין, התשל"ז-1977]</w:t>
      </w:r>
      <w:r w:rsidRPr="003A5D38">
        <w:rPr>
          <w:rFonts w:ascii="Times New Roman" w:hAnsi="Times New Roman" w:hint="cs"/>
          <w:rtl/>
        </w:rPr>
        <w:t>):</w:t>
      </w:r>
    </w:p>
    <w:p w:rsidR="005366A8" w:rsidRPr="003A5D38" w:rsidRDefault="005366A8" w:rsidP="005366A8">
      <w:pPr>
        <w:pStyle w:val="T-body"/>
        <w:spacing w:after="60" w:line="240" w:lineRule="auto"/>
        <w:ind w:left="720"/>
        <w:rPr>
          <w:sz w:val="22"/>
          <w:szCs w:val="22"/>
          <w:rtl/>
        </w:rPr>
      </w:pPr>
      <w:r w:rsidRPr="003A5D38">
        <w:rPr>
          <w:sz w:val="22"/>
          <w:szCs w:val="22"/>
          <w:rtl/>
        </w:rPr>
        <w:t>"</w:t>
      </w:r>
      <w:r w:rsidRPr="003A5D38">
        <w:rPr>
          <w:rFonts w:hint="cs"/>
          <w:sz w:val="22"/>
          <w:szCs w:val="22"/>
          <w:rtl/>
        </w:rPr>
        <w:t>לא יישא אדם באחריות פלילית למעשה שהיה דרוש באופן מיידי להצלת חייו, חירותו, גופו או רכושו, שלו או של זולתו, מסכנה מוחשית של פגיעה חמורה הנובעת ממצב דברים נתון בשעת המעשה, ולא היתה לו דרך אחרת אלא לעשותו".</w:t>
      </w:r>
    </w:p>
    <w:p w:rsidR="005366A8" w:rsidRPr="003A5D38" w:rsidRDefault="005366A8" w:rsidP="005366A8">
      <w:pPr>
        <w:pStyle w:val="T-body"/>
        <w:spacing w:after="60" w:line="240" w:lineRule="auto"/>
        <w:rPr>
          <w:sz w:val="22"/>
          <w:szCs w:val="22"/>
          <w:rtl/>
        </w:rPr>
      </w:pPr>
      <w:r w:rsidRPr="003A5D38">
        <w:rPr>
          <w:rFonts w:hint="cs"/>
          <w:sz w:val="22"/>
          <w:szCs w:val="22"/>
          <w:rtl/>
        </w:rPr>
        <w:t>[טענת המדינה] לא רק שמותר ולגיטימי הוא לנקוט בפעולות לסיכול הטרור, אלא שחובה מוסרית היא לנקוט באותן פעולות.</w:t>
      </w:r>
    </w:p>
    <w:p w:rsidR="005366A8" w:rsidRPr="003A5D38" w:rsidRDefault="005366A8" w:rsidP="005366A8">
      <w:pPr>
        <w:pStyle w:val="T-body"/>
        <w:spacing w:after="60" w:line="240" w:lineRule="auto"/>
        <w:rPr>
          <w:sz w:val="22"/>
          <w:szCs w:val="22"/>
          <w:rtl/>
        </w:rPr>
      </w:pPr>
      <w:r w:rsidRPr="003A5D38">
        <w:rPr>
          <w:rFonts w:hint="cs"/>
          <w:sz w:val="22"/>
          <w:szCs w:val="22"/>
          <w:rtl/>
        </w:rPr>
        <w:t>מכיון שכך, אין כל מניעה שתמנע ממפקדיו של החוקר להדריכו ולהנחותו ביחס לשאלה מתי מתקיימים יסודות הסייג ומהם גבולות פעולתו בנסיבות אלה. מכאן חוקיות ההנחיות בעניין השימוש באמצעים פיזיים בחקירות השב"כ. במסגרת טיעונם, הניחו לפתחנו באי כוח המד</w:t>
      </w:r>
      <w:r w:rsidRPr="003A5D38">
        <w:rPr>
          <w:sz w:val="22"/>
          <w:szCs w:val="22"/>
          <w:rtl/>
        </w:rPr>
        <w:t>י</w:t>
      </w:r>
      <w:r w:rsidRPr="003A5D38">
        <w:rPr>
          <w:rFonts w:hint="cs"/>
          <w:sz w:val="22"/>
          <w:szCs w:val="22"/>
          <w:rtl/>
        </w:rPr>
        <w:t xml:space="preserve">נה את </w:t>
      </w:r>
      <w:r w:rsidRPr="00BA11EE">
        <w:rPr>
          <w:rFonts w:hint="cs"/>
          <w:sz w:val="22"/>
          <w:szCs w:val="22"/>
          <w:highlight w:val="yellow"/>
          <w:rtl/>
        </w:rPr>
        <w:t>טענת "הפצצה המתקתקת":</w:t>
      </w:r>
      <w:r w:rsidRPr="003A5D38">
        <w:rPr>
          <w:rFonts w:hint="cs"/>
          <w:sz w:val="22"/>
          <w:szCs w:val="22"/>
          <w:rtl/>
        </w:rPr>
        <w:t xml:space="preserve"> פלוני נעצר על ידי השב"כ. הוא מחזיק בידיו מידע אודות מיקומה של פצצה שהוטמנה ותתפוצץ בקרוב. ללא מידע זה לא ניתן בשום דרך לנטרל את הפצצה. אין גם כל דרך אחרת להשיג את המידע. אם יושג המידע, תנוטרל הפצצה. אם לא תנוטרל, ייפגעו וייהרג</w:t>
      </w:r>
      <w:r w:rsidRPr="003A5D38">
        <w:rPr>
          <w:sz w:val="22"/>
          <w:szCs w:val="22"/>
          <w:rtl/>
        </w:rPr>
        <w:t>ו</w:t>
      </w:r>
      <w:r w:rsidRPr="003A5D38">
        <w:rPr>
          <w:rFonts w:hint="cs"/>
          <w:sz w:val="22"/>
          <w:szCs w:val="22"/>
          <w:rtl/>
        </w:rPr>
        <w:t xml:space="preserve"> </w:t>
      </w:r>
      <w:r w:rsidRPr="003A5D38">
        <w:rPr>
          <w:sz w:val="22"/>
          <w:szCs w:val="22"/>
          <w:rtl/>
        </w:rPr>
        <w:t>ר</w:t>
      </w:r>
      <w:r w:rsidRPr="003A5D38">
        <w:rPr>
          <w:rFonts w:hint="cs"/>
          <w:sz w:val="22"/>
          <w:szCs w:val="22"/>
          <w:rtl/>
        </w:rPr>
        <w:t>בים. כלום רשאי, במצב זה, חוקר השב"כ להפעיל אמצעים פיזיים כדי להשיג מידע על אודות מיקום הפצצה?</w:t>
      </w:r>
    </w:p>
    <w:p w:rsidR="005366A8" w:rsidRPr="003A5D38" w:rsidRDefault="005366A8" w:rsidP="005366A8">
      <w:pPr>
        <w:pStyle w:val="T-body"/>
        <w:spacing w:after="60" w:line="240" w:lineRule="auto"/>
        <w:rPr>
          <w:sz w:val="22"/>
          <w:szCs w:val="22"/>
          <w:rtl/>
        </w:rPr>
      </w:pPr>
      <w:r w:rsidRPr="003A5D38">
        <w:rPr>
          <w:rFonts w:hint="cs"/>
          <w:sz w:val="22"/>
          <w:szCs w:val="22"/>
          <w:rtl/>
        </w:rPr>
        <w:t xml:space="preserve">מוכנים אנו לצאת מתוך ההנחה - אף שעניין זה שנוי במחלוקת </w:t>
      </w:r>
      <w:r w:rsidRPr="003A5D38">
        <w:rPr>
          <w:sz w:val="22"/>
          <w:szCs w:val="22"/>
          <w:rtl/>
        </w:rPr>
        <w:t xml:space="preserve">- </w:t>
      </w:r>
      <w:r w:rsidRPr="003A5D38">
        <w:rPr>
          <w:rFonts w:hint="cs"/>
          <w:sz w:val="22"/>
          <w:szCs w:val="22"/>
          <w:rtl/>
        </w:rPr>
        <w:t xml:space="preserve">כי סייג ה"צורך" עומד לכל אדם, לרבות לחוקר מטעם השלטון, הפועל במסגרות האירגוניות של השלטון, המקובלות לחקירות שכאלה. כן מוכנים אנו להניח - אף שגם עניין זה שנוי במחלוקת </w:t>
      </w:r>
      <w:r w:rsidRPr="003A5D38">
        <w:rPr>
          <w:sz w:val="22"/>
          <w:szCs w:val="22"/>
          <w:rtl/>
        </w:rPr>
        <w:t xml:space="preserve">- </w:t>
      </w:r>
      <w:r w:rsidRPr="003A5D38">
        <w:rPr>
          <w:rFonts w:hint="cs"/>
          <w:sz w:val="22"/>
          <w:szCs w:val="22"/>
          <w:rtl/>
        </w:rPr>
        <w:t>כי סייג זה עשוי להתקיים במצבים של "פצצה מתקתקת", וכי דרישת המיידיות ("דרוש באופן מיידי" להצלת חיים) מ</w:t>
      </w:r>
      <w:r w:rsidRPr="003A5D38">
        <w:rPr>
          <w:sz w:val="22"/>
          <w:szCs w:val="22"/>
          <w:rtl/>
        </w:rPr>
        <w:t>ת</w:t>
      </w:r>
      <w:r w:rsidRPr="003A5D38">
        <w:rPr>
          <w:rFonts w:hint="cs"/>
          <w:sz w:val="22"/>
          <w:szCs w:val="22"/>
          <w:rtl/>
        </w:rPr>
        <w:t>ייחסת למיידיות המעשה ולא למיידיות הסכנה. על כן, מיידיות מתקיימת גם אם הפצצה עשויה להתפוצץ לאחר מספר ימים ואולי אף מספר שבועות, ובלבד שקיימת ודאות של התממשות הסכנה והיעדר אפשרות למנוע את התממשותה בדרך אחרת; כלומר, שקיימת מידת סיכון קונקרטי ואימננטי להתרחש</w:t>
      </w:r>
      <w:r w:rsidRPr="003A5D38">
        <w:rPr>
          <w:sz w:val="22"/>
          <w:szCs w:val="22"/>
          <w:rtl/>
        </w:rPr>
        <w:t>ו</w:t>
      </w:r>
      <w:r w:rsidRPr="003A5D38">
        <w:rPr>
          <w:rFonts w:hint="cs"/>
          <w:sz w:val="22"/>
          <w:szCs w:val="22"/>
          <w:rtl/>
        </w:rPr>
        <w:t xml:space="preserve">ת הפיצוץ. על כן מוכנים אנו להניח, כפי שקבעה </w:t>
      </w:r>
      <w:r w:rsidRPr="003A5D38">
        <w:rPr>
          <w:sz w:val="22"/>
          <w:szCs w:val="22"/>
          <w:u w:val="single"/>
          <w:rtl/>
        </w:rPr>
        <w:t>ו</w:t>
      </w:r>
      <w:r w:rsidRPr="003A5D38">
        <w:rPr>
          <w:rFonts w:hint="cs"/>
          <w:sz w:val="22"/>
          <w:szCs w:val="22"/>
          <w:u w:val="single"/>
          <w:rtl/>
        </w:rPr>
        <w:t>עדת החקירה</w:t>
      </w:r>
      <w:r w:rsidRPr="00CA74EB">
        <w:rPr>
          <w:rFonts w:hint="cs"/>
          <w:i/>
          <w:iCs/>
          <w:sz w:val="22"/>
          <w:szCs w:val="22"/>
          <w:rtl/>
        </w:rPr>
        <w:t xml:space="preserve"> [ועדת לנדוי]</w:t>
      </w:r>
      <w:r w:rsidRPr="00CA74EB">
        <w:rPr>
          <w:i/>
          <w:iCs/>
          <w:sz w:val="22"/>
          <w:szCs w:val="22"/>
          <w:rtl/>
        </w:rPr>
        <w:t>,</w:t>
      </w:r>
      <w:r w:rsidRPr="003A5D38">
        <w:rPr>
          <w:sz w:val="22"/>
          <w:szCs w:val="22"/>
          <w:rtl/>
        </w:rPr>
        <w:t xml:space="preserve"> </w:t>
      </w:r>
      <w:r w:rsidRPr="003A5D38">
        <w:rPr>
          <w:rFonts w:hint="cs"/>
          <w:sz w:val="22"/>
          <w:szCs w:val="22"/>
          <w:rtl/>
        </w:rPr>
        <w:t xml:space="preserve">כי אם חוקר שב"כ - שהפעיל אמצעי חקירה פיזיים להצלת חיי אדם - מובא לדין פלילי, עשוי לעמוד להגנתו בנסיבות מתאימות הסייג של "צורך" (ראו ע"פ 532/91 </w:t>
      </w:r>
      <w:r w:rsidRPr="003A5D38">
        <w:rPr>
          <w:sz w:val="22"/>
          <w:szCs w:val="22"/>
          <w:u w:val="single"/>
          <w:rtl/>
        </w:rPr>
        <w:t>פ</w:t>
      </w:r>
      <w:r w:rsidRPr="003A5D38">
        <w:rPr>
          <w:rFonts w:hint="cs"/>
          <w:sz w:val="22"/>
          <w:szCs w:val="22"/>
          <w:u w:val="single"/>
          <w:rtl/>
        </w:rPr>
        <w:t>לונים נ' מדינת ישראל</w:t>
      </w:r>
      <w:r w:rsidRPr="003A5D38">
        <w:rPr>
          <w:sz w:val="22"/>
          <w:szCs w:val="22"/>
          <w:rtl/>
        </w:rPr>
        <w:t xml:space="preserve"> (</w:t>
      </w:r>
      <w:r w:rsidRPr="003A5D38">
        <w:rPr>
          <w:rFonts w:hint="cs"/>
          <w:sz w:val="22"/>
          <w:szCs w:val="22"/>
          <w:rtl/>
        </w:rPr>
        <w:t>לא פורסם)). אכן, ניתן להעלות שורה ארוכה של טיעונים מתחום האתיקה ומדע המדינה בעד ונגד הסייג של "צורך". אך בעניין זה נפלה ההכרעה במשפטנו, וחוק העונשין מכיר בסייג של "צורך".</w:t>
      </w:r>
    </w:p>
    <w:p w:rsidR="005366A8" w:rsidRPr="003A5D38" w:rsidRDefault="005366A8" w:rsidP="005366A8">
      <w:pPr>
        <w:pStyle w:val="T-body"/>
        <w:spacing w:after="60" w:line="240" w:lineRule="auto"/>
        <w:rPr>
          <w:sz w:val="22"/>
          <w:szCs w:val="22"/>
          <w:rtl/>
        </w:rPr>
      </w:pPr>
      <w:r w:rsidRPr="003A5D38">
        <w:rPr>
          <w:rFonts w:hint="cs"/>
          <w:sz w:val="22"/>
          <w:szCs w:val="22"/>
          <w:rtl/>
        </w:rPr>
        <w:t>הנה כי כן, מוכנים אנו להניח, כי בנסיבות מתאימות, יעמוד הסייג של "צורך" להגנת חוקר שב"כ שיעמוד לדין פלילי. אך זו אינה הבעיה הניצבת לפנינו. אין אנו עו</w:t>
      </w:r>
      <w:r w:rsidRPr="003A5D38">
        <w:rPr>
          <w:sz w:val="22"/>
          <w:szCs w:val="22"/>
          <w:rtl/>
        </w:rPr>
        <w:t>ס</w:t>
      </w:r>
      <w:r w:rsidRPr="003A5D38">
        <w:rPr>
          <w:rFonts w:hint="cs"/>
          <w:sz w:val="22"/>
          <w:szCs w:val="22"/>
          <w:rtl/>
        </w:rPr>
        <w:t xml:space="preserve">קים באחריות הפלילית (או המשמעתית) של חוקר שב"כ שעשה שימוש באמצעי חקירה פיזיים בנסיבות של "צורך", כשם שאיננו עוסקים בשאלת תוקפה של הודאה שניתנה בפני חוקרי שב"כ שהפעילו אמצעים פיזיים כלפי נחקר. </w:t>
      </w:r>
      <w:r w:rsidRPr="00854677">
        <w:rPr>
          <w:rFonts w:hint="cs"/>
          <w:sz w:val="22"/>
          <w:szCs w:val="22"/>
          <w:highlight w:val="yellow"/>
          <w:rtl/>
        </w:rPr>
        <w:t>אנו עוסקים בשאלה שונה. השאלה שלפנינו הינה אם מהסייג בדבר "צורך</w:t>
      </w:r>
      <w:r w:rsidRPr="00854677">
        <w:rPr>
          <w:sz w:val="22"/>
          <w:szCs w:val="22"/>
          <w:highlight w:val="yellow"/>
          <w:rtl/>
        </w:rPr>
        <w:t xml:space="preserve">" </w:t>
      </w:r>
      <w:r w:rsidRPr="00854677">
        <w:rPr>
          <w:rFonts w:hint="cs"/>
          <w:sz w:val="22"/>
          <w:szCs w:val="22"/>
          <w:highlight w:val="yellow"/>
          <w:rtl/>
        </w:rPr>
        <w:t>ניתן להסיק סמכות לקביעת נוהל קבוע מראש באשר לאמצעי החקירה הפיזיים בהם מותר לחוקר לנקוט במצב של "צורך", והאם סייג ה"צורך" מהווה מקור של סמכות לחוקר השב"כ במסגרת מילוי תפקידו</w:t>
      </w:r>
      <w:r w:rsidRPr="003A5D38">
        <w:rPr>
          <w:rFonts w:hint="cs"/>
          <w:sz w:val="22"/>
          <w:szCs w:val="22"/>
          <w:rtl/>
        </w:rPr>
        <w:t>.</w:t>
      </w:r>
    </w:p>
    <w:p w:rsidR="005366A8" w:rsidRPr="003A5D38" w:rsidRDefault="005366A8" w:rsidP="005366A8">
      <w:pPr>
        <w:pStyle w:val="T-body"/>
        <w:spacing w:after="60" w:line="240" w:lineRule="auto"/>
        <w:rPr>
          <w:sz w:val="22"/>
          <w:szCs w:val="22"/>
          <w:rtl/>
        </w:rPr>
      </w:pPr>
      <w:r w:rsidRPr="003A5D38">
        <w:rPr>
          <w:rFonts w:hint="cs"/>
          <w:sz w:val="22"/>
          <w:szCs w:val="22"/>
          <w:rtl/>
        </w:rPr>
        <w:t>לדעתנו, אין להסיק מהסייג של "צורך" סמכות כללית לקביעת הנחיות באשר לשימוש באמצעים פיזיים במהלך החקירה על ידי חוקרי השב"כ. הסייג של "צורך" אינו מקור של סמכות לחוקרי השב"כ לנקוט באמצעים פיזיים במהלך חקירה. הטעם לגישתנו זו נעוץ באופיו של הסייג בעניין "צור</w:t>
      </w:r>
      <w:r w:rsidRPr="003A5D38">
        <w:rPr>
          <w:sz w:val="22"/>
          <w:szCs w:val="22"/>
          <w:rtl/>
        </w:rPr>
        <w:t>ך</w:t>
      </w:r>
      <w:r w:rsidRPr="003A5D38">
        <w:rPr>
          <w:rFonts w:hint="cs"/>
          <w:sz w:val="22"/>
          <w:szCs w:val="22"/>
          <w:rtl/>
        </w:rPr>
        <w:t xml:space="preserve">". סייג זה עוסק בהכרעה אינדיבידואלית של האדם המגיב למצב עובדתי נתון; זוהי פעולה אד-הוק כתגובה לאירוע; היא תוצאה של אימפרוביציה נוכח התרחשות בלתי צפויה (ראו פלר, </w:t>
      </w:r>
      <w:r w:rsidRPr="003A5D38">
        <w:rPr>
          <w:sz w:val="22"/>
          <w:szCs w:val="22"/>
          <w:u w:val="single"/>
          <w:rtl/>
        </w:rPr>
        <w:t>שם</w:t>
      </w:r>
      <w:r w:rsidRPr="003A5D38">
        <w:rPr>
          <w:sz w:val="22"/>
          <w:szCs w:val="22"/>
          <w:rtl/>
        </w:rPr>
        <w:t xml:space="preserve"> </w:t>
      </w:r>
      <w:r w:rsidRPr="003A5D38">
        <w:rPr>
          <w:rFonts w:hint="cs"/>
          <w:sz w:val="22"/>
          <w:szCs w:val="22"/>
          <w:rtl/>
        </w:rPr>
        <w:t>עמ' 209). אופי זה של הסייג אינו מאפשר לו להוות מקור של סמכות מנהלית כללית. זו מבוססת על קביעת אמות מידה כלליות, הצופה פני העתיד.</w:t>
      </w:r>
    </w:p>
    <w:p w:rsidR="005366A8" w:rsidRPr="003A5D38" w:rsidRDefault="005366A8" w:rsidP="005366A8">
      <w:pPr>
        <w:pStyle w:val="T-body"/>
        <w:spacing w:after="60" w:line="240" w:lineRule="auto"/>
        <w:rPr>
          <w:sz w:val="22"/>
          <w:szCs w:val="22"/>
          <w:rtl/>
        </w:rPr>
      </w:pPr>
      <w:r w:rsidRPr="003A5D38">
        <w:rPr>
          <w:rFonts w:hint="cs"/>
          <w:sz w:val="22"/>
          <w:szCs w:val="22"/>
          <w:rtl/>
        </w:rPr>
        <w:t>עצם העובדה שפעולה מסוימת אינה מהווה עבירה פלילית (בשל הסייג של "צורך"), אין בה, כשלעצמה, כדי להסמיך את המנהל לבצע אותה פעולה ובכך לפ</w:t>
      </w:r>
      <w:r w:rsidRPr="003A5D38">
        <w:rPr>
          <w:sz w:val="22"/>
          <w:szCs w:val="22"/>
          <w:rtl/>
        </w:rPr>
        <w:t>ג</w:t>
      </w:r>
      <w:r w:rsidRPr="003A5D38">
        <w:rPr>
          <w:rFonts w:hint="cs"/>
          <w:sz w:val="22"/>
          <w:szCs w:val="22"/>
          <w:rtl/>
        </w:rPr>
        <w:t xml:space="preserve">וע בזכויות האדם. </w:t>
      </w:r>
      <w:r w:rsidRPr="00854677">
        <w:rPr>
          <w:rFonts w:hint="cs"/>
          <w:sz w:val="22"/>
          <w:szCs w:val="22"/>
          <w:highlight w:val="yellow"/>
          <w:rtl/>
        </w:rPr>
        <w:t>עקרון שלטון החוק (הפורמלי והמהותי גם יחד) מחייב שפגיעה בזכויות אדם תעוגן בהוראת חוק המסמיכה את המינהל לכך</w:t>
      </w:r>
      <w:r w:rsidRPr="003A5D38">
        <w:rPr>
          <w:rFonts w:hint="cs"/>
          <w:sz w:val="22"/>
          <w:szCs w:val="22"/>
          <w:rtl/>
        </w:rPr>
        <w:t>. שלילת אחריות פלילית אינה משמשת הסמכה לפגיעה בזכויות אדם.</w:t>
      </w:r>
    </w:p>
    <w:p w:rsidR="005366A8" w:rsidRPr="003A5D38" w:rsidRDefault="005366A8" w:rsidP="005366A8">
      <w:pPr>
        <w:pStyle w:val="T-body"/>
        <w:spacing w:after="60" w:line="240" w:lineRule="auto"/>
        <w:rPr>
          <w:sz w:val="22"/>
          <w:szCs w:val="22"/>
          <w:rtl/>
        </w:rPr>
      </w:pPr>
      <w:r w:rsidRPr="003A5D38">
        <w:rPr>
          <w:rFonts w:hint="cs"/>
          <w:sz w:val="22"/>
          <w:szCs w:val="22"/>
          <w:rtl/>
        </w:rPr>
        <w:t xml:space="preserve">סייג ה"צורך" אינו יכול לשמש מקור לקביעת כללים באשר לצרכי החקירה. הוא אינו </w:t>
      </w:r>
      <w:r w:rsidRPr="003A5D38">
        <w:rPr>
          <w:sz w:val="22"/>
          <w:szCs w:val="22"/>
          <w:rtl/>
        </w:rPr>
        <w:t>י</w:t>
      </w:r>
      <w:r w:rsidRPr="003A5D38">
        <w:rPr>
          <w:rFonts w:hint="cs"/>
          <w:sz w:val="22"/>
          <w:szCs w:val="22"/>
          <w:rtl/>
        </w:rPr>
        <w:t xml:space="preserve">כול לשמש מקור להסמכת החוקר האינדיבידואלי להפעיל אמצעים פיזיים בחקירה שהוא מנהל. </w:t>
      </w:r>
      <w:r w:rsidRPr="00854677">
        <w:rPr>
          <w:rFonts w:hint="cs"/>
          <w:sz w:val="22"/>
          <w:szCs w:val="22"/>
          <w:highlight w:val="yellow"/>
          <w:rtl/>
        </w:rPr>
        <w:t xml:space="preserve">סמכות להתקנת כללים ולפעולה על פיהם מחייבת הסמכה בדבר חקיקה שעניינו סמכות החקירה. </w:t>
      </w:r>
      <w:r w:rsidRPr="00460864">
        <w:rPr>
          <w:rFonts w:hint="cs"/>
          <w:sz w:val="22"/>
          <w:szCs w:val="22"/>
          <w:rtl/>
        </w:rPr>
        <w:t>בגדריה של חקיקה זו, אם המחוקק ירצה בה, יתן המחוקק דעתו לבעיות החברתיות, המוסריות והפוליטיות ה</w:t>
      </w:r>
      <w:r w:rsidRPr="00460864">
        <w:rPr>
          <w:sz w:val="22"/>
          <w:szCs w:val="22"/>
          <w:rtl/>
        </w:rPr>
        <w:t>ק</w:t>
      </w:r>
      <w:r w:rsidRPr="00460864">
        <w:rPr>
          <w:rFonts w:hint="cs"/>
          <w:sz w:val="22"/>
          <w:szCs w:val="22"/>
          <w:rtl/>
        </w:rPr>
        <w:t>שורות במתן הסמכה להפעלת אמצעים פיזיים בחקירה.</w:t>
      </w:r>
      <w:r w:rsidRPr="003A5D38">
        <w:rPr>
          <w:rFonts w:hint="cs"/>
          <w:sz w:val="22"/>
          <w:szCs w:val="22"/>
          <w:rtl/>
        </w:rPr>
        <w:t xml:space="preserve"> שיקולים אלה לא עמדו, מטבע הדברים, בפני המחוקק שעה שנקבע סייג ה"צורך". </w:t>
      </w:r>
    </w:p>
    <w:p w:rsidR="005366A8" w:rsidRPr="003A5D38" w:rsidRDefault="005366A8" w:rsidP="005366A8">
      <w:pPr>
        <w:pStyle w:val="T-body"/>
        <w:spacing w:after="60" w:line="240" w:lineRule="auto"/>
        <w:rPr>
          <w:sz w:val="22"/>
          <w:szCs w:val="22"/>
          <w:rtl/>
        </w:rPr>
      </w:pPr>
      <w:r w:rsidRPr="00460864">
        <w:rPr>
          <w:rFonts w:hint="cs"/>
          <w:sz w:val="22"/>
          <w:szCs w:val="22"/>
          <w:highlight w:val="yellow"/>
          <w:rtl/>
        </w:rPr>
        <w:t>מתן סמכות לחוקרי השב"כ להפעיל כו</w:t>
      </w:r>
      <w:r w:rsidRPr="00460864">
        <w:rPr>
          <w:sz w:val="22"/>
          <w:szCs w:val="22"/>
          <w:highlight w:val="yellow"/>
          <w:rtl/>
        </w:rPr>
        <w:t>ח</w:t>
      </w:r>
      <w:r w:rsidRPr="00460864">
        <w:rPr>
          <w:rFonts w:hint="cs"/>
          <w:sz w:val="22"/>
          <w:szCs w:val="22"/>
          <w:highlight w:val="yellow"/>
          <w:rtl/>
        </w:rPr>
        <w:t xml:space="preserve"> פיזי במהלך חקירה של חשודים בפעילות חבלנית עויינת הפוגעת בכבוד האדם ובחירותם של אלה, מעוררת שאלות יסוד של משפט וחברה, של מוסר ומדיניות, של שלטון חוק ובטחון. שאלות אלה והתשובות להן צריכות להיקבע על ידי הרשות המחוקקת. כך מתבקש מעקרון הפרדת הרשויות ומעקרון </w:t>
      </w:r>
      <w:r w:rsidRPr="00460864">
        <w:rPr>
          <w:sz w:val="22"/>
          <w:szCs w:val="22"/>
          <w:highlight w:val="yellow"/>
          <w:rtl/>
        </w:rPr>
        <w:t>ש</w:t>
      </w:r>
      <w:r w:rsidRPr="00460864">
        <w:rPr>
          <w:rFonts w:hint="cs"/>
          <w:sz w:val="22"/>
          <w:szCs w:val="22"/>
          <w:highlight w:val="yellow"/>
          <w:rtl/>
        </w:rPr>
        <w:t>לטון החוק. כך מתבקש מתפיסת הדמוקרטיה עצמה</w:t>
      </w:r>
      <w:r w:rsidRPr="003A5D38">
        <w:rPr>
          <w:rFonts w:hint="cs"/>
          <w:sz w:val="22"/>
          <w:szCs w:val="22"/>
          <w:rtl/>
        </w:rPr>
        <w:t>.</w:t>
      </w:r>
    </w:p>
    <w:p w:rsidR="005366A8" w:rsidRPr="003A5D38" w:rsidRDefault="005366A8" w:rsidP="005366A8">
      <w:pPr>
        <w:pStyle w:val="T-body"/>
        <w:spacing w:after="60" w:line="240" w:lineRule="auto"/>
        <w:rPr>
          <w:sz w:val="22"/>
          <w:szCs w:val="22"/>
          <w:rtl/>
        </w:rPr>
      </w:pPr>
      <w:r w:rsidRPr="003A5D38">
        <w:rPr>
          <w:rFonts w:hint="cs"/>
          <w:sz w:val="22"/>
          <w:szCs w:val="22"/>
          <w:rtl/>
        </w:rPr>
        <w:t>מסקנתנו הינה איפוא זו: על פי המצב המשפטי הקיים, אין סמכות לממשלה או לראשי שירות הבטחון הכללי לקבוע הנחיות, כללים והיתרים באשר לשימוש באמצעים פיזיים במהלך</w:t>
      </w:r>
      <w:r w:rsidRPr="003A5D38">
        <w:rPr>
          <w:sz w:val="22"/>
          <w:szCs w:val="22"/>
          <w:rtl/>
        </w:rPr>
        <w:t xml:space="preserve"> </w:t>
      </w:r>
      <w:r w:rsidRPr="003A5D38">
        <w:rPr>
          <w:rFonts w:hint="cs"/>
          <w:sz w:val="22"/>
          <w:szCs w:val="22"/>
          <w:rtl/>
        </w:rPr>
        <w:t xml:space="preserve">חקירה של חשודים בפעילות חבלנית עוינת, הפוגעים בחירותם של אלה, מעבר להנחיות ולכללים המתבקשים מעצם מושג החקירה. בדומה, לחוקר שב"כ אינדיבידואלי - כמו לכל שוטר - אין סמכות לנקוט אמצעים פיזיים אלה הפוגעים בחירותו של הנחקר במהלך החקירה, אלא רק אמצעים המתבקשים </w:t>
      </w:r>
      <w:r w:rsidRPr="003A5D38">
        <w:rPr>
          <w:sz w:val="22"/>
          <w:szCs w:val="22"/>
          <w:rtl/>
        </w:rPr>
        <w:t>ב</w:t>
      </w:r>
      <w:r w:rsidRPr="003A5D38">
        <w:rPr>
          <w:rFonts w:hint="cs"/>
          <w:sz w:val="22"/>
          <w:szCs w:val="22"/>
          <w:rtl/>
        </w:rPr>
        <w:t xml:space="preserve">דרך כלל ובאופן אינהרנטי ממהות החקירה, הנדרשת להיות חקירה הוגנת וסבירה. אם חוקר עומד לנקוט אמצעים אלה, או נוקט בהם הלכה למעשה, הוא חורג מסמכותו. אחריותו לכך תיבחן על פי הדין הכללי. </w:t>
      </w:r>
      <w:r w:rsidRPr="00460864">
        <w:rPr>
          <w:rFonts w:hint="cs"/>
          <w:sz w:val="22"/>
          <w:szCs w:val="22"/>
          <w:highlight w:val="yellow"/>
          <w:rtl/>
        </w:rPr>
        <w:t>אחריותו הפלילית תיבחן במסגרת סייג ה"צורך",</w:t>
      </w:r>
      <w:r w:rsidRPr="003A5D38">
        <w:rPr>
          <w:rFonts w:hint="cs"/>
          <w:sz w:val="22"/>
          <w:szCs w:val="22"/>
          <w:rtl/>
        </w:rPr>
        <w:t xml:space="preserve"> ועל פי הנחתנו (ראו פסקה 35 </w:t>
      </w:r>
      <w:r w:rsidRPr="003A5D38">
        <w:rPr>
          <w:sz w:val="22"/>
          <w:szCs w:val="22"/>
          <w:u w:val="single"/>
          <w:rtl/>
        </w:rPr>
        <w:t>ל</w:t>
      </w:r>
      <w:r w:rsidRPr="003A5D38">
        <w:rPr>
          <w:rFonts w:hint="cs"/>
          <w:sz w:val="22"/>
          <w:szCs w:val="22"/>
          <w:u w:val="single"/>
          <w:rtl/>
        </w:rPr>
        <w:t>עיל</w:t>
      </w:r>
      <w:r w:rsidRPr="003A5D38">
        <w:rPr>
          <w:sz w:val="22"/>
          <w:szCs w:val="22"/>
          <w:rtl/>
        </w:rPr>
        <w:t xml:space="preserve">), </w:t>
      </w:r>
      <w:r w:rsidRPr="003A5D38">
        <w:rPr>
          <w:rFonts w:hint="cs"/>
          <w:sz w:val="22"/>
          <w:szCs w:val="22"/>
          <w:rtl/>
        </w:rPr>
        <w:t>אם נסיבות המקרה מקיימות את דרישות הסייג, עשוי החוקר לחסות תחת כנפיו. כשם שקיומו של הסייג בדבר "צורך" אינו יוצר סמכות, כך העדר סמכות אינו שולל, כשלעצמו, את סייג ה"צורך"</w:t>
      </w:r>
      <w:r w:rsidRPr="003A5D38">
        <w:rPr>
          <w:b/>
          <w:bCs/>
          <w:sz w:val="22"/>
          <w:szCs w:val="22"/>
          <w:rtl/>
        </w:rPr>
        <w:t xml:space="preserve"> </w:t>
      </w:r>
      <w:r w:rsidRPr="003A5D38">
        <w:rPr>
          <w:sz w:val="22"/>
          <w:szCs w:val="22"/>
          <w:rtl/>
        </w:rPr>
        <w:t>א</w:t>
      </w:r>
      <w:r w:rsidRPr="003A5D38">
        <w:rPr>
          <w:rFonts w:hint="cs"/>
          <w:sz w:val="22"/>
          <w:szCs w:val="22"/>
          <w:rtl/>
        </w:rPr>
        <w:t xml:space="preserve">ו סייגים נוספים לאחריות פלילית. </w:t>
      </w:r>
      <w:r w:rsidRPr="00CA74EB">
        <w:rPr>
          <w:rFonts w:hint="cs"/>
          <w:sz w:val="22"/>
          <w:szCs w:val="22"/>
          <w:highlight w:val="yellow"/>
          <w:rtl/>
        </w:rPr>
        <w:t>היועץ המשפטי לממשלה</w:t>
      </w:r>
      <w:r w:rsidRPr="003A5D38">
        <w:rPr>
          <w:rFonts w:hint="cs"/>
          <w:sz w:val="22"/>
          <w:szCs w:val="22"/>
          <w:rtl/>
        </w:rPr>
        <w:t xml:space="preserve"> יכול להדריך עצמו באשר לנסיבות בהן לא יועמדו לדין חוקרים, אשר לפי הטענה פעלו במקרה בודד מתחושה של "צורך". כמובן, כדי להביא לידי כך שהממשלה תהא מוסמכת להורות על שימוש באמצעים פיזיים במהלך החקירה מעבר למות</w:t>
      </w:r>
      <w:r w:rsidRPr="003A5D38">
        <w:rPr>
          <w:sz w:val="22"/>
          <w:szCs w:val="22"/>
          <w:rtl/>
        </w:rPr>
        <w:t>ר</w:t>
      </w:r>
      <w:r w:rsidRPr="003A5D38">
        <w:rPr>
          <w:rFonts w:hint="cs"/>
          <w:sz w:val="22"/>
          <w:szCs w:val="22"/>
          <w:rtl/>
        </w:rPr>
        <w:t xml:space="preserve"> על פי דיני החקירה הרגילים - וכדי לגרום לכך שלחוקר השב"כ האינדיבידואלי תהא סמכות לנקוט</w:t>
      </w:r>
      <w:r w:rsidRPr="003A5D38">
        <w:rPr>
          <w:sz w:val="22"/>
          <w:szCs w:val="22"/>
          <w:rtl/>
        </w:rPr>
        <w:t xml:space="preserve"> </w:t>
      </w:r>
      <w:r w:rsidRPr="003A5D38">
        <w:rPr>
          <w:rFonts w:hint="cs"/>
          <w:sz w:val="22"/>
          <w:szCs w:val="22"/>
          <w:rtl/>
        </w:rPr>
        <w:t>באמצעים אלה - יש צורך בהוראת חוק כדין המעניקה סמכות זו. הסייג בדבר "צורך" אינו יכול לשמש עוגן לסמכויות אלה.</w:t>
      </w:r>
    </w:p>
    <w:p w:rsidR="005366A8" w:rsidRPr="003A5D38" w:rsidRDefault="005366A8" w:rsidP="005366A8">
      <w:pPr>
        <w:pStyle w:val="4"/>
        <w:spacing w:line="240" w:lineRule="auto"/>
        <w:rPr>
          <w:rFonts w:ascii="Times New Roman" w:hAnsi="Times New Roman"/>
          <w:highlight w:val="yellow"/>
          <w:rtl/>
        </w:rPr>
      </w:pPr>
      <w:r w:rsidRPr="003A5D38">
        <w:rPr>
          <w:rFonts w:ascii="Times New Roman" w:hAnsi="Times New Roman"/>
          <w:rtl/>
        </w:rPr>
        <w:t>39.</w:t>
      </w:r>
      <w:r w:rsidRPr="003A5D38">
        <w:rPr>
          <w:rFonts w:ascii="Times New Roman" w:hAnsi="Times New Roman"/>
          <w:rtl/>
        </w:rPr>
        <w:tab/>
      </w:r>
      <w:r w:rsidRPr="003A5D38">
        <w:rPr>
          <w:rFonts w:ascii="Times New Roman" w:hAnsi="Times New Roman" w:hint="cs"/>
          <w:rtl/>
        </w:rPr>
        <w:t xml:space="preserve">פתחנו את פסק דיננו בתאור המציאות הבטחונית הקשה בה מצויה ישראל. בחזרה למציאות זו נסיים את פסק דיננו. מודעים אנו לכך כי פסק דיננו זה אינו מקל על ההתמודדות עם מציאות זו. זה גורלה של דמוקרטיה, שלא כל האמצעים כשרים בעיניה, ולא כל השיטות בהן נוקטים אוייביה </w:t>
      </w:r>
      <w:r w:rsidRPr="003A5D38">
        <w:rPr>
          <w:rFonts w:ascii="Times New Roman" w:hAnsi="Times New Roman"/>
          <w:rtl/>
        </w:rPr>
        <w:t>פ</w:t>
      </w:r>
      <w:r w:rsidRPr="003A5D38">
        <w:rPr>
          <w:rFonts w:ascii="Times New Roman" w:hAnsi="Times New Roman" w:hint="cs"/>
          <w:rtl/>
        </w:rPr>
        <w:t>תוחות לפניה. לא פעם נלחמת הדמוקרטיה כאשר אחת מידיה קשורה לאחור. חרף זאת, ידה של הדמוקרטיה על העליונה, שכן שמירה על שלטון החוק והכרה בחירו</w:t>
      </w:r>
      <w:r w:rsidRPr="003A5D38">
        <w:rPr>
          <w:rFonts w:ascii="Times New Roman" w:hAnsi="Times New Roman"/>
          <w:rtl/>
        </w:rPr>
        <w:t>י</w:t>
      </w:r>
      <w:r w:rsidRPr="003A5D38">
        <w:rPr>
          <w:rFonts w:ascii="Times New Roman" w:hAnsi="Times New Roman" w:hint="cs"/>
          <w:rtl/>
        </w:rPr>
        <w:t xml:space="preserve">ות הפרט, מהוות מרכיב חשוב בתפישת בטחונה. בסופו של יום, הן מחזקות את רוחה ואת כוחה ומאפשרות לה להתגבר על קשייה. </w:t>
      </w:r>
    </w:p>
    <w:p w:rsidR="005366A8" w:rsidRPr="003A5D38" w:rsidRDefault="005366A8" w:rsidP="005366A8">
      <w:pPr>
        <w:pStyle w:val="4"/>
        <w:spacing w:after="60" w:line="240" w:lineRule="auto"/>
        <w:rPr>
          <w:rFonts w:ascii="Times New Roman" w:hAnsi="Times New Roman"/>
          <w:rtl/>
        </w:rPr>
      </w:pPr>
      <w:r w:rsidRPr="003A5D38">
        <w:rPr>
          <w:rFonts w:ascii="Times New Roman" w:hAnsi="Times New Roman" w:hint="cs"/>
          <w:highlight w:val="yellow"/>
          <w:rtl/>
        </w:rPr>
        <w:t>עם זאת תיתכן עמדה הגורסת שהקשיים הבטחוניים הם רבים מדי, וכי נדרשת הסמכה לנקיטה באמצעים פיזיים במהלך החקירה. אם אמנם כך יוחלט - ואך טבעי הוא שבע</w:t>
      </w:r>
      <w:r w:rsidRPr="003A5D38">
        <w:rPr>
          <w:rFonts w:ascii="Times New Roman" w:hAnsi="Times New Roman"/>
          <w:highlight w:val="yellow"/>
          <w:rtl/>
        </w:rPr>
        <w:t>נ</w:t>
      </w:r>
      <w:r w:rsidRPr="003A5D38">
        <w:rPr>
          <w:rFonts w:ascii="Times New Roman" w:hAnsi="Times New Roman" w:hint="cs"/>
          <w:highlight w:val="yellow"/>
          <w:rtl/>
        </w:rPr>
        <w:t>יין זה איננו נוקטים בשלב זה כל עמדה - כי אז ההכרעה בשאלה אם ראוי לה לישראל - בשל קשייה הבטחוניים - לאפשר אמצעים פיזיים בחקירותיה, ובשאלת היקפם של אותם אמצעים - החורגים מכללי החקירה "הרגילה" - היא שאלה שההכרעה בה צריכה להיעשות על ידי הרשות המחוקקת, המייצג</w:t>
      </w:r>
      <w:r w:rsidRPr="003A5D38">
        <w:rPr>
          <w:rFonts w:ascii="Times New Roman" w:hAnsi="Times New Roman"/>
          <w:highlight w:val="yellow"/>
          <w:rtl/>
        </w:rPr>
        <w:t>ת</w:t>
      </w:r>
      <w:r w:rsidRPr="003A5D38">
        <w:rPr>
          <w:rFonts w:ascii="Times New Roman" w:hAnsi="Times New Roman" w:hint="cs"/>
          <w:highlight w:val="yellow"/>
          <w:rtl/>
        </w:rPr>
        <w:t xml:space="preserve"> </w:t>
      </w:r>
      <w:r w:rsidRPr="003A5D38">
        <w:rPr>
          <w:rFonts w:ascii="Times New Roman" w:hAnsi="Times New Roman"/>
          <w:highlight w:val="yellow"/>
          <w:rtl/>
        </w:rPr>
        <w:t>א</w:t>
      </w:r>
      <w:r w:rsidRPr="003A5D38">
        <w:rPr>
          <w:rFonts w:ascii="Times New Roman" w:hAnsi="Times New Roman" w:hint="cs"/>
          <w:highlight w:val="yellow"/>
          <w:rtl/>
        </w:rPr>
        <w:t xml:space="preserve">ת העם. כאן צריכים להישקל השיקולים השונים. כאן צריך להתנהל הדיון הנוקב. כאן יכולה להתקבל החקיקה הנדרשת, </w:t>
      </w:r>
      <w:r w:rsidRPr="00460864">
        <w:rPr>
          <w:rFonts w:ascii="Times New Roman" w:hAnsi="Times New Roman" w:hint="cs"/>
          <w:rtl/>
        </w:rPr>
        <w:t xml:space="preserve">ובלבד, כמובן, </w:t>
      </w:r>
      <w:r w:rsidRPr="003A5D38">
        <w:rPr>
          <w:rFonts w:ascii="Times New Roman" w:hAnsi="Times New Roman" w:hint="cs"/>
          <w:highlight w:val="yellow"/>
          <w:rtl/>
        </w:rPr>
        <w:t>שחוק הפוגע בחירותו של הנחקר יהיה "הולם את ערכיה של מדינת ישראל, שנועד לתכלית ראויה, ובמידה שאינה עולה על הנדרש</w:t>
      </w:r>
      <w:r w:rsidRPr="003A5D38">
        <w:rPr>
          <w:rFonts w:ascii="Times New Roman" w:hAnsi="Times New Roman" w:hint="cs"/>
          <w:rtl/>
        </w:rPr>
        <w:t>" (</w:t>
      </w:r>
      <w:r w:rsidRPr="003A5D38">
        <w:rPr>
          <w:rFonts w:ascii="Times New Roman" w:hAnsi="Times New Roman" w:hint="cs"/>
          <w:highlight w:val="yellow"/>
          <w:rtl/>
        </w:rPr>
        <w:t>סעיף 8 לחוק יסוד: כבוד ה</w:t>
      </w:r>
      <w:r w:rsidRPr="003A5D38">
        <w:rPr>
          <w:rFonts w:ascii="Times New Roman" w:hAnsi="Times New Roman"/>
          <w:highlight w:val="yellow"/>
          <w:rtl/>
        </w:rPr>
        <w:t>א</w:t>
      </w:r>
      <w:r w:rsidRPr="003A5D38">
        <w:rPr>
          <w:rFonts w:ascii="Times New Roman" w:hAnsi="Times New Roman" w:hint="cs"/>
          <w:highlight w:val="yellow"/>
          <w:rtl/>
        </w:rPr>
        <w:t>דם וחירותו</w:t>
      </w:r>
      <w:r w:rsidRPr="003A5D38">
        <w:rPr>
          <w:rFonts w:ascii="Times New Roman" w:hAnsi="Times New Roman" w:hint="cs"/>
          <w:rtl/>
        </w:rPr>
        <w:t>).</w:t>
      </w:r>
    </w:p>
    <w:p w:rsidR="005366A8" w:rsidRPr="003A5D38" w:rsidRDefault="005366A8" w:rsidP="005366A8">
      <w:pPr>
        <w:rPr>
          <w:rFonts w:cs="David"/>
          <w:sz w:val="22"/>
          <w:szCs w:val="22"/>
          <w:rtl/>
        </w:rPr>
      </w:pPr>
      <w:r w:rsidRPr="003A5D38">
        <w:rPr>
          <w:sz w:val="22"/>
          <w:szCs w:val="22"/>
          <w:rtl/>
        </w:rPr>
        <w:t>40.</w:t>
      </w:r>
      <w:r w:rsidRPr="003A5D38">
        <w:rPr>
          <w:sz w:val="22"/>
          <w:szCs w:val="22"/>
          <w:rtl/>
        </w:rPr>
        <w:tab/>
      </w:r>
      <w:r w:rsidRPr="003A5D38">
        <w:rPr>
          <w:rFonts w:hint="cs"/>
          <w:sz w:val="22"/>
          <w:szCs w:val="22"/>
          <w:rtl/>
        </w:rPr>
        <w:t>ההחלטה בעתירות אלה קשתה עלינו. אמת, מנקודת המבט המשפטית דרכנו סלולה. אך אנו חלק מהחברה הישראלית. יודעים אנו את קשייה וחיים אנו את תולדותיה. איננו מצויים במגדל שן. חיים אנו את חייה של המדינה. מודעים אנו למציאות הטרור הקשה בה שרויים אנו לעת</w:t>
      </w:r>
      <w:r w:rsidRPr="003A5D38">
        <w:rPr>
          <w:sz w:val="22"/>
          <w:szCs w:val="22"/>
          <w:rtl/>
        </w:rPr>
        <w:t>י</w:t>
      </w:r>
      <w:r w:rsidRPr="003A5D38">
        <w:rPr>
          <w:rFonts w:hint="cs"/>
          <w:sz w:val="22"/>
          <w:szCs w:val="22"/>
          <w:rtl/>
        </w:rPr>
        <w:t>ם. החשש כי פסק דיננו ימנע התמודדות ראויה עם מחבלים וטרוריסטים מטריד אותנו. אך אנו שופטים. דורשים אנו מזולתנו לפעול על פי הדין. זו גם הדרישה שאנו מעמידים לעצמנו. כשאנו יושבים לדין גם אנו עומדים לדין. עלינו לפעול על פי מיטב מצפוננו והכרתנו באשר לדין.</w:t>
      </w:r>
    </w:p>
    <w:p w:rsidR="005366A8" w:rsidRPr="003A5D38" w:rsidRDefault="005366A8" w:rsidP="005366A8">
      <w:pPr>
        <w:rPr>
          <w:rFonts w:cs="David"/>
          <w:sz w:val="22"/>
          <w:szCs w:val="22"/>
          <w:rtl/>
        </w:rPr>
      </w:pPr>
    </w:p>
    <w:p w:rsidR="005366A8" w:rsidRPr="00BA2B3F" w:rsidRDefault="005366A8" w:rsidP="005366A8">
      <w:pPr>
        <w:rPr>
          <w:rFonts w:ascii="Arial" w:hAnsi="Arial" w:cs="Arial"/>
          <w:i/>
          <w:iCs/>
          <w:sz w:val="22"/>
          <w:szCs w:val="22"/>
          <w:rtl/>
        </w:rPr>
      </w:pPr>
      <w:r>
        <w:rPr>
          <w:rFonts w:ascii="Arial" w:hAnsi="Arial" w:cs="Arial" w:hint="cs"/>
          <w:i/>
          <w:iCs/>
          <w:sz w:val="22"/>
          <w:szCs w:val="22"/>
          <w:rtl/>
        </w:rPr>
        <w:t>"לב הדברים"</w:t>
      </w:r>
      <w:r w:rsidRPr="00BA2B3F">
        <w:rPr>
          <w:rFonts w:ascii="Arial" w:hAnsi="Arial" w:cs="Arial"/>
          <w:i/>
          <w:iCs/>
          <w:sz w:val="22"/>
          <w:szCs w:val="22"/>
          <w:rtl/>
        </w:rPr>
        <w:t xml:space="preserve"> מתוך סוף פסק הדין</w:t>
      </w:r>
    </w:p>
    <w:p w:rsidR="005366A8" w:rsidRDefault="005366A8" w:rsidP="005366A8">
      <w:pPr>
        <w:rPr>
          <w:rFonts w:cs="David"/>
          <w:sz w:val="22"/>
          <w:szCs w:val="22"/>
          <w:rtl/>
        </w:rPr>
      </w:pPr>
    </w:p>
    <w:p w:rsidR="005366A8" w:rsidRPr="00D010DB" w:rsidRDefault="005366A8" w:rsidP="005366A8">
      <w:pPr>
        <w:tabs>
          <w:tab w:val="left" w:pos="9665"/>
        </w:tabs>
        <w:overflowPunct w:val="0"/>
        <w:autoSpaceDE w:val="0"/>
        <w:autoSpaceDN w:val="0"/>
        <w:adjustRightInd w:val="0"/>
        <w:ind w:left="452" w:right="426"/>
        <w:rPr>
          <w:rFonts w:ascii="Arial TUR" w:hAnsi="Arial TUR" w:cs="FrankRuehl"/>
          <w:spacing w:val="10"/>
          <w:rtl/>
        </w:rPr>
      </w:pPr>
      <w:r w:rsidRPr="00D010DB">
        <w:rPr>
          <w:rFonts w:ascii="Arial TUR" w:hAnsi="Arial TUR" w:cs="FrankRuehl" w:hint="cs"/>
          <w:spacing w:val="10"/>
          <w:rtl/>
        </w:rPr>
        <w:t>"</w:t>
      </w:r>
      <w:r w:rsidRPr="00D010DB">
        <w:rPr>
          <w:rFonts w:ascii="Arial TUR" w:hAnsi="Arial TUR" w:cs="FrankRuehl"/>
          <w:spacing w:val="10"/>
          <w:rtl/>
        </w:rPr>
        <w:t xml:space="preserve">מתן סמכות לחוקרי השב"כ להפעיל כוח פיזי במהלך חקירה של חשודים בפעילות חבלנית עוינת הפוגעת בכבוד האדם ובחירותם של אלה, מעוררת שאלות יסוד של משפט וחברה, של מוסר ומדיניות, של שלטון חוק וביטחון. </w:t>
      </w:r>
      <w:r w:rsidRPr="00D010DB">
        <w:rPr>
          <w:rFonts w:ascii="Arial TUR" w:hAnsi="Arial TUR" w:cs="FrankRuehl"/>
          <w:spacing w:val="10"/>
          <w:highlight w:val="yellow"/>
          <w:rtl/>
        </w:rPr>
        <w:t>שאלות אלה והתשובות להן צריכות להיקבע על-ידי הרשות המחוקקת. כך מתבקש מעקרון הפרדת הרשויות ומעקרון שלטון החוק.</w:t>
      </w:r>
      <w:r w:rsidRPr="00D010DB">
        <w:rPr>
          <w:rFonts w:ascii="Arial TUR" w:hAnsi="Arial TUR" w:cs="FrankRuehl"/>
          <w:spacing w:val="10"/>
          <w:rtl/>
        </w:rPr>
        <w:t xml:space="preserve"> </w:t>
      </w:r>
      <w:r w:rsidRPr="00CA74EB">
        <w:rPr>
          <w:rFonts w:ascii="Arial TUR" w:hAnsi="Arial TUR" w:cs="FrankRuehl"/>
          <w:spacing w:val="10"/>
          <w:highlight w:val="yellow"/>
          <w:rtl/>
        </w:rPr>
        <w:t>כך מתבקש מתפיסת הדמוקרטיה עצמה</w:t>
      </w:r>
      <w:r w:rsidRPr="00D010DB">
        <w:rPr>
          <w:rFonts w:ascii="Arial TUR" w:hAnsi="Arial TUR" w:cs="FrankRuehl"/>
          <w:spacing w:val="10"/>
          <w:rtl/>
        </w:rPr>
        <w:t xml:space="preserve"> (ראו בג"ץ 3267/97 </w:t>
      </w:r>
      <w:r w:rsidRPr="00D010DB">
        <w:rPr>
          <w:rFonts w:ascii="Arial TUR" w:hAnsi="Arial TUR" w:cs="FrankRuehl"/>
          <w:b/>
          <w:bCs/>
          <w:spacing w:val="10"/>
          <w:rtl/>
        </w:rPr>
        <w:t>רובינשטיין נ' שר הביטחון</w:t>
      </w:r>
      <w:r w:rsidRPr="00D010DB">
        <w:rPr>
          <w:rFonts w:ascii="Arial TUR" w:hAnsi="Arial TUR" w:cs="FrankRuehl"/>
          <w:spacing w:val="10"/>
          <w:rtl/>
        </w:rPr>
        <w:t xml:space="preserve"> [25]).</w:t>
      </w:r>
      <w:r w:rsidRPr="00D010DB">
        <w:rPr>
          <w:rFonts w:ascii="Arial TUR" w:hAnsi="Arial TUR" w:cs="FrankRuehl" w:hint="cs"/>
          <w:spacing w:val="10"/>
          <w:rtl/>
        </w:rPr>
        <w:t xml:space="preserve">  ...</w:t>
      </w:r>
    </w:p>
    <w:p w:rsidR="005366A8" w:rsidRPr="00D010DB" w:rsidRDefault="005366A8" w:rsidP="005366A8">
      <w:pPr>
        <w:tabs>
          <w:tab w:val="left" w:pos="9665"/>
        </w:tabs>
        <w:overflowPunct w:val="0"/>
        <w:autoSpaceDE w:val="0"/>
        <w:autoSpaceDN w:val="0"/>
        <w:adjustRightInd w:val="0"/>
        <w:ind w:left="452" w:right="426"/>
        <w:rPr>
          <w:rFonts w:ascii="Arial TUR" w:hAnsi="Arial TUR" w:cs="FrankRuehl"/>
          <w:spacing w:val="10"/>
          <w:rtl/>
        </w:rPr>
      </w:pPr>
    </w:p>
    <w:p w:rsidR="005366A8" w:rsidRPr="00D010DB" w:rsidRDefault="005366A8" w:rsidP="005366A8">
      <w:pPr>
        <w:tabs>
          <w:tab w:val="left" w:pos="9665"/>
        </w:tabs>
        <w:overflowPunct w:val="0"/>
        <w:autoSpaceDE w:val="0"/>
        <w:autoSpaceDN w:val="0"/>
        <w:adjustRightInd w:val="0"/>
        <w:ind w:left="452" w:right="426"/>
        <w:rPr>
          <w:rFonts w:ascii="Arial TUR" w:hAnsi="Arial TUR" w:cs="FrankRuehl"/>
          <w:spacing w:val="10"/>
          <w:rtl/>
        </w:rPr>
      </w:pPr>
      <w:r w:rsidRPr="00D010DB">
        <w:rPr>
          <w:rFonts w:ascii="Arial TUR" w:hAnsi="Arial TUR" w:cs="FrankRuehl" w:hint="cs"/>
          <w:spacing w:val="10"/>
          <w:rtl/>
        </w:rPr>
        <w:t xml:space="preserve">פתחנו את פסק דיננו בתאור המציאות הבטחונית הקשה בה מצויה ישראל. בחזרה למציאות זו נסיים את פסק דיננו. מודעים אנו לכך כי פסק דיננו זה אינו מקל על ההתמודדות עם מציאות זו. זה גורלה של דמוקרטיה, שלא כל האמצעים כשרים בעיניה, ולא כל השיטות בהן נוקטים אוייביה </w:t>
      </w:r>
      <w:r w:rsidRPr="00D010DB">
        <w:rPr>
          <w:rFonts w:ascii="Arial TUR" w:hAnsi="Arial TUR" w:cs="FrankRuehl"/>
          <w:spacing w:val="10"/>
          <w:rtl/>
        </w:rPr>
        <w:t>פ</w:t>
      </w:r>
      <w:r w:rsidRPr="00D010DB">
        <w:rPr>
          <w:rFonts w:ascii="Arial TUR" w:hAnsi="Arial TUR" w:cs="FrankRuehl" w:hint="cs"/>
          <w:spacing w:val="10"/>
          <w:rtl/>
        </w:rPr>
        <w:t>תוחות לפניה. לא פעם נלחמת הדמוקרטיה כאשר אחת מידיה קשורה לאחור. חרף זאת, ידה של הדמוקרטיה על העליונה, שכן שמירה על שלטון החוק והכרה בחירו</w:t>
      </w:r>
      <w:r w:rsidRPr="00D010DB">
        <w:rPr>
          <w:rFonts w:ascii="Arial TUR" w:hAnsi="Arial TUR" w:cs="FrankRuehl"/>
          <w:spacing w:val="10"/>
          <w:rtl/>
        </w:rPr>
        <w:t>י</w:t>
      </w:r>
      <w:r w:rsidRPr="00D010DB">
        <w:rPr>
          <w:rFonts w:ascii="Arial TUR" w:hAnsi="Arial TUR" w:cs="FrankRuehl" w:hint="cs"/>
          <w:spacing w:val="10"/>
          <w:rtl/>
        </w:rPr>
        <w:t xml:space="preserve">ות הפרט, מהוות מרכיב חשוב בתפישת בטחונה. בסופו של יום, הן מחזקות את רוחה ואת כוחה ומאפשרות לה להתגבר על קשייה. </w:t>
      </w:r>
    </w:p>
    <w:p w:rsidR="005366A8" w:rsidRPr="00D010DB" w:rsidRDefault="005366A8" w:rsidP="005366A8">
      <w:pPr>
        <w:tabs>
          <w:tab w:val="left" w:pos="9665"/>
        </w:tabs>
        <w:overflowPunct w:val="0"/>
        <w:autoSpaceDE w:val="0"/>
        <w:autoSpaceDN w:val="0"/>
        <w:adjustRightInd w:val="0"/>
        <w:ind w:left="452" w:right="426"/>
        <w:rPr>
          <w:rFonts w:ascii="Arial TUR" w:hAnsi="Arial TUR" w:cs="FrankRuehl"/>
          <w:spacing w:val="10"/>
          <w:rtl/>
        </w:rPr>
      </w:pPr>
      <w:r w:rsidRPr="00D010DB">
        <w:rPr>
          <w:rFonts w:ascii="Arial TUR" w:hAnsi="Arial TUR" w:cs="FrankRuehl" w:hint="cs"/>
          <w:spacing w:val="10"/>
          <w:highlight w:val="yellow"/>
          <w:rtl/>
        </w:rPr>
        <w:t>עם זאת תיתכן עמדה הגורסת שהקשיים הבטחוניים הם רבים מדי, וכי נדרשת הסמכה לנקיטה באמצעים פיזיים במהלך החקירה. אם אמנם כך יוחלט - ואך טבעי הוא שבע</w:t>
      </w:r>
      <w:r w:rsidRPr="00D010DB">
        <w:rPr>
          <w:rFonts w:ascii="Arial TUR" w:hAnsi="Arial TUR" w:cs="FrankRuehl"/>
          <w:spacing w:val="10"/>
          <w:highlight w:val="yellow"/>
          <w:rtl/>
        </w:rPr>
        <w:t>נ</w:t>
      </w:r>
      <w:r w:rsidRPr="00D010DB">
        <w:rPr>
          <w:rFonts w:ascii="Arial TUR" w:hAnsi="Arial TUR" w:cs="FrankRuehl" w:hint="cs"/>
          <w:spacing w:val="10"/>
          <w:highlight w:val="yellow"/>
          <w:rtl/>
        </w:rPr>
        <w:t>יין זה איננו נוקטים בשלב זה כל עמדה - כי אז ההכרעה בשאלה אם ראוי לה לישראל - בשל קשייה הבטחוניים - לאפשר אמצעים פיזיים בחקירותיה, ובשאלת היקפם של אותם אמצעים - החורגים מכללי החקירה "הרגילה" - היא שאלה שההכרעה בה צריכה להיעשות על ידי הרשות המחוקקת, המייצג</w:t>
      </w:r>
      <w:r w:rsidRPr="00D010DB">
        <w:rPr>
          <w:rFonts w:ascii="Arial TUR" w:hAnsi="Arial TUR" w:cs="FrankRuehl"/>
          <w:spacing w:val="10"/>
          <w:highlight w:val="yellow"/>
          <w:rtl/>
        </w:rPr>
        <w:t>ת</w:t>
      </w:r>
      <w:r w:rsidRPr="00D010DB">
        <w:rPr>
          <w:rFonts w:ascii="Arial TUR" w:hAnsi="Arial TUR" w:cs="FrankRuehl" w:hint="cs"/>
          <w:spacing w:val="10"/>
          <w:highlight w:val="yellow"/>
          <w:rtl/>
        </w:rPr>
        <w:t xml:space="preserve"> </w:t>
      </w:r>
      <w:r w:rsidRPr="00D010DB">
        <w:rPr>
          <w:rFonts w:ascii="Arial TUR" w:hAnsi="Arial TUR" w:cs="FrankRuehl"/>
          <w:spacing w:val="10"/>
          <w:highlight w:val="yellow"/>
          <w:rtl/>
        </w:rPr>
        <w:t>א</w:t>
      </w:r>
      <w:r w:rsidRPr="00D010DB">
        <w:rPr>
          <w:rFonts w:ascii="Arial TUR" w:hAnsi="Arial TUR" w:cs="FrankRuehl" w:hint="cs"/>
          <w:spacing w:val="10"/>
          <w:highlight w:val="yellow"/>
          <w:rtl/>
        </w:rPr>
        <w:t>ת העם. כאן צריכים להישקל השיקולים השונים. כאן צריך להתנהל הדיון הנוקב. כאן יכולה להתקבל החקיקה הנדרשת, ובלבד, כמובן, שחוק הפוגע בחירותו של הנחקר יהיה "הולם את ערכיה של מדינת ישראל, שנועד לתכלית ראויה, ובמידה שאינה עולה על הנדרש"</w:t>
      </w:r>
      <w:r w:rsidRPr="00D010DB">
        <w:rPr>
          <w:rFonts w:ascii="Arial TUR" w:hAnsi="Arial TUR" w:cs="FrankRuehl" w:hint="cs"/>
          <w:spacing w:val="10"/>
          <w:rtl/>
        </w:rPr>
        <w:t xml:space="preserve"> (סעיף 8 לחוק יסוד: כבוד ה</w:t>
      </w:r>
      <w:r w:rsidRPr="00D010DB">
        <w:rPr>
          <w:rFonts w:ascii="Arial TUR" w:hAnsi="Arial TUR" w:cs="FrankRuehl"/>
          <w:spacing w:val="10"/>
          <w:rtl/>
        </w:rPr>
        <w:t>א</w:t>
      </w:r>
      <w:r w:rsidRPr="00D010DB">
        <w:rPr>
          <w:rFonts w:ascii="Arial TUR" w:hAnsi="Arial TUR" w:cs="FrankRuehl" w:hint="cs"/>
          <w:spacing w:val="10"/>
          <w:rtl/>
        </w:rPr>
        <w:t>דם וחירותו). ...</w:t>
      </w:r>
    </w:p>
    <w:p w:rsidR="005366A8" w:rsidRPr="00D010DB" w:rsidRDefault="005366A8" w:rsidP="005366A8">
      <w:pPr>
        <w:tabs>
          <w:tab w:val="left" w:pos="9665"/>
        </w:tabs>
        <w:overflowPunct w:val="0"/>
        <w:autoSpaceDE w:val="0"/>
        <w:autoSpaceDN w:val="0"/>
        <w:adjustRightInd w:val="0"/>
        <w:ind w:left="452" w:right="426"/>
        <w:rPr>
          <w:rFonts w:ascii="Arial TUR" w:hAnsi="Arial TUR" w:cs="FrankRuehl"/>
          <w:spacing w:val="10"/>
          <w:rtl/>
        </w:rPr>
      </w:pPr>
    </w:p>
    <w:p w:rsidR="005366A8" w:rsidRPr="00D010DB" w:rsidRDefault="005366A8" w:rsidP="005366A8">
      <w:pPr>
        <w:tabs>
          <w:tab w:val="left" w:pos="9665"/>
        </w:tabs>
        <w:overflowPunct w:val="0"/>
        <w:autoSpaceDE w:val="0"/>
        <w:autoSpaceDN w:val="0"/>
        <w:adjustRightInd w:val="0"/>
        <w:ind w:left="452" w:right="426"/>
        <w:rPr>
          <w:rFonts w:ascii="Arial TUR" w:hAnsi="Arial TUR" w:cs="FrankRuehl"/>
          <w:spacing w:val="10"/>
          <w:rtl/>
        </w:rPr>
      </w:pPr>
      <w:r w:rsidRPr="00D010DB">
        <w:rPr>
          <w:rFonts w:ascii="Arial TUR" w:hAnsi="Arial TUR" w:cs="FrankRuehl" w:hint="cs"/>
          <w:spacing w:val="10"/>
          <w:highlight w:val="yellow"/>
          <w:rtl/>
        </w:rPr>
        <w:t>אנו מצהירים כי אין לשב"כ סמכות 'לטלטל' אדם, להחזיקו בתנוחת 'שבאח' (הכוללת את שילוב האמצעים, כאמור בפסקה 30), לחייבו ב'כריעת צפרדע' ולמנוע ממנו שינה באופן שאינו מתחייב מצרכי החקירה</w:t>
      </w:r>
      <w:r w:rsidRPr="00D010DB">
        <w:rPr>
          <w:rFonts w:ascii="Arial TUR" w:hAnsi="Arial TUR" w:cs="FrankRuehl" w:hint="cs"/>
          <w:spacing w:val="10"/>
          <w:rtl/>
        </w:rPr>
        <w:t xml:space="preserve">. כן </w:t>
      </w:r>
      <w:r w:rsidRPr="00D010DB">
        <w:rPr>
          <w:rFonts w:ascii="Arial TUR" w:hAnsi="Arial TUR" w:cs="FrankRuehl" w:hint="cs"/>
          <w:spacing w:val="10"/>
          <w:highlight w:val="yellow"/>
          <w:rtl/>
        </w:rPr>
        <w:t>אנו מצהירים, כי סייג ה'צורך' שבחוק העונשין אינו יכול לשמש מקור סמכות לשימוש בשיטות חקירה אלה וכי אין בו בסיס לקיום הנחיות לחוקרי השב"כ, המאפשרות שימוש בשיטות חקירה מעין אלה. בה בעת, אין בהחלטתנו שלילת האפשרות כי סייג 'הצורך' יעמוד לחוקר שב"כ, בין במסגרת שיקול דעתו של היועץ המשפטי לממשלה אם יחליט להעמיד לדין ובין, אם יועמד לדין פלילי, במסגרת שיקול דעתו של בית המשפט</w:t>
      </w:r>
      <w:r w:rsidRPr="00D010DB">
        <w:rPr>
          <w:rFonts w:ascii="Arial TUR" w:hAnsi="Arial TUR" w:cs="FrankRuehl" w:hint="cs"/>
          <w:spacing w:val="10"/>
          <w:rtl/>
        </w:rPr>
        <w:t xml:space="preserve">". </w:t>
      </w:r>
    </w:p>
    <w:p w:rsidR="005366A8" w:rsidRPr="00D010DB" w:rsidRDefault="005366A8" w:rsidP="005366A8">
      <w:pPr>
        <w:tabs>
          <w:tab w:val="left" w:pos="9665"/>
        </w:tabs>
        <w:overflowPunct w:val="0"/>
        <w:autoSpaceDE w:val="0"/>
        <w:autoSpaceDN w:val="0"/>
        <w:adjustRightInd w:val="0"/>
        <w:ind w:left="452" w:right="426"/>
        <w:rPr>
          <w:rFonts w:ascii="Arial TUR" w:hAnsi="Arial TUR" w:cs="FrankRuehl"/>
          <w:spacing w:val="10"/>
          <w:sz w:val="22"/>
          <w:szCs w:val="22"/>
          <w:rtl/>
        </w:rPr>
      </w:pPr>
    </w:p>
    <w:p w:rsidR="005366A8" w:rsidRDefault="005366A8" w:rsidP="005366A8">
      <w:pPr>
        <w:rPr>
          <w:sz w:val="22"/>
          <w:szCs w:val="22"/>
          <w:rtl/>
        </w:rPr>
      </w:pPr>
      <w:r>
        <w:rPr>
          <w:rFonts w:hint="cs"/>
          <w:sz w:val="22"/>
          <w:szCs w:val="22"/>
          <w:rtl/>
        </w:rPr>
        <w:t>=-=</w:t>
      </w:r>
    </w:p>
    <w:p w:rsidR="005366A8" w:rsidRDefault="005366A8" w:rsidP="005366A8">
      <w:pPr>
        <w:spacing w:after="120"/>
        <w:rPr>
          <w:sz w:val="22"/>
          <w:szCs w:val="22"/>
          <w:rtl/>
        </w:rPr>
      </w:pPr>
      <w:r w:rsidRPr="008944A6">
        <w:rPr>
          <w:rFonts w:hint="cs"/>
          <w:sz w:val="22"/>
          <w:szCs w:val="22"/>
          <w:highlight w:val="yellow"/>
          <w:u w:val="single"/>
          <w:rtl/>
        </w:rPr>
        <w:t>שאלה למחשבה</w:t>
      </w:r>
      <w:r w:rsidRPr="008944A6">
        <w:rPr>
          <w:rFonts w:hint="cs"/>
          <w:sz w:val="22"/>
          <w:szCs w:val="22"/>
          <w:rtl/>
        </w:rPr>
        <w:t xml:space="preserve">: </w:t>
      </w:r>
    </w:p>
    <w:p w:rsidR="005366A8" w:rsidRPr="008944A6" w:rsidRDefault="005366A8" w:rsidP="005366A8">
      <w:pPr>
        <w:spacing w:after="120"/>
        <w:rPr>
          <w:sz w:val="22"/>
          <w:szCs w:val="22"/>
        </w:rPr>
      </w:pPr>
      <w:r w:rsidRPr="008944A6">
        <w:rPr>
          <w:rFonts w:hint="cs"/>
          <w:sz w:val="22"/>
          <w:szCs w:val="22"/>
          <w:rtl/>
        </w:rPr>
        <w:t xml:space="preserve">לאחר הכרעת בית המשפט בפסק דין </w:t>
      </w:r>
      <w:r w:rsidRPr="008944A6">
        <w:rPr>
          <w:rFonts w:hint="cs"/>
          <w:b/>
          <w:bCs/>
          <w:sz w:val="22"/>
          <w:szCs w:val="22"/>
          <w:rtl/>
        </w:rPr>
        <w:t xml:space="preserve">הועד נגד עינויים </w:t>
      </w:r>
      <w:r w:rsidRPr="008944A6">
        <w:rPr>
          <w:rFonts w:hint="cs"/>
          <w:sz w:val="22"/>
          <w:szCs w:val="22"/>
          <w:rtl/>
        </w:rPr>
        <w:t>התקבל</w:t>
      </w:r>
      <w:r w:rsidRPr="008944A6">
        <w:rPr>
          <w:sz w:val="22"/>
          <w:szCs w:val="22"/>
          <w:rtl/>
        </w:rPr>
        <w:t xml:space="preserve"> </w:t>
      </w:r>
      <w:r w:rsidRPr="008D5F38">
        <w:rPr>
          <w:rFonts w:cs="David"/>
          <w:sz w:val="22"/>
          <w:szCs w:val="22"/>
          <w:u w:val="single"/>
          <w:rtl/>
        </w:rPr>
        <w:t>חוק שירות הבטחון הכללי, תשס"ב-2002</w:t>
      </w:r>
      <w:r w:rsidRPr="008944A6">
        <w:rPr>
          <w:rFonts w:hint="cs"/>
          <w:sz w:val="22"/>
          <w:szCs w:val="22"/>
          <w:rtl/>
        </w:rPr>
        <w:t>, הקובע בין היתר כך</w:t>
      </w:r>
      <w:r>
        <w:rPr>
          <w:rFonts w:hint="cs"/>
          <w:sz w:val="22"/>
          <w:szCs w:val="22"/>
          <w:rtl/>
        </w:rPr>
        <w:t xml:space="preserve"> [הניחו כי ההוראות שלהלן הן ההוראות היחידות מתוך החוק, שהן רלבנטיות לשאלה למטה]</w:t>
      </w:r>
      <w:r w:rsidRPr="008944A6">
        <w:rPr>
          <w:sz w:val="22"/>
          <w:szCs w:val="22"/>
          <w:rtl/>
        </w:rPr>
        <w:t xml:space="preserve">: </w:t>
      </w:r>
    </w:p>
    <w:p w:rsidR="005366A8" w:rsidRPr="008944A6" w:rsidRDefault="005366A8" w:rsidP="005366A8">
      <w:pPr>
        <w:autoSpaceDE w:val="0"/>
        <w:autoSpaceDN w:val="0"/>
        <w:ind w:left="720"/>
        <w:rPr>
          <w:rFonts w:cs="David"/>
          <w:sz w:val="22"/>
          <w:szCs w:val="22"/>
          <w:rtl/>
        </w:rPr>
      </w:pPr>
      <w:r w:rsidRPr="008944A6">
        <w:rPr>
          <w:rFonts w:cs="David"/>
          <w:sz w:val="22"/>
          <w:szCs w:val="22"/>
          <w:rtl/>
        </w:rPr>
        <w:t xml:space="preserve">8. </w:t>
      </w:r>
      <w:r w:rsidRPr="008944A6">
        <w:rPr>
          <w:rFonts w:cs="David" w:hint="cs"/>
          <w:sz w:val="22"/>
          <w:szCs w:val="22"/>
          <w:rtl/>
        </w:rPr>
        <w:t>[</w:t>
      </w:r>
      <w:r w:rsidRPr="008944A6">
        <w:rPr>
          <w:rFonts w:cs="David"/>
          <w:sz w:val="22"/>
          <w:szCs w:val="22"/>
          <w:rtl/>
        </w:rPr>
        <w:t>סמכויות כלליות של השירות</w:t>
      </w:r>
      <w:r w:rsidRPr="008944A6">
        <w:rPr>
          <w:rFonts w:cs="David" w:hint="cs"/>
          <w:sz w:val="22"/>
          <w:szCs w:val="22"/>
          <w:rtl/>
        </w:rPr>
        <w:t>]</w:t>
      </w:r>
    </w:p>
    <w:p w:rsidR="005366A8" w:rsidRPr="008944A6" w:rsidRDefault="005366A8" w:rsidP="000B7168">
      <w:pPr>
        <w:numPr>
          <w:ilvl w:val="0"/>
          <w:numId w:val="1"/>
        </w:numPr>
        <w:tabs>
          <w:tab w:val="clear" w:pos="1440"/>
          <w:tab w:val="num" w:pos="2160"/>
        </w:tabs>
        <w:autoSpaceDE w:val="0"/>
        <w:autoSpaceDN w:val="0"/>
        <w:ind w:left="2160"/>
        <w:jc w:val="left"/>
        <w:rPr>
          <w:rFonts w:cs="David"/>
          <w:sz w:val="22"/>
          <w:szCs w:val="22"/>
          <w:rtl/>
        </w:rPr>
      </w:pPr>
      <w:r w:rsidRPr="008944A6">
        <w:rPr>
          <w:rFonts w:cs="David"/>
          <w:sz w:val="22"/>
          <w:szCs w:val="22"/>
          <w:rtl/>
        </w:rPr>
        <w:t xml:space="preserve">לצורך מילוי תפקידיו השירות </w:t>
      </w:r>
      <w:r>
        <w:rPr>
          <w:rFonts w:cs="David" w:hint="cs"/>
          <w:sz w:val="22"/>
          <w:szCs w:val="22"/>
          <w:rtl/>
        </w:rPr>
        <w:t xml:space="preserve">[שירות הבטחון הכללי] </w:t>
      </w:r>
      <w:r w:rsidRPr="008944A6">
        <w:rPr>
          <w:rFonts w:cs="David"/>
          <w:sz w:val="22"/>
          <w:szCs w:val="22"/>
          <w:rtl/>
        </w:rPr>
        <w:t xml:space="preserve">מוסמך, באמצעות עובדיו - </w:t>
      </w:r>
    </w:p>
    <w:p w:rsidR="005366A8" w:rsidRPr="008944A6" w:rsidRDefault="005366A8" w:rsidP="000B7168">
      <w:pPr>
        <w:numPr>
          <w:ilvl w:val="0"/>
          <w:numId w:val="2"/>
        </w:numPr>
        <w:tabs>
          <w:tab w:val="num" w:pos="2880"/>
        </w:tabs>
        <w:autoSpaceDE w:val="0"/>
        <w:autoSpaceDN w:val="0"/>
        <w:ind w:left="2880"/>
        <w:jc w:val="left"/>
        <w:rPr>
          <w:rFonts w:cs="David"/>
          <w:sz w:val="22"/>
          <w:szCs w:val="22"/>
          <w:rtl/>
        </w:rPr>
      </w:pPr>
      <w:r w:rsidRPr="008944A6">
        <w:rPr>
          <w:rFonts w:cs="David"/>
          <w:sz w:val="22"/>
          <w:szCs w:val="22"/>
          <w:rtl/>
        </w:rPr>
        <w:t>לקבל ולאסוף מידע; […]</w:t>
      </w:r>
    </w:p>
    <w:p w:rsidR="005366A8" w:rsidRPr="008944A6" w:rsidRDefault="005366A8" w:rsidP="000B7168">
      <w:pPr>
        <w:numPr>
          <w:ilvl w:val="0"/>
          <w:numId w:val="2"/>
        </w:numPr>
        <w:tabs>
          <w:tab w:val="num" w:pos="2880"/>
        </w:tabs>
        <w:autoSpaceDE w:val="0"/>
        <w:autoSpaceDN w:val="0"/>
        <w:spacing w:after="120"/>
        <w:ind w:left="2880"/>
        <w:jc w:val="left"/>
        <w:rPr>
          <w:rFonts w:cs="David"/>
          <w:sz w:val="22"/>
          <w:szCs w:val="22"/>
          <w:rtl/>
        </w:rPr>
      </w:pPr>
      <w:r w:rsidRPr="008944A6">
        <w:rPr>
          <w:rFonts w:cs="David"/>
          <w:sz w:val="22"/>
          <w:szCs w:val="22"/>
          <w:rtl/>
        </w:rPr>
        <w:t>לחקור חשודים וחשדות בקשר לביצוע עבירות או לערוך חקירות לשם מניעת עבירות בתחומים המפורטים בסעיף 7(ב)(6);</w:t>
      </w:r>
      <w:r w:rsidRPr="008944A6">
        <w:rPr>
          <w:rFonts w:cs="David" w:hint="cs"/>
          <w:sz w:val="22"/>
          <w:szCs w:val="22"/>
          <w:rtl/>
        </w:rPr>
        <w:t xml:space="preserve"> </w:t>
      </w:r>
      <w:r w:rsidRPr="008944A6">
        <w:rPr>
          <w:rFonts w:cs="David"/>
          <w:sz w:val="22"/>
          <w:szCs w:val="22"/>
          <w:rtl/>
        </w:rPr>
        <w:t xml:space="preserve"> […]</w:t>
      </w:r>
    </w:p>
    <w:p w:rsidR="005366A8" w:rsidRPr="008944A6" w:rsidRDefault="005366A8" w:rsidP="005366A8">
      <w:pPr>
        <w:autoSpaceDE w:val="0"/>
        <w:autoSpaceDN w:val="0"/>
        <w:ind w:left="720"/>
        <w:rPr>
          <w:rFonts w:cs="David"/>
          <w:sz w:val="22"/>
          <w:szCs w:val="22"/>
          <w:rtl/>
        </w:rPr>
      </w:pPr>
      <w:r w:rsidRPr="008944A6">
        <w:rPr>
          <w:rFonts w:cs="David"/>
          <w:sz w:val="22"/>
          <w:szCs w:val="22"/>
          <w:rtl/>
        </w:rPr>
        <w:t xml:space="preserve">20. </w:t>
      </w:r>
      <w:r w:rsidRPr="008944A6">
        <w:rPr>
          <w:rFonts w:cs="David" w:hint="cs"/>
          <w:sz w:val="22"/>
          <w:szCs w:val="22"/>
          <w:rtl/>
        </w:rPr>
        <w:t>[</w:t>
      </w:r>
      <w:r w:rsidRPr="008944A6">
        <w:rPr>
          <w:rFonts w:cs="David"/>
          <w:sz w:val="22"/>
          <w:szCs w:val="22"/>
          <w:rtl/>
        </w:rPr>
        <w:t>ביצוע, תקנות, כללים, הוראות שירות ונהלי שירות</w:t>
      </w:r>
      <w:r w:rsidRPr="008944A6">
        <w:rPr>
          <w:rFonts w:cs="David" w:hint="cs"/>
          <w:sz w:val="22"/>
          <w:szCs w:val="22"/>
          <w:rtl/>
        </w:rPr>
        <w:t>]</w:t>
      </w:r>
    </w:p>
    <w:p w:rsidR="005366A8" w:rsidRPr="008944A6" w:rsidRDefault="005366A8" w:rsidP="000B7168">
      <w:pPr>
        <w:numPr>
          <w:ilvl w:val="0"/>
          <w:numId w:val="3"/>
        </w:numPr>
        <w:tabs>
          <w:tab w:val="clear" w:pos="1440"/>
          <w:tab w:val="num" w:pos="2160"/>
        </w:tabs>
        <w:autoSpaceDE w:val="0"/>
        <w:autoSpaceDN w:val="0"/>
        <w:ind w:left="2160"/>
        <w:jc w:val="left"/>
        <w:rPr>
          <w:rFonts w:cs="David"/>
          <w:sz w:val="22"/>
          <w:szCs w:val="22"/>
        </w:rPr>
      </w:pPr>
      <w:r w:rsidRPr="008944A6">
        <w:rPr>
          <w:rFonts w:cs="David"/>
          <w:sz w:val="22"/>
          <w:szCs w:val="22"/>
          <w:rtl/>
        </w:rPr>
        <w:t>ראש הממשלה ממונה על ביצוע חוק זה, והוא רשאי, באישור ועדת השרים וועדת הכנסת לעניני השירות, ובכפוף להוראות חוק זה, להתקין תקנות וכללים, לפי הענין, בכל הנוגע לביצועו. […]</w:t>
      </w:r>
    </w:p>
    <w:p w:rsidR="005366A8" w:rsidRPr="008944A6" w:rsidRDefault="005366A8" w:rsidP="005366A8">
      <w:pPr>
        <w:rPr>
          <w:sz w:val="22"/>
          <w:szCs w:val="22"/>
          <w:rtl/>
        </w:rPr>
      </w:pPr>
    </w:p>
    <w:p w:rsidR="005366A8" w:rsidRPr="008944A6" w:rsidRDefault="005366A8" w:rsidP="005366A8">
      <w:pPr>
        <w:spacing w:after="120"/>
        <w:rPr>
          <w:sz w:val="22"/>
          <w:szCs w:val="22"/>
          <w:rtl/>
        </w:rPr>
      </w:pPr>
      <w:r w:rsidRPr="008944A6">
        <w:rPr>
          <w:sz w:val="22"/>
          <w:szCs w:val="22"/>
          <w:rtl/>
        </w:rPr>
        <w:t xml:space="preserve">הניחו </w:t>
      </w:r>
      <w:r w:rsidRPr="008944A6">
        <w:rPr>
          <w:rFonts w:ascii="Arial" w:hAnsi="Arial" w:cs="Arial"/>
          <w:sz w:val="22"/>
          <w:szCs w:val="22"/>
          <w:rtl/>
        </w:rPr>
        <w:t>[הנחה, שבמציאות לא התקיימה/ טרם התקיימה]</w:t>
      </w:r>
      <w:r w:rsidRPr="008944A6">
        <w:rPr>
          <w:rFonts w:hint="cs"/>
          <w:sz w:val="22"/>
          <w:szCs w:val="22"/>
          <w:rtl/>
        </w:rPr>
        <w:t xml:space="preserve"> </w:t>
      </w:r>
      <w:r w:rsidRPr="008944A6">
        <w:rPr>
          <w:sz w:val="22"/>
          <w:szCs w:val="22"/>
          <w:rtl/>
        </w:rPr>
        <w:t xml:space="preserve">כי </w:t>
      </w:r>
      <w:r w:rsidRPr="008D5F38">
        <w:rPr>
          <w:sz w:val="22"/>
          <w:szCs w:val="22"/>
          <w:rtl/>
        </w:rPr>
        <w:t>ראש הממשלה</w:t>
      </w:r>
      <w:r w:rsidRPr="008944A6">
        <w:rPr>
          <w:sz w:val="22"/>
          <w:szCs w:val="22"/>
          <w:rtl/>
        </w:rPr>
        <w:t xml:space="preserve"> מתקין, בדרך הקבועה ב</w:t>
      </w:r>
      <w:r>
        <w:rPr>
          <w:rFonts w:hint="cs"/>
          <w:sz w:val="22"/>
          <w:szCs w:val="22"/>
          <w:rtl/>
        </w:rPr>
        <w:t>סעיף 20 ל</w:t>
      </w:r>
      <w:r w:rsidRPr="008944A6">
        <w:rPr>
          <w:sz w:val="22"/>
          <w:szCs w:val="22"/>
          <w:rtl/>
        </w:rPr>
        <w:t xml:space="preserve">חוק, את </w:t>
      </w:r>
      <w:r w:rsidRPr="008D5F38">
        <w:rPr>
          <w:rFonts w:cs="David"/>
          <w:sz w:val="22"/>
          <w:szCs w:val="22"/>
          <w:u w:val="single"/>
          <w:rtl/>
        </w:rPr>
        <w:t>תקנות שרות הביטחון הכללי (אמצעי חקירה מיוחדים), תש</w:t>
      </w:r>
      <w:r w:rsidRPr="008D5F38">
        <w:rPr>
          <w:rFonts w:cs="David" w:hint="cs"/>
          <w:sz w:val="22"/>
          <w:szCs w:val="22"/>
          <w:u w:val="single"/>
          <w:rtl/>
        </w:rPr>
        <w:t>ע"</w:t>
      </w:r>
      <w:r>
        <w:rPr>
          <w:rFonts w:cs="David" w:hint="cs"/>
          <w:sz w:val="22"/>
          <w:szCs w:val="22"/>
          <w:u w:val="single"/>
          <w:rtl/>
        </w:rPr>
        <w:t>ה</w:t>
      </w:r>
      <w:r w:rsidRPr="008D5F38">
        <w:rPr>
          <w:rFonts w:cs="David"/>
          <w:sz w:val="22"/>
          <w:szCs w:val="22"/>
          <w:u w:val="single"/>
          <w:rtl/>
        </w:rPr>
        <w:t>-20</w:t>
      </w:r>
      <w:r w:rsidRPr="008D5F38">
        <w:rPr>
          <w:rFonts w:cs="David" w:hint="cs"/>
          <w:sz w:val="22"/>
          <w:szCs w:val="22"/>
          <w:u w:val="single"/>
          <w:rtl/>
        </w:rPr>
        <w:t>1</w:t>
      </w:r>
      <w:r>
        <w:rPr>
          <w:rFonts w:cs="David" w:hint="cs"/>
          <w:sz w:val="22"/>
          <w:szCs w:val="22"/>
          <w:u w:val="single"/>
          <w:rtl/>
        </w:rPr>
        <w:t>4</w:t>
      </w:r>
      <w:r w:rsidRPr="008944A6">
        <w:rPr>
          <w:sz w:val="22"/>
          <w:szCs w:val="22"/>
          <w:rtl/>
        </w:rPr>
        <w:t xml:space="preserve">.  ההוראות המהותיות של תקנות </w:t>
      </w:r>
      <w:r>
        <w:rPr>
          <w:rFonts w:hint="cs"/>
          <w:sz w:val="22"/>
          <w:szCs w:val="22"/>
          <w:rtl/>
        </w:rPr>
        <w:t xml:space="preserve">[היפוטטיות] אלה </w:t>
      </w:r>
      <w:r w:rsidRPr="008944A6">
        <w:rPr>
          <w:sz w:val="22"/>
          <w:szCs w:val="22"/>
          <w:rtl/>
        </w:rPr>
        <w:t>מתמצות בתקנה הבאה:</w:t>
      </w:r>
    </w:p>
    <w:p w:rsidR="005366A8" w:rsidRPr="008944A6" w:rsidRDefault="005366A8" w:rsidP="005366A8">
      <w:pPr>
        <w:pStyle w:val="BlockText"/>
        <w:spacing w:after="120"/>
        <w:ind w:left="312"/>
        <w:rPr>
          <w:rFonts w:ascii="Arial" w:hAnsi="Arial" w:cs="Arial"/>
          <w:sz w:val="22"/>
          <w:rtl/>
        </w:rPr>
      </w:pPr>
      <w:r w:rsidRPr="008944A6">
        <w:rPr>
          <w:rFonts w:ascii="Arial" w:hAnsi="Arial" w:cs="Arial"/>
          <w:sz w:val="22"/>
          <w:rtl/>
        </w:rPr>
        <w:t xml:space="preserve">ראש שירות הביטחון הכללי רשאי להתיר שימוש באמצעי חקירה מיוחדים כלפי חשוד שקיים כלפיו חשד </w:t>
      </w:r>
      <w:r w:rsidRPr="008944A6">
        <w:rPr>
          <w:rFonts w:ascii="Arial" w:hAnsi="Arial" w:cs="Arial" w:hint="cs"/>
          <w:sz w:val="22"/>
          <w:rtl/>
        </w:rPr>
        <w:t>ממשי</w:t>
      </w:r>
      <w:r w:rsidRPr="008944A6">
        <w:rPr>
          <w:rFonts w:ascii="Arial" w:hAnsi="Arial" w:cs="Arial"/>
          <w:sz w:val="22"/>
          <w:rtl/>
        </w:rPr>
        <w:t xml:space="preserve"> למעורבות בפעילות חבלנית עוינת.</w:t>
      </w:r>
    </w:p>
    <w:p w:rsidR="005366A8" w:rsidRPr="003A5D38" w:rsidRDefault="005366A8" w:rsidP="005366A8">
      <w:pPr>
        <w:rPr>
          <w:b/>
          <w:bCs/>
          <w:sz w:val="22"/>
          <w:szCs w:val="22"/>
          <w:rtl/>
        </w:rPr>
      </w:pPr>
      <w:r>
        <w:rPr>
          <w:rFonts w:hint="cs"/>
          <w:b/>
          <w:bCs/>
          <w:sz w:val="22"/>
          <w:szCs w:val="22"/>
          <w:rtl/>
        </w:rPr>
        <w:t xml:space="preserve">וזו שאלת המחשבה: </w:t>
      </w:r>
      <w:r w:rsidRPr="00460864">
        <w:rPr>
          <w:sz w:val="22"/>
          <w:szCs w:val="22"/>
          <w:rtl/>
        </w:rPr>
        <w:t xml:space="preserve">האם חוקרי השב"כ מוסמכים עתה להשתמש בשיטות החקירה הנזכרות בפס"ד הועד הציבורי נגד עינויים </w:t>
      </w:r>
      <w:r w:rsidRPr="00460864">
        <w:rPr>
          <w:rFonts w:hint="cs"/>
          <w:sz w:val="22"/>
          <w:szCs w:val="22"/>
          <w:rtl/>
        </w:rPr>
        <w:t>(</w:t>
      </w:r>
      <w:r w:rsidRPr="00460864">
        <w:rPr>
          <w:sz w:val="22"/>
          <w:szCs w:val="22"/>
          <w:rtl/>
        </w:rPr>
        <w:t>או בשיטות חקירה הדומות להן</w:t>
      </w:r>
      <w:r w:rsidRPr="00460864">
        <w:rPr>
          <w:rFonts w:hint="cs"/>
          <w:sz w:val="22"/>
          <w:szCs w:val="22"/>
          <w:rtl/>
        </w:rPr>
        <w:t>)</w:t>
      </w:r>
      <w:r w:rsidRPr="00460864">
        <w:rPr>
          <w:sz w:val="22"/>
          <w:szCs w:val="22"/>
          <w:rtl/>
        </w:rPr>
        <w:t>?</w:t>
      </w:r>
      <w:r>
        <w:rPr>
          <w:rFonts w:hint="cs"/>
          <w:b/>
          <w:bCs/>
          <w:sz w:val="22"/>
          <w:szCs w:val="22"/>
          <w:rtl/>
        </w:rPr>
        <w:t xml:space="preserve"> </w:t>
      </w:r>
    </w:p>
    <w:p w:rsidR="005366A8" w:rsidRDefault="005366A8" w:rsidP="005366A8">
      <w:pPr>
        <w:spacing w:after="120"/>
        <w:rPr>
          <w:rFonts w:ascii="TimelT"/>
          <w:b/>
          <w:bCs/>
          <w:sz w:val="20"/>
          <w:szCs w:val="20"/>
          <w:u w:val="single"/>
          <w:rtl/>
        </w:rPr>
      </w:pPr>
    </w:p>
    <w:p w:rsidR="005366A8" w:rsidRDefault="005366A8" w:rsidP="005366A8">
      <w:pPr>
        <w:rPr>
          <w:sz w:val="22"/>
          <w:szCs w:val="22"/>
          <w:rtl/>
        </w:rPr>
      </w:pPr>
      <w:r>
        <w:rPr>
          <w:rFonts w:hint="cs"/>
          <w:sz w:val="22"/>
          <w:szCs w:val="22"/>
          <w:rtl/>
        </w:rPr>
        <w:t>=-=</w:t>
      </w:r>
    </w:p>
    <w:p w:rsidR="005366A8" w:rsidRPr="001B09BC" w:rsidRDefault="005366A8" w:rsidP="005366A8">
      <w:pPr>
        <w:spacing w:after="120"/>
        <w:rPr>
          <w:b/>
          <w:bCs/>
          <w:sz w:val="22"/>
          <w:szCs w:val="22"/>
          <w:rtl/>
        </w:rPr>
      </w:pPr>
      <w:r w:rsidRPr="001B09BC">
        <w:rPr>
          <w:rFonts w:hint="cs"/>
          <w:b/>
          <w:bCs/>
          <w:sz w:val="22"/>
          <w:szCs w:val="22"/>
          <w:rtl/>
        </w:rPr>
        <w:t>סיכום ביניים:</w:t>
      </w:r>
    </w:p>
    <w:p w:rsidR="005366A8" w:rsidRDefault="005366A8" w:rsidP="005366A8">
      <w:pPr>
        <w:rPr>
          <w:sz w:val="22"/>
          <w:szCs w:val="22"/>
          <w:rtl/>
        </w:rPr>
      </w:pPr>
      <w:r>
        <w:rPr>
          <w:rFonts w:hint="cs"/>
          <w:sz w:val="22"/>
          <w:szCs w:val="22"/>
          <w:rtl/>
        </w:rPr>
        <w:t xml:space="preserve">פסק הדין של </w:t>
      </w:r>
      <w:r w:rsidRPr="001B09BC">
        <w:rPr>
          <w:rFonts w:hint="cs"/>
          <w:b/>
          <w:bCs/>
          <w:sz w:val="22"/>
          <w:szCs w:val="22"/>
          <w:rtl/>
        </w:rPr>
        <w:t>הוועד הציבורי נגד עינויים</w:t>
      </w:r>
      <w:r>
        <w:rPr>
          <w:rFonts w:hint="cs"/>
          <w:sz w:val="22"/>
          <w:szCs w:val="22"/>
          <w:rtl/>
        </w:rPr>
        <w:t xml:space="preserve"> מדגים לנו את מרכזיותה של סוגיית "הסמכות" במשפט הציבורי.</w:t>
      </w:r>
    </w:p>
    <w:p w:rsidR="005366A8" w:rsidRDefault="005366A8" w:rsidP="005366A8">
      <w:pPr>
        <w:rPr>
          <w:sz w:val="22"/>
          <w:szCs w:val="22"/>
          <w:rtl/>
        </w:rPr>
      </w:pPr>
      <w:r w:rsidRPr="001B09BC">
        <w:rPr>
          <w:rFonts w:hint="cs"/>
          <w:b/>
          <w:bCs/>
          <w:sz w:val="22"/>
          <w:szCs w:val="22"/>
          <w:rtl/>
        </w:rPr>
        <w:t>סוגיית העינויים, המצב הביטחוני ודילמת "הפצצה המתקתקת"</w:t>
      </w:r>
      <w:r>
        <w:rPr>
          <w:rFonts w:hint="cs"/>
          <w:sz w:val="22"/>
          <w:szCs w:val="22"/>
          <w:rtl/>
        </w:rPr>
        <w:t xml:space="preserve"> מדגימים עבורנו את הקושי לקבוע </w:t>
      </w:r>
      <w:r w:rsidRPr="001B09BC">
        <w:rPr>
          <w:rFonts w:hint="cs"/>
          <w:b/>
          <w:bCs/>
          <w:sz w:val="22"/>
          <w:szCs w:val="22"/>
          <w:rtl/>
        </w:rPr>
        <w:t xml:space="preserve">גבולות נכונים לסמכות ולאופן הפעלתה. </w:t>
      </w:r>
      <w:r>
        <w:rPr>
          <w:rFonts w:hint="cs"/>
          <w:sz w:val="22"/>
          <w:szCs w:val="22"/>
          <w:rtl/>
        </w:rPr>
        <w:t xml:space="preserve">או, במילים אחרות, את </w:t>
      </w:r>
      <w:r w:rsidRPr="001B09BC">
        <w:rPr>
          <w:rFonts w:hint="cs"/>
          <w:b/>
          <w:bCs/>
          <w:sz w:val="22"/>
          <w:szCs w:val="22"/>
          <w:rtl/>
        </w:rPr>
        <w:t>הקושי לקבוע "מה צריך"</w:t>
      </w:r>
      <w:r>
        <w:rPr>
          <w:rFonts w:hint="cs"/>
          <w:sz w:val="22"/>
          <w:szCs w:val="22"/>
          <w:rtl/>
        </w:rPr>
        <w:t xml:space="preserve"> </w:t>
      </w:r>
      <w:r>
        <w:rPr>
          <w:sz w:val="22"/>
          <w:szCs w:val="22"/>
          <w:rtl/>
        </w:rPr>
        <w:t>–</w:t>
      </w:r>
      <w:r>
        <w:rPr>
          <w:rFonts w:hint="cs"/>
          <w:sz w:val="22"/>
          <w:szCs w:val="22"/>
          <w:rtl/>
        </w:rPr>
        <w:t xml:space="preserve"> איך לעצב את הנורמה.</w:t>
      </w:r>
    </w:p>
    <w:p w:rsidR="005366A8" w:rsidRDefault="005366A8" w:rsidP="005366A8">
      <w:pPr>
        <w:rPr>
          <w:sz w:val="22"/>
          <w:szCs w:val="22"/>
          <w:rtl/>
        </w:rPr>
      </w:pPr>
    </w:p>
    <w:p w:rsidR="005366A8" w:rsidRDefault="005366A8" w:rsidP="005366A8">
      <w:pPr>
        <w:rPr>
          <w:sz w:val="22"/>
          <w:szCs w:val="22"/>
          <w:rtl/>
        </w:rPr>
      </w:pPr>
      <w:r>
        <w:rPr>
          <w:rFonts w:hint="cs"/>
          <w:sz w:val="22"/>
          <w:szCs w:val="22"/>
          <w:rtl/>
        </w:rPr>
        <w:t>קושי דומה לזה האחרון משתקף גם בשני השירים שלהלן.</w:t>
      </w:r>
      <w:r>
        <w:rPr>
          <w:sz w:val="22"/>
          <w:szCs w:val="22"/>
          <w:rtl/>
        </w:rPr>
        <w:br w:type="page"/>
      </w:r>
    </w:p>
    <w:p w:rsidR="005366A8" w:rsidRPr="001B09BC" w:rsidRDefault="005366A8" w:rsidP="005366A8">
      <w:pPr>
        <w:rPr>
          <w:b/>
          <w:bCs/>
          <w:rtl/>
        </w:rPr>
      </w:pPr>
      <w:r w:rsidRPr="001B09BC">
        <w:rPr>
          <w:rFonts w:hint="cs"/>
          <w:b/>
          <w:bCs/>
          <w:rtl/>
        </w:rPr>
        <w:t>חיי אנוש הם סבוכים, ומשום כך סבוך גם המשפט המבקש להסדירם</w:t>
      </w:r>
    </w:p>
    <w:p w:rsidR="005366A8" w:rsidRDefault="005366A8" w:rsidP="005366A8">
      <w:pPr>
        <w:rPr>
          <w:sz w:val="22"/>
          <w:szCs w:val="22"/>
          <w:rtl/>
        </w:rPr>
      </w:pPr>
    </w:p>
    <w:p w:rsidR="005366A8" w:rsidRDefault="005366A8" w:rsidP="005366A8">
      <w:pPr>
        <w:rPr>
          <w:sz w:val="22"/>
          <w:szCs w:val="22"/>
          <w:rtl/>
        </w:rPr>
      </w:pPr>
      <w:r>
        <w:rPr>
          <w:rFonts w:hint="cs"/>
          <w:sz w:val="22"/>
          <w:szCs w:val="22"/>
          <w:rtl/>
        </w:rPr>
        <w:t>אנא ראו את שני השירים שלהלן, פרי עטם של שניים מהמשוררים הגדולים ביותר שלנו. יש מתח במסר העולה מכל אחד משני השירים. מי לטעמכם צודק יותר?</w:t>
      </w:r>
    </w:p>
    <w:p w:rsidR="005366A8" w:rsidRPr="00986937" w:rsidRDefault="005366A8" w:rsidP="005366A8">
      <w:pPr>
        <w:rPr>
          <w:sz w:val="22"/>
          <w:szCs w:val="22"/>
          <w:rtl/>
        </w:rPr>
      </w:pPr>
    </w:p>
    <w:p w:rsidR="005366A8" w:rsidRPr="00986937" w:rsidRDefault="005366A8" w:rsidP="005366A8">
      <w:pPr>
        <w:ind w:left="1440"/>
        <w:rPr>
          <w:i/>
          <w:iCs/>
          <w:sz w:val="22"/>
          <w:szCs w:val="22"/>
          <w:rtl/>
        </w:rPr>
      </w:pPr>
      <w:r w:rsidRPr="00986937">
        <w:rPr>
          <w:i/>
          <w:iCs/>
          <w:sz w:val="22"/>
          <w:szCs w:val="22"/>
          <w:rtl/>
        </w:rPr>
        <w:t>יהודה עמיחי</w:t>
      </w:r>
    </w:p>
    <w:p w:rsidR="005366A8" w:rsidRPr="00986937" w:rsidRDefault="005366A8" w:rsidP="005366A8">
      <w:pPr>
        <w:ind w:left="1440"/>
        <w:rPr>
          <w:b/>
          <w:bCs/>
          <w:sz w:val="22"/>
          <w:szCs w:val="22"/>
          <w:rtl/>
        </w:rPr>
      </w:pPr>
      <w:r w:rsidRPr="00986937">
        <w:rPr>
          <w:b/>
          <w:bCs/>
          <w:sz w:val="22"/>
          <w:szCs w:val="22"/>
          <w:rtl/>
        </w:rPr>
        <w:t>המקום שבו אנו צודקים</w:t>
      </w:r>
    </w:p>
    <w:p w:rsidR="005366A8" w:rsidRPr="00986937" w:rsidRDefault="005366A8" w:rsidP="005366A8">
      <w:pPr>
        <w:ind w:left="1440"/>
        <w:rPr>
          <w:sz w:val="22"/>
          <w:szCs w:val="22"/>
          <w:rtl/>
        </w:rPr>
      </w:pPr>
    </w:p>
    <w:p w:rsidR="005366A8" w:rsidRPr="00986937" w:rsidRDefault="005366A8" w:rsidP="005366A8">
      <w:pPr>
        <w:ind w:left="1440"/>
        <w:rPr>
          <w:sz w:val="22"/>
          <w:szCs w:val="22"/>
          <w:rtl/>
        </w:rPr>
      </w:pPr>
      <w:r w:rsidRPr="00986937">
        <w:rPr>
          <w:sz w:val="22"/>
          <w:szCs w:val="22"/>
          <w:rtl/>
        </w:rPr>
        <w:t>מן המקום שבו אנו צודקים,</w:t>
      </w:r>
    </w:p>
    <w:p w:rsidR="005366A8" w:rsidRPr="00986937" w:rsidRDefault="005366A8" w:rsidP="005366A8">
      <w:pPr>
        <w:ind w:left="1440"/>
        <w:rPr>
          <w:sz w:val="22"/>
          <w:szCs w:val="22"/>
          <w:rtl/>
        </w:rPr>
      </w:pPr>
      <w:r w:rsidRPr="00986937">
        <w:rPr>
          <w:sz w:val="22"/>
          <w:szCs w:val="22"/>
          <w:rtl/>
        </w:rPr>
        <w:t>לא יצמחו לעולם</w:t>
      </w:r>
    </w:p>
    <w:p w:rsidR="005366A8" w:rsidRPr="00986937" w:rsidRDefault="005366A8" w:rsidP="005366A8">
      <w:pPr>
        <w:ind w:left="1440"/>
        <w:rPr>
          <w:sz w:val="22"/>
          <w:szCs w:val="22"/>
          <w:rtl/>
        </w:rPr>
      </w:pPr>
      <w:r w:rsidRPr="00986937">
        <w:rPr>
          <w:sz w:val="22"/>
          <w:szCs w:val="22"/>
          <w:rtl/>
        </w:rPr>
        <w:t>פרחים באביב.</w:t>
      </w:r>
    </w:p>
    <w:p w:rsidR="005366A8" w:rsidRPr="00986937" w:rsidRDefault="005366A8" w:rsidP="005366A8">
      <w:pPr>
        <w:ind w:left="1440"/>
        <w:rPr>
          <w:sz w:val="22"/>
          <w:szCs w:val="22"/>
          <w:rtl/>
        </w:rPr>
      </w:pPr>
    </w:p>
    <w:p w:rsidR="005366A8" w:rsidRPr="00986937" w:rsidRDefault="005366A8" w:rsidP="005366A8">
      <w:pPr>
        <w:ind w:left="1440"/>
        <w:rPr>
          <w:sz w:val="22"/>
          <w:szCs w:val="22"/>
          <w:rtl/>
        </w:rPr>
      </w:pPr>
      <w:r w:rsidRPr="00986937">
        <w:rPr>
          <w:sz w:val="22"/>
          <w:szCs w:val="22"/>
          <w:rtl/>
        </w:rPr>
        <w:t xml:space="preserve">המקום שבו אנו צודקים </w:t>
      </w:r>
    </w:p>
    <w:p w:rsidR="005366A8" w:rsidRPr="00986937" w:rsidRDefault="005366A8" w:rsidP="005366A8">
      <w:pPr>
        <w:ind w:left="1440"/>
        <w:rPr>
          <w:sz w:val="22"/>
          <w:szCs w:val="22"/>
          <w:rtl/>
        </w:rPr>
      </w:pPr>
      <w:r w:rsidRPr="00986937">
        <w:rPr>
          <w:sz w:val="22"/>
          <w:szCs w:val="22"/>
          <w:rtl/>
        </w:rPr>
        <w:t xml:space="preserve">הוא רמוס וקשה </w:t>
      </w:r>
    </w:p>
    <w:p w:rsidR="005366A8" w:rsidRPr="00986937" w:rsidRDefault="005366A8" w:rsidP="005366A8">
      <w:pPr>
        <w:ind w:left="1440"/>
        <w:rPr>
          <w:sz w:val="22"/>
          <w:szCs w:val="22"/>
          <w:rtl/>
        </w:rPr>
      </w:pPr>
      <w:r w:rsidRPr="00986937">
        <w:rPr>
          <w:sz w:val="22"/>
          <w:szCs w:val="22"/>
          <w:rtl/>
        </w:rPr>
        <w:t>כמו חצר.</w:t>
      </w:r>
    </w:p>
    <w:p w:rsidR="005366A8" w:rsidRPr="00986937" w:rsidRDefault="005366A8" w:rsidP="005366A8">
      <w:pPr>
        <w:ind w:left="1440"/>
        <w:rPr>
          <w:sz w:val="22"/>
          <w:szCs w:val="22"/>
          <w:rtl/>
        </w:rPr>
      </w:pPr>
    </w:p>
    <w:p w:rsidR="005366A8" w:rsidRPr="00986937" w:rsidRDefault="005366A8" w:rsidP="005366A8">
      <w:pPr>
        <w:ind w:left="1440"/>
        <w:rPr>
          <w:sz w:val="22"/>
          <w:szCs w:val="22"/>
          <w:rtl/>
        </w:rPr>
      </w:pPr>
      <w:r w:rsidRPr="00986937">
        <w:rPr>
          <w:sz w:val="22"/>
          <w:szCs w:val="22"/>
          <w:rtl/>
        </w:rPr>
        <w:t>אבל ספקות ואהבות עושים</w:t>
      </w:r>
    </w:p>
    <w:p w:rsidR="005366A8" w:rsidRPr="00986937" w:rsidRDefault="005366A8" w:rsidP="005366A8">
      <w:pPr>
        <w:ind w:left="1440"/>
        <w:rPr>
          <w:sz w:val="22"/>
          <w:szCs w:val="22"/>
          <w:rtl/>
        </w:rPr>
      </w:pPr>
      <w:r w:rsidRPr="00986937">
        <w:rPr>
          <w:sz w:val="22"/>
          <w:szCs w:val="22"/>
          <w:rtl/>
        </w:rPr>
        <w:t>את העולם לתחוח</w:t>
      </w:r>
    </w:p>
    <w:p w:rsidR="005366A8" w:rsidRPr="00986937" w:rsidRDefault="005366A8" w:rsidP="005366A8">
      <w:pPr>
        <w:ind w:left="1440"/>
        <w:rPr>
          <w:sz w:val="22"/>
          <w:szCs w:val="22"/>
          <w:rtl/>
        </w:rPr>
      </w:pPr>
      <w:r w:rsidRPr="00986937">
        <w:rPr>
          <w:sz w:val="22"/>
          <w:szCs w:val="22"/>
          <w:rtl/>
        </w:rPr>
        <w:t>כמו חפרפרת, כמו חריש.</w:t>
      </w:r>
    </w:p>
    <w:p w:rsidR="005366A8" w:rsidRPr="00986937" w:rsidRDefault="005366A8" w:rsidP="005366A8">
      <w:pPr>
        <w:ind w:left="1440"/>
        <w:rPr>
          <w:sz w:val="22"/>
          <w:szCs w:val="22"/>
          <w:rtl/>
        </w:rPr>
      </w:pPr>
      <w:r w:rsidRPr="00986937">
        <w:rPr>
          <w:sz w:val="22"/>
          <w:szCs w:val="22"/>
          <w:rtl/>
        </w:rPr>
        <w:t>ולחישה תשמע במקום</w:t>
      </w:r>
    </w:p>
    <w:p w:rsidR="005366A8" w:rsidRPr="00986937" w:rsidRDefault="005366A8" w:rsidP="005366A8">
      <w:pPr>
        <w:ind w:left="1440"/>
        <w:rPr>
          <w:sz w:val="22"/>
          <w:szCs w:val="22"/>
          <w:rtl/>
        </w:rPr>
      </w:pPr>
      <w:r w:rsidRPr="00986937">
        <w:rPr>
          <w:sz w:val="22"/>
          <w:szCs w:val="22"/>
          <w:rtl/>
        </w:rPr>
        <w:t>שבו היה הבית</w:t>
      </w:r>
    </w:p>
    <w:p w:rsidR="005366A8" w:rsidRPr="00986937" w:rsidRDefault="005366A8" w:rsidP="005366A8">
      <w:pPr>
        <w:ind w:left="1440"/>
        <w:rPr>
          <w:sz w:val="22"/>
          <w:szCs w:val="22"/>
          <w:rtl/>
        </w:rPr>
      </w:pPr>
      <w:r w:rsidRPr="00986937">
        <w:rPr>
          <w:sz w:val="22"/>
          <w:szCs w:val="22"/>
          <w:rtl/>
        </w:rPr>
        <w:t>אשר נחרב.</w:t>
      </w:r>
    </w:p>
    <w:p w:rsidR="005366A8" w:rsidRDefault="005366A8" w:rsidP="005366A8">
      <w:pPr>
        <w:ind w:left="3600"/>
        <w:rPr>
          <w:i/>
          <w:iCs/>
          <w:sz w:val="22"/>
          <w:szCs w:val="22"/>
          <w:rtl/>
        </w:rPr>
      </w:pPr>
    </w:p>
    <w:p w:rsidR="005366A8" w:rsidRPr="00986937" w:rsidRDefault="005366A8" w:rsidP="005366A8">
      <w:pPr>
        <w:ind w:left="3600"/>
        <w:rPr>
          <w:i/>
          <w:iCs/>
          <w:sz w:val="22"/>
          <w:szCs w:val="22"/>
          <w:rtl/>
        </w:rPr>
      </w:pPr>
      <w:r w:rsidRPr="00986937">
        <w:rPr>
          <w:i/>
          <w:iCs/>
          <w:sz w:val="22"/>
          <w:szCs w:val="22"/>
          <w:rtl/>
        </w:rPr>
        <w:t>נתן זך</w:t>
      </w:r>
    </w:p>
    <w:p w:rsidR="005366A8" w:rsidRPr="00986937" w:rsidRDefault="005366A8" w:rsidP="005366A8">
      <w:pPr>
        <w:ind w:left="3600"/>
        <w:rPr>
          <w:b/>
          <w:bCs/>
          <w:sz w:val="22"/>
          <w:szCs w:val="22"/>
          <w:rtl/>
        </w:rPr>
      </w:pPr>
      <w:r w:rsidRPr="00986937">
        <w:rPr>
          <w:b/>
          <w:bCs/>
          <w:sz w:val="22"/>
          <w:szCs w:val="22"/>
          <w:rtl/>
        </w:rPr>
        <w:t xml:space="preserve">שיר </w:t>
      </w:r>
      <w:r w:rsidRPr="00986937">
        <w:rPr>
          <w:b/>
          <w:bCs/>
          <w:sz w:val="22"/>
          <w:szCs w:val="22"/>
        </w:rPr>
        <w:t>NO</w:t>
      </w:r>
      <w:r w:rsidRPr="00986937">
        <w:rPr>
          <w:b/>
          <w:bCs/>
          <w:sz w:val="22"/>
          <w:szCs w:val="22"/>
          <w:rtl/>
        </w:rPr>
        <w:t xml:space="preserve"> טיפוסי</w:t>
      </w:r>
    </w:p>
    <w:p w:rsidR="005366A8" w:rsidRPr="00986937" w:rsidRDefault="005366A8" w:rsidP="005366A8">
      <w:pPr>
        <w:ind w:left="3600"/>
        <w:rPr>
          <w:sz w:val="22"/>
          <w:szCs w:val="22"/>
          <w:rtl/>
        </w:rPr>
      </w:pPr>
    </w:p>
    <w:p w:rsidR="005366A8" w:rsidRPr="00986937" w:rsidRDefault="005366A8" w:rsidP="005366A8">
      <w:pPr>
        <w:ind w:left="3600"/>
        <w:rPr>
          <w:sz w:val="22"/>
          <w:szCs w:val="22"/>
          <w:rtl/>
        </w:rPr>
      </w:pPr>
      <w:r w:rsidRPr="00986937">
        <w:rPr>
          <w:sz w:val="22"/>
          <w:szCs w:val="22"/>
          <w:rtl/>
        </w:rPr>
        <w:t>אמר החכם לי טאי פּה</w:t>
      </w:r>
    </w:p>
    <w:p w:rsidR="005366A8" w:rsidRPr="00986937" w:rsidRDefault="005366A8" w:rsidP="005366A8">
      <w:pPr>
        <w:ind w:left="3600"/>
        <w:rPr>
          <w:sz w:val="22"/>
          <w:szCs w:val="22"/>
          <w:rtl/>
        </w:rPr>
      </w:pPr>
      <w:r w:rsidRPr="00986937">
        <w:rPr>
          <w:sz w:val="22"/>
          <w:szCs w:val="22"/>
          <w:rtl/>
        </w:rPr>
        <w:t>ויש הגורסים לי טאי פֹה:</w:t>
      </w:r>
    </w:p>
    <w:p w:rsidR="005366A8" w:rsidRPr="00986937" w:rsidRDefault="005366A8" w:rsidP="005366A8">
      <w:pPr>
        <w:ind w:left="3600"/>
        <w:rPr>
          <w:sz w:val="22"/>
          <w:szCs w:val="22"/>
          <w:rtl/>
        </w:rPr>
      </w:pPr>
    </w:p>
    <w:p w:rsidR="005366A8" w:rsidRPr="00986937" w:rsidRDefault="005366A8" w:rsidP="005366A8">
      <w:pPr>
        <w:ind w:left="3600"/>
        <w:rPr>
          <w:sz w:val="22"/>
          <w:szCs w:val="22"/>
          <w:rtl/>
        </w:rPr>
      </w:pPr>
      <w:r w:rsidRPr="00986937">
        <w:rPr>
          <w:sz w:val="22"/>
          <w:szCs w:val="22"/>
          <w:rtl/>
        </w:rPr>
        <w:t>מי שלא אמר מימיו לא</w:t>
      </w:r>
    </w:p>
    <w:p w:rsidR="005366A8" w:rsidRPr="00986937" w:rsidRDefault="005366A8" w:rsidP="005366A8">
      <w:pPr>
        <w:ind w:left="3600"/>
        <w:rPr>
          <w:sz w:val="22"/>
          <w:szCs w:val="22"/>
          <w:rtl/>
        </w:rPr>
      </w:pPr>
      <w:r w:rsidRPr="00986937">
        <w:rPr>
          <w:sz w:val="22"/>
          <w:szCs w:val="22"/>
          <w:rtl/>
        </w:rPr>
        <w:t>לרוצח, שקרן וטמא</w:t>
      </w:r>
    </w:p>
    <w:p w:rsidR="005366A8" w:rsidRPr="00986937" w:rsidRDefault="005366A8" w:rsidP="005366A8">
      <w:pPr>
        <w:ind w:left="3600"/>
        <w:rPr>
          <w:sz w:val="22"/>
          <w:szCs w:val="22"/>
          <w:rtl/>
        </w:rPr>
      </w:pPr>
      <w:r w:rsidRPr="00986937">
        <w:rPr>
          <w:sz w:val="22"/>
          <w:szCs w:val="22"/>
          <w:rtl/>
        </w:rPr>
        <w:t>לא רק שלא כתב שיר נוֹ נאה</w:t>
      </w:r>
    </w:p>
    <w:p w:rsidR="005366A8" w:rsidRPr="00986937" w:rsidRDefault="005366A8" w:rsidP="005366A8">
      <w:pPr>
        <w:ind w:left="3600"/>
        <w:rPr>
          <w:sz w:val="22"/>
          <w:szCs w:val="22"/>
          <w:rtl/>
        </w:rPr>
      </w:pPr>
      <w:r w:rsidRPr="00986937">
        <w:rPr>
          <w:sz w:val="22"/>
          <w:szCs w:val="22"/>
          <w:rtl/>
        </w:rPr>
        <w:t>כי אם לא למד דבר מלי טאי פה.</w:t>
      </w:r>
    </w:p>
    <w:p w:rsidR="005366A8" w:rsidRPr="00986937" w:rsidRDefault="005366A8" w:rsidP="005366A8">
      <w:pPr>
        <w:ind w:left="3600"/>
        <w:rPr>
          <w:sz w:val="22"/>
          <w:szCs w:val="22"/>
          <w:rtl/>
        </w:rPr>
      </w:pPr>
    </w:p>
    <w:p w:rsidR="005366A8" w:rsidRPr="00986937" w:rsidRDefault="005366A8" w:rsidP="005366A8">
      <w:pPr>
        <w:ind w:left="3600"/>
        <w:rPr>
          <w:sz w:val="22"/>
          <w:szCs w:val="22"/>
          <w:rtl/>
        </w:rPr>
      </w:pPr>
      <w:r w:rsidRPr="00986937">
        <w:rPr>
          <w:sz w:val="22"/>
          <w:szCs w:val="22"/>
          <w:rtl/>
        </w:rPr>
        <w:t>כי אולי אין לנו די זמן לעקור הר</w:t>
      </w:r>
    </w:p>
    <w:p w:rsidR="005366A8" w:rsidRPr="00986937" w:rsidRDefault="005366A8" w:rsidP="005366A8">
      <w:pPr>
        <w:ind w:left="3600"/>
        <w:rPr>
          <w:sz w:val="22"/>
          <w:szCs w:val="22"/>
          <w:rtl/>
        </w:rPr>
      </w:pPr>
      <w:r w:rsidRPr="00986937">
        <w:rPr>
          <w:sz w:val="22"/>
          <w:szCs w:val="22"/>
          <w:rtl/>
        </w:rPr>
        <w:t>ואולי לא באנו לכאן לעקֹר הרים</w:t>
      </w:r>
    </w:p>
    <w:p w:rsidR="005366A8" w:rsidRPr="00986937" w:rsidRDefault="005366A8" w:rsidP="005366A8">
      <w:pPr>
        <w:ind w:left="3600"/>
        <w:rPr>
          <w:sz w:val="22"/>
          <w:szCs w:val="22"/>
          <w:rtl/>
        </w:rPr>
      </w:pPr>
      <w:r w:rsidRPr="00986937">
        <w:rPr>
          <w:sz w:val="22"/>
          <w:szCs w:val="22"/>
          <w:rtl/>
        </w:rPr>
        <w:t xml:space="preserve">אבל יש לנו מעט זמן לכתוב שירים </w:t>
      </w:r>
    </w:p>
    <w:p w:rsidR="005366A8" w:rsidRPr="00986937" w:rsidRDefault="005366A8" w:rsidP="005366A8">
      <w:pPr>
        <w:ind w:left="3600"/>
        <w:rPr>
          <w:sz w:val="22"/>
          <w:szCs w:val="22"/>
          <w:rtl/>
        </w:rPr>
      </w:pPr>
      <w:r w:rsidRPr="00986937">
        <w:rPr>
          <w:sz w:val="22"/>
          <w:szCs w:val="22"/>
          <w:rtl/>
        </w:rPr>
        <w:t>על הזכות הגדולה להיות פֹה</w:t>
      </w:r>
    </w:p>
    <w:p w:rsidR="005366A8" w:rsidRPr="00986937" w:rsidRDefault="005366A8" w:rsidP="005366A8">
      <w:pPr>
        <w:ind w:left="3600"/>
        <w:rPr>
          <w:sz w:val="22"/>
          <w:szCs w:val="22"/>
          <w:rtl/>
        </w:rPr>
      </w:pPr>
      <w:r w:rsidRPr="00986937">
        <w:rPr>
          <w:sz w:val="22"/>
          <w:szCs w:val="22"/>
          <w:rtl/>
        </w:rPr>
        <w:t>על הזכות הגדולה לומר לא</w:t>
      </w:r>
    </w:p>
    <w:p w:rsidR="005366A8" w:rsidRPr="00986937" w:rsidRDefault="005366A8" w:rsidP="005366A8">
      <w:pPr>
        <w:rPr>
          <w:sz w:val="22"/>
          <w:szCs w:val="22"/>
          <w:rtl/>
        </w:rPr>
      </w:pPr>
    </w:p>
    <w:p w:rsidR="005366A8" w:rsidRPr="00A56538" w:rsidRDefault="005366A8" w:rsidP="005366A8">
      <w:pPr>
        <w:spacing w:after="120"/>
        <w:rPr>
          <w:rFonts w:ascii="TimelT"/>
          <w:sz w:val="20"/>
          <w:szCs w:val="20"/>
          <w:rtl/>
        </w:rPr>
      </w:pPr>
    </w:p>
    <w:p w:rsidR="005366A8" w:rsidRPr="003A5D38" w:rsidRDefault="005366A8" w:rsidP="005366A8">
      <w:pPr>
        <w:rPr>
          <w:sz w:val="20"/>
          <w:szCs w:val="20"/>
          <w:rtl/>
        </w:rPr>
      </w:pPr>
      <w:r w:rsidRPr="003A5D38">
        <w:rPr>
          <w:sz w:val="20"/>
          <w:szCs w:val="20"/>
          <w:rtl/>
        </w:rPr>
        <w:t>=-=</w:t>
      </w:r>
    </w:p>
    <w:p w:rsidR="005366A8" w:rsidRDefault="005366A8" w:rsidP="005366A8">
      <w:pPr>
        <w:spacing w:after="120"/>
        <w:rPr>
          <w:rFonts w:cs="FrankRuehl"/>
          <w:b/>
          <w:bCs/>
          <w:sz w:val="22"/>
          <w:szCs w:val="22"/>
          <w:rtl/>
        </w:rPr>
      </w:pPr>
      <w:r w:rsidRPr="003A5D38">
        <w:rPr>
          <w:b/>
          <w:bCs/>
          <w:sz w:val="20"/>
          <w:szCs w:val="20"/>
          <w:highlight w:val="green"/>
          <w:rtl/>
        </w:rPr>
        <w:t>קריאה לפגישה הקרובה</w:t>
      </w:r>
      <w:r w:rsidRPr="003A5D38">
        <w:rPr>
          <w:rFonts w:cs="FrankRuehl" w:hint="cs"/>
          <w:b/>
          <w:bCs/>
          <w:sz w:val="22"/>
          <w:szCs w:val="22"/>
          <w:rtl/>
        </w:rPr>
        <w:t xml:space="preserve"> </w:t>
      </w:r>
    </w:p>
    <w:p w:rsidR="005366A8" w:rsidRPr="004F062F" w:rsidRDefault="005366A8" w:rsidP="005366A8">
      <w:pPr>
        <w:spacing w:after="120"/>
        <w:rPr>
          <w:sz w:val="22"/>
          <w:szCs w:val="22"/>
          <w:rtl/>
        </w:rPr>
      </w:pPr>
      <w:r>
        <w:rPr>
          <w:rFonts w:hint="cs"/>
          <w:sz w:val="22"/>
          <w:szCs w:val="22"/>
          <w:rtl/>
        </w:rPr>
        <w:t>אנא חשבו על השאלה הסמוכה לעיל. נדון בה בפתח הפגישה הקודמת</w:t>
      </w:r>
      <w:r w:rsidRPr="004F062F">
        <w:rPr>
          <w:sz w:val="22"/>
          <w:szCs w:val="22"/>
          <w:rtl/>
        </w:rPr>
        <w:t>.</w:t>
      </w:r>
    </w:p>
    <w:p w:rsidR="005366A8" w:rsidRPr="004F062F" w:rsidRDefault="005366A8" w:rsidP="005366A8">
      <w:pPr>
        <w:rPr>
          <w:sz w:val="22"/>
          <w:szCs w:val="22"/>
          <w:rtl/>
        </w:rPr>
      </w:pPr>
      <w:r w:rsidRPr="004F062F">
        <w:rPr>
          <w:sz w:val="22"/>
          <w:szCs w:val="22"/>
          <w:rtl/>
        </w:rPr>
        <w:t xml:space="preserve">אנא קראו את פסק דין </w:t>
      </w:r>
      <w:r w:rsidRPr="004F062F">
        <w:rPr>
          <w:b/>
          <w:bCs/>
          <w:sz w:val="22"/>
          <w:szCs w:val="22"/>
          <w:rtl/>
        </w:rPr>
        <w:t>פלוני</w:t>
      </w:r>
      <w:r w:rsidRPr="004F062F">
        <w:rPr>
          <w:sz w:val="22"/>
          <w:szCs w:val="22"/>
          <w:rtl/>
        </w:rPr>
        <w:t xml:space="preserve"> - הקטע שאליו אתם מופנים. </w:t>
      </w:r>
    </w:p>
    <w:p w:rsidR="005366A8" w:rsidRPr="004F062F" w:rsidRDefault="005366A8" w:rsidP="005366A8">
      <w:pPr>
        <w:ind w:left="720"/>
        <w:rPr>
          <w:sz w:val="22"/>
          <w:szCs w:val="22"/>
          <w:rtl/>
        </w:rPr>
      </w:pPr>
      <w:r w:rsidRPr="004F062F">
        <w:rPr>
          <w:sz w:val="22"/>
          <w:szCs w:val="22"/>
          <w:rtl/>
        </w:rPr>
        <w:t xml:space="preserve">איך הוא מתקשר לדיון שהיה לנו היום בעניין פס"ד הועד </w:t>
      </w:r>
      <w:r>
        <w:rPr>
          <w:rFonts w:hint="cs"/>
          <w:sz w:val="22"/>
          <w:szCs w:val="22"/>
          <w:rtl/>
        </w:rPr>
        <w:t xml:space="preserve">הציבורי </w:t>
      </w:r>
      <w:r w:rsidRPr="004F062F">
        <w:rPr>
          <w:sz w:val="22"/>
          <w:szCs w:val="22"/>
          <w:rtl/>
        </w:rPr>
        <w:t xml:space="preserve">נגד עינויים? </w:t>
      </w:r>
    </w:p>
    <w:p w:rsidR="005366A8" w:rsidRPr="004F062F" w:rsidRDefault="005366A8" w:rsidP="005366A8">
      <w:pPr>
        <w:ind w:left="720"/>
        <w:rPr>
          <w:sz w:val="22"/>
          <w:szCs w:val="22"/>
          <w:rtl/>
        </w:rPr>
      </w:pPr>
      <w:r w:rsidRPr="004F062F">
        <w:rPr>
          <w:sz w:val="22"/>
          <w:szCs w:val="22"/>
          <w:rtl/>
        </w:rPr>
        <w:t xml:space="preserve">מהי השאלה המרכזית הנדונה בו? </w:t>
      </w:r>
    </w:p>
    <w:p w:rsidR="005366A8" w:rsidRPr="004F062F" w:rsidRDefault="005366A8" w:rsidP="005366A8">
      <w:pPr>
        <w:spacing w:after="120"/>
        <w:ind w:left="720"/>
        <w:rPr>
          <w:sz w:val="22"/>
          <w:szCs w:val="22"/>
          <w:rtl/>
        </w:rPr>
      </w:pPr>
      <w:r w:rsidRPr="004F062F">
        <w:rPr>
          <w:sz w:val="22"/>
          <w:szCs w:val="22"/>
          <w:rtl/>
        </w:rPr>
        <w:t>מדוע מתקבלת ההכרעה שמתקבלת?</w:t>
      </w:r>
    </w:p>
    <w:p w:rsidR="005366A8" w:rsidRPr="004F062F" w:rsidRDefault="005366A8" w:rsidP="005366A8">
      <w:pPr>
        <w:rPr>
          <w:sz w:val="22"/>
          <w:szCs w:val="22"/>
          <w:rtl/>
        </w:rPr>
      </w:pPr>
      <w:r w:rsidRPr="004F062F">
        <w:rPr>
          <w:sz w:val="22"/>
          <w:szCs w:val="22"/>
          <w:rtl/>
        </w:rPr>
        <w:t xml:space="preserve">אנא קראו גם את פס"ד </w:t>
      </w:r>
      <w:r w:rsidRPr="004F062F">
        <w:rPr>
          <w:b/>
          <w:bCs/>
          <w:sz w:val="22"/>
          <w:szCs w:val="22"/>
          <w:rtl/>
        </w:rPr>
        <w:t>מושלב</w:t>
      </w:r>
      <w:r w:rsidRPr="004F062F">
        <w:rPr>
          <w:sz w:val="22"/>
          <w:szCs w:val="22"/>
          <w:rtl/>
        </w:rPr>
        <w:t xml:space="preserve">. פסק דין קצר מתחום המשפט המינהלי. </w:t>
      </w:r>
    </w:p>
    <w:p w:rsidR="005366A8" w:rsidRPr="004F062F" w:rsidRDefault="005366A8" w:rsidP="005366A8">
      <w:pPr>
        <w:ind w:left="720"/>
        <w:rPr>
          <w:sz w:val="22"/>
          <w:szCs w:val="22"/>
          <w:rtl/>
        </w:rPr>
      </w:pPr>
      <w:r w:rsidRPr="004F062F">
        <w:rPr>
          <w:sz w:val="22"/>
          <w:szCs w:val="22"/>
          <w:rtl/>
        </w:rPr>
        <w:t>מהי השאלה העיקרית/ השאלות העיקריות שבהן עוסק פסק הדין?</w:t>
      </w:r>
    </w:p>
    <w:p w:rsidR="005366A8" w:rsidRPr="004F062F" w:rsidRDefault="005366A8" w:rsidP="005366A8">
      <w:pPr>
        <w:ind w:left="720"/>
        <w:rPr>
          <w:sz w:val="22"/>
          <w:szCs w:val="22"/>
          <w:rtl/>
        </w:rPr>
      </w:pPr>
      <w:r w:rsidRPr="004F062F">
        <w:rPr>
          <w:sz w:val="22"/>
          <w:szCs w:val="22"/>
          <w:rtl/>
        </w:rPr>
        <w:t>מהי התשובה הניתנת לה או להן?</w:t>
      </w:r>
    </w:p>
    <w:p w:rsidR="005366A8" w:rsidRPr="003A5D38" w:rsidRDefault="005366A8" w:rsidP="005366A8">
      <w:pPr>
        <w:rPr>
          <w:sz w:val="20"/>
          <w:szCs w:val="20"/>
          <w:rtl/>
        </w:rPr>
      </w:pPr>
    </w:p>
    <w:p w:rsidR="005366A8" w:rsidRDefault="005366A8">
      <w:pPr>
        <w:bidi w:val="0"/>
        <w:jc w:val="left"/>
        <w:rPr>
          <w:sz w:val="22"/>
          <w:szCs w:val="22"/>
          <w:rtl/>
        </w:rPr>
      </w:pPr>
      <w:r>
        <w:rPr>
          <w:sz w:val="22"/>
          <w:szCs w:val="22"/>
          <w:rtl/>
        </w:rPr>
        <w:br w:type="page"/>
      </w:r>
    </w:p>
    <w:p w:rsidR="005366A8" w:rsidRDefault="005366A8" w:rsidP="005366A8">
      <w:pPr>
        <w:jc w:val="right"/>
        <w:rPr>
          <w:rtl/>
        </w:rPr>
      </w:pPr>
      <w:r w:rsidRPr="007F6E4F">
        <w:rPr>
          <w:rFonts w:hint="cs"/>
          <w:b/>
          <w:bCs/>
          <w:sz w:val="22"/>
          <w:szCs w:val="22"/>
          <w:rtl/>
        </w:rPr>
        <w:t>משפט ציבורי</w:t>
      </w:r>
      <w:r>
        <w:rPr>
          <w:rFonts w:hint="cs"/>
          <w:sz w:val="22"/>
          <w:szCs w:val="22"/>
          <w:rtl/>
        </w:rPr>
        <w:t xml:space="preserve">, </w:t>
      </w:r>
      <w:r w:rsidRPr="00C4131E">
        <w:rPr>
          <w:rFonts w:hint="cs"/>
          <w:i/>
          <w:iCs/>
          <w:sz w:val="22"/>
          <w:szCs w:val="22"/>
          <w:rtl/>
        </w:rPr>
        <w:t>תשע"</w:t>
      </w:r>
      <w:r>
        <w:rPr>
          <w:rFonts w:hint="cs"/>
          <w:i/>
          <w:iCs/>
          <w:sz w:val="22"/>
          <w:szCs w:val="22"/>
          <w:rtl/>
        </w:rPr>
        <w:t>ה</w:t>
      </w:r>
      <w:r>
        <w:rPr>
          <w:rFonts w:hint="cs"/>
          <w:sz w:val="22"/>
          <w:szCs w:val="22"/>
          <w:rtl/>
        </w:rPr>
        <w:t xml:space="preserve">, </w:t>
      </w:r>
      <w:r w:rsidRPr="007F6E4F">
        <w:rPr>
          <w:rFonts w:hint="cs"/>
          <w:b/>
          <w:bCs/>
          <w:sz w:val="22"/>
          <w:szCs w:val="22"/>
          <w:rtl/>
        </w:rPr>
        <w:t>סמסטר א',</w:t>
      </w:r>
      <w:r>
        <w:rPr>
          <w:rFonts w:hint="cs"/>
          <w:sz w:val="22"/>
          <w:szCs w:val="22"/>
          <w:rtl/>
        </w:rPr>
        <w:t xml:space="preserve"> ד"ר אילן סבן, נובמבר 2014, </w:t>
      </w:r>
      <w:r w:rsidRPr="005366A8">
        <w:rPr>
          <w:rFonts w:hint="cs"/>
          <w:b/>
          <w:bCs/>
          <w:i/>
          <w:iCs/>
          <w:sz w:val="22"/>
          <w:szCs w:val="22"/>
          <w:highlight w:val="magenta"/>
          <w:u w:val="single"/>
          <w:rtl/>
        </w:rPr>
        <w:t>פגישה 3</w:t>
      </w:r>
    </w:p>
    <w:p w:rsidR="005366A8" w:rsidRDefault="005366A8" w:rsidP="005366A8">
      <w:pPr>
        <w:rPr>
          <w:rtl/>
        </w:rPr>
      </w:pPr>
    </w:p>
    <w:p w:rsidR="005366A8" w:rsidRPr="00A12A07" w:rsidRDefault="005366A8" w:rsidP="005366A8">
      <w:pPr>
        <w:pStyle w:val="Heading7"/>
        <w:rPr>
          <w:rFonts w:ascii="Arial" w:hAnsi="Arial" w:cs="Guttman-Soncino"/>
          <w:sz w:val="28"/>
          <w:szCs w:val="28"/>
          <w:u w:val="none"/>
          <w:rtl/>
        </w:rPr>
      </w:pPr>
      <w:r w:rsidRPr="00A12A07">
        <w:rPr>
          <w:rFonts w:ascii="Arial" w:hAnsi="Arial" w:cs="Guttman-Soncino" w:hint="cs"/>
          <w:sz w:val="28"/>
          <w:szCs w:val="28"/>
          <w:highlight w:val="yellow"/>
          <w:u w:val="none"/>
          <w:rtl/>
        </w:rPr>
        <w:t>המשך הדיון המבואי במשפט הציבורי של ישראל</w:t>
      </w:r>
    </w:p>
    <w:p w:rsidR="005366A8" w:rsidRDefault="005366A8" w:rsidP="005366A8">
      <w:pPr>
        <w:rPr>
          <w:rtl/>
        </w:rPr>
      </w:pPr>
    </w:p>
    <w:p w:rsidR="005366A8" w:rsidRPr="001E3FE7" w:rsidRDefault="005366A8" w:rsidP="005366A8">
      <w:pPr>
        <w:spacing w:after="120"/>
        <w:rPr>
          <w:b/>
          <w:bCs/>
          <w:i/>
          <w:iCs/>
          <w:sz w:val="22"/>
          <w:szCs w:val="22"/>
          <w:rtl/>
        </w:rPr>
      </w:pPr>
      <w:r w:rsidRPr="001E3FE7">
        <w:rPr>
          <w:rFonts w:hint="cs"/>
          <w:b/>
          <w:bCs/>
          <w:i/>
          <w:iCs/>
          <w:sz w:val="22"/>
          <w:szCs w:val="22"/>
          <w:rtl/>
        </w:rPr>
        <w:t>המשך קצר לפגישה הקודמת</w:t>
      </w:r>
    </w:p>
    <w:p w:rsidR="005366A8" w:rsidRDefault="005366A8" w:rsidP="005366A8">
      <w:pPr>
        <w:spacing w:after="120"/>
        <w:rPr>
          <w:sz w:val="22"/>
          <w:szCs w:val="22"/>
          <w:rtl/>
        </w:rPr>
      </w:pPr>
    </w:p>
    <w:p w:rsidR="005366A8" w:rsidRPr="001E3FE7" w:rsidRDefault="005366A8" w:rsidP="005366A8">
      <w:pPr>
        <w:spacing w:after="120"/>
        <w:rPr>
          <w:sz w:val="22"/>
          <w:szCs w:val="22"/>
          <w:rtl/>
        </w:rPr>
      </w:pPr>
      <w:r w:rsidRPr="001E3FE7">
        <w:rPr>
          <w:rFonts w:hint="cs"/>
          <w:sz w:val="22"/>
          <w:szCs w:val="22"/>
          <w:rtl/>
        </w:rPr>
        <w:t>א.</w:t>
      </w:r>
    </w:p>
    <w:p w:rsidR="005366A8" w:rsidRPr="001E3FE7" w:rsidRDefault="005366A8" w:rsidP="005366A8">
      <w:pPr>
        <w:spacing w:after="120"/>
        <w:rPr>
          <w:sz w:val="22"/>
          <w:szCs w:val="22"/>
          <w:rtl/>
        </w:rPr>
      </w:pPr>
      <w:r w:rsidRPr="001E3FE7">
        <w:rPr>
          <w:rFonts w:hint="cs"/>
          <w:b/>
          <w:bCs/>
          <w:sz w:val="22"/>
          <w:szCs w:val="22"/>
          <w:rtl/>
        </w:rPr>
        <w:t>יהודים וערבים</w:t>
      </w:r>
      <w:r w:rsidRPr="001E3FE7">
        <w:rPr>
          <w:rFonts w:hint="cs"/>
          <w:sz w:val="22"/>
          <w:szCs w:val="22"/>
          <w:rtl/>
        </w:rPr>
        <w:t xml:space="preserve"> [ערבים = הפלסטינים ו</w:t>
      </w:r>
      <w:r>
        <w:rPr>
          <w:rFonts w:hint="cs"/>
          <w:sz w:val="22"/>
          <w:szCs w:val="22"/>
          <w:rtl/>
        </w:rPr>
        <w:t xml:space="preserve">כן אזרחי </w:t>
      </w:r>
      <w:r w:rsidRPr="001E3FE7">
        <w:rPr>
          <w:rFonts w:hint="cs"/>
          <w:sz w:val="22"/>
          <w:szCs w:val="22"/>
          <w:rtl/>
        </w:rPr>
        <w:t>מדינות ערב; נתמקד כאן בפלסטינים]</w:t>
      </w:r>
    </w:p>
    <w:p w:rsidR="005366A8" w:rsidRPr="001E3FE7" w:rsidRDefault="005366A8" w:rsidP="005366A8">
      <w:pPr>
        <w:spacing w:after="120"/>
        <w:rPr>
          <w:b/>
          <w:bCs/>
          <w:sz w:val="22"/>
          <w:szCs w:val="22"/>
          <w:rtl/>
        </w:rPr>
      </w:pPr>
      <w:r w:rsidRPr="001E3FE7">
        <w:rPr>
          <w:rFonts w:hint="cs"/>
          <w:b/>
          <w:bCs/>
          <w:sz w:val="22"/>
          <w:szCs w:val="22"/>
          <w:rtl/>
        </w:rPr>
        <w:t>יהודים</w:t>
      </w:r>
    </w:p>
    <w:p w:rsidR="005366A8" w:rsidRPr="001E3FE7" w:rsidRDefault="005366A8" w:rsidP="005366A8">
      <w:pPr>
        <w:spacing w:after="120"/>
        <w:ind w:left="720"/>
        <w:rPr>
          <w:sz w:val="22"/>
          <w:szCs w:val="22"/>
          <w:rtl/>
        </w:rPr>
      </w:pPr>
      <w:r w:rsidRPr="001E3FE7">
        <w:rPr>
          <w:rFonts w:hint="cs"/>
          <w:sz w:val="22"/>
          <w:szCs w:val="22"/>
          <w:rtl/>
        </w:rPr>
        <w:t>בישראל;</w:t>
      </w:r>
    </w:p>
    <w:p w:rsidR="005366A8" w:rsidRPr="001E3FE7" w:rsidRDefault="005366A8" w:rsidP="005366A8">
      <w:pPr>
        <w:spacing w:after="120"/>
        <w:ind w:left="1440"/>
        <w:rPr>
          <w:sz w:val="22"/>
          <w:szCs w:val="22"/>
          <w:rtl/>
        </w:rPr>
      </w:pPr>
      <w:r>
        <w:rPr>
          <w:rFonts w:hint="cs"/>
          <w:sz w:val="22"/>
          <w:szCs w:val="22"/>
          <w:rtl/>
        </w:rPr>
        <w:t>וכן ב</w:t>
      </w:r>
      <w:r w:rsidRPr="001E3FE7">
        <w:rPr>
          <w:rFonts w:hint="cs"/>
          <w:sz w:val="22"/>
          <w:szCs w:val="22"/>
          <w:rtl/>
        </w:rPr>
        <w:t>ירושלים המזרחית ו</w:t>
      </w:r>
      <w:r>
        <w:rPr>
          <w:rFonts w:hint="cs"/>
          <w:sz w:val="22"/>
          <w:szCs w:val="22"/>
          <w:rtl/>
        </w:rPr>
        <w:t>ב</w:t>
      </w:r>
      <w:r w:rsidRPr="001E3FE7">
        <w:rPr>
          <w:rFonts w:hint="cs"/>
          <w:sz w:val="22"/>
          <w:szCs w:val="22"/>
          <w:rtl/>
        </w:rPr>
        <w:t xml:space="preserve">רמת הגולן </w:t>
      </w:r>
      <w:r w:rsidRPr="001E3FE7">
        <w:rPr>
          <w:sz w:val="22"/>
          <w:szCs w:val="22"/>
          <w:rtl/>
        </w:rPr>
        <w:t>–</w:t>
      </w:r>
      <w:r w:rsidRPr="001E3FE7">
        <w:rPr>
          <w:rFonts w:hint="cs"/>
          <w:sz w:val="22"/>
          <w:szCs w:val="22"/>
          <w:rtl/>
        </w:rPr>
        <w:t xml:space="preserve"> אזורים </w:t>
      </w:r>
      <w:r>
        <w:rPr>
          <w:rFonts w:hint="cs"/>
          <w:sz w:val="22"/>
          <w:szCs w:val="22"/>
          <w:rtl/>
        </w:rPr>
        <w:t>ש</w:t>
      </w:r>
      <w:r w:rsidRPr="001E3FE7">
        <w:rPr>
          <w:rFonts w:hint="cs"/>
          <w:sz w:val="22"/>
          <w:szCs w:val="22"/>
          <w:rtl/>
        </w:rPr>
        <w:t xml:space="preserve">סופחו לישראל מבחינת משפטה הפנימי </w:t>
      </w:r>
      <w:r w:rsidRPr="001E3FE7">
        <w:rPr>
          <w:sz w:val="22"/>
          <w:szCs w:val="22"/>
          <w:rtl/>
        </w:rPr>
        <w:t>–</w:t>
      </w:r>
      <w:r w:rsidRPr="001E3FE7">
        <w:rPr>
          <w:rFonts w:hint="cs"/>
          <w:sz w:val="22"/>
          <w:szCs w:val="22"/>
          <w:rtl/>
        </w:rPr>
        <w:t xml:space="preserve"> אזרחים ככל האזרחים;</w:t>
      </w:r>
    </w:p>
    <w:p w:rsidR="005366A8" w:rsidRPr="001E3FE7" w:rsidRDefault="005366A8" w:rsidP="005366A8">
      <w:pPr>
        <w:spacing w:after="120"/>
        <w:ind w:left="720"/>
        <w:rPr>
          <w:sz w:val="22"/>
          <w:szCs w:val="22"/>
          <w:rtl/>
        </w:rPr>
      </w:pPr>
      <w:r w:rsidRPr="001E3FE7">
        <w:rPr>
          <w:rFonts w:hint="cs"/>
          <w:sz w:val="22"/>
          <w:szCs w:val="22"/>
          <w:rtl/>
        </w:rPr>
        <w:t xml:space="preserve">המתיישבים/המתנחלים בגדה המערבית </w:t>
      </w:r>
      <w:r w:rsidRPr="001E3FE7">
        <w:rPr>
          <w:sz w:val="22"/>
          <w:szCs w:val="22"/>
          <w:rtl/>
        </w:rPr>
        <w:t>–</w:t>
      </w:r>
      <w:r w:rsidRPr="001E3FE7">
        <w:rPr>
          <w:rFonts w:hint="cs"/>
          <w:sz w:val="22"/>
          <w:szCs w:val="22"/>
          <w:rtl/>
        </w:rPr>
        <w:t xml:space="preserve"> אזרחים ככל האזרחים בכפוף למקצת הדינים;</w:t>
      </w:r>
    </w:p>
    <w:p w:rsidR="005366A8" w:rsidRPr="001E3FE7" w:rsidRDefault="005366A8" w:rsidP="005366A8">
      <w:pPr>
        <w:spacing w:after="120"/>
        <w:ind w:left="1440" w:hanging="720"/>
        <w:rPr>
          <w:sz w:val="22"/>
          <w:szCs w:val="22"/>
          <w:rtl/>
        </w:rPr>
      </w:pPr>
      <w:r w:rsidRPr="001E3FE7">
        <w:rPr>
          <w:rFonts w:hint="cs"/>
          <w:sz w:val="22"/>
          <w:szCs w:val="22"/>
          <w:rtl/>
        </w:rPr>
        <w:t xml:space="preserve">יהודים בגולה/ בתפוצות/ כלומר מחוץ לישראל (העדר אזרחות ישראלית, למעט מהגרים מישראל, מי שקרויים לעיתים "יורדים"; בעלי אזרחות של מדינתם/מולדתם; ובמקביל, בעלי זכות להגיע לישראל בכל עת ולקבל אזרחות אוטומטית </w:t>
      </w:r>
      <w:r w:rsidRPr="001E3FE7">
        <w:rPr>
          <w:sz w:val="22"/>
          <w:szCs w:val="22"/>
          <w:rtl/>
        </w:rPr>
        <w:t>–</w:t>
      </w:r>
      <w:r w:rsidRPr="001E3FE7">
        <w:rPr>
          <w:rFonts w:hint="cs"/>
          <w:sz w:val="22"/>
          <w:szCs w:val="22"/>
          <w:rtl/>
        </w:rPr>
        <w:t xml:space="preserve"> חוק השבות)</w:t>
      </w:r>
    </w:p>
    <w:p w:rsidR="005366A8" w:rsidRPr="001E3FE7" w:rsidRDefault="005366A8" w:rsidP="005366A8">
      <w:pPr>
        <w:spacing w:after="120"/>
        <w:ind w:left="720" w:hanging="720"/>
        <w:rPr>
          <w:sz w:val="22"/>
          <w:szCs w:val="22"/>
          <w:rtl/>
        </w:rPr>
      </w:pPr>
      <w:r w:rsidRPr="001E3FE7">
        <w:rPr>
          <w:rFonts w:hint="cs"/>
          <w:b/>
          <w:bCs/>
          <w:sz w:val="22"/>
          <w:szCs w:val="22"/>
          <w:rtl/>
        </w:rPr>
        <w:t>הפלסטינים</w:t>
      </w:r>
      <w:r w:rsidRPr="001E3FE7">
        <w:rPr>
          <w:rFonts w:hint="cs"/>
          <w:sz w:val="22"/>
          <w:szCs w:val="22"/>
          <w:rtl/>
        </w:rPr>
        <w:t xml:space="preserve"> (עם נטול מדינה </w:t>
      </w:r>
      <w:r>
        <w:rPr>
          <w:rFonts w:hint="cs"/>
          <w:sz w:val="22"/>
          <w:szCs w:val="22"/>
          <w:rtl/>
        </w:rPr>
        <w:t>המפוצל ל</w:t>
      </w:r>
      <w:r w:rsidRPr="001E3FE7">
        <w:rPr>
          <w:rFonts w:hint="cs"/>
          <w:sz w:val="22"/>
          <w:szCs w:val="22"/>
          <w:rtl/>
        </w:rPr>
        <w:t>קבוצות שונות):</w:t>
      </w:r>
    </w:p>
    <w:p w:rsidR="005366A8" w:rsidRPr="001E3FE7" w:rsidRDefault="005366A8" w:rsidP="005366A8">
      <w:pPr>
        <w:spacing w:after="120"/>
        <w:ind w:left="1440" w:hanging="720"/>
        <w:rPr>
          <w:b/>
          <w:bCs/>
          <w:sz w:val="22"/>
          <w:szCs w:val="22"/>
          <w:rtl/>
        </w:rPr>
      </w:pPr>
      <w:r>
        <w:rPr>
          <w:rFonts w:hint="cs"/>
          <w:b/>
          <w:bCs/>
          <w:sz w:val="22"/>
          <w:szCs w:val="22"/>
          <w:rtl/>
        </w:rPr>
        <w:t>[</w:t>
      </w:r>
      <w:r w:rsidRPr="001E3FE7">
        <w:rPr>
          <w:rFonts w:hint="cs"/>
          <w:b/>
          <w:bCs/>
          <w:sz w:val="22"/>
          <w:szCs w:val="22"/>
          <w:rtl/>
        </w:rPr>
        <w:t>אבחנה אחת היא בין מי שהם פליטים (או צאצ</w:t>
      </w:r>
      <w:r>
        <w:rPr>
          <w:rFonts w:hint="cs"/>
          <w:b/>
          <w:bCs/>
          <w:sz w:val="22"/>
          <w:szCs w:val="22"/>
          <w:rtl/>
        </w:rPr>
        <w:t>א</w:t>
      </w:r>
      <w:r w:rsidRPr="001E3FE7">
        <w:rPr>
          <w:rFonts w:hint="cs"/>
          <w:b/>
          <w:bCs/>
          <w:sz w:val="22"/>
          <w:szCs w:val="22"/>
          <w:rtl/>
        </w:rPr>
        <w:t>יהם) ומי שאינם פליטים</w:t>
      </w:r>
    </w:p>
    <w:p w:rsidR="005366A8" w:rsidRPr="001E3FE7" w:rsidRDefault="005366A8" w:rsidP="005366A8">
      <w:pPr>
        <w:spacing w:after="120"/>
        <w:ind w:left="2160" w:hanging="720"/>
        <w:rPr>
          <w:sz w:val="22"/>
          <w:szCs w:val="22"/>
          <w:rtl/>
        </w:rPr>
      </w:pPr>
      <w:r w:rsidRPr="001E3FE7">
        <w:rPr>
          <w:rFonts w:hint="cs"/>
          <w:sz w:val="22"/>
          <w:szCs w:val="22"/>
          <w:rtl/>
        </w:rPr>
        <w:t>פליטים וצאצאיהם: מי שברחו או גורשו ב 1948 לגדה, לעזה, לירדן, לבנון, סוריה;</w:t>
      </w:r>
    </w:p>
    <w:p w:rsidR="005366A8" w:rsidRPr="001E3FE7" w:rsidRDefault="005366A8" w:rsidP="005366A8">
      <w:pPr>
        <w:spacing w:after="120"/>
        <w:ind w:left="2160" w:hanging="720"/>
        <w:rPr>
          <w:sz w:val="22"/>
          <w:szCs w:val="22"/>
          <w:rtl/>
        </w:rPr>
      </w:pPr>
      <w:r w:rsidRPr="001E3FE7">
        <w:rPr>
          <w:rFonts w:hint="cs"/>
          <w:sz w:val="22"/>
          <w:szCs w:val="22"/>
          <w:rtl/>
        </w:rPr>
        <w:t xml:space="preserve">מי שאינם פליטים (כמו הפלסטינים </w:t>
      </w:r>
      <w:r>
        <w:rPr>
          <w:rFonts w:hint="cs"/>
          <w:sz w:val="22"/>
          <w:szCs w:val="22"/>
          <w:rtl/>
        </w:rPr>
        <w:t xml:space="preserve">שנותרו </w:t>
      </w:r>
      <w:r w:rsidRPr="001E3FE7">
        <w:rPr>
          <w:rFonts w:hint="cs"/>
          <w:sz w:val="22"/>
          <w:szCs w:val="22"/>
          <w:rtl/>
        </w:rPr>
        <w:t>בישראל</w:t>
      </w:r>
      <w:r>
        <w:rPr>
          <w:rFonts w:hint="cs"/>
          <w:sz w:val="22"/>
          <w:szCs w:val="22"/>
          <w:rtl/>
        </w:rPr>
        <w:t xml:space="preserve">, כלומר אזרחי ישראל הערבים </w:t>
      </w:r>
      <w:r>
        <w:rPr>
          <w:sz w:val="22"/>
          <w:szCs w:val="22"/>
          <w:rtl/>
        </w:rPr>
        <w:t>–</w:t>
      </w:r>
      <w:r>
        <w:rPr>
          <w:rFonts w:hint="cs"/>
          <w:sz w:val="22"/>
          <w:szCs w:val="22"/>
          <w:rtl/>
        </w:rPr>
        <w:t xml:space="preserve"> שחלקם נותרו על אדמתם אך חלקם נעקרו ממנה למקום אחר בישראל, והם, האחרונים, מכונים "עקורים" או "פליטים פנימיים";</w:t>
      </w:r>
      <w:r w:rsidRPr="001E3FE7">
        <w:rPr>
          <w:rFonts w:hint="cs"/>
          <w:sz w:val="22"/>
          <w:szCs w:val="22"/>
          <w:rtl/>
        </w:rPr>
        <w:t xml:space="preserve"> או חלק מהפלסטינים בגדה או חלק מהפלסטינים ברצועה או חלק מהפלסטינים בירושלים המזרחית</w:t>
      </w:r>
      <w:r>
        <w:rPr>
          <w:rFonts w:hint="cs"/>
          <w:sz w:val="22"/>
          <w:szCs w:val="22"/>
          <w:rtl/>
        </w:rPr>
        <w:t>, שנותרו ב 1948 על אדמתם</w:t>
      </w:r>
      <w:r w:rsidRPr="001E3FE7">
        <w:rPr>
          <w:rFonts w:hint="cs"/>
          <w:sz w:val="22"/>
          <w:szCs w:val="22"/>
          <w:rtl/>
        </w:rPr>
        <w:t>)</w:t>
      </w:r>
      <w:r>
        <w:rPr>
          <w:rFonts w:hint="cs"/>
          <w:sz w:val="22"/>
          <w:szCs w:val="22"/>
          <w:rtl/>
        </w:rPr>
        <w:t>.]</w:t>
      </w:r>
    </w:p>
    <w:p w:rsidR="005366A8" w:rsidRPr="001E3FE7" w:rsidRDefault="005366A8" w:rsidP="005366A8">
      <w:pPr>
        <w:spacing w:after="120"/>
        <w:ind w:left="720"/>
        <w:rPr>
          <w:b/>
          <w:bCs/>
          <w:sz w:val="22"/>
          <w:szCs w:val="22"/>
          <w:rtl/>
        </w:rPr>
      </w:pPr>
      <w:r w:rsidRPr="001E3FE7">
        <w:rPr>
          <w:rFonts w:hint="cs"/>
          <w:b/>
          <w:bCs/>
          <w:sz w:val="22"/>
          <w:szCs w:val="22"/>
          <w:rtl/>
        </w:rPr>
        <w:t xml:space="preserve">פיצול על יסוד </w:t>
      </w:r>
      <w:r w:rsidRPr="001E3FE7">
        <w:rPr>
          <w:rFonts w:hint="cs"/>
          <w:b/>
          <w:bCs/>
          <w:sz w:val="22"/>
          <w:szCs w:val="22"/>
          <w:u w:val="single"/>
          <w:rtl/>
        </w:rPr>
        <w:t>המעמד האזרחי</w:t>
      </w:r>
      <w:r w:rsidRPr="001E3FE7">
        <w:rPr>
          <w:rFonts w:hint="cs"/>
          <w:b/>
          <w:bCs/>
          <w:sz w:val="22"/>
          <w:szCs w:val="22"/>
          <w:rtl/>
        </w:rPr>
        <w:t>:</w:t>
      </w:r>
    </w:p>
    <w:p w:rsidR="005366A8" w:rsidRPr="001E3FE7" w:rsidRDefault="005366A8" w:rsidP="005366A8">
      <w:pPr>
        <w:spacing w:after="120"/>
        <w:ind w:left="1440"/>
        <w:rPr>
          <w:sz w:val="22"/>
          <w:szCs w:val="22"/>
          <w:rtl/>
        </w:rPr>
      </w:pPr>
      <w:r w:rsidRPr="001E3FE7">
        <w:rPr>
          <w:rFonts w:hint="cs"/>
          <w:sz w:val="22"/>
          <w:szCs w:val="22"/>
          <w:rtl/>
        </w:rPr>
        <w:t xml:space="preserve">הפלסטינים אזרחי ישראל = הערבים אזרחי ישראל = </w:t>
      </w:r>
      <w:r w:rsidRPr="001E3FE7">
        <w:rPr>
          <w:rFonts w:hint="cs"/>
          <w:b/>
          <w:bCs/>
          <w:sz w:val="22"/>
          <w:szCs w:val="22"/>
          <w:rtl/>
        </w:rPr>
        <w:t>אזרח, שאמור להיות, ככל אזרח</w:t>
      </w:r>
    </w:p>
    <w:p w:rsidR="005366A8" w:rsidRPr="001E3FE7" w:rsidRDefault="005366A8" w:rsidP="005366A8">
      <w:pPr>
        <w:spacing w:after="120"/>
        <w:ind w:left="1440"/>
        <w:rPr>
          <w:sz w:val="22"/>
          <w:szCs w:val="22"/>
          <w:rtl/>
        </w:rPr>
      </w:pPr>
      <w:r w:rsidRPr="001E3FE7">
        <w:rPr>
          <w:rFonts w:hint="cs"/>
          <w:sz w:val="22"/>
          <w:szCs w:val="22"/>
          <w:rtl/>
        </w:rPr>
        <w:t xml:space="preserve">הפלסטינים בירושלים המזרחית = </w:t>
      </w:r>
      <w:r w:rsidRPr="001E3FE7">
        <w:rPr>
          <w:rFonts w:hint="cs"/>
          <w:b/>
          <w:bCs/>
          <w:sz w:val="22"/>
          <w:szCs w:val="22"/>
          <w:rtl/>
        </w:rPr>
        <w:t>תושבי קבע (אך לא אזרחים)</w:t>
      </w:r>
    </w:p>
    <w:p w:rsidR="005366A8" w:rsidRPr="001E3FE7" w:rsidRDefault="005366A8" w:rsidP="005366A8">
      <w:pPr>
        <w:spacing w:after="120"/>
        <w:ind w:left="2160" w:hanging="720"/>
        <w:rPr>
          <w:sz w:val="22"/>
          <w:szCs w:val="22"/>
          <w:rtl/>
        </w:rPr>
      </w:pPr>
      <w:r w:rsidRPr="001E3FE7">
        <w:rPr>
          <w:rFonts w:hint="cs"/>
          <w:sz w:val="22"/>
          <w:szCs w:val="22"/>
          <w:rtl/>
        </w:rPr>
        <w:t xml:space="preserve">הפלסטינים בגדה = </w:t>
      </w:r>
      <w:r w:rsidRPr="001E3FE7">
        <w:rPr>
          <w:rFonts w:hint="cs"/>
          <w:b/>
          <w:bCs/>
          <w:sz w:val="22"/>
          <w:szCs w:val="22"/>
          <w:rtl/>
        </w:rPr>
        <w:t>"תושב מוגן"</w:t>
      </w:r>
      <w:r w:rsidRPr="001E3FE7">
        <w:rPr>
          <w:rFonts w:hint="cs"/>
          <w:sz w:val="22"/>
          <w:szCs w:val="22"/>
          <w:rtl/>
        </w:rPr>
        <w:t xml:space="preserve"> מכוח ענף המשפט ההומניטארי של המשפט הבינלאומי (דיני "התפיסה הלוחמתית") [הבחנה מסוימת בין תושבות לפי אזור בתוך הגדה </w:t>
      </w:r>
      <w:r w:rsidRPr="001E3FE7">
        <w:rPr>
          <w:sz w:val="22"/>
          <w:szCs w:val="22"/>
          <w:rtl/>
        </w:rPr>
        <w:t>–</w:t>
      </w:r>
      <w:r w:rsidRPr="001E3FE7">
        <w:rPr>
          <w:rFonts w:hint="cs"/>
          <w:sz w:val="22"/>
          <w:szCs w:val="22"/>
          <w:rtl/>
        </w:rPr>
        <w:t xml:space="preserve"> </w:t>
      </w:r>
      <w:r w:rsidRPr="001E3FE7">
        <w:rPr>
          <w:rFonts w:hint="cs"/>
          <w:sz w:val="22"/>
          <w:szCs w:val="22"/>
        </w:rPr>
        <w:t>A</w:t>
      </w:r>
      <w:r w:rsidRPr="001E3FE7">
        <w:rPr>
          <w:rFonts w:hint="cs"/>
          <w:sz w:val="22"/>
          <w:szCs w:val="22"/>
          <w:rtl/>
        </w:rPr>
        <w:t xml:space="preserve">, </w:t>
      </w:r>
      <w:r w:rsidRPr="001E3FE7">
        <w:rPr>
          <w:rFonts w:hint="cs"/>
          <w:sz w:val="22"/>
          <w:szCs w:val="22"/>
        </w:rPr>
        <w:t>B</w:t>
      </w:r>
      <w:r w:rsidRPr="001E3FE7">
        <w:rPr>
          <w:rFonts w:hint="cs"/>
          <w:sz w:val="22"/>
          <w:szCs w:val="22"/>
          <w:rtl/>
        </w:rPr>
        <w:t>, ו-</w:t>
      </w:r>
      <w:r w:rsidRPr="001E3FE7">
        <w:rPr>
          <w:rFonts w:hint="cs"/>
          <w:sz w:val="22"/>
          <w:szCs w:val="22"/>
        </w:rPr>
        <w:t>C</w:t>
      </w:r>
      <w:r w:rsidRPr="001E3FE7">
        <w:rPr>
          <w:rFonts w:hint="cs"/>
          <w:sz w:val="22"/>
          <w:szCs w:val="22"/>
          <w:rtl/>
        </w:rPr>
        <w:t>:</w:t>
      </w:r>
    </w:p>
    <w:p w:rsidR="005366A8" w:rsidRPr="001E3FE7" w:rsidRDefault="005366A8" w:rsidP="005366A8">
      <w:pPr>
        <w:spacing w:after="120"/>
        <w:ind w:left="3600" w:hanging="720"/>
        <w:rPr>
          <w:sz w:val="22"/>
          <w:szCs w:val="22"/>
          <w:rtl/>
        </w:rPr>
      </w:pPr>
      <w:r w:rsidRPr="001E3FE7">
        <w:rPr>
          <w:rFonts w:hint="cs"/>
          <w:sz w:val="22"/>
          <w:szCs w:val="22"/>
          <w:rtl/>
        </w:rPr>
        <w:t xml:space="preserve">שטחי </w:t>
      </w:r>
      <w:r w:rsidRPr="001E3FE7">
        <w:rPr>
          <w:rFonts w:hint="cs"/>
          <w:sz w:val="22"/>
          <w:szCs w:val="22"/>
        </w:rPr>
        <w:t>A</w:t>
      </w:r>
      <w:r w:rsidRPr="001E3FE7">
        <w:rPr>
          <w:rFonts w:hint="cs"/>
          <w:sz w:val="22"/>
          <w:szCs w:val="22"/>
          <w:rtl/>
        </w:rPr>
        <w:t xml:space="preserve"> בגדה: בשליטה אזרחית וביטחונית-משטרתית פלסטינית;</w:t>
      </w:r>
    </w:p>
    <w:p w:rsidR="005366A8" w:rsidRPr="001E3FE7" w:rsidRDefault="005366A8" w:rsidP="005366A8">
      <w:pPr>
        <w:spacing w:after="120"/>
        <w:ind w:left="3600" w:hanging="720"/>
        <w:rPr>
          <w:sz w:val="22"/>
          <w:szCs w:val="22"/>
          <w:rtl/>
        </w:rPr>
      </w:pPr>
      <w:r w:rsidRPr="001E3FE7">
        <w:rPr>
          <w:rFonts w:hint="cs"/>
          <w:sz w:val="22"/>
          <w:szCs w:val="22"/>
          <w:rtl/>
        </w:rPr>
        <w:t xml:space="preserve">שטחי </w:t>
      </w:r>
      <w:r w:rsidRPr="001E3FE7">
        <w:rPr>
          <w:rFonts w:hint="cs"/>
          <w:sz w:val="22"/>
          <w:szCs w:val="22"/>
        </w:rPr>
        <w:t>B</w:t>
      </w:r>
      <w:r w:rsidRPr="001E3FE7">
        <w:rPr>
          <w:rFonts w:hint="cs"/>
          <w:sz w:val="22"/>
          <w:szCs w:val="22"/>
          <w:rtl/>
        </w:rPr>
        <w:t>: בשליטה אזרחית פלסטינית אך בשליטה ביטחונית ישראלית;</w:t>
      </w:r>
    </w:p>
    <w:p w:rsidR="005366A8" w:rsidRPr="001E3FE7" w:rsidRDefault="005366A8" w:rsidP="005366A8">
      <w:pPr>
        <w:spacing w:after="120"/>
        <w:ind w:left="3600" w:hanging="720"/>
        <w:rPr>
          <w:sz w:val="22"/>
          <w:szCs w:val="22"/>
          <w:rtl/>
        </w:rPr>
      </w:pPr>
      <w:r w:rsidRPr="001E3FE7">
        <w:rPr>
          <w:rFonts w:hint="cs"/>
          <w:sz w:val="22"/>
          <w:szCs w:val="22"/>
          <w:rtl/>
        </w:rPr>
        <w:t xml:space="preserve">שטחי </w:t>
      </w:r>
      <w:r w:rsidRPr="001E3FE7">
        <w:rPr>
          <w:rFonts w:hint="cs"/>
          <w:sz w:val="22"/>
          <w:szCs w:val="22"/>
        </w:rPr>
        <w:t>C</w:t>
      </w:r>
      <w:r w:rsidRPr="001E3FE7">
        <w:rPr>
          <w:rFonts w:hint="cs"/>
          <w:sz w:val="22"/>
          <w:szCs w:val="22"/>
          <w:rtl/>
        </w:rPr>
        <w:t>: בשליטה אזרחית ובשליטה ביטחונית ישראלית (כ-60 אחוז ויותר משטח הגדה)]</w:t>
      </w:r>
    </w:p>
    <w:p w:rsidR="005366A8" w:rsidRPr="001E3FE7" w:rsidRDefault="005366A8" w:rsidP="005366A8">
      <w:pPr>
        <w:spacing w:after="120"/>
        <w:ind w:left="2160" w:hanging="720"/>
        <w:rPr>
          <w:sz w:val="22"/>
          <w:szCs w:val="22"/>
          <w:rtl/>
        </w:rPr>
      </w:pPr>
      <w:r w:rsidRPr="001E3FE7">
        <w:rPr>
          <w:rFonts w:hint="cs"/>
          <w:sz w:val="22"/>
          <w:szCs w:val="22"/>
          <w:rtl/>
        </w:rPr>
        <w:t>הפלסטינים ברצועת עזה = מחלוקת מבחינת מעמדם. בית המשפט העליון קבע שעזה, לאחר ההתנתקות, איננה נתונה עוד ב"תפיסה לוחמתית", ואולם בעת עימות צבאי חל עליהם המשפט הבינלאומי של דיני המלחמה;</w:t>
      </w:r>
    </w:p>
    <w:p w:rsidR="005366A8" w:rsidRPr="001E3FE7" w:rsidRDefault="005366A8" w:rsidP="005366A8">
      <w:pPr>
        <w:spacing w:after="120"/>
        <w:ind w:left="1440"/>
        <w:rPr>
          <w:sz w:val="22"/>
          <w:szCs w:val="22"/>
          <w:rtl/>
        </w:rPr>
      </w:pPr>
      <w:r w:rsidRPr="001E3FE7">
        <w:rPr>
          <w:rFonts w:hint="cs"/>
          <w:sz w:val="22"/>
          <w:szCs w:val="22"/>
          <w:rtl/>
        </w:rPr>
        <w:t>הפלסטינים בתפוצות:</w:t>
      </w:r>
    </w:p>
    <w:p w:rsidR="005366A8" w:rsidRPr="001E3FE7" w:rsidRDefault="005366A8" w:rsidP="005366A8">
      <w:pPr>
        <w:spacing w:after="120"/>
        <w:ind w:left="2160"/>
        <w:rPr>
          <w:sz w:val="22"/>
          <w:szCs w:val="22"/>
          <w:rtl/>
        </w:rPr>
      </w:pPr>
      <w:r w:rsidRPr="001E3FE7">
        <w:rPr>
          <w:rFonts w:hint="cs"/>
          <w:sz w:val="22"/>
          <w:szCs w:val="22"/>
          <w:rtl/>
        </w:rPr>
        <w:t>האם הפליטים זכו לאזרחות או לא זכו?</w:t>
      </w:r>
    </w:p>
    <w:p w:rsidR="005366A8" w:rsidRPr="001E3FE7" w:rsidRDefault="005366A8" w:rsidP="005366A8">
      <w:pPr>
        <w:spacing w:after="120"/>
        <w:ind w:left="2880"/>
        <w:rPr>
          <w:sz w:val="22"/>
          <w:szCs w:val="22"/>
          <w:rtl/>
        </w:rPr>
      </w:pPr>
      <w:r w:rsidRPr="001E3FE7">
        <w:rPr>
          <w:rFonts w:hint="cs"/>
          <w:sz w:val="22"/>
          <w:szCs w:val="22"/>
          <w:rtl/>
        </w:rPr>
        <w:t>פליטים בירדן זכו לאזרחות, פליטים בלבנון לא זכו לאזרחות, ...</w:t>
      </w:r>
    </w:p>
    <w:p w:rsidR="005366A8" w:rsidRPr="001E3FE7" w:rsidRDefault="005366A8" w:rsidP="005366A8">
      <w:pPr>
        <w:spacing w:after="120"/>
        <w:ind w:left="3600" w:hanging="720"/>
        <w:rPr>
          <w:sz w:val="22"/>
          <w:szCs w:val="22"/>
          <w:rtl/>
        </w:rPr>
      </w:pPr>
      <w:r w:rsidRPr="001E3FE7">
        <w:rPr>
          <w:rFonts w:hint="cs"/>
          <w:sz w:val="22"/>
          <w:szCs w:val="22"/>
          <w:rtl/>
        </w:rPr>
        <w:t>צאצאי פליטים שהפכו במרוצת הזמן לתושבים באחת המדינות בעולם המערבי, לרוב התאזרחו באותן מדינות, והם וצאצאיהם עתה תושבי ארה"ב, קנדה, אוסטרליה, בריטניה וכדומה.</w:t>
      </w:r>
    </w:p>
    <w:p w:rsidR="005366A8" w:rsidRDefault="005366A8" w:rsidP="005366A8">
      <w:pPr>
        <w:spacing w:after="120"/>
        <w:rPr>
          <w:sz w:val="22"/>
          <w:szCs w:val="22"/>
          <w:rtl/>
        </w:rPr>
      </w:pPr>
    </w:p>
    <w:p w:rsidR="005366A8" w:rsidRPr="001E3FE7" w:rsidRDefault="005366A8" w:rsidP="005366A8">
      <w:pPr>
        <w:spacing w:after="120"/>
        <w:rPr>
          <w:sz w:val="22"/>
          <w:szCs w:val="22"/>
          <w:rtl/>
        </w:rPr>
      </w:pPr>
      <w:r w:rsidRPr="001E3FE7">
        <w:rPr>
          <w:rFonts w:hint="cs"/>
          <w:sz w:val="22"/>
          <w:szCs w:val="22"/>
          <w:rtl/>
        </w:rPr>
        <w:t>ב.</w:t>
      </w:r>
    </w:p>
    <w:p w:rsidR="005366A8" w:rsidRPr="001E3FE7" w:rsidRDefault="005366A8" w:rsidP="005366A8">
      <w:pPr>
        <w:spacing w:after="120"/>
        <w:rPr>
          <w:sz w:val="22"/>
          <w:szCs w:val="22"/>
          <w:rtl/>
        </w:rPr>
      </w:pPr>
      <w:r w:rsidRPr="008E2164">
        <w:rPr>
          <w:rFonts w:hint="cs"/>
          <w:sz w:val="22"/>
          <w:szCs w:val="22"/>
          <w:highlight w:val="yellow"/>
          <w:rtl/>
        </w:rPr>
        <w:t xml:space="preserve">הסבר קצר, שאני מקווה שיתרום לבהירות, ביחס לנשלטותו של אדם פלסטיני על ידי ישראל, אפילו אם הוא תושב שטח </w:t>
      </w:r>
      <w:r w:rsidRPr="008E2164">
        <w:rPr>
          <w:rFonts w:hint="cs"/>
          <w:sz w:val="22"/>
          <w:szCs w:val="22"/>
          <w:highlight w:val="yellow"/>
        </w:rPr>
        <w:t>A</w:t>
      </w:r>
      <w:r w:rsidRPr="008E2164">
        <w:rPr>
          <w:rFonts w:hint="cs"/>
          <w:sz w:val="22"/>
          <w:szCs w:val="22"/>
          <w:highlight w:val="yellow"/>
          <w:rtl/>
        </w:rPr>
        <w:t xml:space="preserve"> (הערים הפלסטיניות: רמאללה, שכם, חברון, בית לחם, ג'נין, טול כרם, קלקיליה וכדומה) בגדה:</w:t>
      </w:r>
    </w:p>
    <w:p w:rsidR="005366A8" w:rsidRPr="001E3FE7" w:rsidRDefault="005366A8" w:rsidP="005366A8">
      <w:pPr>
        <w:ind w:left="720"/>
        <w:rPr>
          <w:sz w:val="22"/>
          <w:szCs w:val="22"/>
          <w:rtl/>
        </w:rPr>
      </w:pPr>
      <w:r w:rsidRPr="001E3FE7">
        <w:rPr>
          <w:rFonts w:hint="cs"/>
          <w:b/>
          <w:bCs/>
          <w:sz w:val="22"/>
          <w:szCs w:val="22"/>
          <w:rtl/>
        </w:rPr>
        <w:t>הגבלת הזכות להקמת משפחה</w:t>
      </w:r>
      <w:r w:rsidRPr="001E3FE7">
        <w:rPr>
          <w:rFonts w:hint="cs"/>
          <w:sz w:val="22"/>
          <w:szCs w:val="22"/>
          <w:rtl/>
        </w:rPr>
        <w:t xml:space="preserve"> בין בן-זוג פלסטיני בגדה לבין בן-זוג שאינו מהגדה:</w:t>
      </w:r>
    </w:p>
    <w:p w:rsidR="005366A8" w:rsidRPr="001E3FE7" w:rsidRDefault="005366A8" w:rsidP="005366A8">
      <w:pPr>
        <w:ind w:left="1440"/>
        <w:rPr>
          <w:sz w:val="22"/>
          <w:szCs w:val="22"/>
          <w:rtl/>
        </w:rPr>
      </w:pPr>
      <w:r w:rsidRPr="001E3FE7">
        <w:rPr>
          <w:rFonts w:hint="cs"/>
          <w:sz w:val="22"/>
          <w:szCs w:val="22"/>
          <w:rtl/>
        </w:rPr>
        <w:t>צורך בהיתר של המפקד הצבאי הישראלי;</w:t>
      </w:r>
    </w:p>
    <w:p w:rsidR="005366A8" w:rsidRPr="001E3FE7" w:rsidRDefault="005366A8" w:rsidP="005366A8">
      <w:pPr>
        <w:ind w:left="2160" w:hanging="720"/>
        <w:rPr>
          <w:sz w:val="22"/>
          <w:szCs w:val="22"/>
          <w:rtl/>
        </w:rPr>
      </w:pPr>
      <w:r w:rsidRPr="001E3FE7">
        <w:rPr>
          <w:rFonts w:hint="cs"/>
          <w:sz w:val="22"/>
          <w:szCs w:val="22"/>
          <w:rtl/>
        </w:rPr>
        <w:t xml:space="preserve">ואם ניתן היתר, ונאמר שבת הזוג תעבור בעקבות בן-זוגה לעזה </w:t>
      </w:r>
      <w:r w:rsidRPr="001E3FE7">
        <w:rPr>
          <w:sz w:val="22"/>
          <w:szCs w:val="22"/>
          <w:rtl/>
        </w:rPr>
        <w:t>–</w:t>
      </w:r>
      <w:r w:rsidRPr="001E3FE7">
        <w:rPr>
          <w:rFonts w:hint="cs"/>
          <w:sz w:val="22"/>
          <w:szCs w:val="22"/>
          <w:rtl/>
        </w:rPr>
        <w:t xml:space="preserve"> </w:t>
      </w:r>
      <w:r>
        <w:rPr>
          <w:rFonts w:hint="cs"/>
          <w:sz w:val="22"/>
          <w:szCs w:val="22"/>
          <w:rtl/>
        </w:rPr>
        <w:t>הרי ש</w:t>
      </w:r>
      <w:r w:rsidRPr="001E3FE7">
        <w:rPr>
          <w:rFonts w:hint="cs"/>
          <w:sz w:val="22"/>
          <w:szCs w:val="22"/>
          <w:rtl/>
        </w:rPr>
        <w:t>יכולתה לבקר את בני משפחתה בגדה כפופה להיתר נוסף;</w:t>
      </w:r>
    </w:p>
    <w:p w:rsidR="005366A8" w:rsidRPr="001E3FE7" w:rsidRDefault="005366A8" w:rsidP="005366A8">
      <w:pPr>
        <w:ind w:left="720"/>
        <w:rPr>
          <w:sz w:val="22"/>
          <w:szCs w:val="22"/>
          <w:rtl/>
        </w:rPr>
      </w:pPr>
    </w:p>
    <w:p w:rsidR="005366A8" w:rsidRPr="001E3FE7" w:rsidRDefault="005366A8" w:rsidP="005366A8">
      <w:pPr>
        <w:ind w:left="720"/>
        <w:rPr>
          <w:sz w:val="22"/>
          <w:szCs w:val="22"/>
          <w:rtl/>
        </w:rPr>
      </w:pPr>
      <w:r w:rsidRPr="001E3FE7">
        <w:rPr>
          <w:rFonts w:hint="cs"/>
          <w:b/>
          <w:bCs/>
          <w:sz w:val="22"/>
          <w:szCs w:val="22"/>
          <w:rtl/>
        </w:rPr>
        <w:t>הגבלת חופש תנועה</w:t>
      </w:r>
      <w:r>
        <w:rPr>
          <w:rFonts w:hint="cs"/>
          <w:sz w:val="22"/>
          <w:szCs w:val="22"/>
          <w:rtl/>
        </w:rPr>
        <w:t xml:space="preserve"> </w:t>
      </w:r>
      <w:r w:rsidRPr="008E310B">
        <w:rPr>
          <w:rFonts w:hint="cs"/>
          <w:b/>
          <w:bCs/>
          <w:sz w:val="22"/>
          <w:szCs w:val="22"/>
          <w:rtl/>
        </w:rPr>
        <w:t xml:space="preserve">והחיים </w:t>
      </w:r>
      <w:r>
        <w:rPr>
          <w:rFonts w:hint="cs"/>
          <w:sz w:val="22"/>
          <w:szCs w:val="22"/>
          <w:rtl/>
        </w:rPr>
        <w:t>בהקשרים נוספים</w:t>
      </w:r>
      <w:r w:rsidRPr="001E3FE7">
        <w:rPr>
          <w:rFonts w:hint="cs"/>
          <w:sz w:val="22"/>
          <w:szCs w:val="22"/>
          <w:rtl/>
        </w:rPr>
        <w:t>, בין היתר, למטרות לימודים, השכלה, ביקורי משפחה או ביקור באתרים קדושים כמו אל-אקצה:</w:t>
      </w:r>
    </w:p>
    <w:p w:rsidR="005366A8" w:rsidRPr="001E3FE7" w:rsidRDefault="005366A8" w:rsidP="005366A8">
      <w:pPr>
        <w:ind w:left="2160" w:right="-180" w:hanging="720"/>
        <w:rPr>
          <w:sz w:val="22"/>
          <w:szCs w:val="22"/>
          <w:rtl/>
        </w:rPr>
      </w:pPr>
      <w:r w:rsidRPr="001E3FE7">
        <w:rPr>
          <w:rFonts w:hint="cs"/>
          <w:sz w:val="22"/>
          <w:szCs w:val="22"/>
          <w:rtl/>
        </w:rPr>
        <w:t xml:space="preserve">הגבלת המעבר בין עירו של התושב הפלסטיני לעיר אחרת/ ישוב אחר (אפילו בתוך הגדה): שליטה ביטחונית של ישראל בשטחי </w:t>
      </w:r>
      <w:r w:rsidRPr="001E3FE7">
        <w:rPr>
          <w:rFonts w:hint="cs"/>
          <w:sz w:val="22"/>
          <w:szCs w:val="22"/>
        </w:rPr>
        <w:t>B</w:t>
      </w:r>
      <w:r w:rsidRPr="001E3FE7">
        <w:rPr>
          <w:rFonts w:hint="cs"/>
          <w:sz w:val="22"/>
          <w:szCs w:val="22"/>
          <w:rtl/>
        </w:rPr>
        <w:t xml:space="preserve"> ו-</w:t>
      </w:r>
      <w:r w:rsidRPr="001E3FE7">
        <w:rPr>
          <w:rFonts w:hint="cs"/>
          <w:sz w:val="22"/>
          <w:szCs w:val="22"/>
        </w:rPr>
        <w:t>C</w:t>
      </w:r>
      <w:r w:rsidRPr="001E3FE7">
        <w:rPr>
          <w:rFonts w:hint="cs"/>
          <w:sz w:val="22"/>
          <w:szCs w:val="22"/>
          <w:rtl/>
        </w:rPr>
        <w:t xml:space="preserve">, שדרכם יש הכרח לעבור </w:t>
      </w:r>
      <w:r w:rsidRPr="001E3FE7">
        <w:rPr>
          <w:sz w:val="22"/>
          <w:szCs w:val="22"/>
          <w:rtl/>
        </w:rPr>
        <w:t>–</w:t>
      </w:r>
      <w:r w:rsidRPr="001E3FE7">
        <w:rPr>
          <w:rFonts w:hint="cs"/>
          <w:sz w:val="22"/>
          <w:szCs w:val="22"/>
          <w:rtl/>
        </w:rPr>
        <w:t xml:space="preserve"> היכולת להציב מחסום (קבוע או זמני) בכל עת;</w:t>
      </w:r>
    </w:p>
    <w:p w:rsidR="005366A8" w:rsidRPr="001E3FE7" w:rsidRDefault="005366A8" w:rsidP="005366A8">
      <w:pPr>
        <w:ind w:left="2160" w:hanging="720"/>
        <w:rPr>
          <w:sz w:val="22"/>
          <w:szCs w:val="22"/>
          <w:rtl/>
        </w:rPr>
      </w:pPr>
      <w:r w:rsidRPr="001E3FE7">
        <w:rPr>
          <w:rFonts w:hint="cs"/>
          <w:sz w:val="22"/>
          <w:szCs w:val="22"/>
          <w:rtl/>
        </w:rPr>
        <w:t>חסימת היכולת לעבור בין הגדה לבין רצועת עזה;</w:t>
      </w:r>
    </w:p>
    <w:p w:rsidR="005366A8" w:rsidRPr="001E3FE7" w:rsidRDefault="005366A8" w:rsidP="005366A8">
      <w:pPr>
        <w:ind w:left="2160" w:hanging="720"/>
        <w:rPr>
          <w:sz w:val="22"/>
          <w:szCs w:val="22"/>
          <w:rtl/>
        </w:rPr>
      </w:pPr>
      <w:r w:rsidRPr="001E3FE7">
        <w:rPr>
          <w:rFonts w:hint="cs"/>
          <w:sz w:val="22"/>
          <w:szCs w:val="22"/>
          <w:rtl/>
        </w:rPr>
        <w:t>יציאה מהגדה לחוץ לארץ רק דרך ירדן; היציאה לירדן היא דרך הגשרים שבשליטת ישראל;</w:t>
      </w:r>
    </w:p>
    <w:p w:rsidR="005366A8" w:rsidRPr="001E3FE7" w:rsidRDefault="005366A8" w:rsidP="005366A8">
      <w:pPr>
        <w:ind w:left="2160" w:hanging="720"/>
        <w:rPr>
          <w:sz w:val="22"/>
          <w:szCs w:val="22"/>
          <w:rtl/>
        </w:rPr>
      </w:pPr>
      <w:r w:rsidRPr="001E3FE7">
        <w:rPr>
          <w:rFonts w:hint="cs"/>
          <w:sz w:val="22"/>
          <w:szCs w:val="22"/>
          <w:rtl/>
        </w:rPr>
        <w:t xml:space="preserve">זכות שיבה לפליטים אל הגדה, להבדיל מישראל </w:t>
      </w:r>
      <w:r w:rsidRPr="001E3FE7">
        <w:rPr>
          <w:sz w:val="22"/>
          <w:szCs w:val="22"/>
          <w:rtl/>
        </w:rPr>
        <w:t>–</w:t>
      </w:r>
      <w:r w:rsidRPr="001E3FE7">
        <w:rPr>
          <w:rFonts w:hint="cs"/>
          <w:sz w:val="22"/>
          <w:szCs w:val="22"/>
          <w:rtl/>
        </w:rPr>
        <w:t xml:space="preserve"> לא ממש אפשרית; כניסה רק דרך גשרי הירדן שבשליטת ישראל </w:t>
      </w:r>
      <w:r w:rsidRPr="001E3FE7">
        <w:rPr>
          <w:sz w:val="22"/>
          <w:szCs w:val="22"/>
          <w:rtl/>
        </w:rPr>
        <w:t>–</w:t>
      </w:r>
      <w:r w:rsidRPr="001E3FE7">
        <w:rPr>
          <w:rFonts w:hint="cs"/>
          <w:sz w:val="22"/>
          <w:szCs w:val="22"/>
          <w:rtl/>
        </w:rPr>
        <w:t xml:space="preserve"> יכולת לכניסה זמנית בלבד; </w:t>
      </w:r>
    </w:p>
    <w:p w:rsidR="005366A8" w:rsidRPr="001E3FE7" w:rsidRDefault="005366A8" w:rsidP="005366A8">
      <w:pPr>
        <w:ind w:left="2160" w:hanging="720"/>
        <w:rPr>
          <w:sz w:val="22"/>
          <w:szCs w:val="22"/>
          <w:rtl/>
        </w:rPr>
      </w:pPr>
    </w:p>
    <w:p w:rsidR="005366A8" w:rsidRPr="001E3FE7" w:rsidRDefault="005366A8" w:rsidP="005366A8">
      <w:pPr>
        <w:ind w:left="1440" w:hanging="720"/>
        <w:rPr>
          <w:b/>
          <w:bCs/>
          <w:sz w:val="22"/>
          <w:szCs w:val="22"/>
          <w:rtl/>
        </w:rPr>
      </w:pPr>
      <w:r w:rsidRPr="001E3FE7">
        <w:rPr>
          <w:rFonts w:hint="cs"/>
          <w:b/>
          <w:bCs/>
          <w:sz w:val="22"/>
          <w:szCs w:val="22"/>
          <w:rtl/>
        </w:rPr>
        <w:t>הכלכלה:</w:t>
      </w:r>
    </w:p>
    <w:p w:rsidR="005366A8" w:rsidRPr="001E3FE7" w:rsidRDefault="005366A8" w:rsidP="005366A8">
      <w:pPr>
        <w:ind w:left="2160" w:hanging="720"/>
        <w:rPr>
          <w:sz w:val="22"/>
          <w:szCs w:val="22"/>
          <w:rtl/>
        </w:rPr>
      </w:pPr>
      <w:r w:rsidRPr="001E3FE7">
        <w:rPr>
          <w:rFonts w:hint="cs"/>
          <w:sz w:val="22"/>
          <w:szCs w:val="22"/>
          <w:rtl/>
        </w:rPr>
        <w:t xml:space="preserve">יבוא/יצוא לגדה דרך </w:t>
      </w:r>
      <w:r>
        <w:rPr>
          <w:rFonts w:hint="cs"/>
          <w:sz w:val="22"/>
          <w:szCs w:val="22"/>
          <w:rtl/>
        </w:rPr>
        <w:t xml:space="preserve">נמלי ישראל או דרך </w:t>
      </w:r>
      <w:r w:rsidRPr="001E3FE7">
        <w:rPr>
          <w:rFonts w:hint="cs"/>
          <w:sz w:val="22"/>
          <w:szCs w:val="22"/>
          <w:rtl/>
        </w:rPr>
        <w:t>הגשרים או דרך המעברים בגדר (שליטת ישראל)</w:t>
      </w:r>
      <w:r>
        <w:rPr>
          <w:rFonts w:hint="cs"/>
          <w:sz w:val="22"/>
          <w:szCs w:val="22"/>
          <w:rtl/>
        </w:rPr>
        <w:t xml:space="preserve"> [העדר שדה תעופה או נמל];</w:t>
      </w:r>
    </w:p>
    <w:p w:rsidR="005366A8" w:rsidRPr="001E3FE7" w:rsidRDefault="005366A8" w:rsidP="005366A8">
      <w:pPr>
        <w:ind w:left="2160" w:hanging="720"/>
        <w:rPr>
          <w:sz w:val="22"/>
          <w:szCs w:val="22"/>
          <w:rtl/>
        </w:rPr>
      </w:pPr>
      <w:r w:rsidRPr="001E3FE7">
        <w:rPr>
          <w:rFonts w:hint="cs"/>
          <w:sz w:val="22"/>
          <w:szCs w:val="22"/>
          <w:rtl/>
        </w:rPr>
        <w:t>המטבע המשמש הן בגדה והן בעזה הוא השקל הישראלי</w:t>
      </w:r>
    </w:p>
    <w:p w:rsidR="005366A8" w:rsidRPr="001E3FE7" w:rsidRDefault="005366A8" w:rsidP="005366A8">
      <w:pPr>
        <w:ind w:left="2160" w:hanging="720"/>
        <w:rPr>
          <w:sz w:val="22"/>
          <w:szCs w:val="22"/>
          <w:rtl/>
        </w:rPr>
      </w:pPr>
    </w:p>
    <w:p w:rsidR="005366A8" w:rsidRPr="001E3FE7" w:rsidRDefault="005366A8" w:rsidP="005366A8">
      <w:pPr>
        <w:ind w:left="1440" w:hanging="720"/>
        <w:rPr>
          <w:sz w:val="22"/>
          <w:szCs w:val="22"/>
          <w:rtl/>
        </w:rPr>
      </w:pPr>
      <w:r w:rsidRPr="001E3FE7">
        <w:rPr>
          <w:rFonts w:hint="cs"/>
          <w:b/>
          <w:bCs/>
          <w:sz w:val="22"/>
          <w:szCs w:val="22"/>
          <w:rtl/>
        </w:rPr>
        <w:t>הזכות לבחור ולהיבחר</w:t>
      </w:r>
      <w:r w:rsidRPr="001E3FE7">
        <w:rPr>
          <w:rFonts w:hint="cs"/>
          <w:sz w:val="22"/>
          <w:szCs w:val="22"/>
          <w:rtl/>
        </w:rPr>
        <w:t xml:space="preserve"> </w:t>
      </w:r>
      <w:r w:rsidRPr="001E3FE7">
        <w:rPr>
          <w:sz w:val="22"/>
          <w:szCs w:val="22"/>
          <w:rtl/>
        </w:rPr>
        <w:t>–</w:t>
      </w:r>
      <w:r w:rsidRPr="001E3FE7">
        <w:rPr>
          <w:rFonts w:hint="cs"/>
          <w:sz w:val="22"/>
          <w:szCs w:val="22"/>
          <w:rtl/>
        </w:rPr>
        <w:t xml:space="preserve"> משמע, ההשתתפות שלנו כבני-אדם בגורמים מרכזיים המעצבים/ מכוונים את חיינו (בין היתר, ובמקום ראשון בעצם, ישראל) </w:t>
      </w:r>
      <w:r w:rsidRPr="001E3FE7">
        <w:rPr>
          <w:sz w:val="22"/>
          <w:szCs w:val="22"/>
          <w:rtl/>
        </w:rPr>
        <w:t>–</w:t>
      </w:r>
      <w:r w:rsidRPr="001E3FE7">
        <w:rPr>
          <w:rFonts w:hint="cs"/>
          <w:sz w:val="22"/>
          <w:szCs w:val="22"/>
          <w:rtl/>
        </w:rPr>
        <w:t xml:space="preserve"> אינה בנמצא</w:t>
      </w:r>
    </w:p>
    <w:p w:rsidR="005366A8" w:rsidRPr="001E3FE7" w:rsidRDefault="005366A8" w:rsidP="005366A8">
      <w:pPr>
        <w:ind w:left="1440" w:hanging="720"/>
        <w:rPr>
          <w:sz w:val="22"/>
          <w:szCs w:val="22"/>
          <w:rtl/>
        </w:rPr>
      </w:pPr>
    </w:p>
    <w:p w:rsidR="005366A8" w:rsidRPr="001E3FE7" w:rsidRDefault="005366A8" w:rsidP="005366A8">
      <w:pPr>
        <w:ind w:left="1440" w:hanging="720"/>
        <w:rPr>
          <w:b/>
          <w:bCs/>
          <w:sz w:val="22"/>
          <w:szCs w:val="22"/>
          <w:rtl/>
        </w:rPr>
      </w:pPr>
      <w:r w:rsidRPr="001E3FE7">
        <w:rPr>
          <w:rFonts w:hint="cs"/>
          <w:b/>
          <w:bCs/>
          <w:sz w:val="22"/>
          <w:szCs w:val="22"/>
          <w:rtl/>
        </w:rPr>
        <w:t>חופש הביטוי וחופש ההפגנה כנגד ישראל</w:t>
      </w:r>
    </w:p>
    <w:p w:rsidR="005366A8" w:rsidRPr="001E3FE7" w:rsidRDefault="005366A8" w:rsidP="005366A8">
      <w:pPr>
        <w:ind w:left="2160" w:hanging="720"/>
        <w:rPr>
          <w:sz w:val="22"/>
          <w:szCs w:val="22"/>
          <w:rtl/>
        </w:rPr>
      </w:pPr>
      <w:r w:rsidRPr="001E3FE7">
        <w:rPr>
          <w:rFonts w:hint="cs"/>
          <w:sz w:val="22"/>
          <w:szCs w:val="22"/>
          <w:rtl/>
        </w:rPr>
        <w:t>למשל הפגנה בסמוך לגדר כנגד תוואי הגדר, כנגד הפקעת קרקעות, כנגד ההתנחלויות וכדומה: הגבלות קשות</w:t>
      </w:r>
    </w:p>
    <w:p w:rsidR="005366A8" w:rsidRPr="001E3FE7" w:rsidRDefault="005366A8" w:rsidP="005366A8">
      <w:pPr>
        <w:ind w:left="2160" w:hanging="720"/>
        <w:rPr>
          <w:sz w:val="22"/>
          <w:szCs w:val="22"/>
          <w:rtl/>
        </w:rPr>
      </w:pPr>
    </w:p>
    <w:p w:rsidR="005366A8" w:rsidRPr="001E3FE7" w:rsidRDefault="005366A8" w:rsidP="005366A8">
      <w:pPr>
        <w:ind w:left="1440" w:hanging="720"/>
        <w:rPr>
          <w:sz w:val="22"/>
          <w:szCs w:val="22"/>
          <w:rtl/>
        </w:rPr>
      </w:pPr>
      <w:r w:rsidRPr="001E3FE7">
        <w:rPr>
          <w:rFonts w:hint="cs"/>
          <w:b/>
          <w:bCs/>
          <w:sz w:val="22"/>
          <w:szCs w:val="22"/>
          <w:rtl/>
        </w:rPr>
        <w:t>מה משמעות ריבונות ללא שליטה בטריטוריה הריבונית?</w:t>
      </w:r>
      <w:r w:rsidRPr="001E3FE7">
        <w:rPr>
          <w:rFonts w:hint="cs"/>
          <w:sz w:val="22"/>
          <w:szCs w:val="22"/>
          <w:rtl/>
        </w:rPr>
        <w:t xml:space="preserve"> (הגבלת השליטה לערים בלבד, וגם שם הענקת ממדי שליטה מוניציפאליים בעיקרם) </w:t>
      </w:r>
      <w:r w:rsidRPr="001E3FE7">
        <w:rPr>
          <w:sz w:val="22"/>
          <w:szCs w:val="22"/>
          <w:rtl/>
        </w:rPr>
        <w:t>–</w:t>
      </w:r>
      <w:r w:rsidRPr="001E3FE7">
        <w:rPr>
          <w:rFonts w:hint="cs"/>
          <w:sz w:val="22"/>
          <w:szCs w:val="22"/>
          <w:rtl/>
        </w:rPr>
        <w:t xml:space="preserve"> העדר צבא, העדר שליטה במרחב האווירי ובמעברי הגבול, ויותר מכך גם העדר שליטה במרחב הקרקעי.</w:t>
      </w:r>
    </w:p>
    <w:p w:rsidR="005366A8" w:rsidRPr="001E3FE7" w:rsidRDefault="005366A8" w:rsidP="005366A8">
      <w:pPr>
        <w:ind w:left="1440" w:hanging="720"/>
        <w:rPr>
          <w:sz w:val="22"/>
          <w:szCs w:val="22"/>
          <w:rtl/>
        </w:rPr>
      </w:pPr>
    </w:p>
    <w:p w:rsidR="005366A8" w:rsidRPr="001E3FE7" w:rsidRDefault="005366A8" w:rsidP="005366A8">
      <w:pPr>
        <w:ind w:left="1440" w:hanging="720"/>
        <w:rPr>
          <w:sz w:val="22"/>
          <w:szCs w:val="22"/>
          <w:rtl/>
        </w:rPr>
      </w:pPr>
      <w:r w:rsidRPr="001E3FE7">
        <w:rPr>
          <w:rFonts w:hint="cs"/>
          <w:sz w:val="22"/>
          <w:szCs w:val="22"/>
          <w:rtl/>
        </w:rPr>
        <w:t>[...]</w:t>
      </w:r>
    </w:p>
    <w:p w:rsidR="005366A8" w:rsidRPr="001E3FE7" w:rsidRDefault="005366A8" w:rsidP="005366A8">
      <w:pPr>
        <w:ind w:left="720" w:hanging="720"/>
        <w:rPr>
          <w:sz w:val="22"/>
          <w:szCs w:val="22"/>
          <w:rtl/>
        </w:rPr>
      </w:pPr>
    </w:p>
    <w:p w:rsidR="005366A8" w:rsidRPr="0075061A" w:rsidRDefault="005366A8" w:rsidP="005366A8">
      <w:pPr>
        <w:rPr>
          <w:sz w:val="22"/>
          <w:szCs w:val="22"/>
          <w:rtl/>
        </w:rPr>
      </w:pPr>
      <w:r w:rsidRPr="0075061A">
        <w:rPr>
          <w:rFonts w:hint="cs"/>
          <w:sz w:val="22"/>
          <w:szCs w:val="22"/>
          <w:highlight w:val="yellow"/>
          <w:rtl/>
        </w:rPr>
        <w:t xml:space="preserve">שימו לב, בדיון </w:t>
      </w:r>
      <w:r>
        <w:rPr>
          <w:rFonts w:hint="cs"/>
          <w:sz w:val="22"/>
          <w:szCs w:val="22"/>
          <w:highlight w:val="yellow"/>
          <w:rtl/>
        </w:rPr>
        <w:t>בנקודה ב'</w:t>
      </w:r>
      <w:r w:rsidRPr="0075061A">
        <w:rPr>
          <w:rFonts w:hint="cs"/>
          <w:sz w:val="22"/>
          <w:szCs w:val="22"/>
          <w:highlight w:val="yellow"/>
          <w:rtl/>
        </w:rPr>
        <w:t xml:space="preserve"> לא עסקתי בויכוח על </w:t>
      </w:r>
      <w:r w:rsidRPr="0075061A">
        <w:rPr>
          <w:rFonts w:hint="cs"/>
          <w:b/>
          <w:bCs/>
          <w:sz w:val="22"/>
          <w:szCs w:val="22"/>
          <w:highlight w:val="yellow"/>
          <w:rtl/>
        </w:rPr>
        <w:t xml:space="preserve">הצדקת </w:t>
      </w:r>
      <w:r w:rsidRPr="0075061A">
        <w:rPr>
          <w:rFonts w:hint="cs"/>
          <w:sz w:val="22"/>
          <w:szCs w:val="22"/>
          <w:highlight w:val="yellow"/>
          <w:rtl/>
        </w:rPr>
        <w:t>מצב הדברים הנזכר</w:t>
      </w:r>
      <w:r>
        <w:rPr>
          <w:rFonts w:hint="cs"/>
          <w:sz w:val="22"/>
          <w:szCs w:val="22"/>
          <w:highlight w:val="yellow"/>
          <w:rtl/>
        </w:rPr>
        <w:t xml:space="preserve">. </w:t>
      </w:r>
      <w:r w:rsidRPr="0075061A">
        <w:rPr>
          <w:rFonts w:hint="cs"/>
          <w:sz w:val="22"/>
          <w:szCs w:val="22"/>
          <w:highlight w:val="yellow"/>
          <w:rtl/>
        </w:rPr>
        <w:t xml:space="preserve">משמע, </w:t>
      </w:r>
      <w:r>
        <w:rPr>
          <w:rFonts w:hint="cs"/>
          <w:sz w:val="22"/>
          <w:szCs w:val="22"/>
          <w:highlight w:val="yellow"/>
          <w:rtl/>
        </w:rPr>
        <w:t xml:space="preserve">לא עסקתי בשאלת </w:t>
      </w:r>
      <w:r w:rsidRPr="0075061A">
        <w:rPr>
          <w:rFonts w:hint="cs"/>
          <w:sz w:val="22"/>
          <w:szCs w:val="22"/>
          <w:highlight w:val="yellow"/>
          <w:rtl/>
        </w:rPr>
        <w:t xml:space="preserve">הצדקת המשכו של הכיבוש (והמשכן של ההתנחלויות או מלאכת הרחבתן) אלא רק בתיאורו של מצב דברים זה, כדי שיובן שחירויות משמעותיות </w:t>
      </w:r>
      <w:r>
        <w:rPr>
          <w:rFonts w:hint="cs"/>
          <w:sz w:val="22"/>
          <w:szCs w:val="22"/>
          <w:highlight w:val="yellow"/>
          <w:rtl/>
        </w:rPr>
        <w:t xml:space="preserve">ביותר </w:t>
      </w:r>
      <w:r w:rsidRPr="0075061A">
        <w:rPr>
          <w:rFonts w:hint="cs"/>
          <w:sz w:val="22"/>
          <w:szCs w:val="22"/>
          <w:highlight w:val="yellow"/>
          <w:rtl/>
        </w:rPr>
        <w:t xml:space="preserve">לא נתונות לפלסטינים גם אם הם תושבי איזור </w:t>
      </w:r>
      <w:r w:rsidRPr="0075061A">
        <w:rPr>
          <w:rFonts w:hint="cs"/>
          <w:sz w:val="22"/>
          <w:szCs w:val="22"/>
          <w:highlight w:val="yellow"/>
        </w:rPr>
        <w:t>A</w:t>
      </w:r>
      <w:r w:rsidRPr="0075061A">
        <w:rPr>
          <w:rFonts w:hint="cs"/>
          <w:sz w:val="22"/>
          <w:szCs w:val="22"/>
          <w:highlight w:val="yellow"/>
          <w:rtl/>
        </w:rPr>
        <w:t xml:space="preserve"> בגדה</w:t>
      </w:r>
      <w:r w:rsidRPr="0075061A">
        <w:rPr>
          <w:rFonts w:hint="cs"/>
          <w:sz w:val="22"/>
          <w:szCs w:val="22"/>
          <w:rtl/>
        </w:rPr>
        <w:t>.</w:t>
      </w:r>
    </w:p>
    <w:p w:rsidR="005366A8" w:rsidRPr="0075061A" w:rsidRDefault="005366A8" w:rsidP="005366A8">
      <w:pPr>
        <w:ind w:left="720" w:hanging="720"/>
        <w:rPr>
          <w:sz w:val="22"/>
          <w:szCs w:val="22"/>
          <w:rtl/>
        </w:rPr>
      </w:pPr>
    </w:p>
    <w:p w:rsidR="005366A8" w:rsidRPr="0075061A" w:rsidRDefault="005366A8" w:rsidP="005366A8">
      <w:pPr>
        <w:ind w:left="720" w:hanging="720"/>
        <w:rPr>
          <w:sz w:val="22"/>
          <w:szCs w:val="22"/>
          <w:rtl/>
        </w:rPr>
      </w:pPr>
      <w:r w:rsidRPr="0075061A">
        <w:rPr>
          <w:rFonts w:hint="cs"/>
          <w:sz w:val="22"/>
          <w:szCs w:val="22"/>
          <w:rtl/>
        </w:rPr>
        <w:t>=-=</w:t>
      </w:r>
    </w:p>
    <w:p w:rsidR="005366A8" w:rsidRPr="00102B28" w:rsidRDefault="005366A8" w:rsidP="005366A8">
      <w:pPr>
        <w:ind w:left="720" w:hanging="720"/>
        <w:jc w:val="center"/>
        <w:rPr>
          <w:b/>
          <w:bCs/>
          <w:sz w:val="22"/>
          <w:szCs w:val="22"/>
          <w:rtl/>
        </w:rPr>
      </w:pPr>
      <w:r w:rsidRPr="00102B28">
        <w:rPr>
          <w:rFonts w:hint="cs"/>
          <w:b/>
          <w:bCs/>
          <w:sz w:val="22"/>
          <w:szCs w:val="22"/>
          <w:rtl/>
        </w:rPr>
        <w:t>נשוב עתה לדיון אבסטרקטי (מופשט) יותר</w:t>
      </w:r>
    </w:p>
    <w:p w:rsidR="005366A8" w:rsidRDefault="005366A8" w:rsidP="005366A8">
      <w:pPr>
        <w:rPr>
          <w:sz w:val="22"/>
          <w:szCs w:val="22"/>
          <w:rtl/>
        </w:rPr>
      </w:pPr>
    </w:p>
    <w:p w:rsidR="005366A8" w:rsidRDefault="005366A8" w:rsidP="005366A8">
      <w:pPr>
        <w:rPr>
          <w:sz w:val="22"/>
          <w:szCs w:val="22"/>
          <w:rtl/>
        </w:rPr>
      </w:pPr>
      <w:r>
        <w:rPr>
          <w:rFonts w:hint="cs"/>
          <w:sz w:val="22"/>
          <w:szCs w:val="22"/>
          <w:rtl/>
        </w:rPr>
        <w:t>=-=</w:t>
      </w:r>
    </w:p>
    <w:p w:rsidR="005366A8" w:rsidRPr="008C0066" w:rsidRDefault="005366A8" w:rsidP="005366A8">
      <w:pPr>
        <w:rPr>
          <w:b/>
          <w:bCs/>
          <w:i/>
          <w:iCs/>
          <w:sz w:val="22"/>
          <w:szCs w:val="22"/>
          <w:rtl/>
        </w:rPr>
      </w:pPr>
      <w:r w:rsidRPr="008C0066">
        <w:rPr>
          <w:rFonts w:hint="cs"/>
          <w:b/>
          <w:bCs/>
          <w:i/>
          <w:iCs/>
          <w:sz w:val="22"/>
          <w:szCs w:val="22"/>
          <w:rtl/>
        </w:rPr>
        <w:t>דיון בשני השירים שבדפי הפגישה הקודמת</w:t>
      </w:r>
    </w:p>
    <w:p w:rsidR="005366A8" w:rsidRDefault="005366A8" w:rsidP="005366A8">
      <w:pPr>
        <w:rPr>
          <w:sz w:val="22"/>
          <w:szCs w:val="22"/>
          <w:rtl/>
        </w:rPr>
      </w:pPr>
    </w:p>
    <w:p w:rsidR="005366A8" w:rsidRPr="0075061A" w:rsidRDefault="005366A8" w:rsidP="005366A8">
      <w:pPr>
        <w:rPr>
          <w:sz w:val="22"/>
          <w:szCs w:val="22"/>
          <w:rtl/>
        </w:rPr>
      </w:pPr>
      <w:r>
        <w:rPr>
          <w:rFonts w:hint="cs"/>
          <w:sz w:val="22"/>
          <w:szCs w:val="22"/>
          <w:rtl/>
        </w:rPr>
        <w:t>=-=</w:t>
      </w:r>
    </w:p>
    <w:p w:rsidR="005366A8" w:rsidRPr="0075061A" w:rsidRDefault="005366A8" w:rsidP="005366A8">
      <w:pPr>
        <w:rPr>
          <w:sz w:val="22"/>
          <w:szCs w:val="22"/>
          <w:rtl/>
        </w:rPr>
      </w:pPr>
      <w:r w:rsidRPr="0075061A">
        <w:rPr>
          <w:rFonts w:hint="cs"/>
          <w:sz w:val="22"/>
          <w:szCs w:val="22"/>
          <w:rtl/>
        </w:rPr>
        <w:t>מה הדימיון, מה השוני:</w:t>
      </w:r>
    </w:p>
    <w:p w:rsidR="005366A8" w:rsidRPr="0075061A" w:rsidRDefault="005366A8" w:rsidP="005366A8">
      <w:pPr>
        <w:ind w:left="720"/>
        <w:rPr>
          <w:b/>
          <w:bCs/>
          <w:sz w:val="22"/>
          <w:szCs w:val="22"/>
          <w:rtl/>
        </w:rPr>
      </w:pPr>
      <w:r w:rsidRPr="0075061A">
        <w:rPr>
          <w:rFonts w:hint="cs"/>
          <w:b/>
          <w:bCs/>
          <w:sz w:val="22"/>
          <w:szCs w:val="22"/>
          <w:rtl/>
        </w:rPr>
        <w:t xml:space="preserve">אדם </w:t>
      </w:r>
    </w:p>
    <w:p w:rsidR="005366A8" w:rsidRPr="0075061A" w:rsidRDefault="005366A8" w:rsidP="005366A8">
      <w:pPr>
        <w:ind w:left="720"/>
        <w:rPr>
          <w:b/>
          <w:bCs/>
          <w:sz w:val="22"/>
          <w:szCs w:val="22"/>
          <w:rtl/>
        </w:rPr>
      </w:pPr>
      <w:r w:rsidRPr="0075061A">
        <w:rPr>
          <w:rFonts w:hint="cs"/>
          <w:b/>
          <w:bCs/>
          <w:sz w:val="22"/>
          <w:szCs w:val="22"/>
          <w:rtl/>
        </w:rPr>
        <w:t xml:space="preserve">תאגיד רב-כוח </w:t>
      </w:r>
    </w:p>
    <w:p w:rsidR="005366A8" w:rsidRPr="0075061A" w:rsidRDefault="005366A8" w:rsidP="005366A8">
      <w:pPr>
        <w:ind w:left="720"/>
        <w:rPr>
          <w:sz w:val="22"/>
          <w:szCs w:val="22"/>
          <w:rtl/>
        </w:rPr>
      </w:pPr>
      <w:r w:rsidRPr="0075061A">
        <w:rPr>
          <w:rFonts w:hint="cs"/>
          <w:b/>
          <w:bCs/>
          <w:sz w:val="22"/>
          <w:szCs w:val="22"/>
          <w:rtl/>
        </w:rPr>
        <w:t>מדינה/ איש-רשות</w:t>
      </w:r>
    </w:p>
    <w:p w:rsidR="005366A8" w:rsidRPr="0075061A" w:rsidRDefault="005366A8" w:rsidP="005366A8">
      <w:pPr>
        <w:rPr>
          <w:sz w:val="22"/>
          <w:szCs w:val="22"/>
          <w:rtl/>
        </w:rPr>
      </w:pPr>
    </w:p>
    <w:p w:rsidR="005366A8" w:rsidRPr="0075061A" w:rsidRDefault="005366A8" w:rsidP="005366A8">
      <w:pPr>
        <w:rPr>
          <w:sz w:val="22"/>
          <w:szCs w:val="22"/>
          <w:rtl/>
        </w:rPr>
      </w:pPr>
      <w:r w:rsidRPr="0075061A">
        <w:rPr>
          <w:rFonts w:hint="cs"/>
          <w:sz w:val="22"/>
          <w:szCs w:val="22"/>
          <w:rtl/>
        </w:rPr>
        <w:t>=-=</w:t>
      </w:r>
    </w:p>
    <w:p w:rsidR="005366A8" w:rsidRPr="00205A0B" w:rsidRDefault="005366A8" w:rsidP="005366A8">
      <w:pPr>
        <w:rPr>
          <w:sz w:val="22"/>
          <w:szCs w:val="22"/>
          <w:rtl/>
        </w:rPr>
      </w:pPr>
      <w:r w:rsidRPr="00205A0B">
        <w:rPr>
          <w:rFonts w:hint="cs"/>
          <w:sz w:val="22"/>
          <w:szCs w:val="22"/>
          <w:rtl/>
        </w:rPr>
        <w:t xml:space="preserve">המשך דיון בפסק הדין </w:t>
      </w:r>
      <w:r w:rsidRPr="00205A0B">
        <w:rPr>
          <w:rFonts w:hint="cs"/>
          <w:b/>
          <w:bCs/>
          <w:sz w:val="22"/>
          <w:szCs w:val="22"/>
          <w:rtl/>
        </w:rPr>
        <w:t>הועד הציבורי נגד עינויים בישראל</w:t>
      </w:r>
      <w:r>
        <w:rPr>
          <w:rFonts w:hint="cs"/>
          <w:b/>
          <w:bCs/>
          <w:sz w:val="22"/>
          <w:szCs w:val="22"/>
          <w:rtl/>
        </w:rPr>
        <w:t xml:space="preserve"> </w:t>
      </w:r>
      <w:r w:rsidRPr="00B40E48">
        <w:rPr>
          <w:rFonts w:hint="cs"/>
          <w:sz w:val="22"/>
          <w:szCs w:val="22"/>
          <w:rtl/>
        </w:rPr>
        <w:t>(1999)</w:t>
      </w:r>
    </w:p>
    <w:p w:rsidR="005366A8" w:rsidRDefault="005366A8" w:rsidP="005366A8">
      <w:pPr>
        <w:rPr>
          <w:sz w:val="22"/>
          <w:szCs w:val="22"/>
          <w:rtl/>
        </w:rPr>
      </w:pPr>
    </w:p>
    <w:p w:rsidR="005366A8" w:rsidRDefault="005366A8" w:rsidP="005366A8">
      <w:pPr>
        <w:rPr>
          <w:sz w:val="22"/>
          <w:szCs w:val="22"/>
          <w:rtl/>
        </w:rPr>
      </w:pPr>
      <w:r>
        <w:rPr>
          <w:rFonts w:hint="cs"/>
          <w:sz w:val="22"/>
          <w:szCs w:val="22"/>
          <w:rtl/>
        </w:rPr>
        <w:t xml:space="preserve">     מהן שאלות פסק הדין, מהן תשובותיו?</w:t>
      </w:r>
    </w:p>
    <w:p w:rsidR="005366A8" w:rsidRDefault="005366A8" w:rsidP="005366A8">
      <w:pPr>
        <w:rPr>
          <w:sz w:val="22"/>
          <w:szCs w:val="22"/>
          <w:rtl/>
        </w:rPr>
      </w:pPr>
    </w:p>
    <w:p w:rsidR="005366A8" w:rsidRDefault="005366A8" w:rsidP="005366A8">
      <w:pPr>
        <w:ind w:left="720"/>
        <w:rPr>
          <w:sz w:val="22"/>
          <w:szCs w:val="22"/>
          <w:rtl/>
        </w:rPr>
      </w:pPr>
      <w:r>
        <w:rPr>
          <w:rFonts w:hint="cs"/>
          <w:sz w:val="22"/>
          <w:szCs w:val="22"/>
          <w:rtl/>
        </w:rPr>
        <w:t>מהן השאלות/ מהם "הכללים מסדר ראשון" המטופלים בפסק הדין?</w:t>
      </w:r>
    </w:p>
    <w:p w:rsidR="005366A8" w:rsidRDefault="005366A8" w:rsidP="005366A8">
      <w:pPr>
        <w:ind w:left="1440"/>
        <w:rPr>
          <w:sz w:val="22"/>
          <w:szCs w:val="22"/>
          <w:rtl/>
        </w:rPr>
      </w:pPr>
      <w:r>
        <w:rPr>
          <w:rFonts w:hint="cs"/>
          <w:sz w:val="22"/>
          <w:szCs w:val="22"/>
          <w:rtl/>
        </w:rPr>
        <w:t>^ הנתונה סמכות "חקירה" לחוקרי השב"כ?</w:t>
      </w:r>
    </w:p>
    <w:p w:rsidR="005366A8" w:rsidRDefault="005366A8" w:rsidP="005366A8">
      <w:pPr>
        <w:ind w:left="1440"/>
        <w:rPr>
          <w:sz w:val="22"/>
          <w:szCs w:val="22"/>
          <w:rtl/>
        </w:rPr>
      </w:pPr>
      <w:r>
        <w:rPr>
          <w:rFonts w:hint="cs"/>
          <w:sz w:val="22"/>
          <w:szCs w:val="22"/>
          <w:rtl/>
        </w:rPr>
        <w:t>^ הנתונה להם סמכות להשתמש ב"אמצעי חקירה מיוחדים"?</w:t>
      </w:r>
    </w:p>
    <w:p w:rsidR="005366A8" w:rsidRDefault="005366A8" w:rsidP="005366A8">
      <w:pPr>
        <w:ind w:left="1440"/>
        <w:rPr>
          <w:sz w:val="22"/>
          <w:szCs w:val="22"/>
          <w:rtl/>
        </w:rPr>
      </w:pPr>
      <w:r>
        <w:rPr>
          <w:rFonts w:hint="cs"/>
          <w:sz w:val="22"/>
          <w:szCs w:val="22"/>
          <w:rtl/>
        </w:rPr>
        <w:t>^ מה קורה בסיטואציית "הפצצה המתקתקת"?</w:t>
      </w:r>
    </w:p>
    <w:p w:rsidR="005366A8" w:rsidRDefault="005366A8" w:rsidP="005366A8">
      <w:pPr>
        <w:ind w:left="1440"/>
        <w:rPr>
          <w:sz w:val="22"/>
          <w:szCs w:val="22"/>
          <w:rtl/>
        </w:rPr>
      </w:pPr>
    </w:p>
    <w:p w:rsidR="005366A8" w:rsidRDefault="005366A8" w:rsidP="005366A8">
      <w:pPr>
        <w:ind w:left="720"/>
        <w:rPr>
          <w:sz w:val="22"/>
          <w:szCs w:val="22"/>
          <w:rtl/>
        </w:rPr>
      </w:pPr>
      <w:r>
        <w:rPr>
          <w:rFonts w:hint="cs"/>
          <w:sz w:val="22"/>
          <w:szCs w:val="22"/>
          <w:rtl/>
        </w:rPr>
        <w:t>מהן השאלות/ מהם "הכללים מסדר שני" המטופלים בפסק הדין?</w:t>
      </w:r>
    </w:p>
    <w:p w:rsidR="005366A8" w:rsidRDefault="005366A8" w:rsidP="005366A8">
      <w:pPr>
        <w:ind w:left="1440"/>
        <w:rPr>
          <w:sz w:val="22"/>
          <w:szCs w:val="22"/>
          <w:rtl/>
        </w:rPr>
      </w:pPr>
      <w:r>
        <w:rPr>
          <w:rFonts w:hint="cs"/>
          <w:sz w:val="22"/>
          <w:szCs w:val="22"/>
          <w:rtl/>
        </w:rPr>
        <w:t xml:space="preserve">^ איש-רשות/ רשות שלטונית </w:t>
      </w:r>
      <w:r w:rsidRPr="00E611C2">
        <w:rPr>
          <w:rFonts w:hint="cs"/>
          <w:sz w:val="22"/>
          <w:szCs w:val="22"/>
          <w:u w:val="single"/>
          <w:rtl/>
        </w:rPr>
        <w:t>לא יכולים לעשות אלא את מה שהוסמכו לעשותו</w:t>
      </w:r>
      <w:r w:rsidRPr="00E611C2">
        <w:rPr>
          <w:rFonts w:hint="cs"/>
          <w:sz w:val="22"/>
          <w:szCs w:val="22"/>
          <w:rtl/>
        </w:rPr>
        <w:t xml:space="preserve"> </w:t>
      </w:r>
      <w:r>
        <w:rPr>
          <w:rFonts w:hint="cs"/>
          <w:sz w:val="22"/>
          <w:szCs w:val="22"/>
          <w:rtl/>
        </w:rPr>
        <w:t>("עקרון הסמכות/ עקרון החוקיות");</w:t>
      </w:r>
    </w:p>
    <w:p w:rsidR="005366A8" w:rsidRDefault="005366A8" w:rsidP="005366A8">
      <w:pPr>
        <w:ind w:left="1440"/>
        <w:rPr>
          <w:sz w:val="22"/>
          <w:szCs w:val="22"/>
          <w:rtl/>
        </w:rPr>
      </w:pPr>
      <w:r>
        <w:rPr>
          <w:rFonts w:hint="cs"/>
          <w:sz w:val="22"/>
          <w:szCs w:val="22"/>
          <w:rtl/>
        </w:rPr>
        <w:t xml:space="preserve">^ שאלה ביחס </w:t>
      </w:r>
      <w:r w:rsidRPr="00E611C2">
        <w:rPr>
          <w:rFonts w:hint="cs"/>
          <w:sz w:val="22"/>
          <w:szCs w:val="22"/>
          <w:u w:val="single"/>
          <w:rtl/>
        </w:rPr>
        <w:t>ל</w:t>
      </w:r>
      <w:r>
        <w:rPr>
          <w:rFonts w:hint="cs"/>
          <w:sz w:val="22"/>
          <w:szCs w:val="22"/>
          <w:u w:val="single"/>
          <w:rtl/>
        </w:rPr>
        <w:t>צורת/ אופן</w:t>
      </w:r>
      <w:r w:rsidRPr="00E611C2">
        <w:rPr>
          <w:rFonts w:hint="cs"/>
          <w:sz w:val="22"/>
          <w:szCs w:val="22"/>
          <w:u w:val="single"/>
          <w:rtl/>
        </w:rPr>
        <w:t xml:space="preserve"> ההסמכה</w:t>
      </w:r>
      <w:r>
        <w:rPr>
          <w:rFonts w:hint="cs"/>
          <w:sz w:val="22"/>
          <w:szCs w:val="22"/>
          <w:rtl/>
        </w:rPr>
        <w:t xml:space="preserve"> ("</w:t>
      </w:r>
      <w:r w:rsidRPr="00345F83">
        <w:rPr>
          <w:rFonts w:hint="cs"/>
          <w:sz w:val="22"/>
          <w:szCs w:val="22"/>
          <w:u w:val="single"/>
          <w:rtl/>
        </w:rPr>
        <w:t>בחוק</w:t>
      </w:r>
      <w:r>
        <w:rPr>
          <w:rFonts w:hint="cs"/>
          <w:sz w:val="22"/>
          <w:szCs w:val="22"/>
          <w:rtl/>
        </w:rPr>
        <w:t xml:space="preserve">... או מכוח הסמכה מפורשת בו") </w:t>
      </w:r>
      <w:r>
        <w:rPr>
          <w:sz w:val="22"/>
          <w:szCs w:val="22"/>
          <w:rtl/>
        </w:rPr>
        <w:t>–</w:t>
      </w:r>
      <w:r>
        <w:rPr>
          <w:rFonts w:hint="cs"/>
          <w:sz w:val="22"/>
          <w:szCs w:val="22"/>
          <w:rtl/>
        </w:rPr>
        <w:t xml:space="preserve"> על ידי הכנסת ולא על ידי הממשלה;</w:t>
      </w:r>
    </w:p>
    <w:p w:rsidR="005366A8" w:rsidRPr="00E611C2" w:rsidRDefault="005366A8" w:rsidP="005366A8">
      <w:pPr>
        <w:ind w:left="1440"/>
        <w:rPr>
          <w:sz w:val="22"/>
          <w:szCs w:val="22"/>
          <w:rtl/>
        </w:rPr>
      </w:pPr>
      <w:r>
        <w:rPr>
          <w:rFonts w:hint="cs"/>
          <w:sz w:val="22"/>
          <w:szCs w:val="22"/>
          <w:rtl/>
        </w:rPr>
        <w:t>^ ...</w:t>
      </w:r>
    </w:p>
    <w:p w:rsidR="005366A8" w:rsidRPr="00205A0B" w:rsidRDefault="005366A8" w:rsidP="005366A8">
      <w:pPr>
        <w:ind w:left="720"/>
        <w:rPr>
          <w:sz w:val="22"/>
          <w:szCs w:val="22"/>
          <w:rtl/>
        </w:rPr>
      </w:pPr>
    </w:p>
    <w:p w:rsidR="005366A8" w:rsidRDefault="005366A8" w:rsidP="005366A8">
      <w:pPr>
        <w:rPr>
          <w:sz w:val="22"/>
          <w:szCs w:val="22"/>
          <w:rtl/>
        </w:rPr>
      </w:pPr>
      <w:r>
        <w:rPr>
          <w:rFonts w:hint="cs"/>
          <w:sz w:val="22"/>
          <w:szCs w:val="22"/>
          <w:rtl/>
        </w:rPr>
        <w:t>=-=</w:t>
      </w:r>
    </w:p>
    <w:p w:rsidR="005366A8" w:rsidRPr="008C0066" w:rsidRDefault="005366A8" w:rsidP="005366A8">
      <w:pPr>
        <w:rPr>
          <w:b/>
          <w:bCs/>
          <w:i/>
          <w:iCs/>
          <w:sz w:val="22"/>
          <w:szCs w:val="22"/>
          <w:rtl/>
        </w:rPr>
      </w:pPr>
      <w:r w:rsidRPr="008C0066">
        <w:rPr>
          <w:rFonts w:hint="cs"/>
          <w:b/>
          <w:bCs/>
          <w:i/>
          <w:iCs/>
          <w:sz w:val="22"/>
          <w:szCs w:val="22"/>
          <w:rtl/>
        </w:rPr>
        <w:t>דיון בשאלת המחשבה מסוף הדפים של הפגישה הקודמת</w:t>
      </w:r>
    </w:p>
    <w:p w:rsidR="005366A8" w:rsidRDefault="005366A8" w:rsidP="005366A8">
      <w:pPr>
        <w:rPr>
          <w:sz w:val="22"/>
          <w:szCs w:val="22"/>
          <w:rtl/>
        </w:rPr>
      </w:pPr>
    </w:p>
    <w:p w:rsidR="005366A8" w:rsidRDefault="005366A8" w:rsidP="005366A8">
      <w:pPr>
        <w:rPr>
          <w:sz w:val="22"/>
          <w:szCs w:val="22"/>
          <w:rtl/>
        </w:rPr>
      </w:pPr>
      <w:r>
        <w:rPr>
          <w:rFonts w:hint="cs"/>
          <w:sz w:val="22"/>
          <w:szCs w:val="22"/>
          <w:rtl/>
        </w:rPr>
        <w:t>=-=</w:t>
      </w:r>
    </w:p>
    <w:p w:rsidR="005366A8" w:rsidRPr="00FE656F" w:rsidRDefault="005366A8" w:rsidP="005366A8">
      <w:pPr>
        <w:autoSpaceDE w:val="0"/>
        <w:autoSpaceDN w:val="0"/>
        <w:adjustRightInd w:val="0"/>
        <w:jc w:val="center"/>
        <w:rPr>
          <w:rFonts w:ascii="Arial TUR" w:hAnsi="Arial TUR" w:cs="FrankRuehl"/>
          <w:spacing w:val="10"/>
          <w:szCs w:val="28"/>
          <w:rtl/>
        </w:rPr>
      </w:pPr>
      <w:r w:rsidRPr="00205A0B">
        <w:rPr>
          <w:highlight w:val="yellow"/>
          <w:rtl/>
        </w:rPr>
        <w:t xml:space="preserve">בש"פ 8823/07 </w:t>
      </w:r>
      <w:r w:rsidRPr="00205A0B">
        <w:rPr>
          <w:b/>
          <w:bCs/>
          <w:highlight w:val="yellow"/>
          <w:rtl/>
        </w:rPr>
        <w:t>פלוני נ' מדינת ישראל</w:t>
      </w:r>
      <w:r w:rsidRPr="00205A0B">
        <w:rPr>
          <w:highlight w:val="yellow"/>
          <w:rtl/>
        </w:rPr>
        <w:t xml:space="preserve"> </w:t>
      </w:r>
      <w:r w:rsidRPr="00205A0B">
        <w:rPr>
          <w:rFonts w:hint="cs"/>
          <w:highlight w:val="yellow"/>
          <w:rtl/>
        </w:rPr>
        <w:t>(</w:t>
      </w:r>
      <w:r w:rsidRPr="00205A0B">
        <w:rPr>
          <w:highlight w:val="yellow"/>
          <w:rtl/>
        </w:rPr>
        <w:t>2010)</w:t>
      </w:r>
    </w:p>
    <w:p w:rsidR="005366A8" w:rsidRDefault="005366A8" w:rsidP="005366A8">
      <w:pPr>
        <w:autoSpaceDE w:val="0"/>
        <w:autoSpaceDN w:val="0"/>
        <w:adjustRightInd w:val="0"/>
        <w:rPr>
          <w:rFonts w:ascii="Arial TUR" w:hAnsi="Arial TUR" w:cs="FrankRuehl"/>
          <w:spacing w:val="10"/>
          <w:szCs w:val="28"/>
          <w:rtl/>
        </w:rPr>
      </w:pPr>
    </w:p>
    <w:p w:rsidR="005366A8" w:rsidRPr="002850DA" w:rsidRDefault="005366A8" w:rsidP="005366A8">
      <w:pPr>
        <w:spacing w:after="60"/>
        <w:rPr>
          <w:rFonts w:asciiTheme="minorBidi" w:hAnsiTheme="minorBidi" w:cstheme="minorBidi"/>
          <w:sz w:val="20"/>
          <w:szCs w:val="20"/>
          <w:rtl/>
        </w:rPr>
      </w:pPr>
      <w:r w:rsidRPr="002850DA">
        <w:rPr>
          <w:rFonts w:asciiTheme="minorBidi" w:hAnsiTheme="minorBidi" w:cstheme="minorBidi"/>
          <w:sz w:val="20"/>
          <w:szCs w:val="20"/>
          <w:rtl/>
        </w:rPr>
        <w:t>מהן השאלות</w:t>
      </w:r>
      <w:r>
        <w:rPr>
          <w:rFonts w:asciiTheme="minorBidi" w:hAnsiTheme="minorBidi" w:cstheme="minorBidi" w:hint="cs"/>
          <w:sz w:val="20"/>
          <w:szCs w:val="20"/>
          <w:rtl/>
        </w:rPr>
        <w:t xml:space="preserve"> העולות בפסק הדין</w:t>
      </w:r>
      <w:r w:rsidRPr="002850DA">
        <w:rPr>
          <w:rFonts w:asciiTheme="minorBidi" w:hAnsiTheme="minorBidi" w:cstheme="minorBidi"/>
          <w:sz w:val="20"/>
          <w:szCs w:val="20"/>
          <w:rtl/>
        </w:rPr>
        <w:t>?</w:t>
      </w:r>
    </w:p>
    <w:p w:rsidR="005366A8" w:rsidRPr="002850DA" w:rsidRDefault="005366A8" w:rsidP="005366A8">
      <w:pPr>
        <w:spacing w:after="60"/>
        <w:ind w:left="1440" w:hanging="720"/>
        <w:rPr>
          <w:rFonts w:asciiTheme="minorBidi" w:hAnsiTheme="minorBidi" w:cstheme="minorBidi"/>
          <w:sz w:val="20"/>
          <w:szCs w:val="20"/>
          <w:rtl/>
        </w:rPr>
      </w:pPr>
      <w:r>
        <w:rPr>
          <w:rFonts w:asciiTheme="minorBidi" w:hAnsiTheme="minorBidi" w:cstheme="minorBidi"/>
          <w:sz w:val="20"/>
          <w:szCs w:val="20"/>
          <w:rtl/>
        </w:rPr>
        <w:t xml:space="preserve">^ </w:t>
      </w:r>
      <w:r>
        <w:rPr>
          <w:rFonts w:asciiTheme="minorBidi" w:hAnsiTheme="minorBidi" w:cstheme="minorBidi" w:hint="cs"/>
          <w:sz w:val="20"/>
          <w:szCs w:val="20"/>
          <w:rtl/>
        </w:rPr>
        <w:t xml:space="preserve">1. </w:t>
      </w:r>
      <w:r w:rsidRPr="00402442">
        <w:rPr>
          <w:rFonts w:asciiTheme="minorBidi" w:hAnsiTheme="minorBidi" w:cstheme="minorBidi"/>
          <w:b/>
          <w:bCs/>
          <w:sz w:val="20"/>
          <w:szCs w:val="20"/>
          <w:rtl/>
        </w:rPr>
        <w:t>תוקף סמכות "המעצר"</w:t>
      </w:r>
      <w:r w:rsidRPr="002850DA">
        <w:rPr>
          <w:rFonts w:asciiTheme="minorBidi" w:hAnsiTheme="minorBidi" w:cstheme="minorBidi"/>
          <w:sz w:val="20"/>
          <w:szCs w:val="20"/>
          <w:rtl/>
        </w:rPr>
        <w:t xml:space="preserve"> הנתונה לרשויות חקירה ביחס לחשודים בעבירות ביטחון [</w:t>
      </w:r>
      <w:r>
        <w:rPr>
          <w:rFonts w:asciiTheme="minorBidi" w:hAnsiTheme="minorBidi" w:cstheme="minorBidi" w:hint="cs"/>
          <w:sz w:val="20"/>
          <w:szCs w:val="20"/>
          <w:rtl/>
        </w:rPr>
        <w:t>משך תקופת ה</w:t>
      </w:r>
      <w:r w:rsidRPr="002850DA">
        <w:rPr>
          <w:rFonts w:asciiTheme="minorBidi" w:hAnsiTheme="minorBidi" w:cstheme="minorBidi"/>
          <w:sz w:val="20"/>
          <w:szCs w:val="20"/>
          <w:rtl/>
        </w:rPr>
        <w:t xml:space="preserve">מעצר </w:t>
      </w:r>
      <w:r>
        <w:rPr>
          <w:rFonts w:asciiTheme="minorBidi" w:hAnsiTheme="minorBidi" w:cstheme="minorBidi" w:hint="cs"/>
          <w:sz w:val="20"/>
          <w:szCs w:val="20"/>
          <w:rtl/>
        </w:rPr>
        <w:t>עד למפגש של השופט עם העציר</w:t>
      </w:r>
      <w:r w:rsidRPr="002850DA">
        <w:rPr>
          <w:rFonts w:asciiTheme="minorBidi" w:hAnsiTheme="minorBidi" w:cstheme="minorBidi"/>
          <w:sz w:val="20"/>
          <w:szCs w:val="20"/>
          <w:rtl/>
        </w:rPr>
        <w:t>]</w:t>
      </w:r>
      <w:r w:rsidRPr="00402442">
        <w:rPr>
          <w:rFonts w:ascii="Arial TUR" w:hAnsi="Arial TUR" w:cs="David" w:hint="cs"/>
          <w:b/>
          <w:bCs/>
          <w:spacing w:val="10"/>
          <w:sz w:val="22"/>
          <w:szCs w:val="22"/>
          <w:highlight w:val="yellow"/>
          <w:rtl/>
        </w:rPr>
        <w:t xml:space="preserve"> </w:t>
      </w:r>
      <w:r>
        <w:rPr>
          <w:rFonts w:ascii="Arial TUR" w:hAnsi="Arial TUR" w:cs="David"/>
          <w:b/>
          <w:bCs/>
          <w:spacing w:val="10"/>
          <w:sz w:val="22"/>
          <w:szCs w:val="22"/>
          <w:highlight w:val="yellow"/>
          <w:rtl/>
        </w:rPr>
        <w:t>–</w:t>
      </w:r>
      <w:r>
        <w:rPr>
          <w:rFonts w:ascii="Arial TUR" w:hAnsi="Arial TUR" w:cs="David" w:hint="cs"/>
          <w:b/>
          <w:bCs/>
          <w:spacing w:val="10"/>
          <w:sz w:val="22"/>
          <w:szCs w:val="22"/>
          <w:highlight w:val="yellow"/>
          <w:rtl/>
        </w:rPr>
        <w:t xml:space="preserve"> </w:t>
      </w:r>
      <w:r w:rsidRPr="00AA6918">
        <w:rPr>
          <w:rFonts w:ascii="Arial TUR" w:hAnsi="Arial TUR" w:cs="David" w:hint="cs"/>
          <w:b/>
          <w:bCs/>
          <w:spacing w:val="10"/>
          <w:sz w:val="22"/>
          <w:szCs w:val="22"/>
          <w:highlight w:val="yellow"/>
          <w:rtl/>
        </w:rPr>
        <w:t>סעיף 5 לחוק סדר הדין הפלילי (עצור החשוד בעבירת ביטחון) (הוראת שעה), התשס"ו-2006</w:t>
      </w:r>
    </w:p>
    <w:p w:rsidR="005366A8" w:rsidRPr="002850DA" w:rsidRDefault="005366A8" w:rsidP="005366A8">
      <w:pPr>
        <w:ind w:left="720"/>
        <w:rPr>
          <w:rFonts w:asciiTheme="minorBidi" w:hAnsiTheme="minorBidi" w:cstheme="minorBidi"/>
          <w:sz w:val="20"/>
          <w:szCs w:val="20"/>
          <w:rtl/>
        </w:rPr>
      </w:pPr>
      <w:r>
        <w:rPr>
          <w:rFonts w:asciiTheme="minorBidi" w:hAnsiTheme="minorBidi" w:cstheme="minorBidi" w:hint="cs"/>
          <w:sz w:val="20"/>
          <w:szCs w:val="20"/>
          <w:rtl/>
        </w:rPr>
        <w:t>[</w:t>
      </w:r>
      <w:r w:rsidRPr="002850DA">
        <w:rPr>
          <w:rFonts w:asciiTheme="minorBidi" w:hAnsiTheme="minorBidi" w:cstheme="minorBidi"/>
          <w:sz w:val="20"/>
          <w:szCs w:val="20"/>
          <w:rtl/>
        </w:rPr>
        <w:t xml:space="preserve">^ </w:t>
      </w:r>
      <w:r>
        <w:rPr>
          <w:rFonts w:asciiTheme="minorBidi" w:hAnsiTheme="minorBidi" w:cstheme="minorBidi" w:hint="cs"/>
          <w:sz w:val="20"/>
          <w:szCs w:val="20"/>
          <w:rtl/>
        </w:rPr>
        <w:t xml:space="preserve">2. </w:t>
      </w:r>
      <w:r w:rsidRPr="002850DA">
        <w:rPr>
          <w:rFonts w:asciiTheme="minorBidi" w:hAnsiTheme="minorBidi" w:cstheme="minorBidi"/>
          <w:sz w:val="20"/>
          <w:szCs w:val="20"/>
          <w:rtl/>
        </w:rPr>
        <w:t>מה קורה בסיטואציית "הפצצה המתקתקת"?</w:t>
      </w:r>
      <w:r>
        <w:rPr>
          <w:rFonts w:asciiTheme="minorBidi" w:hAnsiTheme="minorBidi" w:cstheme="minorBidi" w:hint="cs"/>
          <w:sz w:val="20"/>
          <w:szCs w:val="20"/>
          <w:rtl/>
        </w:rPr>
        <w:t>]</w:t>
      </w:r>
    </w:p>
    <w:p w:rsidR="005366A8" w:rsidRPr="002850DA" w:rsidRDefault="005366A8" w:rsidP="005366A8">
      <w:pPr>
        <w:ind w:left="720"/>
        <w:rPr>
          <w:rFonts w:asciiTheme="minorBidi" w:hAnsiTheme="minorBidi" w:cstheme="minorBidi"/>
          <w:sz w:val="20"/>
          <w:szCs w:val="20"/>
          <w:rtl/>
        </w:rPr>
      </w:pPr>
    </w:p>
    <w:p w:rsidR="005366A8" w:rsidRDefault="005366A8" w:rsidP="005366A8">
      <w:pPr>
        <w:spacing w:after="60"/>
        <w:ind w:left="720"/>
        <w:rPr>
          <w:rFonts w:asciiTheme="minorBidi" w:hAnsiTheme="minorBidi" w:cstheme="minorBidi"/>
          <w:sz w:val="20"/>
          <w:szCs w:val="20"/>
          <w:rtl/>
        </w:rPr>
      </w:pPr>
      <w:r>
        <w:rPr>
          <w:rFonts w:asciiTheme="minorBidi" w:hAnsiTheme="minorBidi" w:cstheme="minorBidi" w:hint="cs"/>
          <w:sz w:val="20"/>
          <w:szCs w:val="20"/>
          <w:rtl/>
        </w:rPr>
        <w:t xml:space="preserve">^ השאלה המרכזית </w:t>
      </w:r>
      <w:r>
        <w:rPr>
          <w:rFonts w:asciiTheme="minorBidi" w:hAnsiTheme="minorBidi" w:cstheme="minorBidi"/>
          <w:sz w:val="20"/>
          <w:szCs w:val="20"/>
          <w:rtl/>
        </w:rPr>
        <w:t>–</w:t>
      </w:r>
      <w:r>
        <w:rPr>
          <w:rFonts w:asciiTheme="minorBidi" w:hAnsiTheme="minorBidi" w:cstheme="minorBidi" w:hint="cs"/>
          <w:sz w:val="20"/>
          <w:szCs w:val="20"/>
          <w:rtl/>
        </w:rPr>
        <w:t xml:space="preserve"> שאלה 1 </w:t>
      </w:r>
      <w:r>
        <w:rPr>
          <w:rFonts w:asciiTheme="minorBidi" w:hAnsiTheme="minorBidi" w:cstheme="minorBidi"/>
          <w:sz w:val="20"/>
          <w:szCs w:val="20"/>
          <w:rtl/>
        </w:rPr>
        <w:t>–</w:t>
      </w:r>
      <w:r>
        <w:rPr>
          <w:rFonts w:asciiTheme="minorBidi" w:hAnsiTheme="minorBidi" w:cstheme="minorBidi" w:hint="cs"/>
          <w:sz w:val="20"/>
          <w:szCs w:val="20"/>
          <w:rtl/>
        </w:rPr>
        <w:t xml:space="preserve"> של תוקף סמכות המעצר שנקבעה בחוק סדר הדין הפלילי (עצור החשוד בעבירת ביטחון) עוברת דרך השאלות הבאות: </w:t>
      </w:r>
    </w:p>
    <w:p w:rsidR="005366A8" w:rsidRDefault="005366A8" w:rsidP="005366A8">
      <w:pPr>
        <w:spacing w:after="60"/>
        <w:ind w:left="1440"/>
        <w:rPr>
          <w:rFonts w:asciiTheme="minorBidi" w:hAnsiTheme="minorBidi" w:cstheme="minorBidi"/>
          <w:sz w:val="20"/>
          <w:szCs w:val="20"/>
          <w:rtl/>
        </w:rPr>
      </w:pPr>
      <w:r>
        <w:rPr>
          <w:rFonts w:asciiTheme="minorBidi" w:hAnsiTheme="minorBidi" w:cstheme="minorBidi" w:hint="cs"/>
          <w:sz w:val="20"/>
          <w:szCs w:val="20"/>
          <w:rtl/>
        </w:rPr>
        <w:t xml:space="preserve">^ 1א ו-1ב: האם החוק </w:t>
      </w:r>
      <w:r w:rsidRPr="000B403E">
        <w:rPr>
          <w:rFonts w:asciiTheme="minorBidi" w:hAnsiTheme="minorBidi" w:cstheme="minorBidi" w:hint="cs"/>
          <w:b/>
          <w:bCs/>
          <w:sz w:val="20"/>
          <w:szCs w:val="20"/>
          <w:rtl/>
        </w:rPr>
        <w:t>"פוגע" ב"זכות חוקתית"</w:t>
      </w:r>
      <w:r>
        <w:rPr>
          <w:rFonts w:asciiTheme="minorBidi" w:hAnsiTheme="minorBidi" w:cstheme="minorBidi" w:hint="cs"/>
          <w:sz w:val="20"/>
          <w:szCs w:val="20"/>
          <w:rtl/>
        </w:rPr>
        <w:t xml:space="preserve">? </w:t>
      </w:r>
    </w:p>
    <w:p w:rsidR="005366A8" w:rsidRPr="002850DA" w:rsidRDefault="005366A8" w:rsidP="005366A8">
      <w:pPr>
        <w:spacing w:after="60"/>
        <w:ind w:left="1440"/>
        <w:rPr>
          <w:rFonts w:asciiTheme="minorBidi" w:hAnsiTheme="minorBidi" w:cstheme="minorBidi"/>
          <w:sz w:val="20"/>
          <w:szCs w:val="20"/>
          <w:rtl/>
        </w:rPr>
      </w:pPr>
      <w:r>
        <w:rPr>
          <w:rFonts w:asciiTheme="minorBidi" w:hAnsiTheme="minorBidi" w:cstheme="minorBidi" w:hint="cs"/>
          <w:sz w:val="20"/>
          <w:szCs w:val="20"/>
          <w:rtl/>
        </w:rPr>
        <w:t>וכשהוא משיב לכך בחיוב, פסה"ד עובר ליישום "פסקת ההגבלה" על הוראת החוק הנבחנת (סעיף 5 הנזכר):</w:t>
      </w:r>
    </w:p>
    <w:p w:rsidR="005366A8" w:rsidRPr="002850DA" w:rsidRDefault="005366A8" w:rsidP="005366A8">
      <w:pPr>
        <w:ind w:left="2160"/>
        <w:rPr>
          <w:rFonts w:asciiTheme="minorBidi" w:hAnsiTheme="minorBidi" w:cstheme="minorBidi"/>
          <w:sz w:val="20"/>
          <w:szCs w:val="20"/>
          <w:rtl/>
        </w:rPr>
      </w:pPr>
      <w:r>
        <w:rPr>
          <w:rFonts w:asciiTheme="minorBidi" w:hAnsiTheme="minorBidi" w:cstheme="minorBidi" w:hint="cs"/>
          <w:sz w:val="20"/>
          <w:szCs w:val="20"/>
          <w:rtl/>
        </w:rPr>
        <w:t xml:space="preserve">^ 1ג: האם ההוראה היא </w:t>
      </w:r>
      <w:r w:rsidRPr="00F35AFD">
        <w:rPr>
          <w:rFonts w:asciiTheme="minorBidi" w:hAnsiTheme="minorBidi" w:cstheme="minorBidi" w:hint="cs"/>
          <w:b/>
          <w:bCs/>
          <w:sz w:val="20"/>
          <w:szCs w:val="20"/>
          <w:rtl/>
        </w:rPr>
        <w:t>ל</w:t>
      </w:r>
      <w:r w:rsidRPr="00F35AFD">
        <w:rPr>
          <w:rFonts w:asciiTheme="minorBidi" w:hAnsiTheme="minorBidi" w:cstheme="minorBidi"/>
          <w:b/>
          <w:bCs/>
          <w:sz w:val="20"/>
          <w:szCs w:val="20"/>
          <w:rtl/>
        </w:rPr>
        <w:t>תכלית ראויה</w:t>
      </w:r>
      <w:r w:rsidRPr="002850DA">
        <w:rPr>
          <w:rFonts w:asciiTheme="minorBidi" w:hAnsiTheme="minorBidi" w:cstheme="minorBidi"/>
          <w:sz w:val="20"/>
          <w:szCs w:val="20"/>
          <w:rtl/>
        </w:rPr>
        <w:t>?</w:t>
      </w:r>
    </w:p>
    <w:p w:rsidR="005366A8" w:rsidRDefault="005366A8" w:rsidP="005366A8">
      <w:pPr>
        <w:ind w:left="2160"/>
        <w:rPr>
          <w:sz w:val="22"/>
          <w:szCs w:val="22"/>
          <w:rtl/>
        </w:rPr>
      </w:pPr>
      <w:r>
        <w:rPr>
          <w:rFonts w:asciiTheme="minorBidi" w:hAnsiTheme="minorBidi" w:cstheme="minorBidi" w:hint="cs"/>
          <w:sz w:val="20"/>
          <w:szCs w:val="20"/>
          <w:rtl/>
        </w:rPr>
        <w:t xml:space="preserve">^ 1ד: </w:t>
      </w:r>
      <w:r w:rsidRPr="002850DA">
        <w:rPr>
          <w:rFonts w:asciiTheme="minorBidi" w:hAnsiTheme="minorBidi" w:cstheme="minorBidi"/>
          <w:sz w:val="20"/>
          <w:szCs w:val="20"/>
          <w:rtl/>
        </w:rPr>
        <w:t xml:space="preserve">האם </w:t>
      </w:r>
      <w:r>
        <w:rPr>
          <w:rFonts w:asciiTheme="minorBidi" w:hAnsiTheme="minorBidi" w:cstheme="minorBidi" w:hint="cs"/>
          <w:sz w:val="20"/>
          <w:szCs w:val="20"/>
          <w:rtl/>
        </w:rPr>
        <w:t xml:space="preserve">היא עומדת בדרישה בדבר </w:t>
      </w:r>
      <w:r w:rsidRPr="00F35AFD">
        <w:rPr>
          <w:rFonts w:asciiTheme="minorBidi" w:hAnsiTheme="minorBidi" w:cstheme="minorBidi"/>
          <w:b/>
          <w:bCs/>
          <w:sz w:val="20"/>
          <w:szCs w:val="20"/>
          <w:rtl/>
        </w:rPr>
        <w:t>אמצעים מידתיים</w:t>
      </w:r>
      <w:r>
        <w:rPr>
          <w:rFonts w:asciiTheme="minorBidi" w:hAnsiTheme="minorBidi" w:cstheme="minorBidi" w:hint="cs"/>
          <w:sz w:val="20"/>
          <w:szCs w:val="20"/>
          <w:rtl/>
        </w:rPr>
        <w:t xml:space="preserve"> להגשמת התכלית</w:t>
      </w:r>
      <w:r w:rsidRPr="002850DA">
        <w:rPr>
          <w:rFonts w:asciiTheme="minorBidi" w:hAnsiTheme="minorBidi" w:cstheme="minorBidi"/>
          <w:sz w:val="20"/>
          <w:szCs w:val="20"/>
          <w:rtl/>
        </w:rPr>
        <w:t>?</w:t>
      </w:r>
    </w:p>
    <w:p w:rsidR="005366A8" w:rsidRPr="000B403E" w:rsidRDefault="005366A8" w:rsidP="005366A8">
      <w:pPr>
        <w:ind w:left="2880"/>
        <w:rPr>
          <w:rFonts w:asciiTheme="minorBidi" w:hAnsiTheme="minorBidi" w:cstheme="minorBidi"/>
          <w:sz w:val="20"/>
          <w:szCs w:val="20"/>
          <w:rtl/>
        </w:rPr>
      </w:pPr>
      <w:r>
        <w:rPr>
          <w:rFonts w:asciiTheme="minorBidi" w:hAnsiTheme="minorBidi" w:cstheme="minorBidi" w:hint="cs"/>
          <w:sz w:val="20"/>
          <w:szCs w:val="20"/>
          <w:rtl/>
        </w:rPr>
        <w:t>[</w:t>
      </w:r>
      <w:r w:rsidRPr="000B403E">
        <w:rPr>
          <w:rFonts w:asciiTheme="minorBidi" w:hAnsiTheme="minorBidi" w:cstheme="minorBidi"/>
          <w:sz w:val="20"/>
          <w:szCs w:val="20"/>
          <w:rtl/>
        </w:rPr>
        <w:t>שלושה מבחני משנה, שהחוק כושל בשניים מהם</w:t>
      </w:r>
      <w:r>
        <w:rPr>
          <w:rFonts w:asciiTheme="minorBidi" w:hAnsiTheme="minorBidi" w:cstheme="minorBidi" w:hint="cs"/>
          <w:sz w:val="20"/>
          <w:szCs w:val="20"/>
          <w:rtl/>
        </w:rPr>
        <w:t>]</w:t>
      </w:r>
      <w:r w:rsidRPr="000B403E">
        <w:rPr>
          <w:rFonts w:asciiTheme="minorBidi" w:hAnsiTheme="minorBidi" w:cstheme="minorBidi"/>
          <w:sz w:val="20"/>
          <w:szCs w:val="20"/>
          <w:rtl/>
        </w:rPr>
        <w:t>.</w:t>
      </w:r>
    </w:p>
    <w:p w:rsidR="005366A8" w:rsidRDefault="005366A8" w:rsidP="005366A8">
      <w:pPr>
        <w:spacing w:after="120"/>
        <w:rPr>
          <w:rFonts w:asciiTheme="minorBidi" w:hAnsiTheme="minorBidi" w:cstheme="minorBidi"/>
          <w:sz w:val="20"/>
          <w:szCs w:val="20"/>
          <w:rtl/>
        </w:rPr>
      </w:pPr>
    </w:p>
    <w:p w:rsidR="005366A8" w:rsidRPr="00F00CAE" w:rsidRDefault="005366A8" w:rsidP="005366A8">
      <w:pPr>
        <w:spacing w:after="120"/>
        <w:rPr>
          <w:rFonts w:asciiTheme="minorBidi" w:hAnsiTheme="minorBidi" w:cstheme="minorBidi"/>
          <w:sz w:val="20"/>
          <w:szCs w:val="20"/>
          <w:rtl/>
        </w:rPr>
      </w:pPr>
      <w:r w:rsidRPr="00F00CAE">
        <w:rPr>
          <w:rFonts w:asciiTheme="minorBidi" w:hAnsiTheme="minorBidi" w:cstheme="minorBidi"/>
          <w:sz w:val="20"/>
          <w:szCs w:val="20"/>
          <w:rtl/>
        </w:rPr>
        <w:t xml:space="preserve">משתנים חשובים שעליהם עומד בית המשפט </w:t>
      </w:r>
      <w:r w:rsidRPr="00F00CAE">
        <w:rPr>
          <w:rFonts w:asciiTheme="minorBidi" w:hAnsiTheme="minorBidi" w:cstheme="minorBidi"/>
          <w:b/>
          <w:bCs/>
          <w:sz w:val="20"/>
          <w:szCs w:val="20"/>
          <w:rtl/>
        </w:rPr>
        <w:t>בפלוני</w:t>
      </w:r>
      <w:r>
        <w:rPr>
          <w:rFonts w:asciiTheme="minorBidi" w:hAnsiTheme="minorBidi" w:cstheme="minorBidi" w:hint="cs"/>
          <w:sz w:val="20"/>
          <w:szCs w:val="20"/>
          <w:rtl/>
        </w:rPr>
        <w:t xml:space="preserve"> במסגרת תשובתו לשאלת "המידתיות" (מה שהוא קורא "</w:t>
      </w:r>
      <w:r w:rsidRPr="00F35AFD">
        <w:rPr>
          <w:rFonts w:asciiTheme="minorBidi" w:hAnsiTheme="minorBidi" w:cstheme="minorBidi" w:hint="cs"/>
          <w:b/>
          <w:bCs/>
          <w:sz w:val="20"/>
          <w:szCs w:val="20"/>
          <w:rtl/>
        </w:rPr>
        <w:t>האפקט המצטבר</w:t>
      </w:r>
      <w:r>
        <w:rPr>
          <w:rFonts w:asciiTheme="minorBidi" w:hAnsiTheme="minorBidi" w:cstheme="minorBidi" w:hint="cs"/>
          <w:sz w:val="20"/>
          <w:szCs w:val="20"/>
          <w:rtl/>
        </w:rPr>
        <w:t>"):</w:t>
      </w:r>
    </w:p>
    <w:p w:rsidR="005366A8" w:rsidRPr="00F00CAE" w:rsidRDefault="005366A8" w:rsidP="005366A8">
      <w:pPr>
        <w:spacing w:after="60"/>
        <w:ind w:left="720"/>
        <w:rPr>
          <w:rFonts w:asciiTheme="minorBidi" w:hAnsiTheme="minorBidi" w:cstheme="minorBidi"/>
          <w:sz w:val="20"/>
          <w:szCs w:val="20"/>
          <w:rtl/>
        </w:rPr>
      </w:pPr>
      <w:r w:rsidRPr="00F00CAE">
        <w:rPr>
          <w:rFonts w:asciiTheme="minorBidi" w:hAnsiTheme="minorBidi" w:cstheme="minorBidi"/>
          <w:sz w:val="20"/>
          <w:szCs w:val="20"/>
          <w:rtl/>
        </w:rPr>
        <w:t xml:space="preserve">מעצר </w:t>
      </w:r>
      <w:r w:rsidRPr="00F00CAE">
        <w:rPr>
          <w:rFonts w:asciiTheme="minorBidi" w:hAnsiTheme="minorBidi" w:cstheme="minorBidi"/>
          <w:b/>
          <w:bCs/>
          <w:sz w:val="20"/>
          <w:szCs w:val="20"/>
          <w:rtl/>
        </w:rPr>
        <w:t>משטרתי</w:t>
      </w:r>
      <w:r w:rsidRPr="00F00CAE">
        <w:rPr>
          <w:rFonts w:asciiTheme="minorBidi" w:hAnsiTheme="minorBidi" w:cstheme="minorBidi"/>
          <w:sz w:val="20"/>
          <w:szCs w:val="20"/>
          <w:rtl/>
        </w:rPr>
        <w:t xml:space="preserve"> – משך הזמן האפשרי ללא הארכת מעצר על ידי שופט?</w:t>
      </w:r>
    </w:p>
    <w:p w:rsidR="005366A8" w:rsidRPr="00F00CAE" w:rsidRDefault="005366A8" w:rsidP="005366A8">
      <w:pPr>
        <w:spacing w:after="60"/>
        <w:ind w:left="720"/>
        <w:rPr>
          <w:rFonts w:asciiTheme="minorBidi" w:hAnsiTheme="minorBidi" w:cstheme="minorBidi"/>
          <w:b/>
          <w:bCs/>
          <w:sz w:val="20"/>
          <w:szCs w:val="20"/>
          <w:rtl/>
        </w:rPr>
      </w:pPr>
      <w:r>
        <w:rPr>
          <w:rFonts w:asciiTheme="minorBidi" w:hAnsiTheme="minorBidi" w:cstheme="minorBidi" w:hint="cs"/>
          <w:b/>
          <w:bCs/>
          <w:sz w:val="20"/>
          <w:szCs w:val="20"/>
          <w:highlight w:val="yellow"/>
          <w:rtl/>
        </w:rPr>
        <w:t xml:space="preserve">הארכת </w:t>
      </w:r>
      <w:r w:rsidRPr="00402442">
        <w:rPr>
          <w:rFonts w:asciiTheme="minorBidi" w:hAnsiTheme="minorBidi" w:cstheme="minorBidi"/>
          <w:b/>
          <w:bCs/>
          <w:sz w:val="20"/>
          <w:szCs w:val="20"/>
          <w:highlight w:val="yellow"/>
          <w:rtl/>
        </w:rPr>
        <w:t>המעצר באישור שופט?</w:t>
      </w:r>
      <w:r w:rsidRPr="00402442">
        <w:rPr>
          <w:rFonts w:asciiTheme="minorBidi" w:hAnsiTheme="minorBidi" w:cstheme="minorBidi" w:hint="cs"/>
          <w:b/>
          <w:bCs/>
          <w:sz w:val="20"/>
          <w:szCs w:val="20"/>
          <w:highlight w:val="yellow"/>
          <w:rtl/>
        </w:rPr>
        <w:t xml:space="preserve"> האם הארכת המעצר יכולה להיעשות (ולכמה זמן) </w:t>
      </w:r>
      <w:r w:rsidRPr="008E2164">
        <w:rPr>
          <w:rFonts w:asciiTheme="minorBidi" w:hAnsiTheme="minorBidi" w:cstheme="minorBidi" w:hint="cs"/>
          <w:b/>
          <w:bCs/>
          <w:sz w:val="20"/>
          <w:szCs w:val="20"/>
          <w:highlight w:val="yellow"/>
          <w:u w:val="single"/>
          <w:rtl/>
        </w:rPr>
        <w:t>שלא בנוכחות העציר</w:t>
      </w:r>
      <w:r w:rsidRPr="00402442">
        <w:rPr>
          <w:rFonts w:asciiTheme="minorBidi" w:hAnsiTheme="minorBidi" w:cstheme="minorBidi" w:hint="cs"/>
          <w:b/>
          <w:bCs/>
          <w:sz w:val="20"/>
          <w:szCs w:val="20"/>
          <w:highlight w:val="yellow"/>
          <w:rtl/>
        </w:rPr>
        <w:t>?</w:t>
      </w:r>
    </w:p>
    <w:p w:rsidR="005366A8" w:rsidRPr="00F00CAE" w:rsidRDefault="005366A8" w:rsidP="005366A8">
      <w:pPr>
        <w:spacing w:after="60"/>
        <w:ind w:left="1440" w:hanging="720"/>
        <w:rPr>
          <w:rFonts w:asciiTheme="minorBidi" w:hAnsiTheme="minorBidi" w:cstheme="minorBidi"/>
          <w:sz w:val="20"/>
          <w:szCs w:val="20"/>
          <w:rtl/>
        </w:rPr>
      </w:pPr>
      <w:r w:rsidRPr="00F00CAE">
        <w:rPr>
          <w:rFonts w:asciiTheme="minorBidi" w:hAnsiTheme="minorBidi" w:cstheme="minorBidi"/>
          <w:sz w:val="20"/>
          <w:szCs w:val="20"/>
          <w:rtl/>
        </w:rPr>
        <w:t xml:space="preserve">פעולות </w:t>
      </w:r>
      <w:r w:rsidRPr="00F00CAE">
        <w:rPr>
          <w:rFonts w:asciiTheme="minorBidi" w:hAnsiTheme="minorBidi" w:cstheme="minorBidi"/>
          <w:b/>
          <w:bCs/>
          <w:sz w:val="20"/>
          <w:szCs w:val="20"/>
          <w:rtl/>
        </w:rPr>
        <w:t>החוקרים</w:t>
      </w:r>
      <w:r w:rsidRPr="00F00CAE">
        <w:rPr>
          <w:rFonts w:asciiTheme="minorBidi" w:hAnsiTheme="minorBidi" w:cstheme="minorBidi"/>
          <w:sz w:val="20"/>
          <w:szCs w:val="20"/>
          <w:rtl/>
        </w:rPr>
        <w:t xml:space="preserve">: איזה שיטות החקירה המופעלות על העציר? </w:t>
      </w:r>
      <w:r>
        <w:rPr>
          <w:rFonts w:asciiTheme="minorBidi" w:hAnsiTheme="minorBidi" w:cstheme="minorBidi" w:hint="cs"/>
          <w:sz w:val="20"/>
          <w:szCs w:val="20"/>
          <w:rtl/>
        </w:rPr>
        <w:t xml:space="preserve">יש לזכור כי לפי פס"ד </w:t>
      </w:r>
      <w:r w:rsidRPr="00402442">
        <w:rPr>
          <w:rFonts w:asciiTheme="minorBidi" w:hAnsiTheme="minorBidi" w:cstheme="minorBidi" w:hint="cs"/>
          <w:b/>
          <w:bCs/>
          <w:sz w:val="20"/>
          <w:szCs w:val="20"/>
          <w:rtl/>
        </w:rPr>
        <w:t>הועד הציבורי</w:t>
      </w:r>
      <w:r>
        <w:rPr>
          <w:rFonts w:asciiTheme="minorBidi" w:hAnsiTheme="minorBidi" w:cstheme="minorBidi" w:hint="cs"/>
          <w:sz w:val="20"/>
          <w:szCs w:val="20"/>
          <w:rtl/>
        </w:rPr>
        <w:t xml:space="preserve">: אין </w:t>
      </w:r>
      <w:r w:rsidRPr="00F00CAE">
        <w:rPr>
          <w:rFonts w:asciiTheme="minorBidi" w:hAnsiTheme="minorBidi" w:cstheme="minorBidi"/>
          <w:sz w:val="20"/>
          <w:szCs w:val="20"/>
          <w:rtl/>
        </w:rPr>
        <w:t>הסמכה לשיטות חקירה מיוחדות;</w:t>
      </w:r>
    </w:p>
    <w:p w:rsidR="005366A8" w:rsidRPr="00F00CAE" w:rsidRDefault="005366A8" w:rsidP="005366A8">
      <w:pPr>
        <w:spacing w:after="60"/>
        <w:ind w:left="720"/>
        <w:rPr>
          <w:rFonts w:asciiTheme="minorBidi" w:hAnsiTheme="minorBidi" w:cstheme="minorBidi"/>
          <w:sz w:val="20"/>
          <w:szCs w:val="20"/>
          <w:rtl/>
        </w:rPr>
      </w:pPr>
      <w:r w:rsidRPr="00F00CAE">
        <w:rPr>
          <w:rFonts w:asciiTheme="minorBidi" w:hAnsiTheme="minorBidi" w:cstheme="minorBidi"/>
          <w:sz w:val="20"/>
          <w:szCs w:val="20"/>
          <w:rtl/>
        </w:rPr>
        <w:t xml:space="preserve">היש מפגש עם </w:t>
      </w:r>
      <w:r w:rsidRPr="00F00CAE">
        <w:rPr>
          <w:rFonts w:asciiTheme="minorBidi" w:hAnsiTheme="minorBidi" w:cstheme="minorBidi"/>
          <w:b/>
          <w:bCs/>
          <w:sz w:val="20"/>
          <w:szCs w:val="20"/>
          <w:rtl/>
        </w:rPr>
        <w:t>עורך דינו של העציר</w:t>
      </w:r>
      <w:r w:rsidRPr="00F00CAE">
        <w:rPr>
          <w:rFonts w:asciiTheme="minorBidi" w:hAnsiTheme="minorBidi" w:cstheme="minorBidi"/>
          <w:sz w:val="20"/>
          <w:szCs w:val="20"/>
          <w:rtl/>
        </w:rPr>
        <w:t>? באיזו תדירות?</w:t>
      </w:r>
    </w:p>
    <w:p w:rsidR="005366A8" w:rsidRPr="00F00CAE" w:rsidRDefault="005366A8" w:rsidP="005366A8">
      <w:pPr>
        <w:spacing w:after="60"/>
        <w:ind w:left="720"/>
        <w:rPr>
          <w:rFonts w:asciiTheme="minorBidi" w:hAnsiTheme="minorBidi" w:cstheme="minorBidi"/>
          <w:sz w:val="20"/>
          <w:szCs w:val="20"/>
          <w:rtl/>
        </w:rPr>
      </w:pPr>
      <w:r w:rsidRPr="00F00CAE">
        <w:rPr>
          <w:rFonts w:asciiTheme="minorBidi" w:hAnsiTheme="minorBidi" w:cstheme="minorBidi"/>
          <w:sz w:val="20"/>
          <w:szCs w:val="20"/>
          <w:rtl/>
        </w:rPr>
        <w:t>אי-היחשפות</w:t>
      </w:r>
      <w:r>
        <w:rPr>
          <w:rFonts w:asciiTheme="minorBidi" w:hAnsiTheme="minorBidi" w:cstheme="minorBidi" w:hint="cs"/>
          <w:sz w:val="20"/>
          <w:szCs w:val="20"/>
          <w:rtl/>
        </w:rPr>
        <w:t xml:space="preserve"> העציר</w:t>
      </w:r>
      <w:r w:rsidRPr="00F00CAE">
        <w:rPr>
          <w:rFonts w:asciiTheme="minorBidi" w:hAnsiTheme="minorBidi" w:cstheme="minorBidi"/>
          <w:sz w:val="20"/>
          <w:szCs w:val="20"/>
          <w:rtl/>
        </w:rPr>
        <w:t xml:space="preserve"> לחומר החקירה (הטענות והראיות) כנגד</w:t>
      </w:r>
      <w:r>
        <w:rPr>
          <w:rFonts w:asciiTheme="minorBidi" w:hAnsiTheme="minorBidi" w:cstheme="minorBidi" w:hint="cs"/>
          <w:sz w:val="20"/>
          <w:szCs w:val="20"/>
          <w:rtl/>
        </w:rPr>
        <w:t>ו, משום שמדובר בשלב החקירה, להבדיל מכתב אישום</w:t>
      </w:r>
      <w:r w:rsidRPr="00F00CAE">
        <w:rPr>
          <w:rFonts w:asciiTheme="minorBidi" w:hAnsiTheme="minorBidi" w:cstheme="minorBidi"/>
          <w:sz w:val="20"/>
          <w:szCs w:val="20"/>
          <w:rtl/>
        </w:rPr>
        <w:t>;</w:t>
      </w:r>
    </w:p>
    <w:p w:rsidR="005366A8" w:rsidRPr="00F00CAE" w:rsidRDefault="005366A8" w:rsidP="005366A8">
      <w:pPr>
        <w:ind w:left="720"/>
        <w:rPr>
          <w:rFonts w:asciiTheme="minorBidi" w:hAnsiTheme="minorBidi" w:cstheme="minorBidi"/>
          <w:sz w:val="20"/>
          <w:szCs w:val="20"/>
          <w:rtl/>
        </w:rPr>
      </w:pPr>
      <w:r w:rsidRPr="00402442">
        <w:rPr>
          <w:rFonts w:asciiTheme="minorBidi" w:hAnsiTheme="minorBidi" w:cstheme="minorBidi"/>
          <w:sz w:val="20"/>
          <w:szCs w:val="20"/>
          <w:highlight w:val="yellow"/>
          <w:rtl/>
        </w:rPr>
        <w:t xml:space="preserve">מתי יפגוש </w:t>
      </w:r>
      <w:r w:rsidRPr="00402442">
        <w:rPr>
          <w:rFonts w:asciiTheme="minorBidi" w:hAnsiTheme="minorBidi" w:cstheme="minorBidi"/>
          <w:b/>
          <w:bCs/>
          <w:sz w:val="20"/>
          <w:szCs w:val="20"/>
          <w:highlight w:val="yellow"/>
          <w:rtl/>
        </w:rPr>
        <w:t>השופט</w:t>
      </w:r>
      <w:r w:rsidRPr="00402442">
        <w:rPr>
          <w:rFonts w:asciiTheme="minorBidi" w:hAnsiTheme="minorBidi" w:cstheme="minorBidi"/>
          <w:sz w:val="20"/>
          <w:szCs w:val="20"/>
          <w:highlight w:val="yellow"/>
          <w:rtl/>
        </w:rPr>
        <w:t xml:space="preserve"> את העציר? כלומר למתי תיקבע הארכת המעצר והאם היא ניתנת להארכה? ואם כן, לאיזו תקופת זמן?</w:t>
      </w:r>
    </w:p>
    <w:p w:rsidR="005366A8" w:rsidRDefault="005366A8" w:rsidP="005366A8">
      <w:pPr>
        <w:autoSpaceDE w:val="0"/>
        <w:autoSpaceDN w:val="0"/>
        <w:adjustRightInd w:val="0"/>
        <w:rPr>
          <w:rFonts w:ascii="Arial TUR" w:hAnsi="Arial TUR" w:cs="FrankRuehl"/>
          <w:spacing w:val="10"/>
          <w:szCs w:val="28"/>
          <w:rtl/>
        </w:rPr>
      </w:pPr>
    </w:p>
    <w:p w:rsidR="005366A8" w:rsidRPr="00AB2D28" w:rsidRDefault="005366A8" w:rsidP="005366A8">
      <w:pPr>
        <w:autoSpaceDE w:val="0"/>
        <w:autoSpaceDN w:val="0"/>
        <w:adjustRightInd w:val="0"/>
        <w:rPr>
          <w:rFonts w:ascii="Arial TUR" w:hAnsi="Arial TUR" w:cs="FrankRuehl"/>
          <w:spacing w:val="10"/>
          <w:rtl/>
        </w:rPr>
      </w:pPr>
      <w:r w:rsidRPr="00AB2D28">
        <w:rPr>
          <w:rFonts w:ascii="Arial TUR" w:hAnsi="Arial TUR" w:cs="FrankRuehl" w:hint="cs"/>
          <w:spacing w:val="10"/>
          <w:rtl/>
        </w:rPr>
        <w:t>מתוך פסק הדין:</w:t>
      </w:r>
    </w:p>
    <w:p w:rsidR="005366A8" w:rsidRPr="00D010DB" w:rsidRDefault="005366A8" w:rsidP="005366A8">
      <w:pPr>
        <w:autoSpaceDE w:val="0"/>
        <w:autoSpaceDN w:val="0"/>
        <w:adjustRightInd w:val="0"/>
        <w:rPr>
          <w:rFonts w:ascii="Arial TUR" w:hAnsi="Arial TUR" w:cs="FrankRuehl"/>
          <w:spacing w:val="10"/>
          <w:sz w:val="22"/>
          <w:szCs w:val="22"/>
          <w:rtl/>
        </w:rPr>
      </w:pPr>
      <w:r w:rsidRPr="00D010DB">
        <w:rPr>
          <w:rFonts w:ascii="Arial TUR" w:hAnsi="Arial TUR" w:cs="FrankRuehl" w:hint="cs"/>
          <w:spacing w:val="10"/>
          <w:sz w:val="22"/>
          <w:szCs w:val="22"/>
          <w:rtl/>
        </w:rPr>
        <w:t xml:space="preserve">העורר נעצר ביום 5.10.2007 בחשד לעבירה של חברות בהתאגדות בלתי-חוקית (על-פי </w:t>
      </w:r>
      <w:r w:rsidRPr="00D010DB">
        <w:rPr>
          <w:rFonts w:ascii="Arial TUR" w:hAnsi="Arial TUR" w:cs="FrankRuehl" w:hint="cs"/>
          <w:spacing w:val="10"/>
          <w:sz w:val="22"/>
          <w:szCs w:val="22"/>
          <w:highlight w:val="yellow"/>
          <w:rtl/>
        </w:rPr>
        <w:t>תקנה 85(א) לתקנות ההגנה (שעת חירום) 1945</w:t>
      </w:r>
      <w:r w:rsidRPr="00D010DB">
        <w:rPr>
          <w:rFonts w:ascii="Arial TUR" w:hAnsi="Arial TUR" w:cs="FrankRuehl" w:hint="cs"/>
          <w:spacing w:val="10"/>
          <w:sz w:val="22"/>
          <w:szCs w:val="22"/>
          <w:rtl/>
        </w:rPr>
        <w:t>).</w:t>
      </w:r>
    </w:p>
    <w:p w:rsidR="005366A8" w:rsidRPr="00D010DB" w:rsidRDefault="005366A8" w:rsidP="005366A8">
      <w:pPr>
        <w:autoSpaceDE w:val="0"/>
        <w:autoSpaceDN w:val="0"/>
        <w:adjustRightInd w:val="0"/>
        <w:rPr>
          <w:rFonts w:ascii="David" w:cs="David"/>
          <w:sz w:val="22"/>
          <w:szCs w:val="22"/>
          <w:rtl/>
        </w:rPr>
      </w:pPr>
      <w:r w:rsidRPr="00D010DB">
        <w:rPr>
          <w:rFonts w:ascii="Arial TUR" w:hAnsi="Arial TUR" w:cs="FrankRuehl" w:hint="cs"/>
          <w:spacing w:val="10"/>
          <w:sz w:val="22"/>
          <w:szCs w:val="22"/>
          <w:rtl/>
        </w:rPr>
        <w:t xml:space="preserve">... החליט "הממונה" לדחות את פגישתו של העורר עם עורך-דין לתקופה של שלושה ימים (לפי הסמכות הקבועה </w:t>
      </w:r>
      <w:r w:rsidRPr="00D010DB">
        <w:rPr>
          <w:rFonts w:ascii="Arial TUR" w:hAnsi="Arial TUR" w:cs="FrankRuehl" w:hint="cs"/>
          <w:spacing w:val="10"/>
          <w:sz w:val="22"/>
          <w:szCs w:val="22"/>
          <w:highlight w:val="yellow"/>
          <w:rtl/>
        </w:rPr>
        <w:t>בסעיף 35 לחוק סדר הדין הפלילי (סמכויות אכיפה - מעצרים), התשנ"ו-1996</w:t>
      </w:r>
      <w:r w:rsidRPr="00D010DB">
        <w:rPr>
          <w:rFonts w:ascii="Arial TUR" w:hAnsi="Arial TUR" w:cs="FrankRuehl" w:hint="cs"/>
          <w:spacing w:val="10"/>
          <w:sz w:val="22"/>
          <w:szCs w:val="22"/>
          <w:rtl/>
        </w:rPr>
        <w:t xml:space="preserve"> (להלן: </w:t>
      </w:r>
      <w:r w:rsidRPr="00D010DB">
        <w:rPr>
          <w:rFonts w:cs="Miriam" w:hint="cs"/>
          <w:sz w:val="22"/>
          <w:szCs w:val="22"/>
          <w:rtl/>
        </w:rPr>
        <w:t>חוק המעצרים</w:t>
      </w:r>
      <w:r w:rsidRPr="00D010DB">
        <w:rPr>
          <w:rFonts w:ascii="Arial TUR" w:hAnsi="Arial TUR" w:cs="FrankRuehl" w:hint="cs"/>
          <w:spacing w:val="10"/>
          <w:sz w:val="22"/>
          <w:szCs w:val="22"/>
          <w:rtl/>
        </w:rPr>
        <w:t xml:space="preserve">) </w:t>
      </w:r>
      <w:r w:rsidRPr="00D010DB">
        <w:rPr>
          <w:rFonts w:ascii="Arial TUR" w:hAnsi="Arial TUR" w:cs="FrankRuehl" w:hint="cs"/>
          <w:spacing w:val="10"/>
          <w:sz w:val="22"/>
          <w:szCs w:val="22"/>
          <w:highlight w:val="yellow"/>
          <w:rtl/>
        </w:rPr>
        <w:t>ובתקנות סדר הדין הפלילי (סמכויות אכיפה - מעצרים) (דחיית פגישת עצור בעבירות בטחון עם עורך דין), התשנ"ז-1997)</w:t>
      </w:r>
      <w:r w:rsidRPr="00D010DB">
        <w:rPr>
          <w:rFonts w:ascii="Arial TUR" w:hAnsi="Arial TUR" w:cs="FrankRuehl" w:hint="cs"/>
          <w:spacing w:val="10"/>
          <w:sz w:val="22"/>
          <w:szCs w:val="22"/>
          <w:rtl/>
        </w:rPr>
        <w:t>.</w:t>
      </w:r>
    </w:p>
    <w:p w:rsidR="005366A8" w:rsidRPr="00D010DB" w:rsidRDefault="005366A8" w:rsidP="005366A8">
      <w:pPr>
        <w:autoSpaceDE w:val="0"/>
        <w:autoSpaceDN w:val="0"/>
        <w:adjustRightInd w:val="0"/>
        <w:rPr>
          <w:rFonts w:ascii="Arial TUR" w:hAnsi="Arial TUR" w:cs="FrankRuehl"/>
          <w:spacing w:val="10"/>
          <w:sz w:val="22"/>
          <w:szCs w:val="22"/>
          <w:rtl/>
        </w:rPr>
      </w:pPr>
      <w:r w:rsidRPr="00D010DB">
        <w:rPr>
          <w:rFonts w:ascii="Arial TUR" w:hAnsi="Arial TUR" w:cs="FrankRuehl" w:hint="cs"/>
          <w:spacing w:val="10"/>
          <w:sz w:val="22"/>
          <w:szCs w:val="22"/>
          <w:rtl/>
        </w:rPr>
        <w:t xml:space="preserve">..החליט בית משפט השלום בירושלים להאריך את מעצרו של העורר עד ליום [ ]. </w:t>
      </w:r>
    </w:p>
    <w:p w:rsidR="005366A8" w:rsidRPr="00D010DB" w:rsidRDefault="005366A8" w:rsidP="005366A8">
      <w:pPr>
        <w:autoSpaceDE w:val="0"/>
        <w:autoSpaceDN w:val="0"/>
        <w:adjustRightInd w:val="0"/>
        <w:rPr>
          <w:rFonts w:ascii="David" w:cs="David"/>
          <w:sz w:val="22"/>
          <w:szCs w:val="22"/>
          <w:rtl/>
        </w:rPr>
      </w:pPr>
      <w:r w:rsidRPr="00D010DB">
        <w:rPr>
          <w:rFonts w:ascii="Arial TUR" w:hAnsi="Arial TUR" w:cs="FrankRuehl" w:hint="cs"/>
          <w:spacing w:val="10"/>
          <w:sz w:val="22"/>
          <w:szCs w:val="22"/>
          <w:rtl/>
        </w:rPr>
        <w:t xml:space="preserve">העורר השיג על החלטה זו, והמשיבה מצדה הגישה בקשה לקיים את הדיון בערר שלא בנוכחות העצור, </w:t>
      </w:r>
      <w:r w:rsidRPr="00D010DB">
        <w:rPr>
          <w:rFonts w:ascii="Arial TUR" w:hAnsi="Arial TUR" w:cs="FrankRuehl" w:hint="cs"/>
          <w:spacing w:val="10"/>
          <w:sz w:val="22"/>
          <w:szCs w:val="22"/>
          <w:highlight w:val="yellow"/>
          <w:rtl/>
        </w:rPr>
        <w:t>לפי סעיף 5(2) לחוק</w:t>
      </w:r>
      <w:r w:rsidRPr="00D010DB">
        <w:rPr>
          <w:rFonts w:ascii="Arial TUR" w:hAnsi="Arial TUR" w:cs="FrankRuehl" w:hint="cs"/>
          <w:spacing w:val="10"/>
          <w:sz w:val="22"/>
          <w:szCs w:val="22"/>
          <w:rtl/>
        </w:rPr>
        <w:t>. זה המקום לצטט את סעיף 5 לחוק, כולו</w:t>
      </w:r>
      <w:r w:rsidRPr="00D010DB">
        <w:rPr>
          <w:rFonts w:ascii="David" w:cs="David" w:hint="cs"/>
          <w:sz w:val="22"/>
          <w:szCs w:val="22"/>
          <w:rtl/>
        </w:rPr>
        <w:t>.</w:t>
      </w:r>
    </w:p>
    <w:p w:rsidR="005366A8" w:rsidRPr="00D010DB" w:rsidRDefault="005366A8" w:rsidP="005366A8">
      <w:pPr>
        <w:autoSpaceDE w:val="0"/>
        <w:autoSpaceDN w:val="0"/>
        <w:adjustRightInd w:val="0"/>
        <w:rPr>
          <w:rFonts w:ascii="David" w:cs="David"/>
          <w:sz w:val="22"/>
          <w:szCs w:val="22"/>
          <w:rtl/>
        </w:rPr>
      </w:pPr>
    </w:p>
    <w:p w:rsidR="005366A8" w:rsidRPr="00361EC2" w:rsidRDefault="005366A8" w:rsidP="005366A8">
      <w:pPr>
        <w:autoSpaceDE w:val="0"/>
        <w:autoSpaceDN w:val="0"/>
        <w:adjustRightInd w:val="0"/>
        <w:spacing w:after="120"/>
        <w:rPr>
          <w:rFonts w:ascii="David" w:cs="David"/>
          <w:b/>
          <w:bCs/>
          <w:sz w:val="22"/>
          <w:szCs w:val="22"/>
          <w:rtl/>
        </w:rPr>
      </w:pPr>
      <w:r w:rsidRPr="00AA6918">
        <w:rPr>
          <w:rFonts w:ascii="Arial TUR" w:hAnsi="Arial TUR" w:cs="David" w:hint="cs"/>
          <w:b/>
          <w:bCs/>
          <w:spacing w:val="10"/>
          <w:sz w:val="22"/>
          <w:szCs w:val="22"/>
          <w:highlight w:val="yellow"/>
          <w:rtl/>
        </w:rPr>
        <w:t>סעיף 5 לחוק סדר הדין הפלילי (עצור החשוד בעבירת ביטחון) (הוראת שעה), התשס"ו-2006</w:t>
      </w:r>
    </w:p>
    <w:p w:rsidR="005366A8" w:rsidRPr="00361EC2" w:rsidRDefault="005366A8" w:rsidP="005366A8">
      <w:pPr>
        <w:overflowPunct w:val="0"/>
        <w:autoSpaceDE w:val="0"/>
        <w:autoSpaceDN w:val="0"/>
        <w:adjustRightInd w:val="0"/>
        <w:spacing w:after="120"/>
        <w:ind w:left="879" w:right="425"/>
        <w:rPr>
          <w:rFonts w:ascii="Arial TUR" w:hAnsi="Arial TUR" w:cs="David"/>
          <w:spacing w:val="10"/>
          <w:sz w:val="22"/>
          <w:szCs w:val="22"/>
          <w:rtl/>
        </w:rPr>
      </w:pPr>
      <w:r w:rsidRPr="00361EC2">
        <w:rPr>
          <w:rFonts w:ascii="Arial TUR" w:hAnsi="Arial TUR" w:cs="David" w:hint="cs"/>
          <w:spacing w:val="10"/>
          <w:sz w:val="22"/>
          <w:szCs w:val="22"/>
          <w:rtl/>
        </w:rPr>
        <w:t xml:space="preserve">5. </w:t>
      </w:r>
      <w:r w:rsidRPr="00361EC2">
        <w:rPr>
          <w:rFonts w:ascii="Arial TUR" w:hAnsi="Arial TUR" w:cs="David" w:hint="cs"/>
          <w:spacing w:val="10"/>
          <w:sz w:val="22"/>
          <w:szCs w:val="22"/>
          <w:highlight w:val="yellow"/>
          <w:rtl/>
        </w:rPr>
        <w:t>[דיון שלא בנוכחות עצור בעבירת ביטחון]</w:t>
      </w:r>
      <w:r w:rsidRPr="00361EC2">
        <w:rPr>
          <w:rFonts w:ascii="Arial TUR" w:hAnsi="Arial TUR" w:cs="David" w:hint="cs"/>
          <w:spacing w:val="10"/>
          <w:sz w:val="22"/>
          <w:szCs w:val="22"/>
          <w:rtl/>
        </w:rPr>
        <w:t xml:space="preserve"> </w:t>
      </w:r>
    </w:p>
    <w:p w:rsidR="005366A8" w:rsidRPr="00F35AFD" w:rsidRDefault="005366A8" w:rsidP="005366A8">
      <w:pPr>
        <w:overflowPunct w:val="0"/>
        <w:autoSpaceDE w:val="0"/>
        <w:autoSpaceDN w:val="0"/>
        <w:adjustRightInd w:val="0"/>
        <w:ind w:left="877" w:right="426"/>
        <w:rPr>
          <w:rFonts w:ascii="Arial TUR" w:hAnsi="Arial TUR" w:cs="David"/>
          <w:spacing w:val="10"/>
          <w:sz w:val="20"/>
          <w:szCs w:val="20"/>
          <w:rtl/>
        </w:rPr>
      </w:pPr>
      <w:r w:rsidRPr="00F35AFD">
        <w:rPr>
          <w:rFonts w:ascii="Arial TUR" w:hAnsi="Arial TUR" w:cs="David" w:hint="cs"/>
          <w:spacing w:val="10"/>
          <w:sz w:val="20"/>
          <w:szCs w:val="20"/>
          <w:rtl/>
        </w:rPr>
        <w:t xml:space="preserve">הוראות סעיפים 16(2) ו-57 לחוק המעצרים, לענין נוכחותו של עצור בדיונים כאמור באותם סעיפים, יחולו לגבי נוכחות עצור בעבירת ביטחון בתקופת המעצר כאמור בסעיף 4(1), בשינויים אלה: </w:t>
      </w:r>
    </w:p>
    <w:p w:rsidR="005366A8" w:rsidRPr="00F35AFD" w:rsidRDefault="005366A8" w:rsidP="005366A8">
      <w:pPr>
        <w:overflowPunct w:val="0"/>
        <w:autoSpaceDE w:val="0"/>
        <w:autoSpaceDN w:val="0"/>
        <w:adjustRightInd w:val="0"/>
        <w:ind w:left="877" w:right="426"/>
        <w:rPr>
          <w:rFonts w:ascii="Arial TUR" w:hAnsi="Arial TUR" w:cs="David"/>
          <w:spacing w:val="10"/>
          <w:sz w:val="20"/>
          <w:szCs w:val="20"/>
          <w:rtl/>
        </w:rPr>
      </w:pPr>
      <w:r w:rsidRPr="00F35AFD">
        <w:rPr>
          <w:rFonts w:ascii="Arial TUR" w:hAnsi="Arial TUR" w:cs="David" w:hint="cs"/>
          <w:spacing w:val="10"/>
          <w:sz w:val="20"/>
          <w:szCs w:val="20"/>
          <w:rtl/>
        </w:rPr>
        <w:t xml:space="preserve">(1) ציווה בית המשפט, בנוכחות עצור בעבירת ביטחון, על מעצרו לתקופה הקצרה מ-20 ימים, רשאי בית המשפט, </w:t>
      </w:r>
      <w:r w:rsidRPr="00F35AFD">
        <w:rPr>
          <w:rFonts w:ascii="Arial TUR" w:hAnsi="Arial TUR" w:cs="David" w:hint="cs"/>
          <w:spacing w:val="10"/>
          <w:sz w:val="20"/>
          <w:szCs w:val="20"/>
          <w:highlight w:val="yellow"/>
          <w:rtl/>
        </w:rPr>
        <w:t>שלא בנוכחות העצור</w:t>
      </w:r>
      <w:r w:rsidRPr="00F35AFD">
        <w:rPr>
          <w:rFonts w:ascii="Arial TUR" w:hAnsi="Arial TUR" w:cs="David" w:hint="cs"/>
          <w:spacing w:val="10"/>
          <w:sz w:val="20"/>
          <w:szCs w:val="20"/>
          <w:rtl/>
        </w:rPr>
        <w:t xml:space="preserve">, להאריך את מעצרו לתקופה שלא תעלה על יתרת התקופה שנותרה עד תום 20 ימים ממועד הדיון שהתקיים בנוכחותו, אם הוגשה לו בקשה לכך, באישור הגורם המאשר, והוא שוכנע כי הפסקת החקירה עלולה למנוע סיכול של עבירת ביטחון או סיכול של מניעת פגיעה בחיי אדם; </w:t>
      </w:r>
    </w:p>
    <w:p w:rsidR="005366A8" w:rsidRPr="00F35AFD" w:rsidRDefault="005366A8" w:rsidP="005366A8">
      <w:pPr>
        <w:overflowPunct w:val="0"/>
        <w:autoSpaceDE w:val="0"/>
        <w:autoSpaceDN w:val="0"/>
        <w:adjustRightInd w:val="0"/>
        <w:ind w:left="877" w:right="426"/>
        <w:rPr>
          <w:rFonts w:ascii="Arial TUR" w:hAnsi="Arial TUR" w:cs="David"/>
          <w:spacing w:val="10"/>
          <w:sz w:val="20"/>
          <w:szCs w:val="20"/>
          <w:rtl/>
        </w:rPr>
      </w:pPr>
      <w:r w:rsidRPr="00F35AFD">
        <w:rPr>
          <w:rFonts w:ascii="Arial TUR" w:hAnsi="Arial TUR" w:cs="David" w:hint="cs"/>
          <w:spacing w:val="10"/>
          <w:sz w:val="20"/>
          <w:szCs w:val="20"/>
          <w:rtl/>
        </w:rPr>
        <w:t xml:space="preserve">(2) בית המשפט רשאי להורות על דיון בבקשה לעיון חוזר לפי סעיף 52 לחוק המעצרים או בערר לפי סעיף 53 לחוק האמור, </w:t>
      </w:r>
      <w:r w:rsidRPr="00F35AFD">
        <w:rPr>
          <w:rFonts w:ascii="Arial TUR" w:hAnsi="Arial TUR" w:cs="David" w:hint="cs"/>
          <w:spacing w:val="10"/>
          <w:sz w:val="20"/>
          <w:szCs w:val="20"/>
          <w:highlight w:val="yellow"/>
          <w:rtl/>
        </w:rPr>
        <w:t>שלא בנוכחות העצור</w:t>
      </w:r>
      <w:r w:rsidRPr="00F35AFD">
        <w:rPr>
          <w:rFonts w:ascii="Arial TUR" w:hAnsi="Arial TUR" w:cs="David" w:hint="cs"/>
          <w:spacing w:val="10"/>
          <w:sz w:val="20"/>
          <w:szCs w:val="20"/>
          <w:rtl/>
        </w:rPr>
        <w:t xml:space="preserve">, אם הוגשה לו בקשה לכך באישור הגורם המאשר, והוא שוכנע כי הפסקת החקירה עלולה לפגוע פגיעה ממשית בחקירה; </w:t>
      </w:r>
    </w:p>
    <w:p w:rsidR="005366A8" w:rsidRPr="00F35AFD" w:rsidRDefault="005366A8" w:rsidP="005366A8">
      <w:pPr>
        <w:overflowPunct w:val="0"/>
        <w:autoSpaceDE w:val="0"/>
        <w:autoSpaceDN w:val="0"/>
        <w:adjustRightInd w:val="0"/>
        <w:ind w:left="877" w:right="426"/>
        <w:rPr>
          <w:rFonts w:ascii="Arial TUR" w:hAnsi="Arial TUR" w:cs="David"/>
          <w:spacing w:val="10"/>
          <w:sz w:val="20"/>
          <w:szCs w:val="20"/>
          <w:rtl/>
        </w:rPr>
      </w:pPr>
      <w:r w:rsidRPr="00F35AFD">
        <w:rPr>
          <w:rFonts w:ascii="Arial TUR" w:hAnsi="Arial TUR" w:cs="David" w:hint="cs"/>
          <w:spacing w:val="10"/>
          <w:sz w:val="20"/>
          <w:szCs w:val="20"/>
          <w:rtl/>
        </w:rPr>
        <w:t xml:space="preserve">(3) הוראות סעיף 15(ג) עד (ח) לחוק המעצרים יחולו, בשינויים המחויבים, גם על דיון בשאלת נוכחות העצור בהליכים כאמור בסעיף זה; </w:t>
      </w:r>
    </w:p>
    <w:p w:rsidR="005366A8" w:rsidRPr="00F35AFD" w:rsidRDefault="005366A8" w:rsidP="005366A8">
      <w:pPr>
        <w:overflowPunct w:val="0"/>
        <w:autoSpaceDE w:val="0"/>
        <w:autoSpaceDN w:val="0"/>
        <w:adjustRightInd w:val="0"/>
        <w:ind w:left="877" w:right="426"/>
        <w:rPr>
          <w:rFonts w:ascii="Arial TUR" w:hAnsi="Arial TUR" w:cs="David"/>
          <w:spacing w:val="10"/>
          <w:sz w:val="20"/>
          <w:szCs w:val="20"/>
          <w:rtl/>
        </w:rPr>
      </w:pPr>
      <w:r w:rsidRPr="00F35AFD">
        <w:rPr>
          <w:rFonts w:ascii="Arial TUR" w:hAnsi="Arial TUR" w:cs="David" w:hint="cs"/>
          <w:spacing w:val="10"/>
          <w:sz w:val="20"/>
          <w:szCs w:val="20"/>
          <w:rtl/>
        </w:rPr>
        <w:t>(4) החלטת בית משפט שהתקבלה בדיון שהתקיים שלא בנוכחות העצור בעבירת ביטחון לפי סעיף זה, תובא לידיעת העצור בהקדם האפשרי, אלא אם כן הורה בית המשפט אחרת, לבקשת נציג המדינה, אם שוכנע כי הדבר עלול למנוע סיכול של עבירת ביטחון או סיכול של מניעת פגיעה בחיי אדם.</w:t>
      </w:r>
    </w:p>
    <w:p w:rsidR="005366A8" w:rsidRPr="00693A6D" w:rsidRDefault="005366A8" w:rsidP="005366A8">
      <w:pPr>
        <w:tabs>
          <w:tab w:val="left" w:pos="800"/>
        </w:tabs>
        <w:overflowPunct w:val="0"/>
        <w:autoSpaceDE w:val="0"/>
        <w:autoSpaceDN w:val="0"/>
        <w:adjustRightInd w:val="0"/>
        <w:rPr>
          <w:rFonts w:ascii="Arial TUR" w:hAnsi="Arial TUR" w:cs="FrankRuehl"/>
          <w:spacing w:val="10"/>
          <w:szCs w:val="28"/>
          <w:rtl/>
        </w:rPr>
      </w:pPr>
    </w:p>
    <w:p w:rsidR="005366A8" w:rsidRPr="007B6A54" w:rsidRDefault="005366A8" w:rsidP="005366A8">
      <w:pPr>
        <w:autoSpaceDE w:val="0"/>
        <w:autoSpaceDN w:val="0"/>
        <w:adjustRightInd w:val="0"/>
        <w:spacing w:after="120"/>
        <w:rPr>
          <w:rFonts w:cs="David"/>
          <w:b/>
          <w:bCs/>
          <w:sz w:val="22"/>
          <w:szCs w:val="22"/>
          <w:rtl/>
        </w:rPr>
      </w:pPr>
      <w:r w:rsidRPr="007B6A54">
        <w:rPr>
          <w:rFonts w:ascii="Arial" w:hAnsi="Arial" w:cs="Arial"/>
          <w:b/>
          <w:bCs/>
          <w:sz w:val="22"/>
          <w:szCs w:val="22"/>
          <w:rtl/>
        </w:rPr>
        <w:t>חוק יסוד: כבוד האדם וחירותו</w:t>
      </w:r>
    </w:p>
    <w:p w:rsidR="005366A8" w:rsidRDefault="005366A8" w:rsidP="005366A8">
      <w:pPr>
        <w:autoSpaceDE w:val="0"/>
        <w:autoSpaceDN w:val="0"/>
        <w:adjustRightInd w:val="0"/>
        <w:spacing w:after="120"/>
        <w:ind w:left="720"/>
        <w:rPr>
          <w:rFonts w:cs="David"/>
          <w:color w:val="000000"/>
          <w:sz w:val="22"/>
          <w:szCs w:val="22"/>
          <w:rtl/>
        </w:rPr>
      </w:pPr>
      <w:r>
        <w:rPr>
          <w:rFonts w:cs="David" w:hint="cs"/>
          <w:color w:val="000000"/>
          <w:sz w:val="22"/>
          <w:szCs w:val="22"/>
          <w:rtl/>
        </w:rPr>
        <w:t xml:space="preserve">2. </w:t>
      </w:r>
      <w:r w:rsidRPr="00003401">
        <w:rPr>
          <w:rFonts w:cs="David"/>
          <w:color w:val="000000"/>
          <w:sz w:val="22"/>
          <w:szCs w:val="22"/>
          <w:rtl/>
        </w:rPr>
        <w:t>אין פוגעים בחייו, בגופו, או בכבודו של אדם באשר הוא אדם.</w:t>
      </w:r>
    </w:p>
    <w:p w:rsidR="005366A8" w:rsidRDefault="005366A8" w:rsidP="005366A8">
      <w:pPr>
        <w:autoSpaceDE w:val="0"/>
        <w:autoSpaceDN w:val="0"/>
        <w:adjustRightInd w:val="0"/>
        <w:spacing w:after="120"/>
        <w:ind w:left="720"/>
        <w:rPr>
          <w:rFonts w:cs="David"/>
          <w:color w:val="000000"/>
          <w:sz w:val="22"/>
          <w:szCs w:val="22"/>
          <w:rtl/>
        </w:rPr>
      </w:pPr>
      <w:r>
        <w:rPr>
          <w:rFonts w:cs="David" w:hint="cs"/>
          <w:color w:val="000000"/>
          <w:sz w:val="22"/>
          <w:szCs w:val="22"/>
          <w:rtl/>
        </w:rPr>
        <w:t xml:space="preserve">4. </w:t>
      </w:r>
      <w:r w:rsidRPr="00003401">
        <w:rPr>
          <w:rFonts w:cs="David"/>
          <w:color w:val="000000"/>
          <w:sz w:val="22"/>
          <w:szCs w:val="22"/>
          <w:rtl/>
        </w:rPr>
        <w:t>כל אדם זכאי להגנה על חייו, על גופו ועל כבודו.</w:t>
      </w:r>
    </w:p>
    <w:p w:rsidR="005366A8" w:rsidRPr="007B6A54" w:rsidRDefault="005366A8" w:rsidP="005366A8">
      <w:pPr>
        <w:autoSpaceDE w:val="0"/>
        <w:autoSpaceDN w:val="0"/>
        <w:adjustRightInd w:val="0"/>
        <w:spacing w:after="120"/>
        <w:ind w:left="720"/>
        <w:rPr>
          <w:rFonts w:cs="David"/>
          <w:sz w:val="22"/>
          <w:szCs w:val="22"/>
          <w:rtl/>
        </w:rPr>
      </w:pPr>
      <w:r w:rsidRPr="007B6A54">
        <w:rPr>
          <w:rFonts w:cs="David"/>
          <w:color w:val="000000"/>
          <w:sz w:val="22"/>
          <w:szCs w:val="22"/>
          <w:rtl/>
        </w:rPr>
        <w:t>5. אין נוטלים ואין מגבילים את חירותו של אדם במאסר, במעצר, בהסגרה או בכל דרך אחרת.</w:t>
      </w:r>
    </w:p>
    <w:p w:rsidR="005366A8" w:rsidRPr="007B6A54" w:rsidRDefault="005366A8" w:rsidP="005366A8">
      <w:pPr>
        <w:autoSpaceDE w:val="0"/>
        <w:autoSpaceDN w:val="0"/>
        <w:adjustRightInd w:val="0"/>
        <w:spacing w:after="120"/>
        <w:ind w:left="720"/>
        <w:rPr>
          <w:rFonts w:cs="David"/>
          <w:sz w:val="22"/>
          <w:szCs w:val="22"/>
          <w:rtl/>
        </w:rPr>
      </w:pPr>
      <w:r w:rsidRPr="007B6A54">
        <w:rPr>
          <w:rFonts w:cs="David"/>
          <w:sz w:val="22"/>
          <w:szCs w:val="22"/>
          <w:rtl/>
        </w:rPr>
        <w:t xml:space="preserve">8. </w:t>
      </w:r>
      <w:r w:rsidRPr="00115E96">
        <w:rPr>
          <w:rFonts w:cs="David"/>
          <w:color w:val="000000"/>
          <w:sz w:val="22"/>
          <w:szCs w:val="22"/>
          <w:highlight w:val="yellow"/>
          <w:rtl/>
        </w:rPr>
        <w:t>אין פוגעים בזכויות שלפי חוק-יסוד זה אלא בחוק ההולם את ערכיה של מדינת ישראל, שנועד לתכלית ראויה, ובמידה שאינה עולה על הנדרש או לפי חוק כאמור מכוח הסמכה מפורשת בו.</w:t>
      </w:r>
    </w:p>
    <w:p w:rsidR="005366A8" w:rsidRDefault="005366A8" w:rsidP="005366A8">
      <w:pPr>
        <w:rPr>
          <w:rtl/>
        </w:rPr>
      </w:pPr>
    </w:p>
    <w:p w:rsidR="005366A8" w:rsidRDefault="005366A8" w:rsidP="005366A8">
      <w:pPr>
        <w:spacing w:after="120"/>
        <w:rPr>
          <w:rFonts w:cs="FrankRuehl"/>
          <w:rtl/>
        </w:rPr>
      </w:pPr>
      <w:r>
        <w:rPr>
          <w:rFonts w:ascii="Arial TUR" w:hAnsi="Arial TUR" w:cs="FrankRuehl" w:hint="cs"/>
          <w:b/>
          <w:bCs/>
          <w:spacing w:val="10"/>
          <w:u w:val="single"/>
          <w:rtl/>
        </w:rPr>
        <w:t>המשנה ל</w:t>
      </w:r>
      <w:r w:rsidRPr="009757EF">
        <w:rPr>
          <w:rFonts w:ascii="Arial TUR" w:hAnsi="Arial TUR" w:cs="FrankRuehl" w:hint="cs"/>
          <w:b/>
          <w:bCs/>
          <w:spacing w:val="10"/>
          <w:u w:val="single"/>
          <w:rtl/>
        </w:rPr>
        <w:t xml:space="preserve">נשיאה </w:t>
      </w:r>
      <w:r>
        <w:rPr>
          <w:rFonts w:ascii="Arial TUR" w:hAnsi="Arial TUR" w:cs="FrankRuehl" w:hint="cs"/>
          <w:b/>
          <w:bCs/>
          <w:spacing w:val="10"/>
          <w:u w:val="single"/>
          <w:rtl/>
        </w:rPr>
        <w:t>ריבלין</w:t>
      </w:r>
      <w:r>
        <w:rPr>
          <w:rFonts w:cs="FrankRuehl" w:hint="cs"/>
          <w:rtl/>
        </w:rPr>
        <w:t xml:space="preserve"> [הכרעת בית המשפט; ההדגשות הוספו, אלא אם כן מצוין אחרת]</w:t>
      </w:r>
    </w:p>
    <w:p w:rsidR="005366A8" w:rsidRDefault="005366A8" w:rsidP="005366A8">
      <w:pPr>
        <w:spacing w:after="60"/>
        <w:rPr>
          <w:rFonts w:cs="FrankRuehl"/>
          <w:rtl/>
        </w:rPr>
      </w:pPr>
      <w:r>
        <w:rPr>
          <w:rFonts w:cs="FrankRuehl" w:hint="cs"/>
          <w:rtl/>
        </w:rPr>
        <w:t xml:space="preserve">12. [...] </w:t>
      </w:r>
      <w:r w:rsidRPr="00D1006F">
        <w:rPr>
          <w:rFonts w:cs="FrankRuehl" w:hint="cs"/>
          <w:rtl/>
        </w:rPr>
        <w:t xml:space="preserve">החוק בנוסחו דהיום כולל מספר מרכיבים מרכזיים. מרכיב אחד עניינו הארכת פרק הזמן שבו ניתן להשהות את הבאתו של עצור בעבירת ביטחון לפני שופט – פרק זמן של עד 96 שעות במקום 24 שעות או 48 שעות כקבוע בחוק המעצרים (סעיף 3). מרכיב שני עניינו מתן סמכות לבית המשפט להאריך את מעצרו של העצור בעבירות ביטחון לתקופה של 20 ימים לכל היותר, בכל פעם – זאת חלף התקופה של 15 ימים הקבועה בחוק המעצרים (סעיף 4(1)). מרכיב שלישי עניינו הארכת התקופה שלגביה לא נדרש אישור היועץ המשפטי לממשלה בבקשה למעצר נוסף – עד 35 ימים, במקום 30 ימים לפי חוק המעצרים (סעיף 4(2)). </w:t>
      </w:r>
      <w:r w:rsidRPr="00D1006F">
        <w:rPr>
          <w:rFonts w:cs="FrankRuehl" w:hint="cs"/>
          <w:highlight w:val="yellow"/>
          <w:rtl/>
        </w:rPr>
        <w:t>מרכיב רביעי עוסק בענייננו-שלנו: קיום דיונים בנושא המעצר שלא בנוכחותו של העצור (סעיף 5).</w:t>
      </w:r>
      <w:r w:rsidRPr="00D1006F">
        <w:rPr>
          <w:rFonts w:cs="FrankRuehl" w:hint="cs"/>
          <w:rtl/>
        </w:rPr>
        <w:t xml:space="preserve"> החוק מוסיף וקובע כי דיון לפי סעיף 5 ייערך כאשר העצור מיוצג בידי סנגור (סעיף 6). כמו-כן נקבעו הוראות באשר לדיווח שימסור שר המשפטים לוועדת החוקה, חוק ומשפט של הכנסת, לגבי יישומו של החוק (סעיף 8)</w:t>
      </w:r>
      <w:r>
        <w:rPr>
          <w:rFonts w:cs="FrankRuehl" w:hint="cs"/>
          <w:rtl/>
        </w:rPr>
        <w:t>.</w:t>
      </w:r>
    </w:p>
    <w:p w:rsidR="005366A8" w:rsidRPr="00D1006F" w:rsidRDefault="005366A8" w:rsidP="005366A8">
      <w:pPr>
        <w:spacing w:after="60"/>
        <w:rPr>
          <w:rFonts w:cs="FrankRuehl"/>
          <w:b/>
          <w:bCs/>
          <w:rtl/>
        </w:rPr>
      </w:pPr>
      <w:r w:rsidRPr="00D1006F">
        <w:rPr>
          <w:rFonts w:cs="FrankRuehl"/>
          <w:b/>
          <w:bCs/>
          <w:rtl/>
        </w:rPr>
        <w:t>הזכות החוקתית להיות נוכח: במשפט הפלילי ובהליכי המעצר</w:t>
      </w:r>
    </w:p>
    <w:p w:rsidR="005366A8" w:rsidRDefault="005366A8" w:rsidP="005366A8">
      <w:pPr>
        <w:spacing w:after="60"/>
        <w:rPr>
          <w:rFonts w:cs="FrankRuehl"/>
          <w:rtl/>
        </w:rPr>
      </w:pPr>
      <w:r w:rsidRPr="00D1006F">
        <w:rPr>
          <w:rFonts w:cs="FrankRuehl"/>
          <w:rtl/>
        </w:rPr>
        <w:t>15.</w:t>
      </w:r>
      <w:r w:rsidRPr="00D1006F">
        <w:rPr>
          <w:rFonts w:cs="FrankRuehl"/>
          <w:rtl/>
        </w:rPr>
        <w:tab/>
        <w:t>העורר טוען כי הוראת השעה פוגעת בזכויות יסוד המוגנות מכוח חוק-יסוד: כבוד האדם וחירותו. טענה זו יש לקבל. כלל יסוד של המשפט הפלילי הוא כי אין אדם נשפט שלא בפניו.</w:t>
      </w:r>
      <w:r>
        <w:rPr>
          <w:rFonts w:cs="FrankRuehl" w:hint="cs"/>
          <w:rtl/>
        </w:rPr>
        <w:t xml:space="preserve"> [...] </w:t>
      </w:r>
      <w:r w:rsidRPr="00D1006F">
        <w:rPr>
          <w:rFonts w:cs="FrankRuehl" w:hint="cs"/>
          <w:rtl/>
        </w:rPr>
        <w:t>זכותו של נאשם להיות נוכח במשפטו, כך נקבע, באה להבטיח כי "נאשם לא יישפט 'מאחורי גבו' וכי תינתן לו ההזדמנות להתמודד עם ראיות התביעה ולפרוס את הגנתו"</w:t>
      </w:r>
      <w:r>
        <w:rPr>
          <w:rFonts w:cs="FrankRuehl" w:hint="cs"/>
          <w:rtl/>
        </w:rPr>
        <w:t>.</w:t>
      </w:r>
    </w:p>
    <w:p w:rsidR="005366A8" w:rsidRDefault="005366A8" w:rsidP="005366A8">
      <w:pPr>
        <w:spacing w:after="60"/>
        <w:rPr>
          <w:rFonts w:cs="FrankRuehl"/>
          <w:rtl/>
        </w:rPr>
      </w:pPr>
      <w:r w:rsidRPr="00D1006F">
        <w:rPr>
          <w:rFonts w:cs="FrankRuehl"/>
          <w:rtl/>
        </w:rPr>
        <w:t>16.</w:t>
      </w:r>
      <w:r w:rsidRPr="00D1006F">
        <w:rPr>
          <w:rFonts w:cs="FrankRuehl"/>
          <w:rtl/>
        </w:rPr>
        <w:tab/>
      </w:r>
      <w:r w:rsidRPr="00BD1638">
        <w:rPr>
          <w:rFonts w:cs="FrankRuehl"/>
          <w:highlight w:val="yellow"/>
          <w:rtl/>
        </w:rPr>
        <w:t>האם הזכות של נאשם להיות נוכח במשפטו – זכות חשובה ויסודית לכל הדעות – היא גם זכות בעלת מעמד חוקתי על-חוקי?</w:t>
      </w:r>
      <w:r w:rsidRPr="00D1006F">
        <w:rPr>
          <w:rFonts w:cs="FrankRuehl"/>
          <w:rtl/>
        </w:rPr>
        <w:t xml:space="preserve"> התשובה לשאלה זו היא בחיוב. בית המשפט העליון הכיר בזכות להליך הוגן, לפחות במרכיבים מסוימים שלה, כזכות חוקתית מוגנת. "חוק היסוד" – כך נפסק – "ביצר את זכותו של הנאשם למשפט הוגן. זאת, מכוח סעיף 5 לחוק היסוד, שבו עוגנה זכותו של אדם לחירות, וכן מכוח ההכרה החוקתית בכבוד האדם, שזכותו של נאשם למשפט הוגן היא חלק ממנו"</w:t>
      </w:r>
      <w:r w:rsidRPr="00D1006F">
        <w:rPr>
          <w:rFonts w:cs="FrankRuehl" w:hint="cs"/>
          <w:rtl/>
        </w:rPr>
        <w:t>.</w:t>
      </w:r>
      <w:r>
        <w:rPr>
          <w:rFonts w:cs="FrankRuehl" w:hint="cs"/>
          <w:rtl/>
        </w:rPr>
        <w:t xml:space="preserve"> [...]</w:t>
      </w:r>
    </w:p>
    <w:p w:rsidR="005366A8" w:rsidRDefault="005366A8" w:rsidP="005366A8">
      <w:pPr>
        <w:spacing w:after="60"/>
        <w:rPr>
          <w:rFonts w:cs="FrankRuehl"/>
          <w:rtl/>
        </w:rPr>
      </w:pPr>
      <w:r w:rsidRPr="00D1006F">
        <w:rPr>
          <w:rFonts w:cs="FrankRuehl"/>
          <w:rtl/>
        </w:rPr>
        <w:t>19.</w:t>
      </w:r>
      <w:r w:rsidRPr="00D1006F">
        <w:rPr>
          <w:rFonts w:cs="FrankRuehl"/>
          <w:rtl/>
        </w:rPr>
        <w:tab/>
        <w:t>האם גם לחשוד או לעצור עומדת הזכות החוקתית להיות נוכח בהליכי מעצרו, כחלק מן הזכות להליך הוגן? תשובתי לשאלה זו היא בחיוב. ככלל, הזכות להליך פלילי הוגן מתפרסת על כל שלביו של ההליך הפלילי - "אם בשלב החקירה ואם בשלב המשפט" (דברי השופט ברק ע"פ 951/80 קניר נ' מדינת ישראל, פ"ד לה(3) 505, 516 (1981); דברי הנשיאה ביניש בעניין יששכרוב הנ"ל, פס' 66). הדברים יפים במיוחד לגבי הליך המעצר, שהוא "הצורה הקשה ביותר של פגיעה בחירות האישית" (עניין צמח הנ"ל, פס' 17 לפסק-דינו של השופט זמיר). הליך המעצר עצמו הוא הליך הכרוך בפגיעה קשה בזכויותיו של החשוד או הנאשם. הביקורת השיפוטית האפקטיבית היא חלק בלתי-נפרד מהליך המעצר החוקתי. על כן, שמירה על הליך מעצר הוגן היא עקרון חוקתי יסודי המתחייב מן ההגנה על הזכות לחירות ולכבוד. נוכחותו של החשוד או הנאשם בהליך המעצר היא חלק מן ההליך ההוגן. זכות זו לנוכחות בהליך המעצר מעוגנת בסעיפים 16(2) ו- 57 לחוק המעצרים, והיא מהווה גם, לאור הטעמים שנמנו לעיל, זכות חוקתית הזוכה להגנה בחוק-היסוד</w:t>
      </w:r>
      <w:r>
        <w:rPr>
          <w:rFonts w:cs="FrankRuehl" w:hint="cs"/>
          <w:rtl/>
        </w:rPr>
        <w:t>. [...]</w:t>
      </w:r>
    </w:p>
    <w:p w:rsidR="005366A8" w:rsidRPr="00A44E40" w:rsidRDefault="005366A8" w:rsidP="005366A8">
      <w:pPr>
        <w:spacing w:after="60"/>
        <w:rPr>
          <w:rFonts w:cs="FrankRuehl"/>
          <w:b/>
          <w:bCs/>
          <w:rtl/>
        </w:rPr>
      </w:pPr>
      <w:r w:rsidRPr="00A44E40">
        <w:rPr>
          <w:rFonts w:cs="FrankRuehl"/>
          <w:b/>
          <w:bCs/>
          <w:rtl/>
        </w:rPr>
        <w:t>תכלית הוראת השעה</w:t>
      </w:r>
    </w:p>
    <w:p w:rsidR="005366A8" w:rsidRPr="00D1006F" w:rsidRDefault="005366A8" w:rsidP="005366A8">
      <w:pPr>
        <w:spacing w:after="60"/>
        <w:rPr>
          <w:rFonts w:cs="FrankRuehl"/>
          <w:rtl/>
        </w:rPr>
      </w:pPr>
      <w:r w:rsidRPr="00D1006F">
        <w:rPr>
          <w:rFonts w:cs="FrankRuehl"/>
          <w:rtl/>
        </w:rPr>
        <w:t>23.</w:t>
      </w:r>
      <w:r w:rsidRPr="00D1006F">
        <w:rPr>
          <w:rFonts w:cs="FrankRuehl"/>
          <w:rtl/>
        </w:rPr>
        <w:tab/>
        <w:t xml:space="preserve">תכליתו המרכזית של החוק, כאמור, היא לשפר את היכולת של גורמי האכיפה לבצע חקירה אפקטיבית בתחום עבירות הביטחון, בהתחשב במאפיינים המיוחדים של עבירות אלה, ובכלל זה הקושי באיסוף מידע והצורך לפעול לסיכול פעולות טרור. זו גם תכליתו של סעיף 5 העומד לבחינה חוקתית לפנינו. </w:t>
      </w:r>
      <w:r>
        <w:rPr>
          <w:rFonts w:cs="FrankRuehl" w:hint="cs"/>
          <w:rtl/>
        </w:rPr>
        <w:t>...</w:t>
      </w:r>
      <w:r w:rsidRPr="00D1006F">
        <w:rPr>
          <w:rFonts w:cs="FrankRuehl"/>
          <w:rtl/>
        </w:rPr>
        <w:t xml:space="preserve"> </w:t>
      </w:r>
      <w:r w:rsidRPr="00361EC2">
        <w:rPr>
          <w:rFonts w:cs="FrankRuehl"/>
          <w:highlight w:val="yellow"/>
          <w:rtl/>
        </w:rPr>
        <w:t>הועלתה לפנינו טענה כי החוק מופעל למעשה נגד חשודים פלסטינים בלבד, וכי בכך יש משום פגיעה בזכות לשוויון, אולם הנושא לא לובן דיו במסגרת ההליך שלפנינו ולאור המסקנה שאליה הגענו לא ראינו להרחיב לגביו.</w:t>
      </w:r>
      <w:r w:rsidRPr="00D1006F">
        <w:rPr>
          <w:rFonts w:cs="FrankRuehl"/>
          <w:rtl/>
        </w:rPr>
        <w:t xml:space="preserve"> </w:t>
      </w:r>
    </w:p>
    <w:p w:rsidR="005366A8" w:rsidRPr="00D1006F" w:rsidRDefault="005366A8" w:rsidP="005366A8">
      <w:pPr>
        <w:spacing w:after="60"/>
        <w:rPr>
          <w:rFonts w:cs="FrankRuehl"/>
          <w:rtl/>
        </w:rPr>
      </w:pPr>
      <w:r w:rsidRPr="00D1006F">
        <w:rPr>
          <w:rFonts w:cs="FrankRuehl"/>
          <w:rtl/>
        </w:rPr>
        <w:t>24.</w:t>
      </w:r>
      <w:r w:rsidRPr="00D1006F">
        <w:rPr>
          <w:rFonts w:cs="FrankRuehl"/>
          <w:rtl/>
        </w:rPr>
        <w:tab/>
        <w:t xml:space="preserve">הדגש המרכזי של הוראת השעה – ושל סעיף 5 בפרט – נעוץ בצורך לקיים חקירה מהירה, רציפה ויעילה. המשיבה מסבירה כי החקירות של שירות הביטחון הכללי בעבירות ביטחון נועדו, כמטרה מרכזית ועיקרית, לחשוף התארגנויות טרור ולסכל פעולות טרור עתידיות. חקירה מסוג זה, הצופה פני-עתיד, חייבת להיעשות בצורה מהירה, בין היתר על-מנת למנוע מבעוד מועד פעילות טרור מתוכננת, או לאתר ולתפוס פעילי טרור נוספים, נשק ואמצעי חבלה – הכול לפני העברתם למקום מסתור אחר. המשיבה הוסיפה ופירטה לפנינו, במעמד צד אחד, את הסיבות המבצעיות שלפי תפיסתה מחייבות חקירה תקינה, רציפה ומהירה – ללא עיכובים והפרעות. עוד פורטו, בעיקר במסגרת טיעונים שנשמעו במעמד צד אחד, שיטות החקירה המיוחדות המאפיינות חקירות מהסוג הנדון, הדורשות זמן ומחייבות רצף חקירתי.  </w:t>
      </w:r>
      <w:r>
        <w:rPr>
          <w:rFonts w:cs="FrankRuehl" w:hint="cs"/>
          <w:rtl/>
        </w:rPr>
        <w:t>[...]</w:t>
      </w:r>
    </w:p>
    <w:p w:rsidR="005366A8" w:rsidRDefault="005366A8" w:rsidP="005366A8">
      <w:pPr>
        <w:spacing w:after="60"/>
        <w:rPr>
          <w:rFonts w:cs="FrankRuehl"/>
          <w:rtl/>
        </w:rPr>
      </w:pPr>
      <w:r w:rsidRPr="00D1006F">
        <w:rPr>
          <w:rFonts w:cs="FrankRuehl" w:hint="cs"/>
          <w:rtl/>
        </w:rPr>
        <w:t>25.</w:t>
      </w:r>
      <w:r w:rsidRPr="00D1006F">
        <w:rPr>
          <w:rFonts w:cs="FrankRuehl" w:hint="cs"/>
          <w:rtl/>
        </w:rPr>
        <w:tab/>
      </w:r>
      <w:r w:rsidRPr="00907D35">
        <w:rPr>
          <w:rFonts w:cs="FrankRuehl" w:hint="cs"/>
          <w:highlight w:val="yellow"/>
          <w:rtl/>
        </w:rPr>
        <w:t>על רקע הסברים אלו ניתן לקבוע כי סעיף 5 נחקק לתכלית ראויה</w:t>
      </w:r>
      <w:r w:rsidRPr="00D1006F">
        <w:rPr>
          <w:rFonts w:cs="FrankRuehl" w:hint="cs"/>
          <w:rtl/>
        </w:rPr>
        <w:t>.</w:t>
      </w:r>
      <w:r>
        <w:rPr>
          <w:rFonts w:cs="FrankRuehl" w:hint="cs"/>
          <w:rtl/>
        </w:rPr>
        <w:t xml:space="preserve"> [...]</w:t>
      </w:r>
    </w:p>
    <w:p w:rsidR="005366A8" w:rsidRPr="00A44E40" w:rsidRDefault="005366A8" w:rsidP="005366A8">
      <w:pPr>
        <w:spacing w:after="60"/>
        <w:rPr>
          <w:rFonts w:cs="FrankRuehl"/>
          <w:b/>
          <w:bCs/>
          <w:rtl/>
        </w:rPr>
      </w:pPr>
      <w:r w:rsidRPr="00A44E40">
        <w:rPr>
          <w:rFonts w:cs="FrankRuehl"/>
          <w:b/>
          <w:bCs/>
          <w:rtl/>
        </w:rPr>
        <w:t>מידתיות</w:t>
      </w:r>
    </w:p>
    <w:p w:rsidR="005366A8" w:rsidRDefault="005366A8" w:rsidP="005366A8">
      <w:pPr>
        <w:spacing w:after="60"/>
        <w:rPr>
          <w:rFonts w:cs="FrankRuehl"/>
          <w:rtl/>
        </w:rPr>
      </w:pPr>
      <w:r w:rsidRPr="00A44E40">
        <w:rPr>
          <w:rFonts w:cs="FrankRuehl"/>
          <w:rtl/>
        </w:rPr>
        <w:t>26.</w:t>
      </w:r>
      <w:r w:rsidRPr="00A44E40">
        <w:rPr>
          <w:rFonts w:cs="FrankRuehl"/>
          <w:rtl/>
        </w:rPr>
        <w:tab/>
      </w:r>
      <w:r w:rsidRPr="00BD1638">
        <w:rPr>
          <w:rFonts w:cs="FrankRuehl"/>
          <w:highlight w:val="yellow"/>
          <w:rtl/>
        </w:rPr>
        <w:t>מכוח הוראות פסקת ההגבלה, חוק הפוגע בזכות להליך הוגן – וכזה הוא החוק שלפנינו – הוא חוקתי רק אם הפגיעה בזכות היא במידה שאינה עולה על הנדרש. השאלה הצריכה תשובה כאן היא האם האמצעי שבחר בו המחוקק הוא מידתי ביחס לתכלית הראויה של החוק. הפסיקה בישראל, כמו גם בשיטות משפט אחרות, בוחנת את המידתיות לפי שלושה מבחני-משנה, המסייעים בקונקרטיזציה של אמת המידה הכללית</w:t>
      </w:r>
      <w:r w:rsidRPr="00A44E40">
        <w:rPr>
          <w:rFonts w:cs="FrankRuehl"/>
          <w:rtl/>
        </w:rPr>
        <w:t xml:space="preserve"> (ראו בג"ץ 5016/96 חורב נ' שר התחבורה, פ"ד נא(4) 1 (1997)). שלושת מבחני המשנה הם: מבחן הקשר הרציונאלי בין האמצעי שנבחר, הפוגע בזכות, לבין התכלית; מבחן האמצעי שפגיעתו פחותה; ולבסוף – מבחן האמצעי המידתי במובן הצר</w:t>
      </w:r>
      <w:r>
        <w:rPr>
          <w:rFonts w:cs="FrankRuehl" w:hint="cs"/>
          <w:rtl/>
        </w:rPr>
        <w:t xml:space="preserve"> [...]</w:t>
      </w:r>
    </w:p>
    <w:p w:rsidR="005366A8" w:rsidRPr="00A44E40" w:rsidRDefault="005366A8" w:rsidP="005366A8">
      <w:pPr>
        <w:spacing w:after="60"/>
        <w:rPr>
          <w:rFonts w:cs="FrankRuehl"/>
          <w:rtl/>
        </w:rPr>
      </w:pPr>
      <w:r w:rsidRPr="00A44E40">
        <w:rPr>
          <w:rFonts w:cs="FrankRuehl"/>
          <w:rtl/>
        </w:rPr>
        <w:t xml:space="preserve">בענייננו, שוכנענו על-ידי החומר שהוצג לנו כי קיים קשר של התאמה בין השגת תכליותיו של החוק לבין השימוש באמצעי של מניעת האפשרות של העצור להיות נוכח בדיוני מעצרו. סעיף 5 עצמו קובע כי ניתן להאריך מעצר שלא בנוכחות העצור רק כאשר בית המשפט "שוכנע כי הפסקת החקירה עלולה למנוע סיכול של עבירת ביטחון או סיכול של מניעת פגיעה בחיי אדם" (סעיף-קטן (1)); וכי ניתן לקיים דיון בבקשה לעיון חוזר או בערר שלא בנוכחות העצור רק כאשר בית המשפט "שוכנע כי הפסקת החקירה עלולה לפגוע פגיעה ממשית בחקירה" (סעיף-קטן (2)). כלומר, סעיף 5 יוצר בלשונו זיקה בין הפגיעה בזכות לבין הגשמת התכלית של קיום חקירה אפקטיבית לצורך סיכול עבירות ביטחון ופגיעה בחיי אדם. </w:t>
      </w:r>
      <w:r w:rsidRPr="0096402F">
        <w:rPr>
          <w:rFonts w:cs="FrankRuehl"/>
          <w:highlight w:val="yellow"/>
          <w:rtl/>
        </w:rPr>
        <w:t>אכן, הפסקת חקירה לצורך התייצבות בבית המשפט עלולה להקשות על החוקרים. כפי שנמסר לנו, היא עלולה לשבש יישום של שיטות חקירה מסוימות</w:t>
      </w:r>
      <w:r w:rsidRPr="00A44E40">
        <w:rPr>
          <w:rFonts w:cs="FrankRuehl"/>
          <w:rtl/>
        </w:rPr>
        <w:t xml:space="preserve">. </w:t>
      </w:r>
      <w:r w:rsidRPr="0096402F">
        <w:rPr>
          <w:rFonts w:cs="FrankRuehl"/>
          <w:highlight w:val="yellow"/>
          <w:rtl/>
        </w:rPr>
        <w:t>לכן</w:t>
      </w:r>
      <w:r w:rsidRPr="00A44E40">
        <w:rPr>
          <w:rFonts w:cs="FrankRuehl"/>
          <w:rtl/>
        </w:rPr>
        <w:t xml:space="preserve">, ניתן לומר שמתקיים קשר רציונאלי בין מניעת הפסקת החקירה (לפרק זמן מסוים) לבין השגת מטרות החקירה. </w:t>
      </w:r>
    </w:p>
    <w:p w:rsidR="005366A8" w:rsidRDefault="005366A8" w:rsidP="005366A8">
      <w:pPr>
        <w:spacing w:after="60"/>
        <w:rPr>
          <w:rFonts w:cs="FrankRuehl"/>
          <w:rtl/>
        </w:rPr>
      </w:pPr>
      <w:r w:rsidRPr="00A44E40">
        <w:rPr>
          <w:rFonts w:cs="FrankRuehl"/>
          <w:rtl/>
        </w:rPr>
        <w:t>27.</w:t>
      </w:r>
      <w:r w:rsidRPr="00A44E40">
        <w:rPr>
          <w:rFonts w:cs="FrankRuehl"/>
          <w:rtl/>
        </w:rPr>
        <w:tab/>
      </w:r>
      <w:r w:rsidRPr="00A44E40">
        <w:rPr>
          <w:rFonts w:cs="FrankRuehl"/>
          <w:highlight w:val="yellow"/>
          <w:rtl/>
        </w:rPr>
        <w:t>עם זאת, לא שוכנענו כי האמצעי שנבחר בסעיף 5 הוא האמצעי שפגיעתו הפחותה ביותר, או שמתקיים בסעיף זה איזון ראוי בין הפגיעה בזכות להליך הוגן – במובן של נוכחות העצור בדיוני המעצר – לבין השגת מטרות החקירה. ביסוד עמדתנו-זו ניצבים הנדבכים המצטברים שיפורטו להלן.</w:t>
      </w:r>
      <w:r w:rsidRPr="00A44E40">
        <w:rPr>
          <w:rFonts w:cs="FrankRuehl"/>
          <w:rtl/>
        </w:rPr>
        <w:cr/>
        <w:t>28.</w:t>
      </w:r>
      <w:r w:rsidRPr="00A44E40">
        <w:rPr>
          <w:rFonts w:cs="FrankRuehl"/>
          <w:rtl/>
        </w:rPr>
        <w:tab/>
      </w:r>
      <w:r w:rsidRPr="00A44E40">
        <w:rPr>
          <w:rFonts w:cs="FrankRuehl"/>
          <w:highlight w:val="yellow"/>
          <w:rtl/>
        </w:rPr>
        <w:t xml:space="preserve">הנדבך הראשון נוגע להיקף הפגיעה בזכות להליך הוגן ובביקורת השיפוטית האפקטיבית. הפגיעה בזכות להליך הוגן מכוח סעיף 5 לחוק היא פגיעה קשה. הנוכחות של עצור בהליכי המעצר היא כאמור מרכיב גרעיני בזכותו להליך הוגן. </w:t>
      </w:r>
      <w:r w:rsidRPr="00BD1638">
        <w:rPr>
          <w:rFonts w:cs="FrankRuehl"/>
          <w:b/>
          <w:bCs/>
          <w:highlight w:val="yellow"/>
          <w:rtl/>
        </w:rPr>
        <w:t>היעדרותו מן ההליך מעלה חשש לפגיעה ביכולתו להתגונן מפני הטענות המבססות את עילת המעצר, כמו-גם להעלות לפני בית המשפט טענות בעניין תנאי המעצר ודרך ביצוע החקירה. היא גם מאיינת את יכולתו של בית המשפט לחזות במו עיניו בעצור ולעמוד על מצבו. חשש זה מועצם במידה רבה כאשר מדובר בחשוד בעבירות ביטחון, אשר יכולתו להתגונן בהליכי המעצר מוגבלת מכוח אמצעים אחרים שניתן להפעיל כלפיו.</w:t>
      </w:r>
      <w:r>
        <w:rPr>
          <w:rFonts w:cs="FrankRuehl" w:hint="cs"/>
          <w:rtl/>
        </w:rPr>
        <w:t xml:space="preserve"> [...]</w:t>
      </w:r>
    </w:p>
    <w:p w:rsidR="005366A8" w:rsidRPr="004E06A2" w:rsidRDefault="005366A8" w:rsidP="005366A8">
      <w:pPr>
        <w:spacing w:after="60"/>
        <w:rPr>
          <w:rFonts w:cs="FrankRuehl"/>
          <w:rtl/>
        </w:rPr>
      </w:pPr>
      <w:r>
        <w:rPr>
          <w:rFonts w:cs="FrankRuehl" w:hint="cs"/>
          <w:rtl/>
        </w:rPr>
        <w:t>30.</w:t>
      </w:r>
      <w:r>
        <w:rPr>
          <w:rFonts w:cs="FrankRuehl" w:hint="cs"/>
          <w:rtl/>
        </w:rPr>
        <w:tab/>
      </w:r>
      <w:r w:rsidRPr="00361EC2">
        <w:rPr>
          <w:rFonts w:cs="FrankRuehl" w:hint="cs"/>
          <w:highlight w:val="yellow"/>
          <w:rtl/>
        </w:rPr>
        <w:t>כאשר עורך-הדין לא פגש בעצור, ובית המשפט מנוע אף הוא מלהציג שאלות לעצור ולברר עניינים הטעונים בירור, נוצרת מגבלה ממשית על האפשרות לקיים ביקורת שיפוטית אפקטיבית והוגנת. בית המשפט נסמך למעשה על עמדתו ועל דבריו של צד אחד בלבד. תוצאה זו קשה היא לאור מאפייניו של ההליך המשפטי התקין ולאור הנושא שעל הפרק – הגבלת חירותו של אדם</w:t>
      </w:r>
      <w:r>
        <w:rPr>
          <w:rFonts w:cs="FrankRuehl" w:hint="cs"/>
          <w:rtl/>
        </w:rPr>
        <w:t xml:space="preserve"> ...</w:t>
      </w:r>
    </w:p>
    <w:p w:rsidR="005366A8" w:rsidRDefault="005366A8" w:rsidP="005366A8">
      <w:pPr>
        <w:spacing w:after="60"/>
        <w:rPr>
          <w:rFonts w:cs="FrankRuehl"/>
          <w:highlight w:val="yellow"/>
          <w:rtl/>
        </w:rPr>
      </w:pPr>
      <w:r w:rsidRPr="004E06A2">
        <w:rPr>
          <w:rFonts w:cs="FrankRuehl" w:hint="cs"/>
          <w:rtl/>
        </w:rPr>
        <w:t xml:space="preserve">בדומה, לא ניתן להתעלם מכך שלפי הדין הקיים, בהליכי המעצר מוצג תכופות לבית המשפט חומר במעמד צד אחד. למותר לציין כי בכך לבד יש משום פגיעה ביכולתו של העצור להתגונן. בכך לבד יש משום פרקטיקה שגם אם היא הכרחית במקרים מסוימים, מקשה היא על העצור לנהל את הגנתו ועל בית המשפט לפסוק על-פי הכללים הרגילים המנחים אותנו. בתי המשפט נוקטים בהקשר זה באמצעים שונים לצמצום הפגיעה בזכויות העצור, בין השאר על-ידי כך שלאחר הדיון במעמד צד אחד נמסר לעצור או לבא-כוחו כל המידע שניתן למסור אותו. </w:t>
      </w:r>
      <w:r w:rsidRPr="00907D35">
        <w:rPr>
          <w:rFonts w:cs="FrankRuehl" w:hint="cs"/>
          <w:highlight w:val="yellow"/>
          <w:rtl/>
        </w:rPr>
        <w:t>ברי כי היכולת למזער את הפגיעה בזכויות העצור, במובן של מתן אפשרות להגיב למידע בעניינו, נחלשת כאשר העצור אינו נוכח וסנגורו – לעיתים תכופות – טרם פגש בו</w:t>
      </w:r>
      <w:r>
        <w:rPr>
          <w:rFonts w:cs="FrankRuehl" w:hint="cs"/>
          <w:rtl/>
        </w:rPr>
        <w:t>.</w:t>
      </w:r>
      <w:r w:rsidRPr="007D3E8F">
        <w:rPr>
          <w:rFonts w:cs="FrankRuehl" w:hint="cs"/>
          <w:highlight w:val="yellow"/>
          <w:rtl/>
        </w:rPr>
        <w:t xml:space="preserve"> </w:t>
      </w:r>
    </w:p>
    <w:p w:rsidR="005366A8" w:rsidRPr="00E019D9" w:rsidRDefault="005366A8" w:rsidP="005366A8">
      <w:pPr>
        <w:spacing w:after="60"/>
        <w:rPr>
          <w:rFonts w:cs="FrankRuehl"/>
          <w:highlight w:val="yellow"/>
          <w:rtl/>
        </w:rPr>
      </w:pPr>
      <w:r w:rsidRPr="007D3E8F">
        <w:rPr>
          <w:rFonts w:cs="FrankRuehl"/>
          <w:highlight w:val="yellow"/>
          <w:rtl/>
        </w:rPr>
        <w:t xml:space="preserve">כפי שציינתי, יש לדחות את טענת המשיבה כי לאור המגבלות השונות המוטלות מכוח דינים אחרים על היכולת של חשוד בעבירות ביטחון להתגונן – למשל מגבלת החשיפה לעיקרי התשתית הראייתית – תוספת הפגיעה עקב אי-הנוכחות בדיון המשפטי "אינה גדולה". טענה זו עלולה להישמע כאילו פגיעה קיימת בזכויותיו של החשוד ובהליך המשפטי התקין מחלישה את הטענה כנגד פגיעה נוספת באפשרות של החשוד להתגונן ובאפשרות של בית המשפט לברר את העובדות והנתונים לאשורם. אם לכך כיוונה המשיבה הרי שיש לדחות את הטענה בשתי ידיים. גם בהליך הנסב על מעצרם של חשודים בעבירות ביטחון יש לשמר את הביקורת השיפוטית הממשית. </w:t>
      </w:r>
      <w:r>
        <w:rPr>
          <w:rFonts w:cs="FrankRuehl" w:hint="cs"/>
          <w:highlight w:val="yellow"/>
          <w:rtl/>
        </w:rPr>
        <w:t>...</w:t>
      </w:r>
      <w:r w:rsidRPr="007D3E8F">
        <w:rPr>
          <w:rFonts w:cs="FrankRuehl"/>
          <w:highlight w:val="yellow"/>
          <w:rtl/>
        </w:rPr>
        <w:t xml:space="preserve"> </w:t>
      </w:r>
      <w:r w:rsidRPr="00E019D9">
        <w:rPr>
          <w:rFonts w:cs="FrankRuehl" w:hint="cs"/>
          <w:b/>
          <w:bCs/>
          <w:highlight w:val="yellow"/>
          <w:rtl/>
        </w:rPr>
        <w:t xml:space="preserve">כאשר זכות יסוד נפגעת במספר היבטים, או באופן הדרגתי, יתכן בהחלט </w:t>
      </w:r>
      <w:r w:rsidRPr="00004C88">
        <w:rPr>
          <w:rFonts w:cs="FrankRuehl" w:hint="cs"/>
          <w:b/>
          <w:bCs/>
          <w:rtl/>
        </w:rPr>
        <w:t xml:space="preserve">שהאפקט המצטבר </w:t>
      </w:r>
      <w:r w:rsidRPr="00E019D9">
        <w:rPr>
          <w:rFonts w:cs="FrankRuehl" w:hint="cs"/>
          <w:b/>
          <w:bCs/>
          <w:highlight w:val="yellow"/>
          <w:rtl/>
        </w:rPr>
        <w:t xml:space="preserve">הוא שיחצה את רף החוקתיות, באופן </w:t>
      </w:r>
      <w:r w:rsidRPr="00004C88">
        <w:rPr>
          <w:rFonts w:cs="FrankRuehl" w:hint="cs"/>
          <w:b/>
          <w:bCs/>
          <w:rtl/>
        </w:rPr>
        <w:t>ש"הפגיעה השולית" האחרונה</w:t>
      </w:r>
      <w:r w:rsidRPr="00E019D9">
        <w:rPr>
          <w:rFonts w:cs="FrankRuehl" w:hint="cs"/>
          <w:b/>
          <w:bCs/>
          <w:highlight w:val="yellow"/>
          <w:rtl/>
        </w:rPr>
        <w:t xml:space="preserve"> לא תוכל לעמוד</w:t>
      </w:r>
      <w:r w:rsidRPr="00E019D9">
        <w:rPr>
          <w:rFonts w:cs="FrankRuehl" w:hint="cs"/>
          <w:highlight w:val="yellow"/>
          <w:rtl/>
        </w:rPr>
        <w:t>.</w:t>
      </w:r>
    </w:p>
    <w:p w:rsidR="005366A8" w:rsidRPr="007D3E8F" w:rsidRDefault="005366A8" w:rsidP="005366A8">
      <w:pPr>
        <w:spacing w:after="60"/>
        <w:rPr>
          <w:rFonts w:cs="FrankRuehl"/>
          <w:highlight w:val="yellow"/>
          <w:rtl/>
        </w:rPr>
      </w:pPr>
      <w:r w:rsidRPr="007D3E8F">
        <w:rPr>
          <w:rFonts w:cs="FrankRuehl"/>
          <w:highlight w:val="yellow"/>
          <w:rtl/>
        </w:rPr>
        <w:t>31.</w:t>
      </w:r>
      <w:r w:rsidRPr="007D3E8F">
        <w:rPr>
          <w:rFonts w:cs="FrankRuehl"/>
          <w:highlight w:val="yellow"/>
          <w:rtl/>
        </w:rPr>
        <w:tab/>
        <w:t>מן המקובץ עולה כי הוראת סעיף 5, במיוחד כשהיא חוברת להוראות נוספות הקיימות בדין, עלולה דה-פקטו להוביל לבידודו של העצור מן ההליך המשפטי המתקיים בעניינו – הליך הנסב על פגיעה בזכות היסודית לחירות ממעצר. המשמעות של מכלול ההוראות הנוגעות לשלבי החקירה הראשוניים של חשודים בעבירות ביטחון עלולה להיות איון האפשרות לקיים ביקורת אפקטיבית מינימאלית על שמירת זכויותיו של העצור במסגרת הליכי המעצר והחקירה.</w:t>
      </w:r>
      <w:r>
        <w:rPr>
          <w:rFonts w:cs="FrankRuehl" w:hint="cs"/>
          <w:highlight w:val="yellow"/>
          <w:rtl/>
        </w:rPr>
        <w:t xml:space="preserve"> </w:t>
      </w:r>
      <w:r w:rsidRPr="007D3E8F">
        <w:rPr>
          <w:rFonts w:cs="FrankRuehl" w:hint="cs"/>
          <w:highlight w:val="yellow"/>
          <w:rtl/>
        </w:rPr>
        <w:t>[...]</w:t>
      </w:r>
    </w:p>
    <w:p w:rsidR="005366A8" w:rsidRDefault="005366A8" w:rsidP="005366A8">
      <w:pPr>
        <w:spacing w:after="60"/>
        <w:rPr>
          <w:rFonts w:cs="FrankRuehl"/>
          <w:rtl/>
        </w:rPr>
      </w:pPr>
      <w:r w:rsidRPr="007D3E8F">
        <w:rPr>
          <w:rFonts w:cs="FrankRuehl"/>
          <w:highlight w:val="yellow"/>
          <w:rtl/>
        </w:rPr>
        <w:t xml:space="preserve">הוראת סעיף 5 עלולה אפוא לפגוע פגיעה קשה בהליך המשפטי עצמו, באפקטיביות שלו ובהגינותו. היא פוגעת בזכותו של העצור להליך הוגן, הנגזרת מזכותו לחירות ולכבוד. יודגש: העובדה כי הוראת סעיף 5 לחוק מאפשרת למנוע את הבאתו של העצור לדיוני מעצרו רק לאחר שהתקיים דיון ראשון בנוכחותו, יש בה אמנם כדי למתן את הפגיעה אך לא יותר מכך. </w:t>
      </w:r>
      <w:r w:rsidRPr="007D3E8F">
        <w:rPr>
          <w:rFonts w:cs="FrankRuehl"/>
          <w:b/>
          <w:bCs/>
          <w:highlight w:val="yellow"/>
          <w:rtl/>
        </w:rPr>
        <w:t>הביקורת הרציפה על הליך המעצר לצורך חקירה חשובה לשמירת זכויות האדם, לפחות כפי שהחקירה הרציפה חשובה לצורך הגשמת מטרות החקירה.</w:t>
      </w:r>
      <w:r w:rsidRPr="007D3E8F">
        <w:rPr>
          <w:rFonts w:cs="FrankRuehl" w:hint="cs"/>
          <w:b/>
          <w:bCs/>
          <w:highlight w:val="yellow"/>
          <w:rtl/>
        </w:rPr>
        <w:t xml:space="preserve"> </w:t>
      </w:r>
      <w:r w:rsidRPr="007D3E8F">
        <w:rPr>
          <w:rFonts w:cs="FrankRuehl" w:hint="cs"/>
          <w:highlight w:val="yellow"/>
          <w:rtl/>
        </w:rPr>
        <w:t>[ההדגשה במקור].</w:t>
      </w:r>
    </w:p>
    <w:p w:rsidR="005366A8" w:rsidRPr="00A44E40" w:rsidRDefault="005366A8" w:rsidP="005366A8">
      <w:pPr>
        <w:spacing w:after="60"/>
        <w:rPr>
          <w:rFonts w:cs="FrankRuehl"/>
          <w:rtl/>
        </w:rPr>
      </w:pPr>
      <w:r>
        <w:rPr>
          <w:rFonts w:cs="FrankRuehl" w:hint="cs"/>
          <w:rtl/>
        </w:rPr>
        <w:t>32.</w:t>
      </w:r>
      <w:r>
        <w:rPr>
          <w:rFonts w:cs="FrankRuehl" w:hint="cs"/>
          <w:rtl/>
        </w:rPr>
        <w:tab/>
        <w:t xml:space="preserve">[...] </w:t>
      </w:r>
      <w:r w:rsidRPr="007D3E8F">
        <w:rPr>
          <w:rFonts w:cs="FrankRuehl"/>
          <w:rtl/>
        </w:rPr>
        <w:t xml:space="preserve">ככל שמבקשים לצמצם את הפגיעה בחקירה עקב הפסקתה לצורך קיום הליך שיפוטי, יש לבחון את האפשרות לעשות זאת בדרכים שפגיעתן בזכויות העצור פחותה. כך גם, אם קיים קושי להפסיק את החקירה כדי להביא את העצור לבית המשפט, יש לבחון דרכים לצמצום הקושי הזה, דרכים שהן מידתיות יותר מאשר מניעת נוכחותו של העצור בהליך. לעניין זה, עניין מבחן המשנה השני של המידתיות, נציין רק כי לא עלה בידי המשיב לשכנענו כי אין בנמצא דרכים אחרות שפגיעתן בזכויות העצור מעטה יותר, ושיש בהן, בה בעת, כדי להשיג את תכלית החקיקה; </w:t>
      </w:r>
      <w:r>
        <w:rPr>
          <w:rFonts w:cs="FrankRuehl" w:hint="cs"/>
          <w:rtl/>
        </w:rPr>
        <w:t>...</w:t>
      </w:r>
    </w:p>
    <w:p w:rsidR="005366A8" w:rsidRPr="009757EF" w:rsidRDefault="005366A8" w:rsidP="005366A8">
      <w:pPr>
        <w:spacing w:after="60"/>
        <w:rPr>
          <w:rFonts w:ascii="Arial TUR" w:hAnsi="Arial TUR" w:cs="FrankRuehl"/>
          <w:b/>
          <w:bCs/>
          <w:spacing w:val="10"/>
          <w:u w:val="single"/>
          <w:rtl/>
        </w:rPr>
      </w:pPr>
      <w:r w:rsidRPr="009757EF">
        <w:rPr>
          <w:rFonts w:ascii="Arial TUR" w:hAnsi="Arial TUR" w:cs="FrankRuehl" w:hint="cs"/>
          <w:b/>
          <w:bCs/>
          <w:spacing w:val="10"/>
          <w:u w:val="single"/>
          <w:rtl/>
        </w:rPr>
        <w:t>הנשיאה ביניש</w:t>
      </w:r>
    </w:p>
    <w:p w:rsidR="005366A8" w:rsidRDefault="005366A8" w:rsidP="005366A8">
      <w:pPr>
        <w:spacing w:after="60"/>
        <w:rPr>
          <w:rFonts w:ascii="Arial TUR" w:hAnsi="Arial TUR" w:cs="FrankRuehl"/>
          <w:spacing w:val="10"/>
          <w:rtl/>
        </w:rPr>
      </w:pPr>
      <w:r w:rsidRPr="009757EF">
        <w:rPr>
          <w:rFonts w:ascii="Arial TUR" w:hAnsi="Arial TUR" w:cs="FrankRuehl" w:hint="cs"/>
          <w:spacing w:val="10"/>
          <w:rtl/>
        </w:rPr>
        <w:t xml:space="preserve">לאחר שנתתי את הסכמתי לפסק הדין, באו לפניי חוות הדעת של חבריי השופטים </w:t>
      </w:r>
      <w:r w:rsidRPr="009757EF">
        <w:rPr>
          <w:rFonts w:cs="Miriam" w:hint="cs"/>
          <w:rtl/>
        </w:rPr>
        <w:t>נאור</w:t>
      </w:r>
      <w:r w:rsidRPr="009757EF">
        <w:rPr>
          <w:rFonts w:ascii="Arial TUR" w:hAnsi="Arial TUR" w:cs="FrankRuehl" w:hint="cs"/>
          <w:spacing w:val="10"/>
          <w:rtl/>
        </w:rPr>
        <w:t xml:space="preserve"> ו</w:t>
      </w:r>
      <w:r w:rsidRPr="009757EF">
        <w:rPr>
          <w:rFonts w:cs="Miriam" w:hint="cs"/>
          <w:rtl/>
        </w:rPr>
        <w:t>גרוניס</w:t>
      </w:r>
      <w:r w:rsidRPr="009757EF">
        <w:rPr>
          <w:rFonts w:ascii="Arial TUR" w:hAnsi="Arial TUR" w:cs="FrankRuehl" w:hint="cs"/>
          <w:spacing w:val="10"/>
          <w:rtl/>
        </w:rPr>
        <w:t xml:space="preserve"> הסבורים כי ניתן להסדיר הסוגיה שלפנינו בחקיקה שבתנאים מסוימים, תהיה מידתית. </w:t>
      </w:r>
      <w:r w:rsidRPr="00DA3B28">
        <w:rPr>
          <w:rFonts w:ascii="Arial TUR" w:hAnsi="Arial TUR" w:cs="FrankRuehl" w:hint="cs"/>
          <w:spacing w:val="10"/>
          <w:highlight w:val="yellow"/>
          <w:rtl/>
        </w:rPr>
        <w:t>אכן, אפשר שייתכנו מצבים חריגים ונדירים בהם הימנעות מהבאת העצור בפני שופט לשם הארכת מעצרו נדרשת לשם מניעת סיכון מיידי וקונקרטי, וזאת במקרים חריגים מאוד, בהם עצם הפסקת החקירה לצורך הבאת העצור לבית המשפט עלולה להביא לפגיעה מיידית בחיי אדם, כאשר הסכנה היא ברמת ודאות גבוהה ביותר כדוגמת "</w:t>
      </w:r>
      <w:r w:rsidRPr="00004C88">
        <w:rPr>
          <w:rFonts w:ascii="Arial TUR" w:hAnsi="Arial TUR" w:cs="FrankRuehl" w:hint="cs"/>
          <w:spacing w:val="10"/>
          <w:rtl/>
        </w:rPr>
        <w:t>הפצצה המתקתקת</w:t>
      </w:r>
      <w:r w:rsidRPr="00DA3B28">
        <w:rPr>
          <w:rFonts w:ascii="Arial TUR" w:hAnsi="Arial TUR" w:cs="FrankRuehl" w:hint="cs"/>
          <w:spacing w:val="10"/>
          <w:highlight w:val="yellow"/>
          <w:rtl/>
        </w:rPr>
        <w:t>".</w:t>
      </w:r>
      <w:r w:rsidRPr="009757EF">
        <w:rPr>
          <w:rFonts w:ascii="Arial TUR" w:hAnsi="Arial TUR" w:cs="FrankRuehl" w:hint="cs"/>
          <w:spacing w:val="10"/>
          <w:rtl/>
        </w:rPr>
        <w:t xml:space="preserve"> כשלעצמי אני סבורה כי ניתן למצוא פתרון למקרים נדירים אלה במענה משפטי, ולו חלקי, הקיים בהסדרים אחרים. בעניין זה אני מצטרפת לעמדה שהביע חברי השופט </w:t>
      </w:r>
      <w:r w:rsidRPr="009757EF">
        <w:rPr>
          <w:rFonts w:cs="Miriam" w:hint="cs"/>
          <w:rtl/>
        </w:rPr>
        <w:t>רובינשטיין</w:t>
      </w:r>
      <w:r w:rsidRPr="009757EF">
        <w:rPr>
          <w:rFonts w:ascii="Arial TUR" w:hAnsi="Arial TUR" w:cs="FrankRuehl" w:hint="cs"/>
          <w:spacing w:val="10"/>
          <w:rtl/>
        </w:rPr>
        <w:t xml:space="preserve"> בפיסקה כו' לפסק דינו, בה הביע ספק אם חקיקה זו כדאית לצורך אותם מקרים נדירים. אכן מתעוררת תהייה האם קיימת הצדקה להסדיר מצבים נדירים אלה בחקיקה ייחודית כדוגמת הוראת השעה בעתירה שלפנינו, והאם חקיקה שכזו לא תפתח פתח ל"</w:t>
      </w:r>
      <w:r w:rsidRPr="00004C88">
        <w:rPr>
          <w:rFonts w:ascii="Arial TUR" w:hAnsi="Arial TUR" w:cs="FrankRuehl" w:hint="cs"/>
          <w:spacing w:val="10"/>
          <w:highlight w:val="yellow"/>
          <w:rtl/>
        </w:rPr>
        <w:t>מדרון חלקלק</w:t>
      </w:r>
      <w:r w:rsidRPr="009757EF">
        <w:rPr>
          <w:rFonts w:ascii="Arial TUR" w:hAnsi="Arial TUR" w:cs="FrankRuehl" w:hint="cs"/>
          <w:spacing w:val="10"/>
          <w:rtl/>
        </w:rPr>
        <w:t>". שאלות אלה אינן לפנינו ואינני רואה לנקוט עמדה בהן</w:t>
      </w:r>
      <w:r>
        <w:rPr>
          <w:rFonts w:ascii="Arial TUR" w:hAnsi="Arial TUR" w:cs="FrankRuehl" w:hint="cs"/>
          <w:spacing w:val="10"/>
          <w:rtl/>
        </w:rPr>
        <w:t>.</w:t>
      </w:r>
    </w:p>
    <w:p w:rsidR="005366A8" w:rsidRPr="007D3E8F" w:rsidRDefault="005366A8" w:rsidP="005366A8">
      <w:pPr>
        <w:spacing w:after="60"/>
        <w:rPr>
          <w:rFonts w:ascii="Arial TUR" w:hAnsi="Arial TUR" w:cs="FrankRuehl"/>
          <w:b/>
          <w:bCs/>
          <w:spacing w:val="10"/>
          <w:u w:val="single"/>
          <w:rtl/>
        </w:rPr>
      </w:pPr>
      <w:r>
        <w:rPr>
          <w:rFonts w:ascii="Arial TUR" w:hAnsi="Arial TUR" w:cs="FrankRuehl" w:hint="cs"/>
          <w:b/>
          <w:bCs/>
          <w:spacing w:val="10"/>
          <w:u w:val="single"/>
          <w:rtl/>
        </w:rPr>
        <w:t>השופטת נאור</w:t>
      </w:r>
    </w:p>
    <w:p w:rsidR="005366A8" w:rsidRPr="007D3E8F" w:rsidRDefault="005366A8" w:rsidP="005366A8">
      <w:pPr>
        <w:spacing w:after="60"/>
        <w:ind w:firstLine="720"/>
        <w:rPr>
          <w:rFonts w:ascii="Arial TUR" w:hAnsi="Arial TUR" w:cs="FrankRuehl"/>
          <w:spacing w:val="10"/>
          <w:rtl/>
        </w:rPr>
      </w:pPr>
      <w:r>
        <w:rPr>
          <w:rFonts w:ascii="Arial TUR" w:hAnsi="Arial TUR" w:cs="FrankRuehl" w:hint="cs"/>
          <w:spacing w:val="10"/>
          <w:rtl/>
        </w:rPr>
        <w:t xml:space="preserve">3. [...] </w:t>
      </w:r>
      <w:r w:rsidRPr="00DA3B28">
        <w:rPr>
          <w:rFonts w:ascii="Arial TUR" w:hAnsi="Arial TUR" w:cs="FrankRuehl"/>
          <w:spacing w:val="10"/>
          <w:highlight w:val="yellow"/>
          <w:rtl/>
        </w:rPr>
        <w:t>המפתח החוקתי מצוי בדרישת המידתיות. אין להסתפק בטענת המדינה כי ביצוע החוק בפועל הוא "מוגבל ומידתי" (פסקה 41 לטיעונים בכתב). החוק הקובע את הסמכות הפוגעת בזכות החוקתית צריך להיות, הוא עצמו, "מוגבל ומידתי"</w:t>
      </w:r>
      <w:r w:rsidRPr="007D3E8F">
        <w:rPr>
          <w:rFonts w:ascii="Arial TUR" w:hAnsi="Arial TUR" w:cs="FrankRuehl"/>
          <w:spacing w:val="10"/>
          <w:rtl/>
        </w:rPr>
        <w:t xml:space="preserve">. סעיפים 5(1) ו-5(2) לחוק מגדירים "נוסחאות איזון" שונות לתחולת החריג, אפרטן מן הכבדה אל הקלה: סיכול של מניעת פגיעה בחיי אדם (ביחס להארכת מעצר), סיכול של עבירת ביטחון (ביחס להארכת המעצר) או פגיעה ממשית בחקירה (ביחס לעיון חוזר וערר). המבחן המחמיר ביותר הינו סיכול של מניעת פגיעה בחיי אדם. הוא מחמיר בהשוואה למבחן סיכול של עבירת ביטחון, שכן בהתחשב בהגדרה של "עבירת ביטחון" בסעיף 1 לחוק אין הדבר כרוך בהכרח בהוכחת חשש לפגיעה בחיי אדם אלא די בחשש לפגיעה בביטחון המדינה (ראו סעיף 3 לטיעונים בכתב מטעם המדינה). הוא מחמיר גם בהשוואה למבחן של פגיעה ממשית בחקירה (ראו בש"פ 8473/07 מדינת ישראל נ' פלוני, פסקה 5 להחלטת השופט פוגלמן (לא פורסם, 10.10.2007)). </w:t>
      </w:r>
      <w:r w:rsidRPr="00DA3B28">
        <w:rPr>
          <w:rFonts w:ascii="Arial TUR" w:hAnsi="Arial TUR" w:cs="FrankRuehl"/>
          <w:spacing w:val="10"/>
          <w:highlight w:val="yellow"/>
          <w:rtl/>
        </w:rPr>
        <w:t>ביחס לשתי נוסחאות האיזון האחרונות, המקלות, מקובלת עלי מסקנתו של חברי המשנה לנשיאה לפיה הן אינן מקיימות את דרישת המידתיות כיוון שהן מתירות מרחב רחב מידי לפגיעה בזכות החוקתית. לפיכך דין סעיף 5(2) לחוק הוא בטלות. גם דין האפשרות של דיון בלא נוכחות העצור לשם סיכול של עבירת ביטחון כאמור בסעיף 5(1) לחוק הינו לדעתי, כמו לדעת המשנה לנשיאה – בטלות</w:t>
      </w:r>
      <w:r w:rsidRPr="007D3E8F">
        <w:rPr>
          <w:rFonts w:ascii="Arial TUR" w:hAnsi="Arial TUR" w:cs="FrankRuehl"/>
          <w:spacing w:val="10"/>
          <w:rtl/>
        </w:rPr>
        <w:t xml:space="preserve">. </w:t>
      </w:r>
    </w:p>
    <w:p w:rsidR="005366A8" w:rsidRPr="007D3E8F" w:rsidRDefault="005366A8" w:rsidP="005366A8">
      <w:pPr>
        <w:spacing w:after="60"/>
        <w:rPr>
          <w:rFonts w:ascii="Arial TUR" w:hAnsi="Arial TUR" w:cs="FrankRuehl"/>
          <w:spacing w:val="10"/>
          <w:rtl/>
        </w:rPr>
      </w:pPr>
      <w:r w:rsidRPr="007D3E8F">
        <w:rPr>
          <w:rFonts w:ascii="Arial TUR" w:hAnsi="Arial TUR" w:cs="FrankRuehl"/>
          <w:spacing w:val="10"/>
          <w:rtl/>
        </w:rPr>
        <w:t>4.</w:t>
      </w:r>
      <w:r w:rsidRPr="007D3E8F">
        <w:rPr>
          <w:rFonts w:ascii="Arial TUR" w:hAnsi="Arial TUR" w:cs="FrankRuehl"/>
          <w:spacing w:val="10"/>
          <w:rtl/>
        </w:rPr>
        <w:tab/>
      </w:r>
      <w:r w:rsidRPr="00DA3B28">
        <w:rPr>
          <w:rFonts w:ascii="Arial TUR" w:hAnsi="Arial TUR" w:cs="FrankRuehl"/>
          <w:spacing w:val="10"/>
          <w:highlight w:val="yellow"/>
          <w:rtl/>
        </w:rPr>
        <w:t>עמדתי שונה, על דרך העקרון, לגבי נוסחת האיזון המחמירה יותר המופיעה בסעיף 5(1) הדורשת שכנוע כי הפסקת החקירה עלולה למנוע סיכול של מניעת פגיעה בחיי אדם. דרישה כזו עשויה להיות מידתית אם יוטלו מגבלות נוספות. מגבלה אחת ניתן היה להשיג בדרך של פרשנות: ניתן היה לפרש את הביטוי "עלולה" כמבחן הדורש ודאות קרובה לכך שנוכחות העצור בדיון בבית המשפט תביא לסיכול מניעת פגיעה בחיי אדם</w:t>
      </w:r>
      <w:r w:rsidRPr="007D3E8F">
        <w:rPr>
          <w:rFonts w:ascii="Arial TUR" w:hAnsi="Arial TUR" w:cs="FrankRuehl"/>
          <w:spacing w:val="10"/>
          <w:rtl/>
        </w:rPr>
        <w:t xml:space="preserve"> (על מבחן הוודאות הקרובה ראו בג"ץ 73/53 חברת "קול העם" בע"מ נ' שר-הפנים, פ"ד ז(2) 871 (1953); </w:t>
      </w:r>
      <w:r>
        <w:rPr>
          <w:rFonts w:ascii="Arial TUR" w:hAnsi="Arial TUR" w:cs="FrankRuehl" w:hint="cs"/>
          <w:spacing w:val="10"/>
          <w:rtl/>
        </w:rPr>
        <w:t>..</w:t>
      </w:r>
      <w:r w:rsidRPr="007D3E8F">
        <w:rPr>
          <w:rFonts w:ascii="Arial TUR" w:hAnsi="Arial TUR" w:cs="FrankRuehl"/>
          <w:spacing w:val="10"/>
          <w:rtl/>
        </w:rPr>
        <w:t>. הדרישה לוודאות קרובה יש בה כדי להבהיר כי להפעלת החריג נדרשים טעמים חיוניים, הכרחיים ו"החלטיים" למניעת סיכול פגיעה בחיי אדם (</w:t>
      </w:r>
      <w:r>
        <w:rPr>
          <w:rFonts w:ascii="Arial TUR" w:hAnsi="Arial TUR" w:cs="FrankRuehl" w:hint="cs"/>
          <w:spacing w:val="10"/>
          <w:rtl/>
        </w:rPr>
        <w:t>...</w:t>
      </w:r>
      <w:r w:rsidRPr="007D3E8F">
        <w:rPr>
          <w:rFonts w:ascii="Arial TUR" w:hAnsi="Arial TUR" w:cs="FrankRuehl"/>
          <w:spacing w:val="10"/>
          <w:rtl/>
        </w:rPr>
        <w:t>)). המקרה הטיפוסי בו מתקיימים הטעמים הללו, אך לא בהכרח היחיד, הוא במקרה של "פצצה מתקתקת" כאשר "קיימת מידת סיכון קונקרטי ואימננטי להתרחשות הפיצוץ" (ראו והשוו: בג"ץ 5100/94 הוועד הציבורי נגד עינויים בישראל נ' ממשלת ישראל, פ"ד נג(4) 817, 841 (1999)).</w:t>
      </w:r>
    </w:p>
    <w:p w:rsidR="005366A8" w:rsidRPr="007D3E8F" w:rsidRDefault="005366A8" w:rsidP="005366A8">
      <w:pPr>
        <w:spacing w:after="60"/>
        <w:rPr>
          <w:rFonts w:ascii="Arial TUR" w:hAnsi="Arial TUR" w:cs="FrankRuehl"/>
          <w:spacing w:val="10"/>
          <w:rtl/>
        </w:rPr>
      </w:pPr>
      <w:r w:rsidRPr="007D3E8F">
        <w:rPr>
          <w:rFonts w:ascii="Arial TUR" w:hAnsi="Arial TUR" w:cs="FrankRuehl"/>
          <w:spacing w:val="10"/>
          <w:rtl/>
        </w:rPr>
        <w:t>5.</w:t>
      </w:r>
      <w:r w:rsidRPr="007D3E8F">
        <w:rPr>
          <w:rFonts w:ascii="Arial TUR" w:hAnsi="Arial TUR" w:cs="FrankRuehl"/>
          <w:spacing w:val="10"/>
          <w:rtl/>
        </w:rPr>
        <w:tab/>
        <w:t xml:space="preserve">ככלל, יש בכוחה של פרשנות אפשרית כדי להביא להתאמה בין החוק לחוקה </w:t>
      </w:r>
      <w:r>
        <w:rPr>
          <w:rFonts w:ascii="Arial TUR" w:hAnsi="Arial TUR" w:cs="FrankRuehl" w:hint="cs"/>
          <w:spacing w:val="10"/>
          <w:rtl/>
        </w:rPr>
        <w:t>..</w:t>
      </w:r>
      <w:r w:rsidRPr="007D3E8F">
        <w:rPr>
          <w:rFonts w:ascii="Arial TUR" w:hAnsi="Arial TUR" w:cs="FrankRuehl"/>
          <w:spacing w:val="10"/>
          <w:rtl/>
        </w:rPr>
        <w:t xml:space="preserve">. קיימת זיקה בין נוסחאות האיזון ההלכתיות-הפרשניות כגון מבחן הוודאות הקרובה, שגובשו בפסיקה עוד בטרם "העידן החוקתי", לבין עקרון המידתיות בפיסקת ההגבלה החוקתית. לגישתי נוסחאות האיזון ההלכתיות מוצאות את מקומן, בשינויים הנדרשים, במסגרת מבחן-המשנה השלישי של המידתיות המבוסס על איזון ערכי </w:t>
      </w:r>
      <w:r>
        <w:rPr>
          <w:rFonts w:ascii="Arial TUR" w:hAnsi="Arial TUR" w:cs="FrankRuehl" w:hint="cs"/>
          <w:spacing w:val="10"/>
          <w:rtl/>
        </w:rPr>
        <w:t>..</w:t>
      </w:r>
      <w:r w:rsidRPr="007D3E8F">
        <w:rPr>
          <w:rFonts w:ascii="Arial TUR" w:hAnsi="Arial TUR" w:cs="FrankRuehl"/>
          <w:spacing w:val="10"/>
          <w:rtl/>
        </w:rPr>
        <w:t xml:space="preserve">. </w:t>
      </w:r>
      <w:r w:rsidRPr="00DA3B28">
        <w:rPr>
          <w:rFonts w:ascii="Arial TUR" w:hAnsi="Arial TUR" w:cs="FrankRuehl"/>
          <w:spacing w:val="10"/>
          <w:highlight w:val="yellow"/>
          <w:rtl/>
        </w:rPr>
        <w:t>אילו הקושי היחיד שהייתי רואה בסעיף 5(1) לחוק, לגבי המבחן המחמיר, היה בכך שאין הוא נוקב במפורש במבחן הוודאות הקרובה ניתן היה לקבוע זאת בדרך של פרשנות (תוך ביטול המבחן של סיכול עבירת ביטחון)</w:t>
      </w:r>
      <w:r w:rsidRPr="007D3E8F">
        <w:rPr>
          <w:rFonts w:ascii="Arial TUR" w:hAnsi="Arial TUR" w:cs="FrankRuehl"/>
          <w:spacing w:val="10"/>
          <w:rtl/>
        </w:rPr>
        <w:t>.</w:t>
      </w:r>
    </w:p>
    <w:p w:rsidR="005366A8" w:rsidRPr="007D3E8F" w:rsidRDefault="005366A8" w:rsidP="005366A8">
      <w:pPr>
        <w:spacing w:after="60"/>
        <w:rPr>
          <w:rFonts w:ascii="Arial TUR" w:hAnsi="Arial TUR" w:cs="FrankRuehl"/>
          <w:spacing w:val="10"/>
          <w:rtl/>
        </w:rPr>
      </w:pPr>
      <w:r w:rsidRPr="007D3E8F">
        <w:rPr>
          <w:rFonts w:ascii="Arial TUR" w:hAnsi="Arial TUR" w:cs="FrankRuehl"/>
          <w:spacing w:val="10"/>
          <w:rtl/>
        </w:rPr>
        <w:tab/>
      </w:r>
      <w:r w:rsidRPr="00DA3B28">
        <w:rPr>
          <w:rFonts w:ascii="Arial TUR" w:hAnsi="Arial TUR" w:cs="FrankRuehl"/>
          <w:spacing w:val="10"/>
          <w:highlight w:val="yellow"/>
          <w:rtl/>
        </w:rPr>
        <w:t>ואולם, בענייננו, לא די בטכניקה הפרשנית האמורה בכדי שהחוק יצלח את הבחינה החוקתית, וזאת אפילו לגבי המבחן המחמיר. גם אם תיקבע אמת-מידה פרשנית מחמירה לסעיף 5 לחוק, הדורשת ודאות קרובה לכך שהפסקת החקירה תימנע סיכול פגיעה בחיי אדם (תוך ביטול המבחנים האחרים המקלים) עדיין יוותר פגם חוקתי שאין דרך לרפאו אלא באמצעות התערבות המחוקק, אם יחליט המחוקק לעשות כן: קיימת עדיין בחוק סמכות לקבוע, בהחלטת הארכת המעצר, משך זמן העלול להיות בלתי-מידתי עד כדי השלמת התקופה המירבית. הארכת מעצר עד מלוא התקופה המירבית ברציפות, בהיעדר העצור, עלולה לפגוע בזכות החוקתית מעבר לנדרש, ובפרט אם תקופת המעצר הראשונה היתה קצרה. לפיכך הגעתי לכלל מסקנה שאין מנוס אלא לבטל גם את סעיף 5(1) כפי שמציע חברי</w:t>
      </w:r>
      <w:r w:rsidRPr="007D3E8F">
        <w:rPr>
          <w:rFonts w:ascii="Arial TUR" w:hAnsi="Arial TUR" w:cs="FrankRuehl"/>
          <w:spacing w:val="10"/>
          <w:rtl/>
        </w:rPr>
        <w:t xml:space="preserve">. </w:t>
      </w:r>
    </w:p>
    <w:p w:rsidR="005366A8" w:rsidRPr="007D3E8F" w:rsidRDefault="005366A8" w:rsidP="005366A8">
      <w:pPr>
        <w:spacing w:after="60"/>
        <w:rPr>
          <w:rFonts w:ascii="Arial TUR" w:hAnsi="Arial TUR" w:cs="FrankRuehl"/>
          <w:spacing w:val="10"/>
          <w:rtl/>
        </w:rPr>
      </w:pPr>
      <w:r w:rsidRPr="007D3E8F">
        <w:rPr>
          <w:rFonts w:ascii="Arial TUR" w:hAnsi="Arial TUR" w:cs="FrankRuehl"/>
          <w:spacing w:val="10"/>
          <w:rtl/>
        </w:rPr>
        <w:t>6.</w:t>
      </w:r>
      <w:r w:rsidRPr="007D3E8F">
        <w:rPr>
          <w:rFonts w:ascii="Arial TUR" w:hAnsi="Arial TUR" w:cs="FrankRuehl"/>
          <w:spacing w:val="10"/>
          <w:rtl/>
        </w:rPr>
        <w:tab/>
        <w:t xml:space="preserve">ביטול חוק הינו מוצא אחרון. השאיפה החוקתית היא לאיזון בין הערכים המתנגשים ולא להכרעה ביניהם. "נדרש האיזון בין צרכי הביטחון לזכויות הפרט. איזון זה מטיל מעמסה כבדה על העוסקים בביטחון. לא כל אמצעי יעיל הוא גם חוקי. המטרה אינה מקדשת את האמצעים... איזון זה מטיל מעמסה כבדה על השופטים, אשר צריכים לקבוע – על בסיס המשפט הקיים – את המותר והאסור" </w:t>
      </w:r>
      <w:r>
        <w:rPr>
          <w:rFonts w:ascii="Arial TUR" w:hAnsi="Arial TUR" w:cs="FrankRuehl" w:hint="cs"/>
          <w:spacing w:val="10"/>
          <w:rtl/>
        </w:rPr>
        <w:t>...</w:t>
      </w:r>
    </w:p>
    <w:p w:rsidR="005366A8" w:rsidRDefault="005366A8" w:rsidP="005366A8">
      <w:pPr>
        <w:spacing w:after="60"/>
        <w:rPr>
          <w:rFonts w:ascii="Arial TUR" w:hAnsi="Arial TUR" w:cs="FrankRuehl"/>
          <w:spacing w:val="10"/>
          <w:rtl/>
        </w:rPr>
      </w:pPr>
      <w:r w:rsidRPr="007D3E8F">
        <w:rPr>
          <w:rFonts w:ascii="Arial TUR" w:hAnsi="Arial TUR" w:cs="FrankRuehl"/>
          <w:spacing w:val="10"/>
          <w:rtl/>
        </w:rPr>
        <w:tab/>
      </w:r>
      <w:r w:rsidRPr="00DA3B28">
        <w:rPr>
          <w:rFonts w:ascii="Arial TUR" w:hAnsi="Arial TUR" w:cs="FrankRuehl"/>
          <w:spacing w:val="10"/>
          <w:highlight w:val="yellow"/>
          <w:rtl/>
        </w:rPr>
        <w:t>על רקע זה שקלתי אם ניתן להכשיר את חוקתיות החוק, לגבי נוסחת האיזון המחמירה בלבד תוך פרשנות המצריכה ודאות קרובה, תוך הסתמכות על כך שהשופט היושב בדין יגיע בכל מקרה ומקרה לתוצאה מידתית מבחינת אורך תקופת המעצר בהעדר העצור</w:t>
      </w:r>
      <w:r w:rsidRPr="007D3E8F">
        <w:rPr>
          <w:rFonts w:ascii="Arial TUR" w:hAnsi="Arial TUR" w:cs="FrankRuehl"/>
          <w:spacing w:val="10"/>
          <w:rtl/>
        </w:rPr>
        <w:t xml:space="preserve"> (</w:t>
      </w:r>
      <w:r>
        <w:rPr>
          <w:rFonts w:ascii="Arial TUR" w:hAnsi="Arial TUR" w:cs="FrankRuehl" w:hint="cs"/>
          <w:spacing w:val="10"/>
          <w:rtl/>
        </w:rPr>
        <w:t>...</w:t>
      </w:r>
      <w:r w:rsidRPr="007D3E8F">
        <w:rPr>
          <w:rFonts w:ascii="Arial TUR" w:hAnsi="Arial TUR" w:cs="FrankRuehl"/>
          <w:spacing w:val="10"/>
          <w:rtl/>
        </w:rPr>
        <w:t xml:space="preserve">). </w:t>
      </w:r>
      <w:r w:rsidRPr="00FE656F">
        <w:rPr>
          <w:rFonts w:ascii="Arial TUR" w:hAnsi="Arial TUR" w:cs="FrankRuehl"/>
          <w:spacing w:val="10"/>
          <w:highlight w:val="yellow"/>
          <w:rtl/>
        </w:rPr>
        <w:t>בסופו של דבר הגעתי למסקנה כי נסיון שכזה לא יצלח. אם, כפי השקפתי יש לבטל כליל את סעיף 5(2) לחוק, ממילא אין משמעות לאפשרות לקיים דיון שלא בנוכחות העצור בהארכת המעצר: מיד יוגש ערר, המחייב את נוכחות העצור מכוח דין העררים הכללי הקבוע בסעיף 53 לחוק סדר הדין הפלילי (סמכויות אכיפה – מעצרים), תשנ"ו-1996) וחקירת העצור תיפסק. זאת ועוד: קביעת פרק הזמן המירבי היא בראש ובראשונה מלאכתו של המחוקק, ויש לאפשר לו פרק זמן הולם לצורך קביעת ההסדר שיעמוד באמת-המידה החוקתית</w:t>
      </w:r>
      <w:r w:rsidRPr="007D3E8F">
        <w:rPr>
          <w:rFonts w:ascii="Arial TUR" w:hAnsi="Arial TUR" w:cs="FrankRuehl"/>
          <w:spacing w:val="10"/>
          <w:rtl/>
        </w:rPr>
        <w:t xml:space="preserve"> </w:t>
      </w:r>
      <w:r>
        <w:rPr>
          <w:rFonts w:ascii="Arial TUR" w:hAnsi="Arial TUR" w:cs="FrankRuehl" w:hint="cs"/>
          <w:spacing w:val="10"/>
          <w:rtl/>
        </w:rPr>
        <w:t>[...]</w:t>
      </w:r>
    </w:p>
    <w:p w:rsidR="005366A8" w:rsidRDefault="005366A8" w:rsidP="005366A8">
      <w:pPr>
        <w:spacing w:after="60"/>
        <w:rPr>
          <w:rtl/>
        </w:rPr>
      </w:pPr>
      <w:r w:rsidRPr="007D3E8F">
        <w:rPr>
          <w:rFonts w:ascii="Arial TUR" w:hAnsi="Arial TUR" w:cs="FrankRuehl"/>
          <w:spacing w:val="10"/>
          <w:rtl/>
        </w:rPr>
        <w:t>8.</w:t>
      </w:r>
      <w:r w:rsidRPr="007D3E8F">
        <w:rPr>
          <w:rFonts w:ascii="Arial TUR" w:hAnsi="Arial TUR" w:cs="FrankRuehl"/>
          <w:spacing w:val="10"/>
          <w:rtl/>
        </w:rPr>
        <w:tab/>
        <w:t xml:space="preserve">לסיכום, אם תישמע דעתי נקבע כי דין סעיף 5(1) ו-5(2) לחוק – בטלות. הדבר גורר את בטלות סעיף 5 לחוק כולו, כיוון שסעיף 5(3) וסעיף 5(4) אינם עומדים לבדם. עמדתי היא כי יש לאפשר למחוקק לקבוע, בתוך שישה חודשים, אם רצונו בכך, הסדר אחר המגביל את האפשרות לקיים דיון בהארכת מעצר, עיון חוזר או ערר שלא בנוכחות העצור. </w:t>
      </w:r>
      <w:r w:rsidRPr="00B27BE0">
        <w:rPr>
          <w:rFonts w:ascii="Arial TUR" w:hAnsi="Arial TUR" w:cs="FrankRuehl"/>
          <w:spacing w:val="10"/>
          <w:highlight w:val="yellow"/>
          <w:rtl/>
        </w:rPr>
        <w:t>ההסדר יכול להתבסס לדעתי על מניעה בדרגה של וודאות קרובה לסיכול פגיעה בחיי אדם, ולמשך זמן מוגבל שיעמוד באמת-המידה החוקתית.</w:t>
      </w:r>
      <w:r w:rsidRPr="007D3E8F">
        <w:rPr>
          <w:rFonts w:ascii="Arial TUR" w:hAnsi="Arial TUR" w:cs="FrankRuehl"/>
          <w:spacing w:val="10"/>
          <w:rtl/>
        </w:rPr>
        <w:t xml:space="preserve"> אציע אפוא לחבריי להשעות את הכרזת הבטלות בפסק דיננו למשך שישה חודשים מיום מתן פסק הדין.</w:t>
      </w:r>
      <w:r w:rsidRPr="009757EF">
        <w:rPr>
          <w:rFonts w:ascii="Arial TUR" w:hAnsi="Arial TUR" w:cs="FrankRuehl" w:hint="cs"/>
          <w:spacing w:val="10"/>
          <w:rtl/>
        </w:rPr>
        <w:t>.</w:t>
      </w:r>
    </w:p>
    <w:p w:rsidR="005366A8" w:rsidRPr="00AA6FE4" w:rsidRDefault="005366A8" w:rsidP="005366A8">
      <w:pPr>
        <w:tabs>
          <w:tab w:val="left" w:pos="800"/>
        </w:tabs>
        <w:overflowPunct w:val="0"/>
        <w:autoSpaceDE w:val="0"/>
        <w:autoSpaceDN w:val="0"/>
        <w:adjustRightInd w:val="0"/>
        <w:rPr>
          <w:rFonts w:ascii="Arial TUR" w:hAnsi="Arial TUR" w:cs="FrankRuehl"/>
          <w:b/>
          <w:bCs/>
          <w:spacing w:val="10"/>
          <w:u w:val="single"/>
          <w:rtl/>
        </w:rPr>
      </w:pPr>
      <w:r w:rsidRPr="00AA6FE4">
        <w:rPr>
          <w:rFonts w:ascii="Arial TUR" w:hAnsi="Arial TUR" w:cs="FrankRuehl" w:hint="cs"/>
          <w:b/>
          <w:bCs/>
          <w:spacing w:val="10"/>
          <w:u w:val="single"/>
          <w:rtl/>
        </w:rPr>
        <w:t>השופט גרוניס</w:t>
      </w:r>
    </w:p>
    <w:p w:rsidR="005366A8" w:rsidRDefault="005366A8" w:rsidP="005366A8">
      <w:pPr>
        <w:tabs>
          <w:tab w:val="left" w:pos="800"/>
        </w:tabs>
        <w:overflowPunct w:val="0"/>
        <w:autoSpaceDE w:val="0"/>
        <w:autoSpaceDN w:val="0"/>
        <w:adjustRightInd w:val="0"/>
        <w:rPr>
          <w:rFonts w:ascii="Arial TUR" w:hAnsi="Arial TUR" w:cs="FrankRuehl"/>
          <w:spacing w:val="10"/>
          <w:rtl/>
        </w:rPr>
      </w:pPr>
      <w:r w:rsidRPr="00AA6FE4">
        <w:rPr>
          <w:rFonts w:ascii="Arial TUR" w:hAnsi="Arial TUR" w:cs="FrankRuehl" w:hint="cs"/>
          <w:spacing w:val="10"/>
          <w:rtl/>
        </w:rPr>
        <w:br/>
        <w:t>5.</w:t>
      </w:r>
      <w:r w:rsidRPr="00AA6FE4">
        <w:rPr>
          <w:rFonts w:ascii="Arial TUR" w:hAnsi="Arial TUR" w:cs="FrankRuehl" w:hint="cs"/>
          <w:spacing w:val="10"/>
          <w:rtl/>
        </w:rPr>
        <w:tab/>
      </w:r>
      <w:r w:rsidRPr="00AA6FE4">
        <w:rPr>
          <w:rFonts w:ascii="Arial TUR" w:hAnsi="Arial TUR" w:cs="FrankRuehl" w:hint="cs"/>
          <w:spacing w:val="10"/>
          <w:highlight w:val="yellow"/>
          <w:rtl/>
        </w:rPr>
        <w:t>התקופה המירבית בה ניתן למנוע מפגש בין חשוד לבין פרקליטו הינה עשרים ואחד ימים</w:t>
      </w:r>
      <w:r w:rsidRPr="00AA6FE4">
        <w:rPr>
          <w:rFonts w:ascii="Arial TUR" w:hAnsi="Arial TUR" w:cs="FrankRuehl" w:hint="cs"/>
          <w:spacing w:val="10"/>
          <w:rtl/>
        </w:rPr>
        <w:t xml:space="preserve"> (סעיף 35(ד) לחוק המעצרים). ככל שמדובר </w:t>
      </w:r>
      <w:r w:rsidRPr="00AA6FE4">
        <w:rPr>
          <w:rFonts w:ascii="Arial TUR" w:hAnsi="Arial TUR" w:cs="FrankRuehl" w:hint="cs"/>
          <w:spacing w:val="10"/>
          <w:highlight w:val="yellow"/>
          <w:rtl/>
        </w:rPr>
        <w:t>במניעה של נוכחות החשוד בבית המשפט, מדובר בתקופה מירבית של תשעה עשר ימים</w:t>
      </w:r>
      <w:r w:rsidRPr="00AA6FE4">
        <w:rPr>
          <w:rFonts w:ascii="Arial TUR" w:hAnsi="Arial TUR" w:cs="FrankRuehl" w:hint="cs"/>
          <w:spacing w:val="10"/>
          <w:rtl/>
        </w:rPr>
        <w:t xml:space="preserve"> (סעיף 5(1) לחוק הוראת שעה, אשר מדבר על אפשרות שתקופת המעצר עליה יורה </w:t>
      </w:r>
      <w:r w:rsidRPr="00AA6FE4">
        <w:rPr>
          <w:rFonts w:cs="FrankRuehl" w:hint="cs"/>
          <w:spacing w:val="10"/>
          <w:rtl/>
        </w:rPr>
        <w:t>בית המשפט</w:t>
      </w:r>
      <w:r w:rsidRPr="00AA6FE4">
        <w:rPr>
          <w:rFonts w:ascii="Arial TUR" w:hAnsi="Arial TUR" w:cs="FrankRuehl" w:hint="cs"/>
          <w:spacing w:val="10"/>
          <w:rtl/>
        </w:rPr>
        <w:t xml:space="preserve"> הינה קצרה מעשרים ימים; בהנחה שלא מונים את יום הדיון, מגיעים אנו, על כן, לתקופה מירבית של תשעה עשר ימים). </w:t>
      </w:r>
      <w:r w:rsidRPr="00AA6FE4">
        <w:rPr>
          <w:rFonts w:ascii="Arial TUR" w:hAnsi="Arial TUR" w:cs="FrankRuehl" w:hint="cs"/>
          <w:spacing w:val="10"/>
          <w:highlight w:val="yellow"/>
          <w:rtl/>
        </w:rPr>
        <w:t>מכאן, שקיימת סמכות למנוע מפגש בין חשוד לעורך דינו, ולאסור נוכחות של חשוד בהליכי המעצר, במשך שמונה עשר ימים. לטעמי, תקופה כה ארוכה אינה עומדת בדרישות של פיסקת ההגבלה במישור המידתיות. זאת, הן לענין המבחן הנוגע לאמצעי שפגיעתו פחותה, והן לגבי מבחן המידתיות במשמעותו הצרה.</w:t>
      </w:r>
    </w:p>
    <w:p w:rsidR="005366A8" w:rsidRDefault="005366A8" w:rsidP="005366A8">
      <w:pPr>
        <w:tabs>
          <w:tab w:val="left" w:pos="800"/>
        </w:tabs>
        <w:overflowPunct w:val="0"/>
        <w:autoSpaceDE w:val="0"/>
        <w:autoSpaceDN w:val="0"/>
        <w:adjustRightInd w:val="0"/>
        <w:rPr>
          <w:rFonts w:ascii="David" w:cs="David"/>
          <w:sz w:val="23"/>
          <w:szCs w:val="23"/>
          <w:rtl/>
        </w:rPr>
      </w:pPr>
      <w:r w:rsidRPr="00AA6FE4">
        <w:rPr>
          <w:rFonts w:ascii="Arial TUR" w:hAnsi="Arial TUR" w:cs="FrankRuehl" w:hint="cs"/>
          <w:spacing w:val="10"/>
          <w:rtl/>
        </w:rPr>
        <w:t>6.</w:t>
      </w:r>
      <w:r w:rsidRPr="00AA6FE4">
        <w:rPr>
          <w:rFonts w:ascii="Arial TUR" w:hAnsi="Arial TUR" w:cs="FrankRuehl" w:hint="cs"/>
          <w:spacing w:val="10"/>
          <w:rtl/>
        </w:rPr>
        <w:tab/>
        <w:t xml:space="preserve">לאור העובדה שהוראות סעיף 5 לחוק הוראת שעה נמצאו פגומות על יסוד מבחני המשנה הנזכרים של המידתיות (במשמעותה הרחבה), איני רואה מניעה עקרונית שהמחוקק יאמץ הסדר שונה בכל הנוגע למניעת נוכחות של חשוד בהליכי מעצר. כמובן, שכל הסדר חדש בנושא חייב לקחת בחשבון את ההסדר הקיים בנושא של מניעת מפגש של החשוד עם סניגורו. במלים אחרות, על מנת שהסדר חדש יקיים את מבחניו של עקרון המידתיות שבפיסקת ההגבלה, יש ליתן את הדעת </w:t>
      </w:r>
      <w:r w:rsidRPr="00B27BE0">
        <w:rPr>
          <w:rFonts w:ascii="Arial TUR" w:hAnsi="Arial TUR" w:cs="FrankRuehl" w:hint="cs"/>
          <w:spacing w:val="10"/>
          <w:highlight w:val="yellow"/>
          <w:rtl/>
        </w:rPr>
        <w:t>לתחולה הסימולטנית</w:t>
      </w:r>
      <w:r w:rsidRPr="00AA6FE4">
        <w:rPr>
          <w:rFonts w:ascii="Arial TUR" w:hAnsi="Arial TUR" w:cs="FrankRuehl" w:hint="cs"/>
          <w:spacing w:val="10"/>
          <w:rtl/>
        </w:rPr>
        <w:t xml:space="preserve"> (או </w:t>
      </w:r>
      <w:r w:rsidRPr="00B27BE0">
        <w:rPr>
          <w:rFonts w:ascii="Arial TUR" w:hAnsi="Arial TUR" w:cs="FrankRuehl" w:hint="cs"/>
          <w:spacing w:val="10"/>
          <w:highlight w:val="yellow"/>
          <w:rtl/>
        </w:rPr>
        <w:t>האפקט המצטבר</w:t>
      </w:r>
      <w:r w:rsidRPr="00AA6FE4">
        <w:rPr>
          <w:rFonts w:ascii="Arial TUR" w:hAnsi="Arial TUR" w:cs="FrankRuehl" w:hint="cs"/>
          <w:spacing w:val="10"/>
          <w:rtl/>
        </w:rPr>
        <w:t xml:space="preserve">) של ההוראות בענין איסור מפגש עם עורך דין ואיסור נוכחות של החשוד בבית המשפט. </w:t>
      </w:r>
      <w:r w:rsidRPr="00AA6FE4">
        <w:rPr>
          <w:rFonts w:ascii="Arial TUR" w:hAnsi="Arial TUR" w:cs="FrankRuehl" w:hint="cs"/>
          <w:spacing w:val="10"/>
          <w:highlight w:val="yellow"/>
          <w:rtl/>
        </w:rPr>
        <w:t>הסדר מידתי חדש יכול לבוא לידי ביטוי בצורות שונות. נציין, בין היתר, את האפשרות לקצר את משך התקופה בה קיימת תחולה סימולטנית של שתי המגבלות – איסור נוכחות בהליך ואיסור מפגש עם עורך הדין</w:t>
      </w:r>
      <w:r w:rsidRPr="00AA6FE4">
        <w:rPr>
          <w:rFonts w:ascii="Arial TUR" w:hAnsi="Arial TUR" w:cs="FrankRuehl" w:hint="cs"/>
          <w:spacing w:val="10"/>
          <w:rtl/>
        </w:rPr>
        <w:t xml:space="preserve">. לטעמי, </w:t>
      </w:r>
      <w:r w:rsidRPr="00AA6FE4">
        <w:rPr>
          <w:rFonts w:ascii="Arial TUR" w:hAnsi="Arial TUR" w:cs="FrankRuehl" w:hint="cs"/>
          <w:spacing w:val="10"/>
          <w:highlight w:val="yellow"/>
          <w:rtl/>
        </w:rPr>
        <w:t>ספק אם די בקיצור התקופה. אפשרות נוספת היא הגבלה משמעותית של העילות בגינן ניתן לאסור נוכחות של חשוד בהליכי המעצר</w:t>
      </w:r>
      <w:r w:rsidRPr="00AA6FE4">
        <w:rPr>
          <w:rFonts w:ascii="Arial TUR" w:hAnsi="Arial TUR" w:cs="FrankRuehl" w:hint="cs"/>
          <w:spacing w:val="10"/>
          <w:rtl/>
        </w:rPr>
        <w:t xml:space="preserve"> (ראו חוות דעתה של השופטת </w:t>
      </w:r>
      <w:r w:rsidRPr="00AA6FE4">
        <w:rPr>
          <w:rFonts w:cs="FrankRuehl" w:hint="cs"/>
          <w:rtl/>
        </w:rPr>
        <w:t>מ' נאור</w:t>
      </w:r>
      <w:r w:rsidRPr="00AA6FE4">
        <w:rPr>
          <w:rFonts w:ascii="Arial TUR" w:hAnsi="Arial TUR" w:cs="FrankRuehl" w:hint="cs"/>
          <w:spacing w:val="10"/>
          <w:rtl/>
        </w:rPr>
        <w:t>). ראוי לחשוב על פיתרון המשלב בין שתי האפשרויות שצוינו.</w:t>
      </w:r>
    </w:p>
    <w:p w:rsidR="005366A8" w:rsidRDefault="005366A8" w:rsidP="005366A8">
      <w:pPr>
        <w:autoSpaceDE w:val="0"/>
        <w:autoSpaceDN w:val="0"/>
        <w:adjustRightInd w:val="0"/>
        <w:spacing w:after="60"/>
        <w:rPr>
          <w:rFonts w:ascii="David" w:cs="David"/>
          <w:sz w:val="23"/>
          <w:szCs w:val="23"/>
          <w:rtl/>
        </w:rPr>
      </w:pPr>
    </w:p>
    <w:p w:rsidR="005366A8" w:rsidRPr="007F35B9" w:rsidRDefault="005366A8" w:rsidP="005366A8">
      <w:pPr>
        <w:autoSpaceDE w:val="0"/>
        <w:autoSpaceDN w:val="0"/>
        <w:adjustRightInd w:val="0"/>
        <w:spacing w:after="60"/>
        <w:rPr>
          <w:rFonts w:ascii="David" w:cs="David"/>
          <w:rtl/>
        </w:rPr>
      </w:pPr>
      <w:r w:rsidRPr="007F35B9">
        <w:rPr>
          <w:rFonts w:ascii="Arial TUR" w:hAnsi="Arial TUR" w:cs="FrankRuehl" w:hint="cs"/>
          <w:b/>
          <w:bCs/>
          <w:spacing w:val="10"/>
          <w:rtl/>
        </w:rPr>
        <w:t>הוחלט כאמור בפסק-דינו של המשנה-לנשיאה א' ריבלין לקבל את הערר במובן האמור בפסקה 35 לפסק-הדין, ולקבוע כי סעיף 5 לחוק סדר הדין הפלילי (עצור החשוד בעבירת ביטחון) (הוראת שעה), התשס"ו-2006, בטל.</w:t>
      </w:r>
    </w:p>
    <w:p w:rsidR="005366A8" w:rsidRDefault="005366A8" w:rsidP="005366A8">
      <w:pPr>
        <w:autoSpaceDE w:val="0"/>
        <w:autoSpaceDN w:val="0"/>
        <w:adjustRightInd w:val="0"/>
        <w:spacing w:after="60"/>
        <w:rPr>
          <w:rFonts w:ascii="David" w:cs="David"/>
          <w:sz w:val="23"/>
          <w:szCs w:val="23"/>
          <w:rtl/>
        </w:rPr>
      </w:pPr>
    </w:p>
    <w:p w:rsidR="005366A8" w:rsidRDefault="005366A8" w:rsidP="005366A8">
      <w:pPr>
        <w:autoSpaceDE w:val="0"/>
        <w:autoSpaceDN w:val="0"/>
        <w:adjustRightInd w:val="0"/>
        <w:spacing w:after="60"/>
        <w:rPr>
          <w:rFonts w:ascii="David" w:cs="David"/>
          <w:sz w:val="23"/>
          <w:szCs w:val="23"/>
          <w:rtl/>
        </w:rPr>
      </w:pPr>
      <w:r>
        <w:rPr>
          <w:rFonts w:ascii="David" w:cs="David" w:hint="cs"/>
          <w:sz w:val="23"/>
          <w:szCs w:val="23"/>
          <w:rtl/>
        </w:rPr>
        <w:t>[אל המשנה לנשיאה, השופט ריבלין, הצטרפו השופטים ביניש, ארבל, לוי, ג'ובראן, רובינשטיין ופרוקצ'יה. השופטים נאור וגרוניס הצטרפו אך בכפוף להנמקות שפורטו לעיל].</w:t>
      </w:r>
    </w:p>
    <w:p w:rsidR="005366A8" w:rsidRDefault="005366A8" w:rsidP="005366A8">
      <w:pPr>
        <w:autoSpaceDE w:val="0"/>
        <w:autoSpaceDN w:val="0"/>
        <w:adjustRightInd w:val="0"/>
        <w:spacing w:after="60"/>
        <w:rPr>
          <w:rFonts w:ascii="David" w:cs="David"/>
          <w:sz w:val="23"/>
          <w:szCs w:val="23"/>
          <w:rtl/>
        </w:rPr>
      </w:pPr>
      <w:r>
        <w:rPr>
          <w:rFonts w:ascii="David" w:cs="David" w:hint="cs"/>
          <w:sz w:val="23"/>
          <w:szCs w:val="23"/>
          <w:rtl/>
        </w:rPr>
        <w:t>=-=</w:t>
      </w:r>
    </w:p>
    <w:p w:rsidR="005366A8" w:rsidRDefault="005366A8" w:rsidP="005366A8">
      <w:pPr>
        <w:autoSpaceDE w:val="0"/>
        <w:autoSpaceDN w:val="0"/>
        <w:adjustRightInd w:val="0"/>
        <w:spacing w:after="120"/>
        <w:rPr>
          <w:i/>
          <w:iCs/>
          <w:sz w:val="23"/>
          <w:szCs w:val="23"/>
          <w:highlight w:val="yellow"/>
          <w:rtl/>
        </w:rPr>
      </w:pPr>
      <w:r w:rsidRPr="00A72A42">
        <w:rPr>
          <w:rFonts w:hint="cs"/>
          <w:i/>
          <w:iCs/>
          <w:sz w:val="23"/>
          <w:szCs w:val="23"/>
          <w:highlight w:val="yellow"/>
          <w:rtl/>
        </w:rPr>
        <w:t xml:space="preserve">המשך: </w:t>
      </w:r>
    </w:p>
    <w:p w:rsidR="005366A8" w:rsidRDefault="005366A8" w:rsidP="005366A8">
      <w:pPr>
        <w:autoSpaceDE w:val="0"/>
        <w:autoSpaceDN w:val="0"/>
        <w:adjustRightInd w:val="0"/>
        <w:spacing w:after="120"/>
        <w:rPr>
          <w:i/>
          <w:iCs/>
          <w:sz w:val="23"/>
          <w:szCs w:val="23"/>
          <w:highlight w:val="yellow"/>
          <w:rtl/>
        </w:rPr>
      </w:pPr>
      <w:r w:rsidRPr="00A72A42">
        <w:rPr>
          <w:rFonts w:hint="cs"/>
          <w:i/>
          <w:iCs/>
          <w:sz w:val="23"/>
          <w:szCs w:val="23"/>
          <w:highlight w:val="yellow"/>
          <w:rtl/>
        </w:rPr>
        <w:t xml:space="preserve">בשנת 2010, כמה חודשים לאחר פסק דין </w:t>
      </w:r>
      <w:r w:rsidRPr="009A7350">
        <w:rPr>
          <w:rFonts w:hint="cs"/>
          <w:b/>
          <w:bCs/>
          <w:i/>
          <w:iCs/>
          <w:sz w:val="23"/>
          <w:szCs w:val="23"/>
          <w:highlight w:val="yellow"/>
          <w:rtl/>
        </w:rPr>
        <w:t>פלוני</w:t>
      </w:r>
      <w:r w:rsidRPr="00A72A42">
        <w:rPr>
          <w:rFonts w:hint="cs"/>
          <w:i/>
          <w:iCs/>
          <w:sz w:val="23"/>
          <w:szCs w:val="23"/>
          <w:highlight w:val="yellow"/>
          <w:rtl/>
        </w:rPr>
        <w:t xml:space="preserve"> שביטל את סעיף 5 בנוסחו דאז, תיקנה הכנסת את החוק. ראו להלן. </w:t>
      </w:r>
    </w:p>
    <w:p w:rsidR="005366A8" w:rsidRPr="0096402F" w:rsidRDefault="005366A8" w:rsidP="005366A8">
      <w:pPr>
        <w:autoSpaceDE w:val="0"/>
        <w:autoSpaceDN w:val="0"/>
        <w:adjustRightInd w:val="0"/>
        <w:spacing w:after="120"/>
        <w:rPr>
          <w:i/>
          <w:iCs/>
          <w:sz w:val="23"/>
          <w:szCs w:val="23"/>
          <w:u w:val="single"/>
          <w:rtl/>
        </w:rPr>
      </w:pPr>
      <w:r w:rsidRPr="0096402F">
        <w:rPr>
          <w:i/>
          <w:iCs/>
          <w:sz w:val="23"/>
          <w:szCs w:val="23"/>
          <w:highlight w:val="yellow"/>
          <w:u w:val="single"/>
          <w:rtl/>
        </w:rPr>
        <w:t xml:space="preserve">האם </w:t>
      </w:r>
      <w:r w:rsidRPr="0096402F">
        <w:rPr>
          <w:rFonts w:hint="cs"/>
          <w:i/>
          <w:iCs/>
          <w:sz w:val="23"/>
          <w:szCs w:val="23"/>
          <w:highlight w:val="yellow"/>
          <w:u w:val="single"/>
          <w:rtl/>
        </w:rPr>
        <w:t xml:space="preserve">התיקון, כלומר </w:t>
      </w:r>
      <w:r w:rsidRPr="0096402F">
        <w:rPr>
          <w:i/>
          <w:iCs/>
          <w:sz w:val="23"/>
          <w:szCs w:val="23"/>
          <w:highlight w:val="yellow"/>
          <w:u w:val="single"/>
          <w:rtl/>
        </w:rPr>
        <w:t>ההתפתחות שלהלן</w:t>
      </w:r>
      <w:r w:rsidRPr="0096402F">
        <w:rPr>
          <w:rFonts w:hint="cs"/>
          <w:i/>
          <w:iCs/>
          <w:sz w:val="23"/>
          <w:szCs w:val="23"/>
          <w:highlight w:val="yellow"/>
          <w:u w:val="single"/>
          <w:rtl/>
        </w:rPr>
        <w:t>,</w:t>
      </w:r>
      <w:r w:rsidRPr="0096402F">
        <w:rPr>
          <w:i/>
          <w:iCs/>
          <w:sz w:val="23"/>
          <w:szCs w:val="23"/>
          <w:highlight w:val="yellow"/>
          <w:u w:val="single"/>
          <w:rtl/>
        </w:rPr>
        <w:t xml:space="preserve"> </w:t>
      </w:r>
      <w:r w:rsidRPr="0096402F">
        <w:rPr>
          <w:rFonts w:hint="cs"/>
          <w:i/>
          <w:iCs/>
          <w:sz w:val="23"/>
          <w:szCs w:val="23"/>
          <w:highlight w:val="yellow"/>
          <w:u w:val="single"/>
          <w:rtl/>
        </w:rPr>
        <w:t xml:space="preserve">תואמים את ההכרעה בפס"ד </w:t>
      </w:r>
      <w:r w:rsidRPr="0096402F">
        <w:rPr>
          <w:rFonts w:hint="cs"/>
          <w:b/>
          <w:bCs/>
          <w:i/>
          <w:iCs/>
          <w:sz w:val="23"/>
          <w:szCs w:val="23"/>
          <w:highlight w:val="yellow"/>
          <w:u w:val="single"/>
          <w:rtl/>
        </w:rPr>
        <w:t>פלוני</w:t>
      </w:r>
      <w:r w:rsidRPr="0096402F">
        <w:rPr>
          <w:rFonts w:hint="cs"/>
          <w:i/>
          <w:iCs/>
          <w:sz w:val="23"/>
          <w:szCs w:val="23"/>
          <w:highlight w:val="yellow"/>
          <w:u w:val="single"/>
          <w:rtl/>
        </w:rPr>
        <w:t>?</w:t>
      </w:r>
    </w:p>
    <w:p w:rsidR="005366A8" w:rsidRDefault="005366A8" w:rsidP="005366A8">
      <w:pPr>
        <w:autoSpaceDE w:val="0"/>
        <w:autoSpaceDN w:val="0"/>
        <w:adjustRightInd w:val="0"/>
        <w:rPr>
          <w:rFonts w:ascii="David" w:cs="David"/>
          <w:sz w:val="23"/>
          <w:szCs w:val="23"/>
          <w:rtl/>
        </w:rPr>
      </w:pPr>
      <w:r w:rsidRPr="00DE6D29">
        <w:rPr>
          <w:rFonts w:ascii="David" w:cs="David" w:hint="cs"/>
          <w:bCs/>
          <w:sz w:val="23"/>
          <w:szCs w:val="23"/>
          <w:rtl/>
        </w:rPr>
        <w:t>חוק</w:t>
      </w:r>
      <w:r w:rsidRPr="00DE6D29">
        <w:rPr>
          <w:rFonts w:ascii="David" w:cs="David"/>
          <w:bCs/>
          <w:sz w:val="23"/>
          <w:szCs w:val="23"/>
          <w:rtl/>
        </w:rPr>
        <w:t xml:space="preserve"> </w:t>
      </w:r>
      <w:r w:rsidRPr="00DE6D29">
        <w:rPr>
          <w:rFonts w:ascii="David" w:cs="David" w:hint="cs"/>
          <w:bCs/>
          <w:sz w:val="23"/>
          <w:szCs w:val="23"/>
          <w:rtl/>
        </w:rPr>
        <w:t>סדר</w:t>
      </w:r>
      <w:r w:rsidRPr="00DE6D29">
        <w:rPr>
          <w:rFonts w:ascii="David" w:cs="David"/>
          <w:bCs/>
          <w:sz w:val="23"/>
          <w:szCs w:val="23"/>
          <w:rtl/>
        </w:rPr>
        <w:t xml:space="preserve"> </w:t>
      </w:r>
      <w:r w:rsidRPr="00DE6D29">
        <w:rPr>
          <w:rFonts w:ascii="David" w:cs="David" w:hint="cs"/>
          <w:bCs/>
          <w:sz w:val="23"/>
          <w:szCs w:val="23"/>
          <w:rtl/>
        </w:rPr>
        <w:t>הדין</w:t>
      </w:r>
      <w:r w:rsidRPr="00DE6D29">
        <w:rPr>
          <w:rFonts w:ascii="David" w:cs="David"/>
          <w:bCs/>
          <w:sz w:val="23"/>
          <w:szCs w:val="23"/>
          <w:rtl/>
        </w:rPr>
        <w:t xml:space="preserve"> </w:t>
      </w:r>
      <w:r w:rsidRPr="00DE6D29">
        <w:rPr>
          <w:rFonts w:ascii="David" w:cs="David" w:hint="cs"/>
          <w:bCs/>
          <w:sz w:val="23"/>
          <w:szCs w:val="23"/>
          <w:rtl/>
        </w:rPr>
        <w:t>הפלילי</w:t>
      </w:r>
      <w:r w:rsidRPr="00DE6D29">
        <w:rPr>
          <w:rFonts w:ascii="David" w:cs="David"/>
          <w:bCs/>
          <w:sz w:val="23"/>
          <w:szCs w:val="23"/>
          <w:rtl/>
        </w:rPr>
        <w:t xml:space="preserve"> (</w:t>
      </w:r>
      <w:r w:rsidRPr="00DE6D29">
        <w:rPr>
          <w:rFonts w:ascii="David" w:cs="David" w:hint="cs"/>
          <w:bCs/>
          <w:sz w:val="23"/>
          <w:szCs w:val="23"/>
          <w:rtl/>
        </w:rPr>
        <w:t>עצור</w:t>
      </w:r>
      <w:r w:rsidRPr="00DE6D29">
        <w:rPr>
          <w:rFonts w:ascii="David" w:cs="David"/>
          <w:bCs/>
          <w:sz w:val="23"/>
          <w:szCs w:val="23"/>
          <w:rtl/>
        </w:rPr>
        <w:t xml:space="preserve"> </w:t>
      </w:r>
      <w:r w:rsidRPr="00DE6D29">
        <w:rPr>
          <w:rFonts w:ascii="David" w:cs="David" w:hint="cs"/>
          <w:bCs/>
          <w:sz w:val="23"/>
          <w:szCs w:val="23"/>
          <w:rtl/>
        </w:rPr>
        <w:t>החשוד</w:t>
      </w:r>
      <w:r w:rsidRPr="00DE6D29">
        <w:rPr>
          <w:rFonts w:ascii="David" w:cs="David"/>
          <w:bCs/>
          <w:sz w:val="23"/>
          <w:szCs w:val="23"/>
          <w:rtl/>
        </w:rPr>
        <w:t xml:space="preserve"> </w:t>
      </w:r>
      <w:r w:rsidRPr="00DE6D29">
        <w:rPr>
          <w:rFonts w:ascii="David" w:cs="David" w:hint="cs"/>
          <w:bCs/>
          <w:sz w:val="23"/>
          <w:szCs w:val="23"/>
          <w:rtl/>
        </w:rPr>
        <w:t>בעבירת</w:t>
      </w:r>
      <w:r w:rsidRPr="00DE6D29">
        <w:rPr>
          <w:rFonts w:ascii="David" w:cs="David"/>
          <w:bCs/>
          <w:sz w:val="23"/>
          <w:szCs w:val="23"/>
          <w:rtl/>
        </w:rPr>
        <w:t xml:space="preserve"> </w:t>
      </w:r>
      <w:r w:rsidRPr="00DE6D29">
        <w:rPr>
          <w:rFonts w:ascii="David" w:cs="David" w:hint="cs"/>
          <w:bCs/>
          <w:sz w:val="23"/>
          <w:szCs w:val="23"/>
          <w:rtl/>
        </w:rPr>
        <w:t>ביטחון</w:t>
      </w:r>
      <w:r w:rsidRPr="00DE6D29">
        <w:rPr>
          <w:rFonts w:ascii="David" w:cs="David"/>
          <w:bCs/>
          <w:sz w:val="23"/>
          <w:szCs w:val="23"/>
          <w:rtl/>
        </w:rPr>
        <w:t>) (</w:t>
      </w:r>
      <w:r w:rsidRPr="00DE6D29">
        <w:rPr>
          <w:rFonts w:ascii="David" w:cs="David" w:hint="cs"/>
          <w:bCs/>
          <w:sz w:val="23"/>
          <w:szCs w:val="23"/>
          <w:rtl/>
        </w:rPr>
        <w:t>הוראת</w:t>
      </w:r>
      <w:r w:rsidRPr="00DE6D29">
        <w:rPr>
          <w:rFonts w:ascii="David" w:cs="David"/>
          <w:bCs/>
          <w:sz w:val="23"/>
          <w:szCs w:val="23"/>
          <w:rtl/>
        </w:rPr>
        <w:t xml:space="preserve"> </w:t>
      </w:r>
      <w:r w:rsidRPr="00DE6D29">
        <w:rPr>
          <w:rFonts w:ascii="David" w:cs="David" w:hint="cs"/>
          <w:bCs/>
          <w:sz w:val="23"/>
          <w:szCs w:val="23"/>
          <w:rtl/>
        </w:rPr>
        <w:t>שעה</w:t>
      </w:r>
      <w:r w:rsidRPr="00DE6D29">
        <w:rPr>
          <w:rFonts w:ascii="David" w:cs="David"/>
          <w:bCs/>
          <w:sz w:val="23"/>
          <w:szCs w:val="23"/>
          <w:rtl/>
        </w:rPr>
        <w:t>)</w:t>
      </w:r>
      <w:r>
        <w:rPr>
          <w:rFonts w:ascii="David" w:cs="David" w:hint="cs"/>
          <w:bCs/>
          <w:sz w:val="23"/>
          <w:szCs w:val="23"/>
          <w:rtl/>
        </w:rPr>
        <w:t xml:space="preserve"> </w:t>
      </w:r>
      <w:r w:rsidRPr="00DE6D29">
        <w:rPr>
          <w:rFonts w:ascii="David" w:cs="David"/>
          <w:bCs/>
          <w:sz w:val="23"/>
          <w:szCs w:val="23"/>
          <w:rtl/>
        </w:rPr>
        <w:t>(</w:t>
      </w:r>
      <w:r w:rsidRPr="00DE6D29">
        <w:rPr>
          <w:rFonts w:ascii="David" w:cs="David" w:hint="cs"/>
          <w:bCs/>
          <w:sz w:val="23"/>
          <w:szCs w:val="23"/>
          <w:rtl/>
        </w:rPr>
        <w:t>תיקון</w:t>
      </w:r>
      <w:r w:rsidRPr="00DE6D29">
        <w:rPr>
          <w:rFonts w:ascii="David" w:cs="David"/>
          <w:bCs/>
          <w:sz w:val="23"/>
          <w:szCs w:val="23"/>
          <w:rtl/>
        </w:rPr>
        <w:t xml:space="preserve"> </w:t>
      </w:r>
      <w:r w:rsidRPr="00DE6D29">
        <w:rPr>
          <w:rFonts w:ascii="David" w:cs="David" w:hint="cs"/>
          <w:bCs/>
          <w:sz w:val="23"/>
          <w:szCs w:val="23"/>
          <w:rtl/>
        </w:rPr>
        <w:t>מס</w:t>
      </w:r>
      <w:r w:rsidRPr="00DE6D29">
        <w:rPr>
          <w:rFonts w:ascii="David" w:cs="David"/>
          <w:bCs/>
          <w:sz w:val="23"/>
          <w:szCs w:val="23"/>
          <w:rtl/>
        </w:rPr>
        <w:t xml:space="preserve">' 2), </w:t>
      </w:r>
      <w:bookmarkStart w:id="0" w:name="OLE_LINK5"/>
      <w:bookmarkStart w:id="1" w:name="OLE_LINK6"/>
      <w:r w:rsidRPr="00DE6D29">
        <w:rPr>
          <w:rFonts w:ascii="David" w:cs="David" w:hint="cs"/>
          <w:bCs/>
          <w:sz w:val="23"/>
          <w:szCs w:val="23"/>
          <w:rtl/>
        </w:rPr>
        <w:t>התשע</w:t>
      </w:r>
      <w:r w:rsidRPr="00DE6D29">
        <w:rPr>
          <w:rFonts w:ascii="David" w:cs="David"/>
          <w:bCs/>
          <w:sz w:val="23"/>
          <w:szCs w:val="23"/>
          <w:rtl/>
        </w:rPr>
        <w:t>"</w:t>
      </w:r>
      <w:r w:rsidRPr="00DE6D29">
        <w:rPr>
          <w:rFonts w:ascii="David" w:cs="David" w:hint="cs"/>
          <w:bCs/>
          <w:sz w:val="23"/>
          <w:szCs w:val="23"/>
          <w:rtl/>
        </w:rPr>
        <w:t>א</w:t>
      </w:r>
      <w:bookmarkEnd w:id="0"/>
      <w:bookmarkEnd w:id="1"/>
      <w:r w:rsidRPr="00DE6D29">
        <w:rPr>
          <w:rFonts w:ascii="David" w:cs="David"/>
          <w:bCs/>
          <w:i/>
          <w:sz w:val="23"/>
          <w:szCs w:val="23"/>
          <w:rtl/>
        </w:rPr>
        <w:t>–</w:t>
      </w:r>
      <w:r w:rsidRPr="00DE6D29">
        <w:rPr>
          <w:rFonts w:ascii="David" w:cs="David"/>
          <w:bCs/>
          <w:sz w:val="23"/>
          <w:szCs w:val="23"/>
          <w:rtl/>
        </w:rPr>
        <w:t>2010</w:t>
      </w:r>
    </w:p>
    <w:p w:rsidR="005366A8" w:rsidRDefault="005366A8" w:rsidP="005366A8">
      <w:pPr>
        <w:autoSpaceDE w:val="0"/>
        <w:autoSpaceDN w:val="0"/>
        <w:adjustRightInd w:val="0"/>
        <w:rPr>
          <w:rFonts w:ascii="David" w:cs="David"/>
          <w:sz w:val="22"/>
          <w:szCs w:val="22"/>
          <w:rtl/>
        </w:rPr>
      </w:pPr>
    </w:p>
    <w:p w:rsidR="005366A8" w:rsidRPr="00F35AFD" w:rsidRDefault="005366A8" w:rsidP="005366A8">
      <w:pPr>
        <w:autoSpaceDE w:val="0"/>
        <w:autoSpaceDN w:val="0"/>
        <w:adjustRightInd w:val="0"/>
        <w:ind w:left="720" w:right="709"/>
        <w:rPr>
          <w:rFonts w:ascii="David" w:cs="David"/>
          <w:sz w:val="20"/>
          <w:szCs w:val="20"/>
          <w:rtl/>
        </w:rPr>
      </w:pPr>
      <w:r w:rsidRPr="00F35AFD">
        <w:rPr>
          <w:rFonts w:ascii="David" w:cs="David" w:hint="cs"/>
          <w:sz w:val="20"/>
          <w:szCs w:val="20"/>
          <w:rtl/>
        </w:rPr>
        <w:t xml:space="preserve">5. </w:t>
      </w:r>
      <w:r w:rsidRPr="00F35AFD">
        <w:rPr>
          <w:rFonts w:ascii="David" w:cs="David"/>
          <w:sz w:val="20"/>
          <w:szCs w:val="20"/>
          <w:rtl/>
        </w:rPr>
        <w:t xml:space="preserve">על אף הוראות סעיף 16(2) לחוק המעצרים, לעניין נוכחותו של עצור בעבירת ביטחון בדיון בהארכת מעצרו בתקופת המעצר כאמור בסעיף 4, ציווה בית המשפט, בנוכחות העצור, על מעצרו לתקופה הקצרה מ-20 ימים, </w:t>
      </w:r>
      <w:r w:rsidRPr="00F35AFD">
        <w:rPr>
          <w:rFonts w:ascii="David" w:cs="David"/>
          <w:sz w:val="20"/>
          <w:szCs w:val="20"/>
          <w:highlight w:val="yellow"/>
          <w:rtl/>
        </w:rPr>
        <w:t>רשאי שופט של בית המשפט העליון לבקשת ראש אגף החקירות בשירות הביטחון הכללי שהוגשה בכתב בהסכמת היועץ המשפטי לממשלה, להאריך את מעצרו של עצור כאמור שלא בנוכחותו, אם שוכנע כי אם תופסק החקירה לשם הבאת העצור לדיון קיימת אפשרות קרובה לוודאי לסיכול של מניעת פגיעה בחיי אדם;</w:t>
      </w:r>
      <w:r w:rsidRPr="00F35AFD">
        <w:rPr>
          <w:rFonts w:ascii="David" w:cs="David"/>
          <w:sz w:val="20"/>
          <w:szCs w:val="20"/>
          <w:rtl/>
        </w:rPr>
        <w:t xml:space="preserve"> הארכת מעצר כאמור תהא </w:t>
      </w:r>
      <w:r w:rsidRPr="00F35AFD">
        <w:rPr>
          <w:rFonts w:ascii="David" w:cs="David"/>
          <w:sz w:val="20"/>
          <w:szCs w:val="20"/>
          <w:highlight w:val="yellow"/>
          <w:rtl/>
        </w:rPr>
        <w:t>לתקופות נוספות שלא יעלו על 72 שעות כל אחת</w:t>
      </w:r>
      <w:r w:rsidRPr="00F35AFD">
        <w:rPr>
          <w:rFonts w:ascii="David" w:cs="David"/>
          <w:sz w:val="20"/>
          <w:szCs w:val="20"/>
          <w:rtl/>
        </w:rPr>
        <w:t xml:space="preserve">, </w:t>
      </w:r>
      <w:r w:rsidRPr="00F35AFD">
        <w:rPr>
          <w:rFonts w:ascii="David" w:cs="David"/>
          <w:sz w:val="20"/>
          <w:szCs w:val="20"/>
          <w:highlight w:val="yellow"/>
          <w:rtl/>
        </w:rPr>
        <w:t>ובלבד שסך התקופות שבהן יוארך המעצר ללא נוכחות העצור לא יעלה על 144 שעות, או לא יעלה על יתרת התקופה שנותרה עד תום 20 ימים ממועד הדיון שהתקיים בנוכחותו, לפי הקצר</w:t>
      </w:r>
      <w:r w:rsidRPr="00F35AFD">
        <w:rPr>
          <w:rFonts w:ascii="David" w:cs="David"/>
          <w:sz w:val="20"/>
          <w:szCs w:val="20"/>
          <w:rtl/>
        </w:rPr>
        <w:t>.</w:t>
      </w:r>
    </w:p>
    <w:p w:rsidR="005366A8" w:rsidRDefault="005366A8" w:rsidP="005366A8">
      <w:pPr>
        <w:autoSpaceDE w:val="0"/>
        <w:autoSpaceDN w:val="0"/>
        <w:adjustRightInd w:val="0"/>
        <w:rPr>
          <w:rFonts w:ascii="David" w:cs="David"/>
          <w:sz w:val="23"/>
          <w:szCs w:val="23"/>
          <w:rtl/>
        </w:rPr>
      </w:pPr>
    </w:p>
    <w:p w:rsidR="005366A8" w:rsidRDefault="005366A8" w:rsidP="005366A8">
      <w:pPr>
        <w:rPr>
          <w:sz w:val="22"/>
          <w:szCs w:val="22"/>
          <w:rtl/>
        </w:rPr>
      </w:pPr>
      <w:r>
        <w:rPr>
          <w:rFonts w:hint="cs"/>
          <w:sz w:val="22"/>
          <w:szCs w:val="22"/>
          <w:rtl/>
        </w:rPr>
        <w:t xml:space="preserve">חומר לקריאת </w:t>
      </w:r>
      <w:r w:rsidRPr="00157FFE">
        <w:rPr>
          <w:rFonts w:hint="cs"/>
          <w:sz w:val="22"/>
          <w:szCs w:val="22"/>
          <w:u w:val="single"/>
          <w:rtl/>
        </w:rPr>
        <w:t>רשות</w:t>
      </w:r>
      <w:r>
        <w:rPr>
          <w:rFonts w:hint="cs"/>
          <w:sz w:val="22"/>
          <w:szCs w:val="22"/>
          <w:rtl/>
        </w:rPr>
        <w:t xml:space="preserve"> </w:t>
      </w:r>
      <w:r>
        <w:rPr>
          <w:sz w:val="22"/>
          <w:szCs w:val="22"/>
          <w:rtl/>
        </w:rPr>
        <w:t>–</w:t>
      </w:r>
      <w:r>
        <w:rPr>
          <w:rFonts w:hint="cs"/>
          <w:sz w:val="22"/>
          <w:szCs w:val="22"/>
          <w:rtl/>
        </w:rPr>
        <w:t xml:space="preserve"> עוסק בשאלה שהוצגה זה עתה, על ההתאמה בין התיקון החדש שלאחר </w:t>
      </w:r>
      <w:r w:rsidRPr="00157FFE">
        <w:rPr>
          <w:rFonts w:hint="cs"/>
          <w:b/>
          <w:bCs/>
          <w:sz w:val="22"/>
          <w:szCs w:val="22"/>
          <w:rtl/>
        </w:rPr>
        <w:t>פלוני</w:t>
      </w:r>
      <w:r>
        <w:rPr>
          <w:rFonts w:hint="cs"/>
          <w:sz w:val="22"/>
          <w:szCs w:val="22"/>
          <w:rtl/>
        </w:rPr>
        <w:t xml:space="preserve"> לקביעות בית המשפט בתוך פסק הדין: * </w:t>
      </w:r>
      <w:r w:rsidRPr="0096402F">
        <w:rPr>
          <w:rFonts w:hint="cs"/>
          <w:b/>
          <w:bCs/>
          <w:sz w:val="22"/>
          <w:szCs w:val="22"/>
          <w:rtl/>
        </w:rPr>
        <w:t>עורך הדין</w:t>
      </w:r>
      <w:r w:rsidRPr="0096402F">
        <w:rPr>
          <w:rFonts w:hint="cs"/>
          <w:sz w:val="22"/>
          <w:szCs w:val="22"/>
          <w:rtl/>
        </w:rPr>
        <w:t xml:space="preserve">, חוברת 10, ינואר 2011, שני מאמרים קצרים וחולקים של עו"ד שי ניצן </w:t>
      </w:r>
      <w:r>
        <w:rPr>
          <w:rFonts w:hint="cs"/>
          <w:sz w:val="22"/>
          <w:szCs w:val="22"/>
          <w:rtl/>
        </w:rPr>
        <w:t xml:space="preserve">(היום, פרקליט המדינה) </w:t>
      </w:r>
      <w:r w:rsidRPr="0096402F">
        <w:rPr>
          <w:rFonts w:hint="cs"/>
          <w:sz w:val="22"/>
          <w:szCs w:val="22"/>
          <w:rtl/>
        </w:rPr>
        <w:t xml:space="preserve">ועו"ד אלקנה לייסט </w:t>
      </w:r>
      <w:r>
        <w:rPr>
          <w:rFonts w:hint="cs"/>
          <w:sz w:val="22"/>
          <w:szCs w:val="22"/>
          <w:rtl/>
        </w:rPr>
        <w:t xml:space="preserve">(מהסנגוריה הציבורית) </w:t>
      </w:r>
      <w:r w:rsidRPr="0096402F">
        <w:rPr>
          <w:rFonts w:hint="cs"/>
          <w:sz w:val="22"/>
          <w:szCs w:val="22"/>
          <w:rtl/>
        </w:rPr>
        <w:t>על התיקון לחוק סדר הדין הפלילי (עצור החשוד בעבירות ביטחון) (הוראת שעה) התשס"ו-2006, עמ' 30-21</w:t>
      </w:r>
      <w:r>
        <w:rPr>
          <w:rFonts w:hint="cs"/>
          <w:sz w:val="22"/>
          <w:szCs w:val="22"/>
          <w:rtl/>
        </w:rPr>
        <w:t xml:space="preserve"> [החומר מצוי במערכת המוּדל].</w:t>
      </w:r>
    </w:p>
    <w:p w:rsidR="005366A8" w:rsidRDefault="005366A8" w:rsidP="005366A8">
      <w:pPr>
        <w:rPr>
          <w:sz w:val="22"/>
          <w:szCs w:val="22"/>
          <w:rtl/>
        </w:rPr>
      </w:pPr>
    </w:p>
    <w:p w:rsidR="005366A8" w:rsidRDefault="005366A8" w:rsidP="005366A8">
      <w:pPr>
        <w:rPr>
          <w:sz w:val="22"/>
          <w:szCs w:val="22"/>
          <w:rtl/>
        </w:rPr>
      </w:pPr>
      <w:r>
        <w:rPr>
          <w:rFonts w:hint="cs"/>
          <w:sz w:val="22"/>
          <w:szCs w:val="22"/>
          <w:rtl/>
        </w:rPr>
        <w:t>=-=</w:t>
      </w:r>
    </w:p>
    <w:p w:rsidR="005366A8" w:rsidRPr="00452E78" w:rsidRDefault="005366A8" w:rsidP="005366A8">
      <w:pPr>
        <w:spacing w:after="240"/>
        <w:jc w:val="center"/>
        <w:rPr>
          <w:b/>
          <w:bCs/>
          <w:u w:val="single"/>
          <w:rtl/>
        </w:rPr>
      </w:pPr>
      <w:r w:rsidRPr="000B403E">
        <w:rPr>
          <w:rFonts w:hint="cs"/>
          <w:b/>
          <w:bCs/>
          <w:highlight w:val="yellow"/>
          <w:u w:val="single"/>
          <w:rtl/>
        </w:rPr>
        <w:t xml:space="preserve">לקראת סיום החלק המבואי... </w:t>
      </w:r>
      <w:r w:rsidRPr="000B403E">
        <w:rPr>
          <w:b/>
          <w:bCs/>
          <w:highlight w:val="yellow"/>
          <w:u w:val="single"/>
          <w:rtl/>
        </w:rPr>
        <w:t>–</w:t>
      </w:r>
      <w:r w:rsidRPr="000B403E">
        <w:rPr>
          <w:rFonts w:hint="cs"/>
          <w:b/>
          <w:bCs/>
          <w:highlight w:val="yellow"/>
          <w:u w:val="single"/>
          <w:rtl/>
        </w:rPr>
        <w:t xml:space="preserve"> היכרות עם פסק דין שהוא באופן מובהק יותר משדה "המשפט המינהלי"</w:t>
      </w:r>
    </w:p>
    <w:p w:rsidR="005366A8" w:rsidRPr="00F35AFD" w:rsidRDefault="005366A8" w:rsidP="005366A8">
      <w:pPr>
        <w:spacing w:after="60"/>
        <w:rPr>
          <w:sz w:val="20"/>
          <w:szCs w:val="20"/>
          <w:rtl/>
        </w:rPr>
      </w:pPr>
      <w:r w:rsidRPr="00F35AFD">
        <w:rPr>
          <w:rFonts w:hint="cs"/>
          <w:sz w:val="20"/>
          <w:szCs w:val="20"/>
          <w:rtl/>
        </w:rPr>
        <w:t xml:space="preserve">פס"ד </w:t>
      </w:r>
      <w:r w:rsidRPr="00F35AFD">
        <w:rPr>
          <w:rFonts w:hint="cs"/>
          <w:b/>
          <w:bCs/>
          <w:sz w:val="20"/>
          <w:szCs w:val="20"/>
          <w:rtl/>
        </w:rPr>
        <w:t>מושלב נ' הוועדה המחוזית</w:t>
      </w:r>
      <w:r w:rsidRPr="00F35AFD">
        <w:rPr>
          <w:rFonts w:hint="cs"/>
          <w:sz w:val="20"/>
          <w:szCs w:val="20"/>
          <w:rtl/>
        </w:rPr>
        <w:t xml:space="preserve"> הוא דוגמא לאותו חלק מהמשפט הציבורי הקרוי </w:t>
      </w:r>
      <w:r w:rsidRPr="00F35AFD">
        <w:rPr>
          <w:rFonts w:hint="cs"/>
          <w:b/>
          <w:bCs/>
          <w:sz w:val="20"/>
          <w:szCs w:val="20"/>
          <w:rtl/>
        </w:rPr>
        <w:t xml:space="preserve">המשפט המינהלי. </w:t>
      </w:r>
      <w:r w:rsidRPr="00F35AFD">
        <w:rPr>
          <w:rFonts w:hint="cs"/>
          <w:sz w:val="20"/>
          <w:szCs w:val="20"/>
          <w:rtl/>
        </w:rPr>
        <w:t xml:space="preserve">משמע, </w:t>
      </w:r>
      <w:r w:rsidRPr="00F35AFD">
        <w:rPr>
          <w:rFonts w:hint="cs"/>
          <w:sz w:val="20"/>
          <w:szCs w:val="20"/>
          <w:u w:val="single"/>
          <w:rtl/>
        </w:rPr>
        <w:t>הנורמות המשפטיות החלות על רשויות המינהל</w:t>
      </w:r>
      <w:r w:rsidRPr="00F35AFD">
        <w:rPr>
          <w:rFonts w:hint="cs"/>
          <w:sz w:val="20"/>
          <w:szCs w:val="20"/>
          <w:rtl/>
        </w:rPr>
        <w:t>: קרי, הממשלה וזרועותיה, השלטון המקומי (=הרשויות המקומיות), וגורמי מינהל אחרים עליהם נלמד.</w:t>
      </w:r>
    </w:p>
    <w:p w:rsidR="005366A8" w:rsidRPr="00F35AFD" w:rsidRDefault="005366A8" w:rsidP="005366A8">
      <w:pPr>
        <w:spacing w:after="60"/>
        <w:rPr>
          <w:sz w:val="20"/>
          <w:szCs w:val="20"/>
          <w:rtl/>
        </w:rPr>
      </w:pPr>
      <w:r w:rsidRPr="00F35AFD">
        <w:rPr>
          <w:rFonts w:hint="cs"/>
          <w:sz w:val="20"/>
          <w:szCs w:val="20"/>
          <w:rtl/>
        </w:rPr>
        <w:t>פגשנו דוגמאות נוספות בפגישות הקודמות:</w:t>
      </w:r>
    </w:p>
    <w:p w:rsidR="005366A8" w:rsidRPr="00F35AFD" w:rsidRDefault="005366A8" w:rsidP="005366A8">
      <w:pPr>
        <w:spacing w:after="60"/>
        <w:ind w:left="1440" w:hanging="720"/>
        <w:rPr>
          <w:sz w:val="20"/>
          <w:szCs w:val="20"/>
          <w:rtl/>
        </w:rPr>
      </w:pPr>
      <w:r w:rsidRPr="00F35AFD">
        <w:rPr>
          <w:rFonts w:hint="cs"/>
          <w:b/>
          <w:bCs/>
          <w:sz w:val="20"/>
          <w:szCs w:val="20"/>
          <w:rtl/>
        </w:rPr>
        <w:t>דוגמת המסעדה בבית שמש, "ספר-ריבז"</w:t>
      </w:r>
      <w:r w:rsidRPr="00F35AFD">
        <w:rPr>
          <w:rFonts w:hint="cs"/>
          <w:sz w:val="20"/>
          <w:szCs w:val="20"/>
          <w:rtl/>
        </w:rPr>
        <w:t xml:space="preserve"> </w:t>
      </w:r>
      <w:r w:rsidRPr="00F35AFD">
        <w:rPr>
          <w:sz w:val="20"/>
          <w:szCs w:val="20"/>
          <w:rtl/>
        </w:rPr>
        <w:t>–</w:t>
      </w:r>
      <w:r w:rsidRPr="00F35AFD">
        <w:rPr>
          <w:rFonts w:hint="cs"/>
          <w:sz w:val="20"/>
          <w:szCs w:val="20"/>
          <w:rtl/>
        </w:rPr>
        <w:t xml:space="preserve"> סמכות סגן ראש העיר לבטל את רישיון העסק; סמכות הפקחים לבדוק את הנושא התברואתי; זכות הטיעון שצריכה להינתן לבעלי המסעדה במהלך בירור עניינם; סמכות שר הבריאות (באותו עניין) ליטול את סמכות התקנת התקנות ממנכ"ל המשרד; ועוד;</w:t>
      </w:r>
    </w:p>
    <w:p w:rsidR="005366A8" w:rsidRPr="00F35AFD" w:rsidRDefault="005366A8" w:rsidP="005366A8">
      <w:pPr>
        <w:spacing w:after="60"/>
        <w:ind w:left="1440" w:hanging="720"/>
        <w:rPr>
          <w:sz w:val="20"/>
          <w:szCs w:val="20"/>
          <w:rtl/>
        </w:rPr>
      </w:pPr>
      <w:r w:rsidRPr="00F35AFD">
        <w:rPr>
          <w:rFonts w:hint="cs"/>
          <w:sz w:val="20"/>
          <w:szCs w:val="20"/>
          <w:rtl/>
        </w:rPr>
        <w:t xml:space="preserve">ואפילו סמכות חוקרי השב"כ בפסק דין </w:t>
      </w:r>
      <w:r w:rsidRPr="00F35AFD">
        <w:rPr>
          <w:rFonts w:hint="cs"/>
          <w:b/>
          <w:bCs/>
          <w:sz w:val="20"/>
          <w:szCs w:val="20"/>
          <w:rtl/>
        </w:rPr>
        <w:t xml:space="preserve">הועד הציבורי נגד עינויים </w:t>
      </w:r>
      <w:r w:rsidRPr="00F35AFD">
        <w:rPr>
          <w:sz w:val="20"/>
          <w:szCs w:val="20"/>
          <w:rtl/>
        </w:rPr>
        <w:t>–</w:t>
      </w:r>
      <w:r w:rsidRPr="00F35AFD">
        <w:rPr>
          <w:rFonts w:hint="cs"/>
          <w:sz w:val="20"/>
          <w:szCs w:val="20"/>
          <w:rtl/>
        </w:rPr>
        <w:t xml:space="preserve"> לחקור ולהשתמש באמצעי חקירה מיוחדים </w:t>
      </w:r>
      <w:r w:rsidRPr="00F35AFD">
        <w:rPr>
          <w:sz w:val="20"/>
          <w:szCs w:val="20"/>
          <w:rtl/>
        </w:rPr>
        <w:t>–</w:t>
      </w:r>
      <w:r w:rsidRPr="00F35AFD">
        <w:rPr>
          <w:rFonts w:hint="cs"/>
          <w:sz w:val="20"/>
          <w:szCs w:val="20"/>
          <w:rtl/>
        </w:rPr>
        <w:t xml:space="preserve"> היא עניין של משפט מינהלי;</w:t>
      </w:r>
    </w:p>
    <w:p w:rsidR="005366A8" w:rsidRPr="00F35AFD" w:rsidRDefault="005366A8" w:rsidP="005366A8">
      <w:pPr>
        <w:spacing w:after="60"/>
        <w:ind w:left="1440"/>
        <w:rPr>
          <w:sz w:val="20"/>
          <w:szCs w:val="20"/>
          <w:rtl/>
        </w:rPr>
      </w:pPr>
      <w:r w:rsidRPr="00F35AFD">
        <w:rPr>
          <w:rFonts w:hint="cs"/>
          <w:sz w:val="20"/>
          <w:szCs w:val="20"/>
          <w:rtl/>
        </w:rPr>
        <w:t xml:space="preserve">עם זאת, בפסק דין זה של </w:t>
      </w:r>
      <w:r w:rsidRPr="00F35AFD">
        <w:rPr>
          <w:rFonts w:hint="cs"/>
          <w:b/>
          <w:bCs/>
          <w:sz w:val="20"/>
          <w:szCs w:val="20"/>
          <w:rtl/>
        </w:rPr>
        <w:t>הועד הציבורי</w:t>
      </w:r>
      <w:r w:rsidRPr="00F35AFD">
        <w:rPr>
          <w:rFonts w:hint="cs"/>
          <w:sz w:val="20"/>
          <w:szCs w:val="20"/>
          <w:rtl/>
        </w:rPr>
        <w:t xml:space="preserve"> היינו סמוכים מאד ל</w:t>
      </w:r>
      <w:r w:rsidRPr="00F35AFD">
        <w:rPr>
          <w:rFonts w:hint="cs"/>
          <w:b/>
          <w:bCs/>
          <w:sz w:val="20"/>
          <w:szCs w:val="20"/>
          <w:rtl/>
        </w:rPr>
        <w:t>"משפט החוקתי"</w:t>
      </w:r>
      <w:r w:rsidRPr="00F35AFD">
        <w:rPr>
          <w:rFonts w:hint="cs"/>
          <w:sz w:val="20"/>
          <w:szCs w:val="20"/>
          <w:rtl/>
        </w:rPr>
        <w:t xml:space="preserve">, שכן עסקנו </w:t>
      </w:r>
      <w:r w:rsidRPr="00F35AFD">
        <w:rPr>
          <w:rFonts w:hint="cs"/>
          <w:i/>
          <w:iCs/>
          <w:sz w:val="20"/>
          <w:szCs w:val="20"/>
          <w:u w:val="single"/>
          <w:rtl/>
        </w:rPr>
        <w:t>בחלוקת הכוח המשטרית בין הרשות המבצעת לרשות המחוקק</w:t>
      </w:r>
      <w:r w:rsidRPr="00F35AFD">
        <w:rPr>
          <w:rFonts w:hint="cs"/>
          <w:i/>
          <w:iCs/>
          <w:sz w:val="20"/>
          <w:szCs w:val="20"/>
          <w:rtl/>
        </w:rPr>
        <w:t>ת</w:t>
      </w:r>
      <w:r w:rsidRPr="00F35AFD">
        <w:rPr>
          <w:rFonts w:hint="cs"/>
          <w:sz w:val="20"/>
          <w:szCs w:val="20"/>
          <w:rtl/>
        </w:rPr>
        <w:t>. בית המשפט קבע, כי הסדרת "אמצעי חקירה מיוחדים" שמורה למחוקק.</w:t>
      </w:r>
    </w:p>
    <w:p w:rsidR="005366A8" w:rsidRPr="00F35AFD" w:rsidRDefault="005366A8" w:rsidP="005366A8">
      <w:pPr>
        <w:spacing w:after="60"/>
        <w:rPr>
          <w:sz w:val="20"/>
          <w:szCs w:val="20"/>
          <w:rtl/>
        </w:rPr>
      </w:pPr>
      <w:r w:rsidRPr="00F35AFD">
        <w:rPr>
          <w:rFonts w:hint="cs"/>
          <w:sz w:val="20"/>
          <w:szCs w:val="20"/>
          <w:rtl/>
        </w:rPr>
        <w:t xml:space="preserve">הדוגמא המובהקת ביותר של משפט חוקתי עד עתה הייתה פס"ד </w:t>
      </w:r>
      <w:r w:rsidRPr="00F35AFD">
        <w:rPr>
          <w:rFonts w:hint="cs"/>
          <w:b/>
          <w:bCs/>
          <w:sz w:val="20"/>
          <w:szCs w:val="20"/>
          <w:rtl/>
        </w:rPr>
        <w:t>פלוני</w:t>
      </w:r>
      <w:r w:rsidRPr="00F35AFD">
        <w:rPr>
          <w:rFonts w:hint="cs"/>
          <w:sz w:val="20"/>
          <w:szCs w:val="20"/>
          <w:rtl/>
        </w:rPr>
        <w:t xml:space="preserve">, שעסק </w:t>
      </w:r>
      <w:r w:rsidRPr="00F35AFD">
        <w:rPr>
          <w:rFonts w:hint="cs"/>
          <w:i/>
          <w:iCs/>
          <w:sz w:val="20"/>
          <w:szCs w:val="20"/>
          <w:u w:val="single"/>
          <w:rtl/>
        </w:rPr>
        <w:t>בתוקפה של הוראת</w:t>
      </w:r>
      <w:r w:rsidRPr="00F35AFD">
        <w:rPr>
          <w:rFonts w:hint="cs"/>
          <w:i/>
          <w:iCs/>
          <w:sz w:val="20"/>
          <w:szCs w:val="20"/>
          <w:rtl/>
        </w:rPr>
        <w:t xml:space="preserve"> </w:t>
      </w:r>
      <w:r w:rsidRPr="00F35AFD">
        <w:rPr>
          <w:rFonts w:hint="cs"/>
          <w:i/>
          <w:iCs/>
          <w:sz w:val="20"/>
          <w:szCs w:val="20"/>
          <w:u w:val="single"/>
          <w:rtl/>
        </w:rPr>
        <w:t>חוק</w:t>
      </w:r>
      <w:r w:rsidRPr="00F35AFD">
        <w:rPr>
          <w:rFonts w:hint="cs"/>
          <w:i/>
          <w:iCs/>
          <w:sz w:val="20"/>
          <w:szCs w:val="20"/>
          <w:rtl/>
        </w:rPr>
        <w:t>,</w:t>
      </w:r>
      <w:r w:rsidRPr="00F35AFD">
        <w:rPr>
          <w:rFonts w:hint="cs"/>
          <w:sz w:val="20"/>
          <w:szCs w:val="20"/>
          <w:rtl/>
        </w:rPr>
        <w:t xml:space="preserve"> כלומר בעמידתה בתנאים שקבעה הכנסת בכובע רם ונישא יותר: סמכותה המכוננת (חוק יסוד: כבוד האדם וחירותו ופסקת ההגבלה שבו).</w:t>
      </w:r>
    </w:p>
    <w:p w:rsidR="005366A8" w:rsidRPr="00F35AFD" w:rsidRDefault="005366A8" w:rsidP="005366A8">
      <w:pPr>
        <w:rPr>
          <w:sz w:val="20"/>
          <w:szCs w:val="20"/>
          <w:rtl/>
        </w:rPr>
      </w:pPr>
      <w:r w:rsidRPr="00F35AFD">
        <w:rPr>
          <w:rFonts w:hint="cs"/>
          <w:sz w:val="20"/>
          <w:szCs w:val="20"/>
          <w:highlight w:val="yellow"/>
          <w:rtl/>
        </w:rPr>
        <w:t xml:space="preserve">אל תתרגשו יותר מדי מההבחנה הזו שבין משפט חוקתי למשפט מינהלי. היא בעלת משמעות ואולם אין מדובר "במגירות נפרדות". ואכן לא לחינם אנחנו לומדים את הקורס "משפט ציבורי", שהוא קורס משולב, הבוחן את הסמכויות הנתונות </w:t>
      </w:r>
      <w:r w:rsidRPr="00F35AFD">
        <w:rPr>
          <w:rFonts w:hint="cs"/>
          <w:b/>
          <w:bCs/>
          <w:i/>
          <w:iCs/>
          <w:sz w:val="20"/>
          <w:szCs w:val="20"/>
          <w:highlight w:val="yellow"/>
          <w:rtl/>
        </w:rPr>
        <w:t>לכל</w:t>
      </w:r>
      <w:r w:rsidRPr="00F35AFD">
        <w:rPr>
          <w:rFonts w:hint="cs"/>
          <w:i/>
          <w:iCs/>
          <w:sz w:val="20"/>
          <w:szCs w:val="20"/>
          <w:highlight w:val="yellow"/>
          <w:rtl/>
        </w:rPr>
        <w:t xml:space="preserve"> רשויות השלטון</w:t>
      </w:r>
      <w:r w:rsidRPr="00F35AFD">
        <w:rPr>
          <w:rFonts w:hint="cs"/>
          <w:sz w:val="20"/>
          <w:szCs w:val="20"/>
          <w:highlight w:val="yellow"/>
          <w:rtl/>
        </w:rPr>
        <w:t xml:space="preserve"> (מחוקק, רשות מבצעת, רשות שופטת), ואת החובות או הכללים המשפטיים הקבועים בעניינן</w:t>
      </w:r>
      <w:r w:rsidRPr="00F35AFD">
        <w:rPr>
          <w:rFonts w:hint="cs"/>
          <w:sz w:val="20"/>
          <w:szCs w:val="20"/>
          <w:rtl/>
        </w:rPr>
        <w:t>.</w:t>
      </w:r>
    </w:p>
    <w:p w:rsidR="005366A8" w:rsidRDefault="005366A8" w:rsidP="005366A8">
      <w:pPr>
        <w:rPr>
          <w:rtl/>
        </w:rPr>
      </w:pPr>
    </w:p>
    <w:p w:rsidR="005366A8" w:rsidRPr="00D010DB" w:rsidRDefault="005366A8" w:rsidP="005366A8">
      <w:pPr>
        <w:pStyle w:val="T-body"/>
        <w:spacing w:after="120" w:line="240" w:lineRule="auto"/>
        <w:jc w:val="center"/>
        <w:rPr>
          <w:rtl/>
        </w:rPr>
      </w:pPr>
      <w:r w:rsidRPr="009A7350">
        <w:rPr>
          <w:highlight w:val="green"/>
          <w:rtl/>
        </w:rPr>
        <w:t xml:space="preserve">בג"צ 3132/92 </w:t>
      </w:r>
      <w:r w:rsidRPr="009A7350">
        <w:rPr>
          <w:b/>
          <w:bCs/>
          <w:highlight w:val="green"/>
          <w:rtl/>
        </w:rPr>
        <w:t>מושלב נ' הוועדה המחוזית לתכנון ולבנייה, מחוז הצפון</w:t>
      </w:r>
      <w:r w:rsidRPr="009A7350">
        <w:rPr>
          <w:highlight w:val="green"/>
          <w:rtl/>
        </w:rPr>
        <w:t>, פ"ד מז(3) 741 (1993)</w:t>
      </w:r>
    </w:p>
    <w:p w:rsidR="005366A8" w:rsidRPr="00F5459C" w:rsidRDefault="005366A8" w:rsidP="005366A8">
      <w:pPr>
        <w:rPr>
          <w:rFonts w:cs="FrankRuehl"/>
          <w:sz w:val="22"/>
          <w:szCs w:val="22"/>
          <w:rtl/>
        </w:rPr>
      </w:pPr>
      <w:r w:rsidRPr="00F5459C">
        <w:rPr>
          <w:rFonts w:cs="FrankRuehl"/>
          <w:sz w:val="22"/>
          <w:szCs w:val="22"/>
          <w:rtl/>
        </w:rPr>
        <w:t xml:space="preserve">1. </w:t>
      </w:r>
      <w:r w:rsidRPr="00F5459C">
        <w:rPr>
          <w:rFonts w:cs="FrankRuehl"/>
          <w:sz w:val="22"/>
          <w:szCs w:val="22"/>
          <w:highlight w:val="yellow"/>
          <w:rtl/>
        </w:rPr>
        <w:t>העותר</w:t>
      </w:r>
      <w:r w:rsidRPr="00F5459C">
        <w:rPr>
          <w:rFonts w:cs="FrankRuehl"/>
          <w:sz w:val="22"/>
          <w:szCs w:val="22"/>
          <w:rtl/>
        </w:rPr>
        <w:t xml:space="preserve"> הוא בעליה של חלקת אדמה באבו-סנאן, הגובלת בכביש שלומי-אחיהוד. גם </w:t>
      </w:r>
      <w:r w:rsidRPr="00F5459C">
        <w:rPr>
          <w:rFonts w:cs="FrankRuehl"/>
          <w:sz w:val="22"/>
          <w:szCs w:val="22"/>
          <w:highlight w:val="yellow"/>
          <w:rtl/>
        </w:rPr>
        <w:t>לקיבוץ כברי</w:t>
      </w:r>
      <w:r w:rsidRPr="00F5459C">
        <w:rPr>
          <w:rFonts w:cs="FrankRuehl"/>
          <w:sz w:val="22"/>
          <w:szCs w:val="22"/>
          <w:rtl/>
        </w:rPr>
        <w:t xml:space="preserve"> (להלן: הקיבוץ) קרקע באותו צד של הכביש הנ"ל במרחק של פחות מ-15 ק"מ מאדמת העותר. הן העותר והן הקיבוץ מבקשים להקים על אדמותיהם תחנת דלק, שירותי דלק ומסעדה. </w:t>
      </w:r>
    </w:p>
    <w:p w:rsidR="005366A8" w:rsidRPr="00F5459C" w:rsidRDefault="005366A8" w:rsidP="005366A8">
      <w:pPr>
        <w:spacing w:after="60"/>
        <w:rPr>
          <w:rFonts w:cs="FrankRuehl"/>
          <w:sz w:val="22"/>
          <w:szCs w:val="22"/>
          <w:rtl/>
        </w:rPr>
      </w:pPr>
      <w:r w:rsidRPr="00F5459C">
        <w:rPr>
          <w:rFonts w:cs="FrankRuehl"/>
          <w:sz w:val="22"/>
          <w:szCs w:val="22"/>
          <w:rtl/>
        </w:rPr>
        <w:t xml:space="preserve">הקמת תחנה כזו טעונה אישור תוכנית מפורטת על-פי חוק התכנון והבניה, תשכ"ה-1965 (להלן: החוק). </w:t>
      </w:r>
    </w:p>
    <w:p w:rsidR="005366A8" w:rsidRPr="00F5459C" w:rsidRDefault="005366A8" w:rsidP="005366A8">
      <w:pPr>
        <w:rPr>
          <w:rFonts w:cs="FrankRuehl"/>
          <w:sz w:val="22"/>
          <w:szCs w:val="22"/>
          <w:rtl/>
        </w:rPr>
      </w:pPr>
      <w:r w:rsidRPr="00F5459C">
        <w:rPr>
          <w:rFonts w:cs="FrankRuehl"/>
          <w:sz w:val="22"/>
          <w:szCs w:val="22"/>
          <w:rtl/>
        </w:rPr>
        <w:t xml:space="preserve">2. ההסדר הקבוע בחוק למתן האישור הוא דו-שלבי. תחילה יש להגיש את התוכנית המפורטת לוועדה מקומית לתכנון ולבניה שהקרקע אליה מתייחסת התוכנית נמצאת במרחב תכנונה. תוכנית המאושרת על-ידי הועדה המקומית מועברת על-ידיה לוועדה מחוזית לתכנון ולבניה, שמרחב התכנון הרלוואנטי נמצא בתחום מחוזה (סעיפים 67ו-68 לחוק). </w:t>
      </w:r>
    </w:p>
    <w:p w:rsidR="005366A8" w:rsidRPr="00F5459C" w:rsidRDefault="005366A8" w:rsidP="005366A8">
      <w:pPr>
        <w:spacing w:after="60"/>
        <w:rPr>
          <w:rFonts w:cs="FrankRuehl"/>
          <w:sz w:val="22"/>
          <w:szCs w:val="22"/>
          <w:rtl/>
        </w:rPr>
      </w:pPr>
      <w:r w:rsidRPr="00F5459C">
        <w:rPr>
          <w:rFonts w:cs="FrankRuehl"/>
          <w:sz w:val="22"/>
          <w:szCs w:val="22"/>
          <w:rtl/>
        </w:rPr>
        <w:t xml:space="preserve">חלקת העותר נמצאת במרחב התכנון שעליו מופקדת הוועדה המקומית הגליל המרכזי. </w:t>
      </w:r>
      <w:r w:rsidRPr="00F5459C">
        <w:rPr>
          <w:rFonts w:cs="FrankRuehl"/>
          <w:sz w:val="22"/>
          <w:szCs w:val="22"/>
          <w:highlight w:val="yellow"/>
          <w:rtl/>
        </w:rPr>
        <w:t>אדמת הקיבוץ היא בגבולות מרחב התכנון הנשלט על-ידי הוועדה המקומית מטה אשר (להלן: הועדה המקומית), שהיושב-ראש שלה הוא חבר הקיבוץ יחזקל בריט.</w:t>
      </w:r>
      <w:r w:rsidRPr="00F5459C">
        <w:rPr>
          <w:rFonts w:cs="FrankRuehl"/>
          <w:sz w:val="22"/>
          <w:szCs w:val="22"/>
          <w:rtl/>
        </w:rPr>
        <w:t xml:space="preserve"> שתי הוועדות המקומיות נמצאות במרחב תכנון מחוז הצפון. </w:t>
      </w:r>
    </w:p>
    <w:p w:rsidR="005366A8" w:rsidRPr="00F5459C" w:rsidRDefault="005366A8" w:rsidP="005366A8">
      <w:pPr>
        <w:spacing w:after="60"/>
        <w:rPr>
          <w:rFonts w:cs="FrankRuehl"/>
          <w:sz w:val="22"/>
          <w:szCs w:val="22"/>
          <w:rtl/>
        </w:rPr>
      </w:pPr>
      <w:r w:rsidRPr="00F5459C">
        <w:rPr>
          <w:rFonts w:cs="FrankRuehl"/>
          <w:sz w:val="22"/>
          <w:szCs w:val="22"/>
          <w:rtl/>
        </w:rPr>
        <w:t xml:space="preserve">3. העורר הגיש את התוכנית המפורטת (להלן: תוכנית אבו-סנאן) לוועדה המקומית הגליל המרכזי ביום 1.12.1987. הוועדה המקומית אישרה את התוכנית והעבירה אותה לוועדה המחוזית ביום 22.1.89. המשך הטיפול בתוכנית אבו-סנאן בוועדה המחוזית התעכב בשל הצורך לקבל את אישור הוועדה לשימור קרקעות חקלאיות (ולק"ח). בתוך כך, ביום 19.6.1990, הקיבוץ הגיש תוכנית מפורטת לוועדה המקומית מטה אשר (להלן: תוכנית כברי). ביום 16.7.1990 אישרה הועדה המקומית בראשותו של בריט, שאף השתתף בהצבעה, פה-אחד את תוכנית כברי, והעבירה אותה לוועדה המחוזית. המסלול שתוכנית כברי עברה היה קצר למדי, וכך שתי התוכניות אושרו להפקדה על-ידי הוועדה המחוזית באותו יום - 16.11.1990. תוכנית כברי פורסמה ברשומות שבוע לפני פרסום תוכנית אבן-סנאן. </w:t>
      </w:r>
      <w:r w:rsidRPr="00F5459C">
        <w:rPr>
          <w:rFonts w:cs="FrankRuehl" w:hint="cs"/>
          <w:sz w:val="22"/>
          <w:szCs w:val="22"/>
          <w:rtl/>
        </w:rPr>
        <w:t>[...]</w:t>
      </w:r>
    </w:p>
    <w:p w:rsidR="005366A8" w:rsidRPr="00F5459C" w:rsidRDefault="005366A8" w:rsidP="005366A8">
      <w:pPr>
        <w:spacing w:after="60"/>
        <w:rPr>
          <w:rFonts w:cs="FrankRuehl"/>
          <w:sz w:val="20"/>
          <w:szCs w:val="20"/>
        </w:rPr>
      </w:pPr>
      <w:r w:rsidRPr="00F5459C">
        <w:rPr>
          <w:rFonts w:cs="FrankRuehl" w:hint="cs"/>
          <w:sz w:val="22"/>
          <w:szCs w:val="22"/>
          <w:rtl/>
        </w:rPr>
        <w:t xml:space="preserve">9.  </w:t>
      </w:r>
      <w:r w:rsidRPr="00F5459C">
        <w:rPr>
          <w:rFonts w:cs="FrankRuehl"/>
          <w:sz w:val="22"/>
          <w:szCs w:val="22"/>
          <w:rtl/>
        </w:rPr>
        <w:t xml:space="preserve">סעיף </w:t>
      </w:r>
      <w:r w:rsidRPr="00F5459C">
        <w:rPr>
          <w:rFonts w:cs="FrankRuehl" w:hint="cs"/>
          <w:sz w:val="22"/>
          <w:szCs w:val="22"/>
          <w:rtl/>
        </w:rPr>
        <w:t xml:space="preserve">47 </w:t>
      </w:r>
      <w:r w:rsidRPr="00F5459C">
        <w:rPr>
          <w:rFonts w:cs="FrankRuehl"/>
          <w:sz w:val="22"/>
          <w:szCs w:val="22"/>
          <w:rtl/>
        </w:rPr>
        <w:t xml:space="preserve">לחוק </w:t>
      </w:r>
      <w:r w:rsidRPr="00F5459C">
        <w:rPr>
          <w:rFonts w:cs="FrankRuehl" w:hint="cs"/>
          <w:sz w:val="22"/>
          <w:szCs w:val="22"/>
          <w:rtl/>
        </w:rPr>
        <w:t xml:space="preserve">[חוק התכנון והבניה, התשכ"ה-1965] </w:t>
      </w:r>
      <w:r w:rsidRPr="00F5459C">
        <w:rPr>
          <w:rFonts w:cs="FrankRuehl"/>
          <w:sz w:val="22"/>
          <w:szCs w:val="22"/>
          <w:rtl/>
        </w:rPr>
        <w:t>קובע</w:t>
      </w:r>
      <w:r w:rsidRPr="00F5459C">
        <w:rPr>
          <w:rFonts w:cs="FrankRuehl"/>
          <w:sz w:val="22"/>
          <w:szCs w:val="22"/>
        </w:rPr>
        <w:t>:</w:t>
      </w:r>
    </w:p>
    <w:p w:rsidR="005366A8" w:rsidRPr="00452E78" w:rsidRDefault="005366A8" w:rsidP="005366A8">
      <w:pPr>
        <w:spacing w:after="60"/>
        <w:ind w:left="720"/>
        <w:rPr>
          <w:rFonts w:cs="David"/>
          <w:sz w:val="20"/>
          <w:szCs w:val="20"/>
          <w:rtl/>
        </w:rPr>
      </w:pPr>
      <w:r w:rsidRPr="00452E78">
        <w:rPr>
          <w:rFonts w:cs="David"/>
          <w:sz w:val="20"/>
          <w:szCs w:val="20"/>
        </w:rPr>
        <w:t>"</w:t>
      </w:r>
      <w:r w:rsidRPr="00452E78">
        <w:rPr>
          <w:rFonts w:cs="David"/>
          <w:sz w:val="20"/>
          <w:szCs w:val="20"/>
          <w:rtl/>
        </w:rPr>
        <w:t xml:space="preserve">(א) חבר במוסד תכנון </w:t>
      </w:r>
      <w:r w:rsidRPr="00452E78">
        <w:rPr>
          <w:rFonts w:cs="David"/>
          <w:sz w:val="20"/>
          <w:szCs w:val="20"/>
          <w:highlight w:val="yellow"/>
          <w:rtl/>
        </w:rPr>
        <w:t>שיש לו, במישרין או בעקיפין, בעצמו או על-ידי קרובו, סוכנו או שותפו או על-ידי קרוביהם, כל חלק או טובת הנאה</w:t>
      </w:r>
      <w:r w:rsidRPr="00452E78">
        <w:rPr>
          <w:rFonts w:cs="David"/>
          <w:sz w:val="20"/>
          <w:szCs w:val="20"/>
          <w:rtl/>
        </w:rPr>
        <w:t xml:space="preserve"> בכל תכנית או ענין העומדים לדיון במוסד או בועדה מועדותיו -</w:t>
      </w:r>
    </w:p>
    <w:p w:rsidR="005366A8" w:rsidRPr="00452E78" w:rsidRDefault="005366A8" w:rsidP="005366A8">
      <w:pPr>
        <w:spacing w:after="60"/>
        <w:ind w:left="1440"/>
        <w:rPr>
          <w:rFonts w:cs="David"/>
          <w:sz w:val="20"/>
          <w:szCs w:val="20"/>
        </w:rPr>
      </w:pPr>
      <w:r w:rsidRPr="00452E78">
        <w:rPr>
          <w:rFonts w:cs="David"/>
          <w:sz w:val="20"/>
          <w:szCs w:val="20"/>
          <w:highlight w:val="yellow"/>
          <w:rtl/>
        </w:rPr>
        <w:t>(</w:t>
      </w:r>
      <w:r w:rsidRPr="00452E78">
        <w:rPr>
          <w:rFonts w:cs="David"/>
          <w:sz w:val="20"/>
          <w:szCs w:val="20"/>
          <w:highlight w:val="yellow"/>
        </w:rPr>
        <w:t>1</w:t>
      </w:r>
      <w:r w:rsidRPr="00452E78">
        <w:rPr>
          <w:rFonts w:cs="David"/>
          <w:sz w:val="20"/>
          <w:szCs w:val="20"/>
          <w:highlight w:val="yellow"/>
          <w:rtl/>
        </w:rPr>
        <w:t>)</w:t>
      </w:r>
      <w:r w:rsidRPr="00452E78">
        <w:rPr>
          <w:rFonts w:cs="David"/>
          <w:sz w:val="20"/>
          <w:szCs w:val="20"/>
          <w:highlight w:val="yellow"/>
        </w:rPr>
        <w:t xml:space="preserve"> </w:t>
      </w:r>
      <w:r w:rsidRPr="00452E78">
        <w:rPr>
          <w:rFonts w:cs="David"/>
          <w:sz w:val="20"/>
          <w:szCs w:val="20"/>
          <w:highlight w:val="yellow"/>
          <w:rtl/>
        </w:rPr>
        <w:t>יודיע על כך ליושב ראש בכתב או בעל פה מיד לאחר שנודע לו כי</w:t>
      </w:r>
      <w:r w:rsidRPr="00452E78">
        <w:rPr>
          <w:rFonts w:cs="David"/>
          <w:sz w:val="20"/>
          <w:szCs w:val="20"/>
          <w:highlight w:val="yellow"/>
        </w:rPr>
        <w:t xml:space="preserve"> </w:t>
      </w:r>
      <w:r w:rsidRPr="00452E78">
        <w:rPr>
          <w:rFonts w:cs="David"/>
          <w:sz w:val="20"/>
          <w:szCs w:val="20"/>
          <w:highlight w:val="yellow"/>
          <w:rtl/>
        </w:rPr>
        <w:t>התכנית או הענין האמורים עומדים לדיון</w:t>
      </w:r>
      <w:r w:rsidRPr="00452E78">
        <w:rPr>
          <w:rFonts w:cs="David"/>
          <w:sz w:val="20"/>
          <w:szCs w:val="20"/>
          <w:rtl/>
        </w:rPr>
        <w:t xml:space="preserve">; נמסרה ההודעה בעל פה, </w:t>
      </w:r>
      <w:r w:rsidRPr="00452E78">
        <w:rPr>
          <w:rFonts w:cs="David"/>
          <w:sz w:val="20"/>
          <w:szCs w:val="20"/>
          <w:highlight w:val="yellow"/>
          <w:rtl/>
        </w:rPr>
        <w:t>תירשם בפרוטוקול</w:t>
      </w:r>
      <w:r w:rsidRPr="00452E78">
        <w:rPr>
          <w:rFonts w:cs="David"/>
          <w:sz w:val="20"/>
          <w:szCs w:val="20"/>
          <w:rtl/>
        </w:rPr>
        <w:t xml:space="preserve"> הישיבה הקרובה של המוסד או הועדה;</w:t>
      </w:r>
      <w:r w:rsidRPr="00452E78">
        <w:rPr>
          <w:rFonts w:cs="David"/>
          <w:sz w:val="20"/>
          <w:szCs w:val="20"/>
        </w:rPr>
        <w:t xml:space="preserve"> </w:t>
      </w:r>
      <w:r w:rsidRPr="00452E78">
        <w:rPr>
          <w:rFonts w:cs="David"/>
          <w:sz w:val="20"/>
          <w:szCs w:val="20"/>
          <w:rtl/>
        </w:rPr>
        <w:t>(</w:t>
      </w:r>
      <w:r w:rsidRPr="00452E78">
        <w:rPr>
          <w:rFonts w:cs="David"/>
          <w:sz w:val="20"/>
          <w:szCs w:val="20"/>
        </w:rPr>
        <w:t>2</w:t>
      </w:r>
      <w:r w:rsidRPr="00452E78">
        <w:rPr>
          <w:rFonts w:cs="David"/>
          <w:sz w:val="20"/>
          <w:szCs w:val="20"/>
          <w:highlight w:val="yellow"/>
          <w:rtl/>
        </w:rPr>
        <w:t>)</w:t>
      </w:r>
      <w:r w:rsidRPr="00452E78">
        <w:rPr>
          <w:rFonts w:cs="David"/>
          <w:sz w:val="20"/>
          <w:szCs w:val="20"/>
          <w:highlight w:val="yellow"/>
        </w:rPr>
        <w:t xml:space="preserve"> </w:t>
      </w:r>
      <w:r w:rsidRPr="00452E78">
        <w:rPr>
          <w:rFonts w:cs="David"/>
          <w:sz w:val="20"/>
          <w:szCs w:val="20"/>
          <w:highlight w:val="yellow"/>
          <w:rtl/>
        </w:rPr>
        <w:t>לא יהיה נוכח בדיוני</w:t>
      </w:r>
      <w:r w:rsidRPr="00452E78">
        <w:rPr>
          <w:rFonts w:cs="David"/>
          <w:sz w:val="20"/>
          <w:szCs w:val="20"/>
          <w:rtl/>
        </w:rPr>
        <w:t xml:space="preserve"> המוסד או הועדה באותם תכנית או ענין </w:t>
      </w:r>
      <w:r w:rsidRPr="00452E78">
        <w:rPr>
          <w:rFonts w:cs="David"/>
          <w:sz w:val="20"/>
          <w:szCs w:val="20"/>
          <w:highlight w:val="yellow"/>
          <w:rtl/>
        </w:rPr>
        <w:t>ולא יצביע בהחלטה</w:t>
      </w:r>
      <w:r w:rsidRPr="00452E78">
        <w:rPr>
          <w:rFonts w:cs="David"/>
          <w:sz w:val="20"/>
          <w:szCs w:val="20"/>
          <w:rtl/>
        </w:rPr>
        <w:t xml:space="preserve"> על כל אלה בקשר אליהם</w:t>
      </w:r>
      <w:r w:rsidRPr="00452E78">
        <w:rPr>
          <w:rFonts w:cs="David"/>
          <w:sz w:val="20"/>
          <w:szCs w:val="20"/>
        </w:rPr>
        <w:t>.</w:t>
      </w:r>
      <w:r w:rsidRPr="00452E78">
        <w:rPr>
          <w:rFonts w:cs="David" w:hint="cs"/>
          <w:sz w:val="20"/>
          <w:szCs w:val="20"/>
          <w:rtl/>
        </w:rPr>
        <w:t xml:space="preserve">  [...]</w:t>
      </w:r>
    </w:p>
    <w:p w:rsidR="005366A8" w:rsidRPr="00452E78" w:rsidRDefault="005366A8" w:rsidP="005366A8">
      <w:pPr>
        <w:spacing w:after="60"/>
        <w:ind w:left="720"/>
        <w:rPr>
          <w:rFonts w:cs="David"/>
          <w:sz w:val="20"/>
          <w:szCs w:val="20"/>
          <w:rtl/>
        </w:rPr>
      </w:pPr>
      <w:r w:rsidRPr="00452E78">
        <w:rPr>
          <w:rFonts w:cs="David"/>
          <w:sz w:val="20"/>
          <w:szCs w:val="20"/>
          <w:rtl/>
        </w:rPr>
        <w:t xml:space="preserve">(ג) העובר על הוראות סעיף זה, דינו - מאסר שנה אחת או קנס </w:t>
      </w:r>
      <w:r w:rsidRPr="00452E78">
        <w:rPr>
          <w:rFonts w:cs="David"/>
          <w:sz w:val="20"/>
          <w:szCs w:val="20"/>
        </w:rPr>
        <w:t>000</w:t>
      </w:r>
      <w:r w:rsidRPr="00452E78">
        <w:rPr>
          <w:rFonts w:cs="David"/>
          <w:sz w:val="20"/>
          <w:szCs w:val="20"/>
          <w:rtl/>
        </w:rPr>
        <w:t>,</w:t>
      </w:r>
      <w:r w:rsidRPr="00452E78">
        <w:rPr>
          <w:rFonts w:cs="David"/>
          <w:sz w:val="20"/>
          <w:szCs w:val="20"/>
        </w:rPr>
        <w:t xml:space="preserve"> 50</w:t>
      </w:r>
      <w:r w:rsidRPr="00452E78">
        <w:rPr>
          <w:rFonts w:cs="David"/>
          <w:sz w:val="20"/>
          <w:szCs w:val="20"/>
          <w:rtl/>
        </w:rPr>
        <w:t>לירות</w:t>
      </w:r>
      <w:r w:rsidRPr="00452E78">
        <w:rPr>
          <w:rFonts w:cs="David"/>
          <w:sz w:val="20"/>
          <w:szCs w:val="20"/>
        </w:rPr>
        <w:t xml:space="preserve">; </w:t>
      </w:r>
      <w:r w:rsidRPr="00452E78">
        <w:rPr>
          <w:rFonts w:cs="David"/>
          <w:sz w:val="20"/>
          <w:szCs w:val="20"/>
          <w:rtl/>
        </w:rPr>
        <w:t>הוראה זו אינה גורעת מאחריותו הפלילית או האזרחית של אדם על-פי כל דין</w:t>
      </w:r>
      <w:r w:rsidRPr="00452E78">
        <w:rPr>
          <w:rFonts w:cs="David"/>
          <w:sz w:val="20"/>
          <w:szCs w:val="20"/>
        </w:rPr>
        <w:t xml:space="preserve"> </w:t>
      </w:r>
      <w:r w:rsidRPr="00452E78">
        <w:rPr>
          <w:rFonts w:cs="David"/>
          <w:sz w:val="20"/>
          <w:szCs w:val="20"/>
          <w:rtl/>
        </w:rPr>
        <w:t>אחר</w:t>
      </w:r>
      <w:r w:rsidRPr="00452E78">
        <w:rPr>
          <w:rFonts w:cs="David"/>
          <w:sz w:val="20"/>
          <w:szCs w:val="20"/>
        </w:rPr>
        <w:t>.</w:t>
      </w:r>
    </w:p>
    <w:p w:rsidR="005366A8" w:rsidRPr="00452E78" w:rsidRDefault="005366A8" w:rsidP="005366A8">
      <w:pPr>
        <w:spacing w:after="60"/>
        <w:ind w:left="720"/>
        <w:rPr>
          <w:rFonts w:cs="David"/>
          <w:sz w:val="20"/>
          <w:szCs w:val="20"/>
          <w:rtl/>
        </w:rPr>
      </w:pPr>
      <w:r w:rsidRPr="00452E78">
        <w:rPr>
          <w:rFonts w:cs="David"/>
          <w:sz w:val="20"/>
          <w:szCs w:val="20"/>
          <w:rtl/>
        </w:rPr>
        <w:t>(ד)בסעיף זה קרוב לאדם פלוני</w:t>
      </w:r>
      <w:r w:rsidRPr="00452E78">
        <w:rPr>
          <w:rFonts w:cs="David"/>
          <w:sz w:val="20"/>
          <w:szCs w:val="20"/>
        </w:rPr>
        <w:t xml:space="preserve"> -</w:t>
      </w:r>
    </w:p>
    <w:p w:rsidR="005366A8" w:rsidRPr="00452E78" w:rsidRDefault="005366A8" w:rsidP="005366A8">
      <w:pPr>
        <w:spacing w:after="60"/>
        <w:ind w:left="1440"/>
        <w:rPr>
          <w:rFonts w:cs="David"/>
          <w:sz w:val="20"/>
          <w:szCs w:val="20"/>
          <w:rtl/>
        </w:rPr>
      </w:pPr>
      <w:r w:rsidRPr="00452E78">
        <w:rPr>
          <w:rFonts w:cs="David"/>
          <w:sz w:val="20"/>
          <w:szCs w:val="20"/>
          <w:rtl/>
        </w:rPr>
        <w:t>(</w:t>
      </w:r>
      <w:r w:rsidRPr="00452E78">
        <w:rPr>
          <w:rFonts w:cs="David"/>
          <w:sz w:val="20"/>
          <w:szCs w:val="20"/>
        </w:rPr>
        <w:t>1</w:t>
      </w:r>
      <w:r w:rsidRPr="00452E78">
        <w:rPr>
          <w:rFonts w:cs="David"/>
          <w:sz w:val="20"/>
          <w:szCs w:val="20"/>
          <w:rtl/>
        </w:rPr>
        <w:t>)</w:t>
      </w:r>
      <w:r w:rsidRPr="00452E78">
        <w:rPr>
          <w:rFonts w:cs="David"/>
          <w:sz w:val="20"/>
          <w:szCs w:val="20"/>
        </w:rPr>
        <w:t xml:space="preserve"> </w:t>
      </w:r>
      <w:r w:rsidRPr="00452E78">
        <w:rPr>
          <w:rFonts w:cs="David"/>
          <w:sz w:val="20"/>
          <w:szCs w:val="20"/>
          <w:rtl/>
        </w:rPr>
        <w:t>בן זוג</w:t>
      </w:r>
      <w:r w:rsidRPr="00452E78">
        <w:rPr>
          <w:rFonts w:cs="David"/>
          <w:sz w:val="20"/>
          <w:szCs w:val="20"/>
        </w:rPr>
        <w:t>;</w:t>
      </w:r>
      <w:r w:rsidRPr="00452E78">
        <w:rPr>
          <w:rFonts w:cs="David" w:hint="cs"/>
          <w:sz w:val="20"/>
          <w:szCs w:val="20"/>
          <w:rtl/>
        </w:rPr>
        <w:t xml:space="preserve"> </w:t>
      </w:r>
      <w:r w:rsidRPr="00452E78">
        <w:rPr>
          <w:rFonts w:cs="David"/>
          <w:sz w:val="20"/>
          <w:szCs w:val="20"/>
          <w:rtl/>
        </w:rPr>
        <w:t>(</w:t>
      </w:r>
      <w:r w:rsidRPr="00452E78">
        <w:rPr>
          <w:rFonts w:cs="David"/>
          <w:sz w:val="20"/>
          <w:szCs w:val="20"/>
        </w:rPr>
        <w:t>2</w:t>
      </w:r>
      <w:r w:rsidRPr="00452E78">
        <w:rPr>
          <w:rFonts w:cs="David"/>
          <w:sz w:val="20"/>
          <w:szCs w:val="20"/>
          <w:rtl/>
        </w:rPr>
        <w:t>)</w:t>
      </w:r>
      <w:r w:rsidRPr="00452E78">
        <w:rPr>
          <w:rFonts w:cs="David"/>
          <w:sz w:val="20"/>
          <w:szCs w:val="20"/>
        </w:rPr>
        <w:t xml:space="preserve"> </w:t>
      </w:r>
      <w:r w:rsidRPr="00452E78">
        <w:rPr>
          <w:rFonts w:cs="David"/>
          <w:sz w:val="20"/>
          <w:szCs w:val="20"/>
          <w:rtl/>
        </w:rPr>
        <w:t>הורה, הורי הורה, צאצא, צאצאי בן זוג ובני זוגם של כל אחד מאלה; (3) אח או אחות ובני זוגם</w:t>
      </w:r>
      <w:r w:rsidRPr="00452E78">
        <w:rPr>
          <w:rFonts w:cs="David"/>
          <w:sz w:val="20"/>
          <w:szCs w:val="20"/>
        </w:rPr>
        <w:t xml:space="preserve">; </w:t>
      </w:r>
      <w:r w:rsidRPr="00452E78">
        <w:rPr>
          <w:rFonts w:cs="David"/>
          <w:sz w:val="20"/>
          <w:szCs w:val="20"/>
          <w:rtl/>
        </w:rPr>
        <w:t>(</w:t>
      </w:r>
      <w:r w:rsidRPr="00452E78">
        <w:rPr>
          <w:rFonts w:cs="David"/>
          <w:sz w:val="20"/>
          <w:szCs w:val="20"/>
        </w:rPr>
        <w:t>4</w:t>
      </w:r>
      <w:r w:rsidRPr="00452E78">
        <w:rPr>
          <w:rFonts w:cs="David"/>
          <w:sz w:val="20"/>
          <w:szCs w:val="20"/>
          <w:rtl/>
        </w:rPr>
        <w:t>)</w:t>
      </w:r>
      <w:r w:rsidRPr="00452E78">
        <w:rPr>
          <w:rFonts w:cs="David"/>
          <w:sz w:val="20"/>
          <w:szCs w:val="20"/>
        </w:rPr>
        <w:t xml:space="preserve"> </w:t>
      </w:r>
      <w:r w:rsidRPr="00452E78">
        <w:rPr>
          <w:rFonts w:cs="David"/>
          <w:sz w:val="20"/>
          <w:szCs w:val="20"/>
          <w:rtl/>
        </w:rPr>
        <w:t>איגוד שהוא מנהלו או שחלקו בהונו או ברווחיו עולה על</w:t>
      </w:r>
      <w:r w:rsidRPr="00452E78">
        <w:rPr>
          <w:rFonts w:cs="David" w:hint="cs"/>
          <w:sz w:val="20"/>
          <w:szCs w:val="20"/>
          <w:rtl/>
        </w:rPr>
        <w:t xml:space="preserve"> 5%</w:t>
      </w:r>
      <w:r w:rsidRPr="00452E78">
        <w:rPr>
          <w:rFonts w:cs="David"/>
          <w:sz w:val="20"/>
          <w:szCs w:val="20"/>
          <w:rtl/>
        </w:rPr>
        <w:t>".</w:t>
      </w:r>
    </w:p>
    <w:p w:rsidR="005366A8" w:rsidRPr="00F5459C" w:rsidRDefault="005366A8" w:rsidP="005366A8">
      <w:pPr>
        <w:spacing w:after="60"/>
        <w:rPr>
          <w:rFonts w:cs="FrankRuehl"/>
          <w:sz w:val="22"/>
          <w:szCs w:val="22"/>
          <w:rtl/>
        </w:rPr>
      </w:pPr>
      <w:r w:rsidRPr="00F5459C">
        <w:rPr>
          <w:rFonts w:cs="FrankRuehl"/>
          <w:sz w:val="22"/>
          <w:szCs w:val="22"/>
          <w:rtl/>
        </w:rPr>
        <w:t xml:space="preserve">האיסור הוא רחב, והוא מתייחס גם לאינטרסים של האנשים הקשורים לחבר במוסד תכנון. ואולם בענייננו יש לראות בבריט עצמו בעל עניין. לדעתי, לעניין סעיף </w:t>
      </w:r>
      <w:r w:rsidRPr="00F5459C">
        <w:rPr>
          <w:rFonts w:cs="FrankRuehl" w:hint="cs"/>
          <w:sz w:val="22"/>
          <w:szCs w:val="22"/>
          <w:rtl/>
        </w:rPr>
        <w:t xml:space="preserve">47 </w:t>
      </w:r>
      <w:r w:rsidRPr="00F5459C">
        <w:rPr>
          <w:rFonts w:cs="FrankRuehl"/>
          <w:sz w:val="22"/>
          <w:szCs w:val="22"/>
          <w:rtl/>
        </w:rPr>
        <w:t>קיימת זהות בין חבר קיבוץ לקיבוצו כדי כך שיש לראות בטובת הנאה של הקיבוץ כטובת הנאה שיש לחבר "בעצמו".</w:t>
      </w:r>
    </w:p>
    <w:p w:rsidR="005366A8" w:rsidRPr="00F5459C" w:rsidRDefault="005366A8" w:rsidP="005366A8">
      <w:pPr>
        <w:tabs>
          <w:tab w:val="left" w:pos="423"/>
        </w:tabs>
        <w:rPr>
          <w:rFonts w:cs="FrankRuehl"/>
          <w:sz w:val="22"/>
          <w:szCs w:val="22"/>
          <w:rtl/>
        </w:rPr>
      </w:pPr>
      <w:r w:rsidRPr="00F5459C">
        <w:rPr>
          <w:rFonts w:cs="FrankRuehl"/>
          <w:sz w:val="22"/>
          <w:szCs w:val="22"/>
          <w:rtl/>
        </w:rPr>
        <w:t xml:space="preserve">10. הרעיון המונח ביסוד האידיאולוגיה הקיבוצית הוא שיתוף מלא בין חברי הקבוצה. שיתוף זה, המבוסס על הזדהות חברתית של הפרט עם הקבוצה, בא לביטוי מבחינה כלכלית בערבות הדדית על-פי העקרון "כל אחד לפי יכולתו, ולכל אחד לפי צרכיו" ובשוויון בהנאה הכלכלית. </w:t>
      </w:r>
    </w:p>
    <w:p w:rsidR="005366A8" w:rsidRPr="00F5459C" w:rsidRDefault="005366A8" w:rsidP="005366A8">
      <w:pPr>
        <w:tabs>
          <w:tab w:val="left" w:pos="423"/>
        </w:tabs>
        <w:rPr>
          <w:rFonts w:cs="FrankRuehl"/>
          <w:sz w:val="22"/>
          <w:szCs w:val="22"/>
          <w:rtl/>
        </w:rPr>
      </w:pPr>
      <w:r w:rsidRPr="00F5459C">
        <w:rPr>
          <w:rFonts w:cs="FrankRuehl"/>
          <w:sz w:val="22"/>
          <w:szCs w:val="22"/>
          <w:rtl/>
        </w:rPr>
        <w:t>במהותו, הקיבוץ הוא מעין משפחה גדולה, שכל חבריה סובלים במידה שווה ממצוקותיה ונהנים באותה מידה מיכולתה הכלכלית. טובת הנאה הצומחת לקיבוץ מצמיחה טובת הנאה לכל אחד מחבריו,</w:t>
      </w:r>
      <w:r w:rsidRPr="00F5459C">
        <w:rPr>
          <w:rFonts w:cs="FrankRuehl" w:hint="cs"/>
          <w:sz w:val="22"/>
          <w:szCs w:val="22"/>
          <w:rtl/>
        </w:rPr>
        <w:t xml:space="preserve">[...] </w:t>
      </w:r>
    </w:p>
    <w:p w:rsidR="005366A8" w:rsidRPr="00F5459C" w:rsidRDefault="005366A8" w:rsidP="005366A8">
      <w:pPr>
        <w:tabs>
          <w:tab w:val="left" w:pos="423"/>
        </w:tabs>
        <w:rPr>
          <w:rFonts w:cs="FrankRuehl"/>
          <w:sz w:val="22"/>
          <w:szCs w:val="22"/>
          <w:rtl/>
        </w:rPr>
      </w:pPr>
      <w:r w:rsidRPr="00F5459C">
        <w:rPr>
          <w:rFonts w:cs="FrankRuehl"/>
          <w:sz w:val="22"/>
          <w:szCs w:val="22"/>
          <w:highlight w:val="yellow"/>
          <w:rtl/>
        </w:rPr>
        <w:t>אישור הקמתם של תחנת דלק, שירותי דלק ומסעדה מהווה טובת הנאה בעלת ערך כלכלי ניכר לקיבוץ בכללותו ומכאן שגם לכל אחד מחבריו.</w:t>
      </w:r>
      <w:r w:rsidRPr="00F5459C">
        <w:rPr>
          <w:rFonts w:cs="FrankRuehl"/>
          <w:sz w:val="22"/>
          <w:szCs w:val="22"/>
          <w:rtl/>
        </w:rPr>
        <w:t xml:space="preserve"> </w:t>
      </w:r>
    </w:p>
    <w:p w:rsidR="005366A8" w:rsidRPr="00F5459C" w:rsidRDefault="005366A8" w:rsidP="005366A8">
      <w:pPr>
        <w:tabs>
          <w:tab w:val="left" w:pos="423"/>
        </w:tabs>
        <w:spacing w:after="60"/>
        <w:rPr>
          <w:rFonts w:cs="FrankRuehl"/>
          <w:sz w:val="22"/>
          <w:szCs w:val="22"/>
          <w:rtl/>
        </w:rPr>
      </w:pPr>
      <w:r w:rsidRPr="00F5459C">
        <w:rPr>
          <w:rFonts w:cs="FrankRuehl"/>
          <w:sz w:val="22"/>
          <w:szCs w:val="22"/>
          <w:rtl/>
        </w:rPr>
        <w:t xml:space="preserve">עולה מן המקובץ כי בריט, בהשתתפו בדיון הוועדה המקומית בתוכנית כברי, פעל בניגוד להוראת סעיף 47(א) לחוק. </w:t>
      </w:r>
    </w:p>
    <w:p w:rsidR="005366A8" w:rsidRPr="00F5459C" w:rsidRDefault="005366A8" w:rsidP="005366A8">
      <w:pPr>
        <w:pStyle w:val="T-body"/>
        <w:spacing w:after="60" w:line="240" w:lineRule="auto"/>
        <w:rPr>
          <w:rFonts w:cs="FrankRuehl"/>
          <w:sz w:val="22"/>
          <w:szCs w:val="22"/>
          <w:rtl/>
        </w:rPr>
      </w:pPr>
      <w:r w:rsidRPr="00F5459C">
        <w:rPr>
          <w:rFonts w:cs="FrankRuehl" w:hint="cs"/>
          <w:sz w:val="22"/>
          <w:szCs w:val="22"/>
          <w:rtl/>
        </w:rPr>
        <w:t xml:space="preserve">11. [...] </w:t>
      </w:r>
      <w:r w:rsidRPr="00F5459C">
        <w:rPr>
          <w:rFonts w:cs="FrankRuehl" w:hint="cs"/>
          <w:sz w:val="22"/>
          <w:szCs w:val="22"/>
          <w:highlight w:val="yellow"/>
          <w:rtl/>
        </w:rPr>
        <w:t xml:space="preserve">עם-זאת, לא כל ניגוד עניינים פוסל את ההחלטה המינהלית. פסלותה של ההחלטה היא פועל יוצא מעוצמתו של ניגוד העניינים. על-כן, ניגוד רחוק המקים חשש תיאורטי להשפעה של אינטרסים זרים על ההחלטה, אינו מספיק לפסילת  ההחלטה.  המבחן  לניגוד עניינים בין עניין  ציבורי לבין  עניין  פרטי הוא </w:t>
      </w:r>
      <w:r w:rsidRPr="00F5459C">
        <w:rPr>
          <w:rFonts w:cs="FrankRuehl" w:hint="cs"/>
          <w:b/>
          <w:bCs/>
          <w:sz w:val="22"/>
          <w:szCs w:val="22"/>
          <w:highlight w:val="yellow"/>
          <w:rtl/>
        </w:rPr>
        <w:t>מבחן החשש הסביר</w:t>
      </w:r>
      <w:r w:rsidRPr="00F5459C">
        <w:rPr>
          <w:rFonts w:cs="FrankRuehl" w:hint="cs"/>
          <w:sz w:val="22"/>
          <w:szCs w:val="22"/>
          <w:highlight w:val="yellow"/>
          <w:rtl/>
        </w:rPr>
        <w:t xml:space="preserve">. על-פי מבחן זה,  </w:t>
      </w:r>
      <w:r w:rsidRPr="00F5459C">
        <w:rPr>
          <w:rFonts w:cs="FrankRuehl" w:hint="cs"/>
          <w:b/>
          <w:bCs/>
          <w:sz w:val="22"/>
          <w:szCs w:val="22"/>
          <w:highlight w:val="yellow"/>
          <w:rtl/>
        </w:rPr>
        <w:t>עובד  הציבור  יהיה  מנוע  מלדון בנושא שבו יש לו עניין פרטי, אם מתקיים חשש סביר כי ההחלטה תושפע מעניינו הפרטי</w:t>
      </w:r>
      <w:r w:rsidRPr="00F5459C">
        <w:rPr>
          <w:rFonts w:cs="FrankRuehl" w:hint="cs"/>
          <w:sz w:val="22"/>
          <w:szCs w:val="22"/>
          <w:highlight w:val="yellow"/>
          <w:rtl/>
        </w:rPr>
        <w:t xml:space="preserve">, וזאת </w:t>
      </w:r>
      <w:r w:rsidRPr="00F5459C">
        <w:rPr>
          <w:rFonts w:cs="FrankRuehl" w:hint="cs"/>
          <w:b/>
          <w:bCs/>
          <w:sz w:val="22"/>
          <w:szCs w:val="22"/>
          <w:highlight w:val="yellow"/>
          <w:rtl/>
        </w:rPr>
        <w:t>אף אם חשש זה אינו עולה כדי אפשרות ממשית</w:t>
      </w:r>
      <w:r w:rsidRPr="00F5459C">
        <w:rPr>
          <w:rFonts w:cs="FrankRuehl" w:hint="cs"/>
          <w:sz w:val="22"/>
          <w:szCs w:val="22"/>
          <w:highlight w:val="yellow"/>
          <w:rtl/>
        </w:rPr>
        <w:t xml:space="preserve"> (בג"צ 244/86, שם, 186). לגישה שונה,  שעל-פיה  - להבדיל ממקרה של ניגוד בין אינטרס שלטוני לאינטרס פרטי  - דרושה אפשרות ממשית של השפעת ניגוד העניינים כאשר ההתנגשות היא  בין  שני  אינטרסים  שלטוניים,</w:t>
      </w:r>
      <w:r w:rsidRPr="00F5459C">
        <w:rPr>
          <w:rFonts w:cs="FrankRuehl" w:hint="cs"/>
          <w:sz w:val="22"/>
          <w:szCs w:val="22"/>
          <w:rtl/>
        </w:rPr>
        <w:t xml:space="preserve">  השווה  לדברי המשנה לנשיא, השופט אלון, בבג"צ 244/86 הנ"ל שם, 188.</w:t>
      </w:r>
    </w:p>
    <w:p w:rsidR="005366A8" w:rsidRPr="00F5459C" w:rsidRDefault="005366A8" w:rsidP="005366A8">
      <w:pPr>
        <w:pStyle w:val="T-body"/>
        <w:spacing w:after="60" w:line="240" w:lineRule="auto"/>
        <w:rPr>
          <w:rFonts w:cs="FrankRuehl"/>
          <w:sz w:val="22"/>
          <w:szCs w:val="22"/>
          <w:rtl/>
        </w:rPr>
      </w:pPr>
      <w:r w:rsidRPr="00F5459C">
        <w:rPr>
          <w:rFonts w:cs="FrankRuehl" w:hint="cs"/>
          <w:sz w:val="22"/>
          <w:szCs w:val="22"/>
          <w:rtl/>
        </w:rPr>
        <w:t xml:space="preserve">12. </w:t>
      </w:r>
      <w:r w:rsidRPr="00F5459C">
        <w:rPr>
          <w:rFonts w:cs="FrankRuehl" w:hint="cs"/>
          <w:b/>
          <w:bCs/>
          <w:sz w:val="22"/>
          <w:szCs w:val="22"/>
          <w:rtl/>
        </w:rPr>
        <w:t>מבחן  החשש  הסביר מבוסס על אמת מידה אובייקטיבית. השאלה אינה מה הן אישיותו ותכונותיו של עובד ציבור מסויים זה או אחר,</w:t>
      </w:r>
      <w:r w:rsidRPr="00F5459C">
        <w:rPr>
          <w:rFonts w:cs="FrankRuehl" w:hint="cs"/>
          <w:sz w:val="22"/>
          <w:szCs w:val="22"/>
          <w:rtl/>
        </w:rPr>
        <w:t xml:space="preserve"> אלא מהי עוצמתו של  הניגוד  בין  העניין  הציבורי  לבין  עניינו  הפרטי של עובד הציבור הנוגע בדבר. עוצמת ניגוד העניינים נקבעת על-פי הקירבה בין האינטרסים המנוגדים. </w:t>
      </w:r>
    </w:p>
    <w:p w:rsidR="005366A8" w:rsidRPr="00F5459C" w:rsidRDefault="005366A8" w:rsidP="005366A8">
      <w:pPr>
        <w:pStyle w:val="T-body"/>
        <w:spacing w:after="60" w:line="240" w:lineRule="auto"/>
        <w:rPr>
          <w:rFonts w:cs="FrankRuehl"/>
          <w:sz w:val="22"/>
          <w:szCs w:val="22"/>
          <w:rtl/>
        </w:rPr>
      </w:pPr>
      <w:r w:rsidRPr="00F5459C">
        <w:rPr>
          <w:rFonts w:cs="FrankRuehl"/>
          <w:sz w:val="22"/>
          <w:szCs w:val="22"/>
        </w:rPr>
        <w:t>.</w:t>
      </w:r>
      <w:r w:rsidRPr="00F5459C">
        <w:rPr>
          <w:rFonts w:cs="FrankRuehl" w:hint="cs"/>
          <w:sz w:val="22"/>
          <w:szCs w:val="22"/>
          <w:rtl/>
        </w:rPr>
        <w:t>13</w:t>
      </w:r>
      <w:r w:rsidRPr="00F5459C">
        <w:rPr>
          <w:rFonts w:cs="FrankRuehl"/>
          <w:sz w:val="22"/>
          <w:szCs w:val="22"/>
          <w:rtl/>
        </w:rPr>
        <w:t xml:space="preserve"> לנוכח הרגישות המיוחדת של תחום התכנון והבנייה וההשלכות הכספיות של החלטות ועדות התכנון, ראה המחוקק להגביר את ההגנה על הערך החברתי שבטוהר ההליך המינהלי על-ידי קביעת נורמה פלילית בסעיף </w:t>
      </w:r>
      <w:r w:rsidRPr="00F5459C">
        <w:rPr>
          <w:rFonts w:cs="FrankRuehl" w:hint="cs"/>
          <w:sz w:val="22"/>
          <w:szCs w:val="22"/>
          <w:rtl/>
        </w:rPr>
        <w:t>47</w:t>
      </w:r>
      <w:r w:rsidRPr="00F5459C">
        <w:rPr>
          <w:rFonts w:cs="FrankRuehl"/>
          <w:sz w:val="22"/>
          <w:szCs w:val="22"/>
          <w:rtl/>
        </w:rPr>
        <w:t xml:space="preserve">(א) לחוק </w:t>
      </w:r>
      <w:r w:rsidRPr="00F5459C">
        <w:rPr>
          <w:rFonts w:cs="FrankRuehl" w:hint="cs"/>
          <w:sz w:val="22"/>
          <w:szCs w:val="22"/>
          <w:rtl/>
        </w:rPr>
        <w:t>...</w:t>
      </w:r>
    </w:p>
    <w:p w:rsidR="005366A8" w:rsidRPr="00F5459C" w:rsidRDefault="005366A8" w:rsidP="005366A8">
      <w:pPr>
        <w:rPr>
          <w:rFonts w:cs="FrankRuehl"/>
          <w:sz w:val="22"/>
          <w:szCs w:val="22"/>
          <w:rtl/>
        </w:rPr>
      </w:pPr>
      <w:r w:rsidRPr="00F5459C">
        <w:rPr>
          <w:rFonts w:cs="FrankRuehl"/>
          <w:sz w:val="22"/>
          <w:szCs w:val="22"/>
          <w:rtl/>
        </w:rPr>
        <w:t xml:space="preserve">15. </w:t>
      </w:r>
      <w:r w:rsidRPr="00F5459C">
        <w:rPr>
          <w:rFonts w:cs="FrankRuehl"/>
          <w:sz w:val="22"/>
          <w:szCs w:val="22"/>
          <w:highlight w:val="yellow"/>
          <w:rtl/>
        </w:rPr>
        <w:t>יש גם לדחות את הטענה בדבר ניתוק בין החלטת הוועדה המקומית להחלטת הוועדה המחוזית.</w:t>
      </w:r>
      <w:r w:rsidRPr="00F5459C">
        <w:rPr>
          <w:rFonts w:cs="FrankRuehl"/>
          <w:sz w:val="22"/>
          <w:szCs w:val="22"/>
          <w:rtl/>
        </w:rPr>
        <w:t xml:space="preserve"> טענה זו נסמכת על סעיף 134(א) לחוק, שעל-פיו רשאית ועדה מחוזית להתחיל בהליכי האישור ללא קבלת חוות-דעתה של ועדה מקומית. כן מסתמכים המשיבים על בג"צ 518/80 דיקמן נ' עירית אשדוד</w:t>
      </w:r>
      <w:r w:rsidRPr="00F5459C">
        <w:rPr>
          <w:rFonts w:cs="FrankRuehl" w:hint="cs"/>
          <w:sz w:val="22"/>
          <w:szCs w:val="22"/>
          <w:rtl/>
        </w:rPr>
        <w:t>...</w:t>
      </w:r>
      <w:r w:rsidRPr="00F5459C">
        <w:rPr>
          <w:rFonts w:cs="FrankRuehl"/>
          <w:sz w:val="22"/>
          <w:szCs w:val="22"/>
          <w:rtl/>
        </w:rPr>
        <w:t xml:space="preserve">, בו נפסק כי אין לפסול החלטה של רשות, אף שבהמלצת ועדת-משנה שלה, שהיתה חוליה אחת בשרשרת ארוכה של החלטות מינהליות, נפל פסול בשל ניגוד עניינים. </w:t>
      </w:r>
    </w:p>
    <w:p w:rsidR="005366A8" w:rsidRPr="00F5459C" w:rsidRDefault="005366A8" w:rsidP="005366A8">
      <w:pPr>
        <w:rPr>
          <w:rFonts w:cs="FrankRuehl"/>
          <w:sz w:val="22"/>
          <w:szCs w:val="22"/>
          <w:rtl/>
        </w:rPr>
      </w:pPr>
      <w:r w:rsidRPr="00F5459C">
        <w:rPr>
          <w:rFonts w:cs="FrankRuehl"/>
          <w:sz w:val="22"/>
          <w:szCs w:val="22"/>
          <w:rtl/>
        </w:rPr>
        <w:t>בענייננו, הועדה המחוזית לא טיפלה בתוכנית כברי בדרך המותווית בסעיף 134(א) הנ"ל שהיא חריג, אלא הלכה בדרך המקובלת הקבועה כאמור בסעיפים 67</w:t>
      </w:r>
      <w:r w:rsidRPr="00F5459C">
        <w:rPr>
          <w:rFonts w:cs="FrankRuehl" w:hint="cs"/>
          <w:sz w:val="22"/>
          <w:szCs w:val="22"/>
          <w:rtl/>
        </w:rPr>
        <w:t xml:space="preserve"> </w:t>
      </w:r>
      <w:r w:rsidRPr="00F5459C">
        <w:rPr>
          <w:rFonts w:cs="FrankRuehl"/>
          <w:sz w:val="22"/>
          <w:szCs w:val="22"/>
          <w:rtl/>
        </w:rPr>
        <w:t xml:space="preserve">ו-68 לחוק. </w:t>
      </w:r>
      <w:r w:rsidRPr="00F5459C">
        <w:rPr>
          <w:rFonts w:cs="FrankRuehl"/>
          <w:sz w:val="22"/>
          <w:szCs w:val="22"/>
          <w:highlight w:val="yellow"/>
          <w:rtl/>
        </w:rPr>
        <w:t>על-פי דרך זו החלטת ועדה מקומית אינה המלצה מינהלית רחוקה, אלא תשתית שהחוק דורש לקבלת ההחלטה של הועדה המחוזית. יצויין כי בסעיף 68(ג) לחוק ניתנת זכות ערר בפני ועדה מחוזית על דחיית תוכנית מפורטת על-ידי ועדה מקומית. מכאן שבענייננו, אישור הוועדה המקומית היה תנאי להעברת התוכנית לוועדה המחוזית, והיפוכו של דבר - אלמלא אישרה הועדה המקומית את תוכנית כברי, התוכנית לא היתה באה לדיון בפני הוועדה המחוזית. התקיים כאן איפוא קשר שאינו ניתן לניתוק בין ההחלטות של שתי הוועדות. מקשר זה מתחייב לפסול לא רק את אישור הוועדה המקומית, אלא גם את החלטת הוועדה המחוזית</w:t>
      </w:r>
      <w:r w:rsidRPr="00F5459C">
        <w:rPr>
          <w:rFonts w:cs="FrankRuehl"/>
          <w:sz w:val="22"/>
          <w:szCs w:val="22"/>
          <w:rtl/>
        </w:rPr>
        <w:t xml:space="preserve">. </w:t>
      </w:r>
    </w:p>
    <w:p w:rsidR="005366A8" w:rsidRDefault="005366A8" w:rsidP="005366A8">
      <w:pPr>
        <w:tabs>
          <w:tab w:val="left" w:pos="423"/>
        </w:tabs>
        <w:spacing w:after="120"/>
        <w:rPr>
          <w:rtl/>
        </w:rPr>
      </w:pPr>
    </w:p>
    <w:p w:rsidR="005366A8" w:rsidRPr="00205A0B" w:rsidRDefault="005366A8" w:rsidP="005366A8">
      <w:pPr>
        <w:rPr>
          <w:sz w:val="22"/>
          <w:szCs w:val="22"/>
          <w:rtl/>
        </w:rPr>
      </w:pPr>
      <w:r>
        <w:rPr>
          <w:rFonts w:hint="cs"/>
          <w:sz w:val="22"/>
          <w:szCs w:val="22"/>
          <w:rtl/>
        </w:rPr>
        <w:t>=-=</w:t>
      </w:r>
    </w:p>
    <w:p w:rsidR="005366A8" w:rsidRPr="00205A0B" w:rsidRDefault="005366A8" w:rsidP="005366A8">
      <w:pPr>
        <w:pStyle w:val="FootnoteText"/>
        <w:spacing w:after="60"/>
        <w:ind w:left="720" w:hanging="720"/>
        <w:rPr>
          <w:rtl/>
        </w:rPr>
      </w:pPr>
      <w:r w:rsidRPr="00205A0B">
        <w:rPr>
          <w:highlight w:val="green"/>
          <w:u w:val="single"/>
          <w:rtl/>
        </w:rPr>
        <w:t>לפגישה הבאה:</w:t>
      </w:r>
      <w:r w:rsidRPr="00205A0B">
        <w:rPr>
          <w:u w:val="single"/>
          <w:rtl/>
        </w:rPr>
        <w:t xml:space="preserve"> </w:t>
      </w:r>
    </w:p>
    <w:p w:rsidR="005366A8" w:rsidRPr="00F35AFD" w:rsidRDefault="005366A8" w:rsidP="005366A8">
      <w:pPr>
        <w:pStyle w:val="FootnoteText"/>
        <w:spacing w:after="60"/>
        <w:ind w:firstLine="0"/>
        <w:rPr>
          <w:sz w:val="20"/>
          <w:szCs w:val="20"/>
          <w:rtl/>
        </w:rPr>
      </w:pPr>
      <w:r w:rsidRPr="00F35AFD">
        <w:rPr>
          <w:rFonts w:hint="cs"/>
          <w:sz w:val="20"/>
          <w:szCs w:val="20"/>
          <w:rtl/>
        </w:rPr>
        <w:t>אני יוצא לכנס בחוץ לארץ ולכן לא יתקיים שיעור ביום חמישי הקרוב. אחזיר אותו כשיעור השלמה בחלון הפקולטטי של אחד מימי שלישי הקרובים.</w:t>
      </w:r>
    </w:p>
    <w:p w:rsidR="005366A8" w:rsidRPr="00F35AFD" w:rsidRDefault="005366A8" w:rsidP="005366A8">
      <w:pPr>
        <w:pStyle w:val="FootnoteText"/>
        <w:spacing w:after="60"/>
        <w:ind w:firstLine="0"/>
        <w:rPr>
          <w:sz w:val="20"/>
          <w:szCs w:val="20"/>
          <w:rtl/>
        </w:rPr>
      </w:pPr>
      <w:r w:rsidRPr="00F35AFD">
        <w:rPr>
          <w:sz w:val="20"/>
          <w:szCs w:val="20"/>
          <w:rtl/>
        </w:rPr>
        <w:t xml:space="preserve">אנו נפרדים מהדיון המבואי שלנו ב'שלד' של המשפט הציבורי. הדיון בשלוש הפגישות הקרובות יהיה במה שקרוי "החוקה המהותית" (או החוקה המאטריאלית) של ישראל. אלו הם ערכי היסוד של מדינת ישראל "כמדינה יהודית ודמוקרטית", ויש להם השפעה </w:t>
      </w:r>
      <w:r w:rsidRPr="00F35AFD">
        <w:rPr>
          <w:rFonts w:hint="cs"/>
          <w:sz w:val="20"/>
          <w:szCs w:val="20"/>
          <w:rtl/>
        </w:rPr>
        <w:t xml:space="preserve">גדולה ביותר </w:t>
      </w:r>
      <w:r w:rsidRPr="00F35AFD">
        <w:rPr>
          <w:sz w:val="20"/>
          <w:szCs w:val="20"/>
          <w:rtl/>
        </w:rPr>
        <w:t>על המשפט של ישראל, ובמיוחד על המשפט הציבורי שלה.</w:t>
      </w:r>
    </w:p>
    <w:p w:rsidR="005366A8" w:rsidRPr="00F35AFD" w:rsidRDefault="005366A8" w:rsidP="005366A8">
      <w:pPr>
        <w:pStyle w:val="FootnoteText"/>
        <w:spacing w:after="120"/>
        <w:ind w:firstLine="0"/>
        <w:rPr>
          <w:sz w:val="20"/>
          <w:szCs w:val="20"/>
          <w:rtl/>
        </w:rPr>
      </w:pPr>
      <w:r w:rsidRPr="00F35AFD">
        <w:rPr>
          <w:sz w:val="20"/>
          <w:szCs w:val="20"/>
          <w:rtl/>
        </w:rPr>
        <w:t xml:space="preserve">בהמשך הדרך נגיע לפרק ארוך של דיון "בחוקה הפורמאלית" של ישראל – בחוקי היסוד שלה – ואולם נכון לדעתי להתחיל מהחוקה המהותית, שכן זה תואם את סדר ההתפתחויות במשפט הישראלי. החוקה הפורמאלית מתגבשת/ מוכרת במשפט הישראלי רק החל מאמצע שנות התשעים של המאה הקודמת. כלומר זה התרחשות שמופיעה לאחר </w:t>
      </w:r>
      <w:r w:rsidRPr="00F35AFD">
        <w:rPr>
          <w:rFonts w:hint="cs"/>
          <w:sz w:val="20"/>
          <w:szCs w:val="20"/>
          <w:rtl/>
        </w:rPr>
        <w:t>יותר מארבעה עשורים</w:t>
      </w:r>
      <w:r w:rsidRPr="00F35AFD">
        <w:rPr>
          <w:sz w:val="20"/>
          <w:szCs w:val="20"/>
          <w:rtl/>
        </w:rPr>
        <w:t xml:space="preserve"> של התפתחויות חשובות מאד בלעדיה. אנחנו נלמד חלק מההתפתחויות הללו.</w:t>
      </w:r>
    </w:p>
    <w:p w:rsidR="005366A8" w:rsidRPr="00F35AFD" w:rsidRDefault="005366A8" w:rsidP="005366A8">
      <w:pPr>
        <w:pStyle w:val="FootnoteText"/>
        <w:spacing w:after="60"/>
        <w:ind w:left="1440" w:hanging="720"/>
        <w:rPr>
          <w:sz w:val="20"/>
          <w:szCs w:val="20"/>
          <w:rtl/>
        </w:rPr>
      </w:pPr>
      <w:r w:rsidRPr="00F35AFD">
        <w:rPr>
          <w:sz w:val="20"/>
          <w:szCs w:val="20"/>
          <w:rtl/>
        </w:rPr>
        <w:t xml:space="preserve">נתחיל מפסקי הדין של </w:t>
      </w:r>
      <w:r w:rsidRPr="00F35AFD">
        <w:rPr>
          <w:b/>
          <w:bCs/>
          <w:sz w:val="20"/>
          <w:szCs w:val="20"/>
          <w:rtl/>
        </w:rPr>
        <w:t>בז'רנו וקול-העם</w:t>
      </w:r>
      <w:r w:rsidRPr="00F35AFD">
        <w:rPr>
          <w:sz w:val="20"/>
          <w:szCs w:val="20"/>
          <w:rtl/>
        </w:rPr>
        <w:t xml:space="preserve"> וכן נדון ב</w:t>
      </w:r>
      <w:r w:rsidRPr="00F35AFD">
        <w:rPr>
          <w:b/>
          <w:bCs/>
          <w:sz w:val="20"/>
          <w:szCs w:val="20"/>
          <w:rtl/>
        </w:rPr>
        <w:t>הכרזה על הקמת מדינת ישראל</w:t>
      </w:r>
      <w:r w:rsidRPr="00F35AFD">
        <w:rPr>
          <w:sz w:val="20"/>
          <w:szCs w:val="20"/>
          <w:rtl/>
        </w:rPr>
        <w:t xml:space="preserve"> [הכרזת העצמאות/ מגילת העצמאות]</w:t>
      </w:r>
    </w:p>
    <w:p w:rsidR="005366A8" w:rsidRPr="00F35AFD" w:rsidRDefault="005366A8" w:rsidP="005366A8">
      <w:pPr>
        <w:pStyle w:val="FootnoteText"/>
        <w:spacing w:after="60"/>
        <w:ind w:left="1440" w:hanging="720"/>
        <w:rPr>
          <w:sz w:val="20"/>
          <w:szCs w:val="20"/>
          <w:rtl/>
        </w:rPr>
      </w:pPr>
      <w:r w:rsidRPr="00F35AFD">
        <w:rPr>
          <w:sz w:val="20"/>
          <w:szCs w:val="20"/>
          <w:rtl/>
        </w:rPr>
        <w:t>אנא קראו בעיון את ההכרזה. מה היא בעיניכם? איזה דברים חשובים היא אומרת? איזה הוראות משפטיות מרכזיות מצויות בה?</w:t>
      </w:r>
    </w:p>
    <w:p w:rsidR="005366A8" w:rsidRPr="00F35AFD" w:rsidRDefault="005366A8" w:rsidP="005366A8">
      <w:pPr>
        <w:pStyle w:val="FootnoteText"/>
        <w:spacing w:after="60"/>
        <w:ind w:left="1440" w:hanging="720"/>
        <w:rPr>
          <w:sz w:val="20"/>
          <w:szCs w:val="20"/>
          <w:rtl/>
        </w:rPr>
      </w:pPr>
      <w:r w:rsidRPr="00F35AFD">
        <w:rPr>
          <w:sz w:val="20"/>
          <w:szCs w:val="20"/>
          <w:rtl/>
        </w:rPr>
        <w:t xml:space="preserve">האם פס"ד </w:t>
      </w:r>
      <w:r w:rsidRPr="00F35AFD">
        <w:rPr>
          <w:b/>
          <w:bCs/>
          <w:sz w:val="20"/>
          <w:szCs w:val="20"/>
          <w:rtl/>
        </w:rPr>
        <w:t>בז'רנו</w:t>
      </w:r>
      <w:r w:rsidRPr="00F35AFD">
        <w:rPr>
          <w:sz w:val="20"/>
          <w:szCs w:val="20"/>
          <w:rtl/>
        </w:rPr>
        <w:t xml:space="preserve"> מתיישב עם הפירמידה הנורמטיבית</w:t>
      </w:r>
      <w:r w:rsidRPr="00F35AFD">
        <w:rPr>
          <w:rFonts w:hint="cs"/>
          <w:sz w:val="20"/>
          <w:szCs w:val="20"/>
          <w:rtl/>
        </w:rPr>
        <w:t xml:space="preserve"> שפגשנו בפגישה 2 (הפירמידה הרלבנטית היא זו שקודמת למהפכה החוקתית)</w:t>
      </w:r>
      <w:r w:rsidRPr="00F35AFD">
        <w:rPr>
          <w:sz w:val="20"/>
          <w:szCs w:val="20"/>
          <w:rtl/>
        </w:rPr>
        <w:t>? ואם כן, כיצד?</w:t>
      </w:r>
    </w:p>
    <w:p w:rsidR="005366A8" w:rsidRDefault="005366A8" w:rsidP="005366A8">
      <w:pPr>
        <w:pStyle w:val="FootnoteText"/>
        <w:ind w:left="1440" w:hanging="720"/>
        <w:rPr>
          <w:rtl/>
        </w:rPr>
      </w:pPr>
      <w:r w:rsidRPr="00F35AFD">
        <w:rPr>
          <w:sz w:val="20"/>
          <w:szCs w:val="20"/>
          <w:rtl/>
        </w:rPr>
        <w:t xml:space="preserve">מהו המהלך החשוב או המהלכים החשובים ביותר של השופט אגרנט בפס"ד </w:t>
      </w:r>
      <w:r w:rsidRPr="00F35AFD">
        <w:rPr>
          <w:b/>
          <w:bCs/>
          <w:sz w:val="20"/>
          <w:szCs w:val="20"/>
          <w:rtl/>
        </w:rPr>
        <w:t>קול העם</w:t>
      </w:r>
      <w:r w:rsidRPr="00F35AFD">
        <w:rPr>
          <w:sz w:val="20"/>
          <w:szCs w:val="20"/>
          <w:rtl/>
        </w:rPr>
        <w:t>? – א. מדוע צפונה במהלכים הללו חשיבות משפטית מיוחדת/ ארוכת-טווח? ב. מהי ההתייחסות/ המשמעות המוקנית להכרזת העצמאות?</w:t>
      </w:r>
    </w:p>
    <w:p w:rsidR="005366A8" w:rsidRDefault="005366A8">
      <w:pPr>
        <w:bidi w:val="0"/>
        <w:jc w:val="left"/>
        <w:rPr>
          <w:sz w:val="22"/>
          <w:szCs w:val="22"/>
          <w:rtl/>
        </w:rPr>
      </w:pPr>
      <w:r>
        <w:rPr>
          <w:sz w:val="22"/>
          <w:szCs w:val="22"/>
          <w:rtl/>
        </w:rPr>
        <w:br w:type="page"/>
      </w:r>
    </w:p>
    <w:p w:rsidR="005366A8" w:rsidRDefault="005366A8" w:rsidP="005366A8">
      <w:pPr>
        <w:jc w:val="right"/>
        <w:rPr>
          <w:b/>
          <w:bCs/>
          <w:i/>
          <w:iCs/>
          <w:sz w:val="22"/>
          <w:szCs w:val="22"/>
          <w:u w:val="single"/>
          <w:rtl/>
        </w:rPr>
      </w:pPr>
      <w:r w:rsidRPr="007F6E4F">
        <w:rPr>
          <w:rFonts w:hint="cs"/>
          <w:b/>
          <w:bCs/>
          <w:sz w:val="22"/>
          <w:szCs w:val="22"/>
          <w:rtl/>
        </w:rPr>
        <w:t>משפט ציבורי</w:t>
      </w:r>
      <w:r>
        <w:rPr>
          <w:rFonts w:hint="cs"/>
          <w:sz w:val="22"/>
          <w:szCs w:val="22"/>
          <w:rtl/>
        </w:rPr>
        <w:t xml:space="preserve">, </w:t>
      </w:r>
      <w:r w:rsidRPr="00C4131E">
        <w:rPr>
          <w:rFonts w:hint="cs"/>
          <w:i/>
          <w:iCs/>
          <w:sz w:val="22"/>
          <w:szCs w:val="22"/>
          <w:rtl/>
        </w:rPr>
        <w:t>תשע</w:t>
      </w:r>
      <w:r>
        <w:rPr>
          <w:rFonts w:hint="cs"/>
          <w:i/>
          <w:iCs/>
          <w:sz w:val="22"/>
          <w:szCs w:val="22"/>
          <w:rtl/>
        </w:rPr>
        <w:t>"ה</w:t>
      </w:r>
      <w:r>
        <w:rPr>
          <w:rFonts w:hint="cs"/>
          <w:sz w:val="22"/>
          <w:szCs w:val="22"/>
          <w:rtl/>
        </w:rPr>
        <w:t xml:space="preserve">, </w:t>
      </w:r>
      <w:r w:rsidRPr="007F6E4F">
        <w:rPr>
          <w:rFonts w:hint="cs"/>
          <w:b/>
          <w:bCs/>
          <w:sz w:val="22"/>
          <w:szCs w:val="22"/>
          <w:rtl/>
        </w:rPr>
        <w:t>סמסטר א',</w:t>
      </w:r>
      <w:r>
        <w:rPr>
          <w:rFonts w:hint="cs"/>
          <w:sz w:val="22"/>
          <w:szCs w:val="22"/>
          <w:rtl/>
        </w:rPr>
        <w:t xml:space="preserve"> ד"ר אילן סבן, נובמבר 2014, </w:t>
      </w:r>
      <w:r w:rsidRPr="005366A8">
        <w:rPr>
          <w:rFonts w:hint="cs"/>
          <w:b/>
          <w:bCs/>
          <w:i/>
          <w:iCs/>
          <w:sz w:val="22"/>
          <w:szCs w:val="22"/>
          <w:highlight w:val="magenta"/>
          <w:u w:val="single"/>
          <w:rtl/>
        </w:rPr>
        <w:t>פגישה 4</w:t>
      </w:r>
    </w:p>
    <w:p w:rsidR="005366A8" w:rsidRDefault="005366A8" w:rsidP="005366A8">
      <w:pPr>
        <w:rPr>
          <w:rtl/>
        </w:rPr>
      </w:pPr>
    </w:p>
    <w:p w:rsidR="005366A8" w:rsidRDefault="005366A8" w:rsidP="005366A8">
      <w:pPr>
        <w:spacing w:after="60"/>
        <w:rPr>
          <w:i/>
          <w:iCs/>
          <w:rtl/>
        </w:rPr>
      </w:pPr>
      <w:r w:rsidRPr="00723C5F">
        <w:rPr>
          <w:rFonts w:hint="cs"/>
          <w:i/>
          <w:iCs/>
          <w:rtl/>
        </w:rPr>
        <w:t xml:space="preserve">הדפים של תחילת הפגישה הקודמת הם דפים "למיטיבי לכת", כלומר, קצת קשים, קצת מקדימים את השלב הלימודי שבו אנחנו נמצאים. עם זאת, הם חשובים ומכאן התעקשותי שתכירו אותם. זה לא משהו ללמוד בעל פה אלא משהו להבין באופן בסיסי. </w:t>
      </w:r>
    </w:p>
    <w:p w:rsidR="005366A8" w:rsidRPr="00723C5F" w:rsidRDefault="005366A8" w:rsidP="005366A8">
      <w:pPr>
        <w:rPr>
          <w:i/>
          <w:iCs/>
          <w:rtl/>
        </w:rPr>
      </w:pPr>
      <w:r w:rsidRPr="00723C5F">
        <w:rPr>
          <w:rFonts w:hint="cs"/>
          <w:i/>
          <w:iCs/>
          <w:rtl/>
        </w:rPr>
        <w:t>עברתי עליהם כדי לעשותם לקצת יותר בהירים. תעדיפו לפיכך את הניסוח שלהלן על פני זה שבדפים של הפגישה הקודמת.</w:t>
      </w:r>
    </w:p>
    <w:p w:rsidR="005366A8" w:rsidRDefault="005366A8" w:rsidP="005366A8">
      <w:pPr>
        <w:rPr>
          <w:rtl/>
        </w:rPr>
      </w:pPr>
    </w:p>
    <w:p w:rsidR="005366A8" w:rsidRPr="00951351" w:rsidRDefault="005366A8" w:rsidP="005366A8">
      <w:pPr>
        <w:jc w:val="center"/>
        <w:rPr>
          <w:b/>
          <w:bCs/>
          <w:highlight w:val="yellow"/>
          <w:rtl/>
        </w:rPr>
      </w:pPr>
      <w:r w:rsidRPr="00951351">
        <w:rPr>
          <w:rFonts w:hint="cs"/>
          <w:b/>
          <w:bCs/>
          <w:highlight w:val="yellow"/>
          <w:rtl/>
        </w:rPr>
        <w:t xml:space="preserve">סוגיית </w:t>
      </w:r>
      <w:r w:rsidRPr="00951351">
        <w:rPr>
          <w:rFonts w:hint="cs"/>
          <w:b/>
          <w:bCs/>
          <w:highlight w:val="yellow"/>
          <w:u w:val="single"/>
          <w:rtl/>
        </w:rPr>
        <w:t>"המעמד האזרחי"</w:t>
      </w:r>
      <w:r w:rsidRPr="00951351">
        <w:rPr>
          <w:rFonts w:hint="cs"/>
          <w:b/>
          <w:bCs/>
          <w:highlight w:val="yellow"/>
          <w:rtl/>
        </w:rPr>
        <w:t xml:space="preserve">: מי אנחנו, מה מעמדנו המשפטי במשפט הישראלי? </w:t>
      </w:r>
    </w:p>
    <w:p w:rsidR="005366A8" w:rsidRPr="00951351" w:rsidRDefault="005366A8" w:rsidP="005366A8">
      <w:pPr>
        <w:spacing w:after="120"/>
        <w:jc w:val="center"/>
        <w:rPr>
          <w:rtl/>
        </w:rPr>
      </w:pPr>
      <w:r w:rsidRPr="00951351">
        <w:rPr>
          <w:rFonts w:hint="cs"/>
          <w:highlight w:val="yellow"/>
          <w:rtl/>
        </w:rPr>
        <w:t>(שאלה זו קרובה, אך לא זהה לשאלת מעמדנו הפוליטי)</w:t>
      </w:r>
    </w:p>
    <w:p w:rsidR="005366A8" w:rsidRPr="001E3FE7" w:rsidRDefault="005366A8" w:rsidP="005366A8">
      <w:pPr>
        <w:spacing w:after="120"/>
        <w:rPr>
          <w:sz w:val="22"/>
          <w:szCs w:val="22"/>
          <w:rtl/>
        </w:rPr>
      </w:pPr>
      <w:r w:rsidRPr="001E3FE7">
        <w:rPr>
          <w:rFonts w:hint="cs"/>
          <w:sz w:val="22"/>
          <w:szCs w:val="22"/>
          <w:rtl/>
        </w:rPr>
        <w:t>א.</w:t>
      </w:r>
    </w:p>
    <w:p w:rsidR="005366A8" w:rsidRDefault="005366A8" w:rsidP="005366A8">
      <w:pPr>
        <w:spacing w:after="120"/>
        <w:rPr>
          <w:sz w:val="22"/>
          <w:szCs w:val="22"/>
          <w:rtl/>
        </w:rPr>
      </w:pPr>
      <w:r>
        <w:rPr>
          <w:rFonts w:hint="cs"/>
          <w:b/>
          <w:bCs/>
          <w:sz w:val="22"/>
          <w:szCs w:val="22"/>
          <w:rtl/>
        </w:rPr>
        <w:t>שסע מרכזי והנתון המרכזי ביותר של המציאות הישראלית הוא הסכסוך בין יהודים ל</w:t>
      </w:r>
      <w:r w:rsidRPr="001E3FE7">
        <w:rPr>
          <w:rFonts w:hint="cs"/>
          <w:b/>
          <w:bCs/>
          <w:sz w:val="22"/>
          <w:szCs w:val="22"/>
          <w:rtl/>
        </w:rPr>
        <w:t>ערבים</w:t>
      </w:r>
      <w:r w:rsidRPr="001E3FE7">
        <w:rPr>
          <w:rFonts w:hint="cs"/>
          <w:sz w:val="22"/>
          <w:szCs w:val="22"/>
          <w:rtl/>
        </w:rPr>
        <w:t xml:space="preserve"> </w:t>
      </w:r>
    </w:p>
    <w:p w:rsidR="005366A8" w:rsidRPr="001E3FE7" w:rsidRDefault="005366A8" w:rsidP="005366A8">
      <w:pPr>
        <w:spacing w:after="120"/>
        <w:ind w:left="720"/>
        <w:rPr>
          <w:sz w:val="22"/>
          <w:szCs w:val="22"/>
          <w:rtl/>
        </w:rPr>
      </w:pPr>
      <w:r w:rsidRPr="001E3FE7">
        <w:rPr>
          <w:rFonts w:hint="cs"/>
          <w:sz w:val="22"/>
          <w:szCs w:val="22"/>
          <w:rtl/>
        </w:rPr>
        <w:t>[</w:t>
      </w:r>
      <w:r>
        <w:rPr>
          <w:rFonts w:hint="cs"/>
          <w:sz w:val="22"/>
          <w:szCs w:val="22"/>
          <w:rtl/>
        </w:rPr>
        <w:t>ב</w:t>
      </w:r>
      <w:r w:rsidRPr="001E3FE7">
        <w:rPr>
          <w:rFonts w:hint="cs"/>
          <w:sz w:val="22"/>
          <w:szCs w:val="22"/>
          <w:rtl/>
        </w:rPr>
        <w:t>ערבים</w:t>
      </w:r>
      <w:r>
        <w:rPr>
          <w:rFonts w:hint="cs"/>
          <w:sz w:val="22"/>
          <w:szCs w:val="22"/>
          <w:rtl/>
        </w:rPr>
        <w:t xml:space="preserve"> הכוונה היא לערבים-</w:t>
      </w:r>
      <w:r w:rsidRPr="001E3FE7">
        <w:rPr>
          <w:rFonts w:hint="cs"/>
          <w:sz w:val="22"/>
          <w:szCs w:val="22"/>
          <w:rtl/>
        </w:rPr>
        <w:t>הפלסטינים ו</w:t>
      </w:r>
      <w:r>
        <w:rPr>
          <w:rFonts w:hint="cs"/>
          <w:sz w:val="22"/>
          <w:szCs w:val="22"/>
          <w:rtl/>
        </w:rPr>
        <w:t xml:space="preserve">כן לאזרחי </w:t>
      </w:r>
      <w:r w:rsidRPr="001E3FE7">
        <w:rPr>
          <w:rFonts w:hint="cs"/>
          <w:sz w:val="22"/>
          <w:szCs w:val="22"/>
          <w:rtl/>
        </w:rPr>
        <w:t>מדינות ערב</w:t>
      </w:r>
      <w:r>
        <w:rPr>
          <w:rFonts w:hint="cs"/>
          <w:sz w:val="22"/>
          <w:szCs w:val="22"/>
          <w:rtl/>
        </w:rPr>
        <w:t xml:space="preserve"> באופן כללי יותר</w:t>
      </w:r>
      <w:r w:rsidRPr="001E3FE7">
        <w:rPr>
          <w:rFonts w:hint="cs"/>
          <w:sz w:val="22"/>
          <w:szCs w:val="22"/>
          <w:rtl/>
        </w:rPr>
        <w:t>; נתמקד כאן בפלסטינים</w:t>
      </w:r>
      <w:r>
        <w:rPr>
          <w:rFonts w:hint="cs"/>
          <w:sz w:val="22"/>
          <w:szCs w:val="22"/>
          <w:rtl/>
        </w:rPr>
        <w:t>; ראו להלן.</w:t>
      </w:r>
      <w:r w:rsidRPr="001E3FE7">
        <w:rPr>
          <w:rFonts w:hint="cs"/>
          <w:sz w:val="22"/>
          <w:szCs w:val="22"/>
          <w:rtl/>
        </w:rPr>
        <w:t>]</w:t>
      </w:r>
    </w:p>
    <w:p w:rsidR="005366A8" w:rsidRPr="001E3FE7" w:rsidRDefault="005366A8" w:rsidP="005366A8">
      <w:pPr>
        <w:spacing w:after="120"/>
        <w:rPr>
          <w:b/>
          <w:bCs/>
          <w:sz w:val="22"/>
          <w:szCs w:val="22"/>
          <w:rtl/>
        </w:rPr>
      </w:pPr>
      <w:r>
        <w:rPr>
          <w:rFonts w:hint="cs"/>
          <w:b/>
          <w:bCs/>
          <w:sz w:val="22"/>
          <w:szCs w:val="22"/>
          <w:rtl/>
        </w:rPr>
        <w:t>ה</w:t>
      </w:r>
      <w:r w:rsidRPr="001E3FE7">
        <w:rPr>
          <w:rFonts w:hint="cs"/>
          <w:b/>
          <w:bCs/>
          <w:sz w:val="22"/>
          <w:szCs w:val="22"/>
          <w:rtl/>
        </w:rPr>
        <w:t>יהודים</w:t>
      </w:r>
    </w:p>
    <w:p w:rsidR="005366A8" w:rsidRPr="001E3FE7" w:rsidRDefault="005366A8" w:rsidP="005366A8">
      <w:pPr>
        <w:spacing w:after="120"/>
        <w:ind w:left="720"/>
        <w:rPr>
          <w:sz w:val="22"/>
          <w:szCs w:val="22"/>
          <w:rtl/>
        </w:rPr>
      </w:pPr>
      <w:r>
        <w:rPr>
          <w:rFonts w:hint="cs"/>
          <w:sz w:val="22"/>
          <w:szCs w:val="22"/>
          <w:rtl/>
        </w:rPr>
        <w:t xml:space="preserve">^ יהודים </w:t>
      </w:r>
      <w:r w:rsidRPr="001E3FE7">
        <w:rPr>
          <w:rFonts w:hint="cs"/>
          <w:sz w:val="22"/>
          <w:szCs w:val="22"/>
          <w:rtl/>
        </w:rPr>
        <w:t>בישראל;</w:t>
      </w:r>
    </w:p>
    <w:p w:rsidR="005366A8" w:rsidRPr="001E3FE7" w:rsidRDefault="005366A8" w:rsidP="005366A8">
      <w:pPr>
        <w:spacing w:after="120"/>
        <w:ind w:left="1440"/>
        <w:rPr>
          <w:sz w:val="22"/>
          <w:szCs w:val="22"/>
          <w:rtl/>
        </w:rPr>
      </w:pPr>
      <w:r>
        <w:rPr>
          <w:rFonts w:hint="cs"/>
          <w:sz w:val="22"/>
          <w:szCs w:val="22"/>
          <w:rtl/>
        </w:rPr>
        <w:t>וכן ב</w:t>
      </w:r>
      <w:r w:rsidRPr="001E3FE7">
        <w:rPr>
          <w:rFonts w:hint="cs"/>
          <w:sz w:val="22"/>
          <w:szCs w:val="22"/>
          <w:rtl/>
        </w:rPr>
        <w:t>ירושלים המזרחית ו</w:t>
      </w:r>
      <w:r>
        <w:rPr>
          <w:rFonts w:hint="cs"/>
          <w:sz w:val="22"/>
          <w:szCs w:val="22"/>
          <w:rtl/>
        </w:rPr>
        <w:t>ב</w:t>
      </w:r>
      <w:r w:rsidRPr="001E3FE7">
        <w:rPr>
          <w:rFonts w:hint="cs"/>
          <w:sz w:val="22"/>
          <w:szCs w:val="22"/>
          <w:rtl/>
        </w:rPr>
        <w:t xml:space="preserve">רמת הגולן </w:t>
      </w:r>
      <w:r w:rsidRPr="001E3FE7">
        <w:rPr>
          <w:sz w:val="22"/>
          <w:szCs w:val="22"/>
          <w:rtl/>
        </w:rPr>
        <w:t>–</w:t>
      </w:r>
      <w:r w:rsidRPr="001E3FE7">
        <w:rPr>
          <w:rFonts w:hint="cs"/>
          <w:sz w:val="22"/>
          <w:szCs w:val="22"/>
          <w:rtl/>
        </w:rPr>
        <w:t xml:space="preserve"> אזורים </w:t>
      </w:r>
      <w:r>
        <w:rPr>
          <w:rFonts w:hint="cs"/>
          <w:sz w:val="22"/>
          <w:szCs w:val="22"/>
          <w:rtl/>
        </w:rPr>
        <w:t>ש</w:t>
      </w:r>
      <w:r w:rsidRPr="001E3FE7">
        <w:rPr>
          <w:rFonts w:hint="cs"/>
          <w:sz w:val="22"/>
          <w:szCs w:val="22"/>
          <w:rtl/>
        </w:rPr>
        <w:t xml:space="preserve">סופחו לישראל מבחינת משפטה הפנימי </w:t>
      </w:r>
      <w:r w:rsidRPr="001E3FE7">
        <w:rPr>
          <w:sz w:val="22"/>
          <w:szCs w:val="22"/>
          <w:rtl/>
        </w:rPr>
        <w:t>–</w:t>
      </w:r>
      <w:r w:rsidRPr="001E3FE7">
        <w:rPr>
          <w:rFonts w:hint="cs"/>
          <w:sz w:val="22"/>
          <w:szCs w:val="22"/>
          <w:rtl/>
        </w:rPr>
        <w:t xml:space="preserve"> </w:t>
      </w:r>
      <w:r>
        <w:rPr>
          <w:rFonts w:hint="cs"/>
          <w:sz w:val="22"/>
          <w:szCs w:val="22"/>
          <w:rtl/>
        </w:rPr>
        <w:t xml:space="preserve">הם </w:t>
      </w:r>
      <w:r w:rsidRPr="001E3FE7">
        <w:rPr>
          <w:rFonts w:hint="cs"/>
          <w:sz w:val="22"/>
          <w:szCs w:val="22"/>
          <w:rtl/>
        </w:rPr>
        <w:t>אזרחים ככל האזרחים;</w:t>
      </w:r>
    </w:p>
    <w:p w:rsidR="005366A8" w:rsidRPr="001E3FE7" w:rsidRDefault="005366A8" w:rsidP="005366A8">
      <w:pPr>
        <w:spacing w:after="120"/>
        <w:ind w:left="720"/>
        <w:rPr>
          <w:sz w:val="22"/>
          <w:szCs w:val="22"/>
          <w:rtl/>
        </w:rPr>
      </w:pPr>
      <w:r>
        <w:rPr>
          <w:rFonts w:hint="cs"/>
          <w:sz w:val="22"/>
          <w:szCs w:val="22"/>
          <w:rtl/>
        </w:rPr>
        <w:t xml:space="preserve">^ יהודים </w:t>
      </w:r>
      <w:r w:rsidRPr="001E3FE7">
        <w:rPr>
          <w:rFonts w:hint="cs"/>
          <w:sz w:val="22"/>
          <w:szCs w:val="22"/>
          <w:rtl/>
        </w:rPr>
        <w:t xml:space="preserve">המתיישבים/המתנחלים בגדה המערבית </w:t>
      </w:r>
      <w:r w:rsidRPr="001E3FE7">
        <w:rPr>
          <w:sz w:val="22"/>
          <w:szCs w:val="22"/>
          <w:rtl/>
        </w:rPr>
        <w:t>–</w:t>
      </w:r>
      <w:r w:rsidRPr="001E3FE7">
        <w:rPr>
          <w:rFonts w:hint="cs"/>
          <w:sz w:val="22"/>
          <w:szCs w:val="22"/>
          <w:rtl/>
        </w:rPr>
        <w:t xml:space="preserve"> </w:t>
      </w:r>
      <w:r>
        <w:rPr>
          <w:rFonts w:hint="cs"/>
          <w:sz w:val="22"/>
          <w:szCs w:val="22"/>
          <w:rtl/>
        </w:rPr>
        <w:t xml:space="preserve">הם </w:t>
      </w:r>
      <w:r w:rsidRPr="001E3FE7">
        <w:rPr>
          <w:rFonts w:hint="cs"/>
          <w:sz w:val="22"/>
          <w:szCs w:val="22"/>
          <w:rtl/>
        </w:rPr>
        <w:t>אזרחים ככל האזרחים בכפוף למקצת הדינים;</w:t>
      </w:r>
    </w:p>
    <w:p w:rsidR="005366A8" w:rsidRDefault="005366A8" w:rsidP="005366A8">
      <w:pPr>
        <w:spacing w:after="120"/>
        <w:ind w:left="1440" w:hanging="720"/>
        <w:rPr>
          <w:sz w:val="22"/>
          <w:szCs w:val="22"/>
          <w:rtl/>
        </w:rPr>
      </w:pPr>
      <w:r>
        <w:rPr>
          <w:rFonts w:hint="cs"/>
          <w:sz w:val="22"/>
          <w:szCs w:val="22"/>
          <w:rtl/>
        </w:rPr>
        <w:t xml:space="preserve">^ </w:t>
      </w:r>
      <w:r w:rsidRPr="001E3FE7">
        <w:rPr>
          <w:rFonts w:hint="cs"/>
          <w:sz w:val="22"/>
          <w:szCs w:val="22"/>
          <w:rtl/>
        </w:rPr>
        <w:t>יהודים בגולה/ בתפוצות/ כלומר מחוץ לישראל</w:t>
      </w:r>
      <w:r>
        <w:rPr>
          <w:rFonts w:hint="cs"/>
          <w:sz w:val="22"/>
          <w:szCs w:val="22"/>
          <w:rtl/>
        </w:rPr>
        <w:t xml:space="preserve"> ומחוץ לגדה המערבית</w:t>
      </w:r>
      <w:r w:rsidRPr="001E3FE7">
        <w:rPr>
          <w:rFonts w:hint="cs"/>
          <w:sz w:val="22"/>
          <w:szCs w:val="22"/>
          <w:rtl/>
        </w:rPr>
        <w:t xml:space="preserve"> </w:t>
      </w:r>
    </w:p>
    <w:p w:rsidR="005366A8" w:rsidRPr="001E3FE7" w:rsidRDefault="005366A8" w:rsidP="005366A8">
      <w:pPr>
        <w:spacing w:after="120"/>
        <w:ind w:left="2160" w:right="-142" w:hanging="720"/>
        <w:rPr>
          <w:sz w:val="22"/>
          <w:szCs w:val="22"/>
          <w:rtl/>
        </w:rPr>
      </w:pPr>
      <w:r>
        <w:rPr>
          <w:rFonts w:hint="cs"/>
          <w:sz w:val="22"/>
          <w:szCs w:val="22"/>
          <w:rtl/>
        </w:rPr>
        <w:t xml:space="preserve">אין להם </w:t>
      </w:r>
      <w:r w:rsidRPr="001E3FE7">
        <w:rPr>
          <w:rFonts w:hint="cs"/>
          <w:sz w:val="22"/>
          <w:szCs w:val="22"/>
          <w:rtl/>
        </w:rPr>
        <w:t>אזרחות ישראלית</w:t>
      </w:r>
      <w:r>
        <w:rPr>
          <w:rFonts w:hint="cs"/>
          <w:sz w:val="22"/>
          <w:szCs w:val="22"/>
          <w:rtl/>
        </w:rPr>
        <w:t xml:space="preserve"> (</w:t>
      </w:r>
      <w:r w:rsidRPr="001E3FE7">
        <w:rPr>
          <w:rFonts w:hint="cs"/>
          <w:sz w:val="22"/>
          <w:szCs w:val="22"/>
          <w:rtl/>
        </w:rPr>
        <w:t>למעט מהגרים מישראל, מי שקרויים לעיתים "יורדים"</w:t>
      </w:r>
      <w:r>
        <w:rPr>
          <w:rFonts w:hint="cs"/>
          <w:sz w:val="22"/>
          <w:szCs w:val="22"/>
          <w:rtl/>
        </w:rPr>
        <w:t>)</w:t>
      </w:r>
      <w:r w:rsidRPr="001E3FE7">
        <w:rPr>
          <w:rFonts w:hint="cs"/>
          <w:sz w:val="22"/>
          <w:szCs w:val="22"/>
          <w:rtl/>
        </w:rPr>
        <w:t xml:space="preserve">; </w:t>
      </w:r>
      <w:r>
        <w:rPr>
          <w:rFonts w:hint="cs"/>
          <w:sz w:val="22"/>
          <w:szCs w:val="22"/>
          <w:rtl/>
        </w:rPr>
        <w:t xml:space="preserve">הם בעלי אזרחות של מדינתם/מולדתם; אך </w:t>
      </w:r>
      <w:r w:rsidRPr="001E3FE7">
        <w:rPr>
          <w:rFonts w:hint="cs"/>
          <w:sz w:val="22"/>
          <w:szCs w:val="22"/>
          <w:rtl/>
        </w:rPr>
        <w:t>במקביל</w:t>
      </w:r>
      <w:r>
        <w:rPr>
          <w:rFonts w:hint="cs"/>
          <w:sz w:val="22"/>
          <w:szCs w:val="22"/>
          <w:rtl/>
        </w:rPr>
        <w:t xml:space="preserve"> הם</w:t>
      </w:r>
      <w:r w:rsidRPr="001E3FE7">
        <w:rPr>
          <w:rFonts w:hint="cs"/>
          <w:sz w:val="22"/>
          <w:szCs w:val="22"/>
          <w:rtl/>
        </w:rPr>
        <w:t xml:space="preserve"> בעלי זכות להגיע לישראל בכל עת ולקבל אזרחות אוטומטית </w:t>
      </w:r>
      <w:r w:rsidRPr="001E3FE7">
        <w:rPr>
          <w:sz w:val="22"/>
          <w:szCs w:val="22"/>
          <w:rtl/>
        </w:rPr>
        <w:t>–</w:t>
      </w:r>
      <w:r w:rsidRPr="001E3FE7">
        <w:rPr>
          <w:rFonts w:hint="cs"/>
          <w:sz w:val="22"/>
          <w:szCs w:val="22"/>
          <w:rtl/>
        </w:rPr>
        <w:t xml:space="preserve"> חוק השבות)</w:t>
      </w:r>
    </w:p>
    <w:p w:rsidR="005366A8" w:rsidRPr="001E3FE7" w:rsidRDefault="005366A8" w:rsidP="005366A8">
      <w:pPr>
        <w:spacing w:after="120"/>
        <w:ind w:left="720" w:hanging="720"/>
        <w:rPr>
          <w:sz w:val="22"/>
          <w:szCs w:val="22"/>
          <w:rtl/>
        </w:rPr>
      </w:pPr>
      <w:r w:rsidRPr="001E3FE7">
        <w:rPr>
          <w:rFonts w:hint="cs"/>
          <w:b/>
          <w:bCs/>
          <w:sz w:val="22"/>
          <w:szCs w:val="22"/>
          <w:rtl/>
        </w:rPr>
        <w:t>הפלסטינים</w:t>
      </w:r>
      <w:r w:rsidRPr="001E3FE7">
        <w:rPr>
          <w:rFonts w:hint="cs"/>
          <w:sz w:val="22"/>
          <w:szCs w:val="22"/>
          <w:rtl/>
        </w:rPr>
        <w:t xml:space="preserve"> (עם נטול מדינה </w:t>
      </w:r>
      <w:r>
        <w:rPr>
          <w:rFonts w:hint="cs"/>
          <w:sz w:val="22"/>
          <w:szCs w:val="22"/>
          <w:rtl/>
        </w:rPr>
        <w:t>המפוצל מבחינות לא מעטות</w:t>
      </w:r>
      <w:r w:rsidRPr="001E3FE7">
        <w:rPr>
          <w:rFonts w:hint="cs"/>
          <w:sz w:val="22"/>
          <w:szCs w:val="22"/>
          <w:rtl/>
        </w:rPr>
        <w:t>):</w:t>
      </w:r>
    </w:p>
    <w:p w:rsidR="005366A8" w:rsidRPr="001E3FE7" w:rsidRDefault="005366A8" w:rsidP="005366A8">
      <w:pPr>
        <w:spacing w:after="120"/>
        <w:ind w:left="1440" w:hanging="720"/>
        <w:rPr>
          <w:b/>
          <w:bCs/>
          <w:sz w:val="22"/>
          <w:szCs w:val="22"/>
          <w:rtl/>
        </w:rPr>
      </w:pPr>
      <w:r>
        <w:rPr>
          <w:rFonts w:hint="cs"/>
          <w:b/>
          <w:bCs/>
          <w:sz w:val="22"/>
          <w:szCs w:val="22"/>
          <w:rtl/>
        </w:rPr>
        <w:t>[</w:t>
      </w:r>
      <w:r w:rsidRPr="001E3FE7">
        <w:rPr>
          <w:rFonts w:hint="cs"/>
          <w:b/>
          <w:bCs/>
          <w:sz w:val="22"/>
          <w:szCs w:val="22"/>
          <w:rtl/>
        </w:rPr>
        <w:t>אבחנה אחת היא בין מי שהם פליטים (או צאצ</w:t>
      </w:r>
      <w:r>
        <w:rPr>
          <w:rFonts w:hint="cs"/>
          <w:b/>
          <w:bCs/>
          <w:sz w:val="22"/>
          <w:szCs w:val="22"/>
          <w:rtl/>
        </w:rPr>
        <w:t>א</w:t>
      </w:r>
      <w:r w:rsidRPr="001E3FE7">
        <w:rPr>
          <w:rFonts w:hint="cs"/>
          <w:b/>
          <w:bCs/>
          <w:sz w:val="22"/>
          <w:szCs w:val="22"/>
          <w:rtl/>
        </w:rPr>
        <w:t>יהם) ומי שאינם פליטים</w:t>
      </w:r>
    </w:p>
    <w:p w:rsidR="005366A8" w:rsidRPr="001E3FE7" w:rsidRDefault="005366A8" w:rsidP="005366A8">
      <w:pPr>
        <w:spacing w:after="120"/>
        <w:ind w:left="2160" w:hanging="720"/>
        <w:rPr>
          <w:sz w:val="22"/>
          <w:szCs w:val="22"/>
          <w:rtl/>
        </w:rPr>
      </w:pPr>
      <w:r w:rsidRPr="001E3FE7">
        <w:rPr>
          <w:rFonts w:hint="cs"/>
          <w:sz w:val="22"/>
          <w:szCs w:val="22"/>
          <w:rtl/>
        </w:rPr>
        <w:t>פליטים וצאצאיהם</w:t>
      </w:r>
      <w:r>
        <w:rPr>
          <w:rFonts w:hint="cs"/>
          <w:sz w:val="22"/>
          <w:szCs w:val="22"/>
          <w:rtl/>
        </w:rPr>
        <w:t xml:space="preserve"> הם</w:t>
      </w:r>
      <w:r w:rsidRPr="001E3FE7">
        <w:rPr>
          <w:rFonts w:hint="cs"/>
          <w:sz w:val="22"/>
          <w:szCs w:val="22"/>
          <w:rtl/>
        </w:rPr>
        <w:t xml:space="preserve"> מי שברחו או גורשו ב 1948 לגדה, לעזה, לירדן, לבנון, סוריה;</w:t>
      </w:r>
    </w:p>
    <w:p w:rsidR="005366A8" w:rsidRDefault="005366A8" w:rsidP="005366A8">
      <w:pPr>
        <w:spacing w:after="120"/>
        <w:ind w:left="2160" w:hanging="720"/>
        <w:rPr>
          <w:sz w:val="22"/>
          <w:szCs w:val="22"/>
          <w:rtl/>
        </w:rPr>
      </w:pPr>
      <w:r>
        <w:rPr>
          <w:rFonts w:hint="cs"/>
          <w:sz w:val="22"/>
          <w:szCs w:val="22"/>
          <w:rtl/>
        </w:rPr>
        <w:t xml:space="preserve">ויש את </w:t>
      </w:r>
      <w:r w:rsidRPr="001E3FE7">
        <w:rPr>
          <w:rFonts w:hint="cs"/>
          <w:sz w:val="22"/>
          <w:szCs w:val="22"/>
          <w:rtl/>
        </w:rPr>
        <w:t xml:space="preserve">מי שאינם פליטים </w:t>
      </w:r>
    </w:p>
    <w:p w:rsidR="005366A8" w:rsidRDefault="005366A8" w:rsidP="005366A8">
      <w:pPr>
        <w:spacing w:after="120"/>
        <w:ind w:left="2880" w:hanging="720"/>
        <w:rPr>
          <w:sz w:val="22"/>
          <w:szCs w:val="22"/>
          <w:rtl/>
        </w:rPr>
      </w:pPr>
      <w:r w:rsidRPr="001E3FE7">
        <w:rPr>
          <w:rFonts w:hint="cs"/>
          <w:sz w:val="22"/>
          <w:szCs w:val="22"/>
          <w:rtl/>
        </w:rPr>
        <w:t xml:space="preserve">כמו הפלסטינים </w:t>
      </w:r>
      <w:r>
        <w:rPr>
          <w:rFonts w:hint="cs"/>
          <w:sz w:val="22"/>
          <w:szCs w:val="22"/>
          <w:rtl/>
        </w:rPr>
        <w:t xml:space="preserve">שנותרו </w:t>
      </w:r>
      <w:r w:rsidRPr="001E3FE7">
        <w:rPr>
          <w:rFonts w:hint="cs"/>
          <w:sz w:val="22"/>
          <w:szCs w:val="22"/>
          <w:rtl/>
        </w:rPr>
        <w:t>בישראל</w:t>
      </w:r>
      <w:r>
        <w:rPr>
          <w:rFonts w:hint="cs"/>
          <w:sz w:val="22"/>
          <w:szCs w:val="22"/>
          <w:rtl/>
        </w:rPr>
        <w:t xml:space="preserve">, כלומר אזרחי ישראל הערבים </w:t>
      </w:r>
      <w:r>
        <w:rPr>
          <w:sz w:val="22"/>
          <w:szCs w:val="22"/>
          <w:rtl/>
        </w:rPr>
        <w:t>–</w:t>
      </w:r>
      <w:r>
        <w:rPr>
          <w:rFonts w:hint="cs"/>
          <w:sz w:val="22"/>
          <w:szCs w:val="22"/>
          <w:rtl/>
        </w:rPr>
        <w:t xml:space="preserve"> שחלקם נותרו על אדמתם אך חלקם נעקרו ממנה למקום אחר בישראל, והם, האחרונים, מכונים "עקורים" או "פליטים פנימיים";</w:t>
      </w:r>
      <w:r w:rsidRPr="001E3FE7">
        <w:rPr>
          <w:rFonts w:hint="cs"/>
          <w:sz w:val="22"/>
          <w:szCs w:val="22"/>
          <w:rtl/>
        </w:rPr>
        <w:t xml:space="preserve"> </w:t>
      </w:r>
    </w:p>
    <w:p w:rsidR="005366A8" w:rsidRPr="001E3FE7" w:rsidRDefault="005366A8" w:rsidP="005366A8">
      <w:pPr>
        <w:spacing w:after="120"/>
        <w:ind w:left="2880" w:hanging="720"/>
        <w:rPr>
          <w:sz w:val="22"/>
          <w:szCs w:val="22"/>
          <w:rtl/>
        </w:rPr>
      </w:pPr>
      <w:r w:rsidRPr="001E3FE7">
        <w:rPr>
          <w:rFonts w:hint="cs"/>
          <w:sz w:val="22"/>
          <w:szCs w:val="22"/>
          <w:rtl/>
        </w:rPr>
        <w:t>או חלק מהפלסטינים בגדה או חלק מהפלסטינים ברצועה או חלק מהפלסטינים בירושלים המזרחית</w:t>
      </w:r>
      <w:r>
        <w:rPr>
          <w:rFonts w:hint="cs"/>
          <w:sz w:val="22"/>
          <w:szCs w:val="22"/>
          <w:rtl/>
        </w:rPr>
        <w:t>, שנותרו ב 1948 על אדמתם.]</w:t>
      </w:r>
    </w:p>
    <w:p w:rsidR="005366A8" w:rsidRPr="001E3FE7" w:rsidRDefault="005366A8" w:rsidP="005366A8">
      <w:pPr>
        <w:spacing w:after="120"/>
        <w:ind w:left="720"/>
        <w:rPr>
          <w:b/>
          <w:bCs/>
          <w:sz w:val="22"/>
          <w:szCs w:val="22"/>
          <w:rtl/>
        </w:rPr>
      </w:pPr>
      <w:r>
        <w:rPr>
          <w:rFonts w:hint="cs"/>
          <w:b/>
          <w:bCs/>
          <w:sz w:val="22"/>
          <w:szCs w:val="22"/>
          <w:rtl/>
        </w:rPr>
        <w:t xml:space="preserve">הפלסטינים גם מפוצלים </w:t>
      </w:r>
      <w:r w:rsidRPr="001E3FE7">
        <w:rPr>
          <w:rFonts w:hint="cs"/>
          <w:b/>
          <w:bCs/>
          <w:sz w:val="22"/>
          <w:szCs w:val="22"/>
          <w:rtl/>
        </w:rPr>
        <w:t>על יסוד</w:t>
      </w:r>
      <w:r>
        <w:rPr>
          <w:rFonts w:hint="cs"/>
          <w:b/>
          <w:bCs/>
          <w:sz w:val="22"/>
          <w:szCs w:val="22"/>
          <w:rtl/>
        </w:rPr>
        <w:t xml:space="preserve"> מיקומם ועל יסוד</w:t>
      </w:r>
      <w:r w:rsidRPr="001E3FE7">
        <w:rPr>
          <w:rFonts w:hint="cs"/>
          <w:b/>
          <w:bCs/>
          <w:sz w:val="22"/>
          <w:szCs w:val="22"/>
          <w:rtl/>
        </w:rPr>
        <w:t xml:space="preserve"> </w:t>
      </w:r>
      <w:r w:rsidRPr="001E3FE7">
        <w:rPr>
          <w:rFonts w:hint="cs"/>
          <w:b/>
          <w:bCs/>
          <w:sz w:val="22"/>
          <w:szCs w:val="22"/>
          <w:u w:val="single"/>
          <w:rtl/>
        </w:rPr>
        <w:t>מעמד</w:t>
      </w:r>
      <w:r>
        <w:rPr>
          <w:rFonts w:hint="cs"/>
          <w:b/>
          <w:bCs/>
          <w:sz w:val="22"/>
          <w:szCs w:val="22"/>
          <w:u w:val="single"/>
          <w:rtl/>
        </w:rPr>
        <w:t>ם</w:t>
      </w:r>
      <w:r w:rsidRPr="001E3FE7">
        <w:rPr>
          <w:rFonts w:hint="cs"/>
          <w:b/>
          <w:bCs/>
          <w:sz w:val="22"/>
          <w:szCs w:val="22"/>
          <w:u w:val="single"/>
          <w:rtl/>
        </w:rPr>
        <w:t xml:space="preserve"> האזרחי</w:t>
      </w:r>
      <w:r w:rsidRPr="001E3FE7">
        <w:rPr>
          <w:rFonts w:hint="cs"/>
          <w:b/>
          <w:bCs/>
          <w:sz w:val="22"/>
          <w:szCs w:val="22"/>
          <w:rtl/>
        </w:rPr>
        <w:t>:</w:t>
      </w:r>
    </w:p>
    <w:p w:rsidR="005366A8" w:rsidRPr="001E3FE7" w:rsidRDefault="005366A8" w:rsidP="005366A8">
      <w:pPr>
        <w:spacing w:after="120"/>
        <w:ind w:left="1440"/>
        <w:rPr>
          <w:sz w:val="22"/>
          <w:szCs w:val="22"/>
          <w:rtl/>
        </w:rPr>
      </w:pPr>
      <w:r>
        <w:rPr>
          <w:rFonts w:hint="cs"/>
          <w:sz w:val="22"/>
          <w:szCs w:val="22"/>
          <w:rtl/>
        </w:rPr>
        <w:t xml:space="preserve">^ </w:t>
      </w:r>
      <w:r w:rsidRPr="001E3FE7">
        <w:rPr>
          <w:rFonts w:hint="cs"/>
          <w:sz w:val="22"/>
          <w:szCs w:val="22"/>
          <w:rtl/>
        </w:rPr>
        <w:t xml:space="preserve">הפלסטינים אזרחי ישראל = הערבים אזרחי ישראל = </w:t>
      </w:r>
      <w:r w:rsidRPr="001E3FE7">
        <w:rPr>
          <w:rFonts w:hint="cs"/>
          <w:b/>
          <w:bCs/>
          <w:sz w:val="22"/>
          <w:szCs w:val="22"/>
          <w:rtl/>
        </w:rPr>
        <w:t>אזרח, שאמור להיות, ככל אזרח</w:t>
      </w:r>
    </w:p>
    <w:p w:rsidR="005366A8" w:rsidRPr="001E3FE7" w:rsidRDefault="005366A8" w:rsidP="005366A8">
      <w:pPr>
        <w:spacing w:after="120"/>
        <w:ind w:left="1440"/>
        <w:rPr>
          <w:sz w:val="22"/>
          <w:szCs w:val="22"/>
          <w:rtl/>
        </w:rPr>
      </w:pPr>
      <w:r>
        <w:rPr>
          <w:rFonts w:hint="cs"/>
          <w:sz w:val="22"/>
          <w:szCs w:val="22"/>
          <w:rtl/>
        </w:rPr>
        <w:t xml:space="preserve">^ </w:t>
      </w:r>
      <w:r w:rsidRPr="001E3FE7">
        <w:rPr>
          <w:rFonts w:hint="cs"/>
          <w:sz w:val="22"/>
          <w:szCs w:val="22"/>
          <w:rtl/>
        </w:rPr>
        <w:t xml:space="preserve">הפלסטינים בירושלים המזרחית = </w:t>
      </w:r>
      <w:r w:rsidRPr="001E3FE7">
        <w:rPr>
          <w:rFonts w:hint="cs"/>
          <w:b/>
          <w:bCs/>
          <w:sz w:val="22"/>
          <w:szCs w:val="22"/>
          <w:rtl/>
        </w:rPr>
        <w:t>תושבי קבע (אך לא אזרחים)</w:t>
      </w:r>
    </w:p>
    <w:p w:rsidR="005366A8" w:rsidRDefault="005366A8" w:rsidP="005366A8">
      <w:pPr>
        <w:spacing w:after="120"/>
        <w:ind w:left="2160" w:hanging="720"/>
        <w:rPr>
          <w:sz w:val="22"/>
          <w:szCs w:val="22"/>
          <w:rtl/>
        </w:rPr>
      </w:pPr>
      <w:r>
        <w:rPr>
          <w:rFonts w:hint="cs"/>
          <w:sz w:val="22"/>
          <w:szCs w:val="22"/>
          <w:rtl/>
        </w:rPr>
        <w:t xml:space="preserve">^ </w:t>
      </w:r>
      <w:r w:rsidRPr="001E3FE7">
        <w:rPr>
          <w:rFonts w:hint="cs"/>
          <w:sz w:val="22"/>
          <w:szCs w:val="22"/>
          <w:rtl/>
        </w:rPr>
        <w:t xml:space="preserve">הפלסטינים בגדה = </w:t>
      </w:r>
      <w:r w:rsidRPr="00E32B37">
        <w:rPr>
          <w:rFonts w:hint="cs"/>
          <w:sz w:val="22"/>
          <w:szCs w:val="22"/>
          <w:rtl/>
        </w:rPr>
        <w:t>הם במעמד</w:t>
      </w:r>
      <w:r>
        <w:rPr>
          <w:rFonts w:hint="cs"/>
          <w:sz w:val="22"/>
          <w:szCs w:val="22"/>
          <w:rtl/>
        </w:rPr>
        <w:t xml:space="preserve"> של</w:t>
      </w:r>
      <w:r w:rsidRPr="00E32B37">
        <w:rPr>
          <w:rFonts w:hint="cs"/>
          <w:sz w:val="22"/>
          <w:szCs w:val="22"/>
          <w:rtl/>
        </w:rPr>
        <w:t xml:space="preserve"> </w:t>
      </w:r>
      <w:r w:rsidRPr="001E3FE7">
        <w:rPr>
          <w:rFonts w:hint="cs"/>
          <w:b/>
          <w:bCs/>
          <w:sz w:val="22"/>
          <w:szCs w:val="22"/>
          <w:rtl/>
        </w:rPr>
        <w:t>"תושב מוגן"</w:t>
      </w:r>
      <w:r>
        <w:rPr>
          <w:rFonts w:hint="cs"/>
          <w:b/>
          <w:bCs/>
          <w:sz w:val="22"/>
          <w:szCs w:val="22"/>
          <w:rtl/>
        </w:rPr>
        <w:t xml:space="preserve">, </w:t>
      </w:r>
      <w:r w:rsidRPr="00E32B37">
        <w:rPr>
          <w:rFonts w:hint="cs"/>
          <w:sz w:val="22"/>
          <w:szCs w:val="22"/>
          <w:rtl/>
        </w:rPr>
        <w:t>משמע, תושב של שטח כבוש. המעמד הוא</w:t>
      </w:r>
      <w:r w:rsidRPr="001E3FE7">
        <w:rPr>
          <w:rFonts w:hint="cs"/>
          <w:sz w:val="22"/>
          <w:szCs w:val="22"/>
          <w:rtl/>
        </w:rPr>
        <w:t xml:space="preserve"> מכוח ענף המשפט ההומניטארי של המשפט הבינלאומי (דיני "התפיסה הלוחמתית") </w:t>
      </w:r>
    </w:p>
    <w:p w:rsidR="005366A8" w:rsidRPr="001E3FE7" w:rsidRDefault="005366A8" w:rsidP="005366A8">
      <w:pPr>
        <w:spacing w:after="120"/>
        <w:ind w:left="2880" w:hanging="720"/>
        <w:rPr>
          <w:sz w:val="22"/>
          <w:szCs w:val="22"/>
          <w:rtl/>
        </w:rPr>
      </w:pPr>
      <w:r>
        <w:rPr>
          <w:rFonts w:hint="cs"/>
          <w:sz w:val="22"/>
          <w:szCs w:val="22"/>
          <w:rtl/>
        </w:rPr>
        <w:t xml:space="preserve">וביחס אליהם מופיעה </w:t>
      </w:r>
      <w:r w:rsidRPr="001E3FE7">
        <w:rPr>
          <w:rFonts w:hint="cs"/>
          <w:sz w:val="22"/>
          <w:szCs w:val="22"/>
          <w:rtl/>
        </w:rPr>
        <w:t xml:space="preserve">הבחנה מסוימת </w:t>
      </w:r>
      <w:r>
        <w:rPr>
          <w:rFonts w:hint="cs"/>
          <w:sz w:val="22"/>
          <w:szCs w:val="22"/>
          <w:rtl/>
        </w:rPr>
        <w:t xml:space="preserve">לפי האזור בגדה שבו הם חיים – שטחי </w:t>
      </w:r>
      <w:r w:rsidRPr="001E3FE7">
        <w:rPr>
          <w:rFonts w:hint="cs"/>
          <w:sz w:val="22"/>
          <w:szCs w:val="22"/>
        </w:rPr>
        <w:t>A</w:t>
      </w:r>
      <w:r w:rsidRPr="001E3FE7">
        <w:rPr>
          <w:rFonts w:hint="cs"/>
          <w:sz w:val="22"/>
          <w:szCs w:val="22"/>
          <w:rtl/>
        </w:rPr>
        <w:t xml:space="preserve">, </w:t>
      </w:r>
      <w:r w:rsidRPr="001E3FE7">
        <w:rPr>
          <w:rFonts w:hint="cs"/>
          <w:sz w:val="22"/>
          <w:szCs w:val="22"/>
        </w:rPr>
        <w:t>B</w:t>
      </w:r>
      <w:r w:rsidRPr="001E3FE7">
        <w:rPr>
          <w:rFonts w:hint="cs"/>
          <w:sz w:val="22"/>
          <w:szCs w:val="22"/>
          <w:rtl/>
        </w:rPr>
        <w:t>, ו-</w:t>
      </w:r>
      <w:r w:rsidRPr="001E3FE7">
        <w:rPr>
          <w:rFonts w:hint="cs"/>
          <w:sz w:val="22"/>
          <w:szCs w:val="22"/>
        </w:rPr>
        <w:t>C</w:t>
      </w:r>
      <w:r w:rsidRPr="001E3FE7">
        <w:rPr>
          <w:rFonts w:hint="cs"/>
          <w:sz w:val="22"/>
          <w:szCs w:val="22"/>
          <w:rtl/>
        </w:rPr>
        <w:t>:</w:t>
      </w:r>
    </w:p>
    <w:p w:rsidR="005366A8" w:rsidRPr="001E3FE7" w:rsidRDefault="005366A8" w:rsidP="005366A8">
      <w:pPr>
        <w:spacing w:after="120"/>
        <w:ind w:left="3600" w:hanging="720"/>
        <w:rPr>
          <w:sz w:val="22"/>
          <w:szCs w:val="22"/>
          <w:rtl/>
        </w:rPr>
      </w:pPr>
      <w:r w:rsidRPr="001E3FE7">
        <w:rPr>
          <w:rFonts w:hint="cs"/>
          <w:sz w:val="22"/>
          <w:szCs w:val="22"/>
          <w:rtl/>
        </w:rPr>
        <w:t xml:space="preserve">שטחי </w:t>
      </w:r>
      <w:r w:rsidRPr="001E3FE7">
        <w:rPr>
          <w:rFonts w:hint="cs"/>
          <w:sz w:val="22"/>
          <w:szCs w:val="22"/>
        </w:rPr>
        <w:t>A</w:t>
      </w:r>
      <w:r w:rsidRPr="001E3FE7">
        <w:rPr>
          <w:rFonts w:hint="cs"/>
          <w:sz w:val="22"/>
          <w:szCs w:val="22"/>
          <w:rtl/>
        </w:rPr>
        <w:t xml:space="preserve"> בגדה: </w:t>
      </w:r>
      <w:r>
        <w:rPr>
          <w:rFonts w:hint="cs"/>
          <w:sz w:val="22"/>
          <w:szCs w:val="22"/>
          <w:rtl/>
        </w:rPr>
        <w:t xml:space="preserve">הם </w:t>
      </w:r>
      <w:r w:rsidRPr="001E3FE7">
        <w:rPr>
          <w:rFonts w:hint="cs"/>
          <w:sz w:val="22"/>
          <w:szCs w:val="22"/>
          <w:rtl/>
        </w:rPr>
        <w:t>בשליטה אזרחית וביטחונית-משטרתית פלסטינית</w:t>
      </w:r>
      <w:r>
        <w:rPr>
          <w:rFonts w:hint="cs"/>
          <w:sz w:val="22"/>
          <w:szCs w:val="22"/>
          <w:rtl/>
        </w:rPr>
        <w:t>, אך בשליטת-על של ישראל (ראו להלן)</w:t>
      </w:r>
      <w:r w:rsidRPr="001E3FE7">
        <w:rPr>
          <w:rFonts w:hint="cs"/>
          <w:sz w:val="22"/>
          <w:szCs w:val="22"/>
          <w:rtl/>
        </w:rPr>
        <w:t>;</w:t>
      </w:r>
    </w:p>
    <w:p w:rsidR="005366A8" w:rsidRPr="001E3FE7" w:rsidRDefault="005366A8" w:rsidP="005366A8">
      <w:pPr>
        <w:spacing w:after="120"/>
        <w:ind w:left="3600" w:hanging="720"/>
        <w:rPr>
          <w:sz w:val="22"/>
          <w:szCs w:val="22"/>
          <w:rtl/>
        </w:rPr>
      </w:pPr>
      <w:r w:rsidRPr="001E3FE7">
        <w:rPr>
          <w:rFonts w:hint="cs"/>
          <w:sz w:val="22"/>
          <w:szCs w:val="22"/>
          <w:rtl/>
        </w:rPr>
        <w:t xml:space="preserve">שטחי </w:t>
      </w:r>
      <w:r w:rsidRPr="001E3FE7">
        <w:rPr>
          <w:rFonts w:hint="cs"/>
          <w:sz w:val="22"/>
          <w:szCs w:val="22"/>
        </w:rPr>
        <w:t>B</w:t>
      </w:r>
      <w:r w:rsidRPr="001E3FE7">
        <w:rPr>
          <w:rFonts w:hint="cs"/>
          <w:sz w:val="22"/>
          <w:szCs w:val="22"/>
          <w:rtl/>
        </w:rPr>
        <w:t>: בשליטה אזרחית פלסטינית אך בשליטה ביטחונית ישראלית;</w:t>
      </w:r>
    </w:p>
    <w:p w:rsidR="005366A8" w:rsidRPr="001E3FE7" w:rsidRDefault="005366A8" w:rsidP="005366A8">
      <w:pPr>
        <w:spacing w:after="120"/>
        <w:ind w:left="3600" w:hanging="720"/>
        <w:rPr>
          <w:sz w:val="22"/>
          <w:szCs w:val="22"/>
          <w:rtl/>
        </w:rPr>
      </w:pPr>
      <w:r w:rsidRPr="001E3FE7">
        <w:rPr>
          <w:rFonts w:hint="cs"/>
          <w:sz w:val="22"/>
          <w:szCs w:val="22"/>
          <w:rtl/>
        </w:rPr>
        <w:t xml:space="preserve">שטחי </w:t>
      </w:r>
      <w:r w:rsidRPr="001E3FE7">
        <w:rPr>
          <w:rFonts w:hint="cs"/>
          <w:sz w:val="22"/>
          <w:szCs w:val="22"/>
        </w:rPr>
        <w:t>C</w:t>
      </w:r>
      <w:r w:rsidRPr="001E3FE7">
        <w:rPr>
          <w:rFonts w:hint="cs"/>
          <w:sz w:val="22"/>
          <w:szCs w:val="22"/>
          <w:rtl/>
        </w:rPr>
        <w:t>: בשליטה אזרחית ובשליטה ביטחונית ישראלית (כ-60 אחוז ויותר משטח הגדה)]</w:t>
      </w:r>
    </w:p>
    <w:p w:rsidR="005366A8" w:rsidRPr="001E3FE7" w:rsidRDefault="005366A8" w:rsidP="005366A8">
      <w:pPr>
        <w:spacing w:after="120"/>
        <w:ind w:left="2160" w:hanging="720"/>
        <w:rPr>
          <w:sz w:val="22"/>
          <w:szCs w:val="22"/>
          <w:rtl/>
        </w:rPr>
      </w:pPr>
      <w:r>
        <w:rPr>
          <w:rFonts w:hint="cs"/>
          <w:sz w:val="22"/>
          <w:szCs w:val="22"/>
          <w:rtl/>
        </w:rPr>
        <w:t xml:space="preserve">^ </w:t>
      </w:r>
      <w:r w:rsidRPr="001E3FE7">
        <w:rPr>
          <w:rFonts w:hint="cs"/>
          <w:sz w:val="22"/>
          <w:szCs w:val="22"/>
          <w:rtl/>
        </w:rPr>
        <w:t xml:space="preserve">הפלסטינים ברצועת עזה = מחלוקת מבחינת מעמדם. בית המשפט העליון קבע שעזה, לאחר </w:t>
      </w:r>
      <w:r>
        <w:rPr>
          <w:rFonts w:hint="cs"/>
          <w:sz w:val="22"/>
          <w:szCs w:val="22"/>
          <w:rtl/>
        </w:rPr>
        <w:t>"</w:t>
      </w:r>
      <w:r w:rsidRPr="001E3FE7">
        <w:rPr>
          <w:rFonts w:hint="cs"/>
          <w:sz w:val="22"/>
          <w:szCs w:val="22"/>
          <w:rtl/>
        </w:rPr>
        <w:t>ההתנתקות</w:t>
      </w:r>
      <w:r>
        <w:rPr>
          <w:rFonts w:hint="cs"/>
          <w:sz w:val="22"/>
          <w:szCs w:val="22"/>
          <w:rtl/>
        </w:rPr>
        <w:t>" של 2005</w:t>
      </w:r>
      <w:r w:rsidRPr="001E3FE7">
        <w:rPr>
          <w:rFonts w:hint="cs"/>
          <w:sz w:val="22"/>
          <w:szCs w:val="22"/>
          <w:rtl/>
        </w:rPr>
        <w:t>, איננה נתונה עוד ב"תפיסה לוחמתית", ואולם בעת עימות צבאי חל עליהם המשפט הבינלאומי של דיני המלחמה;</w:t>
      </w:r>
    </w:p>
    <w:p w:rsidR="005366A8" w:rsidRPr="001E3FE7" w:rsidRDefault="005366A8" w:rsidP="005366A8">
      <w:pPr>
        <w:spacing w:after="120"/>
        <w:ind w:left="1440"/>
        <w:rPr>
          <w:sz w:val="22"/>
          <w:szCs w:val="22"/>
          <w:rtl/>
        </w:rPr>
      </w:pPr>
      <w:r>
        <w:rPr>
          <w:rFonts w:hint="cs"/>
          <w:sz w:val="22"/>
          <w:szCs w:val="22"/>
          <w:rtl/>
        </w:rPr>
        <w:t xml:space="preserve">^ </w:t>
      </w:r>
      <w:r w:rsidRPr="001E3FE7">
        <w:rPr>
          <w:rFonts w:hint="cs"/>
          <w:sz w:val="22"/>
          <w:szCs w:val="22"/>
          <w:rtl/>
        </w:rPr>
        <w:t>הפלסטינים בתפוצות:</w:t>
      </w:r>
    </w:p>
    <w:p w:rsidR="005366A8" w:rsidRPr="001E3FE7" w:rsidRDefault="005366A8" w:rsidP="005366A8">
      <w:pPr>
        <w:spacing w:after="120"/>
        <w:ind w:left="2160"/>
        <w:rPr>
          <w:sz w:val="22"/>
          <w:szCs w:val="22"/>
          <w:rtl/>
        </w:rPr>
      </w:pPr>
      <w:r w:rsidRPr="001E3FE7">
        <w:rPr>
          <w:rFonts w:hint="cs"/>
          <w:sz w:val="22"/>
          <w:szCs w:val="22"/>
          <w:rtl/>
        </w:rPr>
        <w:t xml:space="preserve">האם הפליטים זכו </w:t>
      </w:r>
      <w:r>
        <w:rPr>
          <w:rFonts w:hint="cs"/>
          <w:sz w:val="22"/>
          <w:szCs w:val="22"/>
          <w:rtl/>
        </w:rPr>
        <w:t xml:space="preserve">במקום מושבם </w:t>
      </w:r>
      <w:r w:rsidRPr="001E3FE7">
        <w:rPr>
          <w:rFonts w:hint="cs"/>
          <w:sz w:val="22"/>
          <w:szCs w:val="22"/>
          <w:rtl/>
        </w:rPr>
        <w:t xml:space="preserve">לאזרחות או </w:t>
      </w:r>
      <w:r>
        <w:rPr>
          <w:rFonts w:hint="cs"/>
          <w:sz w:val="22"/>
          <w:szCs w:val="22"/>
          <w:rtl/>
        </w:rPr>
        <w:t xml:space="preserve">שמא </w:t>
      </w:r>
      <w:r w:rsidRPr="001E3FE7">
        <w:rPr>
          <w:rFonts w:hint="cs"/>
          <w:sz w:val="22"/>
          <w:szCs w:val="22"/>
          <w:rtl/>
        </w:rPr>
        <w:t>לא זכו?</w:t>
      </w:r>
    </w:p>
    <w:p w:rsidR="005366A8" w:rsidRPr="001E3FE7" w:rsidRDefault="005366A8" w:rsidP="005366A8">
      <w:pPr>
        <w:spacing w:after="120"/>
        <w:ind w:left="2880"/>
        <w:rPr>
          <w:sz w:val="22"/>
          <w:szCs w:val="22"/>
          <w:rtl/>
        </w:rPr>
      </w:pPr>
      <w:r w:rsidRPr="001E3FE7">
        <w:rPr>
          <w:rFonts w:hint="cs"/>
          <w:sz w:val="22"/>
          <w:szCs w:val="22"/>
          <w:rtl/>
        </w:rPr>
        <w:t>פליטים בירדן זכו לאזרחות, פליטים בלבנון לא זכו לאזרחות, ...</w:t>
      </w:r>
    </w:p>
    <w:p w:rsidR="005366A8" w:rsidRPr="001E3FE7" w:rsidRDefault="005366A8" w:rsidP="005366A8">
      <w:pPr>
        <w:spacing w:after="120"/>
        <w:ind w:left="3600" w:hanging="720"/>
        <w:rPr>
          <w:sz w:val="22"/>
          <w:szCs w:val="22"/>
          <w:rtl/>
        </w:rPr>
      </w:pPr>
      <w:r w:rsidRPr="001E3FE7">
        <w:rPr>
          <w:rFonts w:hint="cs"/>
          <w:sz w:val="22"/>
          <w:szCs w:val="22"/>
          <w:rtl/>
        </w:rPr>
        <w:t>צאצאי פליטים שהפכו במרוצת הזמן לתושבים באחת המדינות בעולם המערבי, לרוב התאזרחו באותן מדינות, והם וצאצאיהם עתה תושבי ארה"ב, קנדה, אוסטרליה, בריטניה וכדומה.</w:t>
      </w:r>
    </w:p>
    <w:p w:rsidR="005366A8" w:rsidRDefault="005366A8" w:rsidP="005366A8">
      <w:pPr>
        <w:spacing w:after="120"/>
        <w:rPr>
          <w:sz w:val="22"/>
          <w:szCs w:val="22"/>
          <w:rtl/>
        </w:rPr>
      </w:pPr>
    </w:p>
    <w:p w:rsidR="005366A8" w:rsidRPr="001E3FE7" w:rsidRDefault="005366A8" w:rsidP="005366A8">
      <w:pPr>
        <w:spacing w:after="120"/>
        <w:rPr>
          <w:sz w:val="22"/>
          <w:szCs w:val="22"/>
          <w:rtl/>
        </w:rPr>
      </w:pPr>
      <w:r w:rsidRPr="001E3FE7">
        <w:rPr>
          <w:rFonts w:hint="cs"/>
          <w:sz w:val="22"/>
          <w:szCs w:val="22"/>
          <w:rtl/>
        </w:rPr>
        <w:t>ב.</w:t>
      </w:r>
    </w:p>
    <w:p w:rsidR="005366A8" w:rsidRPr="001E3FE7" w:rsidRDefault="005366A8" w:rsidP="005366A8">
      <w:pPr>
        <w:spacing w:after="120"/>
        <w:rPr>
          <w:sz w:val="22"/>
          <w:szCs w:val="22"/>
          <w:rtl/>
        </w:rPr>
      </w:pPr>
      <w:r w:rsidRPr="008E2164">
        <w:rPr>
          <w:rFonts w:hint="cs"/>
          <w:sz w:val="22"/>
          <w:szCs w:val="22"/>
          <w:highlight w:val="yellow"/>
          <w:rtl/>
        </w:rPr>
        <w:t xml:space="preserve">הסבר קצר, שאני מקווה שיתרום לבהירות, ביחס לנשלטותו של אדם פלסטיני על ידי ישראל, אפילו אם הוא תושב שטח </w:t>
      </w:r>
      <w:r w:rsidRPr="008E2164">
        <w:rPr>
          <w:rFonts w:hint="cs"/>
          <w:sz w:val="22"/>
          <w:szCs w:val="22"/>
          <w:highlight w:val="yellow"/>
        </w:rPr>
        <w:t>A</w:t>
      </w:r>
      <w:r w:rsidRPr="008E2164">
        <w:rPr>
          <w:rFonts w:hint="cs"/>
          <w:sz w:val="22"/>
          <w:szCs w:val="22"/>
          <w:highlight w:val="yellow"/>
          <w:rtl/>
        </w:rPr>
        <w:t xml:space="preserve"> (הערים הפלסטיניות: רמאללה, שכם, חברון, בית לחם, ג'נין, טול כרם, קלקיליה וכדומה) בגדה:</w:t>
      </w:r>
    </w:p>
    <w:p w:rsidR="005366A8" w:rsidRPr="001E3FE7" w:rsidRDefault="005366A8" w:rsidP="005366A8">
      <w:pPr>
        <w:ind w:left="720"/>
        <w:rPr>
          <w:sz w:val="22"/>
          <w:szCs w:val="22"/>
          <w:rtl/>
        </w:rPr>
      </w:pPr>
      <w:r w:rsidRPr="001E3FE7">
        <w:rPr>
          <w:rFonts w:hint="cs"/>
          <w:b/>
          <w:bCs/>
          <w:sz w:val="22"/>
          <w:szCs w:val="22"/>
          <w:rtl/>
        </w:rPr>
        <w:t>הגבלת הזכות להקמת משפחה</w:t>
      </w:r>
      <w:r w:rsidRPr="001E3FE7">
        <w:rPr>
          <w:rFonts w:hint="cs"/>
          <w:sz w:val="22"/>
          <w:szCs w:val="22"/>
          <w:rtl/>
        </w:rPr>
        <w:t xml:space="preserve"> בין בן-זוג פלסטיני בגדה לבין בן-זוג שאינו מהגדה:</w:t>
      </w:r>
    </w:p>
    <w:p w:rsidR="005366A8" w:rsidRPr="001E3FE7" w:rsidRDefault="005366A8" w:rsidP="005366A8">
      <w:pPr>
        <w:ind w:left="1440"/>
        <w:rPr>
          <w:sz w:val="22"/>
          <w:szCs w:val="22"/>
          <w:rtl/>
        </w:rPr>
      </w:pPr>
      <w:r w:rsidRPr="001E3FE7">
        <w:rPr>
          <w:rFonts w:hint="cs"/>
          <w:sz w:val="22"/>
          <w:szCs w:val="22"/>
          <w:rtl/>
        </w:rPr>
        <w:t>צורך בהיתר של המפקד הצבאי הישראלי;</w:t>
      </w:r>
    </w:p>
    <w:p w:rsidR="005366A8" w:rsidRPr="001E3FE7" w:rsidRDefault="005366A8" w:rsidP="005366A8">
      <w:pPr>
        <w:ind w:left="2160" w:hanging="720"/>
        <w:rPr>
          <w:sz w:val="22"/>
          <w:szCs w:val="22"/>
          <w:rtl/>
        </w:rPr>
      </w:pPr>
      <w:r w:rsidRPr="001E3FE7">
        <w:rPr>
          <w:rFonts w:hint="cs"/>
          <w:sz w:val="22"/>
          <w:szCs w:val="22"/>
          <w:rtl/>
        </w:rPr>
        <w:t xml:space="preserve">ואם ניתן היתר, ונאמר שבת הזוג תעבור בעקבות בן-זוגה לעזה </w:t>
      </w:r>
      <w:r w:rsidRPr="001E3FE7">
        <w:rPr>
          <w:sz w:val="22"/>
          <w:szCs w:val="22"/>
          <w:rtl/>
        </w:rPr>
        <w:t>–</w:t>
      </w:r>
      <w:r w:rsidRPr="001E3FE7">
        <w:rPr>
          <w:rFonts w:hint="cs"/>
          <w:sz w:val="22"/>
          <w:szCs w:val="22"/>
          <w:rtl/>
        </w:rPr>
        <w:t xml:space="preserve"> </w:t>
      </w:r>
      <w:r>
        <w:rPr>
          <w:rFonts w:hint="cs"/>
          <w:sz w:val="22"/>
          <w:szCs w:val="22"/>
          <w:rtl/>
        </w:rPr>
        <w:t>הרי ש</w:t>
      </w:r>
      <w:r w:rsidRPr="001E3FE7">
        <w:rPr>
          <w:rFonts w:hint="cs"/>
          <w:sz w:val="22"/>
          <w:szCs w:val="22"/>
          <w:rtl/>
        </w:rPr>
        <w:t>יכולתה לבקר את בני משפחתה בגדה כפופה להיתר נוסף;</w:t>
      </w:r>
    </w:p>
    <w:p w:rsidR="005366A8" w:rsidRPr="001E3FE7" w:rsidRDefault="005366A8" w:rsidP="005366A8">
      <w:pPr>
        <w:ind w:left="720"/>
        <w:rPr>
          <w:sz w:val="22"/>
          <w:szCs w:val="22"/>
          <w:rtl/>
        </w:rPr>
      </w:pPr>
    </w:p>
    <w:p w:rsidR="005366A8" w:rsidRPr="001E3FE7" w:rsidRDefault="005366A8" w:rsidP="005366A8">
      <w:pPr>
        <w:ind w:left="720"/>
        <w:rPr>
          <w:sz w:val="22"/>
          <w:szCs w:val="22"/>
          <w:rtl/>
        </w:rPr>
      </w:pPr>
      <w:r w:rsidRPr="001E3FE7">
        <w:rPr>
          <w:rFonts w:hint="cs"/>
          <w:b/>
          <w:bCs/>
          <w:sz w:val="22"/>
          <w:szCs w:val="22"/>
          <w:rtl/>
        </w:rPr>
        <w:t>הגבלת חופש תנועה</w:t>
      </w:r>
      <w:r>
        <w:rPr>
          <w:rFonts w:hint="cs"/>
          <w:sz w:val="22"/>
          <w:szCs w:val="22"/>
          <w:rtl/>
        </w:rPr>
        <w:t xml:space="preserve"> </w:t>
      </w:r>
      <w:r w:rsidRPr="008E310B">
        <w:rPr>
          <w:rFonts w:hint="cs"/>
          <w:b/>
          <w:bCs/>
          <w:sz w:val="22"/>
          <w:szCs w:val="22"/>
          <w:rtl/>
        </w:rPr>
        <w:t xml:space="preserve">והחיים </w:t>
      </w:r>
      <w:r>
        <w:rPr>
          <w:rFonts w:hint="cs"/>
          <w:sz w:val="22"/>
          <w:szCs w:val="22"/>
          <w:rtl/>
        </w:rPr>
        <w:t>בהקשרים נוספים</w:t>
      </w:r>
      <w:r w:rsidRPr="001E3FE7">
        <w:rPr>
          <w:rFonts w:hint="cs"/>
          <w:sz w:val="22"/>
          <w:szCs w:val="22"/>
          <w:rtl/>
        </w:rPr>
        <w:t>, בין היתר, למטרות לימודים, השכלה, ביקורי משפחה או ביקור באתרים קדושים כמו אל-אקצה:</w:t>
      </w:r>
    </w:p>
    <w:p w:rsidR="005366A8" w:rsidRPr="001E3FE7" w:rsidRDefault="005366A8" w:rsidP="005366A8">
      <w:pPr>
        <w:ind w:left="2160" w:right="-180" w:hanging="720"/>
        <w:rPr>
          <w:sz w:val="22"/>
          <w:szCs w:val="22"/>
          <w:rtl/>
        </w:rPr>
      </w:pPr>
      <w:r w:rsidRPr="001E3FE7">
        <w:rPr>
          <w:rFonts w:hint="cs"/>
          <w:sz w:val="22"/>
          <w:szCs w:val="22"/>
          <w:rtl/>
        </w:rPr>
        <w:t xml:space="preserve">הגבלת המעבר בין עירו של התושב הפלסטיני לעיר אחרת/ ישוב אחר (אפילו בתוך הגדה): שליטה ביטחונית של ישראל בשטחי </w:t>
      </w:r>
      <w:r w:rsidRPr="001E3FE7">
        <w:rPr>
          <w:rFonts w:hint="cs"/>
          <w:sz w:val="22"/>
          <w:szCs w:val="22"/>
        </w:rPr>
        <w:t>B</w:t>
      </w:r>
      <w:r w:rsidRPr="001E3FE7">
        <w:rPr>
          <w:rFonts w:hint="cs"/>
          <w:sz w:val="22"/>
          <w:szCs w:val="22"/>
          <w:rtl/>
        </w:rPr>
        <w:t xml:space="preserve"> ו-</w:t>
      </w:r>
      <w:r w:rsidRPr="001E3FE7">
        <w:rPr>
          <w:rFonts w:hint="cs"/>
          <w:sz w:val="22"/>
          <w:szCs w:val="22"/>
        </w:rPr>
        <w:t>C</w:t>
      </w:r>
      <w:r w:rsidRPr="001E3FE7">
        <w:rPr>
          <w:rFonts w:hint="cs"/>
          <w:sz w:val="22"/>
          <w:szCs w:val="22"/>
          <w:rtl/>
        </w:rPr>
        <w:t xml:space="preserve">, שדרכם יש הכרח לעבור </w:t>
      </w:r>
      <w:r w:rsidRPr="001E3FE7">
        <w:rPr>
          <w:sz w:val="22"/>
          <w:szCs w:val="22"/>
          <w:rtl/>
        </w:rPr>
        <w:t>–</w:t>
      </w:r>
      <w:r w:rsidRPr="001E3FE7">
        <w:rPr>
          <w:rFonts w:hint="cs"/>
          <w:sz w:val="22"/>
          <w:szCs w:val="22"/>
          <w:rtl/>
        </w:rPr>
        <w:t xml:space="preserve"> היכולת להציב מחסום (קבוע או זמני) בכל עת;</w:t>
      </w:r>
    </w:p>
    <w:p w:rsidR="005366A8" w:rsidRPr="001E3FE7" w:rsidRDefault="005366A8" w:rsidP="005366A8">
      <w:pPr>
        <w:ind w:left="2160" w:hanging="720"/>
        <w:rPr>
          <w:sz w:val="22"/>
          <w:szCs w:val="22"/>
          <w:rtl/>
        </w:rPr>
      </w:pPr>
      <w:r w:rsidRPr="001E3FE7">
        <w:rPr>
          <w:rFonts w:hint="cs"/>
          <w:sz w:val="22"/>
          <w:szCs w:val="22"/>
          <w:rtl/>
        </w:rPr>
        <w:t>חסימת היכולת לעבור בין הגדה לבין רצועת עזה;</w:t>
      </w:r>
    </w:p>
    <w:p w:rsidR="005366A8" w:rsidRPr="001E3FE7" w:rsidRDefault="005366A8" w:rsidP="005366A8">
      <w:pPr>
        <w:ind w:left="2160" w:hanging="720"/>
        <w:rPr>
          <w:sz w:val="22"/>
          <w:szCs w:val="22"/>
          <w:rtl/>
        </w:rPr>
      </w:pPr>
      <w:r w:rsidRPr="001E3FE7">
        <w:rPr>
          <w:rFonts w:hint="cs"/>
          <w:sz w:val="22"/>
          <w:szCs w:val="22"/>
          <w:rtl/>
        </w:rPr>
        <w:t>יציאה מהגדה לחוץ לארץ רק דרך ירדן; היציאה לירדן היא דרך הגשרים ש</w:t>
      </w:r>
      <w:r>
        <w:rPr>
          <w:rFonts w:hint="cs"/>
          <w:sz w:val="22"/>
          <w:szCs w:val="22"/>
          <w:rtl/>
        </w:rPr>
        <w:t xml:space="preserve">על הירדן שהם </w:t>
      </w:r>
      <w:r w:rsidRPr="001E3FE7">
        <w:rPr>
          <w:rFonts w:hint="cs"/>
          <w:sz w:val="22"/>
          <w:szCs w:val="22"/>
          <w:rtl/>
        </w:rPr>
        <w:t>בשליטת ישראל;</w:t>
      </w:r>
    </w:p>
    <w:p w:rsidR="005366A8" w:rsidRPr="001E3FE7" w:rsidRDefault="005366A8" w:rsidP="005366A8">
      <w:pPr>
        <w:ind w:left="2160" w:hanging="720"/>
        <w:rPr>
          <w:sz w:val="22"/>
          <w:szCs w:val="22"/>
          <w:rtl/>
        </w:rPr>
      </w:pPr>
      <w:r w:rsidRPr="001E3FE7">
        <w:rPr>
          <w:rFonts w:hint="cs"/>
          <w:sz w:val="22"/>
          <w:szCs w:val="22"/>
          <w:rtl/>
        </w:rPr>
        <w:t xml:space="preserve">זכות שיבה לפליטים </w:t>
      </w:r>
      <w:r>
        <w:rPr>
          <w:rFonts w:hint="cs"/>
          <w:sz w:val="22"/>
          <w:szCs w:val="22"/>
          <w:rtl/>
        </w:rPr>
        <w:t xml:space="preserve">(אפילו </w:t>
      </w:r>
      <w:r w:rsidRPr="001E3FE7">
        <w:rPr>
          <w:rFonts w:hint="cs"/>
          <w:sz w:val="22"/>
          <w:szCs w:val="22"/>
          <w:rtl/>
        </w:rPr>
        <w:t>אל הגדה</w:t>
      </w:r>
      <w:r>
        <w:rPr>
          <w:rFonts w:hint="cs"/>
          <w:sz w:val="22"/>
          <w:szCs w:val="22"/>
          <w:rtl/>
        </w:rPr>
        <w:t xml:space="preserve"> המערבית, שלא לדבר על שיבה אל ישראל שבקו הירוק) </w:t>
      </w:r>
      <w:r w:rsidRPr="001E3FE7">
        <w:rPr>
          <w:sz w:val="22"/>
          <w:szCs w:val="22"/>
          <w:rtl/>
        </w:rPr>
        <w:t>–</w:t>
      </w:r>
      <w:r w:rsidRPr="001E3FE7">
        <w:rPr>
          <w:rFonts w:hint="cs"/>
          <w:sz w:val="22"/>
          <w:szCs w:val="22"/>
          <w:rtl/>
        </w:rPr>
        <w:t xml:space="preserve"> לא ממש אפשרית; </w:t>
      </w:r>
      <w:r>
        <w:rPr>
          <w:rFonts w:hint="cs"/>
          <w:sz w:val="22"/>
          <w:szCs w:val="22"/>
          <w:rtl/>
        </w:rPr>
        <w:t>זאת שוב, בין היתר, משום שה</w:t>
      </w:r>
      <w:r w:rsidRPr="001E3FE7">
        <w:rPr>
          <w:rFonts w:hint="cs"/>
          <w:sz w:val="22"/>
          <w:szCs w:val="22"/>
          <w:rtl/>
        </w:rPr>
        <w:t xml:space="preserve">כניסה </w:t>
      </w:r>
      <w:r>
        <w:rPr>
          <w:rFonts w:hint="cs"/>
          <w:sz w:val="22"/>
          <w:szCs w:val="22"/>
          <w:rtl/>
        </w:rPr>
        <w:t xml:space="preserve">היא </w:t>
      </w:r>
      <w:r w:rsidRPr="001E3FE7">
        <w:rPr>
          <w:rFonts w:hint="cs"/>
          <w:sz w:val="22"/>
          <w:szCs w:val="22"/>
          <w:rtl/>
        </w:rPr>
        <w:t xml:space="preserve">רק דרך גשרי הירדן שבשליטת ישראל </w:t>
      </w:r>
      <w:r w:rsidRPr="001E3FE7">
        <w:rPr>
          <w:sz w:val="22"/>
          <w:szCs w:val="22"/>
          <w:rtl/>
        </w:rPr>
        <w:t>–</w:t>
      </w:r>
      <w:r w:rsidRPr="001E3FE7">
        <w:rPr>
          <w:rFonts w:hint="cs"/>
          <w:sz w:val="22"/>
          <w:szCs w:val="22"/>
          <w:rtl/>
        </w:rPr>
        <w:t xml:space="preserve"> </w:t>
      </w:r>
      <w:r>
        <w:rPr>
          <w:rFonts w:hint="cs"/>
          <w:sz w:val="22"/>
          <w:szCs w:val="22"/>
          <w:rtl/>
        </w:rPr>
        <w:t xml:space="preserve">וההיתר הניתן, ככל שניתן, הוא </w:t>
      </w:r>
      <w:r w:rsidRPr="001E3FE7">
        <w:rPr>
          <w:rFonts w:hint="cs"/>
          <w:sz w:val="22"/>
          <w:szCs w:val="22"/>
          <w:rtl/>
        </w:rPr>
        <w:t xml:space="preserve">לכניסה זמנית בלבד; </w:t>
      </w:r>
    </w:p>
    <w:p w:rsidR="005366A8" w:rsidRPr="001E3FE7" w:rsidRDefault="005366A8" w:rsidP="005366A8">
      <w:pPr>
        <w:ind w:left="2160" w:hanging="720"/>
        <w:rPr>
          <w:sz w:val="22"/>
          <w:szCs w:val="22"/>
          <w:rtl/>
        </w:rPr>
      </w:pPr>
    </w:p>
    <w:p w:rsidR="005366A8" w:rsidRPr="001E3FE7" w:rsidRDefault="005366A8" w:rsidP="005366A8">
      <w:pPr>
        <w:ind w:left="1440" w:hanging="720"/>
        <w:rPr>
          <w:b/>
          <w:bCs/>
          <w:sz w:val="22"/>
          <w:szCs w:val="22"/>
          <w:rtl/>
        </w:rPr>
      </w:pPr>
      <w:r w:rsidRPr="001E3FE7">
        <w:rPr>
          <w:rFonts w:hint="cs"/>
          <w:b/>
          <w:bCs/>
          <w:sz w:val="22"/>
          <w:szCs w:val="22"/>
          <w:rtl/>
        </w:rPr>
        <w:t>הכלכלה</w:t>
      </w:r>
      <w:r>
        <w:rPr>
          <w:rFonts w:hint="cs"/>
          <w:b/>
          <w:bCs/>
          <w:sz w:val="22"/>
          <w:szCs w:val="22"/>
          <w:rtl/>
        </w:rPr>
        <w:t xml:space="preserve"> הפלסטינית והתעסוקה</w:t>
      </w:r>
      <w:r w:rsidRPr="001E3FE7">
        <w:rPr>
          <w:rFonts w:hint="cs"/>
          <w:b/>
          <w:bCs/>
          <w:sz w:val="22"/>
          <w:szCs w:val="22"/>
          <w:rtl/>
        </w:rPr>
        <w:t>:</w:t>
      </w:r>
    </w:p>
    <w:p w:rsidR="005366A8" w:rsidRPr="001E3FE7" w:rsidRDefault="005366A8" w:rsidP="005366A8">
      <w:pPr>
        <w:ind w:left="2160" w:hanging="720"/>
        <w:rPr>
          <w:sz w:val="22"/>
          <w:szCs w:val="22"/>
          <w:rtl/>
        </w:rPr>
      </w:pPr>
      <w:r w:rsidRPr="001E3FE7">
        <w:rPr>
          <w:rFonts w:hint="cs"/>
          <w:sz w:val="22"/>
          <w:szCs w:val="22"/>
          <w:rtl/>
        </w:rPr>
        <w:t xml:space="preserve">יבוא/יצוא לגדה דרך </w:t>
      </w:r>
      <w:r>
        <w:rPr>
          <w:rFonts w:hint="cs"/>
          <w:sz w:val="22"/>
          <w:szCs w:val="22"/>
          <w:rtl/>
        </w:rPr>
        <w:t xml:space="preserve">נמלי ישראל או דרך </w:t>
      </w:r>
      <w:r w:rsidRPr="001E3FE7">
        <w:rPr>
          <w:rFonts w:hint="cs"/>
          <w:sz w:val="22"/>
          <w:szCs w:val="22"/>
          <w:rtl/>
        </w:rPr>
        <w:t>הגשרים או דרך המעברים בגדר (שליטת ישראל)</w:t>
      </w:r>
      <w:r>
        <w:rPr>
          <w:rFonts w:hint="cs"/>
          <w:sz w:val="22"/>
          <w:szCs w:val="22"/>
          <w:rtl/>
        </w:rPr>
        <w:t xml:space="preserve"> [העדר שדה תעופה או נמל];</w:t>
      </w:r>
    </w:p>
    <w:p w:rsidR="005366A8" w:rsidRDefault="005366A8" w:rsidP="005366A8">
      <w:pPr>
        <w:ind w:left="2160" w:hanging="720"/>
        <w:rPr>
          <w:sz w:val="22"/>
          <w:szCs w:val="22"/>
          <w:rtl/>
        </w:rPr>
      </w:pPr>
      <w:r w:rsidRPr="001E3FE7">
        <w:rPr>
          <w:rFonts w:hint="cs"/>
          <w:sz w:val="22"/>
          <w:szCs w:val="22"/>
          <w:rtl/>
        </w:rPr>
        <w:t>המטבע המשמש הן בגדה והן בעזה הוא השקל הישראלי</w:t>
      </w:r>
      <w:r>
        <w:rPr>
          <w:rFonts w:hint="cs"/>
          <w:sz w:val="22"/>
          <w:szCs w:val="22"/>
          <w:rtl/>
        </w:rPr>
        <w:t>;</w:t>
      </w:r>
    </w:p>
    <w:p w:rsidR="005366A8" w:rsidRPr="001E3FE7" w:rsidRDefault="005366A8" w:rsidP="005366A8">
      <w:pPr>
        <w:ind w:left="2160" w:hanging="720"/>
        <w:rPr>
          <w:sz w:val="22"/>
          <w:szCs w:val="22"/>
          <w:rtl/>
        </w:rPr>
      </w:pPr>
      <w:r>
        <w:rPr>
          <w:rFonts w:hint="cs"/>
          <w:sz w:val="22"/>
          <w:szCs w:val="22"/>
          <w:rtl/>
        </w:rPr>
        <w:t>"הגדר": היתר לעבוד בישראל ניתן רק למתי-מעט, לאחר אישור ביטחוני, ובהתאם לצרכיה של ישראל (להבדיל מצרכי הפלסטינים בשטחים, שמצבם הכלכלי הוא כידוע קשה או קשה למדי);</w:t>
      </w:r>
    </w:p>
    <w:p w:rsidR="005366A8" w:rsidRPr="001E3FE7" w:rsidRDefault="005366A8" w:rsidP="005366A8">
      <w:pPr>
        <w:ind w:left="2160" w:hanging="720"/>
        <w:rPr>
          <w:sz w:val="22"/>
          <w:szCs w:val="22"/>
          <w:rtl/>
        </w:rPr>
      </w:pPr>
    </w:p>
    <w:p w:rsidR="005366A8" w:rsidRPr="001E3FE7" w:rsidRDefault="005366A8" w:rsidP="005366A8">
      <w:pPr>
        <w:ind w:left="1440" w:hanging="720"/>
        <w:rPr>
          <w:sz w:val="22"/>
          <w:szCs w:val="22"/>
          <w:rtl/>
        </w:rPr>
      </w:pPr>
      <w:r w:rsidRPr="001E3FE7">
        <w:rPr>
          <w:rFonts w:hint="cs"/>
          <w:b/>
          <w:bCs/>
          <w:sz w:val="22"/>
          <w:szCs w:val="22"/>
          <w:rtl/>
        </w:rPr>
        <w:t>הזכות לבחור ולהיבחר</w:t>
      </w:r>
      <w:r w:rsidRPr="001E3FE7">
        <w:rPr>
          <w:rFonts w:hint="cs"/>
          <w:sz w:val="22"/>
          <w:szCs w:val="22"/>
          <w:rtl/>
        </w:rPr>
        <w:t xml:space="preserve"> </w:t>
      </w:r>
      <w:r w:rsidRPr="001E3FE7">
        <w:rPr>
          <w:sz w:val="22"/>
          <w:szCs w:val="22"/>
          <w:rtl/>
        </w:rPr>
        <w:t>–</w:t>
      </w:r>
      <w:r>
        <w:rPr>
          <w:rFonts w:hint="cs"/>
          <w:sz w:val="22"/>
          <w:szCs w:val="22"/>
          <w:rtl/>
        </w:rPr>
        <w:t xml:space="preserve"> משמע, אפשרות ה</w:t>
      </w:r>
      <w:r w:rsidRPr="001E3FE7">
        <w:rPr>
          <w:rFonts w:hint="cs"/>
          <w:sz w:val="22"/>
          <w:szCs w:val="22"/>
          <w:rtl/>
        </w:rPr>
        <w:t>השתתפות שלנו כבני-אדם ב</w:t>
      </w:r>
      <w:r>
        <w:rPr>
          <w:rFonts w:hint="cs"/>
          <w:sz w:val="22"/>
          <w:szCs w:val="22"/>
          <w:rtl/>
        </w:rPr>
        <w:t>בחירת המוסדות ה</w:t>
      </w:r>
      <w:r w:rsidRPr="001E3FE7">
        <w:rPr>
          <w:rFonts w:hint="cs"/>
          <w:sz w:val="22"/>
          <w:szCs w:val="22"/>
          <w:rtl/>
        </w:rPr>
        <w:t xml:space="preserve">מרכזיים המעצבים/ מכוונים את חיינו (בין היתר, ובמקום ראשון בעצם, ישראל) </w:t>
      </w:r>
      <w:r w:rsidRPr="001E3FE7">
        <w:rPr>
          <w:sz w:val="22"/>
          <w:szCs w:val="22"/>
          <w:rtl/>
        </w:rPr>
        <w:t>–</w:t>
      </w:r>
      <w:r w:rsidRPr="001E3FE7">
        <w:rPr>
          <w:rFonts w:hint="cs"/>
          <w:sz w:val="22"/>
          <w:szCs w:val="22"/>
          <w:rtl/>
        </w:rPr>
        <w:t xml:space="preserve"> </w:t>
      </w:r>
      <w:r>
        <w:rPr>
          <w:rFonts w:hint="cs"/>
          <w:sz w:val="22"/>
          <w:szCs w:val="22"/>
          <w:rtl/>
        </w:rPr>
        <w:t xml:space="preserve">אפשרות זו </w:t>
      </w:r>
      <w:r w:rsidRPr="001E3FE7">
        <w:rPr>
          <w:rFonts w:hint="cs"/>
          <w:sz w:val="22"/>
          <w:szCs w:val="22"/>
          <w:rtl/>
        </w:rPr>
        <w:t>אינה בנמצא</w:t>
      </w:r>
      <w:r>
        <w:rPr>
          <w:rFonts w:hint="cs"/>
          <w:sz w:val="22"/>
          <w:szCs w:val="22"/>
          <w:rtl/>
        </w:rPr>
        <w:t>;</w:t>
      </w:r>
    </w:p>
    <w:p w:rsidR="005366A8" w:rsidRPr="001E3FE7" w:rsidRDefault="005366A8" w:rsidP="005366A8">
      <w:pPr>
        <w:ind w:left="1440" w:hanging="720"/>
        <w:rPr>
          <w:sz w:val="22"/>
          <w:szCs w:val="22"/>
          <w:rtl/>
        </w:rPr>
      </w:pPr>
    </w:p>
    <w:p w:rsidR="005366A8" w:rsidRPr="001E3FE7" w:rsidRDefault="005366A8" w:rsidP="005366A8">
      <w:pPr>
        <w:ind w:left="1440" w:hanging="720"/>
        <w:rPr>
          <w:b/>
          <w:bCs/>
          <w:sz w:val="22"/>
          <w:szCs w:val="22"/>
          <w:rtl/>
        </w:rPr>
      </w:pPr>
      <w:r w:rsidRPr="001E3FE7">
        <w:rPr>
          <w:rFonts w:hint="cs"/>
          <w:b/>
          <w:bCs/>
          <w:sz w:val="22"/>
          <w:szCs w:val="22"/>
          <w:rtl/>
        </w:rPr>
        <w:t>חופש הביטוי וחופש ההפגנה כנגד ישראל</w:t>
      </w:r>
    </w:p>
    <w:p w:rsidR="005366A8" w:rsidRPr="001E3FE7" w:rsidRDefault="005366A8" w:rsidP="005366A8">
      <w:pPr>
        <w:ind w:left="2160" w:hanging="720"/>
        <w:rPr>
          <w:sz w:val="22"/>
          <w:szCs w:val="22"/>
          <w:rtl/>
        </w:rPr>
      </w:pPr>
      <w:r w:rsidRPr="001E3FE7">
        <w:rPr>
          <w:rFonts w:hint="cs"/>
          <w:sz w:val="22"/>
          <w:szCs w:val="22"/>
          <w:rtl/>
        </w:rPr>
        <w:t>למשל הפגנה בסמוך לגדר כנגד תוואי הגדר, כנגד הפקעת קרקעות, כנגד ההתנחלויות וכדומה: הגבלות קשות</w:t>
      </w:r>
      <w:r>
        <w:rPr>
          <w:rFonts w:hint="cs"/>
          <w:sz w:val="22"/>
          <w:szCs w:val="22"/>
          <w:rtl/>
        </w:rPr>
        <w:t>;</w:t>
      </w:r>
    </w:p>
    <w:p w:rsidR="005366A8" w:rsidRPr="001E3FE7" w:rsidRDefault="005366A8" w:rsidP="005366A8">
      <w:pPr>
        <w:ind w:left="2160" w:hanging="720"/>
        <w:rPr>
          <w:sz w:val="22"/>
          <w:szCs w:val="22"/>
          <w:rtl/>
        </w:rPr>
      </w:pPr>
    </w:p>
    <w:p w:rsidR="005366A8" w:rsidRPr="001E3FE7" w:rsidRDefault="005366A8" w:rsidP="005366A8">
      <w:pPr>
        <w:ind w:left="1440" w:hanging="720"/>
        <w:rPr>
          <w:sz w:val="22"/>
          <w:szCs w:val="22"/>
          <w:rtl/>
        </w:rPr>
      </w:pPr>
      <w:r w:rsidRPr="001E3FE7">
        <w:rPr>
          <w:rFonts w:hint="cs"/>
          <w:b/>
          <w:bCs/>
          <w:sz w:val="22"/>
          <w:szCs w:val="22"/>
          <w:rtl/>
        </w:rPr>
        <w:t xml:space="preserve">מה משמעות </w:t>
      </w:r>
      <w:r>
        <w:rPr>
          <w:rFonts w:hint="cs"/>
          <w:b/>
          <w:bCs/>
          <w:sz w:val="22"/>
          <w:szCs w:val="22"/>
          <w:rtl/>
        </w:rPr>
        <w:t>"</w:t>
      </w:r>
      <w:r w:rsidRPr="001E3FE7">
        <w:rPr>
          <w:rFonts w:hint="cs"/>
          <w:b/>
          <w:bCs/>
          <w:sz w:val="22"/>
          <w:szCs w:val="22"/>
          <w:rtl/>
        </w:rPr>
        <w:t>ריבונות</w:t>
      </w:r>
      <w:r>
        <w:rPr>
          <w:rFonts w:hint="cs"/>
          <w:b/>
          <w:bCs/>
          <w:sz w:val="22"/>
          <w:szCs w:val="22"/>
          <w:rtl/>
        </w:rPr>
        <w:t>"</w:t>
      </w:r>
      <w:r w:rsidRPr="001E3FE7">
        <w:rPr>
          <w:rFonts w:hint="cs"/>
          <w:b/>
          <w:bCs/>
          <w:sz w:val="22"/>
          <w:szCs w:val="22"/>
          <w:rtl/>
        </w:rPr>
        <w:t xml:space="preserve"> ללא שליטה בטריטוריה הריבונית?</w:t>
      </w:r>
      <w:r w:rsidRPr="001E3FE7">
        <w:rPr>
          <w:rFonts w:hint="cs"/>
          <w:sz w:val="22"/>
          <w:szCs w:val="22"/>
          <w:rtl/>
        </w:rPr>
        <w:t xml:space="preserve"> (הגבלת השליטה לערים בלבד, וגם שם הענקת ממדי שליטה מוניציפאליים בעיקרם) </w:t>
      </w:r>
      <w:r w:rsidRPr="001E3FE7">
        <w:rPr>
          <w:sz w:val="22"/>
          <w:szCs w:val="22"/>
          <w:rtl/>
        </w:rPr>
        <w:t>–</w:t>
      </w:r>
      <w:r w:rsidRPr="001E3FE7">
        <w:rPr>
          <w:rFonts w:hint="cs"/>
          <w:sz w:val="22"/>
          <w:szCs w:val="22"/>
          <w:rtl/>
        </w:rPr>
        <w:t xml:space="preserve"> העדר צבא, העדר שליטה במרחב האווירי ובמעברי הגבול, ויותר מכך גם העדר שליטה במרחב הקרקעי</w:t>
      </w:r>
      <w:r>
        <w:rPr>
          <w:rFonts w:hint="cs"/>
          <w:sz w:val="22"/>
          <w:szCs w:val="22"/>
          <w:rtl/>
        </w:rPr>
        <w:t xml:space="preserve"> (המחסומים, הפקעת קרקעות, הקמת התנחלויות על ידי ישראל, ועוד)</w:t>
      </w:r>
      <w:r w:rsidRPr="001E3FE7">
        <w:rPr>
          <w:rFonts w:hint="cs"/>
          <w:sz w:val="22"/>
          <w:szCs w:val="22"/>
          <w:rtl/>
        </w:rPr>
        <w:t>.</w:t>
      </w:r>
    </w:p>
    <w:p w:rsidR="005366A8" w:rsidRPr="001E3FE7" w:rsidRDefault="005366A8" w:rsidP="005366A8">
      <w:pPr>
        <w:ind w:left="1440" w:hanging="720"/>
        <w:rPr>
          <w:sz w:val="22"/>
          <w:szCs w:val="22"/>
          <w:rtl/>
        </w:rPr>
      </w:pPr>
    </w:p>
    <w:p w:rsidR="005366A8" w:rsidRPr="001E3FE7" w:rsidRDefault="005366A8" w:rsidP="005366A8">
      <w:pPr>
        <w:ind w:left="1440" w:hanging="720"/>
        <w:rPr>
          <w:sz w:val="22"/>
          <w:szCs w:val="22"/>
          <w:rtl/>
        </w:rPr>
      </w:pPr>
      <w:r w:rsidRPr="001E3FE7">
        <w:rPr>
          <w:rFonts w:hint="cs"/>
          <w:sz w:val="22"/>
          <w:szCs w:val="22"/>
          <w:rtl/>
        </w:rPr>
        <w:t>[...]</w:t>
      </w:r>
    </w:p>
    <w:p w:rsidR="005366A8" w:rsidRPr="001E3FE7" w:rsidRDefault="005366A8" w:rsidP="005366A8">
      <w:pPr>
        <w:ind w:left="720" w:hanging="720"/>
        <w:rPr>
          <w:sz w:val="22"/>
          <w:szCs w:val="22"/>
          <w:rtl/>
        </w:rPr>
      </w:pPr>
    </w:p>
    <w:p w:rsidR="005366A8" w:rsidRPr="0075061A" w:rsidRDefault="005366A8" w:rsidP="005366A8">
      <w:pPr>
        <w:rPr>
          <w:sz w:val="22"/>
          <w:szCs w:val="22"/>
          <w:rtl/>
        </w:rPr>
      </w:pPr>
      <w:r w:rsidRPr="0075061A">
        <w:rPr>
          <w:rFonts w:hint="cs"/>
          <w:sz w:val="22"/>
          <w:szCs w:val="22"/>
          <w:highlight w:val="yellow"/>
          <w:rtl/>
        </w:rPr>
        <w:t xml:space="preserve">שימו לב, בדיון </w:t>
      </w:r>
      <w:r>
        <w:rPr>
          <w:rFonts w:hint="cs"/>
          <w:sz w:val="22"/>
          <w:szCs w:val="22"/>
          <w:highlight w:val="yellow"/>
          <w:rtl/>
        </w:rPr>
        <w:t>בנקודה ב'</w:t>
      </w:r>
      <w:r w:rsidRPr="0075061A">
        <w:rPr>
          <w:rFonts w:hint="cs"/>
          <w:sz w:val="22"/>
          <w:szCs w:val="22"/>
          <w:highlight w:val="yellow"/>
          <w:rtl/>
        </w:rPr>
        <w:t xml:space="preserve"> לא עסקתי בויכוח על </w:t>
      </w:r>
      <w:r w:rsidRPr="0075061A">
        <w:rPr>
          <w:rFonts w:hint="cs"/>
          <w:b/>
          <w:bCs/>
          <w:sz w:val="22"/>
          <w:szCs w:val="22"/>
          <w:highlight w:val="yellow"/>
          <w:rtl/>
        </w:rPr>
        <w:t xml:space="preserve">הצדקת </w:t>
      </w:r>
      <w:r w:rsidRPr="0075061A">
        <w:rPr>
          <w:rFonts w:hint="cs"/>
          <w:sz w:val="22"/>
          <w:szCs w:val="22"/>
          <w:highlight w:val="yellow"/>
          <w:rtl/>
        </w:rPr>
        <w:t>מצב הדברים הנזכר</w:t>
      </w:r>
      <w:r>
        <w:rPr>
          <w:rFonts w:hint="cs"/>
          <w:sz w:val="22"/>
          <w:szCs w:val="22"/>
          <w:highlight w:val="yellow"/>
          <w:rtl/>
        </w:rPr>
        <w:t xml:space="preserve">. </w:t>
      </w:r>
      <w:r w:rsidRPr="0075061A">
        <w:rPr>
          <w:rFonts w:hint="cs"/>
          <w:sz w:val="22"/>
          <w:szCs w:val="22"/>
          <w:highlight w:val="yellow"/>
          <w:rtl/>
        </w:rPr>
        <w:t xml:space="preserve">משמע, </w:t>
      </w:r>
      <w:r>
        <w:rPr>
          <w:rFonts w:hint="cs"/>
          <w:sz w:val="22"/>
          <w:szCs w:val="22"/>
          <w:highlight w:val="yellow"/>
          <w:rtl/>
        </w:rPr>
        <w:t xml:space="preserve">לא עסקתי בשאלת </w:t>
      </w:r>
      <w:r w:rsidRPr="0075061A">
        <w:rPr>
          <w:rFonts w:hint="cs"/>
          <w:sz w:val="22"/>
          <w:szCs w:val="22"/>
          <w:highlight w:val="yellow"/>
          <w:rtl/>
        </w:rPr>
        <w:t>הצדקת המשכו של הכיבוש (ו</w:t>
      </w:r>
      <w:r>
        <w:rPr>
          <w:rFonts w:hint="cs"/>
          <w:sz w:val="22"/>
          <w:szCs w:val="22"/>
          <w:highlight w:val="yellow"/>
          <w:rtl/>
        </w:rPr>
        <w:t xml:space="preserve">סוגיית הצדקת </w:t>
      </w:r>
      <w:r w:rsidRPr="0075061A">
        <w:rPr>
          <w:rFonts w:hint="cs"/>
          <w:sz w:val="22"/>
          <w:szCs w:val="22"/>
          <w:highlight w:val="yellow"/>
          <w:rtl/>
        </w:rPr>
        <w:t>המשכן של ההתנחלויות או מלאכת הרחבתן</w:t>
      </w:r>
      <w:r>
        <w:rPr>
          <w:rFonts w:hint="cs"/>
          <w:sz w:val="22"/>
          <w:szCs w:val="22"/>
          <w:highlight w:val="yellow"/>
          <w:rtl/>
        </w:rPr>
        <w:t>; וגם לא בהצדקתה של הגבלה כזו או אחרת</w:t>
      </w:r>
      <w:r w:rsidRPr="0075061A">
        <w:rPr>
          <w:rFonts w:hint="cs"/>
          <w:sz w:val="22"/>
          <w:szCs w:val="22"/>
          <w:highlight w:val="yellow"/>
          <w:rtl/>
        </w:rPr>
        <w:t>)</w:t>
      </w:r>
      <w:r>
        <w:rPr>
          <w:rFonts w:hint="cs"/>
          <w:sz w:val="22"/>
          <w:szCs w:val="22"/>
          <w:highlight w:val="yellow"/>
          <w:rtl/>
        </w:rPr>
        <w:t>,</w:t>
      </w:r>
      <w:r w:rsidRPr="0075061A">
        <w:rPr>
          <w:rFonts w:hint="cs"/>
          <w:sz w:val="22"/>
          <w:szCs w:val="22"/>
          <w:highlight w:val="yellow"/>
          <w:rtl/>
        </w:rPr>
        <w:t xml:space="preserve"> אלא רק </w:t>
      </w:r>
      <w:r w:rsidRPr="008E2AA5">
        <w:rPr>
          <w:rFonts w:hint="cs"/>
          <w:b/>
          <w:bCs/>
          <w:sz w:val="22"/>
          <w:szCs w:val="22"/>
          <w:highlight w:val="yellow"/>
          <w:rtl/>
        </w:rPr>
        <w:t>בתיאורו</w:t>
      </w:r>
      <w:r w:rsidRPr="0075061A">
        <w:rPr>
          <w:rFonts w:hint="cs"/>
          <w:sz w:val="22"/>
          <w:szCs w:val="22"/>
          <w:highlight w:val="yellow"/>
          <w:rtl/>
        </w:rPr>
        <w:t xml:space="preserve"> של מצב דברים זה</w:t>
      </w:r>
      <w:r>
        <w:rPr>
          <w:rFonts w:hint="cs"/>
          <w:sz w:val="22"/>
          <w:szCs w:val="22"/>
          <w:highlight w:val="yellow"/>
          <w:rtl/>
        </w:rPr>
        <w:t>.</w:t>
      </w:r>
      <w:r w:rsidRPr="0075061A">
        <w:rPr>
          <w:rFonts w:hint="cs"/>
          <w:sz w:val="22"/>
          <w:szCs w:val="22"/>
          <w:highlight w:val="yellow"/>
          <w:rtl/>
        </w:rPr>
        <w:t xml:space="preserve"> כדי שיובן שחירויות משמעותיות </w:t>
      </w:r>
      <w:r>
        <w:rPr>
          <w:rFonts w:hint="cs"/>
          <w:sz w:val="22"/>
          <w:szCs w:val="22"/>
          <w:highlight w:val="yellow"/>
          <w:rtl/>
        </w:rPr>
        <w:t xml:space="preserve">ביותר </w:t>
      </w:r>
      <w:r w:rsidRPr="0075061A">
        <w:rPr>
          <w:rFonts w:hint="cs"/>
          <w:sz w:val="22"/>
          <w:szCs w:val="22"/>
          <w:highlight w:val="yellow"/>
          <w:rtl/>
        </w:rPr>
        <w:t xml:space="preserve">לא נתונות לפלסטינים </w:t>
      </w:r>
      <w:r>
        <w:rPr>
          <w:rFonts w:hint="cs"/>
          <w:sz w:val="22"/>
          <w:szCs w:val="22"/>
          <w:highlight w:val="yellow"/>
          <w:rtl/>
        </w:rPr>
        <w:t>אפילו</w:t>
      </w:r>
      <w:r w:rsidRPr="0075061A">
        <w:rPr>
          <w:rFonts w:hint="cs"/>
          <w:sz w:val="22"/>
          <w:szCs w:val="22"/>
          <w:highlight w:val="yellow"/>
          <w:rtl/>
        </w:rPr>
        <w:t xml:space="preserve"> הם תושבי איזור </w:t>
      </w:r>
      <w:r w:rsidRPr="0075061A">
        <w:rPr>
          <w:rFonts w:hint="cs"/>
          <w:sz w:val="22"/>
          <w:szCs w:val="22"/>
          <w:highlight w:val="yellow"/>
        </w:rPr>
        <w:t>A</w:t>
      </w:r>
      <w:r w:rsidRPr="0075061A">
        <w:rPr>
          <w:rFonts w:hint="cs"/>
          <w:sz w:val="22"/>
          <w:szCs w:val="22"/>
          <w:highlight w:val="yellow"/>
          <w:rtl/>
        </w:rPr>
        <w:t xml:space="preserve"> בגדה</w:t>
      </w:r>
      <w:r w:rsidRPr="0075061A">
        <w:rPr>
          <w:rFonts w:hint="cs"/>
          <w:sz w:val="22"/>
          <w:szCs w:val="22"/>
          <w:rtl/>
        </w:rPr>
        <w:t>.</w:t>
      </w:r>
    </w:p>
    <w:p w:rsidR="005366A8" w:rsidRPr="0075061A" w:rsidRDefault="005366A8" w:rsidP="005366A8">
      <w:pPr>
        <w:ind w:left="720" w:hanging="720"/>
        <w:rPr>
          <w:sz w:val="22"/>
          <w:szCs w:val="22"/>
          <w:rtl/>
        </w:rPr>
      </w:pPr>
    </w:p>
    <w:p w:rsidR="005366A8" w:rsidRPr="0075061A" w:rsidRDefault="005366A8" w:rsidP="005366A8">
      <w:pPr>
        <w:ind w:left="720" w:hanging="720"/>
        <w:rPr>
          <w:sz w:val="22"/>
          <w:szCs w:val="22"/>
          <w:rtl/>
        </w:rPr>
      </w:pPr>
      <w:r w:rsidRPr="0075061A">
        <w:rPr>
          <w:rFonts w:hint="cs"/>
          <w:sz w:val="22"/>
          <w:szCs w:val="22"/>
          <w:rtl/>
        </w:rPr>
        <w:t>=-=</w:t>
      </w:r>
    </w:p>
    <w:p w:rsidR="005366A8" w:rsidRPr="00F86CE4" w:rsidRDefault="005366A8" w:rsidP="005366A8">
      <w:pPr>
        <w:jc w:val="center"/>
        <w:rPr>
          <w:rFonts w:cs="Guttman-Soncino"/>
          <w:b/>
          <w:bCs/>
          <w:sz w:val="32"/>
          <w:szCs w:val="32"/>
          <w:rtl/>
        </w:rPr>
      </w:pPr>
      <w:r>
        <w:rPr>
          <w:rtl/>
        </w:rPr>
        <w:br w:type="page"/>
      </w:r>
      <w:r w:rsidRPr="00F86CE4">
        <w:rPr>
          <w:rFonts w:cs="Guttman-Soncino" w:hint="cs"/>
          <w:b/>
          <w:bCs/>
          <w:sz w:val="32"/>
          <w:szCs w:val="32"/>
          <w:rtl/>
        </w:rPr>
        <w:t>החוקה המהותית של ישראל</w:t>
      </w:r>
      <w:r>
        <w:rPr>
          <w:rFonts w:cs="Guttman-Soncino" w:hint="cs"/>
          <w:b/>
          <w:bCs/>
          <w:sz w:val="32"/>
          <w:szCs w:val="32"/>
          <w:rtl/>
        </w:rPr>
        <w:t>:</w:t>
      </w:r>
    </w:p>
    <w:p w:rsidR="005366A8" w:rsidRDefault="005366A8" w:rsidP="005366A8">
      <w:pPr>
        <w:jc w:val="center"/>
        <w:rPr>
          <w:rtl/>
        </w:rPr>
      </w:pPr>
      <w:r w:rsidRPr="00F86CE4">
        <w:rPr>
          <w:rFonts w:cs="Guttman-Soncino" w:hint="cs"/>
          <w:b/>
          <w:bCs/>
          <w:sz w:val="32"/>
          <w:szCs w:val="32"/>
          <w:rtl/>
        </w:rPr>
        <w:t>ערכי היסוד ועיקרי המשטר המדיני שלה</w:t>
      </w:r>
    </w:p>
    <w:p w:rsidR="005366A8" w:rsidRDefault="005366A8" w:rsidP="005366A8">
      <w:pPr>
        <w:rPr>
          <w:rtl/>
        </w:rPr>
      </w:pPr>
    </w:p>
    <w:p w:rsidR="005366A8" w:rsidRDefault="005366A8" w:rsidP="005366A8">
      <w:pPr>
        <w:pStyle w:val="T-body"/>
        <w:spacing w:after="120" w:line="240" w:lineRule="auto"/>
        <w:jc w:val="center"/>
        <w:rPr>
          <w:b/>
          <w:bCs/>
          <w:rtl/>
        </w:rPr>
      </w:pPr>
      <w:r w:rsidRPr="00F86CE4">
        <w:rPr>
          <w:rFonts w:ascii="Arial" w:hAnsi="Arial" w:cs="Arial"/>
          <w:b/>
          <w:bCs/>
          <w:highlight w:val="yellow"/>
          <w:rtl/>
        </w:rPr>
        <w:t>פירמידת הנורמות ופירמידת המוסדות</w:t>
      </w:r>
      <w:r w:rsidRPr="00F86CE4">
        <w:rPr>
          <w:rFonts w:ascii="Arial" w:hAnsi="Arial" w:cs="Arial" w:hint="cs"/>
          <w:b/>
          <w:bCs/>
          <w:highlight w:val="yellow"/>
          <w:rtl/>
        </w:rPr>
        <w:t>, ולשם קיצור "הפירמידה הנורמטיבית"</w:t>
      </w:r>
    </w:p>
    <w:p w:rsidR="005366A8" w:rsidRPr="00F329A2" w:rsidRDefault="005366A8" w:rsidP="005366A8">
      <w:pPr>
        <w:pStyle w:val="T-body"/>
        <w:spacing w:after="120" w:line="240" w:lineRule="auto"/>
        <w:jc w:val="left"/>
        <w:rPr>
          <w:rFonts w:ascii="Arial" w:hAnsi="Arial" w:cs="Arial"/>
          <w:b/>
          <w:bCs/>
          <w:rtl/>
        </w:rPr>
      </w:pPr>
      <w:r w:rsidRPr="00BB11BC">
        <w:rPr>
          <w:rFonts w:ascii="Arial" w:hAnsi="Arial" w:cs="Arial" w:hint="cs"/>
          <w:b/>
          <w:bCs/>
          <w:highlight w:val="yellow"/>
          <w:rtl/>
        </w:rPr>
        <w:t>הפירמידה הנורמטיבית של ישראל</w:t>
      </w:r>
    </w:p>
    <w:p w:rsidR="005366A8" w:rsidRDefault="005D7968" w:rsidP="005366A8">
      <w:pPr>
        <w:rPr>
          <w:rtl/>
        </w:rPr>
      </w:pPr>
      <w:r>
        <w:rPr>
          <w:noProof/>
          <w:rtl/>
        </w:rPr>
        <w:pict>
          <v:line id="_x0000_s1152" style="position:absolute;left:0;text-align:left;z-index:251790336;mso-position-horizontal-relative:page" from="480.6pt,13.3pt" to="520.8pt,42.05pt">
            <v:stroke startarrow="block" endarrow="block"/>
            <w10:wrap anchorx="page"/>
          </v:line>
        </w:pict>
      </w:r>
      <w:r>
        <w:rPr>
          <w:rtl/>
        </w:rPr>
        <w:pict>
          <v:line id="_x0000_s1091" style="position:absolute;left:0;text-align:left;flip:y;z-index:251727872;mso-position-horizontal-relative:page" from="121.05pt,10.7pt" to="193.05pt,154.7pt">
            <v:stroke endarrow="block"/>
            <w10:wrap anchorx="page"/>
          </v:line>
        </w:pict>
      </w:r>
      <w:r>
        <w:rPr>
          <w:rtl/>
        </w:rPr>
        <w:pict>
          <v:line id="_x0000_s1090" style="position:absolute;left:0;text-align:left;flip:x;z-index:251726848;mso-position-horizontal-relative:page" from="148.05pt,13.3pt" to="220.05pt,165.7pt">
            <w10:wrap anchorx="page"/>
          </v:line>
        </w:pict>
      </w:r>
      <w:r>
        <w:rPr>
          <w:rtl/>
        </w:rPr>
        <w:pict>
          <v:rect id="_x0000_s1092" style="position:absolute;left:0;text-align:left;margin-left:460.8pt;margin-top:10.65pt;width:7.2pt;height:7.2pt;z-index:251728896;mso-position-horizontal-relative:page" o:allowincell="f">
            <w10:wrap anchorx="page"/>
          </v:rect>
        </w:pict>
      </w:r>
      <w:r>
        <w:rPr>
          <w:rtl/>
        </w:rPr>
        <w:pict>
          <v:rect id="_x0000_s1093" style="position:absolute;left:0;text-align:left;margin-left:3in;margin-top:11.85pt;width:7.2pt;height:7.2pt;z-index:251729920;mso-position-horizontal-relative:page" o:allowincell="f">
            <w10:wrap anchorx="page"/>
          </v:rect>
        </w:pict>
      </w:r>
      <w:r w:rsidR="005366A8">
        <w:rPr>
          <w:rtl/>
        </w:rPr>
        <w:tab/>
      </w:r>
      <w:r w:rsidR="005366A8" w:rsidRPr="00E77B21">
        <w:rPr>
          <w:b/>
          <w:bCs/>
          <w:rtl/>
        </w:rPr>
        <w:t>הנורמה הבסיסית</w:t>
      </w:r>
      <w:r w:rsidR="005366A8">
        <w:rPr>
          <w:rtl/>
        </w:rPr>
        <w:tab/>
      </w:r>
      <w:r w:rsidR="005366A8">
        <w:rPr>
          <w:rtl/>
        </w:rPr>
        <w:tab/>
      </w:r>
      <w:r w:rsidR="005366A8">
        <w:rPr>
          <w:rtl/>
        </w:rPr>
        <w:tab/>
      </w:r>
      <w:r w:rsidR="005366A8">
        <w:rPr>
          <w:rtl/>
        </w:rPr>
        <w:tab/>
      </w:r>
      <w:r w:rsidR="005366A8">
        <w:rPr>
          <w:rtl/>
        </w:rPr>
        <w:tab/>
      </w:r>
      <w:r w:rsidR="005366A8">
        <w:rPr>
          <w:rtl/>
        </w:rPr>
        <w:tab/>
      </w:r>
      <w:r w:rsidR="005366A8">
        <w:rPr>
          <w:rtl/>
        </w:rPr>
        <w:tab/>
      </w:r>
      <w:r w:rsidR="005366A8">
        <w:rPr>
          <w:rFonts w:hint="cs"/>
          <w:b/>
          <w:bCs/>
          <w:rtl/>
        </w:rPr>
        <w:t>"</w:t>
      </w:r>
      <w:r w:rsidR="005366A8" w:rsidRPr="00E77B21">
        <w:rPr>
          <w:b/>
          <w:bCs/>
          <w:rtl/>
        </w:rPr>
        <w:t>הריבון</w:t>
      </w:r>
      <w:r w:rsidR="005366A8">
        <w:rPr>
          <w:rFonts w:hint="cs"/>
          <w:b/>
          <w:bCs/>
          <w:rtl/>
        </w:rPr>
        <w:t>"</w:t>
      </w:r>
    </w:p>
    <w:p w:rsidR="005366A8" w:rsidRDefault="005D7968" w:rsidP="005366A8">
      <w:pPr>
        <w:spacing w:after="120" w:line="288" w:lineRule="auto"/>
        <w:rPr>
          <w:rtl/>
        </w:rPr>
      </w:pPr>
      <w:r>
        <w:rPr>
          <w:rtl/>
        </w:rPr>
        <w:pict>
          <v:line id="_x0000_s1095" style="position:absolute;left:0;text-align:left;flip:x;z-index:251731968;mso-position-horizontal-relative:page" from="391.05pt,5.9pt" to="468pt,181.3pt" o:allowincell="f">
            <w10:wrap anchorx="page"/>
          </v:line>
        </w:pict>
      </w:r>
      <w:r>
        <w:rPr>
          <w:rtl/>
        </w:rPr>
        <w:pict>
          <v:line id="_x0000_s1094" style="position:absolute;left:0;text-align:left;z-index:251730944;mso-position-horizontal-relative:page" from="468pt,5.9pt" to="562.05pt,181.3pt" o:allowincell="f">
            <w10:wrap anchorx="page"/>
          </v:line>
        </w:pict>
      </w:r>
      <w:r>
        <w:rPr>
          <w:rtl/>
        </w:rPr>
        <w:pict>
          <v:line id="_x0000_s1097" style="position:absolute;left:0;text-align:left;z-index:251734016;mso-position-horizontal-relative:page" from="223.2pt,5.25pt" to="301.05pt,181.3pt" o:allowincell="f">
            <w10:wrap anchorx="page"/>
          </v:line>
        </w:pict>
      </w:r>
      <w:r w:rsidR="005366A8">
        <w:rPr>
          <w:rtl/>
        </w:rPr>
        <w:tab/>
      </w:r>
      <w:r w:rsidR="005366A8">
        <w:rPr>
          <w:rtl/>
        </w:rPr>
        <w:tab/>
        <w:t xml:space="preserve">   </w:t>
      </w:r>
      <w:r w:rsidR="005366A8">
        <w:rPr>
          <w:rtl/>
        </w:rPr>
        <w:tab/>
      </w:r>
      <w:r w:rsidR="005366A8">
        <w:rPr>
          <w:rtl/>
        </w:rPr>
        <w:tab/>
      </w:r>
      <w:r w:rsidR="005366A8">
        <w:rPr>
          <w:rtl/>
        </w:rPr>
        <w:tab/>
      </w:r>
      <w:r w:rsidR="005366A8">
        <w:rPr>
          <w:rtl/>
        </w:rPr>
        <w:tab/>
      </w:r>
      <w:r w:rsidR="005366A8">
        <w:rPr>
          <w:rtl/>
        </w:rPr>
        <w:tab/>
      </w:r>
      <w:r w:rsidR="005366A8">
        <w:rPr>
          <w:rtl/>
        </w:rPr>
        <w:tab/>
      </w:r>
      <w:r w:rsidR="005366A8">
        <w:rPr>
          <w:rtl/>
        </w:rPr>
        <w:tab/>
        <w:t xml:space="preserve">  </w:t>
      </w:r>
    </w:p>
    <w:p w:rsidR="005366A8" w:rsidRDefault="005D7968" w:rsidP="005366A8">
      <w:pPr>
        <w:spacing w:after="120" w:line="288" w:lineRule="auto"/>
        <w:rPr>
          <w:rtl/>
        </w:rPr>
      </w:pPr>
      <w:r>
        <w:rPr>
          <w:noProof/>
          <w:rtl/>
        </w:rPr>
        <w:pict>
          <v:line id="_x0000_s1151" style="position:absolute;left:0;text-align:left;z-index:251789312;mso-position-horizontal-relative:page" from="243.85pt,9pt" to="301.05pt,59.7pt">
            <v:stroke startarrow="block" endarrow="block"/>
            <w10:wrap anchorx="page"/>
          </v:line>
        </w:pict>
      </w:r>
      <w:r>
        <w:rPr>
          <w:noProof/>
          <w:rtl/>
        </w:rPr>
        <w:pict>
          <v:line id="_x0000_s1121" style="position:absolute;left:0;text-align:left;flip:x y;z-index:251758592" from="435.85pt,9pt" to="472.6pt,28.7pt">
            <v:stroke endarrow="block"/>
            <w10:wrap anchorx="page"/>
          </v:line>
        </w:pict>
      </w:r>
      <w:r>
        <w:rPr>
          <w:noProof/>
          <w:rtl/>
        </w:rPr>
        <w:pict>
          <v:line id="_x0000_s1108" style="position:absolute;left:0;text-align:left;flip:y;z-index:251745280;mso-position-horizontal-relative:page" from="400.05pt,12.95pt" to="452.25pt,59.7pt">
            <v:stroke startarrow="block" endarrow="block"/>
            <w10:wrap anchorx="page"/>
          </v:line>
        </w:pict>
      </w:r>
      <w:r>
        <w:rPr>
          <w:noProof/>
          <w:rtl/>
        </w:rPr>
        <w:pict>
          <v:line id="_x0000_s1113" style="position:absolute;left:0;text-align:left;z-index:251750400;mso-position-horizontal-relative:page" from="202.05pt,14.7pt" to="238.05pt,14.7pt">
            <w10:wrap anchorx="page"/>
          </v:line>
        </w:pict>
      </w:r>
      <w:r>
        <w:rPr>
          <w:noProof/>
          <w:rtl/>
        </w:rPr>
        <w:pict>
          <v:line id="_x0000_s1109" style="position:absolute;left:0;text-align:left;z-index:251746304;mso-position-horizontal-relative:page" from="445.05pt,14.7pt" to="488.25pt,14.7pt">
            <w10:wrap anchorx="page"/>
          </v:line>
        </w:pict>
      </w:r>
      <w:r w:rsidR="005366A8">
        <w:rPr>
          <w:rFonts w:hint="cs"/>
          <w:rtl/>
        </w:rPr>
        <w:t>"ערכי</w:t>
      </w:r>
      <w:r w:rsidR="005366A8">
        <w:rPr>
          <w:rtl/>
        </w:rPr>
        <w:tab/>
      </w:r>
      <w:r w:rsidR="005366A8">
        <w:rPr>
          <w:rtl/>
        </w:rPr>
        <w:tab/>
        <w:t>חוקה</w:t>
      </w:r>
      <w:r w:rsidR="005366A8">
        <w:rPr>
          <w:rtl/>
        </w:rPr>
        <w:tab/>
      </w:r>
      <w:r w:rsidR="005366A8">
        <w:rPr>
          <w:rtl/>
        </w:rPr>
        <w:tab/>
      </w:r>
      <w:r w:rsidR="005366A8">
        <w:rPr>
          <w:rtl/>
        </w:rPr>
        <w:tab/>
      </w:r>
      <w:r w:rsidR="005366A8">
        <w:rPr>
          <w:rtl/>
        </w:rPr>
        <w:tab/>
      </w:r>
      <w:r w:rsidR="005366A8">
        <w:rPr>
          <w:rtl/>
        </w:rPr>
        <w:tab/>
      </w:r>
      <w:r w:rsidR="005366A8">
        <w:rPr>
          <w:rtl/>
        </w:rPr>
        <w:tab/>
        <w:t xml:space="preserve">       </w:t>
      </w:r>
      <w:r w:rsidR="005366A8">
        <w:rPr>
          <w:rFonts w:hint="cs"/>
          <w:rtl/>
        </w:rPr>
        <w:t>ה</w:t>
      </w:r>
      <w:r w:rsidR="005366A8">
        <w:rPr>
          <w:rtl/>
        </w:rPr>
        <w:t xml:space="preserve">מוסד </w:t>
      </w:r>
      <w:r w:rsidR="005366A8">
        <w:rPr>
          <w:rFonts w:hint="cs"/>
          <w:rtl/>
        </w:rPr>
        <w:t>ה</w:t>
      </w:r>
      <w:r w:rsidR="005366A8">
        <w:rPr>
          <w:rtl/>
        </w:rPr>
        <w:t>מכונן</w:t>
      </w:r>
    </w:p>
    <w:p w:rsidR="005366A8" w:rsidRDefault="005D7968" w:rsidP="005366A8">
      <w:pPr>
        <w:spacing w:after="120" w:line="288" w:lineRule="auto"/>
        <w:rPr>
          <w:rtl/>
        </w:rPr>
      </w:pPr>
      <w:r>
        <w:rPr>
          <w:rtl/>
        </w:rPr>
        <w:pict>
          <v:line id="_x0000_s1105" style="position:absolute;left:0;text-align:left;z-index:251742208;mso-position-horizontal-relative:page" from="247.05pt,10.15pt" to="287.25pt,38.9pt">
            <v:stroke startarrow="block" endarrow="block"/>
            <w10:wrap anchorx="page"/>
          </v:line>
        </w:pict>
      </w:r>
      <w:r>
        <w:rPr>
          <w:rtl/>
        </w:rPr>
        <w:pict>
          <v:line id="_x0000_s1099" style="position:absolute;left:0;text-align:left;flip:y;z-index:251736064;mso-position-horizontal-relative:page" from="409.05pt,14.65pt" to="452.25pt,38.9pt">
            <v:stroke startarrow="block" endarrow="block"/>
            <w10:wrap anchorx="page"/>
          </v:line>
        </w:pict>
      </w:r>
      <w:r>
        <w:rPr>
          <w:noProof/>
          <w:rtl/>
        </w:rPr>
        <w:pict>
          <v:line id="_x0000_s1120" style="position:absolute;left:0;text-align:left;z-index:251757568" from="477.85pt,19.15pt" to="504.85pt,106.2pt">
            <v:stroke endarrow="block"/>
            <w10:wrap anchorx="page"/>
          </v:line>
        </w:pict>
      </w:r>
      <w:r>
        <w:rPr>
          <w:noProof/>
          <w:rtl/>
        </w:rPr>
        <w:pict>
          <v:line id="_x0000_s1117" style="position:absolute;left:0;text-align:left;flip:y;z-index:251754496;mso-position-horizontal-relative:page" from="499.05pt,10.15pt" to="520.8pt,23.8pt" strokeweight="3pt">
            <v:stroke linestyle="thinThin"/>
            <w10:wrap anchorx="page"/>
          </v:line>
        </w:pict>
      </w:r>
      <w:r>
        <w:rPr>
          <w:noProof/>
          <w:rtl/>
        </w:rPr>
        <w:pict>
          <v:line id="_x0000_s1119" style="position:absolute;left:0;text-align:left;z-index:251756544" from="472.6pt,7.2pt" to="477.85pt,52.2pt">
            <v:stroke endarrow="block"/>
            <w10:wrap anchorx="page"/>
          </v:line>
        </w:pict>
      </w:r>
      <w:r>
        <w:rPr>
          <w:noProof/>
          <w:rtl/>
        </w:rPr>
        <w:pict>
          <v:line id="_x0000_s1118" style="position:absolute;left:0;text-align:left;flip:x y;z-index:251755520" from="445.3pt,6.15pt" to="465.55pt,6.15pt">
            <v:stroke endarrow="block"/>
            <w10:wrap anchorx="page"/>
          </v:line>
        </w:pict>
      </w:r>
      <w:r>
        <w:rPr>
          <w:noProof/>
          <w:rtl/>
        </w:rPr>
        <w:pict>
          <v:line id="_x0000_s1114" style="position:absolute;left:0;text-align:left;z-index:251751424;mso-position-horizontal-relative:page" from="193.05pt,19.15pt" to="247.05pt,19.15pt">
            <w10:wrap anchorx="page"/>
          </v:line>
        </w:pict>
      </w:r>
      <w:r>
        <w:rPr>
          <w:noProof/>
          <w:rtl/>
        </w:rPr>
        <w:pict>
          <v:line id="_x0000_s1110" style="position:absolute;left:0;text-align:left;z-index:251747328;mso-position-horizontal-relative:page" from="445.05pt,19.15pt" to="499.05pt,19.15pt">
            <w10:wrap anchorx="page"/>
          </v:line>
        </w:pict>
      </w:r>
      <w:r w:rsidR="005366A8">
        <w:rPr>
          <w:rFonts w:hint="cs"/>
          <w:rtl/>
        </w:rPr>
        <w:t>היסוד"</w:t>
      </w:r>
      <w:r w:rsidR="005366A8">
        <w:rPr>
          <w:rtl/>
        </w:rPr>
        <w:tab/>
      </w:r>
      <w:r w:rsidR="005366A8">
        <w:rPr>
          <w:rtl/>
        </w:rPr>
        <w:tab/>
        <w:t>חוקים</w:t>
      </w:r>
      <w:r w:rsidR="005366A8">
        <w:rPr>
          <w:rFonts w:hint="cs"/>
          <w:rtl/>
        </w:rPr>
        <w:tab/>
      </w:r>
      <w:r w:rsidR="005366A8">
        <w:rPr>
          <w:rFonts w:hint="cs"/>
          <w:rtl/>
        </w:rPr>
        <w:tab/>
      </w:r>
      <w:r w:rsidR="005366A8">
        <w:rPr>
          <w:rFonts w:hint="cs"/>
          <w:rtl/>
        </w:rPr>
        <w:tab/>
      </w:r>
      <w:r w:rsidR="005366A8">
        <w:rPr>
          <w:rFonts w:hint="cs"/>
          <w:rtl/>
        </w:rPr>
        <w:tab/>
      </w:r>
      <w:r w:rsidR="005366A8">
        <w:rPr>
          <w:rFonts w:hint="cs"/>
          <w:rtl/>
        </w:rPr>
        <w:tab/>
        <w:t xml:space="preserve">       </w:t>
      </w:r>
      <w:r w:rsidR="005366A8">
        <w:rPr>
          <w:rFonts w:hint="cs"/>
          <w:rtl/>
        </w:rPr>
        <w:tab/>
      </w:r>
      <w:r w:rsidR="005366A8">
        <w:rPr>
          <w:rFonts w:hint="cs"/>
          <w:rtl/>
        </w:rPr>
        <w:tab/>
        <w:t>ה</w:t>
      </w:r>
      <w:r w:rsidR="005366A8">
        <w:rPr>
          <w:rtl/>
        </w:rPr>
        <w:t xml:space="preserve">מוסד </w:t>
      </w:r>
      <w:r w:rsidR="005366A8">
        <w:rPr>
          <w:rFonts w:hint="cs"/>
          <w:rtl/>
        </w:rPr>
        <w:t>ה</w:t>
      </w:r>
      <w:r w:rsidR="005366A8">
        <w:rPr>
          <w:rtl/>
        </w:rPr>
        <w:t>מחוקק</w:t>
      </w:r>
    </w:p>
    <w:p w:rsidR="005366A8" w:rsidRPr="006273C4" w:rsidRDefault="005D7968" w:rsidP="005366A8">
      <w:pPr>
        <w:spacing w:after="120" w:line="288" w:lineRule="auto"/>
        <w:rPr>
          <w:i/>
          <w:iCs/>
          <w:sz w:val="20"/>
          <w:szCs w:val="20"/>
          <w:rtl/>
        </w:rPr>
      </w:pPr>
      <w:r w:rsidRPr="005D7968">
        <w:rPr>
          <w:rtl/>
        </w:rPr>
        <w:pict>
          <v:line id="_x0000_s1104" style="position:absolute;left:0;text-align:left;flip:y;z-index:251741184;mso-position-horizontal-relative:page" from="409.05pt,9.4pt" to="436.05pt,22.4pt">
            <v:stroke endarrow="block"/>
            <w10:wrap anchorx="page"/>
          </v:line>
        </w:pict>
      </w:r>
      <w:r w:rsidRPr="005D7968">
        <w:rPr>
          <w:noProof/>
          <w:rtl/>
        </w:rPr>
        <w:pict>
          <v:line id="_x0000_s1116" style="position:absolute;left:0;text-align:left;z-index:251753472;mso-position-horizontal-relative:page" from="436.05pt,14.6pt" to="508.05pt,14.6pt">
            <w10:wrap anchorx="page"/>
          </v:line>
        </w:pict>
      </w:r>
      <w:r w:rsidR="005366A8">
        <w:rPr>
          <w:rtl/>
        </w:rPr>
        <w:tab/>
      </w:r>
      <w:r w:rsidR="005366A8" w:rsidRPr="006273C4">
        <w:rPr>
          <w:rFonts w:hint="cs"/>
          <w:i/>
          <w:iCs/>
          <w:sz w:val="20"/>
          <w:szCs w:val="20"/>
          <w:rtl/>
        </w:rPr>
        <w:t>"משפט מקובל נוסח ישראל"</w:t>
      </w:r>
      <w:r w:rsidR="005366A8" w:rsidRPr="006273C4">
        <w:rPr>
          <w:i/>
          <w:iCs/>
          <w:sz w:val="20"/>
          <w:szCs w:val="20"/>
          <w:rtl/>
        </w:rPr>
        <w:tab/>
      </w:r>
      <w:r w:rsidR="005366A8" w:rsidRPr="006273C4">
        <w:rPr>
          <w:i/>
          <w:iCs/>
          <w:sz w:val="20"/>
          <w:szCs w:val="20"/>
          <w:rtl/>
        </w:rPr>
        <w:tab/>
      </w:r>
      <w:r w:rsidR="005366A8" w:rsidRPr="006273C4">
        <w:rPr>
          <w:i/>
          <w:iCs/>
          <w:sz w:val="20"/>
          <w:szCs w:val="20"/>
          <w:rtl/>
        </w:rPr>
        <w:tab/>
      </w:r>
      <w:r w:rsidR="005366A8" w:rsidRPr="006273C4">
        <w:rPr>
          <w:i/>
          <w:iCs/>
          <w:sz w:val="20"/>
          <w:szCs w:val="20"/>
          <w:rtl/>
        </w:rPr>
        <w:tab/>
        <w:t xml:space="preserve">         </w:t>
      </w:r>
    </w:p>
    <w:p w:rsidR="005366A8" w:rsidRDefault="005D7968" w:rsidP="005366A8">
      <w:pPr>
        <w:rPr>
          <w:rtl/>
        </w:rPr>
      </w:pPr>
      <w:r>
        <w:rPr>
          <w:rtl/>
        </w:rPr>
        <w:pict>
          <v:line id="_x0000_s1102" style="position:absolute;left:0;text-align:left;z-index:251739136;mso-position-horizontal-relative:page" from="400.05pt,19.05pt" to="400.05pt,64.45pt">
            <v:stroke startarrow="block" endarrow="block"/>
            <w10:wrap anchorx="page"/>
          </v:line>
        </w:pict>
      </w:r>
      <w:r>
        <w:rPr>
          <w:rtl/>
        </w:rPr>
        <w:pict>
          <v:line id="_x0000_s1101" style="position:absolute;left:0;text-align:left;z-index:251738112;mso-position-horizontal-relative:page" from="409.05pt,15.3pt" to="450.45pt,25.65pt" o:allowincell="f">
            <v:stroke startarrow="block" endarrow="block"/>
            <w10:wrap anchorx="page"/>
          </v:line>
        </w:pict>
      </w:r>
      <w:r>
        <w:rPr>
          <w:rtl/>
        </w:rPr>
        <w:pict>
          <v:line id="_x0000_s1100" style="position:absolute;left:0;text-align:left;flip:y;z-index:251737088;mso-position-horizontal-relative:page" from="409.05pt,8.25pt" to="445.05pt,10.05pt" o:allowincell="f">
            <v:stroke startarrow="block" endarrow="block"/>
            <w10:wrap anchorx="page"/>
          </v:line>
        </w:pict>
      </w:r>
      <w:r>
        <w:rPr>
          <w:rtl/>
        </w:rPr>
        <w:pict>
          <v:line id="_x0000_s1106" style="position:absolute;left:0;text-align:left;flip:x;z-index:251743232;mso-position-horizontal-relative:page" from="238.05pt,7.05pt" to="280.8pt,10.05pt">
            <v:stroke endarrow="block"/>
            <w10:wrap anchorx="page"/>
          </v:line>
        </w:pict>
      </w:r>
      <w:r>
        <w:rPr>
          <w:rtl/>
        </w:rPr>
        <w:pict>
          <v:line id="_x0000_s1107" style="position:absolute;left:0;text-align:left;flip:x;z-index:251744256;mso-position-horizontal-relative:page" from="238.05pt,19.05pt" to="292.05pt,55.65pt">
            <v:stroke endarrow="block"/>
            <w10:wrap anchorx="page"/>
          </v:line>
        </w:pict>
      </w:r>
      <w:r>
        <w:rPr>
          <w:noProof/>
          <w:rtl/>
        </w:rPr>
        <w:pict>
          <v:line id="_x0000_s1112" style="position:absolute;left:0;text-align:left;z-index:251749376;mso-position-horizontal-relative:page" from="418.05pt,19.05pt" to="526.05pt,19.05pt">
            <w10:wrap anchorx="page"/>
          </v:line>
        </w:pict>
      </w:r>
      <w:r w:rsidR="005366A8">
        <w:rPr>
          <w:rtl/>
        </w:rPr>
        <w:tab/>
      </w:r>
      <w:r w:rsidR="005366A8">
        <w:rPr>
          <w:rFonts w:hint="cs"/>
          <w:rtl/>
        </w:rPr>
        <w:t xml:space="preserve"> </w:t>
      </w:r>
      <w:r w:rsidR="005366A8">
        <w:rPr>
          <w:rtl/>
        </w:rPr>
        <w:t>תקנות</w:t>
      </w:r>
      <w:r w:rsidR="005366A8">
        <w:rPr>
          <w:rFonts w:hint="cs"/>
          <w:rtl/>
        </w:rPr>
        <w:t xml:space="preserve"> וחוקי-עזר</w:t>
      </w:r>
      <w:r w:rsidR="005366A8">
        <w:rPr>
          <w:rtl/>
        </w:rPr>
        <w:tab/>
        <w:t xml:space="preserve">         </w:t>
      </w:r>
      <w:r w:rsidR="005366A8">
        <w:rPr>
          <w:rtl/>
        </w:rPr>
        <w:tab/>
      </w:r>
      <w:r w:rsidR="005366A8">
        <w:rPr>
          <w:bdr w:val="single" w:sz="4" w:space="0" w:color="auto"/>
          <w:rtl/>
        </w:rPr>
        <w:t>פסקי דין</w:t>
      </w:r>
      <w:r w:rsidR="005366A8">
        <w:rPr>
          <w:bdr w:val="single" w:sz="4" w:space="0" w:color="auto"/>
          <w:rtl/>
        </w:rPr>
        <w:tab/>
      </w:r>
      <w:r w:rsidR="005366A8">
        <w:rPr>
          <w:rtl/>
        </w:rPr>
        <w:tab/>
      </w:r>
      <w:r w:rsidR="005366A8">
        <w:rPr>
          <w:bdr w:val="single" w:sz="4" w:space="0" w:color="auto"/>
          <w:rtl/>
        </w:rPr>
        <w:t>בתי המשפט</w:t>
      </w:r>
      <w:r w:rsidR="005366A8">
        <w:rPr>
          <w:rtl/>
        </w:rPr>
        <w:tab/>
      </w:r>
      <w:r w:rsidR="005366A8">
        <w:rPr>
          <w:rFonts w:hint="cs"/>
          <w:rtl/>
        </w:rPr>
        <w:tab/>
        <w:t>הממשלה</w:t>
      </w:r>
      <w:r w:rsidR="005366A8">
        <w:rPr>
          <w:rtl/>
        </w:rPr>
        <w:tab/>
      </w:r>
      <w:r w:rsidR="005366A8">
        <w:rPr>
          <w:rFonts w:hint="cs"/>
          <w:rtl/>
        </w:rPr>
        <w:t xml:space="preserve">, </w:t>
      </w:r>
    </w:p>
    <w:p w:rsidR="005366A8" w:rsidRDefault="005366A8" w:rsidP="005366A8">
      <w:pPr>
        <w:rPr>
          <w:rtl/>
        </w:rPr>
      </w:pPr>
      <w:r>
        <w:rPr>
          <w:rFonts w:hint="cs"/>
          <w:rtl/>
        </w:rPr>
        <w:t xml:space="preserve">                                                                                                         השלטון המקומי</w:t>
      </w:r>
    </w:p>
    <w:p w:rsidR="005366A8" w:rsidRDefault="005D7968" w:rsidP="005366A8">
      <w:pPr>
        <w:rPr>
          <w:rtl/>
        </w:rPr>
      </w:pPr>
      <w:r>
        <w:rPr>
          <w:rtl/>
        </w:rPr>
        <w:pict>
          <v:oval id="_x0000_s1103" style="position:absolute;left:0;text-align:left;margin-left:94.05pt;margin-top:21.85pt;width:186.75pt;height:36pt;z-index:251740160;mso-position-horizontal-relative:page" o:allowincell="f">
            <v:textbox style="mso-next-textbox:#_x0000_s1103">
              <w:txbxContent>
                <w:p w:rsidR="005366A8" w:rsidRPr="00E77B21" w:rsidRDefault="005366A8" w:rsidP="005366A8">
                  <w:pPr>
                    <w:rPr>
                      <w:b/>
                      <w:bCs/>
                      <w:rtl/>
                    </w:rPr>
                  </w:pPr>
                  <w:r w:rsidRPr="00E77B21">
                    <w:rPr>
                      <w:b/>
                      <w:bCs/>
                      <w:rtl/>
                    </w:rPr>
                    <w:t>בני החברה/ אזרחי המדינה</w:t>
                  </w:r>
                </w:p>
              </w:txbxContent>
            </v:textbox>
            <w10:wrap anchorx="page"/>
          </v:oval>
        </w:pict>
      </w:r>
      <w:r>
        <w:rPr>
          <w:noProof/>
          <w:rtl/>
        </w:rPr>
        <w:pict>
          <v:line id="_x0000_s1115" style="position:absolute;left:0;text-align:left;z-index:251752448;mso-position-horizontal-relative:page" from="166.05pt,17.85pt" to="274.05pt,17.85pt">
            <w10:wrap anchorx="page"/>
          </v:line>
        </w:pict>
      </w:r>
      <w:r w:rsidR="005366A8">
        <w:rPr>
          <w:rFonts w:hint="cs"/>
          <w:rtl/>
        </w:rPr>
        <w:t xml:space="preserve">        </w:t>
      </w:r>
      <w:r w:rsidR="005366A8">
        <w:rPr>
          <w:rtl/>
        </w:rPr>
        <w:t>צווים</w:t>
      </w:r>
      <w:r w:rsidR="005366A8">
        <w:rPr>
          <w:rFonts w:hint="cs"/>
          <w:rtl/>
        </w:rPr>
        <w:t xml:space="preserve"> ו"פעולות מינהל" אחרות   </w:t>
      </w:r>
      <w:r w:rsidR="005366A8">
        <w:rPr>
          <w:rtl/>
        </w:rPr>
        <w:tab/>
      </w:r>
      <w:r w:rsidR="005366A8">
        <w:rPr>
          <w:rtl/>
        </w:rPr>
        <w:tab/>
      </w:r>
      <w:r w:rsidR="005366A8">
        <w:rPr>
          <w:rtl/>
        </w:rPr>
        <w:tab/>
        <w:t xml:space="preserve">        </w:t>
      </w:r>
      <w:r w:rsidR="005366A8">
        <w:rPr>
          <w:rFonts w:hint="cs"/>
          <w:rtl/>
        </w:rPr>
        <w:t xml:space="preserve">   ורשויות המינהל האחרות</w:t>
      </w:r>
      <w:r w:rsidR="005366A8">
        <w:rPr>
          <w:rtl/>
        </w:rPr>
        <w:t xml:space="preserve"> </w:t>
      </w:r>
    </w:p>
    <w:p w:rsidR="005366A8" w:rsidRDefault="005D7968" w:rsidP="005366A8">
      <w:pPr>
        <w:spacing w:after="120" w:line="288" w:lineRule="auto"/>
        <w:rPr>
          <w:rtl/>
        </w:rPr>
      </w:pPr>
      <w:r>
        <w:rPr>
          <w:noProof/>
          <w:rtl/>
        </w:rPr>
        <w:pict>
          <v:line id="_x0000_s1111" style="position:absolute;left:0;text-align:left;z-index:251748352;mso-position-horizontal-relative:page" from="409.05pt,4.3pt" to="535.05pt,4.3pt">
            <w10:wrap anchorx="page"/>
          </v:line>
        </w:pict>
      </w:r>
    </w:p>
    <w:p w:rsidR="005366A8" w:rsidRDefault="005D7968" w:rsidP="005366A8">
      <w:pPr>
        <w:pStyle w:val="T-body"/>
        <w:spacing w:after="120"/>
        <w:rPr>
          <w:rtl/>
        </w:rPr>
      </w:pPr>
      <w:r>
        <w:rPr>
          <w:rtl/>
        </w:rPr>
        <w:pict>
          <v:line id="_x0000_s1098" style="position:absolute;left:0;text-align:left;flip:x y;z-index:251735040;mso-position-horizontal-relative:page" from="139.05pt,19.2pt" to="302.4pt,19.9pt" o:allowincell="f">
            <w10:wrap anchorx="page"/>
          </v:line>
        </w:pict>
      </w:r>
      <w:r>
        <w:rPr>
          <w:rtl/>
        </w:rPr>
        <w:pict>
          <v:line id="_x0000_s1096" style="position:absolute;left:0;text-align:left;flip:x;z-index:251732992;mso-position-horizontal-relative:page" from="388.8pt,20.55pt" to="561.6pt,20.55pt" o:allowincell="f">
            <w10:wrap anchorx="page"/>
          </v:line>
        </w:pict>
      </w:r>
      <w:r w:rsidR="005366A8">
        <w:rPr>
          <w:rtl/>
        </w:rPr>
        <w:t>נורמות ופעולות בתחום המשפט הפרטי</w:t>
      </w:r>
      <w:r w:rsidR="005366A8">
        <w:rPr>
          <w:rtl/>
        </w:rPr>
        <w:tab/>
      </w:r>
      <w:r w:rsidR="005366A8">
        <w:rPr>
          <w:rtl/>
        </w:rPr>
        <w:tab/>
      </w:r>
      <w:r w:rsidR="005366A8">
        <w:rPr>
          <w:rtl/>
        </w:rPr>
        <w:tab/>
      </w:r>
      <w:r w:rsidR="005366A8">
        <w:rPr>
          <w:rtl/>
        </w:rPr>
        <w:tab/>
      </w:r>
    </w:p>
    <w:p w:rsidR="005366A8" w:rsidRPr="00024E7B" w:rsidRDefault="005366A8" w:rsidP="005366A8">
      <w:pPr>
        <w:rPr>
          <w:sz w:val="22"/>
          <w:szCs w:val="22"/>
          <w:rtl/>
        </w:rPr>
      </w:pPr>
      <w:r>
        <w:rPr>
          <w:rtl/>
        </w:rPr>
        <w:tab/>
      </w:r>
      <w:r w:rsidRPr="00024E7B">
        <w:rPr>
          <w:rFonts w:ascii="Arial" w:hAnsi="Arial" w:cs="Arial"/>
          <w:b/>
          <w:bCs/>
          <w:sz w:val="22"/>
          <w:szCs w:val="22"/>
          <w:highlight w:val="yellow"/>
          <w:rtl/>
        </w:rPr>
        <w:t>פירמידת הנורמות</w:t>
      </w:r>
      <w:r w:rsidRPr="00024E7B">
        <w:rPr>
          <w:b/>
          <w:bCs/>
          <w:sz w:val="22"/>
          <w:szCs w:val="22"/>
          <w:rtl/>
        </w:rPr>
        <w:tab/>
      </w:r>
      <w:r w:rsidRPr="00024E7B">
        <w:rPr>
          <w:b/>
          <w:bCs/>
          <w:sz w:val="22"/>
          <w:szCs w:val="22"/>
          <w:rtl/>
        </w:rPr>
        <w:tab/>
      </w:r>
      <w:r w:rsidRPr="00024E7B">
        <w:rPr>
          <w:b/>
          <w:bCs/>
          <w:sz w:val="22"/>
          <w:szCs w:val="22"/>
          <w:rtl/>
        </w:rPr>
        <w:tab/>
      </w:r>
      <w:r w:rsidRPr="00024E7B">
        <w:rPr>
          <w:b/>
          <w:bCs/>
          <w:sz w:val="22"/>
          <w:szCs w:val="22"/>
          <w:rtl/>
        </w:rPr>
        <w:tab/>
      </w:r>
      <w:r w:rsidRPr="00024E7B">
        <w:rPr>
          <w:b/>
          <w:bCs/>
          <w:sz w:val="22"/>
          <w:szCs w:val="22"/>
          <w:rtl/>
        </w:rPr>
        <w:tab/>
      </w:r>
      <w:r w:rsidRPr="00024E7B">
        <w:rPr>
          <w:rFonts w:ascii="Arial" w:hAnsi="Arial" w:cs="Arial"/>
          <w:b/>
          <w:bCs/>
          <w:sz w:val="22"/>
          <w:szCs w:val="22"/>
          <w:highlight w:val="yellow"/>
          <w:rtl/>
        </w:rPr>
        <w:t>פירמידת המוסדות</w:t>
      </w:r>
    </w:p>
    <w:p w:rsidR="005366A8" w:rsidRDefault="005366A8" w:rsidP="005366A8">
      <w:pPr>
        <w:rPr>
          <w:rFonts w:ascii="Arial" w:hAnsi="Arial" w:cs="Arial"/>
          <w:b/>
          <w:bCs/>
          <w:sz w:val="22"/>
          <w:szCs w:val="22"/>
          <w:rtl/>
        </w:rPr>
      </w:pPr>
    </w:p>
    <w:p w:rsidR="005366A8" w:rsidRDefault="005366A8" w:rsidP="005366A8">
      <w:pPr>
        <w:pStyle w:val="T-body"/>
        <w:spacing w:after="120" w:line="240" w:lineRule="auto"/>
        <w:jc w:val="left"/>
        <w:rPr>
          <w:b/>
          <w:bCs/>
          <w:rtl/>
        </w:rPr>
      </w:pPr>
    </w:p>
    <w:p w:rsidR="005366A8" w:rsidRDefault="005366A8" w:rsidP="005366A8">
      <w:pPr>
        <w:pStyle w:val="T-body"/>
        <w:spacing w:after="120" w:line="240" w:lineRule="auto"/>
        <w:jc w:val="left"/>
        <w:rPr>
          <w:b/>
          <w:bCs/>
          <w:rtl/>
        </w:rPr>
      </w:pPr>
      <w:r>
        <w:rPr>
          <w:rFonts w:ascii="Arial" w:hAnsi="Arial" w:cs="Arial" w:hint="cs"/>
          <w:b/>
          <w:bCs/>
          <w:rtl/>
        </w:rPr>
        <w:t>הפירמידה הנורמטיבית הקודמת, זו ש</w:t>
      </w:r>
      <w:r w:rsidRPr="00BB11BC">
        <w:rPr>
          <w:rFonts w:ascii="Arial" w:hAnsi="Arial" w:cs="Arial" w:hint="cs"/>
          <w:b/>
          <w:bCs/>
          <w:i/>
          <w:iCs/>
          <w:highlight w:val="yellow"/>
          <w:rtl/>
        </w:rPr>
        <w:t>בטרם</w:t>
      </w:r>
      <w:r w:rsidRPr="00BB11BC">
        <w:rPr>
          <w:rFonts w:ascii="Arial" w:hAnsi="Arial" w:cs="Arial" w:hint="cs"/>
          <w:b/>
          <w:bCs/>
          <w:highlight w:val="yellow"/>
          <w:rtl/>
        </w:rPr>
        <w:t xml:space="preserve"> "המהפכה החוקתית"</w:t>
      </w:r>
      <w:r>
        <w:rPr>
          <w:rFonts w:ascii="Arial" w:hAnsi="Arial" w:cs="Arial" w:hint="cs"/>
          <w:b/>
          <w:bCs/>
          <w:rtl/>
        </w:rPr>
        <w:t xml:space="preserve"> שהתרחשה בשנות התשעים</w:t>
      </w:r>
      <w:r>
        <w:rPr>
          <w:rFonts w:hint="cs"/>
          <w:b/>
          <w:bCs/>
          <w:rtl/>
        </w:rPr>
        <w:t xml:space="preserve"> </w:t>
      </w:r>
    </w:p>
    <w:p w:rsidR="005366A8" w:rsidRDefault="005D7968" w:rsidP="005366A8">
      <w:pPr>
        <w:rPr>
          <w:rtl/>
        </w:rPr>
      </w:pPr>
      <w:r>
        <w:rPr>
          <w:rtl/>
        </w:rPr>
        <w:pict>
          <v:line id="_x0000_s1123" style="position:absolute;left:0;text-align:left;flip:y;z-index:251760640;mso-position-horizontal-relative:page" from="121.05pt,10.7pt" to="193.05pt,154.7pt">
            <v:stroke endarrow="block"/>
            <w10:wrap anchorx="page"/>
          </v:line>
        </w:pict>
      </w:r>
      <w:r>
        <w:rPr>
          <w:rtl/>
        </w:rPr>
        <w:pict>
          <v:line id="_x0000_s1122" style="position:absolute;left:0;text-align:left;flip:x;z-index:251759616;mso-position-horizontal-relative:page" from="148.05pt,13.3pt" to="220.05pt,165.7pt">
            <w10:wrap anchorx="page"/>
          </v:line>
        </w:pict>
      </w:r>
      <w:r>
        <w:rPr>
          <w:rtl/>
        </w:rPr>
        <w:pict>
          <v:rect id="_x0000_s1124" style="position:absolute;left:0;text-align:left;margin-left:460.8pt;margin-top:10.65pt;width:7.2pt;height:7.2pt;z-index:251761664;mso-position-horizontal-relative:page" o:allowincell="f">
            <w10:wrap anchorx="page"/>
          </v:rect>
        </w:pict>
      </w:r>
      <w:r>
        <w:rPr>
          <w:rtl/>
        </w:rPr>
        <w:pict>
          <v:rect id="_x0000_s1125" style="position:absolute;left:0;text-align:left;margin-left:3in;margin-top:11.85pt;width:7.2pt;height:7.2pt;z-index:251762688;mso-position-horizontal-relative:page" o:allowincell="f">
            <w10:wrap anchorx="page"/>
          </v:rect>
        </w:pict>
      </w:r>
      <w:r w:rsidR="005366A8">
        <w:rPr>
          <w:rtl/>
        </w:rPr>
        <w:tab/>
      </w:r>
      <w:r w:rsidR="005366A8" w:rsidRPr="00E77B21">
        <w:rPr>
          <w:b/>
          <w:bCs/>
          <w:rtl/>
        </w:rPr>
        <w:t>הנורמה הבסיסית</w:t>
      </w:r>
      <w:r w:rsidR="005366A8">
        <w:rPr>
          <w:rtl/>
        </w:rPr>
        <w:tab/>
      </w:r>
      <w:r w:rsidR="005366A8">
        <w:rPr>
          <w:rtl/>
        </w:rPr>
        <w:tab/>
      </w:r>
      <w:r w:rsidR="005366A8">
        <w:rPr>
          <w:rtl/>
        </w:rPr>
        <w:tab/>
      </w:r>
      <w:r w:rsidR="005366A8">
        <w:rPr>
          <w:rtl/>
        </w:rPr>
        <w:tab/>
      </w:r>
      <w:r w:rsidR="005366A8">
        <w:rPr>
          <w:rtl/>
        </w:rPr>
        <w:tab/>
      </w:r>
      <w:r w:rsidR="005366A8">
        <w:rPr>
          <w:rtl/>
        </w:rPr>
        <w:tab/>
      </w:r>
      <w:r w:rsidR="005366A8">
        <w:rPr>
          <w:rtl/>
        </w:rPr>
        <w:tab/>
      </w:r>
      <w:r w:rsidR="005366A8">
        <w:rPr>
          <w:rFonts w:hint="cs"/>
          <w:b/>
          <w:bCs/>
          <w:rtl/>
        </w:rPr>
        <w:t>"</w:t>
      </w:r>
      <w:r w:rsidR="005366A8" w:rsidRPr="00E77B21">
        <w:rPr>
          <w:b/>
          <w:bCs/>
          <w:rtl/>
        </w:rPr>
        <w:t>הריבון</w:t>
      </w:r>
      <w:r w:rsidR="005366A8">
        <w:rPr>
          <w:rFonts w:hint="cs"/>
          <w:b/>
          <w:bCs/>
          <w:rtl/>
        </w:rPr>
        <w:t>"</w:t>
      </w:r>
    </w:p>
    <w:p w:rsidR="005366A8" w:rsidRDefault="005D7968" w:rsidP="005366A8">
      <w:pPr>
        <w:spacing w:after="120" w:line="288" w:lineRule="auto"/>
        <w:rPr>
          <w:rtl/>
        </w:rPr>
      </w:pPr>
      <w:r>
        <w:rPr>
          <w:noProof/>
          <w:rtl/>
        </w:rPr>
        <w:pict>
          <v:line id="_x0000_s1153" style="position:absolute;left:0;text-align:left;z-index:251791360;mso-position-horizontal-relative:page" from="480.6pt,-.5pt" to="522.6pt,23.7pt">
            <v:stroke startarrow="block" endarrow="block"/>
            <w10:wrap anchorx="page"/>
          </v:line>
        </w:pict>
      </w:r>
      <w:r>
        <w:rPr>
          <w:rtl/>
        </w:rPr>
        <w:pict>
          <v:line id="_x0000_s1127" style="position:absolute;left:0;text-align:left;flip:x;z-index:251764736;mso-position-horizontal-relative:page" from="391.05pt,5.9pt" to="468pt,181.3pt" o:allowincell="f">
            <w10:wrap anchorx="page"/>
          </v:line>
        </w:pict>
      </w:r>
      <w:r>
        <w:rPr>
          <w:rtl/>
        </w:rPr>
        <w:pict>
          <v:line id="_x0000_s1126" style="position:absolute;left:0;text-align:left;z-index:251763712;mso-position-horizontal-relative:page" from="468pt,5.9pt" to="562.05pt,181.3pt" o:allowincell="f">
            <w10:wrap anchorx="page"/>
          </v:line>
        </w:pict>
      </w:r>
      <w:r>
        <w:rPr>
          <w:rtl/>
        </w:rPr>
        <w:pict>
          <v:line id="_x0000_s1129" style="position:absolute;left:0;text-align:left;z-index:251766784;mso-position-horizontal-relative:page" from="223.2pt,5.25pt" to="301.05pt,181.3pt" o:allowincell="f">
            <w10:wrap anchorx="page"/>
          </v:line>
        </w:pict>
      </w:r>
      <w:r w:rsidR="005366A8">
        <w:rPr>
          <w:rtl/>
        </w:rPr>
        <w:tab/>
      </w:r>
      <w:r w:rsidR="005366A8">
        <w:rPr>
          <w:rtl/>
        </w:rPr>
        <w:tab/>
        <w:t xml:space="preserve">   </w:t>
      </w:r>
      <w:r w:rsidR="005366A8">
        <w:rPr>
          <w:rtl/>
        </w:rPr>
        <w:tab/>
      </w:r>
      <w:r w:rsidR="005366A8">
        <w:rPr>
          <w:rtl/>
        </w:rPr>
        <w:tab/>
      </w:r>
      <w:r w:rsidR="005366A8">
        <w:rPr>
          <w:rtl/>
        </w:rPr>
        <w:tab/>
      </w:r>
      <w:r w:rsidR="005366A8">
        <w:rPr>
          <w:rtl/>
        </w:rPr>
        <w:tab/>
      </w:r>
      <w:r w:rsidR="005366A8">
        <w:rPr>
          <w:rtl/>
        </w:rPr>
        <w:tab/>
      </w:r>
      <w:r w:rsidR="005366A8">
        <w:rPr>
          <w:rtl/>
        </w:rPr>
        <w:tab/>
      </w:r>
      <w:r w:rsidR="005366A8">
        <w:rPr>
          <w:rtl/>
        </w:rPr>
        <w:tab/>
        <w:t xml:space="preserve">  </w:t>
      </w:r>
    </w:p>
    <w:p w:rsidR="005366A8" w:rsidRDefault="005D7968" w:rsidP="005366A8">
      <w:pPr>
        <w:spacing w:after="120" w:line="288" w:lineRule="auto"/>
        <w:rPr>
          <w:rtl/>
        </w:rPr>
      </w:pPr>
      <w:r>
        <w:rPr>
          <w:noProof/>
          <w:rtl/>
        </w:rPr>
        <w:pict>
          <v:line id="_x0000_s1149" style="position:absolute;left:0;text-align:left;flip:x y;z-index:251787264" from="435.85pt,9pt" to="472.6pt,28.7pt">
            <v:stroke endarrow="block"/>
            <w10:wrap anchorx="page"/>
          </v:line>
        </w:pict>
      </w:r>
      <w:r>
        <w:rPr>
          <w:noProof/>
          <w:rtl/>
        </w:rPr>
        <w:pict>
          <v:line id="_x0000_s1139" style="position:absolute;left:0;text-align:left;flip:y;z-index:251777024;mso-position-horizontal-relative:page" from="400.05pt,12.95pt" to="452.25pt,59.7pt">
            <v:stroke startarrow="block" endarrow="block"/>
            <w10:wrap anchorx="page"/>
          </v:line>
        </w:pict>
      </w:r>
      <w:r w:rsidR="005366A8">
        <w:rPr>
          <w:rFonts w:hint="cs"/>
          <w:rtl/>
        </w:rPr>
        <w:t>"ערכי</w:t>
      </w:r>
      <w:r w:rsidR="005366A8">
        <w:rPr>
          <w:rtl/>
        </w:rPr>
        <w:tab/>
      </w:r>
      <w:r w:rsidR="005366A8">
        <w:rPr>
          <w:rtl/>
        </w:rPr>
        <w:tab/>
        <w:t>חוק</w:t>
      </w:r>
      <w:r w:rsidR="005366A8">
        <w:rPr>
          <w:rFonts w:hint="cs"/>
          <w:rtl/>
        </w:rPr>
        <w:t>י יסוד וחוקים</w:t>
      </w:r>
      <w:r w:rsidR="005366A8">
        <w:rPr>
          <w:rtl/>
        </w:rPr>
        <w:tab/>
      </w:r>
      <w:r w:rsidR="005366A8">
        <w:rPr>
          <w:rtl/>
        </w:rPr>
        <w:tab/>
      </w:r>
      <w:r w:rsidR="005366A8">
        <w:rPr>
          <w:rtl/>
        </w:rPr>
        <w:tab/>
      </w:r>
      <w:r w:rsidR="005366A8">
        <w:rPr>
          <w:rtl/>
        </w:rPr>
        <w:tab/>
      </w:r>
      <w:r w:rsidR="005366A8">
        <w:rPr>
          <w:rtl/>
        </w:rPr>
        <w:tab/>
      </w:r>
      <w:r w:rsidR="005366A8">
        <w:rPr>
          <w:rFonts w:hint="cs"/>
          <w:rtl/>
        </w:rPr>
        <w:t xml:space="preserve">          </w:t>
      </w:r>
    </w:p>
    <w:p w:rsidR="005366A8" w:rsidRDefault="005D7968" w:rsidP="005366A8">
      <w:pPr>
        <w:spacing w:after="120" w:line="288" w:lineRule="auto"/>
        <w:rPr>
          <w:rtl/>
        </w:rPr>
      </w:pPr>
      <w:r>
        <w:rPr>
          <w:rtl/>
        </w:rPr>
        <w:pict>
          <v:line id="_x0000_s1136" style="position:absolute;left:0;text-align:left;z-index:251773952;mso-position-horizontal-relative:page" from="247.05pt,10.15pt" to="287.25pt,38.9pt">
            <v:stroke startarrow="block" endarrow="block"/>
            <w10:wrap anchorx="page"/>
          </v:line>
        </w:pict>
      </w:r>
      <w:r>
        <w:rPr>
          <w:noProof/>
          <w:rtl/>
        </w:rPr>
        <w:pict>
          <v:line id="_x0000_s1148" style="position:absolute;left:0;text-align:left;z-index:251786240" from="477.85pt,19.15pt" to="504.85pt,106.2pt">
            <v:stroke endarrow="block"/>
            <w10:wrap anchorx="page"/>
          </v:line>
        </w:pict>
      </w:r>
      <w:r>
        <w:rPr>
          <w:noProof/>
          <w:rtl/>
        </w:rPr>
        <w:pict>
          <v:line id="_x0000_s1146" style="position:absolute;left:0;text-align:left;flip:y;z-index:251784192;mso-position-horizontal-relative:page" from="499.05pt,10.15pt" to="520.8pt,23.8pt" strokeweight="3pt">
            <v:stroke linestyle="thinThin"/>
            <w10:wrap anchorx="page"/>
          </v:line>
        </w:pict>
      </w:r>
      <w:r>
        <w:rPr>
          <w:noProof/>
          <w:rtl/>
        </w:rPr>
        <w:pict>
          <v:line id="_x0000_s1147" style="position:absolute;left:0;text-align:left;z-index:251785216" from="472.6pt,7.2pt" to="477.85pt,52.2pt">
            <v:stroke endarrow="block"/>
            <w10:wrap anchorx="page"/>
          </v:line>
        </w:pict>
      </w:r>
      <w:r>
        <w:rPr>
          <w:noProof/>
          <w:rtl/>
        </w:rPr>
        <w:pict>
          <v:line id="_x0000_s1143" style="position:absolute;left:0;text-align:left;z-index:251781120;mso-position-horizontal-relative:page" from="193.05pt,19.15pt" to="247.05pt,19.15pt">
            <w10:wrap anchorx="page"/>
          </v:line>
        </w:pict>
      </w:r>
      <w:r>
        <w:rPr>
          <w:noProof/>
          <w:rtl/>
        </w:rPr>
        <w:pict>
          <v:line id="_x0000_s1140" style="position:absolute;left:0;text-align:left;z-index:251778048;mso-position-horizontal-relative:page" from="445.05pt,19.15pt" to="499.05pt,19.15pt">
            <w10:wrap anchorx="page"/>
          </v:line>
        </w:pict>
      </w:r>
      <w:r w:rsidR="005366A8">
        <w:rPr>
          <w:rFonts w:hint="cs"/>
          <w:rtl/>
        </w:rPr>
        <w:t>היסוד"</w:t>
      </w:r>
      <w:r w:rsidR="005366A8">
        <w:rPr>
          <w:rtl/>
        </w:rPr>
        <w:tab/>
      </w:r>
      <w:r w:rsidR="005366A8">
        <w:rPr>
          <w:rtl/>
        </w:rPr>
        <w:tab/>
      </w:r>
      <w:r w:rsidR="005366A8">
        <w:rPr>
          <w:rFonts w:hint="cs"/>
          <w:rtl/>
        </w:rPr>
        <w:tab/>
      </w:r>
      <w:r w:rsidR="005366A8">
        <w:rPr>
          <w:rFonts w:hint="cs"/>
          <w:rtl/>
        </w:rPr>
        <w:tab/>
      </w:r>
      <w:r w:rsidR="005366A8">
        <w:rPr>
          <w:rFonts w:hint="cs"/>
          <w:rtl/>
        </w:rPr>
        <w:tab/>
      </w:r>
      <w:r w:rsidR="005366A8">
        <w:rPr>
          <w:rFonts w:hint="cs"/>
          <w:rtl/>
        </w:rPr>
        <w:tab/>
      </w:r>
      <w:r w:rsidR="005366A8">
        <w:rPr>
          <w:rFonts w:hint="cs"/>
          <w:rtl/>
        </w:rPr>
        <w:tab/>
        <w:t xml:space="preserve"> </w:t>
      </w:r>
      <w:r w:rsidR="005366A8">
        <w:rPr>
          <w:rFonts w:hint="cs"/>
          <w:rtl/>
        </w:rPr>
        <w:tab/>
        <w:t xml:space="preserve">         הכנסת</w:t>
      </w:r>
    </w:p>
    <w:p w:rsidR="005366A8" w:rsidRPr="006273C4" w:rsidRDefault="005D7968" w:rsidP="005366A8">
      <w:pPr>
        <w:spacing w:after="120" w:line="288" w:lineRule="auto"/>
        <w:rPr>
          <w:i/>
          <w:iCs/>
          <w:sz w:val="20"/>
          <w:szCs w:val="20"/>
          <w:rtl/>
        </w:rPr>
      </w:pPr>
      <w:r w:rsidRPr="005D7968">
        <w:rPr>
          <w:rtl/>
        </w:rPr>
        <w:pict>
          <v:line id="_x0000_s1135" style="position:absolute;left:0;text-align:left;flip:y;z-index:251772928;mso-position-horizontal-relative:page" from="409.05pt,9.95pt" to="428.25pt,16.35pt">
            <v:stroke endarrow="block"/>
            <w10:wrap anchorx="page"/>
          </v:line>
        </w:pict>
      </w:r>
      <w:r w:rsidRPr="005D7968">
        <w:rPr>
          <w:noProof/>
          <w:rtl/>
        </w:rPr>
        <w:pict>
          <v:line id="_x0000_s1145" style="position:absolute;left:0;text-align:left;z-index:251783168;mso-position-horizontal-relative:page" from="436.05pt,14.55pt" to="508.05pt,14.55pt">
            <w10:wrap anchorx="page"/>
          </v:line>
        </w:pict>
      </w:r>
      <w:r w:rsidR="005366A8">
        <w:rPr>
          <w:rtl/>
        </w:rPr>
        <w:tab/>
      </w:r>
      <w:r w:rsidR="005366A8" w:rsidRPr="006273C4">
        <w:rPr>
          <w:rFonts w:hint="cs"/>
          <w:i/>
          <w:iCs/>
          <w:sz w:val="20"/>
          <w:szCs w:val="20"/>
          <w:rtl/>
        </w:rPr>
        <w:t>"משפט מקובל נוסח ישראל"</w:t>
      </w:r>
      <w:r w:rsidR="005366A8" w:rsidRPr="006273C4">
        <w:rPr>
          <w:i/>
          <w:iCs/>
          <w:sz w:val="20"/>
          <w:szCs w:val="20"/>
          <w:rtl/>
        </w:rPr>
        <w:tab/>
      </w:r>
      <w:r w:rsidR="005366A8" w:rsidRPr="006273C4">
        <w:rPr>
          <w:i/>
          <w:iCs/>
          <w:sz w:val="20"/>
          <w:szCs w:val="20"/>
          <w:rtl/>
        </w:rPr>
        <w:tab/>
      </w:r>
      <w:r w:rsidR="005366A8" w:rsidRPr="006273C4">
        <w:rPr>
          <w:i/>
          <w:iCs/>
          <w:sz w:val="20"/>
          <w:szCs w:val="20"/>
          <w:rtl/>
        </w:rPr>
        <w:tab/>
      </w:r>
      <w:r w:rsidR="005366A8" w:rsidRPr="006273C4">
        <w:rPr>
          <w:i/>
          <w:iCs/>
          <w:sz w:val="20"/>
          <w:szCs w:val="20"/>
          <w:rtl/>
        </w:rPr>
        <w:tab/>
        <w:t xml:space="preserve">         </w:t>
      </w:r>
    </w:p>
    <w:p w:rsidR="005366A8" w:rsidRDefault="005D7968" w:rsidP="005366A8">
      <w:pPr>
        <w:rPr>
          <w:rtl/>
        </w:rPr>
      </w:pPr>
      <w:r>
        <w:rPr>
          <w:rtl/>
        </w:rPr>
        <w:pict>
          <v:line id="_x0000_s1133" style="position:absolute;left:0;text-align:left;z-index:251770880;mso-position-horizontal-relative:page" from="400.05pt,19.05pt" to="400.05pt,64.45pt">
            <v:stroke startarrow="block" endarrow="block"/>
            <w10:wrap anchorx="page"/>
          </v:line>
        </w:pict>
      </w:r>
      <w:r>
        <w:rPr>
          <w:rtl/>
        </w:rPr>
        <w:pict>
          <v:line id="_x0000_s1132" style="position:absolute;left:0;text-align:left;z-index:251769856;mso-position-horizontal-relative:page" from="409.05pt,15.3pt" to="450.45pt,25.65pt" o:allowincell="f">
            <v:stroke startarrow="block" endarrow="block"/>
            <w10:wrap anchorx="page"/>
          </v:line>
        </w:pict>
      </w:r>
      <w:r>
        <w:rPr>
          <w:rtl/>
        </w:rPr>
        <w:pict>
          <v:line id="_x0000_s1131" style="position:absolute;left:0;text-align:left;flip:y;z-index:251768832;mso-position-horizontal-relative:page" from="409.05pt,8.25pt" to="445.05pt,10.05pt" o:allowincell="f">
            <v:stroke startarrow="block" endarrow="block"/>
            <w10:wrap anchorx="page"/>
          </v:line>
        </w:pict>
      </w:r>
      <w:r>
        <w:rPr>
          <w:rtl/>
        </w:rPr>
        <w:pict>
          <v:line id="_x0000_s1137" style="position:absolute;left:0;text-align:left;flip:x;z-index:251774976;mso-position-horizontal-relative:page" from="238.05pt,7.05pt" to="280.8pt,10.05pt">
            <v:stroke endarrow="block"/>
            <w10:wrap anchorx="page"/>
          </v:line>
        </w:pict>
      </w:r>
      <w:r>
        <w:rPr>
          <w:rtl/>
        </w:rPr>
        <w:pict>
          <v:line id="_x0000_s1138" style="position:absolute;left:0;text-align:left;flip:x;z-index:251776000;mso-position-horizontal-relative:page" from="238.05pt,19.05pt" to="292.05pt,55.65pt">
            <v:stroke endarrow="block"/>
            <w10:wrap anchorx="page"/>
          </v:line>
        </w:pict>
      </w:r>
      <w:r>
        <w:rPr>
          <w:noProof/>
          <w:rtl/>
        </w:rPr>
        <w:pict>
          <v:line id="_x0000_s1142" style="position:absolute;left:0;text-align:left;z-index:251780096;mso-position-horizontal-relative:page" from="418.05pt,19.05pt" to="526.05pt,19.05pt">
            <w10:wrap anchorx="page"/>
          </v:line>
        </w:pict>
      </w:r>
      <w:r w:rsidR="005366A8">
        <w:rPr>
          <w:rtl/>
        </w:rPr>
        <w:tab/>
      </w:r>
      <w:r w:rsidR="005366A8">
        <w:rPr>
          <w:rFonts w:hint="cs"/>
          <w:rtl/>
        </w:rPr>
        <w:t xml:space="preserve"> </w:t>
      </w:r>
      <w:r w:rsidR="005366A8">
        <w:rPr>
          <w:rtl/>
        </w:rPr>
        <w:t>תקנות</w:t>
      </w:r>
      <w:r w:rsidR="005366A8">
        <w:rPr>
          <w:rFonts w:hint="cs"/>
          <w:rtl/>
        </w:rPr>
        <w:t xml:space="preserve"> וחוקי-עזר</w:t>
      </w:r>
      <w:r w:rsidR="005366A8">
        <w:rPr>
          <w:rtl/>
        </w:rPr>
        <w:tab/>
        <w:t xml:space="preserve">         </w:t>
      </w:r>
      <w:r w:rsidR="005366A8">
        <w:rPr>
          <w:rtl/>
        </w:rPr>
        <w:tab/>
      </w:r>
      <w:r w:rsidR="005366A8">
        <w:rPr>
          <w:bdr w:val="single" w:sz="4" w:space="0" w:color="auto"/>
          <w:rtl/>
        </w:rPr>
        <w:t>פסקי דין</w:t>
      </w:r>
      <w:r w:rsidR="005366A8">
        <w:rPr>
          <w:bdr w:val="single" w:sz="4" w:space="0" w:color="auto"/>
          <w:rtl/>
        </w:rPr>
        <w:tab/>
      </w:r>
      <w:r w:rsidR="005366A8">
        <w:rPr>
          <w:rtl/>
        </w:rPr>
        <w:tab/>
      </w:r>
      <w:r w:rsidR="005366A8">
        <w:rPr>
          <w:bdr w:val="single" w:sz="4" w:space="0" w:color="auto"/>
          <w:rtl/>
        </w:rPr>
        <w:t>בתי המשפט</w:t>
      </w:r>
      <w:r w:rsidR="005366A8">
        <w:rPr>
          <w:rtl/>
        </w:rPr>
        <w:tab/>
      </w:r>
      <w:r w:rsidR="005366A8">
        <w:rPr>
          <w:rFonts w:hint="cs"/>
          <w:rtl/>
        </w:rPr>
        <w:tab/>
        <w:t>הממשלה</w:t>
      </w:r>
      <w:r w:rsidR="005366A8">
        <w:rPr>
          <w:rtl/>
        </w:rPr>
        <w:tab/>
      </w:r>
      <w:r w:rsidR="005366A8">
        <w:rPr>
          <w:rFonts w:hint="cs"/>
          <w:rtl/>
        </w:rPr>
        <w:t xml:space="preserve">, </w:t>
      </w:r>
    </w:p>
    <w:p w:rsidR="005366A8" w:rsidRDefault="005366A8" w:rsidP="005366A8">
      <w:pPr>
        <w:rPr>
          <w:rtl/>
        </w:rPr>
      </w:pPr>
      <w:r>
        <w:rPr>
          <w:rFonts w:hint="cs"/>
          <w:rtl/>
        </w:rPr>
        <w:t xml:space="preserve">                                                                                                         השלטון המקומי</w:t>
      </w:r>
    </w:p>
    <w:p w:rsidR="005366A8" w:rsidRDefault="005D7968" w:rsidP="005366A8">
      <w:pPr>
        <w:rPr>
          <w:rtl/>
        </w:rPr>
      </w:pPr>
      <w:r>
        <w:rPr>
          <w:rtl/>
        </w:rPr>
        <w:pict>
          <v:oval id="_x0000_s1134" style="position:absolute;left:0;text-align:left;margin-left:94.05pt;margin-top:21.85pt;width:186.75pt;height:36pt;z-index:251771904;mso-position-horizontal-relative:page" o:allowincell="f">
            <v:textbox style="mso-next-textbox:#_x0000_s1134">
              <w:txbxContent>
                <w:p w:rsidR="005366A8" w:rsidRPr="00E77B21" w:rsidRDefault="005366A8" w:rsidP="005366A8">
                  <w:pPr>
                    <w:rPr>
                      <w:b/>
                      <w:bCs/>
                      <w:rtl/>
                    </w:rPr>
                  </w:pPr>
                  <w:r w:rsidRPr="00E77B21">
                    <w:rPr>
                      <w:b/>
                      <w:bCs/>
                      <w:rtl/>
                    </w:rPr>
                    <w:t>בני החברה/ אזרחי המדינה</w:t>
                  </w:r>
                </w:p>
              </w:txbxContent>
            </v:textbox>
            <w10:wrap anchorx="page"/>
          </v:oval>
        </w:pict>
      </w:r>
      <w:r>
        <w:rPr>
          <w:noProof/>
          <w:rtl/>
        </w:rPr>
        <w:pict>
          <v:line id="_x0000_s1144" style="position:absolute;left:0;text-align:left;z-index:251782144;mso-position-horizontal-relative:page" from="166.05pt,17.85pt" to="274.05pt,17.85pt">
            <w10:wrap anchorx="page"/>
          </v:line>
        </w:pict>
      </w:r>
      <w:r w:rsidR="005366A8">
        <w:rPr>
          <w:rFonts w:hint="cs"/>
          <w:rtl/>
        </w:rPr>
        <w:t xml:space="preserve">        </w:t>
      </w:r>
      <w:r w:rsidR="005366A8">
        <w:rPr>
          <w:rtl/>
        </w:rPr>
        <w:t>צווים</w:t>
      </w:r>
      <w:r w:rsidR="005366A8">
        <w:rPr>
          <w:rFonts w:hint="cs"/>
          <w:rtl/>
        </w:rPr>
        <w:t xml:space="preserve"> ו"פעולות מינהל" אחרות   </w:t>
      </w:r>
      <w:r w:rsidR="005366A8">
        <w:rPr>
          <w:rtl/>
        </w:rPr>
        <w:tab/>
      </w:r>
      <w:r w:rsidR="005366A8">
        <w:rPr>
          <w:rtl/>
        </w:rPr>
        <w:tab/>
      </w:r>
      <w:r w:rsidR="005366A8">
        <w:rPr>
          <w:rtl/>
        </w:rPr>
        <w:tab/>
        <w:t xml:space="preserve">        </w:t>
      </w:r>
      <w:r w:rsidR="005366A8">
        <w:rPr>
          <w:rFonts w:hint="cs"/>
          <w:rtl/>
        </w:rPr>
        <w:t xml:space="preserve">   ורשויות המינהל האחרות</w:t>
      </w:r>
      <w:r w:rsidR="005366A8">
        <w:rPr>
          <w:rtl/>
        </w:rPr>
        <w:t xml:space="preserve"> </w:t>
      </w:r>
    </w:p>
    <w:p w:rsidR="005366A8" w:rsidRDefault="005D7968" w:rsidP="005366A8">
      <w:pPr>
        <w:spacing w:after="120" w:line="288" w:lineRule="auto"/>
        <w:rPr>
          <w:rtl/>
        </w:rPr>
      </w:pPr>
      <w:r>
        <w:rPr>
          <w:noProof/>
          <w:rtl/>
        </w:rPr>
        <w:pict>
          <v:line id="_x0000_s1141" style="position:absolute;left:0;text-align:left;z-index:251779072;mso-position-horizontal-relative:page" from="409.05pt,4.3pt" to="535.05pt,4.3pt">
            <w10:wrap anchorx="page"/>
          </v:line>
        </w:pict>
      </w:r>
    </w:p>
    <w:p w:rsidR="005366A8" w:rsidRDefault="005D7968" w:rsidP="005366A8">
      <w:pPr>
        <w:pStyle w:val="T-body"/>
        <w:spacing w:after="120"/>
        <w:rPr>
          <w:rtl/>
        </w:rPr>
      </w:pPr>
      <w:r>
        <w:rPr>
          <w:rtl/>
        </w:rPr>
        <w:pict>
          <v:line id="_x0000_s1130" style="position:absolute;left:0;text-align:left;flip:x y;z-index:251767808;mso-position-horizontal-relative:page" from="139.05pt,19.2pt" to="302.4pt,19.9pt" o:allowincell="f">
            <w10:wrap anchorx="page"/>
          </v:line>
        </w:pict>
      </w:r>
      <w:r>
        <w:rPr>
          <w:rtl/>
        </w:rPr>
        <w:pict>
          <v:line id="_x0000_s1128" style="position:absolute;left:0;text-align:left;flip:x;z-index:251765760;mso-position-horizontal-relative:page" from="388.8pt,20.55pt" to="561.6pt,20.55pt" o:allowincell="f">
            <w10:wrap anchorx="page"/>
          </v:line>
        </w:pict>
      </w:r>
      <w:r w:rsidR="005366A8">
        <w:rPr>
          <w:rtl/>
        </w:rPr>
        <w:t>נורמות ופעולות בתחום המשפט הפרטי</w:t>
      </w:r>
      <w:r w:rsidR="005366A8">
        <w:rPr>
          <w:rtl/>
        </w:rPr>
        <w:tab/>
      </w:r>
      <w:r w:rsidR="005366A8">
        <w:rPr>
          <w:rtl/>
        </w:rPr>
        <w:tab/>
      </w:r>
      <w:r w:rsidR="005366A8">
        <w:rPr>
          <w:rtl/>
        </w:rPr>
        <w:tab/>
      </w:r>
      <w:r w:rsidR="005366A8">
        <w:rPr>
          <w:rtl/>
        </w:rPr>
        <w:tab/>
      </w:r>
    </w:p>
    <w:p w:rsidR="005366A8" w:rsidRPr="00024E7B" w:rsidRDefault="005366A8" w:rsidP="005366A8">
      <w:pPr>
        <w:rPr>
          <w:sz w:val="22"/>
          <w:szCs w:val="22"/>
          <w:rtl/>
        </w:rPr>
      </w:pPr>
      <w:r>
        <w:rPr>
          <w:rtl/>
        </w:rPr>
        <w:tab/>
      </w:r>
      <w:r w:rsidRPr="00024E7B">
        <w:rPr>
          <w:rFonts w:ascii="Arial" w:hAnsi="Arial" w:cs="Arial"/>
          <w:b/>
          <w:bCs/>
          <w:sz w:val="22"/>
          <w:szCs w:val="22"/>
          <w:highlight w:val="yellow"/>
          <w:rtl/>
        </w:rPr>
        <w:t>פירמידת הנורמות</w:t>
      </w:r>
      <w:r w:rsidRPr="00024E7B">
        <w:rPr>
          <w:b/>
          <w:bCs/>
          <w:sz w:val="22"/>
          <w:szCs w:val="22"/>
          <w:rtl/>
        </w:rPr>
        <w:tab/>
      </w:r>
      <w:r w:rsidRPr="00024E7B">
        <w:rPr>
          <w:b/>
          <w:bCs/>
          <w:sz w:val="22"/>
          <w:szCs w:val="22"/>
          <w:rtl/>
        </w:rPr>
        <w:tab/>
      </w:r>
      <w:r w:rsidRPr="00024E7B">
        <w:rPr>
          <w:b/>
          <w:bCs/>
          <w:sz w:val="22"/>
          <w:szCs w:val="22"/>
          <w:rtl/>
        </w:rPr>
        <w:tab/>
      </w:r>
      <w:r w:rsidRPr="00024E7B">
        <w:rPr>
          <w:b/>
          <w:bCs/>
          <w:sz w:val="22"/>
          <w:szCs w:val="22"/>
          <w:rtl/>
        </w:rPr>
        <w:tab/>
      </w:r>
      <w:r w:rsidRPr="00024E7B">
        <w:rPr>
          <w:b/>
          <w:bCs/>
          <w:sz w:val="22"/>
          <w:szCs w:val="22"/>
          <w:rtl/>
        </w:rPr>
        <w:tab/>
      </w:r>
      <w:r w:rsidRPr="00024E7B">
        <w:rPr>
          <w:rFonts w:ascii="Arial" w:hAnsi="Arial" w:cs="Arial"/>
          <w:b/>
          <w:bCs/>
          <w:sz w:val="22"/>
          <w:szCs w:val="22"/>
          <w:highlight w:val="yellow"/>
          <w:rtl/>
        </w:rPr>
        <w:t>פירמידת המוסדות</w:t>
      </w:r>
    </w:p>
    <w:p w:rsidR="005366A8" w:rsidRDefault="005366A8" w:rsidP="005366A8">
      <w:pPr>
        <w:rPr>
          <w:rFonts w:ascii="Arial" w:hAnsi="Arial" w:cs="Arial"/>
          <w:b/>
          <w:bCs/>
          <w:sz w:val="22"/>
          <w:szCs w:val="22"/>
          <w:rtl/>
        </w:rPr>
      </w:pPr>
    </w:p>
    <w:p w:rsidR="005366A8" w:rsidRDefault="005366A8" w:rsidP="005366A8">
      <w:pPr>
        <w:rPr>
          <w:sz w:val="22"/>
          <w:szCs w:val="22"/>
          <w:rtl/>
        </w:rPr>
      </w:pPr>
      <w:r w:rsidRPr="00230786">
        <w:rPr>
          <w:rFonts w:ascii="Arial" w:hAnsi="Arial" w:cs="Arial"/>
          <w:b/>
          <w:bCs/>
          <w:sz w:val="22"/>
          <w:szCs w:val="22"/>
          <w:rtl/>
        </w:rPr>
        <w:t>עקרון ההתאמה</w:t>
      </w:r>
    </w:p>
    <w:p w:rsidR="005366A8" w:rsidRPr="00E61C71" w:rsidRDefault="005366A8" w:rsidP="005366A8">
      <w:pPr>
        <w:spacing w:after="120"/>
        <w:ind w:left="720"/>
        <w:rPr>
          <w:sz w:val="22"/>
          <w:szCs w:val="22"/>
          <w:rtl/>
        </w:rPr>
      </w:pPr>
      <w:r w:rsidRPr="00E61C71">
        <w:rPr>
          <w:sz w:val="22"/>
          <w:szCs w:val="22"/>
          <w:rtl/>
        </w:rPr>
        <w:t xml:space="preserve">כל מוסד רשאי ליצור נורמה עיקרית מדרגה מסוימת אחת או נורמה שמשתייכת לדרגה נמוכה יותר. אולם בכל מקרה אין הוא רשאי לקבוע נורמה מדרגה גבוהה יותר. </w:t>
      </w:r>
    </w:p>
    <w:p w:rsidR="005366A8" w:rsidRPr="00B35FCC" w:rsidRDefault="005366A8" w:rsidP="005366A8">
      <w:pPr>
        <w:spacing w:after="120"/>
        <w:rPr>
          <w:rFonts w:ascii="Arial" w:hAnsi="Arial" w:cs="Arial"/>
          <w:b/>
          <w:bCs/>
          <w:sz w:val="22"/>
          <w:szCs w:val="22"/>
          <w:rtl/>
        </w:rPr>
      </w:pPr>
      <w:r w:rsidRPr="00B35FCC">
        <w:rPr>
          <w:rFonts w:ascii="Arial" w:hAnsi="Arial" w:cs="Arial"/>
          <w:b/>
          <w:bCs/>
          <w:sz w:val="22"/>
          <w:szCs w:val="22"/>
          <w:rtl/>
        </w:rPr>
        <w:t>עיקרון ההיררכיה</w:t>
      </w:r>
      <w:r w:rsidRPr="00B35FCC">
        <w:rPr>
          <w:rFonts w:ascii="Arial" w:hAnsi="Arial" w:cs="Arial"/>
          <w:sz w:val="22"/>
          <w:szCs w:val="22"/>
          <w:rtl/>
        </w:rPr>
        <w:t xml:space="preserve"> ו</w:t>
      </w:r>
      <w:r w:rsidRPr="00B35FCC">
        <w:rPr>
          <w:rFonts w:ascii="Arial" w:hAnsi="Arial" w:cs="Arial"/>
          <w:b/>
          <w:bCs/>
          <w:sz w:val="22"/>
          <w:szCs w:val="22"/>
          <w:rtl/>
        </w:rPr>
        <w:t xml:space="preserve">עיקרון ההסמכה </w:t>
      </w:r>
    </w:p>
    <w:p w:rsidR="005366A8" w:rsidRPr="00E61C71" w:rsidRDefault="005366A8" w:rsidP="005366A8">
      <w:pPr>
        <w:spacing w:after="120"/>
        <w:ind w:left="1440" w:hanging="720"/>
        <w:rPr>
          <w:sz w:val="22"/>
          <w:szCs w:val="22"/>
          <w:rtl/>
        </w:rPr>
      </w:pPr>
      <w:r w:rsidRPr="00E61C71">
        <w:rPr>
          <w:sz w:val="22"/>
          <w:szCs w:val="22"/>
          <w:rtl/>
        </w:rPr>
        <w:t xml:space="preserve">1. כדי שנורמה תהיה תקפה, היא צריכה להתקבל ע"י מוסד שהוסמך לכך, בנורמה גבוהה יותר. </w:t>
      </w:r>
    </w:p>
    <w:p w:rsidR="005366A8" w:rsidRPr="00A40D14" w:rsidRDefault="005366A8" w:rsidP="005366A8">
      <w:pPr>
        <w:pStyle w:val="T-body"/>
        <w:spacing w:line="240" w:lineRule="auto"/>
        <w:ind w:left="720"/>
        <w:rPr>
          <w:sz w:val="20"/>
          <w:szCs w:val="20"/>
          <w:rtl/>
        </w:rPr>
      </w:pPr>
      <w:r w:rsidRPr="00E61C71">
        <w:rPr>
          <w:sz w:val="22"/>
          <w:szCs w:val="22"/>
          <w:rtl/>
        </w:rPr>
        <w:t>2. כאשר יש סתירה בין שתי נורמות, ואין ביכולתנו למצוא דרך פרשנית ליישבן, נפעל לפי הגבוהה ביניהן.</w:t>
      </w:r>
      <w:r w:rsidRPr="00A40D14">
        <w:rPr>
          <w:sz w:val="20"/>
          <w:szCs w:val="20"/>
          <w:rtl/>
        </w:rPr>
        <w:t xml:space="preserve"> </w:t>
      </w:r>
    </w:p>
    <w:p w:rsidR="005366A8" w:rsidRDefault="005366A8" w:rsidP="005366A8">
      <w:pPr>
        <w:rPr>
          <w:sz w:val="22"/>
          <w:szCs w:val="22"/>
          <w:rtl/>
        </w:rPr>
      </w:pPr>
    </w:p>
    <w:p w:rsidR="005366A8" w:rsidRPr="009C2C46" w:rsidRDefault="005366A8" w:rsidP="005366A8">
      <w:pPr>
        <w:rPr>
          <w:sz w:val="22"/>
          <w:szCs w:val="22"/>
          <w:rtl/>
        </w:rPr>
      </w:pPr>
      <w:r w:rsidRPr="009C2C46">
        <w:rPr>
          <w:rFonts w:hint="cs"/>
          <w:sz w:val="22"/>
          <w:szCs w:val="22"/>
          <w:rtl/>
        </w:rPr>
        <w:t xml:space="preserve">=&gt; </w:t>
      </w:r>
      <w:r>
        <w:rPr>
          <w:rFonts w:hint="cs"/>
          <w:sz w:val="22"/>
          <w:szCs w:val="22"/>
          <w:rtl/>
        </w:rPr>
        <w:t xml:space="preserve">[קלזן:] </w:t>
      </w:r>
      <w:r w:rsidRPr="006E5A8C">
        <w:rPr>
          <w:rFonts w:hint="cs"/>
          <w:sz w:val="22"/>
          <w:szCs w:val="22"/>
          <w:highlight w:val="yellow"/>
          <w:rtl/>
        </w:rPr>
        <w:t>תקפותה של נורמה משפטית</w:t>
      </w:r>
      <w:r w:rsidRPr="009C2C46">
        <w:rPr>
          <w:rFonts w:hint="cs"/>
          <w:sz w:val="22"/>
          <w:szCs w:val="22"/>
          <w:rtl/>
        </w:rPr>
        <w:t xml:space="preserve"> מותנית בש</w:t>
      </w:r>
      <w:r>
        <w:rPr>
          <w:rFonts w:hint="cs"/>
          <w:sz w:val="22"/>
          <w:szCs w:val="22"/>
          <w:rtl/>
        </w:rPr>
        <w:t>ת</w:t>
      </w:r>
      <w:r w:rsidRPr="009C2C46">
        <w:rPr>
          <w:rFonts w:hint="cs"/>
          <w:sz w:val="22"/>
          <w:szCs w:val="22"/>
          <w:rtl/>
        </w:rPr>
        <w:t xml:space="preserve">יים: </w:t>
      </w:r>
      <w:r w:rsidRPr="00371CDC">
        <w:rPr>
          <w:rFonts w:hint="cs"/>
          <w:b/>
          <w:bCs/>
          <w:sz w:val="22"/>
          <w:szCs w:val="22"/>
          <w:rtl/>
        </w:rPr>
        <w:t>קבלתה מכוח הסמכות המתאימה</w:t>
      </w:r>
      <w:r w:rsidRPr="009C2C46">
        <w:rPr>
          <w:rFonts w:hint="cs"/>
          <w:sz w:val="22"/>
          <w:szCs w:val="22"/>
          <w:rtl/>
        </w:rPr>
        <w:t xml:space="preserve">, </w:t>
      </w:r>
      <w:r w:rsidRPr="00371CDC">
        <w:rPr>
          <w:rFonts w:hint="cs"/>
          <w:b/>
          <w:bCs/>
          <w:sz w:val="22"/>
          <w:szCs w:val="22"/>
          <w:rtl/>
        </w:rPr>
        <w:t xml:space="preserve">ושלא </w:t>
      </w:r>
      <w:r>
        <w:rPr>
          <w:rFonts w:hint="cs"/>
          <w:b/>
          <w:bCs/>
          <w:sz w:val="22"/>
          <w:szCs w:val="22"/>
          <w:rtl/>
        </w:rPr>
        <w:t>תסתור</w:t>
      </w:r>
      <w:r w:rsidRPr="00371CDC">
        <w:rPr>
          <w:rFonts w:hint="cs"/>
          <w:b/>
          <w:bCs/>
          <w:sz w:val="22"/>
          <w:szCs w:val="22"/>
          <w:rtl/>
        </w:rPr>
        <w:t xml:space="preserve"> נורמה </w:t>
      </w:r>
      <w:r>
        <w:rPr>
          <w:rFonts w:hint="cs"/>
          <w:b/>
          <w:bCs/>
          <w:sz w:val="22"/>
          <w:szCs w:val="22"/>
          <w:rtl/>
        </w:rPr>
        <w:t xml:space="preserve">שהיא </w:t>
      </w:r>
      <w:r w:rsidRPr="00371CDC">
        <w:rPr>
          <w:rFonts w:hint="cs"/>
          <w:b/>
          <w:bCs/>
          <w:sz w:val="22"/>
          <w:szCs w:val="22"/>
          <w:rtl/>
        </w:rPr>
        <w:t>גבוהה</w:t>
      </w:r>
      <w:r w:rsidRPr="009C2C46">
        <w:rPr>
          <w:rFonts w:hint="cs"/>
          <w:sz w:val="22"/>
          <w:szCs w:val="22"/>
          <w:rtl/>
        </w:rPr>
        <w:t xml:space="preserve"> ממנ</w:t>
      </w:r>
      <w:r>
        <w:rPr>
          <w:rFonts w:hint="cs"/>
          <w:sz w:val="22"/>
          <w:szCs w:val="22"/>
          <w:rtl/>
        </w:rPr>
        <w:t>ה</w:t>
      </w:r>
      <w:r w:rsidRPr="009C2C46">
        <w:rPr>
          <w:rFonts w:hint="cs"/>
          <w:sz w:val="22"/>
          <w:szCs w:val="22"/>
          <w:rtl/>
        </w:rPr>
        <w:t>.</w:t>
      </w:r>
    </w:p>
    <w:p w:rsidR="005366A8" w:rsidRDefault="005366A8" w:rsidP="005366A8">
      <w:pPr>
        <w:rPr>
          <w:sz w:val="22"/>
          <w:szCs w:val="22"/>
          <w:rtl/>
        </w:rPr>
      </w:pPr>
    </w:p>
    <w:p w:rsidR="005366A8" w:rsidRDefault="005366A8" w:rsidP="005366A8">
      <w:pPr>
        <w:rPr>
          <w:sz w:val="22"/>
          <w:szCs w:val="22"/>
          <w:rtl/>
        </w:rPr>
      </w:pPr>
      <w:r>
        <w:rPr>
          <w:rFonts w:hint="cs"/>
          <w:sz w:val="22"/>
          <w:szCs w:val="22"/>
          <w:rtl/>
        </w:rPr>
        <w:t>=-=</w:t>
      </w:r>
    </w:p>
    <w:p w:rsidR="005366A8" w:rsidRDefault="005366A8" w:rsidP="005366A8">
      <w:pPr>
        <w:rPr>
          <w:sz w:val="22"/>
          <w:szCs w:val="22"/>
          <w:rtl/>
        </w:rPr>
      </w:pPr>
      <w:r>
        <w:rPr>
          <w:rFonts w:hint="cs"/>
          <w:sz w:val="22"/>
          <w:szCs w:val="22"/>
          <w:u w:val="single"/>
          <w:rtl/>
        </w:rPr>
        <w:t>הדגמה</w:t>
      </w:r>
    </w:p>
    <w:p w:rsidR="005366A8" w:rsidRPr="00E61C71" w:rsidRDefault="005366A8" w:rsidP="005366A8">
      <w:pPr>
        <w:rPr>
          <w:sz w:val="22"/>
          <w:szCs w:val="22"/>
          <w:rtl/>
        </w:rPr>
      </w:pPr>
    </w:p>
    <w:p w:rsidR="005366A8" w:rsidRPr="00723C5F" w:rsidRDefault="005366A8" w:rsidP="005366A8">
      <w:pPr>
        <w:spacing w:after="60"/>
        <w:ind w:left="720" w:hanging="720"/>
        <w:rPr>
          <w:b/>
          <w:bCs/>
          <w:sz w:val="22"/>
          <w:szCs w:val="22"/>
          <w:rtl/>
        </w:rPr>
      </w:pPr>
      <w:r w:rsidRPr="00C33120">
        <w:rPr>
          <w:sz w:val="22"/>
          <w:szCs w:val="22"/>
          <w:rtl/>
        </w:rPr>
        <w:t>1.</w:t>
      </w:r>
      <w:r>
        <w:rPr>
          <w:sz w:val="22"/>
          <w:szCs w:val="22"/>
          <w:rtl/>
        </w:rPr>
        <w:t xml:space="preserve"> </w:t>
      </w:r>
      <w:r w:rsidRPr="00723C5F">
        <w:rPr>
          <w:b/>
          <w:bCs/>
          <w:sz w:val="22"/>
          <w:szCs w:val="22"/>
          <w:highlight w:val="yellow"/>
          <w:rtl/>
        </w:rPr>
        <w:t>כדי שנורמה תהיה תקפה, היא צריכה להתקבל ע"י מוסד שהוסמך לכך</w:t>
      </w:r>
      <w:r w:rsidRPr="00723C5F">
        <w:rPr>
          <w:rFonts w:hint="cs"/>
          <w:b/>
          <w:bCs/>
          <w:sz w:val="22"/>
          <w:szCs w:val="22"/>
          <w:highlight w:val="yellow"/>
          <w:rtl/>
        </w:rPr>
        <w:t xml:space="preserve">.  הסמכה זו ניתנת באמצעות </w:t>
      </w:r>
      <w:r w:rsidRPr="00723C5F">
        <w:rPr>
          <w:b/>
          <w:bCs/>
          <w:sz w:val="22"/>
          <w:szCs w:val="22"/>
          <w:highlight w:val="yellow"/>
          <w:rtl/>
        </w:rPr>
        <w:t>נורמה גבוהה יותר</w:t>
      </w:r>
      <w:r w:rsidRPr="00723C5F">
        <w:rPr>
          <w:b/>
          <w:bCs/>
          <w:sz w:val="22"/>
          <w:szCs w:val="22"/>
          <w:rtl/>
        </w:rPr>
        <w:t>.</w:t>
      </w:r>
      <w:r w:rsidRPr="00723C5F">
        <w:rPr>
          <w:rFonts w:hint="cs"/>
          <w:b/>
          <w:bCs/>
          <w:sz w:val="22"/>
          <w:szCs w:val="22"/>
          <w:rtl/>
        </w:rPr>
        <w:t xml:space="preserve">  </w:t>
      </w:r>
    </w:p>
    <w:p w:rsidR="005366A8" w:rsidRDefault="005366A8" w:rsidP="005366A8">
      <w:pPr>
        <w:spacing w:after="60"/>
        <w:ind w:left="1440" w:hanging="720"/>
        <w:rPr>
          <w:sz w:val="20"/>
          <w:szCs w:val="20"/>
          <w:rtl/>
        </w:rPr>
      </w:pPr>
      <w:r w:rsidRPr="00C33120">
        <w:rPr>
          <w:rFonts w:hint="cs"/>
          <w:sz w:val="20"/>
          <w:szCs w:val="20"/>
          <w:rtl/>
        </w:rPr>
        <w:t xml:space="preserve">למשל, </w:t>
      </w:r>
      <w:r w:rsidRPr="00723C5F">
        <w:rPr>
          <w:rFonts w:hint="cs"/>
          <w:b/>
          <w:bCs/>
          <w:sz w:val="20"/>
          <w:szCs w:val="20"/>
          <w:rtl/>
        </w:rPr>
        <w:t>חוק יסוד או חוק יסמיכו את הרשות המבצעת להתקין תקנות ולהוציא צווים ולבצע "פעולות מינהל"/</w:t>
      </w:r>
      <w:r>
        <w:rPr>
          <w:rFonts w:hint="cs"/>
          <w:sz w:val="20"/>
          <w:szCs w:val="20"/>
          <w:rtl/>
        </w:rPr>
        <w:t xml:space="preserve"> פעולות שלטוניות</w:t>
      </w:r>
      <w:r w:rsidRPr="00C33120">
        <w:rPr>
          <w:rFonts w:hint="cs"/>
          <w:sz w:val="20"/>
          <w:szCs w:val="20"/>
          <w:rtl/>
        </w:rPr>
        <w:t>.</w:t>
      </w:r>
      <w:r w:rsidRPr="00C33120">
        <w:rPr>
          <w:sz w:val="20"/>
          <w:szCs w:val="20"/>
          <w:rtl/>
        </w:rPr>
        <w:t xml:space="preserve"> </w:t>
      </w:r>
    </w:p>
    <w:p w:rsidR="005366A8" w:rsidRDefault="005366A8" w:rsidP="005366A8">
      <w:pPr>
        <w:spacing w:after="60"/>
        <w:ind w:left="1440" w:hanging="720"/>
        <w:rPr>
          <w:sz w:val="20"/>
          <w:szCs w:val="20"/>
          <w:rtl/>
        </w:rPr>
      </w:pPr>
      <w:r>
        <w:rPr>
          <w:rFonts w:hint="cs"/>
          <w:sz w:val="20"/>
          <w:szCs w:val="20"/>
          <w:rtl/>
        </w:rPr>
        <w:t>אם נחזור לדוגמא של רישיון העסק למסעדת "ספר-ריבז" וביטולו. [*ראו פירוט הוראות הדין בפגישה 2]:</w:t>
      </w:r>
    </w:p>
    <w:p w:rsidR="005366A8" w:rsidRDefault="005366A8" w:rsidP="005366A8">
      <w:pPr>
        <w:spacing w:after="60"/>
        <w:ind w:left="2160" w:hanging="720"/>
        <w:rPr>
          <w:sz w:val="20"/>
          <w:szCs w:val="20"/>
          <w:rtl/>
        </w:rPr>
      </w:pPr>
      <w:r w:rsidRPr="00081A1F">
        <w:rPr>
          <w:rFonts w:hint="cs"/>
          <w:sz w:val="20"/>
          <w:szCs w:val="20"/>
          <w:u w:val="single"/>
          <w:rtl/>
        </w:rPr>
        <w:t>רישיון העסק</w:t>
      </w:r>
      <w:r>
        <w:rPr>
          <w:rFonts w:hint="cs"/>
          <w:sz w:val="20"/>
          <w:szCs w:val="20"/>
          <w:rtl/>
        </w:rPr>
        <w:t xml:space="preserve"> שניתן למסעדה הוא </w:t>
      </w:r>
      <w:r w:rsidRPr="00D72C66">
        <w:rPr>
          <w:rFonts w:hint="cs"/>
          <w:b/>
          <w:bCs/>
          <w:sz w:val="20"/>
          <w:szCs w:val="20"/>
          <w:rtl/>
        </w:rPr>
        <w:t>"פעולת מינהל",</w:t>
      </w:r>
      <w:r>
        <w:rPr>
          <w:rFonts w:hint="cs"/>
          <w:sz w:val="20"/>
          <w:szCs w:val="20"/>
          <w:rtl/>
        </w:rPr>
        <w:t xml:space="preserve"> כך גם </w:t>
      </w:r>
      <w:r w:rsidRPr="00081A1F">
        <w:rPr>
          <w:rFonts w:hint="cs"/>
          <w:sz w:val="20"/>
          <w:szCs w:val="20"/>
          <w:u w:val="single"/>
          <w:rtl/>
        </w:rPr>
        <w:t>ביטול</w:t>
      </w:r>
      <w:r>
        <w:rPr>
          <w:rFonts w:hint="cs"/>
          <w:sz w:val="20"/>
          <w:szCs w:val="20"/>
          <w:rtl/>
        </w:rPr>
        <w:t xml:space="preserve"> רישיון העסק;</w:t>
      </w:r>
    </w:p>
    <w:p w:rsidR="005366A8" w:rsidRDefault="005366A8" w:rsidP="005366A8">
      <w:pPr>
        <w:spacing w:after="60"/>
        <w:ind w:left="2160" w:hanging="720"/>
        <w:rPr>
          <w:sz w:val="20"/>
          <w:szCs w:val="20"/>
          <w:rtl/>
        </w:rPr>
      </w:pPr>
      <w:r>
        <w:rPr>
          <w:rFonts w:hint="cs"/>
          <w:sz w:val="20"/>
          <w:szCs w:val="20"/>
          <w:rtl/>
        </w:rPr>
        <w:t xml:space="preserve">^ אך מהיכן יש תוקף לפעולת המינהל, כלומר, מהיכן לקוחה (בין היתר) הסמכות לתת רישיון-עסק והסמכות לשלול אותו? </w:t>
      </w:r>
    </w:p>
    <w:p w:rsidR="005366A8" w:rsidRDefault="005366A8" w:rsidP="005366A8">
      <w:pPr>
        <w:spacing w:after="60"/>
        <w:ind w:left="2880" w:hanging="720"/>
        <w:rPr>
          <w:sz w:val="20"/>
          <w:szCs w:val="20"/>
          <w:rtl/>
        </w:rPr>
      </w:pPr>
      <w:r>
        <w:rPr>
          <w:sz w:val="20"/>
          <w:szCs w:val="20"/>
          <w:rtl/>
        </w:rPr>
        <w:t>–</w:t>
      </w:r>
      <w:r>
        <w:rPr>
          <w:rFonts w:hint="cs"/>
          <w:sz w:val="20"/>
          <w:szCs w:val="20"/>
          <w:rtl/>
        </w:rPr>
        <w:t xml:space="preserve"> בין היתר, מכוח חקיקת-המשנה הבאה: </w:t>
      </w:r>
      <w:r w:rsidRPr="000963B0">
        <w:rPr>
          <w:rFonts w:hint="cs"/>
          <w:b/>
          <w:bCs/>
          <w:sz w:val="20"/>
          <w:szCs w:val="20"/>
          <w:rtl/>
        </w:rPr>
        <w:t>תקנות רישוי עסקים (תנאי תברואה נאותים לבתי אוכל), התשמ"ג-1983</w:t>
      </w:r>
      <w:r>
        <w:rPr>
          <w:rFonts w:hint="cs"/>
          <w:sz w:val="20"/>
          <w:szCs w:val="20"/>
          <w:rtl/>
        </w:rPr>
        <w:t>;</w:t>
      </w:r>
    </w:p>
    <w:p w:rsidR="005366A8" w:rsidRDefault="005366A8" w:rsidP="005366A8">
      <w:pPr>
        <w:spacing w:after="60"/>
        <w:ind w:left="2160" w:hanging="720"/>
        <w:rPr>
          <w:sz w:val="20"/>
          <w:szCs w:val="20"/>
          <w:rtl/>
        </w:rPr>
      </w:pPr>
      <w:r>
        <w:rPr>
          <w:rFonts w:hint="cs"/>
          <w:sz w:val="20"/>
          <w:szCs w:val="20"/>
          <w:rtl/>
        </w:rPr>
        <w:t xml:space="preserve">^ אך מהיכן הסמכות להתקין את התקנות? </w:t>
      </w:r>
    </w:p>
    <w:p w:rsidR="005366A8" w:rsidRDefault="005366A8" w:rsidP="005366A8">
      <w:pPr>
        <w:spacing w:after="60"/>
        <w:ind w:left="2880" w:hanging="720"/>
        <w:rPr>
          <w:sz w:val="20"/>
          <w:szCs w:val="20"/>
          <w:rtl/>
        </w:rPr>
      </w:pPr>
      <w:r>
        <w:rPr>
          <w:sz w:val="20"/>
          <w:szCs w:val="20"/>
          <w:rtl/>
        </w:rPr>
        <w:t>–</w:t>
      </w:r>
      <w:r>
        <w:rPr>
          <w:rFonts w:hint="cs"/>
          <w:sz w:val="20"/>
          <w:szCs w:val="20"/>
          <w:rtl/>
        </w:rPr>
        <w:t xml:space="preserve"> מכוח שני דברי חקיקה: </w:t>
      </w:r>
      <w:r w:rsidRPr="000963B0">
        <w:rPr>
          <w:rFonts w:hint="cs"/>
          <w:b/>
          <w:bCs/>
          <w:sz w:val="20"/>
          <w:szCs w:val="20"/>
          <w:rtl/>
        </w:rPr>
        <w:t>חוק רישוי עסקים, התשכ"ח-1968</w:t>
      </w:r>
      <w:r>
        <w:rPr>
          <w:rFonts w:hint="cs"/>
          <w:sz w:val="20"/>
          <w:szCs w:val="20"/>
          <w:rtl/>
        </w:rPr>
        <w:t xml:space="preserve"> ומכוח </w:t>
      </w:r>
      <w:r w:rsidRPr="000F40FF">
        <w:rPr>
          <w:rFonts w:hint="cs"/>
          <w:b/>
          <w:bCs/>
          <w:sz w:val="20"/>
          <w:szCs w:val="20"/>
          <w:rtl/>
        </w:rPr>
        <w:t>פקודת בריאות הציבור (מזון) [נוסח חדש], התשמ"ג-1983</w:t>
      </w:r>
    </w:p>
    <w:p w:rsidR="005366A8" w:rsidRDefault="005366A8" w:rsidP="005366A8">
      <w:pPr>
        <w:spacing w:after="60"/>
        <w:ind w:left="2160" w:hanging="720"/>
        <w:rPr>
          <w:b/>
          <w:bCs/>
          <w:sz w:val="20"/>
          <w:szCs w:val="20"/>
          <w:rtl/>
        </w:rPr>
      </w:pPr>
      <w:r>
        <w:rPr>
          <w:rFonts w:hint="cs"/>
          <w:sz w:val="20"/>
          <w:szCs w:val="20"/>
          <w:rtl/>
        </w:rPr>
        <w:t xml:space="preserve">^ אך האם החקיקה הזו עצמה תקפה? האם ההגבלה שהוטלה כאן על חופש העיסוק של אדם בעת שיבוא לעסוק במסעדנות תואמת נורמות/סייגים/'מסננים' חוקתיים? זו שאלה שאותה "המהפכה החוקתית" העלתה, ובענייננו </w:t>
      </w:r>
      <w:r w:rsidRPr="000963B0">
        <w:rPr>
          <w:rFonts w:hint="cs"/>
          <w:b/>
          <w:bCs/>
          <w:sz w:val="20"/>
          <w:szCs w:val="20"/>
          <w:rtl/>
        </w:rPr>
        <w:t>חוק יסוד: חופש העיסוק</w:t>
      </w:r>
      <w:r>
        <w:rPr>
          <w:rFonts w:hint="cs"/>
          <w:b/>
          <w:bCs/>
          <w:sz w:val="20"/>
          <w:szCs w:val="20"/>
          <w:rtl/>
        </w:rPr>
        <w:t>.</w:t>
      </w:r>
    </w:p>
    <w:p w:rsidR="005366A8" w:rsidRDefault="005366A8" w:rsidP="005366A8">
      <w:pPr>
        <w:spacing w:after="60"/>
        <w:ind w:left="2160" w:hanging="720"/>
        <w:rPr>
          <w:sz w:val="20"/>
          <w:szCs w:val="20"/>
          <w:rtl/>
        </w:rPr>
      </w:pPr>
      <w:r>
        <w:rPr>
          <w:rFonts w:hint="cs"/>
          <w:sz w:val="20"/>
          <w:szCs w:val="20"/>
          <w:rtl/>
        </w:rPr>
        <w:t xml:space="preserve">^ </w:t>
      </w:r>
      <w:r w:rsidRPr="002A583E">
        <w:rPr>
          <w:rFonts w:hint="cs"/>
          <w:sz w:val="20"/>
          <w:szCs w:val="20"/>
          <w:rtl/>
        </w:rPr>
        <w:t>אך מה מקור התוקף של חוק יסוד: חופש העיסוק</w:t>
      </w:r>
      <w:r>
        <w:rPr>
          <w:rFonts w:hint="cs"/>
          <w:sz w:val="20"/>
          <w:szCs w:val="20"/>
          <w:rtl/>
        </w:rPr>
        <w:t>? תשובה: הסמכות המכוננת של הכנסת.</w:t>
      </w:r>
    </w:p>
    <w:p w:rsidR="005366A8" w:rsidRDefault="005366A8" w:rsidP="005366A8">
      <w:pPr>
        <w:spacing w:after="60"/>
        <w:ind w:left="2160" w:hanging="720"/>
        <w:rPr>
          <w:sz w:val="20"/>
          <w:szCs w:val="20"/>
          <w:rtl/>
        </w:rPr>
      </w:pPr>
      <w:r>
        <w:rPr>
          <w:rFonts w:hint="cs"/>
          <w:sz w:val="20"/>
          <w:szCs w:val="20"/>
          <w:rtl/>
        </w:rPr>
        <w:t>^ מהיכן לקוחה הסמכות המכוננת של הכנסת? תשובה שאותה נראה בקרוב יותר מקרוב: ה"נורמה הבסיסית".</w:t>
      </w:r>
    </w:p>
    <w:p w:rsidR="005366A8" w:rsidRPr="002A583E" w:rsidRDefault="005366A8" w:rsidP="005366A8">
      <w:pPr>
        <w:ind w:left="2160" w:hanging="720"/>
        <w:rPr>
          <w:sz w:val="20"/>
          <w:szCs w:val="20"/>
          <w:rtl/>
        </w:rPr>
      </w:pPr>
    </w:p>
    <w:p w:rsidR="005366A8" w:rsidRPr="00723C5F" w:rsidRDefault="005366A8" w:rsidP="005366A8">
      <w:pPr>
        <w:pStyle w:val="T-body"/>
        <w:spacing w:after="120" w:line="240" w:lineRule="auto"/>
        <w:rPr>
          <w:b/>
          <w:bCs/>
          <w:sz w:val="20"/>
          <w:szCs w:val="20"/>
          <w:rtl/>
        </w:rPr>
      </w:pPr>
      <w:r w:rsidRPr="00E61C71">
        <w:rPr>
          <w:sz w:val="22"/>
          <w:szCs w:val="22"/>
          <w:rtl/>
        </w:rPr>
        <w:t xml:space="preserve">2. </w:t>
      </w:r>
      <w:r w:rsidRPr="00723C5F">
        <w:rPr>
          <w:b/>
          <w:bCs/>
          <w:sz w:val="22"/>
          <w:szCs w:val="22"/>
          <w:highlight w:val="yellow"/>
          <w:rtl/>
        </w:rPr>
        <w:t>כאשר יש סתירה בין שתי נורמות, ואין ביכולתנו למצוא דרך פרשנית ליישבן, נפעל לפי הגבוהה ביניהן</w:t>
      </w:r>
      <w:r w:rsidRPr="00723C5F">
        <w:rPr>
          <w:b/>
          <w:bCs/>
          <w:sz w:val="22"/>
          <w:szCs w:val="22"/>
          <w:rtl/>
        </w:rPr>
        <w:t>.</w:t>
      </w:r>
      <w:r w:rsidRPr="00723C5F">
        <w:rPr>
          <w:b/>
          <w:bCs/>
          <w:sz w:val="20"/>
          <w:szCs w:val="20"/>
          <w:rtl/>
        </w:rPr>
        <w:t xml:space="preserve"> </w:t>
      </w:r>
    </w:p>
    <w:p w:rsidR="005366A8" w:rsidRPr="00024E7B" w:rsidRDefault="005366A8" w:rsidP="005366A8">
      <w:pPr>
        <w:pStyle w:val="T-body"/>
        <w:spacing w:after="120" w:line="240" w:lineRule="auto"/>
        <w:ind w:left="720"/>
        <w:rPr>
          <w:i/>
          <w:iCs/>
          <w:sz w:val="22"/>
          <w:szCs w:val="22"/>
          <w:rtl/>
        </w:rPr>
      </w:pPr>
      <w:r w:rsidRPr="00723C5F">
        <w:rPr>
          <w:b/>
          <w:bCs/>
          <w:i/>
          <w:iCs/>
          <w:sz w:val="22"/>
          <w:szCs w:val="22"/>
          <w:highlight w:val="yellow"/>
          <w:u w:val="single"/>
          <w:rtl/>
        </w:rPr>
        <w:t>חריג חשוב</w:t>
      </w:r>
      <w:r w:rsidRPr="00723C5F">
        <w:rPr>
          <w:b/>
          <w:bCs/>
          <w:i/>
          <w:iCs/>
          <w:sz w:val="22"/>
          <w:szCs w:val="22"/>
          <w:rtl/>
        </w:rPr>
        <w:t xml:space="preserve">: אלא אם כן </w:t>
      </w:r>
      <w:r w:rsidRPr="00723C5F">
        <w:rPr>
          <w:b/>
          <w:bCs/>
          <w:i/>
          <w:iCs/>
          <w:sz w:val="22"/>
          <w:szCs w:val="22"/>
          <w:highlight w:val="yellow"/>
          <w:rtl/>
        </w:rPr>
        <w:t xml:space="preserve">נורמה גבוהה הסמיכה את </w:t>
      </w:r>
      <w:r w:rsidRPr="00723C5F">
        <w:rPr>
          <w:rFonts w:hint="cs"/>
          <w:b/>
          <w:bCs/>
          <w:i/>
          <w:iCs/>
          <w:sz w:val="22"/>
          <w:szCs w:val="22"/>
          <w:highlight w:val="yellow"/>
          <w:rtl/>
        </w:rPr>
        <w:t xml:space="preserve">הנורמה </w:t>
      </w:r>
      <w:r w:rsidRPr="00723C5F">
        <w:rPr>
          <w:b/>
          <w:bCs/>
          <w:i/>
          <w:iCs/>
          <w:sz w:val="22"/>
          <w:szCs w:val="22"/>
          <w:highlight w:val="yellow"/>
          <w:rtl/>
        </w:rPr>
        <w:t xml:space="preserve">הנמוכה לסתור את </w:t>
      </w:r>
      <w:r w:rsidRPr="00723C5F">
        <w:rPr>
          <w:rFonts w:hint="cs"/>
          <w:b/>
          <w:bCs/>
          <w:i/>
          <w:iCs/>
          <w:sz w:val="22"/>
          <w:szCs w:val="22"/>
          <w:highlight w:val="yellow"/>
          <w:rtl/>
        </w:rPr>
        <w:t xml:space="preserve">זו </w:t>
      </w:r>
      <w:r w:rsidRPr="00723C5F">
        <w:rPr>
          <w:b/>
          <w:bCs/>
          <w:i/>
          <w:iCs/>
          <w:sz w:val="22"/>
          <w:szCs w:val="22"/>
          <w:highlight w:val="yellow"/>
          <w:rtl/>
        </w:rPr>
        <w:t>הגבוהה ממנה</w:t>
      </w:r>
      <w:r w:rsidRPr="00F32677">
        <w:rPr>
          <w:i/>
          <w:iCs/>
          <w:sz w:val="22"/>
          <w:szCs w:val="22"/>
          <w:highlight w:val="yellow"/>
          <w:rtl/>
        </w:rPr>
        <w:t>.</w:t>
      </w:r>
      <w:r w:rsidRPr="00024E7B">
        <w:rPr>
          <w:i/>
          <w:iCs/>
          <w:sz w:val="22"/>
          <w:szCs w:val="22"/>
          <w:rtl/>
        </w:rPr>
        <w:t xml:space="preserve">  דוגמא: </w:t>
      </w:r>
    </w:p>
    <w:p w:rsidR="005366A8" w:rsidRPr="00BD340B" w:rsidRDefault="005366A8" w:rsidP="005366A8">
      <w:pPr>
        <w:pStyle w:val="T-body"/>
        <w:spacing w:line="240" w:lineRule="auto"/>
        <w:ind w:left="720"/>
        <w:rPr>
          <w:rFonts w:cs="David"/>
          <w:b/>
          <w:bCs/>
          <w:sz w:val="20"/>
          <w:szCs w:val="20"/>
          <w:rtl/>
        </w:rPr>
      </w:pPr>
      <w:r w:rsidRPr="00BD340B">
        <w:rPr>
          <w:rFonts w:cs="David" w:hint="cs"/>
          <w:b/>
          <w:bCs/>
          <w:sz w:val="20"/>
          <w:szCs w:val="20"/>
          <w:rtl/>
        </w:rPr>
        <w:t>חוק יסוד: הממשלה</w:t>
      </w:r>
    </w:p>
    <w:p w:rsidR="005366A8" w:rsidRPr="00BD340B" w:rsidRDefault="005366A8" w:rsidP="005366A8">
      <w:pPr>
        <w:pStyle w:val="T-body"/>
        <w:spacing w:line="240" w:lineRule="auto"/>
        <w:ind w:left="720"/>
        <w:rPr>
          <w:rFonts w:cs="David"/>
          <w:sz w:val="20"/>
          <w:szCs w:val="20"/>
          <w:rtl/>
        </w:rPr>
      </w:pPr>
      <w:r w:rsidRPr="00BD340B">
        <w:rPr>
          <w:rFonts w:cs="David"/>
          <w:sz w:val="20"/>
          <w:szCs w:val="20"/>
          <w:rtl/>
        </w:rPr>
        <w:t xml:space="preserve"> 38. </w:t>
      </w:r>
      <w:r>
        <w:rPr>
          <w:rFonts w:cs="David" w:hint="cs"/>
          <w:sz w:val="20"/>
          <w:szCs w:val="20"/>
          <w:rtl/>
        </w:rPr>
        <w:t>[</w:t>
      </w:r>
      <w:r w:rsidRPr="00BD340B">
        <w:rPr>
          <w:rFonts w:cs="David"/>
          <w:sz w:val="20"/>
          <w:szCs w:val="20"/>
          <w:rtl/>
        </w:rPr>
        <w:t>הכרזת מצב חירום</w:t>
      </w:r>
      <w:r>
        <w:rPr>
          <w:rFonts w:cs="David" w:hint="cs"/>
          <w:sz w:val="20"/>
          <w:szCs w:val="20"/>
          <w:rtl/>
        </w:rPr>
        <w:t>]</w:t>
      </w:r>
      <w:r w:rsidRPr="00BD340B">
        <w:rPr>
          <w:rFonts w:cs="David"/>
          <w:sz w:val="20"/>
          <w:szCs w:val="20"/>
          <w:rtl/>
        </w:rPr>
        <w:t xml:space="preserve"> </w:t>
      </w:r>
    </w:p>
    <w:p w:rsidR="005366A8" w:rsidRPr="00BD340B" w:rsidRDefault="005366A8" w:rsidP="005366A8">
      <w:pPr>
        <w:pStyle w:val="T-body"/>
        <w:spacing w:after="120" w:line="240" w:lineRule="auto"/>
        <w:ind w:left="1440"/>
        <w:rPr>
          <w:rFonts w:cs="David"/>
          <w:sz w:val="20"/>
          <w:szCs w:val="20"/>
          <w:rtl/>
        </w:rPr>
      </w:pPr>
      <w:r w:rsidRPr="00BD340B">
        <w:rPr>
          <w:rFonts w:cs="David"/>
          <w:sz w:val="20"/>
          <w:szCs w:val="20"/>
          <w:rtl/>
        </w:rPr>
        <w:t xml:space="preserve">(א) ראתה הכנסת שקיים במדינה מצב של חירום רשאית היא, ביוזמתה או על פי הצעת הממשלה, להכריז על מצב חירום. </w:t>
      </w:r>
      <w:r w:rsidRPr="00BD340B">
        <w:rPr>
          <w:rFonts w:cs="David" w:hint="cs"/>
          <w:sz w:val="20"/>
          <w:szCs w:val="20"/>
          <w:rtl/>
        </w:rPr>
        <w:t>[...]</w:t>
      </w:r>
    </w:p>
    <w:p w:rsidR="005366A8" w:rsidRPr="00BD340B" w:rsidRDefault="005366A8" w:rsidP="005366A8">
      <w:pPr>
        <w:pStyle w:val="T-body"/>
        <w:spacing w:line="240" w:lineRule="auto"/>
        <w:ind w:left="720"/>
        <w:rPr>
          <w:rFonts w:cs="David"/>
          <w:sz w:val="20"/>
          <w:szCs w:val="20"/>
          <w:rtl/>
        </w:rPr>
      </w:pPr>
      <w:r w:rsidRPr="00BD340B">
        <w:rPr>
          <w:rFonts w:cs="David"/>
          <w:sz w:val="20"/>
          <w:szCs w:val="20"/>
          <w:rtl/>
        </w:rPr>
        <w:t xml:space="preserve">39. </w:t>
      </w:r>
      <w:r>
        <w:rPr>
          <w:rFonts w:cs="David" w:hint="cs"/>
          <w:sz w:val="20"/>
          <w:szCs w:val="20"/>
          <w:rtl/>
        </w:rPr>
        <w:t>[</w:t>
      </w:r>
      <w:r w:rsidRPr="00BD340B">
        <w:rPr>
          <w:rFonts w:cs="David"/>
          <w:sz w:val="20"/>
          <w:szCs w:val="20"/>
          <w:rtl/>
        </w:rPr>
        <w:t xml:space="preserve">התקנת תקנות שעת חירום </w:t>
      </w:r>
      <w:r>
        <w:rPr>
          <w:rFonts w:cs="David" w:hint="cs"/>
          <w:sz w:val="20"/>
          <w:szCs w:val="20"/>
          <w:rtl/>
        </w:rPr>
        <w:t>]</w:t>
      </w:r>
    </w:p>
    <w:p w:rsidR="005366A8" w:rsidRPr="00BD340B" w:rsidRDefault="005366A8" w:rsidP="005366A8">
      <w:pPr>
        <w:pStyle w:val="T-body"/>
        <w:spacing w:after="60" w:line="240" w:lineRule="auto"/>
        <w:ind w:left="1440"/>
        <w:rPr>
          <w:rFonts w:cs="David"/>
          <w:sz w:val="20"/>
          <w:szCs w:val="20"/>
          <w:rtl/>
        </w:rPr>
      </w:pPr>
      <w:r w:rsidRPr="00BD340B">
        <w:rPr>
          <w:rFonts w:cs="David"/>
          <w:sz w:val="20"/>
          <w:szCs w:val="20"/>
          <w:rtl/>
        </w:rPr>
        <w:t xml:space="preserve">(א) במצב חירום רשאית הממשלה להתקין תקנות שעת חירום כדי להגן על המדינה, ביטחון הציבור וקיום האספקה והשירותים החיוניים; תקנות שעת חירום יונחו על שולחן ועדת החוץ והביטחון של הכנסת סמוך ככל האפשר לאחר התקנתן. </w:t>
      </w:r>
    </w:p>
    <w:p w:rsidR="005366A8" w:rsidRPr="00BD340B" w:rsidRDefault="005366A8" w:rsidP="005366A8">
      <w:pPr>
        <w:pStyle w:val="T-body"/>
        <w:spacing w:after="60" w:line="240" w:lineRule="auto"/>
        <w:ind w:left="1440"/>
        <w:rPr>
          <w:rFonts w:cs="David"/>
          <w:sz w:val="20"/>
          <w:szCs w:val="20"/>
          <w:rtl/>
        </w:rPr>
      </w:pPr>
      <w:r w:rsidRPr="00BD340B">
        <w:rPr>
          <w:rFonts w:cs="David" w:hint="cs"/>
          <w:sz w:val="20"/>
          <w:szCs w:val="20"/>
          <w:rtl/>
        </w:rPr>
        <w:t>[...]</w:t>
      </w:r>
    </w:p>
    <w:p w:rsidR="005366A8" w:rsidRPr="00F32677" w:rsidRDefault="005366A8" w:rsidP="005366A8">
      <w:pPr>
        <w:pStyle w:val="T-body"/>
        <w:spacing w:after="60" w:line="240" w:lineRule="auto"/>
        <w:ind w:left="1440"/>
        <w:rPr>
          <w:rFonts w:cs="David"/>
          <w:sz w:val="20"/>
          <w:szCs w:val="20"/>
          <w:rtl/>
        </w:rPr>
      </w:pPr>
      <w:r w:rsidRPr="00BD340B">
        <w:rPr>
          <w:rFonts w:cs="David"/>
          <w:sz w:val="20"/>
          <w:szCs w:val="20"/>
          <w:rtl/>
        </w:rPr>
        <w:t xml:space="preserve">(ג) </w:t>
      </w:r>
      <w:r w:rsidRPr="00BD340B">
        <w:rPr>
          <w:rFonts w:cs="David"/>
          <w:b/>
          <w:bCs/>
          <w:sz w:val="20"/>
          <w:szCs w:val="20"/>
          <w:rtl/>
        </w:rPr>
        <w:t>תקנות שעת חירום כוחן יפה לשנות כל חוק, להפקיע זמנית את תוקפו או לקבוע בו תנאים</w:t>
      </w:r>
      <w:r w:rsidRPr="00BD340B">
        <w:rPr>
          <w:rFonts w:cs="David"/>
          <w:sz w:val="20"/>
          <w:szCs w:val="20"/>
          <w:rtl/>
        </w:rPr>
        <w:t xml:space="preserve">, וכן להטיל או להגדיל מסים או תשלומי חובה אחרים, והכל זולת אם אין הוראה אחרת בחוק. </w:t>
      </w:r>
    </w:p>
    <w:p w:rsidR="005366A8" w:rsidRDefault="005366A8" w:rsidP="005366A8">
      <w:pPr>
        <w:pStyle w:val="T-body"/>
        <w:spacing w:after="60" w:line="240" w:lineRule="auto"/>
        <w:ind w:left="1440"/>
        <w:rPr>
          <w:rFonts w:cs="David"/>
          <w:snapToGrid w:val="0"/>
          <w:sz w:val="20"/>
          <w:szCs w:val="20"/>
          <w:rtl/>
        </w:rPr>
      </w:pPr>
      <w:r w:rsidRPr="00F32677">
        <w:rPr>
          <w:rFonts w:cs="David"/>
          <w:snapToGrid w:val="0"/>
          <w:sz w:val="20"/>
          <w:szCs w:val="20"/>
          <w:rtl/>
        </w:rPr>
        <w:t>(ד)   אין בכוחן של תקנות שעת-חירום למנוע פניה לערכאות, לקבוע ענישה למפרע, או להתיר פגיעה בכבוד האדם.</w:t>
      </w:r>
    </w:p>
    <w:p w:rsidR="005366A8" w:rsidRDefault="005366A8" w:rsidP="005366A8">
      <w:pPr>
        <w:pStyle w:val="T-body"/>
        <w:spacing w:after="60" w:line="240" w:lineRule="auto"/>
        <w:ind w:left="1440"/>
        <w:rPr>
          <w:rFonts w:cs="David"/>
          <w:snapToGrid w:val="0"/>
          <w:sz w:val="20"/>
          <w:szCs w:val="20"/>
          <w:rtl/>
        </w:rPr>
      </w:pPr>
      <w:r w:rsidRPr="00F32677">
        <w:rPr>
          <w:rFonts w:cs="David"/>
          <w:snapToGrid w:val="0"/>
          <w:sz w:val="20"/>
          <w:szCs w:val="20"/>
          <w:rtl/>
        </w:rPr>
        <w:t>(ה)  לא יותקנו תקנות שעת-חירום ולא יופעלו מכוחן הסדרים, אמצעים וסמכויות, אלא במידה שמצב החירום מחייב זאת.</w:t>
      </w:r>
    </w:p>
    <w:p w:rsidR="005366A8" w:rsidRPr="00F32677" w:rsidRDefault="005366A8" w:rsidP="005366A8">
      <w:pPr>
        <w:pStyle w:val="T-body"/>
        <w:spacing w:after="60" w:line="240" w:lineRule="auto"/>
        <w:ind w:left="1440"/>
        <w:rPr>
          <w:rFonts w:cs="David"/>
          <w:sz w:val="20"/>
          <w:szCs w:val="20"/>
          <w:rtl/>
        </w:rPr>
      </w:pPr>
      <w:r w:rsidRPr="00F32677">
        <w:rPr>
          <w:rFonts w:cs="David"/>
          <w:snapToGrid w:val="0"/>
          <w:sz w:val="20"/>
          <w:szCs w:val="20"/>
          <w:rtl/>
        </w:rPr>
        <w:t>(ו)  תוקפן של תקנות שעת-חירום יפקע כעבור שלושה חדשים מיום התקנתן, זולת אם הוארך תוקפן בחוק, או שבוטלו על-ידי הכנסת בחוק או בהחלטה של רוב חברי הכנסת.  [</w:t>
      </w:r>
      <w:r w:rsidRPr="00F32677">
        <w:rPr>
          <w:rFonts w:cs="David"/>
          <w:snapToGrid w:val="0"/>
          <w:sz w:val="20"/>
          <w:szCs w:val="20"/>
        </w:rPr>
        <w:t>…</w:t>
      </w:r>
      <w:r w:rsidRPr="00F32677">
        <w:rPr>
          <w:rFonts w:cs="David"/>
          <w:snapToGrid w:val="0"/>
          <w:sz w:val="20"/>
          <w:szCs w:val="20"/>
          <w:rtl/>
        </w:rPr>
        <w:t>]</w:t>
      </w:r>
      <w:r w:rsidRPr="00F32677">
        <w:rPr>
          <w:rFonts w:cs="David" w:hint="cs"/>
          <w:sz w:val="20"/>
          <w:szCs w:val="20"/>
          <w:rtl/>
        </w:rPr>
        <w:t xml:space="preserve"> </w:t>
      </w:r>
    </w:p>
    <w:p w:rsidR="005366A8" w:rsidRPr="00A40D14" w:rsidRDefault="005366A8" w:rsidP="005366A8">
      <w:pPr>
        <w:pStyle w:val="T-body"/>
        <w:spacing w:line="240" w:lineRule="auto"/>
        <w:ind w:left="720"/>
        <w:rPr>
          <w:sz w:val="20"/>
          <w:szCs w:val="20"/>
          <w:rtl/>
        </w:rPr>
      </w:pPr>
    </w:p>
    <w:p w:rsidR="005366A8" w:rsidRDefault="005366A8" w:rsidP="005366A8">
      <w:pPr>
        <w:rPr>
          <w:sz w:val="22"/>
          <w:szCs w:val="22"/>
          <w:rtl/>
        </w:rPr>
      </w:pPr>
      <w:r>
        <w:rPr>
          <w:rFonts w:hint="cs"/>
          <w:sz w:val="22"/>
          <w:szCs w:val="22"/>
          <w:rtl/>
        </w:rPr>
        <w:t>=-=</w:t>
      </w:r>
    </w:p>
    <w:p w:rsidR="005366A8" w:rsidRPr="00723C5F" w:rsidRDefault="005366A8" w:rsidP="005366A8">
      <w:pPr>
        <w:spacing w:after="120"/>
        <w:jc w:val="center"/>
        <w:rPr>
          <w:b/>
          <w:bCs/>
          <w:i/>
          <w:iCs/>
          <w:sz w:val="22"/>
          <w:szCs w:val="22"/>
          <w:u w:val="single"/>
          <w:rtl/>
        </w:rPr>
      </w:pPr>
      <w:r w:rsidRPr="00723C5F">
        <w:rPr>
          <w:rFonts w:hint="cs"/>
          <w:b/>
          <w:bCs/>
          <w:i/>
          <w:iCs/>
          <w:sz w:val="22"/>
          <w:szCs w:val="22"/>
          <w:u w:val="single"/>
          <w:rtl/>
        </w:rPr>
        <w:t>פס"ד בז'רנו</w:t>
      </w:r>
    </w:p>
    <w:p w:rsidR="005366A8" w:rsidRPr="00593190" w:rsidRDefault="005366A8" w:rsidP="005366A8">
      <w:pPr>
        <w:rPr>
          <w:rFonts w:ascii="Arial" w:hAnsi="Arial" w:cs="Arial"/>
          <w:b/>
          <w:bCs/>
          <w:sz w:val="20"/>
          <w:szCs w:val="20"/>
          <w:rtl/>
        </w:rPr>
      </w:pPr>
      <w:r w:rsidRPr="00593190">
        <w:rPr>
          <w:rFonts w:hint="cs"/>
          <w:sz w:val="20"/>
          <w:szCs w:val="20"/>
          <w:rtl/>
        </w:rPr>
        <w:t xml:space="preserve">פס"ד </w:t>
      </w:r>
      <w:r w:rsidRPr="00593190">
        <w:rPr>
          <w:rFonts w:hint="cs"/>
          <w:b/>
          <w:bCs/>
          <w:sz w:val="20"/>
          <w:szCs w:val="20"/>
          <w:rtl/>
        </w:rPr>
        <w:t>בז'רנו</w:t>
      </w:r>
      <w:r w:rsidRPr="00593190">
        <w:rPr>
          <w:rFonts w:hint="cs"/>
          <w:sz w:val="20"/>
          <w:szCs w:val="20"/>
          <w:rtl/>
        </w:rPr>
        <w:t xml:space="preserve"> אותו התבקשתם לקרוא להיום: </w:t>
      </w:r>
      <w:r w:rsidRPr="00593190">
        <w:rPr>
          <w:rFonts w:ascii="Arial" w:hAnsi="Arial" w:cs="Arial" w:hint="cs"/>
          <w:sz w:val="20"/>
          <w:szCs w:val="20"/>
          <w:rtl/>
        </w:rPr>
        <w:t xml:space="preserve">מבטא/ מצהיר על </w:t>
      </w:r>
      <w:r w:rsidRPr="00593190">
        <w:rPr>
          <w:rFonts w:ascii="Arial" w:hAnsi="Arial" w:cs="Arial"/>
          <w:b/>
          <w:bCs/>
          <w:sz w:val="20"/>
          <w:szCs w:val="20"/>
          <w:rtl/>
        </w:rPr>
        <w:t>עקרון ההסמכה</w:t>
      </w:r>
      <w:r w:rsidRPr="00593190">
        <w:rPr>
          <w:rFonts w:ascii="Arial" w:hAnsi="Arial" w:cs="Arial" w:hint="cs"/>
          <w:sz w:val="20"/>
          <w:szCs w:val="20"/>
          <w:rtl/>
        </w:rPr>
        <w:t xml:space="preserve"> בהקשרה של פירמידת המוסדות</w:t>
      </w:r>
      <w:r w:rsidRPr="00593190">
        <w:rPr>
          <w:rFonts w:ascii="Arial" w:hAnsi="Arial" w:cs="Arial"/>
          <w:sz w:val="20"/>
          <w:szCs w:val="20"/>
          <w:rtl/>
        </w:rPr>
        <w:t xml:space="preserve"> =</w:t>
      </w:r>
      <w:r w:rsidRPr="00593190">
        <w:rPr>
          <w:rFonts w:ascii="Arial" w:hAnsi="Arial" w:cs="Arial"/>
          <w:b/>
          <w:bCs/>
          <w:sz w:val="20"/>
          <w:szCs w:val="20"/>
          <w:rtl/>
        </w:rPr>
        <w:t xml:space="preserve"> </w:t>
      </w:r>
    </w:p>
    <w:p w:rsidR="005366A8" w:rsidRPr="00593190" w:rsidRDefault="005366A8" w:rsidP="005366A8">
      <w:pPr>
        <w:spacing w:after="120"/>
        <w:ind w:left="1440" w:hanging="720"/>
        <w:rPr>
          <w:sz w:val="20"/>
          <w:szCs w:val="20"/>
          <w:rtl/>
        </w:rPr>
      </w:pPr>
      <w:r w:rsidRPr="00593190">
        <w:rPr>
          <w:rFonts w:hint="cs"/>
          <w:sz w:val="20"/>
          <w:szCs w:val="20"/>
          <w:rtl/>
        </w:rPr>
        <w:t xml:space="preserve">בפסה"ד </w:t>
      </w:r>
      <w:r w:rsidRPr="00593190">
        <w:rPr>
          <w:sz w:val="20"/>
          <w:szCs w:val="20"/>
          <w:rtl/>
        </w:rPr>
        <w:t>מכונה</w:t>
      </w:r>
      <w:r w:rsidRPr="00593190">
        <w:rPr>
          <w:rFonts w:hint="cs"/>
          <w:sz w:val="20"/>
          <w:szCs w:val="20"/>
          <w:rtl/>
        </w:rPr>
        <w:t xml:space="preserve"> עקרון </w:t>
      </w:r>
      <w:r>
        <w:rPr>
          <w:rFonts w:hint="cs"/>
          <w:sz w:val="20"/>
          <w:szCs w:val="20"/>
          <w:rtl/>
        </w:rPr>
        <w:t xml:space="preserve">ההסמכה </w:t>
      </w:r>
      <w:r>
        <w:rPr>
          <w:sz w:val="20"/>
          <w:szCs w:val="20"/>
          <w:rtl/>
        </w:rPr>
        <w:t>–</w:t>
      </w:r>
      <w:r>
        <w:rPr>
          <w:rFonts w:hint="cs"/>
          <w:sz w:val="20"/>
          <w:szCs w:val="20"/>
          <w:rtl/>
        </w:rPr>
        <w:t xml:space="preserve"> </w:t>
      </w:r>
      <w:r w:rsidRPr="00593190">
        <w:rPr>
          <w:rFonts w:ascii="Arial" w:hAnsi="Arial" w:cs="Arial"/>
          <w:b/>
          <w:bCs/>
          <w:sz w:val="20"/>
          <w:szCs w:val="20"/>
          <w:rtl/>
        </w:rPr>
        <w:t>עקרון החוקיות</w:t>
      </w:r>
      <w:r w:rsidRPr="00593190">
        <w:rPr>
          <w:rFonts w:hint="cs"/>
          <w:b/>
          <w:bCs/>
          <w:sz w:val="20"/>
          <w:szCs w:val="20"/>
          <w:rtl/>
        </w:rPr>
        <w:t>:</w:t>
      </w:r>
      <w:r w:rsidRPr="00593190">
        <w:rPr>
          <w:rFonts w:hint="cs"/>
          <w:sz w:val="20"/>
          <w:szCs w:val="20"/>
          <w:rtl/>
        </w:rPr>
        <w:t xml:space="preserve"> </w:t>
      </w:r>
    </w:p>
    <w:p w:rsidR="005366A8" w:rsidRPr="00593190" w:rsidRDefault="005366A8" w:rsidP="005366A8">
      <w:pPr>
        <w:spacing w:after="120"/>
        <w:ind w:left="2160" w:hanging="720"/>
        <w:rPr>
          <w:sz w:val="20"/>
          <w:szCs w:val="20"/>
          <w:rtl/>
        </w:rPr>
      </w:pPr>
      <w:r w:rsidRPr="00593190">
        <w:rPr>
          <w:rFonts w:hint="cs"/>
          <w:sz w:val="20"/>
          <w:szCs w:val="20"/>
          <w:highlight w:val="yellow"/>
          <w:rtl/>
        </w:rPr>
        <w:t>רשות שלטונית לא יכולה לעשות אלא את שהוסמכה באופן תקף לעשותו</w:t>
      </w:r>
      <w:r w:rsidRPr="00593190">
        <w:rPr>
          <w:rFonts w:hint="cs"/>
          <w:sz w:val="20"/>
          <w:szCs w:val="20"/>
          <w:rtl/>
        </w:rPr>
        <w:t xml:space="preserve"> </w:t>
      </w:r>
    </w:p>
    <w:p w:rsidR="005366A8" w:rsidRPr="00593190" w:rsidRDefault="005366A8" w:rsidP="005366A8">
      <w:pPr>
        <w:spacing w:after="120"/>
        <w:ind w:left="720"/>
        <w:rPr>
          <w:sz w:val="20"/>
          <w:szCs w:val="20"/>
          <w:rtl/>
        </w:rPr>
      </w:pPr>
      <w:r w:rsidRPr="00593190">
        <w:rPr>
          <w:sz w:val="20"/>
          <w:szCs w:val="20"/>
          <w:rtl/>
        </w:rPr>
        <w:t>ו</w:t>
      </w:r>
      <w:r w:rsidRPr="00593190">
        <w:rPr>
          <w:rFonts w:hint="cs"/>
          <w:sz w:val="20"/>
          <w:szCs w:val="20"/>
          <w:rtl/>
        </w:rPr>
        <w:t xml:space="preserve">בפסק הדין יש </w:t>
      </w:r>
      <w:r w:rsidRPr="00593190">
        <w:rPr>
          <w:sz w:val="20"/>
          <w:szCs w:val="20"/>
          <w:rtl/>
        </w:rPr>
        <w:t>ביטוי חשוב ל</w:t>
      </w:r>
      <w:r w:rsidRPr="00593190">
        <w:rPr>
          <w:rFonts w:ascii="Arial" w:hAnsi="Arial" w:cs="Arial"/>
          <w:b/>
          <w:bCs/>
          <w:sz w:val="20"/>
          <w:szCs w:val="20"/>
          <w:rtl/>
        </w:rPr>
        <w:t>עקרון החירות</w:t>
      </w:r>
      <w:r w:rsidRPr="00593190">
        <w:rPr>
          <w:rFonts w:hint="cs"/>
          <w:sz w:val="20"/>
          <w:szCs w:val="20"/>
          <w:rtl/>
        </w:rPr>
        <w:t xml:space="preserve">: </w:t>
      </w:r>
      <w:r w:rsidRPr="00593190">
        <w:rPr>
          <w:rFonts w:hint="cs"/>
          <w:sz w:val="20"/>
          <w:szCs w:val="20"/>
          <w:highlight w:val="yellow"/>
          <w:rtl/>
        </w:rPr>
        <w:t xml:space="preserve">הפרט יכול לעשות כל מה שלא הוגבל </w:t>
      </w:r>
      <w:r w:rsidRPr="00593190">
        <w:rPr>
          <w:sz w:val="20"/>
          <w:szCs w:val="20"/>
          <w:highlight w:val="yellow"/>
          <w:rtl/>
        </w:rPr>
        <w:t>–</w:t>
      </w:r>
      <w:r w:rsidRPr="00593190">
        <w:rPr>
          <w:rFonts w:hint="cs"/>
          <w:sz w:val="20"/>
          <w:szCs w:val="20"/>
          <w:highlight w:val="yellow"/>
          <w:rtl/>
        </w:rPr>
        <w:t xml:space="preserve"> באורח תקף </w:t>
      </w:r>
      <w:r w:rsidRPr="00593190">
        <w:rPr>
          <w:sz w:val="20"/>
          <w:szCs w:val="20"/>
          <w:highlight w:val="yellow"/>
          <w:rtl/>
        </w:rPr>
        <w:t>–</w:t>
      </w:r>
      <w:r w:rsidRPr="00593190">
        <w:rPr>
          <w:rFonts w:hint="cs"/>
          <w:sz w:val="20"/>
          <w:szCs w:val="20"/>
          <w:highlight w:val="yellow"/>
          <w:rtl/>
        </w:rPr>
        <w:t xml:space="preserve"> מלעשותו</w:t>
      </w:r>
      <w:r w:rsidRPr="00593190">
        <w:rPr>
          <w:rFonts w:hint="cs"/>
          <w:sz w:val="20"/>
          <w:szCs w:val="20"/>
          <w:rtl/>
        </w:rPr>
        <w:t xml:space="preserve"> </w:t>
      </w:r>
    </w:p>
    <w:p w:rsidR="005366A8" w:rsidRPr="00DB343C" w:rsidRDefault="005366A8" w:rsidP="005366A8">
      <w:pPr>
        <w:rPr>
          <w:b/>
          <w:bCs/>
          <w:sz w:val="22"/>
          <w:szCs w:val="22"/>
          <w:rtl/>
        </w:rPr>
      </w:pPr>
      <w:r>
        <w:rPr>
          <w:rFonts w:hint="cs"/>
          <w:b/>
          <w:bCs/>
          <w:sz w:val="22"/>
          <w:szCs w:val="22"/>
          <w:highlight w:val="yellow"/>
          <w:rtl/>
        </w:rPr>
        <w:t xml:space="preserve">-&gt; </w:t>
      </w:r>
      <w:r w:rsidRPr="00C40AFE">
        <w:rPr>
          <w:rFonts w:hint="cs"/>
          <w:b/>
          <w:bCs/>
          <w:sz w:val="22"/>
          <w:szCs w:val="22"/>
          <w:highlight w:val="yellow"/>
          <w:rtl/>
        </w:rPr>
        <w:t>אך מהם העקרונות הללו?</w:t>
      </w:r>
    </w:p>
    <w:p w:rsidR="005366A8" w:rsidRPr="00DB343C" w:rsidRDefault="005366A8" w:rsidP="005366A8">
      <w:pPr>
        <w:spacing w:after="120"/>
        <w:ind w:left="720"/>
        <w:rPr>
          <w:sz w:val="22"/>
          <w:szCs w:val="22"/>
          <w:rtl/>
        </w:rPr>
      </w:pPr>
      <w:r w:rsidRPr="00DB343C">
        <w:rPr>
          <w:rFonts w:hint="cs"/>
          <w:sz w:val="22"/>
          <w:szCs w:val="22"/>
          <w:rtl/>
        </w:rPr>
        <w:t xml:space="preserve">הן נורמות </w:t>
      </w:r>
      <w:r>
        <w:rPr>
          <w:rFonts w:hint="cs"/>
          <w:sz w:val="22"/>
          <w:szCs w:val="22"/>
          <w:rtl/>
        </w:rPr>
        <w:t xml:space="preserve">משפטיות </w:t>
      </w:r>
      <w:r w:rsidRPr="00DB343C">
        <w:rPr>
          <w:rFonts w:hint="cs"/>
          <w:sz w:val="22"/>
          <w:szCs w:val="22"/>
          <w:rtl/>
        </w:rPr>
        <w:t>בכירות</w:t>
      </w:r>
      <w:r>
        <w:rPr>
          <w:rFonts w:hint="cs"/>
          <w:sz w:val="22"/>
          <w:szCs w:val="22"/>
          <w:rtl/>
        </w:rPr>
        <w:t xml:space="preserve"> של המשפט הישראלי (ושל חברות דמוקרטיות אחרות)</w:t>
      </w:r>
      <w:r w:rsidRPr="00DB343C">
        <w:rPr>
          <w:rFonts w:hint="cs"/>
          <w:sz w:val="22"/>
          <w:szCs w:val="22"/>
          <w:rtl/>
        </w:rPr>
        <w:t xml:space="preserve"> </w:t>
      </w:r>
      <w:r w:rsidRPr="00DB343C">
        <w:rPr>
          <w:sz w:val="22"/>
          <w:szCs w:val="22"/>
          <w:rtl/>
        </w:rPr>
        <w:t>–</w:t>
      </w:r>
      <w:r w:rsidRPr="00DB343C">
        <w:rPr>
          <w:rFonts w:hint="cs"/>
          <w:sz w:val="22"/>
          <w:szCs w:val="22"/>
          <w:rtl/>
        </w:rPr>
        <w:t xml:space="preserve"> עקרונות של "כללי המשחק" </w:t>
      </w:r>
      <w:r w:rsidRPr="00DB343C">
        <w:rPr>
          <w:sz w:val="22"/>
          <w:szCs w:val="22"/>
          <w:rtl/>
        </w:rPr>
        <w:t>–</w:t>
      </w:r>
      <w:r w:rsidRPr="00DB343C">
        <w:rPr>
          <w:rFonts w:hint="cs"/>
          <w:sz w:val="22"/>
          <w:szCs w:val="22"/>
          <w:rtl/>
        </w:rPr>
        <w:t xml:space="preserve"> </w:t>
      </w:r>
      <w:r>
        <w:rPr>
          <w:rFonts w:hint="cs"/>
          <w:sz w:val="22"/>
          <w:szCs w:val="22"/>
          <w:rtl/>
        </w:rPr>
        <w:t>"</w:t>
      </w:r>
      <w:r w:rsidRPr="00DB343C">
        <w:rPr>
          <w:rFonts w:hint="cs"/>
          <w:sz w:val="22"/>
          <w:szCs w:val="22"/>
          <w:rtl/>
        </w:rPr>
        <w:t>כללים מסדר שני</w:t>
      </w:r>
      <w:r>
        <w:rPr>
          <w:rFonts w:hint="cs"/>
          <w:sz w:val="22"/>
          <w:szCs w:val="22"/>
          <w:rtl/>
        </w:rPr>
        <w:t>", כפי שקראנו להם</w:t>
      </w:r>
      <w:r w:rsidRPr="00DB343C">
        <w:rPr>
          <w:rFonts w:hint="cs"/>
          <w:sz w:val="22"/>
          <w:szCs w:val="22"/>
          <w:rtl/>
        </w:rPr>
        <w:t>.</w:t>
      </w:r>
    </w:p>
    <w:p w:rsidR="005366A8" w:rsidRPr="00DB343C" w:rsidRDefault="005366A8" w:rsidP="005366A8">
      <w:pPr>
        <w:rPr>
          <w:b/>
          <w:bCs/>
          <w:sz w:val="22"/>
          <w:szCs w:val="22"/>
          <w:rtl/>
        </w:rPr>
      </w:pPr>
      <w:r w:rsidRPr="00C40AFE">
        <w:rPr>
          <w:rFonts w:hint="cs"/>
          <w:b/>
          <w:bCs/>
          <w:sz w:val="22"/>
          <w:szCs w:val="22"/>
          <w:highlight w:val="yellow"/>
          <w:rtl/>
        </w:rPr>
        <w:t>-&gt; כן, אך מה מקור תקפותם המשפטי?</w:t>
      </w:r>
    </w:p>
    <w:p w:rsidR="005366A8" w:rsidRPr="00DB343C" w:rsidRDefault="005366A8" w:rsidP="005366A8">
      <w:pPr>
        <w:spacing w:after="120"/>
        <w:ind w:left="720"/>
        <w:rPr>
          <w:sz w:val="22"/>
          <w:szCs w:val="22"/>
          <w:rtl/>
        </w:rPr>
      </w:pPr>
      <w:r w:rsidRPr="00DB343C">
        <w:rPr>
          <w:rFonts w:hint="cs"/>
          <w:sz w:val="22"/>
          <w:szCs w:val="22"/>
          <w:rtl/>
        </w:rPr>
        <w:t xml:space="preserve">מקור תקפותם </w:t>
      </w:r>
      <w:r>
        <w:rPr>
          <w:rFonts w:hint="cs"/>
          <w:sz w:val="22"/>
          <w:szCs w:val="22"/>
          <w:rtl/>
        </w:rPr>
        <w:t xml:space="preserve">בהווה </w:t>
      </w:r>
      <w:r w:rsidRPr="00DB343C">
        <w:rPr>
          <w:rFonts w:hint="cs"/>
          <w:sz w:val="22"/>
          <w:szCs w:val="22"/>
          <w:rtl/>
        </w:rPr>
        <w:t xml:space="preserve">הוא בכך שהם כוננו </w:t>
      </w:r>
      <w:r>
        <w:rPr>
          <w:rFonts w:hint="cs"/>
          <w:sz w:val="22"/>
          <w:szCs w:val="22"/>
          <w:rtl/>
        </w:rPr>
        <w:t xml:space="preserve">או </w:t>
      </w:r>
      <w:r w:rsidRPr="00DB343C">
        <w:rPr>
          <w:rFonts w:ascii="Arial" w:hAnsi="Arial" w:cs="Arial"/>
          <w:b/>
          <w:bCs/>
          <w:sz w:val="22"/>
          <w:szCs w:val="22"/>
          <w:rtl/>
        </w:rPr>
        <w:t>בחוקה הפורמאלית</w:t>
      </w:r>
      <w:r w:rsidRPr="00DB343C">
        <w:rPr>
          <w:rFonts w:hint="cs"/>
          <w:sz w:val="22"/>
          <w:szCs w:val="22"/>
          <w:rtl/>
        </w:rPr>
        <w:t xml:space="preserve"> של המדינה</w:t>
      </w:r>
      <w:r>
        <w:rPr>
          <w:rFonts w:hint="cs"/>
          <w:sz w:val="22"/>
          <w:szCs w:val="22"/>
          <w:rtl/>
        </w:rPr>
        <w:t xml:space="preserve"> (</w:t>
      </w:r>
      <w:r w:rsidRPr="00CA519D">
        <w:rPr>
          <w:rFonts w:hint="cs"/>
          <w:sz w:val="22"/>
          <w:szCs w:val="22"/>
          <w:u w:val="single"/>
          <w:rtl/>
        </w:rPr>
        <w:t>חוקי היסוד</w:t>
      </w:r>
      <w:r>
        <w:rPr>
          <w:rFonts w:hint="cs"/>
          <w:sz w:val="22"/>
          <w:szCs w:val="22"/>
          <w:rtl/>
        </w:rPr>
        <w:t xml:space="preserve"> שלה). החוקה הפורמאלית עושה פורמליזציה לחלקים גדולים מחוקתה המהותית של ישראל. בעבר, לפני "המהפכה החוקתית" של שנות התשעים, עקרונות אלו הוכרו ישירות מכוח </w:t>
      </w:r>
      <w:r w:rsidRPr="00DB343C">
        <w:rPr>
          <w:rFonts w:ascii="Arial" w:hAnsi="Arial" w:cs="Arial"/>
          <w:b/>
          <w:bCs/>
          <w:sz w:val="22"/>
          <w:szCs w:val="22"/>
          <w:rtl/>
        </w:rPr>
        <w:t>חוקתה המהותית</w:t>
      </w:r>
      <w:r>
        <w:rPr>
          <w:rFonts w:hint="cs"/>
          <w:sz w:val="22"/>
          <w:szCs w:val="22"/>
          <w:rtl/>
        </w:rPr>
        <w:t xml:space="preserve"> של ישראל. </w:t>
      </w:r>
    </w:p>
    <w:p w:rsidR="005366A8" w:rsidRPr="00DB343C" w:rsidRDefault="005366A8" w:rsidP="005366A8">
      <w:pPr>
        <w:spacing w:after="120"/>
        <w:ind w:left="720"/>
        <w:rPr>
          <w:b/>
          <w:bCs/>
          <w:sz w:val="22"/>
          <w:szCs w:val="22"/>
          <w:rtl/>
        </w:rPr>
      </w:pPr>
      <w:r w:rsidRPr="00C64230">
        <w:rPr>
          <w:rFonts w:hint="cs"/>
          <w:b/>
          <w:bCs/>
          <w:sz w:val="22"/>
          <w:szCs w:val="22"/>
          <w:rtl/>
        </w:rPr>
        <w:t>-</w:t>
      </w:r>
      <w:r>
        <w:rPr>
          <w:rFonts w:hint="cs"/>
          <w:b/>
          <w:bCs/>
          <w:sz w:val="22"/>
          <w:szCs w:val="22"/>
          <w:rtl/>
        </w:rPr>
        <w:t xml:space="preserve">&gt; </w:t>
      </w:r>
      <w:r w:rsidRPr="00C0169B">
        <w:rPr>
          <w:rFonts w:hint="cs"/>
          <w:b/>
          <w:bCs/>
          <w:sz w:val="22"/>
          <w:szCs w:val="22"/>
          <w:u w:val="single"/>
          <w:rtl/>
        </w:rPr>
        <w:t>מהם מרכיביה</w:t>
      </w:r>
      <w:r w:rsidRPr="00DB343C">
        <w:rPr>
          <w:rFonts w:hint="cs"/>
          <w:b/>
          <w:bCs/>
          <w:sz w:val="22"/>
          <w:szCs w:val="22"/>
          <w:rtl/>
        </w:rPr>
        <w:t xml:space="preserve"> של החוקה המהותית</w:t>
      </w:r>
      <w:r>
        <w:rPr>
          <w:rFonts w:hint="cs"/>
          <w:b/>
          <w:bCs/>
          <w:sz w:val="22"/>
          <w:szCs w:val="22"/>
          <w:rtl/>
        </w:rPr>
        <w:t xml:space="preserve"> שלנו</w:t>
      </w:r>
      <w:r w:rsidRPr="00DB343C">
        <w:rPr>
          <w:rFonts w:hint="cs"/>
          <w:b/>
          <w:bCs/>
          <w:sz w:val="22"/>
          <w:szCs w:val="22"/>
          <w:rtl/>
        </w:rPr>
        <w:t xml:space="preserve">? </w:t>
      </w:r>
    </w:p>
    <w:p w:rsidR="005366A8" w:rsidRDefault="005366A8" w:rsidP="005366A8">
      <w:pPr>
        <w:ind w:left="1440"/>
        <w:rPr>
          <w:sz w:val="22"/>
          <w:szCs w:val="22"/>
          <w:rtl/>
        </w:rPr>
      </w:pPr>
      <w:r w:rsidRPr="00C0169B">
        <w:rPr>
          <w:rFonts w:hint="cs"/>
          <w:b/>
          <w:bCs/>
          <w:sz w:val="22"/>
          <w:szCs w:val="22"/>
          <w:highlight w:val="yellow"/>
          <w:u w:val="single"/>
          <w:rtl/>
        </w:rPr>
        <w:t>עקרונות</w:t>
      </w:r>
      <w:r w:rsidRPr="00DB343C">
        <w:rPr>
          <w:rFonts w:hint="cs"/>
          <w:b/>
          <w:bCs/>
          <w:sz w:val="22"/>
          <w:szCs w:val="22"/>
          <w:highlight w:val="yellow"/>
          <w:rtl/>
        </w:rPr>
        <w:t xml:space="preserve"> </w:t>
      </w:r>
      <w:r w:rsidRPr="00BA3F19">
        <w:rPr>
          <w:rFonts w:hint="cs"/>
          <w:b/>
          <w:bCs/>
          <w:sz w:val="22"/>
          <w:szCs w:val="22"/>
          <w:highlight w:val="yellow"/>
          <w:rtl/>
        </w:rPr>
        <w:t xml:space="preserve">היסוד/ </w:t>
      </w:r>
      <w:r w:rsidRPr="00C0169B">
        <w:rPr>
          <w:rFonts w:hint="cs"/>
          <w:b/>
          <w:bCs/>
          <w:sz w:val="22"/>
          <w:szCs w:val="22"/>
          <w:highlight w:val="yellow"/>
          <w:u w:val="single"/>
          <w:rtl/>
        </w:rPr>
        <w:t>ערכי</w:t>
      </w:r>
      <w:r w:rsidRPr="00BA3F19">
        <w:rPr>
          <w:rFonts w:hint="cs"/>
          <w:b/>
          <w:bCs/>
          <w:sz w:val="22"/>
          <w:szCs w:val="22"/>
          <w:highlight w:val="yellow"/>
          <w:rtl/>
        </w:rPr>
        <w:t xml:space="preserve"> היסוד</w:t>
      </w:r>
      <w:r w:rsidRPr="00DB343C">
        <w:rPr>
          <w:rFonts w:hint="cs"/>
          <w:sz w:val="22"/>
          <w:szCs w:val="22"/>
          <w:rtl/>
        </w:rPr>
        <w:t xml:space="preserve"> של השיטה המשטרית-משפטית</w:t>
      </w:r>
      <w:r>
        <w:rPr>
          <w:rFonts w:hint="cs"/>
          <w:sz w:val="22"/>
          <w:szCs w:val="22"/>
          <w:rtl/>
        </w:rPr>
        <w:t xml:space="preserve"> </w:t>
      </w:r>
    </w:p>
    <w:p w:rsidR="005366A8" w:rsidRPr="00DB343C" w:rsidRDefault="005366A8" w:rsidP="005366A8">
      <w:pPr>
        <w:spacing w:after="120"/>
        <w:ind w:left="2160"/>
        <w:rPr>
          <w:sz w:val="22"/>
          <w:szCs w:val="22"/>
          <w:rtl/>
        </w:rPr>
      </w:pPr>
      <w:r>
        <w:rPr>
          <w:rFonts w:hint="cs"/>
          <w:sz w:val="22"/>
          <w:szCs w:val="22"/>
          <w:rtl/>
        </w:rPr>
        <w:t>ערכי היסוד של המדינה כמדינה דמוקרטית וכמדינת הלאום של העם היהודי</w:t>
      </w:r>
      <w:r w:rsidRPr="00DB343C">
        <w:rPr>
          <w:rFonts w:hint="cs"/>
          <w:sz w:val="22"/>
          <w:szCs w:val="22"/>
          <w:rtl/>
        </w:rPr>
        <w:t>;</w:t>
      </w:r>
    </w:p>
    <w:p w:rsidR="005366A8" w:rsidRDefault="005366A8" w:rsidP="005366A8">
      <w:pPr>
        <w:ind w:left="2160" w:hanging="720"/>
        <w:rPr>
          <w:sz w:val="22"/>
          <w:szCs w:val="22"/>
          <w:rtl/>
        </w:rPr>
      </w:pPr>
      <w:r w:rsidRPr="00C0169B">
        <w:rPr>
          <w:rFonts w:hint="cs"/>
          <w:b/>
          <w:bCs/>
          <w:sz w:val="22"/>
          <w:szCs w:val="22"/>
          <w:highlight w:val="yellow"/>
          <w:u w:val="single"/>
          <w:rtl/>
        </w:rPr>
        <w:t>מוסדות</w:t>
      </w:r>
      <w:r w:rsidRPr="00DB343C">
        <w:rPr>
          <w:rFonts w:hint="cs"/>
          <w:b/>
          <w:bCs/>
          <w:sz w:val="22"/>
          <w:szCs w:val="22"/>
          <w:highlight w:val="yellow"/>
          <w:rtl/>
        </w:rPr>
        <w:t xml:space="preserve"> היסוד</w:t>
      </w:r>
      <w:r w:rsidRPr="00DB343C">
        <w:rPr>
          <w:rFonts w:hint="cs"/>
          <w:sz w:val="22"/>
          <w:szCs w:val="22"/>
          <w:rtl/>
        </w:rPr>
        <w:t xml:space="preserve"> של המדינה ו</w:t>
      </w:r>
      <w:r>
        <w:rPr>
          <w:rFonts w:hint="cs"/>
          <w:sz w:val="22"/>
          <w:szCs w:val="22"/>
          <w:rtl/>
        </w:rPr>
        <w:t>ה</w:t>
      </w:r>
      <w:r w:rsidRPr="00DB343C">
        <w:rPr>
          <w:rFonts w:hint="cs"/>
          <w:sz w:val="22"/>
          <w:szCs w:val="22"/>
          <w:rtl/>
        </w:rPr>
        <w:t>חלוק</w:t>
      </w:r>
      <w:r>
        <w:rPr>
          <w:rFonts w:hint="cs"/>
          <w:sz w:val="22"/>
          <w:szCs w:val="22"/>
          <w:rtl/>
        </w:rPr>
        <w:t>ה הבסיסי</w:t>
      </w:r>
      <w:r w:rsidRPr="00DB343C">
        <w:rPr>
          <w:rFonts w:hint="cs"/>
          <w:sz w:val="22"/>
          <w:szCs w:val="22"/>
          <w:rtl/>
        </w:rPr>
        <w:t xml:space="preserve">ת </w:t>
      </w:r>
      <w:r>
        <w:rPr>
          <w:rFonts w:hint="cs"/>
          <w:sz w:val="22"/>
          <w:szCs w:val="22"/>
          <w:rtl/>
        </w:rPr>
        <w:t xml:space="preserve">של </w:t>
      </w:r>
      <w:r w:rsidRPr="00DB343C">
        <w:rPr>
          <w:rFonts w:hint="cs"/>
          <w:sz w:val="22"/>
          <w:szCs w:val="22"/>
          <w:rtl/>
        </w:rPr>
        <w:t>הסמכויות ביניהן</w:t>
      </w:r>
      <w:r>
        <w:rPr>
          <w:rFonts w:hint="cs"/>
          <w:sz w:val="22"/>
          <w:szCs w:val="22"/>
          <w:rtl/>
        </w:rPr>
        <w:t xml:space="preserve"> </w:t>
      </w:r>
    </w:p>
    <w:p w:rsidR="005366A8" w:rsidRPr="00DB343C" w:rsidRDefault="005366A8" w:rsidP="005366A8">
      <w:pPr>
        <w:spacing w:after="120"/>
        <w:ind w:left="2880" w:hanging="720"/>
        <w:rPr>
          <w:sz w:val="22"/>
          <w:szCs w:val="22"/>
          <w:rtl/>
        </w:rPr>
      </w:pPr>
      <w:r>
        <w:rPr>
          <w:rFonts w:hint="cs"/>
          <w:sz w:val="22"/>
          <w:szCs w:val="22"/>
          <w:rtl/>
        </w:rPr>
        <w:t>רשות מחוקקת, רשות מבצעת, רשות שופטת ועוד מוסדות יסוד: נשיא המדינה; מבקר המדינה; הצבא...</w:t>
      </w:r>
      <w:r w:rsidRPr="00DB343C">
        <w:rPr>
          <w:rFonts w:hint="cs"/>
          <w:sz w:val="22"/>
          <w:szCs w:val="22"/>
          <w:rtl/>
        </w:rPr>
        <w:t>;</w:t>
      </w:r>
    </w:p>
    <w:p w:rsidR="005366A8" w:rsidRDefault="005366A8" w:rsidP="005366A8">
      <w:pPr>
        <w:ind w:left="2160" w:hanging="720"/>
        <w:rPr>
          <w:sz w:val="22"/>
          <w:szCs w:val="22"/>
          <w:rtl/>
        </w:rPr>
      </w:pPr>
      <w:r w:rsidRPr="00C0169B">
        <w:rPr>
          <w:rFonts w:hint="cs"/>
          <w:b/>
          <w:bCs/>
          <w:sz w:val="22"/>
          <w:szCs w:val="22"/>
          <w:highlight w:val="yellow"/>
          <w:u w:val="single"/>
          <w:rtl/>
        </w:rPr>
        <w:t>הסדרי</w:t>
      </w:r>
      <w:r w:rsidRPr="00DB343C">
        <w:rPr>
          <w:rFonts w:hint="cs"/>
          <w:b/>
          <w:bCs/>
          <w:sz w:val="22"/>
          <w:szCs w:val="22"/>
          <w:highlight w:val="yellow"/>
          <w:rtl/>
        </w:rPr>
        <w:t xml:space="preserve"> היסוד</w:t>
      </w:r>
      <w:r w:rsidRPr="00DB343C">
        <w:rPr>
          <w:rFonts w:hint="cs"/>
          <w:sz w:val="22"/>
          <w:szCs w:val="22"/>
          <w:rtl/>
        </w:rPr>
        <w:t xml:space="preserve"> </w:t>
      </w:r>
    </w:p>
    <w:p w:rsidR="005366A8" w:rsidRDefault="005366A8" w:rsidP="005366A8">
      <w:pPr>
        <w:ind w:left="2880" w:hanging="720"/>
        <w:rPr>
          <w:sz w:val="22"/>
          <w:szCs w:val="22"/>
          <w:rtl/>
        </w:rPr>
      </w:pPr>
      <w:r w:rsidRPr="00DB343C">
        <w:rPr>
          <w:rFonts w:hint="cs"/>
          <w:sz w:val="22"/>
          <w:szCs w:val="22"/>
          <w:rtl/>
        </w:rPr>
        <w:t>הפרוצדורות המרכזיות לגיבוש נורמות, ובתוכן, אופן הכינו</w:t>
      </w:r>
      <w:r>
        <w:rPr>
          <w:rFonts w:hint="cs"/>
          <w:sz w:val="22"/>
          <w:szCs w:val="22"/>
          <w:rtl/>
        </w:rPr>
        <w:t xml:space="preserve">ן והשינוי של הוראות החוקה עצמן </w:t>
      </w:r>
      <w:r>
        <w:rPr>
          <w:sz w:val="22"/>
          <w:szCs w:val="22"/>
          <w:rtl/>
        </w:rPr>
        <w:t>–</w:t>
      </w:r>
      <w:r>
        <w:rPr>
          <w:rFonts w:hint="cs"/>
          <w:sz w:val="22"/>
          <w:szCs w:val="22"/>
          <w:rtl/>
        </w:rPr>
        <w:t xml:space="preserve"> </w:t>
      </w:r>
    </w:p>
    <w:p w:rsidR="005366A8" w:rsidRPr="00DB343C" w:rsidRDefault="005366A8" w:rsidP="005366A8">
      <w:pPr>
        <w:spacing w:after="120"/>
        <w:ind w:left="2880" w:hanging="720"/>
        <w:rPr>
          <w:sz w:val="22"/>
          <w:szCs w:val="22"/>
          <w:rtl/>
        </w:rPr>
      </w:pPr>
      <w:r>
        <w:rPr>
          <w:rFonts w:hint="cs"/>
          <w:sz w:val="22"/>
          <w:szCs w:val="22"/>
          <w:rtl/>
        </w:rPr>
        <w:t xml:space="preserve">[בעיקר, היותנו "דמוקרטיה פרלמנטרית" (דמוקרטיה ייצוגית, להבדיל מישירה) </w:t>
      </w:r>
      <w:r>
        <w:rPr>
          <w:sz w:val="22"/>
          <w:szCs w:val="22"/>
          <w:rtl/>
        </w:rPr>
        <w:t>–</w:t>
      </w:r>
      <w:r>
        <w:rPr>
          <w:rFonts w:hint="cs"/>
          <w:sz w:val="22"/>
          <w:szCs w:val="22"/>
          <w:rtl/>
        </w:rPr>
        <w:t xml:space="preserve"> וכן היכולת לעשותנו ל"דמוקרטיה חוקתית" פרלמנטרית].</w:t>
      </w:r>
    </w:p>
    <w:p w:rsidR="005366A8" w:rsidRDefault="005366A8" w:rsidP="005366A8">
      <w:pPr>
        <w:ind w:left="720"/>
        <w:rPr>
          <w:b/>
          <w:bCs/>
          <w:sz w:val="22"/>
          <w:szCs w:val="22"/>
          <w:rtl/>
        </w:rPr>
      </w:pPr>
      <w:r>
        <w:rPr>
          <w:rFonts w:hint="cs"/>
          <w:b/>
          <w:bCs/>
          <w:sz w:val="22"/>
          <w:szCs w:val="22"/>
          <w:rtl/>
        </w:rPr>
        <w:t xml:space="preserve">-&gt; </w:t>
      </w:r>
      <w:r w:rsidRPr="00DB343C">
        <w:rPr>
          <w:rFonts w:hint="cs"/>
          <w:b/>
          <w:bCs/>
          <w:sz w:val="22"/>
          <w:szCs w:val="22"/>
          <w:rtl/>
        </w:rPr>
        <w:t>כיצד מזוהים חלקיה</w:t>
      </w:r>
      <w:r>
        <w:rPr>
          <w:rFonts w:hint="cs"/>
          <w:b/>
          <w:bCs/>
          <w:sz w:val="22"/>
          <w:szCs w:val="22"/>
          <w:rtl/>
        </w:rPr>
        <w:t>/תכניה</w:t>
      </w:r>
      <w:r w:rsidRPr="00DB343C">
        <w:rPr>
          <w:rFonts w:hint="cs"/>
          <w:b/>
          <w:bCs/>
          <w:sz w:val="22"/>
          <w:szCs w:val="22"/>
          <w:rtl/>
        </w:rPr>
        <w:t xml:space="preserve"> של החוקה המהותית</w:t>
      </w:r>
      <w:r>
        <w:rPr>
          <w:rFonts w:hint="cs"/>
          <w:b/>
          <w:bCs/>
          <w:sz w:val="22"/>
          <w:szCs w:val="22"/>
          <w:rtl/>
        </w:rPr>
        <w:t xml:space="preserve">? </w:t>
      </w:r>
    </w:p>
    <w:p w:rsidR="005366A8" w:rsidRPr="00DB343C" w:rsidRDefault="005366A8" w:rsidP="005366A8">
      <w:pPr>
        <w:ind w:left="1440"/>
        <w:rPr>
          <w:sz w:val="22"/>
          <w:szCs w:val="22"/>
          <w:rtl/>
        </w:rPr>
      </w:pPr>
      <w:r>
        <w:rPr>
          <w:rFonts w:hint="cs"/>
          <w:b/>
          <w:bCs/>
          <w:sz w:val="22"/>
          <w:szCs w:val="22"/>
          <w:rtl/>
        </w:rPr>
        <w:t>בישראל חלק ממנה כבר מעוגן בחוקה הפורמאלית, וכך הוא מזוהה, אך כיצד מזוהה אותו חלק ממנה שאינו מופיע שם (שאינו מופיע בחוקי היסוד)</w:t>
      </w:r>
      <w:r w:rsidRPr="00DB343C">
        <w:rPr>
          <w:rFonts w:hint="cs"/>
          <w:sz w:val="22"/>
          <w:szCs w:val="22"/>
          <w:rtl/>
        </w:rPr>
        <w:t>?</w:t>
      </w:r>
    </w:p>
    <w:p w:rsidR="005366A8" w:rsidRPr="00DB343C" w:rsidRDefault="005366A8" w:rsidP="005366A8">
      <w:pPr>
        <w:spacing w:after="120"/>
        <w:ind w:left="1440"/>
        <w:rPr>
          <w:sz w:val="22"/>
          <w:szCs w:val="22"/>
          <w:rtl/>
        </w:rPr>
      </w:pPr>
      <w:r>
        <w:rPr>
          <w:rFonts w:hint="cs"/>
          <w:sz w:val="22"/>
          <w:szCs w:val="22"/>
          <w:rtl/>
        </w:rPr>
        <w:t>חלקים/תכנים אלה</w:t>
      </w:r>
      <w:r w:rsidRPr="00DB343C">
        <w:rPr>
          <w:rFonts w:hint="cs"/>
          <w:sz w:val="22"/>
          <w:szCs w:val="22"/>
          <w:rtl/>
        </w:rPr>
        <w:t xml:space="preserve"> מזוהים ככאלה על ידי </w:t>
      </w:r>
      <w:r w:rsidRPr="00DB343C">
        <w:rPr>
          <w:rFonts w:ascii="Arial" w:hAnsi="Arial" w:cs="Arial"/>
          <w:b/>
          <w:bCs/>
          <w:sz w:val="22"/>
          <w:szCs w:val="22"/>
          <w:highlight w:val="yellow"/>
          <w:rtl/>
        </w:rPr>
        <w:t>הפרשן המוסמך</w:t>
      </w:r>
      <w:r w:rsidRPr="00DB343C">
        <w:rPr>
          <w:rFonts w:ascii="Arial" w:hAnsi="Arial" w:cs="Arial" w:hint="cs"/>
          <w:b/>
          <w:bCs/>
          <w:sz w:val="22"/>
          <w:szCs w:val="22"/>
          <w:rtl/>
        </w:rPr>
        <w:t xml:space="preserve"> העליון</w:t>
      </w:r>
      <w:r w:rsidRPr="00DB343C">
        <w:rPr>
          <w:rFonts w:hint="cs"/>
          <w:sz w:val="22"/>
          <w:szCs w:val="22"/>
          <w:rtl/>
        </w:rPr>
        <w:t xml:space="preserve"> של המשפט בישראל</w:t>
      </w:r>
      <w:r>
        <w:rPr>
          <w:rFonts w:hint="cs"/>
          <w:sz w:val="22"/>
          <w:szCs w:val="22"/>
          <w:rtl/>
        </w:rPr>
        <w:t>:</w:t>
      </w:r>
      <w:r w:rsidRPr="00DB343C">
        <w:rPr>
          <w:rFonts w:hint="cs"/>
          <w:sz w:val="22"/>
          <w:szCs w:val="22"/>
          <w:rtl/>
        </w:rPr>
        <w:t xml:space="preserve"> בית המשפט העליון;</w:t>
      </w:r>
    </w:p>
    <w:p w:rsidR="005366A8" w:rsidRPr="00DB343C" w:rsidRDefault="005366A8" w:rsidP="005366A8">
      <w:pPr>
        <w:spacing w:after="120"/>
        <w:ind w:left="720"/>
        <w:rPr>
          <w:sz w:val="22"/>
          <w:szCs w:val="22"/>
          <w:rtl/>
        </w:rPr>
      </w:pPr>
      <w:r w:rsidRPr="00C40AFE">
        <w:rPr>
          <w:rFonts w:hint="cs"/>
          <w:b/>
          <w:bCs/>
          <w:sz w:val="22"/>
          <w:szCs w:val="22"/>
          <w:highlight w:val="yellow"/>
          <w:rtl/>
        </w:rPr>
        <w:t xml:space="preserve">-&gt; </w:t>
      </w:r>
      <w:r>
        <w:rPr>
          <w:rFonts w:hint="cs"/>
          <w:b/>
          <w:bCs/>
          <w:sz w:val="22"/>
          <w:szCs w:val="22"/>
          <w:highlight w:val="yellow"/>
          <w:rtl/>
        </w:rPr>
        <w:t xml:space="preserve">כן, </w:t>
      </w:r>
      <w:r w:rsidRPr="00C40AFE">
        <w:rPr>
          <w:rFonts w:hint="cs"/>
          <w:b/>
          <w:bCs/>
          <w:sz w:val="22"/>
          <w:szCs w:val="22"/>
          <w:highlight w:val="yellow"/>
          <w:rtl/>
        </w:rPr>
        <w:t>אך מכוח מה נקבע הפרשן המוסמך?</w:t>
      </w:r>
      <w:r w:rsidRPr="00C40AFE">
        <w:rPr>
          <w:rFonts w:hint="cs"/>
          <w:sz w:val="22"/>
          <w:szCs w:val="22"/>
          <w:highlight w:val="yellow"/>
          <w:rtl/>
        </w:rPr>
        <w:t xml:space="preserve"> </w:t>
      </w:r>
      <w:r w:rsidRPr="00C40AFE">
        <w:rPr>
          <w:sz w:val="22"/>
          <w:szCs w:val="22"/>
          <w:highlight w:val="yellow"/>
          <w:rtl/>
        </w:rPr>
        <w:t>–</w:t>
      </w:r>
      <w:r w:rsidRPr="00C40AFE">
        <w:rPr>
          <w:rFonts w:hint="cs"/>
          <w:sz w:val="22"/>
          <w:szCs w:val="22"/>
          <w:highlight w:val="yellow"/>
          <w:rtl/>
        </w:rPr>
        <w:t xml:space="preserve">&gt; </w:t>
      </w:r>
      <w:r>
        <w:rPr>
          <w:rFonts w:hint="cs"/>
          <w:sz w:val="22"/>
          <w:szCs w:val="22"/>
          <w:highlight w:val="yellow"/>
          <w:rtl/>
        </w:rPr>
        <w:t>הסמכתו מופיעה ב</w:t>
      </w:r>
      <w:r w:rsidRPr="00C40AFE">
        <w:rPr>
          <w:rFonts w:hint="cs"/>
          <w:sz w:val="22"/>
          <w:szCs w:val="22"/>
          <w:highlight w:val="yellow"/>
          <w:rtl/>
        </w:rPr>
        <w:t>חוק יסוד: השפיטה;</w:t>
      </w:r>
    </w:p>
    <w:p w:rsidR="005366A8" w:rsidRPr="00DB343C" w:rsidRDefault="005366A8" w:rsidP="005366A8">
      <w:pPr>
        <w:spacing w:after="120"/>
        <w:ind w:left="1440" w:hanging="720"/>
        <w:rPr>
          <w:sz w:val="22"/>
          <w:szCs w:val="22"/>
          <w:rtl/>
        </w:rPr>
      </w:pPr>
      <w:r w:rsidRPr="00C40AFE">
        <w:rPr>
          <w:rFonts w:hint="cs"/>
          <w:b/>
          <w:bCs/>
          <w:sz w:val="22"/>
          <w:szCs w:val="22"/>
          <w:highlight w:val="yellow"/>
          <w:rtl/>
        </w:rPr>
        <w:t>-&gt; ואולם מה מקור התקפות של חוק יסוד: השפיטה?</w:t>
      </w:r>
      <w:r w:rsidRPr="00C40AFE">
        <w:rPr>
          <w:rFonts w:hint="cs"/>
          <w:sz w:val="22"/>
          <w:szCs w:val="22"/>
          <w:highlight w:val="yellow"/>
          <w:rtl/>
        </w:rPr>
        <w:t xml:space="preserve"> </w:t>
      </w:r>
      <w:r w:rsidRPr="00C40AFE">
        <w:rPr>
          <w:sz w:val="22"/>
          <w:szCs w:val="22"/>
          <w:highlight w:val="yellow"/>
          <w:rtl/>
        </w:rPr>
        <w:t>–</w:t>
      </w:r>
      <w:r w:rsidRPr="00C40AFE">
        <w:rPr>
          <w:rFonts w:hint="cs"/>
          <w:sz w:val="22"/>
          <w:szCs w:val="22"/>
          <w:highlight w:val="yellow"/>
          <w:rtl/>
        </w:rPr>
        <w:t>&gt; הכלל החוקתי לפיו בסמכות הכנסת לקבל חוקי יסוד;</w:t>
      </w:r>
    </w:p>
    <w:p w:rsidR="005366A8" w:rsidRDefault="005366A8" w:rsidP="005366A8">
      <w:pPr>
        <w:spacing w:after="120"/>
        <w:ind w:left="720"/>
        <w:rPr>
          <w:sz w:val="22"/>
          <w:szCs w:val="22"/>
          <w:highlight w:val="yellow"/>
          <w:rtl/>
        </w:rPr>
      </w:pPr>
      <w:r w:rsidRPr="00C40AFE">
        <w:rPr>
          <w:rFonts w:hint="cs"/>
          <w:sz w:val="22"/>
          <w:szCs w:val="22"/>
          <w:highlight w:val="yellow"/>
          <w:rtl/>
        </w:rPr>
        <w:t xml:space="preserve">-&gt; </w:t>
      </w:r>
      <w:r w:rsidRPr="00C40AFE">
        <w:rPr>
          <w:rFonts w:hint="cs"/>
          <w:b/>
          <w:bCs/>
          <w:sz w:val="22"/>
          <w:szCs w:val="22"/>
          <w:highlight w:val="yellow"/>
          <w:rtl/>
        </w:rPr>
        <w:t>אך מכוח מה יש כלל חוקתי ביחס לסמכותה זו של הכנסת?</w:t>
      </w:r>
      <w:r w:rsidRPr="00C40AFE">
        <w:rPr>
          <w:rFonts w:hint="cs"/>
          <w:sz w:val="22"/>
          <w:szCs w:val="22"/>
          <w:highlight w:val="yellow"/>
          <w:rtl/>
        </w:rPr>
        <w:t xml:space="preserve"> </w:t>
      </w:r>
      <w:r>
        <w:rPr>
          <w:rFonts w:hint="cs"/>
          <w:sz w:val="22"/>
          <w:szCs w:val="22"/>
          <w:highlight w:val="yellow"/>
          <w:rtl/>
        </w:rPr>
        <w:t xml:space="preserve">"הסמכות המכוננת" </w:t>
      </w:r>
      <w:r w:rsidRPr="00C40AFE">
        <w:rPr>
          <w:sz w:val="22"/>
          <w:szCs w:val="22"/>
          <w:highlight w:val="yellow"/>
          <w:rtl/>
        </w:rPr>
        <w:t>–</w:t>
      </w:r>
      <w:r w:rsidRPr="00C40AFE">
        <w:rPr>
          <w:rFonts w:hint="cs"/>
          <w:sz w:val="22"/>
          <w:szCs w:val="22"/>
          <w:highlight w:val="yellow"/>
          <w:rtl/>
        </w:rPr>
        <w:t xml:space="preserve">&gt; </w:t>
      </w:r>
      <w:r>
        <w:rPr>
          <w:rFonts w:hint="cs"/>
          <w:sz w:val="22"/>
          <w:szCs w:val="22"/>
          <w:highlight w:val="yellow"/>
          <w:rtl/>
        </w:rPr>
        <w:t>מכוח הבנתו של בית המשפט את מצב הדברים המשפטי, ובעיקר על יסוד השתלשלות מהכרזת העצמאות;</w:t>
      </w:r>
    </w:p>
    <w:p w:rsidR="005366A8" w:rsidRDefault="005366A8" w:rsidP="005366A8">
      <w:pPr>
        <w:ind w:left="720"/>
        <w:rPr>
          <w:sz w:val="22"/>
          <w:szCs w:val="22"/>
          <w:rtl/>
        </w:rPr>
      </w:pPr>
      <w:r>
        <w:rPr>
          <w:rFonts w:hint="cs"/>
          <w:sz w:val="22"/>
          <w:szCs w:val="22"/>
          <w:highlight w:val="yellow"/>
          <w:rtl/>
        </w:rPr>
        <w:t xml:space="preserve">-&gt; </w:t>
      </w:r>
      <w:r w:rsidRPr="00623972">
        <w:rPr>
          <w:rFonts w:hint="cs"/>
          <w:b/>
          <w:bCs/>
          <w:sz w:val="22"/>
          <w:szCs w:val="22"/>
          <w:highlight w:val="yellow"/>
          <w:rtl/>
        </w:rPr>
        <w:t xml:space="preserve">ואולם מהיכן מקור הכוח של </w:t>
      </w:r>
      <w:r>
        <w:rPr>
          <w:rFonts w:hint="cs"/>
          <w:b/>
          <w:bCs/>
          <w:sz w:val="22"/>
          <w:szCs w:val="22"/>
          <w:highlight w:val="yellow"/>
          <w:rtl/>
        </w:rPr>
        <w:t>בית המשפט לקבל הכרעה בסדר גודל שכזה</w:t>
      </w:r>
      <w:r w:rsidRPr="00623972">
        <w:rPr>
          <w:rFonts w:hint="cs"/>
          <w:b/>
          <w:bCs/>
          <w:sz w:val="22"/>
          <w:szCs w:val="22"/>
          <w:highlight w:val="yellow"/>
          <w:rtl/>
        </w:rPr>
        <w:t>?</w:t>
      </w:r>
      <w:r>
        <w:rPr>
          <w:rFonts w:hint="cs"/>
          <w:sz w:val="22"/>
          <w:szCs w:val="22"/>
          <w:highlight w:val="yellow"/>
          <w:rtl/>
        </w:rPr>
        <w:t xml:space="preserve"> -&gt; התשובה: </w:t>
      </w:r>
      <w:r w:rsidRPr="00C40AFE">
        <w:rPr>
          <w:rFonts w:ascii="Arial" w:hAnsi="Arial" w:cs="Arial"/>
          <w:b/>
          <w:bCs/>
          <w:sz w:val="22"/>
          <w:szCs w:val="22"/>
          <w:highlight w:val="yellow"/>
          <w:u w:val="single"/>
          <w:rtl/>
        </w:rPr>
        <w:t>"הנורמה הבסיסית"</w:t>
      </w:r>
      <w:r>
        <w:rPr>
          <w:rFonts w:hint="cs"/>
          <w:sz w:val="22"/>
          <w:szCs w:val="22"/>
          <w:rtl/>
        </w:rPr>
        <w:t xml:space="preserve"> </w:t>
      </w:r>
    </w:p>
    <w:p w:rsidR="005366A8" w:rsidRPr="00DB343C" w:rsidRDefault="005366A8" w:rsidP="005366A8">
      <w:pPr>
        <w:ind w:left="1440"/>
        <w:rPr>
          <w:sz w:val="22"/>
          <w:szCs w:val="22"/>
          <w:rtl/>
        </w:rPr>
      </w:pPr>
      <w:r>
        <w:rPr>
          <w:rFonts w:hint="cs"/>
          <w:sz w:val="22"/>
          <w:szCs w:val="22"/>
          <w:rtl/>
        </w:rPr>
        <w:t>(על המשקל שזו, הנורמה הבסיסית, נותנת למקורות שעליהם מסתמך בית המשפט כדי להעניק את תשובתו ביחס לסמכות המכוננת של הכנסת, ועל המשקל שהנורמה הבסיסית נותנת לבית המשפט העליון בהקשר להכרעות משפטיות שכאלה).</w:t>
      </w:r>
    </w:p>
    <w:p w:rsidR="005366A8" w:rsidRDefault="005366A8" w:rsidP="005366A8">
      <w:pPr>
        <w:rPr>
          <w:b/>
          <w:bCs/>
          <w:sz w:val="22"/>
          <w:szCs w:val="22"/>
          <w:rtl/>
        </w:rPr>
      </w:pPr>
    </w:p>
    <w:p w:rsidR="005366A8" w:rsidRPr="00C64230" w:rsidRDefault="005366A8" w:rsidP="005366A8">
      <w:pPr>
        <w:spacing w:after="60"/>
        <w:rPr>
          <w:b/>
          <w:bCs/>
          <w:sz w:val="22"/>
          <w:szCs w:val="22"/>
          <w:rtl/>
        </w:rPr>
      </w:pPr>
      <w:r w:rsidRPr="00C64230">
        <w:rPr>
          <w:rFonts w:hint="cs"/>
          <w:b/>
          <w:bCs/>
          <w:sz w:val="22"/>
          <w:szCs w:val="22"/>
          <w:rtl/>
        </w:rPr>
        <w:t xml:space="preserve">-&gt; </w:t>
      </w:r>
      <w:r w:rsidRPr="005038C1">
        <w:rPr>
          <w:rFonts w:hint="cs"/>
          <w:b/>
          <w:bCs/>
          <w:sz w:val="22"/>
          <w:szCs w:val="22"/>
          <w:highlight w:val="yellow"/>
          <w:u w:val="single"/>
          <w:rtl/>
        </w:rPr>
        <w:t>מהי "הנורמה הבסיסית"?</w:t>
      </w:r>
      <w:r w:rsidRPr="00C64230">
        <w:rPr>
          <w:rFonts w:hint="cs"/>
          <w:b/>
          <w:bCs/>
          <w:sz w:val="22"/>
          <w:szCs w:val="22"/>
          <w:rtl/>
        </w:rPr>
        <w:t xml:space="preserve"> </w:t>
      </w:r>
      <w:r>
        <w:rPr>
          <w:rFonts w:hint="cs"/>
          <w:b/>
          <w:bCs/>
          <w:sz w:val="22"/>
          <w:szCs w:val="22"/>
          <w:rtl/>
        </w:rPr>
        <w:t>כלומר מה נמצא שם בסוף הסולם או הפירמידה?</w:t>
      </w:r>
      <w:r w:rsidRPr="00C64230">
        <w:rPr>
          <w:rFonts w:hint="cs"/>
          <w:b/>
          <w:bCs/>
          <w:sz w:val="22"/>
          <w:szCs w:val="22"/>
          <w:rtl/>
        </w:rPr>
        <w:t xml:space="preserve"> </w:t>
      </w:r>
    </w:p>
    <w:p w:rsidR="005366A8" w:rsidRDefault="005366A8" w:rsidP="005366A8">
      <w:pPr>
        <w:spacing w:after="60"/>
        <w:ind w:left="720"/>
        <w:rPr>
          <w:sz w:val="20"/>
          <w:szCs w:val="20"/>
          <w:rtl/>
        </w:rPr>
      </w:pPr>
      <w:r>
        <w:rPr>
          <w:rFonts w:hint="cs"/>
          <w:sz w:val="20"/>
          <w:szCs w:val="20"/>
          <w:rtl/>
        </w:rPr>
        <w:t xml:space="preserve">הנורמה הבסיסית היא </w:t>
      </w:r>
      <w:r w:rsidRPr="00A5755E">
        <w:rPr>
          <w:rFonts w:hint="cs"/>
          <w:sz w:val="20"/>
          <w:szCs w:val="20"/>
          <w:rtl/>
        </w:rPr>
        <w:t>מושג מופשט ומורכב, ולא במקרה</w:t>
      </w:r>
      <w:r>
        <w:rPr>
          <w:rFonts w:hint="cs"/>
          <w:sz w:val="20"/>
          <w:szCs w:val="20"/>
          <w:rtl/>
        </w:rPr>
        <w:t>.</w:t>
      </w:r>
    </w:p>
    <w:p w:rsidR="005366A8" w:rsidRPr="00A5755E" w:rsidRDefault="005366A8" w:rsidP="005366A8">
      <w:pPr>
        <w:spacing w:after="60"/>
        <w:ind w:left="2160"/>
        <w:rPr>
          <w:sz w:val="20"/>
          <w:szCs w:val="20"/>
          <w:rtl/>
        </w:rPr>
      </w:pPr>
      <w:r w:rsidRPr="00A5755E">
        <w:rPr>
          <w:rFonts w:hint="cs"/>
          <w:sz w:val="20"/>
          <w:szCs w:val="20"/>
          <w:rtl/>
        </w:rPr>
        <w:t>(ויכוחים סבוכים, שנשוב אליהם לעת דיון בחוקתה הפורמלית של ישראל</w:t>
      </w:r>
      <w:r>
        <w:rPr>
          <w:rFonts w:hint="cs"/>
          <w:sz w:val="20"/>
          <w:szCs w:val="20"/>
          <w:rtl/>
        </w:rPr>
        <w:t xml:space="preserve"> ותדונו בהם בקורס בתורת המשפט</w:t>
      </w:r>
      <w:r w:rsidRPr="00A5755E">
        <w:rPr>
          <w:rFonts w:hint="cs"/>
          <w:sz w:val="20"/>
          <w:szCs w:val="20"/>
          <w:rtl/>
        </w:rPr>
        <w:t>)</w:t>
      </w:r>
    </w:p>
    <w:p w:rsidR="005366A8" w:rsidRPr="00A5755E" w:rsidRDefault="005366A8" w:rsidP="005366A8">
      <w:pPr>
        <w:spacing w:after="60"/>
        <w:ind w:left="720" w:right="-90"/>
        <w:rPr>
          <w:sz w:val="20"/>
          <w:szCs w:val="20"/>
          <w:rtl/>
        </w:rPr>
      </w:pPr>
      <w:r w:rsidRPr="00A5755E">
        <w:rPr>
          <w:rFonts w:hint="cs"/>
          <w:sz w:val="20"/>
          <w:szCs w:val="20"/>
          <w:rtl/>
        </w:rPr>
        <w:t xml:space="preserve">הגדרה ראשונית </w:t>
      </w:r>
      <w:r w:rsidRPr="00A5755E">
        <w:rPr>
          <w:sz w:val="20"/>
          <w:szCs w:val="20"/>
          <w:rtl/>
        </w:rPr>
        <w:t>–</w:t>
      </w:r>
      <w:r w:rsidRPr="00A5755E">
        <w:rPr>
          <w:rFonts w:hint="cs"/>
          <w:sz w:val="20"/>
          <w:szCs w:val="20"/>
          <w:rtl/>
        </w:rPr>
        <w:t xml:space="preserve"> הנורמה הבסיסית איננה כלל-יסוד משפטי אלא </w:t>
      </w:r>
      <w:r w:rsidRPr="000E4257">
        <w:rPr>
          <w:rFonts w:hint="cs"/>
          <w:b/>
          <w:bCs/>
          <w:sz w:val="20"/>
          <w:szCs w:val="20"/>
          <w:highlight w:val="yellow"/>
          <w:rtl/>
        </w:rPr>
        <w:t>חוץ-משפטי</w:t>
      </w:r>
      <w:r w:rsidRPr="00A5755E">
        <w:rPr>
          <w:rFonts w:hint="cs"/>
          <w:sz w:val="20"/>
          <w:szCs w:val="20"/>
          <w:rtl/>
        </w:rPr>
        <w:t>. כלל הקרוי לעיתים "</w:t>
      </w:r>
      <w:r w:rsidRPr="000E4257">
        <w:rPr>
          <w:rFonts w:hint="cs"/>
          <w:b/>
          <w:bCs/>
          <w:sz w:val="20"/>
          <w:szCs w:val="20"/>
          <w:rtl/>
        </w:rPr>
        <w:t>כלל הזיהוי</w:t>
      </w:r>
      <w:r w:rsidRPr="00A5755E">
        <w:rPr>
          <w:rFonts w:hint="cs"/>
          <w:sz w:val="20"/>
          <w:szCs w:val="20"/>
          <w:rtl/>
        </w:rPr>
        <w:t>" [</w:t>
      </w:r>
      <w:r>
        <w:rPr>
          <w:rFonts w:hint="cs"/>
          <w:sz w:val="20"/>
          <w:szCs w:val="20"/>
          <w:rtl/>
        </w:rPr>
        <w:t xml:space="preserve">בעקבות הפילוסוף </w:t>
      </w:r>
      <w:r w:rsidRPr="00A5755E">
        <w:rPr>
          <w:rFonts w:hint="cs"/>
          <w:sz w:val="20"/>
          <w:szCs w:val="20"/>
          <w:rtl/>
        </w:rPr>
        <w:t xml:space="preserve">הארט]: </w:t>
      </w:r>
    </w:p>
    <w:p w:rsidR="005366A8" w:rsidRPr="00A5755E" w:rsidRDefault="005366A8" w:rsidP="005366A8">
      <w:pPr>
        <w:spacing w:after="60"/>
        <w:ind w:left="1440"/>
        <w:rPr>
          <w:sz w:val="20"/>
          <w:szCs w:val="20"/>
          <w:rtl/>
        </w:rPr>
      </w:pPr>
      <w:r w:rsidRPr="00A5755E">
        <w:rPr>
          <w:rFonts w:hint="cs"/>
          <w:sz w:val="20"/>
          <w:szCs w:val="20"/>
          <w:rtl/>
        </w:rPr>
        <w:t>מדובר בתיאוריה הפוליטית-מוסרית המקובלת בקרב רוב החברה, ומכוחה מזוהה המוסד השלטוני-משפטי העליון באותה חברה. המוסד שהוא בראש הפירמידה המוסדית, ולו כולם חבים ציות.</w:t>
      </w:r>
    </w:p>
    <w:p w:rsidR="005366A8" w:rsidRPr="00A5755E" w:rsidRDefault="005366A8" w:rsidP="005366A8">
      <w:pPr>
        <w:spacing w:after="60"/>
        <w:ind w:left="1440"/>
        <w:rPr>
          <w:sz w:val="20"/>
          <w:szCs w:val="20"/>
          <w:rtl/>
        </w:rPr>
      </w:pPr>
      <w:r w:rsidRPr="00A5755E">
        <w:rPr>
          <w:rFonts w:hint="cs"/>
          <w:sz w:val="20"/>
          <w:szCs w:val="20"/>
          <w:rtl/>
        </w:rPr>
        <w:t xml:space="preserve">במדינות הדמוקרטיות </w:t>
      </w:r>
      <w:r w:rsidRPr="00A5755E">
        <w:rPr>
          <w:sz w:val="20"/>
          <w:szCs w:val="20"/>
          <w:rtl/>
        </w:rPr>
        <w:t>–</w:t>
      </w:r>
      <w:r w:rsidRPr="00A5755E">
        <w:rPr>
          <w:rFonts w:hint="cs"/>
          <w:sz w:val="20"/>
          <w:szCs w:val="20"/>
          <w:rtl/>
        </w:rPr>
        <w:t xml:space="preserve"> ברובן </w:t>
      </w:r>
      <w:r w:rsidRPr="00A5755E">
        <w:rPr>
          <w:sz w:val="20"/>
          <w:szCs w:val="20"/>
          <w:rtl/>
        </w:rPr>
        <w:t>–</w:t>
      </w:r>
      <w:r w:rsidRPr="00A5755E">
        <w:rPr>
          <w:rFonts w:hint="cs"/>
          <w:sz w:val="20"/>
          <w:szCs w:val="20"/>
          <w:rtl/>
        </w:rPr>
        <w:t xml:space="preserve"> מוסד זה הוא </w:t>
      </w:r>
      <w:r w:rsidRPr="000E4257">
        <w:rPr>
          <w:rFonts w:hint="cs"/>
          <w:b/>
          <w:bCs/>
          <w:sz w:val="20"/>
          <w:szCs w:val="20"/>
          <w:u w:val="single"/>
          <w:rtl/>
        </w:rPr>
        <w:t>הרשות המכוננת</w:t>
      </w:r>
      <w:r w:rsidRPr="00A5755E">
        <w:rPr>
          <w:rFonts w:hint="cs"/>
          <w:sz w:val="20"/>
          <w:szCs w:val="20"/>
          <w:rtl/>
        </w:rPr>
        <w:t xml:space="preserve">. </w:t>
      </w:r>
    </w:p>
    <w:p w:rsidR="005366A8" w:rsidRPr="00A5755E" w:rsidRDefault="005366A8" w:rsidP="005366A8">
      <w:pPr>
        <w:spacing w:after="60"/>
        <w:ind w:left="2160" w:hanging="720"/>
        <w:rPr>
          <w:sz w:val="20"/>
          <w:szCs w:val="20"/>
          <w:rtl/>
        </w:rPr>
      </w:pPr>
      <w:r w:rsidRPr="00A5755E">
        <w:rPr>
          <w:rFonts w:hint="cs"/>
          <w:sz w:val="20"/>
          <w:szCs w:val="20"/>
          <w:rtl/>
        </w:rPr>
        <w:t xml:space="preserve">במדינות דמוקרטיות זיהוי חובת הציות לאותו מוסד, אינו זהה לזיהויה של "כפייה אפקטיבית", </w:t>
      </w:r>
      <w:r>
        <w:rPr>
          <w:rFonts w:hint="cs"/>
          <w:sz w:val="20"/>
          <w:szCs w:val="20"/>
          <w:rtl/>
        </w:rPr>
        <w:t xml:space="preserve">כלומר יכולתו של אותו מוסד לכפות עלינו בכוח הזרוע לעשות את שהוא מחליט, </w:t>
      </w:r>
      <w:r w:rsidRPr="00A5755E">
        <w:rPr>
          <w:rFonts w:hint="cs"/>
          <w:sz w:val="20"/>
          <w:szCs w:val="20"/>
          <w:rtl/>
        </w:rPr>
        <w:t xml:space="preserve">אלא הוא קשור בזיהויה של "לגיטימיות": </w:t>
      </w:r>
      <w:r>
        <w:rPr>
          <w:rFonts w:hint="cs"/>
          <w:sz w:val="20"/>
          <w:szCs w:val="20"/>
          <w:rtl/>
        </w:rPr>
        <w:t xml:space="preserve">קרי, </w:t>
      </w:r>
      <w:r w:rsidRPr="00A5755E">
        <w:rPr>
          <w:rFonts w:hint="cs"/>
          <w:sz w:val="20"/>
          <w:szCs w:val="20"/>
          <w:rtl/>
        </w:rPr>
        <w:t xml:space="preserve">הסכמה למיקומו של אותו מוסד בראש הפירמידה, והסכמה לצורך לציית להוראותיו. </w:t>
      </w:r>
    </w:p>
    <w:p w:rsidR="005366A8" w:rsidRPr="00A5755E" w:rsidRDefault="005366A8" w:rsidP="005366A8">
      <w:pPr>
        <w:spacing w:after="60"/>
        <w:ind w:left="2160" w:hanging="720"/>
        <w:rPr>
          <w:sz w:val="20"/>
          <w:szCs w:val="20"/>
          <w:rtl/>
        </w:rPr>
      </w:pPr>
      <w:r>
        <w:rPr>
          <w:rFonts w:hint="cs"/>
          <w:sz w:val="20"/>
          <w:szCs w:val="20"/>
          <w:rtl/>
        </w:rPr>
        <w:t xml:space="preserve">ואולם </w:t>
      </w:r>
      <w:r w:rsidRPr="00A5755E">
        <w:rPr>
          <w:rFonts w:hint="cs"/>
          <w:sz w:val="20"/>
          <w:szCs w:val="20"/>
          <w:rtl/>
        </w:rPr>
        <w:t xml:space="preserve">האם מוסד זה הוא "כל-יכול" </w:t>
      </w:r>
      <w:r w:rsidRPr="00A5755E">
        <w:rPr>
          <w:sz w:val="20"/>
          <w:szCs w:val="20"/>
          <w:rtl/>
        </w:rPr>
        <w:t>–</w:t>
      </w:r>
      <w:r w:rsidRPr="00A5755E">
        <w:rPr>
          <w:rFonts w:hint="cs"/>
          <w:sz w:val="20"/>
          <w:szCs w:val="20"/>
          <w:rtl/>
        </w:rPr>
        <w:t xml:space="preserve"> האם אנו חבים לו ציות מוחלט?  האם סמכותו נטולת מגבלות?  האם הנורמה הבסיסית לא "מזהה" את ה</w:t>
      </w:r>
      <w:r>
        <w:rPr>
          <w:rFonts w:hint="cs"/>
          <w:sz w:val="20"/>
          <w:szCs w:val="20"/>
          <w:rtl/>
        </w:rPr>
        <w:t xml:space="preserve">סמכות ביחד, כלומר בו-זמנית, עם זיהוי </w:t>
      </w:r>
      <w:r w:rsidRPr="000E4257">
        <w:rPr>
          <w:rFonts w:hint="cs"/>
          <w:sz w:val="20"/>
          <w:szCs w:val="20"/>
          <w:u w:val="single"/>
          <w:rtl/>
        </w:rPr>
        <w:t>מגבלותיו</w:t>
      </w:r>
      <w:r>
        <w:rPr>
          <w:rFonts w:hint="cs"/>
          <w:sz w:val="20"/>
          <w:szCs w:val="20"/>
          <w:rtl/>
        </w:rPr>
        <w:t xml:space="preserve"> של מוסד זה</w:t>
      </w:r>
      <w:r w:rsidRPr="00A5755E">
        <w:rPr>
          <w:rFonts w:hint="cs"/>
          <w:sz w:val="20"/>
          <w:szCs w:val="20"/>
          <w:rtl/>
        </w:rPr>
        <w:t>?</w:t>
      </w:r>
    </w:p>
    <w:p w:rsidR="005366A8" w:rsidRPr="00A5755E" w:rsidRDefault="005366A8" w:rsidP="005366A8">
      <w:pPr>
        <w:ind w:left="1440"/>
        <w:rPr>
          <w:sz w:val="20"/>
          <w:szCs w:val="20"/>
          <w:rtl/>
        </w:rPr>
      </w:pPr>
      <w:r>
        <w:rPr>
          <w:rFonts w:hint="cs"/>
          <w:sz w:val="20"/>
          <w:szCs w:val="20"/>
          <w:rtl/>
        </w:rPr>
        <w:t xml:space="preserve">יתר על כן, </w:t>
      </w:r>
      <w:r w:rsidRPr="00A5755E">
        <w:rPr>
          <w:rFonts w:hint="cs"/>
          <w:sz w:val="20"/>
          <w:szCs w:val="20"/>
          <w:rtl/>
        </w:rPr>
        <w:t>בצד אותו מוסד עליון הקובע את הנורמות העליונות מזוהה גם המוסד המוסמך לפרשן וליישמן.</w:t>
      </w:r>
    </w:p>
    <w:p w:rsidR="005366A8" w:rsidRPr="00DB343C" w:rsidRDefault="005366A8" w:rsidP="005366A8">
      <w:pPr>
        <w:rPr>
          <w:b/>
          <w:bCs/>
          <w:sz w:val="22"/>
          <w:szCs w:val="22"/>
          <w:rtl/>
        </w:rPr>
      </w:pPr>
    </w:p>
    <w:p w:rsidR="005366A8" w:rsidRDefault="005366A8" w:rsidP="005366A8">
      <w:pPr>
        <w:rPr>
          <w:sz w:val="20"/>
          <w:szCs w:val="20"/>
          <w:rtl/>
        </w:rPr>
      </w:pPr>
      <w:r w:rsidRPr="00034BFE">
        <w:rPr>
          <w:rFonts w:hint="cs"/>
          <w:sz w:val="20"/>
          <w:szCs w:val="20"/>
          <w:rtl/>
        </w:rPr>
        <w:t>=-=</w:t>
      </w:r>
    </w:p>
    <w:p w:rsidR="005366A8" w:rsidRPr="000E4257" w:rsidRDefault="005366A8" w:rsidP="005366A8">
      <w:pPr>
        <w:spacing w:after="120"/>
        <w:rPr>
          <w:rFonts w:cs="Guttman-Soncino"/>
          <w:b/>
          <w:bCs/>
          <w:sz w:val="28"/>
          <w:szCs w:val="28"/>
          <w:u w:val="single"/>
          <w:rtl/>
        </w:rPr>
      </w:pPr>
      <w:r w:rsidRPr="000E4257">
        <w:rPr>
          <w:rFonts w:cs="Guttman-Soncino" w:hint="cs"/>
          <w:b/>
          <w:bCs/>
          <w:sz w:val="28"/>
          <w:szCs w:val="28"/>
          <w:u w:val="single"/>
          <w:rtl/>
        </w:rPr>
        <w:t>חשיבותה וייחודה של מגילת העצמאות</w:t>
      </w:r>
    </w:p>
    <w:p w:rsidR="005366A8" w:rsidRPr="008A0AB2" w:rsidRDefault="005366A8" w:rsidP="005366A8">
      <w:pPr>
        <w:pStyle w:val="FootnoteText"/>
        <w:spacing w:after="60"/>
        <w:ind w:left="1440" w:hanging="720"/>
        <w:rPr>
          <w:rFonts w:ascii="Arial" w:hAnsi="Arial" w:cs="Arial"/>
          <w:b/>
          <w:bCs/>
          <w:i/>
          <w:iCs/>
          <w:sz w:val="24"/>
          <w:szCs w:val="24"/>
          <w:highlight w:val="yellow"/>
          <w:rtl/>
        </w:rPr>
      </w:pPr>
      <w:r w:rsidRPr="000E73A3">
        <w:rPr>
          <w:rFonts w:ascii="Arial" w:hAnsi="Arial" w:cs="Arial"/>
          <w:b/>
          <w:bCs/>
          <w:sz w:val="20"/>
          <w:szCs w:val="20"/>
          <w:highlight w:val="yellow"/>
          <w:rtl/>
        </w:rPr>
        <w:t>"אבן הפינה"</w:t>
      </w:r>
      <w:r w:rsidRPr="000E73A3">
        <w:rPr>
          <w:rFonts w:ascii="Arial" w:hAnsi="Arial" w:cs="Arial" w:hint="cs"/>
          <w:b/>
          <w:bCs/>
          <w:sz w:val="20"/>
          <w:szCs w:val="20"/>
          <w:highlight w:val="yellow"/>
          <w:rtl/>
        </w:rPr>
        <w:t>, "נקודת הראשית"</w:t>
      </w:r>
      <w:r>
        <w:rPr>
          <w:rFonts w:ascii="Arial" w:hAnsi="Arial" w:cs="Arial" w:hint="cs"/>
          <w:b/>
          <w:bCs/>
          <w:sz w:val="20"/>
          <w:szCs w:val="20"/>
          <w:highlight w:val="yellow"/>
          <w:rtl/>
        </w:rPr>
        <w:t>,</w:t>
      </w:r>
      <w:r w:rsidRPr="000E73A3">
        <w:rPr>
          <w:rFonts w:ascii="Arial" w:hAnsi="Arial" w:cs="Arial"/>
          <w:b/>
          <w:bCs/>
          <w:sz w:val="20"/>
          <w:szCs w:val="20"/>
          <w:highlight w:val="yellow"/>
          <w:rtl/>
        </w:rPr>
        <w:t xml:space="preserve"> </w:t>
      </w:r>
      <w:r>
        <w:rPr>
          <w:rFonts w:ascii="Arial" w:hAnsi="Arial" w:cs="Arial" w:hint="cs"/>
          <w:b/>
          <w:bCs/>
          <w:sz w:val="20"/>
          <w:szCs w:val="20"/>
          <w:highlight w:val="yellow"/>
          <w:rtl/>
        </w:rPr>
        <w:t xml:space="preserve">של המשפט הישראלי היא </w:t>
      </w:r>
      <w:r w:rsidRPr="008A0AB2">
        <w:rPr>
          <w:rFonts w:ascii="Arial" w:hAnsi="Arial" w:cs="Arial" w:hint="cs"/>
          <w:b/>
          <w:bCs/>
          <w:i/>
          <w:iCs/>
          <w:sz w:val="24"/>
          <w:szCs w:val="24"/>
          <w:highlight w:val="yellow"/>
          <w:rtl/>
        </w:rPr>
        <w:t>מגילת העצמאות.</w:t>
      </w:r>
    </w:p>
    <w:p w:rsidR="005366A8" w:rsidRDefault="005366A8" w:rsidP="005366A8">
      <w:pPr>
        <w:pStyle w:val="FootnoteText"/>
        <w:spacing w:after="60"/>
        <w:ind w:left="1440" w:hanging="720"/>
        <w:rPr>
          <w:rFonts w:ascii="Arial" w:hAnsi="Arial" w:cs="Arial"/>
          <w:b/>
          <w:bCs/>
          <w:sz w:val="20"/>
          <w:szCs w:val="20"/>
          <w:highlight w:val="yellow"/>
          <w:rtl/>
        </w:rPr>
      </w:pPr>
      <w:r>
        <w:rPr>
          <w:rFonts w:ascii="Arial" w:hAnsi="Arial" w:cs="Arial" w:hint="cs"/>
          <w:b/>
          <w:bCs/>
          <w:sz w:val="20"/>
          <w:szCs w:val="20"/>
          <w:highlight w:val="yellow"/>
          <w:rtl/>
        </w:rPr>
        <w:t xml:space="preserve">חלקים ממנה מספרים את </w:t>
      </w:r>
      <w:r w:rsidRPr="00F502BD">
        <w:rPr>
          <w:rFonts w:ascii="Arial" w:hAnsi="Arial" w:cs="Arial" w:hint="cs"/>
          <w:b/>
          <w:bCs/>
          <w:sz w:val="20"/>
          <w:szCs w:val="20"/>
          <w:highlight w:val="yellow"/>
          <w:u w:val="single"/>
          <w:rtl/>
        </w:rPr>
        <w:t>הנארטיב הרשמי, הסיפור הרשמי</w:t>
      </w:r>
      <w:r>
        <w:rPr>
          <w:rFonts w:ascii="Arial" w:hAnsi="Arial" w:cs="Arial" w:hint="cs"/>
          <w:b/>
          <w:bCs/>
          <w:sz w:val="20"/>
          <w:szCs w:val="20"/>
          <w:highlight w:val="yellow"/>
          <w:rtl/>
        </w:rPr>
        <w:t xml:space="preserve">, של המדינה, של הציונות, והם חשובים מאד משום כך. זה "הסיפור" הרשמי, החרוט עלי מסמך בעל חשיבות מיוחדת, ולכן גם לא פתוח לשום שינוי פשוט. </w:t>
      </w:r>
    </w:p>
    <w:p w:rsidR="005366A8" w:rsidRDefault="005366A8" w:rsidP="005366A8">
      <w:pPr>
        <w:pStyle w:val="FootnoteText"/>
        <w:spacing w:after="60"/>
        <w:ind w:left="1440" w:hanging="720"/>
        <w:rPr>
          <w:rFonts w:ascii="Arial" w:hAnsi="Arial" w:cs="Arial"/>
          <w:b/>
          <w:bCs/>
          <w:sz w:val="20"/>
          <w:szCs w:val="20"/>
          <w:highlight w:val="yellow"/>
          <w:rtl/>
        </w:rPr>
      </w:pPr>
      <w:r>
        <w:rPr>
          <w:rFonts w:ascii="Arial" w:hAnsi="Arial" w:cs="Arial" w:hint="cs"/>
          <w:b/>
          <w:bCs/>
          <w:sz w:val="20"/>
          <w:szCs w:val="20"/>
          <w:highlight w:val="yellow"/>
          <w:rtl/>
        </w:rPr>
        <w:t xml:space="preserve">ואולם חלקים אחרים של מגילת העצמאות (או הכרזת העצמאות) אינם סיפור או תיאור אלא הם מתנסחים כ"נורמה". אומרים מה צריך להיעשות ואיך. הם מהווים את </w:t>
      </w:r>
      <w:r w:rsidRPr="000E73A3">
        <w:rPr>
          <w:rFonts w:ascii="Arial" w:hAnsi="Arial" w:cs="Arial"/>
          <w:b/>
          <w:bCs/>
          <w:sz w:val="20"/>
          <w:szCs w:val="20"/>
          <w:highlight w:val="yellow"/>
          <w:rtl/>
        </w:rPr>
        <w:t xml:space="preserve">הנורמה המשפטית </w:t>
      </w:r>
      <w:r w:rsidRPr="008A0AB2">
        <w:rPr>
          <w:rFonts w:ascii="Arial" w:hAnsi="Arial" w:cs="Arial"/>
          <w:b/>
          <w:bCs/>
          <w:sz w:val="20"/>
          <w:szCs w:val="20"/>
          <w:highlight w:val="yellow"/>
          <w:u w:val="single"/>
          <w:rtl/>
        </w:rPr>
        <w:t>הראשונה</w:t>
      </w:r>
      <w:r w:rsidRPr="008A0AB2">
        <w:rPr>
          <w:rFonts w:ascii="Arial" w:hAnsi="Arial" w:cs="Arial" w:hint="cs"/>
          <w:b/>
          <w:bCs/>
          <w:sz w:val="20"/>
          <w:szCs w:val="20"/>
          <w:highlight w:val="yellow"/>
          <w:u w:val="single"/>
          <w:rtl/>
        </w:rPr>
        <w:t xml:space="preserve"> </w:t>
      </w:r>
      <w:r w:rsidRPr="000E73A3">
        <w:rPr>
          <w:rFonts w:ascii="Arial" w:hAnsi="Arial" w:cs="Arial" w:hint="cs"/>
          <w:b/>
          <w:bCs/>
          <w:sz w:val="20"/>
          <w:szCs w:val="20"/>
          <w:highlight w:val="yellow"/>
          <w:rtl/>
        </w:rPr>
        <w:t xml:space="preserve">של המשפט הישראלי; </w:t>
      </w:r>
    </w:p>
    <w:p w:rsidR="005366A8" w:rsidRDefault="005366A8" w:rsidP="005366A8">
      <w:pPr>
        <w:pStyle w:val="FootnoteText"/>
        <w:spacing w:after="60"/>
        <w:ind w:left="1440" w:hanging="720"/>
        <w:rPr>
          <w:rFonts w:ascii="Arial" w:hAnsi="Arial" w:cs="Arial"/>
          <w:b/>
          <w:bCs/>
          <w:sz w:val="20"/>
          <w:szCs w:val="20"/>
          <w:highlight w:val="yellow"/>
          <w:rtl/>
        </w:rPr>
      </w:pPr>
      <w:r>
        <w:rPr>
          <w:rFonts w:ascii="Arial" w:hAnsi="Arial" w:cs="Arial" w:hint="cs"/>
          <w:b/>
          <w:bCs/>
          <w:sz w:val="20"/>
          <w:szCs w:val="20"/>
          <w:highlight w:val="yellow"/>
          <w:rtl/>
        </w:rPr>
        <w:t xml:space="preserve">ההכרזה גם מפרטת ומצהירה על ערכיה של המדינה ועל צורת משטרהּ (דמות המשטר שלה). בפועל היא </w:t>
      </w:r>
      <w:r>
        <w:rPr>
          <w:rFonts w:ascii="Arial" w:hAnsi="Arial" w:cs="Arial" w:hint="cs"/>
          <w:b/>
          <w:bCs/>
          <w:sz w:val="20"/>
          <w:szCs w:val="20"/>
          <w:highlight w:val="yellow"/>
          <w:u w:val="single"/>
          <w:rtl/>
        </w:rPr>
        <w:t>ה</w:t>
      </w:r>
      <w:r w:rsidRPr="008A0AB2">
        <w:rPr>
          <w:rFonts w:ascii="Arial" w:hAnsi="Arial" w:cs="Arial" w:hint="cs"/>
          <w:b/>
          <w:bCs/>
          <w:sz w:val="20"/>
          <w:szCs w:val="20"/>
          <w:highlight w:val="yellow"/>
          <w:u w:val="single"/>
          <w:rtl/>
        </w:rPr>
        <w:t xml:space="preserve">מקור </w:t>
      </w:r>
      <w:r>
        <w:rPr>
          <w:rFonts w:ascii="Arial" w:hAnsi="Arial" w:cs="Arial" w:hint="cs"/>
          <w:b/>
          <w:bCs/>
          <w:sz w:val="20"/>
          <w:szCs w:val="20"/>
          <w:highlight w:val="yellow"/>
          <w:u w:val="single"/>
          <w:rtl/>
        </w:rPr>
        <w:t>ה</w:t>
      </w:r>
      <w:r w:rsidRPr="008A0AB2">
        <w:rPr>
          <w:rFonts w:ascii="Arial" w:hAnsi="Arial" w:cs="Arial" w:hint="cs"/>
          <w:b/>
          <w:bCs/>
          <w:sz w:val="20"/>
          <w:szCs w:val="20"/>
          <w:highlight w:val="yellow"/>
          <w:u w:val="single"/>
          <w:rtl/>
        </w:rPr>
        <w:t>מרכזי לזיהויה של החוקה המהותית/ המאטריאלית</w:t>
      </w:r>
      <w:r w:rsidRPr="000E73A3">
        <w:rPr>
          <w:rFonts w:ascii="Arial" w:hAnsi="Arial" w:cs="Arial" w:hint="cs"/>
          <w:b/>
          <w:bCs/>
          <w:sz w:val="20"/>
          <w:szCs w:val="20"/>
          <w:highlight w:val="yellow"/>
          <w:rtl/>
        </w:rPr>
        <w:t xml:space="preserve"> של ישראל</w:t>
      </w:r>
      <w:r>
        <w:rPr>
          <w:rFonts w:ascii="Arial" w:hAnsi="Arial" w:cs="Arial" w:hint="cs"/>
          <w:b/>
          <w:bCs/>
          <w:sz w:val="20"/>
          <w:szCs w:val="20"/>
          <w:highlight w:val="yellow"/>
          <w:rtl/>
        </w:rPr>
        <w:t>;</w:t>
      </w:r>
    </w:p>
    <w:p w:rsidR="005366A8" w:rsidRPr="00FB3AF4" w:rsidRDefault="005366A8" w:rsidP="005366A8">
      <w:pPr>
        <w:pStyle w:val="FootnoteText"/>
        <w:spacing w:after="60"/>
        <w:ind w:left="1440" w:hanging="720"/>
        <w:rPr>
          <w:rFonts w:ascii="Arial" w:hAnsi="Arial" w:cs="Arial"/>
          <w:b/>
          <w:bCs/>
          <w:sz w:val="20"/>
          <w:szCs w:val="20"/>
          <w:rtl/>
        </w:rPr>
      </w:pPr>
      <w:r>
        <w:rPr>
          <w:rFonts w:ascii="Arial" w:hAnsi="Arial" w:cs="Arial" w:hint="cs"/>
          <w:b/>
          <w:bCs/>
          <w:sz w:val="20"/>
          <w:szCs w:val="20"/>
          <w:highlight w:val="yellow"/>
          <w:rtl/>
        </w:rPr>
        <w:t xml:space="preserve">יתר על כן, היא </w:t>
      </w:r>
      <w:r w:rsidRPr="008A0AB2">
        <w:rPr>
          <w:rFonts w:ascii="Arial" w:hAnsi="Arial" w:cs="Arial" w:hint="cs"/>
          <w:b/>
          <w:bCs/>
          <w:sz w:val="20"/>
          <w:szCs w:val="20"/>
          <w:highlight w:val="yellow"/>
          <w:u w:val="single"/>
          <w:rtl/>
        </w:rPr>
        <w:t>מקור משמעותי לזיהוי סמכויות שונות, ובתוך כך הסמכות לכינון נורמות חוקתיות</w:t>
      </w:r>
      <w:r>
        <w:rPr>
          <w:rFonts w:ascii="Arial" w:hAnsi="Arial" w:cs="Arial" w:hint="cs"/>
          <w:b/>
          <w:bCs/>
          <w:sz w:val="20"/>
          <w:szCs w:val="20"/>
          <w:highlight w:val="yellow"/>
          <w:rtl/>
        </w:rPr>
        <w:t xml:space="preserve"> ("החוקה הפורמאלית")</w:t>
      </w:r>
      <w:r>
        <w:rPr>
          <w:rFonts w:ascii="Arial" w:hAnsi="Arial" w:cs="Arial" w:hint="cs"/>
          <w:b/>
          <w:bCs/>
          <w:sz w:val="20"/>
          <w:szCs w:val="20"/>
          <w:rtl/>
        </w:rPr>
        <w:t>.</w:t>
      </w:r>
    </w:p>
    <w:p w:rsidR="005366A8" w:rsidRPr="004957E7" w:rsidRDefault="005366A8" w:rsidP="005366A8">
      <w:pPr>
        <w:jc w:val="center"/>
        <w:rPr>
          <w:rFonts w:ascii="Arial" w:hAnsi="Arial" w:cs="Arial"/>
          <w:b/>
          <w:bCs/>
          <w:sz w:val="26"/>
          <w:szCs w:val="26"/>
          <w:highlight w:val="yellow"/>
          <w:rtl/>
        </w:rPr>
      </w:pPr>
      <w:r w:rsidRPr="004957E7">
        <w:rPr>
          <w:rFonts w:ascii="Arial" w:hAnsi="Arial" w:cs="Arial"/>
          <w:b/>
          <w:bCs/>
          <w:sz w:val="26"/>
          <w:szCs w:val="26"/>
          <w:highlight w:val="yellow"/>
          <w:rtl/>
        </w:rPr>
        <w:t xml:space="preserve">החוקה המהותית של ישראל </w:t>
      </w:r>
      <w:r w:rsidRPr="004957E7">
        <w:rPr>
          <w:rFonts w:ascii="Arial" w:hAnsi="Arial" w:cs="Arial"/>
          <w:b/>
          <w:bCs/>
          <w:sz w:val="26"/>
          <w:szCs w:val="26"/>
          <w:highlight w:val="yellow"/>
        </w:rPr>
        <w:t>–</w:t>
      </w:r>
    </w:p>
    <w:p w:rsidR="005366A8" w:rsidRPr="004957E7" w:rsidRDefault="005366A8" w:rsidP="005366A8">
      <w:pPr>
        <w:jc w:val="center"/>
        <w:rPr>
          <w:rFonts w:ascii="Arial" w:hAnsi="Arial" w:cs="Arial"/>
          <w:b/>
          <w:bCs/>
          <w:sz w:val="26"/>
          <w:szCs w:val="26"/>
          <w:highlight w:val="yellow"/>
          <w:rtl/>
        </w:rPr>
      </w:pPr>
      <w:r w:rsidRPr="004957E7">
        <w:rPr>
          <w:rFonts w:ascii="Arial" w:hAnsi="Arial" w:cs="Arial" w:hint="cs"/>
          <w:b/>
          <w:bCs/>
          <w:sz w:val="26"/>
          <w:szCs w:val="26"/>
          <w:highlight w:val="yellow"/>
          <w:rtl/>
        </w:rPr>
        <w:t>"</w:t>
      </w:r>
      <w:r w:rsidRPr="004957E7">
        <w:rPr>
          <w:rFonts w:ascii="Arial" w:hAnsi="Arial" w:cs="Arial"/>
          <w:b/>
          <w:bCs/>
          <w:sz w:val="26"/>
          <w:szCs w:val="26"/>
          <w:highlight w:val="yellow"/>
          <w:rtl/>
        </w:rPr>
        <w:t>ערכי היסוד</w:t>
      </w:r>
      <w:r>
        <w:rPr>
          <w:rFonts w:ascii="Arial" w:hAnsi="Arial" w:cs="Arial" w:hint="cs"/>
          <w:b/>
          <w:bCs/>
          <w:sz w:val="26"/>
          <w:szCs w:val="26"/>
          <w:highlight w:val="yellow"/>
          <w:rtl/>
        </w:rPr>
        <w:t>"</w:t>
      </w:r>
      <w:r w:rsidRPr="004957E7">
        <w:rPr>
          <w:rFonts w:ascii="Arial" w:hAnsi="Arial" w:cs="Arial"/>
          <w:b/>
          <w:bCs/>
          <w:sz w:val="26"/>
          <w:szCs w:val="26"/>
          <w:highlight w:val="yellow"/>
          <w:rtl/>
        </w:rPr>
        <w:t xml:space="preserve"> של ישראל כ</w:t>
      </w:r>
      <w:r>
        <w:rPr>
          <w:rFonts w:ascii="Arial" w:hAnsi="Arial" w:cs="Arial" w:hint="cs"/>
          <w:b/>
          <w:bCs/>
          <w:sz w:val="26"/>
          <w:szCs w:val="26"/>
          <w:highlight w:val="yellow"/>
          <w:rtl/>
        </w:rPr>
        <w:t>"</w:t>
      </w:r>
      <w:r w:rsidRPr="004957E7">
        <w:rPr>
          <w:rFonts w:ascii="Arial" w:hAnsi="Arial" w:cs="Arial"/>
          <w:b/>
          <w:bCs/>
          <w:sz w:val="26"/>
          <w:szCs w:val="26"/>
          <w:highlight w:val="yellow"/>
          <w:rtl/>
        </w:rPr>
        <w:t>מדינה יהודית ודמוקרטית</w:t>
      </w:r>
      <w:r w:rsidRPr="004957E7">
        <w:rPr>
          <w:rFonts w:ascii="Arial" w:hAnsi="Arial" w:cs="Arial" w:hint="cs"/>
          <w:b/>
          <w:bCs/>
          <w:sz w:val="26"/>
          <w:szCs w:val="26"/>
          <w:highlight w:val="yellow"/>
          <w:rtl/>
        </w:rPr>
        <w:t>"</w:t>
      </w:r>
    </w:p>
    <w:p w:rsidR="005366A8" w:rsidRPr="004957E7" w:rsidRDefault="005366A8" w:rsidP="005366A8">
      <w:pPr>
        <w:pStyle w:val="Heading5"/>
        <w:spacing w:after="0"/>
        <w:jc w:val="center"/>
        <w:rPr>
          <w:rFonts w:ascii="Arial" w:hAnsi="Arial" w:cs="Arial"/>
          <w:sz w:val="22"/>
          <w:szCs w:val="22"/>
          <w:highlight w:val="yellow"/>
          <w:rtl/>
        </w:rPr>
      </w:pPr>
    </w:p>
    <w:p w:rsidR="005366A8" w:rsidRPr="00501F43" w:rsidRDefault="005366A8" w:rsidP="005366A8">
      <w:pPr>
        <w:pStyle w:val="Heading5"/>
        <w:jc w:val="center"/>
        <w:rPr>
          <w:rFonts w:ascii="Arial" w:hAnsi="Arial" w:cs="Arial"/>
          <w:sz w:val="22"/>
          <w:szCs w:val="22"/>
          <w:rtl/>
        </w:rPr>
      </w:pPr>
      <w:r w:rsidRPr="00947908">
        <w:rPr>
          <w:rFonts w:ascii="Arial" w:hAnsi="Arial" w:cs="Arial"/>
          <w:sz w:val="22"/>
          <w:szCs w:val="22"/>
          <w:highlight w:val="green"/>
          <w:rtl/>
        </w:rPr>
        <w:t>ההכרזה על הקמת מדינת ישראל ['מגילת העצמאות']</w:t>
      </w:r>
    </w:p>
    <w:p w:rsidR="005366A8" w:rsidRPr="00BC3985" w:rsidRDefault="005366A8" w:rsidP="005366A8">
      <w:pPr>
        <w:spacing w:after="120"/>
        <w:ind w:left="720" w:right="851"/>
        <w:rPr>
          <w:rFonts w:cs="Guttman-Soncino"/>
          <w:i/>
          <w:iCs/>
          <w:sz w:val="20"/>
          <w:szCs w:val="20"/>
          <w:highlight w:val="yellow"/>
          <w:rtl/>
        </w:rPr>
      </w:pPr>
      <w:r w:rsidRPr="001724C0">
        <w:rPr>
          <w:rFonts w:cs="Guttman-Soncino"/>
          <w:sz w:val="20"/>
          <w:szCs w:val="20"/>
          <w:highlight w:val="yellow"/>
          <w:rtl/>
        </w:rPr>
        <w:t xml:space="preserve">לפיכך נתכנסנו, אנו חברי מועצת העם, נציגי הישוב העברי והתנועה הציונית, ביום סיום המנדט הבריטי על ארץ-ישראל, ובתוקף זכותנו הטבעית וההיסטורית ועל יסוד החלטת עצרת האומות המאוחדות </w:t>
      </w:r>
      <w:r w:rsidRPr="00BC3985">
        <w:rPr>
          <w:rFonts w:cs="Guttman-Soncino"/>
          <w:i/>
          <w:iCs/>
          <w:sz w:val="20"/>
          <w:szCs w:val="20"/>
          <w:highlight w:val="yellow"/>
          <w:rtl/>
        </w:rPr>
        <w:t>אנו מכריזים בזאת על הקמת מדינה יהודית בארץ-ישראל, היא מדינת ישראל.</w:t>
      </w:r>
    </w:p>
    <w:p w:rsidR="005366A8" w:rsidRPr="00BC3985" w:rsidRDefault="005366A8" w:rsidP="005366A8">
      <w:pPr>
        <w:spacing w:after="120"/>
        <w:ind w:left="720" w:right="851"/>
        <w:rPr>
          <w:rFonts w:cs="Guttman-Soncino"/>
          <w:i/>
          <w:iCs/>
          <w:sz w:val="20"/>
          <w:szCs w:val="20"/>
          <w:highlight w:val="yellow"/>
          <w:rtl/>
        </w:rPr>
      </w:pPr>
      <w:r w:rsidRPr="00BC3985">
        <w:rPr>
          <w:rFonts w:cs="Guttman-Soncino"/>
          <w:i/>
          <w:iCs/>
          <w:sz w:val="20"/>
          <w:szCs w:val="20"/>
          <w:highlight w:val="yellow"/>
          <w:rtl/>
        </w:rPr>
        <w:t>אנו קובעים שהחל מרגע סיום המנדט, הלילה, אור ליום שבת ו' אייר תש"ח, 15 במאי 1948, ועד להקמת השלטונות הנבחרים והסדירים של המדינה בהתאם לחוקה שתיקבע על-ידי האספה המכוננת הנבחרת לא יאוחר מ-1 באוקטובר 1948 - תפעל מועצת העם כמועצת מדינה זמנית, ומוסד הביצוע שלה, מנהלת-העם, יהווה את הממשלה הזמנית של המדינה היהודית, אשר תיקרא בשם ישראל.</w:t>
      </w:r>
    </w:p>
    <w:p w:rsidR="005366A8" w:rsidRPr="001724C0" w:rsidRDefault="005366A8" w:rsidP="005366A8">
      <w:pPr>
        <w:spacing w:after="120"/>
        <w:ind w:left="720" w:right="851"/>
        <w:rPr>
          <w:rFonts w:cs="Guttman-Soncino"/>
          <w:sz w:val="20"/>
          <w:szCs w:val="20"/>
          <w:highlight w:val="yellow"/>
          <w:rtl/>
        </w:rPr>
      </w:pPr>
      <w:r w:rsidRPr="00BC3985">
        <w:rPr>
          <w:rFonts w:cs="Guttman-Soncino"/>
          <w:i/>
          <w:iCs/>
          <w:sz w:val="20"/>
          <w:szCs w:val="20"/>
          <w:highlight w:val="yellow"/>
          <w:rtl/>
        </w:rPr>
        <w:t xml:space="preserve">מדינת ישראל תהא פתוחה לעליה יהודית ולקיבוץ גלויות; תשקוד על פיתוח הארץ לטובת כל תושביה; תהא מושתתה על יסודות החירות, הצדק והשלום לאור חזונם של נביאי ישראל; תקיים שויון זכויות חברתי ומדיני גמור לכל אזרחיה בלי הבדל דת, גזע ומין; תבטיח חופש דת, מצפון, לשון, חינוך ותרבות; תשמור על המקומות הקדושים של כל הדתות; ותהיה נאמנה לעקרונותיה של מגילת האומות המאוחדות. </w:t>
      </w:r>
      <w:r w:rsidRPr="001724C0">
        <w:rPr>
          <w:rFonts w:cs="Guttman-Soncino"/>
          <w:sz w:val="20"/>
          <w:szCs w:val="20"/>
          <w:highlight w:val="yellow"/>
          <w:rtl/>
        </w:rPr>
        <w:t xml:space="preserve"> [</w:t>
      </w:r>
      <w:r w:rsidRPr="001724C0">
        <w:rPr>
          <w:rFonts w:cs="Guttman-Soncino"/>
          <w:sz w:val="20"/>
          <w:szCs w:val="20"/>
          <w:highlight w:val="yellow"/>
        </w:rPr>
        <w:t>…</w:t>
      </w:r>
      <w:r w:rsidRPr="001724C0">
        <w:rPr>
          <w:rFonts w:cs="Guttman-Soncino"/>
          <w:sz w:val="20"/>
          <w:szCs w:val="20"/>
          <w:highlight w:val="yellow"/>
          <w:rtl/>
        </w:rPr>
        <w:t>]</w:t>
      </w:r>
    </w:p>
    <w:p w:rsidR="005366A8" w:rsidRPr="001724C0" w:rsidRDefault="005366A8" w:rsidP="005366A8">
      <w:pPr>
        <w:spacing w:after="120"/>
        <w:ind w:left="720" w:right="851"/>
        <w:rPr>
          <w:rFonts w:cs="Guttman-Soncino"/>
          <w:sz w:val="20"/>
          <w:szCs w:val="20"/>
          <w:rtl/>
        </w:rPr>
      </w:pPr>
      <w:r w:rsidRPr="001724C0">
        <w:rPr>
          <w:rFonts w:cs="Guttman-Soncino"/>
          <w:sz w:val="20"/>
          <w:szCs w:val="20"/>
          <w:highlight w:val="yellow"/>
          <w:rtl/>
        </w:rPr>
        <w:t>אנו קוראים - גם בתוך התקפת-הדמים הנערכת עלינו זה חדשים - לבני העם הערבי תושבי מדינת ישראל לשמור על השלום וליטול חלקם בבנין המדינה על יסוד אזרחות מלאה ושווה ועל יסוד נציגות מתאימה בכל מוסדותיה, הזמניים והקבועים.</w:t>
      </w:r>
    </w:p>
    <w:p w:rsidR="005366A8" w:rsidRPr="004957E7" w:rsidRDefault="005366A8" w:rsidP="005366A8">
      <w:pPr>
        <w:ind w:right="851"/>
        <w:rPr>
          <w:sz w:val="22"/>
          <w:szCs w:val="22"/>
          <w:rtl/>
        </w:rPr>
      </w:pPr>
      <w:r>
        <w:rPr>
          <w:rFonts w:hint="cs"/>
          <w:sz w:val="22"/>
          <w:szCs w:val="22"/>
          <w:rtl/>
        </w:rPr>
        <w:t>=-=</w:t>
      </w:r>
    </w:p>
    <w:p w:rsidR="005366A8" w:rsidRDefault="005366A8" w:rsidP="005366A8">
      <w:pPr>
        <w:rPr>
          <w:sz w:val="20"/>
          <w:szCs w:val="20"/>
          <w:rtl/>
        </w:rPr>
      </w:pPr>
    </w:p>
    <w:p w:rsidR="005366A8" w:rsidRPr="00947E0F" w:rsidRDefault="005366A8" w:rsidP="005366A8">
      <w:pPr>
        <w:pStyle w:val="Heading2"/>
        <w:spacing w:after="120"/>
        <w:rPr>
          <w:rtl/>
        </w:rPr>
      </w:pPr>
      <w:r w:rsidRPr="00947E0F">
        <w:rPr>
          <w:rFonts w:hint="cs"/>
          <w:highlight w:val="yellow"/>
          <w:rtl/>
        </w:rPr>
        <w:t>מגילת העצמאות וחשיבותה המיוחדת</w:t>
      </w:r>
      <w:r>
        <w:rPr>
          <w:rFonts w:hint="cs"/>
          <w:rtl/>
        </w:rPr>
        <w:t xml:space="preserve"> (פירוט)</w:t>
      </w:r>
    </w:p>
    <w:p w:rsidR="005366A8" w:rsidRPr="00431C66" w:rsidRDefault="005366A8" w:rsidP="005366A8">
      <w:pPr>
        <w:pStyle w:val="Heading2"/>
        <w:spacing w:after="120"/>
        <w:ind w:left="720"/>
        <w:rPr>
          <w:b w:val="0"/>
          <w:bCs w:val="0"/>
          <w:szCs w:val="22"/>
          <w:highlight w:val="yellow"/>
          <w:rtl/>
        </w:rPr>
      </w:pPr>
      <w:r w:rsidRPr="00431C66">
        <w:rPr>
          <w:rFonts w:hint="cs"/>
          <w:b w:val="0"/>
          <w:bCs w:val="0"/>
          <w:szCs w:val="22"/>
          <w:highlight w:val="yellow"/>
          <w:rtl/>
        </w:rPr>
        <w:t>^ היא נקודת הראשית, נקודת ההתחלה:</w:t>
      </w:r>
      <w:r>
        <w:rPr>
          <w:rFonts w:hint="cs"/>
          <w:b w:val="0"/>
          <w:bCs w:val="0"/>
          <w:szCs w:val="22"/>
          <w:highlight w:val="yellow"/>
          <w:rtl/>
        </w:rPr>
        <w:t xml:space="preserve"> </w:t>
      </w:r>
      <w:r w:rsidRPr="00D90AED">
        <w:rPr>
          <w:rFonts w:hint="cs"/>
          <w:szCs w:val="22"/>
          <w:highlight w:val="yellow"/>
          <w:rtl/>
        </w:rPr>
        <w:t>נקודת הזמן שבו נולדת מדינה חדשה</w:t>
      </w:r>
      <w:r>
        <w:rPr>
          <w:rFonts w:hint="cs"/>
          <w:szCs w:val="22"/>
          <w:highlight w:val="yellow"/>
          <w:rtl/>
        </w:rPr>
        <w:t>;</w:t>
      </w:r>
      <w:r>
        <w:rPr>
          <w:rFonts w:hint="cs"/>
          <w:b w:val="0"/>
          <w:bCs w:val="0"/>
          <w:szCs w:val="22"/>
          <w:highlight w:val="yellow"/>
          <w:rtl/>
        </w:rPr>
        <w:t xml:space="preserve"> ו</w:t>
      </w:r>
      <w:r w:rsidRPr="00431C66">
        <w:rPr>
          <w:rFonts w:hint="cs"/>
          <w:szCs w:val="22"/>
          <w:highlight w:val="yellow"/>
          <w:rtl/>
        </w:rPr>
        <w:t>המסמך המשפטי הראשון</w:t>
      </w:r>
      <w:r w:rsidRPr="00431C66">
        <w:rPr>
          <w:rFonts w:hint="cs"/>
          <w:b w:val="0"/>
          <w:bCs w:val="0"/>
          <w:szCs w:val="22"/>
          <w:highlight w:val="yellow"/>
          <w:rtl/>
        </w:rPr>
        <w:t xml:space="preserve"> של מדינת ישראל;</w:t>
      </w:r>
    </w:p>
    <w:p w:rsidR="005366A8" w:rsidRPr="00431C66" w:rsidRDefault="005366A8" w:rsidP="005366A8">
      <w:pPr>
        <w:ind w:left="1440" w:hanging="720"/>
        <w:rPr>
          <w:b/>
          <w:bCs/>
          <w:sz w:val="22"/>
          <w:szCs w:val="22"/>
          <w:highlight w:val="yellow"/>
          <w:rtl/>
        </w:rPr>
      </w:pPr>
      <w:r w:rsidRPr="00431C66">
        <w:rPr>
          <w:rFonts w:hint="cs"/>
          <w:sz w:val="22"/>
          <w:szCs w:val="22"/>
          <w:highlight w:val="yellow"/>
          <w:rtl/>
        </w:rPr>
        <w:t xml:space="preserve">^היא מסמך משפטי מכונן: </w:t>
      </w:r>
      <w:r>
        <w:rPr>
          <w:rFonts w:hint="cs"/>
          <w:sz w:val="22"/>
          <w:szCs w:val="22"/>
          <w:highlight w:val="yellow"/>
          <w:rtl/>
        </w:rPr>
        <w:t xml:space="preserve">באמצעות מילים </w:t>
      </w:r>
      <w:r>
        <w:rPr>
          <w:sz w:val="22"/>
          <w:szCs w:val="22"/>
          <w:highlight w:val="yellow"/>
          <w:rtl/>
        </w:rPr>
        <w:t>–</w:t>
      </w:r>
      <w:r>
        <w:rPr>
          <w:rFonts w:hint="cs"/>
          <w:sz w:val="22"/>
          <w:szCs w:val="22"/>
          <w:highlight w:val="yellow"/>
          <w:rtl/>
        </w:rPr>
        <w:t xml:space="preserve"> הנלוות לנסיבות חברתיות-פוליטיות וגאו-פוליטיות </w:t>
      </w:r>
      <w:r>
        <w:rPr>
          <w:sz w:val="22"/>
          <w:szCs w:val="22"/>
          <w:highlight w:val="yellow"/>
          <w:rtl/>
        </w:rPr>
        <w:t>–</w:t>
      </w:r>
      <w:r>
        <w:rPr>
          <w:rFonts w:hint="cs"/>
          <w:sz w:val="22"/>
          <w:szCs w:val="22"/>
          <w:highlight w:val="yellow"/>
          <w:rtl/>
        </w:rPr>
        <w:t xml:space="preserve"> מתחוללת </w:t>
      </w:r>
      <w:r w:rsidRPr="00431C66">
        <w:rPr>
          <w:rFonts w:hint="cs"/>
          <w:sz w:val="22"/>
          <w:szCs w:val="22"/>
          <w:highlight w:val="yellow"/>
          <w:rtl/>
        </w:rPr>
        <w:t>מטמורפוזה [=שינוי צורה ומהות] או טרנספורמציה</w:t>
      </w:r>
      <w:r>
        <w:rPr>
          <w:rFonts w:hint="cs"/>
          <w:sz w:val="22"/>
          <w:szCs w:val="22"/>
          <w:highlight w:val="yellow"/>
          <w:rtl/>
        </w:rPr>
        <w:t xml:space="preserve"> </w:t>
      </w:r>
      <w:r>
        <w:rPr>
          <w:sz w:val="22"/>
          <w:szCs w:val="22"/>
          <w:highlight w:val="yellow"/>
          <w:rtl/>
        </w:rPr>
        <w:t>–</w:t>
      </w:r>
      <w:r>
        <w:rPr>
          <w:rFonts w:hint="cs"/>
          <w:sz w:val="22"/>
          <w:szCs w:val="22"/>
          <w:highlight w:val="yellow"/>
          <w:rtl/>
        </w:rPr>
        <w:t xml:space="preserve"> קמה מדינה</w:t>
      </w:r>
      <w:r w:rsidRPr="00431C66">
        <w:rPr>
          <w:rFonts w:hint="cs"/>
          <w:sz w:val="22"/>
          <w:szCs w:val="22"/>
          <w:highlight w:val="yellow"/>
          <w:rtl/>
        </w:rPr>
        <w:t xml:space="preserve">: </w:t>
      </w:r>
    </w:p>
    <w:p w:rsidR="005366A8" w:rsidRPr="00431C66" w:rsidRDefault="005366A8" w:rsidP="005366A8">
      <w:pPr>
        <w:ind w:left="2160" w:hanging="720"/>
        <w:rPr>
          <w:b/>
          <w:bCs/>
          <w:sz w:val="22"/>
          <w:szCs w:val="22"/>
          <w:highlight w:val="yellow"/>
          <w:rtl/>
        </w:rPr>
      </w:pPr>
      <w:r>
        <w:rPr>
          <w:rFonts w:hint="cs"/>
          <w:b/>
          <w:bCs/>
          <w:sz w:val="22"/>
          <w:szCs w:val="22"/>
          <w:highlight w:val="yellow"/>
          <w:rtl/>
        </w:rPr>
        <w:t xml:space="preserve">- מופיע </w:t>
      </w:r>
      <w:r w:rsidRPr="00431C66">
        <w:rPr>
          <w:rFonts w:hint="cs"/>
          <w:b/>
          <w:bCs/>
          <w:sz w:val="22"/>
          <w:szCs w:val="22"/>
          <w:highlight w:val="yellow"/>
          <w:rtl/>
        </w:rPr>
        <w:t xml:space="preserve">מעבר מאין-מדינה למדינה;  </w:t>
      </w:r>
    </w:p>
    <w:p w:rsidR="005366A8" w:rsidRPr="00431C66" w:rsidRDefault="005366A8" w:rsidP="005366A8">
      <w:pPr>
        <w:ind w:left="2160" w:hanging="720"/>
        <w:rPr>
          <w:b/>
          <w:bCs/>
          <w:sz w:val="22"/>
          <w:szCs w:val="22"/>
          <w:highlight w:val="yellow"/>
          <w:rtl/>
        </w:rPr>
      </w:pPr>
      <w:r>
        <w:rPr>
          <w:rFonts w:hint="cs"/>
          <w:b/>
          <w:bCs/>
          <w:sz w:val="22"/>
          <w:szCs w:val="22"/>
          <w:highlight w:val="yellow"/>
          <w:rtl/>
        </w:rPr>
        <w:t xml:space="preserve">- מופיע </w:t>
      </w:r>
      <w:r w:rsidRPr="00431C66">
        <w:rPr>
          <w:b/>
          <w:bCs/>
          <w:sz w:val="22"/>
          <w:szCs w:val="22"/>
          <w:highlight w:val="yellow"/>
          <w:rtl/>
        </w:rPr>
        <w:t>מעבר ממוסדות של תנועת שחרור לאומי למוסדות של מדינה</w:t>
      </w:r>
      <w:r w:rsidRPr="00431C66">
        <w:rPr>
          <w:rFonts w:hint="cs"/>
          <w:b/>
          <w:bCs/>
          <w:sz w:val="22"/>
          <w:szCs w:val="22"/>
          <w:highlight w:val="yellow"/>
          <w:rtl/>
        </w:rPr>
        <w:t>:</w:t>
      </w:r>
    </w:p>
    <w:p w:rsidR="005366A8" w:rsidRDefault="005366A8" w:rsidP="005366A8">
      <w:pPr>
        <w:ind w:left="2160"/>
        <w:rPr>
          <w:sz w:val="22"/>
          <w:szCs w:val="22"/>
          <w:highlight w:val="yellow"/>
          <w:rtl/>
        </w:rPr>
      </w:pPr>
      <w:r w:rsidRPr="00431C66">
        <w:rPr>
          <w:sz w:val="22"/>
          <w:szCs w:val="22"/>
          <w:highlight w:val="yellow"/>
          <w:rtl/>
        </w:rPr>
        <w:t xml:space="preserve">מועצת העם -&gt; מועצת המדינה הזמנית;  </w:t>
      </w:r>
    </w:p>
    <w:p w:rsidR="005366A8" w:rsidRPr="00431C66" w:rsidRDefault="005366A8" w:rsidP="005366A8">
      <w:pPr>
        <w:spacing w:after="120"/>
        <w:ind w:left="2160"/>
        <w:rPr>
          <w:sz w:val="22"/>
          <w:szCs w:val="22"/>
          <w:highlight w:val="yellow"/>
          <w:rtl/>
        </w:rPr>
      </w:pPr>
      <w:r w:rsidRPr="00431C66">
        <w:rPr>
          <w:sz w:val="22"/>
          <w:szCs w:val="22"/>
          <w:highlight w:val="yellow"/>
          <w:rtl/>
        </w:rPr>
        <w:t>מינהלת העם -&gt; הממשלה הזמנית של המדינה היהודית</w:t>
      </w:r>
      <w:r w:rsidRPr="00431C66">
        <w:rPr>
          <w:rFonts w:hint="cs"/>
          <w:sz w:val="22"/>
          <w:szCs w:val="22"/>
          <w:highlight w:val="yellow"/>
          <w:rtl/>
        </w:rPr>
        <w:t>;</w:t>
      </w:r>
    </w:p>
    <w:p w:rsidR="005366A8" w:rsidRPr="00431C66" w:rsidRDefault="005366A8" w:rsidP="005366A8">
      <w:pPr>
        <w:ind w:left="720"/>
        <w:rPr>
          <w:sz w:val="22"/>
          <w:szCs w:val="22"/>
          <w:highlight w:val="yellow"/>
          <w:rtl/>
        </w:rPr>
      </w:pPr>
      <w:r w:rsidRPr="00431C66">
        <w:rPr>
          <w:rFonts w:hint="cs"/>
          <w:sz w:val="22"/>
          <w:szCs w:val="22"/>
          <w:highlight w:val="yellow"/>
          <w:rtl/>
        </w:rPr>
        <w:t xml:space="preserve">^היא מסמך משפטי הבא לקבוע </w:t>
      </w:r>
      <w:r w:rsidRPr="00431C66">
        <w:rPr>
          <w:rFonts w:hint="cs"/>
          <w:b/>
          <w:bCs/>
          <w:sz w:val="22"/>
          <w:szCs w:val="22"/>
          <w:highlight w:val="yellow"/>
          <w:rtl/>
        </w:rPr>
        <w:t>חלק מכללי המשחק המשמעותיים ביותר</w:t>
      </w:r>
      <w:r w:rsidRPr="00431C66">
        <w:rPr>
          <w:rFonts w:hint="cs"/>
          <w:sz w:val="22"/>
          <w:szCs w:val="22"/>
          <w:highlight w:val="yellow"/>
          <w:rtl/>
        </w:rPr>
        <w:t xml:space="preserve"> </w:t>
      </w:r>
      <w:r w:rsidRPr="00431C66">
        <w:rPr>
          <w:sz w:val="22"/>
          <w:szCs w:val="22"/>
          <w:highlight w:val="yellow"/>
          <w:rtl/>
        </w:rPr>
        <w:t>–</w:t>
      </w:r>
      <w:r w:rsidRPr="00431C66">
        <w:rPr>
          <w:rFonts w:hint="cs"/>
          <w:sz w:val="22"/>
          <w:szCs w:val="22"/>
          <w:highlight w:val="yellow"/>
          <w:rtl/>
        </w:rPr>
        <w:t xml:space="preserve"> </w:t>
      </w:r>
    </w:p>
    <w:p w:rsidR="005366A8" w:rsidRPr="00431C66" w:rsidRDefault="005366A8" w:rsidP="005366A8">
      <w:pPr>
        <w:spacing w:after="120"/>
        <w:ind w:left="1440"/>
        <w:rPr>
          <w:sz w:val="22"/>
          <w:szCs w:val="22"/>
          <w:highlight w:val="yellow"/>
          <w:rtl/>
        </w:rPr>
      </w:pPr>
      <w:r w:rsidRPr="00431C66">
        <w:rPr>
          <w:rFonts w:hint="cs"/>
          <w:sz w:val="22"/>
          <w:szCs w:val="22"/>
          <w:highlight w:val="yellow"/>
          <w:rtl/>
        </w:rPr>
        <w:t xml:space="preserve">היא </w:t>
      </w:r>
      <w:r>
        <w:rPr>
          <w:rFonts w:hint="cs"/>
          <w:sz w:val="22"/>
          <w:szCs w:val="22"/>
          <w:highlight w:val="yellow"/>
          <w:rtl/>
        </w:rPr>
        <w:t>מורה על</w:t>
      </w:r>
      <w:r w:rsidRPr="00431C66">
        <w:rPr>
          <w:rFonts w:hint="cs"/>
          <w:sz w:val="22"/>
          <w:szCs w:val="22"/>
          <w:highlight w:val="yellow"/>
          <w:rtl/>
        </w:rPr>
        <w:t xml:space="preserve"> דמוקרטיה ייצוגית ("השלטונות הנבחרים"), </w:t>
      </w:r>
      <w:r>
        <w:rPr>
          <w:rFonts w:hint="cs"/>
          <w:sz w:val="22"/>
          <w:szCs w:val="22"/>
          <w:highlight w:val="yellow"/>
          <w:rtl/>
        </w:rPr>
        <w:t>ו</w:t>
      </w:r>
      <w:r w:rsidRPr="00431C66">
        <w:rPr>
          <w:rFonts w:hint="cs"/>
          <w:sz w:val="22"/>
          <w:szCs w:val="22"/>
          <w:highlight w:val="yellow"/>
          <w:rtl/>
        </w:rPr>
        <w:t xml:space="preserve">חוקתית ("בהתאם לחוקה שתיקבע") </w:t>
      </w:r>
      <w:r w:rsidRPr="00431C66">
        <w:rPr>
          <w:sz w:val="22"/>
          <w:szCs w:val="22"/>
          <w:highlight w:val="yellow"/>
          <w:rtl/>
        </w:rPr>
        <w:t>–</w:t>
      </w:r>
      <w:r w:rsidRPr="00431C66">
        <w:rPr>
          <w:rFonts w:hint="cs"/>
          <w:sz w:val="22"/>
          <w:szCs w:val="22"/>
          <w:highlight w:val="yellow"/>
          <w:rtl/>
        </w:rPr>
        <w:t xml:space="preserve"> והיא קובעת מי יכונן את החוקה ומי יקבע את החוקים; היא גם מצביעה על "ערכי יסוד" של ישראל (להלן);</w:t>
      </w:r>
    </w:p>
    <w:p w:rsidR="005366A8" w:rsidRPr="00431C66" w:rsidRDefault="005366A8" w:rsidP="005366A8">
      <w:pPr>
        <w:ind w:left="720"/>
        <w:rPr>
          <w:sz w:val="22"/>
          <w:szCs w:val="22"/>
          <w:highlight w:val="yellow"/>
          <w:rtl/>
        </w:rPr>
      </w:pPr>
      <w:r w:rsidRPr="00431C66">
        <w:rPr>
          <w:rFonts w:hint="cs"/>
          <w:sz w:val="22"/>
          <w:szCs w:val="22"/>
          <w:highlight w:val="yellow"/>
          <w:rtl/>
        </w:rPr>
        <w:t xml:space="preserve">^היא מצהירה ופורשת את </w:t>
      </w:r>
      <w:r w:rsidRPr="00431C66">
        <w:rPr>
          <w:sz w:val="22"/>
          <w:szCs w:val="22"/>
          <w:highlight w:val="yellow"/>
          <w:rtl/>
        </w:rPr>
        <w:t xml:space="preserve">ערכי </w:t>
      </w:r>
      <w:r w:rsidRPr="00431C66">
        <w:rPr>
          <w:rFonts w:hint="cs"/>
          <w:sz w:val="22"/>
          <w:szCs w:val="22"/>
          <w:highlight w:val="yellow"/>
          <w:rtl/>
        </w:rPr>
        <w:t>"</w:t>
      </w:r>
      <w:r w:rsidRPr="00431C66">
        <w:rPr>
          <w:sz w:val="22"/>
          <w:szCs w:val="22"/>
          <w:highlight w:val="yellow"/>
          <w:rtl/>
        </w:rPr>
        <w:t>המדינה היהודית</w:t>
      </w:r>
      <w:r w:rsidRPr="00431C66">
        <w:rPr>
          <w:rFonts w:hint="cs"/>
          <w:sz w:val="22"/>
          <w:szCs w:val="22"/>
          <w:highlight w:val="yellow"/>
          <w:rtl/>
        </w:rPr>
        <w:t xml:space="preserve">" שמוקמת </w:t>
      </w:r>
      <w:r w:rsidRPr="00431C66">
        <w:rPr>
          <w:sz w:val="22"/>
          <w:szCs w:val="22"/>
          <w:highlight w:val="yellow"/>
          <w:rtl/>
        </w:rPr>
        <w:t>–</w:t>
      </w:r>
      <w:r w:rsidRPr="00431C66">
        <w:rPr>
          <w:rFonts w:hint="cs"/>
          <w:sz w:val="22"/>
          <w:szCs w:val="22"/>
          <w:highlight w:val="yellow"/>
          <w:rtl/>
        </w:rPr>
        <w:t xml:space="preserve"> </w:t>
      </w:r>
      <w:r w:rsidRPr="00431C66">
        <w:rPr>
          <w:rFonts w:hint="cs"/>
          <w:b/>
          <w:bCs/>
          <w:sz w:val="22"/>
          <w:szCs w:val="22"/>
          <w:highlight w:val="yellow"/>
          <w:rtl/>
        </w:rPr>
        <w:t>ערכי היסוד של מדינה יהודית ודמוקרטית</w:t>
      </w:r>
      <w:r w:rsidRPr="00431C66">
        <w:rPr>
          <w:rFonts w:hint="cs"/>
          <w:sz w:val="22"/>
          <w:szCs w:val="22"/>
          <w:highlight w:val="yellow"/>
          <w:rtl/>
        </w:rPr>
        <w:t>:</w:t>
      </w:r>
    </w:p>
    <w:p w:rsidR="005366A8" w:rsidRPr="00431C66" w:rsidRDefault="005366A8" w:rsidP="005366A8">
      <w:pPr>
        <w:ind w:left="1440" w:hanging="720"/>
        <w:rPr>
          <w:sz w:val="22"/>
          <w:szCs w:val="22"/>
          <w:highlight w:val="yellow"/>
          <w:rtl/>
        </w:rPr>
      </w:pPr>
      <w:r w:rsidRPr="00431C66">
        <w:rPr>
          <w:sz w:val="22"/>
          <w:szCs w:val="22"/>
          <w:highlight w:val="yellow"/>
          <w:rtl/>
        </w:rPr>
        <w:tab/>
        <w:t>עלי</w:t>
      </w:r>
      <w:r>
        <w:rPr>
          <w:rFonts w:hint="cs"/>
          <w:sz w:val="22"/>
          <w:szCs w:val="22"/>
          <w:highlight w:val="yellow"/>
          <w:rtl/>
        </w:rPr>
        <w:t>י</w:t>
      </w:r>
      <w:r w:rsidRPr="00431C66">
        <w:rPr>
          <w:sz w:val="22"/>
          <w:szCs w:val="22"/>
          <w:highlight w:val="yellow"/>
          <w:rtl/>
        </w:rPr>
        <w:t xml:space="preserve">ה יהודית וקיבוץ גלויות; </w:t>
      </w:r>
      <w:r w:rsidRPr="00431C66">
        <w:rPr>
          <w:rFonts w:hint="cs"/>
          <w:sz w:val="22"/>
          <w:szCs w:val="22"/>
          <w:highlight w:val="yellow"/>
          <w:rtl/>
        </w:rPr>
        <w:t>במקביל להתחייבות ל</w:t>
      </w:r>
      <w:r w:rsidRPr="00431C66">
        <w:rPr>
          <w:sz w:val="22"/>
          <w:szCs w:val="22"/>
          <w:highlight w:val="yellow"/>
          <w:rtl/>
        </w:rPr>
        <w:t>שוויון אזרחי מלא</w:t>
      </w:r>
      <w:r w:rsidRPr="00431C66">
        <w:rPr>
          <w:rFonts w:hint="cs"/>
          <w:sz w:val="22"/>
          <w:szCs w:val="22"/>
          <w:highlight w:val="yellow"/>
          <w:rtl/>
        </w:rPr>
        <w:t xml:space="preserve"> ולחירויות האדם</w:t>
      </w:r>
      <w:r>
        <w:rPr>
          <w:rFonts w:hint="cs"/>
          <w:sz w:val="22"/>
          <w:szCs w:val="22"/>
          <w:highlight w:val="yellow"/>
          <w:rtl/>
        </w:rPr>
        <w:t>:</w:t>
      </w:r>
    </w:p>
    <w:p w:rsidR="005366A8" w:rsidRPr="00431C66" w:rsidRDefault="005366A8" w:rsidP="005366A8">
      <w:pPr>
        <w:spacing w:after="120"/>
        <w:ind w:left="2160"/>
        <w:rPr>
          <w:sz w:val="22"/>
          <w:szCs w:val="22"/>
          <w:highlight w:val="yellow"/>
          <w:rtl/>
        </w:rPr>
      </w:pPr>
      <w:r w:rsidRPr="00431C66">
        <w:rPr>
          <w:rFonts w:hint="cs"/>
          <w:sz w:val="22"/>
          <w:szCs w:val="22"/>
          <w:highlight w:val="yellow"/>
          <w:rtl/>
        </w:rPr>
        <w:t>"</w:t>
      </w:r>
      <w:r w:rsidRPr="00431C66">
        <w:rPr>
          <w:sz w:val="22"/>
          <w:szCs w:val="22"/>
          <w:highlight w:val="yellow"/>
          <w:rtl/>
        </w:rPr>
        <w:t>מדינת ישראל תהא פתוחה לעליה יהודית ולקיבוץ גלויות; תשקוד על פיתוח הארץ לטובת כל תושביה; תהא מושתתה על יסודות החירות, הצדק והשלום לאור חזונם של נביאי ישראל; תקיים שויון זכויות חברתי ומדיני גמור לכל אזרחיה בלי הבדל דת, גזע ומין; תבטיח חופש דת, מצפון, לשון, חינוך ותרבות; תשמור על המקומות הקדושים של כל הדתות</w:t>
      </w:r>
      <w:r w:rsidRPr="00431C66">
        <w:rPr>
          <w:rFonts w:hint="cs"/>
          <w:sz w:val="22"/>
          <w:szCs w:val="22"/>
          <w:highlight w:val="yellow"/>
          <w:rtl/>
        </w:rPr>
        <w:t>..."</w:t>
      </w:r>
      <w:r w:rsidRPr="00431C66">
        <w:rPr>
          <w:sz w:val="22"/>
          <w:szCs w:val="22"/>
          <w:highlight w:val="yellow"/>
          <w:rtl/>
        </w:rPr>
        <w:t>;</w:t>
      </w:r>
    </w:p>
    <w:p w:rsidR="005366A8" w:rsidRDefault="005366A8" w:rsidP="005366A8">
      <w:pPr>
        <w:ind w:left="1440" w:hanging="720"/>
        <w:rPr>
          <w:sz w:val="22"/>
          <w:szCs w:val="22"/>
          <w:rtl/>
        </w:rPr>
      </w:pPr>
      <w:r w:rsidRPr="00431C66">
        <w:rPr>
          <w:rFonts w:hint="cs"/>
          <w:sz w:val="22"/>
          <w:szCs w:val="22"/>
          <w:highlight w:val="yellow"/>
          <w:rtl/>
        </w:rPr>
        <w:t xml:space="preserve">^היא מצביעה על </w:t>
      </w:r>
      <w:r w:rsidRPr="00431C66">
        <w:rPr>
          <w:rFonts w:hint="cs"/>
          <w:b/>
          <w:bCs/>
          <w:sz w:val="22"/>
          <w:szCs w:val="22"/>
          <w:highlight w:val="yellow"/>
          <w:rtl/>
        </w:rPr>
        <w:t>הצידוקים בעיני "האבות המייסדים" להקמתה של מדינה יהודית, ולהקמתה דווקא בכברת-הארץ הזו</w:t>
      </w:r>
      <w:r w:rsidRPr="00431C66">
        <w:rPr>
          <w:rFonts w:hint="cs"/>
          <w:sz w:val="22"/>
          <w:szCs w:val="22"/>
          <w:highlight w:val="yellow"/>
          <w:rtl/>
        </w:rPr>
        <w:t>: "</w:t>
      </w:r>
      <w:r w:rsidRPr="00431C66">
        <w:rPr>
          <w:sz w:val="22"/>
          <w:szCs w:val="22"/>
          <w:highlight w:val="yellow"/>
          <w:rtl/>
        </w:rPr>
        <w:t>בתוקף זכותנו הטבעית וההיסטורית</w:t>
      </w:r>
      <w:r w:rsidRPr="00431C66">
        <w:rPr>
          <w:rFonts w:hint="cs"/>
          <w:sz w:val="22"/>
          <w:szCs w:val="22"/>
          <w:highlight w:val="yellow"/>
          <w:rtl/>
        </w:rPr>
        <w:t xml:space="preserve"> ועל יסוד החלטה עצרת האומות המאוחדות".</w:t>
      </w:r>
      <w:r>
        <w:rPr>
          <w:rFonts w:hint="cs"/>
          <w:sz w:val="22"/>
          <w:szCs w:val="22"/>
          <w:rtl/>
        </w:rPr>
        <w:t xml:space="preserve"> [הצידוקים מפורטים בעיקר בחלק הראשון של ההכרזה, הריהו להלן:]</w:t>
      </w:r>
    </w:p>
    <w:p w:rsidR="005366A8" w:rsidRDefault="005366A8" w:rsidP="005366A8">
      <w:pPr>
        <w:ind w:left="1440" w:hanging="720"/>
        <w:rPr>
          <w:sz w:val="22"/>
          <w:szCs w:val="22"/>
          <w:rtl/>
        </w:rPr>
      </w:pPr>
    </w:p>
    <w:p w:rsidR="005366A8" w:rsidRPr="00FB3AF4" w:rsidRDefault="005366A8" w:rsidP="005366A8">
      <w:pPr>
        <w:spacing w:after="120"/>
        <w:ind w:left="1019" w:right="567"/>
        <w:rPr>
          <w:rFonts w:cs="Guttman-Soncino"/>
          <w:color w:val="000000"/>
          <w:sz w:val="20"/>
          <w:szCs w:val="20"/>
          <w:highlight w:val="yellow"/>
          <w:rtl/>
        </w:rPr>
      </w:pPr>
      <w:r w:rsidRPr="00FB3AF4">
        <w:rPr>
          <w:rFonts w:cs="Guttman-Soncino"/>
          <w:color w:val="000000"/>
          <w:sz w:val="20"/>
          <w:szCs w:val="20"/>
          <w:highlight w:val="yellow"/>
          <w:rtl/>
        </w:rPr>
        <w:t>ב</w:t>
      </w:r>
      <w:hyperlink r:id="rId40" w:anchor="1')" w:history="1">
        <w:r w:rsidRPr="00FB3AF4">
          <w:rPr>
            <w:rFonts w:cs="Guttman-Soncino"/>
            <w:color w:val="000000"/>
            <w:sz w:val="20"/>
            <w:szCs w:val="20"/>
            <w:highlight w:val="yellow"/>
            <w:rtl/>
          </w:rPr>
          <w:t>ארץ-ישראל</w:t>
        </w:r>
      </w:hyperlink>
      <w:r w:rsidRPr="00FB3AF4">
        <w:rPr>
          <w:rFonts w:cs="Guttman-Soncino"/>
          <w:color w:val="000000"/>
          <w:sz w:val="20"/>
          <w:szCs w:val="20"/>
          <w:highlight w:val="yellow"/>
          <w:rtl/>
        </w:rPr>
        <w:t xml:space="preserve"> קם העם היהודי, בה עוצבה דמותו הרוחנית, הדתית והמדינית, בה חי חיי </w:t>
      </w:r>
      <w:hyperlink r:id="rId41" w:history="1">
        <w:r w:rsidRPr="00FB3AF4">
          <w:rPr>
            <w:rFonts w:cs="Guttman-Soncino"/>
            <w:color w:val="000000"/>
            <w:sz w:val="20"/>
            <w:szCs w:val="20"/>
            <w:highlight w:val="yellow"/>
            <w:rtl/>
          </w:rPr>
          <w:t>קוממיות ממלכתית</w:t>
        </w:r>
      </w:hyperlink>
      <w:r w:rsidRPr="00FB3AF4">
        <w:rPr>
          <w:rFonts w:cs="Guttman-Soncino"/>
          <w:color w:val="000000"/>
          <w:sz w:val="20"/>
          <w:szCs w:val="20"/>
          <w:highlight w:val="yellow"/>
          <w:rtl/>
        </w:rPr>
        <w:t xml:space="preserve">, בה יצר נכסי תרבות לאומיים וכלל-אנושיים והוריש לעולם כולו את </w:t>
      </w:r>
      <w:hyperlink r:id="rId42" w:history="1">
        <w:r w:rsidRPr="00FB3AF4">
          <w:rPr>
            <w:rFonts w:cs="Guttman-Soncino"/>
            <w:color w:val="000000"/>
            <w:sz w:val="20"/>
            <w:szCs w:val="20"/>
            <w:highlight w:val="yellow"/>
            <w:rtl/>
          </w:rPr>
          <w:t>ספר הספרים הנצחי</w:t>
        </w:r>
      </w:hyperlink>
      <w:r w:rsidRPr="00FB3AF4">
        <w:rPr>
          <w:rFonts w:cs="Guttman-Soncino"/>
          <w:color w:val="000000"/>
          <w:sz w:val="20"/>
          <w:szCs w:val="20"/>
          <w:highlight w:val="yellow"/>
          <w:rtl/>
        </w:rPr>
        <w:t>.</w:t>
      </w:r>
    </w:p>
    <w:p w:rsidR="005366A8" w:rsidRDefault="005366A8" w:rsidP="005366A8">
      <w:pPr>
        <w:spacing w:after="120"/>
        <w:ind w:left="1019" w:right="567"/>
        <w:rPr>
          <w:rFonts w:cs="Guttman-Soncino"/>
          <w:color w:val="000000"/>
          <w:sz w:val="20"/>
          <w:szCs w:val="20"/>
          <w:rtl/>
        </w:rPr>
      </w:pPr>
      <w:r w:rsidRPr="00FB3AF4">
        <w:rPr>
          <w:rFonts w:cs="Guttman-Soncino"/>
          <w:color w:val="000000"/>
          <w:sz w:val="20"/>
          <w:szCs w:val="20"/>
          <w:highlight w:val="yellow"/>
          <w:rtl/>
        </w:rPr>
        <w:t>לאחר שהוגלה העם היהודי מארצו ב</w:t>
      </w:r>
      <w:hyperlink r:id="rId43" w:history="1">
        <w:r w:rsidRPr="00FB3AF4">
          <w:rPr>
            <w:rFonts w:cs="Guttman-Soncino"/>
            <w:color w:val="000000"/>
            <w:sz w:val="20"/>
            <w:szCs w:val="20"/>
            <w:highlight w:val="yellow"/>
            <w:rtl/>
          </w:rPr>
          <w:t>כוח הזרוע</w:t>
        </w:r>
      </w:hyperlink>
      <w:r w:rsidRPr="00FB3AF4">
        <w:rPr>
          <w:rFonts w:cs="Guttman-Soncino"/>
          <w:color w:val="000000"/>
          <w:sz w:val="20"/>
          <w:szCs w:val="20"/>
          <w:highlight w:val="yellow"/>
          <w:rtl/>
        </w:rPr>
        <w:t xml:space="preserve"> שמר לה אמונים בכל ארצות פזוריו, ולא חדל מתפילה ומתקווה לשוב לארצו ולחדש בתוכה את חירותו המדינית.</w:t>
      </w:r>
    </w:p>
    <w:p w:rsidR="005366A8" w:rsidRPr="005F4BE3" w:rsidRDefault="005366A8" w:rsidP="005366A8">
      <w:pPr>
        <w:spacing w:after="120"/>
        <w:ind w:left="1019" w:right="567"/>
        <w:rPr>
          <w:rFonts w:cs="Guttman-Soncino"/>
          <w:color w:val="000000"/>
          <w:sz w:val="20"/>
          <w:szCs w:val="20"/>
        </w:rPr>
      </w:pPr>
      <w:r w:rsidRPr="005F4BE3">
        <w:rPr>
          <w:rFonts w:cs="Guttman-Soncino"/>
          <w:color w:val="000000"/>
          <w:sz w:val="20"/>
          <w:szCs w:val="20"/>
          <w:rtl/>
        </w:rPr>
        <w:t>מתוך קשר היסטורי ומסורתי זה חתרו היהודים בכל דור לשוב ולהיאחז במולדתם העתיקה; ובדורות האחרונים שבו לארצם בהמונים, ו</w:t>
      </w:r>
      <w:hyperlink r:id="rId44" w:history="1">
        <w:r w:rsidRPr="005F4BE3">
          <w:rPr>
            <w:rFonts w:cs="Guttman-Soncino"/>
            <w:color w:val="000000"/>
            <w:sz w:val="20"/>
            <w:szCs w:val="20"/>
            <w:rtl/>
          </w:rPr>
          <w:t>חלוצים</w:t>
        </w:r>
      </w:hyperlink>
      <w:r w:rsidRPr="005F4BE3">
        <w:rPr>
          <w:rFonts w:cs="Guttman-Soncino"/>
          <w:color w:val="000000"/>
          <w:sz w:val="20"/>
          <w:szCs w:val="20"/>
          <w:rtl/>
        </w:rPr>
        <w:t xml:space="preserve">, מעפילים ומגינים הפריחו נשמות, </w:t>
      </w:r>
      <w:hyperlink r:id="rId45" w:history="1">
        <w:r w:rsidRPr="005F4BE3">
          <w:rPr>
            <w:rFonts w:cs="Guttman-Soncino"/>
            <w:color w:val="000000"/>
            <w:sz w:val="20"/>
            <w:szCs w:val="20"/>
            <w:rtl/>
          </w:rPr>
          <w:t>החיו שפתם העברית</w:t>
        </w:r>
      </w:hyperlink>
      <w:r w:rsidRPr="005F4BE3">
        <w:rPr>
          <w:rFonts w:cs="Guttman-Soncino"/>
          <w:color w:val="000000"/>
          <w:sz w:val="20"/>
          <w:szCs w:val="20"/>
          <w:rtl/>
        </w:rPr>
        <w:t>, בנו כפרים וערים, והקימו יישוב גדל והולך השליט על משקו ותרבותו, שוחר שלום ומגן על עצמו, מביא ברכת הקידמה לכל תושבי הארץ ונושא נפשו לעצמאות ממלכתית.</w:t>
      </w:r>
    </w:p>
    <w:p w:rsidR="005366A8" w:rsidRDefault="005D7968" w:rsidP="005366A8">
      <w:pPr>
        <w:spacing w:after="120"/>
        <w:ind w:left="1019" w:right="567"/>
        <w:rPr>
          <w:rFonts w:cs="Guttman-Soncino"/>
          <w:color w:val="000000"/>
          <w:sz w:val="20"/>
          <w:szCs w:val="20"/>
          <w:rtl/>
        </w:rPr>
      </w:pPr>
      <w:hyperlink r:id="rId46" w:history="1">
        <w:r w:rsidR="005366A8" w:rsidRPr="005F4BE3">
          <w:rPr>
            <w:rFonts w:cs="Guttman-Soncino"/>
            <w:color w:val="000000"/>
            <w:sz w:val="20"/>
            <w:szCs w:val="20"/>
            <w:rtl/>
          </w:rPr>
          <w:t>בשנת תרנ"ז (1897)</w:t>
        </w:r>
      </w:hyperlink>
      <w:r w:rsidR="005366A8" w:rsidRPr="005F4BE3">
        <w:rPr>
          <w:rFonts w:cs="Guttman-Soncino"/>
          <w:color w:val="000000"/>
          <w:sz w:val="20"/>
          <w:szCs w:val="20"/>
          <w:rtl/>
        </w:rPr>
        <w:t xml:space="preserve"> נתכנס </w:t>
      </w:r>
      <w:hyperlink r:id="rId47" w:history="1">
        <w:r w:rsidR="005366A8" w:rsidRPr="005F4BE3">
          <w:rPr>
            <w:rFonts w:cs="Guttman-Soncino"/>
            <w:color w:val="000000"/>
            <w:sz w:val="20"/>
            <w:szCs w:val="20"/>
            <w:rtl/>
          </w:rPr>
          <w:t>הקונגרס הציוני</w:t>
        </w:r>
      </w:hyperlink>
      <w:r w:rsidR="005366A8" w:rsidRPr="005F4BE3">
        <w:rPr>
          <w:rFonts w:cs="Guttman-Soncino"/>
          <w:color w:val="000000"/>
          <w:sz w:val="20"/>
          <w:szCs w:val="20"/>
          <w:rtl/>
        </w:rPr>
        <w:t xml:space="preserve"> לקול קריאתו של הוגה חזון המדינה היהודית תאודור </w:t>
      </w:r>
      <w:hyperlink r:id="rId48" w:history="1">
        <w:r w:rsidR="005366A8" w:rsidRPr="005F4BE3">
          <w:rPr>
            <w:rFonts w:cs="Guttman-Soncino"/>
            <w:color w:val="000000"/>
            <w:sz w:val="20"/>
            <w:szCs w:val="20"/>
            <w:rtl/>
          </w:rPr>
          <w:t>הרצל</w:t>
        </w:r>
      </w:hyperlink>
      <w:r w:rsidR="005366A8" w:rsidRPr="005F4BE3">
        <w:rPr>
          <w:rFonts w:cs="Guttman-Soncino"/>
          <w:color w:val="000000"/>
          <w:sz w:val="20"/>
          <w:szCs w:val="20"/>
          <w:rtl/>
        </w:rPr>
        <w:t>, והכריז על זכות העם היהודי לתקומה לאומית בארצו.</w:t>
      </w:r>
    </w:p>
    <w:p w:rsidR="005366A8" w:rsidRDefault="005366A8" w:rsidP="005366A8">
      <w:pPr>
        <w:spacing w:after="120"/>
        <w:ind w:left="1019" w:right="567"/>
        <w:rPr>
          <w:rFonts w:cs="Guttman-Soncino"/>
          <w:color w:val="000000"/>
          <w:sz w:val="20"/>
          <w:szCs w:val="20"/>
          <w:rtl/>
        </w:rPr>
      </w:pPr>
      <w:r w:rsidRPr="005F4BE3">
        <w:rPr>
          <w:rFonts w:cs="Guttman-Soncino"/>
          <w:color w:val="000000"/>
          <w:sz w:val="20"/>
          <w:szCs w:val="20"/>
          <w:rtl/>
        </w:rPr>
        <w:t xml:space="preserve">זכות זו הוכרה בהצהרת </w:t>
      </w:r>
      <w:hyperlink r:id="rId49" w:history="1">
        <w:r w:rsidRPr="005F4BE3">
          <w:rPr>
            <w:rFonts w:cs="Guttman-Soncino"/>
            <w:color w:val="000000"/>
            <w:sz w:val="20"/>
            <w:szCs w:val="20"/>
            <w:rtl/>
          </w:rPr>
          <w:t>בלפור</w:t>
        </w:r>
      </w:hyperlink>
      <w:r w:rsidRPr="005F4BE3">
        <w:rPr>
          <w:rFonts w:cs="Guttman-Soncino"/>
          <w:color w:val="000000"/>
          <w:sz w:val="20"/>
          <w:szCs w:val="20"/>
          <w:rtl/>
        </w:rPr>
        <w:t xml:space="preserve"> מיום ב' בנובמבר 1917 ואושרה במנדט מטעם </w:t>
      </w:r>
      <w:hyperlink r:id="rId50" w:history="1">
        <w:r w:rsidRPr="005F4BE3">
          <w:rPr>
            <w:rFonts w:cs="Guttman-Soncino"/>
            <w:color w:val="000000"/>
            <w:sz w:val="20"/>
            <w:szCs w:val="20"/>
            <w:rtl/>
          </w:rPr>
          <w:t>חבר הלאומים</w:t>
        </w:r>
      </w:hyperlink>
      <w:r w:rsidRPr="005F4BE3">
        <w:rPr>
          <w:rFonts w:cs="Guttman-Soncino"/>
          <w:color w:val="000000"/>
          <w:sz w:val="20"/>
          <w:szCs w:val="20"/>
          <w:rtl/>
        </w:rPr>
        <w:t xml:space="preserve">, אשר נתן במיוחד תוקף בין-לאומי לקשר ההיסטורי שבין העם היהודי לבין ארץ-ישראל ולזכות העם היהודי להקים מחדש את </w:t>
      </w:r>
      <w:hyperlink r:id="rId51" w:history="1">
        <w:r w:rsidRPr="005F4BE3">
          <w:rPr>
            <w:rFonts w:cs="Guttman-Soncino"/>
            <w:color w:val="000000"/>
            <w:sz w:val="20"/>
            <w:szCs w:val="20"/>
            <w:rtl/>
          </w:rPr>
          <w:t>ביתו הלאומי</w:t>
        </w:r>
      </w:hyperlink>
      <w:r w:rsidRPr="005F4BE3">
        <w:rPr>
          <w:rFonts w:cs="Guttman-Soncino"/>
          <w:color w:val="000000"/>
          <w:sz w:val="20"/>
          <w:szCs w:val="20"/>
          <w:rtl/>
        </w:rPr>
        <w:t>.</w:t>
      </w:r>
    </w:p>
    <w:p w:rsidR="005366A8" w:rsidRPr="005F4BE3" w:rsidRDefault="005366A8" w:rsidP="005366A8">
      <w:pPr>
        <w:spacing w:after="120"/>
        <w:ind w:left="1019" w:right="567"/>
        <w:rPr>
          <w:rFonts w:cs="Guttman-Soncino"/>
          <w:color w:val="000000"/>
          <w:sz w:val="20"/>
          <w:szCs w:val="20"/>
        </w:rPr>
      </w:pPr>
      <w:r w:rsidRPr="00FB3AF4">
        <w:rPr>
          <w:rFonts w:cs="Guttman-Soncino"/>
          <w:color w:val="000000"/>
          <w:sz w:val="20"/>
          <w:szCs w:val="20"/>
          <w:highlight w:val="yellow"/>
          <w:rtl/>
        </w:rPr>
        <w:t>ה</w:t>
      </w:r>
      <w:hyperlink r:id="rId52" w:history="1">
        <w:r w:rsidRPr="00FB3AF4">
          <w:rPr>
            <w:rFonts w:cs="Guttman-Soncino"/>
            <w:color w:val="000000"/>
            <w:sz w:val="20"/>
            <w:szCs w:val="20"/>
            <w:highlight w:val="yellow"/>
            <w:rtl/>
          </w:rPr>
          <w:t>שואה</w:t>
        </w:r>
      </w:hyperlink>
      <w:r w:rsidRPr="00FB3AF4">
        <w:rPr>
          <w:rFonts w:cs="Guttman-Soncino"/>
          <w:color w:val="000000"/>
          <w:sz w:val="20"/>
          <w:szCs w:val="20"/>
          <w:highlight w:val="yellow"/>
          <w:rtl/>
        </w:rPr>
        <w:t xml:space="preserve"> שנתחוללה על עם ישראל בזמן האחרון, בה הוכרעו לטבח </w:t>
      </w:r>
      <w:hyperlink r:id="rId53" w:history="1">
        <w:r w:rsidRPr="00FB3AF4">
          <w:rPr>
            <w:rFonts w:cs="Guttman-Soncino"/>
            <w:color w:val="000000"/>
            <w:sz w:val="20"/>
            <w:szCs w:val="20"/>
            <w:highlight w:val="yellow"/>
            <w:rtl/>
          </w:rPr>
          <w:t>מיליונים יהודים</w:t>
        </w:r>
      </w:hyperlink>
      <w:r w:rsidRPr="00FB3AF4">
        <w:rPr>
          <w:rFonts w:cs="Guttman-Soncino"/>
          <w:color w:val="000000"/>
          <w:sz w:val="20"/>
          <w:szCs w:val="20"/>
          <w:highlight w:val="yellow"/>
          <w:rtl/>
        </w:rPr>
        <w:t xml:space="preserve"> באירופה, הוכיחה מחדש בעליל את ההכרח בפתרון בעיית העם היהודי מחוסר המולדת והעצמאות על-ידי חידוש המדינה היהודית בארץ-ישראל, אשר תפתח לרווחה את שערי המולדת לכל יהודי ותעניק  לעם היהודי מעמד של </w:t>
      </w:r>
      <w:hyperlink r:id="rId54" w:history="1">
        <w:r w:rsidRPr="00FB3AF4">
          <w:rPr>
            <w:rFonts w:cs="Guttman-Soncino"/>
            <w:color w:val="000000"/>
            <w:sz w:val="20"/>
            <w:szCs w:val="20"/>
            <w:highlight w:val="yellow"/>
            <w:rtl/>
          </w:rPr>
          <w:t>אומה שוות-זכויות</w:t>
        </w:r>
      </w:hyperlink>
      <w:r w:rsidRPr="00FB3AF4">
        <w:rPr>
          <w:rFonts w:cs="Guttman-Soncino"/>
          <w:color w:val="000000"/>
          <w:sz w:val="20"/>
          <w:szCs w:val="20"/>
          <w:highlight w:val="yellow"/>
          <w:rtl/>
        </w:rPr>
        <w:t xml:space="preserve"> בתוך משפחת העמים.</w:t>
      </w:r>
    </w:p>
    <w:p w:rsidR="005366A8" w:rsidRDefault="005D7968" w:rsidP="005366A8">
      <w:pPr>
        <w:spacing w:after="120"/>
        <w:ind w:left="1019" w:right="567"/>
        <w:rPr>
          <w:rFonts w:cs="Guttman-Soncino"/>
          <w:color w:val="000000"/>
          <w:sz w:val="20"/>
          <w:szCs w:val="20"/>
          <w:rtl/>
        </w:rPr>
      </w:pPr>
      <w:hyperlink r:id="rId55" w:history="1">
        <w:r w:rsidR="005366A8" w:rsidRPr="005F4BE3">
          <w:rPr>
            <w:rFonts w:cs="Guttman-Soncino"/>
            <w:color w:val="000000"/>
            <w:sz w:val="20"/>
            <w:szCs w:val="20"/>
            <w:rtl/>
          </w:rPr>
          <w:t>שארית הפליטה</w:t>
        </w:r>
      </w:hyperlink>
      <w:r w:rsidR="005366A8" w:rsidRPr="005F4BE3">
        <w:rPr>
          <w:rFonts w:cs="Guttman-Soncino"/>
          <w:color w:val="000000"/>
          <w:sz w:val="20"/>
          <w:szCs w:val="20"/>
          <w:rtl/>
        </w:rPr>
        <w:t xml:space="preserve"> שניצלה מהטבח </w:t>
      </w:r>
      <w:hyperlink r:id="rId56" w:history="1">
        <w:r w:rsidR="005366A8" w:rsidRPr="005F4BE3">
          <w:rPr>
            <w:rFonts w:cs="Guttman-Soncino"/>
            <w:color w:val="000000"/>
            <w:sz w:val="20"/>
            <w:szCs w:val="20"/>
            <w:rtl/>
          </w:rPr>
          <w:t>הנאצי</w:t>
        </w:r>
      </w:hyperlink>
      <w:r w:rsidR="005366A8" w:rsidRPr="005F4BE3">
        <w:rPr>
          <w:rFonts w:cs="Guttman-Soncino"/>
          <w:color w:val="000000"/>
          <w:sz w:val="20"/>
          <w:szCs w:val="20"/>
          <w:rtl/>
        </w:rPr>
        <w:t xml:space="preserve"> האיום באירופה, ויהודי ארצות אחרות לא חדלו </w:t>
      </w:r>
      <w:hyperlink r:id="rId57" w:history="1">
        <w:r w:rsidR="005366A8" w:rsidRPr="005F4BE3">
          <w:rPr>
            <w:rFonts w:cs="Guttman-Soncino"/>
            <w:color w:val="000000"/>
            <w:sz w:val="20"/>
            <w:szCs w:val="20"/>
            <w:rtl/>
          </w:rPr>
          <w:t>להעפיל</w:t>
        </w:r>
      </w:hyperlink>
      <w:r w:rsidR="005366A8" w:rsidRPr="005F4BE3">
        <w:rPr>
          <w:rFonts w:cs="Guttman-Soncino"/>
          <w:color w:val="000000"/>
          <w:sz w:val="20"/>
          <w:szCs w:val="20"/>
          <w:rtl/>
        </w:rPr>
        <w:t xml:space="preserve"> לארץ-ישראל, על אף כל קושי, מניעה וסכנה, ולא פסקו לתבוע את זכותם לחיי כבוד, חירות ועמל-ישרים במולדת עמם.</w:t>
      </w:r>
    </w:p>
    <w:p w:rsidR="005366A8" w:rsidRDefault="005366A8" w:rsidP="005366A8">
      <w:pPr>
        <w:spacing w:after="120"/>
        <w:ind w:left="1019" w:right="567"/>
        <w:rPr>
          <w:rFonts w:cs="Guttman-Soncino"/>
          <w:color w:val="000000"/>
          <w:sz w:val="20"/>
          <w:szCs w:val="20"/>
          <w:rtl/>
        </w:rPr>
      </w:pPr>
      <w:r w:rsidRPr="005F4BE3">
        <w:rPr>
          <w:rFonts w:cs="Guttman-Soncino"/>
          <w:color w:val="000000"/>
          <w:sz w:val="20"/>
          <w:szCs w:val="20"/>
          <w:rtl/>
        </w:rPr>
        <w:t>ב</w:t>
      </w:r>
      <w:hyperlink r:id="rId58" w:history="1">
        <w:r w:rsidRPr="005F4BE3">
          <w:rPr>
            <w:rFonts w:cs="Guttman-Soncino"/>
            <w:color w:val="000000"/>
            <w:sz w:val="20"/>
            <w:szCs w:val="20"/>
            <w:rtl/>
          </w:rPr>
          <w:t>מלחמת העולם השנייה</w:t>
        </w:r>
      </w:hyperlink>
      <w:r w:rsidRPr="005F4BE3">
        <w:rPr>
          <w:rFonts w:cs="Guttman-Soncino"/>
          <w:color w:val="000000"/>
          <w:sz w:val="20"/>
          <w:szCs w:val="20"/>
          <w:rtl/>
        </w:rPr>
        <w:t xml:space="preserve"> תרם היישוב העברי בארץ את מלוא </w:t>
      </w:r>
      <w:hyperlink r:id="rId59" w:history="1">
        <w:r w:rsidRPr="005F4BE3">
          <w:rPr>
            <w:rFonts w:cs="Guttman-Soncino"/>
            <w:color w:val="000000"/>
            <w:sz w:val="20"/>
            <w:szCs w:val="20"/>
            <w:rtl/>
          </w:rPr>
          <w:t>חלקו למאבק</w:t>
        </w:r>
      </w:hyperlink>
      <w:r w:rsidRPr="005F4BE3">
        <w:rPr>
          <w:rFonts w:cs="Guttman-Soncino"/>
          <w:color w:val="000000"/>
          <w:sz w:val="20"/>
          <w:szCs w:val="20"/>
          <w:rtl/>
        </w:rPr>
        <w:t xml:space="preserve"> האומות השוחרות חירות ושלום נגד כוחות הרשע הנאצי, ובדם חייליו ובמאמצו המלחמתי קנה לו את הזכות להימנות עם העמים מייסדי ברית האומות המאוחדות.</w:t>
      </w:r>
    </w:p>
    <w:p w:rsidR="005366A8" w:rsidRPr="00FB3AF4" w:rsidRDefault="005366A8" w:rsidP="005366A8">
      <w:pPr>
        <w:spacing w:after="120"/>
        <w:ind w:left="1019" w:right="567"/>
        <w:rPr>
          <w:rFonts w:cs="Guttman-Soncino"/>
          <w:color w:val="000000"/>
          <w:sz w:val="20"/>
          <w:szCs w:val="20"/>
          <w:highlight w:val="yellow"/>
          <w:rtl/>
        </w:rPr>
      </w:pPr>
      <w:r w:rsidRPr="00FB3AF4">
        <w:rPr>
          <w:rFonts w:cs="Guttman-Soncino"/>
          <w:color w:val="000000"/>
          <w:sz w:val="20"/>
          <w:szCs w:val="20"/>
          <w:highlight w:val="yellow"/>
          <w:rtl/>
        </w:rPr>
        <w:t xml:space="preserve">ב-29 בנובמבר 1947 קיבלה עצרת האומות המאוחדות </w:t>
      </w:r>
      <w:hyperlink r:id="rId60" w:history="1">
        <w:r w:rsidRPr="00FB3AF4">
          <w:rPr>
            <w:rFonts w:cs="Guttman-Soncino"/>
            <w:color w:val="000000"/>
            <w:sz w:val="20"/>
            <w:szCs w:val="20"/>
            <w:highlight w:val="yellow"/>
            <w:rtl/>
          </w:rPr>
          <w:t>החלטה</w:t>
        </w:r>
      </w:hyperlink>
      <w:r w:rsidRPr="00FB3AF4">
        <w:rPr>
          <w:rFonts w:cs="Guttman-Soncino"/>
          <w:color w:val="000000"/>
          <w:sz w:val="20"/>
          <w:szCs w:val="20"/>
          <w:highlight w:val="yellow"/>
          <w:rtl/>
        </w:rPr>
        <w:t xml:space="preserve"> המחייבת הקמת מדינה יהודית בארץ-ישראל; העצרת תבעה מאת תושבי ארץ-ישראל לאחוז בעצמם בכל הצעדים הנדרשים מצדם הם לביצוע ההחלטה. הכרזה זו  של האומות המאוחדות בזכות העם היהודי להקים את מדינתו אינה ניתנת להפקעה.</w:t>
      </w:r>
    </w:p>
    <w:p w:rsidR="005366A8" w:rsidRPr="005F4BE3" w:rsidRDefault="005366A8" w:rsidP="005366A8">
      <w:pPr>
        <w:spacing w:after="120"/>
        <w:ind w:left="1019" w:right="567"/>
        <w:rPr>
          <w:rFonts w:cs="Guttman-Soncino"/>
          <w:color w:val="000000"/>
          <w:sz w:val="20"/>
          <w:szCs w:val="20"/>
        </w:rPr>
      </w:pPr>
      <w:r w:rsidRPr="00FB3AF4">
        <w:rPr>
          <w:rFonts w:cs="Guttman-Soncino"/>
          <w:color w:val="000000"/>
          <w:sz w:val="20"/>
          <w:szCs w:val="20"/>
          <w:highlight w:val="yellow"/>
          <w:rtl/>
        </w:rPr>
        <w:t>זוהי זכותו הטבעית של העם היהודי להיות ככל עם ועם עומד ברשות עצמו במדינתו הריבונית.</w:t>
      </w:r>
    </w:p>
    <w:p w:rsidR="005366A8" w:rsidRPr="009C2C46" w:rsidRDefault="005366A8" w:rsidP="005366A8">
      <w:pPr>
        <w:ind w:left="1440" w:hanging="720"/>
        <w:rPr>
          <w:sz w:val="22"/>
          <w:szCs w:val="22"/>
          <w:rtl/>
        </w:rPr>
      </w:pPr>
    </w:p>
    <w:p w:rsidR="005366A8" w:rsidRDefault="005366A8" w:rsidP="005366A8">
      <w:pPr>
        <w:rPr>
          <w:sz w:val="20"/>
          <w:szCs w:val="20"/>
          <w:rtl/>
        </w:rPr>
      </w:pPr>
      <w:r>
        <w:rPr>
          <w:rFonts w:hint="cs"/>
          <w:sz w:val="20"/>
          <w:szCs w:val="20"/>
          <w:rtl/>
        </w:rPr>
        <w:t>=-=</w:t>
      </w:r>
    </w:p>
    <w:p w:rsidR="005366A8" w:rsidRDefault="005366A8" w:rsidP="005366A8">
      <w:pPr>
        <w:rPr>
          <w:rFonts w:cs="David"/>
          <w:b/>
          <w:bCs/>
          <w:rtl/>
        </w:rPr>
      </w:pPr>
      <w:r w:rsidRPr="00E46BE0">
        <w:rPr>
          <w:rFonts w:ascii="Arial" w:hAnsi="Arial" w:cs="Arial"/>
          <w:b/>
          <w:bCs/>
          <w:sz w:val="20"/>
          <w:szCs w:val="20"/>
          <w:rtl/>
        </w:rPr>
        <w:t xml:space="preserve">נקודות מרכזיות </w:t>
      </w:r>
      <w:r>
        <w:rPr>
          <w:rFonts w:ascii="Arial" w:hAnsi="Arial" w:cs="Arial" w:hint="cs"/>
          <w:b/>
          <w:bCs/>
          <w:sz w:val="20"/>
          <w:szCs w:val="20"/>
          <w:rtl/>
        </w:rPr>
        <w:t xml:space="preserve">נוספות </w:t>
      </w:r>
      <w:r w:rsidRPr="00E46BE0">
        <w:rPr>
          <w:rFonts w:ascii="Arial" w:hAnsi="Arial" w:cs="Arial"/>
          <w:b/>
          <w:bCs/>
          <w:sz w:val="20"/>
          <w:szCs w:val="20"/>
          <w:rtl/>
        </w:rPr>
        <w:t xml:space="preserve">של </w:t>
      </w:r>
      <w:r>
        <w:rPr>
          <w:rFonts w:ascii="Arial" w:hAnsi="Arial" w:cs="Arial" w:hint="cs"/>
          <w:b/>
          <w:bCs/>
          <w:sz w:val="20"/>
          <w:szCs w:val="20"/>
          <w:rtl/>
        </w:rPr>
        <w:t>ה</w:t>
      </w:r>
      <w:r w:rsidRPr="00E46BE0">
        <w:rPr>
          <w:rFonts w:ascii="Arial" w:hAnsi="Arial" w:cs="Arial"/>
          <w:b/>
          <w:bCs/>
          <w:sz w:val="20"/>
          <w:szCs w:val="20"/>
          <w:rtl/>
        </w:rPr>
        <w:t>התחלה</w:t>
      </w:r>
      <w:r>
        <w:rPr>
          <w:rFonts w:ascii="Arial" w:hAnsi="Arial" w:cs="Arial" w:hint="cs"/>
          <w:b/>
          <w:bCs/>
          <w:sz w:val="20"/>
          <w:szCs w:val="20"/>
          <w:rtl/>
        </w:rPr>
        <w:t xml:space="preserve"> </w:t>
      </w:r>
      <w:r>
        <w:rPr>
          <w:rFonts w:ascii="Arial" w:hAnsi="Arial" w:cs="Arial"/>
          <w:b/>
          <w:bCs/>
          <w:sz w:val="20"/>
          <w:szCs w:val="20"/>
          <w:rtl/>
        </w:rPr>
        <w:t>–</w:t>
      </w:r>
      <w:r>
        <w:rPr>
          <w:rFonts w:ascii="Arial" w:hAnsi="Arial" w:cs="Arial" w:hint="cs"/>
          <w:b/>
          <w:bCs/>
          <w:sz w:val="20"/>
          <w:szCs w:val="20"/>
          <w:rtl/>
        </w:rPr>
        <w:t xml:space="preserve"> </w:t>
      </w:r>
      <w:r w:rsidRPr="00E46BE0">
        <w:rPr>
          <w:rFonts w:ascii="Arial" w:hAnsi="Arial" w:cs="Arial"/>
          <w:b/>
          <w:bCs/>
          <w:sz w:val="20"/>
          <w:szCs w:val="20"/>
          <w:highlight w:val="yellow"/>
          <w:rtl/>
        </w:rPr>
        <w:t>המשפט הציבורי של ישראל, עם הקמת המדינה</w:t>
      </w:r>
      <w:r w:rsidRPr="00E46BE0">
        <w:rPr>
          <w:rFonts w:ascii="Arial" w:hAnsi="Arial" w:cs="Arial" w:hint="cs"/>
          <w:b/>
          <w:bCs/>
          <w:sz w:val="20"/>
          <w:szCs w:val="20"/>
          <w:highlight w:val="yellow"/>
          <w:rtl/>
        </w:rPr>
        <w:t>:</w:t>
      </w:r>
    </w:p>
    <w:p w:rsidR="005366A8" w:rsidRDefault="005366A8" w:rsidP="005366A8">
      <w:pPr>
        <w:rPr>
          <w:rFonts w:cs="David"/>
          <w:b/>
          <w:bCs/>
          <w:rtl/>
        </w:rPr>
      </w:pPr>
    </w:p>
    <w:p w:rsidR="005366A8" w:rsidRPr="00A26E27" w:rsidRDefault="005366A8" w:rsidP="005366A8">
      <w:pPr>
        <w:jc w:val="center"/>
        <w:rPr>
          <w:rFonts w:cs="David"/>
          <w:b/>
          <w:bCs/>
          <w:rtl/>
        </w:rPr>
      </w:pPr>
      <w:r w:rsidRPr="00A26E27">
        <w:rPr>
          <w:rFonts w:cs="David"/>
          <w:b/>
          <w:bCs/>
          <w:rtl/>
        </w:rPr>
        <w:t>פ</w:t>
      </w:r>
      <w:r w:rsidRPr="00A26E27">
        <w:rPr>
          <w:rFonts w:cs="David" w:hint="cs"/>
          <w:b/>
          <w:bCs/>
          <w:rtl/>
        </w:rPr>
        <w:t>קודת סדרי השלטון והמשפט, תש"ח-1948</w:t>
      </w:r>
    </w:p>
    <w:p w:rsidR="005366A8" w:rsidRPr="004957E7" w:rsidRDefault="005366A8" w:rsidP="005366A8">
      <w:pPr>
        <w:pStyle w:val="medium-header"/>
        <w:keepNext w:val="0"/>
        <w:keepLines w:val="0"/>
        <w:ind w:left="0" w:right="851"/>
        <w:jc w:val="both"/>
        <w:rPr>
          <w:rFonts w:ascii="Arial" w:hAnsi="Arial" w:cs="David"/>
          <w:sz w:val="22"/>
          <w:szCs w:val="22"/>
          <w:rtl/>
        </w:rPr>
      </w:pPr>
      <w:r w:rsidRPr="00642335">
        <w:rPr>
          <w:rStyle w:val="default"/>
          <w:rFonts w:cs="David" w:hint="cs"/>
          <w:sz w:val="24"/>
          <w:szCs w:val="24"/>
          <w:rtl/>
        </w:rPr>
        <w:tab/>
      </w:r>
      <w:r w:rsidRPr="004957E7">
        <w:rPr>
          <w:rStyle w:val="default"/>
          <w:rFonts w:cs="David"/>
          <w:sz w:val="22"/>
          <w:szCs w:val="22"/>
          <w:rtl/>
        </w:rPr>
        <w:t>ב</w:t>
      </w:r>
      <w:r w:rsidRPr="004957E7">
        <w:rPr>
          <w:rStyle w:val="default"/>
          <w:rFonts w:cs="David" w:hint="cs"/>
          <w:sz w:val="22"/>
          <w:szCs w:val="22"/>
          <w:rtl/>
        </w:rPr>
        <w:t>תוקף הסמכות שנקבעה למועצת המדינה הזמנית בהכרזה על</w:t>
      </w:r>
      <w:r w:rsidRPr="004957E7">
        <w:rPr>
          <w:rStyle w:val="default"/>
          <w:rFonts w:cs="David"/>
          <w:sz w:val="22"/>
          <w:szCs w:val="22"/>
          <w:rtl/>
        </w:rPr>
        <w:t xml:space="preserve"> </w:t>
      </w:r>
      <w:r w:rsidRPr="004957E7">
        <w:rPr>
          <w:rStyle w:val="default"/>
          <w:rFonts w:cs="David" w:hint="cs"/>
          <w:sz w:val="22"/>
          <w:szCs w:val="22"/>
          <w:rtl/>
        </w:rPr>
        <w:t>הקמת מדינת ישראל מיום ה' באייר תש"ח (14 במאי 1948) ובמנשר מאותו יום, מחוקקת בזה מועצת המדינה הזמנית לאמור:</w:t>
      </w:r>
      <w:r>
        <w:rPr>
          <w:rStyle w:val="default"/>
          <w:rFonts w:cs="David" w:hint="cs"/>
          <w:sz w:val="22"/>
          <w:szCs w:val="22"/>
          <w:rtl/>
        </w:rPr>
        <w:t xml:space="preserve"> </w:t>
      </w:r>
      <w:r w:rsidRPr="004957E7">
        <w:rPr>
          <w:rFonts w:ascii="Arial" w:hAnsi="Arial" w:cs="David" w:hint="cs"/>
          <w:sz w:val="22"/>
          <w:szCs w:val="22"/>
          <w:rtl/>
        </w:rPr>
        <w:t>...</w:t>
      </w:r>
    </w:p>
    <w:p w:rsidR="005366A8" w:rsidRPr="004957E7" w:rsidRDefault="005366A8" w:rsidP="005366A8">
      <w:pPr>
        <w:pStyle w:val="medium2-header"/>
        <w:keepLines w:val="0"/>
        <w:spacing w:before="72"/>
        <w:ind w:left="0" w:right="851"/>
        <w:rPr>
          <w:rFonts w:cs="David"/>
          <w:noProof/>
          <w:sz w:val="22"/>
          <w:szCs w:val="22"/>
          <w:rtl/>
        </w:rPr>
      </w:pPr>
      <w:r w:rsidRPr="004957E7">
        <w:rPr>
          <w:rFonts w:cs="David"/>
          <w:noProof/>
          <w:sz w:val="22"/>
          <w:szCs w:val="22"/>
          <w:rtl/>
        </w:rPr>
        <w:t>פ</w:t>
      </w:r>
      <w:r w:rsidRPr="004957E7">
        <w:rPr>
          <w:rFonts w:cs="David" w:hint="cs"/>
          <w:noProof/>
          <w:sz w:val="22"/>
          <w:szCs w:val="22"/>
          <w:rtl/>
        </w:rPr>
        <w:t xml:space="preserve">רק רביעי </w:t>
      </w:r>
      <w:r w:rsidRPr="004957E7">
        <w:rPr>
          <w:rFonts w:cs="David"/>
          <w:noProof/>
          <w:sz w:val="22"/>
          <w:szCs w:val="22"/>
          <w:rtl/>
        </w:rPr>
        <w:t>–</w:t>
      </w:r>
      <w:r w:rsidRPr="004957E7">
        <w:rPr>
          <w:rFonts w:cs="David" w:hint="cs"/>
          <w:noProof/>
          <w:sz w:val="22"/>
          <w:szCs w:val="22"/>
          <w:rtl/>
        </w:rPr>
        <w:t xml:space="preserve"> המשפט</w:t>
      </w:r>
    </w:p>
    <w:p w:rsidR="005366A8" w:rsidRPr="004957E7" w:rsidRDefault="005D7968" w:rsidP="005366A8">
      <w:pPr>
        <w:pStyle w:val="P00"/>
        <w:ind w:left="624" w:right="851"/>
        <w:rPr>
          <w:rStyle w:val="default"/>
          <w:rFonts w:cs="David"/>
          <w:sz w:val="22"/>
          <w:szCs w:val="22"/>
          <w:rtl/>
        </w:rPr>
      </w:pPr>
      <w:bookmarkStart w:id="2" w:name="Seif10"/>
      <w:bookmarkEnd w:id="2"/>
      <w:r w:rsidRPr="005D7968">
        <w:rPr>
          <w:rFonts w:cs="David"/>
          <w:sz w:val="22"/>
          <w:szCs w:val="22"/>
          <w:rtl/>
          <w:lang w:val="he-IL"/>
        </w:rPr>
        <w:pict>
          <v:rect id="_x0000_s1150" style="position:absolute;left:0;text-align:left;margin-left:466.8pt;margin-top:8.05pt;width:72.75pt;height:41.9pt;z-index:251788288" o:allowincell="f" filled="f" stroked="f" strokecolor="lime" strokeweight=".25pt">
            <v:textbox inset="0,0,0,0">
              <w:txbxContent>
                <w:p w:rsidR="005366A8" w:rsidRDefault="005366A8" w:rsidP="005366A8">
                  <w:pPr>
                    <w:spacing w:line="160" w:lineRule="exact"/>
                    <w:ind w:left="720"/>
                    <w:rPr>
                      <w:rFonts w:cs="Miriam"/>
                      <w:noProof/>
                      <w:szCs w:val="18"/>
                      <w:rtl/>
                    </w:rPr>
                  </w:pPr>
                  <w:r>
                    <w:rPr>
                      <w:rFonts w:cs="Miriam"/>
                      <w:szCs w:val="18"/>
                      <w:rtl/>
                    </w:rPr>
                    <w:t>ה</w:t>
                  </w:r>
                  <w:r>
                    <w:rPr>
                      <w:rFonts w:cs="Miriam" w:hint="cs"/>
                      <w:szCs w:val="18"/>
                      <w:rtl/>
                    </w:rPr>
                    <w:t>משפט הקיים</w:t>
                  </w:r>
                </w:p>
              </w:txbxContent>
            </v:textbox>
            <w10:anchorlock/>
          </v:rect>
        </w:pict>
      </w:r>
      <w:r w:rsidR="005366A8" w:rsidRPr="004957E7">
        <w:rPr>
          <w:rStyle w:val="big-number"/>
          <w:rFonts w:cs="David"/>
          <w:sz w:val="22"/>
          <w:szCs w:val="22"/>
          <w:rtl/>
        </w:rPr>
        <w:t>11.</w:t>
      </w:r>
      <w:r w:rsidR="005366A8" w:rsidRPr="004957E7">
        <w:rPr>
          <w:rStyle w:val="big-number"/>
          <w:rFonts w:cs="David"/>
          <w:sz w:val="22"/>
          <w:szCs w:val="22"/>
          <w:rtl/>
        </w:rPr>
        <w:tab/>
      </w:r>
      <w:r w:rsidR="005366A8" w:rsidRPr="004957E7">
        <w:rPr>
          <w:rStyle w:val="default"/>
          <w:rFonts w:cs="David"/>
          <w:sz w:val="22"/>
          <w:szCs w:val="22"/>
          <w:rtl/>
        </w:rPr>
        <w:t>ה</w:t>
      </w:r>
      <w:r w:rsidR="005366A8" w:rsidRPr="004957E7">
        <w:rPr>
          <w:rStyle w:val="default"/>
          <w:rFonts w:cs="David" w:hint="cs"/>
          <w:sz w:val="22"/>
          <w:szCs w:val="22"/>
          <w:rtl/>
        </w:rPr>
        <w:t xml:space="preserve">משפט שהיה קיים בארץ-ישראל ביום ה' באייר תש"ח (14 במאי 1948) יעמוד בתקפו, עד כמה שאין בו משום סתירה לפקודה זו או לחוקים האחרים שיינתנו על ידי </w:t>
      </w:r>
      <w:r w:rsidR="005366A8" w:rsidRPr="004957E7">
        <w:rPr>
          <w:rStyle w:val="default"/>
          <w:rFonts w:cs="David"/>
          <w:sz w:val="22"/>
          <w:szCs w:val="22"/>
          <w:rtl/>
        </w:rPr>
        <w:t>מ</w:t>
      </w:r>
      <w:r w:rsidR="005366A8" w:rsidRPr="004957E7">
        <w:rPr>
          <w:rStyle w:val="default"/>
          <w:rFonts w:cs="David" w:hint="cs"/>
          <w:sz w:val="22"/>
          <w:szCs w:val="22"/>
          <w:rtl/>
        </w:rPr>
        <w:t>ועצת המדינה הזמנית, או על פיה ובשינויים הנובעים מתוך הקמת המדינה ורשויותיה.</w:t>
      </w:r>
    </w:p>
    <w:p w:rsidR="005366A8" w:rsidRDefault="005366A8" w:rsidP="005366A8">
      <w:pPr>
        <w:pStyle w:val="FootnoteText"/>
        <w:ind w:left="720" w:hanging="720"/>
        <w:rPr>
          <w:rFonts w:cs="David"/>
          <w:sz w:val="20"/>
          <w:szCs w:val="20"/>
          <w:rtl/>
        </w:rPr>
      </w:pPr>
    </w:p>
    <w:p w:rsidR="005366A8" w:rsidRPr="002F7619" w:rsidRDefault="005366A8" w:rsidP="005366A8">
      <w:pPr>
        <w:pStyle w:val="FootnoteText"/>
        <w:ind w:left="720" w:hanging="720"/>
        <w:rPr>
          <w:rFonts w:cs="David"/>
          <w:sz w:val="20"/>
          <w:szCs w:val="20"/>
          <w:rtl/>
        </w:rPr>
      </w:pPr>
    </w:p>
    <w:p w:rsidR="005366A8" w:rsidRPr="008F3512" w:rsidRDefault="005366A8" w:rsidP="005366A8">
      <w:pPr>
        <w:rPr>
          <w:rFonts w:ascii="Arial" w:hAnsi="Arial" w:cs="Arial"/>
          <w:b/>
          <w:bCs/>
          <w:snapToGrid w:val="0"/>
          <w:sz w:val="22"/>
          <w:szCs w:val="22"/>
          <w:rtl/>
          <w:lang w:eastAsia="he-IL"/>
        </w:rPr>
      </w:pPr>
      <w:r>
        <w:rPr>
          <w:rFonts w:ascii="Arial" w:hAnsi="Arial" w:cs="Arial" w:hint="cs"/>
          <w:b/>
          <w:bCs/>
          <w:snapToGrid w:val="0"/>
          <w:sz w:val="22"/>
          <w:szCs w:val="22"/>
          <w:highlight w:val="yellow"/>
          <w:rtl/>
          <w:lang w:eastAsia="he-IL"/>
        </w:rPr>
        <w:t>הגישה הבסיסית אל המשפט מצד הרשות השופטת ב</w:t>
      </w:r>
      <w:r w:rsidRPr="00036706">
        <w:rPr>
          <w:rFonts w:ascii="Arial" w:hAnsi="Arial" w:cs="Arial"/>
          <w:b/>
          <w:bCs/>
          <w:snapToGrid w:val="0"/>
          <w:sz w:val="22"/>
          <w:szCs w:val="22"/>
          <w:highlight w:val="yellow"/>
          <w:rtl/>
          <w:lang w:eastAsia="he-IL"/>
        </w:rPr>
        <w:t xml:space="preserve">ראשית </w:t>
      </w:r>
      <w:r w:rsidRPr="00E46BE0">
        <w:rPr>
          <w:rFonts w:ascii="Arial" w:hAnsi="Arial" w:cs="Arial"/>
          <w:b/>
          <w:bCs/>
          <w:snapToGrid w:val="0"/>
          <w:sz w:val="22"/>
          <w:szCs w:val="22"/>
          <w:highlight w:val="yellow"/>
          <w:rtl/>
          <w:lang w:eastAsia="he-IL"/>
        </w:rPr>
        <w:t>המדינה</w:t>
      </w:r>
      <w:r w:rsidRPr="00E46BE0">
        <w:rPr>
          <w:rFonts w:ascii="Arial" w:hAnsi="Arial" w:cs="Arial" w:hint="cs"/>
          <w:b/>
          <w:bCs/>
          <w:snapToGrid w:val="0"/>
          <w:sz w:val="22"/>
          <w:szCs w:val="22"/>
          <w:highlight w:val="yellow"/>
          <w:rtl/>
          <w:lang w:eastAsia="he-IL"/>
        </w:rPr>
        <w:t xml:space="preserve"> היא נקודת מוצא "פורמאליסטית"</w:t>
      </w:r>
      <w:r>
        <w:rPr>
          <w:rFonts w:ascii="Arial" w:hAnsi="Arial" w:cs="Arial" w:hint="cs"/>
          <w:b/>
          <w:bCs/>
          <w:snapToGrid w:val="0"/>
          <w:sz w:val="22"/>
          <w:szCs w:val="22"/>
          <w:highlight w:val="yellow"/>
          <w:rtl/>
          <w:lang w:eastAsia="he-IL"/>
        </w:rPr>
        <w:t>-טכנית</w:t>
      </w:r>
      <w:r w:rsidRPr="00E46BE0">
        <w:rPr>
          <w:rFonts w:ascii="Arial" w:hAnsi="Arial" w:cs="Arial" w:hint="cs"/>
          <w:b/>
          <w:bCs/>
          <w:snapToGrid w:val="0"/>
          <w:sz w:val="22"/>
          <w:szCs w:val="22"/>
          <w:highlight w:val="yellow"/>
          <w:rtl/>
          <w:lang w:eastAsia="he-IL"/>
        </w:rPr>
        <w:t>:</w:t>
      </w:r>
    </w:p>
    <w:p w:rsidR="005366A8" w:rsidRPr="008F3512" w:rsidRDefault="005366A8" w:rsidP="005366A8">
      <w:pPr>
        <w:rPr>
          <w:snapToGrid w:val="0"/>
          <w:sz w:val="22"/>
          <w:szCs w:val="22"/>
          <w:rtl/>
          <w:lang w:eastAsia="he-IL"/>
        </w:rPr>
      </w:pPr>
      <w:r w:rsidRPr="008F3512">
        <w:rPr>
          <w:snapToGrid w:val="0"/>
          <w:sz w:val="22"/>
          <w:szCs w:val="22"/>
          <w:rtl/>
          <w:lang w:eastAsia="he-IL"/>
        </w:rPr>
        <w:t xml:space="preserve">  </w:t>
      </w:r>
    </w:p>
    <w:p w:rsidR="005366A8" w:rsidRPr="008F3512" w:rsidRDefault="005366A8" w:rsidP="005366A8">
      <w:pPr>
        <w:rPr>
          <w:snapToGrid w:val="0"/>
          <w:sz w:val="22"/>
          <w:szCs w:val="22"/>
          <w:rtl/>
          <w:lang w:eastAsia="he-IL"/>
        </w:rPr>
      </w:pPr>
      <w:r>
        <w:rPr>
          <w:rFonts w:hint="cs"/>
          <w:sz w:val="22"/>
          <w:szCs w:val="22"/>
          <w:rtl/>
        </w:rPr>
        <w:t xml:space="preserve">הדגמה לכך </w:t>
      </w:r>
      <w:r>
        <w:rPr>
          <w:sz w:val="22"/>
          <w:szCs w:val="22"/>
          <w:rtl/>
        </w:rPr>
        <w:t>–</w:t>
      </w:r>
      <w:r>
        <w:rPr>
          <w:rFonts w:hint="cs"/>
          <w:sz w:val="22"/>
          <w:szCs w:val="22"/>
          <w:rtl/>
        </w:rPr>
        <w:t xml:space="preserve"> </w:t>
      </w:r>
      <w:r w:rsidRPr="008F3512">
        <w:rPr>
          <w:sz w:val="22"/>
          <w:szCs w:val="22"/>
          <w:rtl/>
        </w:rPr>
        <w:t xml:space="preserve">בג"צ 46/50 </w:t>
      </w:r>
      <w:r w:rsidRPr="008F3512">
        <w:rPr>
          <w:b/>
          <w:bCs/>
          <w:sz w:val="22"/>
          <w:szCs w:val="22"/>
          <w:rtl/>
        </w:rPr>
        <w:t>אל איובי נ' שר הבטחון</w:t>
      </w:r>
      <w:r w:rsidRPr="008F3512">
        <w:rPr>
          <w:sz w:val="22"/>
          <w:szCs w:val="22"/>
          <w:rtl/>
        </w:rPr>
        <w:t>, פ"ד ד 222, 227</w:t>
      </w:r>
      <w:r>
        <w:rPr>
          <w:rFonts w:hint="cs"/>
          <w:sz w:val="22"/>
          <w:szCs w:val="22"/>
          <w:rtl/>
        </w:rPr>
        <w:t>, שם</w:t>
      </w:r>
      <w:r w:rsidRPr="008F3512">
        <w:rPr>
          <w:sz w:val="22"/>
          <w:szCs w:val="22"/>
          <w:rtl/>
        </w:rPr>
        <w:t xml:space="preserve"> </w:t>
      </w:r>
      <w:r w:rsidRPr="008F3512">
        <w:rPr>
          <w:snapToGrid w:val="0"/>
          <w:sz w:val="22"/>
          <w:szCs w:val="22"/>
          <w:rtl/>
          <w:lang w:eastAsia="he-IL"/>
        </w:rPr>
        <w:t xml:space="preserve">אומר בית המשפט העליון את הדברים הבאים: </w:t>
      </w:r>
    </w:p>
    <w:p w:rsidR="005366A8" w:rsidRPr="008F3512" w:rsidRDefault="005366A8" w:rsidP="005366A8">
      <w:pPr>
        <w:pStyle w:val="T-body"/>
        <w:spacing w:line="240" w:lineRule="auto"/>
        <w:ind w:left="720"/>
        <w:rPr>
          <w:rFonts w:cs="FrankRuehl"/>
          <w:rtl/>
        </w:rPr>
      </w:pPr>
      <w:r w:rsidRPr="008F3512">
        <w:rPr>
          <w:rFonts w:cs="FrankRuehl"/>
          <w:rtl/>
        </w:rPr>
        <w:t xml:space="preserve">סמכותו של בית משפט זה, בבואו לבקר את פעולת הרשות המוסמכת, הפועלת בתוקף תקנות ההגנה (שעת-חירום), 1945, היא בעלת אופי מצומצם ביותר.  </w:t>
      </w:r>
      <w:r w:rsidRPr="00FC42BE">
        <w:rPr>
          <w:rFonts w:cs="FrankRuehl"/>
          <w:highlight w:val="yellow"/>
          <w:rtl/>
        </w:rPr>
        <w:t>כאשר התקנה הנדונה מקנה סמכות בידי הרשות המוסמכת לפעול כלפי הפרט בכל מקרה בו היא "סבורה" או "נראה לה" שקיימים תנאים ידועים המצריכים זאת, הרי בדרך כלל הרשות המוסמכת בעצמה היא הפוסק האחרון לגבי שאלת קיום התנאים האלה</w:t>
      </w:r>
      <w:r w:rsidRPr="008F3512">
        <w:rPr>
          <w:rFonts w:cs="FrankRuehl"/>
          <w:rtl/>
        </w:rPr>
        <w:t>.</w:t>
      </w:r>
    </w:p>
    <w:p w:rsidR="005366A8" w:rsidRPr="008F3512" w:rsidRDefault="005366A8" w:rsidP="005366A8">
      <w:pPr>
        <w:pStyle w:val="T-body"/>
        <w:spacing w:line="240" w:lineRule="auto"/>
        <w:ind w:left="720"/>
        <w:rPr>
          <w:sz w:val="22"/>
          <w:szCs w:val="22"/>
          <w:rtl/>
        </w:rPr>
      </w:pPr>
    </w:p>
    <w:p w:rsidR="005366A8" w:rsidRDefault="005366A8" w:rsidP="005366A8">
      <w:pPr>
        <w:rPr>
          <w:sz w:val="22"/>
          <w:szCs w:val="22"/>
          <w:rtl/>
        </w:rPr>
      </w:pPr>
      <w:r w:rsidRPr="00AC5821">
        <w:rPr>
          <w:rFonts w:hint="cs"/>
          <w:sz w:val="22"/>
          <w:szCs w:val="22"/>
          <w:rtl/>
        </w:rPr>
        <w:t xml:space="preserve">בג"צ 7/48 </w:t>
      </w:r>
      <w:r w:rsidRPr="00AC5821">
        <w:rPr>
          <w:rFonts w:hint="cs"/>
          <w:b/>
          <w:bCs/>
          <w:sz w:val="22"/>
          <w:szCs w:val="22"/>
          <w:rtl/>
        </w:rPr>
        <w:t>אל כרבוטלי נ' שר הביטחון</w:t>
      </w:r>
      <w:r w:rsidRPr="00AC5821">
        <w:rPr>
          <w:rFonts w:hint="cs"/>
          <w:sz w:val="22"/>
          <w:szCs w:val="22"/>
          <w:rtl/>
        </w:rPr>
        <w:t xml:space="preserve">, פ"ד ב 5 </w:t>
      </w:r>
    </w:p>
    <w:p w:rsidR="005366A8" w:rsidRDefault="005366A8" w:rsidP="005366A8">
      <w:pPr>
        <w:ind w:left="720"/>
        <w:rPr>
          <w:sz w:val="22"/>
          <w:szCs w:val="22"/>
          <w:rtl/>
        </w:rPr>
      </w:pPr>
      <w:r w:rsidRPr="00AC5821">
        <w:rPr>
          <w:rFonts w:hint="cs"/>
          <w:sz w:val="22"/>
          <w:szCs w:val="22"/>
          <w:rtl/>
        </w:rPr>
        <w:t>[</w:t>
      </w:r>
      <w:r>
        <w:rPr>
          <w:rFonts w:hint="cs"/>
          <w:sz w:val="22"/>
          <w:szCs w:val="22"/>
          <w:rtl/>
        </w:rPr>
        <w:t xml:space="preserve">שימו לב, עם זאת, כי גם מנקודת מוצא פורמאליסטית זו </w:t>
      </w:r>
      <w:r w:rsidRPr="000E73A3">
        <w:rPr>
          <w:rFonts w:hint="cs"/>
          <w:b/>
          <w:bCs/>
          <w:sz w:val="22"/>
          <w:szCs w:val="22"/>
          <w:rtl/>
        </w:rPr>
        <w:t>ניתן לעשות דברים חשובים</w:t>
      </w:r>
      <w:r>
        <w:rPr>
          <w:rFonts w:hint="cs"/>
          <w:sz w:val="22"/>
          <w:szCs w:val="22"/>
          <w:rtl/>
        </w:rPr>
        <w:t xml:space="preserve"> בתחום ההגנה על זכויות האדם. </w:t>
      </w:r>
    </w:p>
    <w:p w:rsidR="005366A8" w:rsidRDefault="005366A8" w:rsidP="005366A8">
      <w:pPr>
        <w:ind w:left="720"/>
        <w:rPr>
          <w:sz w:val="22"/>
          <w:szCs w:val="22"/>
          <w:rtl/>
        </w:rPr>
      </w:pPr>
      <w:r>
        <w:rPr>
          <w:rFonts w:hint="cs"/>
          <w:sz w:val="22"/>
          <w:szCs w:val="22"/>
          <w:rtl/>
        </w:rPr>
        <w:t xml:space="preserve">כך למשל, בית המשפט העליון בחן את </w:t>
      </w:r>
      <w:r w:rsidRPr="00AC5821">
        <w:rPr>
          <w:rFonts w:hint="cs"/>
          <w:sz w:val="22"/>
          <w:szCs w:val="22"/>
          <w:rtl/>
        </w:rPr>
        <w:t xml:space="preserve">חוקיותו של צו מעצר מינהלי מכוח תקנה 111 לתקנות ההגנה (שע"ח) 1945, </w:t>
      </w:r>
      <w:r>
        <w:rPr>
          <w:rFonts w:hint="cs"/>
          <w:sz w:val="22"/>
          <w:szCs w:val="22"/>
          <w:rtl/>
        </w:rPr>
        <w:t xml:space="preserve">והוא הכריז על אי-חוקיותו, </w:t>
      </w:r>
      <w:r w:rsidRPr="00AC5821">
        <w:rPr>
          <w:rFonts w:hint="cs"/>
          <w:sz w:val="22"/>
          <w:szCs w:val="22"/>
          <w:rtl/>
        </w:rPr>
        <w:t xml:space="preserve">בהינתן העובדה שלא הוקמה ועדה מייעצת למפקד הצבאי, </w:t>
      </w:r>
      <w:r>
        <w:rPr>
          <w:rFonts w:hint="cs"/>
          <w:sz w:val="22"/>
          <w:szCs w:val="22"/>
          <w:rtl/>
        </w:rPr>
        <w:t xml:space="preserve">שתבחן את שאלת הוצאת הצו והמשך תוקפו כלפי האדם הקונקרטי, </w:t>
      </w:r>
      <w:r w:rsidRPr="00AC5821">
        <w:rPr>
          <w:rFonts w:hint="cs"/>
          <w:sz w:val="22"/>
          <w:szCs w:val="22"/>
          <w:rtl/>
        </w:rPr>
        <w:t>כנדרש בתקנ</w:t>
      </w:r>
      <w:r>
        <w:rPr>
          <w:rFonts w:hint="cs"/>
          <w:sz w:val="22"/>
          <w:szCs w:val="22"/>
          <w:rtl/>
        </w:rPr>
        <w:t>ות ההגנ</w:t>
      </w:r>
      <w:r w:rsidRPr="00AC5821">
        <w:rPr>
          <w:rFonts w:hint="cs"/>
          <w:sz w:val="22"/>
          <w:szCs w:val="22"/>
          <w:rtl/>
        </w:rPr>
        <w:t>ה</w:t>
      </w:r>
      <w:r>
        <w:rPr>
          <w:rFonts w:hint="cs"/>
          <w:sz w:val="22"/>
          <w:szCs w:val="22"/>
          <w:rtl/>
        </w:rPr>
        <w:t xml:space="preserve">. </w:t>
      </w:r>
    </w:p>
    <w:p w:rsidR="005366A8" w:rsidRDefault="005366A8" w:rsidP="005366A8">
      <w:pPr>
        <w:ind w:left="720"/>
        <w:rPr>
          <w:sz w:val="22"/>
          <w:szCs w:val="22"/>
          <w:rtl/>
        </w:rPr>
      </w:pPr>
      <w:r>
        <w:rPr>
          <w:rFonts w:hint="cs"/>
          <w:sz w:val="22"/>
          <w:szCs w:val="22"/>
          <w:rtl/>
        </w:rPr>
        <w:t>במילים אחרות, הסמכות הפורמאלית לוותה בסייגים פורמאליים, סייגים מפורשים שהופיעו בדין, והם לא נשמרו כאן.</w:t>
      </w:r>
    </w:p>
    <w:p w:rsidR="005366A8" w:rsidRDefault="005366A8" w:rsidP="005366A8">
      <w:pPr>
        <w:ind w:left="720"/>
        <w:rPr>
          <w:szCs w:val="22"/>
          <w:rtl/>
        </w:rPr>
      </w:pPr>
      <w:r w:rsidRPr="00BC3985">
        <w:rPr>
          <w:rFonts w:hint="cs"/>
          <w:b/>
          <w:bCs/>
          <w:sz w:val="22"/>
          <w:szCs w:val="22"/>
          <w:rtl/>
        </w:rPr>
        <w:t xml:space="preserve">ואולם </w:t>
      </w:r>
      <w:r>
        <w:rPr>
          <w:rFonts w:hint="cs"/>
          <w:sz w:val="22"/>
          <w:szCs w:val="22"/>
          <w:rtl/>
        </w:rPr>
        <w:t xml:space="preserve">בכך זכו זכויות האדם להגנה מאד מוגבלת, שכן המשפט המנדטורי שאומץ למשפטה של המדינה החדשה, שזה מקרוב קמה, היה דרקוני במונחי ההגנה על זכויות האדם </w:t>
      </w:r>
      <w:r>
        <w:rPr>
          <w:sz w:val="22"/>
          <w:szCs w:val="22"/>
          <w:rtl/>
        </w:rPr>
        <w:t>–</w:t>
      </w:r>
      <w:r>
        <w:rPr>
          <w:rFonts w:hint="cs"/>
          <w:sz w:val="22"/>
          <w:szCs w:val="22"/>
          <w:rtl/>
        </w:rPr>
        <w:t xml:space="preserve"> משמע, הסייגים המפורשים שהופיעו בדין, כלומר הסייגים לאותן סמכויות גורפות של הרשויות, </w:t>
      </w:r>
      <w:r w:rsidRPr="00BC3985">
        <w:rPr>
          <w:rFonts w:hint="cs"/>
          <w:i/>
          <w:iCs/>
          <w:sz w:val="22"/>
          <w:szCs w:val="22"/>
          <w:rtl/>
        </w:rPr>
        <w:t>היו מעטים מאד</w:t>
      </w:r>
      <w:r w:rsidRPr="00AC5821">
        <w:rPr>
          <w:rFonts w:hint="cs"/>
          <w:sz w:val="22"/>
          <w:szCs w:val="22"/>
          <w:rtl/>
        </w:rPr>
        <w:t>].</w:t>
      </w:r>
    </w:p>
    <w:p w:rsidR="005366A8" w:rsidRDefault="005366A8" w:rsidP="005366A8">
      <w:pPr>
        <w:rPr>
          <w:szCs w:val="22"/>
          <w:rtl/>
        </w:rPr>
      </w:pPr>
      <w:r>
        <w:rPr>
          <w:rFonts w:hint="cs"/>
          <w:szCs w:val="22"/>
          <w:rtl/>
        </w:rPr>
        <w:t>=-=</w:t>
      </w:r>
    </w:p>
    <w:p w:rsidR="005366A8" w:rsidRDefault="005366A8" w:rsidP="005366A8">
      <w:pPr>
        <w:rPr>
          <w:szCs w:val="22"/>
          <w:rtl/>
        </w:rPr>
      </w:pPr>
    </w:p>
    <w:p w:rsidR="005366A8" w:rsidRDefault="005366A8" w:rsidP="005366A8">
      <w:pPr>
        <w:jc w:val="center"/>
        <w:rPr>
          <w:rFonts w:ascii="Arial" w:hAnsi="Arial" w:cs="Arial"/>
          <w:b/>
          <w:bCs/>
          <w:highlight w:val="yellow"/>
          <w:rtl/>
        </w:rPr>
      </w:pPr>
      <w:r>
        <w:rPr>
          <w:rFonts w:ascii="Arial" w:hAnsi="Arial" w:cs="Arial" w:hint="cs"/>
          <w:b/>
          <w:bCs/>
          <w:highlight w:val="yellow"/>
          <w:rtl/>
        </w:rPr>
        <w:t xml:space="preserve">אך כאן מגיעה דינמיקה חשובה וחיובית שמקורה בפסיקת בית המשפט העליון: </w:t>
      </w:r>
    </w:p>
    <w:p w:rsidR="005366A8" w:rsidRPr="00431C66" w:rsidRDefault="005366A8" w:rsidP="005366A8">
      <w:pPr>
        <w:jc w:val="center"/>
        <w:rPr>
          <w:rFonts w:ascii="Arial" w:hAnsi="Arial" w:cs="Arial"/>
          <w:b/>
          <w:bCs/>
          <w:rtl/>
        </w:rPr>
      </w:pPr>
      <w:r w:rsidRPr="00431C66">
        <w:rPr>
          <w:rFonts w:ascii="Arial" w:hAnsi="Arial" w:cs="Arial"/>
          <w:b/>
          <w:bCs/>
          <w:highlight w:val="yellow"/>
          <w:rtl/>
        </w:rPr>
        <w:t xml:space="preserve">התפתחויות </w:t>
      </w:r>
      <w:r>
        <w:rPr>
          <w:rFonts w:ascii="Arial" w:hAnsi="Arial" w:cs="Arial"/>
          <w:b/>
          <w:bCs/>
          <w:highlight w:val="yellow"/>
          <w:rtl/>
        </w:rPr>
        <w:t>מרכזיות לאחר אותה נקוד</w:t>
      </w:r>
      <w:r w:rsidRPr="00431C66">
        <w:rPr>
          <w:rFonts w:ascii="Arial" w:hAnsi="Arial" w:cs="Arial" w:hint="cs"/>
          <w:b/>
          <w:bCs/>
          <w:highlight w:val="yellow"/>
          <w:rtl/>
        </w:rPr>
        <w:t xml:space="preserve">ת </w:t>
      </w:r>
      <w:r w:rsidRPr="00E46BE0">
        <w:rPr>
          <w:rFonts w:ascii="Arial" w:hAnsi="Arial" w:cs="Arial" w:hint="cs"/>
          <w:b/>
          <w:bCs/>
          <w:highlight w:val="yellow"/>
          <w:rtl/>
        </w:rPr>
        <w:t>פתיחה פורמאליסטית</w:t>
      </w:r>
    </w:p>
    <w:p w:rsidR="005366A8" w:rsidRDefault="005366A8" w:rsidP="005366A8">
      <w:pPr>
        <w:rPr>
          <w:szCs w:val="22"/>
          <w:rtl/>
        </w:rPr>
      </w:pPr>
    </w:p>
    <w:p w:rsidR="005366A8" w:rsidRPr="00BC49B5" w:rsidRDefault="005366A8" w:rsidP="005366A8">
      <w:pPr>
        <w:spacing w:after="120"/>
        <w:jc w:val="center"/>
        <w:rPr>
          <w:sz w:val="22"/>
          <w:szCs w:val="22"/>
          <w:u w:val="single"/>
          <w:rtl/>
        </w:rPr>
      </w:pPr>
      <w:r w:rsidRPr="00D83F2D">
        <w:rPr>
          <w:highlight w:val="yellow"/>
          <w:u w:val="single"/>
          <w:rtl/>
        </w:rPr>
        <w:t xml:space="preserve">בג"צ 1/49 </w:t>
      </w:r>
      <w:r w:rsidRPr="00D83F2D">
        <w:rPr>
          <w:b/>
          <w:bCs/>
          <w:highlight w:val="yellow"/>
          <w:u w:val="single"/>
          <w:rtl/>
        </w:rPr>
        <w:t>בז'רנו נ' שר המשטרה</w:t>
      </w:r>
      <w:r w:rsidRPr="00D83F2D">
        <w:rPr>
          <w:highlight w:val="yellow"/>
          <w:u w:val="single"/>
          <w:rtl/>
        </w:rPr>
        <w:t>, פ"ד ב 80</w:t>
      </w:r>
      <w:r w:rsidRPr="00D83F2D">
        <w:rPr>
          <w:rFonts w:hint="cs"/>
          <w:highlight w:val="yellow"/>
          <w:u w:val="single"/>
          <w:rtl/>
        </w:rPr>
        <w:t xml:space="preserve"> (1949)</w:t>
      </w:r>
    </w:p>
    <w:p w:rsidR="005366A8" w:rsidRPr="00BC49B5" w:rsidRDefault="005366A8" w:rsidP="005366A8">
      <w:pPr>
        <w:spacing w:after="60"/>
        <w:rPr>
          <w:rFonts w:cs="FrankRuehl"/>
          <w:sz w:val="22"/>
          <w:szCs w:val="22"/>
          <w:rtl/>
        </w:rPr>
      </w:pPr>
      <w:r w:rsidRPr="00BC49B5">
        <w:rPr>
          <w:rFonts w:hint="cs"/>
          <w:sz w:val="22"/>
          <w:szCs w:val="22"/>
          <w:rtl/>
        </w:rPr>
        <w:t>4</w:t>
      </w:r>
      <w:r w:rsidRPr="00BC49B5">
        <w:rPr>
          <w:sz w:val="22"/>
          <w:szCs w:val="22"/>
          <w:rtl/>
        </w:rPr>
        <w:t xml:space="preserve">. </w:t>
      </w:r>
      <w:r w:rsidRPr="00BC49B5">
        <w:rPr>
          <w:rFonts w:cs="FrankRuehl"/>
          <w:sz w:val="22"/>
          <w:szCs w:val="22"/>
          <w:rtl/>
        </w:rPr>
        <w:t>מר כהן</w:t>
      </w:r>
      <w:r w:rsidRPr="00BC49B5">
        <w:rPr>
          <w:rFonts w:cs="FrankRuehl" w:hint="cs"/>
          <w:sz w:val="22"/>
          <w:szCs w:val="22"/>
          <w:rtl/>
        </w:rPr>
        <w:t xml:space="preserve"> </w:t>
      </w:r>
      <w:r w:rsidRPr="00BC49B5">
        <w:rPr>
          <w:rFonts w:cs="FrankRuehl" w:hint="cs"/>
          <w:sz w:val="20"/>
          <w:szCs w:val="20"/>
          <w:rtl/>
        </w:rPr>
        <w:t xml:space="preserve">[היועץ המשפטי לממשלה, </w:t>
      </w:r>
      <w:r>
        <w:rPr>
          <w:rFonts w:cs="FrankRuehl" w:hint="cs"/>
          <w:sz w:val="20"/>
          <w:szCs w:val="20"/>
          <w:rtl/>
        </w:rPr>
        <w:t>ו</w:t>
      </w:r>
      <w:r w:rsidRPr="00BC49B5">
        <w:rPr>
          <w:rFonts w:cs="FrankRuehl" w:hint="cs"/>
          <w:sz w:val="20"/>
          <w:szCs w:val="20"/>
          <w:rtl/>
        </w:rPr>
        <w:t>לימים שופט בית המשפט העליון, חיים כהן]</w:t>
      </w:r>
      <w:r w:rsidRPr="00BC49B5">
        <w:rPr>
          <w:rFonts w:cs="FrankRuehl"/>
          <w:sz w:val="20"/>
          <w:szCs w:val="20"/>
          <w:rtl/>
        </w:rPr>
        <w:t>,</w:t>
      </w:r>
      <w:r w:rsidRPr="00BC49B5">
        <w:rPr>
          <w:rFonts w:cs="FrankRuehl"/>
          <w:sz w:val="22"/>
          <w:szCs w:val="22"/>
          <w:rtl/>
        </w:rPr>
        <w:t xml:space="preserve"> בשם המשיבים, טוען, כי אין חוק אשר יקנה למבקשים את הזכות לעסוק במשרדי התנועה כ"שליחים מקצועיים", ואין חוק המטיל על המשיבים איזו חובה ציבורית שהיא כלפי המבקשים; ומכיון שכך, אין בית-המשפט הזה מוסמך להיעתר לבקשה,</w:t>
      </w:r>
      <w:r w:rsidRPr="00BC49B5">
        <w:rPr>
          <w:rFonts w:cs="FrankRuehl" w:hint="cs"/>
          <w:sz w:val="22"/>
          <w:szCs w:val="22"/>
          <w:rtl/>
        </w:rPr>
        <w:t xml:space="preserve"> [...]</w:t>
      </w:r>
    </w:p>
    <w:p w:rsidR="005366A8" w:rsidRPr="00BC49B5" w:rsidRDefault="005366A8" w:rsidP="005366A8">
      <w:pPr>
        <w:spacing w:after="60"/>
        <w:rPr>
          <w:rFonts w:cs="FrankRuehl"/>
          <w:sz w:val="22"/>
          <w:szCs w:val="22"/>
          <w:rtl/>
        </w:rPr>
      </w:pPr>
      <w:r w:rsidRPr="00BC49B5">
        <w:rPr>
          <w:rFonts w:cs="FrankRuehl"/>
          <w:sz w:val="22"/>
          <w:szCs w:val="22"/>
          <w:rtl/>
        </w:rPr>
        <w:t>מקום שמבקש מתאונן על כך, שפקיד ציבורי אוסר עליו לעשות פעולה מסויימת, אין על המבקש להוכיח, כי קיים חוק אשר לפיו חלה על הפקיד הציבורי החובה להרשות לו לעשות את הפעולה, אלא להיפך, על הפקיד הציבורי להוכיח כי יש צידוק לאיסור אשר הוא אוסר,</w:t>
      </w:r>
      <w:r w:rsidRPr="00BC49B5">
        <w:rPr>
          <w:rFonts w:cs="FrankRuehl" w:hint="cs"/>
          <w:sz w:val="22"/>
          <w:szCs w:val="22"/>
          <w:rtl/>
        </w:rPr>
        <w:t xml:space="preserve"> [...]</w:t>
      </w:r>
    </w:p>
    <w:p w:rsidR="005366A8" w:rsidRPr="00BC49B5" w:rsidRDefault="005366A8" w:rsidP="005366A8">
      <w:pPr>
        <w:spacing w:after="60"/>
        <w:rPr>
          <w:rFonts w:cs="FrankRuehl"/>
          <w:sz w:val="22"/>
          <w:szCs w:val="22"/>
          <w:rtl/>
        </w:rPr>
      </w:pPr>
      <w:r w:rsidRPr="00BC49B5">
        <w:rPr>
          <w:rFonts w:cs="FrankRuehl"/>
          <w:sz w:val="22"/>
          <w:szCs w:val="22"/>
          <w:rtl/>
        </w:rPr>
        <w:t xml:space="preserve">5. </w:t>
      </w:r>
      <w:r w:rsidRPr="00BC49B5">
        <w:rPr>
          <w:rFonts w:cs="FrankRuehl"/>
          <w:sz w:val="22"/>
          <w:szCs w:val="22"/>
          <w:highlight w:val="yellow"/>
          <w:rtl/>
        </w:rPr>
        <w:t>כלל גדול הוא, כי לכל אדם קנויה זכות טבעית לעסוק בעבודה או במשלח-יד, אשר יבחר לעצמו</w:t>
      </w:r>
      <w:r w:rsidRPr="00BC49B5">
        <w:rPr>
          <w:rFonts w:cs="FrankRuehl"/>
          <w:sz w:val="22"/>
          <w:szCs w:val="22"/>
          <w:rtl/>
        </w:rPr>
        <w:t xml:space="preserve">, כל זמן שההתעסקות בעבודה או במשלח-יד אינה אסורה מטעם החוק. מקצוע או אומנות שהמחוקק עשה סייגים או הגביל הגבלות בצורת תנאים מוקדמים לתופסים בהם, אין אדם רשאי לעסוק בהם, אלא אם-כן קיים תחילה </w:t>
      </w:r>
      <w:r w:rsidRPr="00BC49B5">
        <w:rPr>
          <w:rFonts w:cs="FrankRuehl" w:hint="cs"/>
          <w:sz w:val="22"/>
          <w:szCs w:val="22"/>
          <w:rtl/>
        </w:rPr>
        <w:t>ת</w:t>
      </w:r>
      <w:r w:rsidRPr="00BC49B5">
        <w:rPr>
          <w:rFonts w:cs="FrankRuehl"/>
          <w:sz w:val="22"/>
          <w:szCs w:val="22"/>
          <w:rtl/>
        </w:rPr>
        <w:t>נאים מוקדמים אלה. כך, למשל, אין אדם רשאי לעסוק במקצוע הפרקליטות, אלא אם-כן יש בידו רשיון מיוחד לכך, כאמור בפקודת עורכי-הדין, ורשיון זה אינו ניתן אלא לאדם אשר קנה ידיעה בחכמת המשפט.</w:t>
      </w:r>
      <w:r w:rsidRPr="00BC49B5">
        <w:rPr>
          <w:rFonts w:cs="FrankRuehl" w:hint="cs"/>
          <w:sz w:val="22"/>
          <w:szCs w:val="22"/>
          <w:rtl/>
        </w:rPr>
        <w:t xml:space="preserve"> [...]</w:t>
      </w:r>
    </w:p>
    <w:p w:rsidR="005366A8" w:rsidRPr="00BC49B5" w:rsidRDefault="005366A8" w:rsidP="005366A8">
      <w:pPr>
        <w:spacing w:after="60"/>
        <w:rPr>
          <w:rFonts w:cs="FrankRuehl"/>
          <w:sz w:val="22"/>
          <w:szCs w:val="22"/>
          <w:rtl/>
        </w:rPr>
      </w:pPr>
      <w:r w:rsidRPr="00BC49B5">
        <w:rPr>
          <w:rFonts w:cs="FrankRuehl"/>
          <w:sz w:val="22"/>
          <w:szCs w:val="22"/>
          <w:rtl/>
        </w:rPr>
        <w:t xml:space="preserve">6. </w:t>
      </w:r>
      <w:r w:rsidRPr="00BC49B5">
        <w:rPr>
          <w:rFonts w:cs="FrankRuehl"/>
          <w:sz w:val="22"/>
          <w:szCs w:val="22"/>
          <w:highlight w:val="yellow"/>
          <w:rtl/>
        </w:rPr>
        <w:t>ומהי החובה המוטלת על המשיבים כלפי המבקשים? זוהי החובה הציבורית המוטלת על פקידים וגופים ציבוריים, והנובעת מעצם תפקידם, לא להפריע לפרט מההתעסקות במלאכתו, מקום שמלאכה זו אינה אסורה מטעם החוק.</w:t>
      </w:r>
      <w:r w:rsidRPr="00BC49B5">
        <w:rPr>
          <w:rFonts w:cs="FrankRuehl"/>
          <w:sz w:val="22"/>
          <w:szCs w:val="22"/>
          <w:rtl/>
        </w:rPr>
        <w:t xml:space="preserve"> מר כהן טוען, כי "אין להכריח את המשיבים לתת למבקשים את הרשות לעבוד במשרדי התנועה". זוהי, לדעתנו, גישה בלתי- נכונה. אין משרד התנועה מוסד פרטי, אשר בעליו - ברצותם מרשים את הכניסה אליו וברצותם אוסרים. זוהי מחלקה ציבורית אשר דלתותיה מחוייבות להיות פתוחות לכל דורשיה.</w:t>
      </w:r>
      <w:r w:rsidRPr="00BC49B5">
        <w:rPr>
          <w:rFonts w:cs="FrankRuehl" w:hint="cs"/>
          <w:sz w:val="22"/>
          <w:szCs w:val="22"/>
          <w:rtl/>
        </w:rPr>
        <w:t xml:space="preserve"> [...] זוהי זכותם; זכות שאינה כתובה על ספר, אך נובעת מזכותו הטבעית של כל אדם לחפש מקורות מחיה ולמצוא לעצמו מלאכה המפרנסת את בעליה.</w:t>
      </w:r>
    </w:p>
    <w:p w:rsidR="005366A8" w:rsidRPr="00BC49B5" w:rsidRDefault="005366A8" w:rsidP="005366A8">
      <w:pPr>
        <w:spacing w:after="60"/>
        <w:rPr>
          <w:rFonts w:cs="FrankRuehl"/>
          <w:sz w:val="22"/>
          <w:szCs w:val="22"/>
          <w:rtl/>
        </w:rPr>
      </w:pPr>
      <w:r w:rsidRPr="00BC49B5">
        <w:rPr>
          <w:rFonts w:cs="FrankRuehl" w:hint="cs"/>
          <w:sz w:val="22"/>
          <w:szCs w:val="22"/>
          <w:rtl/>
        </w:rPr>
        <w:t xml:space="preserve">7. [...] </w:t>
      </w:r>
      <w:r w:rsidRPr="00BC49B5">
        <w:rPr>
          <w:rFonts w:cs="FrankRuehl"/>
          <w:sz w:val="22"/>
          <w:szCs w:val="22"/>
          <w:highlight w:val="yellow"/>
          <w:rtl/>
        </w:rPr>
        <w:t>אין יורדין לחייו של אדם ואין מקפחין פרנסתו על יסוד שמועות פורחות בלבד</w:t>
      </w:r>
      <w:r w:rsidRPr="00BC49B5">
        <w:rPr>
          <w:rFonts w:cs="FrankRuehl"/>
          <w:sz w:val="22"/>
          <w:szCs w:val="22"/>
          <w:rtl/>
        </w:rPr>
        <w:t>.</w:t>
      </w:r>
      <w:r w:rsidRPr="00BC49B5">
        <w:rPr>
          <w:rFonts w:cs="FrankRuehl" w:hint="cs"/>
          <w:sz w:val="22"/>
          <w:szCs w:val="22"/>
          <w:rtl/>
        </w:rPr>
        <w:t xml:space="preserve"> [...] [הרשות אינה רשאית]</w:t>
      </w:r>
      <w:r w:rsidRPr="00BC49B5">
        <w:rPr>
          <w:rFonts w:cs="FrankRuehl"/>
          <w:sz w:val="22"/>
          <w:szCs w:val="22"/>
          <w:rtl/>
        </w:rPr>
        <w:t xml:space="preserve"> לבטל את רשיונו של כותב בקשות ולהטיל איסור על עבודתו, על סמך התנהגות בלתי-הוגנת, </w:t>
      </w:r>
      <w:r w:rsidRPr="00BC49B5">
        <w:rPr>
          <w:rFonts w:cs="FrankRuehl"/>
          <w:sz w:val="22"/>
          <w:szCs w:val="22"/>
          <w:highlight w:val="yellow"/>
          <w:rtl/>
        </w:rPr>
        <w:t>אלא אם-כן ניתנה לו, לכותב הבקשות, תחילה האפשרות להשמיע את טענות הגנתו</w:t>
      </w:r>
      <w:r w:rsidRPr="00BC49B5">
        <w:rPr>
          <w:rFonts w:cs="FrankRuehl"/>
          <w:sz w:val="22"/>
          <w:szCs w:val="22"/>
          <w:rtl/>
        </w:rPr>
        <w:t>.</w:t>
      </w:r>
    </w:p>
    <w:p w:rsidR="005366A8" w:rsidRPr="00C86422" w:rsidRDefault="005366A8" w:rsidP="005366A8">
      <w:pPr>
        <w:rPr>
          <w:rFonts w:cs="FrankRuehl"/>
          <w:rtl/>
        </w:rPr>
      </w:pPr>
      <w:r w:rsidRPr="00BC49B5">
        <w:rPr>
          <w:rFonts w:cs="FrankRuehl" w:hint="cs"/>
          <w:sz w:val="22"/>
          <w:szCs w:val="22"/>
          <w:rtl/>
        </w:rPr>
        <w:t xml:space="preserve">8. [...] מסקנתנו היא, [כי המעשה שעשו המשיבים הוא] מעשה אשר יש בו משום קיפוח אחת מזכויות היסוד של אזרח, וכי </w:t>
      </w:r>
      <w:r w:rsidRPr="00BC49B5">
        <w:rPr>
          <w:rFonts w:cs="FrankRuehl" w:hint="cs"/>
          <w:sz w:val="22"/>
          <w:szCs w:val="22"/>
          <w:highlight w:val="yellow"/>
          <w:rtl/>
        </w:rPr>
        <w:t>בהעדר סמכות מפורשת או מכללא בחוק אין לו, לאיסור, צידוק כלשהו.</w:t>
      </w:r>
      <w:r w:rsidRPr="00BC49B5">
        <w:rPr>
          <w:rFonts w:cs="FrankRuehl" w:hint="cs"/>
          <w:sz w:val="22"/>
          <w:szCs w:val="22"/>
          <w:rtl/>
        </w:rPr>
        <w:t xml:space="preserve"> אם </w:t>
      </w:r>
      <w:r w:rsidRPr="00BC49B5">
        <w:rPr>
          <w:rFonts w:cs="FrankRuehl" w:hint="cs"/>
          <w:sz w:val="22"/>
          <w:szCs w:val="22"/>
          <w:highlight w:val="yellow"/>
          <w:rtl/>
        </w:rPr>
        <w:t>אמנם אין דרך אחרת לתיקון המצב... על המחוקק להגיד דברו</w:t>
      </w:r>
      <w:r w:rsidRPr="00BC49B5">
        <w:rPr>
          <w:rFonts w:cs="FrankRuehl" w:hint="cs"/>
          <w:sz w:val="22"/>
          <w:szCs w:val="22"/>
          <w:rtl/>
        </w:rPr>
        <w:t>.</w:t>
      </w:r>
    </w:p>
    <w:p w:rsidR="005366A8" w:rsidRPr="00C86422" w:rsidRDefault="005366A8" w:rsidP="005366A8">
      <w:pPr>
        <w:rPr>
          <w:rtl/>
        </w:rPr>
      </w:pPr>
    </w:p>
    <w:p w:rsidR="005366A8" w:rsidRPr="009D6024" w:rsidRDefault="005366A8" w:rsidP="005366A8">
      <w:pPr>
        <w:rPr>
          <w:szCs w:val="22"/>
          <w:rtl/>
        </w:rPr>
      </w:pPr>
    </w:p>
    <w:p w:rsidR="005366A8" w:rsidRPr="00B601A1" w:rsidRDefault="005366A8" w:rsidP="005366A8">
      <w:pPr>
        <w:spacing w:after="120"/>
        <w:jc w:val="center"/>
        <w:rPr>
          <w:rtl/>
        </w:rPr>
      </w:pPr>
      <w:r w:rsidRPr="00D83F2D">
        <w:rPr>
          <w:highlight w:val="yellow"/>
          <w:u w:val="single"/>
          <w:rtl/>
        </w:rPr>
        <w:t xml:space="preserve">בג"צ 73/53; 87/53 </w:t>
      </w:r>
      <w:r w:rsidRPr="00D83F2D">
        <w:rPr>
          <w:b/>
          <w:bCs/>
          <w:highlight w:val="yellow"/>
          <w:u w:val="single"/>
          <w:rtl/>
        </w:rPr>
        <w:t>חברת "קול העם" בע"מ; עתון "אל אתיחאד" נ' שר הפנים</w:t>
      </w:r>
      <w:r w:rsidRPr="00D83F2D">
        <w:rPr>
          <w:highlight w:val="yellow"/>
          <w:u w:val="single"/>
          <w:rtl/>
        </w:rPr>
        <w:t>, פ"ד ז' 871</w:t>
      </w:r>
      <w:r w:rsidRPr="00D83F2D">
        <w:rPr>
          <w:rFonts w:hint="cs"/>
          <w:highlight w:val="yellow"/>
          <w:rtl/>
        </w:rPr>
        <w:t xml:space="preserve"> (1953)</w:t>
      </w:r>
      <w:r>
        <w:rPr>
          <w:rFonts w:hint="cs"/>
          <w:rtl/>
        </w:rPr>
        <w:t xml:space="preserve"> [ההדגשות הוספו]</w:t>
      </w:r>
    </w:p>
    <w:p w:rsidR="005366A8" w:rsidRPr="00C86422" w:rsidRDefault="005366A8" w:rsidP="005366A8">
      <w:pPr>
        <w:spacing w:after="120"/>
        <w:rPr>
          <w:rFonts w:cs="David"/>
          <w:b/>
          <w:bCs/>
          <w:sz w:val="22"/>
          <w:szCs w:val="22"/>
          <w:rtl/>
        </w:rPr>
      </w:pPr>
      <w:r w:rsidRPr="00C86422">
        <w:rPr>
          <w:rFonts w:cs="David" w:hint="cs"/>
          <w:b/>
          <w:bCs/>
          <w:sz w:val="22"/>
          <w:szCs w:val="22"/>
          <w:rtl/>
        </w:rPr>
        <w:t>סגירה זמנית של עיתון מכוח סמכות הניתנת ב</w:t>
      </w:r>
      <w:r w:rsidRPr="00C86422">
        <w:rPr>
          <w:rFonts w:cs="David"/>
          <w:b/>
          <w:bCs/>
          <w:sz w:val="22"/>
          <w:szCs w:val="22"/>
          <w:rtl/>
        </w:rPr>
        <w:t>פקודת העתונות, 1933</w:t>
      </w:r>
    </w:p>
    <w:p w:rsidR="005366A8" w:rsidRPr="00C86422" w:rsidRDefault="005366A8" w:rsidP="005366A8">
      <w:pPr>
        <w:pStyle w:val="T-body"/>
        <w:spacing w:line="240" w:lineRule="auto"/>
        <w:rPr>
          <w:rFonts w:cs="David"/>
          <w:sz w:val="22"/>
          <w:szCs w:val="22"/>
          <w:rtl/>
        </w:rPr>
      </w:pPr>
      <w:r w:rsidRPr="00C86422">
        <w:rPr>
          <w:rFonts w:cs="David" w:hint="cs"/>
          <w:sz w:val="22"/>
          <w:szCs w:val="22"/>
          <w:rtl/>
        </w:rPr>
        <w:t xml:space="preserve">19 </w:t>
      </w:r>
      <w:r w:rsidRPr="00C86422">
        <w:rPr>
          <w:rFonts w:cs="David"/>
          <w:sz w:val="22"/>
          <w:szCs w:val="22"/>
          <w:rtl/>
        </w:rPr>
        <w:t xml:space="preserve">[התראה והפסקת פרסומם של עתונים] </w:t>
      </w:r>
    </w:p>
    <w:p w:rsidR="005366A8" w:rsidRPr="00C86422" w:rsidRDefault="005366A8" w:rsidP="005366A8">
      <w:pPr>
        <w:pStyle w:val="T-body"/>
        <w:spacing w:line="240" w:lineRule="auto"/>
        <w:ind w:left="720"/>
        <w:rPr>
          <w:rFonts w:cs="David"/>
          <w:sz w:val="22"/>
          <w:szCs w:val="22"/>
          <w:rtl/>
        </w:rPr>
      </w:pPr>
      <w:r w:rsidRPr="00C86422">
        <w:rPr>
          <w:rFonts w:cs="David"/>
          <w:sz w:val="22"/>
          <w:szCs w:val="22"/>
          <w:rtl/>
        </w:rPr>
        <w:t xml:space="preserve">(2)  בין שמסר לבעל העתון או למו"ל של העתון התראה עפ"י סעיף-קטן (1) לסעיף זה ובין שלא מסר לו התראה כזאת, </w:t>
      </w:r>
      <w:r w:rsidRPr="00C86422">
        <w:rPr>
          <w:rFonts w:cs="David"/>
          <w:b/>
          <w:bCs/>
          <w:sz w:val="22"/>
          <w:szCs w:val="22"/>
          <w:rtl/>
        </w:rPr>
        <w:t>רשאי שר הפנים עפ"י צו להפסיק במקרים דלקמן את פרסום העתון לאותה תקופה שימצא לנכון</w:t>
      </w:r>
      <w:r w:rsidRPr="00C86422">
        <w:rPr>
          <w:rFonts w:cs="David"/>
          <w:sz w:val="22"/>
          <w:szCs w:val="22"/>
          <w:rtl/>
        </w:rPr>
        <w:t>, ויפרט באותו צו את תקופת אותה הפסקה:</w:t>
      </w:r>
    </w:p>
    <w:p w:rsidR="005366A8" w:rsidRPr="00C86422" w:rsidRDefault="005366A8" w:rsidP="005366A8">
      <w:pPr>
        <w:ind w:left="1440"/>
        <w:rPr>
          <w:rFonts w:cs="David"/>
          <w:sz w:val="22"/>
          <w:szCs w:val="22"/>
          <w:rtl/>
        </w:rPr>
      </w:pPr>
      <w:r w:rsidRPr="00C86422">
        <w:rPr>
          <w:rFonts w:cs="David"/>
          <w:sz w:val="22"/>
          <w:szCs w:val="22"/>
          <w:rtl/>
        </w:rPr>
        <w:t xml:space="preserve">(א)   </w:t>
      </w:r>
      <w:r w:rsidRPr="00C86422">
        <w:rPr>
          <w:rFonts w:cs="David"/>
          <w:b/>
          <w:bCs/>
          <w:sz w:val="22"/>
          <w:szCs w:val="22"/>
          <w:rtl/>
        </w:rPr>
        <w:t>אם מתפרסם בעתון דבר העלול, לדעתו של שר הפנים, לסכן את שלום הציבור;</w:t>
      </w:r>
    </w:p>
    <w:p w:rsidR="005366A8" w:rsidRPr="00C86422" w:rsidRDefault="005366A8" w:rsidP="005366A8">
      <w:pPr>
        <w:spacing w:after="120"/>
        <w:ind w:left="1440"/>
        <w:rPr>
          <w:rFonts w:cs="David"/>
          <w:sz w:val="22"/>
          <w:szCs w:val="22"/>
          <w:rtl/>
        </w:rPr>
      </w:pPr>
      <w:r w:rsidRPr="00C86422">
        <w:rPr>
          <w:rFonts w:cs="David"/>
          <w:sz w:val="22"/>
          <w:szCs w:val="22"/>
          <w:rtl/>
        </w:rPr>
        <w:t>(ב)   אם מפרסם עתון ידיעות-שקר או שמועות-שקר שיש בהן, לדעת שר הפנים, כדי לעורר בהלה או יאוש.</w:t>
      </w:r>
    </w:p>
    <w:p w:rsidR="005366A8" w:rsidRPr="00C86422" w:rsidRDefault="005366A8" w:rsidP="005366A8">
      <w:pPr>
        <w:rPr>
          <w:rtl/>
        </w:rPr>
      </w:pPr>
      <w:r w:rsidRPr="00C86422">
        <w:rPr>
          <w:rFonts w:hint="cs"/>
          <w:rtl/>
        </w:rPr>
        <w:t>קטע העיתון שעורר את תגובתו של שר הפנים</w:t>
      </w:r>
    </w:p>
    <w:p w:rsidR="005366A8" w:rsidRPr="00C86422" w:rsidRDefault="005366A8" w:rsidP="005366A8">
      <w:pPr>
        <w:ind w:left="310"/>
        <w:rPr>
          <w:rFonts w:cs="FrankRuehl"/>
          <w:highlight w:val="yellow"/>
          <w:rtl/>
        </w:rPr>
      </w:pPr>
      <w:r w:rsidRPr="00C86422">
        <w:rPr>
          <w:rFonts w:cs="FrankRuehl"/>
          <w:highlight w:val="yellow"/>
          <w:rtl/>
        </w:rPr>
        <w:t xml:space="preserve">"למרות ההסתה האנטי-סובייטית יודעים המוני העם בישראל שברית- המועצות נאמנה למדיניות של אחוות עמים ושלום. הנאומים של הח"ח מאלנקוב, ברייה ומולוטוב, אישרו דבר זה פעם נוספת. באם אבא אבן או מישהו אחר רוצה ללכת להילחם לצד מציתי המלחמה האמריקאיים, שילך, אך שילך לבדו. המוני העם רוצים בשלום, בעצמאות לאומית ואינם מוכנים לוותר על הנגב תמורת הצטרפות ל'פיקוד מזרח-תיכוני'. </w:t>
      </w:r>
    </w:p>
    <w:p w:rsidR="005366A8" w:rsidRPr="00C86422" w:rsidRDefault="005366A8" w:rsidP="005366A8">
      <w:pPr>
        <w:ind w:left="310"/>
        <w:rPr>
          <w:rFonts w:cs="FrankRuehl"/>
          <w:rtl/>
        </w:rPr>
      </w:pPr>
      <w:r w:rsidRPr="00C86422">
        <w:rPr>
          <w:rFonts w:cs="FrankRuehl"/>
          <w:highlight w:val="yellow"/>
          <w:rtl/>
        </w:rPr>
        <w:t>נגביר את מאבקנו נגד המדיניות האנטי-לאומית של ממשלת בן-גוריון המספסרת בדם הנוער הישראלי.</w:t>
      </w:r>
    </w:p>
    <w:p w:rsidR="005366A8" w:rsidRPr="00C86422" w:rsidRDefault="005366A8" w:rsidP="005366A8">
      <w:pPr>
        <w:ind w:left="310"/>
        <w:rPr>
          <w:rFonts w:cs="FrankRuehl"/>
          <w:rtl/>
        </w:rPr>
      </w:pPr>
    </w:p>
    <w:p w:rsidR="005366A8" w:rsidRPr="00C86422" w:rsidRDefault="005366A8" w:rsidP="005366A8">
      <w:pPr>
        <w:spacing w:after="120"/>
        <w:rPr>
          <w:rtl/>
        </w:rPr>
      </w:pPr>
      <w:r w:rsidRPr="00C86422">
        <w:rPr>
          <w:rtl/>
        </w:rPr>
        <w:t>[</w:t>
      </w:r>
      <w:r>
        <w:rPr>
          <w:rFonts w:hint="cs"/>
          <w:rtl/>
        </w:rPr>
        <w:t xml:space="preserve">פסק הדין פורש בפנינו </w:t>
      </w:r>
      <w:r w:rsidRPr="00983467">
        <w:rPr>
          <w:i/>
          <w:iCs/>
          <w:rtl/>
        </w:rPr>
        <w:t>דיון תיאורטי חשוב</w:t>
      </w:r>
      <w:r w:rsidRPr="00983467">
        <w:rPr>
          <w:rFonts w:hint="cs"/>
          <w:i/>
          <w:iCs/>
          <w:rtl/>
        </w:rPr>
        <w:t xml:space="preserve"> מאד</w:t>
      </w:r>
      <w:r w:rsidRPr="00983467">
        <w:rPr>
          <w:i/>
          <w:iCs/>
          <w:rtl/>
        </w:rPr>
        <w:t xml:space="preserve"> בחופש הביטוי והעיתונות</w:t>
      </w:r>
      <w:r>
        <w:rPr>
          <w:rFonts w:hint="cs"/>
          <w:rtl/>
        </w:rPr>
        <w:t>; בעקבותיו הוא מגיע להנחות ולמסקנות מורכבות.</w:t>
      </w:r>
      <w:r w:rsidRPr="00C86422">
        <w:rPr>
          <w:rtl/>
        </w:rPr>
        <w:t xml:space="preserve">] </w:t>
      </w:r>
    </w:p>
    <w:p w:rsidR="005366A8" w:rsidRPr="00BC49B5" w:rsidRDefault="005366A8" w:rsidP="005366A8">
      <w:pPr>
        <w:spacing w:after="60"/>
        <w:rPr>
          <w:rFonts w:cs="FrankRuehl"/>
          <w:sz w:val="22"/>
          <w:szCs w:val="22"/>
          <w:rtl/>
        </w:rPr>
      </w:pPr>
      <w:r w:rsidRPr="00BC49B5">
        <w:rPr>
          <w:rFonts w:cs="FrankRuehl"/>
          <w:sz w:val="22"/>
          <w:szCs w:val="22"/>
          <w:rtl/>
        </w:rPr>
        <w:t>הפועל-יוצא מכל זה הוא: הזכות לחופש הביטוי אינה זכות מוחלטת ובלתי מוגבלת, אלא זכות יחסית, הניתנת לצמצום ולפיקוח לאור המגמה של קיום אינטרסים מדיניים-חברתיים חשובים, הנחשבים בתנאים ידועים כעדיפים מאלה המובטחים על-ידי מימוש העקרון של חופש הביטוי.  [879]</w:t>
      </w:r>
    </w:p>
    <w:p w:rsidR="005366A8" w:rsidRPr="00BC49B5" w:rsidRDefault="005366A8" w:rsidP="005366A8">
      <w:pPr>
        <w:spacing w:after="60"/>
        <w:rPr>
          <w:rFonts w:cs="FrankRuehl"/>
          <w:sz w:val="22"/>
          <w:szCs w:val="22"/>
          <w:rtl/>
        </w:rPr>
      </w:pPr>
      <w:r w:rsidRPr="00BC49B5">
        <w:rPr>
          <w:rFonts w:cs="FrankRuehl"/>
          <w:sz w:val="22"/>
          <w:szCs w:val="22"/>
          <w:rtl/>
        </w:rPr>
        <w:t>עד כה טיפלנו בבעיה בצורה כללית וקבענו, כי הפתרון צריך לבוא בדרך של שקילת האינטרסים של בטחון המדינה מזה וחופש הביטוי מזה</w:t>
      </w:r>
      <w:r w:rsidRPr="00BC49B5">
        <w:rPr>
          <w:rFonts w:cs="FrankRuehl"/>
          <w:sz w:val="22"/>
          <w:szCs w:val="22"/>
        </w:rPr>
        <w:t>…</w:t>
      </w:r>
      <w:r w:rsidRPr="00BC49B5">
        <w:rPr>
          <w:rFonts w:cs="FrankRuehl"/>
          <w:sz w:val="22"/>
          <w:szCs w:val="22"/>
          <w:rtl/>
        </w:rPr>
        <w:t xml:space="preserve"> [</w:t>
      </w:r>
      <w:r w:rsidRPr="00BC49B5">
        <w:rPr>
          <w:rFonts w:cs="FrankRuehl"/>
          <w:sz w:val="22"/>
          <w:szCs w:val="22"/>
        </w:rPr>
        <w:t>…</w:t>
      </w:r>
      <w:r w:rsidRPr="00BC49B5">
        <w:rPr>
          <w:rFonts w:cs="FrankRuehl"/>
          <w:sz w:val="22"/>
          <w:szCs w:val="22"/>
          <w:rtl/>
        </w:rPr>
        <w:t xml:space="preserve">] ברור כי אין בגישה זו כדי להוות, כשלעצמה, פורמולה מתימטית שאפשר להתאימה בצורה מדוקדקת לכל מקרה ומקרה.  אמנם יש והמחוקק עושה את מלאכת השקילה והאיזון בעצמו, כלומר, הוא גופו קובע מראש את טיב החומר שאין לפרסמו </w:t>
      </w:r>
      <w:r w:rsidRPr="00BC49B5">
        <w:rPr>
          <w:rFonts w:cs="FrankRuehl"/>
          <w:sz w:val="22"/>
          <w:szCs w:val="22"/>
        </w:rPr>
        <w:t>–</w:t>
      </w:r>
      <w:r w:rsidRPr="00BC49B5">
        <w:rPr>
          <w:rFonts w:cs="FrankRuehl"/>
          <w:sz w:val="22"/>
          <w:szCs w:val="22"/>
          <w:rtl/>
        </w:rPr>
        <w:t xml:space="preserve"> או את התנאים שבהם חל איסור על פרסומו </w:t>
      </w:r>
      <w:r w:rsidRPr="00BC49B5">
        <w:rPr>
          <w:rFonts w:cs="FrankRuehl"/>
          <w:sz w:val="22"/>
          <w:szCs w:val="22"/>
        </w:rPr>
        <w:t>–</w:t>
      </w:r>
      <w:r w:rsidRPr="00BC49B5">
        <w:rPr>
          <w:rFonts w:cs="FrankRuehl"/>
          <w:sz w:val="22"/>
          <w:szCs w:val="22"/>
          <w:rtl/>
        </w:rPr>
        <w:t xml:space="preserve"> מחמת שיקולים שיסודם בבטחון המדינה.  כך, למשל, נהג הוא בפקודת הסודות הרשמיים.  אך יש והמחוקק משאיר את שיקול הדעת בשטח זה בידי אחרים, כגון בידי הרשות המבצעת.  בסוג האחרון של המקרים, מן ההכרח שתתעורר השאלה</w:t>
      </w:r>
      <w:r w:rsidRPr="00BC49B5">
        <w:rPr>
          <w:rFonts w:cs="FrankRuehl"/>
          <w:sz w:val="22"/>
          <w:szCs w:val="22"/>
        </w:rPr>
        <w:t>…</w:t>
      </w:r>
      <w:r w:rsidRPr="00BC49B5">
        <w:rPr>
          <w:rFonts w:cs="FrankRuehl"/>
          <w:sz w:val="22"/>
          <w:szCs w:val="22"/>
          <w:rtl/>
        </w:rPr>
        <w:t xml:space="preserve"> מהו העקרון הרציונאלי שצריך לשמש לה, לרשות המבצעת, שעה שהיא עוסקת בתהליך [האיזון]?  [</w:t>
      </w:r>
      <w:r w:rsidRPr="00BC49B5">
        <w:rPr>
          <w:rFonts w:cs="FrankRuehl"/>
          <w:sz w:val="22"/>
          <w:szCs w:val="22"/>
        </w:rPr>
        <w:t>…</w:t>
      </w:r>
      <w:r w:rsidRPr="00BC49B5">
        <w:rPr>
          <w:rFonts w:cs="FrankRuehl"/>
          <w:sz w:val="22"/>
          <w:szCs w:val="22"/>
          <w:rtl/>
        </w:rPr>
        <w:t>] מהו המבחן שעל פיו חייב שר הפנים להדריך את עצמו בעת שהוא בא להחליט אם החומר שנתפרסם "עלול לסכן את שלום הציבור" במידה המצדיקה את הפסקת העתון</w:t>
      </w:r>
      <w:r w:rsidRPr="00BC49B5">
        <w:rPr>
          <w:rFonts w:cs="FrankRuehl"/>
          <w:sz w:val="22"/>
          <w:szCs w:val="22"/>
        </w:rPr>
        <w:t>…</w:t>
      </w:r>
      <w:r w:rsidRPr="00BC49B5">
        <w:rPr>
          <w:rFonts w:cs="FrankRuehl"/>
          <w:sz w:val="22"/>
          <w:szCs w:val="22"/>
          <w:rtl/>
        </w:rPr>
        <w:t>? [881-2]</w:t>
      </w:r>
    </w:p>
    <w:p w:rsidR="005366A8" w:rsidRPr="00BC49B5" w:rsidRDefault="005366A8" w:rsidP="005366A8">
      <w:pPr>
        <w:spacing w:after="60"/>
        <w:rPr>
          <w:rFonts w:cs="FrankRuehl"/>
          <w:sz w:val="22"/>
          <w:szCs w:val="22"/>
          <w:highlight w:val="yellow"/>
          <w:rtl/>
        </w:rPr>
      </w:pPr>
      <w:r w:rsidRPr="00BC49B5">
        <w:rPr>
          <w:rFonts w:cs="FrankRuehl"/>
          <w:sz w:val="22"/>
          <w:szCs w:val="22"/>
          <w:rtl/>
        </w:rPr>
        <w:t>אולם כתוב בסעיף 19 (2) (א) "</w:t>
      </w:r>
      <w:r w:rsidRPr="00BC49B5">
        <w:rPr>
          <w:rFonts w:cs="FrankRuehl"/>
          <w:i/>
          <w:iCs/>
          <w:sz w:val="22"/>
          <w:szCs w:val="22"/>
          <w:rtl/>
        </w:rPr>
        <w:t>עלול</w:t>
      </w:r>
      <w:r w:rsidRPr="00BC49B5">
        <w:rPr>
          <w:rFonts w:cs="FrankRuehl"/>
          <w:sz w:val="22"/>
          <w:szCs w:val="22"/>
          <w:rtl/>
        </w:rPr>
        <w:t xml:space="preserve"> לסכן". למה מתכוון המונח "עלול"? התשובה לשאלה זו תלויה בבחירה באחת משתי גישות אפשריות.  </w:t>
      </w:r>
      <w:r w:rsidRPr="00BC49B5">
        <w:rPr>
          <w:rFonts w:cs="FrankRuehl"/>
          <w:sz w:val="22"/>
          <w:szCs w:val="22"/>
          <w:highlight w:val="yellow"/>
          <w:rtl/>
        </w:rPr>
        <w:t>לפי הגישה האחת</w:t>
      </w:r>
      <w:r w:rsidRPr="00BC49B5">
        <w:rPr>
          <w:rFonts w:cs="FrankRuehl"/>
          <w:sz w:val="22"/>
          <w:szCs w:val="22"/>
          <w:rtl/>
        </w:rPr>
        <w:t>, מספיק</w:t>
      </w:r>
      <w:r w:rsidRPr="00BC49B5">
        <w:rPr>
          <w:rFonts w:cs="FrankRuehl"/>
          <w:sz w:val="22"/>
          <w:szCs w:val="22"/>
        </w:rPr>
        <w:t>…</w:t>
      </w:r>
      <w:r w:rsidRPr="00BC49B5">
        <w:rPr>
          <w:rFonts w:cs="FrankRuehl"/>
          <w:sz w:val="22"/>
          <w:szCs w:val="22"/>
          <w:rtl/>
        </w:rPr>
        <w:t xml:space="preserve"> שדברי הפרסום יגלו אך נטיה </w:t>
      </w:r>
      <w:r w:rsidRPr="00BC49B5">
        <w:rPr>
          <w:rFonts w:cs="FrankRuehl"/>
          <w:sz w:val="22"/>
          <w:szCs w:val="22"/>
        </w:rPr>
        <w:t>–</w:t>
      </w:r>
      <w:r w:rsidRPr="00BC49B5">
        <w:rPr>
          <w:rFonts w:cs="FrankRuehl"/>
          <w:sz w:val="22"/>
          <w:szCs w:val="22"/>
          <w:rtl/>
        </w:rPr>
        <w:t xml:space="preserve"> ואפילו נטיה קלה או רחוקה </w:t>
      </w:r>
      <w:r w:rsidRPr="00BC49B5">
        <w:rPr>
          <w:rFonts w:cs="FrankRuehl"/>
          <w:sz w:val="22"/>
          <w:szCs w:val="22"/>
        </w:rPr>
        <w:t>–</w:t>
      </w:r>
      <w:r w:rsidRPr="00BC49B5">
        <w:rPr>
          <w:rFonts w:cs="FrankRuehl"/>
          <w:sz w:val="22"/>
          <w:szCs w:val="22"/>
          <w:rtl/>
        </w:rPr>
        <w:t xml:space="preserve"> בכיוון אחת התוצאות שכללנו במושג "סיכון שלום הציבור";  </w:t>
      </w:r>
      <w:r w:rsidRPr="00BC49B5">
        <w:rPr>
          <w:rFonts w:cs="FrankRuehl"/>
          <w:sz w:val="22"/>
          <w:szCs w:val="22"/>
          <w:highlight w:val="yellow"/>
          <w:rtl/>
        </w:rPr>
        <w:t>ואילו לפי הגישה השניה</w:t>
      </w:r>
      <w:r w:rsidRPr="00BC49B5">
        <w:rPr>
          <w:rFonts w:cs="FrankRuehl"/>
          <w:sz w:val="22"/>
          <w:szCs w:val="22"/>
          <w:rtl/>
        </w:rPr>
        <w:t xml:space="preserve">, חייב שר-הפנים להשתכנע מראש, שבין דברי הפרסום </w:t>
      </w:r>
      <w:r w:rsidRPr="00BC49B5">
        <w:rPr>
          <w:rFonts w:cs="FrankRuehl"/>
          <w:sz w:val="22"/>
          <w:szCs w:val="22"/>
        </w:rPr>
        <w:t>–</w:t>
      </w:r>
      <w:r w:rsidRPr="00BC49B5">
        <w:rPr>
          <w:rFonts w:cs="FrankRuehl"/>
          <w:sz w:val="22"/>
          <w:szCs w:val="22"/>
          <w:rtl/>
        </w:rPr>
        <w:t xml:space="preserve"> בהתחשב במסיבות שבהן נתפרסמו </w:t>
      </w:r>
      <w:r w:rsidRPr="00BC49B5">
        <w:rPr>
          <w:rFonts w:cs="FrankRuehl"/>
          <w:sz w:val="22"/>
          <w:szCs w:val="22"/>
        </w:rPr>
        <w:t>–</w:t>
      </w:r>
      <w:r w:rsidRPr="00BC49B5">
        <w:rPr>
          <w:rFonts w:cs="FrankRuehl"/>
          <w:sz w:val="22"/>
          <w:szCs w:val="22"/>
          <w:rtl/>
        </w:rPr>
        <w:t xml:space="preserve"> לבין האפשרות שתצמח אחת התוצאות הנ"ל נוצר קשר המחייב את המסקנה, שהאירוע של אותה תוצאה הוא קרוב לודאי במובן של "</w:t>
      </w:r>
      <w:r w:rsidRPr="00BC49B5">
        <w:rPr>
          <w:rFonts w:cs="FrankRuehl"/>
          <w:sz w:val="22"/>
          <w:szCs w:val="22"/>
        </w:rPr>
        <w:t>probable</w:t>
      </w:r>
      <w:r w:rsidRPr="00BC49B5">
        <w:rPr>
          <w:rFonts w:cs="FrankRuehl"/>
          <w:sz w:val="22"/>
          <w:szCs w:val="22"/>
          <w:rtl/>
        </w:rPr>
        <w:t xml:space="preserve">".  </w:t>
      </w:r>
      <w:r w:rsidRPr="00BC49B5">
        <w:rPr>
          <w:rFonts w:cs="FrankRuehl"/>
          <w:sz w:val="22"/>
          <w:szCs w:val="22"/>
          <w:highlight w:val="yellow"/>
          <w:rtl/>
        </w:rPr>
        <w:t>הננו סבורים, כי הגישה השניה היא המשקפת את כוונת המחוקק בסעיף 19 (2) (א) הנ"ל.  [882]</w:t>
      </w:r>
    </w:p>
    <w:p w:rsidR="005366A8" w:rsidRPr="00BC49B5" w:rsidRDefault="005366A8" w:rsidP="005366A8">
      <w:pPr>
        <w:spacing w:after="60"/>
        <w:rPr>
          <w:rFonts w:cs="FrankRuehl"/>
          <w:sz w:val="22"/>
          <w:szCs w:val="22"/>
          <w:highlight w:val="yellow"/>
          <w:rtl/>
        </w:rPr>
      </w:pPr>
      <w:r w:rsidRPr="00BC49B5">
        <w:rPr>
          <w:rFonts w:cs="FrankRuehl"/>
          <w:sz w:val="22"/>
          <w:szCs w:val="22"/>
          <w:highlight w:val="yellow"/>
        </w:rPr>
        <w:t>…</w:t>
      </w:r>
      <w:r w:rsidRPr="00BC49B5">
        <w:rPr>
          <w:rFonts w:cs="FrankRuehl"/>
          <w:sz w:val="22"/>
          <w:szCs w:val="22"/>
          <w:highlight w:val="yellow"/>
          <w:rtl/>
        </w:rPr>
        <w:t xml:space="preserve"> אותה גישה של "נטיה רעה" מתאימה אולי לשיטה הפוליטית הנהוגה במדינה המושתתת על משטר אוטוקרטי או טוטליטרי, אך היא מסכלת או לפחות עושה לבלתי יעיל, את השימוש באותו תהליך המהווה עצם מעצמו של כל משטר דמוקרטי </w:t>
      </w:r>
      <w:r w:rsidRPr="00BC49B5">
        <w:rPr>
          <w:rFonts w:cs="FrankRuehl"/>
          <w:sz w:val="22"/>
          <w:szCs w:val="22"/>
          <w:highlight w:val="yellow"/>
        </w:rPr>
        <w:t>–</w:t>
      </w:r>
      <w:r w:rsidRPr="00BC49B5">
        <w:rPr>
          <w:rFonts w:cs="FrankRuehl"/>
          <w:sz w:val="22"/>
          <w:szCs w:val="22"/>
          <w:highlight w:val="yellow"/>
          <w:rtl/>
        </w:rPr>
        <w:t xml:space="preserve"> דהיינו, התהליך של בירור האמת.</w:t>
      </w:r>
    </w:p>
    <w:p w:rsidR="005366A8" w:rsidRPr="00BC49B5" w:rsidRDefault="005366A8" w:rsidP="005366A8">
      <w:pPr>
        <w:spacing w:after="60"/>
        <w:rPr>
          <w:rFonts w:cs="FrankRuehl"/>
          <w:sz w:val="22"/>
          <w:szCs w:val="22"/>
          <w:rtl/>
        </w:rPr>
      </w:pPr>
      <w:r w:rsidRPr="00BC49B5">
        <w:rPr>
          <w:rFonts w:cs="FrankRuehl"/>
          <w:sz w:val="22"/>
          <w:szCs w:val="22"/>
          <w:highlight w:val="yellow"/>
          <w:rtl/>
        </w:rPr>
        <w:t xml:space="preserve">מערכת החוקים, לפיהם הוקמו ופועלים המוסדות הפוליטיים בישראל, מעידים כי אכן זוהי מדינה שיסודותיה דמוקרטיים.  כמו כן הדברים שהוצהרו בהכרזת העצמאות </w:t>
      </w:r>
      <w:r w:rsidRPr="00BC49B5">
        <w:rPr>
          <w:rFonts w:cs="FrankRuehl"/>
          <w:sz w:val="22"/>
          <w:szCs w:val="22"/>
          <w:highlight w:val="yellow"/>
        </w:rPr>
        <w:t>–</w:t>
      </w:r>
      <w:r w:rsidRPr="00BC49B5">
        <w:rPr>
          <w:rFonts w:cs="FrankRuehl"/>
          <w:sz w:val="22"/>
          <w:szCs w:val="22"/>
          <w:highlight w:val="yellow"/>
          <w:rtl/>
        </w:rPr>
        <w:t xml:space="preserve"> ובפרט בדבר השתתת המדינה "על יסודות החירות" והבטחת חופש המצפון </w:t>
      </w:r>
      <w:r w:rsidRPr="00BC49B5">
        <w:rPr>
          <w:rFonts w:cs="FrankRuehl"/>
          <w:sz w:val="22"/>
          <w:szCs w:val="22"/>
          <w:highlight w:val="yellow"/>
        </w:rPr>
        <w:t>–</w:t>
      </w:r>
      <w:r w:rsidRPr="00BC49B5">
        <w:rPr>
          <w:rFonts w:cs="FrankRuehl"/>
          <w:sz w:val="22"/>
          <w:szCs w:val="22"/>
          <w:highlight w:val="yellow"/>
          <w:rtl/>
        </w:rPr>
        <w:t xml:space="preserve"> פירושם כי ישראל היא מדינה השוחרת חופש. אמנם, ההכרזה, "אין בה משום חוק קונסטיטוציוני הפוסק הלכה למעשה בדבר קיום פקודות וחוקים שונים או ביטולם" [בג"צ 10/48 זיו נ' גוברניק], אך במידה שהיא "מבטאה את חזון העם ואת האני-מאמין שלו" (שם), מחובתנו לשים את לבנו לדברים שהוצהרו בה, בשעה שאנו באים לפרש ולתת מובן לחוקי המדינה, לרבות הוראות חוק שהותקנו בתקופת המנדט ואומצו על ידי המדינה, לאחר הקמתה, דרך הצינור של סעיף 11 לפקודת סדרי השלטון והמשפט, תש"ח1948-;  הלא זו אכסיומה ידועה, שאת המשפט של עם יש ללמוד באספקלריה של מערכת החיים הלאומיים שלו.</w:t>
      </w:r>
      <w:r w:rsidRPr="00BC49B5">
        <w:rPr>
          <w:rFonts w:cs="FrankRuehl"/>
          <w:sz w:val="22"/>
          <w:szCs w:val="22"/>
          <w:rtl/>
        </w:rPr>
        <w:t xml:space="preserve">  [884]</w:t>
      </w:r>
    </w:p>
    <w:p w:rsidR="005366A8" w:rsidRDefault="005366A8" w:rsidP="005366A8">
      <w:pPr>
        <w:rPr>
          <w:b/>
          <w:bCs/>
          <w:i/>
          <w:iCs/>
          <w:sz w:val="22"/>
          <w:szCs w:val="22"/>
          <w:rtl/>
        </w:rPr>
      </w:pPr>
      <w:r w:rsidRPr="002B0613">
        <w:rPr>
          <w:rFonts w:hint="cs"/>
          <w:rtl/>
        </w:rPr>
        <w:t>=-=</w:t>
      </w:r>
    </w:p>
    <w:p w:rsidR="005366A8" w:rsidRDefault="005366A8" w:rsidP="005366A8">
      <w:pPr>
        <w:rPr>
          <w:b/>
          <w:bCs/>
          <w:i/>
          <w:iCs/>
          <w:sz w:val="22"/>
          <w:szCs w:val="22"/>
          <w:rtl/>
        </w:rPr>
      </w:pPr>
    </w:p>
    <w:p w:rsidR="005366A8" w:rsidRDefault="005366A8" w:rsidP="005366A8">
      <w:pPr>
        <w:spacing w:after="120"/>
        <w:rPr>
          <w:b/>
          <w:bCs/>
          <w:i/>
          <w:iCs/>
          <w:sz w:val="22"/>
          <w:szCs w:val="22"/>
          <w:highlight w:val="yellow"/>
          <w:rtl/>
        </w:rPr>
      </w:pPr>
      <w:r>
        <w:rPr>
          <w:rFonts w:hint="cs"/>
          <w:b/>
          <w:bCs/>
          <w:i/>
          <w:iCs/>
          <w:sz w:val="22"/>
          <w:szCs w:val="22"/>
          <w:highlight w:val="yellow"/>
          <w:rtl/>
        </w:rPr>
        <w:t xml:space="preserve">התפתחויות עוקבות </w:t>
      </w:r>
      <w:r w:rsidRPr="00D83F2D">
        <w:rPr>
          <w:rFonts w:hint="cs"/>
          <w:b/>
          <w:bCs/>
          <w:i/>
          <w:iCs/>
          <w:sz w:val="22"/>
          <w:szCs w:val="22"/>
          <w:highlight w:val="yellow"/>
          <w:u w:val="single"/>
          <w:rtl/>
        </w:rPr>
        <w:t>לקול העם</w:t>
      </w:r>
      <w:r>
        <w:rPr>
          <w:rFonts w:hint="cs"/>
          <w:b/>
          <w:bCs/>
          <w:i/>
          <w:iCs/>
          <w:sz w:val="22"/>
          <w:szCs w:val="22"/>
          <w:highlight w:val="yellow"/>
          <w:rtl/>
        </w:rPr>
        <w:t xml:space="preserve">: </w:t>
      </w:r>
    </w:p>
    <w:p w:rsidR="005366A8" w:rsidRDefault="005366A8" w:rsidP="005366A8">
      <w:pPr>
        <w:spacing w:after="120"/>
        <w:rPr>
          <w:b/>
          <w:bCs/>
          <w:i/>
          <w:iCs/>
          <w:sz w:val="22"/>
          <w:szCs w:val="22"/>
          <w:rtl/>
        </w:rPr>
      </w:pPr>
      <w:r>
        <w:rPr>
          <w:rFonts w:hint="cs"/>
          <w:b/>
          <w:bCs/>
          <w:i/>
          <w:iCs/>
          <w:sz w:val="22"/>
          <w:szCs w:val="22"/>
          <w:highlight w:val="yellow"/>
          <w:rtl/>
        </w:rPr>
        <w:t xml:space="preserve">א. </w:t>
      </w:r>
      <w:r w:rsidRPr="00036706">
        <w:rPr>
          <w:rFonts w:hint="cs"/>
          <w:b/>
          <w:bCs/>
          <w:i/>
          <w:iCs/>
          <w:sz w:val="22"/>
          <w:szCs w:val="22"/>
          <w:highlight w:val="yellow"/>
          <w:rtl/>
        </w:rPr>
        <w:t xml:space="preserve">אימוצו </w:t>
      </w:r>
      <w:r w:rsidRPr="00BC49B5">
        <w:rPr>
          <w:rFonts w:hint="cs"/>
          <w:b/>
          <w:bCs/>
          <w:i/>
          <w:iCs/>
          <w:sz w:val="22"/>
          <w:szCs w:val="22"/>
          <w:highlight w:val="yellow"/>
          <w:u w:val="single"/>
          <w:rtl/>
        </w:rPr>
        <w:t>של מבחן האיזון של "הודאות הקרובה"</w:t>
      </w:r>
      <w:r w:rsidRPr="00036706">
        <w:rPr>
          <w:rFonts w:hint="cs"/>
          <w:b/>
          <w:bCs/>
          <w:i/>
          <w:iCs/>
          <w:sz w:val="22"/>
          <w:szCs w:val="22"/>
          <w:highlight w:val="yellow"/>
          <w:rtl/>
        </w:rPr>
        <w:t xml:space="preserve"> </w:t>
      </w:r>
      <w:r>
        <w:rPr>
          <w:rFonts w:hint="cs"/>
          <w:b/>
          <w:bCs/>
          <w:i/>
          <w:iCs/>
          <w:sz w:val="22"/>
          <w:szCs w:val="22"/>
          <w:highlight w:val="yellow"/>
          <w:rtl/>
        </w:rPr>
        <w:t xml:space="preserve">מתרחב אל </w:t>
      </w:r>
      <w:r w:rsidRPr="00036706">
        <w:rPr>
          <w:rFonts w:hint="cs"/>
          <w:b/>
          <w:bCs/>
          <w:i/>
          <w:iCs/>
          <w:sz w:val="22"/>
          <w:szCs w:val="22"/>
          <w:highlight w:val="yellow"/>
          <w:rtl/>
        </w:rPr>
        <w:t xml:space="preserve">מכלול של הגבלות </w:t>
      </w:r>
      <w:r>
        <w:rPr>
          <w:rFonts w:hint="cs"/>
          <w:b/>
          <w:bCs/>
          <w:i/>
          <w:iCs/>
          <w:sz w:val="22"/>
          <w:szCs w:val="22"/>
          <w:highlight w:val="yellow"/>
          <w:rtl/>
        </w:rPr>
        <w:t>מגוונות</w:t>
      </w:r>
      <w:r w:rsidRPr="00036706">
        <w:rPr>
          <w:rFonts w:hint="cs"/>
          <w:b/>
          <w:bCs/>
          <w:i/>
          <w:iCs/>
          <w:sz w:val="22"/>
          <w:szCs w:val="22"/>
          <w:highlight w:val="yellow"/>
          <w:rtl/>
        </w:rPr>
        <w:t xml:space="preserve"> על חופש הביטוי, ובהמשך </w:t>
      </w:r>
      <w:r>
        <w:rPr>
          <w:rFonts w:hint="cs"/>
          <w:b/>
          <w:bCs/>
          <w:i/>
          <w:iCs/>
          <w:sz w:val="22"/>
          <w:szCs w:val="22"/>
          <w:highlight w:val="yellow"/>
          <w:rtl/>
        </w:rPr>
        <w:t xml:space="preserve">מתרחב גם כסייג להטלת </w:t>
      </w:r>
      <w:r w:rsidRPr="00036706">
        <w:rPr>
          <w:rFonts w:hint="cs"/>
          <w:b/>
          <w:bCs/>
          <w:i/>
          <w:iCs/>
          <w:sz w:val="22"/>
          <w:szCs w:val="22"/>
          <w:highlight w:val="yellow"/>
          <w:rtl/>
        </w:rPr>
        <w:t>הגבלות על זכויות יסוד אחרות</w:t>
      </w:r>
      <w:r>
        <w:rPr>
          <w:rFonts w:hint="cs"/>
          <w:b/>
          <w:bCs/>
          <w:i/>
          <w:iCs/>
          <w:sz w:val="22"/>
          <w:szCs w:val="22"/>
          <w:highlight w:val="yellow"/>
          <w:rtl/>
        </w:rPr>
        <w:t>;</w:t>
      </w:r>
    </w:p>
    <w:p w:rsidR="005366A8" w:rsidRDefault="005366A8" w:rsidP="005366A8">
      <w:pPr>
        <w:rPr>
          <w:b/>
          <w:bCs/>
          <w:i/>
          <w:iCs/>
          <w:sz w:val="22"/>
          <w:szCs w:val="22"/>
          <w:rtl/>
        </w:rPr>
      </w:pPr>
      <w:r>
        <w:rPr>
          <w:rFonts w:hint="cs"/>
          <w:b/>
          <w:bCs/>
          <w:i/>
          <w:iCs/>
          <w:sz w:val="22"/>
          <w:szCs w:val="22"/>
          <w:highlight w:val="yellow"/>
          <w:rtl/>
        </w:rPr>
        <w:t xml:space="preserve">ב. </w:t>
      </w:r>
      <w:r w:rsidRPr="009B5266">
        <w:rPr>
          <w:rFonts w:hint="cs"/>
          <w:b/>
          <w:bCs/>
          <w:i/>
          <w:iCs/>
          <w:sz w:val="22"/>
          <w:szCs w:val="22"/>
          <w:highlight w:val="yellow"/>
          <w:rtl/>
        </w:rPr>
        <w:t xml:space="preserve">יתר על כן, בפס"ד קול העם טמונה עוד נקודת חשיבות שקשה להפריז בעוצמתה </w:t>
      </w:r>
      <w:r w:rsidRPr="009B5266">
        <w:rPr>
          <w:b/>
          <w:bCs/>
          <w:i/>
          <w:iCs/>
          <w:sz w:val="22"/>
          <w:szCs w:val="22"/>
          <w:highlight w:val="yellow"/>
          <w:rtl/>
        </w:rPr>
        <w:t>–</w:t>
      </w:r>
      <w:r w:rsidRPr="009B5266">
        <w:rPr>
          <w:rFonts w:hint="cs"/>
          <w:b/>
          <w:bCs/>
          <w:i/>
          <w:iCs/>
          <w:sz w:val="22"/>
          <w:szCs w:val="22"/>
          <w:highlight w:val="yellow"/>
          <w:rtl/>
        </w:rPr>
        <w:t xml:space="preserve"> מהי?</w:t>
      </w:r>
    </w:p>
    <w:p w:rsidR="005366A8" w:rsidRDefault="005366A8" w:rsidP="005366A8">
      <w:pPr>
        <w:rPr>
          <w:b/>
          <w:bCs/>
          <w:i/>
          <w:iCs/>
          <w:sz w:val="22"/>
          <w:szCs w:val="22"/>
          <w:rtl/>
        </w:rPr>
      </w:pPr>
    </w:p>
    <w:p w:rsidR="005366A8" w:rsidRDefault="005366A8" w:rsidP="005366A8">
      <w:pPr>
        <w:rPr>
          <w:b/>
          <w:bCs/>
          <w:i/>
          <w:iCs/>
          <w:sz w:val="22"/>
          <w:szCs w:val="22"/>
          <w:rtl/>
        </w:rPr>
      </w:pPr>
      <w:r>
        <w:rPr>
          <w:rFonts w:hint="cs"/>
          <w:b/>
          <w:bCs/>
          <w:i/>
          <w:iCs/>
          <w:sz w:val="22"/>
          <w:szCs w:val="22"/>
          <w:rtl/>
        </w:rPr>
        <w:t>דוגמאות ל-א':</w:t>
      </w:r>
    </w:p>
    <w:p w:rsidR="005366A8" w:rsidRDefault="005366A8" w:rsidP="005366A8">
      <w:pPr>
        <w:rPr>
          <w:b/>
          <w:bCs/>
          <w:i/>
          <w:iCs/>
          <w:sz w:val="22"/>
          <w:szCs w:val="22"/>
          <w:rtl/>
        </w:rPr>
      </w:pPr>
    </w:p>
    <w:p w:rsidR="005366A8" w:rsidRDefault="005366A8" w:rsidP="005366A8">
      <w:pPr>
        <w:spacing w:after="120"/>
        <w:rPr>
          <w:sz w:val="22"/>
          <w:szCs w:val="22"/>
          <w:rtl/>
        </w:rPr>
      </w:pPr>
      <w:r>
        <w:rPr>
          <w:rFonts w:hint="cs"/>
          <w:b/>
          <w:bCs/>
          <w:sz w:val="22"/>
          <w:szCs w:val="22"/>
          <w:rtl/>
        </w:rPr>
        <w:t xml:space="preserve">^ </w:t>
      </w:r>
      <w:r w:rsidRPr="00036706">
        <w:rPr>
          <w:rFonts w:hint="cs"/>
          <w:b/>
          <w:bCs/>
          <w:sz w:val="22"/>
          <w:szCs w:val="22"/>
          <w:rtl/>
        </w:rPr>
        <w:t xml:space="preserve">סמכויות </w:t>
      </w:r>
      <w:r w:rsidRPr="00BC3985">
        <w:rPr>
          <w:rFonts w:hint="cs"/>
          <w:b/>
          <w:bCs/>
          <w:sz w:val="22"/>
          <w:szCs w:val="22"/>
          <w:u w:val="single"/>
          <w:rtl/>
        </w:rPr>
        <w:t>המועצה לביקורת סרטים ומחזות</w:t>
      </w:r>
      <w:r>
        <w:rPr>
          <w:rFonts w:hint="cs"/>
          <w:sz w:val="22"/>
          <w:szCs w:val="22"/>
          <w:rtl/>
        </w:rPr>
        <w:t>:</w:t>
      </w:r>
    </w:p>
    <w:p w:rsidR="005366A8" w:rsidRPr="00D96FD0" w:rsidRDefault="005366A8" w:rsidP="005366A8">
      <w:pPr>
        <w:spacing w:after="120"/>
        <w:ind w:left="310"/>
        <w:rPr>
          <w:sz w:val="22"/>
          <w:szCs w:val="22"/>
          <w:rtl/>
        </w:rPr>
      </w:pPr>
      <w:r w:rsidRPr="00D96FD0">
        <w:rPr>
          <w:sz w:val="22"/>
          <w:szCs w:val="22"/>
          <w:rtl/>
        </w:rPr>
        <w:t xml:space="preserve">השופט לנדוי בבג"צ 243/62 </w:t>
      </w:r>
      <w:r w:rsidRPr="00966D61">
        <w:rPr>
          <w:rFonts w:hint="cs"/>
          <w:b/>
          <w:bCs/>
          <w:sz w:val="22"/>
          <w:szCs w:val="22"/>
          <w:rtl/>
        </w:rPr>
        <w:t>אולפני הסרטה נ' לוי גרי והמועצה לביקורת סרטים ומחזות</w:t>
      </w:r>
      <w:r>
        <w:rPr>
          <w:rFonts w:hint="cs"/>
          <w:sz w:val="22"/>
          <w:szCs w:val="22"/>
          <w:rtl/>
        </w:rPr>
        <w:t xml:space="preserve">, </w:t>
      </w:r>
      <w:r w:rsidRPr="00D96FD0">
        <w:rPr>
          <w:sz w:val="22"/>
          <w:szCs w:val="22"/>
          <w:rtl/>
        </w:rPr>
        <w:t xml:space="preserve">פ"ד טז' 2418 </w:t>
      </w:r>
      <w:r>
        <w:rPr>
          <w:rFonts w:hint="cs"/>
          <w:sz w:val="22"/>
          <w:szCs w:val="22"/>
          <w:rtl/>
        </w:rPr>
        <w:t>(1962</w:t>
      </w:r>
      <w:r>
        <w:rPr>
          <w:sz w:val="22"/>
          <w:szCs w:val="22"/>
          <w:rtl/>
        </w:rPr>
        <w:t>)</w:t>
      </w:r>
      <w:r w:rsidRPr="00D96FD0">
        <w:rPr>
          <w:sz w:val="22"/>
          <w:szCs w:val="22"/>
          <w:rtl/>
        </w:rPr>
        <w:t xml:space="preserve">: </w:t>
      </w:r>
    </w:p>
    <w:p w:rsidR="005366A8" w:rsidRPr="00BC49B5" w:rsidRDefault="005366A8" w:rsidP="005366A8">
      <w:pPr>
        <w:ind w:left="720"/>
        <w:rPr>
          <w:rFonts w:cs="FrankRuehl"/>
          <w:sz w:val="22"/>
          <w:szCs w:val="22"/>
          <w:rtl/>
        </w:rPr>
      </w:pPr>
      <w:r w:rsidRPr="00BC49B5">
        <w:rPr>
          <w:rFonts w:cs="FrankRuehl"/>
          <w:sz w:val="22"/>
          <w:szCs w:val="22"/>
          <w:rtl/>
        </w:rPr>
        <w:t>"בענין 'קול העם', פירש בית-המשפט את ההוראה הסטטוטורית הספציפית שבסעיף</w:t>
      </w:r>
      <w:r w:rsidRPr="00BC49B5">
        <w:rPr>
          <w:rFonts w:cs="FrankRuehl" w:hint="cs"/>
          <w:sz w:val="22"/>
          <w:szCs w:val="22"/>
          <w:rtl/>
        </w:rPr>
        <w:t xml:space="preserve"> 19(2)</w:t>
      </w:r>
      <w:r w:rsidRPr="00BC49B5">
        <w:rPr>
          <w:rFonts w:cs="FrankRuehl"/>
          <w:sz w:val="22"/>
          <w:szCs w:val="22"/>
          <w:rtl/>
        </w:rPr>
        <w:t xml:space="preserve"> לפקודת העתונות, בעוד שכאן אנו דנים בשיקול-דעת מינהלי, שלא הוגדר הגדרה נוספת בסעיף</w:t>
      </w:r>
      <w:r w:rsidRPr="00BC49B5">
        <w:rPr>
          <w:rFonts w:cs="FrankRuehl" w:hint="cs"/>
          <w:sz w:val="22"/>
          <w:szCs w:val="22"/>
          <w:rtl/>
        </w:rPr>
        <w:t xml:space="preserve"> 6(2)</w:t>
      </w:r>
      <w:r w:rsidRPr="00BC49B5">
        <w:rPr>
          <w:rFonts w:cs="FrankRuehl"/>
          <w:sz w:val="22"/>
          <w:szCs w:val="22"/>
          <w:rtl/>
        </w:rPr>
        <w:t xml:space="preserve"> של פקודת סרטי הראינוע. אך ההחלטה בענין 'קול העם' הועמדה על בסיס רעיוני רחב, ההולם במלואו גם את הענין שלפנינו". </w:t>
      </w:r>
    </w:p>
    <w:p w:rsidR="005366A8" w:rsidRDefault="005366A8" w:rsidP="005366A8">
      <w:pPr>
        <w:rPr>
          <w:b/>
          <w:bCs/>
          <w:i/>
          <w:iCs/>
          <w:sz w:val="22"/>
          <w:szCs w:val="22"/>
          <w:rtl/>
        </w:rPr>
      </w:pPr>
    </w:p>
    <w:p w:rsidR="005366A8" w:rsidRDefault="005366A8" w:rsidP="005366A8">
      <w:pPr>
        <w:spacing w:after="120"/>
        <w:ind w:left="310"/>
        <w:rPr>
          <w:b/>
          <w:bCs/>
          <w:i/>
          <w:iCs/>
          <w:sz w:val="22"/>
          <w:szCs w:val="22"/>
          <w:rtl/>
        </w:rPr>
      </w:pPr>
      <w:r w:rsidRPr="00D96FD0">
        <w:rPr>
          <w:sz w:val="22"/>
          <w:szCs w:val="22"/>
          <w:rtl/>
        </w:rPr>
        <w:t xml:space="preserve">בג"צ 14/86 </w:t>
      </w:r>
      <w:r w:rsidRPr="00966D61">
        <w:rPr>
          <w:b/>
          <w:bCs/>
          <w:sz w:val="22"/>
          <w:szCs w:val="22"/>
          <w:rtl/>
        </w:rPr>
        <w:t>לאור נ' המועצה לבקורת סרטים ומחזות</w:t>
      </w:r>
      <w:r>
        <w:rPr>
          <w:rFonts w:hint="cs"/>
          <w:sz w:val="22"/>
          <w:szCs w:val="22"/>
          <w:rtl/>
        </w:rPr>
        <w:t xml:space="preserve">, </w:t>
      </w:r>
      <w:r>
        <w:rPr>
          <w:sz w:val="22"/>
          <w:szCs w:val="22"/>
          <w:rtl/>
        </w:rPr>
        <w:t>פ"ד מא(1)</w:t>
      </w:r>
      <w:r w:rsidRPr="00D96FD0">
        <w:rPr>
          <w:sz w:val="22"/>
          <w:szCs w:val="22"/>
          <w:rtl/>
        </w:rPr>
        <w:t xml:space="preserve"> 421</w:t>
      </w:r>
      <w:r>
        <w:rPr>
          <w:rFonts w:hint="cs"/>
          <w:b/>
          <w:bCs/>
          <w:i/>
          <w:iCs/>
          <w:sz w:val="22"/>
          <w:szCs w:val="22"/>
          <w:rtl/>
        </w:rPr>
        <w:t xml:space="preserve"> </w:t>
      </w:r>
      <w:r w:rsidRPr="00276909">
        <w:rPr>
          <w:rFonts w:hint="cs"/>
          <w:sz w:val="22"/>
          <w:szCs w:val="22"/>
          <w:rtl/>
        </w:rPr>
        <w:t>(1987)</w:t>
      </w:r>
    </w:p>
    <w:p w:rsidR="005366A8" w:rsidRPr="00966D61" w:rsidRDefault="005366A8" w:rsidP="005366A8">
      <w:pPr>
        <w:ind w:left="720"/>
        <w:rPr>
          <w:rFonts w:cs="FrankRuehl"/>
          <w:b/>
          <w:bCs/>
          <w:i/>
          <w:iCs/>
          <w:sz w:val="22"/>
          <w:szCs w:val="22"/>
          <w:rtl/>
        </w:rPr>
      </w:pPr>
      <w:r w:rsidRPr="00966D61">
        <w:rPr>
          <w:rFonts w:cs="FrankRuehl"/>
          <w:sz w:val="22"/>
          <w:szCs w:val="22"/>
          <w:rtl/>
        </w:rPr>
        <w:t>העיקרון של חופש הביטוי מתנגש עם העיקרון של הסדר הציבורי. במצב דברים דומה נתקל השופט אגרנט בפרשת "קול העם", בציינו כי "עיקר הסבך מקורו בתופעה, שקיימת כאן התחרות בין שני סוגים של אינטרסים אשר כל אחד מהם הוא בעל חשיבות מדינית-חברתית ממדרגה ראשונה" (עמ' 880). סבך זה ניתן להתיר - כך למדנו ופסקנו מאז "קול העם" - על ידי איזון בין העקרונות המתנגשים. לעתים, המחוקק קובע את האיזון הדרוש. לרוב מוטל תפקיד על בית המשפט, אשר צריך לקבוע "עקרון רציונלי" (פרשת "קול העם" , עמ 881), שיהווה "אמת המידה הנושאת בתוכה קו מנחה ערכי", תוך התרחקות מכל "אמת-מידה פטרנליסטית מקרית, אשר איש לא יוכל להעריך מראש כיווניה וטיבה"</w:t>
      </w:r>
      <w:r w:rsidRPr="00966D61">
        <w:rPr>
          <w:rFonts w:cs="FrankRuehl" w:hint="cs"/>
          <w:b/>
          <w:bCs/>
          <w:i/>
          <w:iCs/>
          <w:sz w:val="22"/>
          <w:szCs w:val="22"/>
          <w:rtl/>
        </w:rPr>
        <w:t xml:space="preserve"> ...</w:t>
      </w:r>
    </w:p>
    <w:p w:rsidR="005366A8" w:rsidRPr="00966D61" w:rsidRDefault="005366A8" w:rsidP="005366A8">
      <w:pPr>
        <w:ind w:left="720"/>
        <w:rPr>
          <w:rFonts w:cs="FrankRuehl"/>
          <w:b/>
          <w:bCs/>
          <w:i/>
          <w:iCs/>
          <w:sz w:val="22"/>
          <w:szCs w:val="22"/>
          <w:rtl/>
        </w:rPr>
      </w:pPr>
      <w:r w:rsidRPr="00966D61">
        <w:rPr>
          <w:rFonts w:cs="FrankRuehl"/>
          <w:sz w:val="22"/>
          <w:szCs w:val="22"/>
          <w:rtl/>
        </w:rPr>
        <w:t>מהי נוסחת האיזון בין חופש הביטוי של מחזאי המבקש להציג את מחזהו לבין הסדר הציבורי העלול להפגע חמורות? שאלה זו התעוררה בבג"צ 243/62 (פ"ד טז 2406).בית המשפט העליון החליט כי לענין סמכות המועצה על פי פקודת סרטי הראינוע, נוסחת האיזון היא זו שנקבעה בפרשת "קול העם", כלומר הודאות הקרובה.</w:t>
      </w:r>
    </w:p>
    <w:p w:rsidR="005366A8" w:rsidRPr="00816207" w:rsidRDefault="005366A8" w:rsidP="005366A8">
      <w:pPr>
        <w:rPr>
          <w:b/>
          <w:bCs/>
          <w:i/>
          <w:iCs/>
          <w:sz w:val="22"/>
          <w:szCs w:val="22"/>
          <w:rtl/>
        </w:rPr>
      </w:pPr>
    </w:p>
    <w:p w:rsidR="005366A8" w:rsidRDefault="005366A8" w:rsidP="005366A8">
      <w:pPr>
        <w:pStyle w:val="T-body"/>
        <w:spacing w:after="120" w:line="240" w:lineRule="auto"/>
        <w:ind w:left="720" w:hanging="720"/>
        <w:rPr>
          <w:sz w:val="22"/>
          <w:szCs w:val="22"/>
          <w:rtl/>
        </w:rPr>
      </w:pPr>
      <w:r>
        <w:rPr>
          <w:rFonts w:hint="cs"/>
          <w:b/>
          <w:bCs/>
          <w:sz w:val="22"/>
          <w:szCs w:val="22"/>
          <w:rtl/>
        </w:rPr>
        <w:t xml:space="preserve">^ </w:t>
      </w:r>
      <w:r w:rsidRPr="00036706">
        <w:rPr>
          <w:rFonts w:hint="cs"/>
          <w:b/>
          <w:bCs/>
          <w:sz w:val="22"/>
          <w:szCs w:val="22"/>
          <w:rtl/>
        </w:rPr>
        <w:t xml:space="preserve">סמכויות </w:t>
      </w:r>
      <w:r w:rsidRPr="00BC3985">
        <w:rPr>
          <w:rFonts w:hint="cs"/>
          <w:b/>
          <w:bCs/>
          <w:sz w:val="22"/>
          <w:szCs w:val="22"/>
          <w:u w:val="single"/>
          <w:rtl/>
        </w:rPr>
        <w:t>הצנזור הצבאי</w:t>
      </w:r>
      <w:r w:rsidRPr="00036706">
        <w:rPr>
          <w:rFonts w:hint="cs"/>
          <w:b/>
          <w:bCs/>
          <w:sz w:val="22"/>
          <w:szCs w:val="22"/>
          <w:rtl/>
        </w:rPr>
        <w:t xml:space="preserve"> מכוח תקנות ההגנה</w:t>
      </w:r>
      <w:r>
        <w:rPr>
          <w:rFonts w:hint="cs"/>
          <w:sz w:val="22"/>
          <w:szCs w:val="22"/>
          <w:rtl/>
        </w:rPr>
        <w:t xml:space="preserve"> ומבחן "הוודאות הקרובה":</w:t>
      </w:r>
    </w:p>
    <w:p w:rsidR="005366A8" w:rsidRDefault="005366A8" w:rsidP="005366A8">
      <w:pPr>
        <w:pStyle w:val="T-body"/>
        <w:spacing w:after="120" w:line="240" w:lineRule="auto"/>
        <w:ind w:left="310"/>
        <w:rPr>
          <w:sz w:val="22"/>
          <w:szCs w:val="22"/>
          <w:rtl/>
        </w:rPr>
      </w:pPr>
      <w:r w:rsidRPr="00036706">
        <w:rPr>
          <w:sz w:val="22"/>
          <w:szCs w:val="22"/>
          <w:rtl/>
        </w:rPr>
        <w:t xml:space="preserve">בג"צ 680/88 </w:t>
      </w:r>
      <w:r w:rsidRPr="00036706">
        <w:rPr>
          <w:b/>
          <w:bCs/>
          <w:sz w:val="22"/>
          <w:szCs w:val="22"/>
          <w:rtl/>
        </w:rPr>
        <w:t>שניצר נ' הצנזור הצבאי הראשי</w:t>
      </w:r>
      <w:r w:rsidRPr="00036706">
        <w:rPr>
          <w:sz w:val="22"/>
          <w:szCs w:val="22"/>
          <w:rtl/>
        </w:rPr>
        <w:t>, פ"ד מב(4) 617</w:t>
      </w:r>
      <w:r w:rsidRPr="00036706">
        <w:rPr>
          <w:rFonts w:hint="cs"/>
          <w:sz w:val="22"/>
          <w:szCs w:val="22"/>
          <w:rtl/>
        </w:rPr>
        <w:t xml:space="preserve"> (1989</w:t>
      </w:r>
      <w:r>
        <w:rPr>
          <w:rFonts w:hint="cs"/>
          <w:sz w:val="22"/>
          <w:szCs w:val="22"/>
          <w:rtl/>
        </w:rPr>
        <w:t xml:space="preserve">) </w:t>
      </w:r>
    </w:p>
    <w:p w:rsidR="005366A8" w:rsidRDefault="005366A8" w:rsidP="005366A8">
      <w:pPr>
        <w:pStyle w:val="T-body"/>
        <w:spacing w:after="120" w:line="240" w:lineRule="auto"/>
        <w:rPr>
          <w:b/>
          <w:bCs/>
          <w:sz w:val="22"/>
          <w:szCs w:val="22"/>
          <w:rtl/>
        </w:rPr>
      </w:pPr>
    </w:p>
    <w:p w:rsidR="005366A8" w:rsidRDefault="005366A8" w:rsidP="005366A8">
      <w:pPr>
        <w:pStyle w:val="T-body"/>
        <w:spacing w:after="120" w:line="240" w:lineRule="auto"/>
        <w:rPr>
          <w:b/>
          <w:bCs/>
          <w:sz w:val="22"/>
          <w:szCs w:val="22"/>
          <w:rtl/>
        </w:rPr>
      </w:pPr>
      <w:r>
        <w:rPr>
          <w:rFonts w:hint="cs"/>
          <w:b/>
          <w:bCs/>
          <w:sz w:val="22"/>
          <w:szCs w:val="22"/>
          <w:rtl/>
        </w:rPr>
        <w:t>ב':</w:t>
      </w:r>
    </w:p>
    <w:p w:rsidR="005366A8" w:rsidRDefault="005366A8" w:rsidP="005366A8">
      <w:pPr>
        <w:pStyle w:val="T-body"/>
        <w:spacing w:after="120" w:line="240" w:lineRule="auto"/>
        <w:rPr>
          <w:b/>
          <w:bCs/>
          <w:sz w:val="22"/>
          <w:szCs w:val="22"/>
          <w:rtl/>
        </w:rPr>
      </w:pPr>
      <w:r w:rsidRPr="00C86422">
        <w:rPr>
          <w:rFonts w:hint="cs"/>
          <w:b/>
          <w:bCs/>
          <w:sz w:val="22"/>
          <w:szCs w:val="22"/>
          <w:rtl/>
        </w:rPr>
        <w:t>נקודה</w:t>
      </w:r>
      <w:r>
        <w:rPr>
          <w:rFonts w:hint="cs"/>
          <w:b/>
          <w:bCs/>
          <w:sz w:val="22"/>
          <w:szCs w:val="22"/>
          <w:rtl/>
        </w:rPr>
        <w:t xml:space="preserve"> נוספת,</w:t>
      </w:r>
      <w:r w:rsidRPr="00C86422">
        <w:rPr>
          <w:rFonts w:hint="cs"/>
          <w:b/>
          <w:bCs/>
          <w:sz w:val="22"/>
          <w:szCs w:val="22"/>
          <w:rtl/>
        </w:rPr>
        <w:t xml:space="preserve"> מהותית </w:t>
      </w:r>
      <w:r>
        <w:rPr>
          <w:rFonts w:hint="cs"/>
          <w:b/>
          <w:bCs/>
          <w:sz w:val="22"/>
          <w:szCs w:val="22"/>
          <w:rtl/>
        </w:rPr>
        <w:t xml:space="preserve">מאד, נקבעה בפס"ד </w:t>
      </w:r>
      <w:r w:rsidRPr="00F5459C">
        <w:rPr>
          <w:rFonts w:hint="cs"/>
          <w:b/>
          <w:bCs/>
          <w:sz w:val="22"/>
          <w:szCs w:val="22"/>
          <w:u w:val="single"/>
          <w:rtl/>
        </w:rPr>
        <w:t>קול העם</w:t>
      </w:r>
      <w:r>
        <w:rPr>
          <w:rFonts w:hint="cs"/>
          <w:b/>
          <w:bCs/>
          <w:sz w:val="22"/>
          <w:szCs w:val="22"/>
          <w:rtl/>
        </w:rPr>
        <w:t xml:space="preserve">, והיא בעלת השלכות דרמטיות. בפסק הדין מונח הבסיס לתיאוריה הפרשנית שתנחה (והיא אכן מנחה, שנים ארוכות) את המשפט הישראלי: </w:t>
      </w:r>
      <w:r>
        <w:rPr>
          <w:rFonts w:hint="cs"/>
          <w:b/>
          <w:bCs/>
          <w:sz w:val="22"/>
          <w:szCs w:val="22"/>
          <w:u w:val="single"/>
          <w:rtl/>
        </w:rPr>
        <w:t>"ה</w:t>
      </w:r>
      <w:r w:rsidRPr="00BC49B5">
        <w:rPr>
          <w:rFonts w:hint="cs"/>
          <w:b/>
          <w:bCs/>
          <w:sz w:val="22"/>
          <w:szCs w:val="22"/>
          <w:u w:val="single"/>
          <w:rtl/>
        </w:rPr>
        <w:t>פרשנות התכליתית"</w:t>
      </w:r>
      <w:r w:rsidRPr="00C86422">
        <w:rPr>
          <w:rFonts w:hint="cs"/>
          <w:b/>
          <w:bCs/>
          <w:sz w:val="22"/>
          <w:szCs w:val="22"/>
          <w:rtl/>
        </w:rPr>
        <w:t>:</w:t>
      </w:r>
    </w:p>
    <w:p w:rsidR="005366A8" w:rsidRDefault="005366A8" w:rsidP="005366A8">
      <w:pPr>
        <w:pStyle w:val="T-body"/>
        <w:spacing w:after="120" w:line="240" w:lineRule="auto"/>
        <w:ind w:left="310"/>
        <w:rPr>
          <w:sz w:val="22"/>
          <w:szCs w:val="22"/>
          <w:rtl/>
        </w:rPr>
      </w:pPr>
      <w:r w:rsidRPr="00BC49B5">
        <w:rPr>
          <w:rFonts w:cs="FrankRuehl"/>
          <w:sz w:val="22"/>
          <w:szCs w:val="22"/>
          <w:highlight w:val="yellow"/>
          <w:rtl/>
        </w:rPr>
        <w:t xml:space="preserve">מערכת החוקים, לפיהם הוקמו ופועלים המוסדות הפוליטיים בישראל, מעידים כי אכן זוהי מדינה שיסודותיה דמוקרטיים.  כמו כן הדברים שהוצהרו בהכרזת העצמאות </w:t>
      </w:r>
      <w:r w:rsidRPr="00BC49B5">
        <w:rPr>
          <w:rFonts w:cs="FrankRuehl"/>
          <w:sz w:val="22"/>
          <w:szCs w:val="22"/>
          <w:highlight w:val="yellow"/>
        </w:rPr>
        <w:t>–</w:t>
      </w:r>
      <w:r w:rsidRPr="00BC49B5">
        <w:rPr>
          <w:rFonts w:cs="FrankRuehl"/>
          <w:sz w:val="22"/>
          <w:szCs w:val="22"/>
          <w:highlight w:val="yellow"/>
          <w:rtl/>
        </w:rPr>
        <w:t xml:space="preserve"> ובפרט בדבר השתתת המדינה "על יסודות החירות" והבטחת חופש המצפון </w:t>
      </w:r>
      <w:r w:rsidRPr="00BC49B5">
        <w:rPr>
          <w:rFonts w:cs="FrankRuehl"/>
          <w:sz w:val="22"/>
          <w:szCs w:val="22"/>
          <w:highlight w:val="yellow"/>
        </w:rPr>
        <w:t>–</w:t>
      </w:r>
      <w:r w:rsidRPr="00BC49B5">
        <w:rPr>
          <w:rFonts w:cs="FrankRuehl"/>
          <w:sz w:val="22"/>
          <w:szCs w:val="22"/>
          <w:highlight w:val="yellow"/>
          <w:rtl/>
        </w:rPr>
        <w:t xml:space="preserve"> פירושם כי ישראל היא מדינה השוחרת חופש. אמנם, ההכרזה, "אין בה משום חוק קונסטיטוציוני הפוסק הלכה למעשה בדבר קיום פקודות וחוקים שונים או ביטולם" [בג"צ 10/48 זיו נ' גוברניק], אך במידה שהיא "מבטאה את חזון העם ואת האני-מאמין שלו" (שם), מחובתנו לשים את לבנו לדברים שהוצהרו בה, בשעה שאנו באים לפרש ולתת מובן לחוקי המדינה, לרבות הוראות חוק שהותקנו בתקופת המנדט ואומצו על ידי המדינה, לאחר הקמתה, דרך הצינור של סעיף 11 לפקודת סדרי השלטון והמשפט, תש"ח1948-;  הלא זו אכסיומה ידועה, שאת המשפט של עם יש ללמוד באספקלריה של מערכת החיים הלאומיים שלו.</w:t>
      </w:r>
      <w:r w:rsidRPr="00F5459C">
        <w:rPr>
          <w:rFonts w:cs="FrankRuehl"/>
          <w:sz w:val="22"/>
          <w:szCs w:val="22"/>
          <w:rtl/>
        </w:rPr>
        <w:t xml:space="preserve"> </w:t>
      </w:r>
      <w:r w:rsidRPr="00BC49B5">
        <w:rPr>
          <w:rFonts w:cs="FrankRuehl"/>
          <w:sz w:val="22"/>
          <w:szCs w:val="22"/>
          <w:rtl/>
        </w:rPr>
        <w:t>[</w:t>
      </w:r>
      <w:r>
        <w:rPr>
          <w:rFonts w:cs="FrankRuehl" w:hint="cs"/>
          <w:sz w:val="22"/>
          <w:szCs w:val="22"/>
          <w:rtl/>
        </w:rPr>
        <w:t xml:space="preserve">שם, עמ' </w:t>
      </w:r>
      <w:r w:rsidRPr="00BC49B5">
        <w:rPr>
          <w:rFonts w:cs="FrankRuehl"/>
          <w:sz w:val="22"/>
          <w:szCs w:val="22"/>
          <w:rtl/>
        </w:rPr>
        <w:t>884]</w:t>
      </w:r>
    </w:p>
    <w:p w:rsidR="005366A8" w:rsidRDefault="005366A8" w:rsidP="005366A8">
      <w:pPr>
        <w:pStyle w:val="T-body"/>
        <w:spacing w:after="120" w:line="240" w:lineRule="auto"/>
        <w:ind w:left="310"/>
        <w:rPr>
          <w:sz w:val="22"/>
          <w:szCs w:val="22"/>
          <w:rtl/>
        </w:rPr>
      </w:pPr>
      <w:r w:rsidRPr="00F5459C">
        <w:rPr>
          <w:rFonts w:hint="cs"/>
          <w:b/>
          <w:bCs/>
          <w:i/>
          <w:iCs/>
          <w:sz w:val="22"/>
          <w:szCs w:val="22"/>
          <w:rtl/>
        </w:rPr>
        <w:t xml:space="preserve">דוגמא </w:t>
      </w:r>
      <w:r>
        <w:rPr>
          <w:rFonts w:hint="cs"/>
          <w:b/>
          <w:bCs/>
          <w:i/>
          <w:iCs/>
          <w:sz w:val="22"/>
          <w:szCs w:val="22"/>
          <w:rtl/>
        </w:rPr>
        <w:t xml:space="preserve">מאוחרת יותר </w:t>
      </w:r>
      <w:r w:rsidRPr="00F5459C">
        <w:rPr>
          <w:rFonts w:hint="cs"/>
          <w:b/>
          <w:bCs/>
          <w:i/>
          <w:iCs/>
          <w:sz w:val="22"/>
          <w:szCs w:val="22"/>
          <w:rtl/>
        </w:rPr>
        <w:t>מסכמת זאת:</w:t>
      </w:r>
      <w:r>
        <w:rPr>
          <w:rFonts w:hint="cs"/>
          <w:sz w:val="22"/>
          <w:szCs w:val="22"/>
          <w:rtl/>
        </w:rPr>
        <w:t xml:space="preserve"> </w:t>
      </w:r>
    </w:p>
    <w:p w:rsidR="005366A8" w:rsidRPr="00816207" w:rsidRDefault="005366A8" w:rsidP="005366A8">
      <w:pPr>
        <w:pStyle w:val="T-body"/>
        <w:spacing w:after="120" w:line="240" w:lineRule="auto"/>
        <w:ind w:left="310"/>
        <w:rPr>
          <w:sz w:val="22"/>
          <w:szCs w:val="22"/>
          <w:rtl/>
        </w:rPr>
      </w:pPr>
      <w:r w:rsidRPr="00816207">
        <w:rPr>
          <w:sz w:val="22"/>
          <w:szCs w:val="22"/>
          <w:rtl/>
        </w:rPr>
        <w:t xml:space="preserve">השופט חשין בבג"צ 7351/95 </w:t>
      </w:r>
      <w:r w:rsidRPr="00816207">
        <w:rPr>
          <w:b/>
          <w:bCs/>
          <w:sz w:val="22"/>
          <w:szCs w:val="22"/>
          <w:rtl/>
        </w:rPr>
        <w:t>נבואני נ' השר לעניני דתות</w:t>
      </w:r>
      <w:r w:rsidRPr="00816207">
        <w:rPr>
          <w:sz w:val="22"/>
          <w:szCs w:val="22"/>
          <w:rtl/>
        </w:rPr>
        <w:t>, פ"ד נ(4) 89, בסע' 35 לפסק דינו</w:t>
      </w:r>
      <w:r w:rsidRPr="00816207">
        <w:rPr>
          <w:rFonts w:hint="cs"/>
          <w:sz w:val="22"/>
          <w:szCs w:val="22"/>
          <w:rtl/>
        </w:rPr>
        <w:t>:</w:t>
      </w:r>
    </w:p>
    <w:p w:rsidR="005366A8" w:rsidRPr="00816207" w:rsidRDefault="005366A8" w:rsidP="005366A8">
      <w:pPr>
        <w:pStyle w:val="T-quotation"/>
        <w:spacing w:after="0"/>
        <w:ind w:right="0"/>
        <w:rPr>
          <w:rFonts w:cs="FrankRuehl"/>
          <w:rtl/>
        </w:rPr>
      </w:pPr>
      <w:r w:rsidRPr="00816207">
        <w:rPr>
          <w:rFonts w:cs="FrankRuehl"/>
          <w:rtl/>
        </w:rPr>
        <w:t>נדע כי עם קום המדינה נתחולל מהפך-זוטא בפירושם של דברי-חוק אלה. אכן, דברי-חקיקה שהורתם בתקופת המנדט יימלאו תוכן בעקרונות-יסוד המקובלים עלינו כיום, והרי את חיינו כהיום הזה אמורים אנו לנהג לפיהם.  [</w:t>
      </w:r>
      <w:r w:rsidRPr="00816207">
        <w:rPr>
          <w:rFonts w:cs="FrankRuehl"/>
        </w:rPr>
        <w:t>…</w:t>
      </w:r>
      <w:r w:rsidRPr="00816207">
        <w:rPr>
          <w:rFonts w:cs="FrankRuehl"/>
          <w:rtl/>
        </w:rPr>
        <w:t>]</w:t>
      </w:r>
      <w:r w:rsidRPr="00816207">
        <w:rPr>
          <w:rFonts w:cs="FrankRuehl" w:hint="cs"/>
          <w:rtl/>
        </w:rPr>
        <w:t xml:space="preserve"> </w:t>
      </w:r>
      <w:r w:rsidRPr="00816207">
        <w:rPr>
          <w:rFonts w:cs="FrankRuehl"/>
          <w:rtl/>
        </w:rPr>
        <w:t>העיקרון הדימוקרטי - באשר הוא - מחלחל בכל שיטת המשפט בישראל, ומצרף הוא עצמו לצופן הגנטי של כל הנורמות המחייבות במשפט ישראל.</w:t>
      </w:r>
    </w:p>
    <w:p w:rsidR="005366A8" w:rsidRPr="00816207" w:rsidRDefault="005366A8" w:rsidP="005366A8">
      <w:pPr>
        <w:rPr>
          <w:sz w:val="22"/>
          <w:szCs w:val="22"/>
          <w:rtl/>
        </w:rPr>
      </w:pPr>
    </w:p>
    <w:p w:rsidR="005366A8" w:rsidRPr="006D3F91" w:rsidRDefault="005366A8" w:rsidP="005366A8">
      <w:pPr>
        <w:rPr>
          <w:rtl/>
        </w:rPr>
      </w:pPr>
      <w:r w:rsidRPr="006D3F91">
        <w:rPr>
          <w:rFonts w:hint="cs"/>
          <w:rtl/>
        </w:rPr>
        <w:t>=-=</w:t>
      </w:r>
    </w:p>
    <w:p w:rsidR="005366A8" w:rsidRDefault="005366A8" w:rsidP="005366A8">
      <w:pPr>
        <w:spacing w:after="120"/>
        <w:rPr>
          <w:b/>
          <w:bCs/>
          <w:i/>
          <w:iCs/>
          <w:sz w:val="22"/>
          <w:szCs w:val="22"/>
          <w:rtl/>
        </w:rPr>
      </w:pPr>
      <w:r>
        <w:rPr>
          <w:rFonts w:hint="cs"/>
          <w:b/>
          <w:bCs/>
          <w:i/>
          <w:iCs/>
          <w:sz w:val="22"/>
          <w:szCs w:val="22"/>
          <w:highlight w:val="yellow"/>
          <w:rtl/>
        </w:rPr>
        <w:t xml:space="preserve">ועוד התפתחויות: </w:t>
      </w:r>
    </w:p>
    <w:p w:rsidR="005366A8" w:rsidRDefault="005366A8" w:rsidP="005366A8">
      <w:pPr>
        <w:spacing w:after="120"/>
        <w:rPr>
          <w:sz w:val="20"/>
          <w:szCs w:val="20"/>
          <w:rtl/>
        </w:rPr>
      </w:pPr>
      <w:r>
        <w:rPr>
          <w:rFonts w:hint="cs"/>
          <w:sz w:val="20"/>
          <w:szCs w:val="20"/>
          <w:rtl/>
        </w:rPr>
        <w:t xml:space="preserve">דברים חשובים רבים נוספים מתרחשים במשפט הציבורי של ישראל בשנות החמישים, השישים, השבעים והשמונים של המאה הקודמת. את רובם נפגוש בקורס. ואולם בשנות התשעים מגיעה התפתחות בעלת עוצמה מיוחדת. היא מכונה </w:t>
      </w:r>
      <w:r w:rsidRPr="00C86422">
        <w:rPr>
          <w:rFonts w:hint="cs"/>
          <w:b/>
          <w:bCs/>
          <w:sz w:val="20"/>
          <w:szCs w:val="20"/>
          <w:rtl/>
        </w:rPr>
        <w:t>"המהפכה החוקתית"</w:t>
      </w:r>
      <w:r>
        <w:rPr>
          <w:rFonts w:hint="cs"/>
          <w:sz w:val="20"/>
          <w:szCs w:val="20"/>
          <w:rtl/>
        </w:rPr>
        <w:t>. היווצרותה של חוקה פורמאלית. דיברנו על כך בפגישה הפותחת של הקורס.</w:t>
      </w:r>
    </w:p>
    <w:p w:rsidR="005366A8" w:rsidRDefault="005366A8" w:rsidP="005366A8">
      <w:pPr>
        <w:spacing w:after="120"/>
        <w:rPr>
          <w:sz w:val="20"/>
          <w:szCs w:val="20"/>
          <w:rtl/>
        </w:rPr>
      </w:pPr>
      <w:r>
        <w:rPr>
          <w:rFonts w:hint="cs"/>
          <w:sz w:val="20"/>
          <w:szCs w:val="20"/>
          <w:rtl/>
        </w:rPr>
        <w:t xml:space="preserve">חוקה זו מעצימה את החוקה המהותית של ישראל </w:t>
      </w:r>
      <w:r>
        <w:rPr>
          <w:sz w:val="20"/>
          <w:szCs w:val="20"/>
          <w:rtl/>
        </w:rPr>
        <w:t>–</w:t>
      </w:r>
      <w:r>
        <w:rPr>
          <w:rFonts w:hint="cs"/>
          <w:sz w:val="20"/>
          <w:szCs w:val="20"/>
          <w:rtl/>
        </w:rPr>
        <w:t xml:space="preserve"> ערכי היסוד, מוסדות היסוד שלה, הליכי היסוד שלה. היא עושה כן: (א) על ידי עיגונם של חלקים מרכזיים של החוקה המהותית בתוכה, בתוך החוקה הפורמאלית; (ב) היא גם מעניקה לחוקה המהותית תפקידים נוספים, מפורשים, שעליהם נעמוד. </w:t>
      </w:r>
    </w:p>
    <w:p w:rsidR="005366A8" w:rsidRPr="00947E0F" w:rsidRDefault="005366A8" w:rsidP="005366A8">
      <w:pPr>
        <w:spacing w:after="120"/>
        <w:rPr>
          <w:rFonts w:cs="David"/>
          <w:b/>
          <w:bCs/>
          <w:sz w:val="20"/>
          <w:szCs w:val="20"/>
          <w:rtl/>
        </w:rPr>
      </w:pPr>
      <w:r>
        <w:rPr>
          <w:rFonts w:hint="cs"/>
          <w:sz w:val="20"/>
          <w:szCs w:val="20"/>
          <w:rtl/>
        </w:rPr>
        <w:t>כך למשל, חוק יסוד: כבוד האדם וחירותו, ובלשון דומה גם חוק יסוד: חופש העיסוק, מכילים את ההוראות הבאות:</w:t>
      </w:r>
    </w:p>
    <w:p w:rsidR="005366A8" w:rsidRPr="00947E0F" w:rsidRDefault="005366A8" w:rsidP="005366A8">
      <w:pPr>
        <w:ind w:left="720"/>
        <w:rPr>
          <w:rFonts w:cs="David"/>
          <w:b/>
          <w:bCs/>
          <w:sz w:val="20"/>
          <w:szCs w:val="20"/>
          <w:rtl/>
        </w:rPr>
      </w:pPr>
      <w:r w:rsidRPr="00947E0F">
        <w:rPr>
          <w:rFonts w:cs="David"/>
          <w:b/>
          <w:bCs/>
          <w:sz w:val="20"/>
          <w:szCs w:val="20"/>
          <w:rtl/>
        </w:rPr>
        <w:t xml:space="preserve">1. </w:t>
      </w:r>
      <w:r w:rsidRPr="00947E0F">
        <w:rPr>
          <w:rFonts w:cs="David" w:hint="cs"/>
          <w:b/>
          <w:bCs/>
          <w:sz w:val="20"/>
          <w:szCs w:val="20"/>
          <w:rtl/>
        </w:rPr>
        <w:t>[</w:t>
      </w:r>
      <w:r w:rsidRPr="00947E0F">
        <w:rPr>
          <w:rFonts w:cs="David"/>
          <w:b/>
          <w:bCs/>
          <w:sz w:val="20"/>
          <w:szCs w:val="20"/>
          <w:rtl/>
        </w:rPr>
        <w:t>"עקרונות יסוד"</w:t>
      </w:r>
      <w:r w:rsidRPr="00947E0F">
        <w:rPr>
          <w:rFonts w:cs="David" w:hint="cs"/>
          <w:b/>
          <w:bCs/>
          <w:sz w:val="20"/>
          <w:szCs w:val="20"/>
          <w:rtl/>
        </w:rPr>
        <w:t>]</w:t>
      </w:r>
      <w:r w:rsidRPr="00947E0F">
        <w:rPr>
          <w:rFonts w:cs="David"/>
          <w:b/>
          <w:bCs/>
          <w:sz w:val="20"/>
          <w:szCs w:val="20"/>
          <w:rtl/>
        </w:rPr>
        <w:t xml:space="preserve"> </w:t>
      </w:r>
    </w:p>
    <w:p w:rsidR="005366A8" w:rsidRPr="00947E0F" w:rsidRDefault="005366A8" w:rsidP="005366A8">
      <w:pPr>
        <w:spacing w:after="120"/>
        <w:ind w:left="1440"/>
        <w:rPr>
          <w:rFonts w:cs="David"/>
          <w:b/>
          <w:bCs/>
          <w:sz w:val="20"/>
          <w:szCs w:val="20"/>
          <w:rtl/>
        </w:rPr>
      </w:pPr>
      <w:r w:rsidRPr="006370CF">
        <w:rPr>
          <w:rFonts w:cs="David"/>
          <w:b/>
          <w:bCs/>
          <w:sz w:val="20"/>
          <w:szCs w:val="20"/>
          <w:rtl/>
        </w:rPr>
        <w:t>זכויות היסוד של האדם בישראל מושתתות על ההכרה ב</w:t>
      </w:r>
      <w:r w:rsidRPr="00947E0F">
        <w:rPr>
          <w:rFonts w:cs="David"/>
          <w:b/>
          <w:bCs/>
          <w:sz w:val="20"/>
          <w:szCs w:val="20"/>
          <w:rtl/>
        </w:rPr>
        <w:t xml:space="preserve">ערך האדם, בקדושת חייו ובהיותו בן-חורין, </w:t>
      </w:r>
      <w:r w:rsidRPr="00947E0F">
        <w:rPr>
          <w:rFonts w:cs="David"/>
          <w:b/>
          <w:bCs/>
          <w:sz w:val="20"/>
          <w:szCs w:val="20"/>
          <w:highlight w:val="yellow"/>
          <w:rtl/>
        </w:rPr>
        <w:t>והן יכובדו ברוח העקרונות שבהכרזה על הקמת מדינת ישראל</w:t>
      </w:r>
      <w:r w:rsidRPr="00947E0F">
        <w:rPr>
          <w:rFonts w:cs="David"/>
          <w:b/>
          <w:bCs/>
          <w:sz w:val="20"/>
          <w:szCs w:val="20"/>
          <w:rtl/>
        </w:rPr>
        <w:t xml:space="preserve">. </w:t>
      </w:r>
    </w:p>
    <w:p w:rsidR="005366A8" w:rsidRPr="00947E0F" w:rsidRDefault="005366A8" w:rsidP="005366A8">
      <w:pPr>
        <w:ind w:left="720"/>
        <w:rPr>
          <w:rFonts w:cs="David"/>
          <w:b/>
          <w:bCs/>
          <w:sz w:val="20"/>
          <w:szCs w:val="20"/>
          <w:rtl/>
        </w:rPr>
      </w:pPr>
      <w:r w:rsidRPr="00947E0F">
        <w:rPr>
          <w:rFonts w:cs="David"/>
          <w:b/>
          <w:bCs/>
          <w:sz w:val="20"/>
          <w:szCs w:val="20"/>
          <w:rtl/>
        </w:rPr>
        <w:t xml:space="preserve">8. </w:t>
      </w:r>
      <w:r w:rsidRPr="00947E0F">
        <w:rPr>
          <w:rFonts w:cs="David" w:hint="cs"/>
          <w:b/>
          <w:bCs/>
          <w:sz w:val="20"/>
          <w:szCs w:val="20"/>
          <w:rtl/>
        </w:rPr>
        <w:t>["פסקת ההגבלה"]</w:t>
      </w:r>
    </w:p>
    <w:p w:rsidR="005366A8" w:rsidRDefault="005366A8" w:rsidP="005366A8">
      <w:pPr>
        <w:ind w:left="1440"/>
        <w:rPr>
          <w:rFonts w:cs="David"/>
          <w:b/>
          <w:bCs/>
          <w:sz w:val="20"/>
          <w:szCs w:val="20"/>
          <w:rtl/>
        </w:rPr>
      </w:pPr>
      <w:r w:rsidRPr="001730FC">
        <w:rPr>
          <w:rFonts w:cs="David"/>
          <w:b/>
          <w:bCs/>
          <w:sz w:val="20"/>
          <w:szCs w:val="20"/>
          <w:highlight w:val="yellow"/>
          <w:rtl/>
        </w:rPr>
        <w:t>אין פוגעים בזכויות שלפי חוק-יסוד זה אלא</w:t>
      </w:r>
      <w:r w:rsidRPr="00947E0F">
        <w:rPr>
          <w:rFonts w:cs="David"/>
          <w:b/>
          <w:bCs/>
          <w:sz w:val="20"/>
          <w:szCs w:val="20"/>
          <w:rtl/>
        </w:rPr>
        <w:t xml:space="preserve"> בחוק ההולם את </w:t>
      </w:r>
      <w:r w:rsidRPr="00947E0F">
        <w:rPr>
          <w:rFonts w:cs="David"/>
          <w:b/>
          <w:bCs/>
          <w:sz w:val="20"/>
          <w:szCs w:val="20"/>
          <w:highlight w:val="yellow"/>
          <w:rtl/>
        </w:rPr>
        <w:t>ערכיה של מדינת ישראל</w:t>
      </w:r>
      <w:r w:rsidRPr="00947E0F">
        <w:rPr>
          <w:rFonts w:cs="David"/>
          <w:b/>
          <w:bCs/>
          <w:sz w:val="20"/>
          <w:szCs w:val="20"/>
          <w:rtl/>
        </w:rPr>
        <w:t>, שנועד לתכלית ראויה, ובמידה שאינה עולה על הנדרש או לפי חוק כאמור מכוח הסמכה מפורשת בו.</w:t>
      </w:r>
    </w:p>
    <w:p w:rsidR="005366A8" w:rsidRDefault="005366A8" w:rsidP="005366A8">
      <w:pPr>
        <w:rPr>
          <w:rFonts w:cs="David"/>
          <w:b/>
          <w:bCs/>
          <w:sz w:val="20"/>
          <w:szCs w:val="20"/>
          <w:rtl/>
        </w:rPr>
      </w:pPr>
    </w:p>
    <w:p w:rsidR="005366A8" w:rsidRPr="00C86422" w:rsidRDefault="005366A8" w:rsidP="005366A8">
      <w:pPr>
        <w:rPr>
          <w:sz w:val="20"/>
          <w:szCs w:val="20"/>
          <w:rtl/>
        </w:rPr>
      </w:pPr>
      <w:r w:rsidRPr="00C86422">
        <w:rPr>
          <w:sz w:val="20"/>
          <w:szCs w:val="20"/>
          <w:rtl/>
        </w:rPr>
        <w:t xml:space="preserve">בכל זה נדון בהרחבה כשנסיים את הפרק </w:t>
      </w:r>
      <w:r>
        <w:rPr>
          <w:rFonts w:hint="cs"/>
          <w:sz w:val="20"/>
          <w:szCs w:val="20"/>
          <w:rtl/>
        </w:rPr>
        <w:t>הנוכחי, הקצר יחסית,</w:t>
      </w:r>
      <w:r w:rsidRPr="00C86422">
        <w:rPr>
          <w:sz w:val="20"/>
          <w:szCs w:val="20"/>
          <w:rtl/>
        </w:rPr>
        <w:t xml:space="preserve"> על החוקה המהותית</w:t>
      </w:r>
      <w:r>
        <w:rPr>
          <w:rFonts w:hint="cs"/>
          <w:sz w:val="20"/>
          <w:szCs w:val="20"/>
          <w:rtl/>
        </w:rPr>
        <w:t>.</w:t>
      </w:r>
    </w:p>
    <w:p w:rsidR="005366A8" w:rsidRDefault="005366A8" w:rsidP="005366A8">
      <w:pPr>
        <w:rPr>
          <w:szCs w:val="22"/>
          <w:rtl/>
        </w:rPr>
      </w:pPr>
      <w:r>
        <w:rPr>
          <w:rFonts w:hint="cs"/>
          <w:szCs w:val="22"/>
          <w:rtl/>
        </w:rPr>
        <w:t>=-=</w:t>
      </w:r>
    </w:p>
    <w:p w:rsidR="005366A8" w:rsidRDefault="005366A8" w:rsidP="005366A8">
      <w:pPr>
        <w:rPr>
          <w:szCs w:val="22"/>
          <w:rtl/>
        </w:rPr>
      </w:pPr>
    </w:p>
    <w:p w:rsidR="005366A8" w:rsidRDefault="005366A8" w:rsidP="005366A8">
      <w:pPr>
        <w:rPr>
          <w:szCs w:val="22"/>
          <w:rtl/>
        </w:rPr>
      </w:pPr>
    </w:p>
    <w:p w:rsidR="005366A8" w:rsidRPr="00C86422" w:rsidRDefault="005366A8" w:rsidP="005366A8">
      <w:pPr>
        <w:spacing w:after="60" w:line="276" w:lineRule="auto"/>
        <w:rPr>
          <w:rFonts w:ascii="Arial" w:hAnsi="Arial" w:cs="Arial"/>
          <w:b/>
          <w:bCs/>
          <w:sz w:val="20"/>
          <w:szCs w:val="20"/>
          <w:u w:val="single"/>
          <w:rtl/>
        </w:rPr>
      </w:pPr>
      <w:r w:rsidRPr="003414A7">
        <w:rPr>
          <w:rFonts w:ascii="Arial" w:hAnsi="Arial" w:cs="David"/>
          <w:b/>
          <w:bCs/>
          <w:sz w:val="20"/>
          <w:szCs w:val="20"/>
          <w:highlight w:val="green"/>
          <w:rtl/>
        </w:rPr>
        <w:t>לפגישה הקרובה</w:t>
      </w:r>
      <w:r>
        <w:rPr>
          <w:rFonts w:ascii="Arial" w:hAnsi="Arial" w:cs="David" w:hint="cs"/>
          <w:b/>
          <w:bCs/>
          <w:sz w:val="20"/>
          <w:szCs w:val="20"/>
          <w:highlight w:val="green"/>
          <w:rtl/>
        </w:rPr>
        <w:t>, שהיא פגישת ההשלמה של יום שלישי הקרוב</w:t>
      </w:r>
      <w:r w:rsidRPr="003414A7">
        <w:rPr>
          <w:rFonts w:ascii="Arial" w:hAnsi="Arial" w:cs="David"/>
          <w:b/>
          <w:bCs/>
          <w:sz w:val="20"/>
          <w:szCs w:val="20"/>
          <w:highlight w:val="green"/>
          <w:rtl/>
        </w:rPr>
        <w:t>:</w:t>
      </w:r>
      <w:r w:rsidRPr="00855DEA">
        <w:rPr>
          <w:rFonts w:cs="David" w:hint="cs"/>
          <w:sz w:val="20"/>
          <w:szCs w:val="20"/>
          <w:rtl/>
        </w:rPr>
        <w:t xml:space="preserve"> </w:t>
      </w:r>
      <w:r w:rsidRPr="00C86422">
        <w:rPr>
          <w:rFonts w:ascii="Arial" w:hAnsi="Arial" w:cs="Arial"/>
          <w:sz w:val="20"/>
          <w:szCs w:val="20"/>
          <w:rtl/>
        </w:rPr>
        <w:t>אנא קראו את פסקי הדין הבאים:</w:t>
      </w:r>
    </w:p>
    <w:p w:rsidR="005366A8" w:rsidRDefault="005366A8" w:rsidP="005366A8">
      <w:pPr>
        <w:spacing w:line="276" w:lineRule="auto"/>
        <w:rPr>
          <w:rtl/>
        </w:rPr>
      </w:pPr>
    </w:p>
    <w:p w:rsidR="005366A8" w:rsidRDefault="005366A8" w:rsidP="005366A8">
      <w:pPr>
        <w:jc w:val="left"/>
        <w:rPr>
          <w:sz w:val="22"/>
          <w:szCs w:val="22"/>
          <w:rtl/>
        </w:rPr>
      </w:pPr>
    </w:p>
    <w:p w:rsidR="005366A8" w:rsidRDefault="005366A8" w:rsidP="005366A8">
      <w:pPr>
        <w:jc w:val="left"/>
        <w:rPr>
          <w:sz w:val="22"/>
          <w:szCs w:val="22"/>
          <w:rtl/>
        </w:rPr>
      </w:pPr>
    </w:p>
    <w:p w:rsidR="005366A8" w:rsidRDefault="005366A8" w:rsidP="005366A8">
      <w:pPr>
        <w:jc w:val="right"/>
        <w:rPr>
          <w:rtl/>
        </w:rPr>
      </w:pPr>
      <w:r w:rsidRPr="007F6E4F">
        <w:rPr>
          <w:rFonts w:hint="cs"/>
          <w:b/>
          <w:bCs/>
          <w:sz w:val="22"/>
          <w:szCs w:val="22"/>
          <w:rtl/>
        </w:rPr>
        <w:t>משפט ציבורי</w:t>
      </w:r>
      <w:r>
        <w:rPr>
          <w:rFonts w:hint="cs"/>
          <w:sz w:val="22"/>
          <w:szCs w:val="22"/>
          <w:rtl/>
        </w:rPr>
        <w:t xml:space="preserve">, </w:t>
      </w:r>
      <w:r w:rsidRPr="00C4131E">
        <w:rPr>
          <w:rFonts w:hint="cs"/>
          <w:i/>
          <w:iCs/>
          <w:sz w:val="22"/>
          <w:szCs w:val="22"/>
          <w:rtl/>
        </w:rPr>
        <w:t>תשע"</w:t>
      </w:r>
      <w:r>
        <w:rPr>
          <w:rFonts w:hint="cs"/>
          <w:i/>
          <w:iCs/>
          <w:sz w:val="22"/>
          <w:szCs w:val="22"/>
          <w:rtl/>
        </w:rPr>
        <w:t>ה</w:t>
      </w:r>
      <w:r>
        <w:rPr>
          <w:rFonts w:hint="cs"/>
          <w:sz w:val="22"/>
          <w:szCs w:val="22"/>
          <w:rtl/>
        </w:rPr>
        <w:t xml:space="preserve">, </w:t>
      </w:r>
      <w:r w:rsidRPr="007F6E4F">
        <w:rPr>
          <w:rFonts w:hint="cs"/>
          <w:b/>
          <w:bCs/>
          <w:sz w:val="22"/>
          <w:szCs w:val="22"/>
          <w:rtl/>
        </w:rPr>
        <w:t>סמסטר א',</w:t>
      </w:r>
      <w:r>
        <w:rPr>
          <w:rFonts w:hint="cs"/>
          <w:sz w:val="22"/>
          <w:szCs w:val="22"/>
          <w:rtl/>
        </w:rPr>
        <w:t xml:space="preserve"> ד"ר אילן סבן, נובמבר 2014, </w:t>
      </w:r>
      <w:r w:rsidRPr="005366A8">
        <w:rPr>
          <w:rFonts w:hint="cs"/>
          <w:b/>
          <w:bCs/>
          <w:i/>
          <w:iCs/>
          <w:sz w:val="22"/>
          <w:szCs w:val="22"/>
          <w:highlight w:val="magenta"/>
          <w:u w:val="single"/>
          <w:rtl/>
        </w:rPr>
        <w:t>פגישה 5</w:t>
      </w:r>
    </w:p>
    <w:p w:rsidR="005366A8" w:rsidRDefault="005366A8" w:rsidP="005366A8">
      <w:pPr>
        <w:rPr>
          <w:rtl/>
        </w:rPr>
      </w:pPr>
    </w:p>
    <w:p w:rsidR="005366A8" w:rsidRDefault="005366A8" w:rsidP="005366A8">
      <w:pPr>
        <w:jc w:val="center"/>
        <w:rPr>
          <w:b/>
          <w:bCs/>
          <w:sz w:val="32"/>
          <w:szCs w:val="32"/>
          <w:rtl/>
        </w:rPr>
      </w:pPr>
      <w:r>
        <w:rPr>
          <w:rFonts w:hint="cs"/>
          <w:b/>
          <w:bCs/>
          <w:sz w:val="32"/>
          <w:szCs w:val="32"/>
          <w:rtl/>
        </w:rPr>
        <w:t xml:space="preserve">החוקה המהותית של ישראל: </w:t>
      </w:r>
    </w:p>
    <w:p w:rsidR="005366A8" w:rsidRDefault="005366A8" w:rsidP="005366A8">
      <w:pPr>
        <w:jc w:val="center"/>
        <w:rPr>
          <w:b/>
          <w:bCs/>
          <w:sz w:val="32"/>
          <w:szCs w:val="32"/>
          <w:rtl/>
        </w:rPr>
      </w:pPr>
      <w:r>
        <w:rPr>
          <w:rFonts w:hint="cs"/>
          <w:b/>
          <w:bCs/>
          <w:sz w:val="32"/>
          <w:szCs w:val="32"/>
          <w:rtl/>
        </w:rPr>
        <w:t>מקורותיה, תכניה, משמעותה המשפטית</w:t>
      </w:r>
    </w:p>
    <w:p w:rsidR="005366A8" w:rsidRDefault="005366A8" w:rsidP="005366A8">
      <w:pPr>
        <w:rPr>
          <w:b/>
          <w:bCs/>
          <w:rtl/>
        </w:rPr>
      </w:pPr>
    </w:p>
    <w:p w:rsidR="005366A8" w:rsidRDefault="005366A8" w:rsidP="005366A8">
      <w:pPr>
        <w:spacing w:after="120"/>
        <w:rPr>
          <w:b/>
          <w:bCs/>
          <w:rtl/>
        </w:rPr>
      </w:pPr>
      <w:r w:rsidRPr="00C83F76">
        <w:rPr>
          <w:rFonts w:hint="cs"/>
          <w:b/>
          <w:bCs/>
          <w:rtl/>
        </w:rPr>
        <w:t>א.</w:t>
      </w:r>
      <w:r w:rsidRPr="00C83F76">
        <w:rPr>
          <w:rFonts w:hint="cs"/>
          <w:b/>
          <w:bCs/>
          <w:u w:val="single"/>
          <w:rtl/>
        </w:rPr>
        <w:t xml:space="preserve"> </w:t>
      </w:r>
      <w:r w:rsidRPr="00901C8D">
        <w:rPr>
          <w:rFonts w:hint="cs"/>
          <w:b/>
          <w:bCs/>
          <w:highlight w:val="yellow"/>
          <w:u w:val="single"/>
          <w:rtl/>
        </w:rPr>
        <w:t>מקור מרכזי של החוקה המהותית</w:t>
      </w:r>
      <w:r>
        <w:rPr>
          <w:rFonts w:hint="cs"/>
          <w:b/>
          <w:bCs/>
          <w:u w:val="single"/>
          <w:rtl/>
        </w:rPr>
        <w:t xml:space="preserve"> היא</w:t>
      </w:r>
      <w:r w:rsidRPr="006D7BE6">
        <w:rPr>
          <w:rFonts w:hint="cs"/>
          <w:rtl/>
        </w:rPr>
        <w:t xml:space="preserve"> "</w:t>
      </w:r>
      <w:r w:rsidRPr="00585CD0">
        <w:rPr>
          <w:rFonts w:hint="cs"/>
          <w:b/>
          <w:bCs/>
          <w:highlight w:val="yellow"/>
          <w:rtl/>
        </w:rPr>
        <w:t>מגילת העצמאות</w:t>
      </w:r>
      <w:r>
        <w:rPr>
          <w:rFonts w:hint="cs"/>
          <w:b/>
          <w:bCs/>
          <w:rtl/>
        </w:rPr>
        <w:t xml:space="preserve">" </w:t>
      </w:r>
      <w:r>
        <w:rPr>
          <w:b/>
          <w:bCs/>
          <w:rtl/>
        </w:rPr>
        <w:t>–</w:t>
      </w:r>
      <w:r>
        <w:rPr>
          <w:rFonts w:hint="cs"/>
          <w:b/>
          <w:bCs/>
          <w:rtl/>
        </w:rPr>
        <w:t xml:space="preserve"> מהם </w:t>
      </w:r>
      <w:r w:rsidRPr="006D7BE6">
        <w:rPr>
          <w:rFonts w:hint="cs"/>
          <w:b/>
          <w:bCs/>
          <w:u w:val="single"/>
          <w:rtl/>
        </w:rPr>
        <w:t>תכניה העיקריים של המגילה</w:t>
      </w:r>
      <w:r>
        <w:rPr>
          <w:rFonts w:hint="cs"/>
          <w:b/>
          <w:bCs/>
          <w:u w:val="single"/>
          <w:rtl/>
        </w:rPr>
        <w:t>?</w:t>
      </w:r>
    </w:p>
    <w:p w:rsidR="005366A8" w:rsidRPr="006D7BE6" w:rsidRDefault="005366A8" w:rsidP="005366A8">
      <w:pPr>
        <w:spacing w:after="120"/>
        <w:ind w:left="720"/>
        <w:rPr>
          <w:rFonts w:cs="Guttman-Soncino"/>
          <w:b/>
          <w:bCs/>
          <w:sz w:val="22"/>
          <w:szCs w:val="22"/>
          <w:rtl/>
        </w:rPr>
      </w:pPr>
      <w:r w:rsidRPr="002C3B2F">
        <w:rPr>
          <w:rFonts w:asciiTheme="majorBidi" w:hAnsiTheme="majorBidi" w:cstheme="majorBidi"/>
          <w:b/>
          <w:bCs/>
          <w:rtl/>
        </w:rPr>
        <w:t>^</w:t>
      </w:r>
      <w:r w:rsidRPr="002C3B2F">
        <w:rPr>
          <w:rFonts w:cs="Guttman-Soncino" w:hint="cs"/>
          <w:b/>
          <w:bCs/>
          <w:sz w:val="22"/>
          <w:szCs w:val="22"/>
          <w:rtl/>
        </w:rPr>
        <w:t xml:space="preserve"> </w:t>
      </w:r>
      <w:r w:rsidRPr="006D7BE6">
        <w:rPr>
          <w:rFonts w:cs="Guttman-Soncino" w:hint="cs"/>
          <w:b/>
          <w:bCs/>
          <w:sz w:val="22"/>
          <w:szCs w:val="22"/>
          <w:highlight w:val="yellow"/>
          <w:rtl/>
        </w:rPr>
        <w:t>"</w:t>
      </w:r>
      <w:r w:rsidRPr="006D7BE6">
        <w:rPr>
          <w:rFonts w:cs="Guttman-Soncino"/>
          <w:b/>
          <w:bCs/>
          <w:sz w:val="22"/>
          <w:szCs w:val="22"/>
          <w:highlight w:val="yellow"/>
          <w:rtl/>
        </w:rPr>
        <w:t>הקמת מדינה יהודית בארץ-ישראל, היא מדינת ישראל</w:t>
      </w:r>
      <w:r w:rsidRPr="006D7BE6">
        <w:rPr>
          <w:rFonts w:cs="Guttman-Soncino" w:hint="cs"/>
          <w:b/>
          <w:bCs/>
          <w:sz w:val="22"/>
          <w:szCs w:val="22"/>
          <w:highlight w:val="yellow"/>
          <w:rtl/>
        </w:rPr>
        <w:t>"</w:t>
      </w:r>
    </w:p>
    <w:p w:rsidR="005366A8" w:rsidRDefault="005366A8" w:rsidP="005366A8">
      <w:pPr>
        <w:spacing w:after="60"/>
        <w:ind w:left="720"/>
        <w:rPr>
          <w:b/>
          <w:bCs/>
          <w:rtl/>
        </w:rPr>
      </w:pPr>
      <w:r>
        <w:rPr>
          <w:rFonts w:hint="cs"/>
          <w:b/>
          <w:bCs/>
          <w:rtl/>
        </w:rPr>
        <w:t>^</w:t>
      </w:r>
      <w:r w:rsidRPr="006E6A3A">
        <w:rPr>
          <w:rFonts w:hint="cs"/>
          <w:b/>
          <w:bCs/>
          <w:rtl/>
        </w:rPr>
        <w:t xml:space="preserve"> </w:t>
      </w:r>
      <w:r w:rsidRPr="006E6A3A">
        <w:rPr>
          <w:rFonts w:hint="cs"/>
          <w:b/>
          <w:bCs/>
          <w:highlight w:val="yellow"/>
          <w:rtl/>
        </w:rPr>
        <w:t>יסודות משטריים דמוקרטיים</w:t>
      </w:r>
      <w:r w:rsidRPr="006E6A3A">
        <w:rPr>
          <w:rFonts w:hint="cs"/>
          <w:b/>
          <w:bCs/>
          <w:rtl/>
        </w:rPr>
        <w:t xml:space="preserve"> </w:t>
      </w:r>
    </w:p>
    <w:p w:rsidR="005366A8" w:rsidRPr="006E6A3A" w:rsidRDefault="005366A8" w:rsidP="005366A8">
      <w:pPr>
        <w:ind w:left="2160" w:right="851"/>
        <w:rPr>
          <w:b/>
          <w:bCs/>
          <w:rtl/>
        </w:rPr>
      </w:pPr>
      <w:r w:rsidRPr="002C3B2F">
        <w:rPr>
          <w:rFonts w:cs="Guttman-Soncino"/>
          <w:i/>
          <w:iCs/>
          <w:sz w:val="20"/>
          <w:szCs w:val="20"/>
          <w:rtl/>
        </w:rPr>
        <w:t xml:space="preserve">אנו קובעים שהחל מרגע סיום המנדט, הלילה, אור ליום שבת ו' אייר תש"ח, 15 במאי 1948, </w:t>
      </w:r>
      <w:r w:rsidRPr="00BC3985">
        <w:rPr>
          <w:rFonts w:cs="Guttman-Soncino"/>
          <w:i/>
          <w:iCs/>
          <w:sz w:val="20"/>
          <w:szCs w:val="20"/>
          <w:highlight w:val="yellow"/>
          <w:rtl/>
        </w:rPr>
        <w:t xml:space="preserve">ועד להקמת השלטונות הנבחרים והסדירים של המדינה בהתאם לחוקה שתיקבע על-ידי האספה המכוננת הנבחרת לא יאוחר מ-1 באוקטובר 1948 - תפעל מועצת העם כמועצת מדינה זמנית, ומוסד הביצוע שלה, מנהלת-העם, יהווה את הממשלה הזמנית </w:t>
      </w:r>
      <w:r w:rsidRPr="002C3B2F">
        <w:rPr>
          <w:rFonts w:cs="Guttman-Soncino"/>
          <w:i/>
          <w:iCs/>
          <w:sz w:val="20"/>
          <w:szCs w:val="20"/>
          <w:rtl/>
        </w:rPr>
        <w:t>של המדינה היהודית, אשר תיקרא בשם ישראל.</w:t>
      </w:r>
    </w:p>
    <w:p w:rsidR="005366A8" w:rsidRDefault="005366A8" w:rsidP="005366A8">
      <w:pPr>
        <w:spacing w:after="60"/>
        <w:ind w:left="1440"/>
        <w:rPr>
          <w:rtl/>
        </w:rPr>
      </w:pPr>
      <w:r>
        <w:rPr>
          <w:rFonts w:hint="cs"/>
          <w:rtl/>
        </w:rPr>
        <w:t>"דמוקרטיה ייצוגית" (פרלמנטרית)</w:t>
      </w:r>
    </w:p>
    <w:p w:rsidR="005366A8" w:rsidRDefault="005366A8" w:rsidP="005366A8">
      <w:pPr>
        <w:spacing w:after="120"/>
        <w:ind w:left="1440"/>
        <w:rPr>
          <w:rtl/>
        </w:rPr>
      </w:pPr>
      <w:r>
        <w:rPr>
          <w:rFonts w:hint="cs"/>
          <w:rtl/>
        </w:rPr>
        <w:t>(שאמורה להיות) "דמוקרטיה חוקתית"</w:t>
      </w:r>
    </w:p>
    <w:p w:rsidR="005366A8" w:rsidRPr="006E6A3A" w:rsidRDefault="005366A8" w:rsidP="005366A8">
      <w:pPr>
        <w:spacing w:after="60"/>
        <w:ind w:left="720"/>
        <w:rPr>
          <w:b/>
          <w:bCs/>
          <w:rtl/>
        </w:rPr>
      </w:pPr>
      <w:r w:rsidRPr="002C3B2F">
        <w:rPr>
          <w:rFonts w:hint="cs"/>
          <w:b/>
          <w:bCs/>
          <w:rtl/>
        </w:rPr>
        <w:t xml:space="preserve">^ </w:t>
      </w:r>
      <w:r w:rsidRPr="006E6A3A">
        <w:rPr>
          <w:rFonts w:hint="cs"/>
          <w:b/>
          <w:bCs/>
          <w:highlight w:val="yellow"/>
          <w:rtl/>
        </w:rPr>
        <w:t xml:space="preserve">ערכי יסוד </w:t>
      </w:r>
      <w:r>
        <w:rPr>
          <w:rFonts w:hint="cs"/>
          <w:b/>
          <w:bCs/>
          <w:highlight w:val="yellow"/>
          <w:rtl/>
        </w:rPr>
        <w:t>דמוקרטיים ואחרים</w:t>
      </w:r>
    </w:p>
    <w:p w:rsidR="005366A8" w:rsidRPr="006E6A3A" w:rsidRDefault="005366A8" w:rsidP="005366A8">
      <w:pPr>
        <w:spacing w:after="60"/>
        <w:ind w:left="1440"/>
        <w:rPr>
          <w:rFonts w:cs="Guttman-Soncino"/>
          <w:sz w:val="20"/>
          <w:szCs w:val="20"/>
          <w:rtl/>
        </w:rPr>
      </w:pPr>
      <w:r w:rsidRPr="006E6A3A">
        <w:rPr>
          <w:rFonts w:cs="Guttman-Soncino"/>
          <w:sz w:val="20"/>
          <w:szCs w:val="20"/>
          <w:rtl/>
        </w:rPr>
        <w:t>תהא פתוחה לעליה יהודית ולקיבוץ גלויות</w:t>
      </w:r>
    </w:p>
    <w:p w:rsidR="005366A8" w:rsidRPr="006E6A3A" w:rsidRDefault="005366A8" w:rsidP="005366A8">
      <w:pPr>
        <w:ind w:left="1440"/>
        <w:rPr>
          <w:rtl/>
        </w:rPr>
      </w:pPr>
      <w:r w:rsidRPr="006E6A3A">
        <w:rPr>
          <w:rFonts w:cs="Guttman-Soncino"/>
          <w:sz w:val="20"/>
          <w:szCs w:val="20"/>
          <w:rtl/>
        </w:rPr>
        <w:t xml:space="preserve">תשקוד על פיתוח הארץ לטובת כל תושביה; תהא מושתתה על יסודות החירות, הצדק והשלום לאור חזונם של נביאי ישראל; תקיים שויון זכויות חברתי ומדיני גמור לכל אזרחיה בלי הבדל דת, גזע ומין; תבטיח חופש דת, מצפון, לשון, חינוך ותרבות; תשמור על המקומות הקדושים של כל הדתות; ותהיה נאמנה לעקרונותיה של מגילת האומות המאוחדות.  </w:t>
      </w:r>
    </w:p>
    <w:p w:rsidR="005366A8" w:rsidRDefault="005366A8" w:rsidP="005366A8">
      <w:pPr>
        <w:rPr>
          <w:b/>
          <w:bCs/>
          <w:rtl/>
        </w:rPr>
      </w:pPr>
      <w:r>
        <w:rPr>
          <w:rFonts w:hint="cs"/>
          <w:b/>
          <w:bCs/>
          <w:rtl/>
        </w:rPr>
        <w:t>=-=</w:t>
      </w:r>
    </w:p>
    <w:p w:rsidR="005366A8" w:rsidRDefault="005366A8" w:rsidP="005366A8">
      <w:pPr>
        <w:rPr>
          <w:b/>
          <w:bCs/>
          <w:rtl/>
        </w:rPr>
      </w:pPr>
    </w:p>
    <w:p w:rsidR="005366A8" w:rsidRPr="00901C8D" w:rsidRDefault="005366A8" w:rsidP="005366A8">
      <w:pPr>
        <w:rPr>
          <w:b/>
          <w:bCs/>
          <w:u w:val="single"/>
          <w:rtl/>
        </w:rPr>
      </w:pPr>
      <w:r w:rsidRPr="00C83F76">
        <w:rPr>
          <w:rFonts w:hint="cs"/>
          <w:b/>
          <w:bCs/>
          <w:rtl/>
        </w:rPr>
        <w:t>ב.</w:t>
      </w:r>
      <w:r w:rsidRPr="00C83F76">
        <w:rPr>
          <w:rFonts w:hint="cs"/>
          <w:b/>
          <w:bCs/>
          <w:u w:val="single"/>
          <w:rtl/>
        </w:rPr>
        <w:t xml:space="preserve"> </w:t>
      </w:r>
      <w:r w:rsidRPr="00901C8D">
        <w:rPr>
          <w:rFonts w:hint="cs"/>
          <w:b/>
          <w:bCs/>
          <w:highlight w:val="yellow"/>
          <w:u w:val="single"/>
          <w:rtl/>
        </w:rPr>
        <w:t>משמעויות עיקריות של החוקה המהותית</w:t>
      </w:r>
      <w:r>
        <w:rPr>
          <w:rFonts w:hint="cs"/>
          <w:b/>
          <w:bCs/>
          <w:u w:val="single"/>
          <w:rtl/>
        </w:rPr>
        <w:t>:</w:t>
      </w:r>
    </w:p>
    <w:p w:rsidR="005366A8" w:rsidRDefault="005366A8" w:rsidP="005366A8">
      <w:pPr>
        <w:rPr>
          <w:b/>
          <w:bCs/>
          <w:rtl/>
        </w:rPr>
      </w:pPr>
    </w:p>
    <w:p w:rsidR="005366A8" w:rsidRDefault="005366A8" w:rsidP="005366A8">
      <w:pPr>
        <w:spacing w:after="120"/>
        <w:ind w:left="720" w:hanging="720"/>
        <w:rPr>
          <w:b/>
          <w:bCs/>
          <w:rtl/>
        </w:rPr>
      </w:pPr>
      <w:r w:rsidRPr="00437722">
        <w:rPr>
          <w:rFonts w:hint="cs"/>
          <w:b/>
          <w:bCs/>
          <w:rtl/>
        </w:rPr>
        <w:t xml:space="preserve">ב1. </w:t>
      </w:r>
      <w:r>
        <w:rPr>
          <w:rFonts w:hint="cs"/>
          <w:b/>
          <w:bCs/>
          <w:highlight w:val="yellow"/>
          <w:rtl/>
        </w:rPr>
        <w:t>היותה בסיס/</w:t>
      </w:r>
      <w:r w:rsidRPr="0034589E">
        <w:rPr>
          <w:rFonts w:hint="cs"/>
          <w:b/>
          <w:bCs/>
          <w:highlight w:val="yellow"/>
          <w:rtl/>
        </w:rPr>
        <w:t xml:space="preserve">מקור </w:t>
      </w:r>
      <w:r w:rsidRPr="006D7BE6">
        <w:rPr>
          <w:rFonts w:hint="cs"/>
          <w:b/>
          <w:bCs/>
          <w:i/>
          <w:iCs/>
          <w:highlight w:val="yellow"/>
          <w:u w:val="single"/>
          <w:rtl/>
        </w:rPr>
        <w:t>ל"פיתוח המשפט</w:t>
      </w:r>
      <w:r w:rsidRPr="0034589E">
        <w:rPr>
          <w:rFonts w:hint="cs"/>
          <w:b/>
          <w:bCs/>
          <w:i/>
          <w:iCs/>
          <w:highlight w:val="yellow"/>
          <w:rtl/>
        </w:rPr>
        <w:t>"</w:t>
      </w:r>
      <w:r>
        <w:rPr>
          <w:rFonts w:hint="cs"/>
          <w:b/>
          <w:bCs/>
          <w:rtl/>
        </w:rPr>
        <w:t xml:space="preserve"> </w:t>
      </w:r>
    </w:p>
    <w:p w:rsidR="005366A8" w:rsidRDefault="005366A8" w:rsidP="005366A8">
      <w:pPr>
        <w:spacing w:after="120"/>
        <w:ind w:left="1440" w:hanging="720"/>
        <w:rPr>
          <w:b/>
          <w:bCs/>
          <w:rtl/>
        </w:rPr>
      </w:pPr>
      <w:r>
        <w:rPr>
          <w:rFonts w:hint="cs"/>
          <w:b/>
          <w:bCs/>
          <w:rtl/>
        </w:rPr>
        <w:t>[משמע, ליצירה או להצהרה על נורמות משפטיות במסגרת מה שקרוי "המשפט המקובל נוסח ישראל"]</w:t>
      </w:r>
    </w:p>
    <w:p w:rsidR="005366A8" w:rsidRDefault="005366A8" w:rsidP="005366A8">
      <w:pPr>
        <w:spacing w:after="120"/>
        <w:ind w:left="720"/>
        <w:rPr>
          <w:b/>
          <w:bCs/>
          <w:rtl/>
        </w:rPr>
      </w:pPr>
      <w:r w:rsidRPr="00585CD0">
        <w:rPr>
          <w:rFonts w:hint="cs"/>
          <w:highlight w:val="yellow"/>
          <w:rtl/>
        </w:rPr>
        <w:t>פס"ד</w:t>
      </w:r>
      <w:r w:rsidRPr="00585CD0">
        <w:rPr>
          <w:rFonts w:hint="cs"/>
          <w:b/>
          <w:bCs/>
          <w:highlight w:val="yellow"/>
          <w:rtl/>
        </w:rPr>
        <w:t xml:space="preserve"> </w:t>
      </w:r>
      <w:r w:rsidRPr="00901C8D">
        <w:rPr>
          <w:rFonts w:hint="cs"/>
          <w:b/>
          <w:bCs/>
          <w:highlight w:val="yellow"/>
          <w:u w:val="single"/>
          <w:rtl/>
        </w:rPr>
        <w:t>בז'רנו</w:t>
      </w:r>
      <w:r>
        <w:rPr>
          <w:rFonts w:hint="cs"/>
          <w:b/>
          <w:bCs/>
          <w:rtl/>
        </w:rPr>
        <w:t xml:space="preserve"> </w:t>
      </w:r>
    </w:p>
    <w:p w:rsidR="005366A8" w:rsidRDefault="005366A8" w:rsidP="005366A8">
      <w:pPr>
        <w:spacing w:after="60"/>
        <w:ind w:left="1440" w:right="-142"/>
        <w:rPr>
          <w:b/>
          <w:bCs/>
          <w:sz w:val="22"/>
          <w:szCs w:val="22"/>
          <w:rtl/>
        </w:rPr>
      </w:pPr>
      <w:r>
        <w:rPr>
          <w:rFonts w:hint="cs"/>
          <w:b/>
          <w:bCs/>
          <w:sz w:val="22"/>
          <w:szCs w:val="22"/>
          <w:rtl/>
        </w:rPr>
        <w:t xml:space="preserve">זיהוי ומתן הכרה </w:t>
      </w:r>
      <w:r w:rsidRPr="00F675AC">
        <w:rPr>
          <w:rFonts w:hint="cs"/>
          <w:b/>
          <w:bCs/>
          <w:sz w:val="22"/>
          <w:szCs w:val="22"/>
          <w:u w:val="single"/>
          <w:rtl/>
        </w:rPr>
        <w:t>משפטית</w:t>
      </w:r>
      <w:r>
        <w:rPr>
          <w:rFonts w:hint="cs"/>
          <w:b/>
          <w:bCs/>
          <w:sz w:val="22"/>
          <w:szCs w:val="22"/>
          <w:rtl/>
        </w:rPr>
        <w:t xml:space="preserve">  </w:t>
      </w:r>
      <w:r>
        <w:rPr>
          <w:b/>
          <w:bCs/>
          <w:sz w:val="22"/>
          <w:szCs w:val="22"/>
          <w:rtl/>
        </w:rPr>
        <w:t>–</w:t>
      </w:r>
      <w:r>
        <w:rPr>
          <w:rFonts w:hint="cs"/>
          <w:b/>
          <w:bCs/>
          <w:sz w:val="22"/>
          <w:szCs w:val="22"/>
          <w:rtl/>
        </w:rPr>
        <w:t xml:space="preserve"> בשל החוקה המהותית </w:t>
      </w:r>
      <w:r>
        <w:rPr>
          <w:b/>
          <w:bCs/>
          <w:sz w:val="22"/>
          <w:szCs w:val="22"/>
          <w:rtl/>
        </w:rPr>
        <w:t>–</w:t>
      </w:r>
      <w:r>
        <w:rPr>
          <w:rFonts w:hint="cs"/>
          <w:b/>
          <w:bCs/>
          <w:sz w:val="22"/>
          <w:szCs w:val="22"/>
          <w:rtl/>
        </w:rPr>
        <w:t xml:space="preserve"> לעקרונות יסוד שונים של החוקה המהותית:</w:t>
      </w:r>
    </w:p>
    <w:p w:rsidR="005366A8" w:rsidRPr="00015FE2" w:rsidRDefault="005366A8" w:rsidP="005366A8">
      <w:pPr>
        <w:spacing w:after="60"/>
        <w:ind w:left="2880" w:hanging="720"/>
        <w:rPr>
          <w:b/>
          <w:bCs/>
          <w:sz w:val="22"/>
          <w:szCs w:val="22"/>
          <w:rtl/>
        </w:rPr>
      </w:pPr>
      <w:r>
        <w:rPr>
          <w:rFonts w:hint="cs"/>
          <w:b/>
          <w:bCs/>
          <w:sz w:val="22"/>
          <w:szCs w:val="22"/>
          <w:rtl/>
        </w:rPr>
        <w:t>"</w:t>
      </w:r>
      <w:r w:rsidRPr="00015FE2">
        <w:rPr>
          <w:rFonts w:hint="cs"/>
          <w:b/>
          <w:bCs/>
          <w:sz w:val="22"/>
          <w:szCs w:val="22"/>
          <w:rtl/>
        </w:rPr>
        <w:t>עקרון החירות</w:t>
      </w:r>
      <w:r>
        <w:rPr>
          <w:rFonts w:hint="cs"/>
          <w:b/>
          <w:bCs/>
          <w:sz w:val="22"/>
          <w:szCs w:val="22"/>
          <w:rtl/>
        </w:rPr>
        <w:t xml:space="preserve">": </w:t>
      </w:r>
      <w:r w:rsidRPr="00585CD0">
        <w:rPr>
          <w:rFonts w:hint="cs"/>
          <w:sz w:val="22"/>
          <w:szCs w:val="22"/>
          <w:rtl/>
        </w:rPr>
        <w:t>אדם יכול לעשות כל שביכולתו לעשות</w:t>
      </w:r>
      <w:r>
        <w:rPr>
          <w:rFonts w:hint="cs"/>
          <w:sz w:val="22"/>
          <w:szCs w:val="22"/>
          <w:rtl/>
        </w:rPr>
        <w:t>,</w:t>
      </w:r>
      <w:r w:rsidRPr="00585CD0">
        <w:rPr>
          <w:rFonts w:hint="cs"/>
          <w:sz w:val="22"/>
          <w:szCs w:val="22"/>
          <w:rtl/>
        </w:rPr>
        <w:t xml:space="preserve"> </w:t>
      </w:r>
      <w:r>
        <w:rPr>
          <w:rFonts w:hint="cs"/>
          <w:sz w:val="22"/>
          <w:szCs w:val="22"/>
          <w:rtl/>
        </w:rPr>
        <w:t>אלא</w:t>
      </w:r>
      <w:r w:rsidRPr="00585CD0">
        <w:rPr>
          <w:rFonts w:hint="cs"/>
          <w:sz w:val="22"/>
          <w:szCs w:val="22"/>
          <w:rtl/>
        </w:rPr>
        <w:t xml:space="preserve"> אם העשייה (או אי-העשייה) נאסר</w:t>
      </w:r>
      <w:r>
        <w:rPr>
          <w:rFonts w:hint="cs"/>
          <w:sz w:val="22"/>
          <w:szCs w:val="22"/>
          <w:rtl/>
        </w:rPr>
        <w:t>ה</w:t>
      </w:r>
      <w:r w:rsidRPr="00585CD0">
        <w:rPr>
          <w:rFonts w:hint="cs"/>
          <w:sz w:val="22"/>
          <w:szCs w:val="22"/>
          <w:rtl/>
        </w:rPr>
        <w:t xml:space="preserve"> עליו בדין</w:t>
      </w:r>
      <w:r>
        <w:rPr>
          <w:rFonts w:hint="cs"/>
          <w:sz w:val="22"/>
          <w:szCs w:val="22"/>
          <w:rtl/>
        </w:rPr>
        <w:t xml:space="preserve">. </w:t>
      </w:r>
      <w:r w:rsidRPr="00585CD0">
        <w:rPr>
          <w:rFonts w:hint="cs"/>
          <w:sz w:val="22"/>
          <w:szCs w:val="22"/>
          <w:rtl/>
        </w:rPr>
        <w:t xml:space="preserve">קונקרטית מדבר בית המשפט </w:t>
      </w:r>
      <w:r>
        <w:rPr>
          <w:rFonts w:hint="cs"/>
          <w:sz w:val="22"/>
          <w:szCs w:val="22"/>
          <w:rtl/>
        </w:rPr>
        <w:t xml:space="preserve">כאן </w:t>
      </w:r>
      <w:r w:rsidRPr="00585CD0">
        <w:rPr>
          <w:rFonts w:hint="cs"/>
          <w:sz w:val="22"/>
          <w:szCs w:val="22"/>
          <w:rtl/>
        </w:rPr>
        <w:t>על פעולה בגדר זכויותיו הטבעיות של האדם (ו</w:t>
      </w:r>
      <w:r>
        <w:rPr>
          <w:rFonts w:hint="cs"/>
          <w:sz w:val="22"/>
          <w:szCs w:val="22"/>
          <w:rtl/>
        </w:rPr>
        <w:t>בעניינו של בז'רנו</w:t>
      </w:r>
      <w:r w:rsidRPr="00585CD0">
        <w:rPr>
          <w:rFonts w:hint="cs"/>
          <w:sz w:val="22"/>
          <w:szCs w:val="22"/>
          <w:rtl/>
        </w:rPr>
        <w:t>, חופש העיסוק);</w:t>
      </w:r>
    </w:p>
    <w:p w:rsidR="005366A8" w:rsidRDefault="005366A8" w:rsidP="005366A8">
      <w:pPr>
        <w:spacing w:after="60"/>
        <w:ind w:left="2160"/>
        <w:rPr>
          <w:sz w:val="22"/>
          <w:szCs w:val="22"/>
          <w:rtl/>
        </w:rPr>
      </w:pPr>
      <w:r>
        <w:rPr>
          <w:rFonts w:hint="cs"/>
          <w:b/>
          <w:bCs/>
          <w:sz w:val="22"/>
          <w:szCs w:val="22"/>
          <w:rtl/>
        </w:rPr>
        <w:t>"</w:t>
      </w:r>
      <w:r w:rsidRPr="00015FE2">
        <w:rPr>
          <w:rFonts w:hint="cs"/>
          <w:b/>
          <w:bCs/>
          <w:sz w:val="22"/>
          <w:szCs w:val="22"/>
          <w:rtl/>
        </w:rPr>
        <w:t>עקרון החוקיות</w:t>
      </w:r>
      <w:r>
        <w:rPr>
          <w:rFonts w:hint="cs"/>
          <w:b/>
          <w:bCs/>
          <w:sz w:val="22"/>
          <w:szCs w:val="22"/>
          <w:rtl/>
        </w:rPr>
        <w:t xml:space="preserve">": </w:t>
      </w:r>
      <w:r w:rsidRPr="00585CD0">
        <w:rPr>
          <w:rFonts w:hint="cs"/>
          <w:sz w:val="22"/>
          <w:szCs w:val="22"/>
          <w:rtl/>
        </w:rPr>
        <w:t>רשות שלטונית אין לה אלא מה שהוענק לה בדין.</w:t>
      </w:r>
    </w:p>
    <w:p w:rsidR="005366A8" w:rsidRPr="007517DF" w:rsidRDefault="005366A8" w:rsidP="005366A8">
      <w:pPr>
        <w:spacing w:after="60"/>
        <w:ind w:left="2160"/>
        <w:rPr>
          <w:sz w:val="22"/>
          <w:szCs w:val="22"/>
          <w:rtl/>
        </w:rPr>
      </w:pPr>
      <w:r>
        <w:rPr>
          <w:rFonts w:hint="cs"/>
          <w:b/>
          <w:bCs/>
          <w:sz w:val="22"/>
          <w:szCs w:val="22"/>
          <w:rtl/>
        </w:rPr>
        <w:t xml:space="preserve">ההכרה "בזכויות הטבעיות" של האדם (זכויות היסוד) </w:t>
      </w:r>
      <w:r w:rsidRPr="007517DF">
        <w:rPr>
          <w:rFonts w:hint="cs"/>
          <w:sz w:val="22"/>
          <w:szCs w:val="22"/>
          <w:rtl/>
        </w:rPr>
        <w:t xml:space="preserve">כחלק ברור </w:t>
      </w:r>
      <w:r>
        <w:rPr>
          <w:rFonts w:hint="cs"/>
          <w:sz w:val="22"/>
          <w:szCs w:val="22"/>
          <w:rtl/>
        </w:rPr>
        <w:t>מה</w:t>
      </w:r>
      <w:r w:rsidRPr="007517DF">
        <w:rPr>
          <w:rFonts w:hint="cs"/>
          <w:sz w:val="22"/>
          <w:szCs w:val="22"/>
          <w:rtl/>
        </w:rPr>
        <w:t>משפט הישראלי,</w:t>
      </w:r>
    </w:p>
    <w:p w:rsidR="005366A8" w:rsidRPr="00585CD0" w:rsidRDefault="005366A8" w:rsidP="005366A8">
      <w:pPr>
        <w:spacing w:after="60"/>
        <w:ind w:left="2880"/>
        <w:rPr>
          <w:sz w:val="22"/>
          <w:szCs w:val="22"/>
          <w:rtl/>
        </w:rPr>
      </w:pPr>
      <w:r w:rsidRPr="007517DF">
        <w:rPr>
          <w:rFonts w:hint="cs"/>
          <w:sz w:val="22"/>
          <w:szCs w:val="22"/>
          <w:rtl/>
        </w:rPr>
        <w:t xml:space="preserve">ובמקביל, הכרה בכפיפותן </w:t>
      </w:r>
      <w:r>
        <w:rPr>
          <w:rFonts w:hint="cs"/>
          <w:sz w:val="22"/>
          <w:szCs w:val="22"/>
          <w:rtl/>
        </w:rPr>
        <w:t xml:space="preserve">של הזכויות </w:t>
      </w:r>
      <w:r w:rsidRPr="007517DF">
        <w:rPr>
          <w:rFonts w:hint="cs"/>
          <w:sz w:val="22"/>
          <w:szCs w:val="22"/>
          <w:rtl/>
        </w:rPr>
        <w:t>להגבלה</w:t>
      </w:r>
      <w:r>
        <w:rPr>
          <w:rFonts w:hint="cs"/>
          <w:sz w:val="22"/>
          <w:szCs w:val="22"/>
          <w:rtl/>
        </w:rPr>
        <w:t xml:space="preserve"> אפשרית</w:t>
      </w:r>
      <w:r w:rsidRPr="007517DF">
        <w:rPr>
          <w:rFonts w:hint="cs"/>
          <w:sz w:val="22"/>
          <w:szCs w:val="22"/>
          <w:rtl/>
        </w:rPr>
        <w:t xml:space="preserve">, אך </w:t>
      </w:r>
      <w:r>
        <w:rPr>
          <w:rFonts w:hint="cs"/>
          <w:sz w:val="22"/>
          <w:szCs w:val="22"/>
          <w:rtl/>
        </w:rPr>
        <w:t>כזו</w:t>
      </w:r>
      <w:r w:rsidRPr="007517DF">
        <w:rPr>
          <w:rFonts w:hint="cs"/>
          <w:sz w:val="22"/>
          <w:szCs w:val="22"/>
          <w:rtl/>
        </w:rPr>
        <w:t xml:space="preserve"> שתגיע מכוח </w:t>
      </w:r>
      <w:r>
        <w:rPr>
          <w:rFonts w:hint="cs"/>
          <w:sz w:val="22"/>
          <w:szCs w:val="22"/>
          <w:rtl/>
        </w:rPr>
        <w:t>"</w:t>
      </w:r>
      <w:r w:rsidRPr="007517DF">
        <w:rPr>
          <w:rFonts w:hint="cs"/>
          <w:sz w:val="22"/>
          <w:szCs w:val="22"/>
          <w:rtl/>
        </w:rPr>
        <w:t>חוק</w:t>
      </w:r>
      <w:r>
        <w:rPr>
          <w:rFonts w:hint="cs"/>
          <w:sz w:val="22"/>
          <w:szCs w:val="22"/>
          <w:rtl/>
        </w:rPr>
        <w:t>".</w:t>
      </w:r>
    </w:p>
    <w:p w:rsidR="005366A8" w:rsidRDefault="005366A8" w:rsidP="005366A8">
      <w:pPr>
        <w:spacing w:after="60"/>
        <w:ind w:left="1440"/>
        <w:rPr>
          <w:b/>
          <w:bCs/>
          <w:sz w:val="22"/>
          <w:szCs w:val="22"/>
          <w:rtl/>
        </w:rPr>
      </w:pPr>
      <w:r>
        <w:rPr>
          <w:rFonts w:hint="cs"/>
          <w:b/>
          <w:bCs/>
          <w:sz w:val="22"/>
          <w:szCs w:val="22"/>
          <w:rtl/>
        </w:rPr>
        <w:t>יישומם של עקרונות אלה בנסיבות המקרה:</w:t>
      </w:r>
    </w:p>
    <w:p w:rsidR="005366A8" w:rsidRPr="006E6A3A" w:rsidRDefault="005366A8" w:rsidP="005366A8">
      <w:pPr>
        <w:ind w:left="2160"/>
        <w:rPr>
          <w:sz w:val="22"/>
          <w:szCs w:val="22"/>
          <w:rtl/>
        </w:rPr>
      </w:pPr>
      <w:r>
        <w:rPr>
          <w:rFonts w:hint="cs"/>
          <w:sz w:val="22"/>
          <w:szCs w:val="22"/>
          <w:rtl/>
        </w:rPr>
        <w:t>משרד התחבורה לא הצביע על סמכות (מפורשת או משתמעת) בחוק להגביל את כניסתם ופעילותם של 'המאעכרים' במשרד הרישוי, ולכן הגבלתו בטלה.</w:t>
      </w:r>
    </w:p>
    <w:p w:rsidR="005366A8" w:rsidRPr="0061085E" w:rsidRDefault="005366A8" w:rsidP="005366A8">
      <w:pPr>
        <w:rPr>
          <w:rtl/>
        </w:rPr>
      </w:pPr>
    </w:p>
    <w:p w:rsidR="005366A8" w:rsidRPr="006D7BE6" w:rsidRDefault="005366A8" w:rsidP="005366A8">
      <w:pPr>
        <w:spacing w:after="120"/>
        <w:rPr>
          <w:b/>
          <w:bCs/>
          <w:u w:val="single"/>
          <w:rtl/>
        </w:rPr>
      </w:pPr>
      <w:r w:rsidRPr="00437722">
        <w:rPr>
          <w:rFonts w:hint="cs"/>
          <w:b/>
          <w:bCs/>
          <w:rtl/>
        </w:rPr>
        <w:t xml:space="preserve">ב2. </w:t>
      </w:r>
      <w:r w:rsidRPr="0034589E">
        <w:rPr>
          <w:rFonts w:hint="cs"/>
          <w:b/>
          <w:bCs/>
          <w:highlight w:val="yellow"/>
          <w:rtl/>
        </w:rPr>
        <w:t xml:space="preserve">היותה של החוקה המהותית יסוד חשוב מאד בפעולת </w:t>
      </w:r>
      <w:r w:rsidRPr="006D7BE6">
        <w:rPr>
          <w:rFonts w:hint="cs"/>
          <w:b/>
          <w:bCs/>
          <w:i/>
          <w:iCs/>
          <w:highlight w:val="yellow"/>
          <w:u w:val="single"/>
          <w:rtl/>
        </w:rPr>
        <w:t xml:space="preserve">הפרשנות </w:t>
      </w:r>
      <w:r w:rsidRPr="006D7BE6">
        <w:rPr>
          <w:rFonts w:hint="cs"/>
          <w:b/>
          <w:bCs/>
          <w:highlight w:val="yellow"/>
          <w:u w:val="single"/>
          <w:rtl/>
        </w:rPr>
        <w:t>של הדין</w:t>
      </w:r>
    </w:p>
    <w:p w:rsidR="005366A8" w:rsidRPr="00015FE2" w:rsidRDefault="005366A8" w:rsidP="005366A8">
      <w:pPr>
        <w:rPr>
          <w:b/>
          <w:bCs/>
          <w:rtl/>
        </w:rPr>
      </w:pPr>
    </w:p>
    <w:p w:rsidR="005366A8" w:rsidRPr="00B601A1" w:rsidRDefault="005366A8" w:rsidP="005366A8">
      <w:pPr>
        <w:spacing w:after="120"/>
        <w:jc w:val="center"/>
        <w:rPr>
          <w:rtl/>
        </w:rPr>
      </w:pPr>
      <w:r w:rsidRPr="00901C8D">
        <w:rPr>
          <w:highlight w:val="yellow"/>
          <w:rtl/>
        </w:rPr>
        <w:t>בג"צ 73/53; 87/53</w:t>
      </w:r>
      <w:r w:rsidRPr="00585CD0">
        <w:rPr>
          <w:highlight w:val="yellow"/>
          <w:u w:val="single"/>
          <w:rtl/>
        </w:rPr>
        <w:t xml:space="preserve"> </w:t>
      </w:r>
      <w:r w:rsidRPr="00585CD0">
        <w:rPr>
          <w:b/>
          <w:bCs/>
          <w:highlight w:val="yellow"/>
          <w:u w:val="single"/>
          <w:rtl/>
        </w:rPr>
        <w:t>חברת "קול העם" בע"מ; עתון "אל אתיחאד" נ' שר הפנים</w:t>
      </w:r>
      <w:r w:rsidRPr="00901C8D">
        <w:rPr>
          <w:highlight w:val="yellow"/>
          <w:rtl/>
        </w:rPr>
        <w:t>, פ"ד ז' 871</w:t>
      </w:r>
      <w:r w:rsidRPr="00585CD0">
        <w:rPr>
          <w:rFonts w:hint="cs"/>
          <w:highlight w:val="yellow"/>
          <w:rtl/>
        </w:rPr>
        <w:t xml:space="preserve"> (1953)</w:t>
      </w:r>
      <w:r>
        <w:rPr>
          <w:rFonts w:hint="cs"/>
          <w:rtl/>
        </w:rPr>
        <w:t xml:space="preserve"> </w:t>
      </w:r>
    </w:p>
    <w:p w:rsidR="005366A8" w:rsidRPr="002F7619" w:rsidRDefault="005366A8" w:rsidP="005366A8">
      <w:pPr>
        <w:spacing w:after="120"/>
        <w:ind w:left="1440"/>
        <w:rPr>
          <w:rFonts w:cs="David"/>
          <w:b/>
          <w:bCs/>
          <w:sz w:val="20"/>
          <w:szCs w:val="20"/>
          <w:rtl/>
        </w:rPr>
      </w:pPr>
      <w:r>
        <w:rPr>
          <w:rFonts w:cs="David" w:hint="cs"/>
          <w:b/>
          <w:bCs/>
          <w:sz w:val="20"/>
          <w:szCs w:val="20"/>
          <w:rtl/>
        </w:rPr>
        <w:t>סגירת עיתון למספר ימים מכוח סמכות הניתנת ב</w:t>
      </w:r>
      <w:r w:rsidRPr="002F7619">
        <w:rPr>
          <w:rFonts w:cs="David"/>
          <w:b/>
          <w:bCs/>
          <w:sz w:val="20"/>
          <w:szCs w:val="20"/>
          <w:rtl/>
        </w:rPr>
        <w:t>פקודת העתונות, 1933</w:t>
      </w:r>
    </w:p>
    <w:p w:rsidR="005366A8" w:rsidRPr="0034589E" w:rsidRDefault="005366A8" w:rsidP="005366A8">
      <w:pPr>
        <w:pStyle w:val="T-body"/>
        <w:spacing w:line="240" w:lineRule="auto"/>
        <w:ind w:left="1440"/>
        <w:rPr>
          <w:rFonts w:cs="David"/>
          <w:sz w:val="22"/>
          <w:szCs w:val="22"/>
          <w:rtl/>
        </w:rPr>
      </w:pPr>
      <w:r w:rsidRPr="0034589E">
        <w:rPr>
          <w:rFonts w:cs="David" w:hint="cs"/>
          <w:sz w:val="22"/>
          <w:szCs w:val="22"/>
          <w:rtl/>
        </w:rPr>
        <w:t xml:space="preserve">19 </w:t>
      </w:r>
      <w:r w:rsidRPr="0034589E">
        <w:rPr>
          <w:rFonts w:cs="David"/>
          <w:sz w:val="22"/>
          <w:szCs w:val="22"/>
          <w:rtl/>
        </w:rPr>
        <w:t xml:space="preserve">[התראה והפסקת פרסומם של עתונים] </w:t>
      </w:r>
    </w:p>
    <w:p w:rsidR="005366A8" w:rsidRPr="0034589E" w:rsidRDefault="005366A8" w:rsidP="005366A8">
      <w:pPr>
        <w:pStyle w:val="T-body"/>
        <w:spacing w:line="240" w:lineRule="auto"/>
        <w:ind w:left="1440"/>
        <w:rPr>
          <w:rFonts w:cs="David"/>
          <w:sz w:val="22"/>
          <w:szCs w:val="22"/>
          <w:rtl/>
        </w:rPr>
      </w:pPr>
      <w:r w:rsidRPr="0034589E">
        <w:rPr>
          <w:rFonts w:cs="David"/>
          <w:sz w:val="22"/>
          <w:szCs w:val="22"/>
          <w:rtl/>
        </w:rPr>
        <w:t xml:space="preserve">(2)  בין שמסר לבעל העתון או למו"ל של העתון התראה עפ"י סעיף-קטן (1) לסעיף זה ובין שלא מסר לו התראה כזאת, </w:t>
      </w:r>
      <w:r w:rsidRPr="0034589E">
        <w:rPr>
          <w:rFonts w:cs="David"/>
          <w:b/>
          <w:bCs/>
          <w:sz w:val="22"/>
          <w:szCs w:val="22"/>
          <w:rtl/>
        </w:rPr>
        <w:t>רשאי שר הפנים עפ"י צו להפסיק במקרים דלקמן את פרסום העתון לאותה תקופה שימצא לנכון</w:t>
      </w:r>
      <w:r w:rsidRPr="0034589E">
        <w:rPr>
          <w:rFonts w:cs="David"/>
          <w:sz w:val="22"/>
          <w:szCs w:val="22"/>
          <w:rtl/>
        </w:rPr>
        <w:t>, ויפרט באותו צו את תקופת אותה הפסקה:</w:t>
      </w:r>
    </w:p>
    <w:p w:rsidR="005366A8" w:rsidRPr="0034589E" w:rsidRDefault="005366A8" w:rsidP="005366A8">
      <w:pPr>
        <w:ind w:left="2160"/>
        <w:rPr>
          <w:rFonts w:cs="David"/>
          <w:sz w:val="22"/>
          <w:szCs w:val="22"/>
          <w:rtl/>
        </w:rPr>
      </w:pPr>
      <w:r w:rsidRPr="0034589E">
        <w:rPr>
          <w:rFonts w:cs="David"/>
          <w:sz w:val="22"/>
          <w:szCs w:val="22"/>
          <w:rtl/>
        </w:rPr>
        <w:t xml:space="preserve">(א)   </w:t>
      </w:r>
      <w:r w:rsidRPr="0034589E">
        <w:rPr>
          <w:rFonts w:cs="David"/>
          <w:b/>
          <w:bCs/>
          <w:sz w:val="22"/>
          <w:szCs w:val="22"/>
          <w:rtl/>
        </w:rPr>
        <w:t>אם מתפרסם בעתון דבר העלול, לדעתו של שר הפנים, לסכן את שלום הציבור;</w:t>
      </w:r>
    </w:p>
    <w:p w:rsidR="005366A8" w:rsidRPr="0034589E" w:rsidRDefault="005366A8" w:rsidP="005366A8">
      <w:pPr>
        <w:ind w:left="2160"/>
        <w:rPr>
          <w:rFonts w:cs="David"/>
          <w:sz w:val="22"/>
          <w:szCs w:val="22"/>
          <w:rtl/>
        </w:rPr>
      </w:pPr>
      <w:r w:rsidRPr="0034589E">
        <w:rPr>
          <w:rFonts w:cs="David"/>
          <w:sz w:val="22"/>
          <w:szCs w:val="22"/>
          <w:rtl/>
        </w:rPr>
        <w:t>(ב)   אם מפרסם עתון ידיעות-שקר או שמועות-שקר שיש בהן, לדעת שר הפנים, כדי לעורר בהלה או יאוש.</w:t>
      </w:r>
    </w:p>
    <w:p w:rsidR="005366A8" w:rsidRPr="002F7619" w:rsidRDefault="005366A8" w:rsidP="005366A8">
      <w:pPr>
        <w:rPr>
          <w:sz w:val="20"/>
          <w:szCs w:val="20"/>
          <w:rtl/>
        </w:rPr>
      </w:pPr>
    </w:p>
    <w:p w:rsidR="005366A8" w:rsidRDefault="005366A8" w:rsidP="005366A8">
      <w:pPr>
        <w:ind w:left="720"/>
        <w:rPr>
          <w:sz w:val="22"/>
          <w:szCs w:val="22"/>
          <w:rtl/>
        </w:rPr>
      </w:pPr>
      <w:r>
        <w:rPr>
          <w:rFonts w:hint="cs"/>
          <w:b/>
          <w:bCs/>
          <w:sz w:val="22"/>
          <w:szCs w:val="22"/>
          <w:highlight w:val="yellow"/>
          <w:rtl/>
        </w:rPr>
        <w:t xml:space="preserve">מהלך פרשני בעל חשיבות מיוחדת (מהו המהלך, ומה חשיבותו?) </w:t>
      </w:r>
      <w:r w:rsidRPr="0034589E">
        <w:rPr>
          <w:rFonts w:hint="cs"/>
          <w:sz w:val="22"/>
          <w:szCs w:val="22"/>
          <w:highlight w:val="yellow"/>
          <w:rtl/>
        </w:rPr>
        <w:t xml:space="preserve">+ </w:t>
      </w:r>
      <w:r w:rsidRPr="0034589E">
        <w:rPr>
          <w:rFonts w:hint="cs"/>
          <w:b/>
          <w:bCs/>
          <w:sz w:val="22"/>
          <w:szCs w:val="22"/>
          <w:highlight w:val="yellow"/>
          <w:rtl/>
        </w:rPr>
        <w:t>מהלך של "פיתוח המשפט":</w:t>
      </w:r>
      <w:r>
        <w:rPr>
          <w:rFonts w:hint="cs"/>
          <w:sz w:val="22"/>
          <w:szCs w:val="22"/>
          <w:rtl/>
        </w:rPr>
        <w:t xml:space="preserve"> </w:t>
      </w:r>
    </w:p>
    <w:p w:rsidR="005366A8" w:rsidRDefault="005366A8" w:rsidP="005366A8">
      <w:pPr>
        <w:ind w:left="1440"/>
        <w:rPr>
          <w:sz w:val="22"/>
          <w:szCs w:val="22"/>
          <w:rtl/>
        </w:rPr>
      </w:pPr>
      <w:r>
        <w:rPr>
          <w:rFonts w:hint="cs"/>
          <w:sz w:val="22"/>
          <w:szCs w:val="22"/>
          <w:rtl/>
        </w:rPr>
        <w:t xml:space="preserve">הכרה מקיפה בחופש הביטוי ובמשמעותו הגדולה כל כך במדינה דמוקרטית, </w:t>
      </w:r>
    </w:p>
    <w:p w:rsidR="005366A8" w:rsidRDefault="005366A8" w:rsidP="005366A8">
      <w:pPr>
        <w:ind w:left="1440"/>
        <w:rPr>
          <w:sz w:val="22"/>
          <w:szCs w:val="22"/>
          <w:rtl/>
        </w:rPr>
      </w:pPr>
      <w:r>
        <w:rPr>
          <w:rFonts w:hint="cs"/>
          <w:sz w:val="22"/>
          <w:szCs w:val="22"/>
          <w:rtl/>
        </w:rPr>
        <w:t xml:space="preserve">הכרה זו מובילה לבחירה פרשנית באופציה לשונית אחת על פני אחרת למונח "עלול" המופיע בחוק -&gt; </w:t>
      </w:r>
    </w:p>
    <w:p w:rsidR="005366A8" w:rsidRPr="0034589E" w:rsidRDefault="005366A8" w:rsidP="005366A8">
      <w:pPr>
        <w:ind w:left="1440"/>
        <w:rPr>
          <w:sz w:val="22"/>
          <w:szCs w:val="22"/>
          <w:rtl/>
        </w:rPr>
      </w:pPr>
      <w:r>
        <w:rPr>
          <w:rFonts w:hint="cs"/>
          <w:sz w:val="22"/>
          <w:szCs w:val="22"/>
          <w:rtl/>
        </w:rPr>
        <w:t xml:space="preserve">עיצובו של </w:t>
      </w:r>
      <w:r w:rsidRPr="0034589E">
        <w:rPr>
          <w:rFonts w:hint="cs"/>
          <w:b/>
          <w:bCs/>
          <w:sz w:val="22"/>
          <w:szCs w:val="22"/>
          <w:rtl/>
        </w:rPr>
        <w:t>"מבחן איזון"</w:t>
      </w:r>
      <w:r>
        <w:rPr>
          <w:rFonts w:hint="cs"/>
          <w:sz w:val="22"/>
          <w:szCs w:val="22"/>
          <w:rtl/>
        </w:rPr>
        <w:t xml:space="preserve"> במצבי התנגשות בין ערכים: התנגשות בין ביטחון הציבור/ שלום הציבור לבין חופש הביטוי. -&gt; </w:t>
      </w:r>
      <w:r w:rsidRPr="0034589E">
        <w:rPr>
          <w:rFonts w:hint="cs"/>
          <w:b/>
          <w:bCs/>
          <w:sz w:val="22"/>
          <w:szCs w:val="22"/>
          <w:rtl/>
        </w:rPr>
        <w:t>"מבחן הוודאות הקרובה"</w:t>
      </w:r>
    </w:p>
    <w:p w:rsidR="005366A8" w:rsidRDefault="005366A8" w:rsidP="005366A8">
      <w:pPr>
        <w:rPr>
          <w:u w:val="single"/>
          <w:rtl/>
        </w:rPr>
      </w:pPr>
    </w:p>
    <w:p w:rsidR="005366A8" w:rsidRDefault="005366A8" w:rsidP="005366A8">
      <w:pPr>
        <w:rPr>
          <w:rtl/>
        </w:rPr>
      </w:pPr>
      <w:r w:rsidRPr="002B0613">
        <w:rPr>
          <w:rFonts w:hint="cs"/>
          <w:rtl/>
        </w:rPr>
        <w:t>=-=</w:t>
      </w:r>
    </w:p>
    <w:p w:rsidR="005366A8" w:rsidRDefault="005366A8" w:rsidP="005366A8">
      <w:pPr>
        <w:rPr>
          <w:rFonts w:ascii="Arial" w:hAnsi="Arial" w:cs="Arial"/>
          <w:sz w:val="22"/>
          <w:szCs w:val="22"/>
          <w:rtl/>
        </w:rPr>
      </w:pPr>
      <w:r>
        <w:rPr>
          <w:rFonts w:ascii="Arial" w:hAnsi="Arial" w:cs="Arial" w:hint="cs"/>
          <w:sz w:val="22"/>
          <w:szCs w:val="22"/>
          <w:rtl/>
        </w:rPr>
        <w:t xml:space="preserve">פס"ד מעניין וחשוב נוסף שממחיש את "פיתוח המשפט": </w:t>
      </w:r>
    </w:p>
    <w:p w:rsidR="005366A8" w:rsidRDefault="005366A8" w:rsidP="005366A8">
      <w:pPr>
        <w:ind w:left="720"/>
        <w:rPr>
          <w:rFonts w:ascii="Arial" w:hAnsi="Arial" w:cs="Arial"/>
          <w:sz w:val="22"/>
          <w:szCs w:val="22"/>
          <w:rtl/>
        </w:rPr>
      </w:pPr>
      <w:r>
        <w:rPr>
          <w:rFonts w:ascii="Arial" w:hAnsi="Arial" w:cs="Arial" w:hint="cs"/>
          <w:sz w:val="22"/>
          <w:szCs w:val="22"/>
          <w:rtl/>
        </w:rPr>
        <w:t>הכפפת הרשות המינהלית לחובה (משפטית) להימנע מאפליה</w:t>
      </w:r>
    </w:p>
    <w:p w:rsidR="005366A8" w:rsidRPr="00BB2D6C" w:rsidRDefault="005366A8" w:rsidP="005366A8">
      <w:pPr>
        <w:ind w:left="720"/>
        <w:rPr>
          <w:rFonts w:ascii="Arial" w:hAnsi="Arial" w:cs="Arial"/>
          <w:sz w:val="22"/>
          <w:szCs w:val="22"/>
          <w:rtl/>
        </w:rPr>
      </w:pPr>
    </w:p>
    <w:p w:rsidR="005366A8" w:rsidRDefault="005366A8" w:rsidP="005366A8">
      <w:pPr>
        <w:jc w:val="center"/>
        <w:rPr>
          <w:rFonts w:ascii="Arial" w:hAnsi="Arial" w:cs="Arial"/>
          <w:sz w:val="22"/>
          <w:szCs w:val="22"/>
          <w:u w:val="single"/>
          <w:rtl/>
        </w:rPr>
      </w:pPr>
      <w:r w:rsidRPr="00546D53">
        <w:rPr>
          <w:rFonts w:ascii="Arial" w:hAnsi="Arial" w:cs="Arial"/>
          <w:sz w:val="22"/>
          <w:szCs w:val="22"/>
          <w:highlight w:val="yellow"/>
          <w:rtl/>
        </w:rPr>
        <w:t xml:space="preserve">בג"צ 262/62 </w:t>
      </w:r>
      <w:r w:rsidRPr="0034589E">
        <w:rPr>
          <w:rFonts w:ascii="Arial" w:hAnsi="Arial" w:cs="Arial"/>
          <w:b/>
          <w:bCs/>
          <w:sz w:val="22"/>
          <w:szCs w:val="22"/>
          <w:highlight w:val="yellow"/>
          <w:u w:val="single"/>
          <w:rtl/>
        </w:rPr>
        <w:t>פרץ נ' כפר שמריהו</w:t>
      </w:r>
      <w:r w:rsidRPr="00546D53">
        <w:rPr>
          <w:rFonts w:ascii="Arial" w:hAnsi="Arial" w:cs="Arial"/>
          <w:b/>
          <w:bCs/>
          <w:sz w:val="22"/>
          <w:szCs w:val="22"/>
          <w:highlight w:val="yellow"/>
          <w:rtl/>
        </w:rPr>
        <w:t>,</w:t>
      </w:r>
      <w:r w:rsidRPr="00546D53">
        <w:rPr>
          <w:rFonts w:ascii="Arial" w:hAnsi="Arial" w:cs="Arial"/>
          <w:sz w:val="22"/>
          <w:szCs w:val="22"/>
          <w:highlight w:val="yellow"/>
          <w:rtl/>
        </w:rPr>
        <w:t xml:space="preserve"> פ"ד טז 2101</w:t>
      </w:r>
      <w:r w:rsidRPr="00546D53">
        <w:rPr>
          <w:rFonts w:ascii="Arial" w:hAnsi="Arial" w:cs="Arial" w:hint="cs"/>
          <w:sz w:val="22"/>
          <w:szCs w:val="22"/>
          <w:highlight w:val="yellow"/>
          <w:rtl/>
        </w:rPr>
        <w:t xml:space="preserve"> (1962)</w:t>
      </w:r>
    </w:p>
    <w:p w:rsidR="005366A8" w:rsidRPr="00816207" w:rsidRDefault="005366A8" w:rsidP="005366A8">
      <w:pPr>
        <w:rPr>
          <w:i/>
          <w:iCs/>
          <w:sz w:val="20"/>
          <w:szCs w:val="20"/>
          <w:rtl/>
        </w:rPr>
      </w:pPr>
      <w:r w:rsidRPr="00816207">
        <w:rPr>
          <w:i/>
          <w:iCs/>
          <w:sz w:val="20"/>
          <w:szCs w:val="20"/>
          <w:rtl/>
        </w:rPr>
        <w:t xml:space="preserve"> [עובדות] </w:t>
      </w:r>
    </w:p>
    <w:p w:rsidR="005366A8" w:rsidRPr="00816207" w:rsidRDefault="005366A8" w:rsidP="005366A8">
      <w:pPr>
        <w:ind w:left="720"/>
        <w:rPr>
          <w:sz w:val="20"/>
          <w:szCs w:val="20"/>
          <w:rtl/>
        </w:rPr>
      </w:pPr>
      <w:r w:rsidRPr="00816207">
        <w:rPr>
          <w:sz w:val="20"/>
          <w:szCs w:val="20"/>
          <w:rtl/>
        </w:rPr>
        <w:t>סירוב רשות מקומית להשכיר אולם ציבורי לתושבים המתפללים בנוסח הזרם הרפורמי</w:t>
      </w:r>
      <w:r>
        <w:rPr>
          <w:rFonts w:hint="cs"/>
          <w:sz w:val="20"/>
          <w:szCs w:val="20"/>
          <w:rtl/>
        </w:rPr>
        <w:t xml:space="preserve"> [אחד הזרמים הדתיים ביהדות, לצד הזרם האורתודוקסי והזרם הקונסרבטיבי]</w:t>
      </w:r>
      <w:r w:rsidRPr="00816207">
        <w:rPr>
          <w:sz w:val="20"/>
          <w:szCs w:val="20"/>
          <w:rtl/>
        </w:rPr>
        <w:t xml:space="preserve">.  </w:t>
      </w:r>
    </w:p>
    <w:p w:rsidR="005366A8" w:rsidRPr="00816207" w:rsidRDefault="005366A8" w:rsidP="005366A8">
      <w:pPr>
        <w:ind w:left="720"/>
        <w:rPr>
          <w:sz w:val="20"/>
          <w:szCs w:val="20"/>
          <w:rtl/>
        </w:rPr>
      </w:pPr>
      <w:r w:rsidRPr="00816207">
        <w:rPr>
          <w:sz w:val="20"/>
          <w:szCs w:val="20"/>
          <w:rtl/>
        </w:rPr>
        <w:t xml:space="preserve">להלן שלש </w:t>
      </w:r>
      <w:r w:rsidRPr="0030231A">
        <w:rPr>
          <w:b/>
          <w:bCs/>
          <w:sz w:val="20"/>
          <w:szCs w:val="20"/>
          <w:rtl/>
        </w:rPr>
        <w:t>מההנמקות הרשות</w:t>
      </w:r>
      <w:r w:rsidRPr="00816207">
        <w:rPr>
          <w:sz w:val="20"/>
          <w:szCs w:val="20"/>
          <w:rtl/>
        </w:rPr>
        <w:t>.</w:t>
      </w:r>
    </w:p>
    <w:p w:rsidR="005366A8" w:rsidRPr="00816207" w:rsidRDefault="005366A8" w:rsidP="005366A8">
      <w:pPr>
        <w:ind w:left="720"/>
        <w:rPr>
          <w:sz w:val="20"/>
          <w:szCs w:val="20"/>
          <w:rtl/>
        </w:rPr>
      </w:pPr>
      <w:r w:rsidRPr="00816207">
        <w:rPr>
          <w:sz w:val="20"/>
          <w:szCs w:val="20"/>
          <w:rtl/>
        </w:rPr>
        <w:t xml:space="preserve">(1) מאז ומתמיד קיים בכפר בית כנסת אחד ויחיד, המסוגל לספק את הצרכים הדתיים של תושבי המקום; </w:t>
      </w:r>
    </w:p>
    <w:p w:rsidR="005366A8" w:rsidRPr="00816207" w:rsidRDefault="005366A8" w:rsidP="005366A8">
      <w:pPr>
        <w:ind w:left="720"/>
        <w:rPr>
          <w:sz w:val="20"/>
          <w:szCs w:val="20"/>
          <w:rtl/>
        </w:rPr>
      </w:pPr>
      <w:r w:rsidRPr="00816207">
        <w:rPr>
          <w:sz w:val="20"/>
          <w:szCs w:val="20"/>
          <w:rtl/>
        </w:rPr>
        <w:t xml:space="preserve">(2) חוגים מסויימים בכפר הביעו התנגדות נמרצת להשכרת רכוש המועצה, לצרכי עריכת תפילה, לחוג שהמבקשים נמנים עליו, וציינו שיראו במעשה זה פגיעה חמורה ברגשותיהם; </w:t>
      </w:r>
    </w:p>
    <w:p w:rsidR="005366A8" w:rsidRPr="00816207" w:rsidRDefault="005366A8" w:rsidP="005366A8">
      <w:pPr>
        <w:spacing w:after="120"/>
        <w:ind w:left="720"/>
        <w:rPr>
          <w:sz w:val="20"/>
          <w:szCs w:val="20"/>
          <w:rtl/>
        </w:rPr>
      </w:pPr>
      <w:r w:rsidRPr="00816207">
        <w:rPr>
          <w:sz w:val="20"/>
          <w:szCs w:val="20"/>
          <w:rtl/>
        </w:rPr>
        <w:t>(3) אפיינית לכפר-שמריהו השאיפה לקיים אחדות בחיי הציבור, והמועצה עושה ככל שאפשר להגשים שאיפה זו ואינה מוכנה לתת יד לפילוג;</w:t>
      </w:r>
    </w:p>
    <w:p w:rsidR="005366A8" w:rsidRPr="00816207" w:rsidRDefault="005366A8" w:rsidP="005366A8">
      <w:pPr>
        <w:pStyle w:val="BodyText3"/>
        <w:rPr>
          <w:sz w:val="20"/>
          <w:szCs w:val="20"/>
          <w:rtl/>
        </w:rPr>
      </w:pPr>
      <w:r w:rsidRPr="00816207">
        <w:rPr>
          <w:b/>
          <w:bCs/>
          <w:sz w:val="20"/>
          <w:szCs w:val="20"/>
          <w:rtl/>
        </w:rPr>
        <w:t>השופט חיים כהן</w:t>
      </w:r>
      <w:r w:rsidRPr="00816207">
        <w:rPr>
          <w:sz w:val="20"/>
          <w:szCs w:val="20"/>
          <w:rtl/>
        </w:rPr>
        <w:t>:</w:t>
      </w:r>
    </w:p>
    <w:p w:rsidR="005366A8" w:rsidRPr="00816207" w:rsidRDefault="005366A8" w:rsidP="005366A8">
      <w:pPr>
        <w:rPr>
          <w:i/>
          <w:iCs/>
          <w:sz w:val="20"/>
          <w:szCs w:val="20"/>
          <w:rtl/>
        </w:rPr>
      </w:pPr>
      <w:r w:rsidRPr="00816207">
        <w:rPr>
          <w:i/>
          <w:iCs/>
          <w:sz w:val="20"/>
          <w:szCs w:val="20"/>
          <w:rtl/>
        </w:rPr>
        <w:t xml:space="preserve">[פגיעה ברגשות] </w:t>
      </w:r>
    </w:p>
    <w:p w:rsidR="005366A8" w:rsidRPr="00816207" w:rsidRDefault="005366A8" w:rsidP="005366A8">
      <w:pPr>
        <w:spacing w:after="120"/>
        <w:ind w:left="720"/>
        <w:rPr>
          <w:sz w:val="20"/>
          <w:szCs w:val="20"/>
          <w:rtl/>
        </w:rPr>
      </w:pPr>
      <w:r w:rsidRPr="00816207">
        <w:rPr>
          <w:sz w:val="20"/>
          <w:szCs w:val="20"/>
          <w:rtl/>
        </w:rPr>
        <w:t>ואשר לחשש הפגיעה החמורה ברגשותיהם של "החוגים" ההם, הרי אפילו אניח - ולא אפסוק - שחשש שכזה יכול ויהא בו שיקול כשר ולגיטימי כשלעצמו, על-כל-פנים ברור הוא שכאן חשש זה אינו אלא אחת משתי רעות: כדי למנוע פגיעה ברגשות המתנגדים, פוגעים ברגשות המבקשים; ואין דמם של אלה סומק טפי מדם של אלה. [</w:t>
      </w:r>
      <w:r w:rsidRPr="00816207">
        <w:rPr>
          <w:sz w:val="20"/>
          <w:szCs w:val="20"/>
        </w:rPr>
        <w:t>…</w:t>
      </w:r>
      <w:r w:rsidRPr="00816207">
        <w:rPr>
          <w:sz w:val="20"/>
          <w:szCs w:val="20"/>
          <w:rtl/>
        </w:rPr>
        <w:t>]</w:t>
      </w:r>
    </w:p>
    <w:p w:rsidR="005366A8" w:rsidRPr="00816207" w:rsidRDefault="005366A8" w:rsidP="005366A8">
      <w:pPr>
        <w:rPr>
          <w:i/>
          <w:iCs/>
          <w:sz w:val="20"/>
          <w:szCs w:val="20"/>
          <w:rtl/>
        </w:rPr>
      </w:pPr>
      <w:r w:rsidRPr="00816207">
        <w:rPr>
          <w:i/>
          <w:iCs/>
          <w:sz w:val="20"/>
          <w:szCs w:val="20"/>
          <w:rtl/>
        </w:rPr>
        <w:t>[פעולות מסחריות של הרשות; השפעת שינויי הזמן]</w:t>
      </w:r>
      <w:r w:rsidRPr="00816207">
        <w:rPr>
          <w:sz w:val="20"/>
          <w:szCs w:val="20"/>
          <w:rtl/>
        </w:rPr>
        <w:t xml:space="preserve"> [</w:t>
      </w:r>
      <w:r>
        <w:rPr>
          <w:rFonts w:hint="cs"/>
          <w:sz w:val="20"/>
          <w:szCs w:val="20"/>
          <w:rtl/>
        </w:rPr>
        <w:t xml:space="preserve">השופט חיים כהן מצטט כאן </w:t>
      </w:r>
      <w:r w:rsidRPr="00816207">
        <w:rPr>
          <w:sz w:val="20"/>
          <w:szCs w:val="20"/>
          <w:rtl/>
        </w:rPr>
        <w:t>מתוך פסק-דין של השופט ברנזון</w:t>
      </w:r>
      <w:r w:rsidRPr="00816207">
        <w:rPr>
          <w:rFonts w:hint="cs"/>
          <w:sz w:val="20"/>
          <w:szCs w:val="20"/>
          <w:rtl/>
        </w:rPr>
        <w:t xml:space="preserve"> במקום אחר</w:t>
      </w:r>
      <w:r>
        <w:rPr>
          <w:rFonts w:hint="cs"/>
          <w:sz w:val="20"/>
          <w:szCs w:val="20"/>
          <w:rtl/>
        </w:rPr>
        <w:t>, ואז מוסיף משלו.</w:t>
      </w:r>
      <w:r w:rsidRPr="00816207">
        <w:rPr>
          <w:sz w:val="20"/>
          <w:szCs w:val="20"/>
          <w:rtl/>
        </w:rPr>
        <w:t>]</w:t>
      </w:r>
    </w:p>
    <w:p w:rsidR="005366A8" w:rsidRPr="00816207" w:rsidRDefault="005366A8" w:rsidP="005366A8">
      <w:pPr>
        <w:ind w:left="1440"/>
        <w:rPr>
          <w:sz w:val="20"/>
          <w:szCs w:val="20"/>
          <w:rtl/>
        </w:rPr>
      </w:pPr>
      <w:r w:rsidRPr="00816207">
        <w:rPr>
          <w:sz w:val="20"/>
          <w:szCs w:val="20"/>
          <w:rtl/>
        </w:rPr>
        <w:t>".....הממשל יכול להופיע פעם בדמות של מבצע פעולות בעלות אופי שלטוני מובהק ופעם בדמות של בעל רכוש או עסק העוסק בפעולות רכושניות, מסחריות או עסקיות גרידא, ולעתים עשוי הוא להופיע חליפות בדמות זו או זו אף באותו ענין בשלביו או בפרטיו השונים. בכלל מחמת פעילותה הכלכלית, המשקית והחברתית של הממשלה ההולכת ורבה וחדירתה לשטחי החיים השונים, הולכים ומיטשטשים יותר ויותר הגבולות שבין פעולות השלטון כבעל שלטון לבין פעולותיו כבעל נכס או עסק....."</w:t>
      </w:r>
    </w:p>
    <w:p w:rsidR="005366A8" w:rsidRPr="00816207" w:rsidRDefault="005366A8" w:rsidP="005366A8">
      <w:pPr>
        <w:spacing w:after="120"/>
        <w:ind w:left="720"/>
        <w:rPr>
          <w:sz w:val="20"/>
          <w:szCs w:val="20"/>
          <w:rtl/>
        </w:rPr>
      </w:pPr>
      <w:r w:rsidRPr="00816207">
        <w:rPr>
          <w:sz w:val="20"/>
          <w:szCs w:val="20"/>
          <w:rtl/>
        </w:rPr>
        <w:t>גם לי נראה שבמשק הממלכתי והציבורי דהאידנא, אין עוד יעילות מעשית בהבחנה המקובלת בין פעולות מסחריות או אזרחיות של רשות מרשויות המדינה או של רשות מקומית, לבין פעולותיהן השלטוניות או הציבוריות.</w:t>
      </w:r>
    </w:p>
    <w:p w:rsidR="005366A8" w:rsidRPr="0007266C" w:rsidRDefault="005366A8" w:rsidP="005366A8">
      <w:pPr>
        <w:pStyle w:val="Heading8"/>
        <w:rPr>
          <w:b w:val="0"/>
          <w:bCs w:val="0"/>
          <w:i/>
          <w:iCs/>
          <w:sz w:val="20"/>
          <w:szCs w:val="20"/>
          <w:rtl/>
        </w:rPr>
      </w:pPr>
      <w:r w:rsidRPr="0007266C">
        <w:rPr>
          <w:sz w:val="20"/>
          <w:szCs w:val="20"/>
          <w:rtl/>
        </w:rPr>
        <w:t>השופט ויתקון</w:t>
      </w:r>
    </w:p>
    <w:p w:rsidR="005366A8" w:rsidRPr="00816207" w:rsidRDefault="005366A8" w:rsidP="005366A8">
      <w:pPr>
        <w:rPr>
          <w:i/>
          <w:iCs/>
          <w:sz w:val="20"/>
          <w:szCs w:val="20"/>
          <w:rtl/>
        </w:rPr>
      </w:pPr>
      <w:r w:rsidRPr="00816207">
        <w:rPr>
          <w:i/>
          <w:iCs/>
          <w:sz w:val="20"/>
          <w:szCs w:val="20"/>
          <w:rtl/>
        </w:rPr>
        <w:t>[השימוש של הרשות ב"כוחה המקצה"</w:t>
      </w:r>
      <w:r w:rsidRPr="00816207">
        <w:rPr>
          <w:rFonts w:hint="cs"/>
          <w:i/>
          <w:iCs/>
          <w:sz w:val="20"/>
          <w:szCs w:val="20"/>
          <w:rtl/>
        </w:rPr>
        <w:t xml:space="preserve"> </w:t>
      </w:r>
      <w:r w:rsidRPr="00816207">
        <w:rPr>
          <w:i/>
          <w:iCs/>
          <w:sz w:val="20"/>
          <w:szCs w:val="20"/>
          <w:rtl/>
        </w:rPr>
        <w:t>–</w:t>
      </w:r>
      <w:r w:rsidRPr="00816207">
        <w:rPr>
          <w:rFonts w:hint="cs"/>
          <w:i/>
          <w:iCs/>
          <w:sz w:val="20"/>
          <w:szCs w:val="20"/>
          <w:rtl/>
        </w:rPr>
        <w:t xml:space="preserve"> פתיחת עילת האפליה</w:t>
      </w:r>
      <w:r w:rsidRPr="00816207">
        <w:rPr>
          <w:i/>
          <w:iCs/>
          <w:sz w:val="20"/>
          <w:szCs w:val="20"/>
          <w:rtl/>
        </w:rPr>
        <w:t xml:space="preserve">] </w:t>
      </w:r>
    </w:p>
    <w:p w:rsidR="005366A8" w:rsidRPr="00816207" w:rsidRDefault="005366A8" w:rsidP="005366A8">
      <w:pPr>
        <w:spacing w:after="60"/>
        <w:ind w:left="720"/>
        <w:rPr>
          <w:sz w:val="20"/>
          <w:szCs w:val="20"/>
          <w:rtl/>
        </w:rPr>
      </w:pPr>
      <w:r w:rsidRPr="00816207">
        <w:rPr>
          <w:sz w:val="20"/>
          <w:szCs w:val="20"/>
          <w:rtl/>
        </w:rPr>
        <w:t xml:space="preserve">אילו לא היתה לפנינו אלא החלטה של מועצה שלא להשכיר רכוש ציבורי בכלל או שלא להשכירו לכל מטרה דתית (או כל מטרה ספציפית אחרת), ייתכן ולא הייתי מוצא עילה מספקת להתערבותנו בענין. אך עצם הנימוקים, שבהם ביקשה המועצה לנמק ולהצדיק את החלטתה הם הם אשר פסולם גלוי על פניהם והם מעידים עדות ברורה וחותכת על חריגת המועצה מגדר סמכותה. </w:t>
      </w:r>
    </w:p>
    <w:p w:rsidR="005366A8" w:rsidRPr="00816207" w:rsidRDefault="005366A8" w:rsidP="005366A8">
      <w:pPr>
        <w:rPr>
          <w:i/>
          <w:iCs/>
          <w:sz w:val="20"/>
          <w:szCs w:val="20"/>
          <w:rtl/>
        </w:rPr>
      </w:pPr>
      <w:r w:rsidRPr="00816207">
        <w:rPr>
          <w:i/>
          <w:iCs/>
          <w:sz w:val="20"/>
          <w:szCs w:val="20"/>
          <w:rtl/>
        </w:rPr>
        <w:t>[שיקולים פסולים, שיקולים זרים, שאלת "הניטראליות"]</w:t>
      </w:r>
    </w:p>
    <w:p w:rsidR="005366A8" w:rsidRPr="00816207" w:rsidRDefault="005366A8" w:rsidP="005366A8">
      <w:pPr>
        <w:spacing w:after="120"/>
        <w:ind w:left="720"/>
        <w:rPr>
          <w:sz w:val="20"/>
          <w:szCs w:val="20"/>
          <w:rtl/>
        </w:rPr>
      </w:pPr>
      <w:r w:rsidRPr="00816207">
        <w:rPr>
          <w:sz w:val="20"/>
          <w:szCs w:val="20"/>
          <w:rtl/>
        </w:rPr>
        <w:t xml:space="preserve">בנימוקים אלה נקטה המועצה עמדה בענין של דת, והלא הלכה פסוקה היא שתחום זה אינו מן התחומים הנתונים בסמכות המועצה המקומית. גדולה מזו, בהחלטתה האמורה מגלה המועצה נטיה למגמה דתית אחת ושוללת את זכות קיומה של מגמה אחרת, ובנימה יומרנית במקצת קובעת היא, שאותה צורה של תפילה, הנהוגה מאז ומתמיד בכפר, מסוגלת לספק את הצרכים הדתיים של תושבי המקום. כסבור הייתי, כי ענינו של כל פרט ופרט הוא לעשות חשבון-נפש להחליט, מהי עבודת הקודש וצורת התפילה, בהן ימצא סיפוק נפשי והתרוממות הרוח. ואם לאחדות בחיי הציבור, אליה שואפת המועצה, ולמניעת פילוג, הרי לא בכפיה ניתן להשיג מטרות אלו, ולא על חשבון חופש המצפון והדת. </w:t>
      </w:r>
    </w:p>
    <w:p w:rsidR="005366A8" w:rsidRPr="0007266C" w:rsidRDefault="005366A8" w:rsidP="005366A8">
      <w:pPr>
        <w:pStyle w:val="Heading8"/>
        <w:rPr>
          <w:b w:val="0"/>
          <w:bCs w:val="0"/>
          <w:i/>
          <w:iCs/>
          <w:sz w:val="20"/>
          <w:szCs w:val="20"/>
          <w:rtl/>
        </w:rPr>
      </w:pPr>
      <w:r w:rsidRPr="0007266C">
        <w:rPr>
          <w:sz w:val="20"/>
          <w:szCs w:val="20"/>
          <w:rtl/>
        </w:rPr>
        <w:t>השופט זוסמן</w:t>
      </w:r>
    </w:p>
    <w:p w:rsidR="005366A8" w:rsidRPr="00816207" w:rsidRDefault="005366A8" w:rsidP="005366A8">
      <w:pPr>
        <w:rPr>
          <w:i/>
          <w:iCs/>
          <w:sz w:val="20"/>
          <w:szCs w:val="20"/>
          <w:rtl/>
        </w:rPr>
      </w:pPr>
      <w:r w:rsidRPr="00816207">
        <w:rPr>
          <w:i/>
          <w:iCs/>
          <w:sz w:val="20"/>
          <w:szCs w:val="20"/>
          <w:rtl/>
        </w:rPr>
        <w:t>[ההבדל בין פרט לבין רשות;</w:t>
      </w:r>
      <w:r>
        <w:rPr>
          <w:rFonts w:hint="cs"/>
          <w:i/>
          <w:iCs/>
          <w:sz w:val="20"/>
          <w:szCs w:val="20"/>
          <w:rtl/>
        </w:rPr>
        <w:t xml:space="preserve"> </w:t>
      </w:r>
      <w:r w:rsidRPr="00816207">
        <w:rPr>
          <w:i/>
          <w:iCs/>
          <w:sz w:val="20"/>
          <w:szCs w:val="20"/>
          <w:rtl/>
        </w:rPr>
        <w:t xml:space="preserve"> "ההבחנה 'ציבורי/פרטי'"]</w:t>
      </w:r>
    </w:p>
    <w:p w:rsidR="005366A8" w:rsidRPr="00816207" w:rsidRDefault="005366A8" w:rsidP="005366A8">
      <w:pPr>
        <w:ind w:left="720"/>
        <w:rPr>
          <w:sz w:val="20"/>
          <w:szCs w:val="20"/>
          <w:rtl/>
        </w:rPr>
      </w:pPr>
      <w:r w:rsidRPr="00816207">
        <w:rPr>
          <w:sz w:val="20"/>
          <w:szCs w:val="20"/>
          <w:rtl/>
        </w:rPr>
        <w:t>2. ואולם עם זאת לא הרי דין רשות ציבורית כדין אזרח פרטי. אזרח פרטי שולט בכיפה שלו והוא בן-חורין לקבוע, עם מי יתקשר בחוזה פלוני ועם מי ימאן. לא כן רשות ציבורית. [</w:t>
      </w:r>
      <w:r w:rsidRPr="00816207">
        <w:rPr>
          <w:sz w:val="20"/>
          <w:szCs w:val="20"/>
        </w:rPr>
        <w:t>…</w:t>
      </w:r>
      <w:r w:rsidRPr="00816207">
        <w:rPr>
          <w:sz w:val="20"/>
          <w:szCs w:val="20"/>
          <w:rtl/>
        </w:rPr>
        <w:t>]</w:t>
      </w:r>
    </w:p>
    <w:p w:rsidR="005366A8" w:rsidRPr="00816207" w:rsidRDefault="005366A8" w:rsidP="005366A8">
      <w:pPr>
        <w:ind w:left="720"/>
        <w:rPr>
          <w:sz w:val="20"/>
          <w:szCs w:val="20"/>
          <w:rtl/>
        </w:rPr>
      </w:pPr>
      <w:r w:rsidRPr="00816207">
        <w:rPr>
          <w:sz w:val="20"/>
          <w:szCs w:val="20"/>
          <w:rtl/>
        </w:rPr>
        <w:t>כיוצא בזה, אזרח פרטי רשאי להתיר לפלוני את השימוש ברכושו ולגרש את אלמוני, ויהיו נימוקיו אשר יהיו. אך רשות ציבורית אינה רשאית לנהוג כך והיא אינה רשאית לקבוע, כי לפלוני מותר לבוא במחיצתה ואילו לאלמוני יהא הדבר אסור</w:t>
      </w:r>
      <w:r w:rsidRPr="00816207">
        <w:rPr>
          <w:sz w:val="20"/>
          <w:szCs w:val="20"/>
        </w:rPr>
        <w:t>…</w:t>
      </w:r>
      <w:r w:rsidRPr="00816207">
        <w:rPr>
          <w:sz w:val="20"/>
          <w:szCs w:val="20"/>
          <w:rtl/>
        </w:rPr>
        <w:t xml:space="preserve"> [</w:t>
      </w:r>
      <w:r w:rsidRPr="00816207">
        <w:rPr>
          <w:sz w:val="20"/>
          <w:szCs w:val="20"/>
        </w:rPr>
        <w:t>…</w:t>
      </w:r>
      <w:r w:rsidRPr="00816207">
        <w:rPr>
          <w:sz w:val="20"/>
          <w:szCs w:val="20"/>
          <w:rtl/>
        </w:rPr>
        <w:t>]</w:t>
      </w:r>
    </w:p>
    <w:p w:rsidR="005366A8" w:rsidRPr="00816207" w:rsidRDefault="005366A8" w:rsidP="005366A8">
      <w:pPr>
        <w:spacing w:after="120"/>
        <w:ind w:left="720"/>
        <w:rPr>
          <w:sz w:val="20"/>
          <w:szCs w:val="20"/>
          <w:rtl/>
        </w:rPr>
      </w:pPr>
      <w:r w:rsidRPr="00816207">
        <w:rPr>
          <w:sz w:val="20"/>
          <w:szCs w:val="20"/>
          <w:rtl/>
        </w:rPr>
        <w:t xml:space="preserve">עינינו הרואות: בעוד שאזרח פרטי רשאי "להפלות" בין פלוני לבין אלמוני ולבור לו את אלה שאתם יעסוק אפילו יהיו נימוקיו מניעיו בלתי-סבירים, אסורה הפליה מטעם רשות ציבורית. הטעם הוא, כי בהשתמשה בנכסיה או בעשותה את פעולותיה נטלה הרשות על עצמה תפקיד של </w:t>
      </w:r>
      <w:r w:rsidRPr="00EA7C7F">
        <w:rPr>
          <w:sz w:val="20"/>
          <w:szCs w:val="20"/>
          <w:highlight w:val="yellow"/>
          <w:rtl/>
        </w:rPr>
        <w:t>נאמן כלפי הציבור,</w:t>
      </w:r>
      <w:r w:rsidRPr="00EA7C7F">
        <w:rPr>
          <w:sz w:val="20"/>
          <w:szCs w:val="20"/>
          <w:rtl/>
        </w:rPr>
        <w:t xml:space="preserve"> </w:t>
      </w:r>
      <w:r w:rsidRPr="00816207">
        <w:rPr>
          <w:sz w:val="20"/>
          <w:szCs w:val="20"/>
          <w:rtl/>
        </w:rPr>
        <w:t>ובתור שכזה חייבת הרשות להתייחס ביחס של שווה אל שווים, ומשהפרה עקרון יסוד זה והפלתה אזרח שלא כדין, הרי זוהי עילה להתערבותו של בית-משפט זה; ואין נפקא מינה בכך אם השימוש גופו או הפעולה גופה משתייכים למשפט הציבורי או למשפט האזרחי. תפקיד הנאמנות כלפי האזרח והחובות הנובעות ממנו נובעות מן הדין, וממילא ניתנות הן לפיקוח ולביקורת בבית-משפט זה. [</w:t>
      </w:r>
      <w:r w:rsidRPr="00816207">
        <w:rPr>
          <w:sz w:val="20"/>
          <w:szCs w:val="20"/>
        </w:rPr>
        <w:t>…</w:t>
      </w:r>
      <w:r w:rsidRPr="00816207">
        <w:rPr>
          <w:sz w:val="20"/>
          <w:szCs w:val="20"/>
          <w:rtl/>
        </w:rPr>
        <w:t>]</w:t>
      </w:r>
    </w:p>
    <w:p w:rsidR="005366A8" w:rsidRPr="00816207" w:rsidRDefault="005366A8" w:rsidP="005366A8">
      <w:pPr>
        <w:pStyle w:val="T-body"/>
        <w:spacing w:line="240" w:lineRule="auto"/>
        <w:rPr>
          <w:sz w:val="20"/>
          <w:szCs w:val="20"/>
          <w:rtl/>
        </w:rPr>
      </w:pPr>
      <w:r w:rsidRPr="00816207">
        <w:rPr>
          <w:i/>
          <w:iCs/>
          <w:sz w:val="20"/>
          <w:szCs w:val="20"/>
          <w:rtl/>
        </w:rPr>
        <w:t>[שיקולים פסולים, שיקולים זרים, שאלת "הניטראליות"]</w:t>
      </w:r>
    </w:p>
    <w:p w:rsidR="005366A8" w:rsidRDefault="005366A8" w:rsidP="005366A8">
      <w:pPr>
        <w:ind w:left="720"/>
        <w:rPr>
          <w:sz w:val="20"/>
          <w:szCs w:val="20"/>
          <w:rtl/>
        </w:rPr>
      </w:pPr>
      <w:r w:rsidRPr="00816207">
        <w:rPr>
          <w:sz w:val="20"/>
          <w:szCs w:val="20"/>
          <w:rtl/>
        </w:rPr>
        <w:t>הנימוקים שהניעו את המועצה להשיב את פני המבקשים ריקם מובאים בפסק-דינו של השופט כהן, והם, בקיצור, כי אין המועצה חפצה לאפשר בגדר שיפוטה עריכת תפילה בנוסח פלוני. זה הוא נימוק פסול לחלוטין, כי לא זו בלבד כי הדאגה לעניני הדת לא הופקדה בידי מועצה מקומית אלא לא עליה להחליט שתושבי המקום יתפללו בנוסח פלוני ולא יתפללו בנוסח אלמוני. פולחן אחיד ותפילה אחידה היו אולי מקובלים בזמן מלחמת-שלושים-שנה, כאשר דגלו שליטים בכלל</w:t>
      </w:r>
      <w:r>
        <w:rPr>
          <w:rFonts w:hint="cs"/>
          <w:sz w:val="20"/>
          <w:szCs w:val="20"/>
          <w:rtl/>
        </w:rPr>
        <w:t xml:space="preserve"> </w:t>
      </w:r>
      <w:r w:rsidRPr="00816207">
        <w:rPr>
          <w:sz w:val="20"/>
          <w:szCs w:val="20"/>
          <w:rtl/>
        </w:rPr>
        <w:t xml:space="preserve"> </w:t>
      </w:r>
      <w:r w:rsidRPr="00816207">
        <w:rPr>
          <w:sz w:val="20"/>
          <w:szCs w:val="20"/>
        </w:rPr>
        <w:t>CUIUS REGIO - EIUS RELIGIO</w:t>
      </w:r>
      <w:r>
        <w:rPr>
          <w:rFonts w:hint="cs"/>
          <w:sz w:val="20"/>
          <w:szCs w:val="20"/>
          <w:rtl/>
        </w:rPr>
        <w:t xml:space="preserve"> {"לוֹ השליטה באזור - לוֹ הדת" (הדת בעקבות השליט)}</w:t>
      </w:r>
      <w:r w:rsidRPr="00816207">
        <w:rPr>
          <w:sz w:val="20"/>
          <w:szCs w:val="20"/>
          <w:rtl/>
        </w:rPr>
        <w:t>. אך מגילת העצמאות הבטיחה חופש הדת והפולחן לכל אזרחי המדינה, וגם אם לא העניקה המגילה עצמה זכות לאזרח הניתנת לביצוע על דרך של תביעה משפטית, אורח חייהם של אזרחי המדינה נקבע בה, ואת עקרונותיה חייבת כל רשות במדינה להניח נר לרגליה. משלא היה בפי המועצה אלא נימוק זה לסירובה יוצא, כי אלמלא נימוק זה, היתה נעתרת לבקשת המבקשים, נמצא כי הפלתה אותם לרעה על יסוד נימוקים פסולים, והפליה זו משמשת יסוד לעתירה לבית-משפט זה.</w:t>
      </w:r>
    </w:p>
    <w:p w:rsidR="005366A8" w:rsidRPr="00816207" w:rsidRDefault="005366A8" w:rsidP="005366A8">
      <w:pPr>
        <w:ind w:left="720"/>
        <w:rPr>
          <w:sz w:val="20"/>
          <w:szCs w:val="20"/>
          <w:rtl/>
        </w:rPr>
      </w:pPr>
    </w:p>
    <w:p w:rsidR="005366A8" w:rsidRDefault="005366A8" w:rsidP="005366A8">
      <w:pPr>
        <w:rPr>
          <w:sz w:val="20"/>
          <w:szCs w:val="20"/>
          <w:rtl/>
        </w:rPr>
      </w:pPr>
      <w:r w:rsidRPr="00816207">
        <w:rPr>
          <w:rFonts w:hint="cs"/>
          <w:sz w:val="20"/>
          <w:szCs w:val="20"/>
          <w:rtl/>
        </w:rPr>
        <w:t>=-=</w:t>
      </w:r>
    </w:p>
    <w:p w:rsidR="005366A8" w:rsidRDefault="005366A8" w:rsidP="005366A8">
      <w:pPr>
        <w:spacing w:after="120"/>
        <w:ind w:left="720" w:hanging="720"/>
        <w:rPr>
          <w:b/>
          <w:bCs/>
          <w:i/>
          <w:iCs/>
          <w:sz w:val="22"/>
          <w:szCs w:val="22"/>
          <w:rtl/>
        </w:rPr>
      </w:pPr>
      <w:r>
        <w:rPr>
          <w:rFonts w:hint="cs"/>
          <w:b/>
          <w:bCs/>
          <w:rtl/>
        </w:rPr>
        <w:t>ב</w:t>
      </w:r>
      <w:r w:rsidRPr="00C83F76">
        <w:rPr>
          <w:rFonts w:hint="cs"/>
          <w:b/>
          <w:bCs/>
          <w:rtl/>
        </w:rPr>
        <w:t xml:space="preserve">3. </w:t>
      </w:r>
      <w:r w:rsidRPr="00437722">
        <w:rPr>
          <w:rFonts w:hint="cs"/>
          <w:b/>
          <w:bCs/>
          <w:highlight w:val="yellow"/>
          <w:rtl/>
        </w:rPr>
        <w:t xml:space="preserve">היותה של החוקה המהותית </w:t>
      </w:r>
      <w:r w:rsidRPr="00437722">
        <w:rPr>
          <w:rFonts w:hint="cs"/>
          <w:b/>
          <w:bCs/>
          <w:highlight w:val="yellow"/>
          <w:u w:val="single"/>
          <w:rtl/>
        </w:rPr>
        <w:t xml:space="preserve">בסיס אפשרי </w:t>
      </w:r>
      <w:r w:rsidRPr="00437722">
        <w:rPr>
          <w:rFonts w:hint="cs"/>
          <w:b/>
          <w:bCs/>
          <w:i/>
          <w:iCs/>
          <w:highlight w:val="yellow"/>
          <w:u w:val="single"/>
          <w:rtl/>
        </w:rPr>
        <w:t xml:space="preserve">לביקורת שיפוטית "מטא טקסטואלית" </w:t>
      </w:r>
      <w:r w:rsidRPr="00437722">
        <w:rPr>
          <w:b/>
          <w:bCs/>
          <w:i/>
          <w:iCs/>
          <w:highlight w:val="yellow"/>
          <w:u w:val="single"/>
          <w:rtl/>
        </w:rPr>
        <w:t>–</w:t>
      </w:r>
      <w:r w:rsidRPr="00437722">
        <w:rPr>
          <w:rFonts w:hint="cs"/>
          <w:b/>
          <w:bCs/>
          <w:i/>
          <w:iCs/>
          <w:highlight w:val="yellow"/>
          <w:u w:val="single"/>
          <w:rtl/>
        </w:rPr>
        <w:t xml:space="preserve"> בסיס אפשרי להתגברות על חוק, לביטול חוק</w:t>
      </w:r>
    </w:p>
    <w:p w:rsidR="005366A8" w:rsidRPr="001D22FC" w:rsidRDefault="005366A8" w:rsidP="005366A8">
      <w:pPr>
        <w:jc w:val="center"/>
        <w:rPr>
          <w:szCs w:val="22"/>
          <w:rtl/>
        </w:rPr>
      </w:pPr>
      <w:r w:rsidRPr="00546D53">
        <w:rPr>
          <w:highlight w:val="yellow"/>
          <w:rtl/>
        </w:rPr>
        <w:t>ע"ב 1/65</w:t>
      </w:r>
      <w:r w:rsidRPr="00546D53">
        <w:rPr>
          <w:b/>
          <w:bCs/>
          <w:highlight w:val="yellow"/>
          <w:u w:val="single"/>
          <w:rtl/>
        </w:rPr>
        <w:t xml:space="preserve"> ירדור נ' יו"ר ועדת הבחירות</w:t>
      </w:r>
      <w:r w:rsidRPr="00546D53">
        <w:rPr>
          <w:b/>
          <w:bCs/>
          <w:highlight w:val="yellow"/>
          <w:rtl/>
        </w:rPr>
        <w:t xml:space="preserve">, </w:t>
      </w:r>
      <w:r w:rsidRPr="00546D53">
        <w:rPr>
          <w:highlight w:val="yellow"/>
          <w:rtl/>
        </w:rPr>
        <w:t>פ"ד יט</w:t>
      </w:r>
      <w:r w:rsidRPr="00546D53">
        <w:rPr>
          <w:highlight w:val="yellow"/>
        </w:rPr>
        <w:t>)</w:t>
      </w:r>
      <w:r w:rsidRPr="00546D53">
        <w:rPr>
          <w:highlight w:val="yellow"/>
          <w:rtl/>
        </w:rPr>
        <w:t>3</w:t>
      </w:r>
      <w:r w:rsidRPr="00546D53">
        <w:rPr>
          <w:highlight w:val="yellow"/>
        </w:rPr>
        <w:t>(</w:t>
      </w:r>
      <w:r w:rsidRPr="00546D53">
        <w:rPr>
          <w:highlight w:val="yellow"/>
          <w:rtl/>
        </w:rPr>
        <w:t xml:space="preserve"> 367</w:t>
      </w:r>
      <w:r w:rsidRPr="00546D53">
        <w:rPr>
          <w:rFonts w:hint="cs"/>
          <w:highlight w:val="yellow"/>
          <w:rtl/>
        </w:rPr>
        <w:t xml:space="preserve"> (1965)</w:t>
      </w:r>
      <w:r w:rsidRPr="00DC4A19">
        <w:rPr>
          <w:rFonts w:hint="cs"/>
          <w:u w:val="single"/>
          <w:rtl/>
        </w:rPr>
        <w:t xml:space="preserve"> </w:t>
      </w:r>
      <w:r>
        <w:rPr>
          <w:rFonts w:hint="cs"/>
          <w:szCs w:val="22"/>
          <w:rtl/>
        </w:rPr>
        <w:t>[ההדגשות הוספו]</w:t>
      </w:r>
    </w:p>
    <w:p w:rsidR="005366A8" w:rsidRDefault="005366A8" w:rsidP="005366A8">
      <w:pPr>
        <w:rPr>
          <w:rtl/>
        </w:rPr>
      </w:pPr>
    </w:p>
    <w:p w:rsidR="005366A8" w:rsidRDefault="005366A8" w:rsidP="005366A8">
      <w:pPr>
        <w:pStyle w:val="BodyText2"/>
        <w:spacing w:after="120"/>
        <w:rPr>
          <w:rtl/>
        </w:rPr>
      </w:pPr>
      <w:r>
        <w:rPr>
          <w:rtl/>
        </w:rPr>
        <w:t>סע' 23 לחוק הבחירות לכנסת, תשי"ט</w:t>
      </w:r>
      <w:r>
        <w:rPr>
          <w:rFonts w:hint="cs"/>
          <w:rtl/>
        </w:rPr>
        <w:t>-</w:t>
      </w:r>
      <w:r>
        <w:rPr>
          <w:rtl/>
        </w:rPr>
        <w:t xml:space="preserve">1959: </w:t>
      </w:r>
      <w:r w:rsidRPr="00BF2AB7">
        <w:rPr>
          <w:rFonts w:cs="David"/>
          <w:b/>
          <w:bCs/>
          <w:rtl/>
        </w:rPr>
        <w:t>"רשימת מועמדים שהוגשה כהלכה או שתוקנה לפי הסעיף הקודם, תאשר אותה הוועדה המרכזית ותודיע על כך...לבא-כוח הרשימה ולממלא מקומו."</w:t>
      </w:r>
      <w:r>
        <w:rPr>
          <w:rtl/>
        </w:rPr>
        <w:t xml:space="preserve"> </w:t>
      </w:r>
    </w:p>
    <w:p w:rsidR="005366A8" w:rsidRDefault="005366A8" w:rsidP="005366A8">
      <w:pPr>
        <w:rPr>
          <w:b/>
          <w:bCs/>
          <w:szCs w:val="22"/>
          <w:rtl/>
        </w:rPr>
      </w:pPr>
      <w:r w:rsidRPr="00EA7C7F">
        <w:rPr>
          <w:rFonts w:hint="cs"/>
          <w:szCs w:val="22"/>
          <w:rtl/>
        </w:rPr>
        <w:t>[שופט המיעוט]</w:t>
      </w:r>
      <w:r>
        <w:rPr>
          <w:rFonts w:hint="cs"/>
          <w:b/>
          <w:bCs/>
          <w:szCs w:val="22"/>
          <w:rtl/>
        </w:rPr>
        <w:t xml:space="preserve"> </w:t>
      </w:r>
      <w:r>
        <w:rPr>
          <w:b/>
          <w:bCs/>
          <w:szCs w:val="22"/>
          <w:rtl/>
        </w:rPr>
        <w:t xml:space="preserve">השופט חיים כהן: </w:t>
      </w:r>
    </w:p>
    <w:p w:rsidR="005366A8" w:rsidRPr="008C2B22" w:rsidRDefault="005366A8" w:rsidP="005366A8">
      <w:pPr>
        <w:ind w:left="720"/>
        <w:rPr>
          <w:sz w:val="20"/>
          <w:szCs w:val="20"/>
          <w:rtl/>
        </w:rPr>
      </w:pPr>
      <w:r w:rsidRPr="008C2B22">
        <w:rPr>
          <w:sz w:val="20"/>
          <w:szCs w:val="20"/>
          <w:rtl/>
        </w:rPr>
        <w:t xml:space="preserve">והיה אם נמצאה רשימה ערוכה כדין, וכל הוראותיהם של הסעיפים הקודמים נתקיימו בה ככתוב, כי אז אין החוק מעניק </w:t>
      </w:r>
      <w:r>
        <w:rPr>
          <w:rFonts w:hint="cs"/>
          <w:sz w:val="20"/>
          <w:szCs w:val="20"/>
          <w:rtl/>
        </w:rPr>
        <w:t>ל</w:t>
      </w:r>
      <w:r w:rsidRPr="008C2B22">
        <w:rPr>
          <w:sz w:val="20"/>
          <w:szCs w:val="20"/>
          <w:rtl/>
        </w:rPr>
        <w:t>וועדה שיקול דעת: רוצה, תאשר את הרשימה, רוצה, תסרב לאשרה: אלא אין אז לפני הוועדה כי אם דרך אחת בלבד, והוא לאשר את הרשימה. [376]</w:t>
      </w:r>
    </w:p>
    <w:p w:rsidR="005366A8" w:rsidRPr="008C2B22" w:rsidRDefault="005366A8" w:rsidP="005366A8">
      <w:pPr>
        <w:ind w:left="720"/>
        <w:rPr>
          <w:sz w:val="20"/>
          <w:szCs w:val="20"/>
          <w:rtl/>
        </w:rPr>
      </w:pPr>
      <w:r w:rsidRPr="008C2B22">
        <w:rPr>
          <w:sz w:val="20"/>
          <w:szCs w:val="20"/>
        </w:rPr>
        <w:t>…</w:t>
      </w:r>
      <w:r w:rsidRPr="008C2B22">
        <w:rPr>
          <w:sz w:val="20"/>
          <w:szCs w:val="20"/>
          <w:rtl/>
        </w:rPr>
        <w:t>גם אילולא ההוראה המפורשת בחוק יסוד: הכנסת, יש להעמיד את המחוקק בחזקתו שלא יבוא לשלול את הזכות לבחור או להיבחר לכנסת, אלא על פי חוק מפורש או על פי הכרעה שיפוטית של בית משפט מוסמך. [377]</w:t>
      </w:r>
    </w:p>
    <w:p w:rsidR="005366A8" w:rsidRPr="00066B33" w:rsidRDefault="005366A8" w:rsidP="005366A8">
      <w:pPr>
        <w:ind w:left="720"/>
        <w:rPr>
          <w:sz w:val="20"/>
          <w:szCs w:val="20"/>
          <w:rtl/>
        </w:rPr>
      </w:pPr>
      <w:r w:rsidRPr="00066B33">
        <w:rPr>
          <w:sz w:val="20"/>
          <w:szCs w:val="20"/>
          <w:rtl/>
        </w:rPr>
        <w:t xml:space="preserve">אומר מיד שמסכים אני בכל לב שיש הכרח בדבר שתהא נתונה הסמכות בידי גוף כלשהו, אם ועדת הבחירות המרכזית, או אם הכנסת עצמה, או אם בית המשפט, להוציא מן הכנסת כופרים בעיקר שכאלה הבוגדים במדינה והמסייעים בידי אוייביה. אבל אין זאת אומרת שסמכות זו אמנם מצויה בידי גוף כלשהו, לרבות ועדת הבחירות המרכזית. לפי החוק הקיים. </w:t>
      </w:r>
      <w:r w:rsidRPr="00EA7C7F">
        <w:rPr>
          <w:sz w:val="20"/>
          <w:szCs w:val="20"/>
          <w:highlight w:val="yellow"/>
          <w:rtl/>
        </w:rPr>
        <w:t>במדינה אשר בה שולט החוק, אין שוללים זכות מאדם, ויהא הוא הפושע המסוכן והבוגד הנבזה ביותר, אלא בהתאם לחוק בלבד.</w:t>
      </w:r>
      <w:r w:rsidRPr="00066B33">
        <w:rPr>
          <w:sz w:val="20"/>
          <w:szCs w:val="20"/>
          <w:rtl/>
        </w:rPr>
        <w:t xml:space="preserve"> [379]</w:t>
      </w:r>
    </w:p>
    <w:p w:rsidR="005366A8" w:rsidRPr="00066B33" w:rsidRDefault="005366A8" w:rsidP="005366A8">
      <w:pPr>
        <w:ind w:left="720"/>
        <w:rPr>
          <w:sz w:val="20"/>
          <w:szCs w:val="20"/>
          <w:rtl/>
        </w:rPr>
      </w:pPr>
      <w:r w:rsidRPr="00066B33">
        <w:rPr>
          <w:sz w:val="20"/>
          <w:szCs w:val="20"/>
          <w:rtl/>
        </w:rPr>
        <w:t>ולא זו אף זו: אפילו מקום שהיתה קיימת הסמכה מפורשת בחוק לשלול מאזרח זכות פלונית, והזכות היא מזכויות היסוד של האזרח, כמו חופש הדעה והדיבור, לא סמך בית-משפט זה את ידו על השימוש בסמכות חוקית זו, אם השלילה לא באה למנוע סכנה ממשית, ברורה ומידית (בג"צ 73/53: 87/53 - חברת "קול העם" בע"מ</w:t>
      </w:r>
      <w:r w:rsidRPr="00066B33">
        <w:rPr>
          <w:sz w:val="20"/>
          <w:szCs w:val="20"/>
        </w:rPr>
        <w:t>…</w:t>
      </w:r>
      <w:r w:rsidRPr="00066B33">
        <w:rPr>
          <w:sz w:val="20"/>
          <w:szCs w:val="20"/>
          <w:rtl/>
        </w:rPr>
        <w:t xml:space="preserve">). אין אני יכול לראות את הסכנה הממשית או הברורה או המידית הצפויה למדינה או למוסד ממסודותיה או לזכות מזכויותיה מהשתתפות רשימת מועמדים זו בבחירות לכנסת. </w:t>
      </w:r>
      <w:r w:rsidRPr="00066B33">
        <w:rPr>
          <w:sz w:val="20"/>
          <w:szCs w:val="20"/>
        </w:rPr>
        <w:t>…</w:t>
      </w:r>
      <w:r w:rsidRPr="00066B33">
        <w:rPr>
          <w:sz w:val="20"/>
          <w:szCs w:val="20"/>
          <w:rtl/>
        </w:rPr>
        <w:t>בחומר שהיה לפני ועדת הבחירות המרכזית, ושהוגש גם אלינו, לא היה כדי להצדיק, ולא כל שכן לחייב, מימצא שקיימת סכנה כאמור, ותשומת לב חברי הוועדה אף לא הופנתה לסכנה של ממש כאילו היא קיימת ומרחפת עלינו. [381]</w:t>
      </w:r>
    </w:p>
    <w:p w:rsidR="005366A8" w:rsidRPr="00066B33" w:rsidRDefault="005366A8" w:rsidP="005366A8">
      <w:pPr>
        <w:ind w:left="720"/>
        <w:rPr>
          <w:sz w:val="20"/>
          <w:szCs w:val="20"/>
          <w:rtl/>
        </w:rPr>
      </w:pPr>
      <w:r w:rsidRPr="00066B33">
        <w:rPr>
          <w:sz w:val="20"/>
          <w:szCs w:val="20"/>
          <w:highlight w:val="yellow"/>
          <w:rtl/>
        </w:rPr>
        <w:t>יש מהן מן המדינות אשר בהן בטחון המדינה, או קדושת הדת, או הישגי הריבולוציה וסכנות הקונטררבולוציה, וכל כיוצא באלה ערכים מערכים שונים, מכסים על כל פשע ומכפרים על כל מעשה שנעשה ללא סמכו</w:t>
      </w:r>
      <w:r w:rsidRPr="00066B33">
        <w:rPr>
          <w:rFonts w:hint="cs"/>
          <w:sz w:val="20"/>
          <w:szCs w:val="20"/>
          <w:highlight w:val="yellow"/>
          <w:rtl/>
        </w:rPr>
        <w:t>ת</w:t>
      </w:r>
      <w:r w:rsidRPr="00066B33">
        <w:rPr>
          <w:sz w:val="20"/>
          <w:szCs w:val="20"/>
          <w:highlight w:val="yellow"/>
          <w:rtl/>
        </w:rPr>
        <w:t xml:space="preserve"> ובניגוד לחוק. יש מהם אשר המציאו להם "משפט טבע" הגבוה מעל כל חוק, והמבטל אותו במקרה של צורך, בחינת עת לעשות הפרו התורה. כל אלה אינן דרכיה של מדינת ישראל: דרכיה דרכי חוק, והחוק ניתן מפי הכנסת או מכוח הסמכתה המפורשת</w:t>
      </w:r>
      <w:r w:rsidRPr="00066B33">
        <w:rPr>
          <w:sz w:val="20"/>
          <w:szCs w:val="20"/>
          <w:rtl/>
        </w:rPr>
        <w:t>. [382]</w:t>
      </w:r>
    </w:p>
    <w:p w:rsidR="005366A8" w:rsidRDefault="005366A8" w:rsidP="005366A8">
      <w:pPr>
        <w:rPr>
          <w:b/>
          <w:bCs/>
          <w:szCs w:val="22"/>
          <w:rtl/>
        </w:rPr>
      </w:pPr>
      <w:r>
        <w:rPr>
          <w:b/>
          <w:bCs/>
          <w:szCs w:val="22"/>
          <w:rtl/>
        </w:rPr>
        <w:t>הנשיא אגרנט:</w:t>
      </w:r>
    </w:p>
    <w:p w:rsidR="005366A8" w:rsidRPr="00066B33" w:rsidRDefault="005366A8" w:rsidP="005366A8">
      <w:pPr>
        <w:ind w:left="720"/>
        <w:rPr>
          <w:sz w:val="20"/>
          <w:szCs w:val="20"/>
          <w:rtl/>
        </w:rPr>
      </w:pPr>
      <w:r w:rsidRPr="00066B33">
        <w:rPr>
          <w:rFonts w:hint="cs"/>
          <w:sz w:val="20"/>
          <w:szCs w:val="20"/>
          <w:rtl/>
        </w:rPr>
        <w:t>ק</w:t>
      </w:r>
      <w:r w:rsidRPr="00066B33">
        <w:rPr>
          <w:sz w:val="20"/>
          <w:szCs w:val="20"/>
          <w:rtl/>
        </w:rPr>
        <w:t xml:space="preserve">ראתי בעיון רב את פסק דינו המאלף - ואם מותר לי להוסיף: האמיץ - של חברי הנכבד, השופט כהן, אך אין בידי להסכים למסקנה הסופית, אליה הגיע, </w:t>
      </w:r>
      <w:r w:rsidRPr="00066B33">
        <w:rPr>
          <w:rFonts w:hint="cs"/>
          <w:sz w:val="20"/>
          <w:szCs w:val="20"/>
          <w:rtl/>
        </w:rPr>
        <w:t>[...]</w:t>
      </w:r>
    </w:p>
    <w:p w:rsidR="005366A8" w:rsidRPr="00066B33" w:rsidRDefault="005366A8" w:rsidP="005366A8">
      <w:pPr>
        <w:ind w:left="720"/>
        <w:rPr>
          <w:sz w:val="20"/>
          <w:szCs w:val="20"/>
          <w:rtl/>
        </w:rPr>
      </w:pPr>
      <w:r w:rsidRPr="00066B33">
        <w:rPr>
          <w:sz w:val="20"/>
          <w:szCs w:val="20"/>
          <w:rtl/>
        </w:rPr>
        <w:t>הרי ברור, שכדי לעמוד על תוכן סמכותה הנזכרת של הוועדה, מחובתנו לשים קודם אל לבנו את "הנתונים" הקונסטיטוציוניים, השייכים לשאלה זו. והנה, לא יכול להיות ספק בדבר - וכך מלמדים ברורות הדברים שהוצהרו בשעתו בהכרזה על הקמת המדינה - כי לא זו בלבד שישראל הינה מדינה ריבונית, עצמאית, השוחרת חופש ומאופיינת על ידי משטר של שלטון העם, אלא גם שהיא הוקמה "כמדינה יהודית בארץ ישראל"</w:t>
      </w:r>
      <w:r w:rsidRPr="00066B33">
        <w:rPr>
          <w:sz w:val="20"/>
          <w:szCs w:val="20"/>
        </w:rPr>
        <w:t>…</w:t>
      </w:r>
      <w:r w:rsidRPr="00066B33">
        <w:rPr>
          <w:sz w:val="20"/>
          <w:szCs w:val="20"/>
          <w:rtl/>
        </w:rPr>
        <w:t>[385]</w:t>
      </w:r>
    </w:p>
    <w:p w:rsidR="005366A8" w:rsidRPr="00066B33" w:rsidRDefault="005366A8" w:rsidP="005366A8">
      <w:pPr>
        <w:ind w:left="720"/>
        <w:rPr>
          <w:sz w:val="20"/>
          <w:szCs w:val="20"/>
          <w:rtl/>
        </w:rPr>
      </w:pPr>
      <w:r w:rsidRPr="00066B33">
        <w:rPr>
          <w:sz w:val="20"/>
          <w:szCs w:val="20"/>
          <w:rtl/>
        </w:rPr>
        <w:t>למותר לציין, בשלב זה של חיי המדינה, כי הדברים האמורים מבטאים את חזון העם ואת האני מאמין שלו ושמחובתנו איפוא לשוותם לנגד עיניו "בשעה שאנו באים לפרש ולתת מובן לחוקי המדינה" (בג"צ 87/53 :73/53, קול העם נגד שר הפנים</w:t>
      </w:r>
      <w:r w:rsidRPr="00066B33">
        <w:rPr>
          <w:sz w:val="20"/>
          <w:szCs w:val="20"/>
        </w:rPr>
        <w:t>…</w:t>
      </w:r>
      <w:r w:rsidRPr="00066B33">
        <w:rPr>
          <w:sz w:val="20"/>
          <w:szCs w:val="20"/>
          <w:rtl/>
        </w:rPr>
        <w:t xml:space="preserve">), משמעותו של אותו "אני מאמין" הוא, שדבר המשכיותה - ואם תמצי לומר: </w:t>
      </w:r>
      <w:r w:rsidRPr="00066B33">
        <w:rPr>
          <w:b/>
          <w:bCs/>
          <w:sz w:val="20"/>
          <w:szCs w:val="20"/>
          <w:highlight w:val="yellow"/>
          <w:rtl/>
        </w:rPr>
        <w:t xml:space="preserve">"נצחיותה - של מדינת ישראל מהווה עובדת יסוד קונסטיטוציונית", </w:t>
      </w:r>
      <w:r w:rsidRPr="00066B33">
        <w:rPr>
          <w:sz w:val="20"/>
          <w:szCs w:val="20"/>
          <w:highlight w:val="yellow"/>
          <w:rtl/>
        </w:rPr>
        <w:t>אשר חלילה לה, לרשות כל שהיא של המדינה - בין רשות מינהלית ובין רשות שיפוטית או מעין שיפוטית - להתכחש אליה בבואה להפעיל סמכות מסמכויותיה</w:t>
      </w:r>
      <w:r w:rsidRPr="00066B33">
        <w:rPr>
          <w:sz w:val="20"/>
          <w:szCs w:val="20"/>
          <w:highlight w:val="yellow"/>
        </w:rPr>
        <w:t>…</w:t>
      </w:r>
      <w:r w:rsidRPr="00066B33">
        <w:rPr>
          <w:sz w:val="20"/>
          <w:szCs w:val="20"/>
          <w:rtl/>
        </w:rPr>
        <w:t xml:space="preserve"> [386]</w:t>
      </w:r>
    </w:p>
    <w:p w:rsidR="005366A8" w:rsidRPr="00066B33" w:rsidRDefault="005366A8" w:rsidP="005366A8">
      <w:pPr>
        <w:ind w:left="720"/>
        <w:rPr>
          <w:sz w:val="20"/>
          <w:szCs w:val="20"/>
          <w:rtl/>
        </w:rPr>
      </w:pPr>
      <w:r w:rsidRPr="00066B33">
        <w:rPr>
          <w:sz w:val="20"/>
          <w:szCs w:val="20"/>
          <w:rtl/>
        </w:rPr>
        <w:t xml:space="preserve">על כן, אם הנתון הקונסטיטוציוני, ששומה עלינו להתחשב בפרשנו את חוקי המדינה - ובפרט חוקים בעלי אופי קונסטיטוציוני - הוא הנתון, שמדינת ישראל הינה מדינה בת קיימא ושאין להרהר אחרי המשכיותה ונצחיותה, כי אז ברור שדין זה חל גם על הפירוש שיש לתת לאותה הוראת חוק, הקובעת את המוסד השלטוני, אשר למען בחירתו מתקיימות הבחירות הנדונות, הלא היא ההוראה הבאה </w:t>
      </w:r>
      <w:r w:rsidRPr="00066B33">
        <w:rPr>
          <w:sz w:val="20"/>
          <w:szCs w:val="20"/>
          <w:highlight w:val="yellow"/>
          <w:rtl/>
        </w:rPr>
        <w:t>בסעיף 1 לחוק יסוד: הכנסת, ואשר לשונה היא: "הכנסת היא בית הנבחרים של המדינה".</w:t>
      </w:r>
      <w:r w:rsidRPr="00066B33">
        <w:rPr>
          <w:sz w:val="20"/>
          <w:szCs w:val="20"/>
          <w:rtl/>
        </w:rPr>
        <w:t xml:space="preserve"> הדיבור הזה מה כוונתו אם לא למוסד המורכב מהנציגים שנבחרו על ידי כלל האזרחים ואשר מתפקידו לשקוד, באמצעות הממשלה הנושאת באחריות כלפיו, על הבטחת קיומה של מדינת ישראל ושלמותה, ואשר מכל מקום השאלה, אם יש לעשות לשם חיסול המדינה ושלילת ריבונותה, ואם לאו - </w:t>
      </w:r>
      <w:r w:rsidRPr="00066B33">
        <w:rPr>
          <w:b/>
          <w:bCs/>
          <w:sz w:val="20"/>
          <w:szCs w:val="20"/>
          <w:highlight w:val="yellow"/>
          <w:rtl/>
        </w:rPr>
        <w:t>שאלה זו אינה יכולה כלל לעלות על סדר יומו</w:t>
      </w:r>
      <w:r w:rsidRPr="00066B33">
        <w:rPr>
          <w:sz w:val="20"/>
          <w:szCs w:val="20"/>
          <w:highlight w:val="yellow"/>
          <w:rtl/>
        </w:rPr>
        <w:t>:</w:t>
      </w:r>
      <w:r w:rsidRPr="00066B33">
        <w:rPr>
          <w:sz w:val="20"/>
          <w:szCs w:val="20"/>
          <w:rtl/>
        </w:rPr>
        <w:t xml:space="preserve"> שהרי עצם הצגתה נוגדת את רצון העם השוכן בציון, את חזונו ואת האני מאמין שלו. </w:t>
      </w:r>
    </w:p>
    <w:p w:rsidR="005366A8" w:rsidRDefault="005366A8" w:rsidP="005366A8">
      <w:pPr>
        <w:ind w:left="720"/>
        <w:rPr>
          <w:sz w:val="20"/>
          <w:szCs w:val="20"/>
          <w:rtl/>
        </w:rPr>
      </w:pPr>
      <w:r w:rsidRPr="00066B33">
        <w:rPr>
          <w:sz w:val="20"/>
          <w:szCs w:val="20"/>
          <w:rtl/>
        </w:rPr>
        <w:t xml:space="preserve">הפועל יוצא מהדברים הללו הוא, שרשימת מועמדים הכופרים בעיקר הנ"ל אין לה, </w:t>
      </w:r>
      <w:r w:rsidRPr="00066B33">
        <w:rPr>
          <w:sz w:val="20"/>
          <w:szCs w:val="20"/>
        </w:rPr>
        <w:t>QUA</w:t>
      </w:r>
      <w:r w:rsidRPr="00066B33">
        <w:rPr>
          <w:sz w:val="20"/>
          <w:szCs w:val="20"/>
          <w:rtl/>
        </w:rPr>
        <w:t xml:space="preserve"> רשימה, כל זכות להשתתף בבחירות לבית הנבחרים. [386-7]</w:t>
      </w:r>
      <w:r>
        <w:rPr>
          <w:rFonts w:hint="cs"/>
          <w:sz w:val="20"/>
          <w:szCs w:val="20"/>
          <w:rtl/>
        </w:rPr>
        <w:t xml:space="preserve"> [...] [ציטוט מפסק דינו של השופט ויתקון בבג"צ 253/64 </w:t>
      </w:r>
      <w:r w:rsidRPr="007E5AA6">
        <w:rPr>
          <w:rFonts w:hint="cs"/>
          <w:b/>
          <w:bCs/>
          <w:sz w:val="20"/>
          <w:szCs w:val="20"/>
          <w:rtl/>
        </w:rPr>
        <w:t>ג'יריס</w:t>
      </w:r>
      <w:r>
        <w:rPr>
          <w:rFonts w:hint="cs"/>
          <w:sz w:val="20"/>
          <w:szCs w:val="20"/>
          <w:rtl/>
        </w:rPr>
        <w:t>:]</w:t>
      </w:r>
    </w:p>
    <w:p w:rsidR="005366A8" w:rsidRPr="00066B33" w:rsidRDefault="005366A8" w:rsidP="005366A8">
      <w:pPr>
        <w:ind w:left="1440"/>
        <w:rPr>
          <w:sz w:val="20"/>
          <w:szCs w:val="20"/>
          <w:rtl/>
        </w:rPr>
      </w:pPr>
      <w:r w:rsidRPr="00066B33">
        <w:rPr>
          <w:sz w:val="20"/>
          <w:szCs w:val="20"/>
          <w:rtl/>
        </w:rPr>
        <w:t xml:space="preserve">"לא פעם קרה בהיסטוריה של מדינות בעלות משטר דמוקרטי תקין, שקמו עליהן תנועות פשיסטיות וטוטליטריות למיניהן, והשתמשו בכל אותן הזכויות של חופש הדיבור, העתונות וההתאגדות, שהמדינה מעניקה להן, כדי לנהל את פעילותן ההרסנית בחסותן. </w:t>
      </w:r>
      <w:r w:rsidRPr="00066B33">
        <w:rPr>
          <w:b/>
          <w:bCs/>
          <w:sz w:val="20"/>
          <w:szCs w:val="20"/>
          <w:highlight w:val="yellow"/>
          <w:rtl/>
        </w:rPr>
        <w:t>מי שראה זאת בימי הרפובליקה של ויימר לא ישכח את הלקח</w:t>
      </w:r>
      <w:r w:rsidRPr="00066B33">
        <w:rPr>
          <w:sz w:val="20"/>
          <w:szCs w:val="20"/>
          <w:highlight w:val="yellow"/>
          <w:rtl/>
        </w:rPr>
        <w:t>".</w:t>
      </w:r>
    </w:p>
    <w:p w:rsidR="005366A8" w:rsidRDefault="005366A8" w:rsidP="005366A8">
      <w:pPr>
        <w:rPr>
          <w:b/>
          <w:bCs/>
          <w:szCs w:val="22"/>
          <w:rtl/>
        </w:rPr>
      </w:pPr>
      <w:r>
        <w:rPr>
          <w:b/>
          <w:bCs/>
          <w:szCs w:val="22"/>
          <w:rtl/>
        </w:rPr>
        <w:t>השופט זוסמן:</w:t>
      </w:r>
    </w:p>
    <w:p w:rsidR="005366A8" w:rsidRPr="00066B33" w:rsidRDefault="005366A8" w:rsidP="005366A8">
      <w:pPr>
        <w:ind w:left="720"/>
        <w:rPr>
          <w:sz w:val="20"/>
          <w:szCs w:val="20"/>
          <w:rtl/>
        </w:rPr>
      </w:pPr>
      <w:r w:rsidRPr="000C37D4">
        <w:rPr>
          <w:sz w:val="20"/>
          <w:szCs w:val="20"/>
          <w:highlight w:val="yellow"/>
          <w:rtl/>
        </w:rPr>
        <w:t>גם בלבי אין ספק בכך שחוק הבחירות לכנסת לא הסמיך את ועדת הבחירות המרכזית לאשר או לסרב לאשר רשימת מועמדים לפי שיקול דעתה</w:t>
      </w:r>
      <w:r w:rsidRPr="00066B33">
        <w:rPr>
          <w:sz w:val="20"/>
          <w:szCs w:val="20"/>
          <w:rtl/>
        </w:rPr>
        <w:t xml:space="preserve">. </w:t>
      </w:r>
      <w:r w:rsidRPr="00066B33">
        <w:rPr>
          <w:sz w:val="20"/>
          <w:szCs w:val="20"/>
        </w:rPr>
        <w:t>…</w:t>
      </w:r>
      <w:r w:rsidRPr="00066B33">
        <w:rPr>
          <w:sz w:val="20"/>
          <w:szCs w:val="20"/>
          <w:rtl/>
        </w:rPr>
        <w:t xml:space="preserve"> אך </w:t>
      </w:r>
      <w:r w:rsidRPr="000C37D4">
        <w:rPr>
          <w:sz w:val="20"/>
          <w:szCs w:val="20"/>
          <w:highlight w:val="yellow"/>
          <w:rtl/>
        </w:rPr>
        <w:t>לא זו היתה השאלה שעמדה לפנינו</w:t>
      </w:r>
      <w:r w:rsidRPr="00066B33">
        <w:rPr>
          <w:sz w:val="20"/>
          <w:szCs w:val="20"/>
          <w:rtl/>
        </w:rPr>
        <w:t xml:space="preserve">, אלא השאלה היתה כפי שהגדיר אותה יושב ראש הוועדה בישיבתה מיום 29.9.65 </w:t>
      </w:r>
      <w:r w:rsidRPr="00066B33">
        <w:rPr>
          <w:sz w:val="20"/>
          <w:szCs w:val="20"/>
        </w:rPr>
        <w:t>…</w:t>
      </w:r>
      <w:r w:rsidRPr="00066B33">
        <w:rPr>
          <w:sz w:val="20"/>
          <w:szCs w:val="20"/>
          <w:rtl/>
        </w:rPr>
        <w:t xml:space="preserve"> </w:t>
      </w:r>
      <w:r w:rsidRPr="00066B33">
        <w:rPr>
          <w:sz w:val="20"/>
          <w:szCs w:val="20"/>
          <w:highlight w:val="yellow"/>
          <w:rtl/>
        </w:rPr>
        <w:t>אם רשאית הוועדה לבחון את כשרות הרשימה על פי עקרון שאינו כתוב בספר החוקים.</w:t>
      </w:r>
      <w:r w:rsidRPr="00066B33">
        <w:rPr>
          <w:sz w:val="20"/>
          <w:szCs w:val="20"/>
          <w:rtl/>
        </w:rPr>
        <w:t xml:space="preserve"> [389]</w:t>
      </w:r>
    </w:p>
    <w:p w:rsidR="005366A8" w:rsidRPr="00066B33" w:rsidRDefault="005366A8" w:rsidP="005366A8">
      <w:pPr>
        <w:ind w:left="720"/>
        <w:rPr>
          <w:sz w:val="20"/>
          <w:szCs w:val="20"/>
          <w:rtl/>
        </w:rPr>
      </w:pPr>
      <w:r w:rsidRPr="00066B33">
        <w:rPr>
          <w:sz w:val="20"/>
          <w:szCs w:val="20"/>
          <w:rtl/>
        </w:rPr>
        <w:t>בחוות דעת שמסר בית המשפט העליון הגרמני ביום 6 בספטמבר 1953</w:t>
      </w:r>
      <w:r w:rsidRPr="00066B33">
        <w:rPr>
          <w:sz w:val="20"/>
          <w:szCs w:val="20"/>
        </w:rPr>
        <w:t>…</w:t>
      </w:r>
      <w:r w:rsidRPr="00066B33">
        <w:rPr>
          <w:sz w:val="20"/>
          <w:szCs w:val="20"/>
          <w:rtl/>
        </w:rPr>
        <w:t xml:space="preserve"> הוא מביא, תוך הסכמה</w:t>
      </w:r>
      <w:r w:rsidRPr="00066B33">
        <w:rPr>
          <w:sz w:val="20"/>
          <w:szCs w:val="20"/>
        </w:rPr>
        <w:t>…</w:t>
      </w:r>
      <w:r w:rsidRPr="00066B33">
        <w:rPr>
          <w:sz w:val="20"/>
          <w:szCs w:val="20"/>
          <w:rtl/>
        </w:rPr>
        <w:t xml:space="preserve"> דברים אלה</w:t>
      </w:r>
      <w:r w:rsidRPr="00066B33">
        <w:rPr>
          <w:sz w:val="20"/>
          <w:szCs w:val="20"/>
        </w:rPr>
        <w:t>…</w:t>
      </w:r>
      <w:r w:rsidRPr="00066B33">
        <w:rPr>
          <w:sz w:val="20"/>
          <w:szCs w:val="20"/>
          <w:rtl/>
        </w:rPr>
        <w:t>:</w:t>
      </w:r>
    </w:p>
    <w:p w:rsidR="005366A8" w:rsidRPr="00066B33" w:rsidRDefault="005366A8" w:rsidP="005366A8">
      <w:pPr>
        <w:ind w:left="1440"/>
        <w:rPr>
          <w:sz w:val="20"/>
          <w:szCs w:val="20"/>
          <w:rtl/>
        </w:rPr>
      </w:pPr>
      <w:r w:rsidRPr="00066B33">
        <w:rPr>
          <w:sz w:val="20"/>
          <w:szCs w:val="20"/>
          <w:rtl/>
        </w:rPr>
        <w:t xml:space="preserve">"אין לשלול פסלותה של הוראה בחוקה על שום כך בלבד שההוראה עצמה היא חלק מן החוקה. </w:t>
      </w:r>
      <w:r w:rsidRPr="00066B33">
        <w:rPr>
          <w:b/>
          <w:bCs/>
          <w:sz w:val="20"/>
          <w:szCs w:val="20"/>
          <w:rtl/>
        </w:rPr>
        <w:t>ישנם כללים חוקתיים שהם כה יסודיים והם ביטוי של דין על חוקתי, עד כדי לקשור את מחוקק החוקה בכבודו ובעצמו</w:t>
      </w:r>
      <w:r w:rsidRPr="00066B33">
        <w:rPr>
          <w:sz w:val="20"/>
          <w:szCs w:val="20"/>
          <w:rtl/>
        </w:rPr>
        <w:t xml:space="preserve">; הוראות חוקה אחרות, שאינן בעלות דרגה כזאת והן עומדות בסתירה לכללים אלה, יכולות להיפסל". </w:t>
      </w:r>
    </w:p>
    <w:p w:rsidR="005366A8" w:rsidRPr="00066B33" w:rsidRDefault="005366A8" w:rsidP="005366A8">
      <w:pPr>
        <w:ind w:left="720"/>
        <w:rPr>
          <w:sz w:val="20"/>
          <w:szCs w:val="20"/>
          <w:rtl/>
        </w:rPr>
      </w:pPr>
      <w:r w:rsidRPr="00066B33">
        <w:rPr>
          <w:sz w:val="20"/>
          <w:szCs w:val="20"/>
          <w:highlight w:val="yellow"/>
          <w:rtl/>
        </w:rPr>
        <w:t>אם בארץ בעלת חוקה כתובה כך, בארץ שאין לה חוקה כתובה על אחת כמה וכמה כדרך שאדם אינו חייב להסכים לכך שיהרגוהו, כך גם מדינה אינה חייבת להסכים שיחסלוה וימחקוה מן המפה, שופטיה אינם רשאים לשבת בחיבוק ידים ולהתייאש מהעדר דין פוזיטיבי שבעל דין מבקש מהם, שיושיטו לו יד עזר כדי להביא את הקץ על המדינה.</w:t>
      </w:r>
      <w:r w:rsidRPr="00066B33">
        <w:rPr>
          <w:sz w:val="20"/>
          <w:szCs w:val="20"/>
          <w:rtl/>
        </w:rPr>
        <w:t xml:space="preserve"> כיוצא בזה גם רשות אחרת מרשויות המדינה אינה צריכה לשמש מכשיר בידי מי ששם לעצמו את חיסול המדינה כמטרה, ואין לו - אולי - מטרה אחרת זולתה. [390]</w:t>
      </w:r>
    </w:p>
    <w:p w:rsidR="005366A8" w:rsidRDefault="005366A8" w:rsidP="005366A8">
      <w:pPr>
        <w:ind w:left="720"/>
        <w:rPr>
          <w:szCs w:val="22"/>
          <w:rtl/>
        </w:rPr>
      </w:pPr>
      <w:r w:rsidRPr="00066B33">
        <w:rPr>
          <w:sz w:val="20"/>
          <w:szCs w:val="20"/>
        </w:rPr>
        <w:t>…</w:t>
      </w:r>
      <w:r w:rsidRPr="00066B33">
        <w:rPr>
          <w:sz w:val="20"/>
          <w:szCs w:val="20"/>
          <w:rtl/>
        </w:rPr>
        <w:t xml:space="preserve">בית המשפט הגרמני לחוקה, בדונו בשאלת חוקיותה של מפלגה, דיבר על "דמוקרטיה לוחמת" שאינה פותחת את שעריה למעשי חתירה במסווה של פעילות פרלמנטרית לגיטימית. כשלעצמי, לגבי ישראל, מוכן אני להסתפק </w:t>
      </w:r>
      <w:r w:rsidRPr="00066B33">
        <w:rPr>
          <w:sz w:val="20"/>
          <w:szCs w:val="20"/>
          <w:highlight w:val="yellow"/>
          <w:rtl/>
        </w:rPr>
        <w:t>ב</w:t>
      </w:r>
      <w:r w:rsidRPr="00066B33">
        <w:rPr>
          <w:b/>
          <w:bCs/>
          <w:sz w:val="20"/>
          <w:szCs w:val="20"/>
          <w:highlight w:val="yellow"/>
          <w:rtl/>
        </w:rPr>
        <w:t>"דמוקרטיה מתגוננת"</w:t>
      </w:r>
      <w:r w:rsidRPr="00066B33">
        <w:rPr>
          <w:sz w:val="20"/>
          <w:szCs w:val="20"/>
          <w:rtl/>
        </w:rPr>
        <w:t xml:space="preserve"> וכלים להגנה על קיום המדינה מצויים בידינו, גם אם לא מצאנום מפורטים בחוק הבחירות. [390]</w:t>
      </w:r>
    </w:p>
    <w:p w:rsidR="005366A8" w:rsidRDefault="005366A8" w:rsidP="005366A8">
      <w:pPr>
        <w:rPr>
          <w:sz w:val="20"/>
          <w:szCs w:val="20"/>
          <w:rtl/>
        </w:rPr>
      </w:pPr>
    </w:p>
    <w:p w:rsidR="005366A8" w:rsidRDefault="005366A8" w:rsidP="005366A8">
      <w:pPr>
        <w:rPr>
          <w:sz w:val="20"/>
          <w:szCs w:val="20"/>
          <w:rtl/>
        </w:rPr>
      </w:pPr>
      <w:r>
        <w:rPr>
          <w:rFonts w:hint="cs"/>
          <w:sz w:val="20"/>
          <w:szCs w:val="20"/>
          <w:rtl/>
        </w:rPr>
        <w:t>=-=</w:t>
      </w:r>
    </w:p>
    <w:p w:rsidR="005366A8" w:rsidRPr="00467FE6" w:rsidRDefault="005366A8" w:rsidP="005366A8">
      <w:pPr>
        <w:rPr>
          <w:b/>
          <w:bCs/>
          <w:sz w:val="20"/>
          <w:szCs w:val="20"/>
          <w:u w:val="single"/>
          <w:rtl/>
        </w:rPr>
      </w:pPr>
      <w:r w:rsidRPr="00467FE6">
        <w:rPr>
          <w:rFonts w:hint="cs"/>
          <w:b/>
          <w:bCs/>
          <w:sz w:val="20"/>
          <w:szCs w:val="20"/>
          <w:u w:val="single"/>
          <w:rtl/>
        </w:rPr>
        <w:t>ההשתלשלות העוקבת</w:t>
      </w:r>
      <w:r>
        <w:rPr>
          <w:rFonts w:hint="cs"/>
          <w:b/>
          <w:bCs/>
          <w:sz w:val="20"/>
          <w:szCs w:val="20"/>
          <w:u w:val="single"/>
          <w:rtl/>
        </w:rPr>
        <w:t xml:space="preserve"> לפסק דין </w:t>
      </w:r>
      <w:r w:rsidRPr="00871E06">
        <w:rPr>
          <w:rFonts w:hint="cs"/>
          <w:b/>
          <w:bCs/>
          <w:i/>
          <w:iCs/>
          <w:sz w:val="20"/>
          <w:szCs w:val="20"/>
          <w:u w:val="single"/>
          <w:rtl/>
        </w:rPr>
        <w:t>ירדור</w:t>
      </w:r>
      <w:r>
        <w:rPr>
          <w:rFonts w:hint="cs"/>
          <w:b/>
          <w:bCs/>
          <w:sz w:val="20"/>
          <w:szCs w:val="20"/>
          <w:u w:val="single"/>
          <w:rtl/>
        </w:rPr>
        <w:t xml:space="preserve"> מתחילה כמעט עשרים שנה אחר כך</w:t>
      </w:r>
      <w:r w:rsidRPr="00467FE6">
        <w:rPr>
          <w:rFonts w:hint="cs"/>
          <w:b/>
          <w:bCs/>
          <w:sz w:val="20"/>
          <w:szCs w:val="20"/>
          <w:u w:val="single"/>
          <w:rtl/>
        </w:rPr>
        <w:t xml:space="preserve">: </w:t>
      </w:r>
    </w:p>
    <w:p w:rsidR="005366A8" w:rsidRPr="00467FE6" w:rsidRDefault="005366A8" w:rsidP="005366A8">
      <w:pPr>
        <w:rPr>
          <w:b/>
          <w:bCs/>
          <w:sz w:val="20"/>
          <w:szCs w:val="20"/>
          <w:rtl/>
        </w:rPr>
      </w:pPr>
      <w:r w:rsidRPr="00467FE6">
        <w:rPr>
          <w:b/>
          <w:bCs/>
          <w:sz w:val="20"/>
          <w:szCs w:val="20"/>
          <w:rtl/>
        </w:rPr>
        <w:t>1984</w:t>
      </w:r>
      <w:r>
        <w:rPr>
          <w:rFonts w:hint="cs"/>
          <w:b/>
          <w:bCs/>
          <w:sz w:val="20"/>
          <w:szCs w:val="20"/>
          <w:rtl/>
        </w:rPr>
        <w:t>.</w:t>
      </w:r>
      <w:r w:rsidRPr="00467FE6">
        <w:rPr>
          <w:b/>
          <w:bCs/>
          <w:sz w:val="20"/>
          <w:szCs w:val="20"/>
          <w:rtl/>
        </w:rPr>
        <w:t xml:space="preserve"> </w:t>
      </w:r>
      <w:r w:rsidRPr="00467FE6">
        <w:rPr>
          <w:sz w:val="20"/>
          <w:szCs w:val="20"/>
          <w:rtl/>
        </w:rPr>
        <w:t xml:space="preserve">פס"ד </w:t>
      </w:r>
      <w:r w:rsidRPr="00467FE6">
        <w:rPr>
          <w:b/>
          <w:bCs/>
          <w:sz w:val="20"/>
          <w:szCs w:val="20"/>
          <w:rtl/>
        </w:rPr>
        <w:t>ניימן1</w:t>
      </w:r>
    </w:p>
    <w:p w:rsidR="005366A8" w:rsidRDefault="005366A8" w:rsidP="005366A8">
      <w:pPr>
        <w:spacing w:after="60"/>
        <w:ind w:left="720"/>
        <w:rPr>
          <w:sz w:val="20"/>
          <w:szCs w:val="20"/>
          <w:rtl/>
        </w:rPr>
      </w:pPr>
      <w:r w:rsidRPr="00467FE6">
        <w:rPr>
          <w:sz w:val="20"/>
          <w:szCs w:val="20"/>
          <w:rtl/>
        </w:rPr>
        <w:t xml:space="preserve">ועדת הבחירות פוסלת 2 מפלגות: את </w:t>
      </w:r>
      <w:r>
        <w:rPr>
          <w:rFonts w:hint="cs"/>
          <w:sz w:val="20"/>
          <w:szCs w:val="20"/>
          <w:rtl/>
        </w:rPr>
        <w:t xml:space="preserve">רשימת </w:t>
      </w:r>
      <w:r w:rsidRPr="00467FE6">
        <w:rPr>
          <w:sz w:val="20"/>
          <w:szCs w:val="20"/>
          <w:rtl/>
        </w:rPr>
        <w:t xml:space="preserve">"כך" </w:t>
      </w:r>
      <w:r w:rsidRPr="00467FE6">
        <w:rPr>
          <w:rFonts w:hint="cs"/>
          <w:sz w:val="20"/>
          <w:szCs w:val="20"/>
          <w:rtl/>
        </w:rPr>
        <w:t>הגזענית</w:t>
      </w:r>
      <w:r>
        <w:rPr>
          <w:rFonts w:hint="cs"/>
          <w:sz w:val="20"/>
          <w:szCs w:val="20"/>
          <w:rtl/>
        </w:rPr>
        <w:t>, זו שמנהיגה הוא הרב מאיר כהנא,</w:t>
      </w:r>
      <w:r w:rsidRPr="00467FE6">
        <w:rPr>
          <w:rFonts w:hint="cs"/>
          <w:sz w:val="20"/>
          <w:szCs w:val="20"/>
          <w:rtl/>
        </w:rPr>
        <w:t xml:space="preserve"> </w:t>
      </w:r>
      <w:r w:rsidRPr="00467FE6">
        <w:rPr>
          <w:sz w:val="20"/>
          <w:szCs w:val="20"/>
          <w:rtl/>
        </w:rPr>
        <w:t>ואת "הרשימה המתקדמת"</w:t>
      </w:r>
      <w:r w:rsidRPr="00467FE6">
        <w:rPr>
          <w:rFonts w:hint="cs"/>
          <w:sz w:val="20"/>
          <w:szCs w:val="20"/>
          <w:rtl/>
        </w:rPr>
        <w:t xml:space="preserve"> הערבית</w:t>
      </w:r>
      <w:r w:rsidRPr="00467FE6">
        <w:rPr>
          <w:sz w:val="20"/>
          <w:szCs w:val="20"/>
          <w:rtl/>
        </w:rPr>
        <w:t xml:space="preserve">.  </w:t>
      </w:r>
    </w:p>
    <w:p w:rsidR="005366A8" w:rsidRDefault="005366A8" w:rsidP="005366A8">
      <w:pPr>
        <w:spacing w:after="60"/>
        <w:ind w:left="720"/>
        <w:rPr>
          <w:sz w:val="20"/>
          <w:szCs w:val="20"/>
          <w:rtl/>
        </w:rPr>
      </w:pPr>
      <w:r>
        <w:rPr>
          <w:rFonts w:hint="cs"/>
          <w:sz w:val="20"/>
          <w:szCs w:val="20"/>
          <w:rtl/>
        </w:rPr>
        <w:t xml:space="preserve">בפסק דין זה, </w:t>
      </w:r>
      <w:r w:rsidRPr="00467FE6">
        <w:rPr>
          <w:sz w:val="20"/>
          <w:szCs w:val="20"/>
          <w:rtl/>
        </w:rPr>
        <w:t xml:space="preserve">בית המשפט </w:t>
      </w:r>
      <w:r>
        <w:rPr>
          <w:rFonts w:hint="cs"/>
          <w:sz w:val="20"/>
          <w:szCs w:val="20"/>
          <w:rtl/>
        </w:rPr>
        <w:t>העליון מתחם {מסמן גבולות, גבולות צרים} את</w:t>
      </w:r>
      <w:r w:rsidRPr="00467FE6">
        <w:rPr>
          <w:sz w:val="20"/>
          <w:szCs w:val="20"/>
          <w:rtl/>
        </w:rPr>
        <w:t xml:space="preserve"> הלכת </w:t>
      </w:r>
      <w:r w:rsidRPr="00467FE6">
        <w:rPr>
          <w:b/>
          <w:bCs/>
          <w:sz w:val="20"/>
          <w:szCs w:val="20"/>
          <w:rtl/>
        </w:rPr>
        <w:t>ירדור</w:t>
      </w:r>
      <w:r>
        <w:rPr>
          <w:rFonts w:hint="cs"/>
          <w:b/>
          <w:bCs/>
          <w:sz w:val="20"/>
          <w:szCs w:val="20"/>
          <w:rtl/>
        </w:rPr>
        <w:t>.</w:t>
      </w:r>
      <w:r w:rsidRPr="00467FE6">
        <w:rPr>
          <w:b/>
          <w:bCs/>
          <w:sz w:val="20"/>
          <w:szCs w:val="20"/>
          <w:rtl/>
        </w:rPr>
        <w:t xml:space="preserve"> </w:t>
      </w:r>
      <w:r w:rsidRPr="008275F8">
        <w:rPr>
          <w:rFonts w:hint="cs"/>
          <w:sz w:val="20"/>
          <w:szCs w:val="20"/>
          <w:rtl/>
        </w:rPr>
        <w:t>הוא מ</w:t>
      </w:r>
      <w:r w:rsidRPr="00467FE6">
        <w:rPr>
          <w:sz w:val="20"/>
          <w:szCs w:val="20"/>
          <w:rtl/>
        </w:rPr>
        <w:t>בהיר שהבסיס</w:t>
      </w:r>
      <w:r w:rsidRPr="00BC6F2F">
        <w:rPr>
          <w:sz w:val="20"/>
          <w:szCs w:val="20"/>
          <w:rtl/>
        </w:rPr>
        <w:t xml:space="preserve"> היחיד שהצדיק שם</w:t>
      </w:r>
      <w:r>
        <w:rPr>
          <w:rFonts w:hint="cs"/>
          <w:sz w:val="20"/>
          <w:szCs w:val="20"/>
          <w:rtl/>
        </w:rPr>
        <w:t>, ב</w:t>
      </w:r>
      <w:r w:rsidRPr="008275F8">
        <w:rPr>
          <w:rFonts w:hint="cs"/>
          <w:b/>
          <w:bCs/>
          <w:sz w:val="20"/>
          <w:szCs w:val="20"/>
          <w:rtl/>
        </w:rPr>
        <w:t>ירדור</w:t>
      </w:r>
      <w:r>
        <w:rPr>
          <w:rFonts w:hint="cs"/>
          <w:sz w:val="20"/>
          <w:szCs w:val="20"/>
          <w:rtl/>
        </w:rPr>
        <w:t>,</w:t>
      </w:r>
      <w:r w:rsidRPr="00BC6F2F">
        <w:rPr>
          <w:sz w:val="20"/>
          <w:szCs w:val="20"/>
          <w:rtl/>
        </w:rPr>
        <w:t xml:space="preserve"> את הסטיה מעקרון החוקיות</w:t>
      </w:r>
      <w:r>
        <w:rPr>
          <w:rFonts w:hint="cs"/>
          <w:sz w:val="20"/>
          <w:szCs w:val="20"/>
          <w:rtl/>
        </w:rPr>
        <w:t>,</w:t>
      </w:r>
      <w:r w:rsidRPr="00BC6F2F">
        <w:rPr>
          <w:sz w:val="20"/>
          <w:szCs w:val="20"/>
          <w:rtl/>
        </w:rPr>
        <w:t xml:space="preserve"> הוא החתירה </w:t>
      </w:r>
      <w:r w:rsidRPr="008275F8">
        <w:rPr>
          <w:i/>
          <w:iCs/>
          <w:sz w:val="20"/>
          <w:szCs w:val="20"/>
          <w:rtl/>
        </w:rPr>
        <w:t>כנגד עצם קיום המדינה</w:t>
      </w:r>
      <w:r w:rsidRPr="00BC6F2F">
        <w:rPr>
          <w:sz w:val="20"/>
          <w:szCs w:val="20"/>
          <w:rtl/>
        </w:rPr>
        <w:t xml:space="preserve">.  </w:t>
      </w:r>
    </w:p>
    <w:p w:rsidR="005366A8" w:rsidRDefault="005366A8" w:rsidP="005366A8">
      <w:pPr>
        <w:spacing w:after="60"/>
        <w:ind w:left="720"/>
        <w:rPr>
          <w:sz w:val="20"/>
          <w:szCs w:val="20"/>
          <w:rtl/>
        </w:rPr>
      </w:pPr>
      <w:r w:rsidRPr="00BC6F2F">
        <w:rPr>
          <w:sz w:val="20"/>
          <w:szCs w:val="20"/>
          <w:rtl/>
        </w:rPr>
        <w:t xml:space="preserve">לגבי </w:t>
      </w:r>
      <w:r>
        <w:rPr>
          <w:rFonts w:hint="cs"/>
          <w:sz w:val="20"/>
          <w:szCs w:val="20"/>
          <w:rtl/>
        </w:rPr>
        <w:t xml:space="preserve">חתירה מסוג אחר: </w:t>
      </w:r>
      <w:r w:rsidRPr="00BC6F2F">
        <w:rPr>
          <w:sz w:val="20"/>
          <w:szCs w:val="20"/>
          <w:rtl/>
        </w:rPr>
        <w:t>חתירה לשנות את אופי המדינה ממדינה יהודית למדינה אחרת</w:t>
      </w:r>
      <w:r>
        <w:rPr>
          <w:rFonts w:hint="cs"/>
          <w:sz w:val="20"/>
          <w:szCs w:val="20"/>
          <w:rtl/>
        </w:rPr>
        <w:t xml:space="preserve"> ("מדינת כל אזרחיה", שעליה דיברה הרשימה המתקדמת)</w:t>
      </w:r>
      <w:r w:rsidRPr="00BC6F2F">
        <w:rPr>
          <w:sz w:val="20"/>
          <w:szCs w:val="20"/>
          <w:rtl/>
        </w:rPr>
        <w:t>, או חתירה כנגד אופיה הדמוקרטי</w:t>
      </w:r>
      <w:r>
        <w:rPr>
          <w:rFonts w:hint="cs"/>
          <w:sz w:val="20"/>
          <w:szCs w:val="20"/>
          <w:rtl/>
        </w:rPr>
        <w:t xml:space="preserve"> (גזענותה של כך) </w:t>
      </w:r>
      <w:r>
        <w:rPr>
          <w:sz w:val="20"/>
          <w:szCs w:val="20"/>
          <w:rtl/>
        </w:rPr>
        <w:t>–</w:t>
      </w:r>
      <w:r>
        <w:rPr>
          <w:rFonts w:hint="cs"/>
          <w:sz w:val="20"/>
          <w:szCs w:val="20"/>
          <w:rtl/>
        </w:rPr>
        <w:t xml:space="preserve"> אלו</w:t>
      </w:r>
      <w:r w:rsidRPr="00BC6F2F">
        <w:rPr>
          <w:sz w:val="20"/>
          <w:szCs w:val="20"/>
          <w:rtl/>
        </w:rPr>
        <w:t xml:space="preserve"> אינ</w:t>
      </w:r>
      <w:r>
        <w:rPr>
          <w:rFonts w:hint="cs"/>
          <w:sz w:val="20"/>
          <w:szCs w:val="20"/>
          <w:rtl/>
        </w:rPr>
        <w:t>ן יכולות</w:t>
      </w:r>
      <w:r w:rsidRPr="00BC6F2F">
        <w:rPr>
          <w:sz w:val="20"/>
          <w:szCs w:val="20"/>
          <w:rtl/>
        </w:rPr>
        <w:t xml:space="preserve"> להוות בסיס המצדיק את הסטיה מעקרון החוקיות.  אם הכנסת רוצה </w:t>
      </w:r>
      <w:r>
        <w:rPr>
          <w:rFonts w:hint="cs"/>
          <w:sz w:val="20"/>
          <w:szCs w:val="20"/>
          <w:rtl/>
        </w:rPr>
        <w:t xml:space="preserve">לפוסלן, או לפסול מי מהן, </w:t>
      </w:r>
      <w:r w:rsidRPr="00BC6F2F">
        <w:rPr>
          <w:sz w:val="20"/>
          <w:szCs w:val="20"/>
          <w:rtl/>
        </w:rPr>
        <w:t>היא צריכה להתכבד ול</w:t>
      </w:r>
      <w:r>
        <w:rPr>
          <w:rFonts w:hint="cs"/>
          <w:sz w:val="20"/>
          <w:szCs w:val="20"/>
          <w:rtl/>
        </w:rPr>
        <w:t>יצור</w:t>
      </w:r>
      <w:r w:rsidRPr="00BC6F2F">
        <w:rPr>
          <w:sz w:val="20"/>
          <w:szCs w:val="20"/>
          <w:rtl/>
        </w:rPr>
        <w:t xml:space="preserve"> את סמכות הפסילה.  </w:t>
      </w:r>
    </w:p>
    <w:p w:rsidR="005366A8" w:rsidRDefault="005366A8" w:rsidP="005366A8">
      <w:pPr>
        <w:spacing w:after="60"/>
        <w:ind w:left="720"/>
        <w:rPr>
          <w:sz w:val="20"/>
          <w:szCs w:val="20"/>
          <w:rtl/>
        </w:rPr>
      </w:pPr>
      <w:r>
        <w:rPr>
          <w:rFonts w:hint="cs"/>
          <w:sz w:val="20"/>
          <w:szCs w:val="20"/>
          <w:rtl/>
        </w:rPr>
        <w:t>ראו את דבריו של הנשיא שמגר:</w:t>
      </w:r>
    </w:p>
    <w:p w:rsidR="005366A8" w:rsidRPr="008275F8" w:rsidRDefault="005366A8" w:rsidP="005366A8">
      <w:pPr>
        <w:spacing w:after="60"/>
        <w:ind w:left="1440"/>
        <w:rPr>
          <w:rFonts w:cs="FrankRuehl"/>
          <w:sz w:val="22"/>
          <w:szCs w:val="22"/>
          <w:rtl/>
        </w:rPr>
      </w:pPr>
      <w:r w:rsidRPr="008275F8">
        <w:rPr>
          <w:rFonts w:cs="FrankRuehl"/>
          <w:sz w:val="22"/>
          <w:szCs w:val="22"/>
          <w:rtl/>
        </w:rPr>
        <w:t>האמור לעיל יש בו כדי להשיב על השאלה הרביעית שהוצגה לעיל, והיא, מהי המידה, אם בכלל, בה ניתן להוסיף על מה שנקבע על-ידי בת המשפט העליון בע"ב 1/65[1]</w:t>
      </w:r>
      <w:r>
        <w:rPr>
          <w:rFonts w:cs="FrankRuehl" w:hint="cs"/>
          <w:sz w:val="22"/>
          <w:szCs w:val="22"/>
          <w:rtl/>
        </w:rPr>
        <w:t xml:space="preserve"> {</w:t>
      </w:r>
      <w:r w:rsidRPr="008275F8">
        <w:rPr>
          <w:rFonts w:cs="FrankRuehl" w:hint="cs"/>
          <w:b/>
          <w:bCs/>
          <w:sz w:val="22"/>
          <w:szCs w:val="22"/>
          <w:rtl/>
        </w:rPr>
        <w:t>ירדור</w:t>
      </w:r>
      <w:r>
        <w:rPr>
          <w:rFonts w:cs="FrankRuehl" w:hint="cs"/>
          <w:sz w:val="22"/>
          <w:szCs w:val="22"/>
          <w:rtl/>
        </w:rPr>
        <w:t>}</w:t>
      </w:r>
      <w:r w:rsidRPr="008275F8">
        <w:rPr>
          <w:rFonts w:cs="FrankRuehl"/>
          <w:sz w:val="22"/>
          <w:szCs w:val="22"/>
          <w:rtl/>
        </w:rPr>
        <w:t>, היינו, האם ניתן להוסיף מכוח הפסיקה בלבד על סוגי המקרים, בהם ניתן לאסור על השתתפותה של רשימה בבחירות, מבלי שהונח לכך תחילה היסוד בחוק החרות.</w:t>
      </w:r>
    </w:p>
    <w:p w:rsidR="005366A8" w:rsidRDefault="005366A8" w:rsidP="005366A8">
      <w:pPr>
        <w:spacing w:after="60"/>
        <w:ind w:left="1440"/>
        <w:rPr>
          <w:rFonts w:cs="FrankRuehl"/>
          <w:sz w:val="22"/>
          <w:szCs w:val="22"/>
          <w:rtl/>
        </w:rPr>
      </w:pPr>
      <w:r w:rsidRPr="008275F8">
        <w:rPr>
          <w:rFonts w:cs="FrankRuehl"/>
          <w:sz w:val="22"/>
          <w:szCs w:val="22"/>
          <w:rtl/>
        </w:rPr>
        <w:t>התשובה הברורה לשאלה זו, בה היו מעוגנות החלטותינו מיום 28.6.84, הייתה לדעתנו שלילית. רק הניגוד הקיצוני בין המגמה לחסל את המדינה, מחד גיסא, לבין הרצון להשתתף בבחירות למוסד ממוסדותיה של המדינה, מאידך גיסא, יכול היה לשמש בסיס לקביעה שיפוטית, הנשענת על עקרון-על ואשר איננה נזקקת לביסוס משפטי קונקרטי בהוראה מפורשת של החוק. ההשתתפות בעיצוב דמותה של המדינה על-ידי החברות בכנסת של מי ששולל את עצם קיומה היא בגדר תרתי דסתרי, וסתירה פנימית תהומית כמתואר שחררה את הרוב בע"ב 1/65</w:t>
      </w:r>
      <w:r>
        <w:rPr>
          <w:rFonts w:cs="FrankRuehl" w:hint="cs"/>
          <w:sz w:val="22"/>
          <w:szCs w:val="22"/>
          <w:rtl/>
        </w:rPr>
        <w:t xml:space="preserve"> </w:t>
      </w:r>
      <w:r w:rsidRPr="008275F8">
        <w:rPr>
          <w:rFonts w:cs="FrankRuehl"/>
          <w:sz w:val="22"/>
          <w:szCs w:val="22"/>
          <w:rtl/>
        </w:rPr>
        <w:t>[</w:t>
      </w:r>
      <w:r>
        <w:rPr>
          <w:rFonts w:cs="FrankRuehl" w:hint="cs"/>
          <w:sz w:val="22"/>
          <w:szCs w:val="22"/>
          <w:rtl/>
        </w:rPr>
        <w:t>ירדור</w:t>
      </w:r>
      <w:r w:rsidRPr="008275F8">
        <w:rPr>
          <w:rFonts w:cs="FrankRuehl"/>
          <w:sz w:val="22"/>
          <w:szCs w:val="22"/>
          <w:rtl/>
        </w:rPr>
        <w:t>] מן המגבלה, שנבעה מהעדרה של המלה הכתובה שבחוק; אולם, לו</w:t>
      </w:r>
      <w:r>
        <w:rPr>
          <w:rFonts w:cs="FrankRuehl" w:hint="cs"/>
          <w:sz w:val="22"/>
          <w:szCs w:val="22"/>
          <w:rtl/>
        </w:rPr>
        <w:t>ּ</w:t>
      </w:r>
      <w:r w:rsidRPr="008275F8">
        <w:rPr>
          <w:rFonts w:cs="FrankRuehl"/>
          <w:sz w:val="22"/>
          <w:szCs w:val="22"/>
          <w:rtl/>
        </w:rPr>
        <w:t xml:space="preserve"> ניסו להוסיף על כך עוד כהנה וכהנה, ולו הייתה מתפתחת פסיקה מרחיבה, המוסיפה ויוצרת נסיבות חדשות בהן מותר לשלול את זכות ההשתתפות בבחירות בלי שיש לכך שורשים בחוק שלנו, גם בשל </w:t>
      </w:r>
      <w:r>
        <w:rPr>
          <w:rFonts w:cs="FrankRuehl" w:hint="cs"/>
          <w:sz w:val="22"/>
          <w:szCs w:val="22"/>
          <w:rtl/>
        </w:rPr>
        <w:t>ט</w:t>
      </w:r>
      <w:r w:rsidRPr="008275F8">
        <w:rPr>
          <w:rFonts w:cs="FrankRuehl"/>
          <w:sz w:val="22"/>
          <w:szCs w:val="22"/>
          <w:rtl/>
        </w:rPr>
        <w:t xml:space="preserve">עמים שאינם נובעים מן הסתירה המהותית המתוארת, </w:t>
      </w:r>
      <w:r w:rsidRPr="000C37D4">
        <w:rPr>
          <w:rFonts w:cs="FrankRuehl"/>
          <w:sz w:val="22"/>
          <w:szCs w:val="22"/>
          <w:highlight w:val="yellow"/>
          <w:rtl/>
        </w:rPr>
        <w:t>עלול היה להיות בכך כדי לפגוע באופן ברור ביותר במהותו של המשטר המדיני בו אנו חיים וכדי לחתור תחת המשך קיומן של תפיסות היסוד מהן הוא יונק</w:t>
      </w:r>
      <w:r w:rsidRPr="008275F8">
        <w:rPr>
          <w:rFonts w:cs="FrankRuehl"/>
          <w:sz w:val="22"/>
          <w:szCs w:val="22"/>
          <w:rtl/>
        </w:rPr>
        <w:t xml:space="preserve">. הוספת טעמים נוספים לפסילת רשימה לא הייתה רק בגדר תוספת במידה ובהיקף אלא משום מעבר אל ממד אחר: </w:t>
      </w:r>
      <w:r w:rsidRPr="000C37D4">
        <w:rPr>
          <w:rFonts w:cs="FrankRuehl"/>
          <w:sz w:val="22"/>
          <w:szCs w:val="22"/>
          <w:highlight w:val="yellow"/>
          <w:rtl/>
        </w:rPr>
        <w:t>במקום הישענות על עקרון היסוד של קיום המדינה, אשר הוא בלבד יכול היה לגשר על פני התהום המשפטית שנוצרה עקב העדר החקיקה, היו באים הערכה מהותית או שיפוט ערכי של הרשימה על-פי השקפותיה. לכך דרושה חקיקה ברורה ומפורשת, המתווה תחומים ואינה משאירה את העניין לשיקול-דעת בלתי מוגבל. סממן בולט של המשטר הדמוקרטי הוא, בין היתר, בכך שנקבעים בו לא רק איזונים בין הרשויות אלא גם נמנעים ככל האפשר מהענקת שיקול-דעת בלתי מוגבל לרשות כלשהי: הן הרשות המבצעת, הן המחוקקת והן השופטת חייבות לפעול בתחומים החוקתיים באופן כזה שערכי היסוד ישמשו הן כאשיותיהן והן כמבחנים מוגדרים להפעלת שיקול הדעת</w:t>
      </w:r>
      <w:r w:rsidRPr="008275F8">
        <w:rPr>
          <w:rFonts w:cs="FrankRuehl"/>
          <w:sz w:val="22"/>
          <w:szCs w:val="22"/>
          <w:rtl/>
        </w:rPr>
        <w:t>.</w:t>
      </w:r>
    </w:p>
    <w:p w:rsidR="005366A8" w:rsidRPr="005B7441" w:rsidRDefault="005366A8" w:rsidP="005366A8">
      <w:pPr>
        <w:spacing w:after="60"/>
        <w:ind w:left="720"/>
        <w:rPr>
          <w:b/>
          <w:bCs/>
          <w:sz w:val="20"/>
          <w:szCs w:val="20"/>
          <w:rtl/>
        </w:rPr>
      </w:pPr>
      <w:r w:rsidRPr="00BC6F2F">
        <w:rPr>
          <w:sz w:val="20"/>
          <w:szCs w:val="20"/>
          <w:rtl/>
        </w:rPr>
        <w:t>ב</w:t>
      </w:r>
      <w:r w:rsidRPr="00BC6F2F">
        <w:rPr>
          <w:b/>
          <w:bCs/>
          <w:sz w:val="20"/>
          <w:szCs w:val="20"/>
          <w:rtl/>
        </w:rPr>
        <w:t>ניימן1</w:t>
      </w:r>
      <w:r w:rsidRPr="00BC6F2F">
        <w:rPr>
          <w:sz w:val="20"/>
          <w:szCs w:val="20"/>
          <w:rtl/>
        </w:rPr>
        <w:t xml:space="preserve"> בית המשפט </w:t>
      </w:r>
      <w:r w:rsidRPr="001E099A">
        <w:rPr>
          <w:i/>
          <w:iCs/>
          <w:sz w:val="20"/>
          <w:szCs w:val="20"/>
          <w:rtl/>
        </w:rPr>
        <w:t>מבטל על כן את הפסילה</w:t>
      </w:r>
      <w:r w:rsidRPr="00BC6F2F">
        <w:rPr>
          <w:sz w:val="20"/>
          <w:szCs w:val="20"/>
          <w:rtl/>
        </w:rPr>
        <w:t xml:space="preserve"> של </w:t>
      </w:r>
      <w:r>
        <w:rPr>
          <w:rFonts w:hint="cs"/>
          <w:sz w:val="20"/>
          <w:szCs w:val="20"/>
          <w:rtl/>
        </w:rPr>
        <w:t>שתי</w:t>
      </w:r>
      <w:r w:rsidRPr="00BC6F2F">
        <w:rPr>
          <w:sz w:val="20"/>
          <w:szCs w:val="20"/>
          <w:rtl/>
        </w:rPr>
        <w:t xml:space="preserve"> המפלגות.</w:t>
      </w:r>
    </w:p>
    <w:p w:rsidR="005366A8" w:rsidRDefault="005366A8" w:rsidP="005366A8">
      <w:pPr>
        <w:spacing w:after="120"/>
        <w:rPr>
          <w:sz w:val="20"/>
          <w:szCs w:val="20"/>
          <w:rtl/>
        </w:rPr>
      </w:pPr>
      <w:r w:rsidRPr="005B7441">
        <w:rPr>
          <w:rFonts w:hint="cs"/>
          <w:b/>
          <w:bCs/>
          <w:sz w:val="20"/>
          <w:szCs w:val="20"/>
          <w:rtl/>
        </w:rPr>
        <w:t>1985</w:t>
      </w:r>
      <w:r>
        <w:rPr>
          <w:rFonts w:hint="cs"/>
          <w:sz w:val="20"/>
          <w:szCs w:val="20"/>
          <w:rtl/>
        </w:rPr>
        <w:t xml:space="preserve">. בעקבות פסק הדין הכנסת </w:t>
      </w:r>
      <w:r w:rsidRPr="005B7441">
        <w:rPr>
          <w:rFonts w:hint="cs"/>
          <w:b/>
          <w:bCs/>
          <w:sz w:val="20"/>
          <w:szCs w:val="20"/>
          <w:rtl/>
        </w:rPr>
        <w:t>מתקנת את חוק יסוד: הכנסת</w:t>
      </w:r>
      <w:r>
        <w:rPr>
          <w:rFonts w:hint="cs"/>
          <w:sz w:val="20"/>
          <w:szCs w:val="20"/>
          <w:rtl/>
        </w:rPr>
        <w:t xml:space="preserve"> ומוסיפה לו את </w:t>
      </w:r>
      <w:r w:rsidRPr="005B7441">
        <w:rPr>
          <w:rFonts w:hint="cs"/>
          <w:b/>
          <w:bCs/>
          <w:sz w:val="20"/>
          <w:szCs w:val="20"/>
          <w:rtl/>
        </w:rPr>
        <w:t>הוראת סע' 7א</w:t>
      </w:r>
      <w:r>
        <w:rPr>
          <w:rFonts w:hint="cs"/>
          <w:b/>
          <w:bCs/>
          <w:sz w:val="20"/>
          <w:szCs w:val="20"/>
          <w:rtl/>
        </w:rPr>
        <w:t>, וזהו נוסחה</w:t>
      </w:r>
      <w:r>
        <w:rPr>
          <w:rFonts w:hint="cs"/>
          <w:sz w:val="20"/>
          <w:szCs w:val="20"/>
          <w:rtl/>
        </w:rPr>
        <w:t xml:space="preserve"> (בהווה, לאחר שינויים נוספים שעברה):</w:t>
      </w:r>
    </w:p>
    <w:p w:rsidR="005366A8" w:rsidRPr="00533690" w:rsidRDefault="005366A8" w:rsidP="005366A8">
      <w:pPr>
        <w:ind w:left="720"/>
        <w:rPr>
          <w:rFonts w:cs="David"/>
          <w:sz w:val="20"/>
          <w:szCs w:val="20"/>
          <w:highlight w:val="yellow"/>
          <w:rtl/>
        </w:rPr>
      </w:pPr>
      <w:r w:rsidRPr="00533690">
        <w:rPr>
          <w:rFonts w:cs="David"/>
          <w:sz w:val="20"/>
          <w:szCs w:val="20"/>
          <w:highlight w:val="yellow"/>
          <w:rtl/>
        </w:rPr>
        <w:t>7א.</w:t>
      </w:r>
      <w:r w:rsidRPr="00533690">
        <w:rPr>
          <w:rFonts w:cs="David"/>
          <w:sz w:val="20"/>
          <w:szCs w:val="20"/>
          <w:highlight w:val="yellow"/>
          <w:rtl/>
        </w:rPr>
        <w:tab/>
        <w:t>(א)</w:t>
      </w:r>
      <w:r w:rsidRPr="00533690">
        <w:rPr>
          <w:rFonts w:cs="David"/>
          <w:sz w:val="20"/>
          <w:szCs w:val="20"/>
          <w:highlight w:val="yellow"/>
          <w:rtl/>
        </w:rPr>
        <w:tab/>
        <w:t>רשימת מועמדים לא תשתתף בבחירות לכנסת ולא יהיה אדם מועמד בבחירות לכנסת, אם יש במטרותיה או במעשיה של הרשימה או במעשיו של האדם, לפי הענין, במפורש או במשתמע, אחד מאלה:</w:t>
      </w:r>
    </w:p>
    <w:p w:rsidR="005366A8" w:rsidRPr="00533690" w:rsidRDefault="005366A8" w:rsidP="005366A8">
      <w:pPr>
        <w:ind w:left="720"/>
        <w:rPr>
          <w:rFonts w:cs="David"/>
          <w:sz w:val="20"/>
          <w:szCs w:val="20"/>
          <w:highlight w:val="yellow"/>
          <w:rtl/>
        </w:rPr>
      </w:pPr>
      <w:r w:rsidRPr="00533690">
        <w:rPr>
          <w:rFonts w:cs="David"/>
          <w:sz w:val="20"/>
          <w:szCs w:val="20"/>
          <w:highlight w:val="yellow"/>
          <w:rtl/>
        </w:rPr>
        <w:t>(1)</w:t>
      </w:r>
      <w:r w:rsidRPr="00533690">
        <w:rPr>
          <w:rFonts w:cs="David"/>
          <w:sz w:val="20"/>
          <w:szCs w:val="20"/>
          <w:highlight w:val="yellow"/>
          <w:rtl/>
        </w:rPr>
        <w:tab/>
        <w:t>שלילת קיומה של מדינת ישראל כמדינה יהודית ודמוקרטית;</w:t>
      </w:r>
    </w:p>
    <w:p w:rsidR="005366A8" w:rsidRPr="00533690" w:rsidRDefault="005366A8" w:rsidP="005366A8">
      <w:pPr>
        <w:ind w:left="720"/>
        <w:rPr>
          <w:rFonts w:cs="David"/>
          <w:sz w:val="20"/>
          <w:szCs w:val="20"/>
          <w:highlight w:val="yellow"/>
          <w:rtl/>
        </w:rPr>
      </w:pPr>
      <w:r w:rsidRPr="00533690">
        <w:rPr>
          <w:rFonts w:cs="David"/>
          <w:sz w:val="20"/>
          <w:szCs w:val="20"/>
          <w:highlight w:val="yellow"/>
          <w:rtl/>
        </w:rPr>
        <w:t>(2)</w:t>
      </w:r>
      <w:r w:rsidRPr="00533690">
        <w:rPr>
          <w:rFonts w:cs="David"/>
          <w:sz w:val="20"/>
          <w:szCs w:val="20"/>
          <w:highlight w:val="yellow"/>
          <w:rtl/>
        </w:rPr>
        <w:tab/>
        <w:t>הסתה לגזענות;</w:t>
      </w:r>
    </w:p>
    <w:p w:rsidR="005366A8" w:rsidRPr="00533690" w:rsidRDefault="005366A8" w:rsidP="005366A8">
      <w:pPr>
        <w:ind w:left="720"/>
        <w:rPr>
          <w:rFonts w:cs="David"/>
          <w:sz w:val="20"/>
          <w:szCs w:val="20"/>
          <w:rtl/>
        </w:rPr>
      </w:pPr>
      <w:r w:rsidRPr="00533690">
        <w:rPr>
          <w:rFonts w:cs="David"/>
          <w:sz w:val="20"/>
          <w:szCs w:val="20"/>
          <w:highlight w:val="yellow"/>
          <w:rtl/>
        </w:rPr>
        <w:t>(3)</w:t>
      </w:r>
      <w:r w:rsidRPr="00533690">
        <w:rPr>
          <w:rFonts w:cs="David"/>
          <w:sz w:val="20"/>
          <w:szCs w:val="20"/>
          <w:highlight w:val="yellow"/>
          <w:rtl/>
        </w:rPr>
        <w:tab/>
        <w:t>תמיכה במאבק מזוין, של מדינת אויב או של ארגון טרור, נגד מדינת ישראל.</w:t>
      </w:r>
      <w:r w:rsidRPr="00533690">
        <w:rPr>
          <w:rFonts w:cs="David" w:hint="cs"/>
          <w:sz w:val="20"/>
          <w:szCs w:val="20"/>
          <w:rtl/>
        </w:rPr>
        <w:t xml:space="preserve"> [...]</w:t>
      </w:r>
    </w:p>
    <w:p w:rsidR="005366A8" w:rsidRDefault="005366A8" w:rsidP="005366A8">
      <w:pPr>
        <w:rPr>
          <w:sz w:val="20"/>
          <w:szCs w:val="20"/>
          <w:rtl/>
        </w:rPr>
      </w:pPr>
    </w:p>
    <w:p w:rsidR="005366A8" w:rsidRDefault="005366A8" w:rsidP="005366A8">
      <w:pPr>
        <w:rPr>
          <w:sz w:val="20"/>
          <w:szCs w:val="20"/>
          <w:rtl/>
        </w:rPr>
      </w:pPr>
      <w:r w:rsidRPr="000A6707">
        <w:rPr>
          <w:rFonts w:hint="cs"/>
          <w:b/>
          <w:bCs/>
          <w:sz w:val="20"/>
          <w:szCs w:val="20"/>
          <w:rtl/>
        </w:rPr>
        <w:t>1988</w:t>
      </w:r>
      <w:r>
        <w:rPr>
          <w:rFonts w:hint="cs"/>
          <w:sz w:val="20"/>
          <w:szCs w:val="20"/>
          <w:rtl/>
        </w:rPr>
        <w:t xml:space="preserve">. בבחירות של 1988 מופעלת הוראת סעיף 7א: נפסלת רשימת "כך" מלהתמודד לכנסת, ובית המשפט העליון מאשר זאת (פס"ד </w:t>
      </w:r>
      <w:r w:rsidRPr="000A6707">
        <w:rPr>
          <w:rFonts w:hint="cs"/>
          <w:b/>
          <w:bCs/>
          <w:sz w:val="20"/>
          <w:szCs w:val="20"/>
          <w:rtl/>
        </w:rPr>
        <w:t>ניימן2</w:t>
      </w:r>
      <w:r>
        <w:rPr>
          <w:rFonts w:hint="cs"/>
          <w:sz w:val="20"/>
          <w:szCs w:val="20"/>
          <w:rtl/>
        </w:rPr>
        <w:t xml:space="preserve">); "הרשימה המתקדמת" לא נפסלת, ובית המשפט העליון מאשר את אי-הפסילה (פס"ד </w:t>
      </w:r>
      <w:r w:rsidRPr="000A6707">
        <w:rPr>
          <w:rFonts w:hint="cs"/>
          <w:b/>
          <w:bCs/>
          <w:sz w:val="20"/>
          <w:szCs w:val="20"/>
          <w:rtl/>
        </w:rPr>
        <w:t>בן-שלום</w:t>
      </w:r>
      <w:r>
        <w:rPr>
          <w:rFonts w:hint="cs"/>
          <w:sz w:val="20"/>
          <w:szCs w:val="20"/>
          <w:rtl/>
        </w:rPr>
        <w:t xml:space="preserve">). </w:t>
      </w:r>
      <w:r w:rsidRPr="00533690">
        <w:rPr>
          <w:rFonts w:ascii="Arial" w:hAnsi="Arial" w:cs="Arial"/>
          <w:sz w:val="18"/>
          <w:szCs w:val="18"/>
          <w:rtl/>
        </w:rPr>
        <w:t>[נרחיב בכך ב</w:t>
      </w:r>
      <w:r>
        <w:rPr>
          <w:rFonts w:ascii="Arial" w:hAnsi="Arial" w:cs="Arial" w:hint="cs"/>
          <w:sz w:val="18"/>
          <w:szCs w:val="18"/>
          <w:rtl/>
        </w:rPr>
        <w:t>סמסטר ב'</w:t>
      </w:r>
      <w:r w:rsidRPr="00533690">
        <w:rPr>
          <w:rFonts w:ascii="Arial" w:hAnsi="Arial" w:cs="Arial"/>
          <w:sz w:val="18"/>
          <w:szCs w:val="18"/>
          <w:rtl/>
        </w:rPr>
        <w:t>].</w:t>
      </w:r>
    </w:p>
    <w:p w:rsidR="005366A8" w:rsidRDefault="005366A8" w:rsidP="005366A8">
      <w:pPr>
        <w:rPr>
          <w:rFonts w:cs="David"/>
          <w:sz w:val="20"/>
          <w:szCs w:val="20"/>
          <w:rtl/>
        </w:rPr>
      </w:pPr>
    </w:p>
    <w:p w:rsidR="005366A8" w:rsidRPr="00A74B1D" w:rsidRDefault="005366A8" w:rsidP="005366A8">
      <w:pPr>
        <w:rPr>
          <w:i/>
          <w:iCs/>
          <w:sz w:val="22"/>
          <w:szCs w:val="22"/>
          <w:rtl/>
        </w:rPr>
      </w:pPr>
      <w:r>
        <w:rPr>
          <w:rFonts w:cs="David" w:hint="cs"/>
          <w:sz w:val="20"/>
          <w:szCs w:val="20"/>
          <w:rtl/>
        </w:rPr>
        <w:t>=-=</w:t>
      </w:r>
    </w:p>
    <w:p w:rsidR="005366A8" w:rsidRPr="00A74B1D" w:rsidRDefault="005366A8" w:rsidP="005366A8">
      <w:pPr>
        <w:spacing w:after="120"/>
        <w:jc w:val="center"/>
        <w:rPr>
          <w:rFonts w:ascii="Arial" w:hAnsi="Arial" w:cs="Arial"/>
          <w:b/>
          <w:bCs/>
          <w:sz w:val="22"/>
          <w:szCs w:val="22"/>
          <w:rtl/>
        </w:rPr>
      </w:pPr>
      <w:r w:rsidRPr="00042F80">
        <w:rPr>
          <w:rFonts w:ascii="Arial" w:hAnsi="Arial" w:cs="Arial"/>
          <w:b/>
          <w:bCs/>
          <w:sz w:val="22"/>
          <w:szCs w:val="22"/>
          <w:highlight w:val="yellow"/>
          <w:rtl/>
        </w:rPr>
        <w:t>הביקורת על הכרעת הרוב ב</w:t>
      </w:r>
      <w:r>
        <w:rPr>
          <w:rFonts w:ascii="Arial" w:hAnsi="Arial" w:cs="Arial" w:hint="cs"/>
          <w:b/>
          <w:bCs/>
          <w:sz w:val="22"/>
          <w:szCs w:val="22"/>
          <w:highlight w:val="yellow"/>
          <w:rtl/>
        </w:rPr>
        <w:t xml:space="preserve">פס"ד </w:t>
      </w:r>
      <w:r w:rsidRPr="00042F80">
        <w:rPr>
          <w:rFonts w:ascii="Arial" w:hAnsi="Arial" w:cs="Arial"/>
          <w:b/>
          <w:bCs/>
          <w:sz w:val="22"/>
          <w:szCs w:val="22"/>
          <w:highlight w:val="yellow"/>
          <w:rtl/>
        </w:rPr>
        <w:t>ירדור</w:t>
      </w:r>
    </w:p>
    <w:p w:rsidR="005366A8" w:rsidRPr="00A74B1D" w:rsidRDefault="005366A8" w:rsidP="005366A8">
      <w:pPr>
        <w:spacing w:after="120"/>
        <w:rPr>
          <w:b/>
          <w:bCs/>
          <w:sz w:val="22"/>
          <w:szCs w:val="22"/>
          <w:u w:val="single"/>
          <w:rtl/>
        </w:rPr>
      </w:pPr>
      <w:r>
        <w:rPr>
          <w:rFonts w:hint="cs"/>
          <w:b/>
          <w:bCs/>
          <w:sz w:val="22"/>
          <w:szCs w:val="22"/>
          <w:u w:val="single"/>
          <w:rtl/>
        </w:rPr>
        <w:t xml:space="preserve">נקודות </w:t>
      </w:r>
      <w:r w:rsidRPr="00A74B1D">
        <w:rPr>
          <w:rFonts w:hint="cs"/>
          <w:b/>
          <w:bCs/>
          <w:sz w:val="22"/>
          <w:szCs w:val="22"/>
          <w:u w:val="single"/>
          <w:rtl/>
        </w:rPr>
        <w:t>ביקורת מנקודת</w:t>
      </w:r>
      <w:r>
        <w:rPr>
          <w:rFonts w:hint="cs"/>
          <w:b/>
          <w:bCs/>
          <w:sz w:val="22"/>
          <w:szCs w:val="22"/>
          <w:u w:val="single"/>
          <w:rtl/>
        </w:rPr>
        <w:t>-</w:t>
      </w:r>
      <w:r w:rsidRPr="00A74B1D">
        <w:rPr>
          <w:rFonts w:hint="cs"/>
          <w:b/>
          <w:bCs/>
          <w:sz w:val="22"/>
          <w:szCs w:val="22"/>
          <w:u w:val="single"/>
          <w:rtl/>
        </w:rPr>
        <w:t xml:space="preserve">ראות </w:t>
      </w:r>
      <w:r w:rsidRPr="00346E42">
        <w:rPr>
          <w:rFonts w:hint="cs"/>
          <w:b/>
          <w:bCs/>
          <w:i/>
          <w:iCs/>
          <w:sz w:val="22"/>
          <w:szCs w:val="22"/>
          <w:highlight w:val="yellow"/>
          <w:u w:val="single"/>
          <w:rtl/>
        </w:rPr>
        <w:t>ערכית/מוסרית</w:t>
      </w:r>
      <w:r w:rsidRPr="00A74B1D">
        <w:rPr>
          <w:rFonts w:hint="cs"/>
          <w:b/>
          <w:bCs/>
          <w:sz w:val="22"/>
          <w:szCs w:val="22"/>
          <w:u w:val="single"/>
          <w:rtl/>
        </w:rPr>
        <w:t>:</w:t>
      </w:r>
    </w:p>
    <w:p w:rsidR="005366A8" w:rsidRPr="00A462F9" w:rsidRDefault="005366A8" w:rsidP="005366A8">
      <w:pPr>
        <w:ind w:left="720"/>
        <w:rPr>
          <w:sz w:val="22"/>
          <w:szCs w:val="22"/>
          <w:rtl/>
        </w:rPr>
      </w:pPr>
      <w:r>
        <w:rPr>
          <w:rFonts w:hint="cs"/>
          <w:sz w:val="22"/>
          <w:szCs w:val="22"/>
          <w:rtl/>
        </w:rPr>
        <w:t xml:space="preserve">^ פסק הדין מכיל </w:t>
      </w:r>
      <w:r w:rsidRPr="006939B6">
        <w:rPr>
          <w:rFonts w:hint="cs"/>
          <w:b/>
          <w:bCs/>
          <w:sz w:val="22"/>
          <w:szCs w:val="22"/>
          <w:rtl/>
        </w:rPr>
        <w:t xml:space="preserve">ויתור על מבחן איזון/ הסתברות </w:t>
      </w:r>
      <w:r>
        <w:rPr>
          <w:rFonts w:hint="cs"/>
          <w:b/>
          <w:bCs/>
          <w:sz w:val="22"/>
          <w:szCs w:val="22"/>
          <w:rtl/>
        </w:rPr>
        <w:t>ה</w:t>
      </w:r>
      <w:r w:rsidRPr="006939B6">
        <w:rPr>
          <w:rFonts w:hint="cs"/>
          <w:b/>
          <w:bCs/>
          <w:sz w:val="22"/>
          <w:szCs w:val="22"/>
          <w:rtl/>
        </w:rPr>
        <w:t>סכנה</w:t>
      </w:r>
      <w:r>
        <w:rPr>
          <w:rFonts w:hint="cs"/>
          <w:sz w:val="22"/>
          <w:szCs w:val="22"/>
          <w:rtl/>
        </w:rPr>
        <w:t xml:space="preserve"> (הערתו השנייה של השופט חיים כהן, המפנה </w:t>
      </w:r>
      <w:r w:rsidRPr="00346E42">
        <w:rPr>
          <w:rFonts w:hint="cs"/>
          <w:b/>
          <w:bCs/>
          <w:sz w:val="22"/>
          <w:szCs w:val="22"/>
          <w:rtl/>
        </w:rPr>
        <w:t>לקול העם</w:t>
      </w:r>
      <w:r>
        <w:rPr>
          <w:rFonts w:hint="cs"/>
          <w:sz w:val="22"/>
          <w:szCs w:val="22"/>
          <w:rtl/>
        </w:rPr>
        <w:t>);</w:t>
      </w:r>
    </w:p>
    <w:p w:rsidR="005366A8" w:rsidRPr="00A462F9" w:rsidRDefault="005366A8" w:rsidP="005366A8">
      <w:pPr>
        <w:spacing w:after="120"/>
        <w:ind w:left="1440"/>
        <w:rPr>
          <w:sz w:val="22"/>
          <w:szCs w:val="22"/>
          <w:rtl/>
        </w:rPr>
      </w:pPr>
      <w:r>
        <w:rPr>
          <w:rFonts w:hint="cs"/>
          <w:sz w:val="22"/>
          <w:szCs w:val="22"/>
          <w:rtl/>
        </w:rPr>
        <w:t>^ ויתור זה מתעלם גם מ</w:t>
      </w:r>
      <w:r w:rsidRPr="00A462F9">
        <w:rPr>
          <w:rFonts w:hint="cs"/>
          <w:sz w:val="22"/>
          <w:szCs w:val="22"/>
          <w:rtl/>
        </w:rPr>
        <w:t xml:space="preserve">הבחנה </w:t>
      </w:r>
      <w:r>
        <w:rPr>
          <w:rFonts w:hint="cs"/>
          <w:sz w:val="22"/>
          <w:szCs w:val="22"/>
          <w:rtl/>
        </w:rPr>
        <w:t xml:space="preserve">חשובה נוספת: הבחנה </w:t>
      </w:r>
      <w:r w:rsidRPr="00A462F9">
        <w:rPr>
          <w:rFonts w:hint="cs"/>
          <w:sz w:val="22"/>
          <w:szCs w:val="22"/>
          <w:rtl/>
        </w:rPr>
        <w:t xml:space="preserve">בין "מיעוט כרוני" לבין מיעוט פוליטי </w:t>
      </w:r>
      <w:r>
        <w:rPr>
          <w:rFonts w:hint="cs"/>
          <w:sz w:val="22"/>
          <w:szCs w:val="22"/>
          <w:rtl/>
        </w:rPr>
        <w:t xml:space="preserve">עכשווי </w:t>
      </w:r>
      <w:r w:rsidRPr="00A462F9">
        <w:rPr>
          <w:rFonts w:hint="cs"/>
          <w:sz w:val="22"/>
          <w:szCs w:val="22"/>
          <w:rtl/>
        </w:rPr>
        <w:t>שעשוי להפוך לרוב (</w:t>
      </w:r>
      <w:r>
        <w:rPr>
          <w:rFonts w:hint="cs"/>
          <w:sz w:val="22"/>
          <w:szCs w:val="22"/>
          <w:rtl/>
        </w:rPr>
        <w:t xml:space="preserve">תקפות </w:t>
      </w:r>
      <w:r w:rsidRPr="006939B6">
        <w:rPr>
          <w:rFonts w:hint="cs"/>
          <w:b/>
          <w:bCs/>
          <w:sz w:val="22"/>
          <w:szCs w:val="22"/>
          <w:rtl/>
        </w:rPr>
        <w:t>האנלוגיה לויימאר</w:t>
      </w:r>
      <w:r w:rsidRPr="00A462F9">
        <w:rPr>
          <w:rFonts w:hint="cs"/>
          <w:sz w:val="22"/>
          <w:szCs w:val="22"/>
          <w:rtl/>
        </w:rPr>
        <w:t>);</w:t>
      </w:r>
    </w:p>
    <w:p w:rsidR="005366A8" w:rsidRDefault="005366A8" w:rsidP="005366A8">
      <w:pPr>
        <w:spacing w:after="120"/>
        <w:ind w:left="1440" w:hanging="720"/>
        <w:rPr>
          <w:sz w:val="22"/>
          <w:szCs w:val="22"/>
          <w:rtl/>
        </w:rPr>
      </w:pPr>
      <w:r>
        <w:rPr>
          <w:rFonts w:hint="cs"/>
          <w:sz w:val="22"/>
          <w:szCs w:val="22"/>
          <w:rtl/>
        </w:rPr>
        <w:t xml:space="preserve">^ </w:t>
      </w:r>
      <w:r w:rsidRPr="00A462F9">
        <w:rPr>
          <w:rFonts w:hint="cs"/>
          <w:sz w:val="22"/>
          <w:szCs w:val="22"/>
          <w:rtl/>
        </w:rPr>
        <w:t>יש מצבים שבהם חתירה למטרות מסוימות מלוו</w:t>
      </w:r>
      <w:r>
        <w:rPr>
          <w:rFonts w:hint="cs"/>
          <w:sz w:val="22"/>
          <w:szCs w:val="22"/>
          <w:rtl/>
        </w:rPr>
        <w:t>ה</w:t>
      </w:r>
      <w:r w:rsidRPr="00A462F9">
        <w:rPr>
          <w:rFonts w:hint="cs"/>
          <w:sz w:val="22"/>
          <w:szCs w:val="22"/>
          <w:rtl/>
        </w:rPr>
        <w:t xml:space="preserve"> </w:t>
      </w:r>
      <w:r w:rsidRPr="006939B6">
        <w:rPr>
          <w:rFonts w:hint="cs"/>
          <w:b/>
          <w:bCs/>
          <w:sz w:val="22"/>
          <w:szCs w:val="22"/>
          <w:rtl/>
        </w:rPr>
        <w:t>בשימוש באמצעים אלימים</w:t>
      </w:r>
      <w:r w:rsidRPr="00A462F9">
        <w:rPr>
          <w:rFonts w:hint="cs"/>
          <w:sz w:val="22"/>
          <w:szCs w:val="22"/>
          <w:rtl/>
        </w:rPr>
        <w:t xml:space="preserve"> </w:t>
      </w:r>
      <w:r>
        <w:rPr>
          <w:rFonts w:hint="cs"/>
          <w:sz w:val="22"/>
          <w:szCs w:val="22"/>
          <w:rtl/>
        </w:rPr>
        <w:t>לשם השגתן. אמצעים אלימים הם כמעט תמיד בלתי חוקיים, והם על כן ה</w:t>
      </w:r>
      <w:r w:rsidRPr="00A462F9">
        <w:rPr>
          <w:rFonts w:hint="cs"/>
          <w:sz w:val="22"/>
          <w:szCs w:val="22"/>
          <w:rtl/>
        </w:rPr>
        <w:t xml:space="preserve">צדקה </w:t>
      </w:r>
      <w:r>
        <w:rPr>
          <w:rFonts w:hint="cs"/>
          <w:sz w:val="22"/>
          <w:szCs w:val="22"/>
          <w:rtl/>
        </w:rPr>
        <w:t xml:space="preserve">בפני עצמה </w:t>
      </w:r>
      <w:r w:rsidRPr="00A462F9">
        <w:rPr>
          <w:rFonts w:hint="cs"/>
          <w:sz w:val="22"/>
          <w:szCs w:val="22"/>
          <w:rtl/>
        </w:rPr>
        <w:t>(</w:t>
      </w:r>
      <w:r>
        <w:rPr>
          <w:rFonts w:hint="cs"/>
          <w:sz w:val="22"/>
          <w:szCs w:val="22"/>
          <w:rtl/>
        </w:rPr>
        <w:t>הצדקה בעלת עוצמה רבה</w:t>
      </w:r>
      <w:r w:rsidRPr="00A462F9">
        <w:rPr>
          <w:rFonts w:hint="cs"/>
          <w:sz w:val="22"/>
          <w:szCs w:val="22"/>
          <w:rtl/>
        </w:rPr>
        <w:t>) להגבלה</w:t>
      </w:r>
      <w:r>
        <w:rPr>
          <w:rFonts w:hint="cs"/>
          <w:sz w:val="22"/>
          <w:szCs w:val="22"/>
          <w:rtl/>
        </w:rPr>
        <w:t xml:space="preserve"> של התנועה המשתמשת בהם </w:t>
      </w:r>
      <w:r>
        <w:rPr>
          <w:sz w:val="22"/>
          <w:szCs w:val="22"/>
          <w:rtl/>
        </w:rPr>
        <w:t>–</w:t>
      </w:r>
      <w:r>
        <w:rPr>
          <w:rFonts w:hint="cs"/>
          <w:sz w:val="22"/>
          <w:szCs w:val="22"/>
          <w:rtl/>
        </w:rPr>
        <w:t xml:space="preserve"> ואולם שימוש שכזה ואפילו נכונות ברורה לשימוש שכזה </w:t>
      </w:r>
      <w:r w:rsidRPr="00C0324C">
        <w:rPr>
          <w:rFonts w:hint="cs"/>
          <w:b/>
          <w:bCs/>
          <w:i/>
          <w:iCs/>
          <w:sz w:val="22"/>
          <w:szCs w:val="22"/>
          <w:rtl/>
        </w:rPr>
        <w:t>לא הוכחה</w:t>
      </w:r>
      <w:r>
        <w:rPr>
          <w:rFonts w:hint="cs"/>
          <w:sz w:val="22"/>
          <w:szCs w:val="22"/>
          <w:rtl/>
        </w:rPr>
        <w:t xml:space="preserve"> כאן</w:t>
      </w:r>
      <w:r w:rsidRPr="00A462F9">
        <w:rPr>
          <w:rFonts w:hint="cs"/>
          <w:sz w:val="22"/>
          <w:szCs w:val="22"/>
          <w:rtl/>
        </w:rPr>
        <w:t xml:space="preserve">; </w:t>
      </w:r>
    </w:p>
    <w:p w:rsidR="005366A8" w:rsidRDefault="005366A8" w:rsidP="005366A8">
      <w:pPr>
        <w:spacing w:after="120"/>
        <w:ind w:left="1440" w:hanging="720"/>
        <w:rPr>
          <w:sz w:val="22"/>
          <w:szCs w:val="22"/>
          <w:rtl/>
        </w:rPr>
      </w:pPr>
      <w:r>
        <w:rPr>
          <w:rFonts w:hint="cs"/>
          <w:sz w:val="22"/>
          <w:szCs w:val="22"/>
          <w:rtl/>
        </w:rPr>
        <w:t xml:space="preserve">^ </w:t>
      </w:r>
      <w:r w:rsidRPr="00A462F9">
        <w:rPr>
          <w:rFonts w:hint="cs"/>
          <w:sz w:val="22"/>
          <w:szCs w:val="22"/>
          <w:rtl/>
        </w:rPr>
        <w:t xml:space="preserve">אם </w:t>
      </w:r>
      <w:r>
        <w:rPr>
          <w:rFonts w:hint="cs"/>
          <w:sz w:val="22"/>
          <w:szCs w:val="22"/>
          <w:rtl/>
        </w:rPr>
        <w:t xml:space="preserve">נקבע כי </w:t>
      </w:r>
      <w:r w:rsidRPr="00A462F9">
        <w:rPr>
          <w:rFonts w:hint="cs"/>
          <w:sz w:val="22"/>
          <w:szCs w:val="22"/>
          <w:rtl/>
        </w:rPr>
        <w:t>חתירה לשינוי אופייה הלאומי של ישראל מספיקה לצורך פסילה של רשימה לכנסת</w:t>
      </w:r>
      <w:r>
        <w:rPr>
          <w:rFonts w:hint="cs"/>
          <w:sz w:val="22"/>
          <w:szCs w:val="22"/>
          <w:rtl/>
        </w:rPr>
        <w:t>, אזי תתעורר</w:t>
      </w:r>
      <w:r w:rsidRPr="00A462F9">
        <w:rPr>
          <w:rFonts w:hint="cs"/>
          <w:sz w:val="22"/>
          <w:szCs w:val="22"/>
          <w:rtl/>
        </w:rPr>
        <w:t xml:space="preserve"> שאלה ביחס לפסילה של רשימה התומכת בביטול אופייה הדמוקרטי של ישראל </w:t>
      </w:r>
      <w:r w:rsidRPr="00A462F9">
        <w:rPr>
          <w:sz w:val="22"/>
          <w:szCs w:val="22"/>
          <w:rtl/>
        </w:rPr>
        <w:t>–</w:t>
      </w:r>
      <w:r w:rsidRPr="00A462F9">
        <w:rPr>
          <w:rFonts w:hint="cs"/>
          <w:sz w:val="22"/>
          <w:szCs w:val="22"/>
          <w:rtl/>
        </w:rPr>
        <w:t xml:space="preserve"> סוגיית המפלגות החרדיות השואפות ל"מדינת הלכה" </w:t>
      </w:r>
      <w:r w:rsidRPr="00A462F9">
        <w:rPr>
          <w:sz w:val="22"/>
          <w:szCs w:val="22"/>
          <w:rtl/>
        </w:rPr>
        <w:t>–</w:t>
      </w:r>
      <w:r w:rsidRPr="00A462F9">
        <w:rPr>
          <w:rFonts w:hint="cs"/>
          <w:sz w:val="22"/>
          <w:szCs w:val="22"/>
          <w:rtl/>
        </w:rPr>
        <w:t xml:space="preserve"> היש תמיכה בכך?  </w:t>
      </w:r>
    </w:p>
    <w:p w:rsidR="005366A8" w:rsidRDefault="005366A8" w:rsidP="005366A8">
      <w:pPr>
        <w:spacing w:after="120"/>
        <w:ind w:left="1440"/>
        <w:rPr>
          <w:sz w:val="22"/>
          <w:szCs w:val="22"/>
          <w:rtl/>
        </w:rPr>
      </w:pPr>
      <w:r w:rsidRPr="00A462F9">
        <w:rPr>
          <w:rFonts w:hint="cs"/>
          <w:sz w:val="22"/>
          <w:szCs w:val="22"/>
          <w:rtl/>
        </w:rPr>
        <w:t xml:space="preserve">העקביות מצדיקה לכאורה יחס שווה; </w:t>
      </w:r>
      <w:r>
        <w:rPr>
          <w:rFonts w:hint="cs"/>
          <w:sz w:val="22"/>
          <w:szCs w:val="22"/>
          <w:rtl/>
        </w:rPr>
        <w:t>[אני, ככל שזה משנה, מתנגד לשני כיווני הפסילה]</w:t>
      </w:r>
    </w:p>
    <w:p w:rsidR="005366A8" w:rsidRDefault="005366A8" w:rsidP="005366A8">
      <w:pPr>
        <w:ind w:left="1440"/>
        <w:rPr>
          <w:sz w:val="22"/>
          <w:szCs w:val="22"/>
          <w:rtl/>
        </w:rPr>
      </w:pPr>
      <w:r>
        <w:rPr>
          <w:rFonts w:hint="cs"/>
          <w:sz w:val="22"/>
          <w:szCs w:val="22"/>
          <w:rtl/>
        </w:rPr>
        <w:t xml:space="preserve">ואכן </w:t>
      </w:r>
      <w:r w:rsidRPr="00A462F9">
        <w:rPr>
          <w:rFonts w:hint="cs"/>
          <w:sz w:val="22"/>
          <w:szCs w:val="22"/>
          <w:rtl/>
        </w:rPr>
        <w:t>הטיעונים הנוספים תומכים בכך שהיחס השווה יהיה אי-פסילה</w:t>
      </w:r>
      <w:r>
        <w:rPr>
          <w:rFonts w:hint="cs"/>
          <w:sz w:val="22"/>
          <w:szCs w:val="22"/>
          <w:rtl/>
        </w:rPr>
        <w:t xml:space="preserve"> </w:t>
      </w:r>
      <w:r>
        <w:rPr>
          <w:sz w:val="22"/>
          <w:szCs w:val="22"/>
          <w:rtl/>
        </w:rPr>
        <w:t>–</w:t>
      </w:r>
      <w:r>
        <w:rPr>
          <w:rFonts w:hint="cs"/>
          <w:sz w:val="22"/>
          <w:szCs w:val="22"/>
          <w:rtl/>
        </w:rPr>
        <w:t xml:space="preserve"> זאת במציאות הנוכחית של ישראל</w:t>
      </w:r>
      <w:r w:rsidRPr="00A462F9">
        <w:rPr>
          <w:rFonts w:hint="cs"/>
          <w:sz w:val="22"/>
          <w:szCs w:val="22"/>
          <w:rtl/>
        </w:rPr>
        <w:t>.</w:t>
      </w:r>
      <w:r>
        <w:rPr>
          <w:rFonts w:hint="cs"/>
          <w:sz w:val="22"/>
          <w:szCs w:val="22"/>
          <w:rtl/>
        </w:rPr>
        <w:t xml:space="preserve">  </w:t>
      </w:r>
    </w:p>
    <w:p w:rsidR="005366A8" w:rsidRDefault="005366A8" w:rsidP="005366A8">
      <w:pPr>
        <w:spacing w:after="120"/>
        <w:ind w:left="1440"/>
        <w:rPr>
          <w:sz w:val="22"/>
          <w:szCs w:val="22"/>
          <w:rtl/>
        </w:rPr>
      </w:pPr>
      <w:r>
        <w:rPr>
          <w:rFonts w:hint="cs"/>
          <w:sz w:val="22"/>
          <w:szCs w:val="22"/>
          <w:rtl/>
        </w:rPr>
        <w:t>[ראו עם זאת את ההערה הנוספת הבאה.]</w:t>
      </w:r>
    </w:p>
    <w:p w:rsidR="005366A8" w:rsidRDefault="005366A8" w:rsidP="005366A8">
      <w:pPr>
        <w:spacing w:after="120"/>
        <w:ind w:left="720"/>
        <w:rPr>
          <w:sz w:val="22"/>
          <w:szCs w:val="22"/>
          <w:rtl/>
        </w:rPr>
      </w:pPr>
      <w:r>
        <w:rPr>
          <w:rFonts w:hint="cs"/>
          <w:sz w:val="22"/>
          <w:szCs w:val="22"/>
          <w:rtl/>
        </w:rPr>
        <w:t xml:space="preserve">^ </w:t>
      </w:r>
      <w:r w:rsidRPr="00971541">
        <w:rPr>
          <w:sz w:val="22"/>
          <w:szCs w:val="22"/>
          <w:rtl/>
        </w:rPr>
        <w:t xml:space="preserve">השמעת השוואה זו </w:t>
      </w:r>
      <w:r>
        <w:rPr>
          <w:sz w:val="22"/>
          <w:szCs w:val="22"/>
          <w:rtl/>
        </w:rPr>
        <w:t>–</w:t>
      </w:r>
      <w:r>
        <w:rPr>
          <w:rFonts w:hint="cs"/>
          <w:sz w:val="22"/>
          <w:szCs w:val="22"/>
          <w:rtl/>
        </w:rPr>
        <w:t xml:space="preserve"> בין האזרחים הערבים לבין האזרחים החרדים </w:t>
      </w:r>
      <w:r>
        <w:rPr>
          <w:sz w:val="22"/>
          <w:szCs w:val="22"/>
          <w:rtl/>
        </w:rPr>
        <w:t>–</w:t>
      </w:r>
      <w:r>
        <w:rPr>
          <w:rFonts w:hint="cs"/>
          <w:sz w:val="22"/>
          <w:szCs w:val="22"/>
          <w:rtl/>
        </w:rPr>
        <w:t xml:space="preserve"> עשויה להטעות. אדגיש לפיכך את עמדתי, לפיה אין </w:t>
      </w:r>
      <w:r w:rsidRPr="00971541">
        <w:rPr>
          <w:sz w:val="22"/>
          <w:szCs w:val="22"/>
          <w:rtl/>
        </w:rPr>
        <w:t>זהות ערכית</w:t>
      </w:r>
      <w:r>
        <w:rPr>
          <w:rFonts w:hint="cs"/>
          <w:sz w:val="22"/>
          <w:szCs w:val="22"/>
          <w:rtl/>
        </w:rPr>
        <w:t xml:space="preserve"> </w:t>
      </w:r>
      <w:r w:rsidRPr="00971541">
        <w:rPr>
          <w:sz w:val="22"/>
          <w:szCs w:val="22"/>
          <w:rtl/>
        </w:rPr>
        <w:t xml:space="preserve">בין אופייה הדמוקרטי של המדינה לבין אופייה הלאומי.  </w:t>
      </w:r>
    </w:p>
    <w:p w:rsidR="005366A8" w:rsidRDefault="005366A8" w:rsidP="005366A8">
      <w:pPr>
        <w:ind w:left="1440"/>
        <w:rPr>
          <w:sz w:val="22"/>
          <w:szCs w:val="22"/>
          <w:rtl/>
        </w:rPr>
      </w:pPr>
      <w:r w:rsidRPr="00971541">
        <w:rPr>
          <w:sz w:val="22"/>
          <w:szCs w:val="22"/>
          <w:rtl/>
        </w:rPr>
        <w:t>קיים כאן הבדל ממשי.  גם מי שחושב כי לישראל עומד צידוק לשני יסודותיה</w:t>
      </w:r>
      <w:r>
        <w:rPr>
          <w:rFonts w:hint="cs"/>
          <w:sz w:val="22"/>
          <w:szCs w:val="22"/>
          <w:rtl/>
        </w:rPr>
        <w:t xml:space="preserve"> (יהדותה במישור הלאומי, והדמוקרטיות שלה)</w:t>
      </w:r>
      <w:r w:rsidRPr="00971541">
        <w:rPr>
          <w:sz w:val="22"/>
          <w:szCs w:val="22"/>
          <w:rtl/>
        </w:rPr>
        <w:t>, צריך להסכים כי קיים שוני בי</w:t>
      </w:r>
      <w:r>
        <w:rPr>
          <w:rFonts w:hint="cs"/>
          <w:sz w:val="22"/>
          <w:szCs w:val="22"/>
          <w:rtl/>
        </w:rPr>
        <w:t>ן ש</w:t>
      </w:r>
      <w:r w:rsidRPr="00971541">
        <w:rPr>
          <w:sz w:val="22"/>
          <w:szCs w:val="22"/>
          <w:rtl/>
        </w:rPr>
        <w:t xml:space="preserve">ניהם, וכי הצידוק לזהותהּ הלאומית </w:t>
      </w:r>
      <w:r>
        <w:rPr>
          <w:rFonts w:hint="cs"/>
          <w:sz w:val="22"/>
          <w:szCs w:val="22"/>
          <w:rtl/>
        </w:rPr>
        <w:t xml:space="preserve">של ישראל </w:t>
      </w:r>
      <w:r w:rsidRPr="00971541">
        <w:rPr>
          <w:sz w:val="22"/>
          <w:szCs w:val="22"/>
          <w:rtl/>
        </w:rPr>
        <w:t xml:space="preserve">הוא צידוק תלוי-נסיבות, להבדיל מהצידוק לאופייה הדמוקרטי.  במילים אחרות, שינוי נסיבות – דוגמת שינוי דמוגראפי מקיף בין תושבי המדינה או שינוי בזהויות או בשאיפות הפוליטיות של תושבים אלו – עשוי להשמיט את הצידוק לשמירת זהותה הלאומית של ישראל; </w:t>
      </w:r>
      <w:r>
        <w:rPr>
          <w:sz w:val="22"/>
          <w:szCs w:val="22"/>
          <w:rtl/>
        </w:rPr>
        <w:t>זאת שעה, שעל פי התפיסה הליברלית</w:t>
      </w:r>
      <w:r>
        <w:rPr>
          <w:rFonts w:hint="cs"/>
          <w:sz w:val="22"/>
          <w:szCs w:val="22"/>
          <w:rtl/>
        </w:rPr>
        <w:t xml:space="preserve"> לא כך ביחס לדמוקרטיה. </w:t>
      </w:r>
    </w:p>
    <w:p w:rsidR="005366A8" w:rsidRDefault="005366A8" w:rsidP="005366A8">
      <w:pPr>
        <w:ind w:left="1440"/>
        <w:rPr>
          <w:sz w:val="22"/>
          <w:szCs w:val="22"/>
          <w:rtl/>
        </w:rPr>
      </w:pPr>
      <w:r>
        <w:rPr>
          <w:rFonts w:hint="cs"/>
          <w:sz w:val="22"/>
          <w:szCs w:val="22"/>
          <w:rtl/>
        </w:rPr>
        <w:t>אמנם</w:t>
      </w:r>
      <w:r w:rsidRPr="00971541">
        <w:rPr>
          <w:sz w:val="22"/>
          <w:szCs w:val="22"/>
          <w:rtl/>
        </w:rPr>
        <w:t xml:space="preserve"> שינוי נסיבתי קיצוני (למשל, שעת-חירום) עלול להשעות את התנהלותה של מדינה בדרך דמוקרטית</w:t>
      </w:r>
      <w:r>
        <w:rPr>
          <w:rFonts w:hint="cs"/>
          <w:sz w:val="22"/>
          <w:szCs w:val="22"/>
          <w:rtl/>
        </w:rPr>
        <w:t xml:space="preserve"> </w:t>
      </w:r>
      <w:r>
        <w:rPr>
          <w:sz w:val="22"/>
          <w:szCs w:val="22"/>
          <w:rtl/>
        </w:rPr>
        <w:t>–</w:t>
      </w:r>
      <w:r>
        <w:rPr>
          <w:rFonts w:hint="cs"/>
          <w:sz w:val="22"/>
          <w:szCs w:val="22"/>
          <w:rtl/>
        </w:rPr>
        <w:t xml:space="preserve"> </w:t>
      </w:r>
      <w:r w:rsidRPr="000F47E2">
        <w:rPr>
          <w:rFonts w:hint="cs"/>
          <w:i/>
          <w:iCs/>
          <w:sz w:val="22"/>
          <w:szCs w:val="22"/>
          <w:rtl/>
        </w:rPr>
        <w:t>ואולם זאת רק באופן זמני מאד</w:t>
      </w:r>
      <w:r>
        <w:rPr>
          <w:rFonts w:hint="cs"/>
          <w:i/>
          <w:iCs/>
          <w:sz w:val="22"/>
          <w:szCs w:val="22"/>
          <w:rtl/>
        </w:rPr>
        <w:t xml:space="preserve"> ובאופן הפיך</w:t>
      </w:r>
      <w:r w:rsidRPr="00971541">
        <w:rPr>
          <w:sz w:val="22"/>
          <w:szCs w:val="22"/>
          <w:rtl/>
        </w:rPr>
        <w:t xml:space="preserve">.  </w:t>
      </w:r>
    </w:p>
    <w:p w:rsidR="005366A8" w:rsidRDefault="005366A8" w:rsidP="005366A8">
      <w:pPr>
        <w:ind w:left="1440"/>
        <w:rPr>
          <w:sz w:val="22"/>
          <w:szCs w:val="22"/>
          <w:rtl/>
        </w:rPr>
      </w:pPr>
      <w:r w:rsidRPr="00971541">
        <w:rPr>
          <w:sz w:val="22"/>
          <w:szCs w:val="22"/>
          <w:rtl/>
        </w:rPr>
        <w:t>ביתר קונקרטיות: קשה מאוד לשלול את האפשרות לחולל, בדרכי שלום, דינאמיקה בזהויות קיבוציות של בני אדם ובמסגרת היחסים הבין-קהילתיים במדינה.  מה מצדיק למשל הגבלות מהותיות על היכולת לנסות לשכנע כי הזכות להגדרה עצמית של העם היהודי תישמר במידה רבה גם במדינה דו-לאומית (כפי שנשמרת הזהות האנגלופונית</w:t>
      </w:r>
      <w:r>
        <w:rPr>
          <w:rFonts w:hint="cs"/>
          <w:sz w:val="22"/>
          <w:szCs w:val="22"/>
          <w:rtl/>
        </w:rPr>
        <w:t xml:space="preserve"> </w:t>
      </w:r>
      <w:r>
        <w:rPr>
          <w:sz w:val="22"/>
          <w:szCs w:val="22"/>
          <w:rtl/>
        </w:rPr>
        <w:t>–</w:t>
      </w:r>
      <w:r>
        <w:rPr>
          <w:rFonts w:hint="cs"/>
          <w:sz w:val="22"/>
          <w:szCs w:val="22"/>
          <w:rtl/>
        </w:rPr>
        <w:t xml:space="preserve"> זהותם של הקנדים דוברי-האנגלית, להבדיל מדוברי-הצרפתית </w:t>
      </w:r>
      <w:r>
        <w:rPr>
          <w:sz w:val="22"/>
          <w:szCs w:val="22"/>
          <w:rtl/>
        </w:rPr>
        <w:t>–</w:t>
      </w:r>
      <w:r>
        <w:rPr>
          <w:rFonts w:hint="cs"/>
          <w:sz w:val="22"/>
          <w:szCs w:val="22"/>
          <w:rtl/>
        </w:rPr>
        <w:t xml:space="preserve"> </w:t>
      </w:r>
      <w:r w:rsidRPr="00971541">
        <w:rPr>
          <w:sz w:val="22"/>
          <w:szCs w:val="22"/>
          <w:rtl/>
        </w:rPr>
        <w:t xml:space="preserve">בקנדה)? אשר על כן, גם מי שאינו תומך בניסיון מעבר למדינה הדו-לאומית מסיבות שונות חייב להכיר בזכותם של נוקטי מהלך זה לחתור להגשמתו במכלול האמצעים שדמוקרטיה מהותית תעמיד למאבקים מעין אלו.  </w:t>
      </w:r>
    </w:p>
    <w:p w:rsidR="005366A8" w:rsidRDefault="005366A8" w:rsidP="005366A8">
      <w:pPr>
        <w:ind w:left="1440"/>
        <w:rPr>
          <w:sz w:val="22"/>
          <w:szCs w:val="22"/>
          <w:rtl/>
        </w:rPr>
      </w:pPr>
      <w:r w:rsidRPr="00971541">
        <w:rPr>
          <w:sz w:val="22"/>
          <w:szCs w:val="22"/>
          <w:rtl/>
        </w:rPr>
        <w:t xml:space="preserve">ההגבלה העיקרית לפיכך היא </w:t>
      </w:r>
      <w:r w:rsidRPr="000F47E2">
        <w:rPr>
          <w:i/>
          <w:iCs/>
          <w:sz w:val="22"/>
          <w:szCs w:val="22"/>
          <w:rtl/>
        </w:rPr>
        <w:t>על האמצעים</w:t>
      </w:r>
      <w:r w:rsidRPr="00971541">
        <w:rPr>
          <w:sz w:val="22"/>
          <w:szCs w:val="22"/>
          <w:rtl/>
        </w:rPr>
        <w:t xml:space="preserve"> להשגת התכלית של שינוי הזהות הלאומית של ישראל, וקשה מאוד להצדיק הגבלות על אמצעים לא-אלימים להשגת שינוי שכזה.  </w:t>
      </w:r>
    </w:p>
    <w:p w:rsidR="005366A8" w:rsidRPr="00971541" w:rsidRDefault="005366A8" w:rsidP="005366A8">
      <w:pPr>
        <w:ind w:left="1440"/>
        <w:rPr>
          <w:sz w:val="22"/>
          <w:szCs w:val="22"/>
          <w:rtl/>
        </w:rPr>
      </w:pPr>
      <w:r w:rsidRPr="000F47E2">
        <w:rPr>
          <w:i/>
          <w:iCs/>
          <w:sz w:val="22"/>
          <w:szCs w:val="22"/>
          <w:rtl/>
        </w:rPr>
        <w:t>מנגד, אופייה הדמוקרטי של מדינה הוא אקסיומטי מנקודת ראות ליברלית</w:t>
      </w:r>
      <w:r w:rsidRPr="00971541">
        <w:rPr>
          <w:sz w:val="22"/>
          <w:szCs w:val="22"/>
          <w:rtl/>
        </w:rPr>
        <w:t>.  הוא אינו תלוי ב"הסכמת רוב".  אדם אינו יכול למכור עצמו לעבדות, וחברה אינה יכולה בהחלטת</w:t>
      </w:r>
      <w:r>
        <w:rPr>
          <w:rFonts w:hint="cs"/>
          <w:sz w:val="22"/>
          <w:szCs w:val="22"/>
          <w:rtl/>
        </w:rPr>
        <w:t>-</w:t>
      </w:r>
      <w:r w:rsidRPr="00971541">
        <w:rPr>
          <w:sz w:val="22"/>
          <w:szCs w:val="22"/>
          <w:rtl/>
        </w:rPr>
        <w:t xml:space="preserve">רוב לוותר על חירותה.  על כן ניתן לחסום גם מי שחותר להשיג את ביטול הדמוקרטיה </w:t>
      </w:r>
      <w:r w:rsidRPr="00733D20">
        <w:rPr>
          <w:i/>
          <w:iCs/>
          <w:sz w:val="22"/>
          <w:szCs w:val="22"/>
          <w:rtl/>
        </w:rPr>
        <w:t>שלא בדרך אלימה</w:t>
      </w:r>
      <w:r w:rsidRPr="00971541">
        <w:rPr>
          <w:sz w:val="22"/>
          <w:szCs w:val="22"/>
          <w:rtl/>
        </w:rPr>
        <w:t xml:space="preserve">; די בזיהוי מהימן לשלב שבו מתגבשת </w:t>
      </w:r>
      <w:r w:rsidRPr="00971541">
        <w:rPr>
          <w:b/>
          <w:bCs/>
          <w:sz w:val="22"/>
          <w:szCs w:val="22"/>
          <w:rtl/>
        </w:rPr>
        <w:t>הסתברות ממשית</w:t>
      </w:r>
      <w:r w:rsidRPr="00971541">
        <w:rPr>
          <w:sz w:val="22"/>
          <w:szCs w:val="22"/>
          <w:rtl/>
        </w:rPr>
        <w:t xml:space="preserve"> לכך שהדמוקרטיה במדינה תתבטל אם לא יוגבלו הכוחות הלא-דמוקרטיים.</w:t>
      </w:r>
    </w:p>
    <w:p w:rsidR="005366A8" w:rsidRDefault="005366A8" w:rsidP="005366A8">
      <w:pPr>
        <w:ind w:left="1440" w:hanging="720"/>
        <w:rPr>
          <w:sz w:val="22"/>
          <w:szCs w:val="22"/>
          <w:rtl/>
        </w:rPr>
      </w:pPr>
    </w:p>
    <w:p w:rsidR="005366A8" w:rsidRPr="00A74B1D" w:rsidRDefault="005366A8" w:rsidP="005366A8">
      <w:pPr>
        <w:spacing w:after="120"/>
        <w:rPr>
          <w:b/>
          <w:bCs/>
          <w:sz w:val="22"/>
          <w:szCs w:val="22"/>
          <w:u w:val="single"/>
          <w:rtl/>
        </w:rPr>
      </w:pPr>
      <w:r>
        <w:rPr>
          <w:rFonts w:hint="cs"/>
          <w:b/>
          <w:bCs/>
          <w:sz w:val="22"/>
          <w:szCs w:val="22"/>
          <w:u w:val="single"/>
          <w:rtl/>
        </w:rPr>
        <w:t xml:space="preserve">נקודות </w:t>
      </w:r>
      <w:r w:rsidRPr="00A74B1D">
        <w:rPr>
          <w:rFonts w:hint="cs"/>
          <w:b/>
          <w:bCs/>
          <w:sz w:val="22"/>
          <w:szCs w:val="22"/>
          <w:u w:val="single"/>
          <w:rtl/>
        </w:rPr>
        <w:t xml:space="preserve">ביקורת </w:t>
      </w:r>
      <w:r>
        <w:rPr>
          <w:rFonts w:hint="cs"/>
          <w:b/>
          <w:bCs/>
          <w:sz w:val="22"/>
          <w:szCs w:val="22"/>
          <w:u w:val="single"/>
          <w:rtl/>
        </w:rPr>
        <w:t xml:space="preserve">על פסק הדין </w:t>
      </w:r>
      <w:r w:rsidRPr="00A74B1D">
        <w:rPr>
          <w:rFonts w:hint="cs"/>
          <w:b/>
          <w:bCs/>
          <w:sz w:val="22"/>
          <w:szCs w:val="22"/>
          <w:u w:val="single"/>
          <w:rtl/>
        </w:rPr>
        <w:t xml:space="preserve">מנקודת ראות </w:t>
      </w:r>
      <w:r w:rsidRPr="00346E42">
        <w:rPr>
          <w:rFonts w:hint="cs"/>
          <w:b/>
          <w:bCs/>
          <w:i/>
          <w:iCs/>
          <w:sz w:val="22"/>
          <w:szCs w:val="22"/>
          <w:highlight w:val="yellow"/>
          <w:u w:val="single"/>
          <w:rtl/>
        </w:rPr>
        <w:t>משפטית</w:t>
      </w:r>
      <w:r w:rsidRPr="00A74B1D">
        <w:rPr>
          <w:rFonts w:hint="cs"/>
          <w:b/>
          <w:bCs/>
          <w:sz w:val="22"/>
          <w:szCs w:val="22"/>
          <w:u w:val="single"/>
          <w:rtl/>
        </w:rPr>
        <w:t>:</w:t>
      </w:r>
    </w:p>
    <w:p w:rsidR="005366A8" w:rsidRDefault="005366A8" w:rsidP="005366A8">
      <w:pPr>
        <w:ind w:left="720"/>
        <w:rPr>
          <w:sz w:val="22"/>
          <w:szCs w:val="22"/>
          <w:rtl/>
        </w:rPr>
      </w:pPr>
      <w:r>
        <w:rPr>
          <w:rFonts w:hint="cs"/>
          <w:sz w:val="22"/>
          <w:szCs w:val="22"/>
          <w:rtl/>
        </w:rPr>
        <w:t xml:space="preserve">^ </w:t>
      </w:r>
      <w:r w:rsidRPr="00C0324C">
        <w:rPr>
          <w:rFonts w:hint="cs"/>
          <w:b/>
          <w:bCs/>
          <w:sz w:val="22"/>
          <w:szCs w:val="22"/>
          <w:rtl/>
        </w:rPr>
        <w:t>ביקורתו של שופט המיעוט חיים כהן</w:t>
      </w:r>
      <w:r>
        <w:rPr>
          <w:rFonts w:hint="cs"/>
          <w:sz w:val="22"/>
          <w:szCs w:val="22"/>
          <w:rtl/>
        </w:rPr>
        <w:t>:</w:t>
      </w:r>
    </w:p>
    <w:p w:rsidR="005366A8" w:rsidRDefault="005366A8" w:rsidP="005366A8">
      <w:pPr>
        <w:ind w:left="1440"/>
        <w:rPr>
          <w:sz w:val="22"/>
          <w:szCs w:val="22"/>
          <w:rtl/>
        </w:rPr>
      </w:pPr>
      <w:r>
        <w:rPr>
          <w:rFonts w:hint="cs"/>
          <w:sz w:val="22"/>
          <w:szCs w:val="22"/>
          <w:rtl/>
        </w:rPr>
        <w:t xml:space="preserve">^ הגבלת זכות יסוד קריטית ללא מילוי אחר "עקרון ההסמכה"/ שלטון החוק (הפורמאלי) </w:t>
      </w:r>
      <w:r>
        <w:rPr>
          <w:sz w:val="22"/>
          <w:szCs w:val="22"/>
          <w:rtl/>
        </w:rPr>
        <w:t>–</w:t>
      </w:r>
      <w:r>
        <w:rPr>
          <w:rFonts w:hint="cs"/>
          <w:sz w:val="22"/>
          <w:szCs w:val="22"/>
          <w:rtl/>
        </w:rPr>
        <w:t xml:space="preserve"> הסמכתו של המחוקק;</w:t>
      </w:r>
    </w:p>
    <w:p w:rsidR="005366A8" w:rsidRDefault="005366A8" w:rsidP="005366A8">
      <w:pPr>
        <w:spacing w:after="120"/>
        <w:ind w:left="1440"/>
        <w:rPr>
          <w:sz w:val="22"/>
          <w:szCs w:val="22"/>
          <w:rtl/>
        </w:rPr>
      </w:pPr>
      <w:r>
        <w:rPr>
          <w:rFonts w:hint="cs"/>
          <w:sz w:val="22"/>
          <w:szCs w:val="22"/>
          <w:rtl/>
        </w:rPr>
        <w:t>^ הויתור על מבחן האיזון (התייחסות לעיל); והויתור על הדרישה לאישוש ראייתי/ ביסוס עובדתי של טענת הסכנה;</w:t>
      </w:r>
    </w:p>
    <w:p w:rsidR="005366A8" w:rsidRDefault="005366A8" w:rsidP="005366A8">
      <w:pPr>
        <w:ind w:left="720"/>
        <w:rPr>
          <w:sz w:val="22"/>
          <w:szCs w:val="22"/>
          <w:rtl/>
        </w:rPr>
      </w:pPr>
      <w:r>
        <w:rPr>
          <w:rFonts w:hint="cs"/>
          <w:sz w:val="22"/>
          <w:szCs w:val="22"/>
          <w:rtl/>
        </w:rPr>
        <w:t>הביקורת שניתן להוסיף:</w:t>
      </w:r>
    </w:p>
    <w:p w:rsidR="005366A8" w:rsidRDefault="005366A8" w:rsidP="005366A8">
      <w:pPr>
        <w:ind w:left="1440"/>
        <w:rPr>
          <w:sz w:val="22"/>
          <w:szCs w:val="22"/>
          <w:rtl/>
        </w:rPr>
      </w:pPr>
      <w:r>
        <w:rPr>
          <w:rFonts w:hint="cs"/>
          <w:sz w:val="22"/>
          <w:szCs w:val="22"/>
          <w:rtl/>
        </w:rPr>
        <w:t xml:space="preserve">^ השופט זוסמן מבצע כאן פעולה "מטא-טקסטואלית", פעולה מחוץ לטקסט, שבה בית המשפט מתערב ללא סמכות ברורה, ומשנה את הסמכויות של הרשויות השלטוניות, וכאן משנה את חקיקת הכנסת עצמה. פעולה מעין זו צריכה להיות שמורה למצבי חירום קיומיים </w:t>
      </w:r>
      <w:r>
        <w:rPr>
          <w:sz w:val="22"/>
          <w:szCs w:val="22"/>
          <w:rtl/>
        </w:rPr>
        <w:t>–</w:t>
      </w:r>
      <w:r>
        <w:rPr>
          <w:rFonts w:hint="cs"/>
          <w:sz w:val="22"/>
          <w:szCs w:val="22"/>
          <w:rtl/>
        </w:rPr>
        <w:t xml:space="preserve"> שבהם מאוים ממש עצם קיומה או מאויימים יסודותיה </w:t>
      </w:r>
      <w:r>
        <w:rPr>
          <w:sz w:val="22"/>
          <w:szCs w:val="22"/>
          <w:rtl/>
        </w:rPr>
        <w:t>–</w:t>
      </w:r>
      <w:r>
        <w:rPr>
          <w:rFonts w:hint="cs"/>
          <w:sz w:val="22"/>
          <w:szCs w:val="22"/>
          <w:rtl/>
        </w:rPr>
        <w:t xml:space="preserve"> מצבים שזועקים להתערבות מצילה.  אלא שאין זה מצב הדברים בנסיבות </w:t>
      </w:r>
      <w:r w:rsidRPr="00A74B1D">
        <w:rPr>
          <w:rFonts w:hint="cs"/>
          <w:b/>
          <w:bCs/>
          <w:sz w:val="22"/>
          <w:szCs w:val="22"/>
          <w:rtl/>
        </w:rPr>
        <w:t>ירדור</w:t>
      </w:r>
      <w:r>
        <w:rPr>
          <w:rFonts w:hint="cs"/>
          <w:sz w:val="22"/>
          <w:szCs w:val="22"/>
          <w:rtl/>
        </w:rPr>
        <w:t xml:space="preserve">.  </w:t>
      </w:r>
    </w:p>
    <w:p w:rsidR="005366A8" w:rsidRDefault="005366A8" w:rsidP="005366A8">
      <w:pPr>
        <w:ind w:left="1440"/>
        <w:rPr>
          <w:sz w:val="22"/>
          <w:szCs w:val="22"/>
          <w:rtl/>
        </w:rPr>
      </w:pPr>
      <w:r>
        <w:rPr>
          <w:rFonts w:hint="cs"/>
          <w:sz w:val="22"/>
          <w:szCs w:val="22"/>
          <w:rtl/>
        </w:rPr>
        <w:t>כאן יכולה היתה קהילת הרוב לפעול, כפי שאכן עשתה במחצית שנות השמונים: לגייס את כוחה בכנסת לתקן את חוק יסוד: הכנסת, וכן להפעיל אמצעים נוספים או חלופיים, דוגמת הגבלת הצעות החוק שניתן להגיש בכנסת.</w:t>
      </w:r>
    </w:p>
    <w:p w:rsidR="005366A8" w:rsidRDefault="005366A8" w:rsidP="005366A8">
      <w:pPr>
        <w:rPr>
          <w:sz w:val="20"/>
          <w:szCs w:val="20"/>
          <w:rtl/>
        </w:rPr>
      </w:pPr>
      <w:r w:rsidRPr="000E1B6F">
        <w:rPr>
          <w:rFonts w:hint="cs"/>
          <w:sz w:val="20"/>
          <w:szCs w:val="20"/>
          <w:rtl/>
        </w:rPr>
        <w:t>=-=</w:t>
      </w:r>
    </w:p>
    <w:p w:rsidR="005366A8" w:rsidRDefault="005366A8" w:rsidP="005366A8">
      <w:pPr>
        <w:rPr>
          <w:sz w:val="20"/>
          <w:szCs w:val="20"/>
          <w:rtl/>
        </w:rPr>
      </w:pPr>
    </w:p>
    <w:p w:rsidR="005366A8" w:rsidRPr="008E0D63" w:rsidRDefault="005366A8" w:rsidP="005366A8">
      <w:pPr>
        <w:jc w:val="center"/>
        <w:rPr>
          <w:b/>
          <w:bCs/>
          <w:rtl/>
        </w:rPr>
      </w:pPr>
      <w:r w:rsidRPr="00BB2D6C">
        <w:rPr>
          <w:rFonts w:hint="cs"/>
          <w:b/>
          <w:bCs/>
          <w:highlight w:val="yellow"/>
          <w:rtl/>
        </w:rPr>
        <w:t>החוקה המהותית ו"הפרשנות התכליתית"</w:t>
      </w:r>
    </w:p>
    <w:p w:rsidR="005366A8" w:rsidRDefault="005366A8" w:rsidP="005366A8">
      <w:pPr>
        <w:rPr>
          <w:sz w:val="20"/>
          <w:szCs w:val="20"/>
          <w:rtl/>
        </w:rPr>
      </w:pPr>
    </w:p>
    <w:p w:rsidR="005366A8" w:rsidRDefault="005366A8" w:rsidP="005366A8">
      <w:pPr>
        <w:spacing w:after="60"/>
        <w:rPr>
          <w:rFonts w:ascii="Arial" w:hAnsi="Arial" w:cs="Arial"/>
          <w:sz w:val="20"/>
          <w:szCs w:val="20"/>
          <w:rtl/>
        </w:rPr>
      </w:pPr>
      <w:r w:rsidRPr="000F1D90">
        <w:rPr>
          <w:rFonts w:ascii="Arial" w:hAnsi="Arial" w:cs="Arial"/>
          <w:b/>
          <w:bCs/>
          <w:sz w:val="20"/>
          <w:szCs w:val="20"/>
          <w:rtl/>
        </w:rPr>
        <w:t>קול העם</w:t>
      </w:r>
      <w:r w:rsidRPr="000F1D90">
        <w:rPr>
          <w:rFonts w:ascii="Arial" w:hAnsi="Arial" w:cs="Arial"/>
          <w:sz w:val="20"/>
          <w:szCs w:val="20"/>
          <w:rtl/>
        </w:rPr>
        <w:t xml:space="preserve"> </w:t>
      </w:r>
      <w:r>
        <w:rPr>
          <w:rFonts w:ascii="Arial" w:hAnsi="Arial" w:cs="Arial" w:hint="cs"/>
          <w:sz w:val="20"/>
          <w:szCs w:val="20"/>
          <w:rtl/>
        </w:rPr>
        <w:t>היה</w:t>
      </w:r>
      <w:r w:rsidRPr="000F1D90">
        <w:rPr>
          <w:rFonts w:ascii="Arial" w:hAnsi="Arial" w:cs="Arial"/>
          <w:sz w:val="20"/>
          <w:szCs w:val="20"/>
          <w:rtl/>
        </w:rPr>
        <w:t xml:space="preserve"> הניצן החשוב של "הפרשנות התכליתית" – הסנונית שבישרה על בואה. </w:t>
      </w:r>
    </w:p>
    <w:p w:rsidR="005366A8" w:rsidRPr="000F1D90" w:rsidRDefault="005366A8" w:rsidP="005366A8">
      <w:pPr>
        <w:spacing w:after="60"/>
        <w:rPr>
          <w:rFonts w:ascii="Arial" w:hAnsi="Arial" w:cs="Arial"/>
          <w:sz w:val="20"/>
          <w:szCs w:val="20"/>
          <w:rtl/>
        </w:rPr>
      </w:pPr>
      <w:r w:rsidRPr="000F1D90">
        <w:rPr>
          <w:rFonts w:ascii="Arial" w:hAnsi="Arial" w:cs="Arial"/>
          <w:sz w:val="20"/>
          <w:szCs w:val="20"/>
          <w:rtl/>
        </w:rPr>
        <w:t>מעשית</w:t>
      </w:r>
      <w:r>
        <w:rPr>
          <w:rFonts w:ascii="Arial" w:hAnsi="Arial" w:cs="Arial" w:hint="cs"/>
          <w:sz w:val="20"/>
          <w:szCs w:val="20"/>
          <w:rtl/>
        </w:rPr>
        <w:t>,</w:t>
      </w:r>
      <w:r w:rsidRPr="000F1D90">
        <w:rPr>
          <w:rFonts w:ascii="Arial" w:hAnsi="Arial" w:cs="Arial"/>
          <w:sz w:val="20"/>
          <w:szCs w:val="20"/>
          <w:rtl/>
        </w:rPr>
        <w:t xml:space="preserve"> תורת פרשנות זו התבססה רק כחצי יובל </w:t>
      </w:r>
      <w:r>
        <w:rPr>
          <w:rFonts w:ascii="Arial" w:hAnsi="Arial" w:cs="Arial" w:hint="cs"/>
          <w:sz w:val="20"/>
          <w:szCs w:val="20"/>
          <w:rtl/>
        </w:rPr>
        <w:t xml:space="preserve">(25) </w:t>
      </w:r>
      <w:r w:rsidRPr="000F1D90">
        <w:rPr>
          <w:rFonts w:ascii="Arial" w:hAnsi="Arial" w:cs="Arial"/>
          <w:sz w:val="20"/>
          <w:szCs w:val="20"/>
          <w:rtl/>
        </w:rPr>
        <w:t xml:space="preserve">שנים לאחר מכן, בתקופתם של השופטים שמגר וברק. </w:t>
      </w:r>
    </w:p>
    <w:p w:rsidR="005366A8" w:rsidRPr="000F1D90" w:rsidRDefault="005366A8" w:rsidP="005366A8">
      <w:pPr>
        <w:spacing w:after="60"/>
        <w:rPr>
          <w:rFonts w:ascii="Arial" w:hAnsi="Arial" w:cs="Arial"/>
          <w:sz w:val="20"/>
          <w:szCs w:val="20"/>
          <w:rtl/>
        </w:rPr>
      </w:pPr>
      <w:r w:rsidRPr="000F1D90">
        <w:rPr>
          <w:rFonts w:ascii="Arial" w:hAnsi="Arial" w:cs="Arial"/>
          <w:sz w:val="20"/>
          <w:szCs w:val="20"/>
          <w:rtl/>
        </w:rPr>
        <w:t>בפגישה הבאה נרחיב בשאלת השפעתה של החוקה המהותית של ישראל על פרשנותו של הדין (</w:t>
      </w:r>
      <w:r>
        <w:rPr>
          <w:rFonts w:ascii="Arial" w:hAnsi="Arial" w:cs="Arial" w:hint="cs"/>
          <w:sz w:val="20"/>
          <w:szCs w:val="20"/>
          <w:rtl/>
        </w:rPr>
        <w:t xml:space="preserve">פרשנות </w:t>
      </w:r>
      <w:r w:rsidRPr="000F1D90">
        <w:rPr>
          <w:rFonts w:ascii="Arial" w:hAnsi="Arial" w:cs="Arial"/>
          <w:sz w:val="20"/>
          <w:szCs w:val="20"/>
          <w:rtl/>
        </w:rPr>
        <w:t xml:space="preserve">חוקי </w:t>
      </w:r>
      <w:r>
        <w:rPr>
          <w:rFonts w:ascii="Arial" w:hAnsi="Arial" w:cs="Arial" w:hint="cs"/>
          <w:sz w:val="20"/>
          <w:szCs w:val="20"/>
          <w:rtl/>
        </w:rPr>
        <w:t>ה</w:t>
      </w:r>
      <w:r w:rsidRPr="000F1D90">
        <w:rPr>
          <w:rFonts w:ascii="Arial" w:hAnsi="Arial" w:cs="Arial"/>
          <w:sz w:val="20"/>
          <w:szCs w:val="20"/>
          <w:rtl/>
        </w:rPr>
        <w:t xml:space="preserve">יסוד, </w:t>
      </w:r>
      <w:r>
        <w:rPr>
          <w:rFonts w:ascii="Arial" w:hAnsi="Arial" w:cs="Arial" w:hint="cs"/>
          <w:sz w:val="20"/>
          <w:szCs w:val="20"/>
          <w:rtl/>
        </w:rPr>
        <w:t>ה</w:t>
      </w:r>
      <w:r w:rsidRPr="000F1D90">
        <w:rPr>
          <w:rFonts w:ascii="Arial" w:hAnsi="Arial" w:cs="Arial"/>
          <w:sz w:val="20"/>
          <w:szCs w:val="20"/>
          <w:rtl/>
        </w:rPr>
        <w:t xml:space="preserve">חוקים, חקיקת </w:t>
      </w:r>
      <w:r>
        <w:rPr>
          <w:rFonts w:ascii="Arial" w:hAnsi="Arial" w:cs="Arial" w:hint="cs"/>
          <w:sz w:val="20"/>
          <w:szCs w:val="20"/>
          <w:rtl/>
        </w:rPr>
        <w:t>ה</w:t>
      </w:r>
      <w:r w:rsidRPr="000F1D90">
        <w:rPr>
          <w:rFonts w:ascii="Arial" w:hAnsi="Arial" w:cs="Arial"/>
          <w:sz w:val="20"/>
          <w:szCs w:val="20"/>
          <w:rtl/>
        </w:rPr>
        <w:t xml:space="preserve">משנה וכדומה). כלומר נעסוק </w:t>
      </w:r>
      <w:r>
        <w:rPr>
          <w:rFonts w:ascii="Arial" w:hAnsi="Arial" w:cs="Arial" w:hint="cs"/>
          <w:sz w:val="20"/>
          <w:szCs w:val="20"/>
          <w:rtl/>
        </w:rPr>
        <w:t>מקרוב</w:t>
      </w:r>
      <w:r w:rsidRPr="000F1D90">
        <w:rPr>
          <w:rFonts w:ascii="Arial" w:hAnsi="Arial" w:cs="Arial"/>
          <w:sz w:val="20"/>
          <w:szCs w:val="20"/>
          <w:rtl/>
        </w:rPr>
        <w:t xml:space="preserve"> בשאלה, איזה תפקיד יש ל</w:t>
      </w:r>
      <w:r>
        <w:rPr>
          <w:rFonts w:ascii="Arial" w:hAnsi="Arial" w:cs="Arial" w:hint="cs"/>
          <w:sz w:val="20"/>
          <w:szCs w:val="20"/>
          <w:rtl/>
        </w:rPr>
        <w:t>חוקה המהותית</w:t>
      </w:r>
      <w:r w:rsidRPr="000F1D90">
        <w:rPr>
          <w:rFonts w:ascii="Arial" w:hAnsi="Arial" w:cs="Arial"/>
          <w:sz w:val="20"/>
          <w:szCs w:val="20"/>
          <w:rtl/>
        </w:rPr>
        <w:t xml:space="preserve"> במסגרתה של </w:t>
      </w:r>
      <w:r>
        <w:rPr>
          <w:rFonts w:ascii="Arial" w:hAnsi="Arial" w:cs="Arial" w:hint="cs"/>
          <w:sz w:val="20"/>
          <w:szCs w:val="20"/>
          <w:rtl/>
        </w:rPr>
        <w:t>"</w:t>
      </w:r>
      <w:r w:rsidRPr="000F1D90">
        <w:rPr>
          <w:rFonts w:ascii="Arial" w:hAnsi="Arial" w:cs="Arial"/>
          <w:sz w:val="20"/>
          <w:szCs w:val="20"/>
          <w:rtl/>
        </w:rPr>
        <w:t>הפרשנות התכליתית</w:t>
      </w:r>
      <w:r>
        <w:rPr>
          <w:rFonts w:ascii="Arial" w:hAnsi="Arial" w:cs="Arial" w:hint="cs"/>
          <w:sz w:val="20"/>
          <w:szCs w:val="20"/>
          <w:rtl/>
        </w:rPr>
        <w:t>"</w:t>
      </w:r>
      <w:r w:rsidRPr="000F1D90">
        <w:rPr>
          <w:rFonts w:ascii="Arial" w:hAnsi="Arial" w:cs="Arial"/>
          <w:sz w:val="20"/>
          <w:szCs w:val="20"/>
          <w:rtl/>
        </w:rPr>
        <w:t>?</w:t>
      </w:r>
    </w:p>
    <w:p w:rsidR="005366A8" w:rsidRPr="000F1D90" w:rsidRDefault="005366A8" w:rsidP="005366A8">
      <w:pPr>
        <w:ind w:left="720"/>
        <w:rPr>
          <w:rFonts w:ascii="Arial" w:hAnsi="Arial" w:cs="Arial"/>
          <w:sz w:val="20"/>
          <w:szCs w:val="20"/>
          <w:rtl/>
        </w:rPr>
      </w:pPr>
      <w:r w:rsidRPr="000F1D90">
        <w:rPr>
          <w:rFonts w:ascii="Arial" w:hAnsi="Arial" w:cs="Arial"/>
          <w:sz w:val="20"/>
          <w:szCs w:val="20"/>
          <w:rtl/>
        </w:rPr>
        <w:t>[</w:t>
      </w:r>
      <w:r>
        <w:rPr>
          <w:rFonts w:ascii="Arial" w:hAnsi="Arial" w:cs="Arial" w:hint="cs"/>
          <w:sz w:val="20"/>
          <w:szCs w:val="20"/>
          <w:rtl/>
        </w:rPr>
        <w:t xml:space="preserve">נושא הפרשנות התכליתית, שהיא </w:t>
      </w:r>
      <w:r w:rsidRPr="000F1D90">
        <w:rPr>
          <w:rFonts w:ascii="Arial" w:hAnsi="Arial" w:cs="Arial"/>
          <w:sz w:val="20"/>
          <w:szCs w:val="20"/>
          <w:rtl/>
        </w:rPr>
        <w:t>תורת הפרשנות הנוהגת במשפט הישראלי</w:t>
      </w:r>
      <w:r>
        <w:rPr>
          <w:rFonts w:ascii="Arial" w:hAnsi="Arial" w:cs="Arial" w:hint="cs"/>
          <w:sz w:val="20"/>
          <w:szCs w:val="20"/>
          <w:rtl/>
        </w:rPr>
        <w:t>,</w:t>
      </w:r>
      <w:r w:rsidRPr="000F1D90">
        <w:rPr>
          <w:rFonts w:ascii="Arial" w:hAnsi="Arial" w:cs="Arial"/>
          <w:sz w:val="20"/>
          <w:szCs w:val="20"/>
          <w:rtl/>
        </w:rPr>
        <w:t xml:space="preserve"> אתם פוגשים בקורס ב</w:t>
      </w:r>
      <w:r>
        <w:rPr>
          <w:rFonts w:ascii="Arial" w:hAnsi="Arial" w:cs="Arial" w:hint="cs"/>
          <w:sz w:val="20"/>
          <w:szCs w:val="20"/>
          <w:rtl/>
        </w:rPr>
        <w:t>"</w:t>
      </w:r>
      <w:r w:rsidRPr="000F1D90">
        <w:rPr>
          <w:rFonts w:ascii="Arial" w:hAnsi="Arial" w:cs="Arial"/>
          <w:sz w:val="20"/>
          <w:szCs w:val="20"/>
          <w:rtl/>
        </w:rPr>
        <w:t>מקורות המשפט הישראלי</w:t>
      </w:r>
      <w:r>
        <w:rPr>
          <w:rFonts w:ascii="Arial" w:hAnsi="Arial" w:cs="Arial" w:hint="cs"/>
          <w:sz w:val="20"/>
          <w:szCs w:val="20"/>
          <w:rtl/>
        </w:rPr>
        <w:t>"</w:t>
      </w:r>
      <w:r>
        <w:rPr>
          <w:rFonts w:ascii="Arial" w:hAnsi="Arial" w:cs="Arial"/>
          <w:sz w:val="20"/>
          <w:szCs w:val="20"/>
          <w:rtl/>
        </w:rPr>
        <w:t>, אך מרכזיות</w:t>
      </w:r>
      <w:r>
        <w:rPr>
          <w:rFonts w:ascii="Arial" w:hAnsi="Arial" w:cs="Arial" w:hint="cs"/>
          <w:sz w:val="20"/>
          <w:szCs w:val="20"/>
          <w:rtl/>
        </w:rPr>
        <w:t>ה של הפרשנות בלימודי המשפטים</w:t>
      </w:r>
      <w:r w:rsidRPr="000F1D90">
        <w:rPr>
          <w:rFonts w:ascii="Arial" w:hAnsi="Arial" w:cs="Arial"/>
          <w:sz w:val="20"/>
          <w:szCs w:val="20"/>
          <w:rtl/>
        </w:rPr>
        <w:t xml:space="preserve"> תגרום לכם לפוגש</w:t>
      </w:r>
      <w:r>
        <w:rPr>
          <w:rFonts w:ascii="Arial" w:hAnsi="Arial" w:cs="Arial" w:hint="cs"/>
          <w:sz w:val="20"/>
          <w:szCs w:val="20"/>
          <w:rtl/>
        </w:rPr>
        <w:t>ה</w:t>
      </w:r>
      <w:r w:rsidRPr="000F1D90">
        <w:rPr>
          <w:rFonts w:ascii="Arial" w:hAnsi="Arial" w:cs="Arial"/>
          <w:sz w:val="20"/>
          <w:szCs w:val="20"/>
          <w:rtl/>
        </w:rPr>
        <w:t xml:space="preserve"> בכל קורס שתלמדו בפקולטה].</w:t>
      </w:r>
    </w:p>
    <w:p w:rsidR="005366A8" w:rsidRPr="000F1D90" w:rsidRDefault="005366A8" w:rsidP="005366A8">
      <w:pPr>
        <w:rPr>
          <w:rFonts w:ascii="Arial" w:hAnsi="Arial" w:cs="Arial"/>
          <w:sz w:val="20"/>
          <w:szCs w:val="20"/>
          <w:rtl/>
        </w:rPr>
      </w:pPr>
      <w:r w:rsidRPr="000F1D90">
        <w:rPr>
          <w:rFonts w:ascii="Arial" w:hAnsi="Arial" w:cs="Arial"/>
          <w:sz w:val="20"/>
          <w:szCs w:val="20"/>
          <w:rtl/>
        </w:rPr>
        <w:t xml:space="preserve">אנא קראו את החומרים הבאים כרקע לפגישתנו </w:t>
      </w:r>
      <w:r>
        <w:rPr>
          <w:rFonts w:ascii="Arial" w:hAnsi="Arial" w:cs="Arial" w:hint="cs"/>
          <w:sz w:val="20"/>
          <w:szCs w:val="20"/>
          <w:rtl/>
        </w:rPr>
        <w:t>הקרובה</w:t>
      </w:r>
      <w:r w:rsidRPr="000F1D90">
        <w:rPr>
          <w:rFonts w:ascii="Arial" w:hAnsi="Arial" w:cs="Arial"/>
          <w:sz w:val="20"/>
          <w:szCs w:val="20"/>
          <w:rtl/>
        </w:rPr>
        <w:t>.</w:t>
      </w:r>
    </w:p>
    <w:p w:rsidR="005366A8" w:rsidRDefault="005366A8" w:rsidP="005366A8">
      <w:pPr>
        <w:rPr>
          <w:sz w:val="20"/>
          <w:szCs w:val="20"/>
          <w:rtl/>
        </w:rPr>
      </w:pPr>
      <w:r>
        <w:rPr>
          <w:rFonts w:hint="cs"/>
          <w:sz w:val="20"/>
          <w:szCs w:val="20"/>
          <w:rtl/>
        </w:rPr>
        <w:t>=-=</w:t>
      </w:r>
    </w:p>
    <w:p w:rsidR="005366A8" w:rsidRDefault="005366A8" w:rsidP="005366A8">
      <w:pPr>
        <w:rPr>
          <w:sz w:val="20"/>
          <w:szCs w:val="20"/>
          <w:rtl/>
        </w:rPr>
      </w:pPr>
    </w:p>
    <w:p w:rsidR="005366A8" w:rsidRPr="009C2C46" w:rsidRDefault="005366A8" w:rsidP="005366A8">
      <w:pPr>
        <w:rPr>
          <w:sz w:val="22"/>
          <w:szCs w:val="22"/>
          <w:rtl/>
        </w:rPr>
      </w:pPr>
      <w:r w:rsidRPr="00D82947">
        <w:rPr>
          <w:rFonts w:hint="cs"/>
          <w:sz w:val="22"/>
          <w:szCs w:val="22"/>
          <w:highlight w:val="yellow"/>
          <w:rtl/>
        </w:rPr>
        <w:t xml:space="preserve">אריאל בנדור וזאב סגל, </w:t>
      </w:r>
      <w:r w:rsidRPr="00D82947">
        <w:rPr>
          <w:rFonts w:hint="cs"/>
          <w:b/>
          <w:bCs/>
          <w:sz w:val="22"/>
          <w:szCs w:val="22"/>
          <w:highlight w:val="yellow"/>
          <w:rtl/>
        </w:rPr>
        <w:t>עושה הכובעים: דין ודברים עם אהרן ברק</w:t>
      </w:r>
      <w:r w:rsidRPr="00D82947">
        <w:rPr>
          <w:rFonts w:hint="cs"/>
          <w:sz w:val="22"/>
          <w:szCs w:val="22"/>
          <w:highlight w:val="yellow"/>
          <w:rtl/>
        </w:rPr>
        <w:t xml:space="preserve"> (כנרת וזמורה ביתן, 2009), עמ' 181-180</w:t>
      </w:r>
    </w:p>
    <w:p w:rsidR="005366A8" w:rsidRDefault="005366A8" w:rsidP="005366A8">
      <w:pPr>
        <w:pStyle w:val="T-body"/>
        <w:spacing w:line="240" w:lineRule="auto"/>
        <w:rPr>
          <w:rtl/>
        </w:rPr>
      </w:pPr>
    </w:p>
    <w:p w:rsidR="005366A8" w:rsidRDefault="005366A8" w:rsidP="005366A8">
      <w:pPr>
        <w:pStyle w:val="T-body"/>
        <w:spacing w:line="240" w:lineRule="auto"/>
        <w:rPr>
          <w:sz w:val="22"/>
          <w:szCs w:val="22"/>
          <w:rtl/>
        </w:rPr>
      </w:pPr>
      <w:r>
        <w:rPr>
          <w:rFonts w:hint="cs"/>
          <w:sz w:val="22"/>
          <w:szCs w:val="22"/>
          <w:rtl/>
        </w:rPr>
        <w:t xml:space="preserve">אהרן </w:t>
      </w:r>
      <w:r w:rsidRPr="00D82947">
        <w:rPr>
          <w:rFonts w:hint="cs"/>
          <w:sz w:val="22"/>
          <w:szCs w:val="22"/>
          <w:rtl/>
        </w:rPr>
        <w:t>ברק</w:t>
      </w:r>
      <w:r>
        <w:rPr>
          <w:rFonts w:hint="cs"/>
          <w:sz w:val="22"/>
          <w:szCs w:val="22"/>
          <w:rtl/>
        </w:rPr>
        <w:t xml:space="preserve"> [מגונן על תפיסתו הפרשנית בפסק דין </w:t>
      </w:r>
      <w:r w:rsidRPr="00D82947">
        <w:rPr>
          <w:rFonts w:hint="cs"/>
          <w:b/>
          <w:bCs/>
          <w:sz w:val="22"/>
          <w:szCs w:val="22"/>
          <w:rtl/>
        </w:rPr>
        <w:t>אפרופים</w:t>
      </w:r>
      <w:r w:rsidRPr="00D82947">
        <w:rPr>
          <w:rFonts w:hint="cs"/>
          <w:sz w:val="22"/>
          <w:szCs w:val="22"/>
          <w:rtl/>
        </w:rPr>
        <w:t>,</w:t>
      </w:r>
      <w:r>
        <w:rPr>
          <w:rFonts w:hint="cs"/>
          <w:sz w:val="22"/>
          <w:szCs w:val="22"/>
          <w:rtl/>
        </w:rPr>
        <w:t xml:space="preserve"> פסק דין מרכזי בדיני החוזים]</w:t>
      </w:r>
      <w:r w:rsidRPr="00D82947">
        <w:rPr>
          <w:rFonts w:hint="cs"/>
          <w:sz w:val="22"/>
          <w:szCs w:val="22"/>
          <w:rtl/>
        </w:rPr>
        <w:t xml:space="preserve">: </w:t>
      </w:r>
    </w:p>
    <w:p w:rsidR="005366A8" w:rsidRPr="00D82947" w:rsidRDefault="005366A8" w:rsidP="005366A8">
      <w:pPr>
        <w:pStyle w:val="T-body"/>
        <w:spacing w:line="240" w:lineRule="auto"/>
        <w:ind w:left="720"/>
        <w:rPr>
          <w:sz w:val="22"/>
          <w:szCs w:val="22"/>
          <w:rtl/>
        </w:rPr>
      </w:pPr>
      <w:r w:rsidRPr="00D82947">
        <w:rPr>
          <w:rFonts w:hint="cs"/>
          <w:sz w:val="22"/>
          <w:szCs w:val="22"/>
          <w:rtl/>
        </w:rPr>
        <w:t xml:space="preserve">למשל, אם בצוואה כתוב, "כל רכושי לאבא'לה", ולמורישה יש אבא. האם יש ספק בפירוש הצוואה? </w:t>
      </w:r>
    </w:p>
    <w:p w:rsidR="005366A8" w:rsidRPr="00D82947" w:rsidRDefault="005366A8" w:rsidP="005366A8">
      <w:pPr>
        <w:pStyle w:val="T-body"/>
        <w:spacing w:line="240" w:lineRule="auto"/>
        <w:ind w:left="720"/>
        <w:rPr>
          <w:sz w:val="22"/>
          <w:szCs w:val="22"/>
          <w:rtl/>
        </w:rPr>
      </w:pPr>
      <w:r w:rsidRPr="00D82947">
        <w:rPr>
          <w:rFonts w:hint="cs"/>
          <w:sz w:val="22"/>
          <w:szCs w:val="22"/>
          <w:rtl/>
        </w:rPr>
        <w:t xml:space="preserve">לפי ההלכה שקדמה לפסק דין </w:t>
      </w:r>
      <w:r w:rsidRPr="00D82947">
        <w:rPr>
          <w:rFonts w:hint="cs"/>
          <w:b/>
          <w:bCs/>
          <w:sz w:val="22"/>
          <w:szCs w:val="22"/>
          <w:rtl/>
        </w:rPr>
        <w:t>אפרופים</w:t>
      </w:r>
      <w:r w:rsidRPr="00D82947">
        <w:rPr>
          <w:rFonts w:hint="cs"/>
          <w:sz w:val="22"/>
          <w:szCs w:val="22"/>
          <w:rtl/>
        </w:rPr>
        <w:t>, ברגע שהרצון עולה מתוך לשון הצוואה, אסור לבדוק מחוץ לצוואה. אבל אם במקרה הזה היית בודק מחוץ לצוואה, היית מוצא שבמשפחה [הגרעינית] הזאת כולם קראו לבעל "אבא'לה". לכן, כשהאישה כתבה בצוואה "אבא'לה", היא התכוונה לבעלה ולא לאבא שלה, שבכלל היא לא דיברה איתו שנים ושנאה אותו. אם אנחנו לוקחים באמת את הכוונה של המצווה ברצינות, אי-אפשר להסתפק בבדיקת לשון הצוואה. צריך לבדוק גם מחוץ ללשון הצוואה.</w:t>
      </w:r>
    </w:p>
    <w:p w:rsidR="005366A8" w:rsidRPr="00D82947" w:rsidRDefault="005366A8" w:rsidP="005366A8">
      <w:pPr>
        <w:pStyle w:val="T-body"/>
        <w:spacing w:line="240" w:lineRule="auto"/>
        <w:ind w:left="720"/>
        <w:rPr>
          <w:sz w:val="22"/>
          <w:szCs w:val="22"/>
          <w:rtl/>
        </w:rPr>
      </w:pPr>
      <w:r w:rsidRPr="00D82947">
        <w:rPr>
          <w:rFonts w:hint="cs"/>
          <w:sz w:val="22"/>
          <w:szCs w:val="22"/>
          <w:rtl/>
        </w:rPr>
        <w:t xml:space="preserve">כמובן, כדי להתגבר על מה שעולה מלשון הצוואה צריך הוכחות אמינות מאד. אבל אם יש הוכחות כאלה, צריך לכבד את רצון המצווה. לפי הגישה שקדמה להלכת </w:t>
      </w:r>
      <w:r w:rsidRPr="00D82947">
        <w:rPr>
          <w:rFonts w:hint="cs"/>
          <w:b/>
          <w:bCs/>
          <w:sz w:val="22"/>
          <w:szCs w:val="22"/>
          <w:rtl/>
        </w:rPr>
        <w:t>אפרופים</w:t>
      </w:r>
      <w:r w:rsidRPr="00D82947">
        <w:rPr>
          <w:rFonts w:hint="cs"/>
          <w:sz w:val="22"/>
          <w:szCs w:val="22"/>
          <w:rtl/>
        </w:rPr>
        <w:t>, אסור היה לבדוק מחוץ ללשון החוזה או הצוואה במקרים שבהם הלשון היתה ברורה. אסור היה לבית המשפט לקבל ראיות לגבי דברים שחיצוניים לטקסט של החוזה או הצוואה. כיום אין כבר מחסום של קבילות, ובית המשפט יכול לשקול את כל החומר.</w:t>
      </w:r>
    </w:p>
    <w:p w:rsidR="005366A8" w:rsidRPr="00D82947" w:rsidRDefault="005366A8" w:rsidP="005366A8">
      <w:pPr>
        <w:pStyle w:val="T-body"/>
        <w:spacing w:line="240" w:lineRule="auto"/>
        <w:rPr>
          <w:sz w:val="22"/>
          <w:szCs w:val="22"/>
          <w:rtl/>
        </w:rPr>
      </w:pPr>
      <w:r w:rsidRPr="00D82947">
        <w:rPr>
          <w:rFonts w:hint="cs"/>
          <w:sz w:val="22"/>
          <w:szCs w:val="22"/>
          <w:rtl/>
        </w:rPr>
        <w:t>שאלה: האם יש הבדל בין פרשנות חוזה לפרשנות חוקה?</w:t>
      </w:r>
    </w:p>
    <w:p w:rsidR="005366A8" w:rsidRPr="00D82947" w:rsidRDefault="005366A8" w:rsidP="005366A8">
      <w:pPr>
        <w:pStyle w:val="T-body"/>
        <w:spacing w:line="240" w:lineRule="auto"/>
        <w:ind w:left="720"/>
        <w:rPr>
          <w:sz w:val="22"/>
          <w:szCs w:val="22"/>
          <w:rtl/>
        </w:rPr>
      </w:pPr>
      <w:r w:rsidRPr="00D82947">
        <w:rPr>
          <w:rFonts w:hint="cs"/>
          <w:sz w:val="22"/>
          <w:szCs w:val="22"/>
          <w:rtl/>
        </w:rPr>
        <w:t>ברק: כן ולא. אין הבדל, במובן זה שעל כולם חלה גישת הפרשנות התכליתית. [ואולם] יש הבדל מבחינת קביעת העדיפות בין התכלית הסובייקטיבית [של יוצרי הנורמה] לתכלית האובייקטיבית. בחוק</w:t>
      </w:r>
      <w:r>
        <w:rPr>
          <w:rFonts w:hint="cs"/>
          <w:sz w:val="22"/>
          <w:szCs w:val="22"/>
          <w:rtl/>
        </w:rPr>
        <w:t>ה</w:t>
      </w:r>
      <w:r w:rsidRPr="00D82947">
        <w:rPr>
          <w:rFonts w:hint="cs"/>
          <w:sz w:val="22"/>
          <w:szCs w:val="22"/>
          <w:rtl/>
        </w:rPr>
        <w:t>, וכך גם בחוקים, צריך לתת את המשקל המכריע לשיקולים אובייקטיבים ולא לכוונה הסובייקטיבית של חברי הכנסת, שלעיתים קרובות גם לא יודעים מהי. לעומת זאת, כשמדובר בחוזים אני חושב שהמשקל המכריע צריך להיות לכוונה הסובייקטיבית של הצדדים. שיקולים אובייקטיביים חלים רק כהשלמה, כשאין לך נתונים מספיקים על הכוונה הסובייקטיבית.</w:t>
      </w:r>
      <w:r w:rsidRPr="00D82947">
        <w:rPr>
          <w:sz w:val="22"/>
          <w:szCs w:val="22"/>
          <w:rtl/>
        </w:rPr>
        <w:t xml:space="preserve"> </w:t>
      </w:r>
    </w:p>
    <w:p w:rsidR="005366A8" w:rsidRDefault="005366A8" w:rsidP="005366A8">
      <w:pPr>
        <w:pStyle w:val="T-body"/>
        <w:spacing w:line="240" w:lineRule="auto"/>
        <w:rPr>
          <w:sz w:val="22"/>
          <w:szCs w:val="22"/>
          <w:rtl/>
        </w:rPr>
      </w:pPr>
      <w:r w:rsidRPr="00D128C0">
        <w:rPr>
          <w:rFonts w:hint="cs"/>
          <w:sz w:val="22"/>
          <w:szCs w:val="22"/>
          <w:highlight w:val="green"/>
          <w:rtl/>
        </w:rPr>
        <w:t>=-=</w:t>
      </w:r>
    </w:p>
    <w:p w:rsidR="005366A8" w:rsidRDefault="005366A8" w:rsidP="005366A8">
      <w:pPr>
        <w:rPr>
          <w:rFonts w:ascii="Arial" w:hAnsi="Arial" w:cs="Arial"/>
          <w:sz w:val="20"/>
          <w:szCs w:val="20"/>
          <w:rtl/>
        </w:rPr>
      </w:pPr>
      <w:r w:rsidRPr="000F1D90">
        <w:rPr>
          <w:rFonts w:ascii="Arial" w:hAnsi="Arial" w:cs="Arial"/>
          <w:sz w:val="20"/>
          <w:szCs w:val="20"/>
          <w:rtl/>
        </w:rPr>
        <w:t xml:space="preserve">להלן פסק דין </w:t>
      </w:r>
      <w:r w:rsidRPr="00546D53">
        <w:rPr>
          <w:rFonts w:ascii="Arial" w:hAnsi="Arial" w:cs="Arial"/>
          <w:i/>
          <w:iCs/>
          <w:sz w:val="20"/>
          <w:szCs w:val="20"/>
          <w:rtl/>
        </w:rPr>
        <w:t>מוקדם</w:t>
      </w:r>
      <w:r w:rsidRPr="000F1D90">
        <w:rPr>
          <w:rFonts w:ascii="Arial" w:hAnsi="Arial" w:cs="Arial"/>
          <w:sz w:val="20"/>
          <w:szCs w:val="20"/>
          <w:rtl/>
        </w:rPr>
        <w:t xml:space="preserve">, שהיה צעד נוסף </w:t>
      </w:r>
      <w:r>
        <w:rPr>
          <w:rFonts w:ascii="Arial" w:hAnsi="Arial" w:cs="Arial" w:hint="cs"/>
          <w:sz w:val="20"/>
          <w:szCs w:val="20"/>
          <w:rtl/>
        </w:rPr>
        <w:t xml:space="preserve">(אחרי </w:t>
      </w:r>
      <w:r w:rsidRPr="00546D53">
        <w:rPr>
          <w:rFonts w:ascii="Arial" w:hAnsi="Arial" w:cs="Arial" w:hint="cs"/>
          <w:b/>
          <w:bCs/>
          <w:sz w:val="20"/>
          <w:szCs w:val="20"/>
          <w:rtl/>
        </w:rPr>
        <w:t>קול העם</w:t>
      </w:r>
      <w:r>
        <w:rPr>
          <w:rFonts w:ascii="Arial" w:hAnsi="Arial" w:cs="Arial" w:hint="cs"/>
          <w:sz w:val="20"/>
          <w:szCs w:val="20"/>
          <w:rtl/>
        </w:rPr>
        <w:t xml:space="preserve">) </w:t>
      </w:r>
      <w:r w:rsidRPr="000F1D90">
        <w:rPr>
          <w:rFonts w:ascii="Arial" w:hAnsi="Arial" w:cs="Arial"/>
          <w:sz w:val="20"/>
          <w:szCs w:val="20"/>
          <w:rtl/>
        </w:rPr>
        <w:t xml:space="preserve">בביסוסה של הפרשנות התכליתית. </w:t>
      </w:r>
    </w:p>
    <w:p w:rsidR="005366A8" w:rsidRPr="000F1D90" w:rsidRDefault="005366A8" w:rsidP="005366A8">
      <w:pPr>
        <w:rPr>
          <w:rFonts w:ascii="Arial" w:hAnsi="Arial" w:cs="Arial"/>
          <w:sz w:val="20"/>
          <w:szCs w:val="20"/>
          <w:rtl/>
        </w:rPr>
      </w:pPr>
      <w:r w:rsidRPr="000F1D90">
        <w:rPr>
          <w:rFonts w:ascii="Arial" w:hAnsi="Arial" w:cs="Arial"/>
          <w:sz w:val="20"/>
          <w:szCs w:val="20"/>
          <w:rtl/>
        </w:rPr>
        <w:t xml:space="preserve">השוו </w:t>
      </w:r>
      <w:r>
        <w:rPr>
          <w:rFonts w:ascii="Arial" w:hAnsi="Arial" w:cs="Arial" w:hint="cs"/>
          <w:sz w:val="20"/>
          <w:szCs w:val="20"/>
          <w:rtl/>
        </w:rPr>
        <w:t xml:space="preserve">להלן </w:t>
      </w:r>
      <w:r w:rsidRPr="000F1D90">
        <w:rPr>
          <w:rFonts w:ascii="Arial" w:hAnsi="Arial" w:cs="Arial"/>
          <w:sz w:val="20"/>
          <w:szCs w:val="20"/>
          <w:rtl/>
        </w:rPr>
        <w:t>בין עמדת הרוב לבין גישתו של שופט המיעוט, שהיא פורמליסטית ודוג</w:t>
      </w:r>
      <w:r>
        <w:rPr>
          <w:rFonts w:ascii="Arial" w:hAnsi="Arial" w:cs="Arial" w:hint="cs"/>
          <w:sz w:val="20"/>
          <w:szCs w:val="20"/>
          <w:rtl/>
        </w:rPr>
        <w:t>ל</w:t>
      </w:r>
      <w:r w:rsidRPr="000F1D90">
        <w:rPr>
          <w:rFonts w:ascii="Arial" w:hAnsi="Arial" w:cs="Arial"/>
          <w:sz w:val="20"/>
          <w:szCs w:val="20"/>
          <w:rtl/>
        </w:rPr>
        <w:t>ת בפרשנות מילולית.</w:t>
      </w:r>
    </w:p>
    <w:p w:rsidR="005366A8" w:rsidRPr="002B0613" w:rsidRDefault="005366A8" w:rsidP="005366A8">
      <w:pPr>
        <w:rPr>
          <w:rtl/>
        </w:rPr>
      </w:pPr>
    </w:p>
    <w:p w:rsidR="005366A8" w:rsidRPr="00500A4A" w:rsidRDefault="005366A8" w:rsidP="005366A8">
      <w:pPr>
        <w:pStyle w:val="FootnoteText"/>
        <w:ind w:firstLine="0"/>
        <w:jc w:val="center"/>
        <w:rPr>
          <w:rFonts w:cs="David"/>
          <w:u w:val="single"/>
          <w:rtl/>
        </w:rPr>
      </w:pPr>
      <w:r w:rsidRPr="00D3245E">
        <w:rPr>
          <w:highlight w:val="yellow"/>
          <w:u w:val="single"/>
          <w:rtl/>
        </w:rPr>
        <w:t xml:space="preserve">ד"נ 3/62 </w:t>
      </w:r>
      <w:r w:rsidRPr="00D3245E">
        <w:rPr>
          <w:b/>
          <w:bCs/>
          <w:highlight w:val="yellow"/>
          <w:u w:val="single"/>
          <w:rtl/>
        </w:rPr>
        <w:t>שר הפנים נ' מוסא</w:t>
      </w:r>
      <w:r w:rsidRPr="00D3245E">
        <w:rPr>
          <w:highlight w:val="yellow"/>
          <w:u w:val="single"/>
          <w:rtl/>
        </w:rPr>
        <w:t>, פ"ד טז 2469</w:t>
      </w:r>
    </w:p>
    <w:p w:rsidR="005366A8" w:rsidRDefault="005366A8" w:rsidP="005366A8">
      <w:pPr>
        <w:pStyle w:val="P00"/>
        <w:ind w:left="0"/>
        <w:rPr>
          <w:rStyle w:val="default"/>
          <w:szCs w:val="20"/>
          <w:rtl/>
        </w:rPr>
      </w:pPr>
      <w:r>
        <w:rPr>
          <w:rStyle w:val="default"/>
          <w:rFonts w:hint="cs"/>
          <w:szCs w:val="20"/>
          <w:rtl/>
        </w:rPr>
        <w:t xml:space="preserve">פרשנותו של חוק האזרחות ושאלת מעמדו המשפטי של אדם </w:t>
      </w:r>
      <w:r>
        <w:rPr>
          <w:rStyle w:val="default"/>
          <w:szCs w:val="20"/>
          <w:rtl/>
        </w:rPr>
        <w:t>–</w:t>
      </w:r>
      <w:r>
        <w:rPr>
          <w:rStyle w:val="default"/>
          <w:rFonts w:hint="cs"/>
          <w:szCs w:val="20"/>
          <w:rtl/>
        </w:rPr>
        <w:t xml:space="preserve"> העותר מוסא </w:t>
      </w:r>
      <w:r>
        <w:rPr>
          <w:rStyle w:val="default"/>
          <w:szCs w:val="20"/>
          <w:rtl/>
        </w:rPr>
        <w:t>–</w:t>
      </w:r>
      <w:r>
        <w:rPr>
          <w:rStyle w:val="default"/>
          <w:rFonts w:hint="cs"/>
          <w:szCs w:val="20"/>
          <w:rtl/>
        </w:rPr>
        <w:t xml:space="preserve"> האם הוא אזרח או שמא לא, והוא צריך לעזוב את כפרו ואת המדינה?</w:t>
      </w:r>
    </w:p>
    <w:p w:rsidR="005366A8" w:rsidRPr="000F1D90" w:rsidRDefault="005366A8" w:rsidP="005366A8">
      <w:pPr>
        <w:pStyle w:val="P00"/>
        <w:ind w:left="0" w:right="1134"/>
        <w:rPr>
          <w:rStyle w:val="default"/>
          <w:szCs w:val="20"/>
          <w:rtl/>
        </w:rPr>
      </w:pPr>
    </w:p>
    <w:p w:rsidR="005366A8" w:rsidRPr="000F1D90" w:rsidRDefault="005D7968" w:rsidP="005366A8">
      <w:pPr>
        <w:pStyle w:val="P00"/>
        <w:ind w:left="1021"/>
        <w:rPr>
          <w:rStyle w:val="default"/>
          <w:rFonts w:cs="David"/>
          <w:szCs w:val="20"/>
          <w:rtl/>
        </w:rPr>
      </w:pPr>
      <w:bookmarkStart w:id="3" w:name="Seif3"/>
      <w:bookmarkEnd w:id="3"/>
      <w:r w:rsidRPr="005D7968">
        <w:rPr>
          <w:szCs w:val="20"/>
          <w:rtl/>
          <w:lang w:val="he-IL"/>
        </w:rPr>
        <w:pict>
          <v:rect id="_x0000_s1154" style="position:absolute;left:0;text-align:left;margin-left:444.25pt;margin-top:3.6pt;width:75.05pt;height:16pt;z-index:251793408" o:allowincell="f" filled="f" stroked="f" strokecolor="lime" strokeweight=".25pt">
            <v:textbox style="mso-next-textbox:#_x0000_s1154" inset="0,0,0,0">
              <w:txbxContent>
                <w:p w:rsidR="005366A8" w:rsidRDefault="005366A8" w:rsidP="005366A8">
                  <w:pPr>
                    <w:spacing w:line="160" w:lineRule="exact"/>
                    <w:rPr>
                      <w:rFonts w:cs="Miriam"/>
                      <w:sz w:val="18"/>
                      <w:szCs w:val="18"/>
                      <w:rtl/>
                    </w:rPr>
                  </w:pPr>
                  <w:r>
                    <w:rPr>
                      <w:rFonts w:cs="Miriam"/>
                      <w:sz w:val="18"/>
                      <w:szCs w:val="18"/>
                      <w:rtl/>
                    </w:rPr>
                    <w:t>אז</w:t>
                  </w:r>
                  <w:r>
                    <w:rPr>
                      <w:rFonts w:cs="Miriam" w:hint="cs"/>
                      <w:sz w:val="18"/>
                      <w:szCs w:val="18"/>
                      <w:rtl/>
                    </w:rPr>
                    <w:t xml:space="preserve">רחות מכוח </w:t>
                  </w:r>
                </w:p>
                <w:p w:rsidR="005366A8" w:rsidRDefault="005366A8" w:rsidP="005366A8">
                  <w:pPr>
                    <w:spacing w:line="160" w:lineRule="exact"/>
                    <w:rPr>
                      <w:rFonts w:cs="Miriam"/>
                      <w:noProof/>
                      <w:sz w:val="18"/>
                      <w:szCs w:val="18"/>
                      <w:rtl/>
                    </w:rPr>
                  </w:pPr>
                  <w:r>
                    <w:rPr>
                      <w:rFonts w:cs="Miriam" w:hint="cs"/>
                      <w:sz w:val="18"/>
                      <w:szCs w:val="18"/>
                      <w:rtl/>
                    </w:rPr>
                    <w:t>ישיבה בישראל</w:t>
                  </w:r>
                </w:p>
              </w:txbxContent>
            </v:textbox>
            <w10:anchorlock/>
          </v:rect>
        </w:pict>
      </w:r>
      <w:r w:rsidR="005366A8" w:rsidRPr="000F1D90">
        <w:rPr>
          <w:rStyle w:val="big-number"/>
          <w:szCs w:val="20"/>
          <w:rtl/>
        </w:rPr>
        <w:t>3.</w:t>
      </w:r>
      <w:r w:rsidR="005366A8" w:rsidRPr="000F1D90">
        <w:rPr>
          <w:rStyle w:val="big-number"/>
          <w:szCs w:val="20"/>
          <w:rtl/>
        </w:rPr>
        <w:tab/>
      </w:r>
      <w:r w:rsidR="005366A8" w:rsidRPr="000F1D90">
        <w:rPr>
          <w:rStyle w:val="default"/>
          <w:szCs w:val="20"/>
          <w:rtl/>
        </w:rPr>
        <w:t>(</w:t>
      </w:r>
      <w:r w:rsidR="005366A8" w:rsidRPr="000F1D90">
        <w:rPr>
          <w:rStyle w:val="default"/>
          <w:rFonts w:cs="David"/>
          <w:szCs w:val="20"/>
          <w:rtl/>
        </w:rPr>
        <w:t>א</w:t>
      </w:r>
      <w:r w:rsidR="005366A8" w:rsidRPr="000F1D90">
        <w:rPr>
          <w:rStyle w:val="default"/>
          <w:rFonts w:cs="David" w:hint="cs"/>
          <w:szCs w:val="20"/>
          <w:rtl/>
        </w:rPr>
        <w:t>)</w:t>
      </w:r>
      <w:r w:rsidR="005366A8" w:rsidRPr="000F1D90">
        <w:rPr>
          <w:rStyle w:val="default"/>
          <w:rFonts w:cs="David"/>
          <w:szCs w:val="20"/>
          <w:rtl/>
        </w:rPr>
        <w:tab/>
        <w:t>מ</w:t>
      </w:r>
      <w:r w:rsidR="005366A8" w:rsidRPr="000F1D90">
        <w:rPr>
          <w:rStyle w:val="default"/>
          <w:rFonts w:cs="David" w:hint="cs"/>
          <w:szCs w:val="20"/>
          <w:rtl/>
        </w:rPr>
        <w:t>י שערב הקמת המדינה היה נתין ארצישראלי, ולא היה לאזרח ישראלי לפי</w:t>
      </w:r>
      <w:r w:rsidR="005366A8" w:rsidRPr="000F1D90">
        <w:rPr>
          <w:rStyle w:val="default"/>
          <w:rFonts w:cs="David"/>
          <w:szCs w:val="20"/>
          <w:rtl/>
        </w:rPr>
        <w:t xml:space="preserve"> </w:t>
      </w:r>
      <w:r w:rsidR="005366A8" w:rsidRPr="000F1D90">
        <w:rPr>
          <w:rStyle w:val="default"/>
          <w:rFonts w:cs="David" w:hint="cs"/>
          <w:szCs w:val="20"/>
          <w:rtl/>
        </w:rPr>
        <w:t>סעיף 2, יהיה לאזרח ישראלי מיום הקמת המדינה אם נתקיימו בו תנאים אלה:</w:t>
      </w:r>
    </w:p>
    <w:p w:rsidR="005366A8" w:rsidRPr="000F1D90" w:rsidRDefault="005366A8" w:rsidP="005366A8">
      <w:pPr>
        <w:pStyle w:val="P22"/>
        <w:spacing w:before="72"/>
        <w:ind w:left="2042" w:right="0"/>
        <w:rPr>
          <w:rStyle w:val="default"/>
          <w:rFonts w:cs="David"/>
          <w:szCs w:val="20"/>
          <w:rtl/>
        </w:rPr>
      </w:pPr>
      <w:r w:rsidRPr="000F1D90">
        <w:rPr>
          <w:rStyle w:val="default"/>
          <w:rFonts w:cs="David"/>
          <w:szCs w:val="20"/>
          <w:rtl/>
        </w:rPr>
        <w:t>(1)</w:t>
      </w:r>
      <w:r w:rsidRPr="000F1D90">
        <w:rPr>
          <w:rStyle w:val="default"/>
          <w:rFonts w:cs="David"/>
          <w:szCs w:val="20"/>
          <w:rtl/>
        </w:rPr>
        <w:tab/>
        <w:t>ב</w:t>
      </w:r>
      <w:r w:rsidRPr="000F1D90">
        <w:rPr>
          <w:rStyle w:val="default"/>
          <w:rFonts w:cs="David" w:hint="cs"/>
          <w:szCs w:val="20"/>
          <w:rtl/>
        </w:rPr>
        <w:t>יום ד' באדר תשי"ב (1 במרס 1952) היה רשום כתושב לפי פקודת מרשם תושבים, תש"ט-</w:t>
      </w:r>
      <w:r w:rsidRPr="000F1D90">
        <w:rPr>
          <w:rStyle w:val="default"/>
          <w:rFonts w:cs="David"/>
          <w:szCs w:val="20"/>
          <w:rtl/>
        </w:rPr>
        <w:t>1949;</w:t>
      </w:r>
    </w:p>
    <w:p w:rsidR="005366A8" w:rsidRPr="000F1D90" w:rsidRDefault="005366A8" w:rsidP="005366A8">
      <w:pPr>
        <w:pStyle w:val="P22"/>
        <w:spacing w:before="72"/>
        <w:ind w:left="2042" w:right="0"/>
        <w:rPr>
          <w:rStyle w:val="default"/>
          <w:rFonts w:cs="David"/>
          <w:szCs w:val="20"/>
          <w:rtl/>
        </w:rPr>
      </w:pPr>
      <w:r w:rsidRPr="000F1D90">
        <w:rPr>
          <w:rStyle w:val="default"/>
          <w:rFonts w:cs="David" w:hint="cs"/>
          <w:szCs w:val="20"/>
          <w:rtl/>
        </w:rPr>
        <w:t>(2)</w:t>
      </w:r>
      <w:r w:rsidRPr="000F1D90">
        <w:rPr>
          <w:rStyle w:val="default"/>
          <w:rFonts w:cs="David"/>
          <w:szCs w:val="20"/>
          <w:rtl/>
        </w:rPr>
        <w:tab/>
        <w:t>ב</w:t>
      </w:r>
      <w:r w:rsidRPr="000F1D90">
        <w:rPr>
          <w:rStyle w:val="default"/>
          <w:rFonts w:cs="David" w:hint="cs"/>
          <w:szCs w:val="20"/>
          <w:rtl/>
        </w:rPr>
        <w:t>יום תחילת תקפו של חוק זה היה תושב ישראל;</w:t>
      </w:r>
    </w:p>
    <w:p w:rsidR="005366A8" w:rsidRPr="000F1D90" w:rsidRDefault="005366A8" w:rsidP="005366A8">
      <w:pPr>
        <w:pStyle w:val="P22"/>
        <w:spacing w:before="72"/>
        <w:ind w:left="2042" w:right="0"/>
        <w:rPr>
          <w:rStyle w:val="default"/>
          <w:rFonts w:cs="David"/>
          <w:szCs w:val="20"/>
          <w:rtl/>
        </w:rPr>
      </w:pPr>
      <w:r w:rsidRPr="000F1D90">
        <w:rPr>
          <w:rStyle w:val="default"/>
          <w:rFonts w:cs="David" w:hint="cs"/>
          <w:szCs w:val="20"/>
          <w:rtl/>
        </w:rPr>
        <w:t>(3)</w:t>
      </w:r>
      <w:r w:rsidRPr="000F1D90">
        <w:rPr>
          <w:rStyle w:val="default"/>
          <w:rFonts w:cs="David"/>
          <w:szCs w:val="20"/>
          <w:rtl/>
        </w:rPr>
        <w:tab/>
        <w:t>מ</w:t>
      </w:r>
      <w:r w:rsidRPr="000F1D90">
        <w:rPr>
          <w:rStyle w:val="default"/>
          <w:rFonts w:cs="David" w:hint="cs"/>
          <w:szCs w:val="20"/>
          <w:rtl/>
        </w:rPr>
        <w:t>יום הקמת המדינה עד יום תחילת תקפו של חוק זה היה בישראל או בשטח שהיה לשטח ישראל אחרי הקמת המדינה, או שבתקופה זו נכנס לישראל כדין.</w:t>
      </w:r>
    </w:p>
    <w:p w:rsidR="005366A8" w:rsidRPr="000F1D90" w:rsidRDefault="005366A8" w:rsidP="005366A8">
      <w:pPr>
        <w:pStyle w:val="P00"/>
        <w:ind w:left="1021"/>
        <w:rPr>
          <w:rStyle w:val="default"/>
          <w:rFonts w:cs="David"/>
          <w:szCs w:val="20"/>
          <w:rtl/>
        </w:rPr>
      </w:pPr>
      <w:r w:rsidRPr="000F1D90">
        <w:rPr>
          <w:rFonts w:cs="David"/>
          <w:szCs w:val="20"/>
          <w:rtl/>
        </w:rPr>
        <w:tab/>
      </w:r>
      <w:r w:rsidRPr="000F1D90">
        <w:rPr>
          <w:rStyle w:val="default"/>
          <w:rFonts w:cs="David"/>
          <w:szCs w:val="20"/>
          <w:rtl/>
        </w:rPr>
        <w:t>(ב</w:t>
      </w:r>
      <w:r w:rsidRPr="000F1D90">
        <w:rPr>
          <w:rStyle w:val="default"/>
          <w:rFonts w:cs="David" w:hint="cs"/>
          <w:szCs w:val="20"/>
          <w:rtl/>
        </w:rPr>
        <w:t>)</w:t>
      </w:r>
      <w:r w:rsidRPr="000F1D90">
        <w:rPr>
          <w:rStyle w:val="default"/>
          <w:rFonts w:cs="David"/>
          <w:szCs w:val="20"/>
          <w:rtl/>
        </w:rPr>
        <w:tab/>
        <w:t>מ</w:t>
      </w:r>
      <w:r w:rsidRPr="000F1D90">
        <w:rPr>
          <w:rStyle w:val="default"/>
          <w:rFonts w:cs="David" w:hint="cs"/>
          <w:szCs w:val="20"/>
          <w:rtl/>
        </w:rPr>
        <w:t>י שנולד אחרי הקמת המדינה, וביום תחילת תקפו של חוק זה היה תושב ישראל, ואב</w:t>
      </w:r>
      <w:r w:rsidRPr="000F1D90">
        <w:rPr>
          <w:rStyle w:val="default"/>
          <w:rFonts w:cs="David"/>
          <w:szCs w:val="20"/>
          <w:rtl/>
        </w:rPr>
        <w:t>יו</w:t>
      </w:r>
      <w:r w:rsidRPr="000F1D90">
        <w:rPr>
          <w:rStyle w:val="default"/>
          <w:rFonts w:cs="David" w:hint="cs"/>
          <w:szCs w:val="20"/>
          <w:rtl/>
        </w:rPr>
        <w:t xml:space="preserve"> או אמו היו לאזרחים ישראליים לפי סעיף קטן (א), יהיה לאזרח ישראלי מיום לידתו.</w:t>
      </w:r>
    </w:p>
    <w:p w:rsidR="005366A8" w:rsidRDefault="005366A8" w:rsidP="005366A8">
      <w:pPr>
        <w:rPr>
          <w:sz w:val="22"/>
          <w:szCs w:val="22"/>
          <w:rtl/>
        </w:rPr>
      </w:pPr>
    </w:p>
    <w:p w:rsidR="005366A8" w:rsidRPr="00816207" w:rsidRDefault="005366A8" w:rsidP="005366A8">
      <w:pPr>
        <w:rPr>
          <w:sz w:val="22"/>
          <w:szCs w:val="22"/>
          <w:rtl/>
        </w:rPr>
      </w:pPr>
      <w:r w:rsidRPr="000F1D90">
        <w:rPr>
          <w:rFonts w:hint="cs"/>
          <w:sz w:val="22"/>
          <w:szCs w:val="22"/>
          <w:highlight w:val="yellow"/>
          <w:rtl/>
        </w:rPr>
        <w:t xml:space="preserve">עמדת הרוב </w:t>
      </w:r>
      <w:r w:rsidRPr="000F1D90">
        <w:rPr>
          <w:sz w:val="22"/>
          <w:szCs w:val="22"/>
          <w:highlight w:val="yellow"/>
          <w:rtl/>
        </w:rPr>
        <w:t>–</w:t>
      </w:r>
      <w:r w:rsidRPr="00816207">
        <w:rPr>
          <w:rFonts w:hint="cs"/>
          <w:sz w:val="22"/>
          <w:szCs w:val="22"/>
          <w:rtl/>
        </w:rPr>
        <w:t xml:space="preserve">  </w:t>
      </w:r>
      <w:r w:rsidRPr="00816207">
        <w:rPr>
          <w:rFonts w:hint="cs"/>
          <w:sz w:val="22"/>
          <w:szCs w:val="22"/>
          <w:highlight w:val="yellow"/>
          <w:rtl/>
        </w:rPr>
        <w:t>השופט זוסמן:</w:t>
      </w:r>
      <w:r w:rsidRPr="00816207">
        <w:rPr>
          <w:rFonts w:hint="cs"/>
          <w:sz w:val="22"/>
          <w:szCs w:val="22"/>
          <w:rtl/>
        </w:rPr>
        <w:t xml:space="preserve"> שאלת פסק הדין - </w:t>
      </w:r>
    </w:p>
    <w:p w:rsidR="005366A8" w:rsidRPr="00816207" w:rsidRDefault="005366A8" w:rsidP="005366A8">
      <w:pPr>
        <w:ind w:left="720"/>
        <w:rPr>
          <w:sz w:val="22"/>
          <w:szCs w:val="22"/>
          <w:rtl/>
        </w:rPr>
      </w:pPr>
      <w:r w:rsidRPr="00816207">
        <w:rPr>
          <w:rFonts w:hint="cs"/>
          <w:sz w:val="22"/>
          <w:szCs w:val="22"/>
          <w:rtl/>
        </w:rPr>
        <w:t xml:space="preserve">[הכרה במשיב מוסא כאזרח ישראל] אם נתקיים במשיב התנאי שבסעיף 3(א)(3) </w:t>
      </w:r>
      <w:r w:rsidRPr="00816207">
        <w:rPr>
          <w:rFonts w:hint="cs"/>
          <w:b/>
          <w:bCs/>
          <w:sz w:val="22"/>
          <w:szCs w:val="22"/>
          <w:rtl/>
        </w:rPr>
        <w:t>לחוק האזרחות, תשי"ב-1952</w:t>
      </w:r>
      <w:r w:rsidRPr="00816207">
        <w:rPr>
          <w:rFonts w:hint="cs"/>
          <w:sz w:val="22"/>
          <w:szCs w:val="22"/>
          <w:rtl/>
        </w:rPr>
        <w:t xml:space="preserve">, היינו, אם </w:t>
      </w:r>
      <w:r w:rsidRPr="00816207">
        <w:rPr>
          <w:sz w:val="22"/>
          <w:szCs w:val="22"/>
          <w:rtl/>
        </w:rPr>
        <w:t>–</w:t>
      </w:r>
      <w:r w:rsidRPr="00816207">
        <w:rPr>
          <w:rFonts w:hint="cs"/>
          <w:sz w:val="22"/>
          <w:szCs w:val="22"/>
          <w:rtl/>
        </w:rPr>
        <w:t xml:space="preserve"> </w:t>
      </w:r>
    </w:p>
    <w:p w:rsidR="005366A8" w:rsidRPr="00816207" w:rsidRDefault="005366A8" w:rsidP="005366A8">
      <w:pPr>
        <w:ind w:left="735"/>
        <w:rPr>
          <w:rFonts w:cs="David"/>
          <w:sz w:val="22"/>
          <w:szCs w:val="22"/>
          <w:rtl/>
        </w:rPr>
      </w:pPr>
      <w:r w:rsidRPr="00816207">
        <w:rPr>
          <w:rFonts w:cs="David" w:hint="cs"/>
          <w:sz w:val="22"/>
          <w:szCs w:val="22"/>
          <w:rtl/>
        </w:rPr>
        <w:t xml:space="preserve">"מיום הקמת המדינה עד תחילת תקפו של חוק זה </w:t>
      </w:r>
      <w:r w:rsidRPr="00816207">
        <w:rPr>
          <w:rFonts w:cs="David" w:hint="cs"/>
          <w:b/>
          <w:bCs/>
          <w:sz w:val="22"/>
          <w:szCs w:val="22"/>
          <w:highlight w:val="yellow"/>
          <w:rtl/>
        </w:rPr>
        <w:t>היה</w:t>
      </w:r>
      <w:r w:rsidRPr="00816207">
        <w:rPr>
          <w:rFonts w:cs="David" w:hint="cs"/>
          <w:sz w:val="22"/>
          <w:szCs w:val="22"/>
          <w:rtl/>
        </w:rPr>
        <w:t xml:space="preserve"> בישראל או בשטה היה לשטח ישראלי אחרי הקמת המדינה..."</w:t>
      </w:r>
    </w:p>
    <w:p w:rsidR="005366A8" w:rsidRDefault="005366A8" w:rsidP="005366A8">
      <w:pPr>
        <w:ind w:left="452"/>
        <w:rPr>
          <w:rFonts w:cs="FrankRuehl"/>
          <w:sz w:val="22"/>
          <w:szCs w:val="22"/>
          <w:rtl/>
        </w:rPr>
      </w:pPr>
      <w:r w:rsidRPr="00816207">
        <w:rPr>
          <w:rFonts w:hint="cs"/>
          <w:sz w:val="22"/>
          <w:szCs w:val="22"/>
          <w:rtl/>
        </w:rPr>
        <w:t xml:space="preserve"> [מודל הפרשנות הראוי]</w:t>
      </w:r>
      <w:r w:rsidRPr="00816207">
        <w:rPr>
          <w:sz w:val="22"/>
          <w:szCs w:val="22"/>
          <w:rtl/>
        </w:rPr>
        <w:t>:</w:t>
      </w:r>
      <w:r w:rsidRPr="00816207">
        <w:rPr>
          <w:rFonts w:cs="FrankRuehl" w:hint="cs"/>
          <w:sz w:val="22"/>
          <w:szCs w:val="22"/>
          <w:rtl/>
        </w:rPr>
        <w:t xml:space="preserve"> </w:t>
      </w:r>
    </w:p>
    <w:p w:rsidR="005366A8" w:rsidRPr="00816207" w:rsidRDefault="005366A8" w:rsidP="005366A8">
      <w:pPr>
        <w:ind w:left="720"/>
        <w:rPr>
          <w:rFonts w:cs="FrankRuehl"/>
          <w:sz w:val="22"/>
          <w:szCs w:val="22"/>
          <w:rtl/>
        </w:rPr>
      </w:pPr>
      <w:r w:rsidRPr="00816207">
        <w:rPr>
          <w:rFonts w:cs="FrankRuehl"/>
          <w:sz w:val="22"/>
          <w:szCs w:val="22"/>
          <w:rtl/>
        </w:rPr>
        <w:t>"המחוקק פתח במחשבה או ברעיון וגמר בדיבור, ואנו פותחים בדיבורו ומנסים משם לחזור על עקבותיו של המחוקק ולגלות את דעתו"</w:t>
      </w:r>
      <w:r w:rsidRPr="00816207">
        <w:rPr>
          <w:rFonts w:cs="FrankRuehl" w:hint="cs"/>
          <w:sz w:val="22"/>
          <w:szCs w:val="22"/>
          <w:rtl/>
        </w:rPr>
        <w:t xml:space="preserve">. [...] </w:t>
      </w:r>
      <w:r w:rsidRPr="00816207">
        <w:rPr>
          <w:rFonts w:cs="FrankRuehl"/>
          <w:sz w:val="22"/>
          <w:szCs w:val="22"/>
          <w:rtl/>
        </w:rPr>
        <w:t>"דברים שבלב אינם דברים וכו</w:t>
      </w:r>
      <w:r>
        <w:rPr>
          <w:rFonts w:cs="FrankRuehl"/>
          <w:sz w:val="22"/>
          <w:szCs w:val="22"/>
          <w:rtl/>
        </w:rPr>
        <w:t>ונת המ</w:t>
      </w:r>
      <w:r w:rsidRPr="00816207">
        <w:rPr>
          <w:rFonts w:cs="FrankRuehl"/>
          <w:sz w:val="22"/>
          <w:szCs w:val="22"/>
          <w:rtl/>
        </w:rPr>
        <w:t>ח</w:t>
      </w:r>
      <w:r>
        <w:rPr>
          <w:rFonts w:cs="FrankRuehl" w:hint="cs"/>
          <w:sz w:val="22"/>
          <w:szCs w:val="22"/>
          <w:rtl/>
        </w:rPr>
        <w:t>ו</w:t>
      </w:r>
      <w:r w:rsidRPr="00816207">
        <w:rPr>
          <w:rFonts w:cs="FrankRuehl"/>
          <w:sz w:val="22"/>
          <w:szCs w:val="22"/>
          <w:rtl/>
        </w:rPr>
        <w:t xml:space="preserve">קק שלא באה לביטוי בחיקוק עצמו אינה מעלה ואינה מורידה.  </w:t>
      </w:r>
      <w:r w:rsidRPr="00816207">
        <w:rPr>
          <w:rFonts w:cs="FrankRuehl"/>
          <w:sz w:val="22"/>
          <w:szCs w:val="22"/>
        </w:rPr>
        <w:t>…</w:t>
      </w:r>
      <w:r w:rsidRPr="00816207">
        <w:rPr>
          <w:rFonts w:cs="FrankRuehl"/>
          <w:sz w:val="22"/>
          <w:szCs w:val="22"/>
          <w:rtl/>
        </w:rPr>
        <w:t xml:space="preserve"> וחובתו הראשונית היא, לגלות את "כוונת המחוקק" ואת מטרתו מתוך החיקוק עצמו".</w:t>
      </w:r>
    </w:p>
    <w:p w:rsidR="005366A8" w:rsidRPr="00816207" w:rsidRDefault="005366A8" w:rsidP="005366A8">
      <w:pPr>
        <w:ind w:left="720"/>
        <w:rPr>
          <w:rFonts w:cs="FrankRuehl"/>
          <w:sz w:val="22"/>
          <w:szCs w:val="22"/>
          <w:rtl/>
        </w:rPr>
      </w:pPr>
      <w:r w:rsidRPr="00816207">
        <w:rPr>
          <w:rFonts w:cs="FrankRuehl"/>
          <w:sz w:val="22"/>
          <w:szCs w:val="22"/>
          <w:rtl/>
        </w:rPr>
        <w:t xml:space="preserve">"חייבים אנו ליתן ממש אותה תשובה שהמחוקק היה משיב לו נדרש הוא לחוות דעתו עליה, ותשובה זו של המחוקק </w:t>
      </w:r>
      <w:r w:rsidRPr="00816207">
        <w:rPr>
          <w:rFonts w:cs="FrankRuehl"/>
          <w:sz w:val="22"/>
          <w:szCs w:val="22"/>
        </w:rPr>
        <w:t>–</w:t>
      </w:r>
      <w:r w:rsidRPr="00816207">
        <w:rPr>
          <w:rFonts w:cs="FrankRuehl"/>
          <w:sz w:val="22"/>
          <w:szCs w:val="22"/>
          <w:rtl/>
        </w:rPr>
        <w:t xml:space="preserve"> תשובתו המשוערת, שכן בפועל לא היה הענין לפניו והוא לא נתן אותה </w:t>
      </w:r>
      <w:r w:rsidRPr="00816207">
        <w:rPr>
          <w:rFonts w:cs="FrankRuehl"/>
          <w:sz w:val="22"/>
          <w:szCs w:val="22"/>
        </w:rPr>
        <w:t>–</w:t>
      </w:r>
      <w:r w:rsidRPr="00816207">
        <w:rPr>
          <w:rFonts w:cs="FrankRuehl"/>
          <w:sz w:val="22"/>
          <w:szCs w:val="22"/>
          <w:rtl/>
        </w:rPr>
        <w:t xml:space="preserve"> חייבים אנו לגלות על ידי כך שבמסגרת הפירושים האפשריים על פי הדיבור נבחר </w:t>
      </w:r>
      <w:r w:rsidRPr="00816207">
        <w:rPr>
          <w:rFonts w:cs="FrankRuehl"/>
          <w:b/>
          <w:bCs/>
          <w:sz w:val="22"/>
          <w:szCs w:val="22"/>
          <w:rtl/>
        </w:rPr>
        <w:t xml:space="preserve">בפירוש הקרוב ביותר למטרת </w:t>
      </w:r>
      <w:r w:rsidRPr="00816207">
        <w:rPr>
          <w:rFonts w:cs="FrankRuehl" w:hint="cs"/>
          <w:sz w:val="22"/>
          <w:szCs w:val="22"/>
          <w:rtl/>
        </w:rPr>
        <w:t>[תכלית]</w:t>
      </w:r>
      <w:r w:rsidRPr="00816207">
        <w:rPr>
          <w:rFonts w:cs="FrankRuehl" w:hint="cs"/>
          <w:b/>
          <w:bCs/>
          <w:sz w:val="22"/>
          <w:szCs w:val="22"/>
          <w:rtl/>
        </w:rPr>
        <w:t xml:space="preserve"> </w:t>
      </w:r>
      <w:r w:rsidRPr="00816207">
        <w:rPr>
          <w:rFonts w:cs="FrankRuehl"/>
          <w:b/>
          <w:bCs/>
          <w:sz w:val="22"/>
          <w:szCs w:val="22"/>
          <w:rtl/>
        </w:rPr>
        <w:t>התחיקה</w:t>
      </w:r>
      <w:r w:rsidRPr="00816207">
        <w:rPr>
          <w:rFonts w:cs="FrankRuehl"/>
          <w:sz w:val="22"/>
          <w:szCs w:val="22"/>
          <w:rtl/>
        </w:rPr>
        <w:t>".</w:t>
      </w:r>
    </w:p>
    <w:p w:rsidR="005366A8" w:rsidRDefault="005366A8" w:rsidP="005366A8">
      <w:pPr>
        <w:ind w:left="452"/>
        <w:rPr>
          <w:sz w:val="22"/>
          <w:szCs w:val="22"/>
          <w:rtl/>
        </w:rPr>
      </w:pPr>
      <w:r w:rsidRPr="00816207">
        <w:rPr>
          <w:rFonts w:hint="cs"/>
          <w:sz w:val="22"/>
          <w:szCs w:val="22"/>
          <w:rtl/>
        </w:rPr>
        <w:t xml:space="preserve">[מסקנה:] </w:t>
      </w:r>
    </w:p>
    <w:p w:rsidR="005366A8" w:rsidRPr="00816207" w:rsidRDefault="005366A8" w:rsidP="005366A8">
      <w:pPr>
        <w:ind w:left="720"/>
        <w:rPr>
          <w:rFonts w:cs="FrankRuehl"/>
          <w:sz w:val="22"/>
          <w:szCs w:val="22"/>
          <w:rtl/>
        </w:rPr>
      </w:pPr>
      <w:r w:rsidRPr="00816207">
        <w:rPr>
          <w:rFonts w:cs="FrankRuehl" w:hint="cs"/>
          <w:sz w:val="22"/>
          <w:szCs w:val="22"/>
          <w:rtl/>
        </w:rPr>
        <w:t>[...] שורת ההגיון והצדק כאחת מחייבות שמי שנעדר מן הארץ על פי עילה חוקית ועל יסוד היתר יהיו רואים אותו כמי שהיה בארץ לענין האזרחות ולא יראו אותו כמסתנן.</w:t>
      </w:r>
    </w:p>
    <w:p w:rsidR="005366A8" w:rsidRPr="00816207" w:rsidRDefault="005366A8" w:rsidP="005366A8">
      <w:pPr>
        <w:ind w:left="452"/>
        <w:rPr>
          <w:rFonts w:cs="FrankRuehl"/>
          <w:sz w:val="22"/>
          <w:szCs w:val="22"/>
          <w:rtl/>
        </w:rPr>
      </w:pPr>
    </w:p>
    <w:p w:rsidR="005366A8" w:rsidRPr="00816207" w:rsidRDefault="005366A8" w:rsidP="005366A8">
      <w:pPr>
        <w:rPr>
          <w:sz w:val="22"/>
          <w:szCs w:val="22"/>
          <w:rtl/>
        </w:rPr>
      </w:pPr>
      <w:r w:rsidRPr="00816207">
        <w:rPr>
          <w:sz w:val="22"/>
          <w:szCs w:val="22"/>
          <w:highlight w:val="yellow"/>
          <w:rtl/>
        </w:rPr>
        <w:t>שופט המיעוט – השופט מני:</w:t>
      </w:r>
    </w:p>
    <w:p w:rsidR="005366A8" w:rsidRPr="00816207" w:rsidRDefault="005366A8" w:rsidP="005366A8">
      <w:pPr>
        <w:ind w:left="720"/>
        <w:rPr>
          <w:rFonts w:cs="FrankRuehl"/>
          <w:b/>
          <w:bCs/>
          <w:sz w:val="22"/>
          <w:szCs w:val="22"/>
          <w:rtl/>
        </w:rPr>
      </w:pPr>
      <w:r w:rsidRPr="00816207">
        <w:rPr>
          <w:rFonts w:cs="FrankRuehl" w:hint="cs"/>
          <w:sz w:val="22"/>
          <w:szCs w:val="22"/>
          <w:rtl/>
        </w:rPr>
        <w:t>בסעיף 3 (א)(1) משתמש המחוקק במילה "תושב" ובסעיף 3(א)(2) הוא משתמש במילים "תושב ישראל", בעוד שבסעיף קטן (3) לא נאמר "גר" או "ישב" בישראל אלא "</w:t>
      </w:r>
      <w:r w:rsidRPr="00816207">
        <w:rPr>
          <w:rFonts w:cs="FrankRuehl" w:hint="cs"/>
          <w:b/>
          <w:bCs/>
          <w:sz w:val="22"/>
          <w:szCs w:val="22"/>
          <w:rtl/>
        </w:rPr>
        <w:t>היה</w:t>
      </w:r>
      <w:r w:rsidRPr="00816207">
        <w:rPr>
          <w:rFonts w:cs="FrankRuehl" w:hint="cs"/>
          <w:sz w:val="22"/>
          <w:szCs w:val="22"/>
          <w:rtl/>
        </w:rPr>
        <w:t xml:space="preserve"> בישראל". מכאן אתה למד... [כי הכוונה היא ל] ישיבה בישראל </w:t>
      </w:r>
      <w:r w:rsidRPr="00816207">
        <w:rPr>
          <w:rFonts w:cs="FrankRuehl" w:hint="cs"/>
          <w:b/>
          <w:bCs/>
          <w:sz w:val="22"/>
          <w:szCs w:val="22"/>
          <w:rtl/>
        </w:rPr>
        <w:t>ללא כל הפסק...</w:t>
      </w:r>
    </w:p>
    <w:p w:rsidR="005366A8" w:rsidRDefault="005366A8" w:rsidP="005366A8">
      <w:pPr>
        <w:pStyle w:val="T-body"/>
        <w:spacing w:line="240" w:lineRule="auto"/>
        <w:rPr>
          <w:b/>
          <w:bCs/>
          <w:i/>
          <w:iCs/>
          <w:sz w:val="22"/>
          <w:szCs w:val="22"/>
          <w:rtl/>
        </w:rPr>
      </w:pPr>
      <w:r w:rsidRPr="00816207">
        <w:rPr>
          <w:rFonts w:hint="cs"/>
          <w:b/>
          <w:bCs/>
          <w:i/>
          <w:iCs/>
          <w:sz w:val="22"/>
          <w:szCs w:val="22"/>
          <w:rtl/>
        </w:rPr>
        <w:t>=-=</w:t>
      </w:r>
    </w:p>
    <w:p w:rsidR="005366A8" w:rsidRDefault="005366A8" w:rsidP="005366A8">
      <w:pPr>
        <w:rPr>
          <w:rFonts w:ascii="Arial" w:hAnsi="Arial" w:cs="Arial"/>
          <w:sz w:val="20"/>
          <w:szCs w:val="20"/>
          <w:rtl/>
        </w:rPr>
      </w:pPr>
      <w:r w:rsidRPr="000F1D90">
        <w:rPr>
          <w:rFonts w:ascii="Arial" w:hAnsi="Arial" w:cs="Arial"/>
          <w:sz w:val="20"/>
          <w:szCs w:val="20"/>
          <w:rtl/>
        </w:rPr>
        <w:t xml:space="preserve">להלן פסק דין </w:t>
      </w:r>
      <w:r>
        <w:rPr>
          <w:rFonts w:ascii="Arial" w:hAnsi="Arial" w:cs="Arial" w:hint="cs"/>
          <w:i/>
          <w:iCs/>
          <w:sz w:val="20"/>
          <w:szCs w:val="20"/>
          <w:rtl/>
        </w:rPr>
        <w:t>אחר המסביר שניים משלבי הפרשנות</w:t>
      </w:r>
      <w:r w:rsidRPr="000F1D90">
        <w:rPr>
          <w:rFonts w:ascii="Arial" w:hAnsi="Arial" w:cs="Arial"/>
          <w:sz w:val="20"/>
          <w:szCs w:val="20"/>
          <w:rtl/>
        </w:rPr>
        <w:t xml:space="preserve">. </w:t>
      </w:r>
    </w:p>
    <w:p w:rsidR="005366A8" w:rsidRDefault="005366A8" w:rsidP="005366A8">
      <w:pPr>
        <w:pStyle w:val="T-body"/>
        <w:spacing w:line="240" w:lineRule="auto"/>
        <w:rPr>
          <w:b/>
          <w:bCs/>
          <w:i/>
          <w:iCs/>
          <w:sz w:val="22"/>
          <w:szCs w:val="22"/>
          <w:rtl/>
        </w:rPr>
      </w:pPr>
    </w:p>
    <w:p w:rsidR="005366A8" w:rsidRDefault="005366A8" w:rsidP="005366A8">
      <w:pPr>
        <w:spacing w:after="120" w:line="276" w:lineRule="auto"/>
        <w:ind w:left="720" w:right="425"/>
        <w:rPr>
          <w:rtl/>
        </w:rPr>
      </w:pPr>
      <w:r w:rsidRPr="00A2322B">
        <w:rPr>
          <w:highlight w:val="yellow"/>
          <w:rtl/>
        </w:rPr>
        <w:t xml:space="preserve">ד"נ 40/80 </w:t>
      </w:r>
      <w:r w:rsidRPr="00A2322B">
        <w:rPr>
          <w:b/>
          <w:bCs/>
          <w:highlight w:val="yellow"/>
          <w:u w:val="single"/>
          <w:rtl/>
        </w:rPr>
        <w:t>קניג נ' כהן</w:t>
      </w:r>
      <w:r w:rsidRPr="00A2322B">
        <w:rPr>
          <w:highlight w:val="yellow"/>
          <w:rtl/>
        </w:rPr>
        <w:t xml:space="preserve">, פ"ד לו(3) 701, </w:t>
      </w:r>
      <w:r w:rsidRPr="00A2322B">
        <w:rPr>
          <w:rFonts w:hint="cs"/>
          <w:highlight w:val="yellow"/>
          <w:rtl/>
        </w:rPr>
        <w:t xml:space="preserve">726-706 </w:t>
      </w:r>
      <w:r w:rsidRPr="00A2322B">
        <w:rPr>
          <w:highlight w:val="yellow"/>
          <w:rtl/>
        </w:rPr>
        <w:t>(1982)</w:t>
      </w:r>
      <w:r w:rsidRPr="00A2322B">
        <w:rPr>
          <w:rFonts w:hint="cs"/>
          <w:highlight w:val="yellow"/>
          <w:rtl/>
        </w:rPr>
        <w:t xml:space="preserve"> </w:t>
      </w:r>
      <w:r w:rsidRPr="00A2322B">
        <w:rPr>
          <w:highlight w:val="yellow"/>
          <w:rtl/>
        </w:rPr>
        <w:t>–</w:t>
      </w:r>
      <w:r>
        <w:rPr>
          <w:rFonts w:hint="cs"/>
          <w:rtl/>
        </w:rPr>
        <w:t xml:space="preserve"> </w:t>
      </w:r>
    </w:p>
    <w:p w:rsidR="005366A8" w:rsidRPr="00A2322B" w:rsidRDefault="005366A8" w:rsidP="005366A8">
      <w:pPr>
        <w:pStyle w:val="medium2-header"/>
        <w:keepLines w:val="0"/>
        <w:spacing w:before="72" w:after="120"/>
        <w:ind w:left="0" w:right="1134"/>
        <w:jc w:val="left"/>
        <w:rPr>
          <w:rFonts w:cs="David"/>
          <w:b/>
          <w:bCs w:val="0"/>
          <w:noProof/>
          <w:sz w:val="20"/>
          <w:szCs w:val="20"/>
          <w:rtl/>
        </w:rPr>
      </w:pPr>
      <w:r w:rsidRPr="00A2322B">
        <w:rPr>
          <w:rFonts w:cs="David" w:hint="cs"/>
          <w:noProof/>
          <w:sz w:val="20"/>
          <w:szCs w:val="20"/>
          <w:rtl/>
        </w:rPr>
        <w:t xml:space="preserve">חוק הירושה, התשכ"ה-1965 </w:t>
      </w:r>
      <w:r w:rsidRPr="00A2322B">
        <w:rPr>
          <w:rFonts w:cs="David" w:hint="cs"/>
          <w:b/>
          <w:bCs w:val="0"/>
          <w:noProof/>
          <w:sz w:val="20"/>
          <w:szCs w:val="20"/>
          <w:rtl/>
        </w:rPr>
        <w:t>[כנוסחו בעת מתן פסק הדין]</w:t>
      </w:r>
    </w:p>
    <w:p w:rsidR="005366A8" w:rsidRPr="00A2322B" w:rsidRDefault="005366A8" w:rsidP="005366A8">
      <w:pPr>
        <w:spacing w:after="60"/>
        <w:ind w:left="720"/>
        <w:rPr>
          <w:rFonts w:cs="David"/>
          <w:sz w:val="20"/>
          <w:szCs w:val="20"/>
          <w:rtl/>
        </w:rPr>
      </w:pPr>
      <w:r w:rsidRPr="00A2322B">
        <w:rPr>
          <w:rFonts w:cs="David"/>
          <w:sz w:val="20"/>
          <w:szCs w:val="20"/>
          <w:rtl/>
        </w:rPr>
        <w:t xml:space="preserve">לפי סעיף </w:t>
      </w:r>
      <w:r w:rsidRPr="00A2322B">
        <w:rPr>
          <w:rFonts w:cs="David"/>
          <w:sz w:val="20"/>
          <w:szCs w:val="20"/>
        </w:rPr>
        <w:t>18</w:t>
      </w:r>
      <w:r w:rsidRPr="00A2322B">
        <w:rPr>
          <w:rFonts w:cs="David" w:hint="cs"/>
          <w:sz w:val="20"/>
          <w:szCs w:val="20"/>
          <w:rtl/>
        </w:rPr>
        <w:t xml:space="preserve"> </w:t>
      </w:r>
      <w:r w:rsidRPr="00A2322B">
        <w:rPr>
          <w:rFonts w:cs="David"/>
          <w:sz w:val="20"/>
          <w:szCs w:val="20"/>
          <w:rtl/>
        </w:rPr>
        <w:t xml:space="preserve">נעשית צוואה בכתב-יד, בעדים, לפני רשות או בעל-פה. </w:t>
      </w:r>
    </w:p>
    <w:p w:rsidR="005366A8" w:rsidRPr="00A2322B" w:rsidRDefault="005366A8" w:rsidP="005366A8">
      <w:pPr>
        <w:spacing w:after="60"/>
        <w:ind w:left="720"/>
        <w:rPr>
          <w:rFonts w:cs="David"/>
          <w:sz w:val="20"/>
          <w:szCs w:val="20"/>
          <w:rtl/>
        </w:rPr>
      </w:pPr>
      <w:r w:rsidRPr="00A2322B">
        <w:rPr>
          <w:rFonts w:cs="David"/>
          <w:sz w:val="20"/>
          <w:szCs w:val="20"/>
          <w:rtl/>
        </w:rPr>
        <w:t xml:space="preserve">לפי סעיף </w:t>
      </w:r>
      <w:r w:rsidRPr="00A2322B">
        <w:rPr>
          <w:rFonts w:cs="David"/>
          <w:sz w:val="20"/>
          <w:szCs w:val="20"/>
        </w:rPr>
        <w:t>19</w:t>
      </w:r>
      <w:r w:rsidRPr="00A2322B">
        <w:rPr>
          <w:rFonts w:cs="David" w:hint="cs"/>
          <w:sz w:val="20"/>
          <w:szCs w:val="20"/>
          <w:rtl/>
        </w:rPr>
        <w:t xml:space="preserve">: </w:t>
      </w:r>
      <w:r w:rsidRPr="00A2322B">
        <w:rPr>
          <w:rFonts w:cs="David"/>
          <w:sz w:val="20"/>
          <w:szCs w:val="20"/>
        </w:rPr>
        <w:t>"</w:t>
      </w:r>
      <w:r w:rsidRPr="00A2322B">
        <w:rPr>
          <w:rFonts w:cs="David"/>
          <w:sz w:val="20"/>
          <w:szCs w:val="20"/>
          <w:highlight w:val="yellow"/>
          <w:rtl/>
        </w:rPr>
        <w:t>צוואה בכתב יד תיכתב כולה ביד המצווה, תישא תאריך כתוב בידו ותיחתם בידו</w:t>
      </w:r>
      <w:r w:rsidRPr="00A2322B">
        <w:rPr>
          <w:rFonts w:cs="David"/>
          <w:sz w:val="20"/>
          <w:szCs w:val="20"/>
        </w:rPr>
        <w:t>".</w:t>
      </w:r>
    </w:p>
    <w:p w:rsidR="005366A8" w:rsidRPr="00A2322B" w:rsidRDefault="005366A8" w:rsidP="005366A8">
      <w:pPr>
        <w:spacing w:after="60"/>
        <w:ind w:left="720"/>
        <w:rPr>
          <w:rFonts w:cs="David"/>
          <w:sz w:val="20"/>
          <w:szCs w:val="20"/>
          <w:rtl/>
        </w:rPr>
      </w:pPr>
      <w:r w:rsidRPr="00A2322B">
        <w:rPr>
          <w:rFonts w:cs="David"/>
          <w:sz w:val="20"/>
          <w:szCs w:val="20"/>
          <w:rtl/>
        </w:rPr>
        <w:t xml:space="preserve">בסעיף </w:t>
      </w:r>
      <w:r w:rsidRPr="00A2322B">
        <w:rPr>
          <w:rFonts w:cs="David"/>
          <w:sz w:val="20"/>
          <w:szCs w:val="20"/>
        </w:rPr>
        <w:t>25</w:t>
      </w:r>
      <w:r w:rsidRPr="00A2322B">
        <w:rPr>
          <w:rFonts w:cs="David" w:hint="cs"/>
          <w:sz w:val="20"/>
          <w:szCs w:val="20"/>
          <w:rtl/>
        </w:rPr>
        <w:t xml:space="preserve"> </w:t>
      </w:r>
      <w:r w:rsidRPr="00A2322B">
        <w:rPr>
          <w:rFonts w:cs="David"/>
          <w:sz w:val="20"/>
          <w:szCs w:val="20"/>
          <w:rtl/>
        </w:rPr>
        <w:t>לחוק נאמר:</w:t>
      </w:r>
    </w:p>
    <w:p w:rsidR="005366A8" w:rsidRPr="00A2322B" w:rsidRDefault="005366A8" w:rsidP="005366A8">
      <w:pPr>
        <w:spacing w:after="120"/>
        <w:ind w:left="1440"/>
        <w:rPr>
          <w:rFonts w:cs="David"/>
          <w:sz w:val="20"/>
          <w:szCs w:val="20"/>
          <w:rtl/>
        </w:rPr>
      </w:pPr>
      <w:r w:rsidRPr="00A2322B">
        <w:rPr>
          <w:rFonts w:cs="David"/>
          <w:sz w:val="20"/>
          <w:szCs w:val="20"/>
          <w:highlight w:val="yellow"/>
        </w:rPr>
        <w:t>"</w:t>
      </w:r>
      <w:r w:rsidRPr="00A2322B">
        <w:rPr>
          <w:rFonts w:cs="David"/>
          <w:sz w:val="20"/>
          <w:szCs w:val="20"/>
          <w:highlight w:val="yellow"/>
          <w:rtl/>
        </w:rPr>
        <w:t xml:space="preserve">לא היה לבית המשפט ספק באמיתותה של צוואה, רשאי הוא לקיימה אף אם יש פגם בחתימתם של המצווה או של העדים או בתאריך הצוואה או בהליכים המפורטים בסעיפים </w:t>
      </w:r>
      <w:r w:rsidRPr="00A2322B">
        <w:rPr>
          <w:rFonts w:cs="David"/>
          <w:sz w:val="20"/>
          <w:szCs w:val="20"/>
          <w:highlight w:val="yellow"/>
        </w:rPr>
        <w:t>20</w:t>
      </w:r>
      <w:r w:rsidRPr="00A2322B">
        <w:rPr>
          <w:rFonts w:cs="David" w:hint="cs"/>
          <w:sz w:val="20"/>
          <w:szCs w:val="20"/>
          <w:highlight w:val="yellow"/>
          <w:rtl/>
        </w:rPr>
        <w:t xml:space="preserve"> </w:t>
      </w:r>
      <w:r w:rsidRPr="00A2322B">
        <w:rPr>
          <w:rFonts w:cs="David"/>
          <w:sz w:val="20"/>
          <w:szCs w:val="20"/>
          <w:highlight w:val="yellow"/>
          <w:rtl/>
        </w:rPr>
        <w:t xml:space="preserve">עד </w:t>
      </w:r>
      <w:r w:rsidRPr="00A2322B">
        <w:rPr>
          <w:rFonts w:cs="David"/>
          <w:sz w:val="20"/>
          <w:szCs w:val="20"/>
          <w:highlight w:val="yellow"/>
        </w:rPr>
        <w:t>23</w:t>
      </w:r>
      <w:r w:rsidRPr="00A2322B">
        <w:rPr>
          <w:rFonts w:cs="David" w:hint="cs"/>
          <w:sz w:val="20"/>
          <w:szCs w:val="20"/>
          <w:highlight w:val="yellow"/>
          <w:rtl/>
        </w:rPr>
        <w:t xml:space="preserve"> </w:t>
      </w:r>
      <w:r w:rsidRPr="00A2322B">
        <w:rPr>
          <w:rFonts w:cs="David"/>
          <w:sz w:val="20"/>
          <w:szCs w:val="20"/>
          <w:highlight w:val="yellow"/>
          <w:rtl/>
        </w:rPr>
        <w:t>או בכשרות העדים".</w:t>
      </w:r>
    </w:p>
    <w:p w:rsidR="005366A8" w:rsidRPr="00D3245E" w:rsidRDefault="005366A8" w:rsidP="005366A8">
      <w:pPr>
        <w:tabs>
          <w:tab w:val="left" w:pos="288"/>
          <w:tab w:val="left" w:pos="720"/>
          <w:tab w:val="left" w:pos="1296"/>
          <w:tab w:val="left" w:pos="4896"/>
          <w:tab w:val="left" w:pos="5040"/>
        </w:tabs>
        <w:autoSpaceDE w:val="0"/>
        <w:autoSpaceDN w:val="0"/>
        <w:adjustRightInd w:val="0"/>
        <w:spacing w:after="80" w:line="260" w:lineRule="exact"/>
        <w:ind w:firstLine="283"/>
        <w:rPr>
          <w:rFonts w:cs="FrankRuehl"/>
          <w:sz w:val="22"/>
          <w:szCs w:val="22"/>
        </w:rPr>
      </w:pPr>
      <w:r w:rsidRPr="00D3245E">
        <w:rPr>
          <w:rFonts w:cs="FrankRuehl"/>
          <w:b/>
          <w:bCs/>
          <w:sz w:val="22"/>
          <w:szCs w:val="22"/>
          <w:u w:val="single"/>
          <w:rtl/>
        </w:rPr>
        <w:t>השופט ש' לוין</w:t>
      </w:r>
      <w:r w:rsidRPr="00D3245E">
        <w:rPr>
          <w:rFonts w:cs="FrankRuehl"/>
          <w:sz w:val="22"/>
          <w:szCs w:val="22"/>
          <w:rtl/>
        </w:rPr>
        <w:t xml:space="preserve">: </w:t>
      </w:r>
      <w:r w:rsidRPr="00D3245E">
        <w:rPr>
          <w:rFonts w:cs="FrankRuehl"/>
          <w:sz w:val="22"/>
          <w:szCs w:val="22"/>
        </w:rPr>
        <w:t>.1</w:t>
      </w:r>
      <w:r w:rsidRPr="00D3245E">
        <w:rPr>
          <w:rFonts w:cs="FrankRuehl"/>
          <w:sz w:val="22"/>
          <w:szCs w:val="22"/>
          <w:rtl/>
        </w:rPr>
        <w:t>המנוחה גיזל כהן (להלן - המנוחה) מצאה את מותה בנסיבות טראגיות: נישואיה למשיב לא עלו יפה, והיא גם לא הצליחה להתגרש. היא שכרה חדר בקומה העשרים של בית-מלון בתל-אביב. כעבור שעה קלה היא התאבדה, כשקפצה מחלון החדר ובידיה בתם הקטנה של בני הזוג. בחדר נמצאו לאחר מכן תשעה פתקים כתובים בכתב-ידה של המנוחה, שלא נחתמו על-ידיה, ולא נשאו תאריך. בפתק האחד (מ/3) נכתב לאמור:</w:t>
      </w:r>
    </w:p>
    <w:p w:rsidR="005366A8" w:rsidRPr="00D3245E" w:rsidRDefault="005366A8" w:rsidP="005366A8">
      <w:pPr>
        <w:tabs>
          <w:tab w:val="left" w:pos="288"/>
          <w:tab w:val="left" w:pos="720"/>
          <w:tab w:val="left" w:pos="1296"/>
          <w:tab w:val="left" w:pos="4896"/>
          <w:tab w:val="left" w:pos="5040"/>
        </w:tabs>
        <w:autoSpaceDE w:val="0"/>
        <w:autoSpaceDN w:val="0"/>
        <w:adjustRightInd w:val="0"/>
        <w:spacing w:after="80" w:line="260" w:lineRule="exact"/>
        <w:ind w:left="567" w:right="567"/>
        <w:rPr>
          <w:rFonts w:cs="FrankRuehl"/>
          <w:sz w:val="22"/>
          <w:szCs w:val="22"/>
        </w:rPr>
      </w:pPr>
      <w:r w:rsidRPr="00D3245E">
        <w:rPr>
          <w:rFonts w:cs="FrankRuehl"/>
          <w:sz w:val="22"/>
          <w:szCs w:val="22"/>
        </w:rPr>
        <w:t>"</w:t>
      </w:r>
      <w:r w:rsidRPr="00D3245E">
        <w:rPr>
          <w:rFonts w:cs="FrankRuehl"/>
          <w:sz w:val="22"/>
          <w:szCs w:val="22"/>
          <w:rtl/>
        </w:rPr>
        <w:t>בס"ד</w:t>
      </w:r>
    </w:p>
    <w:p w:rsidR="005366A8" w:rsidRPr="00D3245E" w:rsidRDefault="005366A8" w:rsidP="005366A8">
      <w:pPr>
        <w:tabs>
          <w:tab w:val="left" w:pos="288"/>
          <w:tab w:val="left" w:pos="720"/>
          <w:tab w:val="left" w:pos="1296"/>
          <w:tab w:val="left" w:pos="4896"/>
          <w:tab w:val="left" w:pos="5040"/>
        </w:tabs>
        <w:autoSpaceDE w:val="0"/>
        <w:autoSpaceDN w:val="0"/>
        <w:adjustRightInd w:val="0"/>
        <w:spacing w:after="80" w:line="260" w:lineRule="exact"/>
        <w:ind w:firstLine="283"/>
        <w:rPr>
          <w:rFonts w:cs="FrankRuehl"/>
          <w:sz w:val="22"/>
          <w:szCs w:val="22"/>
        </w:rPr>
      </w:pPr>
      <w:r w:rsidRPr="00D3245E">
        <w:rPr>
          <w:rFonts w:cs="FrankRuehl"/>
          <w:sz w:val="22"/>
          <w:szCs w:val="22"/>
          <w:rtl/>
        </w:rPr>
        <w:t>צוואה</w:t>
      </w:r>
    </w:p>
    <w:p w:rsidR="005366A8" w:rsidRPr="00D3245E" w:rsidRDefault="005366A8" w:rsidP="005366A8">
      <w:pPr>
        <w:tabs>
          <w:tab w:val="left" w:pos="288"/>
          <w:tab w:val="left" w:pos="720"/>
          <w:tab w:val="left" w:pos="1296"/>
          <w:tab w:val="left" w:pos="4896"/>
          <w:tab w:val="left" w:pos="5040"/>
        </w:tabs>
        <w:autoSpaceDE w:val="0"/>
        <w:autoSpaceDN w:val="0"/>
        <w:adjustRightInd w:val="0"/>
        <w:spacing w:after="80" w:line="260" w:lineRule="exact"/>
        <w:ind w:firstLine="283"/>
        <w:rPr>
          <w:rFonts w:cs="FrankRuehl"/>
          <w:sz w:val="22"/>
          <w:szCs w:val="22"/>
          <w:rtl/>
        </w:rPr>
      </w:pPr>
      <w:r w:rsidRPr="00D3245E">
        <w:rPr>
          <w:rFonts w:cs="FrankRuehl"/>
          <w:sz w:val="22"/>
          <w:szCs w:val="22"/>
          <w:highlight w:val="yellow"/>
          <w:rtl/>
        </w:rPr>
        <w:t>כל מה ששיך לי באופן רשמי כספים וכו' לחלק בין ארבע אחים שלי. השאר שאמי תחיה תחליט בעצמה כרצונה".</w:t>
      </w:r>
    </w:p>
    <w:p w:rsidR="005366A8" w:rsidRPr="00D3245E" w:rsidRDefault="005366A8" w:rsidP="005366A8">
      <w:pPr>
        <w:tabs>
          <w:tab w:val="left" w:pos="288"/>
          <w:tab w:val="left" w:pos="720"/>
          <w:tab w:val="left" w:pos="1296"/>
          <w:tab w:val="left" w:pos="4896"/>
          <w:tab w:val="left" w:pos="5040"/>
        </w:tabs>
        <w:autoSpaceDE w:val="0"/>
        <w:autoSpaceDN w:val="0"/>
        <w:adjustRightInd w:val="0"/>
        <w:spacing w:after="80" w:line="260" w:lineRule="exact"/>
        <w:ind w:firstLine="283"/>
        <w:rPr>
          <w:rFonts w:cs="FrankRuehl"/>
          <w:sz w:val="22"/>
          <w:szCs w:val="22"/>
          <w:rtl/>
        </w:rPr>
      </w:pPr>
      <w:r w:rsidRPr="00D3245E">
        <w:rPr>
          <w:rFonts w:cs="FrankRuehl"/>
          <w:sz w:val="22"/>
          <w:szCs w:val="22"/>
          <w:highlight w:val="yellow"/>
          <w:rtl/>
        </w:rPr>
        <w:t>בפתק אחר (מ/4) כתבה המנחה לקרוביה, שידאגו שהמשיב לא ישתתף בהלוויה. שיש לומר לו שדרך ארץ קודם לתורה, שאת הבת לקחה המנוחה עמה כי המשיב מציק לה</w:t>
      </w:r>
      <w:r w:rsidRPr="00D3245E">
        <w:rPr>
          <w:rFonts w:cs="FrankRuehl" w:hint="cs"/>
          <w:sz w:val="22"/>
          <w:szCs w:val="22"/>
          <w:highlight w:val="yellow"/>
          <w:rtl/>
        </w:rPr>
        <w:t>;</w:t>
      </w:r>
      <w:r w:rsidRPr="00D3245E">
        <w:rPr>
          <w:rFonts w:cs="FrankRuehl"/>
          <w:sz w:val="22"/>
          <w:szCs w:val="22"/>
          <w:highlight w:val="yellow"/>
          <w:rtl/>
        </w:rPr>
        <w:t xml:space="preserve"> שהשתיים תשכבנה יחד </w:t>
      </w:r>
      <w:r w:rsidRPr="00D3245E">
        <w:rPr>
          <w:rFonts w:cs="FrankRuehl" w:hint="cs"/>
          <w:sz w:val="22"/>
          <w:szCs w:val="22"/>
          <w:highlight w:val="yellow"/>
          <w:rtl/>
        </w:rPr>
        <w:t xml:space="preserve">[בבית הקברות] </w:t>
      </w:r>
      <w:r w:rsidRPr="00D3245E">
        <w:rPr>
          <w:rFonts w:cs="FrankRuehl"/>
          <w:sz w:val="22"/>
          <w:szCs w:val="22"/>
          <w:highlight w:val="yellow"/>
          <w:rtl/>
        </w:rPr>
        <w:t>אם הדבר מותר על-פי דין "ולדאוג שיהושע (המשיב) יקבל כמה שפחות". שאר הפתקים אינם רלוואנטיים לנושא הדיון שלפנינו.</w:t>
      </w:r>
    </w:p>
    <w:p w:rsidR="005366A8" w:rsidRPr="00D3245E" w:rsidRDefault="005366A8" w:rsidP="005366A8">
      <w:pPr>
        <w:pStyle w:val="T-body"/>
        <w:spacing w:after="120" w:line="240" w:lineRule="auto"/>
        <w:rPr>
          <w:b/>
          <w:bCs/>
          <w:i/>
          <w:iCs/>
          <w:sz w:val="22"/>
          <w:szCs w:val="22"/>
          <w:rtl/>
        </w:rPr>
      </w:pPr>
      <w:r w:rsidRPr="00D3245E">
        <w:rPr>
          <w:rFonts w:cs="FrankRuehl"/>
          <w:sz w:val="22"/>
          <w:szCs w:val="22"/>
        </w:rPr>
        <w:t>.2</w:t>
      </w:r>
      <w:r w:rsidRPr="00D3245E">
        <w:rPr>
          <w:rFonts w:cs="FrankRuehl"/>
          <w:sz w:val="22"/>
          <w:szCs w:val="22"/>
          <w:rtl/>
        </w:rPr>
        <w:t xml:space="preserve">העותר הוא אחיה של המנוחה, והוא ביקש בבית המשפט המחוזי בירושלים לקיים את שני הפתקים הנ"ל כצוואתה של המנוחה. המשיב הגיש התנגדות, וביום </w:t>
      </w:r>
      <w:r w:rsidRPr="00D3245E">
        <w:rPr>
          <w:rFonts w:cs="FrankRuehl"/>
          <w:sz w:val="22"/>
          <w:szCs w:val="22"/>
        </w:rPr>
        <w:t>31.12.78</w:t>
      </w:r>
      <w:r w:rsidRPr="00D3245E">
        <w:rPr>
          <w:rFonts w:cs="FrankRuehl"/>
          <w:sz w:val="22"/>
          <w:szCs w:val="22"/>
          <w:rtl/>
        </w:rPr>
        <w:t>דחה בית המשפט (מפי השופט מ' כהן ז"ל) את הבקשה על יסוד הטעמים הבאים: א) הפתקים שעליהם</w:t>
      </w:r>
      <w:r w:rsidRPr="00D3245E">
        <w:rPr>
          <w:rFonts w:cs="FrankRuehl"/>
          <w:sz w:val="22"/>
          <w:szCs w:val="22"/>
        </w:rPr>
        <w:t xml:space="preserve"> </w:t>
      </w:r>
      <w:r w:rsidRPr="00D3245E">
        <w:rPr>
          <w:rFonts w:cs="FrankRuehl"/>
          <w:sz w:val="22"/>
          <w:szCs w:val="22"/>
          <w:rtl/>
        </w:rPr>
        <w:t>סבה הבקשה אינם מהווים צוואה לפי החוק, משום שאינם נושאים עליהם את חתימת המנוחה ואת תאריך העשייה; ב)</w:t>
      </w:r>
      <w:r w:rsidRPr="00D3245E">
        <w:rPr>
          <w:rFonts w:cs="FrankRuehl" w:hint="cs"/>
          <w:sz w:val="22"/>
          <w:szCs w:val="22"/>
          <w:rtl/>
        </w:rPr>
        <w:t xml:space="preserve"> [...]</w:t>
      </w:r>
    </w:p>
    <w:p w:rsidR="005366A8" w:rsidRPr="00D3245E" w:rsidRDefault="005366A8" w:rsidP="005366A8">
      <w:pPr>
        <w:pStyle w:val="T-body"/>
        <w:spacing w:after="120" w:line="240" w:lineRule="auto"/>
        <w:rPr>
          <w:sz w:val="22"/>
          <w:szCs w:val="22"/>
          <w:rtl/>
        </w:rPr>
      </w:pPr>
      <w:r w:rsidRPr="00D3245E">
        <w:rPr>
          <w:rFonts w:hint="cs"/>
          <w:b/>
          <w:bCs/>
          <w:sz w:val="22"/>
          <w:szCs w:val="22"/>
          <w:u w:val="single"/>
          <w:rtl/>
        </w:rPr>
        <w:t>השופט א' ברק</w:t>
      </w:r>
      <w:r w:rsidRPr="00D3245E">
        <w:rPr>
          <w:rFonts w:hint="cs"/>
          <w:b/>
          <w:bCs/>
          <w:sz w:val="22"/>
          <w:szCs w:val="22"/>
          <w:rtl/>
        </w:rPr>
        <w:t xml:space="preserve"> </w:t>
      </w:r>
      <w:r w:rsidRPr="00D3245E">
        <w:rPr>
          <w:rFonts w:hint="cs"/>
          <w:sz w:val="22"/>
          <w:szCs w:val="22"/>
          <w:rtl/>
        </w:rPr>
        <w:t>(שהיה בדעת המיעוט לעניין התוצאה):</w:t>
      </w:r>
    </w:p>
    <w:p w:rsidR="005366A8" w:rsidRPr="00D3245E" w:rsidRDefault="005366A8" w:rsidP="005366A8">
      <w:pPr>
        <w:tabs>
          <w:tab w:val="decimal" w:pos="288"/>
          <w:tab w:val="decimal" w:pos="720"/>
          <w:tab w:val="decimal" w:pos="1152"/>
          <w:tab w:val="left" w:pos="1440"/>
          <w:tab w:val="left" w:pos="1584"/>
          <w:tab w:val="decimal" w:pos="1872"/>
          <w:tab w:val="left" w:pos="2016"/>
          <w:tab w:val="left" w:pos="2304"/>
        </w:tabs>
        <w:autoSpaceDE w:val="0"/>
        <w:autoSpaceDN w:val="0"/>
        <w:adjustRightInd w:val="0"/>
        <w:spacing w:after="80" w:line="260" w:lineRule="exact"/>
        <w:ind w:firstLine="283"/>
        <w:rPr>
          <w:rFonts w:cs="FrankRuehl"/>
          <w:sz w:val="22"/>
          <w:szCs w:val="22"/>
          <w:rtl/>
        </w:rPr>
      </w:pPr>
      <w:r w:rsidRPr="00D3245E">
        <w:rPr>
          <w:rFonts w:cs="FrankRuehl"/>
          <w:sz w:val="22"/>
          <w:szCs w:val="22"/>
        </w:rPr>
        <w:t>.2</w:t>
      </w:r>
      <w:r w:rsidRPr="00D3245E">
        <w:rPr>
          <w:rFonts w:cs="FrankRuehl"/>
          <w:sz w:val="22"/>
          <w:szCs w:val="22"/>
          <w:rtl/>
        </w:rPr>
        <w:t xml:space="preserve">גדר הספקות בעניין שלפנינו הוא, אם הדיבור "פגם" בסעיף </w:t>
      </w:r>
      <w:r w:rsidRPr="00D3245E">
        <w:rPr>
          <w:rFonts w:cs="FrankRuehl"/>
          <w:sz w:val="22"/>
          <w:szCs w:val="22"/>
        </w:rPr>
        <w:t>25</w:t>
      </w:r>
      <w:r w:rsidRPr="00D3245E">
        <w:rPr>
          <w:rFonts w:cs="FrankRuehl" w:hint="cs"/>
          <w:sz w:val="22"/>
          <w:szCs w:val="22"/>
          <w:rtl/>
        </w:rPr>
        <w:t xml:space="preserve"> </w:t>
      </w:r>
      <w:r w:rsidRPr="00D3245E">
        <w:rPr>
          <w:rFonts w:cs="FrankRuehl"/>
          <w:sz w:val="22"/>
          <w:szCs w:val="22"/>
          <w:rtl/>
        </w:rPr>
        <w:t>ל</w:t>
      </w:r>
      <w:hyperlink r:id="rId61" w:history="1">
        <w:r w:rsidRPr="00D3245E">
          <w:rPr>
            <w:rStyle w:val="Hyperlink"/>
            <w:rFonts w:cs="FrankRuehl"/>
            <w:sz w:val="22"/>
            <w:szCs w:val="22"/>
            <w:rtl/>
          </w:rPr>
          <w:t>חוק הירושה</w:t>
        </w:r>
      </w:hyperlink>
      <w:r w:rsidRPr="00D3245E">
        <w:rPr>
          <w:rFonts w:cs="FrankRuehl"/>
          <w:sz w:val="22"/>
          <w:szCs w:val="22"/>
          <w:rtl/>
        </w:rPr>
        <w:t xml:space="preserve"> משתרע לא רק על המקרה של החסרת דבר מהשלם, אלא גם על המקרה של חסר השלם עצמו. ודאי שחוסר חתימה הוא פגם בצורת הצוואה, אך הניתן לומר, כי חוסר חתימה הוא "פגם" בחתימה? </w:t>
      </w:r>
      <w:r w:rsidRPr="00D3245E">
        <w:rPr>
          <w:rFonts w:cs="FrankRuehl"/>
          <w:sz w:val="22"/>
          <w:szCs w:val="22"/>
          <w:highlight w:val="yellow"/>
          <w:rtl/>
        </w:rPr>
        <w:t>על שאלה זו יש להשיב תוך עריכתן של שתי בדיקות: האחת, בדיקה לשונית, אשר מטרתה לבחון, אם ניתן לכלול במונח "פגם" לא רק חיסרון בשלם אלא חסר כשלעצמו. אם בדיקה זו תעלה, כי ניתן, ולו גם בדוחק, ולו גם בקושי, לכלול</w:t>
      </w:r>
      <w:r w:rsidRPr="00D3245E">
        <w:rPr>
          <w:rFonts w:cs="FrankRuehl"/>
          <w:sz w:val="22"/>
          <w:szCs w:val="22"/>
          <w:highlight w:val="yellow"/>
        </w:rPr>
        <w:t xml:space="preserve"> </w:t>
      </w:r>
      <w:r w:rsidRPr="00D3245E">
        <w:rPr>
          <w:rFonts w:cs="FrankRuehl"/>
          <w:sz w:val="22"/>
          <w:szCs w:val="22"/>
          <w:highlight w:val="yellow"/>
          <w:rtl/>
        </w:rPr>
        <w:t>בדיבור "פגם" לא רק חסר בדבר קיים אלא גם העדר אותו דבר עצמו, כי אז יהא מקום לעריכתה של הבדיקה השנייה, והיא, אם מבין המשמעויות הלשוניות השונות</w:t>
      </w:r>
      <w:r w:rsidRPr="00D3245E">
        <w:rPr>
          <w:rFonts w:cs="FrankRuehl"/>
          <w:sz w:val="22"/>
          <w:szCs w:val="22"/>
          <w:highlight w:val="yellow"/>
        </w:rPr>
        <w:t xml:space="preserve"> </w:t>
      </w:r>
      <w:r w:rsidRPr="00D3245E">
        <w:rPr>
          <w:rFonts w:cs="FrankRuehl"/>
          <w:sz w:val="22"/>
          <w:szCs w:val="22"/>
          <w:highlight w:val="yellow"/>
          <w:rtl/>
        </w:rPr>
        <w:t xml:space="preserve">מן הנכון הוא לבחור במשמעות יוצאת דופן זו לדיבור "פגם". בבדיקה הראשונה פועל השופט כבלשן, תוך שהוא בוחן אופציות לינגוויסטיות; בבדיקה השנייה פועל השופט כפרשן, תוך שהוא מבקש לבחון את מטרת החקיקה, ותוך שהוא מבקש לבחור באותה אופציה לינגוויסטית, אשר יהא בה כדי להגשים את מטרת החקיקה. שתי הבדיקות האמורות חיוניות הן. אין השופט רשאי - בהעדר תחושה כי לפניו אבסורד פרשני - ותחושה זו אינה מצויה בענייננו - להגשים מטרה שאין לה אחיזה, ולו הקלושה ביותר, בלשון החוק. מלאכת הפירוש אינה מוגבלת אך למלים, אך המלים מגבילות את הפירוש </w:t>
      </w:r>
      <w:r w:rsidRPr="00D3245E">
        <w:rPr>
          <w:rFonts w:cs="FrankRuehl"/>
          <w:sz w:val="22"/>
          <w:szCs w:val="22"/>
          <w:rtl/>
        </w:rPr>
        <w:t>(ראה: .</w:t>
      </w:r>
      <w:r w:rsidRPr="00D3245E">
        <w:rPr>
          <w:rFonts w:cs="FrankRuehl"/>
          <w:sz w:val="22"/>
          <w:szCs w:val="22"/>
        </w:rPr>
        <w:t>L</w:t>
      </w:r>
      <w:r w:rsidRPr="00D3245E">
        <w:rPr>
          <w:rFonts w:cs="FrankRuehl"/>
          <w:sz w:val="22"/>
          <w:szCs w:val="22"/>
          <w:rtl/>
        </w:rPr>
        <w:t xml:space="preserve"> .</w:t>
      </w:r>
      <w:r w:rsidRPr="00D3245E">
        <w:rPr>
          <w:rFonts w:cs="FrankRuehl"/>
          <w:sz w:val="22"/>
          <w:szCs w:val="22"/>
        </w:rPr>
        <w:t xml:space="preserve"> Colum 47"some reflections on the reading of statues", f. Frankfurter</w:t>
      </w:r>
      <w:r w:rsidRPr="00D3245E">
        <w:rPr>
          <w:rFonts w:cs="FrankRuehl"/>
          <w:sz w:val="22"/>
          <w:szCs w:val="22"/>
          <w:rtl/>
        </w:rPr>
        <w:t xml:space="preserve"> </w:t>
      </w:r>
      <w:r w:rsidRPr="00D3245E">
        <w:rPr>
          <w:rFonts w:cs="FrankRuehl"/>
          <w:sz w:val="22"/>
          <w:szCs w:val="22"/>
        </w:rPr>
        <w:t>. 544, 527</w:t>
      </w:r>
      <w:r w:rsidRPr="00D3245E">
        <w:rPr>
          <w:rFonts w:cs="FrankRuehl"/>
          <w:sz w:val="22"/>
          <w:szCs w:val="22"/>
          <w:rtl/>
        </w:rPr>
        <w:t>(</w:t>
      </w:r>
      <w:r w:rsidRPr="00D3245E">
        <w:rPr>
          <w:rFonts w:cs="FrankRuehl"/>
          <w:sz w:val="22"/>
          <w:szCs w:val="22"/>
        </w:rPr>
        <w:t>1947</w:t>
      </w:r>
      <w:r w:rsidRPr="00D3245E">
        <w:rPr>
          <w:rFonts w:cs="FrankRuehl"/>
          <w:sz w:val="22"/>
          <w:szCs w:val="22"/>
          <w:rtl/>
        </w:rPr>
        <w:t>)</w:t>
      </w:r>
      <w:r w:rsidRPr="00D3245E">
        <w:rPr>
          <w:rFonts w:cs="FrankRuehl"/>
          <w:sz w:val="22"/>
          <w:szCs w:val="22"/>
        </w:rPr>
        <w:t xml:space="preserve"> . . Rev</w:t>
      </w:r>
      <w:r w:rsidRPr="00D3245E">
        <w:rPr>
          <w:rFonts w:cs="FrankRuehl"/>
          <w:sz w:val="22"/>
          <w:szCs w:val="22"/>
          <w:rtl/>
        </w:rPr>
        <w:t>יי</w:t>
      </w:r>
      <w:r w:rsidRPr="00D3245E">
        <w:rPr>
          <w:rFonts w:cs="FrankRuehl"/>
          <w:sz w:val="22"/>
          <w:szCs w:val="22"/>
          <w:highlight w:val="yellow"/>
          <w:rtl/>
        </w:rPr>
        <w:t>תכן, שיינתן ללשון החוק פירוש מרחיב או פירוש</w:t>
      </w:r>
      <w:r w:rsidRPr="00D3245E">
        <w:rPr>
          <w:rFonts w:cs="FrankRuehl"/>
          <w:sz w:val="22"/>
          <w:szCs w:val="22"/>
          <w:highlight w:val="yellow"/>
        </w:rPr>
        <w:t xml:space="preserve"> </w:t>
      </w:r>
      <w:r w:rsidRPr="00D3245E">
        <w:rPr>
          <w:rFonts w:cs="FrankRuehl"/>
          <w:sz w:val="22"/>
          <w:szCs w:val="22"/>
          <w:highlight w:val="yellow"/>
          <w:rtl/>
        </w:rPr>
        <w:t xml:space="preserve">מצמצם, רגיל או פירוש חריג, אך בדרך כלל יש למצוא נקודת אחיזה ארכימדית למטרה בלשון החוק. אך באותה מידה אין השופט רשאי להסתפק בבדיקה הלשונית, שכן החוק אינו אך טקסט בלשני גרידא. החוק הוא יצירה נורמאטיבית, הבאה להגשים תכלית חברתית. והוא ביטוי למדיניות. על הפרשן לחשוף, מבין קשת האפשרויות הלשוניות, אותה משמעות אשר תגשים את מטרת החוק </w:t>
      </w:r>
      <w:r w:rsidRPr="00D3245E">
        <w:rPr>
          <w:rFonts w:cs="FrankRuehl"/>
          <w:sz w:val="22"/>
          <w:szCs w:val="22"/>
          <w:rtl/>
        </w:rPr>
        <w:t xml:space="preserve">(ע"א </w:t>
      </w:r>
      <w:r w:rsidRPr="00D3245E">
        <w:rPr>
          <w:rFonts w:cs="FrankRuehl"/>
          <w:sz w:val="22"/>
          <w:szCs w:val="22"/>
        </w:rPr>
        <w:t>481/73</w:t>
      </w:r>
      <w:r w:rsidRPr="00D3245E">
        <w:rPr>
          <w:rFonts w:cs="FrankRuehl"/>
          <w:sz w:val="22"/>
          <w:szCs w:val="22"/>
          <w:rtl/>
        </w:rPr>
        <w:t xml:space="preserve">[9], </w:t>
      </w:r>
      <w:r w:rsidRPr="00D3245E">
        <w:rPr>
          <w:rFonts w:cs="FrankRuehl"/>
          <w:sz w:val="22"/>
          <w:szCs w:val="22"/>
        </w:rPr>
        <w:t>511</w:t>
      </w:r>
      <w:r w:rsidRPr="00D3245E">
        <w:rPr>
          <w:rFonts w:cs="FrankRuehl"/>
          <w:sz w:val="22"/>
          <w:szCs w:val="22"/>
          <w:rtl/>
        </w:rPr>
        <w:t>).</w:t>
      </w:r>
      <w:r w:rsidRPr="00D3245E">
        <w:rPr>
          <w:rFonts w:cs="FrankRuehl" w:hint="cs"/>
          <w:sz w:val="22"/>
          <w:szCs w:val="22"/>
          <w:rtl/>
        </w:rPr>
        <w:t xml:space="preserve"> [...]</w:t>
      </w:r>
    </w:p>
    <w:p w:rsidR="005366A8" w:rsidRPr="00A111C2" w:rsidRDefault="005366A8" w:rsidP="005366A8">
      <w:pPr>
        <w:pStyle w:val="T-body"/>
        <w:spacing w:line="240" w:lineRule="auto"/>
        <w:rPr>
          <w:sz w:val="22"/>
          <w:szCs w:val="22"/>
          <w:rtl/>
        </w:rPr>
      </w:pPr>
    </w:p>
    <w:p w:rsidR="005366A8" w:rsidRDefault="005366A8" w:rsidP="005366A8">
      <w:pPr>
        <w:pStyle w:val="T-body"/>
        <w:spacing w:line="240" w:lineRule="auto"/>
        <w:rPr>
          <w:b/>
          <w:bCs/>
          <w:i/>
          <w:iCs/>
          <w:sz w:val="22"/>
          <w:szCs w:val="22"/>
          <w:rtl/>
        </w:rPr>
      </w:pPr>
      <w:r>
        <w:rPr>
          <w:rFonts w:hint="cs"/>
          <w:b/>
          <w:bCs/>
          <w:i/>
          <w:iCs/>
          <w:sz w:val="22"/>
          <w:szCs w:val="22"/>
          <w:rtl/>
        </w:rPr>
        <w:t>=-=</w:t>
      </w:r>
    </w:p>
    <w:p w:rsidR="005366A8" w:rsidRPr="00D82947" w:rsidRDefault="005366A8" w:rsidP="005366A8">
      <w:pPr>
        <w:pStyle w:val="T-body"/>
        <w:spacing w:after="60" w:line="240" w:lineRule="auto"/>
        <w:rPr>
          <w:rFonts w:ascii="Arial" w:hAnsi="Arial" w:cs="Arial"/>
          <w:b/>
          <w:bCs/>
          <w:sz w:val="20"/>
          <w:szCs w:val="20"/>
          <w:highlight w:val="yellow"/>
          <w:rtl/>
        </w:rPr>
      </w:pPr>
      <w:r>
        <w:rPr>
          <w:rFonts w:hint="cs"/>
          <w:b/>
          <w:bCs/>
          <w:i/>
          <w:iCs/>
          <w:sz w:val="22"/>
          <w:szCs w:val="22"/>
          <w:rtl/>
        </w:rPr>
        <w:t>שתי שאלות חשובות</w:t>
      </w:r>
      <w:r w:rsidRPr="00D82947">
        <w:rPr>
          <w:rFonts w:hint="cs"/>
          <w:b/>
          <w:bCs/>
          <w:i/>
          <w:iCs/>
          <w:sz w:val="20"/>
          <w:szCs w:val="20"/>
          <w:rtl/>
        </w:rPr>
        <w:t xml:space="preserve">: </w:t>
      </w:r>
      <w:r w:rsidRPr="00D82947">
        <w:rPr>
          <w:rFonts w:ascii="Arial" w:hAnsi="Arial" w:cs="Arial" w:hint="cs"/>
          <w:b/>
          <w:bCs/>
          <w:sz w:val="20"/>
          <w:szCs w:val="20"/>
          <w:highlight w:val="yellow"/>
          <w:rtl/>
        </w:rPr>
        <w:t xml:space="preserve">פרשנות וגבולותיה; </w:t>
      </w:r>
    </w:p>
    <w:p w:rsidR="005366A8" w:rsidRPr="00D82947" w:rsidRDefault="005366A8" w:rsidP="005366A8">
      <w:pPr>
        <w:rPr>
          <w:rFonts w:ascii="Arial" w:hAnsi="Arial" w:cs="Arial"/>
          <w:b/>
          <w:bCs/>
          <w:sz w:val="20"/>
          <w:szCs w:val="20"/>
          <w:rtl/>
        </w:rPr>
      </w:pPr>
      <w:r w:rsidRPr="00D82947">
        <w:rPr>
          <w:rFonts w:ascii="Arial" w:hAnsi="Arial" w:cs="Arial" w:hint="cs"/>
          <w:b/>
          <w:bCs/>
          <w:sz w:val="20"/>
          <w:szCs w:val="20"/>
          <w:highlight w:val="yellow"/>
          <w:rtl/>
        </w:rPr>
        <w:t xml:space="preserve">וההבחנה בין פעולת "פרשנות" לעומת "חקיקה שיפוטית" </w:t>
      </w:r>
      <w:r>
        <w:rPr>
          <w:rFonts w:ascii="Arial" w:hAnsi="Arial" w:cs="Arial" w:hint="cs"/>
          <w:b/>
          <w:bCs/>
          <w:sz w:val="20"/>
          <w:szCs w:val="20"/>
          <w:highlight w:val="yellow"/>
          <w:rtl/>
        </w:rPr>
        <w:t>[</w:t>
      </w:r>
      <w:r w:rsidRPr="00D82947">
        <w:rPr>
          <w:rFonts w:ascii="Arial" w:hAnsi="Arial" w:cs="Arial" w:hint="cs"/>
          <w:b/>
          <w:bCs/>
          <w:sz w:val="20"/>
          <w:szCs w:val="20"/>
          <w:highlight w:val="yellow"/>
          <w:rtl/>
        </w:rPr>
        <w:t>בדרך של השלמת חסר (לאקונה) או בדרך של "פיתוח המשפט"</w:t>
      </w:r>
      <w:r>
        <w:rPr>
          <w:rFonts w:ascii="Arial" w:hAnsi="Arial" w:cs="Arial" w:hint="cs"/>
          <w:b/>
          <w:bCs/>
          <w:sz w:val="20"/>
          <w:szCs w:val="20"/>
          <w:rtl/>
        </w:rPr>
        <w:t>]</w:t>
      </w:r>
    </w:p>
    <w:p w:rsidR="005366A8" w:rsidRPr="00816207" w:rsidRDefault="005366A8" w:rsidP="005366A8">
      <w:pPr>
        <w:ind w:left="360"/>
        <w:jc w:val="center"/>
        <w:rPr>
          <w:rFonts w:ascii="Arial" w:hAnsi="Arial" w:cs="Arial"/>
          <w:sz w:val="22"/>
          <w:szCs w:val="22"/>
          <w:rtl/>
        </w:rPr>
      </w:pPr>
    </w:p>
    <w:p w:rsidR="005366A8" w:rsidRPr="00816207" w:rsidRDefault="005366A8" w:rsidP="005366A8">
      <w:pPr>
        <w:pStyle w:val="Heading1"/>
        <w:rPr>
          <w:rFonts w:cs="Arial"/>
          <w:i/>
          <w:iCs/>
          <w:szCs w:val="22"/>
          <w:rtl/>
        </w:rPr>
      </w:pPr>
      <w:r w:rsidRPr="00816207">
        <w:rPr>
          <w:rFonts w:cs="Arial" w:hint="cs"/>
          <w:b w:val="0"/>
          <w:bCs w:val="0"/>
          <w:szCs w:val="22"/>
          <w:rtl/>
        </w:rPr>
        <w:t>"השלמת חסר":</w:t>
      </w:r>
      <w:r w:rsidRPr="00816207">
        <w:rPr>
          <w:rFonts w:cs="Arial" w:hint="cs"/>
          <w:szCs w:val="22"/>
          <w:rtl/>
        </w:rPr>
        <w:t xml:space="preserve"> </w:t>
      </w:r>
      <w:r w:rsidRPr="00816207">
        <w:rPr>
          <w:rFonts w:cs="Arial"/>
          <w:szCs w:val="22"/>
          <w:rtl/>
        </w:rPr>
        <w:t>חוק יסודות המשפט, התש"ם</w:t>
      </w:r>
      <w:r w:rsidRPr="00816207">
        <w:rPr>
          <w:rFonts w:cs="Arial" w:hint="cs"/>
          <w:szCs w:val="22"/>
          <w:rtl/>
        </w:rPr>
        <w:t>-</w:t>
      </w:r>
      <w:r w:rsidRPr="00816207">
        <w:rPr>
          <w:rFonts w:cs="Arial"/>
          <w:szCs w:val="22"/>
          <w:rtl/>
        </w:rPr>
        <w:t>1980</w:t>
      </w:r>
    </w:p>
    <w:p w:rsidR="005366A8" w:rsidRPr="00816207" w:rsidRDefault="005366A8" w:rsidP="005366A8">
      <w:pPr>
        <w:rPr>
          <w:sz w:val="22"/>
          <w:szCs w:val="22"/>
          <w:rtl/>
        </w:rPr>
      </w:pPr>
      <w:r w:rsidRPr="00816207">
        <w:rPr>
          <w:sz w:val="22"/>
          <w:szCs w:val="22"/>
          <w:rtl/>
        </w:rPr>
        <w:t xml:space="preserve"> [מקורות משפט משלימים]</w:t>
      </w:r>
    </w:p>
    <w:p w:rsidR="005366A8" w:rsidRPr="00816207" w:rsidRDefault="005366A8" w:rsidP="005366A8">
      <w:pPr>
        <w:ind w:left="360"/>
        <w:rPr>
          <w:rFonts w:ascii="Arial" w:hAnsi="Arial" w:cs="Arial"/>
          <w:sz w:val="22"/>
          <w:szCs w:val="22"/>
          <w:rtl/>
        </w:rPr>
      </w:pPr>
      <w:r w:rsidRPr="00816207">
        <w:rPr>
          <w:rFonts w:cs="David"/>
          <w:b/>
          <w:bCs/>
          <w:sz w:val="22"/>
          <w:szCs w:val="22"/>
          <w:rtl/>
        </w:rPr>
        <w:t>1. ראה בית המשפט שאלה משפטית הטעונה הכרעה, ולא מצא לה תשובה בדבר חקיקה, בהלכה פסוקה או בדרך של היקש, יכריע בה לאור עקרונות החירות, הצדק, היושר והשלום של מורשת ישראל.</w:t>
      </w:r>
      <w:r w:rsidRPr="00816207">
        <w:rPr>
          <w:rFonts w:ascii="Arial" w:hAnsi="Arial" w:cs="Arial" w:hint="cs"/>
          <w:sz w:val="22"/>
          <w:szCs w:val="22"/>
          <w:rtl/>
        </w:rPr>
        <w:t xml:space="preserve"> </w:t>
      </w:r>
    </w:p>
    <w:p w:rsidR="005366A8" w:rsidRDefault="005366A8" w:rsidP="005366A8">
      <w:pPr>
        <w:rPr>
          <w:rFonts w:ascii="Arial" w:hAnsi="Arial" w:cs="Arial"/>
          <w:rtl/>
        </w:rPr>
      </w:pPr>
      <w:r>
        <w:rPr>
          <w:rFonts w:ascii="Arial" w:hAnsi="Arial" w:cs="Arial" w:hint="cs"/>
          <w:sz w:val="22"/>
          <w:szCs w:val="22"/>
          <w:rtl/>
        </w:rPr>
        <w:t>=-=</w:t>
      </w:r>
    </w:p>
    <w:p w:rsidR="005366A8" w:rsidRDefault="005366A8" w:rsidP="005366A8">
      <w:pPr>
        <w:ind w:left="360"/>
        <w:jc w:val="center"/>
        <w:rPr>
          <w:rtl/>
        </w:rPr>
      </w:pPr>
      <w:r w:rsidRPr="004E3114">
        <w:rPr>
          <w:rFonts w:ascii="Arial" w:hAnsi="Arial" w:cs="Arial"/>
          <w:rtl/>
        </w:rPr>
        <w:t xml:space="preserve"> </w:t>
      </w:r>
      <w:r w:rsidRPr="00201EA0">
        <w:rPr>
          <w:rFonts w:ascii="Arial" w:hAnsi="Arial" w:cs="FrankRuehl"/>
          <w:sz w:val="28"/>
          <w:szCs w:val="28"/>
          <w:highlight w:val="yellow"/>
          <w:rtl/>
        </w:rPr>
        <w:t xml:space="preserve">ע"א 3622/96 </w:t>
      </w:r>
      <w:r w:rsidRPr="00A111C2">
        <w:rPr>
          <w:rFonts w:ascii="Arial" w:hAnsi="Arial" w:cs="FrankRuehl"/>
          <w:b/>
          <w:bCs/>
          <w:sz w:val="28"/>
          <w:szCs w:val="28"/>
          <w:highlight w:val="yellow"/>
          <w:u w:val="single"/>
          <w:rtl/>
        </w:rPr>
        <w:t>חכם נ' קופת חולים "מכבי"</w:t>
      </w:r>
      <w:r w:rsidRPr="00A111C2">
        <w:rPr>
          <w:rFonts w:ascii="Arial" w:hAnsi="Arial" w:cs="FrankRuehl"/>
          <w:sz w:val="28"/>
          <w:szCs w:val="28"/>
          <w:highlight w:val="yellow"/>
          <w:u w:val="single"/>
          <w:rtl/>
        </w:rPr>
        <w:t>,</w:t>
      </w:r>
      <w:r>
        <w:rPr>
          <w:rFonts w:ascii="Arial" w:hAnsi="Arial" w:cs="FrankRuehl"/>
          <w:sz w:val="28"/>
          <w:szCs w:val="28"/>
          <w:highlight w:val="yellow"/>
          <w:rtl/>
        </w:rPr>
        <w:t xml:space="preserve"> פ"ד נב(2) 638</w:t>
      </w:r>
      <w:r>
        <w:rPr>
          <w:rFonts w:hint="cs"/>
          <w:rtl/>
        </w:rPr>
        <w:t>,</w:t>
      </w:r>
      <w:r w:rsidRPr="002F416A">
        <w:rPr>
          <w:rtl/>
        </w:rPr>
        <w:t xml:space="preserve"> </w:t>
      </w:r>
      <w:r>
        <w:rPr>
          <w:rtl/>
        </w:rPr>
        <w:t>הנשיא א' ברק</w:t>
      </w:r>
      <w:r>
        <w:rPr>
          <w:rFonts w:hint="cs"/>
          <w:rtl/>
        </w:rPr>
        <w:t xml:space="preserve"> [בהשמטת אסמכתאות]</w:t>
      </w:r>
    </w:p>
    <w:p w:rsidR="005366A8" w:rsidRPr="00816207" w:rsidRDefault="005366A8" w:rsidP="005366A8">
      <w:pPr>
        <w:rPr>
          <w:sz w:val="20"/>
          <w:szCs w:val="20"/>
          <w:rtl/>
        </w:rPr>
      </w:pPr>
      <w:r w:rsidRPr="00816207">
        <w:rPr>
          <w:sz w:val="20"/>
          <w:szCs w:val="20"/>
          <w:rtl/>
        </w:rPr>
        <w:t xml:space="preserve">פרשנות </w:t>
      </w:r>
    </w:p>
    <w:p w:rsidR="005366A8" w:rsidRDefault="005366A8" w:rsidP="005366A8">
      <w:pPr>
        <w:rPr>
          <w:sz w:val="20"/>
          <w:szCs w:val="20"/>
          <w:rtl/>
        </w:rPr>
      </w:pPr>
      <w:r w:rsidRPr="00816207">
        <w:rPr>
          <w:sz w:val="20"/>
          <w:szCs w:val="20"/>
          <w:rtl/>
        </w:rPr>
        <w:t xml:space="preserve">1. המערער מס' 1 סובל </w:t>
      </w:r>
      <w:r w:rsidRPr="00816207">
        <w:rPr>
          <w:sz w:val="20"/>
          <w:szCs w:val="20"/>
          <w:highlight w:val="yellow"/>
          <w:rtl/>
        </w:rPr>
        <w:t>מפיגור שכלי מלידה</w:t>
      </w:r>
      <w:r w:rsidRPr="00816207">
        <w:rPr>
          <w:sz w:val="20"/>
          <w:szCs w:val="20"/>
          <w:rtl/>
        </w:rPr>
        <w:t>, הנובע ממחלה אורגנית או מפגם אורגני. הוא אינו מסוגל לתקשר ולתפקד. בתובענה שהגיש נטען מטעמו כי מצב דברים זה נגרם בשל רשלנות המשיבים</w:t>
      </w:r>
      <w:r>
        <w:rPr>
          <w:rFonts w:hint="cs"/>
          <w:sz w:val="20"/>
          <w:szCs w:val="20"/>
          <w:rtl/>
        </w:rPr>
        <w:t xml:space="preserve"> [קופת החולים]</w:t>
      </w:r>
      <w:r w:rsidRPr="00816207">
        <w:rPr>
          <w:sz w:val="20"/>
          <w:szCs w:val="20"/>
          <w:rtl/>
        </w:rPr>
        <w:t>. אלה מתגוננים בטענת התיישנות. אין מחלוקת כי תקופת ההתיישנות הרגילה (של שבע שנים מאז מלאו לו שמונה-עשרה שנה: סעיפים 5</w:t>
      </w:r>
      <w:r>
        <w:rPr>
          <w:rFonts w:hint="cs"/>
          <w:sz w:val="20"/>
          <w:szCs w:val="20"/>
          <w:rtl/>
        </w:rPr>
        <w:t xml:space="preserve"> </w:t>
      </w:r>
      <w:r w:rsidRPr="00816207">
        <w:rPr>
          <w:sz w:val="20"/>
          <w:szCs w:val="20"/>
          <w:rtl/>
        </w:rPr>
        <w:t xml:space="preserve">ו-10 לחוק ההתיישנות, התשי"ח-1958) חלפה. </w:t>
      </w:r>
    </w:p>
    <w:p w:rsidR="005366A8" w:rsidRPr="00816207" w:rsidRDefault="005366A8" w:rsidP="005366A8">
      <w:pPr>
        <w:rPr>
          <w:sz w:val="20"/>
          <w:szCs w:val="20"/>
          <w:rtl/>
        </w:rPr>
      </w:pPr>
      <w:r w:rsidRPr="00F32718">
        <w:rPr>
          <w:sz w:val="20"/>
          <w:szCs w:val="20"/>
          <w:highlight w:val="yellow"/>
          <w:rtl/>
        </w:rPr>
        <w:t>האם עומדת לזכותו טענה טובה להפסקת מירוץ ההתיישנות - זו השאלה הניצבת בפנינו?</w:t>
      </w:r>
      <w:r w:rsidRPr="00816207">
        <w:rPr>
          <w:sz w:val="20"/>
          <w:szCs w:val="20"/>
          <w:rtl/>
        </w:rPr>
        <w:t xml:space="preserve"> </w:t>
      </w:r>
    </w:p>
    <w:p w:rsidR="005366A8" w:rsidRPr="00816207" w:rsidRDefault="005366A8" w:rsidP="005366A8">
      <w:pPr>
        <w:rPr>
          <w:sz w:val="20"/>
          <w:szCs w:val="20"/>
          <w:rtl/>
        </w:rPr>
      </w:pPr>
    </w:p>
    <w:p w:rsidR="005366A8" w:rsidRPr="00816207" w:rsidRDefault="005366A8" w:rsidP="005366A8">
      <w:pPr>
        <w:rPr>
          <w:sz w:val="20"/>
          <w:szCs w:val="20"/>
          <w:rtl/>
        </w:rPr>
      </w:pPr>
      <w:r w:rsidRPr="00816207">
        <w:rPr>
          <w:sz w:val="20"/>
          <w:szCs w:val="20"/>
          <w:rtl/>
        </w:rPr>
        <w:t xml:space="preserve">2. </w:t>
      </w:r>
      <w:r w:rsidRPr="00816207">
        <w:rPr>
          <w:sz w:val="20"/>
          <w:szCs w:val="20"/>
          <w:highlight w:val="yellow"/>
          <w:rtl/>
        </w:rPr>
        <w:t>ההוראה העיקרית לעניין זה מצויה בסעיף 11 לחוק ההתיישנות, הקובעת:</w:t>
      </w:r>
      <w:r w:rsidRPr="00816207">
        <w:rPr>
          <w:sz w:val="20"/>
          <w:szCs w:val="20"/>
          <w:rtl/>
        </w:rPr>
        <w:t xml:space="preserve"> </w:t>
      </w:r>
    </w:p>
    <w:p w:rsidR="005366A8" w:rsidRPr="00816207" w:rsidRDefault="005366A8" w:rsidP="005366A8">
      <w:pPr>
        <w:ind w:left="720"/>
        <w:rPr>
          <w:rFonts w:cs="David"/>
          <w:sz w:val="20"/>
          <w:szCs w:val="20"/>
          <w:rtl/>
        </w:rPr>
      </w:pPr>
      <w:r w:rsidRPr="00816207">
        <w:rPr>
          <w:rFonts w:cs="David"/>
          <w:sz w:val="20"/>
          <w:szCs w:val="20"/>
          <w:rtl/>
        </w:rPr>
        <w:t xml:space="preserve">"בחישוב תקופת ההתיישנות לא יבוא במנין הזמן שבו היה </w:t>
      </w:r>
      <w:r w:rsidRPr="00816207">
        <w:rPr>
          <w:rFonts w:cs="David"/>
          <w:sz w:val="20"/>
          <w:szCs w:val="20"/>
          <w:highlight w:val="yellow"/>
          <w:rtl/>
        </w:rPr>
        <w:t>התובע חולה-נפש</w:t>
      </w:r>
      <w:r w:rsidRPr="00816207">
        <w:rPr>
          <w:rFonts w:cs="David"/>
          <w:sz w:val="20"/>
          <w:szCs w:val="20"/>
          <w:rtl/>
        </w:rPr>
        <w:t xml:space="preserve"> ולא היה עליו אפוטרופוס; היה עליו אפוטרופוס, לא יבוא במנין הזמן שבו טרם נודעו לאפוטרופוס העובדות המהוות את עילת התובענה". </w:t>
      </w:r>
    </w:p>
    <w:p w:rsidR="005366A8" w:rsidRPr="00816207" w:rsidRDefault="005366A8" w:rsidP="005366A8">
      <w:pPr>
        <w:ind w:left="720"/>
        <w:rPr>
          <w:rFonts w:cs="David"/>
          <w:sz w:val="20"/>
          <w:szCs w:val="20"/>
          <w:rtl/>
        </w:rPr>
      </w:pPr>
    </w:p>
    <w:p w:rsidR="005366A8" w:rsidRPr="00816207" w:rsidRDefault="005366A8" w:rsidP="005366A8">
      <w:pPr>
        <w:rPr>
          <w:sz w:val="20"/>
          <w:szCs w:val="20"/>
          <w:rtl/>
        </w:rPr>
      </w:pPr>
      <w:r w:rsidRPr="00816207">
        <w:rPr>
          <w:sz w:val="20"/>
          <w:szCs w:val="20"/>
          <w:highlight w:val="green"/>
          <w:rtl/>
        </w:rPr>
        <w:t xml:space="preserve">האם חלה הוראה זו בענייננו? </w:t>
      </w:r>
      <w:r w:rsidRPr="00816207">
        <w:rPr>
          <w:sz w:val="20"/>
          <w:szCs w:val="20"/>
          <w:highlight w:val="yellow"/>
          <w:rtl/>
        </w:rPr>
        <w:t>התשובה לשאלה זו היא פרשנית.</w:t>
      </w:r>
      <w:r w:rsidRPr="00816207">
        <w:rPr>
          <w:sz w:val="20"/>
          <w:szCs w:val="20"/>
          <w:rtl/>
        </w:rPr>
        <w:t xml:space="preserve"> עלינו לפרש את הדיבור "חולה נפש" בהקשרו של חוק ההתיישנות. עלינו לקבוע אם הדיבור "חולה נפש" משתרע על המקרה שלפנינו. זוהי פעילות פרשנית "במובן הצר". היא בוחנת את המובן שיש ליתן ללשון החוק. היא שולפת, מתוך מיגוון המשמעויות הלשוניות של הטקסט, את משמעותו המשפטית. שליפת המשמעות המשפטית של הטקסט נעשית על פי אמת המידה של התכלית המונחת ביסוד הטקסט. במעשה השליפה מוגבל הפרשן למיגוון המשמעויות הלשוניות של הטקסט. אין הוא רשאי ליתן לטקסט משמעות שהוא אינו יכול לשאת בלשון בה הוא מבוטא. לכל מובן משפטי צריך שיהא עיגון לשוני. חייב להתקיים קשר מילולי, ולו מינימלי, בין המובן המשפטי למובן הלשוני</w:t>
      </w:r>
      <w:r w:rsidRPr="00816207">
        <w:rPr>
          <w:rFonts w:hint="cs"/>
          <w:sz w:val="20"/>
          <w:szCs w:val="20"/>
          <w:rtl/>
        </w:rPr>
        <w:t xml:space="preserve"> [...] </w:t>
      </w:r>
      <w:r w:rsidRPr="00816207">
        <w:rPr>
          <w:sz w:val="20"/>
          <w:szCs w:val="20"/>
          <w:rtl/>
        </w:rPr>
        <w:t>אמת, המרכיב הלשוני אינו תנאי מספיק לפרשנות, אך הוא תנאי הכרחי לה.</w:t>
      </w:r>
      <w:r w:rsidRPr="00816207">
        <w:rPr>
          <w:rFonts w:hint="cs"/>
          <w:sz w:val="20"/>
          <w:szCs w:val="20"/>
          <w:rtl/>
        </w:rPr>
        <w:t xml:space="preserve"> [...]</w:t>
      </w:r>
    </w:p>
    <w:p w:rsidR="005366A8" w:rsidRPr="00816207" w:rsidRDefault="005366A8" w:rsidP="005366A8">
      <w:pPr>
        <w:spacing w:after="120"/>
        <w:ind w:left="720"/>
        <w:rPr>
          <w:sz w:val="20"/>
          <w:szCs w:val="20"/>
          <w:rtl/>
        </w:rPr>
      </w:pPr>
      <w:r w:rsidRPr="00816207">
        <w:rPr>
          <w:sz w:val="20"/>
          <w:szCs w:val="20"/>
          <w:highlight w:val="yellow"/>
          <w:rtl/>
        </w:rPr>
        <w:t>"מלאכת הפירוש אינה מוגבלת אך למילים, אך המילים מגבילות את הפירוש. יתכן שינתן ללשון החוק פירוש מרחיב או פירוש מצמצם, פירוש רגיל או פירוש חריג, אך בדרך כלל יש למצוא נקודת אחיזה ארכימדית למילה בלשון החוק"</w:t>
      </w:r>
      <w:r w:rsidRPr="00816207">
        <w:rPr>
          <w:rFonts w:hint="cs"/>
          <w:sz w:val="20"/>
          <w:szCs w:val="20"/>
          <w:highlight w:val="yellow"/>
          <w:rtl/>
        </w:rPr>
        <w:t>.</w:t>
      </w:r>
    </w:p>
    <w:p w:rsidR="005366A8" w:rsidRPr="00816207" w:rsidRDefault="005366A8" w:rsidP="005366A8">
      <w:pPr>
        <w:rPr>
          <w:sz w:val="20"/>
          <w:szCs w:val="20"/>
          <w:rtl/>
        </w:rPr>
      </w:pPr>
      <w:r w:rsidRPr="00816207">
        <w:rPr>
          <w:sz w:val="20"/>
          <w:szCs w:val="20"/>
          <w:rtl/>
        </w:rPr>
        <w:t xml:space="preserve">האם המקרה שלפנינו נופל לגדר מיתחם האפשרויות הלשוניות, אשר הדיבור "חולה נפש" יוצר? חברי, השופט אנגלרד, משיב על כך בשלילה. דעתי כדעתו. </w:t>
      </w:r>
      <w:r w:rsidRPr="00816207">
        <w:rPr>
          <w:sz w:val="20"/>
          <w:szCs w:val="20"/>
          <w:highlight w:val="yellow"/>
          <w:rtl/>
        </w:rPr>
        <w:t>הדיבור "חולה נפש" מניח מיתחם של אפשרויות, אשר משותפת להן מחלת הנפש. מי שלוקה בשכלו בשל פגיעה מוטורית אינו נופל לגדר "חולה נפש". לא הרי מי שלוקה בשכלו כהרי מי שלוקה בנפשו.</w:t>
      </w:r>
      <w:r w:rsidRPr="00816207">
        <w:rPr>
          <w:sz w:val="20"/>
          <w:szCs w:val="20"/>
          <w:rtl/>
        </w:rPr>
        <w:t xml:space="preserve"> </w:t>
      </w:r>
    </w:p>
    <w:p w:rsidR="005366A8" w:rsidRPr="00816207" w:rsidRDefault="005366A8" w:rsidP="005366A8">
      <w:pPr>
        <w:rPr>
          <w:sz w:val="20"/>
          <w:szCs w:val="20"/>
          <w:rtl/>
        </w:rPr>
      </w:pPr>
    </w:p>
    <w:p w:rsidR="005366A8" w:rsidRDefault="005366A8" w:rsidP="005366A8">
      <w:pPr>
        <w:rPr>
          <w:sz w:val="20"/>
          <w:szCs w:val="20"/>
          <w:rtl/>
        </w:rPr>
      </w:pPr>
      <w:r w:rsidRPr="00816207">
        <w:rPr>
          <w:sz w:val="20"/>
          <w:szCs w:val="20"/>
          <w:rtl/>
        </w:rPr>
        <w:t xml:space="preserve">3. </w:t>
      </w:r>
      <w:r w:rsidRPr="00816207">
        <w:rPr>
          <w:sz w:val="20"/>
          <w:szCs w:val="20"/>
          <w:highlight w:val="yellow"/>
          <w:rtl/>
        </w:rPr>
        <w:t>חוק ההתיישנות קובע, איפוא, השעיית מירוץ ההתיישנות במקרה של מחלת נפש. אין בו כל הוראה באשר להשעיית מירוץ ההתיישנות במקרה של ליקוי שכלי</w:t>
      </w:r>
      <w:r w:rsidRPr="00816207">
        <w:rPr>
          <w:sz w:val="20"/>
          <w:szCs w:val="20"/>
          <w:rtl/>
        </w:rPr>
        <w:t xml:space="preserve">. </w:t>
      </w:r>
      <w:r w:rsidRPr="00816207">
        <w:rPr>
          <w:sz w:val="20"/>
          <w:szCs w:val="20"/>
          <w:highlight w:val="green"/>
          <w:rtl/>
        </w:rPr>
        <w:t>מה משמעותה של שתיקה זו?</w:t>
      </w:r>
      <w:r w:rsidRPr="00816207">
        <w:rPr>
          <w:sz w:val="20"/>
          <w:szCs w:val="20"/>
          <w:rtl/>
        </w:rPr>
        <w:t xml:space="preserve"> </w:t>
      </w:r>
      <w:r w:rsidRPr="00816207">
        <w:rPr>
          <w:sz w:val="20"/>
          <w:szCs w:val="20"/>
          <w:highlight w:val="yellow"/>
          <w:rtl/>
        </w:rPr>
        <w:t>התשובה על שאלה זו היא פרשנית.</w:t>
      </w:r>
      <w:r w:rsidRPr="00816207">
        <w:rPr>
          <w:sz w:val="20"/>
          <w:szCs w:val="20"/>
          <w:rtl/>
        </w:rPr>
        <w:t xml:space="preserve"> עניין לנו בפירושו של סעיף 11 לחוק ההתיישנות. עקרונית תתכנה שלוש תשובות (ראה ברק, פרשנות במשפט 465 (חלק ראשון, 1992)). התשובה הראשונה גורסת כי את שהחוק הסדיר במפורש, הוא הסדיר במפורש. את שלא הסדיר במפורש, הוא השאיר לאוטונומיה של רצון הפרט. על פי מובן זה, ההסדר של החוק הוא שלם. בחוק אין חסר. ההסדר של הסוגיה הלא מוסדרת יבוא מהכוחות החברתיים, פרי האוטונומיה של הרצון הפרטי. </w:t>
      </w:r>
    </w:p>
    <w:p w:rsidR="005366A8" w:rsidRPr="00816207" w:rsidRDefault="005366A8" w:rsidP="005366A8">
      <w:pPr>
        <w:ind w:right="-142"/>
        <w:rPr>
          <w:sz w:val="20"/>
          <w:szCs w:val="20"/>
          <w:rtl/>
        </w:rPr>
      </w:pPr>
      <w:r w:rsidRPr="00816207">
        <w:rPr>
          <w:sz w:val="20"/>
          <w:szCs w:val="20"/>
          <w:rtl/>
        </w:rPr>
        <w:t xml:space="preserve">התשובה השניה קובעת, כי את שהסדיר החוק במפורש הוא הסדיר במפורש, ואת שלא הסדיר במפורש הוא הסדיר במשתמע. ההסדר המשתמע יכול שיהא חיובי </w:t>
      </w:r>
      <w:r w:rsidRPr="00816207">
        <w:rPr>
          <w:rFonts w:hint="cs"/>
          <w:sz w:val="20"/>
          <w:szCs w:val="20"/>
          <w:rtl/>
        </w:rPr>
        <w:t>(</w:t>
      </w:r>
      <w:r w:rsidRPr="00816207">
        <w:rPr>
          <w:sz w:val="20"/>
          <w:szCs w:val="20"/>
          <w:rtl/>
        </w:rPr>
        <w:t xml:space="preserve">בבחינת "קל וחומר": </w:t>
      </w:r>
      <w:r w:rsidRPr="00816207">
        <w:rPr>
          <w:sz w:val="20"/>
          <w:szCs w:val="20"/>
        </w:rPr>
        <w:t>(argumentum a fortiori</w:t>
      </w:r>
      <w:r w:rsidRPr="00816207">
        <w:rPr>
          <w:rFonts w:hint="cs"/>
          <w:sz w:val="20"/>
          <w:szCs w:val="20"/>
          <w:rtl/>
        </w:rPr>
        <w:t>.</w:t>
      </w:r>
      <w:r w:rsidRPr="00816207">
        <w:rPr>
          <w:sz w:val="20"/>
          <w:szCs w:val="20"/>
          <w:rtl/>
        </w:rPr>
        <w:t xml:space="preserve"> ההסדר המשתמע יכול שיהא שלילי (בבחינת הסדר שלילי: </w:t>
      </w:r>
      <w:r w:rsidRPr="00816207">
        <w:rPr>
          <w:sz w:val="20"/>
          <w:szCs w:val="20"/>
        </w:rPr>
        <w:t>argumentum a contrario</w:t>
      </w:r>
      <w:r w:rsidRPr="00816207">
        <w:rPr>
          <w:sz w:val="20"/>
          <w:szCs w:val="20"/>
          <w:rtl/>
        </w:rPr>
        <w:t xml:space="preserve"> )</w:t>
      </w:r>
      <w:r w:rsidRPr="00816207">
        <w:rPr>
          <w:rFonts w:hint="cs"/>
          <w:sz w:val="20"/>
          <w:szCs w:val="20"/>
          <w:rtl/>
        </w:rPr>
        <w:t>.</w:t>
      </w:r>
    </w:p>
    <w:p w:rsidR="005366A8" w:rsidRPr="00816207" w:rsidRDefault="005366A8" w:rsidP="005366A8">
      <w:pPr>
        <w:rPr>
          <w:sz w:val="20"/>
          <w:szCs w:val="20"/>
          <w:rtl/>
        </w:rPr>
      </w:pPr>
      <w:r w:rsidRPr="00816207">
        <w:rPr>
          <w:sz w:val="20"/>
          <w:szCs w:val="20"/>
          <w:rtl/>
        </w:rPr>
        <w:t xml:space="preserve">בשני המקרים הללו, הסדר החוק הוא שלם. החוק אינו חסר. התשובה השלישית קובעת, כי את שהסדיר החוק במפורש הוא הסדיר במפורש, אך הוא עשה כן באופן לא שלם. </w:t>
      </w:r>
      <w:r w:rsidRPr="00F32718">
        <w:rPr>
          <w:sz w:val="20"/>
          <w:szCs w:val="20"/>
          <w:highlight w:val="green"/>
          <w:rtl/>
        </w:rPr>
        <w:t>קיים חסר (לאקונה).</w:t>
      </w:r>
      <w:r w:rsidRPr="00816207">
        <w:rPr>
          <w:sz w:val="20"/>
          <w:szCs w:val="20"/>
          <w:rtl/>
        </w:rPr>
        <w:t xml:space="preserve"> הנה כי כן, שתיקת החוק עשויה להשתמע לכמה פנים. בשתיקתו עשוי החוק להעביר מספר מסרים. כאשר החוק "שותק" הוא "דובר" בכמה לשונות; ההכרעה בין האפשרויות השונות היא פרשנית במהותה. מה משמיע לנו, בעניין זה, חוק ההתיישנות? </w:t>
      </w:r>
    </w:p>
    <w:p w:rsidR="005366A8" w:rsidRPr="00816207" w:rsidRDefault="005366A8" w:rsidP="005366A8">
      <w:pPr>
        <w:rPr>
          <w:sz w:val="20"/>
          <w:szCs w:val="20"/>
          <w:rtl/>
        </w:rPr>
      </w:pPr>
    </w:p>
    <w:p w:rsidR="005366A8" w:rsidRPr="00816207" w:rsidRDefault="005366A8" w:rsidP="005366A8">
      <w:pPr>
        <w:rPr>
          <w:sz w:val="20"/>
          <w:szCs w:val="20"/>
          <w:rtl/>
        </w:rPr>
      </w:pPr>
      <w:r w:rsidRPr="00816207">
        <w:rPr>
          <w:sz w:val="20"/>
          <w:szCs w:val="20"/>
          <w:rtl/>
        </w:rPr>
        <w:t xml:space="preserve">4. חוק ההתיישנות אינו מפנה את הצדדים לאוטונומיה של הרצון הפרטי. </w:t>
      </w:r>
    </w:p>
    <w:p w:rsidR="005366A8" w:rsidRPr="00816207" w:rsidRDefault="005366A8" w:rsidP="005366A8">
      <w:pPr>
        <w:rPr>
          <w:sz w:val="20"/>
          <w:szCs w:val="20"/>
          <w:rtl/>
        </w:rPr>
      </w:pPr>
      <w:r w:rsidRPr="00816207">
        <w:rPr>
          <w:sz w:val="20"/>
          <w:szCs w:val="20"/>
          <w:rtl/>
        </w:rPr>
        <w:t>הסוגיות שלפנינו אינן מאותן סוגיות שהפתרון להם יימצא בכוחות החברתיים.</w:t>
      </w:r>
    </w:p>
    <w:p w:rsidR="005366A8" w:rsidRPr="00816207" w:rsidRDefault="005366A8" w:rsidP="005366A8">
      <w:pPr>
        <w:rPr>
          <w:sz w:val="20"/>
          <w:szCs w:val="20"/>
          <w:highlight w:val="yellow"/>
          <w:rtl/>
        </w:rPr>
      </w:pPr>
      <w:r w:rsidRPr="00816207">
        <w:rPr>
          <w:sz w:val="20"/>
          <w:szCs w:val="20"/>
          <w:rtl/>
        </w:rPr>
        <w:t xml:space="preserve">אם במסגרתו של חוק ההתיישנות לא ימצא הסדר לסוגייה שלפנינו, לא תושעה תקופת ההתיישנות. </w:t>
      </w:r>
      <w:r w:rsidRPr="00816207">
        <w:rPr>
          <w:sz w:val="20"/>
          <w:szCs w:val="20"/>
          <w:highlight w:val="green"/>
          <w:rtl/>
        </w:rPr>
        <w:t>גדר הספיקות הוא בין הסדר משתמע לבין חסר.</w:t>
      </w:r>
      <w:r w:rsidRPr="00816207">
        <w:rPr>
          <w:sz w:val="20"/>
          <w:szCs w:val="20"/>
          <w:rtl/>
        </w:rPr>
        <w:t xml:space="preserve"> חברי, השופט אנגלרד, קובע כי שתיקת החוק אינה הסדר שלילי, אלא חסר. מסכים אני עימו. </w:t>
      </w:r>
      <w:r w:rsidRPr="00816207">
        <w:rPr>
          <w:sz w:val="20"/>
          <w:szCs w:val="20"/>
          <w:highlight w:val="yellow"/>
          <w:rtl/>
        </w:rPr>
        <w:t>המסקנה של הסדר שלילי תבוא רק אם פירוש החוק על פי תכליתו מוביל למסקנה כי החוק ביקש לקבוע הסדר, בעל אופי שלילי. בענייננו, קיומו של הסדר שלילי יהא פירוש ראוי אם תכליתו של חוק ההתיישנות הינה למנוע השעיה במקרה של ליקוי שכלי. לעומת זאת, המסקנה של חסר תבוא אם פירוש החוק על פי תכליתו מוביל למסקנה כי החוק ביקש להסדיר את הסוגיה, אך לא השיג את מטרתו זו.</w:t>
      </w:r>
      <w:r w:rsidRPr="00816207">
        <w:rPr>
          <w:sz w:val="20"/>
          <w:szCs w:val="20"/>
          <w:rtl/>
        </w:rPr>
        <w:t xml:space="preserve"> חסר - משמעותו אי-שלמות של ההסדר החקיקתי הנוגד את תכליתו. קיומו של חסר יהא פירוש ראוי אם תכליתו של חוק ההתיישנות הינה להכיר בהשעיית מירוץ ההתיישנות גם במקרה של ליקוי שכלי. שתי ההכרעות - הסדר שלילי או חסר - הן פרי היחס בין הלשון לבין התכלית. הסדר שלילי מבוסס על התפיסה כי הלשון מיצתה את התכלית. השתיקה היא מדעת. חסר מבוסס על התפיסה כי הלשון השאירה חללים בהגשמת התכלית. השתיקה היא בהיסח הדעת. בסוגיה שלפנינו, המסקנה המתבקשת הינה כי לשון חוק ההתיישנות - המאפשרת השעיה של מירוץ ההתיישנות במקרה של מחלת נפש - לא מיצתה את התכלית המונחת ביסוד החוק. תכלית זו הינה להשעות את מירוץ ההתיישנות במקום שקיימים נתונים אובייקטיביים הגורמים לכך שהתובע אינו מסוגל - בין אם סיבת אי המסוגלות הינה נפשית ובין אם סיבת אי המסוגלות הינה שכלית - לדאוג לענייניו ולממש את זכותו. הסדרה (חיובית) של המקרה בדבר אי אפשרות נפשית לא בא להסדיר (שלילית) את המקרה של אי אפשרות שכלית</w:t>
      </w:r>
      <w:r w:rsidRPr="00816207">
        <w:rPr>
          <w:sz w:val="20"/>
          <w:szCs w:val="20"/>
          <w:highlight w:val="yellow"/>
          <w:rtl/>
        </w:rPr>
        <w:t xml:space="preserve">. אין כל הגיון (פנימי) - מנקודת מבט הערכים והאינטרסים שחוק ההתיישנות בא להגשים - להכיר בהשעיית מירוץ ההתיישנות במקרה של מחלת נפש, אך לשלול הכרה זו במקרה של ליקוי שכלי. נהפוך הוא: </w:t>
      </w:r>
    </w:p>
    <w:p w:rsidR="005366A8" w:rsidRPr="00816207" w:rsidRDefault="005366A8" w:rsidP="005366A8">
      <w:pPr>
        <w:rPr>
          <w:sz w:val="20"/>
          <w:szCs w:val="20"/>
          <w:rtl/>
        </w:rPr>
      </w:pPr>
      <w:r w:rsidRPr="00816207">
        <w:rPr>
          <w:sz w:val="20"/>
          <w:szCs w:val="20"/>
          <w:highlight w:val="yellow"/>
          <w:rtl/>
        </w:rPr>
        <w:t>הכרת חוק ההתיישנות בהשעיית מירוץ ההתיישנות במקרה של מחלת נפש היא ביטוי למדיניות המתחשבת בחוסר היכולת של תובע לדאוג לענייניו. מדיניות זו חלה, באותה מידה, גם לעניין ליקוי שכלי. נמצא כי ההסדר של חוק ההתיישנות הוא לקוי. מצטרף אני על כן לעמדתו של חברי, השופט אנגלרד, כי אי הסדרת המקרה של אי אפשרות שכלית הוא חסר בחוק ההתיישנות.</w:t>
      </w:r>
      <w:r w:rsidRPr="00816207">
        <w:rPr>
          <w:sz w:val="20"/>
          <w:szCs w:val="20"/>
          <w:rtl/>
        </w:rPr>
        <w:t xml:space="preserve"> ההסדר של החוק (לעניין מחלת נפש) "זועק להשלמה" (לעניין אי יכולת שכלית). ב"חומת ההשעיה" אשר חוק ההתיישנות קבע חסרה לבנה בדבר הלקוי בשכלו. </w:t>
      </w:r>
    </w:p>
    <w:p w:rsidR="005366A8" w:rsidRPr="00816207" w:rsidRDefault="005366A8" w:rsidP="005366A8">
      <w:pPr>
        <w:rPr>
          <w:sz w:val="20"/>
          <w:szCs w:val="20"/>
          <w:rtl/>
        </w:rPr>
      </w:pPr>
    </w:p>
    <w:p w:rsidR="005366A8" w:rsidRPr="00816207" w:rsidRDefault="005366A8" w:rsidP="005366A8">
      <w:pPr>
        <w:rPr>
          <w:sz w:val="20"/>
          <w:szCs w:val="20"/>
          <w:rtl/>
        </w:rPr>
      </w:pPr>
      <w:r w:rsidRPr="00816207">
        <w:rPr>
          <w:sz w:val="20"/>
          <w:szCs w:val="20"/>
          <w:rtl/>
        </w:rPr>
        <w:t xml:space="preserve">5. </w:t>
      </w:r>
      <w:r w:rsidRPr="00816207">
        <w:rPr>
          <w:sz w:val="20"/>
          <w:szCs w:val="20"/>
          <w:highlight w:val="green"/>
          <w:rtl/>
        </w:rPr>
        <w:t>מה יעשה שופט, המגיע למסקנה כי בנקודה הדורשת הכרעה שיפוטית החוק חסר?</w:t>
      </w:r>
    </w:p>
    <w:p w:rsidR="005366A8" w:rsidRPr="00816207" w:rsidRDefault="005366A8" w:rsidP="005366A8">
      <w:pPr>
        <w:rPr>
          <w:sz w:val="20"/>
          <w:szCs w:val="20"/>
          <w:rtl/>
        </w:rPr>
      </w:pPr>
      <w:r w:rsidRPr="00816207">
        <w:rPr>
          <w:sz w:val="20"/>
          <w:szCs w:val="20"/>
          <w:rtl/>
        </w:rPr>
        <w:t xml:space="preserve">התשובה על שאלה זו משתנה בשיטות המשפט השונות. במשפט הישראלי, התשובה לכך נתונה בחוק יסודות המשפט, התש"ם-1980 </w:t>
      </w:r>
      <w:r>
        <w:rPr>
          <w:rFonts w:hint="cs"/>
          <w:sz w:val="20"/>
          <w:szCs w:val="20"/>
          <w:rtl/>
        </w:rPr>
        <w:t>[לעיל</w:t>
      </w:r>
      <w:r w:rsidRPr="00816207">
        <w:rPr>
          <w:rFonts w:hint="cs"/>
          <w:sz w:val="20"/>
          <w:szCs w:val="20"/>
          <w:rtl/>
        </w:rPr>
        <w:t>]</w:t>
      </w:r>
    </w:p>
    <w:p w:rsidR="005366A8" w:rsidRPr="00816207" w:rsidRDefault="005366A8" w:rsidP="005366A8">
      <w:pPr>
        <w:rPr>
          <w:sz w:val="20"/>
          <w:szCs w:val="20"/>
          <w:rtl/>
        </w:rPr>
      </w:pPr>
      <w:r w:rsidRPr="00816207">
        <w:rPr>
          <w:sz w:val="20"/>
          <w:szCs w:val="20"/>
          <w:rtl/>
        </w:rPr>
        <w:t xml:space="preserve">מכוחה של הוראה זו הוסמך שופט בישראל, להשלים חסר בחקיקה. הוראה זו אף קובעת את המקורות אליהם יפנה השופט לצורכי ההשלמה ואת סדר הפניה למקורות אלה. המקור הראשון הוא ההיקש. זוהי דרך טבעית להשלמת חסר בחקיקה. מרבית שיטות המשפט מפנות אל ההיקש כדרך למילוי חסר (ראה סעיף 7 לקודקס האזרחי האוסטרי; סעיף 12 לקודקס האזרחי האיטלקי). כאשר ההיקש אינו מניב נורמה משלימה, על השופט לפנות למקור השני. מקור זה הם "עקרונות החירות, הצדק, היושר והשלום של מורשת ישראל". אכן, חוק יסודות המשפט, התש"ם-1980, חידש חידוש חשוב במשפט הישראלי. בעבר חוייב שופט למלא חסר בחוק על ידי פניה לעקרונות המשפט המקובל האנגלי ולדוקטרינות האקויטי האנגלי (סימן 46 לדבר המלך במועצתו לארץ-ישראל, 1922-1947). עתה מופנה הפרשן, להשלמת החסר, למקור דו-שלבי. תחילה עליו לפנות להיקש. משלא נמצא היקש מתאים, עליו להשלים החסר לאור עקרונות החירות, הצדק, היושר והשלום של מורשת ישראל. </w:t>
      </w:r>
    </w:p>
    <w:p w:rsidR="005366A8" w:rsidRPr="00816207" w:rsidRDefault="005366A8" w:rsidP="005366A8">
      <w:pPr>
        <w:rPr>
          <w:sz w:val="20"/>
          <w:szCs w:val="20"/>
          <w:rtl/>
        </w:rPr>
      </w:pPr>
    </w:p>
    <w:p w:rsidR="005366A8" w:rsidRPr="00816207" w:rsidRDefault="005366A8" w:rsidP="005366A8">
      <w:pPr>
        <w:rPr>
          <w:sz w:val="20"/>
          <w:szCs w:val="20"/>
          <w:rtl/>
        </w:rPr>
      </w:pPr>
      <w:r w:rsidRPr="00816207">
        <w:rPr>
          <w:sz w:val="20"/>
          <w:szCs w:val="20"/>
          <w:rtl/>
        </w:rPr>
        <w:t xml:space="preserve">6. </w:t>
      </w:r>
      <w:r w:rsidRPr="00816207">
        <w:rPr>
          <w:sz w:val="20"/>
          <w:szCs w:val="20"/>
          <w:highlight w:val="green"/>
          <w:rtl/>
        </w:rPr>
        <w:t>מה נשתנה פירושו של טקסט (כגון חוזה או חוק) מהשלמת חסר בו?</w:t>
      </w:r>
      <w:r w:rsidRPr="00816207">
        <w:rPr>
          <w:sz w:val="20"/>
          <w:szCs w:val="20"/>
          <w:rtl/>
        </w:rPr>
        <w:t xml:space="preserve"> השוני הוא מהותי. בפירוש טקסט השופט נותן מובן ל"יש". בהשלמת חסר השופט מוסיף "יש" ל"אין". בפירוש השופט נותן מובן לטקסט (שנוצר על ידי אחרים). בהשלמת חסר השופט יוצר בעצמו טקסט (על פי אמות מידה שנקבעו בדין). השלמת החסר נעשית, בראש ובראשונה, על ידי היקש. בכך בא לידי ביטוי עיקרון השיוויון, לפיו מצבים דומים צריכים לקבל פתרון דומה. בכך בא לידי ביטוי עיקרון ההרמוניה, לפיו התוספת לטקסט היא הרמונית וקוהרנטית למבנה הפנימי של הטקסט. ודוק: לעתים משמש ההיקש לפרשנות הטקסט. הפרשן מפרש דיבור בחוק אחד "בהיקש" מהפירוש שניתן לאותו ביטוי בחוק אחר. </w:t>
      </w:r>
      <w:r w:rsidRPr="00816207">
        <w:rPr>
          <w:sz w:val="20"/>
          <w:szCs w:val="20"/>
          <w:highlight w:val="yellow"/>
          <w:rtl/>
        </w:rPr>
        <w:t>בהיקש פרשני</w:t>
      </w:r>
      <w:r w:rsidRPr="00816207">
        <w:rPr>
          <w:sz w:val="20"/>
          <w:szCs w:val="20"/>
          <w:rtl/>
        </w:rPr>
        <w:t xml:space="preserve">, משמש ההיקש כאמצעי מסייע להבנת הטקסט. לא זהו ההיקש בו אנו עוסקים בהשלמת חסר. זהו </w:t>
      </w:r>
      <w:r w:rsidRPr="00816207">
        <w:rPr>
          <w:sz w:val="20"/>
          <w:szCs w:val="20"/>
          <w:highlight w:val="yellow"/>
          <w:rtl/>
        </w:rPr>
        <w:t>היקש משלים</w:t>
      </w:r>
      <w:r w:rsidRPr="00816207">
        <w:rPr>
          <w:sz w:val="20"/>
          <w:szCs w:val="20"/>
          <w:rtl/>
        </w:rPr>
        <w:t xml:space="preserve">, באמצעותו משלים השופט חסר בטקסט (ראה בג"ץ 1635/90 זרז'בסקי נ' ראש הממשלה, פ"ד מה(860 ,749 (1). כך, למשל, </w:t>
      </w:r>
      <w:r w:rsidRPr="00816207">
        <w:rPr>
          <w:sz w:val="20"/>
          <w:szCs w:val="20"/>
          <w:highlight w:val="yellow"/>
          <w:rtl/>
        </w:rPr>
        <w:t>היקש פרשני הוא אמצעי שהשימוש בו מותר בכל טקסט. לעומת זאת, היקש משלים אסור בחוק פלילי לעניין יצירת עבירות חדשות</w:t>
      </w:r>
      <w:r w:rsidRPr="00816207">
        <w:rPr>
          <w:sz w:val="20"/>
          <w:szCs w:val="20"/>
          <w:rtl/>
        </w:rPr>
        <w:t xml:space="preserve"> (ראה כהן, "דין השיור", שנתון המשפט העברי יג 290 ,285 (התשמ"ז)). </w:t>
      </w:r>
    </w:p>
    <w:p w:rsidR="005366A8" w:rsidRPr="00816207" w:rsidRDefault="005366A8" w:rsidP="005366A8">
      <w:pPr>
        <w:rPr>
          <w:sz w:val="20"/>
          <w:szCs w:val="20"/>
          <w:rtl/>
        </w:rPr>
      </w:pPr>
    </w:p>
    <w:p w:rsidR="005366A8" w:rsidRPr="00816207" w:rsidRDefault="005366A8" w:rsidP="005366A8">
      <w:pPr>
        <w:rPr>
          <w:sz w:val="20"/>
          <w:szCs w:val="20"/>
          <w:rtl/>
        </w:rPr>
      </w:pPr>
      <w:r w:rsidRPr="00816207">
        <w:rPr>
          <w:sz w:val="20"/>
          <w:szCs w:val="20"/>
          <w:rtl/>
        </w:rPr>
        <w:t xml:space="preserve">7. </w:t>
      </w:r>
      <w:r w:rsidRPr="00816207">
        <w:rPr>
          <w:sz w:val="20"/>
          <w:szCs w:val="20"/>
          <w:highlight w:val="green"/>
          <w:rtl/>
        </w:rPr>
        <w:t>כיצד יושלם החסר בחוק ההתיישנות?</w:t>
      </w:r>
      <w:r w:rsidRPr="00816207">
        <w:rPr>
          <w:sz w:val="20"/>
          <w:szCs w:val="20"/>
          <w:rtl/>
        </w:rPr>
        <w:t xml:space="preserve"> התשובה הינה, כי בראש וראשונה, על השופט לבחון אם קיים דין דומה ממנו ניתן להקיש. אם בחינה זו תעלה חרס, על השופט לפנות לעקרונות החירות, הצדק, היושר והשלום של מורשת ישראל. </w:t>
      </w:r>
    </w:p>
    <w:p w:rsidR="005366A8" w:rsidRPr="00816207" w:rsidRDefault="005366A8" w:rsidP="005366A8">
      <w:pPr>
        <w:rPr>
          <w:sz w:val="20"/>
          <w:szCs w:val="20"/>
          <w:rtl/>
        </w:rPr>
      </w:pPr>
      <w:r w:rsidRPr="00816207">
        <w:rPr>
          <w:sz w:val="20"/>
          <w:szCs w:val="20"/>
          <w:rtl/>
        </w:rPr>
        <w:t xml:space="preserve">נפנה, איפוא, תחילה להיקש. האם קיימת הוראה בדין, העוסקת בסוגיה דומה, ממנה ניתן להקיש. התשובה היא בחיוב. הוראה זו מצויה בסעיף 11 לחוק ההתיישנות. אכן, קיים דמיון רב בין תובע שאין לו אפשרות נפשית להסדיר את ענייניו - ואשר עניינו נידון בסעיף 11 לחוק ההתיישנות - לבין תובע שאין לו אפשרות שכלית להסדיר את ענייניו - שלגביו יש חסר בחוק ההתיישנות. </w:t>
      </w:r>
    </w:p>
    <w:p w:rsidR="005366A8" w:rsidRPr="00816207" w:rsidRDefault="005366A8" w:rsidP="005366A8">
      <w:pPr>
        <w:rPr>
          <w:sz w:val="20"/>
          <w:szCs w:val="20"/>
          <w:rtl/>
        </w:rPr>
      </w:pPr>
      <w:r w:rsidRPr="00816207">
        <w:rPr>
          <w:sz w:val="20"/>
          <w:szCs w:val="20"/>
          <w:rtl/>
        </w:rPr>
        <w:t>בשני המקרים, התכלית המונחת ביסודם היא אחת. בשני המקרים המטרה - השעיית ההתיישנות במקום שהתובע אינו מסוגל לדאוג לענייניו ולממש את זכויותיו - היא אחת. אך טבעי הוא שהדין המסדיר את שני המצבים יהא אחד. עלינו להשלים, איפוא, את החסר בחוק ההתיישנות על ידי הקביעה כי מירוץ ההתיישנות יושעה - כאמור בסעיף 11 לחוק ההתיישנות - אם התובע אינו מסוגל לדאוג לענייניו בשל ליקוי שכלי</w:t>
      </w:r>
      <w:r w:rsidRPr="00816207">
        <w:rPr>
          <w:rFonts w:hint="cs"/>
          <w:sz w:val="20"/>
          <w:szCs w:val="20"/>
          <w:rtl/>
        </w:rPr>
        <w:t xml:space="preserve"> [...].</w:t>
      </w:r>
      <w:r w:rsidRPr="00816207">
        <w:rPr>
          <w:sz w:val="20"/>
          <w:szCs w:val="20"/>
          <w:rtl/>
        </w:rPr>
        <w:t xml:space="preserve">אינני נדרש, בערעור זה, לקבוע את מהותו של הליקוי השכלי ומידת חריפותו. </w:t>
      </w:r>
    </w:p>
    <w:p w:rsidR="005366A8" w:rsidRDefault="005366A8" w:rsidP="005366A8">
      <w:pPr>
        <w:rPr>
          <w:sz w:val="22"/>
          <w:szCs w:val="22"/>
          <w:rtl/>
        </w:rPr>
      </w:pPr>
      <w:r w:rsidRPr="00816207">
        <w:rPr>
          <w:sz w:val="20"/>
          <w:szCs w:val="20"/>
          <w:rtl/>
        </w:rPr>
        <w:t>נוכל להשאיר עניין זה לעת מצוא, תוך תקווה שהמחוקק ייתן דעתו לשאלה, וישקול האפשרות להחליף את ההשלמה השיפוטית בהשלמה חקיקתית.</w:t>
      </w:r>
    </w:p>
    <w:p w:rsidR="005366A8" w:rsidRPr="000E1B6F" w:rsidRDefault="005366A8" w:rsidP="005366A8">
      <w:pPr>
        <w:rPr>
          <w:sz w:val="20"/>
          <w:szCs w:val="20"/>
          <w:rtl/>
        </w:rPr>
      </w:pPr>
      <w:r>
        <w:rPr>
          <w:rFonts w:hint="cs"/>
          <w:sz w:val="20"/>
          <w:szCs w:val="20"/>
          <w:rtl/>
        </w:rPr>
        <w:t>=-=</w:t>
      </w:r>
    </w:p>
    <w:p w:rsidR="005366A8" w:rsidRPr="00F977EF" w:rsidRDefault="005366A8" w:rsidP="005366A8">
      <w:pPr>
        <w:spacing w:after="60"/>
        <w:rPr>
          <w:rFonts w:ascii="Arial" w:hAnsi="Arial" w:cs="Arial"/>
          <w:sz w:val="18"/>
          <w:szCs w:val="18"/>
          <w:rtl/>
        </w:rPr>
      </w:pPr>
      <w:r w:rsidRPr="00F977EF">
        <w:rPr>
          <w:rFonts w:ascii="Arial" w:hAnsi="Arial" w:cs="Arial"/>
          <w:sz w:val="18"/>
          <w:szCs w:val="18"/>
          <w:highlight w:val="green"/>
          <w:u w:val="single"/>
          <w:rtl/>
        </w:rPr>
        <w:t>לפגישה הקרובה</w:t>
      </w:r>
      <w:r w:rsidRPr="00F977EF">
        <w:rPr>
          <w:rFonts w:ascii="Arial" w:hAnsi="Arial" w:cs="Arial"/>
          <w:sz w:val="18"/>
          <w:szCs w:val="18"/>
          <w:highlight w:val="green"/>
          <w:rtl/>
        </w:rPr>
        <w:t>:</w:t>
      </w:r>
      <w:r w:rsidRPr="00F977EF">
        <w:rPr>
          <w:rFonts w:ascii="Arial" w:hAnsi="Arial" w:cs="Arial"/>
          <w:sz w:val="18"/>
          <w:szCs w:val="18"/>
          <w:rtl/>
        </w:rPr>
        <w:t xml:space="preserve"> </w:t>
      </w:r>
    </w:p>
    <w:p w:rsidR="005366A8" w:rsidRPr="00A111C2" w:rsidRDefault="005366A8" w:rsidP="005366A8">
      <w:pPr>
        <w:spacing w:after="60"/>
        <w:rPr>
          <w:rFonts w:ascii="Arial" w:hAnsi="Arial" w:cs="Arial"/>
          <w:sz w:val="20"/>
          <w:szCs w:val="20"/>
          <w:rtl/>
        </w:rPr>
      </w:pPr>
      <w:r w:rsidRPr="00A111C2">
        <w:rPr>
          <w:rFonts w:ascii="Arial" w:hAnsi="Arial" w:cs="Arial"/>
          <w:sz w:val="20"/>
          <w:szCs w:val="20"/>
          <w:rtl/>
        </w:rPr>
        <w:t>חזרו על דפי הפגישה הזו, וכן קראו את הדברים בעניינה של הפרשנות התכליתית המופיעים בהם.</w:t>
      </w:r>
    </w:p>
    <w:p w:rsidR="005366A8" w:rsidRDefault="005366A8" w:rsidP="005366A8">
      <w:pPr>
        <w:jc w:val="left"/>
        <w:rPr>
          <w:sz w:val="22"/>
          <w:szCs w:val="22"/>
          <w:rtl/>
        </w:rPr>
      </w:pPr>
      <w:r>
        <w:rPr>
          <w:sz w:val="22"/>
          <w:szCs w:val="22"/>
          <w:rtl/>
        </w:rPr>
        <w:br w:type="page"/>
      </w:r>
    </w:p>
    <w:p w:rsidR="005366A8" w:rsidRDefault="005366A8" w:rsidP="005366A8">
      <w:pPr>
        <w:jc w:val="right"/>
        <w:rPr>
          <w:rtl/>
        </w:rPr>
      </w:pPr>
      <w:r w:rsidRPr="007F6E4F">
        <w:rPr>
          <w:rFonts w:hint="cs"/>
          <w:b/>
          <w:bCs/>
          <w:sz w:val="22"/>
          <w:szCs w:val="22"/>
          <w:rtl/>
        </w:rPr>
        <w:t>משפט ציבורי</w:t>
      </w:r>
      <w:r>
        <w:rPr>
          <w:rFonts w:hint="cs"/>
          <w:sz w:val="22"/>
          <w:szCs w:val="22"/>
          <w:rtl/>
        </w:rPr>
        <w:t xml:space="preserve">, </w:t>
      </w:r>
      <w:r w:rsidRPr="00C4131E">
        <w:rPr>
          <w:rFonts w:hint="cs"/>
          <w:i/>
          <w:iCs/>
          <w:sz w:val="22"/>
          <w:szCs w:val="22"/>
          <w:rtl/>
        </w:rPr>
        <w:t>תשע"</w:t>
      </w:r>
      <w:r>
        <w:rPr>
          <w:rFonts w:hint="cs"/>
          <w:i/>
          <w:iCs/>
          <w:sz w:val="22"/>
          <w:szCs w:val="22"/>
          <w:rtl/>
        </w:rPr>
        <w:t>ה</w:t>
      </w:r>
      <w:r>
        <w:rPr>
          <w:rFonts w:hint="cs"/>
          <w:sz w:val="22"/>
          <w:szCs w:val="22"/>
          <w:rtl/>
        </w:rPr>
        <w:t xml:space="preserve">, </w:t>
      </w:r>
      <w:r w:rsidRPr="007F6E4F">
        <w:rPr>
          <w:rFonts w:hint="cs"/>
          <w:b/>
          <w:bCs/>
          <w:sz w:val="22"/>
          <w:szCs w:val="22"/>
          <w:rtl/>
        </w:rPr>
        <w:t>סמסטר א',</w:t>
      </w:r>
      <w:r>
        <w:rPr>
          <w:rFonts w:hint="cs"/>
          <w:sz w:val="22"/>
          <w:szCs w:val="22"/>
          <w:rtl/>
        </w:rPr>
        <w:t xml:space="preserve"> ד"ר אילן סבן, נובמבר 2014, </w:t>
      </w:r>
      <w:r w:rsidRPr="005366A8">
        <w:rPr>
          <w:rFonts w:hint="cs"/>
          <w:b/>
          <w:bCs/>
          <w:i/>
          <w:iCs/>
          <w:sz w:val="22"/>
          <w:szCs w:val="22"/>
          <w:highlight w:val="magenta"/>
          <w:u w:val="single"/>
          <w:rtl/>
        </w:rPr>
        <w:t>פגישה 6</w:t>
      </w:r>
    </w:p>
    <w:p w:rsidR="005366A8" w:rsidRDefault="005366A8" w:rsidP="005366A8">
      <w:pPr>
        <w:rPr>
          <w:rtl/>
        </w:rPr>
      </w:pPr>
    </w:p>
    <w:p w:rsidR="005366A8" w:rsidRDefault="005366A8" w:rsidP="005366A8">
      <w:pPr>
        <w:jc w:val="center"/>
        <w:rPr>
          <w:rFonts w:cs="Arial"/>
          <w:i/>
          <w:iCs/>
          <w:rtl/>
        </w:rPr>
      </w:pPr>
      <w:r w:rsidRPr="00C82C8C">
        <w:rPr>
          <w:rFonts w:ascii="Arial" w:hAnsi="Arial" w:cs="Guttman-Soncino"/>
          <w:b/>
          <w:bCs/>
          <w:sz w:val="28"/>
          <w:szCs w:val="28"/>
          <w:highlight w:val="yellow"/>
          <w:rtl/>
        </w:rPr>
        <w:t>החוקה המהותית של ישראל –</w:t>
      </w:r>
      <w:r w:rsidRPr="00C82C8C">
        <w:rPr>
          <w:rFonts w:ascii="Arial" w:hAnsi="Arial" w:cs="Guttman-Soncino" w:hint="cs"/>
          <w:b/>
          <w:bCs/>
          <w:sz w:val="28"/>
          <w:szCs w:val="28"/>
          <w:highlight w:val="yellow"/>
          <w:rtl/>
        </w:rPr>
        <w:t xml:space="preserve"> ערכי היסוד שלה</w:t>
      </w:r>
      <w:r>
        <w:rPr>
          <w:rFonts w:ascii="Arial" w:hAnsi="Arial" w:cs="Guttman-Soncino" w:hint="cs"/>
          <w:b/>
          <w:bCs/>
          <w:sz w:val="28"/>
          <w:szCs w:val="28"/>
          <w:highlight w:val="yellow"/>
          <w:rtl/>
        </w:rPr>
        <w:t xml:space="preserve"> כמדינה "יהודית ודמוקרטית"</w:t>
      </w:r>
      <w:r w:rsidRPr="00C82C8C">
        <w:rPr>
          <w:rFonts w:ascii="Arial" w:hAnsi="Arial" w:cs="Guttman-Soncino" w:hint="cs"/>
          <w:b/>
          <w:bCs/>
          <w:sz w:val="28"/>
          <w:szCs w:val="28"/>
          <w:highlight w:val="yellow"/>
          <w:rtl/>
        </w:rPr>
        <w:t xml:space="preserve"> </w:t>
      </w:r>
      <w:r w:rsidRPr="00C82C8C">
        <w:rPr>
          <w:rFonts w:ascii="Arial" w:hAnsi="Arial" w:cs="Guttman-Soncino"/>
          <w:b/>
          <w:bCs/>
          <w:sz w:val="28"/>
          <w:szCs w:val="28"/>
          <w:highlight w:val="yellow"/>
          <w:rtl/>
        </w:rPr>
        <w:t>(המשך)</w:t>
      </w:r>
      <w:r w:rsidRPr="00C82C8C">
        <w:rPr>
          <w:rFonts w:ascii="Arial" w:hAnsi="Arial" w:cs="Guttman-Soncino"/>
          <w:sz w:val="28"/>
          <w:szCs w:val="28"/>
          <w:highlight w:val="yellow"/>
          <w:rtl/>
        </w:rPr>
        <w:t xml:space="preserve"> </w:t>
      </w:r>
      <w:r w:rsidRPr="00C82C8C">
        <w:rPr>
          <w:rFonts w:ascii="Arial" w:hAnsi="Arial" w:cs="Guttman-Soncino"/>
          <w:sz w:val="28"/>
          <w:szCs w:val="28"/>
          <w:highlight w:val="yellow"/>
          <w:rtl/>
        </w:rPr>
        <w:br/>
      </w:r>
    </w:p>
    <w:p w:rsidR="005366A8" w:rsidRDefault="005366A8" w:rsidP="005366A8">
      <w:pPr>
        <w:rPr>
          <w:sz w:val="22"/>
          <w:szCs w:val="22"/>
          <w:rtl/>
        </w:rPr>
      </w:pPr>
    </w:p>
    <w:p w:rsidR="005366A8" w:rsidRPr="0001633D" w:rsidRDefault="005366A8" w:rsidP="005366A8">
      <w:pPr>
        <w:spacing w:after="120"/>
        <w:rPr>
          <w:sz w:val="20"/>
          <w:szCs w:val="20"/>
          <w:rtl/>
        </w:rPr>
      </w:pPr>
      <w:r w:rsidRPr="0001633D">
        <w:rPr>
          <w:rFonts w:hint="cs"/>
          <w:sz w:val="20"/>
          <w:szCs w:val="20"/>
          <w:rtl/>
        </w:rPr>
        <w:t xml:space="preserve">בפגישות קודמות פגשנו את </w:t>
      </w:r>
      <w:r w:rsidRPr="0001633D">
        <w:rPr>
          <w:rFonts w:hint="cs"/>
          <w:b/>
          <w:bCs/>
          <w:sz w:val="20"/>
          <w:szCs w:val="20"/>
          <w:rtl/>
        </w:rPr>
        <w:t>החוקה המאטריאלית</w:t>
      </w:r>
      <w:r w:rsidRPr="0001633D">
        <w:rPr>
          <w:rFonts w:hint="cs"/>
          <w:sz w:val="20"/>
          <w:szCs w:val="20"/>
          <w:rtl/>
        </w:rPr>
        <w:t xml:space="preserve"> ופגשנו שתיים מהשפעותיה המרכזיות, וכן השפעה שלישית, חשובה אך בעייתית:</w:t>
      </w:r>
    </w:p>
    <w:p w:rsidR="005366A8" w:rsidRDefault="005366A8" w:rsidP="005366A8">
      <w:pPr>
        <w:ind w:left="720"/>
        <w:rPr>
          <w:sz w:val="20"/>
          <w:szCs w:val="20"/>
          <w:rtl/>
        </w:rPr>
      </w:pPr>
      <w:r w:rsidRPr="0001633D">
        <w:rPr>
          <w:rFonts w:hint="cs"/>
          <w:sz w:val="20"/>
          <w:szCs w:val="20"/>
          <w:rtl/>
        </w:rPr>
        <w:t xml:space="preserve">^ ראשית, השפעתה על </w:t>
      </w:r>
      <w:r w:rsidRPr="0001633D">
        <w:rPr>
          <w:rFonts w:hint="cs"/>
          <w:b/>
          <w:bCs/>
          <w:sz w:val="20"/>
          <w:szCs w:val="20"/>
          <w:highlight w:val="yellow"/>
          <w:rtl/>
        </w:rPr>
        <w:t>פרשנותן</w:t>
      </w:r>
      <w:r w:rsidRPr="0001633D">
        <w:rPr>
          <w:rFonts w:hint="cs"/>
          <w:sz w:val="20"/>
          <w:szCs w:val="20"/>
          <w:rtl/>
        </w:rPr>
        <w:t xml:space="preserve"> של כל הנורמות המשפטיות, מכוח היותה "המטרייה הנורמטיבית" המלווה את מכלול המשפט הישראלי </w:t>
      </w:r>
      <w:r w:rsidRPr="0001633D">
        <w:rPr>
          <w:sz w:val="20"/>
          <w:szCs w:val="20"/>
          <w:rtl/>
        </w:rPr>
        <w:t>–</w:t>
      </w:r>
      <w:r w:rsidRPr="0001633D">
        <w:rPr>
          <w:rFonts w:hint="cs"/>
          <w:sz w:val="20"/>
          <w:szCs w:val="20"/>
          <w:rtl/>
        </w:rPr>
        <w:t xml:space="preserve"> היא "התכליות הכלליות" שחזקה על המחוקק הישראלי שהוא מבקש להגשימן במקביל ל"תכליות המיוחדות" של החוק; חזקה זו ניתנת לסתירה אם המחוקק מתאמץ למשל לדחות</w:t>
      </w:r>
      <w:r>
        <w:rPr>
          <w:rFonts w:hint="cs"/>
          <w:sz w:val="20"/>
          <w:szCs w:val="20"/>
          <w:rtl/>
        </w:rPr>
        <w:t xml:space="preserve"> את התכליות הכלליות</w:t>
      </w:r>
      <w:r w:rsidRPr="0001633D">
        <w:rPr>
          <w:rFonts w:hint="cs"/>
          <w:sz w:val="20"/>
          <w:szCs w:val="20"/>
          <w:rtl/>
        </w:rPr>
        <w:t xml:space="preserve"> במפורש; ואולם תכופות המחוקק לא עושה כן, וכך מתאפשרת פרשנות של הנורמות המכבדת ומאזנת מכלול של מטרות/תכליות שמדינה דמוקרטית מעמידה לנגד עיניה כשהיא מסדירה את חייה החברתיים. </w:t>
      </w:r>
    </w:p>
    <w:p w:rsidR="005366A8" w:rsidRPr="0001633D" w:rsidRDefault="005366A8" w:rsidP="005366A8">
      <w:pPr>
        <w:ind w:left="720"/>
        <w:rPr>
          <w:sz w:val="20"/>
          <w:szCs w:val="20"/>
          <w:rtl/>
        </w:rPr>
      </w:pPr>
      <w:r w:rsidRPr="0001633D">
        <w:rPr>
          <w:rFonts w:hint="cs"/>
          <w:sz w:val="20"/>
          <w:szCs w:val="20"/>
          <w:rtl/>
        </w:rPr>
        <w:t xml:space="preserve">לעיתים יש מתח בין התכליות השונות ואז נוצר צורך ב"איזון": </w:t>
      </w:r>
    </w:p>
    <w:p w:rsidR="005366A8" w:rsidRPr="0001633D" w:rsidRDefault="005366A8" w:rsidP="005366A8">
      <w:pPr>
        <w:ind w:left="1440"/>
        <w:rPr>
          <w:b/>
          <w:bCs/>
          <w:sz w:val="20"/>
          <w:szCs w:val="20"/>
          <w:rtl/>
        </w:rPr>
      </w:pPr>
      <w:r w:rsidRPr="0001633D">
        <w:rPr>
          <w:rFonts w:hint="cs"/>
          <w:b/>
          <w:bCs/>
          <w:sz w:val="20"/>
          <w:szCs w:val="20"/>
          <w:rtl/>
        </w:rPr>
        <w:t>קול העם</w:t>
      </w:r>
      <w:r w:rsidRPr="0001633D">
        <w:rPr>
          <w:rFonts w:hint="cs"/>
          <w:sz w:val="20"/>
          <w:szCs w:val="20"/>
          <w:rtl/>
        </w:rPr>
        <w:t xml:space="preserve"> =&gt; "נוסחת איזון" בין חופש הביטוי לבין ביטחון הציבור: מבחן "הוודאות הקרובה"</w:t>
      </w:r>
      <w:r w:rsidRPr="0001633D">
        <w:rPr>
          <w:rFonts w:hint="cs"/>
          <w:b/>
          <w:bCs/>
          <w:sz w:val="20"/>
          <w:szCs w:val="20"/>
          <w:rtl/>
        </w:rPr>
        <w:t xml:space="preserve">; </w:t>
      </w:r>
    </w:p>
    <w:p w:rsidR="005366A8" w:rsidRPr="0001633D" w:rsidRDefault="005366A8" w:rsidP="005366A8">
      <w:pPr>
        <w:spacing w:after="120"/>
        <w:ind w:left="1440" w:right="-142"/>
        <w:rPr>
          <w:sz w:val="20"/>
          <w:szCs w:val="20"/>
          <w:rtl/>
        </w:rPr>
      </w:pPr>
      <w:r w:rsidRPr="0001633D">
        <w:rPr>
          <w:rFonts w:hint="cs"/>
          <w:b/>
          <w:bCs/>
          <w:sz w:val="20"/>
          <w:szCs w:val="20"/>
          <w:rtl/>
        </w:rPr>
        <w:t>קעאדן</w:t>
      </w:r>
      <w:r w:rsidRPr="0001633D">
        <w:rPr>
          <w:rFonts w:hint="cs"/>
          <w:sz w:val="20"/>
          <w:szCs w:val="20"/>
          <w:rtl/>
        </w:rPr>
        <w:t xml:space="preserve"> </w:t>
      </w:r>
      <w:r w:rsidRPr="0001633D">
        <w:rPr>
          <w:sz w:val="20"/>
          <w:szCs w:val="20"/>
          <w:rtl/>
        </w:rPr>
        <w:t>–</w:t>
      </w:r>
      <w:r w:rsidRPr="0001633D">
        <w:rPr>
          <w:rFonts w:hint="cs"/>
          <w:sz w:val="20"/>
          <w:szCs w:val="20"/>
          <w:rtl/>
        </w:rPr>
        <w:t xml:space="preserve"> </w:t>
      </w:r>
      <w:r>
        <w:rPr>
          <w:rFonts w:hint="cs"/>
          <w:sz w:val="20"/>
          <w:szCs w:val="20"/>
          <w:rtl/>
        </w:rPr>
        <w:t xml:space="preserve">[הפגישה של היום] </w:t>
      </w:r>
      <w:r w:rsidRPr="0001633D">
        <w:rPr>
          <w:rFonts w:hint="cs"/>
          <w:sz w:val="20"/>
          <w:szCs w:val="20"/>
          <w:rtl/>
        </w:rPr>
        <w:t>פרשנות ואי-מציאת סמכות להפלות (על בסיס לאומי, בין ערבים ליהודים) בהקצאת קרקע של המדינה;</w:t>
      </w:r>
    </w:p>
    <w:p w:rsidR="005366A8" w:rsidRPr="0001633D" w:rsidRDefault="005366A8" w:rsidP="005366A8">
      <w:pPr>
        <w:ind w:left="1440" w:hanging="720"/>
        <w:rPr>
          <w:sz w:val="20"/>
          <w:szCs w:val="20"/>
          <w:rtl/>
        </w:rPr>
      </w:pPr>
      <w:r w:rsidRPr="0001633D">
        <w:rPr>
          <w:rFonts w:hint="cs"/>
          <w:sz w:val="20"/>
          <w:szCs w:val="20"/>
          <w:rtl/>
        </w:rPr>
        <w:t xml:space="preserve">^ שנית, היותה של החוקה המאטריאלית </w:t>
      </w:r>
      <w:r w:rsidRPr="0001633D">
        <w:rPr>
          <w:rFonts w:hint="cs"/>
          <w:b/>
          <w:bCs/>
          <w:sz w:val="20"/>
          <w:szCs w:val="20"/>
          <w:highlight w:val="yellow"/>
          <w:rtl/>
        </w:rPr>
        <w:t>מקור ליצירת</w:t>
      </w:r>
      <w:r w:rsidRPr="0001633D">
        <w:rPr>
          <w:rFonts w:hint="cs"/>
          <w:sz w:val="20"/>
          <w:szCs w:val="20"/>
          <w:rtl/>
        </w:rPr>
        <w:t xml:space="preserve"> נורמות משפטיות ("פיתוח המשפט"/ "המשפט המקובל נוסח ישראל") חובות משפטיות המוטלות על רשויות שלטוניות: </w:t>
      </w:r>
    </w:p>
    <w:p w:rsidR="005366A8" w:rsidRPr="0001633D" w:rsidRDefault="005366A8" w:rsidP="005366A8">
      <w:pPr>
        <w:ind w:left="2880" w:hanging="720"/>
        <w:rPr>
          <w:sz w:val="20"/>
          <w:szCs w:val="20"/>
          <w:rtl/>
        </w:rPr>
      </w:pPr>
      <w:r w:rsidRPr="0001633D">
        <w:rPr>
          <w:rFonts w:hint="cs"/>
          <w:b/>
          <w:bCs/>
          <w:sz w:val="20"/>
          <w:szCs w:val="20"/>
          <w:rtl/>
        </w:rPr>
        <w:t>בז'רנו</w:t>
      </w:r>
      <w:r w:rsidRPr="0001633D">
        <w:rPr>
          <w:rFonts w:hint="cs"/>
          <w:sz w:val="20"/>
          <w:szCs w:val="20"/>
          <w:rtl/>
        </w:rPr>
        <w:t>: עקרון החירות (של האדם) ועקרון ההסמכה</w:t>
      </w:r>
      <w:r>
        <w:rPr>
          <w:rFonts w:hint="cs"/>
          <w:sz w:val="20"/>
          <w:szCs w:val="20"/>
          <w:rtl/>
        </w:rPr>
        <w:t>/ עקרון החוקיות</w:t>
      </w:r>
      <w:r w:rsidRPr="0001633D">
        <w:rPr>
          <w:rFonts w:hint="cs"/>
          <w:sz w:val="20"/>
          <w:szCs w:val="20"/>
          <w:rtl/>
        </w:rPr>
        <w:t xml:space="preserve"> (של הרשות השלטונית) </w:t>
      </w:r>
      <w:r w:rsidRPr="0001633D">
        <w:rPr>
          <w:sz w:val="20"/>
          <w:szCs w:val="20"/>
          <w:rtl/>
        </w:rPr>
        <w:t>–</w:t>
      </w:r>
      <w:r w:rsidRPr="0001633D">
        <w:rPr>
          <w:rFonts w:hint="cs"/>
          <w:sz w:val="20"/>
          <w:szCs w:val="20"/>
          <w:rtl/>
        </w:rPr>
        <w:t xml:space="preserve">&gt; שלטון החוק (הפורמאלי </w:t>
      </w:r>
      <w:r w:rsidRPr="0001633D">
        <w:rPr>
          <w:sz w:val="20"/>
          <w:szCs w:val="20"/>
          <w:rtl/>
        </w:rPr>
        <w:t>–</w:t>
      </w:r>
      <w:r w:rsidRPr="0001633D">
        <w:rPr>
          <w:rFonts w:hint="cs"/>
          <w:sz w:val="20"/>
          <w:szCs w:val="20"/>
          <w:rtl/>
        </w:rPr>
        <w:t xml:space="preserve"> הצורך בחוק או בהסמכה מפורשת מכוחו);</w:t>
      </w:r>
    </w:p>
    <w:p w:rsidR="005366A8" w:rsidRPr="0001633D" w:rsidRDefault="005366A8" w:rsidP="005366A8">
      <w:pPr>
        <w:spacing w:after="120"/>
        <w:ind w:left="2880" w:hanging="720"/>
        <w:rPr>
          <w:sz w:val="20"/>
          <w:szCs w:val="20"/>
          <w:rtl/>
        </w:rPr>
      </w:pPr>
      <w:r w:rsidRPr="0001633D">
        <w:rPr>
          <w:rFonts w:hint="cs"/>
          <w:b/>
          <w:bCs/>
          <w:sz w:val="20"/>
          <w:szCs w:val="20"/>
          <w:rtl/>
        </w:rPr>
        <w:t>פרץ נ' כפר שמריהו</w:t>
      </w:r>
      <w:r w:rsidRPr="0001633D">
        <w:rPr>
          <w:rFonts w:hint="cs"/>
          <w:sz w:val="20"/>
          <w:szCs w:val="20"/>
          <w:rtl/>
        </w:rPr>
        <w:t xml:space="preserve">: חובות הנובעות מהיות הרשות השלטונית "נאמן של הציבור" </w:t>
      </w:r>
      <w:r w:rsidRPr="0001633D">
        <w:rPr>
          <w:sz w:val="20"/>
          <w:szCs w:val="20"/>
          <w:rtl/>
        </w:rPr>
        <w:t>–</w:t>
      </w:r>
      <w:r w:rsidRPr="0001633D">
        <w:rPr>
          <w:rFonts w:hint="cs"/>
          <w:sz w:val="20"/>
          <w:szCs w:val="20"/>
          <w:rtl/>
        </w:rPr>
        <w:t>&gt; חובת איסור האפליה;</w:t>
      </w:r>
    </w:p>
    <w:p w:rsidR="005366A8" w:rsidRPr="0001633D" w:rsidRDefault="005366A8" w:rsidP="005366A8">
      <w:pPr>
        <w:ind w:left="1440" w:hanging="720"/>
        <w:rPr>
          <w:sz w:val="20"/>
          <w:szCs w:val="20"/>
          <w:rtl/>
        </w:rPr>
      </w:pPr>
      <w:r w:rsidRPr="0001633D">
        <w:rPr>
          <w:rFonts w:hint="cs"/>
          <w:sz w:val="20"/>
          <w:szCs w:val="20"/>
          <w:rtl/>
        </w:rPr>
        <w:t xml:space="preserve">^ פגשנו גם השפעה אפשרית שלישית של החוקה המאטריאלית </w:t>
      </w:r>
      <w:r w:rsidRPr="0001633D">
        <w:rPr>
          <w:sz w:val="20"/>
          <w:szCs w:val="20"/>
          <w:rtl/>
        </w:rPr>
        <w:t>–</w:t>
      </w:r>
      <w:r w:rsidRPr="0001633D">
        <w:rPr>
          <w:rFonts w:hint="cs"/>
          <w:sz w:val="20"/>
          <w:szCs w:val="20"/>
          <w:rtl/>
        </w:rPr>
        <w:t xml:space="preserve"> בסיס </w:t>
      </w:r>
      <w:r w:rsidRPr="0001633D">
        <w:rPr>
          <w:rFonts w:hint="cs"/>
          <w:b/>
          <w:bCs/>
          <w:sz w:val="20"/>
          <w:szCs w:val="20"/>
          <w:highlight w:val="yellow"/>
          <w:rtl/>
        </w:rPr>
        <w:t>"לביקורת שיפוטית מטא-טקסטואלית"</w:t>
      </w:r>
    </w:p>
    <w:p w:rsidR="005366A8" w:rsidRPr="0001633D" w:rsidRDefault="005366A8" w:rsidP="005366A8">
      <w:pPr>
        <w:ind w:left="2160" w:hanging="720"/>
        <w:rPr>
          <w:sz w:val="20"/>
          <w:szCs w:val="20"/>
          <w:rtl/>
        </w:rPr>
      </w:pPr>
      <w:r w:rsidRPr="0001633D">
        <w:rPr>
          <w:rFonts w:hint="cs"/>
          <w:sz w:val="20"/>
          <w:szCs w:val="20"/>
          <w:rtl/>
        </w:rPr>
        <w:t>מהלכו המיוחד</w:t>
      </w:r>
      <w:r>
        <w:rPr>
          <w:rFonts w:hint="cs"/>
          <w:sz w:val="20"/>
          <w:szCs w:val="20"/>
          <w:rtl/>
        </w:rPr>
        <w:t xml:space="preserve"> ו</w:t>
      </w:r>
      <w:r w:rsidRPr="0001633D">
        <w:rPr>
          <w:rFonts w:hint="cs"/>
          <w:sz w:val="20"/>
          <w:szCs w:val="20"/>
          <w:rtl/>
        </w:rPr>
        <w:t xml:space="preserve">השנוי-במחלוקת של השופט זוסמן בפס"ד </w:t>
      </w:r>
      <w:r w:rsidRPr="0001633D">
        <w:rPr>
          <w:rFonts w:hint="cs"/>
          <w:b/>
          <w:bCs/>
          <w:sz w:val="20"/>
          <w:szCs w:val="20"/>
          <w:rtl/>
        </w:rPr>
        <w:t>ירדור</w:t>
      </w:r>
      <w:r w:rsidRPr="0001633D">
        <w:rPr>
          <w:rFonts w:hint="cs"/>
          <w:sz w:val="20"/>
          <w:szCs w:val="20"/>
          <w:rtl/>
        </w:rPr>
        <w:t xml:space="preserve">: </w:t>
      </w:r>
    </w:p>
    <w:p w:rsidR="005366A8" w:rsidRPr="0001633D" w:rsidRDefault="005366A8" w:rsidP="005366A8">
      <w:pPr>
        <w:ind w:left="2444" w:hanging="284"/>
        <w:rPr>
          <w:sz w:val="20"/>
          <w:szCs w:val="20"/>
          <w:rtl/>
        </w:rPr>
      </w:pPr>
      <w:r w:rsidRPr="0001633D">
        <w:rPr>
          <w:rFonts w:hint="cs"/>
          <w:sz w:val="20"/>
          <w:szCs w:val="20"/>
          <w:rtl/>
        </w:rPr>
        <w:t>שימוש בחוקה המאטריאלית, במצב הנתפס כמצב חירום</w:t>
      </w:r>
      <w:r>
        <w:rPr>
          <w:rFonts w:hint="cs"/>
          <w:sz w:val="20"/>
          <w:szCs w:val="20"/>
          <w:rtl/>
        </w:rPr>
        <w:t>:</w:t>
      </w:r>
      <w:r w:rsidRPr="0001633D">
        <w:rPr>
          <w:rFonts w:hint="cs"/>
          <w:sz w:val="20"/>
          <w:szCs w:val="20"/>
          <w:rtl/>
        </w:rPr>
        <w:t xml:space="preserve"> </w:t>
      </w:r>
      <w:r>
        <w:rPr>
          <w:rFonts w:hint="cs"/>
          <w:sz w:val="20"/>
          <w:szCs w:val="20"/>
          <w:rtl/>
        </w:rPr>
        <w:t xml:space="preserve">א. </w:t>
      </w:r>
      <w:r w:rsidRPr="0001633D">
        <w:rPr>
          <w:rFonts w:hint="cs"/>
          <w:sz w:val="20"/>
          <w:szCs w:val="20"/>
          <w:rtl/>
        </w:rPr>
        <w:t>בכדי 'לדלג' על עקרון/חובת ההסמכה של הרשות השלטונית כבסיס להגבלת זכות יסוד (הזכות להיבחר לכנסת</w:t>
      </w:r>
      <w:r>
        <w:rPr>
          <w:rFonts w:hint="cs"/>
          <w:sz w:val="20"/>
          <w:szCs w:val="20"/>
          <w:rtl/>
        </w:rPr>
        <w:t>, הקבועה בח"י הכנסת</w:t>
      </w:r>
      <w:r w:rsidRPr="0001633D">
        <w:rPr>
          <w:rFonts w:hint="cs"/>
          <w:sz w:val="20"/>
          <w:szCs w:val="20"/>
          <w:rtl/>
        </w:rPr>
        <w:t>)</w:t>
      </w:r>
      <w:r>
        <w:rPr>
          <w:rFonts w:hint="cs"/>
          <w:sz w:val="20"/>
          <w:szCs w:val="20"/>
          <w:rtl/>
        </w:rPr>
        <w:t>;</w:t>
      </w:r>
      <w:r w:rsidRPr="0001633D">
        <w:rPr>
          <w:rFonts w:hint="cs"/>
          <w:sz w:val="20"/>
          <w:szCs w:val="20"/>
          <w:rtl/>
        </w:rPr>
        <w:t xml:space="preserve"> ו</w:t>
      </w:r>
      <w:r>
        <w:rPr>
          <w:rFonts w:hint="cs"/>
          <w:sz w:val="20"/>
          <w:szCs w:val="20"/>
          <w:rtl/>
        </w:rPr>
        <w:t xml:space="preserve">-ב. שימוש בו </w:t>
      </w:r>
      <w:r w:rsidRPr="0001633D">
        <w:rPr>
          <w:rFonts w:hint="cs"/>
          <w:sz w:val="20"/>
          <w:szCs w:val="20"/>
          <w:rtl/>
        </w:rPr>
        <w:t xml:space="preserve">כמקור נורמטיבי המאפשר </w:t>
      </w:r>
      <w:r>
        <w:rPr>
          <w:rFonts w:hint="cs"/>
          <w:sz w:val="20"/>
          <w:szCs w:val="20"/>
          <w:rtl/>
        </w:rPr>
        <w:t xml:space="preserve">אפילו </w:t>
      </w:r>
      <w:r w:rsidRPr="0001633D">
        <w:rPr>
          <w:rFonts w:hint="cs"/>
          <w:sz w:val="20"/>
          <w:szCs w:val="20"/>
          <w:rtl/>
        </w:rPr>
        <w:t xml:space="preserve">לגבור על מצוות החוק (חוק הבחירות לכנסת) </w:t>
      </w:r>
      <w:r w:rsidRPr="0001633D">
        <w:rPr>
          <w:sz w:val="20"/>
          <w:szCs w:val="20"/>
          <w:rtl/>
        </w:rPr>
        <w:t>–</w:t>
      </w:r>
      <w:r w:rsidRPr="0001633D">
        <w:rPr>
          <w:rFonts w:hint="cs"/>
          <w:sz w:val="20"/>
          <w:szCs w:val="20"/>
          <w:rtl/>
        </w:rPr>
        <w:t xml:space="preserve"> כפי שמפרשו השופט זוסמן (בניגוד לשופט אגרנט).</w:t>
      </w:r>
    </w:p>
    <w:p w:rsidR="005366A8" w:rsidRDefault="005366A8" w:rsidP="005366A8">
      <w:pPr>
        <w:rPr>
          <w:b/>
          <w:bCs/>
          <w:sz w:val="22"/>
          <w:szCs w:val="22"/>
          <w:rtl/>
        </w:rPr>
      </w:pPr>
      <w:r>
        <w:rPr>
          <w:rFonts w:hint="cs"/>
          <w:sz w:val="22"/>
          <w:szCs w:val="22"/>
          <w:rtl/>
        </w:rPr>
        <w:t>-=-=</w:t>
      </w:r>
    </w:p>
    <w:p w:rsidR="005366A8" w:rsidRDefault="005366A8" w:rsidP="005366A8">
      <w:pPr>
        <w:rPr>
          <w:b/>
          <w:bCs/>
          <w:sz w:val="22"/>
          <w:szCs w:val="22"/>
          <w:rtl/>
        </w:rPr>
      </w:pPr>
    </w:p>
    <w:p w:rsidR="005366A8" w:rsidRDefault="005366A8" w:rsidP="005366A8">
      <w:pPr>
        <w:rPr>
          <w:sz w:val="22"/>
          <w:szCs w:val="22"/>
          <w:rtl/>
        </w:rPr>
      </w:pPr>
      <w:r w:rsidRPr="00FA3B77">
        <w:rPr>
          <w:rFonts w:hint="cs"/>
          <w:b/>
          <w:bCs/>
          <w:sz w:val="22"/>
          <w:szCs w:val="22"/>
          <w:rtl/>
        </w:rPr>
        <w:t>פרץ נ' כפר שמריהו</w:t>
      </w:r>
      <w:r>
        <w:rPr>
          <w:rFonts w:hint="cs"/>
          <w:sz w:val="22"/>
          <w:szCs w:val="22"/>
          <w:rtl/>
        </w:rPr>
        <w:t xml:space="preserve"> – המשך קצר</w:t>
      </w:r>
    </w:p>
    <w:p w:rsidR="005366A8" w:rsidRDefault="005366A8" w:rsidP="005366A8">
      <w:pPr>
        <w:rPr>
          <w:sz w:val="22"/>
          <w:szCs w:val="22"/>
          <w:rtl/>
        </w:rPr>
      </w:pPr>
    </w:p>
    <w:p w:rsidR="005366A8" w:rsidRPr="00581B2C" w:rsidRDefault="005366A8" w:rsidP="005366A8">
      <w:pPr>
        <w:rPr>
          <w:sz w:val="20"/>
          <w:szCs w:val="20"/>
          <w:rtl/>
        </w:rPr>
      </w:pPr>
      <w:r w:rsidRPr="00581B2C">
        <w:rPr>
          <w:rFonts w:hint="cs"/>
          <w:sz w:val="20"/>
          <w:szCs w:val="20"/>
          <w:rtl/>
        </w:rPr>
        <w:t>מה היא השאלה המשפטית</w:t>
      </w:r>
      <w:r>
        <w:rPr>
          <w:rFonts w:hint="cs"/>
          <w:sz w:val="20"/>
          <w:szCs w:val="20"/>
          <w:rtl/>
        </w:rPr>
        <w:t>?</w:t>
      </w:r>
      <w:r w:rsidRPr="00581B2C">
        <w:rPr>
          <w:rFonts w:hint="cs"/>
          <w:sz w:val="20"/>
          <w:szCs w:val="20"/>
          <w:rtl/>
        </w:rPr>
        <w:t xml:space="preserve"> ה</w:t>
      </w:r>
      <w:r>
        <w:rPr>
          <w:rFonts w:hint="cs"/>
          <w:sz w:val="20"/>
          <w:szCs w:val="20"/>
          <w:rtl/>
        </w:rPr>
        <w:t xml:space="preserve">אם היא נוגעת לסמכותה/ חוסר-סמכותה של </w:t>
      </w:r>
      <w:r w:rsidRPr="00581B2C">
        <w:rPr>
          <w:rFonts w:hint="cs"/>
          <w:sz w:val="20"/>
          <w:szCs w:val="20"/>
          <w:rtl/>
        </w:rPr>
        <w:t xml:space="preserve">המועצה-המקומית או האם היא מתייחסת להפליה </w:t>
      </w:r>
      <w:r>
        <w:rPr>
          <w:rFonts w:hint="cs"/>
          <w:sz w:val="20"/>
          <w:szCs w:val="20"/>
          <w:rtl/>
        </w:rPr>
        <w:t>על ידי המועצה</w:t>
      </w:r>
      <w:r w:rsidRPr="00581B2C">
        <w:rPr>
          <w:rFonts w:hint="cs"/>
          <w:sz w:val="20"/>
          <w:szCs w:val="20"/>
          <w:rtl/>
        </w:rPr>
        <w:t>?</w:t>
      </w:r>
    </w:p>
    <w:p w:rsidR="005366A8" w:rsidRDefault="005366A8" w:rsidP="005366A8">
      <w:pPr>
        <w:rPr>
          <w:color w:val="17365D"/>
          <w:rtl/>
        </w:rPr>
      </w:pPr>
    </w:p>
    <w:p w:rsidR="005366A8" w:rsidRPr="00581B2C" w:rsidRDefault="005366A8" w:rsidP="005366A8">
      <w:pPr>
        <w:rPr>
          <w:sz w:val="20"/>
          <w:szCs w:val="20"/>
          <w:rtl/>
        </w:rPr>
      </w:pPr>
      <w:r w:rsidRPr="00581B2C">
        <w:rPr>
          <w:rFonts w:hint="cs"/>
          <w:i/>
          <w:iCs/>
          <w:sz w:val="20"/>
          <w:szCs w:val="20"/>
          <w:rtl/>
        </w:rPr>
        <w:t>תשובה:</w:t>
      </w:r>
      <w:r w:rsidRPr="00581B2C">
        <w:rPr>
          <w:rFonts w:hint="cs"/>
          <w:sz w:val="20"/>
          <w:szCs w:val="20"/>
          <w:rtl/>
        </w:rPr>
        <w:t xml:space="preserve"> הדיון </w:t>
      </w:r>
      <w:r w:rsidRPr="00581B2C">
        <w:rPr>
          <w:rFonts w:hint="cs"/>
          <w:b/>
          <w:bCs/>
          <w:sz w:val="20"/>
          <w:szCs w:val="20"/>
          <w:rtl/>
        </w:rPr>
        <w:t>בפרץ נ כפר שמריהו</w:t>
      </w:r>
      <w:r w:rsidRPr="00581B2C">
        <w:rPr>
          <w:rFonts w:hint="cs"/>
          <w:sz w:val="20"/>
          <w:szCs w:val="20"/>
          <w:rtl/>
        </w:rPr>
        <w:t xml:space="preserve"> אינו על הסמכות אלא על אופן הפעלת הסמכות. המשפט הציבורי גיבש חובות הן לעניין הצורך בסמכות (סמכות תקפה) והן לעניין חובות המלוות את הפעלתה. אחת החובות </w:t>
      </w:r>
      <w:r w:rsidRPr="00581B2C">
        <w:rPr>
          <w:sz w:val="20"/>
          <w:szCs w:val="20"/>
          <w:rtl/>
        </w:rPr>
        <w:t>–</w:t>
      </w:r>
      <w:r w:rsidRPr="00581B2C">
        <w:rPr>
          <w:rFonts w:hint="cs"/>
          <w:sz w:val="20"/>
          <w:szCs w:val="20"/>
          <w:rtl/>
        </w:rPr>
        <w:t xml:space="preserve"> שנגזרה מהבנת היות הרשות השלטונית </w:t>
      </w:r>
      <w:r w:rsidRPr="00396313">
        <w:rPr>
          <w:rFonts w:hint="cs"/>
          <w:b/>
          <w:bCs/>
          <w:sz w:val="20"/>
          <w:szCs w:val="20"/>
          <w:rtl/>
        </w:rPr>
        <w:t>'נאמן של הציבור'</w:t>
      </w:r>
      <w:r w:rsidRPr="00581B2C">
        <w:rPr>
          <w:rFonts w:hint="cs"/>
          <w:sz w:val="20"/>
          <w:szCs w:val="20"/>
          <w:rtl/>
        </w:rPr>
        <w:t xml:space="preserve"> </w:t>
      </w:r>
      <w:r w:rsidRPr="00581B2C">
        <w:rPr>
          <w:sz w:val="20"/>
          <w:szCs w:val="20"/>
          <w:rtl/>
        </w:rPr>
        <w:t>–</w:t>
      </w:r>
      <w:r w:rsidRPr="00581B2C">
        <w:rPr>
          <w:rFonts w:hint="cs"/>
          <w:sz w:val="20"/>
          <w:szCs w:val="20"/>
          <w:rtl/>
        </w:rPr>
        <w:t xml:space="preserve"> היא איסור </w:t>
      </w:r>
      <w:r>
        <w:rPr>
          <w:rFonts w:hint="cs"/>
          <w:sz w:val="20"/>
          <w:szCs w:val="20"/>
          <w:rtl/>
        </w:rPr>
        <w:t>ה</w:t>
      </w:r>
      <w:r w:rsidRPr="00581B2C">
        <w:rPr>
          <w:rFonts w:hint="cs"/>
          <w:sz w:val="20"/>
          <w:szCs w:val="20"/>
          <w:rtl/>
        </w:rPr>
        <w:t>פליה.</w:t>
      </w:r>
    </w:p>
    <w:p w:rsidR="005366A8" w:rsidRPr="00581B2C" w:rsidRDefault="005366A8" w:rsidP="005366A8">
      <w:pPr>
        <w:ind w:left="720"/>
        <w:rPr>
          <w:sz w:val="20"/>
          <w:szCs w:val="20"/>
          <w:rtl/>
        </w:rPr>
      </w:pPr>
      <w:r w:rsidRPr="00581B2C">
        <w:rPr>
          <w:rFonts w:hint="cs"/>
          <w:sz w:val="20"/>
          <w:szCs w:val="20"/>
          <w:rtl/>
        </w:rPr>
        <w:t>[הסמכות עצמה הייתה מצויה בפקודת המועצות המקומיות (1941), והיא נוגעת לשימוש המועצה בנכסיה וליכולתה לאפשר שימוש בהם לתושביה ולאחרים].</w:t>
      </w:r>
    </w:p>
    <w:p w:rsidR="005366A8" w:rsidRPr="00581B2C" w:rsidRDefault="005366A8" w:rsidP="005366A8">
      <w:pPr>
        <w:rPr>
          <w:color w:val="17365D"/>
          <w:sz w:val="20"/>
          <w:szCs w:val="20"/>
          <w:rtl/>
        </w:rPr>
      </w:pPr>
      <w:r w:rsidRPr="00581B2C">
        <w:rPr>
          <w:rFonts w:hint="cs"/>
          <w:sz w:val="20"/>
          <w:szCs w:val="20"/>
          <w:rtl/>
        </w:rPr>
        <w:t>אמנם אחד השופטים מדבר על העדר סמכות לרשות המקומית, ככזו (להבדיל מהשלטון המרכזי) להפעיל שיקולי דת, ואולם למרות הניסוח מדובר שוב בחובה הנוגעת לאופן הפעלת הסמכות. משמע, האיסור על שקילת 'שיקולים זרים' בעת הפעלת הסמכות הקיימת</w:t>
      </w:r>
      <w:r>
        <w:rPr>
          <w:rFonts w:hint="cs"/>
          <w:sz w:val="20"/>
          <w:szCs w:val="20"/>
          <w:rtl/>
        </w:rPr>
        <w:t>, ובתוך כך איסור האפליה</w:t>
      </w:r>
      <w:r w:rsidRPr="00581B2C">
        <w:rPr>
          <w:rFonts w:hint="cs"/>
          <w:sz w:val="20"/>
          <w:szCs w:val="20"/>
          <w:rtl/>
        </w:rPr>
        <w:t xml:space="preserve">. </w:t>
      </w:r>
    </w:p>
    <w:p w:rsidR="005366A8" w:rsidRDefault="005366A8" w:rsidP="005366A8">
      <w:pPr>
        <w:rPr>
          <w:sz w:val="22"/>
          <w:szCs w:val="22"/>
          <w:rtl/>
        </w:rPr>
      </w:pPr>
      <w:r>
        <w:rPr>
          <w:rFonts w:hint="cs"/>
          <w:sz w:val="22"/>
          <w:szCs w:val="22"/>
          <w:rtl/>
        </w:rPr>
        <w:t>=-=</w:t>
      </w:r>
    </w:p>
    <w:p w:rsidR="005366A8" w:rsidRDefault="005366A8" w:rsidP="005366A8">
      <w:pPr>
        <w:rPr>
          <w:sz w:val="22"/>
          <w:szCs w:val="22"/>
          <w:rtl/>
        </w:rPr>
      </w:pPr>
    </w:p>
    <w:p w:rsidR="005366A8" w:rsidRPr="00DC05CB" w:rsidRDefault="005366A8" w:rsidP="005366A8">
      <w:pPr>
        <w:rPr>
          <w:b/>
          <w:bCs/>
          <w:sz w:val="22"/>
          <w:szCs w:val="22"/>
          <w:rtl/>
        </w:rPr>
      </w:pPr>
      <w:r w:rsidRPr="00DC05CB">
        <w:rPr>
          <w:rFonts w:hint="cs"/>
          <w:b/>
          <w:bCs/>
          <w:sz w:val="22"/>
          <w:szCs w:val="22"/>
          <w:rtl/>
        </w:rPr>
        <w:t>ירדור נ' ועדת הבחירות המרכזית</w:t>
      </w:r>
    </w:p>
    <w:p w:rsidR="005366A8" w:rsidRDefault="005366A8" w:rsidP="005366A8">
      <w:pPr>
        <w:rPr>
          <w:sz w:val="22"/>
          <w:szCs w:val="22"/>
          <w:rtl/>
        </w:rPr>
      </w:pPr>
      <w:r>
        <w:rPr>
          <w:rFonts w:hint="cs"/>
          <w:sz w:val="22"/>
          <w:szCs w:val="22"/>
          <w:rtl/>
        </w:rPr>
        <w:t>[דפי הפגישה הקודמת]</w:t>
      </w:r>
    </w:p>
    <w:p w:rsidR="005366A8" w:rsidRDefault="005366A8" w:rsidP="005366A8">
      <w:pPr>
        <w:rPr>
          <w:sz w:val="22"/>
          <w:szCs w:val="22"/>
          <w:rtl/>
        </w:rPr>
      </w:pPr>
    </w:p>
    <w:p w:rsidR="005366A8" w:rsidRPr="00BA6563" w:rsidRDefault="005366A8" w:rsidP="005366A8">
      <w:pPr>
        <w:rPr>
          <w:rFonts w:ascii="Arial" w:hAnsi="Arial" w:cs="Guttman-Soncino"/>
          <w:sz w:val="16"/>
          <w:szCs w:val="16"/>
          <w:rtl/>
        </w:rPr>
      </w:pPr>
      <w:r w:rsidRPr="00BA6563">
        <w:rPr>
          <w:rFonts w:ascii="Arial" w:hAnsi="Arial" w:cs="Guttman-Soncino"/>
          <w:sz w:val="16"/>
          <w:szCs w:val="16"/>
          <w:rtl/>
        </w:rPr>
        <w:t xml:space="preserve">ראו להלן התכתבות מייל עם </w:t>
      </w:r>
      <w:r>
        <w:rPr>
          <w:rFonts w:ascii="Arial" w:hAnsi="Arial" w:cs="Guttman-Soncino" w:hint="cs"/>
          <w:sz w:val="16"/>
          <w:szCs w:val="16"/>
          <w:rtl/>
        </w:rPr>
        <w:t>סטודנט באחת השנים הקודמות, זאת ביחס לדיון ולטיעונים שהשמעתי בעניין ירדור</w:t>
      </w:r>
      <w:r w:rsidRPr="00BA6563">
        <w:rPr>
          <w:rFonts w:ascii="Arial" w:hAnsi="Arial" w:cs="Guttman-Soncino"/>
          <w:sz w:val="16"/>
          <w:szCs w:val="16"/>
          <w:rtl/>
        </w:rPr>
        <w:t>.</w:t>
      </w:r>
    </w:p>
    <w:p w:rsidR="005366A8" w:rsidRDefault="005366A8" w:rsidP="005366A8">
      <w:pPr>
        <w:rPr>
          <w:rtl/>
        </w:rPr>
      </w:pPr>
    </w:p>
    <w:p w:rsidR="005366A8" w:rsidRPr="0001633D" w:rsidRDefault="005366A8" w:rsidP="005366A8">
      <w:pPr>
        <w:spacing w:after="60"/>
        <w:rPr>
          <w:rFonts w:ascii="Arial" w:hAnsi="Arial" w:cs="Arial"/>
          <w:sz w:val="18"/>
          <w:szCs w:val="18"/>
          <w:rtl/>
        </w:rPr>
      </w:pPr>
      <w:r w:rsidRPr="0078152C">
        <w:rPr>
          <w:rFonts w:ascii="Arial" w:hAnsi="Arial" w:cs="Arial" w:hint="cs"/>
          <w:i/>
          <w:iCs/>
          <w:sz w:val="18"/>
          <w:szCs w:val="18"/>
          <w:u w:val="single"/>
          <w:rtl/>
        </w:rPr>
        <w:t>הסטודנט:</w:t>
      </w:r>
      <w:r>
        <w:rPr>
          <w:rFonts w:ascii="Arial" w:hAnsi="Arial" w:cs="Arial" w:hint="cs"/>
          <w:sz w:val="18"/>
          <w:szCs w:val="18"/>
          <w:rtl/>
        </w:rPr>
        <w:t xml:space="preserve"> </w:t>
      </w:r>
      <w:r w:rsidRPr="0001633D">
        <w:rPr>
          <w:rFonts w:ascii="Arial" w:hAnsi="Arial" w:cs="Arial"/>
          <w:sz w:val="18"/>
          <w:szCs w:val="18"/>
          <w:rtl/>
        </w:rPr>
        <w:t xml:space="preserve">לטעמי הדגש בפרשת ירדור </w:t>
      </w:r>
      <w:r>
        <w:rPr>
          <w:rFonts w:ascii="Arial" w:hAnsi="Arial" w:cs="Arial" w:hint="cs"/>
          <w:sz w:val="18"/>
          <w:szCs w:val="18"/>
          <w:rtl/>
        </w:rPr>
        <w:t xml:space="preserve">צריך להיות/ צריך היה להיות על </w:t>
      </w:r>
      <w:r w:rsidRPr="0001633D">
        <w:rPr>
          <w:rFonts w:ascii="Arial" w:hAnsi="Arial" w:cs="Arial"/>
          <w:sz w:val="18"/>
          <w:szCs w:val="18"/>
          <w:rtl/>
        </w:rPr>
        <w:t xml:space="preserve">היסוד הראייתי </w:t>
      </w:r>
      <w:r>
        <w:rPr>
          <w:rFonts w:ascii="Arial" w:hAnsi="Arial" w:cs="Arial" w:hint="cs"/>
          <w:sz w:val="18"/>
          <w:szCs w:val="18"/>
          <w:rtl/>
        </w:rPr>
        <w:t>א</w:t>
      </w:r>
      <w:r w:rsidRPr="0001633D">
        <w:rPr>
          <w:rFonts w:ascii="Arial" w:hAnsi="Arial" w:cs="Arial"/>
          <w:sz w:val="18"/>
          <w:szCs w:val="18"/>
          <w:rtl/>
        </w:rPr>
        <w:t>ו</w:t>
      </w:r>
      <w:r>
        <w:rPr>
          <w:rFonts w:ascii="Arial" w:hAnsi="Arial" w:cs="Arial" w:hint="cs"/>
          <w:sz w:val="18"/>
          <w:szCs w:val="18"/>
          <w:rtl/>
        </w:rPr>
        <w:t xml:space="preserve"> </w:t>
      </w:r>
      <w:r w:rsidRPr="0001633D">
        <w:rPr>
          <w:rFonts w:ascii="Arial" w:hAnsi="Arial" w:cs="Arial"/>
          <w:sz w:val="18"/>
          <w:szCs w:val="18"/>
          <w:rtl/>
        </w:rPr>
        <w:t>הביסוס העובדתי</w:t>
      </w:r>
      <w:r>
        <w:rPr>
          <w:rFonts w:ascii="Arial" w:hAnsi="Arial" w:cs="Arial" w:hint="cs"/>
          <w:sz w:val="18"/>
          <w:szCs w:val="18"/>
          <w:rtl/>
        </w:rPr>
        <w:t xml:space="preserve"> לטענות</w:t>
      </w:r>
      <w:r w:rsidRPr="0001633D">
        <w:rPr>
          <w:rFonts w:ascii="Arial" w:hAnsi="Arial" w:cs="Arial"/>
          <w:sz w:val="18"/>
          <w:szCs w:val="18"/>
          <w:rtl/>
        </w:rPr>
        <w:t>. הרי ברור לכולם שחברי הרשימה לא האמינו ביכולתם לשנות את פני המדינה, לגרום להפיכה או להשתלט עליה בדומה למפלגה הנאצית. כוונתם המפ</w:t>
      </w:r>
      <w:r w:rsidRPr="0001633D">
        <w:rPr>
          <w:rFonts w:ascii="Arial" w:hAnsi="Arial" w:cs="Arial" w:hint="cs"/>
          <w:sz w:val="18"/>
          <w:szCs w:val="18"/>
          <w:rtl/>
        </w:rPr>
        <w:t>ו</w:t>
      </w:r>
      <w:r w:rsidRPr="0001633D">
        <w:rPr>
          <w:rFonts w:ascii="Arial" w:hAnsi="Arial" w:cs="Arial"/>
          <w:sz w:val="18"/>
          <w:szCs w:val="18"/>
          <w:rtl/>
        </w:rPr>
        <w:t>רשת, על סמך התרחשויות העבר, הייתה לגרום לנזק כלשהו, אולי להציג את ישראל בצורה נלעגת</w:t>
      </w:r>
      <w:r w:rsidRPr="0001633D">
        <w:rPr>
          <w:rFonts w:ascii="Arial" w:hAnsi="Arial" w:cs="Arial" w:hint="cs"/>
          <w:sz w:val="18"/>
          <w:szCs w:val="18"/>
          <w:rtl/>
        </w:rPr>
        <w:t>,</w:t>
      </w:r>
      <w:r w:rsidRPr="0001633D">
        <w:rPr>
          <w:rFonts w:ascii="Arial" w:hAnsi="Arial" w:cs="Arial"/>
          <w:sz w:val="18"/>
          <w:szCs w:val="18"/>
          <w:rtl/>
        </w:rPr>
        <w:t xml:space="preserve"> אולי נזק פיזי ממשי</w:t>
      </w:r>
      <w:r w:rsidRPr="0001633D">
        <w:rPr>
          <w:rFonts w:ascii="Arial" w:hAnsi="Arial" w:cs="Arial" w:hint="cs"/>
          <w:sz w:val="18"/>
          <w:szCs w:val="18"/>
          <w:rtl/>
        </w:rPr>
        <w:t>,</w:t>
      </w:r>
      <w:r w:rsidRPr="0001633D">
        <w:rPr>
          <w:rFonts w:ascii="Arial" w:hAnsi="Arial" w:cs="Arial"/>
          <w:sz w:val="18"/>
          <w:szCs w:val="18"/>
          <w:rtl/>
        </w:rPr>
        <w:t xml:space="preserve"> אולי כל דבר דומה אחר. ולכן אין לנו צורך בהעמדת הסיטואציה במבחן איזון כזה או אחר.</w:t>
      </w:r>
    </w:p>
    <w:p w:rsidR="005366A8" w:rsidRPr="0001633D" w:rsidRDefault="005366A8" w:rsidP="005366A8">
      <w:pPr>
        <w:spacing w:after="60"/>
        <w:rPr>
          <w:rFonts w:ascii="Arial" w:hAnsi="Arial" w:cs="Arial"/>
          <w:sz w:val="18"/>
          <w:szCs w:val="18"/>
          <w:rtl/>
        </w:rPr>
      </w:pPr>
      <w:r w:rsidRPr="0001633D">
        <w:rPr>
          <w:rFonts w:ascii="Arial" w:hAnsi="Arial" w:cs="Arial"/>
          <w:sz w:val="18"/>
          <w:szCs w:val="18"/>
          <w:rtl/>
        </w:rPr>
        <w:t>ברור לעין כל</w:t>
      </w:r>
      <w:r w:rsidRPr="0001633D">
        <w:rPr>
          <w:rFonts w:ascii="Arial" w:hAnsi="Arial" w:cs="Arial" w:hint="cs"/>
          <w:sz w:val="18"/>
          <w:szCs w:val="18"/>
          <w:rtl/>
        </w:rPr>
        <w:t>,</w:t>
      </w:r>
      <w:r w:rsidRPr="0001633D">
        <w:rPr>
          <w:rFonts w:ascii="Arial" w:hAnsi="Arial" w:cs="Arial"/>
          <w:sz w:val="18"/>
          <w:szCs w:val="18"/>
          <w:rtl/>
        </w:rPr>
        <w:t xml:space="preserve"> שחברי המפלגה ביקשו לנצל בצורה צינית את הכלים הדמוקרטיים לטובתם האישית ולא לצורך ציבור או מגזר כלשהו</w:t>
      </w:r>
      <w:r w:rsidRPr="0001633D">
        <w:rPr>
          <w:rFonts w:ascii="Arial" w:hAnsi="Arial" w:cs="Arial" w:hint="cs"/>
          <w:sz w:val="18"/>
          <w:szCs w:val="18"/>
          <w:rtl/>
        </w:rPr>
        <w:t>,</w:t>
      </w:r>
      <w:r w:rsidRPr="0001633D">
        <w:rPr>
          <w:rFonts w:ascii="Arial" w:hAnsi="Arial" w:cs="Arial"/>
          <w:sz w:val="18"/>
          <w:szCs w:val="18"/>
          <w:rtl/>
        </w:rPr>
        <w:t xml:space="preserve"> וזאת בכדי לקבל חסינות </w:t>
      </w:r>
      <w:r w:rsidRPr="0001633D">
        <w:rPr>
          <w:rFonts w:ascii="Arial" w:hAnsi="Arial" w:cs="Arial" w:hint="cs"/>
          <w:sz w:val="18"/>
          <w:szCs w:val="18"/>
          <w:rtl/>
        </w:rPr>
        <w:t xml:space="preserve">פרלמנטרית </w:t>
      </w:r>
      <w:r w:rsidRPr="0001633D">
        <w:rPr>
          <w:rFonts w:ascii="Arial" w:hAnsi="Arial" w:cs="Arial"/>
          <w:sz w:val="18"/>
          <w:szCs w:val="18"/>
          <w:rtl/>
        </w:rPr>
        <w:t xml:space="preserve">שתאפשר להם מרווח תמרון רחב יותר </w:t>
      </w:r>
      <w:r>
        <w:rPr>
          <w:rFonts w:ascii="Arial" w:hAnsi="Arial" w:cs="Arial" w:hint="cs"/>
          <w:sz w:val="18"/>
          <w:szCs w:val="18"/>
          <w:rtl/>
        </w:rPr>
        <w:t>למול</w:t>
      </w:r>
      <w:r w:rsidRPr="0001633D">
        <w:rPr>
          <w:rFonts w:ascii="Arial" w:hAnsi="Arial" w:cs="Arial"/>
          <w:sz w:val="18"/>
          <w:szCs w:val="18"/>
          <w:rtl/>
        </w:rPr>
        <w:t xml:space="preserve"> החוק.</w:t>
      </w:r>
    </w:p>
    <w:p w:rsidR="005366A8" w:rsidRPr="0001633D" w:rsidRDefault="005366A8" w:rsidP="005366A8">
      <w:pPr>
        <w:spacing w:after="60"/>
        <w:rPr>
          <w:rFonts w:ascii="Arial" w:hAnsi="Arial" w:cs="Arial"/>
          <w:sz w:val="18"/>
          <w:szCs w:val="18"/>
          <w:rtl/>
        </w:rPr>
      </w:pPr>
      <w:r w:rsidRPr="0001633D">
        <w:rPr>
          <w:rFonts w:ascii="Arial" w:hAnsi="Arial" w:cs="Arial"/>
          <w:sz w:val="18"/>
          <w:szCs w:val="18"/>
          <w:rtl/>
        </w:rPr>
        <w:t>יש שיקראו להם</w:t>
      </w:r>
      <w:r>
        <w:rPr>
          <w:rFonts w:ascii="Arial" w:hAnsi="Arial" w:cs="Arial" w:hint="cs"/>
          <w:sz w:val="18"/>
          <w:szCs w:val="18"/>
          <w:rtl/>
        </w:rPr>
        <w:t>, לחברי מפלגה זו ותומכיה,</w:t>
      </w:r>
      <w:r w:rsidRPr="0001633D">
        <w:rPr>
          <w:rFonts w:ascii="Arial" w:hAnsi="Arial" w:cs="Arial"/>
          <w:sz w:val="18"/>
          <w:szCs w:val="18"/>
          <w:rtl/>
        </w:rPr>
        <w:t xml:space="preserve"> "מיעוט כרוני"</w:t>
      </w:r>
      <w:r>
        <w:rPr>
          <w:rFonts w:ascii="Arial" w:hAnsi="Arial" w:cs="Arial" w:hint="cs"/>
          <w:sz w:val="18"/>
          <w:szCs w:val="18"/>
          <w:rtl/>
        </w:rPr>
        <w:t>,</w:t>
      </w:r>
      <w:r w:rsidRPr="0001633D">
        <w:rPr>
          <w:rFonts w:ascii="Arial" w:hAnsi="Arial" w:cs="Arial"/>
          <w:sz w:val="18"/>
          <w:szCs w:val="18"/>
          <w:rtl/>
        </w:rPr>
        <w:t xml:space="preserve"> אך לעובדה זו אין ולא צריכה להיות שום השפעה במישור המשפטי</w:t>
      </w:r>
      <w:r>
        <w:rPr>
          <w:rFonts w:ascii="Arial" w:hAnsi="Arial" w:cs="Arial" w:hint="cs"/>
          <w:sz w:val="18"/>
          <w:szCs w:val="18"/>
          <w:rtl/>
        </w:rPr>
        <w:t>.</w:t>
      </w:r>
      <w:r w:rsidRPr="0001633D">
        <w:rPr>
          <w:rFonts w:ascii="Arial" w:hAnsi="Arial" w:cs="Arial"/>
          <w:sz w:val="18"/>
          <w:szCs w:val="18"/>
          <w:rtl/>
        </w:rPr>
        <w:t xml:space="preserve"> הרי המשל שלומד כל כבאי מתחיל בקורס כבאות הוא שאת השרפה הגדולה ביותר בעולם ניתן לכבות עם כוס מים אילו עושים זאת בתחילה. מ</w:t>
      </w:r>
      <w:r w:rsidRPr="0001633D">
        <w:rPr>
          <w:rFonts w:ascii="Arial" w:hAnsi="Arial" w:cs="Arial" w:hint="cs"/>
          <w:sz w:val="18"/>
          <w:szCs w:val="18"/>
          <w:rtl/>
        </w:rPr>
        <w:t>י</w:t>
      </w:r>
      <w:r w:rsidRPr="0001633D">
        <w:rPr>
          <w:rFonts w:ascii="Arial" w:hAnsi="Arial" w:cs="Arial"/>
          <w:sz w:val="18"/>
          <w:szCs w:val="18"/>
          <w:rtl/>
        </w:rPr>
        <w:t>רב השינויים שנעשו בעולם התחילו במהלך קטן ומצומצם ולא תמיד באו לידי ביטוי במהפך בן</w:t>
      </w:r>
      <w:r w:rsidRPr="0001633D">
        <w:rPr>
          <w:rFonts w:ascii="Arial" w:hAnsi="Arial" w:cs="Arial" w:hint="cs"/>
          <w:sz w:val="18"/>
          <w:szCs w:val="18"/>
          <w:rtl/>
        </w:rPr>
        <w:t>-</w:t>
      </w:r>
      <w:r w:rsidRPr="0001633D">
        <w:rPr>
          <w:rFonts w:ascii="Arial" w:hAnsi="Arial" w:cs="Arial"/>
          <w:sz w:val="18"/>
          <w:szCs w:val="18"/>
          <w:rtl/>
        </w:rPr>
        <w:t>לילה.</w:t>
      </w:r>
    </w:p>
    <w:p w:rsidR="005366A8" w:rsidRPr="0001633D" w:rsidRDefault="005366A8" w:rsidP="005366A8">
      <w:pPr>
        <w:spacing w:after="60"/>
        <w:rPr>
          <w:rFonts w:ascii="Arial" w:hAnsi="Arial" w:cs="Arial"/>
          <w:sz w:val="18"/>
          <w:szCs w:val="18"/>
          <w:rtl/>
        </w:rPr>
      </w:pPr>
      <w:r w:rsidRPr="0001633D">
        <w:rPr>
          <w:rFonts w:ascii="Arial" w:hAnsi="Arial" w:cs="Arial"/>
          <w:sz w:val="18"/>
          <w:szCs w:val="18"/>
          <w:rtl/>
        </w:rPr>
        <w:t>לעניות דעתי, השאלה שאמורה להנחות אותנו במקרה שכזה</w:t>
      </w:r>
      <w:r w:rsidRPr="0001633D">
        <w:rPr>
          <w:rFonts w:ascii="Arial" w:hAnsi="Arial" w:cs="Arial" w:hint="cs"/>
          <w:sz w:val="18"/>
          <w:szCs w:val="18"/>
          <w:rtl/>
        </w:rPr>
        <w:t>,</w:t>
      </w:r>
      <w:r w:rsidRPr="0001633D">
        <w:rPr>
          <w:rFonts w:ascii="Arial" w:hAnsi="Arial" w:cs="Arial"/>
          <w:sz w:val="18"/>
          <w:szCs w:val="18"/>
          <w:rtl/>
        </w:rPr>
        <w:t xml:space="preserve"> היא לא מה יהיה המחיר שנשלם אם תורשה הרשימה להתמודד בבחירות או אפילו אם תצליח להיבחר לכנסת</w:t>
      </w:r>
      <w:r w:rsidRPr="0001633D">
        <w:rPr>
          <w:rFonts w:ascii="Arial" w:hAnsi="Arial" w:cs="Arial" w:hint="cs"/>
          <w:sz w:val="18"/>
          <w:szCs w:val="18"/>
          <w:rtl/>
        </w:rPr>
        <w:t>,</w:t>
      </w:r>
      <w:r w:rsidRPr="0001633D">
        <w:rPr>
          <w:rFonts w:ascii="Arial" w:hAnsi="Arial" w:cs="Arial"/>
          <w:sz w:val="18"/>
          <w:szCs w:val="18"/>
          <w:rtl/>
        </w:rPr>
        <w:t xml:space="preserve"> אלא מה התועלת שתצמח לנו ממצב שכזה?  בשביל איזו מ</w:t>
      </w:r>
      <w:r>
        <w:rPr>
          <w:rFonts w:ascii="Arial" w:hAnsi="Arial" w:cs="Arial" w:hint="cs"/>
          <w:sz w:val="18"/>
          <w:szCs w:val="18"/>
          <w:rtl/>
        </w:rPr>
        <w:t>י</w:t>
      </w:r>
      <w:r w:rsidRPr="0001633D">
        <w:rPr>
          <w:rFonts w:ascii="Arial" w:hAnsi="Arial" w:cs="Arial"/>
          <w:sz w:val="18"/>
          <w:szCs w:val="18"/>
          <w:rtl/>
        </w:rPr>
        <w:t>ן תועלת שווה לנו לקחת סיכון?</w:t>
      </w:r>
    </w:p>
    <w:p w:rsidR="005366A8" w:rsidRPr="0001633D" w:rsidRDefault="005366A8" w:rsidP="005366A8">
      <w:pPr>
        <w:spacing w:after="60"/>
        <w:rPr>
          <w:rFonts w:ascii="Arial" w:hAnsi="Arial" w:cs="Arial"/>
          <w:sz w:val="18"/>
          <w:szCs w:val="18"/>
          <w:rtl/>
        </w:rPr>
      </w:pPr>
      <w:r w:rsidRPr="0001633D">
        <w:rPr>
          <w:rFonts w:ascii="Arial" w:hAnsi="Arial" w:cs="Arial"/>
          <w:sz w:val="18"/>
          <w:szCs w:val="18"/>
          <w:rtl/>
        </w:rPr>
        <w:t>בנוגע להשוואה האפשרית עם המפלגות החרדיות, לא גדלתי בעולם החרדי</w:t>
      </w:r>
      <w:r w:rsidRPr="0001633D">
        <w:rPr>
          <w:rFonts w:ascii="Arial" w:hAnsi="Arial" w:cs="Arial" w:hint="cs"/>
          <w:sz w:val="18"/>
          <w:szCs w:val="18"/>
          <w:rtl/>
        </w:rPr>
        <w:t>,</w:t>
      </w:r>
      <w:r w:rsidRPr="0001633D">
        <w:rPr>
          <w:rFonts w:ascii="Arial" w:hAnsi="Arial" w:cs="Arial"/>
          <w:sz w:val="18"/>
          <w:szCs w:val="18"/>
          <w:rtl/>
        </w:rPr>
        <w:t xml:space="preserve"> ואני לא מתיימר להכיר אותו או את מנהיגיו</w:t>
      </w:r>
      <w:r w:rsidRPr="0001633D">
        <w:rPr>
          <w:rFonts w:ascii="Arial" w:hAnsi="Arial" w:cs="Arial" w:hint="cs"/>
          <w:sz w:val="18"/>
          <w:szCs w:val="18"/>
          <w:rtl/>
        </w:rPr>
        <w:t>,</w:t>
      </w:r>
      <w:r w:rsidRPr="0001633D">
        <w:rPr>
          <w:rFonts w:ascii="Arial" w:hAnsi="Arial" w:cs="Arial"/>
          <w:sz w:val="18"/>
          <w:szCs w:val="18"/>
          <w:rtl/>
        </w:rPr>
        <w:t xml:space="preserve"> אבל אני כן מזהה נכונות של מפלגות אלו לשחק במגרש המשחקים הפוליטי תחת גבולות הגזרה המאוד ברורים שלו</w:t>
      </w:r>
      <w:r w:rsidRPr="0001633D">
        <w:rPr>
          <w:rFonts w:ascii="Arial" w:hAnsi="Arial" w:cs="Arial" w:hint="cs"/>
          <w:sz w:val="18"/>
          <w:szCs w:val="18"/>
          <w:rtl/>
        </w:rPr>
        <w:t>.</w:t>
      </w:r>
      <w:r w:rsidRPr="0001633D">
        <w:rPr>
          <w:rFonts w:ascii="Arial" w:hAnsi="Arial" w:cs="Arial"/>
          <w:sz w:val="18"/>
          <w:szCs w:val="18"/>
          <w:rtl/>
        </w:rPr>
        <w:t xml:space="preserve"> רובן אמנם משחקות "מלוכלך" וגם חבריה</w:t>
      </w:r>
      <w:r w:rsidRPr="0001633D">
        <w:rPr>
          <w:rFonts w:ascii="Arial" w:hAnsi="Arial" w:cs="Arial" w:hint="cs"/>
          <w:sz w:val="18"/>
          <w:szCs w:val="18"/>
          <w:rtl/>
        </w:rPr>
        <w:t>ן</w:t>
      </w:r>
      <w:r w:rsidRPr="0001633D">
        <w:rPr>
          <w:rFonts w:ascii="Arial" w:hAnsi="Arial" w:cs="Arial"/>
          <w:sz w:val="18"/>
          <w:szCs w:val="18"/>
          <w:rtl/>
        </w:rPr>
        <w:t xml:space="preserve"> לפעמים מנצלים אותו לטובתם האישית</w:t>
      </w:r>
      <w:r w:rsidRPr="0001633D">
        <w:rPr>
          <w:rFonts w:ascii="Arial" w:hAnsi="Arial" w:cs="Arial" w:hint="cs"/>
          <w:sz w:val="18"/>
          <w:szCs w:val="18"/>
          <w:rtl/>
        </w:rPr>
        <w:t>,</w:t>
      </w:r>
      <w:r w:rsidRPr="0001633D">
        <w:rPr>
          <w:rFonts w:ascii="Arial" w:hAnsi="Arial" w:cs="Arial"/>
          <w:sz w:val="18"/>
          <w:szCs w:val="18"/>
          <w:rtl/>
        </w:rPr>
        <w:t xml:space="preserve"> אבל הן אף פעם לא נמצאו בקונפליקט מעשי הנוגע ללגיטימציה של מדינת ישראל כמדינה דמוקרטית.</w:t>
      </w:r>
    </w:p>
    <w:p w:rsidR="005366A8" w:rsidRPr="0001633D" w:rsidRDefault="005366A8" w:rsidP="005366A8">
      <w:pPr>
        <w:spacing w:after="60"/>
        <w:rPr>
          <w:rFonts w:ascii="Arial" w:hAnsi="Arial" w:cs="Arial"/>
          <w:sz w:val="18"/>
          <w:szCs w:val="18"/>
          <w:rtl/>
        </w:rPr>
      </w:pPr>
      <w:r w:rsidRPr="0001633D">
        <w:rPr>
          <w:rFonts w:ascii="Arial" w:hAnsi="Arial" w:cs="Arial"/>
          <w:sz w:val="18"/>
          <w:szCs w:val="18"/>
          <w:rtl/>
        </w:rPr>
        <w:t>אפשר אולי לומר שהן שואפות לקיים מדינת הלכה שאיננה דמוקרטית בארץ ישראל אך למעשה, בפועל, הן אינן עושות דבר בכדי לקיים או לקדם רעיון זה</w:t>
      </w:r>
      <w:r>
        <w:rPr>
          <w:rFonts w:ascii="Arial" w:hAnsi="Arial" w:cs="Arial" w:hint="cs"/>
          <w:sz w:val="18"/>
          <w:szCs w:val="18"/>
          <w:rtl/>
        </w:rPr>
        <w:t>.</w:t>
      </w:r>
      <w:r w:rsidRPr="0001633D">
        <w:rPr>
          <w:rFonts w:ascii="Arial" w:hAnsi="Arial" w:cs="Arial"/>
          <w:sz w:val="18"/>
          <w:szCs w:val="18"/>
          <w:rtl/>
        </w:rPr>
        <w:t xml:space="preserve"> הן רואות בו כאידיאל בדיוק כמו שבית המשפט רואה ב"מדינת כלל אזרחיה" אידיאל בעולם מקביל משל עצמו.</w:t>
      </w:r>
    </w:p>
    <w:p w:rsidR="005366A8" w:rsidRPr="0001633D" w:rsidRDefault="005366A8" w:rsidP="005366A8">
      <w:pPr>
        <w:spacing w:after="60"/>
        <w:rPr>
          <w:rFonts w:ascii="Arial" w:hAnsi="Arial" w:cs="Arial"/>
          <w:sz w:val="18"/>
          <w:szCs w:val="18"/>
          <w:rtl/>
        </w:rPr>
      </w:pPr>
      <w:r w:rsidRPr="0001633D">
        <w:rPr>
          <w:rFonts w:ascii="Arial" w:hAnsi="Arial" w:cs="Arial"/>
          <w:sz w:val="18"/>
          <w:szCs w:val="18"/>
          <w:rtl/>
        </w:rPr>
        <w:t xml:space="preserve">ולבסוף, כדי להוכיח מעט </w:t>
      </w:r>
      <w:r>
        <w:rPr>
          <w:rFonts w:ascii="Arial" w:hAnsi="Arial" w:cs="Arial" w:hint="cs"/>
          <w:sz w:val="18"/>
          <w:szCs w:val="18"/>
          <w:rtl/>
        </w:rPr>
        <w:t>מ</w:t>
      </w:r>
      <w:r w:rsidRPr="0001633D">
        <w:rPr>
          <w:rFonts w:ascii="Arial" w:hAnsi="Arial" w:cs="Arial"/>
          <w:sz w:val="18"/>
          <w:szCs w:val="18"/>
          <w:rtl/>
        </w:rPr>
        <w:t>טענתי, אטען ואומר שממש לא צריך לחזור לימי גרמניה הנאצית. במדינת ישראל של ימינו אנו, נבחר חבר הכנסת עזמי בשארה בכדי לייצג מיעוט לא קטן</w:t>
      </w:r>
      <w:r w:rsidRPr="0001633D">
        <w:rPr>
          <w:rFonts w:ascii="Arial" w:hAnsi="Arial" w:cs="Arial" w:hint="cs"/>
          <w:sz w:val="18"/>
          <w:szCs w:val="18"/>
          <w:rtl/>
        </w:rPr>
        <w:t>,</w:t>
      </w:r>
      <w:r w:rsidRPr="0001633D">
        <w:rPr>
          <w:rFonts w:ascii="Arial" w:hAnsi="Arial" w:cs="Arial"/>
          <w:sz w:val="18"/>
          <w:szCs w:val="18"/>
          <w:rtl/>
        </w:rPr>
        <w:t xml:space="preserve"> ולאחר הגיעו לעמדת ההשפעה שניתנה לו (בדרך דמוקרטית, "נאורה", חוקית לחלוטין ללא מגבלה וללא שום מכשול) - תקע סכין בגבו של הרעיון הדמוקרטי ובתושבי מדינת ישראל כולם.</w:t>
      </w:r>
    </w:p>
    <w:p w:rsidR="005366A8" w:rsidRPr="00231A74" w:rsidRDefault="005366A8" w:rsidP="005366A8">
      <w:pPr>
        <w:rPr>
          <w:sz w:val="18"/>
          <w:szCs w:val="18"/>
          <w:rtl/>
        </w:rPr>
      </w:pPr>
      <w:r>
        <w:rPr>
          <w:rFonts w:ascii="Arial" w:hAnsi="Arial" w:cs="Arial" w:hint="cs"/>
          <w:sz w:val="18"/>
          <w:szCs w:val="18"/>
          <w:rtl/>
        </w:rPr>
        <w:t>...</w:t>
      </w:r>
    </w:p>
    <w:p w:rsidR="005366A8" w:rsidRPr="00231A74" w:rsidRDefault="005366A8" w:rsidP="005366A8">
      <w:pPr>
        <w:spacing w:after="60"/>
        <w:rPr>
          <w:sz w:val="20"/>
          <w:szCs w:val="20"/>
          <w:rtl/>
        </w:rPr>
      </w:pPr>
      <w:r w:rsidRPr="00231A74">
        <w:rPr>
          <w:sz w:val="20"/>
          <w:szCs w:val="20"/>
          <w:rtl/>
        </w:rPr>
        <w:t>טיעונים מעניינים.</w:t>
      </w:r>
      <w:r>
        <w:rPr>
          <w:rFonts w:hint="cs"/>
          <w:sz w:val="20"/>
          <w:szCs w:val="20"/>
          <w:rtl/>
        </w:rPr>
        <w:t xml:space="preserve"> </w:t>
      </w:r>
      <w:r w:rsidRPr="00231A74">
        <w:rPr>
          <w:sz w:val="20"/>
          <w:szCs w:val="20"/>
          <w:rtl/>
        </w:rPr>
        <w:t>אני מתקשה</w:t>
      </w:r>
      <w:r>
        <w:rPr>
          <w:rFonts w:hint="cs"/>
          <w:sz w:val="20"/>
          <w:szCs w:val="20"/>
          <w:rtl/>
        </w:rPr>
        <w:t>,</w:t>
      </w:r>
      <w:r w:rsidRPr="00231A74">
        <w:rPr>
          <w:sz w:val="20"/>
          <w:szCs w:val="20"/>
          <w:rtl/>
        </w:rPr>
        <w:t xml:space="preserve"> </w:t>
      </w:r>
      <w:r>
        <w:rPr>
          <w:rFonts w:hint="cs"/>
          <w:sz w:val="20"/>
          <w:szCs w:val="20"/>
          <w:rtl/>
        </w:rPr>
        <w:t xml:space="preserve">עם זאת, </w:t>
      </w:r>
      <w:r w:rsidRPr="00231A74">
        <w:rPr>
          <w:sz w:val="20"/>
          <w:szCs w:val="20"/>
          <w:rtl/>
        </w:rPr>
        <w:t>להסכים עמם.</w:t>
      </w:r>
    </w:p>
    <w:p w:rsidR="005366A8" w:rsidRDefault="005366A8" w:rsidP="005366A8">
      <w:pPr>
        <w:spacing w:after="60"/>
        <w:rPr>
          <w:sz w:val="20"/>
          <w:szCs w:val="20"/>
          <w:rtl/>
        </w:rPr>
      </w:pPr>
      <w:r w:rsidRPr="00231A74">
        <w:rPr>
          <w:sz w:val="20"/>
          <w:szCs w:val="20"/>
          <w:rtl/>
        </w:rPr>
        <w:t xml:space="preserve">עד כמה פרשת עזמי בשארה מוכיחה טענה מיוחדת ביחס להשתתפות במשחק הדמוקרטי? </w:t>
      </w:r>
    </w:p>
    <w:p w:rsidR="005366A8" w:rsidRDefault="005366A8" w:rsidP="005366A8">
      <w:pPr>
        <w:spacing w:after="60"/>
        <w:ind w:left="720"/>
        <w:rPr>
          <w:sz w:val="20"/>
          <w:szCs w:val="20"/>
          <w:rtl/>
        </w:rPr>
      </w:pPr>
      <w:r w:rsidRPr="00231A74">
        <w:rPr>
          <w:sz w:val="20"/>
          <w:szCs w:val="20"/>
          <w:rtl/>
        </w:rPr>
        <w:t xml:space="preserve">כלומר, עד כמה היא מוכיחה שלא צריך לאפשר למי שתומכים בשינוי אופיה הלאומי של ישראל להיכנס לכנסת? </w:t>
      </w:r>
    </w:p>
    <w:p w:rsidR="005366A8" w:rsidRDefault="005366A8" w:rsidP="005366A8">
      <w:pPr>
        <w:spacing w:after="60"/>
        <w:ind w:left="720"/>
        <w:rPr>
          <w:sz w:val="20"/>
          <w:szCs w:val="20"/>
          <w:rtl/>
        </w:rPr>
      </w:pPr>
      <w:r w:rsidRPr="00231A74">
        <w:rPr>
          <w:sz w:val="20"/>
          <w:szCs w:val="20"/>
          <w:rtl/>
        </w:rPr>
        <w:t>באיזה מובן תפקידו של בשארה כחבר כנסת</w:t>
      </w:r>
      <w:r>
        <w:rPr>
          <w:rFonts w:hint="cs"/>
          <w:sz w:val="20"/>
          <w:szCs w:val="20"/>
          <w:rtl/>
        </w:rPr>
        <w:t xml:space="preserve"> או</w:t>
      </w:r>
      <w:r w:rsidRPr="00231A74">
        <w:rPr>
          <w:sz w:val="20"/>
          <w:szCs w:val="20"/>
          <w:rtl/>
        </w:rPr>
        <w:t xml:space="preserve"> החסינות הפרלמנטרית לה זכה הקלו על הנזק שגרם, בהנחה שגרם? </w:t>
      </w:r>
    </w:p>
    <w:p w:rsidR="005366A8" w:rsidRPr="00231A74" w:rsidRDefault="005366A8" w:rsidP="005366A8">
      <w:pPr>
        <w:spacing w:after="60"/>
        <w:ind w:left="720"/>
        <w:rPr>
          <w:sz w:val="20"/>
          <w:szCs w:val="20"/>
          <w:rtl/>
        </w:rPr>
      </w:pPr>
      <w:r w:rsidRPr="00231A74">
        <w:rPr>
          <w:sz w:val="20"/>
          <w:szCs w:val="20"/>
          <w:rtl/>
        </w:rPr>
        <w:t>וחשוב מכך, מדוע שניצול לרעה של זכות על ידי אדם תיתפס כטעם מספיק לחסום את הזכות הזו לאחרים שאינם הוא?</w:t>
      </w:r>
    </w:p>
    <w:p w:rsidR="005366A8" w:rsidRDefault="005366A8" w:rsidP="005366A8">
      <w:pPr>
        <w:spacing w:after="60"/>
        <w:rPr>
          <w:sz w:val="20"/>
          <w:szCs w:val="20"/>
          <w:rtl/>
        </w:rPr>
      </w:pPr>
      <w:r w:rsidRPr="00231A74">
        <w:rPr>
          <w:sz w:val="20"/>
          <w:szCs w:val="20"/>
          <w:rtl/>
        </w:rPr>
        <w:t>האנלוגיה לאש מתקשה לשכנע לטעמי. אש שאינה מבוקרת היא כמעט תמיד רע. האם תוכל לומר זאת על ביטוי</w:t>
      </w:r>
      <w:r>
        <w:rPr>
          <w:rFonts w:hint="cs"/>
          <w:sz w:val="20"/>
          <w:szCs w:val="20"/>
          <w:rtl/>
        </w:rPr>
        <w:t>ַ</w:t>
      </w:r>
      <w:r w:rsidRPr="00231A74">
        <w:rPr>
          <w:sz w:val="20"/>
          <w:szCs w:val="20"/>
          <w:rtl/>
        </w:rPr>
        <w:t>ים של רעיונות או שאיפות? תאמר</w:t>
      </w:r>
      <w:r>
        <w:rPr>
          <w:rFonts w:hint="cs"/>
          <w:sz w:val="20"/>
          <w:szCs w:val="20"/>
          <w:rtl/>
        </w:rPr>
        <w:t>:</w:t>
      </w:r>
      <w:r w:rsidRPr="00231A74">
        <w:rPr>
          <w:sz w:val="20"/>
          <w:szCs w:val="20"/>
          <w:rtl/>
        </w:rPr>
        <w:t xml:space="preserve"> לא, כוונתי לרעיונות מסוימים בלבד - שינוי אופייה הלאומי, או אופייה הדמוקרטי</w:t>
      </w:r>
      <w:r>
        <w:rPr>
          <w:rFonts w:hint="cs"/>
          <w:sz w:val="20"/>
          <w:szCs w:val="20"/>
          <w:rtl/>
        </w:rPr>
        <w:t>,</w:t>
      </w:r>
      <w:r w:rsidRPr="00231A74">
        <w:rPr>
          <w:sz w:val="20"/>
          <w:szCs w:val="20"/>
          <w:rtl/>
        </w:rPr>
        <w:t xml:space="preserve"> או כמובן עצם קיומה של ישראל. אנא חזור לפסק דין </w:t>
      </w:r>
      <w:r w:rsidRPr="001A6824">
        <w:rPr>
          <w:b/>
          <w:bCs/>
          <w:sz w:val="20"/>
          <w:szCs w:val="20"/>
          <w:rtl/>
        </w:rPr>
        <w:t>קול</w:t>
      </w:r>
      <w:r w:rsidRPr="001A6824">
        <w:rPr>
          <w:rFonts w:hint="cs"/>
          <w:b/>
          <w:bCs/>
          <w:sz w:val="20"/>
          <w:szCs w:val="20"/>
          <w:rtl/>
        </w:rPr>
        <w:t>-</w:t>
      </w:r>
      <w:r w:rsidRPr="001A6824">
        <w:rPr>
          <w:b/>
          <w:bCs/>
          <w:sz w:val="20"/>
          <w:szCs w:val="20"/>
          <w:rtl/>
        </w:rPr>
        <w:t>העם</w:t>
      </w:r>
      <w:r>
        <w:rPr>
          <w:rFonts w:hint="cs"/>
          <w:sz w:val="20"/>
          <w:szCs w:val="20"/>
          <w:rtl/>
        </w:rPr>
        <w:t>, להבדיל מ</w:t>
      </w:r>
      <w:r w:rsidRPr="001A6824">
        <w:rPr>
          <w:rFonts w:hint="cs"/>
          <w:b/>
          <w:bCs/>
          <w:sz w:val="20"/>
          <w:szCs w:val="20"/>
          <w:rtl/>
        </w:rPr>
        <w:t>ירדור</w:t>
      </w:r>
      <w:r>
        <w:rPr>
          <w:rFonts w:hint="cs"/>
          <w:sz w:val="20"/>
          <w:szCs w:val="20"/>
          <w:rtl/>
        </w:rPr>
        <w:t>,</w:t>
      </w:r>
      <w:r w:rsidRPr="00231A74">
        <w:rPr>
          <w:sz w:val="20"/>
          <w:szCs w:val="20"/>
          <w:rtl/>
        </w:rPr>
        <w:t xml:space="preserve"> וראה את טיעוניו של השופט אגרנט עצמו ביחס לחופש הביטוי במדינה דמוקרטית, ועל הצורך שלה ליטול סיכון. כלומר על הטעמים שלא להסתפק בחשש לסכנה אלא לדרוש וודאות קרובה לסכנה. </w:t>
      </w:r>
    </w:p>
    <w:p w:rsidR="005366A8" w:rsidRDefault="005366A8" w:rsidP="005366A8">
      <w:pPr>
        <w:spacing w:after="60"/>
        <w:rPr>
          <w:sz w:val="20"/>
          <w:szCs w:val="20"/>
          <w:rtl/>
        </w:rPr>
      </w:pPr>
      <w:r w:rsidRPr="00231A74">
        <w:rPr>
          <w:sz w:val="20"/>
          <w:szCs w:val="20"/>
          <w:rtl/>
        </w:rPr>
        <w:t xml:space="preserve">דמוקרטיה לא מסתפקת בזיהוי של רעיון כרע אלא תתנה </w:t>
      </w:r>
      <w:r>
        <w:rPr>
          <w:rFonts w:hint="cs"/>
          <w:sz w:val="20"/>
          <w:szCs w:val="20"/>
          <w:rtl/>
        </w:rPr>
        <w:t xml:space="preserve">הטלת </w:t>
      </w:r>
      <w:r w:rsidRPr="00231A74">
        <w:rPr>
          <w:sz w:val="20"/>
          <w:szCs w:val="20"/>
          <w:rtl/>
        </w:rPr>
        <w:t xml:space="preserve">הגבלה על כל חירות יסוד, קל וחומר חופש הביטוי, בכך שהנזק שטמון בהפעלת החירות מסתמן </w:t>
      </w:r>
      <w:r w:rsidRPr="001A6824">
        <w:rPr>
          <w:i/>
          <w:iCs/>
          <w:sz w:val="20"/>
          <w:szCs w:val="20"/>
          <w:rtl/>
        </w:rPr>
        <w:t>בבהירות מספקת, בקירבה מספקת</w:t>
      </w:r>
      <w:r w:rsidRPr="00231A74">
        <w:rPr>
          <w:sz w:val="20"/>
          <w:szCs w:val="20"/>
          <w:rtl/>
        </w:rPr>
        <w:t xml:space="preserve">. </w:t>
      </w:r>
    </w:p>
    <w:p w:rsidR="005366A8" w:rsidRPr="00231A74" w:rsidRDefault="005366A8" w:rsidP="005366A8">
      <w:pPr>
        <w:spacing w:after="60"/>
        <w:rPr>
          <w:sz w:val="20"/>
          <w:szCs w:val="20"/>
          <w:rtl/>
        </w:rPr>
      </w:pPr>
      <w:r w:rsidRPr="00231A74">
        <w:rPr>
          <w:sz w:val="20"/>
          <w:szCs w:val="20"/>
          <w:rtl/>
        </w:rPr>
        <w:t>ועוד נקודה סמוכה: עם רעיונות ועם ביטוים של רעיונות ניתן להתמודד באופנים יותר מגוונים ויותר הדרגתיים מאשר עם מעשים</w:t>
      </w:r>
      <w:r>
        <w:rPr>
          <w:rFonts w:hint="cs"/>
          <w:sz w:val="20"/>
          <w:szCs w:val="20"/>
          <w:rtl/>
        </w:rPr>
        <w:t xml:space="preserve"> (או עם </w:t>
      </w:r>
      <w:r w:rsidRPr="00231A74">
        <w:rPr>
          <w:sz w:val="20"/>
          <w:szCs w:val="20"/>
          <w:rtl/>
        </w:rPr>
        <w:t>אש</w:t>
      </w:r>
      <w:r>
        <w:rPr>
          <w:rFonts w:hint="cs"/>
          <w:sz w:val="20"/>
          <w:szCs w:val="20"/>
          <w:rtl/>
        </w:rPr>
        <w:t>)</w:t>
      </w:r>
      <w:r w:rsidRPr="00231A74">
        <w:rPr>
          <w:sz w:val="20"/>
          <w:szCs w:val="20"/>
          <w:rtl/>
        </w:rPr>
        <w:t>.</w:t>
      </w:r>
    </w:p>
    <w:p w:rsidR="005366A8" w:rsidRPr="00231A74" w:rsidRDefault="005366A8" w:rsidP="005366A8">
      <w:pPr>
        <w:rPr>
          <w:sz w:val="20"/>
          <w:szCs w:val="20"/>
          <w:rtl/>
        </w:rPr>
      </w:pPr>
      <w:r w:rsidRPr="00231A74">
        <w:rPr>
          <w:sz w:val="20"/>
          <w:szCs w:val="20"/>
          <w:rtl/>
        </w:rPr>
        <w:t>לבסוף, הטיעון של שופט המיעוט</w:t>
      </w:r>
      <w:r>
        <w:rPr>
          <w:rFonts w:hint="cs"/>
          <w:sz w:val="20"/>
          <w:szCs w:val="20"/>
          <w:rtl/>
        </w:rPr>
        <w:t xml:space="preserve"> חיים כהן</w:t>
      </w:r>
      <w:r w:rsidRPr="00231A74">
        <w:rPr>
          <w:sz w:val="20"/>
          <w:szCs w:val="20"/>
          <w:rtl/>
        </w:rPr>
        <w:t xml:space="preserve">, וגם אחד מטיעוני, אינו עוסק בשאלה איזה הסדר הוא </w:t>
      </w:r>
      <w:r>
        <w:rPr>
          <w:rFonts w:hint="cs"/>
          <w:sz w:val="20"/>
          <w:szCs w:val="20"/>
          <w:rtl/>
        </w:rPr>
        <w:t>ה</w:t>
      </w:r>
      <w:r w:rsidRPr="00231A74">
        <w:rPr>
          <w:sz w:val="20"/>
          <w:szCs w:val="20"/>
          <w:rtl/>
        </w:rPr>
        <w:t>ראוי, אלא בשאלה כיצד יש לקבלו.</w:t>
      </w:r>
    </w:p>
    <w:p w:rsidR="005366A8" w:rsidRDefault="005366A8" w:rsidP="005366A8">
      <w:pPr>
        <w:rPr>
          <w:rtl/>
        </w:rPr>
      </w:pPr>
    </w:p>
    <w:p w:rsidR="005366A8" w:rsidRDefault="005366A8" w:rsidP="005366A8">
      <w:pPr>
        <w:rPr>
          <w:sz w:val="22"/>
          <w:szCs w:val="22"/>
          <w:rtl/>
        </w:rPr>
      </w:pPr>
      <w:r>
        <w:rPr>
          <w:rFonts w:hint="cs"/>
          <w:sz w:val="22"/>
          <w:szCs w:val="22"/>
          <w:rtl/>
        </w:rPr>
        <w:t>=-=</w:t>
      </w:r>
    </w:p>
    <w:p w:rsidR="005366A8" w:rsidRPr="0078152C" w:rsidRDefault="005366A8" w:rsidP="005366A8">
      <w:pPr>
        <w:pStyle w:val="Heading1"/>
        <w:rPr>
          <w:rFonts w:cs="Guttman-Soncino"/>
          <w:i/>
          <w:iCs/>
          <w:sz w:val="26"/>
          <w:szCs w:val="26"/>
          <w:highlight w:val="yellow"/>
          <w:rtl/>
        </w:rPr>
      </w:pPr>
      <w:r w:rsidRPr="0078152C">
        <w:rPr>
          <w:rFonts w:cs="Guttman-Soncino" w:hint="cs"/>
          <w:sz w:val="26"/>
          <w:szCs w:val="26"/>
          <w:highlight w:val="yellow"/>
          <w:rtl/>
        </w:rPr>
        <w:t>השלכותיה של החוקה המהותית של ישראל ("ערכי היסוד" שלה) על פרשנות הדין:</w:t>
      </w:r>
    </w:p>
    <w:p w:rsidR="005366A8" w:rsidRDefault="005366A8" w:rsidP="005366A8">
      <w:pPr>
        <w:pStyle w:val="Heading1"/>
        <w:rPr>
          <w:rFonts w:cs="Guttman-Soncino"/>
          <w:i/>
          <w:iCs/>
          <w:sz w:val="26"/>
          <w:szCs w:val="26"/>
          <w:rtl/>
        </w:rPr>
      </w:pPr>
      <w:r w:rsidRPr="0078152C">
        <w:rPr>
          <w:rFonts w:cs="Guttman-Soncino" w:hint="cs"/>
          <w:sz w:val="26"/>
          <w:szCs w:val="26"/>
          <w:highlight w:val="yellow"/>
          <w:rtl/>
        </w:rPr>
        <w:t>תפקידה בגדרה של "הפרשנות התכליתית"</w:t>
      </w:r>
    </w:p>
    <w:p w:rsidR="005366A8" w:rsidRPr="00FA3B77" w:rsidRDefault="005366A8" w:rsidP="005366A8">
      <w:pPr>
        <w:jc w:val="center"/>
        <w:rPr>
          <w:b/>
          <w:bCs/>
          <w:rtl/>
        </w:rPr>
      </w:pPr>
    </w:p>
    <w:p w:rsidR="005366A8" w:rsidRPr="000617B8" w:rsidRDefault="005366A8" w:rsidP="005366A8">
      <w:pPr>
        <w:rPr>
          <w:rtl/>
        </w:rPr>
      </w:pPr>
      <w:r>
        <w:rPr>
          <w:rFonts w:hint="cs"/>
          <w:rtl/>
        </w:rPr>
        <w:t xml:space="preserve">ניצני "הפרשנות התכליתית" מופיעים בפס"ד </w:t>
      </w:r>
      <w:r w:rsidRPr="00FA3B77">
        <w:rPr>
          <w:rFonts w:hint="cs"/>
          <w:b/>
          <w:bCs/>
          <w:rtl/>
        </w:rPr>
        <w:t>קול העם</w:t>
      </w:r>
      <w:r>
        <w:rPr>
          <w:rFonts w:hint="cs"/>
          <w:b/>
          <w:bCs/>
          <w:rtl/>
        </w:rPr>
        <w:t xml:space="preserve"> </w:t>
      </w:r>
      <w:r>
        <w:rPr>
          <w:rFonts w:hint="cs"/>
          <w:rtl/>
        </w:rPr>
        <w:t>[ראו דפים בפגישות קודמות]</w:t>
      </w:r>
    </w:p>
    <w:p w:rsidR="005366A8" w:rsidRDefault="005366A8" w:rsidP="005366A8">
      <w:pPr>
        <w:rPr>
          <w:rtl/>
        </w:rPr>
      </w:pPr>
      <w:r>
        <w:rPr>
          <w:rFonts w:hint="cs"/>
          <w:rtl/>
        </w:rPr>
        <w:t>וראו ביתר פירוט את מצב הדברים בעשורים האחרונים:</w:t>
      </w:r>
    </w:p>
    <w:p w:rsidR="005366A8" w:rsidRDefault="005366A8" w:rsidP="005366A8">
      <w:pPr>
        <w:rPr>
          <w:rtl/>
        </w:rPr>
      </w:pPr>
    </w:p>
    <w:p w:rsidR="005366A8" w:rsidRPr="00715ECB" w:rsidRDefault="005366A8" w:rsidP="005366A8">
      <w:pPr>
        <w:jc w:val="center"/>
        <w:rPr>
          <w:rFonts w:ascii="Arial" w:hAnsi="Arial" w:cs="Arial"/>
          <w:i/>
          <w:iCs/>
          <w:rtl/>
        </w:rPr>
      </w:pPr>
      <w:r w:rsidRPr="0078152C">
        <w:rPr>
          <w:rFonts w:ascii="Arial" w:hAnsi="Arial" w:cs="Arial"/>
          <w:highlight w:val="yellow"/>
          <w:u w:val="single"/>
          <w:rtl/>
        </w:rPr>
        <w:t xml:space="preserve">בג"צ 6698/95 </w:t>
      </w:r>
      <w:r w:rsidRPr="0078152C">
        <w:rPr>
          <w:rFonts w:ascii="Arial" w:hAnsi="Arial" w:cs="Arial"/>
          <w:b/>
          <w:bCs/>
          <w:highlight w:val="yellow"/>
          <w:u w:val="single"/>
          <w:rtl/>
        </w:rPr>
        <w:t>קעדאן נ' מינהל מקרקעי ישראל</w:t>
      </w:r>
      <w:r w:rsidRPr="0078152C">
        <w:rPr>
          <w:rFonts w:ascii="Arial" w:hAnsi="Arial" w:cs="Arial"/>
          <w:highlight w:val="yellow"/>
          <w:u w:val="single"/>
          <w:rtl/>
        </w:rPr>
        <w:t xml:space="preserve">, פ"ד נד(1) 264 </w:t>
      </w:r>
      <w:r w:rsidRPr="0078152C">
        <w:rPr>
          <w:rFonts w:ascii="Arial" w:hAnsi="Arial" w:cs="Arial" w:hint="cs"/>
          <w:highlight w:val="yellow"/>
          <w:u w:val="single"/>
          <w:rtl/>
        </w:rPr>
        <w:t>(2000)</w:t>
      </w:r>
    </w:p>
    <w:p w:rsidR="005366A8" w:rsidRPr="002E0BA7" w:rsidRDefault="005366A8" w:rsidP="005366A8">
      <w:pPr>
        <w:pStyle w:val="4"/>
        <w:spacing w:after="60" w:line="240" w:lineRule="auto"/>
        <w:rPr>
          <w:rFonts w:cs="FrankRuehl"/>
          <w:szCs w:val="22"/>
          <w:rtl/>
          <w:lang w:eastAsia="en-US"/>
        </w:rPr>
      </w:pPr>
    </w:p>
    <w:p w:rsidR="005366A8" w:rsidRPr="002E0BA7" w:rsidRDefault="005366A8" w:rsidP="005366A8">
      <w:pPr>
        <w:pStyle w:val="4"/>
        <w:spacing w:after="60" w:line="240" w:lineRule="auto"/>
        <w:rPr>
          <w:rFonts w:cs="FrankRuehl"/>
          <w:szCs w:val="22"/>
          <w:rtl/>
          <w:lang w:eastAsia="en-US"/>
        </w:rPr>
      </w:pPr>
      <w:r w:rsidRPr="002E0BA7">
        <w:rPr>
          <w:rFonts w:cs="FrankRuehl"/>
          <w:szCs w:val="22"/>
          <w:rtl/>
          <w:lang w:eastAsia="en-US"/>
        </w:rPr>
        <w:t>14.</w:t>
      </w:r>
      <w:r w:rsidRPr="002E0BA7">
        <w:rPr>
          <w:rFonts w:cs="FrankRuehl"/>
          <w:szCs w:val="22"/>
          <w:rtl/>
          <w:lang w:eastAsia="en-US"/>
        </w:rPr>
        <w:tab/>
      </w:r>
      <w:r w:rsidRPr="002E0BA7">
        <w:rPr>
          <w:rFonts w:cs="FrankRuehl"/>
          <w:szCs w:val="22"/>
          <w:highlight w:val="yellow"/>
          <w:rtl/>
          <w:lang w:eastAsia="en-US"/>
        </w:rPr>
        <w:t>הרשאית היתה מדינת ישראל לקבוע מדיניות לפיה יינתנו על ידה במישרין הרשאות לשימוש בקרקע לשם הקמת היישוב הקהילתי קציר המיועד ליהודים בלבד?</w:t>
      </w:r>
      <w:r w:rsidRPr="002E0BA7">
        <w:rPr>
          <w:rFonts w:cs="FrankRuehl"/>
          <w:szCs w:val="22"/>
          <w:rtl/>
          <w:lang w:eastAsia="en-US"/>
        </w:rPr>
        <w:t xml:space="preserve"> </w:t>
      </w:r>
    </w:p>
    <w:p w:rsidR="005366A8" w:rsidRPr="002E0BA7" w:rsidRDefault="005366A8" w:rsidP="005366A8">
      <w:pPr>
        <w:pStyle w:val="4"/>
        <w:spacing w:after="60" w:line="240" w:lineRule="auto"/>
        <w:rPr>
          <w:rFonts w:cs="FrankRuehl"/>
          <w:szCs w:val="22"/>
          <w:rtl/>
          <w:lang w:eastAsia="en-US"/>
        </w:rPr>
      </w:pPr>
      <w:r w:rsidRPr="002E0BA7">
        <w:rPr>
          <w:rFonts w:cs="FrankRuehl"/>
          <w:szCs w:val="22"/>
          <w:rtl/>
          <w:lang w:eastAsia="en-US"/>
        </w:rPr>
        <w:t xml:space="preserve">מתן תשובה לשאלה זו מחייב פניה אל המערכת הנורמטיבית החלה על הקצאת מקרקעין של המדינה. </w:t>
      </w:r>
      <w:r w:rsidRPr="002E0BA7">
        <w:rPr>
          <w:rFonts w:cs="FrankRuehl"/>
          <w:szCs w:val="22"/>
          <w:highlight w:val="yellow"/>
          <w:rtl/>
          <w:lang w:eastAsia="en-US"/>
        </w:rPr>
        <w:t>נקודת המוצא</w:t>
      </w:r>
      <w:r w:rsidRPr="002E0BA7">
        <w:rPr>
          <w:rFonts w:cs="FrankRuehl"/>
          <w:szCs w:val="22"/>
          <w:rtl/>
          <w:lang w:eastAsia="en-US"/>
        </w:rPr>
        <w:t xml:space="preserve"> היא חוק-יסוד: מקרקעי ישראל. חוק יסוד זה קובע כי "מקרקעי ישראל, והם המקרקעין בישראל של המדינה, של רשות הפיתוח או של הקרן הקיימת לישראל, הבעלות בהם לא תועבר, אם במכר ואם בדרך אחרת" (סעיף 1). עניננו הוא במקרקעי ישראל שהם המקרקעין של המדינה, ובחינתנו מוגבלת למקרקעין אלה בלבד. מקרקעי ישראל מנוהלים על ידי מינהל מקרקעי ישראל (חוק מינהל מקרקעי ישראל, התש"ך1960-). המדיניות הקרקעית של המינהל נקבעת על-ידי מועצת מקרקעי ישראל (סעיף 3 לחוק מינהל מקרקעי ישראל). </w:t>
      </w:r>
    </w:p>
    <w:p w:rsidR="005366A8" w:rsidRPr="002E0BA7" w:rsidRDefault="005366A8" w:rsidP="005366A8">
      <w:pPr>
        <w:pStyle w:val="4"/>
        <w:spacing w:after="60" w:line="240" w:lineRule="auto"/>
        <w:rPr>
          <w:rFonts w:cs="FrankRuehl"/>
          <w:szCs w:val="22"/>
          <w:rtl/>
          <w:lang w:eastAsia="en-US"/>
        </w:rPr>
      </w:pPr>
      <w:r w:rsidRPr="002E0BA7">
        <w:rPr>
          <w:rFonts w:cs="FrankRuehl"/>
          <w:szCs w:val="22"/>
          <w:rtl/>
          <w:lang w:eastAsia="en-US"/>
        </w:rPr>
        <w:t>15.</w:t>
      </w:r>
      <w:r w:rsidRPr="002E0BA7">
        <w:rPr>
          <w:rFonts w:cs="FrankRuehl"/>
          <w:szCs w:val="22"/>
          <w:rtl/>
          <w:lang w:eastAsia="en-US"/>
        </w:rPr>
        <w:tab/>
        <w:t>בקביעת מדיניות המינהל, על מועצת מקרקעי ישראל לפעול להגשמת התכליות המונחות ביסוד סמכותו של המינהל והקובעות את היקף שיקול דעתו. תכליות אלה - כתכליות המונחות ביסוד כל סמכות המעוגנת בדבר חקיקה - הן משני סוגים: תכליות מיוחדות, הנובעות באופן ישיר מהחוק המסדיר את סמכותו של המינהל, ותכליות כלליות, הפרוסות כמטריה נורמטיבית על פני כל דברי החקיקה כולם. נבחן תחילה את התכליות המיוחדות ולאחר מכן נפנה לבחינת התכליות הכלליות.</w:t>
      </w:r>
    </w:p>
    <w:p w:rsidR="005366A8" w:rsidRPr="002E0BA7" w:rsidRDefault="005366A8" w:rsidP="005366A8">
      <w:pPr>
        <w:pStyle w:val="4"/>
        <w:spacing w:after="60" w:line="240" w:lineRule="auto"/>
        <w:rPr>
          <w:rFonts w:cs="FrankRuehl"/>
          <w:szCs w:val="22"/>
          <w:rtl/>
          <w:lang w:eastAsia="en-US"/>
        </w:rPr>
      </w:pPr>
    </w:p>
    <w:p w:rsidR="005366A8" w:rsidRPr="002E0BA7" w:rsidRDefault="005366A8" w:rsidP="005366A8">
      <w:pPr>
        <w:pStyle w:val="4"/>
        <w:spacing w:after="60" w:line="240" w:lineRule="auto"/>
        <w:rPr>
          <w:rFonts w:cs="FrankRuehl"/>
          <w:szCs w:val="22"/>
          <w:rtl/>
          <w:lang w:eastAsia="en-US"/>
        </w:rPr>
      </w:pPr>
      <w:r w:rsidRPr="002E0BA7">
        <w:rPr>
          <w:rFonts w:cs="FrankRuehl"/>
          <w:szCs w:val="22"/>
          <w:highlight w:val="yellow"/>
          <w:u w:val="single"/>
          <w:rtl/>
          <w:lang w:eastAsia="en-US"/>
        </w:rPr>
        <w:t>פעילות המינהל: תכליות מיוחדות</w:t>
      </w:r>
    </w:p>
    <w:p w:rsidR="005366A8" w:rsidRPr="002E0BA7" w:rsidRDefault="005366A8" w:rsidP="005366A8">
      <w:pPr>
        <w:pStyle w:val="4"/>
        <w:spacing w:after="60" w:line="240" w:lineRule="auto"/>
        <w:rPr>
          <w:rFonts w:cs="FrankRuehl"/>
          <w:szCs w:val="22"/>
          <w:rtl/>
          <w:lang w:eastAsia="en-US"/>
        </w:rPr>
      </w:pPr>
      <w:r w:rsidRPr="002E0BA7">
        <w:rPr>
          <w:rFonts w:cs="FrankRuehl"/>
          <w:szCs w:val="22"/>
          <w:rtl/>
          <w:lang w:eastAsia="en-US"/>
        </w:rPr>
        <w:t>16.</w:t>
      </w:r>
      <w:r w:rsidRPr="002E0BA7">
        <w:rPr>
          <w:rFonts w:cs="FrankRuehl"/>
          <w:szCs w:val="22"/>
          <w:rtl/>
          <w:lang w:eastAsia="en-US"/>
        </w:rPr>
        <w:tab/>
        <w:t xml:space="preserve"> בחינת התכליות המיוחדות המונחות ביסוד סמכותו של מינהל מקרקעי ישראל מגלה תמונה מורכבת: ביסוד החוקים המסדירים את ניהול מקרקעי ישראל עומדת השאיפה ליצירת ניהול אחיד ומתואם של מכלול המקרקעין. [</w:t>
      </w:r>
      <w:r w:rsidRPr="002E0BA7">
        <w:rPr>
          <w:rFonts w:cs="FrankRuehl"/>
          <w:szCs w:val="22"/>
          <w:lang w:eastAsia="en-US"/>
        </w:rPr>
        <w:t>…</w:t>
      </w:r>
      <w:r w:rsidRPr="002E0BA7">
        <w:rPr>
          <w:rFonts w:cs="FrankRuehl"/>
          <w:szCs w:val="22"/>
          <w:rtl/>
          <w:lang w:eastAsia="en-US"/>
        </w:rPr>
        <w:t>] דא עקא, מעבר לעצם ריכוז הסמכויות הנוגעות לניהול מקרקעין, אין בחוקים הנוגעים בדבר הגדרה באשר לתכליות וליעדים שלשמם תופעל הסמכות הריכוזית. חוק מינהל מקרקעי ישראל, התש"ך1960-, אינו מגדיר מהם היעדים והתכליות המיוחדות הניצבים בפני המינהל. כל שנאמר, לעניין זה בחוק הוא, כי:</w:t>
      </w:r>
    </w:p>
    <w:p w:rsidR="005366A8" w:rsidRPr="002E0BA7" w:rsidRDefault="005366A8" w:rsidP="005366A8">
      <w:pPr>
        <w:pStyle w:val="5"/>
        <w:spacing w:after="60"/>
        <w:rPr>
          <w:rFonts w:cs="FrankRuehl"/>
          <w:rtl/>
        </w:rPr>
      </w:pPr>
      <w:r w:rsidRPr="002E0BA7">
        <w:rPr>
          <w:rFonts w:cs="FrankRuehl"/>
          <w:rtl/>
        </w:rPr>
        <w:t>"הממשלה תקים מינהל מקרקעי ישראל (להלן: "המינהל") שינהל את מקרקעי ישראל"</w:t>
      </w:r>
    </w:p>
    <w:p w:rsidR="005366A8" w:rsidRPr="002E0BA7" w:rsidRDefault="005366A8" w:rsidP="005366A8">
      <w:pPr>
        <w:pStyle w:val="4"/>
        <w:spacing w:after="60" w:line="240" w:lineRule="auto"/>
        <w:rPr>
          <w:rFonts w:cs="FrankRuehl"/>
          <w:szCs w:val="22"/>
          <w:rtl/>
          <w:lang w:eastAsia="en-US"/>
        </w:rPr>
      </w:pPr>
      <w:r w:rsidRPr="002E0BA7">
        <w:rPr>
          <w:rFonts w:cs="FrankRuehl"/>
          <w:szCs w:val="22"/>
          <w:rtl/>
          <w:lang w:eastAsia="en-US"/>
        </w:rPr>
        <w:t>17.</w:t>
      </w:r>
      <w:r w:rsidRPr="002E0BA7">
        <w:rPr>
          <w:rFonts w:cs="FrankRuehl"/>
          <w:szCs w:val="22"/>
          <w:rtl/>
          <w:lang w:eastAsia="en-US"/>
        </w:rPr>
        <w:tab/>
        <w:t>נוכח שתיקה זו של החוק, שומה עלינו לפנות למקורות חיצוניים לו ולבחון את התכליות המיוחדות שעמדו ביסודו. [</w:t>
      </w:r>
      <w:r w:rsidRPr="002E0BA7">
        <w:rPr>
          <w:rFonts w:cs="FrankRuehl"/>
          <w:szCs w:val="22"/>
          <w:lang w:eastAsia="en-US"/>
        </w:rPr>
        <w:t>…</w:t>
      </w:r>
      <w:r w:rsidRPr="002E0BA7">
        <w:rPr>
          <w:rFonts w:cs="FrankRuehl"/>
          <w:szCs w:val="22"/>
          <w:rtl/>
          <w:lang w:eastAsia="en-US"/>
        </w:rPr>
        <w:t>]</w:t>
      </w:r>
    </w:p>
    <w:p w:rsidR="005366A8" w:rsidRPr="002E0BA7" w:rsidRDefault="005366A8" w:rsidP="005366A8">
      <w:pPr>
        <w:pStyle w:val="4"/>
        <w:spacing w:after="60" w:line="240" w:lineRule="auto"/>
        <w:rPr>
          <w:rFonts w:cs="FrankRuehl"/>
          <w:szCs w:val="22"/>
          <w:rtl/>
          <w:lang w:eastAsia="en-US"/>
        </w:rPr>
      </w:pPr>
      <w:r w:rsidRPr="002E0BA7">
        <w:rPr>
          <w:rFonts w:cs="FrankRuehl"/>
          <w:szCs w:val="22"/>
          <w:rtl/>
          <w:lang w:eastAsia="en-US"/>
        </w:rPr>
        <w:t>19.</w:t>
      </w:r>
      <w:r w:rsidRPr="002E0BA7">
        <w:rPr>
          <w:rFonts w:cs="FrankRuehl"/>
          <w:szCs w:val="22"/>
          <w:rtl/>
          <w:lang w:eastAsia="en-US"/>
        </w:rPr>
        <w:tab/>
        <w:t xml:space="preserve">נמצא אם כן, כי התכליות המיוחדות המונחות ביסוד סמכותו של המינהל </w:t>
      </w:r>
      <w:r w:rsidRPr="002E0BA7">
        <w:rPr>
          <w:rFonts w:cs="FrankRuehl"/>
          <w:szCs w:val="22"/>
          <w:highlight w:val="yellow"/>
          <w:rtl/>
          <w:lang w:eastAsia="en-US"/>
        </w:rPr>
        <w:t>הן שמירת מקרקעי ישראל בבעלות המדינה וריכוז הניהול והפיתוח של המקרקעין בישראל בידי רשות סטטוטורית אחת. זאת, על מנת למנוע את העברת הבעלות בקרקע לידי גורמים בלתי רצויים, לבצע מדיניות בטחון ולאפשר ביצוע פרוייקטים לאומיים, דוגמת קליטת עליה, פיזור אוכלוסין והתיישבות חקלאית. כן מונחות ביסוד החקיקה התכליות המיוחדות שנועדו להקל על מלאכת התכנון תוך שמירת רזרבה קרקעית לצרכים ממלכתיים והקצאת שטחים פתוחים לצרכי הציבור, כל זאת כדי לאפשר יישום תכניות מיתאר ולמנוע סחר ספקולטיבי בקרקעות המדינה</w:t>
      </w:r>
      <w:r w:rsidRPr="002E0BA7">
        <w:rPr>
          <w:rFonts w:cs="FrankRuehl"/>
          <w:szCs w:val="22"/>
          <w:rtl/>
          <w:lang w:eastAsia="en-US"/>
        </w:rPr>
        <w:t xml:space="preserve"> (וראו לעניין זה גם </w:t>
      </w:r>
      <w:r w:rsidRPr="002E0BA7">
        <w:rPr>
          <w:rFonts w:cs="FrankRuehl"/>
          <w:szCs w:val="22"/>
          <w:u w:val="single"/>
          <w:rtl/>
          <w:lang w:eastAsia="en-US"/>
        </w:rPr>
        <w:t>ויסמן</w:t>
      </w:r>
      <w:r w:rsidRPr="002E0BA7">
        <w:rPr>
          <w:rFonts w:cs="FrankRuehl"/>
          <w:szCs w:val="22"/>
          <w:rtl/>
          <w:lang w:eastAsia="en-US"/>
        </w:rPr>
        <w:t xml:space="preserve">, בעמ' 216-218). </w:t>
      </w:r>
      <w:r w:rsidRPr="002E0BA7">
        <w:rPr>
          <w:rFonts w:cs="FrankRuehl"/>
          <w:szCs w:val="22"/>
          <w:highlight w:val="yellow"/>
          <w:rtl/>
          <w:lang w:eastAsia="en-US"/>
        </w:rPr>
        <w:t xml:space="preserve">ודוק: עד כמה שהתכליות המיוחדות קבועות באופן מפורש בחוק או נובעות ממנו בצורה ברורה, על השופט לתת להן ביטוי. עד כמה שהתכליות המיוחדות אינן קבועות במפורש בחוק ואינן נובעות ממנו באופן ברור - כפי שהדבר בעניננו - על בית המשפט ללמוד על דבר תכליות מיוחדות לא רק מתוך החוק עצמו, אלא גם מתוך מקורות נוספים ובהם מההיסטוריה החקיקתית, ממהות הענין, ממהותה של הרשות המוסמכת ומערכיה הכלליים של שיטת המשפט. </w:t>
      </w:r>
      <w:r w:rsidRPr="002E0BA7">
        <w:rPr>
          <w:rFonts w:cs="FrankRuehl"/>
          <w:szCs w:val="22"/>
          <w:rtl/>
          <w:lang w:eastAsia="en-US"/>
        </w:rPr>
        <w:t>אכן בגיבוש התכליות המיוחדות - עד כמה שהן אינן עולות במפורש ובאופן ברור מהחוק - יש לעמוד על כך שאותן תכליות תתיישבנה עם מכלול ערכיה של השיטה.</w:t>
      </w:r>
    </w:p>
    <w:p w:rsidR="005366A8" w:rsidRPr="002E0BA7" w:rsidRDefault="005366A8" w:rsidP="005366A8">
      <w:pPr>
        <w:pStyle w:val="4"/>
        <w:spacing w:after="60" w:line="240" w:lineRule="auto"/>
        <w:rPr>
          <w:rFonts w:cs="FrankRuehl"/>
          <w:szCs w:val="22"/>
          <w:rtl/>
          <w:lang w:eastAsia="en-US"/>
        </w:rPr>
      </w:pPr>
    </w:p>
    <w:p w:rsidR="005366A8" w:rsidRPr="002E0BA7" w:rsidRDefault="005366A8" w:rsidP="005366A8">
      <w:pPr>
        <w:pStyle w:val="4"/>
        <w:spacing w:after="60" w:line="240" w:lineRule="auto"/>
        <w:rPr>
          <w:rFonts w:cs="FrankRuehl"/>
          <w:szCs w:val="22"/>
          <w:u w:val="single"/>
          <w:rtl/>
          <w:lang w:eastAsia="en-US"/>
        </w:rPr>
      </w:pPr>
      <w:r w:rsidRPr="002E0BA7">
        <w:rPr>
          <w:rFonts w:cs="FrankRuehl"/>
          <w:szCs w:val="22"/>
          <w:highlight w:val="yellow"/>
          <w:u w:val="single"/>
          <w:rtl/>
          <w:lang w:eastAsia="en-US"/>
        </w:rPr>
        <w:t>פעילות המינהל: תכלית כללית של שוויון</w:t>
      </w:r>
    </w:p>
    <w:p w:rsidR="005366A8" w:rsidRPr="002E0BA7" w:rsidRDefault="005366A8" w:rsidP="005366A8">
      <w:pPr>
        <w:pStyle w:val="4"/>
        <w:spacing w:after="60" w:line="240" w:lineRule="auto"/>
        <w:rPr>
          <w:rFonts w:cs="FrankRuehl"/>
          <w:szCs w:val="22"/>
          <w:rtl/>
          <w:lang w:eastAsia="en-US"/>
        </w:rPr>
      </w:pPr>
      <w:r w:rsidRPr="002E0BA7">
        <w:rPr>
          <w:rFonts w:cs="FrankRuehl"/>
          <w:szCs w:val="22"/>
          <w:rtl/>
          <w:lang w:eastAsia="en-US"/>
        </w:rPr>
        <w:t>20.</w:t>
      </w:r>
      <w:r w:rsidRPr="002E0BA7">
        <w:rPr>
          <w:rFonts w:cs="FrankRuehl"/>
          <w:szCs w:val="22"/>
          <w:rtl/>
          <w:lang w:eastAsia="en-US"/>
        </w:rPr>
        <w:tab/>
        <w:t>בצד התכליות המיוחדות, המונחות ביסוד סמכותו ושיקול דעתו של המינהל, קיימות גם תכליות כלליות הפרושות כמטריה נורמטיבית מעל דברי החקיקה כולם. תכליות כלליות אלו משקפות את ערכי היסוד של המשפט והחברה בישראל. הן ביטוי לכך, שכל דבר חקיקה הוא חלק אינטגרלי משיטת משפט כוללת. עקרונות היסוד של השיטה "מחלחלים" לכל דבר חקיקה, ומהווים את תכליתו הכללית [</w:t>
      </w:r>
      <w:r w:rsidRPr="002E0BA7">
        <w:rPr>
          <w:rFonts w:cs="FrankRuehl"/>
          <w:szCs w:val="22"/>
          <w:lang w:eastAsia="en-US"/>
        </w:rPr>
        <w:t>…</w:t>
      </w:r>
      <w:r w:rsidRPr="002E0BA7">
        <w:rPr>
          <w:rFonts w:cs="FrankRuehl"/>
          <w:szCs w:val="22"/>
          <w:rtl/>
          <w:lang w:eastAsia="en-US"/>
        </w:rPr>
        <w:t xml:space="preserve">] עקרונות יסוד אלה מבטאים גם את מהותה של מדינת ישראל כמדינה יהודית ודמוקרטית. </w:t>
      </w:r>
      <w:r w:rsidRPr="002E0BA7">
        <w:rPr>
          <w:rFonts w:cs="FrankRuehl"/>
          <w:szCs w:val="22"/>
          <w:lang w:eastAsia="en-US"/>
        </w:rPr>
        <w:t>…</w:t>
      </w:r>
      <w:r w:rsidRPr="002E0BA7">
        <w:rPr>
          <w:rFonts w:cs="FrankRuehl"/>
          <w:szCs w:val="22"/>
          <w:rtl/>
          <w:lang w:eastAsia="en-US"/>
        </w:rPr>
        <w:t xml:space="preserve"> רלבנטי לעניננו עקרון השוויון. </w:t>
      </w:r>
    </w:p>
    <w:p w:rsidR="005366A8" w:rsidRPr="002E0BA7" w:rsidRDefault="005366A8" w:rsidP="005366A8">
      <w:pPr>
        <w:pStyle w:val="4"/>
        <w:spacing w:after="60" w:line="240" w:lineRule="auto"/>
        <w:rPr>
          <w:rFonts w:cs="FrankRuehl"/>
          <w:szCs w:val="22"/>
          <w:rtl/>
          <w:lang w:eastAsia="en-US"/>
        </w:rPr>
      </w:pPr>
    </w:p>
    <w:p w:rsidR="005366A8" w:rsidRPr="002E0BA7" w:rsidRDefault="005366A8" w:rsidP="005366A8">
      <w:pPr>
        <w:pStyle w:val="4"/>
        <w:spacing w:after="60" w:line="240" w:lineRule="auto"/>
        <w:rPr>
          <w:rFonts w:cs="FrankRuehl"/>
          <w:szCs w:val="22"/>
          <w:rtl/>
          <w:lang w:eastAsia="en-US"/>
        </w:rPr>
      </w:pPr>
      <w:r w:rsidRPr="002E0BA7">
        <w:rPr>
          <w:rFonts w:cs="FrankRuehl"/>
          <w:szCs w:val="22"/>
          <w:highlight w:val="yellow"/>
          <w:u w:val="single"/>
          <w:rtl/>
          <w:lang w:eastAsia="en-US"/>
        </w:rPr>
        <w:t>השוויון כעקרון יסוד</w:t>
      </w:r>
    </w:p>
    <w:p w:rsidR="005366A8" w:rsidRPr="002E0BA7" w:rsidRDefault="005366A8" w:rsidP="005366A8">
      <w:pPr>
        <w:pStyle w:val="4"/>
        <w:spacing w:after="60" w:line="240" w:lineRule="auto"/>
        <w:rPr>
          <w:rFonts w:cs="FrankRuehl"/>
          <w:szCs w:val="22"/>
          <w:rtl/>
          <w:lang w:eastAsia="en-US"/>
        </w:rPr>
      </w:pPr>
      <w:r w:rsidRPr="002E0BA7">
        <w:rPr>
          <w:rFonts w:cs="FrankRuehl"/>
          <w:szCs w:val="22"/>
          <w:rtl/>
          <w:lang w:eastAsia="en-US"/>
        </w:rPr>
        <w:t>21.</w:t>
      </w:r>
      <w:r w:rsidRPr="002E0BA7">
        <w:rPr>
          <w:rFonts w:cs="FrankRuehl"/>
          <w:szCs w:val="22"/>
          <w:rtl/>
          <w:lang w:eastAsia="en-US"/>
        </w:rPr>
        <w:tab/>
        <w:t xml:space="preserve">השוויון הוא מערכי היסוד של מדינת ישראל. כל רשות בישראל - ובראשן מדינת ישראל, רשויותיה ועובדיה - חייבת לנהוג בשוויון בין הפרטים השונים במדינה (ראו זמיר וסובל, "השוויון בפני החוק", </w:t>
      </w:r>
      <w:r w:rsidRPr="002E0BA7">
        <w:rPr>
          <w:rFonts w:cs="FrankRuehl"/>
          <w:szCs w:val="22"/>
          <w:u w:val="single"/>
          <w:rtl/>
          <w:lang w:eastAsia="en-US"/>
        </w:rPr>
        <w:t>משפט וממשל</w:t>
      </w:r>
      <w:r w:rsidRPr="002E0BA7">
        <w:rPr>
          <w:rFonts w:cs="FrankRuehl"/>
          <w:szCs w:val="22"/>
          <w:rtl/>
          <w:lang w:eastAsia="en-US"/>
        </w:rPr>
        <w:t xml:space="preserve"> ה (1999) 165). כך מתבקש מאופיה היהודי והדמוקרטי של המדינה; כך נגזר מעקרון שלטון החוק הנוהג במדינה. ביטוי לכך ניתן, בין השאר, בהכרזת העצמאות, הקובעת כי: </w:t>
      </w:r>
    </w:p>
    <w:p w:rsidR="005366A8" w:rsidRPr="002E0BA7" w:rsidRDefault="005366A8" w:rsidP="005366A8">
      <w:pPr>
        <w:pStyle w:val="5"/>
        <w:spacing w:after="60"/>
        <w:rPr>
          <w:rFonts w:cs="FrankRuehl"/>
          <w:rtl/>
        </w:rPr>
      </w:pPr>
      <w:r w:rsidRPr="00645AAC">
        <w:rPr>
          <w:rFonts w:cs="FrankRuehl"/>
          <w:highlight w:val="yellow"/>
          <w:rtl/>
        </w:rPr>
        <w:t>"מדינת ישראל... תקיים שוויון זכויות חברתי ומדיני גמור לכל אזרחיה בלי הבדל דת, גזע ומין..."</w:t>
      </w:r>
    </w:p>
    <w:p w:rsidR="005366A8" w:rsidRPr="002E0BA7" w:rsidRDefault="005366A8" w:rsidP="005366A8">
      <w:pPr>
        <w:pStyle w:val="4"/>
        <w:spacing w:after="60" w:line="240" w:lineRule="auto"/>
        <w:rPr>
          <w:rFonts w:cs="FrankRuehl"/>
          <w:szCs w:val="22"/>
          <w:rtl/>
          <w:lang w:eastAsia="en-US"/>
        </w:rPr>
      </w:pPr>
      <w:r w:rsidRPr="002E0BA7">
        <w:rPr>
          <w:rFonts w:cs="FrankRuehl"/>
          <w:szCs w:val="22"/>
          <w:rtl/>
          <w:lang w:eastAsia="en-US"/>
        </w:rPr>
        <w:t xml:space="preserve">אכן, המדינה חייבת לכבד ולהגן על זכותו הבסיסית של כל פרט במדינה לשוויון. השוויון מונח בבסיס הקיום החברתי. הוא "תחילת התחילות" </w:t>
      </w:r>
      <w:r w:rsidRPr="002E0BA7">
        <w:rPr>
          <w:rFonts w:cs="FrankRuehl"/>
          <w:szCs w:val="22"/>
          <w:lang w:eastAsia="en-US"/>
        </w:rPr>
        <w:t>…</w:t>
      </w:r>
      <w:r w:rsidRPr="002E0BA7">
        <w:rPr>
          <w:rFonts w:cs="FrankRuehl"/>
          <w:szCs w:val="22"/>
          <w:rtl/>
          <w:lang w:eastAsia="en-US"/>
        </w:rPr>
        <w:t xml:space="preserve"> הוא "מעמודי התווך של המשטר הדמוקרטי. הוא חיוני להסכמה החברתית המונחת ביסוד המבנה החברתי" </w:t>
      </w:r>
      <w:r w:rsidRPr="002E0BA7">
        <w:rPr>
          <w:rFonts w:cs="FrankRuehl"/>
          <w:szCs w:val="22"/>
          <w:lang w:eastAsia="en-US"/>
        </w:rPr>
        <w:t>…</w:t>
      </w:r>
      <w:r w:rsidRPr="002E0BA7">
        <w:rPr>
          <w:rFonts w:cs="FrankRuehl"/>
          <w:szCs w:val="22"/>
          <w:rtl/>
          <w:lang w:eastAsia="en-US"/>
        </w:rPr>
        <w:t xml:space="preserve"> עמדתי על כך באחת הפרשות בצייני:</w:t>
      </w:r>
    </w:p>
    <w:p w:rsidR="005366A8" w:rsidRPr="002E0BA7" w:rsidRDefault="005366A8" w:rsidP="005366A8">
      <w:pPr>
        <w:pStyle w:val="4"/>
        <w:spacing w:after="60" w:line="240" w:lineRule="auto"/>
        <w:ind w:left="1440"/>
        <w:rPr>
          <w:rFonts w:cs="FrankRuehl"/>
          <w:szCs w:val="22"/>
          <w:rtl/>
          <w:lang w:eastAsia="en-US"/>
        </w:rPr>
      </w:pPr>
      <w:r w:rsidRPr="002E0BA7">
        <w:rPr>
          <w:rFonts w:cs="FrankRuehl"/>
          <w:szCs w:val="22"/>
          <w:rtl/>
          <w:lang w:eastAsia="en-US"/>
        </w:rPr>
        <w:t>"[</w:t>
      </w:r>
      <w:r w:rsidRPr="002E0BA7">
        <w:rPr>
          <w:rFonts w:cs="FrankRuehl"/>
          <w:szCs w:val="22"/>
          <w:lang w:eastAsia="en-US"/>
        </w:rPr>
        <w:t>…</w:t>
      </w:r>
      <w:r w:rsidRPr="002E0BA7">
        <w:rPr>
          <w:rFonts w:cs="FrankRuehl"/>
          <w:szCs w:val="22"/>
          <w:rtl/>
          <w:lang w:eastAsia="en-US"/>
        </w:rPr>
        <w:t>] אכן, אין לך גורם הרסני יותר לחברה מאשר תחושת בניה ובנותיה, כי נוהגים בהם איפה ואיפה. תחושת חוסר השוויון היא מהקשה שבתחושות. היא פוגעת בכוחות המאחדים את החברה. היא פוגעת בזהותו העצמית של האדם". ..</w:t>
      </w:r>
    </w:p>
    <w:p w:rsidR="005366A8" w:rsidRPr="002E0BA7" w:rsidRDefault="005366A8" w:rsidP="005366A8">
      <w:pPr>
        <w:pStyle w:val="4"/>
        <w:spacing w:after="60" w:line="240" w:lineRule="auto"/>
        <w:rPr>
          <w:rFonts w:cs="FrankRuehl"/>
          <w:szCs w:val="22"/>
          <w:rtl/>
          <w:lang w:eastAsia="en-US"/>
        </w:rPr>
      </w:pPr>
      <w:r w:rsidRPr="002E0BA7">
        <w:rPr>
          <w:rFonts w:cs="FrankRuehl"/>
          <w:szCs w:val="22"/>
          <w:rtl/>
          <w:lang w:eastAsia="en-US"/>
        </w:rPr>
        <w:t>22.</w:t>
      </w:r>
      <w:r w:rsidRPr="002E0BA7">
        <w:rPr>
          <w:rFonts w:cs="FrankRuehl"/>
          <w:szCs w:val="22"/>
          <w:rtl/>
          <w:lang w:eastAsia="en-US"/>
        </w:rPr>
        <w:tab/>
        <w:t xml:space="preserve">חובתה זו של המדינה לפעול בשוויון חלה על כל פעולה מפעולותיה. </w:t>
      </w:r>
      <w:r w:rsidRPr="002E0BA7">
        <w:rPr>
          <w:rFonts w:cs="FrankRuehl"/>
          <w:szCs w:val="22"/>
          <w:lang w:eastAsia="en-US"/>
        </w:rPr>
        <w:t>…</w:t>
      </w:r>
      <w:r w:rsidRPr="002E0BA7">
        <w:rPr>
          <w:rFonts w:cs="FrankRuehl"/>
          <w:szCs w:val="22"/>
          <w:rtl/>
          <w:lang w:eastAsia="en-US"/>
        </w:rPr>
        <w:t xml:space="preserve">  עמד על כך השופט זוסמן, בציינו:</w:t>
      </w:r>
    </w:p>
    <w:p w:rsidR="005366A8" w:rsidRPr="002E0BA7" w:rsidRDefault="005366A8" w:rsidP="005366A8">
      <w:pPr>
        <w:pStyle w:val="5"/>
        <w:spacing w:after="60"/>
        <w:ind w:right="0"/>
        <w:rPr>
          <w:rFonts w:cs="FrankRuehl"/>
          <w:rtl/>
        </w:rPr>
      </w:pPr>
      <w:r w:rsidRPr="002E0BA7">
        <w:rPr>
          <w:rFonts w:cs="FrankRuehl"/>
          <w:rtl/>
        </w:rPr>
        <w:t xml:space="preserve">"בעוד שאזרח פרטי רשאי 'להפלות' בין פלוני לבין אלמוני ולבור לו את אלה שאתם יעסוק אפילו יהיו נימוקיו ומניעיו בלתי סבירים, אסורה הפליה מטעם רשות ציבורית. הטעם הוא, כי בהשתמשה בנכסיה או בעשותה את פעולותיה נטלה הרשות על עצמה תפקיד של </w:t>
      </w:r>
      <w:r w:rsidRPr="002E0BA7">
        <w:rPr>
          <w:rFonts w:cs="FrankRuehl"/>
          <w:highlight w:val="yellow"/>
          <w:rtl/>
        </w:rPr>
        <w:t>נאמן כלפי הציבור</w:t>
      </w:r>
      <w:r w:rsidRPr="002E0BA7">
        <w:rPr>
          <w:rFonts w:cs="FrankRuehl"/>
          <w:rtl/>
        </w:rPr>
        <w:t>, ובתור שכזה חייבת הרשות להתייחס יחס שווה אל שווים, ומשהפרה עקרון יסוד זה והפלתה אזרח שלא כדין, הרי זו עילה להתערבותו של בית משפט זה: [</w:t>
      </w:r>
      <w:r w:rsidRPr="002E0BA7">
        <w:rPr>
          <w:rFonts w:cs="FrankRuehl"/>
        </w:rPr>
        <w:t>…</w:t>
      </w:r>
      <w:r w:rsidRPr="002E0BA7">
        <w:rPr>
          <w:rFonts w:cs="FrankRuehl"/>
          <w:rtl/>
        </w:rPr>
        <w:t xml:space="preserve">]" (בג"ץ 262/62 </w:t>
      </w:r>
      <w:r w:rsidRPr="002E0BA7">
        <w:rPr>
          <w:rFonts w:cs="FrankRuehl"/>
          <w:u w:val="single"/>
          <w:rtl/>
        </w:rPr>
        <w:t>פרץ נ' כפר שמריהו</w:t>
      </w:r>
      <w:r w:rsidRPr="002E0BA7">
        <w:rPr>
          <w:rFonts w:cs="FrankRuehl"/>
          <w:rtl/>
        </w:rPr>
        <w:t>).</w:t>
      </w:r>
    </w:p>
    <w:p w:rsidR="005366A8" w:rsidRPr="002E0BA7" w:rsidRDefault="005366A8" w:rsidP="005366A8">
      <w:pPr>
        <w:pStyle w:val="4"/>
        <w:spacing w:after="60" w:line="240" w:lineRule="auto"/>
        <w:rPr>
          <w:rFonts w:cs="FrankRuehl"/>
          <w:szCs w:val="22"/>
          <w:rtl/>
          <w:lang w:eastAsia="en-US"/>
        </w:rPr>
      </w:pPr>
      <w:r w:rsidRPr="002E0BA7">
        <w:rPr>
          <w:rFonts w:cs="FrankRuehl"/>
          <w:szCs w:val="22"/>
          <w:rtl/>
          <w:lang w:eastAsia="en-US"/>
        </w:rPr>
        <w:t>23.</w:t>
      </w:r>
      <w:r w:rsidRPr="002E0BA7">
        <w:rPr>
          <w:rFonts w:cs="FrankRuehl"/>
          <w:szCs w:val="22"/>
          <w:rtl/>
          <w:lang w:eastAsia="en-US"/>
        </w:rPr>
        <w:tab/>
        <w:t>חובתה של המדינה לנהוג בשוויון משתרעת על כל פעולותיה. היא חלה, איפוא, גם לענין הקצאת מקרקעי המדינה. [</w:t>
      </w:r>
      <w:r w:rsidRPr="002E0BA7">
        <w:rPr>
          <w:rFonts w:cs="FrankRuehl"/>
          <w:szCs w:val="22"/>
          <w:lang w:eastAsia="en-US"/>
        </w:rPr>
        <w:t>…</w:t>
      </w:r>
      <w:r w:rsidRPr="002E0BA7">
        <w:rPr>
          <w:rFonts w:cs="FrankRuehl"/>
          <w:szCs w:val="22"/>
          <w:rtl/>
          <w:lang w:eastAsia="en-US"/>
        </w:rPr>
        <w:t>]</w:t>
      </w:r>
    </w:p>
    <w:p w:rsidR="005366A8" w:rsidRPr="002E0BA7" w:rsidRDefault="005366A8" w:rsidP="005366A8">
      <w:pPr>
        <w:pStyle w:val="4"/>
        <w:spacing w:after="60" w:line="240" w:lineRule="auto"/>
        <w:rPr>
          <w:rFonts w:cs="FrankRuehl"/>
          <w:szCs w:val="22"/>
          <w:rtl/>
          <w:lang w:eastAsia="en-US"/>
        </w:rPr>
      </w:pPr>
      <w:r w:rsidRPr="002E0BA7">
        <w:rPr>
          <w:rFonts w:cs="FrankRuehl"/>
          <w:szCs w:val="22"/>
          <w:rtl/>
          <w:lang w:eastAsia="en-US"/>
        </w:rPr>
        <w:t>24.</w:t>
      </w:r>
      <w:r w:rsidRPr="002E0BA7">
        <w:rPr>
          <w:rFonts w:cs="FrankRuehl"/>
          <w:szCs w:val="22"/>
          <w:rtl/>
          <w:lang w:eastAsia="en-US"/>
        </w:rPr>
        <w:tab/>
        <w:t>השוויון הוא מושג מורכב. היקפו שנוי במחלוקת. עם זאת, הכל מסכימים כי השוויון אוסר על טיפול שונה מטעמי דת או לאום. [</w:t>
      </w:r>
      <w:r w:rsidRPr="002E0BA7">
        <w:rPr>
          <w:rFonts w:cs="FrankRuehl"/>
          <w:szCs w:val="22"/>
          <w:lang w:eastAsia="en-US"/>
        </w:rPr>
        <w:t>…</w:t>
      </w:r>
      <w:r w:rsidRPr="002E0BA7">
        <w:rPr>
          <w:rFonts w:cs="FrankRuehl"/>
          <w:szCs w:val="22"/>
          <w:rtl/>
          <w:lang w:eastAsia="en-US"/>
        </w:rPr>
        <w:t>] הטיב להביע זאת השופט ברנזון, בציינו:</w:t>
      </w:r>
    </w:p>
    <w:p w:rsidR="005366A8" w:rsidRPr="002E0BA7" w:rsidRDefault="005366A8" w:rsidP="005366A8">
      <w:pPr>
        <w:pStyle w:val="5"/>
        <w:spacing w:after="60"/>
        <w:ind w:left="720" w:right="0"/>
        <w:rPr>
          <w:rFonts w:cs="FrankRuehl"/>
          <w:rtl/>
        </w:rPr>
      </w:pPr>
      <w:r w:rsidRPr="002E0BA7">
        <w:rPr>
          <w:rFonts w:cs="FrankRuehl"/>
          <w:rtl/>
        </w:rPr>
        <w:t xml:space="preserve">"כשגלינו מארצנו ונתרחקנו מעל אדמתנו קרבנות היינו לאומות העולם שבתוכם ישבנו ובכל הדורות טעמנו את הטעם המר של רדיפות, נגישות והפליות רק בגלל היותנו יהודים 'שדתיהם שונות מכל עם'. מלומדי נסיון מר ואומלל זה, שחדר עמוק עמוק להכרתנו ולתודעתנו הלאומית והאנושית, ניתן לצפות שלא נלך בדרכים הנלוזות של הגויים, ובהתחדש עצמאותנו במדינת ישראל עלינו להיזהר ולהישמר מכל צל של הפליה ומנהג של איפה ואיפה כלפי כל אדם לא-יהודי שומר חוק הנמצא אתנו ורוצה לחיות עמנו בדרכו שלו, לפי דתו ואמונתו. שנאת זרים קללה כפולה בה: היא משחיתה את צלם אלוהים של השונא וממיטה רעה על השנוא על לא אוון בכפו. עלינו לגלות יחס אנושי וסובלני כלפי כל מי שנברא בצלם ולקיים את הכלל הגדול של שוויון בין כל בני-אדם בזכויות ובחובות". (בג"ץ 392/72 </w:t>
      </w:r>
      <w:r w:rsidRPr="002E0BA7">
        <w:rPr>
          <w:rFonts w:cs="FrankRuehl"/>
          <w:u w:val="single"/>
          <w:rtl/>
        </w:rPr>
        <w:t>ברגר נ' הוועדה המחוזית לתכנון ולבניה, מחוז חיפה</w:t>
      </w:r>
      <w:r w:rsidRPr="002E0BA7">
        <w:rPr>
          <w:rFonts w:cs="FrankRuehl"/>
          <w:rtl/>
        </w:rPr>
        <w:t>, פ"ד כז(2) 764, 771)</w:t>
      </w:r>
    </w:p>
    <w:p w:rsidR="005366A8" w:rsidRPr="002E0BA7" w:rsidRDefault="005366A8" w:rsidP="005366A8">
      <w:pPr>
        <w:pStyle w:val="4"/>
        <w:spacing w:after="60" w:line="240" w:lineRule="auto"/>
        <w:rPr>
          <w:rFonts w:cs="FrankRuehl"/>
          <w:szCs w:val="22"/>
          <w:rtl/>
          <w:lang w:eastAsia="en-US"/>
        </w:rPr>
      </w:pPr>
      <w:r w:rsidRPr="002E0BA7">
        <w:rPr>
          <w:rFonts w:cs="FrankRuehl"/>
          <w:szCs w:val="22"/>
          <w:rtl/>
          <w:lang w:eastAsia="en-US"/>
        </w:rPr>
        <w:t xml:space="preserve">התרגום המעשי של תפישות יסוד אלה באשר לשוויון הינו כי תכליתה (הכללית) של כל חקיקה הינה להבטיח שוויון בין בני האדם בלא הפליה על בסיס של דת או לאום. </w:t>
      </w:r>
      <w:r w:rsidRPr="002E0BA7">
        <w:rPr>
          <w:rFonts w:cs="FrankRuehl"/>
          <w:szCs w:val="22"/>
          <w:highlight w:val="yellow"/>
          <w:rtl/>
          <w:lang w:eastAsia="en-US"/>
        </w:rPr>
        <w:t>טיפול שונה בשל דת או לאום הוא טיפול "חשוד" והוא לכאורה טיפול מפלה</w:t>
      </w:r>
      <w:r w:rsidRPr="002E0BA7">
        <w:rPr>
          <w:rFonts w:cs="FrankRuehl"/>
          <w:szCs w:val="22"/>
          <w:rtl/>
          <w:lang w:eastAsia="en-US"/>
        </w:rPr>
        <w:t xml:space="preserve"> [</w:t>
      </w:r>
      <w:r w:rsidRPr="002E0BA7">
        <w:rPr>
          <w:rFonts w:cs="FrankRuehl"/>
          <w:szCs w:val="22"/>
          <w:lang w:eastAsia="en-US"/>
        </w:rPr>
        <w:t>…</w:t>
      </w:r>
      <w:r w:rsidRPr="002E0BA7">
        <w:rPr>
          <w:rFonts w:cs="FrankRuehl"/>
          <w:szCs w:val="22"/>
          <w:rtl/>
          <w:lang w:eastAsia="en-US"/>
        </w:rPr>
        <w:t>]. אמרנו שהט</w:t>
      </w:r>
      <w:r w:rsidRPr="002E0BA7">
        <w:rPr>
          <w:rFonts w:cs="FrankRuehl" w:hint="cs"/>
          <w:szCs w:val="22"/>
          <w:rtl/>
          <w:lang w:eastAsia="en-US"/>
        </w:rPr>
        <w:t>י</w:t>
      </w:r>
      <w:r w:rsidRPr="002E0BA7">
        <w:rPr>
          <w:rFonts w:cs="FrankRuehl"/>
          <w:szCs w:val="22"/>
          <w:rtl/>
          <w:lang w:eastAsia="en-US"/>
        </w:rPr>
        <w:t xml:space="preserve">פול הוא "לכאורה" מפלה, שכן עשויות להיות נסיבות - כגון בגדרי ההעדפה המתקנת </w:t>
      </w:r>
      <w:r w:rsidRPr="002E0BA7">
        <w:rPr>
          <w:rFonts w:cs="FrankRuehl"/>
          <w:szCs w:val="22"/>
          <w:lang w:eastAsia="en-US"/>
        </w:rPr>
        <w:t>…</w:t>
      </w:r>
      <w:r w:rsidRPr="002E0BA7">
        <w:rPr>
          <w:rFonts w:cs="FrankRuehl"/>
          <w:szCs w:val="22"/>
          <w:rtl/>
          <w:lang w:eastAsia="en-US"/>
        </w:rPr>
        <w:t>שבהן טיפול שונה בשל דת או לאום לא יהיה טיפול מפלה. זאת ועוד: טיפול שונה על בסיס דת או לאום עשוי להיות בהתאם לחוק. דבר זה יקרה, למשל, מקום בו לשונו המפורשת והברורה של דבר חקיקה קובעת תכליות מיוחדות המובילות לטיפול מפלה, ובאיזון שבינן לבין התכלית הכללית בדבר שוויון, ידן של התכליות המיוחדות על העליונה. לאיזון זה שבין התכליות המיוחדות לתכליות הכלליות נעבור עתה.</w:t>
      </w:r>
    </w:p>
    <w:p w:rsidR="005366A8" w:rsidRPr="002E0BA7" w:rsidRDefault="005366A8" w:rsidP="005366A8">
      <w:pPr>
        <w:pStyle w:val="4"/>
        <w:spacing w:after="60" w:line="240" w:lineRule="auto"/>
        <w:rPr>
          <w:rFonts w:cs="FrankRuehl"/>
          <w:szCs w:val="22"/>
          <w:rtl/>
          <w:lang w:eastAsia="en-US"/>
        </w:rPr>
      </w:pPr>
      <w:r w:rsidRPr="002E0BA7">
        <w:rPr>
          <w:rFonts w:cs="FrankRuehl"/>
          <w:szCs w:val="22"/>
          <w:rtl/>
          <w:lang w:eastAsia="en-US"/>
        </w:rPr>
        <w:t>25.</w:t>
      </w:r>
      <w:r w:rsidRPr="002E0BA7">
        <w:rPr>
          <w:rFonts w:cs="FrankRuehl"/>
          <w:szCs w:val="22"/>
          <w:rtl/>
          <w:lang w:eastAsia="en-US"/>
        </w:rPr>
        <w:tab/>
      </w:r>
      <w:r w:rsidRPr="002E0BA7">
        <w:rPr>
          <w:rFonts w:cs="FrankRuehl"/>
          <w:szCs w:val="22"/>
          <w:highlight w:val="yellow"/>
          <w:rtl/>
          <w:lang w:eastAsia="en-US"/>
        </w:rPr>
        <w:t>בגיבוש תכליתה של החקיקה יש להתחשב בתכליות המיוחדות ובתכליות הכלליות גם יחד</w:t>
      </w:r>
      <w:r w:rsidRPr="002E0BA7">
        <w:rPr>
          <w:rFonts w:cs="FrankRuehl"/>
          <w:szCs w:val="22"/>
          <w:rtl/>
          <w:lang w:eastAsia="en-US"/>
        </w:rPr>
        <w:t xml:space="preserve">. לעתים קרובות הן מובילות כולן לכיוון אחד, ומחזקות האחת את רעותה. אך לעתים מתגלות סתירות בין התכליות השונות. כך, למשל, עשויות להתעורר סתירות בין תכליות מיוחדות, המבקשות להגשים יעדים חברתיים, לבין תכליות כלליות המבקשות לקיים זכויות אדם. כאשר התנגשות כזו מתרחשת </w:t>
      </w:r>
      <w:r w:rsidRPr="002E0BA7">
        <w:rPr>
          <w:rFonts w:cs="FrankRuehl"/>
          <w:szCs w:val="22"/>
          <w:highlight w:val="yellow"/>
          <w:rtl/>
          <w:lang w:eastAsia="en-US"/>
        </w:rPr>
        <w:t>יש לקיים איזון</w:t>
      </w:r>
      <w:r w:rsidRPr="002E0BA7">
        <w:rPr>
          <w:rFonts w:cs="FrankRuehl"/>
          <w:szCs w:val="22"/>
          <w:rtl/>
          <w:lang w:eastAsia="en-US"/>
        </w:rPr>
        <w:t xml:space="preserve"> (עקרוני ואנכי) בין התכליות המתנגשות. בדרך זו נקט בית משפט זה מאז </w:t>
      </w:r>
      <w:r w:rsidRPr="002E0BA7">
        <w:rPr>
          <w:rFonts w:cs="FrankRuehl"/>
          <w:szCs w:val="22"/>
          <w:u w:val="single"/>
          <w:rtl/>
          <w:lang w:eastAsia="en-US"/>
        </w:rPr>
        <w:t>פרשת קול העם</w:t>
      </w:r>
      <w:r w:rsidRPr="002E0BA7">
        <w:rPr>
          <w:rFonts w:cs="FrankRuehl"/>
          <w:szCs w:val="22"/>
          <w:rtl/>
          <w:lang w:eastAsia="en-US"/>
        </w:rPr>
        <w:t>. באותה פרשה נקבע, כי באיזון בין התכליות המיוחדות שעמדו ביסוד דבר החקיקה שנדון שם ושעניינן שלום הציבור ובטחונו, לבין התכלית הכללית בדבר חופש הביטוי, תינתן עדיפות לתכלית המיוחדת (שלום הציבור) אם קיימת ודאות קרובה כי הגשמת התכלית הכללית (חופש הביטוי) תגרום לנזק ממשי, קשה ורציני לאפשרות הגשמתה של התכלית המיוחדת (שלום הציבור). מאז נוקט בית משפט זה "בנוסחת איזון" דומה בשורה ארוכה של התנגשויות בין תכליות מיוחדות לבין תכליות כלליות (</w:t>
      </w:r>
      <w:r w:rsidRPr="002E0BA7">
        <w:rPr>
          <w:rFonts w:cs="FrankRuehl"/>
          <w:szCs w:val="22"/>
          <w:lang w:eastAsia="en-US"/>
        </w:rPr>
        <w:t>…</w:t>
      </w:r>
      <w:r w:rsidRPr="002E0BA7">
        <w:rPr>
          <w:rFonts w:cs="FrankRuehl"/>
          <w:szCs w:val="22"/>
          <w:rtl/>
          <w:lang w:eastAsia="en-US"/>
        </w:rPr>
        <w:t xml:space="preserve">). שאלה יפה היא אם נוסחת איזון זו צריכה לשמש אותנו גם בהתנגשות בין התכליות הכלליות לתכליות המיוחדות בעניננו? האם אין מקום לנוסחת איזון שונה, כגון זו של האפשרות הסבירה? והאם לא נדרשות, בתחום השוויון, נוסחאות איזון מגוונות על פי מהותה של הפגיעה בשוויון? </w:t>
      </w:r>
      <w:r w:rsidRPr="002E0BA7">
        <w:rPr>
          <w:rFonts w:cs="FrankRuehl" w:hint="cs"/>
          <w:szCs w:val="22"/>
          <w:rtl/>
          <w:lang w:eastAsia="en-US"/>
        </w:rPr>
        <w:t>[...]</w:t>
      </w:r>
      <w:r w:rsidRPr="002E0BA7">
        <w:rPr>
          <w:rFonts w:cs="FrankRuehl"/>
          <w:szCs w:val="22"/>
          <w:rtl/>
          <w:lang w:eastAsia="en-US"/>
        </w:rPr>
        <w:t xml:space="preserve"> </w:t>
      </w:r>
    </w:p>
    <w:p w:rsidR="005366A8" w:rsidRPr="002E0BA7" w:rsidRDefault="005366A8" w:rsidP="005366A8">
      <w:pPr>
        <w:pStyle w:val="4"/>
        <w:spacing w:after="60" w:line="240" w:lineRule="auto"/>
        <w:rPr>
          <w:rFonts w:cs="FrankRuehl"/>
          <w:szCs w:val="22"/>
          <w:rtl/>
          <w:lang w:eastAsia="en-US"/>
        </w:rPr>
      </w:pPr>
      <w:r w:rsidRPr="002E0BA7">
        <w:rPr>
          <w:rFonts w:cs="FrankRuehl"/>
          <w:szCs w:val="22"/>
          <w:rtl/>
          <w:lang w:eastAsia="en-US"/>
        </w:rPr>
        <w:t xml:space="preserve">ברצוננו להעיר שתי הערות אלה: </w:t>
      </w:r>
      <w:r w:rsidRPr="002E0BA7">
        <w:rPr>
          <w:rFonts w:cs="FrankRuehl"/>
          <w:szCs w:val="22"/>
          <w:u w:val="single"/>
          <w:rtl/>
          <w:lang w:eastAsia="en-US"/>
        </w:rPr>
        <w:t>ראשית,</w:t>
      </w:r>
      <w:r w:rsidRPr="002E0BA7">
        <w:rPr>
          <w:rFonts w:cs="FrankRuehl"/>
          <w:szCs w:val="22"/>
          <w:rtl/>
          <w:lang w:eastAsia="en-US"/>
        </w:rPr>
        <w:t xml:space="preserve"> עוסקים אנו בתכלית המונחת ביסוד חוק מינהל מקרקעי ישראל. במצב הדברים הרגיל לאחר שנקבעה התכלית - ובמסגרת בחינת חוקיות פעולות המינהל - יש לבחון גם אם </w:t>
      </w:r>
      <w:r w:rsidRPr="002E0BA7">
        <w:rPr>
          <w:rFonts w:cs="FrankRuehl"/>
          <w:szCs w:val="22"/>
          <w:highlight w:val="yellow"/>
          <w:rtl/>
          <w:lang w:eastAsia="en-US"/>
        </w:rPr>
        <w:t>האמצעים הננקטים להגשמת התכלית הם מידתיים.</w:t>
      </w:r>
      <w:r w:rsidRPr="002E0BA7">
        <w:rPr>
          <w:rFonts w:cs="FrankRuehl"/>
          <w:szCs w:val="22"/>
          <w:rtl/>
          <w:lang w:eastAsia="en-US"/>
        </w:rPr>
        <w:t xml:space="preserve"> ענין זה לא מתעורר בעתירה שלפנינו, ולא נרחיב בו; </w:t>
      </w:r>
      <w:r w:rsidRPr="002E0BA7">
        <w:rPr>
          <w:rFonts w:cs="FrankRuehl"/>
          <w:szCs w:val="22"/>
          <w:u w:val="single"/>
          <w:rtl/>
          <w:lang w:eastAsia="en-US"/>
        </w:rPr>
        <w:t>שנית</w:t>
      </w:r>
      <w:r w:rsidRPr="002E0BA7">
        <w:rPr>
          <w:rFonts w:cs="FrankRuehl"/>
          <w:szCs w:val="22"/>
          <w:rtl/>
          <w:lang w:eastAsia="en-US"/>
        </w:rPr>
        <w:t xml:space="preserve">, במצבים מיוחדים - בהם התכליות המיוחדות קבועות במפורש בדבר החקיקה או משתמעות בבירור ממנו - לא די בכך שנוסחת האיזון מאפשרת לקבוע את התכלית המונחת ביסוד החוק המסמיך. </w:t>
      </w:r>
      <w:r w:rsidRPr="002E0BA7">
        <w:rPr>
          <w:rFonts w:cs="FrankRuehl"/>
          <w:szCs w:val="22"/>
          <w:highlight w:val="yellow"/>
          <w:rtl/>
          <w:lang w:eastAsia="en-US"/>
        </w:rPr>
        <w:t>יש להמשיך ולבחון אם תכלית זו היא חוקתית,</w:t>
      </w:r>
      <w:r w:rsidRPr="002E0BA7">
        <w:rPr>
          <w:rFonts w:cs="FrankRuehl"/>
          <w:szCs w:val="22"/>
          <w:rtl/>
          <w:lang w:eastAsia="en-US"/>
        </w:rPr>
        <w:t xml:space="preserve"> וזאת מנקודת המבט של חוקי היסוד בדבר זכויות האדם (חוק-יסוד: כבוד האדם וחירותו; חוק-יסוד: חופש העיסוק) ופסקת ההגבלה (סעיף 8 לחוק-יסוד: כבוד האדם וחירותו; סעיף 4 לחוק-יסוד: חופש העיסוק). שאלה זו לא מתעוררת בפנינו כלל, שכן שאלת חוקתיותו של חוק מינהל מקרקעי ישראל אינה מונחת להכרעתנו. </w:t>
      </w:r>
      <w:r w:rsidRPr="002E0BA7">
        <w:rPr>
          <w:rFonts w:cs="FrankRuehl"/>
          <w:szCs w:val="22"/>
          <w:highlight w:val="yellow"/>
          <w:rtl/>
          <w:lang w:eastAsia="en-US"/>
        </w:rPr>
        <w:t>השאלה היחידה בה נתבקשנו להכריע הינה, אם החלטתו של מינהל מקרקעי ישראל, בכל הנוגע להקצאת קרקעות להקמת היישוב הקהילתי קציר ליהודים בלבד, היא במסגרת הסמכות שהוקנתה למינהל בחוק מינהל מקרקעי ישראל.</w:t>
      </w:r>
      <w:r w:rsidRPr="002E0BA7">
        <w:rPr>
          <w:rFonts w:cs="FrankRuehl"/>
          <w:szCs w:val="22"/>
          <w:rtl/>
          <w:lang w:eastAsia="en-US"/>
        </w:rPr>
        <w:t xml:space="preserve"> </w:t>
      </w:r>
    </w:p>
    <w:p w:rsidR="005366A8" w:rsidRPr="002E0BA7" w:rsidRDefault="005366A8" w:rsidP="005366A8">
      <w:pPr>
        <w:pStyle w:val="4"/>
        <w:spacing w:after="60" w:line="240" w:lineRule="auto"/>
        <w:rPr>
          <w:rFonts w:cs="FrankRuehl"/>
          <w:szCs w:val="22"/>
          <w:rtl/>
          <w:lang w:eastAsia="en-US"/>
        </w:rPr>
      </w:pPr>
    </w:p>
    <w:p w:rsidR="005366A8" w:rsidRPr="002E0BA7" w:rsidRDefault="005366A8" w:rsidP="005366A8">
      <w:pPr>
        <w:pStyle w:val="4"/>
        <w:spacing w:after="60" w:line="240" w:lineRule="auto"/>
        <w:rPr>
          <w:rFonts w:cs="FrankRuehl"/>
          <w:szCs w:val="22"/>
          <w:rtl/>
          <w:lang w:eastAsia="en-US"/>
        </w:rPr>
      </w:pPr>
      <w:r w:rsidRPr="002E0BA7">
        <w:rPr>
          <w:rFonts w:cs="FrankRuehl"/>
          <w:szCs w:val="22"/>
          <w:highlight w:val="yellow"/>
          <w:u w:val="single"/>
          <w:rtl/>
          <w:lang w:eastAsia="en-US"/>
        </w:rPr>
        <w:t>מן הכלל אל הפרט</w:t>
      </w:r>
    </w:p>
    <w:p w:rsidR="005366A8" w:rsidRPr="002E0BA7" w:rsidRDefault="005366A8" w:rsidP="005366A8">
      <w:pPr>
        <w:spacing w:after="60"/>
        <w:rPr>
          <w:rFonts w:cs="FrankRuehl"/>
          <w:sz w:val="22"/>
          <w:szCs w:val="22"/>
          <w:rtl/>
        </w:rPr>
      </w:pPr>
      <w:r w:rsidRPr="002E0BA7">
        <w:rPr>
          <w:rFonts w:cs="FrankRuehl" w:hint="cs"/>
          <w:sz w:val="22"/>
          <w:szCs w:val="22"/>
          <w:rtl/>
        </w:rPr>
        <w:t>26.</w:t>
      </w:r>
      <w:r w:rsidRPr="002E0BA7">
        <w:rPr>
          <w:rFonts w:cs="FrankRuehl" w:hint="cs"/>
          <w:sz w:val="22"/>
          <w:szCs w:val="22"/>
          <w:rtl/>
        </w:rPr>
        <w:tab/>
        <w:t xml:space="preserve">[...] </w:t>
      </w:r>
      <w:r w:rsidRPr="002E0BA7">
        <w:rPr>
          <w:rFonts w:cs="FrankRuehl"/>
          <w:sz w:val="22"/>
          <w:szCs w:val="22"/>
          <w:rtl/>
        </w:rPr>
        <w:t xml:space="preserve">אך במה שונה היישוב הקהילתי מהיישוב העירוני? </w:t>
      </w:r>
      <w:r w:rsidRPr="002E0BA7">
        <w:rPr>
          <w:rFonts w:cs="FrankRuehl" w:hint="cs"/>
          <w:sz w:val="22"/>
          <w:szCs w:val="22"/>
          <w:rtl/>
        </w:rPr>
        <w:t xml:space="preserve">[...] </w:t>
      </w:r>
      <w:r w:rsidRPr="002E0BA7">
        <w:rPr>
          <w:rFonts w:cs="FrankRuehl"/>
          <w:sz w:val="22"/>
          <w:szCs w:val="22"/>
          <w:rtl/>
        </w:rPr>
        <w:t xml:space="preserve">הקצאה כזו פוגעת בזכות לשוויון של העותרים שכן יש בה טיפול שונה על בסיס של לאום. מהן התכליות המיוחדות אשר הגשמתן פוגעות כדין בעקרון השוויון? על שאלה זו לא שמענו כל תשובה מטעם המדינה. </w:t>
      </w:r>
    </w:p>
    <w:p w:rsidR="005366A8" w:rsidRPr="002E0BA7" w:rsidRDefault="005366A8" w:rsidP="005366A8">
      <w:pPr>
        <w:spacing w:after="60"/>
        <w:ind w:right="-142"/>
        <w:rPr>
          <w:rFonts w:cs="FrankRuehl"/>
          <w:sz w:val="22"/>
          <w:szCs w:val="22"/>
          <w:rtl/>
        </w:rPr>
      </w:pPr>
      <w:r w:rsidRPr="002E0BA7">
        <w:rPr>
          <w:rFonts w:cs="FrankRuehl"/>
          <w:sz w:val="22"/>
          <w:szCs w:val="22"/>
          <w:rtl/>
        </w:rPr>
        <w:t xml:space="preserve">27. </w:t>
      </w:r>
      <w:r w:rsidRPr="002E0BA7">
        <w:rPr>
          <w:rFonts w:cs="FrankRuehl" w:hint="cs"/>
          <w:sz w:val="22"/>
          <w:szCs w:val="22"/>
          <w:rtl/>
        </w:rPr>
        <w:tab/>
      </w:r>
      <w:r w:rsidRPr="00863C37">
        <w:rPr>
          <w:rFonts w:cs="FrankRuehl"/>
          <w:sz w:val="22"/>
          <w:szCs w:val="22"/>
          <w:highlight w:val="yellow"/>
          <w:rtl/>
        </w:rPr>
        <w:t>תשובה לטענות אלה באה מפי הסוכנות היהודית, התאחדות האיכרים בישראל והאגודה השיתופית קציר. בתשובה הן ציינו, כי הישוב הקהילתי הינו "חוליה בשרשרת המיצפים שנועדו לשמור על מרחבי ישראל למען העם היהודי"</w:t>
      </w:r>
      <w:r w:rsidRPr="002E0BA7">
        <w:rPr>
          <w:rFonts w:cs="FrankRuehl"/>
          <w:sz w:val="22"/>
          <w:szCs w:val="22"/>
          <w:rtl/>
        </w:rPr>
        <w:t xml:space="preserve"> (כאמור במגילת היסוד של הישוב הקהילתי) וכי קיומו מתיישב עם התכליות שהתוו לעצמן, היינו יישוב יהודים ברחבי הארץ בכלל, ובאזורי כפר ואזורים שהנוכחות היהודית בהם דלילה בפרט; פיזור אוכלוסין; והגברת בטחון ישראל על-ידי כך. בהקשר הספציפי, טוענת התאחדות האיכרים, כי מתיישבים ערביים עלולים להיתקל בקשיים במילוי חובות השמירה על הישוב, שנחשף בעבר לפעולות טרור שונות. זאת ועוד, לטענת המשיבות, עלולה נוכחותם של תושבים ערבים בישובים יהודיים לגרום לעזיבתם של התושבים היהודים ולהפיכת ישוב שנועד להתקיים כישוב יהודי לישוב ערבי. </w:t>
      </w:r>
    </w:p>
    <w:p w:rsidR="005366A8" w:rsidRPr="002E0BA7" w:rsidRDefault="005366A8" w:rsidP="005366A8">
      <w:pPr>
        <w:spacing w:after="60"/>
        <w:rPr>
          <w:rFonts w:cs="FrankRuehl"/>
          <w:sz w:val="22"/>
          <w:szCs w:val="22"/>
          <w:rtl/>
        </w:rPr>
      </w:pPr>
      <w:r w:rsidRPr="002E0BA7">
        <w:rPr>
          <w:rFonts w:cs="FrankRuehl"/>
          <w:sz w:val="22"/>
          <w:szCs w:val="22"/>
          <w:rtl/>
        </w:rPr>
        <w:t xml:space="preserve">28. </w:t>
      </w:r>
      <w:r w:rsidRPr="002E0BA7">
        <w:rPr>
          <w:rFonts w:cs="FrankRuehl" w:hint="cs"/>
          <w:sz w:val="22"/>
          <w:szCs w:val="22"/>
          <w:rtl/>
        </w:rPr>
        <w:tab/>
      </w:r>
      <w:r w:rsidRPr="00863C37">
        <w:rPr>
          <w:rFonts w:cs="FrankRuehl"/>
          <w:sz w:val="22"/>
          <w:szCs w:val="22"/>
          <w:highlight w:val="yellow"/>
          <w:rtl/>
        </w:rPr>
        <w:t>תשובות אלו מעוררות בעיות כלליות קשות וסבוכות. יש להן חשיבות הן לגבי העבר והן לגבי העתיד. עם זאת, אין לנו צורך להתמודד עמן בעתירה שלפנינו. עתירה זו, אין ענינה מכלול ההתיישבות היהודית על כל היבטיה; עתירה זו אין עניניה פעולותיה של הסוכנות היהודית על כל גווניה. העתירה שלפנינו ענינה יישוב קהילתי מסויים שהקמתו אינה מעוררת את מכלול הבעיות שהסוכנות היהודית והתאחדות האיכרים מעוררות</w:t>
      </w:r>
      <w:r w:rsidRPr="002E0BA7">
        <w:rPr>
          <w:rFonts w:cs="FrankRuehl"/>
          <w:sz w:val="22"/>
          <w:szCs w:val="22"/>
          <w:rtl/>
        </w:rPr>
        <w:t xml:space="preserve">. אכן, המשיבים אינם חולקים על זכותם של העותרים להתגורר באזור נחל עירון. אין הם שוללים את קיומם של ישובים "מעורבים", עירוניים או כפריים, בהם דרים יהודים וערבים באותו ישוב, אותה שכונה, או אותו בית דירות. יתרה מזו, המשיבים אינם חולקים גם על זכותם של העותרים להתגורר בישוב קציר עצמו, בשכונה שנבנתה על ידי משרד הבינוי והשיכון, יחד עם יתר תושבי השכונה, יהודים וערבים כאחד, תחת חסותה של אותה מועצה מקומית ותוך קיום מסגרות חינוכיות וחברתיות משותפות. לא ניתן להבין - ולא הונחה בפנינו כל תשתית עובדתית - </w:t>
      </w:r>
      <w:r w:rsidRPr="002E0BA7">
        <w:rPr>
          <w:rFonts w:cs="FrankRuehl"/>
          <w:sz w:val="22"/>
          <w:szCs w:val="22"/>
          <w:highlight w:val="yellow"/>
          <w:rtl/>
        </w:rPr>
        <w:t>מדוע דווקא מגוריהם של העותרים בישוב הקהילתי, מרחק של כ-2 ק"מ מן השכונה שנבנתה על ידי משרד הבינוי והשיכון, מצדיקה פגיעה בעקרון השוויון</w:t>
      </w:r>
      <w:r w:rsidRPr="002E0BA7">
        <w:rPr>
          <w:rFonts w:cs="FrankRuehl"/>
          <w:sz w:val="22"/>
          <w:szCs w:val="22"/>
          <w:rtl/>
        </w:rPr>
        <w:t xml:space="preserve">. </w:t>
      </w:r>
    </w:p>
    <w:p w:rsidR="005366A8" w:rsidRPr="002E0BA7" w:rsidRDefault="005366A8" w:rsidP="005366A8">
      <w:pPr>
        <w:spacing w:after="60"/>
        <w:rPr>
          <w:rFonts w:cs="FrankRuehl"/>
          <w:sz w:val="22"/>
          <w:szCs w:val="22"/>
          <w:rtl/>
        </w:rPr>
      </w:pPr>
      <w:r w:rsidRPr="002E0BA7">
        <w:rPr>
          <w:rFonts w:cs="FrankRuehl"/>
          <w:sz w:val="22"/>
          <w:szCs w:val="22"/>
          <w:rtl/>
        </w:rPr>
        <w:t xml:space="preserve">29. </w:t>
      </w:r>
      <w:r w:rsidRPr="002E0BA7">
        <w:rPr>
          <w:rFonts w:cs="FrankRuehl" w:hint="cs"/>
          <w:sz w:val="22"/>
          <w:szCs w:val="22"/>
          <w:rtl/>
        </w:rPr>
        <w:tab/>
      </w:r>
      <w:r w:rsidRPr="002E0BA7">
        <w:rPr>
          <w:rFonts w:cs="FrankRuehl"/>
          <w:sz w:val="22"/>
          <w:szCs w:val="22"/>
          <w:rtl/>
        </w:rPr>
        <w:t xml:space="preserve">מסקנתי הינה, איפוא, זו: החלטה שהמינהל היה מקבל להקצות במישרין מקרקעין בטל עירון להקמת יישוב קהילתי ליהודים בלבד, היתה פוגעת בתכלית (הכללית) המונחת ביסוד סמכותו של המינהל, והיא הגשמת השוויון. החלטה כזו, לא היה בה כדי להגשים תכליות מיוחדות של חוק מינהל מקרקעי ישראל שבנסיבות העניין - ועל פי נוסחת האיזון הראויה - ידן על העליונה. נמצא, כי החלטה כזאת, לו היתה מתקבלת, היתה בלתי חוקית. כנגד מסקנה זו העלו בפנינו הסוכנות היהודית והתאחדות האיכרים שתי טענות עקרוניות, אליהן נפנה עתה. </w:t>
      </w:r>
    </w:p>
    <w:p w:rsidR="005366A8" w:rsidRPr="002E0BA7" w:rsidRDefault="005366A8" w:rsidP="005366A8">
      <w:pPr>
        <w:spacing w:after="60"/>
        <w:rPr>
          <w:rFonts w:cs="FrankRuehl"/>
          <w:sz w:val="22"/>
          <w:szCs w:val="22"/>
          <w:rtl/>
        </w:rPr>
      </w:pPr>
      <w:r w:rsidRPr="002E0BA7">
        <w:rPr>
          <w:rFonts w:cs="FrankRuehl"/>
          <w:sz w:val="22"/>
          <w:szCs w:val="22"/>
          <w:rtl/>
        </w:rPr>
        <w:t xml:space="preserve">.30 </w:t>
      </w:r>
      <w:r w:rsidRPr="002E0BA7">
        <w:rPr>
          <w:rFonts w:cs="FrankRuehl" w:hint="cs"/>
          <w:sz w:val="22"/>
          <w:szCs w:val="22"/>
          <w:rtl/>
        </w:rPr>
        <w:tab/>
      </w:r>
      <w:r w:rsidRPr="002E0BA7">
        <w:rPr>
          <w:rFonts w:cs="FrankRuehl"/>
          <w:sz w:val="22"/>
          <w:szCs w:val="22"/>
          <w:rtl/>
        </w:rPr>
        <w:t xml:space="preserve">הטענה העקרונית </w:t>
      </w:r>
      <w:r w:rsidRPr="002E0BA7">
        <w:rPr>
          <w:rFonts w:cs="FrankRuehl"/>
          <w:sz w:val="22"/>
          <w:szCs w:val="22"/>
          <w:u w:val="single"/>
          <w:rtl/>
        </w:rPr>
        <w:t>הראשונה</w:t>
      </w:r>
      <w:r w:rsidRPr="002E0BA7">
        <w:rPr>
          <w:rFonts w:cs="FrankRuehl"/>
          <w:sz w:val="22"/>
          <w:szCs w:val="22"/>
          <w:rtl/>
        </w:rPr>
        <w:t xml:space="preserve"> היא זו: החלטה על הקצאת מקרקעין להקמת היישוב הקהילתי קציר ליהודים בלבד אינה פוגעת בשוויון, שכן מנהל מקרקעי ישראל מוכן להקצות מקרקעין גם להקמת יישוב קהילתי לערבים בלבד. טענה זו, בלבושה המשפטי הינה, כי </w:t>
      </w:r>
      <w:r w:rsidRPr="002E0BA7">
        <w:rPr>
          <w:rFonts w:cs="FrankRuehl"/>
          <w:sz w:val="22"/>
          <w:szCs w:val="22"/>
          <w:highlight w:val="yellow"/>
          <w:rtl/>
        </w:rPr>
        <w:t>טיפול נפרד אבל שווה הוא טיפול שווה</w:t>
      </w:r>
      <w:r w:rsidRPr="002E0BA7">
        <w:rPr>
          <w:rFonts w:cs="FrankRuehl"/>
          <w:sz w:val="22"/>
          <w:szCs w:val="22"/>
          <w:rtl/>
        </w:rPr>
        <w:t xml:space="preserve">. כידוע, טענה זו הועלתה בשנות החמישים בארצות הברית לענין מדיניות החינוך בארצות הברית שהפרידה בין חינוך לתלמידים לבנים וחינוך לתלמידים אפרו-אמריקאים. </w:t>
      </w:r>
    </w:p>
    <w:p w:rsidR="005366A8" w:rsidRPr="002E0BA7" w:rsidRDefault="005366A8" w:rsidP="005366A8">
      <w:pPr>
        <w:spacing w:after="60"/>
        <w:rPr>
          <w:rFonts w:cs="FrankRuehl"/>
          <w:sz w:val="22"/>
          <w:szCs w:val="22"/>
          <w:rtl/>
        </w:rPr>
      </w:pPr>
      <w:r w:rsidRPr="002E0BA7">
        <w:rPr>
          <w:rFonts w:cs="FrankRuehl" w:hint="cs"/>
          <w:sz w:val="22"/>
          <w:szCs w:val="22"/>
          <w:rtl/>
        </w:rPr>
        <w:t xml:space="preserve">[...] </w:t>
      </w:r>
      <w:r w:rsidRPr="002E0BA7">
        <w:rPr>
          <w:rFonts w:cs="FrankRuehl"/>
          <w:sz w:val="22"/>
          <w:szCs w:val="22"/>
          <w:rtl/>
        </w:rPr>
        <w:t xml:space="preserve">במשך השנים רבתה הכתיבה בנושא זה, תוך שהודגש, כי לעתים עשוי טיפול נפרד להוות טיפול שוויוני או, למצער, שההפרדה מוצדקת על אף הפגיעה בשוויון. בעיקר כך, בין השאר, במקום שהרצון לטיפול נפרד אבל שווה בא מקרב קבוצות מיעוט המבקשות לשמור על תרבותן ואורח חייהן, והחפצות למנוע "התבוללות כפויה" </w:t>
      </w:r>
      <w:r w:rsidRPr="002E0BA7">
        <w:rPr>
          <w:rFonts w:cs="FrankRuehl" w:hint="cs"/>
          <w:sz w:val="22"/>
          <w:szCs w:val="22"/>
          <w:rtl/>
        </w:rPr>
        <w:t>[...]</w:t>
      </w:r>
      <w:r w:rsidRPr="002E0BA7">
        <w:rPr>
          <w:rFonts w:cs="FrankRuehl"/>
          <w:sz w:val="22"/>
          <w:szCs w:val="22"/>
          <w:rtl/>
        </w:rPr>
        <w:t xml:space="preserve">. אכן, מוכן אני להניח - בלי לפסוק בדבר - כי קיימים מצבים בהם טיפול נפרד אבל שווה הוא טיפול חוקי. </w:t>
      </w:r>
      <w:r w:rsidRPr="002E0BA7">
        <w:rPr>
          <w:rFonts w:cs="FrankRuehl" w:hint="cs"/>
          <w:sz w:val="22"/>
          <w:szCs w:val="22"/>
          <w:rtl/>
        </w:rPr>
        <w:t>[...]</w:t>
      </w:r>
    </w:p>
    <w:p w:rsidR="005366A8" w:rsidRPr="002E0BA7" w:rsidRDefault="005366A8" w:rsidP="005366A8">
      <w:pPr>
        <w:spacing w:after="60"/>
        <w:rPr>
          <w:rFonts w:cs="FrankRuehl"/>
          <w:sz w:val="22"/>
          <w:szCs w:val="22"/>
          <w:rtl/>
        </w:rPr>
      </w:pPr>
      <w:r w:rsidRPr="002E0BA7">
        <w:rPr>
          <w:rFonts w:cs="FrankRuehl"/>
          <w:sz w:val="22"/>
          <w:szCs w:val="22"/>
          <w:rtl/>
        </w:rPr>
        <w:t xml:space="preserve">מצב דברים זה - בו טיפול נפרד עשוי להחשב חוקי - אינו מתקיים במצב הדברים שבפנינו, וזאת משני טעמים: ראשית, הלכה למעשה אין פנייה להקמת יישוב קהילתי לערבים בלבד. בפועל אין מדינת ישראל מקצה מקרקעין אלא לישובים קהילתיים יהודיים. התוצאה ("האפקט") של מדיניות ההפרדה הנוהגת כיום היא מפלה, גם אם המניע להפרדה אינו הרצון להפלות. קיומה של הפליה נקבע, בין השאר, על פי האפקט של ההחלטה או המדיניות ואפקט זה, בענייננו, הוא מפלה; </w:t>
      </w:r>
      <w:r w:rsidRPr="002E0BA7">
        <w:rPr>
          <w:rFonts w:cs="FrankRuehl"/>
          <w:sz w:val="22"/>
          <w:szCs w:val="22"/>
          <w:highlight w:val="yellow"/>
          <w:rtl/>
        </w:rPr>
        <w:t>נמצא, כי מדיניות המינהל כיום מעניקה לערבים בפועל, טיפול נפרד ולא שווה.</w:t>
      </w:r>
      <w:r w:rsidRPr="002E0BA7">
        <w:rPr>
          <w:rFonts w:cs="FrankRuehl"/>
          <w:sz w:val="22"/>
          <w:szCs w:val="22"/>
          <w:rtl/>
        </w:rPr>
        <w:t xml:space="preserve"> שנית, </w:t>
      </w:r>
      <w:r w:rsidRPr="002E0BA7">
        <w:rPr>
          <w:rFonts w:cs="FrankRuehl"/>
          <w:sz w:val="22"/>
          <w:szCs w:val="22"/>
          <w:highlight w:val="yellow"/>
          <w:rtl/>
        </w:rPr>
        <w:t>אין כל מאפיינים המייחדים את היהודים המבקשים לבנות ביתם ביישוב קהילתי באמצעות האגודה השיתופית קציר, המצדיקים הקצאת קרקע המדינה להתיישבות יהודית בלבד</w:t>
      </w:r>
      <w:r w:rsidRPr="002E0BA7">
        <w:rPr>
          <w:rFonts w:cs="FrankRuehl"/>
          <w:sz w:val="22"/>
          <w:szCs w:val="22"/>
          <w:rtl/>
        </w:rPr>
        <w:t xml:space="preserve">. היישוב הקהילתי קציר פתוח לכל יהודי באשר הוא (כפוף לתנאי קבלה שאינם מופיעים בתקנות האגודה השיתופית ושאת תכנם איננו יודעים). ממילא, תושבי היישוב אינם מהווים "קבוצה ייחודית" (כלשונו של השופט אור בפרשת אביטן). נהפוך הוא: כל יהודי בישראל כחלק מרוב התושבים, שנפשו חפצה בחיים קהילתיים כפריים כשיר לכאורה להתקבל לאגודה השיתופית. האגודה פונה איפוא, אל רוב רובו של הציבור בישראל. הגורם המאפיין את קבוצת התושבים ביישוב אינו בייחוד זה או אחר של הקבוצה או בני הקבוצה, אלא אך הקריטריון של הלאום, אשר משמש, הוא עצמו, בנסיבות הענין שלפנינו, קריטריון מפלה. אכן, מרבית השיקולים שהוצגו בפנינו על ידי הסוכנות היהודית מבוססים על אותו סיווג "חשוד" של השתייכות לאומית, וכל מטרתם לא באה אלא לקדם התיישבות יהודית באיזור. </w:t>
      </w:r>
    </w:p>
    <w:p w:rsidR="005366A8" w:rsidRPr="002E0BA7" w:rsidRDefault="005366A8" w:rsidP="005366A8">
      <w:pPr>
        <w:pStyle w:val="4"/>
        <w:spacing w:after="60" w:line="240" w:lineRule="auto"/>
        <w:rPr>
          <w:rFonts w:cs="FrankRuehl"/>
          <w:szCs w:val="22"/>
          <w:rtl/>
          <w:lang w:eastAsia="en-US"/>
        </w:rPr>
      </w:pPr>
      <w:r w:rsidRPr="002E0BA7">
        <w:rPr>
          <w:rFonts w:cs="FrankRuehl"/>
          <w:szCs w:val="22"/>
          <w:rtl/>
          <w:lang w:eastAsia="en-US"/>
        </w:rPr>
        <w:t>31.</w:t>
      </w:r>
      <w:r w:rsidRPr="002E0BA7">
        <w:rPr>
          <w:rFonts w:cs="FrankRuehl"/>
          <w:szCs w:val="22"/>
          <w:rtl/>
          <w:lang w:eastAsia="en-US"/>
        </w:rPr>
        <w:tab/>
      </w:r>
      <w:r w:rsidRPr="00863C37">
        <w:rPr>
          <w:rFonts w:cs="FrankRuehl"/>
          <w:szCs w:val="22"/>
          <w:highlight w:val="yellow"/>
          <w:rtl/>
          <w:lang w:eastAsia="en-US"/>
        </w:rPr>
        <w:t xml:space="preserve">הטענה העקרונית </w:t>
      </w:r>
      <w:r w:rsidRPr="00863C37">
        <w:rPr>
          <w:rFonts w:cs="FrankRuehl"/>
          <w:szCs w:val="22"/>
          <w:highlight w:val="yellow"/>
          <w:u w:val="single"/>
          <w:rtl/>
          <w:lang w:eastAsia="en-US"/>
        </w:rPr>
        <w:t>השניה</w:t>
      </w:r>
      <w:r w:rsidRPr="00863C37">
        <w:rPr>
          <w:rFonts w:cs="FrankRuehl"/>
          <w:szCs w:val="22"/>
          <w:highlight w:val="yellow"/>
          <w:rtl/>
          <w:lang w:eastAsia="en-US"/>
        </w:rPr>
        <w:t xml:space="preserve"> שהועלתה בפנינו היא זו: גם אילו החליט מינהל מקרקעי ישראל להקצות בנסיבות המקרה שלפנינו במישרין מקרקעין להקמת יישוב קהילתי ליהודים בלבד, היתה זו החלטה חוקית, שכן היא היתה מגשימה את ערכיה של מדינת ישראל כמדינה יהודית. ערכים אלה הם בעלי אופי חוקתי (ראו סעיף 1א' לחוק-יסוד: כבוד האדם וחירותו) והיה בהם כדי להעניק אופי חוקי להחלטתו של מינהל מקרקעי ישראל. טיעון זה מעלה שאלות רבות וחשובות. אין לנו צורך להכריע במרביתן. הטעם לכך הוא כפול: </w:t>
      </w:r>
      <w:r w:rsidRPr="00863C37">
        <w:rPr>
          <w:rFonts w:cs="FrankRuehl"/>
          <w:szCs w:val="22"/>
          <w:highlight w:val="yellow"/>
          <w:u w:val="single"/>
          <w:rtl/>
          <w:lang w:eastAsia="en-US"/>
        </w:rPr>
        <w:t>ראשית</w:t>
      </w:r>
      <w:r w:rsidRPr="00863C37">
        <w:rPr>
          <w:rFonts w:cs="FrankRuehl"/>
          <w:szCs w:val="22"/>
          <w:highlight w:val="yellow"/>
          <w:rtl/>
          <w:lang w:eastAsia="en-US"/>
        </w:rPr>
        <w:t>, עד כמה שטעון זה בא לומר כי ערכיה של מדינת ישראל כמדינה יהודית (המהווים תכלית כללית המונחת ביסוד החוק</w:t>
      </w:r>
      <w:r w:rsidRPr="00863C37">
        <w:rPr>
          <w:rFonts w:cs="FrankRuehl" w:hint="cs"/>
          <w:szCs w:val="22"/>
          <w:highlight w:val="yellow"/>
          <w:rtl/>
          <w:lang w:eastAsia="en-US"/>
        </w:rPr>
        <w:t>)</w:t>
      </w:r>
      <w:r w:rsidRPr="00863C37">
        <w:rPr>
          <w:rFonts w:cs="FrankRuehl"/>
          <w:szCs w:val="22"/>
          <w:highlight w:val="yellow"/>
          <w:rtl/>
          <w:lang w:eastAsia="en-US"/>
        </w:rPr>
        <w:t>, מתנגשים עם הערך בדבר השוויון, הרי התשובה היא שהתנגשות כזו אינה קיימת. אכן, אינה מקובלת עלינו התפישה כי ערכיה של מדינת ישראל כמדינה יהודית יש בהם כדי להצדיק - ברמה של תכלית כללית - הפליה על ידי המדינה בין אזרחים של המדינה על בסיס דת או לאום</w:t>
      </w:r>
      <w:r w:rsidRPr="002E0BA7">
        <w:rPr>
          <w:rFonts w:cs="FrankRuehl"/>
          <w:szCs w:val="22"/>
          <w:rtl/>
          <w:lang w:eastAsia="en-US"/>
        </w:rPr>
        <w:t>. [</w:t>
      </w:r>
      <w:r w:rsidRPr="002E0BA7">
        <w:rPr>
          <w:rFonts w:cs="FrankRuehl"/>
          <w:szCs w:val="22"/>
          <w:lang w:eastAsia="en-US"/>
        </w:rPr>
        <w:t>…</w:t>
      </w:r>
      <w:r w:rsidRPr="002E0BA7">
        <w:rPr>
          <w:rFonts w:cs="FrankRuehl"/>
          <w:szCs w:val="22"/>
          <w:rtl/>
          <w:lang w:eastAsia="en-US"/>
        </w:rPr>
        <w:t>]</w:t>
      </w:r>
    </w:p>
    <w:p w:rsidR="005366A8" w:rsidRPr="002E0BA7" w:rsidRDefault="005366A8" w:rsidP="005366A8">
      <w:pPr>
        <w:pStyle w:val="4"/>
        <w:spacing w:after="60" w:line="240" w:lineRule="auto"/>
        <w:rPr>
          <w:rFonts w:cs="FrankRuehl"/>
          <w:szCs w:val="22"/>
          <w:rtl/>
          <w:lang w:eastAsia="en-US"/>
        </w:rPr>
      </w:pPr>
      <w:r w:rsidRPr="002E0BA7">
        <w:rPr>
          <w:rFonts w:cs="FrankRuehl"/>
          <w:szCs w:val="22"/>
          <w:rtl/>
          <w:lang w:eastAsia="en-US"/>
        </w:rPr>
        <w:t xml:space="preserve">אכן, שיבתו של העם היהודי למולדתו נגזרת מערכיה של מדינת ישראל כמדינה יהודית ודמוקרטית גם יחד (ראו ע"ב 1/65 </w:t>
      </w:r>
      <w:r w:rsidRPr="002E0BA7">
        <w:rPr>
          <w:rFonts w:cs="FrankRuehl"/>
          <w:szCs w:val="22"/>
          <w:u w:val="single"/>
          <w:rtl/>
          <w:lang w:eastAsia="en-US"/>
        </w:rPr>
        <w:t>ירדור נ' יושב-ראש ועדת הבחירות המרכזית לכנסת השישית</w:t>
      </w:r>
      <w:r w:rsidRPr="002E0BA7">
        <w:rPr>
          <w:rFonts w:cs="FrankRuehl"/>
          <w:szCs w:val="22"/>
          <w:rtl/>
          <w:lang w:eastAsia="en-US"/>
        </w:rPr>
        <w:t xml:space="preserve">, פ"ד י"ט(3) 365, 385). </w:t>
      </w:r>
      <w:r w:rsidRPr="002E0BA7">
        <w:rPr>
          <w:rFonts w:cs="FrankRuehl"/>
          <w:szCs w:val="22"/>
          <w:highlight w:val="yellow"/>
          <w:rtl/>
          <w:lang w:eastAsia="en-US"/>
        </w:rPr>
        <w:t>מערכיה אלה של מדינת ישראל - מכל אחד מהם בנפרד ומהשתלבותם זה בגדר זה - מתבקשות מספר מסקנות: כך, למשל, מתבקש כי עברית תהא שפה עיקרית במדינה ועיקרי חגיה ישקפו את תקומתו הלאומית של העם היהודי; מתבקש מכך גם כי מורשת ישראל תהווה מרכיב מרכזי במורשתה הדתית והתרבותית, ומתבקשות מסקנות נוספות שאין לנו צורך לעמוד עליהן. אך מערכיה של מדינת ישראל כמדינה יהודית ודמוקרטית לא מתבקש כלל כי המדינה תנהג בהפליה בין אזרחיה. יהודים ולא-יהודים הם אזרחים שווי זכויות וחובות במדינת ישראל. [</w:t>
      </w:r>
      <w:r w:rsidRPr="002E0BA7">
        <w:rPr>
          <w:rFonts w:cs="FrankRuehl"/>
          <w:szCs w:val="22"/>
          <w:highlight w:val="yellow"/>
          <w:lang w:eastAsia="en-US"/>
        </w:rPr>
        <w:t>…</w:t>
      </w:r>
      <w:r w:rsidRPr="002E0BA7">
        <w:rPr>
          <w:rFonts w:cs="FrankRuehl"/>
          <w:szCs w:val="22"/>
          <w:highlight w:val="yellow"/>
          <w:rtl/>
          <w:lang w:eastAsia="en-US"/>
        </w:rPr>
        <w:t>] לא זו אף זו: לא רק שערכיה של מדינת ישראל כמדינה יהודית אינם דורשים הפליה על בסיס דת ולאום במדינה, אלא שערכים אלה עצמם אוסרים הפליה ומחייבים שוויון בין הדתות והלאומים [</w:t>
      </w:r>
      <w:r w:rsidRPr="002E0BA7">
        <w:rPr>
          <w:rFonts w:cs="FrankRuehl"/>
          <w:szCs w:val="22"/>
          <w:highlight w:val="yellow"/>
          <w:lang w:eastAsia="en-US"/>
        </w:rPr>
        <w:t>…</w:t>
      </w:r>
      <w:r w:rsidRPr="002E0BA7">
        <w:rPr>
          <w:rFonts w:cs="FrankRuehl"/>
          <w:szCs w:val="22"/>
          <w:highlight w:val="yellow"/>
          <w:rtl/>
          <w:lang w:eastAsia="en-US"/>
        </w:rPr>
        <w:t>]</w:t>
      </w:r>
      <w:r w:rsidRPr="002E0BA7">
        <w:rPr>
          <w:rFonts w:cs="FrankRuehl"/>
          <w:szCs w:val="22"/>
          <w:rtl/>
          <w:lang w:eastAsia="en-US"/>
        </w:rPr>
        <w:t>. השופט אלון עמד על כך כי "ייסוד מוסד בעולמה של יהדות הוא רעיון בריאת האדם בצלם אלוקים (בראשית, א, כז). בכך פותחת תורת ישראל, וממנו מסיקה ההלכה עקרונות יסוד בדבר ערכו של האדם - כל אדם באשר הוא - שוויונו ואהבתו" [</w:t>
      </w:r>
      <w:r w:rsidRPr="002E0BA7">
        <w:rPr>
          <w:rFonts w:cs="FrankRuehl"/>
          <w:szCs w:val="22"/>
          <w:lang w:eastAsia="en-US"/>
        </w:rPr>
        <w:t>…</w:t>
      </w:r>
      <w:r w:rsidRPr="002E0BA7">
        <w:rPr>
          <w:rFonts w:cs="FrankRuehl"/>
          <w:szCs w:val="22"/>
          <w:rtl/>
          <w:lang w:eastAsia="en-US"/>
        </w:rPr>
        <w:t xml:space="preserve">] </w:t>
      </w:r>
      <w:r w:rsidRPr="002E0BA7">
        <w:rPr>
          <w:rFonts w:cs="FrankRuehl"/>
          <w:szCs w:val="22"/>
          <w:highlight w:val="yellow"/>
          <w:rtl/>
          <w:lang w:eastAsia="en-US"/>
        </w:rPr>
        <w:t xml:space="preserve">מדינת ישראל היא מדינה יהודית אשר בתוכה חיים מיעוטים, ובהם המיעוט הערבי. כל אחד מבני המיעוטים החיים בישראל נהנה משוויון זכויות גמור. אמת, מפתח מיוחד לכניסה לבית ניתן לבני העם היהודי (ראו </w:t>
      </w:r>
      <w:r w:rsidRPr="002E0BA7">
        <w:rPr>
          <w:rFonts w:cs="FrankRuehl"/>
          <w:szCs w:val="22"/>
          <w:highlight w:val="yellow"/>
          <w:u w:val="single"/>
          <w:rtl/>
          <w:lang w:eastAsia="en-US"/>
        </w:rPr>
        <w:t>חוק השבות</w:t>
      </w:r>
      <w:r w:rsidRPr="002E0BA7">
        <w:rPr>
          <w:rFonts w:cs="FrankRuehl"/>
          <w:szCs w:val="22"/>
          <w:highlight w:val="yellow"/>
          <w:rtl/>
          <w:lang w:eastAsia="en-US"/>
        </w:rPr>
        <w:t>, התש"י1950-). אך משמצוי אדם בבית כאזרח כדין, הוא נהנה מזכויות שוות כמו כל בני הבית האחרים.</w:t>
      </w:r>
      <w:r w:rsidRPr="002E0BA7">
        <w:rPr>
          <w:rFonts w:cs="FrankRuehl"/>
          <w:szCs w:val="22"/>
          <w:rtl/>
          <w:lang w:eastAsia="en-US"/>
        </w:rPr>
        <w:t xml:space="preserve"> ביטוי לכך ניתן בהכרזת העצמאות, אשר קראה "לבני העם הערבי, תושבי מדינת ישראל, לשמור על השלום וליטול חלקם בבנין המדינה על יסוד אזרחות מלאה ושווה". אין, איפוא, כל סתירה בין ערכיה של מדינת ישראל כמדינה יהודית ודמוקרטית לבין שוויון גמור בין כל אזרחיה. נהפוך הוא: שוויון הזכויות בין כל בני האדם בישראל, תהא דתם אשר תהא ותהא לאומיותם אשר תהא - נגזר מערכיה של מדינת ישראל כמדינה יהודית ודמוקרטית. נמצא כי הטענה העקרונית השניה שהועלתה בפנינו, עד כמה שהיא נוגעת לתכלית הכללית המונחת ביסוד החוק, דינה להדחות. </w:t>
      </w:r>
    </w:p>
    <w:p w:rsidR="005366A8" w:rsidRPr="002E0BA7" w:rsidRDefault="005366A8" w:rsidP="005366A8">
      <w:pPr>
        <w:spacing w:after="60"/>
        <w:rPr>
          <w:rFonts w:cs="FrankRuehl"/>
          <w:sz w:val="22"/>
          <w:szCs w:val="22"/>
          <w:rtl/>
        </w:rPr>
      </w:pPr>
      <w:r w:rsidRPr="002E0BA7">
        <w:rPr>
          <w:rFonts w:cs="FrankRuehl" w:hint="cs"/>
          <w:sz w:val="22"/>
          <w:szCs w:val="22"/>
          <w:rtl/>
        </w:rPr>
        <w:t>37.</w:t>
      </w:r>
      <w:r w:rsidRPr="002E0BA7">
        <w:rPr>
          <w:rFonts w:cs="FrankRuehl" w:hint="cs"/>
          <w:sz w:val="22"/>
          <w:szCs w:val="22"/>
          <w:rtl/>
        </w:rPr>
        <w:tab/>
        <w:t xml:space="preserve">[...] </w:t>
      </w:r>
      <w:r w:rsidRPr="002E0BA7">
        <w:rPr>
          <w:rFonts w:cs="FrankRuehl"/>
          <w:sz w:val="22"/>
          <w:szCs w:val="22"/>
          <w:rtl/>
        </w:rPr>
        <w:t xml:space="preserve">לא </w:t>
      </w:r>
      <w:r w:rsidRPr="002E0BA7">
        <w:rPr>
          <w:rFonts w:cs="FrankRuehl"/>
          <w:sz w:val="22"/>
          <w:szCs w:val="22"/>
          <w:highlight w:val="yellow"/>
          <w:rtl/>
        </w:rPr>
        <w:t>זו בלבד שהעתירה צופה פני עתיד, אלא היא גם ממוקדת ביישוב הקהילתי קציר, בנסיבות כפי שהובאו בפנינו. מטבע הדברים, קיימים יישובים מסוגים שונים, כגון, קיבוצים, מושבים ומצפים. יישובים מסוגים שונים עשויים לעורר בעיות שונות. לא שמענו טענות בנוגע ליישובים מסוגים שונים ולכן גם לא ננקוט עמדה לגבי יישובים כאלה.</w:t>
      </w:r>
      <w:r w:rsidRPr="002E0BA7">
        <w:rPr>
          <w:rFonts w:cs="FrankRuehl"/>
          <w:sz w:val="22"/>
          <w:szCs w:val="22"/>
          <w:rtl/>
        </w:rPr>
        <w:t xml:space="preserve"> זאת ועוד. יש לקחת בחשבון שאפשריות נסיבות מיוחדות מעבר לסוג היישוב, כמו נסיבות מיוחדות מבחינת בטחון המדינה, שעשוייה להיות להן חשיבות. לא שמענו טענות לגבי המשמעות של נסיבות כאלה, ולכן גם לא נביע דעה לגבי המשמעות שלהן. נוסף לכך, לדעת ולזכור כי אנו עושים כיום צעד ראשון בדרך קשה ורגישה. מן הראוי לצעוד בדרך זאת עקב בצד אגודל, שלא נמעד וניכשל, אלא נתקדם בה בזהירות ממקרה למקרה, לפי הנסיבות של כל מקרה. עם זאת, גם אם הדרך תהיה ארוכה, חשוב שנדע תמיד, לא רק מאין באנו, אלא גם לאן אנו הולכים. </w:t>
      </w:r>
    </w:p>
    <w:p w:rsidR="005366A8" w:rsidRPr="002E0BA7" w:rsidRDefault="005366A8" w:rsidP="005366A8">
      <w:pPr>
        <w:spacing w:after="60"/>
        <w:rPr>
          <w:rFonts w:cs="FrankRuehl"/>
          <w:sz w:val="22"/>
          <w:szCs w:val="22"/>
          <w:rtl/>
        </w:rPr>
      </w:pPr>
    </w:p>
    <w:p w:rsidR="005366A8" w:rsidRPr="002E0BA7" w:rsidRDefault="005366A8" w:rsidP="005366A8">
      <w:pPr>
        <w:spacing w:after="60"/>
        <w:rPr>
          <w:rFonts w:cs="FrankRuehl"/>
          <w:sz w:val="22"/>
          <w:szCs w:val="22"/>
          <w:u w:val="single"/>
          <w:rtl/>
        </w:rPr>
      </w:pPr>
      <w:r w:rsidRPr="002E0BA7">
        <w:rPr>
          <w:rFonts w:cs="FrankRuehl" w:hint="cs"/>
          <w:sz w:val="22"/>
          <w:szCs w:val="22"/>
          <w:highlight w:val="yellow"/>
          <w:u w:val="single"/>
          <w:rtl/>
        </w:rPr>
        <w:t>הסעד</w:t>
      </w:r>
    </w:p>
    <w:p w:rsidR="005366A8" w:rsidRPr="002E0BA7" w:rsidRDefault="005366A8" w:rsidP="005366A8">
      <w:pPr>
        <w:spacing w:after="60"/>
        <w:rPr>
          <w:rFonts w:cs="FrankRuehl"/>
          <w:sz w:val="22"/>
          <w:szCs w:val="22"/>
          <w:rtl/>
        </w:rPr>
      </w:pPr>
      <w:r w:rsidRPr="002E0BA7">
        <w:rPr>
          <w:rFonts w:cs="FrankRuehl"/>
          <w:sz w:val="22"/>
          <w:szCs w:val="22"/>
          <w:rtl/>
        </w:rPr>
        <w:t>40</w:t>
      </w:r>
      <w:r w:rsidRPr="002E0BA7">
        <w:rPr>
          <w:rFonts w:cs="FrankRuehl" w:hint="cs"/>
          <w:sz w:val="22"/>
          <w:szCs w:val="22"/>
          <w:rtl/>
        </w:rPr>
        <w:t>.</w:t>
      </w:r>
      <w:r w:rsidRPr="002E0BA7">
        <w:rPr>
          <w:rFonts w:cs="FrankRuehl" w:hint="cs"/>
          <w:sz w:val="22"/>
          <w:szCs w:val="22"/>
          <w:rtl/>
        </w:rPr>
        <w:tab/>
      </w:r>
      <w:r w:rsidRPr="002E0BA7">
        <w:rPr>
          <w:rFonts w:cs="FrankRuehl"/>
          <w:sz w:val="22"/>
          <w:szCs w:val="22"/>
          <w:rtl/>
        </w:rPr>
        <w:t xml:space="preserve">במצב זה, מתוך רצון לקחת את כל השיקולים והקשיים בחשבון, ולהגיע לכלל איזון ראוי, החלטנו לעשות בעתירה זאת צו מוחלט במובן הבא: א. אנו מצהירים כי המדינה לא היתה רשאית על פי דין להקצות מקרקעי המדינה לסוכנות היהודית לצורך הקמת היישוב הקהילתי קציר על בסיס של הפליה בין יהודים לבין מי שאינם יהודים. ב. על המדינה לשקול את בקשתם של העותרים לרכוש לעצמם חלקת מקרקעין ביישוב קציר לצורך הקמת ביתם, וזאת על יסוד עקרון השוויון, ומתוך התחשבות בשיקולים השייכים לעניין - לרבות השיקולים הנוגעים לסוכנות ולמתיישבים במקום - וכולל הבעיות המשפטיות הכרוכות בענין זה. על יסוד שיקולים אלה, על המדינה להחליט במהירות הראויה אם יש בידה לאפשר לעותרים, במסגרת הדין, להקים לעצמם בית בתחום היישוב הקהילתי קציר. </w:t>
      </w:r>
    </w:p>
    <w:p w:rsidR="005366A8" w:rsidRDefault="005366A8" w:rsidP="005366A8">
      <w:pPr>
        <w:rPr>
          <w:rFonts w:cs="David"/>
          <w:b/>
          <w:bCs/>
          <w:sz w:val="20"/>
          <w:szCs w:val="20"/>
          <w:rtl/>
        </w:rPr>
      </w:pPr>
      <w:r w:rsidRPr="00247A04">
        <w:rPr>
          <w:rFonts w:cs="David" w:hint="cs"/>
          <w:b/>
          <w:bCs/>
          <w:sz w:val="20"/>
          <w:szCs w:val="20"/>
          <w:rtl/>
        </w:rPr>
        <w:t>=-=</w:t>
      </w:r>
    </w:p>
    <w:p w:rsidR="005366A8" w:rsidRDefault="005366A8" w:rsidP="005366A8">
      <w:pPr>
        <w:rPr>
          <w:rFonts w:cs="David"/>
          <w:b/>
          <w:bCs/>
          <w:sz w:val="20"/>
          <w:szCs w:val="20"/>
          <w:rtl/>
        </w:rPr>
      </w:pPr>
    </w:p>
    <w:p w:rsidR="005366A8" w:rsidRPr="00247A04" w:rsidRDefault="005366A8" w:rsidP="005366A8">
      <w:pPr>
        <w:spacing w:after="120"/>
        <w:rPr>
          <w:rFonts w:cs="David"/>
          <w:b/>
          <w:bCs/>
          <w:sz w:val="20"/>
          <w:szCs w:val="20"/>
          <w:rtl/>
        </w:rPr>
      </w:pPr>
      <w:r>
        <w:rPr>
          <w:rFonts w:cs="David" w:hint="cs"/>
          <w:b/>
          <w:bCs/>
          <w:sz w:val="20"/>
          <w:szCs w:val="20"/>
          <w:rtl/>
        </w:rPr>
        <w:t>מייד בסמוך לפסק הדין:</w:t>
      </w:r>
    </w:p>
    <w:p w:rsidR="005366A8" w:rsidRPr="007A1F0A" w:rsidRDefault="005366A8" w:rsidP="005366A8">
      <w:pPr>
        <w:rPr>
          <w:rFonts w:cs="FrankRuehl"/>
          <w:sz w:val="26"/>
        </w:rPr>
      </w:pPr>
      <w:r w:rsidRPr="007A1F0A">
        <w:rPr>
          <w:rFonts w:cs="FrankRuehl" w:hint="cs"/>
          <w:sz w:val="26"/>
          <w:rtl/>
        </w:rPr>
        <w:t xml:space="preserve">לאגודה לזכויות האזרח </w:t>
      </w:r>
      <w:r>
        <w:rPr>
          <w:rFonts w:cs="FrankRuehl" w:hint="cs"/>
          <w:sz w:val="26"/>
          <w:rtl/>
        </w:rPr>
        <w:t>'</w:t>
      </w:r>
      <w:r w:rsidRPr="007A1F0A">
        <w:rPr>
          <w:rFonts w:cs="FrankRuehl" w:hint="cs"/>
          <w:sz w:val="26"/>
          <w:rtl/>
        </w:rPr>
        <w:t>התגלגל</w:t>
      </w:r>
      <w:r>
        <w:rPr>
          <w:rFonts w:cs="FrankRuehl" w:hint="cs"/>
          <w:sz w:val="26"/>
          <w:rtl/>
        </w:rPr>
        <w:t>'</w:t>
      </w:r>
      <w:r w:rsidRPr="007A1F0A">
        <w:rPr>
          <w:rFonts w:cs="FrankRuehl" w:hint="cs"/>
          <w:sz w:val="26"/>
          <w:rtl/>
        </w:rPr>
        <w:t xml:space="preserve"> מסמך פנימי של הסוכנות היהודית שנערך זמן קצר לאחר מתן פסק הדין.  מופיע בו סיכום, שהועלה על הכתב, ובו מותוות דרך לעקוף ולעקר מתוכן את פסיקת בית המשפט.  המסמך מיום 29.6.</w:t>
      </w:r>
      <w:r>
        <w:rPr>
          <w:rFonts w:cs="FrankRuehl" w:hint="cs"/>
          <w:sz w:val="26"/>
          <w:rtl/>
        </w:rPr>
        <w:t>20</w:t>
      </w:r>
      <w:r w:rsidRPr="007A1F0A">
        <w:rPr>
          <w:rFonts w:cs="FrankRuehl" w:hint="cs"/>
          <w:sz w:val="26"/>
          <w:rtl/>
        </w:rPr>
        <w:t>00 (דהיינו שלושה וחצי חודשים לאחר מתן פסה"ד) כולל מסקנות של צוות של הסוכנות, שדן בהשלכותיו של פסק הדין. המסמך נכתב על ידי דן בריר, חבר הצוות, וזה עיקרו:</w:t>
      </w:r>
    </w:p>
    <w:p w:rsidR="005366A8" w:rsidRPr="00804D42" w:rsidRDefault="005366A8" w:rsidP="005366A8">
      <w:pPr>
        <w:ind w:left="584"/>
        <w:rPr>
          <w:rFonts w:cs="David"/>
          <w:sz w:val="20"/>
          <w:szCs w:val="20"/>
          <w:highlight w:val="yellow"/>
          <w:rtl/>
        </w:rPr>
      </w:pPr>
      <w:r w:rsidRPr="00804D42">
        <w:rPr>
          <w:rFonts w:cs="David" w:hint="cs"/>
          <w:sz w:val="20"/>
          <w:szCs w:val="20"/>
          <w:highlight w:val="yellow"/>
          <w:rtl/>
        </w:rPr>
        <w:t xml:space="preserve">"מסקנות: </w:t>
      </w:r>
    </w:p>
    <w:p w:rsidR="005366A8" w:rsidRPr="00804D42" w:rsidRDefault="005366A8" w:rsidP="000B7168">
      <w:pPr>
        <w:numPr>
          <w:ilvl w:val="1"/>
          <w:numId w:val="7"/>
        </w:numPr>
        <w:tabs>
          <w:tab w:val="clear" w:pos="1440"/>
          <w:tab w:val="num" w:pos="944"/>
        </w:tabs>
        <w:ind w:left="944" w:right="0"/>
        <w:rPr>
          <w:rFonts w:cs="David"/>
          <w:sz w:val="20"/>
          <w:szCs w:val="20"/>
          <w:highlight w:val="yellow"/>
          <w:rtl/>
        </w:rPr>
      </w:pPr>
      <w:r w:rsidRPr="00804D42">
        <w:rPr>
          <w:rFonts w:cs="David" w:hint="cs"/>
          <w:sz w:val="20"/>
          <w:szCs w:val="20"/>
          <w:highlight w:val="yellow"/>
          <w:rtl/>
        </w:rPr>
        <w:t>פסק דין קציר כמעט ולא מותיר "חורים" שמאפשרים מיון תושבים ללא אפליה.</w:t>
      </w:r>
    </w:p>
    <w:p w:rsidR="005366A8" w:rsidRPr="00804D42" w:rsidRDefault="005366A8" w:rsidP="000B7168">
      <w:pPr>
        <w:numPr>
          <w:ilvl w:val="1"/>
          <w:numId w:val="7"/>
        </w:numPr>
        <w:tabs>
          <w:tab w:val="clear" w:pos="1440"/>
          <w:tab w:val="num" w:pos="944"/>
        </w:tabs>
        <w:ind w:left="944" w:right="0"/>
        <w:rPr>
          <w:rFonts w:cs="David"/>
          <w:sz w:val="20"/>
          <w:szCs w:val="20"/>
          <w:highlight w:val="yellow"/>
          <w:rtl/>
        </w:rPr>
      </w:pPr>
      <w:r w:rsidRPr="00804D42">
        <w:rPr>
          <w:rFonts w:cs="David" w:hint="cs"/>
          <w:sz w:val="20"/>
          <w:szCs w:val="20"/>
          <w:highlight w:val="yellow"/>
          <w:rtl/>
        </w:rPr>
        <w:t>האפשרות של מיון באמצעות "אגודה" מצטיירת כבעייתית.</w:t>
      </w:r>
    </w:p>
    <w:p w:rsidR="005366A8" w:rsidRPr="00804D42" w:rsidRDefault="005366A8" w:rsidP="000B7168">
      <w:pPr>
        <w:numPr>
          <w:ilvl w:val="1"/>
          <w:numId w:val="7"/>
        </w:numPr>
        <w:tabs>
          <w:tab w:val="clear" w:pos="1440"/>
          <w:tab w:val="num" w:pos="944"/>
        </w:tabs>
        <w:ind w:left="944" w:right="0"/>
        <w:rPr>
          <w:rFonts w:cs="David"/>
          <w:sz w:val="20"/>
          <w:szCs w:val="20"/>
          <w:highlight w:val="yellow"/>
          <w:rtl/>
        </w:rPr>
      </w:pPr>
      <w:r w:rsidRPr="00804D42">
        <w:rPr>
          <w:rFonts w:cs="David" w:hint="cs"/>
          <w:sz w:val="20"/>
          <w:szCs w:val="20"/>
          <w:highlight w:val="yellow"/>
          <w:rtl/>
        </w:rPr>
        <w:t>הגדרות של קריטריונים למיון מתיישבים בתנאים הנ"ל נראות מאוד בעייתיות.</w:t>
      </w:r>
    </w:p>
    <w:p w:rsidR="005366A8" w:rsidRPr="00804D42" w:rsidRDefault="005366A8" w:rsidP="000B7168">
      <w:pPr>
        <w:numPr>
          <w:ilvl w:val="1"/>
          <w:numId w:val="7"/>
        </w:numPr>
        <w:tabs>
          <w:tab w:val="clear" w:pos="1440"/>
          <w:tab w:val="num" w:pos="944"/>
        </w:tabs>
        <w:ind w:left="944" w:right="0"/>
        <w:rPr>
          <w:rFonts w:cs="David"/>
          <w:sz w:val="20"/>
          <w:szCs w:val="20"/>
          <w:highlight w:val="yellow"/>
          <w:rtl/>
        </w:rPr>
      </w:pPr>
      <w:r w:rsidRPr="00804D42">
        <w:rPr>
          <w:rFonts w:cs="David" w:hint="cs"/>
          <w:sz w:val="20"/>
          <w:szCs w:val="20"/>
          <w:highlight w:val="yellow"/>
          <w:rtl/>
        </w:rPr>
        <w:t>מהלכי מיון עפ"י קריטריונים שיקבעו על ידנו (ישוב לאומנים, ישוב לעולים, ישוב ל"ירוקים" וכו') עשויים להתפרש כהתחכמות שבאה לעקוף את בג"צ.</w:t>
      </w:r>
    </w:p>
    <w:p w:rsidR="005366A8" w:rsidRPr="00804D42" w:rsidRDefault="005366A8" w:rsidP="000B7168">
      <w:pPr>
        <w:numPr>
          <w:ilvl w:val="1"/>
          <w:numId w:val="7"/>
        </w:numPr>
        <w:tabs>
          <w:tab w:val="clear" w:pos="1440"/>
          <w:tab w:val="num" w:pos="944"/>
        </w:tabs>
        <w:ind w:left="944" w:right="0"/>
        <w:rPr>
          <w:rFonts w:cs="David"/>
          <w:sz w:val="20"/>
          <w:szCs w:val="20"/>
          <w:highlight w:val="yellow"/>
          <w:rtl/>
        </w:rPr>
      </w:pPr>
      <w:r w:rsidRPr="00804D42">
        <w:rPr>
          <w:rFonts w:cs="David" w:hint="cs"/>
          <w:sz w:val="20"/>
          <w:szCs w:val="20"/>
          <w:highlight w:val="yellow"/>
          <w:rtl/>
        </w:rPr>
        <w:t>מהלכים פוליטיים לשינוי החוק עשויים שלא לעמוד במבחן "חוקי היסוד".</w:t>
      </w:r>
    </w:p>
    <w:p w:rsidR="005366A8" w:rsidRPr="00804D42" w:rsidRDefault="005366A8" w:rsidP="000B7168">
      <w:pPr>
        <w:numPr>
          <w:ilvl w:val="1"/>
          <w:numId w:val="7"/>
        </w:numPr>
        <w:tabs>
          <w:tab w:val="clear" w:pos="1440"/>
          <w:tab w:val="num" w:pos="944"/>
        </w:tabs>
        <w:spacing w:after="120"/>
        <w:ind w:left="941" w:right="0" w:hanging="357"/>
        <w:rPr>
          <w:rFonts w:cs="David"/>
          <w:sz w:val="20"/>
          <w:szCs w:val="20"/>
          <w:highlight w:val="yellow"/>
        </w:rPr>
      </w:pPr>
      <w:r w:rsidRPr="00804D42">
        <w:rPr>
          <w:rFonts w:cs="David" w:hint="cs"/>
          <w:sz w:val="20"/>
          <w:szCs w:val="20"/>
          <w:highlight w:val="yellow"/>
          <w:rtl/>
        </w:rPr>
        <w:t xml:space="preserve">לאור הנ"ל, </w:t>
      </w:r>
      <w:r w:rsidRPr="00804D42">
        <w:rPr>
          <w:rFonts w:cs="David" w:hint="cs"/>
          <w:b/>
          <w:bCs/>
          <w:sz w:val="20"/>
          <w:szCs w:val="20"/>
          <w:highlight w:val="yellow"/>
          <w:rtl/>
        </w:rPr>
        <w:t>נראה שדרך הפעולה הנכונה היא: לא לעשות רעשים במערכת ולהמשיך לעשות את מה שעושים</w:t>
      </w:r>
      <w:r w:rsidRPr="00804D42">
        <w:rPr>
          <w:rFonts w:cs="David" w:hint="cs"/>
          <w:sz w:val="20"/>
          <w:szCs w:val="20"/>
          <w:highlight w:val="yellow"/>
          <w:rtl/>
        </w:rPr>
        <w:t xml:space="preserve">". </w:t>
      </w:r>
    </w:p>
    <w:p w:rsidR="005366A8" w:rsidRPr="00804D42" w:rsidRDefault="005366A8" w:rsidP="005366A8">
      <w:pPr>
        <w:jc w:val="center"/>
        <w:rPr>
          <w:rFonts w:cs="David"/>
          <w:sz w:val="20"/>
          <w:szCs w:val="20"/>
          <w:rtl/>
        </w:rPr>
      </w:pPr>
      <w:r w:rsidRPr="00804D42">
        <w:rPr>
          <w:rFonts w:cs="David" w:hint="cs"/>
          <w:sz w:val="20"/>
          <w:szCs w:val="20"/>
          <w:highlight w:val="yellow"/>
          <w:rtl/>
        </w:rPr>
        <w:t xml:space="preserve">(ההדגשה </w:t>
      </w:r>
      <w:r>
        <w:rPr>
          <w:rFonts w:cs="David" w:hint="cs"/>
          <w:sz w:val="20"/>
          <w:szCs w:val="20"/>
          <w:highlight w:val="yellow"/>
          <w:rtl/>
        </w:rPr>
        <w:t>הוספה</w:t>
      </w:r>
      <w:r w:rsidRPr="00804D42">
        <w:rPr>
          <w:rFonts w:cs="David" w:hint="cs"/>
          <w:sz w:val="20"/>
          <w:szCs w:val="20"/>
          <w:highlight w:val="yellow"/>
          <w:rtl/>
        </w:rPr>
        <w:t xml:space="preserve">, המסמך צורף לעתירת-המשך בעניין קעדאן </w:t>
      </w:r>
      <w:r w:rsidRPr="00804D42">
        <w:rPr>
          <w:rFonts w:cs="David"/>
          <w:sz w:val="20"/>
          <w:szCs w:val="20"/>
          <w:highlight w:val="yellow"/>
          <w:rtl/>
        </w:rPr>
        <w:t>–</w:t>
      </w:r>
      <w:r w:rsidRPr="00804D42">
        <w:rPr>
          <w:rFonts w:cs="David" w:hint="cs"/>
          <w:sz w:val="20"/>
          <w:szCs w:val="20"/>
          <w:highlight w:val="yellow"/>
          <w:rtl/>
        </w:rPr>
        <w:t xml:space="preserve"> בג"צ 8060/03).</w:t>
      </w:r>
    </w:p>
    <w:p w:rsidR="005366A8" w:rsidRDefault="005366A8" w:rsidP="005366A8">
      <w:pPr>
        <w:rPr>
          <w:sz w:val="20"/>
          <w:szCs w:val="20"/>
          <w:rtl/>
        </w:rPr>
      </w:pPr>
    </w:p>
    <w:p w:rsidR="005366A8" w:rsidRDefault="005366A8" w:rsidP="005366A8">
      <w:pPr>
        <w:rPr>
          <w:sz w:val="20"/>
          <w:szCs w:val="20"/>
          <w:rtl/>
        </w:rPr>
      </w:pPr>
      <w:r w:rsidRPr="009172BA">
        <w:rPr>
          <w:rFonts w:hint="cs"/>
          <w:sz w:val="20"/>
          <w:szCs w:val="20"/>
          <w:rtl/>
        </w:rPr>
        <w:t>=-=</w:t>
      </w:r>
    </w:p>
    <w:p w:rsidR="005366A8" w:rsidRPr="00247A04" w:rsidRDefault="005366A8" w:rsidP="005366A8">
      <w:pPr>
        <w:rPr>
          <w:rFonts w:cs="David"/>
          <w:b/>
          <w:bCs/>
          <w:sz w:val="20"/>
          <w:szCs w:val="20"/>
          <w:rtl/>
        </w:rPr>
      </w:pPr>
      <w:r>
        <w:rPr>
          <w:rFonts w:cs="David" w:hint="cs"/>
          <w:b/>
          <w:bCs/>
          <w:sz w:val="20"/>
          <w:szCs w:val="20"/>
          <w:rtl/>
        </w:rPr>
        <w:t>11 שנים לאחר פסק הדין:</w:t>
      </w:r>
    </w:p>
    <w:p w:rsidR="005366A8" w:rsidRPr="00D834E1" w:rsidRDefault="005366A8" w:rsidP="005366A8">
      <w:pPr>
        <w:pStyle w:val="HeadHatzaotHok"/>
        <w:spacing w:before="0" w:line="240" w:lineRule="auto"/>
        <w:ind w:right="-28"/>
        <w:rPr>
          <w:rFonts w:cs="David"/>
          <w:szCs w:val="20"/>
          <w:rtl/>
        </w:rPr>
      </w:pPr>
      <w:r w:rsidRPr="00C82C8C">
        <w:rPr>
          <w:rStyle w:val="HeadHatzaotHok0"/>
          <w:rFonts w:cs="David"/>
          <w:szCs w:val="20"/>
          <w:rtl/>
        </w:rPr>
        <w:t xml:space="preserve">חוק </w:t>
      </w:r>
      <w:r w:rsidRPr="00C82C8C">
        <w:rPr>
          <w:rFonts w:cs="David"/>
          <w:szCs w:val="20"/>
          <w:highlight w:val="yellow"/>
          <w:rtl/>
        </w:rPr>
        <w:t>לתיקון פקודת האגודות השיתופיות (מס' 8), התשע"א–2011</w:t>
      </w:r>
    </w:p>
    <w:p w:rsidR="005366A8" w:rsidRPr="00D834E1" w:rsidRDefault="005366A8" w:rsidP="005366A8">
      <w:pPr>
        <w:rPr>
          <w:rFonts w:cs="David"/>
          <w:sz w:val="20"/>
          <w:szCs w:val="20"/>
          <w:rtl/>
        </w:rPr>
      </w:pPr>
    </w:p>
    <w:tbl>
      <w:tblPr>
        <w:bidiVisual/>
        <w:tblW w:w="9638" w:type="dxa"/>
        <w:tblLayout w:type="fixed"/>
        <w:tblCellMar>
          <w:top w:w="57" w:type="dxa"/>
          <w:left w:w="0" w:type="dxa"/>
          <w:bottom w:w="57" w:type="dxa"/>
          <w:right w:w="0" w:type="dxa"/>
        </w:tblCellMar>
        <w:tblLook w:val="01E0"/>
      </w:tblPr>
      <w:tblGrid>
        <w:gridCol w:w="1869"/>
        <w:gridCol w:w="624"/>
        <w:gridCol w:w="624"/>
        <w:gridCol w:w="624"/>
        <w:gridCol w:w="624"/>
        <w:gridCol w:w="624"/>
        <w:gridCol w:w="624"/>
        <w:gridCol w:w="4025"/>
      </w:tblGrid>
      <w:tr w:rsidR="005366A8" w:rsidRPr="00D834E1" w:rsidTr="001845AC">
        <w:trPr>
          <w:cantSplit/>
        </w:trPr>
        <w:tc>
          <w:tcPr>
            <w:tcW w:w="1869" w:type="dxa"/>
          </w:tcPr>
          <w:p w:rsidR="005366A8" w:rsidRPr="00D834E1" w:rsidRDefault="005366A8" w:rsidP="001845AC">
            <w:pPr>
              <w:pStyle w:val="TableSideHeading"/>
              <w:spacing w:line="240" w:lineRule="auto"/>
              <w:ind w:right="0"/>
              <w:rPr>
                <w:rFonts w:cs="David"/>
                <w:szCs w:val="20"/>
              </w:rPr>
            </w:pPr>
            <w:r w:rsidRPr="00D834E1">
              <w:rPr>
                <w:rFonts w:cs="David"/>
                <w:szCs w:val="20"/>
                <w:rtl/>
              </w:rPr>
              <w:t>תיקון סעיף 2</w:t>
            </w:r>
          </w:p>
        </w:tc>
        <w:tc>
          <w:tcPr>
            <w:tcW w:w="624" w:type="dxa"/>
          </w:tcPr>
          <w:p w:rsidR="005366A8" w:rsidRPr="00D834E1" w:rsidRDefault="005366A8" w:rsidP="001845AC">
            <w:pPr>
              <w:pStyle w:val="TableText"/>
              <w:spacing w:line="240" w:lineRule="auto"/>
              <w:ind w:right="0"/>
              <w:rPr>
                <w:rFonts w:cs="David"/>
                <w:szCs w:val="20"/>
              </w:rPr>
            </w:pPr>
            <w:r w:rsidRPr="00D834E1">
              <w:rPr>
                <w:rFonts w:cs="David"/>
                <w:szCs w:val="20"/>
                <w:rtl/>
              </w:rPr>
              <w:t>1.</w:t>
            </w:r>
          </w:p>
        </w:tc>
        <w:tc>
          <w:tcPr>
            <w:tcW w:w="7145" w:type="dxa"/>
            <w:gridSpan w:val="6"/>
          </w:tcPr>
          <w:p w:rsidR="005366A8" w:rsidRPr="00D834E1" w:rsidRDefault="005366A8" w:rsidP="001845AC">
            <w:pPr>
              <w:pStyle w:val="TableBlock"/>
              <w:spacing w:line="240" w:lineRule="auto"/>
              <w:rPr>
                <w:rFonts w:cs="David"/>
                <w:szCs w:val="20"/>
              </w:rPr>
            </w:pPr>
            <w:r w:rsidRPr="00D834E1">
              <w:rPr>
                <w:rFonts w:cs="David"/>
                <w:szCs w:val="20"/>
                <w:rtl/>
              </w:rPr>
              <w:t>בפקודת האגודות השיתופיות (להלן – הפקודה), בסעיף 2 –</w:t>
            </w:r>
          </w:p>
        </w:tc>
      </w:tr>
      <w:tr w:rsidR="005366A8" w:rsidRPr="00D834E1" w:rsidTr="001845AC">
        <w:trPr>
          <w:cantSplit/>
        </w:trPr>
        <w:tc>
          <w:tcPr>
            <w:tcW w:w="1869" w:type="dxa"/>
          </w:tcPr>
          <w:p w:rsidR="005366A8" w:rsidRPr="00D834E1" w:rsidRDefault="005366A8" w:rsidP="001845AC">
            <w:pPr>
              <w:pStyle w:val="Ragil"/>
              <w:spacing w:before="0" w:line="240" w:lineRule="auto"/>
              <w:rPr>
                <w:szCs w:val="20"/>
              </w:rPr>
            </w:pPr>
          </w:p>
        </w:tc>
        <w:tc>
          <w:tcPr>
            <w:tcW w:w="624" w:type="dxa"/>
          </w:tcPr>
          <w:p w:rsidR="005366A8" w:rsidRPr="00D834E1" w:rsidRDefault="005366A8" w:rsidP="001845AC">
            <w:pPr>
              <w:rPr>
                <w:rStyle w:val="EndnoteReference"/>
                <w:rFonts w:cs="David"/>
                <w:sz w:val="20"/>
                <w:szCs w:val="20"/>
                <w:rtl/>
              </w:rPr>
            </w:pPr>
          </w:p>
        </w:tc>
        <w:tc>
          <w:tcPr>
            <w:tcW w:w="7145" w:type="dxa"/>
            <w:gridSpan w:val="6"/>
          </w:tcPr>
          <w:p w:rsidR="005366A8" w:rsidRPr="00D834E1" w:rsidRDefault="005366A8" w:rsidP="001845AC">
            <w:pPr>
              <w:pStyle w:val="TableBlockOutdent"/>
              <w:spacing w:before="0" w:line="240" w:lineRule="auto"/>
              <w:rPr>
                <w:szCs w:val="20"/>
                <w:rtl/>
              </w:rPr>
            </w:pPr>
            <w:r w:rsidRPr="00D834E1">
              <w:rPr>
                <w:szCs w:val="20"/>
                <w:rtl/>
              </w:rPr>
              <w:t>(1)</w:t>
            </w:r>
            <w:r w:rsidRPr="00D834E1">
              <w:rPr>
                <w:szCs w:val="20"/>
                <w:rtl/>
              </w:rPr>
              <w:tab/>
              <w:t>אחרי ההגדרה "אגודה מרכזית" יבוא:</w:t>
            </w:r>
          </w:p>
        </w:tc>
      </w:tr>
      <w:tr w:rsidR="005366A8" w:rsidRPr="00D834E1" w:rsidTr="001845AC">
        <w:trPr>
          <w:cantSplit/>
          <w:trHeight w:val="60"/>
        </w:trPr>
        <w:tc>
          <w:tcPr>
            <w:tcW w:w="1869" w:type="dxa"/>
          </w:tcPr>
          <w:p w:rsidR="005366A8" w:rsidRPr="00D834E1" w:rsidRDefault="005366A8" w:rsidP="001845AC">
            <w:pPr>
              <w:pStyle w:val="TableSideHeading"/>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521" w:type="dxa"/>
            <w:gridSpan w:val="5"/>
          </w:tcPr>
          <w:p w:rsidR="005366A8" w:rsidRPr="00D834E1" w:rsidRDefault="005366A8" w:rsidP="001845AC">
            <w:pPr>
              <w:pStyle w:val="TableBlockOutdent"/>
              <w:spacing w:before="0" w:line="240" w:lineRule="auto"/>
              <w:rPr>
                <w:szCs w:val="20"/>
                <w:rtl/>
              </w:rPr>
            </w:pPr>
            <w:r w:rsidRPr="00D834E1">
              <w:rPr>
                <w:szCs w:val="20"/>
                <w:rtl/>
              </w:rPr>
              <w:t>""הגליל" – כהגדרתו בחוק הרשות לפיתוח הגליל, התשנ"ג–1993;</w:t>
            </w:r>
          </w:p>
        </w:tc>
      </w:tr>
      <w:tr w:rsidR="005366A8" w:rsidRPr="00D834E1" w:rsidTr="001845AC">
        <w:trPr>
          <w:cantSplit/>
          <w:trHeight w:val="60"/>
        </w:trPr>
        <w:tc>
          <w:tcPr>
            <w:tcW w:w="1869" w:type="dxa"/>
          </w:tcPr>
          <w:p w:rsidR="005366A8" w:rsidRPr="00D834E1" w:rsidRDefault="005366A8" w:rsidP="001845AC">
            <w:pPr>
              <w:pStyle w:val="TableSideHeading"/>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521" w:type="dxa"/>
            <w:gridSpan w:val="5"/>
          </w:tcPr>
          <w:p w:rsidR="005366A8" w:rsidRPr="00D834E1" w:rsidRDefault="005366A8" w:rsidP="001845AC">
            <w:pPr>
              <w:pStyle w:val="TableBlockOutdent"/>
              <w:spacing w:before="0" w:line="240" w:lineRule="auto"/>
              <w:rPr>
                <w:szCs w:val="20"/>
                <w:rtl/>
              </w:rPr>
            </w:pPr>
            <w:r w:rsidRPr="00D834E1">
              <w:rPr>
                <w:szCs w:val="20"/>
                <w:rtl/>
              </w:rPr>
              <w:t>"הנגב" – כהגדרתו בחוק הרשות לפיתוח הנגב, התשנ"ב–1991;".</w:t>
            </w:r>
          </w:p>
        </w:tc>
      </w:tr>
      <w:tr w:rsidR="005366A8" w:rsidRPr="00D834E1" w:rsidTr="001845AC">
        <w:trPr>
          <w:cantSplit/>
        </w:trPr>
        <w:tc>
          <w:tcPr>
            <w:tcW w:w="1869" w:type="dxa"/>
          </w:tcPr>
          <w:p w:rsidR="005366A8" w:rsidRPr="00D834E1" w:rsidRDefault="005366A8" w:rsidP="001845AC">
            <w:pPr>
              <w:pStyle w:val="Ragil"/>
              <w:spacing w:before="0" w:line="240" w:lineRule="auto"/>
              <w:rPr>
                <w:szCs w:val="20"/>
              </w:rPr>
            </w:pPr>
          </w:p>
        </w:tc>
        <w:tc>
          <w:tcPr>
            <w:tcW w:w="624" w:type="dxa"/>
          </w:tcPr>
          <w:p w:rsidR="005366A8" w:rsidRPr="00D834E1" w:rsidRDefault="005366A8" w:rsidP="001845AC">
            <w:pPr>
              <w:pStyle w:val="TableText"/>
              <w:spacing w:line="240" w:lineRule="auto"/>
              <w:rPr>
                <w:rFonts w:cs="David"/>
                <w:szCs w:val="20"/>
                <w:rtl/>
              </w:rPr>
            </w:pPr>
          </w:p>
        </w:tc>
        <w:tc>
          <w:tcPr>
            <w:tcW w:w="7145" w:type="dxa"/>
            <w:gridSpan w:val="6"/>
          </w:tcPr>
          <w:p w:rsidR="005366A8" w:rsidRPr="00D834E1" w:rsidRDefault="005366A8" w:rsidP="001845AC">
            <w:pPr>
              <w:pStyle w:val="TableBlock"/>
              <w:spacing w:line="240" w:lineRule="auto"/>
              <w:rPr>
                <w:rFonts w:cs="David"/>
                <w:szCs w:val="20"/>
                <w:rtl/>
              </w:rPr>
            </w:pPr>
            <w:r w:rsidRPr="00D834E1">
              <w:rPr>
                <w:rFonts w:cs="David"/>
                <w:szCs w:val="20"/>
                <w:rtl/>
              </w:rPr>
              <w:t>(2)</w:t>
            </w:r>
            <w:r w:rsidRPr="00D834E1">
              <w:rPr>
                <w:rFonts w:cs="David"/>
                <w:szCs w:val="20"/>
                <w:rtl/>
              </w:rPr>
              <w:tab/>
              <w:t>אחרי ההגדרה "ועד" יבוא:</w:t>
            </w:r>
          </w:p>
        </w:tc>
      </w:tr>
      <w:tr w:rsidR="005366A8" w:rsidRPr="00D834E1" w:rsidTr="001845AC">
        <w:trPr>
          <w:cantSplit/>
          <w:trHeight w:val="60"/>
        </w:trPr>
        <w:tc>
          <w:tcPr>
            <w:tcW w:w="1869" w:type="dxa"/>
          </w:tcPr>
          <w:p w:rsidR="005366A8" w:rsidRPr="00D834E1" w:rsidRDefault="005366A8" w:rsidP="001845AC">
            <w:pPr>
              <w:pStyle w:val="TableSideHeading"/>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521" w:type="dxa"/>
            <w:gridSpan w:val="5"/>
          </w:tcPr>
          <w:p w:rsidR="005366A8" w:rsidRPr="00D834E1" w:rsidRDefault="005366A8" w:rsidP="001845AC">
            <w:pPr>
              <w:pStyle w:val="TableBlockOutdent"/>
              <w:spacing w:before="0" w:line="240" w:lineRule="auto"/>
              <w:rPr>
                <w:szCs w:val="20"/>
                <w:rtl/>
              </w:rPr>
            </w:pPr>
            <w:r w:rsidRPr="00D834E1">
              <w:rPr>
                <w:szCs w:val="20"/>
                <w:rtl/>
              </w:rPr>
              <w:t>""ועדת ההשגות" – ועדת ההשגות כמשמעותה בסעיף 6ב;</w:t>
            </w:r>
          </w:p>
        </w:tc>
      </w:tr>
      <w:tr w:rsidR="005366A8" w:rsidRPr="00D834E1" w:rsidTr="001845AC">
        <w:trPr>
          <w:cantSplit/>
          <w:trHeight w:val="60"/>
        </w:trPr>
        <w:tc>
          <w:tcPr>
            <w:tcW w:w="1869" w:type="dxa"/>
          </w:tcPr>
          <w:p w:rsidR="005366A8" w:rsidRPr="00D834E1" w:rsidRDefault="005366A8" w:rsidP="001845AC">
            <w:pPr>
              <w:pStyle w:val="TableSideHeading"/>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521" w:type="dxa"/>
            <w:gridSpan w:val="5"/>
          </w:tcPr>
          <w:p w:rsidR="005366A8" w:rsidRPr="00D834E1" w:rsidRDefault="005366A8" w:rsidP="001845AC">
            <w:pPr>
              <w:pStyle w:val="TableBlockOutdent"/>
              <w:spacing w:before="0" w:line="240" w:lineRule="auto"/>
              <w:rPr>
                <w:szCs w:val="20"/>
                <w:rtl/>
              </w:rPr>
            </w:pPr>
            <w:r w:rsidRPr="00D834E1">
              <w:rPr>
                <w:szCs w:val="20"/>
                <w:rtl/>
              </w:rPr>
              <w:t>"ועדת קבלה" – ועדת קבלה כמשמעותה בסעיף 6ב;</w:t>
            </w:r>
          </w:p>
        </w:tc>
      </w:tr>
      <w:tr w:rsidR="005366A8" w:rsidRPr="00D834E1" w:rsidTr="001845AC">
        <w:trPr>
          <w:cantSplit/>
          <w:trHeight w:val="60"/>
        </w:trPr>
        <w:tc>
          <w:tcPr>
            <w:tcW w:w="1869" w:type="dxa"/>
          </w:tcPr>
          <w:p w:rsidR="005366A8" w:rsidRPr="00D834E1" w:rsidRDefault="005366A8" w:rsidP="001845AC">
            <w:pPr>
              <w:pStyle w:val="TableSideHeading"/>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521" w:type="dxa"/>
            <w:gridSpan w:val="5"/>
          </w:tcPr>
          <w:p w:rsidR="005366A8" w:rsidRPr="00D834E1" w:rsidRDefault="005366A8" w:rsidP="001845AC">
            <w:pPr>
              <w:pStyle w:val="TableBlockOutdent"/>
              <w:spacing w:before="0" w:line="240" w:lineRule="auto"/>
              <w:rPr>
                <w:szCs w:val="20"/>
                <w:rtl/>
              </w:rPr>
            </w:pPr>
            <w:r w:rsidRPr="00D834E1">
              <w:rPr>
                <w:szCs w:val="20"/>
                <w:rtl/>
              </w:rPr>
              <w:t>"זכות במקרקעין" – זכות חכירה או זכות חכירה לדורות במקרקעי ישראל כמשמעותם בחוק-יסוד: מקרקעי ישראל, לרבות זכות להירשם כחוכר או כחוכר לדורות, זכות של מי שהוא צד לחוזה פיתוח ביישוב קהילתי להירשם כחוכר או כחוכר לדורות לאחר קיום תנאי החוזה, ושכירות לתקופות שבמצטבר עולות על חמש שנים; לעניין זה, "חכירה" ו"חכירה לדורות" – כמשמעותן בחוק המקרקעין, התשכ"ט–1969;";</w:t>
            </w:r>
          </w:p>
        </w:tc>
      </w:tr>
      <w:tr w:rsidR="005366A8" w:rsidRPr="00D834E1" w:rsidTr="001845AC">
        <w:trPr>
          <w:cantSplit/>
        </w:trPr>
        <w:tc>
          <w:tcPr>
            <w:tcW w:w="1869" w:type="dxa"/>
          </w:tcPr>
          <w:p w:rsidR="005366A8" w:rsidRPr="00D834E1" w:rsidRDefault="005366A8" w:rsidP="001845AC">
            <w:pPr>
              <w:pStyle w:val="Ragil"/>
              <w:spacing w:before="0" w:line="240" w:lineRule="auto"/>
              <w:rPr>
                <w:szCs w:val="20"/>
              </w:rPr>
            </w:pPr>
          </w:p>
        </w:tc>
        <w:tc>
          <w:tcPr>
            <w:tcW w:w="624" w:type="dxa"/>
          </w:tcPr>
          <w:p w:rsidR="005366A8" w:rsidRPr="00D834E1" w:rsidRDefault="005366A8" w:rsidP="001845AC">
            <w:pPr>
              <w:rPr>
                <w:rStyle w:val="EndnoteReference"/>
                <w:rFonts w:cs="David"/>
                <w:sz w:val="20"/>
                <w:szCs w:val="20"/>
                <w:rtl/>
              </w:rPr>
            </w:pPr>
          </w:p>
        </w:tc>
        <w:tc>
          <w:tcPr>
            <w:tcW w:w="7145" w:type="dxa"/>
            <w:gridSpan w:val="6"/>
          </w:tcPr>
          <w:p w:rsidR="005366A8" w:rsidRPr="00D834E1" w:rsidRDefault="005366A8" w:rsidP="001845AC">
            <w:pPr>
              <w:pStyle w:val="TableBlockOutdent"/>
              <w:spacing w:before="0" w:line="240" w:lineRule="auto"/>
              <w:rPr>
                <w:szCs w:val="20"/>
                <w:rtl/>
              </w:rPr>
            </w:pPr>
            <w:r w:rsidRPr="00D834E1">
              <w:rPr>
                <w:szCs w:val="20"/>
                <w:rtl/>
              </w:rPr>
              <w:t>(3)</w:t>
            </w:r>
            <w:r w:rsidRPr="00D834E1">
              <w:rPr>
                <w:szCs w:val="20"/>
                <w:rtl/>
              </w:rPr>
              <w:tab/>
              <w:t>אחרי ההגדרה "חבר" יבוא:</w:t>
            </w:r>
          </w:p>
        </w:tc>
      </w:tr>
      <w:tr w:rsidR="005366A8" w:rsidRPr="00D834E1" w:rsidTr="001845AC">
        <w:trPr>
          <w:cantSplit/>
          <w:trHeight w:val="60"/>
        </w:trPr>
        <w:tc>
          <w:tcPr>
            <w:tcW w:w="1869" w:type="dxa"/>
          </w:tcPr>
          <w:p w:rsidR="005366A8" w:rsidRPr="00D834E1" w:rsidRDefault="005366A8" w:rsidP="001845AC">
            <w:pPr>
              <w:pStyle w:val="TableSideHeading"/>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521" w:type="dxa"/>
            <w:gridSpan w:val="5"/>
          </w:tcPr>
          <w:p w:rsidR="005366A8" w:rsidRPr="00D834E1" w:rsidRDefault="005366A8" w:rsidP="001845AC">
            <w:pPr>
              <w:pStyle w:val="TableBlockOutdent"/>
              <w:spacing w:before="0" w:line="240" w:lineRule="auto"/>
              <w:rPr>
                <w:szCs w:val="20"/>
                <w:rtl/>
              </w:rPr>
            </w:pPr>
            <w:r w:rsidRPr="00D834E1">
              <w:rPr>
                <w:szCs w:val="20"/>
                <w:rtl/>
              </w:rPr>
              <w:t>""יישוב קהילתי" – יישוב בגליל או בנגב המאוגד כאגודה שיתופית שהרשם סיווג אותה כיישוב קהילתי כפרי או כאגודה שיתופית להתיישבות קהילתית (בהגדרה זו – יישוב), או הרחבה של קיבוץ, של מושב שיתופי, של מושב עובדים או של כפר שיתופי (בהגדרה זו – יישוב מקורי), המאוגדת כאגודה שיתופית שהרשם סיווג אותה כיישוב קהילתי כפרי או כאגודה שיתופית להתיישבות קהילתית, ומתקיימים כל אלה:</w:t>
            </w:r>
          </w:p>
        </w:tc>
      </w:tr>
      <w:tr w:rsidR="005366A8" w:rsidRPr="00D834E1" w:rsidTr="001845AC">
        <w:trPr>
          <w:cantSplit/>
          <w:trHeight w:val="60"/>
        </w:trPr>
        <w:tc>
          <w:tcPr>
            <w:tcW w:w="1869" w:type="dxa"/>
          </w:tcPr>
          <w:p w:rsidR="005366A8" w:rsidRPr="00D834E1" w:rsidRDefault="005366A8" w:rsidP="001845AC">
            <w:pPr>
              <w:pStyle w:val="TableSideHeading"/>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5897" w:type="dxa"/>
            <w:gridSpan w:val="4"/>
          </w:tcPr>
          <w:p w:rsidR="005366A8" w:rsidRPr="00D834E1" w:rsidRDefault="005366A8" w:rsidP="001845AC">
            <w:pPr>
              <w:pStyle w:val="TableBlock"/>
              <w:spacing w:line="240" w:lineRule="auto"/>
              <w:rPr>
                <w:rFonts w:cs="David"/>
                <w:szCs w:val="20"/>
              </w:rPr>
            </w:pPr>
            <w:r w:rsidRPr="00D834E1">
              <w:rPr>
                <w:rFonts w:cs="David"/>
                <w:szCs w:val="20"/>
                <w:rtl/>
              </w:rPr>
              <w:t>(1)</w:t>
            </w:r>
            <w:r w:rsidRPr="00D834E1">
              <w:rPr>
                <w:rFonts w:cs="David"/>
                <w:szCs w:val="20"/>
                <w:rtl/>
              </w:rPr>
              <w:tab/>
              <w:t>מספר בתי האב ביישוב, או ביישוב המקורי ובהרחבה יחד, אינו עולה על  400;</w:t>
            </w:r>
          </w:p>
        </w:tc>
      </w:tr>
      <w:tr w:rsidR="005366A8" w:rsidRPr="00D834E1" w:rsidTr="001845AC">
        <w:trPr>
          <w:cantSplit/>
          <w:trHeight w:val="60"/>
        </w:trPr>
        <w:tc>
          <w:tcPr>
            <w:tcW w:w="1869" w:type="dxa"/>
          </w:tcPr>
          <w:p w:rsidR="005366A8" w:rsidRPr="00D834E1" w:rsidRDefault="005366A8" w:rsidP="001845AC">
            <w:pPr>
              <w:pStyle w:val="TableSideHeading"/>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5897" w:type="dxa"/>
            <w:gridSpan w:val="4"/>
          </w:tcPr>
          <w:p w:rsidR="005366A8" w:rsidRPr="00D834E1" w:rsidRDefault="005366A8" w:rsidP="001845AC">
            <w:pPr>
              <w:pStyle w:val="TableBlock"/>
              <w:spacing w:line="240" w:lineRule="auto"/>
              <w:rPr>
                <w:rFonts w:cs="David"/>
                <w:szCs w:val="20"/>
                <w:rtl/>
              </w:rPr>
            </w:pPr>
            <w:r w:rsidRPr="00D834E1">
              <w:rPr>
                <w:rFonts w:cs="David"/>
                <w:szCs w:val="20"/>
                <w:rtl/>
              </w:rPr>
              <w:t>(2)</w:t>
            </w:r>
            <w:r w:rsidRPr="00D834E1">
              <w:rPr>
                <w:rFonts w:cs="David"/>
                <w:szCs w:val="20"/>
                <w:rtl/>
              </w:rPr>
              <w:tab/>
              <w:t>המספר המרבי של בתי האב ביישוב, או ביישוב המקורי ובהרחבה יחד, הוגבל בהתאם להוראות תכנית מיתאר ארצית או תכנית מיתאר מחוזית, כמשמעותן בחוק התכנון והבנייה, התשכ"ה–1965;".</w:t>
            </w:r>
          </w:p>
        </w:tc>
      </w:tr>
      <w:tr w:rsidR="005366A8" w:rsidRPr="00D834E1" w:rsidTr="001845AC">
        <w:trPr>
          <w:cantSplit/>
        </w:trPr>
        <w:tc>
          <w:tcPr>
            <w:tcW w:w="1869" w:type="dxa"/>
          </w:tcPr>
          <w:p w:rsidR="005366A8" w:rsidRPr="00D834E1" w:rsidRDefault="005366A8" w:rsidP="001845AC">
            <w:pPr>
              <w:pStyle w:val="TableSideHeading"/>
              <w:keepLines w:val="0"/>
              <w:spacing w:line="240" w:lineRule="auto"/>
              <w:rPr>
                <w:rFonts w:cs="David"/>
                <w:szCs w:val="20"/>
                <w:rtl/>
              </w:rPr>
            </w:pPr>
            <w:r w:rsidRPr="00D834E1">
              <w:rPr>
                <w:rFonts w:cs="David"/>
                <w:szCs w:val="20"/>
                <w:rtl/>
              </w:rPr>
              <w:t xml:space="preserve">הוספת סעיפים </w:t>
            </w:r>
            <w:r w:rsidRPr="00D834E1">
              <w:rPr>
                <w:rFonts w:cs="David"/>
                <w:szCs w:val="20"/>
                <w:rtl/>
              </w:rPr>
              <w:br/>
              <w:t>6ב עד 6ד</w:t>
            </w:r>
          </w:p>
        </w:tc>
        <w:tc>
          <w:tcPr>
            <w:tcW w:w="624" w:type="dxa"/>
          </w:tcPr>
          <w:p w:rsidR="005366A8" w:rsidRPr="00D834E1" w:rsidRDefault="005366A8" w:rsidP="001845AC">
            <w:pPr>
              <w:pStyle w:val="TableText"/>
              <w:spacing w:line="240" w:lineRule="auto"/>
              <w:rPr>
                <w:rFonts w:cs="David"/>
                <w:szCs w:val="20"/>
                <w:rtl/>
              </w:rPr>
            </w:pPr>
            <w:r w:rsidRPr="00D834E1">
              <w:rPr>
                <w:rFonts w:cs="David"/>
                <w:szCs w:val="20"/>
                <w:rtl/>
              </w:rPr>
              <w:t>2.</w:t>
            </w:r>
          </w:p>
        </w:tc>
        <w:tc>
          <w:tcPr>
            <w:tcW w:w="7145" w:type="dxa"/>
            <w:gridSpan w:val="6"/>
          </w:tcPr>
          <w:p w:rsidR="005366A8" w:rsidRPr="00D834E1" w:rsidRDefault="005366A8" w:rsidP="001845AC">
            <w:pPr>
              <w:pStyle w:val="TableBlockOutdent"/>
              <w:spacing w:before="0" w:line="240" w:lineRule="auto"/>
              <w:rPr>
                <w:szCs w:val="20"/>
                <w:rtl/>
              </w:rPr>
            </w:pPr>
            <w:r w:rsidRPr="00D834E1">
              <w:rPr>
                <w:szCs w:val="20"/>
                <w:rtl/>
              </w:rPr>
              <w:t>אחרי סעיף 6א לפקודה יבוא:</w:t>
            </w:r>
          </w:p>
        </w:tc>
      </w:tr>
      <w:tr w:rsidR="005366A8" w:rsidRPr="00D834E1" w:rsidTr="001845AC">
        <w:trPr>
          <w:cantSplit/>
          <w:trHeight w:val="60"/>
        </w:trPr>
        <w:tc>
          <w:tcPr>
            <w:tcW w:w="1869" w:type="dxa"/>
          </w:tcPr>
          <w:p w:rsidR="005366A8" w:rsidRPr="00D834E1" w:rsidRDefault="005366A8" w:rsidP="001845AC">
            <w:pPr>
              <w:pStyle w:val="Ragil"/>
              <w:spacing w:before="0" w:line="240" w:lineRule="auto"/>
              <w:rPr>
                <w:szCs w:val="20"/>
              </w:rPr>
            </w:pPr>
          </w:p>
        </w:tc>
        <w:tc>
          <w:tcPr>
            <w:tcW w:w="624" w:type="dxa"/>
          </w:tcPr>
          <w:p w:rsidR="005366A8" w:rsidRPr="00D834E1" w:rsidRDefault="005366A8" w:rsidP="001845AC">
            <w:pPr>
              <w:pStyle w:val="Cover3-Haknesset"/>
              <w:spacing w:before="0" w:after="0" w:line="240" w:lineRule="auto"/>
              <w:rPr>
                <w:szCs w:val="20"/>
              </w:rPr>
            </w:pPr>
          </w:p>
        </w:tc>
        <w:tc>
          <w:tcPr>
            <w:tcW w:w="1872" w:type="dxa"/>
            <w:gridSpan w:val="3"/>
          </w:tcPr>
          <w:p w:rsidR="005366A8" w:rsidRPr="00D834E1" w:rsidRDefault="005366A8" w:rsidP="001845AC">
            <w:pPr>
              <w:pStyle w:val="TableInnerSideHeading"/>
              <w:spacing w:line="240" w:lineRule="auto"/>
              <w:ind w:right="0"/>
              <w:rPr>
                <w:rFonts w:cs="David"/>
                <w:szCs w:val="20"/>
              </w:rPr>
            </w:pPr>
            <w:r w:rsidRPr="00D834E1">
              <w:rPr>
                <w:rFonts w:cs="David"/>
                <w:szCs w:val="20"/>
                <w:rtl/>
              </w:rPr>
              <w:t>"הקצאת מקרקעין  והעברת זכות במקרקעין ביישוב קהילתי</w:t>
            </w:r>
          </w:p>
        </w:tc>
        <w:tc>
          <w:tcPr>
            <w:tcW w:w="624" w:type="dxa"/>
          </w:tcPr>
          <w:p w:rsidR="005366A8" w:rsidRPr="00D834E1" w:rsidRDefault="005366A8" w:rsidP="001845AC">
            <w:pPr>
              <w:pStyle w:val="TableText"/>
              <w:spacing w:line="240" w:lineRule="auto"/>
              <w:ind w:right="0"/>
              <w:rPr>
                <w:rFonts w:cs="David"/>
                <w:szCs w:val="20"/>
              </w:rPr>
            </w:pPr>
            <w:r w:rsidRPr="00D834E1">
              <w:rPr>
                <w:rFonts w:cs="David"/>
                <w:szCs w:val="20"/>
                <w:rtl/>
              </w:rPr>
              <w:t>6ב.</w:t>
            </w:r>
          </w:p>
        </w:tc>
        <w:tc>
          <w:tcPr>
            <w:tcW w:w="624" w:type="dxa"/>
          </w:tcPr>
          <w:p w:rsidR="005366A8" w:rsidRPr="00D834E1" w:rsidRDefault="005366A8" w:rsidP="001845AC">
            <w:pPr>
              <w:pStyle w:val="TableText"/>
              <w:spacing w:line="240" w:lineRule="auto"/>
              <w:rPr>
                <w:rFonts w:cs="David"/>
                <w:szCs w:val="20"/>
              </w:rPr>
            </w:pPr>
            <w:r w:rsidRPr="00D834E1">
              <w:rPr>
                <w:rFonts w:cs="David"/>
                <w:szCs w:val="20"/>
                <w:rtl/>
              </w:rPr>
              <w:t>(א)</w:t>
            </w:r>
          </w:p>
        </w:tc>
        <w:tc>
          <w:tcPr>
            <w:tcW w:w="4025" w:type="dxa"/>
          </w:tcPr>
          <w:p w:rsidR="005366A8" w:rsidRPr="00D834E1" w:rsidRDefault="005366A8" w:rsidP="001845AC">
            <w:pPr>
              <w:pStyle w:val="TableBlock"/>
              <w:spacing w:line="240" w:lineRule="auto"/>
              <w:rPr>
                <w:rFonts w:cs="David"/>
                <w:szCs w:val="20"/>
                <w:rtl/>
              </w:rPr>
            </w:pPr>
            <w:r w:rsidRPr="00D834E1">
              <w:rPr>
                <w:rFonts w:cs="David"/>
                <w:szCs w:val="20"/>
                <w:rtl/>
              </w:rPr>
              <w:t>(1)</w:t>
            </w:r>
            <w:r w:rsidRPr="00D834E1">
              <w:rPr>
                <w:rFonts w:cs="David"/>
                <w:szCs w:val="20"/>
                <w:rtl/>
              </w:rPr>
              <w:tab/>
            </w:r>
            <w:r w:rsidRPr="00D834E1">
              <w:rPr>
                <w:rFonts w:cs="David"/>
                <w:szCs w:val="20"/>
                <w:highlight w:val="yellow"/>
                <w:rtl/>
              </w:rPr>
              <w:t>הקצאת מקרקעין לאדם לשם רכישת זכות במקרקעין ביישוב קהילתי שבו פועלת ועדת קבלה, תיעשה לאחר קבלת אישורה של ועדת הקבלה.</w:t>
            </w:r>
            <w:r w:rsidRPr="00D834E1">
              <w:rPr>
                <w:rFonts w:cs="David"/>
                <w:szCs w:val="20"/>
                <w:rtl/>
              </w:rPr>
              <w:t xml:space="preserve"> </w:t>
            </w:r>
          </w:p>
        </w:tc>
      </w:tr>
      <w:tr w:rsidR="005366A8" w:rsidRPr="00D834E1" w:rsidTr="001845AC">
        <w:trPr>
          <w:cantSplit/>
          <w:trHeight w:val="60"/>
        </w:trPr>
        <w:tc>
          <w:tcPr>
            <w:tcW w:w="1869" w:type="dxa"/>
          </w:tcPr>
          <w:p w:rsidR="005366A8" w:rsidRPr="00D834E1" w:rsidRDefault="005366A8" w:rsidP="001845AC">
            <w:pPr>
              <w:pStyle w:val="TableSideHeading"/>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4025" w:type="dxa"/>
          </w:tcPr>
          <w:p w:rsidR="005366A8" w:rsidRPr="00D834E1" w:rsidRDefault="005366A8" w:rsidP="001845AC">
            <w:pPr>
              <w:pStyle w:val="TableBlock"/>
              <w:spacing w:line="240" w:lineRule="auto"/>
              <w:rPr>
                <w:rFonts w:cs="David"/>
                <w:szCs w:val="20"/>
              </w:rPr>
            </w:pPr>
            <w:r w:rsidRPr="00D834E1">
              <w:rPr>
                <w:rFonts w:cs="David"/>
                <w:szCs w:val="20"/>
                <w:rtl/>
              </w:rPr>
              <w:t>(2)</w:t>
            </w:r>
            <w:r w:rsidRPr="00D834E1">
              <w:rPr>
                <w:rFonts w:cs="David"/>
                <w:szCs w:val="20"/>
                <w:rtl/>
              </w:rPr>
              <w:tab/>
              <w:t>העברה של זכות במקרקעין שהוקצו לאדם או של זכות במקרקעין שהועברה לפי דין, ביישוב קהילתי כאמור בפסקה (1), תיעשה לאחר שהמעביר קיבל את אישורה של ועדת הקבלה בנוגע לנעבר; הוראות פסקה זו יחולו, בשינויים המחויבים, גם על נעבר המעוניין להעביר את זכותו במקרקעין לאחר.</w:t>
            </w:r>
          </w:p>
        </w:tc>
      </w:tr>
      <w:tr w:rsidR="005366A8" w:rsidRPr="00D834E1" w:rsidTr="001845AC">
        <w:trPr>
          <w:cantSplit/>
          <w:trHeight w:val="60"/>
        </w:trPr>
        <w:tc>
          <w:tcPr>
            <w:tcW w:w="1869" w:type="dxa"/>
          </w:tcPr>
          <w:p w:rsidR="005366A8" w:rsidRPr="00D834E1" w:rsidRDefault="005366A8" w:rsidP="001845AC">
            <w:pPr>
              <w:pStyle w:val="TableSideHeading"/>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4025" w:type="dxa"/>
          </w:tcPr>
          <w:p w:rsidR="005366A8" w:rsidRPr="00D834E1" w:rsidRDefault="005366A8" w:rsidP="001845AC">
            <w:pPr>
              <w:pStyle w:val="TableBlock"/>
              <w:spacing w:line="240" w:lineRule="auto"/>
              <w:rPr>
                <w:rFonts w:cs="David"/>
                <w:szCs w:val="20"/>
                <w:rtl/>
              </w:rPr>
            </w:pPr>
            <w:r w:rsidRPr="00D834E1">
              <w:rPr>
                <w:rFonts w:cs="David"/>
                <w:szCs w:val="20"/>
                <w:rtl/>
              </w:rPr>
              <w:t>(3)</w:t>
            </w:r>
            <w:r w:rsidRPr="00D834E1">
              <w:rPr>
                <w:rFonts w:cs="David"/>
                <w:szCs w:val="20"/>
                <w:rtl/>
              </w:rPr>
              <w:tab/>
              <w:t>העברת זכות במקרקעין בירושה, בין על פי דין ובין על פי צוואה, ביישוב קהילתי כאמור בפסקה (1), אינה טעונה את אישורה של ועדת הקבלה; ואולם, הוראות פסקה (2) יחולו על יורש, בין על פי דין ובין על פי צוואה, המעוניין להעביר את זכותו לאחר.</w:t>
            </w:r>
          </w:p>
        </w:tc>
      </w:tr>
      <w:tr w:rsidR="005366A8" w:rsidRPr="00D834E1" w:rsidTr="001845AC">
        <w:trPr>
          <w:cantSplit/>
          <w:trHeight w:val="60"/>
        </w:trPr>
        <w:tc>
          <w:tcPr>
            <w:tcW w:w="1869" w:type="dxa"/>
          </w:tcPr>
          <w:p w:rsidR="005366A8" w:rsidRPr="00D834E1" w:rsidRDefault="005366A8" w:rsidP="001845AC">
            <w:pPr>
              <w:pStyle w:val="TableSideHeading"/>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tl/>
              </w:rPr>
            </w:pPr>
            <w:r w:rsidRPr="00D834E1">
              <w:rPr>
                <w:rFonts w:cs="David"/>
                <w:szCs w:val="20"/>
                <w:rtl/>
              </w:rPr>
              <w:t>(ב)</w:t>
            </w:r>
          </w:p>
        </w:tc>
        <w:tc>
          <w:tcPr>
            <w:tcW w:w="4025" w:type="dxa"/>
          </w:tcPr>
          <w:p w:rsidR="005366A8" w:rsidRPr="00D834E1" w:rsidRDefault="005366A8" w:rsidP="001845AC">
            <w:pPr>
              <w:pStyle w:val="TableBlock"/>
              <w:spacing w:line="240" w:lineRule="auto"/>
              <w:rPr>
                <w:rFonts w:cs="David"/>
                <w:szCs w:val="20"/>
                <w:rtl/>
              </w:rPr>
            </w:pPr>
            <w:r w:rsidRPr="00D834E1">
              <w:rPr>
                <w:rFonts w:cs="David"/>
                <w:szCs w:val="20"/>
                <w:rtl/>
              </w:rPr>
              <w:t>(1)</w:t>
            </w:r>
            <w:r w:rsidRPr="00D834E1">
              <w:rPr>
                <w:rFonts w:cs="David"/>
                <w:szCs w:val="20"/>
                <w:rtl/>
              </w:rPr>
              <w:tab/>
            </w:r>
            <w:r w:rsidRPr="00D834E1">
              <w:rPr>
                <w:rFonts w:cs="David"/>
                <w:szCs w:val="20"/>
                <w:highlight w:val="yellow"/>
                <w:rtl/>
              </w:rPr>
              <w:t>ועדת קבלה של יישוב קהילתי תורכב מחמישה חברים והם: שני נציגי היישוב הקהילתי; נציג התנועה שהיישוב הקהילתי מסונף אליה או חבר בה, ואם היישוב הקהילתי אינו מסונף לתנועה כאמור או חבר בה או אם התנועה ויתרה על נציגות –  נציג נוסף של היישוב הקהילתי; נציג הסוכנות היהודית לארץ ישראל או ההסתדרות הציונית העולמית; ונציג המועצה האזורית שבתחום שיפוטה נמצא היישוב הקהילתי.</w:t>
            </w:r>
          </w:p>
        </w:tc>
      </w:tr>
      <w:tr w:rsidR="005366A8" w:rsidRPr="00D834E1" w:rsidTr="001845AC">
        <w:trPr>
          <w:cantSplit/>
          <w:trHeight w:val="60"/>
        </w:trPr>
        <w:tc>
          <w:tcPr>
            <w:tcW w:w="1869" w:type="dxa"/>
          </w:tcPr>
          <w:p w:rsidR="005366A8" w:rsidRPr="00D834E1" w:rsidRDefault="005366A8" w:rsidP="001845AC">
            <w:pPr>
              <w:pStyle w:val="TableSideHeading"/>
              <w:spacing w:line="240" w:lineRule="auto"/>
              <w:ind w:right="0"/>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tl/>
              </w:rPr>
            </w:pPr>
          </w:p>
        </w:tc>
        <w:tc>
          <w:tcPr>
            <w:tcW w:w="4025" w:type="dxa"/>
          </w:tcPr>
          <w:p w:rsidR="005366A8" w:rsidRPr="00D834E1" w:rsidRDefault="005366A8" w:rsidP="001845AC">
            <w:pPr>
              <w:pStyle w:val="TableBlock"/>
              <w:spacing w:line="240" w:lineRule="auto"/>
              <w:rPr>
                <w:rFonts w:cs="David"/>
                <w:szCs w:val="20"/>
                <w:rtl/>
              </w:rPr>
            </w:pPr>
            <w:r w:rsidRPr="00D834E1">
              <w:rPr>
                <w:rFonts w:cs="David"/>
                <w:szCs w:val="20"/>
                <w:rtl/>
              </w:rPr>
              <w:t>(2)</w:t>
            </w:r>
            <w:r w:rsidRPr="00D834E1">
              <w:rPr>
                <w:rFonts w:cs="David"/>
                <w:szCs w:val="20"/>
                <w:rtl/>
              </w:rPr>
              <w:tab/>
              <w:t xml:space="preserve">נציג המועצה האזורית בוועדת הקבלה </w:t>
            </w:r>
            <w:r w:rsidRPr="00D834E1">
              <w:rPr>
                <w:rFonts w:cs="David"/>
                <w:szCs w:val="20"/>
                <w:rtl/>
                <w:lang w:eastAsia="en-US"/>
              </w:rPr>
              <w:t>יהיה ראש המועצה האזורית או סגנו, או עובד המועצה שימנה ראש המועצה, ובלבד שאינם תושבי היישוב הקהילתי – והוא יהיה יושב הראש.</w:t>
            </w:r>
          </w:p>
        </w:tc>
      </w:tr>
      <w:tr w:rsidR="005366A8" w:rsidRPr="00D834E1" w:rsidTr="001845AC">
        <w:trPr>
          <w:cantSplit/>
          <w:trHeight w:val="60"/>
        </w:trPr>
        <w:tc>
          <w:tcPr>
            <w:tcW w:w="1869" w:type="dxa"/>
          </w:tcPr>
          <w:p w:rsidR="005366A8" w:rsidRPr="00D834E1" w:rsidRDefault="005366A8" w:rsidP="001845AC">
            <w:pPr>
              <w:pStyle w:val="TableSideHeading"/>
              <w:spacing w:line="240" w:lineRule="auto"/>
              <w:rPr>
                <w:rFonts w:cs="David"/>
                <w:szCs w:val="20"/>
              </w:rPr>
            </w:pPr>
          </w:p>
        </w:tc>
        <w:tc>
          <w:tcPr>
            <w:tcW w:w="624" w:type="dxa"/>
          </w:tcPr>
          <w:p w:rsidR="005366A8" w:rsidRPr="00D834E1" w:rsidRDefault="005366A8" w:rsidP="001845AC">
            <w:pPr>
              <w:pStyle w:val="TableText"/>
              <w:spacing w:line="240" w:lineRule="auto"/>
              <w:ind w:right="0"/>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4649" w:type="dxa"/>
            <w:gridSpan w:val="2"/>
          </w:tcPr>
          <w:p w:rsidR="005366A8" w:rsidRPr="00D834E1" w:rsidRDefault="005366A8" w:rsidP="001845AC">
            <w:pPr>
              <w:pStyle w:val="TableBlock"/>
              <w:spacing w:line="240" w:lineRule="auto"/>
              <w:rPr>
                <w:rFonts w:cs="David"/>
                <w:szCs w:val="20"/>
              </w:rPr>
            </w:pPr>
            <w:r w:rsidRPr="00D834E1">
              <w:rPr>
                <w:rFonts w:cs="David"/>
                <w:szCs w:val="20"/>
                <w:rtl/>
              </w:rPr>
              <w:t>(ג)</w:t>
            </w:r>
            <w:r w:rsidRPr="00D834E1">
              <w:rPr>
                <w:rFonts w:cs="David"/>
                <w:szCs w:val="20"/>
                <w:rtl/>
              </w:rPr>
              <w:tab/>
              <w:t>סירבה ועדת הקבלה לקבל מועמד ליישוב הקהילתי, תמציא לו החלטה מנומקת בדבר סירובה.</w:t>
            </w:r>
          </w:p>
        </w:tc>
      </w:tr>
      <w:tr w:rsidR="005366A8" w:rsidRPr="00D834E1" w:rsidTr="001845AC">
        <w:trPr>
          <w:cantSplit/>
          <w:trHeight w:val="60"/>
        </w:trPr>
        <w:tc>
          <w:tcPr>
            <w:tcW w:w="1869" w:type="dxa"/>
          </w:tcPr>
          <w:p w:rsidR="005366A8" w:rsidRPr="00D834E1" w:rsidRDefault="005366A8" w:rsidP="001845AC">
            <w:pPr>
              <w:pStyle w:val="TableSideHeading"/>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4649" w:type="dxa"/>
            <w:gridSpan w:val="2"/>
          </w:tcPr>
          <w:p w:rsidR="005366A8" w:rsidRPr="00D834E1" w:rsidRDefault="005366A8" w:rsidP="001845AC">
            <w:pPr>
              <w:pStyle w:val="TableBlock"/>
              <w:spacing w:line="240" w:lineRule="auto"/>
              <w:rPr>
                <w:rFonts w:cs="David"/>
                <w:szCs w:val="20"/>
                <w:highlight w:val="yellow"/>
                <w:rtl/>
              </w:rPr>
            </w:pPr>
            <w:r w:rsidRPr="00D834E1">
              <w:rPr>
                <w:rFonts w:cs="David"/>
                <w:szCs w:val="20"/>
                <w:rtl/>
              </w:rPr>
              <w:t>(ד)</w:t>
            </w:r>
            <w:r w:rsidRPr="00D834E1">
              <w:rPr>
                <w:rFonts w:cs="David"/>
                <w:szCs w:val="20"/>
                <w:rtl/>
              </w:rPr>
              <w:tab/>
              <w:t>המועמד והיישוב הקהילתי רשאים להגיש השגה על החלטת ועדת הקבלה לוועדת ההשגות.</w:t>
            </w:r>
          </w:p>
        </w:tc>
      </w:tr>
      <w:tr w:rsidR="005366A8" w:rsidRPr="00D834E1" w:rsidTr="001845AC">
        <w:trPr>
          <w:cantSplit/>
          <w:trHeight w:val="60"/>
        </w:trPr>
        <w:tc>
          <w:tcPr>
            <w:tcW w:w="1869" w:type="dxa"/>
          </w:tcPr>
          <w:p w:rsidR="005366A8" w:rsidRPr="00D834E1" w:rsidRDefault="005366A8" w:rsidP="001845AC">
            <w:pPr>
              <w:pStyle w:val="TableSideHeading"/>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4649" w:type="dxa"/>
            <w:gridSpan w:val="2"/>
          </w:tcPr>
          <w:p w:rsidR="005366A8" w:rsidRPr="00D834E1" w:rsidRDefault="005366A8" w:rsidP="001845AC">
            <w:pPr>
              <w:pStyle w:val="TableBlock"/>
              <w:spacing w:line="240" w:lineRule="auto"/>
              <w:rPr>
                <w:rFonts w:cs="David"/>
                <w:szCs w:val="20"/>
                <w:rtl/>
              </w:rPr>
            </w:pPr>
            <w:r w:rsidRPr="00D834E1">
              <w:rPr>
                <w:rFonts w:cs="David"/>
                <w:szCs w:val="20"/>
                <w:rtl/>
              </w:rPr>
              <w:t>(ה)</w:t>
            </w:r>
            <w:r w:rsidRPr="00D834E1">
              <w:rPr>
                <w:rFonts w:cs="David"/>
                <w:szCs w:val="20"/>
                <w:rtl/>
              </w:rPr>
              <w:tab/>
            </w:r>
            <w:r w:rsidRPr="00D834E1">
              <w:rPr>
                <w:rFonts w:cs="David"/>
                <w:szCs w:val="20"/>
                <w:highlight w:val="yellow"/>
                <w:rtl/>
              </w:rPr>
              <w:t>ועדת ההשגות</w:t>
            </w:r>
            <w:r w:rsidRPr="00D834E1">
              <w:rPr>
                <w:rFonts w:cs="David"/>
                <w:szCs w:val="20"/>
                <w:rtl/>
              </w:rPr>
              <w:t xml:space="preserve"> תורכב מחמישה חברים שימנה שר הבינוי והשיכון, והם: איש ציבור בעל השכלה בתחומי המשפט, העבודה הסוציאלית או מדעי ההתנהגות לפי המלצת שר המשפטים – והוא יהיה יושב הראש; רשם האגודות השיתופיות או סגנו; עובד רשות מקרקעי ישראל; עובד משרד הרווחה והשירותים החברתיים לפי המלצת שר הרווחה והשירותים החברתיים; ועובד משרד החקלאות ופיתוח הכפר לפי המלצת שר החקלאות ופיתוח הכפר.</w:t>
            </w:r>
          </w:p>
        </w:tc>
      </w:tr>
      <w:tr w:rsidR="005366A8" w:rsidRPr="00D834E1" w:rsidTr="001845AC">
        <w:trPr>
          <w:cantSplit/>
          <w:trHeight w:val="60"/>
        </w:trPr>
        <w:tc>
          <w:tcPr>
            <w:tcW w:w="1869" w:type="dxa"/>
          </w:tcPr>
          <w:p w:rsidR="005366A8" w:rsidRPr="00D834E1" w:rsidRDefault="005366A8" w:rsidP="001845AC">
            <w:pPr>
              <w:pStyle w:val="TableSideHeading"/>
              <w:spacing w:line="240" w:lineRule="auto"/>
              <w:rPr>
                <w:rFonts w:cs="David"/>
                <w:szCs w:val="20"/>
              </w:rPr>
            </w:pPr>
          </w:p>
        </w:tc>
        <w:tc>
          <w:tcPr>
            <w:tcW w:w="624" w:type="dxa"/>
          </w:tcPr>
          <w:p w:rsidR="005366A8" w:rsidRPr="00D834E1" w:rsidRDefault="005366A8" w:rsidP="001845AC">
            <w:pPr>
              <w:pStyle w:val="TableText"/>
              <w:spacing w:line="240" w:lineRule="auto"/>
              <w:ind w:right="0"/>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4649" w:type="dxa"/>
            <w:gridSpan w:val="2"/>
          </w:tcPr>
          <w:p w:rsidR="005366A8" w:rsidRPr="00D834E1" w:rsidRDefault="005366A8" w:rsidP="001845AC">
            <w:pPr>
              <w:pStyle w:val="TableBlock"/>
              <w:spacing w:line="240" w:lineRule="auto"/>
              <w:rPr>
                <w:rFonts w:cs="David"/>
                <w:szCs w:val="20"/>
                <w:highlight w:val="yellow"/>
                <w:rtl/>
              </w:rPr>
            </w:pPr>
            <w:r w:rsidRPr="00D834E1">
              <w:rPr>
                <w:rFonts w:cs="David"/>
                <w:szCs w:val="20"/>
                <w:rtl/>
              </w:rPr>
              <w:t>(ו)</w:t>
            </w:r>
            <w:r w:rsidRPr="00D834E1">
              <w:rPr>
                <w:rFonts w:cs="David"/>
                <w:szCs w:val="20"/>
                <w:rtl/>
              </w:rPr>
              <w:tab/>
              <w:t>ועדת ההשגות רשאית לבטל את החלטת ועדת הקבלה, לאשרה, להחזיר את הנושא לדיון מחודש בפני ועדת הקבלה או לקבל החלטה אחרת במקומה</w:t>
            </w:r>
            <w:r w:rsidRPr="00C81BF8">
              <w:rPr>
                <w:rFonts w:cs="David"/>
                <w:szCs w:val="20"/>
                <w:rtl/>
              </w:rPr>
              <w:t>.</w:t>
            </w:r>
            <w:r w:rsidRPr="00C81BF8">
              <w:rPr>
                <w:rFonts w:cs="David" w:hint="cs"/>
                <w:szCs w:val="20"/>
                <w:rtl/>
              </w:rPr>
              <w:t xml:space="preserve"> [...]</w:t>
            </w:r>
          </w:p>
        </w:tc>
      </w:tr>
      <w:tr w:rsidR="005366A8" w:rsidRPr="00D834E1" w:rsidTr="001845AC">
        <w:trPr>
          <w:cantSplit/>
          <w:trHeight w:val="60"/>
        </w:trPr>
        <w:tc>
          <w:tcPr>
            <w:tcW w:w="1869" w:type="dxa"/>
          </w:tcPr>
          <w:p w:rsidR="005366A8" w:rsidRPr="00D834E1" w:rsidRDefault="005366A8" w:rsidP="001845AC">
            <w:pPr>
              <w:pStyle w:val="TableSideHeading"/>
              <w:spacing w:line="240" w:lineRule="auto"/>
              <w:rPr>
                <w:rFonts w:cs="David"/>
                <w:szCs w:val="20"/>
              </w:rPr>
            </w:pPr>
          </w:p>
        </w:tc>
        <w:tc>
          <w:tcPr>
            <w:tcW w:w="624" w:type="dxa"/>
          </w:tcPr>
          <w:p w:rsidR="005366A8" w:rsidRPr="00E05A3E" w:rsidRDefault="005366A8" w:rsidP="001845AC">
            <w:pPr>
              <w:pStyle w:val="TableText"/>
              <w:spacing w:line="240" w:lineRule="auto"/>
              <w:ind w:right="0"/>
              <w:rPr>
                <w:rFonts w:cs="David"/>
                <w:szCs w:val="20"/>
                <w:highlight w:val="yellow"/>
              </w:rPr>
            </w:pPr>
          </w:p>
        </w:tc>
        <w:tc>
          <w:tcPr>
            <w:tcW w:w="1872" w:type="dxa"/>
            <w:gridSpan w:val="3"/>
          </w:tcPr>
          <w:p w:rsidR="005366A8" w:rsidRPr="00E05A3E" w:rsidRDefault="005366A8" w:rsidP="001845AC">
            <w:pPr>
              <w:pStyle w:val="TableInnerSideHeading"/>
              <w:spacing w:line="240" w:lineRule="auto"/>
              <w:rPr>
                <w:rFonts w:cs="David"/>
                <w:szCs w:val="20"/>
                <w:highlight w:val="yellow"/>
              </w:rPr>
            </w:pPr>
            <w:r w:rsidRPr="00E05A3E">
              <w:rPr>
                <w:rFonts w:cs="David"/>
                <w:szCs w:val="20"/>
                <w:highlight w:val="yellow"/>
                <w:rtl/>
              </w:rPr>
              <w:t>שיקולי ועדת הקבלה</w:t>
            </w:r>
          </w:p>
        </w:tc>
        <w:tc>
          <w:tcPr>
            <w:tcW w:w="624" w:type="dxa"/>
          </w:tcPr>
          <w:p w:rsidR="005366A8" w:rsidRPr="00D834E1" w:rsidRDefault="005366A8" w:rsidP="001845AC">
            <w:pPr>
              <w:pStyle w:val="TableText"/>
              <w:spacing w:line="240" w:lineRule="auto"/>
              <w:rPr>
                <w:rFonts w:cs="David"/>
                <w:szCs w:val="20"/>
              </w:rPr>
            </w:pPr>
            <w:r w:rsidRPr="00D834E1">
              <w:rPr>
                <w:rFonts w:cs="David"/>
                <w:szCs w:val="20"/>
                <w:rtl/>
              </w:rPr>
              <w:t>6ג.</w:t>
            </w:r>
          </w:p>
        </w:tc>
        <w:tc>
          <w:tcPr>
            <w:tcW w:w="4649" w:type="dxa"/>
            <w:gridSpan w:val="2"/>
          </w:tcPr>
          <w:p w:rsidR="005366A8" w:rsidRPr="00D834E1" w:rsidRDefault="005366A8" w:rsidP="001845AC">
            <w:pPr>
              <w:pStyle w:val="TableBlock"/>
              <w:spacing w:line="240" w:lineRule="auto"/>
              <w:rPr>
                <w:rFonts w:cs="David"/>
                <w:szCs w:val="20"/>
              </w:rPr>
            </w:pPr>
            <w:r w:rsidRPr="00D834E1">
              <w:rPr>
                <w:rFonts w:cs="David"/>
                <w:szCs w:val="20"/>
                <w:rtl/>
              </w:rPr>
              <w:t>(א)</w:t>
            </w:r>
            <w:r w:rsidRPr="00D834E1">
              <w:rPr>
                <w:rFonts w:cs="David"/>
                <w:szCs w:val="20"/>
                <w:rtl/>
              </w:rPr>
              <w:tab/>
              <w:t>ועדת קבלה רשאית לסרב לקבל מועמד ליישוב הקהילתי בהתבסס על אחד או יותר משיקולים אלה בלבד:</w:t>
            </w:r>
          </w:p>
        </w:tc>
      </w:tr>
      <w:tr w:rsidR="005366A8" w:rsidRPr="00D834E1" w:rsidTr="001845AC">
        <w:trPr>
          <w:cantSplit/>
          <w:trHeight w:val="60"/>
        </w:trPr>
        <w:tc>
          <w:tcPr>
            <w:tcW w:w="1869" w:type="dxa"/>
          </w:tcPr>
          <w:p w:rsidR="005366A8" w:rsidRPr="00D834E1" w:rsidRDefault="005366A8" w:rsidP="001845AC">
            <w:pPr>
              <w:pStyle w:val="TableSideHeading"/>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4025" w:type="dxa"/>
          </w:tcPr>
          <w:p w:rsidR="005366A8" w:rsidRPr="00D834E1" w:rsidRDefault="005366A8" w:rsidP="001845AC">
            <w:pPr>
              <w:pStyle w:val="TableBlock"/>
              <w:spacing w:line="240" w:lineRule="auto"/>
              <w:rPr>
                <w:rFonts w:cs="David"/>
                <w:szCs w:val="20"/>
              </w:rPr>
            </w:pPr>
            <w:r w:rsidRPr="00D834E1">
              <w:rPr>
                <w:rFonts w:cs="David"/>
                <w:szCs w:val="20"/>
                <w:rtl/>
              </w:rPr>
              <w:t>(1)</w:t>
            </w:r>
            <w:r w:rsidRPr="00D834E1">
              <w:rPr>
                <w:rFonts w:cs="David"/>
                <w:szCs w:val="20"/>
                <w:rtl/>
              </w:rPr>
              <w:tab/>
              <w:t>המועמד הוא קטין;</w:t>
            </w:r>
          </w:p>
        </w:tc>
      </w:tr>
      <w:tr w:rsidR="005366A8" w:rsidRPr="00D834E1" w:rsidTr="001845AC">
        <w:trPr>
          <w:cantSplit/>
          <w:trHeight w:val="60"/>
        </w:trPr>
        <w:tc>
          <w:tcPr>
            <w:tcW w:w="1869" w:type="dxa"/>
          </w:tcPr>
          <w:p w:rsidR="005366A8" w:rsidRPr="00D834E1" w:rsidRDefault="005366A8" w:rsidP="001845AC">
            <w:pPr>
              <w:pStyle w:val="TableSideHeading"/>
              <w:spacing w:line="240" w:lineRule="auto"/>
              <w:rPr>
                <w:rFonts w:cs="David"/>
                <w:szCs w:val="20"/>
              </w:rPr>
            </w:pPr>
          </w:p>
        </w:tc>
        <w:tc>
          <w:tcPr>
            <w:tcW w:w="624" w:type="dxa"/>
          </w:tcPr>
          <w:p w:rsidR="005366A8" w:rsidRPr="00D834E1" w:rsidRDefault="005366A8" w:rsidP="001845AC">
            <w:pPr>
              <w:pStyle w:val="TableText"/>
              <w:spacing w:line="240" w:lineRule="auto"/>
              <w:ind w:right="0"/>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Block"/>
              <w:spacing w:line="240" w:lineRule="auto"/>
              <w:rPr>
                <w:rFonts w:cs="David"/>
                <w:szCs w:val="20"/>
              </w:rPr>
            </w:pPr>
          </w:p>
        </w:tc>
        <w:tc>
          <w:tcPr>
            <w:tcW w:w="4025" w:type="dxa"/>
          </w:tcPr>
          <w:p w:rsidR="005366A8" w:rsidRPr="00D834E1" w:rsidRDefault="005366A8" w:rsidP="001845AC">
            <w:pPr>
              <w:pStyle w:val="TableBlock"/>
              <w:spacing w:line="240" w:lineRule="auto"/>
              <w:rPr>
                <w:rFonts w:cs="David"/>
                <w:szCs w:val="20"/>
              </w:rPr>
            </w:pPr>
            <w:r w:rsidRPr="00D834E1">
              <w:rPr>
                <w:rFonts w:cs="David"/>
                <w:szCs w:val="20"/>
                <w:rtl/>
              </w:rPr>
              <w:t>(2)</w:t>
            </w:r>
            <w:r w:rsidRPr="00D834E1">
              <w:rPr>
                <w:rFonts w:cs="David"/>
                <w:szCs w:val="20"/>
                <w:rtl/>
              </w:rPr>
              <w:tab/>
              <w:t>המועמד נעדר יכולת כלכלית להקים בית ביישוב הקהילתי בתוך פרק זמן הקבוע בהסכם הקצאת המקרקעין;</w:t>
            </w:r>
          </w:p>
        </w:tc>
      </w:tr>
      <w:tr w:rsidR="005366A8" w:rsidRPr="00D834E1" w:rsidTr="001845AC">
        <w:trPr>
          <w:cantSplit/>
          <w:trHeight w:val="60"/>
        </w:trPr>
        <w:tc>
          <w:tcPr>
            <w:tcW w:w="1869" w:type="dxa"/>
          </w:tcPr>
          <w:p w:rsidR="005366A8" w:rsidRPr="00D834E1" w:rsidRDefault="005366A8" w:rsidP="001845AC">
            <w:pPr>
              <w:pStyle w:val="TableSideHeading"/>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Block"/>
              <w:spacing w:line="240" w:lineRule="auto"/>
              <w:rPr>
                <w:rFonts w:cs="David"/>
                <w:szCs w:val="20"/>
              </w:rPr>
            </w:pPr>
          </w:p>
        </w:tc>
        <w:tc>
          <w:tcPr>
            <w:tcW w:w="4025" w:type="dxa"/>
          </w:tcPr>
          <w:p w:rsidR="005366A8" w:rsidRPr="00D834E1" w:rsidRDefault="005366A8" w:rsidP="001845AC">
            <w:pPr>
              <w:pStyle w:val="TableBlock"/>
              <w:spacing w:line="240" w:lineRule="auto"/>
              <w:rPr>
                <w:rFonts w:cs="David"/>
                <w:szCs w:val="20"/>
              </w:rPr>
            </w:pPr>
            <w:r w:rsidRPr="00D834E1">
              <w:rPr>
                <w:rFonts w:cs="David"/>
                <w:szCs w:val="20"/>
                <w:rtl/>
              </w:rPr>
              <w:t>(3)</w:t>
            </w:r>
            <w:r w:rsidRPr="00D834E1">
              <w:rPr>
                <w:rFonts w:cs="David"/>
                <w:szCs w:val="20"/>
                <w:rtl/>
              </w:rPr>
              <w:tab/>
              <w:t xml:space="preserve"> אין למועמד כוונה לקבוע את מרכז חייו ביישוב הקהילתי;</w:t>
            </w:r>
          </w:p>
        </w:tc>
      </w:tr>
      <w:tr w:rsidR="005366A8" w:rsidRPr="00D834E1" w:rsidTr="001845AC">
        <w:trPr>
          <w:cantSplit/>
          <w:trHeight w:val="60"/>
        </w:trPr>
        <w:tc>
          <w:tcPr>
            <w:tcW w:w="1869" w:type="dxa"/>
          </w:tcPr>
          <w:p w:rsidR="005366A8" w:rsidRPr="00D834E1" w:rsidRDefault="005366A8" w:rsidP="001845AC">
            <w:pPr>
              <w:pStyle w:val="TableSideHeading"/>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Block"/>
              <w:spacing w:line="240" w:lineRule="auto"/>
              <w:rPr>
                <w:rFonts w:cs="David"/>
                <w:szCs w:val="20"/>
                <w:rtl/>
              </w:rPr>
            </w:pPr>
          </w:p>
        </w:tc>
        <w:tc>
          <w:tcPr>
            <w:tcW w:w="4025" w:type="dxa"/>
          </w:tcPr>
          <w:p w:rsidR="005366A8" w:rsidRPr="00D834E1" w:rsidRDefault="005366A8" w:rsidP="001845AC">
            <w:pPr>
              <w:pStyle w:val="TableBlock"/>
              <w:spacing w:line="240" w:lineRule="auto"/>
              <w:rPr>
                <w:rFonts w:cs="David"/>
                <w:szCs w:val="20"/>
                <w:rtl/>
              </w:rPr>
            </w:pPr>
            <w:r w:rsidRPr="00D834E1">
              <w:rPr>
                <w:rFonts w:cs="David"/>
                <w:szCs w:val="20"/>
                <w:rtl/>
              </w:rPr>
              <w:t>(4)</w:t>
            </w:r>
            <w:r w:rsidRPr="00D834E1">
              <w:rPr>
                <w:rFonts w:cs="David"/>
                <w:szCs w:val="20"/>
                <w:rtl/>
              </w:rPr>
              <w:tab/>
            </w:r>
            <w:r w:rsidRPr="00D834E1">
              <w:rPr>
                <w:rFonts w:cs="David"/>
                <w:szCs w:val="20"/>
                <w:highlight w:val="yellow"/>
                <w:rtl/>
              </w:rPr>
              <w:t>המועמד אינו מתאים לחיי חברה בקהילה;</w:t>
            </w:r>
            <w:r w:rsidRPr="00D834E1">
              <w:rPr>
                <w:rFonts w:cs="David"/>
                <w:szCs w:val="20"/>
                <w:rtl/>
              </w:rPr>
              <w:t xml:space="preserve"> החלטת ועדת קבלה לסרב לקבל מועמד בשל שיקול זה, תהיה על סמך חוות דעת מקצועית של מי שהתמחותו באבחון התאמה כאמור;</w:t>
            </w:r>
          </w:p>
        </w:tc>
      </w:tr>
      <w:tr w:rsidR="005366A8" w:rsidRPr="00D834E1" w:rsidTr="001845AC">
        <w:trPr>
          <w:cantSplit/>
          <w:trHeight w:val="60"/>
        </w:trPr>
        <w:tc>
          <w:tcPr>
            <w:tcW w:w="1869" w:type="dxa"/>
          </w:tcPr>
          <w:p w:rsidR="005366A8" w:rsidRPr="00D834E1" w:rsidRDefault="005366A8" w:rsidP="001845AC">
            <w:pPr>
              <w:pStyle w:val="TableSideHeading"/>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Block"/>
              <w:spacing w:line="240" w:lineRule="auto"/>
              <w:rPr>
                <w:rFonts w:cs="David"/>
                <w:szCs w:val="20"/>
                <w:highlight w:val="yellow"/>
                <w:rtl/>
              </w:rPr>
            </w:pPr>
          </w:p>
        </w:tc>
        <w:tc>
          <w:tcPr>
            <w:tcW w:w="4025" w:type="dxa"/>
          </w:tcPr>
          <w:p w:rsidR="005366A8" w:rsidRPr="00D834E1" w:rsidRDefault="005366A8" w:rsidP="001845AC">
            <w:pPr>
              <w:pStyle w:val="TableBlock"/>
              <w:spacing w:line="240" w:lineRule="auto"/>
              <w:rPr>
                <w:rFonts w:cs="David"/>
                <w:szCs w:val="20"/>
                <w:highlight w:val="yellow"/>
                <w:rtl/>
              </w:rPr>
            </w:pPr>
            <w:r w:rsidRPr="00D834E1">
              <w:rPr>
                <w:rFonts w:cs="David"/>
                <w:szCs w:val="20"/>
                <w:rtl/>
              </w:rPr>
              <w:t>(5)</w:t>
            </w:r>
            <w:r w:rsidRPr="00D834E1">
              <w:rPr>
                <w:rFonts w:cs="David"/>
                <w:szCs w:val="20"/>
                <w:rtl/>
              </w:rPr>
              <w:tab/>
            </w:r>
            <w:r w:rsidRPr="00D834E1">
              <w:rPr>
                <w:rFonts w:cs="David"/>
                <w:szCs w:val="20"/>
                <w:highlight w:val="yellow"/>
                <w:rtl/>
              </w:rPr>
              <w:t>חוסר התאמה של המועמד למרקם החברתי-תרבותי של היישוב הקהילתי, שיש יסוד  להניח כי יהיה בו כדי לפגוע במרקם זה</w:t>
            </w:r>
            <w:r w:rsidRPr="00D834E1">
              <w:rPr>
                <w:rFonts w:cs="David"/>
                <w:szCs w:val="20"/>
                <w:rtl/>
              </w:rPr>
              <w:t>;</w:t>
            </w:r>
          </w:p>
        </w:tc>
      </w:tr>
      <w:tr w:rsidR="005366A8" w:rsidRPr="00D834E1" w:rsidTr="001845AC">
        <w:trPr>
          <w:cantSplit/>
          <w:trHeight w:val="60"/>
        </w:trPr>
        <w:tc>
          <w:tcPr>
            <w:tcW w:w="1869" w:type="dxa"/>
          </w:tcPr>
          <w:p w:rsidR="005366A8" w:rsidRPr="00D834E1" w:rsidRDefault="005366A8" w:rsidP="001845AC">
            <w:pPr>
              <w:pStyle w:val="TableSideHeading"/>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Block"/>
              <w:spacing w:line="240" w:lineRule="auto"/>
              <w:rPr>
                <w:rFonts w:cs="David"/>
                <w:szCs w:val="20"/>
                <w:rtl/>
              </w:rPr>
            </w:pPr>
          </w:p>
        </w:tc>
        <w:tc>
          <w:tcPr>
            <w:tcW w:w="4025" w:type="dxa"/>
          </w:tcPr>
          <w:p w:rsidR="005366A8" w:rsidRPr="00D834E1" w:rsidRDefault="005366A8" w:rsidP="001845AC">
            <w:pPr>
              <w:pStyle w:val="TableBlock"/>
              <w:spacing w:line="240" w:lineRule="auto"/>
              <w:rPr>
                <w:rFonts w:cs="David"/>
                <w:szCs w:val="20"/>
                <w:rtl/>
              </w:rPr>
            </w:pPr>
            <w:r w:rsidRPr="00D834E1">
              <w:rPr>
                <w:rFonts w:cs="David"/>
                <w:szCs w:val="20"/>
                <w:rtl/>
              </w:rPr>
              <w:t>(6)</w:t>
            </w:r>
            <w:r w:rsidRPr="00D834E1">
              <w:rPr>
                <w:rFonts w:cs="David"/>
                <w:szCs w:val="20"/>
                <w:rtl/>
              </w:rPr>
              <w:tab/>
            </w:r>
            <w:r w:rsidRPr="00D834E1">
              <w:rPr>
                <w:rFonts w:cs="David"/>
                <w:szCs w:val="20"/>
                <w:highlight w:val="yellow"/>
                <w:rtl/>
              </w:rPr>
              <w:t>מאפיינים ייחודיים של היישוב הקהילתי או תנאי קבלה הקבועים בתקנות האגודה, אם ישנם כאלה, ובלבד שקיבלו את אישור הרשם</w:t>
            </w:r>
            <w:r w:rsidRPr="00D834E1">
              <w:rPr>
                <w:rFonts w:cs="David"/>
                <w:szCs w:val="20"/>
                <w:rtl/>
              </w:rPr>
              <w:t>.</w:t>
            </w:r>
          </w:p>
        </w:tc>
      </w:tr>
      <w:tr w:rsidR="005366A8" w:rsidRPr="00D834E1" w:rsidTr="001845AC">
        <w:trPr>
          <w:cantSplit/>
          <w:trHeight w:val="60"/>
        </w:trPr>
        <w:tc>
          <w:tcPr>
            <w:tcW w:w="1869" w:type="dxa"/>
          </w:tcPr>
          <w:p w:rsidR="005366A8" w:rsidRPr="00D834E1" w:rsidRDefault="005366A8" w:rsidP="001845AC">
            <w:pPr>
              <w:pStyle w:val="TableSideHeading"/>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4649" w:type="dxa"/>
            <w:gridSpan w:val="2"/>
          </w:tcPr>
          <w:p w:rsidR="005366A8" w:rsidRPr="00D834E1" w:rsidRDefault="005366A8" w:rsidP="001845AC">
            <w:pPr>
              <w:pStyle w:val="TableBlock"/>
              <w:spacing w:line="240" w:lineRule="auto"/>
              <w:rPr>
                <w:rFonts w:cs="David"/>
                <w:szCs w:val="20"/>
              </w:rPr>
            </w:pPr>
            <w:r w:rsidRPr="00D834E1">
              <w:rPr>
                <w:rFonts w:cs="David"/>
                <w:szCs w:val="20"/>
                <w:rtl/>
              </w:rPr>
              <w:t>(ב)</w:t>
            </w:r>
            <w:r w:rsidRPr="00D834E1">
              <w:rPr>
                <w:rFonts w:cs="David"/>
                <w:szCs w:val="20"/>
                <w:rtl/>
              </w:rPr>
              <w:tab/>
              <w:t xml:space="preserve">בשוקלה את השיקולים האמורים בסעיף קטן (א), תיתן ועדת הקבלה את דעתה לגודל היישוב הקהילתי, לוותקו, לחוסנו ולאופי האוכלוסייה בו. </w:t>
            </w:r>
          </w:p>
        </w:tc>
      </w:tr>
      <w:tr w:rsidR="005366A8" w:rsidRPr="00D834E1" w:rsidTr="001845AC">
        <w:trPr>
          <w:cantSplit/>
          <w:trHeight w:val="60"/>
        </w:trPr>
        <w:tc>
          <w:tcPr>
            <w:tcW w:w="1869" w:type="dxa"/>
          </w:tcPr>
          <w:p w:rsidR="005366A8" w:rsidRPr="00D834E1" w:rsidRDefault="005366A8" w:rsidP="001845AC">
            <w:pPr>
              <w:pStyle w:val="TableSideHeading"/>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624" w:type="dxa"/>
          </w:tcPr>
          <w:p w:rsidR="005366A8" w:rsidRPr="00D834E1" w:rsidRDefault="005366A8" w:rsidP="001845AC">
            <w:pPr>
              <w:pStyle w:val="TableText"/>
              <w:spacing w:line="240" w:lineRule="auto"/>
              <w:rPr>
                <w:rFonts w:cs="David"/>
                <w:szCs w:val="20"/>
              </w:rPr>
            </w:pPr>
          </w:p>
        </w:tc>
        <w:tc>
          <w:tcPr>
            <w:tcW w:w="4649" w:type="dxa"/>
            <w:gridSpan w:val="2"/>
          </w:tcPr>
          <w:p w:rsidR="005366A8" w:rsidRPr="00D834E1" w:rsidRDefault="005366A8" w:rsidP="001845AC">
            <w:pPr>
              <w:pStyle w:val="TableBlock"/>
              <w:spacing w:line="240" w:lineRule="auto"/>
              <w:rPr>
                <w:rFonts w:cs="David"/>
                <w:szCs w:val="20"/>
                <w:rtl/>
              </w:rPr>
            </w:pPr>
            <w:r w:rsidRPr="00D834E1">
              <w:rPr>
                <w:rFonts w:cs="David"/>
                <w:szCs w:val="20"/>
                <w:rtl/>
              </w:rPr>
              <w:t>(ג)</w:t>
            </w:r>
            <w:r w:rsidRPr="00D834E1">
              <w:rPr>
                <w:rFonts w:cs="David"/>
                <w:szCs w:val="20"/>
                <w:rtl/>
              </w:rPr>
              <w:tab/>
            </w:r>
            <w:r w:rsidRPr="00E05A3E">
              <w:rPr>
                <w:rFonts w:cs="David"/>
                <w:szCs w:val="20"/>
                <w:highlight w:val="yellow"/>
                <w:rtl/>
              </w:rPr>
              <w:t>ועדת הקבלה לא תסרב לקבל מועמד מטעמי גזע, דת, מין, לאום, מוגבלות, מעמד אישי, גיל, הורות, נטייה מינית, ארץ מוצא, השקפה או השתייכות מפלגתית-פוליטית</w:t>
            </w:r>
            <w:r w:rsidRPr="00D834E1">
              <w:rPr>
                <w:rFonts w:cs="David"/>
                <w:szCs w:val="20"/>
                <w:rtl/>
              </w:rPr>
              <w:t xml:space="preserve">. </w:t>
            </w:r>
          </w:p>
        </w:tc>
      </w:tr>
      <w:tr w:rsidR="005366A8" w:rsidRPr="00D834E1" w:rsidTr="001845AC">
        <w:trPr>
          <w:cantSplit/>
          <w:trHeight w:val="60"/>
        </w:trPr>
        <w:tc>
          <w:tcPr>
            <w:tcW w:w="1869" w:type="dxa"/>
          </w:tcPr>
          <w:p w:rsidR="005366A8" w:rsidRPr="00D834E1" w:rsidRDefault="005366A8" w:rsidP="001845AC">
            <w:pPr>
              <w:pStyle w:val="TableSideHeading"/>
              <w:spacing w:line="240" w:lineRule="auto"/>
              <w:rPr>
                <w:rFonts w:cs="David"/>
                <w:szCs w:val="20"/>
              </w:rPr>
            </w:pPr>
          </w:p>
        </w:tc>
        <w:tc>
          <w:tcPr>
            <w:tcW w:w="624" w:type="dxa"/>
          </w:tcPr>
          <w:p w:rsidR="005366A8" w:rsidRPr="00D834E1" w:rsidRDefault="005366A8" w:rsidP="001845AC">
            <w:pPr>
              <w:pStyle w:val="TableText"/>
              <w:spacing w:line="240" w:lineRule="auto"/>
              <w:ind w:right="0"/>
              <w:rPr>
                <w:rFonts w:cs="David"/>
                <w:szCs w:val="20"/>
              </w:rPr>
            </w:pPr>
          </w:p>
        </w:tc>
        <w:tc>
          <w:tcPr>
            <w:tcW w:w="1872" w:type="dxa"/>
            <w:gridSpan w:val="3"/>
          </w:tcPr>
          <w:p w:rsidR="005366A8" w:rsidRPr="00D834E1" w:rsidRDefault="005366A8" w:rsidP="001845AC">
            <w:pPr>
              <w:pStyle w:val="TableInnerSideHeading"/>
              <w:spacing w:line="240" w:lineRule="auto"/>
              <w:rPr>
                <w:rFonts w:cs="David"/>
                <w:szCs w:val="20"/>
              </w:rPr>
            </w:pPr>
            <w:r w:rsidRPr="00D834E1">
              <w:rPr>
                <w:rFonts w:cs="David"/>
                <w:szCs w:val="20"/>
                <w:rtl/>
              </w:rPr>
              <w:t xml:space="preserve">שמירת סמכות </w:t>
            </w:r>
          </w:p>
        </w:tc>
        <w:tc>
          <w:tcPr>
            <w:tcW w:w="624" w:type="dxa"/>
          </w:tcPr>
          <w:p w:rsidR="005366A8" w:rsidRPr="00D834E1" w:rsidRDefault="005366A8" w:rsidP="001845AC">
            <w:pPr>
              <w:pStyle w:val="TableText"/>
              <w:spacing w:line="240" w:lineRule="auto"/>
              <w:rPr>
                <w:rFonts w:cs="David"/>
                <w:szCs w:val="20"/>
              </w:rPr>
            </w:pPr>
            <w:r w:rsidRPr="00D834E1">
              <w:rPr>
                <w:rFonts w:cs="David"/>
                <w:szCs w:val="20"/>
                <w:rtl/>
              </w:rPr>
              <w:t>6ד.</w:t>
            </w:r>
          </w:p>
        </w:tc>
        <w:tc>
          <w:tcPr>
            <w:tcW w:w="4649" w:type="dxa"/>
            <w:gridSpan w:val="2"/>
          </w:tcPr>
          <w:p w:rsidR="005366A8" w:rsidRDefault="005366A8" w:rsidP="001845AC">
            <w:pPr>
              <w:pStyle w:val="TableBlock"/>
              <w:spacing w:line="240" w:lineRule="auto"/>
              <w:rPr>
                <w:rFonts w:cs="David"/>
                <w:szCs w:val="20"/>
                <w:rtl/>
              </w:rPr>
            </w:pPr>
            <w:r w:rsidRPr="00D834E1">
              <w:rPr>
                <w:rFonts w:cs="David"/>
                <w:szCs w:val="20"/>
                <w:rtl/>
              </w:rPr>
              <w:t>אין באמור בהוראות סעיפים 6ב ו-6ג, כדי לחייב הקצאת מקרקעין לאדם שוועדת הקבלה אישרה את מועמדותו."</w:t>
            </w:r>
          </w:p>
          <w:p w:rsidR="005366A8" w:rsidRDefault="005366A8" w:rsidP="001845AC">
            <w:pPr>
              <w:pStyle w:val="TableBlock"/>
              <w:spacing w:line="240" w:lineRule="auto"/>
              <w:rPr>
                <w:rFonts w:cs="David"/>
                <w:szCs w:val="20"/>
                <w:rtl/>
              </w:rPr>
            </w:pPr>
          </w:p>
          <w:p w:rsidR="005366A8" w:rsidRPr="00D834E1" w:rsidRDefault="005366A8" w:rsidP="001845AC">
            <w:pPr>
              <w:pStyle w:val="TableBlock"/>
              <w:spacing w:line="240" w:lineRule="auto"/>
              <w:rPr>
                <w:rFonts w:cs="David"/>
                <w:szCs w:val="20"/>
              </w:rPr>
            </w:pPr>
          </w:p>
        </w:tc>
      </w:tr>
    </w:tbl>
    <w:p w:rsidR="005366A8" w:rsidRPr="00485915" w:rsidRDefault="005366A8" w:rsidP="005366A8">
      <w:pPr>
        <w:rPr>
          <w:sz w:val="20"/>
          <w:szCs w:val="20"/>
          <w:rtl/>
        </w:rPr>
      </w:pPr>
      <w:r>
        <w:rPr>
          <w:rFonts w:hint="cs"/>
          <w:sz w:val="20"/>
          <w:szCs w:val="20"/>
          <w:rtl/>
        </w:rPr>
        <w:t>=-=</w:t>
      </w:r>
    </w:p>
    <w:p w:rsidR="005366A8" w:rsidRPr="00012C2E" w:rsidRDefault="005366A8" w:rsidP="005366A8">
      <w:pPr>
        <w:rPr>
          <w:b/>
          <w:bCs/>
        </w:rPr>
      </w:pPr>
      <w:r w:rsidRPr="00012C2E">
        <w:rPr>
          <w:b/>
          <w:bCs/>
          <w:highlight w:val="yellow"/>
          <w:rtl/>
        </w:rPr>
        <w:t>אז מה זו בדיוק ועדת קבלה ליישוב קהילתי</w:t>
      </w:r>
    </w:p>
    <w:p w:rsidR="005366A8" w:rsidRPr="00485915" w:rsidRDefault="005366A8" w:rsidP="005366A8">
      <w:pPr>
        <w:rPr>
          <w:sz w:val="20"/>
          <w:szCs w:val="20"/>
        </w:rPr>
      </w:pPr>
      <w:r w:rsidRPr="00485915">
        <w:rPr>
          <w:sz w:val="20"/>
          <w:szCs w:val="20"/>
          <w:rtl/>
        </w:rPr>
        <w:t>למה הוקמו ועדות הקבלה ליישובים הקהילתיים, את מי הן לא מקבלות ומה אמרו עליהן שופטי העליון? בהמתנה להכרעת בג"ץ, מדור מורה נבוכים מספק תשובות</w:t>
      </w:r>
    </w:p>
    <w:p w:rsidR="005366A8" w:rsidRPr="00012C2E" w:rsidRDefault="005366A8" w:rsidP="000B7168">
      <w:pPr>
        <w:numPr>
          <w:ilvl w:val="0"/>
          <w:numId w:val="8"/>
        </w:numPr>
        <w:spacing w:after="200" w:line="276" w:lineRule="auto"/>
        <w:jc w:val="left"/>
        <w:rPr>
          <w:sz w:val="20"/>
          <w:szCs w:val="20"/>
        </w:rPr>
      </w:pPr>
      <w:r>
        <w:rPr>
          <w:rFonts w:hint="cs"/>
          <w:b/>
          <w:bCs/>
          <w:sz w:val="20"/>
          <w:szCs w:val="20"/>
          <w:rtl/>
        </w:rPr>
        <w:t xml:space="preserve">הארץ, </w:t>
      </w:r>
      <w:hyperlink r:id="rId62" w:history="1">
        <w:r w:rsidRPr="00012C2E">
          <w:rPr>
            <w:rStyle w:val="Hyperlink"/>
            <w:b/>
            <w:bCs/>
            <w:sz w:val="20"/>
            <w:szCs w:val="20"/>
            <w:rtl/>
          </w:rPr>
          <w:t>ג'קי חורי</w:t>
        </w:r>
      </w:hyperlink>
      <w:r w:rsidRPr="00012C2E">
        <w:rPr>
          <w:rFonts w:hint="cs"/>
          <w:sz w:val="20"/>
          <w:szCs w:val="20"/>
          <w:rtl/>
        </w:rPr>
        <w:t xml:space="preserve">, </w:t>
      </w:r>
      <w:r w:rsidRPr="00012C2E">
        <w:rPr>
          <w:sz w:val="20"/>
          <w:szCs w:val="20"/>
        </w:rPr>
        <w:t xml:space="preserve">12.12.2012 </w:t>
      </w:r>
    </w:p>
    <w:p w:rsidR="005366A8" w:rsidRPr="00485915" w:rsidRDefault="005366A8" w:rsidP="005366A8">
      <w:pPr>
        <w:spacing w:after="60"/>
        <w:rPr>
          <w:sz w:val="20"/>
          <w:szCs w:val="20"/>
        </w:rPr>
      </w:pPr>
      <w:r w:rsidRPr="00485915">
        <w:rPr>
          <w:b/>
          <w:bCs/>
          <w:sz w:val="20"/>
          <w:szCs w:val="20"/>
          <w:rtl/>
        </w:rPr>
        <w:t>מהו חוק ועדות הקבלה</w:t>
      </w:r>
      <w:r w:rsidRPr="00485915">
        <w:rPr>
          <w:b/>
          <w:bCs/>
          <w:sz w:val="20"/>
          <w:szCs w:val="20"/>
        </w:rPr>
        <w:t>?</w:t>
      </w:r>
    </w:p>
    <w:p w:rsidR="005366A8" w:rsidRPr="00485915" w:rsidRDefault="005366A8" w:rsidP="005366A8">
      <w:pPr>
        <w:spacing w:after="60"/>
        <w:rPr>
          <w:sz w:val="20"/>
          <w:szCs w:val="20"/>
        </w:rPr>
      </w:pPr>
      <w:r w:rsidRPr="00485915">
        <w:rPr>
          <w:sz w:val="20"/>
          <w:szCs w:val="20"/>
          <w:rtl/>
        </w:rPr>
        <w:t>בג"ץ דן בשבוע שעבר בעתירות נגד תיקון החוק לפקודת האגודות השיתופיות (מס' 8) המוכר בשם</w:t>
      </w:r>
      <w:r w:rsidRPr="00485915">
        <w:rPr>
          <w:sz w:val="20"/>
          <w:szCs w:val="20"/>
        </w:rPr>
        <w:t> </w:t>
      </w:r>
      <w:hyperlink r:id="rId63" w:history="1">
        <w:r w:rsidRPr="00485915">
          <w:rPr>
            <w:rStyle w:val="Hyperlink"/>
            <w:sz w:val="20"/>
            <w:szCs w:val="20"/>
            <w:rtl/>
          </w:rPr>
          <w:t>חוק ועדות הקבלה</w:t>
        </w:r>
      </w:hyperlink>
      <w:r w:rsidRPr="00485915">
        <w:rPr>
          <w:sz w:val="20"/>
          <w:szCs w:val="20"/>
        </w:rPr>
        <w:t xml:space="preserve">. </w:t>
      </w:r>
      <w:r w:rsidRPr="00485915">
        <w:rPr>
          <w:sz w:val="20"/>
          <w:szCs w:val="20"/>
          <w:rtl/>
        </w:rPr>
        <w:t>התיקון, שהתקבל במארס 2011, מאפשר לוועדות הקבלה ביישובים קהילתיים לסנן מועמדים למגורים באמצעות קריטריונים שייקבעו בתקנון היישוב</w:t>
      </w:r>
      <w:r w:rsidRPr="00485915">
        <w:rPr>
          <w:sz w:val="20"/>
          <w:szCs w:val="20"/>
        </w:rPr>
        <w:t>.</w:t>
      </w:r>
    </w:p>
    <w:p w:rsidR="005366A8" w:rsidRPr="00485915" w:rsidRDefault="005366A8" w:rsidP="005366A8">
      <w:pPr>
        <w:spacing w:after="60"/>
        <w:rPr>
          <w:sz w:val="20"/>
          <w:szCs w:val="20"/>
        </w:rPr>
      </w:pPr>
      <w:r w:rsidRPr="00485915">
        <w:rPr>
          <w:sz w:val="20"/>
          <w:szCs w:val="20"/>
          <w:rtl/>
        </w:rPr>
        <w:t>העותרים נגד החוק טוענים שהוא מפלה וסותר הן את המשפט הבינלאומי והן את המשפט הישראלי, האוסרים על אפליית אדם בגלל שונותו מהקבוצות הדומיננטיות בחברה. על אף שלשון החוק אוסרת אפליה של חברי קבוצות חברתיות שונות, הוא מתיר לדחות מועמדים מחמת "חוסר התאמה לחיי חברה בקהילה... ולמרקם החברתי-התרבותי של היישוב הקהילתי</w:t>
      </w:r>
      <w:r w:rsidRPr="00485915">
        <w:rPr>
          <w:sz w:val="20"/>
          <w:szCs w:val="20"/>
        </w:rPr>
        <w:t>". </w:t>
      </w:r>
    </w:p>
    <w:p w:rsidR="005366A8" w:rsidRPr="00485915" w:rsidRDefault="005366A8" w:rsidP="005366A8">
      <w:pPr>
        <w:spacing w:after="60"/>
        <w:rPr>
          <w:sz w:val="20"/>
          <w:szCs w:val="20"/>
        </w:rPr>
      </w:pPr>
      <w:r w:rsidRPr="00485915">
        <w:rPr>
          <w:b/>
          <w:bCs/>
          <w:sz w:val="20"/>
          <w:szCs w:val="20"/>
          <w:rtl/>
        </w:rPr>
        <w:t>אז מהי ועדת קבלה</w:t>
      </w:r>
      <w:r w:rsidRPr="00485915">
        <w:rPr>
          <w:b/>
          <w:bCs/>
          <w:sz w:val="20"/>
          <w:szCs w:val="20"/>
        </w:rPr>
        <w:t>?</w:t>
      </w:r>
    </w:p>
    <w:p w:rsidR="005366A8" w:rsidRPr="00485915" w:rsidRDefault="005366A8" w:rsidP="005366A8">
      <w:pPr>
        <w:spacing w:after="60"/>
        <w:rPr>
          <w:sz w:val="20"/>
          <w:szCs w:val="20"/>
        </w:rPr>
      </w:pPr>
      <w:r w:rsidRPr="00485915">
        <w:rPr>
          <w:sz w:val="20"/>
          <w:szCs w:val="20"/>
          <w:rtl/>
        </w:rPr>
        <w:t>ועדת הקבלה דנה בבקשות של אזרחים המבקשים להתגורר ביישוב קהילתי. נציגיה נמנים עם תושבי היישוב וממונים או נבחרים על פי תקנון היישוב. עד השנה שעברה, הוועדות לא היו מוגדרות ולא עוגנו בחוק. עם זאת, לאחר תיקון החוק לפקודות האגודות השיתופיות, הוועדות פועלות כיום על פי החוק</w:t>
      </w:r>
      <w:r w:rsidRPr="00485915">
        <w:rPr>
          <w:sz w:val="20"/>
          <w:szCs w:val="20"/>
        </w:rPr>
        <w:t>.</w:t>
      </w:r>
    </w:p>
    <w:p w:rsidR="005366A8" w:rsidRPr="00485915" w:rsidRDefault="005366A8" w:rsidP="005366A8">
      <w:pPr>
        <w:spacing w:after="60"/>
        <w:rPr>
          <w:sz w:val="20"/>
          <w:szCs w:val="20"/>
        </w:rPr>
      </w:pPr>
      <w:r w:rsidRPr="00485915">
        <w:rPr>
          <w:b/>
          <w:bCs/>
          <w:sz w:val="20"/>
          <w:szCs w:val="20"/>
          <w:rtl/>
        </w:rPr>
        <w:t>למה הוקמו ועדות הקבלה</w:t>
      </w:r>
      <w:r w:rsidRPr="00485915">
        <w:rPr>
          <w:b/>
          <w:bCs/>
          <w:sz w:val="20"/>
          <w:szCs w:val="20"/>
        </w:rPr>
        <w:t>?</w:t>
      </w:r>
    </w:p>
    <w:p w:rsidR="005366A8" w:rsidRPr="00485915" w:rsidRDefault="005366A8" w:rsidP="005366A8">
      <w:pPr>
        <w:spacing w:after="60"/>
        <w:rPr>
          <w:sz w:val="20"/>
          <w:szCs w:val="20"/>
          <w:rtl/>
        </w:rPr>
      </w:pPr>
      <w:r w:rsidRPr="00485915">
        <w:rPr>
          <w:sz w:val="20"/>
          <w:szCs w:val="20"/>
          <w:rtl/>
        </w:rPr>
        <w:t>בשנת 2000, במה שמוכר</w:t>
      </w:r>
      <w:r w:rsidRPr="00485915">
        <w:rPr>
          <w:sz w:val="20"/>
          <w:szCs w:val="20"/>
        </w:rPr>
        <w:t> </w:t>
      </w:r>
      <w:hyperlink r:id="rId64" w:history="1">
        <w:r w:rsidRPr="00485915">
          <w:rPr>
            <w:rStyle w:val="Hyperlink"/>
            <w:sz w:val="20"/>
            <w:szCs w:val="20"/>
            <w:rtl/>
          </w:rPr>
          <w:t>כתקדים קעדאן</w:t>
        </w:r>
      </w:hyperlink>
      <w:r w:rsidRPr="00485915">
        <w:rPr>
          <w:sz w:val="20"/>
          <w:szCs w:val="20"/>
        </w:rPr>
        <w:t xml:space="preserve">, </w:t>
      </w:r>
      <w:r w:rsidRPr="00485915">
        <w:rPr>
          <w:sz w:val="20"/>
          <w:szCs w:val="20"/>
          <w:rtl/>
        </w:rPr>
        <w:t>אסר בג"ץ אפליה בהקצעת קרקעות על רקע לאום. בג"ץ קיבל אז את עתירתם של אימאן ועאדל קעדאן, בני זוג מבקה אל-גרבייה שביקשו לרכוש חלקת אדמה ביישוב הקהילתי קציר ולבנות בה את ביתם. בארגוני זכויות האדם טוענים כי ועדות הקבלה הוקמו בעקבות פסיקה זו, במטרה לעקוף את החלטת בג"ץ</w:t>
      </w:r>
      <w:r w:rsidRPr="00485915">
        <w:rPr>
          <w:sz w:val="20"/>
          <w:szCs w:val="20"/>
        </w:rPr>
        <w:t>.</w:t>
      </w:r>
    </w:p>
    <w:p w:rsidR="005366A8" w:rsidRPr="00485915" w:rsidRDefault="005366A8" w:rsidP="005366A8">
      <w:pPr>
        <w:spacing w:after="60"/>
        <w:rPr>
          <w:sz w:val="20"/>
          <w:szCs w:val="20"/>
        </w:rPr>
      </w:pPr>
      <w:r w:rsidRPr="00485915">
        <w:rPr>
          <w:sz w:val="20"/>
          <w:szCs w:val="20"/>
          <w:rtl/>
        </w:rPr>
        <w:t>בפברואר 2007 פורסם ב"הארץ</w:t>
      </w:r>
      <w:r w:rsidRPr="00485915">
        <w:rPr>
          <w:sz w:val="20"/>
          <w:szCs w:val="20"/>
        </w:rPr>
        <w:t>" </w:t>
      </w:r>
      <w:hyperlink r:id="rId65" w:history="1">
        <w:r w:rsidRPr="00485915">
          <w:rPr>
            <w:rStyle w:val="Hyperlink"/>
            <w:sz w:val="20"/>
            <w:szCs w:val="20"/>
            <w:rtl/>
          </w:rPr>
          <w:t>סיפורם של בני הזוג פאתנה ואחמד זבידאת</w:t>
        </w:r>
      </w:hyperlink>
      <w:r w:rsidRPr="00485915">
        <w:rPr>
          <w:sz w:val="20"/>
          <w:szCs w:val="20"/>
        </w:rPr>
        <w:t> </w:t>
      </w:r>
      <w:r w:rsidRPr="00485915">
        <w:rPr>
          <w:sz w:val="20"/>
          <w:szCs w:val="20"/>
          <w:rtl/>
        </w:rPr>
        <w:t>שביקשו לגור ביישוב הקהילתי רקפת שבתחום המועצה האזורית משגב. ועדת הקבלה של היישוב החליטה לדחות את בקשת בני זוג. בהחלטה נקבע כי אחמד זבידאת "חסר מידה מספקת של תחכום בין-אישי", ואילו לגבי פאתנה נקבע שהיא "אינדיבידואליסטית מדי</w:t>
      </w:r>
      <w:r w:rsidRPr="00485915">
        <w:rPr>
          <w:sz w:val="20"/>
          <w:szCs w:val="20"/>
        </w:rPr>
        <w:t>".</w:t>
      </w:r>
    </w:p>
    <w:p w:rsidR="005366A8" w:rsidRPr="00485915" w:rsidRDefault="005366A8" w:rsidP="005366A8">
      <w:pPr>
        <w:spacing w:after="60"/>
        <w:rPr>
          <w:sz w:val="20"/>
          <w:szCs w:val="20"/>
        </w:rPr>
      </w:pPr>
      <w:r>
        <w:rPr>
          <w:noProof/>
          <w:sz w:val="20"/>
          <w:szCs w:val="20"/>
        </w:rPr>
        <w:drawing>
          <wp:inline distT="0" distB="0" distL="0" distR="0">
            <wp:extent cx="4458335" cy="2970530"/>
            <wp:effectExtent l="19050" t="0" r="0" b="0"/>
            <wp:docPr id="1" name="Picture 1" descr="בני הזוג זבידאת במגרשם ביישוב רקפ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בני הזוג זבידאת במגרשם ביישוב רקפת"/>
                    <pic:cNvPicPr>
                      <a:picLocks noChangeAspect="1" noChangeArrowheads="1"/>
                    </pic:cNvPicPr>
                  </pic:nvPicPr>
                  <pic:blipFill>
                    <a:blip r:embed="rId66" cstate="print"/>
                    <a:srcRect/>
                    <a:stretch>
                      <a:fillRect/>
                    </a:stretch>
                  </pic:blipFill>
                  <pic:spPr bwMode="auto">
                    <a:xfrm>
                      <a:off x="0" y="0"/>
                      <a:ext cx="4458335" cy="2970530"/>
                    </a:xfrm>
                    <a:prstGeom prst="rect">
                      <a:avLst/>
                    </a:prstGeom>
                    <a:noFill/>
                    <a:ln w="9525">
                      <a:noFill/>
                      <a:miter lim="800000"/>
                      <a:headEnd/>
                      <a:tailEnd/>
                    </a:ln>
                  </pic:spPr>
                </pic:pic>
              </a:graphicData>
            </a:graphic>
          </wp:inline>
        </w:drawing>
      </w:r>
    </w:p>
    <w:p w:rsidR="005366A8" w:rsidRPr="00485915" w:rsidRDefault="005366A8" w:rsidP="005366A8">
      <w:pPr>
        <w:spacing w:after="60"/>
        <w:rPr>
          <w:b/>
          <w:bCs/>
          <w:sz w:val="20"/>
          <w:szCs w:val="20"/>
        </w:rPr>
      </w:pPr>
      <w:r w:rsidRPr="00485915">
        <w:rPr>
          <w:b/>
          <w:bCs/>
          <w:sz w:val="20"/>
          <w:szCs w:val="20"/>
          <w:rtl/>
        </w:rPr>
        <w:t>בני הזוג זבידאת במגרשם ביישוב רקפת</w:t>
      </w:r>
      <w:r w:rsidRPr="00485915">
        <w:rPr>
          <w:b/>
          <w:bCs/>
          <w:sz w:val="20"/>
          <w:szCs w:val="20"/>
        </w:rPr>
        <w:t>. </w:t>
      </w:r>
      <w:r w:rsidRPr="00485915">
        <w:rPr>
          <w:sz w:val="20"/>
          <w:szCs w:val="20"/>
          <w:rtl/>
        </w:rPr>
        <w:t>צילום: עבדאללה שמא</w:t>
      </w:r>
    </w:p>
    <w:p w:rsidR="005366A8" w:rsidRDefault="005366A8" w:rsidP="005366A8">
      <w:pPr>
        <w:spacing w:after="60"/>
        <w:rPr>
          <w:sz w:val="20"/>
          <w:szCs w:val="20"/>
          <w:rtl/>
        </w:rPr>
      </w:pPr>
    </w:p>
    <w:p w:rsidR="005366A8" w:rsidRPr="00485915" w:rsidRDefault="005366A8" w:rsidP="005366A8">
      <w:pPr>
        <w:spacing w:after="60"/>
        <w:rPr>
          <w:sz w:val="20"/>
          <w:szCs w:val="20"/>
        </w:rPr>
      </w:pPr>
      <w:r w:rsidRPr="00485915">
        <w:rPr>
          <w:sz w:val="20"/>
          <w:szCs w:val="20"/>
          <w:rtl/>
        </w:rPr>
        <w:t>בני הזוג עתרו לבג"ץ בטענה לאפליה פסולה מטעמי לאום ודת. העתירה התבססה בין היתר על תקדים קעדאן. בעתירה נטען כי נימוקי הוועדה לפסילת בני הזוג פוגעים בזכויות היסוד שלהם לכבוד, חירות ושוויון. "לא ניתן להגביל אזרח ישראלי לבנות ביתו על קרקע ציבורית, שכללי המשפט הציבוריים מחייבים את חלוקתה באופן שוויוני ועל פי קוד הצדק החלוקתי. זו אפליה מנימוקים הקשורים בתכונות אישיות, מעמד חברתי ואישי, השקפות פוליטיות, צבע עור ומוצא עדתי או לאומי", נכתב בעתירה</w:t>
      </w:r>
      <w:r w:rsidRPr="00485915">
        <w:rPr>
          <w:sz w:val="20"/>
          <w:szCs w:val="20"/>
        </w:rPr>
        <w:t>.</w:t>
      </w:r>
    </w:p>
    <w:p w:rsidR="005366A8" w:rsidRPr="00485915" w:rsidRDefault="005366A8" w:rsidP="005366A8">
      <w:pPr>
        <w:spacing w:after="60"/>
        <w:rPr>
          <w:sz w:val="20"/>
          <w:szCs w:val="20"/>
        </w:rPr>
      </w:pPr>
      <w:r w:rsidRPr="00485915">
        <w:rPr>
          <w:b/>
          <w:bCs/>
          <w:sz w:val="20"/>
          <w:szCs w:val="20"/>
          <w:rtl/>
        </w:rPr>
        <w:t>איך עוגן מעמדן של ועדות הקבלה בחוק</w:t>
      </w:r>
      <w:r w:rsidRPr="00485915">
        <w:rPr>
          <w:b/>
          <w:bCs/>
          <w:sz w:val="20"/>
          <w:szCs w:val="20"/>
        </w:rPr>
        <w:t>?</w:t>
      </w:r>
    </w:p>
    <w:p w:rsidR="005366A8" w:rsidRPr="00485915" w:rsidRDefault="005366A8" w:rsidP="005366A8">
      <w:pPr>
        <w:spacing w:after="60"/>
        <w:rPr>
          <w:sz w:val="20"/>
          <w:szCs w:val="20"/>
        </w:rPr>
      </w:pPr>
      <w:r w:rsidRPr="00485915">
        <w:rPr>
          <w:sz w:val="20"/>
          <w:szCs w:val="20"/>
          <w:rtl/>
        </w:rPr>
        <w:t>בתום כמעט שש שנים של מאבק ארוך ומתיש, קיבל בג"ץ את עתירת בני הזוג זבידאת בספטמבר 2011. הרכב השופטים, בראשות הנשיאה לשעבר דורית ביניש והשופטים אליקים רובינשטיין ועדנה ארבל, הורה למדינה למסור לבני הזוג מגרש למגורים. במקביל להליך המשפטי, ביישובי המועצה האזורית משגב יזמו תיקון לתקנוני היישובים</w:t>
      </w:r>
      <w:r w:rsidRPr="00485915">
        <w:rPr>
          <w:sz w:val="20"/>
          <w:szCs w:val="20"/>
        </w:rPr>
        <w:t>, </w:t>
      </w:r>
      <w:hyperlink r:id="rId67" w:history="1">
        <w:r w:rsidRPr="00485915">
          <w:rPr>
            <w:rStyle w:val="Hyperlink"/>
            <w:sz w:val="20"/>
            <w:szCs w:val="20"/>
            <w:rtl/>
          </w:rPr>
          <w:t>שחלקם נחשפו ב"הארץ</w:t>
        </w:r>
        <w:r w:rsidRPr="00485915">
          <w:rPr>
            <w:rStyle w:val="Hyperlink"/>
            <w:sz w:val="20"/>
            <w:szCs w:val="20"/>
          </w:rPr>
          <w:t>"</w:t>
        </w:r>
      </w:hyperlink>
      <w:r w:rsidRPr="00485915">
        <w:rPr>
          <w:sz w:val="20"/>
          <w:szCs w:val="20"/>
        </w:rPr>
        <w:t xml:space="preserve">. </w:t>
      </w:r>
      <w:r w:rsidRPr="00485915">
        <w:rPr>
          <w:sz w:val="20"/>
          <w:szCs w:val="20"/>
          <w:rtl/>
        </w:rPr>
        <w:t>על פי התקנונים, חברי הקהילה (המאוגדים באגודה שיתופית) יתקבלו ליישוב לפי ערכי מדינת ישראל, התנועה הציונית ומורשת ישראל</w:t>
      </w:r>
      <w:r w:rsidRPr="00485915">
        <w:rPr>
          <w:sz w:val="20"/>
          <w:szCs w:val="20"/>
        </w:rPr>
        <w:t>.</w:t>
      </w:r>
    </w:p>
    <w:p w:rsidR="005366A8" w:rsidRPr="00485915" w:rsidRDefault="005366A8" w:rsidP="005366A8">
      <w:pPr>
        <w:spacing w:after="60"/>
        <w:rPr>
          <w:sz w:val="20"/>
          <w:szCs w:val="20"/>
        </w:rPr>
      </w:pPr>
      <w:r w:rsidRPr="00485915">
        <w:rPr>
          <w:sz w:val="20"/>
          <w:szCs w:val="20"/>
          <w:rtl/>
        </w:rPr>
        <w:t>פסיקת בג"ץ וחשיפת התקנונים עוררו ויכוח ציבורי בנושא, שהוביל להגשת הצעת החוק לתיקון פקודת האגודות השיתופיות (מס' 8). החוק, שהתקבל במארס 2011, מסדיר את הרכבן וסמכויותיהן של ועדות הקבלה הפועלות ביישובים הקהילתיים והחקלאיים בנגב ובגליל, ומאפשר ליישובים לסנן מועמדים למגורים באמצעות הוועדות</w:t>
      </w:r>
      <w:r w:rsidRPr="00485915">
        <w:rPr>
          <w:sz w:val="20"/>
          <w:szCs w:val="20"/>
        </w:rPr>
        <w:t>.</w:t>
      </w:r>
    </w:p>
    <w:p w:rsidR="005366A8" w:rsidRPr="00485915" w:rsidRDefault="005366A8" w:rsidP="005366A8">
      <w:pPr>
        <w:spacing w:after="60"/>
        <w:rPr>
          <w:sz w:val="20"/>
          <w:szCs w:val="20"/>
        </w:rPr>
      </w:pPr>
      <w:r w:rsidRPr="00485915">
        <w:rPr>
          <w:b/>
          <w:bCs/>
          <w:sz w:val="20"/>
          <w:szCs w:val="20"/>
          <w:rtl/>
        </w:rPr>
        <w:t>אז באיזו עתירה דן בג"ץ בימים אלו</w:t>
      </w:r>
      <w:r w:rsidRPr="00485915">
        <w:rPr>
          <w:b/>
          <w:bCs/>
          <w:sz w:val="20"/>
          <w:szCs w:val="20"/>
        </w:rPr>
        <w:t>?</w:t>
      </w:r>
    </w:p>
    <w:p w:rsidR="005366A8" w:rsidRPr="00485915" w:rsidRDefault="005366A8" w:rsidP="005366A8">
      <w:pPr>
        <w:spacing w:after="60"/>
        <w:rPr>
          <w:sz w:val="20"/>
          <w:szCs w:val="20"/>
        </w:rPr>
      </w:pPr>
      <w:r w:rsidRPr="00485915">
        <w:rPr>
          <w:sz w:val="20"/>
          <w:szCs w:val="20"/>
          <w:rtl/>
        </w:rPr>
        <w:t>בניגוד לפסק הדין בפרשת זבידאת, שדן בסוגיה הקונקרטית של בני הזוג, ארגונים חברתיים</w:t>
      </w:r>
      <w:r w:rsidRPr="00485915">
        <w:rPr>
          <w:sz w:val="20"/>
          <w:szCs w:val="20"/>
        </w:rPr>
        <w:t> </w:t>
      </w:r>
      <w:hyperlink r:id="rId68" w:history="1">
        <w:r w:rsidRPr="00485915">
          <w:rPr>
            <w:rStyle w:val="Hyperlink"/>
            <w:sz w:val="20"/>
            <w:szCs w:val="20"/>
            <w:rtl/>
          </w:rPr>
          <w:t>הגישו בשנה שעברה עתירות עקרוניות נגד החוק</w:t>
        </w:r>
      </w:hyperlink>
      <w:r w:rsidRPr="00485915">
        <w:rPr>
          <w:sz w:val="20"/>
          <w:szCs w:val="20"/>
        </w:rPr>
        <w:t xml:space="preserve">. </w:t>
      </w:r>
      <w:r w:rsidRPr="00485915">
        <w:rPr>
          <w:sz w:val="20"/>
          <w:szCs w:val="20"/>
          <w:rtl/>
        </w:rPr>
        <w:t>באמצעות המרכז המשפטי עדאלה והאגודה לזכויות האזרח, עתרו ארגונים הן בשם קבוצות אוכלוסייה שנפגעו בעבר והן בשם קבוצות שעלולות להיפגע מהחוק בעתיד, בכך שלא יוכלו להשתלב ביישובים הקהילתיים, המהווים כ-42 אחוזים מהיישובים בישראל</w:t>
      </w:r>
      <w:r w:rsidRPr="00485915">
        <w:rPr>
          <w:sz w:val="20"/>
          <w:szCs w:val="20"/>
        </w:rPr>
        <w:t>.</w:t>
      </w:r>
    </w:p>
    <w:p w:rsidR="005366A8" w:rsidRPr="00485915" w:rsidRDefault="005366A8" w:rsidP="005366A8">
      <w:pPr>
        <w:spacing w:after="60"/>
        <w:rPr>
          <w:sz w:val="20"/>
          <w:szCs w:val="20"/>
        </w:rPr>
      </w:pPr>
      <w:r w:rsidRPr="00485915">
        <w:rPr>
          <w:sz w:val="20"/>
          <w:szCs w:val="20"/>
          <w:rtl/>
        </w:rPr>
        <w:t>לעתירה צורפו תצהירים של תושבים ביישובים שבהם מונהגות ועדות קבלה, לפיהם מטרתן המרכזית של ועדות הקבלה היא למנוע מכירת נכסים ביישוב לערבים ולחרדים, כלומר, עקיפת פסיקת בג"ץ שאסרה על אפליה. אליהו שטרן, תושב היישוב הקהילתי יעד, ואחד העותרים נגד החוק, אמר בהודעה שפרסם כי "כיוון שגם ישבתי בוועדות קבלה לא מעטות, אני יכול להעיד ממקור ראשון שבמקרים רבים הן משמשות לאפליה בלתי מוצדקת. היישובים הקהילתיים והרחבות הקיבוצים מספיק חזקים בשביל לקבל אליהם את כולם, ללא סלקציה. לא היישובים נפגעים כאן, אלא כל אותן משפחות שנדחו. עבורן זו סטירת לחי שקשה להתאושש ממנה</w:t>
      </w:r>
      <w:r w:rsidRPr="00485915">
        <w:rPr>
          <w:sz w:val="20"/>
          <w:szCs w:val="20"/>
        </w:rPr>
        <w:t>".</w:t>
      </w:r>
    </w:p>
    <w:p w:rsidR="005366A8" w:rsidRPr="00485915" w:rsidRDefault="005366A8" w:rsidP="005366A8">
      <w:pPr>
        <w:spacing w:after="60"/>
        <w:rPr>
          <w:sz w:val="20"/>
          <w:szCs w:val="20"/>
        </w:rPr>
      </w:pPr>
      <w:r w:rsidRPr="00485915">
        <w:rPr>
          <w:sz w:val="20"/>
          <w:szCs w:val="20"/>
          <w:rtl/>
        </w:rPr>
        <w:t>בנוסף לעתירה העקרונית, בפברואר השנה</w:t>
      </w:r>
      <w:r w:rsidRPr="00485915">
        <w:rPr>
          <w:sz w:val="20"/>
          <w:szCs w:val="20"/>
        </w:rPr>
        <w:t> </w:t>
      </w:r>
      <w:hyperlink r:id="rId69" w:history="1">
        <w:r w:rsidRPr="00485915">
          <w:rPr>
            <w:rStyle w:val="Hyperlink"/>
            <w:sz w:val="20"/>
            <w:szCs w:val="20"/>
            <w:rtl/>
          </w:rPr>
          <w:t>עתרו לבג"ץ נגד החוק גם בני הזוג אופיר ודנה לי כלפה משדרות</w:t>
        </w:r>
      </w:hyperlink>
      <w:r w:rsidRPr="00485915">
        <w:rPr>
          <w:sz w:val="20"/>
          <w:szCs w:val="20"/>
        </w:rPr>
        <w:t xml:space="preserve">. </w:t>
      </w:r>
      <w:r w:rsidRPr="00485915">
        <w:rPr>
          <w:sz w:val="20"/>
          <w:szCs w:val="20"/>
          <w:rtl/>
        </w:rPr>
        <w:t>הזוג ביקש לגור בהרחבה של הקיבוץ גבים, הסמוך לרצועת עזה. ועדת הקבלה של הקיבוץ החליטה לדחות את מועמדותם בטענה שהם לא מתאימים לחיים הקהילתיים. בעקבות העתירה, הוחלט כי הזוג יגיש ערעור על החלטת הקיבוץ לוועדת ערר. בסיום הדיון החליטה הוועדה לקבל את ערעורם. מינהל מקרקעי ישראל החליט לאמץ את ההמלצה</w:t>
      </w:r>
      <w:r w:rsidRPr="00485915">
        <w:rPr>
          <w:sz w:val="20"/>
          <w:szCs w:val="20"/>
        </w:rPr>
        <w:t>.</w:t>
      </w:r>
    </w:p>
    <w:p w:rsidR="005366A8" w:rsidRPr="00485915" w:rsidRDefault="005366A8" w:rsidP="005366A8">
      <w:pPr>
        <w:spacing w:after="60"/>
        <w:rPr>
          <w:sz w:val="20"/>
          <w:szCs w:val="20"/>
        </w:rPr>
      </w:pPr>
      <w:r w:rsidRPr="00485915">
        <w:rPr>
          <w:b/>
          <w:bCs/>
          <w:sz w:val="20"/>
          <w:szCs w:val="20"/>
          <w:rtl/>
        </w:rPr>
        <w:t>מהי עמדת היועץ המשפטי לממשלה בעניין החוק</w:t>
      </w:r>
      <w:r w:rsidRPr="00485915">
        <w:rPr>
          <w:b/>
          <w:bCs/>
          <w:sz w:val="20"/>
          <w:szCs w:val="20"/>
        </w:rPr>
        <w:t>?</w:t>
      </w:r>
    </w:p>
    <w:p w:rsidR="005366A8" w:rsidRPr="00485915" w:rsidRDefault="005D7968" w:rsidP="005366A8">
      <w:pPr>
        <w:spacing w:after="60"/>
        <w:rPr>
          <w:sz w:val="20"/>
          <w:szCs w:val="20"/>
        </w:rPr>
      </w:pPr>
      <w:hyperlink r:id="rId70" w:history="1">
        <w:r w:rsidR="005366A8" w:rsidRPr="00485915">
          <w:rPr>
            <w:rStyle w:val="Hyperlink"/>
            <w:sz w:val="20"/>
            <w:szCs w:val="20"/>
            <w:rtl/>
          </w:rPr>
          <w:t>בתגובה שהגיש לבג"ץ</w:t>
        </w:r>
      </w:hyperlink>
      <w:r w:rsidR="005366A8" w:rsidRPr="00485915">
        <w:rPr>
          <w:sz w:val="20"/>
          <w:szCs w:val="20"/>
        </w:rPr>
        <w:t xml:space="preserve">, </w:t>
      </w:r>
      <w:r w:rsidR="005366A8" w:rsidRPr="00485915">
        <w:rPr>
          <w:sz w:val="20"/>
          <w:szCs w:val="20"/>
          <w:rtl/>
        </w:rPr>
        <w:t>דרש היועץ המשפטי יהודה וינשטיין לדחות את העתירה העקרונית, בנימוק שהיא מוקדמת ותיאורטית. לדבריו, לא הובאו תיקים קונקרטיים נגד החוק. בנוסף לכך טען כי ועדות הקבלה רשאיות להחליט אם לקבל מועמדים או לדחות אותם על בסיס "פסיכולוגי-חברתי" ועל בסיס התאמתם למרקם החברתי של היישוב, מבלי להדירם על בסיס גזע, דת, מגדר או לאומיות</w:t>
      </w:r>
      <w:r w:rsidR="005366A8" w:rsidRPr="00485915">
        <w:rPr>
          <w:sz w:val="20"/>
          <w:szCs w:val="20"/>
        </w:rPr>
        <w:t>.</w:t>
      </w:r>
    </w:p>
    <w:p w:rsidR="005366A8" w:rsidRPr="00485915" w:rsidRDefault="005366A8" w:rsidP="005366A8">
      <w:pPr>
        <w:spacing w:after="60"/>
        <w:rPr>
          <w:sz w:val="20"/>
          <w:szCs w:val="20"/>
        </w:rPr>
      </w:pPr>
      <w:r w:rsidRPr="00485915">
        <w:rPr>
          <w:sz w:val="20"/>
          <w:szCs w:val="20"/>
          <w:rtl/>
        </w:rPr>
        <w:t>וינשטיין סבר כי החוק מידתי ואין עילה לפסול אותו. לדעתו, הוא מאזן בין צורכי ההתפתחות של יישובים קטנים בפריפריה באמצעות קליטת מתיישבים חדשים שיתאימו לחיי הקהילה ויתרמו ללכידותה החברתית, לבין החובה להבטיח הקצאת קרקעות באופן בלתי מפלה</w:t>
      </w:r>
      <w:r w:rsidRPr="00485915">
        <w:rPr>
          <w:sz w:val="20"/>
          <w:szCs w:val="20"/>
        </w:rPr>
        <w:t>.</w:t>
      </w:r>
    </w:p>
    <w:p w:rsidR="005366A8" w:rsidRPr="00485915" w:rsidRDefault="005366A8" w:rsidP="005366A8">
      <w:pPr>
        <w:spacing w:after="60"/>
        <w:rPr>
          <w:sz w:val="20"/>
          <w:szCs w:val="20"/>
        </w:rPr>
      </w:pPr>
      <w:r w:rsidRPr="00485915">
        <w:rPr>
          <w:b/>
          <w:bCs/>
          <w:sz w:val="20"/>
          <w:szCs w:val="20"/>
          <w:rtl/>
        </w:rPr>
        <w:t>מהם הצעדים שנקט בג"ץ עד היום</w:t>
      </w:r>
      <w:r w:rsidRPr="00485915">
        <w:rPr>
          <w:b/>
          <w:bCs/>
          <w:sz w:val="20"/>
          <w:szCs w:val="20"/>
        </w:rPr>
        <w:t>?</w:t>
      </w:r>
    </w:p>
    <w:p w:rsidR="005366A8" w:rsidRPr="00C77949" w:rsidRDefault="005366A8" w:rsidP="005366A8">
      <w:pPr>
        <w:spacing w:after="60"/>
      </w:pPr>
      <w:r w:rsidRPr="00485915">
        <w:rPr>
          <w:sz w:val="20"/>
          <w:szCs w:val="20"/>
          <w:rtl/>
        </w:rPr>
        <w:t>הרכב השופטים, בראשות הנשיאה דורית ביניש והשופטים עדנה ארבל ויורם דנציגר, הוציא ביוני 2011 צו על תנאי נגד חוקתיות חוק ועדות הקבלה, ולפיו על המדינה לנמק בתוך 60 ימים מדוע לא לבטל את החוק. עוד קבעו השופטים כי התיק יועבר להמשך דיון בפני הרכב מורחב של תשעה שופטים</w:t>
      </w:r>
      <w:r w:rsidRPr="00485915">
        <w:rPr>
          <w:sz w:val="20"/>
          <w:szCs w:val="20"/>
        </w:rPr>
        <w:t>. </w:t>
      </w:r>
      <w:hyperlink r:id="rId71" w:history="1">
        <w:r w:rsidRPr="00485915">
          <w:rPr>
            <w:rStyle w:val="Hyperlink"/>
            <w:sz w:val="20"/>
            <w:szCs w:val="20"/>
            <w:rtl/>
          </w:rPr>
          <w:t>בשבוע שעבר התקיים הדיון בהרכב המורחב בראשות הנשיא אשר גרוניס</w:t>
        </w:r>
      </w:hyperlink>
      <w:r w:rsidRPr="00485915">
        <w:rPr>
          <w:sz w:val="20"/>
          <w:szCs w:val="20"/>
        </w:rPr>
        <w:t xml:space="preserve">. </w:t>
      </w:r>
      <w:r w:rsidRPr="00485915">
        <w:rPr>
          <w:sz w:val="20"/>
          <w:szCs w:val="20"/>
          <w:rtl/>
        </w:rPr>
        <w:t>השופטים אמורים למסור את פסק הדין במועד שטרם נקבע</w:t>
      </w:r>
      <w:r w:rsidRPr="00485915">
        <w:rPr>
          <w:sz w:val="20"/>
          <w:szCs w:val="20"/>
        </w:rPr>
        <w:t>.</w:t>
      </w:r>
      <w:r w:rsidRPr="00C77949">
        <w:br/>
        <w:t> </w:t>
      </w:r>
    </w:p>
    <w:p w:rsidR="005366A8" w:rsidRDefault="005366A8" w:rsidP="005366A8">
      <w:pPr>
        <w:spacing w:after="60"/>
        <w:rPr>
          <w:sz w:val="20"/>
          <w:szCs w:val="20"/>
          <w:rtl/>
        </w:rPr>
      </w:pPr>
      <w:r w:rsidRPr="00287910">
        <w:rPr>
          <w:rFonts w:hint="cs"/>
          <w:sz w:val="20"/>
          <w:szCs w:val="20"/>
          <w:rtl/>
        </w:rPr>
        <w:t>=-=</w:t>
      </w:r>
    </w:p>
    <w:p w:rsidR="005366A8" w:rsidRPr="00012C2E" w:rsidRDefault="005366A8" w:rsidP="005366A8">
      <w:pPr>
        <w:spacing w:after="60"/>
        <w:rPr>
          <w:b/>
          <w:bCs/>
          <w:sz w:val="20"/>
          <w:szCs w:val="20"/>
          <w:rtl/>
        </w:rPr>
      </w:pPr>
      <w:r w:rsidRPr="00012C2E">
        <w:rPr>
          <w:rFonts w:hint="cs"/>
          <w:b/>
          <w:bCs/>
          <w:sz w:val="20"/>
          <w:szCs w:val="20"/>
          <w:rtl/>
        </w:rPr>
        <w:t>החלטת בית המשפט העליון בעתירות</w:t>
      </w:r>
      <w:r>
        <w:rPr>
          <w:rFonts w:hint="cs"/>
          <w:b/>
          <w:bCs/>
          <w:sz w:val="20"/>
          <w:szCs w:val="20"/>
          <w:rtl/>
        </w:rPr>
        <w:t xml:space="preserve"> - בינתיים נסתפק בדיווח זה ויתכן מאד שנפגוש את פסק הדין בסמסטר השני.</w:t>
      </w:r>
    </w:p>
    <w:p w:rsidR="005366A8" w:rsidRPr="00287910" w:rsidRDefault="005366A8" w:rsidP="005366A8">
      <w:pPr>
        <w:spacing w:after="60"/>
        <w:rPr>
          <w:sz w:val="20"/>
          <w:szCs w:val="20"/>
          <w:rtl/>
        </w:rPr>
      </w:pPr>
    </w:p>
    <w:p w:rsidR="005366A8" w:rsidRPr="00012C2E" w:rsidRDefault="005366A8" w:rsidP="005366A8">
      <w:pPr>
        <w:spacing w:after="60"/>
        <w:rPr>
          <w:b/>
          <w:bCs/>
        </w:rPr>
      </w:pPr>
      <w:r w:rsidRPr="00012C2E">
        <w:rPr>
          <w:b/>
          <w:bCs/>
          <w:highlight w:val="yellow"/>
          <w:rtl/>
        </w:rPr>
        <w:t>ברוב דחוק: בג"ץ אישר לקיים ועדות קבלה ביישובים קהילתיים</w:t>
      </w:r>
    </w:p>
    <w:p w:rsidR="005366A8" w:rsidRPr="00287910" w:rsidRDefault="005366A8" w:rsidP="005366A8">
      <w:pPr>
        <w:spacing w:after="60"/>
        <w:rPr>
          <w:b/>
          <w:bCs/>
          <w:sz w:val="20"/>
          <w:szCs w:val="20"/>
        </w:rPr>
      </w:pPr>
      <w:r w:rsidRPr="00287910">
        <w:rPr>
          <w:b/>
          <w:bCs/>
          <w:sz w:val="20"/>
          <w:szCs w:val="20"/>
          <w:rtl/>
        </w:rPr>
        <w:t>שורה של ארגוני זכויות אדם עתרו נגד חוק ועדות הקבלה בטענה כי הוא מאפשר אפליה; 5 מתוך 9 שופטים דחו את העתירות בטענה כי אינן בשלות</w:t>
      </w:r>
    </w:p>
    <w:p w:rsidR="005366A8" w:rsidRPr="00287910" w:rsidRDefault="005366A8" w:rsidP="000B7168">
      <w:pPr>
        <w:numPr>
          <w:ilvl w:val="0"/>
          <w:numId w:val="9"/>
        </w:numPr>
        <w:spacing w:after="60"/>
        <w:ind w:left="1440"/>
        <w:jc w:val="left"/>
        <w:rPr>
          <w:sz w:val="20"/>
          <w:szCs w:val="20"/>
        </w:rPr>
      </w:pPr>
      <w:r>
        <w:rPr>
          <w:rFonts w:hint="cs"/>
          <w:b/>
          <w:bCs/>
          <w:sz w:val="20"/>
          <w:szCs w:val="20"/>
          <w:u w:val="single"/>
          <w:rtl/>
        </w:rPr>
        <w:t xml:space="preserve">הארץ, </w:t>
      </w:r>
      <w:hyperlink r:id="rId72" w:history="1">
        <w:r w:rsidRPr="00287910">
          <w:rPr>
            <w:rStyle w:val="Hyperlink"/>
            <w:b/>
            <w:bCs/>
            <w:sz w:val="20"/>
            <w:szCs w:val="20"/>
            <w:rtl/>
          </w:rPr>
          <w:t>רויטל חובל</w:t>
        </w:r>
      </w:hyperlink>
      <w:r w:rsidRPr="00287910">
        <w:rPr>
          <w:b/>
          <w:bCs/>
          <w:sz w:val="20"/>
          <w:szCs w:val="20"/>
          <w:u w:val="single"/>
        </w:rPr>
        <w:t xml:space="preserve">, </w:t>
      </w:r>
      <w:hyperlink r:id="rId73" w:history="1">
        <w:r w:rsidRPr="00287910">
          <w:rPr>
            <w:rStyle w:val="Hyperlink"/>
            <w:b/>
            <w:bCs/>
            <w:sz w:val="20"/>
            <w:szCs w:val="20"/>
            <w:rtl/>
          </w:rPr>
          <w:t>ג'קי חורי</w:t>
        </w:r>
      </w:hyperlink>
    </w:p>
    <w:p w:rsidR="005366A8" w:rsidRPr="00287910" w:rsidRDefault="005366A8" w:rsidP="000B7168">
      <w:pPr>
        <w:numPr>
          <w:ilvl w:val="0"/>
          <w:numId w:val="9"/>
        </w:numPr>
        <w:spacing w:after="60"/>
        <w:ind w:left="1440"/>
        <w:jc w:val="left"/>
        <w:rPr>
          <w:sz w:val="20"/>
          <w:szCs w:val="20"/>
        </w:rPr>
      </w:pPr>
      <w:r w:rsidRPr="00287910">
        <w:rPr>
          <w:sz w:val="20"/>
          <w:szCs w:val="20"/>
        </w:rPr>
        <w:t>17.09.2014</w:t>
      </w:r>
    </w:p>
    <w:p w:rsidR="005366A8" w:rsidRPr="00287910" w:rsidRDefault="005366A8" w:rsidP="005366A8">
      <w:pPr>
        <w:spacing w:after="60"/>
        <w:rPr>
          <w:sz w:val="20"/>
          <w:szCs w:val="20"/>
        </w:rPr>
      </w:pPr>
      <w:r w:rsidRPr="00287910">
        <w:rPr>
          <w:sz w:val="20"/>
          <w:szCs w:val="20"/>
          <w:rtl/>
        </w:rPr>
        <w:t>בג"ץ דחה היום (רביעי) את העתירות נגד</w:t>
      </w:r>
      <w:r w:rsidRPr="00287910">
        <w:rPr>
          <w:sz w:val="20"/>
          <w:szCs w:val="20"/>
        </w:rPr>
        <w:t> </w:t>
      </w:r>
      <w:hyperlink r:id="rId74" w:history="1">
        <w:r w:rsidRPr="00287910">
          <w:rPr>
            <w:rStyle w:val="Hyperlink"/>
            <w:sz w:val="20"/>
            <w:szCs w:val="20"/>
          </w:rPr>
          <w:t>"</w:t>
        </w:r>
        <w:r w:rsidRPr="00287910">
          <w:rPr>
            <w:rStyle w:val="Hyperlink"/>
            <w:sz w:val="20"/>
            <w:szCs w:val="20"/>
            <w:rtl/>
          </w:rPr>
          <w:t>חוק ועדות הקבלה</w:t>
        </w:r>
        <w:r w:rsidRPr="00287910">
          <w:rPr>
            <w:rStyle w:val="Hyperlink"/>
            <w:sz w:val="20"/>
            <w:szCs w:val="20"/>
          </w:rPr>
          <w:t>"</w:t>
        </w:r>
      </w:hyperlink>
      <w:r w:rsidRPr="00287910">
        <w:rPr>
          <w:sz w:val="20"/>
          <w:szCs w:val="20"/>
        </w:rPr>
        <w:t xml:space="preserve">. </w:t>
      </w:r>
      <w:r w:rsidRPr="00287910">
        <w:rPr>
          <w:sz w:val="20"/>
          <w:szCs w:val="20"/>
          <w:rtl/>
        </w:rPr>
        <w:t>בית הדין, שדן</w:t>
      </w:r>
      <w:r w:rsidRPr="00287910">
        <w:rPr>
          <w:sz w:val="20"/>
          <w:szCs w:val="20"/>
        </w:rPr>
        <w:t> </w:t>
      </w:r>
      <w:r w:rsidRPr="00287910">
        <w:rPr>
          <w:sz w:val="20"/>
          <w:szCs w:val="20"/>
          <w:rtl/>
        </w:rPr>
        <w:t>בהרכב מורחב של תשעה שופטים בעתירות שהגישו ב-2012 ארגוני זכויות אדם, דחה את העתירות ברוב של חמישה נגד ארבעה שופטים. ארגון עדאלה, שהיה בין העותרים, מסר בתגובה כי "בג"ץ אישר את אחד החוקים הגזעניים ביותר שניתנו בשנים האחרונות</w:t>
      </w:r>
      <w:r w:rsidRPr="00287910">
        <w:rPr>
          <w:sz w:val="20"/>
          <w:szCs w:val="20"/>
        </w:rPr>
        <w:t>".</w:t>
      </w:r>
    </w:p>
    <w:p w:rsidR="005366A8" w:rsidRPr="00287910" w:rsidRDefault="005366A8" w:rsidP="005366A8">
      <w:pPr>
        <w:spacing w:after="60"/>
        <w:rPr>
          <w:sz w:val="20"/>
          <w:szCs w:val="20"/>
        </w:rPr>
      </w:pPr>
      <w:r w:rsidRPr="00287910">
        <w:rPr>
          <w:sz w:val="20"/>
          <w:szCs w:val="20"/>
          <w:rtl/>
        </w:rPr>
        <w:t>החוק, שנקרא "תיקון החוק לפקודת האגודות השיתופיות (מס' 8) המוכר", אושר בכנסת במארס 2011, והוא מאפשר לוועדות הקבלה ביישובים קהילתיים לסנן מועמדים למגורים באמצעות קריטריונים שייקבעו בתקנון היישוב</w:t>
      </w:r>
      <w:r w:rsidRPr="00287910">
        <w:rPr>
          <w:sz w:val="20"/>
          <w:szCs w:val="20"/>
        </w:rPr>
        <w:t>. </w:t>
      </w:r>
    </w:p>
    <w:p w:rsidR="005366A8" w:rsidRPr="00287910" w:rsidRDefault="005366A8" w:rsidP="005366A8">
      <w:pPr>
        <w:spacing w:after="60"/>
        <w:rPr>
          <w:sz w:val="20"/>
          <w:szCs w:val="20"/>
        </w:rPr>
      </w:pPr>
      <w:r w:rsidRPr="00287910">
        <w:rPr>
          <w:sz w:val="20"/>
          <w:szCs w:val="20"/>
          <w:rtl/>
        </w:rPr>
        <w:t>שורה של ארגוני זכויות אדם, ובהם המרכז המשפטי עדאלה והאגודה לזכויות האזרח עתרו נגד החוק בטענה כי הוא</w:t>
      </w:r>
      <w:r w:rsidRPr="00287910">
        <w:rPr>
          <w:sz w:val="20"/>
          <w:szCs w:val="20"/>
        </w:rPr>
        <w:t> </w:t>
      </w:r>
      <w:hyperlink r:id="rId75" w:history="1">
        <w:r w:rsidRPr="00287910">
          <w:rPr>
            <w:rStyle w:val="Hyperlink"/>
            <w:sz w:val="20"/>
            <w:szCs w:val="20"/>
            <w:rtl/>
          </w:rPr>
          <w:t>מצדיק את דחיית מועמדותו</w:t>
        </w:r>
      </w:hyperlink>
      <w:r w:rsidRPr="00287910">
        <w:rPr>
          <w:sz w:val="20"/>
          <w:szCs w:val="20"/>
        </w:rPr>
        <w:t> </w:t>
      </w:r>
      <w:r w:rsidRPr="00287910">
        <w:rPr>
          <w:sz w:val="20"/>
          <w:szCs w:val="20"/>
          <w:rtl/>
        </w:rPr>
        <w:t>של הומוסקסואל, אדם הסובל מנכות פיזית או אזרח ערבי, רק בגלל השונות החברתית שלהם. לטענת העותרים, החוק מפלה וסותר הן את המשפט הבינלאומי והן את המשפט הישראלי, האוסרים על אפליית אדם בגלל שונותו מהקבוצות הדומיננטיות בחברה. על אף שלשון החוק אוסרת אפליה של חברי קבוצות חברתיות שונות, הוא מתיר לדחות מועמדים על בסיס קריטריונים עמומים כמו "חוסר התאמה לחיי חברה בקהילה... ולמרקם החברתי-התרבותי של היישוב הקהילתי" ו"מאפיינים יחודיים של היישוב הקהילתי הקבועים בתקנות האגודה". הוועדות אף רשאיות לשלוח את המבקשים לגור ביישוב למבחנים במכוני מיון‫ ואפילו לגרפולוג, ולבקש פרטים רבים על חייהם. </w:t>
      </w:r>
    </w:p>
    <w:p w:rsidR="005366A8" w:rsidRPr="00287910" w:rsidRDefault="005366A8" w:rsidP="005366A8">
      <w:pPr>
        <w:spacing w:after="60"/>
        <w:rPr>
          <w:sz w:val="20"/>
          <w:szCs w:val="20"/>
        </w:rPr>
      </w:pPr>
      <w:r w:rsidRPr="00CA5487">
        <w:rPr>
          <w:sz w:val="20"/>
          <w:szCs w:val="20"/>
          <w:highlight w:val="yellow"/>
          <w:rtl/>
        </w:rPr>
        <w:t>הנשיא אשר גרוניס, המשנה לנשיא מרים נאור והשופטים אליקים רובינשטיין, אסתר חיות וחנן מלצר תמכו בדחיית העתירות וקבעו כי אינן "בשלות" להכרעה. גרוניס, שכתב את חוות הדעת המרכזית בפסק הדין כתב כי "טרם התברר כיצד החוק ייושם הלכה למעשה" ועל כן לא מדובר בהתחמקות מדיון בעתירה, אלא "שבית המשפט במשאביו המוגבלים לא יעסוק בבירורן של טענות היפותטיות ותיאורטיות</w:t>
      </w:r>
      <w:r w:rsidRPr="00CA5487">
        <w:rPr>
          <w:sz w:val="20"/>
          <w:szCs w:val="20"/>
          <w:highlight w:val="yellow"/>
        </w:rPr>
        <w:t>".</w:t>
      </w:r>
    </w:p>
    <w:p w:rsidR="005366A8" w:rsidRPr="00287910" w:rsidRDefault="005366A8" w:rsidP="005366A8">
      <w:pPr>
        <w:spacing w:after="60"/>
        <w:rPr>
          <w:sz w:val="20"/>
          <w:szCs w:val="20"/>
        </w:rPr>
      </w:pPr>
      <w:r w:rsidRPr="00CA5487">
        <w:rPr>
          <w:sz w:val="20"/>
          <w:szCs w:val="20"/>
          <w:highlight w:val="yellow"/>
          <w:rtl/>
        </w:rPr>
        <w:t>השופטת בדימוס עדנה ארבל והשופטים סלים ג'ובראן ויורם דנציגר סברו שיש להורות על ביטול הסעיפים בחוק שמאפשרים לסרב לקבל מועמד ליישוב אם "המועמד אינו מתאים לחיי חברה בקהילה" ו"חוסר התאמה של המועמד למרקם החברתי- תרבותי של היישוב הקהילתי, שיש יסוד להניח כי יהיה בו כדי לפגוע במרקם זה".</w:t>
      </w:r>
      <w:r w:rsidRPr="00287910">
        <w:rPr>
          <w:sz w:val="20"/>
          <w:szCs w:val="20"/>
          <w:rtl/>
        </w:rPr>
        <w:t xml:space="preserve"> השופט דנציגר כתב כי מדובר ב"הסדר חקיקתי עמום, אשר פותח פתח רחב להכנסת שיקולים בלתי רלוונטיים ולהפליה בפועל". </w:t>
      </w:r>
      <w:r w:rsidRPr="00CA5487">
        <w:rPr>
          <w:sz w:val="20"/>
          <w:szCs w:val="20"/>
          <w:highlight w:val="yellow"/>
          <w:rtl/>
        </w:rPr>
        <w:t xml:space="preserve">השופט ניל הנדל סבר שיש להורות על </w:t>
      </w:r>
      <w:r w:rsidRPr="00CA5487">
        <w:rPr>
          <w:rFonts w:hint="cs"/>
          <w:sz w:val="20"/>
          <w:szCs w:val="20"/>
          <w:highlight w:val="yellow"/>
          <w:rtl/>
        </w:rPr>
        <w:t xml:space="preserve">פסילת </w:t>
      </w:r>
      <w:r w:rsidRPr="00CA5487">
        <w:rPr>
          <w:sz w:val="20"/>
          <w:szCs w:val="20"/>
          <w:highlight w:val="yellow"/>
          <w:rtl/>
        </w:rPr>
        <w:t>הסעיף הקובע את הרכב ועדת הקבלה, המעניק רוב לבני היישוב הקהילתי אליו מבקש המועמד להתקבל ובכך עלולה להיווצר "הפליה בלתי מודעת</w:t>
      </w:r>
      <w:r w:rsidRPr="00287910">
        <w:rPr>
          <w:sz w:val="20"/>
          <w:szCs w:val="20"/>
        </w:rPr>
        <w:t>". </w:t>
      </w:r>
    </w:p>
    <w:p w:rsidR="005366A8" w:rsidRPr="00287910" w:rsidRDefault="005366A8" w:rsidP="005366A8">
      <w:pPr>
        <w:spacing w:after="60"/>
        <w:rPr>
          <w:sz w:val="20"/>
          <w:szCs w:val="20"/>
        </w:rPr>
      </w:pPr>
      <w:r w:rsidRPr="00287910">
        <w:rPr>
          <w:sz w:val="20"/>
          <w:szCs w:val="20"/>
          <w:rtl/>
        </w:rPr>
        <w:t>מארגון עדאלה נמסר בתגובה כי "בג"ץ אישר את אחד החוקים הגזעניים ביותר שניתנו בשנים האחרונות, אשר נחקק בכוונה מוצהרת של הרוב בכנסת להדיר בעיקר את האזרחים הערבים מיישובים קהילתיים</w:t>
      </w:r>
      <w:r w:rsidRPr="00287910">
        <w:rPr>
          <w:sz w:val="20"/>
          <w:szCs w:val="20"/>
        </w:rPr>
        <w:t>".</w:t>
      </w:r>
    </w:p>
    <w:p w:rsidR="005366A8" w:rsidRPr="00287910" w:rsidRDefault="005366A8" w:rsidP="005366A8">
      <w:pPr>
        <w:spacing w:after="60"/>
        <w:rPr>
          <w:sz w:val="20"/>
          <w:szCs w:val="20"/>
        </w:rPr>
      </w:pPr>
      <w:r w:rsidRPr="00287910">
        <w:rPr>
          <w:sz w:val="20"/>
          <w:szCs w:val="20"/>
          <w:rtl/>
        </w:rPr>
        <w:t>עו"ד סוהאד בשארה ממרכז עדאלה, שהגישה את העתירה נגד החוק, אמרה כי "מדובר בנסיגה מהותית מפסק הדין של בית המשפט העליון בעניין</w:t>
      </w:r>
      <w:r w:rsidRPr="00287910">
        <w:rPr>
          <w:sz w:val="20"/>
          <w:szCs w:val="20"/>
        </w:rPr>
        <w:t> </w:t>
      </w:r>
      <w:hyperlink r:id="rId76" w:history="1">
        <w:r w:rsidRPr="00287910">
          <w:rPr>
            <w:rStyle w:val="Hyperlink"/>
            <w:sz w:val="20"/>
            <w:szCs w:val="20"/>
            <w:rtl/>
          </w:rPr>
          <w:t>קעדאן</w:t>
        </w:r>
      </w:hyperlink>
      <w:r w:rsidRPr="00287910">
        <w:rPr>
          <w:sz w:val="20"/>
          <w:szCs w:val="20"/>
        </w:rPr>
        <w:t xml:space="preserve">, </w:t>
      </w:r>
      <w:r w:rsidRPr="00287910">
        <w:rPr>
          <w:sz w:val="20"/>
          <w:szCs w:val="20"/>
          <w:rtl/>
        </w:rPr>
        <w:t>והוא המשך ההידרדרות בהגנות החוקתיות על מעמדם המשפטי של האזרחים הערבים בישראל. בעקבות החלטה זו מאות יישובים בישראל, 434 יישובים, יתנהלו באופן חוקי ובאישור בג"ץ על בסיס אפרטהייד בדיור", אמרה עו"ד בשארה</w:t>
      </w:r>
      <w:r w:rsidRPr="00287910">
        <w:rPr>
          <w:sz w:val="20"/>
          <w:szCs w:val="20"/>
        </w:rPr>
        <w:t>". </w:t>
      </w:r>
    </w:p>
    <w:p w:rsidR="005366A8" w:rsidRPr="00287910" w:rsidRDefault="005366A8" w:rsidP="005366A8">
      <w:pPr>
        <w:spacing w:after="60"/>
        <w:rPr>
          <w:sz w:val="20"/>
          <w:szCs w:val="20"/>
        </w:rPr>
      </w:pPr>
      <w:r w:rsidRPr="00287910">
        <w:rPr>
          <w:sz w:val="20"/>
          <w:szCs w:val="20"/>
          <w:rtl/>
        </w:rPr>
        <w:t>בתקדים קעדאן משנת 2000</w:t>
      </w:r>
      <w:r w:rsidRPr="00287910">
        <w:rPr>
          <w:sz w:val="20"/>
          <w:szCs w:val="20"/>
        </w:rPr>
        <w:t>, </w:t>
      </w:r>
      <w:r w:rsidRPr="00287910">
        <w:rPr>
          <w:sz w:val="20"/>
          <w:szCs w:val="20"/>
          <w:rtl/>
        </w:rPr>
        <w:t>בג"ץ אסר על אפליתם של אימאן ועאדל קעדאן, בני זוג מבקה אל-גרבייה שביקשו להקים בית ביישוב הקהילתי קציר. בג"ץ אף קיבל את עתירתם של בני הזוג פאתנה ואחמד זבידאת נגד ועדת הקבלה של היישוב רקפת בספטמבר 2011, כמה חודשים לאחר אישור חוק ועדות הקבלה. בני הזוג עתרו לבג"ץ עוד ב-2007 בטענה לאפליה פסולה, ואחרי 6 שנות דיונים קיבלו השופטים את עתירתם</w:t>
      </w:r>
      <w:r w:rsidRPr="00287910">
        <w:rPr>
          <w:sz w:val="20"/>
          <w:szCs w:val="20"/>
        </w:rPr>
        <w:t>.</w:t>
      </w:r>
    </w:p>
    <w:p w:rsidR="005366A8" w:rsidRPr="00287910" w:rsidRDefault="005366A8" w:rsidP="005366A8">
      <w:pPr>
        <w:spacing w:after="60"/>
        <w:rPr>
          <w:rFonts w:asciiTheme="majorBidi" w:hAnsiTheme="majorBidi" w:cstheme="majorBidi"/>
          <w:highlight w:val="yellow"/>
          <w:rtl/>
        </w:rPr>
      </w:pPr>
      <w:r w:rsidRPr="00287910">
        <w:rPr>
          <w:sz w:val="20"/>
          <w:szCs w:val="20"/>
          <w:rtl/>
        </w:rPr>
        <w:t>סיפורה של</w:t>
      </w:r>
      <w:r w:rsidRPr="00287910">
        <w:rPr>
          <w:sz w:val="20"/>
          <w:szCs w:val="20"/>
        </w:rPr>
        <w:t> </w:t>
      </w:r>
      <w:hyperlink r:id="rId77" w:history="1">
        <w:r w:rsidRPr="00287910">
          <w:rPr>
            <w:rStyle w:val="Hyperlink"/>
            <w:sz w:val="20"/>
            <w:szCs w:val="20"/>
            <w:rtl/>
          </w:rPr>
          <w:t>משפחת זבידאת נחשף לראשונה ב"הארץ</w:t>
        </w:r>
        <w:r w:rsidRPr="00287910">
          <w:rPr>
            <w:rStyle w:val="Hyperlink"/>
            <w:sz w:val="20"/>
            <w:szCs w:val="20"/>
          </w:rPr>
          <w:t>"</w:t>
        </w:r>
      </w:hyperlink>
      <w:r w:rsidRPr="00287910">
        <w:rPr>
          <w:sz w:val="20"/>
          <w:szCs w:val="20"/>
        </w:rPr>
        <w:t> </w:t>
      </w:r>
      <w:r w:rsidRPr="00287910">
        <w:rPr>
          <w:sz w:val="20"/>
          <w:szCs w:val="20"/>
          <w:rtl/>
        </w:rPr>
        <w:t>ובעקבותיו התפרסמו תקנונים חדשים שאושרו בישובים הקהילתיים במשגב לפיהם חברי הקהילה יתקבלו לפי התאמתם לערכי מדינת ישראל ומורשת ישראל</w:t>
      </w:r>
      <w:r w:rsidRPr="00287910">
        <w:rPr>
          <w:sz w:val="20"/>
          <w:szCs w:val="20"/>
        </w:rPr>
        <w:t>.</w:t>
      </w:r>
    </w:p>
    <w:p w:rsidR="005366A8" w:rsidRDefault="005366A8" w:rsidP="005366A8">
      <w:pPr>
        <w:spacing w:after="120"/>
        <w:rPr>
          <w:rFonts w:asciiTheme="majorBidi" w:hAnsiTheme="majorBidi" w:cstheme="majorBidi"/>
          <w:highlight w:val="yellow"/>
          <w:rtl/>
        </w:rPr>
      </w:pPr>
      <w:r w:rsidRPr="00485915">
        <w:rPr>
          <w:rFonts w:asciiTheme="majorBidi" w:hAnsiTheme="majorBidi" w:cstheme="majorBidi"/>
          <w:highlight w:val="yellow"/>
          <w:rtl/>
        </w:rPr>
        <w:t>=-=</w:t>
      </w:r>
    </w:p>
    <w:p w:rsidR="005366A8" w:rsidRPr="009345C6" w:rsidRDefault="005366A8" w:rsidP="005366A8">
      <w:pPr>
        <w:spacing w:after="120"/>
        <w:jc w:val="center"/>
        <w:rPr>
          <w:rFonts w:ascii="Arial" w:hAnsi="Arial" w:cs="Guttman-Soncino"/>
          <w:b/>
          <w:bCs/>
          <w:sz w:val="28"/>
          <w:szCs w:val="28"/>
          <w:rtl/>
        </w:rPr>
      </w:pPr>
      <w:r>
        <w:rPr>
          <w:rFonts w:asciiTheme="majorBidi" w:hAnsiTheme="majorBidi" w:cstheme="majorBidi"/>
          <w:highlight w:val="yellow"/>
          <w:rtl/>
        </w:rPr>
        <w:br w:type="page"/>
      </w:r>
      <w:r w:rsidRPr="009345C6">
        <w:rPr>
          <w:rFonts w:ascii="Arial" w:hAnsi="Arial" w:cs="Guttman-Soncino"/>
          <w:b/>
          <w:bCs/>
          <w:sz w:val="28"/>
          <w:szCs w:val="28"/>
          <w:highlight w:val="yellow"/>
          <w:rtl/>
        </w:rPr>
        <w:t xml:space="preserve">החוקה הפורמלית של ישראל </w:t>
      </w:r>
      <w:r w:rsidRPr="009345C6">
        <w:rPr>
          <w:rFonts w:ascii="Arial" w:hAnsi="Arial" w:cs="Guttman-Soncino"/>
          <w:b/>
          <w:bCs/>
          <w:sz w:val="28"/>
          <w:szCs w:val="28"/>
          <w:highlight w:val="yellow"/>
        </w:rPr>
        <w:t>–</w:t>
      </w:r>
      <w:r w:rsidRPr="009345C6">
        <w:rPr>
          <w:rFonts w:ascii="Arial" w:hAnsi="Arial" w:cs="Guttman-Soncino"/>
          <w:b/>
          <w:bCs/>
          <w:sz w:val="28"/>
          <w:szCs w:val="28"/>
          <w:highlight w:val="yellow"/>
          <w:rtl/>
        </w:rPr>
        <w:t xml:space="preserve"> א'</w:t>
      </w:r>
    </w:p>
    <w:p w:rsidR="005366A8" w:rsidRPr="00F40857" w:rsidRDefault="005366A8" w:rsidP="005366A8">
      <w:pPr>
        <w:pStyle w:val="T-body"/>
        <w:spacing w:line="240" w:lineRule="auto"/>
        <w:jc w:val="center"/>
        <w:rPr>
          <w:rFonts w:ascii="Arial" w:hAnsi="Arial" w:cs="Guttman-Soncino"/>
          <w:b/>
          <w:bCs/>
          <w:sz w:val="28"/>
          <w:szCs w:val="28"/>
          <w:rtl/>
        </w:rPr>
      </w:pPr>
      <w:r w:rsidRPr="00F40857">
        <w:rPr>
          <w:rFonts w:ascii="Arial" w:hAnsi="Arial" w:cs="Guttman-Soncino" w:hint="cs"/>
          <w:b/>
          <w:bCs/>
          <w:sz w:val="28"/>
          <w:szCs w:val="28"/>
          <w:highlight w:val="yellow"/>
          <w:rtl/>
        </w:rPr>
        <w:t>1.</w:t>
      </w:r>
      <w:r>
        <w:rPr>
          <w:rFonts w:ascii="Arial" w:hAnsi="Arial" w:cs="Guttman-Soncino"/>
          <w:b/>
          <w:bCs/>
          <w:sz w:val="28"/>
          <w:szCs w:val="28"/>
          <w:highlight w:val="yellow"/>
          <w:rtl/>
        </w:rPr>
        <w:t xml:space="preserve"> </w:t>
      </w:r>
      <w:r w:rsidRPr="00F40857">
        <w:rPr>
          <w:rFonts w:ascii="Arial" w:hAnsi="Arial" w:cs="Guttman-Soncino"/>
          <w:b/>
          <w:bCs/>
          <w:sz w:val="28"/>
          <w:szCs w:val="28"/>
          <w:highlight w:val="yellow"/>
          <w:rtl/>
        </w:rPr>
        <w:t>מונחים, הבהרות מושגיות</w:t>
      </w:r>
    </w:p>
    <w:p w:rsidR="005366A8" w:rsidRDefault="005366A8" w:rsidP="005366A8">
      <w:pPr>
        <w:pStyle w:val="T-body"/>
        <w:spacing w:line="240" w:lineRule="auto"/>
        <w:rPr>
          <w:sz w:val="20"/>
          <w:szCs w:val="20"/>
          <w:rtl/>
        </w:rPr>
      </w:pPr>
    </w:p>
    <w:p w:rsidR="005366A8" w:rsidRPr="00720EDF" w:rsidRDefault="005366A8" w:rsidP="005366A8">
      <w:pPr>
        <w:spacing w:after="120"/>
        <w:ind w:left="720"/>
        <w:rPr>
          <w:rFonts w:ascii="Arial" w:hAnsi="Arial" w:cs="David"/>
          <w:b/>
          <w:bCs/>
          <w:sz w:val="20"/>
          <w:szCs w:val="20"/>
          <w:u w:val="single"/>
          <w:rtl/>
        </w:rPr>
      </w:pPr>
      <w:r w:rsidRPr="00645980">
        <w:rPr>
          <w:rFonts w:ascii="Arial" w:hAnsi="Arial" w:cs="Arial" w:hint="cs"/>
          <w:b/>
          <w:bCs/>
          <w:sz w:val="20"/>
          <w:szCs w:val="20"/>
          <w:highlight w:val="yellow"/>
          <w:rtl/>
        </w:rPr>
        <w:t>דוגמא:</w:t>
      </w:r>
      <w:r>
        <w:rPr>
          <w:rFonts w:ascii="Arial" w:hAnsi="Arial" w:cs="Arial" w:hint="cs"/>
          <w:sz w:val="20"/>
          <w:szCs w:val="20"/>
          <w:rtl/>
        </w:rPr>
        <w:t xml:space="preserve"> </w:t>
      </w:r>
      <w:r w:rsidRPr="000643DC">
        <w:rPr>
          <w:rFonts w:ascii="Arial" w:hAnsi="Arial" w:cs="Arial"/>
          <w:b/>
          <w:bCs/>
          <w:sz w:val="20"/>
          <w:szCs w:val="20"/>
          <w:u w:val="single"/>
          <w:rtl/>
        </w:rPr>
        <w:t>חוק יסוד: הכנסת</w:t>
      </w:r>
    </w:p>
    <w:p w:rsidR="005366A8" w:rsidRPr="00720EDF" w:rsidRDefault="005366A8" w:rsidP="005366A8">
      <w:pPr>
        <w:spacing w:after="120"/>
        <w:rPr>
          <w:rFonts w:cs="David"/>
          <w:b/>
          <w:bCs/>
          <w:sz w:val="20"/>
          <w:szCs w:val="20"/>
          <w:rtl/>
        </w:rPr>
      </w:pPr>
      <w:r w:rsidRPr="00720EDF">
        <w:rPr>
          <w:rFonts w:cs="David"/>
          <w:sz w:val="20"/>
          <w:szCs w:val="20"/>
          <w:rtl/>
        </w:rPr>
        <w:t xml:space="preserve">4. [שיטת הבחירות] </w:t>
      </w:r>
      <w:r w:rsidRPr="00720EDF">
        <w:rPr>
          <w:rFonts w:cs="David"/>
          <w:b/>
          <w:bCs/>
          <w:sz w:val="20"/>
          <w:szCs w:val="20"/>
          <w:rtl/>
        </w:rPr>
        <w:t>הכנסת תיבחר בבחירות כלליות, ארציות, ישירות, שוות, חשאיות ויחסיות, לפי חוק הבחירות לכנסת; אין לשנות סעיף זה, אלא ברוב של חברי הכנסת.</w:t>
      </w:r>
    </w:p>
    <w:p w:rsidR="005366A8" w:rsidRPr="00720EDF" w:rsidRDefault="005366A8" w:rsidP="005366A8">
      <w:pPr>
        <w:pStyle w:val="BodyText2"/>
        <w:spacing w:after="120"/>
        <w:rPr>
          <w:rFonts w:cs="David"/>
          <w:sz w:val="20"/>
          <w:szCs w:val="20"/>
          <w:rtl/>
        </w:rPr>
      </w:pPr>
      <w:r w:rsidRPr="00720EDF">
        <w:rPr>
          <w:rFonts w:cs="David"/>
          <w:sz w:val="20"/>
          <w:szCs w:val="20"/>
          <w:rtl/>
        </w:rPr>
        <w:t xml:space="preserve">9א. </w:t>
      </w:r>
      <w:r w:rsidRPr="00720EDF">
        <w:rPr>
          <w:rFonts w:cs="David" w:hint="cs"/>
          <w:sz w:val="20"/>
          <w:szCs w:val="20"/>
          <w:rtl/>
        </w:rPr>
        <w:t>[</w:t>
      </w:r>
      <w:r w:rsidRPr="00720EDF">
        <w:rPr>
          <w:rFonts w:cs="David"/>
          <w:sz w:val="20"/>
          <w:szCs w:val="20"/>
          <w:rtl/>
        </w:rPr>
        <w:t>הארכת תקופת כהונה (תיקון: תשנ"ב)</w:t>
      </w:r>
      <w:r w:rsidRPr="00720EDF">
        <w:rPr>
          <w:rFonts w:cs="David" w:hint="cs"/>
          <w:sz w:val="20"/>
          <w:szCs w:val="20"/>
          <w:rtl/>
        </w:rPr>
        <w:t>]</w:t>
      </w:r>
      <w:r w:rsidRPr="00720EDF">
        <w:rPr>
          <w:rFonts w:cs="David"/>
          <w:sz w:val="20"/>
          <w:szCs w:val="20"/>
          <w:rtl/>
        </w:rPr>
        <w:t xml:space="preserve"> </w:t>
      </w:r>
      <w:r w:rsidRPr="00720EDF">
        <w:rPr>
          <w:rFonts w:cs="David"/>
          <w:b/>
          <w:bCs/>
          <w:sz w:val="20"/>
          <w:szCs w:val="20"/>
          <w:rtl/>
        </w:rPr>
        <w:t>(א) הכנסת לא תאריך את תקופת כהונתה אלא בחוק שנתקבל ברוב של שמונים חברי הכנסת ואם נתקיימו נסיבות מיוחדות המונעות עריכת בחירות בעיתן; תקופת ההארכה לא תעלה על הזמן המתחייב מהנסיבות האמורות; בחוק כאמור ייקבע מועד הבחירות.</w:t>
      </w:r>
      <w:r w:rsidRPr="00720EDF">
        <w:rPr>
          <w:rFonts w:cs="David" w:hint="cs"/>
          <w:sz w:val="20"/>
          <w:szCs w:val="20"/>
          <w:rtl/>
        </w:rPr>
        <w:t xml:space="preserve"> [...]</w:t>
      </w:r>
    </w:p>
    <w:p w:rsidR="005366A8" w:rsidRPr="00720EDF" w:rsidRDefault="005366A8" w:rsidP="005366A8">
      <w:pPr>
        <w:spacing w:after="120"/>
        <w:rPr>
          <w:rFonts w:cs="David"/>
          <w:b/>
          <w:bCs/>
          <w:sz w:val="20"/>
          <w:szCs w:val="20"/>
          <w:rtl/>
        </w:rPr>
      </w:pPr>
      <w:r w:rsidRPr="00720EDF">
        <w:rPr>
          <w:rFonts w:cs="David"/>
          <w:sz w:val="20"/>
          <w:szCs w:val="20"/>
          <w:rtl/>
        </w:rPr>
        <w:t xml:space="preserve"> 44. </w:t>
      </w:r>
      <w:r w:rsidRPr="00720EDF">
        <w:rPr>
          <w:rFonts w:cs="David" w:hint="cs"/>
          <w:sz w:val="20"/>
          <w:szCs w:val="20"/>
          <w:rtl/>
        </w:rPr>
        <w:t>[</w:t>
      </w:r>
      <w:r w:rsidRPr="00720EDF">
        <w:rPr>
          <w:rFonts w:cs="David"/>
          <w:sz w:val="20"/>
          <w:szCs w:val="20"/>
          <w:rtl/>
        </w:rPr>
        <w:t>יציבות החוק</w:t>
      </w:r>
      <w:r w:rsidRPr="00720EDF">
        <w:rPr>
          <w:rFonts w:cs="David" w:hint="cs"/>
          <w:sz w:val="20"/>
          <w:szCs w:val="20"/>
          <w:rtl/>
        </w:rPr>
        <w:t>]</w:t>
      </w:r>
      <w:r w:rsidRPr="00720EDF">
        <w:rPr>
          <w:rFonts w:cs="David"/>
          <w:sz w:val="20"/>
          <w:szCs w:val="20"/>
          <w:rtl/>
        </w:rPr>
        <w:t xml:space="preserve"> </w:t>
      </w:r>
      <w:r w:rsidRPr="00720EDF">
        <w:rPr>
          <w:rFonts w:cs="David"/>
          <w:b/>
          <w:bCs/>
          <w:sz w:val="20"/>
          <w:szCs w:val="20"/>
          <w:rtl/>
        </w:rPr>
        <w:t>על  אף  האמור  בכל דין אחר, אין בכוחן של תקנות-שעת-חרום לשנות חוק זה, להפקיע</w:t>
      </w:r>
      <w:r w:rsidRPr="00720EDF">
        <w:rPr>
          <w:rFonts w:cs="David" w:hint="cs"/>
          <w:b/>
          <w:bCs/>
          <w:sz w:val="20"/>
          <w:szCs w:val="20"/>
          <w:rtl/>
        </w:rPr>
        <w:t xml:space="preserve"> </w:t>
      </w:r>
      <w:r w:rsidRPr="00720EDF">
        <w:rPr>
          <w:rFonts w:cs="David"/>
          <w:b/>
          <w:bCs/>
          <w:sz w:val="20"/>
          <w:szCs w:val="20"/>
          <w:rtl/>
        </w:rPr>
        <w:t xml:space="preserve"> זמנית את תקפו או לקבוע בו תנאים.</w:t>
      </w:r>
    </w:p>
    <w:p w:rsidR="005366A8" w:rsidRPr="00720EDF" w:rsidRDefault="005366A8" w:rsidP="005366A8">
      <w:pPr>
        <w:spacing w:after="120"/>
        <w:rPr>
          <w:rFonts w:cs="David"/>
          <w:b/>
          <w:bCs/>
          <w:sz w:val="20"/>
          <w:szCs w:val="20"/>
          <w:rtl/>
        </w:rPr>
      </w:pPr>
      <w:r w:rsidRPr="00720EDF">
        <w:rPr>
          <w:rFonts w:cs="David"/>
          <w:sz w:val="20"/>
          <w:szCs w:val="20"/>
          <w:rtl/>
        </w:rPr>
        <w:t xml:space="preserve"> 45. </w:t>
      </w:r>
      <w:r w:rsidRPr="00720EDF">
        <w:rPr>
          <w:rFonts w:cs="David" w:hint="cs"/>
          <w:sz w:val="20"/>
          <w:szCs w:val="20"/>
          <w:rtl/>
        </w:rPr>
        <w:t>[</w:t>
      </w:r>
      <w:r w:rsidRPr="00720EDF">
        <w:rPr>
          <w:rFonts w:cs="David"/>
          <w:sz w:val="20"/>
          <w:szCs w:val="20"/>
          <w:rtl/>
        </w:rPr>
        <w:t>נוקשות סעיפים</w:t>
      </w:r>
      <w:r w:rsidRPr="00720EDF">
        <w:rPr>
          <w:rFonts w:cs="David" w:hint="cs"/>
          <w:sz w:val="20"/>
          <w:szCs w:val="20"/>
          <w:rtl/>
        </w:rPr>
        <w:t>]</w:t>
      </w:r>
      <w:r w:rsidRPr="00720EDF">
        <w:rPr>
          <w:rFonts w:cs="David"/>
          <w:sz w:val="20"/>
          <w:szCs w:val="20"/>
          <w:rtl/>
        </w:rPr>
        <w:t xml:space="preserve"> </w:t>
      </w:r>
      <w:r w:rsidRPr="00720EDF">
        <w:rPr>
          <w:rFonts w:cs="David"/>
          <w:b/>
          <w:bCs/>
          <w:sz w:val="20"/>
          <w:szCs w:val="20"/>
          <w:rtl/>
        </w:rPr>
        <w:t>אין לשנות סעיף 44 או סעיף זה, אלא ברוב של שמונים חברי כנסת.</w:t>
      </w:r>
    </w:p>
    <w:p w:rsidR="005366A8" w:rsidRPr="00720EDF" w:rsidRDefault="005366A8" w:rsidP="005366A8">
      <w:pPr>
        <w:spacing w:after="120"/>
        <w:rPr>
          <w:rFonts w:cs="David"/>
          <w:b/>
          <w:bCs/>
          <w:sz w:val="20"/>
          <w:szCs w:val="20"/>
          <w:rtl/>
        </w:rPr>
      </w:pPr>
      <w:r w:rsidRPr="00720EDF">
        <w:rPr>
          <w:rFonts w:cs="David"/>
          <w:sz w:val="20"/>
          <w:szCs w:val="20"/>
          <w:rtl/>
        </w:rPr>
        <w:t xml:space="preserve"> 45א. </w:t>
      </w:r>
      <w:r w:rsidRPr="00720EDF">
        <w:rPr>
          <w:rFonts w:cs="David" w:hint="cs"/>
          <w:sz w:val="20"/>
          <w:szCs w:val="20"/>
          <w:rtl/>
        </w:rPr>
        <w:t>[</w:t>
      </w:r>
      <w:r w:rsidRPr="00720EDF">
        <w:rPr>
          <w:rFonts w:cs="David"/>
          <w:sz w:val="20"/>
          <w:szCs w:val="20"/>
          <w:rtl/>
        </w:rPr>
        <w:t>תחולת נוקשות (תיקון: תשנ"ב)</w:t>
      </w:r>
      <w:r w:rsidRPr="00720EDF">
        <w:rPr>
          <w:rFonts w:cs="David" w:hint="cs"/>
          <w:sz w:val="20"/>
          <w:szCs w:val="20"/>
          <w:rtl/>
        </w:rPr>
        <w:t xml:space="preserve">] </w:t>
      </w:r>
      <w:r w:rsidRPr="00720EDF">
        <w:rPr>
          <w:rFonts w:cs="David"/>
          <w:b/>
          <w:bCs/>
          <w:sz w:val="20"/>
          <w:szCs w:val="20"/>
          <w:rtl/>
        </w:rPr>
        <w:t>הוראת סעיף 45 תחול גם לענין שינוי סעיף 9א(א).</w:t>
      </w:r>
    </w:p>
    <w:p w:rsidR="005366A8" w:rsidRPr="00720EDF" w:rsidRDefault="005366A8" w:rsidP="005366A8">
      <w:pPr>
        <w:pStyle w:val="T-body"/>
        <w:spacing w:line="240" w:lineRule="auto"/>
        <w:rPr>
          <w:rFonts w:cs="David"/>
          <w:sz w:val="20"/>
          <w:szCs w:val="20"/>
          <w:rtl/>
        </w:rPr>
      </w:pPr>
      <w:r w:rsidRPr="00720EDF">
        <w:rPr>
          <w:rFonts w:cs="David"/>
          <w:sz w:val="20"/>
          <w:szCs w:val="20"/>
          <w:rtl/>
        </w:rPr>
        <w:t xml:space="preserve"> 46.  </w:t>
      </w:r>
      <w:r w:rsidRPr="00720EDF">
        <w:rPr>
          <w:rFonts w:cs="David" w:hint="cs"/>
          <w:sz w:val="20"/>
          <w:szCs w:val="20"/>
          <w:rtl/>
        </w:rPr>
        <w:t>[</w:t>
      </w:r>
      <w:r w:rsidRPr="00720EDF">
        <w:rPr>
          <w:rFonts w:cs="David"/>
          <w:sz w:val="20"/>
          <w:szCs w:val="20"/>
          <w:rtl/>
        </w:rPr>
        <w:t>מתי דרוש רוב מיוחד (תיקון: תשי"ט, תש"ן, תשנ"ב)</w:t>
      </w:r>
      <w:r w:rsidRPr="00720EDF">
        <w:rPr>
          <w:rFonts w:cs="David" w:hint="cs"/>
          <w:sz w:val="20"/>
          <w:szCs w:val="20"/>
          <w:rtl/>
        </w:rPr>
        <w:t xml:space="preserve">] </w:t>
      </w:r>
      <w:r w:rsidRPr="00720EDF">
        <w:rPr>
          <w:rFonts w:cs="David"/>
          <w:b/>
          <w:bCs/>
          <w:sz w:val="20"/>
          <w:szCs w:val="20"/>
          <w:rtl/>
        </w:rPr>
        <w:t>הרוב  הדרוש  לפי  חוק  זה לשינוי סעיפים 4, 9א, 34, 44 או 45 יהא דרוש להחלטות</w:t>
      </w:r>
      <w:r w:rsidRPr="00720EDF">
        <w:rPr>
          <w:rFonts w:cs="David" w:hint="cs"/>
          <w:b/>
          <w:bCs/>
          <w:sz w:val="20"/>
          <w:szCs w:val="20"/>
          <w:rtl/>
        </w:rPr>
        <w:t xml:space="preserve"> </w:t>
      </w:r>
      <w:r w:rsidRPr="00720EDF">
        <w:rPr>
          <w:rFonts w:cs="David"/>
          <w:b/>
          <w:bCs/>
          <w:sz w:val="20"/>
          <w:szCs w:val="20"/>
          <w:rtl/>
        </w:rPr>
        <w:t>מליאת הכנסת בקריאה הראשונה, בקריאה השניה בקריאה השלישית. לענין סעיף זה "שינוי" - בין מפורש ובין משתמע.</w:t>
      </w:r>
    </w:p>
    <w:p w:rsidR="005366A8" w:rsidRDefault="005366A8" w:rsidP="005366A8">
      <w:pPr>
        <w:pStyle w:val="T-body"/>
        <w:spacing w:line="240" w:lineRule="auto"/>
        <w:rPr>
          <w:sz w:val="20"/>
          <w:szCs w:val="20"/>
          <w:rtl/>
        </w:rPr>
      </w:pPr>
    </w:p>
    <w:p w:rsidR="005366A8" w:rsidRPr="00720EDF" w:rsidRDefault="005366A8" w:rsidP="005366A8">
      <w:pPr>
        <w:pStyle w:val="T-body"/>
        <w:spacing w:after="120" w:line="240" w:lineRule="auto"/>
        <w:ind w:left="720"/>
        <w:rPr>
          <w:rFonts w:ascii="Arial" w:hAnsi="Arial" w:cs="David"/>
          <w:b/>
          <w:bCs/>
          <w:sz w:val="20"/>
          <w:szCs w:val="20"/>
          <w:rtl/>
        </w:rPr>
      </w:pPr>
      <w:r w:rsidRPr="008D567B">
        <w:rPr>
          <w:rFonts w:ascii="Arial" w:hAnsi="Arial" w:cs="Arial"/>
          <w:b/>
          <w:bCs/>
          <w:sz w:val="20"/>
          <w:szCs w:val="20"/>
          <w:highlight w:val="yellow"/>
          <w:rtl/>
        </w:rPr>
        <w:t>דוגמא נוספת</w:t>
      </w:r>
      <w:r w:rsidRPr="00720EDF">
        <w:rPr>
          <w:rFonts w:ascii="Arial" w:hAnsi="Arial" w:cs="Arial"/>
          <w:b/>
          <w:bCs/>
          <w:sz w:val="20"/>
          <w:szCs w:val="20"/>
          <w:rtl/>
        </w:rPr>
        <w:t xml:space="preserve">: </w:t>
      </w:r>
      <w:r w:rsidRPr="00720EDF">
        <w:rPr>
          <w:rFonts w:ascii="Arial" w:hAnsi="Arial" w:cs="Arial"/>
          <w:b/>
          <w:bCs/>
          <w:sz w:val="20"/>
          <w:szCs w:val="20"/>
          <w:u w:val="single"/>
          <w:rtl/>
        </w:rPr>
        <w:t>חוק יסוד: כבוד האדם וחירותו</w:t>
      </w:r>
    </w:p>
    <w:p w:rsidR="005366A8" w:rsidRPr="00720EDF" w:rsidRDefault="005366A8" w:rsidP="005366A8">
      <w:pPr>
        <w:pStyle w:val="T-body"/>
        <w:rPr>
          <w:rFonts w:cs="David"/>
          <w:b/>
          <w:bCs/>
          <w:sz w:val="20"/>
          <w:szCs w:val="20"/>
          <w:rtl/>
        </w:rPr>
      </w:pPr>
      <w:r w:rsidRPr="00720EDF">
        <w:rPr>
          <w:rFonts w:cs="David" w:hint="cs"/>
          <w:sz w:val="20"/>
          <w:szCs w:val="20"/>
          <w:rtl/>
        </w:rPr>
        <w:t xml:space="preserve">8. [פסקת ההגבלה] </w:t>
      </w:r>
      <w:r w:rsidRPr="00720EDF">
        <w:rPr>
          <w:rFonts w:cs="David"/>
          <w:b/>
          <w:bCs/>
          <w:sz w:val="20"/>
          <w:szCs w:val="20"/>
          <w:rtl/>
        </w:rPr>
        <w:t>אין פוגעים בזכויות שלפי חוק-יסוד זה אלא בחוק ההולם את ערכיה של מדינת ישראל, שנועד לתכלית ראויה, ובמידה שאינה עולה על הנדרש או לפי חוק כאמור מכוח הסמכה מפורשת בו.</w:t>
      </w:r>
    </w:p>
    <w:p w:rsidR="005366A8" w:rsidRDefault="005366A8" w:rsidP="005366A8">
      <w:pPr>
        <w:pStyle w:val="T-body"/>
        <w:spacing w:line="240" w:lineRule="auto"/>
        <w:rPr>
          <w:sz w:val="20"/>
          <w:szCs w:val="20"/>
          <w:rtl/>
        </w:rPr>
      </w:pPr>
    </w:p>
    <w:p w:rsidR="005366A8" w:rsidRPr="00720EDF" w:rsidRDefault="005366A8" w:rsidP="005366A8">
      <w:pPr>
        <w:pStyle w:val="T-body"/>
        <w:spacing w:line="240" w:lineRule="auto"/>
        <w:ind w:left="720"/>
        <w:rPr>
          <w:rFonts w:ascii="Arial" w:hAnsi="Arial" w:cs="Arial"/>
          <w:b/>
          <w:bCs/>
          <w:sz w:val="20"/>
          <w:szCs w:val="20"/>
          <w:rtl/>
        </w:rPr>
      </w:pPr>
      <w:r w:rsidRPr="00720EDF">
        <w:rPr>
          <w:rFonts w:ascii="Arial" w:hAnsi="Arial" w:cs="Arial"/>
          <w:b/>
          <w:bCs/>
          <w:sz w:val="20"/>
          <w:szCs w:val="20"/>
          <w:highlight w:val="yellow"/>
          <w:rtl/>
        </w:rPr>
        <w:t>מונחים והבהרות מושגיות</w:t>
      </w:r>
    </w:p>
    <w:p w:rsidR="005366A8" w:rsidRPr="00A47018" w:rsidRDefault="005366A8" w:rsidP="005366A8">
      <w:pPr>
        <w:pStyle w:val="T-body"/>
        <w:spacing w:line="240" w:lineRule="auto"/>
        <w:rPr>
          <w:sz w:val="20"/>
          <w:szCs w:val="20"/>
          <w:rtl/>
        </w:rPr>
      </w:pPr>
    </w:p>
    <w:p w:rsidR="005366A8" w:rsidRPr="00720EDF" w:rsidRDefault="005366A8" w:rsidP="005366A8">
      <w:pPr>
        <w:pStyle w:val="T-body"/>
        <w:spacing w:after="60" w:line="240" w:lineRule="auto"/>
        <w:rPr>
          <w:sz w:val="22"/>
          <w:szCs w:val="22"/>
          <w:rtl/>
        </w:rPr>
      </w:pPr>
      <w:r w:rsidRPr="00720EDF">
        <w:rPr>
          <w:rFonts w:hint="cs"/>
          <w:b/>
          <w:bCs/>
          <w:sz w:val="22"/>
          <w:szCs w:val="22"/>
          <w:u w:val="single"/>
          <w:rtl/>
        </w:rPr>
        <w:t xml:space="preserve">א. דמוקרטיה חוקתית </w:t>
      </w:r>
      <w:r>
        <w:rPr>
          <w:rFonts w:hint="cs"/>
          <w:b/>
          <w:bCs/>
          <w:sz w:val="22"/>
          <w:szCs w:val="22"/>
          <w:u w:val="single"/>
          <w:rtl/>
        </w:rPr>
        <w:t>("</w:t>
      </w:r>
      <w:r w:rsidRPr="00720EDF">
        <w:rPr>
          <w:rFonts w:hint="cs"/>
          <w:b/>
          <w:bCs/>
          <w:sz w:val="22"/>
          <w:szCs w:val="22"/>
          <w:u w:val="single"/>
          <w:rtl/>
        </w:rPr>
        <w:t>חוּקתיוּת</w:t>
      </w:r>
      <w:r>
        <w:rPr>
          <w:rFonts w:hint="cs"/>
          <w:b/>
          <w:bCs/>
          <w:sz w:val="22"/>
          <w:szCs w:val="22"/>
          <w:u w:val="single"/>
          <w:rtl/>
        </w:rPr>
        <w:t>"</w:t>
      </w:r>
      <w:r w:rsidRPr="00720EDF">
        <w:rPr>
          <w:rFonts w:hint="cs"/>
          <w:b/>
          <w:bCs/>
          <w:sz w:val="22"/>
          <w:szCs w:val="22"/>
          <w:u w:val="single"/>
          <w:rtl/>
        </w:rPr>
        <w:t xml:space="preserve"> </w:t>
      </w:r>
      <w:r w:rsidRPr="00CC4CE3">
        <w:rPr>
          <w:b/>
          <w:bCs/>
          <w:sz w:val="22"/>
          <w:szCs w:val="22"/>
          <w:u w:val="single"/>
        </w:rPr>
        <w:t>constitutionalism</w:t>
      </w:r>
      <w:r>
        <w:rPr>
          <w:rFonts w:hint="cs"/>
          <w:b/>
          <w:bCs/>
          <w:sz w:val="22"/>
          <w:szCs w:val="22"/>
          <w:u w:val="single"/>
          <w:rtl/>
        </w:rPr>
        <w:t>)</w:t>
      </w:r>
      <w:r w:rsidRPr="00CC4CE3">
        <w:rPr>
          <w:rFonts w:hint="cs"/>
          <w:sz w:val="22"/>
          <w:szCs w:val="22"/>
          <w:u w:val="single"/>
          <w:rtl/>
        </w:rPr>
        <w:t xml:space="preserve"> </w:t>
      </w:r>
      <w:r w:rsidRPr="00CC4CE3">
        <w:rPr>
          <w:rFonts w:hint="cs"/>
          <w:b/>
          <w:bCs/>
          <w:sz w:val="22"/>
          <w:szCs w:val="22"/>
          <w:u w:val="single"/>
        </w:rPr>
        <w:t>V</w:t>
      </w:r>
      <w:r w:rsidRPr="00720EDF">
        <w:rPr>
          <w:rFonts w:hint="cs"/>
          <w:b/>
          <w:bCs/>
          <w:sz w:val="22"/>
          <w:szCs w:val="22"/>
          <w:u w:val="single"/>
          <w:rtl/>
        </w:rPr>
        <w:t xml:space="preserve">. דמוקרטיה רובנית;  </w:t>
      </w:r>
    </w:p>
    <w:p w:rsidR="005366A8" w:rsidRDefault="005366A8" w:rsidP="005366A8">
      <w:pPr>
        <w:pStyle w:val="T-body"/>
        <w:spacing w:line="240" w:lineRule="auto"/>
        <w:rPr>
          <w:sz w:val="22"/>
          <w:szCs w:val="22"/>
          <w:rtl/>
        </w:rPr>
      </w:pPr>
      <w:r w:rsidRPr="00720EDF">
        <w:rPr>
          <w:rFonts w:hint="cs"/>
          <w:sz w:val="22"/>
          <w:szCs w:val="22"/>
          <w:rtl/>
        </w:rPr>
        <w:t xml:space="preserve">חוקתיות היא תיאוריה מוסרית-פוליטית </w:t>
      </w:r>
      <w:r>
        <w:rPr>
          <w:rFonts w:hint="cs"/>
          <w:sz w:val="22"/>
          <w:szCs w:val="22"/>
          <w:rtl/>
        </w:rPr>
        <w:t>פרי</w:t>
      </w:r>
      <w:r w:rsidRPr="00720EDF">
        <w:rPr>
          <w:rFonts w:hint="cs"/>
          <w:sz w:val="22"/>
          <w:szCs w:val="22"/>
          <w:rtl/>
        </w:rPr>
        <w:t xml:space="preserve"> הליברליזם</w:t>
      </w:r>
      <w:r>
        <w:rPr>
          <w:rFonts w:hint="cs"/>
          <w:sz w:val="22"/>
          <w:szCs w:val="22"/>
          <w:rtl/>
        </w:rPr>
        <w:t xml:space="preserve">, </w:t>
      </w:r>
      <w:r w:rsidRPr="00720EDF">
        <w:rPr>
          <w:rFonts w:hint="cs"/>
          <w:sz w:val="22"/>
          <w:szCs w:val="22"/>
          <w:rtl/>
        </w:rPr>
        <w:t>ו</w:t>
      </w:r>
      <w:r>
        <w:rPr>
          <w:rFonts w:hint="cs"/>
          <w:sz w:val="22"/>
          <w:szCs w:val="22"/>
          <w:rtl/>
        </w:rPr>
        <w:t xml:space="preserve">ציר מרכזי בה הוא עיגונה של הדמוקרטיה הליברלית </w:t>
      </w:r>
      <w:r>
        <w:rPr>
          <w:sz w:val="22"/>
          <w:szCs w:val="22"/>
          <w:rtl/>
        </w:rPr>
        <w:t>–</w:t>
      </w:r>
      <w:r>
        <w:rPr>
          <w:rFonts w:hint="cs"/>
          <w:sz w:val="22"/>
          <w:szCs w:val="22"/>
          <w:rtl/>
        </w:rPr>
        <w:t xml:space="preserve"> על ערכי היסוד שלה (זכויות אדם וזכויות מיעוט) </w:t>
      </w:r>
      <w:r>
        <w:rPr>
          <w:sz w:val="22"/>
          <w:szCs w:val="22"/>
          <w:rtl/>
        </w:rPr>
        <w:t>–</w:t>
      </w:r>
      <w:r>
        <w:rPr>
          <w:rFonts w:hint="cs"/>
          <w:sz w:val="22"/>
          <w:szCs w:val="22"/>
          <w:rtl/>
        </w:rPr>
        <w:t xml:space="preserve"> במבנה פורמאלי המכיל הגנה מפני עקרון הרוב. מבנה זה הוא בדמות "</w:t>
      </w:r>
      <w:r w:rsidRPr="00720EDF">
        <w:rPr>
          <w:rFonts w:hint="cs"/>
          <w:sz w:val="22"/>
          <w:szCs w:val="22"/>
          <w:rtl/>
        </w:rPr>
        <w:t>חוקה פורמאלית</w:t>
      </w:r>
      <w:r>
        <w:rPr>
          <w:rFonts w:hint="cs"/>
          <w:sz w:val="22"/>
          <w:szCs w:val="22"/>
          <w:rtl/>
        </w:rPr>
        <w:t>"</w:t>
      </w:r>
      <w:r w:rsidRPr="00720EDF">
        <w:rPr>
          <w:rFonts w:hint="cs"/>
          <w:sz w:val="22"/>
          <w:szCs w:val="22"/>
          <w:rtl/>
        </w:rPr>
        <w:t xml:space="preserve">. </w:t>
      </w:r>
    </w:p>
    <w:p w:rsidR="005366A8" w:rsidRDefault="005366A8" w:rsidP="005366A8">
      <w:pPr>
        <w:pStyle w:val="T-body"/>
        <w:spacing w:line="240" w:lineRule="auto"/>
        <w:rPr>
          <w:sz w:val="22"/>
          <w:szCs w:val="22"/>
          <w:rtl/>
        </w:rPr>
      </w:pPr>
      <w:r w:rsidRPr="00720EDF">
        <w:rPr>
          <w:rFonts w:hint="cs"/>
          <w:sz w:val="22"/>
          <w:szCs w:val="22"/>
          <w:rtl/>
        </w:rPr>
        <w:t xml:space="preserve">תיאוריה זו מכבדת כמובן את </w:t>
      </w:r>
      <w:r>
        <w:rPr>
          <w:rFonts w:hint="cs"/>
          <w:sz w:val="22"/>
          <w:szCs w:val="22"/>
          <w:rtl/>
        </w:rPr>
        <w:t>"</w:t>
      </w:r>
      <w:r w:rsidRPr="00720EDF">
        <w:rPr>
          <w:rFonts w:hint="cs"/>
          <w:sz w:val="22"/>
          <w:szCs w:val="22"/>
          <w:rtl/>
        </w:rPr>
        <w:t>עקרון הרוב</w:t>
      </w:r>
      <w:r>
        <w:rPr>
          <w:rFonts w:hint="cs"/>
          <w:sz w:val="22"/>
          <w:szCs w:val="22"/>
          <w:rtl/>
        </w:rPr>
        <w:t>"</w:t>
      </w:r>
      <w:r w:rsidRPr="00720EDF">
        <w:rPr>
          <w:rFonts w:hint="cs"/>
          <w:sz w:val="22"/>
          <w:szCs w:val="22"/>
          <w:rtl/>
        </w:rPr>
        <w:t xml:space="preserve"> (שהוא נגזרת של </w:t>
      </w:r>
      <w:r>
        <w:rPr>
          <w:rFonts w:hint="cs"/>
          <w:sz w:val="22"/>
          <w:szCs w:val="22"/>
          <w:rtl/>
        </w:rPr>
        <w:t>"</w:t>
      </w:r>
      <w:r w:rsidRPr="00720EDF">
        <w:rPr>
          <w:rFonts w:hint="cs"/>
          <w:sz w:val="22"/>
          <w:szCs w:val="22"/>
          <w:rtl/>
        </w:rPr>
        <w:t>האוטונומיה האנושית</w:t>
      </w:r>
      <w:r>
        <w:rPr>
          <w:rFonts w:hint="cs"/>
          <w:sz w:val="22"/>
          <w:szCs w:val="22"/>
          <w:rtl/>
        </w:rPr>
        <w:t>"</w:t>
      </w:r>
      <w:r w:rsidRPr="00720EDF">
        <w:rPr>
          <w:rFonts w:hint="cs"/>
          <w:sz w:val="22"/>
          <w:szCs w:val="22"/>
          <w:rtl/>
        </w:rPr>
        <w:t xml:space="preserve"> </w:t>
      </w:r>
      <w:r w:rsidRPr="00720EDF">
        <w:rPr>
          <w:sz w:val="22"/>
          <w:szCs w:val="22"/>
          <w:rtl/>
        </w:rPr>
        <w:t>–</w:t>
      </w:r>
      <w:r w:rsidRPr="00720EDF">
        <w:rPr>
          <w:rFonts w:hint="cs"/>
          <w:sz w:val="22"/>
          <w:szCs w:val="22"/>
          <w:rtl/>
        </w:rPr>
        <w:t xml:space="preserve"> היותנו בני-חורין השווים בערכם), אך היא מציבה ל</w:t>
      </w:r>
      <w:r>
        <w:rPr>
          <w:rFonts w:hint="cs"/>
          <w:sz w:val="22"/>
          <w:szCs w:val="22"/>
          <w:rtl/>
        </w:rPr>
        <w:t>עיקרון זה</w:t>
      </w:r>
      <w:r w:rsidRPr="00720EDF">
        <w:rPr>
          <w:rFonts w:hint="cs"/>
          <w:sz w:val="22"/>
          <w:szCs w:val="22"/>
          <w:rtl/>
        </w:rPr>
        <w:t xml:space="preserve"> </w:t>
      </w:r>
      <w:r>
        <w:rPr>
          <w:rFonts w:hint="cs"/>
          <w:sz w:val="22"/>
          <w:szCs w:val="22"/>
          <w:rtl/>
        </w:rPr>
        <w:t>מגבלות/</w:t>
      </w:r>
      <w:r w:rsidRPr="00720EDF">
        <w:rPr>
          <w:rFonts w:hint="cs"/>
          <w:sz w:val="22"/>
          <w:szCs w:val="22"/>
          <w:rtl/>
        </w:rPr>
        <w:t xml:space="preserve">סייגים </w:t>
      </w:r>
      <w:r>
        <w:rPr>
          <w:rFonts w:hint="cs"/>
          <w:sz w:val="22"/>
          <w:szCs w:val="22"/>
          <w:rtl/>
        </w:rPr>
        <w:t xml:space="preserve">מסוימים, בדיוק </w:t>
      </w:r>
      <w:r w:rsidRPr="00720EDF">
        <w:rPr>
          <w:rFonts w:hint="cs"/>
          <w:sz w:val="22"/>
          <w:szCs w:val="22"/>
          <w:rtl/>
        </w:rPr>
        <w:t xml:space="preserve">בשל נקודת המוצא </w:t>
      </w:r>
      <w:r>
        <w:rPr>
          <w:rFonts w:hint="cs"/>
          <w:sz w:val="22"/>
          <w:szCs w:val="22"/>
          <w:rtl/>
        </w:rPr>
        <w:t xml:space="preserve">של </w:t>
      </w:r>
      <w:r w:rsidRPr="00720EDF">
        <w:rPr>
          <w:rFonts w:hint="cs"/>
          <w:sz w:val="22"/>
          <w:szCs w:val="22"/>
          <w:rtl/>
        </w:rPr>
        <w:t>האוטונומיה האנושית</w:t>
      </w:r>
      <w:r>
        <w:rPr>
          <w:rFonts w:hint="cs"/>
          <w:sz w:val="22"/>
          <w:szCs w:val="22"/>
          <w:rtl/>
        </w:rPr>
        <w:t xml:space="preserve"> (היותנו בני-חורין ושווים, באופן בסיסי)</w:t>
      </w:r>
      <w:r w:rsidRPr="00720EDF">
        <w:rPr>
          <w:rFonts w:hint="cs"/>
          <w:sz w:val="22"/>
          <w:szCs w:val="22"/>
          <w:rtl/>
        </w:rPr>
        <w:t xml:space="preserve">. </w:t>
      </w:r>
    </w:p>
    <w:p w:rsidR="005366A8" w:rsidRDefault="005366A8" w:rsidP="005366A8">
      <w:pPr>
        <w:pStyle w:val="T-body"/>
        <w:spacing w:line="240" w:lineRule="auto"/>
        <w:rPr>
          <w:sz w:val="22"/>
          <w:szCs w:val="22"/>
          <w:rtl/>
        </w:rPr>
      </w:pPr>
      <w:r>
        <w:rPr>
          <w:rFonts w:hint="cs"/>
          <w:sz w:val="22"/>
          <w:szCs w:val="22"/>
          <w:rtl/>
        </w:rPr>
        <w:t>ה</w:t>
      </w:r>
      <w:r w:rsidRPr="00720EDF">
        <w:rPr>
          <w:rFonts w:hint="cs"/>
          <w:sz w:val="22"/>
          <w:szCs w:val="22"/>
          <w:rtl/>
        </w:rPr>
        <w:t xml:space="preserve">סייגים </w:t>
      </w:r>
      <w:r>
        <w:rPr>
          <w:rFonts w:hint="cs"/>
          <w:sz w:val="22"/>
          <w:szCs w:val="22"/>
          <w:rtl/>
        </w:rPr>
        <w:t>נוגעים ל</w:t>
      </w:r>
      <w:r w:rsidRPr="00720EDF">
        <w:rPr>
          <w:rFonts w:hint="cs"/>
          <w:sz w:val="22"/>
          <w:szCs w:val="22"/>
          <w:rtl/>
        </w:rPr>
        <w:t>הגנה על זכויות אדם ומיעוט</w:t>
      </w:r>
      <w:r>
        <w:rPr>
          <w:rFonts w:hint="cs"/>
          <w:sz w:val="22"/>
          <w:szCs w:val="22"/>
          <w:rtl/>
        </w:rPr>
        <w:t xml:space="preserve">, ולהגנה </w:t>
      </w:r>
      <w:r w:rsidRPr="00720EDF">
        <w:rPr>
          <w:rFonts w:hint="cs"/>
          <w:sz w:val="22"/>
          <w:szCs w:val="22"/>
          <w:rtl/>
        </w:rPr>
        <w:t xml:space="preserve">על מוסדות </w:t>
      </w:r>
      <w:r>
        <w:rPr>
          <w:rFonts w:hint="cs"/>
          <w:sz w:val="22"/>
          <w:szCs w:val="22"/>
          <w:rtl/>
        </w:rPr>
        <w:t xml:space="preserve">שונים וביניהם מוסדות בקרה, ועל </w:t>
      </w:r>
      <w:r w:rsidRPr="00720EDF">
        <w:rPr>
          <w:rFonts w:hint="cs"/>
          <w:sz w:val="22"/>
          <w:szCs w:val="22"/>
          <w:rtl/>
        </w:rPr>
        <w:t xml:space="preserve">כללי משחק מרכזיים. </w:t>
      </w:r>
    </w:p>
    <w:p w:rsidR="005366A8" w:rsidRDefault="005366A8" w:rsidP="005366A8">
      <w:pPr>
        <w:pStyle w:val="T-body"/>
        <w:spacing w:after="60" w:line="240" w:lineRule="auto"/>
        <w:rPr>
          <w:sz w:val="22"/>
          <w:szCs w:val="22"/>
          <w:rtl/>
        </w:rPr>
      </w:pPr>
      <w:r w:rsidRPr="00720EDF">
        <w:rPr>
          <w:rFonts w:hint="cs"/>
          <w:sz w:val="22"/>
          <w:szCs w:val="22"/>
          <w:rtl/>
        </w:rPr>
        <w:t xml:space="preserve">מנגנון ההגנה המרכזי </w:t>
      </w:r>
      <w:r>
        <w:rPr>
          <w:rFonts w:hint="cs"/>
          <w:sz w:val="22"/>
          <w:szCs w:val="22"/>
          <w:rtl/>
        </w:rPr>
        <w:t xml:space="preserve">שהחוקתיות מאמצת </w:t>
      </w:r>
      <w:r w:rsidRPr="00720EDF">
        <w:rPr>
          <w:rFonts w:hint="cs"/>
          <w:sz w:val="22"/>
          <w:szCs w:val="22"/>
          <w:rtl/>
        </w:rPr>
        <w:t>הוא</w:t>
      </w:r>
      <w:r>
        <w:rPr>
          <w:rFonts w:hint="cs"/>
          <w:sz w:val="22"/>
          <w:szCs w:val="22"/>
          <w:rtl/>
        </w:rPr>
        <w:t>, כאמור</w:t>
      </w:r>
      <w:r w:rsidRPr="00720EDF">
        <w:rPr>
          <w:rFonts w:hint="cs"/>
          <w:sz w:val="22"/>
          <w:szCs w:val="22"/>
          <w:rtl/>
        </w:rPr>
        <w:t xml:space="preserve">, </w:t>
      </w:r>
      <w:r w:rsidRPr="00720EDF">
        <w:rPr>
          <w:rFonts w:hint="cs"/>
          <w:b/>
          <w:bCs/>
          <w:sz w:val="22"/>
          <w:szCs w:val="22"/>
          <w:u w:val="single"/>
          <w:rtl/>
        </w:rPr>
        <w:t>החוקה הפורמאלית</w:t>
      </w:r>
      <w:r w:rsidRPr="00720EDF">
        <w:rPr>
          <w:rFonts w:hint="cs"/>
          <w:sz w:val="22"/>
          <w:szCs w:val="22"/>
          <w:rtl/>
        </w:rPr>
        <w:t xml:space="preserve">.  </w:t>
      </w:r>
    </w:p>
    <w:p w:rsidR="005366A8" w:rsidRPr="00720EDF" w:rsidRDefault="005366A8" w:rsidP="005366A8">
      <w:pPr>
        <w:pStyle w:val="T-body"/>
        <w:spacing w:after="60" w:line="240" w:lineRule="auto"/>
        <w:rPr>
          <w:sz w:val="22"/>
          <w:szCs w:val="22"/>
          <w:rtl/>
        </w:rPr>
      </w:pPr>
      <w:r w:rsidRPr="00720EDF">
        <w:rPr>
          <w:rFonts w:hint="cs"/>
          <w:sz w:val="22"/>
          <w:szCs w:val="22"/>
          <w:rtl/>
        </w:rPr>
        <w:t xml:space="preserve">זו מוציאה את ההסדרים החברתיים הנזכרים (זכויות אדם, כללי המשחק </w:t>
      </w:r>
      <w:r>
        <w:rPr>
          <w:rFonts w:hint="cs"/>
          <w:sz w:val="22"/>
          <w:szCs w:val="22"/>
          <w:rtl/>
        </w:rPr>
        <w:t>של השיטה הדמוקרטית</w:t>
      </w:r>
      <w:r w:rsidRPr="00720EDF">
        <w:rPr>
          <w:rFonts w:hint="cs"/>
          <w:sz w:val="22"/>
          <w:szCs w:val="22"/>
          <w:rtl/>
        </w:rPr>
        <w:t xml:space="preserve">) </w:t>
      </w:r>
      <w:r w:rsidRPr="00720EDF">
        <w:rPr>
          <w:sz w:val="22"/>
          <w:szCs w:val="22"/>
          <w:rtl/>
        </w:rPr>
        <w:t>מ</w:t>
      </w:r>
      <w:r w:rsidRPr="00720EDF">
        <w:rPr>
          <w:rFonts w:hint="cs"/>
          <w:sz w:val="22"/>
          <w:szCs w:val="22"/>
          <w:rtl/>
        </w:rPr>
        <w:t xml:space="preserve">תוך </w:t>
      </w:r>
      <w:r w:rsidRPr="00720EDF">
        <w:rPr>
          <w:sz w:val="22"/>
          <w:szCs w:val="22"/>
          <w:rtl/>
        </w:rPr>
        <w:t>תחום השליטה/ההסדרה של מנגנון ההחלטות הרגיל של יוצרי החוקים</w:t>
      </w:r>
      <w:r w:rsidRPr="00720EDF">
        <w:rPr>
          <w:rFonts w:hint="cs"/>
          <w:sz w:val="22"/>
          <w:szCs w:val="22"/>
          <w:rtl/>
        </w:rPr>
        <w:t xml:space="preserve"> (</w:t>
      </w:r>
      <w:r>
        <w:rPr>
          <w:rFonts w:hint="cs"/>
          <w:sz w:val="22"/>
          <w:szCs w:val="22"/>
          <w:rtl/>
        </w:rPr>
        <w:t>"</w:t>
      </w:r>
      <w:r w:rsidRPr="00720EDF">
        <w:rPr>
          <w:rFonts w:hint="cs"/>
          <w:sz w:val="22"/>
          <w:szCs w:val="22"/>
          <w:rtl/>
        </w:rPr>
        <w:t>עקרון הרוב</w:t>
      </w:r>
      <w:r>
        <w:rPr>
          <w:rFonts w:hint="cs"/>
          <w:sz w:val="22"/>
          <w:szCs w:val="22"/>
          <w:rtl/>
        </w:rPr>
        <w:t>"</w:t>
      </w:r>
      <w:r w:rsidRPr="00720EDF">
        <w:rPr>
          <w:rFonts w:hint="cs"/>
          <w:sz w:val="22"/>
          <w:szCs w:val="22"/>
          <w:rtl/>
        </w:rPr>
        <w:t>). היא עושה כן באמצעות כינון</w:t>
      </w:r>
      <w:r w:rsidRPr="00720EDF">
        <w:rPr>
          <w:sz w:val="22"/>
          <w:szCs w:val="22"/>
          <w:rtl/>
        </w:rPr>
        <w:t xml:space="preserve"> </w:t>
      </w:r>
      <w:r w:rsidRPr="007E47EB">
        <w:rPr>
          <w:b/>
          <w:bCs/>
          <w:sz w:val="22"/>
          <w:szCs w:val="22"/>
          <w:rtl/>
        </w:rPr>
        <w:t>"מדרג נורמטיבי"</w:t>
      </w:r>
      <w:r w:rsidRPr="00720EDF">
        <w:rPr>
          <w:sz w:val="22"/>
          <w:szCs w:val="22"/>
          <w:rtl/>
        </w:rPr>
        <w:t xml:space="preserve">: </w:t>
      </w:r>
      <w:r>
        <w:rPr>
          <w:rFonts w:hint="cs"/>
          <w:sz w:val="22"/>
          <w:szCs w:val="22"/>
          <w:rtl/>
        </w:rPr>
        <w:t xml:space="preserve">משמע, </w:t>
      </w:r>
      <w:r w:rsidRPr="00720EDF">
        <w:rPr>
          <w:sz w:val="22"/>
          <w:szCs w:val="22"/>
          <w:rtl/>
        </w:rPr>
        <w:t>הגבלה אפקטיבית על כוח החקיקה של המחוקק</w:t>
      </w:r>
      <w:r w:rsidRPr="00720EDF">
        <w:rPr>
          <w:rFonts w:hint="cs"/>
          <w:sz w:val="22"/>
          <w:szCs w:val="22"/>
          <w:rtl/>
        </w:rPr>
        <w:t xml:space="preserve"> (המייצג את כוח הרוב) ביחס לאותם הסדרים המעוגנים בדרגה נורמטיבית גבוהה יותר מהחקיקה</w:t>
      </w:r>
      <w:r w:rsidRPr="00720EDF">
        <w:rPr>
          <w:sz w:val="22"/>
          <w:szCs w:val="22"/>
          <w:rtl/>
        </w:rPr>
        <w:t xml:space="preserve">.  </w:t>
      </w:r>
      <w:r w:rsidRPr="00720EDF">
        <w:rPr>
          <w:rFonts w:hint="cs"/>
          <w:sz w:val="22"/>
          <w:szCs w:val="22"/>
          <w:rtl/>
        </w:rPr>
        <w:t>יתר על כן, ומכוח אותו רציונאל</w:t>
      </w:r>
      <w:r>
        <w:rPr>
          <w:rFonts w:hint="cs"/>
          <w:sz w:val="22"/>
          <w:szCs w:val="22"/>
          <w:rtl/>
        </w:rPr>
        <w:t>/ אותו היגיון</w:t>
      </w:r>
      <w:r w:rsidRPr="00720EDF">
        <w:rPr>
          <w:rFonts w:hint="cs"/>
          <w:sz w:val="22"/>
          <w:szCs w:val="22"/>
          <w:rtl/>
        </w:rPr>
        <w:t xml:space="preserve">, החוקה תכופות </w:t>
      </w:r>
      <w:r w:rsidRPr="007E47EB">
        <w:rPr>
          <w:rFonts w:hint="cs"/>
          <w:b/>
          <w:bCs/>
          <w:sz w:val="22"/>
          <w:szCs w:val="22"/>
          <w:rtl/>
        </w:rPr>
        <w:t>מגוננת על עצמה מפני תיקונה/ שינויה</w:t>
      </w:r>
      <w:r w:rsidRPr="00720EDF">
        <w:rPr>
          <w:rFonts w:hint="cs"/>
          <w:sz w:val="22"/>
          <w:szCs w:val="22"/>
          <w:rtl/>
        </w:rPr>
        <w:t>.</w:t>
      </w:r>
      <w:r w:rsidRPr="00720EDF">
        <w:rPr>
          <w:sz w:val="22"/>
          <w:szCs w:val="22"/>
          <w:rtl/>
        </w:rPr>
        <w:t xml:space="preserve"> </w:t>
      </w:r>
      <w:r>
        <w:rPr>
          <w:rFonts w:hint="cs"/>
          <w:sz w:val="22"/>
          <w:szCs w:val="22"/>
          <w:rtl/>
        </w:rPr>
        <w:t>נבהיר:</w:t>
      </w:r>
    </w:p>
    <w:p w:rsidR="005366A8" w:rsidRPr="00720EDF" w:rsidRDefault="005366A8" w:rsidP="005366A8">
      <w:pPr>
        <w:pStyle w:val="T-body"/>
        <w:spacing w:after="60" w:line="240" w:lineRule="auto"/>
        <w:ind w:left="1440" w:hanging="720"/>
        <w:rPr>
          <w:sz w:val="22"/>
          <w:szCs w:val="22"/>
          <w:rtl/>
        </w:rPr>
      </w:pPr>
      <w:r w:rsidRPr="00720EDF">
        <w:rPr>
          <w:b/>
          <w:bCs/>
          <w:sz w:val="22"/>
          <w:szCs w:val="22"/>
          <w:u w:val="single"/>
          <w:rtl/>
        </w:rPr>
        <w:t>"עליונות"</w:t>
      </w:r>
      <w:r w:rsidRPr="00CC4CE3">
        <w:rPr>
          <w:rFonts w:hint="cs"/>
          <w:sz w:val="22"/>
          <w:szCs w:val="22"/>
          <w:rtl/>
        </w:rPr>
        <w:t>:</w:t>
      </w:r>
      <w:r w:rsidRPr="00720EDF">
        <w:rPr>
          <w:rFonts w:hint="cs"/>
          <w:sz w:val="22"/>
          <w:szCs w:val="22"/>
          <w:rtl/>
        </w:rPr>
        <w:t xml:space="preserve"> </w:t>
      </w:r>
      <w:r w:rsidRPr="00CC4CE3">
        <w:rPr>
          <w:sz w:val="22"/>
          <w:szCs w:val="22"/>
          <w:highlight w:val="yellow"/>
          <w:rtl/>
        </w:rPr>
        <w:t>לחוקה מעמד על-חוקי.</w:t>
      </w:r>
      <w:r w:rsidRPr="00CC4CE3">
        <w:rPr>
          <w:rFonts w:hint="cs"/>
          <w:sz w:val="22"/>
          <w:szCs w:val="22"/>
          <w:highlight w:val="yellow"/>
          <w:rtl/>
        </w:rPr>
        <w:t xml:space="preserve"> </w:t>
      </w:r>
      <w:r w:rsidRPr="00CC4CE3">
        <w:rPr>
          <w:sz w:val="22"/>
          <w:szCs w:val="22"/>
          <w:highlight w:val="yellow"/>
          <w:rtl/>
        </w:rPr>
        <w:t>היא עומדת מעל לחקיקה הרגילה</w:t>
      </w:r>
      <w:r w:rsidRPr="00CC4CE3">
        <w:rPr>
          <w:rFonts w:hint="cs"/>
          <w:sz w:val="22"/>
          <w:szCs w:val="22"/>
          <w:highlight w:val="yellow"/>
          <w:rtl/>
        </w:rPr>
        <w:t xml:space="preserve"> בפירמידה</w:t>
      </w:r>
      <w:r w:rsidRPr="00CC4CE3">
        <w:rPr>
          <w:sz w:val="22"/>
          <w:szCs w:val="22"/>
          <w:highlight w:val="yellow"/>
          <w:rtl/>
        </w:rPr>
        <w:t xml:space="preserve">. </w:t>
      </w:r>
      <w:r w:rsidRPr="00CC4CE3">
        <w:rPr>
          <w:rFonts w:hint="cs"/>
          <w:i/>
          <w:iCs/>
          <w:sz w:val="22"/>
          <w:szCs w:val="22"/>
          <w:highlight w:val="yellow"/>
          <w:rtl/>
        </w:rPr>
        <w:t>זו ההגנה הבסיסית/ המהותית של חוקה מפני חוק המבקש לשנותה.</w:t>
      </w:r>
      <w:r w:rsidRPr="00720EDF">
        <w:rPr>
          <w:sz w:val="22"/>
          <w:szCs w:val="22"/>
          <w:rtl/>
        </w:rPr>
        <w:t xml:space="preserve"> </w:t>
      </w:r>
    </w:p>
    <w:p w:rsidR="005366A8" w:rsidRDefault="005366A8" w:rsidP="005366A8">
      <w:pPr>
        <w:pStyle w:val="T-body"/>
        <w:spacing w:after="60" w:line="240" w:lineRule="auto"/>
        <w:ind w:left="1440" w:hanging="720"/>
        <w:rPr>
          <w:sz w:val="22"/>
          <w:szCs w:val="22"/>
          <w:rtl/>
        </w:rPr>
      </w:pPr>
      <w:r w:rsidRPr="00720EDF">
        <w:rPr>
          <w:b/>
          <w:bCs/>
          <w:sz w:val="22"/>
          <w:szCs w:val="22"/>
          <w:u w:val="single"/>
          <w:rtl/>
        </w:rPr>
        <w:t>"נוקשות"</w:t>
      </w:r>
      <w:r w:rsidRPr="00720EDF">
        <w:rPr>
          <w:sz w:val="22"/>
          <w:szCs w:val="22"/>
          <w:rtl/>
        </w:rPr>
        <w:t xml:space="preserve"> –</w:t>
      </w:r>
      <w:r w:rsidRPr="00720EDF">
        <w:rPr>
          <w:rFonts w:hint="cs"/>
          <w:sz w:val="22"/>
          <w:szCs w:val="22"/>
          <w:rtl/>
        </w:rPr>
        <w:t xml:space="preserve"> המופיעה </w:t>
      </w:r>
      <w:r>
        <w:rPr>
          <w:rFonts w:hint="cs"/>
          <w:sz w:val="22"/>
          <w:szCs w:val="22"/>
          <w:rtl/>
        </w:rPr>
        <w:t>ברוב החוקות הקיימות</w:t>
      </w:r>
      <w:r w:rsidRPr="00720EDF">
        <w:rPr>
          <w:rFonts w:hint="cs"/>
          <w:sz w:val="22"/>
          <w:szCs w:val="22"/>
          <w:rtl/>
        </w:rPr>
        <w:t xml:space="preserve"> </w:t>
      </w:r>
      <w:r w:rsidRPr="00720EDF">
        <w:rPr>
          <w:sz w:val="22"/>
          <w:szCs w:val="22"/>
          <w:rtl/>
        </w:rPr>
        <w:t>–</w:t>
      </w:r>
      <w:r w:rsidRPr="00720EDF">
        <w:rPr>
          <w:rFonts w:hint="cs"/>
          <w:sz w:val="22"/>
          <w:szCs w:val="22"/>
          <w:rtl/>
        </w:rPr>
        <w:t xml:space="preserve"> </w:t>
      </w:r>
      <w:r w:rsidRPr="00720EDF">
        <w:rPr>
          <w:sz w:val="22"/>
          <w:szCs w:val="22"/>
          <w:rtl/>
        </w:rPr>
        <w:t xml:space="preserve">משמעה, כי </w:t>
      </w:r>
      <w:r w:rsidRPr="008D567B">
        <w:rPr>
          <w:sz w:val="22"/>
          <w:szCs w:val="22"/>
          <w:highlight w:val="yellow"/>
          <w:rtl/>
        </w:rPr>
        <w:t>לצורך שינוי החוקה נדרש</w:t>
      </w:r>
      <w:r w:rsidRPr="008D567B">
        <w:rPr>
          <w:rFonts w:hint="cs"/>
          <w:sz w:val="22"/>
          <w:szCs w:val="22"/>
          <w:highlight w:val="yellow"/>
          <w:rtl/>
        </w:rPr>
        <w:t>ת פרוצדורה מיוחדת,</w:t>
      </w:r>
      <w:r w:rsidRPr="008D567B">
        <w:rPr>
          <w:sz w:val="22"/>
          <w:szCs w:val="22"/>
          <w:highlight w:val="yellow"/>
          <w:rtl/>
        </w:rPr>
        <w:t xml:space="preserve"> שונה</w:t>
      </w:r>
      <w:r w:rsidRPr="008D567B">
        <w:rPr>
          <w:rFonts w:hint="cs"/>
          <w:sz w:val="22"/>
          <w:szCs w:val="22"/>
          <w:highlight w:val="yellow"/>
          <w:rtl/>
        </w:rPr>
        <w:t>/ מכבידה יותר,</w:t>
      </w:r>
      <w:r w:rsidRPr="008D567B">
        <w:rPr>
          <w:sz w:val="22"/>
          <w:szCs w:val="22"/>
          <w:highlight w:val="yellow"/>
          <w:rtl/>
        </w:rPr>
        <w:t xml:space="preserve"> </w:t>
      </w:r>
      <w:r w:rsidRPr="008D567B">
        <w:rPr>
          <w:rFonts w:hint="cs"/>
          <w:sz w:val="22"/>
          <w:szCs w:val="22"/>
          <w:highlight w:val="yellow"/>
          <w:rtl/>
        </w:rPr>
        <w:t xml:space="preserve">מזו הנהוגה כלפי </w:t>
      </w:r>
      <w:r w:rsidRPr="008D567B">
        <w:rPr>
          <w:sz w:val="22"/>
          <w:szCs w:val="22"/>
          <w:highlight w:val="yellow"/>
          <w:rtl/>
        </w:rPr>
        <w:t>חקיקה רגילה</w:t>
      </w:r>
      <w:r>
        <w:rPr>
          <w:rFonts w:hint="cs"/>
          <w:sz w:val="22"/>
          <w:szCs w:val="22"/>
          <w:highlight w:val="yellow"/>
          <w:rtl/>
        </w:rPr>
        <w:t xml:space="preserve"> (למשל, חקיקה מתקבלת בשלוש קריאות וברוב, רוב רגיל; שינוי חוקה יחייב רוב מיוחד, מוגבר, ואולי פרוצדורה מיוחדת, ואולי הסכמה/שיתוף של מוסדות נוספים)</w:t>
      </w:r>
      <w:r w:rsidRPr="008D567B">
        <w:rPr>
          <w:sz w:val="22"/>
          <w:szCs w:val="22"/>
          <w:highlight w:val="yellow"/>
          <w:rtl/>
        </w:rPr>
        <w:t>.</w:t>
      </w:r>
    </w:p>
    <w:p w:rsidR="005366A8" w:rsidRPr="00720EDF" w:rsidRDefault="005366A8" w:rsidP="005366A8">
      <w:pPr>
        <w:pStyle w:val="T-body"/>
        <w:spacing w:after="120" w:line="240" w:lineRule="auto"/>
        <w:rPr>
          <w:sz w:val="22"/>
          <w:szCs w:val="22"/>
          <w:rtl/>
        </w:rPr>
      </w:pPr>
      <w:r>
        <w:rPr>
          <w:rFonts w:hint="cs"/>
          <w:sz w:val="22"/>
          <w:szCs w:val="22"/>
          <w:rtl/>
        </w:rPr>
        <w:t xml:space="preserve">בעשותה את כל אלה, חוקה עושה פעולה נוספת: היא מוסיפה כוח לגורם הבקרה המפקח על שמירת הסייגים הנזכרים </w:t>
      </w:r>
      <w:r>
        <w:rPr>
          <w:sz w:val="22"/>
          <w:szCs w:val="22"/>
          <w:rtl/>
        </w:rPr>
        <w:t>–</w:t>
      </w:r>
      <w:r>
        <w:rPr>
          <w:rFonts w:hint="cs"/>
          <w:sz w:val="22"/>
          <w:szCs w:val="22"/>
          <w:rtl/>
        </w:rPr>
        <w:t xml:space="preserve"> </w:t>
      </w:r>
      <w:r w:rsidRPr="007E47EB">
        <w:rPr>
          <w:rFonts w:hint="cs"/>
          <w:b/>
          <w:bCs/>
          <w:sz w:val="22"/>
          <w:szCs w:val="22"/>
          <w:rtl/>
        </w:rPr>
        <w:t>הרשות השופטת</w:t>
      </w:r>
      <w:r>
        <w:rPr>
          <w:rFonts w:hint="cs"/>
          <w:sz w:val="22"/>
          <w:szCs w:val="22"/>
          <w:rtl/>
        </w:rPr>
        <w:t>.</w:t>
      </w:r>
    </w:p>
    <w:p w:rsidR="005366A8" w:rsidRDefault="005366A8" w:rsidP="005366A8">
      <w:pPr>
        <w:pStyle w:val="T-body"/>
        <w:spacing w:after="60" w:line="240" w:lineRule="auto"/>
        <w:rPr>
          <w:sz w:val="22"/>
          <w:szCs w:val="22"/>
          <w:rtl/>
        </w:rPr>
      </w:pPr>
      <w:r w:rsidRPr="00720EDF">
        <w:rPr>
          <w:rFonts w:hint="cs"/>
          <w:b/>
          <w:bCs/>
          <w:sz w:val="22"/>
          <w:szCs w:val="22"/>
          <w:u w:val="single"/>
          <w:rtl/>
        </w:rPr>
        <w:t xml:space="preserve">ב. </w:t>
      </w:r>
      <w:r w:rsidRPr="00720EDF">
        <w:rPr>
          <w:b/>
          <w:bCs/>
          <w:sz w:val="22"/>
          <w:szCs w:val="22"/>
          <w:u w:val="single"/>
          <w:rtl/>
        </w:rPr>
        <w:t>נוקשות</w:t>
      </w:r>
      <w:r>
        <w:rPr>
          <w:rFonts w:hint="cs"/>
          <w:b/>
          <w:bCs/>
          <w:sz w:val="22"/>
          <w:szCs w:val="22"/>
          <w:u w:val="single"/>
          <w:rtl/>
        </w:rPr>
        <w:t>/שריון</w:t>
      </w:r>
      <w:r w:rsidRPr="00720EDF">
        <w:rPr>
          <w:b/>
          <w:bCs/>
          <w:sz w:val="22"/>
          <w:szCs w:val="22"/>
          <w:u w:val="single"/>
          <w:rtl/>
        </w:rPr>
        <w:t xml:space="preserve"> כסוג של "כבילה עצמית"</w:t>
      </w:r>
      <w:r w:rsidRPr="00720EDF">
        <w:rPr>
          <w:sz w:val="22"/>
          <w:szCs w:val="22"/>
          <w:rtl/>
        </w:rPr>
        <w:t xml:space="preserve">: </w:t>
      </w:r>
    </w:p>
    <w:p w:rsidR="005366A8" w:rsidRPr="00720EDF" w:rsidRDefault="005366A8" w:rsidP="005366A8">
      <w:pPr>
        <w:pStyle w:val="T-body"/>
        <w:spacing w:line="240" w:lineRule="auto"/>
        <w:rPr>
          <w:sz w:val="22"/>
          <w:szCs w:val="22"/>
          <w:rtl/>
        </w:rPr>
      </w:pPr>
      <w:r w:rsidRPr="00720EDF">
        <w:rPr>
          <w:rFonts w:hint="cs"/>
          <w:sz w:val="22"/>
          <w:szCs w:val="22"/>
          <w:rtl/>
        </w:rPr>
        <w:t xml:space="preserve">הרשות </w:t>
      </w:r>
      <w:r>
        <w:rPr>
          <w:rFonts w:hint="cs"/>
          <w:sz w:val="22"/>
          <w:szCs w:val="22"/>
          <w:rtl/>
        </w:rPr>
        <w:t xml:space="preserve">המכוננת </w:t>
      </w:r>
      <w:r w:rsidRPr="00720EDF">
        <w:rPr>
          <w:rFonts w:hint="cs"/>
          <w:sz w:val="22"/>
          <w:szCs w:val="22"/>
          <w:rtl/>
        </w:rPr>
        <w:t xml:space="preserve">מבקשת לכבול את ידיה שלה עצמה מפני שינויים מסוימים בעתיד. </w:t>
      </w:r>
      <w:r w:rsidRPr="00720EDF">
        <w:rPr>
          <w:sz w:val="22"/>
          <w:szCs w:val="22"/>
          <w:rtl/>
        </w:rPr>
        <w:t xml:space="preserve">בהקשר החוקתי מדובר על המשוכות </w:t>
      </w:r>
      <w:r w:rsidRPr="00720EDF">
        <w:rPr>
          <w:rFonts w:hint="cs"/>
          <w:sz w:val="22"/>
          <w:szCs w:val="22"/>
          <w:rtl/>
        </w:rPr>
        <w:t>שחוקה עשויה להציב בפני שינויה/ תיקונה שלה</w:t>
      </w:r>
      <w:r w:rsidRPr="00720EDF">
        <w:rPr>
          <w:sz w:val="22"/>
          <w:szCs w:val="22"/>
          <w:rtl/>
        </w:rPr>
        <w:t xml:space="preserve">; זאת בדרך כלל בדרך של </w:t>
      </w:r>
      <w:r w:rsidRPr="00720EDF">
        <w:rPr>
          <w:b/>
          <w:bCs/>
          <w:sz w:val="22"/>
          <w:szCs w:val="22"/>
          <w:rtl/>
        </w:rPr>
        <w:t>דרישות צורניות ביחס להליך קבלת הנורמה המתקנת</w:t>
      </w:r>
      <w:r w:rsidRPr="00720EDF">
        <w:rPr>
          <w:sz w:val="22"/>
          <w:szCs w:val="22"/>
          <w:rtl/>
        </w:rPr>
        <w:t xml:space="preserve"> </w:t>
      </w:r>
      <w:r w:rsidRPr="00720EDF">
        <w:rPr>
          <w:sz w:val="22"/>
          <w:szCs w:val="22"/>
        </w:rPr>
        <w:t>–</w:t>
      </w:r>
      <w:r w:rsidRPr="00720EDF">
        <w:rPr>
          <w:sz w:val="22"/>
          <w:szCs w:val="22"/>
          <w:rtl/>
        </w:rPr>
        <w:t xml:space="preserve"> למשל, דרישת רוב מיוחד, פרוצדורה מיוחדת, או אישור גוף מיוחד 'חיצוני' (אישור במשאל עם, למשל).</w:t>
      </w:r>
    </w:p>
    <w:p w:rsidR="005366A8" w:rsidRPr="00720EDF" w:rsidRDefault="005366A8" w:rsidP="005366A8">
      <w:pPr>
        <w:pStyle w:val="T-body"/>
        <w:spacing w:line="240" w:lineRule="auto"/>
        <w:ind w:left="720"/>
        <w:rPr>
          <w:sz w:val="22"/>
          <w:szCs w:val="22"/>
          <w:rtl/>
        </w:rPr>
      </w:pPr>
      <w:r w:rsidRPr="00720EDF">
        <w:rPr>
          <w:sz w:val="22"/>
          <w:szCs w:val="22"/>
          <w:highlight w:val="yellow"/>
          <w:rtl/>
        </w:rPr>
        <w:t>ארה"ב:</w:t>
      </w:r>
      <w:r w:rsidRPr="00720EDF">
        <w:rPr>
          <w:sz w:val="22"/>
          <w:szCs w:val="22"/>
          <w:rtl/>
        </w:rPr>
        <w:t xml:space="preserve"> ההליך לתיקון החוקה האמריקאית (על פי סעיף 5 לחוקה) מחייב רוב של שני שלילים בשני בתי הקונגרס הפדרליים, ואישור של התיקון בפרלמנטים המדינתיים של שלושה רבעים לפחות ממדינות האיחוד;  </w:t>
      </w:r>
    </w:p>
    <w:p w:rsidR="005366A8" w:rsidRPr="00720EDF" w:rsidRDefault="005366A8" w:rsidP="005366A8">
      <w:pPr>
        <w:pStyle w:val="T-body"/>
        <w:spacing w:line="240" w:lineRule="auto"/>
        <w:ind w:left="720"/>
        <w:rPr>
          <w:sz w:val="22"/>
          <w:szCs w:val="22"/>
          <w:rtl/>
        </w:rPr>
      </w:pPr>
      <w:r w:rsidRPr="00720EDF">
        <w:rPr>
          <w:sz w:val="22"/>
          <w:szCs w:val="22"/>
          <w:highlight w:val="yellow"/>
          <w:rtl/>
        </w:rPr>
        <w:t>גרמניה ואוסטריה</w:t>
      </w:r>
      <w:r w:rsidRPr="00720EDF">
        <w:rPr>
          <w:sz w:val="22"/>
          <w:szCs w:val="22"/>
          <w:rtl/>
        </w:rPr>
        <w:t xml:space="preserve"> </w:t>
      </w:r>
      <w:r w:rsidRPr="00720EDF">
        <w:rPr>
          <w:sz w:val="22"/>
          <w:szCs w:val="22"/>
        </w:rPr>
        <w:t>–</w:t>
      </w:r>
      <w:r w:rsidRPr="00720EDF">
        <w:rPr>
          <w:sz w:val="22"/>
          <w:szCs w:val="22"/>
          <w:rtl/>
        </w:rPr>
        <w:t xml:space="preserve"> תיקון החוקה ברוב של שני שלישים בשני בתי הפרלמנט;</w:t>
      </w:r>
    </w:p>
    <w:p w:rsidR="005366A8" w:rsidRPr="00720EDF" w:rsidRDefault="005366A8" w:rsidP="005366A8">
      <w:pPr>
        <w:pStyle w:val="T-body"/>
        <w:spacing w:line="240" w:lineRule="auto"/>
        <w:ind w:left="720"/>
        <w:rPr>
          <w:sz w:val="22"/>
          <w:szCs w:val="22"/>
          <w:rtl/>
        </w:rPr>
      </w:pPr>
      <w:r w:rsidRPr="007F5651">
        <w:rPr>
          <w:b/>
          <w:bCs/>
          <w:sz w:val="22"/>
          <w:szCs w:val="22"/>
          <w:highlight w:val="yellow"/>
          <w:rtl/>
        </w:rPr>
        <w:t>ישראל</w:t>
      </w:r>
      <w:r w:rsidRPr="00720EDF">
        <w:rPr>
          <w:sz w:val="22"/>
          <w:szCs w:val="22"/>
          <w:highlight w:val="yellow"/>
          <w:rtl/>
        </w:rPr>
        <w:t>:</w:t>
      </w:r>
      <w:r w:rsidRPr="00720EDF">
        <w:rPr>
          <w:sz w:val="22"/>
          <w:szCs w:val="22"/>
          <w:rtl/>
        </w:rPr>
        <w:t xml:space="preserve"> </w:t>
      </w:r>
      <w:r w:rsidRPr="00720EDF">
        <w:rPr>
          <w:rFonts w:hint="cs"/>
          <w:sz w:val="22"/>
          <w:szCs w:val="22"/>
          <w:rtl/>
        </w:rPr>
        <w:t xml:space="preserve">דרגה אחרת לגמרי של כבילה עצמית, </w:t>
      </w:r>
      <w:r w:rsidRPr="007F5651">
        <w:rPr>
          <w:rFonts w:hint="cs"/>
          <w:b/>
          <w:bCs/>
          <w:sz w:val="22"/>
          <w:szCs w:val="22"/>
          <w:rtl/>
        </w:rPr>
        <w:t>ורק ביחס לחלקים קטנים בחוקי היסוד</w:t>
      </w:r>
      <w:r w:rsidRPr="00720EDF">
        <w:rPr>
          <w:rFonts w:hint="cs"/>
          <w:sz w:val="22"/>
          <w:szCs w:val="22"/>
          <w:rtl/>
        </w:rPr>
        <w:t xml:space="preserve">; </w:t>
      </w:r>
      <w:r w:rsidRPr="00720EDF">
        <w:rPr>
          <w:sz w:val="22"/>
          <w:szCs w:val="22"/>
          <w:rtl/>
        </w:rPr>
        <w:t>למשל, סע' 7 לחוק יסוד: חופש העיסוק</w:t>
      </w:r>
    </w:p>
    <w:p w:rsidR="005366A8" w:rsidRPr="00720EDF" w:rsidRDefault="005366A8" w:rsidP="005366A8">
      <w:pPr>
        <w:pStyle w:val="T-body"/>
        <w:spacing w:after="120" w:line="240" w:lineRule="auto"/>
        <w:ind w:left="1440"/>
        <w:rPr>
          <w:rFonts w:ascii="Arial" w:hAnsi="Arial" w:cs="David"/>
          <w:sz w:val="22"/>
          <w:szCs w:val="22"/>
          <w:rtl/>
        </w:rPr>
      </w:pPr>
      <w:r w:rsidRPr="00720EDF">
        <w:rPr>
          <w:rFonts w:ascii="Arial" w:hAnsi="Arial" w:cs="David"/>
          <w:sz w:val="22"/>
          <w:szCs w:val="22"/>
          <w:highlight w:val="yellow"/>
          <w:rtl/>
        </w:rPr>
        <w:t>אין לשנות חוק-יסוד זה אלא בחוק-יסוד שנתקבל ברוב של חברי הכנסת.</w:t>
      </w:r>
      <w:r w:rsidRPr="00720EDF">
        <w:rPr>
          <w:rFonts w:ascii="Arial" w:hAnsi="Arial" w:cs="David"/>
          <w:sz w:val="22"/>
          <w:szCs w:val="22"/>
          <w:rtl/>
        </w:rPr>
        <w:t xml:space="preserve"> </w:t>
      </w:r>
    </w:p>
    <w:p w:rsidR="005366A8" w:rsidRDefault="005366A8" w:rsidP="005366A8">
      <w:pPr>
        <w:pStyle w:val="T-body"/>
        <w:spacing w:line="240" w:lineRule="auto"/>
        <w:rPr>
          <w:sz w:val="22"/>
          <w:szCs w:val="22"/>
          <w:rtl/>
        </w:rPr>
      </w:pPr>
      <w:r w:rsidRPr="00720EDF">
        <w:rPr>
          <w:rFonts w:hint="cs"/>
          <w:b/>
          <w:bCs/>
          <w:sz w:val="22"/>
          <w:szCs w:val="22"/>
          <w:u w:val="single"/>
          <w:rtl/>
        </w:rPr>
        <w:t xml:space="preserve">ג. </w:t>
      </w:r>
      <w:r w:rsidRPr="00720EDF">
        <w:rPr>
          <w:b/>
          <w:bCs/>
          <w:sz w:val="22"/>
          <w:szCs w:val="22"/>
          <w:u w:val="single"/>
          <w:rtl/>
        </w:rPr>
        <w:t>"שריון פורמ</w:t>
      </w:r>
      <w:r w:rsidRPr="00720EDF">
        <w:rPr>
          <w:rFonts w:hint="cs"/>
          <w:b/>
          <w:bCs/>
          <w:sz w:val="22"/>
          <w:szCs w:val="22"/>
          <w:u w:val="single"/>
          <w:rtl/>
        </w:rPr>
        <w:t>א</w:t>
      </w:r>
      <w:r w:rsidRPr="00720EDF">
        <w:rPr>
          <w:b/>
          <w:bCs/>
          <w:sz w:val="22"/>
          <w:szCs w:val="22"/>
          <w:u w:val="single"/>
          <w:rtl/>
        </w:rPr>
        <w:t>לי"</w:t>
      </w:r>
      <w:r>
        <w:rPr>
          <w:rFonts w:hint="cs"/>
          <w:b/>
          <w:bCs/>
          <w:sz w:val="22"/>
          <w:szCs w:val="22"/>
          <w:u w:val="single"/>
          <w:rtl/>
        </w:rPr>
        <w:t xml:space="preserve"> כלפי מטה</w:t>
      </w:r>
      <w:r w:rsidRPr="00720EDF">
        <w:rPr>
          <w:sz w:val="22"/>
          <w:szCs w:val="22"/>
          <w:rtl/>
        </w:rPr>
        <w:t xml:space="preserve">: </w:t>
      </w:r>
    </w:p>
    <w:p w:rsidR="005366A8" w:rsidRDefault="005366A8" w:rsidP="005366A8">
      <w:pPr>
        <w:pStyle w:val="T-body"/>
        <w:spacing w:line="240" w:lineRule="auto"/>
        <w:rPr>
          <w:sz w:val="22"/>
          <w:szCs w:val="22"/>
          <w:rtl/>
        </w:rPr>
      </w:pPr>
      <w:r>
        <w:rPr>
          <w:rFonts w:hint="cs"/>
          <w:sz w:val="22"/>
          <w:szCs w:val="22"/>
          <w:rtl/>
        </w:rPr>
        <w:t>בשל "עליונות" החוקה על חקיקה ויתר הנורמות בדרגות הנמוכות יותר של הפירמידה הנורמטיבית, הרי שחקיקה אינה יכולה "לשנות" את הוראות החוקה.</w:t>
      </w:r>
    </w:p>
    <w:p w:rsidR="005366A8" w:rsidRPr="00720EDF" w:rsidRDefault="005366A8" w:rsidP="005366A8">
      <w:pPr>
        <w:pStyle w:val="T-body"/>
        <w:spacing w:line="240" w:lineRule="auto"/>
        <w:rPr>
          <w:sz w:val="22"/>
          <w:szCs w:val="22"/>
          <w:rtl/>
        </w:rPr>
      </w:pPr>
      <w:r>
        <w:rPr>
          <w:rFonts w:hint="cs"/>
          <w:sz w:val="22"/>
          <w:szCs w:val="22"/>
          <w:rtl/>
        </w:rPr>
        <w:t xml:space="preserve">יתר על כן, לעיתים קובעת החוקה </w:t>
      </w:r>
      <w:r w:rsidRPr="00720EDF">
        <w:rPr>
          <w:sz w:val="22"/>
          <w:szCs w:val="22"/>
          <w:rtl/>
        </w:rPr>
        <w:t xml:space="preserve">דרישות-קדם צורניות ביחס ליכולתה של </w:t>
      </w:r>
      <w:r w:rsidRPr="00720EDF">
        <w:rPr>
          <w:i/>
          <w:iCs/>
          <w:sz w:val="22"/>
          <w:szCs w:val="22"/>
          <w:rtl/>
        </w:rPr>
        <w:t>רשות נמוכה ממנה</w:t>
      </w:r>
      <w:r w:rsidRPr="00720EDF">
        <w:rPr>
          <w:sz w:val="22"/>
          <w:szCs w:val="22"/>
          <w:rtl/>
        </w:rPr>
        <w:t xml:space="preserve"> </w:t>
      </w:r>
      <w:r>
        <w:rPr>
          <w:rFonts w:hint="cs"/>
          <w:sz w:val="22"/>
          <w:szCs w:val="22"/>
          <w:rtl/>
        </w:rPr>
        <w:t>"</w:t>
      </w:r>
      <w:r w:rsidRPr="00720EDF">
        <w:rPr>
          <w:sz w:val="22"/>
          <w:szCs w:val="22"/>
          <w:rtl/>
        </w:rPr>
        <w:t>לסטות</w:t>
      </w:r>
      <w:r>
        <w:rPr>
          <w:rFonts w:hint="cs"/>
          <w:sz w:val="22"/>
          <w:szCs w:val="22"/>
          <w:rtl/>
        </w:rPr>
        <w:t>"</w:t>
      </w:r>
      <w:r w:rsidRPr="00720EDF">
        <w:rPr>
          <w:sz w:val="22"/>
          <w:szCs w:val="22"/>
          <w:rtl/>
        </w:rPr>
        <w:t xml:space="preserve"> מנורמות שאותן קבעה.  </w:t>
      </w:r>
      <w:r>
        <w:rPr>
          <w:rFonts w:hint="cs"/>
          <w:sz w:val="22"/>
          <w:szCs w:val="22"/>
          <w:rtl/>
        </w:rPr>
        <w:t xml:space="preserve">דרישות-קדם צורניות אלה הן סוג של </w:t>
      </w:r>
      <w:r w:rsidRPr="00720EDF">
        <w:rPr>
          <w:sz w:val="22"/>
          <w:szCs w:val="22"/>
          <w:rtl/>
        </w:rPr>
        <w:t>שריון פורמ</w:t>
      </w:r>
      <w:r w:rsidRPr="00720EDF">
        <w:rPr>
          <w:rFonts w:hint="cs"/>
          <w:sz w:val="22"/>
          <w:szCs w:val="22"/>
          <w:rtl/>
        </w:rPr>
        <w:t>א</w:t>
      </w:r>
      <w:r w:rsidRPr="00720EDF">
        <w:rPr>
          <w:sz w:val="22"/>
          <w:szCs w:val="22"/>
          <w:rtl/>
        </w:rPr>
        <w:t>לי</w:t>
      </w:r>
      <w:r>
        <w:rPr>
          <w:rFonts w:hint="cs"/>
          <w:sz w:val="22"/>
          <w:szCs w:val="22"/>
          <w:rtl/>
        </w:rPr>
        <w:t>. הן נוגעות לאופן</w:t>
      </w:r>
      <w:r w:rsidRPr="00720EDF">
        <w:rPr>
          <w:sz w:val="22"/>
          <w:szCs w:val="22"/>
          <w:rtl/>
        </w:rPr>
        <w:t xml:space="preserve"> קבלת הנורמה המבקשת לסטות מזו הגבוהה ממנה: </w:t>
      </w:r>
      <w:r>
        <w:rPr>
          <w:rFonts w:hint="cs"/>
          <w:sz w:val="22"/>
          <w:szCs w:val="22"/>
          <w:rtl/>
        </w:rPr>
        <w:t>כלומר ל</w:t>
      </w:r>
      <w:r w:rsidRPr="00720EDF">
        <w:rPr>
          <w:sz w:val="22"/>
          <w:szCs w:val="22"/>
          <w:rtl/>
        </w:rPr>
        <w:t xml:space="preserve">הליך קבלתה, היקף הרוב התומך בה, </w:t>
      </w:r>
      <w:r>
        <w:rPr>
          <w:rFonts w:hint="cs"/>
          <w:sz w:val="22"/>
          <w:szCs w:val="22"/>
          <w:rtl/>
        </w:rPr>
        <w:t xml:space="preserve">משך תוקפה </w:t>
      </w:r>
      <w:r w:rsidRPr="00720EDF">
        <w:rPr>
          <w:sz w:val="22"/>
          <w:szCs w:val="22"/>
          <w:rtl/>
        </w:rPr>
        <w:t xml:space="preserve">וכדומה. </w:t>
      </w:r>
      <w:r w:rsidRPr="00720EDF">
        <w:rPr>
          <w:b/>
          <w:bCs/>
          <w:sz w:val="22"/>
          <w:szCs w:val="22"/>
          <w:rtl/>
        </w:rPr>
        <w:t>"פסקת ההתגברות"</w:t>
      </w:r>
      <w:r w:rsidRPr="00720EDF">
        <w:rPr>
          <w:sz w:val="22"/>
          <w:szCs w:val="22"/>
          <w:rtl/>
        </w:rPr>
        <w:t xml:space="preserve"> בחוק יסוד: חופש העיסוק </w:t>
      </w:r>
      <w:r w:rsidRPr="00720EDF">
        <w:rPr>
          <w:rFonts w:hint="cs"/>
          <w:sz w:val="22"/>
          <w:szCs w:val="22"/>
          <w:rtl/>
        </w:rPr>
        <w:t xml:space="preserve">(סע' 8 (א)) </w:t>
      </w:r>
      <w:r w:rsidRPr="00720EDF">
        <w:rPr>
          <w:sz w:val="22"/>
          <w:szCs w:val="22"/>
          <w:rtl/>
        </w:rPr>
        <w:t>היא דוגמא מובהקת</w:t>
      </w:r>
      <w:r>
        <w:rPr>
          <w:rFonts w:hint="cs"/>
          <w:sz w:val="22"/>
          <w:szCs w:val="22"/>
          <w:rtl/>
        </w:rPr>
        <w:t xml:space="preserve"> לכך במשפטנו</w:t>
      </w:r>
      <w:r w:rsidRPr="00720EDF">
        <w:rPr>
          <w:sz w:val="22"/>
          <w:szCs w:val="22"/>
          <w:rtl/>
        </w:rPr>
        <w:t>.</w:t>
      </w:r>
    </w:p>
    <w:p w:rsidR="005366A8" w:rsidRPr="00720EDF" w:rsidRDefault="005366A8" w:rsidP="005366A8">
      <w:pPr>
        <w:pStyle w:val="T-body"/>
        <w:spacing w:after="120" w:line="240" w:lineRule="auto"/>
        <w:ind w:left="720"/>
        <w:rPr>
          <w:rFonts w:ascii="Arial" w:hAnsi="Arial" w:cs="Arial"/>
          <w:sz w:val="22"/>
          <w:szCs w:val="22"/>
          <w:u w:val="single"/>
          <w:rtl/>
        </w:rPr>
      </w:pPr>
      <w:r w:rsidRPr="00720EDF">
        <w:rPr>
          <w:rFonts w:ascii="Arial" w:hAnsi="Arial" w:cs="David"/>
          <w:sz w:val="22"/>
          <w:szCs w:val="22"/>
          <w:highlight w:val="yellow"/>
          <w:rtl/>
        </w:rPr>
        <w:t>הוראת חוק הפוגעת בחופש העיסוק תהיה תקפה אף כשאינה בהתאם לסעיף 4</w:t>
      </w:r>
      <w:r>
        <w:rPr>
          <w:rFonts w:ascii="Arial" w:hAnsi="Arial" w:cs="David" w:hint="cs"/>
          <w:sz w:val="22"/>
          <w:szCs w:val="22"/>
          <w:highlight w:val="yellow"/>
          <w:rtl/>
        </w:rPr>
        <w:t xml:space="preserve"> </w:t>
      </w:r>
      <w:r w:rsidRPr="008D567B">
        <w:rPr>
          <w:rFonts w:ascii="Arial" w:hAnsi="Arial" w:cs="Arial"/>
          <w:sz w:val="16"/>
          <w:szCs w:val="16"/>
          <w:highlight w:val="yellow"/>
          <w:rtl/>
        </w:rPr>
        <w:t>[של חוק היסוד]</w:t>
      </w:r>
      <w:r w:rsidRPr="00720EDF">
        <w:rPr>
          <w:rFonts w:ascii="Arial" w:hAnsi="Arial" w:cs="David"/>
          <w:sz w:val="22"/>
          <w:szCs w:val="22"/>
          <w:highlight w:val="yellow"/>
          <w:rtl/>
        </w:rPr>
        <w:t>, אם נכללה בחוק שנתקבל ברוב של חברי הכנסת ונאמר בו במפורש, שהוא תקף על אף האמור בחוק-יסוד זה; תוקפו של חוק כאמור יפקע בתום ארבע שנים מיום תחילתו, זולת אם נקבע בו מועד מוקדם יותר.</w:t>
      </w:r>
      <w:r w:rsidRPr="00720EDF">
        <w:rPr>
          <w:rFonts w:ascii="Arial" w:hAnsi="Arial" w:cs="Arial"/>
          <w:sz w:val="22"/>
          <w:szCs w:val="22"/>
          <w:rtl/>
        </w:rPr>
        <w:t xml:space="preserve"> </w:t>
      </w:r>
    </w:p>
    <w:p w:rsidR="005366A8" w:rsidRDefault="005366A8" w:rsidP="005366A8">
      <w:pPr>
        <w:pStyle w:val="T-body"/>
        <w:spacing w:line="240" w:lineRule="auto"/>
        <w:rPr>
          <w:sz w:val="22"/>
          <w:szCs w:val="22"/>
          <w:rtl/>
        </w:rPr>
      </w:pPr>
      <w:r w:rsidRPr="00720EDF">
        <w:rPr>
          <w:rFonts w:hint="cs"/>
          <w:b/>
          <w:bCs/>
          <w:sz w:val="22"/>
          <w:szCs w:val="22"/>
          <w:u w:val="single"/>
          <w:rtl/>
        </w:rPr>
        <w:t xml:space="preserve">ד. </w:t>
      </w:r>
      <w:r w:rsidRPr="00720EDF">
        <w:rPr>
          <w:b/>
          <w:bCs/>
          <w:sz w:val="22"/>
          <w:szCs w:val="22"/>
          <w:u w:val="single"/>
          <w:rtl/>
        </w:rPr>
        <w:t>"שריון מהותי"</w:t>
      </w:r>
      <w:r w:rsidRPr="00720EDF">
        <w:rPr>
          <w:sz w:val="22"/>
          <w:szCs w:val="22"/>
          <w:rtl/>
        </w:rPr>
        <w:t xml:space="preserve">: </w:t>
      </w:r>
      <w:r w:rsidRPr="00720EDF">
        <w:rPr>
          <w:b/>
          <w:bCs/>
          <w:sz w:val="22"/>
          <w:szCs w:val="22"/>
          <w:u w:val="single"/>
          <w:rtl/>
        </w:rPr>
        <w:t>"פסקות ההגבלה"</w:t>
      </w:r>
      <w:r w:rsidRPr="00720EDF">
        <w:rPr>
          <w:sz w:val="22"/>
          <w:szCs w:val="22"/>
          <w:rtl/>
        </w:rPr>
        <w:t xml:space="preserve"> </w:t>
      </w:r>
      <w:r w:rsidRPr="00720EDF">
        <w:rPr>
          <w:rFonts w:hint="cs"/>
          <w:sz w:val="22"/>
          <w:szCs w:val="22"/>
          <w:rtl/>
        </w:rPr>
        <w:t xml:space="preserve">למיניהן. </w:t>
      </w:r>
    </w:p>
    <w:p w:rsidR="005366A8" w:rsidRDefault="005366A8" w:rsidP="005366A8">
      <w:pPr>
        <w:pStyle w:val="T-body"/>
        <w:spacing w:line="240" w:lineRule="auto"/>
        <w:rPr>
          <w:sz w:val="22"/>
          <w:szCs w:val="22"/>
          <w:rtl/>
        </w:rPr>
      </w:pPr>
      <w:r>
        <w:rPr>
          <w:rFonts w:hint="cs"/>
          <w:sz w:val="22"/>
          <w:szCs w:val="22"/>
          <w:rtl/>
        </w:rPr>
        <w:t xml:space="preserve">לעיתים קובעת החוקה </w:t>
      </w:r>
      <w:r w:rsidRPr="00720EDF">
        <w:rPr>
          <w:sz w:val="22"/>
          <w:szCs w:val="22"/>
          <w:rtl/>
        </w:rPr>
        <w:t xml:space="preserve">דרישות-קדם </w:t>
      </w:r>
      <w:r w:rsidRPr="00720EDF">
        <w:rPr>
          <w:rFonts w:hint="cs"/>
          <w:sz w:val="22"/>
          <w:szCs w:val="22"/>
          <w:rtl/>
        </w:rPr>
        <w:t>"תוֹכניות"/ מהותיות</w:t>
      </w:r>
      <w:r w:rsidRPr="00720EDF">
        <w:rPr>
          <w:sz w:val="22"/>
          <w:szCs w:val="22"/>
          <w:rtl/>
        </w:rPr>
        <w:t xml:space="preserve"> ביחס ליכולתה של </w:t>
      </w:r>
      <w:r w:rsidRPr="00720EDF">
        <w:rPr>
          <w:i/>
          <w:iCs/>
          <w:sz w:val="22"/>
          <w:szCs w:val="22"/>
          <w:rtl/>
        </w:rPr>
        <w:t>רשות נמוכה ממנה</w:t>
      </w:r>
      <w:r w:rsidRPr="00720EDF">
        <w:rPr>
          <w:sz w:val="22"/>
          <w:szCs w:val="22"/>
          <w:rtl/>
        </w:rPr>
        <w:t xml:space="preserve"> לסטות מנורמות שאותן קבעה</w:t>
      </w:r>
      <w:r w:rsidRPr="00720EDF">
        <w:rPr>
          <w:rFonts w:hint="cs"/>
          <w:sz w:val="22"/>
          <w:szCs w:val="22"/>
          <w:rtl/>
        </w:rPr>
        <w:t xml:space="preserve">. </w:t>
      </w:r>
    </w:p>
    <w:p w:rsidR="005366A8" w:rsidRDefault="005366A8" w:rsidP="005366A8">
      <w:pPr>
        <w:pStyle w:val="T-body"/>
        <w:spacing w:line="240" w:lineRule="auto"/>
        <w:rPr>
          <w:sz w:val="22"/>
          <w:szCs w:val="22"/>
          <w:rtl/>
        </w:rPr>
      </w:pPr>
      <w:r w:rsidRPr="00720EDF">
        <w:rPr>
          <w:rFonts w:hint="cs"/>
          <w:sz w:val="22"/>
          <w:szCs w:val="22"/>
          <w:rtl/>
        </w:rPr>
        <w:t xml:space="preserve">הדוגמאות הבולטות ביותר </w:t>
      </w:r>
      <w:r>
        <w:rPr>
          <w:rFonts w:hint="cs"/>
          <w:sz w:val="22"/>
          <w:szCs w:val="22"/>
          <w:rtl/>
        </w:rPr>
        <w:t xml:space="preserve">במערכת המשפט שלנו </w:t>
      </w:r>
      <w:r w:rsidRPr="00720EDF">
        <w:rPr>
          <w:rFonts w:hint="cs"/>
          <w:sz w:val="22"/>
          <w:szCs w:val="22"/>
          <w:rtl/>
        </w:rPr>
        <w:t xml:space="preserve">מופיעות </w:t>
      </w:r>
      <w:r w:rsidRPr="00720EDF">
        <w:rPr>
          <w:sz w:val="22"/>
          <w:szCs w:val="22"/>
          <w:rtl/>
        </w:rPr>
        <w:t xml:space="preserve">בחוקי היסוד על זכויות האדם </w:t>
      </w:r>
      <w:r w:rsidRPr="00720EDF">
        <w:rPr>
          <w:sz w:val="22"/>
          <w:szCs w:val="22"/>
        </w:rPr>
        <w:t>–</w:t>
      </w:r>
      <w:r w:rsidRPr="00720EDF">
        <w:rPr>
          <w:sz w:val="22"/>
          <w:szCs w:val="22"/>
          <w:rtl/>
        </w:rPr>
        <w:t xml:space="preserve"> </w:t>
      </w:r>
      <w:r w:rsidRPr="00720EDF">
        <w:rPr>
          <w:rFonts w:hint="cs"/>
          <w:sz w:val="22"/>
          <w:szCs w:val="22"/>
          <w:rtl/>
        </w:rPr>
        <w:t>סע' 8 לחוק יסוד: כבוד האדם וחירותו, סע' 4 לחוק יסוד: חופש העיסוק, אך אין הן יחידות; ר' למשל בתוך סע' 9א(א) לחוק יסוד: הכנסת</w:t>
      </w:r>
      <w:r>
        <w:rPr>
          <w:rFonts w:hint="cs"/>
          <w:sz w:val="22"/>
          <w:szCs w:val="22"/>
          <w:rtl/>
        </w:rPr>
        <w:t>, שצוטט לעיל</w:t>
      </w:r>
      <w:r w:rsidRPr="00720EDF">
        <w:rPr>
          <w:rFonts w:hint="cs"/>
          <w:sz w:val="22"/>
          <w:szCs w:val="22"/>
          <w:rtl/>
        </w:rPr>
        <w:t xml:space="preserve">. </w:t>
      </w:r>
    </w:p>
    <w:p w:rsidR="005366A8" w:rsidRPr="00720EDF" w:rsidRDefault="005366A8" w:rsidP="005366A8">
      <w:pPr>
        <w:pStyle w:val="T-body"/>
        <w:spacing w:line="240" w:lineRule="auto"/>
        <w:rPr>
          <w:sz w:val="22"/>
          <w:szCs w:val="22"/>
          <w:rtl/>
        </w:rPr>
      </w:pPr>
      <w:r w:rsidRPr="00720EDF">
        <w:rPr>
          <w:rFonts w:hint="cs"/>
          <w:sz w:val="22"/>
          <w:szCs w:val="22"/>
          <w:rtl/>
        </w:rPr>
        <w:t xml:space="preserve">במילים אחרות, זהו </w:t>
      </w:r>
      <w:r w:rsidRPr="00720EDF">
        <w:rPr>
          <w:sz w:val="22"/>
          <w:szCs w:val="22"/>
          <w:rtl/>
        </w:rPr>
        <w:t xml:space="preserve">מצב בו חוק יסוד קובע כי חוק </w:t>
      </w:r>
      <w:r>
        <w:rPr>
          <w:rFonts w:hint="cs"/>
          <w:sz w:val="22"/>
          <w:szCs w:val="22"/>
          <w:rtl/>
        </w:rPr>
        <w:t>רשאי לסטות מהוראותיו אך זאת רק</w:t>
      </w:r>
      <w:r w:rsidRPr="00720EDF">
        <w:rPr>
          <w:sz w:val="22"/>
          <w:szCs w:val="22"/>
          <w:rtl/>
        </w:rPr>
        <w:t xml:space="preserve"> בהתקיים </w:t>
      </w:r>
      <w:r w:rsidRPr="00720EDF">
        <w:rPr>
          <w:b/>
          <w:bCs/>
          <w:sz w:val="22"/>
          <w:szCs w:val="22"/>
          <w:rtl/>
        </w:rPr>
        <w:t>תנאי מהות</w:t>
      </w:r>
      <w:r w:rsidRPr="00720EDF">
        <w:rPr>
          <w:sz w:val="22"/>
          <w:szCs w:val="22"/>
          <w:rtl/>
        </w:rPr>
        <w:t xml:space="preserve"> מסוימים.  </w:t>
      </w:r>
      <w:r w:rsidRPr="00720EDF">
        <w:rPr>
          <w:rFonts w:hint="cs"/>
          <w:sz w:val="22"/>
          <w:szCs w:val="22"/>
          <w:rtl/>
        </w:rPr>
        <w:t xml:space="preserve">משמע, מופיעה </w:t>
      </w:r>
      <w:r w:rsidRPr="00720EDF">
        <w:rPr>
          <w:sz w:val="22"/>
          <w:szCs w:val="22"/>
          <w:rtl/>
        </w:rPr>
        <w:t xml:space="preserve">קביעה מפורשת המגבילה את </w:t>
      </w:r>
      <w:r w:rsidRPr="00720EDF">
        <w:rPr>
          <w:b/>
          <w:bCs/>
          <w:sz w:val="22"/>
          <w:szCs w:val="22"/>
          <w:rtl/>
        </w:rPr>
        <w:t>תוכנם</w:t>
      </w:r>
      <w:r w:rsidRPr="00720EDF">
        <w:rPr>
          <w:sz w:val="22"/>
          <w:szCs w:val="22"/>
          <w:rtl/>
        </w:rPr>
        <w:t xml:space="preserve"> </w:t>
      </w:r>
      <w:r>
        <w:rPr>
          <w:sz w:val="22"/>
          <w:szCs w:val="22"/>
          <w:rtl/>
        </w:rPr>
        <w:t>של החוקים</w:t>
      </w:r>
      <w:r w:rsidRPr="00720EDF">
        <w:rPr>
          <w:rFonts w:hint="cs"/>
          <w:sz w:val="22"/>
          <w:szCs w:val="22"/>
          <w:rtl/>
        </w:rPr>
        <w:t>:</w:t>
      </w:r>
    </w:p>
    <w:p w:rsidR="005366A8" w:rsidRPr="00720EDF" w:rsidRDefault="005366A8" w:rsidP="005366A8">
      <w:pPr>
        <w:pStyle w:val="T-body"/>
        <w:spacing w:after="120" w:line="240" w:lineRule="auto"/>
        <w:ind w:left="720"/>
        <w:rPr>
          <w:rFonts w:ascii="Arial" w:hAnsi="Arial" w:cs="David"/>
          <w:sz w:val="22"/>
          <w:szCs w:val="22"/>
          <w:rtl/>
        </w:rPr>
      </w:pPr>
      <w:r w:rsidRPr="00720EDF">
        <w:rPr>
          <w:rFonts w:ascii="Arial" w:hAnsi="Arial" w:cs="David"/>
          <w:sz w:val="22"/>
          <w:szCs w:val="22"/>
          <w:highlight w:val="yellow"/>
          <w:rtl/>
        </w:rPr>
        <w:t>אין פוגעים בזכויות שלפי חוק-יסוד זה אלא בחוק ההולם את ערכיה של מדינת ישראל, שנועד לתכלית ראויה, ובמידה שאינה עולה על הנדרש או לפי חוק כאמור מכוח הסמכה מפורשת בו.</w:t>
      </w:r>
      <w:r w:rsidRPr="00720EDF">
        <w:rPr>
          <w:rFonts w:ascii="Arial" w:hAnsi="Arial" w:cs="David"/>
          <w:sz w:val="22"/>
          <w:szCs w:val="22"/>
          <w:rtl/>
        </w:rPr>
        <w:t xml:space="preserve"> </w:t>
      </w:r>
    </w:p>
    <w:p w:rsidR="005366A8" w:rsidRDefault="005366A8" w:rsidP="005366A8">
      <w:pPr>
        <w:pStyle w:val="T-body"/>
        <w:spacing w:line="240" w:lineRule="auto"/>
        <w:rPr>
          <w:sz w:val="22"/>
          <w:szCs w:val="22"/>
          <w:rtl/>
        </w:rPr>
      </w:pPr>
      <w:r w:rsidRPr="00720EDF">
        <w:rPr>
          <w:rFonts w:hint="cs"/>
          <w:b/>
          <w:bCs/>
          <w:sz w:val="22"/>
          <w:szCs w:val="22"/>
          <w:u w:val="single"/>
          <w:rtl/>
        </w:rPr>
        <w:t xml:space="preserve">ה. </w:t>
      </w:r>
      <w:r w:rsidRPr="00720EDF">
        <w:rPr>
          <w:b/>
          <w:bCs/>
          <w:sz w:val="22"/>
          <w:szCs w:val="22"/>
          <w:u w:val="single"/>
          <w:rtl/>
        </w:rPr>
        <w:t>ביקורת שיפוטית חוקתית</w:t>
      </w:r>
      <w:r w:rsidRPr="00720EDF">
        <w:rPr>
          <w:sz w:val="22"/>
          <w:szCs w:val="22"/>
          <w:rtl/>
        </w:rPr>
        <w:t xml:space="preserve"> [= </w:t>
      </w:r>
      <w:r w:rsidRPr="00720EDF">
        <w:rPr>
          <w:b/>
          <w:bCs/>
          <w:sz w:val="22"/>
          <w:szCs w:val="22"/>
          <w:rtl/>
        </w:rPr>
        <w:t>ביקורת שיפוטית 'טקסטואלית'</w:t>
      </w:r>
      <w:r w:rsidRPr="00720EDF">
        <w:rPr>
          <w:sz w:val="22"/>
          <w:szCs w:val="22"/>
          <w:rtl/>
        </w:rPr>
        <w:t xml:space="preserve">] </w:t>
      </w:r>
    </w:p>
    <w:p w:rsidR="005366A8" w:rsidRPr="00720EDF" w:rsidRDefault="005366A8" w:rsidP="005366A8">
      <w:pPr>
        <w:pStyle w:val="T-body"/>
        <w:spacing w:after="120" w:line="240" w:lineRule="auto"/>
        <w:rPr>
          <w:sz w:val="22"/>
          <w:szCs w:val="22"/>
          <w:rtl/>
        </w:rPr>
      </w:pPr>
      <w:r w:rsidRPr="00720EDF">
        <w:rPr>
          <w:rFonts w:hint="cs"/>
          <w:sz w:val="22"/>
          <w:szCs w:val="22"/>
          <w:rtl/>
        </w:rPr>
        <w:t xml:space="preserve">זו הביקורת השיפוטית החוקתית המוכרת. </w:t>
      </w:r>
      <w:r w:rsidRPr="00720EDF">
        <w:rPr>
          <w:sz w:val="22"/>
          <w:szCs w:val="22"/>
          <w:rtl/>
        </w:rPr>
        <w:t xml:space="preserve">ביקורת על </w:t>
      </w:r>
      <w:r>
        <w:rPr>
          <w:rFonts w:hint="cs"/>
          <w:sz w:val="22"/>
          <w:szCs w:val="22"/>
          <w:rtl/>
        </w:rPr>
        <w:t xml:space="preserve">תוקפן של </w:t>
      </w:r>
      <w:r w:rsidRPr="00720EDF">
        <w:rPr>
          <w:sz w:val="22"/>
          <w:szCs w:val="22"/>
          <w:rtl/>
        </w:rPr>
        <w:t>הוראות חוק מכוח הוראותיה של החוקה (הפורמ</w:t>
      </w:r>
      <w:r w:rsidRPr="00720EDF">
        <w:rPr>
          <w:rFonts w:hint="cs"/>
          <w:sz w:val="22"/>
          <w:szCs w:val="22"/>
          <w:rtl/>
        </w:rPr>
        <w:t>א</w:t>
      </w:r>
      <w:r w:rsidRPr="00720EDF">
        <w:rPr>
          <w:sz w:val="22"/>
          <w:szCs w:val="22"/>
          <w:rtl/>
        </w:rPr>
        <w:t>לית).  שהרי להוראות החוקה יש עליונות.</w:t>
      </w:r>
    </w:p>
    <w:p w:rsidR="005366A8" w:rsidRDefault="005366A8" w:rsidP="005366A8">
      <w:pPr>
        <w:tabs>
          <w:tab w:val="left" w:pos="-720"/>
        </w:tabs>
        <w:rPr>
          <w:sz w:val="22"/>
          <w:szCs w:val="22"/>
          <w:rtl/>
        </w:rPr>
      </w:pPr>
      <w:r w:rsidRPr="00720EDF">
        <w:rPr>
          <w:rFonts w:hint="cs"/>
          <w:b/>
          <w:bCs/>
          <w:sz w:val="22"/>
          <w:szCs w:val="22"/>
          <w:u w:val="single"/>
          <w:rtl/>
        </w:rPr>
        <w:t xml:space="preserve">ו. </w:t>
      </w:r>
      <w:r w:rsidRPr="00720EDF">
        <w:rPr>
          <w:b/>
          <w:bCs/>
          <w:sz w:val="22"/>
          <w:szCs w:val="22"/>
          <w:u w:val="single"/>
          <w:rtl/>
        </w:rPr>
        <w:t xml:space="preserve">ביקורת שיפוטית </w:t>
      </w:r>
      <w:r w:rsidRPr="00720EDF">
        <w:rPr>
          <w:rFonts w:hint="cs"/>
          <w:b/>
          <w:bCs/>
          <w:sz w:val="22"/>
          <w:szCs w:val="22"/>
          <w:u w:val="single"/>
          <w:rtl/>
        </w:rPr>
        <w:t>מטא-טקסטואלית/ ביקורת שיפוטית חוקתית מכוח ערכי היסוד</w:t>
      </w:r>
      <w:r w:rsidRPr="00720EDF">
        <w:rPr>
          <w:rFonts w:hint="cs"/>
          <w:sz w:val="22"/>
          <w:szCs w:val="22"/>
          <w:rtl/>
        </w:rPr>
        <w:t xml:space="preserve">: </w:t>
      </w:r>
    </w:p>
    <w:p w:rsidR="005366A8" w:rsidRPr="00720EDF" w:rsidRDefault="005366A8" w:rsidP="005366A8">
      <w:pPr>
        <w:tabs>
          <w:tab w:val="left" w:pos="-720"/>
        </w:tabs>
        <w:rPr>
          <w:sz w:val="22"/>
          <w:szCs w:val="22"/>
          <w:rtl/>
        </w:rPr>
      </w:pPr>
      <w:r w:rsidRPr="00720EDF">
        <w:rPr>
          <w:rFonts w:hint="cs"/>
          <w:sz w:val="22"/>
          <w:szCs w:val="22"/>
          <w:rtl/>
        </w:rPr>
        <w:t xml:space="preserve">ביקורת שיפוטית </w:t>
      </w:r>
      <w:r w:rsidRPr="00720EDF">
        <w:rPr>
          <w:sz w:val="22"/>
          <w:szCs w:val="22"/>
          <w:rtl/>
        </w:rPr>
        <w:t>חוקתית עשויה –</w:t>
      </w:r>
      <w:r w:rsidRPr="00720EDF">
        <w:rPr>
          <w:rFonts w:hint="cs"/>
          <w:sz w:val="22"/>
          <w:szCs w:val="22"/>
          <w:rtl/>
        </w:rPr>
        <w:t xml:space="preserve"> </w:t>
      </w:r>
      <w:r w:rsidRPr="00720EDF">
        <w:rPr>
          <w:rFonts w:hint="cs"/>
          <w:b/>
          <w:bCs/>
          <w:sz w:val="22"/>
          <w:szCs w:val="22"/>
          <w:rtl/>
        </w:rPr>
        <w:t>במקרים חריגים מאד</w:t>
      </w:r>
      <w:r w:rsidRPr="00720EDF">
        <w:rPr>
          <w:rFonts w:hint="cs"/>
          <w:sz w:val="22"/>
          <w:szCs w:val="22"/>
          <w:rtl/>
        </w:rPr>
        <w:t xml:space="preserve"> </w:t>
      </w:r>
      <w:r w:rsidRPr="00720EDF">
        <w:rPr>
          <w:sz w:val="22"/>
          <w:szCs w:val="22"/>
          <w:rtl/>
        </w:rPr>
        <w:t>–</w:t>
      </w:r>
      <w:r w:rsidRPr="00720EDF">
        <w:rPr>
          <w:rFonts w:hint="cs"/>
          <w:sz w:val="22"/>
          <w:szCs w:val="22"/>
          <w:rtl/>
        </w:rPr>
        <w:t xml:space="preserve"> </w:t>
      </w:r>
      <w:r w:rsidRPr="00720EDF">
        <w:rPr>
          <w:sz w:val="22"/>
          <w:szCs w:val="22"/>
          <w:rtl/>
        </w:rPr>
        <w:t>להישען על טיעונים מטא-טקסטואליים, היינו</w:t>
      </w:r>
      <w:r w:rsidRPr="00720EDF">
        <w:rPr>
          <w:rFonts w:hint="cs"/>
          <w:sz w:val="22"/>
          <w:szCs w:val="22"/>
          <w:rtl/>
        </w:rPr>
        <w:t>,</w:t>
      </w:r>
      <w:r w:rsidRPr="00720EDF">
        <w:rPr>
          <w:sz w:val="22"/>
          <w:szCs w:val="22"/>
          <w:rtl/>
        </w:rPr>
        <w:t xml:space="preserve"> </w:t>
      </w:r>
      <w:r w:rsidRPr="00720EDF">
        <w:rPr>
          <w:rFonts w:hint="cs"/>
          <w:sz w:val="22"/>
          <w:szCs w:val="22"/>
          <w:rtl/>
        </w:rPr>
        <w:t xml:space="preserve">הטיעונים לפיהם </w:t>
      </w:r>
      <w:r w:rsidRPr="00720EDF">
        <w:rPr>
          <w:sz w:val="22"/>
          <w:szCs w:val="22"/>
          <w:rtl/>
        </w:rPr>
        <w:t xml:space="preserve">ההתערבות השיפוטית בהכרעות תחיקתיות מסוימות נדרשת </w:t>
      </w:r>
      <w:r w:rsidRPr="00720EDF">
        <w:rPr>
          <w:b/>
          <w:bCs/>
          <w:sz w:val="22"/>
          <w:szCs w:val="22"/>
          <w:rtl/>
        </w:rPr>
        <w:t>ללא כל תלות בטקסט חוקתי שיסמיך את בית המשפט לעשות כן</w:t>
      </w:r>
      <w:r w:rsidRPr="00720EDF">
        <w:rPr>
          <w:sz w:val="22"/>
          <w:szCs w:val="22"/>
          <w:rtl/>
        </w:rPr>
        <w:t xml:space="preserve">.  זו טענה לסמכות </w:t>
      </w:r>
      <w:r w:rsidRPr="00720EDF">
        <w:rPr>
          <w:b/>
          <w:bCs/>
          <w:sz w:val="22"/>
          <w:szCs w:val="22"/>
          <w:rtl/>
        </w:rPr>
        <w:t>אינהרנטית</w:t>
      </w:r>
      <w:r w:rsidRPr="00720EDF">
        <w:rPr>
          <w:sz w:val="22"/>
          <w:szCs w:val="22"/>
          <w:rtl/>
        </w:rPr>
        <w:t xml:space="preserve"> לתיקון כשלים המובנים בשיטת הממשל הדמוקרטית.  כאלו הפוגעים ברעיון הדמוקרטי עצמו, ושההליך הדמוקרטי הרגיל אינו יכול (בשל אופי הכשל) לתקנם.  במילים אחרות: זהו קו טיעון הנשען על קיומ</w:t>
      </w:r>
      <w:r w:rsidRPr="00720EDF">
        <w:rPr>
          <w:rFonts w:hint="cs"/>
          <w:sz w:val="22"/>
          <w:szCs w:val="22"/>
          <w:rtl/>
        </w:rPr>
        <w:t>ן</w:t>
      </w:r>
      <w:r w:rsidRPr="00720EDF">
        <w:rPr>
          <w:sz w:val="22"/>
          <w:szCs w:val="22"/>
          <w:rtl/>
        </w:rPr>
        <w:t xml:space="preserve"> של נורמות הגבוהות מהטקסט (גבוהות מהחקיקה, ובמקרים נדירים אף גבוהות מהחוקה הנוכחת במדינה)</w:t>
      </w:r>
      <w:r>
        <w:rPr>
          <w:rFonts w:hint="cs"/>
          <w:sz w:val="22"/>
          <w:szCs w:val="22"/>
          <w:rtl/>
        </w:rPr>
        <w:t>. נורמות-על אלו הן</w:t>
      </w:r>
      <w:r w:rsidRPr="00720EDF">
        <w:rPr>
          <w:sz w:val="22"/>
          <w:szCs w:val="22"/>
          <w:rtl/>
        </w:rPr>
        <w:t xml:space="preserve"> </w:t>
      </w:r>
      <w:r w:rsidRPr="00720EDF">
        <w:rPr>
          <w:rFonts w:hint="cs"/>
          <w:sz w:val="22"/>
          <w:szCs w:val="22"/>
          <w:rtl/>
        </w:rPr>
        <w:t xml:space="preserve">ערכי היסוד, ערכי הבסיס, של המדינה. </w:t>
      </w:r>
      <w:r w:rsidRPr="00720EDF">
        <w:rPr>
          <w:sz w:val="22"/>
          <w:szCs w:val="22"/>
          <w:rtl/>
        </w:rPr>
        <w:t>זהו קו הטיעון עליו מצביע</w:t>
      </w:r>
      <w:r w:rsidRPr="00720EDF">
        <w:rPr>
          <w:rFonts w:hint="cs"/>
          <w:sz w:val="22"/>
          <w:szCs w:val="22"/>
          <w:rtl/>
        </w:rPr>
        <w:t xml:space="preserve"> </w:t>
      </w:r>
      <w:r w:rsidRPr="00720EDF">
        <w:rPr>
          <w:sz w:val="22"/>
          <w:szCs w:val="22"/>
          <w:rtl/>
        </w:rPr>
        <w:t>השופט זוסמן ב</w:t>
      </w:r>
      <w:r w:rsidRPr="00720EDF">
        <w:rPr>
          <w:b/>
          <w:bCs/>
          <w:sz w:val="22"/>
          <w:szCs w:val="22"/>
          <w:rtl/>
        </w:rPr>
        <w:t>ירדור</w:t>
      </w:r>
      <w:r w:rsidRPr="00720EDF">
        <w:rPr>
          <w:rFonts w:hint="cs"/>
          <w:sz w:val="22"/>
          <w:szCs w:val="22"/>
          <w:rtl/>
        </w:rPr>
        <w:t>, בעקבות בית המשפט העליון הגרמני:</w:t>
      </w:r>
    </w:p>
    <w:p w:rsidR="005366A8" w:rsidRPr="00720EDF" w:rsidRDefault="005366A8" w:rsidP="005366A8">
      <w:pPr>
        <w:tabs>
          <w:tab w:val="left" w:pos="-720"/>
        </w:tabs>
        <w:ind w:left="720"/>
        <w:rPr>
          <w:sz w:val="22"/>
          <w:szCs w:val="22"/>
          <w:rtl/>
        </w:rPr>
      </w:pPr>
      <w:r w:rsidRPr="00720EDF">
        <w:rPr>
          <w:rFonts w:cs="FrankRuehl"/>
          <w:sz w:val="22"/>
          <w:szCs w:val="22"/>
          <w:rtl/>
        </w:rPr>
        <w:t xml:space="preserve">"אין לשלול פסלותה של הוראה בחוקה על שום כך בלבד שההוראה עצמה היא חלק מן החוקה. </w:t>
      </w:r>
      <w:r w:rsidRPr="00720EDF">
        <w:rPr>
          <w:rFonts w:cs="FrankRuehl"/>
          <w:b/>
          <w:bCs/>
          <w:sz w:val="22"/>
          <w:szCs w:val="22"/>
          <w:rtl/>
        </w:rPr>
        <w:t>ישנם כללים חוקתיים שהם כה יסודיים והם ביטוי של דין על חוקתי, עד כדי לקשור את מחוקק החוקה בכבודו ובעצמו</w:t>
      </w:r>
      <w:r w:rsidRPr="00720EDF">
        <w:rPr>
          <w:rFonts w:cs="FrankRuehl"/>
          <w:sz w:val="22"/>
          <w:szCs w:val="22"/>
          <w:rtl/>
        </w:rPr>
        <w:t>; הוראות חוקה אחרות, שאינן בעלות דרגה כזאת והן עומדות בסתירה לכללים אלה, יכולות להיפסל".</w:t>
      </w:r>
    </w:p>
    <w:p w:rsidR="005366A8" w:rsidRPr="00720EDF" w:rsidRDefault="005366A8" w:rsidP="005366A8">
      <w:pPr>
        <w:tabs>
          <w:tab w:val="left" w:pos="-720"/>
        </w:tabs>
        <w:rPr>
          <w:sz w:val="22"/>
          <w:szCs w:val="22"/>
          <w:rtl/>
        </w:rPr>
      </w:pPr>
      <w:r w:rsidRPr="00720EDF">
        <w:rPr>
          <w:rFonts w:hint="cs"/>
          <w:sz w:val="22"/>
          <w:szCs w:val="22"/>
          <w:rtl/>
        </w:rPr>
        <w:t xml:space="preserve">זו גם עמדתו של השופט חשין בעמדת היחיד שלו בפס"ד </w:t>
      </w:r>
      <w:r w:rsidRPr="00720EDF">
        <w:rPr>
          <w:rFonts w:hint="cs"/>
          <w:b/>
          <w:bCs/>
          <w:sz w:val="22"/>
          <w:szCs w:val="22"/>
          <w:rtl/>
        </w:rPr>
        <w:t>בענין חוק טל</w:t>
      </w:r>
      <w:r w:rsidRPr="00720EDF">
        <w:rPr>
          <w:rFonts w:hint="cs"/>
          <w:sz w:val="22"/>
          <w:szCs w:val="22"/>
          <w:rtl/>
        </w:rPr>
        <w:t xml:space="preserve"> ובעמדת המיעוט שלו בפסה"ד המרכזי שניתן לפני </w:t>
      </w:r>
      <w:r>
        <w:rPr>
          <w:rFonts w:hint="cs"/>
          <w:sz w:val="22"/>
          <w:szCs w:val="22"/>
          <w:rtl/>
        </w:rPr>
        <w:t>כמעט שני עשורים</w:t>
      </w:r>
      <w:r w:rsidRPr="00720EDF">
        <w:rPr>
          <w:rFonts w:hint="cs"/>
          <w:sz w:val="22"/>
          <w:szCs w:val="22"/>
          <w:rtl/>
        </w:rPr>
        <w:t xml:space="preserve">, </w:t>
      </w:r>
      <w:r w:rsidRPr="00720EDF">
        <w:rPr>
          <w:rFonts w:hint="cs"/>
          <w:b/>
          <w:bCs/>
          <w:sz w:val="22"/>
          <w:szCs w:val="22"/>
          <w:rtl/>
        </w:rPr>
        <w:t>בנק המזרחי</w:t>
      </w:r>
      <w:r w:rsidRPr="00720EDF">
        <w:rPr>
          <w:rFonts w:hint="cs"/>
          <w:sz w:val="22"/>
          <w:szCs w:val="22"/>
          <w:rtl/>
        </w:rPr>
        <w:t>:</w:t>
      </w:r>
    </w:p>
    <w:p w:rsidR="005366A8" w:rsidRPr="00720EDF" w:rsidRDefault="005366A8" w:rsidP="005366A8">
      <w:pPr>
        <w:tabs>
          <w:tab w:val="left" w:pos="-720"/>
        </w:tabs>
        <w:spacing w:after="120"/>
        <w:ind w:left="720"/>
        <w:rPr>
          <w:sz w:val="22"/>
          <w:szCs w:val="22"/>
          <w:rtl/>
        </w:rPr>
      </w:pPr>
      <w:r w:rsidRPr="00720EDF">
        <w:rPr>
          <w:rFonts w:cs="FrankRuehl"/>
          <w:sz w:val="22"/>
          <w:szCs w:val="22"/>
          <w:rtl/>
        </w:rPr>
        <w:t>כנסת פלונית מחוקקת חוק יסוד וקובעת בו כי תקופת כהונתה שלה-עצמה תורחב בארבע שנים נוספות אל-מעבר לארבע השנים שנקבעו בסעיף 8 לחוק יסוד: הכנסת</w:t>
      </w:r>
      <w:r w:rsidRPr="00720EDF">
        <w:rPr>
          <w:rFonts w:cs="FrankRuehl"/>
          <w:sz w:val="22"/>
          <w:szCs w:val="22"/>
        </w:rPr>
        <w:t>…</w:t>
      </w:r>
      <w:r w:rsidRPr="00720EDF">
        <w:rPr>
          <w:rFonts w:cs="FrankRuehl"/>
          <w:sz w:val="22"/>
          <w:szCs w:val="22"/>
          <w:rtl/>
        </w:rPr>
        <w:t xml:space="preserve"> חוק זה, לדעתי, יהיה בלתי חוקי בעליל </w:t>
      </w:r>
      <w:r w:rsidRPr="00720EDF">
        <w:rPr>
          <w:rFonts w:cs="FrankRuehl"/>
          <w:sz w:val="22"/>
          <w:szCs w:val="22"/>
        </w:rPr>
        <w:t>–</w:t>
      </w:r>
      <w:r w:rsidRPr="00720EDF">
        <w:rPr>
          <w:rFonts w:cs="FrankRuehl"/>
          <w:sz w:val="22"/>
          <w:szCs w:val="22"/>
          <w:rtl/>
        </w:rPr>
        <w:t xml:space="preserve"> מבחינה משפטית </w:t>
      </w:r>
      <w:r w:rsidRPr="00720EDF">
        <w:rPr>
          <w:rFonts w:cs="FrankRuehl"/>
          <w:sz w:val="22"/>
          <w:szCs w:val="22"/>
        </w:rPr>
        <w:t>–</w:t>
      </w:r>
      <w:r w:rsidRPr="00720EDF">
        <w:rPr>
          <w:rFonts w:cs="FrankRuehl"/>
          <w:sz w:val="22"/>
          <w:szCs w:val="22"/>
          <w:rtl/>
        </w:rPr>
        <w:t xml:space="preserve"> ואפילו יצביעו עבורו כל מאה ועשרים חברי הכנסת (אשר יאמרו להאריך את כהונתם שלהם)</w:t>
      </w:r>
      <w:r w:rsidRPr="00720EDF">
        <w:rPr>
          <w:rFonts w:cs="FrankRuehl"/>
          <w:sz w:val="22"/>
          <w:szCs w:val="22"/>
        </w:rPr>
        <w:t>…</w:t>
      </w:r>
      <w:r w:rsidRPr="00720EDF">
        <w:rPr>
          <w:rFonts w:cs="FrankRuehl"/>
          <w:sz w:val="22"/>
          <w:szCs w:val="22"/>
          <w:rtl/>
        </w:rPr>
        <w:t xml:space="preserve"> העם לא נתן יפוי-כוח בידי הכנסת להאריך את תקופת כהונתה שלה עצמה</w:t>
      </w:r>
      <w:r w:rsidRPr="00720EDF">
        <w:rPr>
          <w:rFonts w:cs="FrankRuehl"/>
          <w:sz w:val="22"/>
          <w:szCs w:val="22"/>
        </w:rPr>
        <w:t>…</w:t>
      </w:r>
    </w:p>
    <w:p w:rsidR="005366A8" w:rsidRDefault="005366A8" w:rsidP="005366A8">
      <w:pPr>
        <w:pStyle w:val="Title"/>
        <w:jc w:val="left"/>
        <w:rPr>
          <w:rFonts w:cs="Guttman-Soncino"/>
          <w:u w:val="none"/>
          <w:rtl/>
        </w:rPr>
      </w:pPr>
      <w:r>
        <w:rPr>
          <w:rFonts w:cs="Guttman-Soncino" w:hint="cs"/>
          <w:sz w:val="22"/>
          <w:szCs w:val="22"/>
          <w:u w:val="none"/>
          <w:rtl/>
        </w:rPr>
        <w:t>=-=</w:t>
      </w:r>
    </w:p>
    <w:p w:rsidR="005366A8" w:rsidRDefault="005366A8" w:rsidP="005366A8">
      <w:pPr>
        <w:pStyle w:val="Title"/>
        <w:rPr>
          <w:rFonts w:cs="Guttman-Soncino"/>
          <w:u w:val="none"/>
          <w:rtl/>
        </w:rPr>
      </w:pPr>
      <w:r>
        <w:rPr>
          <w:rFonts w:cs="Guttman-Soncino" w:hint="cs"/>
          <w:u w:val="none"/>
          <w:rtl/>
        </w:rPr>
        <w:t xml:space="preserve">2. </w:t>
      </w:r>
      <w:r w:rsidRPr="009345C6">
        <w:rPr>
          <w:rFonts w:cs="Guttman-Soncino"/>
          <w:u w:val="none"/>
          <w:rtl/>
        </w:rPr>
        <w:t>חוקה (פורמלית) וביקורת שיפוטית חוקתית</w:t>
      </w:r>
      <w:r w:rsidRPr="009345C6">
        <w:rPr>
          <w:rFonts w:cs="Guttman-Soncino" w:hint="cs"/>
          <w:u w:val="none"/>
          <w:rtl/>
        </w:rPr>
        <w:t xml:space="preserve">, ובלשון קיצור </w:t>
      </w:r>
      <w:r w:rsidRPr="00F40857">
        <w:rPr>
          <w:rFonts w:cs="Guttman-Soncino" w:hint="cs"/>
          <w:rtl/>
        </w:rPr>
        <w:t>"חוּקתיוּת"</w:t>
      </w:r>
      <w:r w:rsidRPr="009345C6">
        <w:rPr>
          <w:rFonts w:cs="Guttman-Soncino"/>
          <w:u w:val="none"/>
          <w:rtl/>
        </w:rPr>
        <w:t xml:space="preserve">: </w:t>
      </w:r>
    </w:p>
    <w:p w:rsidR="005366A8" w:rsidRPr="009345C6" w:rsidRDefault="005366A8" w:rsidP="005366A8">
      <w:pPr>
        <w:pStyle w:val="Title"/>
        <w:rPr>
          <w:rFonts w:cs="Guttman-Soncino"/>
          <w:u w:val="none"/>
          <w:rtl/>
        </w:rPr>
      </w:pPr>
      <w:r w:rsidRPr="009345C6">
        <w:rPr>
          <w:rFonts w:cs="Guttman-Soncino"/>
          <w:highlight w:val="yellow"/>
          <w:u w:val="none"/>
          <w:rtl/>
        </w:rPr>
        <w:t>טעמים בעד ונגד</w:t>
      </w:r>
      <w:r w:rsidRPr="009345C6">
        <w:rPr>
          <w:rStyle w:val="FootnoteReference"/>
          <w:rFonts w:ascii="Arial" w:hAnsi="Arial" w:cs="Guttman-Soncino"/>
          <w:b w:val="0"/>
          <w:bCs w:val="0"/>
          <w:u w:val="none"/>
          <w:rtl/>
        </w:rPr>
        <w:footnoteReference w:id="3"/>
      </w:r>
    </w:p>
    <w:p w:rsidR="005366A8" w:rsidRDefault="005366A8" w:rsidP="005366A8">
      <w:pPr>
        <w:jc w:val="center"/>
        <w:rPr>
          <w:b/>
          <w:bCs/>
          <w:rtl/>
        </w:rPr>
      </w:pPr>
    </w:p>
    <w:p w:rsidR="005366A8" w:rsidRPr="00FF1B5F" w:rsidRDefault="005366A8" w:rsidP="005366A8">
      <w:pPr>
        <w:spacing w:after="120"/>
        <w:rPr>
          <w:b/>
          <w:bCs/>
          <w:sz w:val="20"/>
          <w:szCs w:val="20"/>
          <w:rtl/>
        </w:rPr>
      </w:pPr>
      <w:r w:rsidRPr="00FF1B5F">
        <w:rPr>
          <w:b/>
          <w:bCs/>
          <w:sz w:val="22"/>
          <w:szCs w:val="22"/>
          <w:rtl/>
        </w:rPr>
        <w:t xml:space="preserve">א. </w:t>
      </w:r>
      <w:r w:rsidRPr="00FF1B5F">
        <w:rPr>
          <w:b/>
          <w:bCs/>
          <w:sz w:val="22"/>
          <w:szCs w:val="22"/>
          <w:highlight w:val="yellow"/>
          <w:rtl/>
        </w:rPr>
        <w:t xml:space="preserve">טעמים </w:t>
      </w:r>
      <w:r w:rsidRPr="00FF1B5F">
        <w:rPr>
          <w:b/>
          <w:bCs/>
          <w:i/>
          <w:iCs/>
          <w:sz w:val="22"/>
          <w:szCs w:val="22"/>
          <w:highlight w:val="yellow"/>
          <w:rtl/>
        </w:rPr>
        <w:t>כלליים</w:t>
      </w:r>
      <w:r w:rsidRPr="00FF1B5F">
        <w:rPr>
          <w:rFonts w:hint="cs"/>
          <w:b/>
          <w:bCs/>
          <w:sz w:val="22"/>
          <w:szCs w:val="22"/>
          <w:highlight w:val="yellow"/>
          <w:rtl/>
        </w:rPr>
        <w:t xml:space="preserve"> בעד ונגד </w:t>
      </w:r>
      <w:r w:rsidRPr="00FF1B5F">
        <w:rPr>
          <w:rFonts w:hint="cs"/>
          <w:b/>
          <w:bCs/>
          <w:sz w:val="22"/>
          <w:szCs w:val="22"/>
          <w:rtl/>
        </w:rPr>
        <w:t>חוקה וביקורת שיפוטית חוקתית</w:t>
      </w:r>
      <w:r w:rsidRPr="00FF1B5F">
        <w:rPr>
          <w:b/>
          <w:bCs/>
          <w:sz w:val="22"/>
          <w:szCs w:val="22"/>
          <w:rtl/>
        </w:rPr>
        <w:t xml:space="preserve"> </w:t>
      </w:r>
      <w:r w:rsidRPr="00FF1B5F">
        <w:rPr>
          <w:b/>
          <w:bCs/>
          <w:sz w:val="22"/>
          <w:szCs w:val="22"/>
        </w:rPr>
        <w:t>–</w:t>
      </w:r>
      <w:r w:rsidRPr="00FF1B5F">
        <w:rPr>
          <w:b/>
          <w:bCs/>
          <w:sz w:val="22"/>
          <w:szCs w:val="22"/>
          <w:rtl/>
        </w:rPr>
        <w:t xml:space="preserve"> המישור העקרוני;</w:t>
      </w:r>
      <w:r>
        <w:rPr>
          <w:b/>
          <w:bCs/>
          <w:szCs w:val="22"/>
          <w:rtl/>
        </w:rPr>
        <w:t xml:space="preserve"> </w:t>
      </w:r>
      <w:r w:rsidRPr="00FF1B5F">
        <w:rPr>
          <w:rFonts w:hint="cs"/>
          <w:sz w:val="20"/>
          <w:szCs w:val="20"/>
          <w:rtl/>
        </w:rPr>
        <w:t>[העמודים שלהלן מוקדשים בעיקר לטעמים הללו]</w:t>
      </w:r>
      <w:r>
        <w:rPr>
          <w:rFonts w:hint="cs"/>
          <w:sz w:val="20"/>
          <w:szCs w:val="20"/>
          <w:rtl/>
        </w:rPr>
        <w:t>;</w:t>
      </w:r>
    </w:p>
    <w:p w:rsidR="005366A8" w:rsidRPr="00FF1B5F" w:rsidRDefault="005366A8" w:rsidP="005366A8">
      <w:pPr>
        <w:spacing w:after="120"/>
        <w:ind w:left="720" w:hanging="720"/>
        <w:rPr>
          <w:b/>
          <w:bCs/>
          <w:sz w:val="22"/>
          <w:szCs w:val="22"/>
          <w:rtl/>
        </w:rPr>
      </w:pPr>
      <w:r w:rsidRPr="00FF1B5F">
        <w:rPr>
          <w:b/>
          <w:bCs/>
          <w:sz w:val="22"/>
          <w:szCs w:val="22"/>
          <w:rtl/>
        </w:rPr>
        <w:t xml:space="preserve">ב. טעמים </w:t>
      </w:r>
      <w:r w:rsidRPr="00FF1B5F">
        <w:rPr>
          <w:rFonts w:hint="cs"/>
          <w:b/>
          <w:bCs/>
          <w:sz w:val="22"/>
          <w:szCs w:val="22"/>
          <w:rtl/>
        </w:rPr>
        <w:t>בעד ונגד (</w:t>
      </w:r>
      <w:r w:rsidRPr="00FF1B5F">
        <w:rPr>
          <w:b/>
          <w:bCs/>
          <w:sz w:val="22"/>
          <w:szCs w:val="22"/>
          <w:rtl/>
        </w:rPr>
        <w:t>המתחדדים או מתקהים</w:t>
      </w:r>
      <w:r w:rsidRPr="00FF1B5F">
        <w:rPr>
          <w:rFonts w:hint="cs"/>
          <w:b/>
          <w:bCs/>
          <w:sz w:val="22"/>
          <w:szCs w:val="22"/>
          <w:rtl/>
        </w:rPr>
        <w:t>)</w:t>
      </w:r>
      <w:r w:rsidRPr="00FF1B5F">
        <w:rPr>
          <w:b/>
          <w:bCs/>
          <w:sz w:val="22"/>
          <w:szCs w:val="22"/>
          <w:rtl/>
        </w:rPr>
        <w:t xml:space="preserve"> </w:t>
      </w:r>
      <w:r w:rsidRPr="00FF1B5F">
        <w:rPr>
          <w:b/>
          <w:bCs/>
          <w:sz w:val="22"/>
          <w:szCs w:val="22"/>
          <w:highlight w:val="yellow"/>
          <w:rtl/>
        </w:rPr>
        <w:t>ב</w:t>
      </w:r>
      <w:r w:rsidRPr="00FF1B5F">
        <w:rPr>
          <w:rFonts w:hint="cs"/>
          <w:b/>
          <w:bCs/>
          <w:sz w:val="22"/>
          <w:szCs w:val="22"/>
          <w:highlight w:val="yellow"/>
          <w:rtl/>
        </w:rPr>
        <w:t>של ה</w:t>
      </w:r>
      <w:r w:rsidRPr="00FF1B5F">
        <w:rPr>
          <w:b/>
          <w:bCs/>
          <w:sz w:val="22"/>
          <w:szCs w:val="22"/>
          <w:highlight w:val="yellow"/>
          <w:rtl/>
        </w:rPr>
        <w:t>הקשר הקונקרטי של ישראל</w:t>
      </w:r>
      <w:r>
        <w:rPr>
          <w:rFonts w:hint="cs"/>
          <w:b/>
          <w:bCs/>
          <w:sz w:val="22"/>
          <w:szCs w:val="22"/>
          <w:rtl/>
        </w:rPr>
        <w:t>, נסיבותיה הפרטיקולאריות (=אלו הנוגעות לה, מיוחדות לה)</w:t>
      </w:r>
      <w:r w:rsidRPr="00FF1B5F">
        <w:rPr>
          <w:b/>
          <w:bCs/>
          <w:sz w:val="22"/>
          <w:szCs w:val="22"/>
          <w:rtl/>
        </w:rPr>
        <w:t xml:space="preserve">; </w:t>
      </w:r>
    </w:p>
    <w:p w:rsidR="005366A8" w:rsidRDefault="005366A8" w:rsidP="005366A8">
      <w:pPr>
        <w:rPr>
          <w:sz w:val="22"/>
          <w:szCs w:val="22"/>
          <w:rtl/>
        </w:rPr>
      </w:pPr>
      <w:r w:rsidRPr="00FF1B5F">
        <w:rPr>
          <w:b/>
          <w:bCs/>
          <w:sz w:val="22"/>
          <w:szCs w:val="22"/>
          <w:rtl/>
        </w:rPr>
        <w:t xml:space="preserve">ג. בעיותיה המיוחדות של החוקה שהתגבשה בישראל </w:t>
      </w:r>
      <w:r>
        <w:rPr>
          <w:rFonts w:hint="cs"/>
          <w:b/>
          <w:bCs/>
          <w:sz w:val="22"/>
          <w:szCs w:val="22"/>
          <w:rtl/>
        </w:rPr>
        <w:t>בחוקי היסוד,</w:t>
      </w:r>
      <w:r w:rsidRPr="00FF1B5F">
        <w:rPr>
          <w:b/>
          <w:bCs/>
          <w:sz w:val="22"/>
          <w:szCs w:val="22"/>
          <w:rtl/>
        </w:rPr>
        <w:t xml:space="preserve"> </w:t>
      </w:r>
      <w:r>
        <w:rPr>
          <w:rFonts w:hint="cs"/>
          <w:b/>
          <w:bCs/>
          <w:sz w:val="22"/>
          <w:szCs w:val="22"/>
          <w:rtl/>
        </w:rPr>
        <w:t xml:space="preserve">זאת </w:t>
      </w:r>
      <w:r w:rsidRPr="00FF1B5F">
        <w:rPr>
          <w:b/>
          <w:bCs/>
          <w:sz w:val="22"/>
          <w:szCs w:val="22"/>
          <w:highlight w:val="yellow"/>
          <w:rtl/>
        </w:rPr>
        <w:t xml:space="preserve">לאור </w:t>
      </w:r>
      <w:r>
        <w:rPr>
          <w:rFonts w:hint="cs"/>
          <w:b/>
          <w:bCs/>
          <w:sz w:val="22"/>
          <w:szCs w:val="22"/>
          <w:highlight w:val="yellow"/>
          <w:rtl/>
        </w:rPr>
        <w:t>ה</w:t>
      </w:r>
      <w:r w:rsidRPr="00FF1B5F">
        <w:rPr>
          <w:b/>
          <w:bCs/>
          <w:sz w:val="22"/>
          <w:szCs w:val="22"/>
          <w:highlight w:val="yellow"/>
          <w:rtl/>
        </w:rPr>
        <w:t xml:space="preserve">אופן </w:t>
      </w:r>
      <w:r>
        <w:rPr>
          <w:rFonts w:hint="cs"/>
          <w:b/>
          <w:bCs/>
          <w:sz w:val="22"/>
          <w:szCs w:val="22"/>
          <w:highlight w:val="yellow"/>
          <w:rtl/>
        </w:rPr>
        <w:t>שבו התקבלו חוקי היסוד, האופן שבו הובנה משמעותם, וכן לאור תכניהם ומידת שיריונם</w:t>
      </w:r>
      <w:r>
        <w:rPr>
          <w:rFonts w:hint="cs"/>
          <w:b/>
          <w:bCs/>
          <w:sz w:val="22"/>
          <w:szCs w:val="22"/>
          <w:rtl/>
        </w:rPr>
        <w:t>.</w:t>
      </w:r>
      <w:r w:rsidRPr="00FF1B5F">
        <w:rPr>
          <w:b/>
          <w:bCs/>
          <w:sz w:val="22"/>
          <w:szCs w:val="22"/>
          <w:rtl/>
        </w:rPr>
        <w:t xml:space="preserve"> </w:t>
      </w:r>
    </w:p>
    <w:p w:rsidR="005366A8" w:rsidRDefault="005366A8" w:rsidP="005366A8">
      <w:pPr>
        <w:pStyle w:val="T-body"/>
        <w:spacing w:line="240" w:lineRule="auto"/>
        <w:jc w:val="center"/>
        <w:rPr>
          <w:szCs w:val="22"/>
          <w:rtl/>
        </w:rPr>
      </w:pPr>
      <w:r>
        <w:rPr>
          <w:szCs w:val="22"/>
          <w:rtl/>
        </w:rPr>
        <w:t>=-=</w:t>
      </w:r>
    </w:p>
    <w:p w:rsidR="005366A8" w:rsidRDefault="005366A8" w:rsidP="005366A8">
      <w:pPr>
        <w:pStyle w:val="T-body"/>
        <w:spacing w:line="240" w:lineRule="auto"/>
        <w:jc w:val="center"/>
        <w:rPr>
          <w:szCs w:val="22"/>
          <w:rtl/>
        </w:rPr>
      </w:pPr>
    </w:p>
    <w:p w:rsidR="005366A8" w:rsidRPr="00CD66C9" w:rsidRDefault="005366A8" w:rsidP="005366A8">
      <w:pPr>
        <w:jc w:val="center"/>
        <w:rPr>
          <w:rFonts w:ascii="Arial" w:hAnsi="Arial" w:cs="Arial"/>
          <w:b/>
          <w:bCs/>
          <w:rtl/>
        </w:rPr>
      </w:pPr>
      <w:r w:rsidRPr="00215FCE">
        <w:rPr>
          <w:rFonts w:ascii="Arial" w:hAnsi="Arial" w:cs="Arial"/>
          <w:b/>
          <w:bCs/>
          <w:u w:val="single"/>
          <w:rtl/>
        </w:rPr>
        <w:t>שני קשיים מרכזיים</w:t>
      </w:r>
      <w:r w:rsidRPr="00CD66C9">
        <w:rPr>
          <w:rFonts w:ascii="Arial" w:hAnsi="Arial" w:cs="Arial"/>
          <w:b/>
          <w:bCs/>
          <w:rtl/>
        </w:rPr>
        <w:t xml:space="preserve"> במישור הכללי-עקרוני</w:t>
      </w:r>
      <w:r w:rsidRPr="00270A65">
        <w:rPr>
          <w:rFonts w:ascii="Arial" w:hAnsi="Arial" w:cs="Arial" w:hint="cs"/>
          <w:b/>
          <w:bCs/>
          <w:rtl/>
        </w:rPr>
        <w:t xml:space="preserve"> </w:t>
      </w:r>
      <w:r>
        <w:rPr>
          <w:rFonts w:ascii="Arial" w:hAnsi="Arial" w:cs="Arial" w:hint="cs"/>
          <w:b/>
          <w:bCs/>
          <w:rtl/>
        </w:rPr>
        <w:t>לקיומן של חוקה וביקורת שיפוטית חוקתית</w:t>
      </w:r>
    </w:p>
    <w:p w:rsidR="005366A8" w:rsidRPr="000617B8" w:rsidRDefault="005366A8" w:rsidP="005366A8">
      <w:pPr>
        <w:rPr>
          <w:sz w:val="20"/>
          <w:szCs w:val="20"/>
          <w:rtl/>
        </w:rPr>
      </w:pPr>
    </w:p>
    <w:p w:rsidR="005366A8" w:rsidRPr="000617B8" w:rsidRDefault="005366A8" w:rsidP="005366A8">
      <w:pPr>
        <w:rPr>
          <w:sz w:val="20"/>
          <w:szCs w:val="20"/>
          <w:rtl/>
        </w:rPr>
      </w:pPr>
      <w:r w:rsidRPr="000617B8">
        <w:rPr>
          <w:rFonts w:hint="cs"/>
          <w:sz w:val="20"/>
          <w:szCs w:val="20"/>
          <w:u w:val="single"/>
          <w:rtl/>
        </w:rPr>
        <w:t>1</w:t>
      </w:r>
      <w:r w:rsidRPr="000617B8">
        <w:rPr>
          <w:sz w:val="20"/>
          <w:szCs w:val="20"/>
          <w:rtl/>
        </w:rPr>
        <w:t xml:space="preserve">. </w:t>
      </w:r>
      <w:r w:rsidRPr="000617B8">
        <w:rPr>
          <w:rFonts w:hint="cs"/>
          <w:b/>
          <w:bCs/>
          <w:sz w:val="20"/>
          <w:szCs w:val="20"/>
          <w:rtl/>
        </w:rPr>
        <w:t xml:space="preserve">"הטיעון הרובני (המג'וריטרי)": </w:t>
      </w:r>
      <w:r w:rsidRPr="000617B8">
        <w:rPr>
          <w:rFonts w:hint="cs"/>
          <w:sz w:val="20"/>
          <w:szCs w:val="20"/>
          <w:rtl/>
        </w:rPr>
        <w:t>ה</w:t>
      </w:r>
      <w:r w:rsidRPr="000617B8">
        <w:rPr>
          <w:sz w:val="20"/>
          <w:szCs w:val="20"/>
          <w:rtl/>
        </w:rPr>
        <w:t>כלים של חוקה ושל ביקורת שיפוטית חוקתית</w:t>
      </w:r>
      <w:r w:rsidRPr="000617B8">
        <w:rPr>
          <w:rFonts w:hint="cs"/>
          <w:sz w:val="20"/>
          <w:szCs w:val="20"/>
          <w:rtl/>
        </w:rPr>
        <w:t xml:space="preserve"> הם בעייתיים שכן הם גוברים על רצונו של הרוב</w:t>
      </w:r>
      <w:r w:rsidRPr="000617B8">
        <w:rPr>
          <w:sz w:val="20"/>
          <w:szCs w:val="20"/>
          <w:rtl/>
        </w:rPr>
        <w:t xml:space="preserve">.  </w:t>
      </w:r>
    </w:p>
    <w:p w:rsidR="005366A8" w:rsidRPr="000617B8" w:rsidRDefault="005366A8" w:rsidP="005366A8">
      <w:pPr>
        <w:spacing w:after="120"/>
        <w:ind w:left="720"/>
        <w:rPr>
          <w:sz w:val="20"/>
          <w:szCs w:val="20"/>
          <w:rtl/>
        </w:rPr>
      </w:pPr>
      <w:r w:rsidRPr="000617B8">
        <w:rPr>
          <w:sz w:val="20"/>
          <w:szCs w:val="20"/>
          <w:rtl/>
        </w:rPr>
        <w:t>אם בסיס ההצדקה של הדמוקרטיה הוא הסכמת הנשלטים, כיצד זה מתיישב עם חסימתם של רוב הנשלטים מלהכריע הכרעות מסוימות?  מדוע מעניקים למיעוט אפשרות למנוע קבלת החלטות מסוימות המועדפות על-ידי הרוב?  האם אין כאן פגיעה בשוויון בין בני האדם?  יתר על כן, מדוע מעבירים כוח כה רב למוסד (בתי המשפט) שאינו נבחר בפרוצדורה דמוקרטית רגילה, ואינו משתנה על פי פרוצדורה כזו (מוסד אנטי-רובני)</w:t>
      </w:r>
      <w:r w:rsidRPr="000617B8">
        <w:rPr>
          <w:rFonts w:hint="cs"/>
          <w:sz w:val="20"/>
          <w:szCs w:val="20"/>
          <w:rtl/>
        </w:rPr>
        <w:t>?</w:t>
      </w:r>
      <w:r w:rsidRPr="000617B8">
        <w:rPr>
          <w:sz w:val="20"/>
          <w:szCs w:val="20"/>
          <w:rtl/>
        </w:rPr>
        <w:t xml:space="preserve">  </w:t>
      </w:r>
    </w:p>
    <w:p w:rsidR="005366A8" w:rsidRPr="000617B8" w:rsidRDefault="005366A8" w:rsidP="005366A8">
      <w:pPr>
        <w:rPr>
          <w:b/>
          <w:bCs/>
          <w:sz w:val="20"/>
          <w:szCs w:val="20"/>
          <w:rtl/>
        </w:rPr>
      </w:pPr>
      <w:r w:rsidRPr="000617B8">
        <w:rPr>
          <w:rFonts w:hint="cs"/>
          <w:sz w:val="20"/>
          <w:szCs w:val="20"/>
          <w:u w:val="single"/>
          <w:rtl/>
        </w:rPr>
        <w:t>2</w:t>
      </w:r>
      <w:r w:rsidRPr="000617B8">
        <w:rPr>
          <w:sz w:val="20"/>
          <w:szCs w:val="20"/>
          <w:rtl/>
        </w:rPr>
        <w:t xml:space="preserve">. </w:t>
      </w:r>
      <w:r w:rsidRPr="000617B8">
        <w:rPr>
          <w:b/>
          <w:bCs/>
          <w:sz w:val="20"/>
          <w:szCs w:val="20"/>
          <w:rtl/>
        </w:rPr>
        <w:t>הכשל הבין-זמני/ הבין-דורי</w:t>
      </w:r>
    </w:p>
    <w:p w:rsidR="005366A8" w:rsidRPr="000617B8" w:rsidRDefault="005366A8" w:rsidP="005366A8">
      <w:pPr>
        <w:pStyle w:val="T-body"/>
        <w:tabs>
          <w:tab w:val="left" w:pos="-720"/>
        </w:tabs>
        <w:spacing w:line="240" w:lineRule="auto"/>
        <w:ind w:left="720"/>
        <w:rPr>
          <w:sz w:val="20"/>
          <w:szCs w:val="20"/>
          <w:rtl/>
        </w:rPr>
      </w:pPr>
      <w:r w:rsidRPr="000617B8">
        <w:rPr>
          <w:sz w:val="20"/>
          <w:szCs w:val="20"/>
          <w:rtl/>
        </w:rPr>
        <w:t xml:space="preserve">דוגמא </w:t>
      </w:r>
      <w:r w:rsidRPr="000617B8">
        <w:rPr>
          <w:rFonts w:hint="cs"/>
          <w:sz w:val="20"/>
          <w:szCs w:val="20"/>
          <w:rtl/>
        </w:rPr>
        <w:t>המופיעה במאמר של</w:t>
      </w:r>
      <w:r w:rsidRPr="000617B8">
        <w:rPr>
          <w:sz w:val="20"/>
          <w:szCs w:val="20"/>
          <w:rtl/>
        </w:rPr>
        <w:t xml:space="preserve"> </w:t>
      </w:r>
      <w:r w:rsidRPr="000617B8">
        <w:rPr>
          <w:rFonts w:hint="cs"/>
          <w:sz w:val="20"/>
          <w:szCs w:val="20"/>
          <w:rtl/>
        </w:rPr>
        <w:t xml:space="preserve">פרופ' </w:t>
      </w:r>
      <w:r w:rsidRPr="000617B8">
        <w:rPr>
          <w:sz w:val="20"/>
          <w:szCs w:val="20"/>
          <w:rtl/>
        </w:rPr>
        <w:t xml:space="preserve">דותן: </w:t>
      </w:r>
    </w:p>
    <w:p w:rsidR="005366A8" w:rsidRPr="000617B8" w:rsidRDefault="005366A8" w:rsidP="005366A8">
      <w:pPr>
        <w:pStyle w:val="T-body"/>
        <w:tabs>
          <w:tab w:val="left" w:pos="-720"/>
        </w:tabs>
        <w:spacing w:after="60" w:line="240" w:lineRule="auto"/>
        <w:ind w:left="1160"/>
        <w:rPr>
          <w:rFonts w:ascii="Arial" w:hAnsi="Arial" w:cs="Arial"/>
          <w:sz w:val="18"/>
          <w:szCs w:val="18"/>
          <w:rtl/>
        </w:rPr>
      </w:pPr>
      <w:r w:rsidRPr="000617B8">
        <w:rPr>
          <w:rFonts w:ascii="Arial" w:hAnsi="Arial" w:cs="Arial"/>
          <w:sz w:val="18"/>
          <w:szCs w:val="18"/>
          <w:rtl/>
        </w:rPr>
        <w:t xml:space="preserve">חוקה שהתקבלה במאה ה-19, ולפיה רק גברים זכאים להיבחר למשרות ציבוריות. נניח כי החוקה כוללת סעיף המשריין את קביעות החוקה במובן זה שכדי לשנותן נדרש רוב של שני שלישים לפחות מקולות המצביעים במשאל-עם. נערך בהווה משאל-עם שכזה. תומכים 65% מהאזרחים בשינוי סעיף החוקה, ובהשוואת זכות ההיבחרות למשרות ציבוריות של גברים ונשים. במערך נתונים עובדתי כזה עדיין תמנע החוקה את הרפורמה בנושא זה. כלומר: מיעוט שוביניסטי קטן-יחסית של קצת יותר משליש מהמצביעים יכול למנוע רפורמה בנושא קריטי במהותו ובחשיבותו; וזאת הגם שהרוב המכריע של הציבור כיום תומך בקיום רפורמה כזו. </w:t>
      </w:r>
    </w:p>
    <w:p w:rsidR="005366A8" w:rsidRPr="000617B8" w:rsidRDefault="005366A8" w:rsidP="005366A8">
      <w:pPr>
        <w:pStyle w:val="T-body"/>
        <w:tabs>
          <w:tab w:val="left" w:pos="-720"/>
        </w:tabs>
        <w:spacing w:line="240" w:lineRule="auto"/>
        <w:ind w:left="720"/>
        <w:rPr>
          <w:sz w:val="20"/>
          <w:szCs w:val="20"/>
          <w:rtl/>
        </w:rPr>
      </w:pPr>
      <w:r w:rsidRPr="000617B8">
        <w:rPr>
          <w:sz w:val="20"/>
          <w:szCs w:val="20"/>
          <w:rtl/>
        </w:rPr>
        <w:t>משמע, חוקה היא מכשיר המאפשר לרוב (כלשהו, בהתאם לקביעות מכונני החוקה) בנקודת זמן מסוימת (בדוגמא: אי שם במאה ה</w:t>
      </w:r>
      <w:r w:rsidRPr="000617B8">
        <w:rPr>
          <w:rFonts w:hint="cs"/>
          <w:sz w:val="20"/>
          <w:szCs w:val="20"/>
          <w:rtl/>
        </w:rPr>
        <w:t>-</w:t>
      </w:r>
      <w:r w:rsidRPr="000617B8">
        <w:rPr>
          <w:sz w:val="20"/>
          <w:szCs w:val="20"/>
          <w:rtl/>
        </w:rPr>
        <w:t xml:space="preserve">19) להגביל את יכולת ההכרעה הפוליטית של רוב האזרחים בנקודת-זמן מאוחרת יותר. </w:t>
      </w:r>
      <w:r w:rsidRPr="000617B8">
        <w:rPr>
          <w:rFonts w:hint="cs"/>
          <w:sz w:val="20"/>
          <w:szCs w:val="20"/>
          <w:rtl/>
        </w:rPr>
        <w:t xml:space="preserve">אך הנה, כמו בדוגמא לעיתים אין זה ראוי. </w:t>
      </w:r>
      <w:r w:rsidRPr="000617B8">
        <w:rPr>
          <w:rFonts w:hint="cs"/>
          <w:b/>
          <w:bCs/>
          <w:sz w:val="20"/>
          <w:szCs w:val="20"/>
          <w:rtl/>
        </w:rPr>
        <w:t>מתי ראוי?</w:t>
      </w:r>
      <w:r w:rsidRPr="000617B8">
        <w:rPr>
          <w:rFonts w:hint="cs"/>
          <w:sz w:val="20"/>
          <w:szCs w:val="20"/>
          <w:rtl/>
        </w:rPr>
        <w:t xml:space="preserve"> ראוי לגונן על "כללי המשחק" ועל "ערכי היסוד". אך מהותם זו של הכללים המוגנים היא תנאי הכרחי, להבדיל מתנאי מספיק. שהרי אין זה ראוי לגונן הגנה מיוחדת על כלל משחק לא הוגן או בלתי ראוי או על ערך היסוד פסול.</w:t>
      </w:r>
    </w:p>
    <w:p w:rsidR="005366A8" w:rsidRDefault="005366A8" w:rsidP="005366A8">
      <w:pPr>
        <w:pStyle w:val="T-body"/>
        <w:spacing w:line="240" w:lineRule="auto"/>
        <w:rPr>
          <w:sz w:val="20"/>
          <w:szCs w:val="20"/>
          <w:rtl/>
        </w:rPr>
      </w:pPr>
    </w:p>
    <w:p w:rsidR="005366A8" w:rsidRDefault="005366A8" w:rsidP="005366A8">
      <w:pPr>
        <w:pStyle w:val="T-body"/>
        <w:spacing w:line="240" w:lineRule="auto"/>
        <w:rPr>
          <w:sz w:val="20"/>
          <w:szCs w:val="20"/>
          <w:rtl/>
        </w:rPr>
      </w:pPr>
      <w:r>
        <w:rPr>
          <w:rFonts w:hint="cs"/>
          <w:sz w:val="20"/>
          <w:szCs w:val="20"/>
          <w:rtl/>
        </w:rPr>
        <w:t>[יש קשיים נוספים המופיעים בהקשרה הקונקרטי של ישראל ושל המסגרת החוקתית שנוצרה בה. נדון בכך בהמשך].</w:t>
      </w:r>
    </w:p>
    <w:p w:rsidR="005366A8" w:rsidRDefault="005366A8" w:rsidP="005366A8">
      <w:pPr>
        <w:pStyle w:val="T-body"/>
        <w:spacing w:line="240" w:lineRule="auto"/>
        <w:rPr>
          <w:sz w:val="20"/>
          <w:szCs w:val="20"/>
          <w:rtl/>
        </w:rPr>
      </w:pPr>
    </w:p>
    <w:p w:rsidR="005366A8" w:rsidRPr="000617B8" w:rsidRDefault="005366A8" w:rsidP="005366A8">
      <w:pPr>
        <w:pStyle w:val="T-body"/>
        <w:spacing w:line="240" w:lineRule="auto"/>
        <w:rPr>
          <w:sz w:val="20"/>
          <w:szCs w:val="20"/>
          <w:rtl/>
        </w:rPr>
      </w:pPr>
    </w:p>
    <w:p w:rsidR="005366A8" w:rsidRPr="000617B8" w:rsidRDefault="005366A8" w:rsidP="005366A8">
      <w:pPr>
        <w:pStyle w:val="T-body"/>
        <w:spacing w:line="240" w:lineRule="auto"/>
        <w:jc w:val="center"/>
        <w:rPr>
          <w:rFonts w:ascii="Arial" w:hAnsi="Arial" w:cs="Arial"/>
          <w:b/>
          <w:bCs/>
          <w:sz w:val="20"/>
          <w:szCs w:val="20"/>
          <w:rtl/>
        </w:rPr>
      </w:pPr>
      <w:r w:rsidRPr="000617B8">
        <w:rPr>
          <w:rFonts w:ascii="Arial" w:hAnsi="Arial" w:cs="Arial"/>
          <w:b/>
          <w:bCs/>
          <w:sz w:val="20"/>
          <w:szCs w:val="20"/>
          <w:u w:val="single"/>
          <w:rtl/>
        </w:rPr>
        <w:t>יתרונות עיקריים</w:t>
      </w:r>
      <w:r w:rsidRPr="000617B8">
        <w:rPr>
          <w:rFonts w:ascii="Arial" w:hAnsi="Arial" w:cs="Arial" w:hint="cs"/>
          <w:b/>
          <w:bCs/>
          <w:sz w:val="20"/>
          <w:szCs w:val="20"/>
          <w:rtl/>
        </w:rPr>
        <w:t xml:space="preserve"> של החוקתיות </w:t>
      </w:r>
      <w:r w:rsidRPr="000617B8">
        <w:rPr>
          <w:rFonts w:ascii="Arial" w:hAnsi="Arial" w:cs="Arial"/>
          <w:b/>
          <w:bCs/>
          <w:sz w:val="20"/>
          <w:szCs w:val="20"/>
          <w:rtl/>
        </w:rPr>
        <w:t>–</w:t>
      </w:r>
      <w:r w:rsidRPr="000617B8">
        <w:rPr>
          <w:rFonts w:ascii="Arial" w:hAnsi="Arial" w:cs="Arial" w:hint="cs"/>
          <w:b/>
          <w:bCs/>
          <w:sz w:val="20"/>
          <w:szCs w:val="20"/>
          <w:rtl/>
        </w:rPr>
        <w:t xml:space="preserve"> טיעונים במישור הכללי-עקרוני</w:t>
      </w:r>
    </w:p>
    <w:p w:rsidR="005366A8" w:rsidRPr="000617B8" w:rsidRDefault="005366A8" w:rsidP="005366A8">
      <w:pPr>
        <w:pStyle w:val="T-body"/>
        <w:spacing w:line="240" w:lineRule="auto"/>
        <w:rPr>
          <w:sz w:val="20"/>
          <w:szCs w:val="20"/>
          <w:rtl/>
        </w:rPr>
      </w:pPr>
    </w:p>
    <w:p w:rsidR="005366A8" w:rsidRPr="000617B8" w:rsidRDefault="005366A8" w:rsidP="005366A8">
      <w:pPr>
        <w:pStyle w:val="T-body"/>
        <w:spacing w:after="60" w:line="240" w:lineRule="auto"/>
        <w:rPr>
          <w:sz w:val="20"/>
          <w:szCs w:val="20"/>
          <w:rtl/>
        </w:rPr>
      </w:pPr>
      <w:r w:rsidRPr="000617B8">
        <w:rPr>
          <w:sz w:val="20"/>
          <w:szCs w:val="20"/>
          <w:u w:val="single"/>
          <w:rtl/>
        </w:rPr>
        <w:t>1</w:t>
      </w:r>
      <w:r w:rsidRPr="000617B8">
        <w:rPr>
          <w:b/>
          <w:bCs/>
          <w:sz w:val="20"/>
          <w:szCs w:val="20"/>
          <w:rtl/>
        </w:rPr>
        <w:t>. בעיית הנציג</w:t>
      </w:r>
      <w:r w:rsidRPr="000617B8">
        <w:rPr>
          <w:sz w:val="20"/>
          <w:szCs w:val="20"/>
          <w:rtl/>
        </w:rPr>
        <w:t xml:space="preserve">.  דמוקרטיות מודרניות מתנהלות (בעיקרן או באופן מלא) כדמוקרטיות </w:t>
      </w:r>
      <w:r w:rsidRPr="000617B8">
        <w:rPr>
          <w:rFonts w:hint="cs"/>
          <w:sz w:val="20"/>
          <w:szCs w:val="20"/>
          <w:rtl/>
        </w:rPr>
        <w:t xml:space="preserve">שאינן ישירות </w:t>
      </w:r>
      <w:r w:rsidRPr="000617B8">
        <w:rPr>
          <w:sz w:val="20"/>
          <w:szCs w:val="20"/>
          <w:rtl/>
        </w:rPr>
        <w:t>–</w:t>
      </w:r>
      <w:r w:rsidRPr="000617B8">
        <w:rPr>
          <w:rFonts w:hint="cs"/>
          <w:sz w:val="20"/>
          <w:szCs w:val="20"/>
          <w:rtl/>
        </w:rPr>
        <w:t xml:space="preserve"> דמוקרטיות המתנהלות על-פי נציגים</w:t>
      </w:r>
      <w:r w:rsidRPr="000617B8">
        <w:rPr>
          <w:sz w:val="20"/>
          <w:szCs w:val="20"/>
          <w:rtl/>
        </w:rPr>
        <w:t>: אנחנו, אזרחי החברה, שולטים בגורלנו דרך בחירת שליטינו</w:t>
      </w:r>
      <w:r w:rsidRPr="000617B8">
        <w:rPr>
          <w:rFonts w:hint="cs"/>
          <w:sz w:val="20"/>
          <w:szCs w:val="20"/>
          <w:rtl/>
        </w:rPr>
        <w:t>, שהם נציגינו</w:t>
      </w:r>
      <w:r w:rsidRPr="000617B8">
        <w:rPr>
          <w:sz w:val="20"/>
          <w:szCs w:val="20"/>
          <w:rtl/>
        </w:rPr>
        <w:t xml:space="preserve">.  כדי להבטיח שהשלטון העצמי שלנו לא יהיה פיקטיבי; וכדי שנוכל להפעיל את זכותנו לשנות עמדות/הכרעות קודמות שלנו לאור מסקנות העולות מניסיוננו; וכדי להבטיח שהנציגים יפעלו כנאמנינו שלנו, ולא של עצמם </w:t>
      </w:r>
      <w:r w:rsidRPr="000617B8">
        <w:rPr>
          <w:sz w:val="20"/>
          <w:szCs w:val="20"/>
        </w:rPr>
        <w:t>–</w:t>
      </w:r>
      <w:r w:rsidRPr="000617B8">
        <w:rPr>
          <w:sz w:val="20"/>
          <w:szCs w:val="20"/>
          <w:rtl/>
        </w:rPr>
        <w:t xml:space="preserve"> חייבות להישמר בקפדנות הפרוצדורות הדמוקרטיות.  למשל, בחירות תקופתיות.  פרוצדורות אלו הן תנאי הכרחי לדמוקרטיה, והן זקוקות להגנה מיוחדת.  הגנה זו מתגבשת היטב בחוקה, והיא צפויה להישמר טוב יותר </w:t>
      </w:r>
      <w:r w:rsidRPr="000617B8">
        <w:rPr>
          <w:rFonts w:hint="cs"/>
          <w:sz w:val="20"/>
          <w:szCs w:val="20"/>
          <w:rtl/>
        </w:rPr>
        <w:t>עם על משמר החוקה יעמוד</w:t>
      </w:r>
      <w:r w:rsidRPr="000617B8">
        <w:rPr>
          <w:sz w:val="20"/>
          <w:szCs w:val="20"/>
          <w:rtl/>
        </w:rPr>
        <w:t xml:space="preserve"> מוסד שאינו </w:t>
      </w:r>
      <w:r w:rsidRPr="000617B8">
        <w:rPr>
          <w:rFonts w:hint="cs"/>
          <w:sz w:val="20"/>
          <w:szCs w:val="20"/>
          <w:rtl/>
        </w:rPr>
        <w:t>מורכב מ</w:t>
      </w:r>
      <w:r w:rsidRPr="000617B8">
        <w:rPr>
          <w:sz w:val="20"/>
          <w:szCs w:val="20"/>
          <w:rtl/>
        </w:rPr>
        <w:t>הנציגים המבוּקרים עצמם</w:t>
      </w:r>
      <w:r w:rsidRPr="000617B8">
        <w:rPr>
          <w:rFonts w:hint="cs"/>
          <w:sz w:val="20"/>
          <w:szCs w:val="20"/>
          <w:rtl/>
        </w:rPr>
        <w:t xml:space="preserve"> או ממי שעלולים לתפוס את עצמם כנציגיהם של אותם נציגי/נבחרי ציבור</w:t>
      </w:r>
      <w:r w:rsidRPr="000617B8">
        <w:rPr>
          <w:sz w:val="20"/>
          <w:szCs w:val="20"/>
          <w:rtl/>
        </w:rPr>
        <w:t>.</w:t>
      </w:r>
    </w:p>
    <w:p w:rsidR="005366A8" w:rsidRPr="00215FCE" w:rsidRDefault="005366A8" w:rsidP="005366A8">
      <w:pPr>
        <w:pStyle w:val="T-body"/>
        <w:spacing w:after="60" w:line="240" w:lineRule="auto"/>
        <w:rPr>
          <w:sz w:val="22"/>
          <w:szCs w:val="22"/>
          <w:rtl/>
        </w:rPr>
      </w:pPr>
      <w:r w:rsidRPr="000617B8">
        <w:rPr>
          <w:sz w:val="20"/>
          <w:szCs w:val="20"/>
          <w:rtl/>
        </w:rPr>
        <w:t xml:space="preserve">ראו את הדוגמאות הבאות </w:t>
      </w:r>
      <w:r w:rsidRPr="000617B8">
        <w:rPr>
          <w:sz w:val="20"/>
          <w:szCs w:val="20"/>
        </w:rPr>
        <w:t>–</w:t>
      </w:r>
      <w:r w:rsidRPr="000617B8">
        <w:rPr>
          <w:sz w:val="20"/>
          <w:szCs w:val="20"/>
          <w:rtl/>
        </w:rPr>
        <w:t xml:space="preserve"> שבהן מתעורר קושי של ניגוד אינטרסים מובְנה של נציגינו בשלטון.  השופט חשין ב</w:t>
      </w:r>
      <w:r w:rsidRPr="000617B8">
        <w:rPr>
          <w:b/>
          <w:bCs/>
          <w:sz w:val="20"/>
          <w:szCs w:val="20"/>
          <w:rtl/>
        </w:rPr>
        <w:t>בנק המזרחי</w:t>
      </w:r>
      <w:r w:rsidRPr="000617B8">
        <w:rPr>
          <w:sz w:val="20"/>
          <w:szCs w:val="20"/>
          <w:rtl/>
        </w:rPr>
        <w:t xml:space="preserve"> כינה זאת </w:t>
      </w:r>
      <w:r w:rsidRPr="000617B8">
        <w:rPr>
          <w:i/>
          <w:iCs/>
          <w:sz w:val="20"/>
          <w:szCs w:val="20"/>
          <w:rtl/>
        </w:rPr>
        <w:t>מצבים שבהן הכנסת "מחוקקת לעצמה".</w:t>
      </w:r>
      <w:r w:rsidRPr="000617B8">
        <w:rPr>
          <w:sz w:val="20"/>
          <w:szCs w:val="20"/>
          <w:rtl/>
        </w:rPr>
        <w:t xml:space="preserve">  קיומן של חוקה ו</w:t>
      </w:r>
      <w:r w:rsidRPr="000617B8">
        <w:rPr>
          <w:rFonts w:hint="cs"/>
          <w:sz w:val="20"/>
          <w:szCs w:val="20"/>
          <w:rtl/>
        </w:rPr>
        <w:t xml:space="preserve">של </w:t>
      </w:r>
      <w:r w:rsidRPr="000617B8">
        <w:rPr>
          <w:sz w:val="20"/>
          <w:szCs w:val="20"/>
          <w:rtl/>
        </w:rPr>
        <w:t xml:space="preserve">ביקורת שיפוטית </w:t>
      </w:r>
      <w:r w:rsidRPr="000617B8">
        <w:rPr>
          <w:rFonts w:hint="cs"/>
          <w:sz w:val="20"/>
          <w:szCs w:val="20"/>
          <w:rtl/>
        </w:rPr>
        <w:t xml:space="preserve">חוקתית </w:t>
      </w:r>
      <w:r w:rsidRPr="000617B8">
        <w:rPr>
          <w:sz w:val="20"/>
          <w:szCs w:val="20"/>
          <w:rtl/>
        </w:rPr>
        <w:t>מהווה משוכה בפני התגבשות בעיות שכאלו:</w:t>
      </w:r>
    </w:p>
    <w:p w:rsidR="005366A8" w:rsidRPr="000617B8" w:rsidRDefault="005366A8" w:rsidP="005366A8">
      <w:pPr>
        <w:pStyle w:val="T-body"/>
        <w:spacing w:after="60" w:line="240" w:lineRule="auto"/>
        <w:ind w:left="720"/>
        <w:rPr>
          <w:rFonts w:ascii="Arial" w:hAnsi="Arial" w:cs="Arial"/>
          <w:sz w:val="18"/>
          <w:szCs w:val="18"/>
          <w:rtl/>
        </w:rPr>
      </w:pPr>
      <w:r w:rsidRPr="000617B8">
        <w:rPr>
          <w:rFonts w:ascii="Arial" w:hAnsi="Arial" w:cs="Arial" w:hint="cs"/>
          <w:sz w:val="18"/>
          <w:szCs w:val="18"/>
          <w:rtl/>
        </w:rPr>
        <w:t xml:space="preserve">^ </w:t>
      </w:r>
      <w:r w:rsidRPr="000617B8">
        <w:rPr>
          <w:rFonts w:ascii="Arial" w:hAnsi="Arial" w:cs="Arial"/>
          <w:sz w:val="18"/>
          <w:szCs w:val="18"/>
          <w:rtl/>
        </w:rPr>
        <w:t xml:space="preserve">הכנסת הנוכחית מחוקקת בחוק את הארכת תקופת כהונתה </w:t>
      </w:r>
      <w:r w:rsidRPr="000617B8">
        <w:rPr>
          <w:rFonts w:ascii="Arial" w:hAnsi="Arial" w:cs="Arial"/>
          <w:sz w:val="18"/>
          <w:szCs w:val="18"/>
        </w:rPr>
        <w:t>–</w:t>
      </w:r>
      <w:r w:rsidRPr="000617B8">
        <w:rPr>
          <w:rFonts w:ascii="Arial" w:hAnsi="Arial" w:cs="Arial"/>
          <w:sz w:val="18"/>
          <w:szCs w:val="18"/>
          <w:rtl/>
        </w:rPr>
        <w:t xml:space="preserve"> כך שתכהן למשל שבע שנים במקום ארבע;</w:t>
      </w:r>
    </w:p>
    <w:p w:rsidR="005366A8" w:rsidRPr="000617B8" w:rsidRDefault="005366A8" w:rsidP="005366A8">
      <w:pPr>
        <w:pStyle w:val="T-body"/>
        <w:spacing w:line="240" w:lineRule="auto"/>
        <w:ind w:left="720"/>
        <w:rPr>
          <w:rFonts w:ascii="Arial" w:hAnsi="Arial" w:cs="Arial"/>
          <w:sz w:val="18"/>
          <w:szCs w:val="18"/>
          <w:rtl/>
        </w:rPr>
      </w:pPr>
      <w:r w:rsidRPr="000617B8">
        <w:rPr>
          <w:rFonts w:ascii="Arial" w:hAnsi="Arial" w:cs="Arial" w:hint="cs"/>
          <w:sz w:val="18"/>
          <w:szCs w:val="18"/>
          <w:rtl/>
        </w:rPr>
        <w:t xml:space="preserve">^ </w:t>
      </w:r>
      <w:r w:rsidRPr="000617B8">
        <w:rPr>
          <w:rFonts w:ascii="Arial" w:hAnsi="Arial" w:cs="Arial"/>
          <w:sz w:val="18"/>
          <w:szCs w:val="18"/>
          <w:rtl/>
        </w:rPr>
        <w:t xml:space="preserve">הכנסת מחוקקת חוק המגדיל את מימון הבחירות לכנסת (ו/או את הקצאת זמן שידור תעמולת הבחירות) באופן המגדיל </w:t>
      </w:r>
      <w:r w:rsidRPr="000617B8">
        <w:rPr>
          <w:rFonts w:ascii="Arial" w:hAnsi="Arial" w:cs="Arial" w:hint="cs"/>
          <w:sz w:val="18"/>
          <w:szCs w:val="18"/>
          <w:rtl/>
        </w:rPr>
        <w:t xml:space="preserve">משמעותית </w:t>
      </w:r>
      <w:r w:rsidRPr="000617B8">
        <w:rPr>
          <w:rFonts w:ascii="Arial" w:hAnsi="Arial" w:cs="Arial"/>
          <w:sz w:val="18"/>
          <w:szCs w:val="18"/>
          <w:rtl/>
        </w:rPr>
        <w:t xml:space="preserve">את הפער </w:t>
      </w:r>
      <w:r w:rsidRPr="000617B8">
        <w:rPr>
          <w:rFonts w:ascii="Arial" w:hAnsi="Arial" w:cs="Arial" w:hint="cs"/>
          <w:sz w:val="18"/>
          <w:szCs w:val="18"/>
          <w:rtl/>
        </w:rPr>
        <w:t xml:space="preserve">הקיים במימון </w:t>
      </w:r>
      <w:r w:rsidRPr="000617B8">
        <w:rPr>
          <w:rFonts w:ascii="Arial" w:hAnsi="Arial" w:cs="Arial"/>
          <w:sz w:val="18"/>
          <w:szCs w:val="18"/>
          <w:rtl/>
        </w:rPr>
        <w:t xml:space="preserve">בין סיעות המכהנות בכנסת לבין סיעות המתמודדות על כניסה לכנסת. </w:t>
      </w:r>
    </w:p>
    <w:p w:rsidR="005366A8" w:rsidRPr="000617B8" w:rsidRDefault="005366A8" w:rsidP="005366A8">
      <w:pPr>
        <w:pStyle w:val="T-body"/>
        <w:spacing w:after="60" w:line="240" w:lineRule="auto"/>
        <w:rPr>
          <w:sz w:val="20"/>
          <w:szCs w:val="20"/>
          <w:rtl/>
        </w:rPr>
      </w:pPr>
    </w:p>
    <w:p w:rsidR="005366A8" w:rsidRPr="000617B8" w:rsidRDefault="005366A8" w:rsidP="005366A8">
      <w:pPr>
        <w:pStyle w:val="T-body"/>
        <w:spacing w:after="60" w:line="240" w:lineRule="auto"/>
        <w:rPr>
          <w:sz w:val="20"/>
          <w:szCs w:val="20"/>
          <w:rtl/>
        </w:rPr>
      </w:pPr>
      <w:r w:rsidRPr="000617B8">
        <w:rPr>
          <w:sz w:val="20"/>
          <w:szCs w:val="20"/>
          <w:u w:val="single"/>
          <w:rtl/>
        </w:rPr>
        <w:t>2</w:t>
      </w:r>
      <w:r w:rsidRPr="000617B8">
        <w:rPr>
          <w:sz w:val="20"/>
          <w:szCs w:val="20"/>
          <w:rtl/>
        </w:rPr>
        <w:t xml:space="preserve">. </w:t>
      </w:r>
      <w:r w:rsidRPr="000617B8">
        <w:rPr>
          <w:rFonts w:hint="cs"/>
          <w:b/>
          <w:bCs/>
          <w:sz w:val="20"/>
          <w:szCs w:val="20"/>
          <w:rtl/>
        </w:rPr>
        <w:t xml:space="preserve">הכשל הרובני ("הטיעון האנטי-רובני").  </w:t>
      </w:r>
      <w:r w:rsidRPr="000617B8">
        <w:rPr>
          <w:sz w:val="20"/>
          <w:szCs w:val="20"/>
          <w:rtl/>
        </w:rPr>
        <w:t xml:space="preserve">הטיעון הבא נובע מהתפיסה, כי הפרוצדורות הדמוקרטיות הן אמנם תנאי הכרחי לדמוקרטיה אך לא תנאי מספיק.  כבר בדוגמא השניה שלעיל (הגדלת פערי מימון המפלגות) רואים כי לא די בפרוצדורה מסוג של בחירות תקופתיות </w:t>
      </w:r>
      <w:r w:rsidRPr="000617B8">
        <w:rPr>
          <w:sz w:val="20"/>
          <w:szCs w:val="20"/>
        </w:rPr>
        <w:t>–</w:t>
      </w:r>
      <w:r w:rsidRPr="000617B8">
        <w:rPr>
          <w:sz w:val="20"/>
          <w:szCs w:val="20"/>
          <w:rtl/>
        </w:rPr>
        <w:t xml:space="preserve"> אלא נדרשת תוספת של דרישה מהותית לשוויון: שוויון ההזדמנויות בהתמודדות על היבחרות לשלטון.  מכל מקום בפרוצדורות אין ערובה מספקת לכך שכשלים ועיוותים בשיטת הממשל יתוקנו/ יוקהו במידה מספקת.  </w:t>
      </w:r>
    </w:p>
    <w:p w:rsidR="005366A8" w:rsidRPr="000617B8" w:rsidRDefault="005366A8" w:rsidP="005366A8">
      <w:pPr>
        <w:tabs>
          <w:tab w:val="left" w:pos="-720"/>
        </w:tabs>
        <w:spacing w:after="60"/>
        <w:rPr>
          <w:sz w:val="20"/>
          <w:szCs w:val="20"/>
          <w:rtl/>
        </w:rPr>
      </w:pPr>
      <w:r w:rsidRPr="000617B8">
        <w:rPr>
          <w:sz w:val="20"/>
          <w:szCs w:val="20"/>
          <w:rtl/>
        </w:rPr>
        <w:t xml:space="preserve">הטיעון שהוא קרוב לוודאי החשוב מכל הטיעונים לתמיכה </w:t>
      </w:r>
      <w:r w:rsidRPr="000617B8">
        <w:rPr>
          <w:rFonts w:hint="cs"/>
          <w:sz w:val="20"/>
          <w:szCs w:val="20"/>
          <w:rtl/>
        </w:rPr>
        <w:t>בחוקתיות</w:t>
      </w:r>
      <w:r w:rsidRPr="000617B8">
        <w:rPr>
          <w:sz w:val="20"/>
          <w:szCs w:val="20"/>
          <w:rtl/>
        </w:rPr>
        <w:t xml:space="preserve"> הוא, כי הבעייתיות המתעוררת על ידי </w:t>
      </w:r>
      <w:r w:rsidRPr="000617B8">
        <w:rPr>
          <w:rFonts w:hint="cs"/>
          <w:sz w:val="20"/>
          <w:szCs w:val="20"/>
          <w:rtl/>
        </w:rPr>
        <w:t>החוקה והביקורת השיפוטית</w:t>
      </w:r>
      <w:r w:rsidRPr="000617B8">
        <w:rPr>
          <w:sz w:val="20"/>
          <w:szCs w:val="20"/>
          <w:rtl/>
        </w:rPr>
        <w:t xml:space="preserve">, </w:t>
      </w:r>
      <w:r w:rsidRPr="000617B8">
        <w:rPr>
          <w:rFonts w:hint="cs"/>
          <w:sz w:val="20"/>
          <w:szCs w:val="20"/>
          <w:rtl/>
        </w:rPr>
        <w:t>זו שהוזכרה לעיל תחת הכותרת "הטיעון הרובני", התוהה על הסטייה מעקרון הרוב, היא בעייתיות הכרחית בחשבון אחרון. זאת משום שהחוקה מהווה דרך התמודדות מרכזית והכרחית</w:t>
      </w:r>
      <w:r w:rsidRPr="000617B8">
        <w:rPr>
          <w:sz w:val="20"/>
          <w:szCs w:val="20"/>
          <w:rtl/>
        </w:rPr>
        <w:t xml:space="preserve"> עם</w:t>
      </w:r>
      <w:r w:rsidRPr="000617B8">
        <w:rPr>
          <w:rFonts w:hint="cs"/>
          <w:sz w:val="20"/>
          <w:szCs w:val="20"/>
          <w:rtl/>
        </w:rPr>
        <w:t xml:space="preserve"> הבעיה הטמונה בהישענות-יתר על עקרון הרוב. במילים אחרות, חוקה מגיבה ל</w:t>
      </w:r>
      <w:r w:rsidRPr="000617B8">
        <w:rPr>
          <w:b/>
          <w:bCs/>
          <w:sz w:val="20"/>
          <w:szCs w:val="20"/>
          <w:rtl/>
        </w:rPr>
        <w:t>חשש מפני "עושק המיעוט"/ "דיקטטורה של הרוב"</w:t>
      </w:r>
      <w:r w:rsidRPr="000617B8">
        <w:rPr>
          <w:rFonts w:hint="cs"/>
          <w:b/>
          <w:bCs/>
          <w:sz w:val="20"/>
          <w:szCs w:val="20"/>
          <w:rtl/>
        </w:rPr>
        <w:t>.</w:t>
      </w:r>
      <w:r w:rsidRPr="000617B8">
        <w:rPr>
          <w:sz w:val="20"/>
          <w:szCs w:val="20"/>
          <w:rtl/>
        </w:rPr>
        <w:t xml:space="preserve"> </w:t>
      </w:r>
    </w:p>
    <w:p w:rsidR="005366A8" w:rsidRPr="000617B8" w:rsidRDefault="005366A8" w:rsidP="005366A8">
      <w:pPr>
        <w:tabs>
          <w:tab w:val="left" w:pos="-720"/>
        </w:tabs>
        <w:spacing w:after="60"/>
        <w:rPr>
          <w:sz w:val="20"/>
          <w:szCs w:val="20"/>
          <w:rtl/>
        </w:rPr>
      </w:pPr>
      <w:r w:rsidRPr="000617B8">
        <w:rPr>
          <w:rFonts w:hint="cs"/>
          <w:sz w:val="20"/>
          <w:szCs w:val="20"/>
          <w:rtl/>
        </w:rPr>
        <w:t xml:space="preserve">         [</w:t>
      </w:r>
      <w:r w:rsidRPr="000617B8">
        <w:rPr>
          <w:sz w:val="20"/>
          <w:szCs w:val="20"/>
          <w:rtl/>
        </w:rPr>
        <w:t>חשש זה מתעצם מאד במדינות שסועות דוגמת ישראל: מדינות בהן "מיעוטים כרוניים/ מיעוטים קבועים" המצויים במתח ממשי עם קהילת הרוב.</w:t>
      </w:r>
      <w:r w:rsidRPr="000617B8">
        <w:rPr>
          <w:rFonts w:hint="cs"/>
          <w:sz w:val="20"/>
          <w:szCs w:val="20"/>
          <w:rtl/>
        </w:rPr>
        <w:t>]</w:t>
      </w:r>
      <w:r w:rsidRPr="000617B8">
        <w:rPr>
          <w:sz w:val="20"/>
          <w:szCs w:val="20"/>
          <w:rtl/>
        </w:rPr>
        <w:t xml:space="preserve"> </w:t>
      </w:r>
    </w:p>
    <w:p w:rsidR="005366A8" w:rsidRPr="000617B8" w:rsidRDefault="005366A8" w:rsidP="005366A8">
      <w:pPr>
        <w:tabs>
          <w:tab w:val="left" w:pos="-720"/>
        </w:tabs>
        <w:spacing w:after="60"/>
        <w:rPr>
          <w:sz w:val="20"/>
          <w:szCs w:val="20"/>
          <w:rtl/>
        </w:rPr>
      </w:pPr>
      <w:r w:rsidRPr="000617B8">
        <w:rPr>
          <w:sz w:val="20"/>
          <w:szCs w:val="20"/>
          <w:rtl/>
        </w:rPr>
        <w:t xml:space="preserve">טיעון זה </w:t>
      </w:r>
      <w:r w:rsidRPr="000617B8">
        <w:rPr>
          <w:rFonts w:hint="cs"/>
          <w:sz w:val="20"/>
          <w:szCs w:val="20"/>
          <w:rtl/>
        </w:rPr>
        <w:t>נגזר מ</w:t>
      </w:r>
      <w:r w:rsidRPr="000617B8">
        <w:rPr>
          <w:sz w:val="20"/>
          <w:szCs w:val="20"/>
          <w:rtl/>
        </w:rPr>
        <w:t>לב התיאוריה הדמוקרטית</w:t>
      </w:r>
      <w:r w:rsidRPr="000617B8">
        <w:rPr>
          <w:rFonts w:hint="cs"/>
          <w:sz w:val="20"/>
          <w:szCs w:val="20"/>
          <w:rtl/>
        </w:rPr>
        <w:t>-הליברלית</w:t>
      </w:r>
      <w:r w:rsidRPr="000617B8">
        <w:rPr>
          <w:sz w:val="20"/>
          <w:szCs w:val="20"/>
          <w:rtl/>
        </w:rPr>
        <w:t xml:space="preserve">.  </w:t>
      </w:r>
    </w:p>
    <w:p w:rsidR="005366A8" w:rsidRPr="000617B8" w:rsidRDefault="005366A8" w:rsidP="005366A8">
      <w:pPr>
        <w:tabs>
          <w:tab w:val="left" w:pos="-720"/>
        </w:tabs>
        <w:spacing w:after="60"/>
        <w:rPr>
          <w:b/>
          <w:bCs/>
          <w:sz w:val="20"/>
          <w:szCs w:val="20"/>
          <w:rtl/>
        </w:rPr>
      </w:pPr>
      <w:r w:rsidRPr="000617B8">
        <w:rPr>
          <w:sz w:val="20"/>
          <w:szCs w:val="20"/>
          <w:rtl/>
        </w:rPr>
        <w:t>זו בנויה על יסוד/ יסודות שמכילים מתח מובנה.  מדובר ב</w:t>
      </w:r>
      <w:r w:rsidRPr="000617B8">
        <w:rPr>
          <w:rFonts w:hint="cs"/>
          <w:sz w:val="20"/>
          <w:szCs w:val="20"/>
          <w:rtl/>
        </w:rPr>
        <w:t>"</w:t>
      </w:r>
      <w:r w:rsidRPr="000617B8">
        <w:rPr>
          <w:sz w:val="20"/>
          <w:szCs w:val="20"/>
          <w:rtl/>
        </w:rPr>
        <w:t>אוטונומיה האנושית</w:t>
      </w:r>
      <w:r w:rsidRPr="000617B8">
        <w:rPr>
          <w:rFonts w:hint="cs"/>
          <w:sz w:val="20"/>
          <w:szCs w:val="20"/>
          <w:rtl/>
        </w:rPr>
        <w:t>"</w:t>
      </w:r>
      <w:r w:rsidRPr="000617B8">
        <w:rPr>
          <w:sz w:val="20"/>
          <w:szCs w:val="20"/>
          <w:rtl/>
        </w:rPr>
        <w:t xml:space="preserve"> </w:t>
      </w:r>
      <w:r w:rsidRPr="000617B8">
        <w:rPr>
          <w:sz w:val="20"/>
          <w:szCs w:val="20"/>
        </w:rPr>
        <w:t>–</w:t>
      </w:r>
      <w:r w:rsidRPr="000617B8">
        <w:rPr>
          <w:sz w:val="20"/>
          <w:szCs w:val="20"/>
          <w:rtl/>
        </w:rPr>
        <w:t xml:space="preserve"> כבוד האדם במובנו הרחב.  זוהי </w:t>
      </w:r>
      <w:r w:rsidRPr="000617B8">
        <w:rPr>
          <w:b/>
          <w:bCs/>
          <w:sz w:val="20"/>
          <w:szCs w:val="20"/>
          <w:rtl/>
        </w:rPr>
        <w:t>חירותו</w:t>
      </w:r>
      <w:r w:rsidRPr="000617B8">
        <w:rPr>
          <w:sz w:val="20"/>
          <w:szCs w:val="20"/>
          <w:rtl/>
        </w:rPr>
        <w:t xml:space="preserve"> הבסיסית של </w:t>
      </w:r>
      <w:r w:rsidRPr="000617B8">
        <w:rPr>
          <w:b/>
          <w:bCs/>
          <w:sz w:val="20"/>
          <w:szCs w:val="20"/>
          <w:rtl/>
        </w:rPr>
        <w:t>כל</w:t>
      </w:r>
      <w:r w:rsidRPr="000617B8">
        <w:rPr>
          <w:sz w:val="20"/>
          <w:szCs w:val="20"/>
          <w:rtl/>
        </w:rPr>
        <w:t xml:space="preserve"> אדם</w:t>
      </w:r>
      <w:r w:rsidRPr="000617B8">
        <w:rPr>
          <w:rFonts w:hint="cs"/>
          <w:sz w:val="20"/>
          <w:szCs w:val="20"/>
          <w:rtl/>
        </w:rPr>
        <w:t xml:space="preserve"> לפעול למימושו העצמי (החירות הבסיסית שנתונה לנו כבני אדם והשוויון הבסיסי בינינו ביחס לאחיזתנו בחירות הזו)</w:t>
      </w:r>
      <w:r w:rsidRPr="000617B8">
        <w:rPr>
          <w:sz w:val="20"/>
          <w:szCs w:val="20"/>
          <w:rtl/>
        </w:rPr>
        <w:t xml:space="preserve">.  </w:t>
      </w:r>
      <w:r w:rsidRPr="000617B8">
        <w:rPr>
          <w:rFonts w:hint="cs"/>
          <w:sz w:val="20"/>
          <w:szCs w:val="20"/>
          <w:rtl/>
        </w:rPr>
        <w:t>מ</w:t>
      </w:r>
      <w:r w:rsidRPr="000617B8">
        <w:rPr>
          <w:sz w:val="20"/>
          <w:szCs w:val="20"/>
          <w:rtl/>
        </w:rPr>
        <w:t>שני ערכי היסוד הללו –</w:t>
      </w:r>
      <w:r w:rsidRPr="000617B8">
        <w:rPr>
          <w:rFonts w:hint="cs"/>
          <w:sz w:val="20"/>
          <w:szCs w:val="20"/>
          <w:rtl/>
        </w:rPr>
        <w:t xml:space="preserve"> </w:t>
      </w:r>
      <w:r w:rsidRPr="000617B8">
        <w:rPr>
          <w:rFonts w:hint="cs"/>
          <w:b/>
          <w:bCs/>
          <w:sz w:val="20"/>
          <w:szCs w:val="20"/>
          <w:rtl/>
        </w:rPr>
        <w:t>חירות ושוויון</w:t>
      </w:r>
      <w:r w:rsidRPr="000617B8">
        <w:rPr>
          <w:rFonts w:hint="cs"/>
          <w:sz w:val="20"/>
          <w:szCs w:val="20"/>
          <w:rtl/>
        </w:rPr>
        <w:t xml:space="preserve"> </w:t>
      </w:r>
      <w:r w:rsidRPr="000617B8">
        <w:rPr>
          <w:sz w:val="20"/>
          <w:szCs w:val="20"/>
          <w:rtl/>
        </w:rPr>
        <w:t>–</w:t>
      </w:r>
      <w:r w:rsidRPr="000617B8">
        <w:rPr>
          <w:rFonts w:hint="cs"/>
          <w:sz w:val="20"/>
          <w:szCs w:val="20"/>
          <w:rtl/>
        </w:rPr>
        <w:t xml:space="preserve"> נגזרים זכויות האדם, והם </w:t>
      </w:r>
      <w:r w:rsidRPr="000617B8">
        <w:rPr>
          <w:sz w:val="20"/>
          <w:szCs w:val="20"/>
          <w:rtl/>
        </w:rPr>
        <w:t>מובילים למסקנה ולהבחנה חשובה בבסיסה</w:t>
      </w:r>
      <w:r w:rsidRPr="000617B8">
        <w:rPr>
          <w:rFonts w:hint="cs"/>
          <w:sz w:val="20"/>
          <w:szCs w:val="20"/>
          <w:rtl/>
        </w:rPr>
        <w:t>:</w:t>
      </w:r>
      <w:r w:rsidRPr="000617B8">
        <w:rPr>
          <w:sz w:val="20"/>
          <w:szCs w:val="20"/>
          <w:rtl/>
        </w:rPr>
        <w:t xml:space="preserve"> </w:t>
      </w:r>
    </w:p>
    <w:p w:rsidR="005366A8" w:rsidRPr="000617B8" w:rsidRDefault="005366A8" w:rsidP="005366A8">
      <w:pPr>
        <w:tabs>
          <w:tab w:val="left" w:pos="-720"/>
        </w:tabs>
        <w:spacing w:after="60"/>
        <w:rPr>
          <w:sz w:val="20"/>
          <w:szCs w:val="20"/>
          <w:rtl/>
        </w:rPr>
      </w:pPr>
      <w:r w:rsidRPr="000617B8">
        <w:rPr>
          <w:b/>
          <w:bCs/>
          <w:sz w:val="20"/>
          <w:szCs w:val="20"/>
          <w:rtl/>
        </w:rPr>
        <w:t xml:space="preserve">ההכרעות הרגילות תתקבלנה על פי רוב, אחרת ייפגע העיקרון של השוויון בין </w:t>
      </w:r>
      <w:r w:rsidRPr="000617B8">
        <w:rPr>
          <w:rFonts w:hint="cs"/>
          <w:b/>
          <w:bCs/>
          <w:sz w:val="20"/>
          <w:szCs w:val="20"/>
          <w:rtl/>
        </w:rPr>
        <w:t xml:space="preserve">"קולי לקולך" </w:t>
      </w:r>
      <w:r w:rsidRPr="000617B8">
        <w:rPr>
          <w:b/>
          <w:bCs/>
          <w:sz w:val="20"/>
          <w:szCs w:val="20"/>
          <w:rtl/>
        </w:rPr>
        <w:t>–</w:t>
      </w:r>
      <w:r w:rsidRPr="000617B8">
        <w:rPr>
          <w:rFonts w:hint="cs"/>
          <w:b/>
          <w:bCs/>
          <w:sz w:val="20"/>
          <w:szCs w:val="20"/>
          <w:rtl/>
        </w:rPr>
        <w:t xml:space="preserve"> "קול אחד לכל אחד"</w:t>
      </w:r>
      <w:r w:rsidRPr="000617B8">
        <w:rPr>
          <w:b/>
          <w:bCs/>
          <w:sz w:val="20"/>
          <w:szCs w:val="20"/>
          <w:rtl/>
        </w:rPr>
        <w:t xml:space="preserve">.  מאידך, יכולתו של הרוב אינה בלתי מוגבלת.  אין לו סמכות לקבל הכרעות </w:t>
      </w:r>
      <w:r w:rsidRPr="000617B8">
        <w:rPr>
          <w:rFonts w:hint="cs"/>
          <w:b/>
          <w:bCs/>
          <w:sz w:val="20"/>
          <w:szCs w:val="20"/>
          <w:rtl/>
        </w:rPr>
        <w:t>המפרות את זכויות האדם</w:t>
      </w:r>
      <w:r w:rsidRPr="000617B8">
        <w:rPr>
          <w:b/>
          <w:bCs/>
          <w:sz w:val="20"/>
          <w:szCs w:val="20"/>
          <w:rtl/>
        </w:rPr>
        <w:t xml:space="preserve"> של המיעוט</w:t>
      </w:r>
      <w:r w:rsidRPr="000617B8">
        <w:rPr>
          <w:rFonts w:hint="cs"/>
          <w:b/>
          <w:bCs/>
          <w:sz w:val="20"/>
          <w:szCs w:val="20"/>
          <w:rtl/>
        </w:rPr>
        <w:t xml:space="preserve">, כלומר הכרעות העומדות בסתירה </w:t>
      </w:r>
      <w:r w:rsidRPr="000617B8">
        <w:rPr>
          <w:b/>
          <w:bCs/>
          <w:sz w:val="20"/>
          <w:szCs w:val="20"/>
          <w:rtl/>
        </w:rPr>
        <w:t>לערכי-היסוד שהשיטה מבוססת עליהם</w:t>
      </w:r>
      <w:r w:rsidRPr="000617B8">
        <w:rPr>
          <w:rFonts w:hint="cs"/>
          <w:b/>
          <w:bCs/>
          <w:sz w:val="20"/>
          <w:szCs w:val="20"/>
          <w:rtl/>
        </w:rPr>
        <w:t xml:space="preserve"> (חירותו הבסיסית ושוויונו הבסיסי של כל אדם) </w:t>
      </w:r>
      <w:r w:rsidRPr="000617B8">
        <w:rPr>
          <w:b/>
          <w:bCs/>
          <w:sz w:val="20"/>
          <w:szCs w:val="20"/>
          <w:rtl/>
        </w:rPr>
        <w:t>–</w:t>
      </w:r>
      <w:r w:rsidRPr="000617B8">
        <w:rPr>
          <w:rFonts w:hint="cs"/>
          <w:b/>
          <w:bCs/>
          <w:sz w:val="20"/>
          <w:szCs w:val="20"/>
          <w:rtl/>
        </w:rPr>
        <w:t xml:space="preserve"> כלומר העקרונות שמהם נגזר כוחו של עקרון הרוב מלכתחילה</w:t>
      </w:r>
      <w:r w:rsidRPr="000617B8">
        <w:rPr>
          <w:b/>
          <w:bCs/>
          <w:sz w:val="20"/>
          <w:szCs w:val="20"/>
          <w:rtl/>
        </w:rPr>
        <w:t>.</w:t>
      </w:r>
    </w:p>
    <w:p w:rsidR="005366A8" w:rsidRPr="008F2503" w:rsidRDefault="005366A8" w:rsidP="005366A8">
      <w:pPr>
        <w:tabs>
          <w:tab w:val="left" w:pos="-720"/>
        </w:tabs>
        <w:spacing w:after="60"/>
        <w:ind w:left="720"/>
        <w:rPr>
          <w:rFonts w:ascii="Arial" w:hAnsi="Arial" w:cs="Arial"/>
          <w:sz w:val="20"/>
          <w:szCs w:val="20"/>
          <w:rtl/>
        </w:rPr>
      </w:pPr>
      <w:r w:rsidRPr="008F2503">
        <w:rPr>
          <w:rFonts w:ascii="Arial" w:hAnsi="Arial" w:cs="Arial"/>
          <w:sz w:val="20"/>
          <w:szCs w:val="20"/>
          <w:highlight w:val="yellow"/>
          <w:rtl/>
        </w:rPr>
        <w:t>פרופ' דותן</w:t>
      </w:r>
      <w:r w:rsidRPr="008F2503">
        <w:rPr>
          <w:rFonts w:ascii="Arial" w:hAnsi="Arial" w:cs="Arial"/>
          <w:sz w:val="20"/>
          <w:szCs w:val="20"/>
          <w:rtl/>
        </w:rPr>
        <w:t xml:space="preserve">: האם כספי המיסים ישרתו פעולה א' או פעולה ב' (הקמת כביש בציר א' במקום בציר ב'; החלטה להעדיף שמורת טבע על פני כביש חדש; העדפת כביש על פני רכבת; בחירה במס בשיעור </w:t>
      </w:r>
      <w:r w:rsidRPr="008F2503">
        <w:rPr>
          <w:rFonts w:ascii="Arial" w:hAnsi="Arial" w:cs="Arial"/>
          <w:sz w:val="20"/>
          <w:szCs w:val="20"/>
        </w:rPr>
        <w:t>X</w:t>
      </w:r>
      <w:r w:rsidRPr="008F2503">
        <w:rPr>
          <w:rFonts w:ascii="Arial" w:hAnsi="Arial" w:cs="Arial"/>
          <w:sz w:val="20"/>
          <w:szCs w:val="20"/>
          <w:rtl/>
        </w:rPr>
        <w:t xml:space="preserve"> על פני שיעור </w:t>
      </w:r>
      <w:r w:rsidRPr="008F2503">
        <w:rPr>
          <w:rFonts w:ascii="Arial" w:hAnsi="Arial" w:cs="Arial"/>
          <w:sz w:val="20"/>
          <w:szCs w:val="20"/>
        </w:rPr>
        <w:t>Y</w:t>
      </w:r>
      <w:r w:rsidRPr="008F2503">
        <w:rPr>
          <w:rFonts w:ascii="Arial" w:hAnsi="Arial" w:cs="Arial"/>
          <w:sz w:val="20"/>
          <w:szCs w:val="20"/>
          <w:rtl/>
        </w:rPr>
        <w:t xml:space="preserve"> הסמוך לו, וכדומה) </w:t>
      </w:r>
      <w:r w:rsidRPr="008F2503">
        <w:rPr>
          <w:rFonts w:ascii="Arial" w:hAnsi="Arial" w:cs="Arial"/>
          <w:sz w:val="20"/>
          <w:szCs w:val="20"/>
        </w:rPr>
        <w:t>–</w:t>
      </w:r>
      <w:r w:rsidRPr="008F2503">
        <w:rPr>
          <w:rFonts w:ascii="Arial" w:hAnsi="Arial" w:cs="Arial"/>
          <w:sz w:val="20"/>
          <w:szCs w:val="20"/>
          <w:rtl/>
        </w:rPr>
        <w:t xml:space="preserve">&gt; בדרך כלל הכרעת רוב; לעומת זאת, הרעיון הדמוקרטי איננו מחייב, ואף שולל, אפשרות שרוב (ולוּ גם מכריע) של בני החברה יוכל להחליט כי מיעוט יהפוך לעבדי הרוב, או המיעוט יהפוך להיות נטול זכות הצבעה, או שרכושו של המיעוט יישלל ממנו ויחולק בין חברי קבוצת הרוב, וכדומה.  מהלכים כאלו הם סתירה לרעיון הדמוקרטי עצמו.  </w:t>
      </w:r>
    </w:p>
    <w:p w:rsidR="005366A8" w:rsidRPr="000617B8" w:rsidRDefault="005366A8" w:rsidP="005366A8">
      <w:pPr>
        <w:tabs>
          <w:tab w:val="left" w:pos="-720"/>
        </w:tabs>
        <w:spacing w:after="60"/>
        <w:rPr>
          <w:sz w:val="20"/>
          <w:szCs w:val="20"/>
          <w:rtl/>
        </w:rPr>
      </w:pPr>
      <w:r w:rsidRPr="000617B8">
        <w:rPr>
          <w:sz w:val="20"/>
          <w:szCs w:val="20"/>
          <w:rtl/>
        </w:rPr>
        <w:t xml:space="preserve">זו אם כן </w:t>
      </w:r>
      <w:r w:rsidRPr="000617B8">
        <w:rPr>
          <w:b/>
          <w:bCs/>
          <w:sz w:val="20"/>
          <w:szCs w:val="20"/>
          <w:rtl/>
        </w:rPr>
        <w:t>הבחנה בין שני סוגים של הכרעות בשיטה דמוקרטית: הכרעות רגילות ("הכרעות תלויות-העדפות" -&gt; עקרון הכרעת הרוב), והכרעות מיוחדות (אלו הנוגעות ל</w:t>
      </w:r>
      <w:r w:rsidRPr="000617B8">
        <w:rPr>
          <w:rFonts w:hint="cs"/>
          <w:b/>
          <w:bCs/>
          <w:sz w:val="20"/>
          <w:szCs w:val="20"/>
          <w:rtl/>
        </w:rPr>
        <w:t>פגיעה ממשית בזכויות האדם</w:t>
      </w:r>
      <w:r w:rsidRPr="000617B8">
        <w:rPr>
          <w:b/>
          <w:bCs/>
          <w:sz w:val="20"/>
          <w:szCs w:val="20"/>
          <w:rtl/>
        </w:rPr>
        <w:t>)</w:t>
      </w:r>
      <w:r w:rsidRPr="000617B8">
        <w:rPr>
          <w:sz w:val="20"/>
          <w:szCs w:val="20"/>
          <w:rtl/>
        </w:rPr>
        <w:t xml:space="preserve">.  הבחנה זו מחייבת </w:t>
      </w:r>
      <w:r w:rsidRPr="000617B8">
        <w:rPr>
          <w:b/>
          <w:bCs/>
          <w:sz w:val="20"/>
          <w:szCs w:val="20"/>
          <w:rtl/>
        </w:rPr>
        <w:t>קו-תיחום</w:t>
      </w:r>
      <w:r w:rsidRPr="000617B8">
        <w:rPr>
          <w:sz w:val="20"/>
          <w:szCs w:val="20"/>
          <w:rtl/>
        </w:rPr>
        <w:t xml:space="preserve"> בין שני סוגי ההכרעות</w:t>
      </w:r>
      <w:r w:rsidRPr="000617B8">
        <w:rPr>
          <w:rFonts w:hint="cs"/>
          <w:sz w:val="20"/>
          <w:szCs w:val="20"/>
          <w:rtl/>
        </w:rPr>
        <w:t>;</w:t>
      </w:r>
      <w:r w:rsidRPr="000617B8">
        <w:rPr>
          <w:sz w:val="20"/>
          <w:szCs w:val="20"/>
          <w:rtl/>
        </w:rPr>
        <w:t xml:space="preserve"> וחשוב מכך, היא מחייבת הכרעה לגבי </w:t>
      </w:r>
      <w:r w:rsidRPr="000617B8">
        <w:rPr>
          <w:b/>
          <w:bCs/>
          <w:sz w:val="20"/>
          <w:szCs w:val="20"/>
          <w:rtl/>
        </w:rPr>
        <w:t>מיהות המוסד</w:t>
      </w:r>
      <w:r w:rsidRPr="000617B8">
        <w:rPr>
          <w:sz w:val="20"/>
          <w:szCs w:val="20"/>
          <w:rtl/>
        </w:rPr>
        <w:t xml:space="preserve"> שיהיה מוסמך לקבוע את קו התיחום.  </w:t>
      </w:r>
    </w:p>
    <w:p w:rsidR="005366A8" w:rsidRPr="000617B8" w:rsidRDefault="005366A8" w:rsidP="005366A8">
      <w:pPr>
        <w:tabs>
          <w:tab w:val="left" w:pos="-720"/>
        </w:tabs>
        <w:rPr>
          <w:sz w:val="20"/>
          <w:szCs w:val="20"/>
          <w:rtl/>
        </w:rPr>
      </w:pPr>
      <w:r w:rsidRPr="000617B8">
        <w:rPr>
          <w:sz w:val="20"/>
          <w:szCs w:val="20"/>
          <w:rtl/>
        </w:rPr>
        <w:t xml:space="preserve">הטיעון האנטי-רובי גורס, כי </w:t>
      </w:r>
      <w:r w:rsidRPr="000617B8">
        <w:rPr>
          <w:b/>
          <w:bCs/>
          <w:sz w:val="20"/>
          <w:szCs w:val="20"/>
          <w:rtl/>
        </w:rPr>
        <w:t>המוסד שיקבל את ההכרעות בדבר גבולות כוחו של הרוב בדמוקרטיה אינו יכול להיות מוסד המייצג באופן ישיר את אותו רוב.</w:t>
      </w:r>
      <w:r w:rsidRPr="000617B8">
        <w:rPr>
          <w:sz w:val="20"/>
          <w:szCs w:val="20"/>
          <w:rtl/>
        </w:rPr>
        <w:t xml:space="preserve">  זה צריך להיות מוסד שתהיה לו עצמאות, חלקית לפחות, לגבי ההשפעה הישירה של הרוב, שכנגדו נטענת הטענה של הפרת חירויות המיעוט.  אחרת אין ערובה ממשית כי מוסד כזה יוכל להעניק הגנה של ממש למיעוט.  בתי המשפט הם מוסד מתאים לשאת בתפקיד </w:t>
      </w:r>
      <w:r w:rsidRPr="000617B8">
        <w:rPr>
          <w:rFonts w:hint="cs"/>
          <w:sz w:val="20"/>
          <w:szCs w:val="20"/>
          <w:rtl/>
        </w:rPr>
        <w:t>'מאזן הרובניות'</w:t>
      </w:r>
      <w:r w:rsidRPr="000617B8">
        <w:rPr>
          <w:sz w:val="20"/>
          <w:szCs w:val="20"/>
          <w:rtl/>
        </w:rPr>
        <w:t xml:space="preserve"> הזה, שכן הם אינם תלויים באופן ישיר ומיידי באישור או בתמיכה של רוב הציבור להכרעותיהם.  שופטים מתמנים "לכל החיים", ואם הם נבחרים בפרוצדורה שהיא בעיקרה איננה פוליטית-מפלגתית, כי אז גם אין </w:t>
      </w:r>
      <w:r w:rsidRPr="000617B8">
        <w:rPr>
          <w:rFonts w:hint="cs"/>
          <w:sz w:val="20"/>
          <w:szCs w:val="20"/>
          <w:rtl/>
        </w:rPr>
        <w:t>ע</w:t>
      </w:r>
      <w:r w:rsidRPr="000617B8">
        <w:rPr>
          <w:sz w:val="20"/>
          <w:szCs w:val="20"/>
          <w:rtl/>
        </w:rPr>
        <w:t>ל</w:t>
      </w:r>
      <w:r w:rsidRPr="000617B8">
        <w:rPr>
          <w:rFonts w:hint="cs"/>
          <w:sz w:val="20"/>
          <w:szCs w:val="20"/>
          <w:rtl/>
        </w:rPr>
        <w:t xml:space="preserve"> ה</w:t>
      </w:r>
      <w:r w:rsidRPr="000617B8">
        <w:rPr>
          <w:sz w:val="20"/>
          <w:szCs w:val="20"/>
          <w:rtl/>
        </w:rPr>
        <w:t>שופטים לחצים של 'פדיון-חוב'.</w:t>
      </w:r>
    </w:p>
    <w:p w:rsidR="005366A8" w:rsidRPr="000617B8" w:rsidRDefault="005366A8" w:rsidP="005366A8">
      <w:pPr>
        <w:tabs>
          <w:tab w:val="left" w:pos="-720"/>
        </w:tabs>
        <w:spacing w:after="60"/>
        <w:rPr>
          <w:sz w:val="20"/>
          <w:szCs w:val="20"/>
          <w:rtl/>
        </w:rPr>
      </w:pPr>
    </w:p>
    <w:p w:rsidR="005366A8" w:rsidRPr="000617B8" w:rsidRDefault="005366A8" w:rsidP="005366A8">
      <w:pPr>
        <w:tabs>
          <w:tab w:val="left" w:pos="-720"/>
        </w:tabs>
        <w:spacing w:after="60"/>
        <w:rPr>
          <w:sz w:val="20"/>
          <w:szCs w:val="20"/>
          <w:rtl/>
        </w:rPr>
      </w:pPr>
      <w:r w:rsidRPr="000617B8">
        <w:rPr>
          <w:sz w:val="20"/>
          <w:szCs w:val="20"/>
          <w:u w:val="single"/>
          <w:rtl/>
        </w:rPr>
        <w:t>3</w:t>
      </w:r>
      <w:r w:rsidRPr="000617B8">
        <w:rPr>
          <w:sz w:val="20"/>
          <w:szCs w:val="20"/>
          <w:rtl/>
        </w:rPr>
        <w:t xml:space="preserve">. כשל נוסף שמופיע תכופות הוא מכיוון אחר </w:t>
      </w:r>
      <w:r w:rsidRPr="000617B8">
        <w:rPr>
          <w:sz w:val="20"/>
          <w:szCs w:val="20"/>
        </w:rPr>
        <w:t>–</w:t>
      </w:r>
      <w:r w:rsidRPr="000617B8">
        <w:rPr>
          <w:sz w:val="20"/>
          <w:szCs w:val="20"/>
          <w:rtl/>
        </w:rPr>
        <w:t xml:space="preserve"> כיוון מנוגד.  הוא אינו נוגע למיעוט 'כרוני' שהחוקה והביקורת השיפוטית נועדו לאזן את חולשתו, אלא עוסק ב</w:t>
      </w:r>
      <w:r w:rsidRPr="000617B8">
        <w:rPr>
          <w:b/>
          <w:bCs/>
          <w:sz w:val="20"/>
          <w:szCs w:val="20"/>
          <w:rtl/>
        </w:rPr>
        <w:t xml:space="preserve">עודף הכוח של </w:t>
      </w:r>
      <w:r w:rsidRPr="000617B8">
        <w:rPr>
          <w:rFonts w:hint="cs"/>
          <w:b/>
          <w:bCs/>
          <w:sz w:val="20"/>
          <w:szCs w:val="20"/>
          <w:rtl/>
        </w:rPr>
        <w:t>קבוצות מיעוט מסוימות</w:t>
      </w:r>
      <w:r w:rsidRPr="000617B8">
        <w:rPr>
          <w:sz w:val="20"/>
          <w:szCs w:val="20"/>
          <w:rtl/>
        </w:rPr>
        <w:t>.  במילים אחרות, התערבות בדרך של חוקה וביקורת שיפוטית חוקתית נחוצה לא רק כנגד רודנות של הרוב הנכפית על המיעוט, אלא גם בשל סכנה הפוכה; מיעוט המנצל את כוחו העודף, כדי ליצור הלכה למעשה רודנות כלפי הרוב.  כיצד נוצרות בעיות מסוג זה?  =קבוצות שונות שאינן יכולת לממש הלכה למעשה את הפוטנציאל הפוליטי הטמון בגודל המספרי של חבריהן, והן נאלצות לקבל וטו או הכתבת מיעוט שאיננה מוצדקת.  כמה סיבות אפשריות:</w:t>
      </w:r>
    </w:p>
    <w:p w:rsidR="005366A8" w:rsidRPr="000617B8" w:rsidRDefault="005366A8" w:rsidP="005366A8">
      <w:pPr>
        <w:tabs>
          <w:tab w:val="left" w:pos="-720"/>
        </w:tabs>
        <w:spacing w:after="60"/>
        <w:rPr>
          <w:sz w:val="20"/>
          <w:szCs w:val="20"/>
          <w:rtl/>
        </w:rPr>
      </w:pPr>
      <w:r w:rsidRPr="000617B8">
        <w:rPr>
          <w:b/>
          <w:bCs/>
          <w:sz w:val="20"/>
          <w:szCs w:val="20"/>
          <w:rtl/>
        </w:rPr>
        <w:t>א. תיאורית הבחירה הציבורית</w:t>
      </w:r>
      <w:r w:rsidRPr="000617B8">
        <w:rPr>
          <w:rFonts w:hint="cs"/>
          <w:sz w:val="20"/>
          <w:szCs w:val="20"/>
          <w:rtl/>
        </w:rPr>
        <w:t xml:space="preserve"> (</w:t>
      </w:r>
      <w:r w:rsidRPr="000617B8">
        <w:rPr>
          <w:sz w:val="20"/>
          <w:szCs w:val="20"/>
        </w:rPr>
        <w:t>public choice</w:t>
      </w:r>
      <w:r w:rsidRPr="000617B8">
        <w:rPr>
          <w:rFonts w:hint="cs"/>
          <w:sz w:val="20"/>
          <w:szCs w:val="20"/>
          <w:rtl/>
        </w:rPr>
        <w:t>)</w:t>
      </w:r>
      <w:r w:rsidRPr="000617B8">
        <w:rPr>
          <w:sz w:val="20"/>
          <w:szCs w:val="20"/>
          <w:rtl/>
        </w:rPr>
        <w:t xml:space="preserve">: קיומן של קבוצות לחץ חברתיות </w:t>
      </w:r>
      <w:r w:rsidRPr="000617B8">
        <w:rPr>
          <w:rFonts w:hint="cs"/>
          <w:sz w:val="20"/>
          <w:szCs w:val="20"/>
          <w:rtl/>
        </w:rPr>
        <w:t xml:space="preserve">("קבוצות אינטרסים") </w:t>
      </w:r>
      <w:r w:rsidRPr="000617B8">
        <w:rPr>
          <w:sz w:val="20"/>
          <w:szCs w:val="20"/>
          <w:rtl/>
        </w:rPr>
        <w:t>מאורגנות מוביל לכך שהנציגים מקבלים</w:t>
      </w:r>
      <w:r w:rsidRPr="000617B8">
        <w:rPr>
          <w:rFonts w:hint="cs"/>
          <w:sz w:val="20"/>
          <w:szCs w:val="20"/>
          <w:rtl/>
        </w:rPr>
        <w:t xml:space="preserve"> לעיתים</w:t>
      </w:r>
      <w:r w:rsidRPr="000617B8">
        <w:rPr>
          <w:sz w:val="20"/>
          <w:szCs w:val="20"/>
          <w:rtl/>
        </w:rPr>
        <w:t xml:space="preserve"> הכרעות מהותיות שהן מנוגדות לרצון בוחריהם. </w:t>
      </w:r>
      <w:r w:rsidRPr="000617B8">
        <w:rPr>
          <w:rFonts w:hint="cs"/>
          <w:sz w:val="20"/>
          <w:szCs w:val="20"/>
          <w:rtl/>
        </w:rPr>
        <w:t>לאותן קבוצות ו</w:t>
      </w:r>
      <w:r w:rsidRPr="000617B8">
        <w:rPr>
          <w:sz w:val="20"/>
          <w:szCs w:val="20"/>
          <w:rtl/>
        </w:rPr>
        <w:t xml:space="preserve">בעלי האמצעים יש בעצם יותר מ"קול אחד לכל אחד".  מנגד, חברי קבוצות רוב הם </w:t>
      </w:r>
      <w:r w:rsidRPr="000617B8">
        <w:rPr>
          <w:rFonts w:hint="cs"/>
          <w:sz w:val="20"/>
          <w:szCs w:val="20"/>
          <w:rtl/>
        </w:rPr>
        <w:t>לעיתים</w:t>
      </w:r>
      <w:r w:rsidRPr="000617B8">
        <w:rPr>
          <w:sz w:val="20"/>
          <w:szCs w:val="20"/>
          <w:rtl/>
        </w:rPr>
        <w:t xml:space="preserve"> במצב סוציו-אקונומי </w:t>
      </w:r>
      <w:r w:rsidRPr="000617B8">
        <w:rPr>
          <w:rFonts w:hint="cs"/>
          <w:sz w:val="20"/>
          <w:szCs w:val="20"/>
          <w:rtl/>
        </w:rPr>
        <w:t>חלש</w:t>
      </w:r>
      <w:r w:rsidRPr="000617B8">
        <w:rPr>
          <w:sz w:val="20"/>
          <w:szCs w:val="20"/>
          <w:rtl/>
        </w:rPr>
        <w:t xml:space="preserve">, או במצב נסיבתי אחר שמקשה עליהם, הלכה למעשה, להתארגן כדי להגן על האינטרסים היסודיים שלהם.  חוקה וביקורת שיפוטית חוקתית, היא על כן </w:t>
      </w:r>
      <w:r w:rsidRPr="000617B8">
        <w:rPr>
          <w:rFonts w:hint="cs"/>
          <w:sz w:val="20"/>
          <w:szCs w:val="20"/>
          <w:rtl/>
        </w:rPr>
        <w:t>פתח</w:t>
      </w:r>
      <w:r w:rsidRPr="000617B8">
        <w:rPr>
          <w:sz w:val="20"/>
          <w:szCs w:val="20"/>
          <w:rtl/>
        </w:rPr>
        <w:t xml:space="preserve"> להתערבות כדי שהליך החקיקה יהיה שוויוני יותר במישור הייצוג.</w:t>
      </w:r>
      <w:r w:rsidRPr="000617B8">
        <w:rPr>
          <w:rFonts w:hint="cs"/>
          <w:sz w:val="20"/>
          <w:szCs w:val="20"/>
          <w:rtl/>
        </w:rPr>
        <w:t xml:space="preserve"> [ראו בהמשך הדרך את דבריו של רולס אליהם מפנה השו' ברק ב</w:t>
      </w:r>
      <w:r w:rsidRPr="000617B8">
        <w:rPr>
          <w:rFonts w:hint="cs"/>
          <w:b/>
          <w:bCs/>
          <w:sz w:val="20"/>
          <w:szCs w:val="20"/>
          <w:rtl/>
        </w:rPr>
        <w:t>בנק המזרחי</w:t>
      </w:r>
      <w:r w:rsidRPr="000617B8">
        <w:rPr>
          <w:rFonts w:hint="cs"/>
          <w:sz w:val="20"/>
          <w:szCs w:val="20"/>
          <w:rtl/>
        </w:rPr>
        <w:t>].</w:t>
      </w:r>
    </w:p>
    <w:p w:rsidR="005366A8" w:rsidRPr="000617B8" w:rsidRDefault="005366A8" w:rsidP="005366A8">
      <w:pPr>
        <w:tabs>
          <w:tab w:val="left" w:pos="-720"/>
        </w:tabs>
        <w:ind w:left="720"/>
        <w:rPr>
          <w:rFonts w:ascii="Arial" w:hAnsi="Arial" w:cs="Arial"/>
          <w:sz w:val="18"/>
          <w:szCs w:val="18"/>
          <w:rtl/>
        </w:rPr>
      </w:pPr>
      <w:r w:rsidRPr="000617B8">
        <w:rPr>
          <w:rFonts w:ascii="Arial" w:hAnsi="Arial" w:cs="Arial"/>
          <w:sz w:val="18"/>
          <w:szCs w:val="18"/>
          <w:rtl/>
        </w:rPr>
        <w:t xml:space="preserve">דוגמא של פרופ' דותן 'לייצוג יתר' </w:t>
      </w:r>
      <w:r w:rsidRPr="000617B8">
        <w:rPr>
          <w:rFonts w:ascii="Arial" w:hAnsi="Arial" w:cs="Arial"/>
          <w:sz w:val="18"/>
          <w:szCs w:val="18"/>
        </w:rPr>
        <w:t>–</w:t>
      </w:r>
      <w:r w:rsidRPr="000617B8">
        <w:rPr>
          <w:rFonts w:ascii="Arial" w:hAnsi="Arial" w:cs="Arial"/>
          <w:sz w:val="18"/>
          <w:szCs w:val="18"/>
          <w:rtl/>
        </w:rPr>
        <w:t xml:space="preserve"> השתלשלות העניינים שהוליכה לחקיקת חוק משק החשמל, התשנ"ו-1996.  חברת החשמל היא גוף הומוגני ומאורגן היטב, המסוגל לנצל את הכספים שנצברו בקופתו בעקבות המונופול שנהנה ממנו במשך שנים ארוכות כדי לנהל מסע מאורגן של יחסי-ציבור והפעלת שדולה נמרצת על חברי הכנסת.  לעומת זאת, קבוצת הצרכנים היא קבוצה גדולה יותר במישור המספרי, אך עוצמת האינטרס של כל חבר בקבוצה בשאלה זו היא נמוכה, והוצאות ההתארגנות והפעלה של שדולה פוליטית נגדית הן גבוהות יחסית.  התוצאות של מאבק פוליטי בין שתי קבוצות אלו כמעט צפויות מראש. ואכן בשלהי ימיה של הכנסת השלוש-עשרה נחקק חוק החשמל החדש: הארכת המונופול של חברת החשמל בעשר שנים נוספות והענקה של שורה של הטבות מפליגות.  חקיקת החוק נעשתה אגב הפעלת לחץ רצוף על נציגי עובדי החברה על חברי הכנסת, תוך ניצול אופטימלי של התזמון של תקופת הבחירות המקדימות במפלגות (הפריימריז) ולאחר שאלפים מעובדי החברה דאגו להתפקד לשורותיה של מפלגת העבודה.  כל זאת, על אף שההסדר שעוגן בחוק החדש עמד בניגוד להמלצות של ועדות מקצועיות שבחנו את הנושא ונמתחה עליו ביקורת נמרצת בעיתונות.  </w:t>
      </w:r>
    </w:p>
    <w:p w:rsidR="005366A8" w:rsidRPr="000617B8" w:rsidRDefault="005366A8" w:rsidP="005366A8">
      <w:pPr>
        <w:tabs>
          <w:tab w:val="left" w:pos="-720"/>
        </w:tabs>
        <w:spacing w:after="60"/>
        <w:ind w:left="720"/>
        <w:rPr>
          <w:rFonts w:ascii="Arial" w:hAnsi="Arial" w:cs="Arial"/>
          <w:sz w:val="18"/>
          <w:szCs w:val="18"/>
          <w:rtl/>
        </w:rPr>
      </w:pPr>
      <w:r w:rsidRPr="000617B8">
        <w:rPr>
          <w:rFonts w:ascii="Arial" w:hAnsi="Arial" w:cs="Arial" w:hint="cs"/>
          <w:sz w:val="18"/>
          <w:szCs w:val="18"/>
          <w:rtl/>
        </w:rPr>
        <w:t xml:space="preserve">מה היא אם כן חשיבותן של </w:t>
      </w:r>
      <w:r w:rsidRPr="000617B8">
        <w:rPr>
          <w:rFonts w:ascii="Arial" w:hAnsi="Arial" w:cs="Arial"/>
          <w:sz w:val="18"/>
          <w:szCs w:val="18"/>
          <w:rtl/>
        </w:rPr>
        <w:t>החוקה והביקורת השיפוטית: החוק שגובש עשוי לעורר בעיה חוקתית שתצטרך להיות מוכרעת בבית המשפט משום שלכאורה החוק פוגע בחופש העיסוק של גורמים אחרים בענף החשמל במשק -&gt;פסקת ההגבלה.</w:t>
      </w:r>
    </w:p>
    <w:p w:rsidR="005366A8" w:rsidRPr="000617B8" w:rsidRDefault="005366A8" w:rsidP="005366A8">
      <w:pPr>
        <w:pStyle w:val="T-body"/>
        <w:spacing w:after="60" w:line="240" w:lineRule="auto"/>
        <w:rPr>
          <w:sz w:val="20"/>
          <w:szCs w:val="20"/>
          <w:rtl/>
        </w:rPr>
      </w:pPr>
      <w:r w:rsidRPr="000617B8">
        <w:rPr>
          <w:b/>
          <w:bCs/>
          <w:sz w:val="20"/>
          <w:szCs w:val="20"/>
          <w:rtl/>
        </w:rPr>
        <w:t>ב. "דילמת אסיר"</w:t>
      </w:r>
      <w:r w:rsidRPr="000617B8">
        <w:rPr>
          <w:sz w:val="20"/>
          <w:szCs w:val="20"/>
          <w:rtl/>
        </w:rPr>
        <w:t xml:space="preserve"> </w:t>
      </w:r>
      <w:r w:rsidRPr="000617B8">
        <w:rPr>
          <w:sz w:val="20"/>
          <w:szCs w:val="20"/>
        </w:rPr>
        <w:t>–</w:t>
      </w:r>
      <w:r w:rsidRPr="000617B8">
        <w:rPr>
          <w:sz w:val="20"/>
          <w:szCs w:val="20"/>
          <w:rtl/>
        </w:rPr>
        <w:t xml:space="preserve"> תורת המשחקים </w:t>
      </w:r>
      <w:r w:rsidRPr="000617B8">
        <w:rPr>
          <w:sz w:val="20"/>
          <w:szCs w:val="20"/>
        </w:rPr>
        <w:t>–</w:t>
      </w:r>
      <w:r w:rsidRPr="000617B8">
        <w:rPr>
          <w:sz w:val="20"/>
          <w:szCs w:val="20"/>
          <w:rtl/>
        </w:rPr>
        <w:t xml:space="preserve"> סימולציות של הכרעות חברתיות בתנאים של אי-ודאות.  </w:t>
      </w:r>
    </w:p>
    <w:p w:rsidR="005366A8" w:rsidRPr="000617B8" w:rsidRDefault="005366A8" w:rsidP="005366A8">
      <w:pPr>
        <w:pStyle w:val="T-body"/>
        <w:spacing w:after="60" w:line="240" w:lineRule="auto"/>
        <w:rPr>
          <w:sz w:val="20"/>
          <w:szCs w:val="20"/>
          <w:rtl/>
        </w:rPr>
      </w:pPr>
      <w:r w:rsidRPr="000617B8">
        <w:rPr>
          <w:sz w:val="20"/>
          <w:szCs w:val="20"/>
          <w:rtl/>
        </w:rPr>
        <w:t>המשל: שני אסירים חשודים בביצוע פשע חמור, אולם אין די ראיות כדי להעמידם לדין פלילי על אותה עבירה, אלא רק על עבירה קלה יותר. אם שניהם יודו בבצוע העבירה הקלה הם יקבלו עונש קל. אם אחד יהיה מוכן להיות עד</w:t>
      </w:r>
      <w:r w:rsidRPr="000617B8">
        <w:rPr>
          <w:rFonts w:hint="cs"/>
          <w:sz w:val="20"/>
          <w:szCs w:val="20"/>
          <w:rtl/>
        </w:rPr>
        <w:t>-</w:t>
      </w:r>
      <w:r w:rsidRPr="000617B8">
        <w:rPr>
          <w:sz w:val="20"/>
          <w:szCs w:val="20"/>
          <w:rtl/>
        </w:rPr>
        <w:t xml:space="preserve">מדינה כנגד השני, הוא </w:t>
      </w:r>
      <w:r w:rsidRPr="000617B8">
        <w:rPr>
          <w:rFonts w:hint="cs"/>
          <w:sz w:val="20"/>
          <w:szCs w:val="20"/>
          <w:rtl/>
        </w:rPr>
        <w:t xml:space="preserve">כלל </w:t>
      </w:r>
      <w:r w:rsidRPr="000617B8">
        <w:rPr>
          <w:sz w:val="20"/>
          <w:szCs w:val="20"/>
          <w:rtl/>
        </w:rPr>
        <w:t xml:space="preserve">לא </w:t>
      </w:r>
      <w:r w:rsidRPr="000617B8">
        <w:rPr>
          <w:rFonts w:hint="cs"/>
          <w:sz w:val="20"/>
          <w:szCs w:val="20"/>
          <w:rtl/>
        </w:rPr>
        <w:t>י</w:t>
      </w:r>
      <w:r w:rsidRPr="000617B8">
        <w:rPr>
          <w:sz w:val="20"/>
          <w:szCs w:val="20"/>
          <w:rtl/>
        </w:rPr>
        <w:t>יכנס לכלא, ואילו השני</w:t>
      </w:r>
      <w:r w:rsidRPr="000617B8">
        <w:rPr>
          <w:rFonts w:hint="cs"/>
          <w:sz w:val="20"/>
          <w:szCs w:val="20"/>
          <w:rtl/>
        </w:rPr>
        <w:t xml:space="preserve"> </w:t>
      </w:r>
      <w:r w:rsidRPr="000617B8">
        <w:rPr>
          <w:sz w:val="20"/>
          <w:szCs w:val="20"/>
          <w:rtl/>
        </w:rPr>
        <w:t>יכנס לתקופה ארוכה. מבחינת טובת שני האסירים, עדיף לשניהם להודות בעבירה הקלה ולא להודות בעבירה החמורה. אולם אם כל צד יחשוב רק על האינטרס הרגעי שלו, הוא יהיה מוכן להיות עד</w:t>
      </w:r>
      <w:r w:rsidRPr="000617B8">
        <w:rPr>
          <w:rFonts w:hint="cs"/>
          <w:sz w:val="20"/>
          <w:szCs w:val="20"/>
          <w:rtl/>
        </w:rPr>
        <w:t>-</w:t>
      </w:r>
      <w:r w:rsidRPr="000617B8">
        <w:rPr>
          <w:sz w:val="20"/>
          <w:szCs w:val="20"/>
          <w:rtl/>
        </w:rPr>
        <w:t xml:space="preserve">מדינה, להשתחרר בכלל מהכלא ולהביא לכך שהשני ישב תקופה ארוכה מאוד. </w:t>
      </w:r>
    </w:p>
    <w:p w:rsidR="005366A8" w:rsidRPr="000617B8" w:rsidRDefault="005366A8" w:rsidP="005366A8">
      <w:pPr>
        <w:pStyle w:val="T-body"/>
        <w:spacing w:after="60" w:line="240" w:lineRule="auto"/>
        <w:rPr>
          <w:sz w:val="20"/>
          <w:szCs w:val="20"/>
          <w:rtl/>
        </w:rPr>
      </w:pPr>
      <w:r w:rsidRPr="000617B8">
        <w:rPr>
          <w:rFonts w:hint="cs"/>
          <w:sz w:val="20"/>
          <w:szCs w:val="20"/>
          <w:rtl/>
        </w:rPr>
        <w:t xml:space="preserve">הנמשל: </w:t>
      </w:r>
      <w:r w:rsidRPr="000617B8">
        <w:rPr>
          <w:sz w:val="20"/>
          <w:szCs w:val="20"/>
          <w:rtl/>
        </w:rPr>
        <w:t xml:space="preserve">דילמה זו אנלוגית במידה מסוימת לקושי של המפלגות הגדולות בדמוקרטיה ייצוגית לממש את האינטרסים שלהן. </w:t>
      </w:r>
    </w:p>
    <w:p w:rsidR="005366A8" w:rsidRPr="000617B8" w:rsidRDefault="005366A8" w:rsidP="005366A8">
      <w:pPr>
        <w:pStyle w:val="T-body"/>
        <w:spacing w:after="60" w:line="240" w:lineRule="auto"/>
        <w:ind w:left="720"/>
        <w:rPr>
          <w:sz w:val="20"/>
          <w:szCs w:val="20"/>
          <w:rtl/>
        </w:rPr>
      </w:pPr>
      <w:r w:rsidRPr="000617B8">
        <w:rPr>
          <w:sz w:val="20"/>
          <w:szCs w:val="20"/>
          <w:rtl/>
        </w:rPr>
        <w:t>נמשל אפשרי</w:t>
      </w:r>
      <w:r w:rsidRPr="000617B8">
        <w:rPr>
          <w:rFonts w:hint="cs"/>
          <w:sz w:val="20"/>
          <w:szCs w:val="20"/>
          <w:rtl/>
        </w:rPr>
        <w:t xml:space="preserve"> </w:t>
      </w:r>
      <w:r w:rsidRPr="000617B8">
        <w:rPr>
          <w:sz w:val="20"/>
          <w:szCs w:val="20"/>
          <w:rtl/>
        </w:rPr>
        <w:t>–</w:t>
      </w:r>
      <w:r w:rsidRPr="000617B8">
        <w:rPr>
          <w:rFonts w:hint="cs"/>
          <w:sz w:val="20"/>
          <w:szCs w:val="20"/>
          <w:rtl/>
        </w:rPr>
        <w:t xml:space="preserve"> אך אל תקבלו אותו כמוסכם או כנכון עד שתחשבו עליו</w:t>
      </w:r>
      <w:r w:rsidRPr="000617B8">
        <w:rPr>
          <w:sz w:val="20"/>
          <w:szCs w:val="20"/>
          <w:rtl/>
        </w:rPr>
        <w:t>: בישראל ישנו רוב לאוכלוסייה היהודית הלא-דתית, אולם מכיוון שכל אחת מהמפלגות הגדולות חוששות שהשניה תשיג את תמיכת הדתיים, הן מוכנות לוותר על ערכים המשותפים לשתי המפלגות בתחום דת ומדינה</w:t>
      </w:r>
      <w:r w:rsidRPr="000617B8">
        <w:rPr>
          <w:rFonts w:hint="cs"/>
          <w:sz w:val="20"/>
          <w:szCs w:val="20"/>
          <w:rtl/>
        </w:rPr>
        <w:t xml:space="preserve"> ובתחום השוויון</w:t>
      </w:r>
      <w:r w:rsidRPr="000617B8">
        <w:rPr>
          <w:sz w:val="20"/>
          <w:szCs w:val="20"/>
          <w:rtl/>
        </w:rPr>
        <w:t xml:space="preserve">. בהיותן שבויות במעין "דילמת אסיר", </w:t>
      </w:r>
      <w:r w:rsidRPr="000617B8">
        <w:rPr>
          <w:rFonts w:hint="cs"/>
          <w:sz w:val="20"/>
          <w:szCs w:val="20"/>
          <w:rtl/>
        </w:rPr>
        <w:t>ה</w:t>
      </w:r>
      <w:r w:rsidRPr="000617B8">
        <w:rPr>
          <w:sz w:val="20"/>
          <w:szCs w:val="20"/>
          <w:rtl/>
        </w:rPr>
        <w:t xml:space="preserve">מיעוט </w:t>
      </w:r>
      <w:r w:rsidRPr="000617B8">
        <w:rPr>
          <w:rFonts w:hint="cs"/>
          <w:sz w:val="20"/>
          <w:szCs w:val="20"/>
          <w:rtl/>
        </w:rPr>
        <w:t>מ</w:t>
      </w:r>
      <w:r w:rsidRPr="000617B8">
        <w:rPr>
          <w:sz w:val="20"/>
          <w:szCs w:val="20"/>
          <w:rtl/>
        </w:rPr>
        <w:t xml:space="preserve">צליח במידה לא מועטה לכפות הכרעות הנוגדות את אותם ערכים משותפים.  </w:t>
      </w:r>
    </w:p>
    <w:p w:rsidR="005366A8" w:rsidRPr="000617B8" w:rsidRDefault="005366A8" w:rsidP="005366A8">
      <w:pPr>
        <w:pStyle w:val="T-body"/>
        <w:spacing w:line="240" w:lineRule="auto"/>
        <w:ind w:left="720"/>
        <w:rPr>
          <w:sz w:val="20"/>
          <w:szCs w:val="20"/>
          <w:rtl/>
        </w:rPr>
      </w:pPr>
      <w:r w:rsidRPr="000617B8">
        <w:rPr>
          <w:rFonts w:hint="cs"/>
          <w:sz w:val="20"/>
          <w:szCs w:val="20"/>
          <w:rtl/>
        </w:rPr>
        <w:t xml:space="preserve">חוקה עשויה להוות </w:t>
      </w:r>
      <w:r w:rsidRPr="000617B8">
        <w:rPr>
          <w:sz w:val="20"/>
          <w:szCs w:val="20"/>
          <w:rtl/>
        </w:rPr>
        <w:t xml:space="preserve">איזון כנגד כשל דמוקרטי זה </w:t>
      </w:r>
      <w:r w:rsidRPr="000617B8">
        <w:rPr>
          <w:rFonts w:hint="cs"/>
          <w:sz w:val="20"/>
          <w:szCs w:val="20"/>
          <w:rtl/>
        </w:rPr>
        <w:t>(ב</w:t>
      </w:r>
      <w:r w:rsidRPr="000617B8">
        <w:rPr>
          <w:sz w:val="20"/>
          <w:szCs w:val="20"/>
          <w:rtl/>
        </w:rPr>
        <w:t>הנחה</w:t>
      </w:r>
      <w:r w:rsidRPr="000617B8">
        <w:rPr>
          <w:rFonts w:hint="cs"/>
          <w:sz w:val="20"/>
          <w:szCs w:val="20"/>
          <w:rtl/>
        </w:rPr>
        <w:t>, כאמור,</w:t>
      </w:r>
      <w:r w:rsidRPr="000617B8">
        <w:rPr>
          <w:sz w:val="20"/>
          <w:szCs w:val="20"/>
          <w:rtl/>
        </w:rPr>
        <w:t xml:space="preserve"> שהוא אכן כשל</w:t>
      </w:r>
      <w:r w:rsidRPr="000617B8">
        <w:rPr>
          <w:rFonts w:hint="cs"/>
          <w:sz w:val="20"/>
          <w:szCs w:val="20"/>
          <w:rtl/>
        </w:rPr>
        <w:t>).  הבה נבחן את ההשתלשלות בנושא גיוס בני ישיבות</w:t>
      </w:r>
      <w:r w:rsidRPr="000617B8">
        <w:rPr>
          <w:sz w:val="20"/>
          <w:szCs w:val="20"/>
          <w:rtl/>
        </w:rPr>
        <w:t xml:space="preserve"> </w:t>
      </w:r>
      <w:r w:rsidRPr="000617B8">
        <w:rPr>
          <w:rFonts w:hint="cs"/>
          <w:sz w:val="20"/>
          <w:szCs w:val="20"/>
          <w:rtl/>
        </w:rPr>
        <w:t xml:space="preserve">בעקבות </w:t>
      </w:r>
      <w:r w:rsidRPr="000617B8">
        <w:rPr>
          <w:sz w:val="20"/>
          <w:szCs w:val="20"/>
          <w:rtl/>
        </w:rPr>
        <w:t xml:space="preserve">פסק דין </w:t>
      </w:r>
      <w:r w:rsidRPr="000617B8">
        <w:rPr>
          <w:b/>
          <w:bCs/>
          <w:sz w:val="20"/>
          <w:szCs w:val="20"/>
          <w:rtl/>
        </w:rPr>
        <w:t>רובינשטיין</w:t>
      </w:r>
      <w:r w:rsidRPr="000617B8">
        <w:rPr>
          <w:rFonts w:hint="cs"/>
          <w:b/>
          <w:bCs/>
          <w:sz w:val="20"/>
          <w:szCs w:val="20"/>
          <w:rtl/>
        </w:rPr>
        <w:t xml:space="preserve"> נ' שר הביטחון.</w:t>
      </w:r>
      <w:r w:rsidRPr="000617B8">
        <w:rPr>
          <w:sz w:val="20"/>
          <w:szCs w:val="20"/>
          <w:rtl/>
        </w:rPr>
        <w:t xml:space="preserve"> בעניין גיוס בחורי ישיבות. הרוב </w:t>
      </w:r>
      <w:r w:rsidRPr="000617B8">
        <w:rPr>
          <w:rFonts w:hint="cs"/>
          <w:sz w:val="20"/>
          <w:szCs w:val="20"/>
          <w:rtl/>
        </w:rPr>
        <w:t>(נניח) מע</w:t>
      </w:r>
      <w:r w:rsidRPr="000617B8">
        <w:rPr>
          <w:sz w:val="20"/>
          <w:szCs w:val="20"/>
          <w:rtl/>
        </w:rPr>
        <w:t>וניין בגיוס בחורי ישיבות. אולם המערכת הפוליטית איננה מסוגלת לממש רוב זה בשל דילמת האסיר. בית המשפט יכול לפעול בשני מישורים. האחד: לחייב את הכנסת לקבל את ההכרעה המהותית שהיא מעונ</w:t>
      </w:r>
      <w:r w:rsidRPr="000617B8">
        <w:rPr>
          <w:rFonts w:hint="cs"/>
          <w:sz w:val="20"/>
          <w:szCs w:val="20"/>
          <w:rtl/>
        </w:rPr>
        <w:t>י</w:t>
      </w:r>
      <w:r w:rsidRPr="000617B8">
        <w:rPr>
          <w:sz w:val="20"/>
          <w:szCs w:val="20"/>
          <w:rtl/>
        </w:rPr>
        <w:t xml:space="preserve">ינת לקבל, אך איננה מסוגלת בשל אותה דילמה. והשני, לקבל </w:t>
      </w:r>
      <w:r w:rsidRPr="000617B8">
        <w:rPr>
          <w:rFonts w:hint="cs"/>
          <w:sz w:val="20"/>
          <w:szCs w:val="20"/>
          <w:rtl/>
        </w:rPr>
        <w:t xml:space="preserve">הוא עצמו </w:t>
      </w:r>
      <w:r w:rsidRPr="000617B8">
        <w:rPr>
          <w:sz w:val="20"/>
          <w:szCs w:val="20"/>
          <w:rtl/>
        </w:rPr>
        <w:t>את ההכרעה המהותית שהרוב רוצה</w:t>
      </w:r>
      <w:r w:rsidRPr="000617B8">
        <w:rPr>
          <w:rFonts w:hint="cs"/>
          <w:sz w:val="20"/>
          <w:szCs w:val="20"/>
          <w:rtl/>
        </w:rPr>
        <w:t>, וזאת</w:t>
      </w:r>
      <w:r w:rsidRPr="000617B8">
        <w:rPr>
          <w:sz w:val="20"/>
          <w:szCs w:val="20"/>
          <w:rtl/>
        </w:rPr>
        <w:t xml:space="preserve"> במקום שהכנסת תקבל זאת.  בית המשפט העדיף בשלב הראשון את אופציית הפעולה הראשונה; הוא לא קיבל את ההסדר שנקבע על ידי שר הביטחון, ו</w:t>
      </w:r>
      <w:r w:rsidRPr="000617B8">
        <w:rPr>
          <w:rFonts w:hint="cs"/>
          <w:sz w:val="20"/>
          <w:szCs w:val="20"/>
          <w:rtl/>
        </w:rPr>
        <w:t xml:space="preserve">חִייב </w:t>
      </w:r>
      <w:r w:rsidRPr="000617B8">
        <w:rPr>
          <w:sz w:val="20"/>
          <w:szCs w:val="20"/>
          <w:rtl/>
        </w:rPr>
        <w:t xml:space="preserve">כי הסדרת הסוגיה של פטור על בסיס קבוצתי משירות צבאי תוסדר על ידי המחוקק.  </w:t>
      </w:r>
      <w:r w:rsidRPr="000617B8">
        <w:rPr>
          <w:rFonts w:hint="cs"/>
          <w:sz w:val="20"/>
          <w:szCs w:val="20"/>
          <w:rtl/>
        </w:rPr>
        <w:t>הכנסת קיבלה הכרעה שהגיעה אחר כך לבית המשפט לצורך הכרעה מהותית</w:t>
      </w:r>
      <w:r w:rsidRPr="000617B8">
        <w:rPr>
          <w:sz w:val="20"/>
          <w:szCs w:val="20"/>
          <w:rtl/>
        </w:rPr>
        <w:t xml:space="preserve">.  האם יהיו לו </w:t>
      </w:r>
      <w:r w:rsidRPr="000617B8">
        <w:rPr>
          <w:rFonts w:hint="cs"/>
          <w:sz w:val="20"/>
          <w:szCs w:val="20"/>
          <w:rtl/>
        </w:rPr>
        <w:t xml:space="preserve">לביהמ"ש </w:t>
      </w:r>
      <w:r w:rsidRPr="000617B8">
        <w:rPr>
          <w:sz w:val="20"/>
          <w:szCs w:val="20"/>
          <w:rtl/>
        </w:rPr>
        <w:t>כלי התמודדות</w:t>
      </w:r>
      <w:r w:rsidRPr="000617B8">
        <w:rPr>
          <w:rFonts w:hint="cs"/>
          <w:sz w:val="20"/>
          <w:szCs w:val="20"/>
          <w:rtl/>
        </w:rPr>
        <w:t xml:space="preserve"> עם ההכרעה המהותית של המחוקק</w:t>
      </w:r>
      <w:r w:rsidRPr="000617B8">
        <w:rPr>
          <w:sz w:val="20"/>
          <w:szCs w:val="20"/>
          <w:rtl/>
        </w:rPr>
        <w:t>?  שאלה זו תלויה בשתיים: האם קיימת חוקה ובה מעוג</w:t>
      </w:r>
      <w:r w:rsidRPr="000617B8">
        <w:rPr>
          <w:rFonts w:hint="cs"/>
          <w:sz w:val="20"/>
          <w:szCs w:val="20"/>
          <w:rtl/>
        </w:rPr>
        <w:t>נת הזכות ל</w:t>
      </w:r>
      <w:r w:rsidRPr="000617B8">
        <w:rPr>
          <w:sz w:val="20"/>
          <w:szCs w:val="20"/>
          <w:rtl/>
        </w:rPr>
        <w:t>שוויון, והאם נתונה לביהמ"ש סמכות לביקורת שיפוטית חוקתית</w:t>
      </w:r>
      <w:r w:rsidRPr="000617B8">
        <w:rPr>
          <w:rFonts w:hint="cs"/>
          <w:sz w:val="20"/>
          <w:szCs w:val="20"/>
          <w:rtl/>
        </w:rPr>
        <w:t xml:space="preserve">? [ר' </w:t>
      </w:r>
      <w:r w:rsidRPr="000617B8">
        <w:rPr>
          <w:rFonts w:hint="cs"/>
          <w:b/>
          <w:bCs/>
          <w:sz w:val="20"/>
          <w:szCs w:val="20"/>
          <w:rtl/>
        </w:rPr>
        <w:t>פס"ד בענין חוק טל</w:t>
      </w:r>
      <w:r w:rsidRPr="000617B8">
        <w:rPr>
          <w:rFonts w:hint="cs"/>
          <w:sz w:val="20"/>
          <w:szCs w:val="20"/>
          <w:rtl/>
        </w:rPr>
        <w:t>, אותו נלמד בהמשך].</w:t>
      </w:r>
    </w:p>
    <w:p w:rsidR="005366A8" w:rsidRPr="000617B8" w:rsidRDefault="005366A8" w:rsidP="005366A8">
      <w:pPr>
        <w:pStyle w:val="T-body"/>
        <w:spacing w:after="60" w:line="240" w:lineRule="auto"/>
        <w:rPr>
          <w:sz w:val="20"/>
          <w:szCs w:val="20"/>
          <w:rtl/>
        </w:rPr>
      </w:pPr>
    </w:p>
    <w:p w:rsidR="005366A8" w:rsidRPr="000617B8" w:rsidRDefault="005366A8" w:rsidP="005366A8">
      <w:pPr>
        <w:pStyle w:val="T-body"/>
        <w:spacing w:after="60" w:line="240" w:lineRule="auto"/>
        <w:rPr>
          <w:sz w:val="20"/>
          <w:szCs w:val="20"/>
          <w:rtl/>
        </w:rPr>
      </w:pPr>
      <w:r w:rsidRPr="000617B8">
        <w:rPr>
          <w:rFonts w:hint="cs"/>
          <w:sz w:val="20"/>
          <w:szCs w:val="20"/>
          <w:u w:val="single"/>
          <w:rtl/>
        </w:rPr>
        <w:t>4</w:t>
      </w:r>
      <w:r w:rsidRPr="000617B8">
        <w:rPr>
          <w:rFonts w:hint="cs"/>
          <w:sz w:val="20"/>
          <w:szCs w:val="20"/>
          <w:rtl/>
        </w:rPr>
        <w:t>.</w:t>
      </w:r>
      <w:r w:rsidRPr="000617B8">
        <w:rPr>
          <w:rFonts w:hint="cs"/>
          <w:b/>
          <w:bCs/>
          <w:sz w:val="20"/>
          <w:szCs w:val="20"/>
          <w:rtl/>
        </w:rPr>
        <w:t xml:space="preserve"> </w:t>
      </w:r>
      <w:r w:rsidRPr="000617B8">
        <w:rPr>
          <w:b/>
          <w:bCs/>
          <w:sz w:val="20"/>
          <w:szCs w:val="20"/>
          <w:rtl/>
        </w:rPr>
        <w:t>"ההתחייבות המוקדמת"</w:t>
      </w:r>
      <w:r w:rsidRPr="000617B8">
        <w:rPr>
          <w:sz w:val="20"/>
          <w:szCs w:val="20"/>
          <w:rtl/>
        </w:rPr>
        <w:t xml:space="preserve"> </w:t>
      </w:r>
      <w:r w:rsidRPr="000617B8">
        <w:rPr>
          <w:sz w:val="20"/>
          <w:szCs w:val="20"/>
        </w:rPr>
        <w:t>pre-commitment</w:t>
      </w:r>
      <w:r w:rsidRPr="000617B8">
        <w:rPr>
          <w:rFonts w:hint="cs"/>
          <w:sz w:val="20"/>
          <w:szCs w:val="20"/>
          <w:rtl/>
        </w:rPr>
        <w:t xml:space="preserve"> </w:t>
      </w:r>
    </w:p>
    <w:p w:rsidR="005366A8" w:rsidRPr="000617B8" w:rsidRDefault="005366A8" w:rsidP="005366A8">
      <w:pPr>
        <w:pStyle w:val="T-body"/>
        <w:spacing w:after="60" w:line="240" w:lineRule="auto"/>
        <w:rPr>
          <w:sz w:val="20"/>
          <w:szCs w:val="20"/>
          <w:rtl/>
        </w:rPr>
      </w:pPr>
      <w:r w:rsidRPr="000617B8">
        <w:rPr>
          <w:rFonts w:hint="cs"/>
          <w:sz w:val="20"/>
          <w:szCs w:val="20"/>
          <w:rtl/>
        </w:rPr>
        <w:t xml:space="preserve">טיעון זה נקרא לעיתים טיעון "שירת הסירנות".  </w:t>
      </w:r>
    </w:p>
    <w:p w:rsidR="005366A8" w:rsidRPr="000617B8" w:rsidRDefault="005366A8" w:rsidP="005366A8">
      <w:pPr>
        <w:pStyle w:val="T-body"/>
        <w:spacing w:after="60" w:line="240" w:lineRule="auto"/>
        <w:ind w:left="720"/>
        <w:rPr>
          <w:rFonts w:ascii="Arial" w:hAnsi="Arial" w:cs="Arial"/>
          <w:sz w:val="18"/>
          <w:szCs w:val="18"/>
          <w:rtl/>
        </w:rPr>
      </w:pPr>
      <w:r w:rsidRPr="000617B8">
        <w:rPr>
          <w:rFonts w:ascii="Arial" w:hAnsi="Arial" w:cs="Arial"/>
          <w:sz w:val="18"/>
          <w:szCs w:val="18"/>
          <w:rtl/>
        </w:rPr>
        <w:t>באליאדה (מסעות אודיסאוס במיתולוגיה היוונית) מופיע משל על הפיתוי הגדול שעלול להוביל לאובדן, ועל היכולת להתמודד עמו. הספינה עוברת ליד אי הסירנות (בנות-הים)</w:t>
      </w:r>
      <w:r w:rsidRPr="000617B8">
        <w:rPr>
          <w:rFonts w:ascii="Arial" w:hAnsi="Arial" w:cs="Arial" w:hint="cs"/>
          <w:sz w:val="18"/>
          <w:szCs w:val="18"/>
          <w:rtl/>
        </w:rPr>
        <w:t xml:space="preserve"> שכן הם חייבים לעבור דרך מיצר הים החיוני שעובר לצדו</w:t>
      </w:r>
      <w:r w:rsidRPr="000617B8">
        <w:rPr>
          <w:rFonts w:ascii="Arial" w:hAnsi="Arial" w:cs="Arial"/>
          <w:sz w:val="18"/>
          <w:szCs w:val="18"/>
          <w:rtl/>
        </w:rPr>
        <w:t>.  אם יימשכו הספנים אל קולות שירתם הנפלאה של הסירנות, הספינה תיטרף בסלעי</w:t>
      </w:r>
      <w:r w:rsidRPr="000617B8">
        <w:rPr>
          <w:rFonts w:ascii="Arial" w:hAnsi="Arial" w:cs="Arial" w:hint="cs"/>
          <w:sz w:val="18"/>
          <w:szCs w:val="18"/>
          <w:rtl/>
        </w:rPr>
        <w:t xml:space="preserve"> האי שכן הם יכוונו עצמם להגיע אליהן, אל הסירנות</w:t>
      </w:r>
      <w:r w:rsidRPr="000617B8">
        <w:rPr>
          <w:rFonts w:ascii="Arial" w:hAnsi="Arial" w:cs="Arial"/>
          <w:sz w:val="18"/>
          <w:szCs w:val="18"/>
          <w:rtl/>
        </w:rPr>
        <w:t xml:space="preserve">.  מאידך, אם </w:t>
      </w:r>
      <w:r w:rsidRPr="000617B8">
        <w:rPr>
          <w:rFonts w:ascii="Arial" w:hAnsi="Arial" w:cs="Arial" w:hint="cs"/>
          <w:sz w:val="18"/>
          <w:szCs w:val="18"/>
          <w:rtl/>
        </w:rPr>
        <w:t xml:space="preserve">הם לא יקשיבו לקולות, הם </w:t>
      </w:r>
      <w:r w:rsidRPr="000617B8">
        <w:rPr>
          <w:rFonts w:ascii="Arial" w:hAnsi="Arial" w:cs="Arial"/>
          <w:sz w:val="18"/>
          <w:szCs w:val="18"/>
          <w:rtl/>
        </w:rPr>
        <w:t xml:space="preserve">לא ידעו </w:t>
      </w:r>
      <w:r w:rsidRPr="000617B8">
        <w:rPr>
          <w:rFonts w:ascii="Arial" w:hAnsi="Arial" w:cs="Arial" w:hint="cs"/>
          <w:sz w:val="18"/>
          <w:szCs w:val="18"/>
          <w:rtl/>
        </w:rPr>
        <w:t>לזהות את מיצר הים החיוני להם להימלטות מהתהום ולהמשך מסעם (כלומר הם ייקלעו ל</w:t>
      </w:r>
      <w:r w:rsidRPr="000617B8">
        <w:rPr>
          <w:rFonts w:ascii="Arial" w:hAnsi="Arial" w:cs="Arial"/>
          <w:sz w:val="18"/>
          <w:szCs w:val="18"/>
          <w:rtl/>
        </w:rPr>
        <w:t>סכנה נורא</w:t>
      </w:r>
      <w:r w:rsidRPr="000617B8">
        <w:rPr>
          <w:rFonts w:ascii="Arial" w:hAnsi="Arial" w:cs="Arial" w:hint="cs"/>
          <w:sz w:val="18"/>
          <w:szCs w:val="18"/>
          <w:rtl/>
        </w:rPr>
        <w:t>ה</w:t>
      </w:r>
      <w:r w:rsidRPr="000617B8">
        <w:rPr>
          <w:rFonts w:ascii="Arial" w:hAnsi="Arial" w:cs="Arial"/>
          <w:sz w:val="18"/>
          <w:szCs w:val="18"/>
          <w:rtl/>
        </w:rPr>
        <w:t xml:space="preserve"> אחרת</w:t>
      </w:r>
      <w:r w:rsidRPr="000617B8">
        <w:rPr>
          <w:rFonts w:ascii="Arial" w:hAnsi="Arial" w:cs="Arial" w:hint="cs"/>
          <w:sz w:val="18"/>
          <w:szCs w:val="18"/>
          <w:rtl/>
        </w:rPr>
        <w:t>)</w:t>
      </w:r>
      <w:r w:rsidRPr="000617B8">
        <w:rPr>
          <w:rFonts w:ascii="Arial" w:hAnsi="Arial" w:cs="Arial"/>
          <w:sz w:val="18"/>
          <w:szCs w:val="18"/>
          <w:rtl/>
        </w:rPr>
        <w:t xml:space="preserve">. אודיסאוס </w:t>
      </w:r>
      <w:r w:rsidRPr="000617B8">
        <w:rPr>
          <w:rFonts w:ascii="Arial" w:hAnsi="Arial" w:cs="Arial" w:hint="cs"/>
          <w:sz w:val="18"/>
          <w:szCs w:val="18"/>
          <w:rtl/>
        </w:rPr>
        <w:t>חושב על פתרון ומוצא אותו. הוא</w:t>
      </w:r>
      <w:r w:rsidRPr="000617B8">
        <w:rPr>
          <w:rFonts w:ascii="Arial" w:hAnsi="Arial" w:cs="Arial"/>
          <w:sz w:val="18"/>
          <w:szCs w:val="18"/>
          <w:rtl/>
        </w:rPr>
        <w:t xml:space="preserve"> מותיר את א</w:t>
      </w:r>
      <w:r w:rsidRPr="000617B8">
        <w:rPr>
          <w:rFonts w:ascii="Arial" w:hAnsi="Arial" w:cs="Arial" w:hint="cs"/>
          <w:sz w:val="18"/>
          <w:szCs w:val="18"/>
          <w:rtl/>
        </w:rPr>
        <w:t>ו</w:t>
      </w:r>
      <w:r w:rsidRPr="000617B8">
        <w:rPr>
          <w:rFonts w:ascii="Arial" w:hAnsi="Arial" w:cs="Arial"/>
          <w:sz w:val="18"/>
          <w:szCs w:val="18"/>
          <w:rtl/>
        </w:rPr>
        <w:t xml:space="preserve">זניו </w:t>
      </w:r>
      <w:r w:rsidRPr="000617B8">
        <w:rPr>
          <w:rFonts w:ascii="Arial" w:hAnsi="Arial" w:cs="Arial" w:hint="cs"/>
          <w:sz w:val="18"/>
          <w:szCs w:val="18"/>
          <w:rtl/>
        </w:rPr>
        <w:t>פקוחות</w:t>
      </w:r>
      <w:r w:rsidRPr="000617B8">
        <w:rPr>
          <w:rFonts w:ascii="Arial" w:hAnsi="Arial" w:cs="Arial"/>
          <w:sz w:val="18"/>
          <w:szCs w:val="18"/>
          <w:rtl/>
        </w:rPr>
        <w:t xml:space="preserve"> אך מורה ל</w:t>
      </w:r>
      <w:r w:rsidRPr="000617B8">
        <w:rPr>
          <w:rFonts w:ascii="Arial" w:hAnsi="Arial" w:cs="Arial" w:hint="cs"/>
          <w:sz w:val="18"/>
          <w:szCs w:val="18"/>
          <w:rtl/>
        </w:rPr>
        <w:t>ספניו</w:t>
      </w:r>
      <w:r w:rsidRPr="000617B8">
        <w:rPr>
          <w:rFonts w:ascii="Arial" w:hAnsi="Arial" w:cs="Arial"/>
          <w:sz w:val="18"/>
          <w:szCs w:val="18"/>
          <w:rtl/>
        </w:rPr>
        <w:t xml:space="preserve"> לאטום את אוזניהם </w:t>
      </w:r>
      <w:r w:rsidRPr="000617B8">
        <w:rPr>
          <w:rFonts w:ascii="Arial" w:hAnsi="Arial" w:cs="Arial" w:hint="cs"/>
          <w:sz w:val="18"/>
          <w:szCs w:val="18"/>
          <w:rtl/>
        </w:rPr>
        <w:t xml:space="preserve">שלהם </w:t>
      </w:r>
      <w:r w:rsidRPr="000617B8">
        <w:rPr>
          <w:rFonts w:ascii="Arial" w:hAnsi="Arial" w:cs="Arial"/>
          <w:sz w:val="18"/>
          <w:szCs w:val="18"/>
          <w:rtl/>
        </w:rPr>
        <w:t>בדונג</w:t>
      </w:r>
      <w:r w:rsidRPr="000617B8">
        <w:rPr>
          <w:rFonts w:ascii="Arial" w:hAnsi="Arial" w:cs="Arial" w:hint="cs"/>
          <w:sz w:val="18"/>
          <w:szCs w:val="18"/>
          <w:rtl/>
        </w:rPr>
        <w:t>;</w:t>
      </w:r>
      <w:r w:rsidRPr="000617B8">
        <w:rPr>
          <w:rFonts w:ascii="Arial" w:hAnsi="Arial" w:cs="Arial"/>
          <w:sz w:val="18"/>
          <w:szCs w:val="18"/>
          <w:rtl/>
        </w:rPr>
        <w:t xml:space="preserve"> במקביל הוא מורה </w:t>
      </w:r>
      <w:r w:rsidRPr="000617B8">
        <w:rPr>
          <w:rFonts w:ascii="Arial" w:hAnsi="Arial" w:cs="Arial" w:hint="cs"/>
          <w:sz w:val="18"/>
          <w:szCs w:val="18"/>
          <w:rtl/>
        </w:rPr>
        <w:t xml:space="preserve">להם </w:t>
      </w:r>
      <w:r w:rsidRPr="000617B8">
        <w:rPr>
          <w:rFonts w:ascii="Arial" w:hAnsi="Arial" w:cs="Arial"/>
          <w:sz w:val="18"/>
          <w:szCs w:val="18"/>
          <w:rtl/>
        </w:rPr>
        <w:t>לקשור אותו אל התורן</w:t>
      </w:r>
      <w:r w:rsidRPr="000617B8">
        <w:rPr>
          <w:rFonts w:ascii="Arial" w:hAnsi="Arial" w:cs="Arial" w:hint="cs"/>
          <w:sz w:val="18"/>
          <w:szCs w:val="18"/>
          <w:rtl/>
        </w:rPr>
        <w:t>, זאת כדי</w:t>
      </w:r>
      <w:r w:rsidRPr="000617B8">
        <w:rPr>
          <w:rFonts w:ascii="Arial" w:hAnsi="Arial" w:cs="Arial"/>
          <w:sz w:val="18"/>
          <w:szCs w:val="18"/>
          <w:rtl/>
        </w:rPr>
        <w:t xml:space="preserve"> למנוע ממנו לרדת אל הגה הספינה כשישמע את השירה המופלאה והכובשת.  </w:t>
      </w:r>
      <w:r w:rsidRPr="000617B8">
        <w:rPr>
          <w:rFonts w:ascii="Arial" w:hAnsi="Arial" w:cs="Arial" w:hint="cs"/>
          <w:sz w:val="18"/>
          <w:szCs w:val="18"/>
          <w:rtl/>
        </w:rPr>
        <w:t>שילוב אוזניו הפקוחות עם קשירתו</w:t>
      </w:r>
      <w:r w:rsidRPr="000617B8">
        <w:rPr>
          <w:rFonts w:ascii="Arial" w:hAnsi="Arial" w:cs="Arial"/>
          <w:sz w:val="18"/>
          <w:szCs w:val="18"/>
          <w:rtl/>
        </w:rPr>
        <w:t xml:space="preserve"> נועד </w:t>
      </w:r>
      <w:r w:rsidRPr="000617B8">
        <w:rPr>
          <w:rFonts w:ascii="Arial" w:hAnsi="Arial" w:cs="Arial" w:hint="cs"/>
          <w:sz w:val="18"/>
          <w:szCs w:val="18"/>
          <w:rtl/>
        </w:rPr>
        <w:t xml:space="preserve">לאפשר לו בו-זמנית לזהות את הכיוון הנכון אך להימנע מהפיתוי הקטלני. </w:t>
      </w:r>
    </w:p>
    <w:p w:rsidR="005366A8" w:rsidRPr="000617B8" w:rsidRDefault="005366A8" w:rsidP="005366A8">
      <w:pPr>
        <w:pStyle w:val="T-body"/>
        <w:spacing w:after="60" w:line="240" w:lineRule="auto"/>
        <w:rPr>
          <w:sz w:val="20"/>
          <w:szCs w:val="20"/>
          <w:rtl/>
        </w:rPr>
      </w:pPr>
      <w:r w:rsidRPr="000617B8">
        <w:rPr>
          <w:rFonts w:hint="cs"/>
          <w:sz w:val="20"/>
          <w:szCs w:val="20"/>
          <w:rtl/>
        </w:rPr>
        <w:t xml:space="preserve">מה הנמשל? </w:t>
      </w:r>
      <w:r w:rsidRPr="000617B8">
        <w:rPr>
          <w:sz w:val="20"/>
          <w:szCs w:val="20"/>
          <w:rtl/>
        </w:rPr>
        <w:t>טעם להגבלה העצמית (=טעם לחוקה): הרוֹב מבין</w:t>
      </w:r>
      <w:r w:rsidRPr="000617B8">
        <w:rPr>
          <w:rFonts w:hint="cs"/>
          <w:sz w:val="20"/>
          <w:szCs w:val="20"/>
          <w:rtl/>
        </w:rPr>
        <w:t>, או צריך להבין,</w:t>
      </w:r>
      <w:r w:rsidRPr="000617B8">
        <w:rPr>
          <w:sz w:val="20"/>
          <w:szCs w:val="20"/>
          <w:rtl/>
        </w:rPr>
        <w:t xml:space="preserve"> שיש סיטואציות שבהן הוא עלול להתפתות, בלהט הרגע, משיקולים קצרי-טווח, לעשות דברים שהם פסולים מוסרית, ולפחות בעייתיים מוסרית</w:t>
      </w:r>
      <w:r w:rsidRPr="000617B8">
        <w:rPr>
          <w:rFonts w:hint="cs"/>
          <w:sz w:val="20"/>
          <w:szCs w:val="20"/>
          <w:rtl/>
        </w:rPr>
        <w:t xml:space="preserve"> </w:t>
      </w:r>
      <w:r w:rsidRPr="000617B8">
        <w:rPr>
          <w:sz w:val="20"/>
          <w:szCs w:val="20"/>
          <w:rtl/>
        </w:rPr>
        <w:t>–</w:t>
      </w:r>
      <w:r w:rsidRPr="000617B8">
        <w:rPr>
          <w:rFonts w:hint="cs"/>
          <w:sz w:val="20"/>
          <w:szCs w:val="20"/>
          <w:rtl/>
        </w:rPr>
        <w:t xml:space="preserve"> ולכן הוא נוטל על עצמו מגבלות משמעותיות מוקדמות.  </w:t>
      </w:r>
    </w:p>
    <w:p w:rsidR="005366A8" w:rsidRPr="000617B8" w:rsidRDefault="005366A8" w:rsidP="005366A8">
      <w:pPr>
        <w:pStyle w:val="T-body"/>
        <w:spacing w:line="240" w:lineRule="auto"/>
        <w:ind w:left="595"/>
        <w:rPr>
          <w:sz w:val="20"/>
          <w:szCs w:val="20"/>
          <w:rtl/>
        </w:rPr>
      </w:pPr>
      <w:r w:rsidRPr="000617B8">
        <w:rPr>
          <w:rFonts w:hint="cs"/>
          <w:sz w:val="20"/>
          <w:szCs w:val="20"/>
          <w:rtl/>
        </w:rPr>
        <w:t>[</w:t>
      </w:r>
      <w:r w:rsidRPr="000617B8">
        <w:rPr>
          <w:sz w:val="20"/>
          <w:szCs w:val="20"/>
          <w:rtl/>
        </w:rPr>
        <w:t>אם נוצרת חוקה פורמ</w:t>
      </w:r>
      <w:r w:rsidRPr="000617B8">
        <w:rPr>
          <w:rFonts w:hint="cs"/>
          <w:sz w:val="20"/>
          <w:szCs w:val="20"/>
          <w:rtl/>
        </w:rPr>
        <w:t>א</w:t>
      </w:r>
      <w:r w:rsidRPr="000617B8">
        <w:rPr>
          <w:sz w:val="20"/>
          <w:szCs w:val="20"/>
          <w:rtl/>
        </w:rPr>
        <w:t>לית מהטעם האמור, כי אז לביקורת השיפוטית החוקתית יש צידוק הנובע מכך ש</w:t>
      </w:r>
      <w:r w:rsidRPr="000617B8">
        <w:rPr>
          <w:rFonts w:hint="cs"/>
          <w:sz w:val="20"/>
          <w:szCs w:val="20"/>
          <w:rtl/>
        </w:rPr>
        <w:t>היא</w:t>
      </w:r>
      <w:r w:rsidRPr="000617B8">
        <w:rPr>
          <w:sz w:val="20"/>
          <w:szCs w:val="20"/>
          <w:rtl/>
        </w:rPr>
        <w:t xml:space="preserve"> מגבילה את הרוב מכוח הכרע</w:t>
      </w:r>
      <w:r w:rsidRPr="000617B8">
        <w:rPr>
          <w:rFonts w:hint="cs"/>
          <w:sz w:val="20"/>
          <w:szCs w:val="20"/>
          <w:rtl/>
        </w:rPr>
        <w:t xml:space="preserve">ה מפורשת של הרוב </w:t>
      </w:r>
      <w:r w:rsidRPr="000617B8">
        <w:rPr>
          <w:sz w:val="20"/>
          <w:szCs w:val="20"/>
          <w:rtl/>
        </w:rPr>
        <w:t xml:space="preserve">להגביל את עצמו.  זהו מצב בו </w:t>
      </w:r>
      <w:r w:rsidRPr="000617B8">
        <w:rPr>
          <w:rFonts w:hint="cs"/>
          <w:sz w:val="20"/>
          <w:szCs w:val="20"/>
          <w:rtl/>
        </w:rPr>
        <w:t>יש פחות מתח</w:t>
      </w:r>
      <w:r w:rsidRPr="000617B8">
        <w:rPr>
          <w:sz w:val="20"/>
          <w:szCs w:val="20"/>
          <w:rtl/>
        </w:rPr>
        <w:t xml:space="preserve"> בין עקרון הכרעת הרוב לבין זכויות האדם</w:t>
      </w:r>
      <w:r w:rsidRPr="000617B8">
        <w:rPr>
          <w:rFonts w:hint="cs"/>
          <w:sz w:val="20"/>
          <w:szCs w:val="20"/>
          <w:rtl/>
        </w:rPr>
        <w:t xml:space="preserve"> והמיעוט</w:t>
      </w:r>
      <w:r w:rsidRPr="000617B8">
        <w:rPr>
          <w:sz w:val="20"/>
          <w:szCs w:val="20"/>
          <w:rtl/>
        </w:rPr>
        <w:t>.</w:t>
      </w:r>
      <w:r w:rsidRPr="000617B8">
        <w:rPr>
          <w:rFonts w:hint="cs"/>
          <w:sz w:val="20"/>
          <w:szCs w:val="20"/>
          <w:rtl/>
        </w:rPr>
        <w:t>]</w:t>
      </w:r>
    </w:p>
    <w:p w:rsidR="005366A8" w:rsidRPr="000617B8" w:rsidRDefault="005366A8" w:rsidP="005366A8">
      <w:pPr>
        <w:pStyle w:val="T-body"/>
        <w:spacing w:after="60" w:line="240" w:lineRule="auto"/>
        <w:rPr>
          <w:sz w:val="20"/>
          <w:szCs w:val="20"/>
          <w:rtl/>
        </w:rPr>
      </w:pPr>
    </w:p>
    <w:p w:rsidR="005366A8" w:rsidRPr="000617B8" w:rsidRDefault="005366A8" w:rsidP="005366A8">
      <w:pPr>
        <w:pStyle w:val="T-body"/>
        <w:spacing w:after="60" w:line="240" w:lineRule="auto"/>
        <w:rPr>
          <w:sz w:val="20"/>
          <w:szCs w:val="20"/>
          <w:rtl/>
        </w:rPr>
      </w:pPr>
      <w:r w:rsidRPr="000617B8">
        <w:rPr>
          <w:rFonts w:hint="cs"/>
          <w:sz w:val="20"/>
          <w:szCs w:val="20"/>
          <w:u w:val="single"/>
          <w:rtl/>
        </w:rPr>
        <w:t>5</w:t>
      </w:r>
      <w:r w:rsidRPr="000617B8">
        <w:rPr>
          <w:rFonts w:hint="cs"/>
          <w:sz w:val="20"/>
          <w:szCs w:val="20"/>
          <w:rtl/>
        </w:rPr>
        <w:t xml:space="preserve">. </w:t>
      </w:r>
      <w:r w:rsidRPr="000617B8">
        <w:rPr>
          <w:sz w:val="20"/>
          <w:szCs w:val="20"/>
          <w:rtl/>
        </w:rPr>
        <w:t xml:space="preserve">טיעון נוסף </w:t>
      </w:r>
      <w:r w:rsidRPr="000617B8">
        <w:rPr>
          <w:sz w:val="20"/>
          <w:szCs w:val="20"/>
        </w:rPr>
        <w:t>–</w:t>
      </w:r>
      <w:r w:rsidRPr="000617B8">
        <w:rPr>
          <w:sz w:val="20"/>
          <w:szCs w:val="20"/>
          <w:rtl/>
        </w:rPr>
        <w:t xml:space="preserve"> חשוב – נשען על </w:t>
      </w:r>
      <w:r w:rsidRPr="000617B8">
        <w:rPr>
          <w:b/>
          <w:bCs/>
          <w:sz w:val="20"/>
          <w:szCs w:val="20"/>
          <w:rtl/>
        </w:rPr>
        <w:t>ניסיון, להבדיל מ</w:t>
      </w:r>
      <w:r w:rsidRPr="000617B8">
        <w:rPr>
          <w:rFonts w:hint="cs"/>
          <w:b/>
          <w:bCs/>
          <w:sz w:val="20"/>
          <w:szCs w:val="20"/>
          <w:rtl/>
        </w:rPr>
        <w:t xml:space="preserve">הישענות על </w:t>
      </w:r>
      <w:r w:rsidRPr="000617B8">
        <w:rPr>
          <w:b/>
          <w:bCs/>
          <w:sz w:val="20"/>
          <w:szCs w:val="20"/>
          <w:rtl/>
        </w:rPr>
        <w:t>תיאוריה</w:t>
      </w:r>
      <w:r w:rsidRPr="000617B8">
        <w:rPr>
          <w:sz w:val="20"/>
          <w:szCs w:val="20"/>
          <w:rtl/>
        </w:rPr>
        <w:t xml:space="preserve"> לבדה.  הסתמכות על המשפט ההשוואתי, המגלה כי לכמעט כל המדינות הדמוקרטיות בעולם יש חוקה, ושלחלק חשוב מהן יש גם מערכת של ביקורת שיפוטית חוקתית. </w:t>
      </w:r>
    </w:p>
    <w:p w:rsidR="005366A8" w:rsidRPr="000617B8" w:rsidRDefault="005366A8" w:rsidP="005366A8">
      <w:pPr>
        <w:tabs>
          <w:tab w:val="left" w:pos="-720"/>
        </w:tabs>
        <w:rPr>
          <w:sz w:val="20"/>
          <w:szCs w:val="20"/>
          <w:rtl/>
        </w:rPr>
      </w:pPr>
    </w:p>
    <w:p w:rsidR="005366A8" w:rsidRPr="000617B8" w:rsidRDefault="005366A8" w:rsidP="005366A8">
      <w:pPr>
        <w:tabs>
          <w:tab w:val="left" w:pos="-720"/>
        </w:tabs>
        <w:rPr>
          <w:sz w:val="20"/>
          <w:szCs w:val="20"/>
          <w:rtl/>
        </w:rPr>
      </w:pPr>
      <w:r w:rsidRPr="000617B8">
        <w:rPr>
          <w:sz w:val="20"/>
          <w:szCs w:val="20"/>
          <w:u w:val="single"/>
          <w:rtl/>
        </w:rPr>
        <w:t>6</w:t>
      </w:r>
      <w:r w:rsidRPr="000617B8">
        <w:rPr>
          <w:sz w:val="20"/>
          <w:szCs w:val="20"/>
          <w:rtl/>
        </w:rPr>
        <w:t xml:space="preserve">. </w:t>
      </w:r>
      <w:r w:rsidRPr="000617B8">
        <w:rPr>
          <w:rFonts w:hint="cs"/>
          <w:sz w:val="20"/>
          <w:szCs w:val="20"/>
          <w:rtl/>
        </w:rPr>
        <w:t xml:space="preserve">לבסוף, חוקה וביקורת שיפוטית אינן יוצרות "מלך-פילוסוף"/ "דיקטטור נאור" בדמות בית המשפט, זאת הן בשל האתוס של בית המשפט כמי שרגיש וקשוב לעקרון הרוב, והן משום שהחלטות הרשות השופטת, גם בעת שהיא מפעילה את הביקורת השיפוטית החוקתית שלה, </w:t>
      </w:r>
      <w:r w:rsidRPr="000617B8">
        <w:rPr>
          <w:rFonts w:hint="cs"/>
          <w:b/>
          <w:bCs/>
          <w:sz w:val="20"/>
          <w:szCs w:val="20"/>
          <w:rtl/>
        </w:rPr>
        <w:t>הן הכרעות הפיכות.</w:t>
      </w:r>
      <w:r w:rsidRPr="000617B8">
        <w:rPr>
          <w:rFonts w:hint="cs"/>
          <w:sz w:val="20"/>
          <w:szCs w:val="20"/>
          <w:rtl/>
        </w:rPr>
        <w:t xml:space="preserve"> ציבור האזרחים יכול לגייס רוב מיוחד </w:t>
      </w:r>
      <w:r w:rsidRPr="000617B8">
        <w:rPr>
          <w:sz w:val="20"/>
          <w:szCs w:val="20"/>
          <w:rtl/>
        </w:rPr>
        <w:t>–</w:t>
      </w:r>
      <w:r w:rsidRPr="000617B8">
        <w:rPr>
          <w:rFonts w:hint="cs"/>
          <w:sz w:val="20"/>
          <w:szCs w:val="20"/>
          <w:rtl/>
        </w:rPr>
        <w:t xml:space="preserve"> כפי נוקשות החוקה </w:t>
      </w:r>
      <w:r w:rsidRPr="000617B8">
        <w:rPr>
          <w:sz w:val="20"/>
          <w:szCs w:val="20"/>
          <w:rtl/>
        </w:rPr>
        <w:t>–</w:t>
      </w:r>
      <w:r w:rsidRPr="000617B8">
        <w:rPr>
          <w:rFonts w:hint="cs"/>
          <w:sz w:val="20"/>
          <w:szCs w:val="20"/>
          <w:rtl/>
        </w:rPr>
        <w:t xml:space="preserve"> כדי לקבל החלטה תקפה חדשה.</w:t>
      </w:r>
    </w:p>
    <w:p w:rsidR="005366A8" w:rsidRDefault="005366A8" w:rsidP="005366A8">
      <w:pPr>
        <w:rPr>
          <w:rFonts w:ascii="Arial" w:hAnsi="Arial" w:cs="Arial"/>
          <w:sz w:val="20"/>
          <w:szCs w:val="20"/>
          <w:rtl/>
        </w:rPr>
      </w:pPr>
    </w:p>
    <w:p w:rsidR="005366A8" w:rsidRPr="00D71136" w:rsidRDefault="005366A8" w:rsidP="005366A8">
      <w:pPr>
        <w:rPr>
          <w:rFonts w:ascii="Arial" w:hAnsi="Arial" w:cs="Arial"/>
          <w:sz w:val="20"/>
          <w:szCs w:val="20"/>
          <w:rtl/>
        </w:rPr>
      </w:pPr>
      <w:r>
        <w:rPr>
          <w:rFonts w:ascii="Arial" w:hAnsi="Arial" w:cs="Arial" w:hint="cs"/>
          <w:sz w:val="20"/>
          <w:szCs w:val="20"/>
          <w:rtl/>
        </w:rPr>
        <w:t>=-=</w:t>
      </w:r>
    </w:p>
    <w:p w:rsidR="005366A8" w:rsidRPr="00012C2E" w:rsidRDefault="005366A8" w:rsidP="005366A8">
      <w:pPr>
        <w:pStyle w:val="4"/>
        <w:spacing w:line="240" w:lineRule="auto"/>
        <w:rPr>
          <w:rFonts w:cs="Arial"/>
          <w:sz w:val="20"/>
          <w:rtl/>
          <w:lang w:eastAsia="en-US"/>
        </w:rPr>
      </w:pPr>
      <w:r w:rsidRPr="00D71136">
        <w:rPr>
          <w:rFonts w:cs="Arial"/>
          <w:b/>
          <w:bCs/>
          <w:sz w:val="18"/>
          <w:szCs w:val="18"/>
          <w:highlight w:val="green"/>
          <w:u w:val="single"/>
          <w:rtl/>
          <w:lang w:eastAsia="en-US"/>
        </w:rPr>
        <w:t>קריאה לפגישה הבאה</w:t>
      </w:r>
      <w:r w:rsidRPr="00D71136">
        <w:rPr>
          <w:rFonts w:cs="Arial"/>
          <w:b/>
          <w:bCs/>
          <w:sz w:val="18"/>
          <w:szCs w:val="18"/>
          <w:rtl/>
          <w:lang w:eastAsia="en-US"/>
        </w:rPr>
        <w:t xml:space="preserve">: </w:t>
      </w:r>
      <w:r w:rsidRPr="00012C2E">
        <w:rPr>
          <w:rFonts w:cs="Arial" w:hint="cs"/>
          <w:sz w:val="20"/>
          <w:rtl/>
          <w:lang w:eastAsia="en-US"/>
        </w:rPr>
        <w:t xml:space="preserve">אנו עוברים לנושא </w:t>
      </w:r>
      <w:r w:rsidRPr="00012C2E">
        <w:rPr>
          <w:rFonts w:cs="Arial" w:hint="cs"/>
          <w:sz w:val="20"/>
          <w:u w:val="single"/>
          <w:rtl/>
          <w:lang w:eastAsia="en-US"/>
        </w:rPr>
        <w:t>החוקה הפורמאלית</w:t>
      </w:r>
      <w:r w:rsidRPr="00012C2E">
        <w:rPr>
          <w:rFonts w:cs="Arial" w:hint="cs"/>
          <w:sz w:val="20"/>
          <w:rtl/>
          <w:lang w:eastAsia="en-US"/>
        </w:rPr>
        <w:t xml:space="preserve"> של ישראל. </w:t>
      </w:r>
    </w:p>
    <w:p w:rsidR="005366A8" w:rsidRPr="00012C2E" w:rsidRDefault="005366A8" w:rsidP="005366A8">
      <w:pPr>
        <w:pStyle w:val="4"/>
        <w:spacing w:line="240" w:lineRule="auto"/>
        <w:rPr>
          <w:rFonts w:cs="Arial"/>
          <w:sz w:val="20"/>
          <w:rtl/>
          <w:lang w:eastAsia="en-US"/>
        </w:rPr>
      </w:pPr>
      <w:r w:rsidRPr="00012C2E">
        <w:rPr>
          <w:rFonts w:cs="Arial" w:hint="cs"/>
          <w:sz w:val="20"/>
          <w:u w:val="single"/>
          <w:rtl/>
          <w:lang w:eastAsia="en-US"/>
        </w:rPr>
        <w:t>אנא קראו את הדפים לעיל שנוגעים לכך</w:t>
      </w:r>
      <w:r w:rsidRPr="00012C2E">
        <w:rPr>
          <w:rFonts w:cs="Arial" w:hint="cs"/>
          <w:sz w:val="20"/>
          <w:rtl/>
          <w:lang w:eastAsia="en-US"/>
        </w:rPr>
        <w:t xml:space="preserve">. </w:t>
      </w:r>
    </w:p>
    <w:p w:rsidR="005366A8" w:rsidRDefault="005366A8" w:rsidP="005366A8">
      <w:pPr>
        <w:pStyle w:val="4"/>
        <w:spacing w:line="240" w:lineRule="auto"/>
        <w:rPr>
          <w:rFonts w:cs="David"/>
          <w:sz w:val="20"/>
          <w:rtl/>
          <w:lang w:eastAsia="en-US"/>
        </w:rPr>
      </w:pPr>
    </w:p>
    <w:p w:rsidR="005366A8" w:rsidRDefault="005366A8" w:rsidP="005366A8">
      <w:pPr>
        <w:jc w:val="right"/>
        <w:rPr>
          <w:rtl/>
        </w:rPr>
      </w:pPr>
      <w:r w:rsidRPr="007F6E4F">
        <w:rPr>
          <w:rFonts w:hint="cs"/>
          <w:b/>
          <w:bCs/>
          <w:sz w:val="22"/>
          <w:szCs w:val="22"/>
          <w:rtl/>
        </w:rPr>
        <w:t>משפט ציבורי</w:t>
      </w:r>
      <w:r>
        <w:rPr>
          <w:rFonts w:hint="cs"/>
          <w:sz w:val="22"/>
          <w:szCs w:val="22"/>
          <w:rtl/>
        </w:rPr>
        <w:t xml:space="preserve">, </w:t>
      </w:r>
      <w:r w:rsidRPr="00C4131E">
        <w:rPr>
          <w:rFonts w:hint="cs"/>
          <w:i/>
          <w:iCs/>
          <w:sz w:val="22"/>
          <w:szCs w:val="22"/>
          <w:rtl/>
        </w:rPr>
        <w:t>תשע"</w:t>
      </w:r>
      <w:r>
        <w:rPr>
          <w:rFonts w:hint="cs"/>
          <w:i/>
          <w:iCs/>
          <w:sz w:val="22"/>
          <w:szCs w:val="22"/>
          <w:rtl/>
        </w:rPr>
        <w:t>ה</w:t>
      </w:r>
      <w:r>
        <w:rPr>
          <w:rFonts w:hint="cs"/>
          <w:sz w:val="22"/>
          <w:szCs w:val="22"/>
          <w:rtl/>
        </w:rPr>
        <w:t xml:space="preserve">, </w:t>
      </w:r>
      <w:r w:rsidRPr="007F6E4F">
        <w:rPr>
          <w:rFonts w:hint="cs"/>
          <w:b/>
          <w:bCs/>
          <w:sz w:val="22"/>
          <w:szCs w:val="22"/>
          <w:rtl/>
        </w:rPr>
        <w:t>סמסטר א',</w:t>
      </w:r>
      <w:r>
        <w:rPr>
          <w:rFonts w:hint="cs"/>
          <w:sz w:val="22"/>
          <w:szCs w:val="22"/>
          <w:rtl/>
        </w:rPr>
        <w:t xml:space="preserve"> ד"ר אילן סבן, נובמבר 2014, </w:t>
      </w:r>
      <w:r w:rsidRPr="005366A8">
        <w:rPr>
          <w:rFonts w:hint="cs"/>
          <w:b/>
          <w:bCs/>
          <w:i/>
          <w:iCs/>
          <w:sz w:val="22"/>
          <w:szCs w:val="22"/>
          <w:highlight w:val="magenta"/>
          <w:u w:val="single"/>
          <w:rtl/>
        </w:rPr>
        <w:t>פגישה 7</w:t>
      </w:r>
    </w:p>
    <w:p w:rsidR="005366A8" w:rsidRDefault="005366A8" w:rsidP="005366A8">
      <w:pPr>
        <w:rPr>
          <w:rtl/>
        </w:rPr>
      </w:pPr>
    </w:p>
    <w:p w:rsidR="005366A8" w:rsidRPr="0001633D" w:rsidRDefault="005366A8" w:rsidP="005366A8">
      <w:pPr>
        <w:jc w:val="center"/>
        <w:rPr>
          <w:rFonts w:cs="Guttman-Soncino"/>
          <w:b/>
          <w:bCs/>
          <w:sz w:val="28"/>
          <w:szCs w:val="28"/>
          <w:highlight w:val="yellow"/>
          <w:rtl/>
        </w:rPr>
      </w:pPr>
      <w:r>
        <w:rPr>
          <w:rFonts w:cs="Guttman-Soncino" w:hint="cs"/>
          <w:b/>
          <w:bCs/>
          <w:sz w:val="28"/>
          <w:szCs w:val="28"/>
          <w:highlight w:val="yellow"/>
          <w:rtl/>
        </w:rPr>
        <w:t>החוקה המהותית של ישראל, סיום הדיון המבואי בה</w:t>
      </w:r>
    </w:p>
    <w:p w:rsidR="005366A8" w:rsidRDefault="005366A8" w:rsidP="005366A8">
      <w:pPr>
        <w:rPr>
          <w:highlight w:val="yellow"/>
          <w:rtl/>
        </w:rPr>
      </w:pPr>
    </w:p>
    <w:p w:rsidR="005366A8" w:rsidRDefault="005366A8" w:rsidP="005366A8">
      <w:pPr>
        <w:jc w:val="center"/>
        <w:rPr>
          <w:highlight w:val="yellow"/>
          <w:rtl/>
        </w:rPr>
      </w:pPr>
      <w:r>
        <w:rPr>
          <w:rFonts w:hint="cs"/>
          <w:highlight w:val="yellow"/>
          <w:rtl/>
        </w:rPr>
        <w:t xml:space="preserve">תורת הפרשנות שאומצה במשפט הישראלי: </w:t>
      </w:r>
    </w:p>
    <w:p w:rsidR="005366A8" w:rsidRDefault="005366A8" w:rsidP="005366A8">
      <w:pPr>
        <w:jc w:val="center"/>
        <w:rPr>
          <w:highlight w:val="yellow"/>
          <w:rtl/>
        </w:rPr>
      </w:pPr>
      <w:r>
        <w:rPr>
          <w:rFonts w:hint="cs"/>
          <w:highlight w:val="yellow"/>
          <w:rtl/>
        </w:rPr>
        <w:t>"הפרשנות התכליתית" והזיקה בינה לבין החוקה המהותית – רעיון "המטרייה הנורמטיבית"</w:t>
      </w:r>
    </w:p>
    <w:p w:rsidR="005366A8" w:rsidRDefault="005366A8" w:rsidP="005366A8">
      <w:pPr>
        <w:rPr>
          <w:highlight w:val="yellow"/>
          <w:rtl/>
        </w:rPr>
      </w:pPr>
    </w:p>
    <w:p w:rsidR="005366A8" w:rsidRDefault="005366A8" w:rsidP="005366A8">
      <w:pPr>
        <w:rPr>
          <w:highlight w:val="yellow"/>
          <w:rtl/>
        </w:rPr>
      </w:pPr>
      <w:r>
        <w:rPr>
          <w:rFonts w:hint="cs"/>
          <w:highlight w:val="yellow"/>
          <w:rtl/>
        </w:rPr>
        <w:t>הפסיקה שפגשנו ומלאכת הפרשנות:</w:t>
      </w:r>
    </w:p>
    <w:p w:rsidR="005366A8" w:rsidRDefault="005366A8" w:rsidP="005366A8">
      <w:pPr>
        <w:rPr>
          <w:highlight w:val="yellow"/>
          <w:rtl/>
        </w:rPr>
      </w:pPr>
    </w:p>
    <w:p w:rsidR="005366A8" w:rsidRPr="00EB136D" w:rsidRDefault="005366A8" w:rsidP="005366A8">
      <w:pPr>
        <w:spacing w:after="60"/>
        <w:rPr>
          <w:b/>
          <w:bCs/>
          <w:sz w:val="20"/>
          <w:szCs w:val="20"/>
          <w:rtl/>
        </w:rPr>
      </w:pPr>
      <w:r w:rsidRPr="00EB136D">
        <w:rPr>
          <w:rFonts w:hint="cs"/>
          <w:sz w:val="20"/>
          <w:szCs w:val="20"/>
          <w:rtl/>
        </w:rPr>
        <w:t>פס"ד</w:t>
      </w:r>
      <w:r w:rsidRPr="00EB136D">
        <w:rPr>
          <w:rFonts w:hint="cs"/>
          <w:b/>
          <w:bCs/>
          <w:sz w:val="20"/>
          <w:szCs w:val="20"/>
          <w:rtl/>
        </w:rPr>
        <w:t xml:space="preserve"> הוועד הציבורי נגד עינויים</w:t>
      </w:r>
    </w:p>
    <w:p w:rsidR="005366A8" w:rsidRPr="00EB136D" w:rsidRDefault="005366A8" w:rsidP="005366A8">
      <w:pPr>
        <w:pStyle w:val="FootnoteText"/>
        <w:spacing w:after="60"/>
        <w:ind w:left="720" w:firstLine="0"/>
        <w:rPr>
          <w:sz w:val="20"/>
          <w:szCs w:val="20"/>
          <w:rtl/>
        </w:rPr>
      </w:pPr>
      <w:r>
        <w:rPr>
          <w:rFonts w:hint="cs"/>
          <w:sz w:val="20"/>
          <w:szCs w:val="20"/>
          <w:rtl/>
        </w:rPr>
        <w:t>סמכות/ העדר סמכות לחוקרי השב"כ ביחס לחקירה של חשודים וביחס לשימוש "באמצעי חקירה מיוחדים"</w:t>
      </w:r>
    </w:p>
    <w:p w:rsidR="005366A8" w:rsidRPr="00EB136D" w:rsidRDefault="005366A8" w:rsidP="005366A8">
      <w:pPr>
        <w:pStyle w:val="FootnoteText"/>
        <w:spacing w:after="60"/>
        <w:ind w:left="2160" w:hanging="720"/>
        <w:rPr>
          <w:sz w:val="20"/>
          <w:szCs w:val="20"/>
          <w:rtl/>
        </w:rPr>
      </w:pPr>
      <w:r w:rsidRPr="00EB136D">
        <w:rPr>
          <w:rFonts w:hint="cs"/>
          <w:sz w:val="20"/>
          <w:szCs w:val="20"/>
          <w:rtl/>
        </w:rPr>
        <w:t>סעיף 40 לחוק יסוד: הממשלה</w:t>
      </w:r>
      <w:r w:rsidRPr="00EB136D">
        <w:rPr>
          <w:sz w:val="20"/>
          <w:szCs w:val="20"/>
          <w:rtl/>
        </w:rPr>
        <w:t xml:space="preserve"> –</w:t>
      </w:r>
      <w:r w:rsidRPr="00EB136D">
        <w:rPr>
          <w:rFonts w:hint="cs"/>
          <w:sz w:val="20"/>
          <w:szCs w:val="20"/>
          <w:rtl/>
        </w:rPr>
        <w:t xml:space="preserve"> </w:t>
      </w:r>
    </w:p>
    <w:p w:rsidR="005366A8" w:rsidRPr="00EB136D" w:rsidRDefault="005366A8" w:rsidP="005366A8">
      <w:pPr>
        <w:pStyle w:val="FootnoteText"/>
        <w:spacing w:after="60"/>
        <w:ind w:left="2880" w:hanging="720"/>
        <w:rPr>
          <w:sz w:val="20"/>
          <w:szCs w:val="20"/>
          <w:rtl/>
        </w:rPr>
      </w:pPr>
      <w:r w:rsidRPr="00EB136D">
        <w:rPr>
          <w:sz w:val="20"/>
          <w:szCs w:val="20"/>
          <w:rtl/>
        </w:rPr>
        <w:t xml:space="preserve">"הסמכות השיורית" </w:t>
      </w:r>
      <w:r w:rsidRPr="00EB136D">
        <w:rPr>
          <w:sz w:val="20"/>
          <w:szCs w:val="20"/>
        </w:rPr>
        <w:t>–</w:t>
      </w:r>
      <w:r w:rsidRPr="00EB136D">
        <w:rPr>
          <w:sz w:val="20"/>
          <w:szCs w:val="20"/>
          <w:rtl/>
        </w:rPr>
        <w:t xml:space="preserve"> הסמכות</w:t>
      </w:r>
      <w:r w:rsidRPr="00EB136D">
        <w:rPr>
          <w:rFonts w:hint="cs"/>
          <w:sz w:val="20"/>
          <w:szCs w:val="20"/>
          <w:rtl/>
        </w:rPr>
        <w:t>:</w:t>
      </w:r>
      <w:r w:rsidRPr="00EB136D">
        <w:rPr>
          <w:sz w:val="20"/>
          <w:szCs w:val="20"/>
          <w:rtl/>
        </w:rPr>
        <w:t xml:space="preserve"> </w:t>
      </w:r>
      <w:r w:rsidRPr="00EB136D">
        <w:rPr>
          <w:rFonts w:cs="David"/>
          <w:sz w:val="20"/>
          <w:szCs w:val="20"/>
          <w:rtl/>
        </w:rPr>
        <w:t xml:space="preserve">"לעשות בשם המדינה, </w:t>
      </w:r>
      <w:r w:rsidRPr="009C750A">
        <w:rPr>
          <w:rFonts w:cs="David"/>
          <w:sz w:val="20"/>
          <w:szCs w:val="20"/>
          <w:highlight w:val="yellow"/>
          <w:rtl/>
        </w:rPr>
        <w:t>בכפוף לכל דין</w:t>
      </w:r>
      <w:r w:rsidRPr="00EB136D">
        <w:rPr>
          <w:rFonts w:cs="David"/>
          <w:sz w:val="20"/>
          <w:szCs w:val="20"/>
          <w:rtl/>
        </w:rPr>
        <w:t>, כל פעולה שעשייתה אינה מוטלת בדין על רשות אחרת"</w:t>
      </w:r>
    </w:p>
    <w:p w:rsidR="005366A8" w:rsidRPr="00EB136D" w:rsidRDefault="005366A8" w:rsidP="005366A8">
      <w:pPr>
        <w:pStyle w:val="FootnoteText"/>
        <w:spacing w:after="60"/>
        <w:ind w:left="2160" w:hanging="720"/>
        <w:rPr>
          <w:sz w:val="20"/>
          <w:szCs w:val="20"/>
          <w:rtl/>
        </w:rPr>
      </w:pPr>
      <w:r w:rsidRPr="00EB136D">
        <w:rPr>
          <w:sz w:val="20"/>
          <w:szCs w:val="20"/>
          <w:rtl/>
        </w:rPr>
        <w:t>סע' 2 לפקודת הפרוצדורה הפלילית (עדות)</w:t>
      </w:r>
    </w:p>
    <w:p w:rsidR="005366A8" w:rsidRPr="00EB136D" w:rsidRDefault="005366A8" w:rsidP="005366A8">
      <w:pPr>
        <w:pStyle w:val="4"/>
        <w:tabs>
          <w:tab w:val="right" w:pos="7938"/>
        </w:tabs>
        <w:bidi w:val="0"/>
        <w:spacing w:after="60" w:line="240" w:lineRule="auto"/>
        <w:ind w:right="2153"/>
        <w:jc w:val="left"/>
        <w:rPr>
          <w:rFonts w:ascii="Times New Roman"/>
          <w:sz w:val="20"/>
        </w:rPr>
      </w:pPr>
      <w:r w:rsidRPr="00EB136D">
        <w:rPr>
          <w:rFonts w:ascii="Times New Roman"/>
          <w:sz w:val="20"/>
        </w:rPr>
        <w:t>“</w:t>
      </w:r>
      <w:r w:rsidRPr="00EB136D">
        <w:rPr>
          <w:rFonts w:ascii="Times New Roman"/>
          <w:sz w:val="20"/>
        </w:rPr>
        <w:t xml:space="preserve">An officer of police of or above the rank of inspector, or any other officer or class of officers generally or specially authorised in writing by the Chief Secretary to the Government, </w:t>
      </w:r>
      <w:r w:rsidRPr="009C750A">
        <w:rPr>
          <w:rFonts w:ascii="Times New Roman"/>
          <w:sz w:val="20"/>
          <w:highlight w:val="yellow"/>
        </w:rPr>
        <w:t>to hold enquiries into the commission of offences</w:t>
      </w:r>
      <w:r w:rsidRPr="00EB136D">
        <w:rPr>
          <w:rFonts w:ascii="Times New Roman"/>
          <w:sz w:val="20"/>
        </w:rPr>
        <w:t xml:space="preserve">, may </w:t>
      </w:r>
      <w:r w:rsidRPr="009C750A">
        <w:rPr>
          <w:rFonts w:ascii="Times New Roman"/>
          <w:sz w:val="20"/>
          <w:highlight w:val="yellow"/>
        </w:rPr>
        <w:t>examine orally</w:t>
      </w:r>
      <w:r w:rsidRPr="00EB136D">
        <w:rPr>
          <w:rFonts w:ascii="Times New Roman"/>
          <w:sz w:val="20"/>
        </w:rPr>
        <w:t xml:space="preserve"> any person supposed to be acquainted with the facts and circumstances of any offence in respect whereof such officer of police or other authorised officer as aforesaid is enquiring, and may reduce into writing any statement by a person so examined.</w:t>
      </w:r>
      <w:r w:rsidRPr="00EB136D">
        <w:rPr>
          <w:rFonts w:ascii="Times New Roman"/>
          <w:sz w:val="20"/>
        </w:rPr>
        <w:t>”</w:t>
      </w:r>
    </w:p>
    <w:p w:rsidR="005366A8" w:rsidRPr="00EB136D" w:rsidRDefault="005366A8" w:rsidP="005366A8">
      <w:pPr>
        <w:pStyle w:val="4"/>
        <w:spacing w:after="60" w:line="240" w:lineRule="auto"/>
        <w:ind w:left="1440"/>
        <w:jc w:val="left"/>
        <w:rPr>
          <w:rFonts w:ascii="Times New Roman"/>
          <w:sz w:val="20"/>
          <w:rtl/>
        </w:rPr>
      </w:pPr>
      <w:r w:rsidRPr="00EB136D">
        <w:rPr>
          <w:rFonts w:ascii="Times New Roman" w:hint="cs"/>
          <w:sz w:val="20"/>
          <w:rtl/>
        </w:rPr>
        <w:t xml:space="preserve">סעיף 34 יא' לחוק העונשין, התשל"ז-1977 </w:t>
      </w:r>
      <w:r w:rsidRPr="00EB136D">
        <w:rPr>
          <w:rFonts w:ascii="Times New Roman"/>
          <w:sz w:val="20"/>
          <w:rtl/>
        </w:rPr>
        <w:t>–</w:t>
      </w:r>
      <w:r w:rsidRPr="00EB136D">
        <w:rPr>
          <w:rFonts w:ascii="Times New Roman" w:hint="cs"/>
          <w:sz w:val="20"/>
          <w:rtl/>
        </w:rPr>
        <w:t xml:space="preserve"> הגנת "הצורך":</w:t>
      </w:r>
    </w:p>
    <w:p w:rsidR="005366A8" w:rsidRPr="00EB136D" w:rsidRDefault="005366A8" w:rsidP="005366A8">
      <w:pPr>
        <w:pStyle w:val="T-body"/>
        <w:spacing w:after="60" w:line="240" w:lineRule="auto"/>
        <w:ind w:left="2160"/>
        <w:rPr>
          <w:rFonts w:cs="David"/>
          <w:sz w:val="20"/>
          <w:szCs w:val="20"/>
          <w:rtl/>
        </w:rPr>
      </w:pPr>
      <w:r w:rsidRPr="00EB136D">
        <w:rPr>
          <w:rFonts w:cs="David" w:hint="cs"/>
          <w:sz w:val="20"/>
          <w:szCs w:val="20"/>
          <w:rtl/>
        </w:rPr>
        <w:t>לא יישא אדם באחריות פלילית למעשה שהיה דרוש באופן מיידי להצלת חייו, חירותו, גופו או רכושו, שלו או של זולתו, מסכנה מוחשית של פגיעה חמורה הנובעת ממצב דברים נתון בשעת המעשה, ולא היתה לו דרך אחרת אלא לעשותו.</w:t>
      </w:r>
    </w:p>
    <w:p w:rsidR="005366A8" w:rsidRPr="00EB136D" w:rsidRDefault="005366A8" w:rsidP="005366A8">
      <w:pPr>
        <w:spacing w:after="60"/>
        <w:ind w:left="2160"/>
        <w:rPr>
          <w:b/>
          <w:bCs/>
          <w:sz w:val="20"/>
          <w:szCs w:val="20"/>
          <w:rtl/>
        </w:rPr>
      </w:pPr>
    </w:p>
    <w:p w:rsidR="005366A8" w:rsidRPr="00EB136D" w:rsidRDefault="005366A8" w:rsidP="005366A8">
      <w:pPr>
        <w:spacing w:after="60"/>
        <w:ind w:left="2880" w:hanging="720"/>
        <w:rPr>
          <w:rFonts w:ascii="Arial TUR" w:hAnsi="Arial TUR" w:cs="David"/>
          <w:b/>
          <w:bCs/>
          <w:spacing w:val="10"/>
          <w:sz w:val="20"/>
          <w:szCs w:val="20"/>
          <w:rtl/>
        </w:rPr>
      </w:pPr>
      <w:r w:rsidRPr="00EB136D">
        <w:rPr>
          <w:rFonts w:cs="David" w:hint="cs"/>
          <w:sz w:val="20"/>
          <w:szCs w:val="20"/>
          <w:rtl/>
        </w:rPr>
        <w:t>-&gt; [בהמשך אליו, לאחר שנים לא מעטות:]</w:t>
      </w:r>
      <w:r w:rsidRPr="00EB136D">
        <w:rPr>
          <w:rFonts w:cs="David" w:hint="cs"/>
          <w:b/>
          <w:bCs/>
          <w:sz w:val="20"/>
          <w:szCs w:val="20"/>
          <w:rtl/>
        </w:rPr>
        <w:t xml:space="preserve"> </w:t>
      </w:r>
      <w:r w:rsidRPr="00EB136D">
        <w:rPr>
          <w:rFonts w:ascii="Arial TUR" w:hAnsi="Arial TUR" w:cs="David" w:hint="cs"/>
          <w:b/>
          <w:bCs/>
          <w:spacing w:val="10"/>
          <w:sz w:val="20"/>
          <w:szCs w:val="20"/>
          <w:rtl/>
        </w:rPr>
        <w:t>חוק סדר הדין הפלילי (עצור החשוד בעבירת ביטחון) (הוראת שעה), התשס"ו-2006</w:t>
      </w:r>
    </w:p>
    <w:p w:rsidR="005366A8" w:rsidRDefault="005366A8" w:rsidP="005366A8">
      <w:pPr>
        <w:spacing w:after="60"/>
        <w:ind w:left="720" w:hanging="720"/>
        <w:rPr>
          <w:sz w:val="20"/>
          <w:szCs w:val="20"/>
          <w:rtl/>
        </w:rPr>
      </w:pPr>
    </w:p>
    <w:p w:rsidR="005366A8" w:rsidRPr="00756DBE" w:rsidRDefault="005366A8" w:rsidP="005366A8">
      <w:pPr>
        <w:spacing w:after="60"/>
        <w:ind w:left="720" w:hanging="720"/>
        <w:rPr>
          <w:sz w:val="20"/>
          <w:szCs w:val="20"/>
          <w:rtl/>
        </w:rPr>
      </w:pPr>
      <w:r>
        <w:rPr>
          <w:rFonts w:hint="cs"/>
          <w:sz w:val="20"/>
          <w:szCs w:val="20"/>
          <w:rtl/>
        </w:rPr>
        <w:t>=-=</w:t>
      </w:r>
    </w:p>
    <w:p w:rsidR="005366A8" w:rsidRPr="00EB136D" w:rsidRDefault="005366A8" w:rsidP="005366A8">
      <w:pPr>
        <w:spacing w:after="60"/>
        <w:rPr>
          <w:sz w:val="20"/>
          <w:szCs w:val="20"/>
          <w:rtl/>
        </w:rPr>
      </w:pPr>
      <w:r w:rsidRPr="00EB136D">
        <w:rPr>
          <w:rFonts w:hint="cs"/>
          <w:sz w:val="20"/>
          <w:szCs w:val="20"/>
          <w:rtl/>
        </w:rPr>
        <w:t>פס"ד</w:t>
      </w:r>
      <w:r w:rsidRPr="00EB136D">
        <w:rPr>
          <w:rFonts w:hint="cs"/>
          <w:b/>
          <w:bCs/>
          <w:sz w:val="20"/>
          <w:szCs w:val="20"/>
          <w:rtl/>
        </w:rPr>
        <w:t xml:space="preserve"> פלוני </w:t>
      </w:r>
      <w:r w:rsidRPr="00EB136D">
        <w:rPr>
          <w:sz w:val="20"/>
          <w:szCs w:val="20"/>
          <w:rtl/>
        </w:rPr>
        <w:t>–</w:t>
      </w:r>
      <w:r>
        <w:rPr>
          <w:rFonts w:hint="cs"/>
          <w:sz w:val="20"/>
          <w:szCs w:val="20"/>
          <w:rtl/>
        </w:rPr>
        <w:t xml:space="preserve"> בחינת תוקפו של </w:t>
      </w:r>
      <w:r w:rsidRPr="00EB136D">
        <w:rPr>
          <w:rFonts w:hint="cs"/>
          <w:sz w:val="20"/>
          <w:szCs w:val="20"/>
          <w:rtl/>
        </w:rPr>
        <w:t>סע' 5 לחוק סדר הדין הפלילי (עצור החשוד בעבירת ביטחון) שהוזכר זה עתה</w:t>
      </w:r>
    </w:p>
    <w:p w:rsidR="005366A8" w:rsidRPr="00EB136D" w:rsidRDefault="005366A8" w:rsidP="005366A8">
      <w:pPr>
        <w:spacing w:after="60"/>
        <w:ind w:left="2160" w:hanging="720"/>
        <w:rPr>
          <w:rFonts w:ascii="David" w:cs="David"/>
          <w:b/>
          <w:sz w:val="20"/>
          <w:szCs w:val="20"/>
          <w:rtl/>
        </w:rPr>
      </w:pPr>
    </w:p>
    <w:p w:rsidR="005366A8" w:rsidRPr="00EB136D" w:rsidRDefault="005366A8" w:rsidP="005366A8">
      <w:pPr>
        <w:spacing w:after="60"/>
        <w:ind w:left="1440" w:hanging="720"/>
        <w:rPr>
          <w:rFonts w:ascii="David" w:cs="David"/>
          <w:bCs/>
          <w:sz w:val="20"/>
          <w:szCs w:val="20"/>
          <w:rtl/>
        </w:rPr>
      </w:pPr>
      <w:r>
        <w:rPr>
          <w:rFonts w:ascii="David" w:cs="David" w:hint="cs"/>
          <w:b/>
          <w:sz w:val="20"/>
          <w:szCs w:val="20"/>
          <w:rtl/>
        </w:rPr>
        <w:t xml:space="preserve">-&gt; </w:t>
      </w:r>
      <w:r w:rsidRPr="00EB136D">
        <w:rPr>
          <w:rFonts w:ascii="David" w:cs="David" w:hint="cs"/>
          <w:b/>
          <w:sz w:val="20"/>
          <w:szCs w:val="20"/>
          <w:rtl/>
        </w:rPr>
        <w:t xml:space="preserve">[תחיקת המשך מתקנת:] </w:t>
      </w:r>
      <w:r w:rsidRPr="00EB136D">
        <w:rPr>
          <w:rFonts w:ascii="David" w:cs="David" w:hint="cs"/>
          <w:bCs/>
          <w:sz w:val="20"/>
          <w:szCs w:val="20"/>
          <w:rtl/>
        </w:rPr>
        <w:t>חוק</w:t>
      </w:r>
      <w:r w:rsidRPr="00EB136D">
        <w:rPr>
          <w:rFonts w:ascii="David" w:cs="David"/>
          <w:bCs/>
          <w:sz w:val="20"/>
          <w:szCs w:val="20"/>
          <w:rtl/>
        </w:rPr>
        <w:t xml:space="preserve"> </w:t>
      </w:r>
      <w:r w:rsidRPr="00EB136D">
        <w:rPr>
          <w:rFonts w:ascii="David" w:cs="David" w:hint="cs"/>
          <w:bCs/>
          <w:sz w:val="20"/>
          <w:szCs w:val="20"/>
          <w:rtl/>
        </w:rPr>
        <w:t>סדר</w:t>
      </w:r>
      <w:r w:rsidRPr="00EB136D">
        <w:rPr>
          <w:rFonts w:ascii="David" w:cs="David"/>
          <w:bCs/>
          <w:sz w:val="20"/>
          <w:szCs w:val="20"/>
          <w:rtl/>
        </w:rPr>
        <w:t xml:space="preserve"> </w:t>
      </w:r>
      <w:r w:rsidRPr="00EB136D">
        <w:rPr>
          <w:rFonts w:ascii="David" w:cs="David" w:hint="cs"/>
          <w:bCs/>
          <w:sz w:val="20"/>
          <w:szCs w:val="20"/>
          <w:rtl/>
        </w:rPr>
        <w:t>הדין</w:t>
      </w:r>
      <w:r w:rsidRPr="00EB136D">
        <w:rPr>
          <w:rFonts w:ascii="David" w:cs="David"/>
          <w:bCs/>
          <w:sz w:val="20"/>
          <w:szCs w:val="20"/>
          <w:rtl/>
        </w:rPr>
        <w:t xml:space="preserve"> </w:t>
      </w:r>
      <w:r w:rsidRPr="00EB136D">
        <w:rPr>
          <w:rFonts w:ascii="David" w:cs="David" w:hint="cs"/>
          <w:bCs/>
          <w:sz w:val="20"/>
          <w:szCs w:val="20"/>
          <w:rtl/>
        </w:rPr>
        <w:t>הפלילי</w:t>
      </w:r>
      <w:r w:rsidRPr="00EB136D">
        <w:rPr>
          <w:rFonts w:ascii="David" w:cs="David"/>
          <w:bCs/>
          <w:sz w:val="20"/>
          <w:szCs w:val="20"/>
          <w:rtl/>
        </w:rPr>
        <w:t xml:space="preserve"> (</w:t>
      </w:r>
      <w:r w:rsidRPr="00EB136D">
        <w:rPr>
          <w:rFonts w:ascii="David" w:cs="David" w:hint="cs"/>
          <w:bCs/>
          <w:sz w:val="20"/>
          <w:szCs w:val="20"/>
          <w:rtl/>
        </w:rPr>
        <w:t>עצור</w:t>
      </w:r>
      <w:r w:rsidRPr="00EB136D">
        <w:rPr>
          <w:rFonts w:ascii="David" w:cs="David"/>
          <w:bCs/>
          <w:sz w:val="20"/>
          <w:szCs w:val="20"/>
          <w:rtl/>
        </w:rPr>
        <w:t xml:space="preserve"> </w:t>
      </w:r>
      <w:r w:rsidRPr="00EB136D">
        <w:rPr>
          <w:rFonts w:ascii="David" w:cs="David" w:hint="cs"/>
          <w:bCs/>
          <w:sz w:val="20"/>
          <w:szCs w:val="20"/>
          <w:rtl/>
        </w:rPr>
        <w:t>החשוד</w:t>
      </w:r>
      <w:r w:rsidRPr="00EB136D">
        <w:rPr>
          <w:rFonts w:ascii="David" w:cs="David"/>
          <w:bCs/>
          <w:sz w:val="20"/>
          <w:szCs w:val="20"/>
          <w:rtl/>
        </w:rPr>
        <w:t xml:space="preserve"> </w:t>
      </w:r>
      <w:r w:rsidRPr="00EB136D">
        <w:rPr>
          <w:rFonts w:ascii="David" w:cs="David" w:hint="cs"/>
          <w:bCs/>
          <w:sz w:val="20"/>
          <w:szCs w:val="20"/>
          <w:rtl/>
        </w:rPr>
        <w:t>בעבירת</w:t>
      </w:r>
      <w:r w:rsidRPr="00EB136D">
        <w:rPr>
          <w:rFonts w:ascii="David" w:cs="David"/>
          <w:bCs/>
          <w:sz w:val="20"/>
          <w:szCs w:val="20"/>
          <w:rtl/>
        </w:rPr>
        <w:t xml:space="preserve"> </w:t>
      </w:r>
      <w:r w:rsidRPr="00EB136D">
        <w:rPr>
          <w:rFonts w:ascii="David" w:cs="David" w:hint="cs"/>
          <w:bCs/>
          <w:sz w:val="20"/>
          <w:szCs w:val="20"/>
          <w:rtl/>
        </w:rPr>
        <w:t>ביטחון</w:t>
      </w:r>
      <w:r w:rsidRPr="00EB136D">
        <w:rPr>
          <w:rFonts w:ascii="David" w:cs="David"/>
          <w:bCs/>
          <w:sz w:val="20"/>
          <w:szCs w:val="20"/>
          <w:rtl/>
        </w:rPr>
        <w:t>) (</w:t>
      </w:r>
      <w:r w:rsidRPr="00EB136D">
        <w:rPr>
          <w:rFonts w:ascii="David" w:cs="David" w:hint="cs"/>
          <w:bCs/>
          <w:sz w:val="20"/>
          <w:szCs w:val="20"/>
          <w:rtl/>
        </w:rPr>
        <w:t>הוראת</w:t>
      </w:r>
      <w:r w:rsidRPr="00EB136D">
        <w:rPr>
          <w:rFonts w:ascii="David" w:cs="David"/>
          <w:bCs/>
          <w:sz w:val="20"/>
          <w:szCs w:val="20"/>
          <w:rtl/>
        </w:rPr>
        <w:t xml:space="preserve"> </w:t>
      </w:r>
      <w:r w:rsidRPr="00EB136D">
        <w:rPr>
          <w:rFonts w:ascii="David" w:cs="David" w:hint="cs"/>
          <w:bCs/>
          <w:sz w:val="20"/>
          <w:szCs w:val="20"/>
          <w:rtl/>
        </w:rPr>
        <w:t>שעה</w:t>
      </w:r>
      <w:r w:rsidRPr="00EB136D">
        <w:rPr>
          <w:rFonts w:ascii="David" w:cs="David"/>
          <w:bCs/>
          <w:sz w:val="20"/>
          <w:szCs w:val="20"/>
          <w:rtl/>
        </w:rPr>
        <w:t>)</w:t>
      </w:r>
      <w:r w:rsidRPr="00EB136D">
        <w:rPr>
          <w:rFonts w:ascii="David" w:cs="David" w:hint="cs"/>
          <w:bCs/>
          <w:sz w:val="20"/>
          <w:szCs w:val="20"/>
          <w:rtl/>
        </w:rPr>
        <w:t xml:space="preserve"> </w:t>
      </w:r>
      <w:r w:rsidRPr="00EB136D">
        <w:rPr>
          <w:rFonts w:ascii="David" w:cs="David"/>
          <w:bCs/>
          <w:sz w:val="20"/>
          <w:szCs w:val="20"/>
          <w:rtl/>
        </w:rPr>
        <w:t>(</w:t>
      </w:r>
      <w:r w:rsidRPr="00EB136D">
        <w:rPr>
          <w:rFonts w:ascii="David" w:cs="David" w:hint="cs"/>
          <w:bCs/>
          <w:sz w:val="20"/>
          <w:szCs w:val="20"/>
          <w:rtl/>
        </w:rPr>
        <w:t>תיקון</w:t>
      </w:r>
      <w:r w:rsidRPr="00EB136D">
        <w:rPr>
          <w:rFonts w:ascii="David" w:cs="David"/>
          <w:bCs/>
          <w:sz w:val="20"/>
          <w:szCs w:val="20"/>
          <w:rtl/>
        </w:rPr>
        <w:t xml:space="preserve"> </w:t>
      </w:r>
      <w:r w:rsidRPr="00EB136D">
        <w:rPr>
          <w:rFonts w:ascii="David" w:cs="David" w:hint="cs"/>
          <w:bCs/>
          <w:sz w:val="20"/>
          <w:szCs w:val="20"/>
          <w:rtl/>
        </w:rPr>
        <w:t>מס</w:t>
      </w:r>
      <w:r w:rsidRPr="00EB136D">
        <w:rPr>
          <w:rFonts w:ascii="David" w:cs="David"/>
          <w:bCs/>
          <w:sz w:val="20"/>
          <w:szCs w:val="20"/>
          <w:rtl/>
        </w:rPr>
        <w:t xml:space="preserve">' 2), </w:t>
      </w:r>
      <w:r w:rsidRPr="00EB136D">
        <w:rPr>
          <w:rFonts w:ascii="David" w:cs="David" w:hint="cs"/>
          <w:bCs/>
          <w:sz w:val="20"/>
          <w:szCs w:val="20"/>
          <w:rtl/>
        </w:rPr>
        <w:t>התשע</w:t>
      </w:r>
      <w:r w:rsidRPr="00EB136D">
        <w:rPr>
          <w:rFonts w:ascii="David" w:cs="David"/>
          <w:bCs/>
          <w:sz w:val="20"/>
          <w:szCs w:val="20"/>
          <w:rtl/>
        </w:rPr>
        <w:t>"</w:t>
      </w:r>
      <w:r w:rsidRPr="00EB136D">
        <w:rPr>
          <w:rFonts w:ascii="David" w:cs="David" w:hint="cs"/>
          <w:bCs/>
          <w:sz w:val="20"/>
          <w:szCs w:val="20"/>
          <w:rtl/>
        </w:rPr>
        <w:t>א</w:t>
      </w:r>
      <w:r w:rsidRPr="00EB136D">
        <w:rPr>
          <w:rFonts w:ascii="David" w:cs="David"/>
          <w:bCs/>
          <w:i/>
          <w:sz w:val="20"/>
          <w:szCs w:val="20"/>
          <w:rtl/>
        </w:rPr>
        <w:t>–</w:t>
      </w:r>
      <w:r w:rsidRPr="00EB136D">
        <w:rPr>
          <w:rFonts w:ascii="David" w:cs="David"/>
          <w:bCs/>
          <w:sz w:val="20"/>
          <w:szCs w:val="20"/>
          <w:rtl/>
        </w:rPr>
        <w:t>2010</w:t>
      </w:r>
    </w:p>
    <w:p w:rsidR="005366A8" w:rsidRPr="00EB136D" w:rsidRDefault="005366A8" w:rsidP="005366A8">
      <w:pPr>
        <w:spacing w:after="60"/>
        <w:ind w:left="2160" w:hanging="720"/>
        <w:rPr>
          <w:b/>
          <w:bCs/>
          <w:sz w:val="20"/>
          <w:szCs w:val="20"/>
          <w:rtl/>
        </w:rPr>
      </w:pPr>
    </w:p>
    <w:p w:rsidR="005366A8" w:rsidRDefault="005366A8" w:rsidP="005366A8">
      <w:pPr>
        <w:spacing w:after="60"/>
        <w:rPr>
          <w:sz w:val="20"/>
          <w:szCs w:val="20"/>
          <w:rtl/>
        </w:rPr>
      </w:pPr>
      <w:r>
        <w:rPr>
          <w:rFonts w:hint="cs"/>
          <w:sz w:val="20"/>
          <w:szCs w:val="20"/>
          <w:rtl/>
        </w:rPr>
        <w:t>=-=</w:t>
      </w:r>
    </w:p>
    <w:p w:rsidR="005366A8" w:rsidRPr="00EB136D" w:rsidRDefault="005366A8" w:rsidP="005366A8">
      <w:pPr>
        <w:spacing w:after="60"/>
        <w:rPr>
          <w:b/>
          <w:bCs/>
          <w:sz w:val="20"/>
          <w:szCs w:val="20"/>
          <w:rtl/>
        </w:rPr>
      </w:pPr>
      <w:r w:rsidRPr="00EB136D">
        <w:rPr>
          <w:rFonts w:hint="cs"/>
          <w:sz w:val="20"/>
          <w:szCs w:val="20"/>
          <w:rtl/>
        </w:rPr>
        <w:t>פס"ד</w:t>
      </w:r>
      <w:r w:rsidRPr="00EB136D">
        <w:rPr>
          <w:rFonts w:hint="cs"/>
          <w:b/>
          <w:bCs/>
          <w:sz w:val="20"/>
          <w:szCs w:val="20"/>
          <w:rtl/>
        </w:rPr>
        <w:t xml:space="preserve"> בז'רנו</w:t>
      </w:r>
    </w:p>
    <w:p w:rsidR="005366A8" w:rsidRPr="00910788" w:rsidRDefault="005366A8" w:rsidP="005366A8">
      <w:pPr>
        <w:spacing w:after="60"/>
        <w:ind w:left="720"/>
        <w:rPr>
          <w:sz w:val="20"/>
          <w:szCs w:val="20"/>
          <w:rtl/>
        </w:rPr>
      </w:pPr>
      <w:r w:rsidRPr="00910788">
        <w:rPr>
          <w:rFonts w:hint="cs"/>
          <w:sz w:val="20"/>
          <w:szCs w:val="20"/>
          <w:rtl/>
        </w:rPr>
        <w:t>הגבלת עיסוקם של 'המאעכרים' במשרד הרישוי</w:t>
      </w:r>
    </w:p>
    <w:p w:rsidR="005366A8" w:rsidRPr="00910788" w:rsidRDefault="005366A8" w:rsidP="005366A8">
      <w:pPr>
        <w:spacing w:after="60"/>
        <w:ind w:left="720"/>
        <w:rPr>
          <w:sz w:val="20"/>
          <w:szCs w:val="20"/>
          <w:rtl/>
        </w:rPr>
      </w:pPr>
    </w:p>
    <w:p w:rsidR="005366A8" w:rsidRDefault="005366A8" w:rsidP="005366A8">
      <w:pPr>
        <w:spacing w:after="60"/>
        <w:rPr>
          <w:sz w:val="20"/>
          <w:szCs w:val="20"/>
          <w:rtl/>
        </w:rPr>
      </w:pPr>
      <w:r>
        <w:rPr>
          <w:rFonts w:hint="cs"/>
          <w:sz w:val="20"/>
          <w:szCs w:val="20"/>
          <w:rtl/>
        </w:rPr>
        <w:t>=-=</w:t>
      </w:r>
    </w:p>
    <w:p w:rsidR="005366A8" w:rsidRPr="00EB136D" w:rsidRDefault="005366A8" w:rsidP="005366A8">
      <w:pPr>
        <w:spacing w:after="60"/>
        <w:rPr>
          <w:b/>
          <w:bCs/>
          <w:sz w:val="20"/>
          <w:szCs w:val="20"/>
          <w:rtl/>
        </w:rPr>
      </w:pPr>
      <w:r w:rsidRPr="00EB136D">
        <w:rPr>
          <w:rFonts w:hint="cs"/>
          <w:sz w:val="20"/>
          <w:szCs w:val="20"/>
          <w:rtl/>
        </w:rPr>
        <w:t>פס"ד</w:t>
      </w:r>
      <w:r w:rsidRPr="00EB136D">
        <w:rPr>
          <w:rFonts w:hint="cs"/>
          <w:b/>
          <w:bCs/>
          <w:sz w:val="20"/>
          <w:szCs w:val="20"/>
          <w:rtl/>
        </w:rPr>
        <w:t xml:space="preserve"> קול העם</w:t>
      </w:r>
    </w:p>
    <w:p w:rsidR="005366A8" w:rsidRPr="00910788" w:rsidRDefault="005366A8" w:rsidP="005366A8">
      <w:pPr>
        <w:spacing w:after="120"/>
        <w:ind w:left="720"/>
        <w:rPr>
          <w:sz w:val="20"/>
          <w:szCs w:val="20"/>
          <w:rtl/>
        </w:rPr>
      </w:pPr>
      <w:r>
        <w:rPr>
          <w:rFonts w:hint="cs"/>
          <w:sz w:val="20"/>
          <w:szCs w:val="20"/>
          <w:rtl/>
        </w:rPr>
        <w:t>סמכות שר הפנים ל</w:t>
      </w:r>
      <w:r w:rsidRPr="00910788">
        <w:rPr>
          <w:sz w:val="20"/>
          <w:szCs w:val="20"/>
          <w:rtl/>
        </w:rPr>
        <w:t>סגירה זמנית של עיתון מכוח סמכות הניתנת בפקודת העתונות, 1933</w:t>
      </w:r>
    </w:p>
    <w:p w:rsidR="005366A8" w:rsidRPr="00D773FD" w:rsidRDefault="005366A8" w:rsidP="005366A8">
      <w:pPr>
        <w:pStyle w:val="T-body"/>
        <w:spacing w:line="240" w:lineRule="auto"/>
        <w:ind w:left="1440"/>
        <w:rPr>
          <w:rFonts w:cs="David"/>
          <w:sz w:val="20"/>
          <w:szCs w:val="20"/>
          <w:rtl/>
        </w:rPr>
      </w:pPr>
      <w:r w:rsidRPr="00D773FD">
        <w:rPr>
          <w:rFonts w:cs="David" w:hint="cs"/>
          <w:sz w:val="20"/>
          <w:szCs w:val="20"/>
          <w:rtl/>
        </w:rPr>
        <w:t xml:space="preserve">19 </w:t>
      </w:r>
      <w:r w:rsidRPr="00D773FD">
        <w:rPr>
          <w:rFonts w:cs="David"/>
          <w:sz w:val="20"/>
          <w:szCs w:val="20"/>
          <w:rtl/>
        </w:rPr>
        <w:t xml:space="preserve">[התראה והפסקת פרסומם של עתונים] </w:t>
      </w:r>
    </w:p>
    <w:p w:rsidR="005366A8" w:rsidRPr="00D773FD" w:rsidRDefault="005366A8" w:rsidP="005366A8">
      <w:pPr>
        <w:pStyle w:val="T-body"/>
        <w:spacing w:line="240" w:lineRule="auto"/>
        <w:ind w:left="2160"/>
        <w:rPr>
          <w:rFonts w:cs="David"/>
          <w:sz w:val="20"/>
          <w:szCs w:val="20"/>
          <w:rtl/>
        </w:rPr>
      </w:pPr>
      <w:r w:rsidRPr="00D773FD">
        <w:rPr>
          <w:rFonts w:cs="David"/>
          <w:sz w:val="20"/>
          <w:szCs w:val="20"/>
          <w:rtl/>
        </w:rPr>
        <w:t>(2)  בין שמסר לבעל העתון או למו"ל של העתון התראה עפ"י סעיף-קטן (1) לסעיף זה ובין שלא מסר לו התראה כזאת, רשאי שר הפנים עפ"י צו להפסיק במקרים דלקמן את פרסום העתון לאותה תקופה שימצא לנכון, ויפרט באותו צו את תקופת אותה הפסקה:</w:t>
      </w:r>
    </w:p>
    <w:p w:rsidR="005366A8" w:rsidRPr="00D773FD" w:rsidRDefault="005366A8" w:rsidP="005366A8">
      <w:pPr>
        <w:ind w:left="2880"/>
        <w:rPr>
          <w:rFonts w:cs="David"/>
          <w:sz w:val="20"/>
          <w:szCs w:val="20"/>
          <w:rtl/>
        </w:rPr>
      </w:pPr>
      <w:r w:rsidRPr="00D773FD">
        <w:rPr>
          <w:rFonts w:cs="David"/>
          <w:sz w:val="20"/>
          <w:szCs w:val="20"/>
          <w:rtl/>
        </w:rPr>
        <w:t xml:space="preserve">(א)   </w:t>
      </w:r>
      <w:r w:rsidRPr="009C750A">
        <w:rPr>
          <w:rFonts w:cs="David"/>
          <w:sz w:val="20"/>
          <w:szCs w:val="20"/>
          <w:highlight w:val="yellow"/>
          <w:rtl/>
        </w:rPr>
        <w:t>אם מתפרסם בעתון דבר העלול, לדעתו של שר הפנים, לסכן את שלום הציבור</w:t>
      </w:r>
      <w:r w:rsidRPr="00D773FD">
        <w:rPr>
          <w:rFonts w:cs="David"/>
          <w:sz w:val="20"/>
          <w:szCs w:val="20"/>
          <w:rtl/>
        </w:rPr>
        <w:t>;</w:t>
      </w:r>
    </w:p>
    <w:p w:rsidR="005366A8" w:rsidRPr="00D773FD" w:rsidRDefault="005366A8" w:rsidP="005366A8">
      <w:pPr>
        <w:spacing w:after="120"/>
        <w:ind w:left="2880" w:right="-284"/>
        <w:rPr>
          <w:rFonts w:cs="David"/>
          <w:sz w:val="20"/>
          <w:szCs w:val="20"/>
          <w:rtl/>
        </w:rPr>
      </w:pPr>
      <w:r w:rsidRPr="00D773FD">
        <w:rPr>
          <w:rFonts w:cs="David"/>
          <w:sz w:val="20"/>
          <w:szCs w:val="20"/>
          <w:rtl/>
        </w:rPr>
        <w:t>(ב)   אם מפרסם עתון ידיעות-שקר או שמועות-שקר שיש בהן, לדעת שר הפנים, כדי לעורר בהלה או יאוש.</w:t>
      </w:r>
    </w:p>
    <w:p w:rsidR="005366A8" w:rsidRDefault="005366A8" w:rsidP="005366A8">
      <w:pPr>
        <w:spacing w:after="60"/>
        <w:rPr>
          <w:sz w:val="20"/>
          <w:szCs w:val="20"/>
          <w:rtl/>
        </w:rPr>
      </w:pPr>
      <w:r>
        <w:rPr>
          <w:rFonts w:hint="cs"/>
          <w:sz w:val="20"/>
          <w:szCs w:val="20"/>
          <w:rtl/>
        </w:rPr>
        <w:t>=-=</w:t>
      </w:r>
    </w:p>
    <w:p w:rsidR="005366A8" w:rsidRPr="00EB136D" w:rsidRDefault="005366A8" w:rsidP="005366A8">
      <w:pPr>
        <w:spacing w:after="60"/>
        <w:rPr>
          <w:b/>
          <w:bCs/>
          <w:sz w:val="20"/>
          <w:szCs w:val="20"/>
          <w:rtl/>
        </w:rPr>
      </w:pPr>
      <w:r w:rsidRPr="00EB136D">
        <w:rPr>
          <w:rFonts w:hint="cs"/>
          <w:sz w:val="20"/>
          <w:szCs w:val="20"/>
          <w:rtl/>
        </w:rPr>
        <w:t>פס"ד</w:t>
      </w:r>
      <w:r w:rsidRPr="00EB136D">
        <w:rPr>
          <w:rFonts w:hint="cs"/>
          <w:b/>
          <w:bCs/>
          <w:sz w:val="20"/>
          <w:szCs w:val="20"/>
          <w:rtl/>
        </w:rPr>
        <w:t xml:space="preserve"> פרץ נ' כפר שמריהו</w:t>
      </w:r>
    </w:p>
    <w:p w:rsidR="005366A8" w:rsidRPr="00910788" w:rsidRDefault="005366A8" w:rsidP="005366A8">
      <w:pPr>
        <w:spacing w:after="60"/>
        <w:ind w:left="720"/>
        <w:rPr>
          <w:sz w:val="20"/>
          <w:szCs w:val="20"/>
          <w:rtl/>
        </w:rPr>
      </w:pPr>
      <w:r w:rsidRPr="00910788">
        <w:rPr>
          <w:rFonts w:hint="cs"/>
          <w:sz w:val="20"/>
          <w:szCs w:val="20"/>
          <w:rtl/>
        </w:rPr>
        <w:t>הפלייה של זרם דתי על ידי רשות מקומית בכל הנוגע להשכרת אולם של הרשות</w:t>
      </w:r>
    </w:p>
    <w:p w:rsidR="005366A8" w:rsidRPr="00EB136D" w:rsidRDefault="005366A8" w:rsidP="005366A8">
      <w:pPr>
        <w:spacing w:after="60"/>
        <w:ind w:left="720"/>
        <w:rPr>
          <w:b/>
          <w:bCs/>
          <w:sz w:val="20"/>
          <w:szCs w:val="20"/>
          <w:rtl/>
        </w:rPr>
      </w:pPr>
    </w:p>
    <w:p w:rsidR="005366A8" w:rsidRDefault="005366A8" w:rsidP="005366A8">
      <w:pPr>
        <w:spacing w:after="60"/>
        <w:rPr>
          <w:sz w:val="20"/>
          <w:szCs w:val="20"/>
          <w:rtl/>
        </w:rPr>
      </w:pPr>
      <w:r>
        <w:rPr>
          <w:rFonts w:hint="cs"/>
          <w:sz w:val="20"/>
          <w:szCs w:val="20"/>
          <w:rtl/>
        </w:rPr>
        <w:t>=-=</w:t>
      </w:r>
    </w:p>
    <w:p w:rsidR="005366A8" w:rsidRPr="00EB136D" w:rsidRDefault="005366A8" w:rsidP="005366A8">
      <w:pPr>
        <w:spacing w:after="60"/>
        <w:rPr>
          <w:b/>
          <w:bCs/>
          <w:sz w:val="20"/>
          <w:szCs w:val="20"/>
          <w:rtl/>
        </w:rPr>
      </w:pPr>
      <w:r w:rsidRPr="00EB136D">
        <w:rPr>
          <w:rFonts w:hint="cs"/>
          <w:sz w:val="20"/>
          <w:szCs w:val="20"/>
          <w:rtl/>
        </w:rPr>
        <w:t>פס"ד</w:t>
      </w:r>
      <w:r w:rsidRPr="00EB136D">
        <w:rPr>
          <w:rFonts w:hint="cs"/>
          <w:b/>
          <w:bCs/>
          <w:sz w:val="20"/>
          <w:szCs w:val="20"/>
          <w:rtl/>
        </w:rPr>
        <w:t xml:space="preserve"> ירדור </w:t>
      </w:r>
    </w:p>
    <w:p w:rsidR="005366A8" w:rsidRPr="009C750A" w:rsidRDefault="005366A8" w:rsidP="005366A8">
      <w:pPr>
        <w:pStyle w:val="BodyText2"/>
        <w:spacing w:after="120"/>
        <w:ind w:left="720"/>
        <w:rPr>
          <w:sz w:val="20"/>
          <w:szCs w:val="20"/>
          <w:highlight w:val="yellow"/>
          <w:rtl/>
        </w:rPr>
      </w:pPr>
      <w:r w:rsidRPr="000E3146">
        <w:rPr>
          <w:sz w:val="20"/>
          <w:szCs w:val="20"/>
          <w:rtl/>
        </w:rPr>
        <w:t>סע' 23 לחוק הבחירות לכנסת, תשי"ט</w:t>
      </w:r>
      <w:r w:rsidRPr="000E3146">
        <w:rPr>
          <w:rFonts w:hint="cs"/>
          <w:sz w:val="20"/>
          <w:szCs w:val="20"/>
          <w:rtl/>
        </w:rPr>
        <w:t>-</w:t>
      </w:r>
      <w:r w:rsidRPr="000E3146">
        <w:rPr>
          <w:sz w:val="20"/>
          <w:szCs w:val="20"/>
          <w:rtl/>
        </w:rPr>
        <w:t xml:space="preserve">1959: </w:t>
      </w:r>
      <w:r w:rsidRPr="009C750A">
        <w:rPr>
          <w:rFonts w:cs="David"/>
          <w:sz w:val="20"/>
          <w:szCs w:val="20"/>
          <w:highlight w:val="yellow"/>
          <w:rtl/>
        </w:rPr>
        <w:t>"רשימת מועמדים שהוגשה כהלכה או שתוקנה לפי הסעיף הקודם, תאשר אותה הוועדה המרכזית ותודיע על כך...לבא-כוח הרשימה ולממלא מקומו."</w:t>
      </w:r>
      <w:r w:rsidRPr="009C750A">
        <w:rPr>
          <w:sz w:val="20"/>
          <w:szCs w:val="20"/>
          <w:highlight w:val="yellow"/>
          <w:rtl/>
        </w:rPr>
        <w:t xml:space="preserve"> </w:t>
      </w:r>
    </w:p>
    <w:p w:rsidR="005366A8" w:rsidRDefault="005366A8" w:rsidP="005366A8">
      <w:pPr>
        <w:spacing w:after="60"/>
        <w:ind w:left="720"/>
        <w:rPr>
          <w:rFonts w:cs="David"/>
          <w:sz w:val="20"/>
          <w:szCs w:val="20"/>
          <w:rtl/>
        </w:rPr>
      </w:pPr>
      <w:r w:rsidRPr="000E3146">
        <w:rPr>
          <w:rFonts w:hint="cs"/>
          <w:sz w:val="20"/>
          <w:szCs w:val="20"/>
          <w:rtl/>
        </w:rPr>
        <w:t xml:space="preserve">הנשיא אגרנט </w:t>
      </w:r>
      <w:r w:rsidRPr="000E3146">
        <w:rPr>
          <w:sz w:val="20"/>
          <w:szCs w:val="20"/>
          <w:rtl/>
        </w:rPr>
        <w:t>–</w:t>
      </w:r>
      <w:r w:rsidRPr="000E3146">
        <w:rPr>
          <w:rFonts w:hint="cs"/>
          <w:sz w:val="20"/>
          <w:szCs w:val="20"/>
          <w:rtl/>
        </w:rPr>
        <w:t xml:space="preserve"> סע' 1 לחוק יסוד: הכנסת: </w:t>
      </w:r>
      <w:r w:rsidRPr="009C750A">
        <w:rPr>
          <w:rFonts w:cs="David"/>
          <w:sz w:val="20"/>
          <w:szCs w:val="20"/>
          <w:highlight w:val="yellow"/>
          <w:rtl/>
        </w:rPr>
        <w:t>"הכנסת היא בית הנבחרים של המדינה".</w:t>
      </w:r>
    </w:p>
    <w:p w:rsidR="005366A8" w:rsidRDefault="005366A8" w:rsidP="005366A8">
      <w:pPr>
        <w:spacing w:after="60"/>
        <w:rPr>
          <w:sz w:val="20"/>
          <w:szCs w:val="20"/>
          <w:rtl/>
        </w:rPr>
      </w:pPr>
    </w:p>
    <w:p w:rsidR="005366A8" w:rsidRDefault="005366A8" w:rsidP="005366A8">
      <w:pPr>
        <w:pStyle w:val="FootnoteText"/>
        <w:ind w:firstLine="0"/>
        <w:jc w:val="left"/>
        <w:rPr>
          <w:sz w:val="20"/>
          <w:szCs w:val="20"/>
          <w:rtl/>
        </w:rPr>
      </w:pPr>
      <w:r>
        <w:rPr>
          <w:rFonts w:hint="cs"/>
          <w:sz w:val="20"/>
          <w:szCs w:val="20"/>
          <w:rtl/>
        </w:rPr>
        <w:t>=-=</w:t>
      </w:r>
    </w:p>
    <w:p w:rsidR="005366A8" w:rsidRPr="00756DBE" w:rsidRDefault="005366A8" w:rsidP="005366A8">
      <w:pPr>
        <w:pStyle w:val="FootnoteText"/>
        <w:ind w:firstLine="0"/>
        <w:jc w:val="left"/>
        <w:rPr>
          <w:rFonts w:cs="David"/>
          <w:sz w:val="20"/>
          <w:szCs w:val="20"/>
          <w:rtl/>
        </w:rPr>
      </w:pPr>
      <w:r w:rsidRPr="00756DBE">
        <w:rPr>
          <w:rFonts w:hint="cs"/>
          <w:sz w:val="20"/>
          <w:szCs w:val="20"/>
          <w:rtl/>
        </w:rPr>
        <w:t xml:space="preserve">פס"ד </w:t>
      </w:r>
      <w:r w:rsidRPr="00756DBE">
        <w:rPr>
          <w:rFonts w:hint="cs"/>
          <w:b/>
          <w:bCs/>
          <w:sz w:val="20"/>
          <w:szCs w:val="20"/>
          <w:rtl/>
        </w:rPr>
        <w:t>מוסא</w:t>
      </w:r>
    </w:p>
    <w:p w:rsidR="005366A8" w:rsidRDefault="005366A8" w:rsidP="005366A8">
      <w:pPr>
        <w:pStyle w:val="P00"/>
        <w:ind w:left="0"/>
        <w:rPr>
          <w:rStyle w:val="default"/>
          <w:szCs w:val="20"/>
          <w:rtl/>
        </w:rPr>
      </w:pPr>
      <w:r>
        <w:rPr>
          <w:rStyle w:val="default"/>
          <w:rFonts w:hint="cs"/>
          <w:szCs w:val="20"/>
          <w:rtl/>
        </w:rPr>
        <w:t xml:space="preserve">פרשנותו של חוק האזרחות ושאלת מעמדו המשפטי של אדם </w:t>
      </w:r>
      <w:r>
        <w:rPr>
          <w:rStyle w:val="default"/>
          <w:szCs w:val="20"/>
          <w:rtl/>
        </w:rPr>
        <w:t>–</w:t>
      </w:r>
      <w:r>
        <w:rPr>
          <w:rStyle w:val="default"/>
          <w:rFonts w:hint="cs"/>
          <w:szCs w:val="20"/>
          <w:rtl/>
        </w:rPr>
        <w:t xml:space="preserve"> העותר מוסא </w:t>
      </w:r>
      <w:r>
        <w:rPr>
          <w:rStyle w:val="default"/>
          <w:szCs w:val="20"/>
          <w:rtl/>
        </w:rPr>
        <w:t>–</w:t>
      </w:r>
      <w:r>
        <w:rPr>
          <w:rStyle w:val="default"/>
          <w:rFonts w:hint="cs"/>
          <w:szCs w:val="20"/>
          <w:rtl/>
        </w:rPr>
        <w:t xml:space="preserve"> האם הוא אזרח או שמא לא, והוא צריך לעזוב את כפרו ואת המדינה?</w:t>
      </w:r>
    </w:p>
    <w:p w:rsidR="005366A8" w:rsidRPr="000F1D90" w:rsidRDefault="005366A8" w:rsidP="005366A8">
      <w:pPr>
        <w:pStyle w:val="P00"/>
        <w:ind w:left="0" w:right="1134"/>
        <w:rPr>
          <w:rStyle w:val="default"/>
          <w:szCs w:val="20"/>
          <w:rtl/>
        </w:rPr>
      </w:pPr>
      <w:r>
        <w:rPr>
          <w:rStyle w:val="default"/>
          <w:rFonts w:hint="cs"/>
          <w:szCs w:val="20"/>
          <w:rtl/>
        </w:rPr>
        <w:t>חוק האזרחות, תשי"ב-1952:</w:t>
      </w:r>
    </w:p>
    <w:p w:rsidR="005366A8" w:rsidRPr="000F1D90" w:rsidRDefault="005D7968" w:rsidP="005366A8">
      <w:pPr>
        <w:pStyle w:val="P00"/>
        <w:ind w:left="1021"/>
        <w:rPr>
          <w:rStyle w:val="default"/>
          <w:rFonts w:cs="David"/>
          <w:szCs w:val="20"/>
          <w:rtl/>
        </w:rPr>
      </w:pPr>
      <w:r w:rsidRPr="005D7968">
        <w:rPr>
          <w:szCs w:val="20"/>
          <w:rtl/>
          <w:lang w:val="he-IL"/>
        </w:rPr>
        <w:pict>
          <v:rect id="_x0000_s1155" style="position:absolute;left:0;text-align:left;margin-left:444.25pt;margin-top:3.6pt;width:75.05pt;height:16pt;z-index:251795456" o:allowincell="f" filled="f" stroked="f" strokecolor="lime" strokeweight=".25pt">
            <v:textbox style="mso-next-textbox:#_x0000_s1155" inset="0,0,0,0">
              <w:txbxContent>
                <w:p w:rsidR="005366A8" w:rsidRDefault="005366A8" w:rsidP="005366A8">
                  <w:pPr>
                    <w:spacing w:line="160" w:lineRule="exact"/>
                    <w:rPr>
                      <w:rFonts w:cs="Miriam"/>
                      <w:sz w:val="18"/>
                      <w:szCs w:val="18"/>
                      <w:rtl/>
                    </w:rPr>
                  </w:pPr>
                  <w:r>
                    <w:rPr>
                      <w:rFonts w:cs="Miriam"/>
                      <w:sz w:val="18"/>
                      <w:szCs w:val="18"/>
                      <w:rtl/>
                    </w:rPr>
                    <w:t>אז</w:t>
                  </w:r>
                  <w:r>
                    <w:rPr>
                      <w:rFonts w:cs="Miriam" w:hint="cs"/>
                      <w:sz w:val="18"/>
                      <w:szCs w:val="18"/>
                      <w:rtl/>
                    </w:rPr>
                    <w:t xml:space="preserve">רחות מכוח </w:t>
                  </w:r>
                </w:p>
                <w:p w:rsidR="005366A8" w:rsidRDefault="005366A8" w:rsidP="005366A8">
                  <w:pPr>
                    <w:spacing w:line="160" w:lineRule="exact"/>
                    <w:rPr>
                      <w:rFonts w:cs="Miriam"/>
                      <w:noProof/>
                      <w:sz w:val="18"/>
                      <w:szCs w:val="18"/>
                      <w:rtl/>
                    </w:rPr>
                  </w:pPr>
                  <w:r>
                    <w:rPr>
                      <w:rFonts w:cs="Miriam" w:hint="cs"/>
                      <w:sz w:val="18"/>
                      <w:szCs w:val="18"/>
                      <w:rtl/>
                    </w:rPr>
                    <w:t>ישיבה בישראל</w:t>
                  </w:r>
                </w:p>
              </w:txbxContent>
            </v:textbox>
            <w10:anchorlock/>
          </v:rect>
        </w:pict>
      </w:r>
      <w:r w:rsidR="005366A8" w:rsidRPr="000F1D90">
        <w:rPr>
          <w:rStyle w:val="big-number"/>
          <w:szCs w:val="20"/>
          <w:rtl/>
        </w:rPr>
        <w:t>3.</w:t>
      </w:r>
      <w:r w:rsidR="005366A8" w:rsidRPr="000F1D90">
        <w:rPr>
          <w:rStyle w:val="big-number"/>
          <w:szCs w:val="20"/>
          <w:rtl/>
        </w:rPr>
        <w:tab/>
      </w:r>
      <w:r w:rsidR="005366A8" w:rsidRPr="000F1D90">
        <w:rPr>
          <w:rStyle w:val="default"/>
          <w:szCs w:val="20"/>
          <w:rtl/>
        </w:rPr>
        <w:t>(</w:t>
      </w:r>
      <w:r w:rsidR="005366A8" w:rsidRPr="000F1D90">
        <w:rPr>
          <w:rStyle w:val="default"/>
          <w:rFonts w:cs="David"/>
          <w:szCs w:val="20"/>
          <w:rtl/>
        </w:rPr>
        <w:t>א</w:t>
      </w:r>
      <w:r w:rsidR="005366A8" w:rsidRPr="000F1D90">
        <w:rPr>
          <w:rStyle w:val="default"/>
          <w:rFonts w:cs="David" w:hint="cs"/>
          <w:szCs w:val="20"/>
          <w:rtl/>
        </w:rPr>
        <w:t>)</w:t>
      </w:r>
      <w:r w:rsidR="005366A8" w:rsidRPr="000F1D90">
        <w:rPr>
          <w:rStyle w:val="default"/>
          <w:rFonts w:cs="David"/>
          <w:szCs w:val="20"/>
          <w:rtl/>
        </w:rPr>
        <w:tab/>
        <w:t>מ</w:t>
      </w:r>
      <w:r w:rsidR="005366A8" w:rsidRPr="000F1D90">
        <w:rPr>
          <w:rStyle w:val="default"/>
          <w:rFonts w:cs="David" w:hint="cs"/>
          <w:szCs w:val="20"/>
          <w:rtl/>
        </w:rPr>
        <w:t>י שערב הקמת המדינה היה נתין ארצישראלי, ולא היה לאזרח ישראלי לפי</w:t>
      </w:r>
      <w:r w:rsidR="005366A8" w:rsidRPr="000F1D90">
        <w:rPr>
          <w:rStyle w:val="default"/>
          <w:rFonts w:cs="David"/>
          <w:szCs w:val="20"/>
          <w:rtl/>
        </w:rPr>
        <w:t xml:space="preserve"> </w:t>
      </w:r>
      <w:r w:rsidR="005366A8" w:rsidRPr="000F1D90">
        <w:rPr>
          <w:rStyle w:val="default"/>
          <w:rFonts w:cs="David" w:hint="cs"/>
          <w:szCs w:val="20"/>
          <w:rtl/>
        </w:rPr>
        <w:t>סעיף 2, יהיה לאזרח ישראלי מיום הקמת המדינה אם נתקיימו בו תנאים אלה:</w:t>
      </w:r>
    </w:p>
    <w:p w:rsidR="005366A8" w:rsidRPr="000F1D90" w:rsidRDefault="005366A8" w:rsidP="005366A8">
      <w:pPr>
        <w:pStyle w:val="P22"/>
        <w:spacing w:before="72"/>
        <w:ind w:left="2042" w:right="0"/>
        <w:rPr>
          <w:rStyle w:val="default"/>
          <w:rFonts w:cs="David"/>
          <w:szCs w:val="20"/>
          <w:rtl/>
        </w:rPr>
      </w:pPr>
      <w:r w:rsidRPr="000F1D90">
        <w:rPr>
          <w:rStyle w:val="default"/>
          <w:rFonts w:cs="David"/>
          <w:szCs w:val="20"/>
          <w:rtl/>
        </w:rPr>
        <w:t>(1)</w:t>
      </w:r>
      <w:r w:rsidRPr="000F1D90">
        <w:rPr>
          <w:rStyle w:val="default"/>
          <w:rFonts w:cs="David"/>
          <w:szCs w:val="20"/>
          <w:rtl/>
        </w:rPr>
        <w:tab/>
        <w:t>ב</w:t>
      </w:r>
      <w:r w:rsidRPr="000F1D90">
        <w:rPr>
          <w:rStyle w:val="default"/>
          <w:rFonts w:cs="David" w:hint="cs"/>
          <w:szCs w:val="20"/>
          <w:rtl/>
        </w:rPr>
        <w:t>יום ד' באדר תשי"ב (1 במרס 1952) היה רשום כתושב לפי פקודת מרשם תושבים, תש"ט-</w:t>
      </w:r>
      <w:r w:rsidRPr="000F1D90">
        <w:rPr>
          <w:rStyle w:val="default"/>
          <w:rFonts w:cs="David"/>
          <w:szCs w:val="20"/>
          <w:rtl/>
        </w:rPr>
        <w:t>1949;</w:t>
      </w:r>
    </w:p>
    <w:p w:rsidR="005366A8" w:rsidRPr="000F1D90" w:rsidRDefault="005366A8" w:rsidP="005366A8">
      <w:pPr>
        <w:pStyle w:val="P22"/>
        <w:spacing w:before="72"/>
        <w:ind w:left="2042" w:right="0"/>
        <w:rPr>
          <w:rStyle w:val="default"/>
          <w:rFonts w:cs="David"/>
          <w:szCs w:val="20"/>
          <w:rtl/>
        </w:rPr>
      </w:pPr>
      <w:r w:rsidRPr="000F1D90">
        <w:rPr>
          <w:rStyle w:val="default"/>
          <w:rFonts w:cs="David" w:hint="cs"/>
          <w:szCs w:val="20"/>
          <w:rtl/>
        </w:rPr>
        <w:t>(2)</w:t>
      </w:r>
      <w:r w:rsidRPr="000F1D90">
        <w:rPr>
          <w:rStyle w:val="default"/>
          <w:rFonts w:cs="David"/>
          <w:szCs w:val="20"/>
          <w:rtl/>
        </w:rPr>
        <w:tab/>
        <w:t>ב</w:t>
      </w:r>
      <w:r w:rsidRPr="000F1D90">
        <w:rPr>
          <w:rStyle w:val="default"/>
          <w:rFonts w:cs="David" w:hint="cs"/>
          <w:szCs w:val="20"/>
          <w:rtl/>
        </w:rPr>
        <w:t>יום תחילת תקפו של חוק זה היה תושב ישראל;</w:t>
      </w:r>
    </w:p>
    <w:p w:rsidR="005366A8" w:rsidRPr="000F1D90" w:rsidRDefault="005366A8" w:rsidP="005366A8">
      <w:pPr>
        <w:pStyle w:val="P22"/>
        <w:spacing w:before="72"/>
        <w:ind w:left="2042" w:right="0"/>
        <w:rPr>
          <w:rStyle w:val="default"/>
          <w:rFonts w:cs="David"/>
          <w:szCs w:val="20"/>
          <w:rtl/>
        </w:rPr>
      </w:pPr>
      <w:r w:rsidRPr="000F1D90">
        <w:rPr>
          <w:rStyle w:val="default"/>
          <w:rFonts w:cs="David" w:hint="cs"/>
          <w:szCs w:val="20"/>
          <w:rtl/>
        </w:rPr>
        <w:t>(3)</w:t>
      </w:r>
      <w:r w:rsidRPr="000F1D90">
        <w:rPr>
          <w:rStyle w:val="default"/>
          <w:rFonts w:cs="David"/>
          <w:szCs w:val="20"/>
          <w:rtl/>
        </w:rPr>
        <w:tab/>
        <w:t>מ</w:t>
      </w:r>
      <w:r w:rsidRPr="000F1D90">
        <w:rPr>
          <w:rStyle w:val="default"/>
          <w:rFonts w:cs="David" w:hint="cs"/>
          <w:szCs w:val="20"/>
          <w:rtl/>
        </w:rPr>
        <w:t>יום הקמת המדינה עד יום תחילת תקפו של חוק זה היה בישראל או בשטח שהיה לשטח ישראל אחרי הקמת המדינה, או שבתקופה זו נכנס לישראל כדין.</w:t>
      </w:r>
    </w:p>
    <w:p w:rsidR="005366A8" w:rsidRPr="000F1D90" w:rsidRDefault="005366A8" w:rsidP="005366A8">
      <w:pPr>
        <w:pStyle w:val="P00"/>
        <w:ind w:left="1021"/>
        <w:rPr>
          <w:rStyle w:val="default"/>
          <w:rFonts w:cs="David"/>
          <w:szCs w:val="20"/>
          <w:rtl/>
        </w:rPr>
      </w:pPr>
      <w:r w:rsidRPr="000F1D90">
        <w:rPr>
          <w:rFonts w:cs="David"/>
          <w:szCs w:val="20"/>
          <w:rtl/>
        </w:rPr>
        <w:tab/>
      </w:r>
      <w:r w:rsidRPr="000F1D90">
        <w:rPr>
          <w:rStyle w:val="default"/>
          <w:rFonts w:cs="David"/>
          <w:szCs w:val="20"/>
          <w:rtl/>
        </w:rPr>
        <w:t>(ב</w:t>
      </w:r>
      <w:r w:rsidRPr="000F1D90">
        <w:rPr>
          <w:rStyle w:val="default"/>
          <w:rFonts w:cs="David" w:hint="cs"/>
          <w:szCs w:val="20"/>
          <w:rtl/>
        </w:rPr>
        <w:t>)</w:t>
      </w:r>
      <w:r w:rsidRPr="000F1D90">
        <w:rPr>
          <w:rStyle w:val="default"/>
          <w:rFonts w:cs="David"/>
          <w:szCs w:val="20"/>
          <w:rtl/>
        </w:rPr>
        <w:tab/>
        <w:t>מ</w:t>
      </w:r>
      <w:r w:rsidRPr="000F1D90">
        <w:rPr>
          <w:rStyle w:val="default"/>
          <w:rFonts w:cs="David" w:hint="cs"/>
          <w:szCs w:val="20"/>
          <w:rtl/>
        </w:rPr>
        <w:t>י שנולד אחרי הקמת המדינה, וביום תחילת תקפו של חוק זה היה תושב ישראל, ואב</w:t>
      </w:r>
      <w:r w:rsidRPr="000F1D90">
        <w:rPr>
          <w:rStyle w:val="default"/>
          <w:rFonts w:cs="David"/>
          <w:szCs w:val="20"/>
          <w:rtl/>
        </w:rPr>
        <w:t>יו</w:t>
      </w:r>
      <w:r w:rsidRPr="000F1D90">
        <w:rPr>
          <w:rStyle w:val="default"/>
          <w:rFonts w:cs="David" w:hint="cs"/>
          <w:szCs w:val="20"/>
          <w:rtl/>
        </w:rPr>
        <w:t xml:space="preserve"> או אמו היו לאזרחים ישראליים לפי סעיף קטן (א), יהיה לאזרח ישראלי מיום לידתו.</w:t>
      </w:r>
    </w:p>
    <w:p w:rsidR="005366A8" w:rsidRDefault="005366A8" w:rsidP="005366A8">
      <w:pPr>
        <w:rPr>
          <w:rFonts w:ascii="Arial" w:hAnsi="Arial" w:cs="Arial"/>
          <w:sz w:val="22"/>
          <w:szCs w:val="22"/>
          <w:rtl/>
        </w:rPr>
      </w:pPr>
    </w:p>
    <w:p w:rsidR="005366A8" w:rsidRPr="00816207" w:rsidRDefault="005366A8" w:rsidP="005366A8">
      <w:pPr>
        <w:rPr>
          <w:rFonts w:ascii="Arial" w:hAnsi="Arial" w:cs="Arial"/>
          <w:sz w:val="22"/>
          <w:szCs w:val="22"/>
          <w:rtl/>
        </w:rPr>
      </w:pPr>
      <w:r w:rsidRPr="00816207">
        <w:rPr>
          <w:rFonts w:ascii="Arial" w:hAnsi="Arial" w:cs="Arial" w:hint="cs"/>
          <w:sz w:val="22"/>
          <w:szCs w:val="22"/>
          <w:rtl/>
        </w:rPr>
        <w:t xml:space="preserve"> </w:t>
      </w:r>
      <w:r>
        <w:rPr>
          <w:rFonts w:ascii="Arial" w:hAnsi="Arial" w:cs="Arial" w:hint="cs"/>
          <w:sz w:val="22"/>
          <w:szCs w:val="22"/>
          <w:rtl/>
        </w:rPr>
        <w:t>=-=</w:t>
      </w:r>
    </w:p>
    <w:p w:rsidR="005366A8" w:rsidRPr="00756DBE" w:rsidRDefault="005366A8" w:rsidP="005366A8">
      <w:pPr>
        <w:rPr>
          <w:rFonts w:asciiTheme="majorBidi" w:hAnsiTheme="majorBidi" w:cstheme="majorBidi"/>
          <w:sz w:val="20"/>
          <w:szCs w:val="20"/>
          <w:rtl/>
        </w:rPr>
      </w:pPr>
      <w:r w:rsidRPr="00756DBE">
        <w:rPr>
          <w:rFonts w:asciiTheme="majorBidi" w:hAnsiTheme="majorBidi" w:cstheme="majorBidi"/>
          <w:sz w:val="20"/>
          <w:szCs w:val="20"/>
          <w:rtl/>
        </w:rPr>
        <w:t xml:space="preserve">פס"ד </w:t>
      </w:r>
      <w:r w:rsidRPr="00756DBE">
        <w:rPr>
          <w:rFonts w:asciiTheme="majorBidi" w:hAnsiTheme="majorBidi" w:cstheme="majorBidi"/>
          <w:b/>
          <w:bCs/>
          <w:sz w:val="20"/>
          <w:szCs w:val="20"/>
          <w:rtl/>
        </w:rPr>
        <w:t>חכם נ' קופת חולים מכבי</w:t>
      </w:r>
    </w:p>
    <w:p w:rsidR="005366A8" w:rsidRPr="00816207" w:rsidRDefault="005366A8" w:rsidP="005366A8">
      <w:pPr>
        <w:rPr>
          <w:sz w:val="20"/>
          <w:szCs w:val="20"/>
          <w:rtl/>
        </w:rPr>
      </w:pPr>
      <w:r w:rsidRPr="00816207">
        <w:rPr>
          <w:sz w:val="20"/>
          <w:szCs w:val="20"/>
          <w:rtl/>
        </w:rPr>
        <w:t xml:space="preserve"> </w:t>
      </w:r>
    </w:p>
    <w:p w:rsidR="005366A8" w:rsidRDefault="005366A8" w:rsidP="005366A8">
      <w:pPr>
        <w:rPr>
          <w:sz w:val="20"/>
          <w:szCs w:val="20"/>
          <w:rtl/>
        </w:rPr>
      </w:pPr>
      <w:r w:rsidRPr="00816207">
        <w:rPr>
          <w:sz w:val="20"/>
          <w:szCs w:val="20"/>
          <w:rtl/>
        </w:rPr>
        <w:t xml:space="preserve">1. המערער מס' 1 סובל </w:t>
      </w:r>
      <w:r w:rsidRPr="00816207">
        <w:rPr>
          <w:sz w:val="20"/>
          <w:szCs w:val="20"/>
          <w:highlight w:val="yellow"/>
          <w:rtl/>
        </w:rPr>
        <w:t>מפיגור שכלי מלידה</w:t>
      </w:r>
      <w:r w:rsidRPr="00816207">
        <w:rPr>
          <w:sz w:val="20"/>
          <w:szCs w:val="20"/>
          <w:rtl/>
        </w:rPr>
        <w:t>, הנובע ממחלה אורגנית או מפגם אורגני. הוא אינו מסוגל לתקשר ולתפקד. בתובענה שהגיש נטען מטעמו כי מצב דברים זה נגרם בשל רשלנות המשיבים</w:t>
      </w:r>
      <w:r>
        <w:rPr>
          <w:rFonts w:hint="cs"/>
          <w:sz w:val="20"/>
          <w:szCs w:val="20"/>
          <w:rtl/>
        </w:rPr>
        <w:t xml:space="preserve"> [קופת החולים]</w:t>
      </w:r>
      <w:r w:rsidRPr="00816207">
        <w:rPr>
          <w:sz w:val="20"/>
          <w:szCs w:val="20"/>
          <w:rtl/>
        </w:rPr>
        <w:t>. אלה מתגוננים בטענת התיישנות. אין מחלוקת כי תקופת ההתיישנות הרגילה (של שבע שנים מאז מלאו לו שמונה-עשרה שנה: סעיפים 5</w:t>
      </w:r>
      <w:r>
        <w:rPr>
          <w:rFonts w:hint="cs"/>
          <w:sz w:val="20"/>
          <w:szCs w:val="20"/>
          <w:rtl/>
        </w:rPr>
        <w:t xml:space="preserve"> </w:t>
      </w:r>
      <w:r w:rsidRPr="00816207">
        <w:rPr>
          <w:sz w:val="20"/>
          <w:szCs w:val="20"/>
          <w:rtl/>
        </w:rPr>
        <w:t xml:space="preserve">ו-10 לחוק ההתיישנות, התשי"ח-1958) חלפה. </w:t>
      </w:r>
    </w:p>
    <w:p w:rsidR="005366A8" w:rsidRPr="00816207" w:rsidRDefault="005366A8" w:rsidP="005366A8">
      <w:pPr>
        <w:rPr>
          <w:sz w:val="20"/>
          <w:szCs w:val="20"/>
          <w:rtl/>
        </w:rPr>
      </w:pPr>
      <w:r w:rsidRPr="00F32718">
        <w:rPr>
          <w:sz w:val="20"/>
          <w:szCs w:val="20"/>
          <w:highlight w:val="yellow"/>
          <w:rtl/>
        </w:rPr>
        <w:t>האם עומדת לזכותו טענה טובה להפסקת מירוץ ההתיישנות - זו השאלה הניצבת בפנינו?</w:t>
      </w:r>
      <w:r w:rsidRPr="00816207">
        <w:rPr>
          <w:sz w:val="20"/>
          <w:szCs w:val="20"/>
          <w:rtl/>
        </w:rPr>
        <w:t xml:space="preserve"> </w:t>
      </w:r>
    </w:p>
    <w:p w:rsidR="005366A8" w:rsidRPr="00816207" w:rsidRDefault="005366A8" w:rsidP="005366A8">
      <w:pPr>
        <w:rPr>
          <w:sz w:val="20"/>
          <w:szCs w:val="20"/>
          <w:rtl/>
        </w:rPr>
      </w:pPr>
    </w:p>
    <w:p w:rsidR="005366A8" w:rsidRPr="00816207" w:rsidRDefault="005366A8" w:rsidP="005366A8">
      <w:pPr>
        <w:rPr>
          <w:sz w:val="20"/>
          <w:szCs w:val="20"/>
          <w:rtl/>
        </w:rPr>
      </w:pPr>
      <w:r w:rsidRPr="00816207">
        <w:rPr>
          <w:sz w:val="20"/>
          <w:szCs w:val="20"/>
          <w:rtl/>
        </w:rPr>
        <w:t xml:space="preserve">2. </w:t>
      </w:r>
      <w:r w:rsidRPr="00816207">
        <w:rPr>
          <w:sz w:val="20"/>
          <w:szCs w:val="20"/>
          <w:highlight w:val="yellow"/>
          <w:rtl/>
        </w:rPr>
        <w:t>ההוראה העיקרית לעניין זה מצויה בסעיף 11 לחוק ההתיישנות, הקובעת:</w:t>
      </w:r>
      <w:r w:rsidRPr="00816207">
        <w:rPr>
          <w:sz w:val="20"/>
          <w:szCs w:val="20"/>
          <w:rtl/>
        </w:rPr>
        <w:t xml:space="preserve"> </w:t>
      </w:r>
    </w:p>
    <w:p w:rsidR="005366A8" w:rsidRPr="00816207" w:rsidRDefault="005366A8" w:rsidP="005366A8">
      <w:pPr>
        <w:ind w:left="720"/>
        <w:rPr>
          <w:rFonts w:cs="David"/>
          <w:sz w:val="20"/>
          <w:szCs w:val="20"/>
          <w:rtl/>
        </w:rPr>
      </w:pPr>
      <w:r w:rsidRPr="00816207">
        <w:rPr>
          <w:rFonts w:cs="David"/>
          <w:sz w:val="20"/>
          <w:szCs w:val="20"/>
          <w:rtl/>
        </w:rPr>
        <w:t xml:space="preserve">"בחישוב תקופת ההתיישנות לא יבוא במנין הזמן שבו היה </w:t>
      </w:r>
      <w:r w:rsidRPr="00816207">
        <w:rPr>
          <w:rFonts w:cs="David"/>
          <w:sz w:val="20"/>
          <w:szCs w:val="20"/>
          <w:highlight w:val="yellow"/>
          <w:rtl/>
        </w:rPr>
        <w:t>התובע חולה-נפש</w:t>
      </w:r>
      <w:r w:rsidRPr="00816207">
        <w:rPr>
          <w:rFonts w:cs="David"/>
          <w:sz w:val="20"/>
          <w:szCs w:val="20"/>
          <w:rtl/>
        </w:rPr>
        <w:t xml:space="preserve"> ולא היה עליו אפוטרופוס; היה עליו אפוטרופוס, לא יבוא במנין הזמן שבו טרם נודעו לאפוטרופוס העובדות המהוות את עילת התובענה". </w:t>
      </w:r>
    </w:p>
    <w:p w:rsidR="005366A8" w:rsidRPr="00816207" w:rsidRDefault="005366A8" w:rsidP="005366A8">
      <w:pPr>
        <w:ind w:left="720"/>
        <w:rPr>
          <w:rFonts w:cs="David"/>
          <w:sz w:val="20"/>
          <w:szCs w:val="20"/>
          <w:rtl/>
        </w:rPr>
      </w:pPr>
    </w:p>
    <w:p w:rsidR="005366A8" w:rsidRDefault="005366A8" w:rsidP="005366A8">
      <w:pPr>
        <w:spacing w:after="60"/>
        <w:rPr>
          <w:sz w:val="20"/>
          <w:szCs w:val="20"/>
          <w:rtl/>
        </w:rPr>
      </w:pPr>
      <w:r w:rsidRPr="00756DBE">
        <w:rPr>
          <w:sz w:val="20"/>
          <w:szCs w:val="20"/>
          <w:highlight w:val="yellow"/>
          <w:rtl/>
        </w:rPr>
        <w:t xml:space="preserve">האם חלה הוראה זו בענייננו? התשובה </w:t>
      </w:r>
      <w:r w:rsidRPr="00816207">
        <w:rPr>
          <w:sz w:val="20"/>
          <w:szCs w:val="20"/>
          <w:highlight w:val="yellow"/>
          <w:rtl/>
        </w:rPr>
        <w:t>לשאלה זו היא פרשנית.</w:t>
      </w:r>
      <w:r w:rsidRPr="00816207">
        <w:rPr>
          <w:sz w:val="20"/>
          <w:szCs w:val="20"/>
          <w:rtl/>
        </w:rPr>
        <w:t xml:space="preserve"> עלינו לפרש את הדיבור "חולה נפש" בהקשרו של חוק ההתיישנות. עלינו לקבוע אם הדיבור "חולה נפש" משתרע על המקרה שלפנינו. </w:t>
      </w:r>
      <w:r>
        <w:rPr>
          <w:rFonts w:hint="cs"/>
          <w:sz w:val="20"/>
          <w:szCs w:val="20"/>
          <w:rtl/>
        </w:rPr>
        <w:t>[...] [הפנייה לחוק יסודות המשפט לצורך השלמת חסר].</w:t>
      </w:r>
    </w:p>
    <w:p w:rsidR="005366A8" w:rsidRPr="00816207" w:rsidRDefault="005366A8" w:rsidP="005366A8">
      <w:pPr>
        <w:pStyle w:val="Heading1"/>
        <w:rPr>
          <w:rFonts w:cs="Arial"/>
          <w:i/>
          <w:iCs/>
          <w:szCs w:val="22"/>
          <w:rtl/>
        </w:rPr>
      </w:pPr>
      <w:r w:rsidRPr="00816207">
        <w:rPr>
          <w:rFonts w:cs="Arial" w:hint="cs"/>
          <w:b w:val="0"/>
          <w:bCs w:val="0"/>
          <w:szCs w:val="22"/>
          <w:rtl/>
        </w:rPr>
        <w:t>"השלמת חסר":</w:t>
      </w:r>
      <w:r w:rsidRPr="00816207">
        <w:rPr>
          <w:rFonts w:cs="Arial" w:hint="cs"/>
          <w:szCs w:val="22"/>
          <w:rtl/>
        </w:rPr>
        <w:t xml:space="preserve"> </w:t>
      </w:r>
      <w:r w:rsidRPr="00816207">
        <w:rPr>
          <w:rFonts w:cs="Arial"/>
          <w:szCs w:val="22"/>
          <w:rtl/>
        </w:rPr>
        <w:t>חוק יסודות המשפט, התש"ם</w:t>
      </w:r>
      <w:r w:rsidRPr="00816207">
        <w:rPr>
          <w:rFonts w:cs="Arial" w:hint="cs"/>
          <w:szCs w:val="22"/>
          <w:rtl/>
        </w:rPr>
        <w:t>-</w:t>
      </w:r>
      <w:r w:rsidRPr="00816207">
        <w:rPr>
          <w:rFonts w:cs="Arial"/>
          <w:szCs w:val="22"/>
          <w:rtl/>
        </w:rPr>
        <w:t>1980</w:t>
      </w:r>
    </w:p>
    <w:p w:rsidR="005366A8" w:rsidRPr="00816207" w:rsidRDefault="005366A8" w:rsidP="005366A8">
      <w:pPr>
        <w:ind w:left="720"/>
        <w:rPr>
          <w:sz w:val="22"/>
          <w:szCs w:val="22"/>
          <w:rtl/>
        </w:rPr>
      </w:pPr>
      <w:r w:rsidRPr="00816207">
        <w:rPr>
          <w:sz w:val="22"/>
          <w:szCs w:val="22"/>
          <w:rtl/>
        </w:rPr>
        <w:t xml:space="preserve"> [מקורות משפט משלימים]</w:t>
      </w:r>
    </w:p>
    <w:p w:rsidR="005366A8" w:rsidRDefault="005366A8" w:rsidP="005366A8">
      <w:pPr>
        <w:spacing w:after="60"/>
        <w:ind w:left="720"/>
        <w:rPr>
          <w:sz w:val="20"/>
          <w:szCs w:val="20"/>
          <w:rtl/>
        </w:rPr>
      </w:pPr>
      <w:r w:rsidRPr="00816207">
        <w:rPr>
          <w:rFonts w:cs="David"/>
          <w:b/>
          <w:bCs/>
          <w:sz w:val="22"/>
          <w:szCs w:val="22"/>
          <w:rtl/>
        </w:rPr>
        <w:t>1. ראה בית המשפט שאלה משפטית הטעונה הכרעה, ולא מצא לה תשובה בדבר חקיקה, בהלכה פסוקה או בדרך של היקש, יכריע בה לאור עקרונות החירות, הצדק, היושר והשלום של מורשת ישראל.</w:t>
      </w:r>
    </w:p>
    <w:p w:rsidR="005366A8" w:rsidRDefault="005366A8" w:rsidP="005366A8">
      <w:pPr>
        <w:spacing w:after="60"/>
        <w:rPr>
          <w:sz w:val="20"/>
          <w:szCs w:val="20"/>
          <w:rtl/>
        </w:rPr>
      </w:pPr>
    </w:p>
    <w:p w:rsidR="005366A8" w:rsidRDefault="005366A8" w:rsidP="005366A8">
      <w:pPr>
        <w:spacing w:after="60"/>
        <w:rPr>
          <w:sz w:val="20"/>
          <w:szCs w:val="20"/>
          <w:rtl/>
        </w:rPr>
      </w:pPr>
      <w:r>
        <w:rPr>
          <w:rFonts w:hint="cs"/>
          <w:sz w:val="20"/>
          <w:szCs w:val="20"/>
          <w:rtl/>
        </w:rPr>
        <w:t>=-=</w:t>
      </w:r>
    </w:p>
    <w:p w:rsidR="005366A8" w:rsidRPr="00EB136D" w:rsidRDefault="005366A8" w:rsidP="005366A8">
      <w:pPr>
        <w:spacing w:after="60"/>
        <w:rPr>
          <w:b/>
          <w:bCs/>
          <w:sz w:val="20"/>
          <w:szCs w:val="20"/>
          <w:rtl/>
        </w:rPr>
      </w:pPr>
      <w:r w:rsidRPr="00EB136D">
        <w:rPr>
          <w:rFonts w:hint="cs"/>
          <w:sz w:val="20"/>
          <w:szCs w:val="20"/>
          <w:rtl/>
        </w:rPr>
        <w:t>פס"ד</w:t>
      </w:r>
      <w:r w:rsidRPr="00EB136D">
        <w:rPr>
          <w:rFonts w:hint="cs"/>
          <w:b/>
          <w:bCs/>
          <w:sz w:val="20"/>
          <w:szCs w:val="20"/>
          <w:rtl/>
        </w:rPr>
        <w:t xml:space="preserve"> קעדאן</w:t>
      </w:r>
    </w:p>
    <w:p w:rsidR="005366A8" w:rsidRDefault="005366A8" w:rsidP="005366A8">
      <w:pPr>
        <w:spacing w:after="60"/>
        <w:ind w:left="720"/>
        <w:rPr>
          <w:rFonts w:cs="FrankRuehl"/>
          <w:szCs w:val="22"/>
          <w:rtl/>
        </w:rPr>
      </w:pPr>
      <w:r w:rsidRPr="009C2633">
        <w:rPr>
          <w:rFonts w:cs="FrankRuehl"/>
          <w:szCs w:val="22"/>
          <w:rtl/>
        </w:rPr>
        <w:t>נקודת המוצא היא</w:t>
      </w:r>
      <w:r w:rsidRPr="002E0BA7">
        <w:rPr>
          <w:rFonts w:cs="FrankRuehl"/>
          <w:szCs w:val="22"/>
          <w:rtl/>
        </w:rPr>
        <w:t xml:space="preserve"> </w:t>
      </w:r>
      <w:r w:rsidRPr="009C2633">
        <w:rPr>
          <w:rFonts w:cs="David"/>
          <w:b/>
          <w:bCs/>
          <w:sz w:val="20"/>
          <w:szCs w:val="20"/>
          <w:rtl/>
        </w:rPr>
        <w:t>חוק-יסוד: מקרקעי ישראל</w:t>
      </w:r>
      <w:r w:rsidRPr="002E0BA7">
        <w:rPr>
          <w:rFonts w:cs="FrankRuehl"/>
          <w:szCs w:val="22"/>
          <w:rtl/>
        </w:rPr>
        <w:t xml:space="preserve">. </w:t>
      </w:r>
    </w:p>
    <w:p w:rsidR="005366A8" w:rsidRDefault="005366A8" w:rsidP="005366A8">
      <w:pPr>
        <w:spacing w:after="60"/>
        <w:ind w:left="720"/>
        <w:rPr>
          <w:rFonts w:cs="FrankRuehl"/>
          <w:szCs w:val="22"/>
          <w:rtl/>
        </w:rPr>
      </w:pPr>
      <w:r w:rsidRPr="002E0BA7">
        <w:rPr>
          <w:rFonts w:cs="FrankRuehl"/>
          <w:szCs w:val="22"/>
          <w:rtl/>
        </w:rPr>
        <w:t>חוק יסוד זה קובע כי</w:t>
      </w:r>
      <w:r>
        <w:rPr>
          <w:rFonts w:cs="FrankRuehl" w:hint="cs"/>
          <w:szCs w:val="22"/>
          <w:rtl/>
        </w:rPr>
        <w:t>:</w:t>
      </w:r>
      <w:r w:rsidRPr="002E0BA7">
        <w:rPr>
          <w:rFonts w:cs="FrankRuehl"/>
          <w:szCs w:val="22"/>
          <w:rtl/>
        </w:rPr>
        <w:t xml:space="preserve"> </w:t>
      </w:r>
    </w:p>
    <w:p w:rsidR="005366A8" w:rsidRPr="009C2633" w:rsidRDefault="005366A8" w:rsidP="005366A8">
      <w:pPr>
        <w:spacing w:after="60"/>
        <w:ind w:left="1440"/>
        <w:rPr>
          <w:rFonts w:cs="David"/>
          <w:sz w:val="20"/>
          <w:szCs w:val="20"/>
          <w:rtl/>
        </w:rPr>
      </w:pPr>
      <w:r w:rsidRPr="009C750A">
        <w:rPr>
          <w:rFonts w:cs="David"/>
          <w:sz w:val="20"/>
          <w:szCs w:val="20"/>
          <w:highlight w:val="yellow"/>
          <w:rtl/>
        </w:rPr>
        <w:t>"מקרקעי ישראל, והם המקרקעין בישראל של המדינה, של רשות הפיתוח או של הקרן הקיימת לישראל, הבעלות בהם לא תועבר, אם במכר ואם בדרך אחרת"</w:t>
      </w:r>
      <w:r w:rsidRPr="009C2633">
        <w:rPr>
          <w:rFonts w:cs="David"/>
          <w:sz w:val="20"/>
          <w:szCs w:val="20"/>
          <w:rtl/>
        </w:rPr>
        <w:t xml:space="preserve"> (סעיף 1). </w:t>
      </w:r>
    </w:p>
    <w:p w:rsidR="005366A8" w:rsidRDefault="005366A8" w:rsidP="005366A8">
      <w:pPr>
        <w:spacing w:after="60"/>
        <w:ind w:left="720"/>
        <w:rPr>
          <w:rFonts w:cs="FrankRuehl"/>
          <w:szCs w:val="22"/>
          <w:rtl/>
        </w:rPr>
      </w:pPr>
      <w:r w:rsidRPr="002E0BA7">
        <w:rPr>
          <w:rFonts w:cs="FrankRuehl"/>
          <w:szCs w:val="22"/>
          <w:rtl/>
        </w:rPr>
        <w:t xml:space="preserve">עניננו הוא במקרקעי ישראל שהם המקרקעין של המדינה, ובחינתנו מוגבלת למקרקעין אלה בלבד. </w:t>
      </w:r>
    </w:p>
    <w:p w:rsidR="005366A8" w:rsidRDefault="005366A8" w:rsidP="005366A8">
      <w:pPr>
        <w:spacing w:after="60"/>
        <w:ind w:left="720"/>
        <w:rPr>
          <w:rFonts w:cs="FrankRuehl"/>
          <w:szCs w:val="22"/>
          <w:rtl/>
        </w:rPr>
      </w:pPr>
      <w:r w:rsidRPr="002E0BA7">
        <w:rPr>
          <w:rFonts w:cs="FrankRuehl"/>
          <w:szCs w:val="22"/>
          <w:rtl/>
        </w:rPr>
        <w:t xml:space="preserve">מקרקעי ישראל מנוהלים על ידי מינהל מקרקעי ישראל (חוק מינהל מקרקעי ישראל, התש"ך1960-). </w:t>
      </w:r>
    </w:p>
    <w:p w:rsidR="005366A8" w:rsidRDefault="005366A8" w:rsidP="005366A8">
      <w:pPr>
        <w:spacing w:after="60"/>
        <w:ind w:left="720"/>
        <w:rPr>
          <w:rFonts w:cs="FrankRuehl"/>
          <w:szCs w:val="22"/>
          <w:rtl/>
        </w:rPr>
      </w:pPr>
      <w:r w:rsidRPr="002E0BA7">
        <w:rPr>
          <w:rFonts w:cs="FrankRuehl"/>
          <w:szCs w:val="22"/>
          <w:rtl/>
        </w:rPr>
        <w:t>המדיניות הקרקעית של המינהל נקבעת על-ידי מועצת מקרקעי ישראל (סעיף 3 לחוק מינהל מקרקעי ישראל).</w:t>
      </w:r>
    </w:p>
    <w:p w:rsidR="005366A8" w:rsidRPr="002E0BA7" w:rsidRDefault="005366A8" w:rsidP="005366A8">
      <w:pPr>
        <w:pStyle w:val="4"/>
        <w:spacing w:after="60" w:line="240" w:lineRule="auto"/>
        <w:ind w:left="720"/>
        <w:rPr>
          <w:rFonts w:cs="FrankRuehl"/>
          <w:szCs w:val="22"/>
          <w:rtl/>
          <w:lang w:eastAsia="en-US"/>
        </w:rPr>
      </w:pPr>
      <w:r w:rsidRPr="002E0BA7">
        <w:rPr>
          <w:rFonts w:cs="FrankRuehl"/>
          <w:szCs w:val="22"/>
          <w:rtl/>
          <w:lang w:eastAsia="en-US"/>
        </w:rPr>
        <w:t>חוק מינהל מקרקעי ישראל, התש"ך1960-, אינו מגדיר מהם היעדים והתכליות המיוחדות הניצבים בפני המינהל. כל שנאמר, לעניין זה בחוק הוא, כי:</w:t>
      </w:r>
    </w:p>
    <w:p w:rsidR="005366A8" w:rsidRDefault="005366A8" w:rsidP="005366A8">
      <w:pPr>
        <w:spacing w:after="60"/>
        <w:ind w:left="1440"/>
        <w:rPr>
          <w:rFonts w:cs="David"/>
          <w:sz w:val="20"/>
          <w:szCs w:val="20"/>
          <w:rtl/>
        </w:rPr>
      </w:pPr>
      <w:r w:rsidRPr="009C2633">
        <w:rPr>
          <w:rFonts w:cs="David"/>
          <w:sz w:val="20"/>
          <w:szCs w:val="20"/>
          <w:rtl/>
        </w:rPr>
        <w:t>"</w:t>
      </w:r>
      <w:r w:rsidRPr="009C750A">
        <w:rPr>
          <w:rFonts w:cs="David"/>
          <w:sz w:val="20"/>
          <w:szCs w:val="20"/>
          <w:highlight w:val="yellow"/>
          <w:rtl/>
        </w:rPr>
        <w:t>הממשלה תקים מינהל מקרקעי ישראל (להלן: "המינהל") שינהל את מקרקעי ישראל</w:t>
      </w:r>
      <w:r w:rsidRPr="009C2633">
        <w:rPr>
          <w:rFonts w:cs="David"/>
          <w:sz w:val="20"/>
          <w:szCs w:val="20"/>
          <w:rtl/>
        </w:rPr>
        <w:t>"</w:t>
      </w:r>
    </w:p>
    <w:p w:rsidR="005366A8" w:rsidRPr="009C2633" w:rsidRDefault="005366A8" w:rsidP="005366A8">
      <w:pPr>
        <w:spacing w:after="60"/>
        <w:ind w:left="1440"/>
        <w:rPr>
          <w:rFonts w:cs="David"/>
          <w:b/>
          <w:bCs/>
          <w:sz w:val="20"/>
          <w:szCs w:val="20"/>
          <w:rtl/>
        </w:rPr>
      </w:pPr>
    </w:p>
    <w:p w:rsidR="005366A8" w:rsidRPr="00EB136D" w:rsidRDefault="005366A8" w:rsidP="005366A8">
      <w:pPr>
        <w:spacing w:after="60"/>
        <w:ind w:left="1440"/>
        <w:rPr>
          <w:rFonts w:cs="David"/>
          <w:b/>
          <w:bCs/>
          <w:sz w:val="20"/>
          <w:szCs w:val="20"/>
          <w:rtl/>
        </w:rPr>
      </w:pPr>
      <w:r>
        <w:rPr>
          <w:rFonts w:cs="David" w:hint="cs"/>
          <w:sz w:val="20"/>
          <w:szCs w:val="20"/>
          <w:rtl/>
        </w:rPr>
        <w:t xml:space="preserve">-&gt; </w:t>
      </w:r>
      <w:r w:rsidRPr="00EB136D">
        <w:rPr>
          <w:rFonts w:cs="David" w:hint="cs"/>
          <w:sz w:val="20"/>
          <w:szCs w:val="20"/>
          <w:rtl/>
        </w:rPr>
        <w:t xml:space="preserve">[בהמשך </w:t>
      </w:r>
      <w:r>
        <w:rPr>
          <w:rFonts w:cs="David" w:hint="cs"/>
          <w:sz w:val="20"/>
          <w:szCs w:val="20"/>
          <w:rtl/>
        </w:rPr>
        <w:t>ל</w:t>
      </w:r>
      <w:r w:rsidRPr="009C2633">
        <w:rPr>
          <w:rFonts w:cs="David" w:hint="cs"/>
          <w:b/>
          <w:bCs/>
          <w:sz w:val="20"/>
          <w:szCs w:val="20"/>
          <w:rtl/>
        </w:rPr>
        <w:t>קעדאן</w:t>
      </w:r>
      <w:r w:rsidRPr="00EB136D">
        <w:rPr>
          <w:rFonts w:cs="David" w:hint="cs"/>
          <w:sz w:val="20"/>
          <w:szCs w:val="20"/>
          <w:rtl/>
        </w:rPr>
        <w:t>, לאחר שנים לא מעטות:]</w:t>
      </w:r>
      <w:r w:rsidRPr="00EB136D">
        <w:rPr>
          <w:rFonts w:cs="David" w:hint="cs"/>
          <w:b/>
          <w:bCs/>
          <w:sz w:val="20"/>
          <w:szCs w:val="20"/>
          <w:rtl/>
        </w:rPr>
        <w:t xml:space="preserve"> </w:t>
      </w:r>
      <w:r w:rsidRPr="00EB136D">
        <w:rPr>
          <w:rFonts w:cs="David"/>
          <w:b/>
          <w:bCs/>
          <w:sz w:val="20"/>
          <w:szCs w:val="20"/>
          <w:rtl/>
        </w:rPr>
        <w:t>חוק לתיקון פקודת האגודות השיתופיות (מס' 8), התשע"א–2011</w:t>
      </w:r>
    </w:p>
    <w:p w:rsidR="005366A8" w:rsidRDefault="005366A8" w:rsidP="005366A8">
      <w:pPr>
        <w:spacing w:after="60"/>
        <w:ind w:left="2160"/>
        <w:rPr>
          <w:sz w:val="20"/>
          <w:szCs w:val="20"/>
          <w:rtl/>
        </w:rPr>
      </w:pPr>
      <w:r w:rsidRPr="00EB136D">
        <w:rPr>
          <w:rFonts w:hint="cs"/>
          <w:sz w:val="20"/>
          <w:szCs w:val="20"/>
          <w:highlight w:val="yellow"/>
          <w:rtl/>
        </w:rPr>
        <w:t>[</w:t>
      </w:r>
      <w:r>
        <w:rPr>
          <w:rFonts w:hint="cs"/>
          <w:sz w:val="20"/>
          <w:szCs w:val="20"/>
          <w:highlight w:val="yellow"/>
          <w:rtl/>
        </w:rPr>
        <w:t>דחיית העתירות בעילת סף של חוסר בשלות - דעת רוב צרה של</w:t>
      </w:r>
      <w:r w:rsidRPr="00EB136D">
        <w:rPr>
          <w:rFonts w:hint="cs"/>
          <w:sz w:val="20"/>
          <w:szCs w:val="20"/>
          <w:highlight w:val="yellow"/>
          <w:rtl/>
        </w:rPr>
        <w:t>]</w:t>
      </w:r>
    </w:p>
    <w:p w:rsidR="005366A8" w:rsidRDefault="005366A8" w:rsidP="005366A8">
      <w:pPr>
        <w:pStyle w:val="T-body"/>
        <w:spacing w:after="120" w:line="240" w:lineRule="auto"/>
        <w:jc w:val="left"/>
        <w:rPr>
          <w:rFonts w:ascii="Arial" w:hAnsi="Arial" w:cs="Arial"/>
          <w:rtl/>
        </w:rPr>
      </w:pPr>
      <w:r>
        <w:rPr>
          <w:rFonts w:ascii="Arial" w:hAnsi="Arial" w:cs="Arial" w:hint="cs"/>
          <w:rtl/>
        </w:rPr>
        <w:t>=-=</w:t>
      </w:r>
    </w:p>
    <w:p w:rsidR="005366A8" w:rsidRPr="003F251C" w:rsidRDefault="005366A8" w:rsidP="005366A8">
      <w:pPr>
        <w:pStyle w:val="4"/>
        <w:spacing w:after="120" w:line="240" w:lineRule="auto"/>
        <w:rPr>
          <w:rFonts w:cs="Arial"/>
          <w:sz w:val="20"/>
          <w:rtl/>
          <w:lang w:eastAsia="en-US"/>
        </w:rPr>
      </w:pPr>
      <w:r w:rsidRPr="003F251C">
        <w:rPr>
          <w:rFonts w:cs="Arial"/>
          <w:b/>
          <w:bCs/>
          <w:sz w:val="20"/>
          <w:highlight w:val="green"/>
          <w:u w:val="single"/>
          <w:rtl/>
          <w:lang w:eastAsia="en-US"/>
        </w:rPr>
        <w:t>קריאה לפגישה הבאה</w:t>
      </w:r>
      <w:r w:rsidRPr="003F251C">
        <w:rPr>
          <w:rFonts w:cs="Arial"/>
          <w:b/>
          <w:bCs/>
          <w:sz w:val="20"/>
          <w:rtl/>
          <w:lang w:eastAsia="en-US"/>
        </w:rPr>
        <w:t xml:space="preserve">: </w:t>
      </w:r>
      <w:r w:rsidRPr="003F251C">
        <w:rPr>
          <w:rFonts w:cs="Arial" w:hint="cs"/>
          <w:sz w:val="20"/>
          <w:rtl/>
          <w:lang w:eastAsia="en-US"/>
        </w:rPr>
        <w:t xml:space="preserve">אנו עוברים לנושא </w:t>
      </w:r>
      <w:r w:rsidRPr="003F251C">
        <w:rPr>
          <w:rFonts w:cs="Arial" w:hint="cs"/>
          <w:sz w:val="20"/>
          <w:u w:val="single"/>
          <w:rtl/>
          <w:lang w:eastAsia="en-US"/>
        </w:rPr>
        <w:t>החוקה הפורמאלית</w:t>
      </w:r>
      <w:r w:rsidRPr="003F251C">
        <w:rPr>
          <w:rFonts w:cs="Arial" w:hint="cs"/>
          <w:sz w:val="20"/>
          <w:rtl/>
          <w:lang w:eastAsia="en-US"/>
        </w:rPr>
        <w:t xml:space="preserve"> של ישראל. </w:t>
      </w:r>
    </w:p>
    <w:p w:rsidR="005366A8" w:rsidRPr="003F251C" w:rsidRDefault="005366A8" w:rsidP="005366A8">
      <w:pPr>
        <w:pStyle w:val="4"/>
        <w:spacing w:line="240" w:lineRule="auto"/>
        <w:rPr>
          <w:rFonts w:cs="Arial"/>
          <w:sz w:val="20"/>
          <w:rtl/>
          <w:lang w:eastAsia="en-US"/>
        </w:rPr>
      </w:pPr>
      <w:r w:rsidRPr="003F251C">
        <w:rPr>
          <w:rFonts w:cs="Arial" w:hint="cs"/>
          <w:sz w:val="20"/>
          <w:u w:val="single"/>
          <w:rtl/>
          <w:lang w:eastAsia="en-US"/>
        </w:rPr>
        <w:t xml:space="preserve">אנא קראו את הדפים </w:t>
      </w:r>
      <w:r>
        <w:rPr>
          <w:rFonts w:cs="Arial" w:hint="cs"/>
          <w:sz w:val="20"/>
          <w:u w:val="single"/>
          <w:rtl/>
          <w:lang w:eastAsia="en-US"/>
        </w:rPr>
        <w:t xml:space="preserve">של פגישה 6 המטפלים בחוקה הפורמאלית: </w:t>
      </w:r>
      <w:r w:rsidRPr="003F251C">
        <w:rPr>
          <w:rFonts w:cs="Arial" w:hint="cs"/>
          <w:sz w:val="20"/>
          <w:rtl/>
          <w:lang w:eastAsia="en-US"/>
        </w:rPr>
        <w:t>הם מציגים מושגי יסוד, וגם משמיעים טעמים בעד ונגד חוקה פורמאלית. נחזור אליהם בפגישה הקרובה אך אנא חשבו עליהם בעצמכם.</w:t>
      </w:r>
      <w:r>
        <w:rPr>
          <w:rFonts w:cs="Arial" w:hint="cs"/>
          <w:sz w:val="20"/>
          <w:rtl/>
          <w:lang w:eastAsia="en-US"/>
        </w:rPr>
        <w:t xml:space="preserve"> אנא הגיעו איתם לפגישה הבאה.</w:t>
      </w:r>
    </w:p>
    <w:p w:rsidR="005366A8" w:rsidRPr="003F251C" w:rsidRDefault="005366A8" w:rsidP="005366A8">
      <w:pPr>
        <w:ind w:right="-284"/>
        <w:rPr>
          <w:rFonts w:ascii="Arial" w:hAnsi="Arial" w:cs="Arial"/>
          <w:sz w:val="20"/>
          <w:szCs w:val="20"/>
          <w:rtl/>
        </w:rPr>
      </w:pPr>
      <w:r w:rsidRPr="003F251C">
        <w:rPr>
          <w:rFonts w:ascii="Arial" w:hAnsi="Arial" w:cs="Arial"/>
          <w:sz w:val="20"/>
          <w:szCs w:val="20"/>
          <w:u w:val="single"/>
          <w:rtl/>
        </w:rPr>
        <w:t xml:space="preserve">קראו </w:t>
      </w:r>
      <w:r w:rsidRPr="003F251C">
        <w:rPr>
          <w:rFonts w:ascii="Arial" w:hAnsi="Arial" w:cs="Arial" w:hint="cs"/>
          <w:sz w:val="20"/>
          <w:szCs w:val="20"/>
          <w:u w:val="single"/>
          <w:rtl/>
        </w:rPr>
        <w:t>גם</w:t>
      </w:r>
      <w:r w:rsidRPr="003F251C">
        <w:rPr>
          <w:rFonts w:ascii="Arial" w:hAnsi="Arial" w:cs="Arial" w:hint="cs"/>
          <w:sz w:val="20"/>
          <w:szCs w:val="20"/>
          <w:rtl/>
        </w:rPr>
        <w:t xml:space="preserve"> </w:t>
      </w:r>
      <w:r w:rsidRPr="003F251C">
        <w:rPr>
          <w:rFonts w:ascii="Arial" w:hAnsi="Arial" w:cs="Arial"/>
          <w:sz w:val="20"/>
          <w:szCs w:val="20"/>
          <w:rtl/>
        </w:rPr>
        <w:t>את סע</w:t>
      </w:r>
      <w:r w:rsidRPr="003F251C">
        <w:rPr>
          <w:rFonts w:ascii="Arial" w:hAnsi="Arial" w:cs="Arial" w:hint="cs"/>
          <w:sz w:val="20"/>
          <w:szCs w:val="20"/>
          <w:rtl/>
        </w:rPr>
        <w:t>יפים</w:t>
      </w:r>
      <w:r w:rsidRPr="003F251C">
        <w:rPr>
          <w:rFonts w:ascii="Arial" w:hAnsi="Arial" w:cs="Arial"/>
          <w:sz w:val="20"/>
          <w:szCs w:val="20"/>
          <w:rtl/>
        </w:rPr>
        <w:t xml:space="preserve"> 82-74 לפס"ד של הנשיא ברק </w:t>
      </w:r>
      <w:r w:rsidRPr="003F251C">
        <w:rPr>
          <w:rFonts w:ascii="Arial" w:hAnsi="Arial" w:cs="Arial"/>
          <w:b/>
          <w:bCs/>
          <w:sz w:val="20"/>
          <w:szCs w:val="20"/>
          <w:rtl/>
        </w:rPr>
        <w:t>בבנק המזרחי</w:t>
      </w:r>
      <w:r w:rsidRPr="003F251C">
        <w:rPr>
          <w:rFonts w:ascii="Arial" w:hAnsi="Arial" w:cs="Arial"/>
          <w:sz w:val="20"/>
          <w:szCs w:val="20"/>
          <w:rtl/>
        </w:rPr>
        <w:t>, שם הוא עוסק בטעמים התומכים בביקורת שיפוטית חוקתית, ועל המשפט השוואתי שהוא משמיע בהקשר זה.</w:t>
      </w:r>
    </w:p>
    <w:p w:rsidR="005366A8" w:rsidRPr="00DE1B86" w:rsidRDefault="005366A8" w:rsidP="005366A8">
      <w:pPr>
        <w:pStyle w:val="4"/>
        <w:spacing w:line="240" w:lineRule="auto"/>
        <w:rPr>
          <w:szCs w:val="22"/>
          <w:rtl/>
        </w:rPr>
      </w:pPr>
      <w:r w:rsidRPr="003F251C">
        <w:rPr>
          <w:rFonts w:cs="Arial"/>
          <w:sz w:val="20"/>
          <w:rtl/>
          <w:lang w:eastAsia="en-US"/>
        </w:rPr>
        <w:t xml:space="preserve">קראו </w:t>
      </w:r>
      <w:r w:rsidRPr="003F251C">
        <w:rPr>
          <w:rFonts w:cs="Arial" w:hint="cs"/>
          <w:sz w:val="20"/>
          <w:rtl/>
          <w:lang w:eastAsia="en-US"/>
        </w:rPr>
        <w:t xml:space="preserve">גם </w:t>
      </w:r>
      <w:r w:rsidRPr="003F251C">
        <w:rPr>
          <w:rFonts w:cs="Arial"/>
          <w:sz w:val="20"/>
          <w:rtl/>
          <w:lang w:eastAsia="en-US"/>
        </w:rPr>
        <w:t>את מאמרו של ד"ר יובל שטייניץ</w:t>
      </w:r>
      <w:r w:rsidRPr="003F251C">
        <w:rPr>
          <w:rFonts w:cs="Arial" w:hint="cs"/>
          <w:sz w:val="20"/>
          <w:rtl/>
          <w:lang w:eastAsia="en-US"/>
        </w:rPr>
        <w:t xml:space="preserve"> (שר האוצר דהיום ומרצה לפילוסופיה באוניברסיטת חיפה בעבר). הוא מציג טיעונים </w:t>
      </w:r>
      <w:r w:rsidRPr="003F251C">
        <w:rPr>
          <w:rFonts w:cs="Arial" w:hint="cs"/>
          <w:sz w:val="20"/>
          <w:u w:val="single"/>
          <w:rtl/>
          <w:lang w:eastAsia="en-US"/>
        </w:rPr>
        <w:t>כנגד "החוקתיות".</w:t>
      </w:r>
      <w:r>
        <w:rPr>
          <w:rFonts w:cs="Arial" w:hint="cs"/>
          <w:sz w:val="20"/>
          <w:rtl/>
          <w:lang w:eastAsia="en-US"/>
        </w:rPr>
        <w:t xml:space="preserve"> </w:t>
      </w:r>
      <w:r w:rsidRPr="003F251C">
        <w:rPr>
          <w:rFonts w:cs="Arial"/>
          <w:sz w:val="20"/>
          <w:rtl/>
          <w:lang w:eastAsia="en-US"/>
        </w:rPr>
        <w:t xml:space="preserve">שטייניץ מסכם את מאמרו במשפט הבא: "היזהרו 'בדמוקרטיה הליברלית' כי ממנה תצא דיקטטורה". האם טיעוניו משכנעים? מי מהם? </w:t>
      </w:r>
      <w:r w:rsidRPr="003F251C">
        <w:rPr>
          <w:rFonts w:cs="Arial" w:hint="cs"/>
          <w:sz w:val="20"/>
          <w:rtl/>
          <w:lang w:eastAsia="en-US"/>
        </w:rPr>
        <w:t xml:space="preserve">היש </w:t>
      </w:r>
      <w:r w:rsidRPr="003F251C">
        <w:rPr>
          <w:rFonts w:cs="Arial"/>
          <w:sz w:val="20"/>
          <w:rtl/>
          <w:lang w:eastAsia="en-US"/>
        </w:rPr>
        <w:t>טיעוני</w:t>
      </w:r>
      <w:r w:rsidRPr="003F251C">
        <w:rPr>
          <w:rFonts w:cs="Arial" w:hint="cs"/>
          <w:sz w:val="20"/>
          <w:rtl/>
          <w:lang w:eastAsia="en-US"/>
        </w:rPr>
        <w:t>-</w:t>
      </w:r>
      <w:r w:rsidRPr="003F251C">
        <w:rPr>
          <w:rFonts w:cs="Arial"/>
          <w:sz w:val="20"/>
          <w:rtl/>
          <w:lang w:eastAsia="en-US"/>
        </w:rPr>
        <w:t xml:space="preserve">נגד שעליהם אתם חושבים? </w:t>
      </w:r>
      <w:r w:rsidRPr="003F251C">
        <w:rPr>
          <w:rFonts w:cs="Arial" w:hint="cs"/>
          <w:sz w:val="20"/>
          <w:rtl/>
          <w:lang w:eastAsia="en-US"/>
        </w:rPr>
        <w:t xml:space="preserve">היש </w:t>
      </w:r>
      <w:r w:rsidRPr="003F251C">
        <w:rPr>
          <w:rFonts w:cs="Arial"/>
          <w:sz w:val="20"/>
          <w:rtl/>
          <w:lang w:eastAsia="en-US"/>
        </w:rPr>
        <w:t>טיעונים כנגד טיעוני הנגד?</w:t>
      </w:r>
    </w:p>
    <w:p w:rsidR="005366A8" w:rsidRDefault="005366A8">
      <w:pPr>
        <w:bidi w:val="0"/>
        <w:jc w:val="left"/>
        <w:rPr>
          <w:sz w:val="22"/>
          <w:szCs w:val="22"/>
          <w:rtl/>
        </w:rPr>
      </w:pPr>
      <w:r>
        <w:rPr>
          <w:sz w:val="22"/>
          <w:szCs w:val="22"/>
          <w:rtl/>
        </w:rPr>
        <w:br w:type="page"/>
      </w:r>
    </w:p>
    <w:p w:rsidR="005366A8" w:rsidRDefault="005366A8" w:rsidP="005366A8">
      <w:pPr>
        <w:jc w:val="right"/>
        <w:rPr>
          <w:b/>
          <w:bCs/>
          <w:i/>
          <w:iCs/>
          <w:sz w:val="22"/>
          <w:szCs w:val="22"/>
          <w:u w:val="single"/>
          <w:rtl/>
        </w:rPr>
      </w:pPr>
      <w:r w:rsidRPr="007F6E4F">
        <w:rPr>
          <w:rFonts w:hint="cs"/>
          <w:b/>
          <w:bCs/>
          <w:sz w:val="22"/>
          <w:szCs w:val="22"/>
          <w:rtl/>
        </w:rPr>
        <w:t>משפט ציבורי</w:t>
      </w:r>
      <w:r>
        <w:rPr>
          <w:rFonts w:hint="cs"/>
          <w:sz w:val="22"/>
          <w:szCs w:val="22"/>
          <w:rtl/>
        </w:rPr>
        <w:t xml:space="preserve">, </w:t>
      </w:r>
      <w:r w:rsidRPr="00C4131E">
        <w:rPr>
          <w:rFonts w:hint="cs"/>
          <w:i/>
          <w:iCs/>
          <w:sz w:val="22"/>
          <w:szCs w:val="22"/>
          <w:rtl/>
        </w:rPr>
        <w:t>תשע</w:t>
      </w:r>
      <w:r>
        <w:rPr>
          <w:rFonts w:hint="cs"/>
          <w:i/>
          <w:iCs/>
          <w:sz w:val="22"/>
          <w:szCs w:val="22"/>
          <w:rtl/>
        </w:rPr>
        <w:t>"ה</w:t>
      </w:r>
      <w:r>
        <w:rPr>
          <w:rFonts w:hint="cs"/>
          <w:sz w:val="22"/>
          <w:szCs w:val="22"/>
          <w:rtl/>
        </w:rPr>
        <w:t xml:space="preserve">, </w:t>
      </w:r>
      <w:r w:rsidRPr="007F6E4F">
        <w:rPr>
          <w:rFonts w:hint="cs"/>
          <w:b/>
          <w:bCs/>
          <w:sz w:val="22"/>
          <w:szCs w:val="22"/>
          <w:rtl/>
        </w:rPr>
        <w:t>סמסטר א',</w:t>
      </w:r>
      <w:r>
        <w:rPr>
          <w:rFonts w:hint="cs"/>
          <w:sz w:val="22"/>
          <w:szCs w:val="22"/>
          <w:rtl/>
        </w:rPr>
        <w:t xml:space="preserve"> ד"ר אילן סבן, נובמבר 2014, </w:t>
      </w:r>
      <w:r w:rsidRPr="005366A8">
        <w:rPr>
          <w:rFonts w:hint="cs"/>
          <w:b/>
          <w:bCs/>
          <w:i/>
          <w:iCs/>
          <w:sz w:val="22"/>
          <w:szCs w:val="22"/>
          <w:highlight w:val="magenta"/>
          <w:u w:val="single"/>
          <w:rtl/>
        </w:rPr>
        <w:t>פגישה 8</w:t>
      </w:r>
    </w:p>
    <w:p w:rsidR="005366A8" w:rsidRDefault="005366A8" w:rsidP="005366A8">
      <w:pPr>
        <w:rPr>
          <w:sz w:val="22"/>
          <w:szCs w:val="22"/>
          <w:rtl/>
        </w:rPr>
      </w:pPr>
    </w:p>
    <w:p w:rsidR="005366A8" w:rsidRPr="00BE48D5" w:rsidRDefault="005366A8" w:rsidP="005366A8">
      <w:pPr>
        <w:spacing w:after="120"/>
        <w:rPr>
          <w:rFonts w:cs="Guttman-Soncino"/>
          <w:rtl/>
        </w:rPr>
      </w:pPr>
      <w:r w:rsidRPr="00BE48D5">
        <w:rPr>
          <w:rFonts w:cs="Guttman-Soncino" w:hint="cs"/>
          <w:rtl/>
        </w:rPr>
        <w:t>סיום נושא "החוקה המהותית"</w:t>
      </w:r>
    </w:p>
    <w:p w:rsidR="005366A8" w:rsidRPr="00BE48D5" w:rsidRDefault="005366A8" w:rsidP="005366A8">
      <w:pPr>
        <w:rPr>
          <w:b/>
          <w:bCs/>
          <w:sz w:val="22"/>
          <w:szCs w:val="22"/>
          <w:rtl/>
        </w:rPr>
      </w:pPr>
      <w:r w:rsidRPr="00BE48D5">
        <w:rPr>
          <w:rFonts w:hint="cs"/>
          <w:sz w:val="22"/>
          <w:szCs w:val="22"/>
          <w:rtl/>
        </w:rPr>
        <w:t>פס"ד</w:t>
      </w:r>
      <w:r>
        <w:rPr>
          <w:rFonts w:hint="cs"/>
          <w:b/>
          <w:bCs/>
          <w:sz w:val="22"/>
          <w:szCs w:val="22"/>
          <w:rtl/>
        </w:rPr>
        <w:t xml:space="preserve"> </w:t>
      </w:r>
      <w:r w:rsidRPr="00BE48D5">
        <w:rPr>
          <w:rFonts w:hint="cs"/>
          <w:b/>
          <w:bCs/>
          <w:sz w:val="22"/>
          <w:szCs w:val="22"/>
          <w:rtl/>
        </w:rPr>
        <w:t>קעדאן</w:t>
      </w:r>
    </w:p>
    <w:p w:rsidR="005366A8" w:rsidRDefault="005366A8" w:rsidP="005366A8">
      <w:pPr>
        <w:rPr>
          <w:sz w:val="22"/>
          <w:szCs w:val="22"/>
          <w:rtl/>
        </w:rPr>
      </w:pPr>
    </w:p>
    <w:p w:rsidR="005366A8" w:rsidRDefault="005366A8" w:rsidP="005366A8">
      <w:pPr>
        <w:rPr>
          <w:rFonts w:cs="David"/>
          <w:b/>
          <w:bCs/>
          <w:sz w:val="20"/>
          <w:szCs w:val="20"/>
          <w:rtl/>
        </w:rPr>
      </w:pPr>
      <w:r>
        <w:rPr>
          <w:rFonts w:cs="David" w:hint="cs"/>
          <w:b/>
          <w:bCs/>
          <w:sz w:val="20"/>
          <w:szCs w:val="20"/>
          <w:rtl/>
        </w:rPr>
        <w:t xml:space="preserve">[מתוך דפי פגישה 6] </w:t>
      </w:r>
    </w:p>
    <w:p w:rsidR="005366A8" w:rsidRDefault="005366A8" w:rsidP="005366A8">
      <w:pPr>
        <w:rPr>
          <w:rFonts w:cs="David"/>
          <w:b/>
          <w:bCs/>
          <w:sz w:val="20"/>
          <w:szCs w:val="20"/>
          <w:rtl/>
        </w:rPr>
      </w:pPr>
    </w:p>
    <w:p w:rsidR="005366A8" w:rsidRPr="00247A04" w:rsidRDefault="005366A8" w:rsidP="005366A8">
      <w:pPr>
        <w:spacing w:after="120"/>
        <w:rPr>
          <w:rFonts w:cs="David"/>
          <w:b/>
          <w:bCs/>
          <w:sz w:val="20"/>
          <w:szCs w:val="20"/>
          <w:rtl/>
        </w:rPr>
      </w:pPr>
      <w:r>
        <w:rPr>
          <w:rFonts w:cs="David" w:hint="cs"/>
          <w:b/>
          <w:bCs/>
          <w:sz w:val="20"/>
          <w:szCs w:val="20"/>
          <w:rtl/>
        </w:rPr>
        <w:t>מייד בסמוך לפסק הדין:</w:t>
      </w:r>
    </w:p>
    <w:p w:rsidR="005366A8" w:rsidRPr="007A1F0A" w:rsidRDefault="005366A8" w:rsidP="005366A8">
      <w:pPr>
        <w:rPr>
          <w:rFonts w:cs="FrankRuehl"/>
          <w:sz w:val="26"/>
        </w:rPr>
      </w:pPr>
      <w:r w:rsidRPr="007A1F0A">
        <w:rPr>
          <w:rFonts w:cs="FrankRuehl" w:hint="cs"/>
          <w:sz w:val="26"/>
          <w:rtl/>
        </w:rPr>
        <w:t xml:space="preserve">לאגודה לזכויות האזרח </w:t>
      </w:r>
      <w:r>
        <w:rPr>
          <w:rFonts w:cs="FrankRuehl" w:hint="cs"/>
          <w:sz w:val="26"/>
          <w:rtl/>
        </w:rPr>
        <w:t>'</w:t>
      </w:r>
      <w:r w:rsidRPr="007A1F0A">
        <w:rPr>
          <w:rFonts w:cs="FrankRuehl" w:hint="cs"/>
          <w:sz w:val="26"/>
          <w:rtl/>
        </w:rPr>
        <w:t>התגלגל</w:t>
      </w:r>
      <w:r>
        <w:rPr>
          <w:rFonts w:cs="FrankRuehl" w:hint="cs"/>
          <w:sz w:val="26"/>
          <w:rtl/>
        </w:rPr>
        <w:t>'</w:t>
      </w:r>
      <w:r w:rsidRPr="007A1F0A">
        <w:rPr>
          <w:rFonts w:cs="FrankRuehl" w:hint="cs"/>
          <w:sz w:val="26"/>
          <w:rtl/>
        </w:rPr>
        <w:t xml:space="preserve"> מסמך פנימי של הסוכנות היהודית שנערך זמן קצר לאחר מתן פסק הדין.  מופיע בו סיכום, שהועלה על הכתב, ובו מותוות דרך לעקוף ולעקר מתוכן את פסיקת בית המשפט.  המסמך מיום 29.6.</w:t>
      </w:r>
      <w:r>
        <w:rPr>
          <w:rFonts w:cs="FrankRuehl" w:hint="cs"/>
          <w:sz w:val="26"/>
          <w:rtl/>
        </w:rPr>
        <w:t>20</w:t>
      </w:r>
      <w:r w:rsidRPr="007A1F0A">
        <w:rPr>
          <w:rFonts w:cs="FrankRuehl" w:hint="cs"/>
          <w:sz w:val="26"/>
          <w:rtl/>
        </w:rPr>
        <w:t>00 (דהיינו שלושה וחצי חודשים לאחר מתן פסה"ד) כולל מסקנות של צוות של הסוכנות, שדן בהשלכותיו של פסק הדין. המסמך נכתב על ידי דן בריר, חבר הצוות, וזה עיקרו:</w:t>
      </w:r>
    </w:p>
    <w:p w:rsidR="005366A8" w:rsidRPr="00804D42" w:rsidRDefault="005366A8" w:rsidP="005366A8">
      <w:pPr>
        <w:ind w:left="584"/>
        <w:rPr>
          <w:rFonts w:cs="David"/>
          <w:sz w:val="20"/>
          <w:szCs w:val="20"/>
          <w:highlight w:val="yellow"/>
          <w:rtl/>
        </w:rPr>
      </w:pPr>
      <w:r w:rsidRPr="00804D42">
        <w:rPr>
          <w:rFonts w:cs="David" w:hint="cs"/>
          <w:sz w:val="20"/>
          <w:szCs w:val="20"/>
          <w:highlight w:val="yellow"/>
          <w:rtl/>
        </w:rPr>
        <w:t xml:space="preserve">"מסקנות: </w:t>
      </w:r>
    </w:p>
    <w:p w:rsidR="005366A8" w:rsidRPr="00804D42" w:rsidRDefault="005366A8" w:rsidP="000B7168">
      <w:pPr>
        <w:numPr>
          <w:ilvl w:val="1"/>
          <w:numId w:val="7"/>
        </w:numPr>
        <w:tabs>
          <w:tab w:val="clear" w:pos="1440"/>
          <w:tab w:val="num" w:pos="944"/>
        </w:tabs>
        <w:ind w:left="944" w:right="0"/>
        <w:rPr>
          <w:rFonts w:cs="David"/>
          <w:sz w:val="20"/>
          <w:szCs w:val="20"/>
          <w:highlight w:val="yellow"/>
          <w:rtl/>
        </w:rPr>
      </w:pPr>
      <w:r w:rsidRPr="00804D42">
        <w:rPr>
          <w:rFonts w:cs="David" w:hint="cs"/>
          <w:sz w:val="20"/>
          <w:szCs w:val="20"/>
          <w:highlight w:val="yellow"/>
          <w:rtl/>
        </w:rPr>
        <w:t>פסק דין קציר כמעט ולא מותיר "חורים" שמאפשרים מיון תושבים ללא אפליה.</w:t>
      </w:r>
    </w:p>
    <w:p w:rsidR="005366A8" w:rsidRPr="00804D42" w:rsidRDefault="005366A8" w:rsidP="000B7168">
      <w:pPr>
        <w:numPr>
          <w:ilvl w:val="1"/>
          <w:numId w:val="7"/>
        </w:numPr>
        <w:tabs>
          <w:tab w:val="clear" w:pos="1440"/>
          <w:tab w:val="num" w:pos="944"/>
        </w:tabs>
        <w:ind w:left="944" w:right="0"/>
        <w:rPr>
          <w:rFonts w:cs="David"/>
          <w:sz w:val="20"/>
          <w:szCs w:val="20"/>
          <w:highlight w:val="yellow"/>
          <w:rtl/>
        </w:rPr>
      </w:pPr>
      <w:r w:rsidRPr="00804D42">
        <w:rPr>
          <w:rFonts w:cs="David" w:hint="cs"/>
          <w:sz w:val="20"/>
          <w:szCs w:val="20"/>
          <w:highlight w:val="yellow"/>
          <w:rtl/>
        </w:rPr>
        <w:t>האפשרות של מיון באמצעות "אגודה" מצטיירת כבעייתית.</w:t>
      </w:r>
    </w:p>
    <w:p w:rsidR="005366A8" w:rsidRPr="00804D42" w:rsidRDefault="005366A8" w:rsidP="000B7168">
      <w:pPr>
        <w:numPr>
          <w:ilvl w:val="1"/>
          <w:numId w:val="7"/>
        </w:numPr>
        <w:tabs>
          <w:tab w:val="clear" w:pos="1440"/>
          <w:tab w:val="num" w:pos="944"/>
        </w:tabs>
        <w:ind w:left="944" w:right="0"/>
        <w:rPr>
          <w:rFonts w:cs="David"/>
          <w:sz w:val="20"/>
          <w:szCs w:val="20"/>
          <w:highlight w:val="yellow"/>
          <w:rtl/>
        </w:rPr>
      </w:pPr>
      <w:r w:rsidRPr="00804D42">
        <w:rPr>
          <w:rFonts w:cs="David" w:hint="cs"/>
          <w:sz w:val="20"/>
          <w:szCs w:val="20"/>
          <w:highlight w:val="yellow"/>
          <w:rtl/>
        </w:rPr>
        <w:t>הגדרות של קריטריונים למיון מתיישבים בתנאים הנ"ל נראות מאוד בעייתיות.</w:t>
      </w:r>
    </w:p>
    <w:p w:rsidR="005366A8" w:rsidRPr="00804D42" w:rsidRDefault="005366A8" w:rsidP="000B7168">
      <w:pPr>
        <w:numPr>
          <w:ilvl w:val="1"/>
          <w:numId w:val="7"/>
        </w:numPr>
        <w:tabs>
          <w:tab w:val="clear" w:pos="1440"/>
          <w:tab w:val="num" w:pos="944"/>
        </w:tabs>
        <w:ind w:left="944" w:right="0"/>
        <w:rPr>
          <w:rFonts w:cs="David"/>
          <w:sz w:val="20"/>
          <w:szCs w:val="20"/>
          <w:highlight w:val="yellow"/>
          <w:rtl/>
        </w:rPr>
      </w:pPr>
      <w:r w:rsidRPr="00804D42">
        <w:rPr>
          <w:rFonts w:cs="David" w:hint="cs"/>
          <w:sz w:val="20"/>
          <w:szCs w:val="20"/>
          <w:highlight w:val="yellow"/>
          <w:rtl/>
        </w:rPr>
        <w:t>מהלכי מיון עפ"י קריטריונים שיקבעו על ידנו (ישוב לאומנים, ישוב לעולים, ישוב ל"ירוקים" וכו') עשויים להתפרש כהתחכמות שבאה לעקוף את בג"צ.</w:t>
      </w:r>
    </w:p>
    <w:p w:rsidR="005366A8" w:rsidRPr="00804D42" w:rsidRDefault="005366A8" w:rsidP="000B7168">
      <w:pPr>
        <w:numPr>
          <w:ilvl w:val="1"/>
          <w:numId w:val="7"/>
        </w:numPr>
        <w:tabs>
          <w:tab w:val="clear" w:pos="1440"/>
          <w:tab w:val="num" w:pos="944"/>
        </w:tabs>
        <w:ind w:left="944" w:right="0"/>
        <w:rPr>
          <w:rFonts w:cs="David"/>
          <w:sz w:val="20"/>
          <w:szCs w:val="20"/>
          <w:highlight w:val="yellow"/>
          <w:rtl/>
        </w:rPr>
      </w:pPr>
      <w:r w:rsidRPr="00804D42">
        <w:rPr>
          <w:rFonts w:cs="David" w:hint="cs"/>
          <w:sz w:val="20"/>
          <w:szCs w:val="20"/>
          <w:highlight w:val="yellow"/>
          <w:rtl/>
        </w:rPr>
        <w:t>מהלכים פוליטיים לשינוי החוק עשויים שלא לעמוד במבחן "חוקי היסוד".</w:t>
      </w:r>
    </w:p>
    <w:p w:rsidR="005366A8" w:rsidRPr="00804D42" w:rsidRDefault="005366A8" w:rsidP="000B7168">
      <w:pPr>
        <w:numPr>
          <w:ilvl w:val="1"/>
          <w:numId w:val="7"/>
        </w:numPr>
        <w:tabs>
          <w:tab w:val="clear" w:pos="1440"/>
          <w:tab w:val="num" w:pos="944"/>
        </w:tabs>
        <w:spacing w:after="120"/>
        <w:ind w:left="941" w:right="0" w:hanging="357"/>
        <w:rPr>
          <w:rFonts w:cs="David"/>
          <w:sz w:val="20"/>
          <w:szCs w:val="20"/>
          <w:highlight w:val="yellow"/>
        </w:rPr>
      </w:pPr>
      <w:r w:rsidRPr="00804D42">
        <w:rPr>
          <w:rFonts w:cs="David" w:hint="cs"/>
          <w:sz w:val="20"/>
          <w:szCs w:val="20"/>
          <w:highlight w:val="yellow"/>
          <w:rtl/>
        </w:rPr>
        <w:t xml:space="preserve">לאור הנ"ל, </w:t>
      </w:r>
      <w:r w:rsidRPr="00804D42">
        <w:rPr>
          <w:rFonts w:cs="David" w:hint="cs"/>
          <w:b/>
          <w:bCs/>
          <w:sz w:val="20"/>
          <w:szCs w:val="20"/>
          <w:highlight w:val="yellow"/>
          <w:rtl/>
        </w:rPr>
        <w:t>נראה שדרך הפעולה הנכונה היא: לא לעשות רעשים במערכת ולהמשיך לעשות את מה שעושים</w:t>
      </w:r>
      <w:r w:rsidRPr="00804D42">
        <w:rPr>
          <w:rFonts w:cs="David" w:hint="cs"/>
          <w:sz w:val="20"/>
          <w:szCs w:val="20"/>
          <w:highlight w:val="yellow"/>
          <w:rtl/>
        </w:rPr>
        <w:t xml:space="preserve">". </w:t>
      </w:r>
    </w:p>
    <w:p w:rsidR="005366A8" w:rsidRPr="00804D42" w:rsidRDefault="005366A8" w:rsidP="005366A8">
      <w:pPr>
        <w:jc w:val="center"/>
        <w:rPr>
          <w:rFonts w:cs="David"/>
          <w:sz w:val="20"/>
          <w:szCs w:val="20"/>
          <w:rtl/>
        </w:rPr>
      </w:pPr>
      <w:r w:rsidRPr="00804D42">
        <w:rPr>
          <w:rFonts w:cs="David" w:hint="cs"/>
          <w:sz w:val="20"/>
          <w:szCs w:val="20"/>
          <w:highlight w:val="yellow"/>
          <w:rtl/>
        </w:rPr>
        <w:t xml:space="preserve">(ההדגשה </w:t>
      </w:r>
      <w:r>
        <w:rPr>
          <w:rFonts w:cs="David" w:hint="cs"/>
          <w:sz w:val="20"/>
          <w:szCs w:val="20"/>
          <w:highlight w:val="yellow"/>
          <w:rtl/>
        </w:rPr>
        <w:t>הוספה</w:t>
      </w:r>
      <w:r w:rsidRPr="00804D42">
        <w:rPr>
          <w:rFonts w:cs="David" w:hint="cs"/>
          <w:sz w:val="20"/>
          <w:szCs w:val="20"/>
          <w:highlight w:val="yellow"/>
          <w:rtl/>
        </w:rPr>
        <w:t xml:space="preserve">, המסמך צורף לעתירת-המשך בעניין קעדאן </w:t>
      </w:r>
      <w:r w:rsidRPr="00804D42">
        <w:rPr>
          <w:rFonts w:cs="David"/>
          <w:sz w:val="20"/>
          <w:szCs w:val="20"/>
          <w:highlight w:val="yellow"/>
          <w:rtl/>
        </w:rPr>
        <w:t>–</w:t>
      </w:r>
      <w:r w:rsidRPr="00804D42">
        <w:rPr>
          <w:rFonts w:cs="David" w:hint="cs"/>
          <w:sz w:val="20"/>
          <w:szCs w:val="20"/>
          <w:highlight w:val="yellow"/>
          <w:rtl/>
        </w:rPr>
        <w:t xml:space="preserve"> בג"צ 8060/03).</w:t>
      </w:r>
    </w:p>
    <w:p w:rsidR="005366A8" w:rsidRDefault="005366A8" w:rsidP="005366A8">
      <w:pPr>
        <w:rPr>
          <w:sz w:val="20"/>
          <w:szCs w:val="20"/>
          <w:rtl/>
        </w:rPr>
      </w:pPr>
    </w:p>
    <w:p w:rsidR="005366A8" w:rsidRDefault="005366A8" w:rsidP="005366A8">
      <w:pPr>
        <w:rPr>
          <w:sz w:val="20"/>
          <w:szCs w:val="20"/>
          <w:rtl/>
        </w:rPr>
      </w:pPr>
      <w:r w:rsidRPr="009172BA">
        <w:rPr>
          <w:rFonts w:hint="cs"/>
          <w:sz w:val="20"/>
          <w:szCs w:val="20"/>
          <w:rtl/>
        </w:rPr>
        <w:t>=-=</w:t>
      </w:r>
    </w:p>
    <w:p w:rsidR="005366A8" w:rsidRPr="00247A04" w:rsidRDefault="005366A8" w:rsidP="005366A8">
      <w:pPr>
        <w:rPr>
          <w:rFonts w:cs="David"/>
          <w:b/>
          <w:bCs/>
          <w:sz w:val="20"/>
          <w:szCs w:val="20"/>
          <w:rtl/>
        </w:rPr>
      </w:pPr>
      <w:r>
        <w:rPr>
          <w:rFonts w:cs="David" w:hint="cs"/>
          <w:b/>
          <w:bCs/>
          <w:sz w:val="20"/>
          <w:szCs w:val="20"/>
          <w:rtl/>
        </w:rPr>
        <w:t>11 שנים לאחר פסק הדין:</w:t>
      </w:r>
    </w:p>
    <w:p w:rsidR="005366A8" w:rsidRPr="00D834E1" w:rsidRDefault="005366A8" w:rsidP="005366A8">
      <w:pPr>
        <w:pStyle w:val="HeadHatzaotHok"/>
        <w:spacing w:before="0" w:line="240" w:lineRule="auto"/>
        <w:ind w:right="-28"/>
        <w:rPr>
          <w:rFonts w:cs="David"/>
          <w:szCs w:val="20"/>
          <w:rtl/>
        </w:rPr>
      </w:pPr>
      <w:r w:rsidRPr="00C82C8C">
        <w:rPr>
          <w:rStyle w:val="HeadHatzaotHok0"/>
          <w:rFonts w:cs="David"/>
          <w:szCs w:val="20"/>
          <w:rtl/>
        </w:rPr>
        <w:t xml:space="preserve">חוק </w:t>
      </w:r>
      <w:r w:rsidRPr="00C82C8C">
        <w:rPr>
          <w:rFonts w:cs="David"/>
          <w:szCs w:val="20"/>
          <w:highlight w:val="yellow"/>
          <w:rtl/>
        </w:rPr>
        <w:t>לתיקון פקודת האגודות השיתופיות (מס' 8), התשע"א–2011</w:t>
      </w:r>
    </w:p>
    <w:p w:rsidR="005366A8" w:rsidRPr="00D834E1" w:rsidRDefault="005366A8" w:rsidP="005366A8">
      <w:pPr>
        <w:rPr>
          <w:rFonts w:cs="David"/>
          <w:sz w:val="20"/>
          <w:szCs w:val="20"/>
          <w:rtl/>
        </w:rPr>
      </w:pPr>
    </w:p>
    <w:p w:rsidR="005366A8" w:rsidRDefault="005366A8" w:rsidP="005366A8">
      <w:pPr>
        <w:rPr>
          <w:sz w:val="22"/>
          <w:szCs w:val="22"/>
          <w:rtl/>
        </w:rPr>
      </w:pPr>
      <w:r>
        <w:rPr>
          <w:rFonts w:hint="cs"/>
          <w:sz w:val="22"/>
          <w:szCs w:val="22"/>
          <w:rtl/>
        </w:rPr>
        <w:t>...</w:t>
      </w:r>
    </w:p>
    <w:p w:rsidR="005366A8" w:rsidRDefault="005366A8" w:rsidP="005366A8">
      <w:pPr>
        <w:rPr>
          <w:sz w:val="22"/>
          <w:szCs w:val="22"/>
          <w:rtl/>
        </w:rPr>
      </w:pPr>
      <w:r>
        <w:rPr>
          <w:rFonts w:hint="cs"/>
          <w:sz w:val="22"/>
          <w:szCs w:val="22"/>
          <w:rtl/>
        </w:rPr>
        <w:t>=-=</w:t>
      </w:r>
    </w:p>
    <w:p w:rsidR="005366A8" w:rsidRPr="00012C2E" w:rsidRDefault="005366A8" w:rsidP="005366A8">
      <w:pPr>
        <w:spacing w:after="60"/>
        <w:rPr>
          <w:b/>
          <w:bCs/>
          <w:sz w:val="20"/>
          <w:szCs w:val="20"/>
          <w:rtl/>
        </w:rPr>
      </w:pPr>
      <w:r>
        <w:rPr>
          <w:rFonts w:hint="cs"/>
          <w:b/>
          <w:bCs/>
          <w:sz w:val="20"/>
          <w:szCs w:val="20"/>
          <w:rtl/>
        </w:rPr>
        <w:t xml:space="preserve">14 שנים לאחר קעדאן: </w:t>
      </w:r>
      <w:r w:rsidRPr="00012C2E">
        <w:rPr>
          <w:rFonts w:hint="cs"/>
          <w:b/>
          <w:bCs/>
          <w:sz w:val="20"/>
          <w:szCs w:val="20"/>
          <w:rtl/>
        </w:rPr>
        <w:t>החלטת בית המשפט העליון בעתירות</w:t>
      </w:r>
      <w:r>
        <w:rPr>
          <w:rFonts w:hint="cs"/>
          <w:b/>
          <w:bCs/>
          <w:sz w:val="20"/>
          <w:szCs w:val="20"/>
          <w:rtl/>
        </w:rPr>
        <w:t xml:space="preserve"> התיקון לפקודת האגודות השיתופיות.</w:t>
      </w:r>
    </w:p>
    <w:p w:rsidR="005366A8" w:rsidRPr="00287910" w:rsidRDefault="005366A8" w:rsidP="005366A8">
      <w:pPr>
        <w:spacing w:after="60"/>
        <w:rPr>
          <w:sz w:val="20"/>
          <w:szCs w:val="20"/>
          <w:rtl/>
        </w:rPr>
      </w:pPr>
    </w:p>
    <w:p w:rsidR="005366A8" w:rsidRPr="00012C2E" w:rsidRDefault="005366A8" w:rsidP="005366A8">
      <w:pPr>
        <w:spacing w:after="60"/>
        <w:rPr>
          <w:b/>
          <w:bCs/>
        </w:rPr>
      </w:pPr>
      <w:r w:rsidRPr="00012C2E">
        <w:rPr>
          <w:b/>
          <w:bCs/>
          <w:highlight w:val="yellow"/>
          <w:rtl/>
        </w:rPr>
        <w:t>ברוב דחוק: בג"ץ אישר לקיים ועדות קבלה ביישובים קהילתיים</w:t>
      </w:r>
    </w:p>
    <w:p w:rsidR="005366A8" w:rsidRPr="00287910" w:rsidRDefault="005366A8" w:rsidP="005366A8">
      <w:pPr>
        <w:spacing w:after="60"/>
        <w:rPr>
          <w:b/>
          <w:bCs/>
          <w:sz w:val="20"/>
          <w:szCs w:val="20"/>
        </w:rPr>
      </w:pPr>
      <w:r w:rsidRPr="00287910">
        <w:rPr>
          <w:b/>
          <w:bCs/>
          <w:sz w:val="20"/>
          <w:szCs w:val="20"/>
          <w:rtl/>
        </w:rPr>
        <w:t>שורה של ארגוני זכויות אדם עתרו נגד חוק ועדות הקבלה בטענה כי הוא מאפשר אפליה; 5 מתוך 9 שופטים דחו את העתירות בטענה כי אינן בשלות</w:t>
      </w:r>
    </w:p>
    <w:p w:rsidR="005366A8" w:rsidRPr="00287910" w:rsidRDefault="005366A8" w:rsidP="000B7168">
      <w:pPr>
        <w:numPr>
          <w:ilvl w:val="0"/>
          <w:numId w:val="9"/>
        </w:numPr>
        <w:spacing w:after="60"/>
        <w:ind w:left="1440"/>
        <w:jc w:val="left"/>
        <w:rPr>
          <w:sz w:val="20"/>
          <w:szCs w:val="20"/>
        </w:rPr>
      </w:pPr>
      <w:r>
        <w:rPr>
          <w:rFonts w:hint="cs"/>
          <w:b/>
          <w:bCs/>
          <w:sz w:val="20"/>
          <w:szCs w:val="20"/>
          <w:u w:val="single"/>
          <w:rtl/>
        </w:rPr>
        <w:t xml:space="preserve">הארץ, </w:t>
      </w:r>
      <w:hyperlink r:id="rId78" w:history="1">
        <w:r w:rsidRPr="00287910">
          <w:rPr>
            <w:rStyle w:val="Hyperlink"/>
            <w:b/>
            <w:bCs/>
            <w:sz w:val="20"/>
            <w:szCs w:val="20"/>
            <w:rtl/>
          </w:rPr>
          <w:t>רויטל חובל</w:t>
        </w:r>
      </w:hyperlink>
      <w:r w:rsidRPr="00287910">
        <w:rPr>
          <w:b/>
          <w:bCs/>
          <w:sz w:val="20"/>
          <w:szCs w:val="20"/>
          <w:u w:val="single"/>
        </w:rPr>
        <w:t xml:space="preserve">, </w:t>
      </w:r>
      <w:hyperlink r:id="rId79" w:history="1">
        <w:r w:rsidRPr="00287910">
          <w:rPr>
            <w:rStyle w:val="Hyperlink"/>
            <w:b/>
            <w:bCs/>
            <w:sz w:val="20"/>
            <w:szCs w:val="20"/>
            <w:rtl/>
          </w:rPr>
          <w:t>ג'קי חורי</w:t>
        </w:r>
      </w:hyperlink>
    </w:p>
    <w:p w:rsidR="005366A8" w:rsidRPr="00287910" w:rsidRDefault="005366A8" w:rsidP="000B7168">
      <w:pPr>
        <w:numPr>
          <w:ilvl w:val="0"/>
          <w:numId w:val="9"/>
        </w:numPr>
        <w:spacing w:after="60"/>
        <w:ind w:left="1440"/>
        <w:jc w:val="left"/>
        <w:rPr>
          <w:sz w:val="20"/>
          <w:szCs w:val="20"/>
        </w:rPr>
      </w:pPr>
      <w:r w:rsidRPr="00287910">
        <w:rPr>
          <w:sz w:val="20"/>
          <w:szCs w:val="20"/>
        </w:rPr>
        <w:t>17.09.2014</w:t>
      </w:r>
    </w:p>
    <w:p w:rsidR="005366A8" w:rsidRPr="00287910" w:rsidRDefault="005366A8" w:rsidP="005366A8">
      <w:pPr>
        <w:spacing w:after="60"/>
        <w:rPr>
          <w:sz w:val="20"/>
          <w:szCs w:val="20"/>
        </w:rPr>
      </w:pPr>
      <w:r w:rsidRPr="00287910">
        <w:rPr>
          <w:sz w:val="20"/>
          <w:szCs w:val="20"/>
          <w:rtl/>
        </w:rPr>
        <w:t>בג"ץ דחה היום (רביעי) את העתירות נגד</w:t>
      </w:r>
      <w:r w:rsidRPr="00287910">
        <w:rPr>
          <w:sz w:val="20"/>
          <w:szCs w:val="20"/>
        </w:rPr>
        <w:t> </w:t>
      </w:r>
      <w:hyperlink r:id="rId80" w:history="1">
        <w:r w:rsidRPr="00287910">
          <w:rPr>
            <w:rStyle w:val="Hyperlink"/>
            <w:sz w:val="20"/>
            <w:szCs w:val="20"/>
          </w:rPr>
          <w:t>"</w:t>
        </w:r>
        <w:r w:rsidRPr="00287910">
          <w:rPr>
            <w:rStyle w:val="Hyperlink"/>
            <w:sz w:val="20"/>
            <w:szCs w:val="20"/>
            <w:rtl/>
          </w:rPr>
          <w:t>חוק ועדות הקבלה</w:t>
        </w:r>
        <w:r w:rsidRPr="00287910">
          <w:rPr>
            <w:rStyle w:val="Hyperlink"/>
            <w:sz w:val="20"/>
            <w:szCs w:val="20"/>
          </w:rPr>
          <w:t>"</w:t>
        </w:r>
      </w:hyperlink>
      <w:r w:rsidRPr="00287910">
        <w:rPr>
          <w:sz w:val="20"/>
          <w:szCs w:val="20"/>
        </w:rPr>
        <w:t xml:space="preserve">. </w:t>
      </w:r>
      <w:r w:rsidRPr="00287910">
        <w:rPr>
          <w:sz w:val="20"/>
          <w:szCs w:val="20"/>
          <w:rtl/>
        </w:rPr>
        <w:t>בית הדין, שדן</w:t>
      </w:r>
      <w:r w:rsidRPr="00287910">
        <w:rPr>
          <w:sz w:val="20"/>
          <w:szCs w:val="20"/>
        </w:rPr>
        <w:t> </w:t>
      </w:r>
      <w:r w:rsidRPr="00287910">
        <w:rPr>
          <w:sz w:val="20"/>
          <w:szCs w:val="20"/>
          <w:rtl/>
        </w:rPr>
        <w:t xml:space="preserve">בהרכב מורחב של תשעה שופטים בעתירות שהגישו ב-2012 ארגוני זכויות אדם, דחה את העתירות ברוב של חמישה נגד ארבעה שופטים. </w:t>
      </w:r>
      <w:r>
        <w:rPr>
          <w:rFonts w:hint="cs"/>
          <w:sz w:val="20"/>
          <w:szCs w:val="20"/>
          <w:rtl/>
        </w:rPr>
        <w:t>..</w:t>
      </w:r>
      <w:r w:rsidRPr="00287910">
        <w:rPr>
          <w:sz w:val="20"/>
          <w:szCs w:val="20"/>
          <w:rtl/>
        </w:rPr>
        <w:t>. </w:t>
      </w:r>
    </w:p>
    <w:p w:rsidR="005366A8" w:rsidRPr="00287910" w:rsidRDefault="005366A8" w:rsidP="005366A8">
      <w:pPr>
        <w:spacing w:after="60"/>
        <w:rPr>
          <w:sz w:val="20"/>
          <w:szCs w:val="20"/>
        </w:rPr>
      </w:pPr>
      <w:r w:rsidRPr="00CA5487">
        <w:rPr>
          <w:sz w:val="20"/>
          <w:szCs w:val="20"/>
          <w:highlight w:val="yellow"/>
          <w:rtl/>
        </w:rPr>
        <w:t>הנשיא אשר גרוניס, המשנה לנשיא מרים נאור והשופטים אליקים רובינשטיין, אסתר חיות וחנן מלצר תמכו בדחיית העתירות וקבעו כי אינן "בשלות" להכרעה. גרוניס, שכתב את חוות הדעת המרכזית בפסק הדין כתב כי "טרם התברר כיצד החוק ייושם הלכה למעשה" ועל כן לא מדובר בהתחמקות מדיון בעתירה, אלא "שבית המשפט במשאביו המוגבלים לא יעסוק בבירורן של טענות היפותטיות ותיאורטיות</w:t>
      </w:r>
      <w:r w:rsidRPr="00CA5487">
        <w:rPr>
          <w:sz w:val="20"/>
          <w:szCs w:val="20"/>
          <w:highlight w:val="yellow"/>
        </w:rPr>
        <w:t>".</w:t>
      </w:r>
    </w:p>
    <w:p w:rsidR="005366A8" w:rsidRPr="00BE48D5" w:rsidRDefault="005366A8" w:rsidP="005366A8">
      <w:pPr>
        <w:rPr>
          <w:sz w:val="22"/>
          <w:szCs w:val="22"/>
          <w:rtl/>
        </w:rPr>
      </w:pPr>
      <w:r w:rsidRPr="00CA5487">
        <w:rPr>
          <w:sz w:val="20"/>
          <w:szCs w:val="20"/>
          <w:highlight w:val="yellow"/>
          <w:rtl/>
        </w:rPr>
        <w:t>השופטת בדימוס עדנה ארבל והשופטים סלים ג'ובראן ויורם דנציגר סברו שיש להורות על ביטול הסעיפים בחוק שמאפשרים לסרב לקבל מועמד ליישוב אם "המועמד אינו מתאים לחיי חברה בקהילה" ו"חוסר התאמה של המועמד למרקם החברתי- תרבותי של היישוב הקהילתי, שיש יסוד להניח כי יהיה בו כדי לפגוע במרקם זה".</w:t>
      </w:r>
      <w:r w:rsidRPr="00287910">
        <w:rPr>
          <w:sz w:val="20"/>
          <w:szCs w:val="20"/>
          <w:rtl/>
        </w:rPr>
        <w:t xml:space="preserve"> השופט דנציגר כתב כי מדובר ב"הסדר חקיקתי עמום, אשר פותח פתח רחב להכנסת שיקולים בלתי רלוונטיים ולהפליה בפועל". </w:t>
      </w:r>
      <w:r w:rsidRPr="00CA5487">
        <w:rPr>
          <w:sz w:val="20"/>
          <w:szCs w:val="20"/>
          <w:highlight w:val="yellow"/>
          <w:rtl/>
        </w:rPr>
        <w:t xml:space="preserve">השופט ניל הנדל סבר שיש להורות על </w:t>
      </w:r>
      <w:r w:rsidRPr="00CA5487">
        <w:rPr>
          <w:rFonts w:hint="cs"/>
          <w:sz w:val="20"/>
          <w:szCs w:val="20"/>
          <w:highlight w:val="yellow"/>
          <w:rtl/>
        </w:rPr>
        <w:t xml:space="preserve">פסילת </w:t>
      </w:r>
      <w:r w:rsidRPr="00CA5487">
        <w:rPr>
          <w:sz w:val="20"/>
          <w:szCs w:val="20"/>
          <w:highlight w:val="yellow"/>
          <w:rtl/>
        </w:rPr>
        <w:t>הסעיף הקובע את הרכב ועדת הקבלה, המעניק רוב לבני היישוב הקהילתי אליו מבקש המועמד להתקבל ובכך עלולה להיווצר "הפליה בלתי מודעת</w:t>
      </w:r>
      <w:r w:rsidRPr="00287910">
        <w:rPr>
          <w:sz w:val="20"/>
          <w:szCs w:val="20"/>
        </w:rPr>
        <w:t>". </w:t>
      </w:r>
    </w:p>
    <w:p w:rsidR="005366A8" w:rsidRDefault="005366A8" w:rsidP="005366A8">
      <w:pPr>
        <w:rPr>
          <w:sz w:val="22"/>
          <w:szCs w:val="22"/>
          <w:rtl/>
        </w:rPr>
      </w:pPr>
    </w:p>
    <w:p w:rsidR="005366A8" w:rsidRDefault="005366A8" w:rsidP="005366A8">
      <w:pPr>
        <w:rPr>
          <w:sz w:val="22"/>
          <w:szCs w:val="22"/>
          <w:rtl/>
        </w:rPr>
      </w:pPr>
      <w:r>
        <w:rPr>
          <w:rFonts w:hint="cs"/>
          <w:sz w:val="22"/>
          <w:szCs w:val="22"/>
          <w:rtl/>
        </w:rPr>
        <w:t>=-=</w:t>
      </w:r>
    </w:p>
    <w:p w:rsidR="005366A8" w:rsidRDefault="005366A8" w:rsidP="005366A8">
      <w:pPr>
        <w:rPr>
          <w:sz w:val="22"/>
          <w:szCs w:val="22"/>
          <w:rtl/>
        </w:rPr>
      </w:pPr>
    </w:p>
    <w:p w:rsidR="005366A8" w:rsidRDefault="005366A8" w:rsidP="005366A8">
      <w:pPr>
        <w:jc w:val="center"/>
        <w:rPr>
          <w:rFonts w:cs="Guttman-Soncino"/>
          <w:sz w:val="28"/>
          <w:szCs w:val="28"/>
          <w:highlight w:val="yellow"/>
          <w:rtl/>
        </w:rPr>
      </w:pPr>
      <w:r w:rsidRPr="00EC608E">
        <w:rPr>
          <w:rFonts w:cs="Guttman-Soncino"/>
          <w:sz w:val="28"/>
          <w:szCs w:val="28"/>
          <w:highlight w:val="yellow"/>
          <w:rtl/>
        </w:rPr>
        <w:t>חוקה (פורמ</w:t>
      </w:r>
      <w:r w:rsidRPr="00EC608E">
        <w:rPr>
          <w:rFonts w:cs="Guttman-Soncino" w:hint="cs"/>
          <w:sz w:val="28"/>
          <w:szCs w:val="28"/>
          <w:highlight w:val="yellow"/>
          <w:rtl/>
        </w:rPr>
        <w:t>א</w:t>
      </w:r>
      <w:r w:rsidRPr="00EC608E">
        <w:rPr>
          <w:rFonts w:cs="Guttman-Soncino"/>
          <w:sz w:val="28"/>
          <w:szCs w:val="28"/>
          <w:highlight w:val="yellow"/>
          <w:rtl/>
        </w:rPr>
        <w:t>לית) וביקורת שיפוטית חוקתית</w:t>
      </w:r>
      <w:r w:rsidRPr="00EC608E">
        <w:rPr>
          <w:rFonts w:cs="Guttman-Soncino" w:hint="cs"/>
          <w:sz w:val="28"/>
          <w:szCs w:val="28"/>
          <w:highlight w:val="yellow"/>
          <w:rtl/>
        </w:rPr>
        <w:t xml:space="preserve">, </w:t>
      </w:r>
    </w:p>
    <w:p w:rsidR="005366A8" w:rsidRPr="00EC608E" w:rsidRDefault="005366A8" w:rsidP="005366A8">
      <w:pPr>
        <w:jc w:val="center"/>
        <w:rPr>
          <w:rFonts w:cs="Guttman-Soncino"/>
          <w:sz w:val="28"/>
          <w:szCs w:val="28"/>
          <w:highlight w:val="yellow"/>
          <w:rtl/>
        </w:rPr>
      </w:pPr>
      <w:r w:rsidRPr="00EC608E">
        <w:rPr>
          <w:rFonts w:cs="Guttman-Soncino" w:hint="cs"/>
          <w:sz w:val="28"/>
          <w:szCs w:val="28"/>
          <w:highlight w:val="yellow"/>
          <w:rtl/>
        </w:rPr>
        <w:t>ובלשון קיצור "חוּקתיוּת"</w:t>
      </w:r>
      <w:r w:rsidRPr="00EC608E">
        <w:rPr>
          <w:rFonts w:cs="Guttman-Soncino"/>
          <w:sz w:val="28"/>
          <w:szCs w:val="28"/>
          <w:highlight w:val="yellow"/>
          <w:rtl/>
        </w:rPr>
        <w:t xml:space="preserve">: </w:t>
      </w:r>
    </w:p>
    <w:p w:rsidR="005366A8" w:rsidRPr="00AA2914" w:rsidRDefault="005366A8" w:rsidP="005366A8">
      <w:pPr>
        <w:jc w:val="center"/>
        <w:rPr>
          <w:rFonts w:ascii="Arial" w:hAnsi="Arial" w:cs="Arial"/>
          <w:b/>
          <w:bCs/>
          <w:sz w:val="28"/>
          <w:szCs w:val="28"/>
          <w:rtl/>
        </w:rPr>
      </w:pPr>
      <w:r w:rsidRPr="00EC608E">
        <w:rPr>
          <w:rFonts w:cs="Guttman-Soncino"/>
          <w:sz w:val="28"/>
          <w:szCs w:val="28"/>
          <w:highlight w:val="yellow"/>
          <w:rtl/>
        </w:rPr>
        <w:t>טעמים בעד ונגד</w:t>
      </w:r>
    </w:p>
    <w:p w:rsidR="005366A8" w:rsidRDefault="005366A8" w:rsidP="005366A8">
      <w:pPr>
        <w:pStyle w:val="T-body"/>
        <w:spacing w:line="240" w:lineRule="auto"/>
        <w:jc w:val="left"/>
        <w:rPr>
          <w:rFonts w:ascii="Arial" w:hAnsi="Arial" w:cs="Arial"/>
          <w:b/>
          <w:bCs/>
          <w:highlight w:val="yellow"/>
          <w:rtl/>
        </w:rPr>
      </w:pPr>
    </w:p>
    <w:p w:rsidR="005366A8" w:rsidRDefault="005366A8" w:rsidP="005366A8">
      <w:pPr>
        <w:pStyle w:val="T-body"/>
        <w:spacing w:after="60" w:line="240" w:lineRule="auto"/>
        <w:jc w:val="left"/>
        <w:rPr>
          <w:rFonts w:ascii="Arial" w:hAnsi="Arial" w:cs="Arial"/>
          <w:b/>
          <w:bCs/>
          <w:highlight w:val="yellow"/>
          <w:rtl/>
        </w:rPr>
      </w:pPr>
      <w:r>
        <w:rPr>
          <w:rFonts w:ascii="Arial" w:hAnsi="Arial" w:cs="Arial" w:hint="cs"/>
          <w:b/>
          <w:bCs/>
          <w:highlight w:val="yellow"/>
          <w:rtl/>
        </w:rPr>
        <w:t>מאפייניה של חוקה פורמלית</w:t>
      </w:r>
    </w:p>
    <w:p w:rsidR="005366A8" w:rsidRPr="009E0617" w:rsidRDefault="005366A8" w:rsidP="005366A8">
      <w:pPr>
        <w:pStyle w:val="T-body"/>
        <w:spacing w:after="60" w:line="240" w:lineRule="auto"/>
        <w:ind w:left="720"/>
        <w:rPr>
          <w:b/>
          <w:bCs/>
          <w:sz w:val="22"/>
          <w:szCs w:val="22"/>
          <w:rtl/>
        </w:rPr>
      </w:pPr>
      <w:r>
        <w:rPr>
          <w:rFonts w:hint="cs"/>
          <w:b/>
          <w:bCs/>
          <w:sz w:val="22"/>
          <w:szCs w:val="22"/>
          <w:rtl/>
        </w:rPr>
        <w:t xml:space="preserve">א. </w:t>
      </w:r>
      <w:r w:rsidRPr="009E0617">
        <w:rPr>
          <w:rFonts w:hint="cs"/>
          <w:b/>
          <w:bCs/>
          <w:sz w:val="22"/>
          <w:szCs w:val="22"/>
          <w:rtl/>
        </w:rPr>
        <w:t>עליונות</w:t>
      </w:r>
    </w:p>
    <w:p w:rsidR="005366A8" w:rsidRPr="009E0617" w:rsidRDefault="005366A8" w:rsidP="005366A8">
      <w:pPr>
        <w:pStyle w:val="T-body"/>
        <w:spacing w:after="60" w:line="240" w:lineRule="auto"/>
        <w:ind w:left="720"/>
        <w:rPr>
          <w:b/>
          <w:bCs/>
          <w:sz w:val="22"/>
          <w:szCs w:val="22"/>
          <w:rtl/>
        </w:rPr>
      </w:pPr>
      <w:r>
        <w:rPr>
          <w:rFonts w:hint="cs"/>
          <w:b/>
          <w:bCs/>
          <w:sz w:val="22"/>
          <w:szCs w:val="22"/>
          <w:rtl/>
        </w:rPr>
        <w:t xml:space="preserve">ב. </w:t>
      </w:r>
      <w:r w:rsidRPr="009E0617">
        <w:rPr>
          <w:rFonts w:hint="cs"/>
          <w:b/>
          <w:bCs/>
          <w:sz w:val="22"/>
          <w:szCs w:val="22"/>
          <w:rtl/>
        </w:rPr>
        <w:t>נוקשות</w:t>
      </w:r>
      <w:r>
        <w:rPr>
          <w:rFonts w:hint="cs"/>
          <w:b/>
          <w:bCs/>
          <w:sz w:val="22"/>
          <w:szCs w:val="22"/>
          <w:rtl/>
        </w:rPr>
        <w:t xml:space="preserve"> </w:t>
      </w:r>
      <w:r w:rsidRPr="00C91C12">
        <w:rPr>
          <w:rFonts w:hint="cs"/>
          <w:sz w:val="22"/>
          <w:szCs w:val="22"/>
          <w:rtl/>
        </w:rPr>
        <w:t>(</w:t>
      </w:r>
      <w:r>
        <w:rPr>
          <w:rFonts w:hint="cs"/>
          <w:sz w:val="22"/>
          <w:szCs w:val="22"/>
          <w:rtl/>
        </w:rPr>
        <w:t>רצף של אפשרויות: מידת הנוקשות מתגוונת בין מדינות שונות</w:t>
      </w:r>
      <w:r w:rsidRPr="00C91C12">
        <w:rPr>
          <w:rFonts w:hint="cs"/>
          <w:sz w:val="22"/>
          <w:szCs w:val="22"/>
          <w:rtl/>
        </w:rPr>
        <w:t>)</w:t>
      </w:r>
    </w:p>
    <w:p w:rsidR="005366A8" w:rsidRPr="00185C58" w:rsidRDefault="005366A8" w:rsidP="005366A8">
      <w:pPr>
        <w:pStyle w:val="T-body"/>
        <w:spacing w:after="60" w:line="240" w:lineRule="auto"/>
        <w:ind w:left="1440" w:hanging="720"/>
        <w:rPr>
          <w:b/>
          <w:bCs/>
          <w:sz w:val="22"/>
          <w:szCs w:val="22"/>
          <w:rtl/>
        </w:rPr>
      </w:pPr>
      <w:r>
        <w:rPr>
          <w:rFonts w:hint="cs"/>
          <w:b/>
          <w:bCs/>
          <w:sz w:val="22"/>
          <w:szCs w:val="22"/>
          <w:rtl/>
        </w:rPr>
        <w:t xml:space="preserve">ג. ביזור מסוים של הכוח השלטוני: הגדלת הכוח המסוּר לבתי המשפט כפרשניה ושומריה של החוקה </w:t>
      </w:r>
      <w:r w:rsidRPr="00C91C12">
        <w:rPr>
          <w:rFonts w:hint="cs"/>
          <w:sz w:val="22"/>
          <w:szCs w:val="22"/>
          <w:rtl/>
        </w:rPr>
        <w:t>(הסמכות לביקורת שיפוטית חוקתית)</w:t>
      </w:r>
    </w:p>
    <w:p w:rsidR="005366A8" w:rsidRDefault="005366A8" w:rsidP="005366A8">
      <w:pPr>
        <w:pStyle w:val="T-body"/>
        <w:spacing w:after="60" w:line="240" w:lineRule="auto"/>
        <w:jc w:val="center"/>
        <w:rPr>
          <w:szCs w:val="22"/>
          <w:rtl/>
        </w:rPr>
      </w:pPr>
    </w:p>
    <w:p w:rsidR="005366A8" w:rsidRDefault="005366A8" w:rsidP="005366A8">
      <w:pPr>
        <w:spacing w:after="60"/>
        <w:rPr>
          <w:b/>
          <w:bCs/>
          <w:sz w:val="22"/>
          <w:szCs w:val="22"/>
          <w:rtl/>
        </w:rPr>
      </w:pPr>
      <w:r w:rsidRPr="001576C8">
        <w:rPr>
          <w:rFonts w:hint="cs"/>
          <w:b/>
          <w:bCs/>
          <w:sz w:val="22"/>
          <w:szCs w:val="22"/>
          <w:highlight w:val="yellow"/>
          <w:rtl/>
        </w:rPr>
        <w:t xml:space="preserve">הטיעונים בעד ונגד </w:t>
      </w:r>
      <w:r>
        <w:rPr>
          <w:rFonts w:hint="cs"/>
          <w:b/>
          <w:bCs/>
          <w:sz w:val="22"/>
          <w:szCs w:val="22"/>
          <w:highlight w:val="yellow"/>
          <w:rtl/>
        </w:rPr>
        <w:t xml:space="preserve">מפורטים </w:t>
      </w:r>
      <w:r w:rsidRPr="001576C8">
        <w:rPr>
          <w:rFonts w:hint="cs"/>
          <w:b/>
          <w:bCs/>
          <w:sz w:val="22"/>
          <w:szCs w:val="22"/>
          <w:highlight w:val="yellow"/>
          <w:rtl/>
        </w:rPr>
        <w:t>בדפי פגישה 6:</w:t>
      </w:r>
    </w:p>
    <w:p w:rsidR="005366A8" w:rsidRDefault="005366A8" w:rsidP="005366A8">
      <w:pPr>
        <w:spacing w:after="60"/>
        <w:rPr>
          <w:b/>
          <w:bCs/>
          <w:sz w:val="22"/>
          <w:szCs w:val="22"/>
          <w:rtl/>
        </w:rPr>
      </w:pPr>
    </w:p>
    <w:p w:rsidR="005366A8" w:rsidRPr="00195DCD" w:rsidRDefault="005366A8" w:rsidP="005366A8">
      <w:pPr>
        <w:spacing w:after="60"/>
        <w:ind w:left="720"/>
        <w:rPr>
          <w:rFonts w:ascii="Arial" w:hAnsi="Arial" w:cs="Guttman-Soncino"/>
          <w:b/>
          <w:bCs/>
          <w:sz w:val="20"/>
          <w:szCs w:val="20"/>
          <w:rtl/>
        </w:rPr>
      </w:pPr>
      <w:r w:rsidRPr="00195DCD">
        <w:rPr>
          <w:rFonts w:ascii="Arial" w:hAnsi="Arial" w:cs="Guttman-Soncino" w:hint="cs"/>
          <w:b/>
          <w:bCs/>
          <w:sz w:val="20"/>
          <w:szCs w:val="20"/>
          <w:rtl/>
        </w:rPr>
        <w:t>טעמי הנגד</w:t>
      </w:r>
      <w:r>
        <w:rPr>
          <w:rFonts w:ascii="Arial" w:hAnsi="Arial" w:cs="Guttman-Soncino" w:hint="cs"/>
          <w:b/>
          <w:bCs/>
          <w:sz w:val="20"/>
          <w:szCs w:val="20"/>
          <w:rtl/>
        </w:rPr>
        <w:t xml:space="preserve"> לחוקה הפורמאלית</w:t>
      </w:r>
    </w:p>
    <w:p w:rsidR="005366A8" w:rsidRPr="00195DCD" w:rsidRDefault="005366A8" w:rsidP="005366A8">
      <w:pPr>
        <w:spacing w:after="60"/>
        <w:ind w:left="1440"/>
        <w:rPr>
          <w:rFonts w:ascii="Arial" w:hAnsi="Arial" w:cs="Guttman-Soncino"/>
          <w:b/>
          <w:bCs/>
          <w:sz w:val="20"/>
          <w:szCs w:val="20"/>
          <w:highlight w:val="yellow"/>
          <w:rtl/>
        </w:rPr>
      </w:pPr>
      <w:r w:rsidRPr="00195DCD">
        <w:rPr>
          <w:rFonts w:ascii="Arial" w:hAnsi="Arial" w:cs="Guttman-Soncino" w:hint="cs"/>
          <w:b/>
          <w:bCs/>
          <w:sz w:val="20"/>
          <w:szCs w:val="20"/>
          <w:highlight w:val="yellow"/>
          <w:rtl/>
        </w:rPr>
        <w:t>הטיעון הרובני</w:t>
      </w:r>
      <w:r>
        <w:rPr>
          <w:rFonts w:ascii="Arial" w:hAnsi="Arial" w:cs="Guttman-Soncino" w:hint="cs"/>
          <w:b/>
          <w:bCs/>
          <w:sz w:val="20"/>
          <w:szCs w:val="20"/>
          <w:highlight w:val="yellow"/>
          <w:rtl/>
        </w:rPr>
        <w:t>-שוויוני: "קול אחד לכל אחד" והכרעת רוב</w:t>
      </w:r>
    </w:p>
    <w:p w:rsidR="005366A8" w:rsidRPr="00195DCD" w:rsidRDefault="005366A8" w:rsidP="005366A8">
      <w:pPr>
        <w:spacing w:after="60"/>
        <w:ind w:left="2160"/>
        <w:rPr>
          <w:rFonts w:ascii="Arial" w:hAnsi="Arial" w:cs="Guttman-Soncino"/>
          <w:b/>
          <w:bCs/>
          <w:sz w:val="20"/>
          <w:szCs w:val="20"/>
          <w:highlight w:val="yellow"/>
          <w:rtl/>
        </w:rPr>
      </w:pPr>
      <w:r w:rsidRPr="00195DCD">
        <w:rPr>
          <w:rFonts w:ascii="Arial" w:hAnsi="Arial" w:cs="Guttman-Soncino" w:hint="cs"/>
          <w:b/>
          <w:bCs/>
          <w:sz w:val="20"/>
          <w:szCs w:val="20"/>
          <w:highlight w:val="yellow"/>
          <w:rtl/>
        </w:rPr>
        <w:t xml:space="preserve">[+ </w:t>
      </w:r>
      <w:r>
        <w:rPr>
          <w:rFonts w:ascii="Arial" w:hAnsi="Arial" w:cs="Guttman-Soncino" w:hint="cs"/>
          <w:b/>
          <w:bCs/>
          <w:sz w:val="20"/>
          <w:szCs w:val="20"/>
          <w:highlight w:val="yellow"/>
          <w:rtl/>
        </w:rPr>
        <w:t>הטענה חוקה מעניקה כוח-יתר למיעוט (כזה או אחר) ו</w:t>
      </w:r>
      <w:r w:rsidRPr="00195DCD">
        <w:rPr>
          <w:rFonts w:ascii="Arial" w:hAnsi="Arial" w:cs="Guttman-Soncino" w:hint="cs"/>
          <w:b/>
          <w:bCs/>
          <w:sz w:val="20"/>
          <w:szCs w:val="20"/>
          <w:highlight w:val="yellow"/>
          <w:rtl/>
        </w:rPr>
        <w:t>לגורם שלטוני לא-נבחר</w:t>
      </w:r>
      <w:r>
        <w:rPr>
          <w:rFonts w:ascii="Arial" w:hAnsi="Arial" w:cs="Guttman-Soncino" w:hint="cs"/>
          <w:b/>
          <w:bCs/>
          <w:sz w:val="20"/>
          <w:szCs w:val="20"/>
          <w:highlight w:val="yellow"/>
          <w:rtl/>
        </w:rPr>
        <w:t xml:space="preserve"> (הרשות השופטת)</w:t>
      </w:r>
      <w:r w:rsidRPr="00195DCD">
        <w:rPr>
          <w:rFonts w:ascii="Arial" w:hAnsi="Arial" w:cs="Guttman-Soncino" w:hint="cs"/>
          <w:b/>
          <w:bCs/>
          <w:sz w:val="20"/>
          <w:szCs w:val="20"/>
          <w:highlight w:val="yellow"/>
          <w:rtl/>
        </w:rPr>
        <w:t>]</w:t>
      </w:r>
    </w:p>
    <w:p w:rsidR="005366A8" w:rsidRPr="00195DCD" w:rsidRDefault="005366A8" w:rsidP="005366A8">
      <w:pPr>
        <w:spacing w:after="60"/>
        <w:ind w:left="1440"/>
        <w:rPr>
          <w:rFonts w:ascii="Arial" w:hAnsi="Arial" w:cs="Guttman-Soncino"/>
          <w:b/>
          <w:bCs/>
          <w:sz w:val="20"/>
          <w:szCs w:val="20"/>
          <w:rtl/>
        </w:rPr>
      </w:pPr>
      <w:r w:rsidRPr="00195DCD">
        <w:rPr>
          <w:rFonts w:ascii="Arial" w:hAnsi="Arial" w:cs="Guttman-Soncino" w:hint="cs"/>
          <w:b/>
          <w:bCs/>
          <w:sz w:val="20"/>
          <w:szCs w:val="20"/>
          <w:highlight w:val="yellow"/>
          <w:rtl/>
        </w:rPr>
        <w:t>הכשל הבין-זמני/ בין-דורי</w:t>
      </w:r>
    </w:p>
    <w:p w:rsidR="005366A8" w:rsidRPr="00195DCD" w:rsidRDefault="005366A8" w:rsidP="005366A8">
      <w:pPr>
        <w:spacing w:after="60"/>
        <w:ind w:left="720"/>
        <w:rPr>
          <w:rFonts w:ascii="Arial" w:hAnsi="Arial" w:cs="Guttman-Soncino"/>
          <w:b/>
          <w:bCs/>
          <w:sz w:val="20"/>
          <w:szCs w:val="20"/>
          <w:rtl/>
        </w:rPr>
      </w:pPr>
      <w:r w:rsidRPr="00195DCD">
        <w:rPr>
          <w:rFonts w:ascii="Arial" w:hAnsi="Arial" w:cs="Guttman-Soncino" w:hint="cs"/>
          <w:b/>
          <w:bCs/>
          <w:sz w:val="20"/>
          <w:szCs w:val="20"/>
          <w:rtl/>
        </w:rPr>
        <w:t>טעמי הבעד</w:t>
      </w:r>
    </w:p>
    <w:p w:rsidR="005366A8" w:rsidRPr="00195DCD" w:rsidRDefault="005366A8" w:rsidP="005366A8">
      <w:pPr>
        <w:spacing w:after="60"/>
        <w:ind w:left="1440"/>
        <w:rPr>
          <w:rFonts w:ascii="Arial" w:hAnsi="Arial" w:cs="Guttman-Soncino"/>
          <w:b/>
          <w:bCs/>
          <w:sz w:val="20"/>
          <w:szCs w:val="20"/>
          <w:highlight w:val="yellow"/>
          <w:rtl/>
        </w:rPr>
      </w:pPr>
      <w:r w:rsidRPr="00195DCD">
        <w:rPr>
          <w:rFonts w:ascii="Arial" w:hAnsi="Arial" w:cs="Guttman-Soncino" w:hint="cs"/>
          <w:b/>
          <w:bCs/>
          <w:sz w:val="20"/>
          <w:szCs w:val="20"/>
          <w:highlight w:val="yellow"/>
          <w:rtl/>
        </w:rPr>
        <w:t>"בעיית הנציג"</w:t>
      </w:r>
    </w:p>
    <w:p w:rsidR="005366A8" w:rsidRPr="00195DCD" w:rsidRDefault="005366A8" w:rsidP="005366A8">
      <w:pPr>
        <w:spacing w:after="60"/>
        <w:ind w:left="2160" w:hanging="720"/>
        <w:rPr>
          <w:rFonts w:ascii="Arial" w:hAnsi="Arial" w:cs="Guttman-Soncino"/>
          <w:b/>
          <w:bCs/>
          <w:sz w:val="20"/>
          <w:szCs w:val="20"/>
          <w:highlight w:val="yellow"/>
          <w:rtl/>
        </w:rPr>
      </w:pPr>
      <w:r w:rsidRPr="00195DCD">
        <w:rPr>
          <w:rFonts w:ascii="Arial" w:hAnsi="Arial" w:cs="Guttman-Soncino" w:hint="cs"/>
          <w:b/>
          <w:bCs/>
          <w:sz w:val="20"/>
          <w:szCs w:val="20"/>
          <w:highlight w:val="yellow"/>
          <w:rtl/>
        </w:rPr>
        <w:t xml:space="preserve">ההבחנה בין שני סוגים של הכרעות: "הכרעות שוטפות/ תלויות-העדפות" </w:t>
      </w:r>
      <w:r w:rsidRPr="00195DCD">
        <w:rPr>
          <w:rFonts w:ascii="Arial" w:hAnsi="Arial" w:cs="Guttman-Soncino" w:hint="cs"/>
          <w:b/>
          <w:bCs/>
          <w:sz w:val="20"/>
          <w:szCs w:val="20"/>
          <w:highlight w:val="yellow"/>
        </w:rPr>
        <w:t>V</w:t>
      </w:r>
      <w:r w:rsidRPr="00195DCD">
        <w:rPr>
          <w:rFonts w:ascii="Arial" w:hAnsi="Arial" w:cs="Guttman-Soncino" w:hint="cs"/>
          <w:b/>
          <w:bCs/>
          <w:sz w:val="20"/>
          <w:szCs w:val="20"/>
          <w:highlight w:val="yellow"/>
          <w:rtl/>
        </w:rPr>
        <w:t xml:space="preserve"> "הכרעות מסוג מיוחד";</w:t>
      </w:r>
      <w:r>
        <w:rPr>
          <w:rFonts w:ascii="Arial" w:hAnsi="Arial" w:cs="Guttman-Soncino" w:hint="cs"/>
          <w:b/>
          <w:bCs/>
          <w:sz w:val="20"/>
          <w:szCs w:val="20"/>
          <w:highlight w:val="yellow"/>
          <w:rtl/>
        </w:rPr>
        <w:t xml:space="preserve"> </w:t>
      </w:r>
      <w:r w:rsidRPr="00195DCD">
        <w:rPr>
          <w:rFonts w:ascii="Arial" w:hAnsi="Arial" w:cs="Guttman-Soncino" w:hint="cs"/>
          <w:b/>
          <w:bCs/>
          <w:sz w:val="20"/>
          <w:szCs w:val="20"/>
          <w:highlight w:val="yellow"/>
          <w:rtl/>
        </w:rPr>
        <w:t>ושאלת טיבו של המוסד שאמור לפקח על קו-ההבחנה בין שני סוגי ההכרעות, וזה שאמור לפקח על המנגנונים המלווים את ההכרעות מהסוג המיוחד:</w:t>
      </w:r>
    </w:p>
    <w:p w:rsidR="005366A8" w:rsidRPr="00195DCD" w:rsidRDefault="005366A8" w:rsidP="005366A8">
      <w:pPr>
        <w:spacing w:after="60"/>
        <w:ind w:left="2407"/>
        <w:rPr>
          <w:rFonts w:ascii="Arial" w:hAnsi="Arial" w:cs="Guttman-Soncino"/>
          <w:b/>
          <w:bCs/>
          <w:sz w:val="20"/>
          <w:szCs w:val="20"/>
          <w:highlight w:val="yellow"/>
          <w:rtl/>
        </w:rPr>
      </w:pPr>
      <w:r w:rsidRPr="00195DCD">
        <w:rPr>
          <w:rFonts w:ascii="Arial" w:hAnsi="Arial" w:cs="Guttman-Soncino" w:hint="cs"/>
          <w:b/>
          <w:bCs/>
          <w:sz w:val="20"/>
          <w:szCs w:val="20"/>
          <w:highlight w:val="yellow"/>
          <w:rtl/>
        </w:rPr>
        <w:t>הגנה על המיעוט/ החשש מ</w:t>
      </w:r>
      <w:r>
        <w:rPr>
          <w:rFonts w:ascii="Arial" w:hAnsi="Arial" w:cs="Guttman-Soncino" w:hint="cs"/>
          <w:b/>
          <w:bCs/>
          <w:sz w:val="20"/>
          <w:szCs w:val="20"/>
          <w:highlight w:val="yellow"/>
          <w:rtl/>
        </w:rPr>
        <w:t xml:space="preserve">פני </w:t>
      </w:r>
      <w:r w:rsidRPr="00195DCD">
        <w:rPr>
          <w:rFonts w:ascii="Arial" w:hAnsi="Arial" w:cs="Guttman-Soncino" w:hint="cs"/>
          <w:b/>
          <w:bCs/>
          <w:sz w:val="20"/>
          <w:szCs w:val="20"/>
          <w:highlight w:val="yellow"/>
          <w:rtl/>
        </w:rPr>
        <w:t>"דיקטטורה של הרוב"</w:t>
      </w:r>
    </w:p>
    <w:p w:rsidR="005366A8" w:rsidRPr="00195DCD" w:rsidRDefault="005366A8" w:rsidP="005366A8">
      <w:pPr>
        <w:spacing w:after="60"/>
        <w:ind w:left="2407"/>
        <w:rPr>
          <w:rFonts w:ascii="Arial" w:hAnsi="Arial" w:cs="Guttman-Soncino"/>
          <w:b/>
          <w:bCs/>
          <w:sz w:val="20"/>
          <w:szCs w:val="20"/>
          <w:highlight w:val="yellow"/>
          <w:rtl/>
        </w:rPr>
      </w:pPr>
      <w:r>
        <w:rPr>
          <w:rFonts w:ascii="Arial" w:hAnsi="Arial" w:cs="Guttman-Soncino" w:hint="cs"/>
          <w:b/>
          <w:bCs/>
          <w:sz w:val="20"/>
          <w:szCs w:val="20"/>
          <w:highlight w:val="yellow"/>
          <w:rtl/>
        </w:rPr>
        <w:t>התמודדות עם כשלים נוספים: כשלים המובילים ל</w:t>
      </w:r>
      <w:r w:rsidRPr="00195DCD">
        <w:rPr>
          <w:rFonts w:ascii="Arial" w:hAnsi="Arial" w:cs="Guttman-Soncino" w:hint="cs"/>
          <w:b/>
          <w:bCs/>
          <w:sz w:val="20"/>
          <w:szCs w:val="20"/>
          <w:highlight w:val="yellow"/>
          <w:rtl/>
        </w:rPr>
        <w:t>כוח מופרז למיעוט</w:t>
      </w:r>
      <w:r>
        <w:rPr>
          <w:rFonts w:ascii="Arial" w:hAnsi="Arial" w:cs="Guttman-Soncino" w:hint="cs"/>
          <w:b/>
          <w:bCs/>
          <w:sz w:val="20"/>
          <w:szCs w:val="20"/>
          <w:highlight w:val="yellow"/>
          <w:rtl/>
        </w:rPr>
        <w:t xml:space="preserve"> פוליטי רב-כוח</w:t>
      </w:r>
      <w:r w:rsidRPr="00195DCD">
        <w:rPr>
          <w:rFonts w:ascii="Arial" w:hAnsi="Arial" w:cs="Guttman-Soncino" w:hint="cs"/>
          <w:b/>
          <w:bCs/>
          <w:sz w:val="20"/>
          <w:szCs w:val="20"/>
          <w:highlight w:val="yellow"/>
          <w:rtl/>
        </w:rPr>
        <w:t>/ לקבוצת-אינטרס</w:t>
      </w:r>
    </w:p>
    <w:p w:rsidR="005366A8" w:rsidRPr="00195DCD" w:rsidRDefault="005366A8" w:rsidP="005366A8">
      <w:pPr>
        <w:spacing w:after="60"/>
        <w:ind w:left="2407"/>
        <w:rPr>
          <w:rFonts w:ascii="Arial" w:hAnsi="Arial" w:cs="Guttman-Soncino"/>
          <w:b/>
          <w:bCs/>
          <w:sz w:val="20"/>
          <w:szCs w:val="20"/>
          <w:highlight w:val="yellow"/>
          <w:rtl/>
        </w:rPr>
      </w:pPr>
      <w:r w:rsidRPr="00195DCD">
        <w:rPr>
          <w:rFonts w:ascii="Arial" w:hAnsi="Arial" w:cs="Guttman-Soncino" w:hint="cs"/>
          <w:b/>
          <w:bCs/>
          <w:sz w:val="20"/>
          <w:szCs w:val="20"/>
          <w:highlight w:val="yellow"/>
          <w:rtl/>
        </w:rPr>
        <w:t>"ההתחייבות המוקדמת" ('שירת הסירנות')</w:t>
      </w:r>
      <w:r>
        <w:rPr>
          <w:rFonts w:ascii="Arial" w:hAnsi="Arial" w:cs="Guttman-Soncino" w:hint="cs"/>
          <w:b/>
          <w:bCs/>
          <w:sz w:val="20"/>
          <w:szCs w:val="20"/>
          <w:highlight w:val="yellow"/>
          <w:rtl/>
        </w:rPr>
        <w:t xml:space="preserve"> </w:t>
      </w:r>
      <w:r>
        <w:rPr>
          <w:rFonts w:ascii="Arial" w:hAnsi="Arial" w:cs="Guttman-Soncino"/>
          <w:b/>
          <w:bCs/>
          <w:sz w:val="20"/>
          <w:szCs w:val="20"/>
          <w:highlight w:val="yellow"/>
          <w:rtl/>
        </w:rPr>
        <w:t>–</w:t>
      </w:r>
      <w:r>
        <w:rPr>
          <w:rFonts w:ascii="Arial" w:hAnsi="Arial" w:cs="Guttman-Soncino" w:hint="cs"/>
          <w:b/>
          <w:bCs/>
          <w:sz w:val="20"/>
          <w:szCs w:val="20"/>
          <w:highlight w:val="yellow"/>
          <w:rtl/>
        </w:rPr>
        <w:t xml:space="preserve"> 'הפיתוי' של מצבי החירום</w:t>
      </w:r>
    </w:p>
    <w:p w:rsidR="005366A8" w:rsidRPr="00195DCD" w:rsidRDefault="005366A8" w:rsidP="005366A8">
      <w:pPr>
        <w:spacing w:after="60"/>
        <w:ind w:left="2407"/>
        <w:rPr>
          <w:rFonts w:ascii="Arial" w:hAnsi="Arial" w:cs="Guttman-Soncino"/>
          <w:b/>
          <w:bCs/>
          <w:sz w:val="20"/>
          <w:szCs w:val="20"/>
          <w:highlight w:val="yellow"/>
          <w:rtl/>
        </w:rPr>
      </w:pPr>
      <w:r w:rsidRPr="00195DCD">
        <w:rPr>
          <w:rFonts w:ascii="Arial" w:hAnsi="Arial" w:cs="Guttman-Soncino" w:hint="cs"/>
          <w:b/>
          <w:bCs/>
          <w:sz w:val="20"/>
          <w:szCs w:val="20"/>
          <w:highlight w:val="yellow"/>
          <w:rtl/>
        </w:rPr>
        <w:t>הניסיון ההשוואתי של מדינות דמוקרטיות</w:t>
      </w:r>
      <w:r>
        <w:rPr>
          <w:rFonts w:ascii="Arial" w:hAnsi="Arial" w:cs="Guttman-Soncino" w:hint="cs"/>
          <w:b/>
          <w:bCs/>
          <w:sz w:val="20"/>
          <w:szCs w:val="20"/>
          <w:highlight w:val="yellow"/>
          <w:rtl/>
        </w:rPr>
        <w:t xml:space="preserve"> רבות</w:t>
      </w:r>
    </w:p>
    <w:p w:rsidR="005366A8" w:rsidRDefault="005366A8" w:rsidP="005366A8">
      <w:pPr>
        <w:ind w:left="3130" w:hanging="720"/>
        <w:rPr>
          <w:rFonts w:ascii="Arial" w:hAnsi="Arial" w:cs="Guttman-Soncino"/>
          <w:b/>
          <w:bCs/>
          <w:sz w:val="20"/>
          <w:szCs w:val="20"/>
          <w:rtl/>
        </w:rPr>
      </w:pPr>
      <w:r w:rsidRPr="00195DCD">
        <w:rPr>
          <w:rFonts w:ascii="Arial" w:hAnsi="Arial" w:cs="Guttman-Soncino" w:hint="cs"/>
          <w:b/>
          <w:bCs/>
          <w:sz w:val="20"/>
          <w:szCs w:val="20"/>
          <w:highlight w:val="yellow"/>
          <w:rtl/>
        </w:rPr>
        <w:t>היוותרותו של "דיאלוג חוקתי</w:t>
      </w:r>
      <w:r>
        <w:rPr>
          <w:rFonts w:ascii="Arial" w:hAnsi="Arial" w:cs="Guttman-Soncino" w:hint="cs"/>
          <w:b/>
          <w:bCs/>
          <w:sz w:val="20"/>
          <w:szCs w:val="20"/>
          <w:highlight w:val="yellow"/>
          <w:rtl/>
        </w:rPr>
        <w:t>" ממשי?</w:t>
      </w:r>
      <w:r w:rsidRPr="00195DCD">
        <w:rPr>
          <w:rFonts w:ascii="Arial" w:hAnsi="Arial" w:cs="Guttman-Soncino" w:hint="cs"/>
          <w:b/>
          <w:bCs/>
          <w:sz w:val="20"/>
          <w:szCs w:val="20"/>
          <w:highlight w:val="yellow"/>
          <w:rtl/>
        </w:rPr>
        <w:t xml:space="preserve"> </w:t>
      </w:r>
      <w:r w:rsidRPr="00195DCD">
        <w:rPr>
          <w:rFonts w:ascii="Arial" w:hAnsi="Arial" w:cs="Guttman-Soncino"/>
          <w:b/>
          <w:bCs/>
          <w:sz w:val="20"/>
          <w:szCs w:val="20"/>
          <w:highlight w:val="yellow"/>
          <w:rtl/>
        </w:rPr>
        <w:t>–</w:t>
      </w:r>
      <w:r w:rsidRPr="00195DCD">
        <w:rPr>
          <w:rFonts w:ascii="Arial" w:hAnsi="Arial" w:cs="Guttman-Soncino" w:hint="cs"/>
          <w:b/>
          <w:bCs/>
          <w:sz w:val="20"/>
          <w:szCs w:val="20"/>
          <w:highlight w:val="yellow"/>
          <w:rtl/>
        </w:rPr>
        <w:t xml:space="preserve"> מי הוא בעל המילה האחרונה בחברה? </w:t>
      </w:r>
      <w:r w:rsidRPr="00195DCD">
        <w:rPr>
          <w:rFonts w:ascii="Arial" w:hAnsi="Arial" w:cs="Guttman-Soncino"/>
          <w:b/>
          <w:bCs/>
          <w:sz w:val="20"/>
          <w:szCs w:val="20"/>
          <w:highlight w:val="yellow"/>
          <w:rtl/>
        </w:rPr>
        <w:t>–</w:t>
      </w:r>
      <w:r w:rsidRPr="00195DCD">
        <w:rPr>
          <w:rFonts w:ascii="Arial" w:hAnsi="Arial" w:cs="Guttman-Soncino" w:hint="cs"/>
          <w:b/>
          <w:bCs/>
          <w:sz w:val="20"/>
          <w:szCs w:val="20"/>
          <w:highlight w:val="yellow"/>
          <w:rtl/>
        </w:rPr>
        <w:t xml:space="preserve"> גבולות הכוח של בית המשפט</w:t>
      </w:r>
    </w:p>
    <w:p w:rsidR="005366A8" w:rsidRPr="009345C6" w:rsidRDefault="005366A8" w:rsidP="005366A8">
      <w:pPr>
        <w:ind w:left="720" w:right="-284"/>
        <w:rPr>
          <w:rFonts w:cs="David"/>
          <w:sz w:val="22"/>
          <w:szCs w:val="22"/>
          <w:rtl/>
        </w:rPr>
      </w:pPr>
      <w:r w:rsidRPr="009345C6">
        <w:rPr>
          <w:rFonts w:hint="cs"/>
          <w:sz w:val="22"/>
          <w:szCs w:val="22"/>
          <w:rtl/>
        </w:rPr>
        <w:t>=-=</w:t>
      </w:r>
    </w:p>
    <w:p w:rsidR="005366A8" w:rsidRDefault="005366A8" w:rsidP="005366A8">
      <w:pPr>
        <w:pStyle w:val="T-body"/>
        <w:spacing w:line="240" w:lineRule="auto"/>
        <w:jc w:val="center"/>
        <w:rPr>
          <w:szCs w:val="22"/>
          <w:rtl/>
        </w:rPr>
      </w:pPr>
    </w:p>
    <w:p w:rsidR="005366A8" w:rsidRPr="009345C6" w:rsidRDefault="005366A8" w:rsidP="005366A8">
      <w:pPr>
        <w:widowControl w:val="0"/>
        <w:jc w:val="center"/>
        <w:rPr>
          <w:rFonts w:ascii="Arial" w:hAnsi="Arial" w:cs="Guttman-Soncino"/>
          <w:b/>
          <w:bCs/>
          <w:rtl/>
        </w:rPr>
      </w:pPr>
      <w:r w:rsidRPr="00215FCE">
        <w:rPr>
          <w:rFonts w:ascii="Arial" w:hAnsi="Arial" w:cs="Guttman-Soncino" w:hint="cs"/>
          <w:b/>
          <w:bCs/>
          <w:highlight w:val="yellow"/>
          <w:rtl/>
        </w:rPr>
        <w:t>טיעונים נוספים ב</w:t>
      </w:r>
      <w:r w:rsidRPr="00215FCE">
        <w:rPr>
          <w:rFonts w:ascii="Arial" w:hAnsi="Arial" w:cs="Guttman-Soncino"/>
          <w:b/>
          <w:bCs/>
          <w:highlight w:val="yellow"/>
          <w:rtl/>
        </w:rPr>
        <w:t>ויכוח המוסרי</w:t>
      </w:r>
      <w:r>
        <w:rPr>
          <w:rFonts w:ascii="Arial" w:hAnsi="Arial" w:cs="Guttman-Soncino" w:hint="cs"/>
          <w:b/>
          <w:bCs/>
          <w:highlight w:val="yellow"/>
          <w:rtl/>
        </w:rPr>
        <w:t>/הערכי</w:t>
      </w:r>
      <w:r w:rsidRPr="00215FCE">
        <w:rPr>
          <w:rFonts w:ascii="Arial" w:hAnsi="Arial" w:cs="Guttman-Soncino"/>
          <w:b/>
          <w:bCs/>
          <w:highlight w:val="yellow"/>
          <w:rtl/>
        </w:rPr>
        <w:t xml:space="preserve"> ביחס לליברליזם ולחוקתיות</w:t>
      </w:r>
    </w:p>
    <w:p w:rsidR="005366A8" w:rsidRDefault="005366A8" w:rsidP="005366A8">
      <w:pPr>
        <w:widowControl w:val="0"/>
        <w:rPr>
          <w:sz w:val="22"/>
          <w:szCs w:val="22"/>
          <w:rtl/>
        </w:rPr>
      </w:pPr>
    </w:p>
    <w:p w:rsidR="005366A8" w:rsidRPr="00C37484" w:rsidRDefault="005366A8" w:rsidP="005366A8">
      <w:pPr>
        <w:pStyle w:val="T-body"/>
        <w:spacing w:line="240" w:lineRule="auto"/>
        <w:ind w:left="28"/>
        <w:jc w:val="left"/>
        <w:rPr>
          <w:rFonts w:ascii="Arial" w:hAnsi="Arial" w:cs="Arial"/>
          <w:b/>
          <w:bCs/>
          <w:sz w:val="22"/>
          <w:szCs w:val="22"/>
          <w:rtl/>
        </w:rPr>
      </w:pPr>
      <w:r w:rsidRPr="00C37484">
        <w:rPr>
          <w:rFonts w:ascii="Arial" w:hAnsi="Arial" w:cs="Arial"/>
          <w:b/>
          <w:bCs/>
          <w:sz w:val="22"/>
          <w:szCs w:val="22"/>
          <w:highlight w:val="yellow"/>
          <w:rtl/>
        </w:rPr>
        <w:t>יובל שטייניץ, "דמוקרטיה: האיום הליברלי" מחקרי משפט יז 91 (תשס"ב)</w:t>
      </w:r>
    </w:p>
    <w:p w:rsidR="005366A8" w:rsidRDefault="005366A8" w:rsidP="005366A8">
      <w:pPr>
        <w:pStyle w:val="T-body"/>
        <w:spacing w:line="240" w:lineRule="auto"/>
        <w:ind w:left="28" w:right="-284"/>
        <w:rPr>
          <w:b/>
          <w:bCs/>
          <w:sz w:val="22"/>
          <w:szCs w:val="22"/>
          <w:rtl/>
        </w:rPr>
      </w:pPr>
    </w:p>
    <w:p w:rsidR="005366A8" w:rsidRPr="009D7269" w:rsidRDefault="005366A8" w:rsidP="005366A8">
      <w:pPr>
        <w:pStyle w:val="T-body"/>
        <w:spacing w:line="240" w:lineRule="auto"/>
        <w:ind w:left="28" w:right="-284"/>
        <w:rPr>
          <w:rFonts w:ascii="Arial" w:hAnsi="Arial" w:cs="Arial"/>
          <w:b/>
          <w:bCs/>
          <w:sz w:val="20"/>
          <w:szCs w:val="20"/>
          <w:rtl/>
        </w:rPr>
      </w:pPr>
      <w:r w:rsidRPr="009D7269">
        <w:rPr>
          <w:rFonts w:ascii="Arial" w:hAnsi="Arial" w:cs="Arial"/>
          <w:b/>
          <w:bCs/>
          <w:sz w:val="20"/>
          <w:szCs w:val="20"/>
          <w:rtl/>
        </w:rPr>
        <w:t>להלן טיעוניו העיקריים של ד"ר שטייניץ:</w:t>
      </w:r>
    </w:p>
    <w:p w:rsidR="005366A8" w:rsidRPr="009D7269" w:rsidRDefault="005366A8" w:rsidP="005366A8">
      <w:pPr>
        <w:pStyle w:val="T-body"/>
        <w:spacing w:after="120" w:line="240" w:lineRule="auto"/>
        <w:ind w:left="28" w:right="-284"/>
        <w:rPr>
          <w:rFonts w:ascii="Arial" w:hAnsi="Arial" w:cs="Arial"/>
          <w:sz w:val="20"/>
          <w:szCs w:val="20"/>
          <w:rtl/>
        </w:rPr>
      </w:pPr>
      <w:r w:rsidRPr="009D7269">
        <w:rPr>
          <w:rFonts w:ascii="Arial" w:hAnsi="Arial" w:cs="Arial"/>
          <w:sz w:val="20"/>
          <w:szCs w:val="20"/>
          <w:rtl/>
        </w:rPr>
        <w:t>המוטו: היזהרו ב"דמוקרטיה הליברלית" כי ממנה תצא דיקטטורה.</w:t>
      </w:r>
    </w:p>
    <w:p w:rsidR="005366A8" w:rsidRPr="009D7269" w:rsidRDefault="005366A8" w:rsidP="005366A8">
      <w:pPr>
        <w:pStyle w:val="T-body"/>
        <w:spacing w:after="120" w:line="240" w:lineRule="auto"/>
        <w:ind w:left="28" w:right="-284"/>
        <w:rPr>
          <w:rFonts w:ascii="Arial" w:hAnsi="Arial" w:cs="Arial"/>
          <w:sz w:val="20"/>
          <w:szCs w:val="20"/>
          <w:rtl/>
        </w:rPr>
      </w:pPr>
      <w:r w:rsidRPr="009D7269">
        <w:rPr>
          <w:rFonts w:ascii="Arial" w:hAnsi="Arial" w:cs="Arial"/>
          <w:sz w:val="20"/>
          <w:szCs w:val="20"/>
          <w:rtl/>
        </w:rPr>
        <w:t>א. בקליפת אגוז: היה כאן מחטף.  הליברליזם ניכס את "הדמוקרטיה" לעצמו.  זאת שעה שדמוקרטיה היא מערכת קבלת הכרעות בלבד.  מערכת כללי-משחק שהיא ניטראלית {עקרון הרוב, בחירות עתיות וכדומה}. והנה הליברליזם הופך את הדמוקרטיה למערכת ערכית מקיפה.</w:t>
      </w:r>
    </w:p>
    <w:p w:rsidR="005366A8" w:rsidRPr="009D7269" w:rsidRDefault="005366A8" w:rsidP="005366A8">
      <w:pPr>
        <w:pStyle w:val="T-body"/>
        <w:spacing w:after="120" w:line="240" w:lineRule="auto"/>
        <w:ind w:left="28" w:right="-284"/>
        <w:rPr>
          <w:rFonts w:ascii="Arial" w:hAnsi="Arial" w:cs="Arial"/>
          <w:sz w:val="20"/>
          <w:szCs w:val="20"/>
          <w:rtl/>
        </w:rPr>
      </w:pPr>
      <w:r w:rsidRPr="009D7269">
        <w:rPr>
          <w:rFonts w:ascii="Arial" w:hAnsi="Arial" w:cs="Arial"/>
          <w:sz w:val="20"/>
          <w:szCs w:val="20"/>
          <w:rtl/>
        </w:rPr>
        <w:t>ב. על-ידי כינון של "חוּקתיות" – הליברליזם עלול להפוך לדיקטטורה, שכן יהיו בידיו הכלים לחסום את יריביו או לנטרל את כוח השפעתם – למשל, את יכולתם לחוקק חקיקה המגשימה את תפיסת עולמם ופוגעת תוך כדי כך במה שהם תופסים כזכויות היסוד.</w:t>
      </w:r>
    </w:p>
    <w:p w:rsidR="005366A8" w:rsidRPr="009D7269" w:rsidRDefault="005366A8" w:rsidP="005366A8">
      <w:pPr>
        <w:pStyle w:val="T-body"/>
        <w:spacing w:after="120" w:line="240" w:lineRule="auto"/>
        <w:ind w:left="28" w:right="-284"/>
        <w:rPr>
          <w:rFonts w:ascii="Arial" w:hAnsi="Arial" w:cs="Arial"/>
          <w:sz w:val="20"/>
          <w:szCs w:val="20"/>
          <w:rtl/>
        </w:rPr>
      </w:pPr>
      <w:r w:rsidRPr="009D7269">
        <w:rPr>
          <w:rFonts w:ascii="Arial" w:hAnsi="Arial" w:cs="Arial"/>
          <w:sz w:val="20"/>
          <w:szCs w:val="20"/>
          <w:rtl/>
        </w:rPr>
        <w:t>ג. הליברליזם הוא אידיאולוגיה ככל אידיאולוגיה טוטלית אחרת.  היא נכנסה ליותר ויותר תחומים, ונמצאת ביותר ויותר מצבי התנגשות עם אידיאולוגיות מתחרות.  מה מקור הלגיטימיות להעדפת פסילת שניצל לוויתן על פני פסילת שניצל חזיר?  מה מקור הלגיטימיות לאיסורים בתחום חיי המשפחה המוכרים בליברליזם (איסור גילוי עריות, למשל) בהשוואה לפסילת איסורי הנישואין הדתיים (כהן וגרושה)?</w:t>
      </w:r>
    </w:p>
    <w:p w:rsidR="005366A8" w:rsidRPr="009D7269" w:rsidRDefault="005366A8" w:rsidP="005366A8">
      <w:pPr>
        <w:spacing w:after="120"/>
        <w:ind w:right="-284"/>
        <w:rPr>
          <w:rFonts w:ascii="Arial" w:hAnsi="Arial" w:cs="Arial"/>
          <w:b/>
          <w:bCs/>
          <w:sz w:val="20"/>
          <w:szCs w:val="20"/>
          <w:rtl/>
        </w:rPr>
      </w:pPr>
      <w:r w:rsidRPr="009D7269">
        <w:rPr>
          <w:rFonts w:ascii="Arial" w:hAnsi="Arial" w:cs="Arial"/>
          <w:sz w:val="20"/>
          <w:szCs w:val="20"/>
          <w:rtl/>
        </w:rPr>
        <w:t>ד. במשתמע: בית המשפט העליון מהווה מעין "מועצת חכמים" חילונית ליברלית. מדוע שיוענקו לו כוחות לפסול חקיקה שהתקבלה על פי עמדת הרוב?</w:t>
      </w:r>
    </w:p>
    <w:p w:rsidR="005366A8" w:rsidRPr="008213DB" w:rsidRDefault="005366A8" w:rsidP="005366A8">
      <w:pPr>
        <w:ind w:right="-284"/>
        <w:rPr>
          <w:rFonts w:ascii="Arial" w:hAnsi="Arial" w:cs="Arial"/>
          <w:sz w:val="20"/>
          <w:szCs w:val="20"/>
          <w:rtl/>
        </w:rPr>
      </w:pPr>
      <w:r w:rsidRPr="008213DB">
        <w:rPr>
          <w:rFonts w:ascii="Arial" w:hAnsi="Arial" w:cs="Arial"/>
          <w:b/>
          <w:bCs/>
          <w:sz w:val="20"/>
          <w:szCs w:val="20"/>
          <w:rtl/>
        </w:rPr>
        <w:t>ניסיון תשובה</w:t>
      </w:r>
      <w:r w:rsidRPr="008213DB">
        <w:rPr>
          <w:rFonts w:ascii="Arial" w:hAnsi="Arial" w:cs="Arial" w:hint="cs"/>
          <w:b/>
          <w:bCs/>
          <w:sz w:val="20"/>
          <w:szCs w:val="20"/>
          <w:rtl/>
        </w:rPr>
        <w:t xml:space="preserve"> למאמרו של שטייניץ</w:t>
      </w:r>
      <w:r>
        <w:rPr>
          <w:rFonts w:ascii="Arial" w:hAnsi="Arial" w:cs="Arial" w:hint="cs"/>
          <w:b/>
          <w:bCs/>
          <w:sz w:val="20"/>
          <w:szCs w:val="20"/>
          <w:rtl/>
        </w:rPr>
        <w:t>:</w:t>
      </w:r>
      <w:r w:rsidRPr="008213DB">
        <w:rPr>
          <w:rFonts w:ascii="Arial" w:hAnsi="Arial" w:cs="Arial" w:hint="cs"/>
          <w:sz w:val="20"/>
          <w:szCs w:val="20"/>
          <w:rtl/>
        </w:rPr>
        <w:t xml:space="preserve"> </w:t>
      </w:r>
    </w:p>
    <w:p w:rsidR="005366A8" w:rsidRPr="009D7269" w:rsidRDefault="005366A8" w:rsidP="005366A8">
      <w:pPr>
        <w:ind w:left="720" w:right="-284"/>
        <w:rPr>
          <w:rFonts w:ascii="Arial" w:hAnsi="Arial" w:cs="Guttman-Soncino"/>
          <w:sz w:val="18"/>
          <w:szCs w:val="18"/>
          <w:rtl/>
        </w:rPr>
      </w:pPr>
      <w:r w:rsidRPr="009D7269">
        <w:rPr>
          <w:rFonts w:ascii="Arial" w:hAnsi="Arial" w:cs="Guttman-Soncino" w:hint="cs"/>
          <w:sz w:val="18"/>
          <w:szCs w:val="18"/>
          <w:rtl/>
        </w:rPr>
        <w:t xml:space="preserve">[אינני כולל כאן, בשלב זה, טיעונים המיוחדים לישראל: העדרה של חוקתיות עמוקה, זאת בשל אי-נוקשותם של חוקי היסוד </w:t>
      </w:r>
      <w:r w:rsidRPr="009D7269">
        <w:rPr>
          <w:rFonts w:ascii="Arial" w:hAnsi="Arial" w:cs="Guttman-Soncino"/>
          <w:sz w:val="18"/>
          <w:szCs w:val="18"/>
          <w:rtl/>
        </w:rPr>
        <w:t>–</w:t>
      </w:r>
      <w:r w:rsidRPr="009D7269">
        <w:rPr>
          <w:rFonts w:ascii="Arial" w:hAnsi="Arial" w:cs="Guttman-Soncino" w:hint="cs"/>
          <w:sz w:val="18"/>
          <w:szCs w:val="18"/>
          <w:rtl/>
        </w:rPr>
        <w:t xml:space="preserve"> כלומר הקלוּת שבה ניתן לשנותם במשפט הישראלי </w:t>
      </w:r>
      <w:r w:rsidRPr="009D7269">
        <w:rPr>
          <w:rFonts w:ascii="Arial" w:hAnsi="Arial" w:cs="Guttman-Soncino"/>
          <w:sz w:val="18"/>
          <w:szCs w:val="18"/>
          <w:rtl/>
        </w:rPr>
        <w:t>–</w:t>
      </w:r>
      <w:r w:rsidRPr="009D7269">
        <w:rPr>
          <w:rFonts w:ascii="Arial" w:hAnsi="Arial" w:cs="Guttman-Soncino" w:hint="cs"/>
          <w:sz w:val="18"/>
          <w:szCs w:val="18"/>
          <w:rtl/>
        </w:rPr>
        <w:t xml:space="preserve"> נדבר בכך בהמשך דיונינו].</w:t>
      </w:r>
    </w:p>
    <w:p w:rsidR="005366A8" w:rsidRPr="00215FCE" w:rsidRDefault="005366A8" w:rsidP="005366A8">
      <w:pPr>
        <w:ind w:right="-284"/>
        <w:rPr>
          <w:sz w:val="20"/>
          <w:szCs w:val="20"/>
          <w:rtl/>
        </w:rPr>
      </w:pPr>
    </w:p>
    <w:p w:rsidR="005366A8" w:rsidRDefault="005366A8" w:rsidP="005366A8">
      <w:pPr>
        <w:ind w:right="-284"/>
        <w:rPr>
          <w:sz w:val="22"/>
          <w:szCs w:val="22"/>
          <w:rtl/>
        </w:rPr>
      </w:pPr>
      <w:r>
        <w:rPr>
          <w:rFonts w:hint="cs"/>
          <w:sz w:val="22"/>
          <w:szCs w:val="22"/>
          <w:rtl/>
        </w:rPr>
        <w:t xml:space="preserve">^ אמנם שטייניץ אינו בעד רלטיביזם מוסרי, ואולם הישענותו הבלעדית על הבנת הדמוקרטיה במונחים של עקרון הרוב ופרוצדורת הבחירות, מובילה לכאורה לתוצאות הדומות לאלו של הרלטיביזם המוסרי.  מדוע?  משום שנראה כי הוא מאמץ כמנגנון הכרעה </w:t>
      </w:r>
      <w:r w:rsidRPr="006463D2">
        <w:rPr>
          <w:rFonts w:hint="cs"/>
          <w:i/>
          <w:iCs/>
          <w:sz w:val="22"/>
          <w:szCs w:val="22"/>
          <w:rtl/>
        </w:rPr>
        <w:t>בלעדי</w:t>
      </w:r>
      <w:r>
        <w:rPr>
          <w:rFonts w:hint="cs"/>
          <w:sz w:val="22"/>
          <w:szCs w:val="22"/>
          <w:rtl/>
        </w:rPr>
        <w:t xml:space="preserve"> את "עקרון הרוב".  והנה עקרון זה מוביל לכאורה לדומיננטיות של כל אידיאולוגיה המאומצת על ידי הרוב בציבור. כלומר לרלטיביזם מוסרי.</w:t>
      </w:r>
    </w:p>
    <w:p w:rsidR="005366A8" w:rsidRDefault="005366A8" w:rsidP="005366A8">
      <w:pPr>
        <w:ind w:right="-284"/>
        <w:rPr>
          <w:sz w:val="22"/>
          <w:szCs w:val="22"/>
          <w:rtl/>
        </w:rPr>
      </w:pPr>
      <w:r>
        <w:rPr>
          <w:rFonts w:hint="cs"/>
          <w:sz w:val="22"/>
          <w:szCs w:val="22"/>
          <w:rtl/>
        </w:rPr>
        <w:t>הסייגים שהוא מוכן להטיל על האידיאולוגיה שתיבחר הם צרים: שמירת ההפיכות, כלומר שמירת המשך הפרוצדורה הרובנית (בחירות וזכות הצבעה) גם בעתיד.</w:t>
      </w:r>
    </w:p>
    <w:p w:rsidR="005366A8" w:rsidRDefault="005366A8" w:rsidP="005366A8">
      <w:pPr>
        <w:spacing w:after="120"/>
        <w:ind w:right="-284"/>
        <w:rPr>
          <w:sz w:val="22"/>
          <w:szCs w:val="22"/>
          <w:rtl/>
        </w:rPr>
      </w:pPr>
      <w:r>
        <w:rPr>
          <w:rFonts w:hint="cs"/>
          <w:sz w:val="22"/>
          <w:szCs w:val="22"/>
          <w:rtl/>
        </w:rPr>
        <w:t>האם הסדרת העולם האנושי שלמדנו להכיר לא מצריכה הגנות מקיפות על חירויות רבות ועל הזכות לשוויון, ולא רק על זכות ההצבעה בבחירות?</w:t>
      </w:r>
    </w:p>
    <w:p w:rsidR="005366A8" w:rsidRPr="009345C6" w:rsidRDefault="005366A8" w:rsidP="005366A8">
      <w:pPr>
        <w:ind w:right="-284"/>
        <w:rPr>
          <w:sz w:val="22"/>
          <w:szCs w:val="22"/>
          <w:rtl/>
        </w:rPr>
      </w:pPr>
      <w:r>
        <w:rPr>
          <w:rFonts w:hint="cs"/>
          <w:sz w:val="22"/>
          <w:szCs w:val="22"/>
          <w:rtl/>
        </w:rPr>
        <w:t xml:space="preserve">[נקודה נוספת, סמוכה: לא ברור כיצד שטייניץ מתכנן לגונן על הפרוצדורות הדמוקרטיות/ הפרוצדורות הרובניות שלו עצמו. </w:t>
      </w:r>
      <w:r w:rsidRPr="00791A94">
        <w:rPr>
          <w:rFonts w:hint="cs"/>
          <w:i/>
          <w:iCs/>
          <w:sz w:val="22"/>
          <w:szCs w:val="22"/>
          <w:rtl/>
        </w:rPr>
        <w:t>איך הוא יעשה זאת ללא חוקה ולוּ "חוקה רזה"?</w:t>
      </w:r>
      <w:r>
        <w:rPr>
          <w:rFonts w:hint="cs"/>
          <w:sz w:val="22"/>
          <w:szCs w:val="22"/>
          <w:rtl/>
        </w:rPr>
        <w:t xml:space="preserve"> כנראה שלא יהיה לו מנוס מלהסכים לפחות לחוקה רזה, </w:t>
      </w:r>
      <w:r w:rsidRPr="00BE4470">
        <w:rPr>
          <w:rFonts w:hint="cs"/>
          <w:i/>
          <w:iCs/>
          <w:sz w:val="22"/>
          <w:szCs w:val="22"/>
          <w:rtl/>
        </w:rPr>
        <w:t>אך הוא אינו מתייחס לכך/ אינו מודה בכך</w:t>
      </w:r>
      <w:r>
        <w:rPr>
          <w:rFonts w:hint="cs"/>
          <w:sz w:val="22"/>
          <w:szCs w:val="22"/>
          <w:rtl/>
        </w:rPr>
        <w:t>. אם הוא יסכים לכך, כי אז "חזית המריבה" משתנה במידה לא זניחה. הויכוח יעבור עתה בין תומכי חוקה רזה לתומכיה של חוקה מקיפה, המכילה מגילה של זכויות יסוד, להבדיל מהסתפקות בזכות לבחור ולהיבחר ובחופש ביטוי ומחאה (ובזכות הקניין והזכות לחיים, שגם אותן שטייניץ מזכיר באחד מחלקי המאמר)].</w:t>
      </w:r>
    </w:p>
    <w:p w:rsidR="005366A8" w:rsidRPr="009345C6" w:rsidRDefault="005366A8" w:rsidP="005366A8">
      <w:pPr>
        <w:ind w:left="720" w:right="-284"/>
        <w:rPr>
          <w:sz w:val="22"/>
          <w:szCs w:val="22"/>
          <w:rtl/>
        </w:rPr>
      </w:pPr>
    </w:p>
    <w:p w:rsidR="005366A8" w:rsidRDefault="005366A8" w:rsidP="005366A8">
      <w:pPr>
        <w:ind w:right="-284"/>
        <w:rPr>
          <w:sz w:val="22"/>
          <w:szCs w:val="22"/>
          <w:rtl/>
        </w:rPr>
      </w:pPr>
      <w:r>
        <w:rPr>
          <w:rFonts w:hint="cs"/>
          <w:sz w:val="22"/>
          <w:szCs w:val="22"/>
          <w:rtl/>
        </w:rPr>
        <w:t xml:space="preserve">^ </w:t>
      </w:r>
      <w:r w:rsidRPr="008213DB">
        <w:rPr>
          <w:rFonts w:hint="cs"/>
          <w:sz w:val="22"/>
          <w:szCs w:val="22"/>
          <w:highlight w:val="yellow"/>
          <w:rtl/>
        </w:rPr>
        <w:t>טענות אחרות של שטייניץ: האם הליברליזם-הדמוקרטי הוא אידיאולוגיה?</w:t>
      </w:r>
      <w:r w:rsidRPr="009345C6">
        <w:rPr>
          <w:rFonts w:hint="cs"/>
          <w:sz w:val="22"/>
          <w:szCs w:val="22"/>
          <w:rtl/>
        </w:rPr>
        <w:t xml:space="preserve"> </w:t>
      </w:r>
      <w:r>
        <w:rPr>
          <w:rFonts w:hint="cs"/>
          <w:sz w:val="22"/>
          <w:szCs w:val="22"/>
          <w:rtl/>
        </w:rPr>
        <w:t xml:space="preserve">אם אידיאולוגיה היא השקפת-עולם ערכית, כי אז </w:t>
      </w:r>
      <w:r w:rsidRPr="009345C6">
        <w:rPr>
          <w:rFonts w:hint="cs"/>
          <w:sz w:val="22"/>
          <w:szCs w:val="22"/>
          <w:rtl/>
        </w:rPr>
        <w:t xml:space="preserve">אכן כן.  </w:t>
      </w:r>
    </w:p>
    <w:p w:rsidR="005366A8" w:rsidRPr="009345C6" w:rsidRDefault="005366A8" w:rsidP="005366A8">
      <w:pPr>
        <w:ind w:right="-284"/>
        <w:rPr>
          <w:sz w:val="22"/>
          <w:szCs w:val="22"/>
          <w:rtl/>
        </w:rPr>
      </w:pPr>
      <w:r>
        <w:rPr>
          <w:rFonts w:hint="cs"/>
          <w:sz w:val="22"/>
          <w:szCs w:val="22"/>
          <w:rtl/>
        </w:rPr>
        <w:t>אך מה בכך?  הרי ה</w:t>
      </w:r>
      <w:r w:rsidRPr="009345C6">
        <w:rPr>
          <w:rFonts w:hint="cs"/>
          <w:sz w:val="22"/>
          <w:szCs w:val="22"/>
          <w:rtl/>
        </w:rPr>
        <w:t>שאלה החשובה נוגעת ל</w:t>
      </w:r>
      <w:r>
        <w:rPr>
          <w:rFonts w:hint="cs"/>
          <w:sz w:val="22"/>
          <w:szCs w:val="22"/>
          <w:rtl/>
        </w:rPr>
        <w:t xml:space="preserve">צדקת </w:t>
      </w:r>
      <w:r w:rsidRPr="009345C6">
        <w:rPr>
          <w:rFonts w:hint="cs"/>
          <w:sz w:val="22"/>
          <w:szCs w:val="22"/>
          <w:rtl/>
        </w:rPr>
        <w:t>טענותיה של האידיאולוגיה הזו בהשוואה ל</w:t>
      </w:r>
      <w:r>
        <w:rPr>
          <w:rFonts w:hint="cs"/>
          <w:sz w:val="22"/>
          <w:szCs w:val="22"/>
          <w:rtl/>
        </w:rPr>
        <w:t xml:space="preserve">אלו של </w:t>
      </w:r>
      <w:r w:rsidRPr="009345C6">
        <w:rPr>
          <w:rFonts w:hint="cs"/>
          <w:sz w:val="22"/>
          <w:szCs w:val="22"/>
          <w:rtl/>
        </w:rPr>
        <w:t>איד</w:t>
      </w:r>
      <w:r>
        <w:rPr>
          <w:rFonts w:hint="cs"/>
          <w:sz w:val="22"/>
          <w:szCs w:val="22"/>
          <w:rtl/>
        </w:rPr>
        <w:t>יאולוגיות מתחרות.  הליברליזם נשען על תפיסות (מוסריות ותיאורטיות) עמוקות.</w:t>
      </w:r>
    </w:p>
    <w:p w:rsidR="005366A8" w:rsidRDefault="005366A8" w:rsidP="005366A8">
      <w:pPr>
        <w:ind w:left="1359" w:right="-284" w:hanging="720"/>
        <w:rPr>
          <w:sz w:val="22"/>
          <w:szCs w:val="22"/>
          <w:rtl/>
        </w:rPr>
      </w:pPr>
      <w:r>
        <w:rPr>
          <w:rFonts w:hint="cs"/>
          <w:sz w:val="22"/>
          <w:szCs w:val="22"/>
          <w:rtl/>
        </w:rPr>
        <w:t>הישענות מוכרת אחת, היא על "</w:t>
      </w:r>
      <w:r w:rsidRPr="006310AB">
        <w:rPr>
          <w:rFonts w:hint="cs"/>
          <w:b/>
          <w:bCs/>
          <w:sz w:val="22"/>
          <w:szCs w:val="22"/>
          <w:rtl/>
        </w:rPr>
        <w:t>צדק כהוגנות</w:t>
      </w:r>
      <w:r>
        <w:rPr>
          <w:rFonts w:hint="cs"/>
          <w:sz w:val="22"/>
          <w:szCs w:val="22"/>
          <w:rtl/>
        </w:rPr>
        <w:t xml:space="preserve">", ובעיקר על תפיסתו של הפילוסוף </w:t>
      </w:r>
      <w:r w:rsidRPr="009345C6">
        <w:rPr>
          <w:rFonts w:hint="cs"/>
          <w:sz w:val="22"/>
          <w:szCs w:val="22"/>
          <w:rtl/>
        </w:rPr>
        <w:t>ג'ון רולס</w:t>
      </w:r>
      <w:r>
        <w:rPr>
          <w:rFonts w:hint="cs"/>
          <w:sz w:val="22"/>
          <w:szCs w:val="22"/>
          <w:rtl/>
        </w:rPr>
        <w:t>. רולס מציע לנו לשרטט את עקרונות הצדק על יסוד תרגיל מחשבתי, שלפיו עקרונות אלו הם אותם כללים ש</w:t>
      </w:r>
      <w:r w:rsidRPr="009345C6">
        <w:rPr>
          <w:rFonts w:hint="cs"/>
          <w:sz w:val="22"/>
          <w:szCs w:val="22"/>
          <w:rtl/>
        </w:rPr>
        <w:t xml:space="preserve">היינו מקבלים </w:t>
      </w:r>
      <w:r w:rsidRPr="009345C6">
        <w:rPr>
          <w:sz w:val="22"/>
          <w:szCs w:val="22"/>
          <w:rtl/>
        </w:rPr>
        <w:t>–</w:t>
      </w:r>
      <w:r w:rsidRPr="009345C6">
        <w:rPr>
          <w:rFonts w:hint="cs"/>
          <w:sz w:val="22"/>
          <w:szCs w:val="22"/>
          <w:rtl/>
        </w:rPr>
        <w:t xml:space="preserve"> כולנו </w:t>
      </w:r>
      <w:r w:rsidRPr="009345C6">
        <w:rPr>
          <w:sz w:val="22"/>
          <w:szCs w:val="22"/>
          <w:rtl/>
        </w:rPr>
        <w:t>–</w:t>
      </w:r>
      <w:r w:rsidRPr="009345C6">
        <w:rPr>
          <w:rFonts w:hint="cs"/>
          <w:sz w:val="22"/>
          <w:szCs w:val="22"/>
          <w:rtl/>
        </w:rPr>
        <w:t xml:space="preserve"> </w:t>
      </w:r>
      <w:r w:rsidRPr="006310AB">
        <w:rPr>
          <w:rFonts w:hint="cs"/>
          <w:b/>
          <w:bCs/>
          <w:sz w:val="22"/>
          <w:szCs w:val="22"/>
          <w:rtl/>
        </w:rPr>
        <w:t>מאחורי "מסך הבערות"</w:t>
      </w:r>
      <w:r>
        <w:rPr>
          <w:rFonts w:hint="cs"/>
          <w:sz w:val="22"/>
          <w:szCs w:val="22"/>
          <w:rtl/>
        </w:rPr>
        <w:t xml:space="preserve"> </w:t>
      </w:r>
      <w:r>
        <w:rPr>
          <w:sz w:val="22"/>
          <w:szCs w:val="22"/>
          <w:rtl/>
        </w:rPr>
        <w:t>–</w:t>
      </w:r>
      <w:r>
        <w:rPr>
          <w:rFonts w:hint="cs"/>
          <w:sz w:val="22"/>
          <w:szCs w:val="22"/>
          <w:rtl/>
        </w:rPr>
        <w:t xml:space="preserve"> מסך שמאחוריו אנחנו יודעים דברים עמוקים על העולם אך איננו יודעים את השתייכותנו הקונקרטית לקבוצה כזו או אחרת (גבר או אישה, הטרוסקסואל או הומוסקסואל, דתי או חילוני, יהודי או מוסלמי או נוצרי או בודהיסטי, ערבי או יהודי, עשיר או עני, וכדומה). במצב מעין זה אנו מעצבים כללים שאינם יכולים להיטיב עמנו קונקרטית אלא מטיבים באופן הנכון יותר האפשרי (הרחבה בהמשך).  </w:t>
      </w:r>
    </w:p>
    <w:p w:rsidR="005366A8" w:rsidRPr="009345C6" w:rsidRDefault="005366A8" w:rsidP="005366A8">
      <w:pPr>
        <w:ind w:left="1359" w:right="-284" w:hanging="720"/>
        <w:rPr>
          <w:sz w:val="22"/>
          <w:szCs w:val="22"/>
          <w:rtl/>
        </w:rPr>
      </w:pPr>
      <w:r>
        <w:rPr>
          <w:rFonts w:hint="cs"/>
          <w:sz w:val="22"/>
          <w:szCs w:val="22"/>
          <w:rtl/>
        </w:rPr>
        <w:t xml:space="preserve">ישאל הליברליזם לפיכך: </w:t>
      </w:r>
      <w:r w:rsidRPr="009345C6">
        <w:rPr>
          <w:rFonts w:hint="cs"/>
          <w:sz w:val="22"/>
          <w:szCs w:val="22"/>
          <w:rtl/>
        </w:rPr>
        <w:t>האם ה</w:t>
      </w:r>
      <w:r>
        <w:rPr>
          <w:rFonts w:hint="cs"/>
          <w:sz w:val="22"/>
          <w:szCs w:val="22"/>
          <w:rtl/>
        </w:rPr>
        <w:t xml:space="preserve">כללים שנאמץ בסוגיית "החוקתיות" יהיו דומים </w:t>
      </w:r>
      <w:r w:rsidRPr="009345C6">
        <w:rPr>
          <w:rFonts w:hint="cs"/>
          <w:sz w:val="22"/>
          <w:szCs w:val="22"/>
          <w:rtl/>
        </w:rPr>
        <w:t>לתפיסתו הרובנית</w:t>
      </w:r>
      <w:r>
        <w:rPr>
          <w:rFonts w:hint="cs"/>
          <w:sz w:val="22"/>
          <w:szCs w:val="22"/>
          <w:rtl/>
        </w:rPr>
        <w:t>, הרזה מאד,</w:t>
      </w:r>
      <w:r w:rsidRPr="009345C6">
        <w:rPr>
          <w:rFonts w:hint="cs"/>
          <w:sz w:val="22"/>
          <w:szCs w:val="22"/>
          <w:rtl/>
        </w:rPr>
        <w:t xml:space="preserve"> של שטייניץ או </w:t>
      </w:r>
      <w:r>
        <w:rPr>
          <w:rFonts w:hint="cs"/>
          <w:sz w:val="22"/>
          <w:szCs w:val="22"/>
          <w:rtl/>
        </w:rPr>
        <w:t>שמא לתפיסה עבה משלו</w:t>
      </w:r>
      <w:r w:rsidRPr="009345C6">
        <w:rPr>
          <w:rFonts w:hint="cs"/>
          <w:sz w:val="22"/>
          <w:szCs w:val="22"/>
          <w:rtl/>
        </w:rPr>
        <w:t xml:space="preserve">? </w:t>
      </w:r>
      <w:r>
        <w:rPr>
          <w:rFonts w:hint="cs"/>
          <w:sz w:val="22"/>
          <w:szCs w:val="22"/>
          <w:rtl/>
        </w:rPr>
        <w:t>[התשובה לכך טמונה בעמדתנו ביחס לטיעונים שנפרסים בדיון ביחס ליתרונות החוקה הפורמאלית ובעיותיה].</w:t>
      </w:r>
    </w:p>
    <w:p w:rsidR="005366A8" w:rsidRDefault="005366A8" w:rsidP="005366A8">
      <w:pPr>
        <w:ind w:left="558" w:right="-284"/>
        <w:rPr>
          <w:sz w:val="22"/>
          <w:szCs w:val="22"/>
          <w:rtl/>
        </w:rPr>
      </w:pPr>
      <w:r w:rsidRPr="009345C6">
        <w:rPr>
          <w:rFonts w:hint="cs"/>
          <w:sz w:val="22"/>
          <w:szCs w:val="22"/>
          <w:rtl/>
        </w:rPr>
        <w:t>ישיב לנו שטייניץ</w:t>
      </w:r>
      <w:r>
        <w:rPr>
          <w:rFonts w:hint="cs"/>
          <w:sz w:val="22"/>
          <w:szCs w:val="22"/>
          <w:rtl/>
        </w:rPr>
        <w:t>:</w:t>
      </w:r>
      <w:r w:rsidRPr="009345C6">
        <w:rPr>
          <w:rFonts w:hint="cs"/>
          <w:sz w:val="22"/>
          <w:szCs w:val="22"/>
          <w:rtl/>
        </w:rPr>
        <w:t xml:space="preserve"> אבל מה עושים במציאות </w:t>
      </w:r>
      <w:r>
        <w:rPr>
          <w:rFonts w:hint="cs"/>
          <w:sz w:val="22"/>
          <w:szCs w:val="22"/>
          <w:rtl/>
        </w:rPr>
        <w:t xml:space="preserve">האמיתית, זו </w:t>
      </w:r>
      <w:r w:rsidRPr="009345C6">
        <w:rPr>
          <w:rFonts w:hint="cs"/>
          <w:sz w:val="22"/>
          <w:szCs w:val="22"/>
          <w:rtl/>
        </w:rPr>
        <w:t>שאין בה "מס</w:t>
      </w:r>
      <w:r>
        <w:rPr>
          <w:rFonts w:hint="cs"/>
          <w:sz w:val="22"/>
          <w:szCs w:val="22"/>
          <w:rtl/>
        </w:rPr>
        <w:t>ך</w:t>
      </w:r>
      <w:r w:rsidRPr="009345C6">
        <w:rPr>
          <w:rFonts w:hint="cs"/>
          <w:sz w:val="22"/>
          <w:szCs w:val="22"/>
          <w:rtl/>
        </w:rPr>
        <w:t xml:space="preserve"> בערות"</w:t>
      </w:r>
      <w:r>
        <w:rPr>
          <w:rFonts w:hint="cs"/>
          <w:sz w:val="22"/>
          <w:szCs w:val="22"/>
          <w:rtl/>
        </w:rPr>
        <w:t>, והכרעותינו מתקבלות, מעשית, בלעדיו</w:t>
      </w:r>
      <w:r w:rsidRPr="009345C6">
        <w:rPr>
          <w:rFonts w:hint="cs"/>
          <w:sz w:val="22"/>
          <w:szCs w:val="22"/>
          <w:rtl/>
        </w:rPr>
        <w:t xml:space="preserve">? </w:t>
      </w:r>
    </w:p>
    <w:p w:rsidR="005366A8" w:rsidRDefault="005366A8" w:rsidP="005366A8">
      <w:pPr>
        <w:ind w:left="558" w:right="-284"/>
        <w:rPr>
          <w:sz w:val="22"/>
          <w:szCs w:val="22"/>
          <w:rtl/>
        </w:rPr>
      </w:pPr>
      <w:r w:rsidRPr="009345C6">
        <w:rPr>
          <w:rFonts w:hint="cs"/>
          <w:sz w:val="22"/>
          <w:szCs w:val="22"/>
          <w:rtl/>
        </w:rPr>
        <w:t xml:space="preserve">תשובתו של הליברליזם היא </w:t>
      </w:r>
      <w:r>
        <w:rPr>
          <w:rFonts w:hint="cs"/>
          <w:sz w:val="22"/>
          <w:szCs w:val="22"/>
          <w:rtl/>
        </w:rPr>
        <w:t xml:space="preserve">מורכבת. הוא מכיר בקושי האנושי לפעול כמי שמצויים "מאחורי מסך בערות" אך עדיין תובע מאיתנו להתאמץ לפעול כך, כלומר לפעול מתוך מאמץ הוגנות. התוצר של מהלך מעין זה, בכל הנוגע לשאלת הטוב והרע וההיקף הראוי של "החוקתיות" מוביל את הליברליזם לתשובה הבאה: </w:t>
      </w:r>
    </w:p>
    <w:p w:rsidR="005366A8" w:rsidRDefault="005366A8" w:rsidP="005366A8">
      <w:pPr>
        <w:ind w:left="720" w:right="-284"/>
        <w:rPr>
          <w:sz w:val="22"/>
          <w:szCs w:val="22"/>
          <w:rtl/>
        </w:rPr>
      </w:pPr>
      <w:r>
        <w:rPr>
          <w:rFonts w:hint="cs"/>
          <w:sz w:val="22"/>
          <w:szCs w:val="22"/>
          <w:rtl/>
        </w:rPr>
        <w:t xml:space="preserve">א. </w:t>
      </w:r>
      <w:r w:rsidRPr="009345C6">
        <w:rPr>
          <w:rFonts w:hint="cs"/>
          <w:sz w:val="22"/>
          <w:szCs w:val="22"/>
          <w:rtl/>
        </w:rPr>
        <w:t xml:space="preserve">ניסיון לאזן </w:t>
      </w:r>
      <w:r>
        <w:rPr>
          <w:rFonts w:hint="cs"/>
          <w:sz w:val="22"/>
          <w:szCs w:val="22"/>
          <w:rtl/>
        </w:rPr>
        <w:t xml:space="preserve">היטב </w:t>
      </w:r>
      <w:r w:rsidRPr="009345C6">
        <w:rPr>
          <w:rFonts w:hint="cs"/>
          <w:sz w:val="22"/>
          <w:szCs w:val="22"/>
          <w:rtl/>
        </w:rPr>
        <w:t xml:space="preserve">בין עקרון הרוב לבין מגבלות ראויות על עקרון זה (רוב גדול של הדמוקרטיות הליברליות מלבישות זאת במבנה הצורני של חוקה המגוננת על זכויות האדם); </w:t>
      </w:r>
    </w:p>
    <w:p w:rsidR="005366A8" w:rsidRDefault="005366A8" w:rsidP="005366A8">
      <w:pPr>
        <w:ind w:left="720" w:right="-284"/>
        <w:rPr>
          <w:sz w:val="22"/>
          <w:szCs w:val="22"/>
          <w:rtl/>
        </w:rPr>
      </w:pPr>
      <w:r>
        <w:rPr>
          <w:rFonts w:hint="cs"/>
          <w:sz w:val="22"/>
          <w:szCs w:val="22"/>
          <w:rtl/>
        </w:rPr>
        <w:t xml:space="preserve">ב. </w:t>
      </w:r>
      <w:r w:rsidRPr="009345C6">
        <w:rPr>
          <w:rFonts w:hint="cs"/>
          <w:sz w:val="22"/>
          <w:szCs w:val="22"/>
          <w:rtl/>
        </w:rPr>
        <w:t xml:space="preserve">הפקדה של מוסד שיפוטי על שמירת האיזון הזה </w:t>
      </w:r>
      <w:r w:rsidRPr="009345C6">
        <w:rPr>
          <w:sz w:val="22"/>
          <w:szCs w:val="22"/>
          <w:rtl/>
        </w:rPr>
        <w:t>–</w:t>
      </w:r>
      <w:r w:rsidRPr="009345C6">
        <w:rPr>
          <w:rFonts w:hint="cs"/>
          <w:sz w:val="22"/>
          <w:szCs w:val="22"/>
          <w:rtl/>
        </w:rPr>
        <w:t xml:space="preserve"> משום שהוא זה הפועל באופן הקרוב ביותר להגינות שמאחורי מסך הבערות; </w:t>
      </w:r>
    </w:p>
    <w:p w:rsidR="005366A8" w:rsidRPr="009345C6" w:rsidRDefault="005366A8" w:rsidP="005366A8">
      <w:pPr>
        <w:ind w:left="720" w:right="-284"/>
        <w:rPr>
          <w:sz w:val="22"/>
          <w:szCs w:val="22"/>
          <w:rtl/>
        </w:rPr>
      </w:pPr>
      <w:r>
        <w:rPr>
          <w:rFonts w:hint="cs"/>
          <w:sz w:val="22"/>
          <w:szCs w:val="22"/>
          <w:rtl/>
        </w:rPr>
        <w:t xml:space="preserve">ג. </w:t>
      </w:r>
      <w:r w:rsidRPr="009345C6">
        <w:rPr>
          <w:rFonts w:hint="cs"/>
          <w:sz w:val="22"/>
          <w:szCs w:val="22"/>
          <w:rtl/>
        </w:rPr>
        <w:t xml:space="preserve">הותרת פתח ברור לתיקונו של </w:t>
      </w:r>
      <w:r>
        <w:rPr>
          <w:rFonts w:hint="cs"/>
          <w:sz w:val="22"/>
          <w:szCs w:val="22"/>
          <w:rtl/>
        </w:rPr>
        <w:t>ה</w:t>
      </w:r>
      <w:r w:rsidRPr="009345C6">
        <w:rPr>
          <w:rFonts w:hint="cs"/>
          <w:sz w:val="22"/>
          <w:szCs w:val="22"/>
          <w:rtl/>
        </w:rPr>
        <w:t xml:space="preserve">מוסד </w:t>
      </w:r>
      <w:r>
        <w:rPr>
          <w:rFonts w:hint="cs"/>
          <w:sz w:val="22"/>
          <w:szCs w:val="22"/>
          <w:rtl/>
        </w:rPr>
        <w:t>השיפוטי</w:t>
      </w:r>
      <w:r w:rsidRPr="009345C6">
        <w:rPr>
          <w:rFonts w:hint="cs"/>
          <w:sz w:val="22"/>
          <w:szCs w:val="22"/>
          <w:rtl/>
        </w:rPr>
        <w:t xml:space="preserve"> </w:t>
      </w:r>
      <w:r w:rsidRPr="009345C6">
        <w:rPr>
          <w:sz w:val="22"/>
          <w:szCs w:val="22"/>
          <w:rtl/>
        </w:rPr>
        <w:t>–</w:t>
      </w:r>
      <w:r w:rsidRPr="009345C6">
        <w:rPr>
          <w:rFonts w:hint="cs"/>
          <w:sz w:val="22"/>
          <w:szCs w:val="22"/>
          <w:rtl/>
        </w:rPr>
        <w:t xml:space="preserve"> "דיאלוג חוקתי" (נוקשות</w:t>
      </w:r>
      <w:r>
        <w:rPr>
          <w:rFonts w:hint="cs"/>
          <w:sz w:val="22"/>
          <w:szCs w:val="22"/>
          <w:rtl/>
        </w:rPr>
        <w:t>,</w:t>
      </w:r>
      <w:r w:rsidRPr="009345C6">
        <w:rPr>
          <w:rFonts w:hint="cs"/>
          <w:sz w:val="22"/>
          <w:szCs w:val="22"/>
          <w:rtl/>
        </w:rPr>
        <w:t xml:space="preserve"> אך נוקשות מוגבלת</w:t>
      </w:r>
      <w:r>
        <w:rPr>
          <w:rFonts w:hint="cs"/>
          <w:sz w:val="22"/>
          <w:szCs w:val="22"/>
          <w:rtl/>
        </w:rPr>
        <w:t>,</w:t>
      </w:r>
      <w:r w:rsidRPr="009345C6">
        <w:rPr>
          <w:rFonts w:hint="cs"/>
          <w:sz w:val="22"/>
          <w:szCs w:val="22"/>
          <w:rtl/>
        </w:rPr>
        <w:t xml:space="preserve"> של החוקה </w:t>
      </w:r>
      <w:r w:rsidRPr="009345C6">
        <w:rPr>
          <w:sz w:val="22"/>
          <w:szCs w:val="22"/>
          <w:rtl/>
        </w:rPr>
        <w:t>–</w:t>
      </w:r>
      <w:r w:rsidRPr="009345C6">
        <w:rPr>
          <w:rFonts w:hint="cs"/>
          <w:sz w:val="22"/>
          <w:szCs w:val="22"/>
          <w:rtl/>
        </w:rPr>
        <w:t xml:space="preserve"> אפשרות לתיקונה). </w:t>
      </w:r>
    </w:p>
    <w:p w:rsidR="005366A8" w:rsidRPr="009345C6" w:rsidRDefault="005366A8" w:rsidP="005366A8">
      <w:pPr>
        <w:ind w:left="720" w:right="-284"/>
        <w:rPr>
          <w:sz w:val="22"/>
          <w:szCs w:val="22"/>
          <w:rtl/>
        </w:rPr>
      </w:pPr>
    </w:p>
    <w:p w:rsidR="005366A8" w:rsidRPr="009345C6" w:rsidRDefault="005366A8" w:rsidP="005366A8">
      <w:pPr>
        <w:spacing w:after="60"/>
        <w:ind w:right="-284"/>
        <w:rPr>
          <w:sz w:val="22"/>
          <w:szCs w:val="22"/>
          <w:rtl/>
        </w:rPr>
      </w:pPr>
      <w:r>
        <w:rPr>
          <w:rFonts w:hint="cs"/>
          <w:sz w:val="22"/>
          <w:szCs w:val="22"/>
          <w:rtl/>
        </w:rPr>
        <w:t xml:space="preserve">^ </w:t>
      </w:r>
      <w:r w:rsidRPr="008213DB">
        <w:rPr>
          <w:rFonts w:hint="cs"/>
          <w:sz w:val="22"/>
          <w:szCs w:val="22"/>
          <w:highlight w:val="yellow"/>
          <w:rtl/>
        </w:rPr>
        <w:t xml:space="preserve">עיקר הביקורת של שטייניץ היא על הדמוקרטיה הליברלית בוורסיה החוקתית שלה. הוא גורס שהיא מבוֹא לדיקטטורה, והוא עושה אנלוגיה בין מהלכיה לבין "הדמוקרטיות העממיות" הידועות לשמצה (המדינות הקומוניסטיות, החד-מפלגתיות). עד כמה </w:t>
      </w:r>
      <w:r>
        <w:rPr>
          <w:rFonts w:hint="cs"/>
          <w:sz w:val="22"/>
          <w:szCs w:val="22"/>
          <w:highlight w:val="yellow"/>
          <w:rtl/>
        </w:rPr>
        <w:t xml:space="preserve">רצינית </w:t>
      </w:r>
      <w:r w:rsidRPr="008213DB">
        <w:rPr>
          <w:rFonts w:hint="cs"/>
          <w:sz w:val="22"/>
          <w:szCs w:val="22"/>
          <w:highlight w:val="yellow"/>
          <w:rtl/>
        </w:rPr>
        <w:t>טענה זו</w:t>
      </w:r>
      <w:r>
        <w:rPr>
          <w:rFonts w:hint="cs"/>
          <w:sz w:val="22"/>
          <w:szCs w:val="22"/>
          <w:highlight w:val="yellow"/>
          <w:rtl/>
        </w:rPr>
        <w:t>/</w:t>
      </w:r>
      <w:r w:rsidRPr="008213DB">
        <w:rPr>
          <w:rFonts w:hint="cs"/>
          <w:sz w:val="22"/>
          <w:szCs w:val="22"/>
          <w:highlight w:val="yellow"/>
          <w:rtl/>
        </w:rPr>
        <w:t xml:space="preserve"> אנלוגיה זו?</w:t>
      </w:r>
      <w:r w:rsidRPr="009345C6">
        <w:rPr>
          <w:rFonts w:hint="cs"/>
          <w:sz w:val="22"/>
          <w:szCs w:val="22"/>
          <w:rtl/>
        </w:rPr>
        <w:t xml:space="preserve"> </w:t>
      </w:r>
    </w:p>
    <w:p w:rsidR="005366A8" w:rsidRDefault="005366A8" w:rsidP="005366A8">
      <w:pPr>
        <w:spacing w:after="60"/>
        <w:ind w:left="1440" w:right="-284" w:hanging="720"/>
        <w:rPr>
          <w:sz w:val="22"/>
          <w:szCs w:val="22"/>
          <w:rtl/>
        </w:rPr>
      </w:pPr>
      <w:r w:rsidRPr="009345C6">
        <w:rPr>
          <w:rFonts w:hint="cs"/>
          <w:sz w:val="22"/>
          <w:szCs w:val="22"/>
          <w:rtl/>
        </w:rPr>
        <w:t>ראשית, מותר לנו לשאול, על מה שטייניץ מסתמך? האם הוא מצביע על דוגמא היסטורית אחת</w:t>
      </w:r>
      <w:r>
        <w:rPr>
          <w:rFonts w:hint="cs"/>
          <w:sz w:val="22"/>
          <w:szCs w:val="22"/>
          <w:rtl/>
        </w:rPr>
        <w:t xml:space="preserve"> לכך? </w:t>
      </w:r>
    </w:p>
    <w:p w:rsidR="005366A8" w:rsidRDefault="005366A8" w:rsidP="005366A8">
      <w:pPr>
        <w:spacing w:after="60"/>
        <w:ind w:left="1440" w:right="-284"/>
        <w:rPr>
          <w:sz w:val="22"/>
          <w:szCs w:val="22"/>
          <w:rtl/>
        </w:rPr>
      </w:pPr>
      <w:r>
        <w:rPr>
          <w:rFonts w:hint="cs"/>
          <w:sz w:val="22"/>
          <w:szCs w:val="22"/>
          <w:rtl/>
        </w:rPr>
        <w:t xml:space="preserve">הוא מצביע על גרמניה של ויימאר (זו שהנאצים החליפוה). ואולם בכך הוא מצביע על </w:t>
      </w:r>
      <w:r w:rsidRPr="009345C6">
        <w:rPr>
          <w:rFonts w:hint="cs"/>
          <w:sz w:val="22"/>
          <w:szCs w:val="22"/>
          <w:rtl/>
        </w:rPr>
        <w:t>אפשרות שיברונה</w:t>
      </w:r>
      <w:r>
        <w:rPr>
          <w:rFonts w:hint="cs"/>
          <w:sz w:val="22"/>
          <w:szCs w:val="22"/>
          <w:rtl/>
        </w:rPr>
        <w:t>/ על חולשתה</w:t>
      </w:r>
      <w:r w:rsidRPr="009345C6">
        <w:rPr>
          <w:rFonts w:hint="cs"/>
          <w:sz w:val="22"/>
          <w:szCs w:val="22"/>
          <w:rtl/>
        </w:rPr>
        <w:t xml:space="preserve"> של דמוקרטיה ליברלית </w:t>
      </w:r>
      <w:r>
        <w:rPr>
          <w:rFonts w:hint="cs"/>
          <w:sz w:val="22"/>
          <w:szCs w:val="22"/>
          <w:rtl/>
        </w:rPr>
        <w:t xml:space="preserve">מסוימת, ואולם בטענתו לסכנת הדיקטטורה הטמונה בדמוקרטיה הליברלית </w:t>
      </w:r>
      <w:r w:rsidRPr="001F5951">
        <w:rPr>
          <w:rFonts w:hint="cs"/>
          <w:i/>
          <w:iCs/>
          <w:sz w:val="22"/>
          <w:szCs w:val="22"/>
          <w:rtl/>
        </w:rPr>
        <w:t>הוא הרי טוען בכיוון ההפוך</w:t>
      </w:r>
      <w:r>
        <w:rPr>
          <w:rFonts w:hint="cs"/>
          <w:sz w:val="22"/>
          <w:szCs w:val="22"/>
          <w:rtl/>
        </w:rPr>
        <w:t xml:space="preserve"> </w:t>
      </w:r>
      <w:r>
        <w:rPr>
          <w:sz w:val="22"/>
          <w:szCs w:val="22"/>
          <w:rtl/>
        </w:rPr>
        <w:t>–</w:t>
      </w:r>
      <w:r>
        <w:rPr>
          <w:rFonts w:hint="cs"/>
          <w:sz w:val="22"/>
          <w:szCs w:val="22"/>
          <w:rtl/>
        </w:rPr>
        <w:t xml:space="preserve"> לא לחולשת-יתר של הדמוקרטיה הליברלית אלא לחוזק-יתר שלה ("ממנה תצא דיקטטורה"); כלומר</w:t>
      </w:r>
      <w:r w:rsidRPr="009345C6">
        <w:rPr>
          <w:rFonts w:hint="cs"/>
          <w:sz w:val="22"/>
          <w:szCs w:val="22"/>
          <w:rtl/>
        </w:rPr>
        <w:t xml:space="preserve"> </w:t>
      </w:r>
      <w:r>
        <w:rPr>
          <w:rFonts w:hint="cs"/>
          <w:sz w:val="22"/>
          <w:szCs w:val="22"/>
          <w:rtl/>
        </w:rPr>
        <w:t xml:space="preserve">הוא טוען </w:t>
      </w:r>
      <w:r w:rsidRPr="009345C6">
        <w:rPr>
          <w:rFonts w:hint="cs"/>
          <w:sz w:val="22"/>
          <w:szCs w:val="22"/>
          <w:rtl/>
        </w:rPr>
        <w:t xml:space="preserve">שדמוקרטיה ליברלית תתגלגל, </w:t>
      </w:r>
      <w:r w:rsidRPr="00791A94">
        <w:rPr>
          <w:rFonts w:hint="cs"/>
          <w:i/>
          <w:iCs/>
          <w:sz w:val="22"/>
          <w:szCs w:val="22"/>
          <w:rtl/>
        </w:rPr>
        <w:t>היא עצמה</w:t>
      </w:r>
      <w:r w:rsidRPr="009345C6">
        <w:rPr>
          <w:rFonts w:hint="cs"/>
          <w:sz w:val="22"/>
          <w:szCs w:val="22"/>
          <w:rtl/>
        </w:rPr>
        <w:t>, להיות דיקטטורה</w:t>
      </w:r>
      <w:r>
        <w:rPr>
          <w:rFonts w:hint="cs"/>
          <w:sz w:val="22"/>
          <w:szCs w:val="22"/>
          <w:rtl/>
        </w:rPr>
        <w:t xml:space="preserve">. </w:t>
      </w:r>
    </w:p>
    <w:p w:rsidR="005366A8" w:rsidRPr="009345C6" w:rsidRDefault="005366A8" w:rsidP="005366A8">
      <w:pPr>
        <w:spacing w:after="60"/>
        <w:ind w:left="1440" w:right="-284"/>
        <w:rPr>
          <w:sz w:val="22"/>
          <w:szCs w:val="22"/>
          <w:rtl/>
        </w:rPr>
      </w:pPr>
      <w:r>
        <w:rPr>
          <w:rFonts w:hint="cs"/>
          <w:sz w:val="22"/>
          <w:szCs w:val="22"/>
          <w:rtl/>
        </w:rPr>
        <w:t>היכן אישושיו לטענותיו</w:t>
      </w:r>
      <w:r w:rsidRPr="009345C6">
        <w:rPr>
          <w:rFonts w:hint="cs"/>
          <w:sz w:val="22"/>
          <w:szCs w:val="22"/>
          <w:rtl/>
        </w:rPr>
        <w:t>? כ</w:t>
      </w:r>
      <w:r>
        <w:rPr>
          <w:rFonts w:hint="cs"/>
          <w:sz w:val="22"/>
          <w:szCs w:val="22"/>
          <w:rtl/>
        </w:rPr>
        <w:t>כלות הכל יש לנו לפחות 70-60</w:t>
      </w:r>
      <w:r w:rsidRPr="009345C6">
        <w:rPr>
          <w:rFonts w:hint="cs"/>
          <w:sz w:val="22"/>
          <w:szCs w:val="22"/>
          <w:rtl/>
        </w:rPr>
        <w:t xml:space="preserve"> שנ</w:t>
      </w:r>
      <w:r>
        <w:rPr>
          <w:rFonts w:hint="cs"/>
          <w:sz w:val="22"/>
          <w:szCs w:val="22"/>
          <w:rtl/>
        </w:rPr>
        <w:t>ים</w:t>
      </w:r>
      <w:r w:rsidRPr="009345C6">
        <w:rPr>
          <w:rFonts w:hint="cs"/>
          <w:sz w:val="22"/>
          <w:szCs w:val="22"/>
          <w:rtl/>
        </w:rPr>
        <w:t xml:space="preserve"> של התנסות עם הרחבת התופעה של דמוקרטיות ליברליות-חוקתיות </w:t>
      </w:r>
      <w:r w:rsidRPr="009345C6">
        <w:rPr>
          <w:sz w:val="22"/>
          <w:szCs w:val="22"/>
          <w:rtl/>
        </w:rPr>
        <w:t>–</w:t>
      </w:r>
      <w:r w:rsidRPr="009345C6">
        <w:rPr>
          <w:rFonts w:hint="cs"/>
          <w:sz w:val="22"/>
          <w:szCs w:val="22"/>
          <w:rtl/>
        </w:rPr>
        <w:t xml:space="preserve"> היש דוגמא, ולוּ אחת, </w:t>
      </w:r>
      <w:r>
        <w:rPr>
          <w:rFonts w:hint="cs"/>
          <w:sz w:val="22"/>
          <w:szCs w:val="22"/>
          <w:rtl/>
        </w:rPr>
        <w:t>התומכת באזהרתו</w:t>
      </w:r>
      <w:r w:rsidRPr="009345C6">
        <w:rPr>
          <w:rFonts w:hint="cs"/>
          <w:sz w:val="22"/>
          <w:szCs w:val="22"/>
          <w:rtl/>
        </w:rPr>
        <w:t>?</w:t>
      </w:r>
    </w:p>
    <w:p w:rsidR="005366A8" w:rsidRPr="009345C6" w:rsidRDefault="005366A8" w:rsidP="005366A8">
      <w:pPr>
        <w:ind w:left="1440" w:right="-284" w:hanging="720"/>
        <w:rPr>
          <w:sz w:val="22"/>
          <w:szCs w:val="22"/>
          <w:rtl/>
        </w:rPr>
      </w:pPr>
      <w:r w:rsidRPr="009345C6">
        <w:rPr>
          <w:rFonts w:hint="cs"/>
          <w:sz w:val="22"/>
          <w:szCs w:val="22"/>
          <w:rtl/>
        </w:rPr>
        <w:t>שנית, הדמוקרטיה הליברלית</w:t>
      </w:r>
      <w:r>
        <w:rPr>
          <w:rFonts w:hint="cs"/>
          <w:sz w:val="22"/>
          <w:szCs w:val="22"/>
          <w:rtl/>
        </w:rPr>
        <w:t xml:space="preserve"> פונה יותר מכל אידיאולוגיה אחרת בכיוון ההפוך מדיקטטורה. זאת משום שהיא</w:t>
      </w:r>
      <w:r w:rsidRPr="009345C6">
        <w:rPr>
          <w:rFonts w:hint="cs"/>
          <w:sz w:val="22"/>
          <w:szCs w:val="22"/>
          <w:rtl/>
        </w:rPr>
        <w:t xml:space="preserve"> דוגלת </w:t>
      </w:r>
      <w:r w:rsidRPr="009345C6">
        <w:rPr>
          <w:rFonts w:hint="cs"/>
          <w:i/>
          <w:iCs/>
          <w:sz w:val="22"/>
          <w:szCs w:val="22"/>
          <w:rtl/>
        </w:rPr>
        <w:t>בסובלנות</w:t>
      </w:r>
      <w:r w:rsidRPr="009345C6">
        <w:rPr>
          <w:rFonts w:hint="cs"/>
          <w:sz w:val="22"/>
          <w:szCs w:val="22"/>
          <w:rtl/>
        </w:rPr>
        <w:t xml:space="preserve"> ומפעילה סובלנות שהיא רחבה יותר </w:t>
      </w:r>
      <w:r>
        <w:rPr>
          <w:rFonts w:hint="cs"/>
          <w:sz w:val="22"/>
          <w:szCs w:val="22"/>
          <w:rtl/>
        </w:rPr>
        <w:t>מבכל אידיאולוגיה אחרת</w:t>
      </w:r>
      <w:r w:rsidRPr="009345C6">
        <w:rPr>
          <w:rFonts w:hint="cs"/>
          <w:sz w:val="22"/>
          <w:szCs w:val="22"/>
          <w:rtl/>
        </w:rPr>
        <w:t xml:space="preserve">. זאת משום שסובלנות היא הנגזרת הישירה של נקודת המוצא הליברלית בדבר </w:t>
      </w:r>
      <w:r w:rsidRPr="001F5951">
        <w:rPr>
          <w:rFonts w:hint="cs"/>
          <w:b/>
          <w:bCs/>
          <w:sz w:val="22"/>
          <w:szCs w:val="22"/>
          <w:rtl/>
        </w:rPr>
        <w:t>האוטונומיה האנושית</w:t>
      </w:r>
      <w:r w:rsidRPr="009345C6">
        <w:rPr>
          <w:rFonts w:hint="cs"/>
          <w:sz w:val="22"/>
          <w:szCs w:val="22"/>
          <w:rtl/>
        </w:rPr>
        <w:t xml:space="preserve">. </w:t>
      </w:r>
    </w:p>
    <w:p w:rsidR="005366A8" w:rsidRPr="009345C6" w:rsidRDefault="005366A8" w:rsidP="005366A8">
      <w:pPr>
        <w:spacing w:after="60"/>
        <w:ind w:left="2160" w:right="-284" w:hanging="720"/>
        <w:rPr>
          <w:sz w:val="22"/>
          <w:szCs w:val="22"/>
          <w:rtl/>
        </w:rPr>
      </w:pPr>
      <w:r w:rsidRPr="009345C6">
        <w:rPr>
          <w:rFonts w:hint="cs"/>
          <w:sz w:val="22"/>
          <w:szCs w:val="22"/>
          <w:rtl/>
        </w:rPr>
        <w:t>מהם ביטויה העיקריים של הסובלנות הליברלית?</w:t>
      </w:r>
    </w:p>
    <w:p w:rsidR="005366A8" w:rsidRPr="009345C6" w:rsidRDefault="005366A8" w:rsidP="005366A8">
      <w:pPr>
        <w:spacing w:after="60"/>
        <w:ind w:left="2160" w:right="-284" w:hanging="720"/>
        <w:rPr>
          <w:sz w:val="22"/>
          <w:szCs w:val="22"/>
          <w:rtl/>
        </w:rPr>
      </w:pPr>
      <w:r w:rsidRPr="009345C6">
        <w:rPr>
          <w:rFonts w:hint="cs"/>
          <w:sz w:val="22"/>
          <w:szCs w:val="22"/>
          <w:rtl/>
        </w:rPr>
        <w:t>א. הפער בין מה שראוי לסימון כ"רע" לבין הצדקת סימונו כ"אסור". במילים אחרות, כ</w:t>
      </w:r>
      <w:r>
        <w:rPr>
          <w:rFonts w:hint="cs"/>
          <w:sz w:val="22"/>
          <w:szCs w:val="22"/>
          <w:rtl/>
        </w:rPr>
        <w:t xml:space="preserve">מו </w:t>
      </w:r>
      <w:r w:rsidRPr="009345C6">
        <w:rPr>
          <w:rFonts w:hint="cs"/>
          <w:sz w:val="22"/>
          <w:szCs w:val="22"/>
          <w:rtl/>
        </w:rPr>
        <w:t>באידיאולוגיות אחרות יש בליברליזם סימון של "טוב" ו"רע" ושל "מותר ואסור", ואולם ב</w:t>
      </w:r>
      <w:r>
        <w:rPr>
          <w:rFonts w:hint="cs"/>
          <w:sz w:val="22"/>
          <w:szCs w:val="22"/>
          <w:rtl/>
        </w:rPr>
        <w:t>שונה מאידיאולוגיות אחרות, ב</w:t>
      </w:r>
      <w:r w:rsidRPr="009345C6">
        <w:rPr>
          <w:rFonts w:hint="cs"/>
          <w:sz w:val="22"/>
          <w:szCs w:val="22"/>
          <w:rtl/>
        </w:rPr>
        <w:t xml:space="preserve">דמוקרטיה ליברלית יש זהירות </w:t>
      </w:r>
      <w:r>
        <w:rPr>
          <w:rFonts w:hint="cs"/>
          <w:sz w:val="22"/>
          <w:szCs w:val="22"/>
          <w:rtl/>
        </w:rPr>
        <w:t>מוגברת ביחס ל</w:t>
      </w:r>
      <w:r w:rsidRPr="009345C6">
        <w:rPr>
          <w:rFonts w:hint="cs"/>
          <w:sz w:val="22"/>
          <w:szCs w:val="22"/>
          <w:rtl/>
        </w:rPr>
        <w:t xml:space="preserve">סימון </w:t>
      </w:r>
      <w:r>
        <w:rPr>
          <w:rFonts w:hint="cs"/>
          <w:sz w:val="22"/>
          <w:szCs w:val="22"/>
          <w:rtl/>
        </w:rPr>
        <w:t>ה</w:t>
      </w:r>
      <w:r w:rsidRPr="009345C6">
        <w:rPr>
          <w:rFonts w:hint="cs"/>
          <w:sz w:val="22"/>
          <w:szCs w:val="22"/>
          <w:rtl/>
        </w:rPr>
        <w:t>"רע"; וחשוב מכך, יש בה זהירות גדולה ממש ב</w:t>
      </w:r>
      <w:r>
        <w:rPr>
          <w:rFonts w:hint="cs"/>
          <w:sz w:val="22"/>
          <w:szCs w:val="22"/>
          <w:rtl/>
        </w:rPr>
        <w:t>יחס ל</w:t>
      </w:r>
      <w:r w:rsidRPr="009345C6">
        <w:rPr>
          <w:rFonts w:hint="cs"/>
          <w:sz w:val="22"/>
          <w:szCs w:val="22"/>
          <w:rtl/>
        </w:rPr>
        <w:t xml:space="preserve">סימון </w:t>
      </w:r>
      <w:r>
        <w:rPr>
          <w:rFonts w:hint="cs"/>
          <w:sz w:val="22"/>
          <w:szCs w:val="22"/>
          <w:rtl/>
        </w:rPr>
        <w:t>ה</w:t>
      </w:r>
      <w:r w:rsidRPr="009345C6">
        <w:rPr>
          <w:rFonts w:hint="cs"/>
          <w:sz w:val="22"/>
          <w:szCs w:val="22"/>
          <w:rtl/>
        </w:rPr>
        <w:t>"אסור"</w:t>
      </w:r>
      <w:r>
        <w:rPr>
          <w:rFonts w:hint="cs"/>
          <w:sz w:val="22"/>
          <w:szCs w:val="22"/>
          <w:rtl/>
        </w:rPr>
        <w:t>.</w:t>
      </w:r>
      <w:r w:rsidRPr="009345C6">
        <w:rPr>
          <w:rFonts w:hint="cs"/>
          <w:sz w:val="22"/>
          <w:szCs w:val="22"/>
          <w:rtl/>
        </w:rPr>
        <w:t xml:space="preserve"> כתוצאה מכך נשמר פער ממשי בין </w:t>
      </w:r>
      <w:r>
        <w:rPr>
          <w:rFonts w:hint="cs"/>
          <w:sz w:val="22"/>
          <w:szCs w:val="22"/>
          <w:rtl/>
        </w:rPr>
        <w:t xml:space="preserve">מה שהוא </w:t>
      </w:r>
      <w:r w:rsidRPr="009345C6">
        <w:rPr>
          <w:rFonts w:hint="cs"/>
          <w:sz w:val="22"/>
          <w:szCs w:val="22"/>
          <w:rtl/>
        </w:rPr>
        <w:t xml:space="preserve">רע </w:t>
      </w:r>
      <w:r>
        <w:rPr>
          <w:rFonts w:hint="cs"/>
          <w:sz w:val="22"/>
          <w:szCs w:val="22"/>
          <w:rtl/>
        </w:rPr>
        <w:t>לבין מה שניתן לאוסרו.</w:t>
      </w:r>
      <w:r w:rsidRPr="009345C6">
        <w:rPr>
          <w:rFonts w:hint="cs"/>
          <w:sz w:val="22"/>
          <w:szCs w:val="22"/>
          <w:rtl/>
        </w:rPr>
        <w:t xml:space="preserve"> יתר</w:t>
      </w:r>
      <w:r>
        <w:rPr>
          <w:rFonts w:hint="cs"/>
          <w:sz w:val="22"/>
          <w:szCs w:val="22"/>
          <w:rtl/>
        </w:rPr>
        <w:t>ה מזו</w:t>
      </w:r>
      <w:r w:rsidRPr="009345C6">
        <w:rPr>
          <w:rFonts w:hint="cs"/>
          <w:sz w:val="22"/>
          <w:szCs w:val="22"/>
          <w:rtl/>
        </w:rPr>
        <w:t>, יש ב</w:t>
      </w:r>
      <w:r>
        <w:rPr>
          <w:rFonts w:hint="cs"/>
          <w:sz w:val="22"/>
          <w:szCs w:val="22"/>
          <w:rtl/>
        </w:rPr>
        <w:t>ליברליזם</w:t>
      </w:r>
      <w:r w:rsidRPr="009345C6">
        <w:rPr>
          <w:rFonts w:hint="cs"/>
          <w:sz w:val="22"/>
          <w:szCs w:val="22"/>
          <w:rtl/>
        </w:rPr>
        <w:t xml:space="preserve"> מידה של ספקנות ונכונות לפתיחת חלק מהסיווגים שהתגבשו ביחס למהו "רע" ולמה ראוי "לאסור";</w:t>
      </w:r>
    </w:p>
    <w:p w:rsidR="005366A8" w:rsidRPr="009345C6" w:rsidRDefault="005366A8" w:rsidP="005366A8">
      <w:pPr>
        <w:spacing w:after="60"/>
        <w:ind w:left="2160" w:right="-284" w:hanging="720"/>
        <w:rPr>
          <w:sz w:val="22"/>
          <w:szCs w:val="22"/>
          <w:rtl/>
        </w:rPr>
      </w:pPr>
      <w:r w:rsidRPr="009345C6">
        <w:rPr>
          <w:rFonts w:hint="cs"/>
          <w:sz w:val="22"/>
          <w:szCs w:val="22"/>
          <w:rtl/>
        </w:rPr>
        <w:t xml:space="preserve">ב. יש בדמוקרטיה הליברלית דגש על ההבחנה בין </w:t>
      </w:r>
      <w:r w:rsidRPr="009345C6">
        <w:rPr>
          <w:rFonts w:hint="cs"/>
          <w:i/>
          <w:iCs/>
          <w:sz w:val="22"/>
          <w:szCs w:val="22"/>
          <w:rtl/>
        </w:rPr>
        <w:t>מחשבה וביטוי</w:t>
      </w:r>
      <w:r w:rsidRPr="009345C6">
        <w:rPr>
          <w:rFonts w:hint="cs"/>
          <w:sz w:val="22"/>
          <w:szCs w:val="22"/>
          <w:rtl/>
        </w:rPr>
        <w:t xml:space="preserve"> מצד אחד, לבין </w:t>
      </w:r>
      <w:r w:rsidRPr="009345C6">
        <w:rPr>
          <w:rFonts w:hint="cs"/>
          <w:i/>
          <w:iCs/>
          <w:sz w:val="22"/>
          <w:szCs w:val="22"/>
          <w:rtl/>
        </w:rPr>
        <w:t>מעשה</w:t>
      </w:r>
      <w:r w:rsidRPr="009345C6">
        <w:rPr>
          <w:rFonts w:hint="cs"/>
          <w:sz w:val="22"/>
          <w:szCs w:val="22"/>
          <w:rtl/>
        </w:rPr>
        <w:t xml:space="preserve"> מצד שני.  במילים אחרות, מופיעה סובלנות רבה כלפי מחשבה וביטוי. זהו המקום הכל-כך מרכזי שיש לחופש הביטוי בדמוקרטיה הליברלית.</w:t>
      </w:r>
    </w:p>
    <w:p w:rsidR="005366A8" w:rsidRPr="009345C6" w:rsidRDefault="005366A8" w:rsidP="005366A8">
      <w:pPr>
        <w:ind w:left="1440" w:right="-284"/>
        <w:rPr>
          <w:sz w:val="22"/>
          <w:szCs w:val="22"/>
          <w:rtl/>
        </w:rPr>
      </w:pPr>
      <w:r w:rsidRPr="009345C6">
        <w:rPr>
          <w:rFonts w:hint="cs"/>
          <w:sz w:val="22"/>
          <w:szCs w:val="22"/>
          <w:rtl/>
        </w:rPr>
        <w:t xml:space="preserve">=&gt; ואכן, זכויות האדם </w:t>
      </w:r>
      <w:r>
        <w:rPr>
          <w:rFonts w:hint="cs"/>
          <w:sz w:val="22"/>
          <w:szCs w:val="22"/>
          <w:rtl/>
        </w:rPr>
        <w:t xml:space="preserve">והחוקה שנועדה להגביר את ההגנה עליהן </w:t>
      </w:r>
      <w:r w:rsidRPr="009345C6">
        <w:rPr>
          <w:rFonts w:hint="cs"/>
          <w:sz w:val="22"/>
          <w:szCs w:val="22"/>
          <w:rtl/>
        </w:rPr>
        <w:t xml:space="preserve">הן מעטה-הגנה ממשי </w:t>
      </w:r>
      <w:r>
        <w:rPr>
          <w:rFonts w:hint="cs"/>
          <w:sz w:val="22"/>
          <w:szCs w:val="22"/>
          <w:rtl/>
        </w:rPr>
        <w:t xml:space="preserve">(אך לא-בלתי-מוגבל) המוענק לכולם, ובכללם </w:t>
      </w:r>
      <w:r w:rsidRPr="009345C6">
        <w:rPr>
          <w:rFonts w:hint="cs"/>
          <w:sz w:val="22"/>
          <w:szCs w:val="22"/>
          <w:rtl/>
        </w:rPr>
        <w:t>גם "ללא סובלן"</w:t>
      </w:r>
      <w:r>
        <w:rPr>
          <w:rFonts w:hint="cs"/>
          <w:sz w:val="22"/>
          <w:szCs w:val="22"/>
          <w:rtl/>
        </w:rPr>
        <w:t>.</w:t>
      </w:r>
    </w:p>
    <w:p w:rsidR="005366A8" w:rsidRPr="009345C6" w:rsidRDefault="005366A8" w:rsidP="005366A8">
      <w:pPr>
        <w:ind w:left="1440" w:right="-284"/>
        <w:rPr>
          <w:sz w:val="22"/>
          <w:szCs w:val="22"/>
          <w:rtl/>
        </w:rPr>
      </w:pPr>
    </w:p>
    <w:p w:rsidR="005366A8" w:rsidRDefault="005366A8" w:rsidP="005366A8">
      <w:pPr>
        <w:spacing w:after="60"/>
        <w:ind w:right="-284"/>
        <w:rPr>
          <w:sz w:val="22"/>
          <w:szCs w:val="22"/>
          <w:highlight w:val="yellow"/>
          <w:rtl/>
        </w:rPr>
      </w:pPr>
      <w:r w:rsidRPr="008213DB">
        <w:rPr>
          <w:rFonts w:hint="cs"/>
          <w:sz w:val="22"/>
          <w:szCs w:val="22"/>
          <w:highlight w:val="yellow"/>
          <w:rtl/>
        </w:rPr>
        <w:t>שטייניץ יוסיף אולי, בעניין חופש הביטוי</w:t>
      </w:r>
      <w:r>
        <w:rPr>
          <w:rFonts w:hint="cs"/>
          <w:sz w:val="22"/>
          <w:szCs w:val="22"/>
          <w:highlight w:val="yellow"/>
          <w:rtl/>
        </w:rPr>
        <w:t xml:space="preserve"> כך</w:t>
      </w:r>
      <w:r w:rsidRPr="008213DB">
        <w:rPr>
          <w:rFonts w:hint="cs"/>
          <w:sz w:val="22"/>
          <w:szCs w:val="22"/>
          <w:highlight w:val="yellow"/>
          <w:rtl/>
        </w:rPr>
        <w:t xml:space="preserve">: אמנם </w:t>
      </w:r>
      <w:r>
        <w:rPr>
          <w:rFonts w:hint="cs"/>
          <w:sz w:val="22"/>
          <w:szCs w:val="22"/>
          <w:highlight w:val="yellow"/>
          <w:rtl/>
        </w:rPr>
        <w:t xml:space="preserve">בליברליזם </w:t>
      </w:r>
      <w:r w:rsidRPr="008213DB">
        <w:rPr>
          <w:rFonts w:hint="cs"/>
          <w:sz w:val="22"/>
          <w:szCs w:val="22"/>
          <w:highlight w:val="yellow"/>
          <w:rtl/>
        </w:rPr>
        <w:t xml:space="preserve">אין פסילה ישירה </w:t>
      </w:r>
      <w:r w:rsidRPr="008213DB">
        <w:rPr>
          <w:sz w:val="22"/>
          <w:szCs w:val="22"/>
          <w:highlight w:val="yellow"/>
          <w:rtl/>
        </w:rPr>
        <w:t>–</w:t>
      </w:r>
      <w:r w:rsidRPr="008213DB">
        <w:rPr>
          <w:rFonts w:hint="cs"/>
          <w:sz w:val="22"/>
          <w:szCs w:val="22"/>
          <w:highlight w:val="yellow"/>
          <w:rtl/>
        </w:rPr>
        <w:t xml:space="preserve"> אין איסור </w:t>
      </w:r>
      <w:r w:rsidRPr="008213DB">
        <w:rPr>
          <w:sz w:val="22"/>
          <w:szCs w:val="22"/>
          <w:highlight w:val="yellow"/>
          <w:rtl/>
        </w:rPr>
        <w:t>–</w:t>
      </w:r>
      <w:r w:rsidRPr="008213DB">
        <w:rPr>
          <w:rFonts w:hint="cs"/>
          <w:sz w:val="22"/>
          <w:szCs w:val="22"/>
          <w:highlight w:val="yellow"/>
          <w:rtl/>
        </w:rPr>
        <w:t xml:space="preserve"> על השמעת עמדות נוגדות, אך </w:t>
      </w:r>
    </w:p>
    <w:p w:rsidR="005366A8" w:rsidRDefault="005366A8" w:rsidP="005366A8">
      <w:pPr>
        <w:spacing w:after="60"/>
        <w:ind w:left="720" w:right="-284"/>
        <w:rPr>
          <w:sz w:val="22"/>
          <w:szCs w:val="22"/>
          <w:highlight w:val="yellow"/>
          <w:rtl/>
        </w:rPr>
      </w:pPr>
      <w:r w:rsidRPr="008213DB">
        <w:rPr>
          <w:rFonts w:hint="cs"/>
          <w:sz w:val="22"/>
          <w:szCs w:val="22"/>
          <w:highlight w:val="yellow"/>
          <w:rtl/>
        </w:rPr>
        <w:t xml:space="preserve">(א). הדמוקרטיה הליברלית חוסמת את האפשרות שעמדות אלו </w:t>
      </w:r>
      <w:r w:rsidRPr="008213DB">
        <w:rPr>
          <w:rFonts w:hint="cs"/>
          <w:b/>
          <w:bCs/>
          <w:sz w:val="22"/>
          <w:szCs w:val="22"/>
          <w:highlight w:val="yellow"/>
          <w:rtl/>
        </w:rPr>
        <w:t>ינצחו</w:t>
      </w:r>
      <w:r w:rsidRPr="008213DB">
        <w:rPr>
          <w:rFonts w:hint="cs"/>
          <w:sz w:val="22"/>
          <w:szCs w:val="22"/>
          <w:highlight w:val="yellow"/>
          <w:rtl/>
        </w:rPr>
        <w:t xml:space="preserve">; </w:t>
      </w:r>
    </w:p>
    <w:p w:rsidR="005366A8" w:rsidRDefault="005366A8" w:rsidP="005366A8">
      <w:pPr>
        <w:spacing w:after="60"/>
        <w:ind w:left="720" w:right="-284"/>
        <w:rPr>
          <w:sz w:val="22"/>
          <w:szCs w:val="22"/>
          <w:rtl/>
        </w:rPr>
      </w:pPr>
      <w:r w:rsidRPr="008213DB">
        <w:rPr>
          <w:rFonts w:hint="cs"/>
          <w:sz w:val="22"/>
          <w:szCs w:val="22"/>
          <w:highlight w:val="yellow"/>
          <w:rtl/>
        </w:rPr>
        <w:t>(ב). בליברליזם מופיע דיכוי עקיף, זאת בדמות ה"תקינות פוליטית"</w:t>
      </w:r>
      <w:r>
        <w:rPr>
          <w:rFonts w:hint="cs"/>
          <w:sz w:val="22"/>
          <w:szCs w:val="22"/>
          <w:highlight w:val="yellow"/>
          <w:rtl/>
        </w:rPr>
        <w:t xml:space="preserve"> </w:t>
      </w:r>
      <w:r>
        <w:rPr>
          <w:sz w:val="22"/>
          <w:szCs w:val="22"/>
          <w:highlight w:val="yellow"/>
        </w:rPr>
        <w:t>political correctness</w:t>
      </w:r>
      <w:r w:rsidRPr="008213DB">
        <w:rPr>
          <w:rFonts w:hint="cs"/>
          <w:sz w:val="22"/>
          <w:szCs w:val="22"/>
          <w:highlight w:val="yellow"/>
          <w:rtl/>
        </w:rPr>
        <w:t>.</w:t>
      </w:r>
      <w:r w:rsidRPr="009345C6">
        <w:rPr>
          <w:rFonts w:hint="cs"/>
          <w:sz w:val="22"/>
          <w:szCs w:val="22"/>
          <w:rtl/>
        </w:rPr>
        <w:t xml:space="preserve">  </w:t>
      </w:r>
    </w:p>
    <w:p w:rsidR="005366A8" w:rsidRPr="009345C6" w:rsidRDefault="005366A8" w:rsidP="005366A8">
      <w:pPr>
        <w:spacing w:after="60"/>
        <w:ind w:right="-284"/>
        <w:rPr>
          <w:sz w:val="22"/>
          <w:szCs w:val="22"/>
          <w:rtl/>
        </w:rPr>
      </w:pPr>
      <w:r w:rsidRPr="009345C6">
        <w:rPr>
          <w:rFonts w:hint="cs"/>
          <w:sz w:val="22"/>
          <w:szCs w:val="22"/>
          <w:rtl/>
        </w:rPr>
        <w:t xml:space="preserve">אשר ל-א' </w:t>
      </w:r>
      <w:r w:rsidRPr="009345C6">
        <w:rPr>
          <w:sz w:val="22"/>
          <w:szCs w:val="22"/>
          <w:rtl/>
        </w:rPr>
        <w:t>–</w:t>
      </w:r>
      <w:r w:rsidRPr="009345C6">
        <w:rPr>
          <w:rFonts w:hint="cs"/>
          <w:sz w:val="22"/>
          <w:szCs w:val="22"/>
          <w:rtl/>
        </w:rPr>
        <w:t xml:space="preserve"> טענה זו נכונה</w:t>
      </w:r>
      <w:r>
        <w:rPr>
          <w:rFonts w:hint="cs"/>
          <w:sz w:val="22"/>
          <w:szCs w:val="22"/>
          <w:rtl/>
        </w:rPr>
        <w:t xml:space="preserve"> (אלא אם כן זו דמוקרטיה ליברלית חלשה, בסגנון הרפובליקה הוימארית);</w:t>
      </w:r>
      <w:r w:rsidRPr="009345C6">
        <w:rPr>
          <w:rFonts w:hint="cs"/>
          <w:sz w:val="22"/>
          <w:szCs w:val="22"/>
          <w:rtl/>
        </w:rPr>
        <w:t xml:space="preserve"> ואולם כל אידיאולוגיה (שאינה רלטיביזם מוסרי/ ניהיליזם) מכילה תחומי טאבּוּ</w:t>
      </w:r>
      <w:r>
        <w:rPr>
          <w:rFonts w:hint="cs"/>
          <w:sz w:val="22"/>
          <w:szCs w:val="22"/>
          <w:rtl/>
        </w:rPr>
        <w:t>, כלומר תחומים של איסור,</w:t>
      </w:r>
      <w:r w:rsidRPr="009345C6">
        <w:rPr>
          <w:rFonts w:hint="cs"/>
          <w:sz w:val="22"/>
          <w:szCs w:val="22"/>
          <w:rtl/>
        </w:rPr>
        <w:t xml:space="preserve"> ו</w:t>
      </w:r>
      <w:r>
        <w:rPr>
          <w:rFonts w:hint="cs"/>
          <w:sz w:val="22"/>
          <w:szCs w:val="22"/>
          <w:rtl/>
        </w:rPr>
        <w:t xml:space="preserve">מכילה </w:t>
      </w:r>
      <w:r w:rsidRPr="009345C6">
        <w:rPr>
          <w:rFonts w:hint="cs"/>
          <w:sz w:val="22"/>
          <w:szCs w:val="22"/>
          <w:rtl/>
        </w:rPr>
        <w:t>מנגנוני הגנה על עיקריה</w:t>
      </w:r>
      <w:r>
        <w:rPr>
          <w:rFonts w:hint="cs"/>
          <w:sz w:val="22"/>
          <w:szCs w:val="22"/>
          <w:rtl/>
        </w:rPr>
        <w:t>.</w:t>
      </w:r>
      <w:r w:rsidRPr="009345C6">
        <w:rPr>
          <w:rFonts w:hint="cs"/>
          <w:sz w:val="22"/>
          <w:szCs w:val="22"/>
          <w:rtl/>
        </w:rPr>
        <w:t xml:space="preserve"> השאלה </w:t>
      </w:r>
      <w:r>
        <w:rPr>
          <w:rFonts w:hint="cs"/>
          <w:sz w:val="22"/>
          <w:szCs w:val="22"/>
          <w:rtl/>
        </w:rPr>
        <w:t xml:space="preserve">העיקרית לפיכך, </w:t>
      </w:r>
      <w:r w:rsidRPr="009345C6">
        <w:rPr>
          <w:rFonts w:hint="cs"/>
          <w:sz w:val="22"/>
          <w:szCs w:val="22"/>
          <w:rtl/>
        </w:rPr>
        <w:t>היא מהו היקף המרווח ש</w:t>
      </w:r>
      <w:r>
        <w:rPr>
          <w:rFonts w:hint="cs"/>
          <w:sz w:val="22"/>
          <w:szCs w:val="22"/>
          <w:rtl/>
        </w:rPr>
        <w:t>האידיאולוגיה שאותה אנו בוחנים</w:t>
      </w:r>
      <w:r w:rsidRPr="009345C6">
        <w:rPr>
          <w:rFonts w:hint="cs"/>
          <w:sz w:val="22"/>
          <w:szCs w:val="22"/>
          <w:rtl/>
        </w:rPr>
        <w:t xml:space="preserve"> </w:t>
      </w:r>
      <w:r>
        <w:rPr>
          <w:rFonts w:hint="cs"/>
          <w:sz w:val="22"/>
          <w:szCs w:val="22"/>
          <w:rtl/>
        </w:rPr>
        <w:t xml:space="preserve">מעניקה לאפשרות </w:t>
      </w:r>
      <w:r w:rsidRPr="009345C6">
        <w:rPr>
          <w:rFonts w:hint="cs"/>
          <w:sz w:val="22"/>
          <w:szCs w:val="22"/>
          <w:rtl/>
        </w:rPr>
        <w:t xml:space="preserve">איתגורה על ידי יריביה האידיאולוגיים. </w:t>
      </w:r>
      <w:r>
        <w:rPr>
          <w:rFonts w:hint="cs"/>
          <w:sz w:val="22"/>
          <w:szCs w:val="22"/>
          <w:rtl/>
        </w:rPr>
        <w:t>והנה הדמוקרטיה הליברלית מעניקה את המרווח הרחב ביותר (חוץ אולי מהרלטיביזם המוסרי, שאת כשליו המוחצים למדנו להכיר).</w:t>
      </w:r>
    </w:p>
    <w:p w:rsidR="005366A8" w:rsidRPr="009345C6" w:rsidRDefault="005366A8" w:rsidP="005366A8">
      <w:pPr>
        <w:ind w:right="-284"/>
        <w:rPr>
          <w:sz w:val="22"/>
          <w:szCs w:val="22"/>
          <w:rtl/>
        </w:rPr>
      </w:pPr>
      <w:r w:rsidRPr="009345C6">
        <w:rPr>
          <w:rFonts w:hint="cs"/>
          <w:sz w:val="22"/>
          <w:szCs w:val="22"/>
          <w:rtl/>
        </w:rPr>
        <w:t>מה באשר ל-ב': לטיעון הדיכוי הנובע מ</w:t>
      </w:r>
      <w:r>
        <w:rPr>
          <w:rFonts w:hint="cs"/>
          <w:sz w:val="22"/>
          <w:szCs w:val="22"/>
          <w:rtl/>
        </w:rPr>
        <w:t>"</w:t>
      </w:r>
      <w:r w:rsidRPr="009345C6">
        <w:rPr>
          <w:rFonts w:hint="cs"/>
          <w:sz w:val="22"/>
          <w:szCs w:val="22"/>
          <w:rtl/>
        </w:rPr>
        <w:t>התקינות הפוליטית</w:t>
      </w:r>
      <w:r>
        <w:rPr>
          <w:rFonts w:hint="cs"/>
          <w:sz w:val="22"/>
          <w:szCs w:val="22"/>
          <w:rtl/>
        </w:rPr>
        <w:t>"</w:t>
      </w:r>
      <w:r w:rsidRPr="009345C6">
        <w:rPr>
          <w:rFonts w:hint="cs"/>
          <w:sz w:val="22"/>
          <w:szCs w:val="22"/>
          <w:rtl/>
        </w:rPr>
        <w:t>?</w:t>
      </w:r>
    </w:p>
    <w:p w:rsidR="005366A8" w:rsidRPr="009345C6" w:rsidRDefault="005366A8" w:rsidP="005366A8">
      <w:pPr>
        <w:ind w:left="720" w:right="-284"/>
        <w:rPr>
          <w:sz w:val="22"/>
          <w:szCs w:val="22"/>
          <w:rtl/>
        </w:rPr>
      </w:pPr>
      <w:r w:rsidRPr="009345C6">
        <w:rPr>
          <w:rFonts w:hint="cs"/>
          <w:sz w:val="22"/>
          <w:szCs w:val="22"/>
          <w:rtl/>
        </w:rPr>
        <w:t xml:space="preserve">ראשית, יש הבדלים חשובים במיוחד בין דיכוי ישיר ל"דיכוי עקיף".  </w:t>
      </w:r>
    </w:p>
    <w:p w:rsidR="005366A8" w:rsidRPr="009345C6" w:rsidRDefault="005366A8" w:rsidP="005366A8">
      <w:pPr>
        <w:ind w:left="1440" w:right="-284"/>
        <w:rPr>
          <w:sz w:val="22"/>
          <w:szCs w:val="22"/>
          <w:rtl/>
        </w:rPr>
      </w:pPr>
      <w:r w:rsidRPr="009345C6">
        <w:rPr>
          <w:rFonts w:hint="cs"/>
          <w:sz w:val="22"/>
          <w:szCs w:val="22"/>
          <w:rtl/>
        </w:rPr>
        <w:t>יעיד על כך הויכוח על התקינות הפוליטית עצמה, ויעידו האמצעים החברתיים הלא-אלימים המשמשים לאכיפת התקינות הפוליטית, להבדיל מהפעלתם של אמצעים שלטוניים-אלימים;</w:t>
      </w:r>
    </w:p>
    <w:p w:rsidR="005366A8" w:rsidRPr="009345C6" w:rsidRDefault="005366A8" w:rsidP="005366A8">
      <w:pPr>
        <w:ind w:left="720" w:right="-284"/>
        <w:rPr>
          <w:sz w:val="22"/>
          <w:szCs w:val="22"/>
          <w:rtl/>
        </w:rPr>
      </w:pPr>
      <w:r w:rsidRPr="009345C6">
        <w:rPr>
          <w:rFonts w:hint="cs"/>
          <w:sz w:val="22"/>
          <w:szCs w:val="22"/>
          <w:rtl/>
        </w:rPr>
        <w:t xml:space="preserve">שנית, מרחב התקינות הפוליטית אינו כה גורף. יעידו על כך הויכוחים הרבים והעזים שהליברליזם מקיים ומאפשר בין אוחזיו שלו עצמו:  </w:t>
      </w:r>
    </w:p>
    <w:p w:rsidR="005366A8" w:rsidRPr="009345C6" w:rsidRDefault="005366A8" w:rsidP="005366A8">
      <w:pPr>
        <w:ind w:left="1440" w:right="-284"/>
        <w:rPr>
          <w:sz w:val="22"/>
          <w:szCs w:val="22"/>
          <w:rtl/>
        </w:rPr>
      </w:pPr>
      <w:r w:rsidRPr="009345C6">
        <w:rPr>
          <w:rFonts w:hint="cs"/>
          <w:sz w:val="22"/>
          <w:szCs w:val="22"/>
          <w:rtl/>
        </w:rPr>
        <w:t>למשל, ויכוחים בדבר המדיניות הכלכלית-חברתית:</w:t>
      </w:r>
    </w:p>
    <w:p w:rsidR="005366A8" w:rsidRPr="009345C6" w:rsidRDefault="005366A8" w:rsidP="005366A8">
      <w:pPr>
        <w:ind w:left="2160" w:right="-284"/>
        <w:rPr>
          <w:sz w:val="22"/>
          <w:szCs w:val="22"/>
          <w:rtl/>
        </w:rPr>
      </w:pPr>
      <w:r w:rsidRPr="009345C6">
        <w:rPr>
          <w:rFonts w:hint="cs"/>
          <w:sz w:val="22"/>
          <w:szCs w:val="22"/>
          <w:rtl/>
        </w:rPr>
        <w:t xml:space="preserve">הויכוח על מדיניות הרווחה; על הגלובליזציה; על צרכי פיתוח אל מול שאלות של איכות סביבה, וכדומה; </w:t>
      </w:r>
    </w:p>
    <w:p w:rsidR="005366A8" w:rsidRPr="009345C6" w:rsidRDefault="005366A8" w:rsidP="005366A8">
      <w:pPr>
        <w:ind w:left="1440" w:right="-284"/>
        <w:rPr>
          <w:sz w:val="22"/>
          <w:szCs w:val="22"/>
          <w:rtl/>
        </w:rPr>
      </w:pPr>
      <w:r w:rsidRPr="009345C6">
        <w:rPr>
          <w:rFonts w:hint="cs"/>
          <w:sz w:val="22"/>
          <w:szCs w:val="22"/>
          <w:rtl/>
        </w:rPr>
        <w:t>ויכוחים על מלחמה ושלום</w:t>
      </w:r>
      <w:r>
        <w:rPr>
          <w:rFonts w:hint="cs"/>
          <w:sz w:val="22"/>
          <w:szCs w:val="22"/>
          <w:rtl/>
        </w:rPr>
        <w:t xml:space="preserve"> </w:t>
      </w:r>
      <w:r>
        <w:rPr>
          <w:sz w:val="22"/>
          <w:szCs w:val="22"/>
          <w:rtl/>
        </w:rPr>
        <w:t>–</w:t>
      </w:r>
      <w:r>
        <w:rPr>
          <w:rFonts w:hint="cs"/>
          <w:sz w:val="22"/>
          <w:szCs w:val="22"/>
          <w:rtl/>
        </w:rPr>
        <w:t xml:space="preserve"> </w:t>
      </w:r>
      <w:r w:rsidRPr="009345C6">
        <w:rPr>
          <w:rFonts w:hint="cs"/>
          <w:sz w:val="22"/>
          <w:szCs w:val="22"/>
          <w:rtl/>
        </w:rPr>
        <w:t>למשל, ויכוחים ביחס לאמצעי ההתמודדות עם טרור;</w:t>
      </w:r>
    </w:p>
    <w:p w:rsidR="005366A8" w:rsidRPr="009345C6" w:rsidRDefault="005366A8" w:rsidP="005366A8">
      <w:pPr>
        <w:ind w:left="1440" w:right="-284"/>
        <w:rPr>
          <w:sz w:val="22"/>
          <w:szCs w:val="22"/>
          <w:rtl/>
        </w:rPr>
      </w:pPr>
      <w:r>
        <w:rPr>
          <w:rFonts w:hint="cs"/>
          <w:sz w:val="22"/>
          <w:szCs w:val="22"/>
          <w:rtl/>
        </w:rPr>
        <w:t xml:space="preserve">או </w:t>
      </w:r>
      <w:r w:rsidRPr="009345C6">
        <w:rPr>
          <w:rFonts w:hint="cs"/>
          <w:sz w:val="22"/>
          <w:szCs w:val="22"/>
          <w:rtl/>
        </w:rPr>
        <w:t xml:space="preserve">הויכוח בין השקפות דתיות </w:t>
      </w:r>
      <w:r>
        <w:rPr>
          <w:rFonts w:hint="cs"/>
          <w:sz w:val="22"/>
          <w:szCs w:val="22"/>
          <w:rtl/>
        </w:rPr>
        <w:t xml:space="preserve">או אמוניות </w:t>
      </w:r>
      <w:r w:rsidRPr="009345C6">
        <w:rPr>
          <w:rFonts w:hint="cs"/>
          <w:sz w:val="22"/>
          <w:szCs w:val="22"/>
          <w:rtl/>
        </w:rPr>
        <w:t xml:space="preserve">שונות; או על היקף הזכויות הקיבוציות שצריך לעמוד לקהילות מיעוט; </w:t>
      </w:r>
      <w:r>
        <w:rPr>
          <w:rFonts w:hint="cs"/>
          <w:sz w:val="22"/>
          <w:szCs w:val="22"/>
          <w:rtl/>
        </w:rPr>
        <w:t>וכדומה;</w:t>
      </w:r>
    </w:p>
    <w:p w:rsidR="005366A8" w:rsidRPr="009345C6" w:rsidRDefault="005366A8" w:rsidP="005366A8">
      <w:pPr>
        <w:ind w:left="720" w:right="-284"/>
        <w:rPr>
          <w:sz w:val="22"/>
          <w:szCs w:val="22"/>
          <w:rtl/>
        </w:rPr>
      </w:pPr>
      <w:r w:rsidRPr="009345C6">
        <w:rPr>
          <w:rFonts w:hint="cs"/>
          <w:sz w:val="22"/>
          <w:szCs w:val="22"/>
          <w:rtl/>
        </w:rPr>
        <w:t xml:space="preserve">שלישית, ניקח את הדוגמא ששטייניץ מביא: </w:t>
      </w:r>
      <w:r w:rsidRPr="008213DB">
        <w:rPr>
          <w:rFonts w:hint="cs"/>
          <w:sz w:val="22"/>
          <w:szCs w:val="22"/>
          <w:highlight w:val="yellow"/>
          <w:rtl/>
        </w:rPr>
        <w:t>"במה שונה איסור אכילת שניצל לוויתן מאיסור מכירת חזיר?"</w:t>
      </w:r>
    </w:p>
    <w:p w:rsidR="005366A8" w:rsidRPr="009345C6" w:rsidRDefault="005366A8" w:rsidP="005366A8">
      <w:pPr>
        <w:ind w:left="1440" w:right="-284"/>
        <w:rPr>
          <w:sz w:val="22"/>
          <w:szCs w:val="22"/>
          <w:rtl/>
        </w:rPr>
      </w:pPr>
      <w:r w:rsidRPr="009345C6">
        <w:rPr>
          <w:rFonts w:hint="cs"/>
          <w:sz w:val="22"/>
          <w:szCs w:val="22"/>
          <w:rtl/>
        </w:rPr>
        <w:t xml:space="preserve">א. ליברליזם ושניצל הלווייתן: </w:t>
      </w:r>
      <w:r>
        <w:rPr>
          <w:rFonts w:hint="cs"/>
          <w:sz w:val="22"/>
          <w:szCs w:val="22"/>
          <w:rtl/>
        </w:rPr>
        <w:t xml:space="preserve">הליברליזם יעניק </w:t>
      </w:r>
      <w:r w:rsidRPr="009345C6">
        <w:rPr>
          <w:rFonts w:hint="cs"/>
          <w:sz w:val="22"/>
          <w:szCs w:val="22"/>
          <w:rtl/>
        </w:rPr>
        <w:t xml:space="preserve">העדפה בסיסית לחינוך ציבורי (ו"חרם צרכנים") על פני הטלת איסור מדינתי; </w:t>
      </w:r>
    </w:p>
    <w:p w:rsidR="005366A8" w:rsidRPr="009345C6" w:rsidRDefault="005366A8" w:rsidP="005366A8">
      <w:pPr>
        <w:ind w:left="1440" w:right="-284"/>
        <w:rPr>
          <w:sz w:val="22"/>
          <w:szCs w:val="22"/>
          <w:rtl/>
        </w:rPr>
      </w:pPr>
      <w:r w:rsidRPr="009345C6">
        <w:rPr>
          <w:rFonts w:hint="cs"/>
          <w:sz w:val="22"/>
          <w:szCs w:val="22"/>
          <w:rtl/>
        </w:rPr>
        <w:t xml:space="preserve">ב. יתר על כן, על איסור </w:t>
      </w:r>
      <w:r w:rsidRPr="009345C6">
        <w:rPr>
          <w:rFonts w:hint="cs"/>
          <w:i/>
          <w:iCs/>
          <w:sz w:val="22"/>
          <w:szCs w:val="22"/>
          <w:rtl/>
        </w:rPr>
        <w:t>הרג יונקים גבוהים המצויים בסכנת הכחדה</w:t>
      </w:r>
      <w:r w:rsidRPr="009345C6">
        <w:rPr>
          <w:rFonts w:hint="cs"/>
          <w:sz w:val="22"/>
          <w:szCs w:val="22"/>
          <w:rtl/>
        </w:rPr>
        <w:t xml:space="preserve">, ועוד יותר על </w:t>
      </w:r>
      <w:r w:rsidRPr="009527C0">
        <w:rPr>
          <w:rFonts w:hint="cs"/>
          <w:sz w:val="22"/>
          <w:szCs w:val="22"/>
          <w:highlight w:val="yellow"/>
          <w:rtl/>
        </w:rPr>
        <w:t>איסור גילוי עריות</w:t>
      </w:r>
      <w:r>
        <w:rPr>
          <w:rFonts w:hint="cs"/>
          <w:sz w:val="22"/>
          <w:szCs w:val="22"/>
          <w:rtl/>
        </w:rPr>
        <w:t xml:space="preserve"> (הדוגמא השנייה ששטייניץ נותן)</w:t>
      </w:r>
      <w:r w:rsidRPr="009345C6">
        <w:rPr>
          <w:rFonts w:hint="cs"/>
          <w:sz w:val="22"/>
          <w:szCs w:val="22"/>
          <w:rtl/>
        </w:rPr>
        <w:t xml:space="preserve">, מגונן אינטרס אוניברסלי </w:t>
      </w:r>
      <w:r w:rsidRPr="009345C6">
        <w:rPr>
          <w:sz w:val="22"/>
          <w:szCs w:val="22"/>
          <w:rtl/>
        </w:rPr>
        <w:t>–</w:t>
      </w:r>
      <w:r w:rsidRPr="009345C6">
        <w:rPr>
          <w:rFonts w:hint="cs"/>
          <w:sz w:val="22"/>
          <w:szCs w:val="22"/>
          <w:rtl/>
        </w:rPr>
        <w:t xml:space="preserve"> אינטרס שכולנו נקבל לו</w:t>
      </w:r>
      <w:r>
        <w:rPr>
          <w:rFonts w:hint="cs"/>
          <w:sz w:val="22"/>
          <w:szCs w:val="22"/>
          <w:rtl/>
        </w:rPr>
        <w:t>ּ</w:t>
      </w:r>
      <w:r w:rsidRPr="009345C6">
        <w:rPr>
          <w:rFonts w:hint="cs"/>
          <w:sz w:val="22"/>
          <w:szCs w:val="22"/>
          <w:rtl/>
        </w:rPr>
        <w:t xml:space="preserve"> היינו מאחורי מסך בערות</w:t>
      </w:r>
      <w:r>
        <w:rPr>
          <w:rFonts w:hint="cs"/>
          <w:sz w:val="22"/>
          <w:szCs w:val="22"/>
          <w:rtl/>
        </w:rPr>
        <w:t>.</w:t>
      </w:r>
      <w:r w:rsidRPr="009345C6">
        <w:rPr>
          <w:rFonts w:hint="cs"/>
          <w:sz w:val="22"/>
          <w:szCs w:val="22"/>
          <w:rtl/>
        </w:rPr>
        <w:t xml:space="preserve"> </w:t>
      </w:r>
      <w:r>
        <w:rPr>
          <w:rFonts w:hint="cs"/>
          <w:sz w:val="22"/>
          <w:szCs w:val="22"/>
          <w:rtl/>
        </w:rPr>
        <w:t>זאת בשעה, שמנגד, הצידוק הניתן ל</w:t>
      </w:r>
      <w:r w:rsidRPr="009345C6">
        <w:rPr>
          <w:rFonts w:hint="cs"/>
          <w:sz w:val="22"/>
          <w:szCs w:val="22"/>
          <w:rtl/>
        </w:rPr>
        <w:t xml:space="preserve">"דיני הכשרות" (או </w:t>
      </w:r>
      <w:r>
        <w:rPr>
          <w:rFonts w:hint="cs"/>
          <w:sz w:val="22"/>
          <w:szCs w:val="22"/>
          <w:rtl/>
        </w:rPr>
        <w:t xml:space="preserve">להטלת </w:t>
      </w:r>
      <w:r w:rsidRPr="009345C6">
        <w:rPr>
          <w:rFonts w:hint="cs"/>
          <w:sz w:val="22"/>
          <w:szCs w:val="22"/>
          <w:rtl/>
        </w:rPr>
        <w:t xml:space="preserve">איסור </w:t>
      </w:r>
      <w:r>
        <w:rPr>
          <w:rFonts w:hint="cs"/>
          <w:sz w:val="22"/>
          <w:szCs w:val="22"/>
          <w:rtl/>
        </w:rPr>
        <w:t xml:space="preserve">על </w:t>
      </w:r>
      <w:r w:rsidRPr="009345C6">
        <w:rPr>
          <w:rFonts w:hint="cs"/>
          <w:sz w:val="22"/>
          <w:szCs w:val="22"/>
          <w:rtl/>
        </w:rPr>
        <w:t>נישואי כהן עם גרושה</w:t>
      </w:r>
      <w:r>
        <w:rPr>
          <w:rFonts w:hint="cs"/>
          <w:sz w:val="22"/>
          <w:szCs w:val="22"/>
          <w:rtl/>
        </w:rPr>
        <w:t xml:space="preserve"> או לפסילת "ממזרים" מנישואין עם אחר</w:t>
      </w:r>
      <w:r w:rsidRPr="009345C6">
        <w:rPr>
          <w:rFonts w:hint="cs"/>
          <w:sz w:val="22"/>
          <w:szCs w:val="22"/>
          <w:rtl/>
        </w:rPr>
        <w:t xml:space="preserve">) </w:t>
      </w:r>
      <w:r>
        <w:rPr>
          <w:rFonts w:hint="cs"/>
          <w:sz w:val="22"/>
          <w:szCs w:val="22"/>
          <w:rtl/>
        </w:rPr>
        <w:t>הוא פרטיקולרי/ תלוי-</w:t>
      </w:r>
      <w:r w:rsidRPr="009345C6">
        <w:rPr>
          <w:rFonts w:hint="cs"/>
          <w:sz w:val="22"/>
          <w:szCs w:val="22"/>
          <w:rtl/>
        </w:rPr>
        <w:t>אמונה</w:t>
      </w:r>
      <w:r>
        <w:rPr>
          <w:rFonts w:hint="cs"/>
          <w:sz w:val="22"/>
          <w:szCs w:val="22"/>
          <w:rtl/>
        </w:rPr>
        <w:t>-</w:t>
      </w:r>
      <w:r w:rsidRPr="009345C6">
        <w:rPr>
          <w:rFonts w:hint="cs"/>
          <w:sz w:val="22"/>
          <w:szCs w:val="22"/>
          <w:rtl/>
        </w:rPr>
        <w:t>דתית</w:t>
      </w:r>
      <w:r>
        <w:rPr>
          <w:rFonts w:hint="cs"/>
          <w:sz w:val="22"/>
          <w:szCs w:val="22"/>
          <w:rtl/>
        </w:rPr>
        <w:t>-</w:t>
      </w:r>
      <w:r w:rsidRPr="009345C6">
        <w:rPr>
          <w:rFonts w:hint="cs"/>
          <w:sz w:val="22"/>
          <w:szCs w:val="22"/>
          <w:rtl/>
        </w:rPr>
        <w:t>קונקרטית (שאנחנו ממאמיניה או שאין אנו בין מאמיניה)</w:t>
      </w:r>
      <w:r>
        <w:rPr>
          <w:rFonts w:hint="cs"/>
          <w:sz w:val="22"/>
          <w:szCs w:val="22"/>
          <w:rtl/>
        </w:rPr>
        <w:t xml:space="preserve">. אכן, איסור אכילת בשר חזיר (והאיסורים האחרים שהוזכרו) הוא </w:t>
      </w:r>
      <w:r w:rsidRPr="009345C6">
        <w:rPr>
          <w:rFonts w:hint="cs"/>
          <w:sz w:val="22"/>
          <w:szCs w:val="22"/>
          <w:rtl/>
        </w:rPr>
        <w:t>חובה שכל הנמקתה ה</w:t>
      </w:r>
      <w:r>
        <w:rPr>
          <w:rFonts w:hint="cs"/>
          <w:sz w:val="22"/>
          <w:szCs w:val="22"/>
          <w:rtl/>
        </w:rPr>
        <w:t>י</w:t>
      </w:r>
      <w:r w:rsidRPr="009345C6">
        <w:rPr>
          <w:rFonts w:hint="cs"/>
          <w:sz w:val="22"/>
          <w:szCs w:val="22"/>
          <w:rtl/>
        </w:rPr>
        <w:t>א "כך שמענו</w:t>
      </w:r>
      <w:r>
        <w:rPr>
          <w:rFonts w:hint="cs"/>
          <w:sz w:val="22"/>
          <w:szCs w:val="22"/>
          <w:rtl/>
        </w:rPr>
        <w:t>;</w:t>
      </w:r>
      <w:r w:rsidRPr="009345C6">
        <w:rPr>
          <w:rFonts w:hint="cs"/>
          <w:sz w:val="22"/>
          <w:szCs w:val="22"/>
          <w:rtl/>
        </w:rPr>
        <w:t xml:space="preserve"> כך קיבלנו כתורה מסיני"</w:t>
      </w:r>
      <w:r>
        <w:rPr>
          <w:rFonts w:hint="cs"/>
          <w:sz w:val="22"/>
          <w:szCs w:val="22"/>
          <w:rtl/>
        </w:rPr>
        <w:t>.</w:t>
      </w:r>
    </w:p>
    <w:p w:rsidR="005366A8" w:rsidRDefault="005366A8" w:rsidP="005366A8">
      <w:pPr>
        <w:ind w:left="1699" w:right="-284"/>
        <w:rPr>
          <w:sz w:val="22"/>
          <w:szCs w:val="22"/>
          <w:rtl/>
        </w:rPr>
      </w:pPr>
      <w:r w:rsidRPr="009345C6">
        <w:rPr>
          <w:rFonts w:hint="cs"/>
          <w:sz w:val="22"/>
          <w:szCs w:val="22"/>
          <w:rtl/>
        </w:rPr>
        <w:t>[זו ההבחנה, שניגע בה</w:t>
      </w:r>
      <w:r>
        <w:rPr>
          <w:rFonts w:hint="cs"/>
          <w:sz w:val="22"/>
          <w:szCs w:val="22"/>
          <w:rtl/>
        </w:rPr>
        <w:t xml:space="preserve"> גם בסמסטר הבא</w:t>
      </w:r>
      <w:r w:rsidRPr="009345C6">
        <w:rPr>
          <w:rFonts w:hint="cs"/>
          <w:sz w:val="22"/>
          <w:szCs w:val="22"/>
          <w:rtl/>
        </w:rPr>
        <w:t xml:space="preserve">, </w:t>
      </w:r>
      <w:r w:rsidRPr="008213DB">
        <w:rPr>
          <w:rFonts w:hint="cs"/>
          <w:sz w:val="22"/>
          <w:szCs w:val="22"/>
          <w:highlight w:val="yellow"/>
          <w:rtl/>
        </w:rPr>
        <w:t>בין "מצוות שמעיות" לבין "מצוות שכליות",</w:t>
      </w:r>
      <w:r w:rsidRPr="009345C6">
        <w:rPr>
          <w:rFonts w:hint="cs"/>
          <w:sz w:val="22"/>
          <w:szCs w:val="22"/>
          <w:rtl/>
        </w:rPr>
        <w:t xml:space="preserve"> </w:t>
      </w:r>
      <w:r>
        <w:rPr>
          <w:rFonts w:hint="cs"/>
          <w:sz w:val="22"/>
          <w:szCs w:val="22"/>
          <w:rtl/>
        </w:rPr>
        <w:t xml:space="preserve">כלומר מצוות </w:t>
      </w:r>
      <w:r w:rsidRPr="009345C6">
        <w:rPr>
          <w:rFonts w:hint="cs"/>
          <w:sz w:val="22"/>
          <w:szCs w:val="22"/>
          <w:rtl/>
        </w:rPr>
        <w:t>אוניברסליות].</w:t>
      </w:r>
    </w:p>
    <w:p w:rsidR="005366A8" w:rsidRDefault="005366A8" w:rsidP="005366A8">
      <w:pPr>
        <w:ind w:left="2160" w:right="-284"/>
        <w:rPr>
          <w:sz w:val="22"/>
          <w:szCs w:val="22"/>
          <w:rtl/>
        </w:rPr>
      </w:pPr>
    </w:p>
    <w:p w:rsidR="005366A8" w:rsidRDefault="005366A8" w:rsidP="005366A8">
      <w:pPr>
        <w:rPr>
          <w:rFonts w:ascii="Arial" w:hAnsi="Arial" w:cs="Arial"/>
          <w:b/>
          <w:bCs/>
          <w:color w:val="000000"/>
          <w:sz w:val="20"/>
          <w:szCs w:val="20"/>
          <w:rtl/>
        </w:rPr>
      </w:pPr>
    </w:p>
    <w:p w:rsidR="005366A8" w:rsidRPr="00BA501B" w:rsidRDefault="005366A8" w:rsidP="005366A8">
      <w:pPr>
        <w:spacing w:after="120"/>
        <w:rPr>
          <w:rFonts w:ascii="Arial" w:hAnsi="Arial" w:cs="Arial"/>
          <w:b/>
          <w:bCs/>
          <w:color w:val="000000"/>
          <w:sz w:val="20"/>
          <w:szCs w:val="20"/>
          <w:rtl/>
        </w:rPr>
      </w:pPr>
      <w:r>
        <w:rPr>
          <w:rFonts w:ascii="Arial" w:hAnsi="Arial" w:cs="Arial" w:hint="cs"/>
          <w:b/>
          <w:bCs/>
          <w:color w:val="000000"/>
          <w:sz w:val="20"/>
          <w:szCs w:val="20"/>
          <w:rtl/>
        </w:rPr>
        <w:t xml:space="preserve">מעט ביתר הרחבה: טיעון </w:t>
      </w:r>
      <w:r w:rsidRPr="00BA501B">
        <w:rPr>
          <w:rFonts w:ascii="Arial" w:hAnsi="Arial" w:cs="Arial"/>
          <w:b/>
          <w:bCs/>
          <w:color w:val="000000"/>
          <w:sz w:val="20"/>
          <w:szCs w:val="20"/>
          <w:rtl/>
        </w:rPr>
        <w:t>"מסך הבערות"</w:t>
      </w:r>
      <w:r>
        <w:rPr>
          <w:rFonts w:ascii="Arial" w:hAnsi="Arial" w:cs="Arial" w:hint="cs"/>
          <w:b/>
          <w:bCs/>
          <w:color w:val="000000"/>
          <w:sz w:val="20"/>
          <w:szCs w:val="20"/>
          <w:rtl/>
        </w:rPr>
        <w:t xml:space="preserve"> </w:t>
      </w:r>
      <w:r>
        <w:rPr>
          <w:rFonts w:ascii="Arial" w:hAnsi="Arial" w:cs="Arial"/>
          <w:b/>
          <w:bCs/>
          <w:color w:val="000000"/>
          <w:sz w:val="20"/>
          <w:szCs w:val="20"/>
          <w:rtl/>
        </w:rPr>
        <w:t>–</w:t>
      </w:r>
      <w:r>
        <w:rPr>
          <w:rFonts w:ascii="Arial" w:hAnsi="Arial" w:cs="Arial" w:hint="cs"/>
          <w:b/>
          <w:bCs/>
          <w:color w:val="000000"/>
          <w:sz w:val="20"/>
          <w:szCs w:val="20"/>
          <w:rtl/>
        </w:rPr>
        <w:t xml:space="preserve"> למה הכוונה?</w:t>
      </w:r>
    </w:p>
    <w:p w:rsidR="005366A8" w:rsidRDefault="005366A8" w:rsidP="005366A8">
      <w:pPr>
        <w:rPr>
          <w:sz w:val="22"/>
          <w:szCs w:val="22"/>
          <w:rtl/>
        </w:rPr>
      </w:pPr>
      <w:r>
        <w:rPr>
          <w:rFonts w:hint="cs"/>
          <w:color w:val="000000"/>
          <w:sz w:val="22"/>
          <w:szCs w:val="22"/>
          <w:rtl/>
        </w:rPr>
        <w:t xml:space="preserve">זו קונסטרוקציה מחשבתית (כלומר מסגרת של ניתוח וטיעון) של אחד הפילוסופים החשובים ביותר של המאה ה-20: ג'ון </w:t>
      </w:r>
      <w:r w:rsidRPr="00BA501B">
        <w:rPr>
          <w:color w:val="000000"/>
          <w:sz w:val="22"/>
          <w:szCs w:val="22"/>
          <w:rtl/>
        </w:rPr>
        <w:t>רולס</w:t>
      </w:r>
      <w:r>
        <w:rPr>
          <w:rFonts w:hint="cs"/>
          <w:sz w:val="22"/>
          <w:szCs w:val="22"/>
          <w:rtl/>
        </w:rPr>
        <w:t xml:space="preserve">. </w:t>
      </w:r>
    </w:p>
    <w:p w:rsidR="005366A8" w:rsidRDefault="005366A8" w:rsidP="005366A8">
      <w:pPr>
        <w:rPr>
          <w:color w:val="000000"/>
          <w:sz w:val="22"/>
          <w:szCs w:val="22"/>
          <w:rtl/>
        </w:rPr>
      </w:pPr>
      <w:r>
        <w:rPr>
          <w:rFonts w:hint="cs"/>
          <w:sz w:val="22"/>
          <w:szCs w:val="22"/>
          <w:rtl/>
        </w:rPr>
        <w:t xml:space="preserve">בספרו, שהוא בלי ספק אחד החשובים בעת המודרנית </w:t>
      </w:r>
      <w:r>
        <w:rPr>
          <w:sz w:val="22"/>
          <w:szCs w:val="22"/>
        </w:rPr>
        <w:t>A Theory of Justice</w:t>
      </w:r>
      <w:r>
        <w:rPr>
          <w:rFonts w:hint="cs"/>
          <w:sz w:val="22"/>
          <w:szCs w:val="22"/>
          <w:rtl/>
        </w:rPr>
        <w:t>, הוא</w:t>
      </w:r>
      <w:r w:rsidRPr="00BA501B">
        <w:rPr>
          <w:sz w:val="22"/>
          <w:szCs w:val="22"/>
          <w:rtl/>
        </w:rPr>
        <w:t xml:space="preserve"> </w:t>
      </w:r>
      <w:r w:rsidRPr="00BA501B">
        <w:rPr>
          <w:color w:val="000000"/>
          <w:sz w:val="22"/>
          <w:szCs w:val="22"/>
          <w:rtl/>
        </w:rPr>
        <w:t>מסביר כי חתירה לצדק קשורה עמוקות בהוגנות</w:t>
      </w:r>
      <w:r>
        <w:rPr>
          <w:rFonts w:hint="cs"/>
          <w:color w:val="000000"/>
          <w:sz w:val="22"/>
          <w:szCs w:val="22"/>
          <w:rtl/>
        </w:rPr>
        <w:t xml:space="preserve"> (</w:t>
      </w:r>
      <w:r>
        <w:rPr>
          <w:color w:val="000000"/>
          <w:sz w:val="22"/>
          <w:szCs w:val="22"/>
        </w:rPr>
        <w:t>fairness</w:t>
      </w:r>
      <w:r>
        <w:rPr>
          <w:rFonts w:hint="cs"/>
          <w:color w:val="000000"/>
          <w:sz w:val="22"/>
          <w:szCs w:val="22"/>
          <w:rtl/>
        </w:rPr>
        <w:t>)</w:t>
      </w:r>
      <w:r w:rsidRPr="00BA501B">
        <w:rPr>
          <w:color w:val="000000"/>
          <w:sz w:val="22"/>
          <w:szCs w:val="22"/>
          <w:rtl/>
        </w:rPr>
        <w:t>, וכי ניסוח של כללים מדיניים צודקים, מותנים בתרגיל מחשבה מסוים ש</w:t>
      </w:r>
      <w:r>
        <w:rPr>
          <w:rFonts w:hint="cs"/>
          <w:color w:val="000000"/>
          <w:sz w:val="22"/>
          <w:szCs w:val="22"/>
          <w:rtl/>
        </w:rPr>
        <w:t xml:space="preserve">כשהוא </w:t>
      </w:r>
      <w:r w:rsidRPr="00BA501B">
        <w:rPr>
          <w:color w:val="000000"/>
          <w:sz w:val="22"/>
          <w:szCs w:val="22"/>
          <w:rtl/>
        </w:rPr>
        <w:t>מתקיים</w:t>
      </w:r>
      <w:r>
        <w:rPr>
          <w:rFonts w:hint="cs"/>
          <w:color w:val="000000"/>
          <w:sz w:val="22"/>
          <w:szCs w:val="22"/>
          <w:rtl/>
        </w:rPr>
        <w:t xml:space="preserve"> הוא מזין </w:t>
      </w:r>
      <w:r w:rsidRPr="00BA501B">
        <w:rPr>
          <w:color w:val="000000"/>
          <w:sz w:val="22"/>
          <w:szCs w:val="22"/>
          <w:rtl/>
        </w:rPr>
        <w:t xml:space="preserve">תנאים של הוגנות. </w:t>
      </w:r>
    </w:p>
    <w:p w:rsidR="005366A8" w:rsidRDefault="005366A8" w:rsidP="005366A8">
      <w:pPr>
        <w:rPr>
          <w:color w:val="000000"/>
          <w:sz w:val="22"/>
          <w:szCs w:val="22"/>
          <w:rtl/>
        </w:rPr>
      </w:pPr>
      <w:r>
        <w:rPr>
          <w:rFonts w:hint="cs"/>
          <w:color w:val="000000"/>
          <w:sz w:val="22"/>
          <w:szCs w:val="22"/>
          <w:rtl/>
        </w:rPr>
        <w:t xml:space="preserve">מהו תרגיל מחשבה זה, ומדוע הוא מספק תנאים של הוגנות? </w:t>
      </w:r>
    </w:p>
    <w:p w:rsidR="005366A8" w:rsidRDefault="005366A8" w:rsidP="005366A8">
      <w:pPr>
        <w:rPr>
          <w:color w:val="000000"/>
          <w:sz w:val="22"/>
          <w:szCs w:val="22"/>
          <w:rtl/>
        </w:rPr>
      </w:pPr>
    </w:p>
    <w:p w:rsidR="005366A8" w:rsidRPr="00BA501B" w:rsidRDefault="005366A8" w:rsidP="005366A8">
      <w:pPr>
        <w:rPr>
          <w:color w:val="000000"/>
          <w:sz w:val="22"/>
          <w:szCs w:val="22"/>
          <w:rtl/>
        </w:rPr>
      </w:pPr>
      <w:r>
        <w:rPr>
          <w:rFonts w:hint="cs"/>
          <w:color w:val="000000"/>
          <w:sz w:val="22"/>
          <w:szCs w:val="22"/>
          <w:rtl/>
        </w:rPr>
        <w:t>מדובר ב</w:t>
      </w:r>
      <w:r w:rsidRPr="00BA501B">
        <w:rPr>
          <w:color w:val="000000"/>
          <w:sz w:val="22"/>
          <w:szCs w:val="22"/>
          <w:rtl/>
        </w:rPr>
        <w:t xml:space="preserve">קבלת הכרעות היסוד שלנו, </w:t>
      </w:r>
      <w:r>
        <w:rPr>
          <w:rFonts w:hint="cs"/>
          <w:color w:val="000000"/>
          <w:sz w:val="22"/>
          <w:szCs w:val="22"/>
          <w:rtl/>
        </w:rPr>
        <w:t xml:space="preserve">שהן </w:t>
      </w:r>
      <w:r w:rsidRPr="00BA501B">
        <w:rPr>
          <w:color w:val="000000"/>
          <w:sz w:val="22"/>
          <w:szCs w:val="22"/>
          <w:rtl/>
        </w:rPr>
        <w:t xml:space="preserve">המצע ליתר ההחלטות החברתיות שלנו, מאחורי </w:t>
      </w:r>
      <w:r w:rsidRPr="007F7FF7">
        <w:rPr>
          <w:b/>
          <w:bCs/>
          <w:color w:val="000000"/>
          <w:sz w:val="22"/>
          <w:szCs w:val="22"/>
          <w:highlight w:val="yellow"/>
          <w:rtl/>
        </w:rPr>
        <w:t>"מסך בערות"</w:t>
      </w:r>
      <w:r w:rsidRPr="007F7FF7">
        <w:rPr>
          <w:color w:val="000000"/>
          <w:sz w:val="22"/>
          <w:szCs w:val="22"/>
          <w:highlight w:val="yellow"/>
          <w:rtl/>
        </w:rPr>
        <w:t>.</w:t>
      </w:r>
      <w:r w:rsidRPr="00BA501B">
        <w:rPr>
          <w:color w:val="000000"/>
          <w:sz w:val="22"/>
          <w:szCs w:val="22"/>
          <w:rtl/>
        </w:rPr>
        <w:t xml:space="preserve"> </w:t>
      </w:r>
    </w:p>
    <w:p w:rsidR="005366A8" w:rsidRPr="0062095E" w:rsidRDefault="005366A8" w:rsidP="005366A8">
      <w:pPr>
        <w:ind w:left="720"/>
        <w:rPr>
          <w:rFonts w:ascii="Arial" w:hAnsi="Arial" w:cs="Arial"/>
          <w:color w:val="000000"/>
          <w:sz w:val="20"/>
          <w:szCs w:val="20"/>
          <w:rtl/>
        </w:rPr>
      </w:pPr>
      <w:r w:rsidRPr="0062095E">
        <w:rPr>
          <w:rFonts w:ascii="Arial" w:hAnsi="Arial" w:cs="Arial"/>
          <w:color w:val="000000"/>
          <w:sz w:val="20"/>
          <w:szCs w:val="20"/>
          <w:rtl/>
        </w:rPr>
        <w:t xml:space="preserve">במצב זה, </w:t>
      </w:r>
      <w:r w:rsidRPr="0062095E">
        <w:rPr>
          <w:rFonts w:ascii="Arial" w:hAnsi="Arial" w:cs="Arial" w:hint="cs"/>
          <w:color w:val="000000"/>
          <w:sz w:val="20"/>
          <w:szCs w:val="20"/>
          <w:rtl/>
        </w:rPr>
        <w:t xml:space="preserve">של היות מאחורי "מסך בערות", </w:t>
      </w:r>
      <w:r w:rsidRPr="0062095E">
        <w:rPr>
          <w:rFonts w:ascii="Arial" w:hAnsi="Arial" w:cs="Arial"/>
          <w:color w:val="000000"/>
          <w:sz w:val="20"/>
          <w:szCs w:val="20"/>
          <w:rtl/>
        </w:rPr>
        <w:t>אנחנו בני החברה, מקבלי ההכרעה, נמצאים במצב מיוחד של ידע</w:t>
      </w:r>
      <w:r w:rsidRPr="0062095E">
        <w:rPr>
          <w:rFonts w:ascii="Arial" w:hAnsi="Arial" w:cs="Arial" w:hint="cs"/>
          <w:color w:val="000000"/>
          <w:sz w:val="20"/>
          <w:szCs w:val="20"/>
          <w:rtl/>
        </w:rPr>
        <w:t>.</w:t>
      </w:r>
      <w:r w:rsidRPr="0062095E">
        <w:rPr>
          <w:rFonts w:ascii="Arial" w:hAnsi="Arial" w:cs="Arial"/>
          <w:color w:val="000000"/>
          <w:sz w:val="20"/>
          <w:szCs w:val="20"/>
          <w:rtl/>
        </w:rPr>
        <w:t xml:space="preserve"> יש לנו את הידע העכשווי, העמוק יחסית, על העולם הפיזי ו</w:t>
      </w:r>
      <w:r>
        <w:rPr>
          <w:rFonts w:ascii="Arial" w:hAnsi="Arial" w:cs="Arial" w:hint="cs"/>
          <w:color w:val="000000"/>
          <w:sz w:val="20"/>
          <w:szCs w:val="20"/>
          <w:rtl/>
        </w:rPr>
        <w:t xml:space="preserve">על </w:t>
      </w:r>
      <w:r w:rsidRPr="0062095E">
        <w:rPr>
          <w:rFonts w:ascii="Arial" w:hAnsi="Arial" w:cs="Arial"/>
          <w:color w:val="000000"/>
          <w:sz w:val="20"/>
          <w:szCs w:val="20"/>
          <w:rtl/>
        </w:rPr>
        <w:t xml:space="preserve">העולם החברתי, יש בנו גם תבונה; </w:t>
      </w:r>
      <w:r w:rsidRPr="0062095E">
        <w:rPr>
          <w:rFonts w:ascii="Arial" w:hAnsi="Arial" w:cs="Arial"/>
          <w:color w:val="000000"/>
          <w:sz w:val="20"/>
          <w:szCs w:val="20"/>
          <w:highlight w:val="yellow"/>
          <w:rtl/>
        </w:rPr>
        <w:t xml:space="preserve">ואולם אנחנו עיוורים/בורים ביחס לידע מסוים: זהו הידע הנוגע </w:t>
      </w:r>
      <w:r w:rsidRPr="0062095E">
        <w:rPr>
          <w:rFonts w:ascii="Arial" w:hAnsi="Arial" w:cs="Arial"/>
          <w:i/>
          <w:iCs/>
          <w:color w:val="000000"/>
          <w:sz w:val="20"/>
          <w:szCs w:val="20"/>
          <w:highlight w:val="yellow"/>
          <w:rtl/>
        </w:rPr>
        <w:t>לזהותנו שלנו ו</w:t>
      </w:r>
      <w:r w:rsidRPr="0062095E">
        <w:rPr>
          <w:rFonts w:ascii="Arial" w:hAnsi="Arial" w:cs="Arial" w:hint="cs"/>
          <w:i/>
          <w:iCs/>
          <w:color w:val="000000"/>
          <w:sz w:val="20"/>
          <w:szCs w:val="20"/>
          <w:highlight w:val="yellow"/>
          <w:rtl/>
        </w:rPr>
        <w:t>ה</w:t>
      </w:r>
      <w:r w:rsidRPr="0062095E">
        <w:rPr>
          <w:rFonts w:ascii="Arial" w:hAnsi="Arial" w:cs="Arial"/>
          <w:i/>
          <w:iCs/>
          <w:color w:val="000000"/>
          <w:sz w:val="20"/>
          <w:szCs w:val="20"/>
          <w:highlight w:val="yellow"/>
          <w:rtl/>
        </w:rPr>
        <w:t xml:space="preserve">מצב הקונקרטי </w:t>
      </w:r>
      <w:r w:rsidRPr="0062095E">
        <w:rPr>
          <w:rFonts w:ascii="Arial" w:hAnsi="Arial" w:cs="Arial" w:hint="cs"/>
          <w:i/>
          <w:iCs/>
          <w:color w:val="000000"/>
          <w:sz w:val="20"/>
          <w:szCs w:val="20"/>
          <w:highlight w:val="yellow"/>
          <w:rtl/>
        </w:rPr>
        <w:t xml:space="preserve">שלנו </w:t>
      </w:r>
      <w:r w:rsidRPr="0062095E">
        <w:rPr>
          <w:rFonts w:ascii="Arial" w:hAnsi="Arial" w:cs="Arial"/>
          <w:i/>
          <w:iCs/>
          <w:color w:val="000000"/>
          <w:sz w:val="20"/>
          <w:szCs w:val="20"/>
          <w:highlight w:val="yellow"/>
          <w:rtl/>
        </w:rPr>
        <w:t>בעולם</w:t>
      </w:r>
      <w:r w:rsidRPr="0062095E">
        <w:rPr>
          <w:rFonts w:ascii="Arial" w:hAnsi="Arial" w:cs="Arial"/>
          <w:color w:val="000000"/>
          <w:sz w:val="20"/>
          <w:szCs w:val="20"/>
          <w:rtl/>
        </w:rPr>
        <w:t>. אנחנו לא יודעים האם אנחנו גבר או אישה, חזק פיזית או חלש, עשיר או עני, בן קהילת הרוב או בן-קהילת המיעוט, הומוסקסואל או הטרוסקסואל, צעיר או זקן, וכו' וכו']</w:t>
      </w:r>
      <w:r w:rsidRPr="0062095E">
        <w:rPr>
          <w:rFonts w:ascii="Arial" w:hAnsi="Arial" w:cs="Arial" w:hint="cs"/>
          <w:color w:val="000000"/>
          <w:sz w:val="20"/>
          <w:szCs w:val="20"/>
          <w:rtl/>
        </w:rPr>
        <w:t>.</w:t>
      </w:r>
    </w:p>
    <w:p w:rsidR="005366A8" w:rsidRDefault="005366A8" w:rsidP="005366A8">
      <w:pPr>
        <w:rPr>
          <w:color w:val="000000"/>
          <w:sz w:val="22"/>
          <w:szCs w:val="22"/>
          <w:rtl/>
        </w:rPr>
      </w:pPr>
      <w:r>
        <w:rPr>
          <w:rFonts w:hint="cs"/>
          <w:color w:val="000000"/>
          <w:sz w:val="22"/>
          <w:szCs w:val="22"/>
          <w:rtl/>
        </w:rPr>
        <w:t xml:space="preserve">בלשון פשוטה, כשנבצע פעולות של חלוקה (הקצאה) או נחליט על עקרונות של חלוקה, הרי שאם נעשה זאת מאחורי מסך בערות, לא נדע "באיזה צד של הפרוסה מרוחה החמאה" </w:t>
      </w:r>
      <w:r>
        <w:rPr>
          <w:color w:val="000000"/>
          <w:sz w:val="22"/>
          <w:szCs w:val="22"/>
          <w:rtl/>
        </w:rPr>
        <w:t>–</w:t>
      </w:r>
      <w:r>
        <w:rPr>
          <w:rFonts w:hint="cs"/>
          <w:color w:val="000000"/>
          <w:sz w:val="22"/>
          <w:szCs w:val="22"/>
          <w:rtl/>
        </w:rPr>
        <w:t xml:space="preserve"> לא נדע אם אנחנו (בחיים הקונקרטיים) מוטבי-החלוקה הנובעת מהפעלת הכללים שגיבשנו.</w:t>
      </w:r>
    </w:p>
    <w:p w:rsidR="005366A8" w:rsidRDefault="005366A8" w:rsidP="005366A8">
      <w:pPr>
        <w:rPr>
          <w:color w:val="000000"/>
          <w:sz w:val="22"/>
          <w:szCs w:val="22"/>
          <w:rtl/>
        </w:rPr>
      </w:pPr>
    </w:p>
    <w:p w:rsidR="005366A8" w:rsidRDefault="005366A8" w:rsidP="005366A8">
      <w:pPr>
        <w:rPr>
          <w:color w:val="000000"/>
          <w:sz w:val="22"/>
          <w:szCs w:val="22"/>
          <w:rtl/>
        </w:rPr>
      </w:pPr>
      <w:r>
        <w:rPr>
          <w:rFonts w:hint="cs"/>
          <w:color w:val="000000"/>
          <w:sz w:val="22"/>
          <w:szCs w:val="22"/>
          <w:rtl/>
        </w:rPr>
        <w:t xml:space="preserve">פילוסופית: </w:t>
      </w:r>
      <w:r w:rsidRPr="00BA501B">
        <w:rPr>
          <w:color w:val="000000"/>
          <w:sz w:val="22"/>
          <w:szCs w:val="22"/>
          <w:rtl/>
        </w:rPr>
        <w:t>מתוך מצב דברים זה (ומתוך הנחה נוספת, לפיה אנחנו</w:t>
      </w:r>
      <w:r>
        <w:rPr>
          <w:rFonts w:hint="cs"/>
          <w:color w:val="000000"/>
          <w:sz w:val="22"/>
          <w:szCs w:val="22"/>
          <w:rtl/>
        </w:rPr>
        <w:t>, בני האדם,</w:t>
      </w:r>
      <w:r w:rsidRPr="00BA501B">
        <w:rPr>
          <w:color w:val="000000"/>
          <w:sz w:val="22"/>
          <w:szCs w:val="22"/>
          <w:rtl/>
        </w:rPr>
        <w:t xml:space="preserve"> "שונאי סיכון") אנו צפויים לקבל עלינו שני עקרונות של צדק: </w:t>
      </w:r>
    </w:p>
    <w:p w:rsidR="005366A8" w:rsidRPr="00BA501B" w:rsidRDefault="005366A8" w:rsidP="005366A8">
      <w:pPr>
        <w:rPr>
          <w:sz w:val="22"/>
          <w:szCs w:val="22"/>
          <w:rtl/>
        </w:rPr>
      </w:pPr>
      <w:r w:rsidRPr="001576C8">
        <w:rPr>
          <w:b/>
          <w:bCs/>
          <w:color w:val="000000"/>
          <w:sz w:val="22"/>
          <w:szCs w:val="22"/>
          <w:rtl/>
        </w:rPr>
        <w:t>"עקרון שוויון החירות" ו"עקרון ההבדל"</w:t>
      </w:r>
      <w:r w:rsidRPr="00BA501B">
        <w:rPr>
          <w:color w:val="000000"/>
          <w:sz w:val="22"/>
          <w:szCs w:val="22"/>
          <w:rtl/>
        </w:rPr>
        <w:t xml:space="preserve"> – </w:t>
      </w:r>
    </w:p>
    <w:p w:rsidR="005366A8" w:rsidRPr="0062095E" w:rsidRDefault="005366A8" w:rsidP="005366A8">
      <w:pPr>
        <w:ind w:left="720"/>
        <w:rPr>
          <w:rFonts w:ascii="Arial" w:hAnsi="Arial" w:cs="Arial"/>
          <w:sz w:val="20"/>
          <w:szCs w:val="20"/>
          <w:rtl/>
        </w:rPr>
      </w:pPr>
      <w:r w:rsidRPr="0062095E">
        <w:rPr>
          <w:rFonts w:ascii="Arial" w:hAnsi="Arial" w:cs="Arial"/>
          <w:color w:val="000000"/>
          <w:sz w:val="20"/>
          <w:szCs w:val="20"/>
          <w:rtl/>
        </w:rPr>
        <w:t>"בני האדם במצב הראשוני יבחרו שני עקרונות שונים למדי: האחד דורש שוויון בהקצאת זכויות וחובות בסיסיות, ואילו השני קובע כי הבדלים חברתיים וכלכליים, למשל הבדלים בנכסים ובסמכות, צודקים רק אם הם מניבים יתרונות מפצים לכל, ובמיוחד לחברים המקופחים ביותר בחברה."</w:t>
      </w:r>
    </w:p>
    <w:p w:rsidR="005366A8" w:rsidRPr="00EC6764" w:rsidRDefault="005366A8" w:rsidP="005366A8">
      <w:pPr>
        <w:rPr>
          <w:sz w:val="20"/>
          <w:szCs w:val="20"/>
          <w:rtl/>
        </w:rPr>
      </w:pPr>
    </w:p>
    <w:p w:rsidR="005366A8" w:rsidRDefault="005366A8" w:rsidP="005366A8">
      <w:pPr>
        <w:rPr>
          <w:sz w:val="22"/>
          <w:szCs w:val="22"/>
          <w:rtl/>
        </w:rPr>
      </w:pPr>
      <w:r w:rsidRPr="005737AB">
        <w:rPr>
          <w:sz w:val="22"/>
          <w:szCs w:val="22"/>
          <w:rtl/>
        </w:rPr>
        <w:t xml:space="preserve">תיאוריה זו </w:t>
      </w:r>
      <w:r>
        <w:rPr>
          <w:rFonts w:hint="cs"/>
          <w:sz w:val="22"/>
          <w:szCs w:val="22"/>
          <w:rtl/>
        </w:rPr>
        <w:t>מספקת</w:t>
      </w:r>
      <w:r w:rsidRPr="005737AB">
        <w:rPr>
          <w:sz w:val="22"/>
          <w:szCs w:val="22"/>
          <w:rtl/>
        </w:rPr>
        <w:t xml:space="preserve"> ביסוס חשוב מאד לעולם הערכי של הליברליזם, שבו כל כך מרכזיים הערכים של חירות ושל </w:t>
      </w:r>
      <w:r>
        <w:rPr>
          <w:rFonts w:hint="cs"/>
          <w:sz w:val="22"/>
          <w:szCs w:val="22"/>
          <w:rtl/>
        </w:rPr>
        <w:t>ה</w:t>
      </w:r>
      <w:r w:rsidRPr="005737AB">
        <w:rPr>
          <w:sz w:val="22"/>
          <w:szCs w:val="22"/>
          <w:rtl/>
        </w:rPr>
        <w:t xml:space="preserve">שוויון בזכויות הנקשרות בחירות.  </w:t>
      </w:r>
    </w:p>
    <w:p w:rsidR="005366A8" w:rsidRPr="005737AB" w:rsidRDefault="005366A8" w:rsidP="005366A8">
      <w:pPr>
        <w:rPr>
          <w:sz w:val="22"/>
          <w:szCs w:val="22"/>
          <w:rtl/>
        </w:rPr>
      </w:pPr>
      <w:r w:rsidRPr="005737AB">
        <w:rPr>
          <w:sz w:val="22"/>
          <w:szCs w:val="22"/>
          <w:rtl/>
        </w:rPr>
        <w:t>אם אנחנו משתכנעים מ</w:t>
      </w:r>
      <w:r>
        <w:rPr>
          <w:rFonts w:hint="cs"/>
          <w:sz w:val="22"/>
          <w:szCs w:val="22"/>
          <w:rtl/>
        </w:rPr>
        <w:t>תיאוריה זו</w:t>
      </w:r>
      <w:r w:rsidRPr="005737AB">
        <w:rPr>
          <w:sz w:val="22"/>
          <w:szCs w:val="22"/>
          <w:rtl/>
        </w:rPr>
        <w:t xml:space="preserve">, </w:t>
      </w:r>
      <w:r w:rsidRPr="005737AB">
        <w:rPr>
          <w:b/>
          <w:bCs/>
          <w:sz w:val="22"/>
          <w:szCs w:val="22"/>
          <w:rtl/>
        </w:rPr>
        <w:t xml:space="preserve">כי אז איננו ניטראליים כלפי תפיסות שעוינות או </w:t>
      </w:r>
      <w:r>
        <w:rPr>
          <w:rFonts w:hint="cs"/>
          <w:b/>
          <w:bCs/>
          <w:sz w:val="22"/>
          <w:szCs w:val="22"/>
          <w:rtl/>
        </w:rPr>
        <w:t>ש</w:t>
      </w:r>
      <w:r w:rsidRPr="005737AB">
        <w:rPr>
          <w:b/>
          <w:bCs/>
          <w:sz w:val="22"/>
          <w:szCs w:val="22"/>
          <w:rtl/>
        </w:rPr>
        <w:t>דוחות את החירות ו</w:t>
      </w:r>
      <w:r>
        <w:rPr>
          <w:rFonts w:hint="cs"/>
          <w:b/>
          <w:bCs/>
          <w:sz w:val="22"/>
          <w:szCs w:val="22"/>
          <w:rtl/>
        </w:rPr>
        <w:t xml:space="preserve">את </w:t>
      </w:r>
      <w:r w:rsidRPr="005737AB">
        <w:rPr>
          <w:b/>
          <w:bCs/>
          <w:sz w:val="22"/>
          <w:szCs w:val="22"/>
          <w:rtl/>
        </w:rPr>
        <w:t>השוויון הבסיסיים הללו</w:t>
      </w:r>
      <w:r>
        <w:rPr>
          <w:rFonts w:hint="cs"/>
          <w:b/>
          <w:bCs/>
          <w:sz w:val="22"/>
          <w:szCs w:val="22"/>
          <w:rtl/>
        </w:rPr>
        <w:t xml:space="preserve"> </w:t>
      </w:r>
      <w:r w:rsidRPr="0062095E">
        <w:rPr>
          <w:rFonts w:hint="cs"/>
          <w:sz w:val="22"/>
          <w:szCs w:val="22"/>
          <w:rtl/>
        </w:rPr>
        <w:t>(למשל, באמצעות הענקת כוח מפורז ל"עקרון הרוב")</w:t>
      </w:r>
      <w:r w:rsidRPr="0062095E">
        <w:rPr>
          <w:sz w:val="22"/>
          <w:szCs w:val="22"/>
          <w:rtl/>
        </w:rPr>
        <w:t>.</w:t>
      </w:r>
    </w:p>
    <w:p w:rsidR="005366A8" w:rsidRDefault="005366A8" w:rsidP="005366A8">
      <w:pPr>
        <w:ind w:right="-284"/>
        <w:rPr>
          <w:sz w:val="22"/>
          <w:szCs w:val="22"/>
          <w:rtl/>
        </w:rPr>
      </w:pPr>
    </w:p>
    <w:p w:rsidR="005366A8" w:rsidRDefault="005366A8" w:rsidP="005366A8">
      <w:pPr>
        <w:ind w:right="-284"/>
        <w:rPr>
          <w:sz w:val="22"/>
          <w:szCs w:val="22"/>
          <w:rtl/>
        </w:rPr>
      </w:pPr>
      <w:r>
        <w:rPr>
          <w:rFonts w:hint="cs"/>
          <w:sz w:val="22"/>
          <w:szCs w:val="22"/>
          <w:rtl/>
        </w:rPr>
        <w:t>=-=</w:t>
      </w:r>
    </w:p>
    <w:p w:rsidR="005366A8" w:rsidRPr="009527C0" w:rsidRDefault="005366A8" w:rsidP="005366A8">
      <w:pPr>
        <w:ind w:right="-284"/>
        <w:rPr>
          <w:b/>
          <w:bCs/>
          <w:i/>
          <w:iCs/>
          <w:sz w:val="22"/>
          <w:szCs w:val="22"/>
          <w:rtl/>
        </w:rPr>
      </w:pPr>
      <w:r w:rsidRPr="009527C0">
        <w:rPr>
          <w:rFonts w:hint="cs"/>
          <w:b/>
          <w:bCs/>
          <w:i/>
          <w:iCs/>
          <w:sz w:val="22"/>
          <w:szCs w:val="22"/>
          <w:rtl/>
        </w:rPr>
        <w:t xml:space="preserve">תשובה לסטודנט בשנה קודמת ביחס לאי-השרירותיות/ הצידוק הקיים להטלת איסור </w:t>
      </w:r>
      <w:r w:rsidRPr="000672AE">
        <w:rPr>
          <w:rFonts w:hint="cs"/>
          <w:b/>
          <w:bCs/>
          <w:i/>
          <w:iCs/>
          <w:sz w:val="22"/>
          <w:szCs w:val="22"/>
          <w:u w:val="single"/>
          <w:rtl/>
        </w:rPr>
        <w:t>על גילוי עריות</w:t>
      </w:r>
      <w:r w:rsidRPr="009527C0">
        <w:rPr>
          <w:rFonts w:hint="cs"/>
          <w:b/>
          <w:bCs/>
          <w:i/>
          <w:iCs/>
          <w:sz w:val="22"/>
          <w:szCs w:val="22"/>
          <w:rtl/>
        </w:rPr>
        <w:t>.</w:t>
      </w:r>
    </w:p>
    <w:p w:rsidR="005366A8" w:rsidRDefault="005366A8" w:rsidP="005366A8">
      <w:pPr>
        <w:ind w:right="-284"/>
        <w:rPr>
          <w:sz w:val="22"/>
          <w:szCs w:val="22"/>
          <w:rtl/>
        </w:rPr>
      </w:pPr>
    </w:p>
    <w:p w:rsidR="005366A8" w:rsidRDefault="005366A8" w:rsidP="005366A8">
      <w:pPr>
        <w:rPr>
          <w:sz w:val="20"/>
          <w:szCs w:val="20"/>
          <w:rtl/>
        </w:rPr>
      </w:pPr>
      <w:r w:rsidRPr="0093668A">
        <w:rPr>
          <w:rFonts w:hint="cs"/>
          <w:sz w:val="20"/>
          <w:szCs w:val="20"/>
          <w:u w:val="single"/>
          <w:rtl/>
        </w:rPr>
        <w:t xml:space="preserve">לא מספיק שדבר יהיה </w:t>
      </w:r>
      <w:r>
        <w:rPr>
          <w:rFonts w:hint="cs"/>
          <w:sz w:val="20"/>
          <w:szCs w:val="20"/>
          <w:u w:val="single"/>
          <w:rtl/>
        </w:rPr>
        <w:t>אוניברסאלי במישור הסוציולוגי</w:t>
      </w:r>
      <w:r w:rsidRPr="0093668A">
        <w:rPr>
          <w:rFonts w:hint="cs"/>
          <w:sz w:val="20"/>
          <w:szCs w:val="20"/>
          <w:u w:val="single"/>
          <w:rtl/>
        </w:rPr>
        <w:t xml:space="preserve"> בכדי שהוא יהיה מוצדק</w:t>
      </w:r>
      <w:r w:rsidRPr="009527C0">
        <w:rPr>
          <w:rFonts w:hint="cs"/>
          <w:sz w:val="20"/>
          <w:szCs w:val="20"/>
          <w:rtl/>
        </w:rPr>
        <w:t xml:space="preserve">. </w:t>
      </w:r>
    </w:p>
    <w:p w:rsidR="005366A8" w:rsidRPr="009527C0" w:rsidRDefault="005366A8" w:rsidP="005366A8">
      <w:pPr>
        <w:ind w:left="720"/>
        <w:rPr>
          <w:sz w:val="20"/>
          <w:szCs w:val="20"/>
          <w:rtl/>
        </w:rPr>
      </w:pPr>
      <w:r>
        <w:rPr>
          <w:rFonts w:hint="cs"/>
          <w:sz w:val="20"/>
          <w:szCs w:val="20"/>
          <w:rtl/>
        </w:rPr>
        <w:t xml:space="preserve">א. </w:t>
      </w:r>
      <w:r w:rsidRPr="009527C0">
        <w:rPr>
          <w:rFonts w:hint="cs"/>
          <w:sz w:val="20"/>
          <w:szCs w:val="20"/>
          <w:rtl/>
        </w:rPr>
        <w:t xml:space="preserve">הדוגמא לאיסור העבר על הומוסקסואליות היא במקומה. מנקודת ראות ליברלית </w:t>
      </w:r>
      <w:r>
        <w:rPr>
          <w:rFonts w:hint="cs"/>
          <w:sz w:val="20"/>
          <w:szCs w:val="20"/>
          <w:rtl/>
        </w:rPr>
        <w:t xml:space="preserve">איסור זה הוא איסור פסול, על אף היותו </w:t>
      </w:r>
      <w:r w:rsidRPr="009527C0">
        <w:rPr>
          <w:rFonts w:hint="cs"/>
          <w:sz w:val="20"/>
          <w:szCs w:val="20"/>
          <w:rtl/>
        </w:rPr>
        <w:t>אוניברס</w:t>
      </w:r>
      <w:r>
        <w:rPr>
          <w:rFonts w:hint="cs"/>
          <w:sz w:val="20"/>
          <w:szCs w:val="20"/>
          <w:rtl/>
        </w:rPr>
        <w:t>א</w:t>
      </w:r>
      <w:r w:rsidRPr="009527C0">
        <w:rPr>
          <w:rFonts w:hint="cs"/>
          <w:sz w:val="20"/>
          <w:szCs w:val="20"/>
          <w:rtl/>
        </w:rPr>
        <w:t>לי</w:t>
      </w:r>
      <w:r>
        <w:rPr>
          <w:rFonts w:hint="cs"/>
          <w:sz w:val="20"/>
          <w:szCs w:val="20"/>
          <w:rtl/>
        </w:rPr>
        <w:t xml:space="preserve"> בעבר</w:t>
      </w:r>
      <w:r w:rsidRPr="009527C0">
        <w:rPr>
          <w:rFonts w:hint="cs"/>
          <w:sz w:val="20"/>
          <w:szCs w:val="20"/>
          <w:rtl/>
        </w:rPr>
        <w:t>.</w:t>
      </w:r>
    </w:p>
    <w:p w:rsidR="005366A8" w:rsidRPr="009527C0" w:rsidRDefault="005366A8" w:rsidP="005366A8">
      <w:pPr>
        <w:ind w:left="720"/>
        <w:rPr>
          <w:sz w:val="20"/>
          <w:szCs w:val="20"/>
          <w:rtl/>
        </w:rPr>
      </w:pPr>
      <w:r>
        <w:rPr>
          <w:rFonts w:hint="cs"/>
          <w:sz w:val="20"/>
          <w:szCs w:val="20"/>
          <w:rtl/>
        </w:rPr>
        <w:t>ב.</w:t>
      </w:r>
      <w:r w:rsidRPr="009527C0">
        <w:rPr>
          <w:rFonts w:hint="cs"/>
          <w:sz w:val="20"/>
          <w:szCs w:val="20"/>
          <w:rtl/>
        </w:rPr>
        <w:t xml:space="preserve"> בעבר המנהג ב</w:t>
      </w:r>
      <w:r>
        <w:rPr>
          <w:rFonts w:hint="cs"/>
          <w:sz w:val="20"/>
          <w:szCs w:val="20"/>
          <w:rtl/>
        </w:rPr>
        <w:t xml:space="preserve">רוב </w:t>
      </w:r>
      <w:r w:rsidRPr="009527C0">
        <w:rPr>
          <w:rFonts w:hint="cs"/>
          <w:sz w:val="20"/>
          <w:szCs w:val="20"/>
          <w:rtl/>
        </w:rPr>
        <w:t>החברות היה להשיא קטינות וקטינים, ו</w:t>
      </w:r>
      <w:r>
        <w:rPr>
          <w:rFonts w:hint="cs"/>
          <w:sz w:val="20"/>
          <w:szCs w:val="20"/>
          <w:rtl/>
        </w:rPr>
        <w:t xml:space="preserve">בחלק מהחברות המנהג היה </w:t>
      </w:r>
      <w:r w:rsidRPr="009527C0">
        <w:rPr>
          <w:rFonts w:hint="cs"/>
          <w:sz w:val="20"/>
          <w:szCs w:val="20"/>
          <w:rtl/>
        </w:rPr>
        <w:t xml:space="preserve">גם </w:t>
      </w:r>
      <w:r>
        <w:rPr>
          <w:rFonts w:hint="cs"/>
          <w:sz w:val="20"/>
          <w:szCs w:val="20"/>
          <w:rtl/>
        </w:rPr>
        <w:t>ל</w:t>
      </w:r>
      <w:r w:rsidRPr="009527C0">
        <w:rPr>
          <w:rFonts w:hint="cs"/>
          <w:sz w:val="20"/>
          <w:szCs w:val="20"/>
          <w:rtl/>
        </w:rPr>
        <w:t>פוליגמיה</w:t>
      </w:r>
      <w:r>
        <w:rPr>
          <w:rFonts w:hint="cs"/>
          <w:sz w:val="20"/>
          <w:szCs w:val="20"/>
          <w:rtl/>
        </w:rPr>
        <w:t xml:space="preserve"> (היתר לגבר לריבוי נשים)</w:t>
      </w:r>
      <w:r w:rsidRPr="009527C0">
        <w:rPr>
          <w:rFonts w:hint="cs"/>
          <w:sz w:val="20"/>
          <w:szCs w:val="20"/>
          <w:rtl/>
        </w:rPr>
        <w:t>, והנה אנו מוצאים זאת בהווה לא רק כמגונה אלא גם כראוי לאיסור, משום הנזק הטמון בכל אחד מאותם מנהגים.</w:t>
      </w:r>
    </w:p>
    <w:p w:rsidR="005366A8" w:rsidRPr="009527C0" w:rsidRDefault="005366A8" w:rsidP="005366A8">
      <w:pPr>
        <w:rPr>
          <w:sz w:val="20"/>
          <w:szCs w:val="20"/>
          <w:rtl/>
        </w:rPr>
      </w:pPr>
    </w:p>
    <w:p w:rsidR="005366A8" w:rsidRDefault="005366A8" w:rsidP="005366A8">
      <w:pPr>
        <w:rPr>
          <w:sz w:val="20"/>
          <w:szCs w:val="20"/>
          <w:rtl/>
        </w:rPr>
      </w:pPr>
      <w:r>
        <w:rPr>
          <w:rFonts w:hint="cs"/>
          <w:sz w:val="20"/>
          <w:szCs w:val="20"/>
          <w:rtl/>
        </w:rPr>
        <w:t xml:space="preserve">[לסטודנט:] </w:t>
      </w:r>
      <w:r w:rsidRPr="009527C0">
        <w:rPr>
          <w:rFonts w:hint="cs"/>
          <w:sz w:val="20"/>
          <w:szCs w:val="20"/>
          <w:rtl/>
        </w:rPr>
        <w:t xml:space="preserve">אשר לגילוי העריות. העליתי את </w:t>
      </w:r>
      <w:r>
        <w:rPr>
          <w:rFonts w:hint="cs"/>
          <w:sz w:val="20"/>
          <w:szCs w:val="20"/>
          <w:rtl/>
        </w:rPr>
        <w:t>שני הטעמים</w:t>
      </w:r>
      <w:r w:rsidRPr="009527C0">
        <w:rPr>
          <w:rFonts w:hint="cs"/>
          <w:sz w:val="20"/>
          <w:szCs w:val="20"/>
          <w:rtl/>
        </w:rPr>
        <w:t xml:space="preserve"> שאתה מזכיר, וה</w:t>
      </w:r>
      <w:r>
        <w:rPr>
          <w:rFonts w:hint="cs"/>
          <w:sz w:val="20"/>
          <w:szCs w:val="20"/>
          <w:rtl/>
        </w:rPr>
        <w:t>ם</w:t>
      </w:r>
      <w:r w:rsidRPr="009527C0">
        <w:rPr>
          <w:rFonts w:hint="cs"/>
          <w:sz w:val="20"/>
          <w:szCs w:val="20"/>
          <w:rtl/>
        </w:rPr>
        <w:t xml:space="preserve"> לא </w:t>
      </w:r>
      <w:r>
        <w:rPr>
          <w:rFonts w:hint="cs"/>
          <w:sz w:val="20"/>
          <w:szCs w:val="20"/>
          <w:rtl/>
        </w:rPr>
        <w:t xml:space="preserve">טעמים </w:t>
      </w:r>
      <w:r w:rsidRPr="009527C0">
        <w:rPr>
          <w:rFonts w:hint="cs"/>
          <w:sz w:val="20"/>
          <w:szCs w:val="20"/>
          <w:rtl/>
        </w:rPr>
        <w:t>מוציא</w:t>
      </w:r>
      <w:r>
        <w:rPr>
          <w:rFonts w:hint="cs"/>
          <w:sz w:val="20"/>
          <w:szCs w:val="20"/>
          <w:rtl/>
        </w:rPr>
        <w:t>ים (באים אחד על חשבון השני) אלא הם מצטברים</w:t>
      </w:r>
      <w:r w:rsidRPr="009527C0">
        <w:rPr>
          <w:rFonts w:hint="cs"/>
          <w:sz w:val="20"/>
          <w:szCs w:val="20"/>
          <w:rtl/>
        </w:rPr>
        <w:t xml:space="preserve">. </w:t>
      </w:r>
    </w:p>
    <w:p w:rsidR="005366A8" w:rsidRDefault="005366A8" w:rsidP="005366A8">
      <w:pPr>
        <w:rPr>
          <w:sz w:val="20"/>
          <w:szCs w:val="20"/>
          <w:rtl/>
        </w:rPr>
      </w:pPr>
    </w:p>
    <w:p w:rsidR="005366A8" w:rsidRDefault="005366A8" w:rsidP="005366A8">
      <w:pPr>
        <w:rPr>
          <w:sz w:val="20"/>
          <w:szCs w:val="20"/>
          <w:rtl/>
        </w:rPr>
      </w:pPr>
      <w:r>
        <w:rPr>
          <w:rFonts w:hint="cs"/>
          <w:sz w:val="20"/>
          <w:szCs w:val="20"/>
          <w:rtl/>
        </w:rPr>
        <w:t xml:space="preserve">א. </w:t>
      </w:r>
      <w:r w:rsidRPr="009527C0">
        <w:rPr>
          <w:sz w:val="20"/>
          <w:szCs w:val="20"/>
          <w:rtl/>
        </w:rPr>
        <w:t>הצורך בהגנה על ילד</w:t>
      </w:r>
      <w:r>
        <w:rPr>
          <w:rFonts w:hint="cs"/>
          <w:sz w:val="20"/>
          <w:szCs w:val="20"/>
          <w:rtl/>
        </w:rPr>
        <w:t>,</w:t>
      </w:r>
      <w:r w:rsidRPr="009527C0">
        <w:rPr>
          <w:sz w:val="20"/>
          <w:szCs w:val="20"/>
          <w:rtl/>
        </w:rPr>
        <w:t xml:space="preserve"> שבשל גילו, </w:t>
      </w:r>
      <w:r>
        <w:rPr>
          <w:rFonts w:hint="cs"/>
          <w:sz w:val="20"/>
          <w:szCs w:val="20"/>
          <w:rtl/>
        </w:rPr>
        <w:t xml:space="preserve">רגישותו, תלותו, </w:t>
      </w:r>
      <w:r w:rsidRPr="009527C0">
        <w:rPr>
          <w:sz w:val="20"/>
          <w:szCs w:val="20"/>
          <w:rtl/>
        </w:rPr>
        <w:t>כושר</w:t>
      </w:r>
      <w:r>
        <w:rPr>
          <w:rFonts w:hint="cs"/>
          <w:sz w:val="20"/>
          <w:szCs w:val="20"/>
          <w:rtl/>
        </w:rPr>
        <w:t xml:space="preserve">-שיפוטו, הוא </w:t>
      </w:r>
      <w:r w:rsidRPr="009527C0">
        <w:rPr>
          <w:sz w:val="20"/>
          <w:szCs w:val="20"/>
          <w:rtl/>
        </w:rPr>
        <w:t xml:space="preserve">פגיע במיוחד במערכת יחסים </w:t>
      </w:r>
      <w:r>
        <w:rPr>
          <w:rFonts w:hint="cs"/>
          <w:sz w:val="20"/>
          <w:szCs w:val="20"/>
          <w:rtl/>
        </w:rPr>
        <w:t>ש</w:t>
      </w:r>
      <w:r w:rsidRPr="009527C0">
        <w:rPr>
          <w:sz w:val="20"/>
          <w:szCs w:val="20"/>
          <w:rtl/>
        </w:rPr>
        <w:t xml:space="preserve">בה ההורה הוא דמות דומיננטית </w:t>
      </w:r>
      <w:r>
        <w:rPr>
          <w:rFonts w:hint="cs"/>
          <w:sz w:val="20"/>
          <w:szCs w:val="20"/>
          <w:rtl/>
        </w:rPr>
        <w:t xml:space="preserve">שאינה חסומה מכוח טאבּוּ (פסיכולוגי וחברתי) מפני ניצול </w:t>
      </w:r>
      <w:r w:rsidRPr="009527C0">
        <w:rPr>
          <w:sz w:val="20"/>
          <w:szCs w:val="20"/>
          <w:rtl/>
        </w:rPr>
        <w:t>מעמד זה;</w:t>
      </w:r>
    </w:p>
    <w:p w:rsidR="005366A8" w:rsidRPr="009527C0" w:rsidRDefault="005366A8" w:rsidP="005366A8">
      <w:pPr>
        <w:rPr>
          <w:sz w:val="20"/>
          <w:szCs w:val="20"/>
          <w:rtl/>
        </w:rPr>
      </w:pPr>
    </w:p>
    <w:p w:rsidR="005366A8" w:rsidRDefault="005366A8" w:rsidP="005366A8">
      <w:pPr>
        <w:rPr>
          <w:sz w:val="20"/>
          <w:szCs w:val="20"/>
          <w:rtl/>
        </w:rPr>
      </w:pPr>
      <w:r>
        <w:rPr>
          <w:rFonts w:hint="cs"/>
          <w:sz w:val="20"/>
          <w:szCs w:val="20"/>
          <w:rtl/>
        </w:rPr>
        <w:t>ב. הטעם השני</w:t>
      </w:r>
      <w:r w:rsidRPr="009527C0">
        <w:rPr>
          <w:rFonts w:hint="cs"/>
          <w:sz w:val="20"/>
          <w:szCs w:val="20"/>
          <w:rtl/>
        </w:rPr>
        <w:t xml:space="preserve"> מסביר</w:t>
      </w:r>
      <w:r>
        <w:rPr>
          <w:rFonts w:hint="cs"/>
          <w:sz w:val="20"/>
          <w:szCs w:val="20"/>
          <w:rtl/>
        </w:rPr>
        <w:t>, בין היתר,</w:t>
      </w:r>
      <w:r w:rsidRPr="009527C0">
        <w:rPr>
          <w:rFonts w:hint="cs"/>
          <w:sz w:val="20"/>
          <w:szCs w:val="20"/>
          <w:rtl/>
        </w:rPr>
        <w:t xml:space="preserve"> מדוע הטאבּוּ על גילוי עריות הוא אוניברסלי וקרוב לוודאי על-זמני. </w:t>
      </w:r>
    </w:p>
    <w:p w:rsidR="005366A8" w:rsidRDefault="005366A8" w:rsidP="005366A8">
      <w:pPr>
        <w:rPr>
          <w:sz w:val="20"/>
          <w:szCs w:val="20"/>
          <w:rtl/>
        </w:rPr>
      </w:pPr>
      <w:r w:rsidRPr="009527C0">
        <w:rPr>
          <w:rFonts w:hint="cs"/>
          <w:sz w:val="20"/>
          <w:szCs w:val="20"/>
          <w:rtl/>
        </w:rPr>
        <w:t xml:space="preserve">העולם הנפשי שלנו מורכבות מהסובלימציות/ ההדחקות הקשורות למין ולבלעדיות מול האם והאב. ההבדל בין אהבת הורה-ילד </w:t>
      </w:r>
      <w:r>
        <w:rPr>
          <w:rFonts w:hint="cs"/>
          <w:sz w:val="20"/>
          <w:szCs w:val="20"/>
          <w:rtl/>
        </w:rPr>
        <w:t xml:space="preserve">ואהבת ילד-הורה לבין </w:t>
      </w:r>
      <w:r w:rsidRPr="009527C0">
        <w:rPr>
          <w:rFonts w:hint="cs"/>
          <w:sz w:val="20"/>
          <w:szCs w:val="20"/>
          <w:rtl/>
        </w:rPr>
        <w:t>אהבת גבר-ואשה</w:t>
      </w:r>
      <w:r>
        <w:rPr>
          <w:rFonts w:hint="cs"/>
          <w:sz w:val="20"/>
          <w:szCs w:val="20"/>
          <w:rtl/>
        </w:rPr>
        <w:t>,</w:t>
      </w:r>
      <w:r w:rsidRPr="009527C0">
        <w:rPr>
          <w:rFonts w:hint="cs"/>
          <w:sz w:val="20"/>
          <w:szCs w:val="20"/>
          <w:rtl/>
        </w:rPr>
        <w:t xml:space="preserve"> הוא גם בסיס ההיכרות האנושי עם צורות מגוונות למדי, לעומת חד-ממדיות למדי, של רגש. אנחנו מכירים בעזרת ההבדל הזה את ההבדל בין אהבה לתשוקה, בין אהבה בלעדית לבין אהבה מרובת מושאים (למשל, הורים לכמה ילדים), ועוד. </w:t>
      </w:r>
    </w:p>
    <w:p w:rsidR="005366A8" w:rsidRPr="009527C0" w:rsidRDefault="005366A8" w:rsidP="005366A8">
      <w:pPr>
        <w:ind w:left="720"/>
        <w:rPr>
          <w:sz w:val="20"/>
          <w:szCs w:val="20"/>
          <w:rtl/>
        </w:rPr>
      </w:pPr>
      <w:r>
        <w:rPr>
          <w:rFonts w:hint="cs"/>
          <w:sz w:val="20"/>
          <w:szCs w:val="20"/>
          <w:rtl/>
        </w:rPr>
        <w:t>[</w:t>
      </w:r>
      <w:r w:rsidRPr="009527C0">
        <w:rPr>
          <w:rFonts w:hint="cs"/>
          <w:sz w:val="20"/>
          <w:szCs w:val="20"/>
          <w:rtl/>
        </w:rPr>
        <w:t xml:space="preserve">אגב, נדמה לי שאין </w:t>
      </w:r>
      <w:r>
        <w:rPr>
          <w:rFonts w:hint="cs"/>
          <w:sz w:val="20"/>
          <w:szCs w:val="20"/>
          <w:rtl/>
        </w:rPr>
        <w:t xml:space="preserve">בדין הפלילי </w:t>
      </w:r>
      <w:r w:rsidRPr="009527C0">
        <w:rPr>
          <w:rFonts w:hint="cs"/>
          <w:sz w:val="20"/>
          <w:szCs w:val="20"/>
          <w:rtl/>
        </w:rPr>
        <w:t xml:space="preserve">סעיף </w:t>
      </w:r>
      <w:r w:rsidRPr="0093668A">
        <w:rPr>
          <w:rFonts w:hint="cs"/>
          <w:i/>
          <w:iCs/>
          <w:sz w:val="20"/>
          <w:szCs w:val="20"/>
          <w:rtl/>
        </w:rPr>
        <w:t>מיוחד</w:t>
      </w:r>
      <w:r w:rsidRPr="009527C0">
        <w:rPr>
          <w:rFonts w:hint="cs"/>
          <w:sz w:val="20"/>
          <w:szCs w:val="20"/>
          <w:rtl/>
        </w:rPr>
        <w:t xml:space="preserve"> </w:t>
      </w:r>
      <w:r>
        <w:rPr>
          <w:rFonts w:hint="cs"/>
          <w:sz w:val="20"/>
          <w:szCs w:val="20"/>
          <w:rtl/>
        </w:rPr>
        <w:t xml:space="preserve">(כלומר מעבר להגנה על קטינים וחסרי ישע באופן כללי) </w:t>
      </w:r>
      <w:r w:rsidRPr="009527C0">
        <w:rPr>
          <w:rFonts w:hint="cs"/>
          <w:sz w:val="20"/>
          <w:szCs w:val="20"/>
          <w:rtl/>
        </w:rPr>
        <w:t>של איסור על גילוי עריות</w:t>
      </w:r>
      <w:r>
        <w:rPr>
          <w:rFonts w:hint="cs"/>
          <w:sz w:val="20"/>
          <w:szCs w:val="20"/>
          <w:rtl/>
        </w:rPr>
        <w:t>;</w:t>
      </w:r>
      <w:r w:rsidRPr="009527C0">
        <w:rPr>
          <w:rFonts w:hint="cs"/>
          <w:sz w:val="20"/>
          <w:szCs w:val="20"/>
          <w:rtl/>
        </w:rPr>
        <w:t xml:space="preserve"> </w:t>
      </w:r>
      <w:r>
        <w:rPr>
          <w:rFonts w:hint="cs"/>
          <w:sz w:val="20"/>
          <w:szCs w:val="20"/>
          <w:rtl/>
        </w:rPr>
        <w:t xml:space="preserve">דומה שזה נובע </w:t>
      </w:r>
      <w:r w:rsidRPr="009527C0">
        <w:rPr>
          <w:rFonts w:hint="cs"/>
          <w:sz w:val="20"/>
          <w:szCs w:val="20"/>
          <w:rtl/>
        </w:rPr>
        <w:t>מרוב ש</w:t>
      </w:r>
      <w:r>
        <w:rPr>
          <w:rFonts w:hint="cs"/>
          <w:sz w:val="20"/>
          <w:szCs w:val="20"/>
          <w:rtl/>
        </w:rPr>
        <w:t xml:space="preserve">איסור </w:t>
      </w:r>
      <w:r w:rsidRPr="009527C0">
        <w:rPr>
          <w:rFonts w:hint="cs"/>
          <w:sz w:val="20"/>
          <w:szCs w:val="20"/>
          <w:rtl/>
        </w:rPr>
        <w:t xml:space="preserve">זה מוגן/ </w:t>
      </w:r>
      <w:r>
        <w:rPr>
          <w:rFonts w:hint="cs"/>
          <w:sz w:val="20"/>
          <w:szCs w:val="20"/>
          <w:rtl/>
        </w:rPr>
        <w:t xml:space="preserve">מובן-מאליו/ </w:t>
      </w:r>
      <w:r w:rsidRPr="009527C0">
        <w:rPr>
          <w:rFonts w:hint="cs"/>
          <w:sz w:val="20"/>
          <w:szCs w:val="20"/>
          <w:rtl/>
        </w:rPr>
        <w:t>טאבו פסיכולוגי שלנו</w:t>
      </w:r>
      <w:r>
        <w:rPr>
          <w:rFonts w:hint="cs"/>
          <w:sz w:val="20"/>
          <w:szCs w:val="20"/>
          <w:rtl/>
        </w:rPr>
        <w:t>]</w:t>
      </w:r>
      <w:r w:rsidRPr="009527C0">
        <w:rPr>
          <w:rFonts w:hint="cs"/>
          <w:sz w:val="20"/>
          <w:szCs w:val="20"/>
          <w:rtl/>
        </w:rPr>
        <w:t>.</w:t>
      </w:r>
    </w:p>
    <w:p w:rsidR="005366A8" w:rsidRDefault="005366A8" w:rsidP="005366A8">
      <w:pPr>
        <w:ind w:right="-142"/>
        <w:rPr>
          <w:sz w:val="20"/>
          <w:szCs w:val="20"/>
          <w:rtl/>
        </w:rPr>
      </w:pPr>
    </w:p>
    <w:p w:rsidR="005366A8" w:rsidRDefault="005366A8" w:rsidP="005366A8">
      <w:pPr>
        <w:ind w:right="-142"/>
        <w:rPr>
          <w:sz w:val="20"/>
          <w:szCs w:val="20"/>
          <w:rtl/>
        </w:rPr>
      </w:pPr>
      <w:r>
        <w:rPr>
          <w:rFonts w:hint="cs"/>
          <w:sz w:val="20"/>
          <w:szCs w:val="20"/>
          <w:rtl/>
        </w:rPr>
        <w:t xml:space="preserve">ואולם מה מצדיק </w:t>
      </w:r>
      <w:r w:rsidRPr="0067646B">
        <w:rPr>
          <w:rFonts w:hint="cs"/>
          <w:b/>
          <w:bCs/>
          <w:sz w:val="20"/>
          <w:szCs w:val="20"/>
          <w:rtl/>
        </w:rPr>
        <w:t>הטלת איסור</w:t>
      </w:r>
      <w:r>
        <w:rPr>
          <w:rFonts w:hint="cs"/>
          <w:sz w:val="20"/>
          <w:szCs w:val="20"/>
          <w:rtl/>
        </w:rPr>
        <w:t xml:space="preserve">? הטלת </w:t>
      </w:r>
      <w:r w:rsidRPr="009527C0">
        <w:rPr>
          <w:rFonts w:hint="cs"/>
          <w:sz w:val="20"/>
          <w:szCs w:val="20"/>
          <w:rtl/>
        </w:rPr>
        <w:t xml:space="preserve">איסור </w:t>
      </w:r>
      <w:r>
        <w:rPr>
          <w:rFonts w:hint="cs"/>
          <w:sz w:val="20"/>
          <w:szCs w:val="20"/>
          <w:rtl/>
        </w:rPr>
        <w:t xml:space="preserve">הרי </w:t>
      </w:r>
      <w:r w:rsidRPr="009527C0">
        <w:rPr>
          <w:rFonts w:hint="cs"/>
          <w:sz w:val="20"/>
          <w:szCs w:val="20"/>
          <w:rtl/>
        </w:rPr>
        <w:t>חורג</w:t>
      </w:r>
      <w:r>
        <w:rPr>
          <w:rFonts w:hint="cs"/>
          <w:sz w:val="20"/>
          <w:szCs w:val="20"/>
          <w:rtl/>
        </w:rPr>
        <w:t>ת</w:t>
      </w:r>
      <w:r w:rsidRPr="009527C0">
        <w:rPr>
          <w:rFonts w:hint="cs"/>
          <w:sz w:val="20"/>
          <w:szCs w:val="20"/>
          <w:rtl/>
        </w:rPr>
        <w:t xml:space="preserve"> מ</w:t>
      </w:r>
      <w:r>
        <w:rPr>
          <w:rFonts w:hint="cs"/>
          <w:sz w:val="20"/>
          <w:szCs w:val="20"/>
          <w:rtl/>
        </w:rPr>
        <w:t>התבוננות ב</w:t>
      </w:r>
      <w:r w:rsidRPr="009527C0">
        <w:rPr>
          <w:rFonts w:hint="cs"/>
          <w:sz w:val="20"/>
          <w:szCs w:val="20"/>
          <w:rtl/>
        </w:rPr>
        <w:t>מישור הטוב והרע</w:t>
      </w:r>
      <w:r>
        <w:rPr>
          <w:rFonts w:hint="cs"/>
          <w:sz w:val="20"/>
          <w:szCs w:val="20"/>
          <w:rtl/>
        </w:rPr>
        <w:t xml:space="preserve">. היא מצריכה "נזק" הטמון בהתנהגות שאנו שוקלים לאוסרה. </w:t>
      </w:r>
    </w:p>
    <w:p w:rsidR="005366A8" w:rsidRPr="009527C0" w:rsidRDefault="005366A8" w:rsidP="005366A8">
      <w:pPr>
        <w:ind w:right="-142"/>
        <w:rPr>
          <w:sz w:val="20"/>
          <w:szCs w:val="20"/>
          <w:rtl/>
        </w:rPr>
      </w:pPr>
      <w:r>
        <w:rPr>
          <w:rFonts w:hint="cs"/>
          <w:sz w:val="20"/>
          <w:szCs w:val="20"/>
          <w:rtl/>
        </w:rPr>
        <w:t>תשובה: טעם א' מצביע על סיכון/נזק משמעותי</w:t>
      </w:r>
      <w:r w:rsidRPr="009527C0">
        <w:rPr>
          <w:rFonts w:hint="cs"/>
          <w:sz w:val="20"/>
          <w:szCs w:val="20"/>
          <w:rtl/>
        </w:rPr>
        <w:t xml:space="preserve">, </w:t>
      </w:r>
      <w:r>
        <w:rPr>
          <w:rFonts w:hint="cs"/>
          <w:sz w:val="20"/>
          <w:szCs w:val="20"/>
          <w:rtl/>
        </w:rPr>
        <w:t xml:space="preserve">המצטרף למימד נזק נוסף המצוי בטעם ב', ויחדיו </w:t>
      </w:r>
      <w:r w:rsidRPr="009527C0">
        <w:rPr>
          <w:rFonts w:hint="cs"/>
          <w:sz w:val="20"/>
          <w:szCs w:val="20"/>
          <w:rtl/>
        </w:rPr>
        <w:t>ה</w:t>
      </w:r>
      <w:r>
        <w:rPr>
          <w:rFonts w:hint="cs"/>
          <w:sz w:val="20"/>
          <w:szCs w:val="20"/>
          <w:rtl/>
        </w:rPr>
        <w:t>ם</w:t>
      </w:r>
      <w:r w:rsidRPr="009527C0">
        <w:rPr>
          <w:rFonts w:hint="cs"/>
          <w:sz w:val="20"/>
          <w:szCs w:val="20"/>
          <w:rtl/>
        </w:rPr>
        <w:t xml:space="preserve"> מ</w:t>
      </w:r>
      <w:r>
        <w:rPr>
          <w:rFonts w:hint="cs"/>
          <w:sz w:val="20"/>
          <w:szCs w:val="20"/>
          <w:rtl/>
        </w:rPr>
        <w:t>גבשים</w:t>
      </w:r>
      <w:r w:rsidRPr="009527C0">
        <w:rPr>
          <w:rFonts w:hint="cs"/>
          <w:sz w:val="20"/>
          <w:szCs w:val="20"/>
          <w:rtl/>
        </w:rPr>
        <w:t xml:space="preserve"> בצורה חדה </w:t>
      </w:r>
      <w:r w:rsidRPr="0067646B">
        <w:rPr>
          <w:rFonts w:hint="cs"/>
          <w:b/>
          <w:bCs/>
          <w:sz w:val="20"/>
          <w:szCs w:val="20"/>
          <w:rtl/>
        </w:rPr>
        <w:t>נזק שמצדיק הטלת איסור</w:t>
      </w:r>
      <w:r>
        <w:rPr>
          <w:rFonts w:hint="cs"/>
          <w:sz w:val="20"/>
          <w:szCs w:val="20"/>
          <w:rtl/>
        </w:rPr>
        <w:t xml:space="preserve"> על גילוי עריות.</w:t>
      </w:r>
    </w:p>
    <w:p w:rsidR="005366A8" w:rsidRPr="009527C0" w:rsidRDefault="005366A8" w:rsidP="005366A8">
      <w:pPr>
        <w:rPr>
          <w:sz w:val="20"/>
          <w:szCs w:val="20"/>
          <w:rtl/>
        </w:rPr>
      </w:pPr>
    </w:p>
    <w:p w:rsidR="005366A8" w:rsidRDefault="005366A8" w:rsidP="005366A8">
      <w:pPr>
        <w:ind w:left="720"/>
        <w:jc w:val="center"/>
        <w:rPr>
          <w:sz w:val="22"/>
          <w:szCs w:val="22"/>
          <w:rtl/>
        </w:rPr>
      </w:pPr>
      <w:r>
        <w:rPr>
          <w:rFonts w:hint="cs"/>
          <w:sz w:val="22"/>
          <w:szCs w:val="22"/>
          <w:rtl/>
        </w:rPr>
        <w:t>=-=</w:t>
      </w:r>
    </w:p>
    <w:p w:rsidR="005366A8" w:rsidRPr="009527C0" w:rsidRDefault="005366A8" w:rsidP="005366A8">
      <w:pPr>
        <w:rPr>
          <w:b/>
          <w:bCs/>
          <w:sz w:val="22"/>
          <w:szCs w:val="22"/>
          <w:highlight w:val="yellow"/>
          <w:rtl/>
        </w:rPr>
      </w:pPr>
      <w:r w:rsidRPr="009527C0">
        <w:rPr>
          <w:rFonts w:hint="cs"/>
          <w:b/>
          <w:bCs/>
          <w:sz w:val="22"/>
          <w:szCs w:val="22"/>
          <w:highlight w:val="yellow"/>
          <w:rtl/>
        </w:rPr>
        <w:t xml:space="preserve">עד עתה דנו בשאלה האם טובה, ועד כמה, חוקה פורמאלית. </w:t>
      </w:r>
    </w:p>
    <w:p w:rsidR="005366A8" w:rsidRPr="009527C0" w:rsidRDefault="005366A8" w:rsidP="005366A8">
      <w:pPr>
        <w:ind w:left="720"/>
        <w:rPr>
          <w:b/>
          <w:bCs/>
          <w:sz w:val="22"/>
          <w:szCs w:val="22"/>
          <w:highlight w:val="yellow"/>
          <w:rtl/>
        </w:rPr>
      </w:pPr>
      <w:r w:rsidRPr="009527C0">
        <w:rPr>
          <w:rFonts w:hint="cs"/>
          <w:b/>
          <w:bCs/>
          <w:sz w:val="22"/>
          <w:szCs w:val="22"/>
          <w:highlight w:val="yellow"/>
          <w:rtl/>
        </w:rPr>
        <w:t>מה יתרונותיה, מה קשייה, באיזה פרמטרים קשורים היתרונות ו</w:t>
      </w:r>
      <w:r>
        <w:rPr>
          <w:rFonts w:hint="cs"/>
          <w:b/>
          <w:bCs/>
          <w:sz w:val="22"/>
          <w:szCs w:val="22"/>
          <w:highlight w:val="yellow"/>
          <w:rtl/>
        </w:rPr>
        <w:t xml:space="preserve">באלו משתנים טמונים </w:t>
      </w:r>
      <w:r w:rsidRPr="009527C0">
        <w:rPr>
          <w:rFonts w:hint="cs"/>
          <w:b/>
          <w:bCs/>
          <w:sz w:val="22"/>
          <w:szCs w:val="22"/>
          <w:highlight w:val="yellow"/>
          <w:rtl/>
        </w:rPr>
        <w:t>הקשיים?</w:t>
      </w:r>
    </w:p>
    <w:p w:rsidR="005366A8" w:rsidRPr="009527C0" w:rsidRDefault="005366A8" w:rsidP="005366A8">
      <w:pPr>
        <w:rPr>
          <w:b/>
          <w:bCs/>
          <w:sz w:val="22"/>
          <w:szCs w:val="22"/>
          <w:highlight w:val="yellow"/>
          <w:rtl/>
        </w:rPr>
      </w:pPr>
      <w:r w:rsidRPr="009527C0">
        <w:rPr>
          <w:rFonts w:hint="cs"/>
          <w:b/>
          <w:bCs/>
          <w:sz w:val="22"/>
          <w:szCs w:val="22"/>
          <w:highlight w:val="yellow"/>
          <w:rtl/>
        </w:rPr>
        <w:t>זו שאלה שממדים חשובים שלה הם במישור הערכי, להבדיל מהמשפטי, והיא חלק מויכוח בין תפיסת הדמוקרטיה הליברלית ל</w:t>
      </w:r>
      <w:r>
        <w:rPr>
          <w:rFonts w:hint="cs"/>
          <w:b/>
          <w:bCs/>
          <w:sz w:val="22"/>
          <w:szCs w:val="22"/>
          <w:highlight w:val="yellow"/>
          <w:rtl/>
        </w:rPr>
        <w:t xml:space="preserve">בין </w:t>
      </w:r>
      <w:r w:rsidRPr="009527C0">
        <w:rPr>
          <w:rFonts w:hint="cs"/>
          <w:b/>
          <w:bCs/>
          <w:sz w:val="22"/>
          <w:szCs w:val="22"/>
          <w:highlight w:val="yellow"/>
          <w:rtl/>
        </w:rPr>
        <w:t xml:space="preserve">תפיסות ערכיות אחרות. </w:t>
      </w:r>
    </w:p>
    <w:p w:rsidR="005366A8" w:rsidRPr="009527C0" w:rsidRDefault="005366A8" w:rsidP="005366A8">
      <w:pPr>
        <w:rPr>
          <w:b/>
          <w:bCs/>
          <w:sz w:val="22"/>
          <w:szCs w:val="22"/>
          <w:highlight w:val="yellow"/>
          <w:rtl/>
        </w:rPr>
      </w:pPr>
    </w:p>
    <w:p w:rsidR="005366A8" w:rsidRDefault="005366A8" w:rsidP="005366A8">
      <w:pPr>
        <w:rPr>
          <w:b/>
          <w:bCs/>
          <w:sz w:val="20"/>
          <w:szCs w:val="20"/>
          <w:rtl/>
        </w:rPr>
      </w:pPr>
      <w:r w:rsidRPr="009527C0">
        <w:rPr>
          <w:rFonts w:hint="cs"/>
          <w:b/>
          <w:bCs/>
          <w:sz w:val="22"/>
          <w:szCs w:val="22"/>
          <w:highlight w:val="yellow"/>
          <w:rtl/>
        </w:rPr>
        <w:t>נוספות אליה השאלות הבאות, שהן שאלות משפטיות מרכזיות במיוחד, ובהן נדון בפגישות הקרובות:</w:t>
      </w:r>
    </w:p>
    <w:p w:rsidR="005366A8" w:rsidRPr="00BC7A32" w:rsidRDefault="005366A8" w:rsidP="005366A8">
      <w:pPr>
        <w:rPr>
          <w:b/>
          <w:bCs/>
          <w:sz w:val="20"/>
          <w:szCs w:val="20"/>
          <w:rtl/>
        </w:rPr>
      </w:pPr>
    </w:p>
    <w:p w:rsidR="005366A8" w:rsidRPr="004517FE" w:rsidRDefault="005366A8" w:rsidP="005366A8">
      <w:pPr>
        <w:spacing w:after="120"/>
        <w:jc w:val="center"/>
        <w:rPr>
          <w:rFonts w:cs="Arial"/>
          <w:b/>
          <w:bCs/>
          <w:highlight w:val="yellow"/>
          <w:u w:val="single"/>
          <w:rtl/>
        </w:rPr>
      </w:pPr>
      <w:r w:rsidRPr="004517FE">
        <w:rPr>
          <w:rFonts w:cs="Arial" w:hint="cs"/>
          <w:b/>
          <w:bCs/>
          <w:highlight w:val="yellow"/>
          <w:u w:val="single"/>
          <w:rtl/>
        </w:rPr>
        <w:t>1. היש סמכות מכוננת בישראל?</w:t>
      </w:r>
    </w:p>
    <w:p w:rsidR="005366A8" w:rsidRPr="004517FE" w:rsidRDefault="005366A8" w:rsidP="005366A8">
      <w:pPr>
        <w:spacing w:after="120"/>
        <w:jc w:val="center"/>
        <w:rPr>
          <w:rFonts w:cs="Arial"/>
          <w:highlight w:val="yellow"/>
          <w:u w:val="single"/>
          <w:rtl/>
        </w:rPr>
      </w:pPr>
      <w:r w:rsidRPr="004517FE">
        <w:rPr>
          <w:rFonts w:cs="Arial" w:hint="cs"/>
          <w:b/>
          <w:bCs/>
          <w:highlight w:val="yellow"/>
          <w:u w:val="single"/>
          <w:rtl/>
        </w:rPr>
        <w:t xml:space="preserve">2. </w:t>
      </w:r>
      <w:r w:rsidRPr="004517FE">
        <w:rPr>
          <w:rFonts w:cs="Arial"/>
          <w:b/>
          <w:bCs/>
          <w:highlight w:val="yellow"/>
          <w:u w:val="single"/>
          <w:rtl/>
        </w:rPr>
        <w:t>ה</w:t>
      </w:r>
      <w:r w:rsidRPr="004517FE">
        <w:rPr>
          <w:rFonts w:cs="Arial" w:hint="cs"/>
          <w:b/>
          <w:bCs/>
          <w:highlight w:val="yellow"/>
          <w:u w:val="single"/>
          <w:rtl/>
        </w:rPr>
        <w:t>אם כוננה מכוחה של סמכות זו חוקה</w:t>
      </w:r>
      <w:r w:rsidRPr="004517FE">
        <w:rPr>
          <w:rFonts w:cs="Arial"/>
          <w:b/>
          <w:bCs/>
          <w:highlight w:val="yellow"/>
          <w:u w:val="single"/>
          <w:rtl/>
        </w:rPr>
        <w:t xml:space="preserve"> לישראל</w:t>
      </w:r>
      <w:r w:rsidRPr="004517FE">
        <w:rPr>
          <w:rFonts w:cs="Arial"/>
          <w:highlight w:val="yellow"/>
          <w:u w:val="single"/>
          <w:rtl/>
        </w:rPr>
        <w:t>?</w:t>
      </w:r>
    </w:p>
    <w:p w:rsidR="005366A8" w:rsidRPr="004517FE" w:rsidRDefault="005366A8" w:rsidP="005366A8">
      <w:pPr>
        <w:spacing w:after="120"/>
        <w:jc w:val="center"/>
        <w:rPr>
          <w:rFonts w:cs="Arial"/>
          <w:b/>
          <w:bCs/>
          <w:u w:val="single"/>
          <w:rtl/>
        </w:rPr>
      </w:pPr>
      <w:r w:rsidRPr="004517FE">
        <w:rPr>
          <w:rFonts w:cs="Arial" w:hint="cs"/>
          <w:b/>
          <w:bCs/>
          <w:highlight w:val="yellow"/>
          <w:u w:val="single"/>
          <w:rtl/>
        </w:rPr>
        <w:t xml:space="preserve">3. </w:t>
      </w:r>
      <w:r w:rsidRPr="004517FE">
        <w:rPr>
          <w:rFonts w:cs="Arial"/>
          <w:b/>
          <w:bCs/>
          <w:highlight w:val="yellow"/>
          <w:u w:val="single"/>
          <w:rtl/>
        </w:rPr>
        <w:t>מהם תכני</w:t>
      </w:r>
      <w:r w:rsidRPr="004517FE">
        <w:rPr>
          <w:rFonts w:cs="Arial" w:hint="cs"/>
          <w:b/>
          <w:bCs/>
          <w:highlight w:val="yellow"/>
          <w:u w:val="single"/>
          <w:rtl/>
        </w:rPr>
        <w:t xml:space="preserve"> </w:t>
      </w:r>
      <w:r w:rsidRPr="004517FE">
        <w:rPr>
          <w:rFonts w:cs="Arial"/>
          <w:b/>
          <w:bCs/>
          <w:highlight w:val="yellow"/>
          <w:u w:val="single"/>
          <w:rtl/>
        </w:rPr>
        <w:t>ה</w:t>
      </w:r>
      <w:r w:rsidRPr="004517FE">
        <w:rPr>
          <w:rFonts w:cs="Arial" w:hint="cs"/>
          <w:b/>
          <w:bCs/>
          <w:highlight w:val="yellow"/>
          <w:u w:val="single"/>
          <w:rtl/>
        </w:rPr>
        <w:t>חוקה</w:t>
      </w:r>
      <w:r w:rsidRPr="004517FE">
        <w:rPr>
          <w:rFonts w:cs="Arial"/>
          <w:b/>
          <w:bCs/>
          <w:highlight w:val="yellow"/>
          <w:u w:val="single"/>
          <w:rtl/>
        </w:rPr>
        <w:t>?</w:t>
      </w:r>
    </w:p>
    <w:p w:rsidR="005366A8" w:rsidRPr="004517FE" w:rsidRDefault="005366A8" w:rsidP="005366A8">
      <w:pPr>
        <w:jc w:val="center"/>
        <w:rPr>
          <w:rFonts w:cs="Arial"/>
          <w:u w:val="single"/>
          <w:rtl/>
        </w:rPr>
      </w:pPr>
      <w:r w:rsidRPr="004517FE">
        <w:rPr>
          <w:rFonts w:cs="Arial" w:hint="cs"/>
          <w:b/>
          <w:bCs/>
          <w:highlight w:val="yellow"/>
          <w:u w:val="single"/>
          <w:rtl/>
        </w:rPr>
        <w:t>4. היש סמכות לביקורת שיפוטית חוקתית</w:t>
      </w:r>
    </w:p>
    <w:p w:rsidR="005366A8" w:rsidRPr="00BC7A32" w:rsidRDefault="005366A8" w:rsidP="005366A8">
      <w:pPr>
        <w:jc w:val="center"/>
        <w:rPr>
          <w:rFonts w:cs="Arial"/>
          <w:sz w:val="20"/>
          <w:szCs w:val="20"/>
          <w:u w:val="single"/>
          <w:rtl/>
        </w:rPr>
      </w:pPr>
    </w:p>
    <w:p w:rsidR="005366A8" w:rsidRDefault="005366A8" w:rsidP="005366A8">
      <w:pPr>
        <w:pStyle w:val="kot"/>
        <w:spacing w:before="0" w:after="120"/>
        <w:jc w:val="left"/>
        <w:rPr>
          <w:rFonts w:cs="Arial"/>
          <w:sz w:val="20"/>
          <w:szCs w:val="20"/>
          <w:highlight w:val="yellow"/>
          <w:rtl/>
        </w:rPr>
      </w:pPr>
      <w:r>
        <w:rPr>
          <w:rFonts w:cs="Arial" w:hint="cs"/>
          <w:sz w:val="20"/>
          <w:szCs w:val="20"/>
          <w:highlight w:val="yellow"/>
          <w:rtl/>
        </w:rPr>
        <w:t>=-=</w:t>
      </w:r>
    </w:p>
    <w:p w:rsidR="005366A8" w:rsidRPr="004517FE" w:rsidRDefault="005366A8" w:rsidP="005366A8">
      <w:pPr>
        <w:spacing w:after="120"/>
        <w:rPr>
          <w:rFonts w:cs="Arial"/>
          <w:b/>
          <w:bCs/>
          <w:u w:val="single"/>
          <w:rtl/>
        </w:rPr>
      </w:pPr>
      <w:r w:rsidRPr="004517FE">
        <w:rPr>
          <w:rFonts w:cs="Arial" w:hint="cs"/>
          <w:b/>
          <w:bCs/>
          <w:highlight w:val="yellow"/>
          <w:u w:val="single"/>
          <w:rtl/>
        </w:rPr>
        <w:t xml:space="preserve">3. </w:t>
      </w:r>
      <w:r w:rsidRPr="004517FE">
        <w:rPr>
          <w:rFonts w:cs="Arial"/>
          <w:b/>
          <w:bCs/>
          <w:highlight w:val="yellow"/>
          <w:u w:val="single"/>
          <w:rtl/>
        </w:rPr>
        <w:t>מהם תכני</w:t>
      </w:r>
      <w:r w:rsidRPr="004517FE">
        <w:rPr>
          <w:rFonts w:cs="Arial" w:hint="cs"/>
          <w:b/>
          <w:bCs/>
          <w:highlight w:val="yellow"/>
          <w:u w:val="single"/>
          <w:rtl/>
        </w:rPr>
        <w:t xml:space="preserve"> </w:t>
      </w:r>
      <w:r w:rsidRPr="004517FE">
        <w:rPr>
          <w:rFonts w:cs="Arial"/>
          <w:b/>
          <w:bCs/>
          <w:highlight w:val="yellow"/>
          <w:u w:val="single"/>
          <w:rtl/>
        </w:rPr>
        <w:t>ה</w:t>
      </w:r>
      <w:r w:rsidRPr="004517FE">
        <w:rPr>
          <w:rFonts w:cs="Arial" w:hint="cs"/>
          <w:b/>
          <w:bCs/>
          <w:highlight w:val="yellow"/>
          <w:u w:val="single"/>
          <w:rtl/>
        </w:rPr>
        <w:t>חוקה</w:t>
      </w:r>
      <w:r w:rsidRPr="004517FE">
        <w:rPr>
          <w:rFonts w:cs="Arial"/>
          <w:b/>
          <w:bCs/>
          <w:highlight w:val="yellow"/>
          <w:u w:val="single"/>
          <w:rtl/>
        </w:rPr>
        <w:t>?</w:t>
      </w:r>
    </w:p>
    <w:p w:rsidR="005366A8" w:rsidRDefault="005366A8" w:rsidP="005366A8">
      <w:pPr>
        <w:pStyle w:val="kot"/>
        <w:spacing w:before="0" w:after="120"/>
        <w:jc w:val="left"/>
        <w:rPr>
          <w:rFonts w:cs="Arial"/>
          <w:sz w:val="20"/>
          <w:szCs w:val="20"/>
          <w:highlight w:val="yellow"/>
          <w:rtl/>
        </w:rPr>
      </w:pPr>
      <w:r>
        <w:rPr>
          <w:rFonts w:cs="Arial" w:hint="cs"/>
          <w:sz w:val="20"/>
          <w:szCs w:val="20"/>
          <w:highlight w:val="yellow"/>
          <w:rtl/>
        </w:rPr>
        <w:t>חוקי היסוד</w:t>
      </w:r>
    </w:p>
    <w:p w:rsidR="005366A8" w:rsidRPr="00720EDF" w:rsidRDefault="005366A8" w:rsidP="005366A8">
      <w:pPr>
        <w:tabs>
          <w:tab w:val="center" w:pos="5102"/>
        </w:tabs>
        <w:spacing w:after="120"/>
        <w:jc w:val="center"/>
        <w:rPr>
          <w:rFonts w:ascii="Arial" w:hAnsi="Arial" w:cs="David"/>
          <w:b/>
          <w:bCs/>
          <w:sz w:val="20"/>
          <w:szCs w:val="20"/>
          <w:u w:val="single"/>
          <w:rtl/>
        </w:rPr>
      </w:pPr>
      <w:r w:rsidRPr="000643DC">
        <w:rPr>
          <w:rFonts w:ascii="Arial" w:hAnsi="Arial" w:cs="Arial"/>
          <w:b/>
          <w:bCs/>
          <w:sz w:val="20"/>
          <w:szCs w:val="20"/>
          <w:u w:val="single"/>
          <w:rtl/>
        </w:rPr>
        <w:t>חוק יסוד: הכנסת</w:t>
      </w:r>
    </w:p>
    <w:p w:rsidR="005366A8" w:rsidRPr="00720EDF" w:rsidRDefault="005366A8" w:rsidP="005366A8">
      <w:pPr>
        <w:spacing w:after="120"/>
        <w:rPr>
          <w:rFonts w:cs="David"/>
          <w:b/>
          <w:bCs/>
          <w:sz w:val="20"/>
          <w:szCs w:val="20"/>
          <w:rtl/>
        </w:rPr>
      </w:pPr>
      <w:r w:rsidRPr="00720EDF">
        <w:rPr>
          <w:rFonts w:cs="David"/>
          <w:sz w:val="20"/>
          <w:szCs w:val="20"/>
          <w:rtl/>
        </w:rPr>
        <w:t xml:space="preserve">4. [שיטת הבחירות] </w:t>
      </w:r>
      <w:r w:rsidRPr="00720EDF">
        <w:rPr>
          <w:rFonts w:cs="David"/>
          <w:b/>
          <w:bCs/>
          <w:sz w:val="20"/>
          <w:szCs w:val="20"/>
          <w:rtl/>
        </w:rPr>
        <w:t xml:space="preserve">הכנסת תיבחר בבחירות כלליות, ארציות, ישירות, שוות, חשאיות ויחסיות, לפי חוק הבחירות לכנסת; </w:t>
      </w:r>
      <w:r w:rsidRPr="007B0CEE">
        <w:rPr>
          <w:rFonts w:cs="David"/>
          <w:b/>
          <w:bCs/>
          <w:sz w:val="20"/>
          <w:szCs w:val="20"/>
          <w:highlight w:val="yellow"/>
          <w:rtl/>
        </w:rPr>
        <w:t>אין לשנות סעיף זה, אלא ברוב של חברי הכנסת</w:t>
      </w:r>
      <w:r w:rsidRPr="00720EDF">
        <w:rPr>
          <w:rFonts w:cs="David"/>
          <w:b/>
          <w:bCs/>
          <w:sz w:val="20"/>
          <w:szCs w:val="20"/>
          <w:rtl/>
        </w:rPr>
        <w:t>.</w:t>
      </w:r>
    </w:p>
    <w:p w:rsidR="005366A8" w:rsidRPr="00720EDF" w:rsidRDefault="005366A8" w:rsidP="005366A8">
      <w:pPr>
        <w:pStyle w:val="BodyText2"/>
        <w:rPr>
          <w:rFonts w:cs="David"/>
          <w:sz w:val="20"/>
          <w:szCs w:val="20"/>
          <w:rtl/>
        </w:rPr>
      </w:pPr>
      <w:r w:rsidRPr="00720EDF">
        <w:rPr>
          <w:rFonts w:cs="David"/>
          <w:sz w:val="20"/>
          <w:szCs w:val="20"/>
          <w:rtl/>
        </w:rPr>
        <w:t xml:space="preserve">9א. </w:t>
      </w:r>
      <w:r w:rsidRPr="00720EDF">
        <w:rPr>
          <w:rFonts w:cs="David" w:hint="cs"/>
          <w:sz w:val="20"/>
          <w:szCs w:val="20"/>
          <w:rtl/>
        </w:rPr>
        <w:t>[</w:t>
      </w:r>
      <w:r w:rsidRPr="00720EDF">
        <w:rPr>
          <w:rFonts w:cs="David"/>
          <w:sz w:val="20"/>
          <w:szCs w:val="20"/>
          <w:rtl/>
        </w:rPr>
        <w:t>הארכת תקופת כהונה (תיקון: תשנ"ב)</w:t>
      </w:r>
      <w:r w:rsidRPr="00720EDF">
        <w:rPr>
          <w:rFonts w:cs="David" w:hint="cs"/>
          <w:sz w:val="20"/>
          <w:szCs w:val="20"/>
          <w:rtl/>
        </w:rPr>
        <w:t>]</w:t>
      </w:r>
      <w:r w:rsidRPr="00720EDF">
        <w:rPr>
          <w:rFonts w:cs="David"/>
          <w:sz w:val="20"/>
          <w:szCs w:val="20"/>
          <w:rtl/>
        </w:rPr>
        <w:t xml:space="preserve"> </w:t>
      </w:r>
      <w:r w:rsidRPr="00720EDF">
        <w:rPr>
          <w:rFonts w:cs="David"/>
          <w:b/>
          <w:bCs/>
          <w:sz w:val="20"/>
          <w:szCs w:val="20"/>
          <w:rtl/>
        </w:rPr>
        <w:t xml:space="preserve">(א) הכנסת לא תאריך את תקופת כהונתה </w:t>
      </w:r>
      <w:r w:rsidRPr="007B0CEE">
        <w:rPr>
          <w:rFonts w:cs="David"/>
          <w:b/>
          <w:bCs/>
          <w:sz w:val="20"/>
          <w:szCs w:val="20"/>
          <w:highlight w:val="yellow"/>
          <w:rtl/>
        </w:rPr>
        <w:t>אלא בחוק שנתקבל ברוב של שמונים חברי הכנסת ואם נתקיימו נסיבות מיוחדות המונעות עריכת בחירות בעיתן; תקופת ההארכה לא תעלה על הזמן המתחייב מהנסיבות האמורות</w:t>
      </w:r>
      <w:r w:rsidRPr="00720EDF">
        <w:rPr>
          <w:rFonts w:cs="David"/>
          <w:b/>
          <w:bCs/>
          <w:sz w:val="20"/>
          <w:szCs w:val="20"/>
          <w:rtl/>
        </w:rPr>
        <w:t>; בחוק כאמור ייקבע מועד הבחירות.</w:t>
      </w:r>
      <w:r w:rsidRPr="00720EDF">
        <w:rPr>
          <w:rFonts w:cs="David" w:hint="cs"/>
          <w:sz w:val="20"/>
          <w:szCs w:val="20"/>
          <w:rtl/>
        </w:rPr>
        <w:t xml:space="preserve"> [...]</w:t>
      </w:r>
    </w:p>
    <w:p w:rsidR="005366A8" w:rsidRDefault="005366A8" w:rsidP="005366A8">
      <w:pPr>
        <w:pStyle w:val="T-body"/>
        <w:spacing w:line="240" w:lineRule="auto"/>
        <w:rPr>
          <w:sz w:val="20"/>
          <w:szCs w:val="20"/>
          <w:rtl/>
        </w:rPr>
      </w:pPr>
    </w:p>
    <w:p w:rsidR="005366A8" w:rsidRPr="007B0CEE" w:rsidRDefault="005366A8" w:rsidP="005366A8">
      <w:pPr>
        <w:pStyle w:val="T-body"/>
        <w:spacing w:after="60" w:line="240" w:lineRule="auto"/>
        <w:ind w:left="720"/>
        <w:rPr>
          <w:rFonts w:ascii="Arial" w:hAnsi="Arial" w:cs="Arial"/>
          <w:b/>
          <w:bCs/>
          <w:sz w:val="20"/>
          <w:szCs w:val="20"/>
          <w:u w:val="single"/>
          <w:rtl/>
        </w:rPr>
      </w:pPr>
      <w:r w:rsidRPr="007B0CEE">
        <w:rPr>
          <w:rFonts w:ascii="Arial" w:hAnsi="Arial" w:cs="Arial"/>
          <w:b/>
          <w:bCs/>
          <w:sz w:val="20"/>
          <w:szCs w:val="20"/>
          <w:u w:val="single"/>
          <w:rtl/>
        </w:rPr>
        <w:t xml:space="preserve">חוק-יסוד: הממשלה, </w:t>
      </w:r>
    </w:p>
    <w:p w:rsidR="005366A8" w:rsidRPr="007B0CEE" w:rsidRDefault="005366A8" w:rsidP="005366A8">
      <w:pPr>
        <w:pStyle w:val="T-body"/>
        <w:spacing w:after="60" w:line="240" w:lineRule="auto"/>
        <w:ind w:left="720"/>
        <w:rPr>
          <w:rFonts w:ascii="Arial" w:hAnsi="Arial" w:cs="Arial"/>
          <w:b/>
          <w:bCs/>
          <w:sz w:val="20"/>
          <w:szCs w:val="20"/>
          <w:u w:val="single"/>
          <w:rtl/>
        </w:rPr>
      </w:pPr>
      <w:r w:rsidRPr="007B0CEE">
        <w:rPr>
          <w:rFonts w:ascii="Arial" w:hAnsi="Arial" w:cs="Arial"/>
          <w:b/>
          <w:bCs/>
          <w:sz w:val="20"/>
          <w:szCs w:val="20"/>
          <w:u w:val="single"/>
          <w:rtl/>
        </w:rPr>
        <w:t xml:space="preserve">חוק-יסוד: השפיטה, </w:t>
      </w:r>
    </w:p>
    <w:p w:rsidR="005366A8" w:rsidRPr="007B0CEE" w:rsidRDefault="005366A8" w:rsidP="005366A8">
      <w:pPr>
        <w:pStyle w:val="T-body"/>
        <w:spacing w:after="60" w:line="240" w:lineRule="auto"/>
        <w:ind w:left="720"/>
        <w:rPr>
          <w:rFonts w:ascii="Arial" w:hAnsi="Arial" w:cs="Arial"/>
          <w:b/>
          <w:bCs/>
          <w:sz w:val="20"/>
          <w:szCs w:val="20"/>
          <w:u w:val="single"/>
          <w:rtl/>
        </w:rPr>
      </w:pPr>
      <w:r w:rsidRPr="007B0CEE">
        <w:rPr>
          <w:rFonts w:ascii="Arial" w:hAnsi="Arial" w:cs="Arial"/>
          <w:b/>
          <w:bCs/>
          <w:sz w:val="20"/>
          <w:szCs w:val="20"/>
          <w:u w:val="single"/>
          <w:rtl/>
        </w:rPr>
        <w:t>חוק-יסוד: נשיא המדינה,</w:t>
      </w:r>
    </w:p>
    <w:p w:rsidR="005366A8" w:rsidRPr="007B0CEE" w:rsidRDefault="005366A8" w:rsidP="005366A8">
      <w:pPr>
        <w:pStyle w:val="T-body"/>
        <w:spacing w:after="60" w:line="240" w:lineRule="auto"/>
        <w:ind w:left="720"/>
        <w:rPr>
          <w:rFonts w:ascii="Arial" w:hAnsi="Arial" w:cs="Arial"/>
          <w:b/>
          <w:bCs/>
          <w:sz w:val="20"/>
          <w:szCs w:val="20"/>
          <w:u w:val="single"/>
          <w:rtl/>
        </w:rPr>
      </w:pPr>
      <w:r w:rsidRPr="007B0CEE">
        <w:rPr>
          <w:rFonts w:ascii="Arial" w:hAnsi="Arial" w:cs="Arial"/>
          <w:b/>
          <w:bCs/>
          <w:sz w:val="20"/>
          <w:szCs w:val="20"/>
          <w:u w:val="single"/>
          <w:rtl/>
        </w:rPr>
        <w:t>חוק-יסוד: הצבא,</w:t>
      </w:r>
    </w:p>
    <w:p w:rsidR="005366A8" w:rsidRPr="007B0CEE" w:rsidRDefault="005366A8" w:rsidP="005366A8">
      <w:pPr>
        <w:pStyle w:val="T-body"/>
        <w:spacing w:after="60" w:line="240" w:lineRule="auto"/>
        <w:ind w:left="720"/>
        <w:rPr>
          <w:rFonts w:ascii="Arial" w:hAnsi="Arial" w:cs="Arial"/>
          <w:b/>
          <w:bCs/>
          <w:sz w:val="20"/>
          <w:szCs w:val="20"/>
          <w:u w:val="single"/>
          <w:rtl/>
        </w:rPr>
      </w:pPr>
      <w:r w:rsidRPr="007B0CEE">
        <w:rPr>
          <w:rFonts w:ascii="Arial" w:hAnsi="Arial" w:cs="Arial"/>
          <w:b/>
          <w:bCs/>
          <w:sz w:val="20"/>
          <w:szCs w:val="20"/>
          <w:u w:val="single"/>
          <w:rtl/>
        </w:rPr>
        <w:t xml:space="preserve">חוק-יסוד: מבקר המדינה, </w:t>
      </w:r>
    </w:p>
    <w:p w:rsidR="005366A8" w:rsidRPr="007B0CEE" w:rsidRDefault="005366A8" w:rsidP="005366A8">
      <w:pPr>
        <w:pStyle w:val="T-body"/>
        <w:spacing w:after="60" w:line="240" w:lineRule="auto"/>
        <w:ind w:left="720"/>
        <w:rPr>
          <w:rFonts w:ascii="Arial" w:hAnsi="Arial" w:cs="Arial"/>
          <w:b/>
          <w:bCs/>
          <w:sz w:val="20"/>
          <w:szCs w:val="20"/>
          <w:u w:val="single"/>
          <w:rtl/>
        </w:rPr>
      </w:pPr>
      <w:r w:rsidRPr="007B0CEE">
        <w:rPr>
          <w:rFonts w:ascii="Arial" w:hAnsi="Arial" w:cs="Arial"/>
          <w:b/>
          <w:bCs/>
          <w:sz w:val="20"/>
          <w:szCs w:val="20"/>
          <w:u w:val="single"/>
          <w:rtl/>
        </w:rPr>
        <w:t xml:space="preserve">חוק-יסוד: ירושלים בירת ישראל, </w:t>
      </w:r>
    </w:p>
    <w:p w:rsidR="005366A8" w:rsidRPr="007B0CEE" w:rsidRDefault="005366A8" w:rsidP="005366A8">
      <w:pPr>
        <w:pStyle w:val="T-body"/>
        <w:spacing w:after="60" w:line="240" w:lineRule="auto"/>
        <w:ind w:left="720"/>
        <w:rPr>
          <w:rFonts w:ascii="Arial" w:hAnsi="Arial" w:cs="Arial"/>
          <w:b/>
          <w:bCs/>
          <w:sz w:val="20"/>
          <w:szCs w:val="20"/>
          <w:u w:val="single"/>
          <w:rtl/>
        </w:rPr>
      </w:pPr>
      <w:r w:rsidRPr="007B0CEE">
        <w:rPr>
          <w:rFonts w:ascii="Arial" w:hAnsi="Arial" w:cs="Arial"/>
          <w:b/>
          <w:bCs/>
          <w:sz w:val="20"/>
          <w:szCs w:val="20"/>
          <w:u w:val="single"/>
          <w:rtl/>
        </w:rPr>
        <w:t xml:space="preserve">חוק-יסוד: מקרקעי ישראל, </w:t>
      </w:r>
    </w:p>
    <w:p w:rsidR="005366A8" w:rsidRPr="007B0CEE" w:rsidRDefault="005366A8" w:rsidP="005366A8">
      <w:pPr>
        <w:pStyle w:val="T-body"/>
        <w:spacing w:after="60" w:line="240" w:lineRule="auto"/>
        <w:ind w:left="720"/>
        <w:rPr>
          <w:rFonts w:ascii="Arial" w:hAnsi="Arial" w:cs="Arial"/>
          <w:b/>
          <w:bCs/>
          <w:sz w:val="20"/>
          <w:szCs w:val="20"/>
          <w:u w:val="single"/>
          <w:rtl/>
        </w:rPr>
      </w:pPr>
      <w:r w:rsidRPr="007B0CEE">
        <w:rPr>
          <w:rFonts w:ascii="Arial" w:hAnsi="Arial" w:cs="Arial"/>
          <w:b/>
          <w:bCs/>
          <w:sz w:val="20"/>
          <w:szCs w:val="20"/>
          <w:u w:val="single"/>
          <w:rtl/>
        </w:rPr>
        <w:t xml:space="preserve">חוק-יסוד: משק המדינה, </w:t>
      </w:r>
    </w:p>
    <w:p w:rsidR="005366A8" w:rsidRDefault="005366A8" w:rsidP="005366A8">
      <w:pPr>
        <w:pStyle w:val="T-body"/>
        <w:spacing w:after="60" w:line="240" w:lineRule="auto"/>
        <w:ind w:left="720"/>
        <w:rPr>
          <w:rFonts w:ascii="Arial" w:hAnsi="Arial" w:cs="Arial"/>
          <w:b/>
          <w:bCs/>
          <w:sz w:val="20"/>
          <w:szCs w:val="20"/>
          <w:rtl/>
        </w:rPr>
      </w:pPr>
      <w:r w:rsidRPr="007B0CEE">
        <w:rPr>
          <w:rFonts w:ascii="Arial" w:hAnsi="Arial" w:cs="Arial"/>
          <w:b/>
          <w:bCs/>
          <w:sz w:val="20"/>
          <w:szCs w:val="20"/>
          <w:u w:val="single"/>
          <w:rtl/>
        </w:rPr>
        <w:t>חוק יסוד: תקציב המדינה (הוראות מיוחדות) (הוראת שעה)</w:t>
      </w:r>
      <w:r>
        <w:rPr>
          <w:rFonts w:ascii="Arial" w:hAnsi="Arial" w:cs="Arial" w:hint="cs"/>
          <w:b/>
          <w:bCs/>
          <w:sz w:val="20"/>
          <w:szCs w:val="20"/>
          <w:rtl/>
        </w:rPr>
        <w:t>,</w:t>
      </w:r>
    </w:p>
    <w:p w:rsidR="005366A8" w:rsidRPr="0072026F" w:rsidRDefault="005366A8" w:rsidP="005366A8">
      <w:pPr>
        <w:pStyle w:val="T-body"/>
        <w:spacing w:after="60" w:line="240" w:lineRule="auto"/>
        <w:ind w:left="720"/>
        <w:rPr>
          <w:rFonts w:ascii="Arial" w:hAnsi="Arial" w:cs="Arial"/>
          <w:b/>
          <w:bCs/>
          <w:sz w:val="20"/>
          <w:szCs w:val="20"/>
          <w:u w:val="single"/>
          <w:rtl/>
        </w:rPr>
      </w:pPr>
      <w:r>
        <w:rPr>
          <w:rFonts w:ascii="Arial" w:hAnsi="Arial" w:cs="Arial" w:hint="cs"/>
          <w:b/>
          <w:bCs/>
          <w:sz w:val="20"/>
          <w:szCs w:val="20"/>
          <w:u w:val="single"/>
          <w:rtl/>
        </w:rPr>
        <w:t>חוק-יסוד: משאל עם.</w:t>
      </w:r>
    </w:p>
    <w:p w:rsidR="005366A8" w:rsidRDefault="005366A8" w:rsidP="005366A8">
      <w:pPr>
        <w:pStyle w:val="T-body"/>
        <w:spacing w:line="240" w:lineRule="auto"/>
        <w:rPr>
          <w:sz w:val="20"/>
          <w:szCs w:val="20"/>
          <w:rtl/>
        </w:rPr>
      </w:pPr>
    </w:p>
    <w:p w:rsidR="005366A8" w:rsidRPr="00B221AF" w:rsidRDefault="005366A8" w:rsidP="005366A8">
      <w:pPr>
        <w:spacing w:after="120"/>
        <w:jc w:val="center"/>
        <w:rPr>
          <w:rFonts w:cs="David"/>
          <w:sz w:val="20"/>
          <w:szCs w:val="20"/>
          <w:rtl/>
        </w:rPr>
      </w:pPr>
      <w:r w:rsidRPr="00720EDF">
        <w:rPr>
          <w:rFonts w:ascii="Arial" w:hAnsi="Arial" w:cs="Arial"/>
          <w:b/>
          <w:bCs/>
          <w:sz w:val="20"/>
          <w:szCs w:val="20"/>
          <w:u w:val="single"/>
          <w:rtl/>
        </w:rPr>
        <w:t>חוק יסוד: כבוד האדם וחירותו</w:t>
      </w:r>
    </w:p>
    <w:p w:rsidR="005366A8" w:rsidRPr="00B221AF" w:rsidRDefault="005366A8" w:rsidP="005366A8">
      <w:pPr>
        <w:spacing w:after="60"/>
        <w:ind w:left="720"/>
        <w:rPr>
          <w:rFonts w:cs="David"/>
          <w:b/>
          <w:bCs/>
          <w:sz w:val="20"/>
          <w:szCs w:val="20"/>
          <w:rtl/>
        </w:rPr>
      </w:pPr>
      <w:r w:rsidRPr="00B221AF">
        <w:rPr>
          <w:rFonts w:cs="David"/>
          <w:b/>
          <w:bCs/>
          <w:sz w:val="20"/>
          <w:szCs w:val="20"/>
          <w:rtl/>
        </w:rPr>
        <w:t xml:space="preserve">1. </w:t>
      </w:r>
      <w:r w:rsidRPr="00B221AF">
        <w:rPr>
          <w:rFonts w:cs="David"/>
          <w:sz w:val="20"/>
          <w:szCs w:val="20"/>
          <w:rtl/>
        </w:rPr>
        <w:t>עקרונות יסוד [תיקון: תשנ"ד]</w:t>
      </w:r>
      <w:r w:rsidRPr="00B221AF">
        <w:rPr>
          <w:rFonts w:cs="David"/>
          <w:b/>
          <w:bCs/>
          <w:sz w:val="20"/>
          <w:szCs w:val="20"/>
          <w:rtl/>
        </w:rPr>
        <w:t xml:space="preserve"> </w:t>
      </w:r>
    </w:p>
    <w:p w:rsidR="005366A8" w:rsidRPr="00B221AF" w:rsidRDefault="005366A8" w:rsidP="005366A8">
      <w:pPr>
        <w:rPr>
          <w:rFonts w:cs="David"/>
          <w:b/>
          <w:bCs/>
          <w:sz w:val="20"/>
          <w:szCs w:val="20"/>
          <w:rtl/>
        </w:rPr>
      </w:pPr>
      <w:r w:rsidRPr="00B221AF">
        <w:rPr>
          <w:rFonts w:cs="David"/>
          <w:b/>
          <w:bCs/>
          <w:sz w:val="20"/>
          <w:szCs w:val="20"/>
          <w:rtl/>
        </w:rPr>
        <w:t xml:space="preserve">זכויות היסוד של האדם בישראל מושתתות על ההכרה בערך האדם, בקדושת חייו ובהיותו בן-חורין, והן יכובדו ברוח העקרונות שבהכרזה על הקמת מדינת ישראל. </w:t>
      </w:r>
    </w:p>
    <w:p w:rsidR="005366A8" w:rsidRPr="00B221AF" w:rsidRDefault="005366A8" w:rsidP="005366A8">
      <w:pPr>
        <w:rPr>
          <w:rFonts w:cs="David"/>
          <w:b/>
          <w:bCs/>
          <w:sz w:val="20"/>
          <w:szCs w:val="20"/>
          <w:rtl/>
        </w:rPr>
      </w:pPr>
    </w:p>
    <w:p w:rsidR="005366A8" w:rsidRPr="00B221AF" w:rsidRDefault="005366A8" w:rsidP="005366A8">
      <w:pPr>
        <w:spacing w:after="60"/>
        <w:ind w:left="720"/>
        <w:rPr>
          <w:rFonts w:cs="David"/>
          <w:b/>
          <w:bCs/>
          <w:sz w:val="20"/>
          <w:szCs w:val="20"/>
          <w:rtl/>
        </w:rPr>
      </w:pPr>
      <w:r w:rsidRPr="00B221AF">
        <w:rPr>
          <w:rFonts w:cs="David"/>
          <w:b/>
          <w:bCs/>
          <w:sz w:val="20"/>
          <w:szCs w:val="20"/>
          <w:rtl/>
        </w:rPr>
        <w:t xml:space="preserve">1א. </w:t>
      </w:r>
      <w:r w:rsidRPr="00B221AF">
        <w:rPr>
          <w:rFonts w:cs="David"/>
          <w:sz w:val="20"/>
          <w:szCs w:val="20"/>
          <w:rtl/>
        </w:rPr>
        <w:t>מטרה [תיקון: תשנ"ד]</w:t>
      </w:r>
      <w:r w:rsidRPr="00B221AF">
        <w:rPr>
          <w:rFonts w:cs="David"/>
          <w:b/>
          <w:bCs/>
          <w:sz w:val="20"/>
          <w:szCs w:val="20"/>
          <w:rtl/>
        </w:rPr>
        <w:t xml:space="preserve"> </w:t>
      </w:r>
    </w:p>
    <w:p w:rsidR="005366A8" w:rsidRPr="00B221AF" w:rsidRDefault="005366A8" w:rsidP="005366A8">
      <w:pPr>
        <w:rPr>
          <w:rFonts w:cs="David"/>
          <w:b/>
          <w:bCs/>
          <w:sz w:val="20"/>
          <w:szCs w:val="20"/>
          <w:rtl/>
        </w:rPr>
      </w:pPr>
      <w:r w:rsidRPr="00B221AF">
        <w:rPr>
          <w:rFonts w:cs="David"/>
          <w:b/>
          <w:bCs/>
          <w:sz w:val="20"/>
          <w:szCs w:val="20"/>
          <w:rtl/>
        </w:rPr>
        <w:t xml:space="preserve">חוק-יסוד זה, מטרתו להגן על כבוד האדם וחירותו, כדי לעגן בחוק-יסוד את ערכיה של מדינת ישראל כמדינה יהודית ודמוקרטית. </w:t>
      </w:r>
    </w:p>
    <w:p w:rsidR="005366A8" w:rsidRPr="00B221AF" w:rsidRDefault="005366A8" w:rsidP="005366A8">
      <w:pPr>
        <w:rPr>
          <w:rFonts w:cs="David"/>
          <w:b/>
          <w:bCs/>
          <w:sz w:val="20"/>
          <w:szCs w:val="20"/>
          <w:rtl/>
        </w:rPr>
      </w:pPr>
    </w:p>
    <w:p w:rsidR="005366A8" w:rsidRPr="00B221AF" w:rsidRDefault="005366A8" w:rsidP="005366A8">
      <w:pPr>
        <w:ind w:left="720"/>
        <w:rPr>
          <w:rFonts w:cs="David"/>
          <w:b/>
          <w:bCs/>
          <w:sz w:val="20"/>
          <w:szCs w:val="20"/>
          <w:rtl/>
        </w:rPr>
      </w:pPr>
      <w:r w:rsidRPr="00B221AF">
        <w:rPr>
          <w:rFonts w:cs="David"/>
          <w:b/>
          <w:bCs/>
          <w:sz w:val="20"/>
          <w:szCs w:val="20"/>
          <w:rtl/>
        </w:rPr>
        <w:t xml:space="preserve">2. </w:t>
      </w:r>
      <w:r w:rsidRPr="00B221AF">
        <w:rPr>
          <w:rFonts w:cs="David"/>
          <w:sz w:val="20"/>
          <w:szCs w:val="20"/>
          <w:rtl/>
        </w:rPr>
        <w:t>שמירה על החיים, הגוף והכבוד</w:t>
      </w:r>
      <w:r w:rsidRPr="00B221AF">
        <w:rPr>
          <w:rFonts w:cs="David"/>
          <w:b/>
          <w:bCs/>
          <w:sz w:val="20"/>
          <w:szCs w:val="20"/>
          <w:rtl/>
        </w:rPr>
        <w:t xml:space="preserve"> </w:t>
      </w:r>
    </w:p>
    <w:p w:rsidR="005366A8" w:rsidRPr="00B221AF" w:rsidRDefault="005366A8" w:rsidP="005366A8">
      <w:pPr>
        <w:rPr>
          <w:rFonts w:cs="David"/>
          <w:b/>
          <w:bCs/>
          <w:sz w:val="20"/>
          <w:szCs w:val="20"/>
          <w:rtl/>
        </w:rPr>
      </w:pPr>
      <w:r w:rsidRPr="00B221AF">
        <w:rPr>
          <w:rFonts w:cs="David"/>
          <w:b/>
          <w:bCs/>
          <w:sz w:val="20"/>
          <w:szCs w:val="20"/>
          <w:rtl/>
        </w:rPr>
        <w:t xml:space="preserve">אין פוגעים בחייו, בגופו, או בכבודו של אדם באשר הוא אדם. </w:t>
      </w:r>
    </w:p>
    <w:p w:rsidR="005366A8" w:rsidRPr="00B221AF" w:rsidRDefault="005366A8" w:rsidP="005366A8">
      <w:pPr>
        <w:rPr>
          <w:rFonts w:cs="David"/>
          <w:b/>
          <w:bCs/>
          <w:sz w:val="20"/>
          <w:szCs w:val="20"/>
          <w:rtl/>
        </w:rPr>
      </w:pPr>
    </w:p>
    <w:p w:rsidR="005366A8" w:rsidRPr="00B221AF" w:rsidRDefault="005366A8" w:rsidP="005366A8">
      <w:pPr>
        <w:ind w:left="720"/>
        <w:rPr>
          <w:rFonts w:cs="David"/>
          <w:b/>
          <w:bCs/>
          <w:sz w:val="20"/>
          <w:szCs w:val="20"/>
          <w:rtl/>
        </w:rPr>
      </w:pPr>
      <w:r w:rsidRPr="00B221AF">
        <w:rPr>
          <w:rFonts w:cs="David"/>
          <w:b/>
          <w:bCs/>
          <w:sz w:val="20"/>
          <w:szCs w:val="20"/>
          <w:rtl/>
        </w:rPr>
        <w:t xml:space="preserve">3. </w:t>
      </w:r>
      <w:r w:rsidRPr="00B221AF">
        <w:rPr>
          <w:rFonts w:cs="David"/>
          <w:sz w:val="20"/>
          <w:szCs w:val="20"/>
          <w:rtl/>
        </w:rPr>
        <w:t>שמירה על הקנין</w:t>
      </w:r>
      <w:r w:rsidRPr="00B221AF">
        <w:rPr>
          <w:rFonts w:cs="David"/>
          <w:b/>
          <w:bCs/>
          <w:sz w:val="20"/>
          <w:szCs w:val="20"/>
          <w:rtl/>
        </w:rPr>
        <w:t xml:space="preserve"> </w:t>
      </w:r>
    </w:p>
    <w:p w:rsidR="005366A8" w:rsidRPr="00B221AF" w:rsidRDefault="005366A8" w:rsidP="005366A8">
      <w:pPr>
        <w:rPr>
          <w:rFonts w:cs="David"/>
          <w:b/>
          <w:bCs/>
          <w:sz w:val="20"/>
          <w:szCs w:val="20"/>
          <w:rtl/>
        </w:rPr>
      </w:pPr>
      <w:r w:rsidRPr="00B221AF">
        <w:rPr>
          <w:rFonts w:cs="David"/>
          <w:b/>
          <w:bCs/>
          <w:sz w:val="20"/>
          <w:szCs w:val="20"/>
          <w:rtl/>
        </w:rPr>
        <w:t xml:space="preserve">אין פוגעים בקנינו של אדם. </w:t>
      </w:r>
    </w:p>
    <w:p w:rsidR="005366A8" w:rsidRPr="00B221AF" w:rsidRDefault="005366A8" w:rsidP="005366A8">
      <w:pPr>
        <w:rPr>
          <w:rFonts w:cs="David"/>
          <w:b/>
          <w:bCs/>
          <w:sz w:val="20"/>
          <w:szCs w:val="20"/>
          <w:rtl/>
        </w:rPr>
      </w:pPr>
    </w:p>
    <w:p w:rsidR="005366A8" w:rsidRPr="00B221AF" w:rsidRDefault="005366A8" w:rsidP="005366A8">
      <w:pPr>
        <w:ind w:left="720"/>
        <w:rPr>
          <w:rFonts w:cs="David"/>
          <w:b/>
          <w:bCs/>
          <w:sz w:val="20"/>
          <w:szCs w:val="20"/>
          <w:rtl/>
        </w:rPr>
      </w:pPr>
      <w:r w:rsidRPr="00B221AF">
        <w:rPr>
          <w:rFonts w:cs="David"/>
          <w:b/>
          <w:bCs/>
          <w:sz w:val="20"/>
          <w:szCs w:val="20"/>
          <w:rtl/>
        </w:rPr>
        <w:t xml:space="preserve">4. </w:t>
      </w:r>
      <w:r w:rsidRPr="00B221AF">
        <w:rPr>
          <w:rFonts w:cs="David"/>
          <w:sz w:val="20"/>
          <w:szCs w:val="20"/>
          <w:rtl/>
        </w:rPr>
        <w:t>הגנה על החיים, הגוף והכבוד</w:t>
      </w:r>
      <w:r w:rsidRPr="00B221AF">
        <w:rPr>
          <w:rFonts w:cs="David"/>
          <w:b/>
          <w:bCs/>
          <w:sz w:val="20"/>
          <w:szCs w:val="20"/>
          <w:rtl/>
        </w:rPr>
        <w:t xml:space="preserve"> </w:t>
      </w:r>
    </w:p>
    <w:p w:rsidR="005366A8" w:rsidRPr="00B221AF" w:rsidRDefault="005366A8" w:rsidP="005366A8">
      <w:pPr>
        <w:rPr>
          <w:rFonts w:cs="David"/>
          <w:b/>
          <w:bCs/>
          <w:sz w:val="20"/>
          <w:szCs w:val="20"/>
          <w:rtl/>
        </w:rPr>
      </w:pPr>
      <w:r w:rsidRPr="00B221AF">
        <w:rPr>
          <w:rFonts w:cs="David"/>
          <w:b/>
          <w:bCs/>
          <w:sz w:val="20"/>
          <w:szCs w:val="20"/>
          <w:rtl/>
        </w:rPr>
        <w:t xml:space="preserve">כל אדם זכאי להגנה על חייו, על גופו ועל כבודו. </w:t>
      </w:r>
    </w:p>
    <w:p w:rsidR="005366A8" w:rsidRPr="00B221AF" w:rsidRDefault="005366A8" w:rsidP="005366A8">
      <w:pPr>
        <w:rPr>
          <w:rFonts w:cs="David"/>
          <w:b/>
          <w:bCs/>
          <w:sz w:val="20"/>
          <w:szCs w:val="20"/>
          <w:rtl/>
        </w:rPr>
      </w:pPr>
    </w:p>
    <w:p w:rsidR="005366A8" w:rsidRPr="00B221AF" w:rsidRDefault="005366A8" w:rsidP="005366A8">
      <w:pPr>
        <w:ind w:left="720"/>
        <w:rPr>
          <w:rFonts w:cs="David"/>
          <w:b/>
          <w:bCs/>
          <w:sz w:val="20"/>
          <w:szCs w:val="20"/>
          <w:rtl/>
        </w:rPr>
      </w:pPr>
      <w:r w:rsidRPr="00B221AF">
        <w:rPr>
          <w:rFonts w:cs="David"/>
          <w:b/>
          <w:bCs/>
          <w:sz w:val="20"/>
          <w:szCs w:val="20"/>
          <w:rtl/>
        </w:rPr>
        <w:t xml:space="preserve">5. </w:t>
      </w:r>
      <w:r w:rsidRPr="00B221AF">
        <w:rPr>
          <w:rFonts w:cs="David"/>
          <w:sz w:val="20"/>
          <w:szCs w:val="20"/>
          <w:rtl/>
        </w:rPr>
        <w:t>חירות אישית</w:t>
      </w:r>
      <w:r w:rsidRPr="00B221AF">
        <w:rPr>
          <w:rFonts w:cs="David"/>
          <w:b/>
          <w:bCs/>
          <w:sz w:val="20"/>
          <w:szCs w:val="20"/>
          <w:rtl/>
        </w:rPr>
        <w:t xml:space="preserve"> </w:t>
      </w:r>
    </w:p>
    <w:p w:rsidR="005366A8" w:rsidRPr="00B221AF" w:rsidRDefault="005366A8" w:rsidP="005366A8">
      <w:pPr>
        <w:rPr>
          <w:rFonts w:cs="David"/>
          <w:b/>
          <w:bCs/>
          <w:sz w:val="20"/>
          <w:szCs w:val="20"/>
          <w:rtl/>
        </w:rPr>
      </w:pPr>
      <w:r w:rsidRPr="00B221AF">
        <w:rPr>
          <w:rFonts w:cs="David"/>
          <w:b/>
          <w:bCs/>
          <w:sz w:val="20"/>
          <w:szCs w:val="20"/>
          <w:rtl/>
        </w:rPr>
        <w:t xml:space="preserve">אין נוטלים ואין מגבילים את חירותו של אדם במאסר, במעצר, בהסגרה או בכל דרך אחרת. </w:t>
      </w:r>
    </w:p>
    <w:p w:rsidR="005366A8" w:rsidRPr="00B221AF" w:rsidRDefault="005366A8" w:rsidP="005366A8">
      <w:pPr>
        <w:rPr>
          <w:rFonts w:cs="David"/>
          <w:b/>
          <w:bCs/>
          <w:sz w:val="20"/>
          <w:szCs w:val="20"/>
          <w:rtl/>
        </w:rPr>
      </w:pPr>
    </w:p>
    <w:p w:rsidR="005366A8" w:rsidRPr="00B221AF" w:rsidRDefault="005366A8" w:rsidP="005366A8">
      <w:pPr>
        <w:ind w:left="720"/>
        <w:rPr>
          <w:rFonts w:cs="David"/>
          <w:b/>
          <w:bCs/>
          <w:sz w:val="20"/>
          <w:szCs w:val="20"/>
          <w:rtl/>
        </w:rPr>
      </w:pPr>
      <w:r w:rsidRPr="00B221AF">
        <w:rPr>
          <w:rFonts w:cs="David"/>
          <w:b/>
          <w:bCs/>
          <w:sz w:val="20"/>
          <w:szCs w:val="20"/>
          <w:rtl/>
        </w:rPr>
        <w:t xml:space="preserve">6. </w:t>
      </w:r>
      <w:r w:rsidRPr="00B221AF">
        <w:rPr>
          <w:rFonts w:cs="David"/>
          <w:sz w:val="20"/>
          <w:szCs w:val="20"/>
          <w:rtl/>
        </w:rPr>
        <w:t>יציאה מישראל וכניסה אליה</w:t>
      </w:r>
      <w:r w:rsidRPr="00B221AF">
        <w:rPr>
          <w:rFonts w:cs="David"/>
          <w:b/>
          <w:bCs/>
          <w:sz w:val="20"/>
          <w:szCs w:val="20"/>
          <w:rtl/>
        </w:rPr>
        <w:t xml:space="preserve"> </w:t>
      </w:r>
    </w:p>
    <w:p w:rsidR="005366A8" w:rsidRPr="00B221AF" w:rsidRDefault="005366A8" w:rsidP="005366A8">
      <w:pPr>
        <w:rPr>
          <w:rFonts w:cs="David"/>
          <w:b/>
          <w:bCs/>
          <w:sz w:val="20"/>
          <w:szCs w:val="20"/>
          <w:rtl/>
        </w:rPr>
      </w:pPr>
      <w:r w:rsidRPr="00B221AF">
        <w:rPr>
          <w:rFonts w:cs="David"/>
          <w:b/>
          <w:bCs/>
          <w:sz w:val="20"/>
          <w:szCs w:val="20"/>
          <w:rtl/>
        </w:rPr>
        <w:t xml:space="preserve">(א)כל אדם חופשי לצאת מישראל. </w:t>
      </w:r>
    </w:p>
    <w:p w:rsidR="005366A8" w:rsidRPr="00B221AF" w:rsidRDefault="005366A8" w:rsidP="005366A8">
      <w:pPr>
        <w:rPr>
          <w:rFonts w:cs="David"/>
          <w:b/>
          <w:bCs/>
          <w:sz w:val="20"/>
          <w:szCs w:val="20"/>
          <w:rtl/>
        </w:rPr>
      </w:pPr>
      <w:r w:rsidRPr="00B221AF">
        <w:rPr>
          <w:rFonts w:cs="David"/>
          <w:b/>
          <w:bCs/>
          <w:sz w:val="20"/>
          <w:szCs w:val="20"/>
          <w:rtl/>
        </w:rPr>
        <w:t xml:space="preserve">(ב)כל אזרח ישראלי הנמצא בחוץ לארץ זכאי להיכנס לישראל. </w:t>
      </w:r>
    </w:p>
    <w:p w:rsidR="005366A8" w:rsidRPr="00B221AF" w:rsidRDefault="005366A8" w:rsidP="005366A8">
      <w:pPr>
        <w:rPr>
          <w:rFonts w:cs="David"/>
          <w:b/>
          <w:bCs/>
          <w:sz w:val="20"/>
          <w:szCs w:val="20"/>
          <w:rtl/>
        </w:rPr>
      </w:pPr>
    </w:p>
    <w:p w:rsidR="005366A8" w:rsidRPr="00B221AF" w:rsidRDefault="005366A8" w:rsidP="005366A8">
      <w:pPr>
        <w:ind w:left="720"/>
        <w:rPr>
          <w:rFonts w:cs="David"/>
          <w:b/>
          <w:bCs/>
          <w:sz w:val="20"/>
          <w:szCs w:val="20"/>
          <w:rtl/>
        </w:rPr>
      </w:pPr>
      <w:r w:rsidRPr="00B221AF">
        <w:rPr>
          <w:rFonts w:cs="David"/>
          <w:b/>
          <w:bCs/>
          <w:sz w:val="20"/>
          <w:szCs w:val="20"/>
          <w:rtl/>
        </w:rPr>
        <w:t xml:space="preserve">7. </w:t>
      </w:r>
      <w:r w:rsidRPr="00B221AF">
        <w:rPr>
          <w:rFonts w:cs="David"/>
          <w:sz w:val="20"/>
          <w:szCs w:val="20"/>
          <w:rtl/>
        </w:rPr>
        <w:t>פרטיות וצנעת הפרט</w:t>
      </w:r>
      <w:r w:rsidRPr="00B221AF">
        <w:rPr>
          <w:rFonts w:cs="David"/>
          <w:b/>
          <w:bCs/>
          <w:sz w:val="20"/>
          <w:szCs w:val="20"/>
          <w:rtl/>
        </w:rPr>
        <w:t xml:space="preserve"> </w:t>
      </w:r>
    </w:p>
    <w:p w:rsidR="005366A8" w:rsidRPr="00B221AF" w:rsidRDefault="005366A8" w:rsidP="005366A8">
      <w:pPr>
        <w:rPr>
          <w:rFonts w:cs="David"/>
          <w:b/>
          <w:bCs/>
          <w:sz w:val="20"/>
          <w:szCs w:val="20"/>
          <w:rtl/>
        </w:rPr>
      </w:pPr>
      <w:r w:rsidRPr="00B221AF">
        <w:rPr>
          <w:rFonts w:cs="David"/>
          <w:b/>
          <w:bCs/>
          <w:sz w:val="20"/>
          <w:szCs w:val="20"/>
          <w:rtl/>
        </w:rPr>
        <w:t xml:space="preserve">(א)כל אדם זכאי לפרטיות ולצנעת חייו. </w:t>
      </w:r>
    </w:p>
    <w:p w:rsidR="005366A8" w:rsidRPr="00B221AF" w:rsidRDefault="005366A8" w:rsidP="005366A8">
      <w:pPr>
        <w:rPr>
          <w:rFonts w:cs="David"/>
          <w:b/>
          <w:bCs/>
          <w:sz w:val="20"/>
          <w:szCs w:val="20"/>
          <w:rtl/>
        </w:rPr>
      </w:pPr>
      <w:r w:rsidRPr="00B221AF">
        <w:rPr>
          <w:rFonts w:cs="David"/>
          <w:b/>
          <w:bCs/>
          <w:sz w:val="20"/>
          <w:szCs w:val="20"/>
          <w:rtl/>
        </w:rPr>
        <w:t xml:space="preserve">(ב)אין נכנסים לרשות היחיד של אדם שלא בהסכמתו. </w:t>
      </w:r>
    </w:p>
    <w:p w:rsidR="005366A8" w:rsidRPr="00B221AF" w:rsidRDefault="005366A8" w:rsidP="005366A8">
      <w:pPr>
        <w:rPr>
          <w:rFonts w:cs="David"/>
          <w:b/>
          <w:bCs/>
          <w:sz w:val="20"/>
          <w:szCs w:val="20"/>
          <w:rtl/>
        </w:rPr>
      </w:pPr>
      <w:r w:rsidRPr="00B221AF">
        <w:rPr>
          <w:rFonts w:cs="David"/>
          <w:b/>
          <w:bCs/>
          <w:sz w:val="20"/>
          <w:szCs w:val="20"/>
          <w:rtl/>
        </w:rPr>
        <w:t xml:space="preserve">(ג)אין עורכים חיפוש ברשות היחיד של אדם, על גופו, בגופו או בכליו. </w:t>
      </w:r>
    </w:p>
    <w:p w:rsidR="005366A8" w:rsidRPr="00B221AF" w:rsidRDefault="005366A8" w:rsidP="005366A8">
      <w:pPr>
        <w:rPr>
          <w:rFonts w:cs="David"/>
          <w:b/>
          <w:bCs/>
          <w:sz w:val="20"/>
          <w:szCs w:val="20"/>
          <w:rtl/>
        </w:rPr>
      </w:pPr>
      <w:r w:rsidRPr="00B221AF">
        <w:rPr>
          <w:rFonts w:cs="David"/>
          <w:b/>
          <w:bCs/>
          <w:sz w:val="20"/>
          <w:szCs w:val="20"/>
          <w:rtl/>
        </w:rPr>
        <w:t xml:space="preserve">(ד)אין פוגעים בסוד שיחו של אדם, בכתביו או ברשומותיו. </w:t>
      </w:r>
    </w:p>
    <w:p w:rsidR="005366A8" w:rsidRPr="00B221AF" w:rsidRDefault="005366A8" w:rsidP="005366A8">
      <w:pPr>
        <w:rPr>
          <w:rFonts w:cs="David"/>
          <w:b/>
          <w:bCs/>
          <w:sz w:val="20"/>
          <w:szCs w:val="20"/>
          <w:rtl/>
        </w:rPr>
      </w:pPr>
    </w:p>
    <w:p w:rsidR="005366A8" w:rsidRPr="00B221AF" w:rsidRDefault="005366A8" w:rsidP="005366A8">
      <w:pPr>
        <w:ind w:left="720"/>
        <w:rPr>
          <w:rFonts w:cs="David"/>
          <w:b/>
          <w:bCs/>
          <w:sz w:val="20"/>
          <w:szCs w:val="20"/>
          <w:rtl/>
        </w:rPr>
      </w:pPr>
      <w:r w:rsidRPr="00B221AF">
        <w:rPr>
          <w:rFonts w:cs="David"/>
          <w:b/>
          <w:bCs/>
          <w:sz w:val="20"/>
          <w:szCs w:val="20"/>
          <w:rtl/>
        </w:rPr>
        <w:t xml:space="preserve">8. </w:t>
      </w:r>
      <w:r w:rsidRPr="00B221AF">
        <w:rPr>
          <w:rFonts w:cs="David"/>
          <w:sz w:val="20"/>
          <w:szCs w:val="20"/>
          <w:rtl/>
        </w:rPr>
        <w:t>פגיעה בזכויות [תיקון: תשנ"ד]</w:t>
      </w:r>
      <w:r w:rsidRPr="00B221AF">
        <w:rPr>
          <w:rFonts w:cs="David"/>
          <w:b/>
          <w:bCs/>
          <w:sz w:val="20"/>
          <w:szCs w:val="20"/>
          <w:rtl/>
        </w:rPr>
        <w:t xml:space="preserve"> </w:t>
      </w:r>
    </w:p>
    <w:p w:rsidR="005366A8" w:rsidRPr="00B221AF" w:rsidRDefault="005366A8" w:rsidP="005366A8">
      <w:pPr>
        <w:rPr>
          <w:rFonts w:cs="David"/>
          <w:b/>
          <w:bCs/>
          <w:sz w:val="20"/>
          <w:szCs w:val="20"/>
          <w:rtl/>
        </w:rPr>
      </w:pPr>
      <w:r w:rsidRPr="007B0CEE">
        <w:rPr>
          <w:rFonts w:cs="David"/>
          <w:b/>
          <w:bCs/>
          <w:sz w:val="20"/>
          <w:szCs w:val="20"/>
          <w:highlight w:val="yellow"/>
          <w:rtl/>
        </w:rPr>
        <w:t>אין פוגעים בזכויות שלפי חוק-יסוד זה אלא בחוק ההולם את ערכיה של מדינת ישראל, שנועד לתכלית ראויה, ובמידה שאינה עולה על הנדרש או לפי חוק כאמור מכוח הסמכה מפורשת בו.</w:t>
      </w:r>
      <w:r w:rsidRPr="00B221AF">
        <w:rPr>
          <w:rFonts w:cs="David"/>
          <w:b/>
          <w:bCs/>
          <w:sz w:val="20"/>
          <w:szCs w:val="20"/>
          <w:rtl/>
        </w:rPr>
        <w:t xml:space="preserve"> </w:t>
      </w:r>
    </w:p>
    <w:p w:rsidR="005366A8" w:rsidRPr="00B221AF" w:rsidRDefault="005366A8" w:rsidP="005366A8">
      <w:pPr>
        <w:rPr>
          <w:rFonts w:cs="David"/>
          <w:b/>
          <w:bCs/>
          <w:sz w:val="20"/>
          <w:szCs w:val="20"/>
          <w:rtl/>
        </w:rPr>
      </w:pPr>
    </w:p>
    <w:p w:rsidR="005366A8" w:rsidRPr="00B221AF" w:rsidRDefault="005366A8" w:rsidP="005366A8">
      <w:pPr>
        <w:ind w:left="720"/>
        <w:rPr>
          <w:rFonts w:cs="David"/>
          <w:b/>
          <w:bCs/>
          <w:sz w:val="20"/>
          <w:szCs w:val="20"/>
          <w:rtl/>
        </w:rPr>
      </w:pPr>
      <w:r w:rsidRPr="00B221AF">
        <w:rPr>
          <w:rFonts w:cs="David"/>
          <w:b/>
          <w:bCs/>
          <w:sz w:val="20"/>
          <w:szCs w:val="20"/>
          <w:rtl/>
        </w:rPr>
        <w:t xml:space="preserve">9. </w:t>
      </w:r>
      <w:r w:rsidRPr="00B221AF">
        <w:rPr>
          <w:rFonts w:cs="David"/>
          <w:sz w:val="20"/>
          <w:szCs w:val="20"/>
          <w:rtl/>
        </w:rPr>
        <w:t>סייג לגבי כוחות הבטחון</w:t>
      </w:r>
      <w:r w:rsidRPr="00B221AF">
        <w:rPr>
          <w:rFonts w:cs="David"/>
          <w:b/>
          <w:bCs/>
          <w:sz w:val="20"/>
          <w:szCs w:val="20"/>
          <w:rtl/>
        </w:rPr>
        <w:t xml:space="preserve"> </w:t>
      </w:r>
    </w:p>
    <w:p w:rsidR="005366A8" w:rsidRPr="00B221AF" w:rsidRDefault="005366A8" w:rsidP="005366A8">
      <w:pPr>
        <w:rPr>
          <w:rFonts w:cs="David"/>
          <w:b/>
          <w:bCs/>
          <w:sz w:val="20"/>
          <w:szCs w:val="20"/>
          <w:rtl/>
        </w:rPr>
      </w:pPr>
      <w:r w:rsidRPr="00B221AF">
        <w:rPr>
          <w:rFonts w:cs="David"/>
          <w:b/>
          <w:bCs/>
          <w:sz w:val="20"/>
          <w:szCs w:val="20"/>
          <w:rtl/>
        </w:rPr>
        <w:t xml:space="preserve">אין מגבילים זכויות שלפי חוק-יסוד זה של המשרתים בצבא-הגנה לישראל, במשטרת ישראל, בשירות בתי הסוהר ובארגוני הבטחון האחרים של המדינה, ואין מתנים על זכויות אלה, אלא לפי חוק ובמידה שאינה עולה על הנדרש ממהותו ומאופיו של השירות. </w:t>
      </w:r>
    </w:p>
    <w:p w:rsidR="005366A8" w:rsidRPr="00B221AF" w:rsidRDefault="005366A8" w:rsidP="005366A8">
      <w:pPr>
        <w:rPr>
          <w:rFonts w:cs="David"/>
          <w:b/>
          <w:bCs/>
          <w:sz w:val="20"/>
          <w:szCs w:val="20"/>
          <w:rtl/>
        </w:rPr>
      </w:pPr>
    </w:p>
    <w:p w:rsidR="005366A8" w:rsidRPr="00B221AF" w:rsidRDefault="005366A8" w:rsidP="005366A8">
      <w:pPr>
        <w:ind w:left="720"/>
        <w:rPr>
          <w:rFonts w:cs="David"/>
          <w:b/>
          <w:bCs/>
          <w:sz w:val="20"/>
          <w:szCs w:val="20"/>
          <w:rtl/>
        </w:rPr>
      </w:pPr>
      <w:r w:rsidRPr="00B221AF">
        <w:rPr>
          <w:rFonts w:cs="David"/>
          <w:b/>
          <w:bCs/>
          <w:sz w:val="20"/>
          <w:szCs w:val="20"/>
          <w:rtl/>
        </w:rPr>
        <w:t xml:space="preserve">10. </w:t>
      </w:r>
      <w:r w:rsidRPr="00B221AF">
        <w:rPr>
          <w:rFonts w:cs="David"/>
          <w:sz w:val="20"/>
          <w:szCs w:val="20"/>
          <w:rtl/>
        </w:rPr>
        <w:t>שמירת דינים</w:t>
      </w:r>
      <w:r w:rsidRPr="00B221AF">
        <w:rPr>
          <w:rFonts w:cs="David"/>
          <w:b/>
          <w:bCs/>
          <w:sz w:val="20"/>
          <w:szCs w:val="20"/>
          <w:rtl/>
        </w:rPr>
        <w:t xml:space="preserve"> </w:t>
      </w:r>
    </w:p>
    <w:p w:rsidR="005366A8" w:rsidRPr="00B221AF" w:rsidRDefault="005366A8" w:rsidP="005366A8">
      <w:pPr>
        <w:rPr>
          <w:rFonts w:cs="David"/>
          <w:b/>
          <w:bCs/>
          <w:sz w:val="20"/>
          <w:szCs w:val="20"/>
          <w:rtl/>
        </w:rPr>
      </w:pPr>
      <w:r w:rsidRPr="007B0CEE">
        <w:rPr>
          <w:rFonts w:cs="David"/>
          <w:b/>
          <w:bCs/>
          <w:sz w:val="20"/>
          <w:szCs w:val="20"/>
          <w:highlight w:val="yellow"/>
          <w:rtl/>
        </w:rPr>
        <w:t>אין בחוק-יסוד זה כדי לפגוע בתקפו של דין שהיה קיים ערב תחילתו של חוק-היסוד.</w:t>
      </w:r>
      <w:r w:rsidRPr="00B221AF">
        <w:rPr>
          <w:rFonts w:cs="David"/>
          <w:b/>
          <w:bCs/>
          <w:sz w:val="20"/>
          <w:szCs w:val="20"/>
          <w:rtl/>
        </w:rPr>
        <w:t xml:space="preserve"> </w:t>
      </w:r>
    </w:p>
    <w:p w:rsidR="005366A8" w:rsidRPr="00B221AF" w:rsidRDefault="005366A8" w:rsidP="005366A8">
      <w:pPr>
        <w:rPr>
          <w:rFonts w:cs="David"/>
          <w:b/>
          <w:bCs/>
          <w:sz w:val="20"/>
          <w:szCs w:val="20"/>
          <w:rtl/>
        </w:rPr>
      </w:pPr>
    </w:p>
    <w:p w:rsidR="005366A8" w:rsidRPr="00B221AF" w:rsidRDefault="005366A8" w:rsidP="005366A8">
      <w:pPr>
        <w:ind w:left="720"/>
        <w:rPr>
          <w:rFonts w:cs="David"/>
          <w:b/>
          <w:bCs/>
          <w:sz w:val="20"/>
          <w:szCs w:val="20"/>
          <w:rtl/>
        </w:rPr>
      </w:pPr>
      <w:r w:rsidRPr="00B221AF">
        <w:rPr>
          <w:rFonts w:cs="David"/>
          <w:b/>
          <w:bCs/>
          <w:sz w:val="20"/>
          <w:szCs w:val="20"/>
          <w:rtl/>
        </w:rPr>
        <w:t xml:space="preserve">11. </w:t>
      </w:r>
      <w:r w:rsidRPr="00B221AF">
        <w:rPr>
          <w:rFonts w:cs="David"/>
          <w:sz w:val="20"/>
          <w:szCs w:val="20"/>
          <w:rtl/>
        </w:rPr>
        <w:t>תחולה</w:t>
      </w:r>
      <w:r w:rsidRPr="00B221AF">
        <w:rPr>
          <w:rFonts w:cs="David"/>
          <w:b/>
          <w:bCs/>
          <w:sz w:val="20"/>
          <w:szCs w:val="20"/>
          <w:rtl/>
        </w:rPr>
        <w:t xml:space="preserve"> </w:t>
      </w:r>
    </w:p>
    <w:p w:rsidR="005366A8" w:rsidRPr="00B221AF" w:rsidRDefault="005366A8" w:rsidP="005366A8">
      <w:pPr>
        <w:rPr>
          <w:rFonts w:cs="David"/>
          <w:b/>
          <w:bCs/>
          <w:sz w:val="20"/>
          <w:szCs w:val="20"/>
          <w:rtl/>
        </w:rPr>
      </w:pPr>
      <w:r w:rsidRPr="00B221AF">
        <w:rPr>
          <w:rFonts w:cs="David"/>
          <w:b/>
          <w:bCs/>
          <w:sz w:val="20"/>
          <w:szCs w:val="20"/>
          <w:rtl/>
        </w:rPr>
        <w:t xml:space="preserve">כל רשות מרשויות השלטון חייבת לכבד את הזכויות שלפי חוק-יסוד זה. </w:t>
      </w:r>
    </w:p>
    <w:p w:rsidR="005366A8" w:rsidRPr="00B221AF" w:rsidRDefault="005366A8" w:rsidP="005366A8">
      <w:pPr>
        <w:rPr>
          <w:rFonts w:cs="David"/>
          <w:b/>
          <w:bCs/>
          <w:sz w:val="20"/>
          <w:szCs w:val="20"/>
          <w:rtl/>
        </w:rPr>
      </w:pPr>
    </w:p>
    <w:p w:rsidR="005366A8" w:rsidRPr="00B221AF" w:rsidRDefault="005366A8" w:rsidP="005366A8">
      <w:pPr>
        <w:ind w:left="720"/>
        <w:rPr>
          <w:rFonts w:cs="David"/>
          <w:b/>
          <w:bCs/>
          <w:sz w:val="20"/>
          <w:szCs w:val="20"/>
          <w:rtl/>
        </w:rPr>
      </w:pPr>
      <w:r w:rsidRPr="00B221AF">
        <w:rPr>
          <w:rFonts w:cs="David"/>
          <w:b/>
          <w:bCs/>
          <w:sz w:val="20"/>
          <w:szCs w:val="20"/>
          <w:rtl/>
        </w:rPr>
        <w:t xml:space="preserve">12. </w:t>
      </w:r>
      <w:r w:rsidRPr="00B221AF">
        <w:rPr>
          <w:rFonts w:cs="David"/>
          <w:sz w:val="20"/>
          <w:szCs w:val="20"/>
          <w:rtl/>
        </w:rPr>
        <w:t>יציבות החוק</w:t>
      </w:r>
      <w:r w:rsidRPr="00B221AF">
        <w:rPr>
          <w:rFonts w:cs="David"/>
          <w:b/>
          <w:bCs/>
          <w:sz w:val="20"/>
          <w:szCs w:val="20"/>
          <w:rtl/>
        </w:rPr>
        <w:t xml:space="preserve"> </w:t>
      </w:r>
    </w:p>
    <w:p w:rsidR="005366A8" w:rsidRPr="00B221AF" w:rsidRDefault="005366A8" w:rsidP="005366A8">
      <w:pPr>
        <w:ind w:right="-142"/>
        <w:rPr>
          <w:rFonts w:cs="David"/>
          <w:b/>
          <w:bCs/>
          <w:sz w:val="20"/>
          <w:szCs w:val="20"/>
          <w:rtl/>
        </w:rPr>
      </w:pPr>
      <w:r w:rsidRPr="00B221AF">
        <w:rPr>
          <w:rFonts w:cs="David"/>
          <w:b/>
          <w:bCs/>
          <w:sz w:val="20"/>
          <w:szCs w:val="20"/>
          <w:rtl/>
        </w:rPr>
        <w:t xml:space="preserve">אין בכוחן של תקנות שעת-חירום לשנות חוק-יסוד זה, להפקיע זמנית את תקפו או לקבוע בו תנאים; ואולם בשעה שקיים במדינה מצב של חירום בתוקף הכרזה לפי סעיף 9 לפקודת סדרי השלטון והמשפט, התש"ח 1948, מותר להתקין תקנות שעת-חירום מכוח הסעיף האמור שיהא בהן כדי לשלול או להגביל זכויות לפי חוק-יסוד זה, ובלבד שהשלילה או ההגבלה יהיו לתכלית ראויה ולתקופה ובמידה שלא יעלו על הנדרש. </w:t>
      </w:r>
    </w:p>
    <w:p w:rsidR="005366A8" w:rsidRPr="00B221AF" w:rsidRDefault="005366A8" w:rsidP="005366A8">
      <w:pPr>
        <w:rPr>
          <w:rFonts w:cs="David"/>
          <w:b/>
          <w:bCs/>
          <w:sz w:val="20"/>
          <w:szCs w:val="20"/>
          <w:rtl/>
        </w:rPr>
      </w:pPr>
    </w:p>
    <w:p w:rsidR="005366A8" w:rsidRPr="007B0CEE" w:rsidRDefault="005366A8" w:rsidP="005366A8">
      <w:pPr>
        <w:jc w:val="center"/>
        <w:rPr>
          <w:rFonts w:ascii="Arial" w:hAnsi="Arial" w:cs="Arial"/>
          <w:b/>
          <w:bCs/>
          <w:sz w:val="20"/>
          <w:szCs w:val="20"/>
          <w:u w:val="single"/>
          <w:rtl/>
        </w:rPr>
      </w:pPr>
      <w:r w:rsidRPr="007B0CEE">
        <w:rPr>
          <w:rFonts w:ascii="Arial" w:hAnsi="Arial" w:cs="Arial"/>
          <w:b/>
          <w:bCs/>
          <w:sz w:val="20"/>
          <w:szCs w:val="20"/>
          <w:u w:val="single"/>
          <w:rtl/>
        </w:rPr>
        <w:t xml:space="preserve">חוק-יסוד: חופש העיסוק </w:t>
      </w:r>
    </w:p>
    <w:p w:rsidR="005366A8" w:rsidRPr="00B221AF" w:rsidRDefault="005366A8" w:rsidP="005366A8">
      <w:pPr>
        <w:rPr>
          <w:rFonts w:cs="David"/>
          <w:b/>
          <w:bCs/>
          <w:sz w:val="20"/>
          <w:szCs w:val="20"/>
          <w:rtl/>
        </w:rPr>
      </w:pPr>
    </w:p>
    <w:p w:rsidR="005366A8" w:rsidRPr="00B221AF" w:rsidRDefault="005366A8" w:rsidP="005366A8">
      <w:pPr>
        <w:ind w:left="720"/>
        <w:rPr>
          <w:rFonts w:cs="David"/>
          <w:b/>
          <w:bCs/>
          <w:sz w:val="20"/>
          <w:szCs w:val="20"/>
          <w:rtl/>
        </w:rPr>
      </w:pPr>
      <w:r w:rsidRPr="00B221AF">
        <w:rPr>
          <w:rFonts w:cs="David"/>
          <w:b/>
          <w:bCs/>
          <w:sz w:val="20"/>
          <w:szCs w:val="20"/>
          <w:rtl/>
        </w:rPr>
        <w:t xml:space="preserve">1. </w:t>
      </w:r>
      <w:r w:rsidRPr="00B221AF">
        <w:rPr>
          <w:rFonts w:cs="David"/>
          <w:sz w:val="20"/>
          <w:szCs w:val="20"/>
          <w:rtl/>
        </w:rPr>
        <w:t>עקרונות יסוד</w:t>
      </w:r>
      <w:r w:rsidRPr="00B221AF">
        <w:rPr>
          <w:rFonts w:cs="David"/>
          <w:b/>
          <w:bCs/>
          <w:sz w:val="20"/>
          <w:szCs w:val="20"/>
          <w:rtl/>
        </w:rPr>
        <w:t xml:space="preserve"> </w:t>
      </w:r>
    </w:p>
    <w:p w:rsidR="005366A8" w:rsidRPr="00B221AF" w:rsidRDefault="005366A8" w:rsidP="005366A8">
      <w:pPr>
        <w:rPr>
          <w:rFonts w:cs="David"/>
          <w:b/>
          <w:bCs/>
          <w:sz w:val="20"/>
          <w:szCs w:val="20"/>
          <w:rtl/>
        </w:rPr>
      </w:pPr>
      <w:r w:rsidRPr="00B221AF">
        <w:rPr>
          <w:rFonts w:cs="David"/>
          <w:b/>
          <w:bCs/>
          <w:sz w:val="20"/>
          <w:szCs w:val="20"/>
          <w:rtl/>
        </w:rPr>
        <w:t xml:space="preserve">זכויות היסוד של האדם בישראל מושתתות על ההכרה בערך האדם, בקדושת חייו ובהיותו בן-חורין, והן יכובדו ברוח העקרונות שבהכרזה על הקמת מדינת ישראל. </w:t>
      </w:r>
    </w:p>
    <w:p w:rsidR="005366A8" w:rsidRPr="00B221AF" w:rsidRDefault="005366A8" w:rsidP="005366A8">
      <w:pPr>
        <w:rPr>
          <w:rFonts w:cs="David"/>
          <w:b/>
          <w:bCs/>
          <w:sz w:val="20"/>
          <w:szCs w:val="20"/>
          <w:rtl/>
        </w:rPr>
      </w:pPr>
    </w:p>
    <w:p w:rsidR="005366A8" w:rsidRPr="00B221AF" w:rsidRDefault="005366A8" w:rsidP="005366A8">
      <w:pPr>
        <w:ind w:left="720"/>
        <w:rPr>
          <w:rFonts w:cs="David"/>
          <w:b/>
          <w:bCs/>
          <w:sz w:val="20"/>
          <w:szCs w:val="20"/>
          <w:rtl/>
        </w:rPr>
      </w:pPr>
      <w:r w:rsidRPr="00B221AF">
        <w:rPr>
          <w:rFonts w:cs="David"/>
          <w:b/>
          <w:bCs/>
          <w:sz w:val="20"/>
          <w:szCs w:val="20"/>
          <w:rtl/>
        </w:rPr>
        <w:t xml:space="preserve">2. </w:t>
      </w:r>
      <w:r w:rsidRPr="00B221AF">
        <w:rPr>
          <w:rFonts w:cs="David"/>
          <w:sz w:val="20"/>
          <w:szCs w:val="20"/>
          <w:rtl/>
        </w:rPr>
        <w:t>מטרה</w:t>
      </w:r>
      <w:r w:rsidRPr="00B221AF">
        <w:rPr>
          <w:rFonts w:cs="David"/>
          <w:b/>
          <w:bCs/>
          <w:sz w:val="20"/>
          <w:szCs w:val="20"/>
          <w:rtl/>
        </w:rPr>
        <w:t xml:space="preserve"> </w:t>
      </w:r>
    </w:p>
    <w:p w:rsidR="005366A8" w:rsidRPr="00B221AF" w:rsidRDefault="005366A8" w:rsidP="005366A8">
      <w:pPr>
        <w:rPr>
          <w:rFonts w:cs="David"/>
          <w:b/>
          <w:bCs/>
          <w:sz w:val="20"/>
          <w:szCs w:val="20"/>
          <w:rtl/>
        </w:rPr>
      </w:pPr>
      <w:r w:rsidRPr="00B221AF">
        <w:rPr>
          <w:rFonts w:cs="David"/>
          <w:b/>
          <w:bCs/>
          <w:sz w:val="20"/>
          <w:szCs w:val="20"/>
          <w:rtl/>
        </w:rPr>
        <w:t xml:space="preserve">חוק-יסוד זה מטרתו להגן על חופש העיסוק כדי לעגן בחוק-יסוד את ערכיה של מדינת ישראל כמדינה יהודית ודמוקרטית. </w:t>
      </w:r>
    </w:p>
    <w:p w:rsidR="005366A8" w:rsidRPr="00B221AF" w:rsidRDefault="005366A8" w:rsidP="005366A8">
      <w:pPr>
        <w:rPr>
          <w:rFonts w:cs="David"/>
          <w:b/>
          <w:bCs/>
          <w:sz w:val="20"/>
          <w:szCs w:val="20"/>
          <w:rtl/>
        </w:rPr>
      </w:pPr>
    </w:p>
    <w:p w:rsidR="005366A8" w:rsidRPr="00B221AF" w:rsidRDefault="005366A8" w:rsidP="005366A8">
      <w:pPr>
        <w:ind w:left="720"/>
        <w:rPr>
          <w:rFonts w:cs="David"/>
          <w:b/>
          <w:bCs/>
          <w:sz w:val="20"/>
          <w:szCs w:val="20"/>
          <w:rtl/>
        </w:rPr>
      </w:pPr>
      <w:r w:rsidRPr="00B221AF">
        <w:rPr>
          <w:rFonts w:cs="David"/>
          <w:b/>
          <w:bCs/>
          <w:sz w:val="20"/>
          <w:szCs w:val="20"/>
          <w:rtl/>
        </w:rPr>
        <w:t xml:space="preserve">3. </w:t>
      </w:r>
      <w:r w:rsidRPr="00B221AF">
        <w:rPr>
          <w:rFonts w:cs="David"/>
          <w:sz w:val="20"/>
          <w:szCs w:val="20"/>
          <w:rtl/>
        </w:rPr>
        <w:t>חופש העיסוק</w:t>
      </w:r>
      <w:r w:rsidRPr="00B221AF">
        <w:rPr>
          <w:rFonts w:cs="David"/>
          <w:b/>
          <w:bCs/>
          <w:sz w:val="20"/>
          <w:szCs w:val="20"/>
          <w:rtl/>
        </w:rPr>
        <w:t xml:space="preserve"> </w:t>
      </w:r>
    </w:p>
    <w:p w:rsidR="005366A8" w:rsidRPr="00B221AF" w:rsidRDefault="005366A8" w:rsidP="005366A8">
      <w:pPr>
        <w:rPr>
          <w:rFonts w:cs="David"/>
          <w:b/>
          <w:bCs/>
          <w:sz w:val="20"/>
          <w:szCs w:val="20"/>
          <w:rtl/>
        </w:rPr>
      </w:pPr>
      <w:r w:rsidRPr="00B221AF">
        <w:rPr>
          <w:rFonts w:cs="David"/>
          <w:b/>
          <w:bCs/>
          <w:sz w:val="20"/>
          <w:szCs w:val="20"/>
          <w:rtl/>
        </w:rPr>
        <w:t xml:space="preserve">כל אזרח או תושב של המדינה זכאי לעסוק בכל עיסוק, מקצוע או משלח יד. </w:t>
      </w:r>
    </w:p>
    <w:p w:rsidR="005366A8" w:rsidRPr="00B221AF" w:rsidRDefault="005366A8" w:rsidP="005366A8">
      <w:pPr>
        <w:rPr>
          <w:rFonts w:cs="David"/>
          <w:b/>
          <w:bCs/>
          <w:sz w:val="20"/>
          <w:szCs w:val="20"/>
          <w:rtl/>
        </w:rPr>
      </w:pPr>
    </w:p>
    <w:p w:rsidR="005366A8" w:rsidRPr="00B221AF" w:rsidRDefault="005366A8" w:rsidP="005366A8">
      <w:pPr>
        <w:ind w:left="720"/>
        <w:rPr>
          <w:rFonts w:cs="David"/>
          <w:b/>
          <w:bCs/>
          <w:sz w:val="20"/>
          <w:szCs w:val="20"/>
          <w:rtl/>
        </w:rPr>
      </w:pPr>
      <w:r w:rsidRPr="00B221AF">
        <w:rPr>
          <w:rFonts w:cs="David"/>
          <w:b/>
          <w:bCs/>
          <w:sz w:val="20"/>
          <w:szCs w:val="20"/>
          <w:rtl/>
        </w:rPr>
        <w:t xml:space="preserve">4. </w:t>
      </w:r>
      <w:r w:rsidRPr="00B221AF">
        <w:rPr>
          <w:rFonts w:cs="David"/>
          <w:sz w:val="20"/>
          <w:szCs w:val="20"/>
          <w:rtl/>
        </w:rPr>
        <w:t>פגיעה בחופש העיסוק</w:t>
      </w:r>
      <w:r w:rsidRPr="00B221AF">
        <w:rPr>
          <w:rFonts w:cs="David"/>
          <w:b/>
          <w:bCs/>
          <w:sz w:val="20"/>
          <w:szCs w:val="20"/>
          <w:rtl/>
        </w:rPr>
        <w:t xml:space="preserve"> </w:t>
      </w:r>
    </w:p>
    <w:p w:rsidR="005366A8" w:rsidRPr="00B221AF" w:rsidRDefault="005366A8" w:rsidP="005366A8">
      <w:pPr>
        <w:rPr>
          <w:rFonts w:cs="David"/>
          <w:b/>
          <w:bCs/>
          <w:sz w:val="20"/>
          <w:szCs w:val="20"/>
          <w:rtl/>
        </w:rPr>
      </w:pPr>
      <w:r w:rsidRPr="00B221AF">
        <w:rPr>
          <w:rFonts w:cs="David"/>
          <w:b/>
          <w:bCs/>
          <w:sz w:val="20"/>
          <w:szCs w:val="20"/>
          <w:rtl/>
        </w:rPr>
        <w:t xml:space="preserve">אין פוגעים בחופש העיסוק אלא בחוק ההולם את ערכיה של מדינת ישראל, שנועד לתכלית ראויה, ובמידה שאינה עולה על הנדרש, או לפי חוק כאמור מכוח הסמכה מפורשת בו. </w:t>
      </w:r>
    </w:p>
    <w:p w:rsidR="005366A8" w:rsidRPr="00B221AF" w:rsidRDefault="005366A8" w:rsidP="005366A8">
      <w:pPr>
        <w:rPr>
          <w:rFonts w:cs="David"/>
          <w:b/>
          <w:bCs/>
          <w:sz w:val="20"/>
          <w:szCs w:val="20"/>
          <w:rtl/>
        </w:rPr>
      </w:pPr>
    </w:p>
    <w:p w:rsidR="005366A8" w:rsidRPr="00B221AF" w:rsidRDefault="005366A8" w:rsidP="005366A8">
      <w:pPr>
        <w:ind w:left="720"/>
        <w:rPr>
          <w:rFonts w:cs="David"/>
          <w:b/>
          <w:bCs/>
          <w:sz w:val="20"/>
          <w:szCs w:val="20"/>
          <w:rtl/>
        </w:rPr>
      </w:pPr>
      <w:r w:rsidRPr="00B221AF">
        <w:rPr>
          <w:rFonts w:cs="David"/>
          <w:b/>
          <w:bCs/>
          <w:sz w:val="20"/>
          <w:szCs w:val="20"/>
          <w:rtl/>
        </w:rPr>
        <w:t xml:space="preserve">5. </w:t>
      </w:r>
      <w:r w:rsidRPr="00B221AF">
        <w:rPr>
          <w:rFonts w:cs="David"/>
          <w:sz w:val="20"/>
          <w:szCs w:val="20"/>
          <w:rtl/>
        </w:rPr>
        <w:t>תחולה</w:t>
      </w:r>
      <w:r w:rsidRPr="00B221AF">
        <w:rPr>
          <w:rFonts w:cs="David"/>
          <w:b/>
          <w:bCs/>
          <w:sz w:val="20"/>
          <w:szCs w:val="20"/>
          <w:rtl/>
        </w:rPr>
        <w:t xml:space="preserve"> </w:t>
      </w:r>
    </w:p>
    <w:p w:rsidR="005366A8" w:rsidRPr="00B221AF" w:rsidRDefault="005366A8" w:rsidP="005366A8">
      <w:pPr>
        <w:rPr>
          <w:rFonts w:cs="David"/>
          <w:b/>
          <w:bCs/>
          <w:sz w:val="20"/>
          <w:szCs w:val="20"/>
          <w:rtl/>
        </w:rPr>
      </w:pPr>
      <w:r w:rsidRPr="00B221AF">
        <w:rPr>
          <w:rFonts w:cs="David"/>
          <w:b/>
          <w:bCs/>
          <w:sz w:val="20"/>
          <w:szCs w:val="20"/>
          <w:rtl/>
        </w:rPr>
        <w:t xml:space="preserve">כל רשות מרשויות השלטון חייבת לכבד את חופש העיסוק של כל אזרח או תושב. </w:t>
      </w:r>
    </w:p>
    <w:p w:rsidR="005366A8" w:rsidRPr="00B221AF" w:rsidRDefault="005366A8" w:rsidP="005366A8">
      <w:pPr>
        <w:rPr>
          <w:rFonts w:cs="David"/>
          <w:b/>
          <w:bCs/>
          <w:sz w:val="20"/>
          <w:szCs w:val="20"/>
          <w:rtl/>
        </w:rPr>
      </w:pPr>
    </w:p>
    <w:p w:rsidR="005366A8" w:rsidRPr="00B221AF" w:rsidRDefault="005366A8" w:rsidP="005366A8">
      <w:pPr>
        <w:ind w:left="720"/>
        <w:rPr>
          <w:rFonts w:cs="David"/>
          <w:b/>
          <w:bCs/>
          <w:sz w:val="20"/>
          <w:szCs w:val="20"/>
          <w:rtl/>
        </w:rPr>
      </w:pPr>
      <w:r w:rsidRPr="00B221AF">
        <w:rPr>
          <w:rFonts w:cs="David"/>
          <w:b/>
          <w:bCs/>
          <w:sz w:val="20"/>
          <w:szCs w:val="20"/>
          <w:rtl/>
        </w:rPr>
        <w:t xml:space="preserve">6. </w:t>
      </w:r>
      <w:r w:rsidRPr="00B221AF">
        <w:rPr>
          <w:rFonts w:cs="David"/>
          <w:sz w:val="20"/>
          <w:szCs w:val="20"/>
          <w:rtl/>
        </w:rPr>
        <w:t>יציבות</w:t>
      </w:r>
      <w:r w:rsidRPr="00B221AF">
        <w:rPr>
          <w:rFonts w:cs="David"/>
          <w:b/>
          <w:bCs/>
          <w:sz w:val="20"/>
          <w:szCs w:val="20"/>
          <w:rtl/>
        </w:rPr>
        <w:t xml:space="preserve"> </w:t>
      </w:r>
    </w:p>
    <w:p w:rsidR="005366A8" w:rsidRPr="00B221AF" w:rsidRDefault="005366A8" w:rsidP="005366A8">
      <w:pPr>
        <w:rPr>
          <w:rFonts w:cs="David"/>
          <w:b/>
          <w:bCs/>
          <w:sz w:val="20"/>
          <w:szCs w:val="20"/>
          <w:rtl/>
        </w:rPr>
      </w:pPr>
      <w:r w:rsidRPr="00B221AF">
        <w:rPr>
          <w:rFonts w:cs="David"/>
          <w:b/>
          <w:bCs/>
          <w:sz w:val="20"/>
          <w:szCs w:val="20"/>
          <w:rtl/>
        </w:rPr>
        <w:t xml:space="preserve">אין בכוחן של תקנות-שעת-חירום לשנות חוק-יסוד זה, להפקיע זמנית את תוקפו או לקבוע בו תנאים. </w:t>
      </w:r>
    </w:p>
    <w:p w:rsidR="005366A8" w:rsidRPr="00B221AF" w:rsidRDefault="005366A8" w:rsidP="005366A8">
      <w:pPr>
        <w:rPr>
          <w:rFonts w:cs="David"/>
          <w:b/>
          <w:bCs/>
          <w:sz w:val="20"/>
          <w:szCs w:val="20"/>
          <w:rtl/>
        </w:rPr>
      </w:pPr>
    </w:p>
    <w:p w:rsidR="005366A8" w:rsidRPr="00B221AF" w:rsidRDefault="005366A8" w:rsidP="005366A8">
      <w:pPr>
        <w:ind w:left="720"/>
        <w:rPr>
          <w:rFonts w:cs="David"/>
          <w:b/>
          <w:bCs/>
          <w:sz w:val="20"/>
          <w:szCs w:val="20"/>
          <w:rtl/>
        </w:rPr>
      </w:pPr>
      <w:r w:rsidRPr="00B221AF">
        <w:rPr>
          <w:rFonts w:cs="David"/>
          <w:b/>
          <w:bCs/>
          <w:sz w:val="20"/>
          <w:szCs w:val="20"/>
          <w:rtl/>
        </w:rPr>
        <w:t xml:space="preserve">7. </w:t>
      </w:r>
      <w:r w:rsidRPr="00B221AF">
        <w:rPr>
          <w:rFonts w:cs="David"/>
          <w:sz w:val="20"/>
          <w:szCs w:val="20"/>
          <w:rtl/>
        </w:rPr>
        <w:t>נוקשות</w:t>
      </w:r>
      <w:r w:rsidRPr="00B221AF">
        <w:rPr>
          <w:rFonts w:cs="David"/>
          <w:b/>
          <w:bCs/>
          <w:sz w:val="20"/>
          <w:szCs w:val="20"/>
          <w:rtl/>
        </w:rPr>
        <w:t xml:space="preserve"> </w:t>
      </w:r>
    </w:p>
    <w:p w:rsidR="005366A8" w:rsidRPr="00B221AF" w:rsidRDefault="005366A8" w:rsidP="005366A8">
      <w:pPr>
        <w:rPr>
          <w:rFonts w:cs="David"/>
          <w:b/>
          <w:bCs/>
          <w:sz w:val="20"/>
          <w:szCs w:val="20"/>
          <w:rtl/>
        </w:rPr>
      </w:pPr>
      <w:r w:rsidRPr="007B0CEE">
        <w:rPr>
          <w:rFonts w:cs="David"/>
          <w:b/>
          <w:bCs/>
          <w:sz w:val="20"/>
          <w:szCs w:val="20"/>
          <w:highlight w:val="yellow"/>
          <w:rtl/>
        </w:rPr>
        <w:t>אין לשנות חוק-יסוד זה אלא בחוק-יסוד שנתקבל ברוב של חברי הכנסת.</w:t>
      </w:r>
      <w:r w:rsidRPr="00B221AF">
        <w:rPr>
          <w:rFonts w:cs="David"/>
          <w:b/>
          <w:bCs/>
          <w:sz w:val="20"/>
          <w:szCs w:val="20"/>
          <w:rtl/>
        </w:rPr>
        <w:t xml:space="preserve"> </w:t>
      </w:r>
    </w:p>
    <w:p w:rsidR="005366A8" w:rsidRPr="00B221AF" w:rsidRDefault="005366A8" w:rsidP="005366A8">
      <w:pPr>
        <w:rPr>
          <w:rFonts w:cs="David"/>
          <w:b/>
          <w:bCs/>
          <w:sz w:val="20"/>
          <w:szCs w:val="20"/>
          <w:rtl/>
        </w:rPr>
      </w:pPr>
    </w:p>
    <w:p w:rsidR="005366A8" w:rsidRPr="00B221AF" w:rsidRDefault="005366A8" w:rsidP="005366A8">
      <w:pPr>
        <w:ind w:left="720"/>
        <w:rPr>
          <w:rFonts w:cs="David"/>
          <w:b/>
          <w:bCs/>
          <w:sz w:val="20"/>
          <w:szCs w:val="20"/>
          <w:rtl/>
        </w:rPr>
      </w:pPr>
      <w:r w:rsidRPr="00B221AF">
        <w:rPr>
          <w:rFonts w:cs="David"/>
          <w:b/>
          <w:bCs/>
          <w:sz w:val="20"/>
          <w:szCs w:val="20"/>
          <w:rtl/>
        </w:rPr>
        <w:t xml:space="preserve">8. </w:t>
      </w:r>
      <w:r w:rsidRPr="00B221AF">
        <w:rPr>
          <w:rFonts w:cs="David"/>
          <w:sz w:val="20"/>
          <w:szCs w:val="20"/>
          <w:rtl/>
        </w:rPr>
        <w:t>תוקפו של חוק חורג [תיקון: תשנ"ח]</w:t>
      </w:r>
    </w:p>
    <w:p w:rsidR="005366A8" w:rsidRPr="007B0CEE" w:rsidRDefault="005366A8" w:rsidP="005366A8">
      <w:pPr>
        <w:rPr>
          <w:rFonts w:cs="David"/>
          <w:b/>
          <w:bCs/>
          <w:sz w:val="20"/>
          <w:szCs w:val="20"/>
          <w:highlight w:val="yellow"/>
          <w:rtl/>
        </w:rPr>
      </w:pPr>
      <w:r w:rsidRPr="007B0CEE">
        <w:rPr>
          <w:rFonts w:cs="David"/>
          <w:b/>
          <w:bCs/>
          <w:sz w:val="20"/>
          <w:szCs w:val="20"/>
          <w:highlight w:val="yellow"/>
          <w:rtl/>
        </w:rPr>
        <w:t xml:space="preserve">(א) הוראת חוק הפוגעת בחופש העיסוק תהיה תקפה אף כשאינה בהתאם לסעיף 4, אם נכללה בחוק שנתקבל ברוב של חברי הכנסת ונאמר בו במפורש, שהוא תקף על אף האמור בחוק-יסוד זה; תוקפו של חוק כאמור יפקע בתום ארבע שנים מיום תחילתו, זולת אם נקבע בו מועד מוקדם יותר. </w:t>
      </w:r>
    </w:p>
    <w:p w:rsidR="005366A8" w:rsidRPr="00B221AF" w:rsidRDefault="005366A8" w:rsidP="005366A8">
      <w:pPr>
        <w:rPr>
          <w:rFonts w:cs="David"/>
          <w:b/>
          <w:bCs/>
          <w:sz w:val="20"/>
          <w:szCs w:val="20"/>
          <w:rtl/>
        </w:rPr>
      </w:pPr>
      <w:r w:rsidRPr="007B0CEE">
        <w:rPr>
          <w:rFonts w:cs="David"/>
          <w:b/>
          <w:bCs/>
          <w:sz w:val="20"/>
          <w:szCs w:val="20"/>
          <w:highlight w:val="yellow"/>
          <w:rtl/>
        </w:rPr>
        <w:t>(ב) ההוראה בדבר פקיעת תוקף, כאמור בסעיף קטן (א), לא תחול על חוק שהתקבל לפני תום שנה ממועד תחילתו של חוק-יסוד זה.</w:t>
      </w:r>
    </w:p>
    <w:p w:rsidR="005366A8" w:rsidRPr="00B221AF" w:rsidRDefault="005366A8" w:rsidP="005366A8">
      <w:pPr>
        <w:rPr>
          <w:rFonts w:cs="David"/>
          <w:b/>
          <w:bCs/>
          <w:sz w:val="20"/>
          <w:szCs w:val="20"/>
          <w:rtl/>
        </w:rPr>
      </w:pPr>
    </w:p>
    <w:p w:rsidR="005366A8" w:rsidRPr="00B221AF" w:rsidRDefault="005366A8" w:rsidP="005366A8">
      <w:pPr>
        <w:ind w:left="720"/>
        <w:rPr>
          <w:rFonts w:cs="David"/>
          <w:b/>
          <w:bCs/>
          <w:sz w:val="20"/>
          <w:szCs w:val="20"/>
          <w:rtl/>
        </w:rPr>
      </w:pPr>
      <w:r w:rsidRPr="00B221AF">
        <w:rPr>
          <w:rFonts w:cs="David"/>
          <w:b/>
          <w:bCs/>
          <w:sz w:val="20"/>
          <w:szCs w:val="20"/>
          <w:rtl/>
        </w:rPr>
        <w:t xml:space="preserve">10. </w:t>
      </w:r>
      <w:r w:rsidRPr="00B221AF">
        <w:rPr>
          <w:rFonts w:cs="David"/>
          <w:sz w:val="20"/>
          <w:szCs w:val="20"/>
          <w:rtl/>
        </w:rPr>
        <w:t>הוראות שעה [תיקון: תשנ"ז, תשנ"ח]</w:t>
      </w:r>
    </w:p>
    <w:p w:rsidR="005366A8" w:rsidRPr="00B221AF" w:rsidRDefault="005366A8" w:rsidP="005366A8">
      <w:pPr>
        <w:rPr>
          <w:rFonts w:cs="David"/>
          <w:b/>
          <w:bCs/>
          <w:sz w:val="20"/>
          <w:szCs w:val="20"/>
          <w:rtl/>
        </w:rPr>
      </w:pPr>
      <w:r w:rsidRPr="00B221AF">
        <w:rPr>
          <w:rFonts w:cs="David"/>
          <w:b/>
          <w:bCs/>
          <w:sz w:val="20"/>
          <w:szCs w:val="20"/>
          <w:rtl/>
        </w:rPr>
        <w:t xml:space="preserve">הוראות חיקוק שאלמלא חוק-יסוד זה או חוק-היסוד שבוטל כאמור בסעיף 9, היו תקפות ערב תחילתו של חוק-יסוד זה יעמדו בתוקפן עד יום א' בניסן התשס"ב (14 במרס 2002), אם לא בוטלו קודם לכן, ואולם פירושן של ההוראות האמורות ייעשה ברוח הוראות חוק-יסוד זה. </w:t>
      </w:r>
    </w:p>
    <w:p w:rsidR="005366A8" w:rsidRDefault="005366A8" w:rsidP="005366A8">
      <w:pPr>
        <w:pStyle w:val="kot"/>
        <w:spacing w:before="0" w:after="120"/>
        <w:jc w:val="left"/>
        <w:rPr>
          <w:rFonts w:cs="Arial"/>
          <w:sz w:val="20"/>
          <w:szCs w:val="20"/>
          <w:highlight w:val="yellow"/>
          <w:rtl/>
        </w:rPr>
      </w:pPr>
    </w:p>
    <w:p w:rsidR="005366A8" w:rsidRDefault="005366A8" w:rsidP="005366A8">
      <w:pPr>
        <w:pStyle w:val="kot"/>
        <w:spacing w:before="0" w:after="120"/>
        <w:jc w:val="left"/>
        <w:rPr>
          <w:rFonts w:cs="Arial"/>
          <w:sz w:val="20"/>
          <w:szCs w:val="20"/>
          <w:highlight w:val="yellow"/>
          <w:rtl/>
        </w:rPr>
      </w:pPr>
      <w:r>
        <w:rPr>
          <w:rFonts w:cs="Arial" w:hint="cs"/>
          <w:sz w:val="20"/>
          <w:szCs w:val="20"/>
          <w:highlight w:val="yellow"/>
          <w:rtl/>
        </w:rPr>
        <w:t>=-=</w:t>
      </w:r>
    </w:p>
    <w:p w:rsidR="005366A8" w:rsidRPr="004517FE" w:rsidRDefault="005366A8" w:rsidP="005366A8">
      <w:pPr>
        <w:pStyle w:val="kot"/>
        <w:spacing w:before="0" w:after="120"/>
        <w:jc w:val="left"/>
        <w:rPr>
          <w:rFonts w:cs="Arial"/>
          <w:rtl/>
        </w:rPr>
      </w:pPr>
      <w:r w:rsidRPr="004517FE">
        <w:rPr>
          <w:rFonts w:cs="Arial" w:hint="cs"/>
          <w:highlight w:val="yellow"/>
          <w:rtl/>
        </w:rPr>
        <w:t xml:space="preserve">4. </w:t>
      </w:r>
      <w:r w:rsidRPr="004517FE">
        <w:rPr>
          <w:rFonts w:cs="Arial"/>
          <w:highlight w:val="yellow"/>
          <w:rtl/>
        </w:rPr>
        <w:t>עצם הסמכות לביקורת שיפוטית חוקתית</w:t>
      </w:r>
      <w:r w:rsidRPr="004517FE">
        <w:rPr>
          <w:rFonts w:cs="Arial" w:hint="cs"/>
          <w:rtl/>
        </w:rPr>
        <w:t xml:space="preserve"> </w:t>
      </w:r>
      <w:r w:rsidRPr="004517FE">
        <w:rPr>
          <w:rFonts w:cs="Arial"/>
          <w:rtl/>
        </w:rPr>
        <w:t>–</w:t>
      </w:r>
      <w:r w:rsidRPr="004517FE">
        <w:rPr>
          <w:rFonts w:cs="Arial" w:hint="cs"/>
          <w:rtl/>
        </w:rPr>
        <w:t xml:space="preserve"> </w:t>
      </w:r>
    </w:p>
    <w:p w:rsidR="005366A8" w:rsidRPr="00BC7A32" w:rsidRDefault="005366A8" w:rsidP="005366A8">
      <w:pPr>
        <w:pStyle w:val="kot"/>
        <w:spacing w:before="0" w:after="120"/>
        <w:ind w:left="720"/>
        <w:jc w:val="left"/>
        <w:rPr>
          <w:rFonts w:cs="Arial"/>
          <w:sz w:val="20"/>
          <w:szCs w:val="20"/>
          <w:rtl/>
        </w:rPr>
      </w:pPr>
      <w:r>
        <w:rPr>
          <w:rFonts w:cs="Arial" w:hint="cs"/>
          <w:sz w:val="20"/>
          <w:szCs w:val="20"/>
          <w:rtl/>
        </w:rPr>
        <w:t xml:space="preserve">התשובה </w:t>
      </w:r>
      <w:r w:rsidRPr="00BC7A32">
        <w:rPr>
          <w:rFonts w:cs="Arial" w:hint="cs"/>
          <w:sz w:val="20"/>
          <w:szCs w:val="20"/>
          <w:rtl/>
        </w:rPr>
        <w:t>נסמכת על תשובה חיובית ל</w:t>
      </w:r>
      <w:r>
        <w:rPr>
          <w:rFonts w:cs="Arial" w:hint="cs"/>
          <w:sz w:val="20"/>
          <w:szCs w:val="20"/>
          <w:rtl/>
        </w:rPr>
        <w:t>שלשת ה</w:t>
      </w:r>
      <w:r w:rsidRPr="00BC7A32">
        <w:rPr>
          <w:rFonts w:cs="Arial" w:hint="cs"/>
          <w:sz w:val="20"/>
          <w:szCs w:val="20"/>
          <w:rtl/>
        </w:rPr>
        <w:t>שאלות האחרות</w:t>
      </w:r>
      <w:r>
        <w:rPr>
          <w:rFonts w:cs="Arial" w:hint="cs"/>
          <w:sz w:val="20"/>
          <w:szCs w:val="20"/>
          <w:rtl/>
        </w:rPr>
        <w:t xml:space="preserve"> שהוצגו קודם</w:t>
      </w:r>
    </w:p>
    <w:p w:rsidR="005366A8" w:rsidRPr="00AC3981" w:rsidRDefault="005366A8" w:rsidP="005366A8">
      <w:pPr>
        <w:spacing w:after="120"/>
        <w:rPr>
          <w:sz w:val="20"/>
          <w:szCs w:val="20"/>
          <w:rtl/>
        </w:rPr>
      </w:pPr>
      <w:r w:rsidRPr="00AC3981">
        <w:rPr>
          <w:sz w:val="20"/>
          <w:szCs w:val="20"/>
          <w:rtl/>
        </w:rPr>
        <w:t xml:space="preserve">בית המשפט כופה על הרשויות </w:t>
      </w:r>
      <w:r w:rsidRPr="00AC3981">
        <w:rPr>
          <w:rFonts w:hint="cs"/>
          <w:sz w:val="20"/>
          <w:szCs w:val="20"/>
          <w:rtl/>
        </w:rPr>
        <w:t xml:space="preserve">השלטוניות </w:t>
      </w:r>
      <w:r w:rsidRPr="00AC3981">
        <w:rPr>
          <w:sz w:val="20"/>
          <w:szCs w:val="20"/>
          <w:rtl/>
        </w:rPr>
        <w:t xml:space="preserve">להצביע על מקור הסמכות לפעולתם – עקרון החוקיות – כיצד הוא פותר את בעיית עצמו ביחס לסמכות הביקורת השיפוטית החוקתית?  </w:t>
      </w:r>
      <w:r w:rsidRPr="0072026F">
        <w:rPr>
          <w:b/>
          <w:bCs/>
          <w:sz w:val="20"/>
          <w:szCs w:val="20"/>
          <w:rtl/>
        </w:rPr>
        <w:t>הרי סמכות זו אינה מופיעה במפורש בחוקי היסוד</w:t>
      </w:r>
      <w:r w:rsidRPr="00AC3981">
        <w:rPr>
          <w:sz w:val="20"/>
          <w:szCs w:val="20"/>
          <w:rtl/>
        </w:rPr>
        <w:t>.</w:t>
      </w:r>
    </w:p>
    <w:p w:rsidR="005366A8" w:rsidRPr="00AC3981" w:rsidRDefault="005366A8" w:rsidP="005366A8">
      <w:pPr>
        <w:spacing w:after="120"/>
        <w:rPr>
          <w:sz w:val="20"/>
          <w:szCs w:val="20"/>
          <w:rtl/>
        </w:rPr>
      </w:pPr>
      <w:r w:rsidRPr="00AC3981">
        <w:rPr>
          <w:rFonts w:hint="cs"/>
          <w:sz w:val="20"/>
          <w:szCs w:val="20"/>
          <w:rtl/>
        </w:rPr>
        <w:t xml:space="preserve">א. דרישת החוקיות המיוחדת </w:t>
      </w:r>
      <w:r w:rsidRPr="00AC3981">
        <w:rPr>
          <w:sz w:val="20"/>
          <w:szCs w:val="20"/>
          <w:rtl/>
        </w:rPr>
        <w:t>–</w:t>
      </w:r>
      <w:r w:rsidRPr="00AC3981">
        <w:rPr>
          <w:rFonts w:hint="cs"/>
          <w:sz w:val="20"/>
          <w:szCs w:val="20"/>
          <w:rtl/>
        </w:rPr>
        <w:t xml:space="preserve"> הדרישה ל</w:t>
      </w:r>
      <w:r w:rsidRPr="00AC3981">
        <w:rPr>
          <w:rFonts w:hint="cs"/>
          <w:i/>
          <w:iCs/>
          <w:sz w:val="20"/>
          <w:szCs w:val="20"/>
          <w:rtl/>
        </w:rPr>
        <w:t>"הסמכה מפורשת"</w:t>
      </w:r>
      <w:r w:rsidRPr="00AC3981">
        <w:rPr>
          <w:rFonts w:hint="cs"/>
          <w:sz w:val="20"/>
          <w:szCs w:val="20"/>
          <w:rtl/>
        </w:rPr>
        <w:t xml:space="preserve"> </w:t>
      </w:r>
      <w:r w:rsidRPr="00AC3981">
        <w:rPr>
          <w:sz w:val="20"/>
          <w:szCs w:val="20"/>
          <w:rtl/>
        </w:rPr>
        <w:t>–</w:t>
      </w:r>
      <w:r w:rsidRPr="00AC3981">
        <w:rPr>
          <w:rFonts w:hint="cs"/>
          <w:sz w:val="20"/>
          <w:szCs w:val="20"/>
          <w:rtl/>
        </w:rPr>
        <w:t xml:space="preserve"> באה רק בהקשר להגבלת זכויות יסוד.  בביקורת שיפוטית חוקתית בית המשפט לא מגביל זכויות; נהפוך הוא, ברוב המקרים הוא שומר על הסייגים החלים על הגבלת זכויות. זהו </w:t>
      </w:r>
      <w:r w:rsidRPr="00AC3981">
        <w:rPr>
          <w:sz w:val="20"/>
          <w:szCs w:val="20"/>
          <w:rtl/>
        </w:rPr>
        <w:t xml:space="preserve">הבדל </w:t>
      </w:r>
      <w:r w:rsidRPr="00AC3981">
        <w:rPr>
          <w:rFonts w:hint="cs"/>
          <w:sz w:val="20"/>
          <w:szCs w:val="20"/>
          <w:rtl/>
        </w:rPr>
        <w:t xml:space="preserve">עקרוני וחשוב </w:t>
      </w:r>
      <w:r w:rsidRPr="00AC3981">
        <w:rPr>
          <w:sz w:val="20"/>
          <w:szCs w:val="20"/>
          <w:rtl/>
        </w:rPr>
        <w:t xml:space="preserve">בין רשות מגבילה </w:t>
      </w:r>
      <w:r w:rsidRPr="00AC3981">
        <w:rPr>
          <w:rFonts w:hint="cs"/>
          <w:sz w:val="20"/>
          <w:szCs w:val="20"/>
          <w:rtl/>
        </w:rPr>
        <w:t xml:space="preserve">(הרשות המחוקקת או המבצעת) </w:t>
      </w:r>
      <w:r w:rsidRPr="00AC3981">
        <w:rPr>
          <w:sz w:val="20"/>
          <w:szCs w:val="20"/>
          <w:rtl/>
        </w:rPr>
        <w:t xml:space="preserve">לבין </w:t>
      </w:r>
      <w:r w:rsidRPr="00AC3981">
        <w:rPr>
          <w:rFonts w:hint="cs"/>
          <w:sz w:val="20"/>
          <w:szCs w:val="20"/>
          <w:rtl/>
        </w:rPr>
        <w:t>ה</w:t>
      </w:r>
      <w:r w:rsidRPr="00AC3981">
        <w:rPr>
          <w:sz w:val="20"/>
          <w:szCs w:val="20"/>
          <w:rtl/>
        </w:rPr>
        <w:t xml:space="preserve">רשות </w:t>
      </w:r>
      <w:r w:rsidRPr="00AC3981">
        <w:rPr>
          <w:rFonts w:hint="cs"/>
          <w:sz w:val="20"/>
          <w:szCs w:val="20"/>
          <w:rtl/>
        </w:rPr>
        <w:t>השופטת (שכאן פועלת כ</w:t>
      </w:r>
      <w:r w:rsidRPr="00AC3981">
        <w:rPr>
          <w:sz w:val="20"/>
          <w:szCs w:val="20"/>
          <w:rtl/>
        </w:rPr>
        <w:t>מבקרת את הרשויות המגבילות</w:t>
      </w:r>
      <w:r w:rsidRPr="00AC3981">
        <w:rPr>
          <w:rFonts w:hint="cs"/>
          <w:sz w:val="20"/>
          <w:szCs w:val="20"/>
          <w:rtl/>
        </w:rPr>
        <w:t>)</w:t>
      </w:r>
      <w:r w:rsidRPr="00AC3981">
        <w:rPr>
          <w:sz w:val="20"/>
          <w:szCs w:val="20"/>
          <w:rtl/>
        </w:rPr>
        <w:t>.</w:t>
      </w:r>
      <w:r w:rsidRPr="00AC3981">
        <w:rPr>
          <w:rFonts w:hint="cs"/>
          <w:sz w:val="20"/>
          <w:szCs w:val="20"/>
          <w:rtl/>
        </w:rPr>
        <w:t xml:space="preserve"> די על כן, </w:t>
      </w:r>
      <w:r w:rsidRPr="00AC3981">
        <w:rPr>
          <w:rFonts w:hint="cs"/>
          <w:i/>
          <w:iCs/>
          <w:sz w:val="20"/>
          <w:szCs w:val="20"/>
          <w:rtl/>
        </w:rPr>
        <w:t>בהסמכה משתמעת.</w:t>
      </w:r>
    </w:p>
    <w:p w:rsidR="005366A8" w:rsidRPr="00AC3981" w:rsidRDefault="005366A8" w:rsidP="005366A8">
      <w:pPr>
        <w:spacing w:after="120"/>
        <w:rPr>
          <w:sz w:val="20"/>
          <w:szCs w:val="20"/>
          <w:rtl/>
        </w:rPr>
      </w:pPr>
      <w:r w:rsidRPr="00AC3981">
        <w:rPr>
          <w:rFonts w:hint="cs"/>
          <w:sz w:val="20"/>
          <w:szCs w:val="20"/>
          <w:rtl/>
        </w:rPr>
        <w:t>ב. הסכמה משתמעת זו מופיעה, והיא מופיעה בלפחות שני אופנים (אופנים הנעוצים בקיומו של רובד חוקתי בפירמידה הנורמטיבית):</w:t>
      </w:r>
    </w:p>
    <w:p w:rsidR="005366A8" w:rsidRPr="00AC3981" w:rsidRDefault="005366A8" w:rsidP="005366A8">
      <w:pPr>
        <w:spacing w:after="120"/>
        <w:rPr>
          <w:sz w:val="20"/>
          <w:szCs w:val="20"/>
          <w:rtl/>
        </w:rPr>
      </w:pPr>
      <w:r w:rsidRPr="00AC3981">
        <w:rPr>
          <w:rFonts w:hint="cs"/>
          <w:sz w:val="20"/>
          <w:szCs w:val="20"/>
          <w:rtl/>
        </w:rPr>
        <w:t>1. אם הוענקו זכויות</w:t>
      </w:r>
      <w:r>
        <w:rPr>
          <w:rFonts w:hint="cs"/>
          <w:sz w:val="20"/>
          <w:szCs w:val="20"/>
          <w:rtl/>
        </w:rPr>
        <w:t xml:space="preserve"> במשפט</w:t>
      </w:r>
      <w:r w:rsidRPr="00AC3981">
        <w:rPr>
          <w:rFonts w:hint="cs"/>
          <w:sz w:val="20"/>
          <w:szCs w:val="20"/>
          <w:rtl/>
        </w:rPr>
        <w:t xml:space="preserve">, ונקבעה </w:t>
      </w:r>
      <w:r>
        <w:rPr>
          <w:rFonts w:hint="cs"/>
          <w:sz w:val="20"/>
          <w:szCs w:val="20"/>
          <w:rtl/>
        </w:rPr>
        <w:t xml:space="preserve">בו </w:t>
      </w:r>
      <w:r w:rsidRPr="00AC3981">
        <w:rPr>
          <w:rFonts w:hint="cs"/>
          <w:sz w:val="20"/>
          <w:szCs w:val="20"/>
          <w:rtl/>
        </w:rPr>
        <w:t xml:space="preserve">מסגרת של מוסדות וכפיפויות, שנועדה בין היתר לגונן עליהן </w:t>
      </w:r>
      <w:r w:rsidRPr="00AC3981">
        <w:rPr>
          <w:sz w:val="20"/>
          <w:szCs w:val="20"/>
          <w:rtl/>
        </w:rPr>
        <w:t>–</w:t>
      </w:r>
      <w:r w:rsidRPr="00AC3981">
        <w:rPr>
          <w:rFonts w:hint="cs"/>
          <w:sz w:val="20"/>
          <w:szCs w:val="20"/>
          <w:rtl/>
        </w:rPr>
        <w:t xml:space="preserve"> ואכן מופיע מדרג נורמטיבי בין רשות מכוננת </w:t>
      </w:r>
      <w:r>
        <w:rPr>
          <w:rFonts w:hint="cs"/>
          <w:sz w:val="20"/>
          <w:szCs w:val="20"/>
          <w:rtl/>
        </w:rPr>
        <w:t xml:space="preserve">לבין רשות </w:t>
      </w:r>
      <w:r w:rsidRPr="00AC3981">
        <w:rPr>
          <w:rFonts w:hint="cs"/>
          <w:sz w:val="20"/>
          <w:szCs w:val="20"/>
          <w:rtl/>
        </w:rPr>
        <w:t>מחוקקת, ונוצר הסדר המגונן על זכויות אדם (קביעת</w:t>
      </w:r>
      <w:r>
        <w:rPr>
          <w:rFonts w:hint="cs"/>
          <w:sz w:val="20"/>
          <w:szCs w:val="20"/>
          <w:rtl/>
        </w:rPr>
        <w:t>ן</w:t>
      </w:r>
      <w:r w:rsidRPr="00AC3981">
        <w:rPr>
          <w:rFonts w:hint="cs"/>
          <w:sz w:val="20"/>
          <w:szCs w:val="20"/>
          <w:rtl/>
        </w:rPr>
        <w:t xml:space="preserve"> ב</w:t>
      </w:r>
      <w:r>
        <w:rPr>
          <w:rFonts w:hint="cs"/>
          <w:sz w:val="20"/>
          <w:szCs w:val="20"/>
          <w:rtl/>
        </w:rPr>
        <w:t>"</w:t>
      </w:r>
      <w:r w:rsidRPr="00AC3981">
        <w:rPr>
          <w:rFonts w:hint="cs"/>
          <w:sz w:val="20"/>
          <w:szCs w:val="20"/>
          <w:rtl/>
        </w:rPr>
        <w:t>חוקי יסוד</w:t>
      </w:r>
      <w:r>
        <w:rPr>
          <w:rFonts w:hint="cs"/>
          <w:sz w:val="20"/>
          <w:szCs w:val="20"/>
          <w:rtl/>
        </w:rPr>
        <w:t>"</w:t>
      </w:r>
      <w:r w:rsidRPr="00AC3981">
        <w:rPr>
          <w:rFonts w:hint="cs"/>
          <w:sz w:val="20"/>
          <w:szCs w:val="20"/>
          <w:rtl/>
        </w:rPr>
        <w:t xml:space="preserve"> והגנה עליה</w:t>
      </w:r>
      <w:r>
        <w:rPr>
          <w:rFonts w:hint="cs"/>
          <w:sz w:val="20"/>
          <w:szCs w:val="20"/>
          <w:rtl/>
        </w:rPr>
        <w:t>ן</w:t>
      </w:r>
      <w:r w:rsidRPr="00AC3981">
        <w:rPr>
          <w:rFonts w:hint="cs"/>
          <w:sz w:val="20"/>
          <w:szCs w:val="20"/>
          <w:rtl/>
        </w:rPr>
        <w:t xml:space="preserve"> ב"פסקת ההגבלה") </w:t>
      </w:r>
      <w:r w:rsidRPr="00AC3981">
        <w:rPr>
          <w:sz w:val="20"/>
          <w:szCs w:val="20"/>
          <w:rtl/>
        </w:rPr>
        <w:t>–</w:t>
      </w:r>
      <w:r w:rsidRPr="00AC3981">
        <w:rPr>
          <w:rFonts w:hint="cs"/>
          <w:sz w:val="20"/>
          <w:szCs w:val="20"/>
          <w:rtl/>
        </w:rPr>
        <w:t xml:space="preserve"> מה ממשות</w:t>
      </w:r>
      <w:r>
        <w:rPr>
          <w:rFonts w:hint="cs"/>
          <w:sz w:val="20"/>
          <w:szCs w:val="20"/>
          <w:rtl/>
        </w:rPr>
        <w:t>ן</w:t>
      </w:r>
      <w:r w:rsidRPr="00AC3981">
        <w:rPr>
          <w:rFonts w:hint="cs"/>
          <w:sz w:val="20"/>
          <w:szCs w:val="20"/>
          <w:rtl/>
        </w:rPr>
        <w:t xml:space="preserve"> </w:t>
      </w:r>
      <w:r>
        <w:rPr>
          <w:rFonts w:hint="cs"/>
          <w:sz w:val="20"/>
          <w:szCs w:val="20"/>
          <w:rtl/>
        </w:rPr>
        <w:t xml:space="preserve">של הזכויות הללו </w:t>
      </w:r>
      <w:r w:rsidRPr="00AC3981">
        <w:rPr>
          <w:rFonts w:hint="cs"/>
          <w:sz w:val="20"/>
          <w:szCs w:val="20"/>
          <w:rtl/>
        </w:rPr>
        <w:t xml:space="preserve">אם אין סמכות לביקורת שיפוטית חוקתית? הטיעון, אם כן, הוא מהתבנית הבאה: </w:t>
      </w:r>
      <w:r w:rsidRPr="00AC3981">
        <w:rPr>
          <w:b/>
          <w:bCs/>
          <w:sz w:val="20"/>
          <w:szCs w:val="20"/>
          <w:rtl/>
        </w:rPr>
        <w:t>אין זכות</w:t>
      </w:r>
      <w:r w:rsidRPr="00AC3981">
        <w:rPr>
          <w:rFonts w:hint="cs"/>
          <w:b/>
          <w:bCs/>
          <w:sz w:val="20"/>
          <w:szCs w:val="20"/>
          <w:rtl/>
        </w:rPr>
        <w:t xml:space="preserve"> </w:t>
      </w:r>
      <w:r w:rsidRPr="00AC3981">
        <w:rPr>
          <w:b/>
          <w:bCs/>
          <w:sz w:val="20"/>
          <w:szCs w:val="20"/>
          <w:rtl/>
        </w:rPr>
        <w:t>אם אין סעד</w:t>
      </w:r>
      <w:r w:rsidRPr="00AC3981">
        <w:rPr>
          <w:sz w:val="20"/>
          <w:szCs w:val="20"/>
          <w:rtl/>
        </w:rPr>
        <w:t xml:space="preserve"> [</w:t>
      </w:r>
      <w:r w:rsidRPr="00AC3981">
        <w:rPr>
          <w:sz w:val="20"/>
          <w:szCs w:val="20"/>
        </w:rPr>
        <w:t>Marbury v. Medison</w:t>
      </w:r>
      <w:r w:rsidRPr="00AC3981">
        <w:rPr>
          <w:sz w:val="20"/>
          <w:szCs w:val="20"/>
          <w:rtl/>
        </w:rPr>
        <w:t>]</w:t>
      </w:r>
    </w:p>
    <w:p w:rsidR="005366A8" w:rsidRPr="00AC3981" w:rsidRDefault="005366A8" w:rsidP="005366A8">
      <w:pPr>
        <w:spacing w:after="120"/>
        <w:rPr>
          <w:sz w:val="20"/>
          <w:szCs w:val="20"/>
          <w:rtl/>
        </w:rPr>
      </w:pPr>
      <w:r w:rsidRPr="00AC3981">
        <w:rPr>
          <w:rFonts w:hint="cs"/>
          <w:sz w:val="20"/>
          <w:szCs w:val="20"/>
          <w:rtl/>
        </w:rPr>
        <w:t xml:space="preserve">2. הביקורת השיפוטית החוקתית היא </w:t>
      </w:r>
      <w:r w:rsidRPr="00AC3981">
        <w:rPr>
          <w:rFonts w:hint="cs"/>
          <w:i/>
          <w:iCs/>
          <w:sz w:val="20"/>
          <w:szCs w:val="20"/>
          <w:rtl/>
        </w:rPr>
        <w:t>תולדה הכרחית</w:t>
      </w:r>
      <w:r w:rsidRPr="00AC3981">
        <w:rPr>
          <w:rFonts w:hint="cs"/>
          <w:sz w:val="20"/>
          <w:szCs w:val="20"/>
          <w:rtl/>
        </w:rPr>
        <w:t xml:space="preserve"> של </w:t>
      </w:r>
      <w:r w:rsidRPr="00AC3981">
        <w:rPr>
          <w:rFonts w:hint="cs"/>
          <w:b/>
          <w:bCs/>
          <w:sz w:val="20"/>
          <w:szCs w:val="20"/>
          <w:rtl/>
        </w:rPr>
        <w:t>ה</w:t>
      </w:r>
      <w:r w:rsidRPr="00AC3981">
        <w:rPr>
          <w:b/>
          <w:bCs/>
          <w:sz w:val="20"/>
          <w:szCs w:val="20"/>
          <w:rtl/>
        </w:rPr>
        <w:t xml:space="preserve">סמכות </w:t>
      </w:r>
      <w:r w:rsidRPr="00AC3981">
        <w:rPr>
          <w:rFonts w:hint="cs"/>
          <w:b/>
          <w:bCs/>
          <w:sz w:val="20"/>
          <w:szCs w:val="20"/>
          <w:rtl/>
        </w:rPr>
        <w:t>ה</w:t>
      </w:r>
      <w:r w:rsidRPr="00AC3981">
        <w:rPr>
          <w:b/>
          <w:bCs/>
          <w:sz w:val="20"/>
          <w:szCs w:val="20"/>
          <w:rtl/>
        </w:rPr>
        <w:t xml:space="preserve">עיקרית – </w:t>
      </w:r>
      <w:r w:rsidRPr="00AC3981">
        <w:rPr>
          <w:rFonts w:hint="cs"/>
          <w:b/>
          <w:bCs/>
          <w:sz w:val="20"/>
          <w:szCs w:val="20"/>
          <w:rtl/>
        </w:rPr>
        <w:t>ה</w:t>
      </w:r>
      <w:r w:rsidRPr="00AC3981">
        <w:rPr>
          <w:b/>
          <w:bCs/>
          <w:sz w:val="20"/>
          <w:szCs w:val="20"/>
          <w:rtl/>
        </w:rPr>
        <w:t xml:space="preserve">לא שנויה במחלוקת – </w:t>
      </w:r>
      <w:r w:rsidRPr="00AC3981">
        <w:rPr>
          <w:rFonts w:hint="cs"/>
          <w:b/>
          <w:bCs/>
          <w:sz w:val="20"/>
          <w:szCs w:val="20"/>
          <w:rtl/>
        </w:rPr>
        <w:t xml:space="preserve">של בית המשפט: </w:t>
      </w:r>
      <w:r w:rsidRPr="00AC3981">
        <w:rPr>
          <w:b/>
          <w:bCs/>
          <w:sz w:val="20"/>
          <w:szCs w:val="20"/>
          <w:rtl/>
        </w:rPr>
        <w:t>להכריע בסכסוכים</w:t>
      </w:r>
      <w:r w:rsidRPr="00AC3981">
        <w:rPr>
          <w:sz w:val="20"/>
          <w:szCs w:val="20"/>
          <w:rtl/>
        </w:rPr>
        <w:t xml:space="preserve">.  </w:t>
      </w:r>
      <w:r w:rsidRPr="00AC3981">
        <w:rPr>
          <w:rFonts w:hint="cs"/>
          <w:sz w:val="20"/>
          <w:szCs w:val="20"/>
          <w:rtl/>
        </w:rPr>
        <w:t xml:space="preserve">שהרי </w:t>
      </w:r>
      <w:r w:rsidRPr="00AC3981">
        <w:rPr>
          <w:sz w:val="20"/>
          <w:szCs w:val="20"/>
          <w:rtl/>
        </w:rPr>
        <w:t>מגיע</w:t>
      </w:r>
      <w:r w:rsidRPr="00AC3981">
        <w:rPr>
          <w:rFonts w:hint="cs"/>
          <w:sz w:val="20"/>
          <w:szCs w:val="20"/>
          <w:rtl/>
        </w:rPr>
        <w:t xml:space="preserve">ים סכסוכים </w:t>
      </w:r>
      <w:r w:rsidRPr="00AC3981">
        <w:rPr>
          <w:sz w:val="20"/>
          <w:szCs w:val="20"/>
          <w:rtl/>
        </w:rPr>
        <w:t>–</w:t>
      </w:r>
      <w:r w:rsidRPr="00AC3981">
        <w:rPr>
          <w:rFonts w:hint="cs"/>
          <w:sz w:val="20"/>
          <w:szCs w:val="20"/>
          <w:rtl/>
        </w:rPr>
        <w:t xml:space="preserve"> למשל, בין הפרט למדינה </w:t>
      </w:r>
      <w:r w:rsidRPr="00AC3981">
        <w:rPr>
          <w:sz w:val="20"/>
          <w:szCs w:val="20"/>
          <w:rtl/>
        </w:rPr>
        <w:t>–</w:t>
      </w:r>
      <w:r w:rsidRPr="00AC3981">
        <w:rPr>
          <w:rFonts w:hint="cs"/>
          <w:sz w:val="20"/>
          <w:szCs w:val="20"/>
          <w:rtl/>
        </w:rPr>
        <w:t xml:space="preserve"> המציבים צורך בהכרעה</w:t>
      </w:r>
      <w:r w:rsidRPr="00AC3981">
        <w:rPr>
          <w:sz w:val="20"/>
          <w:szCs w:val="20"/>
          <w:rtl/>
        </w:rPr>
        <w:t xml:space="preserve"> </w:t>
      </w:r>
      <w:r w:rsidRPr="00AC3981">
        <w:rPr>
          <w:rFonts w:hint="cs"/>
          <w:sz w:val="20"/>
          <w:szCs w:val="20"/>
          <w:rtl/>
        </w:rPr>
        <w:t xml:space="preserve">בין </w:t>
      </w:r>
      <w:r w:rsidRPr="00AC3981">
        <w:rPr>
          <w:sz w:val="20"/>
          <w:szCs w:val="20"/>
          <w:rtl/>
        </w:rPr>
        <w:t xml:space="preserve">שתי נורמות </w:t>
      </w:r>
      <w:r w:rsidRPr="00AC3981">
        <w:rPr>
          <w:rFonts w:hint="cs"/>
          <w:sz w:val="20"/>
          <w:szCs w:val="20"/>
          <w:rtl/>
        </w:rPr>
        <w:t xml:space="preserve">מתנגשות </w:t>
      </w:r>
      <w:r w:rsidRPr="00AC3981">
        <w:rPr>
          <w:sz w:val="20"/>
          <w:szCs w:val="20"/>
          <w:rtl/>
        </w:rPr>
        <w:t>–</w:t>
      </w:r>
      <w:r w:rsidRPr="00AC3981">
        <w:rPr>
          <w:rFonts w:hint="cs"/>
          <w:sz w:val="20"/>
          <w:szCs w:val="20"/>
          <w:rtl/>
        </w:rPr>
        <w:t xml:space="preserve"> למשל (פס"ד </w:t>
      </w:r>
      <w:r w:rsidRPr="00AC3981">
        <w:rPr>
          <w:rFonts w:hint="cs"/>
          <w:b/>
          <w:bCs/>
          <w:sz w:val="20"/>
          <w:szCs w:val="20"/>
          <w:rtl/>
        </w:rPr>
        <w:t>צמח</w:t>
      </w:r>
      <w:r>
        <w:rPr>
          <w:rFonts w:hint="cs"/>
          <w:sz w:val="20"/>
          <w:szCs w:val="20"/>
          <w:rtl/>
        </w:rPr>
        <w:t>, אותו נלמד בקרוב</w:t>
      </w:r>
      <w:r w:rsidRPr="00AC3981">
        <w:rPr>
          <w:rFonts w:hint="cs"/>
          <w:sz w:val="20"/>
          <w:szCs w:val="20"/>
          <w:rtl/>
        </w:rPr>
        <w:t>) בין חוק השיפוט הצבאי לבין חוק יסוד: כבוד האדם וחירותו</w:t>
      </w:r>
      <w:r w:rsidRPr="00AC3981">
        <w:rPr>
          <w:sz w:val="20"/>
          <w:szCs w:val="20"/>
          <w:rtl/>
        </w:rPr>
        <w:t xml:space="preserve">.  </w:t>
      </w:r>
      <w:r w:rsidRPr="00AC3981">
        <w:rPr>
          <w:rFonts w:hint="cs"/>
          <w:sz w:val="20"/>
          <w:szCs w:val="20"/>
          <w:rtl/>
        </w:rPr>
        <w:t>ההכרעה בסכסוך מותנית בהכרעה בין שתי הנורמות, וכאשר אחת מהן היא חוקתית והאחרת היא חוק, הרי שההכרעה היא ביקורת שיפוטית חוקתית על תוקפו של החוק</w:t>
      </w:r>
      <w:r w:rsidRPr="00AC3981">
        <w:rPr>
          <w:sz w:val="20"/>
          <w:szCs w:val="20"/>
          <w:rtl/>
        </w:rPr>
        <w:t xml:space="preserve">.  </w:t>
      </w:r>
    </w:p>
    <w:p w:rsidR="005366A8" w:rsidRPr="00AC3981" w:rsidRDefault="005366A8" w:rsidP="005366A8">
      <w:pPr>
        <w:rPr>
          <w:sz w:val="20"/>
          <w:szCs w:val="20"/>
          <w:rtl/>
        </w:rPr>
      </w:pPr>
      <w:r w:rsidRPr="00AC3981">
        <w:rPr>
          <w:rFonts w:hint="cs"/>
          <w:sz w:val="20"/>
          <w:szCs w:val="20"/>
          <w:rtl/>
        </w:rPr>
        <w:t xml:space="preserve">למשל, פס"ד </w:t>
      </w:r>
      <w:r w:rsidRPr="00AC3981">
        <w:rPr>
          <w:rFonts w:hint="cs"/>
          <w:b/>
          <w:bCs/>
          <w:sz w:val="20"/>
          <w:szCs w:val="20"/>
          <w:rtl/>
        </w:rPr>
        <w:t>בנק המזרחי</w:t>
      </w:r>
      <w:r w:rsidRPr="00AC3981">
        <w:rPr>
          <w:rFonts w:hint="cs"/>
          <w:sz w:val="20"/>
          <w:szCs w:val="20"/>
          <w:rtl/>
        </w:rPr>
        <w:t>: בית המשפט חייב להתמודד עם השאלה הבאה במסגרת הסכסוך המובא בפניו, וזו שאלה חוקתית מובהקת שמצריכה תשובה</w:t>
      </w:r>
      <w:r>
        <w:rPr>
          <w:rFonts w:hint="cs"/>
          <w:sz w:val="20"/>
          <w:szCs w:val="20"/>
          <w:rtl/>
        </w:rPr>
        <w:t xml:space="preserve"> </w:t>
      </w:r>
      <w:r>
        <w:rPr>
          <w:sz w:val="20"/>
          <w:szCs w:val="20"/>
          <w:rtl/>
        </w:rPr>
        <w:t>–</w:t>
      </w:r>
      <w:r>
        <w:rPr>
          <w:rFonts w:hint="cs"/>
          <w:sz w:val="20"/>
          <w:szCs w:val="20"/>
          <w:rtl/>
        </w:rPr>
        <w:t xml:space="preserve"> </w:t>
      </w:r>
    </w:p>
    <w:p w:rsidR="005366A8" w:rsidRPr="00AC3981" w:rsidRDefault="005366A8" w:rsidP="005366A8">
      <w:pPr>
        <w:ind w:left="720"/>
        <w:rPr>
          <w:rFonts w:ascii="Arial" w:hAnsi="Arial" w:cs="Arial"/>
          <w:sz w:val="20"/>
          <w:szCs w:val="20"/>
          <w:rtl/>
        </w:rPr>
      </w:pPr>
      <w:r w:rsidRPr="00AC3981">
        <w:rPr>
          <w:rFonts w:ascii="Arial" w:hAnsi="Arial" w:cs="Arial"/>
          <w:sz w:val="20"/>
          <w:szCs w:val="20"/>
          <w:rtl/>
        </w:rPr>
        <w:t>האם חוק הסדרים במגזר החקלאי המשפחתי (תיקון), תשנ"ג-1993 פוגע בהוראותיו של חוק יסוד: כבוד האדם וחירותו, ואם יש לראותו בשל כך כבטל?</w:t>
      </w:r>
    </w:p>
    <w:p w:rsidR="005366A8" w:rsidRPr="00AC3981" w:rsidRDefault="005366A8" w:rsidP="005366A8">
      <w:pPr>
        <w:rPr>
          <w:sz w:val="20"/>
          <w:szCs w:val="20"/>
          <w:rtl/>
        </w:rPr>
      </w:pPr>
      <w:r w:rsidRPr="00AC3981">
        <w:rPr>
          <w:rFonts w:hint="cs"/>
          <w:sz w:val="20"/>
          <w:szCs w:val="20"/>
          <w:rtl/>
        </w:rPr>
        <w:t xml:space="preserve">חוק הסדרים במגזר החקלאי המשפחתי (תיקון) </w:t>
      </w:r>
      <w:r w:rsidRPr="00AC3981">
        <w:rPr>
          <w:sz w:val="20"/>
          <w:szCs w:val="20"/>
          <w:rtl/>
        </w:rPr>
        <w:t>–</w:t>
      </w:r>
      <w:r w:rsidRPr="00AC3981">
        <w:rPr>
          <w:rFonts w:hint="cs"/>
          <w:sz w:val="20"/>
          <w:szCs w:val="20"/>
          <w:rtl/>
        </w:rPr>
        <w:t xml:space="preserve"> או בכינויו, 'חוק גל' </w:t>
      </w:r>
      <w:r w:rsidRPr="00AC3981">
        <w:rPr>
          <w:sz w:val="20"/>
          <w:szCs w:val="20"/>
          <w:rtl/>
        </w:rPr>
        <w:t>–</w:t>
      </w:r>
      <w:r w:rsidRPr="00AC3981">
        <w:rPr>
          <w:rFonts w:hint="cs"/>
          <w:sz w:val="20"/>
          <w:szCs w:val="20"/>
          <w:rtl/>
        </w:rPr>
        <w:t xml:space="preserve"> מעניק הגנה (מסוימת) על הקיבוצים והמושבים מפני נושיהם, בעלי-החוב שלהם.  בכך הוא מכיל פגיעה לכאורה בזכות הקנין של הנושים.  זכות הקנין מוגנת במפורש על ידי חוק יסוד: כבוד האדם וחירותו.  כמה נושים של מושבים וקיבוצים (ובתוכם בנק המזרחי) מערערים לבית המשפט העליון, לאחר שתביעתם נדחית בבית המשפט המחוזי.  </w:t>
      </w:r>
      <w:r>
        <w:rPr>
          <w:rFonts w:hint="cs"/>
          <w:sz w:val="20"/>
          <w:szCs w:val="20"/>
          <w:rtl/>
        </w:rPr>
        <w:t xml:space="preserve">בית המשפט העליון </w:t>
      </w:r>
      <w:r w:rsidRPr="00687A28">
        <w:rPr>
          <w:rFonts w:hint="cs"/>
          <w:b/>
          <w:bCs/>
          <w:sz w:val="20"/>
          <w:szCs w:val="20"/>
          <w:rtl/>
        </w:rPr>
        <w:t xml:space="preserve">מאשר את סמכותו של בית המשפט המחוזי ואת סמכותו שלו לבחון את תוקף </w:t>
      </w:r>
      <w:r>
        <w:rPr>
          <w:rFonts w:hint="cs"/>
          <w:b/>
          <w:bCs/>
          <w:sz w:val="20"/>
          <w:szCs w:val="20"/>
          <w:rtl/>
        </w:rPr>
        <w:t>ה</w:t>
      </w:r>
      <w:r w:rsidRPr="00687A28">
        <w:rPr>
          <w:rFonts w:hint="cs"/>
          <w:b/>
          <w:bCs/>
          <w:sz w:val="20"/>
          <w:szCs w:val="20"/>
          <w:rtl/>
        </w:rPr>
        <w:t>חוק הנזכר</w:t>
      </w:r>
      <w:r>
        <w:rPr>
          <w:rFonts w:hint="cs"/>
          <w:b/>
          <w:bCs/>
          <w:sz w:val="20"/>
          <w:szCs w:val="20"/>
          <w:rtl/>
        </w:rPr>
        <w:t xml:space="preserve"> [= זו הסמכות לביקורת שיפוטית חוקתית]</w:t>
      </w:r>
      <w:r>
        <w:rPr>
          <w:rFonts w:hint="cs"/>
          <w:sz w:val="20"/>
          <w:szCs w:val="20"/>
          <w:rtl/>
        </w:rPr>
        <w:t xml:space="preserve">, אך הוא דוחה, </w:t>
      </w:r>
      <w:r w:rsidRPr="0072026F">
        <w:rPr>
          <w:rFonts w:hint="cs"/>
          <w:b/>
          <w:bCs/>
          <w:sz w:val="20"/>
          <w:szCs w:val="20"/>
          <w:rtl/>
        </w:rPr>
        <w:t>לגופם של דברים</w:t>
      </w:r>
      <w:r>
        <w:rPr>
          <w:rFonts w:hint="cs"/>
          <w:sz w:val="20"/>
          <w:szCs w:val="20"/>
          <w:rtl/>
        </w:rPr>
        <w:t>, את הטענה כי החוק פוגע בחופש הקניין שלא בהתאם להוראותיה של פסקת ההגבלה.</w:t>
      </w:r>
    </w:p>
    <w:p w:rsidR="005366A8" w:rsidRDefault="005366A8" w:rsidP="005366A8">
      <w:pPr>
        <w:rPr>
          <w:rFonts w:ascii="Arial" w:hAnsi="Arial" w:cs="Arial"/>
          <w:sz w:val="20"/>
          <w:szCs w:val="20"/>
          <w:rtl/>
        </w:rPr>
      </w:pPr>
      <w:r w:rsidRPr="00AC3981">
        <w:rPr>
          <w:rFonts w:ascii="Arial" w:hAnsi="Arial" w:cs="Arial" w:hint="cs"/>
          <w:sz w:val="20"/>
          <w:szCs w:val="20"/>
          <w:rtl/>
        </w:rPr>
        <w:t>=-=</w:t>
      </w:r>
    </w:p>
    <w:p w:rsidR="005366A8" w:rsidRDefault="005366A8" w:rsidP="005366A8">
      <w:pPr>
        <w:rPr>
          <w:rFonts w:ascii="Arial" w:hAnsi="Arial" w:cs="Arial"/>
          <w:sz w:val="20"/>
          <w:szCs w:val="20"/>
          <w:rtl/>
        </w:rPr>
      </w:pPr>
    </w:p>
    <w:p w:rsidR="005366A8" w:rsidRPr="00A832DA" w:rsidRDefault="005366A8" w:rsidP="005366A8">
      <w:pPr>
        <w:rPr>
          <w:rFonts w:ascii="Arial" w:hAnsi="Arial" w:cs="Arial"/>
          <w:b/>
          <w:bCs/>
          <w:sz w:val="20"/>
          <w:szCs w:val="20"/>
          <w:highlight w:val="yellow"/>
          <w:rtl/>
        </w:rPr>
      </w:pPr>
      <w:r w:rsidRPr="00A832DA">
        <w:rPr>
          <w:rFonts w:ascii="Arial" w:hAnsi="Arial" w:cs="Arial" w:hint="cs"/>
          <w:b/>
          <w:bCs/>
          <w:sz w:val="20"/>
          <w:szCs w:val="20"/>
          <w:highlight w:val="yellow"/>
          <w:rtl/>
        </w:rPr>
        <w:t xml:space="preserve">מה הרציונאלים/ ההגיונות של הביקורת השיפוטית החוקתית? מה צריך להיות היקפה? מידת נמרצותה? </w:t>
      </w:r>
    </w:p>
    <w:p w:rsidR="005366A8" w:rsidRDefault="005366A8" w:rsidP="005366A8">
      <w:pPr>
        <w:ind w:left="720"/>
        <w:rPr>
          <w:rFonts w:ascii="Arial" w:hAnsi="Arial" w:cs="Arial"/>
          <w:sz w:val="20"/>
          <w:szCs w:val="20"/>
          <w:rtl/>
        </w:rPr>
      </w:pPr>
      <w:r w:rsidRPr="0037265E">
        <w:rPr>
          <w:rFonts w:ascii="Arial" w:hAnsi="Arial" w:cs="Arial" w:hint="cs"/>
          <w:sz w:val="20"/>
          <w:szCs w:val="20"/>
          <w:highlight w:val="yellow"/>
          <w:rtl/>
        </w:rPr>
        <w:t xml:space="preserve">הויכוח בין </w:t>
      </w:r>
      <w:r>
        <w:rPr>
          <w:rFonts w:ascii="Arial" w:hAnsi="Arial" w:cs="Arial" w:hint="cs"/>
          <w:sz w:val="20"/>
          <w:szCs w:val="20"/>
          <w:highlight w:val="yellow"/>
          <w:rtl/>
        </w:rPr>
        <w:t>השופט גרוניס לבין רוב ה</w:t>
      </w:r>
      <w:r w:rsidRPr="0037265E">
        <w:rPr>
          <w:rFonts w:ascii="Arial" w:hAnsi="Arial" w:cs="Arial" w:hint="cs"/>
          <w:sz w:val="20"/>
          <w:szCs w:val="20"/>
          <w:highlight w:val="yellow"/>
          <w:rtl/>
        </w:rPr>
        <w:t xml:space="preserve">שופטים </w:t>
      </w:r>
      <w:r>
        <w:rPr>
          <w:rFonts w:ascii="Arial" w:hAnsi="Arial" w:cs="Arial" w:hint="cs"/>
          <w:sz w:val="20"/>
          <w:szCs w:val="20"/>
          <w:highlight w:val="yellow"/>
          <w:rtl/>
        </w:rPr>
        <w:t xml:space="preserve">האחרים בפסקי הדין </w:t>
      </w:r>
      <w:r w:rsidRPr="0037265E">
        <w:rPr>
          <w:rFonts w:ascii="Arial" w:hAnsi="Arial" w:cs="Arial" w:hint="cs"/>
          <w:sz w:val="20"/>
          <w:szCs w:val="20"/>
          <w:highlight w:val="yellow"/>
          <w:rtl/>
        </w:rPr>
        <w:t>בעניין חוק טל</w:t>
      </w:r>
    </w:p>
    <w:p w:rsidR="005366A8" w:rsidRDefault="005366A8" w:rsidP="005366A8">
      <w:pPr>
        <w:rPr>
          <w:rFonts w:ascii="Arial" w:hAnsi="Arial" w:cs="Arial"/>
          <w:sz w:val="20"/>
          <w:szCs w:val="20"/>
          <w:rtl/>
        </w:rPr>
      </w:pPr>
    </w:p>
    <w:p w:rsidR="005366A8" w:rsidRDefault="005366A8" w:rsidP="005366A8">
      <w:pPr>
        <w:pStyle w:val="T-body"/>
        <w:spacing w:after="120" w:line="240" w:lineRule="auto"/>
        <w:jc w:val="center"/>
        <w:rPr>
          <w:sz w:val="22"/>
          <w:szCs w:val="22"/>
          <w:rtl/>
        </w:rPr>
      </w:pPr>
      <w:r w:rsidRPr="00D23F94">
        <w:rPr>
          <w:highlight w:val="yellow"/>
          <w:rtl/>
        </w:rPr>
        <w:t xml:space="preserve">בג"צ 6427/02 </w:t>
      </w:r>
      <w:r w:rsidRPr="00D23F94">
        <w:rPr>
          <w:b/>
          <w:bCs/>
          <w:highlight w:val="yellow"/>
          <w:rtl/>
        </w:rPr>
        <w:t>התנועה לאיכות השלטון נ' הכנסת</w:t>
      </w:r>
      <w:r w:rsidRPr="00D23F94">
        <w:rPr>
          <w:highlight w:val="yellow"/>
          <w:rtl/>
        </w:rPr>
        <w:t xml:space="preserve"> (</w:t>
      </w:r>
      <w:r w:rsidRPr="00D23F94">
        <w:rPr>
          <w:rFonts w:hint="cs"/>
          <w:highlight w:val="yellow"/>
          <w:rtl/>
        </w:rPr>
        <w:t>2006</w:t>
      </w:r>
      <w:r w:rsidRPr="00D23F94">
        <w:rPr>
          <w:highlight w:val="yellow"/>
          <w:rtl/>
        </w:rPr>
        <w:t>)</w:t>
      </w:r>
      <w:r>
        <w:rPr>
          <w:rFonts w:hint="cs"/>
          <w:rtl/>
        </w:rPr>
        <w:t xml:space="preserve"> [פס"ד חוק טל 1]</w:t>
      </w:r>
    </w:p>
    <w:p w:rsidR="005366A8" w:rsidRDefault="005366A8" w:rsidP="005366A8">
      <w:pPr>
        <w:pStyle w:val="T-body"/>
        <w:spacing w:after="120" w:line="240" w:lineRule="auto"/>
        <w:rPr>
          <w:sz w:val="22"/>
          <w:szCs w:val="22"/>
          <w:rtl/>
        </w:rPr>
      </w:pPr>
      <w:r>
        <w:rPr>
          <w:rFonts w:hint="cs"/>
          <w:sz w:val="22"/>
          <w:szCs w:val="22"/>
          <w:rtl/>
        </w:rPr>
        <w:t xml:space="preserve">החוק יוצר הסדר מיוחד ביחס לחובת השירות הצבאי לתלמידי ישיבות. הסדר זה בא לתקן מקצת האפליה של המשרתים בצבא אך הוא משמר חלק חשוב ממנה. =&gt; עולה לפיכך סוגיית חוקתיותו של "חוק טל". </w:t>
      </w:r>
    </w:p>
    <w:p w:rsidR="005366A8" w:rsidRDefault="005366A8" w:rsidP="005366A8">
      <w:pPr>
        <w:pStyle w:val="T-body"/>
        <w:spacing w:after="120" w:line="240" w:lineRule="auto"/>
        <w:rPr>
          <w:sz w:val="22"/>
          <w:szCs w:val="22"/>
          <w:rtl/>
        </w:rPr>
      </w:pPr>
      <w:r>
        <w:rPr>
          <w:rFonts w:hint="cs"/>
          <w:sz w:val="22"/>
          <w:szCs w:val="22"/>
          <w:rtl/>
        </w:rPr>
        <w:t>להלן דברי רקע חשובים שמציג הנשיא ברק בבואו לבחון את הסוגיה הנזכרת.</w:t>
      </w:r>
    </w:p>
    <w:p w:rsidR="005366A8" w:rsidRPr="00D23F94" w:rsidRDefault="005366A8" w:rsidP="005366A8">
      <w:pPr>
        <w:pStyle w:val="T-body"/>
        <w:spacing w:after="120" w:line="240" w:lineRule="auto"/>
        <w:rPr>
          <w:rFonts w:cs="FrankRuehl"/>
          <w:sz w:val="22"/>
          <w:szCs w:val="22"/>
          <w:rtl/>
        </w:rPr>
      </w:pPr>
      <w:r w:rsidRPr="00D23F94">
        <w:rPr>
          <w:rFonts w:cs="FrankRuehl" w:hint="cs"/>
          <w:sz w:val="22"/>
          <w:szCs w:val="22"/>
          <w:rtl/>
        </w:rPr>
        <w:t xml:space="preserve">חוקיותה וחוקתיותה של דחיית שירות הביטחון של תלמידי ישיבות אשר תורתם אומנותם נבחנה בבית משפט זה מספר פעמים. בבג"ץ 3267/97 </w:t>
      </w:r>
      <w:r w:rsidRPr="00D23F94">
        <w:rPr>
          <w:rFonts w:cs="Miriam" w:hint="cs"/>
          <w:sz w:val="22"/>
          <w:szCs w:val="22"/>
          <w:rtl/>
        </w:rPr>
        <w:t>רובינשטיין נ' שר הביטחון</w:t>
      </w:r>
      <w:r w:rsidRPr="00D23F94">
        <w:rPr>
          <w:rFonts w:cs="FrankRuehl" w:hint="cs"/>
          <w:sz w:val="22"/>
          <w:szCs w:val="22"/>
          <w:rtl/>
        </w:rPr>
        <w:t xml:space="preserve"> (פ"ד נב(5) 481; להלן – </w:t>
      </w:r>
      <w:r w:rsidRPr="00D23F94">
        <w:rPr>
          <w:rFonts w:cs="Miriam" w:hint="cs"/>
          <w:sz w:val="22"/>
          <w:szCs w:val="22"/>
          <w:rtl/>
        </w:rPr>
        <w:t>פרשת רובינשטיין</w:t>
      </w:r>
      <w:r w:rsidRPr="00D23F94">
        <w:rPr>
          <w:rFonts w:cs="FrankRuehl" w:hint="cs"/>
          <w:sz w:val="22"/>
          <w:szCs w:val="22"/>
          <w:rtl/>
        </w:rPr>
        <w:t xml:space="preserve">) </w:t>
      </w:r>
      <w:r w:rsidRPr="00D23F94">
        <w:rPr>
          <w:rFonts w:cs="FrankRuehl" w:hint="cs"/>
          <w:sz w:val="22"/>
          <w:szCs w:val="22"/>
          <w:highlight w:val="yellow"/>
          <w:rtl/>
        </w:rPr>
        <w:t>קבענו כי שר הביטחון הפעיל את סמכותו בעניין דחיית השירות של תלמידי ישיבות שתורתם אומנותם שלא כדין. קבענו כי הסמכות לקביעת ההכרעה העקרונית בעניין זה נתונה לכנסת.</w:t>
      </w:r>
      <w:r w:rsidRPr="00D23F94">
        <w:rPr>
          <w:rFonts w:cs="FrankRuehl" w:hint="cs"/>
          <w:sz w:val="22"/>
          <w:szCs w:val="22"/>
          <w:rtl/>
        </w:rPr>
        <w:t xml:space="preserve"> </w:t>
      </w:r>
    </w:p>
    <w:p w:rsidR="005366A8" w:rsidRDefault="005366A8" w:rsidP="005366A8">
      <w:pPr>
        <w:pStyle w:val="T-body"/>
        <w:spacing w:after="120" w:line="240" w:lineRule="auto"/>
        <w:rPr>
          <w:sz w:val="22"/>
          <w:szCs w:val="22"/>
          <w:rtl/>
        </w:rPr>
      </w:pPr>
      <w:r w:rsidRPr="00D23F94">
        <w:rPr>
          <w:rFonts w:cs="FrankRuehl" w:hint="cs"/>
          <w:sz w:val="22"/>
          <w:szCs w:val="22"/>
          <w:rtl/>
        </w:rPr>
        <w:t>לאחר פסק דיננו ב</w:t>
      </w:r>
      <w:r w:rsidRPr="00D23F94">
        <w:rPr>
          <w:rFonts w:cs="Miriam" w:hint="cs"/>
          <w:sz w:val="22"/>
          <w:szCs w:val="22"/>
          <w:rtl/>
        </w:rPr>
        <w:t>פרשת רובינשטיין</w:t>
      </w:r>
      <w:r w:rsidRPr="00D23F94">
        <w:rPr>
          <w:rFonts w:cs="FrankRuehl" w:hint="cs"/>
          <w:sz w:val="22"/>
          <w:szCs w:val="22"/>
          <w:rtl/>
        </w:rPr>
        <w:t xml:space="preserve">, חוקקה הכנסת את חוק דחיית שירות לתלמידי ישיבות שתורתם אומנותם, התשס"ב-2002 (להלן – </w:t>
      </w:r>
      <w:r w:rsidRPr="00D23F94">
        <w:rPr>
          <w:rFonts w:cs="Miriam" w:hint="cs"/>
          <w:sz w:val="22"/>
          <w:szCs w:val="22"/>
          <w:rtl/>
        </w:rPr>
        <w:t>חוק דחיית השירות</w:t>
      </w:r>
      <w:r w:rsidRPr="00D23F94">
        <w:rPr>
          <w:rFonts w:cs="FrankRuehl" w:hint="cs"/>
          <w:sz w:val="22"/>
          <w:szCs w:val="22"/>
          <w:rtl/>
        </w:rPr>
        <w:t>). החוק קובע הסדר מיוחד בכל הנוגע לדחיית שירות הביטחון של תלמידי ישיבות אשר תורתם אומנותם. האם הסדר זה – כפי שעוגן בחוק – הינו חוקתי? זו השאלה המונחת בעתירות שבפנינו.</w:t>
      </w:r>
      <w:r>
        <w:rPr>
          <w:rFonts w:cs="FrankRuehl" w:hint="cs"/>
          <w:sz w:val="28"/>
          <w:szCs w:val="28"/>
          <w:rtl/>
        </w:rPr>
        <w:t> </w:t>
      </w:r>
    </w:p>
    <w:p w:rsidR="005366A8" w:rsidRDefault="005366A8" w:rsidP="005366A8">
      <w:pPr>
        <w:pStyle w:val="T-body"/>
        <w:spacing w:line="240" w:lineRule="auto"/>
        <w:rPr>
          <w:sz w:val="20"/>
          <w:szCs w:val="20"/>
          <w:rtl/>
        </w:rPr>
      </w:pPr>
      <w:r>
        <w:rPr>
          <w:rFonts w:hint="cs"/>
          <w:sz w:val="20"/>
          <w:szCs w:val="20"/>
          <w:rtl/>
        </w:rPr>
        <w:t>=-=</w:t>
      </w:r>
    </w:p>
    <w:p w:rsidR="005366A8" w:rsidRDefault="005366A8" w:rsidP="005366A8">
      <w:pPr>
        <w:pStyle w:val="T-body"/>
        <w:spacing w:line="240" w:lineRule="auto"/>
        <w:rPr>
          <w:sz w:val="20"/>
          <w:szCs w:val="20"/>
          <w:rtl/>
        </w:rPr>
      </w:pPr>
      <w:r>
        <w:rPr>
          <w:rFonts w:hint="cs"/>
          <w:sz w:val="20"/>
          <w:szCs w:val="20"/>
          <w:rtl/>
        </w:rPr>
        <w:t>[ההשתלשלות המוקדמת]</w:t>
      </w:r>
    </w:p>
    <w:p w:rsidR="005366A8" w:rsidRDefault="005366A8" w:rsidP="005366A8">
      <w:pPr>
        <w:pStyle w:val="ruller40"/>
        <w:spacing w:line="240" w:lineRule="auto"/>
        <w:rPr>
          <w:rFonts w:cs="FrankRuehl"/>
          <w:rtl/>
        </w:rPr>
      </w:pPr>
      <w:r w:rsidRPr="00F67CC9">
        <w:rPr>
          <w:rFonts w:cs="FrankRuehl" w:hint="cs"/>
          <w:rtl/>
        </w:rPr>
        <w:t>2.        הסדר דחיית שירות הביטחון של תלמידי הישיבות שתורתם אומנותם נמצא במרכזו של דיון ציבורי מתמיד. הוא נדון פעמים רבות בכנסת (</w:t>
      </w:r>
      <w:r w:rsidRPr="00F67CC9">
        <w:rPr>
          <w:rFonts w:cs="Miriam" w:hint="cs"/>
          <w:spacing w:val="0"/>
          <w:rtl/>
        </w:rPr>
        <w:t xml:space="preserve">פרשת רסלר 1, </w:t>
      </w:r>
      <w:r w:rsidRPr="00F67CC9">
        <w:rPr>
          <w:rFonts w:cs="FrankRuehl" w:hint="cs"/>
          <w:rtl/>
        </w:rPr>
        <w:t xml:space="preserve">עמ' 450; </w:t>
      </w:r>
      <w:r w:rsidRPr="00F67CC9">
        <w:rPr>
          <w:rFonts w:cs="Miriam" w:hint="cs"/>
          <w:spacing w:val="0"/>
          <w:rtl/>
        </w:rPr>
        <w:t xml:space="preserve">פרשת רובינשטיין, </w:t>
      </w:r>
      <w:r w:rsidRPr="00F67CC9">
        <w:rPr>
          <w:rFonts w:cs="FrankRuehl" w:hint="cs"/>
          <w:rtl/>
        </w:rPr>
        <w:t xml:space="preserve">עמ' 494). כן נדרשו לו מספר ועדות שמונו לצורך כך, שהעלו הצעות שונות לפתרון בעיית גיוסם של תלמידי הישיבות (ראו למשל: </w:t>
      </w:r>
      <w:r w:rsidRPr="00F67CC9">
        <w:rPr>
          <w:rFonts w:cs="Miriam" w:hint="cs"/>
          <w:spacing w:val="0"/>
          <w:rtl/>
        </w:rPr>
        <w:t xml:space="preserve">פרשת רובינשטיין, </w:t>
      </w:r>
      <w:r w:rsidRPr="00F67CC9">
        <w:rPr>
          <w:rFonts w:cs="FrankRuehl" w:hint="cs"/>
          <w:rtl/>
        </w:rPr>
        <w:t>עמ' 492). עניין יישום סדרי דחיית גיוסם של תלמידי הישיבות עלה אף מספר פעמים בדו"ח מבקר המדינה (</w:t>
      </w:r>
      <w:r w:rsidRPr="00F67CC9">
        <w:rPr>
          <w:rFonts w:cs="Miriam" w:hint="cs"/>
          <w:spacing w:val="0"/>
          <w:rtl/>
        </w:rPr>
        <w:t xml:space="preserve">שם, </w:t>
      </w:r>
      <w:r w:rsidRPr="00F67CC9">
        <w:rPr>
          <w:rFonts w:cs="FrankRuehl" w:hint="cs"/>
          <w:rtl/>
        </w:rPr>
        <w:t xml:space="preserve">עמ' 493). </w:t>
      </w:r>
    </w:p>
    <w:p w:rsidR="005366A8" w:rsidRDefault="005366A8" w:rsidP="005366A8">
      <w:pPr>
        <w:pStyle w:val="ruller40"/>
        <w:spacing w:line="240" w:lineRule="auto"/>
        <w:rPr>
          <w:rFonts w:cs="FrankRuehl"/>
          <w:rtl/>
        </w:rPr>
      </w:pPr>
      <w:r w:rsidRPr="00F67CC9">
        <w:rPr>
          <w:rFonts w:cs="FrankRuehl" w:hint="cs"/>
          <w:rtl/>
        </w:rPr>
        <w:t xml:space="preserve">במקביל, הונחה מספר פעמים בפני בית המשפט העליון שאלת חוקיותו וחוקתיותו של הסדר זה. </w:t>
      </w:r>
    </w:p>
    <w:p w:rsidR="005366A8" w:rsidRDefault="005366A8" w:rsidP="005366A8">
      <w:pPr>
        <w:pStyle w:val="ruller40"/>
        <w:spacing w:line="240" w:lineRule="auto"/>
        <w:rPr>
          <w:rFonts w:cs="FrankRuehl"/>
          <w:rtl/>
        </w:rPr>
      </w:pPr>
      <w:r w:rsidRPr="00F67CC9">
        <w:rPr>
          <w:rFonts w:cs="FrankRuehl" w:hint="cs"/>
          <w:highlight w:val="yellow"/>
          <w:rtl/>
        </w:rPr>
        <w:t>הניסיונות הראשונים לתקוף את ההסדר שאימץ שר הביטחון לא צלחו, לאור עמדת בית המשפט העליון כי לעותרים אין מעמד בדין והנושא אינו שפיט</w:t>
      </w:r>
      <w:r w:rsidRPr="00F67CC9">
        <w:rPr>
          <w:rFonts w:cs="FrankRuehl" w:hint="cs"/>
          <w:rtl/>
        </w:rPr>
        <w:t xml:space="preserve"> (ראו: בג"ץ 40/70 </w:t>
      </w:r>
      <w:r w:rsidRPr="00F67CC9">
        <w:rPr>
          <w:rFonts w:cs="Miriam" w:hint="cs"/>
          <w:spacing w:val="0"/>
          <w:rtl/>
        </w:rPr>
        <w:t>בקר נ' שר הביטחון,</w:t>
      </w:r>
      <w:r w:rsidRPr="00F67CC9">
        <w:rPr>
          <w:rFonts w:cs="FrankRuehl" w:hint="cs"/>
          <w:rtl/>
        </w:rPr>
        <w:t xml:space="preserve"> פ"ד כד(1) 238; בג"ץ 448/81 </w:t>
      </w:r>
      <w:r w:rsidRPr="00F67CC9">
        <w:rPr>
          <w:rFonts w:cs="Miriam" w:hint="cs"/>
          <w:spacing w:val="0"/>
          <w:rtl/>
        </w:rPr>
        <w:t>רסלר נ' שר הביטחון,</w:t>
      </w:r>
      <w:r w:rsidRPr="00F67CC9">
        <w:rPr>
          <w:rFonts w:cs="FrankRuehl" w:hint="cs"/>
          <w:rtl/>
        </w:rPr>
        <w:t xml:space="preserve"> פ"ד לו(1) 81; ד"נ 2/82 </w:t>
      </w:r>
      <w:r w:rsidRPr="00F67CC9">
        <w:rPr>
          <w:rFonts w:cs="Miriam" w:hint="cs"/>
          <w:spacing w:val="0"/>
          <w:rtl/>
        </w:rPr>
        <w:t>רסלר נ' שר הביטחון,</w:t>
      </w:r>
      <w:r w:rsidRPr="00F67CC9">
        <w:rPr>
          <w:rFonts w:cs="FrankRuehl" w:hint="cs"/>
          <w:rtl/>
        </w:rPr>
        <w:t xml:space="preserve"> פ"ד לו(1) 708; בג"ץ 179/82 </w:t>
      </w:r>
      <w:r w:rsidRPr="00F67CC9">
        <w:rPr>
          <w:rFonts w:cs="Miriam" w:hint="cs"/>
          <w:spacing w:val="0"/>
          <w:rtl/>
        </w:rPr>
        <w:t>רסלר נ' שר הביטחון,</w:t>
      </w:r>
      <w:r w:rsidRPr="00F67CC9">
        <w:rPr>
          <w:rFonts w:cs="FrankRuehl" w:hint="cs"/>
          <w:rtl/>
        </w:rPr>
        <w:t xml:space="preserve"> פ"ד לו(4) 421). </w:t>
      </w:r>
    </w:p>
    <w:p w:rsidR="005366A8" w:rsidRPr="00F67CC9" w:rsidRDefault="005366A8" w:rsidP="005366A8">
      <w:pPr>
        <w:pStyle w:val="ruller40"/>
        <w:spacing w:line="240" w:lineRule="auto"/>
        <w:rPr>
          <w:rtl/>
        </w:rPr>
      </w:pPr>
      <w:r w:rsidRPr="00F67CC9">
        <w:rPr>
          <w:rFonts w:cs="FrankRuehl" w:hint="cs"/>
          <w:highlight w:val="yellow"/>
          <w:rtl/>
        </w:rPr>
        <w:t>שינוי בעמדת בית המשפט העליון אירע ב</w:t>
      </w:r>
      <w:r w:rsidRPr="00F67CC9">
        <w:rPr>
          <w:rFonts w:cs="Miriam" w:hint="cs"/>
          <w:spacing w:val="0"/>
          <w:highlight w:val="yellow"/>
          <w:rtl/>
        </w:rPr>
        <w:t>פרשת רסלר 1</w:t>
      </w:r>
      <w:r w:rsidRPr="00F67CC9">
        <w:rPr>
          <w:rFonts w:cs="FrankRuehl" w:hint="cs"/>
          <w:highlight w:val="yellow"/>
          <w:rtl/>
        </w:rPr>
        <w:t>. נקבע בה כי לעותר מעמד בדין וכי עתירתו שפיטה (נורמטיבית ומוסדית). לגוף העתירה נפסק כי דחיית השירות הניתנת על ידי שר הביטחון לתלמידי ישיבות שתורתם אומנותם היא בגדר סמכותו של השר ואינה חורגת ממיתחם הסבירות.</w:t>
      </w:r>
      <w:r w:rsidRPr="00F67CC9">
        <w:rPr>
          <w:rFonts w:cs="FrankRuehl" w:hint="cs"/>
          <w:rtl/>
        </w:rPr>
        <w:t xml:space="preserve"> קביעות אלו התבססו על הנתונים העובדתיים שהוצגו באותה פרשה, לפיהם, מתוך המחזור המתגייס לצה"ל ב-1987 קיבלו 1,674 תלמידי ישיבות דחיית גיוס (כ-5.4% מכלל המחזור). 17,017 תלמידים נמצאו בהסדר של דחיית שירות. עם זאת, כפי שציינו שם, "יש חשיבות, בסופו של חשבון, למספרם של בחורי הישיבה שגיוסם נדחה. קיים גבול, שאותו אין שר ביטחון סביר רשאי לעבור. הכמות עושה איכות" (</w:t>
      </w:r>
      <w:r w:rsidRPr="00F67CC9">
        <w:rPr>
          <w:rFonts w:cs="Miriam" w:hint="cs"/>
          <w:spacing w:val="0"/>
          <w:rtl/>
        </w:rPr>
        <w:t xml:space="preserve">פרשת רסלר 1, </w:t>
      </w:r>
      <w:r w:rsidRPr="00F67CC9">
        <w:rPr>
          <w:rFonts w:cs="FrankRuehl" w:hint="cs"/>
          <w:rtl/>
        </w:rPr>
        <w:t>עמ' 505).  </w:t>
      </w:r>
    </w:p>
    <w:p w:rsidR="005366A8" w:rsidRDefault="005366A8" w:rsidP="005366A8">
      <w:pPr>
        <w:pStyle w:val="ruller40"/>
        <w:spacing w:line="240" w:lineRule="auto"/>
        <w:rPr>
          <w:rFonts w:cs="FrankRuehl"/>
          <w:rtl/>
        </w:rPr>
      </w:pPr>
      <w:r w:rsidRPr="00F67CC9">
        <w:rPr>
          <w:rFonts w:cs="FrankRuehl" w:hint="cs"/>
          <w:rtl/>
        </w:rPr>
        <w:t>3.        בשנת 1997 הוגשה עתירה נוספת לבית המשפט העליון. נטען בה כי הסדר דחיית השירות של תלמידי הישיבות שתורתם אומנותם אינו חוקי (</w:t>
      </w:r>
      <w:r w:rsidRPr="00F67CC9">
        <w:rPr>
          <w:rFonts w:cs="Miriam" w:hint="cs"/>
          <w:rtl/>
        </w:rPr>
        <w:t>פרשת רובינשטיין</w:t>
      </w:r>
      <w:r w:rsidRPr="00F67CC9">
        <w:rPr>
          <w:rFonts w:cs="FrankRuehl" w:hint="cs"/>
          <w:rtl/>
        </w:rPr>
        <w:t xml:space="preserve">). לפי הנתונים שהוצגו בפנינו, חל גידול עקבי במספר תלמידי הישיבות שגיוסם נדחה. </w:t>
      </w:r>
      <w:r w:rsidRPr="00F67CC9">
        <w:rPr>
          <w:rFonts w:cs="FrankRuehl" w:hint="cs"/>
          <w:spacing w:val="0"/>
          <w:rtl/>
        </w:rPr>
        <w:t>נכון לשנת</w:t>
      </w:r>
      <w:r w:rsidRPr="00F67CC9">
        <w:rPr>
          <w:rFonts w:cs="FrankRuehl" w:hint="cs"/>
          <w:rtl/>
        </w:rPr>
        <w:t xml:space="preserve"> 1996 היו 28,547 "דחויי שירות" במעמד תורתו אומנותו. מספרם של המקבלים דחיית שירות מטעם זה עמד על כ-7.4% משנתון הגיוס. </w:t>
      </w:r>
    </w:p>
    <w:p w:rsidR="005366A8" w:rsidRPr="00F67CC9" w:rsidRDefault="005366A8" w:rsidP="005366A8">
      <w:pPr>
        <w:pStyle w:val="ruller40"/>
        <w:spacing w:line="240" w:lineRule="auto"/>
        <w:rPr>
          <w:rFonts w:cs="FrankRuehl"/>
          <w:rtl/>
        </w:rPr>
      </w:pPr>
      <w:r w:rsidRPr="00F67CC9">
        <w:rPr>
          <w:rFonts w:cs="FrankRuehl" w:hint="cs"/>
          <w:highlight w:val="yellow"/>
          <w:rtl/>
        </w:rPr>
        <w:t xml:space="preserve">בפסק דיננו </w:t>
      </w:r>
      <w:r w:rsidRPr="00F67CC9">
        <w:rPr>
          <w:rFonts w:cs="Miriam" w:hint="cs"/>
          <w:highlight w:val="yellow"/>
          <w:rtl/>
        </w:rPr>
        <w:t>בפרשת רובינשטיין</w:t>
      </w:r>
      <w:r w:rsidRPr="00F67CC9">
        <w:rPr>
          <w:rFonts w:cs="FrankRuehl" w:hint="cs"/>
          <w:highlight w:val="yellow"/>
          <w:rtl/>
        </w:rPr>
        <w:t xml:space="preserve"> (שניתן ביום 9.12.1998), התקבלה העתירה. הגענו למסקנה כי שר הביטחון אינו רשאי עוד ליטול לעצמו את הסמכות להכריע בסוגית גיוס תלמידי הישיבות שתורתם אומנותם. צויין בפסק הדין כי הבעיה האידיאולוגית והחברתית הקשורה בגיוסם של תלמידי ישיבות שתורתם אומנותם חייבת למצוא את פתרונה בהסדר ראשוני, כלומר בחוק של הכנסת (</w:t>
      </w:r>
      <w:r w:rsidRPr="00F67CC9">
        <w:rPr>
          <w:rFonts w:cs="Miriam" w:hint="cs"/>
          <w:spacing w:val="0"/>
          <w:highlight w:val="yellow"/>
          <w:rtl/>
        </w:rPr>
        <w:t>שם</w:t>
      </w:r>
      <w:r w:rsidRPr="00F67CC9">
        <w:rPr>
          <w:rFonts w:cs="FrankRuehl" w:hint="cs"/>
          <w:highlight w:val="yellow"/>
          <w:rtl/>
        </w:rPr>
        <w:t>, שם).</w:t>
      </w:r>
      <w:r w:rsidRPr="00F67CC9">
        <w:rPr>
          <w:rFonts w:cs="FrankRuehl" w:hint="cs"/>
          <w:rtl/>
        </w:rPr>
        <w:t xml:space="preserve"> עם זאת, ומתוך שסברנו כי "אין אפשרות מעשית לשנות את המצב הקיים בעניין זה, זמן רב כל כך, מהיום למחר" (</w:t>
      </w:r>
      <w:r w:rsidRPr="00F67CC9">
        <w:rPr>
          <w:rFonts w:cs="Miriam" w:hint="cs"/>
          <w:spacing w:val="0"/>
          <w:rtl/>
        </w:rPr>
        <w:t>שם</w:t>
      </w:r>
      <w:r w:rsidRPr="00F67CC9">
        <w:rPr>
          <w:rFonts w:cs="FrankRuehl" w:hint="cs"/>
          <w:rtl/>
        </w:rPr>
        <w:t>, 530), החלטנו להשעות את תוצאות הכרעתנו לשנה מיום מתן פסק הדין. מטרת ההשעיה הייתה "לאפשר לשר הביטחון או לכנסת לקיים דיון ענייני ומסודר בסוגיה זו, על כל השלכותיה", וכן, להכין את המסגרות הנדרשות לשינוי המצב הקיים אם אכן יוחלט על כך (</w:t>
      </w:r>
      <w:r w:rsidRPr="00F67CC9">
        <w:rPr>
          <w:rFonts w:cs="Miriam" w:hint="cs"/>
          <w:spacing w:val="0"/>
          <w:rtl/>
        </w:rPr>
        <w:t>שם</w:t>
      </w:r>
      <w:r w:rsidRPr="00F67CC9">
        <w:rPr>
          <w:rFonts w:cs="FrankRuehl" w:hint="cs"/>
          <w:rtl/>
        </w:rPr>
        <w:t>, שם).</w:t>
      </w:r>
    </w:p>
    <w:p w:rsidR="005366A8" w:rsidRPr="00F67CC9" w:rsidRDefault="005366A8" w:rsidP="005366A8">
      <w:pPr>
        <w:pStyle w:val="T-body"/>
        <w:spacing w:line="240" w:lineRule="auto"/>
        <w:rPr>
          <w:rFonts w:cs="FrankRuehl"/>
          <w:b/>
          <w:bCs/>
          <w:sz w:val="22"/>
          <w:szCs w:val="22"/>
          <w:rtl/>
        </w:rPr>
      </w:pPr>
      <w:r w:rsidRPr="00F67CC9">
        <w:rPr>
          <w:rFonts w:cs="FrankRuehl" w:hint="cs"/>
          <w:b/>
          <w:bCs/>
          <w:sz w:val="22"/>
          <w:szCs w:val="22"/>
          <w:rtl/>
        </w:rPr>
        <w:t>השלכות פרשת רובינשטיין והליכי החקיקה שבעקבותיה</w:t>
      </w:r>
    </w:p>
    <w:p w:rsidR="005366A8" w:rsidRDefault="005366A8" w:rsidP="005366A8">
      <w:pPr>
        <w:pStyle w:val="T-body"/>
        <w:spacing w:line="240" w:lineRule="auto"/>
        <w:rPr>
          <w:rFonts w:cs="FrankRuehl"/>
          <w:sz w:val="22"/>
          <w:szCs w:val="22"/>
          <w:rtl/>
        </w:rPr>
      </w:pPr>
      <w:r w:rsidRPr="00F67CC9">
        <w:rPr>
          <w:rFonts w:cs="FrankRuehl" w:hint="cs"/>
          <w:sz w:val="22"/>
          <w:szCs w:val="22"/>
          <w:rtl/>
        </w:rPr>
        <w:t> 4.        באוגוסט 1999, מינה ראש הממשלה ושר הביטחון דאז (מר אהוד ברק) ועדה לגיבוש ההסדר הראוי בנושא גיוס תלמידי ישיבות שתורתם אומנותם לצה"ל. בראשות הוועדה עמד שופט בית המשפט העליון (בדימוס) צ' א' טל (להלן – ועדת טל). כן מונו כחברי הוועדה</w:t>
      </w:r>
      <w:r>
        <w:rPr>
          <w:rFonts w:cs="FrankRuehl" w:hint="cs"/>
          <w:sz w:val="22"/>
          <w:szCs w:val="22"/>
          <w:rtl/>
        </w:rPr>
        <w:t>..</w:t>
      </w:r>
    </w:p>
    <w:p w:rsidR="005366A8" w:rsidRPr="00F67CC9" w:rsidRDefault="005366A8" w:rsidP="005366A8">
      <w:pPr>
        <w:pStyle w:val="T-body"/>
        <w:spacing w:line="240" w:lineRule="auto"/>
        <w:rPr>
          <w:rFonts w:cs="FrankRuehl"/>
          <w:sz w:val="22"/>
          <w:szCs w:val="22"/>
          <w:rtl/>
        </w:rPr>
      </w:pPr>
    </w:p>
    <w:p w:rsidR="005366A8" w:rsidRPr="0059427D" w:rsidRDefault="005366A8" w:rsidP="005366A8">
      <w:pPr>
        <w:pStyle w:val="T-body"/>
        <w:spacing w:after="120" w:line="240" w:lineRule="auto"/>
        <w:ind w:left="720"/>
        <w:jc w:val="left"/>
        <w:rPr>
          <w:rFonts w:ascii="Arial" w:hAnsi="Arial" w:cs="Arial"/>
          <w:b/>
          <w:bCs/>
          <w:sz w:val="22"/>
          <w:szCs w:val="22"/>
          <w:rtl/>
        </w:rPr>
      </w:pPr>
      <w:r>
        <w:rPr>
          <w:rFonts w:ascii="Arial" w:hAnsi="Arial" w:cs="Arial" w:hint="cs"/>
          <w:b/>
          <w:bCs/>
          <w:sz w:val="22"/>
          <w:szCs w:val="22"/>
          <w:rtl/>
        </w:rPr>
        <w:t xml:space="preserve">[קבלת "חוק טל": </w:t>
      </w:r>
      <w:r w:rsidRPr="0059427D">
        <w:rPr>
          <w:rFonts w:ascii="Arial" w:hAnsi="Arial" w:cs="Arial"/>
          <w:b/>
          <w:bCs/>
          <w:sz w:val="22"/>
          <w:szCs w:val="22"/>
          <w:rtl/>
        </w:rPr>
        <w:t>חוק דחיית שירות לתלמידי ישיבות שתורתם אומנותם, התשס"ב-2002</w:t>
      </w:r>
      <w:r>
        <w:rPr>
          <w:rFonts w:ascii="Arial" w:hAnsi="Arial" w:cs="Arial" w:hint="cs"/>
          <w:b/>
          <w:bCs/>
          <w:sz w:val="22"/>
          <w:szCs w:val="22"/>
          <w:rtl/>
        </w:rPr>
        <w:t>]</w:t>
      </w:r>
    </w:p>
    <w:p w:rsidR="005366A8" w:rsidRPr="00F67CC9" w:rsidRDefault="005366A8" w:rsidP="005366A8">
      <w:pPr>
        <w:pStyle w:val="T-body"/>
        <w:spacing w:line="240" w:lineRule="auto"/>
        <w:rPr>
          <w:rFonts w:cs="FrankRuehl"/>
          <w:sz w:val="22"/>
          <w:szCs w:val="22"/>
          <w:rtl/>
        </w:rPr>
      </w:pPr>
      <w:r>
        <w:rPr>
          <w:rFonts w:cs="FrankRuehl" w:hint="cs"/>
          <w:sz w:val="22"/>
          <w:szCs w:val="22"/>
          <w:rtl/>
        </w:rPr>
        <w:t>10.</w:t>
      </w:r>
      <w:r>
        <w:rPr>
          <w:rFonts w:cs="FrankRuehl" w:hint="cs"/>
          <w:sz w:val="22"/>
          <w:szCs w:val="22"/>
          <w:rtl/>
        </w:rPr>
        <w:tab/>
      </w:r>
      <w:r w:rsidRPr="00F67CC9">
        <w:rPr>
          <w:rFonts w:cs="FrankRuehl" w:hint="cs"/>
          <w:sz w:val="22"/>
          <w:szCs w:val="22"/>
          <w:rtl/>
        </w:rPr>
        <w:t xml:space="preserve">החוק קובע שבהתקיים תנאים מסוימים, שר הביטחון רשאי להעניק צו דחיית שירות, למשך שנה, לתלמידי ישיבות (סעיפים 2 ו-3 לחוק). עם תנאים אלו נמנים, בין היתר, מכסה מינימאלית של שעות לימוד לתלמיד ישיבה, איסור עבודה בשעות הלימוד בישיבה, תצהיר של תלמיד הישיבה ואישור מראש הישיבה. </w:t>
      </w:r>
    </w:p>
    <w:p w:rsidR="005366A8" w:rsidRPr="00F67CC9" w:rsidRDefault="005366A8" w:rsidP="005366A8">
      <w:pPr>
        <w:pStyle w:val="T-body"/>
        <w:spacing w:line="240" w:lineRule="auto"/>
        <w:rPr>
          <w:rFonts w:cs="FrankRuehl"/>
          <w:sz w:val="22"/>
          <w:szCs w:val="22"/>
          <w:rtl/>
        </w:rPr>
      </w:pPr>
      <w:r w:rsidRPr="00F67CC9">
        <w:rPr>
          <w:rFonts w:cs="FrankRuehl" w:hint="cs"/>
          <w:sz w:val="22"/>
          <w:szCs w:val="22"/>
          <w:highlight w:val="yellow"/>
          <w:rtl/>
        </w:rPr>
        <w:t>החידוש העיקרי בחוק, לעומת המצב שקדם לו, הוא קיומה של "שנת הכרעה"</w:t>
      </w:r>
      <w:r w:rsidRPr="00F67CC9">
        <w:rPr>
          <w:rFonts w:cs="FrankRuehl" w:hint="cs"/>
          <w:sz w:val="22"/>
          <w:szCs w:val="22"/>
          <w:rtl/>
        </w:rPr>
        <w:t xml:space="preserve"> (סעיף 5 לחוק). לפי הסדר זה יכול תלמיד ישיבה שגיוסו נדחה במשך ארבע שנים והוא הגיע לגיל 22, לקבל צו לדחיית גיוס למשך שנה אחת, אפילו לא מתקיימים בו התנאים הרגילים לשם דחיית השירות. </w:t>
      </w:r>
      <w:r w:rsidRPr="00F67CC9">
        <w:rPr>
          <w:rFonts w:cs="FrankRuehl" w:hint="cs"/>
          <w:sz w:val="22"/>
          <w:szCs w:val="22"/>
          <w:highlight w:val="yellow"/>
          <w:rtl/>
        </w:rPr>
        <w:t>לאחר "שנת ההכרעה" יוכל תלמיד הישיבה לבחור האם לשוב למסלול הקודם של לימודים בישיבה – תוך המשך דחיית השירות הצבאי – או שמא להתגייס למסלול של שירות ביטחון.</w:t>
      </w:r>
      <w:r w:rsidRPr="00F67CC9">
        <w:rPr>
          <w:rFonts w:cs="FrankRuehl" w:hint="cs"/>
          <w:sz w:val="22"/>
          <w:szCs w:val="22"/>
          <w:rtl/>
        </w:rPr>
        <w:t xml:space="preserve"> האפשרות לקבל "שנת הכרעה" נתונה לכל תלמיד ישיבה פעם אחת בלבד. </w:t>
      </w:r>
    </w:p>
    <w:p w:rsidR="005366A8" w:rsidRPr="00F67CC9" w:rsidRDefault="005366A8" w:rsidP="005366A8">
      <w:pPr>
        <w:pStyle w:val="T-body"/>
        <w:spacing w:line="240" w:lineRule="auto"/>
        <w:rPr>
          <w:rFonts w:cs="FrankRuehl"/>
          <w:sz w:val="22"/>
          <w:szCs w:val="22"/>
          <w:rtl/>
        </w:rPr>
      </w:pPr>
      <w:r w:rsidRPr="00F67CC9">
        <w:rPr>
          <w:rFonts w:cs="FrankRuehl" w:hint="cs"/>
          <w:sz w:val="22"/>
          <w:szCs w:val="22"/>
          <w:rtl/>
        </w:rPr>
        <w:t xml:space="preserve">בד בבד, קובע החוק מסלול חלופי המיועד לבחורי הישיבה, הוא מסלול של שירות אזרחי (סעיף 6 לחוק). שירות זה הינו חלופי לשירות הצבאי. האפשרות לבחור בו נתונה רק למי ששירותו נדחה במשך ארבע שנים והוא בן 22, והוא עומד ממילא גם לרשות אותם תלמידי ישיבות ששירותם נדחה למשך שנת ההכרעה ובסופה מבקשים הם לשרת שירות אזרחי. </w:t>
      </w:r>
    </w:p>
    <w:p w:rsidR="005366A8" w:rsidRPr="00F67CC9" w:rsidRDefault="005366A8" w:rsidP="005366A8">
      <w:pPr>
        <w:pStyle w:val="T-body"/>
        <w:spacing w:line="240" w:lineRule="auto"/>
        <w:rPr>
          <w:rFonts w:cs="FrankRuehl"/>
          <w:sz w:val="22"/>
          <w:szCs w:val="22"/>
          <w:rtl/>
        </w:rPr>
      </w:pPr>
      <w:r w:rsidRPr="00F67CC9">
        <w:rPr>
          <w:rFonts w:cs="FrankRuehl" w:hint="cs"/>
          <w:sz w:val="22"/>
          <w:szCs w:val="22"/>
          <w:rtl/>
        </w:rPr>
        <w:t xml:space="preserve">כפי שנמסר לנו (בהודעת המשיבים מיום 9.8.2004), ההכרעה בעניין זה בין שירות צבאי ושירות אזרחי תלויה באישור שלטונות צה"ל ואין היא נתונה בידיו של המיועד לשירות ביטחון בלבד. </w:t>
      </w:r>
    </w:p>
    <w:p w:rsidR="005366A8" w:rsidRPr="00F67CC9" w:rsidRDefault="005366A8" w:rsidP="005366A8">
      <w:pPr>
        <w:pStyle w:val="T-body"/>
        <w:spacing w:line="240" w:lineRule="auto"/>
        <w:rPr>
          <w:rFonts w:cs="FrankRuehl"/>
          <w:sz w:val="22"/>
          <w:szCs w:val="22"/>
          <w:rtl/>
        </w:rPr>
      </w:pPr>
      <w:r w:rsidRPr="00F67CC9">
        <w:rPr>
          <w:rFonts w:cs="FrankRuehl" w:hint="cs"/>
          <w:sz w:val="22"/>
          <w:szCs w:val="22"/>
          <w:rtl/>
        </w:rPr>
        <w:t xml:space="preserve">מיועד לשירות ביטחון המשרת שירות אזרחי במשך שנה אחת פטור מחובת שירות סדיר. </w:t>
      </w:r>
    </w:p>
    <w:p w:rsidR="005366A8" w:rsidRPr="00F67CC9" w:rsidRDefault="005366A8" w:rsidP="005366A8">
      <w:pPr>
        <w:pStyle w:val="T-body"/>
        <w:spacing w:line="240" w:lineRule="auto"/>
        <w:rPr>
          <w:rFonts w:cs="FrankRuehl"/>
          <w:sz w:val="22"/>
          <w:szCs w:val="22"/>
          <w:rtl/>
        </w:rPr>
      </w:pPr>
      <w:r w:rsidRPr="00F67CC9">
        <w:rPr>
          <w:rFonts w:cs="FrankRuehl" w:hint="cs"/>
          <w:sz w:val="22"/>
          <w:szCs w:val="22"/>
          <w:rtl/>
        </w:rPr>
        <w:t xml:space="preserve">באופן דומה, שירות אזרחי עשוי להוות תחליף לשירות מילואים בשנה מסוימת. </w:t>
      </w:r>
    </w:p>
    <w:p w:rsidR="005366A8" w:rsidRPr="00F67CC9" w:rsidRDefault="005366A8" w:rsidP="005366A8">
      <w:pPr>
        <w:pStyle w:val="T-body"/>
        <w:spacing w:line="240" w:lineRule="auto"/>
        <w:rPr>
          <w:rFonts w:cs="FrankRuehl"/>
          <w:sz w:val="22"/>
          <w:szCs w:val="22"/>
          <w:rtl/>
        </w:rPr>
      </w:pPr>
      <w:r w:rsidRPr="00F67CC9">
        <w:rPr>
          <w:rFonts w:cs="FrankRuehl" w:hint="cs"/>
          <w:sz w:val="22"/>
          <w:szCs w:val="22"/>
          <w:rtl/>
        </w:rPr>
        <w:t>יש לציין, כי חלופת השירות האזרחי כפופה להתקנת תקנות מתאימות בידי שר העבודה והרווחה, בהסכמת שר הביטחון ושר האוצר. תקנות אלו טרם הותקנו.</w:t>
      </w:r>
    </w:p>
    <w:p w:rsidR="005366A8" w:rsidRDefault="005366A8" w:rsidP="005366A8">
      <w:pPr>
        <w:rPr>
          <w:sz w:val="20"/>
          <w:szCs w:val="20"/>
          <w:rtl/>
        </w:rPr>
      </w:pPr>
    </w:p>
    <w:p w:rsidR="005366A8" w:rsidRDefault="005366A8" w:rsidP="005366A8">
      <w:pPr>
        <w:rPr>
          <w:sz w:val="20"/>
          <w:szCs w:val="20"/>
          <w:rtl/>
        </w:rPr>
      </w:pPr>
      <w:r>
        <w:rPr>
          <w:rFonts w:hint="cs"/>
          <w:sz w:val="20"/>
          <w:szCs w:val="20"/>
          <w:rtl/>
        </w:rPr>
        <w:t>=-=</w:t>
      </w:r>
    </w:p>
    <w:p w:rsidR="005366A8" w:rsidRDefault="005366A8" w:rsidP="005366A8">
      <w:pPr>
        <w:tabs>
          <w:tab w:val="left" w:pos="-720"/>
        </w:tabs>
        <w:rPr>
          <w:rFonts w:cs="David"/>
          <w:sz w:val="20"/>
          <w:szCs w:val="20"/>
          <w:rtl/>
        </w:rPr>
      </w:pPr>
    </w:p>
    <w:p w:rsidR="005366A8" w:rsidRPr="00C01008" w:rsidRDefault="005366A8" w:rsidP="005366A8">
      <w:pPr>
        <w:ind w:right="-284"/>
        <w:rPr>
          <w:rFonts w:ascii="Arial" w:hAnsi="Arial" w:cs="Arial"/>
          <w:sz w:val="18"/>
          <w:szCs w:val="18"/>
          <w:rtl/>
        </w:rPr>
      </w:pPr>
      <w:r w:rsidRPr="00C01008">
        <w:rPr>
          <w:rFonts w:ascii="Arial" w:hAnsi="Arial" w:cs="Arial"/>
          <w:b/>
          <w:bCs/>
          <w:sz w:val="18"/>
          <w:szCs w:val="18"/>
          <w:highlight w:val="yellow"/>
          <w:u w:val="single"/>
          <w:rtl/>
        </w:rPr>
        <w:t>חומר קריאה לפגישה הקרובה</w:t>
      </w:r>
      <w:r w:rsidRPr="00C01008">
        <w:rPr>
          <w:rFonts w:ascii="Arial" w:hAnsi="Arial" w:cs="Arial"/>
          <w:sz w:val="18"/>
          <w:szCs w:val="18"/>
          <w:rtl/>
        </w:rPr>
        <w:t xml:space="preserve"> – קראו בעיון את העמודים שלעיל</w:t>
      </w:r>
      <w:r>
        <w:rPr>
          <w:rFonts w:ascii="Arial" w:hAnsi="Arial" w:cs="Arial" w:hint="cs"/>
          <w:sz w:val="18"/>
          <w:szCs w:val="18"/>
          <w:rtl/>
        </w:rPr>
        <w:t xml:space="preserve"> ואת החומר שלהלן</w:t>
      </w:r>
      <w:r w:rsidRPr="00C01008">
        <w:rPr>
          <w:rFonts w:ascii="Arial" w:hAnsi="Arial" w:cs="Arial"/>
          <w:sz w:val="18"/>
          <w:szCs w:val="18"/>
          <w:rtl/>
        </w:rPr>
        <w:t>.</w:t>
      </w:r>
    </w:p>
    <w:p w:rsidR="005366A8" w:rsidRPr="00C01008" w:rsidRDefault="005366A8" w:rsidP="005366A8">
      <w:pPr>
        <w:ind w:right="-284"/>
        <w:rPr>
          <w:rFonts w:ascii="Arial" w:hAnsi="Arial" w:cs="Arial"/>
          <w:sz w:val="18"/>
          <w:szCs w:val="18"/>
          <w:rtl/>
        </w:rPr>
      </w:pPr>
      <w:r w:rsidRPr="00C01008">
        <w:rPr>
          <w:rFonts w:ascii="Arial" w:hAnsi="Arial" w:cs="Arial"/>
          <w:sz w:val="18"/>
          <w:szCs w:val="18"/>
          <w:rtl/>
        </w:rPr>
        <w:t xml:space="preserve">בשני פסקי הדין המופיעים בסילבוס בעניינו של חוק טל (גיוס בני ישיבות) – פס"ד </w:t>
      </w:r>
      <w:r w:rsidRPr="00C01008">
        <w:rPr>
          <w:rFonts w:ascii="Arial" w:hAnsi="Arial" w:cs="Arial"/>
          <w:b/>
          <w:bCs/>
          <w:sz w:val="18"/>
          <w:szCs w:val="18"/>
          <w:rtl/>
        </w:rPr>
        <w:t>התנועה לאיכות השלטון</w:t>
      </w:r>
      <w:r w:rsidRPr="00C01008">
        <w:rPr>
          <w:rFonts w:ascii="Arial" w:hAnsi="Arial" w:cs="Arial"/>
          <w:sz w:val="18"/>
          <w:szCs w:val="18"/>
          <w:rtl/>
        </w:rPr>
        <w:t xml:space="preserve"> ופס"ד </w:t>
      </w:r>
      <w:r w:rsidRPr="00C01008">
        <w:rPr>
          <w:rFonts w:ascii="Arial" w:hAnsi="Arial" w:cs="Arial"/>
          <w:b/>
          <w:bCs/>
          <w:sz w:val="18"/>
          <w:szCs w:val="18"/>
          <w:rtl/>
        </w:rPr>
        <w:t xml:space="preserve">רסלר </w:t>
      </w:r>
      <w:r>
        <w:rPr>
          <w:rFonts w:ascii="Arial" w:hAnsi="Arial" w:cs="Arial" w:hint="cs"/>
          <w:sz w:val="18"/>
          <w:szCs w:val="18"/>
          <w:rtl/>
        </w:rPr>
        <w:t xml:space="preserve">- אתם מופנים לפסקאות מסוימות בתוכם. בפסקאות אלו </w:t>
      </w:r>
      <w:r w:rsidRPr="00C01008">
        <w:rPr>
          <w:rFonts w:ascii="Arial" w:hAnsi="Arial" w:cs="Arial"/>
          <w:sz w:val="18"/>
          <w:szCs w:val="18"/>
          <w:rtl/>
        </w:rPr>
        <w:t>מופיע ויכוח בין השופט גרוניס (נשיא בית המשפט העליון דהיום) לבין רוב השופטים. קראו את הקטעים המסוימים אליהם אתם מופנים ונסו להתעמק בויכוח זה.</w:t>
      </w:r>
      <w:r>
        <w:rPr>
          <w:rFonts w:ascii="Arial" w:hAnsi="Arial" w:cs="Arial" w:hint="cs"/>
          <w:sz w:val="18"/>
          <w:szCs w:val="18"/>
          <w:rtl/>
        </w:rPr>
        <w:t xml:space="preserve"> </w:t>
      </w:r>
      <w:r w:rsidRPr="000672AE">
        <w:rPr>
          <w:rFonts w:ascii="Arial" w:hAnsi="Arial" w:cs="Arial" w:hint="cs"/>
          <w:sz w:val="18"/>
          <w:szCs w:val="18"/>
          <w:u w:val="single"/>
          <w:rtl/>
        </w:rPr>
        <w:t>מהו לב הויכוח? מהי עמדתכם בו?</w:t>
      </w:r>
    </w:p>
    <w:p w:rsidR="005366A8" w:rsidRPr="00C01008" w:rsidRDefault="005366A8" w:rsidP="005366A8">
      <w:pPr>
        <w:ind w:right="-284"/>
        <w:rPr>
          <w:rFonts w:ascii="Arial" w:hAnsi="Arial" w:cs="Arial"/>
          <w:sz w:val="18"/>
          <w:szCs w:val="18"/>
          <w:rtl/>
        </w:rPr>
      </w:pPr>
      <w:r w:rsidRPr="00C01008">
        <w:rPr>
          <w:rFonts w:ascii="Arial" w:hAnsi="Arial" w:cs="Arial"/>
          <w:sz w:val="18"/>
          <w:szCs w:val="18"/>
          <w:rtl/>
        </w:rPr>
        <w:t>בעמודים שלעיל מצויה הצגת דברים קצרה ביחס לחוק טל</w:t>
      </w:r>
      <w:r>
        <w:rPr>
          <w:rFonts w:ascii="Arial" w:hAnsi="Arial" w:cs="Arial" w:hint="cs"/>
          <w:sz w:val="18"/>
          <w:szCs w:val="18"/>
          <w:rtl/>
        </w:rPr>
        <w:t>, שתהיה רקע טוב להבנת אותן פסקאות</w:t>
      </w:r>
      <w:r w:rsidRPr="00C01008">
        <w:rPr>
          <w:rFonts w:ascii="Arial" w:hAnsi="Arial" w:cs="Arial"/>
          <w:sz w:val="18"/>
          <w:szCs w:val="18"/>
          <w:rtl/>
        </w:rPr>
        <w:t>.</w:t>
      </w:r>
    </w:p>
    <w:p w:rsidR="005366A8" w:rsidRDefault="005366A8" w:rsidP="005366A8">
      <w:pPr>
        <w:rPr>
          <w:rFonts w:ascii="Arial" w:hAnsi="Arial" w:cs="Arial"/>
          <w:sz w:val="18"/>
          <w:szCs w:val="18"/>
          <w:rtl/>
        </w:rPr>
      </w:pPr>
    </w:p>
    <w:p w:rsidR="005366A8" w:rsidRDefault="005366A8" w:rsidP="005366A8">
      <w:pPr>
        <w:rPr>
          <w:rFonts w:ascii="Arial" w:hAnsi="Arial" w:cs="Arial"/>
          <w:sz w:val="18"/>
          <w:szCs w:val="18"/>
          <w:rtl/>
        </w:rPr>
      </w:pPr>
      <w:r>
        <w:rPr>
          <w:rFonts w:ascii="Arial" w:hAnsi="Arial" w:cs="Arial" w:hint="cs"/>
          <w:sz w:val="18"/>
          <w:szCs w:val="18"/>
          <w:rtl/>
        </w:rPr>
        <w:t xml:space="preserve">כמו כן </w:t>
      </w:r>
      <w:r w:rsidRPr="00C01008">
        <w:rPr>
          <w:rFonts w:ascii="Arial" w:hAnsi="Arial" w:cs="Arial"/>
          <w:sz w:val="18"/>
          <w:szCs w:val="18"/>
          <w:rtl/>
        </w:rPr>
        <w:t>קראו את חוק יסוד: כבוד האדם וחירותו ואת חוק יסוד: חופש העיסוק</w:t>
      </w:r>
      <w:r>
        <w:rPr>
          <w:rFonts w:ascii="Arial" w:hAnsi="Arial" w:cs="Arial" w:hint="cs"/>
          <w:sz w:val="18"/>
          <w:szCs w:val="18"/>
          <w:rtl/>
        </w:rPr>
        <w:t xml:space="preserve">, וכן </w:t>
      </w:r>
      <w:r w:rsidRPr="00C01008">
        <w:rPr>
          <w:rFonts w:ascii="Arial" w:hAnsi="Arial" w:cs="Arial"/>
          <w:sz w:val="18"/>
          <w:szCs w:val="18"/>
          <w:rtl/>
        </w:rPr>
        <w:t xml:space="preserve">עיינו (להבדיל מקריאה מדוקדקת) בכל חוקי היסוד. </w:t>
      </w:r>
    </w:p>
    <w:p w:rsidR="005366A8" w:rsidRPr="00C01008" w:rsidRDefault="005366A8" w:rsidP="005366A8">
      <w:pPr>
        <w:rPr>
          <w:rFonts w:ascii="Arial" w:hAnsi="Arial" w:cs="Arial"/>
          <w:sz w:val="18"/>
          <w:szCs w:val="18"/>
          <w:rtl/>
        </w:rPr>
      </w:pPr>
      <w:r w:rsidRPr="00C01008">
        <w:rPr>
          <w:rFonts w:ascii="Arial" w:hAnsi="Arial" w:cs="Arial"/>
          <w:sz w:val="18"/>
          <w:szCs w:val="18"/>
          <w:rtl/>
        </w:rPr>
        <w:t>מהם המוסדות והנושאים המרכזיים המטופלים בהם?</w:t>
      </w:r>
    </w:p>
    <w:p w:rsidR="005366A8" w:rsidRDefault="005366A8">
      <w:pPr>
        <w:bidi w:val="0"/>
        <w:jc w:val="left"/>
        <w:rPr>
          <w:sz w:val="22"/>
          <w:szCs w:val="22"/>
          <w:rtl/>
        </w:rPr>
      </w:pPr>
      <w:r>
        <w:rPr>
          <w:sz w:val="22"/>
          <w:szCs w:val="22"/>
          <w:rtl/>
        </w:rPr>
        <w:br w:type="page"/>
      </w:r>
    </w:p>
    <w:p w:rsidR="005366A8" w:rsidRPr="001C6701" w:rsidRDefault="005366A8" w:rsidP="005366A8">
      <w:pPr>
        <w:spacing w:after="240"/>
        <w:jc w:val="right"/>
        <w:rPr>
          <w:sz w:val="22"/>
          <w:szCs w:val="22"/>
          <w:rtl/>
        </w:rPr>
      </w:pPr>
      <w:r w:rsidRPr="007F6E4F">
        <w:rPr>
          <w:rFonts w:hint="cs"/>
          <w:b/>
          <w:bCs/>
          <w:sz w:val="22"/>
          <w:szCs w:val="22"/>
          <w:rtl/>
        </w:rPr>
        <w:t>משפט ציבורי</w:t>
      </w:r>
      <w:r>
        <w:rPr>
          <w:rFonts w:hint="cs"/>
          <w:sz w:val="22"/>
          <w:szCs w:val="22"/>
          <w:rtl/>
        </w:rPr>
        <w:t xml:space="preserve">, </w:t>
      </w:r>
      <w:r w:rsidRPr="00C4131E">
        <w:rPr>
          <w:rFonts w:hint="cs"/>
          <w:i/>
          <w:iCs/>
          <w:sz w:val="22"/>
          <w:szCs w:val="22"/>
          <w:rtl/>
        </w:rPr>
        <w:t>תשע"</w:t>
      </w:r>
      <w:r>
        <w:rPr>
          <w:rFonts w:hint="cs"/>
          <w:i/>
          <w:iCs/>
          <w:sz w:val="22"/>
          <w:szCs w:val="22"/>
          <w:rtl/>
        </w:rPr>
        <w:t>ה</w:t>
      </w:r>
      <w:r>
        <w:rPr>
          <w:rFonts w:hint="cs"/>
          <w:sz w:val="22"/>
          <w:szCs w:val="22"/>
          <w:rtl/>
        </w:rPr>
        <w:t xml:space="preserve">, </w:t>
      </w:r>
      <w:r w:rsidRPr="007F6E4F">
        <w:rPr>
          <w:rFonts w:hint="cs"/>
          <w:b/>
          <w:bCs/>
          <w:sz w:val="22"/>
          <w:szCs w:val="22"/>
          <w:rtl/>
        </w:rPr>
        <w:t>סמסטר א',</w:t>
      </w:r>
      <w:r>
        <w:rPr>
          <w:rFonts w:hint="cs"/>
          <w:sz w:val="22"/>
          <w:szCs w:val="22"/>
          <w:rtl/>
        </w:rPr>
        <w:t xml:space="preserve"> ד"ר אילן סבן, נובמבר 2014, </w:t>
      </w:r>
      <w:r w:rsidRPr="005366A8">
        <w:rPr>
          <w:rFonts w:hint="cs"/>
          <w:b/>
          <w:bCs/>
          <w:i/>
          <w:iCs/>
          <w:sz w:val="22"/>
          <w:szCs w:val="22"/>
          <w:highlight w:val="magenta"/>
          <w:u w:val="single"/>
          <w:rtl/>
        </w:rPr>
        <w:t>פגישה 9</w:t>
      </w:r>
    </w:p>
    <w:p w:rsidR="005366A8" w:rsidRPr="00CF1617" w:rsidRDefault="005366A8" w:rsidP="005366A8">
      <w:pPr>
        <w:jc w:val="center"/>
        <w:rPr>
          <w:rFonts w:ascii="Arial" w:hAnsi="Arial" w:cs="Guttman-Soncino"/>
          <w:b/>
          <w:bCs/>
          <w:sz w:val="32"/>
          <w:szCs w:val="32"/>
          <w:highlight w:val="yellow"/>
          <w:rtl/>
        </w:rPr>
      </w:pPr>
      <w:r w:rsidRPr="00CF1617">
        <w:rPr>
          <w:rFonts w:ascii="Arial" w:hAnsi="Arial" w:cs="Guttman-Soncino"/>
          <w:b/>
          <w:bCs/>
          <w:sz w:val="32"/>
          <w:szCs w:val="32"/>
          <w:highlight w:val="yellow"/>
          <w:rtl/>
        </w:rPr>
        <w:t>החוקה הפורמ</w:t>
      </w:r>
      <w:r w:rsidRPr="00CF1617">
        <w:rPr>
          <w:rFonts w:ascii="Arial" w:hAnsi="Arial" w:cs="Guttman-Soncino" w:hint="cs"/>
          <w:b/>
          <w:bCs/>
          <w:sz w:val="32"/>
          <w:szCs w:val="32"/>
          <w:highlight w:val="yellow"/>
          <w:rtl/>
        </w:rPr>
        <w:t>א</w:t>
      </w:r>
      <w:r w:rsidRPr="00CF1617">
        <w:rPr>
          <w:rFonts w:ascii="Arial" w:hAnsi="Arial" w:cs="Guttman-Soncino"/>
          <w:b/>
          <w:bCs/>
          <w:sz w:val="32"/>
          <w:szCs w:val="32"/>
          <w:highlight w:val="yellow"/>
          <w:rtl/>
        </w:rPr>
        <w:t>לית של ישראל</w:t>
      </w:r>
      <w:r w:rsidRPr="00CF1617">
        <w:rPr>
          <w:rFonts w:ascii="Arial" w:hAnsi="Arial" w:cs="Guttman-Soncino" w:hint="cs"/>
          <w:b/>
          <w:bCs/>
          <w:sz w:val="32"/>
          <w:szCs w:val="32"/>
          <w:highlight w:val="yellow"/>
          <w:rtl/>
        </w:rPr>
        <w:t>: חוקי היסו</w:t>
      </w:r>
      <w:r>
        <w:rPr>
          <w:rFonts w:ascii="Arial" w:hAnsi="Arial" w:cs="Guttman-Soncino" w:hint="cs"/>
          <w:b/>
          <w:bCs/>
          <w:sz w:val="32"/>
          <w:szCs w:val="32"/>
          <w:highlight w:val="yellow"/>
          <w:rtl/>
        </w:rPr>
        <w:t>ד שלה</w:t>
      </w:r>
    </w:p>
    <w:p w:rsidR="005366A8" w:rsidRDefault="005366A8" w:rsidP="005366A8">
      <w:pPr>
        <w:spacing w:after="60"/>
        <w:rPr>
          <w:b/>
          <w:bCs/>
          <w:highlight w:val="yellow"/>
          <w:rtl/>
        </w:rPr>
      </w:pPr>
    </w:p>
    <w:p w:rsidR="005366A8" w:rsidRDefault="005366A8" w:rsidP="005366A8">
      <w:pPr>
        <w:spacing w:after="60"/>
        <w:rPr>
          <w:b/>
          <w:bCs/>
          <w:highlight w:val="yellow"/>
          <w:rtl/>
        </w:rPr>
      </w:pPr>
      <w:r>
        <w:rPr>
          <w:rFonts w:hint="cs"/>
          <w:b/>
          <w:bCs/>
          <w:highlight w:val="yellow"/>
          <w:rtl/>
        </w:rPr>
        <w:t>המשך קצר לדיון בטעמים בעד ונגד חוקה פורמאלית</w:t>
      </w:r>
    </w:p>
    <w:p w:rsidR="005366A8" w:rsidRPr="00A72273" w:rsidRDefault="005366A8" w:rsidP="005366A8">
      <w:pPr>
        <w:spacing w:after="60"/>
        <w:rPr>
          <w:b/>
          <w:bCs/>
          <w:sz w:val="20"/>
          <w:szCs w:val="20"/>
          <w:rtl/>
        </w:rPr>
      </w:pPr>
      <w:r w:rsidRPr="00A72273">
        <w:rPr>
          <w:rFonts w:hint="cs"/>
          <w:b/>
          <w:bCs/>
          <w:sz w:val="20"/>
          <w:szCs w:val="20"/>
          <w:rtl/>
        </w:rPr>
        <w:t>שורה של טיעונים.</w:t>
      </w:r>
    </w:p>
    <w:p w:rsidR="005366A8" w:rsidRDefault="005366A8" w:rsidP="005366A8">
      <w:pPr>
        <w:spacing w:after="60"/>
        <w:rPr>
          <w:b/>
          <w:bCs/>
          <w:sz w:val="20"/>
          <w:szCs w:val="20"/>
          <w:rtl/>
        </w:rPr>
      </w:pPr>
      <w:r w:rsidRPr="00A72273">
        <w:rPr>
          <w:rFonts w:hint="cs"/>
          <w:b/>
          <w:bCs/>
          <w:sz w:val="20"/>
          <w:szCs w:val="20"/>
          <w:rtl/>
        </w:rPr>
        <w:t>אתעכב כאן רק על אחד שלא התעכבתי עליו מספיק בסוף הדיון בכיתה בפגישה הקודמת</w:t>
      </w:r>
      <w:r>
        <w:rPr>
          <w:rFonts w:hint="cs"/>
          <w:b/>
          <w:bCs/>
          <w:sz w:val="20"/>
          <w:szCs w:val="20"/>
          <w:rtl/>
        </w:rPr>
        <w:t>. טיעון זה כרוך בנקודה הבאה:</w:t>
      </w:r>
    </w:p>
    <w:p w:rsidR="005366A8" w:rsidRDefault="005366A8" w:rsidP="005366A8">
      <w:pPr>
        <w:spacing w:after="60"/>
        <w:ind w:left="720"/>
        <w:rPr>
          <w:rFonts w:ascii="Arial" w:hAnsi="Arial" w:cs="Guttman-Soncino"/>
          <w:b/>
          <w:bCs/>
          <w:sz w:val="20"/>
          <w:szCs w:val="20"/>
          <w:highlight w:val="yellow"/>
          <w:rtl/>
        </w:rPr>
      </w:pPr>
      <w:r>
        <w:rPr>
          <w:rFonts w:ascii="Arial" w:hAnsi="Arial" w:cs="Guttman-Soncino" w:hint="cs"/>
          <w:b/>
          <w:bCs/>
          <w:sz w:val="20"/>
          <w:szCs w:val="20"/>
          <w:highlight w:val="yellow"/>
          <w:rtl/>
        </w:rPr>
        <w:t xml:space="preserve">חשיבות </w:t>
      </w:r>
      <w:r w:rsidRPr="00195DCD">
        <w:rPr>
          <w:rFonts w:ascii="Arial" w:hAnsi="Arial" w:cs="Guttman-Soncino" w:hint="cs"/>
          <w:b/>
          <w:bCs/>
          <w:sz w:val="20"/>
          <w:szCs w:val="20"/>
          <w:highlight w:val="yellow"/>
          <w:rtl/>
        </w:rPr>
        <w:t xml:space="preserve">ההבחנה בין שני סוגים של הכרעות: "הכרעות שוטפות/ תלויות-העדפות" </w:t>
      </w:r>
      <w:r w:rsidRPr="00195DCD">
        <w:rPr>
          <w:rFonts w:ascii="Arial" w:hAnsi="Arial" w:cs="Guttman-Soncino" w:hint="cs"/>
          <w:b/>
          <w:bCs/>
          <w:sz w:val="20"/>
          <w:szCs w:val="20"/>
          <w:highlight w:val="yellow"/>
        </w:rPr>
        <w:t>V</w:t>
      </w:r>
      <w:r w:rsidRPr="00195DCD">
        <w:rPr>
          <w:rFonts w:ascii="Arial" w:hAnsi="Arial" w:cs="Guttman-Soncino" w:hint="cs"/>
          <w:b/>
          <w:bCs/>
          <w:sz w:val="20"/>
          <w:szCs w:val="20"/>
          <w:highlight w:val="yellow"/>
          <w:rtl/>
        </w:rPr>
        <w:t xml:space="preserve"> "הכרעות מסוג מיוחד";</w:t>
      </w:r>
      <w:r>
        <w:rPr>
          <w:rFonts w:ascii="Arial" w:hAnsi="Arial" w:cs="Guttman-Soncino" w:hint="cs"/>
          <w:b/>
          <w:bCs/>
          <w:sz w:val="20"/>
          <w:szCs w:val="20"/>
          <w:highlight w:val="yellow"/>
          <w:rtl/>
        </w:rPr>
        <w:t xml:space="preserve"> </w:t>
      </w:r>
    </w:p>
    <w:p w:rsidR="005366A8" w:rsidRDefault="005366A8" w:rsidP="005366A8">
      <w:pPr>
        <w:spacing w:after="60"/>
        <w:ind w:left="720"/>
        <w:rPr>
          <w:b/>
          <w:bCs/>
          <w:highlight w:val="yellow"/>
          <w:rtl/>
        </w:rPr>
      </w:pPr>
      <w:r w:rsidRPr="00195DCD">
        <w:rPr>
          <w:rFonts w:ascii="Arial" w:hAnsi="Arial" w:cs="Guttman-Soncino" w:hint="cs"/>
          <w:b/>
          <w:bCs/>
          <w:sz w:val="20"/>
          <w:szCs w:val="20"/>
          <w:highlight w:val="yellow"/>
          <w:rtl/>
        </w:rPr>
        <w:t>ושאלת טיבו של המוסד שאמור לפקח על קו-ההבחנה בין שני סוגי ההכרעות, וזה שאמור לפקח על המנגנונים המלווים את ההכרעות מהסוג המיוחד</w:t>
      </w:r>
    </w:p>
    <w:p w:rsidR="005366A8" w:rsidRDefault="005366A8" w:rsidP="005366A8">
      <w:pPr>
        <w:pStyle w:val="T-body"/>
        <w:spacing w:after="60" w:line="240" w:lineRule="auto"/>
        <w:rPr>
          <w:sz w:val="20"/>
          <w:szCs w:val="20"/>
          <w:rtl/>
        </w:rPr>
      </w:pPr>
      <w:r w:rsidRPr="00F842A7">
        <w:rPr>
          <w:rFonts w:hint="cs"/>
          <w:b/>
          <w:bCs/>
          <w:sz w:val="20"/>
          <w:szCs w:val="20"/>
          <w:highlight w:val="yellow"/>
          <w:rtl/>
        </w:rPr>
        <w:t>זהו הטיעון:</w:t>
      </w:r>
      <w:r w:rsidRPr="00F842A7">
        <w:rPr>
          <w:rFonts w:hint="cs"/>
          <w:b/>
          <w:bCs/>
          <w:sz w:val="20"/>
          <w:szCs w:val="20"/>
          <w:rtl/>
        </w:rPr>
        <w:t xml:space="preserve"> </w:t>
      </w:r>
      <w:r w:rsidRPr="00A72273">
        <w:rPr>
          <w:rFonts w:hint="cs"/>
          <w:b/>
          <w:bCs/>
          <w:sz w:val="20"/>
          <w:szCs w:val="20"/>
          <w:u w:val="single"/>
          <w:rtl/>
        </w:rPr>
        <w:t>הכשל הרובני ("הטיעון האנטי-רובני")</w:t>
      </w:r>
      <w:r w:rsidRPr="000617B8">
        <w:rPr>
          <w:rFonts w:hint="cs"/>
          <w:b/>
          <w:bCs/>
          <w:sz w:val="20"/>
          <w:szCs w:val="20"/>
          <w:rtl/>
        </w:rPr>
        <w:t xml:space="preserve">.  </w:t>
      </w:r>
    </w:p>
    <w:p w:rsidR="005366A8" w:rsidRPr="000617B8" w:rsidRDefault="005366A8" w:rsidP="005366A8">
      <w:pPr>
        <w:pStyle w:val="T-body"/>
        <w:spacing w:after="60" w:line="240" w:lineRule="auto"/>
        <w:rPr>
          <w:sz w:val="20"/>
          <w:szCs w:val="20"/>
          <w:rtl/>
        </w:rPr>
      </w:pPr>
      <w:r>
        <w:rPr>
          <w:rFonts w:hint="cs"/>
          <w:sz w:val="20"/>
          <w:szCs w:val="20"/>
          <w:rtl/>
        </w:rPr>
        <w:t>ט</w:t>
      </w:r>
      <w:r w:rsidRPr="000617B8">
        <w:rPr>
          <w:sz w:val="20"/>
          <w:szCs w:val="20"/>
          <w:rtl/>
        </w:rPr>
        <w:t xml:space="preserve">יעון </w:t>
      </w:r>
      <w:r>
        <w:rPr>
          <w:rFonts w:hint="cs"/>
          <w:sz w:val="20"/>
          <w:szCs w:val="20"/>
          <w:rtl/>
        </w:rPr>
        <w:t>זה</w:t>
      </w:r>
      <w:r w:rsidRPr="000617B8">
        <w:rPr>
          <w:sz w:val="20"/>
          <w:szCs w:val="20"/>
          <w:rtl/>
        </w:rPr>
        <w:t xml:space="preserve"> נובע מהתפיסה, כי הפרוצדורות הדמוקרטיות הן אמנם תנאי הכרחי לדמוקרטיה אך לא תנאי מספיק.  </w:t>
      </w:r>
    </w:p>
    <w:p w:rsidR="005366A8" w:rsidRPr="000617B8" w:rsidRDefault="005366A8" w:rsidP="005366A8">
      <w:pPr>
        <w:tabs>
          <w:tab w:val="left" w:pos="-720"/>
        </w:tabs>
        <w:spacing w:after="60"/>
        <w:rPr>
          <w:sz w:val="20"/>
          <w:szCs w:val="20"/>
          <w:rtl/>
        </w:rPr>
      </w:pPr>
      <w:r>
        <w:rPr>
          <w:rFonts w:hint="cs"/>
          <w:sz w:val="20"/>
          <w:szCs w:val="20"/>
          <w:rtl/>
        </w:rPr>
        <w:t xml:space="preserve">וזה תוכנו של הטיעון: </w:t>
      </w:r>
      <w:r w:rsidRPr="000617B8">
        <w:rPr>
          <w:sz w:val="20"/>
          <w:szCs w:val="20"/>
          <w:rtl/>
        </w:rPr>
        <w:t xml:space="preserve">הבעייתיות </w:t>
      </w:r>
      <w:r>
        <w:rPr>
          <w:rFonts w:hint="cs"/>
          <w:sz w:val="20"/>
          <w:szCs w:val="20"/>
          <w:rtl/>
        </w:rPr>
        <w:t xml:space="preserve">שאכן </w:t>
      </w:r>
      <w:r w:rsidRPr="000617B8">
        <w:rPr>
          <w:sz w:val="20"/>
          <w:szCs w:val="20"/>
          <w:rtl/>
        </w:rPr>
        <w:t xml:space="preserve">מתעוררת על ידי </w:t>
      </w:r>
      <w:r w:rsidRPr="000617B8">
        <w:rPr>
          <w:rFonts w:hint="cs"/>
          <w:sz w:val="20"/>
          <w:szCs w:val="20"/>
          <w:rtl/>
        </w:rPr>
        <w:t>חוקה וביקורת שיפוטית</w:t>
      </w:r>
      <w:r>
        <w:rPr>
          <w:rFonts w:hint="cs"/>
          <w:sz w:val="20"/>
          <w:szCs w:val="20"/>
          <w:rtl/>
        </w:rPr>
        <w:t xml:space="preserve"> (קרי הסטייה מ"עקרון הרוב")</w:t>
      </w:r>
      <w:r w:rsidRPr="000617B8">
        <w:rPr>
          <w:rFonts w:hint="cs"/>
          <w:sz w:val="20"/>
          <w:szCs w:val="20"/>
          <w:rtl/>
        </w:rPr>
        <w:t xml:space="preserve">, היא בעייתיות הכרחית בחשבון אחרון. זאת משום שהחוקה מהווה דרך התמודדות מרכזית </w:t>
      </w:r>
      <w:r w:rsidRPr="000617B8">
        <w:rPr>
          <w:sz w:val="20"/>
          <w:szCs w:val="20"/>
          <w:rtl/>
        </w:rPr>
        <w:t>עם</w:t>
      </w:r>
      <w:r w:rsidRPr="000617B8">
        <w:rPr>
          <w:rFonts w:hint="cs"/>
          <w:sz w:val="20"/>
          <w:szCs w:val="20"/>
          <w:rtl/>
        </w:rPr>
        <w:t xml:space="preserve"> הבעיה </w:t>
      </w:r>
      <w:r>
        <w:rPr>
          <w:rFonts w:hint="cs"/>
          <w:sz w:val="20"/>
          <w:szCs w:val="20"/>
          <w:rtl/>
        </w:rPr>
        <w:t xml:space="preserve">שקשה לעוקפה, </w:t>
      </w:r>
      <w:r w:rsidRPr="000617B8">
        <w:rPr>
          <w:rFonts w:hint="cs"/>
          <w:sz w:val="20"/>
          <w:szCs w:val="20"/>
          <w:rtl/>
        </w:rPr>
        <w:t xml:space="preserve">הטמונה בהישענות-יתר על עקרון הרוב. </w:t>
      </w:r>
      <w:r w:rsidRPr="00F842A7">
        <w:rPr>
          <w:rFonts w:hint="cs"/>
          <w:sz w:val="20"/>
          <w:szCs w:val="20"/>
          <w:highlight w:val="yellow"/>
          <w:rtl/>
        </w:rPr>
        <w:t>חוקה מגיבה (בין היתר) ל</w:t>
      </w:r>
      <w:r w:rsidRPr="00F842A7">
        <w:rPr>
          <w:b/>
          <w:bCs/>
          <w:sz w:val="20"/>
          <w:szCs w:val="20"/>
          <w:highlight w:val="yellow"/>
          <w:rtl/>
        </w:rPr>
        <w:t>חשש מפני "עושק המיעוט"/ "דיקטטורה של הרוב"</w:t>
      </w:r>
      <w:r w:rsidRPr="00F842A7">
        <w:rPr>
          <w:rFonts w:hint="cs"/>
          <w:b/>
          <w:bCs/>
          <w:sz w:val="20"/>
          <w:szCs w:val="20"/>
          <w:highlight w:val="yellow"/>
          <w:rtl/>
        </w:rPr>
        <w:t>.</w:t>
      </w:r>
      <w:r w:rsidRPr="000617B8">
        <w:rPr>
          <w:sz w:val="20"/>
          <w:szCs w:val="20"/>
          <w:rtl/>
        </w:rPr>
        <w:t xml:space="preserve"> </w:t>
      </w:r>
    </w:p>
    <w:p w:rsidR="005366A8" w:rsidRPr="000617B8" w:rsidRDefault="005366A8" w:rsidP="005366A8">
      <w:pPr>
        <w:tabs>
          <w:tab w:val="left" w:pos="-720"/>
        </w:tabs>
        <w:spacing w:after="60"/>
        <w:rPr>
          <w:sz w:val="20"/>
          <w:szCs w:val="20"/>
          <w:rtl/>
        </w:rPr>
      </w:pPr>
      <w:r w:rsidRPr="000617B8">
        <w:rPr>
          <w:rFonts w:hint="cs"/>
          <w:sz w:val="20"/>
          <w:szCs w:val="20"/>
          <w:rtl/>
        </w:rPr>
        <w:t xml:space="preserve">         [</w:t>
      </w:r>
      <w:r w:rsidRPr="000617B8">
        <w:rPr>
          <w:sz w:val="20"/>
          <w:szCs w:val="20"/>
          <w:rtl/>
        </w:rPr>
        <w:t>חשש זה מתעצם מאד במדינות שסועות דוגמת ישראל: מדינות בהן "מיעוטים כרוניים/ מיעוטים קבועים" המצויים במתח ממשי עם קהילת הרוב.</w:t>
      </w:r>
      <w:r w:rsidRPr="000617B8">
        <w:rPr>
          <w:rFonts w:hint="cs"/>
          <w:sz w:val="20"/>
          <w:szCs w:val="20"/>
          <w:rtl/>
        </w:rPr>
        <w:t>]</w:t>
      </w:r>
      <w:r w:rsidRPr="000617B8">
        <w:rPr>
          <w:sz w:val="20"/>
          <w:szCs w:val="20"/>
          <w:rtl/>
        </w:rPr>
        <w:t xml:space="preserve"> </w:t>
      </w:r>
    </w:p>
    <w:p w:rsidR="005366A8" w:rsidRPr="000617B8" w:rsidRDefault="005366A8" w:rsidP="005366A8">
      <w:pPr>
        <w:tabs>
          <w:tab w:val="left" w:pos="-720"/>
        </w:tabs>
        <w:spacing w:after="60"/>
        <w:rPr>
          <w:sz w:val="20"/>
          <w:szCs w:val="20"/>
          <w:rtl/>
        </w:rPr>
      </w:pPr>
      <w:r w:rsidRPr="000617B8">
        <w:rPr>
          <w:sz w:val="20"/>
          <w:szCs w:val="20"/>
          <w:rtl/>
        </w:rPr>
        <w:t xml:space="preserve">טיעון זה </w:t>
      </w:r>
      <w:r w:rsidRPr="000617B8">
        <w:rPr>
          <w:rFonts w:hint="cs"/>
          <w:sz w:val="20"/>
          <w:szCs w:val="20"/>
          <w:rtl/>
        </w:rPr>
        <w:t>נגזר מ</w:t>
      </w:r>
      <w:r w:rsidRPr="000617B8">
        <w:rPr>
          <w:sz w:val="20"/>
          <w:szCs w:val="20"/>
          <w:rtl/>
        </w:rPr>
        <w:t>לב התיאוריה הדמוקרטית</w:t>
      </w:r>
      <w:r w:rsidRPr="000617B8">
        <w:rPr>
          <w:rFonts w:hint="cs"/>
          <w:sz w:val="20"/>
          <w:szCs w:val="20"/>
          <w:rtl/>
        </w:rPr>
        <w:t>-הליברלית</w:t>
      </w:r>
      <w:r w:rsidRPr="000617B8">
        <w:rPr>
          <w:sz w:val="20"/>
          <w:szCs w:val="20"/>
          <w:rtl/>
        </w:rPr>
        <w:t xml:space="preserve">.  </w:t>
      </w:r>
    </w:p>
    <w:p w:rsidR="005366A8" w:rsidRPr="000617B8" w:rsidRDefault="005366A8" w:rsidP="005366A8">
      <w:pPr>
        <w:tabs>
          <w:tab w:val="left" w:pos="-720"/>
        </w:tabs>
        <w:spacing w:after="60"/>
        <w:rPr>
          <w:b/>
          <w:bCs/>
          <w:sz w:val="20"/>
          <w:szCs w:val="20"/>
          <w:rtl/>
        </w:rPr>
      </w:pPr>
      <w:r>
        <w:rPr>
          <w:rFonts w:hint="cs"/>
          <w:sz w:val="20"/>
          <w:szCs w:val="20"/>
          <w:rtl/>
        </w:rPr>
        <w:t xml:space="preserve">תיאוריה </w:t>
      </w:r>
      <w:r w:rsidRPr="000617B8">
        <w:rPr>
          <w:sz w:val="20"/>
          <w:szCs w:val="20"/>
          <w:rtl/>
        </w:rPr>
        <w:t>זו בנויה על יסוד/ יסודות שמכילים מתח מובנה.  מדובר ב</w:t>
      </w:r>
      <w:r w:rsidRPr="000617B8">
        <w:rPr>
          <w:rFonts w:hint="cs"/>
          <w:sz w:val="20"/>
          <w:szCs w:val="20"/>
          <w:rtl/>
        </w:rPr>
        <w:t>"</w:t>
      </w:r>
      <w:r w:rsidRPr="000617B8">
        <w:rPr>
          <w:sz w:val="20"/>
          <w:szCs w:val="20"/>
          <w:rtl/>
        </w:rPr>
        <w:t>אוטונומיה האנושית</w:t>
      </w:r>
      <w:r w:rsidRPr="000617B8">
        <w:rPr>
          <w:rFonts w:hint="cs"/>
          <w:sz w:val="20"/>
          <w:szCs w:val="20"/>
          <w:rtl/>
        </w:rPr>
        <w:t>"</w:t>
      </w:r>
      <w:r w:rsidRPr="000617B8">
        <w:rPr>
          <w:sz w:val="20"/>
          <w:szCs w:val="20"/>
          <w:rtl/>
        </w:rPr>
        <w:t xml:space="preserve"> </w:t>
      </w:r>
      <w:r w:rsidRPr="000617B8">
        <w:rPr>
          <w:sz w:val="20"/>
          <w:szCs w:val="20"/>
        </w:rPr>
        <w:t>–</w:t>
      </w:r>
      <w:r w:rsidRPr="000617B8">
        <w:rPr>
          <w:sz w:val="20"/>
          <w:szCs w:val="20"/>
          <w:rtl/>
        </w:rPr>
        <w:t xml:space="preserve"> כבוד האדם במובנו הרחב.  זוהי </w:t>
      </w:r>
      <w:r w:rsidRPr="000617B8">
        <w:rPr>
          <w:b/>
          <w:bCs/>
          <w:sz w:val="20"/>
          <w:szCs w:val="20"/>
          <w:rtl/>
        </w:rPr>
        <w:t>חירותו</w:t>
      </w:r>
      <w:r w:rsidRPr="000617B8">
        <w:rPr>
          <w:sz w:val="20"/>
          <w:szCs w:val="20"/>
          <w:rtl/>
        </w:rPr>
        <w:t xml:space="preserve"> הבסיסית של </w:t>
      </w:r>
      <w:r w:rsidRPr="000617B8">
        <w:rPr>
          <w:b/>
          <w:bCs/>
          <w:sz w:val="20"/>
          <w:szCs w:val="20"/>
          <w:rtl/>
        </w:rPr>
        <w:t>כל</w:t>
      </w:r>
      <w:r w:rsidRPr="000617B8">
        <w:rPr>
          <w:sz w:val="20"/>
          <w:szCs w:val="20"/>
          <w:rtl/>
        </w:rPr>
        <w:t xml:space="preserve"> אדם</w:t>
      </w:r>
      <w:r w:rsidRPr="000617B8">
        <w:rPr>
          <w:rFonts w:hint="cs"/>
          <w:sz w:val="20"/>
          <w:szCs w:val="20"/>
          <w:rtl/>
        </w:rPr>
        <w:t xml:space="preserve"> לפעול למימושו העצמי (החירות הבסיסית שנתונה לנו כבני אדם והשוויון הבסיסי בינינו ביחס לאחיזתנו בחירות הזו)</w:t>
      </w:r>
      <w:r w:rsidRPr="000617B8">
        <w:rPr>
          <w:sz w:val="20"/>
          <w:szCs w:val="20"/>
          <w:rtl/>
        </w:rPr>
        <w:t xml:space="preserve">.  </w:t>
      </w:r>
      <w:r w:rsidRPr="000617B8">
        <w:rPr>
          <w:rFonts w:hint="cs"/>
          <w:sz w:val="20"/>
          <w:szCs w:val="20"/>
          <w:rtl/>
        </w:rPr>
        <w:t>מ</w:t>
      </w:r>
      <w:r w:rsidRPr="000617B8">
        <w:rPr>
          <w:sz w:val="20"/>
          <w:szCs w:val="20"/>
          <w:rtl/>
        </w:rPr>
        <w:t>שני ערכי היסוד הללו –</w:t>
      </w:r>
      <w:r w:rsidRPr="000617B8">
        <w:rPr>
          <w:rFonts w:hint="cs"/>
          <w:sz w:val="20"/>
          <w:szCs w:val="20"/>
          <w:rtl/>
        </w:rPr>
        <w:t xml:space="preserve"> </w:t>
      </w:r>
      <w:r w:rsidRPr="000617B8">
        <w:rPr>
          <w:rFonts w:hint="cs"/>
          <w:b/>
          <w:bCs/>
          <w:sz w:val="20"/>
          <w:szCs w:val="20"/>
          <w:rtl/>
        </w:rPr>
        <w:t>חירות ושוויון</w:t>
      </w:r>
      <w:r w:rsidRPr="000617B8">
        <w:rPr>
          <w:rFonts w:hint="cs"/>
          <w:sz w:val="20"/>
          <w:szCs w:val="20"/>
          <w:rtl/>
        </w:rPr>
        <w:t xml:space="preserve"> </w:t>
      </w:r>
      <w:r w:rsidRPr="000617B8">
        <w:rPr>
          <w:sz w:val="20"/>
          <w:szCs w:val="20"/>
          <w:rtl/>
        </w:rPr>
        <w:t>–</w:t>
      </w:r>
      <w:r w:rsidRPr="000617B8">
        <w:rPr>
          <w:rFonts w:hint="cs"/>
          <w:sz w:val="20"/>
          <w:szCs w:val="20"/>
          <w:rtl/>
        </w:rPr>
        <w:t xml:space="preserve"> נגזרים זכויות האדם, והם </w:t>
      </w:r>
      <w:r w:rsidRPr="000617B8">
        <w:rPr>
          <w:sz w:val="20"/>
          <w:szCs w:val="20"/>
          <w:rtl/>
        </w:rPr>
        <w:t>מובילים למסקנה ולהבחנה חשובה בבסיסה</w:t>
      </w:r>
      <w:r w:rsidRPr="000617B8">
        <w:rPr>
          <w:rFonts w:hint="cs"/>
          <w:sz w:val="20"/>
          <w:szCs w:val="20"/>
          <w:rtl/>
        </w:rPr>
        <w:t>:</w:t>
      </w:r>
      <w:r w:rsidRPr="000617B8">
        <w:rPr>
          <w:sz w:val="20"/>
          <w:szCs w:val="20"/>
          <w:rtl/>
        </w:rPr>
        <w:t xml:space="preserve"> </w:t>
      </w:r>
    </w:p>
    <w:p w:rsidR="005366A8" w:rsidRPr="000617B8" w:rsidRDefault="005366A8" w:rsidP="005366A8">
      <w:pPr>
        <w:tabs>
          <w:tab w:val="left" w:pos="-720"/>
        </w:tabs>
        <w:spacing w:after="60"/>
        <w:rPr>
          <w:sz w:val="20"/>
          <w:szCs w:val="20"/>
          <w:rtl/>
        </w:rPr>
      </w:pPr>
      <w:r w:rsidRPr="000617B8">
        <w:rPr>
          <w:b/>
          <w:bCs/>
          <w:sz w:val="20"/>
          <w:szCs w:val="20"/>
          <w:rtl/>
        </w:rPr>
        <w:t xml:space="preserve">ההכרעות הרגילות תתקבלנה על פי רוב, אחרת ייפגע העיקרון של השוויון בין </w:t>
      </w:r>
      <w:r w:rsidRPr="000617B8">
        <w:rPr>
          <w:rFonts w:hint="cs"/>
          <w:b/>
          <w:bCs/>
          <w:sz w:val="20"/>
          <w:szCs w:val="20"/>
          <w:rtl/>
        </w:rPr>
        <w:t xml:space="preserve">"קולי לקולך" </w:t>
      </w:r>
      <w:r w:rsidRPr="000617B8">
        <w:rPr>
          <w:b/>
          <w:bCs/>
          <w:sz w:val="20"/>
          <w:szCs w:val="20"/>
          <w:rtl/>
        </w:rPr>
        <w:t>–</w:t>
      </w:r>
      <w:r w:rsidRPr="000617B8">
        <w:rPr>
          <w:rFonts w:hint="cs"/>
          <w:b/>
          <w:bCs/>
          <w:sz w:val="20"/>
          <w:szCs w:val="20"/>
          <w:rtl/>
        </w:rPr>
        <w:t xml:space="preserve"> "קול אחד לכל אחד"</w:t>
      </w:r>
      <w:r w:rsidRPr="000617B8">
        <w:rPr>
          <w:b/>
          <w:bCs/>
          <w:sz w:val="20"/>
          <w:szCs w:val="20"/>
          <w:rtl/>
        </w:rPr>
        <w:t xml:space="preserve">.  מאידך, יכולתו של הרוב אינה בלתי מוגבלת.  אין לו סמכות לקבל הכרעות </w:t>
      </w:r>
      <w:r w:rsidRPr="000617B8">
        <w:rPr>
          <w:rFonts w:hint="cs"/>
          <w:b/>
          <w:bCs/>
          <w:sz w:val="20"/>
          <w:szCs w:val="20"/>
          <w:rtl/>
        </w:rPr>
        <w:t>המפרות את זכויות האדם</w:t>
      </w:r>
      <w:r w:rsidRPr="000617B8">
        <w:rPr>
          <w:b/>
          <w:bCs/>
          <w:sz w:val="20"/>
          <w:szCs w:val="20"/>
          <w:rtl/>
        </w:rPr>
        <w:t xml:space="preserve"> של המיעוט</w:t>
      </w:r>
      <w:r w:rsidRPr="000617B8">
        <w:rPr>
          <w:rFonts w:hint="cs"/>
          <w:b/>
          <w:bCs/>
          <w:sz w:val="20"/>
          <w:szCs w:val="20"/>
          <w:rtl/>
        </w:rPr>
        <w:t xml:space="preserve">, כלומר הכרעות העומדות בסתירה </w:t>
      </w:r>
      <w:r w:rsidRPr="000617B8">
        <w:rPr>
          <w:b/>
          <w:bCs/>
          <w:sz w:val="20"/>
          <w:szCs w:val="20"/>
          <w:rtl/>
        </w:rPr>
        <w:t>לערכי-היסוד שהשיטה מבוססת עליהם</w:t>
      </w:r>
      <w:r w:rsidRPr="000617B8">
        <w:rPr>
          <w:rFonts w:hint="cs"/>
          <w:b/>
          <w:bCs/>
          <w:sz w:val="20"/>
          <w:szCs w:val="20"/>
          <w:rtl/>
        </w:rPr>
        <w:t xml:space="preserve"> (חירותו הבסיסית ושוויונו הבסיסי של כל אדם) </w:t>
      </w:r>
      <w:r w:rsidRPr="000617B8">
        <w:rPr>
          <w:b/>
          <w:bCs/>
          <w:sz w:val="20"/>
          <w:szCs w:val="20"/>
          <w:rtl/>
        </w:rPr>
        <w:t>–</w:t>
      </w:r>
      <w:r w:rsidRPr="000617B8">
        <w:rPr>
          <w:rFonts w:hint="cs"/>
          <w:b/>
          <w:bCs/>
          <w:sz w:val="20"/>
          <w:szCs w:val="20"/>
          <w:rtl/>
        </w:rPr>
        <w:t xml:space="preserve"> כלומר העקרונות שמהם נגזר כוחו של עקרון הרוב מלכתחילה</w:t>
      </w:r>
      <w:r w:rsidRPr="000617B8">
        <w:rPr>
          <w:b/>
          <w:bCs/>
          <w:sz w:val="20"/>
          <w:szCs w:val="20"/>
          <w:rtl/>
        </w:rPr>
        <w:t>.</w:t>
      </w:r>
    </w:p>
    <w:p w:rsidR="005366A8" w:rsidRPr="008F2503" w:rsidRDefault="005366A8" w:rsidP="005366A8">
      <w:pPr>
        <w:tabs>
          <w:tab w:val="left" w:pos="-720"/>
        </w:tabs>
        <w:spacing w:after="60"/>
        <w:ind w:left="720"/>
        <w:rPr>
          <w:rFonts w:ascii="Arial" w:hAnsi="Arial" w:cs="Arial"/>
          <w:sz w:val="20"/>
          <w:szCs w:val="20"/>
          <w:rtl/>
        </w:rPr>
      </w:pPr>
      <w:r w:rsidRPr="008F2503">
        <w:rPr>
          <w:rFonts w:ascii="Arial" w:hAnsi="Arial" w:cs="Arial"/>
          <w:sz w:val="20"/>
          <w:szCs w:val="20"/>
          <w:highlight w:val="yellow"/>
          <w:rtl/>
        </w:rPr>
        <w:t>פרופ' דותן</w:t>
      </w:r>
      <w:r w:rsidRPr="008F2503">
        <w:rPr>
          <w:rFonts w:ascii="Arial" w:hAnsi="Arial" w:cs="Arial"/>
          <w:sz w:val="20"/>
          <w:szCs w:val="20"/>
          <w:rtl/>
        </w:rPr>
        <w:t xml:space="preserve">: האם כספי המיסים ישרתו פעולה א' או פעולה ב' (הקמת כביש בציר א' במקום בציר ב'; החלטה להעדיף שמורת טבע על פני כביש חדש; העדפת כביש על פני רכבת; בחירה במס בשיעור </w:t>
      </w:r>
      <w:r w:rsidRPr="008F2503">
        <w:rPr>
          <w:rFonts w:ascii="Arial" w:hAnsi="Arial" w:cs="Arial"/>
          <w:sz w:val="20"/>
          <w:szCs w:val="20"/>
        </w:rPr>
        <w:t>X</w:t>
      </w:r>
      <w:r w:rsidRPr="008F2503">
        <w:rPr>
          <w:rFonts w:ascii="Arial" w:hAnsi="Arial" w:cs="Arial"/>
          <w:sz w:val="20"/>
          <w:szCs w:val="20"/>
          <w:rtl/>
        </w:rPr>
        <w:t xml:space="preserve"> על פני שיעור </w:t>
      </w:r>
      <w:r w:rsidRPr="008F2503">
        <w:rPr>
          <w:rFonts w:ascii="Arial" w:hAnsi="Arial" w:cs="Arial"/>
          <w:sz w:val="20"/>
          <w:szCs w:val="20"/>
        </w:rPr>
        <w:t>Y</w:t>
      </w:r>
      <w:r w:rsidRPr="008F2503">
        <w:rPr>
          <w:rFonts w:ascii="Arial" w:hAnsi="Arial" w:cs="Arial"/>
          <w:sz w:val="20"/>
          <w:szCs w:val="20"/>
          <w:rtl/>
        </w:rPr>
        <w:t xml:space="preserve"> הסמוך לו, וכדומה) </w:t>
      </w:r>
      <w:r w:rsidRPr="008F2503">
        <w:rPr>
          <w:rFonts w:ascii="Arial" w:hAnsi="Arial" w:cs="Arial"/>
          <w:sz w:val="20"/>
          <w:szCs w:val="20"/>
        </w:rPr>
        <w:t>–</w:t>
      </w:r>
      <w:r w:rsidRPr="008F2503">
        <w:rPr>
          <w:rFonts w:ascii="Arial" w:hAnsi="Arial" w:cs="Arial"/>
          <w:sz w:val="20"/>
          <w:szCs w:val="20"/>
          <w:rtl/>
        </w:rPr>
        <w:t xml:space="preserve">&gt; בדרך כלל הכרעת רוב; לעומת זאת, הרעיון הדמוקרטי איננו מחייב, ואף שולל, אפשרות שרוב (ולוּ גם מכריע) של בני החברה יוכל להחליט כי מיעוט יהפוך לעבדי הרוב, או המיעוט יהפוך להיות נטול זכות הצבעה, או שרכושו של המיעוט יישלל ממנו ויחולק בין חברי קבוצת הרוב, וכדומה.  מהלכים כאלו הם סתירה לרעיון הדמוקרטי עצמו.  </w:t>
      </w:r>
    </w:p>
    <w:p w:rsidR="005366A8" w:rsidRPr="000617B8" w:rsidRDefault="005366A8" w:rsidP="005366A8">
      <w:pPr>
        <w:tabs>
          <w:tab w:val="left" w:pos="-720"/>
          <w:tab w:val="left" w:pos="8584"/>
        </w:tabs>
        <w:spacing w:after="60"/>
        <w:rPr>
          <w:sz w:val="20"/>
          <w:szCs w:val="20"/>
          <w:rtl/>
        </w:rPr>
      </w:pPr>
      <w:r w:rsidRPr="000617B8">
        <w:rPr>
          <w:sz w:val="20"/>
          <w:szCs w:val="20"/>
          <w:rtl/>
        </w:rPr>
        <w:t xml:space="preserve">זו אם כן </w:t>
      </w:r>
      <w:r w:rsidRPr="000617B8">
        <w:rPr>
          <w:b/>
          <w:bCs/>
          <w:sz w:val="20"/>
          <w:szCs w:val="20"/>
          <w:rtl/>
        </w:rPr>
        <w:t>הבחנה בין שני סוגים של הכרעות בשיטה דמוקרטית: הכרעות רגילות ("הכרעות תלויות-העדפות" -&gt; עקרון הכרעת הרוב), והכרעות מיוחדות (אלו הנוגעות ל</w:t>
      </w:r>
      <w:r w:rsidRPr="000617B8">
        <w:rPr>
          <w:rFonts w:hint="cs"/>
          <w:b/>
          <w:bCs/>
          <w:sz w:val="20"/>
          <w:szCs w:val="20"/>
          <w:rtl/>
        </w:rPr>
        <w:t>פגיעה ממשית בזכויות האדם</w:t>
      </w:r>
      <w:r w:rsidRPr="000617B8">
        <w:rPr>
          <w:b/>
          <w:bCs/>
          <w:sz w:val="20"/>
          <w:szCs w:val="20"/>
          <w:rtl/>
        </w:rPr>
        <w:t>)</w:t>
      </w:r>
      <w:r w:rsidRPr="000617B8">
        <w:rPr>
          <w:sz w:val="20"/>
          <w:szCs w:val="20"/>
          <w:rtl/>
        </w:rPr>
        <w:t xml:space="preserve">.  הבחנה זו מחייבת </w:t>
      </w:r>
      <w:r w:rsidRPr="000617B8">
        <w:rPr>
          <w:b/>
          <w:bCs/>
          <w:sz w:val="20"/>
          <w:szCs w:val="20"/>
          <w:rtl/>
        </w:rPr>
        <w:t>קו-תיחום</w:t>
      </w:r>
      <w:r w:rsidRPr="000617B8">
        <w:rPr>
          <w:sz w:val="20"/>
          <w:szCs w:val="20"/>
          <w:rtl/>
        </w:rPr>
        <w:t xml:space="preserve"> בין שני סוגי ההכרעות</w:t>
      </w:r>
      <w:r w:rsidRPr="000617B8">
        <w:rPr>
          <w:rFonts w:hint="cs"/>
          <w:sz w:val="20"/>
          <w:szCs w:val="20"/>
          <w:rtl/>
        </w:rPr>
        <w:t>;</w:t>
      </w:r>
      <w:r w:rsidRPr="000617B8">
        <w:rPr>
          <w:sz w:val="20"/>
          <w:szCs w:val="20"/>
          <w:rtl/>
        </w:rPr>
        <w:t xml:space="preserve"> וחשוב מכך, היא מחייבת הכרעה לגבי </w:t>
      </w:r>
      <w:r w:rsidRPr="00A72273">
        <w:rPr>
          <w:b/>
          <w:bCs/>
          <w:sz w:val="20"/>
          <w:szCs w:val="20"/>
          <w:u w:val="single"/>
          <w:rtl/>
        </w:rPr>
        <w:t>מיהות המוסד</w:t>
      </w:r>
      <w:r w:rsidRPr="00A72273">
        <w:rPr>
          <w:sz w:val="20"/>
          <w:szCs w:val="20"/>
          <w:u w:val="single"/>
          <w:rtl/>
        </w:rPr>
        <w:t xml:space="preserve"> שיהיה מוסמך לקבוע את קו התיחום</w:t>
      </w:r>
      <w:r w:rsidRPr="000617B8">
        <w:rPr>
          <w:sz w:val="20"/>
          <w:szCs w:val="20"/>
          <w:rtl/>
        </w:rPr>
        <w:t xml:space="preserve">.  </w:t>
      </w:r>
    </w:p>
    <w:p w:rsidR="005366A8" w:rsidRDefault="005366A8" w:rsidP="005366A8">
      <w:pPr>
        <w:tabs>
          <w:tab w:val="left" w:pos="-720"/>
        </w:tabs>
        <w:rPr>
          <w:sz w:val="20"/>
          <w:szCs w:val="20"/>
          <w:rtl/>
        </w:rPr>
      </w:pPr>
      <w:r w:rsidRPr="000617B8">
        <w:rPr>
          <w:sz w:val="20"/>
          <w:szCs w:val="20"/>
          <w:rtl/>
        </w:rPr>
        <w:t xml:space="preserve">הטיעון האנטי-רובי גורס, כי </w:t>
      </w:r>
      <w:r w:rsidRPr="000617B8">
        <w:rPr>
          <w:b/>
          <w:bCs/>
          <w:sz w:val="20"/>
          <w:szCs w:val="20"/>
          <w:rtl/>
        </w:rPr>
        <w:t>המוסד שיקבל את ההכרעות בדבר גבולות כוחו של הרוב בדמוקרטיה אינו יכול להיות מוסד המייצג באופן ישיר את אותו רוב.</w:t>
      </w:r>
      <w:r w:rsidRPr="000617B8">
        <w:rPr>
          <w:sz w:val="20"/>
          <w:szCs w:val="20"/>
          <w:rtl/>
        </w:rPr>
        <w:t xml:space="preserve">  זה צריך להיות מוסד שתהיה לו עצמאות, חלקית לפחות, לגבי ההשפעה הישירה של הרוב, שכנגדו נטענת הטענה של הפרת חירויות המיעוט.  אחרת אין ערובה ממשית כי מוסד כזה יוכל להעניק הגנה של ממש למיעוט.  בתי המשפט הם מוסד מתאים לשאת בתפקיד </w:t>
      </w:r>
      <w:r w:rsidRPr="000617B8">
        <w:rPr>
          <w:rFonts w:hint="cs"/>
          <w:sz w:val="20"/>
          <w:szCs w:val="20"/>
          <w:rtl/>
        </w:rPr>
        <w:t>'מאזן הרובניות'</w:t>
      </w:r>
      <w:r w:rsidRPr="000617B8">
        <w:rPr>
          <w:sz w:val="20"/>
          <w:szCs w:val="20"/>
          <w:rtl/>
        </w:rPr>
        <w:t xml:space="preserve"> הזה, שכן הם אינם תלויים באופן ישיר ומיידי באישור או בתמיכה של רוב הציבור להכרעותיהם.  שופטים מתמנים "לכל החיים", ואם הם נבחרים בפרוצדורה שהיא בעיקרה איננה פוליטית-מפלגתית, כי אז גם אין </w:t>
      </w:r>
      <w:r w:rsidRPr="000617B8">
        <w:rPr>
          <w:rFonts w:hint="cs"/>
          <w:sz w:val="20"/>
          <w:szCs w:val="20"/>
          <w:rtl/>
        </w:rPr>
        <w:t>ע</w:t>
      </w:r>
      <w:r w:rsidRPr="000617B8">
        <w:rPr>
          <w:sz w:val="20"/>
          <w:szCs w:val="20"/>
          <w:rtl/>
        </w:rPr>
        <w:t>ל</w:t>
      </w:r>
      <w:r w:rsidRPr="000617B8">
        <w:rPr>
          <w:rFonts w:hint="cs"/>
          <w:sz w:val="20"/>
          <w:szCs w:val="20"/>
          <w:rtl/>
        </w:rPr>
        <w:t xml:space="preserve"> ה</w:t>
      </w:r>
      <w:r w:rsidRPr="000617B8">
        <w:rPr>
          <w:sz w:val="20"/>
          <w:szCs w:val="20"/>
          <w:rtl/>
        </w:rPr>
        <w:t>שופטים לחצים של 'פדיון-חוב'.</w:t>
      </w:r>
    </w:p>
    <w:p w:rsidR="005366A8" w:rsidRPr="000617B8" w:rsidRDefault="005366A8" w:rsidP="005366A8">
      <w:pPr>
        <w:tabs>
          <w:tab w:val="left" w:pos="-720"/>
        </w:tabs>
        <w:rPr>
          <w:sz w:val="20"/>
          <w:szCs w:val="20"/>
          <w:rtl/>
        </w:rPr>
      </w:pPr>
    </w:p>
    <w:p w:rsidR="005366A8" w:rsidRPr="00F842A7" w:rsidRDefault="005366A8" w:rsidP="005366A8">
      <w:pPr>
        <w:spacing w:after="60"/>
        <w:rPr>
          <w:sz w:val="22"/>
          <w:szCs w:val="22"/>
          <w:highlight w:val="yellow"/>
          <w:rtl/>
        </w:rPr>
      </w:pPr>
      <w:r>
        <w:rPr>
          <w:rFonts w:hint="cs"/>
          <w:b/>
          <w:bCs/>
          <w:highlight w:val="yellow"/>
          <w:rtl/>
        </w:rPr>
        <w:t>=-=</w:t>
      </w:r>
    </w:p>
    <w:p w:rsidR="005366A8" w:rsidRDefault="005366A8" w:rsidP="005366A8">
      <w:pPr>
        <w:spacing w:after="60"/>
        <w:rPr>
          <w:b/>
          <w:bCs/>
          <w:highlight w:val="yellow"/>
          <w:rtl/>
        </w:rPr>
      </w:pPr>
      <w:r>
        <w:rPr>
          <w:rFonts w:hint="cs"/>
          <w:b/>
          <w:bCs/>
          <w:highlight w:val="yellow"/>
          <w:rtl/>
        </w:rPr>
        <w:t>הויכוח של ד"ר שטייניץ עם הליברליזם, וקונקרטית עם "החוקתיות".</w:t>
      </w:r>
    </w:p>
    <w:p w:rsidR="005366A8" w:rsidRDefault="005366A8" w:rsidP="005366A8">
      <w:pPr>
        <w:spacing w:after="60"/>
        <w:rPr>
          <w:sz w:val="22"/>
          <w:szCs w:val="22"/>
          <w:highlight w:val="yellow"/>
          <w:rtl/>
        </w:rPr>
      </w:pPr>
      <w:r>
        <w:rPr>
          <w:rFonts w:hint="cs"/>
          <w:sz w:val="22"/>
          <w:szCs w:val="22"/>
          <w:highlight w:val="yellow"/>
          <w:rtl/>
        </w:rPr>
        <w:t>דפי הפגישה הקודמת.</w:t>
      </w:r>
    </w:p>
    <w:p w:rsidR="005366A8" w:rsidRPr="00CD51C6" w:rsidRDefault="005366A8" w:rsidP="005366A8">
      <w:pPr>
        <w:spacing w:after="60"/>
        <w:rPr>
          <w:sz w:val="22"/>
          <w:szCs w:val="22"/>
          <w:highlight w:val="yellow"/>
          <w:rtl/>
        </w:rPr>
      </w:pPr>
    </w:p>
    <w:p w:rsidR="005366A8" w:rsidRDefault="005366A8" w:rsidP="005366A8">
      <w:pPr>
        <w:spacing w:after="60"/>
        <w:rPr>
          <w:b/>
          <w:bCs/>
          <w:highlight w:val="yellow"/>
          <w:rtl/>
        </w:rPr>
      </w:pPr>
      <w:r>
        <w:rPr>
          <w:rFonts w:hint="cs"/>
          <w:b/>
          <w:bCs/>
          <w:highlight w:val="yellow"/>
          <w:rtl/>
        </w:rPr>
        <w:t>=-=</w:t>
      </w:r>
    </w:p>
    <w:p w:rsidR="005366A8" w:rsidRPr="004517FE" w:rsidRDefault="005366A8" w:rsidP="005366A8">
      <w:pPr>
        <w:spacing w:after="120"/>
        <w:jc w:val="center"/>
        <w:rPr>
          <w:rFonts w:cs="Arial"/>
          <w:b/>
          <w:bCs/>
          <w:highlight w:val="yellow"/>
          <w:u w:val="single"/>
          <w:rtl/>
        </w:rPr>
      </w:pPr>
      <w:r w:rsidRPr="004517FE">
        <w:rPr>
          <w:rFonts w:cs="Arial" w:hint="cs"/>
          <w:b/>
          <w:bCs/>
          <w:highlight w:val="yellow"/>
          <w:u w:val="single"/>
          <w:rtl/>
        </w:rPr>
        <w:t>1. היש סמכות מכוננת בישראל?</w:t>
      </w:r>
    </w:p>
    <w:p w:rsidR="005366A8" w:rsidRPr="004517FE" w:rsidRDefault="005366A8" w:rsidP="005366A8">
      <w:pPr>
        <w:spacing w:after="120"/>
        <w:jc w:val="center"/>
        <w:rPr>
          <w:rFonts w:cs="Arial"/>
          <w:highlight w:val="yellow"/>
          <w:u w:val="single"/>
          <w:rtl/>
        </w:rPr>
      </w:pPr>
      <w:r w:rsidRPr="004517FE">
        <w:rPr>
          <w:rFonts w:cs="Arial" w:hint="cs"/>
          <w:b/>
          <w:bCs/>
          <w:highlight w:val="yellow"/>
          <w:u w:val="single"/>
          <w:rtl/>
        </w:rPr>
        <w:t xml:space="preserve">2. </w:t>
      </w:r>
      <w:r w:rsidRPr="004517FE">
        <w:rPr>
          <w:rFonts w:cs="Arial"/>
          <w:b/>
          <w:bCs/>
          <w:highlight w:val="yellow"/>
          <w:u w:val="single"/>
          <w:rtl/>
        </w:rPr>
        <w:t>ה</w:t>
      </w:r>
      <w:r w:rsidRPr="004517FE">
        <w:rPr>
          <w:rFonts w:cs="Arial" w:hint="cs"/>
          <w:b/>
          <w:bCs/>
          <w:highlight w:val="yellow"/>
          <w:u w:val="single"/>
          <w:rtl/>
        </w:rPr>
        <w:t>אם כוננה מכוחה של סמכות זו חוקה</w:t>
      </w:r>
      <w:r w:rsidRPr="004517FE">
        <w:rPr>
          <w:rFonts w:cs="Arial"/>
          <w:b/>
          <w:bCs/>
          <w:highlight w:val="yellow"/>
          <w:u w:val="single"/>
          <w:rtl/>
        </w:rPr>
        <w:t xml:space="preserve"> לישראל</w:t>
      </w:r>
      <w:r w:rsidRPr="004517FE">
        <w:rPr>
          <w:rFonts w:cs="Arial"/>
          <w:highlight w:val="yellow"/>
          <w:u w:val="single"/>
          <w:rtl/>
        </w:rPr>
        <w:t>?</w:t>
      </w:r>
    </w:p>
    <w:p w:rsidR="005366A8" w:rsidRPr="004517FE" w:rsidRDefault="005366A8" w:rsidP="005366A8">
      <w:pPr>
        <w:spacing w:after="120"/>
        <w:jc w:val="center"/>
        <w:rPr>
          <w:rFonts w:cs="Arial"/>
          <w:b/>
          <w:bCs/>
          <w:u w:val="single"/>
          <w:rtl/>
        </w:rPr>
      </w:pPr>
      <w:r w:rsidRPr="004517FE">
        <w:rPr>
          <w:rFonts w:cs="Arial" w:hint="cs"/>
          <w:b/>
          <w:bCs/>
          <w:highlight w:val="yellow"/>
          <w:u w:val="single"/>
          <w:rtl/>
        </w:rPr>
        <w:t xml:space="preserve">3. </w:t>
      </w:r>
      <w:r w:rsidRPr="004517FE">
        <w:rPr>
          <w:rFonts w:cs="Arial"/>
          <w:b/>
          <w:bCs/>
          <w:highlight w:val="yellow"/>
          <w:u w:val="single"/>
          <w:rtl/>
        </w:rPr>
        <w:t>מהם תכני</w:t>
      </w:r>
      <w:r w:rsidRPr="004517FE">
        <w:rPr>
          <w:rFonts w:cs="Arial" w:hint="cs"/>
          <w:b/>
          <w:bCs/>
          <w:highlight w:val="yellow"/>
          <w:u w:val="single"/>
          <w:rtl/>
        </w:rPr>
        <w:t xml:space="preserve"> </w:t>
      </w:r>
      <w:r w:rsidRPr="004517FE">
        <w:rPr>
          <w:rFonts w:cs="Arial"/>
          <w:b/>
          <w:bCs/>
          <w:highlight w:val="yellow"/>
          <w:u w:val="single"/>
          <w:rtl/>
        </w:rPr>
        <w:t>ה</w:t>
      </w:r>
      <w:r w:rsidRPr="004517FE">
        <w:rPr>
          <w:rFonts w:cs="Arial" w:hint="cs"/>
          <w:b/>
          <w:bCs/>
          <w:highlight w:val="yellow"/>
          <w:u w:val="single"/>
          <w:rtl/>
        </w:rPr>
        <w:t>חוקה</w:t>
      </w:r>
      <w:r w:rsidRPr="004517FE">
        <w:rPr>
          <w:rFonts w:cs="Arial"/>
          <w:b/>
          <w:bCs/>
          <w:highlight w:val="yellow"/>
          <w:u w:val="single"/>
          <w:rtl/>
        </w:rPr>
        <w:t>?</w:t>
      </w:r>
    </w:p>
    <w:p w:rsidR="005366A8" w:rsidRPr="004517FE" w:rsidRDefault="005366A8" w:rsidP="005366A8">
      <w:pPr>
        <w:jc w:val="center"/>
        <w:rPr>
          <w:rFonts w:cs="Arial"/>
          <w:u w:val="single"/>
          <w:rtl/>
        </w:rPr>
      </w:pPr>
      <w:r w:rsidRPr="004517FE">
        <w:rPr>
          <w:rFonts w:cs="Arial" w:hint="cs"/>
          <w:b/>
          <w:bCs/>
          <w:highlight w:val="yellow"/>
          <w:u w:val="single"/>
          <w:rtl/>
        </w:rPr>
        <w:t>4. היש סמכות לביקורת שיפוטית חוקתית</w:t>
      </w:r>
    </w:p>
    <w:p w:rsidR="005366A8" w:rsidRDefault="005366A8" w:rsidP="005366A8">
      <w:pPr>
        <w:spacing w:after="120"/>
        <w:rPr>
          <w:rFonts w:cs="Arial"/>
          <w:b/>
          <w:bCs/>
          <w:u w:val="single"/>
          <w:rtl/>
        </w:rPr>
      </w:pPr>
    </w:p>
    <w:p w:rsidR="005366A8" w:rsidRDefault="005366A8" w:rsidP="005366A8">
      <w:pPr>
        <w:spacing w:after="120"/>
        <w:rPr>
          <w:rFonts w:cs="Arial"/>
          <w:rtl/>
        </w:rPr>
      </w:pPr>
      <w:r w:rsidRPr="00456403">
        <w:rPr>
          <w:rFonts w:cs="Arial" w:hint="cs"/>
          <w:b/>
          <w:bCs/>
          <w:u w:val="single"/>
          <w:rtl/>
        </w:rPr>
        <w:t>שאלות 1 ו-2</w:t>
      </w:r>
      <w:r w:rsidRPr="00574D17">
        <w:rPr>
          <w:rFonts w:cs="Arial" w:hint="cs"/>
          <w:b/>
          <w:bCs/>
          <w:rtl/>
        </w:rPr>
        <w:t xml:space="preserve"> </w:t>
      </w:r>
      <w:r w:rsidRPr="00574D17">
        <w:rPr>
          <w:rFonts w:cs="Arial" w:hint="cs"/>
          <w:rtl/>
        </w:rPr>
        <w:t xml:space="preserve">נדונו והוכרעו בפס"ד </w:t>
      </w:r>
      <w:r w:rsidRPr="00574D17">
        <w:rPr>
          <w:rFonts w:cs="Arial" w:hint="cs"/>
          <w:b/>
          <w:bCs/>
          <w:rtl/>
        </w:rPr>
        <w:t>בנק המזרחי</w:t>
      </w:r>
      <w:r>
        <w:rPr>
          <w:rFonts w:cs="Arial" w:hint="cs"/>
          <w:rtl/>
        </w:rPr>
        <w:t xml:space="preserve"> (1995),</w:t>
      </w:r>
      <w:r w:rsidRPr="00574D17">
        <w:rPr>
          <w:rFonts w:cs="Arial" w:hint="cs"/>
          <w:rtl/>
        </w:rPr>
        <w:t xml:space="preserve"> בו נדון מקרוב בפגישה הקרובה</w:t>
      </w:r>
    </w:p>
    <w:p w:rsidR="005366A8" w:rsidRDefault="005366A8" w:rsidP="005366A8">
      <w:pPr>
        <w:spacing w:after="120"/>
        <w:rPr>
          <w:rFonts w:cs="Arial"/>
          <w:rtl/>
        </w:rPr>
      </w:pPr>
      <w:r>
        <w:rPr>
          <w:rFonts w:cs="Arial" w:hint="cs"/>
          <w:rtl/>
        </w:rPr>
        <w:t>=-=</w:t>
      </w:r>
    </w:p>
    <w:p w:rsidR="005366A8" w:rsidRDefault="005366A8" w:rsidP="005366A8">
      <w:pPr>
        <w:spacing w:after="120"/>
        <w:rPr>
          <w:rFonts w:cs="Arial"/>
          <w:highlight w:val="yellow"/>
          <w:rtl/>
        </w:rPr>
      </w:pPr>
      <w:r w:rsidRPr="004517FE">
        <w:rPr>
          <w:rFonts w:cs="Arial" w:hint="cs"/>
          <w:b/>
          <w:bCs/>
          <w:highlight w:val="yellow"/>
          <w:u w:val="single"/>
          <w:rtl/>
        </w:rPr>
        <w:t xml:space="preserve">3. </w:t>
      </w:r>
      <w:r w:rsidRPr="004517FE">
        <w:rPr>
          <w:rFonts w:cs="Arial"/>
          <w:b/>
          <w:bCs/>
          <w:highlight w:val="yellow"/>
          <w:u w:val="single"/>
          <w:rtl/>
        </w:rPr>
        <w:t>מהם תכני</w:t>
      </w:r>
      <w:r w:rsidRPr="004517FE">
        <w:rPr>
          <w:rFonts w:cs="Arial" w:hint="cs"/>
          <w:b/>
          <w:bCs/>
          <w:highlight w:val="yellow"/>
          <w:u w:val="single"/>
          <w:rtl/>
        </w:rPr>
        <w:t xml:space="preserve"> </w:t>
      </w:r>
      <w:r w:rsidRPr="004517FE">
        <w:rPr>
          <w:rFonts w:cs="Arial"/>
          <w:b/>
          <w:bCs/>
          <w:highlight w:val="yellow"/>
          <w:u w:val="single"/>
          <w:rtl/>
        </w:rPr>
        <w:t>ה</w:t>
      </w:r>
      <w:r w:rsidRPr="004517FE">
        <w:rPr>
          <w:rFonts w:cs="Arial" w:hint="cs"/>
          <w:b/>
          <w:bCs/>
          <w:highlight w:val="yellow"/>
          <w:u w:val="single"/>
          <w:rtl/>
        </w:rPr>
        <w:t>חוקה</w:t>
      </w:r>
      <w:r w:rsidRPr="004517FE">
        <w:rPr>
          <w:rFonts w:cs="Arial"/>
          <w:b/>
          <w:bCs/>
          <w:highlight w:val="yellow"/>
          <w:u w:val="single"/>
          <w:rtl/>
        </w:rPr>
        <w:t>?</w:t>
      </w:r>
      <w:r>
        <w:rPr>
          <w:rFonts w:cs="Arial" w:hint="cs"/>
          <w:highlight w:val="yellow"/>
          <w:rtl/>
        </w:rPr>
        <w:t xml:space="preserve"> = </w:t>
      </w:r>
      <w:r w:rsidRPr="00574D17">
        <w:rPr>
          <w:rFonts w:cs="Arial" w:hint="cs"/>
          <w:highlight w:val="yellow"/>
          <w:rtl/>
        </w:rPr>
        <w:t>חוקי היסוד</w:t>
      </w:r>
    </w:p>
    <w:p w:rsidR="005366A8" w:rsidRPr="00574D17" w:rsidRDefault="005366A8" w:rsidP="005366A8">
      <w:pPr>
        <w:pStyle w:val="kot"/>
        <w:spacing w:before="0" w:after="120"/>
        <w:ind w:left="720"/>
        <w:jc w:val="left"/>
        <w:rPr>
          <w:rFonts w:cs="Arial"/>
          <w:b w:val="0"/>
          <w:bCs w:val="0"/>
          <w:rtl/>
        </w:rPr>
      </w:pPr>
      <w:r w:rsidRPr="00574D17">
        <w:rPr>
          <w:rFonts w:cs="Arial" w:hint="cs"/>
          <w:b w:val="0"/>
          <w:bCs w:val="0"/>
          <w:rtl/>
        </w:rPr>
        <w:t>[חוקי היסוד בכללותם ולא רק אותן הוראות בה</w:t>
      </w:r>
      <w:r>
        <w:rPr>
          <w:rFonts w:cs="Arial" w:hint="cs"/>
          <w:b w:val="0"/>
          <w:bCs w:val="0"/>
          <w:rtl/>
        </w:rPr>
        <w:t>ם</w:t>
      </w:r>
      <w:r w:rsidRPr="00574D17">
        <w:rPr>
          <w:rFonts w:cs="Arial" w:hint="cs"/>
          <w:b w:val="0"/>
          <w:bCs w:val="0"/>
          <w:rtl/>
        </w:rPr>
        <w:t xml:space="preserve"> שזכו לשריון]</w:t>
      </w:r>
    </w:p>
    <w:p w:rsidR="005366A8" w:rsidRDefault="005366A8" w:rsidP="005366A8">
      <w:pPr>
        <w:spacing w:after="120"/>
        <w:rPr>
          <w:rFonts w:ascii="Arial" w:hAnsi="Arial" w:cs="Arial"/>
          <w:sz w:val="20"/>
          <w:szCs w:val="20"/>
          <w:rtl/>
        </w:rPr>
      </w:pPr>
      <w:r>
        <w:rPr>
          <w:rFonts w:ascii="Arial" w:hAnsi="Arial" w:cs="Arial" w:hint="cs"/>
          <w:sz w:val="20"/>
          <w:szCs w:val="20"/>
          <w:rtl/>
        </w:rPr>
        <w:t>=-=</w:t>
      </w:r>
    </w:p>
    <w:p w:rsidR="005366A8" w:rsidRPr="00334D2E" w:rsidRDefault="005366A8" w:rsidP="005366A8">
      <w:pPr>
        <w:spacing w:after="120"/>
        <w:rPr>
          <w:rFonts w:cs="Arial"/>
          <w:rtl/>
        </w:rPr>
      </w:pPr>
    </w:p>
    <w:p w:rsidR="005366A8" w:rsidRDefault="005366A8" w:rsidP="005366A8">
      <w:pPr>
        <w:pStyle w:val="T-body"/>
        <w:spacing w:after="120" w:line="240" w:lineRule="auto"/>
        <w:jc w:val="left"/>
        <w:rPr>
          <w:highlight w:val="yellow"/>
          <w:rtl/>
        </w:rPr>
      </w:pPr>
      <w:r w:rsidRPr="004517FE">
        <w:rPr>
          <w:rFonts w:cs="Arial" w:hint="cs"/>
          <w:b/>
          <w:bCs/>
          <w:highlight w:val="yellow"/>
          <w:u w:val="single"/>
          <w:rtl/>
        </w:rPr>
        <w:t>4. היש סמכות לביקורת שיפוטית חוקתית</w:t>
      </w:r>
    </w:p>
    <w:p w:rsidR="005366A8" w:rsidRDefault="005366A8" w:rsidP="005366A8">
      <w:pPr>
        <w:pStyle w:val="T-body"/>
        <w:spacing w:after="120" w:line="240" w:lineRule="auto"/>
        <w:ind w:left="720"/>
        <w:jc w:val="left"/>
        <w:rPr>
          <w:highlight w:val="yellow"/>
          <w:rtl/>
        </w:rPr>
      </w:pPr>
      <w:r>
        <w:rPr>
          <w:rFonts w:hint="cs"/>
          <w:highlight w:val="yellow"/>
          <w:rtl/>
        </w:rPr>
        <w:t xml:space="preserve">גם משמוכרת הסמכות המכוננת הנתונה לכנסת, מתעוררת שאלה ביחס לסמכות הביקורת השיפוטית החוקתית של בית המשפט </w:t>
      </w:r>
      <w:r>
        <w:rPr>
          <w:highlight w:val="yellow"/>
          <w:rtl/>
        </w:rPr>
        <w:t>–</w:t>
      </w:r>
      <w:r>
        <w:rPr>
          <w:rFonts w:hint="cs"/>
          <w:highlight w:val="yellow"/>
          <w:rtl/>
        </w:rPr>
        <w:t xml:space="preserve"> מה מקור סמכותם של בתי המשפט?</w:t>
      </w:r>
    </w:p>
    <w:p w:rsidR="005366A8" w:rsidRDefault="005366A8" w:rsidP="005366A8">
      <w:pPr>
        <w:pStyle w:val="T-body"/>
        <w:spacing w:after="120" w:line="240" w:lineRule="auto"/>
        <w:ind w:left="720"/>
        <w:jc w:val="left"/>
        <w:rPr>
          <w:highlight w:val="yellow"/>
          <w:rtl/>
        </w:rPr>
      </w:pPr>
      <w:r>
        <w:rPr>
          <w:rFonts w:hint="cs"/>
          <w:highlight w:val="yellow"/>
          <w:rtl/>
        </w:rPr>
        <w:t xml:space="preserve">מה התשובה/התשובות לכך? </w:t>
      </w:r>
    </w:p>
    <w:p w:rsidR="005366A8" w:rsidRPr="004026A5" w:rsidRDefault="005366A8" w:rsidP="005366A8">
      <w:pPr>
        <w:pStyle w:val="T-body"/>
        <w:spacing w:after="120" w:line="240" w:lineRule="auto"/>
        <w:ind w:left="1440"/>
        <w:jc w:val="left"/>
        <w:rPr>
          <w:rtl/>
        </w:rPr>
      </w:pPr>
      <w:r w:rsidRPr="004026A5">
        <w:rPr>
          <w:rFonts w:hint="cs"/>
          <w:rtl/>
        </w:rPr>
        <w:t>[התשובות ניתנ</w:t>
      </w:r>
      <w:r>
        <w:rPr>
          <w:rFonts w:hint="cs"/>
          <w:rtl/>
        </w:rPr>
        <w:t>ו</w:t>
      </w:r>
      <w:r w:rsidRPr="004026A5">
        <w:rPr>
          <w:rFonts w:hint="cs"/>
          <w:rtl/>
        </w:rPr>
        <w:t xml:space="preserve"> </w:t>
      </w:r>
      <w:r w:rsidRPr="004026A5">
        <w:rPr>
          <w:rFonts w:hint="cs"/>
          <w:b/>
          <w:bCs/>
          <w:rtl/>
        </w:rPr>
        <w:t>בבנק המזרחי</w:t>
      </w:r>
      <w:r w:rsidRPr="004026A5">
        <w:rPr>
          <w:rFonts w:hint="cs"/>
          <w:rtl/>
        </w:rPr>
        <w:t>, בעמודים אותם התבקשתם לקרוא מתוך פסק הדין; תמציתם בעמ' 6-5 בדפי הפגישה הקודמת]</w:t>
      </w:r>
    </w:p>
    <w:p w:rsidR="005366A8" w:rsidRDefault="005366A8" w:rsidP="005366A8">
      <w:pPr>
        <w:pStyle w:val="T-body"/>
        <w:spacing w:after="120" w:line="240" w:lineRule="auto"/>
        <w:jc w:val="left"/>
        <w:rPr>
          <w:highlight w:val="yellow"/>
          <w:rtl/>
        </w:rPr>
      </w:pPr>
    </w:p>
    <w:p w:rsidR="005366A8" w:rsidRDefault="005366A8" w:rsidP="005366A8">
      <w:pPr>
        <w:pStyle w:val="T-body"/>
        <w:spacing w:after="120" w:line="240" w:lineRule="auto"/>
        <w:jc w:val="left"/>
        <w:rPr>
          <w:highlight w:val="yellow"/>
          <w:rtl/>
        </w:rPr>
      </w:pPr>
      <w:r>
        <w:rPr>
          <w:rFonts w:hint="cs"/>
          <w:highlight w:val="yellow"/>
          <w:rtl/>
        </w:rPr>
        <w:t xml:space="preserve">כל השופטים בפסקי הדין בעניין </w:t>
      </w:r>
      <w:r w:rsidRPr="00395E56">
        <w:rPr>
          <w:rFonts w:hint="cs"/>
          <w:b/>
          <w:bCs/>
          <w:i/>
          <w:iCs/>
          <w:highlight w:val="yellow"/>
          <w:rtl/>
        </w:rPr>
        <w:t>חוק טל</w:t>
      </w:r>
      <w:r>
        <w:rPr>
          <w:rFonts w:hint="cs"/>
          <w:highlight w:val="yellow"/>
          <w:rtl/>
        </w:rPr>
        <w:t xml:space="preserve"> מסכימים לקיומה של הסמכות לביקורת שיפוטית חוקתית, משמע, מכירים בסמכותם של בתי המשפט לבחון תוקפם של חוקי כנסת. ככלות הכל, אנו נמצאים שנים לא מעטות </w:t>
      </w:r>
      <w:r>
        <w:rPr>
          <w:highlight w:val="yellow"/>
          <w:rtl/>
        </w:rPr>
        <w:t>–</w:t>
      </w:r>
      <w:r>
        <w:rPr>
          <w:rFonts w:hint="cs"/>
          <w:highlight w:val="yellow"/>
          <w:rtl/>
        </w:rPr>
        <w:t xml:space="preserve"> היום 19 שנים </w:t>
      </w:r>
      <w:r>
        <w:rPr>
          <w:highlight w:val="yellow"/>
          <w:rtl/>
        </w:rPr>
        <w:t>–</w:t>
      </w:r>
      <w:r>
        <w:rPr>
          <w:rFonts w:hint="cs"/>
          <w:highlight w:val="yellow"/>
          <w:rtl/>
        </w:rPr>
        <w:t xml:space="preserve"> לאחר פסק דין </w:t>
      </w:r>
      <w:r w:rsidRPr="00395E56">
        <w:rPr>
          <w:rFonts w:hint="cs"/>
          <w:b/>
          <w:bCs/>
          <w:highlight w:val="yellow"/>
          <w:rtl/>
        </w:rPr>
        <w:t>בנק המזרחי</w:t>
      </w:r>
      <w:r>
        <w:rPr>
          <w:rFonts w:hint="cs"/>
          <w:highlight w:val="yellow"/>
          <w:rtl/>
        </w:rPr>
        <w:t xml:space="preserve">. הויכוח בפסקי הדין הללו נוגע, בעיקרם של דברים, </w:t>
      </w:r>
      <w:r w:rsidRPr="00CD51C6">
        <w:rPr>
          <w:rFonts w:hint="cs"/>
          <w:i/>
          <w:iCs/>
          <w:highlight w:val="yellow"/>
          <w:u w:val="single"/>
          <w:rtl/>
        </w:rPr>
        <w:t>לאופן הפעלת הסמכות הזו</w:t>
      </w:r>
      <w:r w:rsidRPr="00CD51C6">
        <w:rPr>
          <w:rFonts w:hint="cs"/>
          <w:highlight w:val="yellow"/>
          <w:u w:val="single"/>
          <w:rtl/>
        </w:rPr>
        <w:t xml:space="preserve"> על ידי בתי המשפט</w:t>
      </w:r>
      <w:r>
        <w:rPr>
          <w:rFonts w:hint="cs"/>
          <w:highlight w:val="yellow"/>
          <w:rtl/>
        </w:rPr>
        <w:t>.</w:t>
      </w:r>
    </w:p>
    <w:p w:rsidR="005366A8" w:rsidRPr="00DE5C07" w:rsidRDefault="005366A8" w:rsidP="005366A8">
      <w:pPr>
        <w:pStyle w:val="T-body"/>
        <w:spacing w:after="120" w:line="240" w:lineRule="auto"/>
        <w:jc w:val="center"/>
        <w:rPr>
          <w:i/>
          <w:iCs/>
          <w:sz w:val="22"/>
          <w:szCs w:val="22"/>
          <w:rtl/>
        </w:rPr>
      </w:pPr>
      <w:r w:rsidRPr="00D23F94">
        <w:rPr>
          <w:highlight w:val="yellow"/>
          <w:rtl/>
        </w:rPr>
        <w:t xml:space="preserve">בג"צ 6427/02 </w:t>
      </w:r>
      <w:r w:rsidRPr="00D23F94">
        <w:rPr>
          <w:b/>
          <w:bCs/>
          <w:highlight w:val="yellow"/>
          <w:rtl/>
        </w:rPr>
        <w:t>התנועה לאיכות השלטון נ' הכנסת</w:t>
      </w:r>
      <w:r w:rsidRPr="00D23F94">
        <w:rPr>
          <w:highlight w:val="yellow"/>
          <w:rtl/>
        </w:rPr>
        <w:t xml:space="preserve"> (</w:t>
      </w:r>
      <w:r w:rsidRPr="00D23F94">
        <w:rPr>
          <w:rFonts w:hint="cs"/>
          <w:highlight w:val="yellow"/>
          <w:rtl/>
        </w:rPr>
        <w:t>2006</w:t>
      </w:r>
      <w:r w:rsidRPr="00D23F94">
        <w:rPr>
          <w:highlight w:val="yellow"/>
          <w:rtl/>
        </w:rPr>
        <w:t>)</w:t>
      </w:r>
      <w:r>
        <w:rPr>
          <w:rFonts w:hint="cs"/>
          <w:rtl/>
        </w:rPr>
        <w:t xml:space="preserve"> </w:t>
      </w:r>
      <w:r w:rsidRPr="00DE5C07">
        <w:rPr>
          <w:rFonts w:hint="cs"/>
          <w:i/>
          <w:iCs/>
          <w:rtl/>
        </w:rPr>
        <w:t>[פס"ד חוק טל 1]</w:t>
      </w:r>
    </w:p>
    <w:p w:rsidR="005366A8" w:rsidRDefault="005366A8" w:rsidP="005366A8">
      <w:pPr>
        <w:spacing w:after="60"/>
        <w:jc w:val="center"/>
        <w:rPr>
          <w:i/>
          <w:iCs/>
          <w:rtl/>
        </w:rPr>
      </w:pPr>
      <w:r w:rsidRPr="00DE5C07">
        <w:rPr>
          <w:rFonts w:hint="cs"/>
          <w:highlight w:val="yellow"/>
          <w:rtl/>
        </w:rPr>
        <w:t xml:space="preserve">בג"צ 6298/07 </w:t>
      </w:r>
      <w:r w:rsidRPr="00DE5C07">
        <w:rPr>
          <w:rFonts w:hint="cs"/>
          <w:b/>
          <w:bCs/>
          <w:highlight w:val="yellow"/>
          <w:rtl/>
        </w:rPr>
        <w:t>רסלר נ' כנסת ישראל</w:t>
      </w:r>
      <w:r w:rsidRPr="00DE5C07">
        <w:rPr>
          <w:rFonts w:hint="cs"/>
          <w:highlight w:val="yellow"/>
          <w:rtl/>
        </w:rPr>
        <w:t xml:space="preserve"> (2012)</w:t>
      </w:r>
      <w:r w:rsidRPr="00467FA8">
        <w:rPr>
          <w:rFonts w:hint="cs"/>
          <w:rtl/>
        </w:rPr>
        <w:t xml:space="preserve"> </w:t>
      </w:r>
      <w:r w:rsidRPr="00467FA8">
        <w:rPr>
          <w:rFonts w:hint="cs"/>
          <w:i/>
          <w:iCs/>
          <w:rtl/>
        </w:rPr>
        <w:t>[פס"ד חוק טל 2]</w:t>
      </w:r>
    </w:p>
    <w:p w:rsidR="005366A8" w:rsidRDefault="005366A8" w:rsidP="005366A8">
      <w:pPr>
        <w:spacing w:after="60"/>
        <w:rPr>
          <w:rtl/>
        </w:rPr>
      </w:pPr>
    </w:p>
    <w:p w:rsidR="005366A8" w:rsidRPr="00DE5C07" w:rsidRDefault="005366A8" w:rsidP="005366A8">
      <w:pPr>
        <w:pStyle w:val="T-body"/>
        <w:spacing w:after="120" w:line="240" w:lineRule="auto"/>
        <w:jc w:val="left"/>
        <w:rPr>
          <w:i/>
          <w:iCs/>
          <w:sz w:val="22"/>
          <w:szCs w:val="22"/>
          <w:rtl/>
        </w:rPr>
      </w:pPr>
      <w:r w:rsidRPr="00D23F94">
        <w:rPr>
          <w:highlight w:val="yellow"/>
          <w:rtl/>
        </w:rPr>
        <w:t xml:space="preserve">בג"צ 6427/02 </w:t>
      </w:r>
      <w:r w:rsidRPr="00D23F94">
        <w:rPr>
          <w:b/>
          <w:bCs/>
          <w:highlight w:val="yellow"/>
          <w:rtl/>
        </w:rPr>
        <w:t>התנועה לאיכות השלטון נ' הכנסת</w:t>
      </w:r>
      <w:r w:rsidRPr="00D23F94">
        <w:rPr>
          <w:highlight w:val="yellow"/>
          <w:rtl/>
        </w:rPr>
        <w:t xml:space="preserve"> (</w:t>
      </w:r>
      <w:r w:rsidRPr="00D23F94">
        <w:rPr>
          <w:rFonts w:hint="cs"/>
          <w:highlight w:val="yellow"/>
          <w:rtl/>
        </w:rPr>
        <w:t>2006</w:t>
      </w:r>
      <w:r w:rsidRPr="00D23F94">
        <w:rPr>
          <w:highlight w:val="yellow"/>
          <w:rtl/>
        </w:rPr>
        <w:t>)</w:t>
      </w:r>
      <w:r>
        <w:rPr>
          <w:rFonts w:hint="cs"/>
          <w:rtl/>
        </w:rPr>
        <w:t xml:space="preserve"> </w:t>
      </w:r>
      <w:r w:rsidRPr="00DE5C07">
        <w:rPr>
          <w:rFonts w:hint="cs"/>
          <w:i/>
          <w:iCs/>
          <w:rtl/>
        </w:rPr>
        <w:t>[פס"ד חוק טל 1]</w:t>
      </w:r>
    </w:p>
    <w:p w:rsidR="005366A8" w:rsidRPr="00F67735" w:rsidRDefault="005366A8" w:rsidP="005366A8">
      <w:pPr>
        <w:pStyle w:val="ruller40"/>
        <w:spacing w:line="240" w:lineRule="auto"/>
        <w:rPr>
          <w:rFonts w:cs="FrankRuehl"/>
          <w:b/>
          <w:bCs/>
          <w:rtl/>
        </w:rPr>
      </w:pPr>
      <w:r>
        <w:rPr>
          <w:rFonts w:cs="FrankRuehl" w:hint="cs"/>
          <w:b/>
          <w:bCs/>
          <w:rtl/>
        </w:rPr>
        <w:t>השופט גרוניס</w:t>
      </w:r>
    </w:p>
    <w:p w:rsidR="005366A8" w:rsidRDefault="005366A8" w:rsidP="005366A8">
      <w:pPr>
        <w:pStyle w:val="ruller40"/>
        <w:spacing w:line="240" w:lineRule="auto"/>
        <w:rPr>
          <w:rtl/>
        </w:rPr>
      </w:pPr>
      <w:r>
        <w:rPr>
          <w:rFonts w:cs="FrankRuehl" w:hint="cs"/>
          <w:rtl/>
        </w:rPr>
        <w:t xml:space="preserve">[סע' 1] </w:t>
      </w:r>
      <w:r w:rsidRPr="006751AF">
        <w:rPr>
          <w:rFonts w:cs="FrankRuehl" w:hint="cs"/>
          <w:rtl/>
        </w:rPr>
        <w:t>בחינתי שלי את הסוגיה נעשית מזווית שונה לחלוטין מזו של חבריי. להשקפתי, אין מקום שבית משפט זה יקבע את דבר בטלותו של החוק. זאת, מאחר שאין צידוק להפעיל ביקורת שיפוטית על החוק, שכן מדובר בחוק המעניק זכות יתר למיעוט כאשר טענת הרוב היא לפגיעה בשוויון. במילים אחרות, כאשר הרוב פועל בדרכים דמוקרטיות ומקבל חוק הנותן עדיפות למיעוט, אין מקום שבית המשפט יהפוך לפטרונו של הרוב. קביעה שמעשה הרוב פסול הוא בהיותו מפלה, מהווה מעשה של פטרונות שאין לו צידוק בנסיבות דוגמת אלה בהן אנו עוסקים. לעניין הנסיבות, כוונתי לכך שהחוק הינו פרי של פשרה חברתית (כדברי הנשיא בפיסקה 54 לחוות דעתו) בין קבוצת הרוב לקבוצת המיעוט (ראו בפיסקה 9 להלן).</w:t>
      </w:r>
    </w:p>
    <w:p w:rsidR="005366A8" w:rsidRDefault="005366A8" w:rsidP="005366A8">
      <w:pPr>
        <w:pStyle w:val="ruller40"/>
        <w:spacing w:line="240" w:lineRule="auto"/>
        <w:rPr>
          <w:rFonts w:cs="FrankRuehl"/>
          <w:rtl/>
        </w:rPr>
      </w:pPr>
      <w:r>
        <w:rPr>
          <w:rFonts w:cs="FrankRuehl" w:hint="cs"/>
          <w:rtl/>
        </w:rPr>
        <w:t xml:space="preserve">[סע' 6 ו-7] </w:t>
      </w:r>
      <w:r w:rsidRPr="00F67CC9">
        <w:rPr>
          <w:rFonts w:cs="FrankRuehl" w:hint="cs"/>
          <w:highlight w:val="yellow"/>
          <w:rtl/>
        </w:rPr>
        <w:t>כיצד אם כן נצדיק קיומה של ביקורת שיפוטית על חקיקה?</w:t>
      </w:r>
      <w:r w:rsidRPr="00F67CC9">
        <w:rPr>
          <w:rFonts w:cs="FrankRuehl" w:hint="cs"/>
          <w:sz w:val="28"/>
          <w:szCs w:val="28"/>
          <w:highlight w:val="yellow"/>
          <w:rtl/>
        </w:rPr>
        <w:t xml:space="preserve"> </w:t>
      </w:r>
      <w:r w:rsidRPr="00F67CC9">
        <w:rPr>
          <w:rFonts w:cs="FrankRuehl" w:hint="cs"/>
          <w:highlight w:val="yellow"/>
          <w:rtl/>
        </w:rPr>
        <w:t>[...] כל האמירות הללו מתמצות בביטוי "עריצות הרוב"</w:t>
      </w:r>
      <w:r w:rsidRPr="006751AF">
        <w:rPr>
          <w:rFonts w:cs="FrankRuehl" w:hint="cs"/>
          <w:rtl/>
        </w:rPr>
        <w:t xml:space="preserve"> (</w:t>
      </w:r>
      <w:r w:rsidRPr="006751AF">
        <w:rPr>
          <w:rFonts w:cs="FrankRuehl"/>
        </w:rPr>
        <w:t>tyranny of the majority</w:t>
      </w:r>
      <w:r w:rsidRPr="006751AF">
        <w:rPr>
          <w:rFonts w:cs="FrankRuehl" w:hint="cs"/>
          <w:rtl/>
        </w:rPr>
        <w:t xml:space="preserve">). </w:t>
      </w:r>
      <w:r>
        <w:rPr>
          <w:rFonts w:cs="FrankRuehl" w:hint="cs"/>
          <w:rtl/>
        </w:rPr>
        <w:t xml:space="preserve">[...] </w:t>
      </w:r>
      <w:r w:rsidRPr="006751AF">
        <w:rPr>
          <w:rFonts w:cs="FrankRuehl" w:hint="cs"/>
          <w:rtl/>
        </w:rPr>
        <w:t>הצורך להגן על מיעוט מפני רוב כצידוק מרכזי לקיומה של ביקורת שיפוטית, הינו מוטיב חוזר בהגותו של המלומד ג' ה' איליי (</w:t>
      </w:r>
      <w:r w:rsidRPr="006751AF">
        <w:rPr>
          <w:rFonts w:cs="FrankRuehl"/>
        </w:rPr>
        <w:t>J. H. Ely</w:t>
      </w:r>
      <w:r w:rsidRPr="006751AF">
        <w:rPr>
          <w:rFonts w:cs="FrankRuehl" w:hint="cs"/>
          <w:rtl/>
        </w:rPr>
        <w:t>)</w:t>
      </w:r>
      <w:r>
        <w:rPr>
          <w:rFonts w:cs="FrankRuehl" w:hint="cs"/>
          <w:rtl/>
        </w:rPr>
        <w:t xml:space="preserve"> [...] </w:t>
      </w:r>
      <w:r w:rsidRPr="00F67CC9">
        <w:rPr>
          <w:rFonts w:cs="FrankRuehl" w:hint="cs"/>
          <w:highlight w:val="yellow"/>
          <w:rtl/>
        </w:rPr>
        <w:t>ראוי להוסיף, כי התערבות של בית המשפט תהא מוצדקת אף במקרים בהם המחוקק משנה את כללי המשחק, באופן שעלול לעוות את עקרונות היסוד של המשטר הדמוקרטי, לשבש את הכלל לפיו לכל אחד יש קול אחד או להקשות על קבוצת מיעוט להפוך לקבוצת רוב.</w:t>
      </w:r>
      <w:r w:rsidRPr="006751AF">
        <w:rPr>
          <w:rFonts w:cs="FrankRuehl" w:hint="cs"/>
          <w:rtl/>
        </w:rPr>
        <w:t xml:space="preserve"> דוגמה קיצונית שניתן לחשוב עליה בהקשר זה, היא של חוק הקובע שלאנשים מסוימים תהיה זכות בחירה כפולה בבחירות לכנסת. חוק מעין זה יהא פסול בוודאי אם קבוצת הרוב נוטלת לעצמה זכות כאמור, אך דבר בטלותו יהא נכון אפילו כאשר הזכות האמורה תוענק על ידי הרוב לקבוצת מיעוט בלבד (</w:t>
      </w:r>
      <w:r>
        <w:rPr>
          <w:rFonts w:cs="FrankRuehl" w:hint="cs"/>
          <w:rtl/>
        </w:rPr>
        <w:t>...</w:t>
      </w:r>
      <w:r w:rsidRPr="006751AF">
        <w:rPr>
          <w:rFonts w:cs="FrankRuehl" w:hint="cs"/>
          <w:rtl/>
        </w:rPr>
        <w:t>). הוא הדין בחוק המאריך את תקופת כהונתו של הפרלמנט (</w:t>
      </w:r>
      <w:r>
        <w:rPr>
          <w:rFonts w:cs="FrankRuehl" w:hint="cs"/>
          <w:rtl/>
        </w:rPr>
        <w:t>...</w:t>
      </w:r>
      <w:r w:rsidRPr="006751AF">
        <w:rPr>
          <w:rFonts w:cs="FrankRuehl" w:hint="cs"/>
          <w:rtl/>
        </w:rPr>
        <w:t>). דוגמה נוספת שניתן לחשוב עליה היא העלאה של אחוז החסימה לרמה כה גבוהה עד שהדבר עלול להביא להדרה של קבוצות מיעוט מן המערכת הדמוקרטית-ייצוגית (</w:t>
      </w:r>
      <w:r>
        <w:rPr>
          <w:rFonts w:cs="FrankRuehl" w:hint="cs"/>
          <w:rtl/>
        </w:rPr>
        <w:t>...</w:t>
      </w:r>
      <w:r w:rsidRPr="006751AF">
        <w:rPr>
          <w:rFonts w:cs="FrankRuehl" w:hint="cs"/>
          <w:rtl/>
        </w:rPr>
        <w:t>). דוגמה אחרת היא קבלתו של חוק בהליך פסול, בו חברי כנסת מסוימים מצביעים פעמיים והצבעתם הכפולה מכריעה את התוצאה מבחינת הרוב (</w:t>
      </w:r>
      <w:r>
        <w:rPr>
          <w:rFonts w:cs="FrankRuehl" w:hint="cs"/>
          <w:rtl/>
        </w:rPr>
        <w:t>...</w:t>
      </w:r>
      <w:r w:rsidRPr="006751AF">
        <w:rPr>
          <w:rFonts w:cs="FrankRuehl" w:hint="cs"/>
          <w:rtl/>
        </w:rPr>
        <w:t xml:space="preserve">). </w:t>
      </w:r>
      <w:r w:rsidRPr="00FC1692">
        <w:rPr>
          <w:rFonts w:cs="FrankRuehl" w:hint="cs"/>
          <w:highlight w:val="yellow"/>
          <w:rtl/>
        </w:rPr>
        <w:t>במצבים דוגמת אלה, על בית המשפט לעמוד על המשמר ולתקן את המעוות, שכן אין גורם אחר מלבדו שיש בידו לעשות כן</w:t>
      </w:r>
      <w:r w:rsidRPr="00FC1692">
        <w:rPr>
          <w:rFonts w:cs="FrankRuehl" w:hint="cs"/>
          <w:rtl/>
        </w:rPr>
        <w:t>.</w:t>
      </w:r>
    </w:p>
    <w:p w:rsidR="005366A8" w:rsidRPr="00FC1692" w:rsidRDefault="005366A8" w:rsidP="005366A8">
      <w:pPr>
        <w:pStyle w:val="ruller40"/>
        <w:spacing w:line="240" w:lineRule="auto"/>
        <w:rPr>
          <w:rFonts w:cs="FrankRuehl"/>
          <w:rtl/>
        </w:rPr>
      </w:pPr>
    </w:p>
    <w:p w:rsidR="005366A8" w:rsidRPr="00FC1692" w:rsidRDefault="005366A8" w:rsidP="005366A8">
      <w:pPr>
        <w:rPr>
          <w:sz w:val="22"/>
          <w:szCs w:val="22"/>
          <w:rtl/>
        </w:rPr>
      </w:pPr>
      <w:r w:rsidRPr="00FC1692">
        <w:rPr>
          <w:rFonts w:cs="Miriam" w:hint="cs"/>
          <w:sz w:val="22"/>
          <w:szCs w:val="22"/>
          <w:rtl/>
        </w:rPr>
        <w:t xml:space="preserve">סיכום  </w:t>
      </w:r>
    </w:p>
    <w:p w:rsidR="005366A8" w:rsidRPr="00FC1692" w:rsidRDefault="005366A8" w:rsidP="005366A8">
      <w:pPr>
        <w:pStyle w:val="ruller40"/>
        <w:spacing w:line="240" w:lineRule="auto"/>
        <w:rPr>
          <w:rFonts w:cs="FrankRuehl"/>
          <w:rtl/>
        </w:rPr>
      </w:pPr>
      <w:r w:rsidRPr="00FC1692">
        <w:rPr>
          <w:rFonts w:cs="FrankRuehl" w:hint="cs"/>
          <w:rtl/>
        </w:rPr>
        <w:t>15.</w:t>
      </w:r>
      <w:r w:rsidRPr="00FC1692">
        <w:rPr>
          <w:rFonts w:cs="Miriam" w:hint="cs"/>
          <w:rtl/>
        </w:rPr>
        <w:t xml:space="preserve">     </w:t>
      </w:r>
      <w:r w:rsidRPr="00FC1692">
        <w:rPr>
          <w:rFonts w:cs="FrankRuehl" w:hint="cs"/>
          <w:rtl/>
        </w:rPr>
        <w:t xml:space="preserve">דומה, כי אין מחלוקת שהחוק הפוטר בני ישיבה משירות בצבא מעורר רגשות עזים. אלה המתגייסים לצבא הגנה לישראל, ולעיתים מסכנים את חייהם, אפשר שיחושו תסכול ואף זעם על כך שקבוצת מיעוט נהנית מזכות יתר, במובן זה שבניה אינם חייבים להתגייס לצבא. ניתן להניח שהיה והחוק לא ישיג את מטרותיו, כי אז אותם רגשות יתגברו ויתעצמו. אם כך יקרה, ייתכן שקבוצת הרוב, או למצער חלקים מתוכה, יפעלו לחקיקת חוקים שישללו הטבות שונות מאלה שיימנעו משירות צבאי וגם משירות אזרחי (ראו דעתו של חברי המשנה לנשיא (בדימוס) מ' חשין בפיסקה 57 לחוות דעתו). אולם, לעת הזו עלינו לזכור כי זכות היתר ניתנה לקבוצת המיעוט באמצעות הכרעה דמוקרטית שנתקבלה בכנסת. משמע, קבוצת הרוב היא זו שהחליטה ליתן את זכות היתר לבני קבוצת המיעוט. נתון זה מחייב אותנו, על פי השקפתי, להתייחס לביקורת השיפוטית על החוק בצורה שונה לגמרי ממקרה בו דבר חקיקה מפלה לרעה קבוצת מיעוט. הצידוק המרכזי לקיומה של ביקורת שיפוטית על חקיקה הינו הצורך להגן על מיעוט ועל יחידים מפני עריצותו של הרוב. בית המשפט הינו המחסום האחרון שיכול למנוע מן הרוב לפגוע ביחידים ובקבוצות מיעוט. </w:t>
      </w:r>
      <w:r w:rsidRPr="00FC1692">
        <w:rPr>
          <w:rFonts w:cs="FrankRuehl" w:hint="cs"/>
          <w:highlight w:val="yellow"/>
          <w:rtl/>
        </w:rPr>
        <w:t>הפגיעה של החוק במקרה דנא הינה פגיעה קבוצתית בבני קבוצת הרוב. אין מדובר בפגיעה ביחידים, שכן לא הוכח שגיוסם של בני הישיבות לצבא יקטין במקביל, באופן יחסי ובצורה נקודתית את הנטל על מי מבין קבוצת הרוב. כאשר לכל אלה מצרפים אנו את העובדה שהחוק הינו פרי של פשרה חברתית, אין מקום לקבוע כי בטל הוא. אין זה מתפקידו של בית המשפט לשמש כאפוטרופוס לבני קבוצת הרוב ולהוציא עבורם את הערמונים מן האש.</w:t>
      </w:r>
    </w:p>
    <w:p w:rsidR="005366A8" w:rsidRDefault="005366A8" w:rsidP="005366A8">
      <w:pPr>
        <w:pStyle w:val="ruller40"/>
        <w:spacing w:line="240" w:lineRule="auto"/>
        <w:rPr>
          <w:rFonts w:cs="FrankRuehl"/>
          <w:rtl/>
        </w:rPr>
      </w:pPr>
    </w:p>
    <w:p w:rsidR="005366A8" w:rsidRPr="00F67735" w:rsidRDefault="005366A8" w:rsidP="005366A8">
      <w:pPr>
        <w:pStyle w:val="ruller40"/>
        <w:spacing w:line="240" w:lineRule="auto"/>
        <w:rPr>
          <w:rFonts w:cs="FrankRuehl"/>
          <w:rtl/>
        </w:rPr>
      </w:pPr>
      <w:r>
        <w:rPr>
          <w:rFonts w:cs="FrankRuehl" w:hint="cs"/>
          <w:b/>
          <w:bCs/>
          <w:rtl/>
        </w:rPr>
        <w:t>הנשיא ברק</w:t>
      </w:r>
      <w:r w:rsidRPr="00F67735">
        <w:rPr>
          <w:rFonts w:cs="FrankRuehl" w:hint="cs"/>
          <w:rtl/>
        </w:rPr>
        <w:t> </w:t>
      </w:r>
    </w:p>
    <w:p w:rsidR="005366A8" w:rsidRDefault="005366A8" w:rsidP="005366A8">
      <w:pPr>
        <w:pStyle w:val="ruller40"/>
        <w:spacing w:line="240" w:lineRule="auto"/>
        <w:rPr>
          <w:rFonts w:cs="FrankRuehl"/>
          <w:rtl/>
        </w:rPr>
      </w:pPr>
      <w:r w:rsidRPr="00F67735">
        <w:rPr>
          <w:rFonts w:cs="FrankRuehl" w:hint="cs"/>
          <w:rtl/>
        </w:rPr>
        <w:t>76.      על פי גישתו של חברי, השופט א' גרוניס, יש להבחין בין הגנה על הרוב לבין הגנה על המיעוט; יש להבחין בין הגנה על מהותה של הדמוקרטיה לבין הגנה על הליכי קבלת ההחלטות בה. חברי אינו מסביר מהן אמות המידה להבחנות אלה. כיצד נבחין בין הרוב למיעוט? וכיצד נבחין בין המהות להליך? כך למשל, במשטר פרלמנטרי רב מפלגתי המבוסס על קואליציות, מיהו הרוב ומיהו המיעוט? מפלגה קטנה המשמשת לשון מאזניים בקואליציה – האם מצביעיה הם חלק מהרוב או מהמיעוט? האם פגיעה בחופש הביטוי היא פגיעה במהות הדמוקרטיה, או בהליך הדמוקרטי? האם הקפדה על השוויון בזכות לבחור ולהיבחר מגנה על ערכיה המהותיים של הדמוקרטיה, או שמא מגנה היא על ההליך הדמוקרטי? (</w:t>
      </w:r>
      <w:r>
        <w:rPr>
          <w:rFonts w:cs="FrankRuehl" w:hint="cs"/>
          <w:rtl/>
        </w:rPr>
        <w:t>...</w:t>
      </w:r>
      <w:r w:rsidRPr="00F67735">
        <w:rPr>
          <w:rFonts w:cs="FrankRuehl" w:hint="cs"/>
          <w:rtl/>
        </w:rPr>
        <w:t>).</w:t>
      </w:r>
      <w:r w:rsidRPr="00F67735">
        <w:rPr>
          <w:rFonts w:cs="FrankRuehl" w:hint="cs"/>
        </w:rPr>
        <w:t xml:space="preserve"> </w:t>
      </w:r>
      <w:r w:rsidRPr="00F67735">
        <w:rPr>
          <w:rFonts w:cs="FrankRuehl" w:hint="cs"/>
          <w:rtl/>
        </w:rPr>
        <w:t>ולבסוף, על-פי אילו אמות מידה נבחין בין פגיעה במיעוט שהיא חלק מההליך הדמוקרטי התקין, ומתי נאמר שהפגיעה במיעוט הינה ביטוי של "עריצות הרוב"?</w:t>
      </w:r>
      <w:r>
        <w:rPr>
          <w:rFonts w:cs="FrankRuehl" w:hint="cs"/>
          <w:rtl/>
        </w:rPr>
        <w:t xml:space="preserve"> [...]</w:t>
      </w:r>
    </w:p>
    <w:p w:rsidR="005366A8" w:rsidRDefault="005366A8" w:rsidP="005366A8">
      <w:pPr>
        <w:pStyle w:val="ruller40"/>
        <w:spacing w:line="240" w:lineRule="auto"/>
        <w:rPr>
          <w:rFonts w:cs="FrankRuehl"/>
          <w:rtl/>
        </w:rPr>
      </w:pPr>
    </w:p>
    <w:p w:rsidR="005366A8" w:rsidRDefault="005366A8" w:rsidP="005366A8">
      <w:pPr>
        <w:pStyle w:val="ruller40"/>
        <w:spacing w:line="240" w:lineRule="auto"/>
        <w:rPr>
          <w:rFonts w:cs="FrankRuehl"/>
          <w:rtl/>
        </w:rPr>
      </w:pPr>
      <w:r w:rsidRPr="00F67735">
        <w:rPr>
          <w:rFonts w:cs="FrankRuehl" w:hint="cs"/>
          <w:rtl/>
        </w:rPr>
        <w:t xml:space="preserve"> 79.      תהא גישתו של אילי </w:t>
      </w:r>
      <w:r>
        <w:rPr>
          <w:rFonts w:cs="FrankRuehl" w:hint="cs"/>
          <w:rtl/>
        </w:rPr>
        <w:t>[</w:t>
      </w:r>
      <w:r>
        <w:rPr>
          <w:rFonts w:cs="FrankRuehl"/>
        </w:rPr>
        <w:t>Ely</w:t>
      </w:r>
      <w:r>
        <w:rPr>
          <w:rFonts w:cs="FrankRuehl" w:hint="cs"/>
          <w:rtl/>
        </w:rPr>
        <w:t xml:space="preserve">] </w:t>
      </w:r>
      <w:r w:rsidRPr="00F67735">
        <w:rPr>
          <w:rFonts w:cs="FrankRuehl" w:hint="cs"/>
          <w:rtl/>
        </w:rPr>
        <w:t xml:space="preserve">אשר תהא, לא ניתן לעגנה במבנה החוקתי של ישראל. חברי השופט א' גרוניס לא הסביר כלל, כיצד זה ניתן לאמצה בישראל? לא הוסבר כלל, כיצד ניתן לישבה עם פסיקתו של בית משפט זה מאז פרשת בנק המזרחי המאוחד. האם הבנקים והנושים של המגזר החקלאי אשר חוק הסדרים במגזר החקלאי המשפחתי (תיקון), תשנ"ג-1993 פגע בהם, הם קבוצת מיעוט שיש להגן עליהם? האם זהו ההגיון המונח ביסוד כל חוות הדעת שניתנו בפרשה זו? והאם יועצי ההשקעות אשר נפגעו מהוראות חוק הסדרת העיסוק בייעוץ השקעות ובניהול תיקי השקעות, תשנ"ה-1995, הם קבוצת מיעוט? </w:t>
      </w:r>
      <w:r>
        <w:rPr>
          <w:rFonts w:cs="FrankRuehl" w:hint="cs"/>
          <w:rtl/>
        </w:rPr>
        <w:t>[...]</w:t>
      </w:r>
      <w:r w:rsidRPr="00F67735">
        <w:rPr>
          <w:rFonts w:cs="FrankRuehl" w:hint="cs"/>
          <w:rtl/>
        </w:rPr>
        <w:t xml:space="preserve"> האם החייל שנעצר והוחזק בכלא חמישה ימים על פי הוראות חוק השיפוט הצבאי, תשט"ו-1955, שייך לקבוצת מיעוט שעליה יש להגן? </w:t>
      </w:r>
      <w:r>
        <w:rPr>
          <w:rFonts w:cs="FrankRuehl" w:hint="cs"/>
          <w:rtl/>
        </w:rPr>
        <w:t>[...]</w:t>
      </w:r>
      <w:r w:rsidRPr="00F67735">
        <w:rPr>
          <w:rFonts w:cs="FrankRuehl" w:hint="cs"/>
          <w:rtl/>
        </w:rPr>
        <w:t xml:space="preserve"> וכיצד מסביר חברי את הביקורת השיפוטית בפרשת ח"כ אורון ובפרשת המועצה האזורית חוף עזה?</w:t>
      </w:r>
    </w:p>
    <w:p w:rsidR="005366A8" w:rsidRDefault="005366A8" w:rsidP="005366A8">
      <w:pPr>
        <w:pStyle w:val="ruller40"/>
        <w:spacing w:line="240" w:lineRule="auto"/>
        <w:rPr>
          <w:rFonts w:cs="FrankRuehl"/>
          <w:rtl/>
        </w:rPr>
      </w:pPr>
    </w:p>
    <w:p w:rsidR="005366A8" w:rsidRPr="00F67735" w:rsidRDefault="005366A8" w:rsidP="005366A8">
      <w:pPr>
        <w:pStyle w:val="ruller40"/>
        <w:spacing w:line="240" w:lineRule="auto"/>
        <w:rPr>
          <w:rFonts w:cs="FrankRuehl"/>
          <w:rtl/>
        </w:rPr>
      </w:pPr>
      <w:r w:rsidRPr="00F67735">
        <w:rPr>
          <w:rFonts w:cs="FrankRuehl" w:hint="cs"/>
          <w:rtl/>
        </w:rPr>
        <w:t xml:space="preserve">80.      </w:t>
      </w:r>
      <w:r w:rsidRPr="00CB2197">
        <w:rPr>
          <w:rFonts w:cs="FrankRuehl" w:hint="cs"/>
          <w:highlight w:val="yellow"/>
          <w:rtl/>
        </w:rPr>
        <w:t>אכן, המבנה החוקתי שלנו מעניק הגנה לכל אדם באשר הוא אדם.</w:t>
      </w:r>
      <w:r w:rsidRPr="00F67735">
        <w:rPr>
          <w:rFonts w:cs="FrankRuehl" w:hint="cs"/>
          <w:rtl/>
        </w:rPr>
        <w:t xml:space="preserve"> הוא "מושתת על ההכרה בערך האדם, בקדושת חייו ובהיותו בן חורין" (סעיף 1 לחוק-יסוד: כבוד האדם וחירותו). </w:t>
      </w:r>
      <w:r w:rsidRPr="00CB2197">
        <w:rPr>
          <w:rFonts w:cs="FrankRuehl" w:hint="cs"/>
          <w:highlight w:val="yellow"/>
          <w:rtl/>
        </w:rPr>
        <w:t>הוא מגן על זכותו של כל יחיד, בין אם הוא חלק מקבוצת מיעוט ובין אם הוא חלק מקבוצת רוב. אכן, כל אדם עומד לעצמו. בהיבטים מסויימים הוא שייך לרוב פלוני. בהיבטים אחרים הוא שייך למיעוט אלמוני. חוקי היסוד שלנו  עוסקים באדם על כל היבטיו. פגיעתו של חוק דחיית השירות אינה בקבוצת הרוב. פגיעתו אינה קבוצתית. פגיעתו היא אישית. על זכות אישית זו מגינים חוקי היסוד שלנו.</w:t>
      </w:r>
      <w:r w:rsidRPr="00F67735">
        <w:rPr>
          <w:rFonts w:cs="FrankRuehl" w:hint="cs"/>
          <w:rtl/>
        </w:rPr>
        <w:t xml:space="preserve"> ניתן לפגוע בה אם מתקיימות תנאיה של פסקת ההגבלה. זוהי המסגרת החוקתית, לפיה נבחנת חוקתיותם של חוקים בישראל. אינני סבור שיש מקום לסטות ממנה.</w:t>
      </w:r>
      <w:r>
        <w:rPr>
          <w:rFonts w:cs="FrankRuehl" w:hint="cs"/>
          <w:rtl/>
        </w:rPr>
        <w:t xml:space="preserve"> [...]</w:t>
      </w:r>
    </w:p>
    <w:p w:rsidR="005366A8" w:rsidRDefault="005366A8" w:rsidP="005366A8">
      <w:pPr>
        <w:rPr>
          <w:rFonts w:ascii="Arial" w:hAnsi="Arial" w:cs="Arial"/>
          <w:sz w:val="20"/>
          <w:szCs w:val="20"/>
          <w:rtl/>
        </w:rPr>
      </w:pPr>
      <w:r>
        <w:rPr>
          <w:rFonts w:ascii="Arial" w:hAnsi="Arial" w:cs="Arial" w:hint="cs"/>
          <w:sz w:val="20"/>
          <w:szCs w:val="20"/>
          <w:rtl/>
        </w:rPr>
        <w:t>=-=</w:t>
      </w:r>
    </w:p>
    <w:p w:rsidR="005366A8" w:rsidRDefault="005366A8" w:rsidP="005366A8">
      <w:pPr>
        <w:rPr>
          <w:rFonts w:ascii="Arial" w:hAnsi="Arial" w:cs="Arial"/>
          <w:sz w:val="20"/>
          <w:szCs w:val="20"/>
          <w:rtl/>
        </w:rPr>
      </w:pPr>
    </w:p>
    <w:p w:rsidR="005366A8" w:rsidRDefault="005366A8" w:rsidP="005366A8">
      <w:pPr>
        <w:spacing w:after="60"/>
        <w:rPr>
          <w:rtl/>
        </w:rPr>
      </w:pPr>
      <w:r w:rsidRPr="00DE5C07">
        <w:rPr>
          <w:rFonts w:hint="cs"/>
          <w:highlight w:val="yellow"/>
          <w:rtl/>
        </w:rPr>
        <w:t xml:space="preserve">בג"צ 6298/07 </w:t>
      </w:r>
      <w:r w:rsidRPr="00DE5C07">
        <w:rPr>
          <w:rFonts w:hint="cs"/>
          <w:b/>
          <w:bCs/>
          <w:highlight w:val="yellow"/>
          <w:rtl/>
        </w:rPr>
        <w:t>רסלר נ' כנסת ישראל</w:t>
      </w:r>
      <w:r w:rsidRPr="00DE5C07">
        <w:rPr>
          <w:rFonts w:hint="cs"/>
          <w:highlight w:val="yellow"/>
          <w:rtl/>
        </w:rPr>
        <w:t xml:space="preserve"> (2012)</w:t>
      </w:r>
      <w:r w:rsidRPr="00467FA8">
        <w:rPr>
          <w:rFonts w:hint="cs"/>
          <w:rtl/>
        </w:rPr>
        <w:t xml:space="preserve"> </w:t>
      </w:r>
      <w:r w:rsidRPr="00467FA8">
        <w:rPr>
          <w:rFonts w:hint="cs"/>
          <w:i/>
          <w:iCs/>
          <w:rtl/>
        </w:rPr>
        <w:t>[פס"ד חוק טל 2]</w:t>
      </w:r>
    </w:p>
    <w:p w:rsidR="005366A8" w:rsidRPr="00BD0FDE" w:rsidRDefault="005366A8" w:rsidP="005366A8">
      <w:pPr>
        <w:spacing w:after="60"/>
        <w:rPr>
          <w:sz w:val="22"/>
          <w:szCs w:val="22"/>
          <w:rtl/>
        </w:rPr>
      </w:pPr>
    </w:p>
    <w:p w:rsidR="005366A8" w:rsidRPr="00BD0FDE" w:rsidRDefault="005366A8" w:rsidP="005366A8">
      <w:pPr>
        <w:pStyle w:val="BODYVERDICT"/>
        <w:rPr>
          <w:szCs w:val="22"/>
          <w:rtl/>
        </w:rPr>
      </w:pPr>
      <w:r w:rsidRPr="00BD0FDE">
        <w:rPr>
          <w:rFonts w:hint="cs"/>
          <w:b/>
          <w:bCs/>
          <w:szCs w:val="22"/>
          <w:u w:val="single"/>
          <w:rtl/>
        </w:rPr>
        <w:t>השופט גרוניס</w:t>
      </w:r>
    </w:p>
    <w:p w:rsidR="005366A8" w:rsidRPr="00BD0FDE" w:rsidRDefault="005366A8" w:rsidP="005366A8">
      <w:pPr>
        <w:pStyle w:val="Ruller41"/>
        <w:spacing w:line="240" w:lineRule="auto"/>
        <w:rPr>
          <w:szCs w:val="22"/>
          <w:rtl/>
        </w:rPr>
      </w:pPr>
      <w:r w:rsidRPr="00BD0FDE">
        <w:rPr>
          <w:rFonts w:hint="cs"/>
          <w:szCs w:val="22"/>
          <w:rtl/>
        </w:rPr>
        <w:t>1.</w:t>
      </w:r>
      <w:r w:rsidRPr="00BD0FDE">
        <w:rPr>
          <w:rFonts w:hint="cs"/>
          <w:szCs w:val="22"/>
          <w:rtl/>
        </w:rPr>
        <w:tab/>
        <w:t>שוב ניצבת בפנינו הסוגייה בדבר אי גיוסם של בני ישיבות חרדיות לצבא ההגנה לישראל. דעתי היא, בניגוד לדעת חבריי, כי עדיף היה לו לבית המשפט שלא להידרש כלל לסוגייה ולהותירה במרחב הציבורי, מחוץ לתחומו של בית המשפט. בחוות דעתי שניתנה לפני כשש שנים ב</w:t>
      </w:r>
      <w:hyperlink r:id="rId81" w:history="1">
        <w:r w:rsidRPr="00BD0FDE">
          <w:rPr>
            <w:color w:val="0000FF"/>
            <w:szCs w:val="22"/>
            <w:u w:val="single"/>
            <w:rtl/>
          </w:rPr>
          <w:t>בג"ץ 6427/02</w:t>
        </w:r>
      </w:hyperlink>
      <w:r w:rsidRPr="00BD0FDE">
        <w:rPr>
          <w:rFonts w:hint="cs"/>
          <w:szCs w:val="22"/>
          <w:rtl/>
        </w:rPr>
        <w:t xml:space="preserve"> </w:t>
      </w:r>
      <w:r w:rsidRPr="00BD0FDE">
        <w:rPr>
          <w:rFonts w:ascii="Times New Roman" w:hAnsi="Times New Roman" w:cs="Miriam" w:hint="cs"/>
          <w:spacing w:val="0"/>
          <w:szCs w:val="22"/>
          <w:rtl/>
        </w:rPr>
        <w:t>התנועה לאיכות השלטון בישראל נ' הכנסת</w:t>
      </w:r>
      <w:r w:rsidRPr="00BD0FDE">
        <w:rPr>
          <w:rFonts w:hint="cs"/>
          <w:szCs w:val="22"/>
          <w:rtl/>
        </w:rPr>
        <w:t xml:space="preserve"> (לא פורסם, 11.5.06), הסברתי את עמדתי, כי אין צידוק להפעיל בקורת שיפוטית במקרה זה לגבי חוק של הכנסת. זאת, משום שהחוק הרלוונטי – </w:t>
      </w:r>
      <w:hyperlink r:id="rId82" w:history="1">
        <w:r w:rsidRPr="00BD0FDE">
          <w:rPr>
            <w:color w:val="0000FF"/>
            <w:szCs w:val="22"/>
            <w:u w:val="single"/>
            <w:rtl/>
          </w:rPr>
          <w:t>חוק דחיית שירות לתלמידי ישיבות שתורתם אומנותם</w:t>
        </w:r>
      </w:hyperlink>
      <w:r w:rsidRPr="00BD0FDE">
        <w:rPr>
          <w:rFonts w:hint="cs"/>
          <w:szCs w:val="22"/>
          <w:rtl/>
        </w:rPr>
        <w:t xml:space="preserve">, התשס"ב-2002 – הינו חוק בו הרוב העניק זכות יתר למיעוט. </w:t>
      </w:r>
      <w:r w:rsidRPr="00BD0FDE">
        <w:rPr>
          <w:rFonts w:hint="cs"/>
          <w:szCs w:val="22"/>
          <w:highlight w:val="yellow"/>
          <w:rtl/>
        </w:rPr>
        <w:t>כפי שכתבתי, "כאשר הרוב פועל בדרכים דמוקרטיות ומקבל חוק הנותן עדיפות למיעוט, אין מקום שבית המשפט יהפוך לפטרונו של הרוב"</w:t>
      </w:r>
      <w:r w:rsidRPr="00BD0FDE">
        <w:rPr>
          <w:rFonts w:hint="cs"/>
          <w:szCs w:val="22"/>
          <w:rtl/>
        </w:rPr>
        <w:t xml:space="preserve"> (פיסקה 1 לחוות דעתי ב</w:t>
      </w:r>
      <w:hyperlink r:id="rId83" w:history="1">
        <w:r w:rsidRPr="00BD0FDE">
          <w:rPr>
            <w:color w:val="0000FF"/>
            <w:szCs w:val="22"/>
            <w:u w:val="single"/>
            <w:rtl/>
          </w:rPr>
          <w:t>בג"ץ 6427/02</w:t>
        </w:r>
      </w:hyperlink>
      <w:r w:rsidRPr="00BD0FDE">
        <w:rPr>
          <w:rFonts w:hint="cs"/>
          <w:szCs w:val="22"/>
          <w:rtl/>
        </w:rPr>
        <w:t xml:space="preserve"> הנ"ל).</w:t>
      </w:r>
    </w:p>
    <w:p w:rsidR="005366A8" w:rsidRPr="00BD0FDE" w:rsidRDefault="005366A8" w:rsidP="005366A8">
      <w:pPr>
        <w:pStyle w:val="Ruller41"/>
        <w:spacing w:line="240" w:lineRule="auto"/>
        <w:rPr>
          <w:szCs w:val="22"/>
          <w:rtl/>
        </w:rPr>
      </w:pPr>
    </w:p>
    <w:p w:rsidR="005366A8" w:rsidRPr="00BD0FDE" w:rsidRDefault="005366A8" w:rsidP="005366A8">
      <w:pPr>
        <w:pStyle w:val="Ruller41"/>
        <w:spacing w:line="240" w:lineRule="auto"/>
        <w:rPr>
          <w:szCs w:val="22"/>
          <w:rtl/>
        </w:rPr>
      </w:pPr>
      <w:r w:rsidRPr="00BD0FDE">
        <w:rPr>
          <w:rFonts w:hint="cs"/>
          <w:szCs w:val="22"/>
          <w:rtl/>
        </w:rPr>
        <w:t>2.</w:t>
      </w:r>
      <w:r w:rsidRPr="00BD0FDE">
        <w:rPr>
          <w:rFonts w:hint="cs"/>
          <w:szCs w:val="22"/>
          <w:rtl/>
        </w:rPr>
        <w:tab/>
        <w:t>על פי התוצאה של עמדת הרוב בהליך דנא (הנשיאה ד' ביניש, השופטת מ' נאור, השופט א' רובינשטיין, השופטת א' חיות, השופט ח' מלצר והשופט נ' הנדל), יעמוד החוק בתוקף עד ליומו האחרון - 1.8.12 - ולא ניתן יהיה להאריכו שוב. עקב הכרעה זו פתוחות בפני הכנסת שתי אפשרויות: האחת, אי קבלה של חוק אחר תחת החוק שיפקע; השנייה, קבלתו של חוק חדש שינסה לענות בצורה טובה יותר לבעיות ולפגמים עליהם מצביעים שופטי הרוב.</w:t>
      </w:r>
    </w:p>
    <w:p w:rsidR="005366A8" w:rsidRPr="00BD0FDE" w:rsidRDefault="005366A8" w:rsidP="005366A8">
      <w:pPr>
        <w:pStyle w:val="Ruller41"/>
        <w:spacing w:line="240" w:lineRule="auto"/>
        <w:rPr>
          <w:szCs w:val="22"/>
          <w:rtl/>
        </w:rPr>
      </w:pPr>
      <w:r w:rsidRPr="00BD0FDE">
        <w:rPr>
          <w:rFonts w:hint="cs"/>
          <w:szCs w:val="22"/>
          <w:rtl/>
        </w:rPr>
        <w:tab/>
        <w:t xml:space="preserve">אם תאומץ האפשרות הראשונה, היינו הכנסת לא תחוקק חוק חדש בנושא,  המשמעות התיאורטית תהא שהצעירים החרדים, שאינם מתגייסים כיום לצבא, יהיו חייבים להתגייס, כבני הרוב. דומני שמעטים במדינה (ואולי אף זו הגזמה) סבורים שאכן צפוי גיוס המוני של בני ישיבות חרדיות לצה"ל. אם אכן לא יתקבל חוק חדש ותוגש עתירה חדשה בה תידרש הממשלה, כולל שר הביטחון, לכפות גיוס, האם פסק דין שיקבל את העתירה יביא את הגיוס המיוחל?! דומה שהתשובה מתבקשת מאליה. </w:t>
      </w:r>
    </w:p>
    <w:p w:rsidR="005366A8" w:rsidRPr="00BD0FDE" w:rsidRDefault="005366A8" w:rsidP="005366A8">
      <w:pPr>
        <w:pStyle w:val="Ruller41"/>
        <w:spacing w:line="240" w:lineRule="auto"/>
        <w:rPr>
          <w:szCs w:val="22"/>
          <w:rtl/>
        </w:rPr>
      </w:pPr>
      <w:r w:rsidRPr="00BD0FDE">
        <w:rPr>
          <w:rFonts w:hint="cs"/>
          <w:szCs w:val="22"/>
          <w:rtl/>
        </w:rPr>
        <w:tab/>
      </w:r>
      <w:r w:rsidRPr="00CB2197">
        <w:rPr>
          <w:rFonts w:hint="cs"/>
          <w:szCs w:val="22"/>
          <w:rtl/>
        </w:rPr>
        <w:t xml:space="preserve">האפשרות האחרת, ונראה שזו ריאלית יותר מן הקודמת, היא שבעקבות פסק הדין תקבל הכנסת חוק חדש שינסה לתקן, במידה כלשהי, את הפגמים שבחוק הנוכחי. ניתן להעריך כבר עתה שחוק כזה לא יספק את הדרישות של חלקים מן הרוב (המורכב מחילוניים, מסורתיים ודתיים המתגייסים לצבא). על כן, אין ספק שתוגש בעתיד עתירה נוספת בה תבואנה השגות לגבי החוק החדש. </w:t>
      </w:r>
      <w:r w:rsidRPr="00BD0FDE">
        <w:rPr>
          <w:rFonts w:hint="cs"/>
          <w:szCs w:val="22"/>
          <w:highlight w:val="yellow"/>
          <w:rtl/>
        </w:rPr>
        <w:t>ההתעסקות החוזרת ונשנית של בית משפט זה בנושא של גיוס חרדים, בלא שמושגת התקדמות ממשית כתוצאה ממעורבות שיפוטית, בוודאי שאינה תורמת למעמדו של בית המשפט. זאת ועוד, זו אשליה לצפות שהחלטות שיפוטיות יביאו לגיוסם של חרדים לצה"ל ולכניסתם לשוק העבודה. שינויים חברתיים וכלכליים עשויים להביא לתוצאה המקווה. היכולת של בית המשפט להשפיע במקרה דוגמת זה שבפנינו הינה מועטה.</w:t>
      </w:r>
      <w:r w:rsidRPr="00BD0FDE">
        <w:rPr>
          <w:rFonts w:hint="cs"/>
          <w:szCs w:val="22"/>
          <w:rtl/>
        </w:rPr>
        <w:t xml:space="preserve"> </w:t>
      </w:r>
    </w:p>
    <w:p w:rsidR="005366A8" w:rsidRPr="00BD0FDE" w:rsidRDefault="005366A8" w:rsidP="005366A8">
      <w:pPr>
        <w:pStyle w:val="Ruller41"/>
        <w:spacing w:line="240" w:lineRule="auto"/>
        <w:rPr>
          <w:szCs w:val="22"/>
          <w:rtl/>
        </w:rPr>
      </w:pPr>
    </w:p>
    <w:p w:rsidR="005366A8" w:rsidRPr="00062CF8" w:rsidRDefault="005366A8" w:rsidP="005366A8">
      <w:pPr>
        <w:pStyle w:val="Ruller41"/>
        <w:spacing w:line="240" w:lineRule="auto"/>
        <w:rPr>
          <w:szCs w:val="22"/>
          <w:highlight w:val="yellow"/>
          <w:rtl/>
        </w:rPr>
      </w:pPr>
      <w:r w:rsidRPr="00062CF8">
        <w:rPr>
          <w:rFonts w:hint="cs"/>
          <w:szCs w:val="22"/>
          <w:highlight w:val="yellow"/>
          <w:rtl/>
        </w:rPr>
        <w:t>3.</w:t>
      </w:r>
      <w:r w:rsidRPr="00062CF8">
        <w:rPr>
          <w:rFonts w:hint="cs"/>
          <w:szCs w:val="22"/>
          <w:highlight w:val="yellow"/>
          <w:rtl/>
        </w:rPr>
        <w:tab/>
        <w:t xml:space="preserve">לסיכום, אין הצדקה להתערבות של בית המשפט הגבוה לצדק במקרה זה. זאת, משום שבמקרה דנא עסקינן בהחלטה של הרוב במדינה (על פי הייצוג בכנסת) לקבל חוק הנותן זכות יתר - שלא להתגייס לצבא - למיעוט. כאשר מדובר בזכות כאמור, שאינה כרוכה בפגיעה במנגנונים הדמוקרטיים, בפגיעה ביחידים ככאלה או בפגיעה בקבוצת מיעוט, אין צידוק להפעיל בקורת שיפוטית. מה גם שהתרומה של בית המשפט לשינוי בהתנהלות החברתית של מגזר שלם בחברה הישראלית מצומצמת ביותר, ואינה מצדיקה את מעורבותו של בית המשפט בנושא. </w:t>
      </w:r>
    </w:p>
    <w:p w:rsidR="005366A8" w:rsidRPr="00062CF8" w:rsidRDefault="005366A8" w:rsidP="005366A8">
      <w:pPr>
        <w:spacing w:after="60"/>
        <w:rPr>
          <w:sz w:val="22"/>
          <w:szCs w:val="22"/>
          <w:highlight w:val="yellow"/>
          <w:rtl/>
        </w:rPr>
      </w:pPr>
    </w:p>
    <w:p w:rsidR="005366A8" w:rsidRPr="00062CF8" w:rsidRDefault="005366A8" w:rsidP="005366A8">
      <w:pPr>
        <w:spacing w:after="60"/>
        <w:rPr>
          <w:rFonts w:cs="FrankRuehl"/>
          <w:sz w:val="22"/>
          <w:szCs w:val="22"/>
          <w:highlight w:val="yellow"/>
          <w:rtl/>
        </w:rPr>
      </w:pPr>
      <w:r w:rsidRPr="00062CF8">
        <w:rPr>
          <w:rFonts w:cs="FrankRuehl" w:hint="cs"/>
          <w:b/>
          <w:bCs/>
          <w:sz w:val="22"/>
          <w:szCs w:val="22"/>
          <w:highlight w:val="yellow"/>
          <w:u w:val="single"/>
          <w:rtl/>
        </w:rPr>
        <w:t>הנשיאה ביניש</w:t>
      </w:r>
    </w:p>
    <w:p w:rsidR="005366A8" w:rsidRPr="00062CF8" w:rsidRDefault="005366A8" w:rsidP="005366A8">
      <w:pPr>
        <w:pStyle w:val="Ruller41"/>
        <w:spacing w:line="240" w:lineRule="auto"/>
        <w:rPr>
          <w:szCs w:val="22"/>
          <w:rtl/>
        </w:rPr>
      </w:pPr>
      <w:r w:rsidRPr="00062CF8">
        <w:rPr>
          <w:rFonts w:hint="cs"/>
          <w:szCs w:val="22"/>
          <w:rtl/>
        </w:rPr>
        <w:t>69.</w:t>
      </w:r>
      <w:r w:rsidRPr="00062CF8">
        <w:rPr>
          <w:rFonts w:hint="cs"/>
          <w:szCs w:val="22"/>
          <w:rtl/>
        </w:rPr>
        <w:tab/>
        <w:t xml:space="preserve">ומכאן לחוות הדעת של חברי השופט </w:t>
      </w:r>
      <w:r w:rsidRPr="00062CF8">
        <w:rPr>
          <w:rFonts w:ascii="Times New Roman" w:hAnsi="Times New Roman" w:cs="Miriam" w:hint="cs"/>
          <w:spacing w:val="0"/>
          <w:szCs w:val="22"/>
          <w:rtl/>
        </w:rPr>
        <w:t>גרוניס</w:t>
      </w:r>
      <w:r w:rsidRPr="00062CF8">
        <w:rPr>
          <w:rFonts w:hint="cs"/>
          <w:szCs w:val="22"/>
          <w:rtl/>
        </w:rPr>
        <w:t xml:space="preserve">, שסבר כי העניין איננו מתאים לדיון בבית המשפט. לגישת השופט </w:t>
      </w:r>
      <w:r w:rsidRPr="00062CF8">
        <w:rPr>
          <w:rFonts w:ascii="Times New Roman" w:hAnsi="Times New Roman" w:cs="Miriam" w:hint="cs"/>
          <w:spacing w:val="0"/>
          <w:szCs w:val="22"/>
          <w:rtl/>
        </w:rPr>
        <w:t>גרוניס</w:t>
      </w:r>
      <w:r w:rsidRPr="00062CF8">
        <w:rPr>
          <w:rFonts w:hint="cs"/>
          <w:szCs w:val="22"/>
          <w:rtl/>
        </w:rPr>
        <w:t xml:space="preserve">, על בית המשפט להימנע מדיון בחוקתיות חוק דחיית השירות, הואיל ובחוק ניתנה למיעוט זכות יתר על ידי הרוב. תפיסה זו עמדה גם ביסוד חוות דעתו של חברי השופט </w:t>
      </w:r>
      <w:r w:rsidRPr="00062CF8">
        <w:rPr>
          <w:rFonts w:ascii="Times New Roman" w:hAnsi="Times New Roman" w:cs="Miriam" w:hint="cs"/>
          <w:spacing w:val="0"/>
          <w:szCs w:val="22"/>
          <w:rtl/>
        </w:rPr>
        <w:t>גרוניס</w:t>
      </w:r>
      <w:r w:rsidRPr="00062CF8">
        <w:rPr>
          <w:rFonts w:hint="cs"/>
          <w:szCs w:val="22"/>
          <w:rtl/>
        </w:rPr>
        <w:t xml:space="preserve"> ב</w:t>
      </w:r>
      <w:r w:rsidRPr="00062CF8">
        <w:rPr>
          <w:rFonts w:ascii="Times New Roman" w:hAnsi="Times New Roman" w:cs="Miriam" w:hint="cs"/>
          <w:spacing w:val="0"/>
          <w:szCs w:val="22"/>
          <w:rtl/>
        </w:rPr>
        <w:t>פרשת התנועה לאיכות השלטון</w:t>
      </w:r>
      <w:r w:rsidRPr="00062CF8">
        <w:rPr>
          <w:rFonts w:hint="cs"/>
          <w:szCs w:val="22"/>
          <w:rtl/>
        </w:rPr>
        <w:t xml:space="preserve">. </w:t>
      </w:r>
    </w:p>
    <w:p w:rsidR="005366A8" w:rsidRPr="00062CF8" w:rsidRDefault="005366A8" w:rsidP="005366A8">
      <w:pPr>
        <w:pStyle w:val="Ruller41"/>
        <w:spacing w:line="240" w:lineRule="auto"/>
        <w:rPr>
          <w:szCs w:val="22"/>
          <w:rtl/>
        </w:rPr>
      </w:pPr>
      <w:r w:rsidRPr="00062CF8">
        <w:rPr>
          <w:rFonts w:hint="cs"/>
          <w:szCs w:val="22"/>
          <w:rtl/>
        </w:rPr>
        <w:tab/>
      </w:r>
      <w:r w:rsidRPr="00062CF8">
        <w:rPr>
          <w:rFonts w:ascii="Times New Roman" w:hAnsi="Times New Roman" w:cs="Miriam" w:hint="cs"/>
          <w:spacing w:val="0"/>
          <w:szCs w:val="22"/>
          <w:rtl/>
        </w:rPr>
        <w:t>הנשיא א' ברק</w:t>
      </w:r>
      <w:r w:rsidRPr="00062CF8">
        <w:rPr>
          <w:rFonts w:hint="cs"/>
          <w:szCs w:val="22"/>
          <w:rtl/>
        </w:rPr>
        <w:t>, שכתב את פסק הדין העיקרי ב</w:t>
      </w:r>
      <w:r w:rsidRPr="00062CF8">
        <w:rPr>
          <w:rFonts w:ascii="Times New Roman" w:hAnsi="Times New Roman" w:cs="Miriam" w:hint="cs"/>
          <w:spacing w:val="0"/>
          <w:szCs w:val="22"/>
          <w:rtl/>
        </w:rPr>
        <w:t>פרשת התנועה לאיכות השלטון</w:t>
      </w:r>
      <w:r w:rsidRPr="00062CF8">
        <w:rPr>
          <w:rFonts w:hint="cs"/>
          <w:szCs w:val="22"/>
          <w:rtl/>
        </w:rPr>
        <w:t xml:space="preserve">, עמד על הקשיים הטמונים בתיאוריה של ביקורת חוקתית המצדיקה הימנעות של בית המשפט מהפעלת ביקורת שיפוטית על חוק המשקף הענקת זכות יתר למיעוט על ידי הרוב (ראו: </w:t>
      </w:r>
      <w:r w:rsidRPr="00062CF8">
        <w:rPr>
          <w:rFonts w:ascii="Times New Roman" w:hAnsi="Times New Roman" w:cs="Miriam" w:hint="cs"/>
          <w:spacing w:val="0"/>
          <w:szCs w:val="22"/>
          <w:rtl/>
        </w:rPr>
        <w:t>פרשת</w:t>
      </w:r>
      <w:r w:rsidRPr="00062CF8">
        <w:rPr>
          <w:rFonts w:hint="cs"/>
          <w:szCs w:val="22"/>
          <w:rtl/>
        </w:rPr>
        <w:t xml:space="preserve"> </w:t>
      </w:r>
      <w:r w:rsidRPr="00062CF8">
        <w:rPr>
          <w:rFonts w:ascii="Times New Roman" w:hAnsi="Times New Roman" w:cs="Miriam" w:hint="cs"/>
          <w:spacing w:val="0"/>
          <w:szCs w:val="22"/>
          <w:rtl/>
        </w:rPr>
        <w:t>התנועה לאיכות השלטון</w:t>
      </w:r>
      <w:r w:rsidRPr="00062CF8">
        <w:rPr>
          <w:rFonts w:hint="cs"/>
          <w:szCs w:val="22"/>
          <w:rtl/>
        </w:rPr>
        <w:t xml:space="preserve">, בעמ' 721-717) ואין מקום לחזור על הדברים כאן. אני אעמוד רק על מספר נקודות בעייתיות העולות מעמדה זו. </w:t>
      </w:r>
    </w:p>
    <w:p w:rsidR="005366A8" w:rsidRPr="00062CF8" w:rsidRDefault="005366A8" w:rsidP="005366A8">
      <w:pPr>
        <w:pStyle w:val="Ruller41"/>
        <w:spacing w:line="240" w:lineRule="auto"/>
        <w:rPr>
          <w:szCs w:val="22"/>
          <w:highlight w:val="yellow"/>
          <w:rtl/>
        </w:rPr>
      </w:pPr>
    </w:p>
    <w:p w:rsidR="005366A8" w:rsidRPr="00062CF8" w:rsidRDefault="005366A8" w:rsidP="005366A8">
      <w:pPr>
        <w:pStyle w:val="Ruller41"/>
        <w:spacing w:line="240" w:lineRule="auto"/>
        <w:rPr>
          <w:szCs w:val="22"/>
          <w:highlight w:val="yellow"/>
          <w:rtl/>
        </w:rPr>
      </w:pPr>
      <w:r w:rsidRPr="00062CF8">
        <w:rPr>
          <w:rFonts w:hint="cs"/>
          <w:szCs w:val="22"/>
          <w:highlight w:val="yellow"/>
          <w:rtl/>
        </w:rPr>
        <w:t>70.</w:t>
      </w:r>
      <w:r w:rsidRPr="00062CF8">
        <w:rPr>
          <w:rFonts w:hint="cs"/>
          <w:szCs w:val="22"/>
          <w:highlight w:val="yellow"/>
          <w:rtl/>
        </w:rPr>
        <w:tab/>
      </w:r>
      <w:r w:rsidRPr="00062CF8">
        <w:rPr>
          <w:rFonts w:ascii="Times New Roman" w:hAnsi="Times New Roman" w:cs="Miriam" w:hint="cs"/>
          <w:spacing w:val="0"/>
          <w:szCs w:val="22"/>
          <w:highlight w:val="yellow"/>
          <w:rtl/>
        </w:rPr>
        <w:t>ראשית</w:t>
      </w:r>
      <w:r w:rsidRPr="00062CF8">
        <w:rPr>
          <w:rFonts w:hint="cs"/>
          <w:szCs w:val="22"/>
          <w:highlight w:val="yellow"/>
          <w:rtl/>
        </w:rPr>
        <w:t xml:space="preserve">, ביסוד תפיסתו של השופט </w:t>
      </w:r>
      <w:r w:rsidRPr="00062CF8">
        <w:rPr>
          <w:rFonts w:ascii="Times New Roman" w:hAnsi="Times New Roman" w:cs="Miriam" w:hint="cs"/>
          <w:spacing w:val="0"/>
          <w:szCs w:val="22"/>
          <w:highlight w:val="yellow"/>
          <w:rtl/>
        </w:rPr>
        <w:t>גרוניס</w:t>
      </w:r>
      <w:r w:rsidRPr="00062CF8">
        <w:rPr>
          <w:rFonts w:hint="cs"/>
          <w:szCs w:val="22"/>
          <w:highlight w:val="yellow"/>
          <w:rtl/>
        </w:rPr>
        <w:t xml:space="preserve"> עומדת ההנחה לפיה הביקורת השיפוטית נועדה להגן על תקינות ההליך הפוליטי. ואכן, הביקורת השיפוטית אמורה, </w:t>
      </w:r>
      <w:r w:rsidRPr="00062CF8">
        <w:rPr>
          <w:rFonts w:cs="Miriam" w:hint="cs"/>
          <w:szCs w:val="22"/>
          <w:highlight w:val="yellow"/>
          <w:rtl/>
        </w:rPr>
        <w:t>בין היתר</w:t>
      </w:r>
      <w:r w:rsidRPr="00062CF8">
        <w:rPr>
          <w:rFonts w:hint="cs"/>
          <w:szCs w:val="22"/>
          <w:highlight w:val="yellow"/>
          <w:rtl/>
        </w:rPr>
        <w:t>, להגן גם על תקינות ההליך הפוליטי; לשמור מפני פגיעה של הרוב בזכויות המיעוט ולוודא שהרוב אינו מנצל את כוחו באופן פסול. אבל, הביקורת השיפוטית אינה נעצרת שם. הביקורת השיפוטית אינה מוגבלת לתפיסה הצרה של הדמוקרטיה כשלטון רוב בלבד, אלא משתרעת על תפיסת הדמוקרטיה כשלטון המגן על זכויות היסוד של האדם. זהו הלקח המרכזי שנלמד לאחר מלחמת העולם השנייה ואשר הופנם בחוקותיהן של מדינות רבות. אין די בהבטחת ההליך הדמוקרטי; יש לשמר גם את המהות הדמוקרטית הבאה לידי ביטוי בהגנה על זכויות אדם. הגנה זו אינה מוגבלת למצבים של פגיעה במיעוט.</w:t>
      </w:r>
    </w:p>
    <w:p w:rsidR="005366A8" w:rsidRPr="00062CF8" w:rsidRDefault="005366A8" w:rsidP="005366A8">
      <w:pPr>
        <w:pStyle w:val="Ruller41"/>
        <w:spacing w:line="240" w:lineRule="auto"/>
        <w:rPr>
          <w:szCs w:val="22"/>
          <w:highlight w:val="yellow"/>
          <w:rtl/>
        </w:rPr>
      </w:pPr>
      <w:r w:rsidRPr="00062CF8">
        <w:rPr>
          <w:rFonts w:hint="cs"/>
          <w:szCs w:val="22"/>
          <w:highlight w:val="yellow"/>
          <w:rtl/>
        </w:rPr>
        <w:tab/>
      </w:r>
      <w:r w:rsidRPr="00062CF8">
        <w:rPr>
          <w:rFonts w:ascii="Times New Roman" w:hAnsi="Times New Roman" w:cs="Miriam" w:hint="cs"/>
          <w:spacing w:val="0"/>
          <w:szCs w:val="22"/>
          <w:highlight w:val="yellow"/>
          <w:rtl/>
        </w:rPr>
        <w:t>שנית</w:t>
      </w:r>
      <w:r w:rsidRPr="00062CF8">
        <w:rPr>
          <w:rFonts w:hint="cs"/>
          <w:szCs w:val="22"/>
          <w:highlight w:val="yellow"/>
          <w:rtl/>
        </w:rPr>
        <w:t xml:space="preserve">, ספק בעיני אם הגישה המוצגת על ידי חברי מתאימה למציאות הפוליטית בישראל. במציאות הקואליציונית בישראל, ההגנה על ההליך הדמוקרטי התקין – במסגרתה נבחן רצונו של הרוב לתת זכות יתר למיעוט – מקבלת משמעות ייחודית. במערך פוליטי המורכב ממספר רב של מפלגות, במסגרתו מפלגות קטנות המשמשות לשון מאזניים, האם ניתן לדבר בפשטות על יחסי רוב ומיעוט? באילו מצבים נוכל לומר שהרוב מעניק </w:t>
      </w:r>
      <w:r w:rsidRPr="00062CF8">
        <w:rPr>
          <w:rFonts w:cs="Miriam" w:hint="cs"/>
          <w:szCs w:val="22"/>
          <w:highlight w:val="yellow"/>
          <w:rtl/>
        </w:rPr>
        <w:t>מיוזמתו</w:t>
      </w:r>
      <w:r w:rsidRPr="00062CF8">
        <w:rPr>
          <w:rFonts w:hint="cs"/>
          <w:szCs w:val="22"/>
          <w:highlight w:val="yellow"/>
          <w:rtl/>
        </w:rPr>
        <w:t xml:space="preserve"> הטבת יתר למיעוט? דומה שאין דוגמה המייצגת יותר את הקושי של חלוקה בין זכויות הרוב לזכויות המיעוט כמו העניין שלפנינו. מבחינת הרקע העובדתי אין זה סוד שבכל תולדות הטיפול בהסדר דחיית השירות, מדובר היה באילוץ קואליציוני בו הרוב מקבל את דין המיעוט, בין היתר, בשל אינטרסים פוליטיים קואליציוניים. קשה בנסיבות אלה להבחין מהו ביטוי לרצון הרוב ומהו אילוץ. </w:t>
      </w:r>
    </w:p>
    <w:p w:rsidR="005366A8" w:rsidRPr="00062CF8" w:rsidRDefault="005366A8" w:rsidP="005366A8">
      <w:pPr>
        <w:pStyle w:val="Ruller41"/>
        <w:spacing w:line="240" w:lineRule="auto"/>
        <w:rPr>
          <w:szCs w:val="22"/>
          <w:highlight w:val="yellow"/>
          <w:rtl/>
        </w:rPr>
      </w:pPr>
      <w:r w:rsidRPr="00062CF8">
        <w:rPr>
          <w:rFonts w:hint="cs"/>
          <w:szCs w:val="22"/>
          <w:highlight w:val="yellow"/>
          <w:rtl/>
        </w:rPr>
        <w:tab/>
        <w:t xml:space="preserve">מעבר לכך, לגישה זו קשיים יישומיים משמעותיים. באילו תנאים נאמר כי מדובר ברוב המעניק זכות יתר למיעוט? מהן אמות המידה לאבחנה בין קבוצת רוב לקבוצת מיעוט? האם ההבחנה נשענת על חלוקה מספרית? האם ההבחנה מבוססת על היכולת להתמודד בהצלחה בהליך הפוליטי? האם ההבחנה מבוססת על מעמד חברתי? כלכלי? פוליטי? האם קבוצה יכולה בנסיבות מסוימות להיחשב קבוצת רוב ובנסיבות אחרות להיחשב כמשתייכת לקבוצת מיעוט? </w:t>
      </w:r>
    </w:p>
    <w:p w:rsidR="005366A8" w:rsidRPr="00062CF8" w:rsidRDefault="005366A8" w:rsidP="005366A8">
      <w:pPr>
        <w:pStyle w:val="Ruller41"/>
        <w:spacing w:line="240" w:lineRule="auto"/>
        <w:rPr>
          <w:szCs w:val="22"/>
          <w:highlight w:val="yellow"/>
          <w:rtl/>
        </w:rPr>
      </w:pPr>
      <w:r w:rsidRPr="00062CF8">
        <w:rPr>
          <w:rFonts w:hint="cs"/>
          <w:szCs w:val="22"/>
          <w:highlight w:val="yellow"/>
          <w:rtl/>
        </w:rPr>
        <w:tab/>
      </w:r>
      <w:r w:rsidRPr="00062CF8">
        <w:rPr>
          <w:rFonts w:ascii="Times New Roman" w:hAnsi="Times New Roman" w:cs="Miriam" w:hint="cs"/>
          <w:spacing w:val="0"/>
          <w:szCs w:val="22"/>
          <w:highlight w:val="yellow"/>
          <w:rtl/>
        </w:rPr>
        <w:t>שלישית</w:t>
      </w:r>
      <w:r w:rsidRPr="00062CF8">
        <w:rPr>
          <w:rFonts w:hint="cs"/>
          <w:szCs w:val="22"/>
          <w:highlight w:val="yellow"/>
          <w:rtl/>
        </w:rPr>
        <w:t xml:space="preserve">, וזה העיקר, ביקורת חוקתית הנוגעת לפגיעה בזכויות מתייחסת לאדם כפרט, כיחיד. ככלל, העובדה שרבים נפגעים מפעולה שלטונית כזו או אחרת – והעובדה שהם אולי מהווים את הרוב בחברה – אינה פוטרת את בית המשפט מלבחון את חוקתיות הפגיעה. המשפט החוקתי מתמקד בחוקתיות הפגיעה – ולא במיהות הנפגע. העובדה שפרט שנפגעו זכויותיו משתייך לקבוצה כזו או אחרת תהא רלוונטית לא לעצם השאלה אם יש מקום לביקורת חוקתית, אלא מהו אופייה של הביקורת החוקתית ומהו היקפו של מרחב התמרון שיינתן למחוקק. </w:t>
      </w:r>
    </w:p>
    <w:p w:rsidR="005366A8" w:rsidRPr="00062CF8" w:rsidRDefault="005366A8" w:rsidP="005366A8">
      <w:pPr>
        <w:pStyle w:val="Ruller41"/>
        <w:spacing w:line="240" w:lineRule="auto"/>
        <w:rPr>
          <w:szCs w:val="22"/>
          <w:highlight w:val="yellow"/>
          <w:rtl/>
        </w:rPr>
      </w:pPr>
    </w:p>
    <w:p w:rsidR="005366A8" w:rsidRPr="00062CF8" w:rsidRDefault="005366A8" w:rsidP="005366A8">
      <w:pPr>
        <w:pStyle w:val="Ruller41"/>
        <w:spacing w:line="240" w:lineRule="auto"/>
        <w:rPr>
          <w:szCs w:val="22"/>
          <w:highlight w:val="yellow"/>
          <w:rtl/>
        </w:rPr>
      </w:pPr>
      <w:r w:rsidRPr="00062CF8">
        <w:rPr>
          <w:rFonts w:hint="cs"/>
          <w:szCs w:val="22"/>
          <w:highlight w:val="yellow"/>
          <w:rtl/>
        </w:rPr>
        <w:t>71.</w:t>
      </w:r>
      <w:r w:rsidRPr="00062CF8">
        <w:rPr>
          <w:rFonts w:hint="cs"/>
          <w:szCs w:val="22"/>
          <w:highlight w:val="yellow"/>
          <w:rtl/>
        </w:rPr>
        <w:tab/>
      </w:r>
      <w:r w:rsidRPr="00062CF8">
        <w:rPr>
          <w:rFonts w:hint="cs"/>
          <w:szCs w:val="22"/>
          <w:rtl/>
        </w:rPr>
        <w:t xml:space="preserve">לבסוף, חברי מעלה את החשש שמא בעקבות הכרעתנו בהליך הנוכחי תוגש לבית המשפט בעתיד עתירה נוספת שתבקש לבחון את העניין שלפנינו שוב. לגישתו, "ההתעסקות החוזרת ונשנית של בית משפט זה בנושא של גיוס חרדים, בלא שמושגת התקדמות ממשית כתוצאה ממעורבות שיפוטית, בוודאי שאינה תורמת למעמדו של בית המשפט". אני מתקשה לקבל עמדה זו. </w:t>
      </w:r>
      <w:r w:rsidRPr="00062CF8">
        <w:rPr>
          <w:rFonts w:hint="cs"/>
          <w:szCs w:val="22"/>
          <w:highlight w:val="yellow"/>
          <w:rtl/>
        </w:rPr>
        <w:t xml:space="preserve">ראשית, מבחינה עובדתית אינני סבורה שניתן לומר כי לא הושגה התקדמות ממשית. מאז החל בית המשפט לבחון את הסדרי דחיית השירות, הוסדרה הסוגיה בחקיקה, וחרדים החלו לשרת בשירות צבאי ובשירות אזרחי. מעורבות בית המשפט היוותה, במידה מסוימת, קטליזטור לתהליכים בכנסת. שנית, בעניינים כדוגמת העניין שלפנינו, שביסודו מחלוקת ערכית-אידיאולוגית בין קבוצות שונות בחברה הישראלית, אין לצפות שניתן יהיה לפתור אותם באבחת פסק דין אחד – אם בכלל ניתנות הן לפתרון מלא. </w:t>
      </w:r>
      <w:r w:rsidRPr="00CB2197">
        <w:rPr>
          <w:rFonts w:hint="cs"/>
          <w:szCs w:val="22"/>
          <w:rtl/>
        </w:rPr>
        <w:t xml:space="preserve">הסוגיה שלפנינו קשה ומורכבת, בין הסוגיות הקשות ביותר בחברה הישראלית. משכך, הציפייה שהיא תיפתר בפרק זמן קצר אינה ריאלית. </w:t>
      </w:r>
    </w:p>
    <w:p w:rsidR="005366A8" w:rsidRPr="00062CF8" w:rsidRDefault="005366A8" w:rsidP="005366A8">
      <w:pPr>
        <w:pStyle w:val="Ruller41"/>
        <w:spacing w:line="240" w:lineRule="auto"/>
        <w:rPr>
          <w:rFonts w:cs="Miriam"/>
          <w:szCs w:val="22"/>
          <w:rtl/>
        </w:rPr>
      </w:pPr>
      <w:r w:rsidRPr="00062CF8">
        <w:rPr>
          <w:rFonts w:hint="cs"/>
          <w:szCs w:val="22"/>
          <w:highlight w:val="yellow"/>
          <w:rtl/>
        </w:rPr>
        <w:tab/>
        <w:t xml:space="preserve">אך מובן שבית המשפט אינו מתיימר להביא לשינוי חברתי מלא, אבל הוא בהחלט אחד מהגורמים החברתיים החשובים ביותר לקידום תהליכים של שינוי. </w:t>
      </w:r>
      <w:r w:rsidRPr="00CB2197">
        <w:rPr>
          <w:rFonts w:hint="cs"/>
          <w:szCs w:val="22"/>
          <w:rtl/>
        </w:rPr>
        <w:t xml:space="preserve">בית המשפט, בישראל כמו גם בדמוקרטיות אחרות, הוא אחת מהזרועות הפועלות במסגרת המוסדות השלטוניים, וביכולתו לסייע בכלים שבידיו בפתרון – גם אם פתרון הדרגתי או חלקי – של מחלוקות חברתיות. לא תמיד תרומתו של בית המשפט לקידום פתרון המחלוקת החברתית היא ברורה או מיידית; ולא אחת הדיון בבית המשפט ופסיקותיו מניעים תהליכים חברתיים מגוונים – ולעיתים אף שונים מאלה שנתבקשו בעתירות לבית המשפט </w:t>
      </w:r>
      <w:r w:rsidRPr="00062CF8">
        <w:rPr>
          <w:rFonts w:hint="cs"/>
          <w:szCs w:val="22"/>
          <w:rtl/>
        </w:rPr>
        <w:t xml:space="preserve">(השוו: לעניין ההשפעות המגוונות של פסק הדין המונומנטאלי  </w:t>
      </w:r>
      <w:r w:rsidRPr="00062CF8">
        <w:rPr>
          <w:i/>
          <w:iCs/>
          <w:szCs w:val="22"/>
        </w:rPr>
        <w:t xml:space="preserve">Brown v. Board of Education, </w:t>
      </w:r>
      <w:r w:rsidRPr="00062CF8">
        <w:rPr>
          <w:szCs w:val="22"/>
        </w:rPr>
        <w:t>347 U.S. 483 (1954)</w:t>
      </w:r>
      <w:r w:rsidRPr="00062CF8">
        <w:rPr>
          <w:rFonts w:hint="cs"/>
          <w:i/>
          <w:iCs/>
          <w:szCs w:val="22"/>
          <w:rtl/>
        </w:rPr>
        <w:t xml:space="preserve">: </w:t>
      </w:r>
      <w:r w:rsidRPr="00062CF8">
        <w:rPr>
          <w:szCs w:val="22"/>
        </w:rPr>
        <w:t xml:space="preserve">Martha Minow, </w:t>
      </w:r>
      <w:r w:rsidRPr="00062CF8">
        <w:rPr>
          <w:smallCaps/>
          <w:szCs w:val="22"/>
        </w:rPr>
        <w:t xml:space="preserve">In Brown's Wake: Legacies of America's Educational Landmark </w:t>
      </w:r>
      <w:r w:rsidRPr="00062CF8">
        <w:rPr>
          <w:szCs w:val="22"/>
        </w:rPr>
        <w:t>(2010)</w:t>
      </w:r>
      <w:r w:rsidRPr="00062CF8">
        <w:rPr>
          <w:rFonts w:hint="cs"/>
          <w:szCs w:val="22"/>
          <w:rtl/>
        </w:rPr>
        <w:t xml:space="preserve">, ובפרט בעמ' 33-5). </w:t>
      </w:r>
      <w:r w:rsidRPr="00062CF8">
        <w:rPr>
          <w:rFonts w:hint="cs"/>
          <w:szCs w:val="22"/>
          <w:highlight w:val="yellow"/>
          <w:rtl/>
        </w:rPr>
        <w:t>אכן, מורכבותה של המחלוקת שבפני בית המשפט משפיעה מיניה וביה על אופי מעורבותו של בית המשפט ועל היקף תרומתו לפתרון הסוגיה, אך אין בעצם המורכבות כשלעצמה כדי להוביל למסקנה שעל בית המשפט למשוך ידיו מהעיסוק בסוגיה החברתית. משום כך, איני רואה כל קושי בכך שבית המשפט יידרש לסוגיה שלפנינו שוב בעתיד, היה ותקום לכך עילה משפטית-חוקתית.</w:t>
      </w:r>
    </w:p>
    <w:p w:rsidR="005366A8" w:rsidRPr="00062CF8" w:rsidRDefault="005366A8" w:rsidP="005366A8">
      <w:pPr>
        <w:pStyle w:val="Ruller41"/>
        <w:spacing w:line="240" w:lineRule="auto"/>
        <w:rPr>
          <w:rFonts w:cs="Miriam"/>
          <w:szCs w:val="22"/>
          <w:rtl/>
        </w:rPr>
      </w:pPr>
      <w:r w:rsidRPr="00062CF8">
        <w:rPr>
          <w:rFonts w:cs="Miriam" w:hint="cs"/>
          <w:szCs w:val="22"/>
          <w:rtl/>
        </w:rPr>
        <w:t>סוף דבר</w:t>
      </w:r>
    </w:p>
    <w:p w:rsidR="005366A8" w:rsidRPr="00062CF8" w:rsidRDefault="005366A8" w:rsidP="005366A8">
      <w:pPr>
        <w:pStyle w:val="Ruller41"/>
        <w:spacing w:line="240" w:lineRule="auto"/>
        <w:rPr>
          <w:szCs w:val="22"/>
          <w:rtl/>
        </w:rPr>
      </w:pPr>
      <w:r w:rsidRPr="00062CF8">
        <w:rPr>
          <w:rFonts w:hint="cs"/>
          <w:szCs w:val="22"/>
          <w:rtl/>
        </w:rPr>
        <w:t>72.</w:t>
      </w:r>
      <w:r w:rsidRPr="00062CF8">
        <w:rPr>
          <w:rFonts w:hint="cs"/>
          <w:szCs w:val="22"/>
          <w:rtl/>
        </w:rPr>
        <w:tab/>
        <w:t xml:space="preserve">חוק דחיית השירות נחקק, כאמור, על דרך של הוראת שעה. תוקפו עתיד להסתיים בקרוב. זוהי ההזדמנות לערוך חשבון נפש ולבחון בקפידה את הוראותיו. כל מהותה של חקיקה על דרך של הוראת שעה מבוססת על זמניות ועל הצורך להעריך, ולשוב ולהעריך, את התאמת החוק לתכליותיו ולמציאות על רקע השינויים שחלים במשך הזמן ועל רקע הגשמתו הלכה למעשה. הצבעתי בחוות דעתי על הכשלים הקיימים בחוק. ניתן, וצריך, לתקן את הכשלים לפני שתסתיים תקופת חייו של חוק דחיית השירות. </w:t>
      </w:r>
    </w:p>
    <w:p w:rsidR="005366A8" w:rsidRDefault="005366A8" w:rsidP="005366A8">
      <w:pPr>
        <w:pStyle w:val="Ruller41"/>
        <w:spacing w:line="240" w:lineRule="auto"/>
        <w:rPr>
          <w:szCs w:val="22"/>
          <w:rtl/>
        </w:rPr>
      </w:pPr>
      <w:r w:rsidRPr="00062CF8">
        <w:rPr>
          <w:rFonts w:hint="cs"/>
          <w:szCs w:val="22"/>
          <w:rtl/>
        </w:rPr>
        <w:tab/>
        <w:t xml:space="preserve">כאמור, ערה אני לכך שאם דעתי תתקבל עדיין אפשר שבהתפתחויות הטבעיות ישוב הנושא ויגיע לפתחו של בית המשפט. אין סיבה לחשוש מכך. התהליכים החברתיים כבר יצאו לדרך. איננו עומדים במקום בו עמדנו לפי שלושים או ארבעים שנה. בית המשפט היה שותף לתהליכים שתוצאתם חקיקת חוק דחיית השירות. ביטולו של החוק אין משמעו חזרה לנקודת ההתחלה. את השינויים אין ניתן להשיב. המטרה כעת היא לתקן את שנמצא פגום בהסדר הנוכחי. </w:t>
      </w:r>
    </w:p>
    <w:p w:rsidR="005366A8" w:rsidRPr="00062CF8" w:rsidRDefault="005366A8" w:rsidP="005366A8">
      <w:pPr>
        <w:pStyle w:val="Ruller41"/>
        <w:spacing w:line="240" w:lineRule="auto"/>
        <w:rPr>
          <w:szCs w:val="22"/>
          <w:rtl/>
        </w:rPr>
      </w:pPr>
      <w:r>
        <w:rPr>
          <w:rFonts w:hint="cs"/>
          <w:szCs w:val="22"/>
          <w:rtl/>
        </w:rPr>
        <w:t>[...]</w:t>
      </w:r>
    </w:p>
    <w:p w:rsidR="005366A8" w:rsidRDefault="005366A8" w:rsidP="005366A8">
      <w:pPr>
        <w:spacing w:after="60"/>
        <w:rPr>
          <w:sz w:val="22"/>
          <w:szCs w:val="22"/>
          <w:rtl/>
        </w:rPr>
      </w:pPr>
    </w:p>
    <w:p w:rsidR="005366A8" w:rsidRPr="00BD0FDE" w:rsidRDefault="005366A8" w:rsidP="005366A8">
      <w:pPr>
        <w:spacing w:after="60"/>
        <w:rPr>
          <w:rFonts w:cs="FrankRuehl"/>
          <w:sz w:val="22"/>
          <w:szCs w:val="22"/>
          <w:rtl/>
        </w:rPr>
      </w:pPr>
      <w:r w:rsidRPr="00BD0FDE">
        <w:rPr>
          <w:rFonts w:cs="FrankRuehl" w:hint="cs"/>
          <w:b/>
          <w:bCs/>
          <w:sz w:val="22"/>
          <w:szCs w:val="22"/>
          <w:u w:val="single"/>
          <w:rtl/>
        </w:rPr>
        <w:t>השופט רובינשטיין</w:t>
      </w:r>
    </w:p>
    <w:p w:rsidR="005366A8" w:rsidRPr="00040133" w:rsidRDefault="005366A8" w:rsidP="005366A8">
      <w:pPr>
        <w:pStyle w:val="Ruller41"/>
        <w:spacing w:line="240" w:lineRule="auto"/>
        <w:rPr>
          <w:szCs w:val="22"/>
          <w:rtl/>
        </w:rPr>
      </w:pPr>
      <w:r w:rsidRPr="00040133">
        <w:rPr>
          <w:rFonts w:ascii="Times New Roman" w:hAnsi="Times New Roman" w:cs="Miriam" w:hint="cs"/>
          <w:spacing w:val="0"/>
          <w:szCs w:val="22"/>
          <w:rtl/>
        </w:rPr>
        <w:t>סוף דבר</w:t>
      </w:r>
      <w:r w:rsidRPr="00040133">
        <w:rPr>
          <w:rFonts w:hint="cs"/>
          <w:szCs w:val="22"/>
          <w:rtl/>
        </w:rPr>
        <w:tab/>
      </w:r>
    </w:p>
    <w:p w:rsidR="005366A8" w:rsidRPr="00040133" w:rsidRDefault="005366A8" w:rsidP="005366A8">
      <w:pPr>
        <w:pStyle w:val="Ruller41"/>
        <w:spacing w:line="240" w:lineRule="auto"/>
        <w:rPr>
          <w:szCs w:val="22"/>
          <w:rtl/>
        </w:rPr>
      </w:pPr>
      <w:r w:rsidRPr="00040133">
        <w:rPr>
          <w:rFonts w:hint="cs"/>
          <w:szCs w:val="22"/>
          <w:rtl/>
        </w:rPr>
        <w:t>ל"ג.</w:t>
      </w:r>
      <w:r w:rsidRPr="00040133">
        <w:rPr>
          <w:rFonts w:hint="cs"/>
          <w:szCs w:val="22"/>
          <w:rtl/>
        </w:rPr>
        <w:tab/>
        <w:t xml:space="preserve">נוכח תמונה זו יש לבחון את חוקתיותו של חוק טל כיום. ולצערי הרב, כאמור, התשובה אינה יכולה להיות בחיוב. במונחי פסקת ההגבלה שבסעיף 8 לחוק היסוד: כבוד האדם וחירותו, חוק טל </w:t>
      </w:r>
      <w:r w:rsidRPr="00040133">
        <w:rPr>
          <w:rFonts w:ascii="Arial" w:hAnsi="Arial" w:cs="Miriam" w:hint="cs"/>
          <w:spacing w:val="0"/>
          <w:szCs w:val="22"/>
          <w:rtl/>
        </w:rPr>
        <w:t>הולם את ערכיה של מדינת ישראל</w:t>
      </w:r>
      <w:r w:rsidRPr="00040133">
        <w:rPr>
          <w:rFonts w:hint="cs"/>
          <w:szCs w:val="22"/>
          <w:rtl/>
        </w:rPr>
        <w:t xml:space="preserve"> במובן של לימוד תורה; הוא נועד לתכלית ראויה של שילוב בני הישיבות בשירות הצבאי תוך מתן אופציות מסוגים שונים. אך תוצאתו בפועל - ולא בשל הוגיו, מציעיו או מנסחיו, אלא בשל נמעניו והרשויות - לא הולידה מידתיות אלא הנציחה כמעט את אי השויון, שכן הקצב הנוכחי של הצטרפות למסלולים למיניהם עלול להימשך עד אין קץ, ומה הועילו חכמים בתקנתם. שאלת המידתיות היא תמיד שאלה מורכבת, ובפרט כשמדובר בפגיעה בזכויות שהן מטבען מורכבות. את המצב הנוכחי ניתן לנתח הן כפגיעה בלתי מידתית בזכות לשויון (מבחינות מסוימות, פגיעה בזכות חיובית), והן כפגיעה בזכויות נקודתיות של הנדרשים לשרת במידה העולה על הנדרש עקב היקף הפטור (ובמובן זה, פגיעה בזכויות שליליות; ראו א' ברק, </w:t>
      </w:r>
      <w:r w:rsidRPr="00040133">
        <w:rPr>
          <w:rFonts w:ascii="Arial" w:hAnsi="Arial" w:cs="Miriam" w:hint="cs"/>
          <w:spacing w:val="0"/>
          <w:szCs w:val="22"/>
          <w:rtl/>
        </w:rPr>
        <w:t>מידתיות במשפט</w:t>
      </w:r>
      <w:r w:rsidRPr="00040133">
        <w:rPr>
          <w:rFonts w:hint="cs"/>
          <w:szCs w:val="22"/>
          <w:rtl/>
        </w:rPr>
        <w:t xml:space="preserve"> (תש"ע) 514-513). אף דומה כי הקושי העיקרי באיזון אינו נובע - כפי שהדבר מצוי בדרך כלל במשפט החוקתי - בקושי לאזן בין שתי זכויות בעלות ערך דומה; אלא נוכח קושי מעשי להניע תהליך חברתי, ושאלת האמצעיים אשר מידתי להפעיל כדי להניע תהליך כאמור. ואולם, חרף המורכבות האנליטית, ובהתחשב בדברים שנאמרו בפרשת </w:t>
      </w:r>
      <w:r w:rsidRPr="00040133">
        <w:rPr>
          <w:rFonts w:ascii="Arial" w:hAnsi="Arial" w:cs="Miriam" w:hint="cs"/>
          <w:spacing w:val="0"/>
          <w:szCs w:val="22"/>
          <w:rtl/>
        </w:rPr>
        <w:t>התנועה לאיכות השלטון</w:t>
      </w:r>
      <w:r w:rsidRPr="00040133">
        <w:rPr>
          <w:rFonts w:hint="cs"/>
          <w:szCs w:val="22"/>
          <w:rtl/>
        </w:rPr>
        <w:t>, אין לדידי ספק כי המצב הנוכחי אינו יכול לעמוד. על כן איני רואה מנוס מהצטרפות לתוצאה שאליה הגיעה חברתי הנשיאה.</w:t>
      </w:r>
    </w:p>
    <w:p w:rsidR="005366A8" w:rsidRPr="00040133" w:rsidRDefault="005366A8" w:rsidP="005366A8">
      <w:pPr>
        <w:pStyle w:val="Ruller41"/>
        <w:spacing w:line="240" w:lineRule="auto"/>
        <w:rPr>
          <w:szCs w:val="22"/>
          <w:rtl/>
        </w:rPr>
      </w:pPr>
    </w:p>
    <w:p w:rsidR="005366A8" w:rsidRPr="00040133" w:rsidRDefault="005366A8" w:rsidP="005366A8">
      <w:pPr>
        <w:pStyle w:val="Ruller41"/>
        <w:spacing w:line="240" w:lineRule="auto"/>
        <w:rPr>
          <w:szCs w:val="22"/>
          <w:rtl/>
        </w:rPr>
      </w:pPr>
      <w:r w:rsidRPr="00040133">
        <w:rPr>
          <w:rFonts w:hint="cs"/>
          <w:szCs w:val="22"/>
          <w:rtl/>
        </w:rPr>
        <w:t>ל"ד.</w:t>
      </w:r>
      <w:r w:rsidRPr="00040133">
        <w:rPr>
          <w:rFonts w:hint="cs"/>
          <w:szCs w:val="22"/>
          <w:rtl/>
        </w:rPr>
        <w:tab/>
      </w:r>
      <w:r w:rsidRPr="00062CF8">
        <w:rPr>
          <w:rFonts w:hint="cs"/>
          <w:szCs w:val="22"/>
          <w:highlight w:val="yellow"/>
          <w:rtl/>
        </w:rPr>
        <w:t xml:space="preserve">הנשיאה הניחה לפתחה של הכנסת את ההכרעה בדבר פתרון, משלא ניתן יהא להאריך את החוק הנוכחי. היא לא נדרשה לפתרון עצמו. ארשה לעצמי להוסיף, כי בתוך עמנו אנו יושבים, ועל הפתרון להיות רדיקלי בהרבה הפעם, כדי שיעמוד במבחן פסקת ההגבלה. מובן כי אחת האפשרויות היא שיבה להגבלה מספרית כפי שנהגה מכבר, אם גם במספרים שונים; קרי, שלאחר גיל מסוים </w:t>
      </w:r>
      <w:r w:rsidRPr="00062CF8">
        <w:rPr>
          <w:rFonts w:cs="Times New Roman"/>
          <w:szCs w:val="22"/>
          <w:highlight w:val="yellow"/>
          <w:rtl/>
        </w:rPr>
        <w:t>-</w:t>
      </w:r>
      <w:r w:rsidRPr="00062CF8">
        <w:rPr>
          <w:rFonts w:hint="cs"/>
          <w:szCs w:val="22"/>
          <w:highlight w:val="yellow"/>
          <w:rtl/>
        </w:rPr>
        <w:t xml:space="preserve"> נאמר 21 או 22, כתום שלוש או ארבע שנות ישיבה גבוהה </w:t>
      </w:r>
      <w:r w:rsidRPr="00062CF8">
        <w:rPr>
          <w:rFonts w:cs="Times New Roman"/>
          <w:szCs w:val="22"/>
          <w:highlight w:val="yellow"/>
          <w:rtl/>
        </w:rPr>
        <w:t>-</w:t>
      </w:r>
      <w:r w:rsidRPr="00062CF8">
        <w:rPr>
          <w:rFonts w:hint="cs"/>
          <w:szCs w:val="22"/>
          <w:highlight w:val="yellow"/>
          <w:rtl/>
        </w:rPr>
        <w:t xml:space="preserve"> יתגייסו הכל למעט מספר שיוסכם על פי מדדים שייקבעו, ואשר יביאו בחשבון את צרכי עולם התורה והמשכיותו לצד צרכי המדינה; ואלה שייכללו ימשיכו בתורתם כאומנותם ככל שיחפצו בכך, ונר ה' לא יכבה. יתכנו גם כיוונים אחרים מסוגים שונים, ואולם ההסדר צריך להיות מותאם ומכוון למציאות כפי שהיא כיום, ולהתבסס - לצערי - פחות על ציפיות ותקוות לשינויים חברתיים עתידיים.</w:t>
      </w:r>
    </w:p>
    <w:p w:rsidR="005366A8" w:rsidRPr="00040133" w:rsidRDefault="005366A8" w:rsidP="005366A8">
      <w:pPr>
        <w:pStyle w:val="Ruller41"/>
        <w:spacing w:line="240" w:lineRule="auto"/>
        <w:rPr>
          <w:szCs w:val="22"/>
          <w:rtl/>
        </w:rPr>
      </w:pPr>
    </w:p>
    <w:p w:rsidR="005366A8" w:rsidRPr="00040133" w:rsidRDefault="005366A8" w:rsidP="005366A8">
      <w:pPr>
        <w:pStyle w:val="Ruller41"/>
        <w:spacing w:line="240" w:lineRule="auto"/>
        <w:rPr>
          <w:rFonts w:ascii="Times New Roman" w:hAnsi="Times New Roman" w:cs="Miriam"/>
          <w:spacing w:val="0"/>
          <w:szCs w:val="22"/>
          <w:rtl/>
        </w:rPr>
      </w:pPr>
      <w:r w:rsidRPr="00040133">
        <w:rPr>
          <w:rFonts w:ascii="Times New Roman" w:hAnsi="Times New Roman" w:cs="Miriam" w:hint="cs"/>
          <w:spacing w:val="0"/>
          <w:szCs w:val="22"/>
          <w:rtl/>
        </w:rPr>
        <w:t>הערה בטרם סיום</w:t>
      </w:r>
    </w:p>
    <w:p w:rsidR="005366A8" w:rsidRPr="00040133" w:rsidRDefault="005366A8" w:rsidP="005366A8">
      <w:pPr>
        <w:pStyle w:val="Ruller41"/>
        <w:spacing w:line="240" w:lineRule="auto"/>
        <w:rPr>
          <w:szCs w:val="22"/>
          <w:rtl/>
        </w:rPr>
      </w:pPr>
      <w:r w:rsidRPr="00040133">
        <w:rPr>
          <w:rFonts w:hint="cs"/>
          <w:szCs w:val="22"/>
          <w:rtl/>
        </w:rPr>
        <w:t>ל"ה.</w:t>
      </w:r>
      <w:r w:rsidRPr="00040133">
        <w:rPr>
          <w:rFonts w:hint="cs"/>
          <w:szCs w:val="22"/>
          <w:rtl/>
        </w:rPr>
        <w:tab/>
        <w:t xml:space="preserve">איני יכול שלא להידרש בקצרה - הנושא ראוי ליותר מזה, אך כולנו עבדי הזמן ואילוציו - לדברי חברי השופט (הנשיא הנבחר) גרוניס. חברי מציע לא לנקוט התערבות חוקתית בתיק זה, שכן "עסקינן בהחלטה של הרוב במדינה (על פי הייצוג בכנסת) לקבל חוק הנותן זכות יתר - שלא להתגייס לצבא - למיעוט"; לשיטתו, החלטה זו אינה כרוכה "בפגיעה ביחידים ככאלה או בפגיעה בקבוצת מיעוט" ולפיכך "אין צידוק להפעיל בקורת שיפוטית" (פסקה 3). </w:t>
      </w:r>
      <w:r w:rsidRPr="00062CF8">
        <w:rPr>
          <w:rFonts w:hint="cs"/>
          <w:szCs w:val="22"/>
          <w:highlight w:val="yellow"/>
          <w:rtl/>
        </w:rPr>
        <w:t xml:space="preserve">דעתי שונה. לטעמי, מדובר בנושא היורד לשורש בעולם הזכויות. תפקידו של בית משפט זה הוא ליתן בעניין דנן פתחון פה לזכויות האדם של </w:t>
      </w:r>
      <w:r w:rsidRPr="00062CF8">
        <w:rPr>
          <w:rStyle w:val="a2"/>
          <w:szCs w:val="22"/>
          <w:rtl/>
        </w:rPr>
        <w:t>יחידי</w:t>
      </w:r>
      <w:r w:rsidRPr="00062CF8">
        <w:rPr>
          <w:rFonts w:hint="cs"/>
          <w:szCs w:val="22"/>
          <w:highlight w:val="yellow"/>
          <w:rtl/>
        </w:rPr>
        <w:t xml:space="preserve"> הרוב - ואף איני יודע אם העותרים אכן רואים עצמם בעניין זה חלק מאותו רוב פרלמנטרי אשר העניק "על חשבונם" הטבות לקבוצת מיעוט אחרת שאין הם נמנים עליה, ואין הם יכולים להצטרף אליה כדי לזכות באותן הטבות שחילק אותו רוב. זכויות אלה אינן יכולות להירמס על-ידי הרוב הפרלמנטרי בלא שייבחנו בחינה חוקתית,</w:t>
      </w:r>
      <w:r w:rsidRPr="00040133">
        <w:rPr>
          <w:rFonts w:hint="cs"/>
          <w:szCs w:val="22"/>
          <w:rtl/>
        </w:rPr>
        <w:t xml:space="preserve"> והבחינה מגלה את שנאמר בחוות דעתם של השופטים התומכים בביטול החוק. </w:t>
      </w:r>
    </w:p>
    <w:p w:rsidR="005366A8" w:rsidRPr="00040133" w:rsidRDefault="005366A8" w:rsidP="005366A8">
      <w:pPr>
        <w:pStyle w:val="Ruller41"/>
        <w:spacing w:line="240" w:lineRule="auto"/>
        <w:rPr>
          <w:szCs w:val="22"/>
          <w:rtl/>
        </w:rPr>
      </w:pPr>
    </w:p>
    <w:p w:rsidR="005366A8" w:rsidRPr="00040133" w:rsidRDefault="005366A8" w:rsidP="005366A8">
      <w:pPr>
        <w:pStyle w:val="Ruller41"/>
        <w:spacing w:line="240" w:lineRule="auto"/>
        <w:rPr>
          <w:szCs w:val="22"/>
          <w:rtl/>
        </w:rPr>
      </w:pPr>
      <w:r w:rsidRPr="00040133">
        <w:rPr>
          <w:rFonts w:hint="cs"/>
          <w:szCs w:val="22"/>
          <w:rtl/>
        </w:rPr>
        <w:t>ל"ו.</w:t>
      </w:r>
      <w:r w:rsidRPr="00040133">
        <w:rPr>
          <w:rFonts w:hint="cs"/>
          <w:szCs w:val="22"/>
          <w:rtl/>
        </w:rPr>
        <w:tab/>
        <w:t>גם אם יש לדעתי לנהוג ריסון בהתערבות שיפוטית (ראו, לדוגמה, פסקה כ"ח לחוות דעתי ב</w:t>
      </w:r>
      <w:hyperlink r:id="rId84" w:history="1">
        <w:r w:rsidRPr="00040133">
          <w:rPr>
            <w:color w:val="0000FF"/>
            <w:szCs w:val="22"/>
            <w:u w:val="single"/>
            <w:rtl/>
          </w:rPr>
          <w:t>בג"ץ 466/07</w:t>
        </w:r>
      </w:hyperlink>
      <w:r w:rsidRPr="00040133">
        <w:rPr>
          <w:rFonts w:hint="cs"/>
          <w:szCs w:val="22"/>
          <w:rtl/>
        </w:rPr>
        <w:t xml:space="preserve"> </w:t>
      </w:r>
      <w:r w:rsidRPr="00040133">
        <w:rPr>
          <w:rStyle w:val="a2"/>
          <w:szCs w:val="22"/>
          <w:rtl/>
        </w:rPr>
        <w:t>גלאון נ' היועץ המשפטי לממשלה</w:t>
      </w:r>
      <w:r w:rsidRPr="00040133">
        <w:rPr>
          <w:rFonts w:hint="cs"/>
          <w:szCs w:val="22"/>
          <w:rtl/>
        </w:rPr>
        <w:t xml:space="preserve"> (לא פורסם)), </w:t>
      </w:r>
      <w:r w:rsidRPr="00062CF8">
        <w:rPr>
          <w:rFonts w:hint="cs"/>
          <w:szCs w:val="22"/>
          <w:highlight w:val="yellow"/>
          <w:rtl/>
        </w:rPr>
        <w:t xml:space="preserve">יתר על זה הנוהג במשפט המינהלי בכלל - שבו מניסיון רב שנים בתפקידים שונים ובמערכות ממשל שונות, סבורני כי לבית משפט זה נודע תפקיד חשוב ממדרגה ראשונה, ואילולא מילא אותו לא היה ממלא את שליחותו; בתחומי חיים שונים, ויקצר המצע מפירוטם, בעקבות הכרעות בית המשפט חלו שינויים חיוביים בהתנהגות המינהל הציבורי, וכן נחקקו חוקים ותיקוני חקיקה לא מעטים והם זרועים על פני תולדות המדינה. </w:t>
      </w:r>
      <w:r w:rsidRPr="0031009B">
        <w:rPr>
          <w:rStyle w:val="a2"/>
          <w:b/>
          <w:bCs/>
          <w:szCs w:val="22"/>
          <w:rtl/>
        </w:rPr>
        <w:t>אך גם במשפט החוקתי, אין בית המשפט רשאי להתנצל ולהתפרק ממה שהטיל עליו המחוקק-המכונן</w:t>
      </w:r>
      <w:r w:rsidRPr="00062CF8">
        <w:rPr>
          <w:rFonts w:hint="cs"/>
          <w:szCs w:val="22"/>
          <w:highlight w:val="yellow"/>
          <w:rtl/>
        </w:rPr>
        <w:t>, הוא ולא אחר, בחוקי היסוד הנוגעים לזכויות.</w:t>
      </w:r>
      <w:r w:rsidRPr="00040133">
        <w:rPr>
          <w:rFonts w:hint="cs"/>
          <w:szCs w:val="22"/>
          <w:rtl/>
        </w:rPr>
        <w:t xml:space="preserve"> </w:t>
      </w:r>
      <w:r>
        <w:rPr>
          <w:rFonts w:hint="cs"/>
          <w:szCs w:val="22"/>
          <w:rtl/>
        </w:rPr>
        <w:t>[הדגשה במקור]</w:t>
      </w:r>
    </w:p>
    <w:p w:rsidR="005366A8" w:rsidRPr="00040133" w:rsidRDefault="005366A8" w:rsidP="005366A8">
      <w:pPr>
        <w:pStyle w:val="Ruller41"/>
        <w:spacing w:line="240" w:lineRule="auto"/>
        <w:rPr>
          <w:szCs w:val="22"/>
          <w:rtl/>
        </w:rPr>
      </w:pPr>
    </w:p>
    <w:p w:rsidR="005366A8" w:rsidRPr="00040133" w:rsidRDefault="005366A8" w:rsidP="005366A8">
      <w:pPr>
        <w:pStyle w:val="Ruller41"/>
        <w:spacing w:line="240" w:lineRule="auto"/>
        <w:rPr>
          <w:szCs w:val="22"/>
          <w:rtl/>
        </w:rPr>
      </w:pPr>
      <w:r w:rsidRPr="00040133">
        <w:rPr>
          <w:rFonts w:hint="cs"/>
          <w:szCs w:val="22"/>
          <w:rtl/>
        </w:rPr>
        <w:t>ל"ז.</w:t>
      </w:r>
      <w:r w:rsidRPr="00040133">
        <w:rPr>
          <w:rFonts w:hint="cs"/>
          <w:szCs w:val="22"/>
          <w:rtl/>
        </w:rPr>
        <w:tab/>
        <w:t>מעבר להנמקות המלומדות והמפורטות של הסמכות החוקתית (ראו</w:t>
      </w:r>
      <w:hyperlink r:id="rId85" w:history="1">
        <w:r w:rsidRPr="00040133">
          <w:rPr>
            <w:color w:val="0000FF"/>
            <w:szCs w:val="22"/>
            <w:u w:val="single"/>
            <w:rtl/>
          </w:rPr>
          <w:t>ע"א 6821/93 בנק המזרחי המאוחד בע"מ נ' מגדל כפר שיתופי, פ"ד מט</w:t>
        </w:r>
      </w:hyperlink>
      <w:r w:rsidRPr="00040133">
        <w:rPr>
          <w:rFonts w:hint="cs"/>
          <w:szCs w:val="22"/>
          <w:rtl/>
        </w:rPr>
        <w:t xml:space="preserve">(4) 221), דעת לנבון ואף להדיוט נקל, מקריאה בחוקי היסוד שלזכויות כפשוטם, משמדברים הם בזכויות יסוד ובהגבלת האפשרות לפגוע בהן - אפילו בחקיקה - באופן שאינו עומד במבחני המידתיות של פסקת ההגבלה, כי על בית המשפט הוטל לבחון אם נפגעות זכויות ואם הפגיעה ראויה ומידתית היא. חברי סבור, כי נושא זה שבפנינו אינו עניין להידרש אליו. חלוק אני, כאמור, על גישתו. </w:t>
      </w:r>
    </w:p>
    <w:p w:rsidR="005366A8" w:rsidRPr="00040133" w:rsidRDefault="005366A8" w:rsidP="005366A8">
      <w:pPr>
        <w:pStyle w:val="Ruller41"/>
        <w:spacing w:line="240" w:lineRule="auto"/>
        <w:rPr>
          <w:szCs w:val="22"/>
          <w:rtl/>
        </w:rPr>
      </w:pPr>
    </w:p>
    <w:p w:rsidR="005366A8" w:rsidRPr="00040133" w:rsidRDefault="005366A8" w:rsidP="005366A8">
      <w:pPr>
        <w:pStyle w:val="Ruller41"/>
        <w:spacing w:line="240" w:lineRule="auto"/>
        <w:rPr>
          <w:szCs w:val="22"/>
          <w:rtl/>
        </w:rPr>
      </w:pPr>
      <w:r w:rsidRPr="00040133">
        <w:rPr>
          <w:rFonts w:hint="cs"/>
          <w:szCs w:val="22"/>
          <w:rtl/>
        </w:rPr>
        <w:t>ל"ח.</w:t>
      </w:r>
      <w:r w:rsidRPr="00040133">
        <w:rPr>
          <w:rFonts w:hint="cs"/>
          <w:szCs w:val="22"/>
          <w:rtl/>
        </w:rPr>
        <w:tab/>
      </w:r>
      <w:r w:rsidRPr="004D7FCF">
        <w:rPr>
          <w:rFonts w:hint="cs"/>
          <w:szCs w:val="22"/>
          <w:rtl/>
        </w:rPr>
        <w:t xml:space="preserve">יש אולי הבדל בגישותינו באשר לתרומה האפשרית של בית המשפט בנושא זה, </w:t>
      </w:r>
      <w:r w:rsidRPr="00062CF8">
        <w:rPr>
          <w:rFonts w:hint="cs"/>
          <w:szCs w:val="22"/>
          <w:highlight w:val="yellow"/>
          <w:rtl/>
        </w:rPr>
        <w:t xml:space="preserve">ואולם אין חולק כי ענייננו בחובה, שיש בה ערכיות מהסוג הרגיש ביותר, עד כדי סיכון החיים. אין לדעתי דרך שבעולם שבית משפט זה יתנער מעיסוק בה. </w:t>
      </w:r>
      <w:r w:rsidRPr="004D7FCF">
        <w:rPr>
          <w:rFonts w:hint="cs"/>
          <w:szCs w:val="22"/>
          <w:rtl/>
        </w:rPr>
        <w:t xml:space="preserve">אם </w:t>
      </w:r>
      <w:r w:rsidRPr="00062CF8">
        <w:rPr>
          <w:rFonts w:hint="cs"/>
          <w:szCs w:val="22"/>
          <w:highlight w:val="yellow"/>
          <w:rtl/>
        </w:rPr>
        <w:t>יש מתחם שויון במובן הערכי - גם אם לא במובן המעשי, אחד לאחד, דבר בלתי אפשרי - אולי אין נושא שויוני נעלה מן השירות הצבאי.</w:t>
      </w:r>
      <w:r w:rsidRPr="00040133">
        <w:rPr>
          <w:rFonts w:hint="cs"/>
          <w:szCs w:val="22"/>
          <w:rtl/>
        </w:rPr>
        <w:t xml:space="preserve"> </w:t>
      </w:r>
      <w:r w:rsidRPr="004D7FCF">
        <w:rPr>
          <w:rFonts w:hint="cs"/>
          <w:szCs w:val="22"/>
          <w:rtl/>
        </w:rPr>
        <w:t>ועוד, לטעמי גם השינויים שבכל זאת אירעו בחברה החרדית בהקשר הגיוס, היו קשורים לפחות בחלקם בהתערבות השיפוטית, שאילולא היא ספק אם היו מתרחשים כל עיקר. בחברה שמרנית (החרדית) עסקינן, על כל המשתמע, על כן גם אם תרומתנו בהעמדת הגבול החוקתי לא תהפוך את סדרי החברה החרדית מהיום למחר, יש לקוות כי היא זורעת זרעים שגם ינבטו ויעשו פרי.</w:t>
      </w:r>
      <w:r w:rsidRPr="00040133">
        <w:rPr>
          <w:rFonts w:hint="cs"/>
          <w:szCs w:val="22"/>
          <w:rtl/>
        </w:rPr>
        <w:t xml:space="preserve"> </w:t>
      </w:r>
    </w:p>
    <w:p w:rsidR="005366A8" w:rsidRDefault="005366A8" w:rsidP="005366A8">
      <w:pPr>
        <w:spacing w:after="60"/>
        <w:rPr>
          <w:rtl/>
        </w:rPr>
      </w:pPr>
    </w:p>
    <w:p w:rsidR="005366A8" w:rsidRDefault="005366A8" w:rsidP="005366A8">
      <w:pPr>
        <w:spacing w:after="60"/>
        <w:rPr>
          <w:rtl/>
        </w:rPr>
      </w:pPr>
      <w:r>
        <w:rPr>
          <w:rFonts w:hint="cs"/>
          <w:rtl/>
        </w:rPr>
        <w:t>=-=</w:t>
      </w:r>
    </w:p>
    <w:p w:rsidR="005366A8" w:rsidRDefault="005366A8" w:rsidP="005366A8">
      <w:pPr>
        <w:spacing w:after="60"/>
        <w:rPr>
          <w:rtl/>
        </w:rPr>
      </w:pPr>
      <w:r>
        <w:rPr>
          <w:rFonts w:hint="cs"/>
          <w:b/>
          <w:bCs/>
          <w:i/>
          <w:iCs/>
          <w:rtl/>
        </w:rPr>
        <w:t xml:space="preserve">חוק טל </w:t>
      </w:r>
      <w:r w:rsidRPr="007C6A63">
        <w:rPr>
          <w:rFonts w:hint="cs"/>
          <w:i/>
          <w:iCs/>
          <w:rtl/>
        </w:rPr>
        <w:t>והפסיקה בעניין</w:t>
      </w:r>
      <w:r>
        <w:rPr>
          <w:rFonts w:hint="cs"/>
          <w:b/>
          <w:bCs/>
          <w:i/>
          <w:iCs/>
          <w:rtl/>
        </w:rPr>
        <w:t xml:space="preserve"> </w:t>
      </w:r>
      <w:r w:rsidRPr="007C6A63">
        <w:rPr>
          <w:rFonts w:hint="cs"/>
          <w:b/>
          <w:bCs/>
          <w:i/>
          <w:iCs/>
          <w:rtl/>
        </w:rPr>
        <w:t>חוק טל</w:t>
      </w:r>
      <w:r>
        <w:rPr>
          <w:rFonts w:hint="cs"/>
          <w:rtl/>
        </w:rPr>
        <w:t xml:space="preserve"> כהדגמה לאחד מהטיעונים בעד חוקה פורמאלית: </w:t>
      </w:r>
    </w:p>
    <w:p w:rsidR="005366A8" w:rsidRPr="008D212A" w:rsidRDefault="005366A8" w:rsidP="005366A8">
      <w:pPr>
        <w:spacing w:after="60"/>
        <w:rPr>
          <w:b/>
          <w:bCs/>
          <w:sz w:val="22"/>
          <w:szCs w:val="22"/>
          <w:rtl/>
        </w:rPr>
      </w:pPr>
      <w:r>
        <w:rPr>
          <w:rFonts w:hint="cs"/>
          <w:b/>
          <w:bCs/>
          <w:sz w:val="22"/>
          <w:szCs w:val="22"/>
          <w:rtl/>
        </w:rPr>
        <w:t>החשש מפני קבוצות אינטרס או קהילות מיעוט רבות-כוח העושות שימוש לרעה בכוחן.</w:t>
      </w:r>
    </w:p>
    <w:p w:rsidR="005366A8" w:rsidRDefault="005366A8" w:rsidP="005366A8">
      <w:pPr>
        <w:ind w:left="720"/>
        <w:rPr>
          <w:szCs w:val="22"/>
          <w:rtl/>
        </w:rPr>
      </w:pPr>
    </w:p>
    <w:p w:rsidR="005366A8" w:rsidRDefault="005366A8" w:rsidP="005366A8">
      <w:pPr>
        <w:rPr>
          <w:szCs w:val="22"/>
          <w:rtl/>
        </w:rPr>
      </w:pPr>
      <w:r w:rsidRPr="007C6A63">
        <w:rPr>
          <w:rFonts w:hint="cs"/>
          <w:i/>
          <w:iCs/>
          <w:szCs w:val="22"/>
          <w:rtl/>
        </w:rPr>
        <w:t>[חזרה לטיעון שהופיע בדפי שיעור קודמים, דפי שיעור 6</w:t>
      </w:r>
      <w:r>
        <w:rPr>
          <w:rFonts w:hint="cs"/>
          <w:i/>
          <w:iCs/>
          <w:szCs w:val="22"/>
          <w:rtl/>
        </w:rPr>
        <w:t xml:space="preserve"> </w:t>
      </w:r>
      <w:r>
        <w:rPr>
          <w:i/>
          <w:iCs/>
          <w:szCs w:val="22"/>
          <w:rtl/>
        </w:rPr>
        <w:t>–</w:t>
      </w:r>
      <w:r>
        <w:rPr>
          <w:rFonts w:hint="cs"/>
          <w:i/>
          <w:iCs/>
          <w:szCs w:val="22"/>
          <w:rtl/>
        </w:rPr>
        <w:t xml:space="preserve"> להלן הדברים:</w:t>
      </w:r>
      <w:r w:rsidRPr="007C6A63">
        <w:rPr>
          <w:rFonts w:hint="cs"/>
          <w:i/>
          <w:iCs/>
          <w:szCs w:val="22"/>
          <w:rtl/>
        </w:rPr>
        <w:t>]</w:t>
      </w:r>
      <w:r>
        <w:rPr>
          <w:rFonts w:hint="cs"/>
          <w:szCs w:val="22"/>
          <w:rtl/>
        </w:rPr>
        <w:t xml:space="preserve">. </w:t>
      </w:r>
      <w:r>
        <w:rPr>
          <w:szCs w:val="22"/>
          <w:rtl/>
        </w:rPr>
        <w:t>כשל נוסף שמופיע תכופות הוא מכיוון אחר</w:t>
      </w:r>
      <w:r>
        <w:rPr>
          <w:rFonts w:hint="cs"/>
          <w:szCs w:val="22"/>
          <w:rtl/>
        </w:rPr>
        <w:t xml:space="preserve">, </w:t>
      </w:r>
      <w:r>
        <w:rPr>
          <w:szCs w:val="22"/>
          <w:rtl/>
        </w:rPr>
        <w:t xml:space="preserve">כיוון </w:t>
      </w:r>
      <w:r>
        <w:rPr>
          <w:rFonts w:hint="cs"/>
          <w:szCs w:val="22"/>
          <w:rtl/>
        </w:rPr>
        <w:t>ה</w:t>
      </w:r>
      <w:r>
        <w:rPr>
          <w:szCs w:val="22"/>
          <w:rtl/>
        </w:rPr>
        <w:t>מנוגד</w:t>
      </w:r>
      <w:r>
        <w:rPr>
          <w:rFonts w:hint="cs"/>
          <w:szCs w:val="22"/>
          <w:rtl/>
        </w:rPr>
        <w:t xml:space="preserve"> לכיוון של "עריצות הרוב"</w:t>
      </w:r>
      <w:r>
        <w:rPr>
          <w:szCs w:val="22"/>
          <w:rtl/>
        </w:rPr>
        <w:t>.  הוא אינו נוגע למיעוט 'כרוני' שהחוקה והביקורת השיפוטית נועדו לאזן את חולשתו, אלא עוסק ב</w:t>
      </w:r>
      <w:r>
        <w:rPr>
          <w:b/>
          <w:bCs/>
          <w:szCs w:val="22"/>
          <w:rtl/>
        </w:rPr>
        <w:t xml:space="preserve">עודף הכוח של </w:t>
      </w:r>
      <w:r>
        <w:rPr>
          <w:rFonts w:hint="cs"/>
          <w:b/>
          <w:bCs/>
          <w:szCs w:val="22"/>
          <w:rtl/>
        </w:rPr>
        <w:t>קבוצות מיעוט מסוימות</w:t>
      </w:r>
      <w:r>
        <w:rPr>
          <w:szCs w:val="22"/>
          <w:rtl/>
        </w:rPr>
        <w:t xml:space="preserve">.  במילים אחרות, התערבות בדרך של חוקה וביקורת שיפוטית חוקתית נחוצה לא רק כנגד רודנות של הרוב הנכפית על המיעוט, אלא גם בשל סכנה הפוכה; מיעוט המנצל את כוחו העודף, </w:t>
      </w:r>
      <w:r>
        <w:rPr>
          <w:rFonts w:hint="cs"/>
          <w:szCs w:val="22"/>
          <w:rtl/>
        </w:rPr>
        <w:t>ובתהליך נפגעות זכויות של בני אדם השייכים לקהילת הרוב או של בני אדם המשתייכים לקהילת המיעוט ("המיעוט שבתוך המיעוט", למשל נשים בקהילות מיעוט פטריארכאליות)</w:t>
      </w:r>
      <w:r>
        <w:rPr>
          <w:szCs w:val="22"/>
          <w:rtl/>
        </w:rPr>
        <w:t xml:space="preserve">.  </w:t>
      </w:r>
    </w:p>
    <w:p w:rsidR="005366A8" w:rsidRDefault="005366A8" w:rsidP="005366A8">
      <w:pPr>
        <w:rPr>
          <w:szCs w:val="22"/>
          <w:rtl/>
        </w:rPr>
      </w:pPr>
      <w:r>
        <w:rPr>
          <w:szCs w:val="22"/>
          <w:rtl/>
        </w:rPr>
        <w:t>כיצד נוצרות בעיות מסוג זה</w:t>
      </w:r>
      <w:r>
        <w:rPr>
          <w:rFonts w:hint="cs"/>
          <w:szCs w:val="22"/>
          <w:rtl/>
        </w:rPr>
        <w:t xml:space="preserve">, כלומר, </w:t>
      </w:r>
      <w:r>
        <w:rPr>
          <w:szCs w:val="22"/>
          <w:rtl/>
        </w:rPr>
        <w:t>קבוצות שונות שאינן יכול</w:t>
      </w:r>
      <w:r>
        <w:rPr>
          <w:rFonts w:hint="cs"/>
          <w:szCs w:val="22"/>
          <w:rtl/>
        </w:rPr>
        <w:t>ו</w:t>
      </w:r>
      <w:r>
        <w:rPr>
          <w:szCs w:val="22"/>
          <w:rtl/>
        </w:rPr>
        <w:t>ת לממש</w:t>
      </w:r>
      <w:r>
        <w:rPr>
          <w:rFonts w:hint="cs"/>
          <w:szCs w:val="22"/>
          <w:rtl/>
        </w:rPr>
        <w:t>,</w:t>
      </w:r>
      <w:r>
        <w:rPr>
          <w:szCs w:val="22"/>
          <w:rtl/>
        </w:rPr>
        <w:t xml:space="preserve"> הלכה למעשה</w:t>
      </w:r>
      <w:r>
        <w:rPr>
          <w:rFonts w:hint="cs"/>
          <w:szCs w:val="22"/>
          <w:rtl/>
        </w:rPr>
        <w:t>,</w:t>
      </w:r>
      <w:r>
        <w:rPr>
          <w:szCs w:val="22"/>
          <w:rtl/>
        </w:rPr>
        <w:t xml:space="preserve"> את הפוטנציאל הפוליטי הטמון בגודל המספרי של חבריהן, והן נאלצות לקבל וטו או הכתבת מיעוט שאיננה מוצדקת</w:t>
      </w:r>
      <w:r>
        <w:rPr>
          <w:rFonts w:hint="cs"/>
          <w:szCs w:val="22"/>
          <w:rtl/>
        </w:rPr>
        <w:t>?</w:t>
      </w:r>
      <w:r>
        <w:rPr>
          <w:szCs w:val="22"/>
          <w:rtl/>
        </w:rPr>
        <w:t xml:space="preserve">  </w:t>
      </w:r>
    </w:p>
    <w:p w:rsidR="005366A8" w:rsidRDefault="005366A8" w:rsidP="005366A8">
      <w:pPr>
        <w:rPr>
          <w:sz w:val="20"/>
          <w:szCs w:val="20"/>
          <w:rtl/>
        </w:rPr>
      </w:pPr>
      <w:r>
        <w:rPr>
          <w:rFonts w:hint="cs"/>
          <w:szCs w:val="22"/>
          <w:rtl/>
        </w:rPr>
        <w:t xml:space="preserve">מספר </w:t>
      </w:r>
      <w:r>
        <w:rPr>
          <w:szCs w:val="22"/>
          <w:rtl/>
        </w:rPr>
        <w:t>סיבות אפשריות</w:t>
      </w:r>
      <w:r>
        <w:rPr>
          <w:rFonts w:hint="cs"/>
          <w:szCs w:val="22"/>
          <w:rtl/>
        </w:rPr>
        <w:t xml:space="preserve"> (ראו שם, באותם דפים)</w:t>
      </w:r>
      <w:r>
        <w:rPr>
          <w:rFonts w:hint="cs"/>
          <w:sz w:val="20"/>
          <w:szCs w:val="20"/>
          <w:rtl/>
        </w:rPr>
        <w:t>:</w:t>
      </w:r>
    </w:p>
    <w:p w:rsidR="005366A8" w:rsidRDefault="005366A8" w:rsidP="005366A8">
      <w:pPr>
        <w:ind w:left="720"/>
        <w:rPr>
          <w:sz w:val="20"/>
          <w:szCs w:val="20"/>
          <w:rtl/>
        </w:rPr>
      </w:pPr>
      <w:r w:rsidRPr="00704D8E">
        <w:rPr>
          <w:b/>
          <w:bCs/>
          <w:sz w:val="20"/>
          <w:szCs w:val="20"/>
          <w:rtl/>
        </w:rPr>
        <w:t>א. תיאורית הבחירה הציבורית</w:t>
      </w:r>
      <w:r w:rsidRPr="00704D8E">
        <w:rPr>
          <w:rFonts w:hint="cs"/>
          <w:sz w:val="20"/>
          <w:szCs w:val="20"/>
          <w:rtl/>
        </w:rPr>
        <w:t xml:space="preserve"> (</w:t>
      </w:r>
      <w:r w:rsidRPr="00704D8E">
        <w:rPr>
          <w:sz w:val="20"/>
          <w:szCs w:val="20"/>
        </w:rPr>
        <w:t>public choice</w:t>
      </w:r>
      <w:r w:rsidRPr="00704D8E">
        <w:rPr>
          <w:rFonts w:hint="cs"/>
          <w:sz w:val="20"/>
          <w:szCs w:val="20"/>
          <w:rtl/>
        </w:rPr>
        <w:t>)</w:t>
      </w:r>
      <w:r>
        <w:rPr>
          <w:rFonts w:hint="cs"/>
          <w:sz w:val="20"/>
          <w:szCs w:val="20"/>
          <w:rtl/>
        </w:rPr>
        <w:t>;</w:t>
      </w:r>
    </w:p>
    <w:p w:rsidR="005366A8" w:rsidRDefault="005366A8" w:rsidP="005366A8">
      <w:pPr>
        <w:spacing w:after="120"/>
        <w:ind w:left="720"/>
        <w:rPr>
          <w:sz w:val="20"/>
          <w:szCs w:val="20"/>
          <w:rtl/>
        </w:rPr>
      </w:pPr>
      <w:r>
        <w:rPr>
          <w:rFonts w:hint="cs"/>
          <w:b/>
          <w:bCs/>
          <w:sz w:val="20"/>
          <w:szCs w:val="20"/>
          <w:rtl/>
        </w:rPr>
        <w:t>ב. דילמת האסיר</w:t>
      </w:r>
    </w:p>
    <w:p w:rsidR="005366A8" w:rsidRDefault="005366A8" w:rsidP="005366A8">
      <w:pPr>
        <w:rPr>
          <w:rFonts w:ascii="Arial" w:hAnsi="Arial" w:cs="Arial"/>
          <w:sz w:val="22"/>
          <w:szCs w:val="22"/>
          <w:rtl/>
        </w:rPr>
      </w:pPr>
      <w:r>
        <w:rPr>
          <w:rFonts w:ascii="Arial" w:hAnsi="Arial" w:cs="Arial" w:hint="cs"/>
          <w:sz w:val="22"/>
          <w:szCs w:val="22"/>
          <w:rtl/>
        </w:rPr>
        <w:t xml:space="preserve">אך כיצד ממתנת קיומה של חוקה פורמלית את הכשלים/ הקשיים הללו? </w:t>
      </w:r>
    </w:p>
    <w:p w:rsidR="005366A8" w:rsidRPr="007C6A63" w:rsidRDefault="005366A8" w:rsidP="005366A8">
      <w:pPr>
        <w:rPr>
          <w:rFonts w:ascii="Arial" w:hAnsi="Arial" w:cs="Arial"/>
          <w:sz w:val="22"/>
          <w:szCs w:val="22"/>
          <w:rtl/>
        </w:rPr>
      </w:pPr>
      <w:r>
        <w:rPr>
          <w:rFonts w:ascii="Arial" w:hAnsi="Arial" w:cs="Arial" w:hint="cs"/>
          <w:sz w:val="22"/>
          <w:szCs w:val="22"/>
          <w:rtl/>
        </w:rPr>
        <w:t xml:space="preserve">האם חוק טל עשה כן? האם הפסיקה בעניינו עשתה/עושה כן? </w:t>
      </w:r>
    </w:p>
    <w:p w:rsidR="005366A8" w:rsidRDefault="005366A8" w:rsidP="005366A8">
      <w:pPr>
        <w:spacing w:after="60"/>
        <w:rPr>
          <w:rtl/>
        </w:rPr>
      </w:pPr>
    </w:p>
    <w:p w:rsidR="005366A8" w:rsidRDefault="005366A8" w:rsidP="005366A8">
      <w:pPr>
        <w:spacing w:after="60"/>
        <w:rPr>
          <w:rtl/>
        </w:rPr>
      </w:pPr>
      <w:r>
        <w:rPr>
          <w:rFonts w:hint="cs"/>
          <w:rtl/>
        </w:rPr>
        <w:t xml:space="preserve">היש טיעון </w:t>
      </w:r>
      <w:r w:rsidRPr="0031009B">
        <w:rPr>
          <w:rFonts w:hint="cs"/>
          <w:i/>
          <w:iCs/>
          <w:rtl/>
        </w:rPr>
        <w:t>נוסף</w:t>
      </w:r>
      <w:r>
        <w:rPr>
          <w:rFonts w:hint="cs"/>
          <w:rtl/>
        </w:rPr>
        <w:t>, מהטיעונים בעד החוקה, שאולי מתעורר בפרשה זו?</w:t>
      </w:r>
    </w:p>
    <w:p w:rsidR="005366A8" w:rsidRDefault="005366A8" w:rsidP="005366A8">
      <w:pPr>
        <w:spacing w:after="60"/>
        <w:rPr>
          <w:rtl/>
        </w:rPr>
      </w:pPr>
      <w:r>
        <w:rPr>
          <w:rFonts w:hint="cs"/>
          <w:rtl/>
        </w:rPr>
        <w:t>=-=</w:t>
      </w:r>
    </w:p>
    <w:p w:rsidR="005366A8" w:rsidRPr="005855F2" w:rsidRDefault="005366A8" w:rsidP="005366A8">
      <w:pPr>
        <w:spacing w:after="60"/>
        <w:jc w:val="center"/>
        <w:rPr>
          <w:b/>
          <w:bCs/>
          <w:rtl/>
        </w:rPr>
      </w:pPr>
      <w:r w:rsidRPr="005855F2">
        <w:rPr>
          <w:rFonts w:hint="cs"/>
          <w:b/>
          <w:bCs/>
          <w:rtl/>
        </w:rPr>
        <w:t xml:space="preserve">תיאור תמציתי של מצב הדין </w:t>
      </w:r>
      <w:r w:rsidRPr="005855F2">
        <w:rPr>
          <w:rFonts w:hint="cs"/>
          <w:b/>
          <w:bCs/>
          <w:i/>
          <w:iCs/>
          <w:rtl/>
        </w:rPr>
        <w:t>בהווה</w:t>
      </w:r>
      <w:r w:rsidRPr="005855F2">
        <w:rPr>
          <w:rFonts w:hint="cs"/>
          <w:b/>
          <w:bCs/>
          <w:rtl/>
        </w:rPr>
        <w:t xml:space="preserve"> בנושא גיוס תלמידי ישיבות חרדיות (מתוך הויקיפדיה)</w:t>
      </w:r>
    </w:p>
    <w:p w:rsidR="005366A8" w:rsidRPr="005855F2" w:rsidRDefault="005366A8" w:rsidP="005366A8">
      <w:pPr>
        <w:spacing w:after="60"/>
        <w:rPr>
          <w:sz w:val="20"/>
          <w:szCs w:val="20"/>
        </w:rPr>
      </w:pPr>
      <w:r w:rsidRPr="005855F2">
        <w:rPr>
          <w:b/>
          <w:bCs/>
          <w:sz w:val="20"/>
          <w:szCs w:val="20"/>
          <w:rtl/>
        </w:rPr>
        <w:t>תפוגת חוק טל</w:t>
      </w:r>
    </w:p>
    <w:p w:rsidR="005366A8" w:rsidRPr="005855F2" w:rsidRDefault="005366A8" w:rsidP="005366A8">
      <w:pPr>
        <w:spacing w:after="60"/>
        <w:rPr>
          <w:sz w:val="20"/>
          <w:szCs w:val="20"/>
          <w:rtl/>
        </w:rPr>
      </w:pPr>
      <w:r w:rsidRPr="005855F2">
        <w:rPr>
          <w:sz w:val="20"/>
          <w:szCs w:val="20"/>
          <w:rtl/>
        </w:rPr>
        <w:t>ב־</w:t>
      </w:r>
      <w:hyperlink r:id="rId86" w:tooltip="21 בפברואר" w:history="1">
        <w:r w:rsidRPr="005855F2">
          <w:rPr>
            <w:rStyle w:val="Hyperlink"/>
            <w:sz w:val="20"/>
            <w:szCs w:val="20"/>
          </w:rPr>
          <w:t xml:space="preserve">21 </w:t>
        </w:r>
        <w:r w:rsidRPr="005855F2">
          <w:rPr>
            <w:rStyle w:val="Hyperlink"/>
            <w:rFonts w:hint="cs"/>
            <w:sz w:val="20"/>
            <w:szCs w:val="20"/>
            <w:rtl/>
          </w:rPr>
          <w:t xml:space="preserve"> </w:t>
        </w:r>
        <w:r w:rsidRPr="005855F2">
          <w:rPr>
            <w:rStyle w:val="Hyperlink"/>
            <w:sz w:val="20"/>
            <w:szCs w:val="20"/>
            <w:rtl/>
          </w:rPr>
          <w:t>בפברואר</w:t>
        </w:r>
      </w:hyperlink>
      <w:r w:rsidRPr="005855F2">
        <w:rPr>
          <w:sz w:val="20"/>
          <w:szCs w:val="20"/>
        </w:rPr>
        <w:t> </w:t>
      </w:r>
      <w:hyperlink r:id="rId87" w:tooltip="2012" w:history="1">
        <w:r w:rsidRPr="005855F2">
          <w:rPr>
            <w:rStyle w:val="Hyperlink"/>
            <w:sz w:val="20"/>
            <w:szCs w:val="20"/>
          </w:rPr>
          <w:t>2012</w:t>
        </w:r>
      </w:hyperlink>
      <w:r w:rsidRPr="005855F2">
        <w:rPr>
          <w:sz w:val="20"/>
          <w:szCs w:val="20"/>
        </w:rPr>
        <w:t> </w:t>
      </w:r>
      <w:r w:rsidRPr="005855F2">
        <w:rPr>
          <w:sz w:val="20"/>
          <w:szCs w:val="20"/>
          <w:rtl/>
        </w:rPr>
        <w:t>פסק</w:t>
      </w:r>
      <w:r w:rsidRPr="005855F2">
        <w:rPr>
          <w:sz w:val="20"/>
          <w:szCs w:val="20"/>
        </w:rPr>
        <w:t> </w:t>
      </w:r>
      <w:hyperlink r:id="rId88" w:tooltip="בג&quot;ץ" w:history="1">
        <w:r w:rsidRPr="005855F2">
          <w:rPr>
            <w:rStyle w:val="Hyperlink"/>
            <w:sz w:val="20"/>
            <w:szCs w:val="20"/>
            <w:rtl/>
          </w:rPr>
          <w:t>בג"ץ</w:t>
        </w:r>
      </w:hyperlink>
      <w:r w:rsidRPr="005855F2">
        <w:rPr>
          <w:sz w:val="20"/>
          <w:szCs w:val="20"/>
        </w:rPr>
        <w:t> </w:t>
      </w:r>
      <w:r w:rsidRPr="005855F2">
        <w:rPr>
          <w:sz w:val="20"/>
          <w:szCs w:val="20"/>
          <w:rtl/>
        </w:rPr>
        <w:t>שחוק טל אינו חוקתי, ולכן הכנסת לא תוכל לשוב ולהאריכו מעבר למועד פקיעת תוקפו</w:t>
      </w:r>
      <w:r w:rsidRPr="005855F2">
        <w:rPr>
          <w:sz w:val="20"/>
          <w:szCs w:val="20"/>
        </w:rPr>
        <w:t>, </w:t>
      </w:r>
      <w:hyperlink r:id="rId89" w:tooltip="1 באוגוסט" w:history="1">
        <w:r w:rsidRPr="005855F2">
          <w:rPr>
            <w:rStyle w:val="Hyperlink"/>
            <w:sz w:val="20"/>
            <w:szCs w:val="20"/>
          </w:rPr>
          <w:t xml:space="preserve">1 </w:t>
        </w:r>
        <w:r w:rsidRPr="005855F2">
          <w:rPr>
            <w:rStyle w:val="Hyperlink"/>
            <w:sz w:val="20"/>
            <w:szCs w:val="20"/>
            <w:rtl/>
          </w:rPr>
          <w:t>באוגוסט</w:t>
        </w:r>
      </w:hyperlink>
      <w:r w:rsidRPr="005855F2">
        <w:rPr>
          <w:sz w:val="20"/>
          <w:szCs w:val="20"/>
        </w:rPr>
        <w:t> </w:t>
      </w:r>
      <w:hyperlink r:id="rId90" w:tooltip="2012" w:history="1">
        <w:r w:rsidRPr="005855F2">
          <w:rPr>
            <w:rStyle w:val="Hyperlink"/>
            <w:sz w:val="20"/>
            <w:szCs w:val="20"/>
          </w:rPr>
          <w:t>2012</w:t>
        </w:r>
      </w:hyperlink>
      <w:r w:rsidRPr="005855F2">
        <w:rPr>
          <w:sz w:val="20"/>
          <w:szCs w:val="20"/>
        </w:rPr>
        <w:t xml:space="preserve">. </w:t>
      </w:r>
    </w:p>
    <w:p w:rsidR="005366A8" w:rsidRPr="005855F2" w:rsidRDefault="005366A8" w:rsidP="005366A8">
      <w:pPr>
        <w:spacing w:after="60"/>
        <w:rPr>
          <w:sz w:val="20"/>
          <w:szCs w:val="20"/>
        </w:rPr>
      </w:pPr>
      <w:r w:rsidRPr="005855F2">
        <w:rPr>
          <w:sz w:val="20"/>
          <w:szCs w:val="20"/>
          <w:rtl/>
        </w:rPr>
        <w:t>מנהיגים וח"כים חרדים הביעו תגובות נחרצות נגד פסיקת בג"ץ, הרב</w:t>
      </w:r>
      <w:r w:rsidRPr="005855F2">
        <w:rPr>
          <w:sz w:val="20"/>
          <w:szCs w:val="20"/>
        </w:rPr>
        <w:t> </w:t>
      </w:r>
      <w:hyperlink r:id="rId91" w:tooltip="שמואל אויערבך" w:history="1">
        <w:r w:rsidRPr="005855F2">
          <w:rPr>
            <w:rStyle w:val="Hyperlink"/>
            <w:sz w:val="20"/>
            <w:szCs w:val="20"/>
            <w:rtl/>
          </w:rPr>
          <w:t>שמואל אויערבך</w:t>
        </w:r>
      </w:hyperlink>
      <w:r w:rsidRPr="005855F2">
        <w:rPr>
          <w:sz w:val="20"/>
          <w:szCs w:val="20"/>
        </w:rPr>
        <w:t xml:space="preserve">, </w:t>
      </w:r>
      <w:r w:rsidRPr="005855F2">
        <w:rPr>
          <w:sz w:val="20"/>
          <w:szCs w:val="20"/>
          <w:rtl/>
        </w:rPr>
        <w:t>למשל, כתב: "על דבר הגזירה הנוראה לפגוע בלב היהדות, אשר חושבים על גיוס בני הישיבות חלילה וחלילה וח"ו לא תהא כזאת בישראל"‏</w:t>
      </w:r>
      <w:hyperlink r:id="rId92" w:anchor="cite_note-12" w:history="1">
        <w:r w:rsidRPr="005855F2">
          <w:rPr>
            <w:rStyle w:val="Hyperlink"/>
            <w:sz w:val="20"/>
            <w:szCs w:val="20"/>
            <w:vertAlign w:val="superscript"/>
          </w:rPr>
          <w:t>[12]</w:t>
        </w:r>
      </w:hyperlink>
      <w:r w:rsidRPr="005855F2">
        <w:rPr>
          <w:sz w:val="20"/>
          <w:szCs w:val="20"/>
        </w:rPr>
        <w:t>.</w:t>
      </w:r>
    </w:p>
    <w:p w:rsidR="005366A8" w:rsidRPr="005855F2" w:rsidRDefault="005366A8" w:rsidP="005366A8">
      <w:pPr>
        <w:spacing w:after="60"/>
        <w:rPr>
          <w:sz w:val="20"/>
          <w:szCs w:val="20"/>
          <w:rtl/>
        </w:rPr>
      </w:pPr>
      <w:r w:rsidRPr="005855F2">
        <w:rPr>
          <w:sz w:val="20"/>
          <w:szCs w:val="20"/>
          <w:rtl/>
        </w:rPr>
        <w:t>בחודש מאי 2012 הקימה הממשלה את</w:t>
      </w:r>
      <w:r w:rsidRPr="005855F2">
        <w:rPr>
          <w:sz w:val="20"/>
          <w:szCs w:val="20"/>
        </w:rPr>
        <w:t> </w:t>
      </w:r>
      <w:hyperlink r:id="rId93" w:tooltip="הוועדה לקידום השוויון בנטל" w:history="1">
        <w:r w:rsidRPr="005855F2">
          <w:rPr>
            <w:rStyle w:val="Hyperlink"/>
            <w:sz w:val="20"/>
            <w:szCs w:val="20"/>
            <w:rtl/>
          </w:rPr>
          <w:t>הוועדה לקידום השוויון בנטל</w:t>
        </w:r>
      </w:hyperlink>
      <w:r w:rsidRPr="005855F2">
        <w:rPr>
          <w:sz w:val="20"/>
          <w:szCs w:val="20"/>
        </w:rPr>
        <w:t xml:space="preserve">, </w:t>
      </w:r>
      <w:r w:rsidRPr="005855F2">
        <w:rPr>
          <w:sz w:val="20"/>
          <w:szCs w:val="20"/>
          <w:rtl/>
        </w:rPr>
        <w:t>בראשות חבר הכנסת</w:t>
      </w:r>
      <w:r w:rsidRPr="005855F2">
        <w:rPr>
          <w:sz w:val="20"/>
          <w:szCs w:val="20"/>
        </w:rPr>
        <w:t> </w:t>
      </w:r>
      <w:hyperlink r:id="rId94" w:tooltip="יוחנן פלסנר" w:history="1">
        <w:r w:rsidRPr="005855F2">
          <w:rPr>
            <w:rStyle w:val="Hyperlink"/>
            <w:sz w:val="20"/>
            <w:szCs w:val="20"/>
            <w:rtl/>
          </w:rPr>
          <w:t>יוחנן פלסנר</w:t>
        </w:r>
      </w:hyperlink>
      <w:r w:rsidRPr="005855F2">
        <w:rPr>
          <w:sz w:val="20"/>
          <w:szCs w:val="20"/>
        </w:rPr>
        <w:t> </w:t>
      </w:r>
      <w:r w:rsidRPr="005855F2">
        <w:rPr>
          <w:sz w:val="20"/>
          <w:szCs w:val="20"/>
          <w:rtl/>
        </w:rPr>
        <w:t>כדי לגבש חלופה לחוק טל, באופן שיבטל את דחיית גיוסם של בני הישיבות ללא הגבלה במספרם, הוועדה כללה נציגים ממפלגות הקואליציה למעט נציגי המפלגות החרדיות שהחרימו את הוועדה, והודיעו כי לא ישתפו פעולה עמה. לקראת סיום עבודתה כחודש וחצי לאחר שהוקמה, הודיע ראש הממשלה על פירוק הוועדה, זאת לאחר שמספר נציגים ממפלגות הקואליציה פרשו ממנה, לאחר שהתנהלות הוועדה הייתה שלא לרוחם</w:t>
      </w:r>
      <w:r w:rsidRPr="005855F2">
        <w:rPr>
          <w:sz w:val="20"/>
          <w:szCs w:val="20"/>
        </w:rPr>
        <w:t>.</w:t>
      </w:r>
      <w:r>
        <w:rPr>
          <w:rFonts w:hint="cs"/>
          <w:sz w:val="20"/>
          <w:szCs w:val="20"/>
          <w:rtl/>
        </w:rPr>
        <w:t xml:space="preserve"> </w:t>
      </w:r>
    </w:p>
    <w:p w:rsidR="005366A8" w:rsidRPr="005855F2" w:rsidRDefault="005366A8" w:rsidP="005366A8">
      <w:pPr>
        <w:spacing w:after="60"/>
        <w:rPr>
          <w:sz w:val="20"/>
          <w:szCs w:val="20"/>
        </w:rPr>
      </w:pPr>
      <w:r w:rsidRPr="005855F2">
        <w:rPr>
          <w:sz w:val="20"/>
          <w:szCs w:val="20"/>
          <w:rtl/>
        </w:rPr>
        <w:t>לאחר ביטול חוק טל, פרסמו ראשי הישיבות הוראה לתלמידיהן לא לחתום על מסמכים בלשכת הגיוס מעבר לאישור הפרטים האישיים, וחלק אף הורו לא להתייצב כלל עם קבלת זימון ללשכת הגיוס‏</w:t>
      </w:r>
      <w:hyperlink r:id="rId95" w:anchor="cite_note-13" w:history="1">
        <w:r w:rsidRPr="005855F2">
          <w:rPr>
            <w:rStyle w:val="Hyperlink"/>
            <w:sz w:val="20"/>
            <w:szCs w:val="20"/>
            <w:vertAlign w:val="superscript"/>
          </w:rPr>
          <w:t>[13]</w:t>
        </w:r>
      </w:hyperlink>
      <w:r w:rsidRPr="005855F2">
        <w:rPr>
          <w:sz w:val="20"/>
          <w:szCs w:val="20"/>
        </w:rPr>
        <w:t>.</w:t>
      </w:r>
    </w:p>
    <w:p w:rsidR="005366A8" w:rsidRPr="005855F2" w:rsidRDefault="005366A8" w:rsidP="005366A8">
      <w:pPr>
        <w:spacing w:after="60"/>
        <w:rPr>
          <w:b/>
          <w:bCs/>
          <w:sz w:val="20"/>
          <w:szCs w:val="20"/>
        </w:rPr>
      </w:pPr>
      <w:r w:rsidRPr="005855F2">
        <w:rPr>
          <w:b/>
          <w:bCs/>
          <w:sz w:val="20"/>
          <w:szCs w:val="20"/>
          <w:rtl/>
        </w:rPr>
        <w:t>ועדת פרי</w:t>
      </w:r>
    </w:p>
    <w:p w:rsidR="005366A8" w:rsidRPr="005855F2" w:rsidRDefault="005366A8" w:rsidP="005366A8">
      <w:pPr>
        <w:spacing w:after="60"/>
        <w:rPr>
          <w:sz w:val="20"/>
          <w:szCs w:val="20"/>
        </w:rPr>
      </w:pPr>
      <w:r w:rsidRPr="005855F2">
        <w:rPr>
          <w:sz w:val="20"/>
          <w:szCs w:val="20"/>
          <w:rtl/>
        </w:rPr>
        <w:t>לאחר הקמת ממשלת נתניהו השלישית במרץ 2013, הוקמה ועדת שרים בראשותו של</w:t>
      </w:r>
      <w:r w:rsidRPr="005855F2">
        <w:rPr>
          <w:sz w:val="20"/>
          <w:szCs w:val="20"/>
        </w:rPr>
        <w:t> </w:t>
      </w:r>
      <w:hyperlink r:id="rId96" w:tooltip="יעקב פרי" w:history="1">
        <w:r w:rsidRPr="005855F2">
          <w:rPr>
            <w:rStyle w:val="Hyperlink"/>
            <w:sz w:val="20"/>
            <w:szCs w:val="20"/>
            <w:rtl/>
          </w:rPr>
          <w:t>יעקב פרי</w:t>
        </w:r>
      </w:hyperlink>
      <w:r w:rsidRPr="005855F2">
        <w:rPr>
          <w:sz w:val="20"/>
          <w:szCs w:val="20"/>
        </w:rPr>
        <w:t xml:space="preserve">, </w:t>
      </w:r>
      <w:r w:rsidRPr="005855F2">
        <w:rPr>
          <w:sz w:val="20"/>
          <w:szCs w:val="20"/>
          <w:rtl/>
        </w:rPr>
        <w:t>שהמליצה על תוכנית גיוס אשר לפיה יהיו פטורים מגיוס רק 1,800 "מתמידים" בכל שנתון. הוועדה קבעה כי יוטלו סנקציות כלכליות על ישיבות שלא יעמדו ביעדי הגיוס, ואילו ישיבות בעלות אחוזי גיוס גבוהים יתוגמלו כספית. כמו כן המליצה הוועדה כי אם יעדי הגיוס לא יתממשו, ייפתחו הליכים פליליים כנגד המסרבים להתגייס‏</w:t>
      </w:r>
      <w:hyperlink r:id="rId97" w:anchor="cite_note-14" w:history="1">
        <w:r w:rsidRPr="005855F2">
          <w:rPr>
            <w:rStyle w:val="Hyperlink"/>
            <w:sz w:val="20"/>
            <w:szCs w:val="20"/>
            <w:vertAlign w:val="superscript"/>
          </w:rPr>
          <w:t>[14]</w:t>
        </w:r>
      </w:hyperlink>
      <w:r w:rsidRPr="005855F2">
        <w:rPr>
          <w:sz w:val="20"/>
          <w:szCs w:val="20"/>
        </w:rPr>
        <w:t>.</w:t>
      </w:r>
    </w:p>
    <w:p w:rsidR="005366A8" w:rsidRPr="005855F2" w:rsidRDefault="005366A8" w:rsidP="005366A8">
      <w:pPr>
        <w:spacing w:after="60"/>
        <w:rPr>
          <w:sz w:val="20"/>
          <w:szCs w:val="20"/>
        </w:rPr>
      </w:pPr>
      <w:r w:rsidRPr="005855F2">
        <w:rPr>
          <w:sz w:val="20"/>
          <w:szCs w:val="20"/>
          <w:rtl/>
        </w:rPr>
        <w:t>ביולי 2013 הניחה הממשלה על שולחן הכנסת שתי</w:t>
      </w:r>
      <w:r w:rsidRPr="005855F2">
        <w:rPr>
          <w:sz w:val="20"/>
          <w:szCs w:val="20"/>
        </w:rPr>
        <w:t> </w:t>
      </w:r>
      <w:hyperlink r:id="rId98" w:tooltip="הצעת חוק" w:history="1">
        <w:r w:rsidRPr="005855F2">
          <w:rPr>
            <w:rStyle w:val="Hyperlink"/>
            <w:sz w:val="20"/>
            <w:szCs w:val="20"/>
            <w:rtl/>
          </w:rPr>
          <w:t>הצעות חוק</w:t>
        </w:r>
      </w:hyperlink>
      <w:r w:rsidRPr="005855F2">
        <w:rPr>
          <w:sz w:val="20"/>
          <w:szCs w:val="20"/>
        </w:rPr>
        <w:t xml:space="preserve">: </w:t>
      </w:r>
      <w:r w:rsidRPr="005855F2">
        <w:rPr>
          <w:sz w:val="20"/>
          <w:szCs w:val="20"/>
          <w:rtl/>
        </w:rPr>
        <w:t>להסדרת גיוסם של בני ישיבות לצה"ל‏</w:t>
      </w:r>
      <w:hyperlink r:id="rId99" w:anchor="cite_note-15" w:history="1">
        <w:r w:rsidRPr="005855F2">
          <w:rPr>
            <w:rStyle w:val="Hyperlink"/>
            <w:sz w:val="20"/>
            <w:szCs w:val="20"/>
            <w:vertAlign w:val="superscript"/>
          </w:rPr>
          <w:t>[15]</w:t>
        </w:r>
      </w:hyperlink>
      <w:r w:rsidRPr="005855F2">
        <w:rPr>
          <w:sz w:val="20"/>
          <w:szCs w:val="20"/>
        </w:rPr>
        <w:t> </w:t>
      </w:r>
      <w:r>
        <w:rPr>
          <w:rFonts w:hint="cs"/>
          <w:sz w:val="20"/>
          <w:szCs w:val="20"/>
          <w:rtl/>
        </w:rPr>
        <w:t xml:space="preserve"> </w:t>
      </w:r>
      <w:r w:rsidRPr="005855F2">
        <w:rPr>
          <w:sz w:val="20"/>
          <w:szCs w:val="20"/>
          <w:rtl/>
        </w:rPr>
        <w:t>ולשילובם בשירות אזרחי‏</w:t>
      </w:r>
      <w:hyperlink r:id="rId100" w:anchor="cite_note-16" w:history="1">
        <w:r w:rsidRPr="005855F2">
          <w:rPr>
            <w:rStyle w:val="Hyperlink"/>
            <w:sz w:val="20"/>
            <w:szCs w:val="20"/>
            <w:vertAlign w:val="superscript"/>
          </w:rPr>
          <w:t>[16]</w:t>
        </w:r>
      </w:hyperlink>
      <w:r w:rsidRPr="005855F2">
        <w:rPr>
          <w:sz w:val="20"/>
          <w:szCs w:val="20"/>
        </w:rPr>
        <w:t>.</w:t>
      </w:r>
    </w:p>
    <w:p w:rsidR="005366A8" w:rsidRPr="005855F2" w:rsidRDefault="005366A8" w:rsidP="005366A8">
      <w:pPr>
        <w:spacing w:after="60"/>
        <w:rPr>
          <w:b/>
          <w:bCs/>
          <w:sz w:val="20"/>
          <w:szCs w:val="20"/>
        </w:rPr>
      </w:pPr>
      <w:r w:rsidRPr="005855F2">
        <w:rPr>
          <w:b/>
          <w:bCs/>
          <w:sz w:val="20"/>
          <w:szCs w:val="20"/>
          <w:rtl/>
        </w:rPr>
        <w:t>ועדת שקד</w:t>
      </w:r>
    </w:p>
    <w:p w:rsidR="005366A8" w:rsidRDefault="005366A8" w:rsidP="005366A8">
      <w:pPr>
        <w:spacing w:after="60"/>
        <w:rPr>
          <w:sz w:val="20"/>
          <w:szCs w:val="20"/>
          <w:rtl/>
        </w:rPr>
      </w:pPr>
      <w:r w:rsidRPr="005855F2">
        <w:rPr>
          <w:sz w:val="20"/>
          <w:szCs w:val="20"/>
          <w:rtl/>
        </w:rPr>
        <w:t>לאחר שוועדת פרי הגישה את מסקנותיה, ולאחר שהחוק עבר בכנסת בקריאה ראשונה, קמה הוועדה המיוחדת לדיון בהצעת החוק בעניין השוויון בנטל בשירות הצבאי, בשירות האזרחי ובשוק העבודה, ולהסדרת מעמדם של תלמידי הישיבות בראשות</w:t>
      </w:r>
      <w:r w:rsidRPr="005855F2">
        <w:rPr>
          <w:sz w:val="20"/>
          <w:szCs w:val="20"/>
        </w:rPr>
        <w:t> </w:t>
      </w:r>
      <w:hyperlink r:id="rId101" w:tooltip="חברת הכנסת" w:history="1">
        <w:r w:rsidRPr="005855F2">
          <w:rPr>
            <w:rStyle w:val="Hyperlink"/>
            <w:sz w:val="20"/>
            <w:szCs w:val="20"/>
            <w:rtl/>
          </w:rPr>
          <w:t>חברת הכנסת</w:t>
        </w:r>
      </w:hyperlink>
      <w:r w:rsidRPr="005855F2">
        <w:rPr>
          <w:sz w:val="20"/>
          <w:szCs w:val="20"/>
        </w:rPr>
        <w:t> </w:t>
      </w:r>
      <w:hyperlink r:id="rId102" w:tooltip="איילת שקד" w:history="1">
        <w:r w:rsidRPr="005855F2">
          <w:rPr>
            <w:rStyle w:val="Hyperlink"/>
            <w:sz w:val="20"/>
            <w:szCs w:val="20"/>
            <w:rtl/>
          </w:rPr>
          <w:t>איילת שקד</w:t>
        </w:r>
      </w:hyperlink>
      <w:r w:rsidRPr="005855F2">
        <w:rPr>
          <w:sz w:val="20"/>
          <w:szCs w:val="20"/>
        </w:rPr>
        <w:t> </w:t>
      </w:r>
      <w:r w:rsidRPr="005855F2">
        <w:rPr>
          <w:sz w:val="20"/>
          <w:szCs w:val="20"/>
          <w:rtl/>
        </w:rPr>
        <w:t>מ</w:t>
      </w:r>
      <w:hyperlink r:id="rId103" w:tooltip="הבית היהודי" w:history="1">
        <w:r w:rsidRPr="005855F2">
          <w:rPr>
            <w:rStyle w:val="Hyperlink"/>
            <w:sz w:val="20"/>
            <w:szCs w:val="20"/>
            <w:rtl/>
          </w:rPr>
          <w:t>הבית היהודי</w:t>
        </w:r>
      </w:hyperlink>
      <w:r w:rsidRPr="005855F2">
        <w:rPr>
          <w:sz w:val="20"/>
          <w:szCs w:val="20"/>
        </w:rPr>
        <w:t> ("</w:t>
      </w:r>
      <w:r w:rsidRPr="005855F2">
        <w:rPr>
          <w:sz w:val="20"/>
          <w:szCs w:val="20"/>
          <w:rtl/>
        </w:rPr>
        <w:t>ועדת שקד"), שתפקידה לגבש את טיוטת החוק שיוגש לכנסת. בוועדה נכחו נציגי החרדים שהשמיעו את התנגדותם לחובת גיוס תלמידי ישיבות, בשאר המפלגות נתגלעו ויכוחים שונים, הבולט מביניהם היה מחלוקת בין סיעת</w:t>
      </w:r>
      <w:r w:rsidRPr="005855F2">
        <w:rPr>
          <w:sz w:val="20"/>
          <w:szCs w:val="20"/>
        </w:rPr>
        <w:t xml:space="preserve"> "</w:t>
      </w:r>
      <w:hyperlink r:id="rId104" w:tooltip="יש עתיד" w:history="1">
        <w:r w:rsidRPr="005855F2">
          <w:rPr>
            <w:rStyle w:val="Hyperlink"/>
            <w:sz w:val="20"/>
            <w:szCs w:val="20"/>
            <w:rtl/>
          </w:rPr>
          <w:t>יש עתיד</w:t>
        </w:r>
      </w:hyperlink>
      <w:r w:rsidRPr="005855F2">
        <w:rPr>
          <w:sz w:val="20"/>
          <w:szCs w:val="20"/>
        </w:rPr>
        <w:t xml:space="preserve">" </w:t>
      </w:r>
      <w:r w:rsidRPr="005855F2">
        <w:rPr>
          <w:sz w:val="20"/>
          <w:szCs w:val="20"/>
          <w:rtl/>
        </w:rPr>
        <w:t>לסיעת</w:t>
      </w:r>
      <w:r w:rsidRPr="005855F2">
        <w:rPr>
          <w:sz w:val="20"/>
          <w:szCs w:val="20"/>
        </w:rPr>
        <w:t xml:space="preserve"> "</w:t>
      </w:r>
      <w:hyperlink r:id="rId105" w:tooltip="הבית היהודי" w:history="1">
        <w:r w:rsidRPr="005855F2">
          <w:rPr>
            <w:rStyle w:val="Hyperlink"/>
            <w:sz w:val="20"/>
            <w:szCs w:val="20"/>
            <w:rtl/>
          </w:rPr>
          <w:t>הבית היהודי</w:t>
        </w:r>
      </w:hyperlink>
      <w:r w:rsidRPr="005855F2">
        <w:rPr>
          <w:sz w:val="20"/>
          <w:szCs w:val="20"/>
        </w:rPr>
        <w:t xml:space="preserve">", </w:t>
      </w:r>
      <w:r w:rsidRPr="005855F2">
        <w:rPr>
          <w:sz w:val="20"/>
          <w:szCs w:val="20"/>
          <w:rtl/>
        </w:rPr>
        <w:t>האם יש להטיל על המשתמטים מגיוס סנקציות כלכליות או פליליות. בפברואר</w:t>
      </w:r>
      <w:r w:rsidRPr="005855F2">
        <w:rPr>
          <w:sz w:val="20"/>
          <w:szCs w:val="20"/>
        </w:rPr>
        <w:t> </w:t>
      </w:r>
      <w:hyperlink r:id="rId106" w:tooltip="2014" w:history="1">
        <w:r w:rsidRPr="005855F2">
          <w:rPr>
            <w:rStyle w:val="Hyperlink"/>
            <w:sz w:val="20"/>
            <w:szCs w:val="20"/>
          </w:rPr>
          <w:t>2014</w:t>
        </w:r>
      </w:hyperlink>
      <w:r w:rsidRPr="005855F2">
        <w:rPr>
          <w:sz w:val="20"/>
          <w:szCs w:val="20"/>
        </w:rPr>
        <w:t> </w:t>
      </w:r>
      <w:r w:rsidRPr="005855F2">
        <w:rPr>
          <w:sz w:val="20"/>
          <w:szCs w:val="20"/>
          <w:rtl/>
        </w:rPr>
        <w:t>לאחר התערבותו של ראש הממשלה בנימין נתניהו, אישרה ועדת שקד את סעיף הסנקציות הפליליות בחוק השוויון בנטל‏</w:t>
      </w:r>
      <w:hyperlink r:id="rId107" w:anchor="cite_note-17" w:history="1">
        <w:r w:rsidRPr="005855F2">
          <w:rPr>
            <w:rStyle w:val="Hyperlink"/>
            <w:sz w:val="20"/>
            <w:szCs w:val="20"/>
            <w:vertAlign w:val="superscript"/>
          </w:rPr>
          <w:t>[17]</w:t>
        </w:r>
      </w:hyperlink>
      <w:r w:rsidRPr="005855F2">
        <w:rPr>
          <w:sz w:val="20"/>
          <w:szCs w:val="20"/>
        </w:rPr>
        <w:t xml:space="preserve">. </w:t>
      </w:r>
      <w:r w:rsidRPr="005855F2">
        <w:rPr>
          <w:sz w:val="20"/>
          <w:szCs w:val="20"/>
          <w:rtl/>
        </w:rPr>
        <w:t>בתגובה לאישור המלצות ועדת שקד, התקיים כינוס של מנהיגי כל הפלגים של הציבור החרדי, ובו הוחלט להכריז מלחמה נגד המלצות הוועדה‏</w:t>
      </w:r>
      <w:hyperlink r:id="rId108" w:anchor="cite_note-18" w:history="1">
        <w:r w:rsidRPr="005855F2">
          <w:rPr>
            <w:rStyle w:val="Hyperlink"/>
            <w:sz w:val="20"/>
            <w:szCs w:val="20"/>
            <w:vertAlign w:val="superscript"/>
          </w:rPr>
          <w:t>[18]</w:t>
        </w:r>
      </w:hyperlink>
      <w:r w:rsidRPr="005855F2">
        <w:rPr>
          <w:sz w:val="20"/>
          <w:szCs w:val="20"/>
        </w:rPr>
        <w:t xml:space="preserve">. </w:t>
      </w:r>
    </w:p>
    <w:p w:rsidR="005366A8" w:rsidRDefault="005366A8" w:rsidP="005366A8">
      <w:pPr>
        <w:spacing w:after="60"/>
        <w:rPr>
          <w:sz w:val="20"/>
          <w:szCs w:val="20"/>
          <w:rtl/>
        </w:rPr>
      </w:pPr>
      <w:r w:rsidRPr="005855F2">
        <w:rPr>
          <w:sz w:val="20"/>
          <w:szCs w:val="20"/>
          <w:rtl/>
        </w:rPr>
        <w:t>ב</w:t>
      </w:r>
      <w:r w:rsidRPr="005855F2">
        <w:rPr>
          <w:sz w:val="20"/>
          <w:szCs w:val="20"/>
        </w:rPr>
        <w:t>-</w:t>
      </w:r>
      <w:hyperlink r:id="rId109" w:tooltip="12 במרץ" w:history="1">
        <w:r w:rsidRPr="005855F2">
          <w:rPr>
            <w:rStyle w:val="Hyperlink"/>
            <w:sz w:val="20"/>
            <w:szCs w:val="20"/>
          </w:rPr>
          <w:t xml:space="preserve">12 </w:t>
        </w:r>
        <w:r w:rsidRPr="005855F2">
          <w:rPr>
            <w:rStyle w:val="Hyperlink"/>
            <w:sz w:val="20"/>
            <w:szCs w:val="20"/>
            <w:rtl/>
          </w:rPr>
          <w:t>במרץ</w:t>
        </w:r>
      </w:hyperlink>
      <w:r w:rsidRPr="005855F2">
        <w:rPr>
          <w:sz w:val="20"/>
          <w:szCs w:val="20"/>
        </w:rPr>
        <w:t> </w:t>
      </w:r>
      <w:hyperlink r:id="rId110" w:tooltip="2014" w:history="1">
        <w:r w:rsidRPr="005855F2">
          <w:rPr>
            <w:rStyle w:val="Hyperlink"/>
            <w:sz w:val="20"/>
            <w:szCs w:val="20"/>
          </w:rPr>
          <w:t>2014</w:t>
        </w:r>
      </w:hyperlink>
      <w:r w:rsidRPr="005855F2">
        <w:rPr>
          <w:sz w:val="20"/>
          <w:szCs w:val="20"/>
        </w:rPr>
        <w:t> </w:t>
      </w:r>
      <w:r w:rsidRPr="005855F2">
        <w:rPr>
          <w:sz w:val="20"/>
          <w:szCs w:val="20"/>
          <w:rtl/>
        </w:rPr>
        <w:t>הוצג בכנסת חוק הגיוס של ועדת שקד‏</w:t>
      </w:r>
      <w:hyperlink r:id="rId111" w:anchor="cite_note-19" w:history="1">
        <w:r w:rsidRPr="005855F2">
          <w:rPr>
            <w:rStyle w:val="Hyperlink"/>
            <w:sz w:val="20"/>
            <w:szCs w:val="20"/>
            <w:vertAlign w:val="superscript"/>
          </w:rPr>
          <w:t>[19]</w:t>
        </w:r>
      </w:hyperlink>
      <w:r w:rsidRPr="005855F2">
        <w:rPr>
          <w:sz w:val="20"/>
          <w:szCs w:val="20"/>
        </w:rPr>
        <w:t> </w:t>
      </w:r>
      <w:r w:rsidRPr="005855F2">
        <w:rPr>
          <w:sz w:val="20"/>
          <w:szCs w:val="20"/>
          <w:rtl/>
        </w:rPr>
        <w:t>ואושר בקריאה שנייה ושלישית ברוב גדול מול מתנגד אחד (ח"כ</w:t>
      </w:r>
      <w:r w:rsidRPr="005855F2">
        <w:rPr>
          <w:sz w:val="20"/>
          <w:szCs w:val="20"/>
        </w:rPr>
        <w:t> </w:t>
      </w:r>
      <w:hyperlink r:id="rId112" w:tooltip="יוני שטבון" w:history="1">
        <w:r w:rsidRPr="005855F2">
          <w:rPr>
            <w:rStyle w:val="Hyperlink"/>
            <w:sz w:val="20"/>
            <w:szCs w:val="20"/>
            <w:rtl/>
          </w:rPr>
          <w:t>יוני שטבון</w:t>
        </w:r>
      </w:hyperlink>
      <w:r w:rsidRPr="005855F2">
        <w:rPr>
          <w:sz w:val="20"/>
          <w:szCs w:val="20"/>
        </w:rPr>
        <w:t>)</w:t>
      </w:r>
      <w:r w:rsidRPr="005855F2">
        <w:rPr>
          <w:sz w:val="20"/>
          <w:szCs w:val="20"/>
          <w:rtl/>
        </w:rPr>
        <w:t>‏</w:t>
      </w:r>
      <w:hyperlink r:id="rId113" w:anchor="cite_note-.D7.97.D7.95.D7.A7-.D7.95.D7.A2.D7.93.D7.AA-.D7.A9.D7.A7.D7.93-20" w:history="1">
        <w:r w:rsidRPr="005855F2">
          <w:rPr>
            <w:rStyle w:val="Hyperlink"/>
            <w:sz w:val="20"/>
            <w:szCs w:val="20"/>
            <w:vertAlign w:val="superscript"/>
          </w:rPr>
          <w:t>[20]</w:t>
        </w:r>
      </w:hyperlink>
      <w:r w:rsidRPr="005855F2">
        <w:rPr>
          <w:sz w:val="20"/>
          <w:szCs w:val="20"/>
          <w:rtl/>
        </w:rPr>
        <w:t>‏</w:t>
      </w:r>
      <w:hyperlink r:id="rId114" w:anchor="cite_note-.D7.97.D7.95.D7.A7-.D7.95.D7.A2.D7.93.D7.AA-.D7.A9.D7.A7.D7.93-.D7.9B.D7.A0.D7.A1.D7.AA-21" w:history="1">
        <w:r w:rsidRPr="005855F2">
          <w:rPr>
            <w:rStyle w:val="Hyperlink"/>
            <w:sz w:val="20"/>
            <w:szCs w:val="20"/>
            <w:vertAlign w:val="superscript"/>
          </w:rPr>
          <w:t>[21]</w:t>
        </w:r>
      </w:hyperlink>
      <w:r w:rsidRPr="005855F2">
        <w:rPr>
          <w:sz w:val="20"/>
          <w:szCs w:val="20"/>
        </w:rPr>
        <w:t xml:space="preserve">. </w:t>
      </w:r>
    </w:p>
    <w:p w:rsidR="005366A8" w:rsidRPr="005855F2" w:rsidRDefault="005366A8" w:rsidP="005366A8">
      <w:pPr>
        <w:spacing w:after="60"/>
        <w:rPr>
          <w:sz w:val="20"/>
          <w:szCs w:val="20"/>
        </w:rPr>
      </w:pPr>
      <w:r w:rsidRPr="005855F2">
        <w:rPr>
          <w:sz w:val="20"/>
          <w:szCs w:val="20"/>
          <w:rtl/>
        </w:rPr>
        <w:t>לאחר תיקון החוק התבססו בציבור החרדי שני זרמים. את מחנה הרוב מוביל הרב</w:t>
      </w:r>
      <w:r w:rsidRPr="005855F2">
        <w:rPr>
          <w:sz w:val="20"/>
          <w:szCs w:val="20"/>
        </w:rPr>
        <w:t> </w:t>
      </w:r>
      <w:hyperlink r:id="rId115" w:tooltip="אהרן לייב שטיינמן" w:history="1">
        <w:r w:rsidRPr="005855F2">
          <w:rPr>
            <w:rStyle w:val="Hyperlink"/>
            <w:sz w:val="20"/>
            <w:szCs w:val="20"/>
            <w:rtl/>
          </w:rPr>
          <w:t>אהרן לייב שטיינמן</w:t>
        </w:r>
      </w:hyperlink>
      <w:r w:rsidRPr="005855F2">
        <w:rPr>
          <w:sz w:val="20"/>
          <w:szCs w:val="20"/>
        </w:rPr>
        <w:t> </w:t>
      </w:r>
      <w:r w:rsidRPr="005855F2">
        <w:rPr>
          <w:sz w:val="20"/>
          <w:szCs w:val="20"/>
          <w:rtl/>
        </w:rPr>
        <w:t>המורה על שיתוף פעולה עם דרישות הצבא לעניין ההתייצבות וקבלת הדיחוי או פטור על פי החוק. את המחנה השני מוביל הרב</w:t>
      </w:r>
      <w:r w:rsidRPr="005855F2">
        <w:rPr>
          <w:sz w:val="20"/>
          <w:szCs w:val="20"/>
        </w:rPr>
        <w:t> </w:t>
      </w:r>
      <w:hyperlink r:id="rId116" w:tooltip="שמואל אוירבך" w:history="1">
        <w:r w:rsidRPr="005855F2">
          <w:rPr>
            <w:rStyle w:val="Hyperlink"/>
            <w:sz w:val="20"/>
            <w:szCs w:val="20"/>
            <w:rtl/>
          </w:rPr>
          <w:t>שמואל אוירבך</w:t>
        </w:r>
      </w:hyperlink>
      <w:r w:rsidRPr="005855F2">
        <w:rPr>
          <w:sz w:val="20"/>
          <w:szCs w:val="20"/>
        </w:rPr>
        <w:t> </w:t>
      </w:r>
      <w:r w:rsidRPr="005855F2">
        <w:rPr>
          <w:sz w:val="20"/>
          <w:szCs w:val="20"/>
          <w:rtl/>
        </w:rPr>
        <w:t>המורה שאין להתייצב בלשכת הגיוס כלל. בספטמבר 2014 נערך בירושלים כינוס רבנים המתנגדים להתייצבות, ובהם ראשי ישיבות ליטאים המזוהים עם</w:t>
      </w:r>
      <w:r w:rsidRPr="005855F2">
        <w:rPr>
          <w:sz w:val="20"/>
          <w:szCs w:val="20"/>
        </w:rPr>
        <w:t xml:space="preserve"> "</w:t>
      </w:r>
      <w:hyperlink r:id="rId117" w:tooltip="בני תורה (מפלגה)" w:history="1">
        <w:r w:rsidRPr="005855F2">
          <w:rPr>
            <w:rStyle w:val="Hyperlink"/>
            <w:sz w:val="20"/>
            <w:szCs w:val="20"/>
            <w:rtl/>
          </w:rPr>
          <w:t>בני תורה</w:t>
        </w:r>
      </w:hyperlink>
      <w:r w:rsidRPr="005855F2">
        <w:rPr>
          <w:sz w:val="20"/>
          <w:szCs w:val="20"/>
        </w:rPr>
        <w:t xml:space="preserve">", </w:t>
      </w:r>
      <w:r w:rsidRPr="005855F2">
        <w:rPr>
          <w:sz w:val="20"/>
          <w:szCs w:val="20"/>
          <w:rtl/>
        </w:rPr>
        <w:t>רבני</w:t>
      </w:r>
      <w:r w:rsidRPr="005855F2">
        <w:rPr>
          <w:sz w:val="20"/>
          <w:szCs w:val="20"/>
        </w:rPr>
        <w:t> </w:t>
      </w:r>
      <w:hyperlink r:id="rId118" w:tooltip="העדה החרדית" w:history="1">
        <w:r w:rsidRPr="005855F2">
          <w:rPr>
            <w:rStyle w:val="Hyperlink"/>
            <w:sz w:val="20"/>
            <w:szCs w:val="20"/>
            <w:rtl/>
          </w:rPr>
          <w:t>העדה החרדית</w:t>
        </w:r>
      </w:hyperlink>
      <w:r w:rsidRPr="005855F2">
        <w:rPr>
          <w:sz w:val="20"/>
          <w:szCs w:val="20"/>
        </w:rPr>
        <w:t xml:space="preserve">, </w:t>
      </w:r>
      <w:r w:rsidRPr="005855F2">
        <w:rPr>
          <w:sz w:val="20"/>
          <w:szCs w:val="20"/>
          <w:rtl/>
        </w:rPr>
        <w:t>אדמו"רים ורבנים ספרדים ובהם הרב</w:t>
      </w:r>
      <w:r w:rsidRPr="005855F2">
        <w:rPr>
          <w:sz w:val="20"/>
          <w:szCs w:val="20"/>
        </w:rPr>
        <w:t> </w:t>
      </w:r>
      <w:hyperlink r:id="rId119" w:tooltip="דוד בצרי" w:history="1">
        <w:r w:rsidRPr="005855F2">
          <w:rPr>
            <w:rStyle w:val="Hyperlink"/>
            <w:sz w:val="20"/>
            <w:szCs w:val="20"/>
            <w:rtl/>
          </w:rPr>
          <w:t>דוד בצרי</w:t>
        </w:r>
      </w:hyperlink>
      <w:r w:rsidRPr="005855F2">
        <w:rPr>
          <w:sz w:val="20"/>
          <w:szCs w:val="20"/>
        </w:rPr>
        <w:t> </w:t>
      </w:r>
      <w:r w:rsidRPr="005855F2">
        <w:rPr>
          <w:sz w:val="20"/>
          <w:szCs w:val="20"/>
          <w:rtl/>
        </w:rPr>
        <w:t>והרב</w:t>
      </w:r>
      <w:r w:rsidRPr="005855F2">
        <w:rPr>
          <w:sz w:val="20"/>
          <w:szCs w:val="20"/>
        </w:rPr>
        <w:t> </w:t>
      </w:r>
      <w:hyperlink r:id="rId120" w:tooltip="בן ציון מוצפי" w:history="1">
        <w:r w:rsidRPr="005855F2">
          <w:rPr>
            <w:rStyle w:val="Hyperlink"/>
            <w:sz w:val="20"/>
            <w:szCs w:val="20"/>
            <w:rtl/>
          </w:rPr>
          <w:t>בן ציון מוצפי</w:t>
        </w:r>
      </w:hyperlink>
      <w:r w:rsidRPr="005855F2">
        <w:rPr>
          <w:sz w:val="20"/>
          <w:szCs w:val="20"/>
          <w:rtl/>
        </w:rPr>
        <w:t>‏</w:t>
      </w:r>
      <w:hyperlink r:id="rId121" w:anchor="cite_note-22" w:history="1">
        <w:r w:rsidRPr="005855F2">
          <w:rPr>
            <w:rStyle w:val="Hyperlink"/>
            <w:sz w:val="20"/>
            <w:szCs w:val="20"/>
            <w:vertAlign w:val="superscript"/>
          </w:rPr>
          <w:t>[22]</w:t>
        </w:r>
      </w:hyperlink>
      <w:r w:rsidRPr="005855F2">
        <w:rPr>
          <w:sz w:val="20"/>
          <w:szCs w:val="20"/>
        </w:rPr>
        <w:t>.</w:t>
      </w:r>
    </w:p>
    <w:p w:rsidR="005366A8" w:rsidRPr="005855F2" w:rsidRDefault="005366A8" w:rsidP="005366A8">
      <w:pPr>
        <w:spacing w:after="60"/>
        <w:rPr>
          <w:b/>
          <w:bCs/>
          <w:sz w:val="20"/>
          <w:szCs w:val="20"/>
        </w:rPr>
      </w:pPr>
      <w:r w:rsidRPr="005855F2">
        <w:rPr>
          <w:b/>
          <w:bCs/>
          <w:sz w:val="20"/>
          <w:szCs w:val="20"/>
          <w:rtl/>
        </w:rPr>
        <w:t>תקצוב תלמידי ישיבות שגיוסם נדחה</w:t>
      </w:r>
    </w:p>
    <w:p w:rsidR="005366A8" w:rsidRPr="005855F2" w:rsidRDefault="005366A8" w:rsidP="005366A8">
      <w:pPr>
        <w:spacing w:after="60"/>
        <w:rPr>
          <w:sz w:val="20"/>
          <w:szCs w:val="20"/>
          <w:rtl/>
        </w:rPr>
      </w:pPr>
      <w:r w:rsidRPr="005855F2">
        <w:rPr>
          <w:sz w:val="20"/>
          <w:szCs w:val="20"/>
          <w:rtl/>
        </w:rPr>
        <w:t>ב</w:t>
      </w:r>
      <w:r w:rsidRPr="005855F2">
        <w:rPr>
          <w:sz w:val="20"/>
          <w:szCs w:val="20"/>
        </w:rPr>
        <w:t>-</w:t>
      </w:r>
      <w:hyperlink r:id="rId122" w:tooltip="4 בפברואר" w:history="1">
        <w:r w:rsidRPr="005855F2">
          <w:rPr>
            <w:rStyle w:val="Hyperlink"/>
            <w:sz w:val="20"/>
            <w:szCs w:val="20"/>
          </w:rPr>
          <w:t xml:space="preserve">4 </w:t>
        </w:r>
        <w:r w:rsidRPr="005855F2">
          <w:rPr>
            <w:rStyle w:val="Hyperlink"/>
            <w:sz w:val="20"/>
            <w:szCs w:val="20"/>
            <w:rtl/>
          </w:rPr>
          <w:t>בפברואר</w:t>
        </w:r>
      </w:hyperlink>
      <w:r w:rsidRPr="005855F2">
        <w:rPr>
          <w:sz w:val="20"/>
          <w:szCs w:val="20"/>
        </w:rPr>
        <w:t> </w:t>
      </w:r>
      <w:hyperlink r:id="rId123" w:tooltip="2014" w:history="1">
        <w:r w:rsidRPr="005855F2">
          <w:rPr>
            <w:rStyle w:val="Hyperlink"/>
            <w:sz w:val="20"/>
            <w:szCs w:val="20"/>
          </w:rPr>
          <w:t>2014</w:t>
        </w:r>
      </w:hyperlink>
      <w:r w:rsidRPr="005855F2">
        <w:rPr>
          <w:sz w:val="20"/>
          <w:szCs w:val="20"/>
        </w:rPr>
        <w:t> </w:t>
      </w:r>
      <w:r w:rsidRPr="005855F2">
        <w:rPr>
          <w:sz w:val="20"/>
          <w:szCs w:val="20"/>
          <w:rtl/>
        </w:rPr>
        <w:t>החליט הרכב של תשעה שופטי</w:t>
      </w:r>
      <w:r w:rsidRPr="005855F2">
        <w:rPr>
          <w:sz w:val="20"/>
          <w:szCs w:val="20"/>
        </w:rPr>
        <w:t> </w:t>
      </w:r>
      <w:hyperlink r:id="rId124" w:tooltip="בג&quot;ץ" w:history="1">
        <w:r w:rsidRPr="005855F2">
          <w:rPr>
            <w:rStyle w:val="Hyperlink"/>
            <w:sz w:val="20"/>
            <w:szCs w:val="20"/>
            <w:rtl/>
          </w:rPr>
          <w:t>בג"ץ</w:t>
        </w:r>
      </w:hyperlink>
      <w:r w:rsidRPr="005855F2">
        <w:rPr>
          <w:sz w:val="20"/>
          <w:szCs w:val="20"/>
        </w:rPr>
        <w:t xml:space="preserve">, </w:t>
      </w:r>
      <w:r w:rsidRPr="005855F2">
        <w:rPr>
          <w:sz w:val="20"/>
          <w:szCs w:val="20"/>
          <w:rtl/>
        </w:rPr>
        <w:t>ברוב של שמונה מול אחד, להוציא</w:t>
      </w:r>
      <w:r w:rsidRPr="005855F2">
        <w:rPr>
          <w:sz w:val="20"/>
          <w:szCs w:val="20"/>
        </w:rPr>
        <w:t> </w:t>
      </w:r>
      <w:hyperlink r:id="rId125" w:tooltip="צו ביניים" w:history="1">
        <w:r w:rsidRPr="005855F2">
          <w:rPr>
            <w:rStyle w:val="Hyperlink"/>
            <w:sz w:val="20"/>
            <w:szCs w:val="20"/>
            <w:rtl/>
          </w:rPr>
          <w:t>צו ביניים</w:t>
        </w:r>
      </w:hyperlink>
      <w:r w:rsidRPr="005855F2">
        <w:rPr>
          <w:sz w:val="20"/>
          <w:szCs w:val="20"/>
        </w:rPr>
        <w:t> </w:t>
      </w:r>
      <w:r w:rsidRPr="005855F2">
        <w:rPr>
          <w:sz w:val="20"/>
          <w:szCs w:val="20"/>
          <w:rtl/>
        </w:rPr>
        <w:t>האוסר על המדינה לתקצב את תלמידי הישיבות שנדחה מועד גיוסם בהוראה כללית (ולא מסיבות אישיות)‏</w:t>
      </w:r>
      <w:hyperlink r:id="rId126" w:anchor="cite_note-23" w:history="1">
        <w:r w:rsidRPr="005855F2">
          <w:rPr>
            <w:rStyle w:val="Hyperlink"/>
            <w:sz w:val="20"/>
            <w:szCs w:val="20"/>
            <w:vertAlign w:val="superscript"/>
          </w:rPr>
          <w:t>[23]</w:t>
        </w:r>
      </w:hyperlink>
      <w:r w:rsidRPr="005855F2">
        <w:rPr>
          <w:sz w:val="20"/>
          <w:szCs w:val="20"/>
        </w:rPr>
        <w:t xml:space="preserve">. </w:t>
      </w:r>
      <w:r w:rsidRPr="005855F2">
        <w:rPr>
          <w:sz w:val="20"/>
          <w:szCs w:val="20"/>
          <w:rtl/>
        </w:rPr>
        <w:t>הצו מתייחס רק להעברות כספים הנעשות בהתאם ל"מבחנים לחלוקת כספים לצורך תמיכה של משרד החינוך במוסדות תורניים – לימוד ופעולות</w:t>
      </w:r>
      <w:r w:rsidRPr="005855F2">
        <w:rPr>
          <w:sz w:val="20"/>
          <w:szCs w:val="20"/>
        </w:rPr>
        <w:t>".</w:t>
      </w:r>
    </w:p>
    <w:p w:rsidR="005366A8" w:rsidRDefault="005366A8" w:rsidP="005366A8">
      <w:pPr>
        <w:spacing w:after="60"/>
        <w:rPr>
          <w:rtl/>
        </w:rPr>
      </w:pPr>
    </w:p>
    <w:p w:rsidR="005366A8" w:rsidRDefault="005366A8" w:rsidP="005366A8">
      <w:pPr>
        <w:spacing w:after="60"/>
        <w:rPr>
          <w:rtl/>
        </w:rPr>
      </w:pPr>
      <w:r>
        <w:rPr>
          <w:rFonts w:hint="cs"/>
          <w:rtl/>
        </w:rPr>
        <w:t>=-=</w:t>
      </w:r>
    </w:p>
    <w:p w:rsidR="005366A8" w:rsidRDefault="005366A8" w:rsidP="005366A8">
      <w:pPr>
        <w:spacing w:after="60"/>
        <w:rPr>
          <w:rtl/>
        </w:rPr>
      </w:pPr>
      <w:r>
        <w:rPr>
          <w:rFonts w:ascii="Arial" w:hAnsi="Arial" w:cs="Arial" w:hint="cs"/>
          <w:sz w:val="22"/>
          <w:szCs w:val="22"/>
          <w:rtl/>
        </w:rPr>
        <w:t xml:space="preserve">לפגישה הבאה: </w:t>
      </w:r>
      <w:r w:rsidRPr="0031009B">
        <w:rPr>
          <w:rFonts w:ascii="Arial" w:hAnsi="Arial" w:cs="Arial"/>
          <w:sz w:val="22"/>
          <w:szCs w:val="22"/>
          <w:rtl/>
        </w:rPr>
        <w:t>לשאלות אחרות, ראשוניות ומרכזיות:</w:t>
      </w:r>
    </w:p>
    <w:p w:rsidR="005366A8" w:rsidRPr="0031009B" w:rsidRDefault="005366A8" w:rsidP="005366A8">
      <w:pPr>
        <w:spacing w:after="120"/>
        <w:jc w:val="center"/>
        <w:rPr>
          <w:rFonts w:cs="Arial"/>
          <w:b/>
          <w:bCs/>
          <w:sz w:val="28"/>
          <w:szCs w:val="28"/>
          <w:highlight w:val="yellow"/>
          <w:u w:val="single"/>
          <w:rtl/>
        </w:rPr>
      </w:pPr>
      <w:r w:rsidRPr="0031009B">
        <w:rPr>
          <w:rFonts w:cs="Arial" w:hint="cs"/>
          <w:b/>
          <w:bCs/>
          <w:sz w:val="28"/>
          <w:szCs w:val="28"/>
          <w:highlight w:val="yellow"/>
          <w:u w:val="single"/>
          <w:rtl/>
        </w:rPr>
        <w:t>1. היש סמכות מכוננת בישראל?</w:t>
      </w:r>
    </w:p>
    <w:p w:rsidR="005366A8" w:rsidRPr="0031009B" w:rsidRDefault="005366A8" w:rsidP="005366A8">
      <w:pPr>
        <w:spacing w:after="120"/>
        <w:jc w:val="center"/>
        <w:rPr>
          <w:rFonts w:cs="Arial"/>
          <w:sz w:val="28"/>
          <w:szCs w:val="28"/>
          <w:highlight w:val="yellow"/>
          <w:u w:val="single"/>
          <w:rtl/>
        </w:rPr>
      </w:pPr>
      <w:r w:rsidRPr="0031009B">
        <w:rPr>
          <w:rFonts w:cs="Arial" w:hint="cs"/>
          <w:b/>
          <w:bCs/>
          <w:sz w:val="28"/>
          <w:szCs w:val="28"/>
          <w:highlight w:val="yellow"/>
          <w:u w:val="single"/>
          <w:rtl/>
        </w:rPr>
        <w:t xml:space="preserve">2. </w:t>
      </w:r>
      <w:r w:rsidRPr="0031009B">
        <w:rPr>
          <w:rFonts w:cs="Arial"/>
          <w:b/>
          <w:bCs/>
          <w:sz w:val="28"/>
          <w:szCs w:val="28"/>
          <w:highlight w:val="yellow"/>
          <w:u w:val="single"/>
          <w:rtl/>
        </w:rPr>
        <w:t>ה</w:t>
      </w:r>
      <w:r w:rsidRPr="0031009B">
        <w:rPr>
          <w:rFonts w:cs="Arial" w:hint="cs"/>
          <w:b/>
          <w:bCs/>
          <w:sz w:val="28"/>
          <w:szCs w:val="28"/>
          <w:highlight w:val="yellow"/>
          <w:u w:val="single"/>
          <w:rtl/>
        </w:rPr>
        <w:t>אם כוננה מכוחה של סמכות זו חוקה</w:t>
      </w:r>
      <w:r w:rsidRPr="0031009B">
        <w:rPr>
          <w:rFonts w:cs="Arial"/>
          <w:b/>
          <w:bCs/>
          <w:sz w:val="28"/>
          <w:szCs w:val="28"/>
          <w:highlight w:val="yellow"/>
          <w:u w:val="single"/>
          <w:rtl/>
        </w:rPr>
        <w:t xml:space="preserve"> לישראל</w:t>
      </w:r>
      <w:r w:rsidRPr="0031009B">
        <w:rPr>
          <w:rFonts w:cs="Arial"/>
          <w:sz w:val="28"/>
          <w:szCs w:val="28"/>
          <w:highlight w:val="yellow"/>
          <w:u w:val="single"/>
          <w:rtl/>
        </w:rPr>
        <w:t>?</w:t>
      </w:r>
    </w:p>
    <w:p w:rsidR="005366A8" w:rsidRDefault="005366A8" w:rsidP="005366A8">
      <w:pPr>
        <w:spacing w:after="60"/>
        <w:rPr>
          <w:rtl/>
        </w:rPr>
      </w:pPr>
    </w:p>
    <w:p w:rsidR="005366A8" w:rsidRPr="00CF1617" w:rsidRDefault="005366A8" w:rsidP="005366A8">
      <w:pPr>
        <w:jc w:val="center"/>
        <w:rPr>
          <w:rFonts w:ascii="Arial" w:hAnsi="Arial" w:cs="Guttman-Soncino"/>
          <w:b/>
          <w:bCs/>
          <w:rtl/>
        </w:rPr>
      </w:pPr>
      <w:r w:rsidRPr="00CF1617">
        <w:rPr>
          <w:rFonts w:ascii="Arial" w:hAnsi="Arial" w:cs="Guttman-Soncino" w:hint="cs"/>
          <w:b/>
          <w:bCs/>
          <w:highlight w:val="yellow"/>
          <w:rtl/>
        </w:rPr>
        <w:t xml:space="preserve">השאלה הגדולה והכרעתה: היש סמכות מכוננת בידי הכנסת? </w:t>
      </w:r>
      <w:r w:rsidRPr="00CF1617">
        <w:rPr>
          <w:rFonts w:ascii="Arial" w:hAnsi="Arial" w:cs="Guttman-Soncino"/>
          <w:b/>
          <w:bCs/>
          <w:highlight w:val="yellow"/>
          <w:rtl/>
        </w:rPr>
        <w:t>–</w:t>
      </w:r>
      <w:r w:rsidRPr="00CF1617">
        <w:rPr>
          <w:rFonts w:ascii="Arial" w:hAnsi="Arial" w:cs="Guttman-Soncino" w:hint="cs"/>
          <w:b/>
          <w:bCs/>
          <w:highlight w:val="yellow"/>
          <w:rtl/>
        </w:rPr>
        <w:t xml:space="preserve"> פס"ד בנק המזרח</w:t>
      </w:r>
      <w:r w:rsidRPr="00C63EA4">
        <w:rPr>
          <w:rFonts w:ascii="Arial" w:hAnsi="Arial" w:cs="Guttman-Soncino" w:hint="cs"/>
          <w:b/>
          <w:bCs/>
          <w:highlight w:val="yellow"/>
          <w:rtl/>
        </w:rPr>
        <w:t>י (1995)</w:t>
      </w:r>
    </w:p>
    <w:p w:rsidR="005366A8" w:rsidRDefault="005366A8" w:rsidP="005366A8">
      <w:pPr>
        <w:rPr>
          <w:rFonts w:ascii="Arial" w:hAnsi="Arial" w:cs="Arial"/>
          <w:szCs w:val="22"/>
          <w:rtl/>
        </w:rPr>
      </w:pPr>
    </w:p>
    <w:p w:rsidR="005366A8" w:rsidRPr="00EC08D2" w:rsidRDefault="005366A8" w:rsidP="005366A8">
      <w:pPr>
        <w:rPr>
          <w:rFonts w:ascii="Arial" w:hAnsi="Arial" w:cs="Arial"/>
          <w:szCs w:val="22"/>
          <w:rtl/>
        </w:rPr>
      </w:pPr>
      <w:r w:rsidRPr="00EC08D2">
        <w:rPr>
          <w:rFonts w:ascii="Arial" w:hAnsi="Arial" w:cs="Arial"/>
          <w:szCs w:val="22"/>
          <w:rtl/>
        </w:rPr>
        <w:t>הנשיא ברק, סע' 5 לפסק דינו ב</w:t>
      </w:r>
      <w:r w:rsidRPr="00EC08D2">
        <w:rPr>
          <w:rFonts w:ascii="Arial" w:hAnsi="Arial" w:cs="Arial"/>
          <w:b/>
          <w:bCs/>
          <w:szCs w:val="22"/>
          <w:rtl/>
        </w:rPr>
        <w:t>בנק המזרחי</w:t>
      </w:r>
      <w:r w:rsidRPr="00EC08D2">
        <w:rPr>
          <w:rFonts w:ascii="Arial" w:hAnsi="Arial" w:cs="Arial"/>
          <w:szCs w:val="22"/>
          <w:rtl/>
        </w:rPr>
        <w:t>:</w:t>
      </w:r>
    </w:p>
    <w:p w:rsidR="005366A8" w:rsidRPr="00F27EF8" w:rsidRDefault="005366A8" w:rsidP="005366A8">
      <w:pPr>
        <w:spacing w:after="120"/>
        <w:ind w:left="720"/>
        <w:rPr>
          <w:rFonts w:cs="FrankRuehl"/>
          <w:sz w:val="22"/>
          <w:szCs w:val="22"/>
          <w:rtl/>
        </w:rPr>
      </w:pPr>
      <w:r w:rsidRPr="00F27EF8">
        <w:rPr>
          <w:rFonts w:cs="FrankRuehl" w:hint="cs"/>
          <w:sz w:val="22"/>
          <w:szCs w:val="22"/>
          <w:rtl/>
        </w:rPr>
        <w:t>כדי לקבוע חוקה, המצויה ברמה נורמאטיבית עליונה על חוק, נדרשת לכנסת נקודת</w:t>
      </w:r>
      <w:r w:rsidRPr="00F27EF8">
        <w:rPr>
          <w:rFonts w:cs="FrankRuehl"/>
          <w:sz w:val="22"/>
          <w:szCs w:val="22"/>
          <w:rtl/>
        </w:rPr>
        <w:t xml:space="preserve"> </w:t>
      </w:r>
      <w:r w:rsidRPr="00F27EF8">
        <w:rPr>
          <w:rFonts w:cs="FrankRuehl" w:hint="cs"/>
          <w:sz w:val="22"/>
          <w:szCs w:val="22"/>
          <w:rtl/>
        </w:rPr>
        <w:t>אחיזה ארכימדית, המצויה מחוץ לחוקה או לחוק, אשר מעניקה לה את הסמכות לכונן</w:t>
      </w:r>
      <w:r w:rsidRPr="00F27EF8">
        <w:rPr>
          <w:rFonts w:cs="FrankRuehl"/>
          <w:sz w:val="22"/>
          <w:szCs w:val="22"/>
          <w:rtl/>
        </w:rPr>
        <w:t xml:space="preserve"> </w:t>
      </w:r>
      <w:r w:rsidRPr="00F27EF8">
        <w:rPr>
          <w:rFonts w:cs="FrankRuehl" w:hint="cs"/>
          <w:sz w:val="22"/>
          <w:szCs w:val="22"/>
          <w:rtl/>
        </w:rPr>
        <w:t>חוקה. החוקה אינה יכולה ליצור את הסמכות שתיצור אותה. חוק אינו יכול ליצור</w:t>
      </w:r>
      <w:r w:rsidRPr="00F27EF8">
        <w:rPr>
          <w:rFonts w:cs="FrankRuehl"/>
          <w:sz w:val="22"/>
          <w:szCs w:val="22"/>
          <w:rtl/>
        </w:rPr>
        <w:t xml:space="preserve"> </w:t>
      </w:r>
      <w:r w:rsidRPr="00F27EF8">
        <w:rPr>
          <w:rFonts w:cs="FrankRuehl" w:hint="cs"/>
          <w:sz w:val="22"/>
          <w:szCs w:val="22"/>
          <w:rtl/>
        </w:rPr>
        <w:t>חוקה אשר החוק כפוף לה. החוק אינו יכול ליצור את הסמכות שתיצור אותו. מעשה</w:t>
      </w:r>
      <w:r w:rsidRPr="00F27EF8">
        <w:rPr>
          <w:rFonts w:cs="FrankRuehl"/>
          <w:sz w:val="22"/>
          <w:szCs w:val="22"/>
          <w:rtl/>
        </w:rPr>
        <w:t xml:space="preserve"> </w:t>
      </w:r>
      <w:r w:rsidRPr="00F27EF8">
        <w:rPr>
          <w:rFonts w:cs="FrankRuehl" w:hint="cs"/>
          <w:sz w:val="22"/>
          <w:szCs w:val="22"/>
          <w:rtl/>
        </w:rPr>
        <w:t>חוקה מחייב תמיד נקודת אחיזה שמחוץ לגוף המחוקק. נקודת אחיזה זו צריכה לינוק</w:t>
      </w:r>
      <w:r w:rsidRPr="00F27EF8">
        <w:rPr>
          <w:rFonts w:cs="FrankRuehl"/>
          <w:sz w:val="22"/>
          <w:szCs w:val="22"/>
          <w:rtl/>
        </w:rPr>
        <w:t xml:space="preserve"> </w:t>
      </w:r>
      <w:r w:rsidRPr="00F27EF8">
        <w:rPr>
          <w:rFonts w:cs="FrankRuehl" w:hint="cs"/>
          <w:sz w:val="22"/>
          <w:szCs w:val="22"/>
          <w:rtl/>
        </w:rPr>
        <w:t>עצמה מהעם, אשר הריבונות שייכת לו. אכן, ביסוד תורת הסמכות המכוננת של הכנסת</w:t>
      </w:r>
      <w:r w:rsidRPr="00F27EF8">
        <w:rPr>
          <w:rFonts w:cs="FrankRuehl"/>
          <w:sz w:val="22"/>
          <w:szCs w:val="22"/>
          <w:rtl/>
        </w:rPr>
        <w:t xml:space="preserve"> </w:t>
      </w:r>
      <w:r w:rsidRPr="00F27EF8">
        <w:rPr>
          <w:rFonts w:cs="FrankRuehl" w:hint="cs"/>
          <w:sz w:val="22"/>
          <w:szCs w:val="22"/>
          <w:rtl/>
        </w:rPr>
        <w:t>עומדת התפיסה כי סמכותה המכוננת של הכנסת באה לה מהריבון, כלומר מהעם.</w:t>
      </w:r>
    </w:p>
    <w:p w:rsidR="005366A8" w:rsidRPr="00E55884" w:rsidRDefault="005366A8" w:rsidP="005366A8">
      <w:pPr>
        <w:rPr>
          <w:rFonts w:ascii="Arial" w:hAnsi="Arial" w:cs="Arial"/>
          <w:b/>
          <w:bCs/>
          <w:sz w:val="22"/>
          <w:szCs w:val="22"/>
          <w:rtl/>
        </w:rPr>
      </w:pPr>
      <w:r w:rsidRPr="00E55884">
        <w:rPr>
          <w:rFonts w:ascii="Arial" w:hAnsi="Arial" w:cs="Arial"/>
          <w:sz w:val="22"/>
          <w:szCs w:val="22"/>
          <w:rtl/>
        </w:rPr>
        <w:t>השופט חשין, בפתח פסק דינו ב</w:t>
      </w:r>
      <w:r w:rsidRPr="00E55884">
        <w:rPr>
          <w:rFonts w:ascii="Arial" w:hAnsi="Arial" w:cs="Arial"/>
          <w:b/>
          <w:bCs/>
          <w:sz w:val="22"/>
          <w:szCs w:val="22"/>
          <w:rtl/>
        </w:rPr>
        <w:t xml:space="preserve">בנק המזרחי: </w:t>
      </w:r>
    </w:p>
    <w:p w:rsidR="005366A8" w:rsidRPr="00E55884" w:rsidRDefault="005366A8" w:rsidP="005366A8">
      <w:pPr>
        <w:spacing w:after="120"/>
        <w:ind w:left="720"/>
        <w:rPr>
          <w:rFonts w:cs="FrankRuehl"/>
          <w:sz w:val="22"/>
          <w:szCs w:val="22"/>
          <w:rtl/>
        </w:rPr>
      </w:pPr>
      <w:r w:rsidRPr="00533FF0">
        <w:rPr>
          <w:rFonts w:cs="FrankRuehl" w:hint="cs"/>
          <w:sz w:val="22"/>
          <w:szCs w:val="22"/>
          <w:highlight w:val="yellow"/>
          <w:rtl/>
        </w:rPr>
        <w:t>דומני כי למיום היות בית המשפט העליון לישראל - למיום היווסדו ועד עתה - לא עלתה לפניו שאלה גדולה וחשובה כשאלת סמכותה המכוננת של הכנסת לחוקק חוקה לישראל, כשאלה אם ניתנה חוקה לישראל</w:t>
      </w:r>
      <w:r w:rsidRPr="00E55884">
        <w:rPr>
          <w:rFonts w:cs="FrankRuehl" w:hint="cs"/>
          <w:sz w:val="22"/>
          <w:szCs w:val="22"/>
          <w:rtl/>
        </w:rPr>
        <w:t>, [...]</w:t>
      </w:r>
    </w:p>
    <w:p w:rsidR="005366A8" w:rsidRDefault="005366A8" w:rsidP="005366A8">
      <w:pPr>
        <w:spacing w:after="60"/>
        <w:rPr>
          <w:b/>
          <w:bCs/>
          <w:highlight w:val="yellow"/>
          <w:rtl/>
        </w:rPr>
      </w:pPr>
    </w:p>
    <w:p w:rsidR="005366A8" w:rsidRPr="00E71E0D" w:rsidRDefault="005366A8" w:rsidP="005366A8">
      <w:pPr>
        <w:spacing w:after="60"/>
        <w:rPr>
          <w:b/>
          <w:bCs/>
          <w:sz w:val="22"/>
          <w:szCs w:val="22"/>
          <w:highlight w:val="yellow"/>
          <w:rtl/>
        </w:rPr>
      </w:pPr>
      <w:r w:rsidRPr="00E71E0D">
        <w:rPr>
          <w:rFonts w:hint="cs"/>
          <w:b/>
          <w:bCs/>
          <w:sz w:val="22"/>
          <w:szCs w:val="22"/>
          <w:highlight w:val="yellow"/>
          <w:rtl/>
        </w:rPr>
        <w:t>כרקע לויכוח על השאלה הנזכרת, קראו את הקטעים להלן ביחס "לגישה המקורית", זו המוקדמת יותר;</w:t>
      </w:r>
    </w:p>
    <w:p w:rsidR="005366A8" w:rsidRPr="00E71E0D" w:rsidRDefault="005366A8" w:rsidP="005366A8">
      <w:pPr>
        <w:spacing w:after="60"/>
        <w:rPr>
          <w:b/>
          <w:bCs/>
          <w:sz w:val="22"/>
          <w:szCs w:val="22"/>
          <w:highlight w:val="yellow"/>
          <w:rtl/>
        </w:rPr>
      </w:pPr>
      <w:r w:rsidRPr="00E71E0D">
        <w:rPr>
          <w:rFonts w:hint="cs"/>
          <w:b/>
          <w:bCs/>
          <w:sz w:val="22"/>
          <w:szCs w:val="22"/>
          <w:highlight w:val="yellow"/>
          <w:rtl/>
        </w:rPr>
        <w:t xml:space="preserve">וקראו לאחר מכן גם את טיעוניו העיקריים של שופט המיעוט חשין בפס"ד </w:t>
      </w:r>
      <w:r w:rsidRPr="00E71E0D">
        <w:rPr>
          <w:rFonts w:hint="cs"/>
          <w:b/>
          <w:bCs/>
          <w:sz w:val="22"/>
          <w:szCs w:val="22"/>
          <w:highlight w:val="yellow"/>
          <w:u w:val="single"/>
          <w:rtl/>
        </w:rPr>
        <w:t>בנק המזרחי</w:t>
      </w:r>
      <w:r w:rsidRPr="00E71E0D">
        <w:rPr>
          <w:rFonts w:hint="cs"/>
          <w:b/>
          <w:bCs/>
          <w:sz w:val="22"/>
          <w:szCs w:val="22"/>
          <w:highlight w:val="yellow"/>
          <w:rtl/>
        </w:rPr>
        <w:t>, המופיעים בהמשך.</w:t>
      </w:r>
    </w:p>
    <w:p w:rsidR="005366A8" w:rsidRDefault="005366A8" w:rsidP="005366A8">
      <w:pPr>
        <w:pStyle w:val="T-body"/>
        <w:spacing w:line="240" w:lineRule="auto"/>
        <w:jc w:val="center"/>
        <w:rPr>
          <w:rFonts w:ascii="Arial" w:hAnsi="Arial" w:cs="Arial"/>
          <w:b/>
          <w:bCs/>
          <w:sz w:val="28"/>
          <w:szCs w:val="28"/>
          <w:highlight w:val="yellow"/>
          <w:rtl/>
        </w:rPr>
      </w:pPr>
    </w:p>
    <w:p w:rsidR="005366A8" w:rsidRDefault="005366A8" w:rsidP="005366A8">
      <w:pPr>
        <w:pStyle w:val="T-body"/>
        <w:spacing w:line="240" w:lineRule="auto"/>
        <w:jc w:val="center"/>
        <w:rPr>
          <w:rFonts w:ascii="Arial" w:hAnsi="Arial" w:cs="Arial"/>
          <w:b/>
          <w:bCs/>
          <w:highlight w:val="yellow"/>
          <w:rtl/>
        </w:rPr>
      </w:pPr>
      <w:r w:rsidRPr="005737AB">
        <w:rPr>
          <w:rFonts w:ascii="Arial" w:hAnsi="Arial" w:cs="Arial"/>
          <w:b/>
          <w:bCs/>
          <w:sz w:val="28"/>
          <w:szCs w:val="28"/>
          <w:highlight w:val="yellow"/>
          <w:rtl/>
        </w:rPr>
        <w:t xml:space="preserve">החוקה הפורמלית של ישראל </w:t>
      </w:r>
      <w:r w:rsidRPr="005737AB">
        <w:rPr>
          <w:rFonts w:ascii="Arial" w:hAnsi="Arial" w:cs="Arial"/>
          <w:b/>
          <w:bCs/>
          <w:sz w:val="28"/>
          <w:szCs w:val="28"/>
          <w:highlight w:val="yellow"/>
        </w:rPr>
        <w:t>–</w:t>
      </w:r>
      <w:r w:rsidRPr="000F6246">
        <w:rPr>
          <w:rFonts w:ascii="Arial" w:hAnsi="Arial" w:cs="Arial"/>
          <w:b/>
          <w:bCs/>
          <w:highlight w:val="yellow"/>
          <w:rtl/>
        </w:rPr>
        <w:t xml:space="preserve"> </w:t>
      </w:r>
    </w:p>
    <w:p w:rsidR="005366A8" w:rsidRDefault="005366A8" w:rsidP="005366A8">
      <w:pPr>
        <w:pStyle w:val="T-body"/>
        <w:spacing w:line="240" w:lineRule="auto"/>
        <w:jc w:val="center"/>
        <w:rPr>
          <w:rFonts w:ascii="Arial" w:hAnsi="Arial" w:cs="Arial"/>
          <w:b/>
          <w:bCs/>
          <w:sz w:val="28"/>
          <w:szCs w:val="28"/>
          <w:u w:val="single"/>
          <w:rtl/>
        </w:rPr>
      </w:pPr>
      <w:r w:rsidRPr="009D2412">
        <w:rPr>
          <w:rFonts w:ascii="Arial" w:hAnsi="Arial" w:cs="Arial" w:hint="cs"/>
          <w:b/>
          <w:bCs/>
          <w:sz w:val="28"/>
          <w:szCs w:val="28"/>
          <w:highlight w:val="yellow"/>
          <w:u w:val="single"/>
          <w:rtl/>
        </w:rPr>
        <w:t>הגישה המקורית</w:t>
      </w:r>
      <w:r>
        <w:rPr>
          <w:rFonts w:ascii="Arial" w:hAnsi="Arial" w:cs="Arial" w:hint="cs"/>
          <w:b/>
          <w:bCs/>
          <w:sz w:val="28"/>
          <w:szCs w:val="28"/>
          <w:highlight w:val="yellow"/>
          <w:u w:val="single"/>
          <w:rtl/>
        </w:rPr>
        <w:t xml:space="preserve">, </w:t>
      </w:r>
      <w:r w:rsidRPr="002B4CD8">
        <w:rPr>
          <w:rFonts w:ascii="Arial" w:hAnsi="Arial" w:cs="Arial" w:hint="cs"/>
          <w:b/>
          <w:bCs/>
          <w:i/>
          <w:iCs/>
          <w:sz w:val="28"/>
          <w:szCs w:val="28"/>
          <w:highlight w:val="yellow"/>
          <w:u w:val="single"/>
          <w:rtl/>
        </w:rPr>
        <w:t>זו שבטרם "המהפכה החוקתית"</w:t>
      </w:r>
    </w:p>
    <w:p w:rsidR="005366A8" w:rsidRDefault="005366A8" w:rsidP="005366A8">
      <w:pPr>
        <w:spacing w:after="60"/>
        <w:ind w:left="720" w:hanging="720"/>
        <w:rPr>
          <w:highlight w:val="yellow"/>
          <w:rtl/>
        </w:rPr>
      </w:pPr>
    </w:p>
    <w:p w:rsidR="005366A8" w:rsidRPr="00C63EA4" w:rsidRDefault="005366A8" w:rsidP="005366A8">
      <w:pPr>
        <w:spacing w:after="60"/>
        <w:ind w:left="720" w:hanging="720"/>
        <w:rPr>
          <w:highlight w:val="yellow"/>
          <w:rtl/>
        </w:rPr>
      </w:pPr>
      <w:r>
        <w:rPr>
          <w:rFonts w:hint="cs"/>
          <w:highlight w:val="yellow"/>
          <w:rtl/>
        </w:rPr>
        <w:t xml:space="preserve">התפיסה החוקתית שבטרם "המהפכה החוקתית" </w:t>
      </w:r>
      <w:r>
        <w:rPr>
          <w:highlight w:val="yellow"/>
          <w:rtl/>
        </w:rPr>
        <w:t>–</w:t>
      </w:r>
      <w:r>
        <w:rPr>
          <w:rFonts w:hint="cs"/>
          <w:highlight w:val="yellow"/>
          <w:rtl/>
        </w:rPr>
        <w:t xml:space="preserve"> משמע, בטרם חוקי היסוד 'החדשים' בתחום זכויות האדם ובטרם </w:t>
      </w:r>
      <w:r w:rsidRPr="00C63EA4">
        <w:rPr>
          <w:rFonts w:hint="cs"/>
          <w:b/>
          <w:bCs/>
          <w:highlight w:val="yellow"/>
          <w:rtl/>
        </w:rPr>
        <w:t>בנק המזרחי</w:t>
      </w:r>
      <w:r>
        <w:rPr>
          <w:rFonts w:hint="cs"/>
          <w:highlight w:val="yellow"/>
          <w:rtl/>
        </w:rPr>
        <w:t>.</w:t>
      </w:r>
    </w:p>
    <w:p w:rsidR="005366A8" w:rsidRPr="00935B98" w:rsidRDefault="005366A8" w:rsidP="005366A8">
      <w:pPr>
        <w:pStyle w:val="T-body"/>
        <w:spacing w:line="240" w:lineRule="auto"/>
        <w:jc w:val="left"/>
        <w:rPr>
          <w:rFonts w:ascii="Arial" w:hAnsi="Arial" w:cs="Arial"/>
          <w:sz w:val="18"/>
          <w:szCs w:val="18"/>
          <w:rtl/>
        </w:rPr>
      </w:pPr>
    </w:p>
    <w:p w:rsidR="005366A8" w:rsidRPr="00F279DB" w:rsidRDefault="005366A8" w:rsidP="005366A8">
      <w:pPr>
        <w:spacing w:after="120"/>
        <w:ind w:left="720"/>
        <w:rPr>
          <w:rFonts w:ascii="Arial" w:hAnsi="Arial" w:cs="Arial"/>
          <w:sz w:val="20"/>
          <w:szCs w:val="20"/>
          <w:rtl/>
        </w:rPr>
      </w:pPr>
      <w:r w:rsidRPr="007D3F5F">
        <w:rPr>
          <w:rFonts w:ascii="Arial" w:hAnsi="Arial" w:cs="Arial"/>
          <w:sz w:val="20"/>
          <w:szCs w:val="20"/>
          <w:highlight w:val="yellow"/>
          <w:rtl/>
        </w:rPr>
        <w:t xml:space="preserve">ע"א 228/63 </w:t>
      </w:r>
      <w:r w:rsidRPr="007D3F5F">
        <w:rPr>
          <w:rFonts w:ascii="Arial" w:hAnsi="Arial" w:cs="Arial"/>
          <w:b/>
          <w:bCs/>
          <w:sz w:val="20"/>
          <w:szCs w:val="20"/>
          <w:highlight w:val="yellow"/>
          <w:rtl/>
        </w:rPr>
        <w:t>עזוז נ. עזר</w:t>
      </w:r>
      <w:r w:rsidRPr="007D3F5F">
        <w:rPr>
          <w:rFonts w:ascii="Arial" w:hAnsi="Arial" w:cs="Arial"/>
          <w:sz w:val="20"/>
          <w:szCs w:val="20"/>
          <w:highlight w:val="yellow"/>
          <w:rtl/>
        </w:rPr>
        <w:t>, פ"ד יז 2541, 2547 [השופט ברנזון]:</w:t>
      </w:r>
    </w:p>
    <w:p w:rsidR="005366A8" w:rsidRPr="002B4CD8" w:rsidRDefault="005366A8" w:rsidP="005366A8">
      <w:pPr>
        <w:rPr>
          <w:rFonts w:cs="FrankRuehl"/>
          <w:sz w:val="22"/>
          <w:szCs w:val="22"/>
          <w:rtl/>
        </w:rPr>
      </w:pPr>
      <w:r w:rsidRPr="002B4CD8">
        <w:rPr>
          <w:rFonts w:cs="FrankRuehl"/>
          <w:sz w:val="22"/>
          <w:szCs w:val="22"/>
          <w:rtl/>
        </w:rPr>
        <w:t xml:space="preserve">"נעלה מכל ספק הוא שלפי המשטר החוקתי השורר במדינה הכנסת היא ריבונית ובכוחה לחוק כל חוק ולמלאו תוכן כעולה על רוחה.  אין כלל להעלות על הדעת אפשרות של שלילת תוקפו של חוק הכנסת או של הוראה בחוק הכנסת שנעשתה כדין על יסוד נימוק זה או אחר" </w:t>
      </w:r>
      <w:r w:rsidRPr="002B4CD8">
        <w:rPr>
          <w:rFonts w:cs="FrankRuehl" w:hint="cs"/>
          <w:sz w:val="22"/>
          <w:szCs w:val="22"/>
          <w:rtl/>
        </w:rPr>
        <w:t>.</w:t>
      </w:r>
    </w:p>
    <w:p w:rsidR="005366A8" w:rsidRPr="00F279DB" w:rsidRDefault="005366A8" w:rsidP="005366A8">
      <w:pPr>
        <w:rPr>
          <w:sz w:val="20"/>
          <w:szCs w:val="20"/>
          <w:rtl/>
        </w:rPr>
      </w:pPr>
    </w:p>
    <w:p w:rsidR="005366A8" w:rsidRPr="007D3F5F" w:rsidRDefault="005366A8" w:rsidP="005366A8">
      <w:pPr>
        <w:pStyle w:val="T-body"/>
        <w:spacing w:after="120" w:line="240" w:lineRule="auto"/>
        <w:ind w:left="720"/>
        <w:rPr>
          <w:rFonts w:ascii="Arial" w:hAnsi="Arial" w:cs="Arial"/>
          <w:sz w:val="20"/>
          <w:szCs w:val="20"/>
          <w:rtl/>
        </w:rPr>
      </w:pPr>
      <w:r w:rsidRPr="007D3F5F">
        <w:rPr>
          <w:rFonts w:ascii="Arial" w:hAnsi="Arial" w:cs="Arial"/>
          <w:sz w:val="20"/>
          <w:szCs w:val="20"/>
          <w:highlight w:val="yellow"/>
          <w:rtl/>
        </w:rPr>
        <w:t xml:space="preserve">בג"צ 98/69 </w:t>
      </w:r>
      <w:r w:rsidRPr="007D3F5F">
        <w:rPr>
          <w:rFonts w:ascii="Arial" w:hAnsi="Arial" w:cs="Arial"/>
          <w:b/>
          <w:bCs/>
          <w:sz w:val="20"/>
          <w:szCs w:val="20"/>
          <w:highlight w:val="yellow"/>
          <w:rtl/>
        </w:rPr>
        <w:t>ברגמן נ' שר האוצר</w:t>
      </w:r>
      <w:r w:rsidRPr="007D3F5F">
        <w:rPr>
          <w:rFonts w:ascii="Arial" w:hAnsi="Arial" w:cs="Arial"/>
          <w:sz w:val="20"/>
          <w:szCs w:val="20"/>
          <w:highlight w:val="yellow"/>
          <w:rtl/>
        </w:rPr>
        <w:t>, פ"ד כג(1) 693 [השופט לנדוי]</w:t>
      </w:r>
      <w:r>
        <w:rPr>
          <w:rFonts w:ascii="Arial" w:hAnsi="Arial" w:cs="Arial" w:hint="cs"/>
          <w:sz w:val="20"/>
          <w:szCs w:val="20"/>
          <w:highlight w:val="yellow"/>
          <w:rtl/>
        </w:rPr>
        <w:t xml:space="preserve"> </w:t>
      </w:r>
      <w:r>
        <w:rPr>
          <w:rFonts w:ascii="Arial" w:hAnsi="Arial" w:cs="Arial"/>
          <w:sz w:val="20"/>
          <w:szCs w:val="20"/>
          <w:highlight w:val="yellow"/>
          <w:rtl/>
        </w:rPr>
        <w:t>–</w:t>
      </w:r>
      <w:r>
        <w:rPr>
          <w:rFonts w:ascii="Arial" w:hAnsi="Arial" w:cs="Arial" w:hint="cs"/>
          <w:sz w:val="20"/>
          <w:szCs w:val="20"/>
          <w:highlight w:val="yellow"/>
          <w:rtl/>
        </w:rPr>
        <w:t xml:space="preserve"> </w:t>
      </w:r>
      <w:r w:rsidRPr="005B77D7">
        <w:rPr>
          <w:rFonts w:ascii="Arial" w:hAnsi="Arial" w:cs="Arial" w:hint="cs"/>
          <w:b/>
          <w:bCs/>
          <w:i/>
          <w:iCs/>
          <w:sz w:val="20"/>
          <w:szCs w:val="20"/>
          <w:highlight w:val="yellow"/>
          <w:u w:val="single"/>
          <w:rtl/>
        </w:rPr>
        <w:t>פסילתה הראשונה של הוראת חוק</w:t>
      </w:r>
    </w:p>
    <w:p w:rsidR="005366A8" w:rsidRPr="002B4CD8" w:rsidRDefault="005366A8" w:rsidP="005366A8">
      <w:pPr>
        <w:pStyle w:val="T-body"/>
        <w:spacing w:line="240" w:lineRule="auto"/>
        <w:rPr>
          <w:rFonts w:cs="FrankRuehl"/>
          <w:sz w:val="22"/>
          <w:szCs w:val="22"/>
          <w:rtl/>
        </w:rPr>
      </w:pPr>
      <w:r w:rsidRPr="002B4CD8">
        <w:rPr>
          <w:rFonts w:cs="FrankRuehl"/>
          <w:sz w:val="22"/>
          <w:szCs w:val="22"/>
          <w:rtl/>
        </w:rPr>
        <w:t xml:space="preserve">טענתו השניה של העותר היא שחוק המימון </w:t>
      </w:r>
      <w:r w:rsidRPr="002B4CD8">
        <w:rPr>
          <w:rFonts w:cs="FrankRuehl" w:hint="cs"/>
          <w:sz w:val="22"/>
          <w:szCs w:val="22"/>
          <w:rtl/>
        </w:rPr>
        <w:t>[</w:t>
      </w:r>
      <w:r w:rsidRPr="002B4CD8">
        <w:rPr>
          <w:rFonts w:cs="FrankRuehl"/>
          <w:sz w:val="22"/>
          <w:szCs w:val="22"/>
          <w:rtl/>
        </w:rPr>
        <w:t>חוק הבחירות לכנסת ולרשויות המקומיות בשנת תש"ל (מימון, הגבלת הוצאות ובקורת), תשכ"ט-1969</w:t>
      </w:r>
      <w:r w:rsidRPr="002B4CD8">
        <w:rPr>
          <w:rFonts w:cs="FrankRuehl" w:hint="cs"/>
          <w:sz w:val="22"/>
          <w:szCs w:val="22"/>
          <w:rtl/>
        </w:rPr>
        <w:t xml:space="preserve">] </w:t>
      </w:r>
      <w:r w:rsidRPr="002B4CD8">
        <w:rPr>
          <w:rFonts w:cs="FrankRuehl"/>
          <w:sz w:val="22"/>
          <w:szCs w:val="22"/>
          <w:rtl/>
        </w:rPr>
        <w:t>לא נתקבל כדין. היות והוא נוגד את עקרון השוויון של הבחירות הקבוע ב</w:t>
      </w:r>
      <w:r w:rsidRPr="002B4CD8">
        <w:rPr>
          <w:rFonts w:cs="FrankRuehl"/>
          <w:b/>
          <w:bCs/>
          <w:sz w:val="22"/>
          <w:szCs w:val="22"/>
          <w:rtl/>
        </w:rPr>
        <w:t>סעיף 4 של חוק-יסוד: הכנסת</w:t>
      </w:r>
      <w:r w:rsidRPr="002B4CD8">
        <w:rPr>
          <w:rFonts w:cs="FrankRuehl"/>
          <w:sz w:val="22"/>
          <w:szCs w:val="22"/>
          <w:rtl/>
        </w:rPr>
        <w:t xml:space="preserve"> (להלן חוק-היסוד). לפי </w:t>
      </w:r>
      <w:r w:rsidRPr="002B4CD8">
        <w:rPr>
          <w:rFonts w:cs="FrankRuehl"/>
          <w:b/>
          <w:bCs/>
          <w:sz w:val="22"/>
          <w:szCs w:val="22"/>
          <w:rtl/>
        </w:rPr>
        <w:t>סעיף 46</w:t>
      </w:r>
      <w:r w:rsidRPr="002B4CD8">
        <w:rPr>
          <w:rFonts w:cs="FrankRuehl"/>
          <w:sz w:val="22"/>
          <w:szCs w:val="22"/>
          <w:rtl/>
        </w:rPr>
        <w:t xml:space="preserve">, שהוסף לחוק-היסוד בשנת תשי"ט </w:t>
      </w:r>
      <w:r w:rsidRPr="002B4CD8">
        <w:rPr>
          <w:rFonts w:cs="FrankRuehl" w:hint="cs"/>
          <w:sz w:val="22"/>
          <w:szCs w:val="22"/>
          <w:rtl/>
        </w:rPr>
        <w:t>...:</w:t>
      </w:r>
      <w:r w:rsidRPr="002B4CD8">
        <w:rPr>
          <w:rFonts w:cs="FrankRuehl"/>
          <w:sz w:val="22"/>
          <w:szCs w:val="22"/>
          <w:rtl/>
        </w:rPr>
        <w:t xml:space="preserve"> </w:t>
      </w:r>
    </w:p>
    <w:p w:rsidR="005366A8" w:rsidRPr="002B4CD8" w:rsidRDefault="005366A8" w:rsidP="005366A8">
      <w:pPr>
        <w:pStyle w:val="T-body"/>
        <w:spacing w:line="240" w:lineRule="auto"/>
        <w:ind w:left="720"/>
        <w:rPr>
          <w:rFonts w:cs="FrankRuehl"/>
          <w:b/>
          <w:bCs/>
          <w:sz w:val="22"/>
          <w:szCs w:val="22"/>
          <w:rtl/>
        </w:rPr>
      </w:pPr>
      <w:r w:rsidRPr="002B4CD8">
        <w:rPr>
          <w:rFonts w:cs="FrankRuehl"/>
          <w:b/>
          <w:bCs/>
          <w:sz w:val="22"/>
          <w:szCs w:val="22"/>
          <w:rtl/>
        </w:rPr>
        <w:t xml:space="preserve">"הרוב הדרוש לפי חוק זה לשינוי הסעיפים </w:t>
      </w:r>
      <w:r w:rsidRPr="002B4CD8">
        <w:rPr>
          <w:rFonts w:cs="FrankRuehl" w:hint="cs"/>
          <w:b/>
          <w:bCs/>
          <w:sz w:val="22"/>
          <w:szCs w:val="22"/>
          <w:rtl/>
        </w:rPr>
        <w:t>4, 44</w:t>
      </w:r>
      <w:r w:rsidRPr="002B4CD8">
        <w:rPr>
          <w:rFonts w:cs="FrankRuehl"/>
          <w:b/>
          <w:bCs/>
          <w:sz w:val="22"/>
          <w:szCs w:val="22"/>
          <w:rtl/>
        </w:rPr>
        <w:t xml:space="preserve"> או 45 יהא דרוש להחלטות מליאת הכנסת בכל שלב משלבי החקיקה, למעט הדיון בהצעה לסדר יומה של הכנסת. לענין סעיף זה 'שינוי' - בין מפורש ובין משתמע." </w:t>
      </w:r>
    </w:p>
    <w:p w:rsidR="005366A8" w:rsidRPr="002B4CD8" w:rsidRDefault="005366A8" w:rsidP="005366A8">
      <w:pPr>
        <w:pStyle w:val="T-body"/>
        <w:spacing w:line="240" w:lineRule="auto"/>
        <w:rPr>
          <w:rFonts w:cs="FrankRuehl"/>
          <w:sz w:val="22"/>
          <w:szCs w:val="22"/>
          <w:rtl/>
        </w:rPr>
      </w:pPr>
      <w:r w:rsidRPr="002B4CD8">
        <w:rPr>
          <w:rFonts w:cs="FrankRuehl"/>
          <w:sz w:val="22"/>
          <w:szCs w:val="22"/>
          <w:rtl/>
        </w:rPr>
        <w:t xml:space="preserve">וזה לשון הסעיף 4 של חוק-היסוד: </w:t>
      </w:r>
    </w:p>
    <w:p w:rsidR="005366A8" w:rsidRPr="002B4CD8" w:rsidRDefault="005366A8" w:rsidP="005366A8">
      <w:pPr>
        <w:pStyle w:val="T-body"/>
        <w:spacing w:line="240" w:lineRule="auto"/>
        <w:ind w:left="720"/>
        <w:rPr>
          <w:rFonts w:cs="FrankRuehl"/>
          <w:b/>
          <w:bCs/>
          <w:sz w:val="22"/>
          <w:szCs w:val="22"/>
          <w:rtl/>
        </w:rPr>
      </w:pPr>
      <w:r w:rsidRPr="002B4CD8">
        <w:rPr>
          <w:rFonts w:cs="FrankRuehl"/>
          <w:b/>
          <w:bCs/>
          <w:sz w:val="22"/>
          <w:szCs w:val="22"/>
          <w:rtl/>
        </w:rPr>
        <w:t xml:space="preserve">"הכנסת תיבחר בבחירות כלליות, ארציות, ישירות, שוות, חשאיות ויחסיות, לפי חוק הבחירות לכנסת, אין לשנות סעיף זה, אלא ברוב של חברי הכנסת." </w:t>
      </w:r>
    </w:p>
    <w:p w:rsidR="005366A8" w:rsidRPr="002B4CD8" w:rsidRDefault="005366A8" w:rsidP="005366A8">
      <w:pPr>
        <w:pStyle w:val="T-body"/>
        <w:spacing w:line="240" w:lineRule="auto"/>
        <w:rPr>
          <w:rFonts w:cs="FrankRuehl"/>
          <w:sz w:val="22"/>
          <w:szCs w:val="22"/>
          <w:rtl/>
        </w:rPr>
      </w:pPr>
      <w:r w:rsidRPr="002B4CD8">
        <w:rPr>
          <w:rFonts w:cs="FrankRuehl"/>
          <w:sz w:val="22"/>
          <w:szCs w:val="22"/>
          <w:rtl/>
        </w:rPr>
        <w:t xml:space="preserve">חוק המימון נתקבל בכנסת בקריאה ראשונה ברוב של 24 נגד 2 (דברי הכנסת, הכנסת הששית, מושב רביעי, ע' 1377), כלומר בפחות מרוב מנין חברי הכנסת (61). </w:t>
      </w:r>
      <w:r w:rsidRPr="002B4CD8">
        <w:rPr>
          <w:rFonts w:cs="FrankRuehl" w:hint="cs"/>
          <w:sz w:val="22"/>
          <w:szCs w:val="22"/>
          <w:rtl/>
        </w:rPr>
        <w:t>[...]</w:t>
      </w:r>
    </w:p>
    <w:p w:rsidR="005366A8" w:rsidRPr="002B4CD8" w:rsidRDefault="005366A8" w:rsidP="005366A8">
      <w:pPr>
        <w:pStyle w:val="T-body"/>
        <w:spacing w:line="240" w:lineRule="auto"/>
        <w:rPr>
          <w:rFonts w:cs="FrankRuehl"/>
          <w:sz w:val="22"/>
          <w:szCs w:val="22"/>
          <w:rtl/>
        </w:rPr>
      </w:pPr>
      <w:r w:rsidRPr="002B4CD8">
        <w:rPr>
          <w:rFonts w:cs="FrankRuehl"/>
          <w:sz w:val="22"/>
          <w:szCs w:val="22"/>
          <w:rtl/>
        </w:rPr>
        <w:t>הגענו לכלל דעה שבשלילה המוחלטת של ההקצבה מרשימות מועמדים חדשות יש הפרה מעשית של שוויון הסיכויים בין הרשימות, הנוגדת את עקרון השוויון שבסעיף 4 במידה שאין להצדיקה, ולא רק סטיה קלה מעקרון זה.</w:t>
      </w:r>
      <w:r w:rsidRPr="002B4CD8">
        <w:rPr>
          <w:rFonts w:cs="FrankRuehl" w:hint="cs"/>
          <w:sz w:val="22"/>
          <w:szCs w:val="22"/>
          <w:rtl/>
        </w:rPr>
        <w:t xml:space="preserve"> [...]</w:t>
      </w:r>
    </w:p>
    <w:p w:rsidR="005366A8" w:rsidRPr="002B4CD8" w:rsidRDefault="005366A8" w:rsidP="005366A8">
      <w:pPr>
        <w:pStyle w:val="T-body"/>
        <w:spacing w:line="240" w:lineRule="auto"/>
        <w:rPr>
          <w:rFonts w:cs="FrankRuehl"/>
          <w:sz w:val="22"/>
          <w:szCs w:val="22"/>
          <w:rtl/>
        </w:rPr>
      </w:pPr>
      <w:r w:rsidRPr="002B4CD8">
        <w:rPr>
          <w:rFonts w:cs="FrankRuehl"/>
          <w:sz w:val="22"/>
          <w:szCs w:val="22"/>
          <w:rtl/>
        </w:rPr>
        <w:t xml:space="preserve">יוצא איפוא שהכנסת יכולה לעשות אחת משתיים: היא יכולה לחזור ולחוקק את הוראות המימון שבחוק המימון, למרות חוסר השוויון שבהן, אם יימצא להן הרוב הדרוש לפי הסעיפים 4ו-46 של חוק-היסוד, או שהיא יכולה לתקנו כדי להסיר את חוסר השוויון, והצבענו לעיל על דרך אפשרית בה ניתן לעשות זאת. </w:t>
      </w:r>
    </w:p>
    <w:p w:rsidR="005366A8" w:rsidRDefault="005366A8" w:rsidP="005366A8">
      <w:pPr>
        <w:pStyle w:val="T-body"/>
        <w:spacing w:line="240" w:lineRule="auto"/>
        <w:rPr>
          <w:sz w:val="20"/>
          <w:szCs w:val="20"/>
          <w:rtl/>
        </w:rPr>
      </w:pPr>
    </w:p>
    <w:p w:rsidR="005366A8" w:rsidRPr="00F279DB" w:rsidRDefault="005366A8" w:rsidP="005366A8">
      <w:pPr>
        <w:pStyle w:val="T-body"/>
        <w:spacing w:after="120" w:line="240" w:lineRule="auto"/>
        <w:ind w:left="720"/>
        <w:rPr>
          <w:rFonts w:ascii="Arial" w:hAnsi="Arial" w:cs="Arial"/>
          <w:sz w:val="20"/>
          <w:szCs w:val="20"/>
          <w:rtl/>
        </w:rPr>
      </w:pPr>
      <w:r w:rsidRPr="007D3F5F">
        <w:rPr>
          <w:rFonts w:ascii="Arial" w:hAnsi="Arial" w:cs="Arial"/>
          <w:sz w:val="20"/>
          <w:szCs w:val="20"/>
          <w:highlight w:val="yellow"/>
          <w:rtl/>
        </w:rPr>
        <w:t xml:space="preserve">בג"צ 60/77 </w:t>
      </w:r>
      <w:r w:rsidRPr="007D3F5F">
        <w:rPr>
          <w:rFonts w:ascii="Arial" w:hAnsi="Arial" w:cs="Arial"/>
          <w:b/>
          <w:bCs/>
          <w:sz w:val="20"/>
          <w:szCs w:val="20"/>
          <w:highlight w:val="yellow"/>
          <w:rtl/>
        </w:rPr>
        <w:t>רסלר נ' יושב-ראש ועדת הבחירות המרכזית</w:t>
      </w:r>
      <w:r w:rsidRPr="007D3F5F">
        <w:rPr>
          <w:rFonts w:ascii="Arial" w:hAnsi="Arial" w:cs="Arial" w:hint="cs"/>
          <w:sz w:val="20"/>
          <w:szCs w:val="20"/>
          <w:highlight w:val="yellow"/>
          <w:rtl/>
        </w:rPr>
        <w:t>,</w:t>
      </w:r>
      <w:r w:rsidRPr="007D3F5F">
        <w:rPr>
          <w:rFonts w:ascii="Arial" w:hAnsi="Arial" w:cs="Arial"/>
          <w:sz w:val="20"/>
          <w:szCs w:val="20"/>
          <w:highlight w:val="yellow"/>
          <w:rtl/>
        </w:rPr>
        <w:t xml:space="preserve"> פ"ד לא(2) 556</w:t>
      </w:r>
      <w:r w:rsidRPr="007D3F5F">
        <w:rPr>
          <w:rFonts w:ascii="Arial" w:hAnsi="Arial" w:cs="Arial" w:hint="cs"/>
          <w:sz w:val="20"/>
          <w:szCs w:val="20"/>
          <w:highlight w:val="yellow"/>
          <w:rtl/>
        </w:rPr>
        <w:t xml:space="preserve"> [השו' עציוני]</w:t>
      </w:r>
    </w:p>
    <w:p w:rsidR="005366A8" w:rsidRPr="002B4CD8" w:rsidRDefault="005366A8" w:rsidP="005366A8">
      <w:pPr>
        <w:pStyle w:val="T-body"/>
        <w:spacing w:line="240" w:lineRule="auto"/>
        <w:rPr>
          <w:rFonts w:cs="FrankRuehl"/>
          <w:sz w:val="22"/>
          <w:szCs w:val="22"/>
          <w:rtl/>
        </w:rPr>
      </w:pPr>
      <w:r w:rsidRPr="002B4CD8">
        <w:rPr>
          <w:rFonts w:cs="FrankRuehl"/>
          <w:sz w:val="22"/>
          <w:szCs w:val="22"/>
          <w:rtl/>
        </w:rPr>
        <w:t xml:space="preserve">אלא, שהעותר בא לערער על תקפותו של חוק זה בטענו כי חוק-יסוד כמו חוק-יסוד: הכנסת, אין לשנותו אלא בחוק-יסוד אחר, והיות וחוק הבחירות (אישור תקפם של חוקים) לא כונה חוק-יסוד, הרי הוא איננו יכול להכשיר חוקים אחרים אשר באו לשנות את סעיף 4 לחוק-יסוד: הכנסת. בענין זה הוא מסתמך על מאמרו של פרופסור קליין "הסמכות המכוננת במדינת ישראל" (משפטים ב 51). </w:t>
      </w:r>
    </w:p>
    <w:p w:rsidR="005366A8" w:rsidRPr="002B4CD8" w:rsidRDefault="005366A8" w:rsidP="005366A8">
      <w:pPr>
        <w:pStyle w:val="T-body"/>
        <w:spacing w:line="240" w:lineRule="auto"/>
        <w:rPr>
          <w:rFonts w:cs="FrankRuehl"/>
          <w:sz w:val="22"/>
          <w:szCs w:val="22"/>
          <w:rtl/>
        </w:rPr>
      </w:pPr>
      <w:r w:rsidRPr="002B4CD8">
        <w:rPr>
          <w:rFonts w:cs="FrankRuehl"/>
          <w:sz w:val="22"/>
          <w:szCs w:val="22"/>
          <w:rtl/>
        </w:rPr>
        <w:t xml:space="preserve">בצדק טוענת הגב' ביניש שעם כל הכבוד לפרופסור קליין, </w:t>
      </w:r>
      <w:r w:rsidRPr="002B4CD8">
        <w:rPr>
          <w:rFonts w:cs="FrankRuehl"/>
          <w:b/>
          <w:bCs/>
          <w:sz w:val="22"/>
          <w:szCs w:val="22"/>
          <w:rtl/>
        </w:rPr>
        <w:t>אין כל אסמכתה לכך שלא ניתן לשנות חוק-יסוד אלא על-ידי חוק שהכנסת כינתה אותו כחוק-יסוד,</w:t>
      </w:r>
      <w:r w:rsidRPr="002B4CD8">
        <w:rPr>
          <w:rFonts w:cs="FrankRuehl"/>
          <w:sz w:val="22"/>
          <w:szCs w:val="22"/>
          <w:rtl/>
        </w:rPr>
        <w:t xml:space="preserve"> שהענין הוא ענין שבסמנטיקה בלבד, וכי למעשה הפסיקה היא אחרת. </w:t>
      </w:r>
      <w:r w:rsidRPr="002B4CD8">
        <w:rPr>
          <w:rFonts w:cs="FrankRuehl" w:hint="cs"/>
          <w:sz w:val="22"/>
          <w:szCs w:val="22"/>
          <w:rtl/>
        </w:rPr>
        <w:t>[...]</w:t>
      </w:r>
      <w:r w:rsidRPr="002B4CD8">
        <w:rPr>
          <w:rFonts w:cs="FrankRuehl"/>
          <w:sz w:val="22"/>
          <w:szCs w:val="22"/>
          <w:rtl/>
        </w:rPr>
        <w:t xml:space="preserve"> נקבע שהכנסת שהיא בית-המחוקקים הסוברני של המדינה, רשאית לשנות מהוראות חוק-היסוד כל זמן שהדבר נעשה בהתאם להוראות שחוק-היסוד עצמו קבען. כן נקבע באותו פסק-דין שחוק-יסוד: הכנסת עצמו העניק לכנסת כוח לסטות מעקרון השוויון בדרך שהיא התוותה לעצמה מראש בסיפא של סעיף 4 לחוק-היסוד ואם אמנם נתקבל החוק המהווה שינוי לסעיף 4 הנ"ל ברוב שנקבע בסעיף 4, סיפא, הרי הוא תקף.</w:t>
      </w:r>
    </w:p>
    <w:p w:rsidR="005366A8" w:rsidRPr="002B4CD8" w:rsidRDefault="005366A8" w:rsidP="005366A8">
      <w:pPr>
        <w:pStyle w:val="T-body"/>
        <w:spacing w:line="240" w:lineRule="auto"/>
        <w:rPr>
          <w:rFonts w:cs="FrankRuehl"/>
          <w:sz w:val="22"/>
          <w:szCs w:val="22"/>
          <w:rtl/>
        </w:rPr>
      </w:pPr>
    </w:p>
    <w:p w:rsidR="005366A8" w:rsidRPr="00995499" w:rsidRDefault="005366A8" w:rsidP="005366A8">
      <w:pPr>
        <w:spacing w:after="120"/>
        <w:ind w:left="720"/>
        <w:rPr>
          <w:rFonts w:ascii="Arial" w:hAnsi="Arial" w:cs="FrankRuehl"/>
          <w:sz w:val="22"/>
          <w:szCs w:val="22"/>
          <w:rtl/>
        </w:rPr>
      </w:pPr>
      <w:r w:rsidRPr="00995499">
        <w:rPr>
          <w:rFonts w:ascii="Arial" w:hAnsi="Arial" w:cs="Arial"/>
          <w:sz w:val="20"/>
          <w:szCs w:val="20"/>
          <w:highlight w:val="yellow"/>
          <w:rtl/>
        </w:rPr>
        <w:t xml:space="preserve">בג"צ 142/89 </w:t>
      </w:r>
      <w:r w:rsidRPr="00995499">
        <w:rPr>
          <w:rFonts w:ascii="Arial" w:hAnsi="Arial" w:cs="Arial"/>
          <w:b/>
          <w:bCs/>
          <w:sz w:val="20"/>
          <w:szCs w:val="20"/>
          <w:highlight w:val="yellow"/>
          <w:rtl/>
        </w:rPr>
        <w:t>תנועת לאו"ר נ' יושב-ראש הכנסת</w:t>
      </w:r>
      <w:r w:rsidRPr="00995499">
        <w:rPr>
          <w:rFonts w:ascii="Arial" w:hAnsi="Arial" w:cs="Arial"/>
          <w:sz w:val="20"/>
          <w:szCs w:val="20"/>
          <w:highlight w:val="yellow"/>
          <w:rtl/>
        </w:rPr>
        <w:t>, פ"ד מד(3) 529, 554-553 [השופט ברק]</w:t>
      </w:r>
    </w:p>
    <w:p w:rsidR="005366A8" w:rsidRPr="002B4CD8" w:rsidRDefault="005366A8" w:rsidP="005366A8">
      <w:pPr>
        <w:rPr>
          <w:rFonts w:cs="FrankRuehl"/>
          <w:sz w:val="22"/>
          <w:szCs w:val="22"/>
          <w:rtl/>
        </w:rPr>
      </w:pPr>
      <w:r w:rsidRPr="002B4CD8">
        <w:rPr>
          <w:rFonts w:cs="FrankRuehl"/>
          <w:sz w:val="22"/>
          <w:szCs w:val="22"/>
          <w:rtl/>
        </w:rPr>
        <w:t>12. סעיף 4 לחוק-יסוד: הכנסת קובע עקרון של שוויון בשיטת הבחירות. הוא מוסיף וקובע, כי "אין לשנות סעיף זה, אלא ברוב של חברי הכנסת". בכך ניתן "שריון" להוראת סעיף 4 לחוק היסוד. "שריון" זה תופס בשיטתנו, שכן מכירים אנו בסמכותה של הכנסת לפעול כרשות מכוננת ולהכין חוקי יסוד אשר יהוו את פרקיה השונים של חוקת המדינה. במסגרת זו אנו מכירים בכוחה של הכנסת - שעה שהיא פועלת כרשות מכוננת - לשריין הוראות של חוק-יסוד מפני שינויים - בין שינויים בחוק "רגיל" ובין שינויים בחוק-יסוד - המתקבלים ברוב "רגיל"</w:t>
      </w:r>
      <w:r w:rsidRPr="002B4CD8">
        <w:rPr>
          <w:rFonts w:cs="FrankRuehl" w:hint="cs"/>
          <w:sz w:val="22"/>
          <w:szCs w:val="22"/>
          <w:rtl/>
        </w:rPr>
        <w:t>. [...]</w:t>
      </w:r>
    </w:p>
    <w:p w:rsidR="005366A8" w:rsidRPr="002B4CD8" w:rsidRDefault="005366A8" w:rsidP="005366A8">
      <w:pPr>
        <w:rPr>
          <w:rFonts w:cs="FrankRuehl"/>
          <w:sz w:val="22"/>
          <w:szCs w:val="22"/>
          <w:rtl/>
        </w:rPr>
      </w:pPr>
      <w:r w:rsidRPr="002B4CD8">
        <w:rPr>
          <w:rFonts w:cs="FrankRuehl"/>
          <w:sz w:val="22"/>
          <w:szCs w:val="22"/>
          <w:rtl/>
        </w:rPr>
        <w:t>27. מה תוקפו של חוק הסותר עקרונות יסוד, כגון את עקרון השוויון? השאלה "פשוטה" יחסית, אם עקרונות היסוד מעוגנים בחוקה נוקשה או בחוק-יסוד משוריין. כפי שראינו, במקרה זה יד העקרונות על העליונה, שכן הם מעוגנים בנורמה משפטית עליונה, ומכוחם החוק בטל. בית המשפט מוסמך להצהיר על כך. אך מה הדין אם אין חוקה נוקשה, ואין בנמצא חוקי-יסוד משוריינים: האם בכוחו של חוק "רגיל" לקבוע הסדר הנוגד את עקרונות היסוד של השיטה? והאם יכולים חוקה נוקשה וחוק-יסוד משוריין לנגוד עקרונות יסוד אלה? כפי שציינתי, שאלה זו אינה חדשה. כמוה בימי המאבק בין הפילוסופיה הפוזיטיביסטית לבין הפילוסופיה המבססת עצמה על משפט טבעי.</w:t>
      </w:r>
      <w:r w:rsidRPr="002B4CD8">
        <w:rPr>
          <w:rFonts w:cs="FrankRuehl" w:hint="cs"/>
          <w:sz w:val="22"/>
          <w:szCs w:val="22"/>
          <w:rtl/>
        </w:rPr>
        <w:t xml:space="preserve"> [...]</w:t>
      </w:r>
    </w:p>
    <w:p w:rsidR="005366A8" w:rsidRPr="002B4CD8" w:rsidRDefault="005366A8" w:rsidP="005366A8">
      <w:pPr>
        <w:rPr>
          <w:rFonts w:cs="FrankRuehl"/>
          <w:sz w:val="22"/>
          <w:szCs w:val="22"/>
          <w:rtl/>
        </w:rPr>
      </w:pPr>
      <w:r w:rsidRPr="002B4CD8">
        <w:rPr>
          <w:rFonts w:cs="FrankRuehl" w:hint="cs"/>
          <w:sz w:val="22"/>
          <w:szCs w:val="22"/>
          <w:rtl/>
        </w:rPr>
        <w:t xml:space="preserve">28. </w:t>
      </w:r>
      <w:r w:rsidRPr="002B4CD8">
        <w:rPr>
          <w:rFonts w:cs="FrankRuehl"/>
          <w:sz w:val="22"/>
          <w:szCs w:val="22"/>
          <w:rtl/>
        </w:rPr>
        <w:t>הגישה המקובלת באנגליה, אינה הגישה היחידה האפשרית. אמת, מוכרת ריבונותו של בית המחוקקים. אך כמו כל ריבונות, גם ריבונות זו יכולה להיות מוגבלת (</w:t>
      </w:r>
      <w:r w:rsidRPr="002B4CD8">
        <w:rPr>
          <w:rFonts w:cs="FrankRuehl" w:hint="cs"/>
          <w:sz w:val="22"/>
          <w:szCs w:val="22"/>
          <w:rtl/>
        </w:rPr>
        <w:t>...</w:t>
      </w:r>
      <w:r w:rsidRPr="002B4CD8">
        <w:rPr>
          <w:rFonts w:cs="FrankRuehl"/>
          <w:sz w:val="22"/>
          <w:szCs w:val="22"/>
          <w:rtl/>
        </w:rPr>
        <w:t>). אכן, בגרמניה, למשל, הודגשה ההשקפה כי המחוקק כבול לעקרונות יסוד מסוימים, גם אם לעקרונות יסוד אלה אין עיגון חוקתי.</w:t>
      </w:r>
      <w:r w:rsidRPr="002B4CD8">
        <w:rPr>
          <w:rFonts w:cs="FrankRuehl" w:hint="cs"/>
          <w:sz w:val="22"/>
          <w:szCs w:val="22"/>
          <w:rtl/>
        </w:rPr>
        <w:t xml:space="preserve"> [...]</w:t>
      </w:r>
    </w:p>
    <w:p w:rsidR="005366A8" w:rsidRDefault="005366A8" w:rsidP="005366A8">
      <w:pPr>
        <w:rPr>
          <w:sz w:val="22"/>
          <w:szCs w:val="22"/>
          <w:rtl/>
        </w:rPr>
      </w:pPr>
      <w:r w:rsidRPr="002B4CD8">
        <w:rPr>
          <w:rFonts w:cs="FrankRuehl" w:hint="cs"/>
          <w:sz w:val="22"/>
          <w:szCs w:val="22"/>
          <w:rtl/>
        </w:rPr>
        <w:t xml:space="preserve">30. </w:t>
      </w:r>
      <w:r w:rsidRPr="002B4CD8">
        <w:rPr>
          <w:rFonts w:cs="FrankRuehl"/>
          <w:sz w:val="22"/>
          <w:szCs w:val="22"/>
          <w:rtl/>
        </w:rPr>
        <w:t xml:space="preserve">מהי   המסקנה  העולה  מניתוח  זה?  לדעתי  שלש  הן  המסקנות המתבקשות: </w:t>
      </w:r>
      <w:r w:rsidRPr="002B4CD8">
        <w:rPr>
          <w:rFonts w:cs="FrankRuehl"/>
          <w:b/>
          <w:bCs/>
          <w:sz w:val="22"/>
          <w:szCs w:val="22"/>
          <w:rtl/>
        </w:rPr>
        <w:t>האחת</w:t>
      </w:r>
      <w:r w:rsidRPr="002B4CD8">
        <w:rPr>
          <w:rFonts w:cs="FrankRuehl"/>
          <w:sz w:val="22"/>
          <w:szCs w:val="22"/>
          <w:rtl/>
        </w:rPr>
        <w:t>,  כי  באופן עקרוני-תורתי, קיימת אפשרות שבית משפט בחברה דמוקרטית  יצהיר על בטלותו של חוק הנוגד עקרונות יסוד של השיטה; גם  אם  עקרונות  יסודות  אלה אינם מעוגנים בחוקה נוקשה או בחוק-יסוד משוריין</w:t>
      </w:r>
      <w:r w:rsidRPr="002B4CD8">
        <w:rPr>
          <w:rFonts w:cs="FrankRuehl" w:hint="cs"/>
          <w:sz w:val="22"/>
          <w:szCs w:val="22"/>
          <w:rtl/>
        </w:rPr>
        <w:t>.</w:t>
      </w:r>
      <w:r w:rsidRPr="002B4CD8">
        <w:rPr>
          <w:rFonts w:cs="FrankRuehl"/>
          <w:sz w:val="22"/>
          <w:szCs w:val="22"/>
          <w:rtl/>
        </w:rPr>
        <w:t xml:space="preserve"> אין כל דבר אקסיומתי בגישה, כי חוק אינו נפסל בשל תוכנו. בפסילת חוק על ידי בית המשפט בשל פגיעתו הקשה בעקרונות יסוד אין משום פגיעה בעקרון ריבונות המחוקק, שכן הריבונות היא לעולם מוגבלת.  אין בכך פגיעה בעקרון הפרדת הרשויות, שכן עקרון זה בנוי על איזונים וריסונים, המגבילים כל אחת מהרשויות. אין בכך פגיעה בדמוקרטיה, שכן דמוקרטיה היא איזון עדין בין שלטון הרוב לבין זכויות האדם ועקרונות יסוד, ובאיזון זה, שמירה על זכויות האדם ועקרונות יסוד, אינה יכולה לה</w:t>
      </w:r>
      <w:r w:rsidRPr="002B4CD8">
        <w:rPr>
          <w:rFonts w:cs="FrankRuehl" w:hint="cs"/>
          <w:sz w:val="22"/>
          <w:szCs w:val="22"/>
          <w:rtl/>
        </w:rPr>
        <w:t>י</w:t>
      </w:r>
      <w:r w:rsidRPr="002B4CD8">
        <w:rPr>
          <w:rFonts w:cs="FrankRuehl"/>
          <w:sz w:val="22"/>
          <w:szCs w:val="22"/>
          <w:rtl/>
        </w:rPr>
        <w:t xml:space="preserve">תפס, כשלעצמה, כעניין בלתי דמוקרטי. אין בכך פגיעה בשפיטה, שכן מתפקידה של זו לשמור על שלטון החוק, לרבות שלטון החוק במחוקק. </w:t>
      </w:r>
      <w:r w:rsidRPr="002B4CD8">
        <w:rPr>
          <w:rFonts w:cs="FrankRuehl"/>
          <w:b/>
          <w:bCs/>
          <w:sz w:val="22"/>
          <w:szCs w:val="22"/>
          <w:rtl/>
        </w:rPr>
        <w:t>השניה</w:t>
      </w:r>
      <w:r w:rsidRPr="002B4CD8">
        <w:rPr>
          <w:rFonts w:cs="FrankRuehl"/>
          <w:sz w:val="22"/>
          <w:szCs w:val="22"/>
          <w:rtl/>
        </w:rPr>
        <w:t>, כי על  פי  התפיסה החברתית והמשפטית המקובלת אצלנו, אין בית המשפט נוטל לעצמו סמכות זו להכריז על בטלותו של חוק הנוגד עקרונות יסוד של שיטתנו. תפיסה זו, ק</w:t>
      </w:r>
      <w:r w:rsidRPr="002B4CD8">
        <w:rPr>
          <w:rFonts w:cs="FrankRuehl" w:hint="cs"/>
          <w:sz w:val="22"/>
          <w:szCs w:val="22"/>
          <w:rtl/>
        </w:rPr>
        <w:t>י</w:t>
      </w:r>
      <w:r w:rsidRPr="002B4CD8">
        <w:rPr>
          <w:rFonts w:cs="FrankRuehl"/>
          <w:sz w:val="22"/>
          <w:szCs w:val="22"/>
          <w:rtl/>
        </w:rPr>
        <w:t xml:space="preserve">בלנוה בירושה מהתפיסה האנגלית, ופיתחנו אותה על רקע המציאות של הדמוקרטיה שלנו.  כך אנו נוהגים זה למעלה מארבעים שנה. היא משקפת את  ההסכמה החברתית בישראל, והיא נהנית מקונצנזוס של הציבור הנאור. רק על רקע תפיסה זו ניתן להבין את המחלוקת המפלגת אותנו באשר לצורך  בחוקה  נוקשה  ובביקורת  שיפוטית.  </w:t>
      </w:r>
      <w:r w:rsidRPr="002B4CD8">
        <w:rPr>
          <w:rFonts w:cs="FrankRuehl"/>
          <w:b/>
          <w:bCs/>
          <w:sz w:val="22"/>
          <w:szCs w:val="22"/>
          <w:rtl/>
        </w:rPr>
        <w:t>השלישית</w:t>
      </w:r>
      <w:r w:rsidRPr="002B4CD8">
        <w:rPr>
          <w:rFonts w:cs="FrankRuehl"/>
          <w:sz w:val="22"/>
          <w:szCs w:val="22"/>
          <w:rtl/>
        </w:rPr>
        <w:t xml:space="preserve">,  כי לאור התפיסות החברתיות-משפטיות הנהוגות בישראל, ולאור הפסיקה העקבית של בית משפט זה במשך השנים, אין זה ראוי כי נסטה מגישתנו המקובלת והמשקפת את המסורת  המשפטית-פוליטית שלנו ואין זה ראוי כי נאמץ גישה חדשה, המכירה בכוחו של בית המשפט להצהיר על בטלותו של חוק - שאינו סותר  הוראה  משוריינת  בחוק יסוד - והנוגד עקרונות יסוד של השיטה. אם נעשה כן, נראה בעיני הציבור כמי שחורג מהקונצנזוס החברתי באשר  לתפקידו  וכוחו של שופט בחברה הישראלית. תפיסת החברה הישראלית את התפקיד השיפוטי אינה עולה בקנה אחד עם פסיקה מרחיקת לכת זו.  נראה  לי כי תפיסת הציבור היא, כי הכרעה כה חשובה ועמוקה צריכה להעשות  -  </w:t>
      </w:r>
      <w:r w:rsidRPr="002B4CD8">
        <w:rPr>
          <w:rFonts w:cs="FrankRuehl"/>
          <w:sz w:val="22"/>
          <w:szCs w:val="22"/>
          <w:highlight w:val="yellow"/>
          <w:rtl/>
        </w:rPr>
        <w:t>בשלב זה של חיינו הלאומיים</w:t>
      </w:r>
      <w:r w:rsidRPr="002B4CD8">
        <w:rPr>
          <w:rFonts w:cs="FrankRuehl"/>
          <w:sz w:val="22"/>
          <w:szCs w:val="22"/>
          <w:rtl/>
        </w:rPr>
        <w:t xml:space="preserve"> - על ידי העם ונציגיו הנבחרים. מטעמים  אלה  יש לדעתי לדחות את טענותיו של ד"ר קורינלדי בעניין זה,  בלא  לבחון לגופו של עניין את מידת הפגיעה בעקרון השוויון ובעקרונות אחרים שיש בו, בחוק המתקן.</w:t>
      </w:r>
    </w:p>
    <w:p w:rsidR="005366A8" w:rsidRDefault="005366A8" w:rsidP="005366A8">
      <w:pPr>
        <w:spacing w:after="60"/>
        <w:rPr>
          <w:b/>
          <w:bCs/>
          <w:highlight w:val="yellow"/>
          <w:rtl/>
        </w:rPr>
      </w:pPr>
      <w:r>
        <w:rPr>
          <w:rFonts w:hint="cs"/>
          <w:b/>
          <w:bCs/>
          <w:highlight w:val="yellow"/>
          <w:rtl/>
        </w:rPr>
        <w:t>=-=</w:t>
      </w:r>
    </w:p>
    <w:p w:rsidR="005366A8" w:rsidRPr="00CF1617" w:rsidRDefault="005366A8" w:rsidP="005366A8">
      <w:pPr>
        <w:spacing w:after="120"/>
        <w:jc w:val="center"/>
        <w:rPr>
          <w:rFonts w:ascii="Arial" w:hAnsi="Arial" w:cs="Guttman-Soncino"/>
          <w:b/>
          <w:bCs/>
          <w:rtl/>
        </w:rPr>
      </w:pPr>
      <w:r w:rsidRPr="00935B98">
        <w:rPr>
          <w:rFonts w:ascii="Arial" w:hAnsi="Arial" w:cs="Guttman-Soncino" w:hint="cs"/>
          <w:b/>
          <w:bCs/>
          <w:highlight w:val="yellow"/>
          <w:u w:val="single"/>
          <w:rtl/>
        </w:rPr>
        <w:t>השינוי</w:t>
      </w:r>
      <w:r>
        <w:rPr>
          <w:rFonts w:ascii="Arial" w:hAnsi="Arial" w:cs="Guttman-Soncino" w:hint="cs"/>
          <w:b/>
          <w:bCs/>
          <w:highlight w:val="yellow"/>
          <w:rtl/>
        </w:rPr>
        <w:t>: חוקי היסוד 'החדשים' ו</w:t>
      </w:r>
      <w:r w:rsidRPr="00CF1617">
        <w:rPr>
          <w:rFonts w:ascii="Arial" w:hAnsi="Arial" w:cs="Guttman-Soncino" w:hint="cs"/>
          <w:b/>
          <w:bCs/>
          <w:highlight w:val="yellow"/>
          <w:rtl/>
        </w:rPr>
        <w:t>פס</w:t>
      </w:r>
      <w:r>
        <w:rPr>
          <w:rFonts w:ascii="Arial" w:hAnsi="Arial" w:cs="Guttman-Soncino" w:hint="cs"/>
          <w:b/>
          <w:bCs/>
          <w:highlight w:val="yellow"/>
          <w:rtl/>
        </w:rPr>
        <w:t>ק-דין</w:t>
      </w:r>
      <w:r w:rsidRPr="00CF1617">
        <w:rPr>
          <w:rFonts w:ascii="Arial" w:hAnsi="Arial" w:cs="Guttman-Soncino" w:hint="cs"/>
          <w:b/>
          <w:bCs/>
          <w:highlight w:val="yellow"/>
          <w:rtl/>
        </w:rPr>
        <w:t xml:space="preserve"> בנק המזרח</w:t>
      </w:r>
      <w:r w:rsidRPr="00C63EA4">
        <w:rPr>
          <w:rFonts w:ascii="Arial" w:hAnsi="Arial" w:cs="Guttman-Soncino" w:hint="cs"/>
          <w:b/>
          <w:bCs/>
          <w:highlight w:val="yellow"/>
          <w:rtl/>
        </w:rPr>
        <w:t>י (1995)</w:t>
      </w:r>
    </w:p>
    <w:p w:rsidR="005366A8" w:rsidRPr="00E82C32" w:rsidRDefault="005366A8" w:rsidP="005366A8">
      <w:pPr>
        <w:rPr>
          <w:rFonts w:ascii="Arial" w:hAnsi="Arial" w:cs="Arial"/>
          <w:b/>
          <w:bCs/>
          <w:sz w:val="20"/>
          <w:szCs w:val="20"/>
          <w:u w:val="single"/>
          <w:rtl/>
        </w:rPr>
      </w:pPr>
      <w:r w:rsidRPr="00E82C32">
        <w:rPr>
          <w:rFonts w:ascii="Arial" w:hAnsi="Arial" w:cs="Arial"/>
          <w:b/>
          <w:bCs/>
          <w:sz w:val="20"/>
          <w:szCs w:val="20"/>
          <w:u w:val="single"/>
          <w:rtl/>
        </w:rPr>
        <w:t xml:space="preserve">השופט חשין </w:t>
      </w:r>
      <w:r w:rsidRPr="00E82C32">
        <w:rPr>
          <w:rFonts w:ascii="Arial" w:hAnsi="Arial" w:cs="Arial"/>
          <w:b/>
          <w:bCs/>
          <w:sz w:val="20"/>
          <w:szCs w:val="20"/>
          <w:u w:val="single"/>
        </w:rPr>
        <w:t>–</w:t>
      </w:r>
      <w:r w:rsidRPr="00E82C32">
        <w:rPr>
          <w:rFonts w:ascii="Arial" w:hAnsi="Arial" w:cs="Arial"/>
          <w:b/>
          <w:bCs/>
          <w:sz w:val="20"/>
          <w:szCs w:val="20"/>
          <w:u w:val="single"/>
          <w:rtl/>
        </w:rPr>
        <w:t xml:space="preserve"> </w:t>
      </w:r>
      <w:r w:rsidRPr="006A45E5">
        <w:rPr>
          <w:rFonts w:ascii="Arial" w:hAnsi="Arial" w:cs="Arial"/>
          <w:b/>
          <w:bCs/>
          <w:sz w:val="20"/>
          <w:szCs w:val="20"/>
          <w:highlight w:val="yellow"/>
          <w:u w:val="single"/>
          <w:rtl/>
        </w:rPr>
        <w:t>עמדת המיעוט</w:t>
      </w:r>
    </w:p>
    <w:p w:rsidR="005366A8" w:rsidRPr="00E82C32" w:rsidRDefault="005366A8" w:rsidP="005366A8">
      <w:pPr>
        <w:jc w:val="center"/>
        <w:rPr>
          <w:rFonts w:ascii="Arial" w:hAnsi="Arial" w:cs="Arial"/>
          <w:b/>
          <w:bCs/>
          <w:sz w:val="20"/>
          <w:szCs w:val="20"/>
          <w:u w:val="single"/>
          <w:rtl/>
        </w:rPr>
      </w:pPr>
    </w:p>
    <w:p w:rsidR="005366A8" w:rsidRPr="004A2B7E" w:rsidRDefault="005366A8" w:rsidP="005366A8">
      <w:pPr>
        <w:rPr>
          <w:sz w:val="20"/>
          <w:szCs w:val="20"/>
          <w:rtl/>
        </w:rPr>
      </w:pPr>
      <w:r>
        <w:rPr>
          <w:rFonts w:hint="cs"/>
          <w:sz w:val="20"/>
          <w:szCs w:val="20"/>
          <w:rtl/>
        </w:rPr>
        <w:t xml:space="preserve">^ </w:t>
      </w:r>
      <w:r w:rsidRPr="004A2B7E">
        <w:rPr>
          <w:sz w:val="20"/>
          <w:szCs w:val="20"/>
          <w:rtl/>
        </w:rPr>
        <w:t>דחיית תורת שני הכתרים</w:t>
      </w:r>
      <w:r w:rsidRPr="004A2B7E">
        <w:rPr>
          <w:rFonts w:hint="cs"/>
          <w:sz w:val="20"/>
          <w:szCs w:val="20"/>
          <w:rtl/>
        </w:rPr>
        <w:t>/ שני הכובעים</w:t>
      </w:r>
      <w:r w:rsidRPr="004A2B7E">
        <w:rPr>
          <w:sz w:val="20"/>
          <w:szCs w:val="20"/>
          <w:rtl/>
        </w:rPr>
        <w:t xml:space="preserve">, שלפיה בידי הכנסת שני סוגים נפרדים של סמכויות; חוקתית וחקיקתית.  </w:t>
      </w:r>
    </w:p>
    <w:p w:rsidR="005366A8" w:rsidRPr="004A2B7E" w:rsidRDefault="005366A8" w:rsidP="005366A8">
      <w:pPr>
        <w:rPr>
          <w:sz w:val="20"/>
          <w:szCs w:val="20"/>
          <w:rtl/>
        </w:rPr>
      </w:pPr>
      <w:r>
        <w:rPr>
          <w:rFonts w:hint="cs"/>
          <w:sz w:val="20"/>
          <w:szCs w:val="20"/>
          <w:rtl/>
        </w:rPr>
        <w:t xml:space="preserve">^ </w:t>
      </w:r>
      <w:r w:rsidRPr="004A2B7E">
        <w:rPr>
          <w:sz w:val="20"/>
          <w:szCs w:val="20"/>
          <w:rtl/>
        </w:rPr>
        <w:t>ל</w:t>
      </w:r>
      <w:r>
        <w:rPr>
          <w:rFonts w:hint="cs"/>
          <w:sz w:val="20"/>
          <w:szCs w:val="20"/>
          <w:rtl/>
        </w:rPr>
        <w:t>"</w:t>
      </w:r>
      <w:r w:rsidRPr="004A2B7E">
        <w:rPr>
          <w:sz w:val="20"/>
          <w:szCs w:val="20"/>
          <w:rtl/>
        </w:rPr>
        <w:t>אסיפה המכוננת</w:t>
      </w:r>
      <w:r>
        <w:rPr>
          <w:rFonts w:hint="cs"/>
          <w:sz w:val="20"/>
          <w:szCs w:val="20"/>
          <w:rtl/>
        </w:rPr>
        <w:t>"</w:t>
      </w:r>
      <w:r w:rsidRPr="004A2B7E">
        <w:rPr>
          <w:sz w:val="20"/>
          <w:szCs w:val="20"/>
          <w:rtl/>
        </w:rPr>
        <w:t xml:space="preserve"> </w:t>
      </w:r>
      <w:r>
        <w:rPr>
          <w:rFonts w:hint="cs"/>
          <w:sz w:val="20"/>
          <w:szCs w:val="20"/>
          <w:rtl/>
        </w:rPr>
        <w:t xml:space="preserve">(הכנסת הראשונה) </w:t>
      </w:r>
      <w:r w:rsidRPr="004A2B7E">
        <w:rPr>
          <w:sz w:val="20"/>
          <w:szCs w:val="20"/>
          <w:rtl/>
        </w:rPr>
        <w:t xml:space="preserve">לא היתה סמכות להעביר את כוחה המכונן לגוף אחר; </w:t>
      </w:r>
    </w:p>
    <w:p w:rsidR="005366A8" w:rsidRPr="004A2B7E" w:rsidRDefault="005366A8" w:rsidP="005366A8">
      <w:pPr>
        <w:rPr>
          <w:sz w:val="20"/>
          <w:szCs w:val="20"/>
          <w:rtl/>
        </w:rPr>
      </w:pPr>
      <w:r>
        <w:rPr>
          <w:rFonts w:hint="cs"/>
          <w:sz w:val="20"/>
          <w:szCs w:val="20"/>
          <w:rtl/>
        </w:rPr>
        <w:t xml:space="preserve">^ </w:t>
      </w:r>
      <w:r w:rsidRPr="004A2B7E">
        <w:rPr>
          <w:sz w:val="20"/>
          <w:szCs w:val="20"/>
          <w:rtl/>
        </w:rPr>
        <w:t>ובכל אופן, גם לוּ היתה לה סמכות כזו, הרציפות החוקתית נקטעה משום שהאסיפה המכוננת לא עשתה כל פעול</w:t>
      </w:r>
      <w:r>
        <w:rPr>
          <w:rFonts w:hint="cs"/>
          <w:sz w:val="20"/>
          <w:szCs w:val="20"/>
          <w:rtl/>
        </w:rPr>
        <w:t>ה של העברת סמכותה זו</w:t>
      </w:r>
      <w:r w:rsidRPr="004A2B7E">
        <w:rPr>
          <w:sz w:val="20"/>
          <w:szCs w:val="20"/>
          <w:rtl/>
        </w:rPr>
        <w:t xml:space="preserve">.  </w:t>
      </w:r>
    </w:p>
    <w:p w:rsidR="005366A8" w:rsidRDefault="005366A8" w:rsidP="005366A8">
      <w:pPr>
        <w:ind w:left="720" w:hanging="720"/>
        <w:rPr>
          <w:sz w:val="20"/>
          <w:szCs w:val="20"/>
          <w:rtl/>
        </w:rPr>
      </w:pPr>
      <w:r>
        <w:rPr>
          <w:rFonts w:hint="cs"/>
          <w:sz w:val="20"/>
          <w:szCs w:val="20"/>
          <w:rtl/>
        </w:rPr>
        <w:t xml:space="preserve">^ </w:t>
      </w:r>
      <w:r w:rsidRPr="004A2B7E">
        <w:rPr>
          <w:sz w:val="20"/>
          <w:szCs w:val="20"/>
          <w:rtl/>
        </w:rPr>
        <w:t xml:space="preserve">השופט חשין גם מצביע על הקשיים, חוסר האחידות והסכנות הצפויות מאימוץ תורת שני הכתרים, מנקודת ראות דמוקרטית ומנקודת הראות של התפתחות המשפט החוקתי בישראל: העדר קונסנזוס חברתי, היעדר פרוצדורה </w:t>
      </w:r>
      <w:r w:rsidRPr="004A2B7E">
        <w:rPr>
          <w:rFonts w:hint="cs"/>
          <w:sz w:val="20"/>
          <w:szCs w:val="20"/>
          <w:rtl/>
        </w:rPr>
        <w:t>ברורה וראויה</w:t>
      </w:r>
      <w:r w:rsidRPr="004A2B7E">
        <w:rPr>
          <w:sz w:val="20"/>
          <w:szCs w:val="20"/>
          <w:rtl/>
        </w:rPr>
        <w:t xml:space="preserve"> לגיבוש החוקה, ועוד.</w:t>
      </w:r>
    </w:p>
    <w:p w:rsidR="005366A8" w:rsidRPr="004A2B7E" w:rsidRDefault="005366A8" w:rsidP="005366A8">
      <w:pPr>
        <w:spacing w:after="120"/>
        <w:ind w:left="720" w:hanging="720"/>
        <w:rPr>
          <w:sz w:val="20"/>
          <w:szCs w:val="20"/>
          <w:rtl/>
        </w:rPr>
      </w:pPr>
      <w:r>
        <w:rPr>
          <w:rFonts w:hint="cs"/>
          <w:sz w:val="20"/>
          <w:szCs w:val="20"/>
          <w:rtl/>
        </w:rPr>
        <w:t xml:space="preserve">^ עם זאת, השופט חשין מצהיר על כך שלבית המשפט יש סמכות לביקורת שיפוטית מטא-טקסטואלית בעת פגיעה בוטה של המחוקק/הכנסת בעקרונות היסוד של ישראל (והוא מבקש להפעיל אותה, מעשית, מאוחר יותר בשנת 2006, בפס"ד המיעוט שלו בעניין </w:t>
      </w:r>
      <w:r w:rsidRPr="005B77D7">
        <w:rPr>
          <w:rFonts w:hint="cs"/>
          <w:b/>
          <w:bCs/>
          <w:i/>
          <w:iCs/>
          <w:sz w:val="20"/>
          <w:szCs w:val="20"/>
          <w:rtl/>
        </w:rPr>
        <w:t>חוק טל</w:t>
      </w:r>
      <w:r>
        <w:rPr>
          <w:rFonts w:hint="cs"/>
          <w:sz w:val="20"/>
          <w:szCs w:val="20"/>
          <w:rtl/>
        </w:rPr>
        <w:t xml:space="preserve"> 1).</w:t>
      </w:r>
    </w:p>
    <w:p w:rsidR="005366A8" w:rsidRPr="00935B98" w:rsidRDefault="005366A8" w:rsidP="005366A8">
      <w:pPr>
        <w:spacing w:after="120"/>
        <w:ind w:left="720"/>
        <w:rPr>
          <w:rFonts w:ascii="Arial" w:hAnsi="Arial" w:cs="Arial"/>
          <w:b/>
          <w:bCs/>
          <w:sz w:val="22"/>
          <w:szCs w:val="22"/>
          <w:rtl/>
        </w:rPr>
      </w:pPr>
      <w:r w:rsidRPr="00935B98">
        <w:rPr>
          <w:rFonts w:hint="cs"/>
          <w:sz w:val="22"/>
          <w:szCs w:val="22"/>
          <w:u w:val="single"/>
          <w:rtl/>
        </w:rPr>
        <w:t>[</w:t>
      </w:r>
      <w:r w:rsidRPr="00935B98">
        <w:rPr>
          <w:sz w:val="22"/>
          <w:szCs w:val="22"/>
          <w:u w:val="single"/>
          <w:rtl/>
        </w:rPr>
        <w:t>משמעות</w:t>
      </w:r>
      <w:r w:rsidRPr="00935B98">
        <w:rPr>
          <w:rFonts w:hint="cs"/>
          <w:sz w:val="22"/>
          <w:szCs w:val="22"/>
          <w:rtl/>
        </w:rPr>
        <w:t xml:space="preserve"> עמדתו של השופט חשין, לו התקבלה</w:t>
      </w:r>
      <w:r w:rsidRPr="00935B98">
        <w:rPr>
          <w:sz w:val="22"/>
          <w:szCs w:val="22"/>
          <w:rtl/>
        </w:rPr>
        <w:t xml:space="preserve">: </w:t>
      </w:r>
    </w:p>
    <w:p w:rsidR="005366A8" w:rsidRPr="00935B98" w:rsidRDefault="005366A8" w:rsidP="005366A8">
      <w:pPr>
        <w:ind w:left="720"/>
        <w:rPr>
          <w:rFonts w:ascii="Arial" w:hAnsi="Arial" w:cs="Arial"/>
          <w:sz w:val="18"/>
          <w:szCs w:val="18"/>
          <w:rtl/>
        </w:rPr>
      </w:pPr>
      <w:r w:rsidRPr="00935B98">
        <w:rPr>
          <w:rFonts w:ascii="Arial" w:hAnsi="Arial" w:cs="Arial"/>
          <w:b/>
          <w:bCs/>
          <w:sz w:val="18"/>
          <w:szCs w:val="18"/>
          <w:rtl/>
        </w:rPr>
        <w:t>אין גוף/גורם בישראל שיכול לכונן חוקה, (וגם לא ברור באיזה נתיב, אם בכלל, ניתן ליצור גוף כזה בעתיד).</w:t>
      </w:r>
      <w:r w:rsidRPr="00935B98">
        <w:rPr>
          <w:rFonts w:ascii="Arial" w:hAnsi="Arial" w:cs="Arial"/>
          <w:sz w:val="18"/>
          <w:szCs w:val="18"/>
          <w:rtl/>
        </w:rPr>
        <w:t xml:space="preserve">  </w:t>
      </w:r>
    </w:p>
    <w:p w:rsidR="005366A8" w:rsidRPr="00935B98" w:rsidRDefault="005366A8" w:rsidP="005366A8">
      <w:pPr>
        <w:ind w:left="1440" w:hanging="720"/>
        <w:rPr>
          <w:rFonts w:ascii="Arial" w:hAnsi="Arial" w:cs="Arial"/>
          <w:b/>
          <w:bCs/>
          <w:sz w:val="18"/>
          <w:szCs w:val="18"/>
          <w:rtl/>
        </w:rPr>
      </w:pPr>
      <w:r w:rsidRPr="00935B98">
        <w:rPr>
          <w:rFonts w:ascii="Arial" w:hAnsi="Arial" w:cs="Arial"/>
          <w:b/>
          <w:bCs/>
          <w:sz w:val="18"/>
          <w:szCs w:val="18"/>
          <w:rtl/>
        </w:rPr>
        <w:t xml:space="preserve">מהלך הכנסת בחוקי היסוד החדשים שנועדו להעניק הגנה חוקתית לזכויות האדם במידה רבה לא צלחו; זאת משום שאין לכנסת סמכות מכוננת ולכן "השריון המהותי" </w:t>
      </w:r>
      <w:r w:rsidRPr="00935B98">
        <w:rPr>
          <w:rFonts w:ascii="Arial" w:hAnsi="Arial" w:cs="Arial" w:hint="cs"/>
          <w:b/>
          <w:bCs/>
          <w:sz w:val="18"/>
          <w:szCs w:val="18"/>
          <w:rtl/>
        </w:rPr>
        <w:t xml:space="preserve">(פסקת ההגבלה) </w:t>
      </w:r>
      <w:r w:rsidRPr="00935B98">
        <w:rPr>
          <w:rFonts w:ascii="Arial" w:hAnsi="Arial" w:cs="Arial"/>
          <w:b/>
          <w:bCs/>
          <w:sz w:val="18"/>
          <w:szCs w:val="18"/>
          <w:rtl/>
        </w:rPr>
        <w:t xml:space="preserve">אינו תופס.  </w:t>
      </w:r>
    </w:p>
    <w:p w:rsidR="005366A8" w:rsidRPr="00935B98" w:rsidRDefault="005366A8" w:rsidP="005366A8">
      <w:pPr>
        <w:ind w:left="1440" w:hanging="720"/>
        <w:rPr>
          <w:rFonts w:ascii="Arial" w:hAnsi="Arial" w:cs="Arial"/>
          <w:b/>
          <w:bCs/>
          <w:sz w:val="18"/>
          <w:szCs w:val="18"/>
          <w:rtl/>
        </w:rPr>
      </w:pPr>
      <w:r w:rsidRPr="00935B98">
        <w:rPr>
          <w:rFonts w:ascii="Arial" w:hAnsi="Arial" w:cs="Arial"/>
          <w:b/>
          <w:bCs/>
          <w:sz w:val="18"/>
          <w:szCs w:val="18"/>
          <w:rtl/>
        </w:rPr>
        <w:t>עם זאת, יש לו, לשריון המהותי, השפעה (מוגבלת): קיומה של חובה לקבל חוק הנוגד את חוקי היסוד בתחום זכויות האדם מתוך מודעות מפורשת לאפשרות הסתירה (</w:t>
      </w:r>
      <w:r w:rsidRPr="00935B98">
        <w:rPr>
          <w:rFonts w:ascii="Arial" w:hAnsi="Arial" w:cs="Arial" w:hint="cs"/>
          <w:b/>
          <w:bCs/>
          <w:sz w:val="18"/>
          <w:szCs w:val="18"/>
          <w:rtl/>
        </w:rPr>
        <w:t xml:space="preserve">משמע, הוספה של המחוקק משהו בסגנון: </w:t>
      </w:r>
      <w:r w:rsidRPr="00935B98">
        <w:rPr>
          <w:rFonts w:ascii="Arial" w:hAnsi="Arial" w:cs="Arial"/>
          <w:b/>
          <w:bCs/>
          <w:sz w:val="18"/>
          <w:szCs w:val="18"/>
          <w:rtl/>
        </w:rPr>
        <w:t>"על אף האמור</w:t>
      </w:r>
      <w:r w:rsidRPr="00935B98">
        <w:rPr>
          <w:rFonts w:ascii="Arial" w:hAnsi="Arial" w:cs="Arial" w:hint="cs"/>
          <w:b/>
          <w:bCs/>
          <w:sz w:val="18"/>
          <w:szCs w:val="18"/>
          <w:rtl/>
        </w:rPr>
        <w:t xml:space="preserve"> בחוקי היסוד"</w:t>
      </w:r>
      <w:r w:rsidRPr="00935B98">
        <w:rPr>
          <w:rFonts w:ascii="Arial" w:hAnsi="Arial" w:cs="Arial"/>
          <w:b/>
          <w:bCs/>
          <w:sz w:val="18"/>
          <w:szCs w:val="18"/>
          <w:rtl/>
        </w:rPr>
        <w:t xml:space="preserve">).  </w:t>
      </w:r>
    </w:p>
    <w:p w:rsidR="005366A8" w:rsidRPr="00935B98" w:rsidRDefault="005366A8" w:rsidP="005366A8">
      <w:pPr>
        <w:ind w:left="1440" w:hanging="720"/>
        <w:rPr>
          <w:rFonts w:ascii="Arial" w:hAnsi="Arial" w:cs="Arial"/>
          <w:sz w:val="18"/>
          <w:szCs w:val="18"/>
          <w:rtl/>
        </w:rPr>
      </w:pPr>
      <w:r w:rsidRPr="00935B98">
        <w:rPr>
          <w:rFonts w:ascii="Arial" w:hAnsi="Arial" w:cs="Arial"/>
          <w:b/>
          <w:bCs/>
          <w:sz w:val="18"/>
          <w:szCs w:val="18"/>
          <w:rtl/>
        </w:rPr>
        <w:t>כמו כן נתונה לכנסת אפשרות לכבילה עצמית צורנית מוגבלת = דרישה לקבלת חוק/ חוק-יסוד ב"רוב חברי הכנסת" (דרישת קוורום).</w:t>
      </w:r>
      <w:r w:rsidRPr="00935B98">
        <w:rPr>
          <w:rFonts w:ascii="Arial" w:hAnsi="Arial" w:cs="Arial"/>
          <w:sz w:val="18"/>
          <w:szCs w:val="18"/>
          <w:rtl/>
        </w:rPr>
        <w:t xml:space="preserve"> </w:t>
      </w:r>
    </w:p>
    <w:p w:rsidR="005366A8" w:rsidRPr="00E82C32" w:rsidRDefault="005366A8" w:rsidP="005366A8">
      <w:pPr>
        <w:pStyle w:val="BodyText2"/>
        <w:spacing w:after="120"/>
        <w:ind w:left="1440" w:hanging="720"/>
        <w:rPr>
          <w:rFonts w:ascii="Arial" w:hAnsi="Arial" w:cs="Arial"/>
          <w:sz w:val="20"/>
          <w:szCs w:val="20"/>
          <w:rtl/>
        </w:rPr>
      </w:pPr>
      <w:r w:rsidRPr="00935B98">
        <w:rPr>
          <w:rFonts w:ascii="Arial" w:hAnsi="Arial" w:cs="Arial" w:hint="cs"/>
          <w:b/>
          <w:bCs/>
          <w:sz w:val="18"/>
          <w:szCs w:val="18"/>
          <w:rtl/>
        </w:rPr>
        <w:t xml:space="preserve">ואולם </w:t>
      </w:r>
      <w:r w:rsidRPr="00935B98">
        <w:rPr>
          <w:rFonts w:ascii="Arial" w:hAnsi="Arial" w:cs="Arial"/>
          <w:b/>
          <w:bCs/>
          <w:sz w:val="18"/>
          <w:szCs w:val="18"/>
          <w:rtl/>
        </w:rPr>
        <w:t>בנוסף/ במקביל, השופט חשין פותח אפשרות לביקורת שיפוטית מטא-טקסטואלית</w:t>
      </w:r>
      <w:r w:rsidRPr="00935B98">
        <w:rPr>
          <w:rFonts w:ascii="Arial" w:hAnsi="Arial" w:cs="Arial"/>
          <w:sz w:val="18"/>
          <w:szCs w:val="18"/>
          <w:rtl/>
        </w:rPr>
        <w:t>.</w:t>
      </w:r>
      <w:r w:rsidRPr="00E82C32">
        <w:rPr>
          <w:rFonts w:ascii="Arial" w:hAnsi="Arial" w:cs="Arial"/>
          <w:sz w:val="20"/>
          <w:szCs w:val="20"/>
          <w:rtl/>
        </w:rPr>
        <w:t>]</w:t>
      </w:r>
    </w:p>
    <w:p w:rsidR="005366A8" w:rsidRPr="006A45E5" w:rsidRDefault="005366A8" w:rsidP="005366A8">
      <w:pPr>
        <w:tabs>
          <w:tab w:val="left" w:pos="-720"/>
        </w:tabs>
        <w:rPr>
          <w:rFonts w:cs="FrankRuehl"/>
          <w:sz w:val="22"/>
          <w:szCs w:val="22"/>
        </w:rPr>
      </w:pPr>
      <w:r w:rsidRPr="006A45E5">
        <w:rPr>
          <w:rFonts w:cs="FrankRuehl" w:hint="cs"/>
          <w:sz w:val="20"/>
          <w:szCs w:val="20"/>
          <w:rtl/>
        </w:rPr>
        <w:t>67</w:t>
      </w:r>
      <w:r w:rsidRPr="006A45E5">
        <w:rPr>
          <w:rFonts w:cs="FrankRuehl" w:hint="cs"/>
          <w:sz w:val="22"/>
          <w:szCs w:val="22"/>
          <w:rtl/>
        </w:rPr>
        <w:t xml:space="preserve">. דומה כי תורת שני הכתרים ["שני הכובעים"] - וכמוה תורת הריבונות הבלתי מוגבלת </w:t>
      </w:r>
      <w:r w:rsidRPr="006A45E5">
        <w:rPr>
          <w:rFonts w:cs="FrankRuehl"/>
          <w:sz w:val="22"/>
          <w:szCs w:val="22"/>
        </w:rPr>
        <w:t>–</w:t>
      </w:r>
      <w:r w:rsidRPr="006A45E5">
        <w:rPr>
          <w:rFonts w:cs="FrankRuehl" w:hint="cs"/>
          <w:sz w:val="22"/>
          <w:szCs w:val="22"/>
          <w:rtl/>
        </w:rPr>
        <w:t xml:space="preserve"> יוצרות</w:t>
      </w:r>
      <w:r w:rsidRPr="006A45E5">
        <w:rPr>
          <w:rFonts w:cs="FrankRuehl"/>
          <w:sz w:val="22"/>
          <w:szCs w:val="22"/>
          <w:rtl/>
        </w:rPr>
        <w:t xml:space="preserve"> </w:t>
      </w:r>
      <w:r w:rsidRPr="006A45E5">
        <w:rPr>
          <w:rFonts w:cs="FrankRuehl" w:hint="cs"/>
          <w:sz w:val="22"/>
          <w:szCs w:val="22"/>
          <w:rtl/>
        </w:rPr>
        <w:t>במשפט החוקתי של ישראל מערכת שטרם נודעה במדינות אחרות: אותו גוף עצמו, במשך</w:t>
      </w:r>
      <w:r w:rsidRPr="006A45E5">
        <w:rPr>
          <w:rFonts w:cs="FrankRuehl"/>
          <w:sz w:val="22"/>
          <w:szCs w:val="22"/>
          <w:rtl/>
        </w:rPr>
        <w:t xml:space="preserve"> </w:t>
      </w:r>
      <w:r w:rsidRPr="006A45E5">
        <w:rPr>
          <w:rFonts w:cs="FrankRuehl" w:hint="cs"/>
          <w:sz w:val="22"/>
          <w:szCs w:val="22"/>
          <w:rtl/>
        </w:rPr>
        <w:t>קרוב לחמישים שנה לעבר - ועוד משך זמן אשר לא נדע לעתיד - אמור לשמש, כביכול,</w:t>
      </w:r>
      <w:r w:rsidRPr="006A45E5">
        <w:rPr>
          <w:rFonts w:cs="FrankRuehl"/>
          <w:sz w:val="22"/>
          <w:szCs w:val="22"/>
          <w:rtl/>
        </w:rPr>
        <w:t xml:space="preserve"> </w:t>
      </w:r>
      <w:r w:rsidRPr="006A45E5">
        <w:rPr>
          <w:rFonts w:cs="FrankRuehl" w:hint="cs"/>
          <w:sz w:val="22"/>
          <w:szCs w:val="22"/>
          <w:rtl/>
        </w:rPr>
        <w:t>גם מחוקק רגיל גם מחוקק חוקה, ובלא שהוא נדרש לכל הליך חוצה לו או לכל גוף</w:t>
      </w:r>
      <w:r w:rsidRPr="006A45E5">
        <w:rPr>
          <w:rFonts w:cs="FrankRuehl"/>
          <w:sz w:val="22"/>
          <w:szCs w:val="22"/>
          <w:rtl/>
        </w:rPr>
        <w:t xml:space="preserve"> </w:t>
      </w:r>
      <w:r w:rsidRPr="006A45E5">
        <w:rPr>
          <w:rFonts w:cs="FrankRuehl" w:hint="cs"/>
          <w:sz w:val="22"/>
          <w:szCs w:val="22"/>
          <w:rtl/>
        </w:rPr>
        <w:t xml:space="preserve">אחר. </w:t>
      </w:r>
      <w:r w:rsidRPr="006A45E5">
        <w:rPr>
          <w:rFonts w:cs="FrankRuehl" w:hint="cs"/>
          <w:sz w:val="22"/>
          <w:szCs w:val="22"/>
          <w:highlight w:val="yellow"/>
          <w:rtl/>
        </w:rPr>
        <w:t>ואת פי העם לא שאלנו. הכך נבקש לבנות חוקה?</w:t>
      </w:r>
      <w:r w:rsidRPr="006A45E5">
        <w:rPr>
          <w:rFonts w:cs="FrankRuehl" w:hint="cs"/>
          <w:sz w:val="22"/>
          <w:szCs w:val="22"/>
          <w:rtl/>
        </w:rPr>
        <w:t xml:space="preserve"> הכך נאמר להקנות לבית-משפט</w:t>
      </w:r>
      <w:r w:rsidRPr="006A45E5">
        <w:rPr>
          <w:rFonts w:cs="FrankRuehl"/>
          <w:sz w:val="22"/>
          <w:szCs w:val="22"/>
          <w:rtl/>
        </w:rPr>
        <w:t xml:space="preserve"> </w:t>
      </w:r>
      <w:r w:rsidRPr="006A45E5">
        <w:rPr>
          <w:rFonts w:cs="FrankRuehl" w:hint="cs"/>
          <w:sz w:val="22"/>
          <w:szCs w:val="22"/>
          <w:rtl/>
        </w:rPr>
        <w:t>סמכות לפסול חוקי כנסת? קשה בעיניי כי נרכיב תורות אלו עטרה לראשנו, כי על</w:t>
      </w:r>
      <w:r w:rsidRPr="006A45E5">
        <w:rPr>
          <w:rFonts w:cs="FrankRuehl"/>
          <w:sz w:val="22"/>
          <w:szCs w:val="22"/>
          <w:rtl/>
        </w:rPr>
        <w:t xml:space="preserve"> </w:t>
      </w:r>
      <w:r w:rsidRPr="006A45E5">
        <w:rPr>
          <w:rFonts w:cs="FrankRuehl" w:hint="cs"/>
          <w:sz w:val="22"/>
          <w:szCs w:val="22"/>
          <w:rtl/>
        </w:rPr>
        <w:t>פיהן תקנה הכנסת סמכות לכבול את סמכותה, כי בית-משפט על מושבו יקנה סמכות</w:t>
      </w:r>
      <w:r w:rsidRPr="006A45E5">
        <w:rPr>
          <w:rFonts w:cs="FrankRuehl"/>
          <w:sz w:val="22"/>
          <w:szCs w:val="22"/>
          <w:rtl/>
        </w:rPr>
        <w:t xml:space="preserve"> </w:t>
      </w:r>
      <w:r w:rsidRPr="006A45E5">
        <w:rPr>
          <w:rFonts w:cs="FrankRuehl" w:hint="cs"/>
          <w:sz w:val="22"/>
          <w:szCs w:val="22"/>
          <w:rtl/>
        </w:rPr>
        <w:t>לפ</w:t>
      </w:r>
      <w:r w:rsidRPr="006A45E5">
        <w:rPr>
          <w:rFonts w:cs="FrankRuehl"/>
          <w:sz w:val="22"/>
          <w:szCs w:val="22"/>
          <w:rtl/>
        </w:rPr>
        <w:t>ס</w:t>
      </w:r>
      <w:r w:rsidRPr="006A45E5">
        <w:rPr>
          <w:rFonts w:cs="FrankRuehl" w:hint="cs"/>
          <w:sz w:val="22"/>
          <w:szCs w:val="22"/>
          <w:rtl/>
        </w:rPr>
        <w:t>ול חוקי כנסת. אכן, עד שהכנסת תחזיק בסמכות לחוקק חוקה, נצפה כי תקנה סמכות</w:t>
      </w:r>
      <w:r w:rsidRPr="006A45E5">
        <w:rPr>
          <w:rFonts w:cs="FrankRuehl"/>
          <w:sz w:val="22"/>
          <w:szCs w:val="22"/>
          <w:rtl/>
        </w:rPr>
        <w:t xml:space="preserve"> </w:t>
      </w:r>
      <w:r w:rsidRPr="006A45E5">
        <w:rPr>
          <w:rFonts w:cs="FrankRuehl" w:hint="cs"/>
          <w:sz w:val="22"/>
          <w:szCs w:val="22"/>
          <w:rtl/>
        </w:rPr>
        <w:t>כך לחוקק באורח מפורש, ברור וחד-משמעי. בנייתה של חוקה כיום על סמכות שקנתה</w:t>
      </w:r>
      <w:r w:rsidRPr="006A45E5">
        <w:rPr>
          <w:rFonts w:cs="FrankRuehl"/>
          <w:sz w:val="22"/>
          <w:szCs w:val="22"/>
          <w:rtl/>
        </w:rPr>
        <w:t xml:space="preserve"> </w:t>
      </w:r>
      <w:r w:rsidRPr="006A45E5">
        <w:rPr>
          <w:rFonts w:cs="FrankRuehl" w:hint="cs"/>
          <w:sz w:val="22"/>
          <w:szCs w:val="22"/>
          <w:rtl/>
        </w:rPr>
        <w:t>האסיפה המכוננת לפני ארבעים ושבע שנים - בוודאי בהיעדר רצף חוקתי בין ראשית</w:t>
      </w:r>
      <w:r w:rsidRPr="006A45E5">
        <w:rPr>
          <w:rFonts w:cs="FrankRuehl"/>
          <w:sz w:val="22"/>
          <w:szCs w:val="22"/>
          <w:rtl/>
        </w:rPr>
        <w:t xml:space="preserve"> </w:t>
      </w:r>
      <w:r w:rsidRPr="006A45E5">
        <w:rPr>
          <w:rFonts w:cs="FrankRuehl" w:hint="cs"/>
          <w:sz w:val="22"/>
          <w:szCs w:val="22"/>
          <w:rtl/>
        </w:rPr>
        <w:t>לבין אחרית - אין לקבלה, לא כל שכן שמדובר באותו גוף עצמו - באותה כנסת -</w:t>
      </w:r>
      <w:r w:rsidRPr="006A45E5">
        <w:rPr>
          <w:rFonts w:cs="FrankRuehl"/>
          <w:sz w:val="22"/>
          <w:szCs w:val="22"/>
          <w:rtl/>
        </w:rPr>
        <w:t xml:space="preserve"> </w:t>
      </w:r>
      <w:r w:rsidRPr="006A45E5">
        <w:rPr>
          <w:rFonts w:cs="FrankRuehl" w:hint="cs"/>
          <w:sz w:val="22"/>
          <w:szCs w:val="22"/>
          <w:rtl/>
        </w:rPr>
        <w:t>האמור גם לחוקק חוקים גם לחוקק חוקה.</w:t>
      </w:r>
    </w:p>
    <w:p w:rsidR="005366A8" w:rsidRPr="006A45E5" w:rsidRDefault="005366A8" w:rsidP="005366A8">
      <w:pPr>
        <w:tabs>
          <w:tab w:val="left" w:pos="-720"/>
        </w:tabs>
        <w:rPr>
          <w:rFonts w:cs="FrankRuehl"/>
          <w:sz w:val="22"/>
          <w:szCs w:val="22"/>
          <w:highlight w:val="yellow"/>
        </w:rPr>
      </w:pPr>
      <w:r w:rsidRPr="006A45E5">
        <w:rPr>
          <w:rFonts w:cs="FrankRuehl" w:hint="cs"/>
          <w:sz w:val="22"/>
          <w:szCs w:val="22"/>
          <w:rtl/>
        </w:rPr>
        <w:t xml:space="preserve">68. </w:t>
      </w:r>
      <w:r w:rsidRPr="006A45E5">
        <w:rPr>
          <w:rFonts w:cs="FrankRuehl" w:hint="cs"/>
          <w:sz w:val="22"/>
          <w:szCs w:val="22"/>
          <w:highlight w:val="yellow"/>
          <w:rtl/>
        </w:rPr>
        <w:t>דומני שלא אטעה אם אומר, כי המבקשים להכיר בסמכותה של הכנסת דהאידנא</w:t>
      </w:r>
      <w:r w:rsidRPr="006A45E5">
        <w:rPr>
          <w:rFonts w:cs="FrankRuehl"/>
          <w:sz w:val="22"/>
          <w:szCs w:val="22"/>
          <w:highlight w:val="yellow"/>
          <w:rtl/>
        </w:rPr>
        <w:t xml:space="preserve"> </w:t>
      </w:r>
      <w:r w:rsidRPr="006A45E5">
        <w:rPr>
          <w:rFonts w:cs="FrankRuehl" w:hint="cs"/>
          <w:sz w:val="22"/>
          <w:szCs w:val="22"/>
          <w:highlight w:val="yellow"/>
          <w:rtl/>
        </w:rPr>
        <w:t>לחוקק חוקה שאינה ניתנת לשינוי אלא ברוב מיוחד ומיוחס שלמעלה מ</w:t>
      </w:r>
      <w:r w:rsidRPr="006A45E5">
        <w:rPr>
          <w:rFonts w:cs="FrankRuehl"/>
          <w:sz w:val="22"/>
          <w:szCs w:val="22"/>
          <w:highlight w:val="yellow"/>
          <w:rtl/>
        </w:rPr>
        <w:t xml:space="preserve"> </w:t>
      </w:r>
      <w:r w:rsidRPr="006A45E5">
        <w:rPr>
          <w:rFonts w:cs="FrankRuehl" w:hint="cs"/>
          <w:sz w:val="22"/>
          <w:szCs w:val="22"/>
          <w:highlight w:val="yellow"/>
          <w:rtl/>
        </w:rPr>
        <w:t>61 חברי-כנסת</w:t>
      </w:r>
      <w:r w:rsidRPr="006A45E5">
        <w:rPr>
          <w:rFonts w:cs="FrankRuehl"/>
          <w:sz w:val="22"/>
          <w:szCs w:val="22"/>
          <w:highlight w:val="yellow"/>
          <w:rtl/>
        </w:rPr>
        <w:t xml:space="preserve"> </w:t>
      </w:r>
      <w:r w:rsidRPr="006A45E5">
        <w:rPr>
          <w:rFonts w:cs="FrankRuehl" w:hint="cs"/>
          <w:sz w:val="22"/>
          <w:szCs w:val="22"/>
          <w:highlight w:val="yellow"/>
          <w:rtl/>
        </w:rPr>
        <w:t>[...], משווים נגד עיניהם חקיקה המשריינת</w:t>
      </w:r>
      <w:r w:rsidRPr="006A45E5">
        <w:rPr>
          <w:rFonts w:cs="FrankRuehl"/>
          <w:sz w:val="22"/>
          <w:szCs w:val="22"/>
          <w:highlight w:val="yellow"/>
          <w:rtl/>
        </w:rPr>
        <w:t xml:space="preserve"> </w:t>
      </w:r>
      <w:r w:rsidRPr="006A45E5">
        <w:rPr>
          <w:rFonts w:cs="FrankRuehl" w:hint="cs"/>
          <w:sz w:val="22"/>
          <w:szCs w:val="22"/>
          <w:highlight w:val="yellow"/>
          <w:rtl/>
        </w:rPr>
        <w:t>זכויות וחירויות לפרט: חופש התנועה, חופש הביטוי, חירות ממעצר. ובראותנו כל</w:t>
      </w:r>
      <w:r w:rsidRPr="006A45E5">
        <w:rPr>
          <w:rFonts w:cs="FrankRuehl"/>
          <w:sz w:val="22"/>
          <w:szCs w:val="22"/>
          <w:highlight w:val="yellow"/>
          <w:rtl/>
        </w:rPr>
        <w:t xml:space="preserve"> </w:t>
      </w:r>
      <w:r w:rsidRPr="006A45E5">
        <w:rPr>
          <w:rFonts w:cs="FrankRuehl" w:hint="cs"/>
          <w:sz w:val="22"/>
          <w:szCs w:val="22"/>
          <w:highlight w:val="yellow"/>
          <w:rtl/>
        </w:rPr>
        <w:t>אלה פחד ורחב לבבנו. הנה מה טוב ומה נעים. שמחתי באומרים לי תחזקנה זכויות</w:t>
      </w:r>
      <w:r w:rsidRPr="006A45E5">
        <w:rPr>
          <w:rFonts w:cs="FrankRuehl"/>
          <w:sz w:val="22"/>
          <w:szCs w:val="22"/>
          <w:highlight w:val="yellow"/>
          <w:rtl/>
        </w:rPr>
        <w:t xml:space="preserve"> </w:t>
      </w:r>
      <w:r w:rsidRPr="006A45E5">
        <w:rPr>
          <w:rFonts w:cs="FrankRuehl" w:hint="cs"/>
          <w:sz w:val="22"/>
          <w:szCs w:val="22"/>
          <w:highlight w:val="yellow"/>
          <w:rtl/>
        </w:rPr>
        <w:t>האדם. נרחיב את חירויות הפרט, נצר את כוחות השלטון, ניטיב ליחיד ולכלל וירווח</w:t>
      </w:r>
      <w:r w:rsidRPr="006A45E5">
        <w:rPr>
          <w:rFonts w:cs="FrankRuehl"/>
          <w:sz w:val="22"/>
          <w:szCs w:val="22"/>
          <w:highlight w:val="yellow"/>
          <w:rtl/>
        </w:rPr>
        <w:t xml:space="preserve"> </w:t>
      </w:r>
      <w:r w:rsidRPr="006A45E5">
        <w:rPr>
          <w:rFonts w:cs="FrankRuehl" w:hint="cs"/>
          <w:sz w:val="22"/>
          <w:szCs w:val="22"/>
          <w:highlight w:val="yellow"/>
          <w:rtl/>
        </w:rPr>
        <w:t>לנו. אשרי הגבר אשר יבטח בבית המשפט והיה בית המשפט מבטחו. חזקה עליו על בית</w:t>
      </w:r>
      <w:r w:rsidRPr="006A45E5">
        <w:rPr>
          <w:rFonts w:cs="FrankRuehl"/>
          <w:sz w:val="22"/>
          <w:szCs w:val="22"/>
          <w:highlight w:val="yellow"/>
          <w:rtl/>
        </w:rPr>
        <w:t xml:space="preserve"> </w:t>
      </w:r>
      <w:r w:rsidRPr="006A45E5">
        <w:rPr>
          <w:rFonts w:cs="FrankRuehl" w:hint="cs"/>
          <w:sz w:val="22"/>
          <w:szCs w:val="22"/>
          <w:highlight w:val="yellow"/>
          <w:rtl/>
        </w:rPr>
        <w:t>המשפט כי ימצא את ה"איזונים" הראויים בין יחידים, ביניהם לבין עצמם, בין פרט</w:t>
      </w:r>
      <w:r w:rsidRPr="006A45E5">
        <w:rPr>
          <w:rFonts w:cs="FrankRuehl"/>
          <w:sz w:val="22"/>
          <w:szCs w:val="22"/>
          <w:highlight w:val="yellow"/>
          <w:rtl/>
        </w:rPr>
        <w:t xml:space="preserve"> </w:t>
      </w:r>
      <w:r w:rsidRPr="006A45E5">
        <w:rPr>
          <w:rFonts w:cs="FrankRuehl" w:hint="cs"/>
          <w:sz w:val="22"/>
          <w:szCs w:val="22"/>
          <w:highlight w:val="yellow"/>
          <w:rtl/>
        </w:rPr>
        <w:t>לבין כלל, בין היחיד לבין חברה. טוב לחסות בבית המשפט מבטוח בשליטים.</w:t>
      </w:r>
    </w:p>
    <w:p w:rsidR="005366A8" w:rsidRPr="006A45E5" w:rsidRDefault="005366A8" w:rsidP="005366A8">
      <w:pPr>
        <w:tabs>
          <w:tab w:val="left" w:pos="-720"/>
        </w:tabs>
        <w:rPr>
          <w:rFonts w:cs="FrankRuehl"/>
          <w:sz w:val="22"/>
          <w:szCs w:val="22"/>
        </w:rPr>
      </w:pPr>
      <w:r w:rsidRPr="006A45E5">
        <w:rPr>
          <w:rFonts w:cs="FrankRuehl" w:hint="cs"/>
          <w:sz w:val="22"/>
          <w:szCs w:val="22"/>
          <w:highlight w:val="yellow"/>
          <w:rtl/>
        </w:rPr>
        <w:t>גם אם נכונים הם כל דברים אלה כולם - ונסכים כי נכונים הם - נזכור נא</w:t>
      </w:r>
      <w:r w:rsidRPr="006A45E5">
        <w:rPr>
          <w:rFonts w:cs="FrankRuehl"/>
          <w:sz w:val="22"/>
          <w:szCs w:val="22"/>
          <w:highlight w:val="yellow"/>
          <w:rtl/>
        </w:rPr>
        <w:t xml:space="preserve"> </w:t>
      </w:r>
      <w:r w:rsidRPr="006A45E5">
        <w:rPr>
          <w:rFonts w:cs="FrankRuehl" w:hint="cs"/>
          <w:sz w:val="22"/>
          <w:szCs w:val="22"/>
          <w:highlight w:val="yellow"/>
          <w:rtl/>
        </w:rPr>
        <w:t>ונשמור כי חוקה אין עניינה אך בחירויות הפרט ובכבוד האדם; חלק נכבד מן החוקה</w:t>
      </w:r>
      <w:r w:rsidRPr="006A45E5">
        <w:rPr>
          <w:rFonts w:cs="FrankRuehl"/>
          <w:sz w:val="22"/>
          <w:szCs w:val="22"/>
          <w:highlight w:val="yellow"/>
          <w:rtl/>
        </w:rPr>
        <w:t xml:space="preserve"> </w:t>
      </w:r>
      <w:r w:rsidRPr="006A45E5">
        <w:rPr>
          <w:rFonts w:cs="FrankRuehl" w:hint="cs"/>
          <w:sz w:val="22"/>
          <w:szCs w:val="22"/>
          <w:highlight w:val="yellow"/>
          <w:rtl/>
        </w:rPr>
        <w:t>- אפשר חלקה העיקרי - עניינו במוסדי השלטון, ברשויות השלטון, בכוחות</w:t>
      </w:r>
      <w:r w:rsidRPr="006A45E5">
        <w:rPr>
          <w:rFonts w:cs="FrankRuehl"/>
          <w:sz w:val="22"/>
          <w:szCs w:val="22"/>
          <w:highlight w:val="yellow"/>
          <w:rtl/>
        </w:rPr>
        <w:t xml:space="preserve"> </w:t>
      </w:r>
      <w:r w:rsidRPr="006A45E5">
        <w:rPr>
          <w:rFonts w:cs="FrankRuehl" w:hint="cs"/>
          <w:sz w:val="22"/>
          <w:szCs w:val="22"/>
          <w:highlight w:val="yellow"/>
          <w:rtl/>
        </w:rPr>
        <w:t>ובסמכויות המוקצים לכל אחת מן הרשויות, אפשר ביחסי דת ומדינה אפשר בגבולות</w:t>
      </w:r>
      <w:r w:rsidRPr="006A45E5">
        <w:rPr>
          <w:rFonts w:cs="FrankRuehl"/>
          <w:sz w:val="22"/>
          <w:szCs w:val="22"/>
          <w:highlight w:val="yellow"/>
          <w:rtl/>
        </w:rPr>
        <w:t xml:space="preserve"> </w:t>
      </w:r>
      <w:r w:rsidRPr="006A45E5">
        <w:rPr>
          <w:rFonts w:cs="FrankRuehl" w:hint="cs"/>
          <w:sz w:val="22"/>
          <w:szCs w:val="22"/>
          <w:highlight w:val="yellow"/>
          <w:rtl/>
        </w:rPr>
        <w:t>המדינה. כך, למשל, נניח שחוק יסוד יקבע כי תיערכנה בנפרד בחירות לרשות מחוקקת</w:t>
      </w:r>
      <w:r w:rsidRPr="006A45E5">
        <w:rPr>
          <w:rFonts w:cs="FrankRuehl"/>
          <w:sz w:val="22"/>
          <w:szCs w:val="22"/>
          <w:highlight w:val="yellow"/>
          <w:rtl/>
        </w:rPr>
        <w:t xml:space="preserve"> </w:t>
      </w:r>
      <w:r w:rsidRPr="006A45E5">
        <w:rPr>
          <w:rFonts w:cs="FrankRuehl" w:hint="cs"/>
          <w:sz w:val="22"/>
          <w:szCs w:val="22"/>
          <w:highlight w:val="yellow"/>
          <w:rtl/>
        </w:rPr>
        <w:t>ולרשות מבצעת; כי בחירות תהיינה בדרך פלונית; כי הקצאת סמכויות בין אבריה של</w:t>
      </w:r>
      <w:r w:rsidRPr="006A45E5">
        <w:rPr>
          <w:rFonts w:cs="FrankRuehl"/>
          <w:sz w:val="22"/>
          <w:szCs w:val="22"/>
          <w:highlight w:val="yellow"/>
          <w:rtl/>
        </w:rPr>
        <w:t xml:space="preserve"> </w:t>
      </w:r>
      <w:r w:rsidRPr="006A45E5">
        <w:rPr>
          <w:rFonts w:cs="FrankRuehl" w:hint="cs"/>
          <w:sz w:val="22"/>
          <w:szCs w:val="22"/>
          <w:highlight w:val="yellow"/>
          <w:rtl/>
        </w:rPr>
        <w:t>הרשות המבצעת העליונה - ראש ממשלה וממשלה - תהיה כך וכך; כי גבולות המדינה</w:t>
      </w:r>
      <w:r w:rsidRPr="006A45E5">
        <w:rPr>
          <w:rFonts w:cs="FrankRuehl"/>
          <w:sz w:val="22"/>
          <w:szCs w:val="22"/>
          <w:highlight w:val="yellow"/>
          <w:rtl/>
        </w:rPr>
        <w:t xml:space="preserve"> </w:t>
      </w:r>
      <w:r w:rsidRPr="006A45E5">
        <w:rPr>
          <w:rFonts w:cs="FrankRuehl" w:hint="cs"/>
          <w:sz w:val="22"/>
          <w:szCs w:val="22"/>
          <w:highlight w:val="yellow"/>
          <w:rtl/>
        </w:rPr>
        <w:t>יהיו</w:t>
      </w:r>
      <w:r w:rsidRPr="006A45E5">
        <w:rPr>
          <w:rFonts w:cs="FrankRuehl"/>
          <w:sz w:val="22"/>
          <w:szCs w:val="22"/>
          <w:highlight w:val="yellow"/>
          <w:rtl/>
        </w:rPr>
        <w:t xml:space="preserve"> </w:t>
      </w:r>
      <w:r w:rsidRPr="006A45E5">
        <w:rPr>
          <w:rFonts w:cs="FrankRuehl" w:hint="cs"/>
          <w:sz w:val="22"/>
          <w:szCs w:val="22"/>
          <w:highlight w:val="yellow"/>
          <w:rtl/>
        </w:rPr>
        <w:t>אלה ואלה; וכי חוק יסוד זה לא ניתן יהיה לשנותו אלא ברוב של שמונים</w:t>
      </w:r>
      <w:r w:rsidRPr="006A45E5">
        <w:rPr>
          <w:rFonts w:cs="FrankRuehl"/>
          <w:sz w:val="22"/>
          <w:szCs w:val="22"/>
          <w:highlight w:val="yellow"/>
          <w:rtl/>
        </w:rPr>
        <w:t xml:space="preserve"> </w:t>
      </w:r>
      <w:r w:rsidRPr="006A45E5">
        <w:rPr>
          <w:rFonts w:cs="FrankRuehl" w:hint="cs"/>
          <w:sz w:val="22"/>
          <w:szCs w:val="22"/>
          <w:highlight w:val="yellow"/>
          <w:rtl/>
        </w:rPr>
        <w:t>חברי-כנסת. במערך הכוחות הפנימי בישראל אפשר לא ניתן יהיה לשנות חוק זה שנים</w:t>
      </w:r>
      <w:r w:rsidRPr="006A45E5">
        <w:rPr>
          <w:rFonts w:cs="FrankRuehl"/>
          <w:sz w:val="22"/>
          <w:szCs w:val="22"/>
          <w:highlight w:val="yellow"/>
          <w:rtl/>
        </w:rPr>
        <w:t xml:space="preserve"> </w:t>
      </w:r>
      <w:r w:rsidRPr="006A45E5">
        <w:rPr>
          <w:rFonts w:cs="FrankRuehl" w:hint="cs"/>
          <w:sz w:val="22"/>
          <w:szCs w:val="22"/>
          <w:highlight w:val="yellow"/>
          <w:rtl/>
        </w:rPr>
        <w:t xml:space="preserve">רבות מאוד, למרות שרוב העם ורוב מבין חברי הכנסת - ואפילו רוב כבד </w:t>
      </w:r>
      <w:r w:rsidRPr="006A45E5">
        <w:rPr>
          <w:rFonts w:cs="FrankRuehl"/>
          <w:sz w:val="22"/>
          <w:szCs w:val="22"/>
          <w:highlight w:val="yellow"/>
        </w:rPr>
        <w:t>–</w:t>
      </w:r>
      <w:r w:rsidRPr="006A45E5">
        <w:rPr>
          <w:rFonts w:cs="FrankRuehl" w:hint="cs"/>
          <w:sz w:val="22"/>
          <w:szCs w:val="22"/>
          <w:highlight w:val="yellow"/>
          <w:rtl/>
        </w:rPr>
        <w:t xml:space="preserve"> יאמר</w:t>
      </w:r>
      <w:r w:rsidRPr="006A45E5">
        <w:rPr>
          <w:rFonts w:cs="FrankRuehl"/>
          <w:sz w:val="22"/>
          <w:szCs w:val="22"/>
          <w:highlight w:val="yellow"/>
          <w:rtl/>
        </w:rPr>
        <w:t xml:space="preserve"> </w:t>
      </w:r>
      <w:r w:rsidRPr="006A45E5">
        <w:rPr>
          <w:rFonts w:cs="FrankRuehl" w:hint="cs"/>
          <w:sz w:val="22"/>
          <w:szCs w:val="22"/>
          <w:highlight w:val="yellow"/>
          <w:rtl/>
        </w:rPr>
        <w:t>לשנותו. הנקבל זאת עלינו?</w:t>
      </w:r>
    </w:p>
    <w:p w:rsidR="005366A8" w:rsidRPr="006A45E5" w:rsidRDefault="005366A8" w:rsidP="005366A8">
      <w:pPr>
        <w:tabs>
          <w:tab w:val="left" w:pos="-720"/>
        </w:tabs>
        <w:rPr>
          <w:rFonts w:cs="FrankRuehl"/>
          <w:sz w:val="22"/>
          <w:szCs w:val="22"/>
        </w:rPr>
      </w:pPr>
      <w:r w:rsidRPr="006A45E5">
        <w:rPr>
          <w:rFonts w:cs="FrankRuehl" w:hint="cs"/>
          <w:sz w:val="22"/>
          <w:szCs w:val="22"/>
          <w:rtl/>
        </w:rPr>
        <w:t>69. מאז קוממיות אין לנו מנוח, לא לעם ולא למדינה. הכרעות קשות ומכאיבות</w:t>
      </w:r>
      <w:r w:rsidRPr="006A45E5">
        <w:rPr>
          <w:rFonts w:cs="FrankRuehl"/>
          <w:sz w:val="22"/>
          <w:szCs w:val="22"/>
          <w:rtl/>
        </w:rPr>
        <w:t xml:space="preserve"> </w:t>
      </w:r>
      <w:r w:rsidRPr="006A45E5">
        <w:rPr>
          <w:rFonts w:cs="FrankRuehl" w:hint="cs"/>
          <w:sz w:val="22"/>
          <w:szCs w:val="22"/>
          <w:rtl/>
        </w:rPr>
        <w:t>תוכפות עלינו. רישומיהן של אותן החלטות ניכרים בחיי היום-יום, ולעתיד פתרונים</w:t>
      </w:r>
      <w:r w:rsidRPr="006A45E5">
        <w:rPr>
          <w:rFonts w:cs="FrankRuehl"/>
          <w:sz w:val="22"/>
          <w:szCs w:val="22"/>
          <w:rtl/>
        </w:rPr>
        <w:t xml:space="preserve"> </w:t>
      </w:r>
      <w:r w:rsidRPr="006A45E5">
        <w:rPr>
          <w:rFonts w:cs="FrankRuehl" w:hint="cs"/>
          <w:sz w:val="22"/>
          <w:szCs w:val="22"/>
          <w:rtl/>
        </w:rPr>
        <w:t>מה יבוא עלינו. שאלות הרות גורל לפרט ולקהילה רודפות אותנו כל העת, ובקרב העם</w:t>
      </w:r>
      <w:r w:rsidRPr="006A45E5">
        <w:rPr>
          <w:rFonts w:cs="FrankRuehl"/>
          <w:sz w:val="22"/>
          <w:szCs w:val="22"/>
          <w:rtl/>
        </w:rPr>
        <w:t xml:space="preserve"> </w:t>
      </w:r>
      <w:r w:rsidRPr="006A45E5">
        <w:rPr>
          <w:rFonts w:cs="FrankRuehl" w:hint="cs"/>
          <w:sz w:val="22"/>
          <w:szCs w:val="22"/>
          <w:rtl/>
        </w:rPr>
        <w:t>דעות והשקפות שונות, מי בכה ומי בכה. נשווה נא עתה נגד עינינו שאלה פלונית</w:t>
      </w:r>
      <w:r w:rsidRPr="006A45E5">
        <w:rPr>
          <w:rFonts w:cs="FrankRuehl"/>
          <w:sz w:val="22"/>
          <w:szCs w:val="22"/>
          <w:rtl/>
        </w:rPr>
        <w:t xml:space="preserve"> </w:t>
      </w:r>
      <w:r w:rsidRPr="006A45E5">
        <w:rPr>
          <w:rFonts w:cs="FrankRuehl" w:hint="cs"/>
          <w:sz w:val="22"/>
          <w:szCs w:val="22"/>
          <w:rtl/>
        </w:rPr>
        <w:t>שהעם מתייסר בה ומפולג בה, ונניח כי עולה הדבר בידי הממשלה, או בידי</w:t>
      </w:r>
      <w:r w:rsidRPr="006A45E5">
        <w:rPr>
          <w:rFonts w:cs="FrankRuehl"/>
          <w:sz w:val="22"/>
          <w:szCs w:val="22"/>
          <w:rtl/>
        </w:rPr>
        <w:t xml:space="preserve"> </w:t>
      </w:r>
      <w:r w:rsidRPr="006A45E5">
        <w:rPr>
          <w:rFonts w:cs="FrankRuehl" w:hint="cs"/>
          <w:sz w:val="22"/>
          <w:szCs w:val="22"/>
          <w:rtl/>
        </w:rPr>
        <w:t>האופוזיציה, והכנסת מחוקקת חוק יסוד באותו נושא, בניגוד למחאות קשות של</w:t>
      </w:r>
      <w:r w:rsidRPr="006A45E5">
        <w:rPr>
          <w:rFonts w:cs="FrankRuehl"/>
          <w:sz w:val="22"/>
          <w:szCs w:val="22"/>
          <w:rtl/>
        </w:rPr>
        <w:t xml:space="preserve"> </w:t>
      </w:r>
      <w:r w:rsidRPr="006A45E5">
        <w:rPr>
          <w:rFonts w:cs="FrankRuehl" w:hint="cs"/>
          <w:sz w:val="22"/>
          <w:szCs w:val="22"/>
          <w:rtl/>
        </w:rPr>
        <w:t>המתנגדים, מחאות של כנסת ומחאות של רחוב. הנושא הוא נושא חוקתי, והכנסת</w:t>
      </w:r>
      <w:r w:rsidRPr="006A45E5">
        <w:rPr>
          <w:rFonts w:cs="FrankRuehl"/>
          <w:sz w:val="22"/>
          <w:szCs w:val="22"/>
          <w:rtl/>
        </w:rPr>
        <w:t xml:space="preserve"> </w:t>
      </w:r>
      <w:r w:rsidRPr="006A45E5">
        <w:rPr>
          <w:rFonts w:cs="FrankRuehl" w:hint="cs"/>
          <w:sz w:val="22"/>
          <w:szCs w:val="22"/>
          <w:rtl/>
        </w:rPr>
        <w:t>מוסיפה ומחליטה כי לא ניתן יהיה לשנות אותו חוק יסוד אלא ברוב של 80</w:t>
      </w:r>
      <w:r w:rsidRPr="006A45E5">
        <w:rPr>
          <w:rFonts w:cs="FrankRuehl"/>
          <w:sz w:val="22"/>
          <w:szCs w:val="22"/>
          <w:rtl/>
        </w:rPr>
        <w:t xml:space="preserve"> </w:t>
      </w:r>
      <w:r w:rsidRPr="006A45E5">
        <w:rPr>
          <w:rFonts w:cs="FrankRuehl" w:hint="cs"/>
          <w:sz w:val="22"/>
          <w:szCs w:val="22"/>
          <w:rtl/>
        </w:rPr>
        <w:t>חברי-כנסת. מובן שהחוק מתקבל ברוב רגיל, כמקובל בכנסת. למשל, ברוב שבו נתקבל</w:t>
      </w:r>
      <w:r w:rsidRPr="006A45E5">
        <w:rPr>
          <w:rFonts w:cs="FrankRuehl"/>
          <w:sz w:val="22"/>
          <w:szCs w:val="22"/>
          <w:rtl/>
        </w:rPr>
        <w:t xml:space="preserve"> </w:t>
      </w:r>
      <w:r w:rsidRPr="006A45E5">
        <w:rPr>
          <w:rFonts w:cs="FrankRuehl" w:hint="cs"/>
          <w:sz w:val="22"/>
          <w:szCs w:val="22"/>
          <w:rtl/>
        </w:rPr>
        <w:t>חוק-יסוד: כבוד האדם וחירותו: ברוב של 32 נגד 21 ונמנע אחד, או ברוב שבו</w:t>
      </w:r>
      <w:r w:rsidRPr="006A45E5">
        <w:rPr>
          <w:rFonts w:cs="FrankRuehl"/>
          <w:sz w:val="22"/>
          <w:szCs w:val="22"/>
          <w:rtl/>
        </w:rPr>
        <w:t xml:space="preserve"> </w:t>
      </w:r>
      <w:r w:rsidRPr="006A45E5">
        <w:rPr>
          <w:rFonts w:cs="FrankRuehl" w:hint="cs"/>
          <w:sz w:val="22"/>
          <w:szCs w:val="22"/>
          <w:rtl/>
        </w:rPr>
        <w:t>נתקבל חוק-יסוד: הממשלה (55 קולות בעד ו-22 קולות נגד).</w:t>
      </w:r>
      <w:r w:rsidRPr="006A45E5">
        <w:rPr>
          <w:rFonts w:cs="FrankRuehl"/>
          <w:sz w:val="22"/>
          <w:szCs w:val="22"/>
          <w:rtl/>
        </w:rPr>
        <w:t xml:space="preserve">  </w:t>
      </w:r>
      <w:r w:rsidRPr="006A45E5">
        <w:rPr>
          <w:rFonts w:cs="FrankRuehl" w:hint="cs"/>
          <w:sz w:val="22"/>
          <w:szCs w:val="22"/>
          <w:rtl/>
        </w:rPr>
        <w:t>והנה בא יום, והוא למחרת יום קבלתו של החוק, אפשר שבועיים לאחריו, אולי</w:t>
      </w:r>
      <w:r w:rsidRPr="006A45E5">
        <w:rPr>
          <w:rFonts w:cs="FrankRuehl"/>
          <w:sz w:val="22"/>
          <w:szCs w:val="22"/>
          <w:rtl/>
        </w:rPr>
        <w:t xml:space="preserve"> </w:t>
      </w:r>
      <w:r w:rsidRPr="006A45E5">
        <w:rPr>
          <w:rFonts w:cs="FrankRuehl" w:hint="cs"/>
          <w:sz w:val="22"/>
          <w:szCs w:val="22"/>
          <w:rtl/>
        </w:rPr>
        <w:t>חודשיים, אולי שנה או שנתיים. הממשלה או האופוזיציה (לפי העניין), מבקשת</w:t>
      </w:r>
      <w:r w:rsidRPr="006A45E5">
        <w:rPr>
          <w:rFonts w:cs="FrankRuehl"/>
          <w:sz w:val="22"/>
          <w:szCs w:val="22"/>
          <w:rtl/>
        </w:rPr>
        <w:t xml:space="preserve"> </w:t>
      </w:r>
      <w:r w:rsidRPr="006A45E5">
        <w:rPr>
          <w:rFonts w:cs="FrankRuehl" w:hint="cs"/>
          <w:sz w:val="22"/>
          <w:szCs w:val="22"/>
          <w:rtl/>
        </w:rPr>
        <w:t>לשנות את החוק. אך זאת אין בכוחה לעשות. בחוק החדש תומכים רק 70 חברי-כנסת,</w:t>
      </w:r>
      <w:r w:rsidRPr="006A45E5">
        <w:rPr>
          <w:rFonts w:cs="FrankRuehl"/>
          <w:sz w:val="22"/>
          <w:szCs w:val="22"/>
          <w:rtl/>
        </w:rPr>
        <w:t xml:space="preserve"> </w:t>
      </w:r>
      <w:r w:rsidRPr="006A45E5">
        <w:rPr>
          <w:rFonts w:cs="FrankRuehl" w:hint="cs"/>
          <w:sz w:val="22"/>
          <w:szCs w:val="22"/>
          <w:rtl/>
        </w:rPr>
        <w:t>אולי 75 חברי-כנסת, אולי 61 חברי כנסת. אליבא דחבריי החוק הוא חוק, שהרי חוק</w:t>
      </w:r>
      <w:r w:rsidRPr="006A45E5">
        <w:rPr>
          <w:rFonts w:cs="FrankRuehl"/>
          <w:sz w:val="22"/>
          <w:szCs w:val="22"/>
          <w:rtl/>
        </w:rPr>
        <w:t xml:space="preserve"> </w:t>
      </w:r>
      <w:r w:rsidRPr="006A45E5">
        <w:rPr>
          <w:rFonts w:cs="FrankRuehl" w:hint="cs"/>
          <w:sz w:val="22"/>
          <w:szCs w:val="22"/>
          <w:rtl/>
        </w:rPr>
        <w:t>חוקה הוא, חוקה לישראל.</w:t>
      </w:r>
    </w:p>
    <w:p w:rsidR="005366A8" w:rsidRPr="006A45E5" w:rsidRDefault="005366A8" w:rsidP="005366A8">
      <w:pPr>
        <w:tabs>
          <w:tab w:val="left" w:pos="-720"/>
        </w:tabs>
        <w:rPr>
          <w:rFonts w:cs="FrankRuehl"/>
          <w:sz w:val="22"/>
          <w:szCs w:val="22"/>
          <w:rtl/>
        </w:rPr>
      </w:pPr>
      <w:r w:rsidRPr="006A45E5">
        <w:rPr>
          <w:rFonts w:cs="FrankRuehl" w:hint="cs"/>
          <w:sz w:val="22"/>
          <w:szCs w:val="22"/>
          <w:rtl/>
        </w:rPr>
        <w:t>ואני אומר: לא ולא! לא יעלה על הדעת כי נציגיו של רוב העם יסברו כפי</w:t>
      </w:r>
      <w:r w:rsidRPr="006A45E5">
        <w:rPr>
          <w:rFonts w:cs="FrankRuehl"/>
          <w:sz w:val="22"/>
          <w:szCs w:val="22"/>
          <w:rtl/>
        </w:rPr>
        <w:t xml:space="preserve"> </w:t>
      </w:r>
      <w:r w:rsidRPr="006A45E5">
        <w:rPr>
          <w:rFonts w:cs="FrankRuehl" w:hint="cs"/>
          <w:sz w:val="22"/>
          <w:szCs w:val="22"/>
          <w:rtl/>
        </w:rPr>
        <w:t>שיסברו, אך בבואם לשנות את חוק היסוד נמנע אותם מהשגת מבוקשם בהעמידנו על</w:t>
      </w:r>
      <w:r w:rsidRPr="006A45E5">
        <w:rPr>
          <w:rFonts w:cs="FrankRuehl"/>
          <w:sz w:val="22"/>
          <w:szCs w:val="22"/>
          <w:rtl/>
        </w:rPr>
        <w:t xml:space="preserve"> </w:t>
      </w:r>
      <w:r w:rsidRPr="006A45E5">
        <w:rPr>
          <w:rFonts w:cs="FrankRuehl" w:hint="cs"/>
          <w:sz w:val="22"/>
          <w:szCs w:val="22"/>
          <w:rtl/>
        </w:rPr>
        <w:t>דרכם קונסטרוקציה משפטית של ש</w:t>
      </w:r>
      <w:r w:rsidRPr="006A45E5">
        <w:rPr>
          <w:rFonts w:cs="FrankRuehl"/>
          <w:sz w:val="22"/>
          <w:szCs w:val="22"/>
          <w:rtl/>
        </w:rPr>
        <w:t>נ</w:t>
      </w:r>
      <w:r w:rsidRPr="006A45E5">
        <w:rPr>
          <w:rFonts w:cs="FrankRuehl" w:hint="cs"/>
          <w:sz w:val="22"/>
          <w:szCs w:val="22"/>
          <w:rtl/>
        </w:rPr>
        <w:t>י כתרים או של ריבונות בלתי מוגבלת. הכך נמנע</w:t>
      </w:r>
      <w:r w:rsidRPr="006A45E5">
        <w:rPr>
          <w:rFonts w:cs="FrankRuehl"/>
          <w:sz w:val="22"/>
          <w:szCs w:val="22"/>
          <w:rtl/>
        </w:rPr>
        <w:t xml:space="preserve"> </w:t>
      </w:r>
      <w:r w:rsidRPr="006A45E5">
        <w:rPr>
          <w:rFonts w:cs="FrankRuehl" w:hint="cs"/>
          <w:sz w:val="22"/>
          <w:szCs w:val="22"/>
          <w:rtl/>
        </w:rPr>
        <w:t>מרוב - אף מרוב מאסיבי - לשנות את גורל העם? דומני כי מניעת הרוב שקולה כנגד</w:t>
      </w:r>
      <w:r w:rsidRPr="006A45E5">
        <w:rPr>
          <w:rFonts w:cs="FrankRuehl"/>
          <w:sz w:val="22"/>
          <w:szCs w:val="22"/>
          <w:rtl/>
        </w:rPr>
        <w:t xml:space="preserve"> </w:t>
      </w:r>
      <w:r w:rsidRPr="006A45E5">
        <w:rPr>
          <w:rFonts w:cs="FrankRuehl" w:hint="cs"/>
          <w:sz w:val="22"/>
          <w:szCs w:val="22"/>
          <w:rtl/>
        </w:rPr>
        <w:t>הליך אנטי-דמוקרטי בעליל. אמרתי כמה וכמה פעמים, ולא אלאה מחזור על כך: לא זה</w:t>
      </w:r>
      <w:r w:rsidRPr="006A45E5">
        <w:rPr>
          <w:rFonts w:cs="FrankRuehl"/>
          <w:sz w:val="22"/>
          <w:szCs w:val="22"/>
          <w:rtl/>
        </w:rPr>
        <w:t xml:space="preserve"> </w:t>
      </w:r>
      <w:r w:rsidRPr="006A45E5">
        <w:rPr>
          <w:rFonts w:cs="FrankRuehl" w:hint="cs"/>
          <w:sz w:val="22"/>
          <w:szCs w:val="22"/>
          <w:rtl/>
        </w:rPr>
        <w:t>הדרך לחוקק חוקה. אם ברצוננו להעמיד את העם לפני עובדה מוגמרת ואת פיו לא</w:t>
      </w:r>
      <w:r w:rsidRPr="006A45E5">
        <w:rPr>
          <w:rFonts w:cs="FrankRuehl"/>
          <w:sz w:val="22"/>
          <w:szCs w:val="22"/>
          <w:rtl/>
        </w:rPr>
        <w:t xml:space="preserve"> </w:t>
      </w:r>
      <w:r w:rsidRPr="006A45E5">
        <w:rPr>
          <w:rFonts w:cs="FrankRuehl" w:hint="cs"/>
          <w:sz w:val="22"/>
          <w:szCs w:val="22"/>
          <w:rtl/>
        </w:rPr>
        <w:t>נשאל - זה אמנם הדרך. ואולם אם על דעת העם נאמר לפעול, נפנה נא אליו ונשאל את</w:t>
      </w:r>
      <w:r w:rsidRPr="006A45E5">
        <w:rPr>
          <w:rFonts w:cs="FrankRuehl"/>
          <w:sz w:val="22"/>
          <w:szCs w:val="22"/>
          <w:rtl/>
        </w:rPr>
        <w:t xml:space="preserve"> </w:t>
      </w:r>
      <w:r w:rsidRPr="006A45E5">
        <w:rPr>
          <w:rFonts w:cs="FrankRuehl" w:hint="cs"/>
          <w:sz w:val="22"/>
          <w:szCs w:val="22"/>
          <w:rtl/>
        </w:rPr>
        <w:t>פיו כמעשה האסיפה המכוננת האמיתית שלפני ארבעים ושש שנים. אפשר ייעשה מעשה</w:t>
      </w:r>
      <w:r w:rsidRPr="006A45E5">
        <w:rPr>
          <w:rFonts w:cs="FrankRuehl"/>
          <w:sz w:val="22"/>
          <w:szCs w:val="22"/>
          <w:rtl/>
        </w:rPr>
        <w:t xml:space="preserve"> </w:t>
      </w:r>
      <w:r w:rsidRPr="006A45E5">
        <w:rPr>
          <w:rFonts w:cs="FrankRuehl" w:hint="cs"/>
          <w:sz w:val="22"/>
          <w:szCs w:val="22"/>
          <w:rtl/>
        </w:rPr>
        <w:t>אחר, מעשה החורג באורח חוקתי בולט משגרת החקיקה הרגילה, וגם אותו נאהב. אך</w:t>
      </w:r>
      <w:r w:rsidRPr="006A45E5">
        <w:rPr>
          <w:rFonts w:cs="FrankRuehl"/>
          <w:sz w:val="22"/>
          <w:szCs w:val="22"/>
          <w:rtl/>
        </w:rPr>
        <w:t xml:space="preserve"> </w:t>
      </w:r>
      <w:r w:rsidRPr="006A45E5">
        <w:rPr>
          <w:rFonts w:cs="FrankRuehl" w:hint="cs"/>
          <w:sz w:val="22"/>
          <w:szCs w:val="22"/>
          <w:rtl/>
        </w:rPr>
        <w:t xml:space="preserve">אנא, אל נא נקבע עתה - לראשונה </w:t>
      </w:r>
      <w:r w:rsidRPr="006A45E5">
        <w:rPr>
          <w:rFonts w:cs="FrankRuehl"/>
          <w:sz w:val="22"/>
          <w:szCs w:val="22"/>
        </w:rPr>
        <w:t>–</w:t>
      </w:r>
      <w:r w:rsidRPr="006A45E5">
        <w:rPr>
          <w:rFonts w:cs="FrankRuehl" w:hint="cs"/>
          <w:sz w:val="22"/>
          <w:szCs w:val="22"/>
          <w:rtl/>
        </w:rPr>
        <w:t xml:space="preserve"> הלכה</w:t>
      </w:r>
      <w:r w:rsidRPr="006A45E5">
        <w:rPr>
          <w:rFonts w:cs="FrankRuehl"/>
          <w:sz w:val="22"/>
          <w:szCs w:val="22"/>
          <w:rtl/>
        </w:rPr>
        <w:t xml:space="preserve"> </w:t>
      </w:r>
      <w:r w:rsidRPr="006A45E5">
        <w:rPr>
          <w:rFonts w:cs="FrankRuehl" w:hint="cs"/>
          <w:sz w:val="22"/>
          <w:szCs w:val="22"/>
          <w:rtl/>
        </w:rPr>
        <w:t>משפטית המיוסדת על חוק שמשנת תשי"א</w:t>
      </w:r>
      <w:r w:rsidRPr="006A45E5">
        <w:rPr>
          <w:rFonts w:cs="FrankRuehl"/>
          <w:sz w:val="22"/>
          <w:szCs w:val="22"/>
          <w:rtl/>
        </w:rPr>
        <w:t xml:space="preserve"> </w:t>
      </w:r>
      <w:r w:rsidRPr="006A45E5">
        <w:rPr>
          <w:rFonts w:cs="FrankRuehl" w:hint="cs"/>
          <w:sz w:val="22"/>
          <w:szCs w:val="22"/>
          <w:rtl/>
        </w:rPr>
        <w:t>(1951) ונכונן במו ידינו את הכנסת כרשות מכוננת לחקיקתה של חוקה נוקשה</w:t>
      </w:r>
      <w:r w:rsidRPr="006A45E5">
        <w:rPr>
          <w:rFonts w:cs="FrankRuehl"/>
          <w:sz w:val="22"/>
          <w:szCs w:val="22"/>
          <w:rtl/>
        </w:rPr>
        <w:t xml:space="preserve"> </w:t>
      </w:r>
      <w:r w:rsidRPr="006A45E5">
        <w:rPr>
          <w:rFonts w:cs="FrankRuehl" w:hint="cs"/>
          <w:sz w:val="22"/>
          <w:szCs w:val="22"/>
          <w:rtl/>
        </w:rPr>
        <w:t>למדינה.</w:t>
      </w:r>
    </w:p>
    <w:p w:rsidR="005366A8" w:rsidRDefault="005366A8" w:rsidP="005366A8">
      <w:pPr>
        <w:tabs>
          <w:tab w:val="left" w:pos="-720"/>
        </w:tabs>
        <w:rPr>
          <w:sz w:val="20"/>
          <w:szCs w:val="20"/>
          <w:rtl/>
        </w:rPr>
      </w:pPr>
      <w:r>
        <w:rPr>
          <w:rFonts w:hint="cs"/>
          <w:sz w:val="20"/>
          <w:szCs w:val="20"/>
          <w:rtl/>
        </w:rPr>
        <w:t>=-=</w:t>
      </w:r>
    </w:p>
    <w:p w:rsidR="005366A8" w:rsidRDefault="005366A8" w:rsidP="005366A8">
      <w:pPr>
        <w:tabs>
          <w:tab w:val="left" w:pos="-720"/>
        </w:tabs>
        <w:rPr>
          <w:rFonts w:ascii="Arial" w:hAnsi="Arial" w:cs="Arial"/>
          <w:sz w:val="18"/>
          <w:szCs w:val="18"/>
          <w:rtl/>
        </w:rPr>
      </w:pPr>
      <w:r w:rsidRPr="00F62942">
        <w:rPr>
          <w:rFonts w:ascii="Arial" w:hAnsi="Arial" w:cs="Arial"/>
          <w:sz w:val="18"/>
          <w:szCs w:val="18"/>
          <w:rtl/>
        </w:rPr>
        <w:t xml:space="preserve">במקביל, השו' חשין מציג במפורט גישה חוקתית חלופית לגבי מקור כוחו וגבולות סמכותו של בית המשפט בבואו להעביר תחת שבט ביקורתו חקיקה של הכנסת.  בראש ובראשונה חשין שולל במפורש את העיקרון של ריבונות המוחלטת של הפרלמנט.  הוא קובע, כי הכנסת, כמו כל גוף או אדם בישראל, כפופה לעקרונות היסוד של השיטה המשפטית והמשטרית אצלנו.  כלומר: הוא מקבל ומנסח את העיקרון שלפיו ישנם גבולות לכוחה של הכנסת </w:t>
      </w:r>
      <w:r w:rsidRPr="00F62942">
        <w:rPr>
          <w:rFonts w:ascii="Arial" w:hAnsi="Arial" w:cs="Arial"/>
          <w:sz w:val="18"/>
          <w:szCs w:val="18"/>
        </w:rPr>
        <w:t>–</w:t>
      </w:r>
      <w:r w:rsidRPr="00F62942">
        <w:rPr>
          <w:rFonts w:ascii="Arial" w:hAnsi="Arial" w:cs="Arial"/>
          <w:sz w:val="18"/>
          <w:szCs w:val="18"/>
          <w:rtl/>
        </w:rPr>
        <w:t xml:space="preserve"> גבולות שבמקרה הצורך יתערב בית המשפט כדי לכפותם.  למשל, סיטואציות של "כנסת המחוקקת לעצמה" (עבור עצמה), אך לא רק. </w:t>
      </w:r>
    </w:p>
    <w:p w:rsidR="005366A8" w:rsidRPr="00F62942" w:rsidRDefault="005366A8" w:rsidP="005366A8">
      <w:pPr>
        <w:tabs>
          <w:tab w:val="left" w:pos="-720"/>
        </w:tabs>
        <w:rPr>
          <w:rFonts w:ascii="Arial" w:hAnsi="Arial" w:cs="Arial"/>
          <w:sz w:val="18"/>
          <w:szCs w:val="18"/>
          <w:rtl/>
        </w:rPr>
      </w:pPr>
    </w:p>
    <w:p w:rsidR="005366A8" w:rsidRPr="00AC1E76" w:rsidRDefault="005366A8" w:rsidP="005366A8">
      <w:pPr>
        <w:tabs>
          <w:tab w:val="left" w:pos="-720"/>
        </w:tabs>
        <w:rPr>
          <w:rFonts w:cs="David"/>
          <w:sz w:val="18"/>
          <w:szCs w:val="18"/>
          <w:rtl/>
        </w:rPr>
      </w:pPr>
    </w:p>
    <w:p w:rsidR="005366A8" w:rsidRPr="00E82C32" w:rsidRDefault="005366A8" w:rsidP="005366A8">
      <w:pPr>
        <w:spacing w:after="120"/>
        <w:jc w:val="center"/>
        <w:rPr>
          <w:rFonts w:ascii="Arial" w:hAnsi="Arial" w:cs="Arial"/>
          <w:b/>
          <w:bCs/>
          <w:sz w:val="20"/>
          <w:szCs w:val="20"/>
          <w:rtl/>
        </w:rPr>
      </w:pPr>
      <w:r w:rsidRPr="00AC1E76">
        <w:rPr>
          <w:rFonts w:ascii="Arial" w:hAnsi="Arial" w:cs="Arial"/>
          <w:b/>
          <w:bCs/>
          <w:sz w:val="20"/>
          <w:szCs w:val="20"/>
          <w:highlight w:val="yellow"/>
          <w:u w:val="single"/>
          <w:rtl/>
        </w:rPr>
        <w:t>עמדת הרוב בבית המשפט העליון</w:t>
      </w:r>
    </w:p>
    <w:p w:rsidR="005366A8" w:rsidRPr="00E82C32" w:rsidRDefault="005366A8" w:rsidP="005366A8">
      <w:pPr>
        <w:spacing w:after="120"/>
        <w:rPr>
          <w:rFonts w:ascii="Arial" w:hAnsi="Arial" w:cs="Arial"/>
          <w:b/>
          <w:bCs/>
          <w:sz w:val="20"/>
          <w:szCs w:val="20"/>
          <w:rtl/>
        </w:rPr>
      </w:pPr>
      <w:r w:rsidRPr="000E744C">
        <w:rPr>
          <w:rFonts w:ascii="Arial" w:hAnsi="Arial" w:cs="Arial"/>
          <w:b/>
          <w:bCs/>
          <w:sz w:val="20"/>
          <w:szCs w:val="20"/>
          <w:rtl/>
        </w:rPr>
        <w:t>א. מהלכה של הכנסת להעניק הגנה חוקתית (לחלק) מזכויות האדם</w:t>
      </w:r>
      <w:r w:rsidRPr="000E744C">
        <w:rPr>
          <w:rFonts w:ascii="Arial" w:hAnsi="Arial" w:cs="Arial" w:hint="cs"/>
          <w:b/>
          <w:bCs/>
          <w:sz w:val="20"/>
          <w:szCs w:val="20"/>
          <w:rtl/>
        </w:rPr>
        <w:t xml:space="preserve"> ולמוסדות יסוד והסדרי יסוד של המדינה</w:t>
      </w:r>
      <w:r w:rsidRPr="000E744C">
        <w:rPr>
          <w:rFonts w:ascii="Arial" w:hAnsi="Arial" w:cs="Arial"/>
          <w:b/>
          <w:bCs/>
          <w:sz w:val="20"/>
          <w:szCs w:val="20"/>
          <w:rtl/>
        </w:rPr>
        <w:t xml:space="preserve"> </w:t>
      </w:r>
      <w:r w:rsidRPr="000E744C">
        <w:rPr>
          <w:rFonts w:ascii="Arial" w:hAnsi="Arial" w:cs="Arial"/>
          <w:b/>
          <w:bCs/>
          <w:sz w:val="20"/>
          <w:szCs w:val="20"/>
        </w:rPr>
        <w:t>–</w:t>
      </w:r>
      <w:r w:rsidRPr="000E744C">
        <w:rPr>
          <w:rFonts w:ascii="Arial" w:hAnsi="Arial" w:cs="Arial"/>
          <w:b/>
          <w:bCs/>
          <w:sz w:val="20"/>
          <w:szCs w:val="20"/>
          <w:rtl/>
        </w:rPr>
        <w:t xml:space="preserve"> </w:t>
      </w:r>
      <w:r w:rsidRPr="000E744C">
        <w:rPr>
          <w:rFonts w:ascii="Arial" w:hAnsi="Arial" w:cs="Arial" w:hint="cs"/>
          <w:b/>
          <w:bCs/>
          <w:sz w:val="20"/>
          <w:szCs w:val="20"/>
          <w:rtl/>
        </w:rPr>
        <w:t xml:space="preserve">בין היתר, </w:t>
      </w:r>
      <w:r w:rsidRPr="000E744C">
        <w:rPr>
          <w:rFonts w:ascii="Arial" w:hAnsi="Arial" w:cs="Arial"/>
          <w:b/>
          <w:bCs/>
          <w:sz w:val="20"/>
          <w:szCs w:val="20"/>
          <w:rtl/>
        </w:rPr>
        <w:t>על דרך הגבלתה שלה</w:t>
      </w:r>
      <w:r w:rsidRPr="000E744C">
        <w:rPr>
          <w:rFonts w:ascii="Arial" w:hAnsi="Arial" w:cs="Arial" w:hint="cs"/>
          <w:b/>
          <w:bCs/>
          <w:sz w:val="20"/>
          <w:szCs w:val="20"/>
          <w:rtl/>
        </w:rPr>
        <w:t>, של הכנסת, בפוֹעלה</w:t>
      </w:r>
      <w:r w:rsidRPr="000E744C">
        <w:rPr>
          <w:rFonts w:ascii="Arial" w:hAnsi="Arial" w:cs="Arial"/>
          <w:b/>
          <w:bCs/>
          <w:sz w:val="20"/>
          <w:szCs w:val="20"/>
          <w:rtl/>
        </w:rPr>
        <w:t xml:space="preserve"> כרשות מחוקקת </w:t>
      </w:r>
      <w:r w:rsidRPr="000E744C">
        <w:rPr>
          <w:rFonts w:ascii="Arial" w:hAnsi="Arial" w:cs="Arial"/>
          <w:b/>
          <w:bCs/>
          <w:sz w:val="20"/>
          <w:szCs w:val="20"/>
        </w:rPr>
        <w:t>–</w:t>
      </w:r>
      <w:r w:rsidRPr="000E744C">
        <w:rPr>
          <w:rFonts w:ascii="Arial" w:hAnsi="Arial" w:cs="Arial"/>
          <w:b/>
          <w:bCs/>
          <w:sz w:val="20"/>
          <w:szCs w:val="20"/>
          <w:rtl/>
        </w:rPr>
        <w:t xml:space="preserve"> הצליח; שכן </w:t>
      </w:r>
      <w:r w:rsidRPr="000E744C">
        <w:rPr>
          <w:rFonts w:ascii="Arial" w:hAnsi="Arial" w:cs="Arial"/>
          <w:b/>
          <w:bCs/>
          <w:i/>
          <w:iCs/>
          <w:sz w:val="20"/>
          <w:szCs w:val="20"/>
          <w:rtl/>
        </w:rPr>
        <w:t>יש לה לכנסת סמכות מכוננת</w:t>
      </w:r>
      <w:r w:rsidRPr="00E82C32">
        <w:rPr>
          <w:rFonts w:ascii="Arial" w:hAnsi="Arial" w:cs="Arial"/>
          <w:b/>
          <w:bCs/>
          <w:sz w:val="20"/>
          <w:szCs w:val="20"/>
          <w:rtl/>
        </w:rPr>
        <w:t xml:space="preserve">.  </w:t>
      </w:r>
    </w:p>
    <w:p w:rsidR="005366A8" w:rsidRPr="00E82C32" w:rsidRDefault="005366A8" w:rsidP="005366A8">
      <w:pPr>
        <w:rPr>
          <w:rFonts w:ascii="Arial" w:hAnsi="Arial" w:cs="Arial"/>
          <w:b/>
          <w:bCs/>
          <w:sz w:val="20"/>
          <w:szCs w:val="20"/>
          <w:rtl/>
        </w:rPr>
      </w:pPr>
      <w:r w:rsidRPr="00E82C32">
        <w:rPr>
          <w:rFonts w:ascii="Arial" w:hAnsi="Arial" w:cs="Arial"/>
          <w:b/>
          <w:bCs/>
          <w:sz w:val="20"/>
          <w:szCs w:val="20"/>
          <w:rtl/>
        </w:rPr>
        <w:t xml:space="preserve">ב. זיהוי חוקי היסוד כפירות </w:t>
      </w:r>
      <w:r>
        <w:rPr>
          <w:rFonts w:ascii="Arial" w:hAnsi="Arial" w:cs="Arial" w:hint="cs"/>
          <w:b/>
          <w:bCs/>
          <w:sz w:val="20"/>
          <w:szCs w:val="20"/>
          <w:rtl/>
        </w:rPr>
        <w:t xml:space="preserve">של </w:t>
      </w:r>
      <w:r w:rsidRPr="00E82C32">
        <w:rPr>
          <w:rFonts w:ascii="Arial" w:hAnsi="Arial" w:cs="Arial"/>
          <w:b/>
          <w:bCs/>
          <w:sz w:val="20"/>
          <w:szCs w:val="20"/>
          <w:rtl/>
        </w:rPr>
        <w:t xml:space="preserve">הפעלת הסמכות המכוננת משפיע על מכלול מעמדם. הוא מעניק להם </w:t>
      </w:r>
      <w:r w:rsidRPr="00E82C32">
        <w:rPr>
          <w:rFonts w:ascii="Arial" w:hAnsi="Arial" w:cs="Arial"/>
          <w:b/>
          <w:bCs/>
          <w:i/>
          <w:iCs/>
          <w:sz w:val="20"/>
          <w:szCs w:val="20"/>
          <w:rtl/>
        </w:rPr>
        <w:t>עליונות</w:t>
      </w:r>
      <w:r>
        <w:rPr>
          <w:rFonts w:ascii="Arial" w:hAnsi="Arial" w:cs="Arial" w:hint="cs"/>
          <w:b/>
          <w:bCs/>
          <w:sz w:val="20"/>
          <w:szCs w:val="20"/>
          <w:rtl/>
        </w:rPr>
        <w:t xml:space="preserve"> ביחס לכל הנורמות הנמוכות יותר</w:t>
      </w:r>
      <w:r w:rsidRPr="00E82C32">
        <w:rPr>
          <w:rFonts w:ascii="Arial" w:hAnsi="Arial" w:cs="Arial"/>
          <w:b/>
          <w:bCs/>
          <w:sz w:val="20"/>
          <w:szCs w:val="20"/>
          <w:rtl/>
        </w:rPr>
        <w:t xml:space="preserve">, והוא מקנה לגיטימציה </w:t>
      </w:r>
      <w:r w:rsidRPr="00E82C32">
        <w:rPr>
          <w:rFonts w:ascii="Arial" w:hAnsi="Arial" w:cs="Arial"/>
          <w:b/>
          <w:bCs/>
          <w:i/>
          <w:iCs/>
          <w:sz w:val="20"/>
          <w:szCs w:val="20"/>
          <w:rtl/>
        </w:rPr>
        <w:t>למהל</w:t>
      </w:r>
      <w:r>
        <w:rPr>
          <w:rFonts w:ascii="Arial" w:hAnsi="Arial" w:cs="Arial" w:hint="cs"/>
          <w:b/>
          <w:bCs/>
          <w:i/>
          <w:iCs/>
          <w:sz w:val="20"/>
          <w:szCs w:val="20"/>
          <w:rtl/>
        </w:rPr>
        <w:t>כי</w:t>
      </w:r>
      <w:r w:rsidRPr="00E82C32">
        <w:rPr>
          <w:rFonts w:ascii="Arial" w:hAnsi="Arial" w:cs="Arial"/>
          <w:b/>
          <w:bCs/>
          <w:i/>
          <w:iCs/>
          <w:sz w:val="20"/>
          <w:szCs w:val="20"/>
          <w:rtl/>
        </w:rPr>
        <w:t xml:space="preserve"> </w:t>
      </w:r>
      <w:r>
        <w:rPr>
          <w:rFonts w:ascii="Arial" w:hAnsi="Arial" w:cs="Arial" w:hint="cs"/>
          <w:b/>
          <w:bCs/>
          <w:i/>
          <w:iCs/>
          <w:sz w:val="20"/>
          <w:szCs w:val="20"/>
          <w:rtl/>
        </w:rPr>
        <w:t>הכבילה העצמית</w:t>
      </w:r>
      <w:r w:rsidRPr="00E82C32">
        <w:rPr>
          <w:rFonts w:ascii="Arial" w:hAnsi="Arial" w:cs="Arial"/>
          <w:b/>
          <w:bCs/>
          <w:i/>
          <w:iCs/>
          <w:sz w:val="20"/>
          <w:szCs w:val="20"/>
          <w:rtl/>
        </w:rPr>
        <w:t xml:space="preserve"> (יצירת הנוקשות)</w:t>
      </w:r>
      <w:r w:rsidRPr="00E82C32">
        <w:rPr>
          <w:rFonts w:ascii="Arial" w:hAnsi="Arial" w:cs="Arial"/>
          <w:b/>
          <w:bCs/>
          <w:sz w:val="20"/>
          <w:szCs w:val="20"/>
          <w:rtl/>
        </w:rPr>
        <w:t xml:space="preserve"> ככל שתופיע בהם. </w:t>
      </w:r>
    </w:p>
    <w:p w:rsidR="005366A8" w:rsidRPr="00E82C32" w:rsidRDefault="005366A8" w:rsidP="005366A8">
      <w:pPr>
        <w:ind w:left="720"/>
        <w:rPr>
          <w:rFonts w:ascii="Arial" w:hAnsi="Arial" w:cs="Arial"/>
          <w:b/>
          <w:bCs/>
          <w:i/>
          <w:iCs/>
          <w:sz w:val="20"/>
          <w:szCs w:val="20"/>
          <w:rtl/>
        </w:rPr>
      </w:pPr>
      <w:r w:rsidRPr="00E82C32">
        <w:rPr>
          <w:rFonts w:ascii="Arial" w:hAnsi="Arial" w:cs="Arial"/>
          <w:b/>
          <w:bCs/>
          <w:i/>
          <w:iCs/>
          <w:sz w:val="20"/>
          <w:szCs w:val="20"/>
          <w:rtl/>
        </w:rPr>
        <w:t>קיימת על כן לישראל חוקה פורמלית (אמנם חלקית ובעייתית) – היא חוקי היסוד של ישראל.</w:t>
      </w:r>
    </w:p>
    <w:p w:rsidR="005366A8" w:rsidRPr="00E82C32" w:rsidRDefault="005366A8" w:rsidP="005366A8">
      <w:pPr>
        <w:rPr>
          <w:rFonts w:ascii="Arial" w:hAnsi="Arial" w:cs="Arial"/>
          <w:b/>
          <w:bCs/>
          <w:sz w:val="20"/>
          <w:szCs w:val="20"/>
          <w:rtl/>
        </w:rPr>
      </w:pPr>
    </w:p>
    <w:p w:rsidR="005366A8" w:rsidRPr="00E82C32" w:rsidRDefault="005366A8" w:rsidP="005366A8">
      <w:pPr>
        <w:rPr>
          <w:rFonts w:ascii="Arial" w:hAnsi="Arial" w:cs="Arial"/>
          <w:b/>
          <w:bCs/>
          <w:sz w:val="20"/>
          <w:szCs w:val="20"/>
          <w:rtl/>
        </w:rPr>
      </w:pPr>
      <w:r w:rsidRPr="00E82C32">
        <w:rPr>
          <w:rFonts w:ascii="Arial" w:hAnsi="Arial" w:cs="Arial"/>
          <w:b/>
          <w:bCs/>
          <w:sz w:val="20"/>
          <w:szCs w:val="20"/>
          <w:rtl/>
        </w:rPr>
        <w:t xml:space="preserve">ג. אחת המסקנות הנובעות מכך (וקונקרטית, מעליונותם של חוקי היסוד) היא </w:t>
      </w:r>
      <w:r w:rsidRPr="00E82C32">
        <w:rPr>
          <w:rFonts w:ascii="Arial" w:hAnsi="Arial" w:cs="Arial"/>
          <w:b/>
          <w:bCs/>
          <w:i/>
          <w:iCs/>
          <w:sz w:val="20"/>
          <w:szCs w:val="20"/>
          <w:rtl/>
        </w:rPr>
        <w:t>כי אין לשנות חוק יסוד אלא בחוק יסוד</w:t>
      </w:r>
      <w:r w:rsidRPr="00E82C32">
        <w:rPr>
          <w:rFonts w:ascii="Arial" w:hAnsi="Arial" w:cs="Arial"/>
          <w:b/>
          <w:bCs/>
          <w:sz w:val="20"/>
          <w:szCs w:val="20"/>
          <w:rtl/>
        </w:rPr>
        <w:t xml:space="preserve"> </w:t>
      </w:r>
    </w:p>
    <w:p w:rsidR="005366A8" w:rsidRPr="00E82C32" w:rsidRDefault="005366A8" w:rsidP="005366A8">
      <w:pPr>
        <w:spacing w:after="120"/>
        <w:ind w:left="720"/>
        <w:rPr>
          <w:rFonts w:ascii="Arial" w:hAnsi="Arial" w:cs="Arial"/>
          <w:b/>
          <w:bCs/>
          <w:sz w:val="20"/>
          <w:szCs w:val="20"/>
          <w:rtl/>
        </w:rPr>
      </w:pPr>
      <w:r w:rsidRPr="00E82C32">
        <w:rPr>
          <w:rFonts w:ascii="Arial" w:hAnsi="Arial" w:cs="Arial"/>
          <w:b/>
          <w:bCs/>
          <w:sz w:val="20"/>
          <w:szCs w:val="20"/>
          <w:rtl/>
        </w:rPr>
        <w:t xml:space="preserve">(ביחס </w:t>
      </w:r>
      <w:r>
        <w:rPr>
          <w:rFonts w:ascii="Arial" w:hAnsi="Arial" w:cs="Arial" w:hint="cs"/>
          <w:b/>
          <w:bCs/>
          <w:sz w:val="20"/>
          <w:szCs w:val="20"/>
          <w:rtl/>
        </w:rPr>
        <w:t>"</w:t>
      </w:r>
      <w:r w:rsidRPr="00E82C32">
        <w:rPr>
          <w:rFonts w:ascii="Arial" w:hAnsi="Arial" w:cs="Arial"/>
          <w:b/>
          <w:bCs/>
          <w:sz w:val="20"/>
          <w:szCs w:val="20"/>
          <w:rtl/>
        </w:rPr>
        <w:t>לפגיעה</w:t>
      </w:r>
      <w:r>
        <w:rPr>
          <w:rFonts w:ascii="Arial" w:hAnsi="Arial" w:cs="Arial" w:hint="cs"/>
          <w:b/>
          <w:bCs/>
          <w:sz w:val="20"/>
          <w:szCs w:val="20"/>
          <w:rtl/>
        </w:rPr>
        <w:t>"</w:t>
      </w:r>
      <w:r w:rsidRPr="00E82C32">
        <w:rPr>
          <w:rFonts w:ascii="Arial" w:hAnsi="Arial" w:cs="Arial"/>
          <w:b/>
          <w:bCs/>
          <w:sz w:val="20"/>
          <w:szCs w:val="20"/>
          <w:rtl/>
        </w:rPr>
        <w:t xml:space="preserve"> בחוק יסוד בחוק רגיל, להבדיל מניסיון לשנותו באמצעות חוק – יבוא דיון בהמשך). </w:t>
      </w:r>
    </w:p>
    <w:p w:rsidR="005366A8" w:rsidRPr="00E82C32" w:rsidRDefault="005366A8" w:rsidP="005366A8">
      <w:pPr>
        <w:spacing w:after="120"/>
        <w:rPr>
          <w:rFonts w:ascii="Arial" w:hAnsi="Arial" w:cs="Arial"/>
          <w:b/>
          <w:bCs/>
          <w:sz w:val="20"/>
          <w:szCs w:val="20"/>
          <w:rtl/>
        </w:rPr>
      </w:pPr>
      <w:r w:rsidRPr="00E82C32">
        <w:rPr>
          <w:rFonts w:ascii="Arial" w:hAnsi="Arial" w:cs="Arial"/>
          <w:b/>
          <w:bCs/>
          <w:sz w:val="20"/>
          <w:szCs w:val="20"/>
          <w:rtl/>
        </w:rPr>
        <w:t xml:space="preserve">ד. </w:t>
      </w:r>
      <w:r w:rsidRPr="00E82C32">
        <w:rPr>
          <w:rFonts w:ascii="Arial" w:hAnsi="Arial" w:cs="Arial"/>
          <w:b/>
          <w:bCs/>
          <w:i/>
          <w:iCs/>
          <w:sz w:val="20"/>
          <w:szCs w:val="20"/>
          <w:rtl/>
        </w:rPr>
        <w:t>נתונה לבתי המשפט סמכות לביקורת שיפוטית חוקתית</w:t>
      </w:r>
      <w:r w:rsidRPr="00E82C32">
        <w:rPr>
          <w:rFonts w:ascii="Arial" w:hAnsi="Arial" w:cs="Arial"/>
          <w:b/>
          <w:bCs/>
          <w:sz w:val="20"/>
          <w:szCs w:val="20"/>
          <w:rtl/>
        </w:rPr>
        <w:t>.</w:t>
      </w:r>
    </w:p>
    <w:p w:rsidR="005366A8" w:rsidRPr="00E82C32" w:rsidRDefault="005366A8" w:rsidP="005366A8">
      <w:pPr>
        <w:pStyle w:val="Heading2"/>
        <w:rPr>
          <w:rFonts w:ascii="Arial" w:hAnsi="Arial" w:cs="Arial"/>
          <w:sz w:val="20"/>
          <w:szCs w:val="20"/>
          <w:rtl/>
        </w:rPr>
      </w:pPr>
      <w:r w:rsidRPr="00E82C32">
        <w:rPr>
          <w:rFonts w:ascii="Arial" w:hAnsi="Arial" w:cs="Arial"/>
          <w:sz w:val="20"/>
          <w:szCs w:val="20"/>
          <w:rtl/>
        </w:rPr>
        <w:t>ה. נפתחת בצורה יותר מפורשת האפשרות לביקורת מטא-טקסטואלית של בית המשפט על הכרעות הכנסת, ואף על אלו מהן שהיא מקבלת או מציגה כמקבלת מכוח סמכותה המכוננת.  אפשרות זו לא נקבעה באופן חד (נותרה בצריך עיון), ואם תופעל ודאי תהיה נדירה ביותר, ותחול ככל הנראה רק כנגד פגיעה קשה ממש באושיותיה של מדינת ישראל כמדינה "יהודית ודמוקרטית".</w:t>
      </w:r>
    </w:p>
    <w:p w:rsidR="005366A8" w:rsidRDefault="005366A8" w:rsidP="005366A8">
      <w:pPr>
        <w:rPr>
          <w:sz w:val="20"/>
          <w:szCs w:val="20"/>
          <w:rtl/>
        </w:rPr>
      </w:pPr>
    </w:p>
    <w:p w:rsidR="005366A8" w:rsidRDefault="005366A8" w:rsidP="005366A8">
      <w:pPr>
        <w:spacing w:after="60"/>
        <w:rPr>
          <w:b/>
          <w:bCs/>
          <w:highlight w:val="yellow"/>
          <w:rtl/>
        </w:rPr>
      </w:pPr>
      <w:r>
        <w:rPr>
          <w:rFonts w:hint="cs"/>
          <w:b/>
          <w:bCs/>
          <w:highlight w:val="yellow"/>
          <w:rtl/>
        </w:rPr>
        <w:t>=-=</w:t>
      </w:r>
    </w:p>
    <w:p w:rsidR="005366A8" w:rsidRDefault="005366A8" w:rsidP="005366A8">
      <w:pPr>
        <w:spacing w:after="60"/>
        <w:rPr>
          <w:b/>
          <w:bCs/>
          <w:highlight w:val="yellow"/>
          <w:rtl/>
        </w:rPr>
      </w:pPr>
    </w:p>
    <w:p w:rsidR="005366A8" w:rsidRPr="00C01008" w:rsidRDefault="005366A8" w:rsidP="005366A8">
      <w:pPr>
        <w:spacing w:after="60"/>
        <w:rPr>
          <w:rFonts w:ascii="Arial" w:hAnsi="Arial" w:cs="Arial"/>
          <w:sz w:val="18"/>
          <w:szCs w:val="18"/>
        </w:rPr>
      </w:pPr>
      <w:r w:rsidRPr="00C01008">
        <w:rPr>
          <w:rFonts w:ascii="Arial" w:hAnsi="Arial" w:cs="Arial"/>
          <w:b/>
          <w:bCs/>
          <w:sz w:val="18"/>
          <w:szCs w:val="18"/>
          <w:highlight w:val="yellow"/>
          <w:u w:val="single"/>
          <w:rtl/>
        </w:rPr>
        <w:t>לפגישה ה</w:t>
      </w:r>
      <w:r>
        <w:rPr>
          <w:rFonts w:ascii="Arial" w:hAnsi="Arial" w:cs="Arial" w:hint="cs"/>
          <w:b/>
          <w:bCs/>
          <w:sz w:val="18"/>
          <w:szCs w:val="18"/>
          <w:highlight w:val="yellow"/>
          <w:u w:val="single"/>
          <w:rtl/>
        </w:rPr>
        <w:t>קרובה</w:t>
      </w:r>
      <w:r w:rsidRPr="00C01008">
        <w:rPr>
          <w:rFonts w:ascii="Arial" w:hAnsi="Arial" w:cs="Arial"/>
          <w:b/>
          <w:bCs/>
          <w:sz w:val="18"/>
          <w:szCs w:val="18"/>
          <w:highlight w:val="yellow"/>
          <w:u w:val="single"/>
          <w:rtl/>
        </w:rPr>
        <w:t>:</w:t>
      </w:r>
      <w:r w:rsidRPr="00C01008">
        <w:rPr>
          <w:rFonts w:ascii="Arial" w:hAnsi="Arial" w:cs="Arial"/>
          <w:b/>
          <w:bCs/>
          <w:sz w:val="18"/>
          <w:szCs w:val="18"/>
          <w:u w:val="single"/>
          <w:rtl/>
        </w:rPr>
        <w:t xml:space="preserve"> </w:t>
      </w:r>
    </w:p>
    <w:p w:rsidR="005366A8" w:rsidRPr="00215C82" w:rsidRDefault="005366A8" w:rsidP="005366A8">
      <w:pPr>
        <w:spacing w:after="60"/>
        <w:rPr>
          <w:rFonts w:ascii="Arial" w:hAnsi="Arial" w:cs="Arial"/>
          <w:sz w:val="18"/>
          <w:szCs w:val="18"/>
          <w:highlight w:val="yellow"/>
          <w:rtl/>
        </w:rPr>
      </w:pPr>
      <w:r w:rsidRPr="00215C82">
        <w:rPr>
          <w:rFonts w:ascii="Arial" w:hAnsi="Arial" w:cs="Arial"/>
          <w:sz w:val="18"/>
          <w:szCs w:val="18"/>
          <w:highlight w:val="yellow"/>
          <w:rtl/>
        </w:rPr>
        <w:t xml:space="preserve">קראו את ע"א 6821/93 </w:t>
      </w:r>
      <w:r w:rsidRPr="00215C82">
        <w:rPr>
          <w:rFonts w:ascii="Arial" w:hAnsi="Arial" w:cs="Arial"/>
          <w:b/>
          <w:bCs/>
          <w:sz w:val="18"/>
          <w:szCs w:val="18"/>
          <w:highlight w:val="yellow"/>
          <w:rtl/>
        </w:rPr>
        <w:t>בנק המזרחי המאוחד נ' מגדל כפר שיתופי</w:t>
      </w:r>
      <w:r w:rsidRPr="00215C82">
        <w:rPr>
          <w:rFonts w:ascii="Arial" w:hAnsi="Arial" w:cs="Arial"/>
          <w:sz w:val="18"/>
          <w:szCs w:val="18"/>
          <w:highlight w:val="yellow"/>
          <w:rtl/>
        </w:rPr>
        <w:t xml:space="preserve">, פ"ד מט(4) 221, 415-352 (פסק דינו של הנשיא ברק, סע' 50-1, וכן סע' 59 עד 63, 66 ו-67; וכן סעיף 8 לפסק הדין של השופט בך) (1995). </w:t>
      </w:r>
    </w:p>
    <w:p w:rsidR="005366A8" w:rsidRPr="00215C82" w:rsidRDefault="005366A8" w:rsidP="005366A8">
      <w:pPr>
        <w:spacing w:after="60"/>
        <w:rPr>
          <w:rFonts w:ascii="Arial" w:hAnsi="Arial" w:cs="Arial"/>
          <w:sz w:val="18"/>
          <w:szCs w:val="18"/>
          <w:highlight w:val="yellow"/>
          <w:rtl/>
        </w:rPr>
      </w:pPr>
      <w:r w:rsidRPr="00215C82">
        <w:rPr>
          <w:rFonts w:ascii="Arial" w:hAnsi="Arial" w:cs="Arial"/>
          <w:sz w:val="18"/>
          <w:szCs w:val="18"/>
          <w:highlight w:val="yellow"/>
          <w:rtl/>
        </w:rPr>
        <w:t xml:space="preserve">אנא נסו לזהות את הנימוקים שמשרטט הנשיא ברק בדרכו </w:t>
      </w:r>
      <w:r w:rsidRPr="00215C82">
        <w:rPr>
          <w:rFonts w:ascii="Arial" w:hAnsi="Arial" w:cs="Arial"/>
          <w:b/>
          <w:bCs/>
          <w:sz w:val="18"/>
          <w:szCs w:val="18"/>
          <w:highlight w:val="yellow"/>
          <w:rtl/>
        </w:rPr>
        <w:t>למציאת סמכות מכוננת בידי הכנסת</w:t>
      </w:r>
      <w:r w:rsidRPr="00215C82">
        <w:rPr>
          <w:rFonts w:ascii="Arial" w:hAnsi="Arial" w:cs="Arial"/>
          <w:sz w:val="18"/>
          <w:szCs w:val="18"/>
          <w:highlight w:val="yellow"/>
          <w:rtl/>
        </w:rPr>
        <w:t xml:space="preserve">. </w:t>
      </w:r>
    </w:p>
    <w:p w:rsidR="005366A8" w:rsidRPr="00215C82" w:rsidRDefault="005366A8" w:rsidP="005366A8">
      <w:pPr>
        <w:spacing w:after="60"/>
        <w:rPr>
          <w:rFonts w:ascii="Arial" w:hAnsi="Arial" w:cs="Arial"/>
          <w:sz w:val="18"/>
          <w:szCs w:val="18"/>
          <w:highlight w:val="yellow"/>
          <w:rtl/>
        </w:rPr>
      </w:pPr>
      <w:r w:rsidRPr="00215C82">
        <w:rPr>
          <w:rFonts w:ascii="Arial" w:hAnsi="Arial" w:cs="Arial"/>
          <w:sz w:val="18"/>
          <w:szCs w:val="18"/>
          <w:highlight w:val="yellow"/>
          <w:rtl/>
        </w:rPr>
        <w:t xml:space="preserve">אנא בחנו את האופן שבו </w:t>
      </w:r>
      <w:r w:rsidRPr="00215C82">
        <w:rPr>
          <w:rFonts w:ascii="Arial" w:hAnsi="Arial" w:cs="Arial" w:hint="cs"/>
          <w:sz w:val="18"/>
          <w:szCs w:val="18"/>
          <w:highlight w:val="yellow"/>
          <w:rtl/>
        </w:rPr>
        <w:t>מנסים שני השופטים לענות</w:t>
      </w:r>
      <w:r w:rsidRPr="00215C82">
        <w:rPr>
          <w:rFonts w:ascii="Arial" w:hAnsi="Arial" w:cs="Arial"/>
          <w:sz w:val="18"/>
          <w:szCs w:val="18"/>
          <w:highlight w:val="yellow"/>
          <w:rtl/>
        </w:rPr>
        <w:t xml:space="preserve"> לנימוקי</w:t>
      </w:r>
      <w:r w:rsidRPr="00215C82">
        <w:rPr>
          <w:rFonts w:ascii="Arial" w:hAnsi="Arial" w:cs="Arial" w:hint="cs"/>
          <w:sz w:val="18"/>
          <w:szCs w:val="18"/>
          <w:highlight w:val="yellow"/>
          <w:rtl/>
        </w:rPr>
        <w:t>ו</w:t>
      </w:r>
      <w:r w:rsidRPr="00215C82">
        <w:rPr>
          <w:rFonts w:ascii="Arial" w:hAnsi="Arial" w:cs="Arial"/>
          <w:sz w:val="18"/>
          <w:szCs w:val="18"/>
          <w:highlight w:val="yellow"/>
          <w:rtl/>
        </w:rPr>
        <w:t xml:space="preserve"> של שופט המיעוט, השופט חשין</w:t>
      </w:r>
      <w:r w:rsidRPr="00215C82">
        <w:rPr>
          <w:rFonts w:ascii="Arial" w:hAnsi="Arial" w:cs="Arial" w:hint="cs"/>
          <w:sz w:val="18"/>
          <w:szCs w:val="18"/>
          <w:highlight w:val="yellow"/>
          <w:rtl/>
        </w:rPr>
        <w:t>, המפורטים בעיקרם לעיל</w:t>
      </w:r>
      <w:r w:rsidRPr="00215C82">
        <w:rPr>
          <w:rFonts w:ascii="Arial" w:hAnsi="Arial" w:cs="Arial"/>
          <w:sz w:val="18"/>
          <w:szCs w:val="18"/>
          <w:highlight w:val="yellow"/>
          <w:rtl/>
        </w:rPr>
        <w:t>.</w:t>
      </w:r>
    </w:p>
    <w:p w:rsidR="005366A8" w:rsidRPr="008F2503" w:rsidRDefault="005366A8" w:rsidP="005366A8">
      <w:pPr>
        <w:rPr>
          <w:rFonts w:cs="David"/>
          <w:sz w:val="22"/>
          <w:szCs w:val="22"/>
          <w:rtl/>
        </w:rPr>
      </w:pPr>
      <w:r w:rsidRPr="00215C82">
        <w:rPr>
          <w:rFonts w:ascii="Arial" w:hAnsi="Arial" w:cs="Arial" w:hint="cs"/>
          <w:sz w:val="18"/>
          <w:szCs w:val="18"/>
          <w:highlight w:val="yellow"/>
          <w:rtl/>
        </w:rPr>
        <w:t xml:space="preserve">נדון בפגישה הקרובה גם בשאלה, מדוע חוקי היסוד החדשים גרמו </w:t>
      </w:r>
      <w:r w:rsidRPr="00215C82">
        <w:rPr>
          <w:rFonts w:ascii="Arial" w:hAnsi="Arial" w:cs="Arial"/>
          <w:sz w:val="18"/>
          <w:szCs w:val="18"/>
          <w:highlight w:val="yellow"/>
          <w:rtl/>
        </w:rPr>
        <w:t>–</w:t>
      </w:r>
      <w:r w:rsidRPr="00215C82">
        <w:rPr>
          <w:rFonts w:ascii="Arial" w:hAnsi="Arial" w:cs="Arial" w:hint="cs"/>
          <w:sz w:val="18"/>
          <w:szCs w:val="18"/>
          <w:highlight w:val="yellow"/>
          <w:rtl/>
        </w:rPr>
        <w:t xml:space="preserve"> משפטית </w:t>
      </w:r>
      <w:r w:rsidRPr="00215C82">
        <w:rPr>
          <w:rFonts w:ascii="Arial" w:hAnsi="Arial" w:cs="Arial"/>
          <w:sz w:val="18"/>
          <w:szCs w:val="18"/>
          <w:highlight w:val="yellow"/>
          <w:rtl/>
        </w:rPr>
        <w:t>–</w:t>
      </w:r>
      <w:r w:rsidRPr="00215C82">
        <w:rPr>
          <w:rFonts w:ascii="Arial" w:hAnsi="Arial" w:cs="Arial" w:hint="cs"/>
          <w:sz w:val="18"/>
          <w:szCs w:val="18"/>
          <w:highlight w:val="yellow"/>
          <w:rtl/>
        </w:rPr>
        <w:t xml:space="preserve"> דווקא הם "למהפכה החוקתית"?</w:t>
      </w:r>
      <w:r>
        <w:rPr>
          <w:rFonts w:ascii="Arial" w:hAnsi="Arial" w:cs="Arial" w:hint="cs"/>
          <w:sz w:val="18"/>
          <w:szCs w:val="18"/>
          <w:rtl/>
        </w:rPr>
        <w:t xml:space="preserve"> </w:t>
      </w:r>
    </w:p>
    <w:p w:rsidR="005366A8" w:rsidRDefault="005366A8" w:rsidP="005366A8">
      <w:pPr>
        <w:spacing w:after="60"/>
        <w:rPr>
          <w:b/>
          <w:bCs/>
          <w:highlight w:val="yellow"/>
          <w:rtl/>
        </w:rPr>
      </w:pPr>
    </w:p>
    <w:p w:rsidR="005366A8" w:rsidRDefault="005366A8">
      <w:pPr>
        <w:bidi w:val="0"/>
        <w:jc w:val="left"/>
        <w:rPr>
          <w:sz w:val="22"/>
          <w:szCs w:val="22"/>
          <w:rtl/>
        </w:rPr>
      </w:pPr>
      <w:r>
        <w:rPr>
          <w:sz w:val="22"/>
          <w:szCs w:val="22"/>
          <w:rtl/>
        </w:rPr>
        <w:br w:type="page"/>
      </w:r>
    </w:p>
    <w:p w:rsidR="005366A8" w:rsidRPr="001C6701" w:rsidRDefault="005366A8" w:rsidP="005366A8">
      <w:pPr>
        <w:spacing w:after="60"/>
        <w:jc w:val="right"/>
        <w:rPr>
          <w:sz w:val="22"/>
          <w:szCs w:val="22"/>
          <w:rtl/>
        </w:rPr>
      </w:pPr>
      <w:r w:rsidRPr="007F6E4F">
        <w:rPr>
          <w:rFonts w:hint="cs"/>
          <w:b/>
          <w:bCs/>
          <w:sz w:val="22"/>
          <w:szCs w:val="22"/>
          <w:rtl/>
        </w:rPr>
        <w:t>משפט ציבורי</w:t>
      </w:r>
      <w:r>
        <w:rPr>
          <w:rFonts w:hint="cs"/>
          <w:sz w:val="22"/>
          <w:szCs w:val="22"/>
          <w:rtl/>
        </w:rPr>
        <w:t xml:space="preserve">, </w:t>
      </w:r>
      <w:r w:rsidRPr="00C4131E">
        <w:rPr>
          <w:rFonts w:hint="cs"/>
          <w:i/>
          <w:iCs/>
          <w:sz w:val="22"/>
          <w:szCs w:val="22"/>
          <w:rtl/>
        </w:rPr>
        <w:t>תשע</w:t>
      </w:r>
      <w:r>
        <w:rPr>
          <w:rFonts w:hint="cs"/>
          <w:i/>
          <w:iCs/>
          <w:sz w:val="22"/>
          <w:szCs w:val="22"/>
          <w:rtl/>
        </w:rPr>
        <w:t>"ה</w:t>
      </w:r>
      <w:r>
        <w:rPr>
          <w:rFonts w:hint="cs"/>
          <w:sz w:val="22"/>
          <w:szCs w:val="22"/>
          <w:rtl/>
        </w:rPr>
        <w:t xml:space="preserve">, </w:t>
      </w:r>
      <w:r w:rsidRPr="007F6E4F">
        <w:rPr>
          <w:rFonts w:hint="cs"/>
          <w:b/>
          <w:bCs/>
          <w:sz w:val="22"/>
          <w:szCs w:val="22"/>
          <w:rtl/>
        </w:rPr>
        <w:t>סמסטר א',</w:t>
      </w:r>
      <w:r>
        <w:rPr>
          <w:rFonts w:hint="cs"/>
          <w:sz w:val="22"/>
          <w:szCs w:val="22"/>
          <w:rtl/>
        </w:rPr>
        <w:t xml:space="preserve"> ד"ר אילן סבן, נובמבר 2014, </w:t>
      </w:r>
      <w:r w:rsidRPr="005366A8">
        <w:rPr>
          <w:rFonts w:hint="cs"/>
          <w:b/>
          <w:bCs/>
          <w:i/>
          <w:iCs/>
          <w:sz w:val="22"/>
          <w:szCs w:val="22"/>
          <w:highlight w:val="magenta"/>
          <w:u w:val="single"/>
          <w:rtl/>
        </w:rPr>
        <w:t>פגישה 10</w:t>
      </w:r>
    </w:p>
    <w:p w:rsidR="005366A8" w:rsidRDefault="005366A8" w:rsidP="005366A8">
      <w:pPr>
        <w:pStyle w:val="T-body"/>
        <w:spacing w:after="60" w:line="240" w:lineRule="auto"/>
        <w:jc w:val="left"/>
        <w:rPr>
          <w:rFonts w:ascii="Arial" w:hAnsi="Arial" w:cs="Guttman-Soncino"/>
          <w:sz w:val="22"/>
          <w:szCs w:val="22"/>
          <w:highlight w:val="yellow"/>
          <w:rtl/>
        </w:rPr>
      </w:pPr>
      <w:r>
        <w:rPr>
          <w:rFonts w:ascii="Arial" w:hAnsi="Arial" w:cs="Guttman-Soncino" w:hint="cs"/>
          <w:sz w:val="22"/>
          <w:szCs w:val="22"/>
          <w:highlight w:val="yellow"/>
          <w:rtl/>
        </w:rPr>
        <w:t>בשולי אירועים של הימים הללו</w:t>
      </w:r>
    </w:p>
    <w:p w:rsidR="005366A8" w:rsidRDefault="005366A8" w:rsidP="005366A8">
      <w:pPr>
        <w:pStyle w:val="T-body"/>
        <w:spacing w:after="120" w:line="240" w:lineRule="auto"/>
        <w:jc w:val="left"/>
        <w:rPr>
          <w:rFonts w:asciiTheme="majorBidi" w:hAnsiTheme="majorBidi" w:cstheme="majorBidi"/>
          <w:sz w:val="22"/>
          <w:szCs w:val="22"/>
          <w:highlight w:val="yellow"/>
          <w:rtl/>
        </w:rPr>
      </w:pPr>
      <w:r w:rsidRPr="00B66316">
        <w:rPr>
          <w:rFonts w:asciiTheme="majorBidi" w:hAnsiTheme="majorBidi" w:cs="David" w:hint="cs"/>
          <w:b/>
          <w:bCs/>
          <w:sz w:val="22"/>
          <w:szCs w:val="22"/>
          <w:highlight w:val="yellow"/>
          <w:u w:val="single"/>
          <w:rtl/>
        </w:rPr>
        <w:t>הצעת</w:t>
      </w:r>
      <w:r w:rsidRPr="00B66316">
        <w:rPr>
          <w:rFonts w:asciiTheme="majorBidi" w:hAnsiTheme="majorBidi" w:cs="David" w:hint="cs"/>
          <w:b/>
          <w:bCs/>
          <w:sz w:val="22"/>
          <w:szCs w:val="22"/>
          <w:highlight w:val="yellow"/>
          <w:rtl/>
        </w:rPr>
        <w:t xml:space="preserve"> חוק יסוד: ישראל – מדינת הלאום של העם היהודי</w:t>
      </w:r>
      <w:r>
        <w:rPr>
          <w:rFonts w:asciiTheme="majorBidi" w:hAnsiTheme="majorBidi" w:cstheme="majorBidi" w:hint="cs"/>
          <w:sz w:val="22"/>
          <w:szCs w:val="22"/>
          <w:highlight w:val="yellow"/>
          <w:rtl/>
        </w:rPr>
        <w:t xml:space="preserve"> (המכונה בשיח הציבורי: "חוק הלאום")</w:t>
      </w:r>
    </w:p>
    <w:p w:rsidR="005366A8" w:rsidRDefault="005366A8" w:rsidP="005366A8">
      <w:pPr>
        <w:pStyle w:val="T-body"/>
        <w:spacing w:after="120" w:line="240" w:lineRule="auto"/>
        <w:jc w:val="left"/>
        <w:rPr>
          <w:rFonts w:asciiTheme="majorBidi" w:hAnsiTheme="majorBidi" w:cstheme="majorBidi"/>
          <w:i/>
          <w:iCs/>
          <w:sz w:val="22"/>
          <w:szCs w:val="22"/>
          <w:highlight w:val="yellow"/>
          <w:rtl/>
        </w:rPr>
      </w:pPr>
      <w:r w:rsidRPr="00133F07">
        <w:rPr>
          <w:rFonts w:asciiTheme="majorBidi" w:hAnsiTheme="majorBidi" w:cstheme="majorBidi" w:hint="cs"/>
          <w:i/>
          <w:iCs/>
          <w:sz w:val="22"/>
          <w:szCs w:val="22"/>
          <w:highlight w:val="yellow"/>
          <w:rtl/>
        </w:rPr>
        <w:t xml:space="preserve">לא נדון בה </w:t>
      </w:r>
      <w:r w:rsidRPr="00133F07">
        <w:rPr>
          <w:rFonts w:asciiTheme="majorBidi" w:hAnsiTheme="majorBidi" w:cstheme="majorBidi" w:hint="cs"/>
          <w:i/>
          <w:iCs/>
          <w:sz w:val="22"/>
          <w:szCs w:val="22"/>
          <w:highlight w:val="yellow"/>
          <w:u w:val="single"/>
          <w:rtl/>
        </w:rPr>
        <w:t>לגופה</w:t>
      </w:r>
      <w:r w:rsidRPr="00133F07">
        <w:rPr>
          <w:rFonts w:asciiTheme="majorBidi" w:hAnsiTheme="majorBidi" w:cstheme="majorBidi" w:hint="cs"/>
          <w:i/>
          <w:iCs/>
          <w:sz w:val="22"/>
          <w:szCs w:val="22"/>
          <w:highlight w:val="yellow"/>
          <w:rtl/>
        </w:rPr>
        <w:t xml:space="preserve"> בעת הזו. נדחה זאת למועד הראוי על פי הסילבוס</w:t>
      </w:r>
    </w:p>
    <w:p w:rsidR="005366A8" w:rsidRPr="00133F07" w:rsidRDefault="005366A8" w:rsidP="005366A8">
      <w:pPr>
        <w:pStyle w:val="T-body"/>
        <w:spacing w:after="120" w:line="240" w:lineRule="auto"/>
        <w:jc w:val="left"/>
        <w:rPr>
          <w:rFonts w:asciiTheme="majorBidi" w:hAnsiTheme="majorBidi" w:cstheme="majorBidi"/>
          <w:i/>
          <w:iCs/>
          <w:sz w:val="22"/>
          <w:szCs w:val="22"/>
          <w:highlight w:val="yellow"/>
          <w:rtl/>
        </w:rPr>
      </w:pPr>
      <w:r>
        <w:rPr>
          <w:rFonts w:asciiTheme="majorBidi" w:hAnsiTheme="majorBidi" w:cstheme="majorBidi" w:hint="cs"/>
          <w:i/>
          <w:iCs/>
          <w:sz w:val="22"/>
          <w:szCs w:val="22"/>
          <w:highlight w:val="yellow"/>
          <w:rtl/>
        </w:rPr>
        <w:t>להלן נקודות פרוצדוראליות שונות המלוות את קבלתה וקבלות הצעות אחרות לתיקוני חקיקה או תיקונים בחוקי יסוד:</w:t>
      </w:r>
    </w:p>
    <w:p w:rsidR="005366A8" w:rsidRDefault="005366A8" w:rsidP="005366A8">
      <w:pPr>
        <w:pStyle w:val="T-body"/>
        <w:spacing w:after="60" w:line="240" w:lineRule="auto"/>
        <w:ind w:left="720"/>
        <w:jc w:val="left"/>
        <w:rPr>
          <w:rFonts w:asciiTheme="majorBidi" w:hAnsiTheme="majorBidi" w:cstheme="majorBidi"/>
          <w:sz w:val="22"/>
          <w:szCs w:val="22"/>
          <w:highlight w:val="yellow"/>
          <w:rtl/>
        </w:rPr>
      </w:pPr>
      <w:r>
        <w:rPr>
          <w:rFonts w:asciiTheme="majorBidi" w:hAnsiTheme="majorBidi" w:cstheme="majorBidi" w:hint="cs"/>
          <w:sz w:val="22"/>
          <w:szCs w:val="22"/>
          <w:highlight w:val="yellow"/>
          <w:rtl/>
        </w:rPr>
        <w:t>הצעת חוק פרטית</w:t>
      </w:r>
    </w:p>
    <w:p w:rsidR="005366A8" w:rsidRDefault="005366A8" w:rsidP="005366A8">
      <w:pPr>
        <w:pStyle w:val="T-body"/>
        <w:spacing w:after="60" w:line="240" w:lineRule="auto"/>
        <w:ind w:left="1440"/>
        <w:jc w:val="left"/>
        <w:rPr>
          <w:rFonts w:asciiTheme="majorBidi" w:hAnsiTheme="majorBidi" w:cstheme="majorBidi"/>
          <w:sz w:val="22"/>
          <w:szCs w:val="22"/>
          <w:highlight w:val="yellow"/>
          <w:rtl/>
        </w:rPr>
      </w:pPr>
      <w:r>
        <w:rPr>
          <w:rFonts w:asciiTheme="majorBidi" w:hAnsiTheme="majorBidi" w:cstheme="majorBidi" w:hint="cs"/>
          <w:sz w:val="22"/>
          <w:szCs w:val="22"/>
          <w:highlight w:val="yellow"/>
          <w:rtl/>
        </w:rPr>
        <w:t>הנחה על שולחן הכנסת</w:t>
      </w:r>
    </w:p>
    <w:p w:rsidR="005366A8" w:rsidRDefault="005366A8" w:rsidP="005366A8">
      <w:pPr>
        <w:pStyle w:val="T-body"/>
        <w:spacing w:after="60" w:line="240" w:lineRule="auto"/>
        <w:ind w:left="1440"/>
        <w:jc w:val="left"/>
        <w:rPr>
          <w:rFonts w:asciiTheme="majorBidi" w:hAnsiTheme="majorBidi" w:cstheme="majorBidi"/>
          <w:sz w:val="22"/>
          <w:szCs w:val="22"/>
          <w:highlight w:val="yellow"/>
          <w:rtl/>
        </w:rPr>
      </w:pPr>
      <w:r>
        <w:rPr>
          <w:rFonts w:asciiTheme="majorBidi" w:hAnsiTheme="majorBidi" w:cstheme="majorBidi" w:hint="cs"/>
          <w:sz w:val="22"/>
          <w:szCs w:val="22"/>
          <w:highlight w:val="yellow"/>
          <w:rtl/>
        </w:rPr>
        <w:t>סמכות, במצבים חריגים, לנשיאות הכנסת לפסול את ההצעה</w:t>
      </w:r>
    </w:p>
    <w:p w:rsidR="005366A8" w:rsidRDefault="005366A8" w:rsidP="005366A8">
      <w:pPr>
        <w:pStyle w:val="T-body"/>
        <w:spacing w:after="60" w:line="240" w:lineRule="auto"/>
        <w:ind w:left="1440"/>
        <w:jc w:val="left"/>
        <w:rPr>
          <w:rFonts w:asciiTheme="majorBidi" w:hAnsiTheme="majorBidi" w:cstheme="majorBidi"/>
          <w:sz w:val="22"/>
          <w:szCs w:val="22"/>
          <w:highlight w:val="yellow"/>
          <w:rtl/>
        </w:rPr>
      </w:pPr>
      <w:r>
        <w:rPr>
          <w:rFonts w:asciiTheme="majorBidi" w:hAnsiTheme="majorBidi" w:cstheme="majorBidi" w:hint="cs"/>
          <w:sz w:val="22"/>
          <w:szCs w:val="22"/>
          <w:highlight w:val="yellow"/>
          <w:rtl/>
        </w:rPr>
        <w:t>קריאה טרומית +</w:t>
      </w:r>
    </w:p>
    <w:p w:rsidR="005366A8" w:rsidRDefault="005366A8" w:rsidP="005366A8">
      <w:pPr>
        <w:pStyle w:val="T-body"/>
        <w:spacing w:after="60" w:line="240" w:lineRule="auto"/>
        <w:ind w:left="1440"/>
        <w:jc w:val="left"/>
        <w:rPr>
          <w:rFonts w:asciiTheme="majorBidi" w:hAnsiTheme="majorBidi" w:cstheme="majorBidi"/>
          <w:sz w:val="22"/>
          <w:szCs w:val="22"/>
          <w:highlight w:val="yellow"/>
          <w:rtl/>
        </w:rPr>
      </w:pPr>
      <w:r>
        <w:rPr>
          <w:rFonts w:asciiTheme="majorBidi" w:hAnsiTheme="majorBidi" w:cstheme="majorBidi" w:hint="cs"/>
          <w:sz w:val="22"/>
          <w:szCs w:val="22"/>
          <w:highlight w:val="yellow"/>
          <w:rtl/>
        </w:rPr>
        <w:t>שלושת הקריאות</w:t>
      </w:r>
    </w:p>
    <w:p w:rsidR="005366A8" w:rsidRDefault="005366A8" w:rsidP="005366A8">
      <w:pPr>
        <w:pStyle w:val="T-body"/>
        <w:spacing w:after="60" w:line="240" w:lineRule="auto"/>
        <w:ind w:left="1440"/>
        <w:jc w:val="left"/>
        <w:rPr>
          <w:rFonts w:asciiTheme="majorBidi" w:hAnsiTheme="majorBidi" w:cstheme="majorBidi"/>
          <w:sz w:val="22"/>
          <w:szCs w:val="22"/>
          <w:highlight w:val="yellow"/>
          <w:rtl/>
        </w:rPr>
      </w:pPr>
      <w:r>
        <w:rPr>
          <w:rFonts w:asciiTheme="majorBidi" w:hAnsiTheme="majorBidi" w:cstheme="majorBidi" w:hint="cs"/>
          <w:sz w:val="22"/>
          <w:szCs w:val="22"/>
          <w:highlight w:val="yellow"/>
          <w:rtl/>
        </w:rPr>
        <w:t>פרסום ברשומות</w:t>
      </w:r>
    </w:p>
    <w:p w:rsidR="005366A8" w:rsidRDefault="005366A8" w:rsidP="005366A8">
      <w:pPr>
        <w:pStyle w:val="T-body"/>
        <w:spacing w:after="60" w:line="240" w:lineRule="auto"/>
        <w:ind w:left="720"/>
        <w:jc w:val="left"/>
        <w:rPr>
          <w:rFonts w:asciiTheme="majorBidi" w:hAnsiTheme="majorBidi" w:cstheme="majorBidi"/>
          <w:sz w:val="22"/>
          <w:szCs w:val="22"/>
          <w:highlight w:val="yellow"/>
          <w:rtl/>
        </w:rPr>
      </w:pPr>
      <w:r>
        <w:rPr>
          <w:rFonts w:asciiTheme="majorBidi" w:hAnsiTheme="majorBidi" w:cstheme="majorBidi" w:hint="cs"/>
          <w:sz w:val="22"/>
          <w:szCs w:val="22"/>
          <w:highlight w:val="yellow"/>
          <w:rtl/>
        </w:rPr>
        <w:t>הצעת חוק ממשלתית</w:t>
      </w:r>
    </w:p>
    <w:p w:rsidR="005366A8" w:rsidRDefault="005366A8" w:rsidP="005366A8">
      <w:pPr>
        <w:pStyle w:val="T-body"/>
        <w:spacing w:after="60" w:line="240" w:lineRule="auto"/>
        <w:ind w:left="1440"/>
        <w:jc w:val="left"/>
        <w:rPr>
          <w:rFonts w:asciiTheme="majorBidi" w:hAnsiTheme="majorBidi" w:cstheme="majorBidi"/>
          <w:sz w:val="22"/>
          <w:szCs w:val="22"/>
          <w:highlight w:val="yellow"/>
          <w:rtl/>
        </w:rPr>
      </w:pPr>
      <w:r>
        <w:rPr>
          <w:rFonts w:asciiTheme="majorBidi" w:hAnsiTheme="majorBidi" w:cstheme="majorBidi" w:hint="cs"/>
          <w:sz w:val="22"/>
          <w:szCs w:val="22"/>
          <w:highlight w:val="yellow"/>
          <w:rtl/>
        </w:rPr>
        <w:t>שלוש קריאות</w:t>
      </w:r>
    </w:p>
    <w:p w:rsidR="005366A8" w:rsidRDefault="005366A8" w:rsidP="005366A8">
      <w:pPr>
        <w:pStyle w:val="T-body"/>
        <w:spacing w:after="60" w:line="240" w:lineRule="auto"/>
        <w:ind w:left="1440"/>
        <w:jc w:val="left"/>
        <w:rPr>
          <w:rFonts w:asciiTheme="majorBidi" w:hAnsiTheme="majorBidi" w:cstheme="majorBidi"/>
          <w:sz w:val="22"/>
          <w:szCs w:val="22"/>
          <w:highlight w:val="yellow"/>
          <w:rtl/>
        </w:rPr>
      </w:pPr>
      <w:r>
        <w:rPr>
          <w:rFonts w:asciiTheme="majorBidi" w:hAnsiTheme="majorBidi" w:cstheme="majorBidi" w:hint="cs"/>
          <w:sz w:val="22"/>
          <w:szCs w:val="22"/>
          <w:highlight w:val="yellow"/>
          <w:rtl/>
        </w:rPr>
        <w:t>פרסום ברשומות</w:t>
      </w:r>
    </w:p>
    <w:p w:rsidR="005366A8" w:rsidRDefault="005366A8" w:rsidP="005366A8">
      <w:pPr>
        <w:pStyle w:val="T-body"/>
        <w:spacing w:after="60" w:line="240" w:lineRule="auto"/>
        <w:ind w:left="720"/>
        <w:jc w:val="left"/>
        <w:rPr>
          <w:rFonts w:asciiTheme="majorBidi" w:hAnsiTheme="majorBidi" w:cstheme="majorBidi"/>
          <w:sz w:val="22"/>
          <w:szCs w:val="22"/>
          <w:highlight w:val="yellow"/>
          <w:rtl/>
        </w:rPr>
      </w:pPr>
      <w:r>
        <w:rPr>
          <w:rFonts w:asciiTheme="majorBidi" w:hAnsiTheme="majorBidi" w:cstheme="majorBidi" w:hint="cs"/>
          <w:sz w:val="22"/>
          <w:szCs w:val="22"/>
          <w:highlight w:val="yellow"/>
          <w:rtl/>
        </w:rPr>
        <w:t>ועדת השרים לענייני חקיקה</w:t>
      </w:r>
    </w:p>
    <w:p w:rsidR="005366A8" w:rsidRDefault="005366A8" w:rsidP="005366A8">
      <w:pPr>
        <w:pStyle w:val="T-body"/>
        <w:spacing w:after="60" w:line="240" w:lineRule="auto"/>
        <w:ind w:left="1440"/>
        <w:jc w:val="left"/>
        <w:rPr>
          <w:rFonts w:asciiTheme="majorBidi" w:hAnsiTheme="majorBidi" w:cstheme="majorBidi"/>
          <w:sz w:val="22"/>
          <w:szCs w:val="22"/>
          <w:highlight w:val="yellow"/>
          <w:rtl/>
        </w:rPr>
      </w:pPr>
      <w:r>
        <w:rPr>
          <w:rFonts w:asciiTheme="majorBidi" w:hAnsiTheme="majorBidi" w:cstheme="majorBidi" w:hint="cs"/>
          <w:sz w:val="22"/>
          <w:szCs w:val="22"/>
          <w:highlight w:val="yellow"/>
          <w:rtl/>
        </w:rPr>
        <w:t>"משמעת קואליציונית"</w:t>
      </w:r>
    </w:p>
    <w:p w:rsidR="005366A8" w:rsidRDefault="005366A8" w:rsidP="005366A8">
      <w:pPr>
        <w:pStyle w:val="T-body"/>
        <w:spacing w:after="60" w:line="240" w:lineRule="auto"/>
        <w:ind w:left="720"/>
        <w:jc w:val="left"/>
        <w:rPr>
          <w:rFonts w:asciiTheme="majorBidi" w:hAnsiTheme="majorBidi" w:cstheme="majorBidi"/>
          <w:sz w:val="22"/>
          <w:szCs w:val="22"/>
          <w:highlight w:val="yellow"/>
          <w:rtl/>
        </w:rPr>
      </w:pPr>
      <w:r>
        <w:rPr>
          <w:rFonts w:asciiTheme="majorBidi" w:hAnsiTheme="majorBidi" w:cstheme="majorBidi" w:hint="cs"/>
          <w:sz w:val="22"/>
          <w:szCs w:val="22"/>
          <w:highlight w:val="yellow"/>
          <w:rtl/>
        </w:rPr>
        <w:t>פעולה של שר בניגוד להחלטת הממשלה או ועדת השרים</w:t>
      </w:r>
    </w:p>
    <w:p w:rsidR="005366A8" w:rsidRDefault="005366A8" w:rsidP="005366A8">
      <w:pPr>
        <w:pStyle w:val="T-body"/>
        <w:spacing w:after="60" w:line="240" w:lineRule="auto"/>
        <w:ind w:left="1440"/>
        <w:jc w:val="left"/>
        <w:rPr>
          <w:rFonts w:asciiTheme="majorBidi" w:hAnsiTheme="majorBidi" w:cstheme="majorBidi"/>
          <w:sz w:val="22"/>
          <w:szCs w:val="22"/>
          <w:highlight w:val="yellow"/>
          <w:rtl/>
        </w:rPr>
      </w:pPr>
      <w:r>
        <w:rPr>
          <w:rFonts w:asciiTheme="majorBidi" w:hAnsiTheme="majorBidi" w:cstheme="majorBidi" w:hint="cs"/>
          <w:sz w:val="22"/>
          <w:szCs w:val="22"/>
          <w:highlight w:val="yellow"/>
          <w:rtl/>
        </w:rPr>
        <w:t>שקולה להצבעת "אי-אמון" בממשלה</w:t>
      </w:r>
    </w:p>
    <w:p w:rsidR="005366A8" w:rsidRDefault="005366A8" w:rsidP="005366A8">
      <w:pPr>
        <w:pStyle w:val="T-body"/>
        <w:spacing w:after="60" w:line="240" w:lineRule="auto"/>
        <w:ind w:left="1440"/>
        <w:jc w:val="left"/>
        <w:rPr>
          <w:rFonts w:asciiTheme="majorBidi" w:hAnsiTheme="majorBidi" w:cstheme="majorBidi"/>
          <w:sz w:val="22"/>
          <w:szCs w:val="22"/>
          <w:highlight w:val="yellow"/>
          <w:rtl/>
        </w:rPr>
      </w:pPr>
      <w:r>
        <w:rPr>
          <w:rFonts w:asciiTheme="majorBidi" w:hAnsiTheme="majorBidi" w:cstheme="majorBidi" w:hint="cs"/>
          <w:sz w:val="22"/>
          <w:szCs w:val="22"/>
          <w:highlight w:val="yellow"/>
          <w:rtl/>
        </w:rPr>
        <w:t>האפשרות לפיטורי שר על ידי ראש הממשלה</w:t>
      </w:r>
    </w:p>
    <w:p w:rsidR="005366A8" w:rsidRDefault="005366A8" w:rsidP="005366A8">
      <w:pPr>
        <w:pStyle w:val="T-body"/>
        <w:spacing w:after="60" w:line="240" w:lineRule="auto"/>
        <w:jc w:val="left"/>
        <w:rPr>
          <w:rFonts w:asciiTheme="majorBidi" w:hAnsiTheme="majorBidi" w:cstheme="majorBidi"/>
          <w:sz w:val="22"/>
          <w:szCs w:val="22"/>
          <w:highlight w:val="yellow"/>
          <w:rtl/>
        </w:rPr>
      </w:pPr>
      <w:r>
        <w:rPr>
          <w:rFonts w:asciiTheme="majorBidi" w:hAnsiTheme="majorBidi" w:cstheme="majorBidi" w:hint="cs"/>
          <w:sz w:val="22"/>
          <w:szCs w:val="22"/>
          <w:highlight w:val="yellow"/>
          <w:rtl/>
        </w:rPr>
        <w:t>=-=</w:t>
      </w:r>
    </w:p>
    <w:p w:rsidR="005366A8" w:rsidRPr="00B66316" w:rsidRDefault="005366A8" w:rsidP="005366A8">
      <w:pPr>
        <w:pStyle w:val="T-body"/>
        <w:spacing w:after="60" w:line="240" w:lineRule="auto"/>
        <w:jc w:val="left"/>
        <w:rPr>
          <w:rFonts w:asciiTheme="majorBidi" w:hAnsiTheme="majorBidi" w:cstheme="majorBidi"/>
          <w:sz w:val="22"/>
          <w:szCs w:val="22"/>
          <w:highlight w:val="yellow"/>
          <w:rtl/>
        </w:rPr>
      </w:pPr>
    </w:p>
    <w:p w:rsidR="005366A8" w:rsidRDefault="005366A8" w:rsidP="005366A8">
      <w:pPr>
        <w:pStyle w:val="T-body"/>
        <w:spacing w:after="60" w:line="240" w:lineRule="auto"/>
        <w:jc w:val="center"/>
        <w:rPr>
          <w:rFonts w:ascii="Arial" w:hAnsi="Arial" w:cs="Guttman-Soncino"/>
          <w:b/>
          <w:bCs/>
          <w:sz w:val="32"/>
          <w:szCs w:val="32"/>
          <w:rtl/>
        </w:rPr>
      </w:pPr>
      <w:r w:rsidRPr="003A47CF">
        <w:rPr>
          <w:rFonts w:ascii="Arial" w:hAnsi="Arial" w:cs="Guttman-Soncino" w:hint="cs"/>
          <w:b/>
          <w:bCs/>
          <w:sz w:val="32"/>
          <w:szCs w:val="32"/>
          <w:highlight w:val="yellow"/>
          <w:rtl/>
        </w:rPr>
        <w:t>החוקה הפורמאלית</w:t>
      </w:r>
      <w:r>
        <w:rPr>
          <w:rFonts w:ascii="Arial" w:hAnsi="Arial" w:cs="Guttman-Soncino" w:hint="cs"/>
          <w:b/>
          <w:bCs/>
          <w:sz w:val="32"/>
          <w:szCs w:val="32"/>
          <w:highlight w:val="yellow"/>
          <w:rtl/>
        </w:rPr>
        <w:t xml:space="preserve"> של ישראל</w:t>
      </w:r>
      <w:r w:rsidRPr="003A47CF">
        <w:rPr>
          <w:rFonts w:ascii="Arial" w:hAnsi="Arial" w:cs="Guttman-Soncino" w:hint="cs"/>
          <w:b/>
          <w:bCs/>
          <w:sz w:val="32"/>
          <w:szCs w:val="32"/>
          <w:highlight w:val="yellow"/>
          <w:rtl/>
        </w:rPr>
        <w:t xml:space="preserve"> </w:t>
      </w:r>
      <w:r w:rsidRPr="003A47CF">
        <w:rPr>
          <w:rFonts w:ascii="Arial" w:hAnsi="Arial" w:cs="Guttman-Soncino"/>
          <w:b/>
          <w:bCs/>
          <w:sz w:val="32"/>
          <w:szCs w:val="32"/>
          <w:highlight w:val="yellow"/>
          <w:rtl/>
        </w:rPr>
        <w:t>–</w:t>
      </w:r>
      <w:r w:rsidRPr="003A47CF">
        <w:rPr>
          <w:rFonts w:ascii="Arial" w:hAnsi="Arial" w:cs="Guttman-Soncino" w:hint="cs"/>
          <w:b/>
          <w:bCs/>
          <w:sz w:val="32"/>
          <w:szCs w:val="32"/>
          <w:highlight w:val="yellow"/>
          <w:rtl/>
        </w:rPr>
        <w:t xml:space="preserve"> המשך</w:t>
      </w:r>
    </w:p>
    <w:p w:rsidR="005366A8" w:rsidRDefault="005366A8" w:rsidP="005366A8">
      <w:pPr>
        <w:spacing w:after="60"/>
        <w:rPr>
          <w:rFonts w:cs="Arial"/>
          <w:b/>
          <w:bCs/>
          <w:u w:val="single"/>
          <w:rtl/>
        </w:rPr>
      </w:pPr>
      <w:r w:rsidRPr="004517FE">
        <w:rPr>
          <w:rFonts w:cs="Arial" w:hint="cs"/>
          <w:b/>
          <w:bCs/>
          <w:highlight w:val="yellow"/>
          <w:u w:val="single"/>
          <w:rtl/>
        </w:rPr>
        <w:t xml:space="preserve">3. </w:t>
      </w:r>
      <w:r w:rsidRPr="004517FE">
        <w:rPr>
          <w:rFonts w:cs="Arial"/>
          <w:b/>
          <w:bCs/>
          <w:highlight w:val="yellow"/>
          <w:u w:val="single"/>
          <w:rtl/>
        </w:rPr>
        <w:t>מהם תכני</w:t>
      </w:r>
      <w:r w:rsidRPr="004517FE">
        <w:rPr>
          <w:rFonts w:cs="Arial" w:hint="cs"/>
          <w:b/>
          <w:bCs/>
          <w:highlight w:val="yellow"/>
          <w:u w:val="single"/>
          <w:rtl/>
        </w:rPr>
        <w:t xml:space="preserve"> </w:t>
      </w:r>
      <w:r w:rsidRPr="004517FE">
        <w:rPr>
          <w:rFonts w:cs="Arial"/>
          <w:b/>
          <w:bCs/>
          <w:highlight w:val="yellow"/>
          <w:u w:val="single"/>
          <w:rtl/>
        </w:rPr>
        <w:t>ה</w:t>
      </w:r>
      <w:r w:rsidRPr="004517FE">
        <w:rPr>
          <w:rFonts w:cs="Arial" w:hint="cs"/>
          <w:b/>
          <w:bCs/>
          <w:highlight w:val="yellow"/>
          <w:u w:val="single"/>
          <w:rtl/>
        </w:rPr>
        <w:t>חוקה</w:t>
      </w:r>
      <w:r w:rsidRPr="004517FE">
        <w:rPr>
          <w:rFonts w:cs="Arial"/>
          <w:b/>
          <w:bCs/>
          <w:highlight w:val="yellow"/>
          <w:u w:val="single"/>
          <w:rtl/>
        </w:rPr>
        <w:t>?</w:t>
      </w:r>
    </w:p>
    <w:p w:rsidR="005366A8" w:rsidRPr="004517FE" w:rsidRDefault="005366A8" w:rsidP="005366A8">
      <w:pPr>
        <w:spacing w:after="60"/>
        <w:rPr>
          <w:rFonts w:cs="Arial"/>
          <w:b/>
          <w:bCs/>
          <w:u w:val="single"/>
          <w:rtl/>
        </w:rPr>
      </w:pPr>
    </w:p>
    <w:p w:rsidR="005366A8" w:rsidRDefault="005366A8" w:rsidP="005366A8">
      <w:pPr>
        <w:pStyle w:val="kot"/>
        <w:spacing w:before="0" w:after="60"/>
        <w:jc w:val="left"/>
        <w:rPr>
          <w:rFonts w:cs="Arial"/>
          <w:sz w:val="20"/>
          <w:szCs w:val="20"/>
          <w:highlight w:val="yellow"/>
          <w:rtl/>
        </w:rPr>
      </w:pPr>
      <w:r>
        <w:rPr>
          <w:rFonts w:cs="Arial" w:hint="cs"/>
          <w:sz w:val="20"/>
          <w:szCs w:val="20"/>
          <w:highlight w:val="yellow"/>
          <w:rtl/>
        </w:rPr>
        <w:t>חוקי היסוד</w:t>
      </w:r>
    </w:p>
    <w:p w:rsidR="005366A8" w:rsidRPr="00720EDF" w:rsidRDefault="005366A8" w:rsidP="005366A8">
      <w:pPr>
        <w:tabs>
          <w:tab w:val="center" w:pos="5102"/>
        </w:tabs>
        <w:spacing w:after="60"/>
        <w:ind w:left="720"/>
        <w:rPr>
          <w:rFonts w:ascii="Arial" w:hAnsi="Arial" w:cs="David"/>
          <w:b/>
          <w:bCs/>
          <w:sz w:val="20"/>
          <w:szCs w:val="20"/>
          <w:u w:val="single"/>
          <w:rtl/>
        </w:rPr>
      </w:pPr>
      <w:r w:rsidRPr="000643DC">
        <w:rPr>
          <w:rFonts w:ascii="Arial" w:hAnsi="Arial" w:cs="Arial"/>
          <w:b/>
          <w:bCs/>
          <w:sz w:val="20"/>
          <w:szCs w:val="20"/>
          <w:u w:val="single"/>
          <w:rtl/>
        </w:rPr>
        <w:t>חוק יסוד: הכנסת</w:t>
      </w:r>
    </w:p>
    <w:p w:rsidR="005366A8" w:rsidRPr="00720EDF" w:rsidRDefault="005366A8" w:rsidP="005366A8">
      <w:pPr>
        <w:spacing w:after="60"/>
        <w:ind w:left="1440"/>
        <w:rPr>
          <w:rFonts w:cs="David"/>
          <w:b/>
          <w:bCs/>
          <w:sz w:val="20"/>
          <w:szCs w:val="20"/>
          <w:rtl/>
        </w:rPr>
      </w:pPr>
      <w:r w:rsidRPr="00720EDF">
        <w:rPr>
          <w:rFonts w:cs="David"/>
          <w:sz w:val="20"/>
          <w:szCs w:val="20"/>
          <w:rtl/>
        </w:rPr>
        <w:t xml:space="preserve">4. [שיטת הבחירות] </w:t>
      </w:r>
      <w:r w:rsidRPr="00720EDF">
        <w:rPr>
          <w:rFonts w:cs="David"/>
          <w:b/>
          <w:bCs/>
          <w:sz w:val="20"/>
          <w:szCs w:val="20"/>
          <w:rtl/>
        </w:rPr>
        <w:t xml:space="preserve">הכנסת תיבחר בבחירות כלליות, ארציות, ישירות, שוות, חשאיות ויחסיות, לפי חוק הבחירות לכנסת; </w:t>
      </w:r>
      <w:r w:rsidRPr="007B0CEE">
        <w:rPr>
          <w:rFonts w:cs="David"/>
          <w:b/>
          <w:bCs/>
          <w:sz w:val="20"/>
          <w:szCs w:val="20"/>
          <w:highlight w:val="yellow"/>
          <w:rtl/>
        </w:rPr>
        <w:t>אין לשנות סעיף זה, אלא ברוב של חברי הכנסת</w:t>
      </w:r>
      <w:r w:rsidRPr="00720EDF">
        <w:rPr>
          <w:rFonts w:cs="David"/>
          <w:b/>
          <w:bCs/>
          <w:sz w:val="20"/>
          <w:szCs w:val="20"/>
          <w:rtl/>
        </w:rPr>
        <w:t>.</w:t>
      </w:r>
    </w:p>
    <w:p w:rsidR="005366A8" w:rsidRPr="00720EDF" w:rsidRDefault="005366A8" w:rsidP="005366A8">
      <w:pPr>
        <w:pStyle w:val="BodyText2"/>
        <w:spacing w:after="60"/>
        <w:ind w:left="1440"/>
        <w:rPr>
          <w:rFonts w:cs="David"/>
          <w:sz w:val="20"/>
          <w:szCs w:val="20"/>
          <w:rtl/>
        </w:rPr>
      </w:pPr>
      <w:r w:rsidRPr="00720EDF">
        <w:rPr>
          <w:rFonts w:cs="David"/>
          <w:sz w:val="20"/>
          <w:szCs w:val="20"/>
          <w:rtl/>
        </w:rPr>
        <w:t xml:space="preserve">9א. </w:t>
      </w:r>
      <w:r w:rsidRPr="00720EDF">
        <w:rPr>
          <w:rFonts w:cs="David" w:hint="cs"/>
          <w:sz w:val="20"/>
          <w:szCs w:val="20"/>
          <w:rtl/>
        </w:rPr>
        <w:t>[</w:t>
      </w:r>
      <w:r w:rsidRPr="00720EDF">
        <w:rPr>
          <w:rFonts w:cs="David"/>
          <w:sz w:val="20"/>
          <w:szCs w:val="20"/>
          <w:rtl/>
        </w:rPr>
        <w:t>הארכת תקופת כהונה (תיקון: תשנ"ב)</w:t>
      </w:r>
      <w:r w:rsidRPr="00720EDF">
        <w:rPr>
          <w:rFonts w:cs="David" w:hint="cs"/>
          <w:sz w:val="20"/>
          <w:szCs w:val="20"/>
          <w:rtl/>
        </w:rPr>
        <w:t>]</w:t>
      </w:r>
      <w:r w:rsidRPr="00720EDF">
        <w:rPr>
          <w:rFonts w:cs="David"/>
          <w:sz w:val="20"/>
          <w:szCs w:val="20"/>
          <w:rtl/>
        </w:rPr>
        <w:t xml:space="preserve"> </w:t>
      </w:r>
      <w:r w:rsidRPr="00720EDF">
        <w:rPr>
          <w:rFonts w:cs="David"/>
          <w:b/>
          <w:bCs/>
          <w:sz w:val="20"/>
          <w:szCs w:val="20"/>
          <w:rtl/>
        </w:rPr>
        <w:t xml:space="preserve">(א) הכנסת לא תאריך את תקופת כהונתה </w:t>
      </w:r>
      <w:r w:rsidRPr="007B0CEE">
        <w:rPr>
          <w:rFonts w:cs="David"/>
          <w:b/>
          <w:bCs/>
          <w:sz w:val="20"/>
          <w:szCs w:val="20"/>
          <w:highlight w:val="yellow"/>
          <w:rtl/>
        </w:rPr>
        <w:t>אלא בחוק שנתקבל ברוב של שמונים חברי הכנסת ואם נתקיימו נסיבות מיוחדות המונעות עריכת בחירות בעיתן; תקופת ההארכה לא תעלה על הזמן המתחייב מהנסיבות האמורות</w:t>
      </w:r>
      <w:r w:rsidRPr="00720EDF">
        <w:rPr>
          <w:rFonts w:cs="David"/>
          <w:b/>
          <w:bCs/>
          <w:sz w:val="20"/>
          <w:szCs w:val="20"/>
          <w:rtl/>
        </w:rPr>
        <w:t>; בחוק כאמור ייקבע מועד הבחירות.</w:t>
      </w:r>
      <w:r w:rsidRPr="00720EDF">
        <w:rPr>
          <w:rFonts w:cs="David" w:hint="cs"/>
          <w:sz w:val="20"/>
          <w:szCs w:val="20"/>
          <w:rtl/>
        </w:rPr>
        <w:t xml:space="preserve"> [...]</w:t>
      </w:r>
    </w:p>
    <w:p w:rsidR="005366A8" w:rsidRDefault="005366A8" w:rsidP="005366A8">
      <w:pPr>
        <w:pStyle w:val="T-body"/>
        <w:spacing w:after="60" w:line="240" w:lineRule="auto"/>
        <w:rPr>
          <w:sz w:val="20"/>
          <w:szCs w:val="20"/>
          <w:rtl/>
        </w:rPr>
      </w:pPr>
    </w:p>
    <w:p w:rsidR="005366A8" w:rsidRPr="007B0CEE" w:rsidRDefault="005366A8" w:rsidP="005366A8">
      <w:pPr>
        <w:pStyle w:val="T-body"/>
        <w:spacing w:after="60" w:line="240" w:lineRule="auto"/>
        <w:ind w:left="720"/>
        <w:rPr>
          <w:rFonts w:ascii="Arial" w:hAnsi="Arial" w:cs="Arial"/>
          <w:b/>
          <w:bCs/>
          <w:sz w:val="20"/>
          <w:szCs w:val="20"/>
          <w:u w:val="single"/>
          <w:rtl/>
        </w:rPr>
      </w:pPr>
      <w:r w:rsidRPr="007B0CEE">
        <w:rPr>
          <w:rFonts w:ascii="Arial" w:hAnsi="Arial" w:cs="Arial"/>
          <w:b/>
          <w:bCs/>
          <w:sz w:val="20"/>
          <w:szCs w:val="20"/>
          <w:u w:val="single"/>
          <w:rtl/>
        </w:rPr>
        <w:t xml:space="preserve">חוק-יסוד: הממשלה, </w:t>
      </w:r>
    </w:p>
    <w:p w:rsidR="005366A8" w:rsidRPr="007B0CEE" w:rsidRDefault="005366A8" w:rsidP="005366A8">
      <w:pPr>
        <w:pStyle w:val="T-body"/>
        <w:spacing w:after="60" w:line="240" w:lineRule="auto"/>
        <w:ind w:left="720"/>
        <w:rPr>
          <w:rFonts w:ascii="Arial" w:hAnsi="Arial" w:cs="Arial"/>
          <w:b/>
          <w:bCs/>
          <w:sz w:val="20"/>
          <w:szCs w:val="20"/>
          <w:u w:val="single"/>
          <w:rtl/>
        </w:rPr>
      </w:pPr>
      <w:r w:rsidRPr="007B0CEE">
        <w:rPr>
          <w:rFonts w:ascii="Arial" w:hAnsi="Arial" w:cs="Arial"/>
          <w:b/>
          <w:bCs/>
          <w:sz w:val="20"/>
          <w:szCs w:val="20"/>
          <w:u w:val="single"/>
          <w:rtl/>
        </w:rPr>
        <w:t xml:space="preserve">חוק-יסוד: השפיטה, </w:t>
      </w:r>
    </w:p>
    <w:p w:rsidR="005366A8" w:rsidRPr="007B0CEE" w:rsidRDefault="005366A8" w:rsidP="005366A8">
      <w:pPr>
        <w:pStyle w:val="T-body"/>
        <w:spacing w:after="60" w:line="240" w:lineRule="auto"/>
        <w:ind w:left="720"/>
        <w:rPr>
          <w:rFonts w:ascii="Arial" w:hAnsi="Arial" w:cs="Arial"/>
          <w:b/>
          <w:bCs/>
          <w:sz w:val="20"/>
          <w:szCs w:val="20"/>
          <w:u w:val="single"/>
          <w:rtl/>
        </w:rPr>
      </w:pPr>
      <w:r w:rsidRPr="007B0CEE">
        <w:rPr>
          <w:rFonts w:ascii="Arial" w:hAnsi="Arial" w:cs="Arial"/>
          <w:b/>
          <w:bCs/>
          <w:sz w:val="20"/>
          <w:szCs w:val="20"/>
          <w:u w:val="single"/>
          <w:rtl/>
        </w:rPr>
        <w:t>חוק-יסוד: נשיא המדינה,</w:t>
      </w:r>
    </w:p>
    <w:p w:rsidR="005366A8" w:rsidRPr="007B0CEE" w:rsidRDefault="005366A8" w:rsidP="005366A8">
      <w:pPr>
        <w:pStyle w:val="T-body"/>
        <w:spacing w:after="60" w:line="240" w:lineRule="auto"/>
        <w:ind w:left="720"/>
        <w:rPr>
          <w:rFonts w:ascii="Arial" w:hAnsi="Arial" w:cs="Arial"/>
          <w:b/>
          <w:bCs/>
          <w:sz w:val="20"/>
          <w:szCs w:val="20"/>
          <w:u w:val="single"/>
          <w:rtl/>
        </w:rPr>
      </w:pPr>
      <w:r w:rsidRPr="007B0CEE">
        <w:rPr>
          <w:rFonts w:ascii="Arial" w:hAnsi="Arial" w:cs="Arial"/>
          <w:b/>
          <w:bCs/>
          <w:sz w:val="20"/>
          <w:szCs w:val="20"/>
          <w:u w:val="single"/>
          <w:rtl/>
        </w:rPr>
        <w:t>חוק-יסוד: הצבא,</w:t>
      </w:r>
    </w:p>
    <w:p w:rsidR="005366A8" w:rsidRPr="007B0CEE" w:rsidRDefault="005366A8" w:rsidP="005366A8">
      <w:pPr>
        <w:pStyle w:val="T-body"/>
        <w:spacing w:after="60" w:line="240" w:lineRule="auto"/>
        <w:ind w:left="720"/>
        <w:rPr>
          <w:rFonts w:ascii="Arial" w:hAnsi="Arial" w:cs="Arial"/>
          <w:b/>
          <w:bCs/>
          <w:sz w:val="20"/>
          <w:szCs w:val="20"/>
          <w:u w:val="single"/>
          <w:rtl/>
        </w:rPr>
      </w:pPr>
      <w:r w:rsidRPr="007B0CEE">
        <w:rPr>
          <w:rFonts w:ascii="Arial" w:hAnsi="Arial" w:cs="Arial"/>
          <w:b/>
          <w:bCs/>
          <w:sz w:val="20"/>
          <w:szCs w:val="20"/>
          <w:u w:val="single"/>
          <w:rtl/>
        </w:rPr>
        <w:t xml:space="preserve">חוק-יסוד: מבקר המדינה, </w:t>
      </w:r>
    </w:p>
    <w:p w:rsidR="005366A8" w:rsidRPr="007B0CEE" w:rsidRDefault="005366A8" w:rsidP="005366A8">
      <w:pPr>
        <w:pStyle w:val="T-body"/>
        <w:spacing w:after="60" w:line="240" w:lineRule="auto"/>
        <w:ind w:left="720"/>
        <w:rPr>
          <w:rFonts w:ascii="Arial" w:hAnsi="Arial" w:cs="Arial"/>
          <w:b/>
          <w:bCs/>
          <w:sz w:val="20"/>
          <w:szCs w:val="20"/>
          <w:u w:val="single"/>
          <w:rtl/>
        </w:rPr>
      </w:pPr>
      <w:r w:rsidRPr="007B0CEE">
        <w:rPr>
          <w:rFonts w:ascii="Arial" w:hAnsi="Arial" w:cs="Arial"/>
          <w:b/>
          <w:bCs/>
          <w:sz w:val="20"/>
          <w:szCs w:val="20"/>
          <w:u w:val="single"/>
          <w:rtl/>
        </w:rPr>
        <w:t xml:space="preserve">חוק-יסוד: ירושלים בירת ישראל, </w:t>
      </w:r>
    </w:p>
    <w:p w:rsidR="005366A8" w:rsidRPr="007B0CEE" w:rsidRDefault="005366A8" w:rsidP="005366A8">
      <w:pPr>
        <w:pStyle w:val="T-body"/>
        <w:spacing w:after="60" w:line="240" w:lineRule="auto"/>
        <w:ind w:left="720"/>
        <w:rPr>
          <w:rFonts w:ascii="Arial" w:hAnsi="Arial" w:cs="Arial"/>
          <w:b/>
          <w:bCs/>
          <w:sz w:val="20"/>
          <w:szCs w:val="20"/>
          <w:u w:val="single"/>
          <w:rtl/>
        </w:rPr>
      </w:pPr>
      <w:r w:rsidRPr="007B0CEE">
        <w:rPr>
          <w:rFonts w:ascii="Arial" w:hAnsi="Arial" w:cs="Arial"/>
          <w:b/>
          <w:bCs/>
          <w:sz w:val="20"/>
          <w:szCs w:val="20"/>
          <w:u w:val="single"/>
          <w:rtl/>
        </w:rPr>
        <w:t xml:space="preserve">חוק-יסוד: מקרקעי ישראל, </w:t>
      </w:r>
    </w:p>
    <w:p w:rsidR="005366A8" w:rsidRPr="007B0CEE" w:rsidRDefault="005366A8" w:rsidP="005366A8">
      <w:pPr>
        <w:pStyle w:val="T-body"/>
        <w:spacing w:after="60" w:line="240" w:lineRule="auto"/>
        <w:ind w:left="720"/>
        <w:rPr>
          <w:rFonts w:ascii="Arial" w:hAnsi="Arial" w:cs="Arial"/>
          <w:b/>
          <w:bCs/>
          <w:sz w:val="20"/>
          <w:szCs w:val="20"/>
          <w:u w:val="single"/>
          <w:rtl/>
        </w:rPr>
      </w:pPr>
      <w:r w:rsidRPr="007B0CEE">
        <w:rPr>
          <w:rFonts w:ascii="Arial" w:hAnsi="Arial" w:cs="Arial"/>
          <w:b/>
          <w:bCs/>
          <w:sz w:val="20"/>
          <w:szCs w:val="20"/>
          <w:u w:val="single"/>
          <w:rtl/>
        </w:rPr>
        <w:t xml:space="preserve">חוק-יסוד: משק המדינה, </w:t>
      </w:r>
    </w:p>
    <w:p w:rsidR="005366A8" w:rsidRDefault="005366A8" w:rsidP="005366A8">
      <w:pPr>
        <w:spacing w:after="60"/>
        <w:ind w:left="720"/>
        <w:rPr>
          <w:rFonts w:ascii="Arial" w:hAnsi="Arial" w:cs="Arial"/>
          <w:b/>
          <w:bCs/>
          <w:sz w:val="20"/>
          <w:szCs w:val="20"/>
          <w:u w:val="single"/>
          <w:rtl/>
        </w:rPr>
      </w:pPr>
      <w:r>
        <w:rPr>
          <w:rFonts w:ascii="Arial" w:hAnsi="Arial" w:cs="Arial" w:hint="cs"/>
          <w:b/>
          <w:bCs/>
          <w:sz w:val="20"/>
          <w:szCs w:val="20"/>
          <w:u w:val="single"/>
          <w:rtl/>
        </w:rPr>
        <w:t>חוק יסוד: חופש העיסוק,</w:t>
      </w:r>
    </w:p>
    <w:p w:rsidR="005366A8" w:rsidRDefault="005366A8" w:rsidP="005366A8">
      <w:pPr>
        <w:spacing w:after="60"/>
        <w:ind w:left="720"/>
        <w:rPr>
          <w:b/>
          <w:bCs/>
          <w:rtl/>
        </w:rPr>
      </w:pPr>
      <w:r w:rsidRPr="00720EDF">
        <w:rPr>
          <w:rFonts w:ascii="Arial" w:hAnsi="Arial" w:cs="Arial"/>
          <w:b/>
          <w:bCs/>
          <w:sz w:val="20"/>
          <w:szCs w:val="20"/>
          <w:u w:val="single"/>
          <w:rtl/>
        </w:rPr>
        <w:t>חוק יסוד: כבוד האדם וחירותו</w:t>
      </w:r>
      <w:r>
        <w:rPr>
          <w:rFonts w:ascii="Arial" w:hAnsi="Arial" w:cs="Arial" w:hint="cs"/>
          <w:b/>
          <w:bCs/>
          <w:sz w:val="20"/>
          <w:szCs w:val="20"/>
          <w:u w:val="single"/>
          <w:rtl/>
        </w:rPr>
        <w:t>,</w:t>
      </w:r>
    </w:p>
    <w:p w:rsidR="005366A8" w:rsidRDefault="005366A8" w:rsidP="005366A8">
      <w:pPr>
        <w:pStyle w:val="T-body"/>
        <w:spacing w:after="60" w:line="240" w:lineRule="auto"/>
        <w:ind w:left="720"/>
        <w:rPr>
          <w:rFonts w:ascii="Arial" w:hAnsi="Arial" w:cs="Arial"/>
          <w:b/>
          <w:bCs/>
          <w:sz w:val="20"/>
          <w:szCs w:val="20"/>
          <w:rtl/>
        </w:rPr>
      </w:pPr>
      <w:r w:rsidRPr="007B0CEE">
        <w:rPr>
          <w:rFonts w:ascii="Arial" w:hAnsi="Arial" w:cs="Arial"/>
          <w:b/>
          <w:bCs/>
          <w:sz w:val="20"/>
          <w:szCs w:val="20"/>
          <w:u w:val="single"/>
          <w:rtl/>
        </w:rPr>
        <w:t>חוק יסוד: תקציב המדינה (הוראות מיוחדות) (הוראת שעה)</w:t>
      </w:r>
    </w:p>
    <w:p w:rsidR="005366A8" w:rsidRPr="00BA10FA" w:rsidRDefault="005366A8" w:rsidP="005366A8">
      <w:pPr>
        <w:pStyle w:val="T-body"/>
        <w:spacing w:after="60" w:line="240" w:lineRule="auto"/>
        <w:ind w:left="720"/>
        <w:rPr>
          <w:rFonts w:ascii="Arial" w:hAnsi="Arial" w:cs="Arial"/>
          <w:b/>
          <w:bCs/>
          <w:sz w:val="20"/>
          <w:szCs w:val="20"/>
          <w:u w:val="single"/>
          <w:rtl/>
        </w:rPr>
      </w:pPr>
      <w:r w:rsidRPr="00BA10FA">
        <w:rPr>
          <w:rFonts w:ascii="Arial" w:hAnsi="Arial" w:cs="Arial" w:hint="cs"/>
          <w:b/>
          <w:bCs/>
          <w:sz w:val="20"/>
          <w:szCs w:val="20"/>
          <w:u w:val="single"/>
          <w:rtl/>
        </w:rPr>
        <w:t>חוק יסוד: משאל עם</w:t>
      </w:r>
    </w:p>
    <w:p w:rsidR="005366A8" w:rsidRDefault="005366A8" w:rsidP="005366A8">
      <w:pPr>
        <w:spacing w:after="60"/>
        <w:rPr>
          <w:b/>
          <w:bCs/>
          <w:rtl/>
        </w:rPr>
      </w:pPr>
    </w:p>
    <w:p w:rsidR="005366A8" w:rsidRDefault="005366A8" w:rsidP="005366A8">
      <w:pPr>
        <w:spacing w:after="60"/>
        <w:rPr>
          <w:b/>
          <w:bCs/>
          <w:rtl/>
        </w:rPr>
      </w:pPr>
      <w:r w:rsidRPr="00C20A5C">
        <w:rPr>
          <w:rFonts w:hint="cs"/>
          <w:b/>
          <w:bCs/>
          <w:highlight w:val="yellow"/>
          <w:rtl/>
        </w:rPr>
        <w:t>החוקה הפורמאלית היא חוקי היסוד כולם.</w:t>
      </w:r>
    </w:p>
    <w:p w:rsidR="005366A8" w:rsidRDefault="005366A8" w:rsidP="005366A8">
      <w:pPr>
        <w:spacing w:after="60"/>
        <w:rPr>
          <w:rtl/>
        </w:rPr>
      </w:pPr>
    </w:p>
    <w:p w:rsidR="005366A8" w:rsidRPr="00324DC2" w:rsidRDefault="005366A8" w:rsidP="005366A8">
      <w:pPr>
        <w:spacing w:after="60"/>
        <w:rPr>
          <w:highlight w:val="yellow"/>
          <w:u w:val="single"/>
          <w:rtl/>
        </w:rPr>
      </w:pPr>
      <w:r w:rsidRPr="00324DC2">
        <w:rPr>
          <w:rFonts w:hint="cs"/>
          <w:highlight w:val="yellow"/>
          <w:u w:val="single"/>
          <w:rtl/>
        </w:rPr>
        <w:t>להלן שניים מ</w:t>
      </w:r>
      <w:r>
        <w:rPr>
          <w:rFonts w:hint="cs"/>
          <w:highlight w:val="yellow"/>
          <w:u w:val="single"/>
          <w:rtl/>
        </w:rPr>
        <w:t>חוקי היסוד</w:t>
      </w:r>
      <w:r w:rsidRPr="00324DC2">
        <w:rPr>
          <w:rFonts w:hint="cs"/>
          <w:highlight w:val="yellow"/>
          <w:u w:val="single"/>
          <w:rtl/>
        </w:rPr>
        <w:t xml:space="preserve">. </w:t>
      </w:r>
    </w:p>
    <w:p w:rsidR="005366A8" w:rsidRPr="00324DC2" w:rsidRDefault="005366A8" w:rsidP="005366A8">
      <w:pPr>
        <w:spacing w:after="60"/>
        <w:rPr>
          <w:b/>
          <w:bCs/>
          <w:u w:val="single"/>
          <w:rtl/>
        </w:rPr>
      </w:pPr>
      <w:r w:rsidRPr="00324DC2">
        <w:rPr>
          <w:rFonts w:hint="cs"/>
          <w:b/>
          <w:bCs/>
          <w:highlight w:val="yellow"/>
          <w:u w:val="single"/>
          <w:rtl/>
        </w:rPr>
        <w:t xml:space="preserve">מדוע דווקא הם </w:t>
      </w:r>
      <w:r>
        <w:rPr>
          <w:rFonts w:hint="cs"/>
          <w:b/>
          <w:bCs/>
          <w:highlight w:val="yellow"/>
          <w:u w:val="single"/>
          <w:rtl/>
        </w:rPr>
        <w:t>הניעו/</w:t>
      </w:r>
      <w:r w:rsidRPr="00324DC2">
        <w:rPr>
          <w:rFonts w:hint="cs"/>
          <w:b/>
          <w:bCs/>
          <w:highlight w:val="yellow"/>
          <w:u w:val="single"/>
          <w:rtl/>
        </w:rPr>
        <w:t>חוללו שינוי בתפיסת המבנה החוקתי שלנו? מדוע הם הולידו את מי שמכונה "המהפכה החוקתית"?</w:t>
      </w:r>
    </w:p>
    <w:p w:rsidR="005366A8" w:rsidRPr="00FA7872" w:rsidRDefault="005366A8" w:rsidP="005366A8">
      <w:pPr>
        <w:spacing w:after="60"/>
        <w:jc w:val="center"/>
        <w:rPr>
          <w:b/>
          <w:bCs/>
          <w:sz w:val="20"/>
          <w:szCs w:val="20"/>
          <w:u w:val="single"/>
          <w:rtl/>
        </w:rPr>
      </w:pPr>
      <w:r w:rsidRPr="00FA7872">
        <w:rPr>
          <w:b/>
          <w:bCs/>
          <w:sz w:val="20"/>
          <w:szCs w:val="20"/>
          <w:highlight w:val="yellow"/>
          <w:u w:val="single"/>
          <w:rtl/>
        </w:rPr>
        <w:t>חוק-יסוד: כבוד האדם וחירותו</w:t>
      </w:r>
    </w:p>
    <w:p w:rsidR="005366A8" w:rsidRPr="00FA7872" w:rsidRDefault="005366A8" w:rsidP="005366A8">
      <w:pPr>
        <w:spacing w:after="60"/>
        <w:ind w:left="720"/>
        <w:rPr>
          <w:b/>
          <w:bCs/>
          <w:sz w:val="20"/>
          <w:szCs w:val="20"/>
          <w:rtl/>
        </w:rPr>
      </w:pPr>
      <w:r w:rsidRPr="00FA7872">
        <w:rPr>
          <w:b/>
          <w:bCs/>
          <w:sz w:val="20"/>
          <w:szCs w:val="20"/>
          <w:rtl/>
        </w:rPr>
        <w:t xml:space="preserve">1. </w:t>
      </w:r>
      <w:r w:rsidRPr="00FA7872">
        <w:rPr>
          <w:sz w:val="20"/>
          <w:szCs w:val="20"/>
          <w:rtl/>
        </w:rPr>
        <w:t>עקרונות יסוד [תיקון: תשנ"ד]</w:t>
      </w:r>
      <w:r w:rsidRPr="00FA7872">
        <w:rPr>
          <w:b/>
          <w:bCs/>
          <w:sz w:val="20"/>
          <w:szCs w:val="20"/>
          <w:rtl/>
        </w:rPr>
        <w:t xml:space="preserve"> </w:t>
      </w:r>
    </w:p>
    <w:p w:rsidR="005366A8" w:rsidRPr="00FA7872" w:rsidRDefault="005366A8" w:rsidP="005366A8">
      <w:pPr>
        <w:spacing w:after="60"/>
        <w:rPr>
          <w:b/>
          <w:bCs/>
          <w:sz w:val="20"/>
          <w:szCs w:val="20"/>
          <w:rtl/>
        </w:rPr>
      </w:pPr>
      <w:r w:rsidRPr="00FA7872">
        <w:rPr>
          <w:b/>
          <w:bCs/>
          <w:sz w:val="20"/>
          <w:szCs w:val="20"/>
          <w:rtl/>
        </w:rPr>
        <w:t xml:space="preserve">זכויות היסוד של האדם בישראל מושתתות על ההכרה בערך האדם, בקדושת חייו ובהיותו בן-חורין, והן יכובדו ברוח העקרונות שבהכרזה על הקמת מדינת ישראל. </w:t>
      </w:r>
    </w:p>
    <w:p w:rsidR="005366A8" w:rsidRPr="00FA7872" w:rsidRDefault="005366A8" w:rsidP="005366A8">
      <w:pPr>
        <w:spacing w:after="60"/>
        <w:rPr>
          <w:b/>
          <w:bCs/>
          <w:sz w:val="20"/>
          <w:szCs w:val="20"/>
          <w:rtl/>
        </w:rPr>
      </w:pPr>
    </w:p>
    <w:p w:rsidR="005366A8" w:rsidRPr="00FA7872" w:rsidRDefault="005366A8" w:rsidP="005366A8">
      <w:pPr>
        <w:spacing w:after="60"/>
        <w:ind w:left="720"/>
        <w:rPr>
          <w:b/>
          <w:bCs/>
          <w:sz w:val="20"/>
          <w:szCs w:val="20"/>
          <w:rtl/>
        </w:rPr>
      </w:pPr>
      <w:r w:rsidRPr="00FA7872">
        <w:rPr>
          <w:b/>
          <w:bCs/>
          <w:sz w:val="20"/>
          <w:szCs w:val="20"/>
          <w:rtl/>
        </w:rPr>
        <w:t xml:space="preserve">1א. </w:t>
      </w:r>
      <w:r w:rsidRPr="00FA7872">
        <w:rPr>
          <w:sz w:val="20"/>
          <w:szCs w:val="20"/>
          <w:rtl/>
        </w:rPr>
        <w:t>מטרה [תיקון: תשנ"ד]</w:t>
      </w:r>
      <w:r w:rsidRPr="00FA7872">
        <w:rPr>
          <w:b/>
          <w:bCs/>
          <w:sz w:val="20"/>
          <w:szCs w:val="20"/>
          <w:rtl/>
        </w:rPr>
        <w:t xml:space="preserve"> </w:t>
      </w:r>
    </w:p>
    <w:p w:rsidR="005366A8" w:rsidRPr="00FA7872" w:rsidRDefault="005366A8" w:rsidP="005366A8">
      <w:pPr>
        <w:spacing w:after="60"/>
        <w:rPr>
          <w:b/>
          <w:bCs/>
          <w:sz w:val="20"/>
          <w:szCs w:val="20"/>
          <w:rtl/>
        </w:rPr>
      </w:pPr>
      <w:r w:rsidRPr="00FA7872">
        <w:rPr>
          <w:b/>
          <w:bCs/>
          <w:sz w:val="20"/>
          <w:szCs w:val="20"/>
          <w:rtl/>
        </w:rPr>
        <w:t xml:space="preserve">חוק-יסוד זה, מטרתו להגן על כבוד האדם וחירותו, כדי לעגן בחוק-יסוד את ערכיה של מדינת ישראל כמדינה יהודית ודמוקרטית. </w:t>
      </w:r>
    </w:p>
    <w:p w:rsidR="005366A8" w:rsidRPr="00FA7872" w:rsidRDefault="005366A8" w:rsidP="005366A8">
      <w:pPr>
        <w:spacing w:after="60"/>
        <w:rPr>
          <w:b/>
          <w:bCs/>
          <w:sz w:val="20"/>
          <w:szCs w:val="20"/>
          <w:rtl/>
        </w:rPr>
      </w:pPr>
    </w:p>
    <w:p w:rsidR="005366A8" w:rsidRPr="00FA7872" w:rsidRDefault="005366A8" w:rsidP="005366A8">
      <w:pPr>
        <w:spacing w:after="60"/>
        <w:ind w:left="720"/>
        <w:rPr>
          <w:b/>
          <w:bCs/>
          <w:sz w:val="20"/>
          <w:szCs w:val="20"/>
          <w:rtl/>
        </w:rPr>
      </w:pPr>
      <w:r w:rsidRPr="00FA7872">
        <w:rPr>
          <w:b/>
          <w:bCs/>
          <w:sz w:val="20"/>
          <w:szCs w:val="20"/>
          <w:rtl/>
        </w:rPr>
        <w:t xml:space="preserve">2. </w:t>
      </w:r>
      <w:r w:rsidRPr="00FA7872">
        <w:rPr>
          <w:sz w:val="20"/>
          <w:szCs w:val="20"/>
          <w:rtl/>
        </w:rPr>
        <w:t>שמירה על החיים, הגוף והכבוד</w:t>
      </w:r>
      <w:r w:rsidRPr="00FA7872">
        <w:rPr>
          <w:b/>
          <w:bCs/>
          <w:sz w:val="20"/>
          <w:szCs w:val="20"/>
          <w:rtl/>
        </w:rPr>
        <w:t xml:space="preserve"> </w:t>
      </w:r>
    </w:p>
    <w:p w:rsidR="005366A8" w:rsidRPr="00FA7872" w:rsidRDefault="005366A8" w:rsidP="005366A8">
      <w:pPr>
        <w:spacing w:after="60"/>
        <w:rPr>
          <w:b/>
          <w:bCs/>
          <w:sz w:val="20"/>
          <w:szCs w:val="20"/>
          <w:rtl/>
        </w:rPr>
      </w:pPr>
      <w:r w:rsidRPr="00FA7872">
        <w:rPr>
          <w:b/>
          <w:bCs/>
          <w:sz w:val="20"/>
          <w:szCs w:val="20"/>
          <w:rtl/>
        </w:rPr>
        <w:t xml:space="preserve">אין פוגעים בחייו, בגופו, או בכבודו של אדם באשר הוא אדם. </w:t>
      </w:r>
    </w:p>
    <w:p w:rsidR="005366A8" w:rsidRPr="00FA7872" w:rsidRDefault="005366A8" w:rsidP="005366A8">
      <w:pPr>
        <w:spacing w:after="60"/>
        <w:rPr>
          <w:b/>
          <w:bCs/>
          <w:sz w:val="20"/>
          <w:szCs w:val="20"/>
          <w:rtl/>
        </w:rPr>
      </w:pPr>
    </w:p>
    <w:p w:rsidR="005366A8" w:rsidRPr="00FA7872" w:rsidRDefault="005366A8" w:rsidP="005366A8">
      <w:pPr>
        <w:spacing w:after="60"/>
        <w:ind w:left="720"/>
        <w:rPr>
          <w:b/>
          <w:bCs/>
          <w:sz w:val="20"/>
          <w:szCs w:val="20"/>
          <w:rtl/>
        </w:rPr>
      </w:pPr>
      <w:r w:rsidRPr="00FA7872">
        <w:rPr>
          <w:b/>
          <w:bCs/>
          <w:sz w:val="20"/>
          <w:szCs w:val="20"/>
          <w:rtl/>
        </w:rPr>
        <w:t xml:space="preserve">3. </w:t>
      </w:r>
      <w:r w:rsidRPr="00FA7872">
        <w:rPr>
          <w:sz w:val="20"/>
          <w:szCs w:val="20"/>
          <w:rtl/>
        </w:rPr>
        <w:t>שמירה על הקנין</w:t>
      </w:r>
      <w:r w:rsidRPr="00FA7872">
        <w:rPr>
          <w:b/>
          <w:bCs/>
          <w:sz w:val="20"/>
          <w:szCs w:val="20"/>
          <w:rtl/>
        </w:rPr>
        <w:t xml:space="preserve"> </w:t>
      </w:r>
    </w:p>
    <w:p w:rsidR="005366A8" w:rsidRPr="00FA7872" w:rsidRDefault="005366A8" w:rsidP="005366A8">
      <w:pPr>
        <w:spacing w:after="60"/>
        <w:rPr>
          <w:b/>
          <w:bCs/>
          <w:sz w:val="20"/>
          <w:szCs w:val="20"/>
          <w:rtl/>
        </w:rPr>
      </w:pPr>
      <w:r w:rsidRPr="00FA7872">
        <w:rPr>
          <w:b/>
          <w:bCs/>
          <w:sz w:val="20"/>
          <w:szCs w:val="20"/>
          <w:rtl/>
        </w:rPr>
        <w:t xml:space="preserve">אין פוגעים בקנינו של אדם. </w:t>
      </w:r>
    </w:p>
    <w:p w:rsidR="005366A8" w:rsidRPr="00FA7872" w:rsidRDefault="005366A8" w:rsidP="005366A8">
      <w:pPr>
        <w:spacing w:after="60"/>
        <w:rPr>
          <w:b/>
          <w:bCs/>
          <w:sz w:val="20"/>
          <w:szCs w:val="20"/>
          <w:rtl/>
        </w:rPr>
      </w:pPr>
    </w:p>
    <w:p w:rsidR="005366A8" w:rsidRPr="00FA7872" w:rsidRDefault="005366A8" w:rsidP="005366A8">
      <w:pPr>
        <w:spacing w:after="60"/>
        <w:ind w:left="720"/>
        <w:rPr>
          <w:b/>
          <w:bCs/>
          <w:sz w:val="20"/>
          <w:szCs w:val="20"/>
          <w:rtl/>
        </w:rPr>
      </w:pPr>
      <w:r w:rsidRPr="00FA7872">
        <w:rPr>
          <w:b/>
          <w:bCs/>
          <w:sz w:val="20"/>
          <w:szCs w:val="20"/>
          <w:rtl/>
        </w:rPr>
        <w:t xml:space="preserve">4. </w:t>
      </w:r>
      <w:r w:rsidRPr="00FA7872">
        <w:rPr>
          <w:sz w:val="20"/>
          <w:szCs w:val="20"/>
          <w:rtl/>
        </w:rPr>
        <w:t>הגנה על החיים, הגוף והכבוד</w:t>
      </w:r>
      <w:r w:rsidRPr="00FA7872">
        <w:rPr>
          <w:b/>
          <w:bCs/>
          <w:sz w:val="20"/>
          <w:szCs w:val="20"/>
          <w:rtl/>
        </w:rPr>
        <w:t xml:space="preserve"> </w:t>
      </w:r>
    </w:p>
    <w:p w:rsidR="005366A8" w:rsidRPr="00FA7872" w:rsidRDefault="005366A8" w:rsidP="005366A8">
      <w:pPr>
        <w:spacing w:after="60"/>
        <w:rPr>
          <w:b/>
          <w:bCs/>
          <w:sz w:val="20"/>
          <w:szCs w:val="20"/>
          <w:rtl/>
        </w:rPr>
      </w:pPr>
      <w:r w:rsidRPr="00FA7872">
        <w:rPr>
          <w:b/>
          <w:bCs/>
          <w:sz w:val="20"/>
          <w:szCs w:val="20"/>
          <w:rtl/>
        </w:rPr>
        <w:t xml:space="preserve">כל אדם זכאי להגנה על חייו, על גופו ועל כבודו. </w:t>
      </w:r>
    </w:p>
    <w:p w:rsidR="005366A8" w:rsidRPr="00FA7872" w:rsidRDefault="005366A8" w:rsidP="005366A8">
      <w:pPr>
        <w:spacing w:after="60"/>
        <w:rPr>
          <w:b/>
          <w:bCs/>
          <w:sz w:val="20"/>
          <w:szCs w:val="20"/>
          <w:rtl/>
        </w:rPr>
      </w:pPr>
    </w:p>
    <w:p w:rsidR="005366A8" w:rsidRPr="00FA7872" w:rsidRDefault="005366A8" w:rsidP="005366A8">
      <w:pPr>
        <w:spacing w:after="60"/>
        <w:ind w:left="720"/>
        <w:rPr>
          <w:b/>
          <w:bCs/>
          <w:sz w:val="20"/>
          <w:szCs w:val="20"/>
          <w:rtl/>
        </w:rPr>
      </w:pPr>
      <w:r w:rsidRPr="00FA7872">
        <w:rPr>
          <w:b/>
          <w:bCs/>
          <w:sz w:val="20"/>
          <w:szCs w:val="20"/>
          <w:rtl/>
        </w:rPr>
        <w:t xml:space="preserve">5. </w:t>
      </w:r>
      <w:r w:rsidRPr="00FA7872">
        <w:rPr>
          <w:sz w:val="20"/>
          <w:szCs w:val="20"/>
          <w:rtl/>
        </w:rPr>
        <w:t>חירות אישית</w:t>
      </w:r>
      <w:r w:rsidRPr="00FA7872">
        <w:rPr>
          <w:b/>
          <w:bCs/>
          <w:sz w:val="20"/>
          <w:szCs w:val="20"/>
          <w:rtl/>
        </w:rPr>
        <w:t xml:space="preserve"> </w:t>
      </w:r>
    </w:p>
    <w:p w:rsidR="005366A8" w:rsidRPr="00FA7872" w:rsidRDefault="005366A8" w:rsidP="005366A8">
      <w:pPr>
        <w:spacing w:after="60"/>
        <w:rPr>
          <w:b/>
          <w:bCs/>
          <w:sz w:val="20"/>
          <w:szCs w:val="20"/>
          <w:rtl/>
        </w:rPr>
      </w:pPr>
      <w:r w:rsidRPr="00FA7872">
        <w:rPr>
          <w:b/>
          <w:bCs/>
          <w:sz w:val="20"/>
          <w:szCs w:val="20"/>
          <w:rtl/>
        </w:rPr>
        <w:t xml:space="preserve">אין נוטלים ואין מגבילים את חירותו של אדם במאסר, במעצר, בהסגרה או בכל דרך אחרת. </w:t>
      </w:r>
    </w:p>
    <w:p w:rsidR="005366A8" w:rsidRPr="00FA7872" w:rsidRDefault="005366A8" w:rsidP="005366A8">
      <w:pPr>
        <w:spacing w:after="60"/>
        <w:rPr>
          <w:b/>
          <w:bCs/>
          <w:sz w:val="20"/>
          <w:szCs w:val="20"/>
          <w:rtl/>
        </w:rPr>
      </w:pPr>
    </w:p>
    <w:p w:rsidR="005366A8" w:rsidRPr="00FA7872" w:rsidRDefault="005366A8" w:rsidP="005366A8">
      <w:pPr>
        <w:spacing w:after="60"/>
        <w:ind w:left="720"/>
        <w:rPr>
          <w:b/>
          <w:bCs/>
          <w:sz w:val="20"/>
          <w:szCs w:val="20"/>
          <w:rtl/>
        </w:rPr>
      </w:pPr>
      <w:r w:rsidRPr="00FA7872">
        <w:rPr>
          <w:b/>
          <w:bCs/>
          <w:sz w:val="20"/>
          <w:szCs w:val="20"/>
          <w:rtl/>
        </w:rPr>
        <w:t xml:space="preserve">6. </w:t>
      </w:r>
      <w:r w:rsidRPr="00FA7872">
        <w:rPr>
          <w:sz w:val="20"/>
          <w:szCs w:val="20"/>
          <w:rtl/>
        </w:rPr>
        <w:t>יציאה מישראל וכניסה אליה</w:t>
      </w:r>
      <w:r w:rsidRPr="00FA7872">
        <w:rPr>
          <w:b/>
          <w:bCs/>
          <w:sz w:val="20"/>
          <w:szCs w:val="20"/>
          <w:rtl/>
        </w:rPr>
        <w:t xml:space="preserve"> </w:t>
      </w:r>
    </w:p>
    <w:p w:rsidR="005366A8" w:rsidRPr="00FA7872" w:rsidRDefault="005366A8" w:rsidP="005366A8">
      <w:pPr>
        <w:spacing w:after="60"/>
        <w:rPr>
          <w:b/>
          <w:bCs/>
          <w:sz w:val="20"/>
          <w:szCs w:val="20"/>
          <w:rtl/>
        </w:rPr>
      </w:pPr>
      <w:r w:rsidRPr="00FA7872">
        <w:rPr>
          <w:b/>
          <w:bCs/>
          <w:sz w:val="20"/>
          <w:szCs w:val="20"/>
          <w:rtl/>
        </w:rPr>
        <w:t xml:space="preserve">(א)כל אדם חופשי לצאת מישראל. </w:t>
      </w:r>
    </w:p>
    <w:p w:rsidR="005366A8" w:rsidRPr="00FA7872" w:rsidRDefault="005366A8" w:rsidP="005366A8">
      <w:pPr>
        <w:spacing w:after="60"/>
        <w:rPr>
          <w:b/>
          <w:bCs/>
          <w:sz w:val="20"/>
          <w:szCs w:val="20"/>
          <w:rtl/>
        </w:rPr>
      </w:pPr>
      <w:r w:rsidRPr="00FA7872">
        <w:rPr>
          <w:b/>
          <w:bCs/>
          <w:sz w:val="20"/>
          <w:szCs w:val="20"/>
          <w:rtl/>
        </w:rPr>
        <w:t xml:space="preserve">(ב)כל אזרח ישראלי הנמצא בחוץ לארץ זכאי להיכנס לישראל. </w:t>
      </w:r>
    </w:p>
    <w:p w:rsidR="005366A8" w:rsidRPr="00FA7872" w:rsidRDefault="005366A8" w:rsidP="005366A8">
      <w:pPr>
        <w:spacing w:after="60"/>
        <w:rPr>
          <w:b/>
          <w:bCs/>
          <w:sz w:val="20"/>
          <w:szCs w:val="20"/>
          <w:rtl/>
        </w:rPr>
      </w:pPr>
    </w:p>
    <w:p w:rsidR="005366A8" w:rsidRPr="00FA7872" w:rsidRDefault="005366A8" w:rsidP="005366A8">
      <w:pPr>
        <w:spacing w:after="60"/>
        <w:ind w:left="720"/>
        <w:rPr>
          <w:b/>
          <w:bCs/>
          <w:sz w:val="20"/>
          <w:szCs w:val="20"/>
          <w:rtl/>
        </w:rPr>
      </w:pPr>
      <w:r w:rsidRPr="00FA7872">
        <w:rPr>
          <w:b/>
          <w:bCs/>
          <w:sz w:val="20"/>
          <w:szCs w:val="20"/>
          <w:rtl/>
        </w:rPr>
        <w:t xml:space="preserve">7. </w:t>
      </w:r>
      <w:r w:rsidRPr="00FA7872">
        <w:rPr>
          <w:sz w:val="20"/>
          <w:szCs w:val="20"/>
          <w:rtl/>
        </w:rPr>
        <w:t>פרטיות וצנעת הפרט</w:t>
      </w:r>
      <w:r w:rsidRPr="00FA7872">
        <w:rPr>
          <w:b/>
          <w:bCs/>
          <w:sz w:val="20"/>
          <w:szCs w:val="20"/>
          <w:rtl/>
        </w:rPr>
        <w:t xml:space="preserve"> </w:t>
      </w:r>
    </w:p>
    <w:p w:rsidR="005366A8" w:rsidRPr="00FA7872" w:rsidRDefault="005366A8" w:rsidP="005366A8">
      <w:pPr>
        <w:spacing w:after="60"/>
        <w:rPr>
          <w:b/>
          <w:bCs/>
          <w:sz w:val="20"/>
          <w:szCs w:val="20"/>
          <w:rtl/>
        </w:rPr>
      </w:pPr>
      <w:r w:rsidRPr="00FA7872">
        <w:rPr>
          <w:b/>
          <w:bCs/>
          <w:sz w:val="20"/>
          <w:szCs w:val="20"/>
          <w:rtl/>
        </w:rPr>
        <w:t xml:space="preserve">(א)כל אדם זכאי לפרטיות ולצנעת חייו. </w:t>
      </w:r>
    </w:p>
    <w:p w:rsidR="005366A8" w:rsidRPr="00FA7872" w:rsidRDefault="005366A8" w:rsidP="005366A8">
      <w:pPr>
        <w:spacing w:after="60"/>
        <w:rPr>
          <w:b/>
          <w:bCs/>
          <w:sz w:val="20"/>
          <w:szCs w:val="20"/>
          <w:rtl/>
        </w:rPr>
      </w:pPr>
      <w:r w:rsidRPr="00FA7872">
        <w:rPr>
          <w:b/>
          <w:bCs/>
          <w:sz w:val="20"/>
          <w:szCs w:val="20"/>
          <w:rtl/>
        </w:rPr>
        <w:t xml:space="preserve">(ב)אין נכנסים לרשות היחיד של אדם שלא בהסכמתו. </w:t>
      </w:r>
    </w:p>
    <w:p w:rsidR="005366A8" w:rsidRPr="00FA7872" w:rsidRDefault="005366A8" w:rsidP="005366A8">
      <w:pPr>
        <w:spacing w:after="60"/>
        <w:rPr>
          <w:b/>
          <w:bCs/>
          <w:sz w:val="20"/>
          <w:szCs w:val="20"/>
          <w:rtl/>
        </w:rPr>
      </w:pPr>
      <w:r w:rsidRPr="00FA7872">
        <w:rPr>
          <w:b/>
          <w:bCs/>
          <w:sz w:val="20"/>
          <w:szCs w:val="20"/>
          <w:rtl/>
        </w:rPr>
        <w:t xml:space="preserve">(ג)אין עורכים חיפוש ברשות היחיד של אדם, על גופו, בגופו או בכליו. </w:t>
      </w:r>
    </w:p>
    <w:p w:rsidR="005366A8" w:rsidRPr="00FA7872" w:rsidRDefault="005366A8" w:rsidP="005366A8">
      <w:pPr>
        <w:spacing w:after="60"/>
        <w:rPr>
          <w:b/>
          <w:bCs/>
          <w:sz w:val="20"/>
          <w:szCs w:val="20"/>
          <w:rtl/>
        </w:rPr>
      </w:pPr>
      <w:r w:rsidRPr="00FA7872">
        <w:rPr>
          <w:b/>
          <w:bCs/>
          <w:sz w:val="20"/>
          <w:szCs w:val="20"/>
          <w:rtl/>
        </w:rPr>
        <w:t xml:space="preserve">(ד)אין פוגעים בסוד שיחו של אדם, בכתביו או ברשומותיו. </w:t>
      </w:r>
    </w:p>
    <w:p w:rsidR="005366A8" w:rsidRPr="00FA7872" w:rsidRDefault="005366A8" w:rsidP="005366A8">
      <w:pPr>
        <w:spacing w:after="60"/>
        <w:rPr>
          <w:b/>
          <w:bCs/>
          <w:sz w:val="20"/>
          <w:szCs w:val="20"/>
          <w:rtl/>
        </w:rPr>
      </w:pPr>
    </w:p>
    <w:p w:rsidR="005366A8" w:rsidRPr="00EF4C58" w:rsidRDefault="005366A8" w:rsidP="005366A8">
      <w:pPr>
        <w:spacing w:after="60"/>
        <w:ind w:left="720"/>
        <w:rPr>
          <w:b/>
          <w:bCs/>
          <w:sz w:val="20"/>
          <w:szCs w:val="20"/>
          <w:highlight w:val="yellow"/>
          <w:rtl/>
        </w:rPr>
      </w:pPr>
      <w:r w:rsidRPr="00FA7872">
        <w:rPr>
          <w:b/>
          <w:bCs/>
          <w:sz w:val="20"/>
          <w:szCs w:val="20"/>
          <w:rtl/>
        </w:rPr>
        <w:t xml:space="preserve">8. </w:t>
      </w:r>
      <w:r w:rsidRPr="00EF4C58">
        <w:rPr>
          <w:sz w:val="20"/>
          <w:szCs w:val="20"/>
          <w:highlight w:val="yellow"/>
          <w:rtl/>
        </w:rPr>
        <w:t xml:space="preserve">פגיעה בזכויות </w:t>
      </w:r>
      <w:r w:rsidRPr="00EF4C58">
        <w:rPr>
          <w:sz w:val="20"/>
          <w:szCs w:val="20"/>
          <w:rtl/>
        </w:rPr>
        <w:t>[תיקון: תשנ"ד]</w:t>
      </w:r>
      <w:r w:rsidRPr="00EF4C58">
        <w:rPr>
          <w:b/>
          <w:bCs/>
          <w:sz w:val="20"/>
          <w:szCs w:val="20"/>
          <w:rtl/>
        </w:rPr>
        <w:t xml:space="preserve"> </w:t>
      </w:r>
    </w:p>
    <w:p w:rsidR="005366A8" w:rsidRPr="00FA7872" w:rsidRDefault="005366A8" w:rsidP="005366A8">
      <w:pPr>
        <w:spacing w:after="60"/>
        <w:rPr>
          <w:b/>
          <w:bCs/>
          <w:sz w:val="20"/>
          <w:szCs w:val="20"/>
          <w:rtl/>
        </w:rPr>
      </w:pPr>
      <w:r w:rsidRPr="00EF4C58">
        <w:rPr>
          <w:b/>
          <w:bCs/>
          <w:sz w:val="20"/>
          <w:szCs w:val="20"/>
          <w:highlight w:val="yellow"/>
          <w:rtl/>
        </w:rPr>
        <w:t>אין פוגעים בזכויות שלפי חוק-יסוד זה אלא בחוק ההולם את ערכיה של מדינת ישראל, שנועד לתכלית ראויה, ובמידה שאינה עולה על הנדרש או לפי חוק כאמור מכוח הסמכה מפורשת בו.</w:t>
      </w:r>
      <w:r w:rsidRPr="00FA7872">
        <w:rPr>
          <w:b/>
          <w:bCs/>
          <w:sz w:val="20"/>
          <w:szCs w:val="20"/>
          <w:rtl/>
        </w:rPr>
        <w:t xml:space="preserve"> </w:t>
      </w:r>
    </w:p>
    <w:p w:rsidR="005366A8" w:rsidRPr="00FA7872" w:rsidRDefault="005366A8" w:rsidP="005366A8">
      <w:pPr>
        <w:spacing w:after="60"/>
        <w:rPr>
          <w:b/>
          <w:bCs/>
          <w:sz w:val="20"/>
          <w:szCs w:val="20"/>
          <w:rtl/>
        </w:rPr>
      </w:pPr>
    </w:p>
    <w:p w:rsidR="005366A8" w:rsidRPr="00FA7872" w:rsidRDefault="005366A8" w:rsidP="005366A8">
      <w:pPr>
        <w:spacing w:after="60"/>
        <w:ind w:left="720"/>
        <w:rPr>
          <w:b/>
          <w:bCs/>
          <w:sz w:val="20"/>
          <w:szCs w:val="20"/>
          <w:rtl/>
        </w:rPr>
      </w:pPr>
      <w:r w:rsidRPr="00FA7872">
        <w:rPr>
          <w:b/>
          <w:bCs/>
          <w:sz w:val="20"/>
          <w:szCs w:val="20"/>
          <w:rtl/>
        </w:rPr>
        <w:t xml:space="preserve">9. </w:t>
      </w:r>
      <w:r w:rsidRPr="00FA7872">
        <w:rPr>
          <w:sz w:val="20"/>
          <w:szCs w:val="20"/>
          <w:rtl/>
        </w:rPr>
        <w:t>סייג לגבי כוחות הבטחון</w:t>
      </w:r>
      <w:r w:rsidRPr="00FA7872">
        <w:rPr>
          <w:b/>
          <w:bCs/>
          <w:sz w:val="20"/>
          <w:szCs w:val="20"/>
          <w:rtl/>
        </w:rPr>
        <w:t xml:space="preserve"> </w:t>
      </w:r>
    </w:p>
    <w:p w:rsidR="005366A8" w:rsidRPr="00FA7872" w:rsidRDefault="005366A8" w:rsidP="005366A8">
      <w:pPr>
        <w:spacing w:after="60"/>
        <w:rPr>
          <w:b/>
          <w:bCs/>
          <w:sz w:val="20"/>
          <w:szCs w:val="20"/>
          <w:rtl/>
        </w:rPr>
      </w:pPr>
      <w:r w:rsidRPr="00FA7872">
        <w:rPr>
          <w:b/>
          <w:bCs/>
          <w:sz w:val="20"/>
          <w:szCs w:val="20"/>
          <w:rtl/>
        </w:rPr>
        <w:t xml:space="preserve">אין מגבילים זכויות שלפי חוק-יסוד זה של המשרתים בצבא-הגנה לישראל, במשטרת ישראל, בשירות בתי הסוהר ובארגוני הבטחון האחרים של המדינה, ואין מתנים על זכויות אלה, אלא לפי חוק ובמידה שאינה עולה על הנדרש ממהותו ומאופיו של השירות. </w:t>
      </w:r>
    </w:p>
    <w:p w:rsidR="005366A8" w:rsidRPr="00FA7872" w:rsidRDefault="005366A8" w:rsidP="005366A8">
      <w:pPr>
        <w:spacing w:after="60"/>
        <w:rPr>
          <w:b/>
          <w:bCs/>
          <w:sz w:val="20"/>
          <w:szCs w:val="20"/>
          <w:rtl/>
        </w:rPr>
      </w:pPr>
    </w:p>
    <w:p w:rsidR="005366A8" w:rsidRPr="00FA7872" w:rsidRDefault="005366A8" w:rsidP="005366A8">
      <w:pPr>
        <w:spacing w:after="60"/>
        <w:ind w:left="720"/>
        <w:rPr>
          <w:b/>
          <w:bCs/>
          <w:sz w:val="20"/>
          <w:szCs w:val="20"/>
          <w:rtl/>
        </w:rPr>
      </w:pPr>
      <w:r w:rsidRPr="00FA7872">
        <w:rPr>
          <w:b/>
          <w:bCs/>
          <w:sz w:val="20"/>
          <w:szCs w:val="20"/>
          <w:rtl/>
        </w:rPr>
        <w:t xml:space="preserve">10. </w:t>
      </w:r>
      <w:r w:rsidRPr="00FA7872">
        <w:rPr>
          <w:sz w:val="20"/>
          <w:szCs w:val="20"/>
          <w:rtl/>
        </w:rPr>
        <w:t>שמירת דינים</w:t>
      </w:r>
      <w:r w:rsidRPr="00FA7872">
        <w:rPr>
          <w:b/>
          <w:bCs/>
          <w:sz w:val="20"/>
          <w:szCs w:val="20"/>
          <w:rtl/>
        </w:rPr>
        <w:t xml:space="preserve"> </w:t>
      </w:r>
    </w:p>
    <w:p w:rsidR="005366A8" w:rsidRPr="00FA7872" w:rsidRDefault="005366A8" w:rsidP="005366A8">
      <w:pPr>
        <w:spacing w:after="60"/>
        <w:rPr>
          <w:b/>
          <w:bCs/>
          <w:sz w:val="20"/>
          <w:szCs w:val="20"/>
          <w:rtl/>
        </w:rPr>
      </w:pPr>
      <w:r w:rsidRPr="00FA7872">
        <w:rPr>
          <w:b/>
          <w:bCs/>
          <w:sz w:val="20"/>
          <w:szCs w:val="20"/>
          <w:rtl/>
        </w:rPr>
        <w:t xml:space="preserve">אין בחוק-יסוד זה כדי לפגוע בתקפו של דין שהיה קיים ערב תחילתו של חוק-היסוד. </w:t>
      </w:r>
    </w:p>
    <w:p w:rsidR="005366A8" w:rsidRPr="00FA7872" w:rsidRDefault="005366A8" w:rsidP="005366A8">
      <w:pPr>
        <w:spacing w:after="60"/>
        <w:rPr>
          <w:b/>
          <w:bCs/>
          <w:sz w:val="20"/>
          <w:szCs w:val="20"/>
          <w:rtl/>
        </w:rPr>
      </w:pPr>
    </w:p>
    <w:p w:rsidR="005366A8" w:rsidRPr="00FA7872" w:rsidRDefault="005366A8" w:rsidP="005366A8">
      <w:pPr>
        <w:spacing w:after="60"/>
        <w:ind w:left="720"/>
        <w:rPr>
          <w:b/>
          <w:bCs/>
          <w:sz w:val="20"/>
          <w:szCs w:val="20"/>
          <w:rtl/>
        </w:rPr>
      </w:pPr>
      <w:r w:rsidRPr="00FA7872">
        <w:rPr>
          <w:b/>
          <w:bCs/>
          <w:sz w:val="20"/>
          <w:szCs w:val="20"/>
          <w:rtl/>
        </w:rPr>
        <w:t xml:space="preserve">11. </w:t>
      </w:r>
      <w:r w:rsidRPr="00FA7872">
        <w:rPr>
          <w:sz w:val="20"/>
          <w:szCs w:val="20"/>
          <w:rtl/>
        </w:rPr>
        <w:t>תחולה</w:t>
      </w:r>
      <w:r w:rsidRPr="00FA7872">
        <w:rPr>
          <w:b/>
          <w:bCs/>
          <w:sz w:val="20"/>
          <w:szCs w:val="20"/>
          <w:rtl/>
        </w:rPr>
        <w:t xml:space="preserve"> </w:t>
      </w:r>
    </w:p>
    <w:p w:rsidR="005366A8" w:rsidRPr="00FA7872" w:rsidRDefault="005366A8" w:rsidP="005366A8">
      <w:pPr>
        <w:spacing w:after="60"/>
        <w:rPr>
          <w:b/>
          <w:bCs/>
          <w:sz w:val="20"/>
          <w:szCs w:val="20"/>
          <w:rtl/>
        </w:rPr>
      </w:pPr>
      <w:r w:rsidRPr="00FA7872">
        <w:rPr>
          <w:b/>
          <w:bCs/>
          <w:sz w:val="20"/>
          <w:szCs w:val="20"/>
          <w:rtl/>
        </w:rPr>
        <w:t xml:space="preserve">כל רשות מרשויות השלטון חייבת לכבד את הזכויות שלפי חוק-יסוד זה. </w:t>
      </w:r>
    </w:p>
    <w:p w:rsidR="005366A8" w:rsidRPr="00FA7872" w:rsidRDefault="005366A8" w:rsidP="005366A8">
      <w:pPr>
        <w:spacing w:after="60"/>
        <w:rPr>
          <w:b/>
          <w:bCs/>
          <w:sz w:val="20"/>
          <w:szCs w:val="20"/>
          <w:rtl/>
        </w:rPr>
      </w:pPr>
    </w:p>
    <w:p w:rsidR="005366A8" w:rsidRPr="00FA7872" w:rsidRDefault="005366A8" w:rsidP="005366A8">
      <w:pPr>
        <w:spacing w:after="60"/>
        <w:ind w:left="720"/>
        <w:rPr>
          <w:b/>
          <w:bCs/>
          <w:sz w:val="20"/>
          <w:szCs w:val="20"/>
          <w:rtl/>
        </w:rPr>
      </w:pPr>
      <w:r w:rsidRPr="00FA7872">
        <w:rPr>
          <w:b/>
          <w:bCs/>
          <w:sz w:val="20"/>
          <w:szCs w:val="20"/>
          <w:rtl/>
        </w:rPr>
        <w:t xml:space="preserve">12. </w:t>
      </w:r>
      <w:r w:rsidRPr="00FA7872">
        <w:rPr>
          <w:sz w:val="20"/>
          <w:szCs w:val="20"/>
          <w:rtl/>
        </w:rPr>
        <w:t>יציבות החוק</w:t>
      </w:r>
      <w:r w:rsidRPr="00FA7872">
        <w:rPr>
          <w:b/>
          <w:bCs/>
          <w:sz w:val="20"/>
          <w:szCs w:val="20"/>
          <w:rtl/>
        </w:rPr>
        <w:t xml:space="preserve"> </w:t>
      </w:r>
    </w:p>
    <w:p w:rsidR="005366A8" w:rsidRDefault="005366A8" w:rsidP="005366A8">
      <w:pPr>
        <w:spacing w:after="60"/>
        <w:rPr>
          <w:b/>
          <w:bCs/>
          <w:sz w:val="20"/>
          <w:szCs w:val="20"/>
          <w:rtl/>
        </w:rPr>
      </w:pPr>
      <w:r w:rsidRPr="00FA7872">
        <w:rPr>
          <w:b/>
          <w:bCs/>
          <w:sz w:val="20"/>
          <w:szCs w:val="20"/>
          <w:rtl/>
        </w:rPr>
        <w:t xml:space="preserve">אין בכוחן של תקנות שעת-חירום לשנות חוק-יסוד זה, להפקיע זמנית את תקפו או לקבוע בו תנאים; ואולם בשעה שקיים במדינה מצב של חירום בתוקף הכרזה לפי סעיף 9 לפקודת סדרי השלטון והמשפט, התש"ח 1948, מותר להתקין תקנות שעת-חירום מכוח הסעיף האמור שיהא בהן כדי לשלול או להגביל זכויות לפי חוק-יסוד זה, ובלבד שהשלילה או ההגבלה יהיו לתכלית ראויה ולתקופה ובמידה שלא יעלו על הנדרש. </w:t>
      </w:r>
    </w:p>
    <w:p w:rsidR="005366A8" w:rsidRDefault="005366A8" w:rsidP="005366A8">
      <w:pPr>
        <w:spacing w:after="60"/>
        <w:rPr>
          <w:b/>
          <w:bCs/>
          <w:sz w:val="20"/>
          <w:szCs w:val="20"/>
          <w:rtl/>
        </w:rPr>
      </w:pPr>
    </w:p>
    <w:p w:rsidR="005366A8" w:rsidRPr="00FA7872" w:rsidRDefault="005366A8" w:rsidP="005366A8">
      <w:pPr>
        <w:spacing w:after="60"/>
        <w:jc w:val="center"/>
        <w:rPr>
          <w:b/>
          <w:bCs/>
          <w:sz w:val="20"/>
          <w:szCs w:val="20"/>
          <w:u w:val="single"/>
          <w:rtl/>
        </w:rPr>
      </w:pPr>
      <w:r w:rsidRPr="00FA7872">
        <w:rPr>
          <w:b/>
          <w:bCs/>
          <w:sz w:val="20"/>
          <w:szCs w:val="20"/>
          <w:highlight w:val="yellow"/>
          <w:u w:val="single"/>
          <w:rtl/>
        </w:rPr>
        <w:t>חוק-יסוד: חופש העיסוק</w:t>
      </w:r>
      <w:r w:rsidRPr="00FA7872">
        <w:rPr>
          <w:b/>
          <w:bCs/>
          <w:sz w:val="20"/>
          <w:szCs w:val="20"/>
          <w:u w:val="single"/>
          <w:rtl/>
        </w:rPr>
        <w:t xml:space="preserve"> </w:t>
      </w:r>
    </w:p>
    <w:p w:rsidR="005366A8" w:rsidRPr="00FA7872" w:rsidRDefault="005366A8" w:rsidP="005366A8">
      <w:pPr>
        <w:spacing w:after="60"/>
        <w:ind w:left="720"/>
        <w:rPr>
          <w:b/>
          <w:bCs/>
          <w:sz w:val="20"/>
          <w:szCs w:val="20"/>
          <w:rtl/>
        </w:rPr>
      </w:pPr>
      <w:r w:rsidRPr="00FA7872">
        <w:rPr>
          <w:b/>
          <w:bCs/>
          <w:sz w:val="20"/>
          <w:szCs w:val="20"/>
          <w:rtl/>
        </w:rPr>
        <w:t xml:space="preserve">1. </w:t>
      </w:r>
      <w:r w:rsidRPr="00FA7872">
        <w:rPr>
          <w:sz w:val="20"/>
          <w:szCs w:val="20"/>
          <w:rtl/>
        </w:rPr>
        <w:t>עקרונות יסוד</w:t>
      </w:r>
      <w:r w:rsidRPr="00FA7872">
        <w:rPr>
          <w:b/>
          <w:bCs/>
          <w:sz w:val="20"/>
          <w:szCs w:val="20"/>
          <w:rtl/>
        </w:rPr>
        <w:t xml:space="preserve"> </w:t>
      </w:r>
    </w:p>
    <w:p w:rsidR="005366A8" w:rsidRPr="00FA7872" w:rsidRDefault="005366A8" w:rsidP="005366A8">
      <w:pPr>
        <w:spacing w:after="60"/>
        <w:rPr>
          <w:b/>
          <w:bCs/>
          <w:sz w:val="20"/>
          <w:szCs w:val="20"/>
          <w:rtl/>
        </w:rPr>
      </w:pPr>
      <w:r w:rsidRPr="00FA7872">
        <w:rPr>
          <w:b/>
          <w:bCs/>
          <w:sz w:val="20"/>
          <w:szCs w:val="20"/>
          <w:rtl/>
        </w:rPr>
        <w:t xml:space="preserve">זכויות היסוד של האדם בישראל מושתתות על ההכרה בערך האדם, בקדושת חייו ובהיותו בן-חורין, והן יכובדו ברוח העקרונות שבהכרזה על הקמת מדינת ישראל. </w:t>
      </w:r>
    </w:p>
    <w:p w:rsidR="005366A8" w:rsidRPr="00FA7872" w:rsidRDefault="005366A8" w:rsidP="005366A8">
      <w:pPr>
        <w:spacing w:after="60"/>
        <w:rPr>
          <w:b/>
          <w:bCs/>
          <w:sz w:val="20"/>
          <w:szCs w:val="20"/>
          <w:rtl/>
        </w:rPr>
      </w:pPr>
    </w:p>
    <w:p w:rsidR="005366A8" w:rsidRPr="00FA7872" w:rsidRDefault="005366A8" w:rsidP="005366A8">
      <w:pPr>
        <w:spacing w:after="60"/>
        <w:ind w:left="720"/>
        <w:rPr>
          <w:b/>
          <w:bCs/>
          <w:sz w:val="20"/>
          <w:szCs w:val="20"/>
          <w:rtl/>
        </w:rPr>
      </w:pPr>
      <w:r w:rsidRPr="00FA7872">
        <w:rPr>
          <w:b/>
          <w:bCs/>
          <w:sz w:val="20"/>
          <w:szCs w:val="20"/>
          <w:rtl/>
        </w:rPr>
        <w:t xml:space="preserve">2. </w:t>
      </w:r>
      <w:r w:rsidRPr="00FA7872">
        <w:rPr>
          <w:sz w:val="20"/>
          <w:szCs w:val="20"/>
          <w:rtl/>
        </w:rPr>
        <w:t>מטרה</w:t>
      </w:r>
      <w:r w:rsidRPr="00FA7872">
        <w:rPr>
          <w:b/>
          <w:bCs/>
          <w:sz w:val="20"/>
          <w:szCs w:val="20"/>
          <w:rtl/>
        </w:rPr>
        <w:t xml:space="preserve"> </w:t>
      </w:r>
    </w:p>
    <w:p w:rsidR="005366A8" w:rsidRPr="00FA7872" w:rsidRDefault="005366A8" w:rsidP="005366A8">
      <w:pPr>
        <w:spacing w:after="60"/>
        <w:rPr>
          <w:b/>
          <w:bCs/>
          <w:sz w:val="20"/>
          <w:szCs w:val="20"/>
          <w:rtl/>
        </w:rPr>
      </w:pPr>
      <w:r w:rsidRPr="00FA7872">
        <w:rPr>
          <w:b/>
          <w:bCs/>
          <w:sz w:val="20"/>
          <w:szCs w:val="20"/>
          <w:rtl/>
        </w:rPr>
        <w:t xml:space="preserve">חוק-יסוד זה מטרתו להגן על חופש העיסוק כדי לעגן בחוק-יסוד את ערכיה של מדינת ישראל כמדינה יהודית ודמוקרטית. </w:t>
      </w:r>
    </w:p>
    <w:p w:rsidR="005366A8" w:rsidRPr="00FA7872" w:rsidRDefault="005366A8" w:rsidP="005366A8">
      <w:pPr>
        <w:spacing w:after="60"/>
        <w:rPr>
          <w:b/>
          <w:bCs/>
          <w:sz w:val="20"/>
          <w:szCs w:val="20"/>
          <w:rtl/>
        </w:rPr>
      </w:pPr>
    </w:p>
    <w:p w:rsidR="005366A8" w:rsidRPr="00FA7872" w:rsidRDefault="005366A8" w:rsidP="005366A8">
      <w:pPr>
        <w:spacing w:after="60"/>
        <w:ind w:left="720"/>
        <w:rPr>
          <w:b/>
          <w:bCs/>
          <w:sz w:val="20"/>
          <w:szCs w:val="20"/>
          <w:rtl/>
        </w:rPr>
      </w:pPr>
      <w:r w:rsidRPr="00FA7872">
        <w:rPr>
          <w:b/>
          <w:bCs/>
          <w:sz w:val="20"/>
          <w:szCs w:val="20"/>
          <w:rtl/>
        </w:rPr>
        <w:t xml:space="preserve">3. </w:t>
      </w:r>
      <w:r w:rsidRPr="00FA7872">
        <w:rPr>
          <w:sz w:val="20"/>
          <w:szCs w:val="20"/>
          <w:rtl/>
        </w:rPr>
        <w:t>חופש העיסוק</w:t>
      </w:r>
      <w:r w:rsidRPr="00FA7872">
        <w:rPr>
          <w:b/>
          <w:bCs/>
          <w:sz w:val="20"/>
          <w:szCs w:val="20"/>
          <w:rtl/>
        </w:rPr>
        <w:t xml:space="preserve"> </w:t>
      </w:r>
    </w:p>
    <w:p w:rsidR="005366A8" w:rsidRPr="00FA7872" w:rsidRDefault="005366A8" w:rsidP="005366A8">
      <w:pPr>
        <w:spacing w:after="60"/>
        <w:rPr>
          <w:b/>
          <w:bCs/>
          <w:sz w:val="20"/>
          <w:szCs w:val="20"/>
          <w:rtl/>
        </w:rPr>
      </w:pPr>
      <w:r w:rsidRPr="00FA7872">
        <w:rPr>
          <w:b/>
          <w:bCs/>
          <w:sz w:val="20"/>
          <w:szCs w:val="20"/>
          <w:rtl/>
        </w:rPr>
        <w:t xml:space="preserve">כל אזרח או תושב של המדינה זכאי לעסוק בכל עיסוק, מקצוע או משלח יד. </w:t>
      </w:r>
    </w:p>
    <w:p w:rsidR="005366A8" w:rsidRPr="00FA7872" w:rsidRDefault="005366A8" w:rsidP="005366A8">
      <w:pPr>
        <w:spacing w:after="60"/>
        <w:rPr>
          <w:b/>
          <w:bCs/>
          <w:sz w:val="20"/>
          <w:szCs w:val="20"/>
          <w:rtl/>
        </w:rPr>
      </w:pPr>
    </w:p>
    <w:p w:rsidR="005366A8" w:rsidRPr="00FA7872" w:rsidRDefault="005366A8" w:rsidP="005366A8">
      <w:pPr>
        <w:spacing w:after="60"/>
        <w:ind w:left="720"/>
        <w:rPr>
          <w:b/>
          <w:bCs/>
          <w:sz w:val="20"/>
          <w:szCs w:val="20"/>
          <w:rtl/>
        </w:rPr>
      </w:pPr>
      <w:r w:rsidRPr="00FA7872">
        <w:rPr>
          <w:b/>
          <w:bCs/>
          <w:sz w:val="20"/>
          <w:szCs w:val="20"/>
          <w:rtl/>
        </w:rPr>
        <w:t xml:space="preserve">4. </w:t>
      </w:r>
      <w:r w:rsidRPr="00FA7872">
        <w:rPr>
          <w:sz w:val="20"/>
          <w:szCs w:val="20"/>
          <w:rtl/>
        </w:rPr>
        <w:t>פגיעה בחופש העיסוק</w:t>
      </w:r>
      <w:r w:rsidRPr="00FA7872">
        <w:rPr>
          <w:b/>
          <w:bCs/>
          <w:sz w:val="20"/>
          <w:szCs w:val="20"/>
          <w:rtl/>
        </w:rPr>
        <w:t xml:space="preserve"> </w:t>
      </w:r>
    </w:p>
    <w:p w:rsidR="005366A8" w:rsidRPr="00FA7872" w:rsidRDefault="005366A8" w:rsidP="005366A8">
      <w:pPr>
        <w:spacing w:after="60"/>
        <w:rPr>
          <w:b/>
          <w:bCs/>
          <w:sz w:val="20"/>
          <w:szCs w:val="20"/>
          <w:rtl/>
        </w:rPr>
      </w:pPr>
      <w:r w:rsidRPr="00FA7872">
        <w:rPr>
          <w:b/>
          <w:bCs/>
          <w:sz w:val="20"/>
          <w:szCs w:val="20"/>
          <w:rtl/>
        </w:rPr>
        <w:t xml:space="preserve">אין פוגעים בחופש העיסוק אלא בחוק ההולם את ערכיה של מדינת ישראל, שנועד לתכלית ראויה, ובמידה שאינה עולה על הנדרש, או לפי חוק כאמור מכוח הסמכה מפורשת בו. </w:t>
      </w:r>
    </w:p>
    <w:p w:rsidR="005366A8" w:rsidRPr="00FA7872" w:rsidRDefault="005366A8" w:rsidP="005366A8">
      <w:pPr>
        <w:spacing w:after="60"/>
        <w:rPr>
          <w:b/>
          <w:bCs/>
          <w:sz w:val="20"/>
          <w:szCs w:val="20"/>
          <w:rtl/>
        </w:rPr>
      </w:pPr>
    </w:p>
    <w:p w:rsidR="005366A8" w:rsidRPr="00FA7872" w:rsidRDefault="005366A8" w:rsidP="005366A8">
      <w:pPr>
        <w:spacing w:after="60"/>
        <w:ind w:left="720"/>
        <w:rPr>
          <w:b/>
          <w:bCs/>
          <w:sz w:val="20"/>
          <w:szCs w:val="20"/>
          <w:rtl/>
        </w:rPr>
      </w:pPr>
      <w:r w:rsidRPr="00FA7872">
        <w:rPr>
          <w:b/>
          <w:bCs/>
          <w:sz w:val="20"/>
          <w:szCs w:val="20"/>
          <w:rtl/>
        </w:rPr>
        <w:t xml:space="preserve">5. </w:t>
      </w:r>
      <w:r w:rsidRPr="00FA7872">
        <w:rPr>
          <w:sz w:val="20"/>
          <w:szCs w:val="20"/>
          <w:rtl/>
        </w:rPr>
        <w:t>תחולה</w:t>
      </w:r>
      <w:r w:rsidRPr="00FA7872">
        <w:rPr>
          <w:b/>
          <w:bCs/>
          <w:sz w:val="20"/>
          <w:szCs w:val="20"/>
          <w:rtl/>
        </w:rPr>
        <w:t xml:space="preserve"> </w:t>
      </w:r>
    </w:p>
    <w:p w:rsidR="005366A8" w:rsidRPr="00FA7872" w:rsidRDefault="005366A8" w:rsidP="005366A8">
      <w:pPr>
        <w:spacing w:after="60"/>
        <w:rPr>
          <w:b/>
          <w:bCs/>
          <w:sz w:val="20"/>
          <w:szCs w:val="20"/>
          <w:rtl/>
        </w:rPr>
      </w:pPr>
      <w:r w:rsidRPr="00FA7872">
        <w:rPr>
          <w:b/>
          <w:bCs/>
          <w:sz w:val="20"/>
          <w:szCs w:val="20"/>
          <w:rtl/>
        </w:rPr>
        <w:t xml:space="preserve">כל רשות מרשויות השלטון חייבת לכבד את חופש העיסוק של כל אזרח או תושב. </w:t>
      </w:r>
    </w:p>
    <w:p w:rsidR="005366A8" w:rsidRPr="00FA7872" w:rsidRDefault="005366A8" w:rsidP="005366A8">
      <w:pPr>
        <w:spacing w:after="60"/>
        <w:rPr>
          <w:b/>
          <w:bCs/>
          <w:sz w:val="20"/>
          <w:szCs w:val="20"/>
          <w:rtl/>
        </w:rPr>
      </w:pPr>
    </w:p>
    <w:p w:rsidR="005366A8" w:rsidRPr="00FA7872" w:rsidRDefault="005366A8" w:rsidP="005366A8">
      <w:pPr>
        <w:spacing w:after="60"/>
        <w:ind w:left="720"/>
        <w:rPr>
          <w:b/>
          <w:bCs/>
          <w:sz w:val="20"/>
          <w:szCs w:val="20"/>
          <w:rtl/>
        </w:rPr>
      </w:pPr>
      <w:r w:rsidRPr="00FA7872">
        <w:rPr>
          <w:b/>
          <w:bCs/>
          <w:sz w:val="20"/>
          <w:szCs w:val="20"/>
          <w:rtl/>
        </w:rPr>
        <w:t xml:space="preserve">6. </w:t>
      </w:r>
      <w:r w:rsidRPr="00FA7872">
        <w:rPr>
          <w:sz w:val="20"/>
          <w:szCs w:val="20"/>
          <w:rtl/>
        </w:rPr>
        <w:t>יציבות</w:t>
      </w:r>
      <w:r w:rsidRPr="00FA7872">
        <w:rPr>
          <w:b/>
          <w:bCs/>
          <w:sz w:val="20"/>
          <w:szCs w:val="20"/>
          <w:rtl/>
        </w:rPr>
        <w:t xml:space="preserve"> </w:t>
      </w:r>
    </w:p>
    <w:p w:rsidR="005366A8" w:rsidRPr="00FA7872" w:rsidRDefault="005366A8" w:rsidP="005366A8">
      <w:pPr>
        <w:spacing w:after="60"/>
        <w:rPr>
          <w:b/>
          <w:bCs/>
          <w:sz w:val="20"/>
          <w:szCs w:val="20"/>
          <w:rtl/>
        </w:rPr>
      </w:pPr>
      <w:r w:rsidRPr="00FA7872">
        <w:rPr>
          <w:b/>
          <w:bCs/>
          <w:sz w:val="20"/>
          <w:szCs w:val="20"/>
          <w:rtl/>
        </w:rPr>
        <w:t xml:space="preserve">אין בכוחן של תקנות-שעת-חירום לשנות חוק-יסוד זה, להפקיע זמנית את תוקפו או לקבוע בו תנאים. </w:t>
      </w:r>
    </w:p>
    <w:p w:rsidR="005366A8" w:rsidRPr="00FA7872" w:rsidRDefault="005366A8" w:rsidP="005366A8">
      <w:pPr>
        <w:spacing w:after="60"/>
        <w:rPr>
          <w:b/>
          <w:bCs/>
          <w:sz w:val="20"/>
          <w:szCs w:val="20"/>
          <w:rtl/>
        </w:rPr>
      </w:pPr>
    </w:p>
    <w:p w:rsidR="005366A8" w:rsidRPr="00EF4C58" w:rsidRDefault="005366A8" w:rsidP="005366A8">
      <w:pPr>
        <w:spacing w:after="60"/>
        <w:ind w:left="720"/>
        <w:rPr>
          <w:b/>
          <w:bCs/>
          <w:sz w:val="20"/>
          <w:szCs w:val="20"/>
          <w:highlight w:val="yellow"/>
          <w:rtl/>
        </w:rPr>
      </w:pPr>
      <w:r w:rsidRPr="00FA7872">
        <w:rPr>
          <w:b/>
          <w:bCs/>
          <w:sz w:val="20"/>
          <w:szCs w:val="20"/>
          <w:rtl/>
        </w:rPr>
        <w:t xml:space="preserve">7. </w:t>
      </w:r>
      <w:r w:rsidRPr="00EF4C58">
        <w:rPr>
          <w:sz w:val="20"/>
          <w:szCs w:val="20"/>
          <w:highlight w:val="yellow"/>
          <w:rtl/>
        </w:rPr>
        <w:t>נוקשות</w:t>
      </w:r>
      <w:r w:rsidRPr="00EF4C58">
        <w:rPr>
          <w:b/>
          <w:bCs/>
          <w:sz w:val="20"/>
          <w:szCs w:val="20"/>
          <w:highlight w:val="yellow"/>
          <w:rtl/>
        </w:rPr>
        <w:t xml:space="preserve"> </w:t>
      </w:r>
    </w:p>
    <w:p w:rsidR="005366A8" w:rsidRPr="00FA7872" w:rsidRDefault="005366A8" w:rsidP="005366A8">
      <w:pPr>
        <w:spacing w:after="60"/>
        <w:rPr>
          <w:b/>
          <w:bCs/>
          <w:sz w:val="20"/>
          <w:szCs w:val="20"/>
          <w:rtl/>
        </w:rPr>
      </w:pPr>
      <w:r w:rsidRPr="00EF4C58">
        <w:rPr>
          <w:b/>
          <w:bCs/>
          <w:sz w:val="20"/>
          <w:szCs w:val="20"/>
          <w:highlight w:val="yellow"/>
          <w:rtl/>
        </w:rPr>
        <w:t>אין לשנות חוק-יסוד זה אלא בחוק-יסוד שנתקבל ברוב של חברי הכנסת.</w:t>
      </w:r>
      <w:r w:rsidRPr="00FA7872">
        <w:rPr>
          <w:b/>
          <w:bCs/>
          <w:sz w:val="20"/>
          <w:szCs w:val="20"/>
          <w:rtl/>
        </w:rPr>
        <w:t xml:space="preserve"> </w:t>
      </w:r>
    </w:p>
    <w:p w:rsidR="005366A8" w:rsidRPr="00FA7872" w:rsidRDefault="005366A8" w:rsidP="005366A8">
      <w:pPr>
        <w:spacing w:after="60"/>
        <w:rPr>
          <w:b/>
          <w:bCs/>
          <w:sz w:val="20"/>
          <w:szCs w:val="20"/>
          <w:rtl/>
        </w:rPr>
      </w:pPr>
    </w:p>
    <w:p w:rsidR="005366A8" w:rsidRPr="00FA7872" w:rsidRDefault="005366A8" w:rsidP="005366A8">
      <w:pPr>
        <w:spacing w:after="60"/>
        <w:ind w:left="720"/>
        <w:rPr>
          <w:b/>
          <w:bCs/>
          <w:sz w:val="20"/>
          <w:szCs w:val="20"/>
          <w:rtl/>
        </w:rPr>
      </w:pPr>
      <w:r w:rsidRPr="00FA7872">
        <w:rPr>
          <w:b/>
          <w:bCs/>
          <w:sz w:val="20"/>
          <w:szCs w:val="20"/>
          <w:rtl/>
        </w:rPr>
        <w:t xml:space="preserve">8. </w:t>
      </w:r>
      <w:r w:rsidRPr="00FA7872">
        <w:rPr>
          <w:sz w:val="20"/>
          <w:szCs w:val="20"/>
          <w:rtl/>
        </w:rPr>
        <w:t>תוקפו של חוק חורג [תיקון: תשנ"ח]</w:t>
      </w:r>
    </w:p>
    <w:p w:rsidR="005366A8" w:rsidRPr="00FA7872" w:rsidRDefault="005366A8" w:rsidP="005366A8">
      <w:pPr>
        <w:spacing w:after="60"/>
        <w:rPr>
          <w:b/>
          <w:bCs/>
          <w:sz w:val="20"/>
          <w:szCs w:val="20"/>
          <w:rtl/>
        </w:rPr>
      </w:pPr>
      <w:r w:rsidRPr="00FA7872">
        <w:rPr>
          <w:b/>
          <w:bCs/>
          <w:sz w:val="20"/>
          <w:szCs w:val="20"/>
          <w:rtl/>
        </w:rPr>
        <w:t xml:space="preserve">(א) הוראת חוק הפוגעת בחופש העיסוק תהיה תקפה אף כשאינה בהתאם לסעיף 4, אם נכללה בחוק שנתקבל ברוב של חברי הכנסת ונאמר בו במפורש, שהוא תקף על אף האמור בחוק-יסוד זה; תוקפו של חוק כאמור יפקע בתום ארבע שנים מיום תחילתו, זולת אם נקבע בו מועד מוקדם יותר. </w:t>
      </w:r>
    </w:p>
    <w:p w:rsidR="005366A8" w:rsidRPr="00FA7872" w:rsidRDefault="005366A8" w:rsidP="005366A8">
      <w:pPr>
        <w:spacing w:after="60"/>
        <w:rPr>
          <w:b/>
          <w:bCs/>
          <w:sz w:val="20"/>
          <w:szCs w:val="20"/>
          <w:rtl/>
        </w:rPr>
      </w:pPr>
      <w:r w:rsidRPr="00FA7872">
        <w:rPr>
          <w:b/>
          <w:bCs/>
          <w:sz w:val="20"/>
          <w:szCs w:val="20"/>
          <w:rtl/>
        </w:rPr>
        <w:t>(ב) ההוראה בדבר פקיעת תוקף, כאמור בסעיף קטן (א), לא תחול על חוק שהתקבל לפני תום שנה ממועד תחילתו של חוק-יסוד זה.</w:t>
      </w:r>
    </w:p>
    <w:p w:rsidR="005366A8" w:rsidRDefault="005366A8" w:rsidP="005366A8">
      <w:pPr>
        <w:spacing w:after="60"/>
        <w:rPr>
          <w:b/>
          <w:bCs/>
          <w:sz w:val="20"/>
          <w:szCs w:val="20"/>
          <w:rtl/>
        </w:rPr>
      </w:pPr>
    </w:p>
    <w:p w:rsidR="005366A8" w:rsidRDefault="005366A8" w:rsidP="005366A8">
      <w:pPr>
        <w:spacing w:after="60"/>
        <w:rPr>
          <w:b/>
          <w:bCs/>
          <w:sz w:val="20"/>
          <w:szCs w:val="20"/>
          <w:rtl/>
        </w:rPr>
      </w:pPr>
      <w:r>
        <w:rPr>
          <w:rFonts w:hint="cs"/>
          <w:b/>
          <w:bCs/>
          <w:sz w:val="20"/>
          <w:szCs w:val="20"/>
          <w:rtl/>
        </w:rPr>
        <w:t>...</w:t>
      </w:r>
    </w:p>
    <w:p w:rsidR="005366A8" w:rsidRDefault="005366A8" w:rsidP="005366A8">
      <w:pPr>
        <w:spacing w:after="60"/>
        <w:rPr>
          <w:sz w:val="20"/>
          <w:szCs w:val="20"/>
          <w:rtl/>
        </w:rPr>
      </w:pPr>
      <w:r>
        <w:rPr>
          <w:rFonts w:hint="cs"/>
          <w:sz w:val="20"/>
          <w:szCs w:val="20"/>
          <w:rtl/>
        </w:rPr>
        <w:t>=-=</w:t>
      </w:r>
    </w:p>
    <w:p w:rsidR="005366A8" w:rsidRPr="004517FE" w:rsidRDefault="005366A8" w:rsidP="005366A8">
      <w:pPr>
        <w:spacing w:after="60"/>
        <w:jc w:val="center"/>
        <w:rPr>
          <w:rFonts w:cs="Arial"/>
          <w:b/>
          <w:bCs/>
          <w:highlight w:val="yellow"/>
          <w:u w:val="single"/>
          <w:rtl/>
        </w:rPr>
      </w:pPr>
      <w:r w:rsidRPr="004517FE">
        <w:rPr>
          <w:rFonts w:cs="Arial" w:hint="cs"/>
          <w:b/>
          <w:bCs/>
          <w:highlight w:val="yellow"/>
          <w:u w:val="single"/>
          <w:rtl/>
        </w:rPr>
        <w:t>1. היש סמכות מכוננת בישראל?</w:t>
      </w:r>
    </w:p>
    <w:p w:rsidR="005366A8" w:rsidRPr="004517FE" w:rsidRDefault="005366A8" w:rsidP="005366A8">
      <w:pPr>
        <w:spacing w:after="60"/>
        <w:jc w:val="center"/>
        <w:rPr>
          <w:rFonts w:cs="Arial"/>
          <w:highlight w:val="yellow"/>
          <w:u w:val="single"/>
          <w:rtl/>
        </w:rPr>
      </w:pPr>
      <w:r w:rsidRPr="004517FE">
        <w:rPr>
          <w:rFonts w:cs="Arial" w:hint="cs"/>
          <w:b/>
          <w:bCs/>
          <w:highlight w:val="yellow"/>
          <w:u w:val="single"/>
          <w:rtl/>
        </w:rPr>
        <w:t xml:space="preserve">2. </w:t>
      </w:r>
      <w:r w:rsidRPr="004517FE">
        <w:rPr>
          <w:rFonts w:cs="Arial"/>
          <w:b/>
          <w:bCs/>
          <w:highlight w:val="yellow"/>
          <w:u w:val="single"/>
          <w:rtl/>
        </w:rPr>
        <w:t>ה</w:t>
      </w:r>
      <w:r w:rsidRPr="004517FE">
        <w:rPr>
          <w:rFonts w:cs="Arial" w:hint="cs"/>
          <w:b/>
          <w:bCs/>
          <w:highlight w:val="yellow"/>
          <w:u w:val="single"/>
          <w:rtl/>
        </w:rPr>
        <w:t>אם כוננה מכוחה של סמכות זו חוקה</w:t>
      </w:r>
      <w:r w:rsidRPr="004517FE">
        <w:rPr>
          <w:rFonts w:cs="Arial"/>
          <w:b/>
          <w:bCs/>
          <w:highlight w:val="yellow"/>
          <w:u w:val="single"/>
          <w:rtl/>
        </w:rPr>
        <w:t xml:space="preserve"> לישראל</w:t>
      </w:r>
      <w:r w:rsidRPr="004517FE">
        <w:rPr>
          <w:rFonts w:cs="Arial"/>
          <w:highlight w:val="yellow"/>
          <w:u w:val="single"/>
          <w:rtl/>
        </w:rPr>
        <w:t>?</w:t>
      </w:r>
    </w:p>
    <w:p w:rsidR="005366A8" w:rsidRDefault="005366A8" w:rsidP="005366A8">
      <w:pPr>
        <w:pStyle w:val="T-body"/>
        <w:spacing w:after="60" w:line="240" w:lineRule="auto"/>
        <w:rPr>
          <w:sz w:val="20"/>
          <w:szCs w:val="20"/>
          <w:rtl/>
        </w:rPr>
      </w:pPr>
    </w:p>
    <w:p w:rsidR="005366A8" w:rsidRPr="00324DC2" w:rsidRDefault="005366A8" w:rsidP="005366A8">
      <w:pPr>
        <w:spacing w:after="60"/>
        <w:ind w:left="720" w:hanging="720"/>
        <w:rPr>
          <w:b/>
          <w:bCs/>
          <w:highlight w:val="yellow"/>
          <w:rtl/>
        </w:rPr>
      </w:pPr>
      <w:r w:rsidRPr="00324DC2">
        <w:rPr>
          <w:rFonts w:hint="cs"/>
          <w:b/>
          <w:bCs/>
          <w:highlight w:val="yellow"/>
          <w:rtl/>
        </w:rPr>
        <w:t xml:space="preserve">התפיסה החוקתית שבטרם "המהפכה החוקתית" </w:t>
      </w:r>
      <w:r w:rsidRPr="00324DC2">
        <w:rPr>
          <w:b/>
          <w:bCs/>
          <w:highlight w:val="yellow"/>
          <w:rtl/>
        </w:rPr>
        <w:t>–</w:t>
      </w:r>
      <w:r w:rsidRPr="00324DC2">
        <w:rPr>
          <w:rFonts w:hint="cs"/>
          <w:b/>
          <w:bCs/>
          <w:highlight w:val="yellow"/>
          <w:rtl/>
        </w:rPr>
        <w:t xml:space="preserve"> בטרם חוקי היסוד 'החדשים' בתחום זכויות האדם ובטרם בנק המזרחי.</w:t>
      </w:r>
    </w:p>
    <w:p w:rsidR="005366A8" w:rsidRDefault="005366A8" w:rsidP="005366A8">
      <w:pPr>
        <w:spacing w:after="60"/>
        <w:ind w:left="1440" w:hanging="720"/>
        <w:rPr>
          <w:highlight w:val="yellow"/>
          <w:rtl/>
        </w:rPr>
      </w:pPr>
      <w:r>
        <w:rPr>
          <w:rFonts w:hint="cs"/>
          <w:highlight w:val="yellow"/>
          <w:rtl/>
        </w:rPr>
        <w:t>דפי הפגישה הקודמת</w:t>
      </w:r>
    </w:p>
    <w:p w:rsidR="005366A8" w:rsidRPr="00C63EA4" w:rsidRDefault="005366A8" w:rsidP="005366A8">
      <w:pPr>
        <w:spacing w:after="60"/>
        <w:ind w:left="1440" w:hanging="720"/>
        <w:rPr>
          <w:highlight w:val="yellow"/>
          <w:rtl/>
        </w:rPr>
      </w:pPr>
    </w:p>
    <w:p w:rsidR="005366A8" w:rsidRDefault="005366A8" w:rsidP="005366A8">
      <w:pPr>
        <w:spacing w:after="60"/>
        <w:rPr>
          <w:highlight w:val="yellow"/>
          <w:rtl/>
        </w:rPr>
      </w:pPr>
      <w:r>
        <w:rPr>
          <w:rFonts w:hint="cs"/>
          <w:highlight w:val="yellow"/>
          <w:rtl/>
        </w:rPr>
        <w:t>=-=</w:t>
      </w:r>
    </w:p>
    <w:p w:rsidR="005366A8" w:rsidRPr="00CF1617" w:rsidRDefault="005366A8" w:rsidP="005366A8">
      <w:pPr>
        <w:spacing w:after="60"/>
        <w:jc w:val="center"/>
        <w:rPr>
          <w:rFonts w:cs="Guttman-Soncino"/>
          <w:b/>
          <w:bCs/>
          <w:sz w:val="32"/>
          <w:szCs w:val="32"/>
          <w:rtl/>
        </w:rPr>
      </w:pPr>
      <w:r w:rsidRPr="00CF1617">
        <w:rPr>
          <w:rFonts w:cs="Guttman-Soncino" w:hint="cs"/>
          <w:b/>
          <w:bCs/>
          <w:sz w:val="32"/>
          <w:szCs w:val="32"/>
          <w:highlight w:val="yellow"/>
          <w:rtl/>
        </w:rPr>
        <w:t>החוקה הפורמאלית: ה</w:t>
      </w:r>
      <w:r w:rsidRPr="00CF1617">
        <w:rPr>
          <w:rFonts w:cs="Guttman-Soncino"/>
          <w:b/>
          <w:bCs/>
          <w:sz w:val="32"/>
          <w:szCs w:val="32"/>
          <w:highlight w:val="yellow"/>
          <w:rtl/>
        </w:rPr>
        <w:t>סמכות המכוננת של הכנסת</w:t>
      </w:r>
    </w:p>
    <w:p w:rsidR="005366A8" w:rsidRPr="00CF1617" w:rsidRDefault="005366A8" w:rsidP="005366A8">
      <w:pPr>
        <w:spacing w:after="60"/>
        <w:jc w:val="center"/>
        <w:rPr>
          <w:rFonts w:ascii="Arial" w:hAnsi="Arial" w:cs="Guttman-Soncino"/>
          <w:b/>
          <w:bCs/>
          <w:rtl/>
        </w:rPr>
      </w:pPr>
      <w:r w:rsidRPr="00CF1617">
        <w:rPr>
          <w:rFonts w:ascii="Arial" w:hAnsi="Arial" w:cs="Guttman-Soncino" w:hint="cs"/>
          <w:b/>
          <w:bCs/>
          <w:highlight w:val="yellow"/>
          <w:rtl/>
        </w:rPr>
        <w:t xml:space="preserve">השאלה הגדולה והכרעתה: היש סמכות מכוננת בידי הכנסת? </w:t>
      </w:r>
      <w:r w:rsidRPr="00CF1617">
        <w:rPr>
          <w:rFonts w:ascii="Arial" w:hAnsi="Arial" w:cs="Guttman-Soncino"/>
          <w:b/>
          <w:bCs/>
          <w:highlight w:val="yellow"/>
          <w:rtl/>
        </w:rPr>
        <w:t>–</w:t>
      </w:r>
      <w:r w:rsidRPr="00CF1617">
        <w:rPr>
          <w:rFonts w:ascii="Arial" w:hAnsi="Arial" w:cs="Guttman-Soncino" w:hint="cs"/>
          <w:b/>
          <w:bCs/>
          <w:highlight w:val="yellow"/>
          <w:rtl/>
        </w:rPr>
        <w:t xml:space="preserve"> פס"ד בנק המזרח</w:t>
      </w:r>
      <w:r w:rsidRPr="00C63EA4">
        <w:rPr>
          <w:rFonts w:ascii="Arial" w:hAnsi="Arial" w:cs="Guttman-Soncino" w:hint="cs"/>
          <w:b/>
          <w:bCs/>
          <w:highlight w:val="yellow"/>
          <w:rtl/>
        </w:rPr>
        <w:t>י (1995)</w:t>
      </w:r>
    </w:p>
    <w:p w:rsidR="005366A8" w:rsidRDefault="005366A8" w:rsidP="005366A8">
      <w:pPr>
        <w:spacing w:after="60"/>
        <w:rPr>
          <w:rFonts w:ascii="Arial" w:hAnsi="Arial" w:cs="Arial"/>
          <w:szCs w:val="22"/>
          <w:rtl/>
        </w:rPr>
      </w:pPr>
    </w:p>
    <w:p w:rsidR="005366A8" w:rsidRPr="00EC08D2" w:rsidRDefault="005366A8" w:rsidP="005366A8">
      <w:pPr>
        <w:spacing w:after="60"/>
        <w:rPr>
          <w:rFonts w:ascii="Arial" w:hAnsi="Arial" w:cs="Arial"/>
          <w:szCs w:val="22"/>
          <w:rtl/>
        </w:rPr>
      </w:pPr>
      <w:r w:rsidRPr="00EC08D2">
        <w:rPr>
          <w:rFonts w:ascii="Arial" w:hAnsi="Arial" w:cs="Arial"/>
          <w:szCs w:val="22"/>
          <w:rtl/>
        </w:rPr>
        <w:t>הנשיא ברק, סע' 5 לפסק דינו ב</w:t>
      </w:r>
      <w:r w:rsidRPr="00EC08D2">
        <w:rPr>
          <w:rFonts w:ascii="Arial" w:hAnsi="Arial" w:cs="Arial"/>
          <w:b/>
          <w:bCs/>
          <w:szCs w:val="22"/>
          <w:rtl/>
        </w:rPr>
        <w:t>בנק המזרחי</w:t>
      </w:r>
      <w:r w:rsidRPr="00EC08D2">
        <w:rPr>
          <w:rFonts w:ascii="Arial" w:hAnsi="Arial" w:cs="Arial"/>
          <w:szCs w:val="22"/>
          <w:rtl/>
        </w:rPr>
        <w:t>:</w:t>
      </w:r>
    </w:p>
    <w:p w:rsidR="005366A8" w:rsidRPr="00F27EF8" w:rsidRDefault="005366A8" w:rsidP="005366A8">
      <w:pPr>
        <w:spacing w:after="60"/>
        <w:ind w:left="720"/>
        <w:rPr>
          <w:rFonts w:cs="FrankRuehl"/>
          <w:sz w:val="22"/>
          <w:szCs w:val="22"/>
          <w:rtl/>
        </w:rPr>
      </w:pPr>
      <w:r w:rsidRPr="00F27EF8">
        <w:rPr>
          <w:rFonts w:cs="FrankRuehl" w:hint="cs"/>
          <w:sz w:val="22"/>
          <w:szCs w:val="22"/>
          <w:rtl/>
        </w:rPr>
        <w:t>כדי לקבוע חוקה, המצויה ברמה נורמאטיבית עליונה על חוק, נדרשת לכנסת נקודת</w:t>
      </w:r>
      <w:r w:rsidRPr="00F27EF8">
        <w:rPr>
          <w:rFonts w:cs="FrankRuehl"/>
          <w:sz w:val="22"/>
          <w:szCs w:val="22"/>
          <w:rtl/>
        </w:rPr>
        <w:t xml:space="preserve"> </w:t>
      </w:r>
      <w:r w:rsidRPr="00F27EF8">
        <w:rPr>
          <w:rFonts w:cs="FrankRuehl" w:hint="cs"/>
          <w:sz w:val="22"/>
          <w:szCs w:val="22"/>
          <w:rtl/>
        </w:rPr>
        <w:t>אחיזה ארכימדית, המצויה מחוץ לחוקה או לחוק, אשר מעניקה לה את הסמכות לכונן</w:t>
      </w:r>
      <w:r w:rsidRPr="00F27EF8">
        <w:rPr>
          <w:rFonts w:cs="FrankRuehl"/>
          <w:sz w:val="22"/>
          <w:szCs w:val="22"/>
          <w:rtl/>
        </w:rPr>
        <w:t xml:space="preserve"> </w:t>
      </w:r>
      <w:r w:rsidRPr="00F27EF8">
        <w:rPr>
          <w:rFonts w:cs="FrankRuehl" w:hint="cs"/>
          <w:sz w:val="22"/>
          <w:szCs w:val="22"/>
          <w:rtl/>
        </w:rPr>
        <w:t>חוקה. החוקה אינה יכולה ליצור את הסמכות שתיצור אותה. חוק אינו יכול ליצור</w:t>
      </w:r>
      <w:r w:rsidRPr="00F27EF8">
        <w:rPr>
          <w:rFonts w:cs="FrankRuehl"/>
          <w:sz w:val="22"/>
          <w:szCs w:val="22"/>
          <w:rtl/>
        </w:rPr>
        <w:t xml:space="preserve"> </w:t>
      </w:r>
      <w:r w:rsidRPr="00F27EF8">
        <w:rPr>
          <w:rFonts w:cs="FrankRuehl" w:hint="cs"/>
          <w:sz w:val="22"/>
          <w:szCs w:val="22"/>
          <w:rtl/>
        </w:rPr>
        <w:t>חוקה אשר החוק כפוף לה. החוק אינו יכול ליצור את הסמכות שתיצור אותו. מעשה</w:t>
      </w:r>
      <w:r w:rsidRPr="00F27EF8">
        <w:rPr>
          <w:rFonts w:cs="FrankRuehl"/>
          <w:sz w:val="22"/>
          <w:szCs w:val="22"/>
          <w:rtl/>
        </w:rPr>
        <w:t xml:space="preserve"> </w:t>
      </w:r>
      <w:r w:rsidRPr="00F27EF8">
        <w:rPr>
          <w:rFonts w:cs="FrankRuehl" w:hint="cs"/>
          <w:sz w:val="22"/>
          <w:szCs w:val="22"/>
          <w:rtl/>
        </w:rPr>
        <w:t>חוקה מחייב תמיד נקודת אחיזה שמחוץ לגוף המחוקק. נקודת אחיזה זו צריכה לינוק</w:t>
      </w:r>
      <w:r w:rsidRPr="00F27EF8">
        <w:rPr>
          <w:rFonts w:cs="FrankRuehl"/>
          <w:sz w:val="22"/>
          <w:szCs w:val="22"/>
          <w:rtl/>
        </w:rPr>
        <w:t xml:space="preserve"> </w:t>
      </w:r>
      <w:r w:rsidRPr="00F27EF8">
        <w:rPr>
          <w:rFonts w:cs="FrankRuehl" w:hint="cs"/>
          <w:sz w:val="22"/>
          <w:szCs w:val="22"/>
          <w:rtl/>
        </w:rPr>
        <w:t>עצמה מהעם, אשר הריבונות שייכת לו. אכן, ביסוד תורת הסמכות המכוננת של הכנסת</w:t>
      </w:r>
      <w:r w:rsidRPr="00F27EF8">
        <w:rPr>
          <w:rFonts w:cs="FrankRuehl"/>
          <w:sz w:val="22"/>
          <w:szCs w:val="22"/>
          <w:rtl/>
        </w:rPr>
        <w:t xml:space="preserve"> </w:t>
      </w:r>
      <w:r w:rsidRPr="00F27EF8">
        <w:rPr>
          <w:rFonts w:cs="FrankRuehl" w:hint="cs"/>
          <w:sz w:val="22"/>
          <w:szCs w:val="22"/>
          <w:rtl/>
        </w:rPr>
        <w:t>עומדת התפיסה כי סמכותה המכוננת של הכנסת באה לה מהריבון, כלומר מהעם.</w:t>
      </w:r>
    </w:p>
    <w:p w:rsidR="005366A8" w:rsidRPr="00E55884" w:rsidRDefault="005366A8" w:rsidP="005366A8">
      <w:pPr>
        <w:spacing w:after="60"/>
        <w:rPr>
          <w:rFonts w:ascii="Arial" w:hAnsi="Arial" w:cs="Arial"/>
          <w:b/>
          <w:bCs/>
          <w:sz w:val="22"/>
          <w:szCs w:val="22"/>
          <w:rtl/>
        </w:rPr>
      </w:pPr>
      <w:r w:rsidRPr="00E55884">
        <w:rPr>
          <w:rFonts w:ascii="Arial" w:hAnsi="Arial" w:cs="Arial"/>
          <w:sz w:val="22"/>
          <w:szCs w:val="22"/>
          <w:rtl/>
        </w:rPr>
        <w:t>השופט חשין, בפתח פסק דינו ב</w:t>
      </w:r>
      <w:r w:rsidRPr="00E55884">
        <w:rPr>
          <w:rFonts w:ascii="Arial" w:hAnsi="Arial" w:cs="Arial"/>
          <w:b/>
          <w:bCs/>
          <w:sz w:val="22"/>
          <w:szCs w:val="22"/>
          <w:rtl/>
        </w:rPr>
        <w:t xml:space="preserve">בנק המזרחי: </w:t>
      </w:r>
    </w:p>
    <w:p w:rsidR="005366A8" w:rsidRPr="00E55884" w:rsidRDefault="005366A8" w:rsidP="005366A8">
      <w:pPr>
        <w:spacing w:after="60"/>
        <w:ind w:left="720"/>
        <w:rPr>
          <w:rFonts w:cs="FrankRuehl"/>
          <w:sz w:val="22"/>
          <w:szCs w:val="22"/>
          <w:rtl/>
        </w:rPr>
      </w:pPr>
      <w:r w:rsidRPr="00533FF0">
        <w:rPr>
          <w:rFonts w:cs="FrankRuehl" w:hint="cs"/>
          <w:sz w:val="22"/>
          <w:szCs w:val="22"/>
          <w:highlight w:val="yellow"/>
          <w:rtl/>
        </w:rPr>
        <w:t>דומני כי למיום היות בית המשפט העליון לישראל - למיום היווסדו ועד עתה - לא עלתה לפניו שאלה גדולה וחשובה כשאלת סמכותה המכוננת של הכנסת לחוקק חוקה לישראל, כשאלה אם ניתנה חוקה לישראל</w:t>
      </w:r>
      <w:r w:rsidRPr="00E55884">
        <w:rPr>
          <w:rFonts w:cs="FrankRuehl" w:hint="cs"/>
          <w:sz w:val="22"/>
          <w:szCs w:val="22"/>
          <w:rtl/>
        </w:rPr>
        <w:t>, [...]</w:t>
      </w:r>
    </w:p>
    <w:p w:rsidR="005366A8" w:rsidRPr="00E82C32" w:rsidRDefault="005366A8" w:rsidP="005366A8">
      <w:pPr>
        <w:spacing w:after="60"/>
        <w:jc w:val="center"/>
        <w:rPr>
          <w:rFonts w:ascii="Arial" w:hAnsi="Arial" w:cs="Arial"/>
          <w:b/>
          <w:bCs/>
          <w:sz w:val="20"/>
          <w:szCs w:val="20"/>
          <w:u w:val="single"/>
          <w:rtl/>
        </w:rPr>
      </w:pPr>
      <w:r w:rsidRPr="00E82C32">
        <w:rPr>
          <w:rFonts w:ascii="Arial" w:hAnsi="Arial" w:cs="Arial"/>
          <w:b/>
          <w:bCs/>
          <w:sz w:val="20"/>
          <w:szCs w:val="20"/>
          <w:u w:val="single"/>
          <w:rtl/>
        </w:rPr>
        <w:t xml:space="preserve">השופט חשין </w:t>
      </w:r>
      <w:r w:rsidRPr="00E82C32">
        <w:rPr>
          <w:rFonts w:ascii="Arial" w:hAnsi="Arial" w:cs="Arial"/>
          <w:b/>
          <w:bCs/>
          <w:sz w:val="20"/>
          <w:szCs w:val="20"/>
          <w:u w:val="single"/>
        </w:rPr>
        <w:t>–</w:t>
      </w:r>
      <w:r w:rsidRPr="00E82C32">
        <w:rPr>
          <w:rFonts w:ascii="Arial" w:hAnsi="Arial" w:cs="Arial"/>
          <w:b/>
          <w:bCs/>
          <w:sz w:val="20"/>
          <w:szCs w:val="20"/>
          <w:u w:val="single"/>
          <w:rtl/>
        </w:rPr>
        <w:t xml:space="preserve"> </w:t>
      </w:r>
      <w:r w:rsidRPr="006A45E5">
        <w:rPr>
          <w:rFonts w:ascii="Arial" w:hAnsi="Arial" w:cs="Arial"/>
          <w:b/>
          <w:bCs/>
          <w:sz w:val="20"/>
          <w:szCs w:val="20"/>
          <w:highlight w:val="yellow"/>
          <w:u w:val="single"/>
          <w:rtl/>
        </w:rPr>
        <w:t>עמדת המיעוט</w:t>
      </w:r>
    </w:p>
    <w:p w:rsidR="005366A8" w:rsidRPr="00E82C32" w:rsidRDefault="005366A8" w:rsidP="005366A8">
      <w:pPr>
        <w:spacing w:after="60"/>
        <w:jc w:val="center"/>
        <w:rPr>
          <w:rFonts w:ascii="Arial" w:hAnsi="Arial" w:cs="Arial"/>
          <w:b/>
          <w:bCs/>
          <w:sz w:val="20"/>
          <w:szCs w:val="20"/>
          <w:u w:val="single"/>
          <w:rtl/>
        </w:rPr>
      </w:pPr>
    </w:p>
    <w:p w:rsidR="005366A8" w:rsidRPr="004A2B7E" w:rsidRDefault="005366A8" w:rsidP="005366A8">
      <w:pPr>
        <w:spacing w:after="60"/>
        <w:rPr>
          <w:sz w:val="20"/>
          <w:szCs w:val="20"/>
          <w:rtl/>
        </w:rPr>
      </w:pPr>
      <w:r>
        <w:rPr>
          <w:rFonts w:hint="cs"/>
          <w:sz w:val="20"/>
          <w:szCs w:val="20"/>
          <w:rtl/>
        </w:rPr>
        <w:t xml:space="preserve">^ </w:t>
      </w:r>
      <w:r w:rsidRPr="004A2B7E">
        <w:rPr>
          <w:sz w:val="20"/>
          <w:szCs w:val="20"/>
          <w:rtl/>
        </w:rPr>
        <w:t>דחיית תורת שני הכתרים</w:t>
      </w:r>
      <w:r w:rsidRPr="004A2B7E">
        <w:rPr>
          <w:rFonts w:hint="cs"/>
          <w:sz w:val="20"/>
          <w:szCs w:val="20"/>
          <w:rtl/>
        </w:rPr>
        <w:t>/ שני הכובעים</w:t>
      </w:r>
      <w:r w:rsidRPr="004A2B7E">
        <w:rPr>
          <w:sz w:val="20"/>
          <w:szCs w:val="20"/>
          <w:rtl/>
        </w:rPr>
        <w:t>, שלפיה בידי הכנסת שני סוגים נפרדים של סמכויות; חוקתית וחקיקתית.</w:t>
      </w:r>
      <w:r>
        <w:rPr>
          <w:sz w:val="20"/>
          <w:szCs w:val="20"/>
          <w:rtl/>
        </w:rPr>
        <w:t xml:space="preserve"> </w:t>
      </w:r>
    </w:p>
    <w:p w:rsidR="005366A8" w:rsidRPr="004A2B7E" w:rsidRDefault="005366A8" w:rsidP="005366A8">
      <w:pPr>
        <w:spacing w:after="60"/>
        <w:rPr>
          <w:sz w:val="20"/>
          <w:szCs w:val="20"/>
          <w:rtl/>
        </w:rPr>
      </w:pPr>
      <w:r>
        <w:rPr>
          <w:rFonts w:hint="cs"/>
          <w:sz w:val="20"/>
          <w:szCs w:val="20"/>
          <w:rtl/>
        </w:rPr>
        <w:t xml:space="preserve">^ </w:t>
      </w:r>
      <w:r w:rsidRPr="004A2B7E">
        <w:rPr>
          <w:sz w:val="20"/>
          <w:szCs w:val="20"/>
          <w:rtl/>
        </w:rPr>
        <w:t>ל</w:t>
      </w:r>
      <w:r>
        <w:rPr>
          <w:rFonts w:hint="cs"/>
          <w:sz w:val="20"/>
          <w:szCs w:val="20"/>
          <w:rtl/>
        </w:rPr>
        <w:t>"</w:t>
      </w:r>
      <w:r w:rsidRPr="004A2B7E">
        <w:rPr>
          <w:sz w:val="20"/>
          <w:szCs w:val="20"/>
          <w:rtl/>
        </w:rPr>
        <w:t>אסיפה המכוננת</w:t>
      </w:r>
      <w:r>
        <w:rPr>
          <w:rFonts w:hint="cs"/>
          <w:sz w:val="20"/>
          <w:szCs w:val="20"/>
          <w:rtl/>
        </w:rPr>
        <w:t>"</w:t>
      </w:r>
      <w:r w:rsidRPr="004A2B7E">
        <w:rPr>
          <w:sz w:val="20"/>
          <w:szCs w:val="20"/>
          <w:rtl/>
        </w:rPr>
        <w:t xml:space="preserve"> </w:t>
      </w:r>
      <w:r>
        <w:rPr>
          <w:rFonts w:hint="cs"/>
          <w:sz w:val="20"/>
          <w:szCs w:val="20"/>
          <w:rtl/>
        </w:rPr>
        <w:t xml:space="preserve">(הכנסת הראשונה) </w:t>
      </w:r>
      <w:r w:rsidRPr="004A2B7E">
        <w:rPr>
          <w:sz w:val="20"/>
          <w:szCs w:val="20"/>
          <w:rtl/>
        </w:rPr>
        <w:t xml:space="preserve">לא היתה סמכות להעביר את כוחה המכונן לגוף אחר; </w:t>
      </w:r>
    </w:p>
    <w:p w:rsidR="005366A8" w:rsidRPr="004A2B7E" w:rsidRDefault="005366A8" w:rsidP="005366A8">
      <w:pPr>
        <w:spacing w:after="60"/>
        <w:rPr>
          <w:sz w:val="20"/>
          <w:szCs w:val="20"/>
          <w:rtl/>
        </w:rPr>
      </w:pPr>
      <w:r>
        <w:rPr>
          <w:rFonts w:hint="cs"/>
          <w:sz w:val="20"/>
          <w:szCs w:val="20"/>
          <w:rtl/>
        </w:rPr>
        <w:t xml:space="preserve">^ </w:t>
      </w:r>
      <w:r w:rsidRPr="004A2B7E">
        <w:rPr>
          <w:sz w:val="20"/>
          <w:szCs w:val="20"/>
          <w:rtl/>
        </w:rPr>
        <w:t>ובכל אופן, גם לוּ היתה לה סמכות כזו, הרציפות החוקתית נקטעה משום שהאסיפה המכוננת לא עשתה כל פעול</w:t>
      </w:r>
      <w:r>
        <w:rPr>
          <w:rFonts w:hint="cs"/>
          <w:sz w:val="20"/>
          <w:szCs w:val="20"/>
          <w:rtl/>
        </w:rPr>
        <w:t>ה של העברת סמכותה זו</w:t>
      </w:r>
      <w:r w:rsidRPr="004A2B7E">
        <w:rPr>
          <w:sz w:val="20"/>
          <w:szCs w:val="20"/>
          <w:rtl/>
        </w:rPr>
        <w:t>.</w:t>
      </w:r>
      <w:r>
        <w:rPr>
          <w:sz w:val="20"/>
          <w:szCs w:val="20"/>
          <w:rtl/>
        </w:rPr>
        <w:t xml:space="preserve"> </w:t>
      </w:r>
    </w:p>
    <w:p w:rsidR="005366A8" w:rsidRDefault="005366A8" w:rsidP="005366A8">
      <w:pPr>
        <w:spacing w:after="60"/>
        <w:ind w:left="720" w:hanging="720"/>
        <w:rPr>
          <w:sz w:val="20"/>
          <w:szCs w:val="20"/>
          <w:rtl/>
        </w:rPr>
      </w:pPr>
      <w:r>
        <w:rPr>
          <w:rFonts w:hint="cs"/>
          <w:sz w:val="20"/>
          <w:szCs w:val="20"/>
          <w:rtl/>
        </w:rPr>
        <w:t xml:space="preserve">^ </w:t>
      </w:r>
      <w:r w:rsidRPr="004A2B7E">
        <w:rPr>
          <w:sz w:val="20"/>
          <w:szCs w:val="20"/>
          <w:rtl/>
        </w:rPr>
        <w:t xml:space="preserve">השופט חשין גם מצביע על הקשיים, חוסר האחידות והסכנות הצפויות מאימוץ תורת שני הכתרים, מנקודת ראות דמוקרטית ומנקודת הראות של התפתחות המשפט החוקתי בישראל: העדר קונסנזוס חברתי, היעדר פרוצדורה </w:t>
      </w:r>
      <w:r w:rsidRPr="004A2B7E">
        <w:rPr>
          <w:rFonts w:hint="cs"/>
          <w:sz w:val="20"/>
          <w:szCs w:val="20"/>
          <w:rtl/>
        </w:rPr>
        <w:t>ברורה וראויה</w:t>
      </w:r>
      <w:r w:rsidRPr="004A2B7E">
        <w:rPr>
          <w:sz w:val="20"/>
          <w:szCs w:val="20"/>
          <w:rtl/>
        </w:rPr>
        <w:t xml:space="preserve"> לגיבוש החוקה, ועוד.</w:t>
      </w:r>
    </w:p>
    <w:p w:rsidR="005366A8" w:rsidRPr="004A2B7E" w:rsidRDefault="005366A8" w:rsidP="005366A8">
      <w:pPr>
        <w:spacing w:after="60"/>
        <w:ind w:left="720" w:hanging="720"/>
        <w:rPr>
          <w:sz w:val="20"/>
          <w:szCs w:val="20"/>
          <w:rtl/>
        </w:rPr>
      </w:pPr>
      <w:r>
        <w:rPr>
          <w:rFonts w:hint="cs"/>
          <w:sz w:val="20"/>
          <w:szCs w:val="20"/>
          <w:rtl/>
        </w:rPr>
        <w:t xml:space="preserve">^ עם זאת, השופט חשין מצהיר על כך שלבית המשפט יש סמכות לביקורת שיפוטית מטא-טקסטואלית בעת פגיעה בוטה של המחוקק/הכנסת בעקרונות היסוד של ישראל (והוא ביקש להפעיל אותה, מעשית, מאוחר יותר בשנת 2006, בפס"ד המיעוט שלו בפס"ד </w:t>
      </w:r>
      <w:r w:rsidRPr="00700ABA">
        <w:rPr>
          <w:rFonts w:hint="cs"/>
          <w:b/>
          <w:bCs/>
          <w:sz w:val="20"/>
          <w:szCs w:val="20"/>
          <w:rtl/>
        </w:rPr>
        <w:t>חוק טל 1</w:t>
      </w:r>
      <w:r>
        <w:rPr>
          <w:rFonts w:hint="cs"/>
          <w:sz w:val="20"/>
          <w:szCs w:val="20"/>
          <w:rtl/>
        </w:rPr>
        <w:t>).</w:t>
      </w:r>
    </w:p>
    <w:p w:rsidR="005366A8" w:rsidRDefault="005366A8" w:rsidP="005366A8">
      <w:pPr>
        <w:tabs>
          <w:tab w:val="left" w:pos="-720"/>
        </w:tabs>
        <w:spacing w:after="60"/>
        <w:rPr>
          <w:rFonts w:cs="David"/>
          <w:sz w:val="18"/>
          <w:szCs w:val="18"/>
          <w:rtl/>
        </w:rPr>
      </w:pPr>
      <w:r>
        <w:rPr>
          <w:rFonts w:hint="cs"/>
          <w:u w:val="single"/>
          <w:rtl/>
        </w:rPr>
        <w:t>[וראו דפי הפגישה הקודמת ביחס לעיקרי נימוקיו של השופט חשין]</w:t>
      </w:r>
    </w:p>
    <w:p w:rsidR="005366A8" w:rsidRPr="00AC1E76" w:rsidRDefault="005366A8" w:rsidP="005366A8">
      <w:pPr>
        <w:tabs>
          <w:tab w:val="left" w:pos="-720"/>
        </w:tabs>
        <w:spacing w:after="60"/>
        <w:rPr>
          <w:rFonts w:cs="David"/>
          <w:sz w:val="18"/>
          <w:szCs w:val="18"/>
          <w:rtl/>
        </w:rPr>
      </w:pPr>
    </w:p>
    <w:p w:rsidR="005366A8" w:rsidRPr="00E82C32" w:rsidRDefault="005366A8" w:rsidP="005366A8">
      <w:pPr>
        <w:spacing w:after="60"/>
        <w:jc w:val="center"/>
        <w:rPr>
          <w:rFonts w:ascii="Arial" w:hAnsi="Arial" w:cs="Arial"/>
          <w:b/>
          <w:bCs/>
          <w:sz w:val="20"/>
          <w:szCs w:val="20"/>
          <w:rtl/>
        </w:rPr>
      </w:pPr>
      <w:r w:rsidRPr="00AC1E76">
        <w:rPr>
          <w:rFonts w:ascii="Arial" w:hAnsi="Arial" w:cs="Arial"/>
          <w:b/>
          <w:bCs/>
          <w:sz w:val="20"/>
          <w:szCs w:val="20"/>
          <w:highlight w:val="yellow"/>
          <w:u w:val="single"/>
          <w:rtl/>
        </w:rPr>
        <w:t>עמדת הרוב בבית המשפט העליון</w:t>
      </w:r>
    </w:p>
    <w:p w:rsidR="005366A8" w:rsidRPr="00E82C32" w:rsidRDefault="005366A8" w:rsidP="005366A8">
      <w:pPr>
        <w:spacing w:after="60"/>
        <w:rPr>
          <w:rFonts w:ascii="Arial" w:hAnsi="Arial" w:cs="Arial"/>
          <w:b/>
          <w:bCs/>
          <w:sz w:val="20"/>
          <w:szCs w:val="20"/>
          <w:rtl/>
        </w:rPr>
      </w:pPr>
      <w:r w:rsidRPr="000E744C">
        <w:rPr>
          <w:rFonts w:ascii="Arial" w:hAnsi="Arial" w:cs="Arial"/>
          <w:b/>
          <w:bCs/>
          <w:sz w:val="20"/>
          <w:szCs w:val="20"/>
          <w:rtl/>
        </w:rPr>
        <w:t>א. מהלכה של הכנסת להעניק הגנה חוקתית (לחלק) מזכויות האדם</w:t>
      </w:r>
      <w:r w:rsidRPr="000E744C">
        <w:rPr>
          <w:rFonts w:ascii="Arial" w:hAnsi="Arial" w:cs="Arial" w:hint="cs"/>
          <w:b/>
          <w:bCs/>
          <w:sz w:val="20"/>
          <w:szCs w:val="20"/>
          <w:rtl/>
        </w:rPr>
        <w:t xml:space="preserve"> ולמוסדות יסוד והסדרי יסוד של המדינה</w:t>
      </w:r>
      <w:r w:rsidRPr="000E744C">
        <w:rPr>
          <w:rFonts w:ascii="Arial" w:hAnsi="Arial" w:cs="Arial"/>
          <w:b/>
          <w:bCs/>
          <w:sz w:val="20"/>
          <w:szCs w:val="20"/>
          <w:rtl/>
        </w:rPr>
        <w:t xml:space="preserve"> </w:t>
      </w:r>
      <w:r w:rsidRPr="000E744C">
        <w:rPr>
          <w:rFonts w:ascii="Arial" w:hAnsi="Arial" w:cs="Arial"/>
          <w:b/>
          <w:bCs/>
          <w:sz w:val="20"/>
          <w:szCs w:val="20"/>
        </w:rPr>
        <w:t>–</w:t>
      </w:r>
      <w:r w:rsidRPr="000E744C">
        <w:rPr>
          <w:rFonts w:ascii="Arial" w:hAnsi="Arial" w:cs="Arial"/>
          <w:b/>
          <w:bCs/>
          <w:sz w:val="20"/>
          <w:szCs w:val="20"/>
          <w:rtl/>
        </w:rPr>
        <w:t xml:space="preserve"> </w:t>
      </w:r>
      <w:r w:rsidRPr="000E744C">
        <w:rPr>
          <w:rFonts w:ascii="Arial" w:hAnsi="Arial" w:cs="Arial" w:hint="cs"/>
          <w:b/>
          <w:bCs/>
          <w:sz w:val="20"/>
          <w:szCs w:val="20"/>
          <w:rtl/>
        </w:rPr>
        <w:t xml:space="preserve">בין היתר, </w:t>
      </w:r>
      <w:r w:rsidRPr="000E744C">
        <w:rPr>
          <w:rFonts w:ascii="Arial" w:hAnsi="Arial" w:cs="Arial"/>
          <w:b/>
          <w:bCs/>
          <w:sz w:val="20"/>
          <w:szCs w:val="20"/>
          <w:rtl/>
        </w:rPr>
        <w:t>על דרך הגבלתה שלה</w:t>
      </w:r>
      <w:r w:rsidRPr="000E744C">
        <w:rPr>
          <w:rFonts w:ascii="Arial" w:hAnsi="Arial" w:cs="Arial" w:hint="cs"/>
          <w:b/>
          <w:bCs/>
          <w:sz w:val="20"/>
          <w:szCs w:val="20"/>
          <w:rtl/>
        </w:rPr>
        <w:t>, של הכנסת, בפוֹעלה</w:t>
      </w:r>
      <w:r w:rsidRPr="000E744C">
        <w:rPr>
          <w:rFonts w:ascii="Arial" w:hAnsi="Arial" w:cs="Arial"/>
          <w:b/>
          <w:bCs/>
          <w:sz w:val="20"/>
          <w:szCs w:val="20"/>
          <w:rtl/>
        </w:rPr>
        <w:t xml:space="preserve"> כרשות מחוקקת </w:t>
      </w:r>
      <w:r w:rsidRPr="000E744C">
        <w:rPr>
          <w:rFonts w:ascii="Arial" w:hAnsi="Arial" w:cs="Arial"/>
          <w:b/>
          <w:bCs/>
          <w:sz w:val="20"/>
          <w:szCs w:val="20"/>
        </w:rPr>
        <w:t>–</w:t>
      </w:r>
      <w:r w:rsidRPr="000E744C">
        <w:rPr>
          <w:rFonts w:ascii="Arial" w:hAnsi="Arial" w:cs="Arial"/>
          <w:b/>
          <w:bCs/>
          <w:sz w:val="20"/>
          <w:szCs w:val="20"/>
          <w:rtl/>
        </w:rPr>
        <w:t xml:space="preserve"> הצליח; שכן </w:t>
      </w:r>
      <w:r w:rsidRPr="000E744C">
        <w:rPr>
          <w:rFonts w:ascii="Arial" w:hAnsi="Arial" w:cs="Arial"/>
          <w:b/>
          <w:bCs/>
          <w:i/>
          <w:iCs/>
          <w:sz w:val="20"/>
          <w:szCs w:val="20"/>
          <w:rtl/>
        </w:rPr>
        <w:t>יש לה לכנסת סמכות מכוננת</w:t>
      </w:r>
      <w:r w:rsidRPr="00E82C32">
        <w:rPr>
          <w:rFonts w:ascii="Arial" w:hAnsi="Arial" w:cs="Arial"/>
          <w:b/>
          <w:bCs/>
          <w:sz w:val="20"/>
          <w:szCs w:val="20"/>
          <w:rtl/>
        </w:rPr>
        <w:t>.</w:t>
      </w:r>
      <w:r>
        <w:rPr>
          <w:rFonts w:ascii="Arial" w:hAnsi="Arial" w:cs="Arial"/>
          <w:b/>
          <w:bCs/>
          <w:sz w:val="20"/>
          <w:szCs w:val="20"/>
          <w:rtl/>
        </w:rPr>
        <w:t xml:space="preserve"> </w:t>
      </w:r>
    </w:p>
    <w:p w:rsidR="005366A8" w:rsidRPr="00E82C32" w:rsidRDefault="005366A8" w:rsidP="005366A8">
      <w:pPr>
        <w:spacing w:after="60"/>
        <w:rPr>
          <w:rFonts w:ascii="Arial" w:hAnsi="Arial" w:cs="Arial"/>
          <w:b/>
          <w:bCs/>
          <w:sz w:val="20"/>
          <w:szCs w:val="20"/>
          <w:rtl/>
        </w:rPr>
      </w:pPr>
      <w:r w:rsidRPr="00E82C32">
        <w:rPr>
          <w:rFonts w:ascii="Arial" w:hAnsi="Arial" w:cs="Arial"/>
          <w:b/>
          <w:bCs/>
          <w:sz w:val="20"/>
          <w:szCs w:val="20"/>
          <w:rtl/>
        </w:rPr>
        <w:t xml:space="preserve">ב. זיהוי חוקי היסוד כפירות </w:t>
      </w:r>
      <w:r>
        <w:rPr>
          <w:rFonts w:ascii="Arial" w:hAnsi="Arial" w:cs="Arial" w:hint="cs"/>
          <w:b/>
          <w:bCs/>
          <w:sz w:val="20"/>
          <w:szCs w:val="20"/>
          <w:rtl/>
        </w:rPr>
        <w:t xml:space="preserve">של </w:t>
      </w:r>
      <w:r w:rsidRPr="00E82C32">
        <w:rPr>
          <w:rFonts w:ascii="Arial" w:hAnsi="Arial" w:cs="Arial"/>
          <w:b/>
          <w:bCs/>
          <w:sz w:val="20"/>
          <w:szCs w:val="20"/>
          <w:rtl/>
        </w:rPr>
        <w:t xml:space="preserve">הפעלת הסמכות המכוננת משפיע על מכלול מעמדם. הוא מעניק להם </w:t>
      </w:r>
      <w:r w:rsidRPr="00E82C32">
        <w:rPr>
          <w:rFonts w:ascii="Arial" w:hAnsi="Arial" w:cs="Arial"/>
          <w:b/>
          <w:bCs/>
          <w:i/>
          <w:iCs/>
          <w:sz w:val="20"/>
          <w:szCs w:val="20"/>
          <w:rtl/>
        </w:rPr>
        <w:t>עליונות</w:t>
      </w:r>
      <w:r>
        <w:rPr>
          <w:rFonts w:ascii="Arial" w:hAnsi="Arial" w:cs="Arial" w:hint="cs"/>
          <w:b/>
          <w:bCs/>
          <w:sz w:val="20"/>
          <w:szCs w:val="20"/>
          <w:rtl/>
        </w:rPr>
        <w:t xml:space="preserve"> ביחס לכל הנורמות הנמוכות יותר</w:t>
      </w:r>
      <w:r w:rsidRPr="00E82C32">
        <w:rPr>
          <w:rFonts w:ascii="Arial" w:hAnsi="Arial" w:cs="Arial"/>
          <w:b/>
          <w:bCs/>
          <w:sz w:val="20"/>
          <w:szCs w:val="20"/>
          <w:rtl/>
        </w:rPr>
        <w:t xml:space="preserve">, והוא מקנה לגיטימציה </w:t>
      </w:r>
      <w:r w:rsidRPr="00E82C32">
        <w:rPr>
          <w:rFonts w:ascii="Arial" w:hAnsi="Arial" w:cs="Arial"/>
          <w:b/>
          <w:bCs/>
          <w:i/>
          <w:iCs/>
          <w:sz w:val="20"/>
          <w:szCs w:val="20"/>
          <w:rtl/>
        </w:rPr>
        <w:t>למהל</w:t>
      </w:r>
      <w:r>
        <w:rPr>
          <w:rFonts w:ascii="Arial" w:hAnsi="Arial" w:cs="Arial" w:hint="cs"/>
          <w:b/>
          <w:bCs/>
          <w:i/>
          <w:iCs/>
          <w:sz w:val="20"/>
          <w:szCs w:val="20"/>
          <w:rtl/>
        </w:rPr>
        <w:t>כי</w:t>
      </w:r>
      <w:r w:rsidRPr="00E82C32">
        <w:rPr>
          <w:rFonts w:ascii="Arial" w:hAnsi="Arial" w:cs="Arial"/>
          <w:b/>
          <w:bCs/>
          <w:i/>
          <w:iCs/>
          <w:sz w:val="20"/>
          <w:szCs w:val="20"/>
          <w:rtl/>
        </w:rPr>
        <w:t xml:space="preserve"> </w:t>
      </w:r>
      <w:r>
        <w:rPr>
          <w:rFonts w:ascii="Arial" w:hAnsi="Arial" w:cs="Arial" w:hint="cs"/>
          <w:b/>
          <w:bCs/>
          <w:i/>
          <w:iCs/>
          <w:sz w:val="20"/>
          <w:szCs w:val="20"/>
          <w:rtl/>
        </w:rPr>
        <w:t>הכבילה העצמית</w:t>
      </w:r>
      <w:r w:rsidRPr="00E82C32">
        <w:rPr>
          <w:rFonts w:ascii="Arial" w:hAnsi="Arial" w:cs="Arial"/>
          <w:b/>
          <w:bCs/>
          <w:i/>
          <w:iCs/>
          <w:sz w:val="20"/>
          <w:szCs w:val="20"/>
          <w:rtl/>
        </w:rPr>
        <w:t xml:space="preserve"> (יצירת הנוקשות)</w:t>
      </w:r>
      <w:r w:rsidRPr="00E82C32">
        <w:rPr>
          <w:rFonts w:ascii="Arial" w:hAnsi="Arial" w:cs="Arial"/>
          <w:b/>
          <w:bCs/>
          <w:sz w:val="20"/>
          <w:szCs w:val="20"/>
          <w:rtl/>
        </w:rPr>
        <w:t xml:space="preserve"> ככל שתופיע בהם. </w:t>
      </w:r>
    </w:p>
    <w:p w:rsidR="005366A8" w:rsidRPr="00E82C32" w:rsidRDefault="005366A8" w:rsidP="005366A8">
      <w:pPr>
        <w:spacing w:after="60"/>
        <w:ind w:left="720"/>
        <w:rPr>
          <w:rFonts w:ascii="Arial" w:hAnsi="Arial" w:cs="Arial"/>
          <w:b/>
          <w:bCs/>
          <w:i/>
          <w:iCs/>
          <w:sz w:val="20"/>
          <w:szCs w:val="20"/>
          <w:rtl/>
        </w:rPr>
      </w:pPr>
      <w:r w:rsidRPr="00E82C32">
        <w:rPr>
          <w:rFonts w:ascii="Arial" w:hAnsi="Arial" w:cs="Arial"/>
          <w:b/>
          <w:bCs/>
          <w:i/>
          <w:iCs/>
          <w:sz w:val="20"/>
          <w:szCs w:val="20"/>
          <w:rtl/>
        </w:rPr>
        <w:t>קיימת על כן לישראל חוקה פורמלית (אמנם חלקית ובעייתית) – היא חוקי היסוד של ישראל.</w:t>
      </w:r>
    </w:p>
    <w:p w:rsidR="005366A8" w:rsidRPr="00E82C32" w:rsidRDefault="005366A8" w:rsidP="005366A8">
      <w:pPr>
        <w:spacing w:after="60"/>
        <w:rPr>
          <w:rFonts w:ascii="Arial" w:hAnsi="Arial" w:cs="Arial"/>
          <w:b/>
          <w:bCs/>
          <w:sz w:val="20"/>
          <w:szCs w:val="20"/>
          <w:rtl/>
        </w:rPr>
      </w:pPr>
    </w:p>
    <w:p w:rsidR="005366A8" w:rsidRPr="00E82C32" w:rsidRDefault="005366A8" w:rsidP="005366A8">
      <w:pPr>
        <w:spacing w:after="60"/>
        <w:rPr>
          <w:rFonts w:ascii="Arial" w:hAnsi="Arial" w:cs="Arial"/>
          <w:b/>
          <w:bCs/>
          <w:sz w:val="20"/>
          <w:szCs w:val="20"/>
          <w:rtl/>
        </w:rPr>
      </w:pPr>
      <w:r w:rsidRPr="00E82C32">
        <w:rPr>
          <w:rFonts w:ascii="Arial" w:hAnsi="Arial" w:cs="Arial"/>
          <w:b/>
          <w:bCs/>
          <w:sz w:val="20"/>
          <w:szCs w:val="20"/>
          <w:rtl/>
        </w:rPr>
        <w:t xml:space="preserve">ג. אחת המסקנות הנובעות מכך (וקונקרטית, מעליונותם של חוקי היסוד) היא </w:t>
      </w:r>
      <w:r w:rsidRPr="00E82C32">
        <w:rPr>
          <w:rFonts w:ascii="Arial" w:hAnsi="Arial" w:cs="Arial"/>
          <w:b/>
          <w:bCs/>
          <w:i/>
          <w:iCs/>
          <w:sz w:val="20"/>
          <w:szCs w:val="20"/>
          <w:rtl/>
        </w:rPr>
        <w:t>כי אין לשנות חוק יסוד אלא בחוק יסוד</w:t>
      </w:r>
      <w:r w:rsidRPr="00E82C32">
        <w:rPr>
          <w:rFonts w:ascii="Arial" w:hAnsi="Arial" w:cs="Arial"/>
          <w:b/>
          <w:bCs/>
          <w:sz w:val="20"/>
          <w:szCs w:val="20"/>
          <w:rtl/>
        </w:rPr>
        <w:t xml:space="preserve"> </w:t>
      </w:r>
    </w:p>
    <w:p w:rsidR="005366A8" w:rsidRPr="00E82C32" w:rsidRDefault="005366A8" w:rsidP="005366A8">
      <w:pPr>
        <w:spacing w:after="60"/>
        <w:ind w:left="720"/>
        <w:rPr>
          <w:rFonts w:ascii="Arial" w:hAnsi="Arial" w:cs="Arial"/>
          <w:b/>
          <w:bCs/>
          <w:sz w:val="20"/>
          <w:szCs w:val="20"/>
          <w:rtl/>
        </w:rPr>
      </w:pPr>
      <w:r w:rsidRPr="00E82C32">
        <w:rPr>
          <w:rFonts w:ascii="Arial" w:hAnsi="Arial" w:cs="Arial"/>
          <w:b/>
          <w:bCs/>
          <w:sz w:val="20"/>
          <w:szCs w:val="20"/>
          <w:rtl/>
        </w:rPr>
        <w:t xml:space="preserve">(ביחס </w:t>
      </w:r>
      <w:r>
        <w:rPr>
          <w:rFonts w:ascii="Arial" w:hAnsi="Arial" w:cs="Arial" w:hint="cs"/>
          <w:b/>
          <w:bCs/>
          <w:sz w:val="20"/>
          <w:szCs w:val="20"/>
          <w:rtl/>
        </w:rPr>
        <w:t>"</w:t>
      </w:r>
      <w:r w:rsidRPr="00E82C32">
        <w:rPr>
          <w:rFonts w:ascii="Arial" w:hAnsi="Arial" w:cs="Arial"/>
          <w:b/>
          <w:bCs/>
          <w:sz w:val="20"/>
          <w:szCs w:val="20"/>
          <w:rtl/>
        </w:rPr>
        <w:t>לפגיעה</w:t>
      </w:r>
      <w:r>
        <w:rPr>
          <w:rFonts w:ascii="Arial" w:hAnsi="Arial" w:cs="Arial" w:hint="cs"/>
          <w:b/>
          <w:bCs/>
          <w:sz w:val="20"/>
          <w:szCs w:val="20"/>
          <w:rtl/>
        </w:rPr>
        <w:t>"</w:t>
      </w:r>
      <w:r w:rsidRPr="00E82C32">
        <w:rPr>
          <w:rFonts w:ascii="Arial" w:hAnsi="Arial" w:cs="Arial"/>
          <w:b/>
          <w:bCs/>
          <w:sz w:val="20"/>
          <w:szCs w:val="20"/>
          <w:rtl/>
        </w:rPr>
        <w:t xml:space="preserve"> בחוק יסוד בחוק רגיל, להבדיל מניסיון לשנותו באמצעות חוק – </w:t>
      </w:r>
      <w:r>
        <w:rPr>
          <w:rFonts w:ascii="Arial" w:hAnsi="Arial" w:cs="Arial" w:hint="cs"/>
          <w:b/>
          <w:bCs/>
          <w:sz w:val="20"/>
          <w:szCs w:val="20"/>
          <w:rtl/>
        </w:rPr>
        <w:t>בכך נדון</w:t>
      </w:r>
      <w:r w:rsidRPr="00E82C32">
        <w:rPr>
          <w:rFonts w:ascii="Arial" w:hAnsi="Arial" w:cs="Arial"/>
          <w:b/>
          <w:bCs/>
          <w:sz w:val="20"/>
          <w:szCs w:val="20"/>
          <w:rtl/>
        </w:rPr>
        <w:t xml:space="preserve"> בהמשך). </w:t>
      </w:r>
    </w:p>
    <w:p w:rsidR="005366A8" w:rsidRPr="00E82C32" w:rsidRDefault="005366A8" w:rsidP="005366A8">
      <w:pPr>
        <w:spacing w:after="60"/>
        <w:rPr>
          <w:rFonts w:ascii="Arial" w:hAnsi="Arial" w:cs="Arial"/>
          <w:b/>
          <w:bCs/>
          <w:sz w:val="20"/>
          <w:szCs w:val="20"/>
          <w:rtl/>
        </w:rPr>
      </w:pPr>
      <w:r w:rsidRPr="00E82C32">
        <w:rPr>
          <w:rFonts w:ascii="Arial" w:hAnsi="Arial" w:cs="Arial"/>
          <w:b/>
          <w:bCs/>
          <w:sz w:val="20"/>
          <w:szCs w:val="20"/>
          <w:rtl/>
        </w:rPr>
        <w:t xml:space="preserve">ד. </w:t>
      </w:r>
      <w:r w:rsidRPr="00E82C32">
        <w:rPr>
          <w:rFonts w:ascii="Arial" w:hAnsi="Arial" w:cs="Arial"/>
          <w:b/>
          <w:bCs/>
          <w:i/>
          <w:iCs/>
          <w:sz w:val="20"/>
          <w:szCs w:val="20"/>
          <w:rtl/>
        </w:rPr>
        <w:t>נתונה לבתי המשפט סמכות לביקורת שיפוטית חוקתית</w:t>
      </w:r>
      <w:r w:rsidRPr="00E82C32">
        <w:rPr>
          <w:rFonts w:ascii="Arial" w:hAnsi="Arial" w:cs="Arial"/>
          <w:b/>
          <w:bCs/>
          <w:sz w:val="20"/>
          <w:szCs w:val="20"/>
          <w:rtl/>
        </w:rPr>
        <w:t>.</w:t>
      </w:r>
    </w:p>
    <w:p w:rsidR="005366A8" w:rsidRPr="00E82C32" w:rsidRDefault="005366A8" w:rsidP="005366A8">
      <w:pPr>
        <w:pStyle w:val="Heading2"/>
        <w:spacing w:after="60"/>
        <w:rPr>
          <w:rFonts w:ascii="Arial" w:hAnsi="Arial" w:cs="Arial"/>
          <w:sz w:val="20"/>
          <w:szCs w:val="20"/>
          <w:rtl/>
        </w:rPr>
      </w:pPr>
      <w:r w:rsidRPr="00E82C32">
        <w:rPr>
          <w:rFonts w:ascii="Arial" w:hAnsi="Arial" w:cs="Arial"/>
          <w:sz w:val="20"/>
          <w:szCs w:val="20"/>
          <w:rtl/>
        </w:rPr>
        <w:t>ה. נפתחת בצורה יותר מפורשת האפשרות לביקורת מטא-טקסטואלית של בית המשפט על הכרעות הכנסת, ואף על אלו מהן שהיא מקבלת או מציגה כמקבלת מכוח סמכותה המכוננת.</w:t>
      </w:r>
      <w:r>
        <w:rPr>
          <w:rFonts w:ascii="Arial" w:hAnsi="Arial" w:cs="Arial"/>
          <w:sz w:val="20"/>
          <w:szCs w:val="20"/>
          <w:rtl/>
        </w:rPr>
        <w:t xml:space="preserve"> </w:t>
      </w:r>
      <w:r w:rsidRPr="00E82C32">
        <w:rPr>
          <w:rFonts w:ascii="Arial" w:hAnsi="Arial" w:cs="Arial"/>
          <w:sz w:val="20"/>
          <w:szCs w:val="20"/>
          <w:rtl/>
        </w:rPr>
        <w:t>אפשרות זו לא נקבעה באופן חד (נותרה בצריך עיון), ואם תופעל ודאי תהיה נדירה ביותר, ותחול רק כנגד פגיעה קשה ממש באושיותיה של מדינת ישראל כמדינה "יהודית ודמוקרטית".</w:t>
      </w:r>
    </w:p>
    <w:p w:rsidR="005366A8" w:rsidRPr="00E82C32" w:rsidRDefault="005366A8" w:rsidP="005366A8">
      <w:pPr>
        <w:spacing w:after="60"/>
        <w:rPr>
          <w:sz w:val="20"/>
          <w:szCs w:val="20"/>
          <w:rtl/>
        </w:rPr>
      </w:pPr>
    </w:p>
    <w:p w:rsidR="005366A8" w:rsidRPr="00E82C32" w:rsidRDefault="005366A8" w:rsidP="005366A8">
      <w:pPr>
        <w:pStyle w:val="Heading2"/>
        <w:spacing w:after="60"/>
        <w:rPr>
          <w:sz w:val="20"/>
          <w:szCs w:val="20"/>
          <w:rtl/>
        </w:rPr>
      </w:pPr>
      <w:r>
        <w:rPr>
          <w:rFonts w:hint="cs"/>
          <w:sz w:val="20"/>
          <w:szCs w:val="20"/>
          <w:rtl/>
        </w:rPr>
        <w:t xml:space="preserve">להלן עיקר </w:t>
      </w:r>
      <w:r w:rsidRPr="00E82C32">
        <w:rPr>
          <w:sz w:val="20"/>
          <w:szCs w:val="20"/>
          <w:rtl/>
        </w:rPr>
        <w:t>תשובותיו של הנשיא ברק לטיעוניו של שופט המיעוט חשין</w:t>
      </w:r>
      <w:r>
        <w:rPr>
          <w:rFonts w:hint="cs"/>
          <w:sz w:val="20"/>
          <w:szCs w:val="20"/>
          <w:rtl/>
        </w:rPr>
        <w:t>:</w:t>
      </w:r>
    </w:p>
    <w:p w:rsidR="005366A8" w:rsidRPr="00E82C32" w:rsidRDefault="005366A8" w:rsidP="005366A8">
      <w:pPr>
        <w:spacing w:after="60"/>
        <w:rPr>
          <w:sz w:val="20"/>
          <w:szCs w:val="20"/>
          <w:rtl/>
        </w:rPr>
      </w:pPr>
      <w:r w:rsidRPr="00E82C32">
        <w:rPr>
          <w:sz w:val="20"/>
          <w:szCs w:val="20"/>
          <w:rtl/>
        </w:rPr>
        <w:t>43 [</w:t>
      </w:r>
      <w:r w:rsidRPr="00E82C32">
        <w:rPr>
          <w:sz w:val="20"/>
          <w:szCs w:val="20"/>
        </w:rPr>
        <w:t>…</w:t>
      </w:r>
      <w:r w:rsidRPr="00E82C32">
        <w:rPr>
          <w:sz w:val="20"/>
          <w:szCs w:val="20"/>
          <w:rtl/>
        </w:rPr>
        <w:t xml:space="preserve">] </w:t>
      </w:r>
      <w:r w:rsidRPr="00991308">
        <w:rPr>
          <w:rFonts w:hint="cs"/>
          <w:sz w:val="20"/>
          <w:szCs w:val="20"/>
          <w:rtl/>
        </w:rPr>
        <w:t xml:space="preserve">(א) </w:t>
      </w:r>
      <w:r w:rsidRPr="00991308">
        <w:rPr>
          <w:rFonts w:hint="cs"/>
          <w:sz w:val="20"/>
          <w:szCs w:val="20"/>
          <w:highlight w:val="yellow"/>
          <w:rtl/>
        </w:rPr>
        <w:t>חברי מדגיש כי הכנסת הראשונה - זו שעל דעת הכל הייתה מוסמכת ליתן חוקה</w:t>
      </w:r>
      <w:r w:rsidRPr="00991308">
        <w:rPr>
          <w:sz w:val="20"/>
          <w:szCs w:val="20"/>
          <w:highlight w:val="yellow"/>
          <w:rtl/>
        </w:rPr>
        <w:t xml:space="preserve"> </w:t>
      </w:r>
      <w:r w:rsidRPr="00991308">
        <w:rPr>
          <w:rFonts w:hint="cs"/>
          <w:sz w:val="20"/>
          <w:szCs w:val="20"/>
          <w:highlight w:val="yellow"/>
          <w:rtl/>
        </w:rPr>
        <w:t>לישראל - לא הייתה מוסמכת להעביר את סמכותה לכנסת השנייה, ואף אם הייתה</w:t>
      </w:r>
      <w:r w:rsidRPr="00991308">
        <w:rPr>
          <w:sz w:val="20"/>
          <w:szCs w:val="20"/>
          <w:highlight w:val="yellow"/>
          <w:rtl/>
        </w:rPr>
        <w:t xml:space="preserve"> </w:t>
      </w:r>
      <w:r w:rsidRPr="00991308">
        <w:rPr>
          <w:rFonts w:hint="cs"/>
          <w:sz w:val="20"/>
          <w:szCs w:val="20"/>
          <w:highlight w:val="yellow"/>
          <w:rtl/>
        </w:rPr>
        <w:t>מוסמכת לכך, לא נתכוונה לכך. תשובתי הפשוטה לכך הינה כי רעיון ההעברה או</w:t>
      </w:r>
      <w:r w:rsidRPr="00991308">
        <w:rPr>
          <w:sz w:val="20"/>
          <w:szCs w:val="20"/>
          <w:highlight w:val="yellow"/>
          <w:rtl/>
        </w:rPr>
        <w:t xml:space="preserve"> </w:t>
      </w:r>
      <w:r w:rsidRPr="00991308">
        <w:rPr>
          <w:rFonts w:hint="cs"/>
          <w:sz w:val="20"/>
          <w:szCs w:val="20"/>
          <w:highlight w:val="yellow"/>
          <w:rtl/>
        </w:rPr>
        <w:t xml:space="preserve">השליחות, לפיו אין שלוח עושה שלוח, אינו תופס בענייננו. לכנסת הוענקה </w:t>
      </w:r>
      <w:r w:rsidRPr="00991308">
        <w:rPr>
          <w:sz w:val="20"/>
          <w:szCs w:val="20"/>
          <w:highlight w:val="yellow"/>
        </w:rPr>
        <w:t>–</w:t>
      </w:r>
      <w:r w:rsidRPr="00991308">
        <w:rPr>
          <w:rFonts w:hint="cs"/>
          <w:sz w:val="20"/>
          <w:szCs w:val="20"/>
          <w:highlight w:val="yellow"/>
          <w:rtl/>
        </w:rPr>
        <w:t xml:space="preserve"> מכוחה</w:t>
      </w:r>
      <w:r w:rsidRPr="00991308">
        <w:rPr>
          <w:sz w:val="20"/>
          <w:szCs w:val="20"/>
          <w:highlight w:val="yellow"/>
          <w:rtl/>
        </w:rPr>
        <w:t xml:space="preserve"> </w:t>
      </w:r>
      <w:r w:rsidRPr="00991308">
        <w:rPr>
          <w:rFonts w:hint="cs"/>
          <w:sz w:val="20"/>
          <w:szCs w:val="20"/>
          <w:highlight w:val="yellow"/>
          <w:rtl/>
        </w:rPr>
        <w:t xml:space="preserve">של הנורמה הבסיסית ועל-פי תפיסות היסוד של החברה הישראלית </w:t>
      </w:r>
      <w:r>
        <w:rPr>
          <w:sz w:val="20"/>
          <w:szCs w:val="20"/>
          <w:highlight w:val="yellow"/>
          <w:rtl/>
        </w:rPr>
        <w:t>–</w:t>
      </w:r>
      <w:r w:rsidRPr="00991308">
        <w:rPr>
          <w:rFonts w:hint="cs"/>
          <w:sz w:val="20"/>
          <w:szCs w:val="20"/>
          <w:highlight w:val="yellow"/>
          <w:rtl/>
        </w:rPr>
        <w:t xml:space="preserve"> הסמכות לכונן</w:t>
      </w:r>
      <w:r w:rsidRPr="00991308">
        <w:rPr>
          <w:sz w:val="20"/>
          <w:szCs w:val="20"/>
          <w:highlight w:val="yellow"/>
          <w:rtl/>
        </w:rPr>
        <w:t xml:space="preserve"> </w:t>
      </w:r>
      <w:r w:rsidRPr="00991308">
        <w:rPr>
          <w:rFonts w:hint="cs"/>
          <w:sz w:val="20"/>
          <w:szCs w:val="20"/>
          <w:highlight w:val="yellow"/>
          <w:rtl/>
        </w:rPr>
        <w:t>חוקה. סמכות זו נתונה לכל כנסת. הכנסת הראשונה לא העבירה סמכויות לכנסת</w:t>
      </w:r>
      <w:r w:rsidRPr="00991308">
        <w:rPr>
          <w:sz w:val="20"/>
          <w:szCs w:val="20"/>
          <w:highlight w:val="yellow"/>
          <w:rtl/>
        </w:rPr>
        <w:t xml:space="preserve"> </w:t>
      </w:r>
      <w:r w:rsidRPr="00991308">
        <w:rPr>
          <w:rFonts w:hint="cs"/>
          <w:sz w:val="20"/>
          <w:szCs w:val="20"/>
          <w:highlight w:val="yellow"/>
          <w:rtl/>
        </w:rPr>
        <w:t>השנייה, כשם שהכנסת השתים-עשרה לא העבירה את סמכות החקיקה לכנסת השלוש-עשרה.</w:t>
      </w:r>
      <w:r>
        <w:rPr>
          <w:sz w:val="20"/>
          <w:szCs w:val="20"/>
          <w:highlight w:val="yellow"/>
          <w:rtl/>
        </w:rPr>
        <w:t xml:space="preserve"> </w:t>
      </w:r>
      <w:r w:rsidRPr="00991308">
        <w:rPr>
          <w:rFonts w:hint="cs"/>
          <w:sz w:val="20"/>
          <w:szCs w:val="20"/>
          <w:highlight w:val="yellow"/>
          <w:rtl/>
        </w:rPr>
        <w:t>כנסת מאוחרת אינה שלוח משנה של כנסת קודמת. הכנסת היא אורגן מרכז של</w:t>
      </w:r>
      <w:r w:rsidRPr="00991308">
        <w:rPr>
          <w:sz w:val="20"/>
          <w:szCs w:val="20"/>
          <w:highlight w:val="yellow"/>
          <w:rtl/>
        </w:rPr>
        <w:t xml:space="preserve"> </w:t>
      </w:r>
      <w:r w:rsidRPr="00991308">
        <w:rPr>
          <w:rFonts w:hint="cs"/>
          <w:sz w:val="20"/>
          <w:szCs w:val="20"/>
          <w:highlight w:val="yellow"/>
          <w:rtl/>
        </w:rPr>
        <w:t>המדינה</w:t>
      </w:r>
      <w:r w:rsidRPr="00E82C32">
        <w:rPr>
          <w:rFonts w:hint="cs"/>
          <w:sz w:val="20"/>
          <w:szCs w:val="20"/>
          <w:rtl/>
        </w:rPr>
        <w:t xml:space="preserve">, שעל-פי המבנה החוקתי שלנו, נתונה לה סמכות מכוננת וסמכות מחוקקת. </w:t>
      </w:r>
      <w:r w:rsidRPr="00991308">
        <w:rPr>
          <w:rFonts w:hint="cs"/>
          <w:sz w:val="20"/>
          <w:szCs w:val="20"/>
          <w:highlight w:val="yellow"/>
          <w:rtl/>
        </w:rPr>
        <w:t>על</w:t>
      </w:r>
      <w:r w:rsidRPr="00991308">
        <w:rPr>
          <w:sz w:val="20"/>
          <w:szCs w:val="20"/>
          <w:highlight w:val="yellow"/>
          <w:rtl/>
        </w:rPr>
        <w:t xml:space="preserve"> </w:t>
      </w:r>
      <w:r w:rsidRPr="00991308">
        <w:rPr>
          <w:rFonts w:hint="cs"/>
          <w:sz w:val="20"/>
          <w:szCs w:val="20"/>
          <w:highlight w:val="yellow"/>
          <w:rtl/>
        </w:rPr>
        <w:t>כל פנים, גם על-פי קו מחשבתו של חברי, ביקשתי להראות שהכנסת הראשונה נתכוונה</w:t>
      </w:r>
      <w:r w:rsidRPr="00991308">
        <w:rPr>
          <w:sz w:val="20"/>
          <w:szCs w:val="20"/>
          <w:highlight w:val="yellow"/>
          <w:rtl/>
        </w:rPr>
        <w:t xml:space="preserve"> </w:t>
      </w:r>
      <w:r w:rsidRPr="00991308">
        <w:rPr>
          <w:rFonts w:hint="cs"/>
          <w:sz w:val="20"/>
          <w:szCs w:val="20"/>
          <w:highlight w:val="yellow"/>
          <w:rtl/>
        </w:rPr>
        <w:t>(סובייקטיבית) לראות בכנסת השנייה את יורשתה, וכי כוונה זו צלחה</w:t>
      </w:r>
      <w:r w:rsidRPr="00991308">
        <w:rPr>
          <w:sz w:val="20"/>
          <w:szCs w:val="20"/>
          <w:highlight w:val="yellow"/>
          <w:rtl/>
        </w:rPr>
        <w:t>.</w:t>
      </w:r>
    </w:p>
    <w:p w:rsidR="005366A8" w:rsidRPr="00991308" w:rsidRDefault="005366A8" w:rsidP="005366A8">
      <w:pPr>
        <w:spacing w:after="60"/>
        <w:rPr>
          <w:sz w:val="20"/>
          <w:szCs w:val="20"/>
          <w:highlight w:val="yellow"/>
        </w:rPr>
      </w:pPr>
      <w:r w:rsidRPr="00E82C32">
        <w:rPr>
          <w:rFonts w:hint="cs"/>
          <w:sz w:val="20"/>
          <w:szCs w:val="20"/>
          <w:rtl/>
        </w:rPr>
        <w:t xml:space="preserve">(ב) </w:t>
      </w:r>
      <w:r w:rsidRPr="00991308">
        <w:rPr>
          <w:rFonts w:hint="cs"/>
          <w:sz w:val="20"/>
          <w:szCs w:val="20"/>
          <w:highlight w:val="yellow"/>
          <w:rtl/>
        </w:rPr>
        <w:t>חברי חוזר שוב על הטענות הישנות לפיהן העברת סמכות הכינון מהכנסת</w:t>
      </w:r>
      <w:r w:rsidRPr="00991308">
        <w:rPr>
          <w:sz w:val="20"/>
          <w:szCs w:val="20"/>
          <w:highlight w:val="yellow"/>
          <w:rtl/>
        </w:rPr>
        <w:t xml:space="preserve"> </w:t>
      </w:r>
      <w:r w:rsidRPr="00991308">
        <w:rPr>
          <w:rFonts w:hint="cs"/>
          <w:sz w:val="20"/>
          <w:szCs w:val="20"/>
          <w:highlight w:val="yellow"/>
          <w:rtl/>
        </w:rPr>
        <w:t>הראשונה לשנייה נעשתה בחוקים רגילים ולא בחוקי יסוד. שאלה זו אינה מתעוררת</w:t>
      </w:r>
      <w:r w:rsidRPr="00991308">
        <w:rPr>
          <w:sz w:val="20"/>
          <w:szCs w:val="20"/>
          <w:highlight w:val="yellow"/>
          <w:rtl/>
        </w:rPr>
        <w:t xml:space="preserve"> </w:t>
      </w:r>
      <w:r w:rsidRPr="00991308">
        <w:rPr>
          <w:rFonts w:hint="cs"/>
          <w:sz w:val="20"/>
          <w:szCs w:val="20"/>
          <w:highlight w:val="yellow"/>
          <w:rtl/>
        </w:rPr>
        <w:t>לגבי חוק המעבר, תש"ט-1949 שהרי הוא הוחק לפני "החלטת הררי". כשלעצמי, רואה</w:t>
      </w:r>
      <w:r w:rsidRPr="00991308">
        <w:rPr>
          <w:sz w:val="20"/>
          <w:szCs w:val="20"/>
          <w:highlight w:val="yellow"/>
          <w:rtl/>
        </w:rPr>
        <w:t xml:space="preserve"> </w:t>
      </w:r>
      <w:r w:rsidRPr="00991308">
        <w:rPr>
          <w:rFonts w:hint="cs"/>
          <w:sz w:val="20"/>
          <w:szCs w:val="20"/>
          <w:highlight w:val="yellow"/>
          <w:rtl/>
        </w:rPr>
        <w:t>אני בו הוראה חוקתית, כפי שאכן כונה ("חוקה קטנה"). פרופ' ידין ציין כי חוק</w:t>
      </w:r>
      <w:r w:rsidRPr="00991308">
        <w:rPr>
          <w:sz w:val="20"/>
          <w:szCs w:val="20"/>
          <w:highlight w:val="yellow"/>
          <w:rtl/>
        </w:rPr>
        <w:t xml:space="preserve"> </w:t>
      </w:r>
      <w:r w:rsidRPr="00991308">
        <w:rPr>
          <w:rFonts w:hint="cs"/>
          <w:sz w:val="20"/>
          <w:szCs w:val="20"/>
          <w:highlight w:val="yellow"/>
          <w:rtl/>
        </w:rPr>
        <w:t>המעבר הוא "מעשה חקיקה יסודי בשטח הקונסטיטוציה המדינית" (ספר ידין, עמ' 90).</w:t>
      </w:r>
    </w:p>
    <w:p w:rsidR="005366A8" w:rsidRPr="00E82C32" w:rsidRDefault="005366A8" w:rsidP="005366A8">
      <w:pPr>
        <w:spacing w:after="60"/>
        <w:rPr>
          <w:sz w:val="20"/>
          <w:szCs w:val="20"/>
        </w:rPr>
      </w:pPr>
      <w:r w:rsidRPr="00991308">
        <w:rPr>
          <w:rFonts w:hint="cs"/>
          <w:sz w:val="20"/>
          <w:szCs w:val="20"/>
          <w:highlight w:val="yellow"/>
          <w:rtl/>
        </w:rPr>
        <w:t>אשר לחוק המעבר לכנסת השנייה, הוא הוחק לאחר החלטת הררי, ואותו צריך היה</w:t>
      </w:r>
      <w:r w:rsidRPr="00991308">
        <w:rPr>
          <w:sz w:val="20"/>
          <w:szCs w:val="20"/>
          <w:highlight w:val="yellow"/>
          <w:rtl/>
        </w:rPr>
        <w:t xml:space="preserve"> </w:t>
      </w:r>
      <w:r w:rsidRPr="00991308">
        <w:rPr>
          <w:rFonts w:hint="cs"/>
          <w:sz w:val="20"/>
          <w:szCs w:val="20"/>
          <w:highlight w:val="yellow"/>
          <w:rtl/>
        </w:rPr>
        <w:t>לחוקק כחוק-יסוד. יש להצטער שהדבר לא נעשה. האם בשל כך נופל כל המבנה החוקתי?</w:t>
      </w:r>
      <w:r w:rsidRPr="00E82C32">
        <w:rPr>
          <w:sz w:val="20"/>
          <w:szCs w:val="20"/>
          <w:rtl/>
        </w:rPr>
        <w:t xml:space="preserve"> </w:t>
      </w:r>
      <w:r w:rsidRPr="00E82C32">
        <w:rPr>
          <w:rFonts w:hint="cs"/>
          <w:sz w:val="20"/>
          <w:szCs w:val="20"/>
          <w:rtl/>
        </w:rPr>
        <w:t>כבר ציינתי, שלגבי דידי לא היה נחוץ כלל חוק זה, והוא בעל אופי הצהרתי, תוך</w:t>
      </w:r>
      <w:r w:rsidRPr="00E82C32">
        <w:rPr>
          <w:sz w:val="20"/>
          <w:szCs w:val="20"/>
          <w:rtl/>
        </w:rPr>
        <w:t xml:space="preserve"> </w:t>
      </w:r>
      <w:r w:rsidRPr="00E82C32">
        <w:rPr>
          <w:rFonts w:hint="cs"/>
          <w:sz w:val="20"/>
          <w:szCs w:val="20"/>
          <w:rtl/>
        </w:rPr>
        <w:t>שהדגיש את המעבר ממצב של ארעיות למצב קבע.</w:t>
      </w:r>
    </w:p>
    <w:p w:rsidR="005366A8" w:rsidRPr="00E82C32" w:rsidRDefault="005366A8" w:rsidP="005366A8">
      <w:pPr>
        <w:spacing w:after="60"/>
        <w:rPr>
          <w:sz w:val="20"/>
          <w:szCs w:val="20"/>
          <w:rtl/>
        </w:rPr>
      </w:pPr>
      <w:r w:rsidRPr="00F44B1D">
        <w:rPr>
          <w:rFonts w:hint="cs"/>
          <w:sz w:val="20"/>
          <w:szCs w:val="20"/>
          <w:highlight w:val="yellow"/>
          <w:rtl/>
        </w:rPr>
        <w:t xml:space="preserve">(ג) חברי, השופט חשין מצביע על חולשתה של תורת הסמכות המכוננת, </w:t>
      </w:r>
      <w:r w:rsidRPr="00F44B1D">
        <w:rPr>
          <w:sz w:val="20"/>
          <w:szCs w:val="20"/>
          <w:highlight w:val="yellow"/>
        </w:rPr>
        <w:t>…</w:t>
      </w:r>
      <w:r w:rsidRPr="00F44B1D">
        <w:rPr>
          <w:sz w:val="20"/>
          <w:szCs w:val="20"/>
          <w:highlight w:val="yellow"/>
          <w:rtl/>
        </w:rPr>
        <w:t xml:space="preserve"> [</w:t>
      </w:r>
      <w:r>
        <w:rPr>
          <w:rFonts w:hint="cs"/>
          <w:sz w:val="20"/>
          <w:szCs w:val="20"/>
          <w:highlight w:val="yellow"/>
          <w:rtl/>
        </w:rPr>
        <w:t xml:space="preserve"> </w:t>
      </w:r>
      <w:r w:rsidRPr="00F44B1D">
        <w:rPr>
          <w:sz w:val="20"/>
          <w:szCs w:val="20"/>
          <w:highlight w:val="yellow"/>
          <w:rtl/>
        </w:rPr>
        <w:t>]</w:t>
      </w:r>
      <w:r w:rsidRPr="00F44B1D">
        <w:rPr>
          <w:rFonts w:hint="cs"/>
          <w:sz w:val="20"/>
          <w:szCs w:val="20"/>
          <w:highlight w:val="yellow"/>
          <w:rtl/>
        </w:rPr>
        <w:t>כי היא עשויה להוביל לצורך</w:t>
      </w:r>
      <w:r w:rsidRPr="00F44B1D">
        <w:rPr>
          <w:sz w:val="20"/>
          <w:szCs w:val="20"/>
          <w:highlight w:val="yellow"/>
          <w:rtl/>
        </w:rPr>
        <w:t xml:space="preserve"> </w:t>
      </w:r>
      <w:r w:rsidRPr="00F44B1D">
        <w:rPr>
          <w:rFonts w:hint="cs"/>
          <w:sz w:val="20"/>
          <w:szCs w:val="20"/>
          <w:highlight w:val="yellow"/>
          <w:rtl/>
        </w:rPr>
        <w:t>לקבוע אם הוראות מסוימות המופיעות בחוק-יסוד אין בהן משום חריגה מהסמכות</w:t>
      </w:r>
      <w:r w:rsidRPr="00F44B1D">
        <w:rPr>
          <w:sz w:val="20"/>
          <w:szCs w:val="20"/>
          <w:highlight w:val="yellow"/>
          <w:rtl/>
        </w:rPr>
        <w:t xml:space="preserve"> </w:t>
      </w:r>
      <w:r w:rsidRPr="00F44B1D">
        <w:rPr>
          <w:rFonts w:hint="cs"/>
          <w:sz w:val="20"/>
          <w:szCs w:val="20"/>
          <w:highlight w:val="yellow"/>
          <w:rtl/>
        </w:rPr>
        <w:t xml:space="preserve">המכוננת. </w:t>
      </w:r>
      <w:r w:rsidRPr="00F44B1D">
        <w:rPr>
          <w:sz w:val="20"/>
          <w:szCs w:val="20"/>
          <w:highlight w:val="yellow"/>
          <w:rtl/>
        </w:rPr>
        <w:t>[</w:t>
      </w:r>
      <w:r w:rsidRPr="00F44B1D">
        <w:rPr>
          <w:sz w:val="20"/>
          <w:szCs w:val="20"/>
          <w:highlight w:val="yellow"/>
        </w:rPr>
        <w:t>…</w:t>
      </w:r>
      <w:r w:rsidRPr="00F44B1D">
        <w:rPr>
          <w:sz w:val="20"/>
          <w:szCs w:val="20"/>
          <w:highlight w:val="yellow"/>
          <w:rtl/>
        </w:rPr>
        <w:t xml:space="preserve">] </w:t>
      </w:r>
      <w:r w:rsidRPr="00F44B1D">
        <w:rPr>
          <w:rFonts w:hint="cs"/>
          <w:sz w:val="20"/>
          <w:szCs w:val="20"/>
          <w:highlight w:val="yellow"/>
          <w:rtl/>
        </w:rPr>
        <w:t>עשוי אכן להתעורר הצורך</w:t>
      </w:r>
      <w:r w:rsidRPr="00F44B1D">
        <w:rPr>
          <w:sz w:val="20"/>
          <w:szCs w:val="20"/>
          <w:highlight w:val="yellow"/>
          <w:rtl/>
        </w:rPr>
        <w:t xml:space="preserve"> </w:t>
      </w:r>
      <w:r w:rsidRPr="00F44B1D">
        <w:rPr>
          <w:rFonts w:hint="cs"/>
          <w:sz w:val="20"/>
          <w:szCs w:val="20"/>
          <w:highlight w:val="yellow"/>
          <w:rtl/>
        </w:rPr>
        <w:t>לבחון את חוקתיותו של השימוש בדיבור "חוק-יסוד". ביקשתי להשאיר עניין זה</w:t>
      </w:r>
      <w:r w:rsidRPr="00F44B1D">
        <w:rPr>
          <w:sz w:val="20"/>
          <w:szCs w:val="20"/>
          <w:highlight w:val="yellow"/>
          <w:rtl/>
        </w:rPr>
        <w:t xml:space="preserve"> </w:t>
      </w:r>
      <w:r w:rsidRPr="00F44B1D">
        <w:rPr>
          <w:rFonts w:hint="cs"/>
          <w:sz w:val="20"/>
          <w:szCs w:val="20"/>
          <w:highlight w:val="yellow"/>
          <w:rtl/>
        </w:rPr>
        <w:t>בצריך עיון ואני ממשיך לדבוק ברצוני זה. אציין, עם זאת, כי דבר מקובל וידוע</w:t>
      </w:r>
      <w:r w:rsidRPr="00F44B1D">
        <w:rPr>
          <w:sz w:val="20"/>
          <w:szCs w:val="20"/>
          <w:highlight w:val="yellow"/>
          <w:rtl/>
        </w:rPr>
        <w:t xml:space="preserve"> </w:t>
      </w:r>
      <w:r w:rsidRPr="00F44B1D">
        <w:rPr>
          <w:rFonts w:hint="cs"/>
          <w:sz w:val="20"/>
          <w:szCs w:val="20"/>
          <w:highlight w:val="yellow"/>
          <w:rtl/>
        </w:rPr>
        <w:t>הוא שבתי המשפט בודקים את חוקתיותם של תיקוני חוקה. לא פעם נפסל תיקון חוקתי</w:t>
      </w:r>
      <w:r w:rsidRPr="00F44B1D">
        <w:rPr>
          <w:sz w:val="20"/>
          <w:szCs w:val="20"/>
          <w:highlight w:val="yellow"/>
          <w:rtl/>
        </w:rPr>
        <w:t xml:space="preserve"> </w:t>
      </w:r>
      <w:r w:rsidRPr="00F44B1D">
        <w:rPr>
          <w:rFonts w:hint="cs"/>
          <w:sz w:val="20"/>
          <w:szCs w:val="20"/>
          <w:highlight w:val="yellow"/>
          <w:rtl/>
        </w:rPr>
        <w:t>בהיותו לא חוקתי, וזאת לא רק בשל עניינים של "צורה" (כגון דרישת הרוב) אלא גם</w:t>
      </w:r>
      <w:r w:rsidRPr="00F44B1D">
        <w:rPr>
          <w:sz w:val="20"/>
          <w:szCs w:val="20"/>
          <w:highlight w:val="yellow"/>
          <w:rtl/>
        </w:rPr>
        <w:t xml:space="preserve"> </w:t>
      </w:r>
      <w:r w:rsidRPr="00F44B1D">
        <w:rPr>
          <w:rFonts w:hint="cs"/>
          <w:sz w:val="20"/>
          <w:szCs w:val="20"/>
          <w:highlight w:val="yellow"/>
          <w:rtl/>
        </w:rPr>
        <w:t xml:space="preserve">בעניינים של מהות (ראה פסק-דינו של בית המשפט העליון של הודו בפרשת </w:t>
      </w:r>
      <w:r w:rsidRPr="00F44B1D">
        <w:rPr>
          <w:rFonts w:hint="cs"/>
          <w:sz w:val="20"/>
          <w:szCs w:val="20"/>
          <w:highlight w:val="yellow"/>
        </w:rPr>
        <w:t>KESAVANDE</w:t>
      </w:r>
      <w:r w:rsidRPr="00F44B1D">
        <w:rPr>
          <w:sz w:val="20"/>
          <w:szCs w:val="20"/>
          <w:highlight w:val="yellow"/>
        </w:rPr>
        <w:t xml:space="preserve"> </w:t>
      </w:r>
      <w:r w:rsidRPr="00F44B1D">
        <w:rPr>
          <w:rFonts w:hint="cs"/>
          <w:sz w:val="20"/>
          <w:szCs w:val="20"/>
          <w:highlight w:val="yellow"/>
        </w:rPr>
        <w:t xml:space="preserve">V. STATE OF </w:t>
      </w:r>
      <w:smartTag w:uri="urn:schemas-microsoft-com:office:smarttags" w:element="City">
        <w:smartTag w:uri="urn:schemas-microsoft-com:office:smarttags" w:element="place">
          <w:r w:rsidRPr="00F44B1D">
            <w:rPr>
              <w:rFonts w:hint="cs"/>
              <w:sz w:val="20"/>
              <w:szCs w:val="20"/>
              <w:highlight w:val="yellow"/>
            </w:rPr>
            <w:t>KERALA</w:t>
          </w:r>
        </w:smartTag>
      </w:smartTag>
      <w:r w:rsidRPr="00F44B1D">
        <w:rPr>
          <w:sz w:val="20"/>
          <w:szCs w:val="20"/>
          <w:highlight w:val="yellow"/>
          <w:rtl/>
        </w:rPr>
        <w:t xml:space="preserve"> [</w:t>
      </w:r>
      <w:r w:rsidRPr="00F44B1D">
        <w:rPr>
          <w:sz w:val="20"/>
          <w:szCs w:val="20"/>
          <w:highlight w:val="yellow"/>
        </w:rPr>
        <w:t>…</w:t>
      </w:r>
      <w:r w:rsidRPr="00F44B1D">
        <w:rPr>
          <w:sz w:val="20"/>
          <w:szCs w:val="20"/>
          <w:highlight w:val="yellow"/>
          <w:rtl/>
        </w:rPr>
        <w:t>]</w:t>
      </w:r>
      <w:r w:rsidRPr="00E82C32">
        <w:rPr>
          <w:sz w:val="20"/>
          <w:szCs w:val="20"/>
          <w:rtl/>
        </w:rPr>
        <w:t xml:space="preserve"> </w:t>
      </w:r>
    </w:p>
    <w:p w:rsidR="005366A8" w:rsidRPr="00E82C32" w:rsidRDefault="005366A8" w:rsidP="005366A8">
      <w:pPr>
        <w:spacing w:after="60"/>
        <w:rPr>
          <w:sz w:val="20"/>
          <w:szCs w:val="20"/>
          <w:rtl/>
        </w:rPr>
      </w:pPr>
      <w:r w:rsidRPr="00E82C32">
        <w:rPr>
          <w:rFonts w:hint="cs"/>
          <w:sz w:val="20"/>
          <w:szCs w:val="20"/>
          <w:rtl/>
        </w:rPr>
        <w:t>הצורך בביקורת שיפוטית במצב דברים זה אינו יוצא</w:t>
      </w:r>
      <w:r w:rsidRPr="00E82C32">
        <w:rPr>
          <w:sz w:val="20"/>
          <w:szCs w:val="20"/>
          <w:rtl/>
        </w:rPr>
        <w:t xml:space="preserve"> </w:t>
      </w:r>
      <w:r w:rsidRPr="00E82C32">
        <w:rPr>
          <w:rFonts w:hint="cs"/>
          <w:sz w:val="20"/>
          <w:szCs w:val="20"/>
          <w:rtl/>
        </w:rPr>
        <w:t>דופן. דומה שגם חברי, השופט חשין, מפעיל ביקורת שיפוטית במצבים דומים. כך,</w:t>
      </w:r>
      <w:r w:rsidRPr="00E82C32">
        <w:rPr>
          <w:sz w:val="20"/>
          <w:szCs w:val="20"/>
          <w:rtl/>
        </w:rPr>
        <w:t xml:space="preserve"> </w:t>
      </w:r>
      <w:r w:rsidRPr="00E82C32">
        <w:rPr>
          <w:rFonts w:hint="cs"/>
          <w:sz w:val="20"/>
          <w:szCs w:val="20"/>
          <w:rtl/>
        </w:rPr>
        <w:t>למשל, לשיטתו, הנסיון של האסיפה המכוננת (הכנסת הראשונה) להעביר מכוחותיה</w:t>
      </w:r>
      <w:r w:rsidRPr="00E82C32">
        <w:rPr>
          <w:sz w:val="20"/>
          <w:szCs w:val="20"/>
          <w:rtl/>
        </w:rPr>
        <w:t xml:space="preserve"> </w:t>
      </w:r>
      <w:r w:rsidRPr="00E82C32">
        <w:rPr>
          <w:rFonts w:hint="cs"/>
          <w:sz w:val="20"/>
          <w:szCs w:val="20"/>
          <w:rtl/>
        </w:rPr>
        <w:t>לכנסת השנייה לא צלח. האין כאן מצב שבו בית המשפט קובע את גידרי החוקה? חברי</w:t>
      </w:r>
      <w:r w:rsidRPr="00E82C32">
        <w:rPr>
          <w:sz w:val="20"/>
          <w:szCs w:val="20"/>
          <w:rtl/>
        </w:rPr>
        <w:t xml:space="preserve"> </w:t>
      </w:r>
      <w:r w:rsidRPr="00E82C32">
        <w:rPr>
          <w:rFonts w:hint="cs"/>
          <w:sz w:val="20"/>
          <w:szCs w:val="20"/>
          <w:rtl/>
        </w:rPr>
        <w:t>השופט חשין ממשיך וקובע שאם הכנסת תחוקק חוק (ואף חוק-יסוד) המאריך את כהונתה</w:t>
      </w:r>
      <w:r w:rsidRPr="00E82C32">
        <w:rPr>
          <w:sz w:val="20"/>
          <w:szCs w:val="20"/>
          <w:rtl/>
        </w:rPr>
        <w:t xml:space="preserve"> </w:t>
      </w:r>
      <w:r w:rsidRPr="00E82C32">
        <w:rPr>
          <w:rFonts w:hint="cs"/>
          <w:sz w:val="20"/>
          <w:szCs w:val="20"/>
          <w:rtl/>
        </w:rPr>
        <w:t>מעבר לארבע שנים, יהא בכך מעשה לא חוקתי. האין בכך מצב בו בית המשפט קובע את</w:t>
      </w:r>
      <w:r w:rsidRPr="00E82C32">
        <w:rPr>
          <w:sz w:val="20"/>
          <w:szCs w:val="20"/>
          <w:rtl/>
        </w:rPr>
        <w:t xml:space="preserve"> </w:t>
      </w:r>
      <w:r w:rsidRPr="00E82C32">
        <w:rPr>
          <w:rFonts w:hint="cs"/>
          <w:sz w:val="20"/>
          <w:szCs w:val="20"/>
          <w:rtl/>
        </w:rPr>
        <w:t xml:space="preserve">גבולותיה של הרשות המכוננת? </w:t>
      </w:r>
      <w:r>
        <w:rPr>
          <w:rFonts w:hint="cs"/>
          <w:sz w:val="20"/>
          <w:szCs w:val="20"/>
          <w:rtl/>
        </w:rPr>
        <w:t>[...]</w:t>
      </w:r>
    </w:p>
    <w:p w:rsidR="005366A8" w:rsidRPr="00E82C32" w:rsidRDefault="005366A8" w:rsidP="005366A8">
      <w:pPr>
        <w:spacing w:after="60"/>
        <w:rPr>
          <w:sz w:val="20"/>
          <w:szCs w:val="20"/>
        </w:rPr>
      </w:pPr>
      <w:r>
        <w:rPr>
          <w:rFonts w:hint="cs"/>
          <w:sz w:val="20"/>
          <w:szCs w:val="20"/>
          <w:rtl/>
        </w:rPr>
        <w:t xml:space="preserve">44. [...] </w:t>
      </w:r>
      <w:r w:rsidRPr="00E82C32">
        <w:rPr>
          <w:rFonts w:hint="cs"/>
          <w:sz w:val="20"/>
          <w:szCs w:val="20"/>
          <w:rtl/>
        </w:rPr>
        <w:t>כפי</w:t>
      </w:r>
      <w:r w:rsidRPr="00E82C32">
        <w:rPr>
          <w:sz w:val="20"/>
          <w:szCs w:val="20"/>
          <w:rtl/>
        </w:rPr>
        <w:t xml:space="preserve"> </w:t>
      </w:r>
      <w:r w:rsidRPr="00E82C32">
        <w:rPr>
          <w:rFonts w:hint="cs"/>
          <w:sz w:val="20"/>
          <w:szCs w:val="20"/>
          <w:rtl/>
        </w:rPr>
        <w:t>שביקשתי להראות, סמכותה המכוננת של הכנסת לא באה לה רק בירושה מהאסיפה</w:t>
      </w:r>
      <w:r w:rsidRPr="00E82C32">
        <w:rPr>
          <w:sz w:val="20"/>
          <w:szCs w:val="20"/>
          <w:rtl/>
        </w:rPr>
        <w:t xml:space="preserve"> </w:t>
      </w:r>
      <w:r w:rsidRPr="00E82C32">
        <w:rPr>
          <w:rFonts w:hint="cs"/>
          <w:sz w:val="20"/>
          <w:szCs w:val="20"/>
          <w:rtl/>
        </w:rPr>
        <w:t xml:space="preserve">המכוננת המקורית (לפי </w:t>
      </w:r>
      <w:r w:rsidRPr="00E82C32">
        <w:rPr>
          <w:rFonts w:hint="cs"/>
          <w:sz w:val="20"/>
          <w:szCs w:val="20"/>
          <w:highlight w:val="yellow"/>
          <w:rtl/>
        </w:rPr>
        <w:t>שיטת קלזן</w:t>
      </w:r>
      <w:r w:rsidRPr="00E82C32">
        <w:rPr>
          <w:rFonts w:hint="cs"/>
          <w:sz w:val="20"/>
          <w:szCs w:val="20"/>
          <w:rtl/>
        </w:rPr>
        <w:t>). חזרתי וציי</w:t>
      </w:r>
      <w:r w:rsidRPr="00E82C32">
        <w:rPr>
          <w:sz w:val="20"/>
          <w:szCs w:val="20"/>
          <w:rtl/>
        </w:rPr>
        <w:t>נ</w:t>
      </w:r>
      <w:r w:rsidRPr="00E82C32">
        <w:rPr>
          <w:rFonts w:hint="cs"/>
          <w:sz w:val="20"/>
          <w:szCs w:val="20"/>
          <w:rtl/>
        </w:rPr>
        <w:t>תי כי הכרה בסמכותה המכוננת של</w:t>
      </w:r>
      <w:r w:rsidRPr="00E82C32">
        <w:rPr>
          <w:sz w:val="20"/>
          <w:szCs w:val="20"/>
          <w:rtl/>
        </w:rPr>
        <w:t xml:space="preserve"> </w:t>
      </w:r>
      <w:r w:rsidRPr="00E82C32">
        <w:rPr>
          <w:rFonts w:hint="cs"/>
          <w:sz w:val="20"/>
          <w:szCs w:val="20"/>
          <w:rtl/>
        </w:rPr>
        <w:t>הכנסת</w:t>
      </w:r>
      <w:r w:rsidRPr="00E82C32">
        <w:rPr>
          <w:sz w:val="20"/>
          <w:szCs w:val="20"/>
          <w:rtl/>
        </w:rPr>
        <w:t xml:space="preserve"> </w:t>
      </w:r>
      <w:r w:rsidRPr="00E82C32">
        <w:rPr>
          <w:rFonts w:hint="cs"/>
          <w:sz w:val="20"/>
          <w:szCs w:val="20"/>
          <w:rtl/>
        </w:rPr>
        <w:t xml:space="preserve">משקפת את כלל ההכרה של המשפט הישראלי היום (לפי </w:t>
      </w:r>
      <w:r w:rsidRPr="00E82C32">
        <w:rPr>
          <w:rFonts w:hint="cs"/>
          <w:sz w:val="20"/>
          <w:szCs w:val="20"/>
          <w:highlight w:val="yellow"/>
          <w:rtl/>
        </w:rPr>
        <w:t>שיטת הארט</w:t>
      </w:r>
      <w:r w:rsidRPr="00E82C32">
        <w:rPr>
          <w:rFonts w:hint="cs"/>
          <w:sz w:val="20"/>
          <w:szCs w:val="20"/>
          <w:rtl/>
        </w:rPr>
        <w:t>) והיא הפירוש הטוב</w:t>
      </w:r>
      <w:r w:rsidRPr="00E82C32">
        <w:rPr>
          <w:sz w:val="20"/>
          <w:szCs w:val="20"/>
          <w:rtl/>
        </w:rPr>
        <w:t xml:space="preserve"> </w:t>
      </w:r>
      <w:r w:rsidRPr="00E82C32">
        <w:rPr>
          <w:rFonts w:hint="cs"/>
          <w:sz w:val="20"/>
          <w:szCs w:val="20"/>
          <w:rtl/>
        </w:rPr>
        <w:t>ביותר של מכלול ההיסטוריה המשפטית והמדינית של ישראל, כפי שהוא נתפס כיום</w:t>
      </w:r>
      <w:r w:rsidRPr="00E82C32">
        <w:rPr>
          <w:sz w:val="20"/>
          <w:szCs w:val="20"/>
          <w:rtl/>
        </w:rPr>
        <w:t xml:space="preserve"> </w:t>
      </w:r>
      <w:r w:rsidRPr="00E82C32">
        <w:rPr>
          <w:rFonts w:hint="cs"/>
          <w:sz w:val="20"/>
          <w:szCs w:val="20"/>
          <w:rtl/>
        </w:rPr>
        <w:t xml:space="preserve">(לפי </w:t>
      </w:r>
      <w:r w:rsidRPr="00E82C32">
        <w:rPr>
          <w:rFonts w:hint="cs"/>
          <w:sz w:val="20"/>
          <w:szCs w:val="20"/>
          <w:highlight w:val="yellow"/>
          <w:rtl/>
        </w:rPr>
        <w:t>שיטת דבורקין</w:t>
      </w:r>
      <w:r w:rsidRPr="00E82C32">
        <w:rPr>
          <w:rFonts w:hint="cs"/>
          <w:sz w:val="20"/>
          <w:szCs w:val="20"/>
          <w:rtl/>
        </w:rPr>
        <w:t>). אכן, ללא כל קשר למצב המשפטי אשר שרר עם פיזורה של</w:t>
      </w:r>
      <w:r w:rsidRPr="00E82C32">
        <w:rPr>
          <w:sz w:val="20"/>
          <w:szCs w:val="20"/>
          <w:rtl/>
        </w:rPr>
        <w:t xml:space="preserve"> </w:t>
      </w:r>
      <w:r w:rsidRPr="00E82C32">
        <w:rPr>
          <w:rFonts w:hint="cs"/>
          <w:sz w:val="20"/>
          <w:szCs w:val="20"/>
          <w:rtl/>
        </w:rPr>
        <w:t>האסיפה המכוננת, ואפילו אם לא הייתה אסיפה מכוננת כלל, עדיין קמה ועומדת</w:t>
      </w:r>
      <w:r w:rsidRPr="00E82C32">
        <w:rPr>
          <w:sz w:val="20"/>
          <w:szCs w:val="20"/>
          <w:rtl/>
        </w:rPr>
        <w:t xml:space="preserve"> </w:t>
      </w:r>
      <w:r w:rsidRPr="00E82C32">
        <w:rPr>
          <w:rFonts w:hint="cs"/>
          <w:sz w:val="20"/>
          <w:szCs w:val="20"/>
          <w:rtl/>
        </w:rPr>
        <w:t>השאלה, מהו כלל ההכרה של המשפט הישראלי היום? האם המשפט הישראלי היום מכיר</w:t>
      </w:r>
      <w:r w:rsidRPr="00E82C32">
        <w:rPr>
          <w:sz w:val="20"/>
          <w:szCs w:val="20"/>
          <w:rtl/>
        </w:rPr>
        <w:t xml:space="preserve"> </w:t>
      </w:r>
      <w:r w:rsidRPr="00E82C32">
        <w:rPr>
          <w:rFonts w:hint="cs"/>
          <w:sz w:val="20"/>
          <w:szCs w:val="20"/>
          <w:rtl/>
        </w:rPr>
        <w:t>בסמכותה של הכנסת ליתן חוקה לישראל? על שאלה זו השבתי בחיוב. כתמיכה בגישתי</w:t>
      </w:r>
      <w:r w:rsidRPr="00E82C32">
        <w:rPr>
          <w:sz w:val="20"/>
          <w:szCs w:val="20"/>
          <w:rtl/>
        </w:rPr>
        <w:t xml:space="preserve"> </w:t>
      </w:r>
      <w:r w:rsidRPr="00E82C32">
        <w:rPr>
          <w:rFonts w:hint="cs"/>
          <w:sz w:val="20"/>
          <w:szCs w:val="20"/>
          <w:rtl/>
        </w:rPr>
        <w:t>הבאתי את הבנת הכנסת את עצמה, את המצעים של המפלגות לבחירות השונות המשקפים</w:t>
      </w:r>
      <w:r w:rsidRPr="00E82C32">
        <w:rPr>
          <w:sz w:val="20"/>
          <w:szCs w:val="20"/>
          <w:rtl/>
        </w:rPr>
        <w:t xml:space="preserve"> </w:t>
      </w:r>
      <w:r w:rsidRPr="00E82C32">
        <w:rPr>
          <w:rFonts w:hint="cs"/>
          <w:sz w:val="20"/>
          <w:szCs w:val="20"/>
          <w:rtl/>
        </w:rPr>
        <w:t>את הנושאים עליהם נתן העם את דעתו בבחירות, את דברי החכמים והמלומדים המשקפים</w:t>
      </w:r>
      <w:r w:rsidRPr="00E82C32">
        <w:rPr>
          <w:sz w:val="20"/>
          <w:szCs w:val="20"/>
          <w:rtl/>
        </w:rPr>
        <w:t xml:space="preserve"> </w:t>
      </w:r>
      <w:r w:rsidRPr="00E82C32">
        <w:rPr>
          <w:rFonts w:hint="cs"/>
          <w:sz w:val="20"/>
          <w:szCs w:val="20"/>
          <w:rtl/>
        </w:rPr>
        <w:t>את הקונסנסוס המקצועי, את פסיקת בית המשפט העליון, ואת תגובת הכנסת עליהם. כל</w:t>
      </w:r>
      <w:r w:rsidRPr="00E82C32">
        <w:rPr>
          <w:sz w:val="20"/>
          <w:szCs w:val="20"/>
          <w:rtl/>
        </w:rPr>
        <w:t xml:space="preserve"> </w:t>
      </w:r>
      <w:r w:rsidRPr="00E82C32">
        <w:rPr>
          <w:rFonts w:hint="cs"/>
          <w:sz w:val="20"/>
          <w:szCs w:val="20"/>
          <w:rtl/>
        </w:rPr>
        <w:t>אלה ביחד - בלא שניתן לבודד גורם אחד ולראות בו חזות הכל - משמשים תשתית</w:t>
      </w:r>
      <w:r w:rsidRPr="00E82C32">
        <w:rPr>
          <w:sz w:val="20"/>
          <w:szCs w:val="20"/>
          <w:rtl/>
        </w:rPr>
        <w:t xml:space="preserve"> </w:t>
      </w:r>
      <w:r w:rsidRPr="00E82C32">
        <w:rPr>
          <w:rFonts w:hint="cs"/>
          <w:sz w:val="20"/>
          <w:szCs w:val="20"/>
          <w:rtl/>
        </w:rPr>
        <w:t>"עובדתית" למסקנתי המשפטית כי כיום - כמ</w:t>
      </w:r>
      <w:r w:rsidRPr="00E82C32">
        <w:rPr>
          <w:sz w:val="20"/>
          <w:szCs w:val="20"/>
          <w:rtl/>
        </w:rPr>
        <w:t>ו</w:t>
      </w:r>
      <w:r w:rsidRPr="00E82C32">
        <w:rPr>
          <w:rFonts w:hint="cs"/>
          <w:sz w:val="20"/>
          <w:szCs w:val="20"/>
          <w:rtl/>
        </w:rPr>
        <w:t xml:space="preserve"> בעבר - מוכר כוחה של הכנסת ליתן</w:t>
      </w:r>
      <w:r w:rsidRPr="00E82C32">
        <w:rPr>
          <w:sz w:val="20"/>
          <w:szCs w:val="20"/>
          <w:rtl/>
        </w:rPr>
        <w:t xml:space="preserve"> </w:t>
      </w:r>
      <w:r w:rsidRPr="00E82C32">
        <w:rPr>
          <w:rFonts w:hint="cs"/>
          <w:sz w:val="20"/>
          <w:szCs w:val="20"/>
          <w:rtl/>
        </w:rPr>
        <w:t>חוקה לישראל. מסקנתי בדבר כוחה של הכנסת לכונן חוקה מבססת עצמה על "תשתית</w:t>
      </w:r>
      <w:r w:rsidRPr="00E82C32">
        <w:rPr>
          <w:sz w:val="20"/>
          <w:szCs w:val="20"/>
          <w:rtl/>
        </w:rPr>
        <w:t xml:space="preserve"> </w:t>
      </w:r>
      <w:r w:rsidRPr="00E82C32">
        <w:rPr>
          <w:rFonts w:hint="cs"/>
          <w:sz w:val="20"/>
          <w:szCs w:val="20"/>
          <w:rtl/>
        </w:rPr>
        <w:t>עובדתית" רחבה. היא פרי ההיסטוריה החוקתית, הבנת הכנסת את עצמה, תפיסות היסוד</w:t>
      </w:r>
      <w:r w:rsidRPr="00E82C32">
        <w:rPr>
          <w:sz w:val="20"/>
          <w:szCs w:val="20"/>
          <w:rtl/>
        </w:rPr>
        <w:t xml:space="preserve"> </w:t>
      </w:r>
      <w:r w:rsidRPr="00E82C32">
        <w:rPr>
          <w:rFonts w:hint="cs"/>
          <w:sz w:val="20"/>
          <w:szCs w:val="20"/>
          <w:rtl/>
        </w:rPr>
        <w:t>של מלומדים וסופרים, הבנתם של בוחרים שהלכו לבחירות השונות, הלכות ואמרות של</w:t>
      </w:r>
      <w:r w:rsidRPr="00E82C32">
        <w:rPr>
          <w:sz w:val="20"/>
          <w:szCs w:val="20"/>
          <w:rtl/>
        </w:rPr>
        <w:t xml:space="preserve"> </w:t>
      </w:r>
      <w:r w:rsidRPr="00E82C32">
        <w:rPr>
          <w:rFonts w:hint="cs"/>
          <w:sz w:val="20"/>
          <w:szCs w:val="20"/>
          <w:rtl/>
        </w:rPr>
        <w:t>שופטים ותגובת הכנסת עליהם. כאן טמונה הביקורת שלי על עמדתו של חברי, השופט</w:t>
      </w:r>
      <w:r w:rsidRPr="00E82C32">
        <w:rPr>
          <w:sz w:val="20"/>
          <w:szCs w:val="20"/>
          <w:rtl/>
        </w:rPr>
        <w:t xml:space="preserve"> </w:t>
      </w:r>
      <w:r w:rsidRPr="00E82C32">
        <w:rPr>
          <w:rFonts w:hint="cs"/>
          <w:sz w:val="20"/>
          <w:szCs w:val="20"/>
          <w:rtl/>
        </w:rPr>
        <w:t>חשין. אין היא תואמת את הבנתה של הקהילייה הישראלית היום. אין היא הפירוש</w:t>
      </w:r>
      <w:r w:rsidRPr="00E82C32">
        <w:rPr>
          <w:sz w:val="20"/>
          <w:szCs w:val="20"/>
          <w:rtl/>
        </w:rPr>
        <w:t xml:space="preserve"> </w:t>
      </w:r>
      <w:r w:rsidRPr="00E82C32">
        <w:rPr>
          <w:rFonts w:hint="cs"/>
          <w:sz w:val="20"/>
          <w:szCs w:val="20"/>
          <w:rtl/>
        </w:rPr>
        <w:t>הטוב ביותר למכלול ההיסטוריה החברתית והמשפטית של מדינת ישראל. אין היא</w:t>
      </w:r>
      <w:r w:rsidRPr="00E82C32">
        <w:rPr>
          <w:sz w:val="20"/>
          <w:szCs w:val="20"/>
          <w:rtl/>
        </w:rPr>
        <w:t xml:space="preserve"> </w:t>
      </w:r>
      <w:r w:rsidRPr="00E82C32">
        <w:rPr>
          <w:rFonts w:hint="cs"/>
          <w:sz w:val="20"/>
          <w:szCs w:val="20"/>
          <w:rtl/>
        </w:rPr>
        <w:t>מתמודדת עם הבעיה החוקתית.</w:t>
      </w:r>
    </w:p>
    <w:p w:rsidR="005366A8" w:rsidRPr="00E82C32" w:rsidRDefault="005366A8" w:rsidP="005366A8">
      <w:pPr>
        <w:spacing w:after="60"/>
        <w:rPr>
          <w:sz w:val="20"/>
          <w:szCs w:val="20"/>
        </w:rPr>
      </w:pPr>
      <w:r w:rsidRPr="00E82C32">
        <w:rPr>
          <w:rFonts w:hint="cs"/>
          <w:sz w:val="20"/>
          <w:szCs w:val="20"/>
          <w:rtl/>
        </w:rPr>
        <w:t xml:space="preserve">45. </w:t>
      </w:r>
      <w:r w:rsidRPr="00E82C32">
        <w:rPr>
          <w:sz w:val="20"/>
          <w:szCs w:val="20"/>
          <w:rtl/>
        </w:rPr>
        <w:t>[</w:t>
      </w:r>
      <w:r w:rsidRPr="00E82C32">
        <w:rPr>
          <w:sz w:val="20"/>
          <w:szCs w:val="20"/>
        </w:rPr>
        <w:t>…</w:t>
      </w:r>
      <w:r w:rsidRPr="00E82C32">
        <w:rPr>
          <w:sz w:val="20"/>
          <w:szCs w:val="20"/>
          <w:rtl/>
        </w:rPr>
        <w:t xml:space="preserve">] </w:t>
      </w:r>
      <w:r w:rsidRPr="004739EE">
        <w:rPr>
          <w:rFonts w:hint="cs"/>
          <w:sz w:val="20"/>
          <w:szCs w:val="20"/>
          <w:highlight w:val="yellow"/>
          <w:rtl/>
        </w:rPr>
        <w:t>ואני שואל: שופט בית המשפט העליון, המסתכל על ההיסטוריה המשפטית שלנו,</w:t>
      </w:r>
      <w:r w:rsidRPr="004739EE">
        <w:rPr>
          <w:sz w:val="20"/>
          <w:szCs w:val="20"/>
          <w:highlight w:val="yellow"/>
          <w:rtl/>
        </w:rPr>
        <w:t xml:space="preserve"> </w:t>
      </w:r>
      <w:r w:rsidRPr="004739EE">
        <w:rPr>
          <w:rFonts w:hint="cs"/>
          <w:sz w:val="20"/>
          <w:szCs w:val="20"/>
          <w:highlight w:val="yellow"/>
          <w:rtl/>
        </w:rPr>
        <w:t>דרכיה, ומסורתה, כפי שהיא משתקפת לפנינו היום - על רקע מגילת העצמאות, כינונה</w:t>
      </w:r>
      <w:r w:rsidRPr="004739EE">
        <w:rPr>
          <w:sz w:val="20"/>
          <w:szCs w:val="20"/>
          <w:highlight w:val="yellow"/>
          <w:rtl/>
        </w:rPr>
        <w:t xml:space="preserve"> </w:t>
      </w:r>
      <w:r w:rsidRPr="004739EE">
        <w:rPr>
          <w:rFonts w:hint="cs"/>
          <w:sz w:val="20"/>
          <w:szCs w:val="20"/>
          <w:highlight w:val="yellow"/>
          <w:rtl/>
        </w:rPr>
        <w:t>של אסיפה מכוננת, החלטת הררי, בחירות אשר במהלכן חזרו המפלגות וציינו כי הן</w:t>
      </w:r>
      <w:r w:rsidRPr="004739EE">
        <w:rPr>
          <w:sz w:val="20"/>
          <w:szCs w:val="20"/>
          <w:highlight w:val="yellow"/>
          <w:rtl/>
        </w:rPr>
        <w:t xml:space="preserve"> </w:t>
      </w:r>
      <w:r w:rsidRPr="004739EE">
        <w:rPr>
          <w:rFonts w:hint="cs"/>
          <w:sz w:val="20"/>
          <w:szCs w:val="20"/>
          <w:highlight w:val="yellow"/>
          <w:rtl/>
        </w:rPr>
        <w:t>מבקשות לכונן חוקה לישראל, חקיקתם של שנים-עשר חוקי יסוד הכוללים הוראות</w:t>
      </w:r>
      <w:r w:rsidRPr="004739EE">
        <w:rPr>
          <w:sz w:val="20"/>
          <w:szCs w:val="20"/>
          <w:highlight w:val="yellow"/>
          <w:rtl/>
        </w:rPr>
        <w:t xml:space="preserve"> </w:t>
      </w:r>
      <w:r w:rsidRPr="004739EE">
        <w:rPr>
          <w:rFonts w:hint="cs"/>
          <w:sz w:val="20"/>
          <w:szCs w:val="20"/>
          <w:highlight w:val="yellow"/>
          <w:rtl/>
        </w:rPr>
        <w:t>שריון וכבילה, פסיקתם של בתי המשפט ותגובת הכנסת אליה, ועמדת הקהילה המשפטית</w:t>
      </w:r>
      <w:r w:rsidRPr="004739EE">
        <w:rPr>
          <w:sz w:val="20"/>
          <w:szCs w:val="20"/>
          <w:highlight w:val="yellow"/>
          <w:rtl/>
        </w:rPr>
        <w:t xml:space="preserve"> </w:t>
      </w:r>
      <w:r w:rsidRPr="004739EE">
        <w:rPr>
          <w:rFonts w:hint="cs"/>
          <w:sz w:val="20"/>
          <w:szCs w:val="20"/>
          <w:highlight w:val="yellow"/>
          <w:rtl/>
        </w:rPr>
        <w:t>- האין זה מתבקש כי ייקבע שכיום נתונה לכנסת הסמכות המכוננת; כי כיום מוסמכת</w:t>
      </w:r>
      <w:r w:rsidRPr="004739EE">
        <w:rPr>
          <w:sz w:val="20"/>
          <w:szCs w:val="20"/>
          <w:highlight w:val="yellow"/>
          <w:rtl/>
        </w:rPr>
        <w:t xml:space="preserve"> </w:t>
      </w:r>
      <w:r w:rsidRPr="004739EE">
        <w:rPr>
          <w:rFonts w:hint="cs"/>
          <w:sz w:val="20"/>
          <w:szCs w:val="20"/>
          <w:highlight w:val="yellow"/>
          <w:rtl/>
        </w:rPr>
        <w:t>הכנסת - בצד כוח החקיקה הרגיל שלה - לכונן חוקה? האין זה הפירוש הטוב ביותר</w:t>
      </w:r>
      <w:r w:rsidRPr="004739EE">
        <w:rPr>
          <w:sz w:val="20"/>
          <w:szCs w:val="20"/>
          <w:highlight w:val="yellow"/>
          <w:rtl/>
        </w:rPr>
        <w:t xml:space="preserve"> </w:t>
      </w:r>
      <w:r w:rsidRPr="004739EE">
        <w:rPr>
          <w:rFonts w:hint="cs"/>
          <w:sz w:val="20"/>
          <w:szCs w:val="20"/>
          <w:highlight w:val="yellow"/>
          <w:rtl/>
        </w:rPr>
        <w:t>של ההיסטוריה הלאומית שלנו?</w:t>
      </w:r>
      <w:r w:rsidRPr="00E82C32">
        <w:rPr>
          <w:rFonts w:hint="cs"/>
          <w:sz w:val="20"/>
          <w:szCs w:val="20"/>
          <w:rtl/>
        </w:rPr>
        <w:t xml:space="preserve"> </w:t>
      </w:r>
    </w:p>
    <w:p w:rsidR="005366A8" w:rsidRDefault="005366A8" w:rsidP="005366A8">
      <w:pPr>
        <w:spacing w:after="60"/>
        <w:rPr>
          <w:sz w:val="20"/>
          <w:szCs w:val="20"/>
          <w:rtl/>
        </w:rPr>
      </w:pPr>
      <w:r w:rsidRPr="00E82C32">
        <w:rPr>
          <w:sz w:val="20"/>
          <w:szCs w:val="20"/>
          <w:rtl/>
        </w:rPr>
        <w:t>46. [</w:t>
      </w:r>
      <w:r w:rsidRPr="00E82C32">
        <w:rPr>
          <w:sz w:val="20"/>
          <w:szCs w:val="20"/>
        </w:rPr>
        <w:t>…</w:t>
      </w:r>
      <w:r w:rsidRPr="00E82C32">
        <w:rPr>
          <w:sz w:val="20"/>
          <w:szCs w:val="20"/>
          <w:rtl/>
        </w:rPr>
        <w:t xml:space="preserve">] </w:t>
      </w:r>
      <w:r w:rsidRPr="00E82C32">
        <w:rPr>
          <w:rFonts w:hint="cs"/>
          <w:sz w:val="20"/>
          <w:szCs w:val="20"/>
          <w:rtl/>
        </w:rPr>
        <w:t>הפירוש הטוב</w:t>
      </w:r>
      <w:r w:rsidRPr="00E82C32">
        <w:rPr>
          <w:sz w:val="20"/>
          <w:szCs w:val="20"/>
          <w:rtl/>
        </w:rPr>
        <w:t xml:space="preserve"> </w:t>
      </w:r>
      <w:r w:rsidRPr="00E82C32">
        <w:rPr>
          <w:rFonts w:hint="cs"/>
          <w:sz w:val="20"/>
          <w:szCs w:val="20"/>
          <w:rtl/>
        </w:rPr>
        <w:t>ביותר להבנה זו הינו כי הכנסת ביקשה להגביל את כוח החקיקה שלה בעניינים</w:t>
      </w:r>
      <w:r w:rsidRPr="00E82C32">
        <w:rPr>
          <w:sz w:val="20"/>
          <w:szCs w:val="20"/>
          <w:rtl/>
        </w:rPr>
        <w:t xml:space="preserve"> </w:t>
      </w:r>
      <w:r w:rsidRPr="00E82C32">
        <w:rPr>
          <w:rFonts w:hint="cs"/>
          <w:sz w:val="20"/>
          <w:szCs w:val="20"/>
          <w:rtl/>
        </w:rPr>
        <w:t>חוקתיים; כי היא ראתה עצמה פועלת בגדרי המפעל החוקתי; כי היא ראתה עצמה</w:t>
      </w:r>
      <w:r w:rsidRPr="00E82C32">
        <w:rPr>
          <w:sz w:val="20"/>
          <w:szCs w:val="20"/>
          <w:rtl/>
        </w:rPr>
        <w:t xml:space="preserve"> </w:t>
      </w:r>
      <w:r w:rsidRPr="00E82C32">
        <w:rPr>
          <w:rFonts w:hint="cs"/>
          <w:sz w:val="20"/>
          <w:szCs w:val="20"/>
          <w:rtl/>
        </w:rPr>
        <w:t xml:space="preserve">ככותבת חוקה לישראל. נתמקד נא עוד בהוראות השריון שבחוק-יסוד: הכנסת. </w:t>
      </w:r>
      <w:r w:rsidRPr="007F08B7">
        <w:rPr>
          <w:rFonts w:hint="cs"/>
          <w:sz w:val="20"/>
          <w:szCs w:val="20"/>
          <w:highlight w:val="yellow"/>
          <w:rtl/>
        </w:rPr>
        <w:t>האם</w:t>
      </w:r>
      <w:r w:rsidRPr="007F08B7">
        <w:rPr>
          <w:sz w:val="20"/>
          <w:szCs w:val="20"/>
          <w:highlight w:val="yellow"/>
          <w:rtl/>
        </w:rPr>
        <w:t xml:space="preserve"> </w:t>
      </w:r>
      <w:r w:rsidRPr="007F08B7">
        <w:rPr>
          <w:rFonts w:hint="cs"/>
          <w:sz w:val="20"/>
          <w:szCs w:val="20"/>
          <w:highlight w:val="yellow"/>
          <w:rtl/>
        </w:rPr>
        <w:t>ההסבר הטוב ביותר לפרקטיקה זו, על רקע מכלול ההיסטוריה המשפטית והחברתית</w:t>
      </w:r>
      <w:r w:rsidRPr="007F08B7">
        <w:rPr>
          <w:sz w:val="20"/>
          <w:szCs w:val="20"/>
          <w:highlight w:val="yellow"/>
          <w:rtl/>
        </w:rPr>
        <w:t xml:space="preserve"> </w:t>
      </w:r>
      <w:r w:rsidRPr="007F08B7">
        <w:rPr>
          <w:rFonts w:hint="cs"/>
          <w:sz w:val="20"/>
          <w:szCs w:val="20"/>
          <w:highlight w:val="yellow"/>
          <w:rtl/>
        </w:rPr>
        <w:t>שלנו, הוא שנעשה כאן נסיון של הכנסת לראות בנמנעים ובלא משתתפים כמי שמצביעים</w:t>
      </w:r>
      <w:r w:rsidRPr="007F08B7">
        <w:rPr>
          <w:sz w:val="20"/>
          <w:szCs w:val="20"/>
          <w:highlight w:val="yellow"/>
          <w:rtl/>
        </w:rPr>
        <w:t xml:space="preserve"> </w:t>
      </w:r>
      <w:r w:rsidRPr="007F08B7">
        <w:rPr>
          <w:rFonts w:hint="cs"/>
          <w:sz w:val="20"/>
          <w:szCs w:val="20"/>
          <w:highlight w:val="yellow"/>
          <w:rtl/>
        </w:rPr>
        <w:t>נגד, תוך רצון לקבוע רוב "רגיל"? או שמא ההסבר הטוב ביותר הוא זה שנעשה כאן</w:t>
      </w:r>
      <w:r w:rsidRPr="007F08B7">
        <w:rPr>
          <w:sz w:val="20"/>
          <w:szCs w:val="20"/>
          <w:highlight w:val="yellow"/>
          <w:rtl/>
        </w:rPr>
        <w:t xml:space="preserve"> </w:t>
      </w:r>
      <w:r w:rsidRPr="007F08B7">
        <w:rPr>
          <w:rFonts w:hint="cs"/>
          <w:sz w:val="20"/>
          <w:szCs w:val="20"/>
          <w:highlight w:val="yellow"/>
          <w:rtl/>
        </w:rPr>
        <w:t>נסיון ליצור נורמה חוקתית-על-חוקית, אשר תבטיח את יציבות המשטר? או טול את</w:t>
      </w:r>
      <w:r w:rsidRPr="007F08B7">
        <w:rPr>
          <w:sz w:val="20"/>
          <w:szCs w:val="20"/>
          <w:highlight w:val="yellow"/>
          <w:rtl/>
        </w:rPr>
        <w:t xml:space="preserve"> </w:t>
      </w:r>
      <w:r w:rsidRPr="007F08B7">
        <w:rPr>
          <w:rFonts w:hint="cs"/>
          <w:sz w:val="20"/>
          <w:szCs w:val="20"/>
          <w:highlight w:val="yellow"/>
          <w:rtl/>
        </w:rPr>
        <w:t>חוק-יסוד: כבוד האדם וחירותו. האם ההסבר הטוב ביותר לחוק-יסוד זה הינו, כי</w:t>
      </w:r>
      <w:r w:rsidRPr="007F08B7">
        <w:rPr>
          <w:sz w:val="20"/>
          <w:szCs w:val="20"/>
          <w:highlight w:val="yellow"/>
          <w:rtl/>
        </w:rPr>
        <w:t xml:space="preserve"> </w:t>
      </w:r>
      <w:r w:rsidRPr="007F08B7">
        <w:rPr>
          <w:rFonts w:hint="cs"/>
          <w:sz w:val="20"/>
          <w:szCs w:val="20"/>
          <w:highlight w:val="yellow"/>
          <w:rtl/>
        </w:rPr>
        <w:t>הכנסת ביקשה למנוע מצב דברים שבו כנסת מאוחרת עשויה לפגוע בזכויות יסוד בלא</w:t>
      </w:r>
      <w:r w:rsidRPr="007F08B7">
        <w:rPr>
          <w:sz w:val="20"/>
          <w:szCs w:val="20"/>
          <w:highlight w:val="yellow"/>
          <w:rtl/>
        </w:rPr>
        <w:t xml:space="preserve"> </w:t>
      </w:r>
      <w:r w:rsidRPr="007F08B7">
        <w:rPr>
          <w:rFonts w:hint="cs"/>
          <w:sz w:val="20"/>
          <w:szCs w:val="20"/>
          <w:highlight w:val="yellow"/>
          <w:rtl/>
        </w:rPr>
        <w:t>לתת הדעת על כך במודע ובמפורש (כעמדת חברי, השופט חשין)? או שמא ההסבר הטוב</w:t>
      </w:r>
      <w:r w:rsidRPr="007F08B7">
        <w:rPr>
          <w:sz w:val="20"/>
          <w:szCs w:val="20"/>
          <w:highlight w:val="yellow"/>
          <w:rtl/>
        </w:rPr>
        <w:t xml:space="preserve"> </w:t>
      </w:r>
      <w:r w:rsidRPr="007F08B7">
        <w:rPr>
          <w:rFonts w:hint="cs"/>
          <w:sz w:val="20"/>
          <w:szCs w:val="20"/>
          <w:highlight w:val="yellow"/>
          <w:rtl/>
        </w:rPr>
        <w:t>ביותר להוראת חוק זה הוא כי הכנסת ביקשה למנוע מהכנסת את ה</w:t>
      </w:r>
      <w:r w:rsidRPr="007F08B7">
        <w:rPr>
          <w:sz w:val="20"/>
          <w:szCs w:val="20"/>
          <w:highlight w:val="yellow"/>
          <w:rtl/>
        </w:rPr>
        <w:t>א</w:t>
      </w:r>
      <w:r w:rsidRPr="007F08B7">
        <w:rPr>
          <w:rFonts w:hint="cs"/>
          <w:sz w:val="20"/>
          <w:szCs w:val="20"/>
          <w:highlight w:val="yellow"/>
          <w:rtl/>
        </w:rPr>
        <w:t>פשרות לפגוע</w:t>
      </w:r>
      <w:r w:rsidRPr="007F08B7">
        <w:rPr>
          <w:sz w:val="20"/>
          <w:szCs w:val="20"/>
          <w:highlight w:val="yellow"/>
          <w:rtl/>
        </w:rPr>
        <w:t xml:space="preserve"> </w:t>
      </w:r>
      <w:r w:rsidRPr="007F08B7">
        <w:rPr>
          <w:rFonts w:hint="cs"/>
          <w:sz w:val="20"/>
          <w:szCs w:val="20"/>
          <w:highlight w:val="yellow"/>
          <w:rtl/>
        </w:rPr>
        <w:t xml:space="preserve">בזכויות יסוד בלא לקיים את דרישתה של פסקת ההגבלה, ובכך למנוע מכנסת מאוחרת </w:t>
      </w:r>
      <w:r>
        <w:rPr>
          <w:sz w:val="20"/>
          <w:szCs w:val="20"/>
          <w:highlight w:val="yellow"/>
          <w:rtl/>
        </w:rPr>
        <w:t>–</w:t>
      </w:r>
      <w:r w:rsidRPr="007F08B7">
        <w:rPr>
          <w:sz w:val="20"/>
          <w:szCs w:val="20"/>
          <w:highlight w:val="yellow"/>
          <w:rtl/>
        </w:rPr>
        <w:t xml:space="preserve"> </w:t>
      </w:r>
      <w:r>
        <w:rPr>
          <w:rFonts w:hint="cs"/>
          <w:sz w:val="20"/>
          <w:szCs w:val="20"/>
          <w:highlight w:val="yellow"/>
          <w:rtl/>
        </w:rPr>
        <w:t xml:space="preserve">{גם זו} </w:t>
      </w:r>
      <w:r w:rsidRPr="007F08B7">
        <w:rPr>
          <w:rFonts w:hint="cs"/>
          <w:sz w:val="20"/>
          <w:szCs w:val="20"/>
          <w:highlight w:val="yellow"/>
          <w:rtl/>
        </w:rPr>
        <w:t>הקובעת במפורש כי היא סוטה מההסדר של חוק היסוד - מלהשיג את מטרתה? האם פירוש</w:t>
      </w:r>
      <w:r w:rsidRPr="007F08B7">
        <w:rPr>
          <w:sz w:val="20"/>
          <w:szCs w:val="20"/>
          <w:highlight w:val="yellow"/>
          <w:rtl/>
        </w:rPr>
        <w:t xml:space="preserve"> </w:t>
      </w:r>
      <w:r w:rsidRPr="007F08B7">
        <w:rPr>
          <w:rFonts w:hint="cs"/>
          <w:sz w:val="20"/>
          <w:szCs w:val="20"/>
          <w:highlight w:val="yellow"/>
          <w:rtl/>
        </w:rPr>
        <w:t>זה - הוא הפירוש שלי - אינו הפירוש היחיד היוצר הרמוניה בין הסדריו של</w:t>
      </w:r>
      <w:r w:rsidRPr="007F08B7">
        <w:rPr>
          <w:sz w:val="20"/>
          <w:szCs w:val="20"/>
          <w:highlight w:val="yellow"/>
          <w:rtl/>
        </w:rPr>
        <w:t xml:space="preserve"> </w:t>
      </w:r>
      <w:r w:rsidRPr="007F08B7">
        <w:rPr>
          <w:rFonts w:hint="cs"/>
          <w:sz w:val="20"/>
          <w:szCs w:val="20"/>
          <w:highlight w:val="yellow"/>
          <w:rtl/>
        </w:rPr>
        <w:t>חוק-יסוד: כבוד האדם וחירותו והסדריו של חוק-יסוד: חופש העיסוק, בו מצויה</w:t>
      </w:r>
      <w:r w:rsidRPr="007F08B7">
        <w:rPr>
          <w:sz w:val="20"/>
          <w:szCs w:val="20"/>
          <w:highlight w:val="yellow"/>
          <w:rtl/>
        </w:rPr>
        <w:t xml:space="preserve"> </w:t>
      </w:r>
      <w:r w:rsidRPr="007F08B7">
        <w:rPr>
          <w:rFonts w:hint="cs"/>
          <w:sz w:val="20"/>
          <w:szCs w:val="20"/>
          <w:highlight w:val="yellow"/>
          <w:rtl/>
        </w:rPr>
        <w:t>הוראה מפורשת בעניין פסקת ההתגברות, שנועדה להשיג את הפירוש של חברי בגדריו</w:t>
      </w:r>
      <w:r w:rsidRPr="007F08B7">
        <w:rPr>
          <w:sz w:val="20"/>
          <w:szCs w:val="20"/>
          <w:highlight w:val="yellow"/>
          <w:rtl/>
        </w:rPr>
        <w:t xml:space="preserve"> </w:t>
      </w:r>
      <w:r w:rsidRPr="007F08B7">
        <w:rPr>
          <w:rFonts w:hint="cs"/>
          <w:sz w:val="20"/>
          <w:szCs w:val="20"/>
          <w:highlight w:val="yellow"/>
          <w:rtl/>
        </w:rPr>
        <w:t>של חוק-יסוד זה, אך שחסרה בחוק-יסוד: כבוד האדם וחירותו?</w:t>
      </w:r>
      <w:r w:rsidRPr="00E82C32">
        <w:rPr>
          <w:rFonts w:hint="cs"/>
          <w:sz w:val="20"/>
          <w:szCs w:val="20"/>
          <w:rtl/>
        </w:rPr>
        <w:t xml:space="preserve"> האם ההסבר הטוב</w:t>
      </w:r>
      <w:r w:rsidRPr="00E82C32">
        <w:rPr>
          <w:sz w:val="20"/>
          <w:szCs w:val="20"/>
          <w:rtl/>
        </w:rPr>
        <w:t xml:space="preserve"> </w:t>
      </w:r>
      <w:r w:rsidRPr="00E82C32">
        <w:rPr>
          <w:rFonts w:hint="cs"/>
          <w:sz w:val="20"/>
          <w:szCs w:val="20"/>
          <w:rtl/>
        </w:rPr>
        <w:t>ביותר להיסטוריה המשפטית שלנו באשר לשימוש בביטוי "חוק-יסוד" הוא שזה עניי</w:t>
      </w:r>
      <w:r w:rsidRPr="00E82C32">
        <w:rPr>
          <w:sz w:val="20"/>
          <w:szCs w:val="20"/>
          <w:rtl/>
        </w:rPr>
        <w:t xml:space="preserve">ן </w:t>
      </w:r>
      <w:r w:rsidRPr="00E82C32">
        <w:rPr>
          <w:rFonts w:hint="cs"/>
          <w:sz w:val="20"/>
          <w:szCs w:val="20"/>
          <w:rtl/>
        </w:rPr>
        <w:t>צורני גרידא, שאין מאחוריו ולא כלום? או שמא ההסבר הטוב ביותר לשימוש בדיבור</w:t>
      </w:r>
      <w:r w:rsidRPr="00E82C32">
        <w:rPr>
          <w:sz w:val="20"/>
          <w:szCs w:val="20"/>
          <w:rtl/>
        </w:rPr>
        <w:t xml:space="preserve"> </w:t>
      </w:r>
      <w:r w:rsidRPr="00E82C32">
        <w:rPr>
          <w:rFonts w:hint="cs"/>
          <w:sz w:val="20"/>
          <w:szCs w:val="20"/>
          <w:rtl/>
        </w:rPr>
        <w:t>"חוק-יסוד" הוא שהדבר הוא מהותי באופיו, ומשקף את מעמדו הנורמאטיבי העליון של</w:t>
      </w:r>
      <w:r w:rsidRPr="00E82C32">
        <w:rPr>
          <w:sz w:val="20"/>
          <w:szCs w:val="20"/>
          <w:rtl/>
        </w:rPr>
        <w:t xml:space="preserve"> </w:t>
      </w:r>
      <w:r w:rsidRPr="00E82C32">
        <w:rPr>
          <w:rFonts w:hint="cs"/>
          <w:sz w:val="20"/>
          <w:szCs w:val="20"/>
          <w:rtl/>
        </w:rPr>
        <w:t xml:space="preserve">חוק היסוד? </w:t>
      </w:r>
      <w:r w:rsidRPr="00E82C32">
        <w:rPr>
          <w:sz w:val="20"/>
          <w:szCs w:val="20"/>
          <w:rtl/>
        </w:rPr>
        <w:t>[</w:t>
      </w:r>
      <w:r w:rsidRPr="00E82C32">
        <w:rPr>
          <w:sz w:val="20"/>
          <w:szCs w:val="20"/>
        </w:rPr>
        <w:t>…</w:t>
      </w:r>
      <w:r w:rsidRPr="00E82C32">
        <w:rPr>
          <w:sz w:val="20"/>
          <w:szCs w:val="20"/>
          <w:rtl/>
        </w:rPr>
        <w:t>]</w:t>
      </w:r>
    </w:p>
    <w:p w:rsidR="005366A8" w:rsidRDefault="005366A8" w:rsidP="005366A8">
      <w:pPr>
        <w:spacing w:after="60"/>
        <w:rPr>
          <w:rtl/>
        </w:rPr>
      </w:pPr>
      <w:r>
        <w:rPr>
          <w:rFonts w:hint="cs"/>
          <w:rtl/>
        </w:rPr>
        <w:t>=-=</w:t>
      </w:r>
    </w:p>
    <w:p w:rsidR="005366A8" w:rsidRPr="005857A8" w:rsidRDefault="005366A8" w:rsidP="005366A8">
      <w:pPr>
        <w:spacing w:after="60"/>
        <w:rPr>
          <w:b/>
          <w:bCs/>
          <w:sz w:val="20"/>
          <w:szCs w:val="20"/>
          <w:rtl/>
        </w:rPr>
      </w:pPr>
      <w:r w:rsidRPr="005857A8">
        <w:rPr>
          <w:b/>
          <w:bCs/>
          <w:sz w:val="20"/>
          <w:szCs w:val="20"/>
          <w:rtl/>
        </w:rPr>
        <w:t>תשובתו החלקית של</w:t>
      </w:r>
      <w:r>
        <w:rPr>
          <w:rFonts w:hint="cs"/>
          <w:b/>
          <w:bCs/>
          <w:sz w:val="20"/>
          <w:szCs w:val="20"/>
          <w:rtl/>
        </w:rPr>
        <w:t xml:space="preserve"> שופט אחר משופטי הרוב,</w:t>
      </w:r>
      <w:r w:rsidRPr="005857A8">
        <w:rPr>
          <w:b/>
          <w:bCs/>
          <w:sz w:val="20"/>
          <w:szCs w:val="20"/>
          <w:rtl/>
        </w:rPr>
        <w:t xml:space="preserve"> </w:t>
      </w:r>
      <w:r w:rsidRPr="006A45E5">
        <w:rPr>
          <w:b/>
          <w:bCs/>
          <w:sz w:val="20"/>
          <w:szCs w:val="20"/>
          <w:u w:val="single"/>
          <w:rtl/>
        </w:rPr>
        <w:t>השופט בך</w:t>
      </w:r>
      <w:r>
        <w:rPr>
          <w:rFonts w:hint="cs"/>
          <w:b/>
          <w:bCs/>
          <w:sz w:val="20"/>
          <w:szCs w:val="20"/>
          <w:rtl/>
        </w:rPr>
        <w:t>, לאחת מטענותיו של השופט חשין</w:t>
      </w:r>
    </w:p>
    <w:p w:rsidR="005366A8" w:rsidRPr="005857A8" w:rsidRDefault="005366A8" w:rsidP="005366A8">
      <w:pPr>
        <w:spacing w:after="60"/>
        <w:rPr>
          <w:sz w:val="20"/>
          <w:szCs w:val="20"/>
        </w:rPr>
      </w:pPr>
      <w:r w:rsidRPr="005857A8">
        <w:rPr>
          <w:rFonts w:hint="cs"/>
          <w:sz w:val="20"/>
          <w:szCs w:val="20"/>
          <w:rtl/>
        </w:rPr>
        <w:t>8. השופט חשין מעלה בפסק-דינו, בין היתר, חששות מפני תופעות שליליות</w:t>
      </w:r>
      <w:r w:rsidRPr="005857A8">
        <w:rPr>
          <w:sz w:val="20"/>
          <w:szCs w:val="20"/>
          <w:rtl/>
        </w:rPr>
        <w:t xml:space="preserve"> </w:t>
      </w:r>
      <w:r w:rsidRPr="005857A8">
        <w:rPr>
          <w:rFonts w:hint="cs"/>
          <w:sz w:val="20"/>
          <w:szCs w:val="20"/>
          <w:rtl/>
        </w:rPr>
        <w:t>העלולות להתרחש בעתיד אם אכן נכיר בסמכות הכנסת לכבול בחוק יסוד ללא הגבלה את</w:t>
      </w:r>
      <w:r w:rsidRPr="005857A8">
        <w:rPr>
          <w:sz w:val="20"/>
          <w:szCs w:val="20"/>
          <w:rtl/>
        </w:rPr>
        <w:t xml:space="preserve"> </w:t>
      </w:r>
      <w:r w:rsidRPr="005857A8">
        <w:rPr>
          <w:rFonts w:hint="cs"/>
          <w:sz w:val="20"/>
          <w:szCs w:val="20"/>
          <w:rtl/>
        </w:rPr>
        <w:t>סמכותן של כנסות באות לבטל חוק כזה או לתקנו. כך שואל חברי, מה יקרה אם בעתיד</w:t>
      </w:r>
      <w:r w:rsidRPr="005857A8">
        <w:rPr>
          <w:sz w:val="20"/>
          <w:szCs w:val="20"/>
          <w:rtl/>
        </w:rPr>
        <w:t xml:space="preserve"> </w:t>
      </w:r>
      <w:r w:rsidRPr="005857A8">
        <w:rPr>
          <w:rFonts w:hint="cs"/>
          <w:sz w:val="20"/>
          <w:szCs w:val="20"/>
          <w:rtl/>
        </w:rPr>
        <w:t>יתקבל חוק יסוד כובל אשר ידרוש הצבעה של 90 או 100 או עוד יותר חברי-כנסת</w:t>
      </w:r>
      <w:r w:rsidRPr="005857A8">
        <w:rPr>
          <w:sz w:val="20"/>
          <w:szCs w:val="20"/>
          <w:rtl/>
        </w:rPr>
        <w:t xml:space="preserve"> </w:t>
      </w:r>
      <w:r w:rsidRPr="005857A8">
        <w:rPr>
          <w:rFonts w:hint="cs"/>
          <w:sz w:val="20"/>
          <w:szCs w:val="20"/>
          <w:rtl/>
        </w:rPr>
        <w:t>לקבלת תיקון עתידי.</w:t>
      </w:r>
      <w:r>
        <w:rPr>
          <w:rFonts w:hint="cs"/>
          <w:sz w:val="20"/>
          <w:szCs w:val="20"/>
          <w:rtl/>
        </w:rPr>
        <w:t xml:space="preserve"> </w:t>
      </w:r>
      <w:r w:rsidRPr="005857A8">
        <w:rPr>
          <w:rFonts w:hint="cs"/>
          <w:sz w:val="20"/>
          <w:szCs w:val="20"/>
          <w:rtl/>
        </w:rPr>
        <w:t>אכן, מחשבה כזו מעוררת חשש לעניין חיינו הדמוקרטיים בעתיד, אך נראה כי חשש</w:t>
      </w:r>
      <w:r w:rsidRPr="005857A8">
        <w:rPr>
          <w:sz w:val="20"/>
          <w:szCs w:val="20"/>
          <w:rtl/>
        </w:rPr>
        <w:t xml:space="preserve"> </w:t>
      </w:r>
      <w:r w:rsidRPr="005857A8">
        <w:rPr>
          <w:rFonts w:hint="cs"/>
          <w:sz w:val="20"/>
          <w:szCs w:val="20"/>
          <w:rtl/>
        </w:rPr>
        <w:t>כזה הוא תיאורטי יותר ממעשי. אין אנו המדינה היחידה שבה התקבלו חוקים בעלי</w:t>
      </w:r>
      <w:r w:rsidRPr="005857A8">
        <w:rPr>
          <w:sz w:val="20"/>
          <w:szCs w:val="20"/>
          <w:rtl/>
        </w:rPr>
        <w:t xml:space="preserve"> </w:t>
      </w:r>
      <w:r w:rsidRPr="005857A8">
        <w:rPr>
          <w:rFonts w:hint="cs"/>
          <w:sz w:val="20"/>
          <w:szCs w:val="20"/>
          <w:rtl/>
        </w:rPr>
        <w:t>אופי</w:t>
      </w:r>
      <w:r w:rsidRPr="005857A8">
        <w:rPr>
          <w:sz w:val="20"/>
          <w:szCs w:val="20"/>
          <w:rtl/>
        </w:rPr>
        <w:t xml:space="preserve"> </w:t>
      </w:r>
      <w:r w:rsidRPr="005857A8">
        <w:rPr>
          <w:rFonts w:hint="cs"/>
          <w:sz w:val="20"/>
          <w:szCs w:val="20"/>
          <w:rtl/>
        </w:rPr>
        <w:t>חוקתי, הכוללים סעיפי שריון והגבלה באשר לחקיקה עתידה. בחוקים כאלה מדובר</w:t>
      </w:r>
      <w:r w:rsidRPr="005857A8">
        <w:rPr>
          <w:sz w:val="20"/>
          <w:szCs w:val="20"/>
          <w:rtl/>
        </w:rPr>
        <w:t xml:space="preserve"> </w:t>
      </w:r>
      <w:r w:rsidRPr="005857A8">
        <w:rPr>
          <w:rFonts w:hint="cs"/>
          <w:sz w:val="20"/>
          <w:szCs w:val="20"/>
          <w:rtl/>
        </w:rPr>
        <w:t>בצורך ברוב חברי הפרלמנט לשינוי חוק חוקתי, או אף בצורך ברוב של שני שלישים</w:t>
      </w:r>
      <w:r w:rsidRPr="005857A8">
        <w:rPr>
          <w:sz w:val="20"/>
          <w:szCs w:val="20"/>
          <w:rtl/>
        </w:rPr>
        <w:t xml:space="preserve"> </w:t>
      </w:r>
      <w:r w:rsidRPr="005857A8">
        <w:rPr>
          <w:rFonts w:hint="cs"/>
          <w:sz w:val="20"/>
          <w:szCs w:val="20"/>
          <w:rtl/>
        </w:rPr>
        <w:t>של הפרלמנט או של המשתתפים בהצבעה. לא שמענו על דרישת רוב מוחלט של 100%,</w:t>
      </w:r>
      <w:r w:rsidRPr="005857A8">
        <w:rPr>
          <w:sz w:val="20"/>
          <w:szCs w:val="20"/>
          <w:rtl/>
        </w:rPr>
        <w:t xml:space="preserve"> </w:t>
      </w:r>
      <w:r w:rsidRPr="005857A8">
        <w:rPr>
          <w:rFonts w:hint="cs"/>
          <w:sz w:val="20"/>
          <w:szCs w:val="20"/>
          <w:rtl/>
        </w:rPr>
        <w:t>היינו הצבעה פה אחד, או אף של דרישת רוב של 90% או 80% של חברי הפרלמנט.</w:t>
      </w:r>
    </w:p>
    <w:p w:rsidR="005366A8" w:rsidRDefault="005366A8" w:rsidP="005366A8">
      <w:pPr>
        <w:spacing w:after="60"/>
        <w:rPr>
          <w:sz w:val="20"/>
          <w:szCs w:val="20"/>
          <w:rtl/>
        </w:rPr>
      </w:pPr>
      <w:r w:rsidRPr="005857A8">
        <w:rPr>
          <w:rFonts w:hint="cs"/>
          <w:sz w:val="20"/>
          <w:szCs w:val="20"/>
          <w:rtl/>
        </w:rPr>
        <w:t>החשש המובע מזכיר לי את השאלות הבאות ששאלתי את עצמי לא פעם: מה יקרה, אם</w:t>
      </w:r>
      <w:r w:rsidRPr="005857A8">
        <w:rPr>
          <w:sz w:val="20"/>
          <w:szCs w:val="20"/>
          <w:rtl/>
        </w:rPr>
        <w:t xml:space="preserve"> </w:t>
      </w:r>
      <w:r w:rsidRPr="005857A8">
        <w:rPr>
          <w:rFonts w:hint="cs"/>
          <w:sz w:val="20"/>
          <w:szCs w:val="20"/>
          <w:rtl/>
        </w:rPr>
        <w:t>בטקס של ערב יום העצמאות, כאשר המפקד הממונה על האירוע מציע ליושב-ראש הכנסת</w:t>
      </w:r>
      <w:r w:rsidRPr="005857A8">
        <w:rPr>
          <w:sz w:val="20"/>
          <w:szCs w:val="20"/>
          <w:rtl/>
        </w:rPr>
        <w:t xml:space="preserve"> </w:t>
      </w:r>
      <w:r w:rsidRPr="005857A8">
        <w:rPr>
          <w:rFonts w:hint="cs"/>
          <w:sz w:val="20"/>
          <w:szCs w:val="20"/>
          <w:rtl/>
        </w:rPr>
        <w:t>ומבקש את רשותו להתחיל בטקס, תיתקל בקשתו זו בסירוב מטעם יושב-ראש הכנסת?!</w:t>
      </w:r>
      <w:r>
        <w:rPr>
          <w:sz w:val="20"/>
          <w:szCs w:val="20"/>
          <w:rtl/>
        </w:rPr>
        <w:t xml:space="preserve"> </w:t>
      </w:r>
      <w:r w:rsidRPr="005857A8">
        <w:rPr>
          <w:rFonts w:hint="cs"/>
          <w:sz w:val="20"/>
          <w:szCs w:val="20"/>
          <w:rtl/>
        </w:rPr>
        <w:t>ומה יקרה, אם נשיא המדינה או ראש הממשלה או השר הנוגע בדבר יסרבו לחתום על</w:t>
      </w:r>
      <w:r w:rsidRPr="005857A8">
        <w:rPr>
          <w:sz w:val="20"/>
          <w:szCs w:val="20"/>
          <w:rtl/>
        </w:rPr>
        <w:t xml:space="preserve"> </w:t>
      </w:r>
      <w:r w:rsidRPr="005857A8">
        <w:rPr>
          <w:rFonts w:hint="cs"/>
          <w:sz w:val="20"/>
          <w:szCs w:val="20"/>
          <w:rtl/>
        </w:rPr>
        <w:t>חוק שנתקבל בכנסת? ומה אם נשיא המדינה יסרב לחתום על כתב מינוי לשופט אשר</w:t>
      </w:r>
      <w:r w:rsidRPr="005857A8">
        <w:rPr>
          <w:sz w:val="20"/>
          <w:szCs w:val="20"/>
          <w:rtl/>
        </w:rPr>
        <w:t xml:space="preserve"> </w:t>
      </w:r>
      <w:r w:rsidRPr="005857A8">
        <w:rPr>
          <w:rFonts w:hint="cs"/>
          <w:sz w:val="20"/>
          <w:szCs w:val="20"/>
          <w:rtl/>
        </w:rPr>
        <w:t>נבחר לכהונתו על-ידי ועדת המינוי לשופטים, ולא נמצא כל פגם במינויו? התשובה</w:t>
      </w:r>
      <w:r w:rsidRPr="005857A8">
        <w:rPr>
          <w:sz w:val="20"/>
          <w:szCs w:val="20"/>
          <w:rtl/>
        </w:rPr>
        <w:t xml:space="preserve"> </w:t>
      </w:r>
      <w:r w:rsidRPr="005857A8">
        <w:rPr>
          <w:rFonts w:hint="cs"/>
          <w:sz w:val="20"/>
          <w:szCs w:val="20"/>
          <w:rtl/>
        </w:rPr>
        <w:t>הפשוטה לשאלות כאלה היא, כי ישנם דברים מסוימים, אשר יש להניח כי במשטר</w:t>
      </w:r>
      <w:r w:rsidRPr="005857A8">
        <w:rPr>
          <w:sz w:val="20"/>
          <w:szCs w:val="20"/>
          <w:rtl/>
        </w:rPr>
        <w:t xml:space="preserve"> </w:t>
      </w:r>
      <w:r w:rsidRPr="005857A8">
        <w:rPr>
          <w:rFonts w:hint="cs"/>
          <w:sz w:val="20"/>
          <w:szCs w:val="20"/>
          <w:rtl/>
        </w:rPr>
        <w:t>דמוקרטי תקין פשוט לא יקרו. ואם חס וחלילה, בצורה בלתי סבירה, בכל זאת</w:t>
      </w:r>
      <w:r w:rsidRPr="005857A8">
        <w:rPr>
          <w:sz w:val="20"/>
          <w:szCs w:val="20"/>
          <w:rtl/>
        </w:rPr>
        <w:t xml:space="preserve"> </w:t>
      </w:r>
      <w:r w:rsidRPr="005857A8">
        <w:rPr>
          <w:rFonts w:hint="cs"/>
          <w:sz w:val="20"/>
          <w:szCs w:val="20"/>
          <w:rtl/>
        </w:rPr>
        <w:t>יתרחשו, גם אז יימצאו לכך במשטר דמוקרטי פתרונות במישור השיפוטי או במישור</w:t>
      </w:r>
      <w:r w:rsidRPr="005857A8">
        <w:rPr>
          <w:sz w:val="20"/>
          <w:szCs w:val="20"/>
          <w:rtl/>
        </w:rPr>
        <w:t xml:space="preserve"> </w:t>
      </w:r>
      <w:r w:rsidRPr="005857A8">
        <w:rPr>
          <w:rFonts w:hint="cs"/>
          <w:sz w:val="20"/>
          <w:szCs w:val="20"/>
          <w:rtl/>
        </w:rPr>
        <w:t>ממלכתי אחר. בחשש זה ובבעיות אחרות הקשורות בקבלת חוקי יסוד להבא ובתיקונם,</w:t>
      </w:r>
      <w:r w:rsidRPr="005857A8">
        <w:rPr>
          <w:sz w:val="20"/>
          <w:szCs w:val="20"/>
          <w:rtl/>
        </w:rPr>
        <w:t xml:space="preserve"> </w:t>
      </w:r>
      <w:r w:rsidRPr="005857A8">
        <w:rPr>
          <w:rFonts w:hint="cs"/>
          <w:sz w:val="20"/>
          <w:szCs w:val="20"/>
          <w:rtl/>
        </w:rPr>
        <w:t>אשר בעתיד יימצאו להם פתרונים, אין כדי לגבור על השיקולים המובילים למסקנה כי</w:t>
      </w:r>
      <w:r w:rsidRPr="005857A8">
        <w:rPr>
          <w:sz w:val="20"/>
          <w:szCs w:val="20"/>
          <w:rtl/>
        </w:rPr>
        <w:t xml:space="preserve"> </w:t>
      </w:r>
      <w:r w:rsidRPr="005857A8">
        <w:rPr>
          <w:rFonts w:hint="cs"/>
          <w:sz w:val="20"/>
          <w:szCs w:val="20"/>
          <w:rtl/>
        </w:rPr>
        <w:t>הכנסת, כגוף המחוקק העליון, אכן מוסמכת הן לחוקק חוקים רגילים והן לקבל חוקי</w:t>
      </w:r>
      <w:r w:rsidRPr="005857A8">
        <w:rPr>
          <w:sz w:val="20"/>
          <w:szCs w:val="20"/>
          <w:rtl/>
        </w:rPr>
        <w:t xml:space="preserve"> </w:t>
      </w:r>
      <w:r w:rsidRPr="005857A8">
        <w:rPr>
          <w:rFonts w:hint="cs"/>
          <w:sz w:val="20"/>
          <w:szCs w:val="20"/>
          <w:rtl/>
        </w:rPr>
        <w:t>יסוד המעניקים חוקה לישראל.</w:t>
      </w:r>
    </w:p>
    <w:p w:rsidR="005366A8" w:rsidRDefault="005366A8" w:rsidP="005366A8">
      <w:pPr>
        <w:spacing w:after="60"/>
        <w:rPr>
          <w:rtl/>
        </w:rPr>
      </w:pPr>
      <w:r>
        <w:rPr>
          <w:rFonts w:hint="cs"/>
          <w:rtl/>
        </w:rPr>
        <w:t>=-=</w:t>
      </w:r>
    </w:p>
    <w:p w:rsidR="005366A8" w:rsidRDefault="005366A8" w:rsidP="005366A8">
      <w:pPr>
        <w:spacing w:after="60"/>
        <w:rPr>
          <w:rtl/>
        </w:rPr>
      </w:pPr>
    </w:p>
    <w:p w:rsidR="005366A8" w:rsidRPr="0055212D" w:rsidRDefault="005366A8" w:rsidP="005366A8">
      <w:pPr>
        <w:spacing w:after="60"/>
        <w:jc w:val="center"/>
        <w:rPr>
          <w:rFonts w:ascii="Arial" w:hAnsi="Arial" w:cs="Arial"/>
          <w:sz w:val="20"/>
          <w:szCs w:val="20"/>
          <w:rtl/>
        </w:rPr>
      </w:pPr>
      <w:r w:rsidRPr="00EB59AC">
        <w:rPr>
          <w:rFonts w:ascii="Arial" w:hAnsi="Arial" w:cs="Arial" w:hint="cs"/>
          <w:sz w:val="20"/>
          <w:szCs w:val="20"/>
          <w:highlight w:val="yellow"/>
          <w:rtl/>
        </w:rPr>
        <w:t>אמנון רובינשטיין וברק מדינה,</w:t>
      </w:r>
      <w:r w:rsidRPr="00EB59AC">
        <w:rPr>
          <w:rFonts w:ascii="Arial" w:hAnsi="Arial" w:cs="Arial" w:hint="cs"/>
          <w:b/>
          <w:bCs/>
          <w:sz w:val="20"/>
          <w:szCs w:val="20"/>
          <w:highlight w:val="yellow"/>
          <w:rtl/>
        </w:rPr>
        <w:t xml:space="preserve"> המשפט הקונסטיטוציוני של מדינת ישראל </w:t>
      </w:r>
      <w:r w:rsidRPr="00EB59AC">
        <w:rPr>
          <w:rFonts w:ascii="Arial" w:hAnsi="Arial" w:cs="Arial" w:hint="cs"/>
          <w:sz w:val="20"/>
          <w:szCs w:val="20"/>
          <w:highlight w:val="yellow"/>
          <w:rtl/>
        </w:rPr>
        <w:t>כרך א: עקרונות יסוד, פרק 2 (מהדורה שישית, 2004)</w:t>
      </w:r>
    </w:p>
    <w:p w:rsidR="005366A8" w:rsidRPr="00E82C32" w:rsidRDefault="005366A8" w:rsidP="005366A8">
      <w:pPr>
        <w:spacing w:after="60"/>
        <w:rPr>
          <w:sz w:val="20"/>
          <w:szCs w:val="20"/>
        </w:rPr>
      </w:pPr>
      <w:r w:rsidRPr="00E82C32">
        <w:rPr>
          <w:rFonts w:hint="cs"/>
          <w:sz w:val="20"/>
          <w:szCs w:val="20"/>
          <w:rtl/>
        </w:rPr>
        <w:tab/>
      </w:r>
      <w:r w:rsidRPr="00E82C32">
        <w:rPr>
          <w:sz w:val="20"/>
          <w:szCs w:val="20"/>
          <w:rtl/>
        </w:rPr>
        <w:t>התפיסה המקובלת כיום היא כי לכנסת "שני כובעים": רשות מחוקקת מזה, ורשות מכוננת מזה. הנורמות שקובעת הכנסת כרשות מכוננת ("חוקי-יסוד") הן בעלות מעמד "חוקתי", כלומר נמצאות בראש פירמידת הנורמות; ואילו הנורמות שקובעת הכנסת כרשות מחוקקת (חוקים "רגילים") כפופות לנורמות הנקבעות על-ידי הרשות המכוננת. כלומר, כוחה של הכנסת, כרשות מחוקקת, מוגבל מכוח נורמות שקבעה היא עצמה, כרשות מכוננת. אין זו אמנם תופעה יוצאת דופן בעולם שבית-המחוקקים הוא גם בעל הסמכות המכוננת (לפחות ככל שמדובר בסמכות לתקן את החוקה)</w:t>
      </w:r>
      <w:r w:rsidRPr="00E82C32">
        <w:rPr>
          <w:rFonts w:hint="cs"/>
          <w:sz w:val="20"/>
          <w:szCs w:val="20"/>
          <w:rtl/>
        </w:rPr>
        <w:t>.</w:t>
      </w:r>
      <w:r w:rsidRPr="00E82C32">
        <w:rPr>
          <w:sz w:val="20"/>
          <w:szCs w:val="20"/>
          <w:rtl/>
        </w:rPr>
        <w:t xml:space="preserve"> </w:t>
      </w:r>
      <w:r w:rsidRPr="00E82C32">
        <w:rPr>
          <w:sz w:val="20"/>
          <w:szCs w:val="20"/>
          <w:highlight w:val="yellow"/>
          <w:rtl/>
        </w:rPr>
        <w:t xml:space="preserve">הייחוד הוא בכך שאין נהוגה כל פרוצדורה מיוחדת להפעלת הסמכות, ובעיקר בכך שעצם קיומה של סמכות זו בידי הכנסת איננו מובן מאליו ומוסכם על הכול, כך שנדרשה הכרעה שיפוטית, בפסק-הדין בעניין </w:t>
      </w:r>
      <w:r w:rsidRPr="00E82C32">
        <w:rPr>
          <w:b/>
          <w:bCs/>
          <w:sz w:val="20"/>
          <w:szCs w:val="20"/>
          <w:highlight w:val="yellow"/>
          <w:rtl/>
        </w:rPr>
        <w:t>בנק המזרחי</w:t>
      </w:r>
      <w:r w:rsidRPr="00E82C32">
        <w:rPr>
          <w:sz w:val="20"/>
          <w:szCs w:val="20"/>
          <w:highlight w:val="yellow"/>
          <w:rtl/>
        </w:rPr>
        <w:t>, שכללה גם דעת מיעוט, לשם הכרה בה.</w:t>
      </w:r>
      <w:r w:rsidRPr="00E82C32">
        <w:rPr>
          <w:sz w:val="20"/>
          <w:szCs w:val="20"/>
          <w:rtl/>
        </w:rPr>
        <w:t xml:space="preserve"> מצב זה נובע מהתרחשויות מצערות בימיה הראשונים של המדינה, שביטלו את קיומה העצמאי של האסיפה המכוננת.</w:t>
      </w:r>
    </w:p>
    <w:p w:rsidR="005366A8" w:rsidRPr="00E82C32" w:rsidRDefault="005366A8" w:rsidP="005366A8">
      <w:pPr>
        <w:spacing w:after="60"/>
        <w:rPr>
          <w:sz w:val="20"/>
          <w:szCs w:val="20"/>
          <w:rtl/>
        </w:rPr>
      </w:pPr>
      <w:r w:rsidRPr="00E82C32">
        <w:rPr>
          <w:rFonts w:hint="cs"/>
          <w:sz w:val="20"/>
          <w:szCs w:val="20"/>
          <w:rtl/>
        </w:rPr>
        <w:tab/>
      </w:r>
      <w:r w:rsidRPr="00E82C32">
        <w:rPr>
          <w:sz w:val="20"/>
          <w:szCs w:val="20"/>
          <w:rtl/>
        </w:rPr>
        <w:t xml:space="preserve">השאלה הקשה היא, מהו המבחן לפיו יש להכריע האם לכנסת מוקנית סמכות מכוננת? בפסק-הדין בעניין </w:t>
      </w:r>
      <w:r w:rsidRPr="00E82C32">
        <w:rPr>
          <w:b/>
          <w:bCs/>
          <w:sz w:val="20"/>
          <w:szCs w:val="20"/>
          <w:rtl/>
        </w:rPr>
        <w:t>בנק המזרחי</w:t>
      </w:r>
      <w:r w:rsidRPr="00E82C32">
        <w:rPr>
          <w:sz w:val="20"/>
          <w:szCs w:val="20"/>
          <w:rtl/>
        </w:rPr>
        <w:t xml:space="preserve"> הוחלו שלושה מבחנים שונים: מבחן </w:t>
      </w:r>
      <w:r w:rsidRPr="00E82C32">
        <w:rPr>
          <w:b/>
          <w:bCs/>
          <w:sz w:val="20"/>
          <w:szCs w:val="20"/>
          <w:rtl/>
        </w:rPr>
        <w:t>אחד</w:t>
      </w:r>
      <w:r w:rsidRPr="00E82C32">
        <w:rPr>
          <w:sz w:val="20"/>
          <w:szCs w:val="20"/>
          <w:rtl/>
        </w:rPr>
        <w:t xml:space="preserve"> הוא "משפטי-</w:t>
      </w:r>
      <w:r w:rsidRPr="00E82C32">
        <w:rPr>
          <w:rFonts w:hint="cs"/>
          <w:sz w:val="20"/>
          <w:szCs w:val="20"/>
          <w:rtl/>
        </w:rPr>
        <w:t>פורמאל</w:t>
      </w:r>
      <w:r w:rsidRPr="00E82C32">
        <w:rPr>
          <w:rFonts w:hint="eastAsia"/>
          <w:sz w:val="20"/>
          <w:szCs w:val="20"/>
          <w:rtl/>
        </w:rPr>
        <w:t>י</w:t>
      </w:r>
      <w:r w:rsidRPr="00E82C32">
        <w:rPr>
          <w:sz w:val="20"/>
          <w:szCs w:val="20"/>
          <w:rtl/>
        </w:rPr>
        <w:t xml:space="preserve">" (או "פוזיטיביסטי"). הוא מבוסס על התפיסה כי לכנסת סמכות לקבוע נורמות חוקתיות משום שהיא הוסמכה לכך מכוח נורמה משפטית מחייבת; מבחן </w:t>
      </w:r>
      <w:r w:rsidRPr="00E82C32">
        <w:rPr>
          <w:b/>
          <w:bCs/>
          <w:sz w:val="20"/>
          <w:szCs w:val="20"/>
          <w:rtl/>
        </w:rPr>
        <w:t>שני</w:t>
      </w:r>
      <w:r w:rsidRPr="00E82C32">
        <w:rPr>
          <w:sz w:val="20"/>
          <w:szCs w:val="20"/>
          <w:rtl/>
        </w:rPr>
        <w:t xml:space="preserve"> הוא "חברתי" במהותו. לפיו, לכנסת סמכות מכוננת שכן היא נתפסת על-ידי הציבור כבעלת סמכות שכזו, כלומר היא זוכה לאמון ציבורי לקבוע נורמות "עליונות" ו"נוקשות", והיא עצמה מתייחסת אל חוקי-היסוד כבעלי תכונות אלה. כפי שנראה מיד, היישום של כל-אחד משני מבחנים אלה אינו מוליך לתוצאה חד משמעית. בסופו של דבר, בלתי נמנעת ההתבססות על מבחן </w:t>
      </w:r>
      <w:r w:rsidRPr="00E82C32">
        <w:rPr>
          <w:b/>
          <w:bCs/>
          <w:sz w:val="20"/>
          <w:szCs w:val="20"/>
          <w:rtl/>
        </w:rPr>
        <w:t>שלישי</w:t>
      </w:r>
      <w:r w:rsidRPr="00E82C32">
        <w:rPr>
          <w:sz w:val="20"/>
          <w:szCs w:val="20"/>
          <w:rtl/>
        </w:rPr>
        <w:t xml:space="preserve">, שהוא אקסיומטי במהותו. לפי מבחן זה, לכנסת מוקנית סמכות מכוננת משום שרצוי, על-פי הערכה ערכית, כי תהא לה סמכות כזו. הערכה זו מבוססת, בעיקרה, על בחינת התוכן של מעשי החקיקה המועמדים לזכות בהכרה כבעלי מעמד חוקתי. כפי שכבר הוזכר לעיל, נראה כי מבחן זה הוא שעמד ביסוד העמדות השונות של השופטים בעניין </w:t>
      </w:r>
      <w:r w:rsidRPr="00E82C32">
        <w:rPr>
          <w:b/>
          <w:bCs/>
          <w:sz w:val="20"/>
          <w:szCs w:val="20"/>
          <w:rtl/>
        </w:rPr>
        <w:t>בנק המזרחי</w:t>
      </w:r>
      <w:r w:rsidRPr="00E82C32">
        <w:rPr>
          <w:sz w:val="20"/>
          <w:szCs w:val="20"/>
          <w:rtl/>
        </w:rPr>
        <w:t xml:space="preserve">, אף שלכאורה, עיקר הדיון בפסק-הדין מוקדש דווקא להחלה של שני המבחנים הראשונים, בהם אין נדרשת חשיפה ברורה של היסודות הערכיים והפוליטיים של ההכרעה. </w:t>
      </w:r>
    </w:p>
    <w:p w:rsidR="005366A8" w:rsidRPr="00E82C32" w:rsidRDefault="005366A8" w:rsidP="005366A8">
      <w:pPr>
        <w:spacing w:after="60"/>
        <w:ind w:left="720"/>
        <w:rPr>
          <w:sz w:val="20"/>
          <w:szCs w:val="20"/>
          <w:rtl/>
        </w:rPr>
      </w:pPr>
      <w:r w:rsidRPr="00E82C32">
        <w:rPr>
          <w:rFonts w:cs="David"/>
          <w:b/>
          <w:bCs/>
          <w:sz w:val="20"/>
          <w:szCs w:val="20"/>
          <w:rtl/>
        </w:rPr>
        <w:t xml:space="preserve">1. מבחן "משפטי-פורמלי": האם הכנסת "הוסמכה" לפעול כרשות מכוננת? </w:t>
      </w:r>
      <w:r w:rsidRPr="00E82C32">
        <w:rPr>
          <w:rFonts w:cs="David"/>
          <w:b/>
          <w:bCs/>
          <w:sz w:val="20"/>
          <w:szCs w:val="20"/>
        </w:rPr>
        <w:t>–</w:t>
      </w:r>
      <w:r w:rsidRPr="00E82C32">
        <w:rPr>
          <w:rFonts w:cs="David"/>
          <w:b/>
          <w:bCs/>
          <w:sz w:val="20"/>
          <w:szCs w:val="20"/>
          <w:rtl/>
        </w:rPr>
        <w:t xml:space="preserve"> סוגיית הרציפות החוקתית</w:t>
      </w:r>
    </w:p>
    <w:p w:rsidR="005366A8" w:rsidRPr="00E82C32" w:rsidRDefault="005366A8" w:rsidP="005366A8">
      <w:pPr>
        <w:spacing w:after="60"/>
        <w:ind w:left="1440"/>
        <w:rPr>
          <w:sz w:val="20"/>
          <w:szCs w:val="20"/>
          <w:rtl/>
        </w:rPr>
      </w:pPr>
      <w:r w:rsidRPr="00E82C32">
        <w:rPr>
          <w:sz w:val="20"/>
          <w:szCs w:val="20"/>
          <w:rtl/>
        </w:rPr>
        <w:t xml:space="preserve">כדי ליישם מבחן זה, יש לחזור אל "נקודת ההתחלה", כלומר אל "הנורמה הראשונית" (או "הבסיסית"), ממנה מתחילה "שרשרת ההסמכות". [יש לזכור, עם זאת, כי תוקפה של נורמה זו אינו נקבע על-פי המבחן ה"משפטי-פורמלי" האמור (שהרי היא "ראשונה"), אלא על-פי מבחן "חברתי"; נורמה זו היא אותה "נקודת אחיזה שמחוץ למחוקק </w:t>
      </w:r>
      <w:r w:rsidRPr="00E82C32">
        <w:rPr>
          <w:sz w:val="20"/>
          <w:szCs w:val="20"/>
        </w:rPr>
        <w:t>…</w:t>
      </w:r>
      <w:r w:rsidRPr="00E82C32">
        <w:rPr>
          <w:sz w:val="20"/>
          <w:szCs w:val="20"/>
          <w:rtl/>
        </w:rPr>
        <w:t xml:space="preserve"> הצריכה לינוק עצמה מהעם"]. התפיסה המקובלת היא כי נקודת אחיזה זו היא הסמכת מועצת המדינה הזמנית, שנקבעה בהכרזה על הקמת המדינה, לקיים בחירות ל"אסיפה המכוננת", שתהא הגוף המוסמך לכונן חוקה.</w:t>
      </w:r>
    </w:p>
    <w:p w:rsidR="005366A8" w:rsidRPr="00E82C32" w:rsidRDefault="005366A8" w:rsidP="005366A8">
      <w:pPr>
        <w:pStyle w:val="BodyText"/>
        <w:spacing w:after="60"/>
        <w:ind w:left="720"/>
        <w:rPr>
          <w:rFonts w:cs="David"/>
          <w:sz w:val="20"/>
          <w:szCs w:val="20"/>
          <w:rtl/>
        </w:rPr>
      </w:pPr>
      <w:r w:rsidRPr="00E82C32">
        <w:rPr>
          <w:rFonts w:cs="David"/>
          <w:sz w:val="20"/>
          <w:szCs w:val="20"/>
          <w:rtl/>
        </w:rPr>
        <w:t>2. מבחן "חברתי": האם "התודעה הלאומית" מכירה בסמכותה המכוננת של הכנסת?</w:t>
      </w:r>
    </w:p>
    <w:p w:rsidR="005366A8" w:rsidRPr="00E82C32" w:rsidRDefault="005366A8" w:rsidP="005366A8">
      <w:pPr>
        <w:pStyle w:val="a0"/>
        <w:spacing w:after="60" w:line="240" w:lineRule="auto"/>
        <w:ind w:left="720"/>
        <w:rPr>
          <w:rFonts w:cs="David"/>
          <w:b/>
          <w:bCs/>
          <w:rtl/>
        </w:rPr>
      </w:pPr>
      <w:r w:rsidRPr="00E82C32">
        <w:rPr>
          <w:rFonts w:cs="David"/>
          <w:b/>
          <w:bCs/>
          <w:rtl/>
        </w:rPr>
        <w:t>3. מבחן אקסיומטי: האם רצוי כי לכנסת תהא סמכות מכוננת?</w:t>
      </w:r>
    </w:p>
    <w:p w:rsidR="005366A8" w:rsidRDefault="005366A8" w:rsidP="005366A8">
      <w:pPr>
        <w:spacing w:after="60"/>
        <w:jc w:val="center"/>
        <w:rPr>
          <w:rFonts w:ascii="Arial" w:hAnsi="Arial" w:cs="Arial"/>
          <w:b/>
          <w:bCs/>
          <w:u w:val="single"/>
          <w:rtl/>
        </w:rPr>
      </w:pPr>
      <w:r>
        <w:rPr>
          <w:rFonts w:hint="cs"/>
          <w:sz w:val="22"/>
          <w:szCs w:val="22"/>
          <w:rtl/>
        </w:rPr>
        <w:t>=-=</w:t>
      </w:r>
    </w:p>
    <w:p w:rsidR="005366A8" w:rsidRPr="00DF0F52" w:rsidRDefault="005366A8" w:rsidP="005366A8">
      <w:pPr>
        <w:spacing w:after="60"/>
        <w:jc w:val="center"/>
        <w:rPr>
          <w:rFonts w:ascii="Arial" w:hAnsi="Arial" w:cs="Arial"/>
          <w:rtl/>
        </w:rPr>
      </w:pPr>
      <w:r w:rsidRPr="003906C7">
        <w:rPr>
          <w:rFonts w:ascii="Arial" w:hAnsi="Arial" w:cs="Arial"/>
          <w:b/>
          <w:bCs/>
          <w:highlight w:val="yellow"/>
          <w:u w:val="single"/>
          <w:rtl/>
        </w:rPr>
        <w:t xml:space="preserve">סוגיית </w:t>
      </w:r>
      <w:r>
        <w:rPr>
          <w:rFonts w:ascii="Arial" w:hAnsi="Arial" w:cs="Arial" w:hint="cs"/>
          <w:b/>
          <w:bCs/>
          <w:highlight w:val="yellow"/>
          <w:u w:val="single"/>
          <w:rtl/>
        </w:rPr>
        <w:t>"</w:t>
      </w:r>
      <w:r w:rsidRPr="003906C7">
        <w:rPr>
          <w:rFonts w:ascii="Arial" w:hAnsi="Arial" w:cs="Arial"/>
          <w:b/>
          <w:bCs/>
          <w:highlight w:val="yellow"/>
          <w:u w:val="single"/>
          <w:rtl/>
        </w:rPr>
        <w:t>הרציפות החוקתית</w:t>
      </w:r>
      <w:r>
        <w:rPr>
          <w:rFonts w:ascii="Arial" w:hAnsi="Arial" w:cs="Arial" w:hint="cs"/>
          <w:b/>
          <w:bCs/>
          <w:u w:val="single"/>
          <w:rtl/>
        </w:rPr>
        <w:t>"</w:t>
      </w:r>
    </w:p>
    <w:p w:rsidR="005366A8" w:rsidRDefault="005366A8" w:rsidP="005366A8">
      <w:pPr>
        <w:spacing w:after="60"/>
        <w:rPr>
          <w:sz w:val="20"/>
          <w:szCs w:val="20"/>
          <w:rtl/>
        </w:rPr>
      </w:pPr>
      <w:r>
        <w:rPr>
          <w:rFonts w:hint="cs"/>
          <w:sz w:val="20"/>
          <w:szCs w:val="20"/>
          <w:rtl/>
        </w:rPr>
        <w:t>[הדברים להלן הם ציטוטים מתוך חוות-דעתו של הנשיא ברק ב</w:t>
      </w:r>
      <w:r w:rsidRPr="00A80744">
        <w:rPr>
          <w:rFonts w:hint="cs"/>
          <w:b/>
          <w:bCs/>
          <w:sz w:val="20"/>
          <w:szCs w:val="20"/>
          <w:rtl/>
        </w:rPr>
        <w:t>בנק המזרחי</w:t>
      </w:r>
      <w:r>
        <w:rPr>
          <w:rFonts w:hint="cs"/>
          <w:sz w:val="20"/>
          <w:szCs w:val="20"/>
          <w:rtl/>
        </w:rPr>
        <w:t xml:space="preserve">]. </w:t>
      </w:r>
    </w:p>
    <w:p w:rsidR="005366A8" w:rsidRPr="00972D0C" w:rsidRDefault="005366A8" w:rsidP="005366A8">
      <w:pPr>
        <w:spacing w:after="60"/>
        <w:rPr>
          <w:sz w:val="20"/>
          <w:szCs w:val="20"/>
        </w:rPr>
      </w:pPr>
      <w:r w:rsidRPr="00972D0C">
        <w:rPr>
          <w:rFonts w:hint="cs"/>
          <w:sz w:val="20"/>
          <w:szCs w:val="20"/>
          <w:rtl/>
        </w:rPr>
        <w:t>מועצת המדינה הזמנית הורתה בהכרזת העצמאות כי תיקבע חוקה על-ידי אסיפה</w:t>
      </w:r>
      <w:r w:rsidRPr="00972D0C">
        <w:rPr>
          <w:sz w:val="20"/>
          <w:szCs w:val="20"/>
          <w:rtl/>
        </w:rPr>
        <w:t xml:space="preserve"> </w:t>
      </w:r>
      <w:r w:rsidRPr="00972D0C">
        <w:rPr>
          <w:rFonts w:hint="cs"/>
          <w:sz w:val="20"/>
          <w:szCs w:val="20"/>
          <w:rtl/>
        </w:rPr>
        <w:t xml:space="preserve">מכוננת אשר תיבחר לא יאחר מ-1 באוקטובר 1948. </w:t>
      </w:r>
      <w:r w:rsidRPr="00972D0C">
        <w:rPr>
          <w:sz w:val="20"/>
          <w:szCs w:val="20"/>
          <w:rtl/>
        </w:rPr>
        <w:t>[</w:t>
      </w:r>
      <w:r w:rsidRPr="00972D0C">
        <w:rPr>
          <w:sz w:val="20"/>
          <w:szCs w:val="20"/>
        </w:rPr>
        <w:t>…</w:t>
      </w:r>
      <w:r w:rsidRPr="00972D0C">
        <w:rPr>
          <w:sz w:val="20"/>
          <w:szCs w:val="20"/>
          <w:rtl/>
        </w:rPr>
        <w:t>]</w:t>
      </w:r>
      <w:r w:rsidRPr="00972D0C">
        <w:rPr>
          <w:rFonts w:hint="cs"/>
          <w:sz w:val="20"/>
          <w:szCs w:val="20"/>
          <w:rtl/>
        </w:rPr>
        <w:t xml:space="preserve">. וזו לשון </w:t>
      </w:r>
      <w:r w:rsidRPr="00972D0C">
        <w:rPr>
          <w:rFonts w:hint="cs"/>
          <w:b/>
          <w:bCs/>
          <w:sz w:val="20"/>
          <w:szCs w:val="20"/>
          <w:rtl/>
        </w:rPr>
        <w:t>הכרזת העצמאות</w:t>
      </w:r>
      <w:r w:rsidRPr="00972D0C">
        <w:rPr>
          <w:rFonts w:hint="cs"/>
          <w:sz w:val="20"/>
          <w:szCs w:val="20"/>
          <w:rtl/>
        </w:rPr>
        <w:t>:</w:t>
      </w:r>
    </w:p>
    <w:p w:rsidR="005366A8" w:rsidRPr="008979DA" w:rsidRDefault="005366A8" w:rsidP="005366A8">
      <w:pPr>
        <w:spacing w:after="60"/>
        <w:ind w:left="720"/>
        <w:rPr>
          <w:rFonts w:ascii="Arial" w:hAnsi="Arial" w:cs="David"/>
          <w:b/>
          <w:bCs/>
          <w:sz w:val="20"/>
          <w:szCs w:val="20"/>
        </w:rPr>
      </w:pPr>
      <w:r w:rsidRPr="008979DA">
        <w:rPr>
          <w:rFonts w:ascii="Arial" w:hAnsi="Arial" w:cs="David"/>
          <w:b/>
          <w:bCs/>
          <w:sz w:val="20"/>
          <w:szCs w:val="20"/>
          <w:rtl/>
        </w:rPr>
        <w:t xml:space="preserve">"אנו קובעים שהחל מרגע סיום המנדט, הלילה, אור ליום שבת, ו' באייר תש"ח 15 במאי 1948, ועד להקמת השלטונות הנבחרים והסדירים של המדינה </w:t>
      </w:r>
      <w:r w:rsidRPr="004A058B">
        <w:rPr>
          <w:rFonts w:ascii="Arial" w:hAnsi="Arial" w:cs="David"/>
          <w:b/>
          <w:bCs/>
          <w:sz w:val="20"/>
          <w:szCs w:val="20"/>
          <w:highlight w:val="yellow"/>
          <w:rtl/>
        </w:rPr>
        <w:t>בהתאם לחוקה שתקבע על-ידי האסיפה המכוננת הנבחרת לא יאוחר מ-1</w:t>
      </w:r>
      <w:r>
        <w:rPr>
          <w:rFonts w:ascii="Arial" w:hAnsi="Arial" w:cs="David" w:hint="cs"/>
          <w:b/>
          <w:bCs/>
          <w:sz w:val="20"/>
          <w:szCs w:val="20"/>
          <w:highlight w:val="yellow"/>
          <w:rtl/>
        </w:rPr>
        <w:t xml:space="preserve"> </w:t>
      </w:r>
      <w:r w:rsidRPr="004A058B">
        <w:rPr>
          <w:rFonts w:ascii="Arial" w:hAnsi="Arial" w:cs="David"/>
          <w:b/>
          <w:bCs/>
          <w:sz w:val="20"/>
          <w:szCs w:val="20"/>
          <w:highlight w:val="yellow"/>
          <w:rtl/>
        </w:rPr>
        <w:t>באוקטובר 1948</w:t>
      </w:r>
      <w:r w:rsidRPr="008979DA">
        <w:rPr>
          <w:rFonts w:ascii="Arial" w:hAnsi="Arial" w:cs="David"/>
          <w:b/>
          <w:bCs/>
          <w:sz w:val="20"/>
          <w:szCs w:val="20"/>
          <w:rtl/>
        </w:rPr>
        <w:t xml:space="preserve"> - תפעל מועצת העם כמועצת המדינה הזמנית, ומוסד הביצוע שלה, מנהלת העם, יהווה את הממשלה הזמנית של המדינה היהודית אשר תקרא בשם 'ישראל'".</w:t>
      </w:r>
    </w:p>
    <w:p w:rsidR="005366A8" w:rsidRPr="00972D0C" w:rsidRDefault="005366A8" w:rsidP="005366A8">
      <w:pPr>
        <w:spacing w:after="60"/>
        <w:rPr>
          <w:sz w:val="20"/>
          <w:szCs w:val="20"/>
          <w:rtl/>
        </w:rPr>
      </w:pPr>
    </w:p>
    <w:p w:rsidR="005366A8" w:rsidRPr="00972D0C" w:rsidRDefault="005366A8" w:rsidP="005366A8">
      <w:pPr>
        <w:spacing w:after="60"/>
        <w:rPr>
          <w:sz w:val="20"/>
          <w:szCs w:val="20"/>
          <w:rtl/>
        </w:rPr>
      </w:pPr>
      <w:r w:rsidRPr="00972D0C">
        <w:rPr>
          <w:rFonts w:hint="cs"/>
          <w:sz w:val="20"/>
          <w:szCs w:val="20"/>
          <w:rtl/>
        </w:rPr>
        <w:t xml:space="preserve">מועצת המדינה הזמנית </w:t>
      </w:r>
      <w:r w:rsidRPr="004A058B">
        <w:rPr>
          <w:rFonts w:hint="cs"/>
          <w:b/>
          <w:bCs/>
          <w:sz w:val="20"/>
          <w:szCs w:val="20"/>
          <w:rtl/>
        </w:rPr>
        <w:t>פירסמה את המנשר וחוקקה את פקודת סדרי השלטון והמשפט</w:t>
      </w:r>
      <w:r w:rsidRPr="00972D0C">
        <w:rPr>
          <w:rFonts w:hint="cs"/>
          <w:sz w:val="20"/>
          <w:szCs w:val="20"/>
          <w:rtl/>
        </w:rPr>
        <w:t>.</w:t>
      </w:r>
      <w:r>
        <w:rPr>
          <w:sz w:val="20"/>
          <w:szCs w:val="20"/>
          <w:rtl/>
        </w:rPr>
        <w:t xml:space="preserve"> </w:t>
      </w:r>
      <w:r w:rsidRPr="00972D0C">
        <w:rPr>
          <w:rFonts w:hint="cs"/>
          <w:sz w:val="20"/>
          <w:szCs w:val="20"/>
          <w:rtl/>
        </w:rPr>
        <w:t xml:space="preserve">נקבע בפקודה זו, בין השאר, כי </w:t>
      </w:r>
      <w:r w:rsidRPr="00972D0C">
        <w:rPr>
          <w:rFonts w:ascii="Arial" w:hAnsi="Arial" w:cs="Arial"/>
          <w:sz w:val="20"/>
          <w:szCs w:val="20"/>
          <w:rtl/>
        </w:rPr>
        <w:t>"מועצת המדינה הזמנית היא הרשות המחוקקת"</w:t>
      </w:r>
      <w:r w:rsidRPr="00972D0C">
        <w:rPr>
          <w:rFonts w:hint="cs"/>
          <w:sz w:val="20"/>
          <w:szCs w:val="20"/>
          <w:rtl/>
        </w:rPr>
        <w:t xml:space="preserve"> (סעיף</w:t>
      </w:r>
      <w:r w:rsidRPr="00972D0C">
        <w:rPr>
          <w:sz w:val="20"/>
          <w:szCs w:val="20"/>
          <w:rtl/>
        </w:rPr>
        <w:t xml:space="preserve"> </w:t>
      </w:r>
      <w:r w:rsidRPr="00972D0C">
        <w:rPr>
          <w:rFonts w:hint="cs"/>
          <w:sz w:val="20"/>
          <w:szCs w:val="20"/>
          <w:rtl/>
        </w:rPr>
        <w:t xml:space="preserve">7א)). כן חוקקה מועצת המדינה הזמנית את </w:t>
      </w:r>
      <w:r w:rsidRPr="004A058B">
        <w:rPr>
          <w:rFonts w:hint="cs"/>
          <w:b/>
          <w:bCs/>
          <w:sz w:val="20"/>
          <w:szCs w:val="20"/>
          <w:rtl/>
        </w:rPr>
        <w:t>פקודת הבחירות לאסיפה המכוננת</w:t>
      </w:r>
      <w:r w:rsidRPr="00972D0C">
        <w:rPr>
          <w:rFonts w:hint="cs"/>
          <w:sz w:val="20"/>
          <w:szCs w:val="20"/>
          <w:rtl/>
        </w:rPr>
        <w:t>.</w:t>
      </w:r>
      <w:r w:rsidRPr="00972D0C">
        <w:rPr>
          <w:sz w:val="20"/>
          <w:szCs w:val="20"/>
          <w:rtl/>
        </w:rPr>
        <w:t xml:space="preserve"> </w:t>
      </w:r>
    </w:p>
    <w:p w:rsidR="005366A8" w:rsidRPr="00972D0C" w:rsidRDefault="005366A8" w:rsidP="005366A8">
      <w:pPr>
        <w:spacing w:after="60"/>
        <w:rPr>
          <w:sz w:val="20"/>
          <w:szCs w:val="20"/>
          <w:rtl/>
        </w:rPr>
      </w:pPr>
    </w:p>
    <w:p w:rsidR="005366A8" w:rsidRPr="00972D0C" w:rsidRDefault="005366A8" w:rsidP="005366A8">
      <w:pPr>
        <w:spacing w:after="60"/>
        <w:rPr>
          <w:sz w:val="20"/>
          <w:szCs w:val="20"/>
          <w:rtl/>
        </w:rPr>
      </w:pPr>
      <w:r w:rsidRPr="00972D0C">
        <w:rPr>
          <w:rFonts w:hint="cs"/>
          <w:sz w:val="20"/>
          <w:szCs w:val="20"/>
          <w:rtl/>
        </w:rPr>
        <w:t>הצעד החוקתי הבא בשרשרת הרציפות החוקתית הוא החלטתה של מועצת</w:t>
      </w:r>
      <w:r w:rsidRPr="00972D0C">
        <w:rPr>
          <w:sz w:val="20"/>
          <w:szCs w:val="20"/>
          <w:rtl/>
        </w:rPr>
        <w:t xml:space="preserve"> </w:t>
      </w:r>
      <w:r w:rsidRPr="00972D0C">
        <w:rPr>
          <w:rFonts w:hint="cs"/>
          <w:sz w:val="20"/>
          <w:szCs w:val="20"/>
          <w:rtl/>
        </w:rPr>
        <w:t>המדינה הזמנית להתפזר.</w:t>
      </w:r>
      <w:r w:rsidRPr="00972D0C">
        <w:rPr>
          <w:sz w:val="20"/>
          <w:szCs w:val="20"/>
          <w:rtl/>
        </w:rPr>
        <w:t xml:space="preserve"> [</w:t>
      </w:r>
      <w:r w:rsidRPr="00972D0C">
        <w:rPr>
          <w:sz w:val="20"/>
          <w:szCs w:val="20"/>
        </w:rPr>
        <w:t>…</w:t>
      </w:r>
      <w:r w:rsidRPr="00972D0C">
        <w:rPr>
          <w:sz w:val="20"/>
          <w:szCs w:val="20"/>
          <w:rtl/>
        </w:rPr>
        <w:t xml:space="preserve">] </w:t>
      </w:r>
      <w:r w:rsidRPr="00972D0C">
        <w:rPr>
          <w:rFonts w:hint="cs"/>
          <w:sz w:val="20"/>
          <w:szCs w:val="20"/>
          <w:rtl/>
        </w:rPr>
        <w:t>במקביל להחלטת הפיזור החליטה מועצת המדינה הזמנית כי כל סמכויותיה יועברו</w:t>
      </w:r>
      <w:r w:rsidRPr="00972D0C">
        <w:rPr>
          <w:sz w:val="20"/>
          <w:szCs w:val="20"/>
          <w:rtl/>
        </w:rPr>
        <w:t xml:space="preserve"> </w:t>
      </w:r>
      <w:r w:rsidRPr="00972D0C">
        <w:rPr>
          <w:rFonts w:hint="cs"/>
          <w:sz w:val="20"/>
          <w:szCs w:val="20"/>
          <w:rtl/>
        </w:rPr>
        <w:t>לאסיפה המכוננת. מעבר זה נעשה בפעולת חקיקה של מועצת המדינה הזמנית, הלוא היא</w:t>
      </w:r>
      <w:r w:rsidRPr="00972D0C">
        <w:rPr>
          <w:sz w:val="20"/>
          <w:szCs w:val="20"/>
          <w:rtl/>
        </w:rPr>
        <w:t xml:space="preserve"> </w:t>
      </w:r>
      <w:r w:rsidRPr="00972D0C">
        <w:rPr>
          <w:rFonts w:hint="cs"/>
          <w:b/>
          <w:bCs/>
          <w:sz w:val="20"/>
          <w:szCs w:val="20"/>
          <w:rtl/>
        </w:rPr>
        <w:t>פקודת המעבר לאסיפה המכוננת</w:t>
      </w:r>
      <w:r w:rsidRPr="00972D0C">
        <w:rPr>
          <w:b/>
          <w:bCs/>
          <w:sz w:val="20"/>
          <w:szCs w:val="20"/>
          <w:rtl/>
        </w:rPr>
        <w:t>, תש"ט 1949</w:t>
      </w:r>
      <w:r w:rsidRPr="00972D0C">
        <w:rPr>
          <w:rFonts w:hint="cs"/>
          <w:sz w:val="20"/>
          <w:szCs w:val="20"/>
          <w:rtl/>
        </w:rPr>
        <w:t>. נקבע בפקודה זו כי</w:t>
      </w:r>
      <w:r>
        <w:rPr>
          <w:rFonts w:hint="cs"/>
          <w:sz w:val="20"/>
          <w:szCs w:val="20"/>
          <w:rtl/>
        </w:rPr>
        <w:t>:</w:t>
      </w:r>
      <w:r w:rsidRPr="00972D0C">
        <w:rPr>
          <w:rFonts w:hint="cs"/>
          <w:sz w:val="20"/>
          <w:szCs w:val="20"/>
          <w:rtl/>
        </w:rPr>
        <w:t xml:space="preserve"> </w:t>
      </w:r>
    </w:p>
    <w:p w:rsidR="005366A8" w:rsidRPr="00FD31C3" w:rsidRDefault="005366A8" w:rsidP="005366A8">
      <w:pPr>
        <w:spacing w:after="60"/>
        <w:ind w:left="720"/>
        <w:rPr>
          <w:rFonts w:cs="David"/>
          <w:sz w:val="20"/>
          <w:szCs w:val="20"/>
          <w:rtl/>
        </w:rPr>
      </w:pPr>
      <w:r w:rsidRPr="00FD31C3">
        <w:rPr>
          <w:rFonts w:ascii="Arial" w:hAnsi="Arial" w:cs="David"/>
          <w:sz w:val="20"/>
          <w:szCs w:val="20"/>
          <w:rtl/>
        </w:rPr>
        <w:t>"מועצת המדינה הזמנית תוסיף לכהן עד התאסף האסיפה המכוננת של מדינת ישראל; בהתאסף האסיפה המכוננת תתפזר מועצת המדינה הזמנית ותחדל מלהתקיים"</w:t>
      </w:r>
      <w:r w:rsidRPr="00FD31C3">
        <w:rPr>
          <w:rFonts w:cs="David" w:hint="cs"/>
          <w:sz w:val="20"/>
          <w:szCs w:val="20"/>
          <w:rtl/>
        </w:rPr>
        <w:t xml:space="preserve"> (סעיף 1). נקבע עוד כי </w:t>
      </w:r>
      <w:r w:rsidRPr="004A058B">
        <w:rPr>
          <w:rFonts w:ascii="Arial" w:hAnsi="Arial" w:cs="David"/>
          <w:sz w:val="20"/>
          <w:szCs w:val="20"/>
          <w:highlight w:val="yellow"/>
          <w:rtl/>
        </w:rPr>
        <w:t>"לאסיפה המכוננת יהיו כל הסמכויות שהעניק החוק למועצת המדינה הזמנית, כל עוד לא החליטה האסיפה המכוננת החלטה אחרת בעניין זה"</w:t>
      </w:r>
      <w:r w:rsidRPr="00FD31C3">
        <w:rPr>
          <w:rFonts w:cs="David" w:hint="cs"/>
          <w:sz w:val="20"/>
          <w:szCs w:val="20"/>
          <w:rtl/>
        </w:rPr>
        <w:t xml:space="preserve"> (סעיף 3).</w:t>
      </w:r>
    </w:p>
    <w:p w:rsidR="005366A8" w:rsidRPr="00972D0C" w:rsidRDefault="005366A8" w:rsidP="005366A8">
      <w:pPr>
        <w:spacing w:after="60"/>
        <w:rPr>
          <w:sz w:val="20"/>
          <w:szCs w:val="20"/>
          <w:rtl/>
        </w:rPr>
      </w:pPr>
    </w:p>
    <w:p w:rsidR="005366A8" w:rsidRPr="00972D0C" w:rsidRDefault="005366A8" w:rsidP="005366A8">
      <w:pPr>
        <w:spacing w:after="60"/>
        <w:rPr>
          <w:sz w:val="20"/>
          <w:szCs w:val="20"/>
        </w:rPr>
      </w:pPr>
      <w:r w:rsidRPr="00972D0C">
        <w:rPr>
          <w:rFonts w:hint="cs"/>
          <w:sz w:val="20"/>
          <w:szCs w:val="20"/>
          <w:rtl/>
        </w:rPr>
        <w:t xml:space="preserve">השלב הבא ברציפות החוקתית הוא בחקיקתו של </w:t>
      </w:r>
      <w:r w:rsidRPr="00972D0C">
        <w:rPr>
          <w:rFonts w:hint="cs"/>
          <w:b/>
          <w:bCs/>
          <w:sz w:val="20"/>
          <w:szCs w:val="20"/>
          <w:rtl/>
        </w:rPr>
        <w:t>חוק המעבר</w:t>
      </w:r>
      <w:r w:rsidRPr="00972D0C">
        <w:rPr>
          <w:b/>
          <w:bCs/>
          <w:sz w:val="20"/>
          <w:szCs w:val="20"/>
          <w:rtl/>
        </w:rPr>
        <w:t>, תש"ט 1949</w:t>
      </w:r>
      <w:r w:rsidRPr="00972D0C">
        <w:rPr>
          <w:rFonts w:hint="cs"/>
          <w:sz w:val="20"/>
          <w:szCs w:val="20"/>
          <w:rtl/>
        </w:rPr>
        <w:t>. זהו דבר החקיקה</w:t>
      </w:r>
      <w:r w:rsidRPr="00972D0C">
        <w:rPr>
          <w:sz w:val="20"/>
          <w:szCs w:val="20"/>
          <w:rtl/>
        </w:rPr>
        <w:t xml:space="preserve"> </w:t>
      </w:r>
      <w:r w:rsidRPr="00972D0C">
        <w:rPr>
          <w:rFonts w:hint="cs"/>
          <w:sz w:val="20"/>
          <w:szCs w:val="20"/>
          <w:rtl/>
        </w:rPr>
        <w:t>החשוב ביותר אשר חוקקה הכנסת (שהיא עתה הן רשות מכוננת והן רשות מחוקקת).</w:t>
      </w:r>
      <w:r w:rsidRPr="00972D0C">
        <w:rPr>
          <w:sz w:val="20"/>
          <w:szCs w:val="20"/>
          <w:rtl/>
        </w:rPr>
        <w:t xml:space="preserve"> </w:t>
      </w:r>
      <w:r w:rsidRPr="00972D0C">
        <w:rPr>
          <w:rFonts w:hint="cs"/>
          <w:sz w:val="20"/>
          <w:szCs w:val="20"/>
          <w:rtl/>
        </w:rPr>
        <w:t>בחוק זה נקבע:</w:t>
      </w:r>
    </w:p>
    <w:p w:rsidR="005366A8" w:rsidRPr="00972D0C" w:rsidRDefault="005366A8" w:rsidP="005366A8">
      <w:pPr>
        <w:spacing w:after="60"/>
        <w:ind w:left="720"/>
        <w:rPr>
          <w:sz w:val="20"/>
          <w:szCs w:val="20"/>
        </w:rPr>
      </w:pPr>
      <w:r w:rsidRPr="005A027D">
        <w:rPr>
          <w:rFonts w:ascii="Arial" w:hAnsi="Arial" w:cs="David"/>
          <w:sz w:val="20"/>
          <w:szCs w:val="20"/>
          <w:highlight w:val="yellow"/>
          <w:rtl/>
        </w:rPr>
        <w:t>"לבית המחוקקים במדינת ישראל ייקרא 'הכנסת'. לאסיפה המכוננת ייקרא הכנסת הראשונה'. לציר האסיפה המכוננת ייקרא 'חבר הכנסת'"</w:t>
      </w:r>
      <w:r w:rsidRPr="00972D0C">
        <w:rPr>
          <w:rFonts w:hint="cs"/>
          <w:sz w:val="20"/>
          <w:szCs w:val="20"/>
          <w:rtl/>
        </w:rPr>
        <w:t xml:space="preserve"> (סעיף 1).</w:t>
      </w:r>
    </w:p>
    <w:p w:rsidR="005366A8" w:rsidRPr="00972D0C" w:rsidRDefault="005366A8" w:rsidP="005366A8">
      <w:pPr>
        <w:spacing w:after="60"/>
        <w:rPr>
          <w:sz w:val="20"/>
          <w:szCs w:val="20"/>
          <w:rtl/>
        </w:rPr>
      </w:pPr>
    </w:p>
    <w:p w:rsidR="005366A8" w:rsidRPr="00972D0C" w:rsidRDefault="005366A8" w:rsidP="005366A8">
      <w:pPr>
        <w:spacing w:after="60"/>
        <w:rPr>
          <w:sz w:val="20"/>
          <w:szCs w:val="20"/>
        </w:rPr>
      </w:pPr>
      <w:r w:rsidRPr="00972D0C">
        <w:rPr>
          <w:rFonts w:hint="cs"/>
          <w:sz w:val="20"/>
          <w:szCs w:val="20"/>
          <w:rtl/>
        </w:rPr>
        <w:t>כן נקבע כי לדבר חקיקה של הכנסת ייקרא 'חוק' (סעיף 2(א)). חוק המעבר לא</w:t>
      </w:r>
      <w:r w:rsidRPr="00972D0C">
        <w:rPr>
          <w:sz w:val="20"/>
          <w:szCs w:val="20"/>
          <w:rtl/>
        </w:rPr>
        <w:t xml:space="preserve"> </w:t>
      </w:r>
      <w:r w:rsidRPr="00972D0C">
        <w:rPr>
          <w:rFonts w:hint="cs"/>
          <w:sz w:val="20"/>
          <w:szCs w:val="20"/>
          <w:rtl/>
        </w:rPr>
        <w:t>השפיע על סמכותה הכפולה של האסיפה המכוננת (כעת "הכנסת הראשונה").</w:t>
      </w:r>
      <w:r w:rsidRPr="00972D0C">
        <w:rPr>
          <w:sz w:val="20"/>
          <w:szCs w:val="20"/>
          <w:rtl/>
        </w:rPr>
        <w:t xml:space="preserve"> </w:t>
      </w:r>
      <w:r w:rsidRPr="00972D0C">
        <w:rPr>
          <w:rFonts w:hint="cs"/>
          <w:sz w:val="20"/>
          <w:szCs w:val="20"/>
          <w:rtl/>
        </w:rPr>
        <w:t>אכן, הכנסת</w:t>
      </w:r>
      <w:r w:rsidRPr="00972D0C">
        <w:rPr>
          <w:sz w:val="20"/>
          <w:szCs w:val="20"/>
          <w:rtl/>
        </w:rPr>
        <w:t xml:space="preserve"> </w:t>
      </w:r>
      <w:r w:rsidRPr="00972D0C">
        <w:rPr>
          <w:rFonts w:hint="cs"/>
          <w:sz w:val="20"/>
          <w:szCs w:val="20"/>
          <w:rtl/>
        </w:rPr>
        <w:t xml:space="preserve">הראשונה קיימה דיונים נרחבים באשר לחוקה (ראה ד"כ 5, בעמ' 714). </w:t>
      </w:r>
      <w:r w:rsidRPr="00972D0C">
        <w:rPr>
          <w:sz w:val="20"/>
          <w:szCs w:val="20"/>
          <w:rtl/>
        </w:rPr>
        <w:t>[</w:t>
      </w:r>
      <w:r w:rsidRPr="00972D0C">
        <w:rPr>
          <w:sz w:val="20"/>
          <w:szCs w:val="20"/>
        </w:rPr>
        <w:t>…</w:t>
      </w:r>
      <w:r w:rsidRPr="00972D0C">
        <w:rPr>
          <w:sz w:val="20"/>
          <w:szCs w:val="20"/>
          <w:rtl/>
        </w:rPr>
        <w:t xml:space="preserve">] </w:t>
      </w:r>
      <w:r w:rsidRPr="00972D0C">
        <w:rPr>
          <w:rFonts w:hint="cs"/>
          <w:sz w:val="20"/>
          <w:szCs w:val="20"/>
          <w:rtl/>
        </w:rPr>
        <w:t>הדיון הסתיים בהחלטת פשרה של הכנסת הראשונה (האסיפה המכוננת) שנתקבלה ביום</w:t>
      </w:r>
      <w:r w:rsidRPr="00972D0C">
        <w:rPr>
          <w:sz w:val="20"/>
          <w:szCs w:val="20"/>
          <w:rtl/>
        </w:rPr>
        <w:t xml:space="preserve"> </w:t>
      </w:r>
      <w:r w:rsidRPr="00972D0C">
        <w:rPr>
          <w:rFonts w:hint="cs"/>
          <w:sz w:val="20"/>
          <w:szCs w:val="20"/>
          <w:rtl/>
        </w:rPr>
        <w:t xml:space="preserve">13.6.50. יוזם ההחלטה היה חבר הכנסת הררי </w:t>
      </w:r>
      <w:r w:rsidRPr="005A027D">
        <w:rPr>
          <w:rFonts w:hint="cs"/>
          <w:b/>
          <w:bCs/>
          <w:sz w:val="20"/>
          <w:szCs w:val="20"/>
          <w:highlight w:val="yellow"/>
          <w:rtl/>
        </w:rPr>
        <w:t>("החלטת הררי")</w:t>
      </w:r>
      <w:r w:rsidRPr="005A027D">
        <w:rPr>
          <w:rFonts w:hint="cs"/>
          <w:sz w:val="20"/>
          <w:szCs w:val="20"/>
          <w:highlight w:val="yellow"/>
          <w:rtl/>
        </w:rPr>
        <w:t>.</w:t>
      </w:r>
      <w:r w:rsidRPr="00972D0C">
        <w:rPr>
          <w:rFonts w:hint="cs"/>
          <w:sz w:val="20"/>
          <w:szCs w:val="20"/>
          <w:rtl/>
        </w:rPr>
        <w:t xml:space="preserve"> וזו לשון ההחלטה:</w:t>
      </w:r>
    </w:p>
    <w:p w:rsidR="005366A8" w:rsidRPr="00FD31C3" w:rsidRDefault="005366A8" w:rsidP="005366A8">
      <w:pPr>
        <w:spacing w:after="60"/>
        <w:ind w:left="720"/>
        <w:rPr>
          <w:rFonts w:ascii="Arial" w:hAnsi="Arial" w:cs="Arial"/>
          <w:sz w:val="18"/>
          <w:szCs w:val="18"/>
        </w:rPr>
      </w:pPr>
      <w:r w:rsidRPr="005A027D">
        <w:rPr>
          <w:rFonts w:ascii="Arial" w:hAnsi="Arial" w:cs="Arial"/>
          <w:sz w:val="18"/>
          <w:szCs w:val="18"/>
          <w:highlight w:val="yellow"/>
          <w:rtl/>
        </w:rPr>
        <w:t>"הכנסת הראשונה מטילה על ועדת החוקה, חוק ומשפט להכין הצעת חוקה למדינה. החוקה תהיה בנויה פרקים-פרקים באופן שכל אחד מהם יהווה חוק-יסודי לפני עצמו.</w:t>
      </w:r>
      <w:r w:rsidRPr="005A027D">
        <w:rPr>
          <w:rFonts w:ascii="Arial" w:hAnsi="Arial" w:cs="Arial" w:hint="cs"/>
          <w:sz w:val="18"/>
          <w:szCs w:val="18"/>
          <w:highlight w:val="yellow"/>
          <w:rtl/>
        </w:rPr>
        <w:t xml:space="preserve"> </w:t>
      </w:r>
      <w:r w:rsidRPr="005A027D">
        <w:rPr>
          <w:rFonts w:ascii="Arial" w:hAnsi="Arial" w:cs="Arial"/>
          <w:sz w:val="18"/>
          <w:szCs w:val="18"/>
          <w:highlight w:val="yellow"/>
          <w:rtl/>
        </w:rPr>
        <w:t>הפרקים יובאו לפני הכנסת, במידה שהוועדה תסיים את עבודתה, וכל הפרקים יחד יתאגדו לחוקת המדינה"</w:t>
      </w:r>
      <w:r w:rsidRPr="00FD31C3">
        <w:rPr>
          <w:rFonts w:ascii="Arial" w:hAnsi="Arial" w:cs="Arial"/>
          <w:sz w:val="18"/>
          <w:szCs w:val="18"/>
          <w:rtl/>
        </w:rPr>
        <w:t xml:space="preserve"> </w:t>
      </w:r>
    </w:p>
    <w:p w:rsidR="005366A8" w:rsidRPr="00972D0C" w:rsidRDefault="005366A8" w:rsidP="005366A8">
      <w:pPr>
        <w:spacing w:after="60"/>
        <w:rPr>
          <w:sz w:val="20"/>
          <w:szCs w:val="20"/>
        </w:rPr>
      </w:pPr>
    </w:p>
    <w:p w:rsidR="005366A8" w:rsidRPr="00972D0C" w:rsidRDefault="005366A8" w:rsidP="005366A8">
      <w:pPr>
        <w:spacing w:after="60"/>
        <w:rPr>
          <w:sz w:val="20"/>
          <w:szCs w:val="20"/>
        </w:rPr>
      </w:pPr>
      <w:r w:rsidRPr="00972D0C">
        <w:rPr>
          <w:rFonts w:hint="cs"/>
          <w:b/>
          <w:bCs/>
          <w:sz w:val="20"/>
          <w:szCs w:val="20"/>
          <w:rtl/>
        </w:rPr>
        <w:t>חוק המעבר לכנסת השנייה</w:t>
      </w:r>
      <w:r w:rsidRPr="00972D0C">
        <w:rPr>
          <w:b/>
          <w:bCs/>
          <w:sz w:val="20"/>
          <w:szCs w:val="20"/>
          <w:rtl/>
        </w:rPr>
        <w:t>, תשי"א 1951</w:t>
      </w:r>
      <w:r w:rsidRPr="00972D0C">
        <w:rPr>
          <w:rFonts w:hint="cs"/>
          <w:sz w:val="20"/>
          <w:szCs w:val="20"/>
          <w:rtl/>
        </w:rPr>
        <w:t>. נקבעה בו רציפות בין תום כהונתה של הכנסת הראשונה</w:t>
      </w:r>
      <w:r w:rsidRPr="00972D0C">
        <w:rPr>
          <w:sz w:val="20"/>
          <w:szCs w:val="20"/>
          <w:rtl/>
        </w:rPr>
        <w:t xml:space="preserve"> </w:t>
      </w:r>
      <w:r w:rsidRPr="00972D0C">
        <w:rPr>
          <w:rFonts w:hint="cs"/>
          <w:sz w:val="20"/>
          <w:szCs w:val="20"/>
          <w:rtl/>
        </w:rPr>
        <w:t>לבין תחילת כהונתה של הכנסת השנייה (סעיף 1). נקבע כי "</w:t>
      </w:r>
      <w:r w:rsidRPr="005A027D">
        <w:rPr>
          <w:rFonts w:hint="cs"/>
          <w:sz w:val="20"/>
          <w:szCs w:val="20"/>
          <w:highlight w:val="yellow"/>
          <w:rtl/>
        </w:rPr>
        <w:t>לכנסת השנייה ולחבריה</w:t>
      </w:r>
      <w:r w:rsidRPr="005A027D">
        <w:rPr>
          <w:sz w:val="20"/>
          <w:szCs w:val="20"/>
          <w:highlight w:val="yellow"/>
          <w:rtl/>
        </w:rPr>
        <w:t xml:space="preserve"> </w:t>
      </w:r>
      <w:r w:rsidRPr="005A027D">
        <w:rPr>
          <w:rFonts w:hint="cs"/>
          <w:sz w:val="20"/>
          <w:szCs w:val="20"/>
          <w:highlight w:val="yellow"/>
          <w:rtl/>
        </w:rPr>
        <w:t>יהיו כל הסמכויות, הזכויות והחובות שהיו לכנסת הראשונה ולחבריה"</w:t>
      </w:r>
      <w:r w:rsidRPr="00972D0C">
        <w:rPr>
          <w:rFonts w:hint="cs"/>
          <w:sz w:val="20"/>
          <w:szCs w:val="20"/>
          <w:rtl/>
        </w:rPr>
        <w:t xml:space="preserve"> (סעיף 5). הוסף כי הכנסת השנייה</w:t>
      </w:r>
      <w:r w:rsidRPr="00972D0C">
        <w:rPr>
          <w:sz w:val="20"/>
          <w:szCs w:val="20"/>
          <w:rtl/>
        </w:rPr>
        <w:t xml:space="preserve"> </w:t>
      </w:r>
      <w:r w:rsidRPr="00972D0C">
        <w:rPr>
          <w:rFonts w:hint="cs"/>
          <w:sz w:val="20"/>
          <w:szCs w:val="20"/>
          <w:rtl/>
        </w:rPr>
        <w:t>תנהג על-פי התקנון, ההחלטות, התקדימים והנוהג של הכנסת הראשונה (סעיף 6). כן</w:t>
      </w:r>
      <w:r w:rsidRPr="00972D0C">
        <w:rPr>
          <w:sz w:val="20"/>
          <w:szCs w:val="20"/>
          <w:rtl/>
        </w:rPr>
        <w:t xml:space="preserve"> </w:t>
      </w:r>
      <w:r w:rsidRPr="00972D0C">
        <w:rPr>
          <w:rFonts w:hint="cs"/>
          <w:sz w:val="20"/>
          <w:szCs w:val="20"/>
          <w:rtl/>
        </w:rPr>
        <w:t>נקבע במפורש (בסעיף 9) כי:</w:t>
      </w:r>
    </w:p>
    <w:p w:rsidR="005366A8" w:rsidRPr="00FD31C3" w:rsidRDefault="005366A8" w:rsidP="005366A8">
      <w:pPr>
        <w:spacing w:after="60"/>
        <w:ind w:left="720"/>
        <w:rPr>
          <w:rFonts w:ascii="Arial" w:hAnsi="Arial" w:cs="David"/>
          <w:sz w:val="20"/>
          <w:szCs w:val="20"/>
          <w:rtl/>
        </w:rPr>
      </w:pPr>
      <w:r w:rsidRPr="005A027D">
        <w:rPr>
          <w:rFonts w:ascii="Arial" w:hAnsi="Arial" w:cs="David"/>
          <w:sz w:val="20"/>
          <w:szCs w:val="20"/>
          <w:highlight w:val="yellow"/>
          <w:rtl/>
        </w:rPr>
        <w:t xml:space="preserve">"כל מקום בחוק </w:t>
      </w:r>
      <w:r w:rsidRPr="005A027D">
        <w:rPr>
          <w:rFonts w:ascii="Arial" w:hAnsi="Arial" w:cs="David" w:hint="cs"/>
          <w:sz w:val="20"/>
          <w:szCs w:val="20"/>
          <w:highlight w:val="yellow"/>
          <w:rtl/>
        </w:rPr>
        <w:t xml:space="preserve">בו </w:t>
      </w:r>
      <w:r w:rsidRPr="005A027D">
        <w:rPr>
          <w:rFonts w:ascii="Arial" w:hAnsi="Arial" w:cs="David"/>
          <w:sz w:val="20"/>
          <w:szCs w:val="20"/>
          <w:highlight w:val="yellow"/>
          <w:rtl/>
        </w:rPr>
        <w:t>מדובר באסיפה המכוננת או בכנסת הראשונה ייקרא, מיום כינוס הכנסת השנייה, כאילו המדובר בכנסת השנייה, אם אין כוונה אחרת משתמעת מגופו של ענין".</w:t>
      </w:r>
      <w:r>
        <w:rPr>
          <w:rFonts w:ascii="Arial" w:hAnsi="Arial" w:cs="David"/>
          <w:sz w:val="20"/>
          <w:szCs w:val="20"/>
          <w:rtl/>
        </w:rPr>
        <w:t xml:space="preserve"> </w:t>
      </w:r>
    </w:p>
    <w:p w:rsidR="005366A8" w:rsidRDefault="005366A8" w:rsidP="005366A8">
      <w:pPr>
        <w:spacing w:after="60"/>
        <w:rPr>
          <w:rtl/>
        </w:rPr>
      </w:pPr>
      <w:r w:rsidRPr="00972D0C">
        <w:rPr>
          <w:rFonts w:hint="cs"/>
          <w:sz w:val="20"/>
          <w:szCs w:val="20"/>
          <w:rtl/>
        </w:rPr>
        <w:t xml:space="preserve">כן נקבע כי </w:t>
      </w:r>
      <w:r w:rsidRPr="00FD31C3">
        <w:rPr>
          <w:rFonts w:ascii="Arial" w:hAnsi="Arial" w:cs="David"/>
          <w:sz w:val="20"/>
          <w:szCs w:val="20"/>
          <w:rtl/>
        </w:rPr>
        <w:t>"</w:t>
      </w:r>
      <w:r w:rsidRPr="005A027D">
        <w:rPr>
          <w:rFonts w:ascii="Arial" w:hAnsi="Arial" w:cs="David"/>
          <w:sz w:val="20"/>
          <w:szCs w:val="20"/>
          <w:highlight w:val="yellow"/>
          <w:rtl/>
        </w:rPr>
        <w:t>חוק זה יחול, בשינויים המחוייבים לפי הענין, גם על המעבר לכנסת השלישית ולכל כנסת שלאחריה, כל עוד לא קיבלה הכנסת חוק אחר בדברים הנידונים בחוק זה</w:t>
      </w:r>
      <w:r w:rsidRPr="00FD31C3">
        <w:rPr>
          <w:rFonts w:ascii="Arial" w:hAnsi="Arial" w:cs="David"/>
          <w:sz w:val="20"/>
          <w:szCs w:val="20"/>
          <w:rtl/>
        </w:rPr>
        <w:t>"</w:t>
      </w:r>
      <w:r w:rsidRPr="00FD31C3">
        <w:rPr>
          <w:rFonts w:cs="David" w:hint="cs"/>
          <w:sz w:val="20"/>
          <w:szCs w:val="20"/>
          <w:rtl/>
        </w:rPr>
        <w:t xml:space="preserve"> </w:t>
      </w:r>
      <w:r w:rsidRPr="00972D0C">
        <w:rPr>
          <w:rFonts w:hint="cs"/>
          <w:sz w:val="20"/>
          <w:szCs w:val="20"/>
          <w:rtl/>
        </w:rPr>
        <w:t>(סעיף 10).</w:t>
      </w:r>
    </w:p>
    <w:p w:rsidR="005366A8" w:rsidRDefault="005366A8" w:rsidP="005366A8">
      <w:pPr>
        <w:spacing w:after="60"/>
        <w:jc w:val="center"/>
        <w:rPr>
          <w:b/>
          <w:bCs/>
          <w:sz w:val="20"/>
          <w:szCs w:val="20"/>
          <w:rtl/>
        </w:rPr>
      </w:pPr>
      <w:r w:rsidRPr="00FA7872">
        <w:rPr>
          <w:b/>
          <w:bCs/>
          <w:sz w:val="20"/>
          <w:szCs w:val="20"/>
          <w:rtl/>
        </w:rPr>
        <w:t xml:space="preserve"> </w:t>
      </w:r>
      <w:r>
        <w:rPr>
          <w:rFonts w:hint="cs"/>
          <w:b/>
          <w:bCs/>
          <w:sz w:val="20"/>
          <w:szCs w:val="20"/>
          <w:rtl/>
        </w:rPr>
        <w:t>=-=</w:t>
      </w:r>
    </w:p>
    <w:p w:rsidR="005366A8" w:rsidRDefault="005366A8" w:rsidP="005366A8">
      <w:pPr>
        <w:spacing w:after="60"/>
        <w:rPr>
          <w:sz w:val="20"/>
          <w:szCs w:val="20"/>
          <w:rtl/>
        </w:rPr>
      </w:pPr>
    </w:p>
    <w:p w:rsidR="005366A8" w:rsidRPr="000C249B" w:rsidRDefault="005366A8" w:rsidP="005366A8">
      <w:pPr>
        <w:spacing w:after="60"/>
        <w:jc w:val="center"/>
        <w:rPr>
          <w:rFonts w:ascii="Arial" w:hAnsi="Arial" w:cs="Arial"/>
          <w:u w:val="single"/>
          <w:rtl/>
        </w:rPr>
      </w:pPr>
      <w:r w:rsidRPr="00D17F6A">
        <w:rPr>
          <w:rFonts w:ascii="Arial" w:hAnsi="Arial" w:cs="Arial"/>
          <w:b/>
          <w:bCs/>
          <w:highlight w:val="yellow"/>
          <w:u w:val="single"/>
          <w:rtl/>
        </w:rPr>
        <w:t xml:space="preserve">"הדיאלוג החוקתי" </w:t>
      </w:r>
      <w:r>
        <w:rPr>
          <w:rFonts w:ascii="Arial" w:hAnsi="Arial" w:cs="Arial" w:hint="cs"/>
          <w:b/>
          <w:bCs/>
          <w:highlight w:val="yellow"/>
          <w:u w:val="single"/>
          <w:rtl/>
        </w:rPr>
        <w:t>ומיהו "בעל המילה האחרונה"</w:t>
      </w:r>
      <w:r w:rsidRPr="00D17F6A">
        <w:rPr>
          <w:rFonts w:ascii="Arial" w:hAnsi="Arial" w:cs="Arial"/>
          <w:b/>
          <w:bCs/>
          <w:highlight w:val="yellow"/>
          <w:u w:val="single"/>
          <w:rtl/>
        </w:rPr>
        <w:t xml:space="preserve"> – העדר שינוי </w:t>
      </w:r>
      <w:r w:rsidRPr="00D17F6A">
        <w:rPr>
          <w:rFonts w:ascii="Arial" w:hAnsi="Arial" w:cs="Arial" w:hint="cs"/>
          <w:b/>
          <w:bCs/>
          <w:highlight w:val="yellow"/>
          <w:u w:val="single"/>
          <w:rtl/>
        </w:rPr>
        <w:t>דרסט</w:t>
      </w:r>
      <w:r w:rsidRPr="00D17F6A">
        <w:rPr>
          <w:rFonts w:ascii="Arial" w:hAnsi="Arial" w:cs="Arial"/>
          <w:b/>
          <w:bCs/>
          <w:highlight w:val="yellow"/>
          <w:u w:val="single"/>
          <w:rtl/>
        </w:rPr>
        <w:t>י</w:t>
      </w:r>
      <w:r w:rsidRPr="00D17F6A">
        <w:rPr>
          <w:rFonts w:ascii="Arial" w:hAnsi="Arial" w:cs="Arial" w:hint="cs"/>
          <w:highlight w:val="yellow"/>
          <w:u w:val="single"/>
          <w:rtl/>
        </w:rPr>
        <w:t xml:space="preserve"> </w:t>
      </w:r>
      <w:r w:rsidRPr="00D17F6A">
        <w:rPr>
          <w:rFonts w:ascii="Arial" w:hAnsi="Arial" w:cs="Arial"/>
          <w:highlight w:val="yellow"/>
          <w:u w:val="single"/>
          <w:rtl/>
        </w:rPr>
        <w:t>–</w:t>
      </w:r>
      <w:r w:rsidRPr="00D17F6A">
        <w:rPr>
          <w:rFonts w:ascii="Arial" w:hAnsi="Arial" w:cs="Arial" w:hint="cs"/>
          <w:highlight w:val="yellow"/>
          <w:u w:val="single"/>
          <w:rtl/>
        </w:rPr>
        <w:t xml:space="preserve"> </w:t>
      </w:r>
      <w:r w:rsidRPr="00D17F6A">
        <w:rPr>
          <w:rFonts w:ascii="Arial" w:hAnsi="Arial" w:cs="Arial" w:hint="cs"/>
          <w:b/>
          <w:bCs/>
          <w:highlight w:val="yellow"/>
          <w:u w:val="single"/>
          <w:rtl/>
        </w:rPr>
        <w:t>ניתוחו של פרופ' דותן</w:t>
      </w:r>
    </w:p>
    <w:p w:rsidR="005366A8" w:rsidRPr="000C249B" w:rsidRDefault="005366A8" w:rsidP="005366A8">
      <w:pPr>
        <w:spacing w:after="60"/>
        <w:rPr>
          <w:sz w:val="20"/>
          <w:szCs w:val="20"/>
          <w:rtl/>
        </w:rPr>
      </w:pPr>
      <w:r w:rsidRPr="000C249B">
        <w:rPr>
          <w:sz w:val="20"/>
          <w:szCs w:val="20"/>
          <w:rtl/>
        </w:rPr>
        <w:t>ביקורת שיפוטית היא סוג של דיאלוג בין בתי המשפט לבין הרשויות הפוליטיות.</w:t>
      </w:r>
      <w:r>
        <w:rPr>
          <w:sz w:val="20"/>
          <w:szCs w:val="20"/>
          <w:rtl/>
        </w:rPr>
        <w:t xml:space="preserve"> </w:t>
      </w:r>
      <w:r w:rsidRPr="000C249B">
        <w:rPr>
          <w:sz w:val="20"/>
          <w:szCs w:val="20"/>
          <w:rtl/>
        </w:rPr>
        <w:t>הן חייבות להביא בין שיקוליהן את האפשרות שפעולותיהן יעמדו למבחן שיפוטי.</w:t>
      </w:r>
      <w:r>
        <w:rPr>
          <w:sz w:val="20"/>
          <w:szCs w:val="20"/>
          <w:rtl/>
        </w:rPr>
        <w:t xml:space="preserve"> </w:t>
      </w:r>
      <w:r w:rsidRPr="000C249B">
        <w:rPr>
          <w:sz w:val="20"/>
          <w:szCs w:val="20"/>
          <w:rtl/>
        </w:rPr>
        <w:t>ובית המשפט</w:t>
      </w:r>
      <w:r>
        <w:rPr>
          <w:rFonts w:hint="cs"/>
          <w:sz w:val="20"/>
          <w:szCs w:val="20"/>
          <w:rtl/>
        </w:rPr>
        <w:t>, מנגד,</w:t>
      </w:r>
      <w:r w:rsidRPr="000C249B">
        <w:rPr>
          <w:sz w:val="20"/>
          <w:szCs w:val="20"/>
          <w:rtl/>
        </w:rPr>
        <w:t xml:space="preserve"> מביא </w:t>
      </w:r>
      <w:r>
        <w:rPr>
          <w:rFonts w:hint="cs"/>
          <w:sz w:val="20"/>
          <w:szCs w:val="20"/>
          <w:rtl/>
        </w:rPr>
        <w:t xml:space="preserve">בפועל </w:t>
      </w:r>
      <w:r w:rsidRPr="000C249B">
        <w:rPr>
          <w:sz w:val="20"/>
          <w:szCs w:val="20"/>
          <w:rtl/>
        </w:rPr>
        <w:t>בחשבון את התגובות הציבוריות הצפויות לפסיק</w:t>
      </w:r>
      <w:r>
        <w:rPr>
          <w:rFonts w:hint="cs"/>
          <w:sz w:val="20"/>
          <w:szCs w:val="20"/>
          <w:rtl/>
        </w:rPr>
        <w:t>תו, ואת המהלכים המשפטיים האפשריים בעקבותיה</w:t>
      </w:r>
      <w:r w:rsidRPr="000C249B">
        <w:rPr>
          <w:sz w:val="20"/>
          <w:szCs w:val="20"/>
          <w:rtl/>
        </w:rPr>
        <w:t xml:space="preserve">. </w:t>
      </w:r>
    </w:p>
    <w:p w:rsidR="005366A8" w:rsidRPr="000C249B" w:rsidRDefault="005366A8" w:rsidP="005366A8">
      <w:pPr>
        <w:spacing w:after="60"/>
        <w:rPr>
          <w:sz w:val="20"/>
          <w:szCs w:val="20"/>
          <w:rtl/>
        </w:rPr>
      </w:pPr>
      <w:r w:rsidRPr="000C249B">
        <w:rPr>
          <w:sz w:val="20"/>
          <w:szCs w:val="20"/>
          <w:rtl/>
        </w:rPr>
        <w:t>אצלנו, טרם המהפכה החוקתית (ובכפוף לחריג</w:t>
      </w:r>
      <w:r w:rsidRPr="000C249B">
        <w:rPr>
          <w:rFonts w:hint="cs"/>
          <w:sz w:val="20"/>
          <w:szCs w:val="20"/>
          <w:rtl/>
        </w:rPr>
        <w:t xml:space="preserve"> שהופיע בפסק דינו של השופט זוסמן ב</w:t>
      </w:r>
      <w:r w:rsidRPr="000C249B">
        <w:rPr>
          <w:b/>
          <w:bCs/>
          <w:sz w:val="20"/>
          <w:szCs w:val="20"/>
          <w:rtl/>
        </w:rPr>
        <w:t xml:space="preserve">ירדור </w:t>
      </w:r>
      <w:r w:rsidRPr="000C249B">
        <w:rPr>
          <w:sz w:val="20"/>
          <w:szCs w:val="20"/>
          <w:rtl/>
        </w:rPr>
        <w:t>ו</w:t>
      </w:r>
      <w:r w:rsidRPr="000C249B">
        <w:rPr>
          <w:rFonts w:hint="cs"/>
          <w:sz w:val="20"/>
          <w:szCs w:val="20"/>
          <w:rtl/>
        </w:rPr>
        <w:t>לפתח העקרוני שעליו דיבר השופט ברק ב</w:t>
      </w:r>
      <w:r w:rsidRPr="000C249B">
        <w:rPr>
          <w:b/>
          <w:bCs/>
          <w:sz w:val="20"/>
          <w:szCs w:val="20"/>
          <w:rtl/>
        </w:rPr>
        <w:t>תנועת לאו"ר</w:t>
      </w:r>
      <w:r w:rsidRPr="000C249B">
        <w:rPr>
          <w:sz w:val="20"/>
          <w:szCs w:val="20"/>
          <w:rtl/>
        </w:rPr>
        <w:t>) המילה האחרונה היתה שמורה ללא עוררין למחוקק.</w:t>
      </w:r>
      <w:r>
        <w:rPr>
          <w:sz w:val="20"/>
          <w:szCs w:val="20"/>
          <w:rtl/>
        </w:rPr>
        <w:t xml:space="preserve"> </w:t>
      </w:r>
      <w:r w:rsidRPr="000C249B">
        <w:rPr>
          <w:sz w:val="20"/>
          <w:szCs w:val="20"/>
          <w:rtl/>
        </w:rPr>
        <w:t>מבחינה משפטית, הדיאלוג בין הרשות השופטת לרשויות הפוליטיות היה פשוט ומורכב משניים או שלשה שלבים.</w:t>
      </w:r>
      <w:r>
        <w:rPr>
          <w:sz w:val="20"/>
          <w:szCs w:val="20"/>
          <w:rtl/>
        </w:rPr>
        <w:t xml:space="preserve"> </w:t>
      </w:r>
      <w:r w:rsidRPr="000C249B">
        <w:rPr>
          <w:rFonts w:hint="cs"/>
          <w:sz w:val="20"/>
          <w:szCs w:val="20"/>
          <w:rtl/>
        </w:rPr>
        <w:t>(</w:t>
      </w:r>
      <w:r w:rsidRPr="000C249B">
        <w:rPr>
          <w:sz w:val="20"/>
          <w:szCs w:val="20"/>
          <w:rtl/>
        </w:rPr>
        <w:t>1) פעולה של גורם ברשות המבצעת.</w:t>
      </w:r>
      <w:r>
        <w:rPr>
          <w:sz w:val="20"/>
          <w:szCs w:val="20"/>
          <w:rtl/>
        </w:rPr>
        <w:t xml:space="preserve"> </w:t>
      </w:r>
      <w:r w:rsidRPr="000C249B">
        <w:rPr>
          <w:rFonts w:hint="cs"/>
          <w:sz w:val="20"/>
          <w:szCs w:val="20"/>
          <w:rtl/>
        </w:rPr>
        <w:t>(</w:t>
      </w:r>
      <w:r w:rsidRPr="000C249B">
        <w:rPr>
          <w:sz w:val="20"/>
          <w:szCs w:val="20"/>
          <w:rtl/>
        </w:rPr>
        <w:t>2) פעולה/פסיקה של בית המשפט.</w:t>
      </w:r>
      <w:r>
        <w:rPr>
          <w:sz w:val="20"/>
          <w:szCs w:val="20"/>
          <w:rtl/>
        </w:rPr>
        <w:t xml:space="preserve"> </w:t>
      </w:r>
      <w:r w:rsidRPr="000C249B">
        <w:rPr>
          <w:rFonts w:hint="cs"/>
          <w:sz w:val="20"/>
          <w:szCs w:val="20"/>
          <w:rtl/>
        </w:rPr>
        <w:t>(</w:t>
      </w:r>
      <w:r w:rsidRPr="000C249B">
        <w:rPr>
          <w:sz w:val="20"/>
          <w:szCs w:val="20"/>
          <w:rtl/>
        </w:rPr>
        <w:t>3) התערבות אפשרית או לחלופין חוסר מעש של המחוקק, שהעניק הלכה למעשה תוקף להחלטה השיפוטית.</w:t>
      </w:r>
    </w:p>
    <w:p w:rsidR="005366A8" w:rsidRPr="000C249B" w:rsidRDefault="005366A8" w:rsidP="005366A8">
      <w:pPr>
        <w:spacing w:after="60"/>
        <w:rPr>
          <w:sz w:val="20"/>
          <w:szCs w:val="20"/>
          <w:rtl/>
        </w:rPr>
      </w:pPr>
      <w:r w:rsidRPr="00D14069">
        <w:rPr>
          <w:b/>
          <w:bCs/>
          <w:sz w:val="20"/>
          <w:szCs w:val="20"/>
          <w:rtl/>
        </w:rPr>
        <w:t>המהפכה החוקתית יצרה שינוי</w:t>
      </w:r>
      <w:r>
        <w:rPr>
          <w:rFonts w:hint="cs"/>
          <w:b/>
          <w:bCs/>
          <w:sz w:val="20"/>
          <w:szCs w:val="20"/>
          <w:rtl/>
        </w:rPr>
        <w:t xml:space="preserve"> ממשי</w:t>
      </w:r>
      <w:r w:rsidRPr="00D14069">
        <w:rPr>
          <w:b/>
          <w:bCs/>
          <w:sz w:val="20"/>
          <w:szCs w:val="20"/>
          <w:rtl/>
        </w:rPr>
        <w:t>.</w:t>
      </w:r>
      <w:r>
        <w:rPr>
          <w:sz w:val="20"/>
          <w:szCs w:val="20"/>
          <w:rtl/>
        </w:rPr>
        <w:t xml:space="preserve"> </w:t>
      </w:r>
      <w:r w:rsidRPr="000C249B">
        <w:rPr>
          <w:sz w:val="20"/>
          <w:szCs w:val="20"/>
          <w:rtl/>
        </w:rPr>
        <w:t>פעולת המחוקק אינה סוף פסוק.</w:t>
      </w:r>
      <w:r>
        <w:rPr>
          <w:sz w:val="20"/>
          <w:szCs w:val="20"/>
          <w:rtl/>
        </w:rPr>
        <w:t xml:space="preserve"> </w:t>
      </w:r>
      <w:r w:rsidRPr="000C249B">
        <w:rPr>
          <w:rFonts w:hint="cs"/>
          <w:sz w:val="20"/>
          <w:szCs w:val="20"/>
          <w:rtl/>
        </w:rPr>
        <w:t>(</w:t>
      </w:r>
      <w:r w:rsidRPr="000C249B">
        <w:rPr>
          <w:sz w:val="20"/>
          <w:szCs w:val="20"/>
          <w:rtl/>
        </w:rPr>
        <w:t>4) בית המשפט יכול להגיב ולהעמיד למבחן חוקתי את התאמת</w:t>
      </w:r>
      <w:r>
        <w:rPr>
          <w:rFonts w:hint="cs"/>
          <w:sz w:val="20"/>
          <w:szCs w:val="20"/>
          <w:rtl/>
        </w:rPr>
        <w:t>ו של החוק שהתקבל למול חוקי היסוד</w:t>
      </w:r>
      <w:r w:rsidRPr="000C249B">
        <w:rPr>
          <w:sz w:val="20"/>
          <w:szCs w:val="20"/>
          <w:rtl/>
        </w:rPr>
        <w:t>.</w:t>
      </w:r>
      <w:r>
        <w:rPr>
          <w:sz w:val="20"/>
          <w:szCs w:val="20"/>
          <w:rtl/>
        </w:rPr>
        <w:t xml:space="preserve"> </w:t>
      </w:r>
    </w:p>
    <w:p w:rsidR="005366A8" w:rsidRPr="000C249B" w:rsidRDefault="005366A8" w:rsidP="005366A8">
      <w:pPr>
        <w:spacing w:after="60"/>
        <w:rPr>
          <w:sz w:val="20"/>
          <w:szCs w:val="20"/>
          <w:rtl/>
        </w:rPr>
      </w:pPr>
      <w:r w:rsidRPr="000C249B">
        <w:rPr>
          <w:rFonts w:hint="cs"/>
          <w:sz w:val="20"/>
          <w:szCs w:val="20"/>
          <w:rtl/>
        </w:rPr>
        <w:t>(</w:t>
      </w:r>
      <w:r w:rsidRPr="000C249B">
        <w:rPr>
          <w:sz w:val="20"/>
          <w:szCs w:val="20"/>
          <w:rtl/>
        </w:rPr>
        <w:t>5) אולם גם לאחר הפסיקה השיפוטית ברמה החוקתית, זכות ההכרעה הסופית בדיאלוג הזה נשארה לכאורה לכנסת.</w:t>
      </w:r>
      <w:r>
        <w:rPr>
          <w:sz w:val="20"/>
          <w:szCs w:val="20"/>
          <w:rtl/>
        </w:rPr>
        <w:t xml:space="preserve"> </w:t>
      </w:r>
      <w:r w:rsidRPr="000C249B">
        <w:rPr>
          <w:sz w:val="20"/>
          <w:szCs w:val="20"/>
          <w:rtl/>
        </w:rPr>
        <w:t xml:space="preserve">אמנם היא נדרשת (במקרה של חוק יסוד: חופש העיסוק, </w:t>
      </w:r>
      <w:r>
        <w:rPr>
          <w:rFonts w:hint="cs"/>
          <w:sz w:val="20"/>
          <w:szCs w:val="20"/>
          <w:rtl/>
        </w:rPr>
        <w:t>או מאפייני שיטת הבחירות הקבועים בסעיף 4 ל</w:t>
      </w:r>
      <w:r w:rsidRPr="000C249B">
        <w:rPr>
          <w:sz w:val="20"/>
          <w:szCs w:val="20"/>
          <w:rtl/>
        </w:rPr>
        <w:t>חוק יסוד: הכנסת) לגייס רוב מוחלט של 61 מחבריה, או</w:t>
      </w:r>
      <w:r>
        <w:rPr>
          <w:rFonts w:hint="cs"/>
          <w:sz w:val="20"/>
          <w:szCs w:val="20"/>
          <w:rtl/>
        </w:rPr>
        <w:t xml:space="preserve"> (</w:t>
      </w:r>
      <w:r w:rsidRPr="000C249B">
        <w:rPr>
          <w:sz w:val="20"/>
          <w:szCs w:val="20"/>
          <w:rtl/>
        </w:rPr>
        <w:t>במקרה של חוק יסוד: כבוד האדם וחירותו</w:t>
      </w:r>
      <w:r>
        <w:rPr>
          <w:rFonts w:hint="cs"/>
          <w:sz w:val="20"/>
          <w:szCs w:val="20"/>
          <w:rtl/>
        </w:rPr>
        <w:t>)</w:t>
      </w:r>
      <w:r w:rsidRPr="000C249B">
        <w:rPr>
          <w:sz w:val="20"/>
          <w:szCs w:val="20"/>
          <w:rtl/>
        </w:rPr>
        <w:t xml:space="preserve"> </w:t>
      </w:r>
      <w:r w:rsidRPr="000C249B">
        <w:rPr>
          <w:rFonts w:hint="cs"/>
          <w:sz w:val="20"/>
          <w:szCs w:val="20"/>
          <w:rtl/>
        </w:rPr>
        <w:t xml:space="preserve">רק </w:t>
      </w:r>
      <w:r w:rsidRPr="000C249B">
        <w:rPr>
          <w:sz w:val="20"/>
          <w:szCs w:val="20"/>
          <w:rtl/>
        </w:rPr>
        <w:t>להכתיר את מהלך התגובה שלה בכותרת "חוק יסוד"</w:t>
      </w:r>
      <w:r>
        <w:rPr>
          <w:rFonts w:hint="cs"/>
          <w:sz w:val="20"/>
          <w:szCs w:val="20"/>
          <w:rtl/>
        </w:rPr>
        <w:t>;</w:t>
      </w:r>
      <w:r w:rsidRPr="000C249B">
        <w:rPr>
          <w:sz w:val="20"/>
          <w:szCs w:val="20"/>
          <w:rtl/>
        </w:rPr>
        <w:t xml:space="preserve"> אולם במישור הפורמ</w:t>
      </w:r>
      <w:r w:rsidRPr="000C249B">
        <w:rPr>
          <w:rFonts w:hint="cs"/>
          <w:sz w:val="20"/>
          <w:szCs w:val="20"/>
          <w:rtl/>
        </w:rPr>
        <w:t>א</w:t>
      </w:r>
      <w:r w:rsidRPr="000C249B">
        <w:rPr>
          <w:sz w:val="20"/>
          <w:szCs w:val="20"/>
          <w:rtl/>
        </w:rPr>
        <w:t>לי, המהפכה החוקתית הותירה לכנסת מרחב ניכר להפעיל את כוחה המכונן כדי לתקן קביעות של בית המשפט שאינן נראות לה.</w:t>
      </w:r>
      <w:r>
        <w:rPr>
          <w:sz w:val="20"/>
          <w:szCs w:val="20"/>
          <w:rtl/>
        </w:rPr>
        <w:t xml:space="preserve"> </w:t>
      </w:r>
      <w:r w:rsidRPr="005A027D">
        <w:rPr>
          <w:sz w:val="20"/>
          <w:szCs w:val="20"/>
          <w:highlight w:val="yellow"/>
          <w:rtl/>
        </w:rPr>
        <w:t xml:space="preserve">אין מגבלות קשות על אפשרות שינוי החוקה כדי לתקן או לבטל קביעות של בית המשפט. לא נדרש הליך חוץ-פרלמנטרי מיוחד וגם לא נדרש (במרבית המקרים) רוב מיוחד מבין חברי </w:t>
      </w:r>
      <w:r w:rsidRPr="005A027D">
        <w:rPr>
          <w:rFonts w:hint="cs"/>
          <w:sz w:val="20"/>
          <w:szCs w:val="20"/>
          <w:highlight w:val="yellow"/>
          <w:rtl/>
        </w:rPr>
        <w:t>הכנסת</w:t>
      </w:r>
      <w:r w:rsidRPr="005A027D">
        <w:rPr>
          <w:sz w:val="20"/>
          <w:szCs w:val="20"/>
          <w:highlight w:val="yellow"/>
          <w:rtl/>
        </w:rPr>
        <w:t>; וגם כשנדרש רוב מיוחד, אין מדובר בדרישה שהיא בלתי עבירה לחלוטין במישור הפרקטי</w:t>
      </w:r>
      <w:r w:rsidRPr="000C249B">
        <w:rPr>
          <w:sz w:val="20"/>
          <w:szCs w:val="20"/>
          <w:rtl/>
        </w:rPr>
        <w:t>.</w:t>
      </w:r>
      <w:r>
        <w:rPr>
          <w:sz w:val="20"/>
          <w:szCs w:val="20"/>
          <w:rtl/>
        </w:rPr>
        <w:t xml:space="preserve"> </w:t>
      </w:r>
      <w:r w:rsidRPr="000C249B">
        <w:rPr>
          <w:sz w:val="20"/>
          <w:szCs w:val="20"/>
          <w:rtl/>
        </w:rPr>
        <w:t xml:space="preserve">בקצרה: הכנסת יכולה בכל עת "ללבוש את כובעה המכונן" </w:t>
      </w:r>
      <w:r w:rsidRPr="000C249B">
        <w:rPr>
          <w:sz w:val="20"/>
          <w:szCs w:val="20"/>
        </w:rPr>
        <w:t>–</w:t>
      </w:r>
      <w:r w:rsidRPr="000C249B">
        <w:rPr>
          <w:sz w:val="20"/>
          <w:szCs w:val="20"/>
          <w:rtl/>
        </w:rPr>
        <w:t xml:space="preserve"> כדברי הנשיא ברק </w:t>
      </w:r>
      <w:r w:rsidRPr="000C249B">
        <w:rPr>
          <w:sz w:val="20"/>
          <w:szCs w:val="20"/>
        </w:rPr>
        <w:t>–</w:t>
      </w:r>
      <w:r w:rsidRPr="000C249B">
        <w:rPr>
          <w:sz w:val="20"/>
          <w:szCs w:val="20"/>
          <w:rtl/>
        </w:rPr>
        <w:t xml:space="preserve"> ולעשות בכובע הזה (כמעט) אותו שימוש שעשתה בכובעה החקיקתי בתקופה של טרום המהפכה החוקתית.</w:t>
      </w:r>
    </w:p>
    <w:p w:rsidR="005366A8" w:rsidRPr="000C249B" w:rsidRDefault="005366A8" w:rsidP="005366A8">
      <w:pPr>
        <w:spacing w:after="60"/>
        <w:rPr>
          <w:b/>
          <w:bCs/>
          <w:sz w:val="20"/>
          <w:szCs w:val="20"/>
          <w:rtl/>
        </w:rPr>
      </w:pPr>
      <w:r w:rsidRPr="000C249B">
        <w:rPr>
          <w:b/>
          <w:bCs/>
          <w:sz w:val="20"/>
          <w:szCs w:val="20"/>
          <w:rtl/>
        </w:rPr>
        <w:t>פירוש הדבר</w:t>
      </w:r>
      <w:r w:rsidRPr="000C249B">
        <w:rPr>
          <w:rFonts w:hint="cs"/>
          <w:b/>
          <w:bCs/>
          <w:sz w:val="20"/>
          <w:szCs w:val="20"/>
          <w:rtl/>
        </w:rPr>
        <w:t xml:space="preserve">, </w:t>
      </w:r>
      <w:r w:rsidRPr="000C249B">
        <w:rPr>
          <w:rFonts w:hint="cs"/>
          <w:b/>
          <w:bCs/>
          <w:i/>
          <w:iCs/>
          <w:sz w:val="20"/>
          <w:szCs w:val="20"/>
          <w:rtl/>
        </w:rPr>
        <w:t>משפטית,</w:t>
      </w:r>
      <w:r w:rsidRPr="000C249B">
        <w:rPr>
          <w:b/>
          <w:bCs/>
          <w:sz w:val="20"/>
          <w:szCs w:val="20"/>
          <w:rtl/>
        </w:rPr>
        <w:t xml:space="preserve"> הוא, </w:t>
      </w:r>
      <w:r w:rsidRPr="000C249B">
        <w:rPr>
          <w:b/>
          <w:bCs/>
          <w:i/>
          <w:iCs/>
          <w:sz w:val="20"/>
          <w:szCs w:val="20"/>
          <w:rtl/>
        </w:rPr>
        <w:t>שאין שינוי דרסטי</w:t>
      </w:r>
      <w:r w:rsidRPr="000C249B">
        <w:rPr>
          <w:b/>
          <w:bCs/>
          <w:sz w:val="20"/>
          <w:szCs w:val="20"/>
          <w:rtl/>
        </w:rPr>
        <w:t xml:space="preserve"> מבחינת מערך הכוחות הבסיסי של השחקנים המשתתפים בדיאלוג הקונסטיטוציוני. </w:t>
      </w:r>
    </w:p>
    <w:p w:rsidR="005366A8" w:rsidRPr="000C249B" w:rsidRDefault="005366A8" w:rsidP="005366A8">
      <w:pPr>
        <w:spacing w:after="60"/>
        <w:rPr>
          <w:sz w:val="20"/>
          <w:szCs w:val="20"/>
          <w:rtl/>
        </w:rPr>
      </w:pPr>
      <w:r w:rsidRPr="005A027D">
        <w:rPr>
          <w:b/>
          <w:bCs/>
          <w:sz w:val="20"/>
          <w:szCs w:val="20"/>
          <w:highlight w:val="yellow"/>
          <w:rtl/>
        </w:rPr>
        <w:t xml:space="preserve">עם זאת, אם קודם היו כלי-משחק קונבנציונליים בידי כל צד (ביקורת שיפוטית מנהלית וחקיקה רגילה), הרי כעת יש בידי שניהם כלי-משחק בלתי קונבנציונליים (ביקורת </w:t>
      </w:r>
      <w:r>
        <w:rPr>
          <w:rFonts w:hint="cs"/>
          <w:b/>
          <w:bCs/>
          <w:sz w:val="20"/>
          <w:szCs w:val="20"/>
          <w:highlight w:val="yellow"/>
          <w:rtl/>
        </w:rPr>
        <w:t xml:space="preserve">שיפוטית </w:t>
      </w:r>
      <w:r w:rsidRPr="005A027D">
        <w:rPr>
          <w:b/>
          <w:bCs/>
          <w:sz w:val="20"/>
          <w:szCs w:val="20"/>
          <w:highlight w:val="yellow"/>
          <w:rtl/>
        </w:rPr>
        <w:t>חוקתית</w:t>
      </w:r>
      <w:r>
        <w:rPr>
          <w:rFonts w:hint="cs"/>
          <w:b/>
          <w:bCs/>
          <w:sz w:val="20"/>
          <w:szCs w:val="20"/>
          <w:highlight w:val="yellow"/>
          <w:rtl/>
        </w:rPr>
        <w:t>,</w:t>
      </w:r>
      <w:r w:rsidRPr="005A027D">
        <w:rPr>
          <w:b/>
          <w:bCs/>
          <w:sz w:val="20"/>
          <w:szCs w:val="20"/>
          <w:highlight w:val="yellow"/>
          <w:rtl/>
        </w:rPr>
        <w:t xml:space="preserve"> ו</w:t>
      </w:r>
      <w:r>
        <w:rPr>
          <w:rFonts w:hint="cs"/>
          <w:b/>
          <w:bCs/>
          <w:sz w:val="20"/>
          <w:szCs w:val="20"/>
          <w:highlight w:val="yellow"/>
          <w:rtl/>
        </w:rPr>
        <w:t xml:space="preserve">מנגד, </w:t>
      </w:r>
      <w:r w:rsidRPr="005A027D">
        <w:rPr>
          <w:b/>
          <w:bCs/>
          <w:sz w:val="20"/>
          <w:szCs w:val="20"/>
          <w:highlight w:val="yellow"/>
          <w:rtl/>
        </w:rPr>
        <w:t xml:space="preserve">סמכות </w:t>
      </w:r>
      <w:r>
        <w:rPr>
          <w:rFonts w:hint="cs"/>
          <w:b/>
          <w:bCs/>
          <w:sz w:val="20"/>
          <w:szCs w:val="20"/>
          <w:highlight w:val="yellow"/>
          <w:rtl/>
        </w:rPr>
        <w:t>ה</w:t>
      </w:r>
      <w:r w:rsidRPr="005A027D">
        <w:rPr>
          <w:b/>
          <w:bCs/>
          <w:sz w:val="20"/>
          <w:szCs w:val="20"/>
          <w:highlight w:val="yellow"/>
          <w:rtl/>
        </w:rPr>
        <w:t>כינון</w:t>
      </w:r>
      <w:r>
        <w:rPr>
          <w:rFonts w:hint="cs"/>
          <w:b/>
          <w:bCs/>
          <w:sz w:val="20"/>
          <w:szCs w:val="20"/>
          <w:highlight w:val="yellow"/>
          <w:rtl/>
        </w:rPr>
        <w:t xml:space="preserve"> הנתונה לכנסת</w:t>
      </w:r>
      <w:r w:rsidRPr="005A027D">
        <w:rPr>
          <w:b/>
          <w:bCs/>
          <w:sz w:val="20"/>
          <w:szCs w:val="20"/>
          <w:highlight w:val="yellow"/>
          <w:rtl/>
        </w:rPr>
        <w:t xml:space="preserve">). כלים המשפיעים לא רק על הפתרון של שאלה קונקרטית, אלא גם כלים כדי לשנות אד-הוק את המסגרת הכוללת שהמשחק מתנהל בה ולנסות לקדם על-ידי כך את מעמדו שלו </w:t>
      </w:r>
      <w:r>
        <w:rPr>
          <w:rFonts w:hint="cs"/>
          <w:b/>
          <w:bCs/>
          <w:sz w:val="20"/>
          <w:szCs w:val="20"/>
          <w:highlight w:val="yellow"/>
          <w:rtl/>
        </w:rPr>
        <w:t xml:space="preserve">כאחד הצדדים המתחרים </w:t>
      </w:r>
      <w:r w:rsidRPr="005A027D">
        <w:rPr>
          <w:b/>
          <w:bCs/>
          <w:sz w:val="20"/>
          <w:szCs w:val="20"/>
          <w:highlight w:val="yellow"/>
          <w:rtl/>
        </w:rPr>
        <w:t>במשחק</w:t>
      </w:r>
      <w:r w:rsidRPr="000C249B">
        <w:rPr>
          <w:sz w:val="20"/>
          <w:szCs w:val="20"/>
          <w:rtl/>
        </w:rPr>
        <w:t>.</w:t>
      </w:r>
    </w:p>
    <w:p w:rsidR="005366A8" w:rsidRDefault="005366A8" w:rsidP="005366A8">
      <w:pPr>
        <w:spacing w:after="60"/>
        <w:rPr>
          <w:sz w:val="20"/>
          <w:szCs w:val="20"/>
          <w:rtl/>
        </w:rPr>
      </w:pPr>
      <w:r w:rsidRPr="000C249B">
        <w:rPr>
          <w:rFonts w:hint="cs"/>
          <w:sz w:val="20"/>
          <w:szCs w:val="20"/>
          <w:rtl/>
        </w:rPr>
        <w:t>(6</w:t>
      </w:r>
      <w:r w:rsidRPr="000C249B">
        <w:rPr>
          <w:sz w:val="20"/>
          <w:szCs w:val="20"/>
          <w:rtl/>
        </w:rPr>
        <w:t xml:space="preserve">) </w:t>
      </w:r>
      <w:r w:rsidRPr="00F30266">
        <w:rPr>
          <w:rFonts w:hint="cs"/>
          <w:b/>
          <w:bCs/>
          <w:sz w:val="20"/>
          <w:szCs w:val="20"/>
          <w:rtl/>
        </w:rPr>
        <w:t>ביקורת מטא-טקסטואלית</w:t>
      </w:r>
      <w:r>
        <w:rPr>
          <w:rFonts w:hint="cs"/>
          <w:sz w:val="20"/>
          <w:szCs w:val="20"/>
          <w:rtl/>
        </w:rPr>
        <w:t xml:space="preserve">: </w:t>
      </w:r>
      <w:r w:rsidRPr="000C249B">
        <w:rPr>
          <w:sz w:val="20"/>
          <w:szCs w:val="20"/>
          <w:rtl/>
        </w:rPr>
        <w:t xml:space="preserve">לאמור כאן </w:t>
      </w:r>
      <w:r w:rsidRPr="000C249B">
        <w:rPr>
          <w:rFonts w:hint="cs"/>
          <w:sz w:val="20"/>
          <w:szCs w:val="20"/>
          <w:rtl/>
        </w:rPr>
        <w:t>ראוי</w:t>
      </w:r>
      <w:r w:rsidRPr="000C249B">
        <w:rPr>
          <w:sz w:val="20"/>
          <w:szCs w:val="20"/>
          <w:rtl/>
        </w:rPr>
        <w:t xml:space="preserve"> להוסיף את האפשרות </w:t>
      </w:r>
      <w:r w:rsidRPr="000C249B">
        <w:rPr>
          <w:rFonts w:hint="cs"/>
          <w:sz w:val="20"/>
          <w:szCs w:val="20"/>
          <w:rtl/>
        </w:rPr>
        <w:t xml:space="preserve">לפיה </w:t>
      </w:r>
      <w:r w:rsidRPr="000C249B">
        <w:rPr>
          <w:sz w:val="20"/>
          <w:szCs w:val="20"/>
          <w:rtl/>
        </w:rPr>
        <w:t xml:space="preserve">בית המשפט </w:t>
      </w:r>
      <w:r w:rsidRPr="000C249B">
        <w:rPr>
          <w:rFonts w:hint="cs"/>
          <w:sz w:val="20"/>
          <w:szCs w:val="20"/>
          <w:rtl/>
        </w:rPr>
        <w:t>עלול לה</w:t>
      </w:r>
      <w:r w:rsidRPr="000C249B">
        <w:rPr>
          <w:sz w:val="20"/>
          <w:szCs w:val="20"/>
          <w:rtl/>
        </w:rPr>
        <w:t>תערב ו</w:t>
      </w:r>
      <w:r w:rsidRPr="000C249B">
        <w:rPr>
          <w:rFonts w:hint="cs"/>
          <w:sz w:val="20"/>
          <w:szCs w:val="20"/>
          <w:rtl/>
        </w:rPr>
        <w:t>ל</w:t>
      </w:r>
      <w:r w:rsidRPr="000C249B">
        <w:rPr>
          <w:sz w:val="20"/>
          <w:szCs w:val="20"/>
          <w:rtl/>
        </w:rPr>
        <w:t>פסול גם פעולות של הכנסת בגדר כוחות הכינון שלה.</w:t>
      </w:r>
      <w:r>
        <w:rPr>
          <w:sz w:val="20"/>
          <w:szCs w:val="20"/>
          <w:rtl/>
        </w:rPr>
        <w:t xml:space="preserve"> </w:t>
      </w:r>
      <w:r w:rsidRPr="000C249B">
        <w:rPr>
          <w:sz w:val="20"/>
          <w:szCs w:val="20"/>
          <w:rtl/>
        </w:rPr>
        <w:t xml:space="preserve">ניתן להניח שזוהי דרך פעולה שבית המשפט ינקוט רק </w:t>
      </w:r>
      <w:r w:rsidRPr="0043195E">
        <w:rPr>
          <w:b/>
          <w:bCs/>
          <w:sz w:val="20"/>
          <w:szCs w:val="20"/>
          <w:rtl/>
        </w:rPr>
        <w:t xml:space="preserve">במצבים קיצוניים </w:t>
      </w:r>
      <w:r>
        <w:rPr>
          <w:rFonts w:hint="cs"/>
          <w:b/>
          <w:bCs/>
          <w:sz w:val="20"/>
          <w:szCs w:val="20"/>
          <w:rtl/>
        </w:rPr>
        <w:t>מאד</w:t>
      </w:r>
      <w:r w:rsidRPr="0043195E">
        <w:rPr>
          <w:rFonts w:hint="cs"/>
          <w:b/>
          <w:bCs/>
          <w:sz w:val="20"/>
          <w:szCs w:val="20"/>
          <w:rtl/>
        </w:rPr>
        <w:t xml:space="preserve"> </w:t>
      </w:r>
      <w:r w:rsidRPr="0043195E">
        <w:rPr>
          <w:b/>
          <w:bCs/>
          <w:sz w:val="20"/>
          <w:szCs w:val="20"/>
          <w:rtl/>
        </w:rPr>
        <w:t>–</w:t>
      </w:r>
      <w:r w:rsidRPr="0043195E">
        <w:rPr>
          <w:rFonts w:hint="cs"/>
          <w:b/>
          <w:bCs/>
          <w:sz w:val="20"/>
          <w:szCs w:val="20"/>
          <w:rtl/>
        </w:rPr>
        <w:t xml:space="preserve"> </w:t>
      </w:r>
      <w:r>
        <w:rPr>
          <w:rFonts w:hint="cs"/>
          <w:b/>
          <w:bCs/>
          <w:sz w:val="20"/>
          <w:szCs w:val="20"/>
          <w:rtl/>
        </w:rPr>
        <w:t xml:space="preserve">משמע, בעת </w:t>
      </w:r>
      <w:r w:rsidRPr="0043195E">
        <w:rPr>
          <w:rFonts w:hint="cs"/>
          <w:b/>
          <w:bCs/>
          <w:sz w:val="20"/>
          <w:szCs w:val="20"/>
          <w:rtl/>
        </w:rPr>
        <w:t>פגיעה קשה באושיות המדינה/ בעקרונות היסוד שלה</w:t>
      </w:r>
      <w:r w:rsidRPr="000C249B">
        <w:rPr>
          <w:sz w:val="20"/>
          <w:szCs w:val="20"/>
          <w:rtl/>
        </w:rPr>
        <w:t>.</w:t>
      </w:r>
      <w:r>
        <w:rPr>
          <w:sz w:val="20"/>
          <w:szCs w:val="20"/>
          <w:rtl/>
        </w:rPr>
        <w:t xml:space="preserve"> </w:t>
      </w:r>
      <w:r w:rsidRPr="000C249B">
        <w:rPr>
          <w:sz w:val="20"/>
          <w:szCs w:val="20"/>
          <w:rtl/>
        </w:rPr>
        <w:t>[ההשלכות הפוליטיות האפשריות קשות].</w:t>
      </w:r>
      <w:r>
        <w:rPr>
          <w:rFonts w:hint="cs"/>
          <w:sz w:val="20"/>
          <w:szCs w:val="20"/>
          <w:rtl/>
        </w:rPr>
        <w:t xml:space="preserve"> </w:t>
      </w:r>
    </w:p>
    <w:p w:rsidR="005366A8" w:rsidRDefault="005366A8" w:rsidP="005366A8">
      <w:pPr>
        <w:spacing w:after="60"/>
        <w:rPr>
          <w:sz w:val="20"/>
          <w:szCs w:val="20"/>
          <w:rtl/>
        </w:rPr>
      </w:pPr>
      <w:r>
        <w:rPr>
          <w:rFonts w:hint="cs"/>
          <w:sz w:val="20"/>
          <w:szCs w:val="20"/>
          <w:rtl/>
        </w:rPr>
        <w:t>=-=</w:t>
      </w:r>
    </w:p>
    <w:p w:rsidR="005366A8" w:rsidRDefault="005366A8" w:rsidP="005366A8">
      <w:pPr>
        <w:spacing w:after="60"/>
        <w:rPr>
          <w:sz w:val="20"/>
          <w:szCs w:val="20"/>
          <w:rtl/>
        </w:rPr>
      </w:pPr>
      <w:r>
        <w:rPr>
          <w:rFonts w:hint="cs"/>
          <w:sz w:val="20"/>
          <w:szCs w:val="20"/>
          <w:rtl/>
        </w:rPr>
        <w:t>[תחילת דיון]</w:t>
      </w:r>
    </w:p>
    <w:p w:rsidR="005366A8" w:rsidRPr="008979DA" w:rsidRDefault="005366A8" w:rsidP="005366A8">
      <w:pPr>
        <w:spacing w:after="60"/>
        <w:jc w:val="center"/>
        <w:rPr>
          <w:b/>
          <w:bCs/>
          <w:highlight w:val="yellow"/>
          <w:u w:val="single"/>
          <w:rtl/>
        </w:rPr>
      </w:pPr>
      <w:r>
        <w:rPr>
          <w:rFonts w:hint="cs"/>
          <w:b/>
          <w:bCs/>
          <w:highlight w:val="yellow"/>
          <w:u w:val="single"/>
          <w:rtl/>
        </w:rPr>
        <w:t>ה</w:t>
      </w:r>
      <w:r w:rsidRPr="008979DA">
        <w:rPr>
          <w:rFonts w:hint="cs"/>
          <w:b/>
          <w:bCs/>
          <w:highlight w:val="yellow"/>
          <w:u w:val="single"/>
          <w:rtl/>
        </w:rPr>
        <w:t xml:space="preserve">ביקורת </w:t>
      </w:r>
      <w:r>
        <w:rPr>
          <w:rFonts w:hint="cs"/>
          <w:b/>
          <w:bCs/>
          <w:highlight w:val="yellow"/>
          <w:u w:val="single"/>
          <w:rtl/>
        </w:rPr>
        <w:t>ה</w:t>
      </w:r>
      <w:r w:rsidRPr="008979DA">
        <w:rPr>
          <w:rFonts w:hint="cs"/>
          <w:b/>
          <w:bCs/>
          <w:highlight w:val="yellow"/>
          <w:u w:val="single"/>
          <w:rtl/>
        </w:rPr>
        <w:t xml:space="preserve">שיפוטית מטא-טקסטואלית: </w:t>
      </w:r>
    </w:p>
    <w:p w:rsidR="005366A8" w:rsidRDefault="005366A8" w:rsidP="005366A8">
      <w:pPr>
        <w:spacing w:after="60"/>
        <w:jc w:val="center"/>
        <w:rPr>
          <w:b/>
          <w:bCs/>
          <w:sz w:val="20"/>
          <w:szCs w:val="20"/>
          <w:highlight w:val="yellow"/>
          <w:u w:val="single"/>
          <w:rtl/>
        </w:rPr>
      </w:pPr>
      <w:r w:rsidRPr="008979DA">
        <w:rPr>
          <w:rFonts w:hint="cs"/>
          <w:b/>
          <w:bCs/>
          <w:highlight w:val="yellow"/>
          <w:u w:val="single"/>
          <w:rtl/>
        </w:rPr>
        <w:t xml:space="preserve">ביקורת שיפוטית חוקתית </w:t>
      </w:r>
      <w:r w:rsidRPr="008979DA">
        <w:rPr>
          <w:rFonts w:hint="cs"/>
          <w:b/>
          <w:bCs/>
          <w:i/>
          <w:iCs/>
          <w:highlight w:val="yellow"/>
          <w:u w:val="single"/>
          <w:rtl/>
        </w:rPr>
        <w:t>מכוח ערכי היסוד, כלומר החוקה המהותית</w:t>
      </w:r>
      <w:r w:rsidRPr="008979DA">
        <w:rPr>
          <w:rFonts w:hint="cs"/>
          <w:b/>
          <w:bCs/>
          <w:highlight w:val="yellow"/>
          <w:u w:val="single"/>
          <w:rtl/>
        </w:rPr>
        <w:t xml:space="preserve"> </w:t>
      </w:r>
      <w:r w:rsidRPr="008979DA">
        <w:rPr>
          <w:b/>
          <w:bCs/>
          <w:highlight w:val="yellow"/>
          <w:u w:val="single"/>
          <w:rtl/>
        </w:rPr>
        <w:t>–</w:t>
      </w:r>
      <w:r w:rsidRPr="008979DA">
        <w:rPr>
          <w:rFonts w:hint="cs"/>
          <w:b/>
          <w:bCs/>
          <w:highlight w:val="yellow"/>
          <w:u w:val="single"/>
          <w:rtl/>
        </w:rPr>
        <w:t xml:space="preserve"> האם נתונה ומהם גבולותיה?</w:t>
      </w:r>
      <w:r w:rsidRPr="004A2B7E">
        <w:rPr>
          <w:rFonts w:hint="cs"/>
          <w:b/>
          <w:bCs/>
          <w:sz w:val="20"/>
          <w:szCs w:val="20"/>
          <w:highlight w:val="yellow"/>
          <w:u w:val="single"/>
          <w:rtl/>
        </w:rPr>
        <w:t xml:space="preserve"> </w:t>
      </w:r>
    </w:p>
    <w:p w:rsidR="005366A8" w:rsidRDefault="005366A8" w:rsidP="005366A8">
      <w:pPr>
        <w:spacing w:after="60"/>
        <w:rPr>
          <w:b/>
          <w:bCs/>
          <w:sz w:val="20"/>
          <w:szCs w:val="20"/>
          <w:highlight w:val="yellow"/>
          <w:u w:val="single"/>
          <w:rtl/>
        </w:rPr>
      </w:pPr>
    </w:p>
    <w:p w:rsidR="005366A8" w:rsidRDefault="005366A8" w:rsidP="005366A8">
      <w:pPr>
        <w:spacing w:after="60"/>
        <w:rPr>
          <w:b/>
          <w:bCs/>
          <w:sz w:val="20"/>
          <w:szCs w:val="20"/>
          <w:highlight w:val="yellow"/>
          <w:u w:val="single"/>
          <w:rtl/>
        </w:rPr>
      </w:pPr>
      <w:r w:rsidRPr="004A2B7E">
        <w:rPr>
          <w:b/>
          <w:bCs/>
          <w:sz w:val="20"/>
          <w:szCs w:val="20"/>
          <w:highlight w:val="yellow"/>
          <w:u w:val="single"/>
          <w:rtl/>
        </w:rPr>
        <w:t>הנשיא ברק בפס"ד התנועה לאיכות השלטון (חוק טל</w:t>
      </w:r>
      <w:r>
        <w:rPr>
          <w:rFonts w:hint="cs"/>
          <w:b/>
          <w:bCs/>
          <w:sz w:val="20"/>
          <w:szCs w:val="20"/>
          <w:highlight w:val="yellow"/>
          <w:u w:val="single"/>
          <w:rtl/>
        </w:rPr>
        <w:t xml:space="preserve"> 1</w:t>
      </w:r>
      <w:r w:rsidRPr="004A2B7E">
        <w:rPr>
          <w:b/>
          <w:bCs/>
          <w:sz w:val="20"/>
          <w:szCs w:val="20"/>
          <w:highlight w:val="yellow"/>
          <w:u w:val="single"/>
          <w:rtl/>
        </w:rPr>
        <w:t>)</w:t>
      </w:r>
      <w:r>
        <w:rPr>
          <w:rFonts w:hint="cs"/>
          <w:b/>
          <w:bCs/>
          <w:sz w:val="20"/>
          <w:szCs w:val="20"/>
          <w:highlight w:val="yellow"/>
          <w:u w:val="single"/>
          <w:rtl/>
        </w:rPr>
        <w:t xml:space="preserve">: </w:t>
      </w:r>
    </w:p>
    <w:p w:rsidR="005366A8" w:rsidRPr="004A2B7E" w:rsidRDefault="005366A8" w:rsidP="005366A8">
      <w:pPr>
        <w:spacing w:after="60"/>
        <w:rPr>
          <w:b/>
          <w:bCs/>
          <w:sz w:val="20"/>
          <w:szCs w:val="20"/>
          <w:u w:val="single"/>
          <w:rtl/>
        </w:rPr>
      </w:pPr>
      <w:r>
        <w:rPr>
          <w:rFonts w:hint="cs"/>
          <w:b/>
          <w:bCs/>
          <w:sz w:val="20"/>
          <w:szCs w:val="20"/>
          <w:highlight w:val="yellow"/>
          <w:u w:val="single"/>
          <w:rtl/>
        </w:rPr>
        <w:t xml:space="preserve">[הוא מנהל כאן ויכוח </w:t>
      </w:r>
      <w:r w:rsidRPr="00CD3629">
        <w:rPr>
          <w:rFonts w:hint="cs"/>
          <w:b/>
          <w:bCs/>
          <w:i/>
          <w:iCs/>
          <w:sz w:val="20"/>
          <w:szCs w:val="20"/>
          <w:highlight w:val="yellow"/>
          <w:u w:val="single"/>
          <w:rtl/>
        </w:rPr>
        <w:t>אחר</w:t>
      </w:r>
      <w:r>
        <w:rPr>
          <w:rFonts w:hint="cs"/>
          <w:b/>
          <w:bCs/>
          <w:sz w:val="20"/>
          <w:szCs w:val="20"/>
          <w:highlight w:val="yellow"/>
          <w:u w:val="single"/>
          <w:rtl/>
        </w:rPr>
        <w:t xml:space="preserve"> עם השופט חשין, שרוצה להפעיל כאן את הביקורת המטא-טקסטואלית, קרי את הביקורת מכוח החוקה המהותית]</w:t>
      </w:r>
      <w:r w:rsidRPr="004A2B7E">
        <w:rPr>
          <w:b/>
          <w:bCs/>
          <w:sz w:val="20"/>
          <w:szCs w:val="20"/>
          <w:highlight w:val="yellow"/>
          <w:u w:val="single"/>
          <w:rtl/>
        </w:rPr>
        <w:t>:</w:t>
      </w:r>
    </w:p>
    <w:p w:rsidR="005366A8" w:rsidRPr="00645980" w:rsidRDefault="005366A8" w:rsidP="005366A8">
      <w:pPr>
        <w:pStyle w:val="ruller40"/>
        <w:spacing w:after="60" w:line="240" w:lineRule="auto"/>
        <w:rPr>
          <w:rFonts w:cs="FrankRuehl"/>
          <w:rtl/>
        </w:rPr>
      </w:pPr>
      <w:r>
        <w:rPr>
          <w:rFonts w:cs="FrankRuehl" w:hint="cs"/>
          <w:rtl/>
        </w:rPr>
        <w:t xml:space="preserve">[בעקבות המהפכה החוקתית] </w:t>
      </w:r>
      <w:r w:rsidRPr="00645980">
        <w:rPr>
          <w:rFonts w:cs="FrankRuehl" w:hint="cs"/>
          <w:rtl/>
        </w:rPr>
        <w:t xml:space="preserve">הצורך להיזקק לשאלת החוקתיות של חקיקה מחוץ למסגרת של חוקי היסוד קטן עד מאוד. צורך זה אינו קיים במקרה שלפנינו. זאת, משום שבפסק דיננו קבענו כי השוויון – עד כמה שיש בו ביטוי לאוטונומיה של הרצון הפרטי, חופש בחירה וחופש פעולה – נכלל בכבוד האדם. כן קבענו כי לשוויון זה מוענק מעמד חוקתי-על-חוקי. מכוחה של הכרעה זו קבענו כי </w:t>
      </w:r>
      <w:r w:rsidRPr="00645980">
        <w:rPr>
          <w:rFonts w:cs="FrankRuehl" w:hint="cs"/>
          <w:spacing w:val="0"/>
          <w:rtl/>
        </w:rPr>
        <w:t xml:space="preserve">חוק דחיית השירות </w:t>
      </w:r>
      <w:r w:rsidRPr="00645980">
        <w:rPr>
          <w:rFonts w:cs="FrankRuehl" w:hint="cs"/>
          <w:rtl/>
        </w:rPr>
        <w:t xml:space="preserve">פוגע בכבוד האדם. הוספנו וקבענו כי חוקתיותו תיקבע על פי מידתיותו. במצב דברים זה אין מקום לבחון את חוקתיותו של </w:t>
      </w:r>
      <w:r w:rsidRPr="00645980">
        <w:rPr>
          <w:rFonts w:cs="FrankRuehl" w:hint="cs"/>
          <w:spacing w:val="0"/>
          <w:rtl/>
        </w:rPr>
        <w:t xml:space="preserve">חוק דחיית שירות </w:t>
      </w:r>
      <w:r w:rsidRPr="00645980">
        <w:rPr>
          <w:rFonts w:cs="FrankRuehl" w:hint="cs"/>
          <w:rtl/>
        </w:rPr>
        <w:t xml:space="preserve">ביחס לערכים ולעקרונות שאינם מהווים חלק מחוקי היסוד. </w:t>
      </w:r>
    </w:p>
    <w:p w:rsidR="005366A8" w:rsidRPr="00645980" w:rsidRDefault="005366A8" w:rsidP="005366A8">
      <w:pPr>
        <w:pStyle w:val="ruller40"/>
        <w:spacing w:after="60" w:line="240" w:lineRule="auto"/>
        <w:rPr>
          <w:rFonts w:cs="FrankRuehl"/>
          <w:rtl/>
        </w:rPr>
      </w:pPr>
      <w:r w:rsidRPr="00645980">
        <w:rPr>
          <w:rFonts w:cs="FrankRuehl" w:hint="cs"/>
          <w:spacing w:val="0"/>
          <w:u w:val="single"/>
          <w:rtl/>
        </w:rPr>
        <w:t>שנית</w:t>
      </w:r>
      <w:r w:rsidRPr="00645980">
        <w:rPr>
          <w:rFonts w:cs="FrankRuehl" w:hint="cs"/>
          <w:rtl/>
        </w:rPr>
        <w:t>, גם אם קיים תחום צר שבמסגרתו ניתן לבחון את חוקתיותו של חוק שלא במסגרת חוקי היסוד, המקרה שלפנינו אינו נופל לתחום זה. במקום אחר עמדתי על הגבלה המוטלת על הכוח לשנות חוקה (בעיית השינוי החוקתי הלא חוקתי), תוך שציינתי: </w:t>
      </w:r>
    </w:p>
    <w:p w:rsidR="005366A8" w:rsidRPr="00645980" w:rsidRDefault="005366A8" w:rsidP="005366A8">
      <w:pPr>
        <w:pStyle w:val="ruller5"/>
        <w:spacing w:after="60"/>
        <w:ind w:left="720" w:right="851"/>
        <w:rPr>
          <w:rFonts w:cs="FrankRuehl"/>
          <w:rtl/>
        </w:rPr>
      </w:pPr>
      <w:r w:rsidRPr="00645980">
        <w:rPr>
          <w:rFonts w:cs="FrankRuehl" w:hint="cs"/>
          <w:rtl/>
        </w:rPr>
        <w:t>"הגבלה זו על כוחו של המחוקק חלה במקרים מיוחדים ויוצאי דופן שבהם השינוי החוקתי פוגע בליבת הדמוקרטיה ושולל את תכונות המינימום הדרושות למשטר דמוקרטי" (</w:t>
      </w:r>
      <w:r w:rsidRPr="00645980">
        <w:rPr>
          <w:rFonts w:cs="FrankRuehl" w:hint="cs"/>
          <w:spacing w:val="0"/>
          <w:rtl/>
        </w:rPr>
        <w:t xml:space="preserve">שופט בחברה דמוקרטית </w:t>
      </w:r>
      <w:r w:rsidRPr="00645980">
        <w:rPr>
          <w:rFonts w:cs="FrankRuehl" w:hint="cs"/>
          <w:rtl/>
        </w:rPr>
        <w:t>99).</w:t>
      </w:r>
      <w:r>
        <w:rPr>
          <w:rFonts w:cs="FrankRuehl" w:hint="cs"/>
          <w:rtl/>
        </w:rPr>
        <w:t xml:space="preserve"> </w:t>
      </w:r>
    </w:p>
    <w:p w:rsidR="005366A8" w:rsidRPr="00645980" w:rsidRDefault="005366A8" w:rsidP="005366A8">
      <w:pPr>
        <w:pStyle w:val="ruller40"/>
        <w:spacing w:after="60" w:line="240" w:lineRule="auto"/>
        <w:rPr>
          <w:rFonts w:cs="FrankRuehl"/>
          <w:rtl/>
        </w:rPr>
      </w:pPr>
      <w:r w:rsidRPr="00645980">
        <w:rPr>
          <w:rFonts w:cs="FrankRuehl" w:hint="cs"/>
          <w:rtl/>
        </w:rPr>
        <w:t>באחת הפרשות, נטען כי חוק שפגע בחופש העיסוק שבחוק-יסוד: חופש העיסוק, ושאינו עומד בתנאיה של פסקת ההגבלה, אינו חוקתי חרף העובדה שהוא עומד בתנאיה של פסקת ההתגברות ("חוק חורג") . אי החוקתיות שנטענה היתה בהיות החוק נוגד את ערכיה של מדינת ישראל. בדחותי טענה זו כתבתי:</w:t>
      </w:r>
      <w:r>
        <w:rPr>
          <w:rFonts w:cs="FrankRuehl" w:hint="cs"/>
          <w:rtl/>
        </w:rPr>
        <w:t xml:space="preserve"> </w:t>
      </w:r>
    </w:p>
    <w:p w:rsidR="005366A8" w:rsidRPr="00645980" w:rsidRDefault="005366A8" w:rsidP="005366A8">
      <w:pPr>
        <w:pStyle w:val="ruller5"/>
        <w:tabs>
          <w:tab w:val="left" w:pos="9353"/>
        </w:tabs>
        <w:spacing w:after="60"/>
        <w:ind w:left="720" w:right="851"/>
        <w:rPr>
          <w:rFonts w:cs="FrankRuehl"/>
          <w:rtl/>
        </w:rPr>
      </w:pPr>
      <w:r w:rsidRPr="00645980">
        <w:rPr>
          <w:rFonts w:cs="FrankRuehl" w:hint="cs"/>
          <w:rtl/>
        </w:rPr>
        <w:t xml:space="preserve">"גם אם נניח – בלא להכריע בדבר – כי קיימים עקרונות יסוד ומטרות אשר חוק חורג אינו יכול לפגוע בהם, הרי אלה הם בוודאי עקרונות יסוד ומטרות אשר כל המבנה החוקתי שלנו, לרבות חוקי היסוד עצמם, מושתתים עליהם, ואשר הפגיעה בהם היא מהותית וקשה" (בג"ץ 4676/94 </w:t>
      </w:r>
      <w:r w:rsidRPr="00645980">
        <w:rPr>
          <w:rFonts w:cs="FrankRuehl" w:hint="cs"/>
          <w:spacing w:val="0"/>
          <w:rtl/>
        </w:rPr>
        <w:t xml:space="preserve">מיטראל בע"מ נ' כנסת ישראל, </w:t>
      </w:r>
      <w:r w:rsidRPr="00645980">
        <w:rPr>
          <w:rFonts w:cs="FrankRuehl" w:hint="cs"/>
          <w:rtl/>
        </w:rPr>
        <w:t>פ"ד כ(3) 15, 28). </w:t>
      </w:r>
    </w:p>
    <w:p w:rsidR="005366A8" w:rsidRPr="00645980" w:rsidRDefault="005366A8" w:rsidP="005366A8">
      <w:pPr>
        <w:spacing w:after="60"/>
        <w:rPr>
          <w:rFonts w:cs="FrankRuehl"/>
          <w:sz w:val="22"/>
          <w:szCs w:val="22"/>
          <w:rtl/>
        </w:rPr>
      </w:pPr>
      <w:r w:rsidRPr="00B156DC">
        <w:rPr>
          <w:rFonts w:cs="FrankRuehl" w:hint="cs"/>
          <w:sz w:val="22"/>
          <w:szCs w:val="22"/>
          <w:highlight w:val="yellow"/>
          <w:rtl/>
        </w:rPr>
        <w:t>על כן, יש מקום לתפיסה כי חוק או חוק-יסוד, אשר ישללו את אופייה של ישראל כמדינה יהודית או דמוקרטית, אינו חוקתי. העם, הריבון, לא הסמיך לכך את הכנסת שלנו. זו הוסמכה לפעול במסגרת עקרונות היסוד של המשטר. היא לא הוסמכה לבטלם.</w:t>
      </w:r>
      <w:r w:rsidRPr="00645980">
        <w:rPr>
          <w:rFonts w:cs="FrankRuehl" w:hint="cs"/>
          <w:sz w:val="22"/>
          <w:szCs w:val="22"/>
          <w:rtl/>
        </w:rPr>
        <w:t xml:space="preserve"> המקרה שלפנינו אינו נופל למסגרת צרה זו. הוא רחוק ממנה מרחק רב. חוק דחיית שירות אינו פוגע בליבת הדמוקרטיה. הוא אינו שולל את תכונות המינימום הדרושות למשטר דמוקרטי. אמת, הוא פוגע פגיעה קשה בכבוד האדם. פגיעה זו נעשית במסגרת ההסדר הדמוקרטי שלנו. אין כל פגיעה בליבת הדמוקרטיה אם המדינה מחליטה לצמצם או להרחיב את הגיוס לצבאה. אמת, השוויון בין אזרחים נפגע במקרה שלפנינו; כבוד האדם נפגע; הפגיעה היא קשה. אך מכאן ועד למסקנה כי פגיעה זו מהווה פגיעה בליבת הדמוקרטיה, ובדרישות המינימום לאופייה של מדינה כדמוקרטית, רחוקה הדרך. פגיעתו של חוק דחיית השירות אינה שונה באופן מהותי מפגיעות רבות אחרות בזכויות אדם הנבחנות במסגרת חוקי היסוד על דבר זכויות האדם.</w:t>
      </w:r>
    </w:p>
    <w:p w:rsidR="005366A8" w:rsidRDefault="005366A8" w:rsidP="005366A8">
      <w:pPr>
        <w:spacing w:after="60"/>
        <w:rPr>
          <w:sz w:val="20"/>
          <w:szCs w:val="20"/>
          <w:rtl/>
        </w:rPr>
      </w:pPr>
      <w:r>
        <w:rPr>
          <w:rFonts w:hint="cs"/>
          <w:sz w:val="20"/>
          <w:szCs w:val="20"/>
          <w:rtl/>
        </w:rPr>
        <w:t>=-=</w:t>
      </w:r>
    </w:p>
    <w:p w:rsidR="005366A8" w:rsidRDefault="005366A8" w:rsidP="005366A8">
      <w:pPr>
        <w:spacing w:after="60"/>
        <w:rPr>
          <w:rFonts w:ascii="Arial" w:hAnsi="Arial" w:cs="Arial"/>
          <w:b/>
          <w:bCs/>
          <w:sz w:val="22"/>
          <w:szCs w:val="22"/>
          <w:rtl/>
        </w:rPr>
      </w:pPr>
    </w:p>
    <w:p w:rsidR="005366A8" w:rsidRPr="00FF57D6" w:rsidRDefault="005366A8" w:rsidP="005366A8">
      <w:pPr>
        <w:spacing w:after="240"/>
        <w:jc w:val="center"/>
        <w:rPr>
          <w:rFonts w:ascii="Arial" w:hAnsi="Arial" w:cs="Arial"/>
          <w:sz w:val="18"/>
          <w:szCs w:val="18"/>
          <w:rtl/>
        </w:rPr>
      </w:pPr>
      <w:r>
        <w:rPr>
          <w:rFonts w:ascii="Arial" w:hAnsi="Arial" w:cs="Arial" w:hint="cs"/>
          <w:sz w:val="20"/>
          <w:szCs w:val="20"/>
          <w:u w:val="single"/>
          <w:rtl/>
        </w:rPr>
        <w:t xml:space="preserve">וראו עוד, </w:t>
      </w:r>
      <w:r w:rsidRPr="00B91713">
        <w:rPr>
          <w:rFonts w:ascii="Arial" w:hAnsi="Arial" w:cs="Arial"/>
          <w:sz w:val="20"/>
          <w:szCs w:val="20"/>
          <w:highlight w:val="yellow"/>
          <w:u w:val="single"/>
          <w:rtl/>
        </w:rPr>
        <w:t xml:space="preserve">בג"צ 5160/99 </w:t>
      </w:r>
      <w:r w:rsidRPr="00B91713">
        <w:rPr>
          <w:rFonts w:ascii="Arial" w:hAnsi="Arial" w:cs="Arial"/>
          <w:b/>
          <w:bCs/>
          <w:sz w:val="20"/>
          <w:szCs w:val="20"/>
          <w:highlight w:val="yellow"/>
          <w:u w:val="single"/>
          <w:rtl/>
        </w:rPr>
        <w:t>התנועה למען איכות השלטון בישראל נ' ועדת חוקה חוק ומשפט</w:t>
      </w:r>
      <w:r w:rsidRPr="00B91713">
        <w:rPr>
          <w:rFonts w:ascii="Arial" w:hAnsi="Arial" w:cs="Arial"/>
          <w:sz w:val="20"/>
          <w:szCs w:val="20"/>
          <w:highlight w:val="yellow"/>
          <w:u w:val="single"/>
          <w:rtl/>
        </w:rPr>
        <w:t>, פ"ד נג(4) 481</w:t>
      </w:r>
      <w:r>
        <w:rPr>
          <w:rFonts w:ascii="Arial" w:hAnsi="Arial" w:cs="Arial" w:hint="cs"/>
          <w:sz w:val="20"/>
          <w:szCs w:val="20"/>
          <w:rtl/>
        </w:rPr>
        <w:t xml:space="preserve"> [השו' דורנר]</w:t>
      </w:r>
    </w:p>
    <w:p w:rsidR="005366A8" w:rsidRPr="00C27198" w:rsidRDefault="005366A8" w:rsidP="005366A8">
      <w:pPr>
        <w:pStyle w:val="BodyText3"/>
        <w:spacing w:after="60"/>
        <w:rPr>
          <w:rFonts w:cs="FrankRuehl"/>
          <w:sz w:val="22"/>
          <w:rtl/>
        </w:rPr>
      </w:pPr>
      <w:r w:rsidRPr="00FF57D6">
        <w:rPr>
          <w:sz w:val="18"/>
          <w:szCs w:val="18"/>
          <w:rtl/>
        </w:rPr>
        <w:t>1</w:t>
      </w:r>
      <w:r w:rsidRPr="00C27198">
        <w:rPr>
          <w:rFonts w:cs="FrankRuehl"/>
          <w:sz w:val="22"/>
          <w:rtl/>
        </w:rPr>
        <w:t xml:space="preserve">. בתאריך 1.8.99 אישרה הכנסת ברוב חבריה, בכל שלבי החקיקה, את חוק-יסוד: הממשלה (תיקון מספר 9) (להלן: התיקון), </w:t>
      </w:r>
      <w:r w:rsidRPr="00B156DC">
        <w:rPr>
          <w:rFonts w:cs="FrankRuehl"/>
          <w:sz w:val="22"/>
          <w:highlight w:val="yellow"/>
          <w:u w:val="single"/>
          <w:rtl/>
        </w:rPr>
        <w:t>אשר בגידרו בוטלה המיגבלה שנקבעה בסעיף 33(א) לחוק-יסוד: הממשלה, שלפיה מספר חברי הממשלה לא יעלה על 18</w:t>
      </w:r>
      <w:r w:rsidRPr="00C27198">
        <w:rPr>
          <w:rFonts w:cs="FrankRuehl"/>
          <w:sz w:val="22"/>
          <w:rtl/>
        </w:rPr>
        <w:t xml:space="preserve">. </w:t>
      </w:r>
      <w:r w:rsidRPr="00C27198">
        <w:rPr>
          <w:rFonts w:cs="FrankRuehl" w:hint="cs"/>
          <w:sz w:val="22"/>
          <w:rtl/>
        </w:rPr>
        <w:t>[...]</w:t>
      </w:r>
    </w:p>
    <w:p w:rsidR="005366A8" w:rsidRPr="00C27198" w:rsidRDefault="005366A8" w:rsidP="005366A8">
      <w:pPr>
        <w:pStyle w:val="BodyText3"/>
        <w:spacing w:after="60"/>
        <w:rPr>
          <w:rFonts w:cs="FrankRuehl"/>
          <w:sz w:val="22"/>
          <w:rtl/>
        </w:rPr>
      </w:pPr>
      <w:r w:rsidRPr="00C27198">
        <w:rPr>
          <w:rFonts w:cs="FrankRuehl"/>
          <w:sz w:val="22"/>
          <w:rtl/>
        </w:rPr>
        <w:t>2. בעתירה שבפנינו ביקשה העותרת כי נכריז על בטלותו של התיקון האמור, וזאת מטעמים אחדים:</w:t>
      </w:r>
      <w:r w:rsidRPr="00C27198">
        <w:rPr>
          <w:rFonts w:cs="FrankRuehl" w:hint="cs"/>
          <w:sz w:val="22"/>
          <w:rtl/>
        </w:rPr>
        <w:t xml:space="preserve"> [...]</w:t>
      </w:r>
      <w:r w:rsidRPr="00C27198">
        <w:rPr>
          <w:rFonts w:cs="FrankRuehl"/>
          <w:sz w:val="22"/>
          <w:rtl/>
        </w:rPr>
        <w:t xml:space="preserve"> </w:t>
      </w:r>
      <w:r w:rsidRPr="00C27198">
        <w:rPr>
          <w:rFonts w:cs="FrankRuehl"/>
          <w:sz w:val="22"/>
          <w:highlight w:val="yellow"/>
          <w:rtl/>
        </w:rPr>
        <w:t>חמישית, העותרת טענה כנגד סבירותו של התיקון והמניעים לקבלתו.</w:t>
      </w:r>
      <w:r w:rsidRPr="00C27198">
        <w:rPr>
          <w:rFonts w:cs="FrankRuehl"/>
          <w:sz w:val="22"/>
          <w:rtl/>
        </w:rPr>
        <w:t xml:space="preserve"> </w:t>
      </w:r>
    </w:p>
    <w:p w:rsidR="005366A8" w:rsidRPr="00C27198" w:rsidRDefault="005366A8" w:rsidP="005366A8">
      <w:pPr>
        <w:pStyle w:val="BodyText3"/>
        <w:spacing w:after="60"/>
        <w:rPr>
          <w:rFonts w:cs="FrankRuehl"/>
          <w:sz w:val="22"/>
          <w:rtl/>
        </w:rPr>
      </w:pPr>
      <w:r w:rsidRPr="00C27198">
        <w:rPr>
          <w:rFonts w:cs="FrankRuehl"/>
          <w:sz w:val="22"/>
          <w:rtl/>
        </w:rPr>
        <w:t xml:space="preserve">7. </w:t>
      </w:r>
      <w:r w:rsidRPr="00C27198">
        <w:rPr>
          <w:rFonts w:cs="FrankRuehl"/>
          <w:sz w:val="22"/>
          <w:highlight w:val="yellow"/>
          <w:rtl/>
        </w:rPr>
        <w:t>טענתה האחרונה של העותרת מתייחסת לסבירות התיקון והמניעים לקבלתו.</w:t>
      </w:r>
      <w:r>
        <w:rPr>
          <w:rFonts w:cs="FrankRuehl"/>
          <w:sz w:val="22"/>
          <w:rtl/>
        </w:rPr>
        <w:t xml:space="preserve"> </w:t>
      </w:r>
      <w:r w:rsidRPr="00C27198">
        <w:rPr>
          <w:rFonts w:cs="FrankRuehl"/>
          <w:sz w:val="22"/>
          <w:rtl/>
        </w:rPr>
        <w:t>העותרת מציינת את העלויות הרבות, ולדעתה המיותרות, שיגרום התיקון. בתשובה לטענה זו כנראה לא למותר לציין, כי עצם העלות הכספית הכרוכה בביצוע חוק - ולא-כל-שכן חוק-יסוד - אינה מהווה פגם משפטי, ואינה מהווה נושא לביקורת שיפוטית. מקומה של ביקורת בעניין זה הוא במישור הציבורי בלבד.</w:t>
      </w:r>
    </w:p>
    <w:p w:rsidR="005366A8" w:rsidRPr="00C27198" w:rsidRDefault="005366A8" w:rsidP="005366A8">
      <w:pPr>
        <w:spacing w:after="60"/>
        <w:rPr>
          <w:rFonts w:cs="FrankRuehl"/>
          <w:sz w:val="22"/>
          <w:szCs w:val="22"/>
          <w:rtl/>
        </w:rPr>
      </w:pPr>
      <w:r w:rsidRPr="00C27198">
        <w:rPr>
          <w:rFonts w:cs="FrankRuehl"/>
          <w:sz w:val="22"/>
          <w:szCs w:val="22"/>
          <w:rtl/>
        </w:rPr>
        <w:t>התיקון נועד לתת מענה לרצונם של התומכים בממשלה שהוקמה לאחרונה להרחיב את שורותיה לנוכח ריבוי המפלגות התומכות בה והדרישה להרחבת ייצוגן. לא נטען, כי ב-18 שרים ושישה סגני-שרים אין די לניהול תקין של משרדי הממשלה. אכן, ככלל אין זה רצוי שחוקי-יסוד - המהווים פרקים של חוקת המדינה - יתקבלו או יתוקנו לצורך סיפוק צורכי-שעה</w:t>
      </w:r>
      <w:r w:rsidRPr="00C27198">
        <w:rPr>
          <w:rFonts w:cs="FrankRuehl" w:hint="cs"/>
          <w:sz w:val="22"/>
          <w:szCs w:val="22"/>
          <w:rtl/>
        </w:rPr>
        <w:t xml:space="preserve"> </w:t>
      </w:r>
      <w:r w:rsidRPr="00C27198">
        <w:rPr>
          <w:rFonts w:cs="FrankRuehl"/>
          <w:sz w:val="22"/>
          <w:szCs w:val="22"/>
          <w:rtl/>
        </w:rPr>
        <w:t>קואליציוניים.</w:t>
      </w:r>
    </w:p>
    <w:p w:rsidR="005366A8" w:rsidRPr="00C27198" w:rsidRDefault="005366A8" w:rsidP="005366A8">
      <w:pPr>
        <w:spacing w:after="60"/>
        <w:rPr>
          <w:rFonts w:ascii="Arial" w:hAnsi="Arial" w:cs="FrankRuehl"/>
          <w:sz w:val="22"/>
          <w:szCs w:val="22"/>
          <w:rtl/>
        </w:rPr>
      </w:pPr>
      <w:r w:rsidRPr="00C27198">
        <w:rPr>
          <w:rFonts w:cs="FrankRuehl"/>
          <w:sz w:val="22"/>
          <w:szCs w:val="22"/>
          <w:rtl/>
        </w:rPr>
        <w:t xml:space="preserve">עם זאת, במקרה שלפנינו אין מקום להתערבות שיפוטית. ספק רב אם מניעים לחקיקת חוק-יסוד - אף אם ניתן לטעון שאינם ראויים - עשויים כשלעצמם להוות פגם משפטי המהווה עילה לביקורת שיפוטית. על-כל-פנים, במניעי החקיקה במקרה זה, כמו גם בתוכן הפוליטי של התיקון, </w:t>
      </w:r>
      <w:r w:rsidRPr="00C27198">
        <w:rPr>
          <w:rFonts w:cs="FrankRuehl"/>
          <w:sz w:val="22"/>
          <w:szCs w:val="22"/>
          <w:highlight w:val="yellow"/>
          <w:rtl/>
        </w:rPr>
        <w:t xml:space="preserve">אין סתירה של עקרונות-על של שיטתנו. והלוא גם אלה שאינם שוללים על הסף את האפשרות מרחיקת-הלכת של ביקורת שיפוטית על תוכן חוקי-יסוד וחוקים שאינה מבוססת על טענה להפרת חוק-יסוד, מגבילים את האפשרות למקרים של פגיעה בעקרונות-על כאלה. ראו </w:t>
      </w:r>
      <w:r w:rsidRPr="00C27198">
        <w:rPr>
          <w:rFonts w:cs="FrankRuehl"/>
          <w:sz w:val="22"/>
          <w:szCs w:val="22"/>
          <w:rtl/>
        </w:rPr>
        <w:t>[תנועת לאו"ר].</w:t>
      </w:r>
    </w:p>
    <w:p w:rsidR="005366A8" w:rsidRDefault="005366A8" w:rsidP="005366A8">
      <w:pPr>
        <w:spacing w:after="60"/>
        <w:rPr>
          <w:rFonts w:ascii="Arial" w:hAnsi="Arial" w:cs="FrankRuehl"/>
          <w:b/>
          <w:bCs/>
          <w:sz w:val="22"/>
          <w:szCs w:val="22"/>
          <w:rtl/>
        </w:rPr>
      </w:pPr>
      <w:r w:rsidRPr="00C27198">
        <w:rPr>
          <w:rFonts w:ascii="Arial" w:hAnsi="Arial" w:cs="FrankRuehl" w:hint="cs"/>
          <w:b/>
          <w:bCs/>
          <w:sz w:val="22"/>
          <w:szCs w:val="22"/>
          <w:rtl/>
        </w:rPr>
        <w:t>=-=</w:t>
      </w:r>
    </w:p>
    <w:p w:rsidR="005366A8" w:rsidRDefault="005366A8" w:rsidP="005366A8">
      <w:pPr>
        <w:spacing w:after="60"/>
        <w:rPr>
          <w:rFonts w:ascii="Arial" w:hAnsi="Arial" w:cs="FrankRuehl"/>
          <w:b/>
          <w:bCs/>
          <w:sz w:val="22"/>
          <w:szCs w:val="22"/>
          <w:rtl/>
        </w:rPr>
      </w:pPr>
    </w:p>
    <w:p w:rsidR="005366A8" w:rsidRDefault="005366A8" w:rsidP="005366A8">
      <w:pPr>
        <w:spacing w:after="60"/>
        <w:rPr>
          <w:rFonts w:ascii="Arial" w:hAnsi="Arial" w:cs="FrankRuehl"/>
          <w:b/>
          <w:bCs/>
          <w:sz w:val="22"/>
          <w:szCs w:val="22"/>
          <w:rtl/>
        </w:rPr>
      </w:pPr>
      <w:r w:rsidRPr="00C1226F">
        <w:rPr>
          <w:rFonts w:ascii="Arial" w:hAnsi="Arial" w:cs="FrankRuehl" w:hint="cs"/>
          <w:b/>
          <w:bCs/>
          <w:sz w:val="22"/>
          <w:szCs w:val="22"/>
          <w:highlight w:val="yellow"/>
          <w:rtl/>
        </w:rPr>
        <w:t xml:space="preserve">פסק הדין המנחה בסוגייה זו, של הביקורת השיפוטית המטא-טקסטואלית הוא פסק דין </w:t>
      </w:r>
      <w:r w:rsidRPr="00C1226F">
        <w:rPr>
          <w:rFonts w:ascii="Arial" w:hAnsi="Arial" w:cs="FrankRuehl" w:hint="cs"/>
          <w:b/>
          <w:bCs/>
          <w:sz w:val="22"/>
          <w:szCs w:val="22"/>
          <w:highlight w:val="yellow"/>
          <w:u w:val="single"/>
          <w:rtl/>
        </w:rPr>
        <w:t>בר-און</w:t>
      </w:r>
      <w:r w:rsidRPr="00C1226F">
        <w:rPr>
          <w:rFonts w:ascii="Arial" w:hAnsi="Arial" w:cs="FrankRuehl" w:hint="cs"/>
          <w:b/>
          <w:bCs/>
          <w:sz w:val="22"/>
          <w:szCs w:val="22"/>
          <w:highlight w:val="yellow"/>
          <w:rtl/>
        </w:rPr>
        <w:t>, שאליו נגיע בפגישה הבאה.</w:t>
      </w:r>
    </w:p>
    <w:p w:rsidR="005366A8" w:rsidRDefault="005366A8" w:rsidP="005366A8">
      <w:pPr>
        <w:spacing w:after="60"/>
        <w:rPr>
          <w:rFonts w:ascii="Arial" w:hAnsi="Arial" w:cs="FrankRuehl"/>
          <w:b/>
          <w:bCs/>
          <w:sz w:val="22"/>
          <w:szCs w:val="22"/>
          <w:rtl/>
        </w:rPr>
      </w:pPr>
    </w:p>
    <w:p w:rsidR="005366A8" w:rsidRDefault="005366A8" w:rsidP="005366A8">
      <w:pPr>
        <w:spacing w:after="60"/>
        <w:rPr>
          <w:sz w:val="20"/>
          <w:szCs w:val="20"/>
          <w:rtl/>
        </w:rPr>
      </w:pPr>
      <w:r>
        <w:rPr>
          <w:rFonts w:hint="cs"/>
          <w:sz w:val="20"/>
          <w:szCs w:val="20"/>
          <w:rtl/>
        </w:rPr>
        <w:t>=-=</w:t>
      </w:r>
    </w:p>
    <w:p w:rsidR="005366A8" w:rsidRPr="00C27198" w:rsidRDefault="005366A8" w:rsidP="005366A8">
      <w:pPr>
        <w:spacing w:after="60"/>
        <w:rPr>
          <w:rFonts w:ascii="Arial" w:hAnsi="Arial" w:cs="FrankRuehl"/>
          <w:b/>
          <w:bCs/>
          <w:sz w:val="22"/>
          <w:szCs w:val="22"/>
          <w:rtl/>
        </w:rPr>
      </w:pPr>
    </w:p>
    <w:p w:rsidR="005366A8" w:rsidRPr="00C1226F" w:rsidRDefault="005366A8" w:rsidP="005366A8">
      <w:pPr>
        <w:spacing w:after="60"/>
        <w:rPr>
          <w:b/>
          <w:bCs/>
          <w:sz w:val="20"/>
          <w:szCs w:val="20"/>
          <w:u w:val="single"/>
          <w:rtl/>
        </w:rPr>
      </w:pPr>
      <w:r w:rsidRPr="00C1226F">
        <w:rPr>
          <w:rFonts w:hint="cs"/>
          <w:b/>
          <w:bCs/>
          <w:sz w:val="20"/>
          <w:szCs w:val="20"/>
          <w:highlight w:val="yellow"/>
          <w:u w:val="single"/>
          <w:rtl/>
        </w:rPr>
        <w:t>סיכום ביניים</w:t>
      </w:r>
    </w:p>
    <w:p w:rsidR="005366A8" w:rsidRPr="00CF1617" w:rsidRDefault="005366A8" w:rsidP="005366A8">
      <w:pPr>
        <w:spacing w:after="60"/>
        <w:jc w:val="center"/>
        <w:rPr>
          <w:rFonts w:ascii="Arial" w:hAnsi="Arial" w:cs="Guttman-Soncino"/>
          <w:b/>
          <w:bCs/>
          <w:sz w:val="32"/>
          <w:szCs w:val="32"/>
          <w:highlight w:val="yellow"/>
          <w:rtl/>
        </w:rPr>
      </w:pPr>
      <w:r w:rsidRPr="00CF1617">
        <w:rPr>
          <w:rFonts w:ascii="Arial" w:hAnsi="Arial" w:cs="Guttman-Soncino"/>
          <w:b/>
          <w:bCs/>
          <w:sz w:val="32"/>
          <w:szCs w:val="32"/>
          <w:highlight w:val="yellow"/>
          <w:rtl/>
        </w:rPr>
        <w:t>החוקה הפורמ</w:t>
      </w:r>
      <w:r w:rsidRPr="00CF1617">
        <w:rPr>
          <w:rFonts w:ascii="Arial" w:hAnsi="Arial" w:cs="Guttman-Soncino" w:hint="cs"/>
          <w:b/>
          <w:bCs/>
          <w:sz w:val="32"/>
          <w:szCs w:val="32"/>
          <w:highlight w:val="yellow"/>
          <w:rtl/>
        </w:rPr>
        <w:t>א</w:t>
      </w:r>
      <w:r w:rsidRPr="00CF1617">
        <w:rPr>
          <w:rFonts w:ascii="Arial" w:hAnsi="Arial" w:cs="Guttman-Soncino"/>
          <w:b/>
          <w:bCs/>
          <w:sz w:val="32"/>
          <w:szCs w:val="32"/>
          <w:highlight w:val="yellow"/>
          <w:rtl/>
        </w:rPr>
        <w:t>לית של ישראל</w:t>
      </w:r>
      <w:r w:rsidRPr="00CF1617">
        <w:rPr>
          <w:rFonts w:ascii="Arial" w:hAnsi="Arial" w:cs="Guttman-Soncino" w:hint="cs"/>
          <w:b/>
          <w:bCs/>
          <w:sz w:val="32"/>
          <w:szCs w:val="32"/>
          <w:highlight w:val="yellow"/>
          <w:rtl/>
        </w:rPr>
        <w:t>: חוקי היסו</w:t>
      </w:r>
      <w:r>
        <w:rPr>
          <w:rFonts w:ascii="Arial" w:hAnsi="Arial" w:cs="Guttman-Soncino" w:hint="cs"/>
          <w:b/>
          <w:bCs/>
          <w:sz w:val="32"/>
          <w:szCs w:val="32"/>
          <w:highlight w:val="yellow"/>
          <w:rtl/>
        </w:rPr>
        <w:t>ד שלה</w:t>
      </w:r>
    </w:p>
    <w:p w:rsidR="005366A8" w:rsidRPr="0049116E" w:rsidRDefault="005366A8" w:rsidP="005366A8">
      <w:pPr>
        <w:spacing w:after="60"/>
        <w:rPr>
          <w:rFonts w:ascii="Arial" w:hAnsi="Arial" w:cs="Arial"/>
          <w:b/>
          <w:bCs/>
          <w:szCs w:val="22"/>
          <w:rtl/>
        </w:rPr>
      </w:pPr>
      <w:r w:rsidRPr="0049116E">
        <w:rPr>
          <w:rFonts w:ascii="Arial" w:hAnsi="Arial" w:cs="Arial"/>
          <w:b/>
          <w:bCs/>
          <w:szCs w:val="22"/>
          <w:rtl/>
        </w:rPr>
        <w:t>שאלות המפתח</w:t>
      </w:r>
    </w:p>
    <w:p w:rsidR="005366A8" w:rsidRPr="00CF1617" w:rsidRDefault="005366A8" w:rsidP="005366A8">
      <w:pPr>
        <w:spacing w:after="60"/>
        <w:ind w:left="1440"/>
        <w:rPr>
          <w:b/>
          <w:bCs/>
          <w:sz w:val="20"/>
          <w:szCs w:val="20"/>
          <w:highlight w:val="yellow"/>
          <w:rtl/>
        </w:rPr>
      </w:pPr>
      <w:r w:rsidRPr="00CF1617">
        <w:rPr>
          <w:rFonts w:hint="cs"/>
          <w:b/>
          <w:bCs/>
          <w:sz w:val="20"/>
          <w:szCs w:val="20"/>
          <w:highlight w:val="yellow"/>
          <w:rtl/>
        </w:rPr>
        <w:t xml:space="preserve">האם נתונה </w:t>
      </w:r>
      <w:r>
        <w:rPr>
          <w:rFonts w:hint="cs"/>
          <w:b/>
          <w:bCs/>
          <w:sz w:val="20"/>
          <w:szCs w:val="20"/>
          <w:highlight w:val="yellow"/>
          <w:rtl/>
        </w:rPr>
        <w:t xml:space="preserve">לכנסת </w:t>
      </w:r>
      <w:r w:rsidRPr="00CF1617">
        <w:rPr>
          <w:rFonts w:hint="cs"/>
          <w:b/>
          <w:bCs/>
          <w:sz w:val="20"/>
          <w:szCs w:val="20"/>
          <w:highlight w:val="yellow"/>
          <w:rtl/>
        </w:rPr>
        <w:t>סמכות מכוננת?</w:t>
      </w:r>
    </w:p>
    <w:p w:rsidR="005366A8" w:rsidRDefault="005366A8" w:rsidP="005366A8">
      <w:pPr>
        <w:spacing w:after="60"/>
        <w:ind w:left="1440"/>
        <w:rPr>
          <w:b/>
          <w:bCs/>
          <w:sz w:val="20"/>
          <w:szCs w:val="20"/>
          <w:highlight w:val="yellow"/>
          <w:rtl/>
        </w:rPr>
      </w:pPr>
      <w:r w:rsidRPr="00CF1617">
        <w:rPr>
          <w:rFonts w:hint="cs"/>
          <w:b/>
          <w:bCs/>
          <w:sz w:val="20"/>
          <w:szCs w:val="20"/>
          <w:highlight w:val="yellow"/>
          <w:rtl/>
        </w:rPr>
        <w:t xml:space="preserve">האם </w:t>
      </w:r>
      <w:r>
        <w:rPr>
          <w:rFonts w:hint="cs"/>
          <w:b/>
          <w:bCs/>
          <w:sz w:val="20"/>
          <w:szCs w:val="20"/>
          <w:highlight w:val="yellow"/>
          <w:rtl/>
        </w:rPr>
        <w:t>היא הופעלה ו</w:t>
      </w:r>
      <w:r w:rsidRPr="00CF1617">
        <w:rPr>
          <w:rFonts w:hint="cs"/>
          <w:b/>
          <w:bCs/>
          <w:sz w:val="20"/>
          <w:szCs w:val="20"/>
          <w:highlight w:val="yellow"/>
          <w:rtl/>
        </w:rPr>
        <w:t>מכוחה נוצר</w:t>
      </w:r>
      <w:r>
        <w:rPr>
          <w:rFonts w:hint="cs"/>
          <w:b/>
          <w:bCs/>
          <w:sz w:val="20"/>
          <w:szCs w:val="20"/>
          <w:highlight w:val="yellow"/>
          <w:rtl/>
        </w:rPr>
        <w:t>ה</w:t>
      </w:r>
      <w:r w:rsidRPr="00CF1617">
        <w:rPr>
          <w:rFonts w:hint="cs"/>
          <w:b/>
          <w:bCs/>
          <w:sz w:val="20"/>
          <w:szCs w:val="20"/>
          <w:highlight w:val="yellow"/>
          <w:rtl/>
        </w:rPr>
        <w:t xml:space="preserve"> חוקה פורמאלית?</w:t>
      </w:r>
      <w:r>
        <w:rPr>
          <w:rFonts w:hint="cs"/>
          <w:b/>
          <w:bCs/>
          <w:sz w:val="20"/>
          <w:szCs w:val="20"/>
          <w:highlight w:val="yellow"/>
          <w:rtl/>
        </w:rPr>
        <w:t xml:space="preserve"> </w:t>
      </w:r>
    </w:p>
    <w:p w:rsidR="005366A8" w:rsidRPr="00CF1617" w:rsidRDefault="005366A8" w:rsidP="005366A8">
      <w:pPr>
        <w:spacing w:after="60"/>
        <w:ind w:left="2160"/>
        <w:rPr>
          <w:b/>
          <w:bCs/>
          <w:sz w:val="20"/>
          <w:szCs w:val="20"/>
          <w:highlight w:val="yellow"/>
          <w:rtl/>
        </w:rPr>
      </w:pPr>
      <w:r>
        <w:rPr>
          <w:rFonts w:hint="cs"/>
          <w:b/>
          <w:bCs/>
          <w:sz w:val="20"/>
          <w:szCs w:val="20"/>
          <w:highlight w:val="yellow"/>
          <w:rtl/>
        </w:rPr>
        <w:t>מה תכניה? האם נוצרה סמכות לביקורת שיפוטית חוקתית?</w:t>
      </w:r>
    </w:p>
    <w:p w:rsidR="005366A8" w:rsidRPr="00E6087F" w:rsidRDefault="005366A8" w:rsidP="005366A8">
      <w:pPr>
        <w:spacing w:after="60"/>
        <w:ind w:left="720"/>
        <w:rPr>
          <w:sz w:val="20"/>
          <w:szCs w:val="20"/>
          <w:highlight w:val="yellow"/>
          <w:rtl/>
        </w:rPr>
      </w:pPr>
    </w:p>
    <w:p w:rsidR="005366A8" w:rsidRPr="00CF1617" w:rsidRDefault="005366A8" w:rsidP="005366A8">
      <w:pPr>
        <w:spacing w:after="60"/>
        <w:ind w:left="1440"/>
        <w:rPr>
          <w:b/>
          <w:bCs/>
          <w:sz w:val="20"/>
          <w:szCs w:val="20"/>
          <w:highlight w:val="yellow"/>
          <w:rtl/>
        </w:rPr>
      </w:pPr>
      <w:r w:rsidRPr="00CF1617">
        <w:rPr>
          <w:rFonts w:hint="cs"/>
          <w:b/>
          <w:bCs/>
          <w:sz w:val="20"/>
          <w:szCs w:val="20"/>
          <w:highlight w:val="yellow"/>
          <w:rtl/>
        </w:rPr>
        <w:t>תכני החוקה:</w:t>
      </w:r>
    </w:p>
    <w:p w:rsidR="005366A8" w:rsidRDefault="005366A8" w:rsidP="005366A8">
      <w:pPr>
        <w:spacing w:after="60"/>
        <w:ind w:left="2160"/>
        <w:rPr>
          <w:b/>
          <w:bCs/>
          <w:sz w:val="20"/>
          <w:szCs w:val="20"/>
          <w:highlight w:val="yellow"/>
          <w:rtl/>
        </w:rPr>
      </w:pPr>
      <w:r>
        <w:rPr>
          <w:rFonts w:hint="cs"/>
          <w:b/>
          <w:bCs/>
          <w:sz w:val="20"/>
          <w:szCs w:val="20"/>
          <w:highlight w:val="yellow"/>
          <w:rtl/>
        </w:rPr>
        <w:t xml:space="preserve">מי מוסמך לכונן נורמות חוקתיות? מי מוסמך לשנותן? באיזה דרך? </w:t>
      </w:r>
    </w:p>
    <w:p w:rsidR="005366A8" w:rsidRPr="00CF1617" w:rsidRDefault="005366A8" w:rsidP="005366A8">
      <w:pPr>
        <w:spacing w:after="60"/>
        <w:ind w:left="2160"/>
        <w:rPr>
          <w:b/>
          <w:bCs/>
          <w:sz w:val="20"/>
          <w:szCs w:val="20"/>
          <w:highlight w:val="yellow"/>
          <w:rtl/>
        </w:rPr>
      </w:pPr>
      <w:r w:rsidRPr="00CF1617">
        <w:rPr>
          <w:rFonts w:hint="cs"/>
          <w:b/>
          <w:bCs/>
          <w:sz w:val="20"/>
          <w:szCs w:val="20"/>
          <w:highlight w:val="yellow"/>
          <w:rtl/>
        </w:rPr>
        <w:t>כיצד מזהים את הנורמות החוקתיות?</w:t>
      </w:r>
    </w:p>
    <w:p w:rsidR="005366A8" w:rsidRPr="00E6087F" w:rsidRDefault="005366A8" w:rsidP="005366A8">
      <w:pPr>
        <w:spacing w:after="60"/>
        <w:ind w:left="2160"/>
        <w:rPr>
          <w:sz w:val="20"/>
          <w:szCs w:val="20"/>
          <w:rtl/>
        </w:rPr>
      </w:pPr>
      <w:r w:rsidRPr="00CF1617">
        <w:rPr>
          <w:rFonts w:hint="cs"/>
          <w:b/>
          <w:bCs/>
          <w:sz w:val="20"/>
          <w:szCs w:val="20"/>
          <w:highlight w:val="yellow"/>
          <w:rtl/>
        </w:rPr>
        <w:t>מה משמעותן של הנורמות החוקתיות?</w:t>
      </w:r>
      <w:r w:rsidRPr="00E6087F">
        <w:rPr>
          <w:rFonts w:hint="cs"/>
          <w:sz w:val="20"/>
          <w:szCs w:val="20"/>
          <w:rtl/>
        </w:rPr>
        <w:t xml:space="preserve"> ["עליונות": "מתקל הדינים"]</w:t>
      </w:r>
    </w:p>
    <w:p w:rsidR="005366A8" w:rsidRPr="00CF1617" w:rsidRDefault="005366A8" w:rsidP="005366A8">
      <w:pPr>
        <w:spacing w:after="60"/>
        <w:ind w:left="2160"/>
        <w:rPr>
          <w:b/>
          <w:bCs/>
          <w:sz w:val="20"/>
          <w:szCs w:val="20"/>
          <w:highlight w:val="yellow"/>
          <w:rtl/>
        </w:rPr>
      </w:pPr>
      <w:r w:rsidRPr="00CF1617">
        <w:rPr>
          <w:rFonts w:hint="cs"/>
          <w:b/>
          <w:bCs/>
          <w:sz w:val="20"/>
          <w:szCs w:val="20"/>
          <w:highlight w:val="yellow"/>
          <w:rtl/>
        </w:rPr>
        <w:t>מהן זכויות היסוד שזכו למעמד חוקתי-על-חוקי?</w:t>
      </w:r>
    </w:p>
    <w:p w:rsidR="005366A8" w:rsidRPr="00CF1617" w:rsidRDefault="005366A8" w:rsidP="005366A8">
      <w:pPr>
        <w:spacing w:after="60"/>
        <w:ind w:left="2160"/>
        <w:rPr>
          <w:b/>
          <w:bCs/>
          <w:sz w:val="20"/>
          <w:szCs w:val="20"/>
          <w:highlight w:val="yellow"/>
          <w:rtl/>
        </w:rPr>
      </w:pPr>
      <w:r w:rsidRPr="00CF1617">
        <w:rPr>
          <w:rFonts w:hint="cs"/>
          <w:b/>
          <w:bCs/>
          <w:sz w:val="20"/>
          <w:szCs w:val="20"/>
          <w:highlight w:val="yellow"/>
          <w:rtl/>
        </w:rPr>
        <w:t xml:space="preserve">מהם הסדרי היסוד ביחס למוסדות היסוד של המדינה </w:t>
      </w:r>
      <w:r w:rsidRPr="00CF1617">
        <w:rPr>
          <w:b/>
          <w:bCs/>
          <w:sz w:val="20"/>
          <w:szCs w:val="20"/>
          <w:highlight w:val="yellow"/>
          <w:rtl/>
        </w:rPr>
        <w:t>–</w:t>
      </w:r>
      <w:r w:rsidRPr="00CF1617">
        <w:rPr>
          <w:rFonts w:hint="cs"/>
          <w:b/>
          <w:bCs/>
          <w:sz w:val="20"/>
          <w:szCs w:val="20"/>
          <w:highlight w:val="yellow"/>
          <w:rtl/>
        </w:rPr>
        <w:t xml:space="preserve"> רשויותיה</w:t>
      </w:r>
      <w:r>
        <w:rPr>
          <w:rFonts w:hint="cs"/>
          <w:b/>
          <w:bCs/>
          <w:sz w:val="20"/>
          <w:szCs w:val="20"/>
          <w:highlight w:val="yellow"/>
          <w:rtl/>
        </w:rPr>
        <w:t xml:space="preserve"> הבכירות</w:t>
      </w:r>
      <w:r w:rsidRPr="00CF1617">
        <w:rPr>
          <w:rFonts w:hint="cs"/>
          <w:b/>
          <w:bCs/>
          <w:sz w:val="20"/>
          <w:szCs w:val="20"/>
          <w:highlight w:val="yellow"/>
          <w:rtl/>
        </w:rPr>
        <w:t>?</w:t>
      </w:r>
    </w:p>
    <w:p w:rsidR="005366A8" w:rsidRDefault="005366A8" w:rsidP="005366A8">
      <w:pPr>
        <w:spacing w:after="60"/>
        <w:ind w:left="2880" w:hanging="720"/>
        <w:rPr>
          <w:sz w:val="20"/>
          <w:szCs w:val="20"/>
          <w:rtl/>
        </w:rPr>
      </w:pPr>
      <w:r w:rsidRPr="00CF1617">
        <w:rPr>
          <w:rFonts w:hint="cs"/>
          <w:b/>
          <w:bCs/>
          <w:sz w:val="20"/>
          <w:szCs w:val="20"/>
          <w:highlight w:val="yellow"/>
          <w:rtl/>
        </w:rPr>
        <w:t>מתי מאפשרת החוקה פגיעה בזכויות המוגנות בה?</w:t>
      </w:r>
      <w:r w:rsidRPr="00E6087F">
        <w:rPr>
          <w:rFonts w:hint="cs"/>
          <w:sz w:val="20"/>
          <w:szCs w:val="20"/>
          <w:rtl/>
        </w:rPr>
        <w:t xml:space="preserve"> ["פסקת ההגבלה"; "פסקת ההתגברות" בחוק יסוד: חופש העיסוק</w:t>
      </w:r>
      <w:r>
        <w:rPr>
          <w:rFonts w:hint="cs"/>
          <w:sz w:val="20"/>
          <w:szCs w:val="20"/>
          <w:rtl/>
        </w:rPr>
        <w:t>; פסקת "שמירת הדינים"; ..</w:t>
      </w:r>
      <w:r w:rsidRPr="00E6087F">
        <w:rPr>
          <w:rFonts w:hint="cs"/>
          <w:sz w:val="20"/>
          <w:szCs w:val="20"/>
          <w:rtl/>
        </w:rPr>
        <w:t>]</w:t>
      </w:r>
    </w:p>
    <w:p w:rsidR="005366A8" w:rsidRPr="00CF1617" w:rsidRDefault="005366A8" w:rsidP="005366A8">
      <w:pPr>
        <w:spacing w:after="60"/>
        <w:ind w:left="1440"/>
        <w:rPr>
          <w:b/>
          <w:bCs/>
          <w:sz w:val="20"/>
          <w:szCs w:val="20"/>
          <w:highlight w:val="yellow"/>
          <w:rtl/>
        </w:rPr>
      </w:pPr>
      <w:r w:rsidRPr="00CF1617">
        <w:rPr>
          <w:rFonts w:hint="cs"/>
          <w:b/>
          <w:bCs/>
          <w:sz w:val="20"/>
          <w:szCs w:val="20"/>
          <w:highlight w:val="yellow"/>
          <w:rtl/>
        </w:rPr>
        <w:t>האם נתונה לבתי המשפט הסמכות לביקורת שיפוטית חוקתית?</w:t>
      </w:r>
    </w:p>
    <w:p w:rsidR="005366A8" w:rsidRPr="00E6087F" w:rsidRDefault="005366A8" w:rsidP="005366A8">
      <w:pPr>
        <w:spacing w:after="60"/>
        <w:ind w:left="2880" w:hanging="720"/>
        <w:rPr>
          <w:sz w:val="20"/>
          <w:szCs w:val="20"/>
          <w:rtl/>
        </w:rPr>
      </w:pPr>
      <w:r w:rsidRPr="00CF1617">
        <w:rPr>
          <w:rFonts w:hint="cs"/>
          <w:b/>
          <w:bCs/>
          <w:sz w:val="20"/>
          <w:szCs w:val="20"/>
          <w:highlight w:val="yellow"/>
          <w:rtl/>
        </w:rPr>
        <w:t>איזה סוג של ביקורת שיפוטית חוקתית?</w:t>
      </w:r>
      <w:r w:rsidRPr="00E6087F">
        <w:rPr>
          <w:rFonts w:hint="cs"/>
          <w:sz w:val="20"/>
          <w:szCs w:val="20"/>
          <w:highlight w:val="yellow"/>
          <w:rtl/>
        </w:rPr>
        <w:t xml:space="preserve"> </w:t>
      </w:r>
      <w:r w:rsidRPr="00E6087F">
        <w:rPr>
          <w:sz w:val="20"/>
          <w:szCs w:val="20"/>
          <w:rtl/>
        </w:rPr>
        <w:t>–</w:t>
      </w:r>
      <w:r w:rsidRPr="00E6087F">
        <w:rPr>
          <w:rFonts w:hint="cs"/>
          <w:sz w:val="20"/>
          <w:szCs w:val="20"/>
          <w:rtl/>
        </w:rPr>
        <w:t xml:space="preserve"> </w:t>
      </w:r>
      <w:r>
        <w:rPr>
          <w:rFonts w:hint="cs"/>
          <w:sz w:val="20"/>
          <w:szCs w:val="20"/>
          <w:rtl/>
        </w:rPr>
        <w:t>"</w:t>
      </w:r>
      <w:r w:rsidRPr="00E6087F">
        <w:rPr>
          <w:rFonts w:hint="cs"/>
          <w:sz w:val="20"/>
          <w:szCs w:val="20"/>
          <w:rtl/>
        </w:rPr>
        <w:t>מקדמית</w:t>
      </w:r>
      <w:r>
        <w:rPr>
          <w:rFonts w:hint="cs"/>
          <w:sz w:val="20"/>
          <w:szCs w:val="20"/>
          <w:rtl/>
        </w:rPr>
        <w:t>" (על חוקים שהתקבלו בפרלמנט אך תקפותם נבחנת על ידי בית המשפט בטרם ייכנסו לתוקף, כמו בצרפת)</w:t>
      </w:r>
      <w:r w:rsidRPr="00E6087F">
        <w:rPr>
          <w:rFonts w:hint="cs"/>
          <w:sz w:val="20"/>
          <w:szCs w:val="20"/>
          <w:rtl/>
        </w:rPr>
        <w:t>?</w:t>
      </w:r>
      <w:r>
        <w:rPr>
          <w:rFonts w:hint="cs"/>
          <w:sz w:val="20"/>
          <w:szCs w:val="20"/>
          <w:rtl/>
        </w:rPr>
        <w:t xml:space="preserve"> או "</w:t>
      </w:r>
      <w:r w:rsidRPr="00E6087F">
        <w:rPr>
          <w:rFonts w:hint="cs"/>
          <w:sz w:val="20"/>
          <w:szCs w:val="20"/>
          <w:rtl/>
        </w:rPr>
        <w:t>מאוחרת</w:t>
      </w:r>
      <w:r>
        <w:rPr>
          <w:rFonts w:hint="cs"/>
          <w:sz w:val="20"/>
          <w:szCs w:val="20"/>
          <w:rtl/>
        </w:rPr>
        <w:t xml:space="preserve">" </w:t>
      </w:r>
      <w:r>
        <w:rPr>
          <w:sz w:val="20"/>
          <w:szCs w:val="20"/>
          <w:rtl/>
        </w:rPr>
        <w:t>–</w:t>
      </w:r>
      <w:r>
        <w:rPr>
          <w:rFonts w:hint="cs"/>
          <w:sz w:val="20"/>
          <w:szCs w:val="20"/>
          <w:rtl/>
        </w:rPr>
        <w:t xml:space="preserve"> לאחר כניסת החוק לתוקף</w:t>
      </w:r>
      <w:r w:rsidRPr="00E6087F">
        <w:rPr>
          <w:rFonts w:hint="cs"/>
          <w:sz w:val="20"/>
          <w:szCs w:val="20"/>
          <w:rtl/>
        </w:rPr>
        <w:t>?</w:t>
      </w:r>
      <w:r>
        <w:rPr>
          <w:rFonts w:hint="cs"/>
          <w:sz w:val="20"/>
          <w:szCs w:val="20"/>
          <w:rtl/>
        </w:rPr>
        <w:t xml:space="preserve"> </w:t>
      </w:r>
      <w:r w:rsidRPr="00E6087F">
        <w:rPr>
          <w:rFonts w:hint="cs"/>
          <w:sz w:val="20"/>
          <w:szCs w:val="20"/>
          <w:rtl/>
        </w:rPr>
        <w:t>שילוב של שתיהן?</w:t>
      </w:r>
    </w:p>
    <w:p w:rsidR="005366A8" w:rsidRPr="00E6087F" w:rsidRDefault="005366A8" w:rsidP="005366A8">
      <w:pPr>
        <w:spacing w:after="60"/>
        <w:ind w:left="2160"/>
        <w:rPr>
          <w:sz w:val="20"/>
          <w:szCs w:val="20"/>
          <w:highlight w:val="yellow"/>
          <w:rtl/>
        </w:rPr>
      </w:pPr>
      <w:r>
        <w:rPr>
          <w:rFonts w:hint="cs"/>
          <w:b/>
          <w:bCs/>
          <w:sz w:val="20"/>
          <w:szCs w:val="20"/>
          <w:highlight w:val="yellow"/>
          <w:rtl/>
        </w:rPr>
        <w:t xml:space="preserve">האם </w:t>
      </w:r>
      <w:r w:rsidRPr="00CF1617">
        <w:rPr>
          <w:rFonts w:hint="cs"/>
          <w:b/>
          <w:bCs/>
          <w:sz w:val="20"/>
          <w:szCs w:val="20"/>
          <w:highlight w:val="yellow"/>
          <w:rtl/>
        </w:rPr>
        <w:t xml:space="preserve">מודל </w:t>
      </w:r>
      <w:r>
        <w:rPr>
          <w:rFonts w:hint="cs"/>
          <w:b/>
          <w:bCs/>
          <w:sz w:val="20"/>
          <w:szCs w:val="20"/>
          <w:highlight w:val="yellow"/>
          <w:rtl/>
        </w:rPr>
        <w:t xml:space="preserve">הביקורת </w:t>
      </w:r>
      <w:r w:rsidRPr="00CF1617">
        <w:rPr>
          <w:rFonts w:hint="cs"/>
          <w:b/>
          <w:bCs/>
          <w:sz w:val="20"/>
          <w:szCs w:val="20"/>
          <w:highlight w:val="yellow"/>
          <w:rtl/>
        </w:rPr>
        <w:t>הוא צנטרליסטי</w:t>
      </w:r>
      <w:r w:rsidRPr="00E6087F">
        <w:rPr>
          <w:rFonts w:hint="cs"/>
          <w:sz w:val="20"/>
          <w:szCs w:val="20"/>
          <w:highlight w:val="yellow"/>
          <w:rtl/>
        </w:rPr>
        <w:t xml:space="preserve"> (רק לבית המשפט העליון/ או בית המשפט לחוקה)? </w:t>
      </w:r>
      <w:r w:rsidRPr="00CF1617">
        <w:rPr>
          <w:rFonts w:hint="cs"/>
          <w:b/>
          <w:bCs/>
          <w:sz w:val="20"/>
          <w:szCs w:val="20"/>
          <w:highlight w:val="yellow"/>
          <w:rtl/>
        </w:rPr>
        <w:t>או שמא דה-צנטרליסטי?</w:t>
      </w:r>
    </w:p>
    <w:p w:rsidR="005366A8" w:rsidRDefault="005366A8" w:rsidP="005366A8">
      <w:pPr>
        <w:spacing w:after="60"/>
        <w:ind w:left="720"/>
        <w:rPr>
          <w:sz w:val="20"/>
          <w:szCs w:val="20"/>
          <w:highlight w:val="yellow"/>
          <w:rtl/>
        </w:rPr>
      </w:pPr>
    </w:p>
    <w:p w:rsidR="005366A8" w:rsidRDefault="005366A8" w:rsidP="005366A8">
      <w:pPr>
        <w:spacing w:after="60"/>
        <w:ind w:left="720"/>
        <w:rPr>
          <w:sz w:val="20"/>
          <w:szCs w:val="20"/>
          <w:rtl/>
        </w:rPr>
      </w:pPr>
      <w:r w:rsidRPr="00E6087F">
        <w:rPr>
          <w:rFonts w:hint="cs"/>
          <w:sz w:val="20"/>
          <w:szCs w:val="20"/>
          <w:highlight w:val="yellow"/>
          <w:rtl/>
        </w:rPr>
        <w:t xml:space="preserve">* </w:t>
      </w:r>
      <w:r w:rsidRPr="00932FC2">
        <w:rPr>
          <w:rFonts w:hint="cs"/>
          <w:b/>
          <w:bCs/>
          <w:sz w:val="20"/>
          <w:szCs w:val="20"/>
          <w:rtl/>
        </w:rPr>
        <w:t xml:space="preserve">שאלה מפתח אך מהתחום </w:t>
      </w:r>
      <w:r w:rsidRPr="00932FC2">
        <w:rPr>
          <w:rFonts w:hint="cs"/>
          <w:b/>
          <w:bCs/>
          <w:i/>
          <w:iCs/>
          <w:sz w:val="20"/>
          <w:szCs w:val="20"/>
          <w:rtl/>
        </w:rPr>
        <w:t>הפוליטי והמוסרי</w:t>
      </w:r>
      <w:r w:rsidRPr="00932FC2">
        <w:rPr>
          <w:rFonts w:hint="cs"/>
          <w:b/>
          <w:bCs/>
          <w:sz w:val="20"/>
          <w:szCs w:val="20"/>
          <w:rtl/>
        </w:rPr>
        <w:t>: האם מה שנוצר הטיב את מצב הדברים מנקודת ראות דמוקרטית?</w:t>
      </w:r>
      <w:r>
        <w:rPr>
          <w:rFonts w:hint="cs"/>
          <w:sz w:val="20"/>
          <w:szCs w:val="20"/>
          <w:rtl/>
        </w:rPr>
        <w:t xml:space="preserve"> </w:t>
      </w:r>
    </w:p>
    <w:p w:rsidR="005366A8" w:rsidRPr="00E6087F" w:rsidRDefault="005366A8" w:rsidP="005366A8">
      <w:pPr>
        <w:spacing w:after="60"/>
        <w:ind w:left="1440"/>
        <w:rPr>
          <w:sz w:val="20"/>
          <w:szCs w:val="20"/>
          <w:rtl/>
        </w:rPr>
      </w:pPr>
      <w:r>
        <w:rPr>
          <w:rFonts w:hint="cs"/>
          <w:sz w:val="20"/>
          <w:szCs w:val="20"/>
          <w:rtl/>
        </w:rPr>
        <w:t xml:space="preserve">במילים אחרות, מה </w:t>
      </w:r>
      <w:r w:rsidRPr="00E6087F">
        <w:rPr>
          <w:rFonts w:hint="cs"/>
          <w:sz w:val="20"/>
          <w:szCs w:val="20"/>
          <w:rtl/>
        </w:rPr>
        <w:t>מאזן התועלת/נזק של החוקה הישראלית במתכונתה הנוכחית</w:t>
      </w:r>
      <w:r>
        <w:rPr>
          <w:rFonts w:hint="cs"/>
          <w:sz w:val="20"/>
          <w:szCs w:val="20"/>
          <w:rtl/>
        </w:rPr>
        <w:t>?</w:t>
      </w:r>
      <w:r w:rsidRPr="00E6087F">
        <w:rPr>
          <w:rFonts w:hint="cs"/>
          <w:sz w:val="20"/>
          <w:szCs w:val="20"/>
          <w:rtl/>
        </w:rPr>
        <w:t xml:space="preserve"> [</w:t>
      </w:r>
      <w:r>
        <w:rPr>
          <w:rFonts w:hint="cs"/>
          <w:sz w:val="20"/>
          <w:szCs w:val="20"/>
          <w:rtl/>
        </w:rPr>
        <w:t xml:space="preserve">ראו דיון </w:t>
      </w:r>
      <w:r w:rsidRPr="00E6087F">
        <w:rPr>
          <w:rFonts w:hint="cs"/>
          <w:sz w:val="20"/>
          <w:szCs w:val="20"/>
          <w:rtl/>
        </w:rPr>
        <w:t>בהמשך]</w:t>
      </w:r>
    </w:p>
    <w:p w:rsidR="005366A8" w:rsidRPr="00E6087F" w:rsidRDefault="005366A8" w:rsidP="005366A8">
      <w:pPr>
        <w:spacing w:after="60"/>
        <w:rPr>
          <w:sz w:val="20"/>
          <w:szCs w:val="20"/>
          <w:rtl/>
        </w:rPr>
      </w:pPr>
    </w:p>
    <w:p w:rsidR="005366A8" w:rsidRPr="00E6087F" w:rsidRDefault="005366A8" w:rsidP="005366A8">
      <w:pPr>
        <w:spacing w:after="60"/>
        <w:rPr>
          <w:rFonts w:ascii="Arial" w:hAnsi="Arial" w:cs="Arial"/>
          <w:b/>
          <w:bCs/>
          <w:sz w:val="20"/>
          <w:szCs w:val="20"/>
          <w:rtl/>
        </w:rPr>
      </w:pPr>
      <w:r>
        <w:rPr>
          <w:rFonts w:ascii="Arial" w:hAnsi="Arial" w:cs="Arial" w:hint="cs"/>
          <w:b/>
          <w:bCs/>
          <w:sz w:val="20"/>
          <w:szCs w:val="20"/>
          <w:rtl/>
        </w:rPr>
        <w:t>החוקה החלקית שנוצרה היא חלקית והיא בעייתית - במה</w:t>
      </w:r>
      <w:r w:rsidRPr="00E6087F">
        <w:rPr>
          <w:rFonts w:ascii="Arial" w:hAnsi="Arial" w:cs="Arial"/>
          <w:b/>
          <w:bCs/>
          <w:sz w:val="20"/>
          <w:szCs w:val="20"/>
          <w:rtl/>
        </w:rPr>
        <w:t>?</w:t>
      </w:r>
    </w:p>
    <w:p w:rsidR="005366A8" w:rsidRPr="00E6087F" w:rsidRDefault="005366A8" w:rsidP="005366A8">
      <w:pPr>
        <w:spacing w:after="60"/>
        <w:ind w:left="1440" w:hanging="720"/>
        <w:rPr>
          <w:sz w:val="20"/>
          <w:szCs w:val="20"/>
          <w:rtl/>
        </w:rPr>
      </w:pPr>
      <w:r w:rsidRPr="00E6087F">
        <w:rPr>
          <w:rFonts w:hint="cs"/>
          <w:sz w:val="20"/>
          <w:szCs w:val="20"/>
          <w:highlight w:val="yellow"/>
          <w:rtl/>
        </w:rPr>
        <w:t>העדרו (הכמעט מלא) של מרכיב הנוקשות</w:t>
      </w:r>
      <w:r w:rsidRPr="00E6087F">
        <w:rPr>
          <w:rFonts w:hint="cs"/>
          <w:sz w:val="20"/>
          <w:szCs w:val="20"/>
          <w:rtl/>
        </w:rPr>
        <w:t>. קלות שינוייה של החוקה הישראלית: חוקי היסוד ברובם אינם משוריינים (וכמו כן, חופש העיסוק מסויג על ידי "פסקת התגברות")</w:t>
      </w:r>
    </w:p>
    <w:p w:rsidR="005366A8" w:rsidRPr="00E6087F" w:rsidRDefault="005366A8" w:rsidP="005366A8">
      <w:pPr>
        <w:spacing w:after="60"/>
        <w:ind w:left="2160"/>
        <w:rPr>
          <w:sz w:val="20"/>
          <w:szCs w:val="20"/>
          <w:rtl/>
        </w:rPr>
      </w:pPr>
      <w:r w:rsidRPr="00E6087F">
        <w:rPr>
          <w:rFonts w:hint="cs"/>
          <w:sz w:val="20"/>
          <w:szCs w:val="20"/>
          <w:rtl/>
        </w:rPr>
        <w:t>בפועל נוצר "דיאלוג חוקתי", שבו לכנסת/ לרוב בכנסת נתונה בקלות "המילה האחרונה";</w:t>
      </w:r>
    </w:p>
    <w:p w:rsidR="005366A8" w:rsidRPr="00E6087F" w:rsidRDefault="005366A8" w:rsidP="005366A8">
      <w:pPr>
        <w:spacing w:after="60"/>
        <w:ind w:left="2160"/>
        <w:rPr>
          <w:sz w:val="20"/>
          <w:szCs w:val="20"/>
          <w:rtl/>
        </w:rPr>
      </w:pPr>
      <w:r w:rsidRPr="00E6087F">
        <w:rPr>
          <w:rFonts w:hint="cs"/>
          <w:sz w:val="20"/>
          <w:szCs w:val="20"/>
          <w:rtl/>
        </w:rPr>
        <w:t>האם נוצרה לפיכך "חוקתיות" ראויה לשמה?</w:t>
      </w:r>
      <w:r>
        <w:rPr>
          <w:rFonts w:hint="cs"/>
          <w:sz w:val="20"/>
          <w:szCs w:val="20"/>
          <w:rtl/>
        </w:rPr>
        <w:t xml:space="preserve"> </w:t>
      </w:r>
      <w:r w:rsidRPr="00E6087F">
        <w:rPr>
          <w:rFonts w:hint="cs"/>
          <w:sz w:val="20"/>
          <w:szCs w:val="20"/>
          <w:rtl/>
        </w:rPr>
        <w:t>[בשל אי שריונם של רוב מרכיבי חוקי היסוד, יש שלא משתמשים במונח "חוקה" בהקשרה של ישראל];</w:t>
      </w:r>
    </w:p>
    <w:p w:rsidR="005366A8" w:rsidRPr="00E6087F" w:rsidRDefault="005366A8" w:rsidP="005366A8">
      <w:pPr>
        <w:spacing w:after="60"/>
        <w:ind w:left="720"/>
        <w:rPr>
          <w:sz w:val="20"/>
          <w:szCs w:val="20"/>
          <w:highlight w:val="yellow"/>
          <w:rtl/>
        </w:rPr>
      </w:pPr>
      <w:r w:rsidRPr="00E6087F">
        <w:rPr>
          <w:rFonts w:hint="cs"/>
          <w:sz w:val="20"/>
          <w:szCs w:val="20"/>
          <w:highlight w:val="yellow"/>
          <w:rtl/>
        </w:rPr>
        <w:t>עדיין חסרים בחוקה הפורמאלית שהתגבשה חלקים חשובים</w:t>
      </w:r>
      <w:r>
        <w:rPr>
          <w:rFonts w:hint="cs"/>
          <w:sz w:val="20"/>
          <w:szCs w:val="20"/>
          <w:highlight w:val="yellow"/>
          <w:rtl/>
        </w:rPr>
        <w:t>, וחלקם חשובים מאד</w:t>
      </w:r>
      <w:r w:rsidRPr="00E6087F">
        <w:rPr>
          <w:rFonts w:hint="cs"/>
          <w:sz w:val="20"/>
          <w:szCs w:val="20"/>
          <w:highlight w:val="yellow"/>
          <w:rtl/>
        </w:rPr>
        <w:t xml:space="preserve">: </w:t>
      </w:r>
    </w:p>
    <w:p w:rsidR="005366A8" w:rsidRPr="00E6087F" w:rsidRDefault="005366A8" w:rsidP="005366A8">
      <w:pPr>
        <w:spacing w:after="60"/>
        <w:ind w:left="1440"/>
        <w:rPr>
          <w:sz w:val="20"/>
          <w:szCs w:val="20"/>
          <w:rtl/>
        </w:rPr>
      </w:pPr>
      <w:r w:rsidRPr="00E6087F">
        <w:rPr>
          <w:rFonts w:hint="cs"/>
          <w:sz w:val="20"/>
          <w:szCs w:val="20"/>
          <w:highlight w:val="yellow"/>
          <w:rtl/>
        </w:rPr>
        <w:t>במיוחד, חוק יסוד: החקיקה</w:t>
      </w:r>
    </w:p>
    <w:p w:rsidR="005366A8" w:rsidRPr="00E6087F" w:rsidRDefault="005366A8" w:rsidP="005366A8">
      <w:pPr>
        <w:spacing w:after="60"/>
        <w:ind w:left="2160" w:right="-142"/>
        <w:rPr>
          <w:sz w:val="20"/>
          <w:szCs w:val="20"/>
          <w:rtl/>
        </w:rPr>
      </w:pPr>
      <w:r w:rsidRPr="00E6087F">
        <w:rPr>
          <w:rFonts w:hint="cs"/>
          <w:sz w:val="20"/>
          <w:szCs w:val="20"/>
          <w:highlight w:val="yellow"/>
          <w:rtl/>
        </w:rPr>
        <w:t>משמע, חסרה קביעה חוקתית מפורשת של אופן קבלת נורמות חוקתיות ואופן שינויין</w:t>
      </w:r>
      <w:r w:rsidRPr="00E6087F">
        <w:rPr>
          <w:rFonts w:hint="cs"/>
          <w:sz w:val="20"/>
          <w:szCs w:val="20"/>
          <w:rtl/>
        </w:rPr>
        <w:t xml:space="preserve"> </w:t>
      </w:r>
      <w:r>
        <w:rPr>
          <w:rFonts w:hint="cs"/>
          <w:sz w:val="20"/>
          <w:szCs w:val="20"/>
          <w:rtl/>
        </w:rPr>
        <w:t xml:space="preserve">(ראו להלן: </w:t>
      </w:r>
      <w:r w:rsidRPr="00A05C31">
        <w:rPr>
          <w:rFonts w:hint="cs"/>
          <w:i/>
          <w:iCs/>
          <w:sz w:val="20"/>
          <w:szCs w:val="20"/>
          <w:rtl/>
        </w:rPr>
        <w:t>הצעת</w:t>
      </w:r>
      <w:r>
        <w:rPr>
          <w:rFonts w:hint="cs"/>
          <w:sz w:val="20"/>
          <w:szCs w:val="20"/>
          <w:rtl/>
        </w:rPr>
        <w:t xml:space="preserve"> חוק יסוד: החקיקה):</w:t>
      </w:r>
    </w:p>
    <w:p w:rsidR="005366A8" w:rsidRPr="00CF1617" w:rsidRDefault="005366A8" w:rsidP="005366A8">
      <w:pPr>
        <w:spacing w:after="60"/>
        <w:ind w:left="2880"/>
        <w:rPr>
          <w:b/>
          <w:bCs/>
          <w:sz w:val="20"/>
          <w:szCs w:val="20"/>
          <w:rtl/>
        </w:rPr>
      </w:pPr>
      <w:r w:rsidRPr="00CF1617">
        <w:rPr>
          <w:rFonts w:hint="cs"/>
          <w:b/>
          <w:bCs/>
          <w:sz w:val="20"/>
          <w:szCs w:val="20"/>
          <w:rtl/>
        </w:rPr>
        <w:t>בשל חסר זה צומח החשש של השופט חשין: האפשרות בהווה לשריין הוראות שונות בקלות, ברוב רגיל;</w:t>
      </w:r>
    </w:p>
    <w:p w:rsidR="005366A8" w:rsidRPr="00E6087F" w:rsidRDefault="005366A8" w:rsidP="005366A8">
      <w:pPr>
        <w:spacing w:after="60"/>
        <w:ind w:left="2880"/>
        <w:rPr>
          <w:sz w:val="20"/>
          <w:szCs w:val="20"/>
          <w:rtl/>
        </w:rPr>
      </w:pPr>
      <w:r>
        <w:rPr>
          <w:rFonts w:hint="cs"/>
          <w:sz w:val="20"/>
          <w:szCs w:val="20"/>
          <w:rtl/>
        </w:rPr>
        <w:t>לחששו של השופט חשין ניתן מענה מסוים, חלקי</w:t>
      </w:r>
      <w:r w:rsidRPr="00E6087F">
        <w:rPr>
          <w:rFonts w:hint="cs"/>
          <w:sz w:val="20"/>
          <w:szCs w:val="20"/>
          <w:rtl/>
        </w:rPr>
        <w:t>: האפשרות ל"ביקורת מטא-טקסטואלית";</w:t>
      </w:r>
    </w:p>
    <w:p w:rsidR="005366A8" w:rsidRPr="00E6087F" w:rsidRDefault="005366A8" w:rsidP="005366A8">
      <w:pPr>
        <w:spacing w:after="60"/>
        <w:ind w:left="1440"/>
        <w:rPr>
          <w:sz w:val="20"/>
          <w:szCs w:val="20"/>
          <w:rtl/>
        </w:rPr>
      </w:pPr>
      <w:r w:rsidRPr="00E6087F">
        <w:rPr>
          <w:rFonts w:hint="cs"/>
          <w:sz w:val="20"/>
          <w:szCs w:val="20"/>
          <w:highlight w:val="yellow"/>
          <w:rtl/>
        </w:rPr>
        <w:t>חלק מזכויות האדם אינן מוגנות חוקתית</w:t>
      </w:r>
      <w:r w:rsidRPr="00E6087F">
        <w:rPr>
          <w:rFonts w:hint="cs"/>
          <w:sz w:val="20"/>
          <w:szCs w:val="20"/>
          <w:rtl/>
        </w:rPr>
        <w:t xml:space="preserve">; </w:t>
      </w:r>
    </w:p>
    <w:p w:rsidR="005366A8" w:rsidRDefault="005366A8" w:rsidP="005366A8">
      <w:pPr>
        <w:spacing w:after="60"/>
        <w:ind w:left="2160"/>
        <w:rPr>
          <w:sz w:val="20"/>
          <w:szCs w:val="20"/>
          <w:rtl/>
        </w:rPr>
      </w:pPr>
      <w:r w:rsidRPr="00E6087F">
        <w:rPr>
          <w:rFonts w:hint="cs"/>
          <w:sz w:val="20"/>
          <w:szCs w:val="20"/>
          <w:rtl/>
        </w:rPr>
        <w:t xml:space="preserve">אין הכרעה מקיפה, כל-כוללת, בשאלה מי מבין זכויות האדם </w:t>
      </w:r>
      <w:r w:rsidRPr="00E6087F">
        <w:rPr>
          <w:sz w:val="20"/>
          <w:szCs w:val="20"/>
          <w:rtl/>
        </w:rPr>
        <w:t>–</w:t>
      </w:r>
      <w:r w:rsidRPr="00E6087F">
        <w:rPr>
          <w:rFonts w:hint="cs"/>
          <w:sz w:val="20"/>
          <w:szCs w:val="20"/>
          <w:rtl/>
        </w:rPr>
        <w:t xml:space="preserve"> שאינן מנויות במפורש בחוקי היסוד </w:t>
      </w:r>
      <w:r w:rsidRPr="00E6087F">
        <w:rPr>
          <w:sz w:val="20"/>
          <w:szCs w:val="20"/>
          <w:rtl/>
        </w:rPr>
        <w:t>–</w:t>
      </w:r>
      <w:r w:rsidRPr="00E6087F">
        <w:rPr>
          <w:rFonts w:hint="cs"/>
          <w:sz w:val="20"/>
          <w:szCs w:val="20"/>
          <w:rtl/>
        </w:rPr>
        <w:t xml:space="preserve"> זכו למעמד חוקתי-על-חוקי</w:t>
      </w:r>
      <w:r>
        <w:rPr>
          <w:rFonts w:hint="cs"/>
          <w:sz w:val="20"/>
          <w:szCs w:val="20"/>
          <w:rtl/>
        </w:rPr>
        <w:t>.</w:t>
      </w:r>
      <w:r w:rsidRPr="00E6087F">
        <w:rPr>
          <w:rFonts w:hint="cs"/>
          <w:sz w:val="20"/>
          <w:szCs w:val="20"/>
          <w:rtl/>
        </w:rPr>
        <w:t xml:space="preserve"> </w:t>
      </w:r>
    </w:p>
    <w:p w:rsidR="005366A8" w:rsidRPr="00E6087F" w:rsidRDefault="005366A8" w:rsidP="005366A8">
      <w:pPr>
        <w:spacing w:after="60"/>
        <w:ind w:left="2880"/>
        <w:rPr>
          <w:sz w:val="20"/>
          <w:szCs w:val="20"/>
          <w:rtl/>
        </w:rPr>
      </w:pPr>
      <w:r w:rsidRPr="00E6087F">
        <w:rPr>
          <w:rFonts w:hint="cs"/>
          <w:sz w:val="20"/>
          <w:szCs w:val="20"/>
          <w:rtl/>
        </w:rPr>
        <w:t xml:space="preserve">[עם זאת, חל בכך לאחרונה שינוי: </w:t>
      </w:r>
      <w:r>
        <w:rPr>
          <w:rFonts w:hint="cs"/>
          <w:sz w:val="20"/>
          <w:szCs w:val="20"/>
          <w:rtl/>
        </w:rPr>
        <w:t xml:space="preserve">בית המשפט מוצא </w:t>
      </w:r>
      <w:r>
        <w:rPr>
          <w:sz w:val="20"/>
          <w:szCs w:val="20"/>
          <w:rtl/>
        </w:rPr>
        <w:t>–</w:t>
      </w:r>
      <w:r>
        <w:rPr>
          <w:rFonts w:hint="cs"/>
          <w:sz w:val="20"/>
          <w:szCs w:val="20"/>
          <w:rtl/>
        </w:rPr>
        <w:t xml:space="preserve"> בדרך של פרשנות של "זכויות הסל" של הזכויות ל"כבוד האדם" ול"חירות" </w:t>
      </w:r>
      <w:r>
        <w:rPr>
          <w:sz w:val="20"/>
          <w:szCs w:val="20"/>
          <w:rtl/>
        </w:rPr>
        <w:t>–</w:t>
      </w:r>
      <w:r>
        <w:rPr>
          <w:rFonts w:hint="cs"/>
          <w:sz w:val="20"/>
          <w:szCs w:val="20"/>
          <w:rtl/>
        </w:rPr>
        <w:t xml:space="preserve"> הגנה חוקתית על היבטים חשובים של ה</w:t>
      </w:r>
      <w:r w:rsidRPr="00E6087F">
        <w:rPr>
          <w:rFonts w:hint="cs"/>
          <w:sz w:val="20"/>
          <w:szCs w:val="20"/>
          <w:rtl/>
        </w:rPr>
        <w:t>זכות לשווי</w:t>
      </w:r>
      <w:r>
        <w:rPr>
          <w:rFonts w:hint="cs"/>
          <w:sz w:val="20"/>
          <w:szCs w:val="20"/>
          <w:rtl/>
        </w:rPr>
        <w:t>ון (בעיקר איסור אפליה על בסיס קבוצתי);</w:t>
      </w:r>
      <w:r w:rsidRPr="00E6087F">
        <w:rPr>
          <w:rFonts w:hint="cs"/>
          <w:sz w:val="20"/>
          <w:szCs w:val="20"/>
          <w:rtl/>
        </w:rPr>
        <w:t xml:space="preserve"> הזכות לחיי משפחה (</w:t>
      </w:r>
      <w:r>
        <w:rPr>
          <w:rFonts w:hint="cs"/>
          <w:sz w:val="20"/>
          <w:szCs w:val="20"/>
          <w:rtl/>
        </w:rPr>
        <w:t>זוגיות ויחסי הורה-ילד);</w:t>
      </w:r>
      <w:r w:rsidRPr="00E6087F">
        <w:rPr>
          <w:rFonts w:hint="cs"/>
          <w:sz w:val="20"/>
          <w:szCs w:val="20"/>
          <w:rtl/>
        </w:rPr>
        <w:t xml:space="preserve"> </w:t>
      </w:r>
      <w:r>
        <w:rPr>
          <w:rFonts w:hint="cs"/>
          <w:sz w:val="20"/>
          <w:szCs w:val="20"/>
          <w:rtl/>
        </w:rPr>
        <w:t xml:space="preserve">חופש הביטוי הפוליטי; </w:t>
      </w:r>
      <w:r w:rsidRPr="00E6087F">
        <w:rPr>
          <w:rFonts w:hint="cs"/>
          <w:sz w:val="20"/>
          <w:szCs w:val="20"/>
          <w:rtl/>
        </w:rPr>
        <w:t>ועוד]</w:t>
      </w:r>
      <w:r>
        <w:rPr>
          <w:rFonts w:hint="cs"/>
          <w:sz w:val="20"/>
          <w:szCs w:val="20"/>
          <w:rtl/>
        </w:rPr>
        <w:t>;</w:t>
      </w:r>
    </w:p>
    <w:p w:rsidR="005366A8" w:rsidRPr="00E6087F" w:rsidRDefault="005366A8" w:rsidP="005366A8">
      <w:pPr>
        <w:spacing w:after="60"/>
        <w:ind w:left="1440" w:hanging="720"/>
        <w:rPr>
          <w:sz w:val="20"/>
          <w:szCs w:val="20"/>
          <w:rtl/>
        </w:rPr>
      </w:pPr>
      <w:r w:rsidRPr="00E6087F">
        <w:rPr>
          <w:rFonts w:hint="cs"/>
          <w:sz w:val="20"/>
          <w:szCs w:val="20"/>
          <w:highlight w:val="yellow"/>
          <w:rtl/>
        </w:rPr>
        <w:t>קיומה של פסקת "שמירת הדינים" בחוק יסוד: כבוד האדם וחירותו</w:t>
      </w:r>
      <w:r w:rsidRPr="00E6087F">
        <w:rPr>
          <w:rFonts w:hint="cs"/>
          <w:sz w:val="20"/>
          <w:szCs w:val="20"/>
          <w:rtl/>
        </w:rPr>
        <w:t xml:space="preserve"> </w:t>
      </w:r>
      <w:r w:rsidRPr="00E6087F">
        <w:rPr>
          <w:sz w:val="20"/>
          <w:szCs w:val="20"/>
          <w:rtl/>
        </w:rPr>
        <w:t>–</w:t>
      </w:r>
      <w:r w:rsidRPr="00E6087F">
        <w:rPr>
          <w:rFonts w:hint="cs"/>
          <w:sz w:val="20"/>
          <w:szCs w:val="20"/>
          <w:rtl/>
        </w:rPr>
        <w:t xml:space="preserve"> </w:t>
      </w:r>
      <w:r>
        <w:rPr>
          <w:rFonts w:hint="cs"/>
          <w:sz w:val="20"/>
          <w:szCs w:val="20"/>
          <w:rtl/>
        </w:rPr>
        <w:t xml:space="preserve">מקנה </w:t>
      </w:r>
      <w:r w:rsidRPr="00E6087F">
        <w:rPr>
          <w:rFonts w:hint="cs"/>
          <w:sz w:val="20"/>
          <w:szCs w:val="20"/>
          <w:rtl/>
        </w:rPr>
        <w:t xml:space="preserve">'חסינות' לחוקים ותיקים, שהם בחלקם </w:t>
      </w:r>
      <w:r>
        <w:rPr>
          <w:rFonts w:hint="cs"/>
          <w:sz w:val="20"/>
          <w:szCs w:val="20"/>
          <w:rtl/>
        </w:rPr>
        <w:t>פוגעניים כלפי זכויות המוגנות בחוק היסוד;</w:t>
      </w:r>
    </w:p>
    <w:p w:rsidR="005366A8" w:rsidRPr="00E6087F" w:rsidRDefault="005366A8" w:rsidP="005366A8">
      <w:pPr>
        <w:spacing w:after="60"/>
        <w:ind w:left="1440" w:hanging="720"/>
        <w:rPr>
          <w:sz w:val="20"/>
          <w:szCs w:val="20"/>
          <w:rtl/>
        </w:rPr>
      </w:pPr>
      <w:r w:rsidRPr="00E6087F">
        <w:rPr>
          <w:rFonts w:hint="cs"/>
          <w:sz w:val="20"/>
          <w:szCs w:val="20"/>
          <w:highlight w:val="yellow"/>
          <w:rtl/>
        </w:rPr>
        <w:t xml:space="preserve">קושי בתחום היציבות </w:t>
      </w:r>
      <w:r w:rsidRPr="009A28BD">
        <w:rPr>
          <w:rFonts w:hint="cs"/>
          <w:sz w:val="20"/>
          <w:szCs w:val="20"/>
          <w:highlight w:val="yellow"/>
          <w:rtl/>
        </w:rPr>
        <w:t>והוודאות המשפטית</w:t>
      </w:r>
      <w:r w:rsidRPr="00E6087F">
        <w:rPr>
          <w:rFonts w:hint="cs"/>
          <w:sz w:val="20"/>
          <w:szCs w:val="20"/>
          <w:rtl/>
        </w:rPr>
        <w:t>, בשל השאלות הלא-מעטות שנותרות פתוחות בה</w:t>
      </w:r>
      <w:r>
        <w:rPr>
          <w:rFonts w:hint="cs"/>
          <w:sz w:val="20"/>
          <w:szCs w:val="20"/>
          <w:rtl/>
        </w:rPr>
        <w:t xml:space="preserve">; </w:t>
      </w:r>
      <w:r w:rsidRPr="00E6087F">
        <w:rPr>
          <w:rFonts w:hint="cs"/>
          <w:sz w:val="20"/>
          <w:szCs w:val="20"/>
          <w:rtl/>
        </w:rPr>
        <w:t>ובשל ההתנגדות הפוליטית בקרב חלקים מהציבור ל"</w:t>
      </w:r>
      <w:r>
        <w:rPr>
          <w:rFonts w:hint="cs"/>
          <w:sz w:val="20"/>
          <w:szCs w:val="20"/>
          <w:rtl/>
        </w:rPr>
        <w:t>מהפכה החוקתית".</w:t>
      </w:r>
    </w:p>
    <w:p w:rsidR="005366A8" w:rsidRPr="00E6087F" w:rsidRDefault="005366A8" w:rsidP="005366A8">
      <w:pPr>
        <w:spacing w:after="60"/>
        <w:ind w:left="720"/>
        <w:rPr>
          <w:sz w:val="20"/>
          <w:szCs w:val="20"/>
          <w:rtl/>
        </w:rPr>
      </w:pPr>
    </w:p>
    <w:p w:rsidR="005366A8" w:rsidRPr="00E6087F" w:rsidRDefault="005366A8" w:rsidP="005366A8">
      <w:pPr>
        <w:spacing w:after="60"/>
        <w:rPr>
          <w:rFonts w:ascii="Arial" w:hAnsi="Arial" w:cs="Arial"/>
          <w:b/>
          <w:bCs/>
          <w:sz w:val="20"/>
          <w:szCs w:val="20"/>
          <w:rtl/>
        </w:rPr>
      </w:pPr>
      <w:r w:rsidRPr="00E6087F">
        <w:rPr>
          <w:rFonts w:ascii="Arial" w:hAnsi="Arial" w:cs="Arial"/>
          <w:b/>
          <w:bCs/>
          <w:sz w:val="20"/>
          <w:szCs w:val="20"/>
          <w:rtl/>
        </w:rPr>
        <w:t>מאזן "התועלת/ נזק" בעניינה של החוקה שנוצרה בישראל</w:t>
      </w:r>
      <w:r w:rsidRPr="00E6087F">
        <w:rPr>
          <w:rFonts w:ascii="Arial" w:hAnsi="Arial" w:cs="Arial" w:hint="cs"/>
          <w:b/>
          <w:bCs/>
          <w:sz w:val="20"/>
          <w:szCs w:val="20"/>
          <w:rtl/>
        </w:rPr>
        <w:t xml:space="preserve"> </w:t>
      </w:r>
      <w:r w:rsidRPr="00E6087F">
        <w:rPr>
          <w:rFonts w:ascii="Arial" w:hAnsi="Arial" w:cs="Arial"/>
          <w:b/>
          <w:bCs/>
          <w:sz w:val="20"/>
          <w:szCs w:val="20"/>
          <w:rtl/>
        </w:rPr>
        <w:t>–</w:t>
      </w:r>
      <w:r w:rsidRPr="00E6087F">
        <w:rPr>
          <w:rFonts w:ascii="Arial" w:hAnsi="Arial" w:cs="Arial" w:hint="cs"/>
          <w:b/>
          <w:bCs/>
          <w:sz w:val="20"/>
          <w:szCs w:val="20"/>
          <w:rtl/>
        </w:rPr>
        <w:t xml:space="preserve"> דיון פוליטי ומוסרי</w:t>
      </w:r>
    </w:p>
    <w:p w:rsidR="005366A8" w:rsidRPr="00E6087F" w:rsidRDefault="005366A8" w:rsidP="005366A8">
      <w:pPr>
        <w:spacing w:after="60"/>
        <w:ind w:left="1440" w:hanging="720"/>
        <w:rPr>
          <w:sz w:val="20"/>
          <w:szCs w:val="20"/>
          <w:highlight w:val="yellow"/>
          <w:rtl/>
        </w:rPr>
      </w:pPr>
      <w:r>
        <w:rPr>
          <w:rFonts w:hint="cs"/>
          <w:sz w:val="20"/>
          <w:szCs w:val="20"/>
          <w:highlight w:val="yellow"/>
          <w:rtl/>
        </w:rPr>
        <w:t xml:space="preserve">^ </w:t>
      </w:r>
      <w:r w:rsidRPr="00E6087F">
        <w:rPr>
          <w:rFonts w:hint="cs"/>
          <w:sz w:val="20"/>
          <w:szCs w:val="20"/>
          <w:highlight w:val="yellow"/>
          <w:rtl/>
        </w:rPr>
        <w:t xml:space="preserve">היווצרות כלי להגנה </w:t>
      </w:r>
      <w:r>
        <w:rPr>
          <w:rFonts w:hint="cs"/>
          <w:sz w:val="20"/>
          <w:szCs w:val="20"/>
          <w:highlight w:val="yellow"/>
          <w:rtl/>
        </w:rPr>
        <w:t>מוגברת</w:t>
      </w:r>
      <w:r w:rsidRPr="00E6087F">
        <w:rPr>
          <w:rFonts w:hint="cs"/>
          <w:sz w:val="20"/>
          <w:szCs w:val="20"/>
          <w:highlight w:val="yellow"/>
          <w:rtl/>
        </w:rPr>
        <w:t xml:space="preserve"> על זכויות האדם בישראל </w:t>
      </w:r>
      <w:r w:rsidRPr="00E6087F">
        <w:rPr>
          <w:sz w:val="20"/>
          <w:szCs w:val="20"/>
          <w:highlight w:val="yellow"/>
          <w:rtl/>
        </w:rPr>
        <w:t>–</w:t>
      </w:r>
      <w:r w:rsidRPr="00E6087F">
        <w:rPr>
          <w:rFonts w:hint="cs"/>
          <w:sz w:val="20"/>
          <w:szCs w:val="20"/>
          <w:highlight w:val="yellow"/>
          <w:rtl/>
        </w:rPr>
        <w:t xml:space="preserve"> הגנה </w:t>
      </w:r>
      <w:r>
        <w:rPr>
          <w:rFonts w:hint="cs"/>
          <w:sz w:val="20"/>
          <w:szCs w:val="20"/>
          <w:highlight w:val="yellow"/>
          <w:rtl/>
        </w:rPr>
        <w:t xml:space="preserve">גם </w:t>
      </w:r>
      <w:r w:rsidRPr="00E6087F">
        <w:rPr>
          <w:rFonts w:hint="cs"/>
          <w:sz w:val="20"/>
          <w:szCs w:val="20"/>
          <w:highlight w:val="yellow"/>
          <w:rtl/>
        </w:rPr>
        <w:t xml:space="preserve">מפני המחוקק, מפני </w:t>
      </w:r>
      <w:r>
        <w:rPr>
          <w:rFonts w:hint="cs"/>
          <w:sz w:val="20"/>
          <w:szCs w:val="20"/>
          <w:highlight w:val="yellow"/>
          <w:rtl/>
        </w:rPr>
        <w:t>"</w:t>
      </w:r>
      <w:r w:rsidRPr="00E6087F">
        <w:rPr>
          <w:rFonts w:hint="cs"/>
          <w:sz w:val="20"/>
          <w:szCs w:val="20"/>
          <w:highlight w:val="yellow"/>
          <w:rtl/>
        </w:rPr>
        <w:t>עיקרון הרוב</w:t>
      </w:r>
      <w:r>
        <w:rPr>
          <w:rFonts w:hint="cs"/>
          <w:sz w:val="20"/>
          <w:szCs w:val="20"/>
          <w:highlight w:val="yellow"/>
          <w:rtl/>
        </w:rPr>
        <w:t>" וייצוגו במוסד העליון של ישראל, הכנסת</w:t>
      </w:r>
      <w:r w:rsidRPr="00E6087F">
        <w:rPr>
          <w:rFonts w:hint="cs"/>
          <w:sz w:val="20"/>
          <w:szCs w:val="20"/>
          <w:highlight w:val="yellow"/>
          <w:rtl/>
        </w:rPr>
        <w:t>: ביקורת שיפוטית חוקתית [בחינה שיפוטית של תוקפה של חקיקה (ולרוב, חקיקה חדשה</w:t>
      </w:r>
      <w:r>
        <w:rPr>
          <w:rFonts w:hint="cs"/>
          <w:sz w:val="20"/>
          <w:szCs w:val="20"/>
          <w:highlight w:val="yellow"/>
          <w:rtl/>
        </w:rPr>
        <w:t>, שלאחר 1992</w:t>
      </w:r>
      <w:r w:rsidRPr="00E6087F">
        <w:rPr>
          <w:rFonts w:hint="cs"/>
          <w:sz w:val="20"/>
          <w:szCs w:val="20"/>
          <w:highlight w:val="yellow"/>
          <w:rtl/>
        </w:rPr>
        <w:t>) למול חוקי היסוד]</w:t>
      </w:r>
    </w:p>
    <w:p w:rsidR="005366A8" w:rsidRPr="00E6087F" w:rsidRDefault="005366A8" w:rsidP="005366A8">
      <w:pPr>
        <w:spacing w:after="60"/>
        <w:ind w:left="720"/>
        <w:rPr>
          <w:sz w:val="20"/>
          <w:szCs w:val="20"/>
          <w:rtl/>
        </w:rPr>
      </w:pPr>
      <w:r>
        <w:rPr>
          <w:rFonts w:hint="cs"/>
          <w:sz w:val="20"/>
          <w:szCs w:val="20"/>
          <w:highlight w:val="yellow"/>
          <w:rtl/>
        </w:rPr>
        <w:t xml:space="preserve">^ </w:t>
      </w:r>
      <w:r w:rsidRPr="00E6087F">
        <w:rPr>
          <w:rFonts w:hint="cs"/>
          <w:sz w:val="20"/>
          <w:szCs w:val="20"/>
          <w:highlight w:val="yellow"/>
          <w:rtl/>
        </w:rPr>
        <w:t xml:space="preserve">האם זכינו מעשית ליתר הגנה על זכויות האדם? </w:t>
      </w:r>
      <w:r>
        <w:rPr>
          <w:rFonts w:hint="cs"/>
          <w:sz w:val="20"/>
          <w:szCs w:val="20"/>
          <w:rtl/>
        </w:rPr>
        <w:t>(לדעתי כן, אך השאלה החשובה היא "באיזו מידה?" התפעלותי מוגבלת..);</w:t>
      </w:r>
    </w:p>
    <w:p w:rsidR="005366A8" w:rsidRPr="00E6087F" w:rsidRDefault="005366A8" w:rsidP="005366A8">
      <w:pPr>
        <w:spacing w:after="60"/>
        <w:ind w:left="720"/>
        <w:rPr>
          <w:sz w:val="20"/>
          <w:szCs w:val="20"/>
          <w:highlight w:val="yellow"/>
          <w:rtl/>
        </w:rPr>
      </w:pPr>
      <w:r>
        <w:rPr>
          <w:rFonts w:hint="cs"/>
          <w:sz w:val="20"/>
          <w:szCs w:val="20"/>
          <w:highlight w:val="yellow"/>
          <w:rtl/>
        </w:rPr>
        <w:t xml:space="preserve">^ נקודה סמוכה: </w:t>
      </w:r>
      <w:r w:rsidRPr="00E6087F">
        <w:rPr>
          <w:rFonts w:hint="cs"/>
          <w:sz w:val="20"/>
          <w:szCs w:val="20"/>
          <w:highlight w:val="yellow"/>
          <w:rtl/>
        </w:rPr>
        <w:t xml:space="preserve">האם השתנו דברים ממשיים בתרבות הפוליטית של החברה הישראלית בהקשרן של זכויות האדם? </w:t>
      </w:r>
    </w:p>
    <w:p w:rsidR="005366A8" w:rsidRPr="00112855" w:rsidRDefault="005366A8" w:rsidP="005366A8">
      <w:pPr>
        <w:spacing w:after="60"/>
        <w:ind w:left="1440"/>
        <w:rPr>
          <w:rFonts w:ascii="Arial" w:hAnsi="Arial" w:cs="Arial"/>
          <w:sz w:val="18"/>
          <w:szCs w:val="18"/>
          <w:rtl/>
        </w:rPr>
      </w:pPr>
      <w:r w:rsidRPr="00112855">
        <w:rPr>
          <w:rFonts w:ascii="Arial" w:hAnsi="Arial" w:cs="Arial"/>
          <w:sz w:val="18"/>
          <w:szCs w:val="18"/>
          <w:rtl/>
        </w:rPr>
        <w:t xml:space="preserve">ביחס לשתי השאלות האחרונות יש לשים לב לקושי שלנו לבודד מרכיב אחד ולשאול שאלות סיבתיות ביחס אליו. החברה הישראלית ניצבת בפני נסיבות קשות – ולא משנה כרגע מידת "האשם התורם" שלה – ועל כן קשה לקשור </w:t>
      </w:r>
      <w:r>
        <w:rPr>
          <w:rFonts w:ascii="Arial" w:hAnsi="Arial" w:cs="Arial" w:hint="cs"/>
          <w:sz w:val="18"/>
          <w:szCs w:val="18"/>
          <w:rtl/>
        </w:rPr>
        <w:t>בין</w:t>
      </w:r>
      <w:r w:rsidRPr="00112855">
        <w:rPr>
          <w:rFonts w:ascii="Arial" w:hAnsi="Arial" w:cs="Arial"/>
          <w:sz w:val="18"/>
          <w:szCs w:val="18"/>
          <w:rtl/>
        </w:rPr>
        <w:t xml:space="preserve"> מצבה הנוכחי</w:t>
      </w:r>
      <w:r>
        <w:rPr>
          <w:rFonts w:ascii="Arial" w:hAnsi="Arial" w:cs="Arial" w:hint="cs"/>
          <w:sz w:val="18"/>
          <w:szCs w:val="18"/>
          <w:rtl/>
        </w:rPr>
        <w:t xml:space="preserve"> הקשה או הלא-פשוט</w:t>
      </w:r>
      <w:r w:rsidRPr="00112855">
        <w:rPr>
          <w:rFonts w:ascii="Arial" w:hAnsi="Arial" w:cs="Arial"/>
          <w:sz w:val="18"/>
          <w:szCs w:val="18"/>
          <w:rtl/>
        </w:rPr>
        <w:t xml:space="preserve"> </w:t>
      </w:r>
      <w:r>
        <w:rPr>
          <w:rFonts w:ascii="Arial" w:hAnsi="Arial" w:cs="Arial" w:hint="cs"/>
          <w:sz w:val="18"/>
          <w:szCs w:val="18"/>
          <w:rtl/>
        </w:rPr>
        <w:t xml:space="preserve">לבין </w:t>
      </w:r>
      <w:r w:rsidRPr="00112855">
        <w:rPr>
          <w:rFonts w:ascii="Arial" w:hAnsi="Arial" w:cs="Arial"/>
          <w:sz w:val="18"/>
          <w:szCs w:val="18"/>
          <w:rtl/>
        </w:rPr>
        <w:t xml:space="preserve">שאלת המהפכה החוקתית. השאלה הממוקדת יותר, על כן, היא האם התייצבותה </w:t>
      </w:r>
      <w:r>
        <w:rPr>
          <w:rFonts w:ascii="Arial" w:hAnsi="Arial" w:cs="Arial" w:hint="cs"/>
          <w:sz w:val="18"/>
          <w:szCs w:val="18"/>
          <w:rtl/>
        </w:rPr>
        <w:t xml:space="preserve">של ישראל </w:t>
      </w:r>
      <w:r w:rsidRPr="00112855">
        <w:rPr>
          <w:rFonts w:ascii="Arial" w:hAnsi="Arial" w:cs="Arial"/>
          <w:sz w:val="18"/>
          <w:szCs w:val="18"/>
          <w:rtl/>
        </w:rPr>
        <w:t xml:space="preserve">לנוכח נסיבותיה בלי המהפכה החוקתית היתה מועילה יותר או </w:t>
      </w:r>
      <w:r>
        <w:rPr>
          <w:rFonts w:ascii="Arial" w:hAnsi="Arial" w:cs="Arial" w:hint="cs"/>
          <w:sz w:val="18"/>
          <w:szCs w:val="18"/>
          <w:rtl/>
        </w:rPr>
        <w:t xml:space="preserve">מועילה </w:t>
      </w:r>
      <w:r w:rsidRPr="00112855">
        <w:rPr>
          <w:rFonts w:ascii="Arial" w:hAnsi="Arial" w:cs="Arial"/>
          <w:sz w:val="18"/>
          <w:szCs w:val="18"/>
          <w:rtl/>
        </w:rPr>
        <w:t>פחות להתמודדותה עם קשייה? זו שאלה ש</w:t>
      </w:r>
      <w:r>
        <w:rPr>
          <w:rFonts w:ascii="Arial" w:hAnsi="Arial" w:cs="Arial" w:hint="cs"/>
          <w:sz w:val="18"/>
          <w:szCs w:val="18"/>
          <w:rtl/>
        </w:rPr>
        <w:t>אינה פשוטה למענה</w:t>
      </w:r>
      <w:r w:rsidRPr="00112855">
        <w:rPr>
          <w:rFonts w:ascii="Arial" w:hAnsi="Arial" w:cs="Arial"/>
          <w:sz w:val="18"/>
          <w:szCs w:val="18"/>
          <w:rtl/>
        </w:rPr>
        <w:t>.</w:t>
      </w:r>
    </w:p>
    <w:p w:rsidR="005366A8" w:rsidRPr="00E6087F" w:rsidRDefault="005366A8" w:rsidP="005366A8">
      <w:pPr>
        <w:spacing w:after="60"/>
        <w:ind w:left="720"/>
        <w:rPr>
          <w:sz w:val="20"/>
          <w:szCs w:val="20"/>
          <w:highlight w:val="yellow"/>
          <w:rtl/>
        </w:rPr>
      </w:pPr>
      <w:r>
        <w:rPr>
          <w:rFonts w:hint="cs"/>
          <w:sz w:val="20"/>
          <w:szCs w:val="20"/>
          <w:highlight w:val="yellow"/>
          <w:rtl/>
        </w:rPr>
        <w:t xml:space="preserve">^ </w:t>
      </w:r>
      <w:r w:rsidRPr="00E6087F">
        <w:rPr>
          <w:rFonts w:hint="cs"/>
          <w:sz w:val="20"/>
          <w:szCs w:val="20"/>
          <w:highlight w:val="yellow"/>
          <w:rtl/>
        </w:rPr>
        <w:t>האם החוקה שנוצרה העמיקה או מיתנה את השסעים בחברה הישראלית</w:t>
      </w:r>
      <w:r>
        <w:rPr>
          <w:rFonts w:hint="cs"/>
          <w:sz w:val="20"/>
          <w:szCs w:val="20"/>
          <w:highlight w:val="yellow"/>
          <w:rtl/>
        </w:rPr>
        <w:t>: השסע הלאומי, השסע הדתי</w:t>
      </w:r>
      <w:r w:rsidRPr="00E6087F">
        <w:rPr>
          <w:rFonts w:hint="cs"/>
          <w:sz w:val="20"/>
          <w:szCs w:val="20"/>
          <w:highlight w:val="yellow"/>
          <w:rtl/>
        </w:rPr>
        <w:t xml:space="preserve">? </w:t>
      </w:r>
      <w:r>
        <w:rPr>
          <w:rFonts w:hint="cs"/>
          <w:sz w:val="20"/>
          <w:szCs w:val="20"/>
          <w:highlight w:val="yellow"/>
          <w:rtl/>
        </w:rPr>
        <w:t>האם השפיעה על כל אחת מהן באותו אופן</w:t>
      </w:r>
      <w:r w:rsidRPr="00E6087F">
        <w:rPr>
          <w:rFonts w:hint="cs"/>
          <w:sz w:val="20"/>
          <w:szCs w:val="20"/>
          <w:highlight w:val="yellow"/>
          <w:rtl/>
        </w:rPr>
        <w:t>?</w:t>
      </w:r>
    </w:p>
    <w:p w:rsidR="005366A8" w:rsidRDefault="005366A8" w:rsidP="005366A8">
      <w:pPr>
        <w:spacing w:after="60"/>
        <w:ind w:left="720"/>
        <w:rPr>
          <w:sz w:val="20"/>
          <w:szCs w:val="20"/>
          <w:highlight w:val="yellow"/>
          <w:rtl/>
        </w:rPr>
      </w:pPr>
      <w:r>
        <w:rPr>
          <w:rFonts w:hint="cs"/>
          <w:sz w:val="20"/>
          <w:szCs w:val="20"/>
          <w:highlight w:val="yellow"/>
          <w:rtl/>
        </w:rPr>
        <w:t>^ המהפכה החוקתית תרמה ל</w:t>
      </w:r>
      <w:r w:rsidRPr="00E6087F">
        <w:rPr>
          <w:rFonts w:hint="cs"/>
          <w:sz w:val="20"/>
          <w:szCs w:val="20"/>
          <w:highlight w:val="yellow"/>
          <w:rtl/>
        </w:rPr>
        <w:t xml:space="preserve">פוליטיזציה במעמדו/ </w:t>
      </w:r>
      <w:r>
        <w:rPr>
          <w:rFonts w:hint="cs"/>
          <w:sz w:val="20"/>
          <w:szCs w:val="20"/>
          <w:highlight w:val="yellow"/>
          <w:rtl/>
        </w:rPr>
        <w:t>ב</w:t>
      </w:r>
      <w:r w:rsidRPr="00E6087F">
        <w:rPr>
          <w:rFonts w:hint="cs"/>
          <w:sz w:val="20"/>
          <w:szCs w:val="20"/>
          <w:highlight w:val="yellow"/>
          <w:rtl/>
        </w:rPr>
        <w:t xml:space="preserve">דימויו של בית המשפט העליון </w:t>
      </w:r>
      <w:r w:rsidRPr="00E6087F">
        <w:rPr>
          <w:sz w:val="20"/>
          <w:szCs w:val="20"/>
          <w:highlight w:val="yellow"/>
          <w:rtl/>
        </w:rPr>
        <w:t>–</w:t>
      </w:r>
      <w:r w:rsidRPr="00E6087F">
        <w:rPr>
          <w:rFonts w:hint="cs"/>
          <w:sz w:val="20"/>
          <w:szCs w:val="20"/>
          <w:highlight w:val="yellow"/>
          <w:rtl/>
        </w:rPr>
        <w:t xml:space="preserve"> </w:t>
      </w:r>
      <w:r>
        <w:rPr>
          <w:rFonts w:hint="cs"/>
          <w:sz w:val="20"/>
          <w:szCs w:val="20"/>
          <w:highlight w:val="yellow"/>
          <w:rtl/>
        </w:rPr>
        <w:t xml:space="preserve">וכך העצימה את </w:t>
      </w:r>
      <w:r w:rsidRPr="00E6087F">
        <w:rPr>
          <w:rFonts w:hint="cs"/>
          <w:sz w:val="20"/>
          <w:szCs w:val="20"/>
          <w:highlight w:val="yellow"/>
          <w:rtl/>
        </w:rPr>
        <w:t>הסכנה לפגיעה בו</w:t>
      </w:r>
      <w:r>
        <w:rPr>
          <w:rFonts w:hint="cs"/>
          <w:sz w:val="20"/>
          <w:szCs w:val="20"/>
          <w:highlight w:val="yellow"/>
          <w:rtl/>
        </w:rPr>
        <w:t xml:space="preserve">. </w:t>
      </w:r>
    </w:p>
    <w:p w:rsidR="005366A8" w:rsidRDefault="005366A8" w:rsidP="005366A8">
      <w:pPr>
        <w:spacing w:after="60"/>
        <w:ind w:left="720"/>
        <w:rPr>
          <w:sz w:val="20"/>
          <w:szCs w:val="20"/>
          <w:highlight w:val="yellow"/>
          <w:rtl/>
        </w:rPr>
      </w:pPr>
      <w:r>
        <w:rPr>
          <w:rFonts w:hint="cs"/>
          <w:sz w:val="20"/>
          <w:szCs w:val="20"/>
          <w:highlight w:val="yellow"/>
          <w:rtl/>
        </w:rPr>
        <w:t xml:space="preserve">היכן </w:t>
      </w:r>
      <w:r w:rsidRPr="002D7B39">
        <w:rPr>
          <w:rFonts w:hint="cs"/>
          <w:b/>
          <w:bCs/>
          <w:sz w:val="20"/>
          <w:szCs w:val="20"/>
          <w:highlight w:val="yellow"/>
          <w:rtl/>
        </w:rPr>
        <w:t>בעיית הלגיטימיות</w:t>
      </w:r>
      <w:r>
        <w:rPr>
          <w:rFonts w:hint="cs"/>
          <w:sz w:val="20"/>
          <w:szCs w:val="20"/>
          <w:highlight w:val="yellow"/>
          <w:rtl/>
        </w:rPr>
        <w:t xml:space="preserve">? </w:t>
      </w:r>
    </w:p>
    <w:p w:rsidR="005366A8" w:rsidRDefault="005366A8" w:rsidP="005366A8">
      <w:pPr>
        <w:spacing w:after="60"/>
        <w:ind w:left="1440"/>
        <w:rPr>
          <w:sz w:val="20"/>
          <w:szCs w:val="20"/>
          <w:highlight w:val="yellow"/>
          <w:rtl/>
        </w:rPr>
      </w:pPr>
      <w:r>
        <w:rPr>
          <w:rFonts w:hint="cs"/>
          <w:sz w:val="20"/>
          <w:szCs w:val="20"/>
          <w:highlight w:val="yellow"/>
          <w:rtl/>
        </w:rPr>
        <w:t xml:space="preserve">ראשית, חלק מהציבור ונציגיו לא אוהבים את התוצאות. קרי, ריסון "עקרון הרוב" לטובת הגנה על זכויות אדם וזכויות מיעוט. </w:t>
      </w:r>
    </w:p>
    <w:p w:rsidR="005366A8" w:rsidRDefault="005366A8" w:rsidP="005366A8">
      <w:pPr>
        <w:spacing w:after="60"/>
        <w:ind w:left="1440"/>
        <w:rPr>
          <w:sz w:val="20"/>
          <w:szCs w:val="20"/>
          <w:highlight w:val="yellow"/>
          <w:rtl/>
        </w:rPr>
      </w:pPr>
      <w:r>
        <w:rPr>
          <w:rFonts w:hint="cs"/>
          <w:sz w:val="20"/>
          <w:szCs w:val="20"/>
          <w:highlight w:val="yellow"/>
          <w:rtl/>
        </w:rPr>
        <w:t>שנית, חלק כועסים על הדרך שבה זה נעשה. מדובר, בין היתר, בטענה למעורבות יתר של בית המשפט העליון, והגעה לדברים שהם (מי מהם שתמך באימוץ חוקי היסוד) לא התכוון להם. למה הכוונה? בעיקר לשני מבין השינויים הבאים אך אולי גם לראשון:</w:t>
      </w:r>
      <w:r w:rsidRPr="00E6087F">
        <w:rPr>
          <w:rFonts w:hint="cs"/>
          <w:sz w:val="20"/>
          <w:szCs w:val="20"/>
          <w:highlight w:val="yellow"/>
          <w:rtl/>
        </w:rPr>
        <w:t xml:space="preserve"> </w:t>
      </w:r>
    </w:p>
    <w:p w:rsidR="005366A8" w:rsidRDefault="005366A8" w:rsidP="005366A8">
      <w:pPr>
        <w:spacing w:after="60"/>
        <w:ind w:left="2880" w:hanging="720"/>
        <w:rPr>
          <w:sz w:val="20"/>
          <w:szCs w:val="20"/>
          <w:highlight w:val="yellow"/>
          <w:rtl/>
        </w:rPr>
      </w:pPr>
      <w:r>
        <w:rPr>
          <w:rFonts w:hint="cs"/>
          <w:sz w:val="20"/>
          <w:szCs w:val="20"/>
          <w:highlight w:val="yellow"/>
          <w:rtl/>
        </w:rPr>
        <w:t>א. הרחבת "העליונות" לכל חוקי היסוד, לא רק לאלה שהם נוקשים או שיש בתוכם ביטוי מובהק של עליונות (דוגמת "פסקת ההגבלה"), אלא למכלול חוקי היסוד; תולדה חשובה של עליונות זו, היא כי אין שינוי של חוק יסוד אלא בחוק יסוד (עם זאת, פגיעה בחוק כן מתאפשרת אם חוק היסוד מאפשר זאת);</w:t>
      </w:r>
    </w:p>
    <w:p w:rsidR="005366A8" w:rsidRDefault="005366A8" w:rsidP="005366A8">
      <w:pPr>
        <w:spacing w:after="60"/>
        <w:ind w:left="2880" w:hanging="720"/>
        <w:rPr>
          <w:sz w:val="20"/>
          <w:szCs w:val="20"/>
          <w:highlight w:val="yellow"/>
          <w:rtl/>
        </w:rPr>
      </w:pPr>
      <w:r>
        <w:rPr>
          <w:rFonts w:hint="cs"/>
          <w:sz w:val="20"/>
          <w:szCs w:val="20"/>
          <w:highlight w:val="yellow"/>
          <w:rtl/>
        </w:rPr>
        <w:t xml:space="preserve">ב. מציאת עיגון משתמע בחוקי היסוד לזכויות-יסוד מרכזיות שלא הופיעו בתוכם במפורש (דוגמת היבטים מרכזיים של הזכות לשוויון וחופש הביטוי הפוליטי) </w:t>
      </w:r>
      <w:r>
        <w:rPr>
          <w:sz w:val="20"/>
          <w:szCs w:val="20"/>
          <w:highlight w:val="yellow"/>
          <w:rtl/>
        </w:rPr>
        <w:t>–</w:t>
      </w:r>
      <w:r>
        <w:rPr>
          <w:rFonts w:hint="cs"/>
          <w:sz w:val="20"/>
          <w:szCs w:val="20"/>
          <w:highlight w:val="yellow"/>
          <w:rtl/>
        </w:rPr>
        <w:t xml:space="preserve"> וכך הענקת סמכות ביקורת שיפוטית חוקתית ביחס לחוקים הפוגעים שלא על פי תנאי פסקת ההגבלה באותן זכויות יסוד כבדות-משקל אך שנויות במחלוקת;</w:t>
      </w:r>
    </w:p>
    <w:p w:rsidR="005366A8" w:rsidRPr="00961B12" w:rsidRDefault="005366A8" w:rsidP="005366A8">
      <w:pPr>
        <w:spacing w:after="60"/>
        <w:ind w:left="2160" w:hanging="720"/>
        <w:rPr>
          <w:sz w:val="20"/>
          <w:szCs w:val="20"/>
          <w:highlight w:val="yellow"/>
          <w:u w:val="single"/>
          <w:rtl/>
        </w:rPr>
      </w:pPr>
      <w:r>
        <w:rPr>
          <w:rFonts w:hint="cs"/>
          <w:sz w:val="20"/>
          <w:szCs w:val="20"/>
          <w:highlight w:val="yellow"/>
          <w:rtl/>
        </w:rPr>
        <w:t xml:space="preserve">מנגד, תרומתו </w:t>
      </w:r>
      <w:r w:rsidRPr="00E6087F">
        <w:rPr>
          <w:rFonts w:hint="cs"/>
          <w:sz w:val="20"/>
          <w:szCs w:val="20"/>
          <w:highlight w:val="yellow"/>
          <w:rtl/>
        </w:rPr>
        <w:t xml:space="preserve">של "הדיאלוג החוקתי" </w:t>
      </w:r>
      <w:r>
        <w:rPr>
          <w:rFonts w:hint="cs"/>
          <w:sz w:val="20"/>
          <w:szCs w:val="20"/>
          <w:highlight w:val="yellow"/>
          <w:rtl/>
        </w:rPr>
        <w:t xml:space="preserve">ללגיטימיות של המבנה החוקתי </w:t>
      </w:r>
      <w:r w:rsidRPr="00E6087F">
        <w:rPr>
          <w:rFonts w:hint="cs"/>
          <w:sz w:val="20"/>
          <w:szCs w:val="20"/>
          <w:highlight w:val="yellow"/>
          <w:rtl/>
        </w:rPr>
        <w:t>שנוצר</w:t>
      </w:r>
      <w:r>
        <w:rPr>
          <w:rFonts w:hint="cs"/>
          <w:sz w:val="20"/>
          <w:szCs w:val="20"/>
          <w:highlight w:val="yellow"/>
          <w:rtl/>
        </w:rPr>
        <w:t xml:space="preserve"> </w:t>
      </w:r>
      <w:r>
        <w:rPr>
          <w:sz w:val="20"/>
          <w:szCs w:val="20"/>
          <w:highlight w:val="yellow"/>
          <w:rtl/>
        </w:rPr>
        <w:t>–</w:t>
      </w:r>
      <w:r>
        <w:rPr>
          <w:rFonts w:hint="cs"/>
          <w:sz w:val="20"/>
          <w:szCs w:val="20"/>
          <w:highlight w:val="yellow"/>
          <w:rtl/>
        </w:rPr>
        <w:t xml:space="preserve"> </w:t>
      </w:r>
      <w:r w:rsidRPr="00961B12">
        <w:rPr>
          <w:rFonts w:hint="cs"/>
          <w:sz w:val="20"/>
          <w:szCs w:val="20"/>
          <w:highlight w:val="yellow"/>
          <w:u w:val="single"/>
          <w:rtl/>
        </w:rPr>
        <w:t>מה המשמעות שיש לתת לכך שמבנה זה לא שונה למרות שאין זה מסובך לשנותו?</w:t>
      </w:r>
    </w:p>
    <w:p w:rsidR="005366A8" w:rsidRPr="00E6087F" w:rsidRDefault="005366A8" w:rsidP="005366A8">
      <w:pPr>
        <w:spacing w:after="60"/>
        <w:ind w:left="720"/>
        <w:rPr>
          <w:sz w:val="20"/>
          <w:szCs w:val="20"/>
          <w:rtl/>
        </w:rPr>
      </w:pPr>
      <w:r>
        <w:rPr>
          <w:rFonts w:hint="cs"/>
          <w:sz w:val="20"/>
          <w:szCs w:val="20"/>
          <w:highlight w:val="yellow"/>
          <w:rtl/>
        </w:rPr>
        <w:t xml:space="preserve">^ ויש כמובן עוד שאלה חשובה מאד: </w:t>
      </w:r>
      <w:r w:rsidRPr="00E6087F">
        <w:rPr>
          <w:rFonts w:hint="cs"/>
          <w:sz w:val="20"/>
          <w:szCs w:val="20"/>
          <w:highlight w:val="yellow"/>
          <w:rtl/>
        </w:rPr>
        <w:t xml:space="preserve">האם נאמרה המילה האחרונה ביחס למבנה החוקתי של ישראל? </w:t>
      </w:r>
      <w:r>
        <w:rPr>
          <w:rFonts w:hint="cs"/>
          <w:sz w:val="20"/>
          <w:szCs w:val="20"/>
          <w:highlight w:val="yellow"/>
          <w:rtl/>
        </w:rPr>
        <w:t xml:space="preserve">נראה שלא. </w:t>
      </w:r>
      <w:r w:rsidRPr="00E6087F">
        <w:rPr>
          <w:rFonts w:hint="cs"/>
          <w:sz w:val="20"/>
          <w:szCs w:val="20"/>
          <w:highlight w:val="yellow"/>
          <w:rtl/>
        </w:rPr>
        <w:t>לאיזה כיוון יוביל העתיד?</w:t>
      </w:r>
    </w:p>
    <w:p w:rsidR="005366A8" w:rsidRPr="00E6087F" w:rsidRDefault="005366A8" w:rsidP="005366A8">
      <w:pPr>
        <w:spacing w:after="60"/>
        <w:ind w:left="720"/>
        <w:rPr>
          <w:sz w:val="20"/>
          <w:szCs w:val="20"/>
          <w:rtl/>
        </w:rPr>
      </w:pPr>
      <w:r w:rsidRPr="00E6087F">
        <w:rPr>
          <w:rFonts w:hint="cs"/>
          <w:sz w:val="20"/>
          <w:szCs w:val="20"/>
          <w:rtl/>
        </w:rPr>
        <w:t>[...]</w:t>
      </w:r>
    </w:p>
    <w:p w:rsidR="005366A8" w:rsidRDefault="005366A8" w:rsidP="005366A8">
      <w:pPr>
        <w:spacing w:after="60"/>
        <w:rPr>
          <w:rFonts w:cs="Guttman-Soncino"/>
          <w:sz w:val="20"/>
          <w:szCs w:val="20"/>
          <w:highlight w:val="yellow"/>
          <w:rtl/>
        </w:rPr>
      </w:pPr>
      <w:r>
        <w:rPr>
          <w:rFonts w:cs="Guttman-Soncino" w:hint="cs"/>
          <w:sz w:val="20"/>
          <w:szCs w:val="20"/>
          <w:highlight w:val="yellow"/>
          <w:rtl/>
        </w:rPr>
        <w:t>=-=</w:t>
      </w:r>
    </w:p>
    <w:p w:rsidR="005366A8" w:rsidRDefault="005366A8" w:rsidP="005366A8">
      <w:pPr>
        <w:spacing w:after="60"/>
        <w:rPr>
          <w:sz w:val="22"/>
          <w:szCs w:val="22"/>
          <w:rtl/>
        </w:rPr>
      </w:pPr>
      <w:r w:rsidRPr="00871F4F">
        <w:rPr>
          <w:rFonts w:hint="cs"/>
          <w:sz w:val="22"/>
          <w:szCs w:val="22"/>
          <w:rtl/>
        </w:rPr>
        <w:t>קושי וחולשה טמונים, בין היתר, בחלקיותה של החוקה</w:t>
      </w:r>
      <w:r>
        <w:rPr>
          <w:rFonts w:hint="cs"/>
          <w:sz w:val="22"/>
          <w:szCs w:val="22"/>
          <w:rtl/>
        </w:rPr>
        <w:t xml:space="preserve"> הפורמאלית שהתגבשה.</w:t>
      </w:r>
      <w:r w:rsidRPr="00871F4F">
        <w:rPr>
          <w:rFonts w:hint="cs"/>
          <w:sz w:val="22"/>
          <w:szCs w:val="22"/>
          <w:rtl/>
        </w:rPr>
        <w:t xml:space="preserve"> לחוקי היסוד הקיימים </w:t>
      </w:r>
      <w:r w:rsidRPr="00B07599">
        <w:rPr>
          <w:rFonts w:hint="cs"/>
          <w:sz w:val="22"/>
          <w:szCs w:val="22"/>
          <w:highlight w:val="yellow"/>
          <w:rtl/>
        </w:rPr>
        <w:t xml:space="preserve">חסרה הצטרפותו של חוק יסוד שעניינו </w:t>
      </w:r>
      <w:r w:rsidRPr="00B07599">
        <w:rPr>
          <w:rFonts w:hint="cs"/>
          <w:b/>
          <w:bCs/>
          <w:sz w:val="22"/>
          <w:szCs w:val="22"/>
          <w:highlight w:val="yellow"/>
          <w:rtl/>
        </w:rPr>
        <w:t>אופן הקבלה והתיקון של חוקי היסוד</w:t>
      </w:r>
      <w:r w:rsidRPr="00B07599">
        <w:rPr>
          <w:rFonts w:hint="cs"/>
          <w:sz w:val="22"/>
          <w:szCs w:val="22"/>
          <w:highlight w:val="yellow"/>
          <w:rtl/>
        </w:rPr>
        <w:t>.</w:t>
      </w:r>
      <w:r w:rsidRPr="00871F4F">
        <w:rPr>
          <w:rFonts w:hint="cs"/>
          <w:sz w:val="22"/>
          <w:szCs w:val="22"/>
          <w:rtl/>
        </w:rPr>
        <w:t xml:space="preserve"> </w:t>
      </w:r>
      <w:r>
        <w:rPr>
          <w:rFonts w:hint="cs"/>
          <w:sz w:val="22"/>
          <w:szCs w:val="22"/>
          <w:rtl/>
        </w:rPr>
        <w:t>ניתן לראות חלק מהחסר בתוך מה שמופיע בהסדרים המוצעים לאימוץ</w:t>
      </w:r>
      <w:r w:rsidRPr="00871F4F">
        <w:rPr>
          <w:sz w:val="22"/>
          <w:szCs w:val="22"/>
          <w:rtl/>
        </w:rPr>
        <w:t xml:space="preserve"> </w:t>
      </w:r>
      <w:r w:rsidRPr="00871F4F">
        <w:rPr>
          <w:sz w:val="22"/>
          <w:szCs w:val="22"/>
          <w:u w:val="single"/>
          <w:rtl/>
        </w:rPr>
        <w:t>בהצעת</w:t>
      </w:r>
      <w:r w:rsidRPr="00871F4F">
        <w:rPr>
          <w:sz w:val="22"/>
          <w:szCs w:val="22"/>
          <w:rtl/>
        </w:rPr>
        <w:t xml:space="preserve"> חוק-יסוד: החקיקה.</w:t>
      </w:r>
      <w:r>
        <w:rPr>
          <w:sz w:val="22"/>
          <w:szCs w:val="22"/>
          <w:rtl/>
        </w:rPr>
        <w:t xml:space="preserve"> </w:t>
      </w:r>
    </w:p>
    <w:p w:rsidR="005366A8" w:rsidRDefault="005366A8" w:rsidP="005366A8">
      <w:pPr>
        <w:spacing w:after="60"/>
        <w:rPr>
          <w:sz w:val="22"/>
          <w:szCs w:val="22"/>
          <w:rtl/>
        </w:rPr>
      </w:pPr>
      <w:r w:rsidRPr="0067113C">
        <w:rPr>
          <w:sz w:val="22"/>
          <w:szCs w:val="22"/>
          <w:rtl/>
        </w:rPr>
        <w:t xml:space="preserve">להלן </w:t>
      </w:r>
      <w:r w:rsidRPr="0067113C">
        <w:rPr>
          <w:rFonts w:hint="cs"/>
          <w:sz w:val="22"/>
          <w:szCs w:val="22"/>
          <w:rtl/>
        </w:rPr>
        <w:t>גרסה אחת</w:t>
      </w:r>
      <w:r>
        <w:rPr>
          <w:rFonts w:hint="cs"/>
          <w:sz w:val="22"/>
          <w:szCs w:val="22"/>
          <w:rtl/>
        </w:rPr>
        <w:t>, המעודכנת ביותר, שגובשה על ידי שר המשפטים בשנת 2012</w:t>
      </w:r>
      <w:r w:rsidRPr="0067113C">
        <w:rPr>
          <w:sz w:val="22"/>
          <w:szCs w:val="22"/>
          <w:rtl/>
        </w:rPr>
        <w:t xml:space="preserve">. יש כמה גרסאות, וביניהן </w:t>
      </w:r>
      <w:r w:rsidRPr="0067113C">
        <w:rPr>
          <w:rFonts w:hint="cs"/>
          <w:sz w:val="22"/>
          <w:szCs w:val="22"/>
          <w:rtl/>
        </w:rPr>
        <w:t>מספר</w:t>
      </w:r>
      <w:r w:rsidRPr="0067113C">
        <w:rPr>
          <w:sz w:val="22"/>
          <w:szCs w:val="22"/>
          <w:rtl/>
        </w:rPr>
        <w:t xml:space="preserve"> </w:t>
      </w:r>
      <w:r w:rsidRPr="0067113C">
        <w:rPr>
          <w:rFonts w:hint="cs"/>
          <w:sz w:val="22"/>
          <w:szCs w:val="22"/>
          <w:rtl/>
        </w:rPr>
        <w:t>הבדלים</w:t>
      </w:r>
      <w:r w:rsidRPr="0067113C">
        <w:rPr>
          <w:sz w:val="22"/>
          <w:szCs w:val="22"/>
          <w:rtl/>
        </w:rPr>
        <w:t>.</w:t>
      </w:r>
      <w:r w:rsidRPr="0067113C">
        <w:rPr>
          <w:sz w:val="22"/>
          <w:szCs w:val="22"/>
        </w:rPr>
        <w:t>Don't hold your breath; it's not just around the corner</w:t>
      </w:r>
      <w:r w:rsidRPr="0067113C">
        <w:rPr>
          <w:rFonts w:hint="cs"/>
          <w:sz w:val="22"/>
          <w:szCs w:val="22"/>
          <w:rtl/>
        </w:rPr>
        <w:t>. המתנגדים להצעה הם רבי</w:t>
      </w:r>
      <w:r>
        <w:rPr>
          <w:rFonts w:hint="cs"/>
          <w:sz w:val="22"/>
          <w:szCs w:val="22"/>
          <w:rtl/>
        </w:rPr>
        <w:t>-</w:t>
      </w:r>
      <w:r w:rsidRPr="0067113C">
        <w:rPr>
          <w:rFonts w:hint="cs"/>
          <w:sz w:val="22"/>
          <w:szCs w:val="22"/>
          <w:rtl/>
        </w:rPr>
        <w:t xml:space="preserve">כוח, ולכן סיכוייה </w:t>
      </w:r>
      <w:r>
        <w:rPr>
          <w:rFonts w:hint="cs"/>
          <w:sz w:val="22"/>
          <w:szCs w:val="22"/>
          <w:rtl/>
        </w:rPr>
        <w:t xml:space="preserve">להתקבל </w:t>
      </w:r>
      <w:r w:rsidRPr="0067113C">
        <w:rPr>
          <w:rFonts w:hint="cs"/>
          <w:sz w:val="22"/>
          <w:szCs w:val="22"/>
          <w:rtl/>
        </w:rPr>
        <w:t>אינם רבים, ודאי בטווח הקרוב.</w:t>
      </w:r>
    </w:p>
    <w:p w:rsidR="005366A8" w:rsidRPr="0067113C" w:rsidRDefault="005366A8" w:rsidP="005366A8">
      <w:pPr>
        <w:spacing w:after="60"/>
        <w:rPr>
          <w:i/>
          <w:iCs/>
          <w:sz w:val="22"/>
          <w:szCs w:val="22"/>
          <w:rtl/>
        </w:rPr>
      </w:pPr>
    </w:p>
    <w:p w:rsidR="005366A8" w:rsidRPr="00A15337" w:rsidRDefault="005366A8" w:rsidP="005366A8">
      <w:pPr>
        <w:spacing w:after="60"/>
        <w:jc w:val="center"/>
        <w:rPr>
          <w:sz w:val="20"/>
          <w:szCs w:val="20"/>
          <w:rtl/>
        </w:rPr>
      </w:pPr>
      <w:r w:rsidRPr="00871F4F">
        <w:rPr>
          <w:rFonts w:cs="Arial"/>
          <w:b/>
          <w:bCs/>
          <w:i/>
          <w:iCs/>
          <w:sz w:val="22"/>
          <w:szCs w:val="22"/>
          <w:highlight w:val="green"/>
          <w:u w:val="single"/>
          <w:rtl/>
        </w:rPr>
        <w:t>הצעת</w:t>
      </w:r>
      <w:r w:rsidRPr="00871F4F">
        <w:rPr>
          <w:rFonts w:cs="Arial"/>
          <w:b/>
          <w:bCs/>
          <w:sz w:val="22"/>
          <w:szCs w:val="22"/>
          <w:u w:val="single"/>
          <w:rtl/>
        </w:rPr>
        <w:t xml:space="preserve"> </w:t>
      </w:r>
      <w:r w:rsidRPr="00C00D39">
        <w:rPr>
          <w:rFonts w:cs="Arial"/>
          <w:b/>
          <w:bCs/>
          <w:sz w:val="22"/>
          <w:szCs w:val="22"/>
          <w:highlight w:val="yellow"/>
          <w:rtl/>
        </w:rPr>
        <w:t>חוק-יסוד: החקיקה</w:t>
      </w:r>
      <w:r w:rsidRPr="00A7064F">
        <w:rPr>
          <w:rFonts w:cs="Arial"/>
          <w:b/>
          <w:bCs/>
          <w:sz w:val="20"/>
          <w:szCs w:val="20"/>
          <w:rtl/>
        </w:rPr>
        <w:t xml:space="preserve"> </w:t>
      </w:r>
      <w:r w:rsidRPr="00961B12">
        <w:rPr>
          <w:rFonts w:cs="Arial" w:hint="cs"/>
          <w:i/>
          <w:iCs/>
          <w:sz w:val="20"/>
          <w:szCs w:val="20"/>
          <w:rtl/>
        </w:rPr>
        <w:t>(זוכרים? הצעה היא רק הצעה..)</w:t>
      </w:r>
      <w:r w:rsidRPr="00961B12">
        <w:rPr>
          <w:rFonts w:cs="Arial"/>
          <w:i/>
          <w:iCs/>
          <w:sz w:val="20"/>
          <w:szCs w:val="20"/>
          <w:rtl/>
        </w:rPr>
        <w:br/>
      </w:r>
    </w:p>
    <w:p w:rsidR="005366A8" w:rsidRPr="00A15337" w:rsidRDefault="005366A8" w:rsidP="005366A8">
      <w:pPr>
        <w:spacing w:after="60"/>
        <w:jc w:val="center"/>
        <w:rPr>
          <w:sz w:val="20"/>
          <w:szCs w:val="20"/>
          <w:rtl/>
        </w:rPr>
      </w:pPr>
    </w:p>
    <w:p w:rsidR="005366A8" w:rsidRPr="00A15337" w:rsidRDefault="005366A8" w:rsidP="005366A8">
      <w:pPr>
        <w:pStyle w:val="a4"/>
        <w:spacing w:after="60" w:line="240" w:lineRule="auto"/>
        <w:jc w:val="center"/>
        <w:outlineLvl w:val="0"/>
        <w:rPr>
          <w:b/>
          <w:bCs/>
          <w:szCs w:val="20"/>
          <w:u w:val="single"/>
          <w:rtl/>
        </w:rPr>
      </w:pPr>
      <w:r w:rsidRPr="00A15337">
        <w:rPr>
          <w:b/>
          <w:bCs/>
          <w:szCs w:val="20"/>
          <w:u w:val="single"/>
          <w:rtl/>
        </w:rPr>
        <w:t>פרק א':</w:t>
      </w:r>
      <w:r>
        <w:rPr>
          <w:b/>
          <w:bCs/>
          <w:szCs w:val="20"/>
          <w:u w:val="single"/>
          <w:rtl/>
        </w:rPr>
        <w:t xml:space="preserve"> </w:t>
      </w:r>
      <w:r w:rsidRPr="00A15337">
        <w:rPr>
          <w:b/>
          <w:bCs/>
          <w:szCs w:val="20"/>
          <w:u w:val="single"/>
          <w:rtl/>
        </w:rPr>
        <w:t>הרשות המחוקקת</w:t>
      </w:r>
    </w:p>
    <w:p w:rsidR="005366A8" w:rsidRPr="00A15337" w:rsidRDefault="005366A8" w:rsidP="005366A8">
      <w:pPr>
        <w:pStyle w:val="a4"/>
        <w:spacing w:after="60" w:line="240" w:lineRule="auto"/>
        <w:jc w:val="center"/>
        <w:rPr>
          <w:b/>
          <w:bCs/>
          <w:szCs w:val="20"/>
          <w:u w:val="single"/>
          <w:rtl/>
        </w:rPr>
      </w:pPr>
    </w:p>
    <w:tbl>
      <w:tblPr>
        <w:bidiVisual/>
        <w:tblW w:w="0" w:type="auto"/>
        <w:tblLayout w:type="fixed"/>
        <w:tblLook w:val="0000"/>
      </w:tblPr>
      <w:tblGrid>
        <w:gridCol w:w="1417"/>
        <w:gridCol w:w="283"/>
        <w:gridCol w:w="6917"/>
      </w:tblGrid>
      <w:tr w:rsidR="005366A8" w:rsidRPr="00A15337" w:rsidTr="001845AC">
        <w:trPr>
          <w:cantSplit/>
        </w:trPr>
        <w:tc>
          <w:tcPr>
            <w:tcW w:w="1417" w:type="dxa"/>
          </w:tcPr>
          <w:p w:rsidR="005366A8" w:rsidRPr="00A15337" w:rsidRDefault="005366A8" w:rsidP="001845AC">
            <w:pPr>
              <w:pStyle w:val="a5"/>
              <w:spacing w:after="60" w:line="240" w:lineRule="auto"/>
              <w:rPr>
                <w:rtl/>
              </w:rPr>
            </w:pPr>
            <w:r w:rsidRPr="00A15337">
              <w:rPr>
                <w:highlight w:val="yellow"/>
                <w:rtl/>
              </w:rPr>
              <w:t>הרשות המחוקקת והסמכות המכוננת</w:t>
            </w:r>
          </w:p>
        </w:tc>
        <w:tc>
          <w:tcPr>
            <w:tcW w:w="283" w:type="dxa"/>
          </w:tcPr>
          <w:p w:rsidR="005366A8" w:rsidRPr="00A15337" w:rsidRDefault="005366A8" w:rsidP="001845AC">
            <w:pPr>
              <w:pStyle w:val="a4"/>
              <w:spacing w:after="60" w:line="240" w:lineRule="auto"/>
              <w:rPr>
                <w:b/>
                <w:bCs/>
                <w:szCs w:val="20"/>
                <w:rtl/>
              </w:rPr>
            </w:pPr>
          </w:p>
        </w:tc>
        <w:tc>
          <w:tcPr>
            <w:tcW w:w="6917" w:type="dxa"/>
          </w:tcPr>
          <w:p w:rsidR="005366A8" w:rsidRPr="00A15337" w:rsidRDefault="005366A8" w:rsidP="001845AC">
            <w:pPr>
              <w:pStyle w:val="a4"/>
              <w:spacing w:after="60" w:line="240" w:lineRule="auto"/>
              <w:ind w:left="595" w:hanging="595"/>
              <w:rPr>
                <w:szCs w:val="20"/>
                <w:rtl/>
              </w:rPr>
            </w:pPr>
            <w:r w:rsidRPr="00A15337">
              <w:rPr>
                <w:szCs w:val="20"/>
                <w:rtl/>
              </w:rPr>
              <w:t>1.</w:t>
            </w:r>
            <w:r w:rsidRPr="00A15337">
              <w:rPr>
                <w:szCs w:val="20"/>
                <w:rtl/>
              </w:rPr>
              <w:tab/>
            </w:r>
            <w:r w:rsidRPr="00A15337">
              <w:rPr>
                <w:szCs w:val="20"/>
                <w:highlight w:val="yellow"/>
                <w:rtl/>
              </w:rPr>
              <w:t>הרשות המחוקקת היא הכנסת, ונתונות לה סמכויותיה של האסיפה המכוננת.</w:t>
            </w:r>
          </w:p>
        </w:tc>
      </w:tr>
    </w:tbl>
    <w:p w:rsidR="005366A8" w:rsidRPr="00A15337" w:rsidRDefault="005366A8" w:rsidP="005366A8">
      <w:pPr>
        <w:pStyle w:val="a4"/>
        <w:spacing w:after="60" w:line="240" w:lineRule="auto"/>
        <w:jc w:val="center"/>
        <w:outlineLvl w:val="0"/>
        <w:rPr>
          <w:b/>
          <w:bCs/>
          <w:szCs w:val="20"/>
          <w:u w:val="single"/>
          <w:rtl/>
        </w:rPr>
      </w:pPr>
      <w:r w:rsidRPr="00A15337">
        <w:rPr>
          <w:b/>
          <w:bCs/>
          <w:szCs w:val="20"/>
          <w:u w:val="single"/>
          <w:rtl/>
        </w:rPr>
        <w:t>פרק ב': חוקי-יסוד</w:t>
      </w:r>
    </w:p>
    <w:p w:rsidR="005366A8" w:rsidRPr="00A15337" w:rsidRDefault="005366A8" w:rsidP="005366A8">
      <w:pPr>
        <w:pStyle w:val="a4"/>
        <w:spacing w:after="60" w:line="240" w:lineRule="auto"/>
        <w:rPr>
          <w:szCs w:val="20"/>
          <w:rtl/>
        </w:rPr>
      </w:pPr>
      <w:r w:rsidRPr="00A15337">
        <w:rPr>
          <w:szCs w:val="20"/>
          <w:rtl/>
        </w:rPr>
        <w:tab/>
      </w:r>
      <w:r w:rsidRPr="00A15337">
        <w:rPr>
          <w:szCs w:val="20"/>
          <w:rtl/>
        </w:rPr>
        <w:tab/>
      </w:r>
      <w:r w:rsidRPr="00A15337">
        <w:rPr>
          <w:szCs w:val="20"/>
          <w:rtl/>
        </w:rPr>
        <w:tab/>
      </w:r>
      <w:r w:rsidRPr="00A15337">
        <w:rPr>
          <w:szCs w:val="20"/>
          <w:rtl/>
        </w:rPr>
        <w:tab/>
      </w:r>
      <w:r w:rsidRPr="00A15337">
        <w:rPr>
          <w:szCs w:val="20"/>
          <w:rtl/>
        </w:rPr>
        <w:tab/>
      </w:r>
      <w:r w:rsidRPr="00A15337">
        <w:rPr>
          <w:szCs w:val="20"/>
          <w:rtl/>
        </w:rPr>
        <w:tab/>
      </w:r>
    </w:p>
    <w:tbl>
      <w:tblPr>
        <w:bidiVisual/>
        <w:tblW w:w="8617" w:type="dxa"/>
        <w:tblLayout w:type="fixed"/>
        <w:tblLook w:val="0000"/>
      </w:tblPr>
      <w:tblGrid>
        <w:gridCol w:w="1417"/>
        <w:gridCol w:w="283"/>
        <w:gridCol w:w="420"/>
        <w:gridCol w:w="567"/>
        <w:gridCol w:w="5930"/>
      </w:tblGrid>
      <w:tr w:rsidR="005366A8" w:rsidRPr="00A15337" w:rsidTr="001845AC">
        <w:trPr>
          <w:cantSplit/>
        </w:trPr>
        <w:tc>
          <w:tcPr>
            <w:tcW w:w="1417" w:type="dxa"/>
          </w:tcPr>
          <w:p w:rsidR="005366A8" w:rsidRPr="00A15337" w:rsidRDefault="005366A8" w:rsidP="001845AC">
            <w:pPr>
              <w:pStyle w:val="a5"/>
              <w:spacing w:after="60" w:line="240" w:lineRule="auto"/>
              <w:rPr>
                <w:rtl/>
              </w:rPr>
            </w:pPr>
            <w:r w:rsidRPr="00A15337">
              <w:rPr>
                <w:highlight w:val="yellow"/>
                <w:rtl/>
              </w:rPr>
              <w:t>חוקי-יסוד</w:t>
            </w:r>
          </w:p>
        </w:tc>
        <w:tc>
          <w:tcPr>
            <w:tcW w:w="283" w:type="dxa"/>
          </w:tcPr>
          <w:p w:rsidR="005366A8" w:rsidRPr="00A15337" w:rsidRDefault="005366A8" w:rsidP="001845AC">
            <w:pPr>
              <w:pStyle w:val="a4"/>
              <w:spacing w:after="60" w:line="240" w:lineRule="auto"/>
              <w:rPr>
                <w:b/>
                <w:bCs/>
                <w:szCs w:val="20"/>
                <w:rtl/>
              </w:rPr>
            </w:pPr>
          </w:p>
        </w:tc>
        <w:tc>
          <w:tcPr>
            <w:tcW w:w="6917" w:type="dxa"/>
            <w:gridSpan w:val="3"/>
          </w:tcPr>
          <w:p w:rsidR="005366A8" w:rsidRPr="00A15337" w:rsidRDefault="005366A8" w:rsidP="001845AC">
            <w:pPr>
              <w:pStyle w:val="a4"/>
              <w:spacing w:after="60" w:line="240" w:lineRule="auto"/>
              <w:ind w:left="595" w:hanging="595"/>
              <w:rPr>
                <w:szCs w:val="20"/>
                <w:rtl/>
              </w:rPr>
            </w:pPr>
            <w:r w:rsidRPr="00A15337">
              <w:rPr>
                <w:szCs w:val="20"/>
                <w:rtl/>
              </w:rPr>
              <w:t>2.</w:t>
            </w:r>
            <w:r w:rsidRPr="00A15337">
              <w:rPr>
                <w:szCs w:val="20"/>
                <w:rtl/>
              </w:rPr>
              <w:tab/>
            </w:r>
            <w:r w:rsidRPr="00A15337">
              <w:rPr>
                <w:szCs w:val="20"/>
                <w:highlight w:val="yellow"/>
                <w:rtl/>
              </w:rPr>
              <w:t xml:space="preserve">חוקי-היסוד נחקקים </w:t>
            </w:r>
            <w:r w:rsidRPr="00A15337">
              <w:rPr>
                <w:rFonts w:hint="cs"/>
                <w:szCs w:val="20"/>
                <w:highlight w:val="yellow"/>
                <w:rtl/>
              </w:rPr>
              <w:t>בידי</w:t>
            </w:r>
            <w:r w:rsidRPr="00A15337">
              <w:rPr>
                <w:szCs w:val="20"/>
                <w:highlight w:val="yellow"/>
                <w:rtl/>
              </w:rPr>
              <w:t xml:space="preserve"> הכנסת מכוח סמכותה לכונן חוקה שתכלול הוראות בדבר סדרי המשטר, מוסדות המדינה, עקרונות-היסוד של</w:t>
            </w:r>
            <w:r w:rsidRPr="00A15337">
              <w:rPr>
                <w:rFonts w:hint="cs"/>
                <w:szCs w:val="20"/>
                <w:highlight w:val="yellow"/>
                <w:rtl/>
              </w:rPr>
              <w:t xml:space="preserve"> המדינה</w:t>
            </w:r>
            <w:r w:rsidRPr="00A15337">
              <w:rPr>
                <w:szCs w:val="20"/>
                <w:highlight w:val="yellow"/>
                <w:rtl/>
              </w:rPr>
              <w:t xml:space="preserve"> וזכויות האדם.</w:t>
            </w:r>
          </w:p>
          <w:p w:rsidR="005366A8" w:rsidRPr="00A15337" w:rsidRDefault="005366A8" w:rsidP="001845AC">
            <w:pPr>
              <w:pStyle w:val="a4"/>
              <w:spacing w:after="60" w:line="240" w:lineRule="auto"/>
              <w:rPr>
                <w:szCs w:val="20"/>
                <w:rtl/>
              </w:rPr>
            </w:pPr>
          </w:p>
        </w:tc>
      </w:tr>
      <w:tr w:rsidR="005366A8" w:rsidRPr="00A15337" w:rsidTr="001845AC">
        <w:trPr>
          <w:cantSplit/>
        </w:trPr>
        <w:tc>
          <w:tcPr>
            <w:tcW w:w="1417" w:type="dxa"/>
          </w:tcPr>
          <w:p w:rsidR="005366A8" w:rsidRPr="00A15337" w:rsidRDefault="005366A8" w:rsidP="001845AC">
            <w:pPr>
              <w:pStyle w:val="a5"/>
              <w:spacing w:after="60" w:line="240" w:lineRule="auto"/>
              <w:rPr>
                <w:rtl/>
              </w:rPr>
            </w:pPr>
            <w:r w:rsidRPr="00A15337">
              <w:rPr>
                <w:rFonts w:hint="cs"/>
                <w:highlight w:val="yellow"/>
                <w:rtl/>
              </w:rPr>
              <w:t xml:space="preserve">הגשה ופרסום של </w:t>
            </w:r>
            <w:r w:rsidRPr="00A15337">
              <w:rPr>
                <w:highlight w:val="yellow"/>
                <w:rtl/>
              </w:rPr>
              <w:t>הצעת חוק-יסוד</w:t>
            </w:r>
          </w:p>
        </w:tc>
        <w:tc>
          <w:tcPr>
            <w:tcW w:w="283" w:type="dxa"/>
          </w:tcPr>
          <w:p w:rsidR="005366A8" w:rsidRPr="00A15337" w:rsidRDefault="005366A8" w:rsidP="001845AC">
            <w:pPr>
              <w:pStyle w:val="a4"/>
              <w:spacing w:after="60" w:line="240" w:lineRule="auto"/>
              <w:rPr>
                <w:b/>
                <w:bCs/>
                <w:szCs w:val="20"/>
                <w:rtl/>
              </w:rPr>
            </w:pPr>
          </w:p>
        </w:tc>
        <w:tc>
          <w:tcPr>
            <w:tcW w:w="6917" w:type="dxa"/>
            <w:gridSpan w:val="3"/>
          </w:tcPr>
          <w:p w:rsidR="005366A8" w:rsidRPr="00A15337" w:rsidRDefault="005366A8" w:rsidP="001845AC">
            <w:pPr>
              <w:pStyle w:val="a4"/>
              <w:tabs>
                <w:tab w:val="clear" w:pos="567"/>
              </w:tabs>
              <w:spacing w:after="60" w:line="240" w:lineRule="auto"/>
              <w:ind w:left="595" w:hanging="567"/>
              <w:rPr>
                <w:szCs w:val="20"/>
                <w:rtl/>
              </w:rPr>
            </w:pPr>
            <w:r w:rsidRPr="00A15337">
              <w:rPr>
                <w:rFonts w:hint="cs"/>
                <w:szCs w:val="20"/>
                <w:rtl/>
              </w:rPr>
              <w:t>3.</w:t>
            </w:r>
            <w:r>
              <w:rPr>
                <w:rFonts w:hint="cs"/>
                <w:szCs w:val="20"/>
                <w:rtl/>
              </w:rPr>
              <w:t xml:space="preserve"> </w:t>
            </w:r>
            <w:r w:rsidRPr="00A15337">
              <w:rPr>
                <w:szCs w:val="20"/>
                <w:highlight w:val="yellow"/>
                <w:rtl/>
              </w:rPr>
              <w:t xml:space="preserve">הצעת חוק-יסוד תוגש לכנסת </w:t>
            </w:r>
            <w:r w:rsidRPr="00A15337">
              <w:rPr>
                <w:rFonts w:hint="cs"/>
                <w:szCs w:val="20"/>
                <w:highlight w:val="yellow"/>
                <w:rtl/>
              </w:rPr>
              <w:t>בידי</w:t>
            </w:r>
            <w:r w:rsidRPr="00A15337">
              <w:rPr>
                <w:szCs w:val="20"/>
                <w:highlight w:val="yellow"/>
                <w:rtl/>
              </w:rPr>
              <w:t xml:space="preserve"> הממשלה או </w:t>
            </w:r>
            <w:r w:rsidRPr="00A15337">
              <w:rPr>
                <w:rFonts w:hint="cs"/>
                <w:szCs w:val="20"/>
                <w:highlight w:val="yellow"/>
                <w:rtl/>
              </w:rPr>
              <w:t>בידי</w:t>
            </w:r>
            <w:r w:rsidRPr="00A15337">
              <w:rPr>
                <w:szCs w:val="20"/>
                <w:highlight w:val="yellow"/>
                <w:rtl/>
              </w:rPr>
              <w:t xml:space="preserve"> ועדת החוקה, חוק ומשפט של הכנסת</w:t>
            </w:r>
            <w:r w:rsidRPr="00A15337">
              <w:rPr>
                <w:szCs w:val="20"/>
                <w:rtl/>
              </w:rPr>
              <w:t>, תפורסם ברשומות ותונח על שולחן הכנסת.</w:t>
            </w:r>
          </w:p>
          <w:p w:rsidR="005366A8" w:rsidRPr="00A15337" w:rsidRDefault="005366A8" w:rsidP="001845AC">
            <w:pPr>
              <w:pStyle w:val="a4"/>
              <w:spacing w:after="60" w:line="240" w:lineRule="auto"/>
              <w:rPr>
                <w:szCs w:val="20"/>
                <w:rtl/>
              </w:rPr>
            </w:pPr>
          </w:p>
        </w:tc>
      </w:tr>
      <w:tr w:rsidR="005366A8" w:rsidRPr="00A15337" w:rsidTr="001845AC">
        <w:trPr>
          <w:cantSplit/>
        </w:trPr>
        <w:tc>
          <w:tcPr>
            <w:tcW w:w="1417" w:type="dxa"/>
          </w:tcPr>
          <w:p w:rsidR="005366A8" w:rsidRPr="00A15337" w:rsidRDefault="005366A8" w:rsidP="001845AC">
            <w:pPr>
              <w:pStyle w:val="a5"/>
              <w:spacing w:after="60" w:line="240" w:lineRule="auto"/>
              <w:rPr>
                <w:highlight w:val="yellow"/>
                <w:rtl/>
              </w:rPr>
            </w:pPr>
            <w:r w:rsidRPr="00A15337">
              <w:rPr>
                <w:highlight w:val="yellow"/>
                <w:rtl/>
              </w:rPr>
              <w:t>שלבי החקיקה</w:t>
            </w:r>
          </w:p>
        </w:tc>
        <w:tc>
          <w:tcPr>
            <w:tcW w:w="283" w:type="dxa"/>
          </w:tcPr>
          <w:p w:rsidR="005366A8" w:rsidRPr="00A15337" w:rsidRDefault="005366A8" w:rsidP="001845AC">
            <w:pPr>
              <w:pStyle w:val="a4"/>
              <w:spacing w:after="60" w:line="240" w:lineRule="auto"/>
              <w:rPr>
                <w:b/>
                <w:bCs/>
                <w:szCs w:val="20"/>
                <w:highlight w:val="yellow"/>
                <w:rtl/>
              </w:rPr>
            </w:pPr>
          </w:p>
        </w:tc>
        <w:tc>
          <w:tcPr>
            <w:tcW w:w="420" w:type="dxa"/>
          </w:tcPr>
          <w:p w:rsidR="005366A8" w:rsidRPr="00A15337" w:rsidRDefault="005366A8" w:rsidP="001845AC">
            <w:pPr>
              <w:pStyle w:val="a4"/>
              <w:tabs>
                <w:tab w:val="clear" w:pos="567"/>
              </w:tabs>
              <w:spacing w:after="60" w:line="240" w:lineRule="auto"/>
              <w:ind w:left="595" w:hanging="567"/>
              <w:rPr>
                <w:szCs w:val="20"/>
                <w:highlight w:val="yellow"/>
                <w:rtl/>
              </w:rPr>
            </w:pPr>
            <w:r w:rsidRPr="00A15337">
              <w:rPr>
                <w:rFonts w:hint="cs"/>
                <w:szCs w:val="20"/>
                <w:highlight w:val="yellow"/>
                <w:rtl/>
              </w:rPr>
              <w:t>4.</w:t>
            </w:r>
          </w:p>
        </w:tc>
        <w:tc>
          <w:tcPr>
            <w:tcW w:w="567" w:type="dxa"/>
          </w:tcPr>
          <w:p w:rsidR="005366A8" w:rsidRPr="00A15337" w:rsidRDefault="005366A8" w:rsidP="001845AC">
            <w:pPr>
              <w:pStyle w:val="a4"/>
              <w:tabs>
                <w:tab w:val="clear" w:pos="567"/>
              </w:tabs>
              <w:spacing w:after="60" w:line="240" w:lineRule="auto"/>
              <w:ind w:left="595" w:hanging="567"/>
              <w:rPr>
                <w:szCs w:val="20"/>
                <w:highlight w:val="yellow"/>
                <w:rtl/>
              </w:rPr>
            </w:pPr>
            <w:r w:rsidRPr="00A15337">
              <w:rPr>
                <w:rFonts w:hint="cs"/>
                <w:szCs w:val="20"/>
                <w:highlight w:val="yellow"/>
                <w:rtl/>
              </w:rPr>
              <w:t>(א)</w:t>
            </w:r>
          </w:p>
        </w:tc>
        <w:tc>
          <w:tcPr>
            <w:tcW w:w="5930" w:type="dxa"/>
          </w:tcPr>
          <w:p w:rsidR="005366A8" w:rsidRPr="00A15337" w:rsidRDefault="005366A8" w:rsidP="001845AC">
            <w:pPr>
              <w:pStyle w:val="a4"/>
              <w:tabs>
                <w:tab w:val="clear" w:pos="567"/>
              </w:tabs>
              <w:spacing w:after="60" w:line="240" w:lineRule="auto"/>
              <w:ind w:left="595" w:hanging="567"/>
              <w:rPr>
                <w:szCs w:val="20"/>
                <w:highlight w:val="yellow"/>
                <w:rtl/>
              </w:rPr>
            </w:pPr>
            <w:r w:rsidRPr="00A15337">
              <w:rPr>
                <w:szCs w:val="20"/>
                <w:highlight w:val="yellow"/>
                <w:rtl/>
              </w:rPr>
              <w:t>חוק-</w:t>
            </w:r>
            <w:r w:rsidRPr="00A15337">
              <w:rPr>
                <w:rFonts w:hint="cs"/>
                <w:szCs w:val="20"/>
                <w:highlight w:val="yellow"/>
                <w:rtl/>
              </w:rPr>
              <w:t>י</w:t>
            </w:r>
            <w:r w:rsidRPr="00A15337">
              <w:rPr>
                <w:szCs w:val="20"/>
                <w:highlight w:val="yellow"/>
                <w:rtl/>
              </w:rPr>
              <w:t>סוד יתקבל בארבע קריאות במליאת הכנסת.</w:t>
            </w:r>
            <w:r w:rsidRPr="00A15337">
              <w:rPr>
                <w:szCs w:val="20"/>
                <w:highlight w:val="yellow"/>
                <w:rtl/>
              </w:rPr>
              <w:tab/>
            </w:r>
          </w:p>
        </w:tc>
      </w:tr>
      <w:tr w:rsidR="005366A8" w:rsidRPr="00A15337" w:rsidTr="001845AC">
        <w:trPr>
          <w:cantSplit/>
        </w:trPr>
        <w:tc>
          <w:tcPr>
            <w:tcW w:w="1417" w:type="dxa"/>
          </w:tcPr>
          <w:p w:rsidR="005366A8" w:rsidRPr="00A15337" w:rsidRDefault="005366A8" w:rsidP="001845AC">
            <w:pPr>
              <w:pStyle w:val="a5"/>
              <w:spacing w:after="60" w:line="240" w:lineRule="auto"/>
              <w:rPr>
                <w:highlight w:val="yellow"/>
                <w:rtl/>
              </w:rPr>
            </w:pPr>
          </w:p>
        </w:tc>
        <w:tc>
          <w:tcPr>
            <w:tcW w:w="283" w:type="dxa"/>
          </w:tcPr>
          <w:p w:rsidR="005366A8" w:rsidRPr="00A15337" w:rsidRDefault="005366A8" w:rsidP="001845AC">
            <w:pPr>
              <w:pStyle w:val="a4"/>
              <w:spacing w:after="60" w:line="240" w:lineRule="auto"/>
              <w:rPr>
                <w:b/>
                <w:bCs/>
                <w:szCs w:val="20"/>
                <w:highlight w:val="yellow"/>
                <w:rtl/>
              </w:rPr>
            </w:pPr>
          </w:p>
        </w:tc>
        <w:tc>
          <w:tcPr>
            <w:tcW w:w="420" w:type="dxa"/>
          </w:tcPr>
          <w:p w:rsidR="005366A8" w:rsidRPr="00A15337" w:rsidRDefault="005366A8" w:rsidP="001845AC">
            <w:pPr>
              <w:pStyle w:val="a4"/>
              <w:tabs>
                <w:tab w:val="clear" w:pos="567"/>
              </w:tabs>
              <w:spacing w:after="60" w:line="240" w:lineRule="auto"/>
              <w:ind w:left="595" w:hanging="567"/>
              <w:rPr>
                <w:szCs w:val="20"/>
                <w:highlight w:val="yellow"/>
                <w:rtl/>
              </w:rPr>
            </w:pPr>
          </w:p>
        </w:tc>
        <w:tc>
          <w:tcPr>
            <w:tcW w:w="567" w:type="dxa"/>
          </w:tcPr>
          <w:p w:rsidR="005366A8" w:rsidRPr="00A15337" w:rsidRDefault="005366A8" w:rsidP="001845AC">
            <w:pPr>
              <w:pStyle w:val="a4"/>
              <w:tabs>
                <w:tab w:val="clear" w:pos="567"/>
              </w:tabs>
              <w:spacing w:after="60" w:line="240" w:lineRule="auto"/>
              <w:ind w:left="595" w:hanging="567"/>
              <w:rPr>
                <w:szCs w:val="20"/>
                <w:highlight w:val="yellow"/>
                <w:rtl/>
              </w:rPr>
            </w:pPr>
            <w:r w:rsidRPr="00A15337">
              <w:rPr>
                <w:rFonts w:hint="cs"/>
                <w:szCs w:val="20"/>
                <w:highlight w:val="yellow"/>
                <w:rtl/>
              </w:rPr>
              <w:t>(ב)</w:t>
            </w:r>
          </w:p>
        </w:tc>
        <w:tc>
          <w:tcPr>
            <w:tcW w:w="5930" w:type="dxa"/>
          </w:tcPr>
          <w:p w:rsidR="005366A8" w:rsidRPr="00A15337" w:rsidRDefault="005366A8" w:rsidP="001845AC">
            <w:pPr>
              <w:pStyle w:val="a4"/>
              <w:spacing w:after="60" w:line="240" w:lineRule="auto"/>
              <w:rPr>
                <w:szCs w:val="20"/>
                <w:highlight w:val="yellow"/>
                <w:rtl/>
              </w:rPr>
            </w:pPr>
            <w:r w:rsidRPr="00A15337">
              <w:rPr>
                <w:szCs w:val="20"/>
                <w:highlight w:val="yellow"/>
                <w:rtl/>
              </w:rPr>
              <w:t xml:space="preserve">חוק-יסוד יתקבל בקריאה ראשונה ובקריאה שניה במליאת הכנסת </w:t>
            </w:r>
            <w:r w:rsidRPr="00A15337">
              <w:rPr>
                <w:rFonts w:hint="cs"/>
                <w:szCs w:val="20"/>
                <w:highlight w:val="yellow"/>
                <w:rtl/>
              </w:rPr>
              <w:br/>
            </w:r>
            <w:r w:rsidRPr="00A15337">
              <w:rPr>
                <w:szCs w:val="20"/>
                <w:highlight w:val="yellow"/>
                <w:rtl/>
              </w:rPr>
              <w:t>ברוב</w:t>
            </w:r>
            <w:r>
              <w:rPr>
                <w:szCs w:val="20"/>
                <w:highlight w:val="yellow"/>
                <w:rtl/>
              </w:rPr>
              <w:t xml:space="preserve"> </w:t>
            </w:r>
            <w:r w:rsidRPr="00A15337">
              <w:rPr>
                <w:szCs w:val="20"/>
                <w:highlight w:val="yellow"/>
                <w:rtl/>
              </w:rPr>
              <w:t xml:space="preserve">של חברי הכנסת שהצביעו, </w:t>
            </w:r>
            <w:r w:rsidRPr="00A15337">
              <w:rPr>
                <w:rFonts w:hint="cs"/>
                <w:szCs w:val="20"/>
                <w:highlight w:val="yellow"/>
                <w:rtl/>
              </w:rPr>
              <w:t>ולענין זה לא יבואו הנמנעים</w:t>
            </w:r>
            <w:r>
              <w:rPr>
                <w:rFonts w:hint="cs"/>
                <w:szCs w:val="20"/>
                <w:highlight w:val="yellow"/>
                <w:rtl/>
              </w:rPr>
              <w:t xml:space="preserve"> </w:t>
            </w:r>
            <w:r w:rsidRPr="00A15337">
              <w:rPr>
                <w:szCs w:val="20"/>
                <w:highlight w:val="yellow"/>
                <w:rtl/>
              </w:rPr>
              <w:t>במניין</w:t>
            </w:r>
            <w:r w:rsidRPr="00A15337">
              <w:rPr>
                <w:rFonts w:hint="cs"/>
                <w:szCs w:val="20"/>
                <w:highlight w:val="yellow"/>
                <w:rtl/>
              </w:rPr>
              <w:t xml:space="preserve"> המשתתפים בהצבעה</w:t>
            </w:r>
            <w:r w:rsidRPr="00A15337">
              <w:rPr>
                <w:szCs w:val="20"/>
                <w:highlight w:val="yellow"/>
                <w:rtl/>
              </w:rPr>
              <w:t xml:space="preserve">. </w:t>
            </w:r>
          </w:p>
        </w:tc>
      </w:tr>
      <w:tr w:rsidR="005366A8" w:rsidRPr="00A15337" w:rsidTr="001845AC">
        <w:trPr>
          <w:cantSplit/>
        </w:trPr>
        <w:tc>
          <w:tcPr>
            <w:tcW w:w="1417" w:type="dxa"/>
          </w:tcPr>
          <w:p w:rsidR="005366A8" w:rsidRPr="00A15337" w:rsidRDefault="005366A8" w:rsidP="001845AC">
            <w:pPr>
              <w:pStyle w:val="a5"/>
              <w:spacing w:after="60" w:line="240" w:lineRule="auto"/>
              <w:rPr>
                <w:highlight w:val="yellow"/>
                <w:rtl/>
              </w:rPr>
            </w:pPr>
          </w:p>
        </w:tc>
        <w:tc>
          <w:tcPr>
            <w:tcW w:w="283" w:type="dxa"/>
          </w:tcPr>
          <w:p w:rsidR="005366A8" w:rsidRPr="00A15337" w:rsidRDefault="005366A8" w:rsidP="001845AC">
            <w:pPr>
              <w:pStyle w:val="a4"/>
              <w:spacing w:after="60" w:line="240" w:lineRule="auto"/>
              <w:rPr>
                <w:b/>
                <w:bCs/>
                <w:szCs w:val="20"/>
                <w:highlight w:val="yellow"/>
                <w:rtl/>
              </w:rPr>
            </w:pPr>
          </w:p>
        </w:tc>
        <w:tc>
          <w:tcPr>
            <w:tcW w:w="420" w:type="dxa"/>
          </w:tcPr>
          <w:p w:rsidR="005366A8" w:rsidRPr="00A15337" w:rsidRDefault="005366A8" w:rsidP="001845AC">
            <w:pPr>
              <w:pStyle w:val="a4"/>
              <w:tabs>
                <w:tab w:val="clear" w:pos="567"/>
              </w:tabs>
              <w:spacing w:after="60" w:line="240" w:lineRule="auto"/>
              <w:ind w:left="595" w:hanging="567"/>
              <w:rPr>
                <w:szCs w:val="20"/>
                <w:highlight w:val="yellow"/>
                <w:rtl/>
              </w:rPr>
            </w:pPr>
          </w:p>
        </w:tc>
        <w:tc>
          <w:tcPr>
            <w:tcW w:w="567" w:type="dxa"/>
          </w:tcPr>
          <w:p w:rsidR="005366A8" w:rsidRPr="00A15337" w:rsidRDefault="005366A8" w:rsidP="001845AC">
            <w:pPr>
              <w:pStyle w:val="a4"/>
              <w:tabs>
                <w:tab w:val="clear" w:pos="567"/>
              </w:tabs>
              <w:spacing w:after="60" w:line="240" w:lineRule="auto"/>
              <w:ind w:left="595" w:hanging="567"/>
              <w:rPr>
                <w:szCs w:val="20"/>
                <w:highlight w:val="yellow"/>
                <w:rtl/>
              </w:rPr>
            </w:pPr>
            <w:r w:rsidRPr="00A15337">
              <w:rPr>
                <w:rFonts w:hint="cs"/>
                <w:szCs w:val="20"/>
                <w:highlight w:val="yellow"/>
                <w:rtl/>
              </w:rPr>
              <w:t>(ג)</w:t>
            </w:r>
          </w:p>
        </w:tc>
        <w:tc>
          <w:tcPr>
            <w:tcW w:w="5930" w:type="dxa"/>
          </w:tcPr>
          <w:p w:rsidR="005366A8" w:rsidRPr="00A15337" w:rsidRDefault="005366A8" w:rsidP="001845AC">
            <w:pPr>
              <w:pStyle w:val="a4"/>
              <w:spacing w:after="60" w:line="240" w:lineRule="auto"/>
              <w:rPr>
                <w:szCs w:val="20"/>
                <w:highlight w:val="yellow"/>
                <w:rtl/>
              </w:rPr>
            </w:pPr>
            <w:r w:rsidRPr="00A15337">
              <w:rPr>
                <w:szCs w:val="20"/>
                <w:highlight w:val="yellow"/>
                <w:rtl/>
              </w:rPr>
              <w:t xml:space="preserve">חוק-יסוד יתקבל בקריאה השלישית במליאת הכנסת </w:t>
            </w:r>
            <w:r w:rsidRPr="00A15337">
              <w:rPr>
                <w:rFonts w:hint="cs"/>
                <w:szCs w:val="20"/>
                <w:highlight w:val="yellow"/>
                <w:rtl/>
              </w:rPr>
              <w:br/>
              <w:t>ב</w:t>
            </w:r>
            <w:r w:rsidRPr="00A15337">
              <w:rPr>
                <w:szCs w:val="20"/>
                <w:highlight w:val="yellow"/>
                <w:rtl/>
              </w:rPr>
              <w:t xml:space="preserve">רוב </w:t>
            </w:r>
            <w:r w:rsidRPr="00A15337">
              <w:rPr>
                <w:rFonts w:hint="cs"/>
                <w:szCs w:val="20"/>
                <w:highlight w:val="yellow"/>
                <w:rtl/>
              </w:rPr>
              <w:t xml:space="preserve">של </w:t>
            </w:r>
            <w:r w:rsidRPr="00A15337">
              <w:rPr>
                <w:szCs w:val="20"/>
                <w:highlight w:val="yellow"/>
                <w:rtl/>
              </w:rPr>
              <w:t xml:space="preserve">חברי הכנסת. </w:t>
            </w:r>
          </w:p>
        </w:tc>
      </w:tr>
      <w:tr w:rsidR="005366A8" w:rsidRPr="00A15337" w:rsidTr="001845AC">
        <w:trPr>
          <w:cantSplit/>
        </w:trPr>
        <w:tc>
          <w:tcPr>
            <w:tcW w:w="1417" w:type="dxa"/>
          </w:tcPr>
          <w:p w:rsidR="005366A8" w:rsidRPr="00A15337" w:rsidRDefault="005366A8" w:rsidP="001845AC">
            <w:pPr>
              <w:pStyle w:val="a5"/>
              <w:spacing w:after="60" w:line="240" w:lineRule="auto"/>
              <w:rPr>
                <w:highlight w:val="yellow"/>
                <w:rtl/>
              </w:rPr>
            </w:pPr>
          </w:p>
        </w:tc>
        <w:tc>
          <w:tcPr>
            <w:tcW w:w="283" w:type="dxa"/>
          </w:tcPr>
          <w:p w:rsidR="005366A8" w:rsidRPr="00A15337" w:rsidRDefault="005366A8" w:rsidP="001845AC">
            <w:pPr>
              <w:pStyle w:val="a4"/>
              <w:spacing w:after="60" w:line="240" w:lineRule="auto"/>
              <w:rPr>
                <w:b/>
                <w:bCs/>
                <w:szCs w:val="20"/>
                <w:highlight w:val="yellow"/>
                <w:rtl/>
              </w:rPr>
            </w:pPr>
          </w:p>
        </w:tc>
        <w:tc>
          <w:tcPr>
            <w:tcW w:w="420" w:type="dxa"/>
          </w:tcPr>
          <w:p w:rsidR="005366A8" w:rsidRPr="00A15337" w:rsidRDefault="005366A8" w:rsidP="001845AC">
            <w:pPr>
              <w:pStyle w:val="a4"/>
              <w:tabs>
                <w:tab w:val="clear" w:pos="567"/>
              </w:tabs>
              <w:spacing w:after="60" w:line="240" w:lineRule="auto"/>
              <w:ind w:left="595" w:hanging="567"/>
              <w:rPr>
                <w:szCs w:val="20"/>
                <w:highlight w:val="yellow"/>
                <w:rtl/>
              </w:rPr>
            </w:pPr>
          </w:p>
        </w:tc>
        <w:tc>
          <w:tcPr>
            <w:tcW w:w="567" w:type="dxa"/>
          </w:tcPr>
          <w:p w:rsidR="005366A8" w:rsidRPr="00A15337" w:rsidRDefault="005366A8" w:rsidP="001845AC">
            <w:pPr>
              <w:pStyle w:val="a4"/>
              <w:tabs>
                <w:tab w:val="clear" w:pos="567"/>
              </w:tabs>
              <w:spacing w:after="60" w:line="240" w:lineRule="auto"/>
              <w:ind w:left="595" w:hanging="567"/>
              <w:rPr>
                <w:szCs w:val="20"/>
                <w:highlight w:val="yellow"/>
                <w:rtl/>
              </w:rPr>
            </w:pPr>
            <w:r w:rsidRPr="00A15337">
              <w:rPr>
                <w:rFonts w:hint="cs"/>
                <w:szCs w:val="20"/>
                <w:highlight w:val="yellow"/>
                <w:rtl/>
              </w:rPr>
              <w:t>(ד)</w:t>
            </w:r>
          </w:p>
        </w:tc>
        <w:tc>
          <w:tcPr>
            <w:tcW w:w="5930" w:type="dxa"/>
          </w:tcPr>
          <w:p w:rsidR="005366A8" w:rsidRPr="00A15337" w:rsidRDefault="005366A8" w:rsidP="001845AC">
            <w:pPr>
              <w:pStyle w:val="a4"/>
              <w:tabs>
                <w:tab w:val="clear" w:pos="567"/>
              </w:tabs>
              <w:spacing w:after="60" w:line="240" w:lineRule="auto"/>
              <w:rPr>
                <w:szCs w:val="20"/>
                <w:highlight w:val="yellow"/>
                <w:rtl/>
              </w:rPr>
            </w:pPr>
            <w:r w:rsidRPr="00A15337">
              <w:rPr>
                <w:szCs w:val="20"/>
                <w:highlight w:val="yellow"/>
                <w:rtl/>
              </w:rPr>
              <w:t xml:space="preserve">חוק-יסוד יתקבל בקריאה רביעית במליאת הכנסת, בנוסח שאושר בקריאה השלישית, ברוב של </w:t>
            </w:r>
            <w:r w:rsidRPr="00A15337">
              <w:rPr>
                <w:rFonts w:hint="cs"/>
                <w:szCs w:val="20"/>
                <w:highlight w:val="yellow"/>
                <w:rtl/>
              </w:rPr>
              <w:t xml:space="preserve">ששים וחמישה </w:t>
            </w:r>
            <w:r w:rsidRPr="00A15337">
              <w:rPr>
                <w:szCs w:val="20"/>
                <w:highlight w:val="yellow"/>
                <w:rtl/>
              </w:rPr>
              <w:t>חברי הכנסת; הקריאה הרביעית תהיה בישיבת הכנסת שנועדה ל</w:t>
            </w:r>
            <w:r w:rsidRPr="00A15337">
              <w:rPr>
                <w:rFonts w:hint="cs"/>
                <w:szCs w:val="20"/>
                <w:highlight w:val="yellow"/>
                <w:rtl/>
              </w:rPr>
              <w:t>שם כך</w:t>
            </w:r>
            <w:r w:rsidRPr="00A15337">
              <w:rPr>
                <w:szCs w:val="20"/>
                <w:highlight w:val="yellow"/>
                <w:rtl/>
              </w:rPr>
              <w:t xml:space="preserve"> בלבד</w:t>
            </w:r>
            <w:r w:rsidRPr="00A15337">
              <w:rPr>
                <w:rFonts w:hint="cs"/>
                <w:szCs w:val="20"/>
                <w:highlight w:val="yellow"/>
                <w:rtl/>
              </w:rPr>
              <w:t>,</w:t>
            </w:r>
            <w:r w:rsidRPr="00A15337">
              <w:rPr>
                <w:szCs w:val="20"/>
                <w:highlight w:val="yellow"/>
                <w:rtl/>
              </w:rPr>
              <w:t xml:space="preserve"> אשר תיערך לא לפני חלוף ששה חודשים מ</w:t>
            </w:r>
            <w:r w:rsidRPr="00A15337">
              <w:rPr>
                <w:rFonts w:hint="cs"/>
                <w:szCs w:val="20"/>
                <w:highlight w:val="yellow"/>
                <w:rtl/>
              </w:rPr>
              <w:t>מועד קבלת חוק היסוד ב</w:t>
            </w:r>
            <w:r w:rsidRPr="00A15337">
              <w:rPr>
                <w:szCs w:val="20"/>
                <w:highlight w:val="yellow"/>
                <w:rtl/>
              </w:rPr>
              <w:t>קריאה השלישית.</w:t>
            </w:r>
          </w:p>
          <w:p w:rsidR="005366A8" w:rsidRPr="00A15337" w:rsidRDefault="005366A8" w:rsidP="001845AC">
            <w:pPr>
              <w:pStyle w:val="a4"/>
              <w:tabs>
                <w:tab w:val="clear" w:pos="567"/>
              </w:tabs>
              <w:spacing w:after="60" w:line="240" w:lineRule="auto"/>
              <w:rPr>
                <w:szCs w:val="20"/>
                <w:highlight w:val="yellow"/>
                <w:rtl/>
              </w:rPr>
            </w:pPr>
          </w:p>
        </w:tc>
      </w:tr>
      <w:tr w:rsidR="005366A8" w:rsidRPr="00A15337" w:rsidTr="001845AC">
        <w:trPr>
          <w:cantSplit/>
        </w:trPr>
        <w:tc>
          <w:tcPr>
            <w:tcW w:w="1417" w:type="dxa"/>
          </w:tcPr>
          <w:p w:rsidR="005366A8" w:rsidRPr="00A15337" w:rsidRDefault="005366A8" w:rsidP="001845AC">
            <w:pPr>
              <w:pStyle w:val="a5"/>
              <w:spacing w:after="60" w:line="240" w:lineRule="auto"/>
              <w:rPr>
                <w:highlight w:val="yellow"/>
                <w:rtl/>
              </w:rPr>
            </w:pPr>
            <w:r w:rsidRPr="00A15337">
              <w:rPr>
                <w:highlight w:val="yellow"/>
                <w:rtl/>
              </w:rPr>
              <w:t>ביטול חוק-יסוד ושינויו</w:t>
            </w:r>
          </w:p>
        </w:tc>
        <w:tc>
          <w:tcPr>
            <w:tcW w:w="283" w:type="dxa"/>
          </w:tcPr>
          <w:p w:rsidR="005366A8" w:rsidRPr="00A15337" w:rsidRDefault="005366A8" w:rsidP="001845AC">
            <w:pPr>
              <w:pStyle w:val="a4"/>
              <w:spacing w:after="60" w:line="240" w:lineRule="auto"/>
              <w:rPr>
                <w:b/>
                <w:bCs/>
                <w:szCs w:val="20"/>
                <w:highlight w:val="yellow"/>
                <w:rtl/>
              </w:rPr>
            </w:pPr>
          </w:p>
        </w:tc>
        <w:tc>
          <w:tcPr>
            <w:tcW w:w="6917" w:type="dxa"/>
            <w:gridSpan w:val="3"/>
          </w:tcPr>
          <w:p w:rsidR="005366A8" w:rsidRPr="00A15337" w:rsidRDefault="005366A8" w:rsidP="001845AC">
            <w:pPr>
              <w:pStyle w:val="a4"/>
              <w:spacing w:after="60" w:line="240" w:lineRule="auto"/>
              <w:rPr>
                <w:szCs w:val="20"/>
                <w:highlight w:val="yellow"/>
                <w:rtl/>
              </w:rPr>
            </w:pPr>
            <w:r w:rsidRPr="00A15337">
              <w:rPr>
                <w:szCs w:val="20"/>
                <w:highlight w:val="yellow"/>
                <w:rtl/>
              </w:rPr>
              <w:t>5.</w:t>
            </w:r>
            <w:r w:rsidRPr="00A15337">
              <w:rPr>
                <w:szCs w:val="20"/>
                <w:highlight w:val="yellow"/>
                <w:rtl/>
              </w:rPr>
              <w:tab/>
              <w:t>חוק-יסוד לא יבוטל ולא ישונה אלא בחוק-יסוד.</w:t>
            </w:r>
          </w:p>
        </w:tc>
      </w:tr>
      <w:tr w:rsidR="005366A8" w:rsidRPr="00A15337" w:rsidTr="001845AC">
        <w:trPr>
          <w:cantSplit/>
        </w:trPr>
        <w:tc>
          <w:tcPr>
            <w:tcW w:w="1417" w:type="dxa"/>
          </w:tcPr>
          <w:p w:rsidR="005366A8" w:rsidRPr="00A15337" w:rsidRDefault="005366A8" w:rsidP="001845AC">
            <w:pPr>
              <w:pStyle w:val="a5"/>
              <w:spacing w:after="60" w:line="240" w:lineRule="auto"/>
              <w:rPr>
                <w:highlight w:val="yellow"/>
                <w:rtl/>
              </w:rPr>
            </w:pPr>
            <w:r w:rsidRPr="00A15337">
              <w:rPr>
                <w:highlight w:val="yellow"/>
                <w:rtl/>
              </w:rPr>
              <w:t>יציבות חוקי-יסוד</w:t>
            </w:r>
          </w:p>
        </w:tc>
        <w:tc>
          <w:tcPr>
            <w:tcW w:w="283" w:type="dxa"/>
          </w:tcPr>
          <w:p w:rsidR="005366A8" w:rsidRPr="00A15337" w:rsidRDefault="005366A8" w:rsidP="001845AC">
            <w:pPr>
              <w:pStyle w:val="a5"/>
              <w:spacing w:after="60" w:line="240" w:lineRule="auto"/>
              <w:rPr>
                <w:highlight w:val="yellow"/>
                <w:rtl/>
              </w:rPr>
            </w:pPr>
          </w:p>
        </w:tc>
        <w:tc>
          <w:tcPr>
            <w:tcW w:w="6917" w:type="dxa"/>
            <w:gridSpan w:val="3"/>
          </w:tcPr>
          <w:p w:rsidR="005366A8" w:rsidRPr="00A15337" w:rsidRDefault="005366A8" w:rsidP="001845AC">
            <w:pPr>
              <w:pStyle w:val="a4"/>
              <w:spacing w:after="60" w:line="240" w:lineRule="auto"/>
              <w:ind w:left="595" w:hanging="595"/>
              <w:rPr>
                <w:szCs w:val="20"/>
                <w:highlight w:val="yellow"/>
                <w:rtl/>
              </w:rPr>
            </w:pPr>
            <w:r w:rsidRPr="00A15337">
              <w:rPr>
                <w:szCs w:val="20"/>
                <w:highlight w:val="yellow"/>
                <w:rtl/>
              </w:rPr>
              <w:t>6.</w:t>
            </w:r>
            <w:r>
              <w:rPr>
                <w:szCs w:val="20"/>
                <w:highlight w:val="yellow"/>
                <w:rtl/>
              </w:rPr>
              <w:t xml:space="preserve"> </w:t>
            </w:r>
            <w:r w:rsidRPr="00A15337">
              <w:rPr>
                <w:szCs w:val="20"/>
                <w:highlight w:val="yellow"/>
                <w:rtl/>
              </w:rPr>
              <w:t>אין בכוחן של תקנות שעת חירום לשנות חוק-יסוד, להפקיע זמנית את תוקפו או לקבוע בו תנאים.</w:t>
            </w:r>
          </w:p>
        </w:tc>
      </w:tr>
    </w:tbl>
    <w:p w:rsidR="005366A8" w:rsidRPr="00A15337" w:rsidRDefault="005366A8" w:rsidP="005366A8">
      <w:pPr>
        <w:pStyle w:val="a4"/>
        <w:spacing w:after="60" w:line="240" w:lineRule="auto"/>
        <w:jc w:val="center"/>
        <w:outlineLvl w:val="0"/>
        <w:rPr>
          <w:b/>
          <w:bCs/>
          <w:szCs w:val="20"/>
          <w:u w:val="single"/>
          <w:rtl/>
        </w:rPr>
      </w:pPr>
      <w:r w:rsidRPr="00A15337">
        <w:rPr>
          <w:b/>
          <w:bCs/>
          <w:szCs w:val="20"/>
          <w:u w:val="single"/>
          <w:rtl/>
        </w:rPr>
        <w:t>פרק ג': חוקים</w:t>
      </w:r>
    </w:p>
    <w:p w:rsidR="005366A8" w:rsidRPr="00A15337" w:rsidRDefault="005366A8" w:rsidP="005366A8">
      <w:pPr>
        <w:pStyle w:val="a4"/>
        <w:spacing w:after="60" w:line="240" w:lineRule="auto"/>
        <w:jc w:val="center"/>
        <w:rPr>
          <w:b/>
          <w:bCs/>
          <w:szCs w:val="20"/>
          <w:u w:val="single"/>
          <w:rtl/>
        </w:rPr>
      </w:pPr>
    </w:p>
    <w:tbl>
      <w:tblPr>
        <w:bidiVisual/>
        <w:tblW w:w="8619" w:type="dxa"/>
        <w:tblLayout w:type="fixed"/>
        <w:tblLook w:val="0000"/>
      </w:tblPr>
      <w:tblGrid>
        <w:gridCol w:w="1411"/>
        <w:gridCol w:w="289"/>
        <w:gridCol w:w="562"/>
        <w:gridCol w:w="568"/>
        <w:gridCol w:w="5789"/>
      </w:tblGrid>
      <w:tr w:rsidR="005366A8" w:rsidRPr="00A15337" w:rsidTr="001845AC">
        <w:trPr>
          <w:cantSplit/>
        </w:trPr>
        <w:tc>
          <w:tcPr>
            <w:tcW w:w="1411" w:type="dxa"/>
          </w:tcPr>
          <w:p w:rsidR="005366A8" w:rsidRPr="00A15337" w:rsidRDefault="005366A8" w:rsidP="001845AC">
            <w:pPr>
              <w:pStyle w:val="a5"/>
              <w:spacing w:after="60" w:line="240" w:lineRule="auto"/>
              <w:rPr>
                <w:rtl/>
              </w:rPr>
            </w:pPr>
            <w:r w:rsidRPr="00A15337">
              <w:rPr>
                <w:rtl/>
              </w:rPr>
              <w:t>חוקים</w:t>
            </w:r>
          </w:p>
        </w:tc>
        <w:tc>
          <w:tcPr>
            <w:tcW w:w="289" w:type="dxa"/>
          </w:tcPr>
          <w:p w:rsidR="005366A8" w:rsidRPr="00A15337" w:rsidRDefault="005366A8" w:rsidP="001845AC">
            <w:pPr>
              <w:pStyle w:val="a4"/>
              <w:spacing w:after="60" w:line="240" w:lineRule="auto"/>
              <w:rPr>
                <w:b/>
                <w:bCs/>
                <w:szCs w:val="20"/>
                <w:rtl/>
              </w:rPr>
            </w:pPr>
          </w:p>
        </w:tc>
        <w:tc>
          <w:tcPr>
            <w:tcW w:w="6919" w:type="dxa"/>
            <w:gridSpan w:val="3"/>
          </w:tcPr>
          <w:p w:rsidR="005366A8" w:rsidRPr="00A15337" w:rsidRDefault="005366A8" w:rsidP="001845AC">
            <w:pPr>
              <w:pStyle w:val="a4"/>
              <w:spacing w:after="60" w:line="240" w:lineRule="auto"/>
              <w:rPr>
                <w:szCs w:val="20"/>
                <w:rtl/>
              </w:rPr>
            </w:pPr>
            <w:r w:rsidRPr="00A15337">
              <w:rPr>
                <w:szCs w:val="20"/>
                <w:rtl/>
              </w:rPr>
              <w:t>7.</w:t>
            </w:r>
            <w:r w:rsidRPr="00A15337">
              <w:rPr>
                <w:szCs w:val="20"/>
                <w:rtl/>
              </w:rPr>
              <w:tab/>
              <w:t xml:space="preserve">חוקים נחקקים </w:t>
            </w:r>
            <w:r w:rsidRPr="00A15337">
              <w:rPr>
                <w:rFonts w:hint="cs"/>
                <w:szCs w:val="20"/>
                <w:rtl/>
              </w:rPr>
              <w:t>בידי</w:t>
            </w:r>
            <w:r w:rsidRPr="00A15337">
              <w:rPr>
                <w:szCs w:val="20"/>
                <w:rtl/>
              </w:rPr>
              <w:t xml:space="preserve"> הכנסת מכוח סמכותה כרשות המחוקקת.</w:t>
            </w:r>
          </w:p>
          <w:p w:rsidR="005366A8" w:rsidRPr="00A15337" w:rsidRDefault="005366A8" w:rsidP="001845AC">
            <w:pPr>
              <w:pStyle w:val="a4"/>
              <w:spacing w:after="60" w:line="240" w:lineRule="auto"/>
              <w:rPr>
                <w:szCs w:val="20"/>
                <w:rtl/>
              </w:rPr>
            </w:pPr>
          </w:p>
        </w:tc>
      </w:tr>
      <w:tr w:rsidR="005366A8" w:rsidRPr="00A15337" w:rsidTr="001845AC">
        <w:trPr>
          <w:cantSplit/>
          <w:trHeight w:val="90"/>
        </w:trPr>
        <w:tc>
          <w:tcPr>
            <w:tcW w:w="1411" w:type="dxa"/>
            <w:vMerge w:val="restart"/>
          </w:tcPr>
          <w:p w:rsidR="005366A8" w:rsidRPr="00A15337" w:rsidRDefault="005366A8" w:rsidP="001845AC">
            <w:pPr>
              <w:pStyle w:val="a5"/>
              <w:spacing w:after="60" w:line="240" w:lineRule="auto"/>
              <w:rPr>
                <w:rtl/>
              </w:rPr>
            </w:pPr>
            <w:r w:rsidRPr="00A15337">
              <w:rPr>
                <w:rFonts w:hint="cs"/>
                <w:rtl/>
              </w:rPr>
              <w:t xml:space="preserve">הגשה ופרסום של </w:t>
            </w:r>
            <w:r w:rsidRPr="00A15337">
              <w:rPr>
                <w:rtl/>
              </w:rPr>
              <w:t>הצעת חוק</w:t>
            </w:r>
          </w:p>
        </w:tc>
        <w:tc>
          <w:tcPr>
            <w:tcW w:w="289" w:type="dxa"/>
            <w:vMerge w:val="restart"/>
          </w:tcPr>
          <w:p w:rsidR="005366A8" w:rsidRPr="00A15337" w:rsidRDefault="005366A8" w:rsidP="001845AC">
            <w:pPr>
              <w:pStyle w:val="a4"/>
              <w:spacing w:after="60" w:line="240" w:lineRule="auto"/>
              <w:rPr>
                <w:b/>
                <w:bCs/>
                <w:szCs w:val="20"/>
                <w:rtl/>
              </w:rPr>
            </w:pPr>
          </w:p>
        </w:tc>
        <w:tc>
          <w:tcPr>
            <w:tcW w:w="562" w:type="dxa"/>
          </w:tcPr>
          <w:p w:rsidR="005366A8" w:rsidRPr="00A15337" w:rsidRDefault="005366A8" w:rsidP="001845AC">
            <w:pPr>
              <w:pStyle w:val="a4"/>
              <w:spacing w:after="60" w:line="240" w:lineRule="auto"/>
              <w:rPr>
                <w:szCs w:val="20"/>
                <w:rtl/>
              </w:rPr>
            </w:pPr>
            <w:r w:rsidRPr="00A15337">
              <w:rPr>
                <w:rFonts w:hint="cs"/>
                <w:szCs w:val="20"/>
                <w:rtl/>
              </w:rPr>
              <w:t>8.</w:t>
            </w:r>
          </w:p>
        </w:tc>
        <w:tc>
          <w:tcPr>
            <w:tcW w:w="568" w:type="dxa"/>
          </w:tcPr>
          <w:p w:rsidR="005366A8" w:rsidRPr="00A15337" w:rsidRDefault="005366A8" w:rsidP="001845AC">
            <w:pPr>
              <w:pStyle w:val="a4"/>
              <w:spacing w:after="60" w:line="240" w:lineRule="auto"/>
              <w:rPr>
                <w:szCs w:val="20"/>
                <w:rtl/>
              </w:rPr>
            </w:pPr>
            <w:r w:rsidRPr="00A15337">
              <w:rPr>
                <w:rFonts w:hint="cs"/>
                <w:szCs w:val="20"/>
                <w:rtl/>
              </w:rPr>
              <w:t>(א)</w:t>
            </w:r>
          </w:p>
        </w:tc>
        <w:tc>
          <w:tcPr>
            <w:tcW w:w="5789" w:type="dxa"/>
          </w:tcPr>
          <w:p w:rsidR="005366A8" w:rsidRPr="00A15337" w:rsidRDefault="005366A8" w:rsidP="001845AC">
            <w:pPr>
              <w:pStyle w:val="a4"/>
              <w:spacing w:after="60" w:line="240" w:lineRule="auto"/>
              <w:rPr>
                <w:szCs w:val="20"/>
                <w:rtl/>
              </w:rPr>
            </w:pPr>
            <w:r w:rsidRPr="00A15337">
              <w:rPr>
                <w:szCs w:val="20"/>
                <w:rtl/>
              </w:rPr>
              <w:t xml:space="preserve">הצעת חוק תוגש לכנסת </w:t>
            </w:r>
            <w:r w:rsidRPr="00A15337">
              <w:rPr>
                <w:rFonts w:hint="cs"/>
                <w:szCs w:val="20"/>
                <w:rtl/>
              </w:rPr>
              <w:t>בידי</w:t>
            </w:r>
            <w:r w:rsidRPr="00A15337">
              <w:rPr>
                <w:szCs w:val="20"/>
                <w:rtl/>
              </w:rPr>
              <w:t xml:space="preserve"> הממשלה או </w:t>
            </w:r>
            <w:r w:rsidRPr="00A15337">
              <w:rPr>
                <w:rFonts w:hint="cs"/>
                <w:szCs w:val="20"/>
                <w:rtl/>
              </w:rPr>
              <w:t>בידי</w:t>
            </w:r>
            <w:r w:rsidRPr="00A15337">
              <w:rPr>
                <w:szCs w:val="20"/>
                <w:rtl/>
              </w:rPr>
              <w:t xml:space="preserve"> חבר הכנסת.</w:t>
            </w:r>
          </w:p>
        </w:tc>
      </w:tr>
      <w:tr w:rsidR="005366A8" w:rsidRPr="00A15337" w:rsidTr="001845AC">
        <w:trPr>
          <w:cantSplit/>
          <w:trHeight w:val="90"/>
        </w:trPr>
        <w:tc>
          <w:tcPr>
            <w:tcW w:w="1411" w:type="dxa"/>
            <w:vMerge/>
          </w:tcPr>
          <w:p w:rsidR="005366A8" w:rsidRPr="00A15337" w:rsidRDefault="005366A8" w:rsidP="001845AC">
            <w:pPr>
              <w:pStyle w:val="a5"/>
              <w:spacing w:after="60" w:line="240" w:lineRule="auto"/>
              <w:rPr>
                <w:rtl/>
              </w:rPr>
            </w:pPr>
          </w:p>
        </w:tc>
        <w:tc>
          <w:tcPr>
            <w:tcW w:w="289" w:type="dxa"/>
            <w:vMerge/>
          </w:tcPr>
          <w:p w:rsidR="005366A8" w:rsidRPr="00A15337" w:rsidRDefault="005366A8" w:rsidP="001845AC">
            <w:pPr>
              <w:pStyle w:val="a4"/>
              <w:spacing w:after="60" w:line="240" w:lineRule="auto"/>
              <w:rPr>
                <w:b/>
                <w:bCs/>
                <w:szCs w:val="20"/>
                <w:rtl/>
              </w:rPr>
            </w:pPr>
          </w:p>
        </w:tc>
        <w:tc>
          <w:tcPr>
            <w:tcW w:w="562" w:type="dxa"/>
          </w:tcPr>
          <w:p w:rsidR="005366A8" w:rsidRPr="00A15337" w:rsidRDefault="005366A8" w:rsidP="001845AC">
            <w:pPr>
              <w:pStyle w:val="a4"/>
              <w:spacing w:after="60" w:line="240" w:lineRule="auto"/>
              <w:rPr>
                <w:szCs w:val="20"/>
                <w:rtl/>
              </w:rPr>
            </w:pPr>
          </w:p>
        </w:tc>
        <w:tc>
          <w:tcPr>
            <w:tcW w:w="568" w:type="dxa"/>
          </w:tcPr>
          <w:p w:rsidR="005366A8" w:rsidRPr="00A15337" w:rsidRDefault="005366A8" w:rsidP="001845AC">
            <w:pPr>
              <w:pStyle w:val="a4"/>
              <w:spacing w:after="60" w:line="240" w:lineRule="auto"/>
              <w:rPr>
                <w:szCs w:val="20"/>
                <w:rtl/>
              </w:rPr>
            </w:pPr>
            <w:r w:rsidRPr="00A15337">
              <w:rPr>
                <w:rFonts w:hint="cs"/>
                <w:szCs w:val="20"/>
                <w:rtl/>
              </w:rPr>
              <w:t>(ב)</w:t>
            </w:r>
          </w:p>
        </w:tc>
        <w:tc>
          <w:tcPr>
            <w:tcW w:w="5789" w:type="dxa"/>
          </w:tcPr>
          <w:p w:rsidR="005366A8" w:rsidRPr="00A15337" w:rsidRDefault="005366A8" w:rsidP="001845AC">
            <w:pPr>
              <w:pStyle w:val="a4"/>
              <w:tabs>
                <w:tab w:val="clear" w:pos="1134"/>
              </w:tabs>
              <w:spacing w:after="60" w:line="240" w:lineRule="auto"/>
              <w:ind w:right="12"/>
              <w:rPr>
                <w:szCs w:val="20"/>
                <w:rtl/>
              </w:rPr>
            </w:pPr>
            <w:r w:rsidRPr="00A15337">
              <w:rPr>
                <w:szCs w:val="20"/>
                <w:rtl/>
              </w:rPr>
              <w:t xml:space="preserve">הצעת חוק שענינה הכנסת, בחירות לכנסת, חברי הכנסת או מבקר המדינה יכול שתוגש לכנסת </w:t>
            </w:r>
            <w:r w:rsidRPr="00A15337">
              <w:rPr>
                <w:rFonts w:hint="cs"/>
                <w:szCs w:val="20"/>
                <w:rtl/>
              </w:rPr>
              <w:t>בידי</w:t>
            </w:r>
            <w:r w:rsidRPr="00A15337">
              <w:rPr>
                <w:szCs w:val="20"/>
                <w:rtl/>
              </w:rPr>
              <w:t xml:space="preserve"> ועדה של הכנסת שהוסמכה לכך בתקנון הכנסת.</w:t>
            </w:r>
          </w:p>
        </w:tc>
      </w:tr>
      <w:tr w:rsidR="005366A8" w:rsidRPr="00A15337" w:rsidTr="001845AC">
        <w:trPr>
          <w:cantSplit/>
          <w:trHeight w:val="90"/>
        </w:trPr>
        <w:tc>
          <w:tcPr>
            <w:tcW w:w="1411" w:type="dxa"/>
            <w:vMerge/>
          </w:tcPr>
          <w:p w:rsidR="005366A8" w:rsidRPr="00A15337" w:rsidRDefault="005366A8" w:rsidP="001845AC">
            <w:pPr>
              <w:pStyle w:val="a5"/>
              <w:spacing w:after="60" w:line="240" w:lineRule="auto"/>
              <w:rPr>
                <w:rtl/>
              </w:rPr>
            </w:pPr>
          </w:p>
        </w:tc>
        <w:tc>
          <w:tcPr>
            <w:tcW w:w="289" w:type="dxa"/>
            <w:vMerge/>
          </w:tcPr>
          <w:p w:rsidR="005366A8" w:rsidRPr="00A15337" w:rsidRDefault="005366A8" w:rsidP="001845AC">
            <w:pPr>
              <w:pStyle w:val="a4"/>
              <w:spacing w:after="60" w:line="240" w:lineRule="auto"/>
              <w:rPr>
                <w:b/>
                <w:bCs/>
                <w:szCs w:val="20"/>
                <w:rtl/>
              </w:rPr>
            </w:pPr>
          </w:p>
        </w:tc>
        <w:tc>
          <w:tcPr>
            <w:tcW w:w="562" w:type="dxa"/>
          </w:tcPr>
          <w:p w:rsidR="005366A8" w:rsidRPr="00A15337" w:rsidRDefault="005366A8" w:rsidP="001845AC">
            <w:pPr>
              <w:pStyle w:val="a4"/>
              <w:spacing w:after="60" w:line="240" w:lineRule="auto"/>
              <w:rPr>
                <w:szCs w:val="20"/>
                <w:rtl/>
              </w:rPr>
            </w:pPr>
          </w:p>
        </w:tc>
        <w:tc>
          <w:tcPr>
            <w:tcW w:w="568" w:type="dxa"/>
          </w:tcPr>
          <w:p w:rsidR="005366A8" w:rsidRPr="00A15337" w:rsidRDefault="005366A8" w:rsidP="001845AC">
            <w:pPr>
              <w:pStyle w:val="a4"/>
              <w:spacing w:after="60" w:line="240" w:lineRule="auto"/>
              <w:rPr>
                <w:szCs w:val="20"/>
                <w:rtl/>
              </w:rPr>
            </w:pPr>
            <w:r w:rsidRPr="00A15337">
              <w:rPr>
                <w:rFonts w:hint="cs"/>
                <w:szCs w:val="20"/>
                <w:rtl/>
              </w:rPr>
              <w:t>(ג)</w:t>
            </w:r>
          </w:p>
        </w:tc>
        <w:tc>
          <w:tcPr>
            <w:tcW w:w="5789" w:type="dxa"/>
          </w:tcPr>
          <w:p w:rsidR="005366A8" w:rsidRPr="00A15337" w:rsidRDefault="005366A8" w:rsidP="001845AC">
            <w:pPr>
              <w:pStyle w:val="a4"/>
              <w:tabs>
                <w:tab w:val="clear" w:pos="1134"/>
              </w:tabs>
              <w:spacing w:after="60" w:line="240" w:lineRule="auto"/>
              <w:rPr>
                <w:szCs w:val="20"/>
                <w:rtl/>
              </w:rPr>
            </w:pPr>
            <w:r w:rsidRPr="00A15337">
              <w:rPr>
                <w:rFonts w:hint="cs"/>
                <w:szCs w:val="20"/>
                <w:rtl/>
              </w:rPr>
              <w:t>בחוק או בתקנון הכנסת ניתן לקבוע הגבלות על הגשה של הצעות חוק.</w:t>
            </w:r>
          </w:p>
        </w:tc>
      </w:tr>
      <w:tr w:rsidR="005366A8" w:rsidRPr="00A15337" w:rsidTr="001845AC">
        <w:trPr>
          <w:cantSplit/>
          <w:trHeight w:val="90"/>
        </w:trPr>
        <w:tc>
          <w:tcPr>
            <w:tcW w:w="1411" w:type="dxa"/>
            <w:vMerge/>
          </w:tcPr>
          <w:p w:rsidR="005366A8" w:rsidRPr="00A15337" w:rsidRDefault="005366A8" w:rsidP="001845AC">
            <w:pPr>
              <w:pStyle w:val="a5"/>
              <w:spacing w:after="60" w:line="240" w:lineRule="auto"/>
              <w:rPr>
                <w:rtl/>
              </w:rPr>
            </w:pPr>
          </w:p>
        </w:tc>
        <w:tc>
          <w:tcPr>
            <w:tcW w:w="289" w:type="dxa"/>
            <w:vMerge/>
          </w:tcPr>
          <w:p w:rsidR="005366A8" w:rsidRPr="00A15337" w:rsidRDefault="005366A8" w:rsidP="001845AC">
            <w:pPr>
              <w:pStyle w:val="a4"/>
              <w:spacing w:after="60" w:line="240" w:lineRule="auto"/>
              <w:rPr>
                <w:b/>
                <w:bCs/>
                <w:szCs w:val="20"/>
                <w:rtl/>
              </w:rPr>
            </w:pPr>
          </w:p>
        </w:tc>
        <w:tc>
          <w:tcPr>
            <w:tcW w:w="562" w:type="dxa"/>
          </w:tcPr>
          <w:p w:rsidR="005366A8" w:rsidRPr="00A15337" w:rsidRDefault="005366A8" w:rsidP="001845AC">
            <w:pPr>
              <w:pStyle w:val="a4"/>
              <w:spacing w:after="60" w:line="240" w:lineRule="auto"/>
              <w:rPr>
                <w:szCs w:val="20"/>
                <w:rtl/>
              </w:rPr>
            </w:pPr>
          </w:p>
        </w:tc>
        <w:tc>
          <w:tcPr>
            <w:tcW w:w="568" w:type="dxa"/>
          </w:tcPr>
          <w:p w:rsidR="005366A8" w:rsidRPr="00A15337" w:rsidRDefault="005366A8" w:rsidP="001845AC">
            <w:pPr>
              <w:pStyle w:val="a4"/>
              <w:spacing w:after="60" w:line="240" w:lineRule="auto"/>
              <w:rPr>
                <w:szCs w:val="20"/>
                <w:rtl/>
              </w:rPr>
            </w:pPr>
            <w:r w:rsidRPr="00A15337">
              <w:rPr>
                <w:rFonts w:hint="cs"/>
                <w:szCs w:val="20"/>
                <w:rtl/>
              </w:rPr>
              <w:t>(ד)</w:t>
            </w:r>
          </w:p>
        </w:tc>
        <w:tc>
          <w:tcPr>
            <w:tcW w:w="5789" w:type="dxa"/>
          </w:tcPr>
          <w:p w:rsidR="005366A8" w:rsidRPr="00A15337" w:rsidRDefault="005366A8" w:rsidP="001845AC">
            <w:pPr>
              <w:pStyle w:val="a4"/>
              <w:spacing w:after="60" w:line="240" w:lineRule="auto"/>
              <w:rPr>
                <w:szCs w:val="20"/>
                <w:rtl/>
              </w:rPr>
            </w:pPr>
            <w:r w:rsidRPr="00A15337">
              <w:rPr>
                <w:szCs w:val="20"/>
                <w:rtl/>
              </w:rPr>
              <w:t>הצעת חוק של הממשלה או של ועדה של הכנסת תפורסם ברשומות ותונח על שולחן הכנסת</w:t>
            </w:r>
            <w:r w:rsidRPr="00A15337">
              <w:rPr>
                <w:rFonts w:hint="cs"/>
                <w:szCs w:val="20"/>
                <w:rtl/>
              </w:rPr>
              <w:t>.</w:t>
            </w:r>
          </w:p>
        </w:tc>
      </w:tr>
      <w:tr w:rsidR="005366A8" w:rsidRPr="00A15337" w:rsidTr="001845AC">
        <w:trPr>
          <w:cantSplit/>
          <w:trHeight w:val="90"/>
        </w:trPr>
        <w:tc>
          <w:tcPr>
            <w:tcW w:w="1411" w:type="dxa"/>
          </w:tcPr>
          <w:p w:rsidR="005366A8" w:rsidRPr="00A15337" w:rsidRDefault="005366A8" w:rsidP="001845AC">
            <w:pPr>
              <w:pStyle w:val="a5"/>
              <w:spacing w:after="60" w:line="240" w:lineRule="auto"/>
              <w:rPr>
                <w:rtl/>
              </w:rPr>
            </w:pPr>
          </w:p>
        </w:tc>
        <w:tc>
          <w:tcPr>
            <w:tcW w:w="289" w:type="dxa"/>
          </w:tcPr>
          <w:p w:rsidR="005366A8" w:rsidRPr="00A15337" w:rsidRDefault="005366A8" w:rsidP="001845AC">
            <w:pPr>
              <w:pStyle w:val="a4"/>
              <w:spacing w:after="60" w:line="240" w:lineRule="auto"/>
              <w:rPr>
                <w:b/>
                <w:bCs/>
                <w:szCs w:val="20"/>
                <w:rtl/>
              </w:rPr>
            </w:pPr>
          </w:p>
        </w:tc>
        <w:tc>
          <w:tcPr>
            <w:tcW w:w="562" w:type="dxa"/>
          </w:tcPr>
          <w:p w:rsidR="005366A8" w:rsidRPr="00A15337" w:rsidRDefault="005366A8" w:rsidP="001845AC">
            <w:pPr>
              <w:pStyle w:val="a4"/>
              <w:spacing w:after="60" w:line="240" w:lineRule="auto"/>
              <w:rPr>
                <w:szCs w:val="20"/>
                <w:rtl/>
              </w:rPr>
            </w:pPr>
          </w:p>
        </w:tc>
        <w:tc>
          <w:tcPr>
            <w:tcW w:w="568" w:type="dxa"/>
          </w:tcPr>
          <w:p w:rsidR="005366A8" w:rsidRPr="00A15337" w:rsidRDefault="005366A8" w:rsidP="001845AC">
            <w:pPr>
              <w:pStyle w:val="a4"/>
              <w:spacing w:after="60" w:line="240" w:lineRule="auto"/>
              <w:rPr>
                <w:szCs w:val="20"/>
                <w:rtl/>
              </w:rPr>
            </w:pPr>
            <w:r w:rsidRPr="00A15337">
              <w:rPr>
                <w:rFonts w:hint="cs"/>
                <w:szCs w:val="20"/>
                <w:rtl/>
              </w:rPr>
              <w:t>(ה)</w:t>
            </w:r>
          </w:p>
        </w:tc>
        <w:tc>
          <w:tcPr>
            <w:tcW w:w="5789" w:type="dxa"/>
          </w:tcPr>
          <w:p w:rsidR="005366A8" w:rsidRPr="00A15337" w:rsidRDefault="005366A8" w:rsidP="001845AC">
            <w:pPr>
              <w:pStyle w:val="a4"/>
              <w:spacing w:after="60" w:line="240" w:lineRule="auto"/>
              <w:rPr>
                <w:szCs w:val="20"/>
                <w:rtl/>
              </w:rPr>
            </w:pPr>
            <w:r w:rsidRPr="00A15337">
              <w:rPr>
                <w:szCs w:val="20"/>
                <w:rtl/>
              </w:rPr>
              <w:t>הצעת חוק של חבר הכנסת תובא לדיון מוקדם במליאת הכנסת</w:t>
            </w:r>
            <w:r w:rsidRPr="00A15337">
              <w:rPr>
                <w:rFonts w:hint="cs"/>
                <w:szCs w:val="20"/>
                <w:rtl/>
              </w:rPr>
              <w:t>;</w:t>
            </w:r>
            <w:r w:rsidRPr="00A15337">
              <w:rPr>
                <w:szCs w:val="20"/>
                <w:rtl/>
              </w:rPr>
              <w:t xml:space="preserve"> החליטה הכנסת לאשר את ההצעה, תועבר </w:t>
            </w:r>
            <w:r w:rsidRPr="00A15337">
              <w:rPr>
                <w:rFonts w:hint="cs"/>
                <w:szCs w:val="20"/>
                <w:rtl/>
              </w:rPr>
              <w:t xml:space="preserve">ההצעה </w:t>
            </w:r>
            <w:r w:rsidRPr="00A15337">
              <w:rPr>
                <w:szCs w:val="20"/>
                <w:rtl/>
              </w:rPr>
              <w:t>לוועדה של הכנסת</w:t>
            </w:r>
            <w:r w:rsidRPr="00A15337">
              <w:rPr>
                <w:rFonts w:hint="cs"/>
                <w:szCs w:val="20"/>
                <w:rtl/>
              </w:rPr>
              <w:t>;</w:t>
            </w:r>
            <w:r w:rsidRPr="00A15337">
              <w:rPr>
                <w:szCs w:val="20"/>
                <w:rtl/>
              </w:rPr>
              <w:t xml:space="preserve"> אישרה הוועדה את ההצעה, תפורסם ההצעה ברשומות בנוסח ש</w:t>
            </w:r>
            <w:r w:rsidRPr="00A15337">
              <w:rPr>
                <w:rFonts w:hint="cs"/>
                <w:szCs w:val="20"/>
                <w:rtl/>
              </w:rPr>
              <w:t>קבעה</w:t>
            </w:r>
            <w:r w:rsidRPr="00A15337">
              <w:rPr>
                <w:szCs w:val="20"/>
                <w:rtl/>
              </w:rPr>
              <w:t xml:space="preserve"> הוועדה ותונח על שולחן הכנסת.</w:t>
            </w:r>
          </w:p>
          <w:p w:rsidR="005366A8" w:rsidRPr="00A15337" w:rsidRDefault="005366A8" w:rsidP="001845AC">
            <w:pPr>
              <w:pStyle w:val="a4"/>
              <w:spacing w:after="60" w:line="240" w:lineRule="auto"/>
              <w:rPr>
                <w:szCs w:val="20"/>
                <w:rtl/>
              </w:rPr>
            </w:pPr>
          </w:p>
        </w:tc>
      </w:tr>
      <w:tr w:rsidR="005366A8" w:rsidRPr="00A15337" w:rsidTr="001845AC">
        <w:trPr>
          <w:cantSplit/>
          <w:trHeight w:val="90"/>
        </w:trPr>
        <w:tc>
          <w:tcPr>
            <w:tcW w:w="1411" w:type="dxa"/>
          </w:tcPr>
          <w:p w:rsidR="005366A8" w:rsidRPr="00A15337" w:rsidRDefault="005366A8" w:rsidP="001845AC">
            <w:pPr>
              <w:pStyle w:val="a5"/>
              <w:spacing w:after="60" w:line="240" w:lineRule="auto"/>
              <w:rPr>
                <w:rtl/>
              </w:rPr>
            </w:pPr>
            <w:r w:rsidRPr="00A15337">
              <w:rPr>
                <w:rtl/>
              </w:rPr>
              <w:t>שלבי החקיקה</w:t>
            </w:r>
          </w:p>
        </w:tc>
        <w:tc>
          <w:tcPr>
            <w:tcW w:w="289" w:type="dxa"/>
          </w:tcPr>
          <w:p w:rsidR="005366A8" w:rsidRPr="00A15337" w:rsidRDefault="005366A8" w:rsidP="001845AC">
            <w:pPr>
              <w:pStyle w:val="a4"/>
              <w:spacing w:after="60" w:line="240" w:lineRule="auto"/>
              <w:rPr>
                <w:b/>
                <w:bCs/>
                <w:szCs w:val="20"/>
                <w:rtl/>
              </w:rPr>
            </w:pPr>
          </w:p>
        </w:tc>
        <w:tc>
          <w:tcPr>
            <w:tcW w:w="562" w:type="dxa"/>
          </w:tcPr>
          <w:p w:rsidR="005366A8" w:rsidRPr="00A15337" w:rsidRDefault="005366A8" w:rsidP="001845AC">
            <w:pPr>
              <w:pStyle w:val="a4"/>
              <w:spacing w:after="60" w:line="240" w:lineRule="auto"/>
              <w:rPr>
                <w:szCs w:val="20"/>
                <w:rtl/>
              </w:rPr>
            </w:pPr>
            <w:r w:rsidRPr="00A15337">
              <w:rPr>
                <w:szCs w:val="20"/>
                <w:rtl/>
              </w:rPr>
              <w:t>9.</w:t>
            </w:r>
          </w:p>
        </w:tc>
        <w:tc>
          <w:tcPr>
            <w:tcW w:w="568" w:type="dxa"/>
          </w:tcPr>
          <w:p w:rsidR="005366A8" w:rsidRPr="00A15337" w:rsidRDefault="005366A8" w:rsidP="001845AC">
            <w:pPr>
              <w:pStyle w:val="a4"/>
              <w:spacing w:after="60" w:line="240" w:lineRule="auto"/>
              <w:rPr>
                <w:szCs w:val="20"/>
                <w:rtl/>
              </w:rPr>
            </w:pPr>
            <w:r w:rsidRPr="00A15337">
              <w:rPr>
                <w:rFonts w:hint="cs"/>
                <w:szCs w:val="20"/>
                <w:rtl/>
              </w:rPr>
              <w:t>(א)</w:t>
            </w:r>
          </w:p>
        </w:tc>
        <w:tc>
          <w:tcPr>
            <w:tcW w:w="5789" w:type="dxa"/>
          </w:tcPr>
          <w:p w:rsidR="005366A8" w:rsidRPr="00A15337" w:rsidRDefault="005366A8" w:rsidP="001845AC">
            <w:pPr>
              <w:pStyle w:val="a4"/>
              <w:spacing w:after="60" w:line="240" w:lineRule="auto"/>
              <w:rPr>
                <w:szCs w:val="20"/>
                <w:rtl/>
              </w:rPr>
            </w:pPr>
            <w:r w:rsidRPr="00A15337">
              <w:rPr>
                <w:szCs w:val="20"/>
                <w:rtl/>
              </w:rPr>
              <w:t>חוק יתקבל בשלוש קריאות במליאת הכנסת.</w:t>
            </w:r>
          </w:p>
        </w:tc>
      </w:tr>
      <w:tr w:rsidR="005366A8" w:rsidRPr="00A15337" w:rsidTr="001845AC">
        <w:trPr>
          <w:cantSplit/>
          <w:trHeight w:val="90"/>
        </w:trPr>
        <w:tc>
          <w:tcPr>
            <w:tcW w:w="1411" w:type="dxa"/>
          </w:tcPr>
          <w:p w:rsidR="005366A8" w:rsidRPr="00A15337" w:rsidRDefault="005366A8" w:rsidP="001845AC">
            <w:pPr>
              <w:pStyle w:val="a5"/>
              <w:spacing w:after="60" w:line="240" w:lineRule="auto"/>
              <w:rPr>
                <w:rtl/>
              </w:rPr>
            </w:pPr>
          </w:p>
        </w:tc>
        <w:tc>
          <w:tcPr>
            <w:tcW w:w="289" w:type="dxa"/>
          </w:tcPr>
          <w:p w:rsidR="005366A8" w:rsidRPr="00A15337" w:rsidRDefault="005366A8" w:rsidP="001845AC">
            <w:pPr>
              <w:pStyle w:val="a4"/>
              <w:spacing w:after="60" w:line="240" w:lineRule="auto"/>
              <w:rPr>
                <w:b/>
                <w:bCs/>
                <w:szCs w:val="20"/>
                <w:rtl/>
              </w:rPr>
            </w:pPr>
          </w:p>
        </w:tc>
        <w:tc>
          <w:tcPr>
            <w:tcW w:w="562" w:type="dxa"/>
          </w:tcPr>
          <w:p w:rsidR="005366A8" w:rsidRPr="00A15337" w:rsidRDefault="005366A8" w:rsidP="001845AC">
            <w:pPr>
              <w:pStyle w:val="a4"/>
              <w:spacing w:after="60" w:line="240" w:lineRule="auto"/>
              <w:rPr>
                <w:szCs w:val="20"/>
                <w:rtl/>
              </w:rPr>
            </w:pPr>
          </w:p>
        </w:tc>
        <w:tc>
          <w:tcPr>
            <w:tcW w:w="568" w:type="dxa"/>
          </w:tcPr>
          <w:p w:rsidR="005366A8" w:rsidRPr="00A15337" w:rsidRDefault="005366A8" w:rsidP="001845AC">
            <w:pPr>
              <w:pStyle w:val="a4"/>
              <w:spacing w:after="60" w:line="240" w:lineRule="auto"/>
              <w:rPr>
                <w:szCs w:val="20"/>
                <w:rtl/>
              </w:rPr>
            </w:pPr>
            <w:r w:rsidRPr="00A15337">
              <w:rPr>
                <w:rFonts w:hint="cs"/>
                <w:szCs w:val="20"/>
                <w:rtl/>
              </w:rPr>
              <w:t>(ב)</w:t>
            </w:r>
          </w:p>
        </w:tc>
        <w:tc>
          <w:tcPr>
            <w:tcW w:w="5789" w:type="dxa"/>
          </w:tcPr>
          <w:p w:rsidR="005366A8" w:rsidRPr="00A15337" w:rsidRDefault="005366A8" w:rsidP="001845AC">
            <w:pPr>
              <w:pStyle w:val="a4"/>
              <w:spacing w:after="60" w:line="240" w:lineRule="auto"/>
              <w:rPr>
                <w:szCs w:val="20"/>
                <w:rtl/>
              </w:rPr>
            </w:pPr>
            <w:r w:rsidRPr="00A15337">
              <w:rPr>
                <w:szCs w:val="20"/>
                <w:rtl/>
              </w:rPr>
              <w:t>חוק יתקבל במליאת הכנסת ברוב של חברי הכנסת שהצביעו,</w:t>
            </w:r>
            <w:r w:rsidRPr="00A15337">
              <w:rPr>
                <w:rFonts w:hint="cs"/>
                <w:szCs w:val="20"/>
                <w:rtl/>
              </w:rPr>
              <w:t xml:space="preserve"> ולענין זה לא יובאו הנמנעים במניין המשתתפים בהצבעה.</w:t>
            </w:r>
            <w:r>
              <w:rPr>
                <w:rFonts w:hint="cs"/>
                <w:szCs w:val="20"/>
                <w:rtl/>
              </w:rPr>
              <w:t xml:space="preserve"> </w:t>
            </w:r>
          </w:p>
          <w:p w:rsidR="005366A8" w:rsidRPr="00A15337" w:rsidRDefault="005366A8" w:rsidP="001845AC">
            <w:pPr>
              <w:pStyle w:val="a4"/>
              <w:spacing w:after="60" w:line="240" w:lineRule="auto"/>
              <w:rPr>
                <w:szCs w:val="20"/>
                <w:rtl/>
              </w:rPr>
            </w:pPr>
          </w:p>
        </w:tc>
      </w:tr>
      <w:tr w:rsidR="005366A8" w:rsidRPr="00A15337" w:rsidTr="001845AC">
        <w:trPr>
          <w:cantSplit/>
        </w:trPr>
        <w:tc>
          <w:tcPr>
            <w:tcW w:w="1411" w:type="dxa"/>
          </w:tcPr>
          <w:p w:rsidR="005366A8" w:rsidRPr="00A15337" w:rsidRDefault="005366A8" w:rsidP="001845AC">
            <w:pPr>
              <w:pStyle w:val="a5"/>
              <w:spacing w:after="60" w:line="240" w:lineRule="auto"/>
              <w:rPr>
                <w:highlight w:val="yellow"/>
                <w:rtl/>
              </w:rPr>
            </w:pPr>
            <w:r w:rsidRPr="00A15337">
              <w:rPr>
                <w:b/>
                <w:highlight w:val="yellow"/>
                <w:rtl/>
              </w:rPr>
              <w:t>עליונות</w:t>
            </w:r>
            <w:r w:rsidRPr="00A15337">
              <w:rPr>
                <w:highlight w:val="yellow"/>
                <w:rtl/>
              </w:rPr>
              <w:t xml:space="preserve"> חוק-יסוד</w:t>
            </w:r>
          </w:p>
        </w:tc>
        <w:tc>
          <w:tcPr>
            <w:tcW w:w="289" w:type="dxa"/>
          </w:tcPr>
          <w:p w:rsidR="005366A8" w:rsidRPr="00A15337" w:rsidRDefault="005366A8" w:rsidP="001845AC">
            <w:pPr>
              <w:pStyle w:val="a4"/>
              <w:spacing w:after="60" w:line="240" w:lineRule="auto"/>
              <w:rPr>
                <w:b/>
                <w:bCs/>
                <w:szCs w:val="20"/>
                <w:highlight w:val="yellow"/>
                <w:rtl/>
              </w:rPr>
            </w:pPr>
          </w:p>
        </w:tc>
        <w:tc>
          <w:tcPr>
            <w:tcW w:w="6919" w:type="dxa"/>
            <w:gridSpan w:val="3"/>
          </w:tcPr>
          <w:p w:rsidR="005366A8" w:rsidRPr="00A15337" w:rsidRDefault="005366A8" w:rsidP="001845AC">
            <w:pPr>
              <w:pStyle w:val="a4"/>
              <w:spacing w:after="60" w:line="240" w:lineRule="auto"/>
              <w:rPr>
                <w:szCs w:val="20"/>
                <w:highlight w:val="yellow"/>
                <w:rtl/>
              </w:rPr>
            </w:pPr>
            <w:r w:rsidRPr="00A15337">
              <w:rPr>
                <w:szCs w:val="20"/>
                <w:highlight w:val="yellow"/>
                <w:rtl/>
              </w:rPr>
              <w:t>10.</w:t>
            </w:r>
            <w:r w:rsidRPr="00A15337">
              <w:rPr>
                <w:szCs w:val="20"/>
                <w:highlight w:val="yellow"/>
                <w:rtl/>
              </w:rPr>
              <w:tab/>
              <w:t xml:space="preserve">חוק לא יסתור הוראה בחוק-יסוד. </w:t>
            </w:r>
          </w:p>
          <w:p w:rsidR="005366A8" w:rsidRPr="00A15337" w:rsidRDefault="005366A8" w:rsidP="001845AC">
            <w:pPr>
              <w:pStyle w:val="a4"/>
              <w:spacing w:after="60" w:line="240" w:lineRule="auto"/>
              <w:rPr>
                <w:szCs w:val="20"/>
                <w:highlight w:val="yellow"/>
                <w:rtl/>
              </w:rPr>
            </w:pPr>
          </w:p>
        </w:tc>
      </w:tr>
      <w:tr w:rsidR="005366A8" w:rsidRPr="00A15337" w:rsidTr="001845AC">
        <w:trPr>
          <w:cantSplit/>
        </w:trPr>
        <w:tc>
          <w:tcPr>
            <w:tcW w:w="1411" w:type="dxa"/>
          </w:tcPr>
          <w:p w:rsidR="005366A8" w:rsidRPr="00A15337" w:rsidRDefault="005366A8" w:rsidP="001845AC">
            <w:pPr>
              <w:pStyle w:val="a5"/>
              <w:spacing w:after="60" w:line="240" w:lineRule="auto"/>
              <w:rPr>
                <w:b/>
                <w:highlight w:val="yellow"/>
              </w:rPr>
            </w:pPr>
            <w:r w:rsidRPr="00A15337">
              <w:rPr>
                <w:b/>
                <w:highlight w:val="yellow"/>
                <w:rtl/>
              </w:rPr>
              <w:t xml:space="preserve">תוקפו של חוק סותר </w:t>
            </w:r>
          </w:p>
        </w:tc>
        <w:tc>
          <w:tcPr>
            <w:tcW w:w="289" w:type="dxa"/>
          </w:tcPr>
          <w:p w:rsidR="005366A8" w:rsidRPr="00A15337" w:rsidRDefault="005366A8" w:rsidP="001845AC">
            <w:pPr>
              <w:pStyle w:val="a4"/>
              <w:spacing w:after="60" w:line="240" w:lineRule="auto"/>
              <w:rPr>
                <w:b/>
                <w:bCs/>
                <w:szCs w:val="20"/>
                <w:highlight w:val="yellow"/>
              </w:rPr>
            </w:pPr>
          </w:p>
        </w:tc>
        <w:tc>
          <w:tcPr>
            <w:tcW w:w="562" w:type="dxa"/>
          </w:tcPr>
          <w:p w:rsidR="005366A8" w:rsidRPr="00A15337" w:rsidRDefault="005366A8" w:rsidP="001845AC">
            <w:pPr>
              <w:pStyle w:val="a4"/>
              <w:spacing w:after="60" w:line="240" w:lineRule="auto"/>
              <w:rPr>
                <w:szCs w:val="20"/>
                <w:highlight w:val="yellow"/>
              </w:rPr>
            </w:pPr>
            <w:r w:rsidRPr="00A15337">
              <w:rPr>
                <w:szCs w:val="20"/>
                <w:highlight w:val="yellow"/>
                <w:rtl/>
              </w:rPr>
              <w:t>11.</w:t>
            </w:r>
            <w:r>
              <w:rPr>
                <w:szCs w:val="20"/>
                <w:highlight w:val="yellow"/>
                <w:rtl/>
              </w:rPr>
              <w:t xml:space="preserve"> </w:t>
            </w:r>
          </w:p>
        </w:tc>
        <w:tc>
          <w:tcPr>
            <w:tcW w:w="568" w:type="dxa"/>
          </w:tcPr>
          <w:p w:rsidR="005366A8" w:rsidRPr="00A15337" w:rsidRDefault="005366A8" w:rsidP="001845AC">
            <w:pPr>
              <w:pStyle w:val="a4"/>
              <w:spacing w:after="60" w:line="240" w:lineRule="auto"/>
              <w:rPr>
                <w:szCs w:val="20"/>
                <w:highlight w:val="yellow"/>
              </w:rPr>
            </w:pPr>
            <w:r w:rsidRPr="00A15337">
              <w:rPr>
                <w:szCs w:val="20"/>
                <w:highlight w:val="yellow"/>
                <w:rtl/>
              </w:rPr>
              <w:t>(א)</w:t>
            </w:r>
          </w:p>
        </w:tc>
        <w:tc>
          <w:tcPr>
            <w:tcW w:w="5789" w:type="dxa"/>
          </w:tcPr>
          <w:p w:rsidR="005366A8" w:rsidRPr="00A15337" w:rsidRDefault="005366A8" w:rsidP="001845AC">
            <w:pPr>
              <w:pStyle w:val="a4"/>
              <w:spacing w:after="60" w:line="240" w:lineRule="auto"/>
              <w:rPr>
                <w:szCs w:val="20"/>
                <w:highlight w:val="yellow"/>
              </w:rPr>
            </w:pPr>
            <w:r w:rsidRPr="00A15337">
              <w:rPr>
                <w:szCs w:val="20"/>
                <w:highlight w:val="yellow"/>
                <w:rtl/>
              </w:rPr>
              <w:t xml:space="preserve">קבע בית המשפט העליון, </w:t>
            </w:r>
            <w:r w:rsidRPr="00A15337">
              <w:rPr>
                <w:rFonts w:hint="cs"/>
                <w:szCs w:val="20"/>
                <w:highlight w:val="yellow"/>
                <w:rtl/>
              </w:rPr>
              <w:t>לפי</w:t>
            </w:r>
            <w:r w:rsidRPr="00A15337">
              <w:rPr>
                <w:szCs w:val="20"/>
                <w:highlight w:val="yellow"/>
                <w:rtl/>
              </w:rPr>
              <w:t xml:space="preserve"> סעיף 15א לחוק</w:t>
            </w:r>
            <w:r w:rsidRPr="00A15337">
              <w:rPr>
                <w:rFonts w:hint="cs"/>
                <w:szCs w:val="20"/>
                <w:highlight w:val="yellow"/>
                <w:rtl/>
              </w:rPr>
              <w:t>-</w:t>
            </w:r>
            <w:r w:rsidRPr="00A15337">
              <w:rPr>
                <w:szCs w:val="20"/>
                <w:highlight w:val="yellow"/>
                <w:rtl/>
              </w:rPr>
              <w:t>יסוד: השפיטה כי חוק אינו תקף משום שהוא סותר</w:t>
            </w:r>
            <w:r w:rsidRPr="00A15337">
              <w:rPr>
                <w:rFonts w:hint="cs"/>
                <w:szCs w:val="20"/>
                <w:highlight w:val="yellow"/>
                <w:rtl/>
              </w:rPr>
              <w:t xml:space="preserve"> הוראה בחוק-יסוד</w:t>
            </w:r>
            <w:r w:rsidRPr="00A15337">
              <w:rPr>
                <w:szCs w:val="20"/>
                <w:highlight w:val="yellow"/>
                <w:rtl/>
              </w:rPr>
              <w:t>,יעמוד החוק הסותר בתוקפו חרף הסתירה</w:t>
            </w:r>
            <w:r w:rsidRPr="00A15337">
              <w:rPr>
                <w:rFonts w:hint="cs"/>
                <w:szCs w:val="20"/>
                <w:highlight w:val="yellow"/>
                <w:rtl/>
              </w:rPr>
              <w:t>,</w:t>
            </w:r>
            <w:r w:rsidRPr="00A15337">
              <w:rPr>
                <w:szCs w:val="20"/>
                <w:highlight w:val="yellow"/>
                <w:rtl/>
              </w:rPr>
              <w:t xml:space="preserve"> אם קבעה הכנסת במפורש, בחוק שהתקבל </w:t>
            </w:r>
            <w:r w:rsidRPr="00A15337">
              <w:rPr>
                <w:rFonts w:hint="cs"/>
                <w:szCs w:val="20"/>
                <w:highlight w:val="yellow"/>
                <w:rtl/>
              </w:rPr>
              <w:t xml:space="preserve">בשלוש הקריאות </w:t>
            </w:r>
            <w:r w:rsidRPr="00A15337">
              <w:rPr>
                <w:szCs w:val="20"/>
                <w:highlight w:val="yellow"/>
                <w:rtl/>
              </w:rPr>
              <w:t xml:space="preserve">ברוב של </w:t>
            </w:r>
            <w:r w:rsidRPr="00A15337">
              <w:rPr>
                <w:rFonts w:hint="cs"/>
                <w:szCs w:val="20"/>
                <w:highlight w:val="yellow"/>
                <w:rtl/>
              </w:rPr>
              <w:t xml:space="preserve">ששים וחמישה </w:t>
            </w:r>
            <w:r w:rsidRPr="00A15337">
              <w:rPr>
                <w:szCs w:val="20"/>
                <w:highlight w:val="yellow"/>
                <w:rtl/>
              </w:rPr>
              <w:t>חברי הכנסת, לאחר שהונח בפניה פסק דינו של בית המשפט העליון, כי החוק ה</w:t>
            </w:r>
            <w:r w:rsidRPr="00A15337">
              <w:rPr>
                <w:rFonts w:hint="cs"/>
                <w:szCs w:val="20"/>
                <w:highlight w:val="yellow"/>
                <w:rtl/>
              </w:rPr>
              <w:t>סותר</w:t>
            </w:r>
            <w:r w:rsidRPr="00A15337">
              <w:rPr>
                <w:szCs w:val="20"/>
                <w:highlight w:val="yellow"/>
                <w:rtl/>
              </w:rPr>
              <w:t xml:space="preserve"> יהיה תקף על אף האמור בחוק-היסוד</w:t>
            </w:r>
            <w:r w:rsidRPr="00A15337">
              <w:rPr>
                <w:rFonts w:hint="cs"/>
                <w:szCs w:val="20"/>
                <w:highlight w:val="yellow"/>
                <w:rtl/>
              </w:rPr>
              <w:t xml:space="preserve"> (בסעיף זה </w:t>
            </w:r>
            <w:r w:rsidRPr="00A15337">
              <w:rPr>
                <w:szCs w:val="20"/>
                <w:highlight w:val="yellow"/>
                <w:rtl/>
              </w:rPr>
              <w:t>–</w:t>
            </w:r>
            <w:r w:rsidRPr="00A15337">
              <w:rPr>
                <w:rFonts w:hint="cs"/>
                <w:szCs w:val="20"/>
                <w:highlight w:val="yellow"/>
                <w:rtl/>
              </w:rPr>
              <w:t xml:space="preserve"> חוק</w:t>
            </w:r>
            <w:r>
              <w:rPr>
                <w:rFonts w:hint="cs"/>
                <w:szCs w:val="20"/>
                <w:highlight w:val="yellow"/>
                <w:rtl/>
              </w:rPr>
              <w:t xml:space="preserve"> </w:t>
            </w:r>
            <w:r w:rsidRPr="00A15337">
              <w:rPr>
                <w:rFonts w:hint="cs"/>
                <w:szCs w:val="20"/>
                <w:highlight w:val="yellow"/>
                <w:rtl/>
              </w:rPr>
              <w:t xml:space="preserve">התגברות). </w:t>
            </w:r>
          </w:p>
        </w:tc>
      </w:tr>
      <w:tr w:rsidR="005366A8" w:rsidRPr="00A15337" w:rsidTr="001845AC">
        <w:trPr>
          <w:cantSplit/>
        </w:trPr>
        <w:tc>
          <w:tcPr>
            <w:tcW w:w="1411" w:type="dxa"/>
          </w:tcPr>
          <w:p w:rsidR="005366A8" w:rsidRPr="00A15337" w:rsidRDefault="005366A8" w:rsidP="001845AC">
            <w:pPr>
              <w:pStyle w:val="a5"/>
              <w:spacing w:after="60" w:line="240" w:lineRule="auto"/>
              <w:rPr>
                <w:b/>
                <w:highlight w:val="yellow"/>
                <w:rtl/>
              </w:rPr>
            </w:pPr>
          </w:p>
        </w:tc>
        <w:tc>
          <w:tcPr>
            <w:tcW w:w="289" w:type="dxa"/>
          </w:tcPr>
          <w:p w:rsidR="005366A8" w:rsidRPr="00A15337" w:rsidRDefault="005366A8" w:rsidP="001845AC">
            <w:pPr>
              <w:pStyle w:val="a4"/>
              <w:spacing w:after="60" w:line="240" w:lineRule="auto"/>
              <w:rPr>
                <w:b/>
                <w:bCs/>
                <w:szCs w:val="20"/>
                <w:highlight w:val="yellow"/>
              </w:rPr>
            </w:pPr>
          </w:p>
        </w:tc>
        <w:tc>
          <w:tcPr>
            <w:tcW w:w="562" w:type="dxa"/>
          </w:tcPr>
          <w:p w:rsidR="005366A8" w:rsidRPr="00A15337" w:rsidRDefault="005366A8" w:rsidP="001845AC">
            <w:pPr>
              <w:pStyle w:val="a4"/>
              <w:spacing w:after="60" w:line="240" w:lineRule="auto"/>
              <w:rPr>
                <w:szCs w:val="20"/>
                <w:highlight w:val="yellow"/>
                <w:rtl/>
              </w:rPr>
            </w:pPr>
          </w:p>
        </w:tc>
        <w:tc>
          <w:tcPr>
            <w:tcW w:w="568" w:type="dxa"/>
          </w:tcPr>
          <w:p w:rsidR="005366A8" w:rsidRPr="00A15337" w:rsidRDefault="005366A8" w:rsidP="001845AC">
            <w:pPr>
              <w:pStyle w:val="a4"/>
              <w:spacing w:after="60" w:line="240" w:lineRule="auto"/>
              <w:rPr>
                <w:szCs w:val="20"/>
                <w:highlight w:val="yellow"/>
                <w:rtl/>
              </w:rPr>
            </w:pPr>
            <w:r w:rsidRPr="00A15337">
              <w:rPr>
                <w:rFonts w:hint="cs"/>
                <w:szCs w:val="20"/>
                <w:highlight w:val="yellow"/>
                <w:rtl/>
              </w:rPr>
              <w:t>(ב)</w:t>
            </w:r>
          </w:p>
        </w:tc>
        <w:tc>
          <w:tcPr>
            <w:tcW w:w="5789" w:type="dxa"/>
          </w:tcPr>
          <w:p w:rsidR="005366A8" w:rsidRPr="00A15337" w:rsidRDefault="005366A8" w:rsidP="001845AC">
            <w:pPr>
              <w:pStyle w:val="a4"/>
              <w:spacing w:after="60" w:line="240" w:lineRule="auto"/>
              <w:rPr>
                <w:szCs w:val="20"/>
                <w:highlight w:val="yellow"/>
                <w:rtl/>
              </w:rPr>
            </w:pPr>
            <w:r w:rsidRPr="00A15337">
              <w:rPr>
                <w:rFonts w:hint="cs"/>
                <w:szCs w:val="20"/>
                <w:highlight w:val="yellow"/>
                <w:rtl/>
              </w:rPr>
              <w:t>תוקפו של חוק התגברות יהיה לחמש שנים, זולת אם נקבעה בו תקופה קצרה יותר או אם בוטל החוק הסותר, ורשאית הכנסת לשוב ולחוקקו טרם פקיעתו לתקופות נוספות שלא יעלו כל אחת על חמש שנים.</w:t>
            </w:r>
          </w:p>
        </w:tc>
      </w:tr>
      <w:tr w:rsidR="005366A8" w:rsidRPr="00A15337" w:rsidTr="001845AC">
        <w:trPr>
          <w:cantSplit/>
        </w:trPr>
        <w:tc>
          <w:tcPr>
            <w:tcW w:w="1411" w:type="dxa"/>
          </w:tcPr>
          <w:p w:rsidR="005366A8" w:rsidRPr="00A15337" w:rsidRDefault="005366A8" w:rsidP="001845AC">
            <w:pPr>
              <w:pStyle w:val="a5"/>
              <w:spacing w:after="60" w:line="240" w:lineRule="auto"/>
              <w:rPr>
                <w:b/>
                <w:highlight w:val="yellow"/>
                <w:rtl/>
              </w:rPr>
            </w:pPr>
          </w:p>
        </w:tc>
        <w:tc>
          <w:tcPr>
            <w:tcW w:w="289" w:type="dxa"/>
          </w:tcPr>
          <w:p w:rsidR="005366A8" w:rsidRPr="00A15337" w:rsidRDefault="005366A8" w:rsidP="001845AC">
            <w:pPr>
              <w:pStyle w:val="a4"/>
              <w:spacing w:after="60" w:line="240" w:lineRule="auto"/>
              <w:rPr>
                <w:b/>
                <w:bCs/>
                <w:szCs w:val="20"/>
                <w:highlight w:val="yellow"/>
              </w:rPr>
            </w:pPr>
          </w:p>
        </w:tc>
        <w:tc>
          <w:tcPr>
            <w:tcW w:w="562" w:type="dxa"/>
          </w:tcPr>
          <w:p w:rsidR="005366A8" w:rsidRPr="00A15337" w:rsidRDefault="005366A8" w:rsidP="001845AC">
            <w:pPr>
              <w:pStyle w:val="a4"/>
              <w:spacing w:after="60" w:line="240" w:lineRule="auto"/>
              <w:rPr>
                <w:szCs w:val="20"/>
                <w:highlight w:val="yellow"/>
                <w:rtl/>
              </w:rPr>
            </w:pPr>
          </w:p>
        </w:tc>
        <w:tc>
          <w:tcPr>
            <w:tcW w:w="568" w:type="dxa"/>
          </w:tcPr>
          <w:p w:rsidR="005366A8" w:rsidRPr="00A15337" w:rsidRDefault="005366A8" w:rsidP="001845AC">
            <w:pPr>
              <w:pStyle w:val="a4"/>
              <w:spacing w:after="60" w:line="240" w:lineRule="auto"/>
              <w:rPr>
                <w:szCs w:val="20"/>
                <w:highlight w:val="yellow"/>
                <w:rtl/>
              </w:rPr>
            </w:pPr>
            <w:r w:rsidRPr="00A15337">
              <w:rPr>
                <w:rFonts w:hint="cs"/>
                <w:szCs w:val="20"/>
                <w:highlight w:val="yellow"/>
                <w:rtl/>
              </w:rPr>
              <w:t>(ג)</w:t>
            </w:r>
          </w:p>
        </w:tc>
        <w:tc>
          <w:tcPr>
            <w:tcW w:w="5789" w:type="dxa"/>
          </w:tcPr>
          <w:p w:rsidR="005366A8" w:rsidRPr="00A15337" w:rsidRDefault="005366A8" w:rsidP="001845AC">
            <w:pPr>
              <w:pStyle w:val="a4"/>
              <w:spacing w:after="60" w:line="240" w:lineRule="auto"/>
              <w:rPr>
                <w:szCs w:val="20"/>
                <w:highlight w:val="yellow"/>
                <w:rtl/>
              </w:rPr>
            </w:pPr>
            <w:r w:rsidRPr="00A15337">
              <w:rPr>
                <w:rFonts w:hint="cs"/>
                <w:szCs w:val="20"/>
                <w:highlight w:val="yellow"/>
                <w:rtl/>
              </w:rPr>
              <w:t>בתום תקופת תוקפו של חוק ההתגברות לא יהיה תוקף לחוק הסותר, כפי שקבע בית המשפט.</w:t>
            </w:r>
          </w:p>
        </w:tc>
      </w:tr>
      <w:tr w:rsidR="005366A8" w:rsidRPr="00A15337" w:rsidTr="001845AC">
        <w:trPr>
          <w:cantSplit/>
        </w:trPr>
        <w:tc>
          <w:tcPr>
            <w:tcW w:w="1411" w:type="dxa"/>
          </w:tcPr>
          <w:p w:rsidR="005366A8" w:rsidRPr="00A15337" w:rsidRDefault="005366A8" w:rsidP="001845AC">
            <w:pPr>
              <w:pStyle w:val="a5"/>
              <w:spacing w:after="60" w:line="240" w:lineRule="auto"/>
              <w:rPr>
                <w:b/>
                <w:highlight w:val="yellow"/>
                <w:rtl/>
              </w:rPr>
            </w:pPr>
          </w:p>
        </w:tc>
        <w:tc>
          <w:tcPr>
            <w:tcW w:w="289" w:type="dxa"/>
          </w:tcPr>
          <w:p w:rsidR="005366A8" w:rsidRPr="00A15337" w:rsidRDefault="005366A8" w:rsidP="001845AC">
            <w:pPr>
              <w:pStyle w:val="a4"/>
              <w:spacing w:after="60" w:line="240" w:lineRule="auto"/>
              <w:rPr>
                <w:b/>
                <w:bCs/>
                <w:szCs w:val="20"/>
                <w:highlight w:val="yellow"/>
              </w:rPr>
            </w:pPr>
          </w:p>
        </w:tc>
        <w:tc>
          <w:tcPr>
            <w:tcW w:w="562" w:type="dxa"/>
          </w:tcPr>
          <w:p w:rsidR="005366A8" w:rsidRPr="00A15337" w:rsidRDefault="005366A8" w:rsidP="001845AC">
            <w:pPr>
              <w:pStyle w:val="a4"/>
              <w:spacing w:after="60" w:line="240" w:lineRule="auto"/>
              <w:rPr>
                <w:szCs w:val="20"/>
                <w:highlight w:val="yellow"/>
                <w:rtl/>
              </w:rPr>
            </w:pPr>
          </w:p>
        </w:tc>
        <w:tc>
          <w:tcPr>
            <w:tcW w:w="568" w:type="dxa"/>
          </w:tcPr>
          <w:p w:rsidR="005366A8" w:rsidRPr="00A15337" w:rsidRDefault="005366A8" w:rsidP="001845AC">
            <w:pPr>
              <w:pStyle w:val="a4"/>
              <w:spacing w:after="60" w:line="240" w:lineRule="auto"/>
              <w:rPr>
                <w:szCs w:val="20"/>
                <w:highlight w:val="yellow"/>
                <w:rtl/>
              </w:rPr>
            </w:pPr>
            <w:r w:rsidRPr="00A15337">
              <w:rPr>
                <w:szCs w:val="20"/>
                <w:highlight w:val="yellow"/>
                <w:rtl/>
              </w:rPr>
              <w:t>(</w:t>
            </w:r>
            <w:r w:rsidRPr="00A15337">
              <w:rPr>
                <w:rFonts w:hint="cs"/>
                <w:szCs w:val="20"/>
                <w:highlight w:val="yellow"/>
                <w:rtl/>
              </w:rPr>
              <w:t>ד</w:t>
            </w:r>
            <w:r w:rsidRPr="00A15337">
              <w:rPr>
                <w:szCs w:val="20"/>
                <w:highlight w:val="yellow"/>
                <w:rtl/>
              </w:rPr>
              <w:t>)</w:t>
            </w:r>
          </w:p>
        </w:tc>
        <w:tc>
          <w:tcPr>
            <w:tcW w:w="5789" w:type="dxa"/>
          </w:tcPr>
          <w:p w:rsidR="005366A8" w:rsidRPr="00A15337" w:rsidRDefault="005366A8" w:rsidP="001845AC">
            <w:pPr>
              <w:pStyle w:val="a4"/>
              <w:spacing w:after="60" w:line="240" w:lineRule="auto"/>
              <w:rPr>
                <w:szCs w:val="20"/>
                <w:highlight w:val="yellow"/>
                <w:rtl/>
              </w:rPr>
            </w:pPr>
            <w:r w:rsidRPr="00A15337">
              <w:rPr>
                <w:szCs w:val="20"/>
                <w:highlight w:val="yellow"/>
                <w:rtl/>
              </w:rPr>
              <w:t>בסעיף זה, "חוק" – לרבות הוראה בחוק</w:t>
            </w:r>
            <w:r w:rsidRPr="00A15337">
              <w:rPr>
                <w:rFonts w:hint="cs"/>
                <w:szCs w:val="20"/>
                <w:highlight w:val="yellow"/>
                <w:rtl/>
              </w:rPr>
              <w:t>.</w:t>
            </w:r>
          </w:p>
          <w:p w:rsidR="005366A8" w:rsidRPr="00A15337" w:rsidRDefault="005366A8" w:rsidP="001845AC">
            <w:pPr>
              <w:pStyle w:val="a4"/>
              <w:spacing w:after="60" w:line="240" w:lineRule="auto"/>
              <w:rPr>
                <w:szCs w:val="20"/>
                <w:highlight w:val="yellow"/>
                <w:rtl/>
              </w:rPr>
            </w:pPr>
          </w:p>
        </w:tc>
      </w:tr>
      <w:tr w:rsidR="005366A8" w:rsidRPr="00A15337" w:rsidTr="001845AC">
        <w:trPr>
          <w:cantSplit/>
        </w:trPr>
        <w:tc>
          <w:tcPr>
            <w:tcW w:w="1411" w:type="dxa"/>
          </w:tcPr>
          <w:p w:rsidR="005366A8" w:rsidRPr="00A15337" w:rsidRDefault="005366A8" w:rsidP="001845AC">
            <w:pPr>
              <w:pStyle w:val="a5"/>
              <w:spacing w:after="60" w:line="240" w:lineRule="auto"/>
              <w:rPr>
                <w:rtl/>
              </w:rPr>
            </w:pPr>
            <w:r w:rsidRPr="00A15337">
              <w:rPr>
                <w:rtl/>
              </w:rPr>
              <w:t>נוסח חדש ונוסח משולב</w:t>
            </w:r>
          </w:p>
        </w:tc>
        <w:tc>
          <w:tcPr>
            <w:tcW w:w="289" w:type="dxa"/>
          </w:tcPr>
          <w:p w:rsidR="005366A8" w:rsidRPr="00A15337" w:rsidRDefault="005366A8" w:rsidP="001845AC">
            <w:pPr>
              <w:pStyle w:val="a4"/>
              <w:spacing w:after="60" w:line="240" w:lineRule="auto"/>
              <w:rPr>
                <w:b/>
                <w:bCs/>
                <w:szCs w:val="20"/>
                <w:rtl/>
              </w:rPr>
            </w:pPr>
          </w:p>
        </w:tc>
        <w:tc>
          <w:tcPr>
            <w:tcW w:w="6919" w:type="dxa"/>
            <w:gridSpan w:val="3"/>
          </w:tcPr>
          <w:p w:rsidR="005366A8" w:rsidRPr="00A15337" w:rsidRDefault="005366A8" w:rsidP="001845AC">
            <w:pPr>
              <w:pStyle w:val="a4"/>
              <w:spacing w:after="60" w:line="240" w:lineRule="auto"/>
              <w:ind w:left="595" w:hanging="595"/>
              <w:rPr>
                <w:szCs w:val="20"/>
                <w:rtl/>
              </w:rPr>
            </w:pPr>
            <w:r w:rsidRPr="00A15337">
              <w:rPr>
                <w:szCs w:val="20"/>
                <w:rtl/>
              </w:rPr>
              <w:t>12.</w:t>
            </w:r>
            <w:r w:rsidRPr="00A15337">
              <w:rPr>
                <w:szCs w:val="20"/>
                <w:rtl/>
              </w:rPr>
              <w:tab/>
              <w:t>העקרונות לקביעת נוסח משולב של חוקים, והדרכים לעריכת</w:t>
            </w:r>
            <w:r w:rsidRPr="00A15337">
              <w:rPr>
                <w:rFonts w:hint="cs"/>
                <w:szCs w:val="20"/>
                <w:rtl/>
              </w:rPr>
              <w:t>ו</w:t>
            </w:r>
            <w:r w:rsidRPr="00A15337">
              <w:rPr>
                <w:szCs w:val="20"/>
                <w:rtl/>
              </w:rPr>
              <w:t>, ייקבעו בחוק</w:t>
            </w:r>
            <w:r w:rsidRPr="00A15337">
              <w:rPr>
                <w:rStyle w:val="FootnoteReference"/>
                <w:rFonts w:hint="cs"/>
                <w:szCs w:val="20"/>
                <w:rtl/>
              </w:rPr>
              <w:t>.</w:t>
            </w:r>
            <w:r w:rsidRPr="00A15337">
              <w:rPr>
                <w:rFonts w:hint="cs"/>
                <w:szCs w:val="20"/>
                <w:rtl/>
              </w:rPr>
              <w:t>.</w:t>
            </w:r>
          </w:p>
          <w:p w:rsidR="005366A8" w:rsidRPr="00A15337" w:rsidRDefault="005366A8" w:rsidP="001845AC">
            <w:pPr>
              <w:pStyle w:val="a4"/>
              <w:spacing w:after="60" w:line="240" w:lineRule="auto"/>
              <w:ind w:left="595" w:hanging="595"/>
              <w:rPr>
                <w:szCs w:val="20"/>
                <w:rtl/>
              </w:rPr>
            </w:pPr>
          </w:p>
          <w:p w:rsidR="005366A8" w:rsidRPr="00A15337" w:rsidRDefault="005366A8" w:rsidP="001845AC">
            <w:pPr>
              <w:pStyle w:val="a4"/>
              <w:spacing w:after="60" w:line="240" w:lineRule="auto"/>
              <w:ind w:left="595" w:hanging="595"/>
              <w:rPr>
                <w:szCs w:val="20"/>
                <w:rtl/>
              </w:rPr>
            </w:pPr>
            <w:r w:rsidRPr="00A15337">
              <w:rPr>
                <w:rFonts w:hint="cs"/>
                <w:szCs w:val="20"/>
                <w:rtl/>
              </w:rPr>
              <w:t>[...]</w:t>
            </w:r>
          </w:p>
        </w:tc>
      </w:tr>
    </w:tbl>
    <w:p w:rsidR="005366A8" w:rsidRPr="00A15337" w:rsidRDefault="005366A8" w:rsidP="005366A8">
      <w:pPr>
        <w:pStyle w:val="a4"/>
        <w:spacing w:after="60" w:line="240" w:lineRule="auto"/>
        <w:jc w:val="center"/>
        <w:outlineLvl w:val="0"/>
        <w:rPr>
          <w:b/>
          <w:bCs/>
          <w:szCs w:val="20"/>
          <w:u w:val="single"/>
        </w:rPr>
      </w:pPr>
      <w:r w:rsidRPr="00A15337">
        <w:rPr>
          <w:b/>
          <w:bCs/>
          <w:szCs w:val="20"/>
          <w:u w:val="single"/>
          <w:rtl/>
        </w:rPr>
        <w:t>פרק ו': הוראות מעבר</w:t>
      </w:r>
      <w:r w:rsidRPr="00A15337">
        <w:rPr>
          <w:rFonts w:hint="cs"/>
          <w:b/>
          <w:bCs/>
          <w:szCs w:val="20"/>
          <w:u w:val="single"/>
          <w:rtl/>
        </w:rPr>
        <w:t xml:space="preserve">, תיקונים עקיפים </w:t>
      </w:r>
      <w:r w:rsidRPr="00A15337">
        <w:rPr>
          <w:b/>
          <w:bCs/>
          <w:szCs w:val="20"/>
          <w:u w:val="single"/>
          <w:rtl/>
        </w:rPr>
        <w:t>והוראות שונות</w:t>
      </w:r>
    </w:p>
    <w:p w:rsidR="005366A8" w:rsidRPr="00A15337" w:rsidRDefault="005366A8" w:rsidP="005366A8">
      <w:pPr>
        <w:pStyle w:val="a4"/>
        <w:spacing w:after="60" w:line="240" w:lineRule="auto"/>
        <w:rPr>
          <w:szCs w:val="20"/>
          <w:rtl/>
        </w:rPr>
      </w:pPr>
    </w:p>
    <w:tbl>
      <w:tblPr>
        <w:bidiVisual/>
        <w:tblW w:w="8735" w:type="dxa"/>
        <w:tblLayout w:type="fixed"/>
        <w:tblCellMar>
          <w:left w:w="56" w:type="dxa"/>
          <w:right w:w="56" w:type="dxa"/>
        </w:tblCellMar>
        <w:tblLook w:val="0000"/>
      </w:tblPr>
      <w:tblGrid>
        <w:gridCol w:w="1430"/>
        <w:gridCol w:w="286"/>
        <w:gridCol w:w="515"/>
        <w:gridCol w:w="573"/>
        <w:gridCol w:w="5931"/>
      </w:tblGrid>
      <w:tr w:rsidR="005366A8" w:rsidRPr="00A15337" w:rsidTr="001845AC">
        <w:trPr>
          <w:cantSplit/>
        </w:trPr>
        <w:tc>
          <w:tcPr>
            <w:tcW w:w="1417" w:type="dxa"/>
          </w:tcPr>
          <w:p w:rsidR="005366A8" w:rsidRPr="00A15337" w:rsidRDefault="005366A8" w:rsidP="001845AC">
            <w:pPr>
              <w:pStyle w:val="a5"/>
              <w:spacing w:after="60" w:line="240" w:lineRule="auto"/>
              <w:rPr>
                <w:b/>
                <w:rtl/>
              </w:rPr>
            </w:pPr>
            <w:r w:rsidRPr="00A15337">
              <w:rPr>
                <w:b/>
                <w:rtl/>
              </w:rPr>
              <w:t>חקיקת חוקי-יסוד</w:t>
            </w:r>
          </w:p>
          <w:p w:rsidR="005366A8" w:rsidRPr="00A15337" w:rsidRDefault="005366A8" w:rsidP="001845AC">
            <w:pPr>
              <w:pStyle w:val="a5"/>
              <w:spacing w:after="60" w:line="240" w:lineRule="auto"/>
              <w:rPr>
                <w:b/>
                <w:rtl/>
              </w:rPr>
            </w:pPr>
            <w:r w:rsidRPr="00A15337">
              <w:rPr>
                <w:b/>
                <w:rtl/>
              </w:rPr>
              <w:t>בתקופת המעבר</w:t>
            </w:r>
          </w:p>
        </w:tc>
        <w:tc>
          <w:tcPr>
            <w:tcW w:w="283" w:type="dxa"/>
          </w:tcPr>
          <w:p w:rsidR="005366A8" w:rsidRPr="00A15337" w:rsidRDefault="005366A8" w:rsidP="001845AC">
            <w:pPr>
              <w:pStyle w:val="a4"/>
              <w:spacing w:after="60" w:line="240" w:lineRule="auto"/>
              <w:rPr>
                <w:szCs w:val="20"/>
                <w:rtl/>
              </w:rPr>
            </w:pPr>
          </w:p>
        </w:tc>
        <w:tc>
          <w:tcPr>
            <w:tcW w:w="510" w:type="dxa"/>
          </w:tcPr>
          <w:p w:rsidR="005366A8" w:rsidRPr="00A15337" w:rsidRDefault="005366A8" w:rsidP="001845AC">
            <w:pPr>
              <w:pStyle w:val="a4"/>
              <w:tabs>
                <w:tab w:val="clear" w:pos="1134"/>
              </w:tabs>
              <w:spacing w:after="60" w:line="240" w:lineRule="auto"/>
              <w:rPr>
                <w:szCs w:val="20"/>
                <w:rtl/>
              </w:rPr>
            </w:pPr>
            <w:r w:rsidRPr="00A15337">
              <w:rPr>
                <w:szCs w:val="20"/>
                <w:rtl/>
              </w:rPr>
              <w:t>2</w:t>
            </w:r>
            <w:r w:rsidRPr="00A15337">
              <w:rPr>
                <w:rFonts w:hint="cs"/>
                <w:szCs w:val="20"/>
                <w:rtl/>
              </w:rPr>
              <w:t>0</w:t>
            </w:r>
            <w:r w:rsidRPr="00A15337">
              <w:rPr>
                <w:szCs w:val="20"/>
                <w:rtl/>
              </w:rPr>
              <w:t>.</w:t>
            </w:r>
          </w:p>
        </w:tc>
        <w:tc>
          <w:tcPr>
            <w:tcW w:w="567" w:type="dxa"/>
          </w:tcPr>
          <w:p w:rsidR="005366A8" w:rsidRPr="00A15337" w:rsidRDefault="005366A8" w:rsidP="001845AC">
            <w:pPr>
              <w:pStyle w:val="a4"/>
              <w:spacing w:after="60" w:line="240" w:lineRule="auto"/>
              <w:rPr>
                <w:szCs w:val="20"/>
                <w:rtl/>
              </w:rPr>
            </w:pPr>
            <w:r w:rsidRPr="00A15337">
              <w:rPr>
                <w:szCs w:val="20"/>
                <w:rtl/>
              </w:rPr>
              <w:t>(א)</w:t>
            </w:r>
          </w:p>
        </w:tc>
        <w:tc>
          <w:tcPr>
            <w:tcW w:w="5874" w:type="dxa"/>
          </w:tcPr>
          <w:p w:rsidR="005366A8" w:rsidRPr="00A15337" w:rsidRDefault="005366A8" w:rsidP="001845AC">
            <w:pPr>
              <w:pStyle w:val="a4"/>
              <w:spacing w:after="60" w:line="240" w:lineRule="auto"/>
              <w:rPr>
                <w:szCs w:val="20"/>
                <w:rtl/>
              </w:rPr>
            </w:pPr>
            <w:r w:rsidRPr="00A15337">
              <w:rPr>
                <w:szCs w:val="20"/>
                <w:rtl/>
              </w:rPr>
              <w:t xml:space="preserve">בתקופת המעבר יקראו </w:t>
            </w:r>
            <w:r w:rsidRPr="00A15337">
              <w:rPr>
                <w:rFonts w:hint="cs"/>
                <w:szCs w:val="20"/>
                <w:rtl/>
              </w:rPr>
              <w:t xml:space="preserve">את </w:t>
            </w:r>
            <w:r w:rsidRPr="00A15337">
              <w:rPr>
                <w:szCs w:val="20"/>
                <w:rtl/>
              </w:rPr>
              <w:t>סעיף 4(ד)</w:t>
            </w:r>
            <w:r w:rsidRPr="00A15337">
              <w:rPr>
                <w:rFonts w:hint="cs"/>
                <w:szCs w:val="20"/>
                <w:rtl/>
              </w:rPr>
              <w:t xml:space="preserve"> כך: </w:t>
            </w:r>
          </w:p>
          <w:p w:rsidR="005366A8" w:rsidRPr="00A15337" w:rsidRDefault="005366A8" w:rsidP="000B7168">
            <w:pPr>
              <w:pStyle w:val="a4"/>
              <w:numPr>
                <w:ilvl w:val="0"/>
                <w:numId w:val="11"/>
              </w:numPr>
              <w:spacing w:after="60" w:line="240" w:lineRule="auto"/>
              <w:ind w:right="0"/>
              <w:rPr>
                <w:szCs w:val="20"/>
                <w:rtl/>
              </w:rPr>
            </w:pPr>
            <w:r w:rsidRPr="00A15337">
              <w:rPr>
                <w:szCs w:val="20"/>
                <w:rtl/>
              </w:rPr>
              <w:t xml:space="preserve">במקום "ברוב של </w:t>
            </w:r>
            <w:r w:rsidRPr="00A15337">
              <w:rPr>
                <w:rFonts w:hint="cs"/>
                <w:szCs w:val="20"/>
                <w:rtl/>
              </w:rPr>
              <w:t>ששים וחמישה</w:t>
            </w:r>
            <w:r w:rsidRPr="00A15337">
              <w:rPr>
                <w:szCs w:val="20"/>
                <w:rtl/>
              </w:rPr>
              <w:t xml:space="preserve"> חברי הכנסת" </w:t>
            </w:r>
            <w:r w:rsidRPr="00A15337">
              <w:rPr>
                <w:rFonts w:hint="cs"/>
                <w:szCs w:val="20"/>
                <w:rtl/>
              </w:rPr>
              <w:t xml:space="preserve">יקראו </w:t>
            </w:r>
            <w:r w:rsidRPr="00A15337">
              <w:rPr>
                <w:szCs w:val="20"/>
                <w:rtl/>
              </w:rPr>
              <w:t>"ברוב של חברי הכנסת"</w:t>
            </w:r>
            <w:r w:rsidRPr="00A15337">
              <w:rPr>
                <w:rFonts w:hint="cs"/>
                <w:szCs w:val="20"/>
                <w:rtl/>
              </w:rPr>
              <w:t>;</w:t>
            </w:r>
          </w:p>
          <w:p w:rsidR="005366A8" w:rsidRPr="00A15337" w:rsidRDefault="005366A8" w:rsidP="000B7168">
            <w:pPr>
              <w:pStyle w:val="a4"/>
              <w:numPr>
                <w:ilvl w:val="0"/>
                <w:numId w:val="11"/>
              </w:numPr>
              <w:spacing w:after="60" w:line="240" w:lineRule="auto"/>
              <w:ind w:right="0"/>
              <w:rPr>
                <w:szCs w:val="20"/>
                <w:rtl/>
              </w:rPr>
            </w:pPr>
            <w:r w:rsidRPr="00A15337">
              <w:rPr>
                <w:szCs w:val="20"/>
                <w:rtl/>
              </w:rPr>
              <w:t xml:space="preserve">בסופו </w:t>
            </w:r>
            <w:r w:rsidRPr="00A15337">
              <w:rPr>
                <w:rFonts w:hint="cs"/>
                <w:szCs w:val="20"/>
                <w:rtl/>
              </w:rPr>
              <w:t>יקראו</w:t>
            </w:r>
            <w:r w:rsidRPr="00A15337">
              <w:rPr>
                <w:szCs w:val="20"/>
                <w:rtl/>
              </w:rPr>
              <w:t xml:space="preserve"> "</w:t>
            </w:r>
            <w:r w:rsidRPr="00A15337">
              <w:rPr>
                <w:rFonts w:hint="cs"/>
                <w:szCs w:val="20"/>
                <w:rtl/>
              </w:rPr>
              <w:t xml:space="preserve">ואולם רשאית </w:t>
            </w:r>
            <w:r w:rsidRPr="00A15337">
              <w:rPr>
                <w:szCs w:val="20"/>
                <w:rtl/>
              </w:rPr>
              <w:t>הכנס</w:t>
            </w:r>
            <w:r w:rsidRPr="00A15337">
              <w:rPr>
                <w:rFonts w:hint="cs"/>
                <w:szCs w:val="20"/>
                <w:rtl/>
              </w:rPr>
              <w:t xml:space="preserve">ת, להחליט, </w:t>
            </w:r>
            <w:r w:rsidRPr="00A15337">
              <w:rPr>
                <w:szCs w:val="20"/>
                <w:rtl/>
              </w:rPr>
              <w:t>ברוב חבריה, אחרי</w:t>
            </w:r>
            <w:r w:rsidRPr="00A15337">
              <w:rPr>
                <w:rFonts w:hint="cs"/>
                <w:szCs w:val="20"/>
                <w:rtl/>
              </w:rPr>
              <w:t xml:space="preserve"> קבלת חוק היסוד ב</w:t>
            </w:r>
            <w:r w:rsidRPr="00A15337">
              <w:rPr>
                <w:szCs w:val="20"/>
                <w:rtl/>
              </w:rPr>
              <w:t>קריאה השלישית, כי הקריאה הרביעית תתקיים במועד מוקדם יותר</w:t>
            </w:r>
            <w:r w:rsidRPr="00A15337">
              <w:rPr>
                <w:rFonts w:hint="cs"/>
                <w:szCs w:val="20"/>
                <w:rtl/>
              </w:rPr>
              <w:t xml:space="preserve"> שקבעה.</w:t>
            </w:r>
            <w:r w:rsidRPr="00A15337">
              <w:rPr>
                <w:szCs w:val="20"/>
                <w:rtl/>
              </w:rPr>
              <w:t>"</w:t>
            </w:r>
          </w:p>
        </w:tc>
      </w:tr>
      <w:tr w:rsidR="005366A8" w:rsidRPr="00A15337" w:rsidTr="001845AC">
        <w:trPr>
          <w:cantSplit/>
        </w:trPr>
        <w:tc>
          <w:tcPr>
            <w:tcW w:w="1417" w:type="dxa"/>
          </w:tcPr>
          <w:p w:rsidR="005366A8" w:rsidRPr="00A15337" w:rsidRDefault="005366A8" w:rsidP="001845AC">
            <w:pPr>
              <w:pStyle w:val="a5"/>
              <w:spacing w:after="60" w:line="240" w:lineRule="auto"/>
              <w:rPr>
                <w:b/>
                <w:rtl/>
              </w:rPr>
            </w:pPr>
          </w:p>
        </w:tc>
        <w:tc>
          <w:tcPr>
            <w:tcW w:w="283" w:type="dxa"/>
          </w:tcPr>
          <w:p w:rsidR="005366A8" w:rsidRPr="00A15337" w:rsidRDefault="005366A8" w:rsidP="001845AC">
            <w:pPr>
              <w:pStyle w:val="a4"/>
              <w:spacing w:after="60" w:line="240" w:lineRule="auto"/>
              <w:rPr>
                <w:szCs w:val="20"/>
                <w:rtl/>
              </w:rPr>
            </w:pPr>
          </w:p>
        </w:tc>
        <w:tc>
          <w:tcPr>
            <w:tcW w:w="510" w:type="dxa"/>
          </w:tcPr>
          <w:p w:rsidR="005366A8" w:rsidRPr="00A15337" w:rsidRDefault="005366A8" w:rsidP="001845AC">
            <w:pPr>
              <w:pStyle w:val="a4"/>
              <w:tabs>
                <w:tab w:val="clear" w:pos="1134"/>
              </w:tabs>
              <w:spacing w:after="60" w:line="240" w:lineRule="auto"/>
              <w:rPr>
                <w:szCs w:val="20"/>
                <w:rtl/>
              </w:rPr>
            </w:pPr>
          </w:p>
        </w:tc>
        <w:tc>
          <w:tcPr>
            <w:tcW w:w="567" w:type="dxa"/>
          </w:tcPr>
          <w:p w:rsidR="005366A8" w:rsidRPr="00A15337" w:rsidRDefault="005366A8" w:rsidP="001845AC">
            <w:pPr>
              <w:pStyle w:val="a4"/>
              <w:spacing w:after="60" w:line="240" w:lineRule="auto"/>
              <w:rPr>
                <w:szCs w:val="20"/>
                <w:rtl/>
              </w:rPr>
            </w:pPr>
            <w:r w:rsidRPr="00A15337">
              <w:rPr>
                <w:szCs w:val="20"/>
                <w:rtl/>
              </w:rPr>
              <w:t>(ב)</w:t>
            </w:r>
          </w:p>
        </w:tc>
        <w:tc>
          <w:tcPr>
            <w:tcW w:w="5874" w:type="dxa"/>
          </w:tcPr>
          <w:p w:rsidR="005366A8" w:rsidRPr="00A15337" w:rsidRDefault="005366A8" w:rsidP="001845AC">
            <w:pPr>
              <w:pStyle w:val="a4"/>
              <w:spacing w:after="60" w:line="240" w:lineRule="auto"/>
              <w:rPr>
                <w:szCs w:val="20"/>
                <w:rtl/>
              </w:rPr>
            </w:pPr>
            <w:r w:rsidRPr="00A15337">
              <w:rPr>
                <w:szCs w:val="20"/>
                <w:rtl/>
              </w:rPr>
              <w:t>בסעיף זה</w:t>
            </w:r>
            <w:r w:rsidRPr="00A15337">
              <w:rPr>
                <w:rFonts w:hint="cs"/>
                <w:szCs w:val="20"/>
                <w:rtl/>
              </w:rPr>
              <w:t>,</w:t>
            </w:r>
            <w:r w:rsidRPr="00A15337">
              <w:rPr>
                <w:szCs w:val="20"/>
                <w:rtl/>
              </w:rPr>
              <w:t xml:space="preserve"> "תקופת המעבר" - תקופה שתחילתה ביום תחילתו של חוק-יסוד זה וס</w:t>
            </w:r>
            <w:r w:rsidRPr="00A15337">
              <w:rPr>
                <w:rFonts w:hint="cs"/>
                <w:szCs w:val="20"/>
                <w:rtl/>
              </w:rPr>
              <w:t>יומה</w:t>
            </w:r>
            <w:r w:rsidRPr="00A15337">
              <w:rPr>
                <w:szCs w:val="20"/>
                <w:rtl/>
              </w:rPr>
              <w:t xml:space="preserve"> במועד </w:t>
            </w:r>
            <w:r w:rsidRPr="00A15337">
              <w:rPr>
                <w:rFonts w:hint="cs"/>
                <w:szCs w:val="20"/>
                <w:rtl/>
              </w:rPr>
              <w:t xml:space="preserve">שעליו </w:t>
            </w:r>
            <w:r w:rsidRPr="00A15337">
              <w:rPr>
                <w:szCs w:val="20"/>
                <w:rtl/>
              </w:rPr>
              <w:t xml:space="preserve">תחליט הכנסת, ברוב של </w:t>
            </w:r>
            <w:r w:rsidRPr="00A15337">
              <w:rPr>
                <w:rFonts w:hint="cs"/>
                <w:szCs w:val="20"/>
                <w:rtl/>
              </w:rPr>
              <w:t>ששים וחמישה</w:t>
            </w:r>
            <w:r w:rsidRPr="00A15337">
              <w:rPr>
                <w:szCs w:val="20"/>
                <w:rtl/>
              </w:rPr>
              <w:t xml:space="preserve"> חברי</w:t>
            </w:r>
            <w:r w:rsidRPr="00A15337">
              <w:rPr>
                <w:rFonts w:hint="cs"/>
                <w:szCs w:val="20"/>
                <w:rtl/>
              </w:rPr>
              <w:t xml:space="preserve"> </w:t>
            </w:r>
            <w:r w:rsidRPr="00A15337">
              <w:rPr>
                <w:szCs w:val="20"/>
                <w:rtl/>
              </w:rPr>
              <w:t>ה</w:t>
            </w:r>
            <w:r w:rsidRPr="00A15337">
              <w:rPr>
                <w:rFonts w:hint="cs"/>
                <w:szCs w:val="20"/>
                <w:rtl/>
              </w:rPr>
              <w:t>כנסת</w:t>
            </w:r>
            <w:r w:rsidRPr="00A15337">
              <w:rPr>
                <w:szCs w:val="20"/>
                <w:rtl/>
              </w:rPr>
              <w:t>, בישיבה שנועדה ל</w:t>
            </w:r>
            <w:r w:rsidRPr="00A15337">
              <w:rPr>
                <w:rFonts w:hint="cs"/>
                <w:szCs w:val="20"/>
                <w:rtl/>
              </w:rPr>
              <w:t>שם כך</w:t>
            </w:r>
            <w:r w:rsidRPr="00A15337">
              <w:rPr>
                <w:szCs w:val="20"/>
                <w:rtl/>
              </w:rPr>
              <w:t xml:space="preserve"> בלבד</w:t>
            </w:r>
            <w:r w:rsidRPr="00A15337">
              <w:rPr>
                <w:rFonts w:hint="cs"/>
                <w:szCs w:val="20"/>
                <w:rtl/>
              </w:rPr>
              <w:t>.</w:t>
            </w:r>
          </w:p>
          <w:p w:rsidR="005366A8" w:rsidRPr="00A15337" w:rsidRDefault="005366A8" w:rsidP="001845AC">
            <w:pPr>
              <w:pStyle w:val="a4"/>
              <w:spacing w:after="60" w:line="240" w:lineRule="auto"/>
              <w:rPr>
                <w:szCs w:val="20"/>
                <w:rtl/>
              </w:rPr>
            </w:pPr>
          </w:p>
        </w:tc>
      </w:tr>
      <w:tr w:rsidR="005366A8" w:rsidRPr="00A15337" w:rsidTr="001845AC">
        <w:trPr>
          <w:cantSplit/>
        </w:trPr>
        <w:tc>
          <w:tcPr>
            <w:tcW w:w="1417" w:type="dxa"/>
          </w:tcPr>
          <w:p w:rsidR="005366A8" w:rsidRPr="00A15337" w:rsidRDefault="005366A8" w:rsidP="001845AC">
            <w:pPr>
              <w:pStyle w:val="a5"/>
              <w:spacing w:after="60" w:line="240" w:lineRule="auto"/>
              <w:rPr>
                <w:b/>
                <w:rtl/>
              </w:rPr>
            </w:pPr>
            <w:r w:rsidRPr="00A15337">
              <w:rPr>
                <w:b/>
                <w:rtl/>
              </w:rPr>
              <w:t>הוראת מעבר</w:t>
            </w:r>
          </w:p>
        </w:tc>
        <w:tc>
          <w:tcPr>
            <w:tcW w:w="283" w:type="dxa"/>
          </w:tcPr>
          <w:p w:rsidR="005366A8" w:rsidRPr="00A15337" w:rsidRDefault="005366A8" w:rsidP="001845AC">
            <w:pPr>
              <w:pStyle w:val="a4"/>
              <w:spacing w:after="60" w:line="240" w:lineRule="auto"/>
              <w:rPr>
                <w:b/>
                <w:bCs/>
                <w:szCs w:val="20"/>
                <w:rtl/>
              </w:rPr>
            </w:pPr>
          </w:p>
        </w:tc>
        <w:tc>
          <w:tcPr>
            <w:tcW w:w="510" w:type="dxa"/>
          </w:tcPr>
          <w:p w:rsidR="005366A8" w:rsidRPr="00A15337" w:rsidRDefault="005366A8" w:rsidP="001845AC">
            <w:pPr>
              <w:pStyle w:val="a4"/>
              <w:tabs>
                <w:tab w:val="clear" w:pos="1134"/>
              </w:tabs>
              <w:spacing w:after="60" w:line="240" w:lineRule="auto"/>
              <w:rPr>
                <w:szCs w:val="20"/>
                <w:rtl/>
              </w:rPr>
            </w:pPr>
            <w:r w:rsidRPr="00A15337">
              <w:rPr>
                <w:szCs w:val="20"/>
                <w:rtl/>
              </w:rPr>
              <w:t>2</w:t>
            </w:r>
            <w:r w:rsidRPr="00A15337">
              <w:rPr>
                <w:rFonts w:hint="cs"/>
                <w:szCs w:val="20"/>
                <w:rtl/>
              </w:rPr>
              <w:t>1</w:t>
            </w:r>
            <w:r w:rsidRPr="00A15337">
              <w:rPr>
                <w:szCs w:val="20"/>
                <w:rtl/>
              </w:rPr>
              <w:t>.</w:t>
            </w:r>
            <w:r>
              <w:rPr>
                <w:szCs w:val="20"/>
                <w:rtl/>
              </w:rPr>
              <w:t xml:space="preserve"> </w:t>
            </w:r>
          </w:p>
        </w:tc>
        <w:tc>
          <w:tcPr>
            <w:tcW w:w="6441" w:type="dxa"/>
            <w:gridSpan w:val="2"/>
          </w:tcPr>
          <w:p w:rsidR="005366A8" w:rsidRDefault="005366A8" w:rsidP="001845AC">
            <w:pPr>
              <w:pStyle w:val="a4"/>
              <w:spacing w:after="60" w:line="240" w:lineRule="auto"/>
              <w:rPr>
                <w:szCs w:val="20"/>
                <w:rtl/>
              </w:rPr>
            </w:pPr>
            <w:r w:rsidRPr="00A15337">
              <w:rPr>
                <w:szCs w:val="20"/>
                <w:rtl/>
              </w:rPr>
              <w:t xml:space="preserve">חוק-יסוד שהיה בתוקף ערב תחילתו של חוק-יסוד זה, יראו אותו כאילו נתקבל </w:t>
            </w:r>
            <w:r w:rsidRPr="00A15337">
              <w:rPr>
                <w:rFonts w:hint="cs"/>
                <w:szCs w:val="20"/>
                <w:rtl/>
              </w:rPr>
              <w:t>לפי</w:t>
            </w:r>
            <w:r w:rsidRPr="00A15337">
              <w:rPr>
                <w:szCs w:val="20"/>
                <w:rtl/>
              </w:rPr>
              <w:t xml:space="preserve"> </w:t>
            </w:r>
            <w:r w:rsidRPr="00A15337">
              <w:rPr>
                <w:rFonts w:hint="cs"/>
                <w:szCs w:val="20"/>
                <w:rtl/>
              </w:rPr>
              <w:t xml:space="preserve">הוראות </w:t>
            </w:r>
            <w:r w:rsidRPr="00A15337">
              <w:rPr>
                <w:szCs w:val="20"/>
                <w:rtl/>
              </w:rPr>
              <w:t xml:space="preserve">חוק-יסוד זה. </w:t>
            </w:r>
          </w:p>
          <w:p w:rsidR="005366A8" w:rsidRDefault="005366A8" w:rsidP="001845AC">
            <w:pPr>
              <w:pStyle w:val="a4"/>
              <w:spacing w:after="60" w:line="240" w:lineRule="auto"/>
              <w:rPr>
                <w:szCs w:val="20"/>
                <w:rtl/>
              </w:rPr>
            </w:pPr>
          </w:p>
          <w:p w:rsidR="005366A8" w:rsidRDefault="005366A8" w:rsidP="001845AC">
            <w:pPr>
              <w:pStyle w:val="a4"/>
              <w:spacing w:after="60" w:line="240" w:lineRule="auto"/>
              <w:rPr>
                <w:szCs w:val="20"/>
                <w:rtl/>
              </w:rPr>
            </w:pPr>
            <w:r>
              <w:rPr>
                <w:rFonts w:hint="cs"/>
                <w:szCs w:val="20"/>
                <w:rtl/>
              </w:rPr>
              <w:t>[...]</w:t>
            </w:r>
          </w:p>
          <w:p w:rsidR="005366A8" w:rsidRPr="00A15337" w:rsidRDefault="005366A8" w:rsidP="001845AC">
            <w:pPr>
              <w:pStyle w:val="a4"/>
              <w:spacing w:after="60" w:line="240" w:lineRule="auto"/>
              <w:rPr>
                <w:szCs w:val="20"/>
                <w:rtl/>
              </w:rPr>
            </w:pPr>
          </w:p>
        </w:tc>
      </w:tr>
    </w:tbl>
    <w:p w:rsidR="005366A8" w:rsidRDefault="005366A8" w:rsidP="005366A8">
      <w:pPr>
        <w:spacing w:after="60"/>
        <w:rPr>
          <w:rFonts w:cs="Guttman-Soncino"/>
          <w:sz w:val="20"/>
          <w:szCs w:val="20"/>
          <w:highlight w:val="yellow"/>
          <w:rtl/>
        </w:rPr>
      </w:pPr>
      <w:r>
        <w:rPr>
          <w:rFonts w:cs="Guttman-Soncino" w:hint="cs"/>
          <w:sz w:val="20"/>
          <w:szCs w:val="20"/>
          <w:highlight w:val="yellow"/>
          <w:rtl/>
        </w:rPr>
        <w:t>=-=</w:t>
      </w:r>
    </w:p>
    <w:p w:rsidR="005366A8" w:rsidRPr="00A05C31" w:rsidRDefault="005366A8" w:rsidP="005366A8">
      <w:pPr>
        <w:spacing w:after="60"/>
        <w:rPr>
          <w:rFonts w:cs="Guttman-Soncino"/>
          <w:sz w:val="20"/>
          <w:szCs w:val="20"/>
          <w:highlight w:val="yellow"/>
          <w:rtl/>
        </w:rPr>
      </w:pPr>
      <w:r>
        <w:rPr>
          <w:rFonts w:cs="Guttman-Soncino" w:hint="cs"/>
          <w:sz w:val="20"/>
          <w:szCs w:val="20"/>
          <w:highlight w:val="yellow"/>
          <w:rtl/>
        </w:rPr>
        <w:t>בית המשפט מגלה מידה רבה של זהירות בהפעלת הביקורת השיפוטית החוקתית</w:t>
      </w:r>
    </w:p>
    <w:p w:rsidR="005366A8" w:rsidRPr="00F62369" w:rsidRDefault="005366A8" w:rsidP="005366A8">
      <w:pPr>
        <w:spacing w:after="60"/>
        <w:jc w:val="center"/>
        <w:rPr>
          <w:rFonts w:ascii="Arial" w:hAnsi="Arial" w:cs="Arial"/>
          <w:b/>
          <w:bCs/>
          <w:color w:val="000000"/>
          <w:sz w:val="22"/>
          <w:szCs w:val="22"/>
          <w:highlight w:val="yellow"/>
          <w:shd w:val="clear" w:color="auto" w:fill="FFFF00"/>
          <w:rtl/>
        </w:rPr>
      </w:pPr>
      <w:r>
        <w:rPr>
          <w:rFonts w:ascii="Arial" w:hAnsi="Arial" w:cs="Arial" w:hint="cs"/>
          <w:b/>
          <w:bCs/>
          <w:color w:val="000000"/>
          <w:sz w:val="22"/>
          <w:szCs w:val="22"/>
          <w:highlight w:val="yellow"/>
          <w:shd w:val="clear" w:color="auto" w:fill="FFFF00"/>
          <w:rtl/>
        </w:rPr>
        <w:t xml:space="preserve">להלן </w:t>
      </w:r>
      <w:r w:rsidRPr="00F62369">
        <w:rPr>
          <w:rFonts w:ascii="Arial" w:hAnsi="Arial" w:cs="Arial"/>
          <w:b/>
          <w:bCs/>
          <w:color w:val="000000"/>
          <w:sz w:val="22"/>
          <w:szCs w:val="22"/>
          <w:highlight w:val="yellow"/>
          <w:shd w:val="clear" w:color="auto" w:fill="FFFF00"/>
          <w:rtl/>
        </w:rPr>
        <w:t xml:space="preserve">פסיקת </w:t>
      </w:r>
      <w:r>
        <w:rPr>
          <w:rFonts w:ascii="Arial" w:hAnsi="Arial" w:cs="Arial" w:hint="cs"/>
          <w:b/>
          <w:bCs/>
          <w:color w:val="000000"/>
          <w:sz w:val="22"/>
          <w:szCs w:val="22"/>
          <w:highlight w:val="yellow"/>
          <w:shd w:val="clear" w:color="auto" w:fill="FFFF00"/>
          <w:rtl/>
        </w:rPr>
        <w:t>ה</w:t>
      </w:r>
      <w:r w:rsidRPr="00F62369">
        <w:rPr>
          <w:rFonts w:ascii="Arial" w:hAnsi="Arial" w:cs="Arial"/>
          <w:b/>
          <w:bCs/>
          <w:color w:val="000000"/>
          <w:sz w:val="22"/>
          <w:szCs w:val="22"/>
          <w:highlight w:val="yellow"/>
          <w:shd w:val="clear" w:color="auto" w:fill="FFFF00"/>
          <w:rtl/>
        </w:rPr>
        <w:t xml:space="preserve">מפתח במישור </w:t>
      </w:r>
      <w:r w:rsidRPr="00F62369">
        <w:rPr>
          <w:rFonts w:ascii="Arial" w:hAnsi="Arial" w:cs="Arial" w:hint="cs"/>
          <w:b/>
          <w:bCs/>
          <w:color w:val="000000"/>
          <w:sz w:val="22"/>
          <w:szCs w:val="22"/>
          <w:highlight w:val="yellow"/>
          <w:u w:val="single"/>
          <w:shd w:val="clear" w:color="auto" w:fill="FFFF00"/>
          <w:rtl/>
        </w:rPr>
        <w:t>הפעלתה בפועל</w:t>
      </w:r>
      <w:r w:rsidRPr="00F62369">
        <w:rPr>
          <w:rFonts w:ascii="Arial" w:hAnsi="Arial" w:cs="Arial" w:hint="cs"/>
          <w:b/>
          <w:bCs/>
          <w:color w:val="000000"/>
          <w:sz w:val="22"/>
          <w:szCs w:val="22"/>
          <w:highlight w:val="yellow"/>
          <w:shd w:val="clear" w:color="auto" w:fill="FFFF00"/>
          <w:rtl/>
        </w:rPr>
        <w:t xml:space="preserve"> של </w:t>
      </w:r>
      <w:r w:rsidRPr="00F62369">
        <w:rPr>
          <w:rFonts w:ascii="Arial" w:hAnsi="Arial" w:cs="Arial"/>
          <w:b/>
          <w:bCs/>
          <w:color w:val="000000"/>
          <w:sz w:val="22"/>
          <w:szCs w:val="22"/>
          <w:highlight w:val="yellow"/>
          <w:shd w:val="clear" w:color="auto" w:fill="FFFF00"/>
          <w:rtl/>
        </w:rPr>
        <w:t>הביקורת השיפוטית החוקתית</w:t>
      </w:r>
      <w:r w:rsidRPr="00F62369">
        <w:rPr>
          <w:rFonts w:ascii="Arial" w:hAnsi="Arial" w:cs="Arial" w:hint="cs"/>
          <w:b/>
          <w:bCs/>
          <w:color w:val="000000"/>
          <w:sz w:val="22"/>
          <w:szCs w:val="22"/>
          <w:highlight w:val="yellow"/>
          <w:shd w:val="clear" w:color="auto" w:fill="FFFF00"/>
          <w:rtl/>
        </w:rPr>
        <w:t xml:space="preserve"> עד להווה</w:t>
      </w:r>
      <w:r w:rsidRPr="00F62369">
        <w:rPr>
          <w:rFonts w:ascii="Arial" w:hAnsi="Arial" w:cs="Arial"/>
          <w:b/>
          <w:bCs/>
          <w:color w:val="000000"/>
          <w:sz w:val="22"/>
          <w:szCs w:val="22"/>
          <w:highlight w:val="yellow"/>
          <w:shd w:val="clear" w:color="auto" w:fill="FFFF00"/>
          <w:rtl/>
        </w:rPr>
        <w:t xml:space="preserve"> –</w:t>
      </w:r>
    </w:p>
    <w:p w:rsidR="005366A8" w:rsidRPr="00E711DE" w:rsidRDefault="005366A8" w:rsidP="005366A8">
      <w:pPr>
        <w:spacing w:after="60"/>
        <w:jc w:val="center"/>
        <w:rPr>
          <w:color w:val="000080"/>
          <w:sz w:val="22"/>
          <w:szCs w:val="22"/>
        </w:rPr>
      </w:pPr>
      <w:r>
        <w:rPr>
          <w:rFonts w:ascii="Arial" w:hAnsi="Arial" w:cs="Arial" w:hint="cs"/>
          <w:b/>
          <w:bCs/>
          <w:color w:val="000000"/>
          <w:sz w:val="22"/>
          <w:szCs w:val="22"/>
          <w:highlight w:val="yellow"/>
          <w:shd w:val="clear" w:color="auto" w:fill="FFFF00"/>
          <w:rtl/>
        </w:rPr>
        <w:t xml:space="preserve">זאת </w:t>
      </w:r>
      <w:r w:rsidRPr="00F62369">
        <w:rPr>
          <w:rFonts w:ascii="Arial" w:hAnsi="Arial" w:cs="Arial"/>
          <w:b/>
          <w:bCs/>
          <w:color w:val="000000"/>
          <w:sz w:val="22"/>
          <w:szCs w:val="22"/>
          <w:highlight w:val="yellow"/>
          <w:shd w:val="clear" w:color="auto" w:fill="FFFF00"/>
          <w:rtl/>
        </w:rPr>
        <w:t>מעבר ל</w:t>
      </w:r>
      <w:r>
        <w:rPr>
          <w:rFonts w:ascii="Arial" w:hAnsi="Arial" w:cs="Arial" w:hint="cs"/>
          <w:b/>
          <w:bCs/>
          <w:color w:val="000000"/>
          <w:sz w:val="22"/>
          <w:szCs w:val="22"/>
          <w:highlight w:val="yellow"/>
          <w:shd w:val="clear" w:color="auto" w:fill="FFFF00"/>
          <w:rtl/>
        </w:rPr>
        <w:t xml:space="preserve">פס"ד </w:t>
      </w:r>
      <w:r w:rsidRPr="00A05C31">
        <w:rPr>
          <w:rFonts w:ascii="Arial" w:hAnsi="Arial" w:cs="Arial"/>
          <w:b/>
          <w:bCs/>
          <w:i/>
          <w:iCs/>
          <w:color w:val="000000"/>
          <w:sz w:val="22"/>
          <w:szCs w:val="22"/>
          <w:highlight w:val="yellow"/>
          <w:shd w:val="clear" w:color="auto" w:fill="FFFF00"/>
          <w:rtl/>
        </w:rPr>
        <w:t>בנק המזרחי</w:t>
      </w:r>
      <w:r>
        <w:rPr>
          <w:rFonts w:ascii="Arial" w:hAnsi="Arial" w:cs="Arial" w:hint="cs"/>
          <w:b/>
          <w:bCs/>
          <w:i/>
          <w:iCs/>
          <w:color w:val="000000"/>
          <w:sz w:val="22"/>
          <w:szCs w:val="22"/>
          <w:highlight w:val="yellow"/>
          <w:shd w:val="clear" w:color="auto" w:fill="FFFF00"/>
          <w:rtl/>
        </w:rPr>
        <w:t xml:space="preserve"> </w:t>
      </w:r>
      <w:r w:rsidRPr="00F86B3F">
        <w:rPr>
          <w:rFonts w:ascii="Arial" w:hAnsi="Arial" w:cs="Arial" w:hint="cs"/>
          <w:b/>
          <w:bCs/>
          <w:color w:val="000000"/>
          <w:sz w:val="22"/>
          <w:szCs w:val="22"/>
          <w:highlight w:val="yellow"/>
          <w:shd w:val="clear" w:color="auto" w:fill="FFFF00"/>
          <w:rtl/>
        </w:rPr>
        <w:t>(</w:t>
      </w:r>
      <w:r w:rsidRPr="00F62369">
        <w:rPr>
          <w:rFonts w:ascii="Arial" w:hAnsi="Arial" w:cs="Arial"/>
          <w:b/>
          <w:bCs/>
          <w:color w:val="000000"/>
          <w:sz w:val="22"/>
          <w:szCs w:val="22"/>
          <w:highlight w:val="yellow"/>
          <w:shd w:val="clear" w:color="auto" w:fill="FFFF00"/>
          <w:rtl/>
        </w:rPr>
        <w:t>שהוא החשוב מכולם, אך בו לא הייתה התערבות בפועל</w:t>
      </w:r>
      <w:r>
        <w:rPr>
          <w:rFonts w:ascii="Arial" w:hAnsi="Arial" w:cs="Arial" w:hint="cs"/>
          <w:b/>
          <w:bCs/>
          <w:color w:val="000000"/>
          <w:sz w:val="22"/>
          <w:szCs w:val="22"/>
          <w:highlight w:val="yellow"/>
          <w:shd w:val="clear" w:color="auto" w:fill="FFFF00"/>
          <w:rtl/>
        </w:rPr>
        <w:t>)</w:t>
      </w:r>
      <w:r w:rsidRPr="00F62369">
        <w:rPr>
          <w:rFonts w:ascii="Arial" w:hAnsi="Arial" w:cs="Arial"/>
          <w:b/>
          <w:bCs/>
          <w:color w:val="000000"/>
          <w:sz w:val="22"/>
          <w:szCs w:val="22"/>
          <w:highlight w:val="yellow"/>
          <w:shd w:val="clear" w:color="auto" w:fill="FFFF00"/>
          <w:rtl/>
        </w:rPr>
        <w:t>:</w:t>
      </w:r>
    </w:p>
    <w:p w:rsidR="005366A8" w:rsidRPr="00F826F2" w:rsidRDefault="005366A8" w:rsidP="005366A8">
      <w:pPr>
        <w:spacing w:after="60"/>
        <w:ind w:left="720" w:hanging="720"/>
        <w:rPr>
          <w:b/>
          <w:bCs/>
          <w:color w:val="000000"/>
          <w:sz w:val="20"/>
          <w:szCs w:val="20"/>
          <w:highlight w:val="yellow"/>
          <w:rtl/>
        </w:rPr>
      </w:pPr>
      <w:r w:rsidRPr="00F826F2">
        <w:rPr>
          <w:rFonts w:hint="cs"/>
          <w:b/>
          <w:bCs/>
          <w:color w:val="000000"/>
          <w:sz w:val="20"/>
          <w:szCs w:val="20"/>
          <w:highlight w:val="yellow"/>
          <w:rtl/>
        </w:rPr>
        <w:t xml:space="preserve">^ברגמן, </w:t>
      </w:r>
    </w:p>
    <w:p w:rsidR="005366A8" w:rsidRPr="00F826F2" w:rsidRDefault="005366A8" w:rsidP="005366A8">
      <w:pPr>
        <w:spacing w:after="60"/>
        <w:ind w:left="720" w:hanging="720"/>
        <w:rPr>
          <w:b/>
          <w:bCs/>
          <w:color w:val="000000"/>
          <w:sz w:val="20"/>
          <w:szCs w:val="20"/>
          <w:highlight w:val="yellow"/>
          <w:rtl/>
        </w:rPr>
      </w:pPr>
      <w:r w:rsidRPr="00F826F2">
        <w:rPr>
          <w:rFonts w:hint="cs"/>
          <w:b/>
          <w:bCs/>
          <w:color w:val="000000"/>
          <w:sz w:val="20"/>
          <w:szCs w:val="20"/>
          <w:highlight w:val="yellow"/>
          <w:rtl/>
        </w:rPr>
        <w:t>^דרך ארץ,</w:t>
      </w:r>
    </w:p>
    <w:p w:rsidR="005366A8" w:rsidRPr="00F826F2" w:rsidRDefault="005366A8" w:rsidP="005366A8">
      <w:pPr>
        <w:spacing w:after="60"/>
        <w:ind w:left="720" w:hanging="720"/>
        <w:rPr>
          <w:b/>
          <w:bCs/>
          <w:color w:val="000000"/>
          <w:sz w:val="20"/>
          <w:szCs w:val="20"/>
          <w:highlight w:val="yellow"/>
          <w:rtl/>
        </w:rPr>
      </w:pPr>
      <w:r w:rsidRPr="00F826F2">
        <w:rPr>
          <w:rFonts w:hint="cs"/>
          <w:b/>
          <w:bCs/>
          <w:color w:val="000000"/>
          <w:sz w:val="20"/>
          <w:szCs w:val="20"/>
          <w:highlight w:val="yellow"/>
          <w:rtl/>
        </w:rPr>
        <w:t xml:space="preserve">^רובינשטיין, </w:t>
      </w:r>
    </w:p>
    <w:p w:rsidR="005366A8" w:rsidRDefault="005366A8" w:rsidP="005366A8">
      <w:pPr>
        <w:spacing w:after="60"/>
        <w:ind w:left="720" w:hanging="720"/>
        <w:rPr>
          <w:color w:val="000000"/>
          <w:sz w:val="20"/>
          <w:szCs w:val="20"/>
          <w:rtl/>
        </w:rPr>
      </w:pPr>
      <w:r w:rsidRPr="00F826F2">
        <w:rPr>
          <w:rFonts w:hint="cs"/>
          <w:b/>
          <w:bCs/>
          <w:color w:val="000000"/>
          <w:sz w:val="20"/>
          <w:szCs w:val="20"/>
          <w:highlight w:val="yellow"/>
          <w:rtl/>
        </w:rPr>
        <w:t>^תנועת לאו"ר</w:t>
      </w:r>
      <w:r w:rsidRPr="00C763CC">
        <w:rPr>
          <w:rFonts w:hint="cs"/>
          <w:color w:val="000000"/>
          <w:sz w:val="20"/>
          <w:szCs w:val="20"/>
          <w:rtl/>
        </w:rPr>
        <w:t xml:space="preserve">: </w:t>
      </w:r>
    </w:p>
    <w:p w:rsidR="005366A8" w:rsidRDefault="005366A8" w:rsidP="005366A8">
      <w:pPr>
        <w:spacing w:after="60"/>
        <w:ind w:left="720"/>
        <w:rPr>
          <w:color w:val="000000"/>
          <w:sz w:val="20"/>
          <w:szCs w:val="20"/>
          <w:rtl/>
        </w:rPr>
      </w:pPr>
      <w:r w:rsidRPr="00C763CC">
        <w:rPr>
          <w:rFonts w:hint="cs"/>
          <w:color w:val="000000"/>
          <w:sz w:val="20"/>
          <w:szCs w:val="20"/>
          <w:rtl/>
        </w:rPr>
        <w:t>פסיקה מוקדמת מ</w:t>
      </w:r>
      <w:r>
        <w:rPr>
          <w:rFonts w:hint="cs"/>
          <w:color w:val="000000"/>
          <w:sz w:val="20"/>
          <w:szCs w:val="20"/>
          <w:rtl/>
        </w:rPr>
        <w:t xml:space="preserve">סוף שנות ה-60 עד שנות </w:t>
      </w:r>
      <w:r w:rsidRPr="00C763CC">
        <w:rPr>
          <w:rFonts w:hint="cs"/>
          <w:color w:val="000000"/>
          <w:sz w:val="20"/>
          <w:szCs w:val="20"/>
          <w:rtl/>
        </w:rPr>
        <w:t>ה-80, שעניינה סע' 4 לחוק יסוד: הכנסת</w:t>
      </w:r>
      <w:r>
        <w:rPr>
          <w:rFonts w:hint="cs"/>
          <w:color w:val="000000"/>
          <w:sz w:val="20"/>
          <w:szCs w:val="20"/>
          <w:rtl/>
        </w:rPr>
        <w:t xml:space="preserve"> </w:t>
      </w:r>
      <w:r>
        <w:rPr>
          <w:color w:val="000000"/>
          <w:sz w:val="20"/>
          <w:szCs w:val="20"/>
          <w:rtl/>
        </w:rPr>
        <w:t>–</w:t>
      </w:r>
      <w:r>
        <w:rPr>
          <w:rFonts w:hint="cs"/>
          <w:color w:val="000000"/>
          <w:sz w:val="20"/>
          <w:szCs w:val="20"/>
          <w:rtl/>
        </w:rPr>
        <w:t xml:space="preserve"> "</w:t>
      </w:r>
      <w:r w:rsidRPr="000643DC">
        <w:rPr>
          <w:b/>
          <w:bCs/>
          <w:sz w:val="20"/>
          <w:szCs w:val="20"/>
          <w:rtl/>
        </w:rPr>
        <w:t>הכנסת תיבחר בבחירות כלליות, ארציות, ישירות, שוות, חשאיות ויחסיות, לפי חוק הבחירות לכנסת; אין לשנות סעיף זה, אלא ברוב של חברי הכנסת</w:t>
      </w:r>
      <w:r>
        <w:rPr>
          <w:rFonts w:hint="cs"/>
          <w:b/>
          <w:bCs/>
          <w:sz w:val="20"/>
          <w:szCs w:val="20"/>
          <w:rtl/>
        </w:rPr>
        <w:t>"</w:t>
      </w:r>
      <w:r w:rsidRPr="000643DC">
        <w:rPr>
          <w:b/>
          <w:bCs/>
          <w:sz w:val="20"/>
          <w:szCs w:val="20"/>
          <w:rtl/>
        </w:rPr>
        <w:t>.</w:t>
      </w:r>
      <w:r>
        <w:rPr>
          <w:rFonts w:hint="cs"/>
          <w:color w:val="000000"/>
          <w:sz w:val="20"/>
          <w:szCs w:val="20"/>
          <w:rtl/>
        </w:rPr>
        <w:t xml:space="preserve"> </w:t>
      </w:r>
    </w:p>
    <w:p w:rsidR="005366A8" w:rsidRPr="00C763CC" w:rsidRDefault="005366A8" w:rsidP="005366A8">
      <w:pPr>
        <w:spacing w:after="60"/>
        <w:ind w:left="720"/>
        <w:rPr>
          <w:color w:val="000080"/>
          <w:sz w:val="20"/>
          <w:szCs w:val="20"/>
          <w:rtl/>
        </w:rPr>
      </w:pPr>
      <w:r w:rsidRPr="00A05C31">
        <w:rPr>
          <w:rFonts w:hint="cs"/>
          <w:b/>
          <w:bCs/>
          <w:color w:val="000000"/>
          <w:sz w:val="20"/>
          <w:szCs w:val="20"/>
          <w:rtl/>
        </w:rPr>
        <w:t>"בחירות שוות"</w:t>
      </w:r>
      <w:r w:rsidRPr="00C763CC">
        <w:rPr>
          <w:rFonts w:hint="cs"/>
          <w:color w:val="000000"/>
          <w:sz w:val="20"/>
          <w:szCs w:val="20"/>
          <w:rtl/>
        </w:rPr>
        <w:t xml:space="preserve"> –</w:t>
      </w:r>
      <w:r>
        <w:rPr>
          <w:rFonts w:hint="cs"/>
          <w:color w:val="000000"/>
          <w:sz w:val="20"/>
          <w:szCs w:val="20"/>
          <w:rtl/>
        </w:rPr>
        <w:t>&gt;</w:t>
      </w:r>
      <w:r w:rsidRPr="00C763CC">
        <w:rPr>
          <w:rFonts w:hint="cs"/>
          <w:color w:val="000000"/>
          <w:sz w:val="20"/>
          <w:szCs w:val="20"/>
          <w:rtl/>
        </w:rPr>
        <w:t> פסילת חקיקה שפגעה ברשימות המתמודדות לכנסת בכל הנוגע להקצאת כספי מימון מפלגות או הקצאת זמן שידור תעמולת בחירות;</w:t>
      </w:r>
      <w:r>
        <w:rPr>
          <w:rFonts w:hint="cs"/>
          <w:color w:val="000000"/>
          <w:sz w:val="20"/>
          <w:szCs w:val="20"/>
          <w:rtl/>
        </w:rPr>
        <w:t xml:space="preserve"> </w:t>
      </w:r>
      <w:r w:rsidRPr="00C763CC">
        <w:rPr>
          <w:rFonts w:hint="cs"/>
          <w:color w:val="000000"/>
          <w:sz w:val="20"/>
          <w:szCs w:val="20"/>
          <w:rtl/>
        </w:rPr>
        <w:t>הפסילה היא על בסיס התפיסה החוקתית שבטרם "המהפכה החוקתית"</w:t>
      </w:r>
      <w:r>
        <w:rPr>
          <w:rFonts w:hint="cs"/>
          <w:color w:val="000000"/>
          <w:sz w:val="20"/>
          <w:szCs w:val="20"/>
          <w:rtl/>
        </w:rPr>
        <w:t>.</w:t>
      </w:r>
    </w:p>
    <w:p w:rsidR="005366A8" w:rsidRDefault="005366A8" w:rsidP="005366A8">
      <w:pPr>
        <w:spacing w:after="60"/>
        <w:ind w:left="720" w:hanging="720"/>
        <w:rPr>
          <w:b/>
          <w:bCs/>
          <w:color w:val="000000"/>
          <w:sz w:val="20"/>
          <w:szCs w:val="20"/>
          <w:rtl/>
        </w:rPr>
      </w:pPr>
      <w:r w:rsidRPr="00C763CC">
        <w:rPr>
          <w:rFonts w:hint="cs"/>
          <w:b/>
          <w:bCs/>
          <w:color w:val="000000"/>
          <w:sz w:val="20"/>
          <w:szCs w:val="20"/>
          <w:rtl/>
        </w:rPr>
        <w:t>=</w:t>
      </w:r>
      <w:r w:rsidRPr="00C763CC">
        <w:rPr>
          <w:rFonts w:hint="cs"/>
          <w:color w:val="000000"/>
          <w:sz w:val="20"/>
          <w:szCs w:val="20"/>
          <w:rtl/>
        </w:rPr>
        <w:t>-=</w:t>
      </w:r>
    </w:p>
    <w:p w:rsidR="005366A8" w:rsidRDefault="005366A8" w:rsidP="005366A8">
      <w:pPr>
        <w:spacing w:after="60"/>
        <w:ind w:left="720" w:hanging="720"/>
        <w:rPr>
          <w:b/>
          <w:bCs/>
          <w:color w:val="000000"/>
          <w:sz w:val="20"/>
          <w:szCs w:val="20"/>
          <w:u w:val="single"/>
          <w:rtl/>
        </w:rPr>
      </w:pPr>
      <w:r w:rsidRPr="0067113C">
        <w:rPr>
          <w:rFonts w:hint="cs"/>
          <w:b/>
          <w:bCs/>
          <w:color w:val="000000"/>
          <w:sz w:val="20"/>
          <w:szCs w:val="20"/>
          <w:highlight w:val="yellow"/>
          <w:u w:val="single"/>
          <w:rtl/>
        </w:rPr>
        <w:t>פסיקה לאחר "המהפכה החוקתית":</w:t>
      </w:r>
    </w:p>
    <w:p w:rsidR="005366A8" w:rsidRDefault="005366A8" w:rsidP="005366A8">
      <w:pPr>
        <w:spacing w:after="60"/>
        <w:ind w:left="720"/>
        <w:rPr>
          <w:sz w:val="20"/>
          <w:szCs w:val="20"/>
          <w:rtl/>
        </w:rPr>
      </w:pPr>
      <w:r w:rsidRPr="008E6EFA">
        <w:rPr>
          <w:rFonts w:hint="cs"/>
          <w:b/>
          <w:bCs/>
          <w:sz w:val="20"/>
          <w:szCs w:val="20"/>
          <w:rtl/>
        </w:rPr>
        <w:t xml:space="preserve">המונח </w:t>
      </w:r>
      <w:r w:rsidRPr="008E6EFA">
        <w:rPr>
          <w:rFonts w:hint="cs"/>
          <w:b/>
          <w:bCs/>
          <w:sz w:val="20"/>
          <w:szCs w:val="20"/>
          <w:u w:val="single"/>
          <w:rtl/>
        </w:rPr>
        <w:t>"המהפכה החוקתית".</w:t>
      </w:r>
      <w:r w:rsidRPr="008E6EFA">
        <w:rPr>
          <w:rFonts w:hint="cs"/>
          <w:sz w:val="20"/>
          <w:szCs w:val="20"/>
          <w:rtl/>
        </w:rPr>
        <w:t xml:space="preserve"> </w:t>
      </w:r>
      <w:r>
        <w:rPr>
          <w:rFonts w:hint="cs"/>
          <w:sz w:val="20"/>
          <w:szCs w:val="20"/>
          <w:rtl/>
        </w:rPr>
        <w:t xml:space="preserve">השופט ברק: </w:t>
      </w:r>
    </w:p>
    <w:p w:rsidR="005366A8" w:rsidRDefault="005366A8" w:rsidP="005366A8">
      <w:pPr>
        <w:spacing w:after="60"/>
        <w:ind w:left="1440"/>
        <w:rPr>
          <w:sz w:val="20"/>
          <w:szCs w:val="20"/>
          <w:rtl/>
        </w:rPr>
      </w:pPr>
      <w:r w:rsidRPr="008E6EFA">
        <w:rPr>
          <w:sz w:val="20"/>
          <w:szCs w:val="20"/>
          <w:rtl/>
        </w:rPr>
        <w:t>עקרון "ריבונות הכנסת" איננו עוד ראש הפירמידה הנורמטיבית של מערכת המשפט הישראלית.</w:t>
      </w:r>
      <w:r>
        <w:rPr>
          <w:sz w:val="20"/>
          <w:szCs w:val="20"/>
          <w:rtl/>
        </w:rPr>
        <w:t xml:space="preserve"> </w:t>
      </w:r>
      <w:r w:rsidRPr="008E6EFA">
        <w:rPr>
          <w:sz w:val="20"/>
          <w:szCs w:val="20"/>
          <w:rtl/>
        </w:rPr>
        <w:t>תוקפן של חלק מזכויות האדם השתנה באורח מהותי. אם בעבר הן היו הלכתיות (תוצרי פסיקה) במהותן</w:t>
      </w:r>
      <w:r>
        <w:rPr>
          <w:rFonts w:hint="cs"/>
          <w:sz w:val="20"/>
          <w:szCs w:val="20"/>
          <w:rtl/>
        </w:rPr>
        <w:t xml:space="preserve"> {"המשפט המקובל נוסח ישראל"}</w:t>
      </w:r>
      <w:r w:rsidRPr="008E6EFA">
        <w:rPr>
          <w:sz w:val="20"/>
          <w:szCs w:val="20"/>
          <w:rtl/>
        </w:rPr>
        <w:t xml:space="preserve">, והן נדחקו לאחור בעת שנסתרו על ידי חקיקת הכנסת, הרי שעתה הן מחייבות את הרשות המחוקקת עצמה </w:t>
      </w:r>
      <w:r w:rsidRPr="008E6EFA">
        <w:rPr>
          <w:sz w:val="20"/>
          <w:szCs w:val="20"/>
        </w:rPr>
        <w:t>–</w:t>
      </w:r>
      <w:r w:rsidRPr="008E6EFA">
        <w:rPr>
          <w:sz w:val="20"/>
          <w:szCs w:val="20"/>
          <w:rtl/>
        </w:rPr>
        <w:t xml:space="preserve"> הן הפכו ל"נקודת משען נורמטיבית הקובעת את תוקפם של דברי החקיקה כולם".</w:t>
      </w:r>
      <w:r>
        <w:rPr>
          <w:sz w:val="20"/>
          <w:szCs w:val="20"/>
          <w:rtl/>
        </w:rPr>
        <w:t xml:space="preserve"> </w:t>
      </w:r>
      <w:r w:rsidRPr="008E6EFA">
        <w:rPr>
          <w:sz w:val="20"/>
          <w:szCs w:val="20"/>
          <w:rtl/>
        </w:rPr>
        <w:t>זוהי "המהפכה החוקתית".</w:t>
      </w:r>
      <w:r>
        <w:rPr>
          <w:rFonts w:hint="cs"/>
          <w:sz w:val="20"/>
          <w:szCs w:val="20"/>
          <w:rtl/>
        </w:rPr>
        <w:t xml:space="preserve"> </w:t>
      </w:r>
    </w:p>
    <w:p w:rsidR="005366A8" w:rsidRDefault="005366A8" w:rsidP="005366A8">
      <w:pPr>
        <w:spacing w:after="60"/>
        <w:ind w:left="1440"/>
        <w:rPr>
          <w:sz w:val="20"/>
          <w:szCs w:val="20"/>
          <w:rtl/>
        </w:rPr>
      </w:pPr>
      <w:r>
        <w:rPr>
          <w:rFonts w:hint="cs"/>
          <w:sz w:val="20"/>
          <w:szCs w:val="20"/>
          <w:rtl/>
        </w:rPr>
        <w:t>[אנא חיזרו לתרשים הפירמידה הנורמטיבית: עלייתן של חלק מרכזי בזכויות האדם לחלקה העליון, החוקתי, של הפירמידה];</w:t>
      </w:r>
    </w:p>
    <w:p w:rsidR="005366A8" w:rsidRDefault="005366A8" w:rsidP="005366A8">
      <w:pPr>
        <w:spacing w:after="60"/>
        <w:ind w:left="2160" w:hanging="720"/>
        <w:rPr>
          <w:b/>
          <w:bCs/>
          <w:color w:val="000000"/>
          <w:sz w:val="20"/>
          <w:szCs w:val="20"/>
          <w:u w:val="single"/>
          <w:rtl/>
        </w:rPr>
      </w:pPr>
      <w:r>
        <w:rPr>
          <w:rFonts w:hint="cs"/>
          <w:sz w:val="20"/>
          <w:szCs w:val="20"/>
          <w:rtl/>
        </w:rPr>
        <w:t xml:space="preserve">[ודוקו (כלומר, שימו לב): פס"ד </w:t>
      </w:r>
      <w:r w:rsidRPr="00030D75">
        <w:rPr>
          <w:rFonts w:hint="cs"/>
          <w:b/>
          <w:bCs/>
          <w:sz w:val="20"/>
          <w:szCs w:val="20"/>
          <w:rtl/>
        </w:rPr>
        <w:t>בנק המזרחי</w:t>
      </w:r>
      <w:r>
        <w:rPr>
          <w:rFonts w:hint="cs"/>
          <w:sz w:val="20"/>
          <w:szCs w:val="20"/>
          <w:rtl/>
        </w:rPr>
        <w:t xml:space="preserve"> עצמו שהצהיר/שקבע את "המהפכה החוקתית", הוא עצמו לא פסל הוראות בחוק גל; הוא הצהיר על יכולתו של בית המשפט לעשות כן, אך מצא כי "פסקת ההגבלה" של חוק יסוד: כבוד האדם וחירותו לא הופרה, ולכן אין עילה לפסילת הוראה כזו או אחרת בחוק].</w:t>
      </w:r>
    </w:p>
    <w:p w:rsidR="005366A8" w:rsidRPr="00CF1617" w:rsidRDefault="005366A8" w:rsidP="005366A8">
      <w:pPr>
        <w:spacing w:after="60"/>
        <w:rPr>
          <w:b/>
          <w:bCs/>
          <w:color w:val="000000"/>
          <w:sz w:val="20"/>
          <w:szCs w:val="20"/>
          <w:u w:val="single"/>
          <w:rtl/>
        </w:rPr>
      </w:pPr>
    </w:p>
    <w:p w:rsidR="005366A8" w:rsidRPr="00C763CC" w:rsidRDefault="005366A8" w:rsidP="005366A8">
      <w:pPr>
        <w:spacing w:after="60"/>
        <w:ind w:left="720" w:hanging="720"/>
        <w:rPr>
          <w:color w:val="000080"/>
          <w:sz w:val="20"/>
          <w:szCs w:val="20"/>
          <w:rtl/>
        </w:rPr>
      </w:pPr>
      <w:r w:rsidRPr="00F826F2">
        <w:rPr>
          <w:rFonts w:hint="cs"/>
          <w:b/>
          <w:bCs/>
          <w:color w:val="000000"/>
          <w:sz w:val="20"/>
          <w:szCs w:val="20"/>
          <w:highlight w:val="yellow"/>
          <w:rtl/>
        </w:rPr>
        <w:t xml:space="preserve">^לשכת יועצי השקעות </w:t>
      </w:r>
      <w:r w:rsidRPr="00F826F2">
        <w:rPr>
          <w:rFonts w:hint="cs"/>
          <w:color w:val="000000"/>
          <w:sz w:val="20"/>
          <w:szCs w:val="20"/>
          <w:highlight w:val="yellow"/>
          <w:rtl/>
        </w:rPr>
        <w:t>(1997)</w:t>
      </w:r>
      <w:r w:rsidRPr="00775B74">
        <w:rPr>
          <w:rFonts w:hint="cs"/>
          <w:color w:val="000000"/>
          <w:sz w:val="20"/>
          <w:szCs w:val="20"/>
          <w:rtl/>
        </w:rPr>
        <w:t xml:space="preserve"> </w:t>
      </w:r>
      <w:r w:rsidRPr="00C763CC">
        <w:rPr>
          <w:rFonts w:hint="cs"/>
          <w:color w:val="000000"/>
          <w:sz w:val="20"/>
          <w:szCs w:val="20"/>
          <w:rtl/>
        </w:rPr>
        <w:t xml:space="preserve">– חוק יסוד: חופש העיסוק – </w:t>
      </w:r>
      <w:r w:rsidRPr="00B90A54">
        <w:rPr>
          <w:rFonts w:hint="cs"/>
          <w:b/>
          <w:bCs/>
          <w:color w:val="000000"/>
          <w:sz w:val="20"/>
          <w:szCs w:val="20"/>
          <w:rtl/>
        </w:rPr>
        <w:t>העדרן של "הוראות המעבר" ראויות בחוק יועצי השקעות</w:t>
      </w:r>
      <w:r>
        <w:rPr>
          <w:rFonts w:hint="cs"/>
          <w:color w:val="000000"/>
          <w:sz w:val="20"/>
          <w:szCs w:val="20"/>
          <w:rtl/>
        </w:rPr>
        <w:t xml:space="preserve">, </w:t>
      </w:r>
      <w:r w:rsidRPr="00C763CC">
        <w:rPr>
          <w:rFonts w:hint="cs"/>
          <w:color w:val="000000"/>
          <w:sz w:val="20"/>
          <w:szCs w:val="20"/>
          <w:rtl/>
        </w:rPr>
        <w:t>ביחס למי שכבר בעת קבלת החוק פעלו כיועצי השקעות;</w:t>
      </w:r>
    </w:p>
    <w:p w:rsidR="005366A8" w:rsidRPr="00C763CC" w:rsidRDefault="005366A8" w:rsidP="005366A8">
      <w:pPr>
        <w:spacing w:after="60"/>
        <w:ind w:left="720" w:hanging="720"/>
        <w:rPr>
          <w:color w:val="000080"/>
          <w:sz w:val="20"/>
          <w:szCs w:val="20"/>
          <w:rtl/>
        </w:rPr>
      </w:pPr>
      <w:r w:rsidRPr="00F826F2">
        <w:rPr>
          <w:rFonts w:hint="cs"/>
          <w:b/>
          <w:bCs/>
          <w:color w:val="000000"/>
          <w:sz w:val="20"/>
          <w:szCs w:val="20"/>
          <w:highlight w:val="yellow"/>
          <w:rtl/>
        </w:rPr>
        <w:t>^צמח</w:t>
      </w:r>
      <w:r w:rsidRPr="00F826F2">
        <w:rPr>
          <w:rFonts w:hint="cs"/>
          <w:color w:val="000000"/>
          <w:sz w:val="20"/>
          <w:szCs w:val="20"/>
          <w:highlight w:val="yellow"/>
          <w:rtl/>
        </w:rPr>
        <w:t xml:space="preserve"> (1999)</w:t>
      </w:r>
      <w:r>
        <w:rPr>
          <w:rFonts w:hint="cs"/>
          <w:color w:val="000000"/>
          <w:sz w:val="20"/>
          <w:szCs w:val="20"/>
          <w:rtl/>
        </w:rPr>
        <w:t xml:space="preserve"> </w:t>
      </w:r>
      <w:r w:rsidRPr="00C763CC">
        <w:rPr>
          <w:rFonts w:hint="cs"/>
          <w:color w:val="000000"/>
          <w:sz w:val="20"/>
          <w:szCs w:val="20"/>
          <w:rtl/>
        </w:rPr>
        <w:t xml:space="preserve">– חוק יסוד: כבוד האדם וחירותו – </w:t>
      </w:r>
      <w:r w:rsidRPr="00B90A54">
        <w:rPr>
          <w:rFonts w:hint="cs"/>
          <w:b/>
          <w:bCs/>
          <w:color w:val="000000"/>
          <w:sz w:val="20"/>
          <w:szCs w:val="20"/>
          <w:rtl/>
        </w:rPr>
        <w:t>משך מעצר חיילים עד להבאתם בפני שופט צבאי</w:t>
      </w:r>
      <w:r w:rsidRPr="00C763CC">
        <w:rPr>
          <w:rFonts w:hint="cs"/>
          <w:color w:val="000000"/>
          <w:sz w:val="20"/>
          <w:szCs w:val="20"/>
          <w:rtl/>
        </w:rPr>
        <w:t>;</w:t>
      </w:r>
    </w:p>
    <w:p w:rsidR="005366A8" w:rsidRPr="00C763CC" w:rsidRDefault="005366A8" w:rsidP="005366A8">
      <w:pPr>
        <w:spacing w:after="60"/>
        <w:ind w:left="720" w:hanging="720"/>
        <w:rPr>
          <w:color w:val="000080"/>
          <w:sz w:val="20"/>
          <w:szCs w:val="20"/>
          <w:rtl/>
        </w:rPr>
      </w:pPr>
      <w:r w:rsidRPr="00F826F2">
        <w:rPr>
          <w:rFonts w:hint="cs"/>
          <w:b/>
          <w:bCs/>
          <w:color w:val="000000"/>
          <w:sz w:val="20"/>
          <w:szCs w:val="20"/>
          <w:highlight w:val="yellow"/>
          <w:rtl/>
        </w:rPr>
        <w:t>^אורון</w:t>
      </w:r>
      <w:r w:rsidRPr="00F826F2">
        <w:rPr>
          <w:rFonts w:hint="cs"/>
          <w:color w:val="000000"/>
          <w:sz w:val="20"/>
          <w:szCs w:val="20"/>
          <w:highlight w:val="yellow"/>
          <w:rtl/>
        </w:rPr>
        <w:t xml:space="preserve"> (2002)</w:t>
      </w:r>
      <w:r>
        <w:rPr>
          <w:rFonts w:hint="cs"/>
          <w:color w:val="000000"/>
          <w:sz w:val="20"/>
          <w:szCs w:val="20"/>
          <w:rtl/>
        </w:rPr>
        <w:t xml:space="preserve"> </w:t>
      </w:r>
      <w:r w:rsidRPr="00C763CC">
        <w:rPr>
          <w:rFonts w:hint="cs"/>
          <w:color w:val="000000"/>
          <w:sz w:val="20"/>
          <w:szCs w:val="20"/>
          <w:rtl/>
        </w:rPr>
        <w:t xml:space="preserve">– חוק יסוד: חופש העיסוק – </w:t>
      </w:r>
      <w:r w:rsidRPr="00B90A54">
        <w:rPr>
          <w:rFonts w:hint="cs"/>
          <w:b/>
          <w:bCs/>
          <w:color w:val="000000"/>
          <w:sz w:val="20"/>
          <w:szCs w:val="20"/>
          <w:rtl/>
        </w:rPr>
        <w:t>חופש התחרות ביחס לרדיו ארצי יעודי</w:t>
      </w:r>
      <w:r w:rsidRPr="00C763CC">
        <w:rPr>
          <w:rFonts w:hint="cs"/>
          <w:color w:val="000000"/>
          <w:sz w:val="20"/>
          <w:szCs w:val="20"/>
          <w:rtl/>
        </w:rPr>
        <w:t xml:space="preserve"> וסוגיית ערוץ 7; </w:t>
      </w:r>
    </w:p>
    <w:p w:rsidR="005366A8" w:rsidRPr="00C763CC" w:rsidRDefault="005366A8" w:rsidP="005366A8">
      <w:pPr>
        <w:spacing w:after="60"/>
        <w:ind w:left="1440" w:hanging="720"/>
        <w:rPr>
          <w:color w:val="000080"/>
          <w:sz w:val="20"/>
          <w:szCs w:val="20"/>
          <w:rtl/>
        </w:rPr>
      </w:pPr>
      <w:r w:rsidRPr="00F826F2">
        <w:rPr>
          <w:rFonts w:hint="cs"/>
          <w:color w:val="000000"/>
          <w:sz w:val="20"/>
          <w:szCs w:val="20"/>
          <w:highlight w:val="yellow"/>
          <w:rtl/>
        </w:rPr>
        <w:t>^</w:t>
      </w:r>
      <w:r w:rsidRPr="00F826F2">
        <w:rPr>
          <w:rFonts w:hint="cs"/>
          <w:b/>
          <w:bCs/>
          <w:color w:val="000000"/>
          <w:sz w:val="20"/>
          <w:szCs w:val="20"/>
          <w:highlight w:val="yellow"/>
          <w:rtl/>
        </w:rPr>
        <w:t>חירות</w:t>
      </w:r>
      <w:r w:rsidRPr="00F826F2">
        <w:rPr>
          <w:rFonts w:hint="cs"/>
          <w:color w:val="000000"/>
          <w:sz w:val="20"/>
          <w:szCs w:val="20"/>
          <w:highlight w:val="yellow"/>
          <w:rtl/>
        </w:rPr>
        <w:t xml:space="preserve"> (2003)</w:t>
      </w:r>
      <w:r w:rsidRPr="00C763CC">
        <w:rPr>
          <w:rFonts w:hint="cs"/>
          <w:color w:val="000000"/>
          <w:sz w:val="20"/>
          <w:szCs w:val="20"/>
          <w:rtl/>
        </w:rPr>
        <w:t>– חוק יסוד: השפיטה – אפשרות ביטולה של הוראת הדין בחוק הבחירות לכנסת, ככל שהיא נוגעת ל</w:t>
      </w:r>
      <w:r>
        <w:rPr>
          <w:rFonts w:hint="cs"/>
          <w:color w:val="000000"/>
          <w:sz w:val="20"/>
          <w:szCs w:val="20"/>
          <w:rtl/>
        </w:rPr>
        <w:t xml:space="preserve">ניסיונה לחסום (בחוק בניגוד לחוק יסוד) את </w:t>
      </w:r>
      <w:r w:rsidRPr="00C763CC">
        <w:rPr>
          <w:rFonts w:hint="cs"/>
          <w:color w:val="000000"/>
          <w:sz w:val="20"/>
          <w:szCs w:val="20"/>
          <w:rtl/>
        </w:rPr>
        <w:t>סמכות בג"צ לבחון את הכרעותיו של יו"ר ועדת הבחירות המרכזית; עם זאת, ביהמ"ש מצא שקיימת באותן נסיבות גם אופציה פרשנית שאולי מייתרת את אפשרות ביטול</w:t>
      </w:r>
      <w:r>
        <w:rPr>
          <w:rFonts w:hint="cs"/>
          <w:color w:val="000000"/>
          <w:sz w:val="20"/>
          <w:szCs w:val="20"/>
          <w:rtl/>
        </w:rPr>
        <w:t xml:space="preserve"> אותה הוראה בחוק</w:t>
      </w:r>
      <w:r w:rsidRPr="00C763CC">
        <w:rPr>
          <w:rFonts w:hint="cs"/>
          <w:color w:val="000000"/>
          <w:sz w:val="20"/>
          <w:szCs w:val="20"/>
          <w:rtl/>
        </w:rPr>
        <w:t>;</w:t>
      </w:r>
    </w:p>
    <w:p w:rsidR="005366A8" w:rsidRPr="00C763CC" w:rsidRDefault="005366A8" w:rsidP="005366A8">
      <w:pPr>
        <w:spacing w:after="60"/>
        <w:ind w:left="720" w:hanging="720"/>
        <w:rPr>
          <w:color w:val="000080"/>
          <w:sz w:val="20"/>
          <w:szCs w:val="20"/>
          <w:rtl/>
        </w:rPr>
      </w:pPr>
      <w:r w:rsidRPr="00F826F2">
        <w:rPr>
          <w:rFonts w:hint="cs"/>
          <w:b/>
          <w:bCs/>
          <w:color w:val="000000"/>
          <w:sz w:val="20"/>
          <w:szCs w:val="20"/>
          <w:highlight w:val="yellow"/>
          <w:rtl/>
        </w:rPr>
        <w:t>^חוף עזה</w:t>
      </w:r>
      <w:r w:rsidRPr="00F826F2">
        <w:rPr>
          <w:rFonts w:hint="cs"/>
          <w:color w:val="000000"/>
          <w:sz w:val="20"/>
          <w:szCs w:val="20"/>
          <w:highlight w:val="yellow"/>
          <w:rtl/>
        </w:rPr>
        <w:t xml:space="preserve"> (2005)</w:t>
      </w:r>
      <w:r>
        <w:rPr>
          <w:rFonts w:hint="cs"/>
          <w:color w:val="000000"/>
          <w:sz w:val="20"/>
          <w:szCs w:val="20"/>
          <w:rtl/>
        </w:rPr>
        <w:t xml:space="preserve"> </w:t>
      </w:r>
      <w:r w:rsidRPr="00C763CC">
        <w:rPr>
          <w:rFonts w:hint="cs"/>
          <w:color w:val="000000"/>
          <w:sz w:val="20"/>
          <w:szCs w:val="20"/>
          <w:rtl/>
        </w:rPr>
        <w:t xml:space="preserve">– חוק יסוד: כבוד האדם וחירותו </w:t>
      </w:r>
      <w:r w:rsidRPr="004E4E22">
        <w:rPr>
          <w:rFonts w:hint="cs"/>
          <w:b/>
          <w:bCs/>
          <w:color w:val="000000"/>
          <w:sz w:val="20"/>
          <w:szCs w:val="20"/>
          <w:rtl/>
        </w:rPr>
        <w:t>וחוק פינוי-פיצוי (ההתנתקות מרצועת עזה וצפון השומרון)</w:t>
      </w:r>
      <w:r w:rsidRPr="00C763CC">
        <w:rPr>
          <w:rFonts w:hint="cs"/>
          <w:color w:val="000000"/>
          <w:sz w:val="20"/>
          <w:szCs w:val="20"/>
          <w:rtl/>
        </w:rPr>
        <w:t xml:space="preserve"> – אי-התערבות </w:t>
      </w:r>
      <w:r>
        <w:rPr>
          <w:rFonts w:hint="cs"/>
          <w:color w:val="000000"/>
          <w:sz w:val="20"/>
          <w:szCs w:val="20"/>
          <w:rtl/>
        </w:rPr>
        <w:t>במרכיב "ה</w:t>
      </w:r>
      <w:r w:rsidRPr="00C763CC">
        <w:rPr>
          <w:rFonts w:hint="cs"/>
          <w:color w:val="000000"/>
          <w:sz w:val="20"/>
          <w:szCs w:val="20"/>
          <w:rtl/>
        </w:rPr>
        <w:t>התנתקות</w:t>
      </w:r>
      <w:r>
        <w:rPr>
          <w:rFonts w:hint="cs"/>
          <w:color w:val="000000"/>
          <w:sz w:val="20"/>
          <w:szCs w:val="20"/>
          <w:rtl/>
        </w:rPr>
        <w:t>" עצמו</w:t>
      </w:r>
      <w:r w:rsidRPr="00C763CC">
        <w:rPr>
          <w:rFonts w:hint="cs"/>
          <w:color w:val="000000"/>
          <w:sz w:val="20"/>
          <w:szCs w:val="20"/>
          <w:rtl/>
        </w:rPr>
        <w:t>, אך פסילת סעיפי פיצוי מסוימים</w:t>
      </w:r>
      <w:r>
        <w:rPr>
          <w:rFonts w:hint="cs"/>
          <w:color w:val="000000"/>
          <w:sz w:val="20"/>
          <w:szCs w:val="20"/>
          <w:rtl/>
        </w:rPr>
        <w:t xml:space="preserve"> משום התנאים המגבילים מדי שהופיעו בהם</w:t>
      </w:r>
      <w:r w:rsidRPr="00C763CC">
        <w:rPr>
          <w:rFonts w:hint="cs"/>
          <w:color w:val="000000"/>
          <w:sz w:val="20"/>
          <w:szCs w:val="20"/>
          <w:rtl/>
        </w:rPr>
        <w:t>;</w:t>
      </w:r>
    </w:p>
    <w:p w:rsidR="005366A8" w:rsidRPr="00C763CC" w:rsidRDefault="005366A8" w:rsidP="005366A8">
      <w:pPr>
        <w:spacing w:after="60"/>
        <w:ind w:left="1440" w:hanging="720"/>
        <w:rPr>
          <w:color w:val="000080"/>
          <w:sz w:val="20"/>
          <w:szCs w:val="20"/>
          <w:rtl/>
        </w:rPr>
      </w:pPr>
      <w:r w:rsidRPr="00B90A54">
        <w:rPr>
          <w:rFonts w:hint="cs"/>
          <w:b/>
          <w:bCs/>
          <w:color w:val="000000"/>
          <w:sz w:val="20"/>
          <w:szCs w:val="20"/>
          <w:rtl/>
        </w:rPr>
        <w:t>[</w:t>
      </w:r>
      <w:r w:rsidRPr="00361CB9">
        <w:rPr>
          <w:rFonts w:hint="cs"/>
          <w:b/>
          <w:bCs/>
          <w:i/>
          <w:iCs/>
          <w:color w:val="000000"/>
          <w:sz w:val="20"/>
          <w:szCs w:val="20"/>
          <w:rtl/>
        </w:rPr>
        <w:t>מקרה חשוב של אי-פסילה:</w:t>
      </w:r>
      <w:r>
        <w:rPr>
          <w:rFonts w:hint="cs"/>
          <w:b/>
          <w:bCs/>
          <w:color w:val="000000"/>
          <w:sz w:val="20"/>
          <w:szCs w:val="20"/>
          <w:rtl/>
        </w:rPr>
        <w:t xml:space="preserve"> </w:t>
      </w:r>
      <w:r w:rsidRPr="00C763CC">
        <w:rPr>
          <w:rFonts w:hint="cs"/>
          <w:b/>
          <w:bCs/>
          <w:i/>
          <w:iCs/>
          <w:color w:val="000000"/>
          <w:sz w:val="20"/>
          <w:szCs w:val="20"/>
          <w:rtl/>
        </w:rPr>
        <w:t>פס"ד חוק טל</w:t>
      </w:r>
      <w:r>
        <w:rPr>
          <w:rFonts w:hint="cs"/>
          <w:b/>
          <w:bCs/>
          <w:i/>
          <w:iCs/>
          <w:color w:val="000000"/>
          <w:sz w:val="20"/>
          <w:szCs w:val="20"/>
          <w:rtl/>
        </w:rPr>
        <w:t>1</w:t>
      </w:r>
      <w:r>
        <w:rPr>
          <w:rFonts w:hint="cs"/>
          <w:color w:val="000000"/>
          <w:sz w:val="20"/>
          <w:szCs w:val="20"/>
          <w:rtl/>
        </w:rPr>
        <w:t xml:space="preserve"> (פס"ד </w:t>
      </w:r>
      <w:r w:rsidRPr="00096723">
        <w:rPr>
          <w:rFonts w:hint="cs"/>
          <w:b/>
          <w:bCs/>
          <w:color w:val="000000"/>
          <w:sz w:val="20"/>
          <w:szCs w:val="20"/>
          <w:rtl/>
        </w:rPr>
        <w:t>התנועה לאיכות השלטון</w:t>
      </w:r>
      <w:r>
        <w:rPr>
          <w:rFonts w:hint="cs"/>
          <w:color w:val="000000"/>
          <w:sz w:val="20"/>
          <w:szCs w:val="20"/>
          <w:rtl/>
        </w:rPr>
        <w:t xml:space="preserve">, 2006) </w:t>
      </w:r>
      <w:r w:rsidRPr="00C763CC">
        <w:rPr>
          <w:rFonts w:hint="cs"/>
          <w:color w:val="000000"/>
          <w:sz w:val="20"/>
          <w:szCs w:val="20"/>
          <w:rtl/>
        </w:rPr>
        <w:t xml:space="preserve">(גיוס תלמידי ישיבות)– אי-התערבות </w:t>
      </w:r>
      <w:r>
        <w:rPr>
          <w:rFonts w:hint="cs"/>
          <w:color w:val="000000"/>
          <w:sz w:val="20"/>
          <w:szCs w:val="20"/>
          <w:rtl/>
        </w:rPr>
        <w:t>("בשלב זה") להצהרה על בטלותו בשל אי-מידתיותו;</w:t>
      </w:r>
      <w:r w:rsidRPr="00C763CC">
        <w:rPr>
          <w:rFonts w:hint="cs"/>
          <w:color w:val="000000"/>
          <w:sz w:val="20"/>
          <w:szCs w:val="20"/>
          <w:rtl/>
        </w:rPr>
        <w:t xml:space="preserve"> </w:t>
      </w:r>
    </w:p>
    <w:p w:rsidR="005366A8" w:rsidRPr="00C763CC" w:rsidRDefault="005366A8" w:rsidP="005366A8">
      <w:pPr>
        <w:spacing w:after="60"/>
        <w:ind w:left="1440" w:hanging="720"/>
        <w:rPr>
          <w:color w:val="000080"/>
          <w:sz w:val="20"/>
          <w:szCs w:val="20"/>
          <w:rtl/>
        </w:rPr>
      </w:pPr>
      <w:r w:rsidRPr="00361CB9">
        <w:rPr>
          <w:rFonts w:hint="cs"/>
          <w:b/>
          <w:bCs/>
          <w:i/>
          <w:iCs/>
          <w:color w:val="000000"/>
          <w:sz w:val="20"/>
          <w:szCs w:val="20"/>
          <w:rtl/>
        </w:rPr>
        <w:t>מקרה חשוב של אי-פסילה:</w:t>
      </w:r>
      <w:r>
        <w:rPr>
          <w:rFonts w:hint="cs"/>
          <w:b/>
          <w:bCs/>
          <w:color w:val="000000"/>
          <w:sz w:val="20"/>
          <w:szCs w:val="20"/>
          <w:rtl/>
        </w:rPr>
        <w:t xml:space="preserve"> </w:t>
      </w:r>
      <w:r w:rsidRPr="00C763CC">
        <w:rPr>
          <w:rFonts w:hint="cs"/>
          <w:b/>
          <w:bCs/>
          <w:i/>
          <w:iCs/>
          <w:color w:val="000000"/>
          <w:sz w:val="20"/>
          <w:szCs w:val="20"/>
          <w:rtl/>
        </w:rPr>
        <w:t>פס"ד חוק האזרחות והכניסה לישראל</w:t>
      </w:r>
      <w:r>
        <w:rPr>
          <w:rFonts w:hint="cs"/>
          <w:b/>
          <w:bCs/>
          <w:i/>
          <w:iCs/>
          <w:color w:val="000000"/>
          <w:sz w:val="20"/>
          <w:szCs w:val="20"/>
          <w:rtl/>
        </w:rPr>
        <w:t xml:space="preserve"> 1</w:t>
      </w:r>
      <w:r w:rsidRPr="00C763CC">
        <w:rPr>
          <w:rFonts w:hint="cs"/>
          <w:color w:val="000000"/>
          <w:sz w:val="20"/>
          <w:szCs w:val="20"/>
          <w:rtl/>
        </w:rPr>
        <w:t xml:space="preserve"> </w:t>
      </w:r>
      <w:r>
        <w:rPr>
          <w:rFonts w:hint="cs"/>
          <w:color w:val="000000"/>
          <w:sz w:val="20"/>
          <w:szCs w:val="20"/>
          <w:rtl/>
        </w:rPr>
        <w:t xml:space="preserve">(מ-2006) </w:t>
      </w:r>
      <w:r w:rsidRPr="00C763CC">
        <w:rPr>
          <w:rFonts w:hint="cs"/>
          <w:color w:val="000000"/>
          <w:sz w:val="20"/>
          <w:szCs w:val="20"/>
          <w:rtl/>
        </w:rPr>
        <w:t>(</w:t>
      </w:r>
      <w:r>
        <w:rPr>
          <w:rFonts w:hint="cs"/>
          <w:color w:val="000000"/>
          <w:sz w:val="20"/>
          <w:szCs w:val="20"/>
          <w:rtl/>
        </w:rPr>
        <w:t xml:space="preserve">הטלת איסור על </w:t>
      </w:r>
      <w:r w:rsidRPr="00C763CC">
        <w:rPr>
          <w:rFonts w:hint="cs"/>
          <w:color w:val="000000"/>
          <w:sz w:val="20"/>
          <w:szCs w:val="20"/>
          <w:rtl/>
        </w:rPr>
        <w:t>איחוד בין בני</w:t>
      </w:r>
      <w:r>
        <w:rPr>
          <w:rFonts w:hint="cs"/>
          <w:color w:val="000000"/>
          <w:sz w:val="20"/>
          <w:szCs w:val="20"/>
          <w:rtl/>
        </w:rPr>
        <w:t>-</w:t>
      </w:r>
      <w:r w:rsidRPr="00C763CC">
        <w:rPr>
          <w:rFonts w:hint="cs"/>
          <w:color w:val="000000"/>
          <w:sz w:val="20"/>
          <w:szCs w:val="20"/>
          <w:rtl/>
        </w:rPr>
        <w:t>זוג</w:t>
      </w:r>
      <w:r>
        <w:rPr>
          <w:rFonts w:hint="cs"/>
          <w:color w:val="000000"/>
          <w:sz w:val="20"/>
          <w:szCs w:val="20"/>
          <w:rtl/>
        </w:rPr>
        <w:t xml:space="preserve"> בישראל, אם אחד מהם הוא פלסטיני מהשטחים או אדם ממדינות אויב, וכן בין </w:t>
      </w:r>
      <w:r w:rsidRPr="00C763CC">
        <w:rPr>
          <w:rFonts w:hint="cs"/>
          <w:color w:val="000000"/>
          <w:sz w:val="20"/>
          <w:szCs w:val="20"/>
          <w:rtl/>
        </w:rPr>
        <w:t>הורים וילדי</w:t>
      </w:r>
      <w:r>
        <w:rPr>
          <w:rFonts w:hint="cs"/>
          <w:color w:val="000000"/>
          <w:sz w:val="20"/>
          <w:szCs w:val="20"/>
          <w:rtl/>
        </w:rPr>
        <w:t>ה</w:t>
      </w:r>
      <w:r w:rsidRPr="00C763CC">
        <w:rPr>
          <w:rFonts w:hint="cs"/>
          <w:color w:val="000000"/>
          <w:sz w:val="20"/>
          <w:szCs w:val="20"/>
          <w:rtl/>
        </w:rPr>
        <w:t>ם</w:t>
      </w:r>
      <w:r>
        <w:rPr>
          <w:rFonts w:hint="cs"/>
          <w:color w:val="000000"/>
          <w:sz w:val="20"/>
          <w:szCs w:val="20"/>
          <w:rtl/>
        </w:rPr>
        <w:t xml:space="preserve"> הקטינים, כשאחד ההורים הוא בן-זוג שכזה)</w:t>
      </w:r>
      <w:r w:rsidRPr="00C763CC">
        <w:rPr>
          <w:rFonts w:hint="cs"/>
          <w:color w:val="000000"/>
          <w:sz w:val="20"/>
          <w:szCs w:val="20"/>
          <w:rtl/>
        </w:rPr>
        <w:t xml:space="preserve">– </w:t>
      </w:r>
      <w:r>
        <w:rPr>
          <w:rFonts w:hint="cs"/>
          <w:color w:val="000000"/>
          <w:sz w:val="20"/>
          <w:szCs w:val="20"/>
          <w:rtl/>
        </w:rPr>
        <w:t xml:space="preserve">החלטת בית המשפט ברוב מאד דחוק: </w:t>
      </w:r>
      <w:r w:rsidRPr="00C763CC">
        <w:rPr>
          <w:rFonts w:hint="cs"/>
          <w:color w:val="000000"/>
          <w:sz w:val="20"/>
          <w:szCs w:val="20"/>
          <w:rtl/>
        </w:rPr>
        <w:t>אי-</w:t>
      </w:r>
      <w:r>
        <w:rPr>
          <w:rFonts w:hint="cs"/>
          <w:color w:val="000000"/>
          <w:sz w:val="20"/>
          <w:szCs w:val="20"/>
          <w:rtl/>
        </w:rPr>
        <w:t>פסילת החוק</w:t>
      </w:r>
      <w:r w:rsidRPr="00C763CC">
        <w:rPr>
          <w:rFonts w:hint="cs"/>
          <w:color w:val="000000"/>
          <w:sz w:val="20"/>
          <w:szCs w:val="20"/>
          <w:rtl/>
        </w:rPr>
        <w:t>]</w:t>
      </w:r>
      <w:r>
        <w:rPr>
          <w:rFonts w:hint="cs"/>
          <w:color w:val="000080"/>
          <w:sz w:val="20"/>
          <w:szCs w:val="20"/>
          <w:rtl/>
        </w:rPr>
        <w:t>;</w:t>
      </w:r>
    </w:p>
    <w:p w:rsidR="005366A8" w:rsidRPr="00C763CC" w:rsidRDefault="005366A8" w:rsidP="005366A8">
      <w:pPr>
        <w:spacing w:after="60"/>
        <w:ind w:left="720" w:hanging="720"/>
        <w:rPr>
          <w:color w:val="000080"/>
          <w:sz w:val="20"/>
          <w:szCs w:val="20"/>
          <w:rtl/>
        </w:rPr>
      </w:pPr>
      <w:r w:rsidRPr="00F826F2">
        <w:rPr>
          <w:rFonts w:hint="cs"/>
          <w:b/>
          <w:bCs/>
          <w:color w:val="000000"/>
          <w:sz w:val="20"/>
          <w:szCs w:val="20"/>
          <w:highlight w:val="yellow"/>
          <w:rtl/>
        </w:rPr>
        <w:t xml:space="preserve">^פס"ד חוק פיצויי אינתיפדה </w:t>
      </w:r>
      <w:r w:rsidRPr="00F826F2">
        <w:rPr>
          <w:rFonts w:hint="cs"/>
          <w:color w:val="000000"/>
          <w:sz w:val="20"/>
          <w:szCs w:val="20"/>
          <w:highlight w:val="yellow"/>
          <w:rtl/>
        </w:rPr>
        <w:t>(2006)</w:t>
      </w:r>
      <w:r w:rsidRPr="00775B74">
        <w:rPr>
          <w:rFonts w:hint="cs"/>
          <w:color w:val="000000"/>
          <w:sz w:val="20"/>
          <w:szCs w:val="20"/>
          <w:rtl/>
        </w:rPr>
        <w:t xml:space="preserve"> </w:t>
      </w:r>
      <w:r w:rsidRPr="00C763CC">
        <w:rPr>
          <w:rFonts w:hint="cs"/>
          <w:b/>
          <w:bCs/>
          <w:color w:val="000000"/>
          <w:sz w:val="20"/>
          <w:szCs w:val="20"/>
          <w:rtl/>
        </w:rPr>
        <w:t xml:space="preserve">– </w:t>
      </w:r>
      <w:r>
        <w:rPr>
          <w:rFonts w:hint="cs"/>
          <w:color w:val="000000"/>
          <w:sz w:val="20"/>
          <w:szCs w:val="20"/>
          <w:rtl/>
        </w:rPr>
        <w:t xml:space="preserve">חוק יסוד: כבוד האדם וחירותו – </w:t>
      </w:r>
      <w:r w:rsidRPr="004E4E22">
        <w:rPr>
          <w:rFonts w:hint="cs"/>
          <w:b/>
          <w:bCs/>
          <w:color w:val="000000"/>
          <w:sz w:val="20"/>
          <w:szCs w:val="20"/>
          <w:rtl/>
        </w:rPr>
        <w:t>ביטול חלקי של הסדר הקבוע בחוק המקנה חסינות למדינה מתביעות נזיקין של פלסטינים:</w:t>
      </w:r>
      <w:r w:rsidRPr="00C763CC">
        <w:rPr>
          <w:rFonts w:hint="cs"/>
          <w:color w:val="000000"/>
          <w:sz w:val="20"/>
          <w:szCs w:val="20"/>
          <w:rtl/>
        </w:rPr>
        <w:t xml:space="preserve"> חוק הנזיקים האזרחיים (אחריות המדינה) (תיקון מס' 7), התשס"ה-2005</w:t>
      </w:r>
      <w:r>
        <w:rPr>
          <w:rFonts w:hint="cs"/>
          <w:color w:val="000080"/>
          <w:sz w:val="20"/>
          <w:szCs w:val="20"/>
          <w:rtl/>
        </w:rPr>
        <w:t>;</w:t>
      </w:r>
    </w:p>
    <w:p w:rsidR="005366A8" w:rsidRPr="004E4E22" w:rsidRDefault="005366A8" w:rsidP="005366A8">
      <w:pPr>
        <w:spacing w:after="60"/>
        <w:ind w:left="720" w:hanging="720"/>
        <w:rPr>
          <w:b/>
          <w:bCs/>
          <w:color w:val="000080"/>
          <w:sz w:val="20"/>
          <w:szCs w:val="20"/>
          <w:rtl/>
        </w:rPr>
      </w:pPr>
      <w:r w:rsidRPr="00F826F2">
        <w:rPr>
          <w:rFonts w:hint="cs"/>
          <w:b/>
          <w:bCs/>
          <w:color w:val="000000"/>
          <w:sz w:val="20"/>
          <w:szCs w:val="20"/>
          <w:highlight w:val="yellow"/>
          <w:rtl/>
        </w:rPr>
        <w:t>^המרכז האקדמי למשפט ולעסקים נ' שר האוצר</w:t>
      </w:r>
      <w:r w:rsidRPr="00C763CC">
        <w:rPr>
          <w:rFonts w:hint="cs"/>
          <w:color w:val="000000"/>
          <w:sz w:val="20"/>
          <w:szCs w:val="20"/>
          <w:rtl/>
        </w:rPr>
        <w:t xml:space="preserve"> (2009) חוק יסוד: כבוד האדם וחירותו </w:t>
      </w:r>
      <w:r>
        <w:rPr>
          <w:rFonts w:hint="cs"/>
          <w:color w:val="000000"/>
          <w:sz w:val="20"/>
          <w:szCs w:val="20"/>
          <w:rtl/>
        </w:rPr>
        <w:t xml:space="preserve">– </w:t>
      </w:r>
      <w:r w:rsidRPr="004E4E22">
        <w:rPr>
          <w:rFonts w:hint="cs"/>
          <w:b/>
          <w:bCs/>
          <w:color w:val="000000"/>
          <w:sz w:val="20"/>
          <w:szCs w:val="20"/>
          <w:rtl/>
        </w:rPr>
        <w:t>פס"ד חוק הכלא הפרטי – ביטול הפעלת כלא על ידי תאגיד פרטי;</w:t>
      </w:r>
    </w:p>
    <w:p w:rsidR="005366A8" w:rsidRPr="00C763CC" w:rsidRDefault="005366A8" w:rsidP="005366A8">
      <w:pPr>
        <w:spacing w:after="60"/>
        <w:ind w:left="720" w:hanging="720"/>
        <w:rPr>
          <w:color w:val="000080"/>
          <w:sz w:val="20"/>
          <w:szCs w:val="20"/>
          <w:rtl/>
        </w:rPr>
      </w:pPr>
      <w:r w:rsidRPr="00F826F2">
        <w:rPr>
          <w:rFonts w:hint="cs"/>
          <w:b/>
          <w:bCs/>
          <w:color w:val="000000"/>
          <w:sz w:val="20"/>
          <w:szCs w:val="20"/>
          <w:highlight w:val="yellow"/>
          <w:rtl/>
        </w:rPr>
        <w:t xml:space="preserve">^פלוני </w:t>
      </w:r>
      <w:r w:rsidRPr="00F826F2">
        <w:rPr>
          <w:rFonts w:hint="cs"/>
          <w:color w:val="000000"/>
          <w:sz w:val="20"/>
          <w:szCs w:val="20"/>
          <w:highlight w:val="yellow"/>
          <w:rtl/>
        </w:rPr>
        <w:t>(2010)</w:t>
      </w:r>
      <w:r w:rsidRPr="00775B74">
        <w:rPr>
          <w:rFonts w:hint="cs"/>
          <w:color w:val="000000"/>
          <w:sz w:val="20"/>
          <w:szCs w:val="20"/>
          <w:rtl/>
        </w:rPr>
        <w:t xml:space="preserve"> </w:t>
      </w:r>
      <w:r w:rsidRPr="00C763CC">
        <w:rPr>
          <w:rFonts w:hint="cs"/>
          <w:b/>
          <w:bCs/>
          <w:color w:val="000000"/>
          <w:sz w:val="20"/>
          <w:szCs w:val="20"/>
          <w:rtl/>
        </w:rPr>
        <w:t xml:space="preserve">– </w:t>
      </w:r>
      <w:r>
        <w:rPr>
          <w:rFonts w:hint="cs"/>
          <w:color w:val="000000"/>
          <w:sz w:val="20"/>
          <w:szCs w:val="20"/>
          <w:rtl/>
        </w:rPr>
        <w:t xml:space="preserve">(אותו כבר פגשנו) </w:t>
      </w:r>
      <w:r w:rsidRPr="00C763CC">
        <w:rPr>
          <w:rFonts w:hint="cs"/>
          <w:color w:val="000000"/>
          <w:sz w:val="20"/>
          <w:szCs w:val="20"/>
          <w:rtl/>
        </w:rPr>
        <w:t xml:space="preserve">חוק יסוד: כבוד האדם וחירותו </w:t>
      </w:r>
      <w:r>
        <w:rPr>
          <w:rFonts w:hint="cs"/>
          <w:color w:val="000000"/>
          <w:sz w:val="20"/>
          <w:szCs w:val="20"/>
          <w:rtl/>
        </w:rPr>
        <w:t xml:space="preserve">– </w:t>
      </w:r>
      <w:r w:rsidRPr="004E4E22">
        <w:rPr>
          <w:rFonts w:hint="cs"/>
          <w:b/>
          <w:bCs/>
          <w:color w:val="000000"/>
          <w:sz w:val="20"/>
          <w:szCs w:val="20"/>
          <w:rtl/>
        </w:rPr>
        <w:t>ביטול הוראת חוק בחוק סדר הדין הפלילי (חשוד בעבירות ביטחון), שעניינה הארכת מעצרו של עצור שלא בנוכחותו</w:t>
      </w:r>
      <w:r>
        <w:rPr>
          <w:rFonts w:hint="cs"/>
          <w:color w:val="000000"/>
          <w:sz w:val="20"/>
          <w:szCs w:val="20"/>
          <w:rtl/>
        </w:rPr>
        <w:t>;</w:t>
      </w:r>
    </w:p>
    <w:p w:rsidR="005366A8" w:rsidRPr="001D3FCE" w:rsidRDefault="005366A8" w:rsidP="005366A8">
      <w:pPr>
        <w:spacing w:after="60"/>
        <w:ind w:left="720" w:hanging="720"/>
        <w:rPr>
          <w:b/>
          <w:bCs/>
          <w:sz w:val="20"/>
          <w:szCs w:val="20"/>
          <w:rtl/>
        </w:rPr>
      </w:pPr>
      <w:r w:rsidRPr="00C763CC">
        <w:rPr>
          <w:rFonts w:hint="cs"/>
          <w:b/>
          <w:bCs/>
          <w:color w:val="000000"/>
          <w:sz w:val="20"/>
          <w:szCs w:val="20"/>
          <w:rtl/>
        </w:rPr>
        <w:t>[</w:t>
      </w:r>
      <w:r>
        <w:rPr>
          <w:rFonts w:hint="cs"/>
          <w:b/>
          <w:bCs/>
          <w:color w:val="000000"/>
          <w:sz w:val="20"/>
          <w:szCs w:val="20"/>
          <w:rtl/>
        </w:rPr>
        <w:t>^</w:t>
      </w:r>
      <w:r w:rsidRPr="00C763CC">
        <w:rPr>
          <w:rFonts w:hint="cs"/>
          <w:b/>
          <w:bCs/>
          <w:color w:val="000000"/>
          <w:sz w:val="20"/>
          <w:szCs w:val="20"/>
          <w:rtl/>
        </w:rPr>
        <w:t xml:space="preserve">יקותיאלי </w:t>
      </w:r>
      <w:r w:rsidRPr="00775B74">
        <w:rPr>
          <w:rFonts w:hint="cs"/>
          <w:color w:val="000000"/>
          <w:sz w:val="20"/>
          <w:szCs w:val="20"/>
          <w:rtl/>
        </w:rPr>
        <w:t>(2010)</w:t>
      </w:r>
      <w:r>
        <w:rPr>
          <w:rFonts w:hint="cs"/>
          <w:color w:val="000000"/>
          <w:sz w:val="20"/>
          <w:szCs w:val="20"/>
          <w:rtl/>
        </w:rPr>
        <w:t xml:space="preserve"> </w:t>
      </w:r>
      <w:r w:rsidRPr="00C763CC">
        <w:rPr>
          <w:rFonts w:hint="cs"/>
          <w:b/>
          <w:bCs/>
          <w:color w:val="000000"/>
          <w:sz w:val="20"/>
          <w:szCs w:val="20"/>
          <w:rtl/>
        </w:rPr>
        <w:t xml:space="preserve">– </w:t>
      </w:r>
      <w:r w:rsidRPr="004E4E22">
        <w:rPr>
          <w:rFonts w:hint="cs"/>
          <w:b/>
          <w:bCs/>
          <w:color w:val="000000"/>
          <w:sz w:val="20"/>
          <w:szCs w:val="20"/>
          <w:rtl/>
        </w:rPr>
        <w:t>פסילת הוראה בחוק התקציב</w:t>
      </w:r>
      <w:r w:rsidRPr="00C763CC">
        <w:rPr>
          <w:rFonts w:hint="cs"/>
          <w:color w:val="000000"/>
          <w:sz w:val="20"/>
          <w:szCs w:val="20"/>
          <w:rtl/>
        </w:rPr>
        <w:t xml:space="preserve"> בשל </w:t>
      </w:r>
      <w:r w:rsidRPr="00F826F2">
        <w:rPr>
          <w:rFonts w:hint="cs"/>
          <w:b/>
          <w:bCs/>
          <w:color w:val="000000"/>
          <w:sz w:val="20"/>
          <w:szCs w:val="20"/>
          <w:rtl/>
        </w:rPr>
        <w:t>התנגשות עם חוק יסודות התקציב (שאינו חוק יסוד)</w:t>
      </w:r>
      <w:r>
        <w:rPr>
          <w:rFonts w:hint="cs"/>
          <w:color w:val="000000"/>
          <w:sz w:val="20"/>
          <w:szCs w:val="20"/>
          <w:rtl/>
        </w:rPr>
        <w:t>; ניתוח סבוך, נטפל בו מעט בהמשך</w:t>
      </w:r>
      <w:r w:rsidRPr="003A56F0">
        <w:rPr>
          <w:rFonts w:hint="cs"/>
          <w:b/>
          <w:bCs/>
          <w:color w:val="000080"/>
          <w:sz w:val="20"/>
          <w:szCs w:val="20"/>
          <w:rtl/>
        </w:rPr>
        <w:t>]</w:t>
      </w:r>
      <w:r>
        <w:rPr>
          <w:rFonts w:hint="cs"/>
          <w:b/>
          <w:bCs/>
          <w:color w:val="000080"/>
          <w:sz w:val="20"/>
          <w:szCs w:val="20"/>
          <w:rtl/>
        </w:rPr>
        <w:t>;</w:t>
      </w:r>
    </w:p>
    <w:p w:rsidR="005366A8" w:rsidRPr="001D3FCE" w:rsidRDefault="005366A8" w:rsidP="005366A8">
      <w:pPr>
        <w:spacing w:after="60"/>
        <w:ind w:left="720" w:hanging="720"/>
        <w:rPr>
          <w:sz w:val="20"/>
          <w:szCs w:val="20"/>
          <w:rtl/>
        </w:rPr>
      </w:pPr>
      <w:r w:rsidRPr="00B156DC">
        <w:rPr>
          <w:rFonts w:hint="cs"/>
          <w:b/>
          <w:bCs/>
          <w:sz w:val="20"/>
          <w:szCs w:val="20"/>
          <w:rtl/>
        </w:rPr>
        <w:t>^</w:t>
      </w:r>
      <w:r w:rsidRPr="00F826F2">
        <w:rPr>
          <w:rFonts w:hint="cs"/>
          <w:b/>
          <w:bCs/>
          <w:sz w:val="20"/>
          <w:szCs w:val="20"/>
          <w:highlight w:val="yellow"/>
          <w:rtl/>
        </w:rPr>
        <w:t>חוק טל 2</w:t>
      </w:r>
      <w:r w:rsidRPr="001D3FCE">
        <w:rPr>
          <w:rFonts w:hint="cs"/>
          <w:b/>
          <w:bCs/>
          <w:sz w:val="20"/>
          <w:szCs w:val="20"/>
          <w:rtl/>
        </w:rPr>
        <w:t xml:space="preserve"> </w:t>
      </w:r>
      <w:r w:rsidRPr="00775B74">
        <w:rPr>
          <w:rFonts w:hint="cs"/>
          <w:sz w:val="20"/>
          <w:szCs w:val="20"/>
          <w:rtl/>
        </w:rPr>
        <w:t xml:space="preserve">(פס"ד </w:t>
      </w:r>
      <w:r w:rsidRPr="00775B74">
        <w:rPr>
          <w:rFonts w:hint="cs"/>
          <w:b/>
          <w:bCs/>
          <w:sz w:val="20"/>
          <w:szCs w:val="20"/>
          <w:rtl/>
        </w:rPr>
        <w:t>רסלר</w:t>
      </w:r>
      <w:r w:rsidRPr="00775B74">
        <w:rPr>
          <w:rFonts w:hint="cs"/>
          <w:sz w:val="20"/>
          <w:szCs w:val="20"/>
          <w:rtl/>
        </w:rPr>
        <w:t>, 2012)</w:t>
      </w:r>
      <w:r w:rsidRPr="001D3FCE">
        <w:rPr>
          <w:rFonts w:hint="cs"/>
          <w:b/>
          <w:bCs/>
          <w:sz w:val="20"/>
          <w:szCs w:val="20"/>
          <w:rtl/>
        </w:rPr>
        <w:t xml:space="preserve"> </w:t>
      </w:r>
      <w:r>
        <w:rPr>
          <w:b/>
          <w:bCs/>
          <w:sz w:val="20"/>
          <w:szCs w:val="20"/>
          <w:rtl/>
        </w:rPr>
        <w:t>–</w:t>
      </w:r>
      <w:r>
        <w:rPr>
          <w:rFonts w:hint="cs"/>
          <w:b/>
          <w:bCs/>
          <w:sz w:val="20"/>
          <w:szCs w:val="20"/>
          <w:rtl/>
        </w:rPr>
        <w:t xml:space="preserve"> </w:t>
      </w:r>
      <w:r w:rsidRPr="001D3FCE">
        <w:rPr>
          <w:rFonts w:hint="cs"/>
          <w:sz w:val="20"/>
          <w:szCs w:val="20"/>
          <w:rtl/>
        </w:rPr>
        <w:t xml:space="preserve">חוק יסוד: כבוד האדם וחירותו – אי גיוס תלמידי ישיבות – </w:t>
      </w:r>
      <w:r w:rsidRPr="004E4E22">
        <w:rPr>
          <w:rFonts w:hint="cs"/>
          <w:b/>
          <w:bCs/>
          <w:sz w:val="20"/>
          <w:szCs w:val="20"/>
          <w:rtl/>
        </w:rPr>
        <w:t>ביטול חוק טל</w:t>
      </w:r>
      <w:r w:rsidRPr="001D3FCE">
        <w:rPr>
          <w:rFonts w:hint="cs"/>
          <w:sz w:val="20"/>
          <w:szCs w:val="20"/>
          <w:rtl/>
        </w:rPr>
        <w:t>;</w:t>
      </w:r>
    </w:p>
    <w:p w:rsidR="005366A8" w:rsidRPr="001D3FCE" w:rsidRDefault="005366A8" w:rsidP="005366A8">
      <w:pPr>
        <w:spacing w:after="60"/>
        <w:ind w:left="720" w:hanging="720"/>
        <w:rPr>
          <w:sz w:val="20"/>
          <w:szCs w:val="20"/>
          <w:rtl/>
        </w:rPr>
      </w:pPr>
      <w:r>
        <w:rPr>
          <w:rFonts w:hint="cs"/>
          <w:b/>
          <w:bCs/>
          <w:sz w:val="20"/>
          <w:szCs w:val="20"/>
          <w:rtl/>
        </w:rPr>
        <w:t>^</w:t>
      </w:r>
      <w:r w:rsidRPr="00F826F2">
        <w:rPr>
          <w:rFonts w:hint="cs"/>
          <w:b/>
          <w:bCs/>
          <w:sz w:val="20"/>
          <w:szCs w:val="20"/>
          <w:highlight w:val="yellow"/>
          <w:rtl/>
        </w:rPr>
        <w:t xml:space="preserve">חסן </w:t>
      </w:r>
      <w:r w:rsidRPr="00F826F2">
        <w:rPr>
          <w:rFonts w:hint="cs"/>
          <w:sz w:val="20"/>
          <w:szCs w:val="20"/>
          <w:highlight w:val="yellow"/>
          <w:rtl/>
        </w:rPr>
        <w:t>(2012</w:t>
      </w:r>
      <w:r w:rsidRPr="00775B74">
        <w:rPr>
          <w:rFonts w:hint="cs"/>
          <w:sz w:val="20"/>
          <w:szCs w:val="20"/>
          <w:rtl/>
        </w:rPr>
        <w:t>)</w:t>
      </w:r>
      <w:r w:rsidRPr="001D3FCE">
        <w:rPr>
          <w:rFonts w:hint="cs"/>
          <w:b/>
          <w:bCs/>
          <w:sz w:val="20"/>
          <w:szCs w:val="20"/>
          <w:rtl/>
        </w:rPr>
        <w:t xml:space="preserve"> </w:t>
      </w:r>
      <w:r>
        <w:rPr>
          <w:b/>
          <w:bCs/>
          <w:sz w:val="20"/>
          <w:szCs w:val="20"/>
          <w:rtl/>
        </w:rPr>
        <w:t>–</w:t>
      </w:r>
      <w:r>
        <w:rPr>
          <w:rFonts w:hint="cs"/>
          <w:b/>
          <w:bCs/>
          <w:sz w:val="20"/>
          <w:szCs w:val="20"/>
          <w:rtl/>
        </w:rPr>
        <w:t xml:space="preserve"> </w:t>
      </w:r>
      <w:r w:rsidRPr="001D3FCE">
        <w:rPr>
          <w:rFonts w:hint="cs"/>
          <w:sz w:val="20"/>
          <w:szCs w:val="20"/>
          <w:rtl/>
        </w:rPr>
        <w:t xml:space="preserve">חוק יסוד: כבוד האדם וחירותו – ביטול הוראה בחוק הבטחת הכנסה, שהתנתה </w:t>
      </w:r>
      <w:r>
        <w:rPr>
          <w:rFonts w:hint="cs"/>
          <w:sz w:val="20"/>
          <w:szCs w:val="20"/>
          <w:rtl/>
        </w:rPr>
        <w:t>באופן</w:t>
      </w:r>
      <w:r w:rsidRPr="001D3FCE">
        <w:rPr>
          <w:rFonts w:hint="cs"/>
          <w:sz w:val="20"/>
          <w:szCs w:val="20"/>
          <w:rtl/>
        </w:rPr>
        <w:t>גמלת הבטחת הכנסה באופן גורף בהיעדר בעלות במכונית או החזקה/שימוש במכונית;</w:t>
      </w:r>
    </w:p>
    <w:p w:rsidR="005366A8" w:rsidRDefault="005366A8" w:rsidP="005366A8">
      <w:pPr>
        <w:spacing w:after="60"/>
        <w:ind w:left="720" w:hanging="720"/>
        <w:rPr>
          <w:sz w:val="20"/>
          <w:szCs w:val="20"/>
          <w:rtl/>
        </w:rPr>
      </w:pPr>
      <w:r w:rsidRPr="001D3FCE">
        <w:rPr>
          <w:rFonts w:hint="cs"/>
          <w:sz w:val="20"/>
          <w:szCs w:val="20"/>
          <w:rtl/>
        </w:rPr>
        <w:t>^</w:t>
      </w:r>
      <w:r w:rsidRPr="00F826F2">
        <w:rPr>
          <w:rFonts w:hint="cs"/>
          <w:b/>
          <w:bCs/>
          <w:sz w:val="20"/>
          <w:szCs w:val="20"/>
          <w:highlight w:val="yellow"/>
          <w:rtl/>
        </w:rPr>
        <w:t xml:space="preserve">נסר </w:t>
      </w:r>
      <w:r w:rsidRPr="00F826F2">
        <w:rPr>
          <w:rFonts w:hint="cs"/>
          <w:sz w:val="20"/>
          <w:szCs w:val="20"/>
          <w:highlight w:val="yellow"/>
          <w:rtl/>
        </w:rPr>
        <w:t>(2012)</w:t>
      </w:r>
      <w:r w:rsidRPr="001D3FCE">
        <w:rPr>
          <w:rFonts w:hint="cs"/>
          <w:b/>
          <w:bCs/>
          <w:sz w:val="20"/>
          <w:szCs w:val="20"/>
          <w:rtl/>
        </w:rPr>
        <w:t xml:space="preserve"> </w:t>
      </w:r>
      <w:r>
        <w:rPr>
          <w:b/>
          <w:bCs/>
          <w:sz w:val="20"/>
          <w:szCs w:val="20"/>
          <w:rtl/>
        </w:rPr>
        <w:t>–</w:t>
      </w:r>
      <w:r>
        <w:rPr>
          <w:rFonts w:hint="cs"/>
          <w:b/>
          <w:bCs/>
          <w:sz w:val="20"/>
          <w:szCs w:val="20"/>
          <w:rtl/>
        </w:rPr>
        <w:t xml:space="preserve"> </w:t>
      </w:r>
      <w:r w:rsidRPr="001D3FCE">
        <w:rPr>
          <w:rFonts w:hint="cs"/>
          <w:sz w:val="20"/>
          <w:szCs w:val="20"/>
          <w:rtl/>
        </w:rPr>
        <w:t>חוק יסוד: כבוד האדם וחירותו - סוגיית תקפותה של תוספת לפקודת מס הכנסה שהעניקה פטור חלקי ומפלה מתשלום מס הכנסה לתושביהם של ישובים מסוימים ולא אחרים.</w:t>
      </w:r>
    </w:p>
    <w:p w:rsidR="005366A8" w:rsidRDefault="005366A8" w:rsidP="005366A8">
      <w:pPr>
        <w:spacing w:after="60"/>
        <w:ind w:left="1440" w:hanging="720"/>
        <w:rPr>
          <w:color w:val="000000"/>
          <w:sz w:val="20"/>
          <w:szCs w:val="20"/>
          <w:rtl/>
        </w:rPr>
      </w:pPr>
      <w:r w:rsidRPr="001D3FCE">
        <w:rPr>
          <w:rFonts w:hint="cs"/>
          <w:color w:val="000000"/>
          <w:sz w:val="20"/>
          <w:szCs w:val="20"/>
          <w:rtl/>
        </w:rPr>
        <w:t>[</w:t>
      </w:r>
      <w:r w:rsidRPr="00C763CC">
        <w:rPr>
          <w:rFonts w:hint="cs"/>
          <w:b/>
          <w:bCs/>
          <w:i/>
          <w:iCs/>
          <w:color w:val="000000"/>
          <w:sz w:val="20"/>
          <w:szCs w:val="20"/>
          <w:rtl/>
        </w:rPr>
        <w:t>פס"ד חוק האזרחות והכניסה לישראל</w:t>
      </w:r>
      <w:r>
        <w:rPr>
          <w:rFonts w:hint="cs"/>
          <w:b/>
          <w:bCs/>
          <w:i/>
          <w:iCs/>
          <w:color w:val="000000"/>
          <w:sz w:val="20"/>
          <w:szCs w:val="20"/>
          <w:rtl/>
        </w:rPr>
        <w:t xml:space="preserve"> 2</w:t>
      </w:r>
      <w:r w:rsidRPr="00C763CC">
        <w:rPr>
          <w:rFonts w:hint="cs"/>
          <w:color w:val="000000"/>
          <w:sz w:val="20"/>
          <w:szCs w:val="20"/>
          <w:rtl/>
        </w:rPr>
        <w:t xml:space="preserve"> </w:t>
      </w:r>
      <w:r>
        <w:rPr>
          <w:rFonts w:hint="cs"/>
          <w:color w:val="000000"/>
          <w:sz w:val="20"/>
          <w:szCs w:val="20"/>
          <w:rtl/>
        </w:rPr>
        <w:t xml:space="preserve">(2012) </w:t>
      </w:r>
      <w:r w:rsidRPr="00C763CC">
        <w:rPr>
          <w:rFonts w:hint="cs"/>
          <w:color w:val="000000"/>
          <w:sz w:val="20"/>
          <w:szCs w:val="20"/>
          <w:rtl/>
        </w:rPr>
        <w:t>(</w:t>
      </w:r>
      <w:r>
        <w:rPr>
          <w:rFonts w:hint="cs"/>
          <w:color w:val="000000"/>
          <w:sz w:val="20"/>
          <w:szCs w:val="20"/>
          <w:rtl/>
        </w:rPr>
        <w:t xml:space="preserve">ראו לעיל) </w:t>
      </w:r>
      <w:r w:rsidRPr="00C763CC">
        <w:rPr>
          <w:rFonts w:hint="cs"/>
          <w:color w:val="000000"/>
          <w:sz w:val="20"/>
          <w:szCs w:val="20"/>
          <w:rtl/>
        </w:rPr>
        <w:t xml:space="preserve">– </w:t>
      </w:r>
      <w:r>
        <w:rPr>
          <w:rFonts w:hint="cs"/>
          <w:color w:val="000000"/>
          <w:sz w:val="20"/>
          <w:szCs w:val="20"/>
          <w:rtl/>
        </w:rPr>
        <w:t xml:space="preserve">החלטה מחודשת של בית המשפט, שוב ברוב דחוק מאד: </w:t>
      </w:r>
      <w:r w:rsidRPr="00C763CC">
        <w:rPr>
          <w:rFonts w:hint="cs"/>
          <w:color w:val="000000"/>
          <w:sz w:val="20"/>
          <w:szCs w:val="20"/>
          <w:rtl/>
        </w:rPr>
        <w:t>אי-</w:t>
      </w:r>
      <w:r>
        <w:rPr>
          <w:rFonts w:hint="cs"/>
          <w:color w:val="000000"/>
          <w:sz w:val="20"/>
          <w:szCs w:val="20"/>
          <w:rtl/>
        </w:rPr>
        <w:t>פסילת החוק</w:t>
      </w:r>
      <w:r w:rsidRPr="00C763CC">
        <w:rPr>
          <w:rFonts w:hint="cs"/>
          <w:color w:val="000000"/>
          <w:sz w:val="20"/>
          <w:szCs w:val="20"/>
          <w:rtl/>
        </w:rPr>
        <w:t>]</w:t>
      </w:r>
    </w:p>
    <w:p w:rsidR="005366A8" w:rsidRDefault="005366A8" w:rsidP="005366A8">
      <w:pPr>
        <w:spacing w:after="60"/>
        <w:ind w:left="720" w:hanging="720"/>
        <w:rPr>
          <w:sz w:val="20"/>
          <w:szCs w:val="20"/>
          <w:rtl/>
        </w:rPr>
      </w:pPr>
      <w:r>
        <w:rPr>
          <w:rFonts w:hint="cs"/>
          <w:color w:val="000000"/>
          <w:sz w:val="20"/>
          <w:szCs w:val="20"/>
          <w:rtl/>
        </w:rPr>
        <w:t>^</w:t>
      </w:r>
      <w:r w:rsidRPr="00F826F2">
        <w:rPr>
          <w:rFonts w:hint="cs"/>
          <w:b/>
          <w:bCs/>
          <w:color w:val="000000"/>
          <w:sz w:val="20"/>
          <w:szCs w:val="20"/>
          <w:highlight w:val="yellow"/>
          <w:rtl/>
        </w:rPr>
        <w:t>אדם</w:t>
      </w:r>
      <w:r w:rsidRPr="00F826F2">
        <w:rPr>
          <w:rFonts w:hint="cs"/>
          <w:color w:val="000000"/>
          <w:sz w:val="20"/>
          <w:szCs w:val="20"/>
          <w:highlight w:val="yellow"/>
          <w:rtl/>
        </w:rPr>
        <w:t xml:space="preserve"> (2013)</w:t>
      </w:r>
      <w:r>
        <w:rPr>
          <w:rFonts w:hint="cs"/>
          <w:color w:val="000000"/>
          <w:sz w:val="20"/>
          <w:szCs w:val="20"/>
          <w:rtl/>
        </w:rPr>
        <w:t xml:space="preserve"> </w:t>
      </w:r>
      <w:r>
        <w:rPr>
          <w:color w:val="000000"/>
          <w:sz w:val="20"/>
          <w:szCs w:val="20"/>
          <w:rtl/>
        </w:rPr>
        <w:t>–</w:t>
      </w:r>
      <w:r>
        <w:rPr>
          <w:rFonts w:hint="cs"/>
          <w:color w:val="000000"/>
          <w:sz w:val="20"/>
          <w:szCs w:val="20"/>
          <w:rtl/>
        </w:rPr>
        <w:t xml:space="preserve"> חוק יסוד: כבוד האדם וחירותו </w:t>
      </w:r>
      <w:r>
        <w:rPr>
          <w:color w:val="000000"/>
          <w:sz w:val="20"/>
          <w:szCs w:val="20"/>
          <w:rtl/>
        </w:rPr>
        <w:t>–</w:t>
      </w:r>
      <w:r>
        <w:rPr>
          <w:rFonts w:hint="cs"/>
          <w:color w:val="000000"/>
          <w:sz w:val="20"/>
          <w:szCs w:val="20"/>
          <w:rtl/>
        </w:rPr>
        <w:t xml:space="preserve"> פסילתו של תיקון מס' 3 </w:t>
      </w:r>
      <w:r w:rsidRPr="00B90A54">
        <w:rPr>
          <w:rFonts w:hint="cs"/>
          <w:color w:val="000000"/>
          <w:sz w:val="20"/>
          <w:szCs w:val="20"/>
          <w:rtl/>
        </w:rPr>
        <w:t>לחוק למניעת הסתננות (עבירות ושיפוט), התשי"ד-</w:t>
      </w:r>
      <w:r>
        <w:rPr>
          <w:rFonts w:hint="cs"/>
          <w:color w:val="000000"/>
          <w:sz w:val="20"/>
          <w:szCs w:val="20"/>
          <w:rtl/>
        </w:rPr>
        <w:t>1954 בעניין כליאתם של מסתננים/ מבקשי מקלט.</w:t>
      </w:r>
    </w:p>
    <w:p w:rsidR="005366A8" w:rsidRPr="001D3FCE" w:rsidRDefault="005366A8" w:rsidP="005366A8">
      <w:pPr>
        <w:spacing w:after="60"/>
        <w:ind w:left="720" w:hanging="720"/>
        <w:rPr>
          <w:sz w:val="20"/>
          <w:szCs w:val="20"/>
          <w:rtl/>
        </w:rPr>
      </w:pPr>
      <w:r>
        <w:rPr>
          <w:rFonts w:hint="cs"/>
          <w:sz w:val="20"/>
          <w:szCs w:val="20"/>
          <w:rtl/>
        </w:rPr>
        <w:t>^</w:t>
      </w:r>
      <w:r w:rsidRPr="00DF5B95">
        <w:rPr>
          <w:rFonts w:hint="cs"/>
          <w:b/>
          <w:bCs/>
          <w:sz w:val="20"/>
          <w:szCs w:val="20"/>
          <w:highlight w:val="yellow"/>
          <w:rtl/>
        </w:rPr>
        <w:t>איתן/ גבריסלאסי</w:t>
      </w:r>
      <w:r>
        <w:rPr>
          <w:rFonts w:hint="cs"/>
          <w:sz w:val="20"/>
          <w:szCs w:val="20"/>
          <w:rtl/>
        </w:rPr>
        <w:t xml:space="preserve"> (2014) </w:t>
      </w:r>
      <w:r>
        <w:rPr>
          <w:rFonts w:hint="cs"/>
          <w:color w:val="000000"/>
          <w:sz w:val="20"/>
          <w:szCs w:val="20"/>
          <w:rtl/>
        </w:rPr>
        <w:t xml:space="preserve">– חוק יסוד: כבוד האדם וחירותו </w:t>
      </w:r>
      <w:r>
        <w:rPr>
          <w:color w:val="000000"/>
          <w:sz w:val="20"/>
          <w:szCs w:val="20"/>
          <w:rtl/>
        </w:rPr>
        <w:t>–</w:t>
      </w:r>
      <w:r>
        <w:rPr>
          <w:rFonts w:hint="cs"/>
          <w:color w:val="000000"/>
          <w:sz w:val="20"/>
          <w:szCs w:val="20"/>
          <w:rtl/>
        </w:rPr>
        <w:t xml:space="preserve"> פסילתו של תיקון מס' 4 </w:t>
      </w:r>
      <w:r w:rsidRPr="00B90A54">
        <w:rPr>
          <w:rFonts w:hint="cs"/>
          <w:color w:val="000000"/>
          <w:sz w:val="20"/>
          <w:szCs w:val="20"/>
          <w:rtl/>
        </w:rPr>
        <w:t>לחוק למניעת הסתננות (עבירות ושיפוט), התשי"ד-</w:t>
      </w:r>
      <w:r>
        <w:rPr>
          <w:rFonts w:hint="cs"/>
          <w:color w:val="000000"/>
          <w:sz w:val="20"/>
          <w:szCs w:val="20"/>
          <w:rtl/>
        </w:rPr>
        <w:t xml:space="preserve">1954, שהוחק לאחר פסק דין </w:t>
      </w:r>
      <w:r w:rsidRPr="00DF5B95">
        <w:rPr>
          <w:rFonts w:hint="cs"/>
          <w:b/>
          <w:bCs/>
          <w:color w:val="000000"/>
          <w:sz w:val="20"/>
          <w:szCs w:val="20"/>
          <w:rtl/>
        </w:rPr>
        <w:t>אדם</w:t>
      </w:r>
      <w:r>
        <w:rPr>
          <w:rFonts w:hint="cs"/>
          <w:color w:val="000000"/>
          <w:sz w:val="20"/>
          <w:szCs w:val="20"/>
          <w:rtl/>
        </w:rPr>
        <w:t>, בעניין כליאתם של מסתננים/ מבקשי מקלט.</w:t>
      </w:r>
    </w:p>
    <w:p w:rsidR="005366A8" w:rsidRDefault="005366A8" w:rsidP="005366A8">
      <w:pPr>
        <w:spacing w:after="60"/>
        <w:rPr>
          <w:color w:val="000080"/>
          <w:sz w:val="20"/>
          <w:szCs w:val="20"/>
          <w:rtl/>
        </w:rPr>
      </w:pPr>
    </w:p>
    <w:p w:rsidR="005366A8" w:rsidRPr="001D3FCE" w:rsidRDefault="005366A8" w:rsidP="005366A8">
      <w:pPr>
        <w:spacing w:after="60"/>
        <w:rPr>
          <w:sz w:val="20"/>
          <w:szCs w:val="20"/>
          <w:rtl/>
        </w:rPr>
      </w:pPr>
      <w:r w:rsidRPr="0067113C">
        <w:rPr>
          <w:rFonts w:hint="cs"/>
          <w:b/>
          <w:bCs/>
          <w:sz w:val="20"/>
          <w:szCs w:val="20"/>
          <w:highlight w:val="yellow"/>
          <w:u w:val="single"/>
          <w:rtl/>
        </w:rPr>
        <w:t>סיכום ביניים:</w:t>
      </w:r>
      <w:r>
        <w:rPr>
          <w:rFonts w:hint="cs"/>
          <w:sz w:val="20"/>
          <w:szCs w:val="20"/>
          <w:highlight w:val="yellow"/>
          <w:rtl/>
        </w:rPr>
        <w:t xml:space="preserve"> במשך </w:t>
      </w:r>
      <w:r w:rsidRPr="001D3FCE">
        <w:rPr>
          <w:rFonts w:hint="cs"/>
          <w:sz w:val="20"/>
          <w:szCs w:val="20"/>
          <w:highlight w:val="yellow"/>
          <w:rtl/>
        </w:rPr>
        <w:t>1</w:t>
      </w:r>
      <w:r>
        <w:rPr>
          <w:rFonts w:hint="cs"/>
          <w:sz w:val="20"/>
          <w:szCs w:val="20"/>
          <w:highlight w:val="yellow"/>
          <w:rtl/>
        </w:rPr>
        <w:t>9</w:t>
      </w:r>
      <w:r w:rsidRPr="001D3FCE">
        <w:rPr>
          <w:rFonts w:hint="cs"/>
          <w:sz w:val="20"/>
          <w:szCs w:val="20"/>
          <w:highlight w:val="yellow"/>
          <w:rtl/>
        </w:rPr>
        <w:t xml:space="preserve"> </w:t>
      </w:r>
      <w:r>
        <w:rPr>
          <w:rFonts w:hint="cs"/>
          <w:sz w:val="20"/>
          <w:szCs w:val="20"/>
          <w:highlight w:val="yellow"/>
          <w:rtl/>
        </w:rPr>
        <w:t>ה</w:t>
      </w:r>
      <w:r w:rsidRPr="001D3FCE">
        <w:rPr>
          <w:rFonts w:hint="cs"/>
          <w:sz w:val="20"/>
          <w:szCs w:val="20"/>
          <w:highlight w:val="yellow"/>
          <w:rtl/>
        </w:rPr>
        <w:t xml:space="preserve">שנים </w:t>
      </w:r>
      <w:r>
        <w:rPr>
          <w:rFonts w:hint="cs"/>
          <w:sz w:val="20"/>
          <w:szCs w:val="20"/>
          <w:highlight w:val="yellow"/>
          <w:rtl/>
        </w:rPr>
        <w:t>מאז</w:t>
      </w:r>
      <w:r w:rsidRPr="001D3FCE">
        <w:rPr>
          <w:rFonts w:hint="cs"/>
          <w:sz w:val="20"/>
          <w:szCs w:val="20"/>
          <w:highlight w:val="yellow"/>
          <w:rtl/>
        </w:rPr>
        <w:t xml:space="preserve"> </w:t>
      </w:r>
      <w:r w:rsidRPr="0067113C">
        <w:rPr>
          <w:rFonts w:hint="cs"/>
          <w:b/>
          <w:bCs/>
          <w:sz w:val="20"/>
          <w:szCs w:val="20"/>
          <w:highlight w:val="yellow"/>
          <w:rtl/>
        </w:rPr>
        <w:t>בנק המזרחי</w:t>
      </w:r>
      <w:r w:rsidRPr="001D3FCE">
        <w:rPr>
          <w:rFonts w:hint="cs"/>
          <w:sz w:val="20"/>
          <w:szCs w:val="20"/>
          <w:highlight w:val="yellow"/>
          <w:rtl/>
        </w:rPr>
        <w:t xml:space="preserve">, מופיעות </w:t>
      </w:r>
      <w:r>
        <w:rPr>
          <w:rFonts w:hint="cs"/>
          <w:sz w:val="20"/>
          <w:szCs w:val="20"/>
          <w:highlight w:val="yellow"/>
          <w:rtl/>
        </w:rPr>
        <w:t xml:space="preserve">14 </w:t>
      </w:r>
      <w:r w:rsidRPr="001D3FCE">
        <w:rPr>
          <w:rFonts w:hint="cs"/>
          <w:sz w:val="20"/>
          <w:szCs w:val="20"/>
          <w:highlight w:val="yellow"/>
          <w:rtl/>
        </w:rPr>
        <w:t>(</w:t>
      </w:r>
      <w:r>
        <w:rPr>
          <w:rFonts w:hint="cs"/>
          <w:sz w:val="20"/>
          <w:szCs w:val="20"/>
          <w:highlight w:val="yellow"/>
          <w:rtl/>
        </w:rPr>
        <w:t xml:space="preserve">אם כוללים גם את פס"ד </w:t>
      </w:r>
      <w:r w:rsidRPr="00096723">
        <w:rPr>
          <w:rFonts w:hint="cs"/>
          <w:b/>
          <w:bCs/>
          <w:sz w:val="20"/>
          <w:szCs w:val="20"/>
          <w:highlight w:val="yellow"/>
          <w:rtl/>
        </w:rPr>
        <w:t>חירות</w:t>
      </w:r>
      <w:r w:rsidRPr="001D3FCE">
        <w:rPr>
          <w:rFonts w:hint="cs"/>
          <w:sz w:val="20"/>
          <w:szCs w:val="20"/>
          <w:highlight w:val="yellow"/>
          <w:rtl/>
        </w:rPr>
        <w:t xml:space="preserve">) התערבויות חוקתיות </w:t>
      </w:r>
      <w:r>
        <w:rPr>
          <w:sz w:val="20"/>
          <w:szCs w:val="20"/>
          <w:highlight w:val="yellow"/>
          <w:rtl/>
        </w:rPr>
        <w:t>–</w:t>
      </w:r>
      <w:r w:rsidRPr="001D3FCE">
        <w:rPr>
          <w:rFonts w:hint="cs"/>
          <w:sz w:val="20"/>
          <w:szCs w:val="20"/>
          <w:highlight w:val="yellow"/>
          <w:rtl/>
        </w:rPr>
        <w:t xml:space="preserve"> </w:t>
      </w:r>
      <w:r>
        <w:rPr>
          <w:rFonts w:hint="cs"/>
          <w:sz w:val="20"/>
          <w:szCs w:val="20"/>
          <w:highlight w:val="yellow"/>
          <w:rtl/>
        </w:rPr>
        <w:t xml:space="preserve">משמע, </w:t>
      </w:r>
      <w:r w:rsidRPr="001D3FCE">
        <w:rPr>
          <w:rFonts w:hint="cs"/>
          <w:sz w:val="20"/>
          <w:szCs w:val="20"/>
          <w:highlight w:val="yellow"/>
          <w:rtl/>
        </w:rPr>
        <w:t>פסילת הוראות חוק על ידי בית המשפט.</w:t>
      </w:r>
    </w:p>
    <w:p w:rsidR="005366A8" w:rsidRPr="001D3FCE" w:rsidRDefault="005366A8" w:rsidP="005366A8">
      <w:pPr>
        <w:spacing w:after="60"/>
        <w:rPr>
          <w:sz w:val="20"/>
          <w:szCs w:val="20"/>
          <w:rtl/>
        </w:rPr>
      </w:pPr>
    </w:p>
    <w:p w:rsidR="005366A8" w:rsidRDefault="005366A8" w:rsidP="005366A8">
      <w:pPr>
        <w:pStyle w:val="ruller40"/>
        <w:spacing w:after="60" w:line="240" w:lineRule="auto"/>
        <w:rPr>
          <w:rFonts w:ascii="Arial" w:hAnsi="Arial" w:cs="Arial"/>
          <w:sz w:val="18"/>
          <w:szCs w:val="18"/>
          <w:rtl/>
        </w:rPr>
      </w:pPr>
      <w:r w:rsidRPr="00A05C31">
        <w:rPr>
          <w:rFonts w:ascii="Arial" w:hAnsi="Arial" w:cs="Arial" w:hint="cs"/>
          <w:b/>
          <w:bCs/>
          <w:sz w:val="18"/>
          <w:szCs w:val="18"/>
          <w:rtl/>
        </w:rPr>
        <w:t xml:space="preserve">משפט השוואתי: </w:t>
      </w:r>
    </w:p>
    <w:p w:rsidR="005366A8" w:rsidRPr="00A05C31" w:rsidRDefault="005366A8" w:rsidP="005366A8">
      <w:pPr>
        <w:pStyle w:val="ruller40"/>
        <w:spacing w:after="60" w:line="240" w:lineRule="auto"/>
        <w:ind w:left="720"/>
        <w:rPr>
          <w:rFonts w:ascii="Arial" w:hAnsi="Arial" w:cs="Arial"/>
          <w:sz w:val="18"/>
          <w:szCs w:val="18"/>
          <w:rtl/>
        </w:rPr>
      </w:pPr>
      <w:r w:rsidRPr="00A05C31">
        <w:rPr>
          <w:rFonts w:ascii="Arial" w:hAnsi="Arial" w:cs="Arial" w:hint="cs"/>
          <w:sz w:val="18"/>
          <w:szCs w:val="18"/>
          <w:rtl/>
        </w:rPr>
        <w:t xml:space="preserve">במאמרו </w:t>
      </w:r>
      <w:r>
        <w:rPr>
          <w:rFonts w:ascii="Arial" w:hAnsi="Arial" w:cs="Arial" w:hint="cs"/>
          <w:sz w:val="18"/>
          <w:szCs w:val="18"/>
          <w:rtl/>
        </w:rPr>
        <w:t>[</w:t>
      </w:r>
      <w:r w:rsidRPr="00A05C31">
        <w:rPr>
          <w:rFonts w:ascii="Arial" w:hAnsi="Arial" w:cs="Arial" w:hint="cs"/>
          <w:sz w:val="18"/>
          <w:szCs w:val="18"/>
          <w:rtl/>
        </w:rPr>
        <w:t xml:space="preserve">"המהפכה החוקתית </w:t>
      </w:r>
      <w:r w:rsidRPr="00A05C31">
        <w:rPr>
          <w:rFonts w:ascii="Arial" w:hAnsi="Arial" w:cs="Arial"/>
          <w:sz w:val="18"/>
          <w:szCs w:val="18"/>
          <w:rtl/>
        </w:rPr>
        <w:t>–</w:t>
      </w:r>
      <w:r w:rsidRPr="00A05C31">
        <w:rPr>
          <w:rFonts w:ascii="Arial" w:hAnsi="Arial" w:cs="Arial" w:hint="cs"/>
          <w:sz w:val="18"/>
          <w:szCs w:val="18"/>
          <w:rtl/>
        </w:rPr>
        <w:t xml:space="preserve"> בת-מצווה", </w:t>
      </w:r>
      <w:r w:rsidRPr="00A05C31">
        <w:rPr>
          <w:rFonts w:ascii="Arial" w:hAnsi="Arial" w:cs="Arial" w:hint="cs"/>
          <w:b/>
          <w:bCs/>
          <w:sz w:val="18"/>
          <w:szCs w:val="18"/>
          <w:rtl/>
        </w:rPr>
        <w:t>משפט ועסקים</w:t>
      </w:r>
      <w:r w:rsidRPr="00A05C31">
        <w:rPr>
          <w:rFonts w:ascii="Arial" w:hAnsi="Arial" w:cs="Arial" w:hint="cs"/>
          <w:sz w:val="18"/>
          <w:szCs w:val="18"/>
          <w:rtl/>
        </w:rPr>
        <w:t xml:space="preserve"> א' (2004) 1</w:t>
      </w:r>
      <w:r>
        <w:rPr>
          <w:rFonts w:ascii="Arial" w:hAnsi="Arial" w:cs="Arial" w:hint="cs"/>
          <w:sz w:val="18"/>
          <w:szCs w:val="18"/>
          <w:rtl/>
        </w:rPr>
        <w:t>]</w:t>
      </w:r>
      <w:r w:rsidRPr="00A05C31">
        <w:rPr>
          <w:rFonts w:ascii="Arial" w:hAnsi="Arial" w:cs="Arial" w:hint="cs"/>
          <w:sz w:val="18"/>
          <w:szCs w:val="18"/>
          <w:rtl/>
        </w:rPr>
        <w:t xml:space="preserve"> מצביע פרופ' </w:t>
      </w:r>
      <w:r>
        <w:rPr>
          <w:rFonts w:ascii="Arial" w:hAnsi="Arial" w:cs="Arial" w:hint="cs"/>
          <w:sz w:val="18"/>
          <w:szCs w:val="18"/>
          <w:rtl/>
        </w:rPr>
        <w:t xml:space="preserve">אהרן </w:t>
      </w:r>
      <w:r w:rsidRPr="00A05C31">
        <w:rPr>
          <w:rFonts w:ascii="Arial" w:hAnsi="Arial" w:cs="Arial" w:hint="cs"/>
          <w:sz w:val="18"/>
          <w:szCs w:val="18"/>
          <w:rtl/>
        </w:rPr>
        <w:t xml:space="preserve">ברק על הנתונים הבאים: </w:t>
      </w:r>
      <w:r w:rsidRPr="00533FF0">
        <w:rPr>
          <w:rFonts w:ascii="Arial" w:hAnsi="Arial" w:cs="Arial" w:hint="cs"/>
          <w:i/>
          <w:iCs/>
          <w:sz w:val="18"/>
          <w:szCs w:val="18"/>
          <w:highlight w:val="yellow"/>
          <w:rtl/>
        </w:rPr>
        <w:t xml:space="preserve">בעשור השנים 2002-1992 הכריז בית המשפט העליון שלנו על בטלותן של 3 הוראות חוק. </w:t>
      </w:r>
      <w:r w:rsidRPr="0067113C">
        <w:rPr>
          <w:rFonts w:ascii="Arial" w:hAnsi="Arial" w:cs="Arial" w:hint="cs"/>
          <w:i/>
          <w:iCs/>
          <w:sz w:val="18"/>
          <w:szCs w:val="18"/>
          <w:highlight w:val="yellow"/>
          <w:u w:val="single"/>
          <w:rtl/>
        </w:rPr>
        <w:t>באותה עת, ביטל בית המשפט העליון האמריקאי 55 הוראות חוק, ובית המשפט החוקתי של גרמניה הכריז על בטלותן של 104 הוראות חוק</w:t>
      </w:r>
      <w:r w:rsidRPr="00533FF0">
        <w:rPr>
          <w:rFonts w:ascii="Arial" w:hAnsi="Arial" w:cs="Arial" w:hint="cs"/>
          <w:i/>
          <w:iCs/>
          <w:sz w:val="18"/>
          <w:szCs w:val="18"/>
          <w:highlight w:val="yellow"/>
          <w:rtl/>
        </w:rPr>
        <w:t>.</w:t>
      </w:r>
    </w:p>
    <w:p w:rsidR="005366A8" w:rsidRPr="00533FF0" w:rsidRDefault="005366A8" w:rsidP="005366A8">
      <w:pPr>
        <w:pStyle w:val="ruller40"/>
        <w:spacing w:after="60" w:line="240" w:lineRule="auto"/>
        <w:rPr>
          <w:rFonts w:ascii="Arial" w:hAnsi="Arial" w:cs="Arial"/>
          <w:sz w:val="20"/>
          <w:szCs w:val="20"/>
          <w:rtl/>
        </w:rPr>
      </w:pPr>
    </w:p>
    <w:p w:rsidR="005366A8" w:rsidRDefault="005366A8" w:rsidP="005366A8">
      <w:pPr>
        <w:spacing w:after="60"/>
        <w:rPr>
          <w:sz w:val="20"/>
          <w:szCs w:val="20"/>
          <w:rtl/>
        </w:rPr>
      </w:pPr>
      <w:r>
        <w:rPr>
          <w:rFonts w:hint="cs"/>
          <w:sz w:val="20"/>
          <w:szCs w:val="20"/>
          <w:rtl/>
        </w:rPr>
        <w:t xml:space="preserve">עוד: </w:t>
      </w:r>
    </w:p>
    <w:p w:rsidR="005366A8" w:rsidRPr="00E82C32" w:rsidRDefault="005366A8" w:rsidP="005366A8">
      <w:pPr>
        <w:spacing w:after="60"/>
        <w:rPr>
          <w:sz w:val="20"/>
          <w:szCs w:val="20"/>
          <w:rtl/>
        </w:rPr>
      </w:pPr>
    </w:p>
    <w:p w:rsidR="005366A8" w:rsidRPr="005437B1" w:rsidRDefault="005366A8" w:rsidP="005366A8">
      <w:pPr>
        <w:spacing w:after="60"/>
        <w:rPr>
          <w:sz w:val="20"/>
          <w:szCs w:val="20"/>
          <w:u w:val="single"/>
          <w:rtl/>
        </w:rPr>
      </w:pPr>
      <w:r w:rsidRPr="005437B1">
        <w:rPr>
          <w:rFonts w:hint="cs"/>
          <w:b/>
          <w:bCs/>
          <w:sz w:val="20"/>
          <w:szCs w:val="20"/>
          <w:highlight w:val="yellow"/>
          <w:u w:val="single"/>
          <w:rtl/>
        </w:rPr>
        <w:t>"</w:t>
      </w:r>
      <w:r w:rsidRPr="005437B1">
        <w:rPr>
          <w:b/>
          <w:bCs/>
          <w:sz w:val="20"/>
          <w:szCs w:val="20"/>
          <w:highlight w:val="yellow"/>
          <w:u w:val="single"/>
          <w:rtl/>
        </w:rPr>
        <w:t>המהפכה החוקתית</w:t>
      </w:r>
      <w:r w:rsidRPr="005437B1">
        <w:rPr>
          <w:rFonts w:hint="cs"/>
          <w:b/>
          <w:bCs/>
          <w:sz w:val="20"/>
          <w:szCs w:val="20"/>
          <w:highlight w:val="yellow"/>
          <w:u w:val="single"/>
          <w:rtl/>
        </w:rPr>
        <w:t>"</w:t>
      </w:r>
      <w:r w:rsidRPr="005437B1">
        <w:rPr>
          <w:b/>
          <w:bCs/>
          <w:sz w:val="20"/>
          <w:szCs w:val="20"/>
          <w:highlight w:val="yellow"/>
          <w:u w:val="single"/>
          <w:rtl/>
        </w:rPr>
        <w:t xml:space="preserve"> </w:t>
      </w:r>
      <w:r w:rsidRPr="005437B1">
        <w:rPr>
          <w:rFonts w:hint="cs"/>
          <w:b/>
          <w:bCs/>
          <w:sz w:val="20"/>
          <w:szCs w:val="20"/>
          <w:highlight w:val="yellow"/>
          <w:u w:val="single"/>
          <w:rtl/>
        </w:rPr>
        <w:t xml:space="preserve"> – </w:t>
      </w:r>
      <w:r w:rsidRPr="005437B1">
        <w:rPr>
          <w:b/>
          <w:bCs/>
          <w:sz w:val="20"/>
          <w:szCs w:val="20"/>
          <w:highlight w:val="yellow"/>
          <w:u w:val="single"/>
          <w:rtl/>
        </w:rPr>
        <w:t xml:space="preserve">"שני הכתרים" </w:t>
      </w:r>
      <w:r w:rsidRPr="005437B1">
        <w:rPr>
          <w:rFonts w:hint="cs"/>
          <w:b/>
          <w:bCs/>
          <w:sz w:val="20"/>
          <w:szCs w:val="20"/>
          <w:highlight w:val="yellow"/>
          <w:u w:val="single"/>
          <w:rtl/>
        </w:rPr>
        <w:t>של הכנסת והביקורת השיפוטית החוקתית</w:t>
      </w:r>
      <w:r w:rsidRPr="005437B1">
        <w:rPr>
          <w:rFonts w:hint="cs"/>
          <w:b/>
          <w:bCs/>
          <w:sz w:val="20"/>
          <w:szCs w:val="20"/>
          <w:u w:val="single"/>
          <w:rtl/>
        </w:rPr>
        <w:t xml:space="preserve"> – התקבלה/התקבלו על ידי הרשויות האחרות.</w:t>
      </w:r>
    </w:p>
    <w:p w:rsidR="005366A8" w:rsidRPr="006C040E" w:rsidRDefault="005366A8" w:rsidP="005366A8">
      <w:pPr>
        <w:spacing w:after="60"/>
        <w:rPr>
          <w:sz w:val="20"/>
          <w:szCs w:val="20"/>
          <w:rtl/>
        </w:rPr>
      </w:pPr>
      <w:r w:rsidRPr="006C040E">
        <w:rPr>
          <w:sz w:val="20"/>
          <w:szCs w:val="20"/>
          <w:rtl/>
        </w:rPr>
        <w:t>מהם הביטויים לאותה קבלה</w:t>
      </w:r>
      <w:r>
        <w:rPr>
          <w:rFonts w:hint="cs"/>
          <w:sz w:val="20"/>
          <w:szCs w:val="20"/>
          <w:rtl/>
        </w:rPr>
        <w:t xml:space="preserve"> (או לפחות </w:t>
      </w:r>
      <w:r w:rsidRPr="006C040E">
        <w:rPr>
          <w:sz w:val="20"/>
          <w:szCs w:val="20"/>
          <w:rtl/>
        </w:rPr>
        <w:t>השלמה</w:t>
      </w:r>
      <w:r>
        <w:rPr>
          <w:rFonts w:hint="cs"/>
          <w:sz w:val="20"/>
          <w:szCs w:val="20"/>
          <w:rtl/>
        </w:rPr>
        <w:t>)</w:t>
      </w:r>
      <w:r w:rsidRPr="006C040E">
        <w:rPr>
          <w:sz w:val="20"/>
          <w:szCs w:val="20"/>
          <w:rtl/>
        </w:rPr>
        <w:t xml:space="preserve">? </w:t>
      </w:r>
    </w:p>
    <w:p w:rsidR="005366A8" w:rsidRPr="006C040E" w:rsidRDefault="005366A8" w:rsidP="005366A8">
      <w:pPr>
        <w:spacing w:after="60"/>
        <w:rPr>
          <w:sz w:val="20"/>
          <w:szCs w:val="20"/>
          <w:rtl/>
        </w:rPr>
      </w:pPr>
      <w:r w:rsidRPr="006C040E">
        <w:rPr>
          <w:sz w:val="20"/>
          <w:szCs w:val="20"/>
          <w:rtl/>
        </w:rPr>
        <w:t xml:space="preserve">א. </w:t>
      </w:r>
      <w:r>
        <w:rPr>
          <w:rFonts w:hint="cs"/>
          <w:sz w:val="20"/>
          <w:szCs w:val="20"/>
          <w:rtl/>
        </w:rPr>
        <w:t xml:space="preserve">חוקי היסוד ברובם אינם משוריינים, וגם אלו מתוכם שהם משוריינים, משוריינים לרוב בשיריון חלש ("רוב" חברי הכנסת </w:t>
      </w:r>
      <w:r>
        <w:rPr>
          <w:sz w:val="20"/>
          <w:szCs w:val="20"/>
          <w:rtl/>
        </w:rPr>
        <w:t>–</w:t>
      </w:r>
      <w:r>
        <w:rPr>
          <w:rFonts w:hint="cs"/>
          <w:sz w:val="20"/>
          <w:szCs w:val="20"/>
          <w:rtl/>
        </w:rPr>
        <w:t xml:space="preserve"> 61), והנה </w:t>
      </w:r>
      <w:r w:rsidRPr="006C040E">
        <w:rPr>
          <w:sz w:val="20"/>
          <w:szCs w:val="20"/>
          <w:rtl/>
        </w:rPr>
        <w:t xml:space="preserve">הכנסת </w:t>
      </w:r>
      <w:r>
        <w:rPr>
          <w:sz w:val="20"/>
          <w:szCs w:val="20"/>
          <w:rtl/>
        </w:rPr>
        <w:t>–</w:t>
      </w:r>
      <w:r>
        <w:rPr>
          <w:rFonts w:hint="cs"/>
          <w:sz w:val="20"/>
          <w:szCs w:val="20"/>
          <w:rtl/>
        </w:rPr>
        <w:t xml:space="preserve"> במשך שני עשורים </w:t>
      </w:r>
      <w:r>
        <w:rPr>
          <w:sz w:val="20"/>
          <w:szCs w:val="20"/>
          <w:rtl/>
        </w:rPr>
        <w:t>–</w:t>
      </w:r>
      <w:r>
        <w:rPr>
          <w:rFonts w:hint="cs"/>
          <w:sz w:val="20"/>
          <w:szCs w:val="20"/>
          <w:rtl/>
        </w:rPr>
        <w:t xml:space="preserve"> לא ביטלה את חוקי היסוד "שמפריעים לה", לא שינתה אותם באופן עמוק, לא כוננה </w:t>
      </w:r>
      <w:r w:rsidRPr="006C040E">
        <w:rPr>
          <w:sz w:val="20"/>
          <w:szCs w:val="20"/>
          <w:rtl/>
        </w:rPr>
        <w:t>כל חוק-יסוד המבקש לפגוע במעמד חוקי-יסוד לעומת חוקים</w:t>
      </w:r>
      <w:r>
        <w:rPr>
          <w:rFonts w:hint="cs"/>
          <w:sz w:val="20"/>
          <w:szCs w:val="20"/>
          <w:rtl/>
        </w:rPr>
        <w:t xml:space="preserve">, וגם לא ניסתה לבטל את </w:t>
      </w:r>
      <w:r w:rsidRPr="006C040E">
        <w:rPr>
          <w:sz w:val="20"/>
          <w:szCs w:val="20"/>
          <w:rtl/>
        </w:rPr>
        <w:t xml:space="preserve">סמכות הביקורת השיפוטית </w:t>
      </w:r>
      <w:r>
        <w:rPr>
          <w:rFonts w:hint="cs"/>
          <w:sz w:val="20"/>
          <w:szCs w:val="20"/>
          <w:rtl/>
        </w:rPr>
        <w:t xml:space="preserve">של הרשות השופטת </w:t>
      </w:r>
      <w:r w:rsidRPr="006C040E">
        <w:rPr>
          <w:sz w:val="20"/>
          <w:szCs w:val="20"/>
          <w:rtl/>
        </w:rPr>
        <w:t>על התאמת חוקים לחוקי יסוד.</w:t>
      </w:r>
      <w:r>
        <w:rPr>
          <w:sz w:val="20"/>
          <w:szCs w:val="20"/>
          <w:rtl/>
        </w:rPr>
        <w:t xml:space="preserve"> </w:t>
      </w:r>
    </w:p>
    <w:p w:rsidR="005366A8" w:rsidRPr="006C040E" w:rsidRDefault="005366A8" w:rsidP="005366A8">
      <w:pPr>
        <w:spacing w:after="60"/>
        <w:rPr>
          <w:sz w:val="20"/>
          <w:szCs w:val="20"/>
          <w:rtl/>
        </w:rPr>
      </w:pPr>
      <w:r w:rsidRPr="006C040E">
        <w:rPr>
          <w:sz w:val="20"/>
          <w:szCs w:val="20"/>
          <w:rtl/>
        </w:rPr>
        <w:t>"פסקת ההתגברות" בחוק יסוד: חופש העיסוק (שלא הופיעה בחוק היסוד מ 1992, אלא במחליפו מ 1994), אינה פוגעת בעליונות חוק יסוד זה על פני חוקים.</w:t>
      </w:r>
      <w:r>
        <w:rPr>
          <w:sz w:val="20"/>
          <w:szCs w:val="20"/>
          <w:rtl/>
        </w:rPr>
        <w:t xml:space="preserve"> </w:t>
      </w:r>
      <w:r w:rsidRPr="006C040E">
        <w:rPr>
          <w:sz w:val="20"/>
          <w:szCs w:val="20"/>
          <w:rtl/>
        </w:rPr>
        <w:t xml:space="preserve">במידה רבה היא דווקא מאוששת את העליונות הזו, שכן </w:t>
      </w:r>
      <w:r>
        <w:rPr>
          <w:rFonts w:hint="cs"/>
          <w:sz w:val="20"/>
          <w:szCs w:val="20"/>
          <w:rtl/>
        </w:rPr>
        <w:t>היא נקודתית, ו</w:t>
      </w:r>
      <w:r w:rsidRPr="006C040E">
        <w:rPr>
          <w:sz w:val="20"/>
          <w:szCs w:val="20"/>
          <w:rtl/>
        </w:rPr>
        <w:t xml:space="preserve">עולה ממנה, שחוק הנוגד את "פסקת ההגבלה" שבסעיף 4 </w:t>
      </w:r>
      <w:r>
        <w:rPr>
          <w:rFonts w:hint="cs"/>
          <w:sz w:val="20"/>
          <w:szCs w:val="20"/>
          <w:rtl/>
        </w:rPr>
        <w:t xml:space="preserve">לחוק יסוד צריך לגייס כמה תנאים חריגים ומצטברים כדי </w:t>
      </w:r>
      <w:r w:rsidRPr="007273CB">
        <w:rPr>
          <w:rFonts w:hint="cs"/>
          <w:sz w:val="20"/>
          <w:szCs w:val="20"/>
          <w:u w:val="single"/>
          <w:rtl/>
        </w:rPr>
        <w:t>להיות</w:t>
      </w:r>
      <w:r>
        <w:rPr>
          <w:rFonts w:hint="cs"/>
          <w:sz w:val="20"/>
          <w:szCs w:val="20"/>
          <w:rtl/>
        </w:rPr>
        <w:t xml:space="preserve"> </w:t>
      </w:r>
      <w:r w:rsidRPr="007273CB">
        <w:rPr>
          <w:sz w:val="20"/>
          <w:szCs w:val="20"/>
          <w:u w:val="single"/>
          <w:rtl/>
        </w:rPr>
        <w:t>תקף</w:t>
      </w:r>
      <w:r>
        <w:rPr>
          <w:rFonts w:hint="cs"/>
          <w:sz w:val="20"/>
          <w:szCs w:val="20"/>
          <w:rtl/>
        </w:rPr>
        <w:t xml:space="preserve">. הוא יהיה תקף רק </w:t>
      </w:r>
      <w:r w:rsidRPr="006C040E">
        <w:rPr>
          <w:sz w:val="20"/>
          <w:szCs w:val="20"/>
          <w:rtl/>
        </w:rPr>
        <w:t>לתקופה שלא תעלה על ארבע שנים, ואף זאת רק אם התקבל ברוב של חברי הכנסת, ו</w:t>
      </w:r>
      <w:r>
        <w:rPr>
          <w:rFonts w:hint="cs"/>
          <w:sz w:val="20"/>
          <w:szCs w:val="20"/>
          <w:rtl/>
        </w:rPr>
        <w:t xml:space="preserve">רק אם </w:t>
      </w:r>
      <w:r w:rsidRPr="006C040E">
        <w:rPr>
          <w:sz w:val="20"/>
          <w:szCs w:val="20"/>
          <w:rtl/>
        </w:rPr>
        <w:t>צוין בו במפורש כי הוא תקף למרות האמור בחוק היסוד.</w:t>
      </w:r>
    </w:p>
    <w:p w:rsidR="005366A8" w:rsidRPr="006C040E" w:rsidRDefault="005366A8" w:rsidP="005366A8">
      <w:pPr>
        <w:spacing w:after="60"/>
        <w:rPr>
          <w:sz w:val="20"/>
          <w:szCs w:val="20"/>
          <w:rtl/>
        </w:rPr>
      </w:pPr>
      <w:r w:rsidRPr="006C040E">
        <w:rPr>
          <w:sz w:val="20"/>
          <w:szCs w:val="20"/>
          <w:rtl/>
        </w:rPr>
        <w:t>ב. ב</w:t>
      </w:r>
      <w:r>
        <w:rPr>
          <w:rFonts w:hint="cs"/>
          <w:sz w:val="20"/>
          <w:szCs w:val="20"/>
          <w:rtl/>
        </w:rPr>
        <w:t xml:space="preserve">מקרים (הלא רבים, כאמור לעיל) </w:t>
      </w:r>
      <w:r w:rsidRPr="006C040E">
        <w:rPr>
          <w:sz w:val="20"/>
          <w:szCs w:val="20"/>
          <w:rtl/>
        </w:rPr>
        <w:t xml:space="preserve">שבהם בית המשפט העליון קבע שהוראות חוק פסולות בשל אי-התאמה לדרישות השריון המהותי בחוקי היסוד על זכויות-האדם תיקנה הכנסת את החוקים </w:t>
      </w:r>
      <w:r>
        <w:rPr>
          <w:rFonts w:hint="cs"/>
          <w:sz w:val="20"/>
          <w:szCs w:val="20"/>
          <w:rtl/>
        </w:rPr>
        <w:t xml:space="preserve">פחות או יותר </w:t>
      </w:r>
      <w:r w:rsidRPr="006C040E">
        <w:rPr>
          <w:sz w:val="20"/>
          <w:szCs w:val="20"/>
          <w:rtl/>
        </w:rPr>
        <w:t>בהתאם להנחיות בית המשפט</w:t>
      </w:r>
      <w:r>
        <w:rPr>
          <w:rFonts w:hint="cs"/>
          <w:sz w:val="20"/>
          <w:szCs w:val="20"/>
          <w:rtl/>
        </w:rPr>
        <w:t xml:space="preserve"> (או לא ניסתה להחיותם)</w:t>
      </w:r>
      <w:r w:rsidRPr="006C040E">
        <w:rPr>
          <w:sz w:val="20"/>
          <w:szCs w:val="20"/>
          <w:rtl/>
        </w:rPr>
        <w:t xml:space="preserve">. </w:t>
      </w:r>
      <w:r>
        <w:rPr>
          <w:rFonts w:hint="cs"/>
          <w:sz w:val="20"/>
          <w:szCs w:val="20"/>
          <w:rtl/>
        </w:rPr>
        <w:t>חריג מסוים הוא התנהגותה של הכנסת לאחר הפסיקה בעניין מבקשי המקלט/ המסתננים – פסקי הדין של אדם ושל איתן/ גבריסלאי. נדון בכך בנפרד.</w:t>
      </w:r>
    </w:p>
    <w:p w:rsidR="005366A8" w:rsidRDefault="005366A8" w:rsidP="005366A8">
      <w:pPr>
        <w:spacing w:after="60"/>
        <w:rPr>
          <w:sz w:val="20"/>
          <w:szCs w:val="20"/>
          <w:rtl/>
        </w:rPr>
      </w:pPr>
      <w:r w:rsidRPr="006C040E">
        <w:rPr>
          <w:sz w:val="20"/>
          <w:szCs w:val="20"/>
          <w:rtl/>
        </w:rPr>
        <w:t xml:space="preserve">ג. הכנסת הקימה מערכת מיוחדת לבדיקת החוקתיות של </w:t>
      </w:r>
      <w:r w:rsidRPr="006C040E">
        <w:rPr>
          <w:i/>
          <w:iCs/>
          <w:sz w:val="20"/>
          <w:szCs w:val="20"/>
          <w:rtl/>
        </w:rPr>
        <w:t>הצעות חוק</w:t>
      </w:r>
      <w:r w:rsidRPr="006C040E">
        <w:rPr>
          <w:sz w:val="20"/>
          <w:szCs w:val="20"/>
          <w:rtl/>
        </w:rPr>
        <w:t>.</w:t>
      </w:r>
      <w:r>
        <w:rPr>
          <w:sz w:val="20"/>
          <w:szCs w:val="20"/>
          <w:rtl/>
        </w:rPr>
        <w:t xml:space="preserve"> </w:t>
      </w:r>
    </w:p>
    <w:p w:rsidR="005366A8" w:rsidRPr="006C040E" w:rsidRDefault="005366A8" w:rsidP="005366A8">
      <w:pPr>
        <w:spacing w:after="60"/>
        <w:ind w:left="720"/>
        <w:rPr>
          <w:sz w:val="20"/>
          <w:szCs w:val="20"/>
          <w:rtl/>
        </w:rPr>
      </w:pPr>
      <w:r w:rsidRPr="006C040E">
        <w:rPr>
          <w:sz w:val="20"/>
          <w:szCs w:val="20"/>
          <w:rtl/>
        </w:rPr>
        <w:t>לתיאור המערכת ראו רובינשטיין</w:t>
      </w:r>
      <w:r>
        <w:rPr>
          <w:rFonts w:hint="cs"/>
          <w:sz w:val="20"/>
          <w:szCs w:val="20"/>
          <w:rtl/>
        </w:rPr>
        <w:t xml:space="preserve"> ומדינה, המשפט הקונסטיטוציוני של מדינת ישראל, פרק 2. להלן עיקר ניתוחם בהקשר זה:</w:t>
      </w:r>
      <w:r w:rsidRPr="006C040E">
        <w:rPr>
          <w:sz w:val="20"/>
          <w:szCs w:val="20"/>
          <w:rtl/>
        </w:rPr>
        <w:t xml:space="preserve"> </w:t>
      </w:r>
    </w:p>
    <w:p w:rsidR="005366A8" w:rsidRPr="00E81774" w:rsidRDefault="005366A8" w:rsidP="005366A8">
      <w:pPr>
        <w:spacing w:after="60"/>
        <w:ind w:left="720"/>
        <w:rPr>
          <w:rFonts w:ascii="Arial" w:hAnsi="Arial" w:cs="Arial"/>
          <w:sz w:val="18"/>
          <w:szCs w:val="18"/>
          <w:rtl/>
        </w:rPr>
      </w:pPr>
      <w:r w:rsidRPr="00F826F2">
        <w:rPr>
          <w:rFonts w:ascii="Arial" w:hAnsi="Arial" w:cs="Arial"/>
          <w:b/>
          <w:bCs/>
          <w:sz w:val="18"/>
          <w:szCs w:val="18"/>
          <w:rtl/>
        </w:rPr>
        <w:t>עיקר השפעתה המעשית של המהפכה החוקתית הוא דווקא על חקיקת הכנסת, ולא על פסקי הדין שבהם נערכה ביקורת שיפוטית על חוקתיות חוקים.</w:t>
      </w:r>
      <w:r>
        <w:rPr>
          <w:rFonts w:ascii="Arial" w:hAnsi="Arial" w:cs="Arial"/>
          <w:b/>
          <w:bCs/>
          <w:sz w:val="18"/>
          <w:szCs w:val="18"/>
          <w:rtl/>
        </w:rPr>
        <w:t xml:space="preserve"> </w:t>
      </w:r>
    </w:p>
    <w:p w:rsidR="005366A8" w:rsidRPr="00F826F2" w:rsidRDefault="005366A8" w:rsidP="005366A8">
      <w:pPr>
        <w:pStyle w:val="BodyText2"/>
        <w:spacing w:after="60"/>
        <w:ind w:left="720"/>
        <w:rPr>
          <w:rFonts w:ascii="Arial" w:hAnsi="Arial" w:cs="Arial"/>
          <w:sz w:val="18"/>
          <w:szCs w:val="18"/>
          <w:rtl/>
        </w:rPr>
      </w:pPr>
      <w:r w:rsidRPr="00F826F2">
        <w:rPr>
          <w:rFonts w:ascii="Arial" w:hAnsi="Arial" w:cs="Arial"/>
          <w:sz w:val="18"/>
          <w:szCs w:val="18"/>
          <w:rtl/>
        </w:rPr>
        <w:t>עד עתה, מיום פרוץ "המהפכה החוקתית" ביטל בית המשפט העליון הוראות חוק ספורות בלבד.</w:t>
      </w:r>
      <w:r>
        <w:rPr>
          <w:rFonts w:ascii="Arial" w:hAnsi="Arial" w:cs="Arial"/>
          <w:sz w:val="18"/>
          <w:szCs w:val="18"/>
          <w:rtl/>
        </w:rPr>
        <w:t xml:space="preserve"> </w:t>
      </w:r>
      <w:r w:rsidRPr="00F826F2">
        <w:rPr>
          <w:rFonts w:ascii="Arial" w:hAnsi="Arial" w:cs="Arial"/>
          <w:sz w:val="18"/>
          <w:szCs w:val="18"/>
          <w:rtl/>
        </w:rPr>
        <w:t>לעומת זאת, בהליכי החקיקה של הכנסת (לרבות ההליכים הנערכים בתוך הממשלה כהקדמה ליוזמות חקיקה ממשלתיות) חלה מאז קבלתם של שני חוקי היסוד בדבר זכויות האדם, אם לא "מהפכה", לפחות התפתחות ניכרת בתחום ההתחשבות בזכויות האדם.</w:t>
      </w:r>
      <w:r>
        <w:rPr>
          <w:rFonts w:ascii="Arial" w:hAnsi="Arial" w:cs="Arial"/>
          <w:sz w:val="18"/>
          <w:szCs w:val="18"/>
          <w:rtl/>
        </w:rPr>
        <w:t xml:space="preserve"> </w:t>
      </w:r>
      <w:r w:rsidRPr="00E81774">
        <w:rPr>
          <w:rFonts w:ascii="Arial" w:hAnsi="Arial" w:cs="Arial"/>
          <w:sz w:val="18"/>
          <w:szCs w:val="18"/>
          <w:highlight w:val="yellow"/>
          <w:rtl/>
        </w:rPr>
        <w:t>קשה למצוא הצעת חוק בתחום שבו עשויה להיגרם פגיעה בזכויות האדם שבטרם הגשתה לכנסת או במסגרת הליכי החקיקה לא בודקים היועצים המשפטיים בממשלה ובכנסת, ובודקים חברי הכנסת עצמם, בקפידה ובתשומת-לב, אם היא פוגעת בזכויות האדם בניגוד להוראות חוקי היסוד.</w:t>
      </w:r>
      <w:r>
        <w:rPr>
          <w:rFonts w:ascii="Arial" w:hAnsi="Arial" w:cs="Arial"/>
          <w:sz w:val="18"/>
          <w:szCs w:val="18"/>
          <w:highlight w:val="yellow"/>
          <w:rtl/>
        </w:rPr>
        <w:t xml:space="preserve"> </w:t>
      </w:r>
      <w:r w:rsidRPr="00E81774">
        <w:rPr>
          <w:rFonts w:ascii="Arial" w:hAnsi="Arial" w:cs="Arial"/>
          <w:sz w:val="18"/>
          <w:szCs w:val="18"/>
          <w:highlight w:val="yellow"/>
          <w:rtl/>
        </w:rPr>
        <w:t xml:space="preserve">הצעות שמתעורר ספק בדבר התאמתן לדרישות הרי שהן </w:t>
      </w:r>
      <w:r w:rsidRPr="00E81774">
        <w:rPr>
          <w:rFonts w:ascii="Arial" w:hAnsi="Arial" w:cs="Arial" w:hint="cs"/>
          <w:i/>
          <w:iCs/>
          <w:sz w:val="18"/>
          <w:szCs w:val="18"/>
          <w:highlight w:val="yellow"/>
          <w:rtl/>
        </w:rPr>
        <w:t>[על פי רוב]</w:t>
      </w:r>
      <w:r>
        <w:rPr>
          <w:rFonts w:ascii="Arial" w:hAnsi="Arial" w:cs="Arial" w:hint="cs"/>
          <w:sz w:val="18"/>
          <w:szCs w:val="18"/>
          <w:highlight w:val="yellow"/>
          <w:rtl/>
        </w:rPr>
        <w:t xml:space="preserve"> </w:t>
      </w:r>
      <w:r w:rsidRPr="00E81774">
        <w:rPr>
          <w:rFonts w:ascii="Arial" w:hAnsi="Arial" w:cs="Arial"/>
          <w:sz w:val="18"/>
          <w:szCs w:val="18"/>
          <w:highlight w:val="yellow"/>
          <w:rtl/>
        </w:rPr>
        <w:t>מבוטלות, מעוכבות או מנוסחות מחדש</w:t>
      </w:r>
      <w:r w:rsidRPr="00F826F2">
        <w:rPr>
          <w:rFonts w:ascii="Arial" w:hAnsi="Arial" w:cs="Arial"/>
          <w:sz w:val="18"/>
          <w:szCs w:val="18"/>
          <w:rtl/>
        </w:rPr>
        <w:t>.</w:t>
      </w:r>
      <w:r>
        <w:rPr>
          <w:rFonts w:ascii="Arial" w:hAnsi="Arial" w:cs="Arial"/>
          <w:sz w:val="18"/>
          <w:szCs w:val="18"/>
          <w:rtl/>
        </w:rPr>
        <w:t xml:space="preserve"> </w:t>
      </w:r>
    </w:p>
    <w:p w:rsidR="005366A8" w:rsidRDefault="005366A8" w:rsidP="005366A8">
      <w:pPr>
        <w:spacing w:after="60"/>
        <w:ind w:left="720"/>
        <w:rPr>
          <w:sz w:val="20"/>
          <w:szCs w:val="20"/>
          <w:rtl/>
        </w:rPr>
      </w:pPr>
      <w:r w:rsidRPr="00F826F2">
        <w:rPr>
          <w:rFonts w:ascii="Arial" w:hAnsi="Arial" w:cs="Arial"/>
          <w:sz w:val="18"/>
          <w:szCs w:val="18"/>
          <w:rtl/>
        </w:rPr>
        <w:t xml:space="preserve">זאת ועוד: הכנסת, גם זאת בהשפעתם הוודאית של חוקי היסוד בתחום זכויות האדם, </w:t>
      </w:r>
      <w:r w:rsidRPr="00E81774">
        <w:rPr>
          <w:rFonts w:ascii="Arial" w:hAnsi="Arial" w:cs="Arial"/>
          <w:sz w:val="18"/>
          <w:szCs w:val="18"/>
          <w:highlight w:val="yellow"/>
          <w:rtl/>
        </w:rPr>
        <w:t xml:space="preserve">חוקקה מאז המהפכה החוקתית שורה של </w:t>
      </w:r>
      <w:r w:rsidRPr="00E81774">
        <w:rPr>
          <w:rFonts w:ascii="Arial" w:hAnsi="Arial" w:cs="Arial"/>
          <w:b/>
          <w:bCs/>
          <w:sz w:val="18"/>
          <w:szCs w:val="18"/>
          <w:highlight w:val="yellow"/>
          <w:rtl/>
        </w:rPr>
        <w:t>חוקים</w:t>
      </w:r>
      <w:r w:rsidRPr="00E81774">
        <w:rPr>
          <w:rFonts w:ascii="Arial" w:hAnsi="Arial" w:cs="Arial"/>
          <w:sz w:val="18"/>
          <w:szCs w:val="18"/>
          <w:highlight w:val="yellow"/>
          <w:rtl/>
        </w:rPr>
        <w:t xml:space="preserve"> חדשים שנעשה מאמץ ניכר לכבד בהם במידה מרבית את זכויות האדם</w:t>
      </w:r>
      <w:r w:rsidRPr="00F826F2">
        <w:rPr>
          <w:rFonts w:ascii="Arial" w:hAnsi="Arial" w:cs="Arial"/>
          <w:sz w:val="18"/>
          <w:szCs w:val="18"/>
          <w:rtl/>
        </w:rPr>
        <w:t xml:space="preserve"> (חוק חופש המידע, תשנ"ח-1998; חוק שיווי זכויות לאנשים עם מוגבלות, תשנ"ח-1998; חוק איסור הפליה במוצרים, בשירותים ובכניסה למקומות בידור ולמקומות ציבוריים, תשס"א-2000; חקיקה ביחס למעצר וחיפוש, ועוד).</w:t>
      </w:r>
    </w:p>
    <w:p w:rsidR="005366A8" w:rsidRPr="007273CB" w:rsidRDefault="005366A8" w:rsidP="005366A8">
      <w:pPr>
        <w:spacing w:after="60"/>
        <w:ind w:left="720"/>
        <w:rPr>
          <w:i/>
          <w:iCs/>
          <w:sz w:val="20"/>
          <w:szCs w:val="20"/>
          <w:rtl/>
        </w:rPr>
      </w:pPr>
      <w:r w:rsidRPr="007273CB">
        <w:rPr>
          <w:rFonts w:hint="cs"/>
          <w:i/>
          <w:iCs/>
          <w:sz w:val="20"/>
          <w:szCs w:val="20"/>
          <w:rtl/>
        </w:rPr>
        <w:t>[ראוי להזכיר מנגד, כי בשנים האחרונות יש גל די נמרץ של חקיקה אחרת, שנויה במחלוקת, בתחום זכויות האדם].</w:t>
      </w:r>
    </w:p>
    <w:p w:rsidR="005366A8" w:rsidRPr="00DA16B7" w:rsidRDefault="005366A8" w:rsidP="005366A8">
      <w:pPr>
        <w:spacing w:after="60"/>
        <w:rPr>
          <w:b/>
          <w:bCs/>
          <w:sz w:val="20"/>
          <w:szCs w:val="20"/>
          <w:rtl/>
        </w:rPr>
      </w:pPr>
      <w:r w:rsidRPr="00E81774">
        <w:rPr>
          <w:rFonts w:hint="cs"/>
          <w:sz w:val="20"/>
          <w:szCs w:val="20"/>
          <w:rtl/>
        </w:rPr>
        <w:t>ד.</w:t>
      </w:r>
      <w:r>
        <w:rPr>
          <w:rFonts w:hint="cs"/>
          <w:b/>
          <w:bCs/>
          <w:sz w:val="20"/>
          <w:szCs w:val="20"/>
          <w:rtl/>
        </w:rPr>
        <w:t xml:space="preserve"> </w:t>
      </w:r>
      <w:r w:rsidRPr="00DA16B7">
        <w:rPr>
          <w:b/>
          <w:bCs/>
          <w:sz w:val="20"/>
          <w:szCs w:val="20"/>
          <w:rtl/>
        </w:rPr>
        <w:t xml:space="preserve">היכן בכל זאת מופיעים בהווה </w:t>
      </w:r>
      <w:r>
        <w:rPr>
          <w:rFonts w:hint="cs"/>
          <w:b/>
          <w:bCs/>
          <w:sz w:val="20"/>
          <w:szCs w:val="20"/>
          <w:rtl/>
        </w:rPr>
        <w:t>ביטויים ל</w:t>
      </w:r>
      <w:r w:rsidRPr="00DA16B7">
        <w:rPr>
          <w:b/>
          <w:bCs/>
          <w:sz w:val="20"/>
          <w:szCs w:val="20"/>
          <w:rtl/>
        </w:rPr>
        <w:t xml:space="preserve">עימות </w:t>
      </w:r>
      <w:r>
        <w:rPr>
          <w:rFonts w:hint="cs"/>
          <w:b/>
          <w:bCs/>
          <w:sz w:val="20"/>
          <w:szCs w:val="20"/>
          <w:rtl/>
        </w:rPr>
        <w:t>סמוי או גלוי</w:t>
      </w:r>
      <w:r w:rsidRPr="00DA16B7">
        <w:rPr>
          <w:b/>
          <w:bCs/>
          <w:sz w:val="20"/>
          <w:szCs w:val="20"/>
          <w:rtl/>
        </w:rPr>
        <w:t xml:space="preserve"> בין </w:t>
      </w:r>
      <w:r>
        <w:rPr>
          <w:rFonts w:hint="cs"/>
          <w:b/>
          <w:bCs/>
          <w:sz w:val="20"/>
          <w:szCs w:val="20"/>
          <w:rtl/>
        </w:rPr>
        <w:t>גורמים חשובים ב</w:t>
      </w:r>
      <w:r w:rsidRPr="00DA16B7">
        <w:rPr>
          <w:b/>
          <w:bCs/>
          <w:sz w:val="20"/>
          <w:szCs w:val="20"/>
          <w:rtl/>
        </w:rPr>
        <w:t xml:space="preserve">רשויות הפוליטיות </w:t>
      </w:r>
      <w:r>
        <w:rPr>
          <w:rFonts w:hint="cs"/>
          <w:b/>
          <w:bCs/>
          <w:sz w:val="20"/>
          <w:szCs w:val="20"/>
          <w:rtl/>
        </w:rPr>
        <w:t xml:space="preserve">לבין </w:t>
      </w:r>
      <w:r w:rsidRPr="00DA16B7">
        <w:rPr>
          <w:b/>
          <w:bCs/>
          <w:sz w:val="20"/>
          <w:szCs w:val="20"/>
          <w:rtl/>
        </w:rPr>
        <w:t>בית המשפט העליון?</w:t>
      </w:r>
      <w:r>
        <w:rPr>
          <w:b/>
          <w:bCs/>
          <w:sz w:val="20"/>
          <w:szCs w:val="20"/>
          <w:rtl/>
        </w:rPr>
        <w:t xml:space="preserve"> </w:t>
      </w:r>
    </w:p>
    <w:p w:rsidR="005366A8" w:rsidRDefault="005366A8" w:rsidP="005366A8">
      <w:pPr>
        <w:spacing w:after="60"/>
        <w:rPr>
          <w:sz w:val="20"/>
          <w:szCs w:val="20"/>
          <w:rtl/>
        </w:rPr>
      </w:pPr>
      <w:r>
        <w:rPr>
          <w:rFonts w:hint="cs"/>
          <w:sz w:val="20"/>
          <w:szCs w:val="20"/>
          <w:rtl/>
        </w:rPr>
        <w:t xml:space="preserve">ביטויים אלה מופיעים בעיקרם </w:t>
      </w:r>
      <w:r w:rsidRPr="006C040E">
        <w:rPr>
          <w:sz w:val="20"/>
          <w:szCs w:val="20"/>
          <w:rtl/>
        </w:rPr>
        <w:t xml:space="preserve">לא </w:t>
      </w:r>
      <w:r w:rsidRPr="00566EEB">
        <w:rPr>
          <w:sz w:val="20"/>
          <w:szCs w:val="20"/>
          <w:u w:val="single"/>
          <w:rtl/>
        </w:rPr>
        <w:t>בהצעות</w:t>
      </w:r>
      <w:r w:rsidRPr="006C040E">
        <w:rPr>
          <w:sz w:val="20"/>
          <w:szCs w:val="20"/>
          <w:rtl/>
        </w:rPr>
        <w:t xml:space="preserve"> הנוגעות ל</w:t>
      </w:r>
      <w:r>
        <w:rPr>
          <w:rFonts w:hint="cs"/>
          <w:sz w:val="20"/>
          <w:szCs w:val="20"/>
          <w:rtl/>
        </w:rPr>
        <w:t xml:space="preserve">עצם </w:t>
      </w:r>
      <w:r w:rsidRPr="006C040E">
        <w:rPr>
          <w:sz w:val="20"/>
          <w:szCs w:val="20"/>
          <w:rtl/>
        </w:rPr>
        <w:t xml:space="preserve">סמכותה המכוננת של הכנסת, אלא </w:t>
      </w:r>
      <w:r w:rsidRPr="00566EEB">
        <w:rPr>
          <w:sz w:val="20"/>
          <w:szCs w:val="20"/>
          <w:u w:val="single"/>
          <w:rtl/>
        </w:rPr>
        <w:t xml:space="preserve">בהצעות הנוגעות לביקורת </w:t>
      </w:r>
      <w:r w:rsidRPr="00566EEB">
        <w:rPr>
          <w:rFonts w:hint="cs"/>
          <w:sz w:val="20"/>
          <w:szCs w:val="20"/>
          <w:u w:val="single"/>
          <w:rtl/>
        </w:rPr>
        <w:t>השיפוטית החוקתית</w:t>
      </w:r>
      <w:r w:rsidRPr="006C040E">
        <w:rPr>
          <w:sz w:val="20"/>
          <w:szCs w:val="20"/>
          <w:rtl/>
        </w:rPr>
        <w:t xml:space="preserve"> </w:t>
      </w:r>
      <w:r w:rsidRPr="006C040E">
        <w:rPr>
          <w:sz w:val="20"/>
          <w:szCs w:val="20"/>
        </w:rPr>
        <w:t>–</w:t>
      </w:r>
    </w:p>
    <w:p w:rsidR="005366A8" w:rsidRDefault="005366A8" w:rsidP="005366A8">
      <w:pPr>
        <w:spacing w:after="60"/>
        <w:ind w:left="720"/>
        <w:rPr>
          <w:b/>
          <w:bCs/>
          <w:sz w:val="20"/>
          <w:szCs w:val="20"/>
          <w:rtl/>
        </w:rPr>
      </w:pPr>
      <w:r w:rsidRPr="009106AB">
        <w:rPr>
          <w:b/>
          <w:bCs/>
          <w:sz w:val="20"/>
          <w:szCs w:val="20"/>
          <w:rtl/>
        </w:rPr>
        <w:t>ההצעה ל"בית המשפט לחוקה"</w:t>
      </w:r>
      <w:r w:rsidRPr="009106AB">
        <w:rPr>
          <w:rFonts w:hint="cs"/>
          <w:b/>
          <w:bCs/>
          <w:sz w:val="20"/>
          <w:szCs w:val="20"/>
          <w:rtl/>
        </w:rPr>
        <w:t xml:space="preserve"> </w:t>
      </w:r>
      <w:r w:rsidRPr="007273CB">
        <w:rPr>
          <w:rFonts w:hint="cs"/>
          <w:sz w:val="20"/>
          <w:szCs w:val="20"/>
          <w:rtl/>
        </w:rPr>
        <w:t>(נזנחה בשנים האחרונות</w:t>
      </w:r>
      <w:r>
        <w:rPr>
          <w:rFonts w:hint="cs"/>
          <w:sz w:val="20"/>
          <w:szCs w:val="20"/>
          <w:rtl/>
        </w:rPr>
        <w:t xml:space="preserve"> אבל אי אפשר להיות בטוחים שהיא לא תשוב</w:t>
      </w:r>
      <w:r w:rsidRPr="007273CB">
        <w:rPr>
          <w:rFonts w:hint="cs"/>
          <w:sz w:val="20"/>
          <w:szCs w:val="20"/>
          <w:rtl/>
        </w:rPr>
        <w:t>)</w:t>
      </w:r>
      <w:r>
        <w:rPr>
          <w:rFonts w:hint="cs"/>
          <w:b/>
          <w:bCs/>
          <w:sz w:val="20"/>
          <w:szCs w:val="20"/>
          <w:rtl/>
        </w:rPr>
        <w:t>;</w:t>
      </w:r>
    </w:p>
    <w:p w:rsidR="005366A8" w:rsidRDefault="005366A8" w:rsidP="005366A8">
      <w:pPr>
        <w:spacing w:after="60"/>
        <w:ind w:left="720"/>
        <w:rPr>
          <w:b/>
          <w:bCs/>
          <w:sz w:val="20"/>
          <w:szCs w:val="20"/>
          <w:rtl/>
        </w:rPr>
      </w:pPr>
      <w:r w:rsidRPr="009106AB">
        <w:rPr>
          <w:rFonts w:hint="cs"/>
          <w:b/>
          <w:bCs/>
          <w:sz w:val="20"/>
          <w:szCs w:val="20"/>
          <w:rtl/>
        </w:rPr>
        <w:t xml:space="preserve">או לשינוי חוק יסוד: השפיטה; </w:t>
      </w:r>
    </w:p>
    <w:p w:rsidR="005366A8" w:rsidRDefault="005366A8" w:rsidP="005366A8">
      <w:pPr>
        <w:spacing w:after="60"/>
        <w:ind w:left="720"/>
        <w:rPr>
          <w:b/>
          <w:bCs/>
          <w:sz w:val="20"/>
          <w:szCs w:val="20"/>
          <w:rtl/>
        </w:rPr>
      </w:pPr>
      <w:r w:rsidRPr="009106AB">
        <w:rPr>
          <w:rFonts w:hint="cs"/>
          <w:b/>
          <w:bCs/>
          <w:sz w:val="20"/>
          <w:szCs w:val="20"/>
          <w:rtl/>
        </w:rPr>
        <w:t xml:space="preserve">הצעות לשינוי הרכב הועדה לבחירת שופטים; </w:t>
      </w:r>
    </w:p>
    <w:p w:rsidR="005366A8" w:rsidRDefault="005366A8" w:rsidP="005366A8">
      <w:pPr>
        <w:spacing w:after="60"/>
        <w:ind w:left="720"/>
        <w:rPr>
          <w:b/>
          <w:bCs/>
          <w:sz w:val="20"/>
          <w:szCs w:val="20"/>
          <w:rtl/>
        </w:rPr>
      </w:pPr>
      <w:r w:rsidRPr="009106AB">
        <w:rPr>
          <w:rFonts w:hint="cs"/>
          <w:b/>
          <w:bCs/>
          <w:sz w:val="20"/>
          <w:szCs w:val="20"/>
          <w:rtl/>
        </w:rPr>
        <w:t xml:space="preserve">לשימוע פומבי/ תחקיר פומבי בכנסת לשופטים; </w:t>
      </w:r>
    </w:p>
    <w:p w:rsidR="005366A8" w:rsidRDefault="005366A8" w:rsidP="005366A8">
      <w:pPr>
        <w:spacing w:after="60"/>
        <w:ind w:left="720"/>
        <w:rPr>
          <w:b/>
          <w:bCs/>
          <w:sz w:val="20"/>
          <w:szCs w:val="20"/>
          <w:rtl/>
        </w:rPr>
      </w:pPr>
      <w:r>
        <w:rPr>
          <w:rFonts w:hint="cs"/>
          <w:b/>
          <w:bCs/>
          <w:sz w:val="20"/>
          <w:szCs w:val="20"/>
          <w:rtl/>
        </w:rPr>
        <w:t>"</w:t>
      </w:r>
      <w:r w:rsidRPr="009106AB">
        <w:rPr>
          <w:rFonts w:hint="cs"/>
          <w:b/>
          <w:bCs/>
          <w:sz w:val="20"/>
          <w:szCs w:val="20"/>
          <w:rtl/>
        </w:rPr>
        <w:t>לפיסקת התגברות</w:t>
      </w:r>
      <w:r>
        <w:rPr>
          <w:rFonts w:hint="cs"/>
          <w:b/>
          <w:bCs/>
          <w:sz w:val="20"/>
          <w:szCs w:val="20"/>
          <w:rtl/>
        </w:rPr>
        <w:t>"</w:t>
      </w:r>
      <w:r w:rsidRPr="009106AB">
        <w:rPr>
          <w:rFonts w:hint="cs"/>
          <w:b/>
          <w:bCs/>
          <w:sz w:val="20"/>
          <w:szCs w:val="20"/>
          <w:rtl/>
        </w:rPr>
        <w:t xml:space="preserve"> גורפת</w:t>
      </w:r>
      <w:r>
        <w:rPr>
          <w:rFonts w:hint="cs"/>
          <w:b/>
          <w:bCs/>
          <w:sz w:val="20"/>
          <w:szCs w:val="20"/>
          <w:rtl/>
        </w:rPr>
        <w:t xml:space="preserve"> - </w:t>
      </w:r>
      <w:r w:rsidRPr="007273CB">
        <w:rPr>
          <w:rFonts w:hint="cs"/>
          <w:sz w:val="20"/>
          <w:szCs w:val="20"/>
          <w:rtl/>
        </w:rPr>
        <w:t>הצעתה של חברת הכנסת שקד ואחרים לאחר פסק הדין השני בנושא התיקון לחוק למניעת הסתננות</w:t>
      </w:r>
      <w:r w:rsidRPr="009106AB">
        <w:rPr>
          <w:rFonts w:hint="cs"/>
          <w:b/>
          <w:bCs/>
          <w:sz w:val="20"/>
          <w:szCs w:val="20"/>
          <w:rtl/>
        </w:rPr>
        <w:t>;</w:t>
      </w:r>
    </w:p>
    <w:p w:rsidR="005366A8" w:rsidRDefault="005366A8" w:rsidP="005366A8">
      <w:pPr>
        <w:spacing w:after="60"/>
        <w:ind w:left="720"/>
        <w:rPr>
          <w:b/>
          <w:bCs/>
          <w:sz w:val="20"/>
          <w:szCs w:val="20"/>
          <w:rtl/>
        </w:rPr>
      </w:pPr>
      <w:r w:rsidRPr="009106AB">
        <w:rPr>
          <w:rFonts w:hint="cs"/>
          <w:b/>
          <w:bCs/>
          <w:sz w:val="20"/>
          <w:szCs w:val="20"/>
          <w:rtl/>
        </w:rPr>
        <w:t xml:space="preserve">לדרישה לרוב מיוחד בקרב שופטי ההרכב כתנאי לפסילתו של חוק; </w:t>
      </w:r>
    </w:p>
    <w:p w:rsidR="005366A8" w:rsidRDefault="005366A8" w:rsidP="005366A8">
      <w:pPr>
        <w:spacing w:after="60"/>
        <w:ind w:left="720"/>
        <w:rPr>
          <w:b/>
          <w:bCs/>
          <w:sz w:val="20"/>
          <w:szCs w:val="20"/>
          <w:rtl/>
        </w:rPr>
      </w:pPr>
      <w:r w:rsidRPr="009106AB">
        <w:rPr>
          <w:rFonts w:hint="cs"/>
          <w:b/>
          <w:bCs/>
          <w:sz w:val="20"/>
          <w:szCs w:val="20"/>
          <w:rtl/>
        </w:rPr>
        <w:t>להגבלה מפורשת של האפשרות לביקורת מטא-טקסטואלית</w:t>
      </w:r>
      <w:r>
        <w:rPr>
          <w:rFonts w:hint="cs"/>
          <w:b/>
          <w:bCs/>
          <w:sz w:val="20"/>
          <w:szCs w:val="20"/>
          <w:rtl/>
        </w:rPr>
        <w:t xml:space="preserve">; </w:t>
      </w:r>
    </w:p>
    <w:p w:rsidR="005366A8" w:rsidRDefault="005366A8" w:rsidP="005366A8">
      <w:pPr>
        <w:spacing w:after="60"/>
        <w:ind w:left="720"/>
        <w:rPr>
          <w:sz w:val="20"/>
          <w:szCs w:val="20"/>
          <w:rtl/>
        </w:rPr>
      </w:pPr>
      <w:r>
        <w:rPr>
          <w:rFonts w:hint="cs"/>
          <w:b/>
          <w:bCs/>
          <w:sz w:val="20"/>
          <w:szCs w:val="20"/>
          <w:rtl/>
        </w:rPr>
        <w:t>צמצום הביקורת השיפוטית החוקתית לבית המשפט העליון בלבד ולא לרשות השופטת בכללותה</w:t>
      </w:r>
      <w:r w:rsidRPr="009106AB">
        <w:rPr>
          <w:rFonts w:hint="cs"/>
          <w:b/>
          <w:bCs/>
          <w:sz w:val="20"/>
          <w:szCs w:val="20"/>
          <w:rtl/>
        </w:rPr>
        <w:t>;</w:t>
      </w:r>
      <w:r>
        <w:rPr>
          <w:rFonts w:hint="cs"/>
          <w:sz w:val="20"/>
          <w:szCs w:val="20"/>
          <w:rtl/>
        </w:rPr>
        <w:t xml:space="preserve"> </w:t>
      </w:r>
    </w:p>
    <w:p w:rsidR="005366A8" w:rsidRDefault="005366A8" w:rsidP="005366A8">
      <w:pPr>
        <w:spacing w:after="60"/>
        <w:ind w:left="720"/>
        <w:rPr>
          <w:sz w:val="20"/>
          <w:szCs w:val="20"/>
          <w:rtl/>
        </w:rPr>
      </w:pPr>
      <w:r>
        <w:rPr>
          <w:rFonts w:hint="cs"/>
          <w:b/>
          <w:bCs/>
          <w:sz w:val="20"/>
          <w:szCs w:val="20"/>
          <w:rtl/>
        </w:rPr>
        <w:t xml:space="preserve">הצעות לצמצום הביקורת השילטונית "בסוגיות ביטחוניות", </w:t>
      </w:r>
      <w:r>
        <w:rPr>
          <w:rFonts w:hint="cs"/>
          <w:sz w:val="20"/>
          <w:szCs w:val="20"/>
          <w:rtl/>
        </w:rPr>
        <w:t>ועוד</w:t>
      </w:r>
      <w:r w:rsidRPr="006C040E">
        <w:rPr>
          <w:sz w:val="20"/>
          <w:szCs w:val="20"/>
          <w:rtl/>
        </w:rPr>
        <w:t>.</w:t>
      </w:r>
      <w:r>
        <w:rPr>
          <w:rFonts w:hint="cs"/>
          <w:sz w:val="20"/>
          <w:szCs w:val="20"/>
          <w:rtl/>
        </w:rPr>
        <w:t xml:space="preserve"> </w:t>
      </w:r>
    </w:p>
    <w:p w:rsidR="005366A8" w:rsidRDefault="005366A8" w:rsidP="005366A8">
      <w:pPr>
        <w:spacing w:after="60"/>
        <w:ind w:left="360"/>
        <w:rPr>
          <w:sz w:val="20"/>
          <w:szCs w:val="20"/>
          <w:rtl/>
        </w:rPr>
      </w:pPr>
      <w:r>
        <w:rPr>
          <w:rFonts w:hint="cs"/>
          <w:sz w:val="20"/>
          <w:szCs w:val="20"/>
          <w:rtl/>
        </w:rPr>
        <w:t xml:space="preserve">[מקצת המהלכים הללו מופיעים גם בהצעת חוק יסוד: החקיקה המובאת בחלקה לעיל; נסו לזהותם]. </w:t>
      </w:r>
    </w:p>
    <w:p w:rsidR="005366A8" w:rsidRDefault="005366A8" w:rsidP="005366A8">
      <w:pPr>
        <w:spacing w:after="60"/>
        <w:rPr>
          <w:sz w:val="20"/>
          <w:szCs w:val="20"/>
          <w:rtl/>
        </w:rPr>
      </w:pPr>
    </w:p>
    <w:p w:rsidR="005366A8" w:rsidRDefault="005366A8" w:rsidP="005366A8">
      <w:pPr>
        <w:spacing w:after="60"/>
        <w:rPr>
          <w:rFonts w:cs="David"/>
          <w:b/>
          <w:bCs/>
          <w:sz w:val="20"/>
          <w:szCs w:val="20"/>
          <w:rtl/>
        </w:rPr>
      </w:pPr>
      <w:r>
        <w:rPr>
          <w:rFonts w:cs="David" w:hint="cs"/>
          <w:b/>
          <w:bCs/>
          <w:sz w:val="20"/>
          <w:szCs w:val="20"/>
          <w:rtl/>
        </w:rPr>
        <w:t>=-=</w:t>
      </w:r>
    </w:p>
    <w:p w:rsidR="005366A8" w:rsidRDefault="005366A8" w:rsidP="005366A8">
      <w:pPr>
        <w:spacing w:after="60"/>
        <w:rPr>
          <w:sz w:val="20"/>
          <w:szCs w:val="20"/>
          <w:rtl/>
        </w:rPr>
      </w:pPr>
    </w:p>
    <w:p w:rsidR="005366A8" w:rsidRDefault="005366A8" w:rsidP="005366A8">
      <w:pPr>
        <w:spacing w:after="60"/>
        <w:rPr>
          <w:rFonts w:cs="David"/>
          <w:sz w:val="20"/>
          <w:szCs w:val="20"/>
          <w:rtl/>
        </w:rPr>
      </w:pPr>
      <w:r w:rsidRPr="00CA28AC">
        <w:rPr>
          <w:rFonts w:cs="David" w:hint="cs"/>
          <w:b/>
          <w:bCs/>
          <w:sz w:val="20"/>
          <w:szCs w:val="20"/>
          <w:highlight w:val="green"/>
          <w:u w:val="single"/>
          <w:rtl/>
        </w:rPr>
        <w:t>חומר הקריאה לפגישה הבאה</w:t>
      </w:r>
      <w:r w:rsidRPr="00CA28AC">
        <w:rPr>
          <w:rFonts w:cs="David" w:hint="cs"/>
          <w:b/>
          <w:bCs/>
          <w:sz w:val="20"/>
          <w:szCs w:val="20"/>
          <w:highlight w:val="green"/>
          <w:rtl/>
        </w:rPr>
        <w:t>:</w:t>
      </w:r>
      <w:r w:rsidRPr="00CA28AC">
        <w:rPr>
          <w:rFonts w:cs="David" w:hint="cs"/>
          <w:b/>
          <w:bCs/>
          <w:sz w:val="20"/>
          <w:szCs w:val="20"/>
          <w:rtl/>
        </w:rPr>
        <w:t xml:space="preserve"> </w:t>
      </w:r>
      <w:r>
        <w:rPr>
          <w:rFonts w:cs="David" w:hint="cs"/>
          <w:sz w:val="20"/>
          <w:szCs w:val="20"/>
          <w:rtl/>
        </w:rPr>
        <w:t xml:space="preserve">קראו בעיון שוב את הדפים של היום והביאו אותם לפגישה הקרובה, וקראו את פסה"ד החשוב של </w:t>
      </w:r>
      <w:r w:rsidRPr="00D1470C">
        <w:rPr>
          <w:rFonts w:cs="David" w:hint="cs"/>
          <w:b/>
          <w:bCs/>
          <w:sz w:val="20"/>
          <w:szCs w:val="20"/>
          <w:rtl/>
        </w:rPr>
        <w:t>בר-און</w:t>
      </w:r>
      <w:r>
        <w:rPr>
          <w:rFonts w:cs="David" w:hint="cs"/>
          <w:sz w:val="20"/>
          <w:szCs w:val="20"/>
          <w:rtl/>
        </w:rPr>
        <w:t xml:space="preserve">. </w:t>
      </w:r>
    </w:p>
    <w:p w:rsidR="005366A8" w:rsidRPr="00566EEB" w:rsidRDefault="005366A8" w:rsidP="005366A8">
      <w:pPr>
        <w:spacing w:after="60"/>
        <w:ind w:left="720"/>
        <w:rPr>
          <w:rFonts w:cs="David"/>
          <w:b/>
          <w:bCs/>
          <w:sz w:val="20"/>
          <w:szCs w:val="20"/>
          <w:rtl/>
        </w:rPr>
      </w:pPr>
      <w:r w:rsidRPr="00566EEB">
        <w:rPr>
          <w:rFonts w:cs="David" w:hint="cs"/>
          <w:b/>
          <w:bCs/>
          <w:sz w:val="20"/>
          <w:szCs w:val="20"/>
          <w:rtl/>
        </w:rPr>
        <w:t xml:space="preserve">כיצד מזוהות הוראות החוקה? </w:t>
      </w:r>
    </w:p>
    <w:p w:rsidR="005366A8" w:rsidRPr="008B4782" w:rsidRDefault="005366A8" w:rsidP="005366A8">
      <w:pPr>
        <w:spacing w:after="60"/>
        <w:ind w:left="720"/>
        <w:rPr>
          <w:rtl/>
        </w:rPr>
      </w:pPr>
      <w:r w:rsidRPr="00566EEB">
        <w:rPr>
          <w:rFonts w:cs="David" w:hint="cs"/>
          <w:b/>
          <w:bCs/>
          <w:sz w:val="20"/>
          <w:szCs w:val="20"/>
          <w:rtl/>
        </w:rPr>
        <w:t>האם וכיצד ניתן לזהות שימוש פסול בסמכות המכוננת, ועד כמה נתונה סמכות לביקורת שיפוטית מטא-טקסטואלית?</w:t>
      </w:r>
    </w:p>
    <w:p w:rsidR="005366A8" w:rsidRDefault="005366A8">
      <w:pPr>
        <w:bidi w:val="0"/>
        <w:jc w:val="left"/>
        <w:rPr>
          <w:sz w:val="22"/>
          <w:szCs w:val="22"/>
          <w:rtl/>
        </w:rPr>
      </w:pPr>
      <w:r>
        <w:rPr>
          <w:sz w:val="22"/>
          <w:szCs w:val="22"/>
          <w:rtl/>
        </w:rPr>
        <w:br w:type="page"/>
      </w:r>
    </w:p>
    <w:p w:rsidR="005366A8" w:rsidRPr="001C6701" w:rsidRDefault="005366A8" w:rsidP="005366A8">
      <w:pPr>
        <w:spacing w:after="120"/>
        <w:jc w:val="right"/>
        <w:rPr>
          <w:sz w:val="22"/>
          <w:szCs w:val="22"/>
          <w:rtl/>
        </w:rPr>
      </w:pPr>
      <w:r w:rsidRPr="007F6E4F">
        <w:rPr>
          <w:rFonts w:hint="cs"/>
          <w:b/>
          <w:bCs/>
          <w:sz w:val="22"/>
          <w:szCs w:val="22"/>
          <w:rtl/>
        </w:rPr>
        <w:t>משפט ציבורי</w:t>
      </w:r>
      <w:r>
        <w:rPr>
          <w:rFonts w:hint="cs"/>
          <w:sz w:val="22"/>
          <w:szCs w:val="22"/>
          <w:rtl/>
        </w:rPr>
        <w:t xml:space="preserve">, </w:t>
      </w:r>
      <w:r w:rsidRPr="00C4131E">
        <w:rPr>
          <w:rFonts w:hint="cs"/>
          <w:i/>
          <w:iCs/>
          <w:sz w:val="22"/>
          <w:szCs w:val="22"/>
          <w:rtl/>
        </w:rPr>
        <w:t>תשע</w:t>
      </w:r>
      <w:r>
        <w:rPr>
          <w:rFonts w:hint="cs"/>
          <w:i/>
          <w:iCs/>
          <w:sz w:val="22"/>
          <w:szCs w:val="22"/>
          <w:rtl/>
        </w:rPr>
        <w:t>"ה</w:t>
      </w:r>
      <w:r>
        <w:rPr>
          <w:rFonts w:hint="cs"/>
          <w:sz w:val="22"/>
          <w:szCs w:val="22"/>
          <w:rtl/>
        </w:rPr>
        <w:t xml:space="preserve">, </w:t>
      </w:r>
      <w:r w:rsidRPr="007F6E4F">
        <w:rPr>
          <w:rFonts w:hint="cs"/>
          <w:b/>
          <w:bCs/>
          <w:sz w:val="22"/>
          <w:szCs w:val="22"/>
          <w:rtl/>
        </w:rPr>
        <w:t>סמסטר א',</w:t>
      </w:r>
      <w:r>
        <w:rPr>
          <w:rFonts w:hint="cs"/>
          <w:sz w:val="22"/>
          <w:szCs w:val="22"/>
          <w:rtl/>
        </w:rPr>
        <w:t xml:space="preserve"> ד"ר אילן סבן, נובמבר 2014, </w:t>
      </w:r>
      <w:r w:rsidRPr="005366A8">
        <w:rPr>
          <w:rFonts w:hint="cs"/>
          <w:b/>
          <w:bCs/>
          <w:i/>
          <w:iCs/>
          <w:sz w:val="22"/>
          <w:szCs w:val="22"/>
          <w:highlight w:val="magenta"/>
          <w:u w:val="single"/>
          <w:rtl/>
        </w:rPr>
        <w:t>פגישה 11</w:t>
      </w:r>
    </w:p>
    <w:p w:rsidR="005366A8" w:rsidRDefault="005366A8" w:rsidP="005366A8">
      <w:pPr>
        <w:pStyle w:val="T-body"/>
        <w:spacing w:after="240" w:line="240" w:lineRule="auto"/>
        <w:jc w:val="center"/>
        <w:rPr>
          <w:rFonts w:ascii="Arial" w:hAnsi="Arial" w:cs="Guttman-Soncino"/>
          <w:b/>
          <w:bCs/>
          <w:sz w:val="36"/>
          <w:szCs w:val="36"/>
          <w:u w:val="single"/>
          <w:rtl/>
        </w:rPr>
      </w:pPr>
      <w:r w:rsidRPr="00A34D93">
        <w:rPr>
          <w:rFonts w:ascii="Arial" w:hAnsi="Arial" w:cs="Guttman-Soncino" w:hint="cs"/>
          <w:b/>
          <w:bCs/>
          <w:sz w:val="36"/>
          <w:szCs w:val="36"/>
          <w:highlight w:val="yellow"/>
          <w:u w:val="single"/>
          <w:rtl/>
        </w:rPr>
        <w:t xml:space="preserve">החוקה הפורמאלית </w:t>
      </w:r>
      <w:r w:rsidRPr="00A34D93">
        <w:rPr>
          <w:rFonts w:ascii="Arial" w:hAnsi="Arial" w:cs="Guttman-Soncino"/>
          <w:b/>
          <w:bCs/>
          <w:sz w:val="36"/>
          <w:szCs w:val="36"/>
          <w:highlight w:val="yellow"/>
          <w:u w:val="single"/>
          <w:rtl/>
        </w:rPr>
        <w:t>–</w:t>
      </w:r>
      <w:r w:rsidRPr="00A34D93">
        <w:rPr>
          <w:rFonts w:ascii="Arial" w:hAnsi="Arial" w:cs="Guttman-Soncino" w:hint="cs"/>
          <w:b/>
          <w:bCs/>
          <w:sz w:val="36"/>
          <w:szCs w:val="36"/>
          <w:highlight w:val="yellow"/>
          <w:u w:val="single"/>
          <w:rtl/>
        </w:rPr>
        <w:t xml:space="preserve"> המשך</w:t>
      </w:r>
    </w:p>
    <w:p w:rsidR="005366A8" w:rsidRDefault="005366A8" w:rsidP="005366A8">
      <w:pPr>
        <w:spacing w:after="120"/>
        <w:jc w:val="center"/>
        <w:rPr>
          <w:rFonts w:ascii="Arial" w:hAnsi="Arial" w:cs="Arial"/>
          <w:b/>
          <w:bCs/>
          <w:sz w:val="22"/>
          <w:szCs w:val="22"/>
          <w:rtl/>
        </w:rPr>
      </w:pPr>
      <w:r w:rsidRPr="00370A4F">
        <w:rPr>
          <w:rFonts w:ascii="Arial" w:hAnsi="Arial" w:cs="Arial" w:hint="cs"/>
          <w:b/>
          <w:bCs/>
          <w:sz w:val="22"/>
          <w:szCs w:val="22"/>
          <w:highlight w:val="yellow"/>
          <w:rtl/>
        </w:rPr>
        <w:t xml:space="preserve">הויכוח </w:t>
      </w:r>
      <w:r w:rsidRPr="00370A4F">
        <w:rPr>
          <w:rFonts w:ascii="Arial" w:hAnsi="Arial" w:cs="Arial" w:hint="cs"/>
          <w:b/>
          <w:bCs/>
          <w:i/>
          <w:iCs/>
          <w:sz w:val="22"/>
          <w:szCs w:val="22"/>
          <w:highlight w:val="yellow"/>
          <w:rtl/>
        </w:rPr>
        <w:t>בבנק המזרחי</w:t>
      </w:r>
      <w:r w:rsidRPr="00370A4F">
        <w:rPr>
          <w:rFonts w:ascii="Arial" w:hAnsi="Arial" w:cs="Arial" w:hint="cs"/>
          <w:b/>
          <w:bCs/>
          <w:sz w:val="22"/>
          <w:szCs w:val="22"/>
          <w:highlight w:val="yellow"/>
          <w:rtl/>
        </w:rPr>
        <w:t xml:space="preserve"> ביחס לשאלת הלגיטימיות של הכנסת כרשות מכוננת והלגיטימיות של הביקורת השיפוטית החוקתית (המשך קצר)</w:t>
      </w:r>
      <w:r>
        <w:rPr>
          <w:rFonts w:ascii="Arial" w:hAnsi="Arial" w:cs="Arial" w:hint="cs"/>
          <w:b/>
          <w:bCs/>
          <w:sz w:val="22"/>
          <w:szCs w:val="22"/>
          <w:rtl/>
        </w:rPr>
        <w:t xml:space="preserve"> </w:t>
      </w:r>
      <w:r>
        <w:rPr>
          <w:rFonts w:ascii="Arial" w:hAnsi="Arial" w:cs="Arial"/>
          <w:b/>
          <w:bCs/>
          <w:sz w:val="22"/>
          <w:szCs w:val="22"/>
          <w:rtl/>
        </w:rPr>
        <w:t>–</w:t>
      </w:r>
    </w:p>
    <w:p w:rsidR="005366A8" w:rsidRPr="007C7715" w:rsidRDefault="005366A8" w:rsidP="005366A8">
      <w:pPr>
        <w:spacing w:after="120"/>
        <w:rPr>
          <w:rFonts w:ascii="Arial" w:hAnsi="Arial" w:cs="Arial"/>
          <w:b/>
          <w:bCs/>
          <w:sz w:val="20"/>
          <w:szCs w:val="20"/>
          <w:rtl/>
        </w:rPr>
      </w:pPr>
      <w:r w:rsidRPr="007C7715">
        <w:rPr>
          <w:rFonts w:ascii="Arial" w:hAnsi="Arial" w:cs="Arial" w:hint="cs"/>
          <w:b/>
          <w:bCs/>
          <w:sz w:val="20"/>
          <w:szCs w:val="20"/>
          <w:rtl/>
        </w:rPr>
        <w:t>הערות של המתרגל אורי</w:t>
      </w:r>
      <w:r>
        <w:rPr>
          <w:rFonts w:ascii="Arial" w:hAnsi="Arial" w:cs="Arial" w:hint="cs"/>
          <w:b/>
          <w:bCs/>
          <w:sz w:val="20"/>
          <w:szCs w:val="20"/>
          <w:rtl/>
        </w:rPr>
        <w:t xml:space="preserve"> סבח, שתרגל בשנתיים החולפות</w:t>
      </w:r>
      <w:r w:rsidRPr="007C7715">
        <w:rPr>
          <w:rFonts w:ascii="Arial" w:hAnsi="Arial" w:cs="Arial" w:hint="cs"/>
          <w:b/>
          <w:bCs/>
          <w:sz w:val="20"/>
          <w:szCs w:val="20"/>
          <w:rtl/>
        </w:rPr>
        <w:t>, והתייחסות שלי</w:t>
      </w:r>
      <w:r>
        <w:rPr>
          <w:rFonts w:ascii="Arial" w:hAnsi="Arial" w:cs="Arial" w:hint="cs"/>
          <w:b/>
          <w:bCs/>
          <w:sz w:val="20"/>
          <w:szCs w:val="20"/>
          <w:rtl/>
        </w:rPr>
        <w:t xml:space="preserve"> להערותיו</w:t>
      </w:r>
      <w:r w:rsidRPr="007C7715">
        <w:rPr>
          <w:rFonts w:ascii="Arial" w:hAnsi="Arial" w:cs="Arial" w:hint="cs"/>
          <w:b/>
          <w:bCs/>
          <w:sz w:val="20"/>
          <w:szCs w:val="20"/>
          <w:rtl/>
        </w:rPr>
        <w:t>:</w:t>
      </w:r>
    </w:p>
    <w:p w:rsidR="005366A8" w:rsidRPr="00871BDF" w:rsidRDefault="005366A8" w:rsidP="005366A8">
      <w:pPr>
        <w:rPr>
          <w:sz w:val="20"/>
          <w:szCs w:val="20"/>
        </w:rPr>
      </w:pPr>
      <w:r w:rsidRPr="00284E5D">
        <w:rPr>
          <w:rFonts w:hint="cs"/>
          <w:sz w:val="20"/>
          <w:szCs w:val="20"/>
          <w:highlight w:val="yellow"/>
          <w:rtl/>
        </w:rPr>
        <w:t>אורי</w:t>
      </w:r>
      <w:r>
        <w:rPr>
          <w:rFonts w:hint="cs"/>
          <w:sz w:val="20"/>
          <w:szCs w:val="20"/>
          <w:rtl/>
        </w:rPr>
        <w:t xml:space="preserve"> </w:t>
      </w:r>
      <w:r>
        <w:rPr>
          <w:sz w:val="20"/>
          <w:szCs w:val="20"/>
          <w:rtl/>
        </w:rPr>
        <w:t>–</w:t>
      </w:r>
      <w:r>
        <w:rPr>
          <w:rFonts w:hint="cs"/>
          <w:sz w:val="20"/>
          <w:szCs w:val="20"/>
          <w:rtl/>
        </w:rPr>
        <w:t xml:space="preserve"> </w:t>
      </w:r>
      <w:r w:rsidRPr="00871BDF">
        <w:rPr>
          <w:rFonts w:hint="cs"/>
          <w:sz w:val="20"/>
          <w:szCs w:val="20"/>
          <w:rtl/>
        </w:rPr>
        <w:t>שתי הערות בהמשך לדיון על המהפכה החוקתית שנערך בכתה</w:t>
      </w:r>
      <w:r>
        <w:rPr>
          <w:rFonts w:hint="cs"/>
          <w:sz w:val="20"/>
          <w:szCs w:val="20"/>
          <w:rtl/>
        </w:rPr>
        <w:t>:</w:t>
      </w:r>
      <w:r w:rsidRPr="00871BDF">
        <w:rPr>
          <w:rFonts w:hint="cs"/>
          <w:sz w:val="20"/>
          <w:szCs w:val="20"/>
          <w:rtl/>
        </w:rPr>
        <w:br/>
      </w:r>
      <w:r w:rsidRPr="00871BDF">
        <w:rPr>
          <w:rFonts w:hint="cs"/>
          <w:sz w:val="20"/>
          <w:szCs w:val="20"/>
          <w:rtl/>
        </w:rPr>
        <w:br/>
        <w:t xml:space="preserve">1. לגבי הטענה </w:t>
      </w:r>
      <w:r>
        <w:rPr>
          <w:rFonts w:hint="cs"/>
          <w:sz w:val="20"/>
          <w:szCs w:val="20"/>
          <w:rtl/>
        </w:rPr>
        <w:t xml:space="preserve">לפיה הלגיטימיות מתחזקת מכוח העובדה לפיה </w:t>
      </w:r>
      <w:r w:rsidRPr="00871BDF">
        <w:rPr>
          <w:rFonts w:hint="cs"/>
          <w:sz w:val="20"/>
          <w:szCs w:val="20"/>
          <w:rtl/>
        </w:rPr>
        <w:t>הכנסת לא שינתה את חוקי היסוד לאחר פסיקות בית המשפט, ולא צמצמה את תוקפם:</w:t>
      </w:r>
      <w:r w:rsidRPr="00871BDF">
        <w:rPr>
          <w:rFonts w:hint="cs"/>
          <w:sz w:val="20"/>
          <w:szCs w:val="20"/>
          <w:rtl/>
        </w:rPr>
        <w:br/>
      </w:r>
      <w:r>
        <w:rPr>
          <w:rFonts w:hint="cs"/>
          <w:sz w:val="20"/>
          <w:szCs w:val="20"/>
          <w:rtl/>
        </w:rPr>
        <w:t xml:space="preserve">יש לומר במקביל, כי </w:t>
      </w:r>
      <w:r w:rsidRPr="00871BDF">
        <w:rPr>
          <w:rFonts w:hint="cs"/>
          <w:sz w:val="20"/>
          <w:szCs w:val="20"/>
          <w:rtl/>
        </w:rPr>
        <w:t>הכנסת גם לא חוקקה חוקי יסוד חדשים, וקשה לחשוב על אפשרות מעשית לחקיקת חוקי יסוד חדשים. לפחות לא בקונסטלציה הקיימת</w:t>
      </w:r>
      <w:r>
        <w:rPr>
          <w:rFonts w:hint="cs"/>
          <w:sz w:val="20"/>
          <w:szCs w:val="20"/>
          <w:rtl/>
        </w:rPr>
        <w:t xml:space="preserve"> [=במבנה היחסים הפוליטיים/ הנסיבות הקיימות]</w:t>
      </w:r>
      <w:r w:rsidRPr="00871BDF">
        <w:rPr>
          <w:rFonts w:hint="cs"/>
          <w:sz w:val="20"/>
          <w:szCs w:val="20"/>
          <w:rtl/>
        </w:rPr>
        <w:t xml:space="preserve"> בכנסות האחרונות.</w:t>
      </w:r>
      <w:r w:rsidRPr="00871BDF">
        <w:rPr>
          <w:rFonts w:hint="cs"/>
          <w:sz w:val="20"/>
          <w:szCs w:val="20"/>
          <w:rtl/>
        </w:rPr>
        <w:br/>
      </w:r>
      <w:r>
        <w:rPr>
          <w:rFonts w:hint="cs"/>
          <w:sz w:val="20"/>
          <w:szCs w:val="20"/>
          <w:rtl/>
        </w:rPr>
        <w:t xml:space="preserve">במילים אחרות, </w:t>
      </w:r>
      <w:r w:rsidRPr="00871BDF">
        <w:rPr>
          <w:rFonts w:hint="cs"/>
          <w:sz w:val="20"/>
          <w:szCs w:val="20"/>
          <w:rtl/>
        </w:rPr>
        <w:t>יכול להיות שהמצב הקיים לא משקף קבלה של המהפכה החוקתית, אלא מדובר במצב שבו המהפכה "נתקעה" או מתקשה להתקדם.</w:t>
      </w:r>
      <w:r w:rsidRPr="00871BDF">
        <w:rPr>
          <w:rFonts w:hint="cs"/>
          <w:sz w:val="20"/>
          <w:szCs w:val="20"/>
          <w:rtl/>
        </w:rPr>
        <w:br/>
      </w:r>
      <w:r w:rsidRPr="00871BDF">
        <w:rPr>
          <w:rFonts w:hint="cs"/>
          <w:sz w:val="20"/>
          <w:szCs w:val="20"/>
          <w:rtl/>
        </w:rPr>
        <w:br/>
        <w:t xml:space="preserve">2. בנוגע לביקורת של </w:t>
      </w:r>
      <w:r>
        <w:rPr>
          <w:rFonts w:hint="cs"/>
          <w:sz w:val="20"/>
          <w:szCs w:val="20"/>
          <w:rtl/>
        </w:rPr>
        <w:t xml:space="preserve">השופט </w:t>
      </w:r>
      <w:r w:rsidRPr="00871BDF">
        <w:rPr>
          <w:rFonts w:hint="cs"/>
          <w:sz w:val="20"/>
          <w:szCs w:val="20"/>
          <w:rtl/>
        </w:rPr>
        <w:t xml:space="preserve">חשין, וללגיטימיות של פעילות הכנסת בכובעה המכונן, בהמשך לטיעון </w:t>
      </w:r>
      <w:r>
        <w:rPr>
          <w:rFonts w:hint="cs"/>
          <w:sz w:val="20"/>
          <w:szCs w:val="20"/>
          <w:rtl/>
        </w:rPr>
        <w:t>שהושמע בשיעור על ידי אחת הסטודנטיות</w:t>
      </w:r>
      <w:r w:rsidRPr="00871BDF">
        <w:rPr>
          <w:rFonts w:hint="cs"/>
          <w:sz w:val="20"/>
          <w:szCs w:val="20"/>
          <w:rtl/>
        </w:rPr>
        <w:t>:</w:t>
      </w:r>
      <w:r w:rsidRPr="00871BDF">
        <w:rPr>
          <w:rFonts w:hint="cs"/>
          <w:sz w:val="20"/>
          <w:szCs w:val="20"/>
          <w:rtl/>
        </w:rPr>
        <w:br/>
        <w:t xml:space="preserve">הקושי האישי שלי הוא שהבחירות הנערכות לכנסת אינן בחירות לאסיפה מכוננת, ולא נתפסות ככאלה על ידי הבוחרים וכנראה שגם לא על ידי המפלגות. כלומר - כשהבוחרים משתתפים בתהליך הבחירות לכנסת הם לא ממש חושבים על כך שיש משמעות לבחירות שלהם במובן של השפעה על חוקי היסוד ועל המצב החוקתי בישראל. זה פוגם בלגיטימיות של הפעילות של הכנסת בכובעה המכונן. </w:t>
      </w:r>
      <w:r w:rsidRPr="00871BDF">
        <w:rPr>
          <w:rFonts w:hint="cs"/>
          <w:sz w:val="20"/>
          <w:szCs w:val="20"/>
          <w:rtl/>
        </w:rPr>
        <w:br/>
        <w:t>אם כבר, הציבור מודע ליחסי הכוחות וליריבות בין הכנסת לבין בית המשפט, לנסיונות "קטנים" יותר של הכנסת להשפיע על יחסי הכוחות כמו החוקים ה"אישיים" שחוקקו או שהוצע לחוקק בכנסת האחרונה (לגבי הנשיאות של</w:t>
      </w:r>
      <w:r>
        <w:rPr>
          <w:rFonts w:hint="cs"/>
          <w:sz w:val="20"/>
          <w:szCs w:val="20"/>
          <w:rtl/>
        </w:rPr>
        <w:t xml:space="preserve"> השופט</w:t>
      </w:r>
      <w:r w:rsidRPr="00871BDF">
        <w:rPr>
          <w:rFonts w:hint="cs"/>
          <w:sz w:val="20"/>
          <w:szCs w:val="20"/>
          <w:rtl/>
        </w:rPr>
        <w:t xml:space="preserve"> גרוניס, הרכב חברי הוועדה לבחירת שופטים מטעם לשכת עורכי הדין). כלומר, הציבור תופס את היריבות בין הכנסת לבית המשפט כויכוח שקשור לחוקים "רגילים" ולא לחוקי יסוד. </w:t>
      </w:r>
      <w:r w:rsidRPr="00871BDF">
        <w:rPr>
          <w:rFonts w:hint="cs"/>
          <w:sz w:val="20"/>
          <w:szCs w:val="20"/>
          <w:rtl/>
        </w:rPr>
        <w:br/>
      </w:r>
      <w:r>
        <w:rPr>
          <w:rFonts w:hint="cs"/>
          <w:sz w:val="20"/>
          <w:szCs w:val="20"/>
          <w:rtl/>
        </w:rPr>
        <w:t xml:space="preserve">לשון אחרת, </w:t>
      </w:r>
      <w:r w:rsidRPr="00871BDF">
        <w:rPr>
          <w:rFonts w:hint="cs"/>
          <w:sz w:val="20"/>
          <w:szCs w:val="20"/>
          <w:rtl/>
        </w:rPr>
        <w:t>בפועל, יש כנסת עם סמכויות מכוננות, ששואבת את הלגיטימיות שלה מהצבעה של הציבור על בסיס שיקולים שאינם שיקולים חוקתיים (שאלות של חוץ וביטחון בדר"כ). ההכרעות החוקתיות (או אי-ההכרעה החוקתית) לא מתבססת על דיון של הציבור על הנושאים החוקתיים.</w:t>
      </w:r>
    </w:p>
    <w:p w:rsidR="005366A8" w:rsidRDefault="005366A8" w:rsidP="005366A8">
      <w:pPr>
        <w:rPr>
          <w:sz w:val="20"/>
          <w:szCs w:val="20"/>
          <w:rtl/>
        </w:rPr>
      </w:pPr>
    </w:p>
    <w:p w:rsidR="005366A8" w:rsidRDefault="005366A8" w:rsidP="005366A8">
      <w:pPr>
        <w:rPr>
          <w:sz w:val="20"/>
          <w:szCs w:val="20"/>
          <w:rtl/>
        </w:rPr>
      </w:pPr>
      <w:r w:rsidRPr="00284E5D">
        <w:rPr>
          <w:rFonts w:hint="cs"/>
          <w:sz w:val="20"/>
          <w:szCs w:val="20"/>
          <w:highlight w:val="yellow"/>
          <w:rtl/>
        </w:rPr>
        <w:t>התייחסותי</w:t>
      </w:r>
      <w:r>
        <w:rPr>
          <w:rFonts w:hint="cs"/>
          <w:sz w:val="20"/>
          <w:szCs w:val="20"/>
          <w:rtl/>
        </w:rPr>
        <w:t>.</w:t>
      </w:r>
    </w:p>
    <w:p w:rsidR="005366A8" w:rsidRDefault="005366A8" w:rsidP="005366A8">
      <w:pPr>
        <w:rPr>
          <w:sz w:val="20"/>
          <w:szCs w:val="20"/>
          <w:rtl/>
        </w:rPr>
      </w:pPr>
      <w:r>
        <w:rPr>
          <w:rFonts w:hint="cs"/>
          <w:sz w:val="20"/>
          <w:szCs w:val="20"/>
          <w:rtl/>
        </w:rPr>
        <w:t xml:space="preserve">אשר לנקודה הראשונה. לדעתי יש קבלה של הכנסת (גם אם לא קבלה בשמחה ובשקיקה) של מצב הדברים החוקתי הקיים. כלומר השלמה עם המצב "התקוע" כלשונך; אחרת </w:t>
      </w:r>
      <w:r>
        <w:rPr>
          <w:sz w:val="20"/>
          <w:szCs w:val="20"/>
          <w:rtl/>
        </w:rPr>
        <w:t>–</w:t>
      </w:r>
      <w:r>
        <w:rPr>
          <w:rFonts w:hint="cs"/>
          <w:sz w:val="20"/>
          <w:szCs w:val="20"/>
          <w:rtl/>
        </w:rPr>
        <w:t xml:space="preserve"> ומשום שקל יחסית לשנות מצב זה </w:t>
      </w:r>
      <w:r>
        <w:rPr>
          <w:sz w:val="20"/>
          <w:szCs w:val="20"/>
          <w:rtl/>
        </w:rPr>
        <w:t>–</w:t>
      </w:r>
      <w:r>
        <w:rPr>
          <w:rFonts w:hint="cs"/>
          <w:sz w:val="20"/>
          <w:szCs w:val="20"/>
          <w:rtl/>
        </w:rPr>
        <w:t xml:space="preserve"> הוא היה משתנה. </w:t>
      </w:r>
    </w:p>
    <w:p w:rsidR="005366A8" w:rsidRDefault="005366A8" w:rsidP="005366A8">
      <w:pPr>
        <w:rPr>
          <w:sz w:val="20"/>
          <w:szCs w:val="20"/>
          <w:rtl/>
        </w:rPr>
      </w:pPr>
      <w:r>
        <w:rPr>
          <w:rFonts w:hint="cs"/>
          <w:sz w:val="20"/>
          <w:szCs w:val="20"/>
          <w:rtl/>
        </w:rPr>
        <w:t>זה נובע, בין היתר, א. מכך שבית המשפט נזהר מלעשות דברים שיכעיסו מאד גורמים רבי-כוח בכנסת; ו-ב. גם משום שחוקי היסוד קלים לשינוי, וקלות זו מרגיעה את אותם מתנגדים, ומרתיעה במקביל את בית המשפט. מטפורית (=המשל:) זהו שיח של בני-זוג נרגנים אך שלא החליטו להתגרש</w:t>
      </w:r>
      <w:r w:rsidRPr="00B85C61">
        <w:rPr>
          <w:sz w:val="20"/>
          <w:szCs w:val="20"/>
          <w:rtl/>
        </w:rPr>
        <w:t>..</w:t>
      </w:r>
    </w:p>
    <w:p w:rsidR="005366A8" w:rsidRDefault="005366A8" w:rsidP="005366A8">
      <w:pPr>
        <w:rPr>
          <w:sz w:val="20"/>
          <w:szCs w:val="20"/>
          <w:rtl/>
        </w:rPr>
      </w:pPr>
      <w:r w:rsidRPr="00B85C61">
        <w:rPr>
          <w:sz w:val="20"/>
          <w:szCs w:val="20"/>
          <w:rtl/>
        </w:rPr>
        <w:br/>
        <w:t xml:space="preserve">אינני נוטה להסכים </w:t>
      </w:r>
      <w:r>
        <w:rPr>
          <w:rFonts w:hint="cs"/>
          <w:sz w:val="20"/>
          <w:szCs w:val="20"/>
          <w:rtl/>
        </w:rPr>
        <w:t xml:space="preserve">גם </w:t>
      </w:r>
      <w:r w:rsidRPr="00B85C61">
        <w:rPr>
          <w:sz w:val="20"/>
          <w:szCs w:val="20"/>
          <w:rtl/>
        </w:rPr>
        <w:t xml:space="preserve">עם חלק מהנקודה השנייה. </w:t>
      </w:r>
    </w:p>
    <w:p w:rsidR="005366A8" w:rsidRDefault="005366A8" w:rsidP="005366A8">
      <w:pPr>
        <w:rPr>
          <w:sz w:val="20"/>
          <w:szCs w:val="20"/>
          <w:rtl/>
        </w:rPr>
      </w:pPr>
      <w:r w:rsidRPr="00B85C61">
        <w:rPr>
          <w:sz w:val="20"/>
          <w:szCs w:val="20"/>
          <w:rtl/>
        </w:rPr>
        <w:t>אני חושב שהציבור מבין את נושא חוקי היסוד, ובעיקר את רעיון הפרדת הרשויות וההגנה על זכויות האדם</w:t>
      </w:r>
      <w:r>
        <w:rPr>
          <w:rFonts w:hint="cs"/>
          <w:sz w:val="20"/>
          <w:szCs w:val="20"/>
          <w:rtl/>
        </w:rPr>
        <w:t xml:space="preserve"> הטמון בהם</w:t>
      </w:r>
      <w:r w:rsidRPr="00B85C61">
        <w:rPr>
          <w:sz w:val="20"/>
          <w:szCs w:val="20"/>
          <w:rtl/>
        </w:rPr>
        <w:t>. כמובן שחלק מהציבור חושב ש</w:t>
      </w:r>
      <w:r>
        <w:rPr>
          <w:rFonts w:hint="cs"/>
          <w:sz w:val="20"/>
          <w:szCs w:val="20"/>
          <w:rtl/>
        </w:rPr>
        <w:t>הגנה זו מופרזת</w:t>
      </w:r>
      <w:r w:rsidRPr="00B85C61">
        <w:rPr>
          <w:sz w:val="20"/>
          <w:szCs w:val="20"/>
          <w:rtl/>
        </w:rPr>
        <w:t xml:space="preserve">, ואז </w:t>
      </w:r>
      <w:r>
        <w:rPr>
          <w:rFonts w:hint="cs"/>
          <w:sz w:val="20"/>
          <w:szCs w:val="20"/>
          <w:rtl/>
        </w:rPr>
        <w:t>אותו חלק</w:t>
      </w:r>
      <w:r w:rsidRPr="00B85C61">
        <w:rPr>
          <w:sz w:val="20"/>
          <w:szCs w:val="20"/>
          <w:rtl/>
        </w:rPr>
        <w:t xml:space="preserve"> </w:t>
      </w:r>
      <w:r>
        <w:rPr>
          <w:rFonts w:hint="cs"/>
          <w:sz w:val="20"/>
          <w:szCs w:val="20"/>
          <w:rtl/>
        </w:rPr>
        <w:t xml:space="preserve">עשוי להצביע בעד רשימות שהן אסרטיביות/תוקפניות כלפי הרשות השופטת. </w:t>
      </w:r>
      <w:r w:rsidRPr="00B85C61">
        <w:rPr>
          <w:sz w:val="20"/>
          <w:szCs w:val="20"/>
          <w:rtl/>
        </w:rPr>
        <w:t>עם זאת, את נושא הסיכון המיוחד הטמון בנורמות חוקתיות, כלומר אפשרות השיריון</w:t>
      </w:r>
      <w:r>
        <w:rPr>
          <w:rFonts w:hint="cs"/>
          <w:sz w:val="20"/>
          <w:szCs w:val="20"/>
          <w:rtl/>
        </w:rPr>
        <w:t xml:space="preserve"> שלהן</w:t>
      </w:r>
      <w:r w:rsidRPr="00B85C61">
        <w:rPr>
          <w:sz w:val="20"/>
          <w:szCs w:val="20"/>
          <w:rtl/>
        </w:rPr>
        <w:t xml:space="preserve">, </w:t>
      </w:r>
      <w:r>
        <w:rPr>
          <w:rFonts w:hint="cs"/>
          <w:sz w:val="20"/>
          <w:szCs w:val="20"/>
          <w:rtl/>
        </w:rPr>
        <w:t>הציבור</w:t>
      </w:r>
      <w:r w:rsidRPr="00B85C61">
        <w:rPr>
          <w:sz w:val="20"/>
          <w:szCs w:val="20"/>
          <w:rtl/>
        </w:rPr>
        <w:t xml:space="preserve"> פחות מבין.</w:t>
      </w:r>
    </w:p>
    <w:p w:rsidR="005366A8" w:rsidRDefault="005366A8" w:rsidP="005366A8">
      <w:pPr>
        <w:ind w:left="720"/>
        <w:rPr>
          <w:sz w:val="20"/>
          <w:szCs w:val="20"/>
          <w:rtl/>
        </w:rPr>
      </w:pPr>
      <w:r>
        <w:rPr>
          <w:rFonts w:hint="cs"/>
          <w:sz w:val="20"/>
          <w:szCs w:val="20"/>
          <w:rtl/>
        </w:rPr>
        <w:t xml:space="preserve">[שאלה מעניינת היא מדוע פוליטיקאים פופולריים, שלא אוהדים את בית המשפט, לא מנצלים את כוחם הפוליטי, ומגבילים למשל את היקף הביקורת השיפוטית? במילים אחרות, מדוע הצעות שר המשפטים לשעבר דניאל פרידמן לא התקבלו אז ואינן מתקבלות עתה? אנא חשבו על כך. אלה אינן שאלות פשוטות. </w:t>
      </w:r>
    </w:p>
    <w:p w:rsidR="005366A8" w:rsidRPr="00B85C61" w:rsidRDefault="005366A8" w:rsidP="005366A8">
      <w:pPr>
        <w:ind w:left="720"/>
        <w:rPr>
          <w:sz w:val="20"/>
          <w:szCs w:val="20"/>
          <w:rtl/>
        </w:rPr>
      </w:pPr>
      <w:r>
        <w:rPr>
          <w:rFonts w:hint="cs"/>
          <w:sz w:val="20"/>
          <w:szCs w:val="20"/>
          <w:rtl/>
        </w:rPr>
        <w:t>יתר על כן, ומכיוון אחר: לא בטוח שמה שנכון עד עתה יהיה נכון גם בעתיד.]</w:t>
      </w:r>
    </w:p>
    <w:p w:rsidR="005366A8" w:rsidRDefault="005366A8" w:rsidP="005366A8">
      <w:pPr>
        <w:rPr>
          <w:sz w:val="20"/>
          <w:szCs w:val="20"/>
          <w:rtl/>
        </w:rPr>
      </w:pPr>
      <w:r>
        <w:rPr>
          <w:rFonts w:hint="cs"/>
          <w:sz w:val="20"/>
          <w:szCs w:val="20"/>
          <w:rtl/>
        </w:rPr>
        <w:t>הנקודה שניתן להסכים ביחס אליה, היא ש</w:t>
      </w:r>
      <w:r w:rsidRPr="00B85C61">
        <w:rPr>
          <w:sz w:val="20"/>
          <w:szCs w:val="20"/>
          <w:rtl/>
        </w:rPr>
        <w:t>ברגע שהתרבות הפוליטית הדמוקרטית בישראל אינה בטוחה</w:t>
      </w:r>
      <w:r>
        <w:rPr>
          <w:rFonts w:hint="cs"/>
          <w:sz w:val="20"/>
          <w:szCs w:val="20"/>
          <w:rtl/>
        </w:rPr>
        <w:t xml:space="preserve"> והיא</w:t>
      </w:r>
      <w:r w:rsidRPr="00B85C61">
        <w:rPr>
          <w:sz w:val="20"/>
          <w:szCs w:val="20"/>
          <w:rtl/>
        </w:rPr>
        <w:t xml:space="preserve"> נשחקת</w:t>
      </w:r>
      <w:r>
        <w:rPr>
          <w:rFonts w:hint="cs"/>
          <w:sz w:val="20"/>
          <w:szCs w:val="20"/>
          <w:rtl/>
        </w:rPr>
        <w:t xml:space="preserve"> עוד</w:t>
      </w:r>
      <w:r w:rsidRPr="00B85C61">
        <w:rPr>
          <w:sz w:val="20"/>
          <w:szCs w:val="20"/>
          <w:rtl/>
        </w:rPr>
        <w:t xml:space="preserve"> – </w:t>
      </w:r>
      <w:r>
        <w:rPr>
          <w:rFonts w:hint="cs"/>
          <w:sz w:val="20"/>
          <w:szCs w:val="20"/>
          <w:rtl/>
        </w:rPr>
        <w:t xml:space="preserve">גוברת האפשרות להתממשות </w:t>
      </w:r>
      <w:r w:rsidRPr="00B85C61">
        <w:rPr>
          <w:sz w:val="20"/>
          <w:szCs w:val="20"/>
          <w:rtl/>
        </w:rPr>
        <w:t>אזהרותיו</w:t>
      </w:r>
      <w:r>
        <w:rPr>
          <w:rFonts w:hint="cs"/>
          <w:sz w:val="20"/>
          <w:szCs w:val="20"/>
          <w:rtl/>
        </w:rPr>
        <w:t xml:space="preserve"> של השופט חשין, ביחס לפוטנציאל הסכנה הטמון במסגרת החוקתית דהיום</w:t>
      </w:r>
      <w:r w:rsidRPr="00B85C61">
        <w:rPr>
          <w:sz w:val="20"/>
          <w:szCs w:val="20"/>
          <w:rtl/>
        </w:rPr>
        <w:t>.</w:t>
      </w:r>
    </w:p>
    <w:p w:rsidR="005366A8" w:rsidRDefault="005366A8" w:rsidP="005366A8">
      <w:pPr>
        <w:rPr>
          <w:sz w:val="20"/>
          <w:szCs w:val="20"/>
          <w:rtl/>
        </w:rPr>
      </w:pPr>
    </w:p>
    <w:p w:rsidR="005366A8" w:rsidRPr="00B85C61" w:rsidRDefault="005366A8" w:rsidP="005366A8">
      <w:pPr>
        <w:rPr>
          <w:sz w:val="20"/>
          <w:szCs w:val="20"/>
          <w:rtl/>
        </w:rPr>
      </w:pPr>
      <w:r w:rsidRPr="00284E5D">
        <w:rPr>
          <w:rFonts w:hint="cs"/>
          <w:sz w:val="20"/>
          <w:szCs w:val="20"/>
          <w:highlight w:val="yellow"/>
          <w:rtl/>
        </w:rPr>
        <w:t>*הערה</w:t>
      </w:r>
      <w:r>
        <w:rPr>
          <w:rFonts w:hint="cs"/>
          <w:sz w:val="20"/>
          <w:szCs w:val="20"/>
          <w:rtl/>
        </w:rPr>
        <w:t xml:space="preserve">: חלק מהטיעונים לעיל </w:t>
      </w:r>
      <w:r>
        <w:rPr>
          <w:sz w:val="20"/>
          <w:szCs w:val="20"/>
          <w:rtl/>
        </w:rPr>
        <w:t>–</w:t>
      </w:r>
      <w:r>
        <w:rPr>
          <w:rFonts w:hint="cs"/>
          <w:sz w:val="20"/>
          <w:szCs w:val="20"/>
          <w:rtl/>
        </w:rPr>
        <w:t xml:space="preserve"> הן שלי והן של אורי </w:t>
      </w:r>
      <w:r>
        <w:rPr>
          <w:sz w:val="20"/>
          <w:szCs w:val="20"/>
          <w:rtl/>
        </w:rPr>
        <w:t>–</w:t>
      </w:r>
      <w:r>
        <w:rPr>
          <w:rFonts w:hint="cs"/>
          <w:sz w:val="20"/>
          <w:szCs w:val="20"/>
          <w:rtl/>
        </w:rPr>
        <w:t xml:space="preserve"> נשענים על הנחות עובדתיות/ סוציולוגיות/ פוליטיות ביחס לחברה הישראלית. הנחות אלו אינן עמוק בתחום המומחיות של מי מאיתנו, ולכן יש לקבל את הטיעונים הנשענים עליהן בלוויית ספק.</w:t>
      </w:r>
    </w:p>
    <w:p w:rsidR="005366A8" w:rsidRPr="00B85C61" w:rsidRDefault="005366A8" w:rsidP="005366A8">
      <w:pPr>
        <w:rPr>
          <w:sz w:val="20"/>
          <w:szCs w:val="20"/>
          <w:rtl/>
        </w:rPr>
      </w:pPr>
      <w:r>
        <w:rPr>
          <w:rFonts w:hint="cs"/>
          <w:sz w:val="20"/>
          <w:szCs w:val="20"/>
          <w:rtl/>
        </w:rPr>
        <w:t>=-=</w:t>
      </w:r>
    </w:p>
    <w:p w:rsidR="005366A8" w:rsidRPr="00D14525" w:rsidRDefault="005366A8" w:rsidP="005366A8">
      <w:pPr>
        <w:pStyle w:val="T-body"/>
        <w:spacing w:after="240" w:line="240" w:lineRule="auto"/>
        <w:jc w:val="left"/>
        <w:rPr>
          <w:rFonts w:asciiTheme="majorBidi" w:hAnsiTheme="majorBidi" w:cstheme="majorBidi"/>
          <w:sz w:val="22"/>
          <w:szCs w:val="22"/>
          <w:rtl/>
        </w:rPr>
      </w:pPr>
    </w:p>
    <w:p w:rsidR="005366A8" w:rsidRPr="008834F0" w:rsidRDefault="005366A8" w:rsidP="005366A8">
      <w:pPr>
        <w:spacing w:after="120"/>
        <w:jc w:val="center"/>
        <w:rPr>
          <w:rFonts w:cs="Arial"/>
          <w:b/>
          <w:bCs/>
          <w:sz w:val="32"/>
          <w:szCs w:val="32"/>
          <w:highlight w:val="yellow"/>
          <w:u w:val="single"/>
          <w:rtl/>
        </w:rPr>
      </w:pPr>
      <w:r>
        <w:rPr>
          <w:rFonts w:cs="Arial" w:hint="cs"/>
          <w:b/>
          <w:bCs/>
          <w:sz w:val="32"/>
          <w:szCs w:val="32"/>
          <w:highlight w:val="yellow"/>
          <w:u w:val="single"/>
          <w:rtl/>
        </w:rPr>
        <w:t>"</w:t>
      </w:r>
      <w:r w:rsidRPr="008834F0">
        <w:rPr>
          <w:rFonts w:cs="Arial" w:hint="cs"/>
          <w:b/>
          <w:bCs/>
          <w:sz w:val="32"/>
          <w:szCs w:val="32"/>
          <w:highlight w:val="yellow"/>
          <w:u w:val="single"/>
          <w:rtl/>
        </w:rPr>
        <w:t>מתקל דינים</w:t>
      </w:r>
      <w:r>
        <w:rPr>
          <w:rFonts w:cs="Arial" w:hint="cs"/>
          <w:b/>
          <w:bCs/>
          <w:sz w:val="32"/>
          <w:szCs w:val="32"/>
          <w:highlight w:val="yellow"/>
          <w:u w:val="single"/>
          <w:rtl/>
        </w:rPr>
        <w:t xml:space="preserve">": </w:t>
      </w:r>
      <w:r w:rsidRPr="00F27F08">
        <w:rPr>
          <w:rFonts w:cs="Arial" w:hint="cs"/>
          <w:b/>
          <w:bCs/>
          <w:sz w:val="32"/>
          <w:szCs w:val="32"/>
          <w:highlight w:val="yellow"/>
          <w:u w:val="single"/>
          <w:rtl/>
        </w:rPr>
        <w:t xml:space="preserve">התנגשות בין </w:t>
      </w:r>
      <w:r>
        <w:rPr>
          <w:rFonts w:cs="Arial" w:hint="cs"/>
          <w:b/>
          <w:bCs/>
          <w:sz w:val="32"/>
          <w:szCs w:val="32"/>
          <w:highlight w:val="yellow"/>
          <w:u w:val="single"/>
          <w:rtl/>
        </w:rPr>
        <w:t>נורמות משפטיות</w:t>
      </w:r>
      <w:r w:rsidRPr="008834F0">
        <w:rPr>
          <w:rFonts w:cs="Arial" w:hint="cs"/>
          <w:b/>
          <w:bCs/>
          <w:sz w:val="32"/>
          <w:szCs w:val="32"/>
          <w:highlight w:val="yellow"/>
          <w:u w:val="single"/>
          <w:rtl/>
        </w:rPr>
        <w:t xml:space="preserve"> </w:t>
      </w:r>
    </w:p>
    <w:p w:rsidR="005366A8" w:rsidRPr="00F27F08" w:rsidRDefault="005366A8" w:rsidP="005366A8">
      <w:pPr>
        <w:jc w:val="center"/>
        <w:rPr>
          <w:rFonts w:cs="Arial"/>
          <w:b/>
          <w:bCs/>
          <w:sz w:val="32"/>
          <w:szCs w:val="32"/>
          <w:u w:val="single"/>
          <w:rtl/>
        </w:rPr>
      </w:pPr>
      <w:r>
        <w:rPr>
          <w:rFonts w:cs="Arial" w:hint="cs"/>
          <w:b/>
          <w:bCs/>
          <w:sz w:val="32"/>
          <w:szCs w:val="32"/>
          <w:highlight w:val="yellow"/>
          <w:u w:val="single"/>
          <w:rtl/>
        </w:rPr>
        <w:t xml:space="preserve">מהם </w:t>
      </w:r>
      <w:r w:rsidRPr="00F27F08">
        <w:rPr>
          <w:rFonts w:cs="Arial"/>
          <w:b/>
          <w:bCs/>
          <w:sz w:val="32"/>
          <w:szCs w:val="32"/>
          <w:highlight w:val="yellow"/>
          <w:u w:val="single"/>
          <w:rtl/>
        </w:rPr>
        <w:t xml:space="preserve">כללי </w:t>
      </w:r>
      <w:r>
        <w:rPr>
          <w:rFonts w:cs="Arial" w:hint="cs"/>
          <w:b/>
          <w:bCs/>
          <w:sz w:val="32"/>
          <w:szCs w:val="32"/>
          <w:highlight w:val="yellow"/>
          <w:u w:val="single"/>
          <w:rtl/>
        </w:rPr>
        <w:t>ההתנגשות?</w:t>
      </w:r>
      <w:r w:rsidRPr="00F27F08">
        <w:rPr>
          <w:rFonts w:cs="Arial" w:hint="cs"/>
          <w:b/>
          <w:bCs/>
          <w:sz w:val="32"/>
          <w:szCs w:val="32"/>
          <w:highlight w:val="yellow"/>
          <w:u w:val="single"/>
          <w:rtl/>
        </w:rPr>
        <w:t xml:space="preserve"> </w:t>
      </w:r>
    </w:p>
    <w:p w:rsidR="005366A8" w:rsidRDefault="005366A8" w:rsidP="005366A8">
      <w:pPr>
        <w:spacing w:after="60"/>
        <w:ind w:left="720"/>
        <w:rPr>
          <w:b/>
          <w:bCs/>
          <w:sz w:val="20"/>
          <w:szCs w:val="20"/>
          <w:rtl/>
        </w:rPr>
      </w:pPr>
    </w:p>
    <w:p w:rsidR="005366A8" w:rsidRDefault="005366A8" w:rsidP="005366A8">
      <w:pPr>
        <w:spacing w:after="60"/>
        <w:rPr>
          <w:b/>
          <w:bCs/>
          <w:highlight w:val="yellow"/>
          <w:rtl/>
        </w:rPr>
      </w:pPr>
      <w:r>
        <w:rPr>
          <w:rFonts w:hint="cs"/>
          <w:b/>
          <w:bCs/>
          <w:highlight w:val="yellow"/>
          <w:rtl/>
        </w:rPr>
        <w:t>יש פעולה חשובה והכרחית טרם זיהויה של התנגשות בין נורמות משפטיות/"מתקל דינים"</w:t>
      </w:r>
    </w:p>
    <w:p w:rsidR="005366A8" w:rsidRDefault="005366A8" w:rsidP="005366A8">
      <w:pPr>
        <w:spacing w:after="60"/>
        <w:rPr>
          <w:b/>
          <w:bCs/>
          <w:sz w:val="20"/>
          <w:szCs w:val="20"/>
          <w:rtl/>
        </w:rPr>
      </w:pPr>
      <w:r w:rsidRPr="00273A9C">
        <w:rPr>
          <w:rFonts w:hint="cs"/>
          <w:b/>
          <w:bCs/>
          <w:highlight w:val="yellow"/>
          <w:rtl/>
        </w:rPr>
        <w:t>חשיבותה של הפעולה הפרשנית:</w:t>
      </w:r>
      <w:r>
        <w:rPr>
          <w:rFonts w:hint="cs"/>
          <w:b/>
          <w:bCs/>
          <w:sz w:val="20"/>
          <w:szCs w:val="20"/>
          <w:rtl/>
        </w:rPr>
        <w:t xml:space="preserve"> </w:t>
      </w:r>
    </w:p>
    <w:p w:rsidR="005366A8" w:rsidRDefault="005366A8" w:rsidP="005366A8">
      <w:pPr>
        <w:spacing w:after="60"/>
        <w:rPr>
          <w:b/>
          <w:bCs/>
          <w:sz w:val="20"/>
          <w:szCs w:val="20"/>
          <w:rtl/>
        </w:rPr>
      </w:pPr>
      <w:r>
        <w:rPr>
          <w:rFonts w:hint="cs"/>
          <w:b/>
          <w:bCs/>
          <w:sz w:val="20"/>
          <w:szCs w:val="20"/>
          <w:rtl/>
        </w:rPr>
        <w:t xml:space="preserve">המהלך המקדמי שיש לנוקטו הוא הבדיקה האמנם מדובר במִתקל, קרי, האם אנו פוגשים בהתנגשות של ממש בין שתי הוראות הדין, או שמא זו רק התנגשות לכאורית: </w:t>
      </w:r>
    </w:p>
    <w:p w:rsidR="005366A8" w:rsidRDefault="005366A8" w:rsidP="005366A8">
      <w:pPr>
        <w:spacing w:after="120"/>
        <w:ind w:left="720"/>
        <w:rPr>
          <w:sz w:val="20"/>
          <w:szCs w:val="20"/>
          <w:rtl/>
        </w:rPr>
      </w:pPr>
      <w:r w:rsidRPr="009445B1">
        <w:rPr>
          <w:rFonts w:cs="FrankRuehl"/>
          <w:b/>
          <w:bCs/>
          <w:sz w:val="22"/>
          <w:szCs w:val="22"/>
          <w:rtl/>
        </w:rPr>
        <w:t>שומה עלינו לעשות כמיטבנו כדי ליישב בין הוראות-חוק הנוגדות, לכאורה, אשה את אחותה [</w:t>
      </w:r>
      <w:r w:rsidRPr="009445B1">
        <w:rPr>
          <w:rFonts w:cs="FrankRuehl"/>
          <w:b/>
          <w:bCs/>
          <w:sz w:val="22"/>
          <w:szCs w:val="22"/>
        </w:rPr>
        <w:t>…</w:t>
      </w:r>
      <w:r w:rsidRPr="009445B1">
        <w:rPr>
          <w:rFonts w:cs="FrankRuehl"/>
          <w:b/>
          <w:bCs/>
          <w:sz w:val="22"/>
          <w:szCs w:val="22"/>
          <w:rtl/>
        </w:rPr>
        <w:t xml:space="preserve">] </w:t>
      </w:r>
      <w:r w:rsidRPr="009445B1">
        <w:rPr>
          <w:rFonts w:cs="FrankRuehl"/>
          <w:b/>
          <w:bCs/>
          <w:sz w:val="22"/>
          <w:szCs w:val="22"/>
        </w:rPr>
        <w:t>–</w:t>
      </w:r>
      <w:r w:rsidRPr="009445B1">
        <w:rPr>
          <w:rFonts w:cs="FrankRuehl"/>
          <w:b/>
          <w:bCs/>
          <w:sz w:val="22"/>
          <w:szCs w:val="22"/>
          <w:rtl/>
        </w:rPr>
        <w:t xml:space="preserve"> ואולם מה נעשה לכשיכלו הקיצין והסתירה בעינה תעמוד? ידו של איזה חוק תהא על העליונה ואיזו הוראה תגבר על רעותה?</w:t>
      </w:r>
      <w:r w:rsidRPr="00E674FF">
        <w:rPr>
          <w:rFonts w:hint="cs"/>
          <w:b/>
          <w:bCs/>
          <w:sz w:val="20"/>
          <w:szCs w:val="20"/>
          <w:rtl/>
        </w:rPr>
        <w:t xml:space="preserve"> </w:t>
      </w:r>
      <w:r w:rsidRPr="00AB6463">
        <w:rPr>
          <w:sz w:val="20"/>
          <w:szCs w:val="20"/>
          <w:rtl/>
        </w:rPr>
        <w:t>[השו</w:t>
      </w:r>
      <w:r>
        <w:rPr>
          <w:rFonts w:hint="cs"/>
          <w:sz w:val="20"/>
          <w:szCs w:val="20"/>
          <w:rtl/>
        </w:rPr>
        <w:t>'</w:t>
      </w:r>
      <w:r w:rsidRPr="00AB6463">
        <w:rPr>
          <w:sz w:val="20"/>
          <w:szCs w:val="20"/>
          <w:rtl/>
        </w:rPr>
        <w:t xml:space="preserve"> חשין, סע' 7 לפס</w:t>
      </w:r>
      <w:r>
        <w:rPr>
          <w:rFonts w:hint="cs"/>
          <w:sz w:val="20"/>
          <w:szCs w:val="20"/>
          <w:rtl/>
        </w:rPr>
        <w:t>"ד</w:t>
      </w:r>
      <w:r>
        <w:rPr>
          <w:rFonts w:hint="cs"/>
          <w:b/>
          <w:bCs/>
          <w:sz w:val="20"/>
          <w:szCs w:val="20"/>
          <w:rtl/>
        </w:rPr>
        <w:t xml:space="preserve"> </w:t>
      </w:r>
      <w:r w:rsidRPr="00AB6463">
        <w:rPr>
          <w:b/>
          <w:bCs/>
          <w:sz w:val="20"/>
          <w:szCs w:val="20"/>
          <w:rtl/>
        </w:rPr>
        <w:t>תנועה המסורתית</w:t>
      </w:r>
      <w:r w:rsidRPr="00AB6463">
        <w:rPr>
          <w:sz w:val="20"/>
          <w:szCs w:val="20"/>
          <w:rtl/>
        </w:rPr>
        <w:t>].</w:t>
      </w:r>
    </w:p>
    <w:p w:rsidR="005366A8" w:rsidRDefault="005366A8" w:rsidP="005366A8">
      <w:pPr>
        <w:spacing w:after="120"/>
        <w:ind w:left="720"/>
        <w:rPr>
          <w:sz w:val="20"/>
          <w:szCs w:val="20"/>
          <w:rtl/>
        </w:rPr>
      </w:pPr>
    </w:p>
    <w:p w:rsidR="005366A8" w:rsidRPr="008B5EEC" w:rsidRDefault="005366A8" w:rsidP="005366A8">
      <w:pPr>
        <w:spacing w:after="60"/>
        <w:rPr>
          <w:rFonts w:ascii="Arial" w:hAnsi="Arial" w:cs="Arial"/>
          <w:b/>
          <w:bCs/>
          <w:u w:val="single"/>
          <w:rtl/>
        </w:rPr>
      </w:pPr>
      <w:r w:rsidRPr="008B5EEC">
        <w:rPr>
          <w:rFonts w:ascii="Arial" w:hAnsi="Arial" w:cs="Arial"/>
          <w:b/>
          <w:bCs/>
          <w:highlight w:val="yellow"/>
          <w:u w:val="single"/>
          <w:rtl/>
        </w:rPr>
        <w:t>כללי היסוד</w:t>
      </w:r>
      <w:r>
        <w:rPr>
          <w:rFonts w:ascii="Arial" w:hAnsi="Arial" w:cs="Arial" w:hint="cs"/>
          <w:b/>
          <w:bCs/>
          <w:highlight w:val="yellow"/>
          <w:u w:val="single"/>
          <w:rtl/>
        </w:rPr>
        <w:t>/ כללי ההתנגשות</w:t>
      </w:r>
      <w:r w:rsidRPr="008B5EEC">
        <w:rPr>
          <w:rFonts w:ascii="Arial" w:hAnsi="Arial" w:cs="Arial"/>
          <w:b/>
          <w:bCs/>
          <w:highlight w:val="yellow"/>
          <w:u w:val="single"/>
          <w:rtl/>
        </w:rPr>
        <w:t xml:space="preserve"> במצבי מתקל דינים</w:t>
      </w:r>
    </w:p>
    <w:p w:rsidR="005366A8" w:rsidRPr="008B5EEC" w:rsidRDefault="005366A8" w:rsidP="005366A8">
      <w:pPr>
        <w:spacing w:after="120"/>
        <w:rPr>
          <w:b/>
          <w:bCs/>
          <w:i/>
          <w:iCs/>
          <w:rtl/>
        </w:rPr>
      </w:pPr>
      <w:r w:rsidRPr="008B5EEC">
        <w:rPr>
          <w:rFonts w:hint="cs"/>
          <w:b/>
          <w:bCs/>
          <w:i/>
          <w:iCs/>
          <w:rtl/>
        </w:rPr>
        <w:t xml:space="preserve">א. </w:t>
      </w:r>
      <w:r w:rsidRPr="008B5EEC">
        <w:rPr>
          <w:b/>
          <w:bCs/>
          <w:i/>
          <w:iCs/>
          <w:rtl/>
        </w:rPr>
        <w:t xml:space="preserve">נורמה מדרגה גבוהה יותר גוברת על נורמה מדרגה נמוכה יותר </w:t>
      </w:r>
    </w:p>
    <w:p w:rsidR="005366A8" w:rsidRPr="008B5EEC" w:rsidRDefault="005366A8" w:rsidP="005366A8">
      <w:pPr>
        <w:spacing w:after="120"/>
        <w:rPr>
          <w:b/>
          <w:bCs/>
          <w:i/>
          <w:iCs/>
          <w:rtl/>
        </w:rPr>
      </w:pPr>
      <w:r w:rsidRPr="008B5EEC">
        <w:rPr>
          <w:rFonts w:hint="cs"/>
          <w:b/>
          <w:bCs/>
          <w:i/>
          <w:iCs/>
          <w:rtl/>
        </w:rPr>
        <w:t xml:space="preserve">ב. </w:t>
      </w:r>
      <w:r w:rsidRPr="008B5EEC">
        <w:rPr>
          <w:b/>
          <w:bCs/>
          <w:i/>
          <w:iCs/>
          <w:rtl/>
        </w:rPr>
        <w:t>נורמה ספציפית גוברת על כללית</w:t>
      </w:r>
    </w:p>
    <w:p w:rsidR="005366A8" w:rsidRPr="008B5EEC" w:rsidRDefault="005366A8" w:rsidP="005366A8">
      <w:pPr>
        <w:spacing w:after="120"/>
        <w:rPr>
          <w:rtl/>
        </w:rPr>
      </w:pPr>
      <w:r w:rsidRPr="008B5EEC">
        <w:rPr>
          <w:rFonts w:hint="cs"/>
          <w:b/>
          <w:bCs/>
          <w:i/>
          <w:iCs/>
          <w:rtl/>
        </w:rPr>
        <w:t xml:space="preserve">ג. </w:t>
      </w:r>
      <w:r w:rsidRPr="008B5EEC">
        <w:rPr>
          <w:b/>
          <w:bCs/>
          <w:i/>
          <w:iCs/>
          <w:rtl/>
        </w:rPr>
        <w:t>נורמה מאוחרת גוברת על מוקדמת</w:t>
      </w:r>
    </w:p>
    <w:p w:rsidR="005366A8" w:rsidRPr="00AB6463" w:rsidRDefault="005366A8" w:rsidP="005366A8">
      <w:pPr>
        <w:ind w:left="720"/>
        <w:rPr>
          <w:sz w:val="20"/>
          <w:szCs w:val="20"/>
          <w:rtl/>
        </w:rPr>
      </w:pPr>
      <w:r w:rsidRPr="00AB6463">
        <w:rPr>
          <w:sz w:val="20"/>
          <w:szCs w:val="20"/>
          <w:rtl/>
        </w:rPr>
        <w:t xml:space="preserve">ואולם הכללים הנזכרים </w:t>
      </w:r>
      <w:r>
        <w:rPr>
          <w:rFonts w:hint="cs"/>
          <w:sz w:val="20"/>
          <w:szCs w:val="20"/>
          <w:rtl/>
        </w:rPr>
        <w:t>עשויים</w:t>
      </w:r>
      <w:r w:rsidRPr="00AB6463">
        <w:rPr>
          <w:sz w:val="20"/>
          <w:szCs w:val="20"/>
          <w:rtl/>
        </w:rPr>
        <w:t xml:space="preserve"> להתנגש בינם לבין עצמם </w:t>
      </w:r>
      <w:r w:rsidRPr="00AB6463">
        <w:rPr>
          <w:sz w:val="20"/>
          <w:szCs w:val="20"/>
        </w:rPr>
        <w:t>–</w:t>
      </w:r>
      <w:r w:rsidRPr="00AB6463">
        <w:rPr>
          <w:sz w:val="20"/>
          <w:szCs w:val="20"/>
          <w:rtl/>
        </w:rPr>
        <w:t xml:space="preserve"> </w:t>
      </w:r>
      <w:r w:rsidRPr="00AB6463">
        <w:rPr>
          <w:b/>
          <w:bCs/>
          <w:i/>
          <w:iCs/>
          <w:sz w:val="20"/>
          <w:szCs w:val="20"/>
          <w:rtl/>
        </w:rPr>
        <w:t>מהם כללי הבכירוּת בינם לבין עצמם?</w:t>
      </w:r>
      <w:r w:rsidRPr="00AB6463">
        <w:rPr>
          <w:sz w:val="20"/>
          <w:szCs w:val="20"/>
          <w:rtl/>
        </w:rPr>
        <w:t xml:space="preserve"> </w:t>
      </w:r>
    </w:p>
    <w:p w:rsidR="005366A8" w:rsidRPr="00AB6463" w:rsidRDefault="005366A8" w:rsidP="005366A8">
      <w:pPr>
        <w:rPr>
          <w:sz w:val="20"/>
          <w:szCs w:val="20"/>
          <w:rtl/>
        </w:rPr>
      </w:pPr>
    </w:p>
    <w:p w:rsidR="005366A8" w:rsidRPr="00706B9D" w:rsidRDefault="005366A8" w:rsidP="005366A8">
      <w:pPr>
        <w:pStyle w:val="Heading7"/>
        <w:spacing w:after="120" w:line="240" w:lineRule="auto"/>
        <w:rPr>
          <w:rFonts w:cs="Arial"/>
          <w:sz w:val="22"/>
          <w:szCs w:val="22"/>
          <w:rtl/>
        </w:rPr>
      </w:pPr>
      <w:r w:rsidRPr="00864EF7">
        <w:rPr>
          <w:rFonts w:cs="Arial" w:hint="cs"/>
          <w:sz w:val="22"/>
          <w:szCs w:val="22"/>
          <w:highlight w:val="yellow"/>
          <w:rtl/>
        </w:rPr>
        <w:t>סוגי</w:t>
      </w:r>
      <w:r w:rsidRPr="00864EF7">
        <w:rPr>
          <w:rFonts w:cs="Arial"/>
          <w:sz w:val="22"/>
          <w:szCs w:val="22"/>
          <w:highlight w:val="yellow"/>
          <w:rtl/>
        </w:rPr>
        <w:t xml:space="preserve"> </w:t>
      </w:r>
      <w:r w:rsidRPr="00864EF7">
        <w:rPr>
          <w:rFonts w:cs="Arial" w:hint="cs"/>
          <w:sz w:val="22"/>
          <w:szCs w:val="22"/>
          <w:highlight w:val="yellow"/>
          <w:rtl/>
        </w:rPr>
        <w:t>מתקלי-הדינים</w:t>
      </w:r>
      <w:r w:rsidRPr="00507FEB">
        <w:rPr>
          <w:rFonts w:cs="Arial"/>
          <w:sz w:val="22"/>
          <w:szCs w:val="22"/>
          <w:rtl/>
        </w:rPr>
        <w:t xml:space="preserve"> בהקשרם של </w:t>
      </w:r>
      <w:r w:rsidRPr="00706B9D">
        <w:rPr>
          <w:rFonts w:cs="Arial"/>
          <w:sz w:val="22"/>
          <w:szCs w:val="22"/>
          <w:highlight w:val="yellow"/>
          <w:rtl/>
        </w:rPr>
        <w:t>חוקי היסוד</w:t>
      </w:r>
    </w:p>
    <w:p w:rsidR="005366A8" w:rsidRPr="00A17E9E" w:rsidRDefault="005366A8" w:rsidP="005366A8">
      <w:pPr>
        <w:pStyle w:val="Heading1"/>
        <w:spacing w:after="60"/>
        <w:rPr>
          <w:rFonts w:ascii="Arial" w:hAnsi="Arial" w:cs="Arial"/>
          <w:i/>
          <w:iCs/>
          <w:sz w:val="20"/>
          <w:szCs w:val="20"/>
          <w:rtl/>
        </w:rPr>
      </w:pPr>
      <w:r w:rsidRPr="00A17E9E">
        <w:rPr>
          <w:rFonts w:ascii="Arial" w:hAnsi="Arial" w:cs="Arial"/>
          <w:sz w:val="20"/>
          <w:szCs w:val="20"/>
          <w:rtl/>
        </w:rPr>
        <w:t>[האם</w:t>
      </w:r>
      <w:r>
        <w:rPr>
          <w:rFonts w:ascii="Arial" w:hAnsi="Arial" w:cs="Arial" w:hint="cs"/>
          <w:sz w:val="20"/>
          <w:szCs w:val="20"/>
          <w:rtl/>
        </w:rPr>
        <w:t xml:space="preserve"> ההוראה הנבחנת בחוק היסוד או</w:t>
      </w:r>
      <w:r w:rsidRPr="00A17E9E">
        <w:rPr>
          <w:rFonts w:ascii="Arial" w:hAnsi="Arial" w:cs="Arial"/>
          <w:sz w:val="20"/>
          <w:szCs w:val="20"/>
          <w:rtl/>
        </w:rPr>
        <w:t xml:space="preserve"> חוק </w:t>
      </w:r>
      <w:r>
        <w:rPr>
          <w:rFonts w:ascii="Arial" w:hAnsi="Arial" w:cs="Arial" w:hint="cs"/>
          <w:sz w:val="20"/>
          <w:szCs w:val="20"/>
          <w:rtl/>
        </w:rPr>
        <w:t>ה</w:t>
      </w:r>
      <w:r w:rsidRPr="00A17E9E">
        <w:rPr>
          <w:rFonts w:ascii="Arial" w:hAnsi="Arial" w:cs="Arial"/>
          <w:sz w:val="20"/>
          <w:szCs w:val="20"/>
          <w:rtl/>
        </w:rPr>
        <w:t xml:space="preserve">יסוד </w:t>
      </w:r>
      <w:r>
        <w:rPr>
          <w:rFonts w:ascii="Arial" w:hAnsi="Arial" w:cs="Arial" w:hint="cs"/>
          <w:sz w:val="20"/>
          <w:szCs w:val="20"/>
          <w:rtl/>
        </w:rPr>
        <w:t>הנבחן עצמו</w:t>
      </w:r>
      <w:r w:rsidRPr="00A17E9E">
        <w:rPr>
          <w:rFonts w:ascii="Arial" w:hAnsi="Arial" w:cs="Arial"/>
          <w:sz w:val="20"/>
          <w:szCs w:val="20"/>
          <w:rtl/>
        </w:rPr>
        <w:t xml:space="preserve"> הוא אכן </w:t>
      </w:r>
      <w:r>
        <w:rPr>
          <w:rFonts w:ascii="Arial" w:hAnsi="Arial" w:cs="Arial" w:hint="cs"/>
          <w:sz w:val="20"/>
          <w:szCs w:val="20"/>
          <w:rtl/>
        </w:rPr>
        <w:t>"</w:t>
      </w:r>
      <w:r w:rsidRPr="00A17E9E">
        <w:rPr>
          <w:rFonts w:ascii="Arial" w:hAnsi="Arial" w:cs="Arial"/>
          <w:sz w:val="20"/>
          <w:szCs w:val="20"/>
          <w:rtl/>
        </w:rPr>
        <w:t>חוק יסוד</w:t>
      </w:r>
      <w:r>
        <w:rPr>
          <w:rFonts w:ascii="Arial" w:hAnsi="Arial" w:cs="Arial" w:hint="cs"/>
          <w:sz w:val="20"/>
          <w:szCs w:val="20"/>
          <w:rtl/>
        </w:rPr>
        <w:t>"</w:t>
      </w:r>
      <w:r w:rsidRPr="00A17E9E">
        <w:rPr>
          <w:rFonts w:ascii="Arial" w:hAnsi="Arial" w:cs="Arial"/>
          <w:sz w:val="20"/>
          <w:szCs w:val="20"/>
          <w:rtl/>
        </w:rPr>
        <w:t xml:space="preserve"> או שמא מופיעה כאן 'התחזות' לחוק יסוד?  </w:t>
      </w:r>
      <w:r>
        <w:rPr>
          <w:rFonts w:ascii="Arial" w:hAnsi="Arial" w:cs="Arial" w:hint="cs"/>
          <w:sz w:val="20"/>
          <w:szCs w:val="20"/>
          <w:rtl/>
        </w:rPr>
        <w:t>האם בחינה שכזו כלל מתבצעת?</w:t>
      </w:r>
    </w:p>
    <w:p w:rsidR="005366A8" w:rsidRDefault="005366A8" w:rsidP="005366A8">
      <w:pPr>
        <w:spacing w:after="120"/>
        <w:ind w:left="720"/>
        <w:rPr>
          <w:i/>
          <w:iCs/>
          <w:sz w:val="20"/>
          <w:szCs w:val="20"/>
          <w:rtl/>
        </w:rPr>
      </w:pPr>
      <w:r>
        <w:rPr>
          <w:rFonts w:hint="cs"/>
          <w:i/>
          <w:iCs/>
          <w:sz w:val="20"/>
          <w:szCs w:val="20"/>
          <w:rtl/>
        </w:rPr>
        <w:t xml:space="preserve">ראו הדיון בפס"ד </w:t>
      </w:r>
      <w:r w:rsidRPr="008B5EEC">
        <w:rPr>
          <w:rFonts w:hint="cs"/>
          <w:b/>
          <w:bCs/>
          <w:i/>
          <w:iCs/>
          <w:sz w:val="20"/>
          <w:szCs w:val="20"/>
          <w:rtl/>
        </w:rPr>
        <w:t>בר-און</w:t>
      </w:r>
      <w:r>
        <w:rPr>
          <w:rFonts w:hint="cs"/>
          <w:i/>
          <w:iCs/>
          <w:sz w:val="20"/>
          <w:szCs w:val="20"/>
          <w:rtl/>
        </w:rPr>
        <w:t xml:space="preserve"> בסוגיה של "זיהוי הנורמות החוקתיות"</w:t>
      </w:r>
      <w:r w:rsidRPr="00875CD6">
        <w:rPr>
          <w:rFonts w:ascii="Arial" w:hAnsi="Arial" w:cs="Arial"/>
          <w:b/>
          <w:bCs/>
          <w:sz w:val="20"/>
          <w:szCs w:val="20"/>
          <w:rtl/>
        </w:rPr>
        <w:t>]</w:t>
      </w:r>
    </w:p>
    <w:p w:rsidR="005366A8" w:rsidRDefault="005366A8" w:rsidP="005366A8">
      <w:pPr>
        <w:pStyle w:val="Heading1"/>
        <w:spacing w:after="60"/>
        <w:rPr>
          <w:i/>
          <w:iCs/>
          <w:sz w:val="20"/>
          <w:szCs w:val="20"/>
          <w:rtl/>
        </w:rPr>
      </w:pPr>
      <w:r>
        <w:rPr>
          <w:rFonts w:ascii="Arial" w:hAnsi="Arial" w:cs="Arial" w:hint="cs"/>
          <w:sz w:val="20"/>
          <w:szCs w:val="20"/>
          <w:rtl/>
        </w:rPr>
        <w:t>א. מתקל</w:t>
      </w:r>
      <w:r w:rsidRPr="00AB6463">
        <w:rPr>
          <w:rFonts w:ascii="Arial" w:hAnsi="Arial" w:cs="Arial"/>
          <w:sz w:val="20"/>
          <w:szCs w:val="20"/>
          <w:rtl/>
        </w:rPr>
        <w:t xml:space="preserve"> בין </w:t>
      </w:r>
      <w:r w:rsidRPr="001A70D0">
        <w:rPr>
          <w:rFonts w:ascii="Arial" w:hAnsi="Arial" w:cs="Arial"/>
          <w:sz w:val="20"/>
          <w:szCs w:val="20"/>
          <w:rtl/>
        </w:rPr>
        <w:t>חוק יסוד</w:t>
      </w:r>
      <w:r w:rsidRPr="00AB6463">
        <w:rPr>
          <w:rFonts w:ascii="Arial" w:hAnsi="Arial" w:cs="Arial"/>
          <w:sz w:val="20"/>
          <w:szCs w:val="20"/>
          <w:rtl/>
        </w:rPr>
        <w:t xml:space="preserve"> לבין </w:t>
      </w:r>
      <w:r w:rsidRPr="001A70D0">
        <w:rPr>
          <w:rFonts w:ascii="Arial" w:hAnsi="Arial" w:cs="Arial"/>
          <w:sz w:val="20"/>
          <w:szCs w:val="20"/>
          <w:rtl/>
        </w:rPr>
        <w:t>עקרונות יסוד על-חוקתיים</w:t>
      </w:r>
      <w:r>
        <w:rPr>
          <w:rFonts w:ascii="Arial" w:hAnsi="Arial" w:cs="Arial" w:hint="cs"/>
          <w:sz w:val="20"/>
          <w:szCs w:val="20"/>
          <w:rtl/>
        </w:rPr>
        <w:t xml:space="preserve"> </w:t>
      </w:r>
    </w:p>
    <w:p w:rsidR="005366A8" w:rsidRDefault="005366A8" w:rsidP="005366A8">
      <w:pPr>
        <w:pStyle w:val="Heading1"/>
        <w:spacing w:after="60"/>
        <w:ind w:left="720"/>
        <w:rPr>
          <w:i/>
          <w:iCs/>
          <w:sz w:val="20"/>
          <w:szCs w:val="20"/>
          <w:rtl/>
        </w:rPr>
      </w:pPr>
      <w:r>
        <w:rPr>
          <w:rFonts w:hint="cs"/>
          <w:sz w:val="20"/>
          <w:szCs w:val="20"/>
          <w:rtl/>
        </w:rPr>
        <w:t xml:space="preserve">ביקורת "מטא-טקסטואלית"/ ביקורת על הוראות בחוק יסוד מכוח "ערכי היסוד" (החוקה המהותית/המאטריאלית) </w:t>
      </w:r>
      <w:r>
        <w:rPr>
          <w:sz w:val="20"/>
          <w:szCs w:val="20"/>
          <w:rtl/>
        </w:rPr>
        <w:t>–</w:t>
      </w:r>
      <w:r>
        <w:rPr>
          <w:rFonts w:hint="cs"/>
          <w:sz w:val="20"/>
          <w:szCs w:val="20"/>
          <w:rtl/>
        </w:rPr>
        <w:t xml:space="preserve"> </w:t>
      </w:r>
    </w:p>
    <w:p w:rsidR="005366A8" w:rsidRPr="00AB6463" w:rsidRDefault="005366A8" w:rsidP="005366A8">
      <w:pPr>
        <w:pStyle w:val="Heading1"/>
        <w:spacing w:after="60"/>
        <w:ind w:left="1440"/>
        <w:rPr>
          <w:i/>
          <w:iCs/>
          <w:sz w:val="20"/>
          <w:szCs w:val="20"/>
          <w:rtl/>
        </w:rPr>
      </w:pPr>
      <w:r>
        <w:rPr>
          <w:rFonts w:hint="cs"/>
          <w:sz w:val="20"/>
          <w:szCs w:val="20"/>
          <w:rtl/>
        </w:rPr>
        <w:t>האם אפשרית? מתי?</w:t>
      </w:r>
    </w:p>
    <w:p w:rsidR="005366A8" w:rsidRPr="00D14525" w:rsidRDefault="005366A8" w:rsidP="005366A8">
      <w:pPr>
        <w:pStyle w:val="Heading1"/>
        <w:spacing w:after="120"/>
        <w:ind w:left="2160"/>
        <w:rPr>
          <w:b w:val="0"/>
          <w:bCs w:val="0"/>
          <w:i/>
          <w:iCs/>
          <w:sz w:val="20"/>
          <w:szCs w:val="20"/>
          <w:rtl/>
        </w:rPr>
      </w:pPr>
      <w:r w:rsidRPr="00D14525">
        <w:rPr>
          <w:rFonts w:hint="cs"/>
          <w:b w:val="0"/>
          <w:bCs w:val="0"/>
          <w:sz w:val="20"/>
          <w:szCs w:val="20"/>
          <w:rtl/>
        </w:rPr>
        <w:t>[דברים שדיברנו ודברים שנדבר, חומרי קריאה ודפי-שיעור]</w:t>
      </w:r>
    </w:p>
    <w:p w:rsidR="005366A8" w:rsidRPr="00AB6463" w:rsidRDefault="005366A8" w:rsidP="005366A8">
      <w:pPr>
        <w:spacing w:after="60"/>
        <w:rPr>
          <w:rFonts w:ascii="Arial" w:hAnsi="Arial" w:cs="Arial"/>
          <w:b/>
          <w:bCs/>
          <w:sz w:val="20"/>
          <w:szCs w:val="20"/>
          <w:rtl/>
        </w:rPr>
      </w:pPr>
      <w:r>
        <w:rPr>
          <w:rFonts w:ascii="Arial" w:hAnsi="Arial" w:cs="Arial" w:hint="cs"/>
          <w:b/>
          <w:bCs/>
          <w:sz w:val="20"/>
          <w:szCs w:val="20"/>
          <w:rtl/>
        </w:rPr>
        <w:t>ב. מתקל</w:t>
      </w:r>
      <w:r w:rsidRPr="00AB6463">
        <w:rPr>
          <w:rFonts w:ascii="Arial" w:hAnsi="Arial" w:cs="Arial"/>
          <w:b/>
          <w:bCs/>
          <w:sz w:val="20"/>
          <w:szCs w:val="20"/>
          <w:rtl/>
        </w:rPr>
        <w:t xml:space="preserve"> בין </w:t>
      </w:r>
      <w:r w:rsidRPr="001A70D0">
        <w:rPr>
          <w:rFonts w:ascii="Arial" w:hAnsi="Arial" w:cs="Arial"/>
          <w:b/>
          <w:bCs/>
          <w:sz w:val="20"/>
          <w:szCs w:val="20"/>
          <w:u w:val="single"/>
          <w:rtl/>
        </w:rPr>
        <w:t>חוק יסוד</w:t>
      </w:r>
      <w:r w:rsidRPr="00AB6463">
        <w:rPr>
          <w:rFonts w:ascii="Arial" w:hAnsi="Arial" w:cs="Arial"/>
          <w:b/>
          <w:bCs/>
          <w:sz w:val="20"/>
          <w:szCs w:val="20"/>
          <w:rtl/>
        </w:rPr>
        <w:t xml:space="preserve"> אחד ל</w:t>
      </w:r>
      <w:r w:rsidRPr="001A70D0">
        <w:rPr>
          <w:rFonts w:ascii="Arial" w:hAnsi="Arial" w:cs="Arial"/>
          <w:b/>
          <w:bCs/>
          <w:sz w:val="20"/>
          <w:szCs w:val="20"/>
          <w:u w:val="single"/>
          <w:rtl/>
        </w:rPr>
        <w:t>חוק יסוד</w:t>
      </w:r>
      <w:r w:rsidRPr="00AB6463">
        <w:rPr>
          <w:rFonts w:ascii="Arial" w:hAnsi="Arial" w:cs="Arial"/>
          <w:b/>
          <w:bCs/>
          <w:sz w:val="20"/>
          <w:szCs w:val="20"/>
          <w:rtl/>
        </w:rPr>
        <w:t xml:space="preserve"> אחר  </w:t>
      </w:r>
    </w:p>
    <w:p w:rsidR="005366A8" w:rsidRPr="00557E86" w:rsidRDefault="005366A8" w:rsidP="005366A8">
      <w:pPr>
        <w:spacing w:after="60"/>
        <w:ind w:left="720"/>
        <w:rPr>
          <w:sz w:val="20"/>
          <w:szCs w:val="20"/>
          <w:rtl/>
        </w:rPr>
      </w:pPr>
      <w:r>
        <w:rPr>
          <w:rFonts w:hint="cs"/>
          <w:b/>
          <w:bCs/>
          <w:sz w:val="20"/>
          <w:szCs w:val="20"/>
          <w:rtl/>
        </w:rPr>
        <w:t>מדובר ב</w:t>
      </w:r>
      <w:r w:rsidRPr="00AB6463">
        <w:rPr>
          <w:rFonts w:hint="cs"/>
          <w:b/>
          <w:bCs/>
          <w:sz w:val="20"/>
          <w:szCs w:val="20"/>
          <w:rtl/>
        </w:rPr>
        <w:t xml:space="preserve">כללי "מתקל הדינים" </w:t>
      </w:r>
      <w:r>
        <w:rPr>
          <w:rFonts w:hint="cs"/>
          <w:b/>
          <w:bCs/>
          <w:sz w:val="20"/>
          <w:szCs w:val="20"/>
          <w:rtl/>
        </w:rPr>
        <w:t xml:space="preserve">בין דינים </w:t>
      </w:r>
      <w:r w:rsidRPr="00E4453C">
        <w:rPr>
          <w:rFonts w:hint="cs"/>
          <w:b/>
          <w:bCs/>
          <w:i/>
          <w:iCs/>
          <w:sz w:val="20"/>
          <w:szCs w:val="20"/>
          <w:rtl/>
        </w:rPr>
        <w:t>המצויים באותו רובד נורמטיבי</w:t>
      </w:r>
      <w:r>
        <w:rPr>
          <w:rFonts w:hint="cs"/>
          <w:sz w:val="20"/>
          <w:szCs w:val="20"/>
          <w:rtl/>
        </w:rPr>
        <w:t xml:space="preserve"> </w:t>
      </w:r>
    </w:p>
    <w:p w:rsidR="005366A8" w:rsidRPr="00AB6463" w:rsidRDefault="005366A8" w:rsidP="005366A8">
      <w:pPr>
        <w:spacing w:after="60"/>
        <w:ind w:left="720" w:right="-142"/>
        <w:rPr>
          <w:b/>
          <w:bCs/>
          <w:sz w:val="20"/>
          <w:szCs w:val="20"/>
          <w:rtl/>
        </w:rPr>
      </w:pPr>
      <w:r>
        <w:rPr>
          <w:rFonts w:hint="cs"/>
          <w:b/>
          <w:bCs/>
          <w:sz w:val="20"/>
          <w:szCs w:val="20"/>
          <w:rtl/>
        </w:rPr>
        <w:t xml:space="preserve">נבדוק </w:t>
      </w:r>
      <w:r w:rsidRPr="00AB6463">
        <w:rPr>
          <w:b/>
          <w:bCs/>
          <w:sz w:val="20"/>
          <w:szCs w:val="20"/>
          <w:rtl/>
        </w:rPr>
        <w:t xml:space="preserve">האם נשמרו הוראות </w:t>
      </w:r>
      <w:r>
        <w:rPr>
          <w:rFonts w:hint="cs"/>
          <w:b/>
          <w:bCs/>
          <w:sz w:val="20"/>
          <w:szCs w:val="20"/>
          <w:rtl/>
        </w:rPr>
        <w:t>"</w:t>
      </w:r>
      <w:r w:rsidRPr="00AB6463">
        <w:rPr>
          <w:b/>
          <w:bCs/>
          <w:sz w:val="20"/>
          <w:szCs w:val="20"/>
          <w:rtl/>
        </w:rPr>
        <w:t>כבילה עצמית</w:t>
      </w:r>
      <w:r>
        <w:rPr>
          <w:rFonts w:hint="cs"/>
          <w:b/>
          <w:bCs/>
          <w:sz w:val="20"/>
          <w:szCs w:val="20"/>
          <w:rtl/>
        </w:rPr>
        <w:t>"</w:t>
      </w:r>
      <w:r w:rsidRPr="00AB6463">
        <w:rPr>
          <w:b/>
          <w:bCs/>
          <w:sz w:val="20"/>
          <w:szCs w:val="20"/>
          <w:rtl/>
        </w:rPr>
        <w:t xml:space="preserve"> הקבועים</w:t>
      </w:r>
      <w:r w:rsidRPr="00AB6463">
        <w:rPr>
          <w:rFonts w:hint="cs"/>
          <w:b/>
          <w:bCs/>
          <w:sz w:val="20"/>
          <w:szCs w:val="20"/>
          <w:rtl/>
        </w:rPr>
        <w:t xml:space="preserve"> (אם אכן קבועים)</w:t>
      </w:r>
      <w:r w:rsidRPr="00AB6463">
        <w:rPr>
          <w:b/>
          <w:bCs/>
          <w:sz w:val="20"/>
          <w:szCs w:val="20"/>
          <w:rtl/>
        </w:rPr>
        <w:t xml:space="preserve"> בחוק היסוד המוקדם</w:t>
      </w:r>
      <w:r w:rsidRPr="00AB6463">
        <w:rPr>
          <w:rFonts w:hint="cs"/>
          <w:b/>
          <w:bCs/>
          <w:sz w:val="20"/>
          <w:szCs w:val="20"/>
          <w:rtl/>
        </w:rPr>
        <w:t xml:space="preserve"> יותר</w:t>
      </w:r>
      <w:r>
        <w:rPr>
          <w:rFonts w:hint="cs"/>
          <w:b/>
          <w:bCs/>
          <w:sz w:val="20"/>
          <w:szCs w:val="20"/>
          <w:rtl/>
        </w:rPr>
        <w:t xml:space="preserve"> </w:t>
      </w:r>
      <w:r w:rsidRPr="007475C5">
        <w:rPr>
          <w:rFonts w:hint="cs"/>
          <w:sz w:val="20"/>
          <w:szCs w:val="20"/>
          <w:rtl/>
        </w:rPr>
        <w:t xml:space="preserve">(וכמובן נעסוק קודם </w:t>
      </w:r>
      <w:r>
        <w:rPr>
          <w:rFonts w:hint="cs"/>
          <w:sz w:val="20"/>
          <w:szCs w:val="20"/>
          <w:rtl/>
        </w:rPr>
        <w:t xml:space="preserve">לזיהויו של מתקל </w:t>
      </w:r>
      <w:r w:rsidRPr="007475C5">
        <w:rPr>
          <w:rFonts w:hint="cs"/>
          <w:sz w:val="20"/>
          <w:szCs w:val="20"/>
          <w:rtl/>
        </w:rPr>
        <w:t>בשאלת הפרשנות של שני חוקי היסוד</w:t>
      </w:r>
      <w:r>
        <w:rPr>
          <w:rFonts w:hint="cs"/>
          <w:sz w:val="20"/>
          <w:szCs w:val="20"/>
          <w:rtl/>
        </w:rPr>
        <w:t>. היש מתקל?</w:t>
      </w:r>
      <w:r w:rsidRPr="007475C5">
        <w:rPr>
          <w:rFonts w:hint="cs"/>
          <w:sz w:val="20"/>
          <w:szCs w:val="20"/>
          <w:rtl/>
        </w:rPr>
        <w:t xml:space="preserve"> ראו את עמדתו של הנשיא ברק בפס"ד </w:t>
      </w:r>
      <w:r w:rsidRPr="007475C5">
        <w:rPr>
          <w:rFonts w:hint="cs"/>
          <w:b/>
          <w:bCs/>
          <w:sz w:val="20"/>
          <w:szCs w:val="20"/>
          <w:rtl/>
        </w:rPr>
        <w:t>פלונית נ' בית הדין המשמעתי</w:t>
      </w:r>
      <w:r w:rsidRPr="007475C5">
        <w:rPr>
          <w:rFonts w:hint="cs"/>
          <w:sz w:val="20"/>
          <w:szCs w:val="20"/>
          <w:rtl/>
        </w:rPr>
        <w:t>, שבו נעסוק בהמשך)</w:t>
      </w:r>
    </w:p>
    <w:p w:rsidR="005366A8" w:rsidRDefault="005366A8" w:rsidP="005366A8">
      <w:pPr>
        <w:ind w:left="1440"/>
        <w:rPr>
          <w:b/>
          <w:bCs/>
          <w:sz w:val="20"/>
          <w:szCs w:val="20"/>
          <w:rtl/>
        </w:rPr>
      </w:pPr>
      <w:r>
        <w:rPr>
          <w:rFonts w:hint="cs"/>
          <w:b/>
          <w:bCs/>
          <w:sz w:val="20"/>
          <w:szCs w:val="20"/>
          <w:rtl/>
        </w:rPr>
        <w:t>ב</w:t>
      </w:r>
      <w:r w:rsidRPr="00AB6463">
        <w:rPr>
          <w:rFonts w:hint="cs"/>
          <w:b/>
          <w:bCs/>
          <w:sz w:val="20"/>
          <w:szCs w:val="20"/>
          <w:rtl/>
        </w:rPr>
        <w:t xml:space="preserve">"כבילה עצמית" בחוק יסוד </w:t>
      </w:r>
      <w:r>
        <w:rPr>
          <w:rFonts w:hint="cs"/>
          <w:b/>
          <w:bCs/>
          <w:sz w:val="20"/>
          <w:szCs w:val="20"/>
          <w:rtl/>
        </w:rPr>
        <w:t>הכוונה ל</w:t>
      </w:r>
      <w:r w:rsidRPr="00AB6463">
        <w:rPr>
          <w:rFonts w:hint="cs"/>
          <w:b/>
          <w:bCs/>
          <w:sz w:val="20"/>
          <w:szCs w:val="20"/>
          <w:rtl/>
        </w:rPr>
        <w:t>הגבלות של הרשות המכוננת ביחס לרשות המכוננת עצמה</w:t>
      </w:r>
      <w:r>
        <w:rPr>
          <w:rFonts w:hint="cs"/>
          <w:b/>
          <w:bCs/>
          <w:sz w:val="20"/>
          <w:szCs w:val="20"/>
          <w:rtl/>
        </w:rPr>
        <w:t>:</w:t>
      </w:r>
      <w:r w:rsidRPr="00AB6463">
        <w:rPr>
          <w:rFonts w:hint="cs"/>
          <w:b/>
          <w:bCs/>
          <w:sz w:val="20"/>
          <w:szCs w:val="20"/>
          <w:rtl/>
        </w:rPr>
        <w:t xml:space="preserve"> </w:t>
      </w:r>
    </w:p>
    <w:p w:rsidR="005366A8" w:rsidRPr="00333E14" w:rsidRDefault="005366A8" w:rsidP="005366A8">
      <w:pPr>
        <w:spacing w:after="120"/>
        <w:ind w:left="1943"/>
        <w:rPr>
          <w:rFonts w:cs="David"/>
          <w:sz w:val="20"/>
          <w:szCs w:val="20"/>
          <w:rtl/>
        </w:rPr>
      </w:pPr>
      <w:r w:rsidRPr="00333E14">
        <w:rPr>
          <w:rFonts w:cs="David" w:hint="cs"/>
          <w:b/>
          <w:bCs/>
          <w:sz w:val="20"/>
          <w:szCs w:val="20"/>
          <w:rtl/>
        </w:rPr>
        <w:t xml:space="preserve">למשל סע' 7 לחוק יסוד: חופש העיסוק: </w:t>
      </w:r>
      <w:r w:rsidRPr="00333E14">
        <w:rPr>
          <w:rFonts w:cs="David" w:hint="cs"/>
          <w:sz w:val="20"/>
          <w:szCs w:val="20"/>
          <w:rtl/>
        </w:rPr>
        <w:t>"</w:t>
      </w:r>
      <w:r w:rsidRPr="00333E14">
        <w:rPr>
          <w:rFonts w:cs="David"/>
          <w:sz w:val="20"/>
          <w:szCs w:val="20"/>
          <w:rtl/>
        </w:rPr>
        <w:t>אין לשנות חוק-יסוד זה אלא בחוק-יסוד שנתקבל ברוב של חברי הכנסת</w:t>
      </w:r>
      <w:r w:rsidRPr="00333E14">
        <w:rPr>
          <w:rFonts w:cs="David" w:hint="cs"/>
          <w:sz w:val="20"/>
          <w:szCs w:val="20"/>
          <w:rtl/>
        </w:rPr>
        <w:t>"</w:t>
      </w:r>
    </w:p>
    <w:p w:rsidR="005366A8" w:rsidRDefault="005366A8" w:rsidP="005366A8">
      <w:pPr>
        <w:pStyle w:val="Heading1"/>
        <w:rPr>
          <w:rFonts w:ascii="Arial" w:hAnsi="Arial" w:cs="Arial"/>
          <w:i/>
          <w:iCs/>
          <w:sz w:val="20"/>
          <w:szCs w:val="20"/>
          <w:rtl/>
        </w:rPr>
      </w:pPr>
      <w:r>
        <w:rPr>
          <w:rFonts w:ascii="Arial" w:hAnsi="Arial" w:cs="Arial" w:hint="cs"/>
          <w:sz w:val="20"/>
          <w:szCs w:val="20"/>
          <w:rtl/>
        </w:rPr>
        <w:t>ג. מתקל</w:t>
      </w:r>
      <w:r w:rsidRPr="00AB6463">
        <w:rPr>
          <w:rFonts w:ascii="Arial" w:hAnsi="Arial" w:cs="Arial"/>
          <w:sz w:val="20"/>
          <w:szCs w:val="20"/>
          <w:rtl/>
        </w:rPr>
        <w:t xml:space="preserve"> בין </w:t>
      </w:r>
      <w:r w:rsidRPr="001A70D0">
        <w:rPr>
          <w:rFonts w:ascii="Arial" w:hAnsi="Arial" w:cs="Arial"/>
          <w:sz w:val="20"/>
          <w:szCs w:val="20"/>
          <w:rtl/>
        </w:rPr>
        <w:t>חוק</w:t>
      </w:r>
      <w:r w:rsidRPr="00AB6463">
        <w:rPr>
          <w:rFonts w:ascii="Arial" w:hAnsi="Arial" w:cs="Arial"/>
          <w:sz w:val="20"/>
          <w:szCs w:val="20"/>
          <w:rtl/>
        </w:rPr>
        <w:t xml:space="preserve"> לבין </w:t>
      </w:r>
      <w:r w:rsidRPr="001A70D0">
        <w:rPr>
          <w:rFonts w:ascii="Arial" w:hAnsi="Arial" w:cs="Arial"/>
          <w:sz w:val="20"/>
          <w:szCs w:val="20"/>
          <w:rtl/>
        </w:rPr>
        <w:t>חוק יסוד</w:t>
      </w:r>
    </w:p>
    <w:p w:rsidR="005366A8" w:rsidRPr="00E4453C" w:rsidRDefault="005366A8" w:rsidP="005366A8">
      <w:pPr>
        <w:spacing w:after="120"/>
        <w:ind w:left="720"/>
        <w:rPr>
          <w:rtl/>
        </w:rPr>
      </w:pPr>
      <w:r>
        <w:rPr>
          <w:rFonts w:hint="cs"/>
          <w:b/>
          <w:bCs/>
          <w:sz w:val="20"/>
          <w:szCs w:val="20"/>
          <w:rtl/>
        </w:rPr>
        <w:t>[הרחבה בהמשך]</w:t>
      </w:r>
    </w:p>
    <w:p w:rsidR="005366A8" w:rsidRDefault="005366A8" w:rsidP="005366A8">
      <w:pPr>
        <w:rPr>
          <w:sz w:val="20"/>
          <w:szCs w:val="20"/>
          <w:rtl/>
        </w:rPr>
      </w:pPr>
      <w:r w:rsidRPr="001A70D0">
        <w:rPr>
          <w:rFonts w:ascii="Arial" w:hAnsi="Arial" w:cs="Arial"/>
          <w:b/>
          <w:bCs/>
          <w:sz w:val="20"/>
          <w:szCs w:val="20"/>
          <w:rtl/>
        </w:rPr>
        <w:t xml:space="preserve">ד. </w:t>
      </w:r>
      <w:r>
        <w:rPr>
          <w:rFonts w:ascii="Arial" w:hAnsi="Arial" w:cs="Arial" w:hint="cs"/>
          <w:b/>
          <w:bCs/>
          <w:sz w:val="20"/>
          <w:szCs w:val="20"/>
          <w:rtl/>
        </w:rPr>
        <w:t xml:space="preserve">מתקל בין </w:t>
      </w:r>
      <w:r w:rsidRPr="001A70D0">
        <w:rPr>
          <w:rFonts w:ascii="Arial" w:hAnsi="Arial" w:cs="Arial" w:hint="cs"/>
          <w:b/>
          <w:bCs/>
          <w:sz w:val="20"/>
          <w:szCs w:val="20"/>
          <w:u w:val="single"/>
          <w:rtl/>
        </w:rPr>
        <w:t>חוק</w:t>
      </w:r>
      <w:r>
        <w:rPr>
          <w:rFonts w:ascii="Arial" w:hAnsi="Arial" w:cs="Arial" w:hint="cs"/>
          <w:b/>
          <w:bCs/>
          <w:sz w:val="20"/>
          <w:szCs w:val="20"/>
          <w:rtl/>
        </w:rPr>
        <w:t xml:space="preserve"> (להבדיל מחוק יסוד) לבין </w:t>
      </w:r>
      <w:r w:rsidRPr="001A70D0">
        <w:rPr>
          <w:rFonts w:ascii="Arial" w:hAnsi="Arial" w:cs="Arial"/>
          <w:b/>
          <w:bCs/>
          <w:sz w:val="20"/>
          <w:szCs w:val="20"/>
          <w:u w:val="single"/>
          <w:rtl/>
        </w:rPr>
        <w:t>עקרונות יסוד על-חוקתיים</w:t>
      </w:r>
      <w:r>
        <w:rPr>
          <w:rFonts w:ascii="Arial" w:hAnsi="Arial" w:cs="Arial" w:hint="cs"/>
          <w:sz w:val="20"/>
          <w:szCs w:val="20"/>
          <w:rtl/>
        </w:rPr>
        <w:t xml:space="preserve">  </w:t>
      </w:r>
    </w:p>
    <w:p w:rsidR="005366A8" w:rsidRPr="001A70D0" w:rsidRDefault="005366A8" w:rsidP="005366A8">
      <w:pPr>
        <w:ind w:left="720"/>
        <w:rPr>
          <w:rFonts w:ascii="Arial" w:hAnsi="Arial" w:cs="Arial"/>
          <w:sz w:val="20"/>
          <w:szCs w:val="20"/>
          <w:rtl/>
        </w:rPr>
      </w:pPr>
      <w:r>
        <w:rPr>
          <w:rFonts w:hint="cs"/>
          <w:sz w:val="20"/>
          <w:szCs w:val="20"/>
          <w:rtl/>
        </w:rPr>
        <w:t xml:space="preserve">[פגשנו את </w:t>
      </w:r>
      <w:r w:rsidRPr="00191907">
        <w:rPr>
          <w:rFonts w:hint="cs"/>
          <w:b/>
          <w:bCs/>
          <w:sz w:val="20"/>
          <w:szCs w:val="20"/>
          <w:rtl/>
        </w:rPr>
        <w:t>ירדור</w:t>
      </w:r>
      <w:r>
        <w:rPr>
          <w:rFonts w:hint="cs"/>
          <w:sz w:val="20"/>
          <w:szCs w:val="20"/>
          <w:rtl/>
        </w:rPr>
        <w:t xml:space="preserve">; </w:t>
      </w:r>
      <w:r w:rsidRPr="001A70D0">
        <w:rPr>
          <w:sz w:val="20"/>
          <w:szCs w:val="20"/>
          <w:rtl/>
        </w:rPr>
        <w:t>ר</w:t>
      </w:r>
      <w:r>
        <w:rPr>
          <w:rFonts w:hint="cs"/>
          <w:sz w:val="20"/>
          <w:szCs w:val="20"/>
          <w:rtl/>
        </w:rPr>
        <w:t>או גם</w:t>
      </w:r>
      <w:r w:rsidRPr="001A70D0">
        <w:rPr>
          <w:sz w:val="20"/>
          <w:szCs w:val="20"/>
          <w:rtl/>
        </w:rPr>
        <w:t xml:space="preserve"> פס"ד </w:t>
      </w:r>
      <w:r w:rsidRPr="001A70D0">
        <w:rPr>
          <w:b/>
          <w:bCs/>
          <w:sz w:val="20"/>
          <w:szCs w:val="20"/>
          <w:rtl/>
        </w:rPr>
        <w:t>מיטראל</w:t>
      </w:r>
      <w:r w:rsidRPr="001A70D0">
        <w:rPr>
          <w:sz w:val="20"/>
          <w:szCs w:val="20"/>
          <w:rtl/>
        </w:rPr>
        <w:t>, בהמשך דיוננו</w:t>
      </w:r>
      <w:r>
        <w:rPr>
          <w:rFonts w:hint="cs"/>
          <w:sz w:val="20"/>
          <w:szCs w:val="20"/>
          <w:rtl/>
        </w:rPr>
        <w:t>]</w:t>
      </w:r>
    </w:p>
    <w:p w:rsidR="005366A8" w:rsidRDefault="005366A8" w:rsidP="005366A8">
      <w:pPr>
        <w:rPr>
          <w:sz w:val="20"/>
          <w:szCs w:val="20"/>
          <w:rtl/>
        </w:rPr>
      </w:pPr>
      <w:r>
        <w:rPr>
          <w:rFonts w:hint="cs"/>
          <w:sz w:val="20"/>
          <w:szCs w:val="20"/>
          <w:rtl/>
        </w:rPr>
        <w:t>=-=</w:t>
      </w:r>
    </w:p>
    <w:p w:rsidR="005366A8" w:rsidRDefault="005366A8" w:rsidP="005366A8">
      <w:pPr>
        <w:rPr>
          <w:sz w:val="20"/>
          <w:szCs w:val="20"/>
          <w:rtl/>
        </w:rPr>
      </w:pPr>
    </w:p>
    <w:p w:rsidR="005366A8" w:rsidRPr="008834F0" w:rsidRDefault="005366A8" w:rsidP="005366A8">
      <w:pPr>
        <w:jc w:val="center"/>
        <w:rPr>
          <w:rFonts w:ascii="Arial" w:hAnsi="Arial" w:cs="Arial"/>
          <w:b/>
          <w:bCs/>
          <w:sz w:val="28"/>
          <w:szCs w:val="28"/>
          <w:highlight w:val="yellow"/>
          <w:u w:val="single"/>
          <w:rtl/>
        </w:rPr>
      </w:pPr>
      <w:r w:rsidRPr="008834F0">
        <w:rPr>
          <w:rFonts w:ascii="Arial" w:hAnsi="Arial" w:cs="Arial" w:hint="cs"/>
          <w:b/>
          <w:bCs/>
          <w:sz w:val="28"/>
          <w:szCs w:val="28"/>
          <w:highlight w:val="yellow"/>
          <w:u w:val="single"/>
          <w:rtl/>
        </w:rPr>
        <w:t xml:space="preserve">א. מתקל אפשרי בין החוקה הפורמאלית לחוקה המאטריאלית, </w:t>
      </w:r>
    </w:p>
    <w:p w:rsidR="005366A8" w:rsidRPr="008834F0" w:rsidRDefault="005366A8" w:rsidP="005366A8">
      <w:pPr>
        <w:jc w:val="center"/>
        <w:rPr>
          <w:rFonts w:ascii="Arial" w:hAnsi="Arial" w:cs="Arial"/>
          <w:b/>
          <w:bCs/>
          <w:sz w:val="28"/>
          <w:szCs w:val="28"/>
          <w:highlight w:val="yellow"/>
          <w:u w:val="single"/>
          <w:rtl/>
        </w:rPr>
      </w:pPr>
      <w:r w:rsidRPr="008834F0">
        <w:rPr>
          <w:rFonts w:ascii="Arial" w:hAnsi="Arial" w:cs="Arial" w:hint="cs"/>
          <w:b/>
          <w:bCs/>
          <w:sz w:val="28"/>
          <w:szCs w:val="28"/>
          <w:highlight w:val="yellow"/>
          <w:u w:val="single"/>
          <w:rtl/>
        </w:rPr>
        <w:t xml:space="preserve">משמע, בין הוראה בחוק יסוד לבין עקרונות היסוד: </w:t>
      </w:r>
    </w:p>
    <w:p w:rsidR="005366A8" w:rsidRPr="00864EF7" w:rsidRDefault="005366A8" w:rsidP="005366A8">
      <w:pPr>
        <w:jc w:val="center"/>
        <w:rPr>
          <w:rFonts w:ascii="Arial" w:hAnsi="Arial" w:cs="Arial"/>
          <w:sz w:val="28"/>
          <w:szCs w:val="28"/>
          <w:rtl/>
        </w:rPr>
      </w:pPr>
    </w:p>
    <w:p w:rsidR="005366A8" w:rsidRDefault="005366A8" w:rsidP="005366A8">
      <w:pPr>
        <w:rPr>
          <w:rFonts w:ascii="Arial" w:hAnsi="Arial" w:cs="Arial"/>
          <w:b/>
          <w:bCs/>
          <w:sz w:val="22"/>
          <w:szCs w:val="22"/>
          <w:rtl/>
        </w:rPr>
      </w:pPr>
      <w:r>
        <w:rPr>
          <w:rFonts w:ascii="Arial" w:hAnsi="Arial" w:cs="Arial" w:hint="cs"/>
          <w:b/>
          <w:bCs/>
          <w:sz w:val="22"/>
          <w:szCs w:val="22"/>
          <w:highlight w:val="yellow"/>
          <w:rtl/>
        </w:rPr>
        <w:t>מדובר ב</w:t>
      </w:r>
      <w:r w:rsidRPr="007475C5">
        <w:rPr>
          <w:rFonts w:ascii="Arial" w:hAnsi="Arial" w:cs="Arial" w:hint="cs"/>
          <w:b/>
          <w:bCs/>
          <w:sz w:val="22"/>
          <w:szCs w:val="22"/>
          <w:highlight w:val="yellow"/>
          <w:rtl/>
        </w:rPr>
        <w:t xml:space="preserve">אפשרות הסבוכה, </w:t>
      </w:r>
      <w:r>
        <w:rPr>
          <w:rFonts w:ascii="Arial" w:hAnsi="Arial" w:cs="Arial" w:hint="cs"/>
          <w:b/>
          <w:bCs/>
          <w:sz w:val="22"/>
          <w:szCs w:val="22"/>
          <w:highlight w:val="yellow"/>
          <w:rtl/>
        </w:rPr>
        <w:t>ש</w:t>
      </w:r>
      <w:r w:rsidRPr="007475C5">
        <w:rPr>
          <w:rFonts w:ascii="Arial" w:hAnsi="Arial" w:cs="Arial" w:hint="cs"/>
          <w:b/>
          <w:bCs/>
          <w:sz w:val="22"/>
          <w:szCs w:val="22"/>
          <w:highlight w:val="yellow"/>
          <w:rtl/>
        </w:rPr>
        <w:t xml:space="preserve">אין </w:t>
      </w:r>
      <w:r>
        <w:rPr>
          <w:rFonts w:ascii="Arial" w:hAnsi="Arial" w:cs="Arial" w:hint="cs"/>
          <w:b/>
          <w:bCs/>
          <w:sz w:val="22"/>
          <w:szCs w:val="22"/>
          <w:highlight w:val="yellow"/>
          <w:rtl/>
        </w:rPr>
        <w:t xml:space="preserve">עדיין </w:t>
      </w:r>
      <w:r w:rsidRPr="007475C5">
        <w:rPr>
          <w:rFonts w:ascii="Arial" w:hAnsi="Arial" w:cs="Arial" w:hint="cs"/>
          <w:b/>
          <w:bCs/>
          <w:sz w:val="22"/>
          <w:szCs w:val="22"/>
          <w:highlight w:val="yellow"/>
          <w:rtl/>
        </w:rPr>
        <w:t xml:space="preserve">הכרעה ברורה בעניינה, </w:t>
      </w:r>
      <w:r>
        <w:rPr>
          <w:rFonts w:ascii="Arial" w:hAnsi="Arial" w:cs="Arial" w:hint="cs"/>
          <w:b/>
          <w:bCs/>
          <w:sz w:val="22"/>
          <w:szCs w:val="22"/>
          <w:highlight w:val="yellow"/>
          <w:rtl/>
        </w:rPr>
        <w:t>ביחס לסמכות להפעיל</w:t>
      </w:r>
      <w:r w:rsidRPr="007475C5">
        <w:rPr>
          <w:rFonts w:ascii="Arial" w:hAnsi="Arial" w:cs="Arial" w:hint="cs"/>
          <w:b/>
          <w:bCs/>
          <w:sz w:val="22"/>
          <w:szCs w:val="22"/>
          <w:highlight w:val="yellow"/>
          <w:rtl/>
        </w:rPr>
        <w:t xml:space="preserve"> ביקורת מטא-טקסטואלית</w:t>
      </w:r>
      <w:r w:rsidRPr="007475C5">
        <w:rPr>
          <w:rFonts w:ascii="Arial" w:hAnsi="Arial" w:cs="Arial" w:hint="cs"/>
          <w:b/>
          <w:bCs/>
          <w:sz w:val="22"/>
          <w:szCs w:val="22"/>
          <w:rtl/>
        </w:rPr>
        <w:t xml:space="preserve">: </w:t>
      </w:r>
    </w:p>
    <w:p w:rsidR="005366A8" w:rsidRPr="007475C5" w:rsidRDefault="005366A8" w:rsidP="005366A8">
      <w:pPr>
        <w:spacing w:after="120"/>
        <w:ind w:left="720"/>
        <w:rPr>
          <w:rFonts w:ascii="Arial" w:hAnsi="Arial" w:cs="Arial"/>
          <w:b/>
          <w:bCs/>
          <w:sz w:val="22"/>
          <w:szCs w:val="22"/>
          <w:rtl/>
        </w:rPr>
      </w:pPr>
      <w:r w:rsidRPr="007475C5">
        <w:rPr>
          <w:rFonts w:ascii="Arial" w:hAnsi="Arial" w:cs="Arial" w:hint="cs"/>
          <w:b/>
          <w:bCs/>
          <w:sz w:val="22"/>
          <w:szCs w:val="22"/>
          <w:rtl/>
        </w:rPr>
        <w:t xml:space="preserve">הניתן לפסול מכוח החוקה המהותית, בין היתר, גם </w:t>
      </w:r>
      <w:r w:rsidRPr="007475C5">
        <w:rPr>
          <w:rFonts w:ascii="Arial" w:hAnsi="Arial" w:cs="Arial" w:hint="cs"/>
          <w:b/>
          <w:bCs/>
          <w:sz w:val="22"/>
          <w:szCs w:val="22"/>
          <w:highlight w:val="yellow"/>
          <w:rtl/>
        </w:rPr>
        <w:t xml:space="preserve">הוראות </w:t>
      </w:r>
      <w:r w:rsidRPr="00D14525">
        <w:rPr>
          <w:rFonts w:ascii="Arial" w:hAnsi="Arial" w:cs="Arial" w:hint="cs"/>
          <w:b/>
          <w:bCs/>
          <w:sz w:val="22"/>
          <w:szCs w:val="22"/>
          <w:highlight w:val="yellow"/>
          <w:u w:val="single"/>
          <w:rtl/>
        </w:rPr>
        <w:t>חוקה</w:t>
      </w:r>
      <w:r w:rsidRPr="007475C5">
        <w:rPr>
          <w:rFonts w:ascii="Arial" w:hAnsi="Arial" w:cs="Arial" w:hint="cs"/>
          <w:b/>
          <w:bCs/>
          <w:sz w:val="22"/>
          <w:szCs w:val="22"/>
          <w:highlight w:val="yellow"/>
          <w:rtl/>
        </w:rPr>
        <w:t xml:space="preserve"> </w:t>
      </w:r>
      <w:r>
        <w:rPr>
          <w:rFonts w:ascii="Arial" w:hAnsi="Arial" w:cs="Arial" w:hint="cs"/>
          <w:b/>
          <w:bCs/>
          <w:sz w:val="22"/>
          <w:szCs w:val="22"/>
          <w:highlight w:val="yellow"/>
          <w:rtl/>
        </w:rPr>
        <w:t>(</w:t>
      </w:r>
      <w:r w:rsidRPr="007475C5">
        <w:rPr>
          <w:rFonts w:ascii="Arial" w:hAnsi="Arial" w:cs="Arial" w:hint="cs"/>
          <w:b/>
          <w:bCs/>
          <w:sz w:val="22"/>
          <w:szCs w:val="22"/>
          <w:highlight w:val="yellow"/>
          <w:rtl/>
        </w:rPr>
        <w:t>שאינן חוקתיות</w:t>
      </w:r>
      <w:r>
        <w:rPr>
          <w:rFonts w:ascii="Arial" w:hAnsi="Arial" w:cs="Arial" w:hint="cs"/>
          <w:b/>
          <w:bCs/>
          <w:sz w:val="22"/>
          <w:szCs w:val="22"/>
          <w:highlight w:val="yellow"/>
          <w:rtl/>
        </w:rPr>
        <w:t>)</w:t>
      </w:r>
      <w:r w:rsidRPr="007475C5">
        <w:rPr>
          <w:rFonts w:ascii="Arial" w:hAnsi="Arial" w:cs="Arial" w:hint="cs"/>
          <w:b/>
          <w:bCs/>
          <w:sz w:val="22"/>
          <w:szCs w:val="22"/>
          <w:highlight w:val="yellow"/>
          <w:rtl/>
        </w:rPr>
        <w:t>?</w:t>
      </w:r>
    </w:p>
    <w:p w:rsidR="005366A8" w:rsidRPr="007475C5" w:rsidRDefault="005366A8" w:rsidP="005366A8">
      <w:pPr>
        <w:pStyle w:val="T-body"/>
        <w:spacing w:after="120"/>
        <w:jc w:val="left"/>
        <w:rPr>
          <w:rFonts w:ascii="Arial" w:hAnsi="Arial" w:cs="Arial"/>
          <w:b/>
          <w:bCs/>
          <w:sz w:val="22"/>
          <w:szCs w:val="22"/>
          <w:rtl/>
        </w:rPr>
      </w:pPr>
      <w:r w:rsidRPr="007475C5">
        <w:rPr>
          <w:rFonts w:ascii="Arial" w:hAnsi="Arial" w:cs="Arial" w:hint="cs"/>
          <w:b/>
          <w:bCs/>
          <w:sz w:val="22"/>
          <w:szCs w:val="22"/>
          <w:highlight w:val="yellow"/>
          <w:rtl/>
        </w:rPr>
        <w:t>אם בכלל עומדת לבית המשפט סמכות שכזו, הרי שמדובר רק במקרה של פגיעה עמוקה מאד בעקרונות היסוד</w:t>
      </w:r>
    </w:p>
    <w:p w:rsidR="005366A8" w:rsidRPr="00607573" w:rsidRDefault="005366A8" w:rsidP="005366A8">
      <w:pPr>
        <w:pStyle w:val="T-body"/>
        <w:spacing w:after="120"/>
        <w:rPr>
          <w:rFonts w:ascii="Arial" w:hAnsi="Arial" w:cs="Arial"/>
          <w:sz w:val="22"/>
          <w:szCs w:val="22"/>
        </w:rPr>
      </w:pPr>
      <w:r>
        <w:rPr>
          <w:rFonts w:ascii="Arial" w:hAnsi="Arial" w:cs="Arial" w:hint="cs"/>
          <w:sz w:val="22"/>
          <w:szCs w:val="22"/>
          <w:rtl/>
        </w:rPr>
        <w:t xml:space="preserve">עוסק בכך </w:t>
      </w:r>
      <w:r w:rsidRPr="004F3126">
        <w:rPr>
          <w:rFonts w:ascii="Arial" w:hAnsi="Arial" w:cs="Arial" w:hint="cs"/>
          <w:sz w:val="22"/>
          <w:szCs w:val="22"/>
          <w:u w:val="single"/>
          <w:rtl/>
        </w:rPr>
        <w:t xml:space="preserve">בג"צ 4908/10 </w:t>
      </w:r>
      <w:r w:rsidRPr="004F3126">
        <w:rPr>
          <w:rFonts w:ascii="Arial" w:hAnsi="Arial" w:cs="Arial" w:hint="cs"/>
          <w:b/>
          <w:bCs/>
          <w:sz w:val="22"/>
          <w:szCs w:val="22"/>
          <w:u w:val="single"/>
          <w:rtl/>
        </w:rPr>
        <w:t>בר-און נ' כנסת ישראל</w:t>
      </w:r>
      <w:r w:rsidRPr="004F3126">
        <w:rPr>
          <w:rFonts w:ascii="Arial" w:hAnsi="Arial" w:cs="Arial" w:hint="cs"/>
          <w:sz w:val="22"/>
          <w:szCs w:val="22"/>
          <w:u w:val="single"/>
          <w:rtl/>
        </w:rPr>
        <w:t xml:space="preserve"> (2011)</w:t>
      </w:r>
      <w:r>
        <w:rPr>
          <w:rFonts w:ascii="Arial" w:hAnsi="Arial" w:cs="Arial" w:hint="cs"/>
          <w:sz w:val="22"/>
          <w:szCs w:val="22"/>
          <w:rtl/>
        </w:rPr>
        <w:t xml:space="preserve"> </w:t>
      </w:r>
    </w:p>
    <w:p w:rsidR="005366A8" w:rsidRPr="00347783" w:rsidRDefault="005366A8" w:rsidP="005366A8">
      <w:pPr>
        <w:pStyle w:val="T-body"/>
        <w:spacing w:after="240" w:line="240" w:lineRule="auto"/>
        <w:ind w:left="720"/>
        <w:rPr>
          <w:rFonts w:ascii="Arial" w:hAnsi="Arial" w:cs="Arial"/>
          <w:sz w:val="22"/>
          <w:szCs w:val="22"/>
          <w:rtl/>
        </w:rPr>
      </w:pPr>
      <w:r w:rsidRPr="00347783">
        <w:rPr>
          <w:rFonts w:cs="FrankRuehl" w:hint="cs"/>
          <w:sz w:val="22"/>
          <w:szCs w:val="22"/>
          <w:rtl/>
        </w:rPr>
        <w:t xml:space="preserve">ביום 22.6.2010 התקבל בקריאה שנייה ושלישית </w:t>
      </w:r>
      <w:r w:rsidRPr="00347783">
        <w:rPr>
          <w:rFonts w:cs="FrankRuehl" w:hint="cs"/>
          <w:sz w:val="22"/>
          <w:szCs w:val="22"/>
          <w:highlight w:val="yellow"/>
          <w:rtl/>
        </w:rPr>
        <w:t>חוק יסוד: תקציב המדינה (הוראות מיוחדות) (הוראת שעה) (תיקון)</w:t>
      </w:r>
      <w:r w:rsidRPr="00347783">
        <w:rPr>
          <w:rFonts w:cs="FrankRuehl" w:hint="cs"/>
          <w:sz w:val="22"/>
          <w:szCs w:val="22"/>
          <w:rtl/>
        </w:rPr>
        <w:t xml:space="preserve"> (להלן: </w:t>
      </w:r>
      <w:r w:rsidRPr="00347783">
        <w:rPr>
          <w:rFonts w:cs="Miriam" w:hint="cs"/>
          <w:sz w:val="22"/>
          <w:szCs w:val="22"/>
          <w:rtl/>
        </w:rPr>
        <w:t>חוק יסוד הוראת השעה</w:t>
      </w:r>
      <w:r w:rsidRPr="00347783">
        <w:rPr>
          <w:rFonts w:cs="FrankRuehl" w:hint="cs"/>
          <w:sz w:val="22"/>
          <w:szCs w:val="22"/>
          <w:rtl/>
        </w:rPr>
        <w:t xml:space="preserve"> או </w:t>
      </w:r>
      <w:r w:rsidRPr="00347783">
        <w:rPr>
          <w:rFonts w:cs="Miriam" w:hint="cs"/>
          <w:sz w:val="22"/>
          <w:szCs w:val="22"/>
          <w:rtl/>
        </w:rPr>
        <w:t>החוק</w:t>
      </w:r>
      <w:r w:rsidRPr="00347783">
        <w:rPr>
          <w:rFonts w:cs="FrankRuehl" w:hint="cs"/>
          <w:sz w:val="22"/>
          <w:szCs w:val="22"/>
          <w:rtl/>
        </w:rPr>
        <w:t xml:space="preserve">). חוק יסוד הוראת השעה קובע כי תקציב המדינה לשנים 2011 ו-2012 יהיה תקציב דו-שנתי שיקבע בחוק אחד. חוק יסוד הוראת השעה הוא המשך של חוק יסוד קודם שקבע, אף הוא בהוראת שעה, כי תקציב המדינה לשנים 2009 ו-2010 יהיה תקציב דו-שנתי (להלן: </w:t>
      </w:r>
      <w:r w:rsidRPr="00347783">
        <w:rPr>
          <w:rFonts w:cs="Miriam" w:hint="cs"/>
          <w:sz w:val="22"/>
          <w:szCs w:val="22"/>
          <w:rtl/>
        </w:rPr>
        <w:t>הוראת השעה המקורית</w:t>
      </w:r>
      <w:r w:rsidRPr="00347783">
        <w:rPr>
          <w:rFonts w:cs="FrankRuehl" w:hint="cs"/>
          <w:sz w:val="22"/>
          <w:szCs w:val="22"/>
          <w:rtl/>
        </w:rPr>
        <w:t>). חוק יסוד הוראת השעה, כהוראת השעה המקורית, משנה את ההוראות הקבועות בסעיפים 3(א)(2), 3(ב)(1) ו-3א לחוק יסוד: משק המדינה, לפיהן תקציב המדינה ייקבע לשנה אחת בלבד.</w:t>
      </w:r>
    </w:p>
    <w:p w:rsidR="005366A8" w:rsidRPr="00191907" w:rsidRDefault="005366A8" w:rsidP="005366A8">
      <w:pPr>
        <w:spacing w:after="120"/>
        <w:rPr>
          <w:rFonts w:ascii="Arial" w:hAnsi="Arial" w:cs="Arial"/>
          <w:sz w:val="18"/>
          <w:szCs w:val="18"/>
          <w:rtl/>
        </w:rPr>
      </w:pPr>
    </w:p>
    <w:p w:rsidR="005366A8" w:rsidRPr="00F27F08" w:rsidRDefault="005366A8" w:rsidP="005366A8">
      <w:pPr>
        <w:jc w:val="center"/>
        <w:rPr>
          <w:rFonts w:ascii="Arial" w:hAnsi="Arial" w:cs="Arial"/>
          <w:sz w:val="32"/>
          <w:szCs w:val="32"/>
          <w:rtl/>
        </w:rPr>
      </w:pPr>
      <w:r w:rsidRPr="008834F0">
        <w:rPr>
          <w:rFonts w:ascii="Arial" w:hAnsi="Arial" w:cs="Arial" w:hint="cs"/>
          <w:b/>
          <w:bCs/>
          <w:sz w:val="32"/>
          <w:szCs w:val="32"/>
          <w:highlight w:val="yellow"/>
          <w:u w:val="single"/>
          <w:rtl/>
        </w:rPr>
        <w:t xml:space="preserve">ב. מתקל בין הוראה בחוק יסוד והוראה אחרת </w:t>
      </w:r>
      <w:r w:rsidRPr="008834F0">
        <w:rPr>
          <w:rFonts w:ascii="Arial" w:hAnsi="Arial" w:cs="Arial" w:hint="cs"/>
          <w:b/>
          <w:bCs/>
          <w:i/>
          <w:iCs/>
          <w:sz w:val="32"/>
          <w:szCs w:val="32"/>
          <w:highlight w:val="yellow"/>
          <w:u w:val="single"/>
          <w:rtl/>
        </w:rPr>
        <w:t>בחוק יסוד</w:t>
      </w:r>
      <w:r w:rsidRPr="00F27F08">
        <w:rPr>
          <w:rFonts w:ascii="Arial" w:hAnsi="Arial" w:cs="Arial" w:hint="cs"/>
          <w:sz w:val="32"/>
          <w:szCs w:val="32"/>
          <w:rtl/>
        </w:rPr>
        <w:t xml:space="preserve"> </w:t>
      </w:r>
    </w:p>
    <w:p w:rsidR="005366A8" w:rsidRDefault="005366A8" w:rsidP="005366A8">
      <w:pPr>
        <w:jc w:val="center"/>
        <w:rPr>
          <w:rFonts w:ascii="Arial" w:hAnsi="Arial" w:cs="Arial"/>
          <w:sz w:val="20"/>
          <w:szCs w:val="20"/>
          <w:rtl/>
        </w:rPr>
      </w:pPr>
    </w:p>
    <w:p w:rsidR="005366A8" w:rsidRDefault="005366A8" w:rsidP="005366A8">
      <w:pPr>
        <w:spacing w:after="120"/>
        <w:rPr>
          <w:rFonts w:ascii="Arial" w:hAnsi="Arial" w:cs="Arial"/>
          <w:sz w:val="20"/>
          <w:szCs w:val="20"/>
          <w:rtl/>
        </w:rPr>
      </w:pPr>
      <w:r w:rsidRPr="009C3B39">
        <w:rPr>
          <w:rFonts w:ascii="Arial" w:hAnsi="Arial" w:cs="Arial"/>
          <w:sz w:val="20"/>
          <w:szCs w:val="20"/>
          <w:rtl/>
        </w:rPr>
        <w:t xml:space="preserve">הכנסת </w:t>
      </w:r>
      <w:r>
        <w:rPr>
          <w:rFonts w:ascii="Arial" w:hAnsi="Arial" w:cs="Arial" w:hint="cs"/>
          <w:sz w:val="20"/>
          <w:szCs w:val="20"/>
          <w:rtl/>
        </w:rPr>
        <w:t>כרשות מכוננת מוסמכת לקבוע ה</w:t>
      </w:r>
      <w:r w:rsidRPr="009C3B39">
        <w:rPr>
          <w:rFonts w:ascii="Arial" w:hAnsi="Arial" w:cs="Arial"/>
          <w:sz w:val="20"/>
          <w:szCs w:val="20"/>
          <w:rtl/>
        </w:rPr>
        <w:t xml:space="preserve">וראות </w:t>
      </w:r>
      <w:r>
        <w:rPr>
          <w:rFonts w:ascii="Arial" w:hAnsi="Arial" w:cs="Arial" w:hint="cs"/>
          <w:sz w:val="20"/>
          <w:szCs w:val="20"/>
          <w:rtl/>
        </w:rPr>
        <w:t xml:space="preserve">של </w:t>
      </w:r>
      <w:r w:rsidRPr="00470E8E">
        <w:rPr>
          <w:rFonts w:ascii="Arial" w:hAnsi="Arial" w:cs="Arial" w:hint="cs"/>
          <w:b/>
          <w:bCs/>
          <w:sz w:val="20"/>
          <w:szCs w:val="20"/>
          <w:rtl/>
        </w:rPr>
        <w:t>"כבילה עצמית"</w:t>
      </w:r>
      <w:r w:rsidRPr="009C3B39">
        <w:rPr>
          <w:rFonts w:ascii="Arial" w:hAnsi="Arial" w:cs="Arial"/>
          <w:sz w:val="20"/>
          <w:szCs w:val="20"/>
          <w:rtl/>
        </w:rPr>
        <w:t xml:space="preserve"> </w:t>
      </w:r>
      <w:r w:rsidRPr="009C3B39">
        <w:rPr>
          <w:rFonts w:ascii="Arial" w:hAnsi="Arial" w:cs="Arial"/>
          <w:b/>
          <w:bCs/>
          <w:sz w:val="20"/>
          <w:szCs w:val="20"/>
          <w:rtl/>
        </w:rPr>
        <w:t>("פסקאות נוקשות")</w:t>
      </w:r>
      <w:r>
        <w:rPr>
          <w:rFonts w:ascii="Arial" w:hAnsi="Arial" w:cs="Arial" w:hint="cs"/>
          <w:sz w:val="20"/>
          <w:szCs w:val="20"/>
          <w:rtl/>
        </w:rPr>
        <w:t xml:space="preserve">.  </w:t>
      </w:r>
    </w:p>
    <w:p w:rsidR="005366A8" w:rsidRDefault="005366A8" w:rsidP="005366A8">
      <w:pPr>
        <w:spacing w:after="120"/>
        <w:rPr>
          <w:rFonts w:ascii="Arial" w:hAnsi="Arial" w:cs="Arial"/>
          <w:sz w:val="20"/>
          <w:szCs w:val="20"/>
          <w:rtl/>
        </w:rPr>
      </w:pPr>
      <w:r>
        <w:rPr>
          <w:rFonts w:ascii="Arial" w:hAnsi="Arial" w:cs="Arial" w:hint="cs"/>
          <w:sz w:val="20"/>
          <w:szCs w:val="20"/>
          <w:rtl/>
        </w:rPr>
        <w:t>סמכות זו מסויגת, אם בכלל, רק בחריג הצר של ביקורת מטא-טקסטואלית.</w:t>
      </w:r>
    </w:p>
    <w:p w:rsidR="005366A8" w:rsidRDefault="005366A8" w:rsidP="005366A8">
      <w:pPr>
        <w:spacing w:after="120"/>
        <w:rPr>
          <w:rFonts w:ascii="Arial" w:hAnsi="Arial" w:cs="Arial"/>
          <w:sz w:val="20"/>
          <w:szCs w:val="20"/>
          <w:rtl/>
        </w:rPr>
      </w:pPr>
      <w:r>
        <w:rPr>
          <w:rFonts w:ascii="Arial" w:hAnsi="Arial" w:cs="Arial" w:hint="cs"/>
          <w:sz w:val="20"/>
          <w:szCs w:val="20"/>
          <w:rtl/>
        </w:rPr>
        <w:t xml:space="preserve">רק חוק יסוד יכול לשנות חוק יסוד אחר. </w:t>
      </w:r>
    </w:p>
    <w:p w:rsidR="005366A8" w:rsidRDefault="005366A8" w:rsidP="005366A8">
      <w:pPr>
        <w:spacing w:after="120"/>
        <w:rPr>
          <w:rFonts w:ascii="Arial" w:hAnsi="Arial" w:cs="Arial"/>
          <w:sz w:val="20"/>
          <w:szCs w:val="20"/>
          <w:rtl/>
        </w:rPr>
      </w:pPr>
      <w:r>
        <w:rPr>
          <w:rFonts w:ascii="Arial" w:hAnsi="Arial" w:cs="Arial" w:hint="cs"/>
          <w:sz w:val="20"/>
          <w:szCs w:val="20"/>
          <w:rtl/>
        </w:rPr>
        <w:t xml:space="preserve">אם חוק היסוד שאותו באים לשנות מוגן על ידי פסקת נוקשות/ כבילה עצמית, אזי חוק היסוד המשנה צריך לעבור את משוכת הכבילה העצמית. </w:t>
      </w:r>
    </w:p>
    <w:p w:rsidR="005366A8" w:rsidRDefault="005366A8" w:rsidP="005366A8">
      <w:pPr>
        <w:rPr>
          <w:rFonts w:ascii="Arial" w:hAnsi="Arial" w:cs="Arial"/>
          <w:sz w:val="20"/>
          <w:szCs w:val="20"/>
          <w:rtl/>
        </w:rPr>
      </w:pPr>
      <w:r>
        <w:rPr>
          <w:rFonts w:ascii="Arial" w:hAnsi="Arial" w:cs="Arial" w:hint="cs"/>
          <w:sz w:val="20"/>
          <w:szCs w:val="20"/>
          <w:rtl/>
        </w:rPr>
        <w:t>הוראות הכבילה העצמית מכבידות על יכולת השינוי של ההוראות החוקתיות שעליהן הן מגוננות, כלומר מכבידות על הכנסת אפילו בפוֹעלה כרשות מכוננת. הכבדה זו קשורה לחשיבותן של ההוראות החוקתיות ולרצון לשמור על יציבותן ועל כוחן.  (משפט חוקתי השוואתי: רוב חוקות העולם הדמוקרטי הן נוקשוֹת, נוקשוּת של ממש).</w:t>
      </w:r>
    </w:p>
    <w:p w:rsidR="005366A8" w:rsidRDefault="005366A8" w:rsidP="005366A8">
      <w:pPr>
        <w:rPr>
          <w:rFonts w:ascii="Arial" w:hAnsi="Arial" w:cs="Arial"/>
          <w:sz w:val="20"/>
          <w:szCs w:val="20"/>
          <w:rtl/>
        </w:rPr>
      </w:pPr>
    </w:p>
    <w:p w:rsidR="005366A8" w:rsidRDefault="005366A8" w:rsidP="005366A8">
      <w:pPr>
        <w:rPr>
          <w:rFonts w:ascii="Arial" w:hAnsi="Arial" w:cs="Arial"/>
          <w:sz w:val="20"/>
          <w:szCs w:val="20"/>
          <w:rtl/>
        </w:rPr>
      </w:pPr>
      <w:r>
        <w:rPr>
          <w:rFonts w:ascii="Arial" w:hAnsi="Arial" w:cs="Arial" w:hint="cs"/>
          <w:sz w:val="20"/>
          <w:szCs w:val="20"/>
          <w:rtl/>
        </w:rPr>
        <w:t xml:space="preserve">בישראל "הכבילה העצמית" המלווה את חוקי היסוד היא </w:t>
      </w:r>
      <w:r w:rsidRPr="00470E8E">
        <w:rPr>
          <w:rFonts w:ascii="Arial" w:hAnsi="Arial" w:cs="Arial" w:hint="cs"/>
          <w:b/>
          <w:bCs/>
          <w:sz w:val="20"/>
          <w:szCs w:val="20"/>
          <w:rtl/>
        </w:rPr>
        <w:t>מוגבלת.</w:t>
      </w:r>
      <w:r>
        <w:rPr>
          <w:rFonts w:ascii="Arial" w:hAnsi="Arial" w:cs="Arial" w:hint="cs"/>
          <w:sz w:val="20"/>
          <w:szCs w:val="20"/>
          <w:rtl/>
        </w:rPr>
        <w:t xml:space="preserve">  </w:t>
      </w:r>
      <w:r w:rsidRPr="009C3B39">
        <w:rPr>
          <w:rFonts w:ascii="Arial" w:hAnsi="Arial" w:cs="Arial"/>
          <w:sz w:val="20"/>
          <w:szCs w:val="20"/>
          <w:rtl/>
        </w:rPr>
        <w:t xml:space="preserve">הוראות </w:t>
      </w:r>
      <w:r>
        <w:rPr>
          <w:rFonts w:ascii="Arial" w:hAnsi="Arial" w:cs="Arial" w:hint="cs"/>
          <w:sz w:val="20"/>
          <w:szCs w:val="20"/>
          <w:rtl/>
        </w:rPr>
        <w:t>כבילה עצמית</w:t>
      </w:r>
      <w:r w:rsidRPr="009C3B39">
        <w:rPr>
          <w:rFonts w:ascii="Arial" w:hAnsi="Arial" w:cs="Arial"/>
          <w:sz w:val="20"/>
          <w:szCs w:val="20"/>
          <w:rtl/>
        </w:rPr>
        <w:t xml:space="preserve"> כלולות </w:t>
      </w:r>
      <w:r>
        <w:rPr>
          <w:rFonts w:ascii="Arial" w:hAnsi="Arial" w:cs="Arial" w:hint="cs"/>
          <w:sz w:val="20"/>
          <w:szCs w:val="20"/>
          <w:rtl/>
        </w:rPr>
        <w:t xml:space="preserve">רק בהקשרים הבאים: </w:t>
      </w:r>
    </w:p>
    <w:p w:rsidR="005366A8" w:rsidRDefault="005366A8" w:rsidP="005366A8">
      <w:pPr>
        <w:ind w:left="720"/>
        <w:rPr>
          <w:rFonts w:ascii="Arial" w:hAnsi="Arial" w:cs="Arial"/>
          <w:sz w:val="20"/>
          <w:szCs w:val="20"/>
          <w:rtl/>
        </w:rPr>
      </w:pPr>
      <w:r>
        <w:rPr>
          <w:rFonts w:ascii="Arial" w:hAnsi="Arial" w:cs="Arial" w:hint="cs"/>
          <w:sz w:val="20"/>
          <w:szCs w:val="20"/>
          <w:rtl/>
        </w:rPr>
        <w:t xml:space="preserve">א. </w:t>
      </w:r>
      <w:r w:rsidRPr="009C3B39">
        <w:rPr>
          <w:rFonts w:ascii="Arial" w:hAnsi="Arial" w:cs="Arial"/>
          <w:sz w:val="20"/>
          <w:szCs w:val="20"/>
          <w:rtl/>
        </w:rPr>
        <w:t xml:space="preserve">ביחס למכלול הוראות </w:t>
      </w:r>
      <w:r w:rsidRPr="0055538D">
        <w:rPr>
          <w:rFonts w:ascii="Arial" w:hAnsi="Arial" w:cs="Arial"/>
          <w:b/>
          <w:bCs/>
          <w:sz w:val="20"/>
          <w:szCs w:val="20"/>
          <w:rtl/>
        </w:rPr>
        <w:t>חוק-יסוד: חופש העיסוק</w:t>
      </w:r>
      <w:r w:rsidRPr="009C3B39">
        <w:rPr>
          <w:rFonts w:ascii="Arial" w:hAnsi="Arial" w:cs="Arial"/>
          <w:sz w:val="20"/>
          <w:szCs w:val="20"/>
          <w:rtl/>
        </w:rPr>
        <w:t xml:space="preserve"> </w:t>
      </w:r>
    </w:p>
    <w:p w:rsidR="005366A8" w:rsidRDefault="005366A8" w:rsidP="005366A8">
      <w:pPr>
        <w:ind w:left="720"/>
        <w:rPr>
          <w:rFonts w:ascii="Arial" w:hAnsi="Arial" w:cs="Arial"/>
          <w:sz w:val="20"/>
          <w:szCs w:val="20"/>
          <w:rtl/>
        </w:rPr>
      </w:pPr>
      <w:r>
        <w:rPr>
          <w:rFonts w:ascii="Arial" w:hAnsi="Arial" w:cs="Arial" w:hint="cs"/>
          <w:sz w:val="20"/>
          <w:szCs w:val="20"/>
          <w:rtl/>
        </w:rPr>
        <w:t xml:space="preserve">ב. ביחס למכלול הוראות </w:t>
      </w:r>
      <w:r w:rsidRPr="0055538D">
        <w:rPr>
          <w:rFonts w:ascii="Arial" w:hAnsi="Arial" w:cs="Arial"/>
          <w:b/>
          <w:bCs/>
          <w:sz w:val="20"/>
          <w:szCs w:val="20"/>
          <w:rtl/>
        </w:rPr>
        <w:t>חוק-יסוד: הממשלה</w:t>
      </w:r>
      <w:r w:rsidRPr="009C3B39">
        <w:rPr>
          <w:rFonts w:ascii="Arial" w:hAnsi="Arial" w:cs="Arial"/>
          <w:sz w:val="20"/>
          <w:szCs w:val="20"/>
          <w:rtl/>
        </w:rPr>
        <w:t xml:space="preserve"> [</w:t>
      </w:r>
      <w:r>
        <w:rPr>
          <w:rFonts w:ascii="Arial" w:hAnsi="Arial" w:cs="Arial" w:hint="cs"/>
          <w:sz w:val="20"/>
          <w:szCs w:val="20"/>
          <w:rtl/>
        </w:rPr>
        <w:t>ר' סע' 44 שם</w:t>
      </w:r>
      <w:r w:rsidRPr="009C3B39">
        <w:rPr>
          <w:rFonts w:ascii="Arial" w:hAnsi="Arial" w:cs="Arial"/>
          <w:sz w:val="20"/>
          <w:szCs w:val="20"/>
          <w:rtl/>
        </w:rPr>
        <w:t xml:space="preserve">]; </w:t>
      </w:r>
    </w:p>
    <w:p w:rsidR="005366A8" w:rsidRDefault="005366A8" w:rsidP="005366A8">
      <w:pPr>
        <w:ind w:left="720"/>
        <w:rPr>
          <w:rFonts w:ascii="Arial" w:hAnsi="Arial" w:cs="Arial"/>
          <w:sz w:val="20"/>
          <w:szCs w:val="20"/>
          <w:rtl/>
        </w:rPr>
      </w:pPr>
      <w:r>
        <w:rPr>
          <w:rFonts w:ascii="Arial" w:hAnsi="Arial" w:cs="Arial" w:hint="cs"/>
          <w:sz w:val="20"/>
          <w:szCs w:val="20"/>
          <w:rtl/>
        </w:rPr>
        <w:t xml:space="preserve">ג. ביחס למכלול הוראות </w:t>
      </w:r>
      <w:r w:rsidRPr="004F3126">
        <w:rPr>
          <w:rFonts w:ascii="Arial" w:hAnsi="Arial" w:cs="Arial" w:hint="cs"/>
          <w:b/>
          <w:bCs/>
          <w:sz w:val="20"/>
          <w:szCs w:val="20"/>
          <w:rtl/>
        </w:rPr>
        <w:t>חוק-יסוד: משאל עם</w:t>
      </w:r>
      <w:r>
        <w:rPr>
          <w:rFonts w:ascii="Arial" w:hAnsi="Arial" w:cs="Arial" w:hint="cs"/>
          <w:sz w:val="20"/>
          <w:szCs w:val="20"/>
          <w:rtl/>
        </w:rPr>
        <w:t>;</w:t>
      </w:r>
    </w:p>
    <w:p w:rsidR="005366A8" w:rsidRDefault="005366A8" w:rsidP="005366A8">
      <w:pPr>
        <w:spacing w:after="120"/>
        <w:ind w:left="720"/>
        <w:rPr>
          <w:rFonts w:ascii="Arial" w:hAnsi="Arial" w:cs="Arial"/>
          <w:sz w:val="20"/>
          <w:szCs w:val="20"/>
          <w:rtl/>
        </w:rPr>
      </w:pPr>
      <w:r>
        <w:rPr>
          <w:rFonts w:ascii="Arial" w:hAnsi="Arial" w:cs="Arial" w:hint="cs"/>
          <w:sz w:val="20"/>
          <w:szCs w:val="20"/>
          <w:rtl/>
        </w:rPr>
        <w:t xml:space="preserve">ד. </w:t>
      </w:r>
      <w:r w:rsidRPr="009C3B39">
        <w:rPr>
          <w:rFonts w:ascii="Arial" w:hAnsi="Arial" w:cs="Arial"/>
          <w:sz w:val="20"/>
          <w:szCs w:val="20"/>
          <w:rtl/>
        </w:rPr>
        <w:t xml:space="preserve">הן כלולות </w:t>
      </w:r>
      <w:r>
        <w:rPr>
          <w:rFonts w:ascii="Arial" w:hAnsi="Arial" w:cs="Arial" w:hint="cs"/>
          <w:sz w:val="20"/>
          <w:szCs w:val="20"/>
          <w:rtl/>
        </w:rPr>
        <w:t xml:space="preserve">גם </w:t>
      </w:r>
      <w:r w:rsidRPr="009C3B39">
        <w:rPr>
          <w:rFonts w:ascii="Arial" w:hAnsi="Arial" w:cs="Arial"/>
          <w:sz w:val="20"/>
          <w:szCs w:val="20"/>
          <w:rtl/>
        </w:rPr>
        <w:t xml:space="preserve">ביחס </w:t>
      </w:r>
      <w:r w:rsidRPr="007475C5">
        <w:rPr>
          <w:rFonts w:ascii="Arial" w:hAnsi="Arial" w:cs="Arial"/>
          <w:b/>
          <w:bCs/>
          <w:i/>
          <w:iCs/>
          <w:sz w:val="20"/>
          <w:szCs w:val="20"/>
          <w:rtl/>
        </w:rPr>
        <w:t xml:space="preserve">להוראות </w:t>
      </w:r>
      <w:r w:rsidRPr="007475C5">
        <w:rPr>
          <w:rFonts w:ascii="Arial" w:hAnsi="Arial" w:cs="Arial" w:hint="cs"/>
          <w:b/>
          <w:bCs/>
          <w:i/>
          <w:iCs/>
          <w:sz w:val="20"/>
          <w:szCs w:val="20"/>
          <w:rtl/>
        </w:rPr>
        <w:t>ספורות</w:t>
      </w:r>
      <w:r w:rsidRPr="0055538D">
        <w:rPr>
          <w:rFonts w:ascii="Arial" w:hAnsi="Arial" w:cs="Arial"/>
          <w:b/>
          <w:bCs/>
          <w:sz w:val="20"/>
          <w:szCs w:val="20"/>
          <w:rtl/>
        </w:rPr>
        <w:t xml:space="preserve"> בחוק-יסוד: הכנסת, </w:t>
      </w:r>
      <w:r>
        <w:rPr>
          <w:rFonts w:ascii="Arial" w:hAnsi="Arial" w:cs="Arial" w:hint="cs"/>
          <w:b/>
          <w:bCs/>
          <w:sz w:val="20"/>
          <w:szCs w:val="20"/>
          <w:rtl/>
        </w:rPr>
        <w:t>ב</w:t>
      </w:r>
      <w:r w:rsidRPr="0055538D">
        <w:rPr>
          <w:rFonts w:ascii="Arial" w:hAnsi="Arial" w:cs="Arial"/>
          <w:b/>
          <w:bCs/>
          <w:sz w:val="20"/>
          <w:szCs w:val="20"/>
          <w:rtl/>
        </w:rPr>
        <w:t>חוק יסוד: ירושלים בירת ישראל</w:t>
      </w:r>
      <w:r>
        <w:rPr>
          <w:rFonts w:ascii="Arial" w:hAnsi="Arial" w:cs="Arial" w:hint="cs"/>
          <w:b/>
          <w:bCs/>
          <w:sz w:val="20"/>
          <w:szCs w:val="20"/>
          <w:rtl/>
        </w:rPr>
        <w:t>,</w:t>
      </w:r>
      <w:r w:rsidRPr="0055538D">
        <w:rPr>
          <w:rFonts w:ascii="Arial" w:hAnsi="Arial" w:cs="Arial"/>
          <w:b/>
          <w:bCs/>
          <w:sz w:val="20"/>
          <w:szCs w:val="20"/>
          <w:rtl/>
        </w:rPr>
        <w:t xml:space="preserve"> ובחוק-יסוד: משק המדינה</w:t>
      </w:r>
      <w:r w:rsidRPr="009C3B39">
        <w:rPr>
          <w:rFonts w:ascii="Arial" w:hAnsi="Arial" w:cs="Arial"/>
          <w:sz w:val="20"/>
          <w:szCs w:val="20"/>
          <w:rtl/>
        </w:rPr>
        <w:t>.</w:t>
      </w:r>
    </w:p>
    <w:p w:rsidR="005366A8" w:rsidRDefault="005366A8" w:rsidP="005366A8">
      <w:pPr>
        <w:rPr>
          <w:sz w:val="20"/>
          <w:szCs w:val="20"/>
          <w:rtl/>
        </w:rPr>
      </w:pPr>
      <w:r w:rsidRPr="00EF0522">
        <w:rPr>
          <w:rFonts w:hint="cs"/>
          <w:b/>
          <w:bCs/>
          <w:sz w:val="20"/>
          <w:szCs w:val="20"/>
          <w:rtl/>
        </w:rPr>
        <w:t>רובינשטיין ומדינה</w:t>
      </w:r>
      <w:r>
        <w:rPr>
          <w:rFonts w:hint="cs"/>
          <w:sz w:val="20"/>
          <w:szCs w:val="20"/>
          <w:rtl/>
        </w:rPr>
        <w:t xml:space="preserve">: </w:t>
      </w:r>
    </w:p>
    <w:p w:rsidR="005366A8" w:rsidRDefault="005366A8" w:rsidP="005366A8">
      <w:pPr>
        <w:rPr>
          <w:sz w:val="20"/>
          <w:szCs w:val="20"/>
          <w:rtl/>
        </w:rPr>
      </w:pPr>
      <w:r w:rsidRPr="00EF0522">
        <w:rPr>
          <w:sz w:val="20"/>
          <w:szCs w:val="20"/>
          <w:rtl/>
        </w:rPr>
        <w:t>ראוי לשים לב בהקשר זה ל</w:t>
      </w:r>
      <w:r>
        <w:rPr>
          <w:rFonts w:hint="cs"/>
          <w:sz w:val="20"/>
          <w:szCs w:val="20"/>
          <w:rtl/>
        </w:rPr>
        <w:t xml:space="preserve">שאלת קיומו [או העדרו] של </w:t>
      </w:r>
      <w:r w:rsidRPr="00EF0522">
        <w:rPr>
          <w:b/>
          <w:bCs/>
          <w:sz w:val="20"/>
          <w:szCs w:val="20"/>
          <w:rtl/>
        </w:rPr>
        <w:t>מנגנון "הכבילה הכפולה"</w:t>
      </w:r>
      <w:r w:rsidRPr="00EF0522">
        <w:rPr>
          <w:sz w:val="20"/>
          <w:szCs w:val="20"/>
          <w:rtl/>
        </w:rPr>
        <w:t xml:space="preserve">: </w:t>
      </w:r>
    </w:p>
    <w:p w:rsidR="005366A8" w:rsidRDefault="005366A8" w:rsidP="005366A8">
      <w:pPr>
        <w:spacing w:after="120"/>
        <w:ind w:left="281"/>
        <w:rPr>
          <w:sz w:val="20"/>
          <w:szCs w:val="20"/>
          <w:rtl/>
        </w:rPr>
      </w:pPr>
      <w:r w:rsidRPr="00CE6AC4">
        <w:rPr>
          <w:sz w:val="20"/>
          <w:szCs w:val="20"/>
          <w:highlight w:val="yellow"/>
          <w:rtl/>
        </w:rPr>
        <w:t>בסעיף 45</w:t>
      </w:r>
      <w:r w:rsidRPr="00EF0522">
        <w:rPr>
          <w:sz w:val="20"/>
          <w:szCs w:val="20"/>
          <w:rtl/>
        </w:rPr>
        <w:t xml:space="preserve"> וכן (כפי הנראה) </w:t>
      </w:r>
      <w:r w:rsidRPr="00CE6AC4">
        <w:rPr>
          <w:sz w:val="20"/>
          <w:szCs w:val="20"/>
          <w:highlight w:val="yellow"/>
          <w:rtl/>
        </w:rPr>
        <w:t>בסעיף 4</w:t>
      </w:r>
      <w:r w:rsidRPr="00EF0522">
        <w:rPr>
          <w:sz w:val="20"/>
          <w:szCs w:val="20"/>
          <w:rtl/>
        </w:rPr>
        <w:t xml:space="preserve"> לחוק-יסוד: הכנסת, נקבע, כי לא רק שינוי של ההוראה המהותית (</w:t>
      </w:r>
      <w:r>
        <w:rPr>
          <w:rFonts w:hint="cs"/>
          <w:sz w:val="20"/>
          <w:szCs w:val="20"/>
          <w:rtl/>
        </w:rPr>
        <w:t xml:space="preserve">ההוראה </w:t>
      </w:r>
      <w:r w:rsidRPr="00EF0522">
        <w:rPr>
          <w:sz w:val="20"/>
          <w:szCs w:val="20"/>
          <w:rtl/>
        </w:rPr>
        <w:t>"המשו</w:t>
      </w:r>
      <w:r>
        <w:rPr>
          <w:rFonts w:hint="cs"/>
          <w:sz w:val="20"/>
          <w:szCs w:val="20"/>
          <w:rtl/>
        </w:rPr>
        <w:t>ּ</w:t>
      </w:r>
      <w:r w:rsidRPr="00EF0522">
        <w:rPr>
          <w:sz w:val="20"/>
          <w:szCs w:val="20"/>
          <w:rtl/>
        </w:rPr>
        <w:t>ריינת") צריך שייעשה ברוב המיוחד שנקבע, אלא גם שינוי של ההגבלה עצמה</w:t>
      </w:r>
      <w:r>
        <w:rPr>
          <w:rFonts w:hint="cs"/>
          <w:sz w:val="20"/>
          <w:szCs w:val="20"/>
          <w:rtl/>
        </w:rPr>
        <w:t xml:space="preserve"> [השריון החלקי מפני שינוי]</w:t>
      </w:r>
      <w:r w:rsidRPr="00EF0522">
        <w:rPr>
          <w:sz w:val="20"/>
          <w:szCs w:val="20"/>
          <w:rtl/>
        </w:rPr>
        <w:t xml:space="preserve"> ("ההוראה המשריינת") צריך שיהיה כך.</w:t>
      </w:r>
      <w:r>
        <w:rPr>
          <w:rFonts w:hint="cs"/>
          <w:sz w:val="20"/>
          <w:szCs w:val="20"/>
          <w:rtl/>
        </w:rPr>
        <w:t xml:space="preserve"> ראו להלן:</w:t>
      </w:r>
      <w:r w:rsidRPr="00EF0522">
        <w:rPr>
          <w:sz w:val="20"/>
          <w:szCs w:val="20"/>
          <w:rtl/>
        </w:rPr>
        <w:t xml:space="preserve"> </w:t>
      </w:r>
    </w:p>
    <w:p w:rsidR="005366A8" w:rsidRPr="00EF0522" w:rsidRDefault="005366A8" w:rsidP="005366A8">
      <w:pPr>
        <w:ind w:left="720"/>
        <w:rPr>
          <w:rFonts w:cs="David"/>
          <w:sz w:val="20"/>
          <w:szCs w:val="20"/>
          <w:rtl/>
        </w:rPr>
      </w:pPr>
      <w:r w:rsidRPr="00EF0522">
        <w:rPr>
          <w:rFonts w:cs="David"/>
          <w:sz w:val="20"/>
          <w:szCs w:val="20"/>
          <w:rtl/>
        </w:rPr>
        <w:t>4. שיטת הבחירות</w:t>
      </w:r>
    </w:p>
    <w:p w:rsidR="005366A8" w:rsidRDefault="005366A8" w:rsidP="005366A8">
      <w:pPr>
        <w:spacing w:after="120"/>
        <w:ind w:left="720"/>
        <w:rPr>
          <w:rFonts w:cs="David"/>
          <w:sz w:val="20"/>
          <w:szCs w:val="20"/>
          <w:rtl/>
        </w:rPr>
      </w:pPr>
      <w:r w:rsidRPr="00EF0522">
        <w:rPr>
          <w:rFonts w:cs="David"/>
          <w:sz w:val="20"/>
          <w:szCs w:val="20"/>
          <w:rtl/>
        </w:rPr>
        <w:t xml:space="preserve"> הכנסת  תיבחר  בבחירות  כלליות, ארציות, ישירות, שוות, חשאיות ויחסיות, לפי חוק הבחירות לכנסת; </w:t>
      </w:r>
      <w:r w:rsidRPr="00EF0522">
        <w:rPr>
          <w:rFonts w:cs="David"/>
          <w:sz w:val="20"/>
          <w:szCs w:val="20"/>
          <w:highlight w:val="yellow"/>
          <w:rtl/>
        </w:rPr>
        <w:t>אין לשנות סעיף זה, אלא ברוב של חברי הכנסת.</w:t>
      </w:r>
    </w:p>
    <w:p w:rsidR="005366A8" w:rsidRPr="003D6FBC" w:rsidRDefault="005366A8" w:rsidP="005366A8">
      <w:pPr>
        <w:ind w:left="720"/>
        <w:rPr>
          <w:rFonts w:cs="David"/>
          <w:sz w:val="20"/>
          <w:szCs w:val="20"/>
          <w:rtl/>
        </w:rPr>
      </w:pPr>
      <w:r w:rsidRPr="003D6FBC">
        <w:rPr>
          <w:rFonts w:cs="David"/>
          <w:sz w:val="20"/>
          <w:szCs w:val="20"/>
          <w:rtl/>
        </w:rPr>
        <w:t xml:space="preserve"> 9א. הארכת תקופת כהונה (תיקון: תשנ"ב) </w:t>
      </w:r>
    </w:p>
    <w:p w:rsidR="005366A8" w:rsidRPr="003D6FBC" w:rsidRDefault="005366A8" w:rsidP="005366A8">
      <w:pPr>
        <w:spacing w:after="120"/>
        <w:ind w:left="720"/>
        <w:rPr>
          <w:rFonts w:cs="David"/>
          <w:sz w:val="20"/>
          <w:szCs w:val="20"/>
          <w:rtl/>
        </w:rPr>
      </w:pPr>
      <w:r w:rsidRPr="003D6FBC">
        <w:rPr>
          <w:rFonts w:cs="David"/>
          <w:sz w:val="20"/>
          <w:szCs w:val="20"/>
          <w:rtl/>
        </w:rPr>
        <w:t xml:space="preserve"> </w:t>
      </w:r>
      <w:r w:rsidRPr="00CE6AC4">
        <w:rPr>
          <w:rFonts w:cs="David"/>
          <w:sz w:val="20"/>
          <w:szCs w:val="20"/>
          <w:rtl/>
        </w:rPr>
        <w:t>(א)  הכנסת  לא  תאריך  את  תקופת  כהונתה אלא בחוק שנתקבל ברוב של שמונים חברי הכנסת  ואם  נתקיימו  נסיבות מיוחדות המונעות עריכת בחירות בעיתן; תקופת ההארכה לא תעלה על הזמן המתחייב מהנסיבות האמורות; בחוק כאמור ייקבע מועד הבחירות.</w:t>
      </w:r>
      <w:r w:rsidRPr="00CE6AC4">
        <w:rPr>
          <w:rFonts w:cs="David" w:hint="cs"/>
          <w:sz w:val="20"/>
          <w:szCs w:val="20"/>
          <w:rtl/>
        </w:rPr>
        <w:t xml:space="preserve"> [....]</w:t>
      </w:r>
    </w:p>
    <w:p w:rsidR="005366A8" w:rsidRPr="00EF0522" w:rsidRDefault="005366A8" w:rsidP="005366A8">
      <w:pPr>
        <w:ind w:left="720"/>
        <w:rPr>
          <w:rFonts w:cs="David"/>
          <w:sz w:val="20"/>
          <w:szCs w:val="20"/>
          <w:rtl/>
        </w:rPr>
      </w:pPr>
      <w:r w:rsidRPr="00EF0522">
        <w:rPr>
          <w:rFonts w:cs="David"/>
          <w:sz w:val="20"/>
          <w:szCs w:val="20"/>
          <w:rtl/>
        </w:rPr>
        <w:t xml:space="preserve"> 44. יציבות החוק</w:t>
      </w:r>
    </w:p>
    <w:p w:rsidR="005366A8" w:rsidRPr="00EF0522" w:rsidRDefault="005366A8" w:rsidP="005366A8">
      <w:pPr>
        <w:spacing w:after="120"/>
        <w:ind w:left="720"/>
        <w:rPr>
          <w:rFonts w:cs="David"/>
          <w:sz w:val="20"/>
          <w:szCs w:val="20"/>
          <w:rtl/>
        </w:rPr>
      </w:pPr>
      <w:r w:rsidRPr="00EF0522">
        <w:rPr>
          <w:rFonts w:cs="David"/>
          <w:sz w:val="20"/>
          <w:szCs w:val="20"/>
          <w:rtl/>
        </w:rPr>
        <w:t xml:space="preserve"> על  אף  האמור  בכל דין אחר, אין בכוחן של תקנות-שעת-חרום לשנות חוק זה, להפקיע זמנית את תקפו או לקבוע בו תנאים.</w:t>
      </w:r>
    </w:p>
    <w:p w:rsidR="005366A8" w:rsidRPr="00EF0522" w:rsidRDefault="005366A8" w:rsidP="005366A8">
      <w:pPr>
        <w:ind w:left="720"/>
        <w:rPr>
          <w:rFonts w:cs="David"/>
          <w:sz w:val="20"/>
          <w:szCs w:val="20"/>
          <w:rtl/>
        </w:rPr>
      </w:pPr>
      <w:r w:rsidRPr="00EF0522">
        <w:rPr>
          <w:rFonts w:cs="David"/>
          <w:sz w:val="20"/>
          <w:szCs w:val="20"/>
          <w:rtl/>
        </w:rPr>
        <w:t xml:space="preserve"> 45. נוקשות סעיפים</w:t>
      </w:r>
    </w:p>
    <w:p w:rsidR="005366A8" w:rsidRPr="00EF0522" w:rsidRDefault="005366A8" w:rsidP="005366A8">
      <w:pPr>
        <w:spacing w:after="120"/>
        <w:ind w:left="720"/>
        <w:rPr>
          <w:rFonts w:cs="David"/>
          <w:sz w:val="20"/>
          <w:szCs w:val="20"/>
          <w:rtl/>
        </w:rPr>
      </w:pPr>
      <w:r w:rsidRPr="00EF0522">
        <w:rPr>
          <w:rFonts w:cs="David"/>
          <w:sz w:val="20"/>
          <w:szCs w:val="20"/>
          <w:rtl/>
        </w:rPr>
        <w:t xml:space="preserve"> </w:t>
      </w:r>
      <w:r w:rsidRPr="00EF0522">
        <w:rPr>
          <w:rFonts w:cs="David"/>
          <w:sz w:val="20"/>
          <w:szCs w:val="20"/>
          <w:highlight w:val="yellow"/>
          <w:rtl/>
        </w:rPr>
        <w:t>אין לשנות סעיף 44 או סעיף זה, אלא ברוב של שמונים חברי כנסת</w:t>
      </w:r>
      <w:r w:rsidRPr="00EF0522">
        <w:rPr>
          <w:rFonts w:cs="David"/>
          <w:sz w:val="20"/>
          <w:szCs w:val="20"/>
          <w:rtl/>
        </w:rPr>
        <w:t>.</w:t>
      </w:r>
    </w:p>
    <w:p w:rsidR="005366A8" w:rsidRPr="00EF0522" w:rsidRDefault="005366A8" w:rsidP="005366A8">
      <w:pPr>
        <w:ind w:left="720"/>
        <w:rPr>
          <w:rFonts w:cs="David"/>
          <w:sz w:val="20"/>
          <w:szCs w:val="20"/>
          <w:rtl/>
        </w:rPr>
      </w:pPr>
      <w:r w:rsidRPr="00EF0522">
        <w:rPr>
          <w:rFonts w:cs="David"/>
          <w:sz w:val="20"/>
          <w:szCs w:val="20"/>
          <w:rtl/>
        </w:rPr>
        <w:t xml:space="preserve"> 45א. תחולת נוקשות (תיקון: תשנ"ב) </w:t>
      </w:r>
    </w:p>
    <w:p w:rsidR="005366A8" w:rsidRPr="00EF0522" w:rsidRDefault="005366A8" w:rsidP="005366A8">
      <w:pPr>
        <w:spacing w:after="120"/>
        <w:ind w:left="720"/>
        <w:rPr>
          <w:sz w:val="20"/>
          <w:szCs w:val="20"/>
          <w:rtl/>
        </w:rPr>
      </w:pPr>
      <w:r w:rsidRPr="00EF0522">
        <w:rPr>
          <w:rFonts w:cs="David"/>
          <w:sz w:val="20"/>
          <w:szCs w:val="20"/>
          <w:rtl/>
        </w:rPr>
        <w:t xml:space="preserve"> </w:t>
      </w:r>
      <w:r w:rsidRPr="005A2C51">
        <w:rPr>
          <w:rFonts w:cs="David"/>
          <w:sz w:val="20"/>
          <w:szCs w:val="20"/>
          <w:highlight w:val="yellow"/>
          <w:rtl/>
        </w:rPr>
        <w:t>הוראת סעיף 45 תחול גם לענין שינוי סעיף 9א(א).</w:t>
      </w:r>
    </w:p>
    <w:p w:rsidR="005366A8" w:rsidRPr="00EF0522" w:rsidRDefault="005366A8" w:rsidP="005366A8">
      <w:pPr>
        <w:rPr>
          <w:rFonts w:ascii="Arial" w:hAnsi="Arial" w:cs="Arial"/>
          <w:sz w:val="20"/>
          <w:szCs w:val="20"/>
          <w:rtl/>
        </w:rPr>
      </w:pPr>
      <w:r w:rsidRPr="00EF0522">
        <w:rPr>
          <w:sz w:val="20"/>
          <w:szCs w:val="20"/>
          <w:rtl/>
        </w:rPr>
        <w:t xml:space="preserve">בהעדר כבילה כפולה, נפקותה של ההגבלה מצטמצמת לדרישה כי השינוי יהיה במפורש: כדי לשנות את ההוראה המשוריינת, נדרש לשנות </w:t>
      </w:r>
      <w:r w:rsidRPr="00EF0522">
        <w:rPr>
          <w:sz w:val="20"/>
          <w:szCs w:val="20"/>
        </w:rPr>
        <w:sym w:font="Symbol" w:char="F02D"/>
      </w:r>
      <w:r w:rsidRPr="00EF0522">
        <w:rPr>
          <w:sz w:val="20"/>
          <w:szCs w:val="20"/>
          <w:rtl/>
        </w:rPr>
        <w:t xml:space="preserve"> אמנם גם ברוב רגיל, אך במפורש </w:t>
      </w:r>
      <w:r w:rsidRPr="00EF0522">
        <w:rPr>
          <w:sz w:val="20"/>
          <w:szCs w:val="20"/>
        </w:rPr>
        <w:sym w:font="Symbol" w:char="F02D"/>
      </w:r>
      <w:r w:rsidRPr="00EF0522">
        <w:rPr>
          <w:sz w:val="20"/>
          <w:szCs w:val="20"/>
          <w:rtl/>
        </w:rPr>
        <w:t xml:space="preserve"> את ההוראה המשריינת.</w:t>
      </w:r>
    </w:p>
    <w:p w:rsidR="005366A8" w:rsidRPr="00EF0522" w:rsidRDefault="005366A8" w:rsidP="005366A8">
      <w:pPr>
        <w:rPr>
          <w:rFonts w:ascii="Arial" w:hAnsi="Arial" w:cs="Arial"/>
          <w:sz w:val="20"/>
          <w:szCs w:val="20"/>
          <w:rtl/>
        </w:rPr>
      </w:pPr>
    </w:p>
    <w:p w:rsidR="005366A8" w:rsidRPr="00BC039C" w:rsidRDefault="005366A8" w:rsidP="005366A8">
      <w:pPr>
        <w:rPr>
          <w:rFonts w:ascii="Arial" w:hAnsi="Arial" w:cs="Arial"/>
          <w:sz w:val="18"/>
          <w:szCs w:val="18"/>
          <w:rtl/>
        </w:rPr>
      </w:pPr>
      <w:r w:rsidRPr="00BC039C">
        <w:rPr>
          <w:rFonts w:ascii="Arial" w:hAnsi="Arial" w:cs="Arial" w:hint="cs"/>
          <w:sz w:val="18"/>
          <w:szCs w:val="18"/>
          <w:rtl/>
        </w:rPr>
        <w:t xml:space="preserve">לעיתים המתקל אינו נוגע לניסיון "שינוי" של חוק היסוד, אלא הוא התנגשות (או התנגשות לכאורית) בין הוראה בחוק יסוד אחד והוראה בחוק יסוד אחר. ראו בהמשך דיוננו את המחלוקת בין השופטים דורנר וברק בפס"ד </w:t>
      </w:r>
      <w:r w:rsidRPr="00BC039C">
        <w:rPr>
          <w:rFonts w:ascii="Arial" w:hAnsi="Arial" w:cs="Arial" w:hint="cs"/>
          <w:b/>
          <w:bCs/>
          <w:sz w:val="18"/>
          <w:szCs w:val="18"/>
          <w:rtl/>
        </w:rPr>
        <w:t>פלונית נ' בית הדין המשמעתי</w:t>
      </w:r>
      <w:r w:rsidRPr="00BC039C">
        <w:rPr>
          <w:rFonts w:ascii="Arial" w:hAnsi="Arial" w:cs="Arial" w:hint="cs"/>
          <w:sz w:val="18"/>
          <w:szCs w:val="18"/>
          <w:rtl/>
        </w:rPr>
        <w:t>.</w:t>
      </w:r>
    </w:p>
    <w:p w:rsidR="005366A8" w:rsidRDefault="005366A8" w:rsidP="005366A8">
      <w:pPr>
        <w:rPr>
          <w:sz w:val="20"/>
          <w:szCs w:val="20"/>
          <w:rtl/>
        </w:rPr>
      </w:pPr>
    </w:p>
    <w:p w:rsidR="005366A8" w:rsidRDefault="005366A8" w:rsidP="005366A8">
      <w:pPr>
        <w:rPr>
          <w:sz w:val="20"/>
          <w:szCs w:val="20"/>
          <w:rtl/>
        </w:rPr>
      </w:pPr>
      <w:r w:rsidRPr="00AB6463">
        <w:rPr>
          <w:sz w:val="20"/>
          <w:szCs w:val="20"/>
          <w:rtl/>
        </w:rPr>
        <w:t>=-=</w:t>
      </w:r>
    </w:p>
    <w:p w:rsidR="005366A8" w:rsidRPr="00F27F08" w:rsidRDefault="005366A8" w:rsidP="005366A8">
      <w:pPr>
        <w:pStyle w:val="Heading7"/>
        <w:spacing w:after="120" w:line="240" w:lineRule="auto"/>
        <w:rPr>
          <w:rFonts w:cs="Arial"/>
          <w:sz w:val="32"/>
          <w:szCs w:val="32"/>
          <w:rtl/>
        </w:rPr>
      </w:pPr>
      <w:r w:rsidRPr="008834F0">
        <w:rPr>
          <w:rFonts w:cs="Arial" w:hint="cs"/>
          <w:sz w:val="32"/>
          <w:szCs w:val="32"/>
          <w:highlight w:val="yellow"/>
          <w:rtl/>
        </w:rPr>
        <w:t xml:space="preserve">ג. </w:t>
      </w:r>
      <w:r w:rsidRPr="008834F0">
        <w:rPr>
          <w:rFonts w:cs="Arial"/>
          <w:sz w:val="32"/>
          <w:szCs w:val="32"/>
          <w:highlight w:val="yellow"/>
          <w:rtl/>
        </w:rPr>
        <w:t>התנגשות בין חוק לבין חוק יסוד</w:t>
      </w:r>
    </w:p>
    <w:p w:rsidR="005366A8" w:rsidRPr="000B5057" w:rsidRDefault="005366A8" w:rsidP="005366A8">
      <w:pPr>
        <w:spacing w:after="120"/>
        <w:rPr>
          <w:rFonts w:ascii="Arial" w:hAnsi="Arial" w:cs="Arial"/>
          <w:b/>
          <w:bCs/>
          <w:i/>
          <w:iCs/>
          <w:sz w:val="20"/>
          <w:szCs w:val="20"/>
          <w:rtl/>
        </w:rPr>
      </w:pPr>
      <w:r w:rsidRPr="000B5057">
        <w:rPr>
          <w:rFonts w:ascii="Arial" w:hAnsi="Arial" w:cs="Arial"/>
          <w:b/>
          <w:bCs/>
          <w:i/>
          <w:iCs/>
          <w:sz w:val="20"/>
          <w:szCs w:val="20"/>
          <w:rtl/>
        </w:rPr>
        <w:t xml:space="preserve">חוק רגיל </w:t>
      </w:r>
      <w:r w:rsidRPr="000B5057">
        <w:rPr>
          <w:rFonts w:ascii="Arial" w:hAnsi="Arial" w:cs="Arial"/>
          <w:b/>
          <w:bCs/>
          <w:i/>
          <w:iCs/>
          <w:sz w:val="20"/>
          <w:szCs w:val="20"/>
          <w:u w:val="single"/>
          <w:rtl/>
        </w:rPr>
        <w:t>איננו יכול לשנות</w:t>
      </w:r>
      <w:r w:rsidRPr="000B5057">
        <w:rPr>
          <w:rFonts w:ascii="Arial" w:hAnsi="Arial" w:cs="Arial"/>
          <w:b/>
          <w:bCs/>
          <w:i/>
          <w:iCs/>
          <w:sz w:val="20"/>
          <w:szCs w:val="20"/>
          <w:rtl/>
        </w:rPr>
        <w:t xml:space="preserve"> חוק יסוד </w:t>
      </w:r>
      <w:r w:rsidRPr="000B5057">
        <w:rPr>
          <w:rFonts w:ascii="Arial" w:hAnsi="Arial" w:cs="Arial"/>
          <w:i/>
          <w:iCs/>
          <w:sz w:val="20"/>
          <w:szCs w:val="20"/>
          <w:rtl/>
        </w:rPr>
        <w:t>[</w:t>
      </w:r>
      <w:r>
        <w:rPr>
          <w:rFonts w:ascii="Arial" w:hAnsi="Arial" w:cs="Arial" w:hint="cs"/>
          <w:i/>
          <w:iCs/>
          <w:sz w:val="20"/>
          <w:szCs w:val="20"/>
          <w:rtl/>
        </w:rPr>
        <w:t>זהו ביטוי ל</w:t>
      </w:r>
      <w:r w:rsidRPr="000B5057">
        <w:rPr>
          <w:rFonts w:ascii="Arial" w:hAnsi="Arial" w:cs="Arial"/>
          <w:i/>
          <w:iCs/>
          <w:sz w:val="20"/>
          <w:szCs w:val="20"/>
          <w:rtl/>
        </w:rPr>
        <w:t>מימד "העליונות"</w:t>
      </w:r>
      <w:r>
        <w:rPr>
          <w:rFonts w:ascii="Arial" w:hAnsi="Arial" w:cs="Arial" w:hint="cs"/>
          <w:i/>
          <w:iCs/>
          <w:sz w:val="20"/>
          <w:szCs w:val="20"/>
          <w:rtl/>
        </w:rPr>
        <w:t xml:space="preserve"> של הרובד החוקתי על הרבדים שמתחתיו</w:t>
      </w:r>
      <w:r w:rsidRPr="000B5057">
        <w:rPr>
          <w:rFonts w:ascii="Arial" w:hAnsi="Arial" w:cs="Arial"/>
          <w:i/>
          <w:iCs/>
          <w:sz w:val="20"/>
          <w:szCs w:val="20"/>
          <w:rtl/>
        </w:rPr>
        <w:t>]</w:t>
      </w:r>
      <w:r w:rsidRPr="000B5057">
        <w:rPr>
          <w:rFonts w:ascii="Arial" w:hAnsi="Arial" w:cs="Arial"/>
          <w:b/>
          <w:bCs/>
          <w:i/>
          <w:iCs/>
          <w:sz w:val="20"/>
          <w:szCs w:val="20"/>
          <w:rtl/>
        </w:rPr>
        <w:t xml:space="preserve">; </w:t>
      </w:r>
    </w:p>
    <w:p w:rsidR="005366A8" w:rsidRPr="00AB6463" w:rsidRDefault="005366A8" w:rsidP="005366A8">
      <w:pPr>
        <w:ind w:left="720" w:hanging="720"/>
        <w:rPr>
          <w:i/>
          <w:iCs/>
          <w:sz w:val="20"/>
          <w:szCs w:val="20"/>
          <w:rtl/>
        </w:rPr>
      </w:pPr>
      <w:r w:rsidRPr="000B5057">
        <w:rPr>
          <w:rFonts w:ascii="Arial" w:hAnsi="Arial" w:cs="Arial"/>
          <w:b/>
          <w:bCs/>
          <w:i/>
          <w:iCs/>
          <w:sz w:val="20"/>
          <w:szCs w:val="20"/>
          <w:rtl/>
        </w:rPr>
        <w:t xml:space="preserve">עם זאת, </w:t>
      </w:r>
      <w:r w:rsidRPr="000B5057">
        <w:rPr>
          <w:rFonts w:ascii="Arial" w:hAnsi="Arial" w:cs="Arial"/>
          <w:b/>
          <w:bCs/>
          <w:i/>
          <w:iCs/>
          <w:sz w:val="20"/>
          <w:szCs w:val="20"/>
          <w:u w:val="single"/>
          <w:rtl/>
        </w:rPr>
        <w:t>חוק יכול לפגוע</w:t>
      </w:r>
      <w:r w:rsidRPr="000B5057">
        <w:rPr>
          <w:rFonts w:ascii="Arial" w:hAnsi="Arial" w:cs="Arial"/>
          <w:b/>
          <w:bCs/>
          <w:i/>
          <w:iCs/>
          <w:sz w:val="20"/>
          <w:szCs w:val="20"/>
          <w:rtl/>
        </w:rPr>
        <w:t xml:space="preserve"> בהוראה חוקתית</w:t>
      </w:r>
      <w:r>
        <w:rPr>
          <w:rFonts w:ascii="Arial" w:hAnsi="Arial" w:cs="Arial" w:hint="cs"/>
          <w:b/>
          <w:bCs/>
          <w:i/>
          <w:iCs/>
          <w:sz w:val="20"/>
          <w:szCs w:val="20"/>
          <w:rtl/>
        </w:rPr>
        <w:t>, ואולם הוא יכול לעשות כן רק</w:t>
      </w:r>
      <w:r w:rsidRPr="000B5057">
        <w:rPr>
          <w:rFonts w:ascii="Arial" w:hAnsi="Arial" w:cs="Arial"/>
          <w:b/>
          <w:bCs/>
          <w:i/>
          <w:iCs/>
          <w:sz w:val="20"/>
          <w:szCs w:val="20"/>
          <w:rtl/>
        </w:rPr>
        <w:t xml:space="preserve"> אם המסגרת החוקתית קבעה</w:t>
      </w:r>
      <w:r>
        <w:rPr>
          <w:rFonts w:ascii="Arial" w:hAnsi="Arial" w:cs="Arial" w:hint="cs"/>
          <w:b/>
          <w:bCs/>
          <w:i/>
          <w:iCs/>
          <w:sz w:val="20"/>
          <w:szCs w:val="20"/>
          <w:rtl/>
        </w:rPr>
        <w:t xml:space="preserve"> לכך</w:t>
      </w:r>
      <w:r w:rsidRPr="000B5057">
        <w:rPr>
          <w:rFonts w:ascii="Arial" w:hAnsi="Arial" w:cs="Arial"/>
          <w:b/>
          <w:bCs/>
          <w:i/>
          <w:iCs/>
          <w:sz w:val="20"/>
          <w:szCs w:val="20"/>
          <w:rtl/>
        </w:rPr>
        <w:t xml:space="preserve"> </w:t>
      </w:r>
      <w:r w:rsidRPr="00273A9C">
        <w:rPr>
          <w:rFonts w:ascii="Arial" w:hAnsi="Arial" w:cs="Arial" w:hint="cs"/>
          <w:i/>
          <w:iCs/>
          <w:sz w:val="20"/>
          <w:szCs w:val="20"/>
          <w:rtl/>
        </w:rPr>
        <w:t>(במפורש או במשתמע)</w:t>
      </w:r>
      <w:r>
        <w:rPr>
          <w:rFonts w:ascii="Arial" w:hAnsi="Arial" w:cs="Arial" w:hint="cs"/>
          <w:b/>
          <w:bCs/>
          <w:i/>
          <w:iCs/>
          <w:sz w:val="20"/>
          <w:szCs w:val="20"/>
          <w:rtl/>
        </w:rPr>
        <w:t xml:space="preserve"> </w:t>
      </w:r>
      <w:r w:rsidRPr="000B5057">
        <w:rPr>
          <w:rFonts w:ascii="Arial" w:hAnsi="Arial" w:cs="Arial"/>
          <w:b/>
          <w:bCs/>
          <w:i/>
          <w:iCs/>
          <w:sz w:val="20"/>
          <w:szCs w:val="20"/>
          <w:rtl/>
        </w:rPr>
        <w:t>מסלול פגיעה לגיטימי</w:t>
      </w:r>
      <w:r>
        <w:rPr>
          <w:rFonts w:ascii="Arial" w:hAnsi="Arial" w:cs="Arial" w:hint="cs"/>
          <w:b/>
          <w:bCs/>
          <w:i/>
          <w:iCs/>
          <w:sz w:val="20"/>
          <w:szCs w:val="20"/>
          <w:rtl/>
        </w:rPr>
        <w:t>,</w:t>
      </w:r>
      <w:r w:rsidRPr="000B5057">
        <w:rPr>
          <w:rFonts w:ascii="Arial" w:hAnsi="Arial" w:cs="Arial"/>
          <w:b/>
          <w:bCs/>
          <w:i/>
          <w:iCs/>
          <w:sz w:val="20"/>
          <w:szCs w:val="20"/>
          <w:rtl/>
        </w:rPr>
        <w:t xml:space="preserve"> </w:t>
      </w:r>
      <w:r>
        <w:rPr>
          <w:rFonts w:ascii="Arial" w:hAnsi="Arial" w:cs="Arial" w:hint="cs"/>
          <w:b/>
          <w:bCs/>
          <w:i/>
          <w:iCs/>
          <w:sz w:val="20"/>
          <w:szCs w:val="20"/>
          <w:rtl/>
        </w:rPr>
        <w:t>ו</w:t>
      </w:r>
      <w:r w:rsidRPr="000B5057">
        <w:rPr>
          <w:rFonts w:ascii="Arial" w:hAnsi="Arial" w:cs="Arial"/>
          <w:b/>
          <w:bCs/>
          <w:i/>
          <w:iCs/>
          <w:sz w:val="20"/>
          <w:szCs w:val="20"/>
          <w:rtl/>
        </w:rPr>
        <w:t xml:space="preserve">החוק </w:t>
      </w:r>
      <w:r>
        <w:rPr>
          <w:rFonts w:ascii="Arial" w:hAnsi="Arial" w:cs="Arial" w:hint="cs"/>
          <w:b/>
          <w:bCs/>
          <w:i/>
          <w:iCs/>
          <w:sz w:val="20"/>
          <w:szCs w:val="20"/>
          <w:rtl/>
        </w:rPr>
        <w:t xml:space="preserve">אכן </w:t>
      </w:r>
      <w:r w:rsidRPr="000B5057">
        <w:rPr>
          <w:rFonts w:ascii="Arial" w:hAnsi="Arial" w:cs="Arial"/>
          <w:b/>
          <w:bCs/>
          <w:i/>
          <w:iCs/>
          <w:sz w:val="20"/>
          <w:szCs w:val="20"/>
          <w:rtl/>
        </w:rPr>
        <w:t>עומד בו [</w:t>
      </w:r>
      <w:r>
        <w:rPr>
          <w:rFonts w:ascii="Arial" w:hAnsi="Arial" w:cs="Arial" w:hint="cs"/>
          <w:b/>
          <w:bCs/>
          <w:i/>
          <w:iCs/>
          <w:sz w:val="20"/>
          <w:szCs w:val="20"/>
          <w:rtl/>
        </w:rPr>
        <w:t xml:space="preserve">למשל, תנאי </w:t>
      </w:r>
      <w:r w:rsidRPr="000B5057">
        <w:rPr>
          <w:rFonts w:ascii="Arial" w:hAnsi="Arial" w:cs="Arial"/>
          <w:b/>
          <w:bCs/>
          <w:i/>
          <w:iCs/>
          <w:sz w:val="20"/>
          <w:szCs w:val="20"/>
          <w:rtl/>
        </w:rPr>
        <w:t>פסקת הגבלה או פסקת התגברות</w:t>
      </w:r>
      <w:r>
        <w:rPr>
          <w:rFonts w:ascii="Arial" w:hAnsi="Arial" w:cs="Arial" w:hint="cs"/>
          <w:b/>
          <w:bCs/>
          <w:i/>
          <w:iCs/>
          <w:sz w:val="20"/>
          <w:szCs w:val="20"/>
          <w:rtl/>
        </w:rPr>
        <w:t xml:space="preserve"> (במקום שבו היא חלה)]</w:t>
      </w:r>
      <w:r w:rsidRPr="000B5057">
        <w:rPr>
          <w:rFonts w:ascii="Arial" w:hAnsi="Arial" w:cs="Arial"/>
          <w:b/>
          <w:bCs/>
          <w:i/>
          <w:iCs/>
          <w:sz w:val="20"/>
          <w:szCs w:val="20"/>
          <w:rtl/>
        </w:rPr>
        <w:t>.</w:t>
      </w:r>
      <w:r w:rsidRPr="00AB6463">
        <w:rPr>
          <w:i/>
          <w:iCs/>
          <w:sz w:val="20"/>
          <w:szCs w:val="20"/>
          <w:rtl/>
        </w:rPr>
        <w:t xml:space="preserve"> </w:t>
      </w:r>
    </w:p>
    <w:p w:rsidR="005366A8" w:rsidRPr="00AB6463" w:rsidRDefault="005366A8" w:rsidP="005366A8">
      <w:pPr>
        <w:rPr>
          <w:sz w:val="20"/>
          <w:szCs w:val="20"/>
          <w:rtl/>
        </w:rPr>
      </w:pPr>
    </w:p>
    <w:p w:rsidR="005366A8" w:rsidRPr="00AB6463" w:rsidRDefault="005366A8" w:rsidP="005366A8">
      <w:pPr>
        <w:ind w:left="720"/>
        <w:rPr>
          <w:b/>
          <w:bCs/>
          <w:sz w:val="20"/>
          <w:szCs w:val="20"/>
          <w:rtl/>
        </w:rPr>
      </w:pPr>
      <w:r w:rsidRPr="00AB6463">
        <w:rPr>
          <w:b/>
          <w:bCs/>
          <w:i/>
          <w:iCs/>
          <w:sz w:val="20"/>
          <w:szCs w:val="20"/>
          <w:rtl/>
        </w:rPr>
        <w:t xml:space="preserve"> </w:t>
      </w:r>
      <w:r>
        <w:rPr>
          <w:rFonts w:hint="cs"/>
          <w:b/>
          <w:bCs/>
          <w:sz w:val="20"/>
          <w:szCs w:val="20"/>
          <w:rtl/>
        </w:rPr>
        <w:t xml:space="preserve">א. </w:t>
      </w:r>
      <w:r w:rsidRPr="00AB6463">
        <w:rPr>
          <w:b/>
          <w:bCs/>
          <w:sz w:val="20"/>
          <w:szCs w:val="20"/>
          <w:rtl/>
        </w:rPr>
        <w:t>מהו, אם כן, שינוי?  במה שונה "שינוי" מ"פגיעה"?</w:t>
      </w:r>
      <w:r>
        <w:rPr>
          <w:rFonts w:hint="cs"/>
          <w:b/>
          <w:bCs/>
          <w:sz w:val="20"/>
          <w:szCs w:val="20"/>
          <w:rtl/>
        </w:rPr>
        <w:t xml:space="preserve"> [בהמשך]</w:t>
      </w:r>
    </w:p>
    <w:p w:rsidR="005366A8" w:rsidRPr="00AB6463" w:rsidRDefault="005366A8" w:rsidP="005366A8">
      <w:pPr>
        <w:ind w:left="720"/>
        <w:rPr>
          <w:b/>
          <w:bCs/>
          <w:sz w:val="20"/>
          <w:szCs w:val="20"/>
          <w:rtl/>
        </w:rPr>
      </w:pPr>
    </w:p>
    <w:p w:rsidR="005366A8" w:rsidRPr="00AB6463" w:rsidRDefault="005366A8" w:rsidP="005366A8">
      <w:pPr>
        <w:spacing w:after="120"/>
        <w:ind w:left="720"/>
        <w:rPr>
          <w:i/>
          <w:iCs/>
          <w:sz w:val="20"/>
          <w:szCs w:val="20"/>
          <w:rtl/>
        </w:rPr>
      </w:pPr>
      <w:r>
        <w:rPr>
          <w:rFonts w:hint="cs"/>
          <w:b/>
          <w:bCs/>
          <w:sz w:val="20"/>
          <w:szCs w:val="20"/>
          <w:rtl/>
        </w:rPr>
        <w:t xml:space="preserve">ב. </w:t>
      </w:r>
      <w:r w:rsidRPr="00AB6463">
        <w:rPr>
          <w:rFonts w:hint="cs"/>
          <w:b/>
          <w:bCs/>
          <w:sz w:val="20"/>
          <w:szCs w:val="20"/>
          <w:rtl/>
        </w:rPr>
        <w:t xml:space="preserve">היש </w:t>
      </w:r>
      <w:r w:rsidRPr="00AB6463">
        <w:rPr>
          <w:b/>
          <w:bCs/>
          <w:sz w:val="20"/>
          <w:szCs w:val="20"/>
          <w:rtl/>
        </w:rPr>
        <w:t xml:space="preserve">הבדל בין פגיעה בחוקי יסוד </w:t>
      </w:r>
      <w:r>
        <w:rPr>
          <w:rFonts w:hint="cs"/>
          <w:b/>
          <w:bCs/>
          <w:sz w:val="20"/>
          <w:szCs w:val="20"/>
          <w:rtl/>
        </w:rPr>
        <w:t xml:space="preserve">בעלי פסקות עליונות מפורשות או בעלי הוראות של נוקשוּת </w:t>
      </w:r>
      <w:r w:rsidRPr="00AB6463">
        <w:rPr>
          <w:b/>
          <w:bCs/>
          <w:sz w:val="20"/>
          <w:szCs w:val="20"/>
          <w:rtl/>
        </w:rPr>
        <w:t xml:space="preserve">לבין פגיעה בחוקי יסוד </w:t>
      </w:r>
      <w:r>
        <w:rPr>
          <w:rFonts w:hint="cs"/>
          <w:b/>
          <w:bCs/>
          <w:sz w:val="20"/>
          <w:szCs w:val="20"/>
          <w:rtl/>
        </w:rPr>
        <w:t>'רגילים'</w:t>
      </w:r>
      <w:r w:rsidRPr="00AB6463">
        <w:rPr>
          <w:rFonts w:hint="cs"/>
          <w:b/>
          <w:bCs/>
          <w:sz w:val="20"/>
          <w:szCs w:val="20"/>
          <w:rtl/>
        </w:rPr>
        <w:t>?</w:t>
      </w:r>
      <w:r w:rsidRPr="00AB6463">
        <w:rPr>
          <w:b/>
          <w:bCs/>
          <w:sz w:val="20"/>
          <w:szCs w:val="20"/>
          <w:rtl/>
        </w:rPr>
        <w:t xml:space="preserve"> </w:t>
      </w:r>
    </w:p>
    <w:p w:rsidR="005366A8" w:rsidRDefault="005366A8" w:rsidP="005366A8">
      <w:pPr>
        <w:spacing w:after="60"/>
        <w:ind w:left="2160" w:hanging="720"/>
        <w:rPr>
          <w:sz w:val="20"/>
          <w:szCs w:val="20"/>
          <w:rtl/>
        </w:rPr>
      </w:pPr>
      <w:r w:rsidRPr="00AB6463">
        <w:rPr>
          <w:i/>
          <w:iCs/>
          <w:sz w:val="20"/>
          <w:szCs w:val="20"/>
          <w:rtl/>
        </w:rPr>
        <w:t xml:space="preserve">פגיעה בחוקי היסוד </w:t>
      </w:r>
      <w:r>
        <w:rPr>
          <w:rFonts w:hint="cs"/>
          <w:i/>
          <w:iCs/>
          <w:sz w:val="20"/>
          <w:szCs w:val="20"/>
          <w:rtl/>
        </w:rPr>
        <w:t>'הרגילים'</w:t>
      </w:r>
      <w:r w:rsidRPr="00AB6463">
        <w:rPr>
          <w:i/>
          <w:iCs/>
          <w:sz w:val="20"/>
          <w:szCs w:val="20"/>
          <w:rtl/>
        </w:rPr>
        <w:t xml:space="preserve"> </w:t>
      </w:r>
    </w:p>
    <w:p w:rsidR="005366A8" w:rsidRPr="00AB6463" w:rsidRDefault="005366A8" w:rsidP="005366A8">
      <w:pPr>
        <w:spacing w:after="60"/>
        <w:ind w:left="2880" w:hanging="720"/>
        <w:rPr>
          <w:sz w:val="20"/>
          <w:szCs w:val="20"/>
          <w:rtl/>
        </w:rPr>
      </w:pPr>
      <w:r>
        <w:rPr>
          <w:rFonts w:hint="cs"/>
          <w:sz w:val="20"/>
          <w:szCs w:val="20"/>
          <w:rtl/>
        </w:rPr>
        <w:t xml:space="preserve">רעיון "פסקת ההגבלה השיפוטית": </w:t>
      </w:r>
      <w:r w:rsidRPr="00AB6463">
        <w:rPr>
          <w:rFonts w:hint="cs"/>
          <w:sz w:val="20"/>
          <w:szCs w:val="20"/>
          <w:rtl/>
        </w:rPr>
        <w:t xml:space="preserve">ההתפתחות בפס"ד </w:t>
      </w:r>
      <w:r w:rsidRPr="00AB6463">
        <w:rPr>
          <w:rFonts w:hint="cs"/>
          <w:b/>
          <w:bCs/>
          <w:sz w:val="20"/>
          <w:szCs w:val="20"/>
          <w:rtl/>
        </w:rPr>
        <w:t>חירות</w:t>
      </w:r>
      <w:r>
        <w:rPr>
          <w:rFonts w:hint="cs"/>
          <w:sz w:val="20"/>
          <w:szCs w:val="20"/>
          <w:rtl/>
        </w:rPr>
        <w:t xml:space="preserve">, </w:t>
      </w:r>
      <w:r w:rsidRPr="00E3011F">
        <w:rPr>
          <w:rFonts w:hint="cs"/>
          <w:b/>
          <w:bCs/>
          <w:sz w:val="20"/>
          <w:szCs w:val="20"/>
          <w:rtl/>
        </w:rPr>
        <w:t>מופז</w:t>
      </w:r>
      <w:r>
        <w:rPr>
          <w:rFonts w:hint="cs"/>
          <w:sz w:val="20"/>
          <w:szCs w:val="20"/>
          <w:rtl/>
        </w:rPr>
        <w:t xml:space="preserve">, </w:t>
      </w:r>
      <w:r w:rsidRPr="00E3011F">
        <w:rPr>
          <w:rFonts w:hint="cs"/>
          <w:b/>
          <w:bCs/>
          <w:sz w:val="20"/>
          <w:szCs w:val="20"/>
          <w:rtl/>
        </w:rPr>
        <w:t>פלונית</w:t>
      </w:r>
      <w:r w:rsidRPr="00AB6463">
        <w:rPr>
          <w:rFonts w:hint="cs"/>
          <w:sz w:val="20"/>
          <w:szCs w:val="20"/>
          <w:rtl/>
        </w:rPr>
        <w:t xml:space="preserve">; </w:t>
      </w:r>
      <w:r>
        <w:rPr>
          <w:rFonts w:hint="cs"/>
          <w:sz w:val="20"/>
          <w:szCs w:val="20"/>
          <w:rtl/>
        </w:rPr>
        <w:t xml:space="preserve">ראשית ההתפתחות מופיעה </w:t>
      </w:r>
      <w:r w:rsidRPr="00AB6463">
        <w:rPr>
          <w:rFonts w:hint="cs"/>
          <w:sz w:val="20"/>
          <w:szCs w:val="20"/>
          <w:rtl/>
        </w:rPr>
        <w:t xml:space="preserve">בפס"ד </w:t>
      </w:r>
      <w:r w:rsidRPr="00AB6463">
        <w:rPr>
          <w:rFonts w:hint="cs"/>
          <w:b/>
          <w:bCs/>
          <w:sz w:val="20"/>
          <w:szCs w:val="20"/>
          <w:rtl/>
        </w:rPr>
        <w:t>הופנונג</w:t>
      </w:r>
      <w:r>
        <w:rPr>
          <w:rFonts w:hint="cs"/>
          <w:sz w:val="20"/>
          <w:szCs w:val="20"/>
          <w:rtl/>
        </w:rPr>
        <w:t>, ראו בהמשך דיונינו;</w:t>
      </w:r>
    </w:p>
    <w:p w:rsidR="005366A8" w:rsidRPr="00AB6463" w:rsidRDefault="005366A8" w:rsidP="005366A8">
      <w:pPr>
        <w:spacing w:after="60"/>
        <w:ind w:left="1440"/>
        <w:rPr>
          <w:sz w:val="20"/>
          <w:szCs w:val="20"/>
          <w:rtl/>
        </w:rPr>
      </w:pPr>
      <w:r w:rsidRPr="00AB6463">
        <w:rPr>
          <w:i/>
          <w:iCs/>
          <w:sz w:val="20"/>
          <w:szCs w:val="20"/>
          <w:rtl/>
        </w:rPr>
        <w:t xml:space="preserve">פגיעה בחוקי היסוד </w:t>
      </w:r>
      <w:r>
        <w:rPr>
          <w:rFonts w:hint="cs"/>
          <w:i/>
          <w:iCs/>
          <w:sz w:val="20"/>
          <w:szCs w:val="20"/>
          <w:rtl/>
        </w:rPr>
        <w:t xml:space="preserve">המכילים הוראות מיוחדות </w:t>
      </w:r>
      <w:r>
        <w:rPr>
          <w:i/>
          <w:iCs/>
          <w:sz w:val="20"/>
          <w:szCs w:val="20"/>
          <w:rtl/>
        </w:rPr>
        <w:t>–</w:t>
      </w:r>
      <w:r>
        <w:rPr>
          <w:rFonts w:hint="cs"/>
          <w:i/>
          <w:iCs/>
          <w:sz w:val="20"/>
          <w:szCs w:val="20"/>
          <w:rtl/>
        </w:rPr>
        <w:t xml:space="preserve"> הצורך של חוק הניצב מולם לעמוד בדרישות הללו</w:t>
      </w:r>
      <w:r w:rsidRPr="00AB6463">
        <w:rPr>
          <w:sz w:val="20"/>
          <w:szCs w:val="20"/>
          <w:rtl/>
        </w:rPr>
        <w:t>:</w:t>
      </w:r>
    </w:p>
    <w:p w:rsidR="005366A8" w:rsidRDefault="005366A8" w:rsidP="005366A8">
      <w:pPr>
        <w:spacing w:after="60"/>
        <w:ind w:left="2160"/>
        <w:rPr>
          <w:sz w:val="20"/>
          <w:szCs w:val="20"/>
          <w:rtl/>
        </w:rPr>
      </w:pPr>
      <w:r w:rsidRPr="00AB6463">
        <w:rPr>
          <w:sz w:val="20"/>
          <w:szCs w:val="20"/>
          <w:u w:val="single"/>
          <w:rtl/>
        </w:rPr>
        <w:t>פסקת ההגבלה</w:t>
      </w:r>
      <w:r w:rsidRPr="00AB6463">
        <w:rPr>
          <w:sz w:val="20"/>
          <w:szCs w:val="20"/>
          <w:rtl/>
        </w:rPr>
        <w:t xml:space="preserve"> [שני חוקי היסוד בתחום זכויות האדם]</w:t>
      </w:r>
      <w:r w:rsidRPr="00AB6463">
        <w:rPr>
          <w:rStyle w:val="FootnoteReference"/>
          <w:sz w:val="20"/>
          <w:szCs w:val="20"/>
          <w:rtl/>
        </w:rPr>
        <w:footnoteReference w:id="4"/>
      </w:r>
    </w:p>
    <w:p w:rsidR="005366A8" w:rsidRPr="00E3011F" w:rsidRDefault="005366A8" w:rsidP="005366A8">
      <w:pPr>
        <w:spacing w:after="60"/>
        <w:ind w:left="2880"/>
        <w:rPr>
          <w:rFonts w:cs="David"/>
          <w:sz w:val="20"/>
          <w:szCs w:val="20"/>
          <w:rtl/>
        </w:rPr>
      </w:pPr>
      <w:r w:rsidRPr="00E3011F">
        <w:rPr>
          <w:rFonts w:cs="David"/>
          <w:sz w:val="20"/>
          <w:szCs w:val="20"/>
          <w:rtl/>
        </w:rPr>
        <w:t>אין פוגעים בזכויות שלפי חוק-יסוד זה אלא בחוק ההולם את ערכיה של מדינת ישראל, שנועד לתכלית ראויה, ובמידה שאינה עולה על הנדרש או לפי חוק כאמור מכוח הסמכה מפורשת בו.</w:t>
      </w:r>
    </w:p>
    <w:p w:rsidR="005366A8" w:rsidRDefault="005366A8" w:rsidP="005366A8">
      <w:pPr>
        <w:spacing w:after="60"/>
        <w:ind w:left="2160"/>
        <w:rPr>
          <w:sz w:val="20"/>
          <w:szCs w:val="20"/>
          <w:rtl/>
        </w:rPr>
      </w:pPr>
      <w:r w:rsidRPr="00AB6463">
        <w:rPr>
          <w:sz w:val="20"/>
          <w:szCs w:val="20"/>
          <w:u w:val="single"/>
          <w:rtl/>
        </w:rPr>
        <w:t>פסקת ההתגברות</w:t>
      </w:r>
      <w:r w:rsidRPr="00AB6463">
        <w:rPr>
          <w:sz w:val="20"/>
          <w:szCs w:val="20"/>
          <w:rtl/>
        </w:rPr>
        <w:t xml:space="preserve"> [חוק יסוד: חופש העיסוק </w:t>
      </w:r>
      <w:r w:rsidRPr="00AB6463">
        <w:rPr>
          <w:sz w:val="20"/>
          <w:szCs w:val="20"/>
        </w:rPr>
        <w:t>–</w:t>
      </w:r>
      <w:r w:rsidRPr="00AB6463">
        <w:rPr>
          <w:sz w:val="20"/>
          <w:szCs w:val="20"/>
          <w:rtl/>
        </w:rPr>
        <w:t xml:space="preserve"> "רוב" + "על אף האמור" + תוקף זמני]</w:t>
      </w:r>
    </w:p>
    <w:p w:rsidR="005366A8" w:rsidRPr="00E3011F" w:rsidRDefault="005366A8" w:rsidP="005366A8">
      <w:pPr>
        <w:spacing w:after="60"/>
        <w:ind w:left="2880"/>
        <w:rPr>
          <w:rFonts w:cs="David"/>
          <w:sz w:val="20"/>
          <w:szCs w:val="20"/>
          <w:rtl/>
        </w:rPr>
      </w:pPr>
      <w:r w:rsidRPr="00E3011F">
        <w:rPr>
          <w:rFonts w:cs="David"/>
          <w:sz w:val="20"/>
          <w:szCs w:val="20"/>
          <w:rtl/>
        </w:rPr>
        <w:t>הוראת חוק הפוגעת בחופש העיסוק תהיה תקפה אף כשאינה בהתאם לסעיף 4, אם נכללה בחוק שנתקבל ברוב של חברי הכנסת ונאמר בו במפורש, שהוא תקף על אף האמור בחוק-יסוד זה; תוקפו של חוק כאמור יפקע בתום ארבע שנים מיום תחילתו, זולת אם נקבע בו מועד מוקדם יותר.</w:t>
      </w:r>
    </w:p>
    <w:p w:rsidR="005366A8" w:rsidRPr="00AB6463" w:rsidRDefault="005366A8" w:rsidP="005366A8">
      <w:pPr>
        <w:spacing w:after="60"/>
        <w:ind w:left="2880" w:hanging="720"/>
        <w:rPr>
          <w:sz w:val="20"/>
          <w:szCs w:val="20"/>
          <w:rtl/>
        </w:rPr>
      </w:pPr>
      <w:r w:rsidRPr="00AB6463">
        <w:rPr>
          <w:sz w:val="20"/>
          <w:szCs w:val="20"/>
          <w:u w:val="single"/>
          <w:rtl/>
        </w:rPr>
        <w:t xml:space="preserve">שריון </w:t>
      </w:r>
      <w:r w:rsidRPr="00AB6463">
        <w:rPr>
          <w:rFonts w:hint="cs"/>
          <w:sz w:val="20"/>
          <w:szCs w:val="20"/>
          <w:u w:val="single"/>
          <w:rtl/>
        </w:rPr>
        <w:t>פורמאלי</w:t>
      </w:r>
      <w:r w:rsidRPr="00AB6463">
        <w:rPr>
          <w:sz w:val="20"/>
          <w:szCs w:val="20"/>
          <w:rtl/>
        </w:rPr>
        <w:t>: דרישה לקבלת החוק ב"רוב" (ולעיתים רוב מוגבר) של חברי הכנסת [למשל, בחוק יסוד: הכנסת]</w:t>
      </w:r>
    </w:p>
    <w:p w:rsidR="005366A8" w:rsidRPr="00167A0D" w:rsidRDefault="005366A8" w:rsidP="005366A8">
      <w:pPr>
        <w:ind w:left="2880" w:hanging="720"/>
        <w:rPr>
          <w:sz w:val="20"/>
          <w:szCs w:val="20"/>
          <w:rtl/>
        </w:rPr>
      </w:pPr>
      <w:r w:rsidRPr="00AB6463">
        <w:rPr>
          <w:rFonts w:hint="cs"/>
          <w:sz w:val="20"/>
          <w:szCs w:val="20"/>
          <w:u w:val="single"/>
          <w:rtl/>
        </w:rPr>
        <w:t>שריון משולב</w:t>
      </w:r>
      <w:r w:rsidRPr="00AB6463">
        <w:rPr>
          <w:rFonts w:hint="cs"/>
          <w:sz w:val="20"/>
          <w:szCs w:val="20"/>
          <w:rtl/>
        </w:rPr>
        <w:t>: מהותי ופורמאלי יחדיו</w:t>
      </w:r>
      <w:r>
        <w:rPr>
          <w:rFonts w:hint="cs"/>
          <w:sz w:val="20"/>
          <w:szCs w:val="20"/>
          <w:rtl/>
        </w:rPr>
        <w:t xml:space="preserve"> </w:t>
      </w:r>
      <w:r w:rsidRPr="00167A0D">
        <w:rPr>
          <w:rFonts w:hint="cs"/>
          <w:sz w:val="20"/>
          <w:szCs w:val="20"/>
          <w:rtl/>
        </w:rPr>
        <w:t xml:space="preserve">[כמו בסע' 9א לחוק יסוד: הכנסת </w:t>
      </w:r>
      <w:r w:rsidRPr="00167A0D">
        <w:rPr>
          <w:sz w:val="20"/>
          <w:szCs w:val="20"/>
          <w:rtl/>
        </w:rPr>
        <w:t>–</w:t>
      </w:r>
      <w:r w:rsidRPr="00167A0D">
        <w:rPr>
          <w:rFonts w:hint="cs"/>
          <w:sz w:val="20"/>
          <w:szCs w:val="20"/>
          <w:rtl/>
        </w:rPr>
        <w:t xml:space="preserve"> </w:t>
      </w:r>
      <w:r>
        <w:rPr>
          <w:rFonts w:hint="cs"/>
          <w:sz w:val="20"/>
          <w:szCs w:val="20"/>
          <w:rtl/>
        </w:rPr>
        <w:t>המובא</w:t>
      </w:r>
      <w:r w:rsidRPr="00167A0D">
        <w:rPr>
          <w:rFonts w:hint="cs"/>
          <w:sz w:val="20"/>
          <w:szCs w:val="20"/>
          <w:rtl/>
        </w:rPr>
        <w:t xml:space="preserve"> </w:t>
      </w:r>
      <w:r>
        <w:rPr>
          <w:rFonts w:hint="cs"/>
          <w:sz w:val="20"/>
          <w:szCs w:val="20"/>
          <w:rtl/>
        </w:rPr>
        <w:t>ב</w:t>
      </w:r>
      <w:r w:rsidRPr="00167A0D">
        <w:rPr>
          <w:rFonts w:hint="cs"/>
          <w:sz w:val="20"/>
          <w:szCs w:val="20"/>
          <w:rtl/>
        </w:rPr>
        <w:t>דפים]</w:t>
      </w:r>
    </w:p>
    <w:p w:rsidR="005366A8" w:rsidRDefault="005366A8" w:rsidP="005366A8">
      <w:pPr>
        <w:pStyle w:val="BodyText"/>
        <w:ind w:right="-142"/>
        <w:rPr>
          <w:b/>
          <w:bCs/>
          <w:sz w:val="20"/>
          <w:szCs w:val="20"/>
          <w:rtl/>
        </w:rPr>
      </w:pPr>
      <w:r w:rsidRPr="00AB6463">
        <w:rPr>
          <w:sz w:val="20"/>
          <w:szCs w:val="20"/>
          <w:rtl/>
        </w:rPr>
        <w:tab/>
      </w:r>
    </w:p>
    <w:p w:rsidR="005366A8" w:rsidRDefault="005366A8" w:rsidP="005366A8">
      <w:pPr>
        <w:spacing w:after="120"/>
        <w:rPr>
          <w:sz w:val="22"/>
          <w:szCs w:val="22"/>
          <w:highlight w:val="yellow"/>
          <w:rtl/>
        </w:rPr>
      </w:pPr>
      <w:r w:rsidRPr="00864EF7">
        <w:rPr>
          <w:rFonts w:hint="cs"/>
          <w:sz w:val="22"/>
          <w:szCs w:val="22"/>
          <w:highlight w:val="yellow"/>
          <w:rtl/>
        </w:rPr>
        <w:t xml:space="preserve">קצת יותר במפורט וקצת יותר בהרחבה: </w:t>
      </w:r>
    </w:p>
    <w:p w:rsidR="005366A8" w:rsidRDefault="005366A8" w:rsidP="005366A8">
      <w:pPr>
        <w:spacing w:after="120"/>
        <w:ind w:left="720"/>
        <w:rPr>
          <w:sz w:val="22"/>
          <w:szCs w:val="22"/>
          <w:highlight w:val="yellow"/>
          <w:rtl/>
        </w:rPr>
      </w:pPr>
      <w:r w:rsidRPr="00864EF7">
        <w:rPr>
          <w:rFonts w:hint="cs"/>
          <w:sz w:val="22"/>
          <w:szCs w:val="22"/>
          <w:highlight w:val="yellow"/>
          <w:rtl/>
        </w:rPr>
        <w:t>שאלת מפתח, היא מה אופייה של ההוראה בחוק היסוד (או חוק היסוד עצמו) שבו "נתקלת" הוראת החוק הנבחנת</w:t>
      </w:r>
      <w:r>
        <w:rPr>
          <w:rFonts w:hint="cs"/>
          <w:sz w:val="22"/>
          <w:szCs w:val="22"/>
          <w:highlight w:val="yellow"/>
          <w:rtl/>
        </w:rPr>
        <w:t>?</w:t>
      </w:r>
      <w:r w:rsidRPr="00864EF7">
        <w:rPr>
          <w:rFonts w:hint="cs"/>
          <w:sz w:val="22"/>
          <w:szCs w:val="22"/>
          <w:highlight w:val="yellow"/>
          <w:rtl/>
        </w:rPr>
        <w:t xml:space="preserve"> </w:t>
      </w:r>
    </w:p>
    <w:p w:rsidR="005366A8" w:rsidRPr="005A1C91" w:rsidRDefault="005366A8" w:rsidP="005366A8">
      <w:pPr>
        <w:spacing w:after="240"/>
        <w:ind w:left="720"/>
        <w:rPr>
          <w:sz w:val="22"/>
          <w:szCs w:val="22"/>
          <w:rtl/>
        </w:rPr>
      </w:pPr>
      <w:r w:rsidRPr="00864EF7">
        <w:rPr>
          <w:rFonts w:hint="cs"/>
          <w:sz w:val="22"/>
          <w:szCs w:val="22"/>
          <w:highlight w:val="yellow"/>
          <w:rtl/>
        </w:rPr>
        <w:t xml:space="preserve">יש </w:t>
      </w:r>
      <w:r w:rsidRPr="00CF11EC">
        <w:rPr>
          <w:rFonts w:hint="cs"/>
          <w:sz w:val="22"/>
          <w:szCs w:val="22"/>
          <w:highlight w:val="yellow"/>
          <w:u w:val="single"/>
          <w:rtl/>
        </w:rPr>
        <w:t>כמה אופציות</w:t>
      </w:r>
      <w:r w:rsidRPr="00864EF7">
        <w:rPr>
          <w:rFonts w:hint="cs"/>
          <w:sz w:val="22"/>
          <w:szCs w:val="22"/>
          <w:highlight w:val="yellow"/>
          <w:rtl/>
        </w:rPr>
        <w:t xml:space="preserve"> ביחס לאופי זה של ההוראה החוקתית:</w:t>
      </w:r>
    </w:p>
    <w:p w:rsidR="005366A8" w:rsidRPr="001B15B4" w:rsidRDefault="005366A8" w:rsidP="005366A8">
      <w:pPr>
        <w:spacing w:after="120"/>
        <w:rPr>
          <w:rFonts w:ascii="Arial" w:hAnsi="Arial" w:cs="Arial"/>
          <w:b/>
          <w:bCs/>
          <w:sz w:val="20"/>
          <w:szCs w:val="20"/>
          <w:rtl/>
        </w:rPr>
      </w:pPr>
      <w:r w:rsidRPr="008535AC">
        <w:rPr>
          <w:rFonts w:ascii="Arial" w:hAnsi="Arial" w:cs="Arial" w:hint="cs"/>
          <w:b/>
          <w:bCs/>
          <w:sz w:val="20"/>
          <w:szCs w:val="20"/>
          <w:highlight w:val="green"/>
          <w:rtl/>
        </w:rPr>
        <w:t>1.</w:t>
      </w:r>
      <w:r w:rsidRPr="001B15B4">
        <w:rPr>
          <w:rFonts w:ascii="Arial" w:hAnsi="Arial" w:cs="Arial" w:hint="cs"/>
          <w:b/>
          <w:bCs/>
          <w:sz w:val="20"/>
          <w:szCs w:val="20"/>
          <w:rtl/>
        </w:rPr>
        <w:t xml:space="preserve"> </w:t>
      </w:r>
      <w:r>
        <w:rPr>
          <w:rFonts w:ascii="Arial" w:hAnsi="Arial" w:cs="Arial" w:hint="cs"/>
          <w:b/>
          <w:bCs/>
          <w:sz w:val="20"/>
          <w:szCs w:val="20"/>
          <w:rtl/>
        </w:rPr>
        <w:t xml:space="preserve">מצב בו מתרחשת הגבלה של </w:t>
      </w:r>
      <w:r w:rsidRPr="001B15B4">
        <w:rPr>
          <w:rFonts w:ascii="Arial" w:hAnsi="Arial" w:cs="Arial" w:hint="cs"/>
          <w:b/>
          <w:bCs/>
          <w:sz w:val="20"/>
          <w:szCs w:val="20"/>
          <w:rtl/>
        </w:rPr>
        <w:t>זכות המוגנת בחוק יסוד</w:t>
      </w:r>
      <w:r>
        <w:rPr>
          <w:rFonts w:ascii="Arial" w:hAnsi="Arial" w:cs="Arial" w:hint="cs"/>
          <w:b/>
          <w:bCs/>
          <w:sz w:val="20"/>
          <w:szCs w:val="20"/>
          <w:rtl/>
        </w:rPr>
        <w:t xml:space="preserve">, אך חוק היסוד </w:t>
      </w:r>
      <w:r w:rsidRPr="001B15B4">
        <w:rPr>
          <w:rFonts w:ascii="Arial" w:hAnsi="Arial" w:cs="Arial" w:hint="cs"/>
          <w:b/>
          <w:bCs/>
          <w:sz w:val="20"/>
          <w:szCs w:val="20"/>
          <w:rtl/>
        </w:rPr>
        <w:t>קובע נתיב למחוקק ל</w:t>
      </w:r>
      <w:r>
        <w:rPr>
          <w:rFonts w:ascii="Arial" w:hAnsi="Arial" w:cs="Arial" w:hint="cs"/>
          <w:b/>
          <w:bCs/>
          <w:sz w:val="20"/>
          <w:szCs w:val="20"/>
          <w:rtl/>
        </w:rPr>
        <w:t>הגבלה שכזו</w:t>
      </w:r>
      <w:r w:rsidRPr="001B15B4">
        <w:rPr>
          <w:rFonts w:ascii="Arial" w:hAnsi="Arial" w:cs="Arial" w:hint="cs"/>
          <w:b/>
          <w:bCs/>
          <w:sz w:val="20"/>
          <w:szCs w:val="20"/>
          <w:rtl/>
        </w:rPr>
        <w:t xml:space="preserve"> </w:t>
      </w:r>
      <w:r w:rsidRPr="001B15B4">
        <w:rPr>
          <w:rFonts w:ascii="Arial" w:hAnsi="Arial" w:cs="Arial"/>
          <w:b/>
          <w:bCs/>
          <w:sz w:val="20"/>
          <w:szCs w:val="20"/>
          <w:rtl/>
        </w:rPr>
        <w:t>–</w:t>
      </w:r>
      <w:r w:rsidRPr="001B15B4">
        <w:rPr>
          <w:rFonts w:ascii="Arial" w:hAnsi="Arial" w:cs="Arial" w:hint="cs"/>
          <w:b/>
          <w:bCs/>
          <w:sz w:val="20"/>
          <w:szCs w:val="20"/>
          <w:rtl/>
        </w:rPr>
        <w:t xml:space="preserve"> </w:t>
      </w:r>
    </w:p>
    <w:p w:rsidR="005366A8" w:rsidRPr="002D7892" w:rsidRDefault="005366A8" w:rsidP="005366A8">
      <w:pPr>
        <w:spacing w:after="120"/>
        <w:ind w:left="720"/>
        <w:rPr>
          <w:rFonts w:ascii="Arial" w:hAnsi="Arial" w:cs="David"/>
          <w:sz w:val="20"/>
          <w:szCs w:val="20"/>
          <w:rtl/>
        </w:rPr>
      </w:pPr>
      <w:r w:rsidRPr="001B15B4">
        <w:rPr>
          <w:rFonts w:ascii="Arial" w:hAnsi="Arial" w:cs="Arial" w:hint="cs"/>
          <w:b/>
          <w:bCs/>
          <w:sz w:val="20"/>
          <w:szCs w:val="20"/>
          <w:rtl/>
        </w:rPr>
        <w:t>א</w:t>
      </w:r>
      <w:r>
        <w:rPr>
          <w:rFonts w:ascii="Arial" w:hAnsi="Arial" w:cs="Arial" w:hint="cs"/>
          <w:sz w:val="20"/>
          <w:szCs w:val="20"/>
          <w:rtl/>
        </w:rPr>
        <w:t>. למשל, אותן "פסקאות" מיוחדות המלוות ומסייגות את הזכויות המוגנות חוקתית. מדובר בפסקת ההגבלה ובפסקת ההתגברות</w:t>
      </w:r>
      <w:r>
        <w:rPr>
          <w:rFonts w:ascii="Arial" w:hAnsi="Arial" w:cs="David" w:hint="cs"/>
          <w:sz w:val="20"/>
          <w:szCs w:val="20"/>
          <w:rtl/>
        </w:rPr>
        <w:t xml:space="preserve"> וכדומה [לעיל]</w:t>
      </w:r>
    </w:p>
    <w:p w:rsidR="005366A8" w:rsidRPr="00F16E00" w:rsidRDefault="005366A8" w:rsidP="005366A8">
      <w:pPr>
        <w:spacing w:after="120"/>
        <w:ind w:left="720"/>
        <w:rPr>
          <w:rFonts w:ascii="Arial" w:hAnsi="Arial" w:cs="Arial"/>
          <w:sz w:val="20"/>
          <w:szCs w:val="20"/>
          <w:rtl/>
        </w:rPr>
      </w:pPr>
      <w:r w:rsidRPr="001B15B4">
        <w:rPr>
          <w:rFonts w:ascii="Arial" w:hAnsi="Arial" w:cs="Arial" w:hint="cs"/>
          <w:b/>
          <w:bCs/>
          <w:sz w:val="20"/>
          <w:szCs w:val="20"/>
          <w:rtl/>
        </w:rPr>
        <w:t>ב</w:t>
      </w:r>
      <w:r>
        <w:rPr>
          <w:rFonts w:ascii="Arial" w:hAnsi="Arial" w:cs="Arial" w:hint="cs"/>
          <w:sz w:val="20"/>
          <w:szCs w:val="20"/>
          <w:rtl/>
        </w:rPr>
        <w:t xml:space="preserve">. חוקי יסוד הקובעים הסמכה למחוקק לפגוע בזכות המוגנת בחוק היסוד באמצעות המילה </w:t>
      </w:r>
      <w:r w:rsidRPr="00914A62">
        <w:rPr>
          <w:rFonts w:ascii="Arial" w:hAnsi="Arial" w:cs="Arial" w:hint="cs"/>
          <w:b/>
          <w:bCs/>
          <w:sz w:val="20"/>
          <w:szCs w:val="20"/>
          <w:rtl/>
        </w:rPr>
        <w:t>"בחוק"</w:t>
      </w:r>
      <w:r>
        <w:rPr>
          <w:rFonts w:ascii="Arial" w:hAnsi="Arial" w:cs="Arial" w:hint="cs"/>
          <w:sz w:val="20"/>
          <w:szCs w:val="20"/>
          <w:rtl/>
        </w:rPr>
        <w:t xml:space="preserve"> - לדוגמא:</w:t>
      </w:r>
    </w:p>
    <w:p w:rsidR="005366A8" w:rsidRPr="001D2FBE" w:rsidRDefault="005366A8" w:rsidP="005366A8">
      <w:pPr>
        <w:spacing w:after="60"/>
        <w:ind w:left="1440"/>
        <w:rPr>
          <w:b/>
          <w:bCs/>
          <w:sz w:val="20"/>
          <w:szCs w:val="20"/>
          <w:rtl/>
        </w:rPr>
      </w:pPr>
      <w:r w:rsidRPr="001D2FBE">
        <w:rPr>
          <w:rFonts w:hint="cs"/>
          <w:b/>
          <w:bCs/>
          <w:sz w:val="20"/>
          <w:szCs w:val="20"/>
          <w:rtl/>
        </w:rPr>
        <w:t xml:space="preserve">חוק-יסוד: השפיטה: </w:t>
      </w:r>
    </w:p>
    <w:p w:rsidR="005366A8" w:rsidRDefault="005366A8" w:rsidP="005366A8">
      <w:pPr>
        <w:ind w:left="2160"/>
        <w:rPr>
          <w:sz w:val="20"/>
          <w:szCs w:val="20"/>
          <w:rtl/>
        </w:rPr>
      </w:pPr>
      <w:r>
        <w:rPr>
          <w:rFonts w:hint="cs"/>
          <w:sz w:val="20"/>
          <w:szCs w:val="20"/>
          <w:rtl/>
        </w:rPr>
        <w:t xml:space="preserve">3. </w:t>
      </w:r>
      <w:r w:rsidRPr="00D741C2">
        <w:rPr>
          <w:rFonts w:cs="David" w:hint="cs"/>
          <w:sz w:val="20"/>
          <w:szCs w:val="20"/>
          <w:rtl/>
        </w:rPr>
        <w:t xml:space="preserve">"בית משפט ידון בפומבי, זולת אם נקבע אחרת בחוק או אם בית המשפט הורה אחרת </w:t>
      </w:r>
      <w:r w:rsidRPr="008535AC">
        <w:rPr>
          <w:rFonts w:cs="David" w:hint="cs"/>
          <w:b/>
          <w:bCs/>
          <w:sz w:val="20"/>
          <w:szCs w:val="20"/>
          <w:rtl/>
        </w:rPr>
        <w:t>לפי חוק</w:t>
      </w:r>
      <w:r w:rsidRPr="00D741C2">
        <w:rPr>
          <w:rFonts w:cs="David" w:hint="cs"/>
          <w:sz w:val="20"/>
          <w:szCs w:val="20"/>
          <w:rtl/>
        </w:rPr>
        <w:t>".</w:t>
      </w:r>
    </w:p>
    <w:p w:rsidR="005366A8" w:rsidRDefault="005366A8" w:rsidP="005366A8">
      <w:pPr>
        <w:ind w:left="2549"/>
        <w:rPr>
          <w:sz w:val="20"/>
          <w:szCs w:val="20"/>
          <w:rtl/>
        </w:rPr>
      </w:pPr>
      <w:r>
        <w:rPr>
          <w:rFonts w:hint="cs"/>
          <w:sz w:val="20"/>
          <w:szCs w:val="20"/>
          <w:rtl/>
        </w:rPr>
        <w:t xml:space="preserve">ואולם, האין דרישות נוספות הנכפות על "חוק" שכזה? </w:t>
      </w:r>
    </w:p>
    <w:p w:rsidR="005366A8" w:rsidRPr="00DF3171" w:rsidRDefault="005366A8" w:rsidP="005366A8">
      <w:pPr>
        <w:ind w:left="2880"/>
        <w:rPr>
          <w:b/>
          <w:bCs/>
          <w:sz w:val="20"/>
          <w:szCs w:val="20"/>
          <w:rtl/>
        </w:rPr>
      </w:pPr>
      <w:r>
        <w:rPr>
          <w:rFonts w:hint="cs"/>
          <w:sz w:val="20"/>
          <w:szCs w:val="20"/>
          <w:rtl/>
        </w:rPr>
        <w:t xml:space="preserve">פס"ד </w:t>
      </w:r>
      <w:r>
        <w:rPr>
          <w:rFonts w:hint="cs"/>
          <w:b/>
          <w:bCs/>
          <w:sz w:val="20"/>
          <w:szCs w:val="20"/>
          <w:rtl/>
        </w:rPr>
        <w:t>פלונית</w:t>
      </w:r>
      <w:r>
        <w:rPr>
          <w:rFonts w:hint="cs"/>
          <w:sz w:val="20"/>
          <w:szCs w:val="20"/>
          <w:rtl/>
        </w:rPr>
        <w:t>, שאותו תפגשו בפגישה קרובה</w:t>
      </w:r>
      <w:r w:rsidRPr="00872D47">
        <w:rPr>
          <w:rFonts w:hint="cs"/>
          <w:sz w:val="20"/>
          <w:szCs w:val="20"/>
          <w:rtl/>
        </w:rPr>
        <w:t>:</w:t>
      </w:r>
      <w:r>
        <w:rPr>
          <w:rFonts w:hint="cs"/>
          <w:b/>
          <w:bCs/>
          <w:sz w:val="20"/>
          <w:szCs w:val="20"/>
          <w:rtl/>
        </w:rPr>
        <w:t xml:space="preserve"> </w:t>
      </w:r>
      <w:r w:rsidRPr="00331438">
        <w:rPr>
          <w:rFonts w:hint="cs"/>
          <w:sz w:val="20"/>
          <w:szCs w:val="20"/>
          <w:rtl/>
        </w:rPr>
        <w:t>רעיון "פסקת ההגבלה השיפוטית"</w:t>
      </w:r>
    </w:p>
    <w:p w:rsidR="005366A8" w:rsidRDefault="005366A8" w:rsidP="005366A8">
      <w:pPr>
        <w:ind w:left="1440"/>
        <w:rPr>
          <w:sz w:val="20"/>
          <w:szCs w:val="20"/>
          <w:rtl/>
        </w:rPr>
      </w:pPr>
    </w:p>
    <w:p w:rsidR="005366A8" w:rsidRDefault="005366A8" w:rsidP="005366A8">
      <w:pPr>
        <w:spacing w:after="60"/>
        <w:ind w:left="1440"/>
        <w:rPr>
          <w:sz w:val="20"/>
          <w:szCs w:val="20"/>
          <w:rtl/>
        </w:rPr>
      </w:pPr>
      <w:r w:rsidRPr="00331438">
        <w:rPr>
          <w:rFonts w:hint="cs"/>
          <w:b/>
          <w:bCs/>
          <w:sz w:val="20"/>
          <w:szCs w:val="20"/>
          <w:rtl/>
        </w:rPr>
        <w:t>חוק יסוד: הכנסת.</w:t>
      </w:r>
      <w:r>
        <w:rPr>
          <w:rFonts w:hint="cs"/>
          <w:sz w:val="20"/>
          <w:szCs w:val="20"/>
          <w:rtl/>
        </w:rPr>
        <w:t xml:space="preserve"> סע' 6 </w:t>
      </w:r>
      <w:r>
        <w:rPr>
          <w:sz w:val="20"/>
          <w:szCs w:val="20"/>
          <w:rtl/>
        </w:rPr>
        <w:t>–</w:t>
      </w:r>
      <w:r>
        <w:rPr>
          <w:rFonts w:hint="cs"/>
          <w:sz w:val="20"/>
          <w:szCs w:val="20"/>
          <w:rtl/>
        </w:rPr>
        <w:t xml:space="preserve"> הזכות להיבחר, סע' 4 </w:t>
      </w:r>
      <w:r>
        <w:rPr>
          <w:sz w:val="20"/>
          <w:szCs w:val="20"/>
          <w:rtl/>
        </w:rPr>
        <w:t>–</w:t>
      </w:r>
      <w:r>
        <w:rPr>
          <w:rFonts w:hint="cs"/>
          <w:sz w:val="20"/>
          <w:szCs w:val="20"/>
          <w:rtl/>
        </w:rPr>
        <w:t xml:space="preserve"> בין היתר, החובה ל"בחירות שוות" </w:t>
      </w:r>
    </w:p>
    <w:p w:rsidR="005366A8" w:rsidRDefault="005366A8" w:rsidP="005366A8">
      <w:pPr>
        <w:spacing w:after="60"/>
        <w:ind w:left="2160"/>
        <w:rPr>
          <w:sz w:val="20"/>
          <w:szCs w:val="20"/>
          <w:rtl/>
        </w:rPr>
      </w:pPr>
      <w:r w:rsidRPr="00914A62">
        <w:rPr>
          <w:rFonts w:cs="David"/>
          <w:sz w:val="20"/>
          <w:szCs w:val="20"/>
          <w:rtl/>
        </w:rPr>
        <w:t xml:space="preserve">הכנסת תיבחר בבחירות כלליות, ארציות, ישירות, שוות, חשאיות ויחסיות, </w:t>
      </w:r>
      <w:r w:rsidRPr="00CF11EC">
        <w:rPr>
          <w:rFonts w:cs="David"/>
          <w:b/>
          <w:bCs/>
          <w:sz w:val="20"/>
          <w:szCs w:val="20"/>
          <w:rtl/>
        </w:rPr>
        <w:t>לפי חוק</w:t>
      </w:r>
      <w:r w:rsidRPr="00914A62">
        <w:rPr>
          <w:rFonts w:cs="David"/>
          <w:sz w:val="20"/>
          <w:szCs w:val="20"/>
          <w:rtl/>
        </w:rPr>
        <w:t xml:space="preserve"> הבחירות לכנסת; אין לשנות סעיף זה, אלא ברוב של חברי הכנסת.</w:t>
      </w:r>
    </w:p>
    <w:p w:rsidR="005366A8" w:rsidRPr="008535AC" w:rsidRDefault="005366A8" w:rsidP="005366A8">
      <w:pPr>
        <w:ind w:left="2880"/>
        <w:rPr>
          <w:sz w:val="20"/>
          <w:szCs w:val="20"/>
          <w:rtl/>
        </w:rPr>
      </w:pPr>
      <w:r w:rsidRPr="00CF11EC">
        <w:rPr>
          <w:rFonts w:hint="cs"/>
          <w:sz w:val="20"/>
          <w:szCs w:val="20"/>
          <w:rtl/>
        </w:rPr>
        <w:t>פס"ד</w:t>
      </w:r>
      <w:r>
        <w:rPr>
          <w:rFonts w:hint="cs"/>
          <w:b/>
          <w:bCs/>
          <w:sz w:val="20"/>
          <w:szCs w:val="20"/>
          <w:rtl/>
        </w:rPr>
        <w:t xml:space="preserve"> הופנונג</w:t>
      </w:r>
      <w:r>
        <w:rPr>
          <w:rFonts w:hint="cs"/>
          <w:sz w:val="20"/>
          <w:szCs w:val="20"/>
          <w:rtl/>
        </w:rPr>
        <w:t xml:space="preserve"> </w:t>
      </w:r>
      <w:r>
        <w:rPr>
          <w:sz w:val="20"/>
          <w:szCs w:val="20"/>
          <w:rtl/>
        </w:rPr>
        <w:t>–</w:t>
      </w:r>
      <w:r>
        <w:rPr>
          <w:rFonts w:hint="cs"/>
          <w:sz w:val="20"/>
          <w:szCs w:val="20"/>
          <w:rtl/>
        </w:rPr>
        <w:t xml:space="preserve"> העלאה לראשונה של רעיון של פסקת ההגבלה השיפוטית </w:t>
      </w:r>
    </w:p>
    <w:p w:rsidR="005366A8" w:rsidRDefault="005366A8" w:rsidP="005366A8">
      <w:pPr>
        <w:spacing w:after="240"/>
        <w:ind w:left="2880"/>
        <w:rPr>
          <w:rFonts w:cs="David"/>
          <w:sz w:val="20"/>
          <w:szCs w:val="20"/>
          <w:rtl/>
        </w:rPr>
      </w:pPr>
      <w:r w:rsidRPr="00CF11EC">
        <w:rPr>
          <w:rFonts w:hint="cs"/>
          <w:sz w:val="20"/>
          <w:szCs w:val="20"/>
          <w:rtl/>
        </w:rPr>
        <w:t>פס"ד</w:t>
      </w:r>
      <w:r>
        <w:rPr>
          <w:rFonts w:hint="cs"/>
          <w:b/>
          <w:bCs/>
          <w:sz w:val="20"/>
          <w:szCs w:val="20"/>
          <w:rtl/>
        </w:rPr>
        <w:t xml:space="preserve"> מופז </w:t>
      </w:r>
      <w:r>
        <w:rPr>
          <w:sz w:val="20"/>
          <w:szCs w:val="20"/>
          <w:rtl/>
        </w:rPr>
        <w:t>–</w:t>
      </w:r>
      <w:r>
        <w:rPr>
          <w:rFonts w:hint="cs"/>
          <w:sz w:val="20"/>
          <w:szCs w:val="20"/>
          <w:rtl/>
        </w:rPr>
        <w:t xml:space="preserve"> סע' 6 לחוק היסוד אל מול חוק הצינון</w:t>
      </w:r>
      <w:r>
        <w:rPr>
          <w:rFonts w:hint="cs"/>
          <w:b/>
          <w:bCs/>
          <w:sz w:val="20"/>
          <w:szCs w:val="20"/>
          <w:rtl/>
        </w:rPr>
        <w:t xml:space="preserve">: </w:t>
      </w:r>
      <w:r w:rsidRPr="008535AC">
        <w:rPr>
          <w:rFonts w:hint="cs"/>
          <w:b/>
          <w:bCs/>
          <w:sz w:val="20"/>
          <w:szCs w:val="20"/>
          <w:rtl/>
        </w:rPr>
        <w:t>הפעלה מעשית</w:t>
      </w:r>
      <w:r>
        <w:rPr>
          <w:rFonts w:hint="cs"/>
          <w:sz w:val="20"/>
          <w:szCs w:val="20"/>
          <w:rtl/>
        </w:rPr>
        <w:t xml:space="preserve"> של "פסקת הגבלה שיפוטית".</w:t>
      </w:r>
    </w:p>
    <w:p w:rsidR="005366A8" w:rsidRDefault="005366A8" w:rsidP="005366A8">
      <w:pPr>
        <w:spacing w:after="120"/>
        <w:rPr>
          <w:rFonts w:ascii="Arial" w:hAnsi="Arial" w:cs="Arial"/>
          <w:sz w:val="20"/>
          <w:szCs w:val="20"/>
          <w:rtl/>
        </w:rPr>
      </w:pPr>
      <w:r w:rsidRPr="008535AC">
        <w:rPr>
          <w:rFonts w:ascii="Arial" w:hAnsi="Arial" w:cs="Arial" w:hint="cs"/>
          <w:b/>
          <w:bCs/>
          <w:sz w:val="20"/>
          <w:szCs w:val="20"/>
          <w:highlight w:val="green"/>
          <w:rtl/>
        </w:rPr>
        <w:t>2.</w:t>
      </w:r>
      <w:r w:rsidRPr="004E2797">
        <w:rPr>
          <w:rFonts w:ascii="Arial" w:hAnsi="Arial" w:cs="Arial" w:hint="cs"/>
          <w:b/>
          <w:bCs/>
          <w:sz w:val="20"/>
          <w:szCs w:val="20"/>
          <w:rtl/>
        </w:rPr>
        <w:t xml:space="preserve"> </w:t>
      </w:r>
      <w:r>
        <w:rPr>
          <w:rFonts w:ascii="Arial" w:hAnsi="Arial" w:cs="Arial" w:hint="cs"/>
          <w:b/>
          <w:bCs/>
          <w:sz w:val="20"/>
          <w:szCs w:val="20"/>
          <w:rtl/>
        </w:rPr>
        <w:t xml:space="preserve">פגיעה </w:t>
      </w:r>
      <w:r w:rsidRPr="00864EF7">
        <w:rPr>
          <w:rFonts w:ascii="Arial" w:hAnsi="Arial" w:cs="Arial" w:hint="cs"/>
          <w:b/>
          <w:bCs/>
          <w:sz w:val="20"/>
          <w:szCs w:val="20"/>
          <w:u w:val="single"/>
          <w:rtl/>
        </w:rPr>
        <w:t>בהוראות בחוקי יסוד המגוננים על זכויות</w:t>
      </w:r>
      <w:r>
        <w:rPr>
          <w:rFonts w:ascii="Arial" w:hAnsi="Arial" w:cs="Arial" w:hint="cs"/>
          <w:b/>
          <w:bCs/>
          <w:sz w:val="20"/>
          <w:szCs w:val="20"/>
          <w:rtl/>
        </w:rPr>
        <w:t>, זאת</w:t>
      </w:r>
      <w:r w:rsidRPr="004E2797">
        <w:rPr>
          <w:rFonts w:ascii="Arial" w:hAnsi="Arial" w:cs="Arial" w:hint="cs"/>
          <w:b/>
          <w:bCs/>
          <w:sz w:val="20"/>
          <w:szCs w:val="20"/>
          <w:rtl/>
        </w:rPr>
        <w:t xml:space="preserve"> </w:t>
      </w:r>
      <w:r w:rsidRPr="004E2797">
        <w:rPr>
          <w:rFonts w:ascii="Arial" w:hAnsi="Arial" w:cs="Arial" w:hint="cs"/>
          <w:b/>
          <w:bCs/>
          <w:sz w:val="20"/>
          <w:szCs w:val="20"/>
          <w:u w:val="single"/>
          <w:rtl/>
        </w:rPr>
        <w:t>ללא</w:t>
      </w:r>
      <w:r w:rsidRPr="004E2797">
        <w:rPr>
          <w:rFonts w:ascii="Arial" w:hAnsi="Arial" w:cs="Arial" w:hint="cs"/>
          <w:b/>
          <w:bCs/>
          <w:sz w:val="20"/>
          <w:szCs w:val="20"/>
          <w:rtl/>
        </w:rPr>
        <w:t xml:space="preserve"> סימון של נתיב למעורבות המחוקק</w:t>
      </w:r>
      <w:r>
        <w:rPr>
          <w:rFonts w:ascii="Arial" w:hAnsi="Arial" w:cs="Arial" w:hint="cs"/>
          <w:sz w:val="20"/>
          <w:szCs w:val="20"/>
          <w:rtl/>
        </w:rPr>
        <w:t xml:space="preserve"> </w:t>
      </w:r>
      <w:r>
        <w:rPr>
          <w:rFonts w:ascii="Arial" w:hAnsi="Arial" w:cs="Arial"/>
          <w:sz w:val="20"/>
          <w:szCs w:val="20"/>
          <w:rtl/>
        </w:rPr>
        <w:t>–</w:t>
      </w:r>
      <w:r>
        <w:rPr>
          <w:rFonts w:ascii="Arial" w:hAnsi="Arial" w:cs="Arial" w:hint="cs"/>
          <w:sz w:val="20"/>
          <w:szCs w:val="20"/>
          <w:rtl/>
        </w:rPr>
        <w:t xml:space="preserve"> דוגמאות:</w:t>
      </w:r>
    </w:p>
    <w:p w:rsidR="005366A8" w:rsidRDefault="005366A8" w:rsidP="005366A8">
      <w:pPr>
        <w:ind w:left="720"/>
        <w:rPr>
          <w:rFonts w:ascii="Arial" w:hAnsi="Arial" w:cs="Arial"/>
          <w:b/>
          <w:bCs/>
          <w:sz w:val="20"/>
          <w:szCs w:val="20"/>
          <w:rtl/>
        </w:rPr>
      </w:pPr>
      <w:r w:rsidRPr="00D741C2">
        <w:rPr>
          <w:rFonts w:ascii="Arial" w:hAnsi="Arial" w:cs="Arial" w:hint="cs"/>
          <w:b/>
          <w:bCs/>
          <w:sz w:val="20"/>
          <w:szCs w:val="20"/>
          <w:rtl/>
        </w:rPr>
        <w:t xml:space="preserve">חוק יסוד: הכנסת </w:t>
      </w:r>
      <w:r w:rsidRPr="00D741C2">
        <w:rPr>
          <w:rFonts w:ascii="Arial" w:hAnsi="Arial" w:cs="Arial"/>
          <w:b/>
          <w:bCs/>
          <w:sz w:val="20"/>
          <w:szCs w:val="20"/>
          <w:rtl/>
        </w:rPr>
        <w:t>–</w:t>
      </w:r>
      <w:r w:rsidRPr="00D741C2">
        <w:rPr>
          <w:rFonts w:ascii="Arial" w:hAnsi="Arial" w:cs="Arial" w:hint="cs"/>
          <w:b/>
          <w:bCs/>
          <w:sz w:val="20"/>
          <w:szCs w:val="20"/>
          <w:rtl/>
        </w:rPr>
        <w:t xml:space="preserve"> </w:t>
      </w:r>
    </w:p>
    <w:p w:rsidR="005366A8" w:rsidRDefault="005366A8" w:rsidP="005366A8">
      <w:pPr>
        <w:ind w:left="2160" w:hanging="720"/>
        <w:rPr>
          <w:rFonts w:ascii="Arial" w:hAnsi="Arial" w:cs="David"/>
          <w:sz w:val="20"/>
          <w:szCs w:val="20"/>
          <w:rtl/>
        </w:rPr>
      </w:pPr>
      <w:r w:rsidRPr="00D741C2">
        <w:rPr>
          <w:rFonts w:ascii="Arial" w:hAnsi="Arial" w:cs="Arial" w:hint="cs"/>
          <w:b/>
          <w:bCs/>
          <w:sz w:val="20"/>
          <w:szCs w:val="20"/>
          <w:rtl/>
        </w:rPr>
        <w:t xml:space="preserve">סע' </w:t>
      </w:r>
      <w:r w:rsidRPr="00D741C2">
        <w:rPr>
          <w:rFonts w:ascii="Arial" w:hAnsi="Arial" w:cs="Arial"/>
          <w:b/>
          <w:bCs/>
          <w:sz w:val="20"/>
          <w:szCs w:val="20"/>
          <w:rtl/>
        </w:rPr>
        <w:t>22</w:t>
      </w:r>
      <w:r>
        <w:rPr>
          <w:rFonts w:ascii="Arial" w:hAnsi="Arial" w:cs="Arial" w:hint="cs"/>
          <w:sz w:val="20"/>
          <w:szCs w:val="20"/>
          <w:rtl/>
        </w:rPr>
        <w:t>:</w:t>
      </w:r>
      <w:r w:rsidRPr="00D741C2">
        <w:rPr>
          <w:rFonts w:ascii="Arial" w:hAnsi="Arial" w:cs="Arial"/>
          <w:sz w:val="20"/>
          <w:szCs w:val="20"/>
          <w:rtl/>
        </w:rPr>
        <w:t xml:space="preserve"> </w:t>
      </w:r>
      <w:r>
        <w:rPr>
          <w:rFonts w:ascii="Arial" w:hAnsi="Arial" w:cs="Arial" w:hint="cs"/>
          <w:sz w:val="20"/>
          <w:szCs w:val="20"/>
          <w:rtl/>
        </w:rPr>
        <w:t>[</w:t>
      </w:r>
      <w:r w:rsidRPr="00D741C2">
        <w:rPr>
          <w:rFonts w:ascii="Arial" w:hAnsi="Arial" w:cs="Arial"/>
          <w:sz w:val="20"/>
          <w:szCs w:val="20"/>
          <w:rtl/>
        </w:rPr>
        <w:t>ועדות חקירה</w:t>
      </w:r>
      <w:r>
        <w:rPr>
          <w:rFonts w:ascii="Arial" w:hAnsi="Arial" w:cs="Arial" w:hint="cs"/>
          <w:sz w:val="20"/>
          <w:szCs w:val="20"/>
          <w:rtl/>
        </w:rPr>
        <w:t xml:space="preserve">] </w:t>
      </w:r>
      <w:r w:rsidRPr="00D741C2">
        <w:rPr>
          <w:rFonts w:ascii="Arial" w:hAnsi="Arial" w:cs="David"/>
          <w:sz w:val="20"/>
          <w:szCs w:val="20"/>
          <w:rtl/>
        </w:rPr>
        <w:t>הכנסת  רשאית  למנות  ועדות  חקירה, אם על ידי הסמכת אחת הועדות הקבועות ואם על</w:t>
      </w:r>
      <w:r w:rsidRPr="00D741C2">
        <w:rPr>
          <w:rFonts w:ascii="Arial" w:hAnsi="Arial" w:cs="David" w:hint="cs"/>
          <w:sz w:val="20"/>
          <w:szCs w:val="20"/>
          <w:rtl/>
        </w:rPr>
        <w:t xml:space="preserve"> </w:t>
      </w:r>
      <w:r w:rsidRPr="00D741C2">
        <w:rPr>
          <w:rFonts w:ascii="Arial" w:hAnsi="Arial" w:cs="David"/>
          <w:sz w:val="20"/>
          <w:szCs w:val="20"/>
          <w:rtl/>
        </w:rPr>
        <w:t xml:space="preserve">ידי בחירת ועדה מבין חבריה, כדי לחקור דברים שהכנסת קבעה; סמכויותיה ותפקידיה של  ועדת  חקירה ייקבעו על ידי הכנסת; </w:t>
      </w:r>
      <w:r w:rsidRPr="00D741C2">
        <w:rPr>
          <w:rFonts w:ascii="Arial" w:hAnsi="Arial" w:cs="David"/>
          <w:b/>
          <w:bCs/>
          <w:sz w:val="20"/>
          <w:szCs w:val="20"/>
          <w:rtl/>
        </w:rPr>
        <w:t>בכל ועדת חקירה יהיו גם נציגים של סיעות שאינן משתתפות בממשלה, לפי יחסי הכוחות של הסיעות בכנסת</w:t>
      </w:r>
      <w:r w:rsidRPr="00D741C2">
        <w:rPr>
          <w:rFonts w:ascii="Arial" w:hAnsi="Arial" w:cs="David"/>
          <w:sz w:val="20"/>
          <w:szCs w:val="20"/>
          <w:rtl/>
        </w:rPr>
        <w:t>.</w:t>
      </w:r>
    </w:p>
    <w:p w:rsidR="005366A8" w:rsidRPr="00D741C2" w:rsidRDefault="005366A8" w:rsidP="005366A8">
      <w:pPr>
        <w:ind w:left="1440"/>
        <w:rPr>
          <w:rFonts w:ascii="Arial" w:hAnsi="Arial" w:cs="David"/>
          <w:b/>
          <w:bCs/>
          <w:sz w:val="20"/>
          <w:szCs w:val="20"/>
          <w:rtl/>
        </w:rPr>
      </w:pPr>
      <w:r>
        <w:rPr>
          <w:rFonts w:ascii="Arial" w:hAnsi="Arial" w:cs="Arial" w:hint="cs"/>
          <w:b/>
          <w:bCs/>
          <w:sz w:val="20"/>
          <w:szCs w:val="20"/>
          <w:rtl/>
        </w:rPr>
        <w:t xml:space="preserve">סע' 27: </w:t>
      </w:r>
      <w:r>
        <w:rPr>
          <w:rFonts w:ascii="Arial" w:hAnsi="Arial" w:cs="Arial" w:hint="cs"/>
          <w:sz w:val="20"/>
          <w:szCs w:val="20"/>
          <w:rtl/>
        </w:rPr>
        <w:t xml:space="preserve">[פומביות] </w:t>
      </w:r>
      <w:r w:rsidRPr="00D741C2">
        <w:rPr>
          <w:rFonts w:ascii="Arial" w:hAnsi="Arial" w:cs="David" w:hint="cs"/>
          <w:b/>
          <w:bCs/>
          <w:sz w:val="20"/>
          <w:szCs w:val="20"/>
          <w:rtl/>
        </w:rPr>
        <w:t>הכנסת תשב בפומבי.</w:t>
      </w:r>
    </w:p>
    <w:p w:rsidR="005366A8" w:rsidRDefault="005366A8" w:rsidP="005366A8">
      <w:pPr>
        <w:rPr>
          <w:rFonts w:ascii="Arial" w:hAnsi="Arial" w:cs="Arial"/>
          <w:sz w:val="20"/>
          <w:szCs w:val="20"/>
          <w:rtl/>
        </w:rPr>
      </w:pPr>
    </w:p>
    <w:p w:rsidR="005366A8" w:rsidRDefault="005366A8" w:rsidP="005366A8">
      <w:pPr>
        <w:spacing w:after="120"/>
        <w:rPr>
          <w:rFonts w:ascii="Arial" w:hAnsi="Arial" w:cs="Arial"/>
          <w:sz w:val="20"/>
          <w:szCs w:val="20"/>
          <w:rtl/>
        </w:rPr>
      </w:pPr>
      <w:r w:rsidRPr="008535AC">
        <w:rPr>
          <w:rFonts w:ascii="Arial" w:hAnsi="Arial" w:cs="Arial" w:hint="cs"/>
          <w:b/>
          <w:bCs/>
          <w:sz w:val="20"/>
          <w:szCs w:val="20"/>
          <w:highlight w:val="green"/>
          <w:rtl/>
        </w:rPr>
        <w:t>3.</w:t>
      </w:r>
      <w:r w:rsidRPr="004E2797">
        <w:rPr>
          <w:rFonts w:ascii="Arial" w:hAnsi="Arial" w:cs="Arial" w:hint="cs"/>
          <w:b/>
          <w:bCs/>
          <w:sz w:val="20"/>
          <w:szCs w:val="20"/>
          <w:rtl/>
        </w:rPr>
        <w:t xml:space="preserve"> חוקי יסוד ובהן </w:t>
      </w:r>
      <w:r w:rsidRPr="00864EF7">
        <w:rPr>
          <w:rFonts w:ascii="Arial" w:hAnsi="Arial" w:cs="Arial" w:hint="cs"/>
          <w:b/>
          <w:bCs/>
          <w:sz w:val="20"/>
          <w:szCs w:val="20"/>
          <w:u w:val="single"/>
          <w:rtl/>
        </w:rPr>
        <w:t>הוראות חוקתיות 'רגילות'</w:t>
      </w:r>
      <w:r w:rsidRPr="004E2797">
        <w:rPr>
          <w:rFonts w:ascii="Arial" w:hAnsi="Arial" w:cs="Arial" w:hint="cs"/>
          <w:b/>
          <w:bCs/>
          <w:sz w:val="20"/>
          <w:szCs w:val="20"/>
          <w:rtl/>
        </w:rPr>
        <w:t xml:space="preserve"> </w:t>
      </w:r>
      <w:r w:rsidRPr="004E2797">
        <w:rPr>
          <w:rFonts w:ascii="Arial" w:hAnsi="Arial" w:cs="Arial" w:hint="cs"/>
          <w:b/>
          <w:bCs/>
          <w:sz w:val="20"/>
          <w:szCs w:val="20"/>
          <w:u w:val="single"/>
          <w:rtl/>
        </w:rPr>
        <w:t>ללא</w:t>
      </w:r>
      <w:r w:rsidRPr="004E2797">
        <w:rPr>
          <w:rFonts w:ascii="Arial" w:hAnsi="Arial" w:cs="Arial" w:hint="cs"/>
          <w:b/>
          <w:bCs/>
          <w:sz w:val="20"/>
          <w:szCs w:val="20"/>
          <w:rtl/>
        </w:rPr>
        <w:t xml:space="preserve"> סימון של נתיב למעורבות המחוקק</w:t>
      </w:r>
      <w:r>
        <w:rPr>
          <w:rFonts w:ascii="Arial" w:hAnsi="Arial" w:cs="Arial" w:hint="cs"/>
          <w:sz w:val="20"/>
          <w:szCs w:val="20"/>
          <w:rtl/>
        </w:rPr>
        <w:t xml:space="preserve"> </w:t>
      </w:r>
      <w:r>
        <w:rPr>
          <w:rFonts w:ascii="Arial" w:hAnsi="Arial" w:cs="Arial"/>
          <w:sz w:val="20"/>
          <w:szCs w:val="20"/>
          <w:rtl/>
        </w:rPr>
        <w:t>–</w:t>
      </w:r>
      <w:r>
        <w:rPr>
          <w:rFonts w:ascii="Arial" w:hAnsi="Arial" w:cs="Arial" w:hint="cs"/>
          <w:sz w:val="20"/>
          <w:szCs w:val="20"/>
          <w:rtl/>
        </w:rPr>
        <w:t xml:space="preserve"> דוגמא:</w:t>
      </w:r>
    </w:p>
    <w:p w:rsidR="005366A8" w:rsidRPr="008535AC" w:rsidRDefault="005366A8" w:rsidP="005366A8">
      <w:pPr>
        <w:ind w:left="720"/>
        <w:rPr>
          <w:rFonts w:ascii="Arial" w:hAnsi="Arial" w:cs="David"/>
          <w:b/>
          <w:bCs/>
          <w:sz w:val="20"/>
          <w:szCs w:val="20"/>
          <w:rtl/>
        </w:rPr>
      </w:pPr>
      <w:r w:rsidRPr="00D741C2">
        <w:rPr>
          <w:rFonts w:ascii="Arial" w:hAnsi="Arial" w:cs="Arial" w:hint="cs"/>
          <w:b/>
          <w:bCs/>
          <w:sz w:val="20"/>
          <w:szCs w:val="20"/>
          <w:rtl/>
        </w:rPr>
        <w:t xml:space="preserve">חוק יסוד: </w:t>
      </w:r>
      <w:r>
        <w:rPr>
          <w:rFonts w:ascii="Arial" w:hAnsi="Arial" w:cs="Arial" w:hint="cs"/>
          <w:b/>
          <w:bCs/>
          <w:sz w:val="20"/>
          <w:szCs w:val="20"/>
          <w:rtl/>
        </w:rPr>
        <w:t>הממשלה</w:t>
      </w:r>
      <w:r w:rsidRPr="00D741C2">
        <w:rPr>
          <w:rFonts w:ascii="Arial" w:hAnsi="Arial" w:cs="Arial" w:hint="cs"/>
          <w:b/>
          <w:bCs/>
          <w:sz w:val="20"/>
          <w:szCs w:val="20"/>
          <w:rtl/>
        </w:rPr>
        <w:t xml:space="preserve"> </w:t>
      </w:r>
      <w:r w:rsidRPr="00D741C2">
        <w:rPr>
          <w:rFonts w:ascii="Arial" w:hAnsi="Arial" w:cs="Arial"/>
          <w:b/>
          <w:bCs/>
          <w:sz w:val="20"/>
          <w:szCs w:val="20"/>
          <w:rtl/>
        </w:rPr>
        <w:t>–</w:t>
      </w:r>
      <w:r>
        <w:rPr>
          <w:rFonts w:ascii="Arial" w:hAnsi="Arial" w:cs="Arial" w:hint="cs"/>
          <w:b/>
          <w:bCs/>
          <w:sz w:val="20"/>
          <w:szCs w:val="20"/>
          <w:rtl/>
        </w:rPr>
        <w:t xml:space="preserve"> </w:t>
      </w:r>
      <w:r w:rsidRPr="008535AC">
        <w:rPr>
          <w:rFonts w:ascii="Arial" w:hAnsi="Arial" w:cs="Arial" w:hint="cs"/>
          <w:b/>
          <w:bCs/>
          <w:sz w:val="20"/>
          <w:szCs w:val="20"/>
          <w:rtl/>
        </w:rPr>
        <w:t>סע' 2</w:t>
      </w:r>
      <w:r>
        <w:rPr>
          <w:rFonts w:ascii="Arial" w:hAnsi="Arial" w:cs="Arial" w:hint="cs"/>
          <w:sz w:val="20"/>
          <w:szCs w:val="20"/>
          <w:rtl/>
        </w:rPr>
        <w:t xml:space="preserve">: [מקום המושב]: </w:t>
      </w:r>
      <w:r w:rsidRPr="008535AC">
        <w:rPr>
          <w:rFonts w:cs="David"/>
          <w:b/>
          <w:bCs/>
          <w:sz w:val="20"/>
          <w:szCs w:val="20"/>
          <w:rtl/>
        </w:rPr>
        <w:t xml:space="preserve">מקום מושבה של </w:t>
      </w:r>
      <w:r>
        <w:rPr>
          <w:rFonts w:cs="David" w:hint="cs"/>
          <w:b/>
          <w:bCs/>
          <w:sz w:val="20"/>
          <w:szCs w:val="20"/>
          <w:rtl/>
        </w:rPr>
        <w:t>הממשלה</w:t>
      </w:r>
      <w:r w:rsidRPr="008535AC">
        <w:rPr>
          <w:rFonts w:cs="David"/>
          <w:b/>
          <w:bCs/>
          <w:sz w:val="20"/>
          <w:szCs w:val="20"/>
          <w:rtl/>
        </w:rPr>
        <w:t xml:space="preserve"> הוא ירושלים</w:t>
      </w:r>
      <w:r>
        <w:rPr>
          <w:rFonts w:cs="David" w:hint="cs"/>
          <w:b/>
          <w:bCs/>
          <w:sz w:val="20"/>
          <w:szCs w:val="20"/>
          <w:rtl/>
        </w:rPr>
        <w:t>.</w:t>
      </w:r>
    </w:p>
    <w:p w:rsidR="005366A8" w:rsidRDefault="005366A8" w:rsidP="005366A8">
      <w:pPr>
        <w:rPr>
          <w:rFonts w:ascii="Arial" w:hAnsi="Arial" w:cs="Arial"/>
          <w:sz w:val="20"/>
          <w:szCs w:val="20"/>
          <w:rtl/>
        </w:rPr>
      </w:pPr>
    </w:p>
    <w:p w:rsidR="005366A8" w:rsidRPr="00065171" w:rsidRDefault="005366A8" w:rsidP="005366A8">
      <w:pPr>
        <w:jc w:val="center"/>
        <w:rPr>
          <w:rFonts w:ascii="Arial" w:hAnsi="Arial" w:cs="Arial"/>
          <w:b/>
          <w:bCs/>
          <w:sz w:val="20"/>
          <w:szCs w:val="20"/>
          <w:u w:val="single"/>
          <w:rtl/>
        </w:rPr>
      </w:pPr>
      <w:r w:rsidRPr="00607573">
        <w:rPr>
          <w:rFonts w:ascii="Arial" w:hAnsi="Arial" w:cs="Arial" w:hint="cs"/>
          <w:b/>
          <w:bCs/>
          <w:sz w:val="20"/>
          <w:szCs w:val="20"/>
          <w:highlight w:val="yellow"/>
          <w:u w:val="single"/>
          <w:rtl/>
        </w:rPr>
        <w:t>האם לגבי אפשרויות 2 ו-3 שלעיל חלה "פסקת הגבלה שיפוטית"?</w:t>
      </w:r>
    </w:p>
    <w:p w:rsidR="005366A8" w:rsidRDefault="005366A8" w:rsidP="005366A8">
      <w:pPr>
        <w:rPr>
          <w:rFonts w:ascii="Arial" w:hAnsi="Arial" w:cs="Arial"/>
          <w:sz w:val="20"/>
          <w:szCs w:val="20"/>
          <w:rtl/>
        </w:rPr>
      </w:pPr>
    </w:p>
    <w:p w:rsidR="005366A8" w:rsidRDefault="005366A8" w:rsidP="005366A8">
      <w:pPr>
        <w:spacing w:after="60"/>
        <w:rPr>
          <w:rFonts w:ascii="Arial" w:hAnsi="Arial" w:cs="Arial"/>
          <w:sz w:val="20"/>
          <w:szCs w:val="20"/>
          <w:rtl/>
        </w:rPr>
      </w:pPr>
      <w:r>
        <w:rPr>
          <w:rFonts w:ascii="Arial" w:hAnsi="Arial" w:cs="Arial" w:hint="cs"/>
          <w:sz w:val="20"/>
          <w:szCs w:val="20"/>
          <w:rtl/>
        </w:rPr>
        <w:t>עמדתו של פרופ' ברק בספרו "</w:t>
      </w:r>
      <w:r w:rsidRPr="00E270C2">
        <w:rPr>
          <w:rFonts w:ascii="Arial" w:hAnsi="Arial" w:cs="Arial" w:hint="cs"/>
          <w:sz w:val="20"/>
          <w:szCs w:val="20"/>
          <w:highlight w:val="yellow"/>
          <w:rtl/>
        </w:rPr>
        <w:t>שופט במדינה דמוקרטית"</w:t>
      </w:r>
      <w:r>
        <w:rPr>
          <w:rFonts w:ascii="Arial" w:hAnsi="Arial" w:cs="Arial" w:hint="cs"/>
          <w:sz w:val="20"/>
          <w:szCs w:val="20"/>
          <w:rtl/>
        </w:rPr>
        <w:t>, עמ' 351-3, עושה הבחנה בין שתי האפשרויות:</w:t>
      </w:r>
    </w:p>
    <w:p w:rsidR="005366A8" w:rsidRPr="000F400C" w:rsidRDefault="005366A8" w:rsidP="005366A8">
      <w:pPr>
        <w:ind w:left="720"/>
        <w:rPr>
          <w:sz w:val="20"/>
          <w:szCs w:val="20"/>
          <w:rtl/>
        </w:rPr>
      </w:pPr>
      <w:r>
        <w:rPr>
          <w:rFonts w:hint="cs"/>
          <w:sz w:val="20"/>
          <w:szCs w:val="20"/>
          <w:rtl/>
        </w:rPr>
        <w:t xml:space="preserve">אכן, עם העמדתם של חוקי היסוד כולם </w:t>
      </w:r>
      <w:r>
        <w:rPr>
          <w:sz w:val="20"/>
          <w:szCs w:val="20"/>
          <w:rtl/>
        </w:rPr>
        <w:t>–</w:t>
      </w:r>
      <w:r>
        <w:rPr>
          <w:rFonts w:hint="cs"/>
          <w:sz w:val="20"/>
          <w:szCs w:val="20"/>
          <w:rtl/>
        </w:rPr>
        <w:t xml:space="preserve"> ולא רק אלה הדנים בזכויות האדם </w:t>
      </w:r>
      <w:r>
        <w:rPr>
          <w:sz w:val="20"/>
          <w:szCs w:val="20"/>
          <w:rtl/>
        </w:rPr>
        <w:t>–</w:t>
      </w:r>
      <w:r>
        <w:rPr>
          <w:rFonts w:hint="cs"/>
          <w:sz w:val="20"/>
          <w:szCs w:val="20"/>
          <w:rtl/>
        </w:rPr>
        <w:t xml:space="preserve"> על רמה חוקתית-על-חוקית, מתחייבת ההכרה בפסקאות הגבלה שיפוטיות </w:t>
      </w:r>
      <w:r w:rsidRPr="000F400C">
        <w:rPr>
          <w:rFonts w:hint="cs"/>
          <w:b/>
          <w:bCs/>
          <w:sz w:val="20"/>
          <w:szCs w:val="20"/>
          <w:rtl/>
        </w:rPr>
        <w:t>בכל אותם המקרים שבהם חוקי היסוד הללו קובעים זכויות אדם</w:t>
      </w:r>
      <w:r>
        <w:rPr>
          <w:rFonts w:hint="cs"/>
          <w:sz w:val="20"/>
          <w:szCs w:val="20"/>
          <w:rtl/>
        </w:rPr>
        <w:t xml:space="preserve">. הרמוניה חוקתית מצדקה פיתוח פסקאות הגבלה שיפוטיות אלה לאור ההנחיה החוקתית הקבועה בפסקאות ההגבלה הקבועות במפורש בחוקי היסוד בדבר זכויות האדם. </w:t>
      </w:r>
      <w:r w:rsidRPr="000F400C">
        <w:rPr>
          <w:rFonts w:hint="cs"/>
          <w:b/>
          <w:bCs/>
          <w:sz w:val="20"/>
          <w:szCs w:val="20"/>
          <w:rtl/>
        </w:rPr>
        <w:t>עד כמה שאלה אינן מתאימות לסוגיה הנדונה</w:t>
      </w:r>
      <w:r>
        <w:rPr>
          <w:rFonts w:hint="cs"/>
          <w:sz w:val="20"/>
          <w:szCs w:val="20"/>
          <w:rtl/>
        </w:rPr>
        <w:t xml:space="preserve">, יהא צורך לסטות מהניסוח הקיים ולעצב פסקאות הגבלה שיפוטיות הנגזרות ממהותו של ההסדר החוקתי [המסוים]. </w:t>
      </w:r>
      <w:r w:rsidRPr="000F400C">
        <w:rPr>
          <w:rFonts w:hint="cs"/>
          <w:b/>
          <w:bCs/>
          <w:sz w:val="20"/>
          <w:szCs w:val="20"/>
          <w:rtl/>
        </w:rPr>
        <w:t>כאשר ההסדר החוקתי אינו נוגע כלל לזכויות אדם</w:t>
      </w:r>
      <w:r>
        <w:rPr>
          <w:rFonts w:hint="cs"/>
          <w:sz w:val="20"/>
          <w:szCs w:val="20"/>
          <w:rtl/>
        </w:rPr>
        <w:t xml:space="preserve"> אין כל סיבה להניח מראש קיומה של פסקת הגבלה שיפוטית ויש לבחון כל מקרה לגופו.</w:t>
      </w:r>
    </w:p>
    <w:p w:rsidR="005366A8" w:rsidRDefault="005366A8" w:rsidP="005366A8">
      <w:pPr>
        <w:rPr>
          <w:rFonts w:ascii="Arial" w:hAnsi="Arial" w:cs="Arial"/>
          <w:sz w:val="20"/>
          <w:szCs w:val="20"/>
          <w:rtl/>
        </w:rPr>
      </w:pPr>
    </w:p>
    <w:p w:rsidR="005366A8" w:rsidRPr="00377C4D" w:rsidRDefault="005366A8" w:rsidP="005366A8">
      <w:pPr>
        <w:rPr>
          <w:sz w:val="20"/>
          <w:szCs w:val="20"/>
          <w:rtl/>
        </w:rPr>
      </w:pPr>
    </w:p>
    <w:p w:rsidR="005366A8" w:rsidRDefault="005366A8" w:rsidP="005366A8">
      <w:pPr>
        <w:spacing w:after="120"/>
        <w:jc w:val="center"/>
        <w:rPr>
          <w:rFonts w:ascii="Arial" w:hAnsi="Arial" w:cs="Arial"/>
          <w:b/>
          <w:bCs/>
          <w:highlight w:val="yellow"/>
          <w:u w:val="single"/>
          <w:rtl/>
        </w:rPr>
      </w:pPr>
      <w:r>
        <w:rPr>
          <w:rFonts w:ascii="Arial" w:hAnsi="Arial" w:cs="Arial" w:hint="cs"/>
          <w:b/>
          <w:bCs/>
          <w:highlight w:val="yellow"/>
          <w:u w:val="single"/>
          <w:rtl/>
        </w:rPr>
        <w:t xml:space="preserve">פרופ' ברק מדינה </w:t>
      </w:r>
      <w:r>
        <w:rPr>
          <w:rFonts w:ascii="Arial" w:hAnsi="Arial" w:cs="Arial"/>
          <w:b/>
          <w:bCs/>
          <w:highlight w:val="yellow"/>
          <w:u w:val="single"/>
          <w:rtl/>
        </w:rPr>
        <w:t>–</w:t>
      </w:r>
      <w:r>
        <w:rPr>
          <w:rFonts w:ascii="Arial" w:hAnsi="Arial" w:cs="Arial" w:hint="cs"/>
          <w:b/>
          <w:bCs/>
          <w:highlight w:val="yellow"/>
          <w:u w:val="single"/>
          <w:rtl/>
        </w:rPr>
        <w:t xml:space="preserve"> מתקל בין חוק-יסוד לבין חוק</w:t>
      </w:r>
      <w:r w:rsidRPr="00CC36C9">
        <w:rPr>
          <w:rFonts w:ascii="Arial" w:hAnsi="Arial" w:cs="Arial" w:hint="cs"/>
          <w:b/>
          <w:bCs/>
          <w:highlight w:val="yellow"/>
          <w:u w:val="single"/>
          <w:rtl/>
        </w:rPr>
        <w:t xml:space="preserve">: </w:t>
      </w:r>
    </w:p>
    <w:p w:rsidR="005366A8" w:rsidRPr="00CC36C9" w:rsidRDefault="005366A8" w:rsidP="005366A8">
      <w:pPr>
        <w:spacing w:after="240"/>
        <w:jc w:val="center"/>
        <w:rPr>
          <w:rFonts w:ascii="Arial" w:hAnsi="Arial" w:cs="Arial"/>
          <w:b/>
          <w:bCs/>
          <w:u w:val="single"/>
          <w:rtl/>
        </w:rPr>
      </w:pPr>
      <w:r>
        <w:rPr>
          <w:rFonts w:ascii="Arial" w:hAnsi="Arial" w:cs="Arial" w:hint="cs"/>
          <w:b/>
          <w:bCs/>
          <w:highlight w:val="yellow"/>
          <w:u w:val="single"/>
          <w:rtl/>
        </w:rPr>
        <w:t>נקודות נוספו</w:t>
      </w:r>
      <w:r w:rsidRPr="00B53908">
        <w:rPr>
          <w:rFonts w:ascii="Arial" w:hAnsi="Arial" w:cs="Arial" w:hint="cs"/>
          <w:b/>
          <w:bCs/>
          <w:highlight w:val="yellow"/>
          <w:u w:val="single"/>
          <w:rtl/>
        </w:rPr>
        <w:t>ת ונקודות הבהרה</w:t>
      </w:r>
    </w:p>
    <w:p w:rsidR="005366A8" w:rsidRDefault="005366A8" w:rsidP="005366A8">
      <w:pPr>
        <w:spacing w:after="120"/>
        <w:rPr>
          <w:sz w:val="20"/>
          <w:szCs w:val="20"/>
          <w:rtl/>
        </w:rPr>
      </w:pPr>
      <w:r w:rsidRPr="006917DD">
        <w:rPr>
          <w:rFonts w:hint="cs"/>
          <w:sz w:val="20"/>
          <w:szCs w:val="20"/>
          <w:rtl/>
        </w:rPr>
        <w:t xml:space="preserve">א) נקודת המוצא היא שכל הוראות חוקי היסוד הן בעלות מעמד נורמטיבי עדיף על פני חקיקה רגילה, ולפיכך בכל מקרה של אי התאמה, ההוראה שבחוק היסוד גוברת. </w:t>
      </w:r>
    </w:p>
    <w:p w:rsidR="005366A8" w:rsidRPr="006917DD" w:rsidRDefault="005366A8" w:rsidP="005366A8">
      <w:pPr>
        <w:spacing w:after="120"/>
        <w:rPr>
          <w:sz w:val="20"/>
          <w:szCs w:val="20"/>
          <w:rtl/>
        </w:rPr>
      </w:pPr>
      <w:r w:rsidRPr="006917DD">
        <w:rPr>
          <w:rFonts w:hint="cs"/>
          <w:sz w:val="20"/>
          <w:szCs w:val="20"/>
          <w:rtl/>
        </w:rPr>
        <w:t xml:space="preserve">אולם, בחלק מחוקי היסוד קבועות הוראות המסדירות את היחס בין חוקי היסוד לבין חקיקה רגילה. </w:t>
      </w:r>
      <w:r w:rsidRPr="00A008FF">
        <w:rPr>
          <w:rFonts w:hint="cs"/>
          <w:sz w:val="20"/>
          <w:szCs w:val="20"/>
          <w:u w:val="single"/>
          <w:rtl/>
        </w:rPr>
        <w:t>חמישה סוגים של הוראות שכאלו</w:t>
      </w:r>
      <w:r w:rsidRPr="006917DD">
        <w:rPr>
          <w:rFonts w:hint="cs"/>
          <w:sz w:val="20"/>
          <w:szCs w:val="20"/>
          <w:rtl/>
        </w:rPr>
        <w:t>:</w:t>
      </w:r>
    </w:p>
    <w:p w:rsidR="005366A8" w:rsidRDefault="005366A8" w:rsidP="005366A8">
      <w:pPr>
        <w:spacing w:after="120"/>
        <w:ind w:left="314"/>
        <w:rPr>
          <w:rFonts w:cs="David"/>
          <w:sz w:val="20"/>
          <w:szCs w:val="20"/>
          <w:highlight w:val="yellow"/>
          <w:rtl/>
        </w:rPr>
      </w:pPr>
      <w:r w:rsidRPr="006917DD">
        <w:rPr>
          <w:rFonts w:hint="cs"/>
          <w:sz w:val="20"/>
          <w:szCs w:val="20"/>
          <w:rtl/>
        </w:rPr>
        <w:t xml:space="preserve">(1) </w:t>
      </w:r>
      <w:r w:rsidRPr="002A1181">
        <w:rPr>
          <w:rFonts w:hint="cs"/>
          <w:b/>
          <w:bCs/>
          <w:sz w:val="20"/>
          <w:szCs w:val="20"/>
          <w:highlight w:val="yellow"/>
          <w:rtl/>
        </w:rPr>
        <w:t>פסקת שימור דינים</w:t>
      </w:r>
      <w:r w:rsidRPr="002A1181">
        <w:rPr>
          <w:rFonts w:hint="cs"/>
          <w:sz w:val="20"/>
          <w:szCs w:val="20"/>
          <w:highlight w:val="yellow"/>
          <w:rtl/>
        </w:rPr>
        <w:t xml:space="preserve">: </w:t>
      </w:r>
      <w:r w:rsidRPr="00A008FF">
        <w:rPr>
          <w:rFonts w:hint="cs"/>
          <w:sz w:val="20"/>
          <w:szCs w:val="20"/>
          <w:highlight w:val="yellow"/>
          <w:u w:val="single"/>
          <w:rtl/>
        </w:rPr>
        <w:t>סעיף 10 לחוק-יסוד: כבוד האדם וחירותו</w:t>
      </w:r>
      <w:r w:rsidRPr="002A1181">
        <w:rPr>
          <w:rFonts w:hint="cs"/>
          <w:sz w:val="20"/>
          <w:szCs w:val="20"/>
          <w:highlight w:val="yellow"/>
          <w:rtl/>
        </w:rPr>
        <w:t xml:space="preserve">: </w:t>
      </w:r>
    </w:p>
    <w:p w:rsidR="005366A8" w:rsidRDefault="005366A8" w:rsidP="005366A8">
      <w:pPr>
        <w:spacing w:after="120"/>
        <w:ind w:left="720"/>
        <w:rPr>
          <w:sz w:val="20"/>
          <w:szCs w:val="20"/>
          <w:rtl/>
        </w:rPr>
      </w:pPr>
      <w:r w:rsidRPr="002A1181">
        <w:rPr>
          <w:rFonts w:cs="David" w:hint="cs"/>
          <w:sz w:val="20"/>
          <w:szCs w:val="20"/>
          <w:highlight w:val="yellow"/>
          <w:rtl/>
        </w:rPr>
        <w:t>"אין בחוק-יסוד זה כדי לפגוע בתוקפו של דין שהיה קיים ערב תחילתו של חוק היסוד"</w:t>
      </w:r>
      <w:r w:rsidRPr="002A1181">
        <w:rPr>
          <w:rFonts w:hint="cs"/>
          <w:sz w:val="20"/>
          <w:szCs w:val="20"/>
          <w:highlight w:val="yellow"/>
          <w:rtl/>
        </w:rPr>
        <w:t>.</w:t>
      </w:r>
      <w:r w:rsidRPr="006917DD">
        <w:rPr>
          <w:rFonts w:hint="cs"/>
          <w:sz w:val="20"/>
          <w:szCs w:val="20"/>
          <w:rtl/>
        </w:rPr>
        <w:t xml:space="preserve"> </w:t>
      </w:r>
    </w:p>
    <w:p w:rsidR="005366A8" w:rsidRDefault="005366A8" w:rsidP="005366A8">
      <w:pPr>
        <w:spacing w:after="120"/>
        <w:ind w:left="720"/>
        <w:rPr>
          <w:sz w:val="20"/>
          <w:szCs w:val="20"/>
          <w:rtl/>
        </w:rPr>
      </w:pPr>
      <w:r>
        <w:rPr>
          <w:rFonts w:hint="cs"/>
          <w:sz w:val="20"/>
          <w:szCs w:val="20"/>
          <w:rtl/>
        </w:rPr>
        <w:t>אשר על כן</w:t>
      </w:r>
      <w:r w:rsidRPr="006917DD">
        <w:rPr>
          <w:rFonts w:hint="cs"/>
          <w:sz w:val="20"/>
          <w:szCs w:val="20"/>
          <w:rtl/>
        </w:rPr>
        <w:t xml:space="preserve">, חקיקה שהתקבלה </w:t>
      </w:r>
      <w:r w:rsidRPr="00544118">
        <w:rPr>
          <w:rFonts w:hint="cs"/>
          <w:sz w:val="20"/>
          <w:szCs w:val="20"/>
          <w:u w:val="single"/>
          <w:rtl/>
        </w:rPr>
        <w:t xml:space="preserve">לפני 25.3.1992 </w:t>
      </w:r>
      <w:r w:rsidRPr="006917DD">
        <w:rPr>
          <w:rFonts w:hint="cs"/>
          <w:sz w:val="20"/>
          <w:szCs w:val="20"/>
          <w:rtl/>
        </w:rPr>
        <w:t xml:space="preserve">היא תקפה אף אם היא סותרת את חוק היסוד הזה. </w:t>
      </w:r>
    </w:p>
    <w:p w:rsidR="005366A8" w:rsidRDefault="005366A8" w:rsidP="005366A8">
      <w:pPr>
        <w:spacing w:after="120"/>
        <w:ind w:left="720"/>
        <w:rPr>
          <w:sz w:val="20"/>
          <w:szCs w:val="20"/>
          <w:rtl/>
        </w:rPr>
      </w:pPr>
      <w:r>
        <w:rPr>
          <w:rFonts w:hint="cs"/>
          <w:sz w:val="20"/>
          <w:szCs w:val="20"/>
          <w:rtl/>
        </w:rPr>
        <w:t xml:space="preserve">עם זאת, </w:t>
      </w:r>
      <w:r w:rsidRPr="006917DD">
        <w:rPr>
          <w:rFonts w:hint="cs"/>
          <w:sz w:val="20"/>
          <w:szCs w:val="20"/>
          <w:rtl/>
        </w:rPr>
        <w:t xml:space="preserve">תיקון מאוחר </w:t>
      </w:r>
      <w:r>
        <w:rPr>
          <w:rFonts w:hint="cs"/>
          <w:sz w:val="20"/>
          <w:szCs w:val="20"/>
          <w:rtl/>
        </w:rPr>
        <w:t xml:space="preserve">(אחרי מועד זה) </w:t>
      </w:r>
      <w:r w:rsidRPr="006917DD">
        <w:rPr>
          <w:rFonts w:hint="cs"/>
          <w:sz w:val="20"/>
          <w:szCs w:val="20"/>
          <w:rtl/>
        </w:rPr>
        <w:t xml:space="preserve">של חוק קודם </w:t>
      </w:r>
      <w:r>
        <w:rPr>
          <w:rFonts w:hint="cs"/>
          <w:sz w:val="20"/>
          <w:szCs w:val="20"/>
          <w:rtl/>
        </w:rPr>
        <w:t xml:space="preserve">(חוק שהתקבל לפני המועד הנזכר) </w:t>
      </w:r>
      <w:r w:rsidRPr="006917DD">
        <w:rPr>
          <w:rFonts w:hint="cs"/>
          <w:sz w:val="20"/>
          <w:szCs w:val="20"/>
          <w:rtl/>
        </w:rPr>
        <w:t xml:space="preserve">כפוף להוראות חוק היסוד. </w:t>
      </w:r>
      <w:r>
        <w:rPr>
          <w:rFonts w:hint="cs"/>
          <w:sz w:val="20"/>
          <w:szCs w:val="20"/>
          <w:rtl/>
        </w:rPr>
        <w:t xml:space="preserve">מדוע? משום שהוראת החוק הנבחנת חוקתית היא ההוראה המתוקנת, כלומר המאוחרת, ולכן אין היא חסינה מביקורת תקפותה מכוח "שמירת הדינים" [ראו התייחסות נוספת בהמשך, בפס"ד </w:t>
      </w:r>
      <w:r w:rsidRPr="00544118">
        <w:rPr>
          <w:rFonts w:hint="cs"/>
          <w:b/>
          <w:bCs/>
          <w:sz w:val="20"/>
          <w:szCs w:val="20"/>
          <w:rtl/>
        </w:rPr>
        <w:t>צמח</w:t>
      </w:r>
      <w:r>
        <w:rPr>
          <w:rFonts w:hint="cs"/>
          <w:sz w:val="20"/>
          <w:szCs w:val="20"/>
          <w:rtl/>
        </w:rPr>
        <w:t>].</w:t>
      </w:r>
    </w:p>
    <w:p w:rsidR="005366A8" w:rsidRDefault="005366A8" w:rsidP="005366A8">
      <w:pPr>
        <w:spacing w:after="120"/>
        <w:ind w:left="720"/>
        <w:rPr>
          <w:sz w:val="20"/>
          <w:szCs w:val="20"/>
          <w:rtl/>
        </w:rPr>
      </w:pPr>
      <w:r>
        <w:rPr>
          <w:rFonts w:hint="cs"/>
          <w:sz w:val="20"/>
          <w:szCs w:val="20"/>
          <w:rtl/>
        </w:rPr>
        <w:t xml:space="preserve">נקודה נוספת: הוראת חוק שהתקבלה לפני 1992 אמנם מוגנת מתקיפה חוקתית (כלומר לא תוכרז כבלתי תקפה), ואולם פרשנותה עשויה להשתנות. [ראו מייד את פס"ד </w:t>
      </w:r>
      <w:r w:rsidRPr="00544118">
        <w:rPr>
          <w:rFonts w:hint="cs"/>
          <w:b/>
          <w:bCs/>
          <w:sz w:val="20"/>
          <w:szCs w:val="20"/>
          <w:rtl/>
        </w:rPr>
        <w:t>גנימאת</w:t>
      </w:r>
      <w:r>
        <w:rPr>
          <w:rFonts w:hint="cs"/>
          <w:sz w:val="20"/>
          <w:szCs w:val="20"/>
          <w:rtl/>
        </w:rPr>
        <w:t>].</w:t>
      </w:r>
    </w:p>
    <w:p w:rsidR="005366A8" w:rsidRDefault="005366A8" w:rsidP="005366A8">
      <w:pPr>
        <w:spacing w:after="120"/>
        <w:ind w:left="720"/>
        <w:rPr>
          <w:rtl/>
        </w:rPr>
      </w:pPr>
      <w:r>
        <w:rPr>
          <w:rFonts w:hint="cs"/>
          <w:sz w:val="20"/>
          <w:szCs w:val="20"/>
          <w:rtl/>
        </w:rPr>
        <w:t xml:space="preserve">שימו לב עוד, כי </w:t>
      </w:r>
      <w:r w:rsidRPr="006917DD">
        <w:rPr>
          <w:rFonts w:hint="cs"/>
          <w:sz w:val="20"/>
          <w:szCs w:val="20"/>
          <w:rtl/>
        </w:rPr>
        <w:t xml:space="preserve">בחוק-יסוד: חופש העיסוק </w:t>
      </w:r>
      <w:r w:rsidRPr="007A283E">
        <w:rPr>
          <w:rFonts w:hint="cs"/>
          <w:b/>
          <w:bCs/>
          <w:sz w:val="20"/>
          <w:szCs w:val="20"/>
          <w:rtl/>
        </w:rPr>
        <w:t>אין</w:t>
      </w:r>
      <w:r w:rsidRPr="006917DD">
        <w:rPr>
          <w:rFonts w:hint="cs"/>
          <w:sz w:val="20"/>
          <w:szCs w:val="20"/>
          <w:rtl/>
        </w:rPr>
        <w:t xml:space="preserve"> פסקת שימור דינים.</w:t>
      </w:r>
      <w:r w:rsidRPr="006B2051">
        <w:rPr>
          <w:rFonts w:hint="cs"/>
          <w:rtl/>
        </w:rPr>
        <w:t xml:space="preserve"> </w:t>
      </w:r>
    </w:p>
    <w:p w:rsidR="005366A8" w:rsidRPr="006B2051" w:rsidRDefault="005366A8" w:rsidP="005366A8">
      <w:pPr>
        <w:spacing w:after="120"/>
        <w:ind w:left="1440"/>
        <w:rPr>
          <w:sz w:val="20"/>
          <w:szCs w:val="20"/>
          <w:rtl/>
        </w:rPr>
      </w:pPr>
      <w:r w:rsidRPr="006B2051">
        <w:rPr>
          <w:rFonts w:hint="cs"/>
          <w:rtl/>
        </w:rPr>
        <w:t xml:space="preserve"> </w:t>
      </w:r>
      <w:r w:rsidRPr="006B2051">
        <w:rPr>
          <w:rFonts w:hint="cs"/>
          <w:sz w:val="20"/>
          <w:szCs w:val="20"/>
          <w:rtl/>
        </w:rPr>
        <w:t xml:space="preserve">בעבר גוננה פסקה זו גם על חקיקה ותיקה הפוגעת בחופש העיסוק </w:t>
      </w:r>
      <w:r w:rsidRPr="006B2051">
        <w:rPr>
          <w:sz w:val="20"/>
          <w:szCs w:val="20"/>
          <w:rtl/>
        </w:rPr>
        <w:t>–</w:t>
      </w:r>
      <w:r w:rsidRPr="006B2051">
        <w:rPr>
          <w:rFonts w:hint="cs"/>
          <w:sz w:val="20"/>
          <w:szCs w:val="20"/>
          <w:rtl/>
        </w:rPr>
        <w:t xml:space="preserve"> ואולם </w:t>
      </w:r>
      <w:r w:rsidRPr="006B2051">
        <w:rPr>
          <w:rFonts w:hint="cs"/>
          <w:b/>
          <w:bCs/>
          <w:sz w:val="20"/>
          <w:szCs w:val="20"/>
          <w:rtl/>
        </w:rPr>
        <w:t xml:space="preserve">תוקפה של פסקה זו בחופש העיסוק היה זמני </w:t>
      </w:r>
      <w:r w:rsidRPr="006B2051">
        <w:rPr>
          <w:rFonts w:hint="cs"/>
          <w:sz w:val="20"/>
          <w:szCs w:val="20"/>
          <w:rtl/>
        </w:rPr>
        <w:t>והיא אכן פקעה ב-2002</w:t>
      </w:r>
      <w:r w:rsidRPr="006B2051">
        <w:rPr>
          <w:rFonts w:hint="cs"/>
          <w:b/>
          <w:bCs/>
          <w:sz w:val="20"/>
          <w:szCs w:val="20"/>
          <w:rtl/>
        </w:rPr>
        <w:t xml:space="preserve"> ולא הוארכה מחדש</w:t>
      </w:r>
      <w:r w:rsidRPr="006B2051">
        <w:rPr>
          <w:sz w:val="20"/>
          <w:szCs w:val="20"/>
          <w:rtl/>
        </w:rPr>
        <w:t>.</w:t>
      </w:r>
    </w:p>
    <w:p w:rsidR="005366A8" w:rsidRDefault="005366A8" w:rsidP="005366A8">
      <w:pPr>
        <w:spacing w:after="120"/>
        <w:ind w:left="314"/>
        <w:rPr>
          <w:sz w:val="20"/>
          <w:szCs w:val="20"/>
          <w:rtl/>
        </w:rPr>
      </w:pPr>
      <w:r w:rsidRPr="006917DD">
        <w:rPr>
          <w:rFonts w:hint="cs"/>
          <w:sz w:val="20"/>
          <w:szCs w:val="20"/>
          <w:rtl/>
        </w:rPr>
        <w:t xml:space="preserve">(2) </w:t>
      </w:r>
      <w:r w:rsidRPr="006917DD">
        <w:rPr>
          <w:rFonts w:hint="cs"/>
          <w:b/>
          <w:bCs/>
          <w:sz w:val="20"/>
          <w:szCs w:val="20"/>
          <w:rtl/>
        </w:rPr>
        <w:t>הסמכת המחוקק</w:t>
      </w:r>
      <w:r>
        <w:rPr>
          <w:rFonts w:hint="cs"/>
          <w:b/>
          <w:bCs/>
          <w:sz w:val="20"/>
          <w:szCs w:val="20"/>
          <w:rtl/>
        </w:rPr>
        <w:t xml:space="preserve"> (הכנסת כמחוקק)</w:t>
      </w:r>
      <w:r w:rsidRPr="006917DD">
        <w:rPr>
          <w:rFonts w:hint="cs"/>
          <w:b/>
          <w:bCs/>
          <w:sz w:val="20"/>
          <w:szCs w:val="20"/>
          <w:rtl/>
        </w:rPr>
        <w:t xml:space="preserve"> להסדיר סוגיות מסוימות</w:t>
      </w:r>
      <w:r w:rsidRPr="006917DD">
        <w:rPr>
          <w:rFonts w:hint="cs"/>
          <w:sz w:val="20"/>
          <w:szCs w:val="20"/>
          <w:rtl/>
        </w:rPr>
        <w:t xml:space="preserve">: </w:t>
      </w:r>
    </w:p>
    <w:p w:rsidR="005366A8" w:rsidRDefault="005366A8" w:rsidP="005366A8">
      <w:pPr>
        <w:spacing w:after="120"/>
        <w:ind w:left="720"/>
        <w:rPr>
          <w:sz w:val="20"/>
          <w:szCs w:val="20"/>
          <w:rtl/>
        </w:rPr>
      </w:pPr>
      <w:r>
        <w:rPr>
          <w:rFonts w:hint="cs"/>
          <w:sz w:val="20"/>
          <w:szCs w:val="20"/>
          <w:rtl/>
        </w:rPr>
        <w:t xml:space="preserve">מצויות </w:t>
      </w:r>
      <w:r w:rsidRPr="006917DD">
        <w:rPr>
          <w:rFonts w:hint="cs"/>
          <w:sz w:val="20"/>
          <w:szCs w:val="20"/>
          <w:rtl/>
        </w:rPr>
        <w:t>הוראות</w:t>
      </w:r>
      <w:r>
        <w:rPr>
          <w:rFonts w:hint="cs"/>
          <w:sz w:val="20"/>
          <w:szCs w:val="20"/>
          <w:rtl/>
        </w:rPr>
        <w:t xml:space="preserve"> שכיחות</w:t>
      </w:r>
      <w:r w:rsidRPr="006917DD">
        <w:rPr>
          <w:rFonts w:hint="cs"/>
          <w:sz w:val="20"/>
          <w:szCs w:val="20"/>
          <w:rtl/>
        </w:rPr>
        <w:t xml:space="preserve"> בחוקי היסוד שאינן מסדירות </w:t>
      </w:r>
      <w:r>
        <w:rPr>
          <w:rFonts w:hint="cs"/>
          <w:sz w:val="20"/>
          <w:szCs w:val="20"/>
          <w:rtl/>
        </w:rPr>
        <w:t>בעצמן את ה</w:t>
      </w:r>
      <w:r w:rsidRPr="006917DD">
        <w:rPr>
          <w:rFonts w:hint="cs"/>
          <w:sz w:val="20"/>
          <w:szCs w:val="20"/>
          <w:rtl/>
        </w:rPr>
        <w:t xml:space="preserve">סוגיות </w:t>
      </w:r>
      <w:r>
        <w:rPr>
          <w:rFonts w:hint="cs"/>
          <w:sz w:val="20"/>
          <w:szCs w:val="20"/>
          <w:rtl/>
        </w:rPr>
        <w:t xml:space="preserve">שאליהן הן מתייחסות </w:t>
      </w:r>
      <w:r w:rsidRPr="006917DD">
        <w:rPr>
          <w:rFonts w:hint="cs"/>
          <w:sz w:val="20"/>
          <w:szCs w:val="20"/>
          <w:rtl/>
        </w:rPr>
        <w:t>אלא מסתפקות בקביעה כי פרטים ייקבעו בחוק. למשל: סעיפים 5א, 14, 15 ו- 17 לחוק-יסוד: הכנסת.</w:t>
      </w:r>
    </w:p>
    <w:p w:rsidR="005366A8" w:rsidRPr="002A1181" w:rsidRDefault="005366A8" w:rsidP="005366A8">
      <w:pPr>
        <w:spacing w:after="120"/>
        <w:ind w:left="1440"/>
        <w:rPr>
          <w:rFonts w:cs="David"/>
          <w:sz w:val="20"/>
          <w:szCs w:val="20"/>
          <w:rtl/>
        </w:rPr>
      </w:pPr>
      <w:r w:rsidRPr="002A1181">
        <w:rPr>
          <w:rFonts w:cs="David" w:hint="cs"/>
          <w:sz w:val="20"/>
          <w:szCs w:val="20"/>
          <w:rtl/>
        </w:rPr>
        <w:t xml:space="preserve">5א. </w:t>
      </w:r>
      <w:r>
        <w:rPr>
          <w:rFonts w:cs="David" w:hint="cs"/>
          <w:sz w:val="20"/>
          <w:szCs w:val="20"/>
          <w:rtl/>
        </w:rPr>
        <w:t xml:space="preserve">"רשימת </w:t>
      </w:r>
      <w:r w:rsidRPr="002A1181">
        <w:rPr>
          <w:rFonts w:cs="David" w:hint="cs"/>
          <w:sz w:val="20"/>
          <w:szCs w:val="20"/>
          <w:rtl/>
        </w:rPr>
        <w:t xml:space="preserve">מועמדים לכנסת תוגש על ידי מפלגה בלבד; דרכי התאגדותן ורישומן של מפלגות ותנאים להגשת רשימת מועמדים </w:t>
      </w:r>
      <w:r w:rsidRPr="002A1181">
        <w:rPr>
          <w:rFonts w:cs="David" w:hint="cs"/>
          <w:sz w:val="20"/>
          <w:szCs w:val="20"/>
          <w:highlight w:val="yellow"/>
          <w:rtl/>
        </w:rPr>
        <w:t>ייקבעו בחוק</w:t>
      </w:r>
      <w:r>
        <w:rPr>
          <w:rFonts w:cs="David" w:hint="cs"/>
          <w:sz w:val="20"/>
          <w:szCs w:val="20"/>
          <w:rtl/>
        </w:rPr>
        <w:t>"</w:t>
      </w:r>
      <w:r w:rsidRPr="002A1181">
        <w:rPr>
          <w:rFonts w:cs="David" w:hint="cs"/>
          <w:sz w:val="20"/>
          <w:szCs w:val="20"/>
          <w:rtl/>
        </w:rPr>
        <w:t>.</w:t>
      </w:r>
      <w:r>
        <w:rPr>
          <w:rFonts w:cs="David" w:hint="cs"/>
          <w:sz w:val="20"/>
          <w:szCs w:val="20"/>
          <w:rtl/>
        </w:rPr>
        <w:t xml:space="preserve"> </w:t>
      </w:r>
    </w:p>
    <w:p w:rsidR="005366A8" w:rsidRDefault="005366A8" w:rsidP="005366A8">
      <w:pPr>
        <w:spacing w:after="120"/>
        <w:ind w:left="314"/>
        <w:rPr>
          <w:sz w:val="20"/>
          <w:szCs w:val="20"/>
          <w:rtl/>
        </w:rPr>
      </w:pPr>
      <w:r w:rsidRPr="006917DD">
        <w:rPr>
          <w:rFonts w:hint="cs"/>
          <w:sz w:val="20"/>
          <w:szCs w:val="20"/>
          <w:rtl/>
        </w:rPr>
        <w:t xml:space="preserve">(3) </w:t>
      </w:r>
      <w:r w:rsidRPr="006917DD">
        <w:rPr>
          <w:rFonts w:hint="cs"/>
          <w:b/>
          <w:bCs/>
          <w:sz w:val="20"/>
          <w:szCs w:val="20"/>
          <w:rtl/>
        </w:rPr>
        <w:t>הסמכה כללית לסטות מן ההסדר שבחוק היסוד</w:t>
      </w:r>
      <w:r w:rsidRPr="006917DD">
        <w:rPr>
          <w:rFonts w:hint="cs"/>
          <w:sz w:val="20"/>
          <w:szCs w:val="20"/>
          <w:rtl/>
        </w:rPr>
        <w:t xml:space="preserve">: </w:t>
      </w:r>
    </w:p>
    <w:p w:rsidR="005366A8" w:rsidRDefault="005366A8" w:rsidP="005366A8">
      <w:pPr>
        <w:spacing w:after="120"/>
        <w:ind w:left="720"/>
        <w:rPr>
          <w:sz w:val="20"/>
          <w:szCs w:val="20"/>
          <w:rtl/>
        </w:rPr>
      </w:pPr>
      <w:r w:rsidRPr="006917DD">
        <w:rPr>
          <w:rFonts w:hint="cs"/>
          <w:sz w:val="20"/>
          <w:szCs w:val="20"/>
          <w:rtl/>
        </w:rPr>
        <w:t xml:space="preserve">הוראות בחוקי היסוד שבהן נקבע כי ההסדר שבחוק היסוד יחול אלא אם נקבעה הוראה אחרת בחוק. למשל: סעיף 7 לחוק-יסוד: הכנסת, שנדון בעניין </w:t>
      </w:r>
      <w:r w:rsidRPr="006917DD">
        <w:rPr>
          <w:rFonts w:hint="cs"/>
          <w:b/>
          <w:bCs/>
          <w:sz w:val="20"/>
          <w:szCs w:val="20"/>
          <w:rtl/>
        </w:rPr>
        <w:t>מופז</w:t>
      </w:r>
      <w:r w:rsidRPr="006917DD">
        <w:rPr>
          <w:rFonts w:hint="cs"/>
          <w:sz w:val="20"/>
          <w:szCs w:val="20"/>
          <w:rtl/>
        </w:rPr>
        <w:t xml:space="preserve">; סעיף 2 לחוק-יסוד: מקרקעי ישראל; </w:t>
      </w:r>
      <w:r>
        <w:rPr>
          <w:rFonts w:hint="cs"/>
          <w:sz w:val="20"/>
          <w:szCs w:val="20"/>
          <w:rtl/>
        </w:rPr>
        <w:t xml:space="preserve">או </w:t>
      </w:r>
      <w:r w:rsidRPr="006917DD">
        <w:rPr>
          <w:rFonts w:hint="cs"/>
          <w:sz w:val="20"/>
          <w:szCs w:val="20"/>
          <w:rtl/>
        </w:rPr>
        <w:t>סעיף 3 לחוק-יסוד: השפיטה</w:t>
      </w:r>
      <w:r>
        <w:rPr>
          <w:rFonts w:hint="cs"/>
          <w:sz w:val="20"/>
          <w:szCs w:val="20"/>
          <w:rtl/>
        </w:rPr>
        <w:t>:</w:t>
      </w:r>
    </w:p>
    <w:p w:rsidR="005366A8" w:rsidRPr="002A1181" w:rsidRDefault="005366A8" w:rsidP="005366A8">
      <w:pPr>
        <w:spacing w:after="120"/>
        <w:ind w:left="1440"/>
        <w:rPr>
          <w:rFonts w:cs="David"/>
          <w:sz w:val="20"/>
          <w:szCs w:val="20"/>
          <w:rtl/>
        </w:rPr>
      </w:pPr>
      <w:r>
        <w:rPr>
          <w:rFonts w:cs="David" w:hint="cs"/>
          <w:sz w:val="20"/>
          <w:szCs w:val="20"/>
          <w:rtl/>
        </w:rPr>
        <w:t>"</w:t>
      </w:r>
      <w:r w:rsidRPr="002A1181">
        <w:rPr>
          <w:rFonts w:cs="David"/>
          <w:sz w:val="20"/>
          <w:szCs w:val="20"/>
          <w:rtl/>
        </w:rPr>
        <w:t xml:space="preserve">בית משפט ידון בפומבי, </w:t>
      </w:r>
      <w:r w:rsidRPr="000F0CBE">
        <w:rPr>
          <w:rFonts w:cs="David"/>
          <w:sz w:val="20"/>
          <w:szCs w:val="20"/>
          <w:highlight w:val="yellow"/>
          <w:rtl/>
        </w:rPr>
        <w:t>זולת אם נקבע אחרת בחוק</w:t>
      </w:r>
      <w:r w:rsidRPr="002A1181">
        <w:rPr>
          <w:rFonts w:cs="David"/>
          <w:sz w:val="20"/>
          <w:szCs w:val="20"/>
          <w:rtl/>
        </w:rPr>
        <w:t xml:space="preserve"> או אם בית המשפט הורה אחרת לפי חוק</w:t>
      </w:r>
      <w:r>
        <w:rPr>
          <w:rFonts w:cs="David" w:hint="cs"/>
          <w:sz w:val="20"/>
          <w:szCs w:val="20"/>
          <w:rtl/>
        </w:rPr>
        <w:t>"</w:t>
      </w:r>
      <w:r w:rsidRPr="002A1181">
        <w:rPr>
          <w:rFonts w:cs="David"/>
          <w:sz w:val="20"/>
          <w:szCs w:val="20"/>
          <w:rtl/>
        </w:rPr>
        <w:t xml:space="preserve">. </w:t>
      </w:r>
    </w:p>
    <w:p w:rsidR="005366A8" w:rsidRDefault="005366A8" w:rsidP="005366A8">
      <w:pPr>
        <w:spacing w:after="120"/>
        <w:ind w:left="314"/>
        <w:rPr>
          <w:sz w:val="20"/>
          <w:szCs w:val="20"/>
          <w:rtl/>
        </w:rPr>
      </w:pPr>
      <w:r w:rsidRPr="006917DD">
        <w:rPr>
          <w:rFonts w:hint="cs"/>
          <w:sz w:val="20"/>
          <w:szCs w:val="20"/>
          <w:rtl/>
        </w:rPr>
        <w:t xml:space="preserve">(4) </w:t>
      </w:r>
      <w:r w:rsidRPr="006917DD">
        <w:rPr>
          <w:rFonts w:hint="cs"/>
          <w:b/>
          <w:bCs/>
          <w:sz w:val="20"/>
          <w:szCs w:val="20"/>
          <w:rtl/>
        </w:rPr>
        <w:t>פסק</w:t>
      </w:r>
      <w:r>
        <w:rPr>
          <w:rFonts w:hint="cs"/>
          <w:b/>
          <w:bCs/>
          <w:sz w:val="20"/>
          <w:szCs w:val="20"/>
          <w:rtl/>
        </w:rPr>
        <w:t xml:space="preserve">ה המטילה מגבלה </w:t>
      </w:r>
      <w:r w:rsidRPr="006917DD">
        <w:rPr>
          <w:rFonts w:hint="cs"/>
          <w:b/>
          <w:bCs/>
          <w:sz w:val="20"/>
          <w:szCs w:val="20"/>
          <w:rtl/>
        </w:rPr>
        <w:t>"צורנית"</w:t>
      </w:r>
      <w:r w:rsidRPr="006917DD">
        <w:rPr>
          <w:rFonts w:hint="cs"/>
          <w:sz w:val="20"/>
          <w:szCs w:val="20"/>
          <w:rtl/>
        </w:rPr>
        <w:t xml:space="preserve">: </w:t>
      </w:r>
    </w:p>
    <w:p w:rsidR="005366A8" w:rsidRDefault="005366A8" w:rsidP="005366A8">
      <w:pPr>
        <w:spacing w:after="120"/>
        <w:ind w:left="554"/>
        <w:rPr>
          <w:sz w:val="20"/>
          <w:szCs w:val="20"/>
          <w:rtl/>
        </w:rPr>
      </w:pPr>
      <w:r w:rsidRPr="006917DD">
        <w:rPr>
          <w:rFonts w:hint="cs"/>
          <w:sz w:val="20"/>
          <w:szCs w:val="20"/>
          <w:rtl/>
        </w:rPr>
        <w:t xml:space="preserve">הוראה בחוק-יסוד המסדירה את התנאים בדבר הליך החקיקה (הרוב הדרוש) או "צורת" החוק שבהתקיימם מוסמכת הכנסת לחוקק חוק "רגיל" אשר "פוגע" בהוראה הקבועה בחוק-יסוד. </w:t>
      </w:r>
    </w:p>
    <w:p w:rsidR="005366A8" w:rsidRPr="006917DD" w:rsidRDefault="005366A8" w:rsidP="005366A8">
      <w:pPr>
        <w:spacing w:after="120"/>
        <w:ind w:left="554"/>
        <w:rPr>
          <w:sz w:val="20"/>
          <w:szCs w:val="20"/>
          <w:rtl/>
        </w:rPr>
      </w:pPr>
      <w:r w:rsidRPr="006917DD">
        <w:rPr>
          <w:rFonts w:hint="cs"/>
          <w:sz w:val="20"/>
          <w:szCs w:val="20"/>
          <w:rtl/>
        </w:rPr>
        <w:t>שני סוגים של פסקאות "צורניות":</w:t>
      </w:r>
    </w:p>
    <w:p w:rsidR="005366A8" w:rsidRDefault="005366A8" w:rsidP="005366A8">
      <w:pPr>
        <w:spacing w:after="120"/>
        <w:ind w:left="554"/>
        <w:rPr>
          <w:sz w:val="20"/>
          <w:szCs w:val="20"/>
          <w:rtl/>
        </w:rPr>
      </w:pPr>
      <w:r w:rsidRPr="006917DD">
        <w:rPr>
          <w:rFonts w:hint="cs"/>
          <w:sz w:val="20"/>
          <w:szCs w:val="20"/>
          <w:rtl/>
        </w:rPr>
        <w:t xml:space="preserve">(א) </w:t>
      </w:r>
      <w:r w:rsidRPr="006917DD">
        <w:rPr>
          <w:rFonts w:hint="cs"/>
          <w:b/>
          <w:bCs/>
          <w:sz w:val="20"/>
          <w:szCs w:val="20"/>
          <w:rtl/>
        </w:rPr>
        <w:t>"פסקת התגברות"</w:t>
      </w:r>
      <w:r w:rsidRPr="006917DD">
        <w:rPr>
          <w:rFonts w:hint="cs"/>
          <w:sz w:val="20"/>
          <w:szCs w:val="20"/>
          <w:rtl/>
        </w:rPr>
        <w:t xml:space="preserve">: סעיף 8 לחוק-יסוד: חופש העיסוק: </w:t>
      </w:r>
    </w:p>
    <w:p w:rsidR="005366A8" w:rsidRPr="002A1181" w:rsidRDefault="005366A8" w:rsidP="005366A8">
      <w:pPr>
        <w:spacing w:after="120"/>
        <w:ind w:left="1440"/>
        <w:rPr>
          <w:rFonts w:cs="David"/>
          <w:sz w:val="20"/>
          <w:szCs w:val="20"/>
          <w:rtl/>
        </w:rPr>
      </w:pPr>
      <w:r w:rsidRPr="00A008FF">
        <w:rPr>
          <w:rFonts w:cs="David" w:hint="cs"/>
          <w:sz w:val="20"/>
          <w:szCs w:val="20"/>
          <w:highlight w:val="yellow"/>
          <w:rtl/>
        </w:rPr>
        <w:t>"חוק הסותר חוק יסוד זה יהיה תקף למשך 4 שנים אם התקבל בתמיכת רוב חברי הכנסת ונאמר בו במפורש שהוא תקף על אף האמור בחוק יסוד זה".</w:t>
      </w:r>
      <w:r w:rsidRPr="002A1181">
        <w:rPr>
          <w:rFonts w:cs="David" w:hint="cs"/>
          <w:sz w:val="20"/>
          <w:szCs w:val="20"/>
          <w:rtl/>
        </w:rPr>
        <w:t xml:space="preserve"> </w:t>
      </w:r>
    </w:p>
    <w:p w:rsidR="005366A8" w:rsidRDefault="005366A8" w:rsidP="005366A8">
      <w:pPr>
        <w:spacing w:after="120"/>
        <w:ind w:left="554"/>
        <w:rPr>
          <w:sz w:val="20"/>
          <w:szCs w:val="20"/>
          <w:rtl/>
        </w:rPr>
      </w:pPr>
      <w:r w:rsidRPr="006917DD">
        <w:rPr>
          <w:rFonts w:hint="cs"/>
          <w:sz w:val="20"/>
          <w:szCs w:val="20"/>
          <w:rtl/>
        </w:rPr>
        <w:t xml:space="preserve">(ב) </w:t>
      </w:r>
      <w:r w:rsidRPr="006917DD">
        <w:rPr>
          <w:rFonts w:hint="cs"/>
          <w:b/>
          <w:bCs/>
          <w:sz w:val="20"/>
          <w:szCs w:val="20"/>
          <w:rtl/>
        </w:rPr>
        <w:t>הוראות בדבר רוב מיוחס</w:t>
      </w:r>
      <w:r w:rsidRPr="006917DD">
        <w:rPr>
          <w:rFonts w:hint="cs"/>
          <w:sz w:val="20"/>
          <w:szCs w:val="20"/>
          <w:rtl/>
        </w:rPr>
        <w:t xml:space="preserve">: בחוק-יסוד: הכנסת, סעיפים 4 (חוק הסותר את ההוראה בדבר שיטת הבחירות לכנסת יהיה תקף רק אם התקבל בתמיכת </w:t>
      </w:r>
      <w:r>
        <w:rPr>
          <w:rFonts w:hint="cs"/>
          <w:sz w:val="20"/>
          <w:szCs w:val="20"/>
          <w:rtl/>
        </w:rPr>
        <w:t>"</w:t>
      </w:r>
      <w:r w:rsidRPr="006917DD">
        <w:rPr>
          <w:rFonts w:hint="cs"/>
          <w:sz w:val="20"/>
          <w:szCs w:val="20"/>
          <w:rtl/>
        </w:rPr>
        <w:t>רוב חברי הכנסת</w:t>
      </w:r>
      <w:r>
        <w:rPr>
          <w:rFonts w:hint="cs"/>
          <w:sz w:val="20"/>
          <w:szCs w:val="20"/>
          <w:rtl/>
        </w:rPr>
        <w:t>"</w:t>
      </w:r>
      <w:r w:rsidRPr="006917DD">
        <w:rPr>
          <w:rFonts w:hint="cs"/>
          <w:sz w:val="20"/>
          <w:szCs w:val="20"/>
          <w:rtl/>
        </w:rPr>
        <w:t>), 9א (הארכת כהונת הכנסת) ו- 34 (התפזרות)</w:t>
      </w:r>
      <w:r>
        <w:rPr>
          <w:rFonts w:hint="cs"/>
          <w:sz w:val="20"/>
          <w:szCs w:val="20"/>
          <w:rtl/>
        </w:rPr>
        <w:t>:</w:t>
      </w:r>
    </w:p>
    <w:p w:rsidR="005366A8" w:rsidRPr="00A008FF" w:rsidRDefault="005366A8" w:rsidP="005366A8">
      <w:pPr>
        <w:spacing w:after="120"/>
        <w:ind w:left="1440"/>
        <w:rPr>
          <w:rFonts w:cs="David"/>
          <w:sz w:val="20"/>
          <w:szCs w:val="20"/>
          <w:rtl/>
        </w:rPr>
      </w:pPr>
      <w:r>
        <w:rPr>
          <w:rStyle w:val="default"/>
          <w:rFonts w:cs="David" w:hint="cs"/>
          <w:szCs w:val="20"/>
          <w:rtl/>
        </w:rPr>
        <w:t>"</w:t>
      </w:r>
      <w:r w:rsidRPr="00A008FF">
        <w:rPr>
          <w:rStyle w:val="default"/>
          <w:rFonts w:cs="David"/>
          <w:szCs w:val="20"/>
          <w:rtl/>
        </w:rPr>
        <w:t>ל</w:t>
      </w:r>
      <w:r w:rsidRPr="00A008FF">
        <w:rPr>
          <w:rStyle w:val="default"/>
          <w:rFonts w:cs="David" w:hint="cs"/>
          <w:szCs w:val="20"/>
          <w:rtl/>
        </w:rPr>
        <w:t>א תחליט הכנסת להתפזר לפני גמר תקופת כהונתה, אלא בדרך קבלת חוק לענין זה, ברוב חברי הכנסת</w:t>
      </w:r>
      <w:r>
        <w:rPr>
          <w:rStyle w:val="default"/>
          <w:rFonts w:cs="David" w:hint="cs"/>
          <w:szCs w:val="20"/>
          <w:rtl/>
        </w:rPr>
        <w:t>"</w:t>
      </w:r>
      <w:r w:rsidRPr="00A008FF">
        <w:rPr>
          <w:rStyle w:val="default"/>
          <w:rFonts w:cs="David" w:hint="cs"/>
          <w:szCs w:val="20"/>
          <w:rtl/>
        </w:rPr>
        <w:t>.</w:t>
      </w:r>
    </w:p>
    <w:p w:rsidR="005366A8" w:rsidRDefault="005366A8" w:rsidP="005366A8">
      <w:pPr>
        <w:spacing w:after="120"/>
        <w:ind w:left="314"/>
        <w:rPr>
          <w:sz w:val="20"/>
          <w:szCs w:val="20"/>
          <w:rtl/>
        </w:rPr>
      </w:pPr>
      <w:r w:rsidRPr="006917DD">
        <w:rPr>
          <w:rFonts w:hint="cs"/>
          <w:sz w:val="20"/>
          <w:szCs w:val="20"/>
          <w:rtl/>
        </w:rPr>
        <w:t xml:space="preserve">(5) </w:t>
      </w:r>
      <w:r>
        <w:rPr>
          <w:rFonts w:hint="cs"/>
          <w:b/>
          <w:bCs/>
          <w:sz w:val="20"/>
          <w:szCs w:val="20"/>
          <w:rtl/>
        </w:rPr>
        <w:t>"</w:t>
      </w:r>
      <w:r w:rsidRPr="006917DD">
        <w:rPr>
          <w:rFonts w:hint="cs"/>
          <w:b/>
          <w:bCs/>
          <w:sz w:val="20"/>
          <w:szCs w:val="20"/>
          <w:rtl/>
        </w:rPr>
        <w:t>פסקת הגבלה</w:t>
      </w:r>
      <w:r>
        <w:rPr>
          <w:rFonts w:hint="cs"/>
          <w:b/>
          <w:bCs/>
          <w:sz w:val="20"/>
          <w:szCs w:val="20"/>
          <w:rtl/>
        </w:rPr>
        <w:t>"</w:t>
      </w:r>
      <w:r w:rsidRPr="006917DD">
        <w:rPr>
          <w:rFonts w:hint="cs"/>
          <w:sz w:val="20"/>
          <w:szCs w:val="20"/>
          <w:rtl/>
        </w:rPr>
        <w:t xml:space="preserve">: סעיף 8 לחוק-יסוד: כבוד האדם וחירותו וסעיף 4 לחוק-יסוד: חופש העיסוק </w:t>
      </w:r>
    </w:p>
    <w:p w:rsidR="005366A8" w:rsidRPr="006917DD" w:rsidRDefault="005366A8" w:rsidP="005366A8">
      <w:pPr>
        <w:spacing w:after="120"/>
        <w:ind w:left="1440"/>
        <w:rPr>
          <w:sz w:val="20"/>
          <w:szCs w:val="20"/>
          <w:rtl/>
        </w:rPr>
      </w:pPr>
      <w:r w:rsidRPr="00A008FF">
        <w:rPr>
          <w:rFonts w:cs="David" w:hint="cs"/>
          <w:sz w:val="20"/>
          <w:szCs w:val="20"/>
          <w:highlight w:val="yellow"/>
          <w:rtl/>
        </w:rPr>
        <w:t xml:space="preserve">"אין פוגעים בזכויות שלפי חוק-יסוד זה אלא בחוק ההולם את ערכיה של מדינת ישראל, שנועד לתכלית ראויה ובמידה שאינה עולה על הנדרש </w:t>
      </w:r>
      <w:r w:rsidRPr="00A008FF">
        <w:rPr>
          <w:rFonts w:cs="David"/>
          <w:sz w:val="20"/>
          <w:szCs w:val="20"/>
          <w:highlight w:val="yellow"/>
          <w:rtl/>
        </w:rPr>
        <w:t>או לפי חוק כאמור מכוח הסמכה מפורשת ב</w:t>
      </w:r>
      <w:r w:rsidRPr="00A008FF">
        <w:rPr>
          <w:rFonts w:cs="David" w:hint="cs"/>
          <w:sz w:val="20"/>
          <w:szCs w:val="20"/>
          <w:highlight w:val="yellow"/>
          <w:rtl/>
        </w:rPr>
        <w:t>ו".</w:t>
      </w:r>
      <w:r w:rsidRPr="006917DD">
        <w:rPr>
          <w:rFonts w:hint="cs"/>
          <w:sz w:val="20"/>
          <w:szCs w:val="20"/>
          <w:rtl/>
        </w:rPr>
        <w:t xml:space="preserve"> </w:t>
      </w:r>
    </w:p>
    <w:p w:rsidR="005366A8" w:rsidRPr="006917DD" w:rsidRDefault="005366A8" w:rsidP="005366A8">
      <w:pPr>
        <w:spacing w:after="120"/>
        <w:rPr>
          <w:sz w:val="20"/>
          <w:szCs w:val="20"/>
          <w:rtl/>
        </w:rPr>
      </w:pPr>
      <w:r w:rsidRPr="006917DD">
        <w:rPr>
          <w:rFonts w:hint="cs"/>
          <w:sz w:val="20"/>
          <w:szCs w:val="20"/>
          <w:rtl/>
        </w:rPr>
        <w:t xml:space="preserve">ב) בית-המשפט נוהג לפרש את </w:t>
      </w:r>
      <w:r w:rsidRPr="007A283E">
        <w:rPr>
          <w:rFonts w:hint="cs"/>
          <w:b/>
          <w:bCs/>
          <w:sz w:val="20"/>
          <w:szCs w:val="20"/>
          <w:rtl/>
        </w:rPr>
        <w:t>חוקי היסוד שאין בהם פסקת הגבלה מהותית</w:t>
      </w:r>
      <w:r w:rsidRPr="006917DD">
        <w:rPr>
          <w:rFonts w:hint="cs"/>
          <w:sz w:val="20"/>
          <w:szCs w:val="20"/>
          <w:rtl/>
        </w:rPr>
        <w:t xml:space="preserve"> באופן שתוחל גם לגביהם פסקת הגבלה שכזו (ולפיכך זו מכונה "פסקת הגבלה שיפוטיות" או "משתמעת"). הדבר נעשה בשתי דרכים:</w:t>
      </w:r>
    </w:p>
    <w:p w:rsidR="005366A8" w:rsidRDefault="005366A8" w:rsidP="005366A8">
      <w:pPr>
        <w:spacing w:after="120"/>
        <w:ind w:left="314"/>
        <w:rPr>
          <w:sz w:val="20"/>
          <w:szCs w:val="20"/>
          <w:rtl/>
        </w:rPr>
      </w:pPr>
      <w:r w:rsidRPr="006917DD">
        <w:rPr>
          <w:rFonts w:hint="cs"/>
          <w:sz w:val="20"/>
          <w:szCs w:val="20"/>
          <w:rtl/>
        </w:rPr>
        <w:t xml:space="preserve">1) </w:t>
      </w:r>
      <w:r w:rsidRPr="006917DD">
        <w:rPr>
          <w:rFonts w:hint="cs"/>
          <w:b/>
          <w:bCs/>
          <w:sz w:val="20"/>
          <w:szCs w:val="20"/>
          <w:rtl/>
        </w:rPr>
        <w:t>הבחנה בין פגיעה לבין שינוי</w:t>
      </w:r>
      <w:r w:rsidRPr="006917DD">
        <w:rPr>
          <w:rFonts w:hint="cs"/>
          <w:sz w:val="20"/>
          <w:szCs w:val="20"/>
          <w:rtl/>
        </w:rPr>
        <w:t xml:space="preserve">: נפסק כי הכנסת </w:t>
      </w:r>
      <w:r>
        <w:rPr>
          <w:rFonts w:hint="cs"/>
          <w:sz w:val="20"/>
          <w:szCs w:val="20"/>
          <w:rtl/>
        </w:rPr>
        <w:t xml:space="preserve">מוסמכת </w:t>
      </w:r>
      <w:r w:rsidRPr="006917DD">
        <w:rPr>
          <w:rFonts w:hint="cs"/>
          <w:sz w:val="20"/>
          <w:szCs w:val="20"/>
          <w:rtl/>
        </w:rPr>
        <w:t>לחוקק חוק שיש בו רק משום "פגיעה" בהסדר שבחוק היסוד, כלומר סטייה נקודתית ומתוחמת מהוראות חוק ה</w:t>
      </w:r>
      <w:r>
        <w:rPr>
          <w:rFonts w:hint="cs"/>
          <w:sz w:val="20"/>
          <w:szCs w:val="20"/>
          <w:rtl/>
        </w:rPr>
        <w:t>יסוד, אך לא "שינוי" של ההסדר [אנא אל תתבלבלו: "שינוי" עשוי להיות מה שהיינו קוראים לו פגיעה, אלא שהיא פגיעה מקיפה/ רחבה].</w:t>
      </w:r>
      <w:r w:rsidRPr="006917DD">
        <w:rPr>
          <w:rFonts w:hint="cs"/>
          <w:sz w:val="20"/>
          <w:szCs w:val="20"/>
          <w:rtl/>
        </w:rPr>
        <w:t xml:space="preserve"> </w:t>
      </w:r>
    </w:p>
    <w:p w:rsidR="005366A8" w:rsidRDefault="005366A8" w:rsidP="005366A8">
      <w:pPr>
        <w:spacing w:after="120"/>
        <w:ind w:left="720"/>
        <w:rPr>
          <w:sz w:val="20"/>
          <w:szCs w:val="20"/>
          <w:rtl/>
        </w:rPr>
      </w:pPr>
      <w:r w:rsidRPr="006917DD">
        <w:rPr>
          <w:rFonts w:hint="cs"/>
          <w:sz w:val="20"/>
          <w:szCs w:val="20"/>
          <w:rtl/>
        </w:rPr>
        <w:t xml:space="preserve">למשל, </w:t>
      </w:r>
      <w:r w:rsidRPr="00AC4A45">
        <w:rPr>
          <w:rFonts w:hint="cs"/>
          <w:i/>
          <w:iCs/>
          <w:sz w:val="20"/>
          <w:szCs w:val="20"/>
          <w:rtl/>
        </w:rPr>
        <w:t xml:space="preserve">ניתן לפגוע בעקרון השוויון בבחירות בחוק רגיל שהתקבל בתנאי פסקת ההגבלה שבסעיף 4 לחוק-יסוד: הכנסת אך הכנסת </w:t>
      </w:r>
      <w:r w:rsidRPr="00AC4A45">
        <w:rPr>
          <w:rFonts w:hint="cs"/>
          <w:b/>
          <w:bCs/>
          <w:i/>
          <w:iCs/>
          <w:sz w:val="20"/>
          <w:szCs w:val="20"/>
          <w:rtl/>
        </w:rPr>
        <w:t xml:space="preserve">אינה </w:t>
      </w:r>
      <w:r w:rsidRPr="00AC4A45">
        <w:rPr>
          <w:rFonts w:hint="cs"/>
          <w:i/>
          <w:iCs/>
          <w:sz w:val="20"/>
          <w:szCs w:val="20"/>
          <w:rtl/>
        </w:rPr>
        <w:t>רשאית לקבוע בחוק חדש, כי שיטת הבחירות תשתנה ותהיה, למשל, "אזורית" (במקום "היחסית" הנוהגת)</w:t>
      </w:r>
      <w:r>
        <w:rPr>
          <w:rFonts w:hint="cs"/>
          <w:sz w:val="20"/>
          <w:szCs w:val="20"/>
          <w:rtl/>
        </w:rPr>
        <w:t>; נדרש לכך חוק יסוד</w:t>
      </w:r>
      <w:r w:rsidRPr="006917DD">
        <w:rPr>
          <w:rFonts w:hint="cs"/>
          <w:sz w:val="20"/>
          <w:szCs w:val="20"/>
          <w:rtl/>
        </w:rPr>
        <w:t xml:space="preserve">. </w:t>
      </w:r>
    </w:p>
    <w:p w:rsidR="005366A8" w:rsidRPr="006917DD" w:rsidRDefault="005366A8" w:rsidP="005366A8">
      <w:pPr>
        <w:spacing w:after="120"/>
        <w:ind w:left="720"/>
        <w:rPr>
          <w:sz w:val="20"/>
          <w:szCs w:val="20"/>
          <w:rtl/>
        </w:rPr>
      </w:pPr>
      <w:r>
        <w:rPr>
          <w:rFonts w:hint="cs"/>
          <w:sz w:val="20"/>
          <w:szCs w:val="20"/>
          <w:rtl/>
        </w:rPr>
        <w:t xml:space="preserve">במילים אחרות, </w:t>
      </w:r>
      <w:r w:rsidRPr="006917DD">
        <w:rPr>
          <w:rFonts w:hint="cs"/>
          <w:sz w:val="20"/>
          <w:szCs w:val="20"/>
          <w:rtl/>
        </w:rPr>
        <w:t>שינוי של הוראה בחוק-יסוד יכול להיעשות בחוק-יסוד בלבד (ברוב רגיל, או ברוב מיוחס הקבוע בהוראות "שריון"</w:t>
      </w:r>
      <w:r>
        <w:rPr>
          <w:rFonts w:hint="cs"/>
          <w:sz w:val="20"/>
          <w:szCs w:val="20"/>
          <w:rtl/>
        </w:rPr>
        <w:t>/"כבילה-עצמית"</w:t>
      </w:r>
      <w:r w:rsidRPr="006917DD">
        <w:rPr>
          <w:rFonts w:hint="cs"/>
          <w:sz w:val="20"/>
          <w:szCs w:val="20"/>
          <w:rtl/>
        </w:rPr>
        <w:t xml:space="preserve"> שבחוקי היסוד</w:t>
      </w:r>
      <w:r>
        <w:rPr>
          <w:rFonts w:hint="cs"/>
          <w:sz w:val="20"/>
          <w:szCs w:val="20"/>
          <w:rtl/>
        </w:rPr>
        <w:t>, ככל שקבועות הוראות שכאלה שהן רלבנטיות לשינוי שמבקשים לעשותו</w:t>
      </w:r>
      <w:r w:rsidRPr="006917DD">
        <w:rPr>
          <w:rFonts w:hint="cs"/>
          <w:sz w:val="20"/>
          <w:szCs w:val="20"/>
          <w:rtl/>
        </w:rPr>
        <w:t>).</w:t>
      </w:r>
    </w:p>
    <w:p w:rsidR="005366A8" w:rsidRPr="006917DD" w:rsidRDefault="005366A8" w:rsidP="005366A8">
      <w:pPr>
        <w:spacing w:after="120"/>
        <w:ind w:left="314"/>
        <w:rPr>
          <w:sz w:val="20"/>
          <w:szCs w:val="20"/>
        </w:rPr>
      </w:pPr>
      <w:r w:rsidRPr="006917DD">
        <w:rPr>
          <w:rFonts w:hint="cs"/>
          <w:sz w:val="20"/>
          <w:szCs w:val="20"/>
          <w:rtl/>
        </w:rPr>
        <w:t xml:space="preserve">2) </w:t>
      </w:r>
      <w:r w:rsidRPr="006917DD">
        <w:rPr>
          <w:rFonts w:hint="cs"/>
          <w:b/>
          <w:bCs/>
          <w:sz w:val="20"/>
          <w:szCs w:val="20"/>
          <w:rtl/>
        </w:rPr>
        <w:t>החלת פסקת הגבלה "שיפוטית"</w:t>
      </w:r>
      <w:r w:rsidRPr="006917DD">
        <w:rPr>
          <w:rFonts w:hint="cs"/>
          <w:sz w:val="20"/>
          <w:szCs w:val="20"/>
          <w:rtl/>
        </w:rPr>
        <w:t>: כוחה של הכנסת לפגוע ב</w:t>
      </w:r>
      <w:r>
        <w:rPr>
          <w:rFonts w:hint="cs"/>
          <w:sz w:val="20"/>
          <w:szCs w:val="20"/>
          <w:rtl/>
        </w:rPr>
        <w:t>זכות ה</w:t>
      </w:r>
      <w:r w:rsidRPr="006917DD">
        <w:rPr>
          <w:rFonts w:hint="cs"/>
          <w:sz w:val="20"/>
          <w:szCs w:val="20"/>
          <w:rtl/>
        </w:rPr>
        <w:t>קבוע</w:t>
      </w:r>
      <w:r>
        <w:rPr>
          <w:rFonts w:hint="cs"/>
          <w:sz w:val="20"/>
          <w:szCs w:val="20"/>
          <w:rtl/>
        </w:rPr>
        <w:t>ה</w:t>
      </w:r>
      <w:r w:rsidRPr="006917DD">
        <w:rPr>
          <w:rFonts w:hint="cs"/>
          <w:sz w:val="20"/>
          <w:szCs w:val="20"/>
          <w:rtl/>
        </w:rPr>
        <w:t xml:space="preserve"> בחוק-יסוד </w:t>
      </w:r>
      <w:r>
        <w:rPr>
          <w:rFonts w:hint="cs"/>
          <w:sz w:val="20"/>
          <w:szCs w:val="20"/>
          <w:rtl/>
        </w:rPr>
        <w:t xml:space="preserve">שכזה </w:t>
      </w:r>
      <w:r w:rsidRPr="006917DD">
        <w:rPr>
          <w:rFonts w:hint="cs"/>
          <w:sz w:val="20"/>
          <w:szCs w:val="20"/>
          <w:rtl/>
        </w:rPr>
        <w:t>מוגבל</w:t>
      </w:r>
      <w:r>
        <w:rPr>
          <w:rFonts w:hint="cs"/>
          <w:sz w:val="20"/>
          <w:szCs w:val="20"/>
          <w:rtl/>
        </w:rPr>
        <w:t>ת</w:t>
      </w:r>
      <w:r w:rsidRPr="006917DD">
        <w:rPr>
          <w:rFonts w:hint="cs"/>
          <w:sz w:val="20"/>
          <w:szCs w:val="20"/>
          <w:rtl/>
        </w:rPr>
        <w:t xml:space="preserve"> מכוח פסקת הגבלה שכזו, כלומר רק אם הפגיעה היא "לתכלית ראויה" ו"במידה שאינה עולה על הנדרש". </w:t>
      </w:r>
    </w:p>
    <w:p w:rsidR="005366A8" w:rsidRDefault="005366A8" w:rsidP="005366A8">
      <w:pPr>
        <w:rPr>
          <w:rFonts w:ascii="Arial" w:hAnsi="Arial" w:cs="Arial"/>
          <w:sz w:val="20"/>
          <w:szCs w:val="20"/>
          <w:highlight w:val="yellow"/>
          <w:rtl/>
        </w:rPr>
      </w:pPr>
      <w:r w:rsidRPr="000F0CBE">
        <w:rPr>
          <w:rFonts w:ascii="Arial" w:hAnsi="Arial" w:cs="Arial" w:hint="cs"/>
          <w:sz w:val="20"/>
          <w:szCs w:val="20"/>
          <w:rtl/>
        </w:rPr>
        <w:t>=-=</w:t>
      </w:r>
    </w:p>
    <w:p w:rsidR="005366A8" w:rsidRDefault="005366A8" w:rsidP="005366A8">
      <w:pPr>
        <w:rPr>
          <w:rFonts w:ascii="Arial" w:hAnsi="Arial" w:cs="Arial"/>
          <w:sz w:val="20"/>
          <w:szCs w:val="20"/>
          <w:highlight w:val="yellow"/>
          <w:rtl/>
        </w:rPr>
      </w:pPr>
    </w:p>
    <w:p w:rsidR="005366A8" w:rsidRDefault="005366A8" w:rsidP="005366A8">
      <w:pPr>
        <w:rPr>
          <w:rFonts w:ascii="Arial" w:hAnsi="Arial" w:cs="Arial"/>
          <w:sz w:val="20"/>
          <w:szCs w:val="20"/>
          <w:highlight w:val="yellow"/>
          <w:rtl/>
        </w:rPr>
      </w:pPr>
      <w:r>
        <w:rPr>
          <w:rFonts w:ascii="Arial" w:hAnsi="Arial" w:cs="Arial" w:hint="cs"/>
          <w:sz w:val="20"/>
          <w:szCs w:val="20"/>
          <w:highlight w:val="yellow"/>
          <w:rtl/>
        </w:rPr>
        <w:t xml:space="preserve">בהתייחס לנקודה א'(1) לדבריו לעיל של פרופ' מדינה: "שמירת הדינים" </w:t>
      </w:r>
      <w:r>
        <w:rPr>
          <w:rFonts w:ascii="Arial" w:hAnsi="Arial" w:cs="Arial"/>
          <w:sz w:val="20"/>
          <w:szCs w:val="20"/>
          <w:highlight w:val="yellow"/>
          <w:rtl/>
        </w:rPr>
        <w:t>–</w:t>
      </w:r>
      <w:r>
        <w:rPr>
          <w:rFonts w:ascii="Arial" w:hAnsi="Arial" w:cs="Arial" w:hint="cs"/>
          <w:sz w:val="20"/>
          <w:szCs w:val="20"/>
          <w:highlight w:val="yellow"/>
          <w:rtl/>
        </w:rPr>
        <w:t xml:space="preserve"> פסקה מיוחדת המופיעה רק באחד מחוקי היסוד</w:t>
      </w:r>
    </w:p>
    <w:p w:rsidR="005366A8" w:rsidRDefault="005366A8" w:rsidP="005366A8">
      <w:pPr>
        <w:rPr>
          <w:rFonts w:ascii="Arial" w:hAnsi="Arial" w:cs="Arial"/>
          <w:sz w:val="20"/>
          <w:szCs w:val="20"/>
          <w:highlight w:val="yellow"/>
          <w:rtl/>
        </w:rPr>
      </w:pPr>
    </w:p>
    <w:p w:rsidR="005366A8" w:rsidRPr="00071249" w:rsidRDefault="005366A8" w:rsidP="005366A8">
      <w:pPr>
        <w:pStyle w:val="Heading7"/>
        <w:spacing w:after="120" w:line="240" w:lineRule="auto"/>
        <w:rPr>
          <w:rFonts w:cs="Arial"/>
          <w:sz w:val="20"/>
          <w:szCs w:val="20"/>
          <w:rtl/>
        </w:rPr>
      </w:pPr>
      <w:r w:rsidRPr="00B93EE3">
        <w:rPr>
          <w:rFonts w:cs="Arial"/>
          <w:sz w:val="20"/>
          <w:szCs w:val="20"/>
          <w:highlight w:val="yellow"/>
          <w:rtl/>
        </w:rPr>
        <w:t>פסקת "שמירת הדינים"</w:t>
      </w:r>
      <w:r w:rsidRPr="00B93EE3">
        <w:rPr>
          <w:rFonts w:cs="Arial" w:hint="cs"/>
          <w:sz w:val="20"/>
          <w:szCs w:val="20"/>
          <w:highlight w:val="yellow"/>
          <w:rtl/>
        </w:rPr>
        <w:t>: סע' 10 ל</w:t>
      </w:r>
      <w:r w:rsidRPr="00B93EE3">
        <w:rPr>
          <w:rFonts w:cs="Arial"/>
          <w:sz w:val="20"/>
          <w:szCs w:val="20"/>
          <w:highlight w:val="yellow"/>
          <w:rtl/>
        </w:rPr>
        <w:t>חוק יסוד: כבוד האדם וחירותו</w:t>
      </w:r>
    </w:p>
    <w:p w:rsidR="005366A8" w:rsidRPr="00B93EE3" w:rsidRDefault="005366A8" w:rsidP="005366A8">
      <w:pPr>
        <w:spacing w:after="120"/>
        <w:ind w:left="720"/>
        <w:rPr>
          <w:rFonts w:cs="David"/>
          <w:b/>
          <w:bCs/>
          <w:sz w:val="20"/>
          <w:szCs w:val="20"/>
          <w:rtl/>
        </w:rPr>
      </w:pPr>
      <w:r w:rsidRPr="00B93EE3">
        <w:rPr>
          <w:rFonts w:cs="David" w:hint="cs"/>
          <w:b/>
          <w:bCs/>
          <w:sz w:val="20"/>
          <w:szCs w:val="20"/>
          <w:rtl/>
        </w:rPr>
        <w:t>"</w:t>
      </w:r>
      <w:r w:rsidRPr="00B93EE3">
        <w:rPr>
          <w:rFonts w:cs="David"/>
          <w:b/>
          <w:bCs/>
          <w:sz w:val="20"/>
          <w:szCs w:val="20"/>
          <w:rtl/>
        </w:rPr>
        <w:t>אין בחוק-יסוד זה כדי לפגוע בתקפו של דין שהיה קיים ערב תחילתו של חוק-היסוד</w:t>
      </w:r>
      <w:r w:rsidRPr="00B93EE3">
        <w:rPr>
          <w:rFonts w:cs="David" w:hint="cs"/>
          <w:b/>
          <w:bCs/>
          <w:sz w:val="20"/>
          <w:szCs w:val="20"/>
          <w:rtl/>
        </w:rPr>
        <w:t>"</w:t>
      </w:r>
      <w:r w:rsidRPr="00B93EE3">
        <w:rPr>
          <w:rFonts w:cs="David"/>
          <w:b/>
          <w:bCs/>
          <w:sz w:val="20"/>
          <w:szCs w:val="20"/>
          <w:rtl/>
        </w:rPr>
        <w:t>.</w:t>
      </w:r>
    </w:p>
    <w:p w:rsidR="005366A8" w:rsidRPr="00071249" w:rsidRDefault="005366A8" w:rsidP="005366A8">
      <w:pPr>
        <w:pStyle w:val="Heading1"/>
        <w:spacing w:after="120"/>
        <w:rPr>
          <w:b w:val="0"/>
          <w:bCs w:val="0"/>
          <w:sz w:val="20"/>
          <w:szCs w:val="20"/>
          <w:rtl/>
        </w:rPr>
      </w:pPr>
      <w:r w:rsidRPr="00071249">
        <w:rPr>
          <w:b w:val="0"/>
          <w:bCs w:val="0"/>
          <w:sz w:val="20"/>
          <w:szCs w:val="20"/>
          <w:rtl/>
        </w:rPr>
        <w:t xml:space="preserve">בש"פ 537/95 </w:t>
      </w:r>
      <w:r w:rsidRPr="00071249">
        <w:rPr>
          <w:sz w:val="20"/>
          <w:szCs w:val="20"/>
          <w:rtl/>
        </w:rPr>
        <w:t>גנימאת נ' מדינת ישראל</w:t>
      </w:r>
      <w:r w:rsidRPr="00071249">
        <w:rPr>
          <w:b w:val="0"/>
          <w:bCs w:val="0"/>
          <w:sz w:val="20"/>
          <w:szCs w:val="20"/>
          <w:rtl/>
        </w:rPr>
        <w:t>, פ"ד מט(3) 355</w:t>
      </w:r>
      <w:r>
        <w:rPr>
          <w:rFonts w:hint="cs"/>
          <w:b w:val="0"/>
          <w:bCs w:val="0"/>
          <w:sz w:val="20"/>
          <w:szCs w:val="20"/>
          <w:rtl/>
        </w:rPr>
        <w:t xml:space="preserve">; </w:t>
      </w:r>
      <w:r w:rsidRPr="00071249">
        <w:rPr>
          <w:b w:val="0"/>
          <w:bCs w:val="0"/>
          <w:sz w:val="20"/>
          <w:szCs w:val="20"/>
          <w:rtl/>
        </w:rPr>
        <w:t xml:space="preserve">דנ"פ 2316/95 </w:t>
      </w:r>
      <w:r w:rsidRPr="00071249">
        <w:rPr>
          <w:sz w:val="20"/>
          <w:szCs w:val="20"/>
          <w:rtl/>
        </w:rPr>
        <w:t>גנימאת נ' מדינת ישראל</w:t>
      </w:r>
      <w:r w:rsidRPr="00071249">
        <w:rPr>
          <w:b w:val="0"/>
          <w:bCs w:val="0"/>
          <w:sz w:val="20"/>
          <w:szCs w:val="20"/>
          <w:rtl/>
        </w:rPr>
        <w:t>, פ"ד מט(4) 589</w:t>
      </w:r>
    </w:p>
    <w:p w:rsidR="005366A8" w:rsidRDefault="005366A8" w:rsidP="005366A8">
      <w:pPr>
        <w:spacing w:after="120"/>
        <w:rPr>
          <w:sz w:val="20"/>
          <w:szCs w:val="20"/>
          <w:rtl/>
        </w:rPr>
      </w:pPr>
      <w:r w:rsidRPr="00071249">
        <w:rPr>
          <w:sz w:val="20"/>
          <w:szCs w:val="20"/>
          <w:rtl/>
        </w:rPr>
        <w:t xml:space="preserve">תוקף הדין נשמר, </w:t>
      </w:r>
      <w:r w:rsidRPr="00071249">
        <w:rPr>
          <w:b/>
          <w:bCs/>
          <w:sz w:val="20"/>
          <w:szCs w:val="20"/>
          <w:rtl/>
        </w:rPr>
        <w:t>אך עד כמה עשויה להשתנות פרשנותו</w:t>
      </w:r>
      <w:r w:rsidRPr="00071249">
        <w:rPr>
          <w:sz w:val="20"/>
          <w:szCs w:val="20"/>
          <w:rtl/>
        </w:rPr>
        <w:t xml:space="preserve">?  </w:t>
      </w:r>
    </w:p>
    <w:p w:rsidR="005366A8" w:rsidRDefault="005366A8" w:rsidP="005366A8">
      <w:pPr>
        <w:rPr>
          <w:sz w:val="20"/>
          <w:szCs w:val="20"/>
          <w:rtl/>
        </w:rPr>
      </w:pPr>
      <w:r>
        <w:rPr>
          <w:rFonts w:hint="cs"/>
          <w:sz w:val="20"/>
          <w:szCs w:val="20"/>
          <w:rtl/>
        </w:rPr>
        <w:t xml:space="preserve">פרשת </w:t>
      </w:r>
      <w:r w:rsidRPr="005D28CE">
        <w:rPr>
          <w:rFonts w:hint="cs"/>
          <w:b/>
          <w:bCs/>
          <w:sz w:val="20"/>
          <w:szCs w:val="20"/>
          <w:rtl/>
        </w:rPr>
        <w:t>גנימאת</w:t>
      </w:r>
      <w:r>
        <w:rPr>
          <w:rFonts w:hint="cs"/>
          <w:sz w:val="20"/>
          <w:szCs w:val="20"/>
          <w:rtl/>
        </w:rPr>
        <w:t>:</w:t>
      </w:r>
    </w:p>
    <w:p w:rsidR="005366A8" w:rsidRPr="005A2C51" w:rsidRDefault="005366A8" w:rsidP="005366A8">
      <w:pPr>
        <w:ind w:left="720"/>
        <w:rPr>
          <w:rFonts w:cs="David"/>
          <w:sz w:val="20"/>
          <w:szCs w:val="20"/>
          <w:rtl/>
        </w:rPr>
      </w:pPr>
      <w:r w:rsidRPr="005A2C51">
        <w:rPr>
          <w:rFonts w:cs="David"/>
          <w:sz w:val="20"/>
          <w:szCs w:val="20"/>
          <w:rtl/>
        </w:rPr>
        <w:t xml:space="preserve">סעיף </w:t>
      </w:r>
      <w:r w:rsidRPr="005A2C51">
        <w:rPr>
          <w:rFonts w:cs="David"/>
          <w:sz w:val="20"/>
          <w:szCs w:val="20"/>
        </w:rPr>
        <w:t>21</w:t>
      </w:r>
      <w:r w:rsidRPr="005A2C51">
        <w:rPr>
          <w:rFonts w:cs="David"/>
          <w:sz w:val="20"/>
          <w:szCs w:val="20"/>
          <w:rtl/>
        </w:rPr>
        <w:t>א(א) ל</w:t>
      </w:r>
      <w:hyperlink r:id="rId127" w:history="1">
        <w:r w:rsidRPr="005A2C51">
          <w:rPr>
            <w:rStyle w:val="Hyperlink"/>
            <w:rFonts w:cs="David"/>
            <w:sz w:val="20"/>
            <w:szCs w:val="20"/>
            <w:rtl/>
          </w:rPr>
          <w:t>חוק סדר הדין הפלילי [נוסח משולב]</w:t>
        </w:r>
      </w:hyperlink>
      <w:r w:rsidRPr="005A2C51">
        <w:rPr>
          <w:rFonts w:cs="David"/>
          <w:sz w:val="20"/>
          <w:szCs w:val="20"/>
          <w:rtl/>
        </w:rPr>
        <w:t>, שהוסף לחוק מכוח חוק</w:t>
      </w:r>
      <w:r w:rsidRPr="005A2C51">
        <w:rPr>
          <w:rFonts w:cs="David"/>
          <w:sz w:val="20"/>
          <w:szCs w:val="20"/>
        </w:rPr>
        <w:t xml:space="preserve"> </w:t>
      </w:r>
      <w:r w:rsidRPr="005A2C51">
        <w:rPr>
          <w:rFonts w:cs="David"/>
          <w:sz w:val="20"/>
          <w:szCs w:val="20"/>
          <w:rtl/>
        </w:rPr>
        <w:t xml:space="preserve">סדר הדין הפלילי (תיקון מס' 9 [משנת 1988]), מונה ומגדיר שלוש עילות אפשריות למעצרו של נאשם עד תום ההליכים נגדו. ההבחנה בין שלוש העילות נסמכת על ראציונאל שונה להצדקת קיומה של עילת מעצר. </w:t>
      </w:r>
    </w:p>
    <w:p w:rsidR="005366A8" w:rsidRPr="005A2C51" w:rsidRDefault="005366A8" w:rsidP="005366A8">
      <w:pPr>
        <w:ind w:left="720"/>
        <w:rPr>
          <w:rFonts w:cs="David"/>
          <w:sz w:val="20"/>
          <w:szCs w:val="20"/>
          <w:rtl/>
        </w:rPr>
      </w:pPr>
      <w:r w:rsidRPr="005A2C51">
        <w:rPr>
          <w:rFonts w:cs="David"/>
          <w:sz w:val="20"/>
          <w:szCs w:val="20"/>
          <w:rtl/>
        </w:rPr>
        <w:t xml:space="preserve">סעיף-קטן (א)(1) עניינו במקרים שבהם הצידוק למעצר נובע מקיום חששות לסיכונים הכרוכים בנאשם: החשש שישבש את הליכי המשפט, החשש שיימלט מן הדין והחשש שיסכן את שלומם וביטחונם של אחרים או את ביטחון המדינה. </w:t>
      </w:r>
    </w:p>
    <w:p w:rsidR="005366A8" w:rsidRPr="005A2C51" w:rsidRDefault="005366A8" w:rsidP="005366A8">
      <w:pPr>
        <w:ind w:left="720"/>
        <w:rPr>
          <w:rFonts w:cs="David"/>
          <w:sz w:val="20"/>
          <w:szCs w:val="20"/>
          <w:rtl/>
        </w:rPr>
      </w:pPr>
      <w:r w:rsidRPr="005A2C51">
        <w:rPr>
          <w:rFonts w:cs="David"/>
          <w:sz w:val="20"/>
          <w:szCs w:val="20"/>
          <w:rtl/>
        </w:rPr>
        <w:t xml:space="preserve">סעיף-קטן (א)(2) מעמיד צידוק למעצר במקרים שבהם העבירה המיוחסת לנאשם נמנית עם אחד מסוגי עבירות המתאפיינים בחומרה מיוחדת; </w:t>
      </w:r>
    </w:p>
    <w:p w:rsidR="005366A8" w:rsidRPr="005A2C51" w:rsidRDefault="005366A8" w:rsidP="005366A8">
      <w:pPr>
        <w:spacing w:after="120"/>
        <w:ind w:left="720"/>
        <w:rPr>
          <w:rFonts w:cs="David"/>
          <w:sz w:val="20"/>
          <w:szCs w:val="20"/>
          <w:rtl/>
        </w:rPr>
      </w:pPr>
      <w:r w:rsidRPr="005A2C51">
        <w:rPr>
          <w:rFonts w:cs="David"/>
          <w:sz w:val="20"/>
          <w:szCs w:val="20"/>
          <w:rtl/>
        </w:rPr>
        <w:t>וסעיף-קטן (א)(3) מעמיד עילה למעצר במקרים מיוחדים שבהם לא הומצאה ערובה שעליה הורה בית המשפט, או הופר תנאי מתנאיה של ערובה או נתקיימה עילה מוגדרת אחרת לביטול שחרורו בערובה של הנאשם.</w:t>
      </w:r>
    </w:p>
    <w:p w:rsidR="005366A8" w:rsidRDefault="005366A8" w:rsidP="005366A8">
      <w:pPr>
        <w:rPr>
          <w:sz w:val="20"/>
          <w:szCs w:val="20"/>
          <w:rtl/>
        </w:rPr>
      </w:pPr>
      <w:r>
        <w:rPr>
          <w:rFonts w:hint="cs"/>
          <w:sz w:val="20"/>
          <w:szCs w:val="20"/>
          <w:rtl/>
        </w:rPr>
        <w:t xml:space="preserve">התלבטות בית המשפט: מהו </w:t>
      </w:r>
      <w:r w:rsidRPr="00071249">
        <w:rPr>
          <w:sz w:val="20"/>
          <w:szCs w:val="20"/>
          <w:rtl/>
        </w:rPr>
        <w:t>הפירוש שיש לתת בהווה ל</w:t>
      </w:r>
      <w:r>
        <w:rPr>
          <w:rFonts w:hint="cs"/>
          <w:sz w:val="20"/>
          <w:szCs w:val="20"/>
          <w:rtl/>
        </w:rPr>
        <w:t xml:space="preserve">הוראה הנזכרת, שהיא דין </w:t>
      </w:r>
      <w:r w:rsidRPr="00AC4A45">
        <w:rPr>
          <w:rFonts w:hint="cs"/>
          <w:sz w:val="20"/>
          <w:szCs w:val="20"/>
          <w:u w:val="single"/>
          <w:rtl/>
        </w:rPr>
        <w:t>הקודם</w:t>
      </w:r>
      <w:r w:rsidRPr="00071249">
        <w:rPr>
          <w:sz w:val="20"/>
          <w:szCs w:val="20"/>
          <w:rtl/>
        </w:rPr>
        <w:t xml:space="preserve"> לחוק</w:t>
      </w:r>
      <w:r>
        <w:rPr>
          <w:sz w:val="20"/>
          <w:szCs w:val="20"/>
          <w:rtl/>
        </w:rPr>
        <w:t xml:space="preserve"> </w:t>
      </w:r>
      <w:r w:rsidRPr="00071249">
        <w:rPr>
          <w:sz w:val="20"/>
          <w:szCs w:val="20"/>
          <w:rtl/>
        </w:rPr>
        <w:t>יסוד</w:t>
      </w:r>
      <w:r>
        <w:rPr>
          <w:rFonts w:hint="cs"/>
          <w:sz w:val="20"/>
          <w:szCs w:val="20"/>
          <w:rtl/>
        </w:rPr>
        <w:t>: כבוד האדם וחירותו?</w:t>
      </w:r>
      <w:r w:rsidRPr="00071249">
        <w:rPr>
          <w:sz w:val="20"/>
          <w:szCs w:val="20"/>
          <w:rtl/>
        </w:rPr>
        <w:t xml:space="preserve"> </w:t>
      </w:r>
      <w:r>
        <w:rPr>
          <w:rFonts w:hint="cs"/>
          <w:sz w:val="20"/>
          <w:szCs w:val="20"/>
          <w:rtl/>
        </w:rPr>
        <w:t xml:space="preserve"> </w:t>
      </w:r>
      <w:r w:rsidRPr="00071249">
        <w:rPr>
          <w:sz w:val="20"/>
          <w:szCs w:val="20"/>
          <w:rtl/>
        </w:rPr>
        <w:t xml:space="preserve">קונקרטית: </w:t>
      </w:r>
      <w:r w:rsidRPr="005D28CE">
        <w:rPr>
          <w:b/>
          <w:bCs/>
          <w:sz w:val="20"/>
          <w:szCs w:val="20"/>
          <w:rtl/>
        </w:rPr>
        <w:t>האם עבירה שהיא "מכת מדינה" (גניבת מכוניות) היא עילה למעצר עד תום ההליכים</w:t>
      </w:r>
      <w:r>
        <w:rPr>
          <w:rFonts w:hint="cs"/>
          <w:sz w:val="20"/>
          <w:szCs w:val="20"/>
          <w:rtl/>
        </w:rPr>
        <w:t>?</w:t>
      </w:r>
      <w:r w:rsidRPr="00071249">
        <w:rPr>
          <w:sz w:val="20"/>
          <w:szCs w:val="20"/>
          <w:rtl/>
        </w:rPr>
        <w:t xml:space="preserve"> </w:t>
      </w:r>
      <w:r w:rsidRPr="00746FF4">
        <w:rPr>
          <w:rFonts w:hint="cs"/>
          <w:b/>
          <w:bCs/>
          <w:sz w:val="20"/>
          <w:szCs w:val="20"/>
          <w:rtl/>
        </w:rPr>
        <w:t xml:space="preserve">(כפי שהיה מכוח הפרשנות שנלוותה </w:t>
      </w:r>
      <w:r w:rsidRPr="00993443">
        <w:rPr>
          <w:rFonts w:hint="cs"/>
          <w:b/>
          <w:bCs/>
          <w:i/>
          <w:iCs/>
          <w:sz w:val="20"/>
          <w:szCs w:val="20"/>
          <w:rtl/>
        </w:rPr>
        <w:t>בעבר</w:t>
      </w:r>
      <w:r w:rsidRPr="00746FF4">
        <w:rPr>
          <w:rFonts w:hint="cs"/>
          <w:b/>
          <w:bCs/>
          <w:sz w:val="20"/>
          <w:szCs w:val="20"/>
          <w:rtl/>
        </w:rPr>
        <w:t xml:space="preserve"> לסעיף קטן (א)(1))</w:t>
      </w:r>
      <w:r>
        <w:rPr>
          <w:rFonts w:hint="cs"/>
          <w:sz w:val="20"/>
          <w:szCs w:val="20"/>
          <w:rtl/>
        </w:rPr>
        <w:t xml:space="preserve">.  </w:t>
      </w:r>
    </w:p>
    <w:p w:rsidR="005366A8" w:rsidRDefault="005366A8" w:rsidP="005366A8">
      <w:pPr>
        <w:rPr>
          <w:sz w:val="20"/>
          <w:szCs w:val="20"/>
          <w:rtl/>
        </w:rPr>
      </w:pPr>
      <w:r w:rsidRPr="00071249">
        <w:rPr>
          <w:sz w:val="20"/>
          <w:szCs w:val="20"/>
          <w:rtl/>
        </w:rPr>
        <w:t>בית המשפט עונה על השאלה הקונקרטית בשלילה</w:t>
      </w:r>
      <w:r>
        <w:rPr>
          <w:rFonts w:hint="cs"/>
          <w:sz w:val="20"/>
          <w:szCs w:val="20"/>
          <w:rtl/>
        </w:rPr>
        <w:t xml:space="preserve">: לא, היותה של עבירה מסוימת "מכת מדינה" אינה יכולה להוות בסיס כשלעצמה למעצר עד תום ההליכים. </w:t>
      </w:r>
    </w:p>
    <w:p w:rsidR="005366A8" w:rsidRPr="00071249" w:rsidRDefault="005366A8" w:rsidP="005366A8">
      <w:pPr>
        <w:rPr>
          <w:sz w:val="20"/>
          <w:szCs w:val="20"/>
          <w:rtl/>
        </w:rPr>
      </w:pPr>
      <w:r w:rsidRPr="00071249">
        <w:rPr>
          <w:sz w:val="20"/>
          <w:szCs w:val="20"/>
          <w:rtl/>
        </w:rPr>
        <w:t xml:space="preserve">במהלך הדיון </w:t>
      </w:r>
      <w:r>
        <w:rPr>
          <w:rFonts w:hint="cs"/>
          <w:sz w:val="20"/>
          <w:szCs w:val="20"/>
          <w:rtl/>
        </w:rPr>
        <w:t>התגלעה</w:t>
      </w:r>
      <w:r w:rsidRPr="00071249">
        <w:rPr>
          <w:sz w:val="20"/>
          <w:szCs w:val="20"/>
          <w:rtl/>
        </w:rPr>
        <w:t xml:space="preserve"> מחלוקת ביחס למשמעותה של פסקת "שמירת הדינים".</w:t>
      </w:r>
    </w:p>
    <w:p w:rsidR="005366A8" w:rsidRDefault="005366A8" w:rsidP="005366A8">
      <w:pPr>
        <w:spacing w:after="120"/>
        <w:rPr>
          <w:sz w:val="20"/>
          <w:szCs w:val="20"/>
          <w:rtl/>
        </w:rPr>
      </w:pPr>
      <w:r w:rsidRPr="00AC4A45">
        <w:rPr>
          <w:rFonts w:hint="cs"/>
          <w:b/>
          <w:bCs/>
          <w:sz w:val="20"/>
          <w:szCs w:val="20"/>
          <w:rtl/>
        </w:rPr>
        <w:t>העמדה שזכתה להיות זו המקובלת בבית המשפט העליון קבעה,</w:t>
      </w:r>
      <w:r w:rsidRPr="00AC4A45">
        <w:rPr>
          <w:b/>
          <w:bCs/>
          <w:sz w:val="20"/>
          <w:szCs w:val="20"/>
          <w:rtl/>
        </w:rPr>
        <w:t xml:space="preserve"> כי </w:t>
      </w:r>
      <w:r w:rsidRPr="00AC4A45">
        <w:rPr>
          <w:rFonts w:hint="cs"/>
          <w:b/>
          <w:bCs/>
          <w:sz w:val="20"/>
          <w:szCs w:val="20"/>
          <w:rtl/>
        </w:rPr>
        <w:t>דברים השתנו ובעטיים גם צריכה להשתנות פרשנות העבר לאותה הוראה בחוק סדר הדין הפלילי</w:t>
      </w:r>
      <w:r>
        <w:rPr>
          <w:rFonts w:hint="cs"/>
          <w:sz w:val="20"/>
          <w:szCs w:val="20"/>
          <w:rtl/>
        </w:rPr>
        <w:t xml:space="preserve">. ביתר הרחבה: </w:t>
      </w:r>
      <w:r w:rsidRPr="00071249">
        <w:rPr>
          <w:sz w:val="20"/>
          <w:szCs w:val="20"/>
          <w:rtl/>
        </w:rPr>
        <w:t xml:space="preserve">בחוקי היסוד החדשים גלום שינוי מסוים בתכלית האובייקטיבית המלווה את דיני המעצרים (שינוי "במטרייה הנורמטיבית").  חוקי היסוד החדשים משמעותם אינה רק במתן הגנה חוקתית לזכויות האדם, או לזכויות אדם מסוימות, אלא מתן יתר משקל לזכויות הללו לעומת ערכים ואינטרסים מתנגשים.  </w:t>
      </w:r>
      <w:r>
        <w:rPr>
          <w:rFonts w:hint="cs"/>
          <w:sz w:val="20"/>
          <w:szCs w:val="20"/>
          <w:rtl/>
        </w:rPr>
        <w:t xml:space="preserve">יש כאן </w:t>
      </w:r>
      <w:r w:rsidRPr="00071249">
        <w:rPr>
          <w:sz w:val="20"/>
          <w:szCs w:val="20"/>
          <w:rtl/>
        </w:rPr>
        <w:t>שינוי בקדימויות</w:t>
      </w:r>
      <w:r>
        <w:rPr>
          <w:rFonts w:hint="cs"/>
          <w:sz w:val="20"/>
          <w:szCs w:val="20"/>
          <w:rtl/>
        </w:rPr>
        <w:t>, ומכאן גם ה</w:t>
      </w:r>
      <w:r w:rsidRPr="00071249">
        <w:rPr>
          <w:sz w:val="20"/>
          <w:szCs w:val="20"/>
          <w:rtl/>
        </w:rPr>
        <w:t>שינוי בנקודת האיזון שהופיעה ב</w:t>
      </w:r>
      <w:r>
        <w:rPr>
          <w:rFonts w:hint="cs"/>
          <w:sz w:val="20"/>
          <w:szCs w:val="20"/>
          <w:rtl/>
        </w:rPr>
        <w:t>פרשנות להוראת הדין שנבחנה בפסק הדין</w:t>
      </w:r>
      <w:r w:rsidRPr="00071249">
        <w:rPr>
          <w:sz w:val="20"/>
          <w:szCs w:val="20"/>
          <w:rtl/>
        </w:rPr>
        <w:t>.</w:t>
      </w:r>
      <w:r>
        <w:rPr>
          <w:rFonts w:hint="cs"/>
          <w:sz w:val="20"/>
          <w:szCs w:val="20"/>
          <w:rtl/>
        </w:rPr>
        <w:t xml:space="preserve">  </w:t>
      </w:r>
    </w:p>
    <w:p w:rsidR="005366A8" w:rsidRPr="00071249" w:rsidRDefault="005366A8" w:rsidP="005366A8">
      <w:pPr>
        <w:spacing w:after="120"/>
        <w:rPr>
          <w:rFonts w:ascii="Arial" w:hAnsi="Arial" w:cs="Arial"/>
          <w:sz w:val="20"/>
          <w:szCs w:val="20"/>
          <w:highlight w:val="yellow"/>
          <w:rtl/>
        </w:rPr>
      </w:pPr>
      <w:r w:rsidRPr="00B93EE3">
        <w:rPr>
          <w:rFonts w:hint="cs"/>
          <w:sz w:val="20"/>
          <w:szCs w:val="20"/>
          <w:highlight w:val="yellow"/>
          <w:rtl/>
        </w:rPr>
        <w:t>בקצרה, החקיקה הקודמת תקפה</w:t>
      </w:r>
      <w:r>
        <w:rPr>
          <w:rFonts w:hint="cs"/>
          <w:sz w:val="20"/>
          <w:szCs w:val="20"/>
          <w:highlight w:val="yellow"/>
          <w:rtl/>
        </w:rPr>
        <w:t xml:space="preserve"> (היא 'חסינה' באשר לתקיפת תוקפה, כלומר </w:t>
      </w:r>
      <w:r w:rsidRPr="00B93EE3">
        <w:rPr>
          <w:rFonts w:hint="cs"/>
          <w:sz w:val="20"/>
          <w:szCs w:val="20"/>
          <w:highlight w:val="yellow"/>
          <w:rtl/>
        </w:rPr>
        <w:t xml:space="preserve">אינה כפופה </w:t>
      </w:r>
      <w:r w:rsidRPr="001209DC">
        <w:rPr>
          <w:rFonts w:hint="cs"/>
          <w:b/>
          <w:bCs/>
          <w:sz w:val="20"/>
          <w:szCs w:val="20"/>
          <w:highlight w:val="yellow"/>
          <w:rtl/>
        </w:rPr>
        <w:t>לתקיפת עצם תוקפה</w:t>
      </w:r>
      <w:r w:rsidRPr="00B93EE3">
        <w:rPr>
          <w:rFonts w:hint="cs"/>
          <w:sz w:val="20"/>
          <w:szCs w:val="20"/>
          <w:highlight w:val="yellow"/>
          <w:rtl/>
        </w:rPr>
        <w:t xml:space="preserve"> מכוח פסקת ההגבלה בח"י כבוד האדם וחירותו</w:t>
      </w:r>
      <w:r>
        <w:rPr>
          <w:rFonts w:hint="cs"/>
          <w:sz w:val="20"/>
          <w:szCs w:val="20"/>
          <w:highlight w:val="yellow"/>
          <w:rtl/>
        </w:rPr>
        <w:t>),</w:t>
      </w:r>
      <w:r w:rsidRPr="00B93EE3">
        <w:rPr>
          <w:rFonts w:hint="cs"/>
          <w:sz w:val="20"/>
          <w:szCs w:val="20"/>
          <w:highlight w:val="yellow"/>
          <w:rtl/>
        </w:rPr>
        <w:t xml:space="preserve"> ואולם פרשנותה הקודמת עשויה להשתנות.</w:t>
      </w:r>
    </w:p>
    <w:p w:rsidR="005366A8" w:rsidRDefault="005366A8" w:rsidP="005366A8">
      <w:pPr>
        <w:rPr>
          <w:rFonts w:ascii="Arial" w:hAnsi="Arial" w:cs="Arial"/>
          <w:b/>
          <w:bCs/>
          <w:sz w:val="20"/>
          <w:szCs w:val="20"/>
          <w:rtl/>
        </w:rPr>
      </w:pPr>
    </w:p>
    <w:p w:rsidR="005366A8" w:rsidRDefault="005366A8" w:rsidP="005366A8">
      <w:pPr>
        <w:pStyle w:val="T-body"/>
        <w:spacing w:after="60" w:line="240" w:lineRule="auto"/>
        <w:jc w:val="left"/>
        <w:rPr>
          <w:b/>
          <w:bCs/>
          <w:rtl/>
        </w:rPr>
      </w:pPr>
      <w:r>
        <w:rPr>
          <w:rFonts w:hint="cs"/>
          <w:b/>
          <w:bCs/>
          <w:rtl/>
        </w:rPr>
        <w:t>=-=</w:t>
      </w:r>
    </w:p>
    <w:p w:rsidR="005366A8" w:rsidRDefault="005366A8" w:rsidP="005366A8">
      <w:pPr>
        <w:pStyle w:val="T-body"/>
        <w:spacing w:after="60" w:line="240" w:lineRule="auto"/>
        <w:jc w:val="left"/>
        <w:rPr>
          <w:b/>
          <w:bCs/>
          <w:rtl/>
        </w:rPr>
      </w:pPr>
      <w:r>
        <w:rPr>
          <w:rFonts w:hint="cs"/>
          <w:b/>
          <w:bCs/>
          <w:rtl/>
        </w:rPr>
        <w:t xml:space="preserve">פס"ד </w:t>
      </w:r>
      <w:r w:rsidRPr="00993443">
        <w:rPr>
          <w:rFonts w:hint="cs"/>
          <w:b/>
          <w:bCs/>
          <w:i/>
          <w:iCs/>
          <w:u w:val="single"/>
          <w:rtl/>
        </w:rPr>
        <w:t>בר-און</w:t>
      </w:r>
      <w:r>
        <w:rPr>
          <w:rFonts w:hint="cs"/>
          <w:b/>
          <w:bCs/>
          <w:rtl/>
        </w:rPr>
        <w:t>, שתי נקודות רבות-חשיבות, שעניינן האפשרות ל"שימוש לרעה" בסמכות המכוננת:</w:t>
      </w:r>
    </w:p>
    <w:p w:rsidR="005366A8" w:rsidRDefault="005366A8" w:rsidP="005366A8">
      <w:pPr>
        <w:pStyle w:val="T-body"/>
        <w:spacing w:after="60" w:line="240" w:lineRule="auto"/>
        <w:ind w:left="720"/>
        <w:jc w:val="left"/>
        <w:rPr>
          <w:b/>
          <w:bCs/>
          <w:rtl/>
        </w:rPr>
      </w:pPr>
      <w:r>
        <w:rPr>
          <w:rFonts w:hint="cs"/>
          <w:b/>
          <w:bCs/>
          <w:rtl/>
        </w:rPr>
        <w:t>זיהוי הנורמות החוקתיות</w:t>
      </w:r>
    </w:p>
    <w:p w:rsidR="005366A8" w:rsidRDefault="005366A8" w:rsidP="005366A8">
      <w:pPr>
        <w:pStyle w:val="T-body"/>
        <w:spacing w:after="60" w:line="240" w:lineRule="auto"/>
        <w:ind w:left="720"/>
        <w:jc w:val="left"/>
        <w:rPr>
          <w:b/>
          <w:bCs/>
          <w:rtl/>
        </w:rPr>
      </w:pPr>
      <w:r>
        <w:rPr>
          <w:rFonts w:hint="cs"/>
          <w:b/>
          <w:bCs/>
          <w:rtl/>
        </w:rPr>
        <w:t>היש סמכות לביקורת שיפוטית מטא-טקסטואלית?</w:t>
      </w:r>
    </w:p>
    <w:p w:rsidR="005366A8" w:rsidRPr="00544ACF" w:rsidRDefault="005366A8" w:rsidP="005366A8">
      <w:pPr>
        <w:pStyle w:val="T-body"/>
        <w:spacing w:line="240" w:lineRule="auto"/>
        <w:ind w:left="720"/>
        <w:jc w:val="left"/>
        <w:rPr>
          <w:b/>
          <w:bCs/>
          <w:rtl/>
        </w:rPr>
      </w:pPr>
    </w:p>
    <w:p w:rsidR="005366A8" w:rsidRPr="003A47CF" w:rsidRDefault="005366A8" w:rsidP="005366A8">
      <w:pPr>
        <w:spacing w:after="120"/>
        <w:jc w:val="center"/>
        <w:rPr>
          <w:rFonts w:ascii="Arial" w:hAnsi="Arial" w:cs="Guttman-Soncino"/>
          <w:b/>
          <w:bCs/>
          <w:sz w:val="28"/>
          <w:szCs w:val="28"/>
          <w:rtl/>
        </w:rPr>
      </w:pPr>
      <w:r w:rsidRPr="003A47CF">
        <w:rPr>
          <w:rFonts w:ascii="Arial" w:hAnsi="Arial" w:cs="Guttman-Soncino"/>
          <w:b/>
          <w:bCs/>
          <w:sz w:val="28"/>
          <w:szCs w:val="28"/>
          <w:highlight w:val="yellow"/>
          <w:rtl/>
        </w:rPr>
        <w:t xml:space="preserve">זיהוי הנורמות החוקתיות </w:t>
      </w:r>
      <w:r w:rsidRPr="003A47CF">
        <w:rPr>
          <w:rFonts w:ascii="Arial" w:hAnsi="Arial" w:cs="Guttman-Soncino"/>
          <w:b/>
          <w:bCs/>
          <w:sz w:val="28"/>
          <w:szCs w:val="28"/>
          <w:highlight w:val="yellow"/>
        </w:rPr>
        <w:t>–</w:t>
      </w:r>
      <w:r w:rsidRPr="003A47CF">
        <w:rPr>
          <w:rFonts w:ascii="Arial" w:hAnsi="Arial" w:cs="Guttman-Soncino"/>
          <w:b/>
          <w:bCs/>
          <w:sz w:val="28"/>
          <w:szCs w:val="28"/>
          <w:highlight w:val="yellow"/>
          <w:rtl/>
        </w:rPr>
        <w:t xml:space="preserve"> זיהוי </w:t>
      </w:r>
      <w:r w:rsidRPr="003A47CF">
        <w:rPr>
          <w:rFonts w:ascii="Arial" w:hAnsi="Arial" w:cs="Guttman-Soncino" w:hint="cs"/>
          <w:b/>
          <w:bCs/>
          <w:sz w:val="28"/>
          <w:szCs w:val="28"/>
          <w:highlight w:val="yellow"/>
          <w:rtl/>
        </w:rPr>
        <w:t xml:space="preserve">מרכיבי </w:t>
      </w:r>
      <w:r w:rsidRPr="003A47CF">
        <w:rPr>
          <w:rFonts w:ascii="Arial" w:hAnsi="Arial" w:cs="Guttman-Soncino"/>
          <w:b/>
          <w:bCs/>
          <w:sz w:val="28"/>
          <w:szCs w:val="28"/>
          <w:highlight w:val="yellow"/>
          <w:rtl/>
        </w:rPr>
        <w:t>החוקה</w:t>
      </w:r>
      <w:r w:rsidRPr="003A47CF">
        <w:rPr>
          <w:rFonts w:ascii="Arial" w:hAnsi="Arial" w:cs="Guttman-Soncino" w:hint="cs"/>
          <w:b/>
          <w:bCs/>
          <w:sz w:val="28"/>
          <w:szCs w:val="28"/>
          <w:highlight w:val="yellow"/>
          <w:rtl/>
        </w:rPr>
        <w:t xml:space="preserve"> הפורמאלית</w:t>
      </w:r>
    </w:p>
    <w:p w:rsidR="005366A8" w:rsidRPr="006849F9" w:rsidRDefault="005366A8" w:rsidP="005366A8">
      <w:pPr>
        <w:spacing w:after="120"/>
        <w:rPr>
          <w:rFonts w:cs="FrankRuehl"/>
          <w:sz w:val="20"/>
          <w:szCs w:val="20"/>
          <w:rtl/>
        </w:rPr>
      </w:pPr>
      <w:r w:rsidRPr="006849F9">
        <w:rPr>
          <w:rFonts w:cs="FrankRuehl" w:hint="cs"/>
          <w:sz w:val="20"/>
          <w:szCs w:val="20"/>
          <w:rtl/>
        </w:rPr>
        <w:t xml:space="preserve">55. [מתוך פסק דינו של </w:t>
      </w:r>
      <w:r w:rsidRPr="006849F9">
        <w:rPr>
          <w:rFonts w:cs="FrankRuehl" w:hint="cs"/>
          <w:sz w:val="20"/>
          <w:szCs w:val="20"/>
          <w:u w:val="single"/>
          <w:rtl/>
        </w:rPr>
        <w:t>הנשיא ברק</w:t>
      </w:r>
      <w:r w:rsidRPr="006849F9">
        <w:rPr>
          <w:rFonts w:cs="FrankRuehl" w:hint="cs"/>
          <w:sz w:val="20"/>
          <w:szCs w:val="20"/>
          <w:rtl/>
        </w:rPr>
        <w:t xml:space="preserve"> ב</w:t>
      </w:r>
      <w:r w:rsidRPr="006849F9">
        <w:rPr>
          <w:rFonts w:cs="FrankRuehl" w:hint="cs"/>
          <w:b/>
          <w:bCs/>
          <w:sz w:val="20"/>
          <w:szCs w:val="20"/>
          <w:rtl/>
        </w:rPr>
        <w:t>בנק המזרחי</w:t>
      </w:r>
      <w:r w:rsidRPr="006849F9">
        <w:rPr>
          <w:rFonts w:cs="FrankRuehl" w:hint="cs"/>
          <w:sz w:val="20"/>
          <w:szCs w:val="20"/>
          <w:rtl/>
        </w:rPr>
        <w:t xml:space="preserve">, ההדגשות הוספו] </w:t>
      </w:r>
    </w:p>
    <w:p w:rsidR="005366A8" w:rsidRPr="006849F9" w:rsidRDefault="005366A8" w:rsidP="005366A8">
      <w:pPr>
        <w:rPr>
          <w:rFonts w:cs="FrankRuehl"/>
          <w:sz w:val="20"/>
          <w:szCs w:val="20"/>
          <w:rtl/>
        </w:rPr>
      </w:pPr>
      <w:r w:rsidRPr="006849F9">
        <w:rPr>
          <w:rFonts w:cs="FrankRuehl" w:hint="cs"/>
          <w:sz w:val="20"/>
          <w:szCs w:val="20"/>
          <w:rtl/>
        </w:rPr>
        <w:t>הכנסת מוסמכת להעניק חוקה למדינה. כיצד היא עושה זאת? מתי נורמה</w:t>
      </w:r>
      <w:r w:rsidRPr="006849F9">
        <w:rPr>
          <w:rFonts w:cs="FrankRuehl"/>
          <w:sz w:val="20"/>
          <w:szCs w:val="20"/>
          <w:rtl/>
        </w:rPr>
        <w:t xml:space="preserve"> </w:t>
      </w:r>
      <w:r w:rsidRPr="006849F9">
        <w:rPr>
          <w:rFonts w:cs="FrankRuehl" w:hint="cs"/>
          <w:sz w:val="20"/>
          <w:szCs w:val="20"/>
          <w:rtl/>
        </w:rPr>
        <w:t>הנוצרת על ידה היא בעלת מעמד חוקתי, ומתי נאמר כי הנורמה היא חוק "רגיל"?</w:t>
      </w:r>
      <w:r w:rsidRPr="006849F9">
        <w:rPr>
          <w:rFonts w:cs="FrankRuehl"/>
          <w:sz w:val="20"/>
          <w:szCs w:val="20"/>
          <w:rtl/>
        </w:rPr>
        <w:t xml:space="preserve">  </w:t>
      </w:r>
      <w:r w:rsidRPr="006849F9">
        <w:rPr>
          <w:rFonts w:cs="FrankRuehl" w:hint="cs"/>
          <w:sz w:val="20"/>
          <w:szCs w:val="20"/>
          <w:rtl/>
        </w:rPr>
        <w:t>לדעתי, התשובה הנה, כי הכנסת משתמשת בסמכותה המכוננת ("מעשה חוקה" בלשונו של</w:t>
      </w:r>
      <w:r w:rsidRPr="006849F9">
        <w:rPr>
          <w:rFonts w:cs="FrankRuehl"/>
          <w:sz w:val="20"/>
          <w:szCs w:val="20"/>
          <w:rtl/>
        </w:rPr>
        <w:t xml:space="preserve"> </w:t>
      </w:r>
      <w:r w:rsidRPr="006849F9">
        <w:rPr>
          <w:rFonts w:cs="FrankRuehl" w:hint="cs"/>
          <w:sz w:val="20"/>
          <w:szCs w:val="20"/>
          <w:rtl/>
        </w:rPr>
        <w:t>רובינשטיין, שם, עמ' 451) כאשר היא נותנת ביטוי חיצוני לכך בשם הנורמה ורואה</w:t>
      </w:r>
      <w:r w:rsidRPr="006849F9">
        <w:rPr>
          <w:rFonts w:cs="FrankRuehl"/>
          <w:sz w:val="20"/>
          <w:szCs w:val="20"/>
          <w:rtl/>
        </w:rPr>
        <w:t xml:space="preserve"> </w:t>
      </w:r>
      <w:r w:rsidRPr="006849F9">
        <w:rPr>
          <w:rFonts w:cs="FrankRuehl" w:hint="cs"/>
          <w:sz w:val="20"/>
          <w:szCs w:val="20"/>
          <w:rtl/>
        </w:rPr>
        <w:t>בו "חוק-יסוד" (ללא ציון שנת החקיקה). אמת מידה צורנית זו תואמת את הנסיון</w:t>
      </w:r>
      <w:r w:rsidRPr="006849F9">
        <w:rPr>
          <w:rFonts w:cs="FrankRuehl"/>
          <w:sz w:val="20"/>
          <w:szCs w:val="20"/>
          <w:rtl/>
        </w:rPr>
        <w:t xml:space="preserve"> </w:t>
      </w:r>
      <w:r w:rsidRPr="006849F9">
        <w:rPr>
          <w:rFonts w:cs="FrankRuehl" w:hint="cs"/>
          <w:sz w:val="20"/>
          <w:szCs w:val="20"/>
          <w:rtl/>
        </w:rPr>
        <w:t>הפרלמנטרי. הכנסת לא כינתה כ"חוק-יסוד" דברי חקיקה שעל פי מהותם אינם בעלי</w:t>
      </w:r>
      <w:r w:rsidRPr="006849F9">
        <w:rPr>
          <w:rFonts w:cs="FrankRuehl"/>
          <w:sz w:val="20"/>
          <w:szCs w:val="20"/>
          <w:rtl/>
        </w:rPr>
        <w:t xml:space="preserve"> </w:t>
      </w:r>
      <w:r w:rsidRPr="006849F9">
        <w:rPr>
          <w:rFonts w:cs="FrankRuehl" w:hint="cs"/>
          <w:sz w:val="20"/>
          <w:szCs w:val="20"/>
          <w:rtl/>
        </w:rPr>
        <w:t>אופי חוקתי. הכנסת השכילה בעבר לייחד הדיבור "חוק-יסוד" אך לפרקיה של החוקה,</w:t>
      </w:r>
      <w:r w:rsidRPr="006849F9">
        <w:rPr>
          <w:rFonts w:cs="FrankRuehl"/>
          <w:sz w:val="20"/>
          <w:szCs w:val="20"/>
          <w:rtl/>
        </w:rPr>
        <w:t xml:space="preserve"> </w:t>
      </w:r>
      <w:r w:rsidRPr="006849F9">
        <w:rPr>
          <w:rFonts w:cs="FrankRuehl" w:hint="cs"/>
          <w:sz w:val="20"/>
          <w:szCs w:val="20"/>
          <w:rtl/>
        </w:rPr>
        <w:t>על פי "החלטת הררי".</w:t>
      </w:r>
      <w:r w:rsidRPr="006849F9">
        <w:rPr>
          <w:rFonts w:cs="FrankRuehl"/>
          <w:sz w:val="20"/>
          <w:szCs w:val="20"/>
          <w:rtl/>
        </w:rPr>
        <w:t xml:space="preserve"> [</w:t>
      </w:r>
      <w:r w:rsidRPr="006849F9">
        <w:rPr>
          <w:rFonts w:cs="FrankRuehl"/>
          <w:sz w:val="20"/>
          <w:szCs w:val="20"/>
        </w:rPr>
        <w:t>…</w:t>
      </w:r>
      <w:r w:rsidRPr="006849F9">
        <w:rPr>
          <w:rFonts w:cs="FrankRuehl"/>
          <w:sz w:val="20"/>
          <w:szCs w:val="20"/>
          <w:rtl/>
        </w:rPr>
        <w:t>]</w:t>
      </w:r>
    </w:p>
    <w:p w:rsidR="005366A8" w:rsidRPr="006849F9" w:rsidRDefault="005366A8" w:rsidP="005366A8">
      <w:pPr>
        <w:spacing w:after="120"/>
        <w:rPr>
          <w:sz w:val="20"/>
          <w:szCs w:val="20"/>
          <w:rtl/>
        </w:rPr>
      </w:pPr>
      <w:r w:rsidRPr="006849F9">
        <w:rPr>
          <w:rFonts w:cs="FrankRuehl"/>
          <w:sz w:val="20"/>
          <w:szCs w:val="20"/>
          <w:rtl/>
        </w:rPr>
        <w:t>58 [</w:t>
      </w:r>
      <w:r w:rsidRPr="006849F9">
        <w:rPr>
          <w:rFonts w:cs="FrankRuehl"/>
          <w:sz w:val="20"/>
          <w:szCs w:val="20"/>
        </w:rPr>
        <w:t>…</w:t>
      </w:r>
      <w:r w:rsidRPr="006849F9">
        <w:rPr>
          <w:rFonts w:cs="FrankRuehl"/>
          <w:sz w:val="20"/>
          <w:szCs w:val="20"/>
          <w:rtl/>
        </w:rPr>
        <w:t xml:space="preserve">] </w:t>
      </w:r>
      <w:r w:rsidRPr="006849F9">
        <w:rPr>
          <w:rFonts w:cs="FrankRuehl" w:hint="cs"/>
          <w:sz w:val="20"/>
          <w:szCs w:val="20"/>
          <w:rtl/>
        </w:rPr>
        <w:t>מבחן צורני זה -</w:t>
      </w:r>
      <w:r w:rsidRPr="006849F9">
        <w:rPr>
          <w:rFonts w:cs="FrankRuehl"/>
          <w:sz w:val="20"/>
          <w:szCs w:val="20"/>
          <w:rtl/>
        </w:rPr>
        <w:t xml:space="preserve"> </w:t>
      </w:r>
      <w:r w:rsidRPr="006849F9">
        <w:rPr>
          <w:rFonts w:cs="FrankRuehl" w:hint="cs"/>
          <w:sz w:val="20"/>
          <w:szCs w:val="20"/>
          <w:rtl/>
        </w:rPr>
        <w:t>השימוש בדיבור "חוק-יסוד" - הוא פשוט להפעלה. הוא מעניק בטחון וודאות. מבחן</w:t>
      </w:r>
      <w:r w:rsidRPr="006849F9">
        <w:rPr>
          <w:rFonts w:cs="FrankRuehl"/>
          <w:sz w:val="20"/>
          <w:szCs w:val="20"/>
          <w:rtl/>
        </w:rPr>
        <w:t xml:space="preserve"> </w:t>
      </w:r>
      <w:r w:rsidRPr="006849F9">
        <w:rPr>
          <w:rFonts w:cs="FrankRuehl" w:hint="cs"/>
          <w:sz w:val="20"/>
          <w:szCs w:val="20"/>
          <w:rtl/>
        </w:rPr>
        <w:t xml:space="preserve">זה מעורר </w:t>
      </w:r>
      <w:r w:rsidRPr="006849F9">
        <w:rPr>
          <w:rFonts w:cs="FrankRuehl" w:hint="cs"/>
          <w:b/>
          <w:bCs/>
          <w:sz w:val="20"/>
          <w:szCs w:val="20"/>
          <w:rtl/>
        </w:rPr>
        <w:t xml:space="preserve">שתי </w:t>
      </w:r>
      <w:r w:rsidRPr="006849F9">
        <w:rPr>
          <w:rFonts w:cs="FrankRuehl"/>
          <w:b/>
          <w:bCs/>
          <w:sz w:val="20"/>
          <w:szCs w:val="20"/>
          <w:rtl/>
        </w:rPr>
        <w:t>ש</w:t>
      </w:r>
      <w:r w:rsidRPr="006849F9">
        <w:rPr>
          <w:rFonts w:cs="FrankRuehl" w:hint="cs"/>
          <w:b/>
          <w:bCs/>
          <w:sz w:val="20"/>
          <w:szCs w:val="20"/>
          <w:rtl/>
        </w:rPr>
        <w:t>אלות</w:t>
      </w:r>
      <w:r w:rsidRPr="006849F9">
        <w:rPr>
          <w:rFonts w:cs="FrankRuehl" w:hint="cs"/>
          <w:sz w:val="20"/>
          <w:szCs w:val="20"/>
          <w:rtl/>
        </w:rPr>
        <w:t>, אותן אני מבקש להשאיר בצריך עיון. השאלה האחת הינה, מהו</w:t>
      </w:r>
      <w:r w:rsidRPr="006849F9">
        <w:rPr>
          <w:rFonts w:cs="FrankRuehl"/>
          <w:sz w:val="20"/>
          <w:szCs w:val="20"/>
          <w:rtl/>
        </w:rPr>
        <w:t xml:space="preserve"> </w:t>
      </w:r>
      <w:r w:rsidRPr="006849F9">
        <w:rPr>
          <w:rFonts w:cs="FrankRuehl" w:hint="cs"/>
          <w:sz w:val="20"/>
          <w:szCs w:val="20"/>
          <w:rtl/>
        </w:rPr>
        <w:t>מעמדה החוקתי של החקיקה שקדמה להחלטת הררי ואשר מטבע הדברים אינה מכונה</w:t>
      </w:r>
      <w:r w:rsidRPr="006849F9">
        <w:rPr>
          <w:rFonts w:cs="FrankRuehl"/>
          <w:sz w:val="20"/>
          <w:szCs w:val="20"/>
          <w:rtl/>
        </w:rPr>
        <w:t xml:space="preserve"> </w:t>
      </w:r>
      <w:r w:rsidRPr="006849F9">
        <w:rPr>
          <w:rFonts w:cs="FrankRuehl" w:hint="cs"/>
          <w:sz w:val="20"/>
          <w:szCs w:val="20"/>
          <w:rtl/>
        </w:rPr>
        <w:t>"חוק-יסוד"? ובעיקר, האין לומר כי חוק המעבר, תש"ט-1949 הוא חלק מחוקתה של</w:t>
      </w:r>
      <w:r w:rsidRPr="006849F9">
        <w:rPr>
          <w:rFonts w:cs="FrankRuehl"/>
          <w:sz w:val="20"/>
          <w:szCs w:val="20"/>
          <w:rtl/>
        </w:rPr>
        <w:t xml:space="preserve"> </w:t>
      </w:r>
      <w:r w:rsidRPr="006849F9">
        <w:rPr>
          <w:rFonts w:cs="FrankRuehl" w:hint="cs"/>
          <w:sz w:val="20"/>
          <w:szCs w:val="20"/>
          <w:rtl/>
        </w:rPr>
        <w:t>המדינה. אני נוטה לדעה כי קיימת חקיקה חוקתית - פרי הסמכות המכוננת גם לפני</w:t>
      </w:r>
      <w:r w:rsidRPr="006849F9">
        <w:rPr>
          <w:rFonts w:cs="FrankRuehl"/>
          <w:sz w:val="20"/>
          <w:szCs w:val="20"/>
          <w:rtl/>
        </w:rPr>
        <w:t xml:space="preserve"> </w:t>
      </w:r>
      <w:r w:rsidRPr="006849F9">
        <w:rPr>
          <w:rFonts w:cs="FrankRuehl" w:hint="cs"/>
          <w:sz w:val="20"/>
          <w:szCs w:val="20"/>
          <w:rtl/>
        </w:rPr>
        <w:t xml:space="preserve">החלטת הררי. עם זאת, ניתן להשאיר שאלה זו בצריך עיון. </w:t>
      </w:r>
      <w:r w:rsidRPr="006849F9">
        <w:rPr>
          <w:rFonts w:cs="FrankRuehl" w:hint="cs"/>
          <w:b/>
          <w:bCs/>
          <w:sz w:val="20"/>
          <w:szCs w:val="20"/>
          <w:rtl/>
        </w:rPr>
        <w:t>השאלה השנייה הינה, מה</w:t>
      </w:r>
      <w:r w:rsidRPr="006849F9">
        <w:rPr>
          <w:rFonts w:cs="FrankRuehl"/>
          <w:b/>
          <w:bCs/>
          <w:sz w:val="20"/>
          <w:szCs w:val="20"/>
          <w:rtl/>
        </w:rPr>
        <w:t xml:space="preserve"> </w:t>
      </w:r>
      <w:r w:rsidRPr="006849F9">
        <w:rPr>
          <w:rFonts w:cs="FrankRuehl" w:hint="cs"/>
          <w:b/>
          <w:bCs/>
          <w:sz w:val="20"/>
          <w:szCs w:val="20"/>
          <w:rtl/>
        </w:rPr>
        <w:t>דין חקיקה עתידה של הכנסת, אשר תעשה "שימוש לרעה" בדיבור "חוק-יסוד" תוך</w:t>
      </w:r>
      <w:r w:rsidRPr="006849F9">
        <w:rPr>
          <w:rFonts w:cs="FrankRuehl"/>
          <w:b/>
          <w:bCs/>
          <w:sz w:val="20"/>
          <w:szCs w:val="20"/>
          <w:rtl/>
        </w:rPr>
        <w:t xml:space="preserve"> </w:t>
      </w:r>
      <w:r w:rsidRPr="006849F9">
        <w:rPr>
          <w:rFonts w:cs="FrankRuehl" w:hint="cs"/>
          <w:b/>
          <w:bCs/>
          <w:sz w:val="20"/>
          <w:szCs w:val="20"/>
          <w:rtl/>
        </w:rPr>
        <w:t>שתצמיד אותו לחקיקה רגילה שבינה לבין חוקה אין ולא כלום? שאלה זו אינה פשוטה</w:t>
      </w:r>
      <w:r w:rsidRPr="006849F9">
        <w:rPr>
          <w:rFonts w:cs="FrankRuehl"/>
          <w:b/>
          <w:bCs/>
          <w:sz w:val="20"/>
          <w:szCs w:val="20"/>
          <w:rtl/>
        </w:rPr>
        <w:t xml:space="preserve"> </w:t>
      </w:r>
      <w:r w:rsidRPr="006849F9">
        <w:rPr>
          <w:rFonts w:cs="FrankRuehl" w:hint="cs"/>
          <w:b/>
          <w:bCs/>
          <w:sz w:val="20"/>
          <w:szCs w:val="20"/>
          <w:rtl/>
        </w:rPr>
        <w:t>כלל ועיקר, והתשובה לה יורדת לשורשי היחסים בין הסמכות המכוננת (של הכנסת)</w:t>
      </w:r>
      <w:r w:rsidRPr="006849F9">
        <w:rPr>
          <w:rFonts w:cs="FrankRuehl"/>
          <w:b/>
          <w:bCs/>
          <w:sz w:val="20"/>
          <w:szCs w:val="20"/>
          <w:rtl/>
        </w:rPr>
        <w:t xml:space="preserve"> </w:t>
      </w:r>
      <w:r w:rsidRPr="006849F9">
        <w:rPr>
          <w:rFonts w:cs="FrankRuehl" w:hint="cs"/>
          <w:b/>
          <w:bCs/>
          <w:sz w:val="20"/>
          <w:szCs w:val="20"/>
          <w:rtl/>
        </w:rPr>
        <w:t>לבין הסמכות השופטת (של בתי המשפט). אף אותה אני מבקש להשאיר בצריך עיון.</w:t>
      </w:r>
    </w:p>
    <w:p w:rsidR="005366A8" w:rsidRPr="006849F9" w:rsidRDefault="005366A8" w:rsidP="005366A8">
      <w:pPr>
        <w:rPr>
          <w:rFonts w:cs="FrankRuehl"/>
          <w:sz w:val="20"/>
          <w:szCs w:val="20"/>
          <w:rtl/>
        </w:rPr>
      </w:pPr>
      <w:r w:rsidRPr="006849F9">
        <w:rPr>
          <w:rFonts w:cs="FrankRuehl"/>
          <w:sz w:val="20"/>
          <w:szCs w:val="20"/>
          <w:u w:val="single"/>
          <w:rtl/>
        </w:rPr>
        <w:t>הנשיא לשעבר שמגר</w:t>
      </w:r>
      <w:r w:rsidRPr="006849F9">
        <w:rPr>
          <w:rFonts w:cs="FrankRuehl" w:hint="cs"/>
          <w:sz w:val="20"/>
          <w:szCs w:val="20"/>
          <w:u w:val="single"/>
          <w:rtl/>
        </w:rPr>
        <w:t xml:space="preserve"> </w:t>
      </w:r>
      <w:r w:rsidRPr="006849F9">
        <w:rPr>
          <w:rFonts w:cs="FrankRuehl" w:hint="cs"/>
          <w:sz w:val="20"/>
          <w:szCs w:val="20"/>
          <w:rtl/>
        </w:rPr>
        <w:t>[שם, בעמדה מעט שונה]</w:t>
      </w:r>
      <w:r w:rsidRPr="006849F9">
        <w:rPr>
          <w:rFonts w:cs="FrankRuehl"/>
          <w:sz w:val="20"/>
          <w:szCs w:val="20"/>
          <w:rtl/>
        </w:rPr>
        <w:t>:</w:t>
      </w:r>
    </w:p>
    <w:p w:rsidR="005366A8" w:rsidRPr="006849F9" w:rsidRDefault="005366A8" w:rsidP="005366A8">
      <w:pPr>
        <w:rPr>
          <w:rFonts w:cs="FrankRuehl"/>
          <w:sz w:val="20"/>
          <w:szCs w:val="20"/>
          <w:rtl/>
        </w:rPr>
      </w:pPr>
      <w:r w:rsidRPr="006849F9">
        <w:rPr>
          <w:rFonts w:cs="FrankRuehl" w:hint="cs"/>
          <w:sz w:val="20"/>
          <w:szCs w:val="20"/>
          <w:rtl/>
        </w:rPr>
        <w:t xml:space="preserve">38. </w:t>
      </w:r>
      <w:r w:rsidRPr="006849F9">
        <w:rPr>
          <w:rFonts w:cs="FrankRuehl"/>
          <w:sz w:val="20"/>
          <w:szCs w:val="20"/>
        </w:rPr>
        <w:t>…</w:t>
      </w:r>
      <w:r w:rsidRPr="006849F9">
        <w:rPr>
          <w:rFonts w:cs="FrankRuehl" w:hint="cs"/>
          <w:sz w:val="20"/>
          <w:szCs w:val="20"/>
          <w:rtl/>
        </w:rPr>
        <w:t xml:space="preserve"> ראשית דבר, חוקה נבדלת מחוק רגיל במספר מאפיינים עיקריים: חוקה</w:t>
      </w:r>
      <w:r w:rsidRPr="006849F9">
        <w:rPr>
          <w:rFonts w:cs="FrankRuehl"/>
          <w:sz w:val="20"/>
          <w:szCs w:val="20"/>
          <w:rtl/>
        </w:rPr>
        <w:t xml:space="preserve"> </w:t>
      </w:r>
      <w:r w:rsidRPr="006849F9">
        <w:rPr>
          <w:rFonts w:cs="FrankRuehl" w:hint="cs"/>
          <w:sz w:val="20"/>
          <w:szCs w:val="20"/>
          <w:rtl/>
        </w:rPr>
        <w:t>דנה בעקרונות יסוד. היא מבקשת לתת לעקרונות מעמד מנחה, בכל הנוגע לחיקוקים</w:t>
      </w:r>
      <w:r w:rsidRPr="006849F9">
        <w:rPr>
          <w:rFonts w:cs="FrankRuehl"/>
          <w:sz w:val="20"/>
          <w:szCs w:val="20"/>
          <w:rtl/>
        </w:rPr>
        <w:t xml:space="preserve"> </w:t>
      </w:r>
      <w:r w:rsidRPr="006849F9">
        <w:rPr>
          <w:rFonts w:cs="FrankRuehl" w:hint="cs"/>
          <w:sz w:val="20"/>
          <w:szCs w:val="20"/>
          <w:rtl/>
        </w:rPr>
        <w:t>אחרים ולאקטים של רשויות המדינה בדרך כלל.</w:t>
      </w:r>
      <w:r w:rsidRPr="006849F9">
        <w:rPr>
          <w:rFonts w:cs="FrankRuehl"/>
          <w:sz w:val="20"/>
          <w:szCs w:val="20"/>
          <w:rtl/>
        </w:rPr>
        <w:t xml:space="preserve"> [</w:t>
      </w:r>
      <w:r w:rsidRPr="006849F9">
        <w:rPr>
          <w:rFonts w:cs="FrankRuehl"/>
          <w:sz w:val="20"/>
          <w:szCs w:val="20"/>
        </w:rPr>
        <w:t>…</w:t>
      </w:r>
      <w:r w:rsidRPr="006849F9">
        <w:rPr>
          <w:rFonts w:cs="FrankRuehl"/>
          <w:sz w:val="20"/>
          <w:szCs w:val="20"/>
          <w:rtl/>
        </w:rPr>
        <w:t xml:space="preserve">] </w:t>
      </w:r>
    </w:p>
    <w:p w:rsidR="005366A8" w:rsidRPr="006849F9" w:rsidRDefault="005366A8" w:rsidP="005366A8">
      <w:pPr>
        <w:rPr>
          <w:rFonts w:cs="FrankRuehl"/>
          <w:sz w:val="20"/>
          <w:szCs w:val="20"/>
        </w:rPr>
      </w:pPr>
      <w:r w:rsidRPr="006849F9">
        <w:rPr>
          <w:rFonts w:cs="FrankRuehl" w:hint="cs"/>
          <w:sz w:val="20"/>
          <w:szCs w:val="20"/>
          <w:rtl/>
        </w:rPr>
        <w:t>לשון אחר: חוקה כוללת סממנים ענייניים מסוימים (המבנה השלטוני, עקרונות</w:t>
      </w:r>
      <w:r w:rsidRPr="006849F9">
        <w:rPr>
          <w:rFonts w:cs="FrankRuehl"/>
          <w:sz w:val="20"/>
          <w:szCs w:val="20"/>
          <w:rtl/>
        </w:rPr>
        <w:t xml:space="preserve"> </w:t>
      </w:r>
      <w:r w:rsidRPr="006849F9">
        <w:rPr>
          <w:rFonts w:cs="FrankRuehl" w:hint="cs"/>
          <w:sz w:val="20"/>
          <w:szCs w:val="20"/>
          <w:rtl/>
        </w:rPr>
        <w:t>וזכויות יסוד), וכוללת סממנים צורניים מסוימים (כגון - דרך קבלתה ושינויה של</w:t>
      </w:r>
      <w:r w:rsidRPr="006849F9">
        <w:rPr>
          <w:rFonts w:cs="FrankRuehl"/>
          <w:sz w:val="20"/>
          <w:szCs w:val="20"/>
          <w:rtl/>
        </w:rPr>
        <w:t xml:space="preserve"> </w:t>
      </w:r>
      <w:r w:rsidRPr="006849F9">
        <w:rPr>
          <w:rFonts w:cs="FrankRuehl" w:hint="cs"/>
          <w:sz w:val="20"/>
          <w:szCs w:val="20"/>
          <w:rtl/>
        </w:rPr>
        <w:t>החוקה, כינוי החוק, לשונו, סגנונו, ניסוחו, מושגיו). חוקה מתאפיינת בניסוח</w:t>
      </w:r>
      <w:r w:rsidRPr="006849F9">
        <w:rPr>
          <w:rFonts w:cs="FrankRuehl"/>
          <w:sz w:val="20"/>
          <w:szCs w:val="20"/>
          <w:rtl/>
        </w:rPr>
        <w:t xml:space="preserve"> </w:t>
      </w:r>
      <w:r w:rsidRPr="006849F9">
        <w:rPr>
          <w:rFonts w:cs="FrankRuehl" w:hint="cs"/>
          <w:sz w:val="20"/>
          <w:szCs w:val="20"/>
          <w:rtl/>
        </w:rPr>
        <w:t>תמציתי. חוקה מצטיינת במופשטות.</w:t>
      </w:r>
    </w:p>
    <w:p w:rsidR="005366A8" w:rsidRPr="0050116F" w:rsidRDefault="005366A8" w:rsidP="005366A8">
      <w:pPr>
        <w:rPr>
          <w:b/>
          <w:bCs/>
          <w:sz w:val="22"/>
          <w:szCs w:val="22"/>
          <w:rtl/>
        </w:rPr>
      </w:pPr>
      <w:r>
        <w:rPr>
          <w:rFonts w:hint="cs"/>
          <w:b/>
          <w:bCs/>
          <w:sz w:val="22"/>
          <w:szCs w:val="22"/>
          <w:rtl/>
        </w:rPr>
        <w:t>=-=</w:t>
      </w:r>
    </w:p>
    <w:p w:rsidR="005366A8" w:rsidRPr="00FC6BF1" w:rsidRDefault="005366A8" w:rsidP="005366A8">
      <w:pPr>
        <w:ind w:left="720"/>
        <w:rPr>
          <w:sz w:val="18"/>
          <w:szCs w:val="18"/>
          <w:rtl/>
        </w:rPr>
      </w:pPr>
      <w:r w:rsidRPr="00FC6BF1">
        <w:rPr>
          <w:b/>
          <w:bCs/>
          <w:sz w:val="18"/>
          <w:szCs w:val="18"/>
          <w:rtl/>
        </w:rPr>
        <w:t>מבחן צורני</w:t>
      </w:r>
      <w:r w:rsidRPr="00FC6BF1">
        <w:rPr>
          <w:rFonts w:hint="cs"/>
          <w:b/>
          <w:bCs/>
          <w:sz w:val="18"/>
          <w:szCs w:val="18"/>
          <w:rtl/>
        </w:rPr>
        <w:t xml:space="preserve"> בלבד</w:t>
      </w:r>
      <w:r w:rsidRPr="00FC6BF1">
        <w:rPr>
          <w:sz w:val="18"/>
          <w:szCs w:val="18"/>
          <w:rtl/>
        </w:rPr>
        <w:t xml:space="preserve">: כותרת חוק יסוד. </w:t>
      </w:r>
    </w:p>
    <w:p w:rsidR="005366A8" w:rsidRPr="00FC6BF1" w:rsidRDefault="005366A8" w:rsidP="005366A8">
      <w:pPr>
        <w:spacing w:after="120"/>
        <w:ind w:left="1440"/>
        <w:rPr>
          <w:sz w:val="18"/>
          <w:szCs w:val="18"/>
          <w:rtl/>
        </w:rPr>
      </w:pPr>
      <w:r w:rsidRPr="00544118">
        <w:rPr>
          <w:i/>
          <w:iCs/>
          <w:sz w:val="18"/>
          <w:szCs w:val="18"/>
          <w:rtl/>
        </w:rPr>
        <w:t>יתרון</w:t>
      </w:r>
      <w:r w:rsidRPr="00FC6BF1">
        <w:rPr>
          <w:sz w:val="18"/>
          <w:szCs w:val="18"/>
          <w:rtl/>
        </w:rPr>
        <w:t xml:space="preserve">: ודאות; </w:t>
      </w:r>
      <w:r w:rsidRPr="00544118">
        <w:rPr>
          <w:i/>
          <w:iCs/>
          <w:sz w:val="18"/>
          <w:szCs w:val="18"/>
          <w:rtl/>
        </w:rPr>
        <w:t>חסרון</w:t>
      </w:r>
      <w:r w:rsidRPr="00FC6BF1">
        <w:rPr>
          <w:sz w:val="18"/>
          <w:szCs w:val="18"/>
          <w:rtl/>
        </w:rPr>
        <w:t>: סכנת התחזות</w:t>
      </w:r>
      <w:r w:rsidRPr="00993443">
        <w:rPr>
          <w:rFonts w:cs="FrankRuehl" w:hint="cs"/>
          <w:b/>
          <w:bCs/>
          <w:sz w:val="20"/>
          <w:szCs w:val="20"/>
          <w:rtl/>
        </w:rPr>
        <w:t xml:space="preserve"> </w:t>
      </w:r>
      <w:r w:rsidRPr="00993443">
        <w:rPr>
          <w:rFonts w:cs="FrankRuehl" w:hint="cs"/>
          <w:sz w:val="20"/>
          <w:szCs w:val="20"/>
          <w:rtl/>
        </w:rPr>
        <w:t>("חקיקה רגילה שבינה לבין חוקה אין ולא כלום", ובכל זאת היא מוכתרת כחוק יסוד)</w:t>
      </w:r>
      <w:r w:rsidRPr="00993443">
        <w:rPr>
          <w:sz w:val="18"/>
          <w:szCs w:val="18"/>
          <w:rtl/>
        </w:rPr>
        <w:t>.</w:t>
      </w:r>
    </w:p>
    <w:p w:rsidR="005366A8" w:rsidRPr="00FC6BF1" w:rsidRDefault="005366A8" w:rsidP="005366A8">
      <w:pPr>
        <w:ind w:left="720"/>
        <w:rPr>
          <w:sz w:val="18"/>
          <w:szCs w:val="18"/>
          <w:rtl/>
        </w:rPr>
      </w:pPr>
      <w:r w:rsidRPr="00FC6BF1">
        <w:rPr>
          <w:b/>
          <w:bCs/>
          <w:sz w:val="18"/>
          <w:szCs w:val="18"/>
          <w:rtl/>
        </w:rPr>
        <w:t>מבחן מהותי</w:t>
      </w:r>
      <w:r w:rsidRPr="00FC6BF1">
        <w:rPr>
          <w:sz w:val="18"/>
          <w:szCs w:val="18"/>
          <w:rtl/>
        </w:rPr>
        <w:t>: נושא מהותי שמתאים לחקיקת יסוד.</w:t>
      </w:r>
    </w:p>
    <w:p w:rsidR="005366A8" w:rsidRPr="00FC6BF1" w:rsidRDefault="005366A8" w:rsidP="005366A8">
      <w:pPr>
        <w:spacing w:after="120"/>
        <w:ind w:left="1440"/>
        <w:rPr>
          <w:sz w:val="18"/>
          <w:szCs w:val="18"/>
          <w:rtl/>
        </w:rPr>
      </w:pPr>
      <w:r w:rsidRPr="00544118">
        <w:rPr>
          <w:i/>
          <w:iCs/>
          <w:sz w:val="18"/>
          <w:szCs w:val="18"/>
          <w:rtl/>
        </w:rPr>
        <w:t>יתרון</w:t>
      </w:r>
      <w:r w:rsidRPr="00FC6BF1">
        <w:rPr>
          <w:sz w:val="18"/>
          <w:szCs w:val="18"/>
          <w:rtl/>
        </w:rPr>
        <w:t xml:space="preserve">: מונע התחזות. </w:t>
      </w:r>
      <w:r w:rsidRPr="00544118">
        <w:rPr>
          <w:i/>
          <w:iCs/>
          <w:sz w:val="18"/>
          <w:szCs w:val="18"/>
          <w:rtl/>
        </w:rPr>
        <w:t>חסרון</w:t>
      </w:r>
      <w:r w:rsidRPr="00FC6BF1">
        <w:rPr>
          <w:sz w:val="18"/>
          <w:szCs w:val="18"/>
          <w:rtl/>
        </w:rPr>
        <w:t xml:space="preserve">: מבחן עמום </w:t>
      </w:r>
      <w:r w:rsidRPr="00FC6BF1">
        <w:rPr>
          <w:sz w:val="18"/>
          <w:szCs w:val="18"/>
        </w:rPr>
        <w:t>–</w:t>
      </w:r>
      <w:r w:rsidRPr="00FC6BF1">
        <w:rPr>
          <w:sz w:val="18"/>
          <w:szCs w:val="18"/>
          <w:rtl/>
        </w:rPr>
        <w:t xml:space="preserve"> קושי </w:t>
      </w:r>
      <w:r>
        <w:rPr>
          <w:rFonts w:hint="cs"/>
          <w:sz w:val="18"/>
          <w:szCs w:val="18"/>
          <w:rtl/>
        </w:rPr>
        <w:t>לא פשוט</w:t>
      </w:r>
      <w:r w:rsidRPr="00FC6BF1">
        <w:rPr>
          <w:sz w:val="18"/>
          <w:szCs w:val="18"/>
          <w:rtl/>
        </w:rPr>
        <w:t xml:space="preserve"> בזיהוי הנורמה החוקתית</w:t>
      </w:r>
      <w:r>
        <w:rPr>
          <w:rFonts w:hint="cs"/>
          <w:sz w:val="18"/>
          <w:szCs w:val="18"/>
          <w:rtl/>
        </w:rPr>
        <w:t>, משמע אותו "נושא מהותי שמתאים להיות מוכתר כחוק יסוד"</w:t>
      </w:r>
      <w:r w:rsidRPr="00FC6BF1">
        <w:rPr>
          <w:sz w:val="18"/>
          <w:szCs w:val="18"/>
          <w:rtl/>
        </w:rPr>
        <w:t>.</w:t>
      </w:r>
    </w:p>
    <w:p w:rsidR="005366A8" w:rsidRPr="00FC6BF1" w:rsidRDefault="005366A8" w:rsidP="005366A8">
      <w:pPr>
        <w:ind w:left="720"/>
        <w:rPr>
          <w:sz w:val="18"/>
          <w:szCs w:val="18"/>
          <w:rtl/>
        </w:rPr>
      </w:pPr>
      <w:r w:rsidRPr="00FC6BF1">
        <w:rPr>
          <w:b/>
          <w:bCs/>
          <w:sz w:val="18"/>
          <w:szCs w:val="18"/>
          <w:rtl/>
        </w:rPr>
        <w:t>מבחן משולב מהותי וצורני מצטבר</w:t>
      </w:r>
      <w:r w:rsidRPr="00FC6BF1">
        <w:rPr>
          <w:sz w:val="18"/>
          <w:szCs w:val="18"/>
          <w:rtl/>
        </w:rPr>
        <w:t xml:space="preserve"> </w:t>
      </w:r>
      <w:r w:rsidRPr="00FC6BF1">
        <w:rPr>
          <w:sz w:val="18"/>
          <w:szCs w:val="18"/>
        </w:rPr>
        <w:t>–</w:t>
      </w:r>
      <w:r w:rsidRPr="00FC6BF1">
        <w:rPr>
          <w:sz w:val="18"/>
          <w:szCs w:val="18"/>
          <w:rtl/>
        </w:rPr>
        <w:t xml:space="preserve"> הגישה שהנשיא לשעבר שמגר נוטה לה: נושא מהותי שמתאים לחקיקת יסוד, </w:t>
      </w:r>
      <w:r w:rsidRPr="00FC6BF1">
        <w:rPr>
          <w:rFonts w:hint="cs"/>
          <w:sz w:val="18"/>
          <w:szCs w:val="18"/>
          <w:rtl/>
        </w:rPr>
        <w:t xml:space="preserve">וכן </w:t>
      </w:r>
      <w:r w:rsidRPr="00FC6BF1">
        <w:rPr>
          <w:sz w:val="18"/>
          <w:szCs w:val="18"/>
          <w:rtl/>
        </w:rPr>
        <w:t xml:space="preserve">ניסוח </w:t>
      </w:r>
      <w:r w:rsidRPr="00FC6BF1">
        <w:rPr>
          <w:rFonts w:hint="cs"/>
          <w:sz w:val="18"/>
          <w:szCs w:val="18"/>
          <w:rtl/>
        </w:rPr>
        <w:t>מופשט</w:t>
      </w:r>
      <w:r w:rsidRPr="00FC6BF1">
        <w:rPr>
          <w:sz w:val="18"/>
          <w:szCs w:val="18"/>
          <w:rtl/>
        </w:rPr>
        <w:t>/ 'מלכותי' של אותה נורמה, בתוספת כותרת "חוק יסוד" וסממנים צורניים נוספים.</w:t>
      </w:r>
    </w:p>
    <w:p w:rsidR="005366A8" w:rsidRPr="006849F9" w:rsidRDefault="005366A8" w:rsidP="005366A8">
      <w:pPr>
        <w:ind w:left="990"/>
        <w:rPr>
          <w:sz w:val="18"/>
          <w:szCs w:val="18"/>
          <w:rtl/>
        </w:rPr>
      </w:pPr>
      <w:r w:rsidRPr="006849F9">
        <w:rPr>
          <w:sz w:val="18"/>
          <w:szCs w:val="18"/>
          <w:rtl/>
        </w:rPr>
        <w:t>השוו לסע' 1 ל</w:t>
      </w:r>
      <w:r w:rsidRPr="006849F9">
        <w:rPr>
          <w:sz w:val="18"/>
          <w:szCs w:val="18"/>
          <w:u w:val="single"/>
          <w:rtl/>
        </w:rPr>
        <w:t>הצעת</w:t>
      </w:r>
      <w:r w:rsidRPr="006849F9">
        <w:rPr>
          <w:sz w:val="18"/>
          <w:szCs w:val="18"/>
          <w:rtl/>
        </w:rPr>
        <w:t xml:space="preserve"> חוק יסוד החקיקה</w:t>
      </w:r>
      <w:r>
        <w:rPr>
          <w:rFonts w:hint="cs"/>
          <w:sz w:val="18"/>
          <w:szCs w:val="18"/>
          <w:rtl/>
        </w:rPr>
        <w:t xml:space="preserve"> (שצוטטה בדפי הפגישה הקודמת)</w:t>
      </w:r>
      <w:r w:rsidRPr="006849F9">
        <w:rPr>
          <w:sz w:val="18"/>
          <w:szCs w:val="18"/>
          <w:rtl/>
        </w:rPr>
        <w:t>: "</w:t>
      </w:r>
      <w:r w:rsidRPr="00993443">
        <w:rPr>
          <w:sz w:val="18"/>
          <w:szCs w:val="18"/>
          <w:rtl/>
        </w:rPr>
        <w:t xml:space="preserve">חוקי-היסוד נחקקים </w:t>
      </w:r>
      <w:r w:rsidRPr="00993443">
        <w:rPr>
          <w:rFonts w:hint="cs"/>
          <w:sz w:val="18"/>
          <w:szCs w:val="18"/>
          <w:rtl/>
        </w:rPr>
        <w:t>בידי</w:t>
      </w:r>
      <w:r w:rsidRPr="00993443">
        <w:rPr>
          <w:sz w:val="18"/>
          <w:szCs w:val="18"/>
          <w:rtl/>
        </w:rPr>
        <w:t xml:space="preserve"> הכנסת מכוח סמכותה לכונן חוקה שתכלול הוראות בדבר סדרי המשטר, מוסדות המדינה, עקרונות-היסוד של</w:t>
      </w:r>
      <w:r w:rsidRPr="00993443">
        <w:rPr>
          <w:rFonts w:hint="cs"/>
          <w:sz w:val="18"/>
          <w:szCs w:val="18"/>
          <w:rtl/>
        </w:rPr>
        <w:t xml:space="preserve"> המדינה</w:t>
      </w:r>
      <w:r>
        <w:rPr>
          <w:sz w:val="18"/>
          <w:szCs w:val="18"/>
          <w:rtl/>
        </w:rPr>
        <w:t xml:space="preserve"> וזכויות האדם</w:t>
      </w:r>
      <w:r w:rsidRPr="006849F9">
        <w:rPr>
          <w:sz w:val="18"/>
          <w:szCs w:val="18"/>
          <w:rtl/>
        </w:rPr>
        <w:t>."</w:t>
      </w:r>
    </w:p>
    <w:p w:rsidR="005366A8" w:rsidRPr="006849F9" w:rsidRDefault="005366A8" w:rsidP="005366A8">
      <w:pPr>
        <w:spacing w:after="120"/>
        <w:ind w:left="990"/>
        <w:rPr>
          <w:sz w:val="18"/>
          <w:szCs w:val="18"/>
          <w:rtl/>
        </w:rPr>
      </w:pPr>
      <w:r w:rsidRPr="006849F9">
        <w:rPr>
          <w:b/>
          <w:bCs/>
          <w:sz w:val="18"/>
          <w:szCs w:val="18"/>
          <w:rtl/>
        </w:rPr>
        <w:t xml:space="preserve">תולדה: </w:t>
      </w:r>
      <w:r w:rsidRPr="00544118">
        <w:rPr>
          <w:rFonts w:hint="cs"/>
          <w:sz w:val="18"/>
          <w:szCs w:val="18"/>
          <w:rtl/>
        </w:rPr>
        <w:t>ניסוח זה מייצר</w:t>
      </w:r>
      <w:r>
        <w:rPr>
          <w:rFonts w:hint="cs"/>
          <w:b/>
          <w:bCs/>
          <w:sz w:val="18"/>
          <w:szCs w:val="18"/>
          <w:rtl/>
        </w:rPr>
        <w:t xml:space="preserve"> "</w:t>
      </w:r>
      <w:r>
        <w:rPr>
          <w:rFonts w:hint="cs"/>
          <w:sz w:val="18"/>
          <w:szCs w:val="18"/>
          <w:rtl/>
        </w:rPr>
        <w:t>מסננת תוכנית", הנותנת כוח לרשות השופטת שאמורה לפרש את "כלל המשחק" הבכיר ביותר הזה.</w:t>
      </w:r>
    </w:p>
    <w:p w:rsidR="005366A8" w:rsidRDefault="005366A8" w:rsidP="005366A8">
      <w:pPr>
        <w:rPr>
          <w:rFonts w:ascii="Arial" w:hAnsi="Arial" w:cs="Arial"/>
          <w:b/>
          <w:bCs/>
          <w:sz w:val="20"/>
          <w:szCs w:val="20"/>
          <w:highlight w:val="yellow"/>
          <w:u w:val="single"/>
          <w:rtl/>
        </w:rPr>
      </w:pPr>
      <w:r w:rsidRPr="006849F9">
        <w:rPr>
          <w:b/>
          <w:bCs/>
          <w:sz w:val="20"/>
          <w:szCs w:val="20"/>
          <w:rtl/>
        </w:rPr>
        <w:t xml:space="preserve">המבחן </w:t>
      </w:r>
      <w:r>
        <w:rPr>
          <w:rFonts w:hint="cs"/>
          <w:b/>
          <w:bCs/>
          <w:sz w:val="20"/>
          <w:szCs w:val="20"/>
          <w:rtl/>
        </w:rPr>
        <w:t>שאומץ בפסיקת בית המשפט העליון</w:t>
      </w:r>
      <w:r>
        <w:rPr>
          <w:rFonts w:hint="cs"/>
          <w:sz w:val="20"/>
          <w:szCs w:val="20"/>
          <w:rtl/>
        </w:rPr>
        <w:t xml:space="preserve">? רוב השופטים בפס"ד </w:t>
      </w:r>
      <w:r w:rsidRPr="00544118">
        <w:rPr>
          <w:rFonts w:hint="cs"/>
          <w:b/>
          <w:bCs/>
          <w:sz w:val="20"/>
          <w:szCs w:val="20"/>
          <w:rtl/>
        </w:rPr>
        <w:t>בנק המזרחי</w:t>
      </w:r>
      <w:r>
        <w:rPr>
          <w:rFonts w:hint="cs"/>
          <w:sz w:val="20"/>
          <w:szCs w:val="20"/>
          <w:rtl/>
        </w:rPr>
        <w:t xml:space="preserve"> כנראה הצטרפו למבחן הצורני. </w:t>
      </w:r>
      <w:r w:rsidRPr="006849F9">
        <w:rPr>
          <w:sz w:val="20"/>
          <w:szCs w:val="20"/>
          <w:rtl/>
        </w:rPr>
        <w:t xml:space="preserve">זאת </w:t>
      </w:r>
      <w:r>
        <w:rPr>
          <w:rFonts w:hint="cs"/>
          <w:sz w:val="20"/>
          <w:szCs w:val="20"/>
          <w:rtl/>
        </w:rPr>
        <w:t xml:space="preserve">כנראה </w:t>
      </w:r>
      <w:r w:rsidRPr="006849F9">
        <w:rPr>
          <w:sz w:val="20"/>
          <w:szCs w:val="20"/>
          <w:rtl/>
        </w:rPr>
        <w:t>משום שרצוי</w:t>
      </w:r>
      <w:r>
        <w:rPr>
          <w:rFonts w:hint="cs"/>
          <w:sz w:val="20"/>
          <w:szCs w:val="20"/>
          <w:rtl/>
        </w:rPr>
        <w:t>ה בעיניהם</w:t>
      </w:r>
      <w:r w:rsidRPr="006849F9">
        <w:rPr>
          <w:sz w:val="20"/>
          <w:szCs w:val="20"/>
          <w:rtl/>
        </w:rPr>
        <w:t xml:space="preserve"> תשובה פשוטה, </w:t>
      </w:r>
      <w:r w:rsidRPr="006849F9">
        <w:rPr>
          <w:rFonts w:hint="cs"/>
          <w:sz w:val="20"/>
          <w:szCs w:val="20"/>
          <w:rtl/>
        </w:rPr>
        <w:t>בהירה</w:t>
      </w:r>
      <w:r w:rsidRPr="006849F9">
        <w:rPr>
          <w:sz w:val="20"/>
          <w:szCs w:val="20"/>
          <w:rtl/>
        </w:rPr>
        <w:t xml:space="preserve"> ככל האפשר, לשאלה מהי החוקה. ואולם עשוי להיות לכך </w:t>
      </w:r>
      <w:r w:rsidRPr="006849F9">
        <w:rPr>
          <w:b/>
          <w:bCs/>
          <w:sz w:val="20"/>
          <w:szCs w:val="20"/>
          <w:rtl/>
        </w:rPr>
        <w:t>חריג צר</w:t>
      </w:r>
      <w:r w:rsidRPr="006849F9">
        <w:rPr>
          <w:sz w:val="20"/>
          <w:szCs w:val="20"/>
          <w:rtl/>
        </w:rPr>
        <w:t>: במקרים של חשד עמוק ל</w:t>
      </w:r>
      <w:r w:rsidRPr="006849F9">
        <w:rPr>
          <w:rFonts w:hint="cs"/>
          <w:sz w:val="20"/>
          <w:szCs w:val="20"/>
          <w:rtl/>
        </w:rPr>
        <w:t xml:space="preserve">"שימוש לרעה" בדיבור "חוק-יסוד" </w:t>
      </w:r>
      <w:r>
        <w:rPr>
          <w:rFonts w:hint="cs"/>
          <w:sz w:val="20"/>
          <w:szCs w:val="20"/>
          <w:rtl/>
        </w:rPr>
        <w:t xml:space="preserve">עשוי </w:t>
      </w:r>
      <w:r w:rsidRPr="006849F9">
        <w:rPr>
          <w:rFonts w:hint="cs"/>
          <w:sz w:val="20"/>
          <w:szCs w:val="20"/>
          <w:rtl/>
        </w:rPr>
        <w:t xml:space="preserve">בית המשפט </w:t>
      </w:r>
      <w:r>
        <w:rPr>
          <w:rFonts w:hint="cs"/>
          <w:sz w:val="20"/>
          <w:szCs w:val="20"/>
          <w:rtl/>
        </w:rPr>
        <w:t>לפנות</w:t>
      </w:r>
      <w:r w:rsidRPr="006849F9">
        <w:rPr>
          <w:rFonts w:hint="cs"/>
          <w:sz w:val="20"/>
          <w:szCs w:val="20"/>
          <w:rtl/>
        </w:rPr>
        <w:t xml:space="preserve"> גם</w:t>
      </w:r>
      <w:r w:rsidRPr="006849F9">
        <w:rPr>
          <w:sz w:val="20"/>
          <w:szCs w:val="20"/>
          <w:rtl/>
        </w:rPr>
        <w:t xml:space="preserve"> </w:t>
      </w:r>
      <w:r w:rsidRPr="006849F9">
        <w:rPr>
          <w:b/>
          <w:bCs/>
          <w:sz w:val="20"/>
          <w:szCs w:val="20"/>
          <w:rtl/>
        </w:rPr>
        <w:t>למבחן סינון מהותי</w:t>
      </w:r>
      <w:r w:rsidRPr="006849F9">
        <w:rPr>
          <w:rFonts w:hint="cs"/>
          <w:b/>
          <w:bCs/>
          <w:sz w:val="20"/>
          <w:szCs w:val="20"/>
          <w:rtl/>
        </w:rPr>
        <w:t xml:space="preserve">, כלומר </w:t>
      </w:r>
      <w:r>
        <w:rPr>
          <w:rFonts w:hint="cs"/>
          <w:b/>
          <w:bCs/>
          <w:sz w:val="20"/>
          <w:szCs w:val="20"/>
          <w:rtl/>
        </w:rPr>
        <w:t>להפעיל</w:t>
      </w:r>
      <w:r w:rsidRPr="006849F9">
        <w:rPr>
          <w:rFonts w:hint="cs"/>
          <w:b/>
          <w:bCs/>
          <w:sz w:val="20"/>
          <w:szCs w:val="20"/>
          <w:rtl/>
        </w:rPr>
        <w:t xml:space="preserve"> מעין סמכות לביקורת שיפוטית מטא-טקסטואלית</w:t>
      </w:r>
      <w:r w:rsidRPr="006849F9">
        <w:rPr>
          <w:sz w:val="20"/>
          <w:szCs w:val="20"/>
          <w:rtl/>
        </w:rPr>
        <w:t xml:space="preserve">. </w:t>
      </w:r>
    </w:p>
    <w:p w:rsidR="005366A8" w:rsidRPr="00054FA5" w:rsidRDefault="005366A8" w:rsidP="005366A8">
      <w:pPr>
        <w:rPr>
          <w:rFonts w:ascii="Arial" w:hAnsi="Arial" w:cs="Arial"/>
          <w:sz w:val="20"/>
          <w:szCs w:val="20"/>
          <w:rtl/>
        </w:rPr>
      </w:pPr>
    </w:p>
    <w:p w:rsidR="005366A8" w:rsidRPr="00054FA5" w:rsidRDefault="005366A8" w:rsidP="005366A8">
      <w:pPr>
        <w:rPr>
          <w:rFonts w:ascii="Arial" w:hAnsi="Arial" w:cs="Arial"/>
          <w:sz w:val="20"/>
          <w:szCs w:val="20"/>
          <w:rtl/>
        </w:rPr>
      </w:pPr>
      <w:r w:rsidRPr="00993443">
        <w:rPr>
          <w:rFonts w:ascii="Arial" w:hAnsi="Arial" w:cs="Arial" w:hint="cs"/>
          <w:sz w:val="20"/>
          <w:szCs w:val="20"/>
          <w:highlight w:val="yellow"/>
          <w:rtl/>
        </w:rPr>
        <w:t>עם זאת, בפס"ד מרכזי חדש מושארת בצריך עיון ההכרעה ביחס למבחן הזיהוי.</w:t>
      </w:r>
    </w:p>
    <w:p w:rsidR="005366A8" w:rsidRPr="00054FA5" w:rsidRDefault="005366A8" w:rsidP="005366A8">
      <w:pPr>
        <w:rPr>
          <w:rFonts w:ascii="Arial" w:hAnsi="Arial" w:cs="Arial"/>
          <w:sz w:val="20"/>
          <w:szCs w:val="20"/>
          <w:rtl/>
        </w:rPr>
      </w:pPr>
    </w:p>
    <w:p w:rsidR="005366A8" w:rsidRPr="00591E73" w:rsidRDefault="005366A8" w:rsidP="005366A8">
      <w:pPr>
        <w:spacing w:after="180"/>
        <w:ind w:left="720" w:hanging="720"/>
        <w:jc w:val="center"/>
      </w:pPr>
      <w:r w:rsidRPr="00054FA5">
        <w:rPr>
          <w:rFonts w:hint="cs"/>
          <w:highlight w:val="yellow"/>
          <w:rtl/>
        </w:rPr>
        <w:t xml:space="preserve">בג"צ 4908/10 </w:t>
      </w:r>
      <w:r w:rsidRPr="00054FA5">
        <w:rPr>
          <w:rFonts w:hint="cs"/>
          <w:b/>
          <w:bCs/>
          <w:highlight w:val="yellow"/>
          <w:rtl/>
        </w:rPr>
        <w:t>בר-און נ' כנסת ישראל</w:t>
      </w:r>
      <w:r w:rsidRPr="00054FA5">
        <w:rPr>
          <w:rFonts w:hint="cs"/>
          <w:highlight w:val="yellow"/>
          <w:rtl/>
        </w:rPr>
        <w:t xml:space="preserve"> (2011)</w:t>
      </w:r>
    </w:p>
    <w:p w:rsidR="005366A8" w:rsidRDefault="005366A8" w:rsidP="005366A8">
      <w:pPr>
        <w:rPr>
          <w:rFonts w:cs="FrankRuehl"/>
          <w:sz w:val="22"/>
          <w:szCs w:val="22"/>
          <w:rtl/>
        </w:rPr>
      </w:pPr>
      <w:r>
        <w:rPr>
          <w:rFonts w:cs="FrankRuehl" w:hint="cs"/>
          <w:sz w:val="22"/>
          <w:szCs w:val="22"/>
          <w:rtl/>
        </w:rPr>
        <w:t>[</w:t>
      </w:r>
      <w:r w:rsidRPr="00347783">
        <w:rPr>
          <w:rFonts w:cs="FrankRuehl" w:hint="cs"/>
          <w:sz w:val="22"/>
          <w:szCs w:val="22"/>
          <w:rtl/>
        </w:rPr>
        <w:t xml:space="preserve">ביום 22.6.2010 התקבל בקריאה שנייה ושלישית </w:t>
      </w:r>
      <w:r w:rsidRPr="00347783">
        <w:rPr>
          <w:rFonts w:cs="FrankRuehl" w:hint="cs"/>
          <w:sz w:val="22"/>
          <w:szCs w:val="22"/>
          <w:highlight w:val="yellow"/>
          <w:rtl/>
        </w:rPr>
        <w:t>חוק יסוד: תקציב המדינה (הוראות מיוחדות) (הוראת שעה) (תיקון)</w:t>
      </w:r>
      <w:r w:rsidRPr="00347783">
        <w:rPr>
          <w:rFonts w:cs="FrankRuehl" w:hint="cs"/>
          <w:sz w:val="22"/>
          <w:szCs w:val="22"/>
          <w:rtl/>
        </w:rPr>
        <w:t xml:space="preserve"> (להלן: </w:t>
      </w:r>
      <w:r w:rsidRPr="00347783">
        <w:rPr>
          <w:rFonts w:cs="Miriam" w:hint="cs"/>
          <w:sz w:val="22"/>
          <w:szCs w:val="22"/>
          <w:rtl/>
        </w:rPr>
        <w:t>חוק יסוד הוראת השעה</w:t>
      </w:r>
      <w:r w:rsidRPr="00347783">
        <w:rPr>
          <w:rFonts w:cs="FrankRuehl" w:hint="cs"/>
          <w:sz w:val="22"/>
          <w:szCs w:val="22"/>
          <w:rtl/>
        </w:rPr>
        <w:t xml:space="preserve"> או </w:t>
      </w:r>
      <w:r w:rsidRPr="00347783">
        <w:rPr>
          <w:rFonts w:cs="Miriam" w:hint="cs"/>
          <w:sz w:val="22"/>
          <w:szCs w:val="22"/>
          <w:rtl/>
        </w:rPr>
        <w:t>החוק</w:t>
      </w:r>
      <w:r w:rsidRPr="00347783">
        <w:rPr>
          <w:rFonts w:cs="FrankRuehl" w:hint="cs"/>
          <w:sz w:val="22"/>
          <w:szCs w:val="22"/>
          <w:rtl/>
        </w:rPr>
        <w:t xml:space="preserve">). חוק יסוד הוראת השעה קובע כי תקציב המדינה לשנים 2011 ו-2012 יהיה תקציב דו-שנתי שיקבע בחוק אחד. חוק יסוד הוראת השעה הוא המשך של חוק יסוד קודם שקבע, אף הוא בהוראת שעה, כי תקציב המדינה לשנים 2009 ו-2010 יהיה תקציב דו-שנתי (להלן: </w:t>
      </w:r>
      <w:r w:rsidRPr="00347783">
        <w:rPr>
          <w:rFonts w:cs="Miriam" w:hint="cs"/>
          <w:sz w:val="22"/>
          <w:szCs w:val="22"/>
          <w:rtl/>
        </w:rPr>
        <w:t>הוראת השעה המקורית</w:t>
      </w:r>
      <w:r w:rsidRPr="00347783">
        <w:rPr>
          <w:rFonts w:cs="FrankRuehl" w:hint="cs"/>
          <w:sz w:val="22"/>
          <w:szCs w:val="22"/>
          <w:rtl/>
        </w:rPr>
        <w:t>). חוק יסוד הוראת השעה, כהוראת השעה המקורית, משנה את ההוראות הקבועות בסעיפים 3(א)(2), 3(ב)(1) ו-3א לחוק יסוד: משק המדינה, לפיהן תקציב המדינה ייקבע לשנה אחת בלבד.</w:t>
      </w:r>
      <w:r>
        <w:rPr>
          <w:rFonts w:cs="FrankRuehl" w:hint="cs"/>
          <w:sz w:val="22"/>
          <w:szCs w:val="22"/>
          <w:rtl/>
        </w:rPr>
        <w:t>]</w:t>
      </w:r>
    </w:p>
    <w:p w:rsidR="005366A8" w:rsidRDefault="005366A8" w:rsidP="005366A8">
      <w:pPr>
        <w:rPr>
          <w:sz w:val="22"/>
          <w:szCs w:val="22"/>
          <w:rtl/>
        </w:rPr>
      </w:pPr>
    </w:p>
    <w:p w:rsidR="005366A8" w:rsidRPr="00054FA5" w:rsidRDefault="005366A8" w:rsidP="005366A8">
      <w:pPr>
        <w:rPr>
          <w:rFonts w:cs="FrankRuehl"/>
          <w:sz w:val="22"/>
          <w:szCs w:val="22"/>
          <w:rtl/>
        </w:rPr>
      </w:pPr>
      <w:r w:rsidRPr="00054FA5">
        <w:rPr>
          <w:rFonts w:hint="cs"/>
          <w:sz w:val="22"/>
          <w:szCs w:val="22"/>
          <w:rtl/>
        </w:rPr>
        <w:t> </w:t>
      </w:r>
      <w:r w:rsidRPr="00054FA5">
        <w:rPr>
          <w:rFonts w:cs="FrankRuehl" w:hint="cs"/>
          <w:sz w:val="22"/>
          <w:szCs w:val="22"/>
          <w:rtl/>
        </w:rPr>
        <w:t xml:space="preserve">11.      המבחן הצורני קיבל משנה תוקף בפסק הדין בפרשת בנק המזרחי. בדעת רוב השופטים נקבע המבחן הצורני כמבחן מכוחו מזוהים חוקי יסוד. הנשיא ברק, אליו הצטרפו רוב השופטים, קבע בפסק דינו: </w:t>
      </w:r>
    </w:p>
    <w:p w:rsidR="005366A8" w:rsidRPr="00054FA5" w:rsidRDefault="005366A8" w:rsidP="005366A8">
      <w:pPr>
        <w:ind w:left="720"/>
        <w:rPr>
          <w:rFonts w:cs="FrankRuehl"/>
          <w:sz w:val="22"/>
          <w:szCs w:val="22"/>
          <w:rtl/>
        </w:rPr>
      </w:pPr>
      <w:r w:rsidRPr="00054FA5">
        <w:rPr>
          <w:rFonts w:cs="FrankRuehl" w:hint="cs"/>
          <w:sz w:val="22"/>
          <w:szCs w:val="22"/>
          <w:rtl/>
        </w:rPr>
        <w:t xml:space="preserve"> "מתי נורמה הנוצרת [על ידי הכנסת] היא בעלת מעמד חוקתי, ומתי נאמר כי הנורמה היא חוק 'רגיל'? לדעתי, התשובה הינה, כי הכנסת משתמשת בסמכותה המכוננת ... כאשר היא נותנת ביטוי חיצוני לכך בשם הנורמה ורואה בו 'חוק-יסוד' (ללא ציון שנת החקיקה)" </w:t>
      </w:r>
      <w:r>
        <w:rPr>
          <w:rFonts w:cs="FrankRuehl" w:hint="cs"/>
          <w:sz w:val="22"/>
          <w:szCs w:val="22"/>
          <w:rtl/>
        </w:rPr>
        <w:t>.</w:t>
      </w:r>
      <w:r w:rsidRPr="00054FA5">
        <w:rPr>
          <w:rFonts w:cs="FrankRuehl" w:hint="cs"/>
          <w:sz w:val="22"/>
          <w:szCs w:val="22"/>
          <w:rtl/>
        </w:rPr>
        <w:t xml:space="preserve">. </w:t>
      </w:r>
    </w:p>
    <w:p w:rsidR="005366A8" w:rsidRPr="00054FA5" w:rsidRDefault="005366A8" w:rsidP="005366A8">
      <w:pPr>
        <w:rPr>
          <w:rFonts w:cs="FrankRuehl"/>
          <w:sz w:val="22"/>
          <w:szCs w:val="22"/>
          <w:rtl/>
        </w:rPr>
      </w:pPr>
      <w:r w:rsidRPr="00054FA5">
        <w:rPr>
          <w:rFonts w:cs="FrankRuehl" w:hint="cs"/>
          <w:sz w:val="22"/>
          <w:szCs w:val="22"/>
          <w:rtl/>
        </w:rPr>
        <w:t>  </w:t>
      </w:r>
    </w:p>
    <w:p w:rsidR="005366A8" w:rsidRPr="00054FA5" w:rsidRDefault="005366A8" w:rsidP="005366A8">
      <w:pPr>
        <w:spacing w:after="60"/>
        <w:rPr>
          <w:rFonts w:cs="FrankRuehl"/>
          <w:sz w:val="22"/>
          <w:szCs w:val="22"/>
          <w:rtl/>
        </w:rPr>
      </w:pPr>
      <w:r w:rsidRPr="00054FA5">
        <w:rPr>
          <w:rFonts w:cs="FrankRuehl" w:hint="cs"/>
          <w:sz w:val="22"/>
          <w:szCs w:val="22"/>
          <w:rtl/>
        </w:rPr>
        <w:t xml:space="preserve">ביסוד ההחלטה לאמץ את המבחן הצורני עמדה ההנחה כי נדרש מבחן פשוט לזיהוי חוקי יסוד, באופן שלא יתעוררו קשיים ותשרור אי וודאות באשר לחוקים שמעמדם הנורמטיבי על-חוקי. </w:t>
      </w:r>
      <w:r>
        <w:rPr>
          <w:rFonts w:cs="FrankRuehl" w:hint="cs"/>
          <w:sz w:val="22"/>
          <w:szCs w:val="22"/>
          <w:rtl/>
        </w:rPr>
        <w:t>...</w:t>
      </w:r>
      <w:r w:rsidRPr="00054FA5">
        <w:rPr>
          <w:rFonts w:cs="FrankRuehl" w:hint="cs"/>
          <w:sz w:val="22"/>
          <w:szCs w:val="22"/>
          <w:rtl/>
        </w:rPr>
        <w:t xml:space="preserve">ואכן, המבחן הצורני איפשר – ועודנו מאפשר – לסווג את דברי החקיקה שמהווים חלק מחוקת המדינה, והם בלבד. המבחן הצורני גם מאפשר לכנסת לדעת מבעוד מועד מתי היא פועלת כרשות מכוננת, "להיכנס" לאותה מחויבות המתבקשת מחקיקת יסוד ו"לחבוש" את כובע הרשות המכוננת, בטרם תדון בהצעת חוק שעתידה להיות חלק מחוקת המדינה. </w:t>
      </w:r>
    </w:p>
    <w:p w:rsidR="005366A8" w:rsidRPr="00054FA5" w:rsidRDefault="005366A8" w:rsidP="005366A8">
      <w:pPr>
        <w:spacing w:after="60"/>
        <w:rPr>
          <w:rFonts w:cs="FrankRuehl"/>
          <w:sz w:val="22"/>
          <w:szCs w:val="22"/>
          <w:rtl/>
        </w:rPr>
      </w:pPr>
      <w:r w:rsidRPr="00054FA5">
        <w:rPr>
          <w:rFonts w:cs="FrankRuehl" w:hint="cs"/>
          <w:sz w:val="22"/>
          <w:szCs w:val="22"/>
          <w:rtl/>
        </w:rPr>
        <w:t xml:space="preserve">12.      לא אחת הושמעה הטענה כי המבחן הצורני פשטני מדי </w:t>
      </w:r>
      <w:r>
        <w:rPr>
          <w:rFonts w:cs="FrankRuehl" w:hint="cs"/>
          <w:sz w:val="22"/>
          <w:szCs w:val="22"/>
          <w:rtl/>
        </w:rPr>
        <w:t>...</w:t>
      </w:r>
      <w:r w:rsidRPr="00054FA5">
        <w:rPr>
          <w:rFonts w:cs="FrankRuehl" w:hint="cs"/>
          <w:sz w:val="22"/>
          <w:szCs w:val="22"/>
          <w:rtl/>
        </w:rPr>
        <w:t>על כן, תכופות נשמעת הטענה כי יש מקום לשלב, לצד המבחן הצורני, גם מבחן מהותי, באופן שהכללת המילים "חוק יסוד" בכותרת החוק יהוו תנאי ראשוני, אך לא תנאי מספיק, להכרה בחוק כחוק יסוד</w:t>
      </w:r>
      <w:r>
        <w:rPr>
          <w:rFonts w:cs="FrankRuehl" w:hint="cs"/>
          <w:sz w:val="22"/>
          <w:szCs w:val="22"/>
          <w:rtl/>
        </w:rPr>
        <w:t>...</w:t>
      </w:r>
    </w:p>
    <w:p w:rsidR="005366A8" w:rsidRPr="00054FA5" w:rsidRDefault="005366A8" w:rsidP="005366A8">
      <w:pPr>
        <w:spacing w:after="60"/>
        <w:rPr>
          <w:rFonts w:cs="FrankRuehl"/>
          <w:sz w:val="22"/>
          <w:szCs w:val="22"/>
          <w:rtl/>
        </w:rPr>
      </w:pPr>
      <w:r w:rsidRPr="00054FA5">
        <w:rPr>
          <w:rFonts w:cs="FrankRuehl" w:hint="cs"/>
          <w:sz w:val="22"/>
          <w:szCs w:val="22"/>
          <w:rtl/>
        </w:rPr>
        <w:t xml:space="preserve">13.      הצעה זו, של כינון מבחן משולב לזיהויו של חוק יסוד, היא הצעה שיש יתרונות וחסרונות בצידה. </w:t>
      </w:r>
      <w:r w:rsidRPr="00CD2354">
        <w:rPr>
          <w:rFonts w:cs="FrankRuehl" w:hint="cs"/>
          <w:sz w:val="22"/>
          <w:szCs w:val="22"/>
          <w:highlight w:val="yellow"/>
          <w:rtl/>
        </w:rPr>
        <w:t>מחד גיסא,</w:t>
      </w:r>
      <w:r w:rsidRPr="00054FA5">
        <w:rPr>
          <w:rFonts w:cs="FrankRuehl" w:hint="cs"/>
          <w:sz w:val="22"/>
          <w:szCs w:val="22"/>
          <w:rtl/>
        </w:rPr>
        <w:t xml:space="preserve"> הצעה זו מאפשרת בחינה מקיפה של דבר חקיקה שעתיד להצטרף לחוקת המדינה. המבחן המהותי או המבחן המשולב מסייע להתגבר על הבעייתיות הטמונה במבחן הצורני, שעיקרו פורמאלי, והוא מוודא שלא ייעשה שימוש לרעה בכותרת "חוק יסוד" לשריון הסדרים שאינם מתאימים מבחינת תוכנם להיות חלק מחוקת המדינה. </w:t>
      </w:r>
      <w:r w:rsidRPr="00CD2354">
        <w:rPr>
          <w:rFonts w:cs="FrankRuehl" w:hint="cs"/>
          <w:sz w:val="22"/>
          <w:szCs w:val="22"/>
          <w:highlight w:val="yellow"/>
          <w:rtl/>
        </w:rPr>
        <w:t>מאידך גיסא,</w:t>
      </w:r>
      <w:r w:rsidRPr="00054FA5">
        <w:rPr>
          <w:rFonts w:cs="FrankRuehl" w:hint="cs"/>
          <w:sz w:val="22"/>
          <w:szCs w:val="22"/>
          <w:rtl/>
        </w:rPr>
        <w:t xml:space="preserve"> השימוש במבחן מהותי או במבחן משולב כלשהו אינו חף מקשיים. טמונה בו, בראש ובראשונה, מידה לא מבוטלת של חוסר וודאות לגבי חקיקה קיימת ועתידית בשאלה אם מהווה היא חלק מן החוקה. טמון במבחן המהותי גם קושי ממשי אשר, כלשונו של הנשיא ברק, יורד "לשורש היחסים בין הסמכות המכוננת (של הכנסת) לבין הסמכות השופטת (של בתי המשפט)" (פרשת בנק המזרחי, עמ' 406), בידיה תופקד הסמכות לקבוע אם דבר חקיקה, מבחינת תוכנו, מתאים להיכלל בחוקה.  </w:t>
      </w:r>
    </w:p>
    <w:p w:rsidR="005366A8" w:rsidRPr="00054FA5" w:rsidRDefault="005366A8" w:rsidP="005366A8">
      <w:pPr>
        <w:spacing w:after="60"/>
        <w:rPr>
          <w:rFonts w:cs="FrankRuehl"/>
          <w:sz w:val="22"/>
          <w:szCs w:val="22"/>
          <w:rtl/>
        </w:rPr>
      </w:pPr>
      <w:r w:rsidRPr="00054FA5">
        <w:rPr>
          <w:rFonts w:cs="FrankRuehl" w:hint="cs"/>
          <w:sz w:val="22"/>
          <w:szCs w:val="22"/>
          <w:rtl/>
        </w:rPr>
        <w:t xml:space="preserve">14.      </w:t>
      </w:r>
      <w:r w:rsidRPr="00054FA5">
        <w:rPr>
          <w:rFonts w:cs="FrankRuehl" w:hint="cs"/>
          <w:sz w:val="22"/>
          <w:szCs w:val="22"/>
          <w:highlight w:val="yellow"/>
          <w:rtl/>
        </w:rPr>
        <w:t>השאלה אם יש מקום להחיל בישראל מבחן משולב היא שאלה מורכבת שאני סבורה שניתן להותירה בצריך עיון ואין הכרח להכריע בה במסגרת העתירה שלפנינו.</w:t>
      </w:r>
      <w:r w:rsidRPr="00054FA5">
        <w:rPr>
          <w:rFonts w:cs="FrankRuehl" w:hint="cs"/>
          <w:sz w:val="22"/>
          <w:szCs w:val="22"/>
          <w:rtl/>
        </w:rPr>
        <w:t xml:space="preserve"> אמנם, יש ממש בטענה כי יש דברי חוק שראויים היו, מבחינת תוכנם, להיכלל בחוקת המדינה. בדומה, יש ממש בטענה כי קיימים סעיפים והוראות בחוקי היסוד שספק אם הם מסוג ההוראות שראויות להימצא בחוקה. יחד עם זאת, בעובדה זו בלבד אין בהכרח כדי להוביל למסקנה לפיה יש מקום לשנות מן המבחן שהיה מקובל עד כה. אין חולק כי השימוש במבחן הצורני מחייב ריסון עצמי של המחוקק, שבידיו הסמכות המרכזית לקבוע, א-פריורי, אילו דברי חקיקה יזכו למעמד חוקתי. המבחן הצורני מניח שהמחוקק לא יעשה שימוש לרעה בסמכותו המכוננת, ויצמיד את הכותרת "חוק יסוד" לחקיקה שאינה ראויה להיות חלק מן החוקה. עיון בחקיקת חוקי היסוד משנת 1958 ועד היום, מעלה כי לא נעשה שימוש לרעה כזה</w:t>
      </w:r>
      <w:r>
        <w:rPr>
          <w:rFonts w:cs="FrankRuehl" w:hint="cs"/>
          <w:sz w:val="22"/>
          <w:szCs w:val="22"/>
          <w:rtl/>
        </w:rPr>
        <w:t>...</w:t>
      </w:r>
    </w:p>
    <w:p w:rsidR="005366A8" w:rsidRPr="00054FA5" w:rsidRDefault="005366A8" w:rsidP="005366A8">
      <w:pPr>
        <w:spacing w:after="60"/>
        <w:rPr>
          <w:rFonts w:cs="FrankRuehl"/>
          <w:sz w:val="22"/>
          <w:szCs w:val="22"/>
          <w:rtl/>
        </w:rPr>
      </w:pPr>
      <w:r w:rsidRPr="00054FA5">
        <w:rPr>
          <w:rFonts w:cs="FrankRuehl" w:hint="cs"/>
          <w:sz w:val="22"/>
          <w:szCs w:val="22"/>
          <w:rtl/>
        </w:rPr>
        <w:t xml:space="preserve">15.      בנוסף, אין הכרח להכריע בשאלת המבחן לזיהוי חוקי יסוד במקרה שלפנינו </w:t>
      </w:r>
      <w:r w:rsidRPr="00CD2354">
        <w:rPr>
          <w:rFonts w:cs="FrankRuehl" w:hint="cs"/>
          <w:sz w:val="22"/>
          <w:szCs w:val="22"/>
          <w:highlight w:val="yellow"/>
          <w:rtl/>
        </w:rPr>
        <w:t>מאחר שגם שימוש במבחן המשולב מוביל למסקנה שחוק יסוד הוראת השעה הוא חוק יסוד</w:t>
      </w:r>
      <w:r w:rsidRPr="00054FA5">
        <w:rPr>
          <w:rFonts w:cs="FrankRuehl" w:hint="cs"/>
          <w:sz w:val="22"/>
          <w:szCs w:val="22"/>
          <w:rtl/>
        </w:rPr>
        <w:t xml:space="preserve">. על פי תנאי </w:t>
      </w:r>
      <w:r w:rsidRPr="00CD2354">
        <w:rPr>
          <w:rFonts w:cs="FrankRuehl" w:hint="cs"/>
          <w:sz w:val="22"/>
          <w:szCs w:val="22"/>
          <w:highlight w:val="yellow"/>
          <w:rtl/>
        </w:rPr>
        <w:t>המבחן הצורני</w:t>
      </w:r>
      <w:r w:rsidRPr="00054FA5">
        <w:rPr>
          <w:rFonts w:cs="FrankRuehl" w:hint="cs"/>
          <w:sz w:val="22"/>
          <w:szCs w:val="22"/>
          <w:rtl/>
        </w:rPr>
        <w:t xml:space="preserve">, כותרתו של חוק יסוד הוראת השעה נושאת את המילים "חוק יסוד" ושנת חקיקתו אינה מצוינת בו. העותרים טענו כי העובדה שכותרת החוק נושאת את שנות תחולתו כמוה כציון שנת החקיקה. טענה זו אינה משכנעת. ציון תקופת התחולה של חוק היסוד אינה משולה לציון שנת החקיקה, ואין בה כדי לפגום בתוקפו של החוק על פי המבחן הצורני. גם לפי </w:t>
      </w:r>
      <w:r w:rsidRPr="00CD2354">
        <w:rPr>
          <w:rFonts w:cs="FrankRuehl" w:hint="cs"/>
          <w:sz w:val="22"/>
          <w:szCs w:val="22"/>
          <w:highlight w:val="yellow"/>
          <w:rtl/>
        </w:rPr>
        <w:t>המבחן המהותי</w:t>
      </w:r>
      <w:r w:rsidRPr="00054FA5">
        <w:rPr>
          <w:rFonts w:cs="FrankRuehl" w:hint="cs"/>
          <w:sz w:val="22"/>
          <w:szCs w:val="22"/>
          <w:rtl/>
        </w:rPr>
        <w:t xml:space="preserve">, אין מקום למסקנת העותרים לפיה מעמדו של חוק יסוד הוראת השעה הינו של "דבר חקיקה הנחות אף מחוק רגיל"; הגם שאין חולק כי החוק מעורר קשיים לא מבוטלים. המאטריה בה עוסק החוק – תקציב המדינה – היא מאטריה שהוסדרה בחוק יסוד: משק המדינה והוכרה כתחום המהווה חלק מחוקי היסוד בישראל. חוק יסוד הוראת השעה משנה את ההסדר החוקתי הנוגע לתקציב המדינה, בקובעו כי תקציב המדינה לשנים 2012-2011 יקבע כתקציב דו-שנתי במקום תקציב חד-שנתי. על כן, אף מן הטעם הזה אין לומר כי החוק, מבחינת תוכנו, אינו מתאים להיכלל בחוקי היסוד שלנו. </w:t>
      </w:r>
    </w:p>
    <w:p w:rsidR="005366A8" w:rsidRPr="0058771C" w:rsidRDefault="005366A8" w:rsidP="005366A8">
      <w:pPr>
        <w:rPr>
          <w:rFonts w:cs="FrankRuehl"/>
          <w:sz w:val="22"/>
          <w:szCs w:val="22"/>
          <w:rtl/>
        </w:rPr>
      </w:pPr>
      <w:r w:rsidRPr="00054FA5">
        <w:rPr>
          <w:rFonts w:cs="FrankRuehl" w:hint="cs"/>
          <w:sz w:val="22"/>
          <w:szCs w:val="22"/>
          <w:rtl/>
        </w:rPr>
        <w:t>            ממכלול טעמים אלה, אני סבורה כי בנסיבות המקרה שלפנינו אין הכרח להכריע בשאלת החלתו של מבחן משולב לזיהוי חוקי יסוד, המעלה, כאמור, סוגיות מורכבות הן לעניין אפיון חקיקה כחקיקת יסוד והן לעניין חלוקת הסמכויות שבין הרשות המחוקקת והרשות השופטת</w:t>
      </w:r>
      <w:r>
        <w:rPr>
          <w:rFonts w:cs="FrankRuehl" w:hint="cs"/>
          <w:sz w:val="22"/>
          <w:szCs w:val="22"/>
          <w:rtl/>
        </w:rPr>
        <w:t>.</w:t>
      </w:r>
    </w:p>
    <w:p w:rsidR="005366A8" w:rsidRPr="0058771C" w:rsidRDefault="005366A8" w:rsidP="005366A8">
      <w:pPr>
        <w:rPr>
          <w:rFonts w:cs="FrankRuehl"/>
          <w:sz w:val="22"/>
          <w:szCs w:val="22"/>
          <w:rtl/>
        </w:rPr>
      </w:pPr>
    </w:p>
    <w:p w:rsidR="005366A8" w:rsidRPr="0058771C" w:rsidRDefault="005366A8" w:rsidP="005366A8">
      <w:pPr>
        <w:spacing w:after="60"/>
        <w:rPr>
          <w:rFonts w:cs="FrankRuehl"/>
          <w:sz w:val="22"/>
          <w:szCs w:val="22"/>
          <w:rtl/>
        </w:rPr>
      </w:pPr>
      <w:r w:rsidRPr="0058771C">
        <w:rPr>
          <w:rFonts w:cs="FrankRuehl" w:hint="cs"/>
          <w:sz w:val="22"/>
          <w:szCs w:val="22"/>
          <w:rtl/>
        </w:rPr>
        <w:t xml:space="preserve">16.      </w:t>
      </w:r>
      <w:r w:rsidRPr="0058771C">
        <w:rPr>
          <w:rFonts w:cs="FrankRuehl" w:hint="cs"/>
          <w:sz w:val="22"/>
          <w:szCs w:val="22"/>
          <w:highlight w:val="yellow"/>
          <w:rtl/>
        </w:rPr>
        <w:t>שאלה נפרדת היא האם נעשה במקרה שלפנינו שימוש לרעה בכותרת "חוק  יסוד". העותרים טענו בהרחבה כי לא ניתן להפקיע עיקרון חוקתי המעוגן בחוקי היסוד בהוראת שעה שמשך תחולתה נקבע אך ורק למשך תקופת כהונתה של הממשלה הנוכחית. לפי הטענה, ממשלת ישראל מבקשת לנצל את הרוב שיש לה בכנסת כדי לשנות את כללי המשחק הפרלמנטרי, "תוך ניצול לרעה של הרוב האוטומטי הנתון היום לממשלה בבית הנבחרים, על מנת לשנות חוק יסוד באופן זמני ומגמתי – עד תום כהונת הממשלה הנוכחית בלבד" (עתירה מיום 3.6.2010, עמ' 3-2). עוד טענו העותרים כי "לא שיקולים של טובת המשטר הפרלמנטרי או של טובת הדמוקרטיה עמדו לנגד עיני אדריכלי החוק, כי אם שיקולים של נוחות והישרדות הממשלה (גם על חשבון עקרונות יסוד)" (שם, עמ' 3). לטענת העותרים, אילו היו חברי הכנסת מבקשים לערוך ניסוי "אמיתי" בניהול תקציב דו-שנתי, היה עליהם לקבוע כי התקציב הדו-שנתי יחול מהכנסת הבאה ואילך.</w:t>
      </w:r>
      <w:r w:rsidRPr="0058771C">
        <w:rPr>
          <w:rFonts w:cs="FrankRuehl" w:hint="cs"/>
          <w:sz w:val="22"/>
          <w:szCs w:val="22"/>
          <w:rtl/>
        </w:rPr>
        <w:t xml:space="preserve"> </w:t>
      </w:r>
    </w:p>
    <w:p w:rsidR="005366A8" w:rsidRPr="0058771C" w:rsidRDefault="005366A8" w:rsidP="005366A8">
      <w:pPr>
        <w:spacing w:after="60"/>
        <w:rPr>
          <w:rFonts w:cs="FrankRuehl"/>
          <w:sz w:val="22"/>
          <w:szCs w:val="22"/>
          <w:rtl/>
        </w:rPr>
      </w:pPr>
      <w:r w:rsidRPr="0058771C">
        <w:rPr>
          <w:rFonts w:cs="FrankRuehl" w:hint="cs"/>
          <w:sz w:val="22"/>
          <w:szCs w:val="22"/>
          <w:rtl/>
        </w:rPr>
        <w:t>האם העובדה שחוק היסוד נקבע על דרך של הוראת שעה פוגמת בתוקפו? [..]</w:t>
      </w:r>
    </w:p>
    <w:p w:rsidR="005366A8" w:rsidRPr="0058771C" w:rsidRDefault="005366A8" w:rsidP="005366A8">
      <w:pPr>
        <w:spacing w:after="60"/>
        <w:rPr>
          <w:rFonts w:cs="FrankRuehl"/>
          <w:sz w:val="22"/>
          <w:szCs w:val="22"/>
          <w:rtl/>
        </w:rPr>
      </w:pPr>
      <w:r w:rsidRPr="0058771C">
        <w:rPr>
          <w:rFonts w:cs="FrankRuehl" w:hint="cs"/>
          <w:sz w:val="22"/>
          <w:szCs w:val="22"/>
          <w:rtl/>
        </w:rPr>
        <w:t xml:space="preserve">19.      </w:t>
      </w:r>
      <w:r w:rsidRPr="0058771C">
        <w:rPr>
          <w:rFonts w:cs="FrankRuehl" w:hint="cs"/>
          <w:sz w:val="22"/>
          <w:szCs w:val="22"/>
          <w:highlight w:val="yellow"/>
          <w:rtl/>
        </w:rPr>
        <w:t>האפשרות לחוקק הוראה חוקתית שתחילתה וקיצה נקבעים מראש לפרק זמן קצוב מציפה שורה של קשיים הקיימים במשפט החוקתי הישראלי. יש לזכור כי המערך החוקתי בישראל הוא מיוחד ואינו שלם. אמנם, אין חולק כי המפעל החוקתי במדינת ישראל התקדם באופן משמעותי מאז חקיקת חוק היסוד הראשון בשנת 1958, אך מפעל זה טרם הושלם (ראו, למשל: אהרן ברק שופט בחברה דמוקרטית 79 (2004)). בשל כך, חסרים בחוקה שלנו מאפיינים רבים המקובלים במדינות בהן יש חוקה שלמה. כך למשל, חלק מן הזכויות הבסיסיות אינן מוגנות בחקיקת יסוד. חלק מההוראות הקבועות בחוקי היסוד משוריינות ואחרות ניתנות לשינוי ברוב רגיל. חלק מן ההוראות מנוסחות בלשון חגיגית, כללית וקצרה וחלק מן ההוראות מפורטות מדי ומסורבלות (ראו, זמיר, חוקי-היסוד בדרך לחוקה). חלק מחוקי היסוד מסדירים נושאים שמטיבם נועדו להוות חלק מחוקה עתידית בעוד שחלק מחוקי היסוד מסדירים נושאים שאינם כלולים, בדרך כלל, בחוקות המוכרות לנו בעולם. חלק מן הנושאים המרכזיים בחוקות העולם אינם מוסדרים אצלנו בחוקי יסוד כלל ומתעוררת שאלה לגבי מעמדם החוקתי (ראו דברי הנשיא ברק בפרשת בנק המזרחי, בעמ' 403-402). זוהי החוקה "נוסח ישראל". במידה לא מבוטלת, היא חוקה שעודנה בתהליך התגבשות.</w:t>
      </w:r>
      <w:r w:rsidRPr="0058771C">
        <w:rPr>
          <w:rFonts w:cs="FrankRuehl" w:hint="cs"/>
          <w:sz w:val="22"/>
          <w:szCs w:val="22"/>
          <w:rtl/>
        </w:rPr>
        <w:t xml:space="preserve">  </w:t>
      </w:r>
    </w:p>
    <w:p w:rsidR="005366A8" w:rsidRPr="0058771C" w:rsidRDefault="005366A8" w:rsidP="005366A8">
      <w:pPr>
        <w:spacing w:after="60"/>
        <w:rPr>
          <w:rFonts w:cs="FrankRuehl"/>
          <w:sz w:val="22"/>
          <w:szCs w:val="22"/>
          <w:rtl/>
        </w:rPr>
      </w:pPr>
      <w:r w:rsidRPr="0058771C">
        <w:rPr>
          <w:rFonts w:cs="FrankRuehl" w:hint="cs"/>
          <w:sz w:val="22"/>
          <w:szCs w:val="22"/>
          <w:rtl/>
        </w:rPr>
        <w:t xml:space="preserve"> 20.      </w:t>
      </w:r>
      <w:r w:rsidRPr="0058771C">
        <w:rPr>
          <w:rFonts w:cs="FrankRuehl" w:hint="cs"/>
          <w:sz w:val="22"/>
          <w:szCs w:val="22"/>
          <w:highlight w:val="yellow"/>
          <w:rtl/>
        </w:rPr>
        <w:t>חסר בולט במשטרנו החוקתי קיים בכל הנוגע לאופן חקיקת חוקי יסוד. בהתחשב בכך שטרם נחקק חוק יסוד: החקיקה, לא נקבע המתווה לתיקון ולשינוי החוקה; הרוב הדרוש לתיקון החוקה; והאפשרות, אם בכלל, לתקן את החוקה או לתקנה באופן זמני</w:t>
      </w:r>
      <w:r w:rsidRPr="0058771C">
        <w:rPr>
          <w:rFonts w:cs="FrankRuehl" w:hint="cs"/>
          <w:sz w:val="22"/>
          <w:szCs w:val="22"/>
          <w:rtl/>
        </w:rPr>
        <w:t xml:space="preserve">. כתוצאה מכך, </w:t>
      </w:r>
      <w:r w:rsidRPr="0058771C">
        <w:rPr>
          <w:rFonts w:cs="FrankRuehl" w:hint="cs"/>
          <w:sz w:val="22"/>
          <w:szCs w:val="22"/>
          <w:highlight w:val="yellow"/>
          <w:rtl/>
        </w:rPr>
        <w:t>תקנון הכנסת הוא המנגנון המרכזי החל על הליכי החקיקה של חוקי יסוד, והוא אינו כולל הוראה מיוחדת המבחינה בין הליך החקיקה של חוקים "רגילים" והליך החקיקה של חוקי יסוד. מן הטעם הזה, ניתן לחוקק חוקי יסוד בכל רוב בכנסת; וניתן לשנות חוקי יסוד – אלא אם הם משוריינים בשריון מיוחד – בכל רוב, ובלבד שהחוק המשנה הוא חוק יסוד</w:t>
      </w:r>
      <w:r w:rsidRPr="0058771C">
        <w:rPr>
          <w:rFonts w:cs="FrankRuehl" w:hint="cs"/>
          <w:sz w:val="22"/>
          <w:szCs w:val="22"/>
          <w:rtl/>
        </w:rPr>
        <w:t xml:space="preserve">. בפועל, </w:t>
      </w:r>
      <w:r w:rsidRPr="0058771C">
        <w:rPr>
          <w:rFonts w:cs="FrankRuehl" w:hint="cs"/>
          <w:sz w:val="22"/>
          <w:szCs w:val="22"/>
          <w:highlight w:val="yellow"/>
          <w:rtl/>
        </w:rPr>
        <w:t>עיון בהיסטוריית התיקונים של חוקי היסוד שלנו מעלה כי חוקי היסוד תוקנו או שונו מספר רב מאוד של פעמים (ראו, למשל, אריאל בנדור "פגמים בחקיקת חוקי-היסוד" משפט וממשל ב 443, 445-444 (1995)); לעין ערוך מספר גדול הרבה יותר מתיקוני החוקה שנעשו במדינות דמוקרטיות אחרות (החוקה האמריקנית, למשל, תוקנה 18 פעמים (ובסך-הכל 27 תיקונים) ב-227 שנות קיומה; החוקה ההולנדית, שהתקבלה בשנת 1814, תוקנה 24 פעמים; החוקה הצרפתית תוקנה שמונה פעמים מאז התקבלה בשנת 1958</w:t>
      </w:r>
      <w:r w:rsidRPr="0058771C">
        <w:rPr>
          <w:rFonts w:cs="FrankRuehl" w:hint="cs"/>
          <w:sz w:val="22"/>
          <w:szCs w:val="22"/>
          <w:rtl/>
        </w:rPr>
        <w:t>. ..</w:t>
      </w:r>
    </w:p>
    <w:p w:rsidR="005366A8" w:rsidRPr="0058771C" w:rsidRDefault="005366A8" w:rsidP="005366A8">
      <w:pPr>
        <w:spacing w:after="60"/>
        <w:rPr>
          <w:rFonts w:cs="FrankRuehl"/>
          <w:sz w:val="22"/>
          <w:szCs w:val="22"/>
          <w:rtl/>
        </w:rPr>
      </w:pPr>
      <w:r w:rsidRPr="0058771C">
        <w:rPr>
          <w:rFonts w:cs="FrankRuehl" w:hint="cs"/>
          <w:sz w:val="22"/>
          <w:szCs w:val="22"/>
          <w:rtl/>
        </w:rPr>
        <w:t xml:space="preserve">21.      </w:t>
      </w:r>
      <w:r w:rsidRPr="0058771C">
        <w:rPr>
          <w:rFonts w:cs="FrankRuehl" w:hint="cs"/>
          <w:sz w:val="22"/>
          <w:szCs w:val="22"/>
          <w:highlight w:val="yellow"/>
          <w:rtl/>
        </w:rPr>
        <w:t>הקלות בה ניתן לשנות את חוקי היסוד בישראל פוגעת במעמדם. המאפיין המרכזי של חוקה – מאפיין שהוא חלק מהגדרת היסוד של חוקה וגם חלק מהיתרונות הגלומים בעצם קיומה של חוקה – הוא יציבותה. חוקה נועדה לשרוד שינויים תכופים ולעמוד איתנה מול שינויים בהרכב הפוליטי של השלטון ואל מול שינויים חברתיים כאלה ואחרים. חוקה מציבה בפני החברה אמת מידה נורמטיבית. הליך השינוי המורכב של החוקה הוא המאפשר לאמת מידה זו לעמוד איתנה ויציבה גם אל מול חברה גועשת ומשטר משתנה. בישראל המצב אינו כזה. מרבית חוקי היסוד שלנו אינם משוריינים ועל כן ניתנים לשינוי על ידי הכנסת ברוב רגיל בהליכי חקיקה רגילים. מציאות חוקתית זו היא, במידה רבה, נגזרת של העובדה שהחוקה שלנו מתגבשת פרקים-פרקים ולא באקט מכונן חד-פעמי שלאחריו כל שינוי דורש פרוצדורה נוקשה וייחודית. חוקי היסוד שלנו נחקקו על פני תקופת זמן ארוכה. הם לא נחקקו כחלק ממסמך היסוד של הקמת המדינה ואף לא בתקופה של מהפכה, מלחמה, או כתגובה לשינוי קיצוני אחר בחברה או במשטר</w:t>
      </w:r>
      <w:r w:rsidRPr="0058771C">
        <w:rPr>
          <w:rFonts w:cs="FrankRuehl" w:hint="cs"/>
          <w:sz w:val="22"/>
          <w:szCs w:val="22"/>
          <w:rtl/>
        </w:rPr>
        <w:t xml:space="preserve"> ..</w:t>
      </w:r>
    </w:p>
    <w:p w:rsidR="005366A8" w:rsidRPr="0058771C" w:rsidRDefault="005366A8" w:rsidP="005366A8">
      <w:pPr>
        <w:spacing w:after="60"/>
        <w:rPr>
          <w:rFonts w:cs="FrankRuehl"/>
          <w:sz w:val="22"/>
          <w:szCs w:val="22"/>
          <w:rtl/>
        </w:rPr>
      </w:pPr>
      <w:r w:rsidRPr="0058771C">
        <w:rPr>
          <w:rFonts w:cs="FrankRuehl" w:hint="cs"/>
          <w:sz w:val="22"/>
          <w:szCs w:val="22"/>
          <w:rtl/>
        </w:rPr>
        <w:t>22</w:t>
      </w:r>
      <w:r w:rsidRPr="0058771C">
        <w:rPr>
          <w:rFonts w:cs="FrankRuehl" w:hint="cs"/>
          <w:sz w:val="22"/>
          <w:szCs w:val="22"/>
          <w:highlight w:val="yellow"/>
          <w:rtl/>
        </w:rPr>
        <w:t>.      יחד עם זאת, ניתן לומר שחוקי היסוד השתרשו בתרבות המשפטית ובמסורת הפוליטית והציבורית שלנו כחלק מחוקת המדינה. במידה לא מבוטלת, כוחה של חוקה ושל משטר חוקתי תקין נבחנים ביכולת של החוקה להוות אמת מידה נורמטיבית למחוקק, לרשות המבצעת, לרשות השופטת ולפרטים במדינה. גדולתה של חוקה בכך שהיא מצליחה לכוון את ההתנהגות של פרטים ושל רשויות המדינה, ולהגביל את כוחו של המחוקק לפגוע בהסדרים חוקתיים. משכך, התשובה לשאלה אם חוקי היסוד "השתרשו" במסורת החוקתית שלנו אינה תלויה אך בביקורת השיפוטית המופעלת על ידי בית משפט זה, אלא היא ניכרת גם, ואולי אף במיוחד, במקרים בהם העניין כלל אינו מגיע לפתחו של בית המשפט משום שהגורמים המעורבים בהליכי החקיקה, כמו גם רשויות השלטון, הפנימו את כללי המשחק המקובלים במשטר החוקתי.</w:t>
      </w:r>
      <w:r w:rsidRPr="0058771C">
        <w:rPr>
          <w:rFonts w:cs="FrankRuehl" w:hint="cs"/>
          <w:sz w:val="22"/>
          <w:szCs w:val="22"/>
          <w:rtl/>
        </w:rPr>
        <w:t xml:space="preserve">  ...</w:t>
      </w:r>
    </w:p>
    <w:p w:rsidR="005366A8" w:rsidRPr="0058771C" w:rsidRDefault="005366A8" w:rsidP="005366A8">
      <w:pPr>
        <w:spacing w:after="60"/>
        <w:rPr>
          <w:rFonts w:cs="FrankRuehl"/>
          <w:sz w:val="22"/>
          <w:szCs w:val="22"/>
          <w:highlight w:val="yellow"/>
          <w:rtl/>
        </w:rPr>
      </w:pPr>
      <w:r w:rsidRPr="0058771C">
        <w:rPr>
          <w:rFonts w:cs="FrankRuehl" w:hint="cs"/>
          <w:sz w:val="22"/>
          <w:szCs w:val="22"/>
          <w:rtl/>
        </w:rPr>
        <w:t>24.      היכן משתלב במארג החוקתי המתואר חוק יסוד הוראת השעה? האם משמעותו של הריסון העצמי של הכנסת הינה כי אין מקום לשנות את חוקי היסוד לפרקי זמן קצרים וקצובים? דומה כי אין מי שיחלוק על כך שהוראת שעה עומדת בניגוד לרעיון הבסיסי לפיו הוראות החוקה הן קבועות, ויש שיאמרו אף נצחיות</w:t>
      </w:r>
      <w:r w:rsidRPr="0058771C">
        <w:rPr>
          <w:rFonts w:cs="FrankRuehl" w:hint="cs"/>
          <w:sz w:val="22"/>
          <w:szCs w:val="22"/>
          <w:highlight w:val="yellow"/>
          <w:rtl/>
        </w:rPr>
        <w:t>. כאמור, ביסודה של חוקה עומד הרצון להבטיח עקרונות יציבים וזהות חברתית וערכית שאינם ניתנים לשינוי בקלות, על מנת שיעמדו מעל לארעי ולחולף. שינוי החוקה בדרך של הוראת שעה מניח שניתן להפקיע עקרון חוקתי לזמן מוגבל. האם הדבר פסול?</w:t>
      </w:r>
    </w:p>
    <w:p w:rsidR="005366A8" w:rsidRPr="0058771C" w:rsidRDefault="005366A8" w:rsidP="005366A8">
      <w:pPr>
        <w:spacing w:after="60"/>
        <w:rPr>
          <w:rFonts w:cs="FrankRuehl"/>
          <w:sz w:val="22"/>
          <w:szCs w:val="22"/>
          <w:rtl/>
        </w:rPr>
      </w:pPr>
      <w:r w:rsidRPr="0058771C">
        <w:rPr>
          <w:rFonts w:cs="FrankRuehl" w:hint="cs"/>
          <w:sz w:val="22"/>
          <w:szCs w:val="22"/>
          <w:highlight w:val="yellow"/>
          <w:rtl/>
        </w:rPr>
        <w:t xml:space="preserve">            במצב דברים אידיאלי, בו קיים מנגנון מוסדר ונוקשה לשינוי ותיקון החוקה, ספק אם שינוי החוקה על דרך של הוראת שעה היה אפשרי. ראו והשוו, למשל, פסק דינו של בית המשפט החוקתי בצ'כיה מספטמבר 2010: </w:t>
      </w:r>
      <w:r w:rsidRPr="0058771C">
        <w:rPr>
          <w:rFonts w:cs="FrankRuehl"/>
          <w:sz w:val="22"/>
          <w:szCs w:val="22"/>
          <w:highlight w:val="yellow"/>
        </w:rPr>
        <w:t xml:space="preserve">2009/09/10 - PL. </w:t>
      </w:r>
      <w:r w:rsidRPr="0058771C">
        <w:rPr>
          <w:rFonts w:ascii="Arial" w:hAnsi="Arial" w:cs="FrankRuehl"/>
          <w:sz w:val="22"/>
          <w:szCs w:val="22"/>
          <w:highlight w:val="yellow"/>
        </w:rPr>
        <w:t>Ú</w:t>
      </w:r>
      <w:r w:rsidRPr="0058771C">
        <w:rPr>
          <w:rFonts w:cs="FrankRuehl"/>
          <w:sz w:val="22"/>
          <w:szCs w:val="22"/>
          <w:highlight w:val="yellow"/>
        </w:rPr>
        <w:t>S 27/09: Constitutional Act on shortening the Term of Office of the Chamber of Deputies</w:t>
      </w:r>
      <w:r w:rsidRPr="0058771C">
        <w:rPr>
          <w:rFonts w:cs="FrankRuehl" w:hint="cs"/>
          <w:sz w:val="22"/>
          <w:szCs w:val="22"/>
          <w:highlight w:val="yellow"/>
          <w:rtl/>
        </w:rPr>
        <w:t xml:space="preserve">, (להחלטה מתורגמת לאנגלית ראו: </w:t>
      </w:r>
      <w:hyperlink r:id="rId128" w:history="1">
        <w:r w:rsidRPr="0058771C">
          <w:rPr>
            <w:rFonts w:cs="FrankRuehl"/>
            <w:color w:val="0000FF"/>
            <w:sz w:val="22"/>
            <w:szCs w:val="22"/>
            <w:highlight w:val="yellow"/>
            <w:u w:val="single"/>
          </w:rPr>
          <w:t>http://www.concourt.cz/view/pl-27-09</w:t>
        </w:r>
      </w:hyperlink>
      <w:r w:rsidRPr="0058771C">
        <w:rPr>
          <w:rFonts w:cs="FrankRuehl" w:hint="cs"/>
          <w:sz w:val="22"/>
          <w:szCs w:val="22"/>
          <w:highlight w:val="yellow"/>
          <w:rtl/>
        </w:rPr>
        <w:t>), בו פסל בית המשפט החוקתי אקט חוקתי שקיצר את תקופת הכהונה של הבית התחתון הנוכחי של הפרלמנט (</w:t>
      </w:r>
      <w:r w:rsidRPr="0058771C">
        <w:rPr>
          <w:rFonts w:cs="FrankRuehl"/>
          <w:sz w:val="22"/>
          <w:szCs w:val="22"/>
          <w:highlight w:val="yellow"/>
        </w:rPr>
        <w:t>Chamber of Deputies</w:t>
      </w:r>
      <w:r w:rsidRPr="0058771C">
        <w:rPr>
          <w:rFonts w:cs="FrankRuehl" w:hint="cs"/>
          <w:sz w:val="22"/>
          <w:szCs w:val="22"/>
          <w:highlight w:val="yellow"/>
          <w:rtl/>
        </w:rPr>
        <w:t>) והוביל לבחירות מוקדמות. הפסילה שם הייתה מהטעם שההוראה החד-פעמית עמדה בניגוד לפסקת הנצחיות הקבועה בחוקה. ספק אם גישה נוקשה זו הייתה מתאימה לתפיסת היסוד החוקתית בישראל.</w:t>
      </w:r>
      <w:r w:rsidRPr="0058771C">
        <w:rPr>
          <w:rFonts w:cs="FrankRuehl" w:hint="cs"/>
          <w:sz w:val="22"/>
          <w:szCs w:val="22"/>
          <w:rtl/>
        </w:rPr>
        <w:t xml:space="preserve"> מכל מקום, לפי המצב בישראל כיום, אין לתפיסה הקשיחה ביחס להליכי החקיקה מסגרת הולמת. כאמור, בהיעדר חוק יסוד: החקיקה, ההגבלות על הליכי החקיקה או השינוי של חוקי יסוד הן מצומצמות, וכדי לחוקק חוק יסוד בישראל אין צורך בהליכים מיוחדים בכנסת. בנסיבות אלה, אין לומר כי עצם העובדה שחוק היסוד נחקק על דרך של הוראת שעה פוסלת אותו מעיקרו או מעמידה אותו במדרג נורמטיבי נמוך מזה של חוק רגיל, כטענת העותרים. יחד עם זאת, אין גם לומר כי פרקטיקה זו נטולת קשיים. </w:t>
      </w:r>
      <w:r w:rsidRPr="0058771C">
        <w:rPr>
          <w:rFonts w:cs="FrankRuehl" w:hint="cs"/>
          <w:sz w:val="22"/>
          <w:szCs w:val="22"/>
          <w:highlight w:val="yellow"/>
          <w:rtl/>
        </w:rPr>
        <w:t>קביעת הסדר חוקתי זמני אכן פוגעת במעמדם של חוקי היסוד ומוטב שייעשה בה שימוש במשורה, אם בכלל. במקרים מסוימים, שאין ניתן לקבוע מהם מראש, ייתכן כי חקיקת חוק יסוד כהוראת שעה עלולה לעלות כדי "שימוש לרעה" בכותרת "חוק יסוד". בבחינת כל מקרה לגופו, יש לתת את הדעת, בין היתר, לקיומן של נסיבות חריגות המצדיקות עריכת הסדר זמני על פני הסדר קבוע; יש לבחון את המאטריה אותה מסדיר חוק היסוד; ויש להעריך את מידת הפגיעה של חוק היסוד הזמני בעקרונות משטריים ובזכויות יסוד אחרות.</w:t>
      </w:r>
      <w:r w:rsidRPr="0058771C">
        <w:rPr>
          <w:rFonts w:cs="FrankRuehl" w:hint="cs"/>
          <w:sz w:val="22"/>
          <w:szCs w:val="22"/>
          <w:rtl/>
        </w:rPr>
        <w:t xml:space="preserve"> חשוב </w:t>
      </w:r>
      <w:r w:rsidRPr="0058771C">
        <w:rPr>
          <w:rFonts w:cs="FrankRuehl" w:hint="cs"/>
          <w:sz w:val="22"/>
          <w:szCs w:val="22"/>
          <w:highlight w:val="yellow"/>
          <w:rtl/>
        </w:rPr>
        <w:t>לציין כי החלת המבחנים הללו על בחינת חוקתיות הוראה זמנית מעצם טיבה כרוכה בשאלת החלתו של מבחן מהותי לזיהוי חוקי יסוד. יחד עם זאת, שאלה זו גם עומדת על רגליה כשאלה עצמאית. כאמור, בנסיבות מסוימות וחריגות, עשוי עצם השימוש בהוראת שעה להצדיק התערבות בחקיקת היסוד</w:t>
      </w:r>
      <w:r w:rsidRPr="0058771C">
        <w:rPr>
          <w:rFonts w:cs="FrankRuehl" w:hint="cs"/>
          <w:sz w:val="22"/>
          <w:szCs w:val="22"/>
          <w:rtl/>
        </w:rPr>
        <w:t>. [..]</w:t>
      </w:r>
    </w:p>
    <w:p w:rsidR="005366A8" w:rsidRPr="0058771C" w:rsidRDefault="005366A8" w:rsidP="005366A8">
      <w:pPr>
        <w:spacing w:after="60"/>
        <w:rPr>
          <w:rFonts w:cs="FrankRuehl"/>
          <w:sz w:val="22"/>
          <w:szCs w:val="22"/>
          <w:rtl/>
        </w:rPr>
      </w:pPr>
      <w:r w:rsidRPr="0058771C">
        <w:rPr>
          <w:rFonts w:cs="FrankRuehl" w:hint="cs"/>
          <w:sz w:val="22"/>
          <w:szCs w:val="22"/>
          <w:rtl/>
        </w:rPr>
        <w:t xml:space="preserve">28.      </w:t>
      </w:r>
      <w:r w:rsidRPr="0058771C">
        <w:rPr>
          <w:rFonts w:cs="FrankRuehl" w:hint="cs"/>
          <w:sz w:val="22"/>
          <w:szCs w:val="22"/>
          <w:highlight w:val="yellow"/>
          <w:rtl/>
        </w:rPr>
        <w:t>מכלול הנסיבות בעניין שלפנינו – ובכלל זה, זיהויו של חוק יסוד הוראת השעה כחוק יסוד לפי המבחן הצורני והמבחן המשולב; המאטריה אותה הוא מסדיר; וצירוף הנסיבות שהוביל להחלטה לכונן תקציב דו-שנתי לשנתיים – מוביל למסקנה כי הגם שרואים אנו קשיים משמעותיים בחקיקה או בשינוי זמני של חוקי יסוד, אין מקום לקביעה כי חוק יסוד הוראת השעה בטל מעיקרו</w:t>
      </w:r>
      <w:r w:rsidRPr="0058771C">
        <w:rPr>
          <w:rFonts w:cs="FrankRuehl" w:hint="cs"/>
          <w:sz w:val="22"/>
          <w:szCs w:val="22"/>
          <w:rtl/>
        </w:rPr>
        <w:t>. ..</w:t>
      </w:r>
    </w:p>
    <w:p w:rsidR="005366A8" w:rsidRPr="0058771C" w:rsidRDefault="005366A8" w:rsidP="005366A8">
      <w:pPr>
        <w:spacing w:after="60"/>
        <w:rPr>
          <w:rFonts w:cs="FrankRuehl"/>
          <w:sz w:val="22"/>
          <w:szCs w:val="22"/>
          <w:rtl/>
        </w:rPr>
      </w:pPr>
      <w:r w:rsidRPr="0058771C">
        <w:rPr>
          <w:rFonts w:cs="FrankRuehl" w:hint="cs"/>
          <w:sz w:val="22"/>
          <w:szCs w:val="22"/>
          <w:rtl/>
        </w:rPr>
        <w:t xml:space="preserve">30.      יש לדחות גם את הטענות הנוספות שהועלו על ידי העותרים לעניין סבירות חוק היסוד והרוב בו התקבל בקריאות השונות בכנסת. מבלי להביע עמדה כלשהי ביחס ליתרונות או לחסרונות של שיטת תקצוב דו-שנתי, </w:t>
      </w:r>
      <w:r w:rsidRPr="0058771C">
        <w:rPr>
          <w:rFonts w:cs="FrankRuehl" w:hint="cs"/>
          <w:sz w:val="22"/>
          <w:szCs w:val="22"/>
          <w:highlight w:val="yellow"/>
          <w:rtl/>
        </w:rPr>
        <w:t>שיקולים של סבירות חוק היסוד אינם מן השיקולים המצדיקים את התערבות בית משפט זה בחקיקת יסוד.</w:t>
      </w:r>
      <w:r w:rsidRPr="0058771C">
        <w:rPr>
          <w:rFonts w:cs="FrankRuehl" w:hint="cs"/>
          <w:sz w:val="22"/>
          <w:szCs w:val="22"/>
          <w:rtl/>
        </w:rPr>
        <w:t xml:space="preserve"> גם טענות </w:t>
      </w:r>
      <w:r w:rsidRPr="0058771C">
        <w:rPr>
          <w:rFonts w:cs="FrankRuehl" w:hint="cs"/>
          <w:sz w:val="22"/>
          <w:szCs w:val="22"/>
          <w:highlight w:val="yellow"/>
          <w:rtl/>
        </w:rPr>
        <w:t>לפיהן היה על החוק להתקבל ברוב של 61 חברי כנסת בשלוש הקריאות אינן מבוססות, שהרי סעיף 36א לחוק יסוד: הכנסת איננו משוריין. שינוי שלו, על כן, אינו מצריך רוב מיוחד</w:t>
      </w:r>
      <w:r w:rsidRPr="0058771C">
        <w:rPr>
          <w:rFonts w:cs="FrankRuehl" w:hint="cs"/>
          <w:sz w:val="22"/>
          <w:szCs w:val="22"/>
          <w:rtl/>
        </w:rPr>
        <w:t xml:space="preserve">. יש לדחות גם </w:t>
      </w:r>
      <w:r w:rsidRPr="0058771C">
        <w:rPr>
          <w:rFonts w:cs="FrankRuehl" w:hint="cs"/>
          <w:sz w:val="22"/>
          <w:szCs w:val="22"/>
          <w:highlight w:val="yellow"/>
          <w:rtl/>
        </w:rPr>
        <w:t>את הטענה כאילו חוק יסוד הוראת השעה משנה במפורש או במשתמע את סעיף 34 לחוק יסוד: הכנסת, ועל כן, על הכנסת היה להעבירו ברוב מיוחד. מקובלת עלינו עמדת המדינה ועמדת הכנסת לפיה סעיף 34 איננו סעיף כללי המגדיר מתי מתפזרת הכנסת, כי אם סעיף העוסק באפשרות של הכנסת לקבל החלטה על פיזורה – החלטה שיכולה להתקבל בחוק המתקבל ברוב חברי הכנסת. משכך, אין לראות במעבר לתקציב דו-שנתי שינוי במשתמע של סעיף 34 לחוק יסוד: הכנסת</w:t>
      </w:r>
      <w:r w:rsidRPr="0058771C">
        <w:rPr>
          <w:rFonts w:cs="FrankRuehl" w:hint="cs"/>
          <w:sz w:val="22"/>
          <w:szCs w:val="22"/>
          <w:rtl/>
        </w:rPr>
        <w:t xml:space="preserve">. </w:t>
      </w:r>
    </w:p>
    <w:p w:rsidR="005366A8" w:rsidRPr="0058771C" w:rsidRDefault="005366A8" w:rsidP="005366A8">
      <w:pPr>
        <w:rPr>
          <w:rFonts w:cs="FrankRuehl"/>
          <w:sz w:val="22"/>
          <w:szCs w:val="22"/>
          <w:rtl/>
        </w:rPr>
      </w:pPr>
      <w:r w:rsidRPr="0058771C">
        <w:rPr>
          <w:rFonts w:cs="FrankRuehl" w:hint="cs"/>
          <w:sz w:val="22"/>
          <w:szCs w:val="22"/>
          <w:rtl/>
        </w:rPr>
        <w:t>  </w:t>
      </w:r>
    </w:p>
    <w:p w:rsidR="005366A8" w:rsidRPr="0051575D" w:rsidRDefault="005366A8" w:rsidP="005366A8">
      <w:pPr>
        <w:rPr>
          <w:rFonts w:cs="FrankRuehl"/>
          <w:b/>
          <w:bCs/>
          <w:sz w:val="22"/>
          <w:szCs w:val="22"/>
          <w:rtl/>
        </w:rPr>
      </w:pPr>
      <w:r w:rsidRPr="0051575D">
        <w:rPr>
          <w:rFonts w:cs="FrankRuehl" w:hint="cs"/>
          <w:b/>
          <w:bCs/>
          <w:sz w:val="22"/>
          <w:szCs w:val="22"/>
          <w:rtl/>
        </w:rPr>
        <w:t>דוקטרינת התיקון החוקתי הלא חוקתי</w:t>
      </w:r>
    </w:p>
    <w:p w:rsidR="005366A8" w:rsidRPr="0058771C" w:rsidRDefault="005366A8" w:rsidP="005366A8">
      <w:pPr>
        <w:spacing w:after="60"/>
        <w:rPr>
          <w:rFonts w:cs="FrankRuehl"/>
          <w:sz w:val="22"/>
          <w:szCs w:val="22"/>
          <w:rtl/>
        </w:rPr>
      </w:pPr>
      <w:r w:rsidRPr="0058771C">
        <w:rPr>
          <w:rFonts w:cs="FrankRuehl" w:hint="cs"/>
          <w:sz w:val="22"/>
          <w:szCs w:val="22"/>
          <w:rtl/>
        </w:rPr>
        <w:t> </w:t>
      </w:r>
    </w:p>
    <w:p w:rsidR="005366A8" w:rsidRPr="0058771C" w:rsidRDefault="005366A8" w:rsidP="005366A8">
      <w:pPr>
        <w:spacing w:after="60"/>
        <w:rPr>
          <w:rFonts w:cs="FrankRuehl"/>
          <w:sz w:val="22"/>
          <w:szCs w:val="22"/>
          <w:rtl/>
        </w:rPr>
      </w:pPr>
      <w:r w:rsidRPr="0058771C">
        <w:rPr>
          <w:rFonts w:cs="FrankRuehl" w:hint="cs"/>
          <w:sz w:val="22"/>
          <w:szCs w:val="22"/>
          <w:rtl/>
        </w:rPr>
        <w:t xml:space="preserve">31.      משקבענו כי חוק יסוד הוראת השעה הוא אכן חוק יסוד, נפנה לטענה מרכזית נוספת שהעלו העותרים בעתירה – אם כי דומה כי נסוגו ממנה במהלך הדיון בעל-פה – הנוגעת לאפשרות של בית המשפט לבטל את חוק יסוד הוראת השעה משום שהוא פוגע בעקרונות יסוד של שיטתנו המשפטית. סוגיה זו, המכונה בספרות ההשוואתית דוקטרינת התיקון החוקתי הלא חוקתי </w:t>
      </w:r>
      <w:r w:rsidRPr="0058771C">
        <w:rPr>
          <w:rFonts w:cs="FrankRuehl"/>
          <w:sz w:val="22"/>
          <w:szCs w:val="22"/>
        </w:rPr>
        <w:t>(The unconstitutional constitutional amendment)</w:t>
      </w:r>
      <w:r w:rsidRPr="0058771C">
        <w:rPr>
          <w:rFonts w:cs="FrankRuehl" w:hint="cs"/>
          <w:sz w:val="22"/>
          <w:szCs w:val="22"/>
          <w:rtl/>
        </w:rPr>
        <w:t>, עניינה בביקורת שיפוטית על תיקון חוקתי היוצא תחת ידי הרשות המכוננת.  </w:t>
      </w:r>
    </w:p>
    <w:p w:rsidR="005366A8" w:rsidRPr="0058771C" w:rsidRDefault="005366A8" w:rsidP="005366A8">
      <w:pPr>
        <w:spacing w:after="60"/>
        <w:rPr>
          <w:rFonts w:cs="FrankRuehl"/>
          <w:sz w:val="22"/>
          <w:szCs w:val="22"/>
          <w:rtl/>
        </w:rPr>
      </w:pPr>
      <w:r w:rsidRPr="0058771C">
        <w:rPr>
          <w:rFonts w:cs="FrankRuehl" w:hint="cs"/>
          <w:sz w:val="22"/>
          <w:szCs w:val="22"/>
          <w:rtl/>
        </w:rPr>
        <w:t xml:space="preserve">           </w:t>
      </w:r>
      <w:r w:rsidRPr="0058771C">
        <w:rPr>
          <w:rFonts w:cs="FrankRuehl" w:hint="cs"/>
          <w:sz w:val="22"/>
          <w:szCs w:val="22"/>
          <w:highlight w:val="yellow"/>
          <w:rtl/>
        </w:rPr>
        <w:t>לפי הטענה, חוק יסוד הוראת השעה מפר את האיזון החוקתי שבין הרשות המחוקקת לרשות המבצעת ופוגע בעיקרון החוקתי לפיו אם לא ניתן פעם בשנה אישור הכנסת לתקציב, הן הממשלה והן הכנסת מתפזרות</w:t>
      </w:r>
      <w:r w:rsidRPr="0058771C">
        <w:rPr>
          <w:rFonts w:cs="FrankRuehl" w:hint="cs"/>
          <w:sz w:val="22"/>
          <w:szCs w:val="22"/>
          <w:rtl/>
        </w:rPr>
        <w:t xml:space="preserve"> (בהתאם לסעיף 36א לחוק יסוד: הכנסת). העותרים הפנו למקורות משפטיים ולבר-משפטיים רבים לביסוס טענתם לפיה לאישור התקציב במדינה דמוקרטית בכלל, ובמדינת ישראל בפרט, משמעות מיוחדת. בקביעת תקציב המדינה, טוענים העותרים, הכנסת ממחישה את ריבונותה ועליונותה על פני הממשלה; </w:t>
      </w:r>
      <w:r w:rsidRPr="0058771C">
        <w:rPr>
          <w:rFonts w:cs="FrankRuehl" w:hint="cs"/>
          <w:sz w:val="22"/>
          <w:szCs w:val="22"/>
          <w:highlight w:val="yellow"/>
          <w:rtl/>
        </w:rPr>
        <w:t>ובתקופת אישור תקציב המדינה, עומדת הממשלה תחת שבט הביקורת של הכנסת, ומקיימת עימה שיג ושיח אודות סדרי העדיפויות של המדינה</w:t>
      </w:r>
      <w:r w:rsidRPr="0058771C">
        <w:rPr>
          <w:rFonts w:cs="FrankRuehl" w:hint="cs"/>
          <w:sz w:val="22"/>
          <w:szCs w:val="22"/>
          <w:rtl/>
        </w:rPr>
        <w:t xml:space="preserve"> (ראו, בין היתר: חן פרידברג וראובן חזן פיקוח הכנסת על הממשלה (המכון הישראלי לדמוקרטיה, 2009), עמ' 34-33). </w:t>
      </w:r>
      <w:r w:rsidRPr="0058771C">
        <w:rPr>
          <w:rFonts w:cs="FrankRuehl" w:hint="cs"/>
          <w:sz w:val="22"/>
          <w:szCs w:val="22"/>
          <w:highlight w:val="yellow"/>
          <w:rtl/>
        </w:rPr>
        <w:t>חוק יסוד הוראת השעה, נטען, מחליש את הכנסת ופוגע ביכולתה לפקח אחר עבודת הממשלה, אופן פעילותה וסדרי העדיפויות הנקבעים על ידה. פגיעה זו מצדיקה, לגישת העותרים, את התערבות בית משפט זה בדרך של ביטול חוק היסוד, מאחר ש"אישור חוק התקציב על בסיס שנתי נחשב לאחת מאבני היסוד של המדינה הדמוקרטית בעולם כולו, ובישראל בפרט"</w:t>
      </w:r>
      <w:r w:rsidRPr="0058771C">
        <w:rPr>
          <w:rFonts w:cs="FrankRuehl" w:hint="cs"/>
          <w:sz w:val="22"/>
          <w:szCs w:val="22"/>
          <w:rtl/>
        </w:rPr>
        <w:t xml:space="preserve"> (עתירה מיום 30.6.2010, עמ' 3). בנוסף, העותרים טענו כי חוק היסוד פוגע בעיקרון יסוד נוסף – היכולת לגרום לפיזור הכנסת ולבחירות חדשות באמצעות 60 חברי כנסת בלבד, היה ותקציב המדינה אינו מתקבל בתוך שלושה חודשים מתחילת שנת התקציב.  </w:t>
      </w:r>
    </w:p>
    <w:p w:rsidR="005366A8" w:rsidRPr="0058771C" w:rsidRDefault="005366A8" w:rsidP="005366A8">
      <w:pPr>
        <w:spacing w:after="60"/>
        <w:rPr>
          <w:rFonts w:cs="FrankRuehl"/>
          <w:sz w:val="22"/>
          <w:szCs w:val="22"/>
          <w:rtl/>
        </w:rPr>
      </w:pPr>
      <w:r w:rsidRPr="0058771C">
        <w:rPr>
          <w:rFonts w:cs="FrankRuehl" w:hint="cs"/>
          <w:sz w:val="22"/>
          <w:szCs w:val="22"/>
          <w:rtl/>
        </w:rPr>
        <w:t xml:space="preserve">32.      דוקטרינת התיקון החוקתי הלא חוקתי נדונה בהרחבה בשיטות משפט זרות </w:t>
      </w:r>
      <w:r>
        <w:rPr>
          <w:rFonts w:cs="FrankRuehl" w:hint="cs"/>
          <w:sz w:val="22"/>
          <w:szCs w:val="22"/>
          <w:rtl/>
        </w:rPr>
        <w:t>..</w:t>
      </w:r>
      <w:r w:rsidRPr="0058771C">
        <w:rPr>
          <w:rFonts w:cs="FrankRuehl" w:hint="cs"/>
          <w:sz w:val="22"/>
          <w:szCs w:val="22"/>
          <w:rtl/>
        </w:rPr>
        <w:t>. </w:t>
      </w:r>
    </w:p>
    <w:p w:rsidR="005366A8" w:rsidRPr="0058771C" w:rsidRDefault="005366A8" w:rsidP="005366A8">
      <w:pPr>
        <w:spacing w:after="60"/>
        <w:rPr>
          <w:rFonts w:cs="FrankRuehl"/>
          <w:sz w:val="22"/>
          <w:szCs w:val="22"/>
          <w:rtl/>
        </w:rPr>
      </w:pPr>
      <w:r w:rsidRPr="0058771C">
        <w:rPr>
          <w:rFonts w:cs="FrankRuehl" w:hint="cs"/>
          <w:sz w:val="22"/>
          <w:szCs w:val="22"/>
          <w:rtl/>
        </w:rPr>
        <w:t>33.      דוקטרינה זו, המכירה בעקרונות-על "נצחיים" בשינויים כאלה ואחרים, נזכרה גם במספר אמרות אגב בפסיקת בית משפט זה, אך טרם נעשה בה שימוש בישראל (ראו: ע"ב 1/65 ירדור נ' ועדת הבחירות המרכזית לכנסת השישית, פ"ד יט(3) 365, 390-389 (1965), השופט י' זוסמן; בג"ץ 142/89 תנועת לאו"ר – לב אחד ורוח אחת נ' ועדת הבחירות המרכזית לכנסת השישית, פ"ד מד(3) 529, 554-551 (1990), השופט (כתוארו אז) א' ברק; פרשת בנק המזרחי, עמ' 394, 546, הנשיא א' ברק והשופט מ' חשין; ע"א 733/95 ארפל אלומיניום בע"מ נ' קליל תעשיות בע"מ, פ"ד נא(3) 577, 630-629 (1997), השופט מ' חשין; בג"ץ 4676/94 מיטראל בע"מ נ' כנסת ישראל, פ"ד נ(5) 15, 28 (1996), הנשיא א' ברק; פרשת התנועה למען איכות השלטון בישראל, עמ' 96, השופטת ד' דורנר; בג"ץ 6427/02 התנועה לאיכות השלטון בישראל נ' הכנסת (טרם פורסם,  11.5.2006) פסקה 74 לפסק דינו של הנשיא א' ברק; פסקה 11 לפסק דינו של המישנה לנשיא (בדימ') מ' חשין</w:t>
      </w:r>
      <w:r w:rsidRPr="0058771C">
        <w:rPr>
          <w:rFonts w:cs="FrankRuehl" w:hint="cs"/>
          <w:sz w:val="22"/>
          <w:szCs w:val="22"/>
          <w:highlight w:val="yellow"/>
          <w:rtl/>
        </w:rPr>
        <w:t>). אצלנו, נוכח העובדה שטרם כוננה חוקה שלמה, ובכלל זאת, טרם נקבעו ההליכים לקבלה ולשינוי של חוקי יסוד, מקבלת הדוקטרינה משמעות ייחודית. בנסיבות אלה, השאלה אם בית המשפט בישראל מוסמך לפסול חקיקת יסוד משום שהיא עומדת בסתירה לעקרונות-על של שיטתנו, היא שאלה סבוכה היורדת לשורש הלגיטימיות של הרשות המכוננת לקבל הסדרים חוקתיים המשנים את אופיים של חוקי היסוד, ולשורש הסמכות של בית המשפט לערוך ביקורת שיפוטית על תוצרי פעולתה של הכנסת כרשות מכוננת.</w:t>
      </w:r>
      <w:r w:rsidRPr="0058771C">
        <w:rPr>
          <w:rFonts w:cs="FrankRuehl" w:hint="cs"/>
          <w:sz w:val="22"/>
          <w:szCs w:val="22"/>
          <w:rtl/>
        </w:rPr>
        <w:t xml:space="preserve"> יחד </w:t>
      </w:r>
      <w:r w:rsidRPr="0058771C">
        <w:rPr>
          <w:rFonts w:cs="FrankRuehl" w:hint="cs"/>
          <w:sz w:val="22"/>
          <w:szCs w:val="22"/>
          <w:highlight w:val="yellow"/>
          <w:rtl/>
        </w:rPr>
        <w:t>עם זאת, בתי המשפט בישראל הכירו בקיומם של עקרונות על שאינם ניתנים לשינוי. גם חוקי היסוד שלנו הניחו את העיקרון החוקתי המרכזי, שספק אם הוא ניתן לשינוי, המתייחס לאופיה היהודי והדמוקרטי של המדינה. לכשתושלם חוקת המדינה, תעלה לדיון שאלת הכללתן של פסקאות נצחיות המבטאות את עקרונות העל של המשטר והחברה בישראל.</w:t>
      </w:r>
      <w:r w:rsidRPr="0058771C">
        <w:rPr>
          <w:rFonts w:cs="FrankRuehl" w:hint="cs"/>
          <w:sz w:val="22"/>
          <w:szCs w:val="22"/>
          <w:rtl/>
        </w:rPr>
        <w:t xml:space="preserve"> בהקשר זה ציין הנשיא א' ברק במאמרו על הסוגיה כי: </w:t>
      </w:r>
    </w:p>
    <w:p w:rsidR="005366A8" w:rsidRPr="0058771C" w:rsidRDefault="005366A8" w:rsidP="005366A8">
      <w:pPr>
        <w:spacing w:after="60"/>
        <w:ind w:left="720"/>
        <w:rPr>
          <w:rFonts w:cs="FrankRuehl"/>
          <w:sz w:val="22"/>
          <w:szCs w:val="22"/>
          <w:rtl/>
        </w:rPr>
      </w:pPr>
      <w:r w:rsidRPr="0058771C">
        <w:rPr>
          <w:rFonts w:cs="FrankRuehl" w:hint="cs"/>
          <w:sz w:val="22"/>
          <w:szCs w:val="22"/>
          <w:rtl/>
        </w:rPr>
        <w:t xml:space="preserve">"עם סיום מפעל חוקי היסוד ואשרורו על ידי העם, ועם כינונה של חוקה שלמה חדשה, יהא מקום לקבל החלטה באשר לתיקון החוקתי הלא חוקתי. ייתכן שהחוקה עצמה תפתור שאלה זו במפורש; יתכן שייקבעו בה פסקאות נצחיות שיהא  בהן כדי לסייע לפתרון השאלה; ייתכן שהטקסט החוקתי ישתוק בסוגיה זו ובית המשפט העליון יידרש לקבל החלטה אם לאמץ את תורת המבנה הבסיסי של החוקה או תורה דומה לה או לדחותן; ייתכן שתיקון החוק יהא קשה וסבוך עד כדי כך שהשאלה לא תעלה לדיון כלל. </w:t>
      </w:r>
    </w:p>
    <w:p w:rsidR="005366A8" w:rsidRPr="0058771C" w:rsidRDefault="005366A8" w:rsidP="005366A8">
      <w:pPr>
        <w:spacing w:after="60"/>
        <w:ind w:left="720"/>
        <w:rPr>
          <w:rFonts w:cs="FrankRuehl"/>
          <w:sz w:val="22"/>
          <w:szCs w:val="22"/>
          <w:rtl/>
        </w:rPr>
      </w:pPr>
      <w:r w:rsidRPr="0058771C">
        <w:rPr>
          <w:rFonts w:cs="FrankRuehl" w:hint="cs"/>
          <w:sz w:val="22"/>
          <w:szCs w:val="22"/>
          <w:rtl/>
        </w:rPr>
        <w:t> </w:t>
      </w:r>
      <w:r w:rsidRPr="0058771C">
        <w:rPr>
          <w:rFonts w:cs="FrankRuehl" w:hint="cs"/>
          <w:sz w:val="22"/>
          <w:szCs w:val="22"/>
          <w:highlight w:val="yellow"/>
          <w:rtl/>
        </w:rPr>
        <w:t>האם משמעות הדבר היא שבשלב הנוכחי של ההתפתחות החוקתית בישראל אין מקום לשקול את מקומה של שאלת התיקון החוקתי הלא חוקתי? אכן, במובן המקיף והשלם של דוקטרינה זו במשפט המשווה אין לה מקום בישראל. הטעם לכך הוא שהמושג 'תיקון' חוקתי הוא עצמו בעייתי בישראל. מפעל החוקה הוא מפעל בהתהוות. המשימה טרם הושלמה. 'השלם' טרם הושלם וממילא התיקון החוקתי טרם הבשיל. עם זאת, יש לנו בישראל תהליך של כינון חוקי יסוד. לעתים בא חוק יסוד חדש בתחום שטרם היה בו חוק יסוד; לעיתים בא תיקון לחוק יסוד קיים בדרך של כינון חוק יסוד מתקן. על רקע מצב זה יש מקום לעורר בישראל את השאלה הבאה: האם יש מגבלות על כוחה של הכנסת, כרשות מכוננת, בגיבוש תוכנן המהותי של חוקי היסוד, באופן שנוכל לדבר על חוק יסוד לא חוקתי? האם לעניין זה יש שוני בין תחום שכבר טופל על ידי חוקי יסוד ומתבקש בו שינוי לבין תחום שטרם כונן בו חוק יסוד?</w:t>
      </w:r>
      <w:r w:rsidRPr="0058771C">
        <w:rPr>
          <w:rFonts w:cs="FrankRuehl" w:hint="cs"/>
          <w:sz w:val="22"/>
          <w:szCs w:val="22"/>
          <w:rtl/>
        </w:rPr>
        <w:t xml:space="preserve">  ...</w:t>
      </w:r>
    </w:p>
    <w:p w:rsidR="005366A8" w:rsidRPr="0058771C" w:rsidRDefault="005366A8" w:rsidP="005366A8">
      <w:pPr>
        <w:spacing w:after="60"/>
        <w:ind w:left="720"/>
        <w:rPr>
          <w:rFonts w:cs="FrankRuehl"/>
          <w:sz w:val="22"/>
          <w:szCs w:val="22"/>
          <w:rtl/>
        </w:rPr>
      </w:pPr>
      <w:r w:rsidRPr="0058771C">
        <w:rPr>
          <w:rFonts w:cs="FrankRuehl" w:hint="cs"/>
          <w:sz w:val="22"/>
          <w:szCs w:val="22"/>
          <w:rtl/>
        </w:rPr>
        <w:t> </w:t>
      </w:r>
      <w:r w:rsidRPr="0058771C">
        <w:rPr>
          <w:rFonts w:cs="FrankRuehl" w:hint="cs"/>
          <w:sz w:val="22"/>
          <w:szCs w:val="22"/>
          <w:highlight w:val="yellow"/>
          <w:rtl/>
        </w:rPr>
        <w:t>לדעתי יש מקום לגישה שלפיה סמכותה המכוננת של הכנסת אינה מוחלטת. כך לעניין כינונו של חוק יסוד חדש וכך לעניין תיקונו של חוק יסוד קיים. בשני המקרים הכנסת, כרשות מכוננת... חייבת לפעול במסגרת עקרונות יסוד וערכי היסוד של המבנה החוקתי שלנו... הכנסת לא הוסמכה לפגוע ב'ליבת הדמוקרטיה, ובדרישת המינימום לאופייה של מדינה כדמוקרטית'. בדומה, היא לא הוסמכה לפגוע בליבת היותה של ישראל מדינה יהודית ובדרישות המינימום לאופייה זה"</w:t>
      </w:r>
      <w:r w:rsidRPr="0058771C">
        <w:rPr>
          <w:rFonts w:cs="FrankRuehl" w:hint="cs"/>
          <w:sz w:val="22"/>
          <w:szCs w:val="22"/>
          <w:rtl/>
        </w:rPr>
        <w:t xml:space="preserve"> (ברק, </w:t>
      </w:r>
      <w:r>
        <w:rPr>
          <w:rFonts w:cs="FrankRuehl" w:hint="cs"/>
          <w:sz w:val="22"/>
          <w:szCs w:val="22"/>
          <w:rtl/>
        </w:rPr>
        <w:t>"</w:t>
      </w:r>
      <w:r w:rsidRPr="0058771C">
        <w:rPr>
          <w:rFonts w:cs="FrankRuehl" w:hint="cs"/>
          <w:sz w:val="22"/>
          <w:szCs w:val="22"/>
          <w:rtl/>
        </w:rPr>
        <w:t>התיקון החוקתי הלא חוקתי</w:t>
      </w:r>
      <w:r>
        <w:rPr>
          <w:rFonts w:cs="FrankRuehl" w:hint="cs"/>
          <w:sz w:val="22"/>
          <w:szCs w:val="22"/>
          <w:rtl/>
        </w:rPr>
        <w:t>"</w:t>
      </w:r>
      <w:r w:rsidRPr="0058771C">
        <w:rPr>
          <w:rFonts w:cs="FrankRuehl" w:hint="cs"/>
          <w:sz w:val="22"/>
          <w:szCs w:val="22"/>
          <w:rtl/>
        </w:rPr>
        <w:t xml:space="preserve">). </w:t>
      </w:r>
    </w:p>
    <w:p w:rsidR="005366A8" w:rsidRPr="0058771C" w:rsidRDefault="005366A8" w:rsidP="005366A8">
      <w:pPr>
        <w:spacing w:after="60"/>
        <w:rPr>
          <w:rFonts w:cs="FrankRuehl"/>
          <w:sz w:val="22"/>
          <w:szCs w:val="22"/>
          <w:rtl/>
        </w:rPr>
      </w:pPr>
      <w:r w:rsidRPr="0058771C">
        <w:rPr>
          <w:rFonts w:cs="FrankRuehl" w:hint="cs"/>
          <w:sz w:val="22"/>
          <w:szCs w:val="22"/>
          <w:rtl/>
        </w:rPr>
        <w:t xml:space="preserve"> 34.      </w:t>
      </w:r>
      <w:r w:rsidRPr="0058771C">
        <w:rPr>
          <w:rFonts w:cs="FrankRuehl" w:hint="cs"/>
          <w:sz w:val="22"/>
          <w:szCs w:val="22"/>
          <w:highlight w:val="green"/>
          <w:rtl/>
        </w:rPr>
        <w:t>אכן, אף אני סבורה כי קיימים עקרונות יסוד, העומדים בבסיס קיומנו כחברה ומדינה, אשר פגיעה בהם תעורר שאלות קשות של סמכות ובכלל זה ספקות אם בשינוי החוקה מדובר או בכינונה של חוקה חדשה. במקרה כזה – ומוטב אם לא יתרחש לעולם – יידרש בית המשפט להכריע האם הכנסת חרגה מסמכותה המכוננת ופגעה ביסודות בסיסיים של המדינה כמדינה יהודית ודמוקרטית.</w:t>
      </w:r>
      <w:r w:rsidRPr="0058771C">
        <w:rPr>
          <w:rFonts w:cs="FrankRuehl" w:hint="cs"/>
          <w:sz w:val="22"/>
          <w:szCs w:val="22"/>
          <w:rtl/>
        </w:rPr>
        <w:t xml:space="preserve"> </w:t>
      </w:r>
      <w:r w:rsidRPr="0058771C">
        <w:rPr>
          <w:rFonts w:cs="FrankRuehl" w:hint="cs"/>
          <w:sz w:val="22"/>
          <w:szCs w:val="22"/>
          <w:highlight w:val="green"/>
          <w:rtl/>
        </w:rPr>
        <w:t>המקרה שלפנינו אינו מקרה כזה.</w:t>
      </w:r>
      <w:r w:rsidRPr="0058771C">
        <w:rPr>
          <w:rFonts w:cs="FrankRuehl" w:hint="cs"/>
          <w:sz w:val="22"/>
          <w:szCs w:val="22"/>
          <w:rtl/>
        </w:rPr>
        <w:t xml:space="preserve"> אמנם, </w:t>
      </w:r>
      <w:r w:rsidRPr="0058771C">
        <w:rPr>
          <w:rFonts w:cs="FrankRuehl" w:hint="cs"/>
          <w:sz w:val="22"/>
          <w:szCs w:val="22"/>
          <w:highlight w:val="yellow"/>
          <w:rtl/>
        </w:rPr>
        <w:t>אין חולק כי מערכת היחסים שבין הממשלה והכנסת בהליך אישור תקציב המדינה היא מערכת יחסים חשובה מאוד המבטאת את עקרון הפרדת הרשויות. אין גם חולק כי פיקוח הכנסת על הממשלה הוא חלק מהותי של עקרון הפרדת הרשויות. אך האם הדרישה כי אישור הכנסת יתקבל פעם בשנתיים במקום פעם בשנה מהווה, למשל, שלילה של אופייה הדמוקרטי או היהודי של המדינה? האם מהווה ההחלטה לעבור לתקציב דו-שנתי לשנתיים פגיעה בעקרונות היסוד של המשטר כפי שבאו לידי ביטוי במגילת העצמאות? התשובה לכך שלילית.</w:t>
      </w:r>
      <w:r w:rsidRPr="0058771C">
        <w:rPr>
          <w:rFonts w:cs="FrankRuehl" w:hint="cs"/>
          <w:sz w:val="22"/>
          <w:szCs w:val="22"/>
          <w:rtl/>
        </w:rPr>
        <w:t xml:space="preserve"> הגם </w:t>
      </w:r>
      <w:r w:rsidRPr="0058771C">
        <w:rPr>
          <w:rFonts w:cs="FrankRuehl" w:hint="cs"/>
          <w:sz w:val="22"/>
          <w:szCs w:val="22"/>
          <w:highlight w:val="yellow"/>
          <w:rtl/>
        </w:rPr>
        <w:t>שיש פגיעה בסמכותה של הכנסת שעה שנדרשת היא לאשר תקציב אחת לשנתיים ולא אחת לשנה, עומדת לחברי הכנסת האפשרות לבחור לשנות את תקופת התקציב. לזאת יש להוסיף גם את ייחודיותו של חוק התקציב במדרג הנורמות החוקיות</w:t>
      </w:r>
      <w:r w:rsidRPr="0058771C">
        <w:rPr>
          <w:rFonts w:cs="FrankRuehl" w:hint="cs"/>
          <w:sz w:val="22"/>
          <w:szCs w:val="22"/>
          <w:rtl/>
        </w:rPr>
        <w:t xml:space="preserve"> (ראו: בג"ץ 4124/00 יקותיאלי ז"ל נ' השר לענייני דתות (טרם פורסם, 14.6.2010); בג"ץ 1438/98 התנועה המסורתית נ' השר לענייני דתות, פ"ד נג(5) 337 (1999)). </w:t>
      </w:r>
      <w:r w:rsidRPr="0058771C">
        <w:rPr>
          <w:rFonts w:cs="FrankRuehl" w:hint="cs"/>
          <w:sz w:val="22"/>
          <w:szCs w:val="22"/>
          <w:highlight w:val="yellow"/>
          <w:rtl/>
        </w:rPr>
        <w:t>מכאן, הפגיעה הנגרמת לכנסת כתוצאה מן המעבר לתקציב דו-שנתי אינה עולה כדי פגיעה בעקרונות העל של שיטתנו באופן שיצדיק ביטולו של חוק היסוד מכוח דוקטרינת התיקון החוקתי הלא חוקתי – יהא אשר יהא היקף תחולתה בישראל. בנסיבות המקרה הנוכחי אין לנו הכרח להכריע בשאלה זו</w:t>
      </w:r>
      <w:r w:rsidRPr="0058771C">
        <w:rPr>
          <w:rFonts w:cs="FrankRuehl" w:hint="cs"/>
          <w:sz w:val="22"/>
          <w:szCs w:val="22"/>
          <w:rtl/>
        </w:rPr>
        <w:t xml:space="preserve">. </w:t>
      </w:r>
    </w:p>
    <w:p w:rsidR="005366A8" w:rsidRPr="0058771C" w:rsidRDefault="005366A8" w:rsidP="005366A8">
      <w:pPr>
        <w:spacing w:after="60"/>
        <w:rPr>
          <w:rFonts w:cs="FrankRuehl"/>
          <w:sz w:val="22"/>
          <w:szCs w:val="22"/>
          <w:rtl/>
        </w:rPr>
      </w:pPr>
      <w:r w:rsidRPr="0058771C">
        <w:rPr>
          <w:rFonts w:cs="FrankRuehl" w:hint="cs"/>
          <w:sz w:val="22"/>
          <w:szCs w:val="22"/>
          <w:rtl/>
        </w:rPr>
        <w:t> 35</w:t>
      </w:r>
      <w:r w:rsidRPr="0058771C">
        <w:rPr>
          <w:rFonts w:cs="FrankRuehl" w:hint="cs"/>
          <w:sz w:val="22"/>
          <w:szCs w:val="22"/>
          <w:highlight w:val="green"/>
          <w:rtl/>
        </w:rPr>
        <w:t>.      סוף דבר. ממכלול הטעמים שהוצגו לעיל, הייתי מציעה לחבריי לדחות את העתירה. חוק יסוד הוראת השעה הוא אכן חוק יסוד, והפגיעה הנטענת בו אינה מן הסוג המצדיק את התערבות בית המשפט בחקיקת יסוד, גם אם החוק נחקק בדרך שרצוי להימנע מלעשות בה שימוש. כאמור, משאירים אנו בצריך עיון את אפשרות החלתו של מבחן מהותי לזיהוי חוקי יסוד, ואיננו רואים לנכון להכריע בשאלת תחולתה, או היקף תחולתה, של דוקטרינת התיקון החוקתי הלא חוקתי בישראל. הכרעה בשני עניינים אלה אינה נחוצה במקרה שלפנינו, ונקווה שלא ניזקק לה בעתיד.</w:t>
      </w:r>
      <w:r w:rsidRPr="0058771C">
        <w:rPr>
          <w:rFonts w:cs="FrankRuehl" w:hint="cs"/>
          <w:sz w:val="22"/>
          <w:szCs w:val="22"/>
          <w:rtl/>
        </w:rPr>
        <w:t xml:space="preserve"> </w:t>
      </w:r>
    </w:p>
    <w:p w:rsidR="005366A8" w:rsidRPr="0058771C" w:rsidRDefault="005366A8" w:rsidP="005366A8">
      <w:pPr>
        <w:spacing w:after="60"/>
        <w:rPr>
          <w:rFonts w:cs="FrankRuehl"/>
          <w:sz w:val="22"/>
          <w:szCs w:val="22"/>
          <w:rtl/>
        </w:rPr>
      </w:pPr>
      <w:r w:rsidRPr="0058771C">
        <w:rPr>
          <w:rFonts w:cs="FrankRuehl" w:hint="cs"/>
          <w:sz w:val="22"/>
          <w:szCs w:val="22"/>
          <w:rtl/>
        </w:rPr>
        <w:t xml:space="preserve"> 36.      בשולי הדברים רואים אנו לציין כי מעל לכל מצביעה העתירה שלפנינו על הצורך להשלים את מפעל החוקה ולעגן את ההליכים לקבלה ולשינוי חוקי יסוד באמצעות חוק יסוד: החקיקה (ראו, בהקשר זה, את הצעות חוק יסוד: החקיקה שהוגשו לכנסת; למשל, ראו הצעת חוק יסוד: החקיקה, ה"ח התשס"א 2988 והצעות החוק הקודמות הנזכרות בדברי ההסבר. כן ראו, דן מרידור "עיקרים בהצעת חוק-יסוד: החקיקה" משפט וממשל א 387 (1992)). </w:t>
      </w:r>
      <w:r w:rsidRPr="0058771C">
        <w:rPr>
          <w:rFonts w:cs="FrankRuehl" w:hint="cs"/>
          <w:sz w:val="22"/>
          <w:szCs w:val="22"/>
          <w:highlight w:val="yellow"/>
          <w:rtl/>
        </w:rPr>
        <w:t>אין להתעלם מכך שלפרוצדורת השינוי של חוקי היסוד עלולות להיות השלכות משמעותיות על המשטר החוקתי. למידת הנוקשות ולאופן שבו ניתן לשנות חוקי יסוד השפעה ישירה על מעמדם של חוקי היסוד, יציבות ההסדרים הקבועים בהם, ומידת היכולת של רוב מזדמן לשנות את זהותה הפוליטית, החברתית והערכית של מדינת ישראל</w:t>
      </w:r>
      <w:r w:rsidRPr="0058771C">
        <w:rPr>
          <w:rFonts w:cs="FrankRuehl" w:hint="cs"/>
          <w:sz w:val="22"/>
          <w:szCs w:val="22"/>
          <w:rtl/>
        </w:rPr>
        <w:t xml:space="preserve"> (ראו גם, לטענה כי לפרוצדורת השינוי השפעה על אופי המשטר שהחוקה מכוננת, אביחי דורפמן "התיאוריה של כלל השינוי החוקתי" משפט וממשל י 429 (2007)). כאמור, מספר פעמים בעבר גובשו הצעות חוק להסדרת הליכי החקיקה של חוקי יסוד. הצעות אלה לא הבשילו לכדי חוק יסוד שלם ומקיף. דומה כי כיום, חמישה עשורים לאחר קבלת חוק היסוד הראשון, הגיעה השעה לעשות כן.    </w:t>
      </w:r>
    </w:p>
    <w:p w:rsidR="005366A8" w:rsidRPr="0058771C" w:rsidRDefault="005366A8" w:rsidP="005366A8">
      <w:pPr>
        <w:spacing w:after="60"/>
        <w:rPr>
          <w:rFonts w:cs="FrankRuehl"/>
          <w:sz w:val="22"/>
          <w:szCs w:val="22"/>
          <w:rtl/>
        </w:rPr>
      </w:pPr>
      <w:r w:rsidRPr="0058771C">
        <w:rPr>
          <w:rFonts w:cs="FrankRuehl" w:hint="cs"/>
          <w:sz w:val="22"/>
          <w:szCs w:val="22"/>
          <w:rtl/>
        </w:rPr>
        <w:t> </w:t>
      </w:r>
    </w:p>
    <w:p w:rsidR="005366A8" w:rsidRPr="0058771C" w:rsidRDefault="005366A8" w:rsidP="005366A8">
      <w:pPr>
        <w:rPr>
          <w:rFonts w:cs="FrankRuehl"/>
          <w:sz w:val="22"/>
          <w:szCs w:val="22"/>
          <w:rtl/>
        </w:rPr>
      </w:pPr>
      <w:r w:rsidRPr="0058771C">
        <w:rPr>
          <w:rFonts w:cs="FrankRuehl" w:hint="cs"/>
          <w:sz w:val="22"/>
          <w:szCs w:val="22"/>
          <w:u w:val="single"/>
          <w:rtl/>
        </w:rPr>
        <w:t>השופט א' רובינשטיין:</w:t>
      </w:r>
    </w:p>
    <w:p w:rsidR="005366A8" w:rsidRPr="0058771C" w:rsidRDefault="005366A8" w:rsidP="005366A8">
      <w:pPr>
        <w:rPr>
          <w:rFonts w:cs="FrankRuehl"/>
          <w:sz w:val="22"/>
          <w:szCs w:val="22"/>
          <w:rtl/>
        </w:rPr>
      </w:pPr>
      <w:r w:rsidRPr="0058771C">
        <w:rPr>
          <w:rFonts w:cs="FrankRuehl" w:hint="cs"/>
          <w:sz w:val="22"/>
          <w:szCs w:val="22"/>
          <w:rtl/>
        </w:rPr>
        <w:t> </w:t>
      </w:r>
    </w:p>
    <w:p w:rsidR="005366A8" w:rsidRPr="0058771C" w:rsidRDefault="005366A8" w:rsidP="005366A8">
      <w:pPr>
        <w:spacing w:after="60"/>
        <w:rPr>
          <w:rFonts w:cs="FrankRuehl"/>
          <w:sz w:val="22"/>
          <w:szCs w:val="22"/>
          <w:rtl/>
        </w:rPr>
      </w:pPr>
      <w:r w:rsidRPr="0058771C">
        <w:rPr>
          <w:rFonts w:cs="FrankRuehl" w:hint="cs"/>
          <w:sz w:val="22"/>
          <w:szCs w:val="22"/>
          <w:rtl/>
        </w:rPr>
        <w:t xml:space="preserve">א.        תיק זה, אף אם תוצאתו אי היעתרות לעתירה, הורתו לדעתי בכישלון מערכתי מהדהד – להנחיל לעם בישראל, ועצוב מזה, לנציגיו בכנסת, את התודעה החוקתית. העובדה שהטכסטים החוקתיים, חוקי היסוד, הם "כחומר ביד היוצר, ברצותו מרחיב וברצותו מקצר", כלשון הפיוט הנאמר בבתי הכנסת בליל יום הכיפורים, היא עדות עצובה לכך. מצויים אנו בעידנים מתמשכים של "מעין חוקה" –חוקי היסוד – מזה, לרבות ביקורת שיפוטית חוקתית בגדרי ע"א 6821/93 בנק המזרחי נ' מגדל, פ"ד מט(4) 221 והתיקים הבאים אחריו, ומנגד מזה, זילות חוקי היסוד משל היו "תכנית כבקשתך". השאלה שלפנינו היא האם ניתן, בדרך שיפוטית, להגיע לכיבוד רב יותר של הטכסט החוקתי? התשובה אינה ברורה. </w:t>
      </w:r>
    </w:p>
    <w:p w:rsidR="005366A8" w:rsidRPr="0058771C" w:rsidRDefault="005366A8" w:rsidP="005366A8">
      <w:pPr>
        <w:spacing w:after="60"/>
        <w:rPr>
          <w:rFonts w:cs="FrankRuehl"/>
          <w:sz w:val="22"/>
          <w:szCs w:val="22"/>
          <w:rtl/>
        </w:rPr>
      </w:pPr>
      <w:r w:rsidRPr="0058771C">
        <w:rPr>
          <w:rFonts w:cs="FrankRuehl" w:hint="cs"/>
          <w:sz w:val="22"/>
          <w:szCs w:val="22"/>
          <w:rtl/>
        </w:rPr>
        <w:t xml:space="preserve"> ב.        הסוגיה הספציפית שעל הפרק היא בעיני כפולה. חלקה האחד הוא, האם ניתן לשנות חוק יסוד בהוראת שעה? השני, בהמשך לאמור, הוא המדרון החלקלק של הזילות בכבודו החוקתי של חוק יסוד. </w:t>
      </w:r>
    </w:p>
    <w:p w:rsidR="005366A8" w:rsidRPr="0058771C" w:rsidRDefault="005366A8" w:rsidP="005366A8">
      <w:pPr>
        <w:spacing w:after="60"/>
        <w:rPr>
          <w:rFonts w:cs="FrankRuehl"/>
          <w:sz w:val="22"/>
          <w:szCs w:val="22"/>
          <w:rtl/>
        </w:rPr>
      </w:pPr>
      <w:r w:rsidRPr="0058771C">
        <w:rPr>
          <w:rFonts w:cs="FrankRuehl" w:hint="cs"/>
          <w:sz w:val="22"/>
          <w:szCs w:val="22"/>
          <w:rtl/>
        </w:rPr>
        <w:t> ג.        במישור המשפטי קשה לקבוע באופן נחרץ כי אין לשנות חוק בהוראת שעה בהיעדר חוק יסוד: החקיקה, ולא כל שכן בטרם השלמת החוקה. בגדרי תשובתה של הכנסת צוטט ממכתבי מיום 19.7.99, שעה שכיהנתי כיועץ משפטי לממשלה, ליושב ראש ועדת החוקה חוק ומשפט של הכנסת, אשר עסק במשאלת הממשלה לשנות את חוק יסוד: הממשלה, כך שתוסר ההגבלה שהיתה קיימת בנוסח חוק היסוד אז על מספר השרים. ההצעה נראתה לי בעייתית מבחינה משפטית, והבעתי הסתייגות מכך נוכח העיגון החוקתי שניתן לפי חוק היסוד הקיים למספר השרים, לרבות באשר "לאינטרס שביציבות המבנה החוקתי והצורך להימנע ככל הניתן משינויים תכופים בחוקי היסוד...". הוספתי, עם זאת, "ואולם, ככל שהדבר נעשה בהתאם להוראות חוק היסוד הנוגעות לענין, אין בידי לקבוע כי קיימת מניעה משפטית לכך". נוכח הבעייתיות, וכדי לאזן בין משאלת הממשלה והצרכים שהציגה, לבין רצון להימנע מקיבוע ההרחבה לאורך ימים, הוצע על ידי משרד המשפטים, ואף הממשלה ניאותה לכך, עיגון ההצעה בהוראת שעה, לתקופת כהונתה של אותה כנסת. במכתב נוסף ליו"ר הועדה מ-21.7.99, ציינתי, כי לשם צמצום הבעייתיות העליתי את מחשבת הוראת השעה, ושאמנם ניתן לטעון "כי חוק יסוד עדיף ומכובד לתקן בהוראת קבע, כיון שבמסמך חוקתי עסקינן. ואולם, יש לשקול דברים במאזני רווח והפסד גם לטווח הארוך, ולדעתי המסר של אפשרות להרחבת קבע של הממשלה נזקו עולה על הקושי, שאיני מקל בו ראש, של תיקון טכסט חוקתי בהוראת שעה (ולדאבוני עדיין לא זכינו לשוות למרבית הטכסטים החוקתיים, חוקי היסוד, את ההילה ה'חוקתית' בציבור ובכנסת מטעמים שונים)". סברתי כי הוראת שעה תחייב ייזומם של הליכים מחודשים בעתיד ואולי יחזור הגלגל; היו גם אז דוגמאות להוראת שעה – סעיף 10 לחוק יסוד: חופש העיסוק. סברתי איפוא כי "הכף נוטה להוראת שעה, כדי שלא לקבע דבר העשוי להתברר כבעל נחיצות זמנית". הכנסת החליטה בסופו של יום על תיקון קבע, עמו אנו חיים עד היום בממשלות רבות שרים.</w:t>
      </w:r>
    </w:p>
    <w:p w:rsidR="005366A8" w:rsidRPr="0058771C" w:rsidRDefault="005366A8" w:rsidP="005366A8">
      <w:pPr>
        <w:spacing w:after="60"/>
        <w:rPr>
          <w:rFonts w:cs="FrankRuehl"/>
          <w:sz w:val="22"/>
          <w:szCs w:val="22"/>
          <w:rtl/>
        </w:rPr>
      </w:pPr>
      <w:r w:rsidRPr="0058771C">
        <w:rPr>
          <w:rFonts w:cs="FrankRuehl" w:hint="cs"/>
          <w:sz w:val="22"/>
          <w:szCs w:val="22"/>
          <w:rtl/>
        </w:rPr>
        <w:t xml:space="preserve"> ד.        </w:t>
      </w:r>
      <w:r w:rsidRPr="0058771C">
        <w:rPr>
          <w:rFonts w:cs="FrankRuehl" w:hint="cs"/>
          <w:sz w:val="22"/>
          <w:szCs w:val="22"/>
          <w:highlight w:val="yellow"/>
          <w:rtl/>
        </w:rPr>
        <w:t>הבאתי דברים אלה באריכות מה, כדי לעמוד על הנסיבות של "אוי לי מיוצרי ואוי לי מיצרי" (בבלי, ברכות, ס"א, א'). חוקי היסוד לא זכו למעמד הראוי להם, וראיה לדבר, בין השאר, תהפוכות שעבר חוק יסוד: הממשלה אשר נחקק, תוקן (לא בהכרח בהוראת שעה), והוחלף, בחלק ניכר על-פי מצבים מתחלפים של צרכים קואליציוניים שבינם לבין כבוד חוקתי אין על פי רוב ולא כלום</w:t>
      </w:r>
      <w:r w:rsidRPr="0058771C">
        <w:rPr>
          <w:rFonts w:cs="FrankRuehl" w:hint="cs"/>
          <w:sz w:val="22"/>
          <w:szCs w:val="22"/>
          <w:rtl/>
        </w:rPr>
        <w:t xml:space="preserve"> (ראו מאמרי "חוק יסוד: הממשלה במתכונתו המקורית – הלכה למעשה", משפט וממשל ג' (תשנ"ו) 521, 583-578, פורסם גם בספרי נתיבי ממשל ומשפט (תשס"ג-2003), 79, 91-86). על כן, משבאה הממשלה לפעול להגדלת מספר השרים ב-1999, חשבתי כיועץ משפטי כי הדבר שגוי וחבל שיקובע (כפי שלבסוף אירע) כ"בכייה לדורות", ועל כן סברתי כי עדיפה הוראת שעה, כאמור, בחינת "בוחרים בקטנה שבשתי רעות", כלשון המג'לה. גם היום לא אוכל לומר בפה מלא כי אין להוראת שעה חוקתית אחיזה בדין באופן המאלץ לפסול אותה, כפי שאנו מתבקשים עתה, והדברים נאמרים בצער. </w:t>
      </w:r>
    </w:p>
    <w:p w:rsidR="005366A8" w:rsidRPr="0058771C" w:rsidRDefault="005366A8" w:rsidP="005366A8">
      <w:pPr>
        <w:spacing w:after="60"/>
        <w:rPr>
          <w:rFonts w:cs="FrankRuehl"/>
          <w:sz w:val="22"/>
          <w:szCs w:val="22"/>
          <w:rtl/>
        </w:rPr>
      </w:pPr>
      <w:r w:rsidRPr="0058771C">
        <w:rPr>
          <w:rFonts w:cs="FrankRuehl" w:hint="cs"/>
          <w:sz w:val="22"/>
          <w:szCs w:val="22"/>
          <w:rtl/>
        </w:rPr>
        <w:t xml:space="preserve"> ה.        </w:t>
      </w:r>
      <w:r w:rsidRPr="0058771C">
        <w:rPr>
          <w:rFonts w:cs="FrankRuehl" w:hint="cs"/>
          <w:sz w:val="22"/>
          <w:szCs w:val="22"/>
          <w:highlight w:val="yellow"/>
          <w:rtl/>
        </w:rPr>
        <w:t>והנה הנושא שעליו נסבה העתירה אינו ענין של מה בכך. התקציב הוא אחד מן העמודים המרכזיים עליהם נשען הפיקוח הפרלמנטרי על הממשלה, ורוב מלים אך למותר. כשלעצמי איני סבור שטכסט חוקתי הוא שדה ניסויים, כפי שמבקשים בעלי התיקון לומר. נודה על האמת, הוראת שעה שהיא כורח ברור – כפי שציינה חברתי השופטת נאור (פסקה 3), למשל הוראת שעה לענין הבחירות אחרי מלחמת יום הכיפורים – היא נדירה. הוראות השעה על פי רוב ינבעו מצרכים קואליציוניים ופוליטיים, שביניהם לבין חוקה המסמלת קביעות, נצחיות המדינה והאומה, זכויות האדם והאזרח ובתוכן זכויות המיעוטים, אין קשר של ממש.</w:t>
      </w:r>
      <w:r w:rsidRPr="0058771C">
        <w:rPr>
          <w:rFonts w:cs="FrankRuehl" w:hint="cs"/>
          <w:sz w:val="22"/>
          <w:szCs w:val="22"/>
          <w:rtl/>
        </w:rPr>
        <w:t xml:space="preserve"> במקרה דנא, רעיון התקציב הדו-שנתי אמנם במהותו אינו קוניונקטורלי ויש לו אחיזה - כפי שהוצג בפנינו - בגישה מקצועית ובהיבט בינלאומי, ואולם הוא כרוך - כאמור - ביכולת הפיקוח של הכנסת על הממשלה; האם ראוי הוא לניסויים חוקתיים ולשבשבת? </w:t>
      </w:r>
    </w:p>
    <w:p w:rsidR="005366A8" w:rsidRPr="0058771C" w:rsidRDefault="005366A8" w:rsidP="005366A8">
      <w:pPr>
        <w:spacing w:after="60"/>
        <w:rPr>
          <w:rFonts w:cs="FrankRuehl"/>
          <w:sz w:val="22"/>
          <w:szCs w:val="22"/>
          <w:rtl/>
        </w:rPr>
      </w:pPr>
      <w:r w:rsidRPr="0058771C">
        <w:rPr>
          <w:rFonts w:cs="FrankRuehl" w:hint="cs"/>
          <w:sz w:val="22"/>
          <w:szCs w:val="22"/>
          <w:rtl/>
        </w:rPr>
        <w:t xml:space="preserve"> ו.        </w:t>
      </w:r>
      <w:r w:rsidRPr="0058771C">
        <w:rPr>
          <w:rFonts w:cs="FrankRuehl" w:hint="cs"/>
          <w:sz w:val="22"/>
          <w:szCs w:val="22"/>
          <w:highlight w:val="yellow"/>
          <w:rtl/>
        </w:rPr>
        <w:t>ועוד, לא אמנע מאמור כאן כי התקציב הדו-שנתי עלול להיראות על פניו כאחיו הצעיר של חוק ההסדרים הידוע שלא לטובה, שלא לומר לשמצה – אשר ממשיך, חרף שיפורים אחדים בעקבות התעוררות פרלמנטרית מסוימת והערות משפטיות ושיפוטיות, ללוות כל תקציב כסטירת לחי מתמדת לרעיון החקיקה הראויה, ובעיניי גם כאי כבוד לכנסת, וכבר נכתב ונאמר על כך לא מעט, והמוסיף כמעט גורע.</w:t>
      </w:r>
      <w:r w:rsidRPr="0058771C">
        <w:rPr>
          <w:rFonts w:cs="FrankRuehl" w:hint="cs"/>
          <w:sz w:val="22"/>
          <w:szCs w:val="22"/>
          <w:rtl/>
        </w:rPr>
        <w:t xml:space="preserve"> </w:t>
      </w:r>
    </w:p>
    <w:p w:rsidR="005366A8" w:rsidRPr="0058771C" w:rsidRDefault="005366A8" w:rsidP="005366A8">
      <w:pPr>
        <w:spacing w:after="60"/>
        <w:rPr>
          <w:rFonts w:cs="FrankRuehl"/>
          <w:sz w:val="22"/>
          <w:szCs w:val="22"/>
          <w:rtl/>
        </w:rPr>
      </w:pPr>
      <w:r w:rsidRPr="0058771C">
        <w:rPr>
          <w:rFonts w:cs="FrankRuehl" w:hint="cs"/>
          <w:sz w:val="22"/>
          <w:szCs w:val="22"/>
          <w:rtl/>
        </w:rPr>
        <w:t xml:space="preserve"> ז.        אך לאחר שאמרנו כל אלה, כדי לפסול את חוק הוראת השעה, יש צורך בעיגון משפטי איתן יותר מזה הקיים, אף כי לא הייתי נועל את הדלת במבט לעתיד; בנסיבות לא נוצרה המסה הקריטית שתביא לפסילתו. חברתי השופטת נאור (בפסקה 3 לחוות דעתה) ציינה, כי "אכן הסדרים חוקתיים ראויים חייבים להשאיר לפחות פתח צר לשינוי חוקי היסוד בדרך של הוראת שעה". הייתי מותיר זאת בצריך עיון; למשל, בארצות הברית תיקון החוקה (לפי סעיף 5 בה) מחייב פרוצדורה ענפה וממושכת, המשלבת החלטות קונגרסיונליות עם הסכמת המדינות. אך בודאי אוכל להסכים לדברי השופטת נאור, כי אם נעשה הדבר ומתקבלת הוראת שעה, צריך שייעשה כן במשורה ולדידי במשורה שבמשורה. מכל מקום לעת הזאת, ובמקרה דנא במצב המשפטי הקיים, לא נוכל לכבד את הכנסת יותר מאשר היא מכבדת את עצמה, ועל כן אין בידינו לקבל את העתירה.  </w:t>
      </w:r>
    </w:p>
    <w:p w:rsidR="005366A8" w:rsidRPr="0058771C" w:rsidRDefault="005366A8" w:rsidP="005366A8">
      <w:pPr>
        <w:spacing w:after="60"/>
        <w:rPr>
          <w:rFonts w:cs="FrankRuehl"/>
          <w:sz w:val="22"/>
          <w:szCs w:val="22"/>
          <w:rtl/>
        </w:rPr>
      </w:pPr>
      <w:r w:rsidRPr="0058771C">
        <w:rPr>
          <w:rFonts w:cs="FrankRuehl" w:hint="cs"/>
          <w:sz w:val="22"/>
          <w:szCs w:val="22"/>
          <w:rtl/>
        </w:rPr>
        <w:t xml:space="preserve"> ח.       </w:t>
      </w:r>
      <w:r w:rsidRPr="0058771C">
        <w:rPr>
          <w:rFonts w:cs="FrankRuehl" w:hint="cs"/>
          <w:sz w:val="22"/>
          <w:szCs w:val="22"/>
          <w:highlight w:val="yellow"/>
          <w:rtl/>
        </w:rPr>
        <w:t xml:space="preserve">אסיים בהצטרפות לדברי חברתי הנשיאה לענין הצורך בהשלמתו של מפעל החוקה. אומר באופן חד ובוטה במקצת: הטעם העיקרי לאי השלמתו עד הנה, כך נראה בעיניי – ונזכיר כי מזה כמעט שני עשורים לא נחקק ולוא גם חוק יסוד אחד, חרף מאמצים – הוא לא מה ייכתב בחוקה, אלא ככל הנראה השאלה מי יפרש אותה. חוקי היסוד האחרונים באו לעולם בשנת 1992, אך ב-1995 ניתן פסק הדין בפרשת בנק המזרחי הקובע את הסמכות החוקתית, ומאז שוררת "דממת חוקה" במובן האופרטיבי, להבדיל מהצעות מהצעות שונות. דומה כי חלקים בכנסת אינם מאושרים מן הסמכות החוקתית של בית משפט זה, וחוששים הם פן טכסטים חוקתיים נוספים יעצימו את כוחו. ארשה לעצמי לומר רק, כי לא זו בלבד שהסמכות לביקורת חוקתית מופעלת על ידי בית המשפט בזהירות ובמשורה, אלא הבוחן אותה ימצא כי משהופעלה, היה הדבר בתחומים שעל פי רוב לא הם המדאיגים את הדואגים. </w:t>
      </w:r>
      <w:r w:rsidRPr="0058771C">
        <w:rPr>
          <w:rFonts w:cs="FrankRuehl" w:hint="cs"/>
          <w:sz w:val="22"/>
          <w:szCs w:val="22"/>
          <w:highlight w:val="green"/>
          <w:rtl/>
        </w:rPr>
        <w:t xml:space="preserve">חיים אנו בעולם של מראיות עין ופרספציות ציבוריות ותקשורתיות המזינות את עצמן. יפה יהיה אם הבדיקה תהא מדי פעם גם לגופם של דברים, אם אפשר להעלות בקשה צנועה זו; </w:t>
      </w:r>
      <w:r w:rsidRPr="0058771C">
        <w:rPr>
          <w:rFonts w:cs="FrankRuehl" w:hint="cs"/>
          <w:sz w:val="22"/>
          <w:szCs w:val="22"/>
          <w:highlight w:val="yellow"/>
          <w:rtl/>
        </w:rPr>
        <w:t>זאת, אף כי כמובן – בחינת פשיטא – ביקורת היא לגיטימית, והרי יש גם הכרעות רוב ומיעוט בבית המשפט עצמו. אך תמיד יפה בדיקה, כך שהביקורת תבוא אחריה ולא לפניה. מדוע מאמין אני בחשיבות השלמתה של החוקה, והרי בפועל אנו חיים במשטר מעין-חוקתי? מטעמים חינוכיים, של הנחלת ערכי ישראל כמדינה יהודית ודמוקרטית, כטכסט שיילמד ושיהוה מעיין היסטורי מפכה לערכי אומה ואדם כאחד. הכרזת העצמאות, המהוה מקור פרשני מרכזי לפי סעיף 1 לחוק יסוד; חופש העיסוק וסעיף 1 לחוק יסוד: כבוד האדם וחרותו יכולה למלא חלק מתפקידים אלה (ראו רשימתי יחד עם נ' סולברג "הכרזת העצמאות של מדינת ישראל – אחר בלותה (כמעט) היתה לה עדנה", נתיבי ממשל ומשפט 179, 195-191). אך חוקה שלמה תשדרג ותעצים במישור החינוכי ובראיה לדורות, ועל כן ראוי לה שתבוא לעולם.</w:t>
      </w:r>
    </w:p>
    <w:p w:rsidR="005366A8" w:rsidRPr="0058771C" w:rsidRDefault="005366A8" w:rsidP="005366A8">
      <w:pPr>
        <w:rPr>
          <w:rFonts w:cs="FrankRuehl"/>
          <w:sz w:val="22"/>
          <w:szCs w:val="22"/>
          <w:rtl/>
        </w:rPr>
      </w:pPr>
      <w:r w:rsidRPr="0058771C">
        <w:rPr>
          <w:rFonts w:cs="FrankRuehl" w:hint="cs"/>
          <w:sz w:val="22"/>
          <w:szCs w:val="22"/>
          <w:rtl/>
        </w:rPr>
        <w:t> </w:t>
      </w:r>
    </w:p>
    <w:p w:rsidR="005366A8" w:rsidRDefault="005366A8" w:rsidP="005366A8">
      <w:pPr>
        <w:rPr>
          <w:sz w:val="22"/>
          <w:szCs w:val="22"/>
          <w:rtl/>
        </w:rPr>
      </w:pPr>
      <w:r>
        <w:rPr>
          <w:rFonts w:hint="cs"/>
          <w:rtl/>
        </w:rPr>
        <w:t>=-=</w:t>
      </w:r>
    </w:p>
    <w:p w:rsidR="005366A8" w:rsidRPr="00A23E90" w:rsidRDefault="005366A8" w:rsidP="005366A8">
      <w:pPr>
        <w:spacing w:after="120"/>
        <w:jc w:val="center"/>
        <w:rPr>
          <w:rFonts w:ascii="Arial" w:hAnsi="Arial" w:cs="Arial"/>
          <w:b/>
          <w:bCs/>
          <w:sz w:val="22"/>
          <w:szCs w:val="22"/>
          <w:rtl/>
        </w:rPr>
      </w:pPr>
      <w:r w:rsidRPr="007C7715">
        <w:rPr>
          <w:rFonts w:ascii="Arial" w:hAnsi="Arial" w:cs="Arial"/>
          <w:b/>
          <w:bCs/>
          <w:sz w:val="28"/>
          <w:szCs w:val="28"/>
          <w:highlight w:val="yellow"/>
          <w:rtl/>
        </w:rPr>
        <w:t xml:space="preserve">ביקורת שיפוטית מטא-טקסטואלית </w:t>
      </w:r>
      <w:r w:rsidRPr="00370A4F">
        <w:rPr>
          <w:rFonts w:ascii="Arial" w:hAnsi="Arial" w:cs="Arial"/>
          <w:b/>
          <w:bCs/>
          <w:sz w:val="22"/>
          <w:szCs w:val="22"/>
          <w:highlight w:val="yellow"/>
          <w:rtl/>
        </w:rPr>
        <w:t>(המשך)</w:t>
      </w:r>
    </w:p>
    <w:p w:rsidR="005366A8" w:rsidRPr="00AF35E9" w:rsidRDefault="005366A8" w:rsidP="005366A8">
      <w:pPr>
        <w:spacing w:after="120"/>
        <w:rPr>
          <w:sz w:val="22"/>
          <w:szCs w:val="22"/>
          <w:highlight w:val="yellow"/>
          <w:rtl/>
        </w:rPr>
      </w:pPr>
      <w:r w:rsidRPr="00AF35E9">
        <w:rPr>
          <w:rFonts w:hint="cs"/>
          <w:sz w:val="22"/>
          <w:szCs w:val="22"/>
          <w:highlight w:val="yellow"/>
          <w:rtl/>
        </w:rPr>
        <w:t xml:space="preserve">האפשרות כי תופעל ביקורת שיפוטית מטא-טקסטואלית כלפי הוראה חוקתית </w:t>
      </w:r>
      <w:r w:rsidRPr="00AF35E9">
        <w:rPr>
          <w:sz w:val="22"/>
          <w:szCs w:val="22"/>
          <w:highlight w:val="yellow"/>
          <w:rtl/>
        </w:rPr>
        <w:t>–</w:t>
      </w:r>
      <w:r w:rsidRPr="00AF35E9">
        <w:rPr>
          <w:rFonts w:hint="cs"/>
          <w:sz w:val="22"/>
          <w:szCs w:val="22"/>
          <w:highlight w:val="yellow"/>
          <w:rtl/>
        </w:rPr>
        <w:t xml:space="preserve"> חוק יסוד, תיקון לחוק יסוד </w:t>
      </w:r>
      <w:r w:rsidRPr="00AF35E9">
        <w:rPr>
          <w:sz w:val="22"/>
          <w:szCs w:val="22"/>
          <w:highlight w:val="yellow"/>
          <w:rtl/>
        </w:rPr>
        <w:t>–</w:t>
      </w:r>
      <w:r w:rsidRPr="00AF35E9">
        <w:rPr>
          <w:rFonts w:hint="cs"/>
          <w:sz w:val="22"/>
          <w:szCs w:val="22"/>
          <w:highlight w:val="yellow"/>
          <w:rtl/>
        </w:rPr>
        <w:t xml:space="preserve"> תלויה בעוצמת הפוגענות/ הבוטות/ עומק הפגיעה הגלומה בהוראה החוקתית הנבחנת. עוצמה זו של פוגענות קשורה, קרוב לוודאי, בשלשה משתנים:</w:t>
      </w:r>
    </w:p>
    <w:p w:rsidR="005366A8" w:rsidRPr="00AF35E9" w:rsidRDefault="005366A8" w:rsidP="005366A8">
      <w:pPr>
        <w:spacing w:after="120"/>
        <w:ind w:left="1440" w:hanging="720"/>
        <w:rPr>
          <w:sz w:val="22"/>
          <w:szCs w:val="22"/>
          <w:highlight w:val="yellow"/>
          <w:rtl/>
        </w:rPr>
      </w:pPr>
      <w:r w:rsidRPr="00AF35E9">
        <w:rPr>
          <w:rFonts w:hint="cs"/>
          <w:b/>
          <w:bCs/>
          <w:sz w:val="22"/>
          <w:szCs w:val="22"/>
          <w:highlight w:val="yellow"/>
          <w:u w:val="single"/>
          <w:rtl/>
        </w:rPr>
        <w:t>תוכן הפגיעה</w:t>
      </w:r>
      <w:r w:rsidRPr="00AF35E9">
        <w:rPr>
          <w:rFonts w:hint="cs"/>
          <w:sz w:val="22"/>
          <w:szCs w:val="22"/>
          <w:highlight w:val="yellow"/>
          <w:rtl/>
        </w:rPr>
        <w:t xml:space="preserve"> (סוג הפגיעה, היקף הפגיעה</w:t>
      </w:r>
      <w:r>
        <w:rPr>
          <w:rFonts w:hint="cs"/>
          <w:sz w:val="22"/>
          <w:szCs w:val="22"/>
          <w:highlight w:val="yellow"/>
          <w:rtl/>
        </w:rPr>
        <w:t>)</w:t>
      </w:r>
      <w:r w:rsidRPr="00AF35E9">
        <w:rPr>
          <w:rFonts w:hint="cs"/>
          <w:sz w:val="22"/>
          <w:szCs w:val="22"/>
          <w:highlight w:val="yellow"/>
          <w:rtl/>
        </w:rPr>
        <w:t xml:space="preserve"> בזכויות אדם או בעקרונות יסוד אחרים המתגבשת בחוק היסוד או בתיקון לחוק היסוד שאת תוקפו אנחנו מבקשים לבחון;</w:t>
      </w:r>
    </w:p>
    <w:p w:rsidR="005366A8" w:rsidRPr="00AF35E9" w:rsidRDefault="005366A8" w:rsidP="005366A8">
      <w:pPr>
        <w:spacing w:after="120"/>
        <w:ind w:left="1440" w:hanging="720"/>
        <w:rPr>
          <w:sz w:val="22"/>
          <w:szCs w:val="22"/>
          <w:highlight w:val="yellow"/>
          <w:rtl/>
        </w:rPr>
      </w:pPr>
      <w:r w:rsidRPr="00AF35E9">
        <w:rPr>
          <w:rFonts w:hint="cs"/>
          <w:b/>
          <w:bCs/>
          <w:sz w:val="22"/>
          <w:szCs w:val="22"/>
          <w:highlight w:val="yellow"/>
          <w:u w:val="single"/>
          <w:rtl/>
        </w:rPr>
        <w:t>מידת שריונה של הפגיעה</w:t>
      </w:r>
      <w:r w:rsidRPr="00AF35E9">
        <w:rPr>
          <w:rFonts w:hint="cs"/>
          <w:sz w:val="22"/>
          <w:szCs w:val="22"/>
          <w:highlight w:val="yellow"/>
          <w:rtl/>
        </w:rPr>
        <w:t xml:space="preserve"> </w:t>
      </w:r>
      <w:r w:rsidRPr="00AF35E9">
        <w:rPr>
          <w:sz w:val="22"/>
          <w:szCs w:val="22"/>
          <w:highlight w:val="yellow"/>
          <w:rtl/>
        </w:rPr>
        <w:t>–</w:t>
      </w:r>
      <w:r w:rsidRPr="00AF35E9">
        <w:rPr>
          <w:rFonts w:hint="cs"/>
          <w:sz w:val="22"/>
          <w:szCs w:val="22"/>
          <w:highlight w:val="yellow"/>
          <w:rtl/>
        </w:rPr>
        <w:t xml:space="preserve"> מה מידת שריונה של ההוראה הפוגעת (המופיעה בחוק היסוד או בתיקון לו) מפני תיקונה שלה בעתיד?</w:t>
      </w:r>
      <w:r>
        <w:rPr>
          <w:rFonts w:hint="cs"/>
          <w:sz w:val="22"/>
          <w:szCs w:val="22"/>
          <w:highlight w:val="yellow"/>
          <w:rtl/>
        </w:rPr>
        <w:t xml:space="preserve"> (כלומר, עד כמה מכונניה התכוונו להופכה לבלתי-הפיכה, ובלי הביקורת המטא-טקסטואלית היא אכן עלולה להיות בלתי הפיכה? זאת בהנחה שאין הצדקה לעשותה אכן לבלתי הפיכה);</w:t>
      </w:r>
    </w:p>
    <w:p w:rsidR="005366A8" w:rsidRPr="00AF35E9" w:rsidRDefault="005366A8" w:rsidP="005366A8">
      <w:pPr>
        <w:spacing w:after="120"/>
        <w:ind w:left="1440" w:hanging="720"/>
        <w:rPr>
          <w:sz w:val="22"/>
          <w:szCs w:val="22"/>
          <w:highlight w:val="yellow"/>
          <w:rtl/>
        </w:rPr>
      </w:pPr>
      <w:r w:rsidRPr="00AF35E9">
        <w:rPr>
          <w:rFonts w:hint="cs"/>
          <w:b/>
          <w:bCs/>
          <w:sz w:val="22"/>
          <w:szCs w:val="22"/>
          <w:highlight w:val="yellow"/>
          <w:u w:val="single"/>
          <w:rtl/>
        </w:rPr>
        <w:t>ההליך שבו התקבלה אותה הוראה פוגעת</w:t>
      </w:r>
      <w:r w:rsidRPr="00AF35E9">
        <w:rPr>
          <w:rFonts w:hint="cs"/>
          <w:sz w:val="22"/>
          <w:szCs w:val="22"/>
          <w:highlight w:val="yellow"/>
          <w:rtl/>
        </w:rPr>
        <w:t xml:space="preserve"> </w:t>
      </w:r>
      <w:r w:rsidRPr="00AF35E9">
        <w:rPr>
          <w:sz w:val="22"/>
          <w:szCs w:val="22"/>
          <w:highlight w:val="yellow"/>
          <w:rtl/>
        </w:rPr>
        <w:t>–</w:t>
      </w:r>
      <w:r w:rsidRPr="00AF35E9">
        <w:rPr>
          <w:rFonts w:hint="cs"/>
          <w:sz w:val="22"/>
          <w:szCs w:val="22"/>
          <w:highlight w:val="yellow"/>
          <w:rtl/>
        </w:rPr>
        <w:t xml:space="preserve"> עד כמה היה הליך כינונה של אותה הוראה חוקתית מסודר, מודע, "לא-מחטפי", הוגן? (</w:t>
      </w:r>
      <w:r>
        <w:rPr>
          <w:rFonts w:hint="cs"/>
          <w:sz w:val="22"/>
          <w:szCs w:val="22"/>
          <w:highlight w:val="yellow"/>
          <w:rtl/>
        </w:rPr>
        <w:t>חשבו, למשל, על</w:t>
      </w:r>
      <w:r w:rsidRPr="00AF35E9">
        <w:rPr>
          <w:rFonts w:hint="cs"/>
          <w:sz w:val="22"/>
          <w:szCs w:val="22"/>
          <w:highlight w:val="yellow"/>
          <w:rtl/>
        </w:rPr>
        <w:t xml:space="preserve"> הדוגמא של כנסת שמכוננת ברוב של שלושים וחמישה חברי כנסת הוראה המשריינת עצמה בדרישה לשינוי באמצעות רוב של שמונים חברי כנסת).</w:t>
      </w:r>
    </w:p>
    <w:p w:rsidR="005366A8" w:rsidRDefault="005366A8" w:rsidP="005366A8">
      <w:pPr>
        <w:rPr>
          <w:sz w:val="22"/>
          <w:szCs w:val="22"/>
          <w:rtl/>
        </w:rPr>
      </w:pPr>
      <w:r w:rsidRPr="00AF35E9">
        <w:rPr>
          <w:rFonts w:hint="cs"/>
          <w:sz w:val="22"/>
          <w:szCs w:val="22"/>
          <w:highlight w:val="yellow"/>
          <w:rtl/>
        </w:rPr>
        <w:t xml:space="preserve">אין כוונתי לכך ששלושת המשתנים הללו חייבים להופיע במצטבר ולהיות פגומים </w:t>
      </w:r>
      <w:r>
        <w:rPr>
          <w:rFonts w:hint="cs"/>
          <w:sz w:val="22"/>
          <w:szCs w:val="22"/>
          <w:highlight w:val="yellow"/>
          <w:rtl/>
        </w:rPr>
        <w:t xml:space="preserve">כל אחד מהם </w:t>
      </w:r>
      <w:r w:rsidRPr="00AF35E9">
        <w:rPr>
          <w:rFonts w:hint="cs"/>
          <w:sz w:val="22"/>
          <w:szCs w:val="22"/>
          <w:highlight w:val="yellow"/>
          <w:rtl/>
        </w:rPr>
        <w:t>במידה עמוקה. ניתן לחשוב על דברים "בלתי נסבלים" שאולי יופיעו באחד מהמשתנים הללו, ויצדיקו כשלעצמם ביקורת מטא-טקסטואלית.</w:t>
      </w:r>
    </w:p>
    <w:p w:rsidR="005366A8" w:rsidRDefault="005366A8" w:rsidP="005366A8">
      <w:pPr>
        <w:rPr>
          <w:sz w:val="22"/>
          <w:szCs w:val="22"/>
          <w:rtl/>
        </w:rPr>
      </w:pPr>
    </w:p>
    <w:p w:rsidR="005366A8" w:rsidRPr="00DD60F1" w:rsidRDefault="005366A8" w:rsidP="005366A8">
      <w:pPr>
        <w:spacing w:after="120"/>
        <w:rPr>
          <w:b/>
          <w:bCs/>
          <w:sz w:val="22"/>
          <w:szCs w:val="22"/>
          <w:rtl/>
        </w:rPr>
      </w:pPr>
      <w:r w:rsidRPr="00DD60F1">
        <w:rPr>
          <w:rFonts w:ascii="Arial" w:hAnsi="Arial" w:cs="Arial" w:hint="cs"/>
          <w:b/>
          <w:bCs/>
          <w:sz w:val="22"/>
          <w:szCs w:val="22"/>
          <w:highlight w:val="yellow"/>
          <w:rtl/>
        </w:rPr>
        <w:t>אהרן ברק "תיקון של חוקה שאינו חוקתי" (ספר בך, 2011)</w:t>
      </w:r>
    </w:p>
    <w:p w:rsidR="005366A8" w:rsidRPr="00DD60F1" w:rsidRDefault="005366A8" w:rsidP="005366A8">
      <w:pPr>
        <w:pStyle w:val="Ruller41"/>
        <w:spacing w:after="120" w:line="240" w:lineRule="auto"/>
        <w:ind w:left="720"/>
        <w:rPr>
          <w:sz w:val="24"/>
          <w:szCs w:val="24"/>
          <w:rtl/>
        </w:rPr>
      </w:pPr>
      <w:r>
        <w:rPr>
          <w:rFonts w:hint="cs"/>
          <w:sz w:val="24"/>
          <w:szCs w:val="24"/>
          <w:rtl/>
        </w:rPr>
        <w:t>[הקטעים להלן לקוחים מגרסת וורד, טיוטא מתקדמת של מאמרו של פרופ' ברק, אך יש הבדלים מסוימים בגרסה הסופית; כמו כן השמטתי חלק מהסימוכין.]</w:t>
      </w:r>
    </w:p>
    <w:p w:rsidR="005366A8" w:rsidRPr="00DD60F1" w:rsidRDefault="005366A8" w:rsidP="005366A8">
      <w:pPr>
        <w:pStyle w:val="Ruller41"/>
        <w:spacing w:line="240" w:lineRule="auto"/>
        <w:rPr>
          <w:rFonts w:ascii="Times New Roman" w:hAnsi="Times New Roman" w:cs="Times New Roman"/>
          <w:sz w:val="20"/>
          <w:szCs w:val="20"/>
          <w:rtl/>
        </w:rPr>
      </w:pPr>
      <w:r w:rsidRPr="00DD60F1">
        <w:rPr>
          <w:rFonts w:ascii="Times New Roman" w:hAnsi="Times New Roman" w:cs="Times New Roman"/>
          <w:sz w:val="20"/>
          <w:szCs w:val="20"/>
          <w:u w:val="single"/>
          <w:rtl/>
        </w:rPr>
        <w:t>5. שינוי חוקתי לא חוקתי בישראל</w:t>
      </w:r>
    </w:p>
    <w:p w:rsidR="005366A8" w:rsidRPr="00DD60F1" w:rsidRDefault="005366A8" w:rsidP="005366A8">
      <w:pPr>
        <w:pStyle w:val="Ruller41"/>
        <w:spacing w:line="240" w:lineRule="auto"/>
        <w:rPr>
          <w:rFonts w:ascii="Times New Roman" w:hAnsi="Times New Roman" w:cs="Times New Roman"/>
          <w:sz w:val="20"/>
          <w:szCs w:val="20"/>
          <w:rtl/>
        </w:rPr>
      </w:pPr>
      <w:r w:rsidRPr="00DD60F1">
        <w:rPr>
          <w:rFonts w:ascii="Times New Roman" w:hAnsi="Times New Roman" w:cs="Times New Roman"/>
          <w:sz w:val="20"/>
          <w:szCs w:val="20"/>
          <w:rtl/>
        </w:rPr>
        <w:tab/>
        <w:t>מפעל חוקי היסוד מבוסס על כוחה של הכנסת כרשות מכוננת. מפעל זה טרם הסתיים. עם סיום מפעל חוקי היסוד ואישרורו על ידי העם ועם כינונה של חוקה שלמה חדשה, יהא מקום לקבל החלטה באשר לתיקון החוקתי הלא חוקתי. ייתכן שהחוקה עצמה תפתור שאלה זו במפורש; יתכן שייקבעו בחוקה פסקאות נצחיות שיהא בהן כדי לסייע לפתרון השאלה; ייתכן והטקסט החוקתי ישתוק בסוגיה זו ויהא על בית המשפט העליון לקבל החלטה האם לאמץ את תורת המבנה הבסיסי של החוקה או תורה דומה לה או לדחותן; יתכן ותיקון החוק</w:t>
      </w:r>
      <w:r w:rsidRPr="00DD60F1">
        <w:rPr>
          <w:rFonts w:ascii="Times New Roman" w:hAnsi="Times New Roman" w:cs="Times New Roman" w:hint="cs"/>
          <w:sz w:val="20"/>
          <w:szCs w:val="20"/>
          <w:rtl/>
        </w:rPr>
        <w:t>ה</w:t>
      </w:r>
      <w:r w:rsidRPr="00DD60F1">
        <w:rPr>
          <w:rFonts w:ascii="Times New Roman" w:hAnsi="Times New Roman" w:cs="Times New Roman"/>
          <w:sz w:val="20"/>
          <w:szCs w:val="20"/>
          <w:rtl/>
        </w:rPr>
        <w:t xml:space="preserve"> יהא כה קשה וסבוך, עד כי השאלה לא תעלה לדיון כלל.</w:t>
      </w:r>
    </w:p>
    <w:p w:rsidR="005366A8" w:rsidRPr="00DD60F1" w:rsidRDefault="005366A8" w:rsidP="005366A8">
      <w:pPr>
        <w:pStyle w:val="Ruller41"/>
        <w:spacing w:line="240" w:lineRule="auto"/>
        <w:rPr>
          <w:rFonts w:ascii="Times New Roman" w:hAnsi="Times New Roman" w:cs="Times New Roman"/>
          <w:sz w:val="20"/>
          <w:szCs w:val="20"/>
          <w:rtl/>
        </w:rPr>
      </w:pPr>
      <w:r w:rsidRPr="00DD60F1">
        <w:rPr>
          <w:rFonts w:ascii="Times New Roman" w:hAnsi="Times New Roman" w:cs="Times New Roman"/>
          <w:sz w:val="20"/>
          <w:szCs w:val="20"/>
          <w:rtl/>
        </w:rPr>
        <w:tab/>
        <w:t xml:space="preserve">האם משמעות הדבר הינה כי בשלב הנוכחי של ההתפתחות החוקתית בישראל אין מקום לשקול את מקומה של שאלת התיקון של חוקה שאינו חוקתי? אכן, במובן המקיף והשלם שדוקטרינה זו מקובלת במשפט המשווה אין לדוקטרינה זו מקום בישראל. הטעם לכך הוא שהמושג "תיקון" חוקתי הוא עצמו בעייתי בישראל. מפעל החוקה בישראל הוא בהתהוות. המשימה טרם הושלמה. "השלם" טרם הושלם, וממילא התיקון החוקתי טרם הבשיל. עם זאת, יש לנו בישראל תהליך של כינון חוקי יסוד. לעתים בא חוק-יסוד חדש בתחום שטרם היה בו חוק-יסוד. לעתים בא תיקון לחוק-יסוד קיים בדרך של כינון חוק-יסוד מתקן. על רקע מצב זה יש מקום לעורר בישראל את השאלה הבאה: האם יש מגבלות על כוחה של הכנסת, כרשות מכוננת, בגיבוש תוכנם המהותי של חוקי היסוד, באופן שנוכל לדבר על חוק-יסוד לא חוקתי? האם לעניין זה יש שוני בין תחום שכבר כוסה על ידי חוקי-יסוד ומתבקש בו שינוי, לבין תחום שטרם כונן בו חוק-יסוד? </w:t>
      </w:r>
    </w:p>
    <w:p w:rsidR="005366A8" w:rsidRPr="00DD60F1" w:rsidRDefault="005366A8" w:rsidP="005366A8">
      <w:pPr>
        <w:pStyle w:val="Ruller41"/>
        <w:spacing w:line="240" w:lineRule="auto"/>
        <w:rPr>
          <w:rFonts w:ascii="Times New Roman" w:hAnsi="Times New Roman" w:cs="Times New Roman"/>
          <w:sz w:val="20"/>
          <w:szCs w:val="20"/>
          <w:rtl/>
        </w:rPr>
      </w:pPr>
      <w:r w:rsidRPr="00DD60F1">
        <w:rPr>
          <w:rFonts w:ascii="Times New Roman" w:hAnsi="Times New Roman" w:cs="Times New Roman"/>
          <w:sz w:val="20"/>
          <w:szCs w:val="20"/>
          <w:rtl/>
        </w:rPr>
        <w:tab/>
        <w:t>התשובות לשאלות אלה שנויות במחלוקת.</w:t>
      </w:r>
      <w:r w:rsidRPr="00DD60F1">
        <w:rPr>
          <w:rStyle w:val="FootnoteReference"/>
          <w:rFonts w:ascii="Times New Roman" w:hAnsi="Times New Roman" w:cs="Times New Roman"/>
          <w:sz w:val="20"/>
          <w:szCs w:val="20"/>
          <w:rtl/>
        </w:rPr>
        <w:footnoteReference w:id="5"/>
      </w:r>
      <w:r w:rsidRPr="00DD60F1">
        <w:rPr>
          <w:rFonts w:ascii="Times New Roman" w:hAnsi="Times New Roman" w:cs="Times New Roman"/>
          <w:sz w:val="20"/>
          <w:szCs w:val="20"/>
        </w:rPr>
        <w:t xml:space="preserve"> </w:t>
      </w:r>
      <w:r w:rsidRPr="00DD60F1">
        <w:rPr>
          <w:rFonts w:ascii="Times New Roman" w:hAnsi="Times New Roman" w:cs="Times New Roman"/>
          <w:sz w:val="20"/>
          <w:szCs w:val="20"/>
          <w:rtl/>
        </w:rPr>
        <w:t xml:space="preserve">לדעתי, יש מקום לגישה כי סמכותה המכוננת של הכנסת אינה כל יכולה. כך לעניין כינונו של חוק-יסוד חדש, וכך לעניין תיקונו של חוק-יסוד קיים. ניתן לומר כי </w:t>
      </w:r>
      <w:r w:rsidRPr="00DD60F1">
        <w:rPr>
          <w:rFonts w:ascii="Times New Roman" w:hAnsi="Times New Roman" w:cs="Times New Roman"/>
          <w:sz w:val="20"/>
          <w:szCs w:val="20"/>
          <w:highlight w:val="yellow"/>
          <w:rtl/>
        </w:rPr>
        <w:t>בשני המקרים חייבת הכנסת, כרשות מכוננת, לפעול במסגרת עקרונות יסוד וערכי היסוד של המבנה החוקתי שלנו</w:t>
      </w:r>
      <w:r w:rsidRPr="00DD60F1">
        <w:rPr>
          <w:rFonts w:ascii="Times New Roman" w:hAnsi="Times New Roman" w:cs="Times New Roman"/>
          <w:sz w:val="20"/>
          <w:szCs w:val="20"/>
          <w:rtl/>
        </w:rPr>
        <w:t>.</w:t>
      </w:r>
      <w:r w:rsidRPr="00DD60F1">
        <w:rPr>
          <w:rStyle w:val="FootnoteReference"/>
          <w:rFonts w:ascii="Times New Roman" w:hAnsi="Times New Roman" w:cs="Times New Roman"/>
          <w:sz w:val="20"/>
          <w:szCs w:val="20"/>
          <w:rtl/>
        </w:rPr>
        <w:footnoteReference w:id="6"/>
      </w:r>
      <w:r w:rsidRPr="00DD60F1">
        <w:rPr>
          <w:rFonts w:ascii="Times New Roman" w:hAnsi="Times New Roman" w:cs="Times New Roman"/>
          <w:sz w:val="20"/>
          <w:szCs w:val="20"/>
          <w:rtl/>
        </w:rPr>
        <w:t xml:space="preserve"> עליה לפעול במסגרת אמות המידה העקרוניות </w:t>
      </w:r>
      <w:r>
        <w:rPr>
          <w:rFonts w:ascii="Times New Roman" w:hAnsi="Times New Roman" w:cs="Times New Roman" w:hint="cs"/>
          <w:sz w:val="20"/>
          <w:szCs w:val="20"/>
          <w:rtl/>
        </w:rPr>
        <w:t xml:space="preserve">עליהן מבוססת </w:t>
      </w:r>
      <w:r w:rsidRPr="00DD60F1">
        <w:rPr>
          <w:rFonts w:ascii="Times New Roman" w:hAnsi="Times New Roman" w:cs="Times New Roman"/>
          <w:sz w:val="20"/>
          <w:szCs w:val="20"/>
          <w:rtl/>
        </w:rPr>
        <w:t>הכרזת העצמאות</w:t>
      </w:r>
      <w:r>
        <w:rPr>
          <w:rFonts w:ascii="Times New Roman" w:hAnsi="Times New Roman" w:cs="Times New Roman" w:hint="cs"/>
          <w:sz w:val="20"/>
          <w:szCs w:val="20"/>
          <w:rtl/>
        </w:rPr>
        <w:t xml:space="preserve"> ועליהן מבוסס מפעל החוקה כולו</w:t>
      </w:r>
      <w:r w:rsidRPr="00DD60F1">
        <w:rPr>
          <w:rFonts w:ascii="Times New Roman" w:hAnsi="Times New Roman" w:cs="Times New Roman"/>
          <w:sz w:val="20"/>
          <w:szCs w:val="20"/>
          <w:rtl/>
        </w:rPr>
        <w:t xml:space="preserve">. </w:t>
      </w:r>
      <w:r w:rsidRPr="00DD60F1">
        <w:rPr>
          <w:rFonts w:ascii="Times New Roman" w:hAnsi="Times New Roman" w:cs="Times New Roman"/>
          <w:sz w:val="20"/>
          <w:szCs w:val="20"/>
          <w:highlight w:val="yellow"/>
          <w:rtl/>
        </w:rPr>
        <w:t>על-פי תפיסה זו חוק-יסוד חדש או תיקון לחוק-יסוד "אשר ישללו את אופייה של ישראל כמדינה יהודית או דמוקרטית, אינו חוקתי. העם, הריבון, לא הסמיך לכך את הכנסת שלנו. זו הוסמכה לפעול במסגרת עקרונות היסוד של המשטר, כפי שבאו לידי ביטוי בהכרזת העצמאות. היא לא הוסמכה לבטלם"</w:t>
      </w:r>
      <w:r w:rsidRPr="00DD60F1">
        <w:rPr>
          <w:rFonts w:ascii="Times New Roman" w:hAnsi="Times New Roman" w:cs="Times New Roman"/>
          <w:sz w:val="20"/>
          <w:szCs w:val="20"/>
          <w:rtl/>
        </w:rPr>
        <w:t>.</w:t>
      </w:r>
      <w:r w:rsidRPr="00DD60F1">
        <w:rPr>
          <w:rStyle w:val="FootnoteReference"/>
          <w:rFonts w:ascii="Times New Roman" w:hAnsi="Times New Roman" w:cs="Times New Roman"/>
          <w:sz w:val="20"/>
          <w:szCs w:val="20"/>
          <w:rtl/>
        </w:rPr>
        <w:footnoteReference w:id="7"/>
      </w:r>
      <w:r w:rsidRPr="00DD60F1">
        <w:rPr>
          <w:rFonts w:ascii="Times New Roman" w:hAnsi="Times New Roman" w:cs="Times New Roman"/>
          <w:sz w:val="20"/>
          <w:szCs w:val="20"/>
          <w:rtl/>
        </w:rPr>
        <w:t xml:space="preserve"> הכנסת לא הוסמכה לפגוע בעקרונות יסוד ומטרות "אשר כל המבנה החוקתי שלנו, לרבות חוקי היסוד עצמם, מושתתים עליהם, ואשר הפגיעה בהם היא מהותית וקשה".</w:t>
      </w:r>
      <w:r w:rsidRPr="00DD60F1">
        <w:rPr>
          <w:rStyle w:val="FootnoteReference"/>
          <w:rFonts w:ascii="Times New Roman" w:hAnsi="Times New Roman" w:cs="Times New Roman"/>
          <w:sz w:val="20"/>
          <w:szCs w:val="20"/>
          <w:rtl/>
        </w:rPr>
        <w:footnoteReference w:id="8"/>
      </w:r>
      <w:r w:rsidRPr="00DD60F1">
        <w:rPr>
          <w:rFonts w:ascii="Times New Roman" w:hAnsi="Times New Roman" w:cs="Times New Roman"/>
          <w:sz w:val="20"/>
          <w:szCs w:val="20"/>
          <w:rtl/>
        </w:rPr>
        <w:t xml:space="preserve"> </w:t>
      </w:r>
      <w:r w:rsidRPr="0057339C">
        <w:rPr>
          <w:rFonts w:ascii="Times New Roman" w:hAnsi="Times New Roman" w:cs="Times New Roman"/>
          <w:sz w:val="20"/>
          <w:szCs w:val="20"/>
          <w:highlight w:val="yellow"/>
          <w:rtl/>
        </w:rPr>
        <w:t>הכנסת לא הוסמכה לפגוע "בליבת הדמוקרטיה, ובדרישת המינימום לאופייה של מדינה כדמוקרטית".</w:t>
      </w:r>
      <w:r w:rsidRPr="0057339C">
        <w:rPr>
          <w:rStyle w:val="FootnoteReference"/>
          <w:rFonts w:ascii="Times New Roman" w:hAnsi="Times New Roman" w:cs="Times New Roman"/>
          <w:sz w:val="20"/>
          <w:szCs w:val="20"/>
          <w:rtl/>
        </w:rPr>
        <w:footnoteReference w:id="9"/>
      </w:r>
      <w:r w:rsidRPr="0057339C">
        <w:rPr>
          <w:rFonts w:ascii="Times New Roman" w:hAnsi="Times New Roman" w:cs="Times New Roman"/>
          <w:sz w:val="20"/>
          <w:szCs w:val="20"/>
          <w:highlight w:val="yellow"/>
          <w:rtl/>
        </w:rPr>
        <w:t xml:space="preserve"> בדומה, היא לא הוסמכה לפגוע בליבת היותה של ישראל מדינה יהודית ובדרישות המינימום לאופייה זה.</w:t>
      </w:r>
    </w:p>
    <w:p w:rsidR="005366A8" w:rsidRDefault="005366A8" w:rsidP="005366A8">
      <w:pPr>
        <w:rPr>
          <w:sz w:val="20"/>
          <w:szCs w:val="20"/>
          <w:rtl/>
        </w:rPr>
      </w:pPr>
      <w:r w:rsidRPr="00DD60F1">
        <w:rPr>
          <w:sz w:val="20"/>
          <w:szCs w:val="20"/>
          <w:rtl/>
        </w:rPr>
        <w:tab/>
        <w:t xml:space="preserve">גישתי זו שונה היא </w:t>
      </w:r>
      <w:r>
        <w:rPr>
          <w:rFonts w:hint="cs"/>
          <w:sz w:val="20"/>
          <w:szCs w:val="20"/>
          <w:rtl/>
        </w:rPr>
        <w:t xml:space="preserve">במקצת </w:t>
      </w:r>
      <w:r w:rsidRPr="00DD60F1">
        <w:rPr>
          <w:sz w:val="20"/>
          <w:szCs w:val="20"/>
          <w:rtl/>
        </w:rPr>
        <w:t xml:space="preserve">מגישתו של המשפט המשווה לשאלת התיקון של חוקה שאינו חוקתי. הגישה באשר לתיקון החוקתי הלא חוקתי מניחה חוקה קיימת ומניחה תיקון חוקתי במסגרתה. ואילו בישראל אנו מצויים בגדריו של תהליך חוקתי שטרם הושלם. גם אם מקבלים את הגישה הבסיסית כי מוטלות מגבלות על כינונה של חוקה בישראל או על תיקונה, </w:t>
      </w:r>
      <w:r w:rsidRPr="004109CB">
        <w:rPr>
          <w:sz w:val="20"/>
          <w:szCs w:val="20"/>
          <w:highlight w:val="yellow"/>
          <w:rtl/>
        </w:rPr>
        <w:t xml:space="preserve">דעתי הינה, כי כל עוד מפעל החוקה לא הסתיים, מגבלות אלה פועלות במסגרת צרה יותר מאלה המקובלות במשפט המשווה. כך, למשל, </w:t>
      </w:r>
      <w:r>
        <w:rPr>
          <w:rFonts w:hint="cs"/>
          <w:sz w:val="20"/>
          <w:szCs w:val="20"/>
          <w:highlight w:val="yellow"/>
          <w:rtl/>
        </w:rPr>
        <w:t>תיקון חוקתי המצמצם את היקפה של הזכות לכבוד האדם (חוק טל) עשוי</w:t>
      </w:r>
      <w:r w:rsidRPr="004109CB">
        <w:rPr>
          <w:sz w:val="20"/>
          <w:szCs w:val="20"/>
          <w:highlight w:val="yellow"/>
          <w:rtl/>
        </w:rPr>
        <w:t xml:space="preserve"> לפגוע בדוקטרינה (ההודית) של המבנה הבסיסי של החוקה. אך ה</w:t>
      </w:r>
      <w:r>
        <w:rPr>
          <w:rFonts w:hint="cs"/>
          <w:sz w:val="20"/>
          <w:szCs w:val="20"/>
          <w:highlight w:val="yellow"/>
          <w:rtl/>
        </w:rPr>
        <w:t>ו</w:t>
      </w:r>
      <w:r w:rsidRPr="004109CB">
        <w:rPr>
          <w:sz w:val="20"/>
          <w:szCs w:val="20"/>
          <w:highlight w:val="yellow"/>
          <w:rtl/>
        </w:rPr>
        <w:t xml:space="preserve">א </w:t>
      </w:r>
      <w:r>
        <w:rPr>
          <w:rFonts w:hint="cs"/>
          <w:sz w:val="20"/>
          <w:szCs w:val="20"/>
          <w:highlight w:val="yellow"/>
          <w:rtl/>
        </w:rPr>
        <w:t>עשוי ש</w:t>
      </w:r>
      <w:r w:rsidRPr="004109CB">
        <w:rPr>
          <w:sz w:val="20"/>
          <w:szCs w:val="20"/>
          <w:highlight w:val="yellow"/>
          <w:rtl/>
        </w:rPr>
        <w:t xml:space="preserve">לא </w:t>
      </w:r>
      <w:r>
        <w:rPr>
          <w:rFonts w:hint="cs"/>
          <w:sz w:val="20"/>
          <w:szCs w:val="20"/>
          <w:highlight w:val="yellow"/>
          <w:rtl/>
        </w:rPr>
        <w:t>לפגוע</w:t>
      </w:r>
      <w:r w:rsidRPr="004109CB">
        <w:rPr>
          <w:sz w:val="20"/>
          <w:szCs w:val="20"/>
          <w:highlight w:val="yellow"/>
          <w:rtl/>
        </w:rPr>
        <w:t xml:space="preserve"> בליבת הדמוקרטיה, ועל כן אינ</w:t>
      </w:r>
      <w:r>
        <w:rPr>
          <w:rFonts w:hint="cs"/>
          <w:sz w:val="20"/>
          <w:szCs w:val="20"/>
          <w:highlight w:val="yellow"/>
          <w:rtl/>
        </w:rPr>
        <w:t>ו</w:t>
      </w:r>
      <w:r w:rsidRPr="004109CB">
        <w:rPr>
          <w:sz w:val="20"/>
          <w:szCs w:val="20"/>
          <w:highlight w:val="yellow"/>
          <w:rtl/>
        </w:rPr>
        <w:t xml:space="preserve"> מאפשר ביטול שינוי חוקתי </w:t>
      </w:r>
      <w:r>
        <w:rPr>
          <w:rFonts w:hint="cs"/>
          <w:sz w:val="20"/>
          <w:szCs w:val="20"/>
          <w:highlight w:val="yellow"/>
          <w:rtl/>
        </w:rPr>
        <w:t>זה</w:t>
      </w:r>
      <w:r w:rsidRPr="004109CB">
        <w:rPr>
          <w:sz w:val="20"/>
          <w:szCs w:val="20"/>
          <w:highlight w:val="yellow"/>
          <w:rtl/>
        </w:rPr>
        <w:t xml:space="preserve"> בישראל</w:t>
      </w:r>
      <w:r w:rsidRPr="00DD60F1">
        <w:rPr>
          <w:sz w:val="20"/>
          <w:szCs w:val="20"/>
          <w:rtl/>
        </w:rPr>
        <w:t>.</w:t>
      </w:r>
      <w:r w:rsidRPr="00DD60F1">
        <w:rPr>
          <w:rStyle w:val="FootnoteReference"/>
          <w:sz w:val="20"/>
          <w:szCs w:val="20"/>
          <w:rtl/>
        </w:rPr>
        <w:footnoteReference w:id="10"/>
      </w:r>
      <w:r w:rsidRPr="00DD60F1">
        <w:rPr>
          <w:sz w:val="20"/>
          <w:szCs w:val="20"/>
          <w:rtl/>
        </w:rPr>
        <w:t xml:space="preserve"> בדומה, </w:t>
      </w:r>
      <w:r w:rsidRPr="00DD60F1">
        <w:rPr>
          <w:sz w:val="20"/>
          <w:szCs w:val="20"/>
          <w:highlight w:val="yellow"/>
          <w:rtl/>
        </w:rPr>
        <w:t xml:space="preserve">ביטול הביקורת השיפוטית </w:t>
      </w:r>
      <w:r>
        <w:rPr>
          <w:rFonts w:hint="cs"/>
          <w:sz w:val="20"/>
          <w:szCs w:val="20"/>
          <w:highlight w:val="yellow"/>
          <w:rtl/>
        </w:rPr>
        <w:t xml:space="preserve">הקיימת </w:t>
      </w:r>
      <w:r w:rsidRPr="00DD60F1">
        <w:rPr>
          <w:sz w:val="20"/>
          <w:szCs w:val="20"/>
          <w:highlight w:val="yellow"/>
          <w:rtl/>
        </w:rPr>
        <w:t xml:space="preserve">על חוקתיות החוק </w:t>
      </w:r>
      <w:r>
        <w:rPr>
          <w:rFonts w:hint="cs"/>
          <w:sz w:val="20"/>
          <w:szCs w:val="20"/>
          <w:highlight w:val="yellow"/>
          <w:rtl/>
        </w:rPr>
        <w:t xml:space="preserve">והחלפתה בביקורת שיפוטית "רכה" יותר </w:t>
      </w:r>
      <w:r w:rsidRPr="00DD60F1">
        <w:rPr>
          <w:sz w:val="20"/>
          <w:szCs w:val="20"/>
          <w:highlight w:val="yellow"/>
          <w:rtl/>
        </w:rPr>
        <w:t>עשויה להיחשב כפגיעה במבנה הבסיסי של חוקה קיימת. לדעתי, אין לראותה כפגיעה בליבת הדמוקרטיה ועל כן אם הכנסת תמצא לנכון לקבוע הוראות בעניין זה, הסמכות בידה לעשות כן כל עוד מפעל חוקי-היסוד לא הסתיים</w:t>
      </w:r>
      <w:r w:rsidRPr="00DD60F1">
        <w:rPr>
          <w:sz w:val="20"/>
          <w:szCs w:val="20"/>
          <w:rtl/>
        </w:rPr>
        <w:t>. השוני בין עמדתי לבין אותם בתי משפט אשר הכירו בתיקון החוקתי הלא חוקתי אינו שוני עקרוני או איכותי. הוא שוני יישומי או כמותי. מכיר אני בתורת התיקון החוקתי הלא חוקתי כתורה לגיטימית וראויה. הנני סבור כי במצב החוקתי הקיים בישראל וכל עוד מפעל החוקה לא הסתיים, תורה זו פועלת בגבולות צרים יותר.</w:t>
      </w:r>
    </w:p>
    <w:p w:rsidR="005366A8" w:rsidRDefault="005366A8" w:rsidP="005366A8">
      <w:pPr>
        <w:ind w:left="720"/>
        <w:rPr>
          <w:sz w:val="20"/>
          <w:szCs w:val="20"/>
          <w:rtl/>
        </w:rPr>
      </w:pPr>
      <w:r>
        <w:rPr>
          <w:rFonts w:hint="cs"/>
          <w:sz w:val="20"/>
          <w:szCs w:val="20"/>
          <w:rtl/>
        </w:rPr>
        <w:t>[...]</w:t>
      </w:r>
    </w:p>
    <w:p w:rsidR="005366A8" w:rsidRDefault="005366A8" w:rsidP="005366A8">
      <w:pPr>
        <w:rPr>
          <w:sz w:val="20"/>
          <w:szCs w:val="20"/>
          <w:rtl/>
        </w:rPr>
      </w:pPr>
    </w:p>
    <w:p w:rsidR="005366A8" w:rsidRPr="00E635ED" w:rsidRDefault="005366A8" w:rsidP="005366A8">
      <w:pPr>
        <w:rPr>
          <w:sz w:val="20"/>
          <w:szCs w:val="20"/>
          <w:rtl/>
        </w:rPr>
      </w:pPr>
      <w:r>
        <w:rPr>
          <w:rFonts w:hint="cs"/>
          <w:sz w:val="20"/>
          <w:szCs w:val="20"/>
          <w:rtl/>
        </w:rPr>
        <w:t>=-=</w:t>
      </w:r>
    </w:p>
    <w:p w:rsidR="005366A8" w:rsidRDefault="005366A8" w:rsidP="005366A8">
      <w:pPr>
        <w:rPr>
          <w:sz w:val="20"/>
          <w:szCs w:val="20"/>
          <w:rtl/>
        </w:rPr>
      </w:pPr>
      <w:r w:rsidRPr="00AF35E9">
        <w:rPr>
          <w:rFonts w:hint="cs"/>
          <w:b/>
          <w:bCs/>
          <w:sz w:val="20"/>
          <w:szCs w:val="20"/>
          <w:u w:val="single"/>
          <w:rtl/>
        </w:rPr>
        <w:t>התייחסותי:</w:t>
      </w:r>
      <w:r>
        <w:rPr>
          <w:rFonts w:hint="cs"/>
          <w:sz w:val="20"/>
          <w:szCs w:val="20"/>
          <w:rtl/>
        </w:rPr>
        <w:t xml:space="preserve"> אני עצמי מקבל את רוב ניתוחו של פרופ' ברק במאמרו.</w:t>
      </w:r>
    </w:p>
    <w:p w:rsidR="005366A8" w:rsidRDefault="005366A8" w:rsidP="005366A8">
      <w:pPr>
        <w:rPr>
          <w:sz w:val="20"/>
          <w:szCs w:val="20"/>
          <w:rtl/>
        </w:rPr>
      </w:pPr>
      <w:r>
        <w:rPr>
          <w:rFonts w:hint="cs"/>
          <w:sz w:val="20"/>
          <w:szCs w:val="20"/>
          <w:rtl/>
        </w:rPr>
        <w:t>יש לי, עם זאת, אי-בהירות ביחס לאחד הטיעונים ואי-הסכמה עם טיעון אחר:</w:t>
      </w:r>
    </w:p>
    <w:p w:rsidR="005366A8" w:rsidRPr="00CA3164" w:rsidRDefault="005366A8" w:rsidP="005366A8">
      <w:pPr>
        <w:ind w:left="720"/>
        <w:rPr>
          <w:sz w:val="20"/>
          <w:szCs w:val="20"/>
          <w:highlight w:val="yellow"/>
          <w:rtl/>
        </w:rPr>
      </w:pPr>
      <w:r w:rsidRPr="00CA3164">
        <w:rPr>
          <w:rFonts w:hint="cs"/>
          <w:sz w:val="20"/>
          <w:szCs w:val="20"/>
          <w:highlight w:val="yellow"/>
          <w:rtl/>
        </w:rPr>
        <w:t>א. צמצומה של הביקורת השיפוטית המטא-טקסטואלית (הביקורת על תיקון חוקה שאינו חוקתי) בישראל, בתקופה זו של טרם השלמת החוקה;</w:t>
      </w:r>
    </w:p>
    <w:p w:rsidR="005366A8" w:rsidRDefault="005366A8" w:rsidP="005366A8">
      <w:pPr>
        <w:ind w:left="720"/>
        <w:rPr>
          <w:sz w:val="20"/>
          <w:szCs w:val="20"/>
          <w:rtl/>
        </w:rPr>
      </w:pPr>
      <w:r w:rsidRPr="00CA3164">
        <w:rPr>
          <w:rFonts w:hint="cs"/>
          <w:sz w:val="20"/>
          <w:szCs w:val="20"/>
          <w:highlight w:val="yellow"/>
          <w:rtl/>
        </w:rPr>
        <w:t>ב. הסימטריה ש</w:t>
      </w:r>
      <w:r>
        <w:rPr>
          <w:rFonts w:hint="cs"/>
          <w:sz w:val="20"/>
          <w:szCs w:val="20"/>
          <w:highlight w:val="yellow"/>
          <w:rtl/>
        </w:rPr>
        <w:t>פרופ' ברק</w:t>
      </w:r>
      <w:r w:rsidRPr="00CA3164">
        <w:rPr>
          <w:rFonts w:hint="cs"/>
          <w:sz w:val="20"/>
          <w:szCs w:val="20"/>
          <w:highlight w:val="yellow"/>
          <w:rtl/>
        </w:rPr>
        <w:t xml:space="preserve"> רואה בין פגיעה בדרישות המינימום של מדינה יהודית לבין פגיעה בדרישות המינימום של מדינה דמוקרטית.</w:t>
      </w:r>
      <w:r>
        <w:rPr>
          <w:rFonts w:hint="cs"/>
          <w:sz w:val="20"/>
          <w:szCs w:val="20"/>
          <w:rtl/>
        </w:rPr>
        <w:t xml:space="preserve"> </w:t>
      </w:r>
    </w:p>
    <w:p w:rsidR="005366A8" w:rsidRDefault="005366A8" w:rsidP="005366A8">
      <w:pPr>
        <w:rPr>
          <w:sz w:val="20"/>
          <w:szCs w:val="20"/>
          <w:rtl/>
        </w:rPr>
      </w:pPr>
    </w:p>
    <w:p w:rsidR="005366A8" w:rsidRPr="00437498" w:rsidRDefault="005366A8" w:rsidP="005366A8">
      <w:pPr>
        <w:rPr>
          <w:sz w:val="20"/>
          <w:szCs w:val="20"/>
          <w:rtl/>
        </w:rPr>
      </w:pPr>
      <w:r>
        <w:rPr>
          <w:rFonts w:hint="cs"/>
          <w:sz w:val="20"/>
          <w:szCs w:val="20"/>
          <w:rtl/>
        </w:rPr>
        <w:t xml:space="preserve">אשר </w:t>
      </w:r>
      <w:r w:rsidRPr="009A7833">
        <w:rPr>
          <w:rFonts w:hint="cs"/>
          <w:sz w:val="20"/>
          <w:szCs w:val="20"/>
          <w:highlight w:val="yellow"/>
          <w:u w:val="single"/>
          <w:rtl/>
        </w:rPr>
        <w:t>לנקודה א'</w:t>
      </w:r>
      <w:r w:rsidRPr="00CA3164">
        <w:rPr>
          <w:rFonts w:hint="cs"/>
          <w:sz w:val="20"/>
          <w:szCs w:val="20"/>
          <w:highlight w:val="yellow"/>
          <w:rtl/>
        </w:rPr>
        <w:t>.</w:t>
      </w:r>
      <w:r>
        <w:rPr>
          <w:rFonts w:hint="cs"/>
          <w:sz w:val="20"/>
          <w:szCs w:val="20"/>
          <w:rtl/>
        </w:rPr>
        <w:t xml:space="preserve"> </w:t>
      </w:r>
      <w:r w:rsidRPr="00437498">
        <w:rPr>
          <w:rFonts w:hint="cs"/>
          <w:sz w:val="20"/>
          <w:szCs w:val="20"/>
          <w:rtl/>
        </w:rPr>
        <w:t xml:space="preserve">אין כאן </w:t>
      </w:r>
      <w:r>
        <w:rPr>
          <w:rFonts w:hint="cs"/>
          <w:sz w:val="20"/>
          <w:szCs w:val="20"/>
          <w:rtl/>
        </w:rPr>
        <w:t xml:space="preserve">דומני </w:t>
      </w:r>
      <w:r w:rsidRPr="00437498">
        <w:rPr>
          <w:rFonts w:hint="cs"/>
          <w:sz w:val="20"/>
          <w:szCs w:val="20"/>
          <w:rtl/>
        </w:rPr>
        <w:t xml:space="preserve">הנמקה מספקת לעמדה לפיה ביקורת שיפוטית על תיקון חוקתי במדינה כמדינתנו, שחוקתה לא שלמה, צריכה להיות מוגבלת יותר בהשוואה למדינות ששפר עליהן גורלן יותר מאיתנו.  </w:t>
      </w:r>
    </w:p>
    <w:p w:rsidR="005366A8" w:rsidRPr="00437498" w:rsidRDefault="005366A8" w:rsidP="005366A8">
      <w:pPr>
        <w:rPr>
          <w:sz w:val="20"/>
          <w:szCs w:val="20"/>
          <w:rtl/>
        </w:rPr>
      </w:pPr>
      <w:r w:rsidRPr="00437498">
        <w:rPr>
          <w:rFonts w:hint="cs"/>
          <w:sz w:val="20"/>
          <w:szCs w:val="20"/>
          <w:rtl/>
        </w:rPr>
        <w:t>יתר על כן, נקודה זו במאמר מופיעה במקביל לתשומת-הלב שניתנת בו להבחנה בין מדינות בעלות חוקה נוקשה (ונוקשה מאד, ארה"ב) לבין מדינות שבהן רוב שרירותי/קטן יכול לשנות את הוראות החוקה.  הבחנה זו מצדיקה גם לטעמו של פרופ' ברק ביקורת שיפוטית פשוטה יותר/מתירנית יותר על תיקונים חוקתיים במדינות מהסוג השני</w:t>
      </w:r>
      <w:r>
        <w:rPr>
          <w:rFonts w:hint="cs"/>
          <w:sz w:val="20"/>
          <w:szCs w:val="20"/>
          <w:rtl/>
        </w:rPr>
        <w:t xml:space="preserve"> (שכן בית המשפט המפעיל את הביקורת השיפוטית החוקתית אינו "בעל המילה האחרונה", לאור קלות השינוי של הכרעתו)</w:t>
      </w:r>
      <w:r w:rsidRPr="00437498">
        <w:rPr>
          <w:rFonts w:hint="cs"/>
          <w:sz w:val="20"/>
          <w:szCs w:val="20"/>
          <w:rtl/>
        </w:rPr>
        <w:t>.  כיצד משתלבות לפיכך שתי הנקודות הללו?</w:t>
      </w:r>
    </w:p>
    <w:p w:rsidR="005366A8" w:rsidRPr="00437498" w:rsidRDefault="005366A8" w:rsidP="005366A8">
      <w:pPr>
        <w:rPr>
          <w:sz w:val="20"/>
          <w:szCs w:val="20"/>
          <w:rtl/>
        </w:rPr>
      </w:pPr>
      <w:r w:rsidRPr="00437498">
        <w:rPr>
          <w:rFonts w:hint="cs"/>
          <w:sz w:val="20"/>
          <w:szCs w:val="20"/>
          <w:rtl/>
        </w:rPr>
        <w:t xml:space="preserve">זאת ועוד, דומה כי חוקתנו חסרה 'רק' את המרכיבים המטופלים בהצעת חוק יסוד: החקיקה </w:t>
      </w:r>
      <w:r w:rsidRPr="00437498">
        <w:rPr>
          <w:sz w:val="20"/>
          <w:szCs w:val="20"/>
          <w:rtl/>
        </w:rPr>
        <w:t>–</w:t>
      </w:r>
      <w:r w:rsidRPr="00437498">
        <w:rPr>
          <w:rFonts w:hint="cs"/>
          <w:sz w:val="20"/>
          <w:szCs w:val="20"/>
          <w:rtl/>
        </w:rPr>
        <w:t xml:space="preserve"> בעיקר, דרך קבלת הוראות החוקה ודרך שינויין, ובתוך כך התוויית הדרך בכל הנוגע ליצירת נוקשות, נוקשות מיוחדת, נצחיות (אם בכלל) וכדומה. ואכן החשש הוא גם מפני ניצול לרעה של היכולת להפוך לנוקשות הוראות שלא ראוי </w:t>
      </w:r>
      <w:r>
        <w:rPr>
          <w:rFonts w:hint="cs"/>
          <w:sz w:val="20"/>
          <w:szCs w:val="20"/>
          <w:rtl/>
        </w:rPr>
        <w:t xml:space="preserve">שתהיינה כאלו </w:t>
      </w:r>
      <w:r w:rsidRPr="00437498">
        <w:rPr>
          <w:rFonts w:hint="cs"/>
          <w:sz w:val="20"/>
          <w:szCs w:val="20"/>
          <w:rtl/>
        </w:rPr>
        <w:t xml:space="preserve">(מצד מהותן או </w:t>
      </w:r>
      <w:r>
        <w:rPr>
          <w:rFonts w:hint="cs"/>
          <w:sz w:val="20"/>
          <w:szCs w:val="20"/>
          <w:rtl/>
        </w:rPr>
        <w:t>מצד הפרוצדורה והרוב שבה התקבלו)</w:t>
      </w:r>
      <w:r w:rsidRPr="00437498">
        <w:rPr>
          <w:rFonts w:hint="cs"/>
          <w:sz w:val="20"/>
          <w:szCs w:val="20"/>
          <w:rtl/>
        </w:rPr>
        <w:t xml:space="preserve">. </w:t>
      </w:r>
    </w:p>
    <w:p w:rsidR="005366A8" w:rsidRPr="00437498" w:rsidRDefault="005366A8" w:rsidP="005366A8">
      <w:pPr>
        <w:rPr>
          <w:sz w:val="20"/>
          <w:szCs w:val="20"/>
          <w:rtl/>
        </w:rPr>
      </w:pPr>
      <w:r w:rsidRPr="00437498">
        <w:rPr>
          <w:rFonts w:hint="cs"/>
          <w:sz w:val="20"/>
          <w:szCs w:val="20"/>
          <w:rtl/>
        </w:rPr>
        <w:t xml:space="preserve">בקצרה, האם 'תמונת המכלול' של טעמים לצמצום הביקורת השיפוטית על </w:t>
      </w:r>
      <w:r>
        <w:rPr>
          <w:rFonts w:hint="cs"/>
          <w:sz w:val="20"/>
          <w:szCs w:val="20"/>
          <w:rtl/>
        </w:rPr>
        <w:t>"</w:t>
      </w:r>
      <w:r w:rsidRPr="00437498">
        <w:rPr>
          <w:rFonts w:hint="cs"/>
          <w:sz w:val="20"/>
          <w:szCs w:val="20"/>
          <w:rtl/>
        </w:rPr>
        <w:t>תיקון החוקה שאינו חוקתי</w:t>
      </w:r>
      <w:r>
        <w:rPr>
          <w:rFonts w:hint="cs"/>
          <w:sz w:val="20"/>
          <w:szCs w:val="20"/>
          <w:rtl/>
        </w:rPr>
        <w:t>"</w:t>
      </w:r>
      <w:r w:rsidRPr="00437498">
        <w:rPr>
          <w:rFonts w:hint="cs"/>
          <w:sz w:val="20"/>
          <w:szCs w:val="20"/>
          <w:rtl/>
        </w:rPr>
        <w:t xml:space="preserve"> ושל טעמים להרחבת ביקורת זו במציאותה החוקתית של ישראל, אינה מובילה אותנו דווקא להרחבה במקום לצמצום (או לפחות</w:t>
      </w:r>
      <w:r>
        <w:rPr>
          <w:rFonts w:hint="cs"/>
          <w:sz w:val="20"/>
          <w:szCs w:val="20"/>
          <w:rtl/>
        </w:rPr>
        <w:t>,</w:t>
      </w:r>
      <w:r w:rsidRPr="00437498">
        <w:rPr>
          <w:rFonts w:hint="cs"/>
          <w:sz w:val="20"/>
          <w:szCs w:val="20"/>
          <w:rtl/>
        </w:rPr>
        <w:t xml:space="preserve"> לא</w:t>
      </w:r>
      <w:r>
        <w:rPr>
          <w:rFonts w:hint="cs"/>
          <w:sz w:val="20"/>
          <w:szCs w:val="20"/>
          <w:rtl/>
        </w:rPr>
        <w:t>-</w:t>
      </w:r>
      <w:r w:rsidRPr="00437498">
        <w:rPr>
          <w:rFonts w:hint="cs"/>
          <w:sz w:val="20"/>
          <w:szCs w:val="20"/>
          <w:rtl/>
        </w:rPr>
        <w:t>לצמצום ולא</w:t>
      </w:r>
      <w:r>
        <w:rPr>
          <w:rFonts w:hint="cs"/>
          <w:sz w:val="20"/>
          <w:szCs w:val="20"/>
          <w:rtl/>
        </w:rPr>
        <w:t>-</w:t>
      </w:r>
      <w:r w:rsidRPr="00437498">
        <w:rPr>
          <w:rFonts w:hint="cs"/>
          <w:sz w:val="20"/>
          <w:szCs w:val="20"/>
          <w:rtl/>
        </w:rPr>
        <w:t>להרחבה)?</w:t>
      </w:r>
    </w:p>
    <w:p w:rsidR="005366A8" w:rsidRDefault="005366A8" w:rsidP="005366A8">
      <w:pPr>
        <w:rPr>
          <w:sz w:val="20"/>
          <w:szCs w:val="20"/>
          <w:rtl/>
        </w:rPr>
      </w:pPr>
    </w:p>
    <w:p w:rsidR="005366A8" w:rsidRDefault="005366A8" w:rsidP="005366A8">
      <w:pPr>
        <w:rPr>
          <w:sz w:val="20"/>
          <w:szCs w:val="20"/>
          <w:rtl/>
        </w:rPr>
      </w:pPr>
      <w:r>
        <w:rPr>
          <w:rFonts w:hint="cs"/>
          <w:sz w:val="20"/>
          <w:szCs w:val="20"/>
          <w:rtl/>
        </w:rPr>
        <w:t xml:space="preserve">ביחס </w:t>
      </w:r>
      <w:r w:rsidRPr="009A7833">
        <w:rPr>
          <w:rFonts w:hint="cs"/>
          <w:sz w:val="20"/>
          <w:szCs w:val="20"/>
          <w:highlight w:val="yellow"/>
          <w:u w:val="single"/>
          <w:rtl/>
        </w:rPr>
        <w:t>לנקודה ב'</w:t>
      </w:r>
      <w:r>
        <w:rPr>
          <w:rFonts w:hint="cs"/>
          <w:sz w:val="20"/>
          <w:szCs w:val="20"/>
          <w:rtl/>
        </w:rPr>
        <w:t xml:space="preserve"> [</w:t>
      </w:r>
      <w:r w:rsidRPr="00CA3164">
        <w:rPr>
          <w:rFonts w:hint="cs"/>
          <w:sz w:val="20"/>
          <w:szCs w:val="20"/>
          <w:highlight w:val="yellow"/>
          <w:rtl/>
        </w:rPr>
        <w:t>הסימטריה ש</w:t>
      </w:r>
      <w:r>
        <w:rPr>
          <w:rFonts w:hint="cs"/>
          <w:sz w:val="20"/>
          <w:szCs w:val="20"/>
          <w:highlight w:val="yellow"/>
          <w:rtl/>
        </w:rPr>
        <w:t>פרופ' ברק</w:t>
      </w:r>
      <w:r w:rsidRPr="00CA3164">
        <w:rPr>
          <w:rFonts w:hint="cs"/>
          <w:sz w:val="20"/>
          <w:szCs w:val="20"/>
          <w:highlight w:val="yellow"/>
          <w:rtl/>
        </w:rPr>
        <w:t xml:space="preserve"> רואה בין פגיעה בדרישות המינימום של מדינה יהודית לבין פגיעה בדרישות המינימום של מדינה דמוקרטית</w:t>
      </w:r>
      <w:r>
        <w:rPr>
          <w:rFonts w:hint="cs"/>
          <w:sz w:val="20"/>
          <w:szCs w:val="20"/>
          <w:rtl/>
        </w:rPr>
        <w:t xml:space="preserve">], השמעתי דברים בעבר, במסגרת הדיון בפס"ד </w:t>
      </w:r>
      <w:r w:rsidRPr="003E023A">
        <w:rPr>
          <w:rFonts w:hint="cs"/>
          <w:b/>
          <w:bCs/>
          <w:sz w:val="20"/>
          <w:szCs w:val="20"/>
          <w:rtl/>
        </w:rPr>
        <w:t>ירדור,</w:t>
      </w:r>
      <w:r>
        <w:rPr>
          <w:rFonts w:hint="cs"/>
          <w:sz w:val="20"/>
          <w:szCs w:val="20"/>
          <w:rtl/>
        </w:rPr>
        <w:t xml:space="preserve"> ראו להלן את הדברים מתוך דפי הדיון בפגישה 5:</w:t>
      </w:r>
    </w:p>
    <w:p w:rsidR="005366A8" w:rsidRPr="00E635ED" w:rsidRDefault="005366A8" w:rsidP="005366A8">
      <w:pPr>
        <w:rPr>
          <w:sz w:val="20"/>
          <w:szCs w:val="20"/>
          <w:rtl/>
        </w:rPr>
      </w:pPr>
    </w:p>
    <w:p w:rsidR="005366A8" w:rsidRPr="007E422E" w:rsidRDefault="005366A8" w:rsidP="005366A8">
      <w:pPr>
        <w:spacing w:after="120"/>
        <w:ind w:left="720"/>
        <w:rPr>
          <w:sz w:val="20"/>
          <w:szCs w:val="20"/>
          <w:rtl/>
        </w:rPr>
      </w:pPr>
      <w:r w:rsidRPr="007E422E">
        <w:rPr>
          <w:rFonts w:hint="cs"/>
          <w:sz w:val="20"/>
          <w:szCs w:val="20"/>
          <w:rtl/>
        </w:rPr>
        <w:t xml:space="preserve">... אדגיש לפיכך את עמדתי, לפיה אין </w:t>
      </w:r>
      <w:r w:rsidRPr="007E422E">
        <w:rPr>
          <w:sz w:val="20"/>
          <w:szCs w:val="20"/>
          <w:rtl/>
        </w:rPr>
        <w:t>זהות ערכית</w:t>
      </w:r>
      <w:r w:rsidRPr="007E422E">
        <w:rPr>
          <w:rFonts w:hint="cs"/>
          <w:sz w:val="20"/>
          <w:szCs w:val="20"/>
          <w:rtl/>
        </w:rPr>
        <w:t xml:space="preserve"> </w:t>
      </w:r>
      <w:r w:rsidRPr="007E422E">
        <w:rPr>
          <w:sz w:val="20"/>
          <w:szCs w:val="20"/>
          <w:rtl/>
        </w:rPr>
        <w:t xml:space="preserve">בין אופייה הדמוקרטי של המדינה לבין אופייה הלאומי.  </w:t>
      </w:r>
    </w:p>
    <w:p w:rsidR="005366A8" w:rsidRPr="007E422E" w:rsidRDefault="005366A8" w:rsidP="005366A8">
      <w:pPr>
        <w:ind w:left="1440"/>
        <w:rPr>
          <w:sz w:val="20"/>
          <w:szCs w:val="20"/>
          <w:rtl/>
        </w:rPr>
      </w:pPr>
      <w:r w:rsidRPr="007E422E">
        <w:rPr>
          <w:sz w:val="20"/>
          <w:szCs w:val="20"/>
          <w:rtl/>
        </w:rPr>
        <w:t>קיים כאן הבדל ממשי.  גם מי שחושב כי לישראל עומד צידוק לשני יסודותיה</w:t>
      </w:r>
      <w:r w:rsidRPr="007E422E">
        <w:rPr>
          <w:rFonts w:hint="cs"/>
          <w:sz w:val="20"/>
          <w:szCs w:val="20"/>
          <w:rtl/>
        </w:rPr>
        <w:t xml:space="preserve"> (יהדותה במישור הלאומי, והדמוקרטיות שלה)</w:t>
      </w:r>
      <w:r w:rsidRPr="007E422E">
        <w:rPr>
          <w:sz w:val="20"/>
          <w:szCs w:val="20"/>
          <w:rtl/>
        </w:rPr>
        <w:t>, צריך להסכים כי קיים שוני בי</w:t>
      </w:r>
      <w:r w:rsidRPr="007E422E">
        <w:rPr>
          <w:rFonts w:hint="cs"/>
          <w:sz w:val="20"/>
          <w:szCs w:val="20"/>
          <w:rtl/>
        </w:rPr>
        <w:t>ן ש</w:t>
      </w:r>
      <w:r w:rsidRPr="007E422E">
        <w:rPr>
          <w:sz w:val="20"/>
          <w:szCs w:val="20"/>
          <w:rtl/>
        </w:rPr>
        <w:t xml:space="preserve">ניהם, וכי הצידוק לזהותהּ הלאומית </w:t>
      </w:r>
      <w:r w:rsidRPr="007E422E">
        <w:rPr>
          <w:rFonts w:hint="cs"/>
          <w:sz w:val="20"/>
          <w:szCs w:val="20"/>
          <w:rtl/>
        </w:rPr>
        <w:t xml:space="preserve">של ישראל </w:t>
      </w:r>
      <w:r w:rsidRPr="007E422E">
        <w:rPr>
          <w:sz w:val="20"/>
          <w:szCs w:val="20"/>
          <w:rtl/>
        </w:rPr>
        <w:t>הוא צידוק תלוי-נסיבות, להבדיל מהצידוק לאופייה הדמוקרטי.  במילים אחרות, שינוי נסיבות – דוגמת שינוי דמוגראפי מקיף בין תושבי המדינה או שינוי בזהויות או בשאיפות הפוליטיות של תושבים אלו – עשוי להשמיט את הצידוק לשמירת זהותה הלאומית של ישראל; זאת שעה, שעל פי התפיסה הליברלית</w:t>
      </w:r>
      <w:r w:rsidRPr="007E422E">
        <w:rPr>
          <w:rFonts w:hint="cs"/>
          <w:sz w:val="20"/>
          <w:szCs w:val="20"/>
          <w:rtl/>
        </w:rPr>
        <w:t xml:space="preserve"> לא כך ביחס לדמוקרטיה. </w:t>
      </w:r>
    </w:p>
    <w:p w:rsidR="005366A8" w:rsidRPr="007E422E" w:rsidRDefault="005366A8" w:rsidP="005366A8">
      <w:pPr>
        <w:ind w:left="1440"/>
        <w:rPr>
          <w:sz w:val="20"/>
          <w:szCs w:val="20"/>
          <w:rtl/>
        </w:rPr>
      </w:pPr>
      <w:r w:rsidRPr="007E422E">
        <w:rPr>
          <w:rFonts w:hint="cs"/>
          <w:sz w:val="20"/>
          <w:szCs w:val="20"/>
          <w:rtl/>
        </w:rPr>
        <w:t>אמנם</w:t>
      </w:r>
      <w:r w:rsidRPr="007E422E">
        <w:rPr>
          <w:sz w:val="20"/>
          <w:szCs w:val="20"/>
          <w:rtl/>
        </w:rPr>
        <w:t xml:space="preserve"> שינוי נסיבתי קיצוני (למשל, שעת-חירום) עלול להשעות את התנהלותה של מדינה בדרך דמוקרטית</w:t>
      </w:r>
      <w:r w:rsidRPr="007E422E">
        <w:rPr>
          <w:rFonts w:hint="cs"/>
          <w:sz w:val="20"/>
          <w:szCs w:val="20"/>
          <w:rtl/>
        </w:rPr>
        <w:t xml:space="preserve"> </w:t>
      </w:r>
      <w:r w:rsidRPr="007E422E">
        <w:rPr>
          <w:sz w:val="20"/>
          <w:szCs w:val="20"/>
          <w:rtl/>
        </w:rPr>
        <w:t>–</w:t>
      </w:r>
      <w:r w:rsidRPr="007E422E">
        <w:rPr>
          <w:rFonts w:hint="cs"/>
          <w:sz w:val="20"/>
          <w:szCs w:val="20"/>
          <w:rtl/>
        </w:rPr>
        <w:t xml:space="preserve"> </w:t>
      </w:r>
      <w:r w:rsidRPr="007E422E">
        <w:rPr>
          <w:rFonts w:hint="cs"/>
          <w:i/>
          <w:iCs/>
          <w:sz w:val="20"/>
          <w:szCs w:val="20"/>
          <w:rtl/>
        </w:rPr>
        <w:t>ואולם זאת רק באופן זמני מאד ובאופן הפיך</w:t>
      </w:r>
      <w:r w:rsidRPr="007E422E">
        <w:rPr>
          <w:sz w:val="20"/>
          <w:szCs w:val="20"/>
          <w:rtl/>
        </w:rPr>
        <w:t xml:space="preserve">.  </w:t>
      </w:r>
    </w:p>
    <w:p w:rsidR="005366A8" w:rsidRPr="007E422E" w:rsidRDefault="005366A8" w:rsidP="005366A8">
      <w:pPr>
        <w:ind w:left="1440"/>
        <w:rPr>
          <w:sz w:val="20"/>
          <w:szCs w:val="20"/>
          <w:rtl/>
        </w:rPr>
      </w:pPr>
      <w:r w:rsidRPr="007E422E">
        <w:rPr>
          <w:sz w:val="20"/>
          <w:szCs w:val="20"/>
          <w:rtl/>
        </w:rPr>
        <w:t>ביתר קונקרטיות: קשה מאוד לשלול את האפשרות לחולל, בדרכי שלום, דינאמיקה בזהויות קיבוציות של בני אדם ובמסגרת היחסים הבין-קהילתיים במדינה.  מה מצדיק למשל הגבלות מהותיות על היכולת לנסות לשכנע כי הזכות להגדרה עצמית של העם היהודי תישמר במידה רבה גם במדינה דו-לאומית (כפי שנשמרת הזהות האנגלופונית</w:t>
      </w:r>
      <w:r w:rsidRPr="007E422E">
        <w:rPr>
          <w:rFonts w:hint="cs"/>
          <w:sz w:val="20"/>
          <w:szCs w:val="20"/>
          <w:rtl/>
        </w:rPr>
        <w:t xml:space="preserve"> </w:t>
      </w:r>
      <w:r w:rsidRPr="007E422E">
        <w:rPr>
          <w:sz w:val="20"/>
          <w:szCs w:val="20"/>
          <w:rtl/>
        </w:rPr>
        <w:t>–</w:t>
      </w:r>
      <w:r w:rsidRPr="007E422E">
        <w:rPr>
          <w:rFonts w:hint="cs"/>
          <w:sz w:val="20"/>
          <w:szCs w:val="20"/>
          <w:rtl/>
        </w:rPr>
        <w:t xml:space="preserve"> זהותם של הקנדים דוברי-האנגלית, להבדיל מדוברי-הצרפתית </w:t>
      </w:r>
      <w:r w:rsidRPr="007E422E">
        <w:rPr>
          <w:sz w:val="20"/>
          <w:szCs w:val="20"/>
          <w:rtl/>
        </w:rPr>
        <w:t>–</w:t>
      </w:r>
      <w:r w:rsidRPr="007E422E">
        <w:rPr>
          <w:rFonts w:hint="cs"/>
          <w:sz w:val="20"/>
          <w:szCs w:val="20"/>
          <w:rtl/>
        </w:rPr>
        <w:t xml:space="preserve"> </w:t>
      </w:r>
      <w:r w:rsidRPr="007E422E">
        <w:rPr>
          <w:sz w:val="20"/>
          <w:szCs w:val="20"/>
          <w:rtl/>
        </w:rPr>
        <w:t xml:space="preserve">בקנדה)? אשר על כן, גם מי שאינו תומך בניסיון מעבר למדינה הדו-לאומית מסיבות שונות חייב להכיר בזכותם של נוקטי מהלך זה לחתור להגשמתו במכלול האמצעים שדמוקרטיה מהותית תעמיד למאבקים מעין אלו.  </w:t>
      </w:r>
    </w:p>
    <w:p w:rsidR="005366A8" w:rsidRPr="007E422E" w:rsidRDefault="005366A8" w:rsidP="005366A8">
      <w:pPr>
        <w:ind w:left="1440"/>
        <w:rPr>
          <w:sz w:val="20"/>
          <w:szCs w:val="20"/>
          <w:rtl/>
        </w:rPr>
      </w:pPr>
      <w:r w:rsidRPr="007E422E">
        <w:rPr>
          <w:sz w:val="20"/>
          <w:szCs w:val="20"/>
          <w:rtl/>
        </w:rPr>
        <w:t xml:space="preserve">ההגבלה העיקרית לפיכך היא </w:t>
      </w:r>
      <w:r w:rsidRPr="007E422E">
        <w:rPr>
          <w:i/>
          <w:iCs/>
          <w:sz w:val="20"/>
          <w:szCs w:val="20"/>
          <w:rtl/>
        </w:rPr>
        <w:t>על האמצעים</w:t>
      </w:r>
      <w:r w:rsidRPr="007E422E">
        <w:rPr>
          <w:sz w:val="20"/>
          <w:szCs w:val="20"/>
          <w:rtl/>
        </w:rPr>
        <w:t xml:space="preserve"> להשגת התכלית של שינוי הזהות הלאומית של ישראל, וקשה מאוד להצדיק הגבלות על אמצעים לא-אלימים להשגת שינוי שכזה.  </w:t>
      </w:r>
    </w:p>
    <w:p w:rsidR="005366A8" w:rsidRPr="007E422E" w:rsidRDefault="005366A8" w:rsidP="005366A8">
      <w:pPr>
        <w:ind w:left="1440"/>
        <w:rPr>
          <w:sz w:val="20"/>
          <w:szCs w:val="20"/>
          <w:rtl/>
        </w:rPr>
      </w:pPr>
      <w:r w:rsidRPr="007E422E">
        <w:rPr>
          <w:i/>
          <w:iCs/>
          <w:sz w:val="20"/>
          <w:szCs w:val="20"/>
          <w:rtl/>
        </w:rPr>
        <w:t>מנגד, אופייה הדמוקרטי של מדינה הוא אקסיומטי מנקודת ראות ליברלית</w:t>
      </w:r>
      <w:r w:rsidRPr="007E422E">
        <w:rPr>
          <w:sz w:val="20"/>
          <w:szCs w:val="20"/>
          <w:rtl/>
        </w:rPr>
        <w:t>.  הוא אינו תלוי ב"הסכמת רוב".  אדם אינו יכול למכור עצמו לעבדות, וחברה אינה יכולה בהחלטת</w:t>
      </w:r>
      <w:r w:rsidRPr="007E422E">
        <w:rPr>
          <w:rFonts w:hint="cs"/>
          <w:sz w:val="20"/>
          <w:szCs w:val="20"/>
          <w:rtl/>
        </w:rPr>
        <w:t>-</w:t>
      </w:r>
      <w:r w:rsidRPr="007E422E">
        <w:rPr>
          <w:sz w:val="20"/>
          <w:szCs w:val="20"/>
          <w:rtl/>
        </w:rPr>
        <w:t xml:space="preserve">רוב לוותר על חירותה.  על כן ניתן לחסום גם מי שחותר להשיג את ביטול הדמוקרטיה </w:t>
      </w:r>
      <w:r w:rsidRPr="007E422E">
        <w:rPr>
          <w:i/>
          <w:iCs/>
          <w:sz w:val="20"/>
          <w:szCs w:val="20"/>
          <w:rtl/>
        </w:rPr>
        <w:t>שלא בדרך אלימה</w:t>
      </w:r>
      <w:r w:rsidRPr="007E422E">
        <w:rPr>
          <w:sz w:val="20"/>
          <w:szCs w:val="20"/>
          <w:rtl/>
        </w:rPr>
        <w:t xml:space="preserve">; די בזיהוי מהימן לשלב שבו מתגבשת </w:t>
      </w:r>
      <w:r w:rsidRPr="007E422E">
        <w:rPr>
          <w:b/>
          <w:bCs/>
          <w:sz w:val="20"/>
          <w:szCs w:val="20"/>
          <w:rtl/>
        </w:rPr>
        <w:t>הסתברות ממשית</w:t>
      </w:r>
      <w:r w:rsidRPr="007E422E">
        <w:rPr>
          <w:sz w:val="20"/>
          <w:szCs w:val="20"/>
          <w:rtl/>
        </w:rPr>
        <w:t xml:space="preserve"> לכך שהדמוקרטיה במדינה תתבטל אם לא יוגבלו הכוחות הלא-דמוקרטיים.</w:t>
      </w:r>
    </w:p>
    <w:p w:rsidR="005366A8" w:rsidRDefault="005366A8" w:rsidP="005366A8">
      <w:pPr>
        <w:ind w:left="1440" w:hanging="720"/>
        <w:rPr>
          <w:sz w:val="22"/>
          <w:szCs w:val="22"/>
          <w:rtl/>
        </w:rPr>
      </w:pPr>
    </w:p>
    <w:p w:rsidR="005366A8" w:rsidRDefault="005366A8" w:rsidP="005366A8">
      <w:pPr>
        <w:spacing w:after="120"/>
        <w:rPr>
          <w:sz w:val="20"/>
          <w:szCs w:val="20"/>
          <w:rtl/>
        </w:rPr>
      </w:pPr>
      <w:r w:rsidRPr="00A36560">
        <w:rPr>
          <w:rFonts w:hint="cs"/>
          <w:b/>
          <w:bCs/>
          <w:sz w:val="20"/>
          <w:szCs w:val="20"/>
          <w:rtl/>
        </w:rPr>
        <w:t>תשובתו האפשרית של פרופ' ברק:</w:t>
      </w:r>
      <w:r>
        <w:rPr>
          <w:rFonts w:hint="cs"/>
          <w:sz w:val="20"/>
          <w:szCs w:val="20"/>
          <w:rtl/>
        </w:rPr>
        <w:t xml:space="preserve"> שאלת סמכות בית המשפט ביחס לתיקון החוקה שאינו חוקתי (הביקורת המטא-טקסטואלית) זוכה לתשובה מתוך המשפט הישראלי, שאינו חופף בהכרח את מלוא התפיסה הליברלית שמכוחו הועלתה טענת הביקורת לעיל. "החוקה המטריאלית" של ישראל רוצה לשמור על שני היסודות של ישראל כמדינה יהודית ודמוקרטית.</w:t>
      </w:r>
    </w:p>
    <w:p w:rsidR="005366A8" w:rsidRDefault="005366A8" w:rsidP="005366A8">
      <w:pPr>
        <w:rPr>
          <w:sz w:val="20"/>
          <w:szCs w:val="20"/>
          <w:rtl/>
        </w:rPr>
      </w:pPr>
      <w:r w:rsidRPr="00A36560">
        <w:rPr>
          <w:rFonts w:hint="cs"/>
          <w:b/>
          <w:bCs/>
          <w:sz w:val="20"/>
          <w:szCs w:val="20"/>
          <w:rtl/>
        </w:rPr>
        <w:t>תשובה לתשובה?</w:t>
      </w:r>
      <w:r>
        <w:rPr>
          <w:rFonts w:hint="cs"/>
          <w:sz w:val="20"/>
          <w:szCs w:val="20"/>
          <w:rtl/>
        </w:rPr>
        <w:t xml:space="preserve"> </w:t>
      </w:r>
      <w:r w:rsidRPr="00437498">
        <w:rPr>
          <w:rFonts w:hint="cs"/>
          <w:sz w:val="20"/>
          <w:szCs w:val="20"/>
          <w:rtl/>
        </w:rPr>
        <w:t>מוסכם אמנם כי יש להבחין בין תפיסתו המוסרית של השופט לבין ערכי היסוד של השיטה המשפטית. אך אם רוב הציבור מחליט, בדרכי שלום, כי ראוי לשנות את האופי הלאומי של ישראל, נאמר בכיוונה של מדינה דו-לאומית, כי אז עצם השינוי הזה יוליד שינוי "בערכי היסוד" של החברה הישראלית המלווים את המשפט הישראלי</w:t>
      </w:r>
      <w:r>
        <w:rPr>
          <w:rFonts w:hint="cs"/>
          <w:sz w:val="20"/>
          <w:szCs w:val="20"/>
          <w:rtl/>
        </w:rPr>
        <w:t xml:space="preserve"> </w:t>
      </w:r>
      <w:r>
        <w:rPr>
          <w:sz w:val="20"/>
          <w:szCs w:val="20"/>
          <w:rtl/>
        </w:rPr>
        <w:t>–</w:t>
      </w:r>
      <w:r>
        <w:rPr>
          <w:rFonts w:hint="cs"/>
          <w:sz w:val="20"/>
          <w:szCs w:val="20"/>
          <w:rtl/>
        </w:rPr>
        <w:t xml:space="preserve"> החוקה המהותית תשתנה</w:t>
      </w:r>
      <w:r w:rsidRPr="00437498">
        <w:rPr>
          <w:rFonts w:hint="cs"/>
          <w:sz w:val="20"/>
          <w:szCs w:val="20"/>
          <w:rtl/>
        </w:rPr>
        <w:t xml:space="preserve">; בית המשפט צפוי יהיה להיות מודע לשינוי זה, וגם להכיר בו. ואם כך, הרי שתישמט ההצדקה לביקורת שיפוטית מטא-טקסטואלית </w:t>
      </w:r>
      <w:r>
        <w:rPr>
          <w:rFonts w:hint="cs"/>
          <w:sz w:val="20"/>
          <w:szCs w:val="20"/>
          <w:rtl/>
        </w:rPr>
        <w:t>שתפסול</w:t>
      </w:r>
      <w:r w:rsidRPr="00437498">
        <w:rPr>
          <w:rFonts w:hint="cs"/>
          <w:sz w:val="20"/>
          <w:szCs w:val="20"/>
          <w:rtl/>
        </w:rPr>
        <w:t xml:space="preserve"> תיקון חוקתי </w:t>
      </w:r>
      <w:r>
        <w:rPr>
          <w:rFonts w:hint="cs"/>
          <w:sz w:val="20"/>
          <w:szCs w:val="20"/>
          <w:rtl/>
        </w:rPr>
        <w:t xml:space="preserve">של הכנסת </w:t>
      </w:r>
      <w:r w:rsidRPr="00437498">
        <w:rPr>
          <w:rFonts w:hint="cs"/>
          <w:sz w:val="20"/>
          <w:szCs w:val="20"/>
          <w:rtl/>
        </w:rPr>
        <w:t>הפונה בכיוונה של המדינה הדמוקרטית הדו-לאומית.</w:t>
      </w:r>
    </w:p>
    <w:p w:rsidR="005366A8" w:rsidRDefault="005366A8" w:rsidP="005366A8">
      <w:pPr>
        <w:rPr>
          <w:sz w:val="20"/>
          <w:szCs w:val="20"/>
          <w:rtl/>
        </w:rPr>
      </w:pPr>
      <w:r>
        <w:rPr>
          <w:rFonts w:hint="cs"/>
          <w:sz w:val="20"/>
          <w:szCs w:val="20"/>
          <w:rtl/>
        </w:rPr>
        <w:t>האם ניתן לומר דבר דומה על רוב של אזרחים שישנה את עמדותיו ביחס לדמוקרטיות של ישראל? אם לא, מדוע? [אלו דברים שתתעמקו בהם יותר בקורס בתורת המשפט].</w:t>
      </w:r>
    </w:p>
    <w:p w:rsidR="005366A8" w:rsidRDefault="005366A8" w:rsidP="005366A8">
      <w:pPr>
        <w:rPr>
          <w:sz w:val="20"/>
          <w:szCs w:val="20"/>
          <w:rtl/>
        </w:rPr>
      </w:pPr>
    </w:p>
    <w:p w:rsidR="005366A8" w:rsidRDefault="005366A8" w:rsidP="005366A8">
      <w:pPr>
        <w:rPr>
          <w:sz w:val="20"/>
          <w:szCs w:val="20"/>
          <w:rtl/>
        </w:rPr>
      </w:pPr>
      <w:r>
        <w:rPr>
          <w:rFonts w:hint="cs"/>
          <w:sz w:val="20"/>
          <w:szCs w:val="20"/>
          <w:rtl/>
        </w:rPr>
        <w:t>=-=</w:t>
      </w:r>
    </w:p>
    <w:p w:rsidR="005366A8" w:rsidRPr="00A973E6" w:rsidRDefault="005366A8" w:rsidP="005366A8">
      <w:pPr>
        <w:spacing w:after="360"/>
        <w:jc w:val="center"/>
        <w:rPr>
          <w:rFonts w:cs="Guttman-Soncino"/>
          <w:b/>
          <w:bCs/>
          <w:sz w:val="28"/>
          <w:szCs w:val="28"/>
          <w:highlight w:val="yellow"/>
          <w:rtl/>
        </w:rPr>
      </w:pPr>
      <w:r w:rsidRPr="00A973E6">
        <w:rPr>
          <w:rFonts w:ascii="Arial" w:hAnsi="Arial" w:cs="Guttman-Soncino"/>
          <w:b/>
          <w:bCs/>
          <w:sz w:val="28"/>
          <w:szCs w:val="28"/>
          <w:highlight w:val="yellow"/>
          <w:rtl/>
        </w:rPr>
        <w:t>החוקה הפורמ</w:t>
      </w:r>
      <w:r w:rsidRPr="00A973E6">
        <w:rPr>
          <w:rFonts w:ascii="Arial" w:hAnsi="Arial" w:cs="Guttman-Soncino" w:hint="cs"/>
          <w:b/>
          <w:bCs/>
          <w:sz w:val="28"/>
          <w:szCs w:val="28"/>
          <w:highlight w:val="yellow"/>
          <w:rtl/>
        </w:rPr>
        <w:t>א</w:t>
      </w:r>
      <w:r w:rsidRPr="00A973E6">
        <w:rPr>
          <w:rFonts w:ascii="Arial" w:hAnsi="Arial" w:cs="Guttman-Soncino"/>
          <w:b/>
          <w:bCs/>
          <w:sz w:val="28"/>
          <w:szCs w:val="28"/>
          <w:highlight w:val="yellow"/>
          <w:rtl/>
        </w:rPr>
        <w:t xml:space="preserve">לית של ישראל </w:t>
      </w:r>
      <w:r w:rsidRPr="00A973E6">
        <w:rPr>
          <w:rFonts w:cs="Guttman-Soncino"/>
          <w:b/>
          <w:bCs/>
          <w:sz w:val="28"/>
          <w:szCs w:val="28"/>
          <w:highlight w:val="yellow"/>
          <w:rtl/>
        </w:rPr>
        <w:t>–</w:t>
      </w:r>
      <w:r w:rsidRPr="00A973E6">
        <w:rPr>
          <w:rFonts w:cs="Guttman-Soncino" w:hint="cs"/>
          <w:b/>
          <w:bCs/>
          <w:sz w:val="28"/>
          <w:szCs w:val="28"/>
          <w:highlight w:val="yellow"/>
          <w:rtl/>
        </w:rPr>
        <w:t xml:space="preserve"> המשך</w:t>
      </w:r>
    </w:p>
    <w:p w:rsidR="005366A8" w:rsidRDefault="005366A8" w:rsidP="005366A8">
      <w:pPr>
        <w:pStyle w:val="Heading7"/>
        <w:spacing w:after="120" w:line="240" w:lineRule="auto"/>
        <w:jc w:val="left"/>
        <w:rPr>
          <w:b w:val="0"/>
          <w:bCs w:val="0"/>
          <w:sz w:val="20"/>
          <w:szCs w:val="20"/>
          <w:rtl/>
        </w:rPr>
      </w:pPr>
      <w:r>
        <w:rPr>
          <w:rFonts w:hint="cs"/>
          <w:sz w:val="20"/>
          <w:szCs w:val="20"/>
          <w:highlight w:val="yellow"/>
          <w:u w:val="none"/>
          <w:rtl/>
        </w:rPr>
        <w:t xml:space="preserve">*לקריאה </w:t>
      </w:r>
      <w:r>
        <w:rPr>
          <w:sz w:val="20"/>
          <w:szCs w:val="20"/>
          <w:highlight w:val="yellow"/>
          <w:u w:val="none"/>
          <w:rtl/>
        </w:rPr>
        <w:t>–</w:t>
      </w:r>
      <w:r>
        <w:rPr>
          <w:rFonts w:hint="cs"/>
          <w:sz w:val="20"/>
          <w:szCs w:val="20"/>
          <w:highlight w:val="yellow"/>
          <w:u w:val="none"/>
          <w:rtl/>
        </w:rPr>
        <w:t xml:space="preserve"> פירוט לנושא שרמזתי לו בכיתה</w:t>
      </w:r>
      <w:r w:rsidRPr="001D5597">
        <w:rPr>
          <w:rFonts w:hint="cs"/>
          <w:sz w:val="20"/>
          <w:szCs w:val="20"/>
          <w:highlight w:val="yellow"/>
          <w:u w:val="none"/>
          <w:rtl/>
        </w:rPr>
        <w:t>:</w:t>
      </w:r>
      <w:r w:rsidRPr="001D5597">
        <w:rPr>
          <w:rFonts w:ascii="Arial" w:hAnsi="Arial" w:cs="Arial"/>
          <w:sz w:val="20"/>
          <w:szCs w:val="20"/>
          <w:highlight w:val="yellow"/>
          <w:u w:val="none"/>
          <w:rtl/>
        </w:rPr>
        <w:t xml:space="preserve"> העמימות/ הערפל המלווה את המשפט הציבורי בהשוואה למשפט פלילי</w:t>
      </w:r>
      <w:r w:rsidRPr="001D5597">
        <w:rPr>
          <w:rFonts w:ascii="Arial" w:hAnsi="Arial" w:cs="Arial" w:hint="cs"/>
          <w:sz w:val="20"/>
          <w:szCs w:val="20"/>
          <w:highlight w:val="yellow"/>
          <w:u w:val="none"/>
          <w:rtl/>
        </w:rPr>
        <w:t>,</w:t>
      </w:r>
      <w:r w:rsidRPr="001D5597">
        <w:rPr>
          <w:rFonts w:ascii="Arial" w:hAnsi="Arial" w:cs="Arial"/>
          <w:sz w:val="20"/>
          <w:szCs w:val="20"/>
          <w:highlight w:val="yellow"/>
          <w:u w:val="none"/>
          <w:rtl/>
        </w:rPr>
        <w:t xml:space="preserve"> למשל</w:t>
      </w:r>
    </w:p>
    <w:p w:rsidR="005366A8" w:rsidRDefault="005366A8" w:rsidP="005366A8">
      <w:pPr>
        <w:rPr>
          <w:sz w:val="20"/>
          <w:szCs w:val="20"/>
          <w:rtl/>
        </w:rPr>
      </w:pPr>
      <w:r>
        <w:rPr>
          <w:rFonts w:hint="cs"/>
          <w:sz w:val="20"/>
          <w:szCs w:val="20"/>
          <w:rtl/>
        </w:rPr>
        <w:t>הטעמים לכך מגוונים למדי; אצביע על העיקריים שבהם:</w:t>
      </w:r>
    </w:p>
    <w:p w:rsidR="005366A8" w:rsidRDefault="005366A8" w:rsidP="005366A8">
      <w:pPr>
        <w:rPr>
          <w:sz w:val="20"/>
          <w:szCs w:val="20"/>
          <w:rtl/>
        </w:rPr>
      </w:pPr>
    </w:p>
    <w:p w:rsidR="005366A8" w:rsidRDefault="005366A8" w:rsidP="005366A8">
      <w:pPr>
        <w:rPr>
          <w:sz w:val="20"/>
          <w:szCs w:val="20"/>
          <w:rtl/>
        </w:rPr>
      </w:pPr>
      <w:r>
        <w:rPr>
          <w:rFonts w:hint="cs"/>
          <w:sz w:val="20"/>
          <w:szCs w:val="20"/>
          <w:rtl/>
        </w:rPr>
        <w:t xml:space="preserve">א. </w:t>
      </w:r>
      <w:r w:rsidRPr="00B46B66">
        <w:rPr>
          <w:rFonts w:hint="cs"/>
          <w:b/>
          <w:bCs/>
          <w:sz w:val="20"/>
          <w:szCs w:val="20"/>
          <w:rtl/>
        </w:rPr>
        <w:t>ריבוי של שאלות/סוגיות המתעוררות בו-זמנית, ויש ביניהן 'התכתבות'</w:t>
      </w:r>
      <w:r>
        <w:rPr>
          <w:rFonts w:hint="cs"/>
          <w:sz w:val="20"/>
          <w:szCs w:val="20"/>
          <w:rtl/>
        </w:rPr>
        <w:t xml:space="preserve">. </w:t>
      </w:r>
    </w:p>
    <w:p w:rsidR="005366A8" w:rsidRDefault="005366A8" w:rsidP="005366A8">
      <w:pPr>
        <w:ind w:left="720"/>
        <w:rPr>
          <w:sz w:val="20"/>
          <w:szCs w:val="20"/>
          <w:rtl/>
        </w:rPr>
      </w:pPr>
      <w:r>
        <w:rPr>
          <w:rFonts w:hint="cs"/>
          <w:sz w:val="20"/>
          <w:szCs w:val="20"/>
          <w:rtl/>
        </w:rPr>
        <w:t xml:space="preserve">ראו את הדוגמא של פס"ד </w:t>
      </w:r>
      <w:r w:rsidRPr="006538ED">
        <w:rPr>
          <w:rFonts w:hint="cs"/>
          <w:b/>
          <w:bCs/>
          <w:sz w:val="20"/>
          <w:szCs w:val="20"/>
          <w:rtl/>
        </w:rPr>
        <w:t>חירות</w:t>
      </w:r>
      <w:r>
        <w:rPr>
          <w:rFonts w:hint="cs"/>
          <w:b/>
          <w:bCs/>
          <w:sz w:val="20"/>
          <w:szCs w:val="20"/>
          <w:rtl/>
        </w:rPr>
        <w:t>:</w:t>
      </w:r>
    </w:p>
    <w:p w:rsidR="005366A8" w:rsidRDefault="005366A8" w:rsidP="005366A8">
      <w:pPr>
        <w:ind w:left="720"/>
        <w:rPr>
          <w:sz w:val="20"/>
          <w:szCs w:val="20"/>
          <w:rtl/>
        </w:rPr>
      </w:pPr>
      <w:r>
        <w:rPr>
          <w:rFonts w:hint="cs"/>
          <w:sz w:val="20"/>
          <w:szCs w:val="20"/>
          <w:rtl/>
        </w:rPr>
        <w:t>לא רק השאלה כיצד ראוי להכריע בשאלה הממוקדת שם – כלומר, האם קמה עילה לפסול את תשדיר הבחירות של תנועת חירות, בשל הטענה לביזוי הדגל וההימנון והפגיעה ברגשות הנלוות לכך? – אלא גם שורה של שאלות נוספות:</w:t>
      </w:r>
    </w:p>
    <w:p w:rsidR="005366A8" w:rsidRDefault="005366A8" w:rsidP="005366A8">
      <w:pPr>
        <w:ind w:left="720"/>
        <w:rPr>
          <w:sz w:val="20"/>
          <w:szCs w:val="20"/>
          <w:rtl/>
        </w:rPr>
      </w:pPr>
      <w:r>
        <w:rPr>
          <w:rFonts w:hint="cs"/>
          <w:sz w:val="20"/>
          <w:szCs w:val="20"/>
          <w:rtl/>
        </w:rPr>
        <w:t>היש סמכות ליו"ר ועדת הבחירות המרכזית להגביל תשדיר בחירות ברדיו (לגבי תשדיר בחירות בטלוויזיה, החוק מפורש)?</w:t>
      </w:r>
    </w:p>
    <w:p w:rsidR="005366A8" w:rsidRDefault="005366A8" w:rsidP="005366A8">
      <w:pPr>
        <w:ind w:left="1440" w:hanging="720"/>
        <w:rPr>
          <w:sz w:val="20"/>
          <w:szCs w:val="20"/>
          <w:rtl/>
        </w:rPr>
      </w:pPr>
      <w:r>
        <w:rPr>
          <w:rFonts w:hint="cs"/>
          <w:sz w:val="20"/>
          <w:szCs w:val="20"/>
          <w:rtl/>
        </w:rPr>
        <w:t xml:space="preserve">היש סמכות לבית המשפט העליון לבקר את החלטת יו"ר ועדת הבחירות המרכזית ביחס להכרעה זו? </w:t>
      </w:r>
    </w:p>
    <w:p w:rsidR="005366A8" w:rsidRDefault="005366A8" w:rsidP="005366A8">
      <w:pPr>
        <w:ind w:left="2160" w:hanging="720"/>
        <w:rPr>
          <w:sz w:val="20"/>
          <w:szCs w:val="20"/>
          <w:rtl/>
        </w:rPr>
      </w:pPr>
      <w:r>
        <w:rPr>
          <w:rFonts w:hint="cs"/>
          <w:sz w:val="20"/>
          <w:szCs w:val="20"/>
          <w:rtl/>
        </w:rPr>
        <w:t xml:space="preserve">(ושאלה זו עצמה נושאת מורכבות נוספת בשל הפירמידה הנורמטיבית והיחס בין </w:t>
      </w:r>
      <w:r w:rsidRPr="00FF5E8E">
        <w:rPr>
          <w:rFonts w:cs="David"/>
          <w:b/>
          <w:bCs/>
          <w:sz w:val="20"/>
          <w:szCs w:val="20"/>
          <w:rtl/>
        </w:rPr>
        <w:t>סע</w:t>
      </w:r>
      <w:r>
        <w:rPr>
          <w:rFonts w:cs="David" w:hint="cs"/>
          <w:b/>
          <w:bCs/>
          <w:sz w:val="20"/>
          <w:szCs w:val="20"/>
          <w:rtl/>
        </w:rPr>
        <w:t>'</w:t>
      </w:r>
      <w:r w:rsidRPr="00FF5E8E">
        <w:rPr>
          <w:rFonts w:cs="David"/>
          <w:b/>
          <w:bCs/>
          <w:sz w:val="20"/>
          <w:szCs w:val="20"/>
          <w:rtl/>
        </w:rPr>
        <w:t xml:space="preserve"> 137 לחוק הבחירות לכנסת [נוסח משולב], התשכ"ט-1969</w:t>
      </w:r>
      <w:r>
        <w:rPr>
          <w:rFonts w:hint="cs"/>
          <w:sz w:val="20"/>
          <w:szCs w:val="20"/>
          <w:rtl/>
        </w:rPr>
        <w:t xml:space="preserve"> לבין</w:t>
      </w:r>
      <w:r w:rsidRPr="005A1C91">
        <w:rPr>
          <w:rFonts w:cs="David"/>
          <w:b/>
          <w:bCs/>
          <w:sz w:val="20"/>
          <w:szCs w:val="20"/>
          <w:rtl/>
        </w:rPr>
        <w:t xml:space="preserve"> </w:t>
      </w:r>
      <w:r>
        <w:rPr>
          <w:rFonts w:cs="David" w:hint="cs"/>
          <w:b/>
          <w:bCs/>
          <w:sz w:val="20"/>
          <w:szCs w:val="20"/>
          <w:rtl/>
        </w:rPr>
        <w:t>סע' 15 ל</w:t>
      </w:r>
      <w:r w:rsidRPr="00FF5E8E">
        <w:rPr>
          <w:rFonts w:cs="David"/>
          <w:b/>
          <w:bCs/>
          <w:sz w:val="20"/>
          <w:szCs w:val="20"/>
          <w:rtl/>
        </w:rPr>
        <w:t>חוק יסוד: השפיטה</w:t>
      </w:r>
      <w:r>
        <w:rPr>
          <w:rFonts w:hint="cs"/>
          <w:sz w:val="20"/>
          <w:szCs w:val="20"/>
          <w:rtl/>
        </w:rPr>
        <w:t>);</w:t>
      </w:r>
    </w:p>
    <w:p w:rsidR="005366A8" w:rsidRDefault="005366A8" w:rsidP="005366A8">
      <w:pPr>
        <w:ind w:left="1440" w:hanging="720"/>
        <w:rPr>
          <w:sz w:val="20"/>
          <w:szCs w:val="20"/>
          <w:rtl/>
        </w:rPr>
      </w:pPr>
      <w:r>
        <w:rPr>
          <w:rFonts w:hint="cs"/>
          <w:sz w:val="20"/>
          <w:szCs w:val="20"/>
          <w:rtl/>
        </w:rPr>
        <w:t xml:space="preserve">ועוד. </w:t>
      </w:r>
    </w:p>
    <w:p w:rsidR="005366A8" w:rsidRDefault="005366A8" w:rsidP="005366A8">
      <w:pPr>
        <w:rPr>
          <w:sz w:val="20"/>
          <w:szCs w:val="20"/>
          <w:rtl/>
        </w:rPr>
      </w:pPr>
    </w:p>
    <w:p w:rsidR="005366A8" w:rsidRDefault="005366A8" w:rsidP="005366A8">
      <w:pPr>
        <w:rPr>
          <w:sz w:val="20"/>
          <w:szCs w:val="20"/>
          <w:rtl/>
        </w:rPr>
      </w:pPr>
      <w:r>
        <w:rPr>
          <w:rFonts w:hint="cs"/>
          <w:sz w:val="20"/>
          <w:szCs w:val="20"/>
          <w:rtl/>
        </w:rPr>
        <w:t xml:space="preserve">ב. </w:t>
      </w:r>
      <w:r>
        <w:rPr>
          <w:rFonts w:hint="cs"/>
          <w:b/>
          <w:bCs/>
          <w:sz w:val="20"/>
          <w:szCs w:val="20"/>
          <w:rtl/>
        </w:rPr>
        <w:t xml:space="preserve">חשוב יותר לעניין "הערפל": </w:t>
      </w:r>
      <w:r w:rsidRPr="00B46B66">
        <w:rPr>
          <w:rFonts w:hint="cs"/>
          <w:b/>
          <w:bCs/>
          <w:sz w:val="20"/>
          <w:szCs w:val="20"/>
          <w:rtl/>
        </w:rPr>
        <w:t>ההכרעות של המשפט הציבורי הן תכופות גדולות</w:t>
      </w:r>
      <w:r>
        <w:rPr>
          <w:rFonts w:hint="cs"/>
          <w:b/>
          <w:bCs/>
          <w:sz w:val="20"/>
          <w:szCs w:val="20"/>
          <w:rtl/>
        </w:rPr>
        <w:t xml:space="preserve"> ומורכבות ולעיתים הן גם </w:t>
      </w:r>
      <w:r w:rsidRPr="00B46B66">
        <w:rPr>
          <w:rFonts w:hint="cs"/>
          <w:b/>
          <w:bCs/>
          <w:sz w:val="20"/>
          <w:szCs w:val="20"/>
          <w:rtl/>
        </w:rPr>
        <w:t>גורליות</w:t>
      </w:r>
      <w:r>
        <w:rPr>
          <w:rFonts w:hint="cs"/>
          <w:b/>
          <w:bCs/>
          <w:sz w:val="20"/>
          <w:szCs w:val="20"/>
          <w:rtl/>
        </w:rPr>
        <w:t xml:space="preserve"> ו</w:t>
      </w:r>
      <w:r w:rsidRPr="00B46B66">
        <w:rPr>
          <w:rFonts w:hint="cs"/>
          <w:b/>
          <w:bCs/>
          <w:sz w:val="20"/>
          <w:szCs w:val="20"/>
          <w:rtl/>
        </w:rPr>
        <w:t>רגישות</w:t>
      </w:r>
      <w:r>
        <w:rPr>
          <w:rFonts w:hint="cs"/>
          <w:sz w:val="20"/>
          <w:szCs w:val="20"/>
          <w:rtl/>
        </w:rPr>
        <w:t xml:space="preserve">. </w:t>
      </w:r>
    </w:p>
    <w:p w:rsidR="005366A8" w:rsidRDefault="005366A8" w:rsidP="005366A8">
      <w:pPr>
        <w:spacing w:after="60"/>
        <w:rPr>
          <w:sz w:val="20"/>
          <w:szCs w:val="20"/>
          <w:rtl/>
        </w:rPr>
      </w:pPr>
      <w:r>
        <w:rPr>
          <w:rFonts w:hint="cs"/>
          <w:sz w:val="20"/>
          <w:szCs w:val="20"/>
          <w:rtl/>
        </w:rPr>
        <w:t xml:space="preserve">הן רגישות ומורכבות מצד עצמן – כלומר, נושאות תכופות </w:t>
      </w:r>
      <w:r w:rsidRPr="00D24E54">
        <w:rPr>
          <w:rFonts w:hint="cs"/>
          <w:b/>
          <w:bCs/>
          <w:sz w:val="20"/>
          <w:szCs w:val="20"/>
          <w:rtl/>
        </w:rPr>
        <w:t>אופי של דילמה</w:t>
      </w:r>
      <w:r>
        <w:rPr>
          <w:rFonts w:hint="cs"/>
          <w:sz w:val="20"/>
          <w:szCs w:val="20"/>
          <w:rtl/>
        </w:rPr>
        <w:t xml:space="preserve">: </w:t>
      </w:r>
      <w:r w:rsidRPr="00B46B66">
        <w:rPr>
          <w:rFonts w:hint="cs"/>
          <w:b/>
          <w:bCs/>
          <w:sz w:val="20"/>
          <w:szCs w:val="20"/>
          <w:rtl/>
        </w:rPr>
        <w:t>כיצד לאזן</w:t>
      </w:r>
      <w:r>
        <w:rPr>
          <w:rFonts w:hint="cs"/>
          <w:sz w:val="20"/>
          <w:szCs w:val="20"/>
          <w:rtl/>
        </w:rPr>
        <w:t xml:space="preserve"> בין שניים או יותר דברים שכולם חשובים? – למשל, האיזון בין הגבלה על איחוד בין בני-זוג או בין הורה וילדו הקטין, לבין טעם נטען ביטחוני. וראו גם את הדברים של הנשיא ברק בפס"ד </w:t>
      </w:r>
      <w:r w:rsidRPr="004B11D6">
        <w:rPr>
          <w:rFonts w:hint="cs"/>
          <w:b/>
          <w:bCs/>
          <w:sz w:val="20"/>
          <w:szCs w:val="20"/>
          <w:rtl/>
        </w:rPr>
        <w:t>פלונית</w:t>
      </w:r>
      <w:r>
        <w:rPr>
          <w:rFonts w:hint="cs"/>
          <w:sz w:val="20"/>
          <w:szCs w:val="20"/>
          <w:rtl/>
        </w:rPr>
        <w:t>:</w:t>
      </w:r>
    </w:p>
    <w:p w:rsidR="005366A8" w:rsidRPr="004B11D6" w:rsidRDefault="005366A8" w:rsidP="005366A8">
      <w:pPr>
        <w:spacing w:after="60"/>
        <w:ind w:left="720" w:right="709"/>
        <w:rPr>
          <w:rFonts w:cs="FrankRuehl"/>
          <w:sz w:val="22"/>
          <w:szCs w:val="22"/>
          <w:rtl/>
        </w:rPr>
      </w:pPr>
      <w:r w:rsidRPr="004B11D6">
        <w:rPr>
          <w:rFonts w:cs="FrankRuehl"/>
          <w:sz w:val="22"/>
          <w:szCs w:val="22"/>
          <w:rtl/>
        </w:rPr>
        <w:t xml:space="preserve">אכן, המאפיין את הדמוקרטיה הוא בעושר הזכויות, הערכים והעקרונות ובהתנגשות המתמדת ביניהם. </w:t>
      </w:r>
      <w:r w:rsidRPr="004B11D6">
        <w:rPr>
          <w:rFonts w:cs="FrankRuehl" w:hint="cs"/>
          <w:sz w:val="22"/>
          <w:szCs w:val="22"/>
          <w:rtl/>
        </w:rPr>
        <w:t>...</w:t>
      </w:r>
      <w:r w:rsidRPr="004B11D6">
        <w:rPr>
          <w:rFonts w:cs="FrankRuehl"/>
          <w:sz w:val="22"/>
          <w:szCs w:val="22"/>
          <w:rtl/>
        </w:rPr>
        <w:t xml:space="preserve"> אכן, פתרונם של ניגודים אלה - שהם טבעיים לדמוקרטיה ומעניקים לה את חיותה - לרוב אינו בקביעת היקפם של הזכויות, הערכים והאינטרסים ובהוצאת ההיבטים שידם על התחתונה מתחום השיח החוקתי ומתחום הביקורת החוקתית. פתרונם של ניגודים אלה הוא בהשארת הניגוד ברמה החוקתית תוך קביעת מידתה של ההגנה הניתנת לזכויות, לערכים ולאינטרסים המתנגשים ברמה של חקיקה רגילה (איזון אנכי) החייבת לקיים את דרישותיה של פיסקת ההגבלה. אכן</w:t>
      </w:r>
      <w:r>
        <w:rPr>
          <w:rFonts w:cs="FrankRuehl" w:hint="cs"/>
          <w:sz w:val="22"/>
          <w:szCs w:val="22"/>
          <w:rtl/>
        </w:rPr>
        <w:t xml:space="preserve"> {לכן}</w:t>
      </w:r>
      <w:r w:rsidRPr="004B11D6">
        <w:rPr>
          <w:rFonts w:cs="FrankRuehl"/>
          <w:sz w:val="22"/>
          <w:szCs w:val="22"/>
          <w:rtl/>
        </w:rPr>
        <w:t xml:space="preserve">, אנו מבחינים </w:t>
      </w:r>
      <w:r>
        <w:rPr>
          <w:rFonts w:cs="FrankRuehl" w:hint="cs"/>
          <w:sz w:val="22"/>
          <w:szCs w:val="22"/>
          <w:rtl/>
        </w:rPr>
        <w:t xml:space="preserve">{למשל} </w:t>
      </w:r>
      <w:r w:rsidRPr="004B11D6">
        <w:rPr>
          <w:rFonts w:cs="FrankRuehl"/>
          <w:sz w:val="22"/>
          <w:szCs w:val="22"/>
          <w:rtl/>
        </w:rPr>
        <w:t>בין היקף הזכות החוקתית לבין מידת ההגנה עליה בחקיקה הרגילה</w:t>
      </w:r>
      <w:r w:rsidRPr="004B11D6">
        <w:rPr>
          <w:rFonts w:cs="FrankRuehl" w:hint="cs"/>
          <w:sz w:val="22"/>
          <w:szCs w:val="22"/>
          <w:rtl/>
        </w:rPr>
        <w:t>.</w:t>
      </w:r>
    </w:p>
    <w:p w:rsidR="005366A8" w:rsidRDefault="005366A8" w:rsidP="005366A8">
      <w:pPr>
        <w:rPr>
          <w:sz w:val="20"/>
          <w:szCs w:val="20"/>
          <w:rtl/>
        </w:rPr>
      </w:pPr>
      <w:r>
        <w:rPr>
          <w:rFonts w:hint="cs"/>
          <w:sz w:val="20"/>
          <w:szCs w:val="20"/>
          <w:rtl/>
        </w:rPr>
        <w:t xml:space="preserve">והן הכרעות רגישות, משום שהן לא מתקבלות מאחורי "מסך בערות". אנחנו בחברה שסועה, ומי שמשלם יותר את מחיר הסיכון הם לעיתים בני קבוצה </w:t>
      </w:r>
      <w:r>
        <w:rPr>
          <w:rFonts w:hint="cs"/>
          <w:sz w:val="20"/>
          <w:szCs w:val="20"/>
        </w:rPr>
        <w:t>X</w:t>
      </w:r>
      <w:r>
        <w:rPr>
          <w:rFonts w:hint="cs"/>
          <w:sz w:val="20"/>
          <w:szCs w:val="20"/>
          <w:rtl/>
        </w:rPr>
        <w:t xml:space="preserve">, ומי שמשלם יותר את מחיר הגבלת זכויות האדם בשם ההתמודדות עם הסיכון הם לעיתים בני קבוצה </w:t>
      </w:r>
      <w:r>
        <w:rPr>
          <w:rFonts w:hint="cs"/>
          <w:sz w:val="20"/>
          <w:szCs w:val="20"/>
        </w:rPr>
        <w:t>Y</w:t>
      </w:r>
      <w:r>
        <w:rPr>
          <w:rFonts w:hint="cs"/>
          <w:sz w:val="20"/>
          <w:szCs w:val="20"/>
          <w:rtl/>
        </w:rPr>
        <w:t>.</w:t>
      </w:r>
    </w:p>
    <w:p w:rsidR="005366A8" w:rsidRDefault="005366A8" w:rsidP="005366A8">
      <w:pPr>
        <w:rPr>
          <w:sz w:val="20"/>
          <w:szCs w:val="20"/>
          <w:rtl/>
        </w:rPr>
      </w:pPr>
      <w:r>
        <w:rPr>
          <w:rFonts w:hint="cs"/>
          <w:sz w:val="20"/>
          <w:szCs w:val="20"/>
          <w:rtl/>
        </w:rPr>
        <w:t>והן רגישות, גם בשל המתח בין עקרון הרוב לבין זכויות האדם/ זכויות המיעוט, והמתח בין רשות פוליטית או רשות מינהלית (כמו הצבא או השב"כ) לבין רשות שמבקרת אותה –&gt; איך צריכה להיות חלוקת הכוח בתוך חברה דמוקרטית בנסיבות שונות, כולל נסיבות חירום? [זו שוב דילמה, דילמה נוספת, המתעוררת בשל המתח בין שני דברים שחשובים לנו, שאנו צריכים להכריע ביניהם או לאזן ביניהם].</w:t>
      </w:r>
    </w:p>
    <w:p w:rsidR="005366A8" w:rsidRDefault="005366A8" w:rsidP="005366A8">
      <w:pPr>
        <w:rPr>
          <w:sz w:val="20"/>
          <w:szCs w:val="20"/>
          <w:rtl/>
        </w:rPr>
      </w:pPr>
    </w:p>
    <w:p w:rsidR="005366A8" w:rsidRDefault="005366A8" w:rsidP="005366A8">
      <w:pPr>
        <w:rPr>
          <w:sz w:val="20"/>
          <w:szCs w:val="20"/>
          <w:rtl/>
        </w:rPr>
      </w:pPr>
      <w:r>
        <w:rPr>
          <w:rFonts w:hint="cs"/>
          <w:sz w:val="20"/>
          <w:szCs w:val="20"/>
          <w:rtl/>
        </w:rPr>
        <w:t xml:space="preserve">ג. </w:t>
      </w:r>
      <w:r w:rsidRPr="001D5597">
        <w:rPr>
          <w:rFonts w:hint="cs"/>
          <w:sz w:val="20"/>
          <w:szCs w:val="20"/>
          <w:rtl/>
        </w:rPr>
        <w:t>בשל הרגישות, בשל המורכבות,</w:t>
      </w:r>
      <w:r w:rsidRPr="00B46B66">
        <w:rPr>
          <w:rFonts w:hint="cs"/>
          <w:b/>
          <w:bCs/>
          <w:sz w:val="20"/>
          <w:szCs w:val="20"/>
          <w:rtl/>
        </w:rPr>
        <w:t xml:space="preserve"> יש ריבוי של שימוש במונחים מופשטים או עמומים – למשל, "מידתיות", "סבירות".</w:t>
      </w:r>
      <w:r>
        <w:rPr>
          <w:rFonts w:hint="cs"/>
          <w:sz w:val="20"/>
          <w:szCs w:val="20"/>
          <w:rtl/>
        </w:rPr>
        <w:t xml:space="preserve"> </w:t>
      </w:r>
    </w:p>
    <w:p w:rsidR="005366A8" w:rsidRDefault="005366A8" w:rsidP="005366A8">
      <w:pPr>
        <w:rPr>
          <w:sz w:val="20"/>
          <w:szCs w:val="20"/>
          <w:rtl/>
        </w:rPr>
      </w:pPr>
      <w:r>
        <w:rPr>
          <w:rFonts w:hint="cs"/>
          <w:sz w:val="20"/>
          <w:szCs w:val="20"/>
          <w:rtl/>
        </w:rPr>
        <w:t xml:space="preserve">ראו לדוגמא את קטע העיתונות הבא, הנוגע למאטריה משפטית [=תחום עיסוק/ נושא משפטי] הסמוכה למשפט הציבורי: זו של המשפט הבינלאומי ההומניטארי. </w:t>
      </w:r>
    </w:p>
    <w:p w:rsidR="005366A8" w:rsidRDefault="005366A8" w:rsidP="005366A8">
      <w:pPr>
        <w:rPr>
          <w:sz w:val="20"/>
          <w:szCs w:val="20"/>
          <w:rtl/>
        </w:rPr>
      </w:pPr>
      <w:r>
        <w:rPr>
          <w:rFonts w:hint="cs"/>
          <w:sz w:val="20"/>
          <w:szCs w:val="20"/>
          <w:rtl/>
        </w:rPr>
        <w:t xml:space="preserve">קטע זה מדגים כמה מהנקודות שמוזכרות כאן: </w:t>
      </w:r>
    </w:p>
    <w:p w:rsidR="005366A8" w:rsidRPr="00D8539E" w:rsidRDefault="005366A8" w:rsidP="005366A8">
      <w:pPr>
        <w:spacing w:after="60"/>
        <w:ind w:left="360"/>
        <w:rPr>
          <w:rFonts w:ascii="Arial" w:hAnsi="Arial" w:cs="Arial"/>
          <w:b/>
          <w:bCs/>
          <w:sz w:val="18"/>
          <w:szCs w:val="18"/>
        </w:rPr>
      </w:pPr>
      <w:r w:rsidRPr="00D8539E">
        <w:rPr>
          <w:rFonts w:ascii="Arial" w:hAnsi="Arial" w:cs="Arial"/>
          <w:b/>
          <w:bCs/>
          <w:sz w:val="18"/>
          <w:szCs w:val="18"/>
          <w:rtl/>
        </w:rPr>
        <w:t>הרג בחסות הענן</w:t>
      </w:r>
    </w:p>
    <w:p w:rsidR="005366A8" w:rsidRPr="00D8539E" w:rsidRDefault="005D7968" w:rsidP="000B7168">
      <w:pPr>
        <w:numPr>
          <w:ilvl w:val="0"/>
          <w:numId w:val="12"/>
        </w:numPr>
        <w:spacing w:after="60"/>
        <w:jc w:val="left"/>
        <w:rPr>
          <w:rFonts w:ascii="Arial" w:hAnsi="Arial" w:cs="Arial"/>
          <w:sz w:val="18"/>
          <w:szCs w:val="18"/>
        </w:rPr>
      </w:pPr>
      <w:hyperlink r:id="rId129" w:history="1">
        <w:r w:rsidR="005366A8" w:rsidRPr="00D8539E">
          <w:rPr>
            <w:rStyle w:val="Hyperlink"/>
            <w:rFonts w:ascii="Arial" w:hAnsi="Arial" w:cs="Arial"/>
            <w:b/>
            <w:bCs/>
            <w:sz w:val="18"/>
            <w:szCs w:val="18"/>
            <w:rtl/>
          </w:rPr>
          <w:t>יעל שטיין</w:t>
        </w:r>
      </w:hyperlink>
      <w:r w:rsidR="005366A8" w:rsidRPr="00D8539E">
        <w:rPr>
          <w:rFonts w:ascii="Arial" w:hAnsi="Arial" w:cs="Arial" w:hint="cs"/>
          <w:sz w:val="18"/>
          <w:szCs w:val="18"/>
          <w:rtl/>
        </w:rPr>
        <w:t xml:space="preserve">, </w:t>
      </w:r>
      <w:r w:rsidR="005366A8" w:rsidRPr="00D8539E">
        <w:rPr>
          <w:rFonts w:ascii="Arial" w:hAnsi="Arial" w:cs="Arial"/>
          <w:sz w:val="18"/>
          <w:szCs w:val="18"/>
        </w:rPr>
        <w:t>03.12.2012</w:t>
      </w:r>
      <w:r w:rsidR="005366A8">
        <w:rPr>
          <w:rFonts w:ascii="Arial" w:hAnsi="Arial" w:cs="Arial" w:hint="cs"/>
          <w:sz w:val="18"/>
          <w:szCs w:val="18"/>
          <w:rtl/>
        </w:rPr>
        <w:t>, הארץ</w:t>
      </w:r>
    </w:p>
    <w:p w:rsidR="005366A8" w:rsidRDefault="005366A8" w:rsidP="005366A8">
      <w:pPr>
        <w:spacing w:after="60"/>
        <w:ind w:left="360"/>
        <w:rPr>
          <w:rFonts w:ascii="Arial" w:hAnsi="Arial" w:cs="Arial"/>
          <w:sz w:val="18"/>
          <w:szCs w:val="18"/>
          <w:rtl/>
        </w:rPr>
      </w:pPr>
      <w:r w:rsidRPr="00D8539E">
        <w:rPr>
          <w:rFonts w:ascii="Arial" w:hAnsi="Arial" w:cs="Arial"/>
          <w:sz w:val="18"/>
          <w:szCs w:val="18"/>
        </w:rPr>
        <w:t>"</w:t>
      </w:r>
      <w:r w:rsidRPr="00D8539E">
        <w:rPr>
          <w:rFonts w:ascii="Arial" w:hAnsi="Arial" w:cs="Arial"/>
          <w:sz w:val="18"/>
          <w:szCs w:val="18"/>
          <w:rtl/>
        </w:rPr>
        <w:t xml:space="preserve">כל עוד מספר האזרחים הנפגעים בעזה כתוצאה של תקיפות צה"ל אינו נתפש כמופרז ביחס להיקף המטרות הנתקפות, אופיין הצבאי וחשיבותן הברורה, נראה שגם אופן הפעלת הכוח על ידי צה"ל זוכה ללגיטימציה" </w:t>
      </w:r>
      <w:r>
        <w:rPr>
          <w:rFonts w:ascii="Arial" w:hAnsi="Arial" w:cs="Arial" w:hint="cs"/>
          <w:sz w:val="18"/>
          <w:szCs w:val="18"/>
          <w:rtl/>
        </w:rPr>
        <w:t>-</w:t>
      </w:r>
      <w:r w:rsidRPr="00D8539E">
        <w:rPr>
          <w:rFonts w:ascii="Arial" w:hAnsi="Arial" w:cs="Arial"/>
          <w:sz w:val="18"/>
          <w:szCs w:val="18"/>
          <w:rtl/>
        </w:rPr>
        <w:t>- כתב מי שהיה ראש מחלקת הדין הבינלאומי בפרקליטות הצבאית, לירון ליבמן</w:t>
      </w:r>
      <w:r>
        <w:rPr>
          <w:rFonts w:ascii="Arial" w:hAnsi="Arial" w:cs="Arial" w:hint="cs"/>
          <w:sz w:val="18"/>
          <w:szCs w:val="18"/>
          <w:rtl/>
        </w:rPr>
        <w:t xml:space="preserve"> (</w:t>
      </w:r>
      <w:hyperlink r:id="rId130" w:history="1">
        <w:r w:rsidRPr="00D8539E">
          <w:rPr>
            <w:rStyle w:val="Hyperlink"/>
            <w:rFonts w:ascii="Arial" w:hAnsi="Arial" w:cs="Arial"/>
            <w:sz w:val="18"/>
            <w:szCs w:val="18"/>
          </w:rPr>
          <w:t>"</w:t>
        </w:r>
        <w:r w:rsidRPr="00D8539E">
          <w:rPr>
            <w:rStyle w:val="Hyperlink"/>
            <w:rFonts w:ascii="Arial" w:hAnsi="Arial" w:cs="Arial"/>
            <w:sz w:val="18"/>
            <w:szCs w:val="18"/>
            <w:rtl/>
          </w:rPr>
          <w:t>לא הכל מותר", "הארץ" 22.11</w:t>
        </w:r>
      </w:hyperlink>
      <w:r>
        <w:rPr>
          <w:rFonts w:ascii="Arial" w:hAnsi="Arial" w:cs="Arial"/>
          <w:sz w:val="18"/>
          <w:szCs w:val="18"/>
        </w:rPr>
        <w:t xml:space="preserve"> </w:t>
      </w:r>
      <w:r w:rsidRPr="00D8539E">
        <w:rPr>
          <w:rFonts w:ascii="Arial" w:hAnsi="Arial" w:cs="Arial"/>
          <w:sz w:val="18"/>
          <w:szCs w:val="18"/>
        </w:rPr>
        <w:t>,</w:t>
      </w:r>
      <w:r>
        <w:rPr>
          <w:rFonts w:ascii="Arial" w:hAnsi="Arial" w:cs="Arial"/>
          <w:sz w:val="18"/>
          <w:szCs w:val="18"/>
        </w:rPr>
        <w:t>(</w:t>
      </w:r>
      <w:r w:rsidRPr="00D8539E">
        <w:rPr>
          <w:rFonts w:ascii="Arial" w:hAnsi="Arial" w:cs="Arial"/>
          <w:sz w:val="18"/>
          <w:szCs w:val="18"/>
          <w:rtl/>
        </w:rPr>
        <w:t>על</w:t>
      </w:r>
      <w:r w:rsidRPr="00D8539E">
        <w:rPr>
          <w:rFonts w:ascii="Arial" w:hAnsi="Arial" w:cs="Arial"/>
          <w:sz w:val="18"/>
          <w:szCs w:val="18"/>
        </w:rPr>
        <w:t> </w:t>
      </w:r>
      <w:hyperlink r:id="rId131" w:history="1">
        <w:r w:rsidRPr="00D8539E">
          <w:rPr>
            <w:rStyle w:val="Hyperlink"/>
            <w:rFonts w:ascii="Arial" w:hAnsi="Arial" w:cs="Arial"/>
            <w:sz w:val="18"/>
            <w:szCs w:val="18"/>
            <w:rtl/>
          </w:rPr>
          <w:t>מבצע "עמוד ענן</w:t>
        </w:r>
        <w:r w:rsidRPr="00D8539E">
          <w:rPr>
            <w:rStyle w:val="Hyperlink"/>
            <w:rFonts w:ascii="Arial" w:hAnsi="Arial" w:cs="Arial"/>
            <w:sz w:val="18"/>
            <w:szCs w:val="18"/>
          </w:rPr>
          <w:t>"</w:t>
        </w:r>
      </w:hyperlink>
      <w:r>
        <w:rPr>
          <w:rFonts w:ascii="Arial" w:hAnsi="Arial" w:cs="Arial" w:hint="cs"/>
          <w:sz w:val="18"/>
          <w:szCs w:val="18"/>
          <w:rtl/>
        </w:rPr>
        <w:t>.</w:t>
      </w:r>
    </w:p>
    <w:p w:rsidR="005366A8" w:rsidRPr="00D8539E" w:rsidRDefault="005366A8" w:rsidP="005366A8">
      <w:pPr>
        <w:spacing w:after="60"/>
        <w:ind w:left="360"/>
        <w:rPr>
          <w:rFonts w:ascii="Arial" w:hAnsi="Arial" w:cs="Arial"/>
          <w:sz w:val="18"/>
          <w:szCs w:val="18"/>
        </w:rPr>
      </w:pPr>
      <w:r w:rsidRPr="00D8539E">
        <w:rPr>
          <w:rFonts w:ascii="Arial" w:hAnsi="Arial" w:cs="Arial"/>
          <w:sz w:val="18"/>
          <w:szCs w:val="18"/>
        </w:rPr>
        <w:t>"</w:t>
      </w:r>
      <w:r w:rsidRPr="00D8539E">
        <w:rPr>
          <w:rFonts w:ascii="Arial" w:hAnsi="Arial" w:cs="Arial"/>
          <w:sz w:val="18"/>
          <w:szCs w:val="18"/>
          <w:rtl/>
        </w:rPr>
        <w:t>מופרז"? "אופיין הצבאי"? "חשיבותן הברורה"? - מונחים אלה יזכו, מן הסתם, לפרשנות שונה מאנשים שונים. כאן נעוצה הבעיה העיקרית במשפט ההומניטרי הבינלאומי: הוא נשען על מושגים מעורפלים כמו "צרכים צבאיים" ו"מידתיות", שניתן לפרש בדרכים שונות</w:t>
      </w:r>
      <w:r w:rsidRPr="00D8539E">
        <w:rPr>
          <w:rFonts w:ascii="Arial" w:hAnsi="Arial" w:cs="Arial"/>
          <w:sz w:val="18"/>
          <w:szCs w:val="18"/>
        </w:rPr>
        <w:t>.</w:t>
      </w:r>
    </w:p>
    <w:p w:rsidR="005366A8" w:rsidRDefault="005366A8" w:rsidP="005366A8">
      <w:pPr>
        <w:spacing w:after="60"/>
        <w:ind w:left="360"/>
        <w:rPr>
          <w:rFonts w:ascii="Arial" w:hAnsi="Arial" w:cs="Arial"/>
          <w:sz w:val="18"/>
          <w:szCs w:val="18"/>
          <w:rtl/>
        </w:rPr>
      </w:pPr>
      <w:r>
        <w:rPr>
          <w:rFonts w:ascii="Arial" w:hAnsi="Arial" w:cs="Arial" w:hint="cs"/>
          <w:sz w:val="18"/>
          <w:szCs w:val="18"/>
          <w:rtl/>
        </w:rPr>
        <w:t>...</w:t>
      </w:r>
    </w:p>
    <w:p w:rsidR="005366A8" w:rsidRPr="00D8539E" w:rsidRDefault="005366A8" w:rsidP="005366A8">
      <w:pPr>
        <w:spacing w:after="60"/>
        <w:ind w:left="360"/>
        <w:rPr>
          <w:rFonts w:ascii="Arial" w:hAnsi="Arial" w:cs="Arial"/>
          <w:sz w:val="18"/>
          <w:szCs w:val="18"/>
        </w:rPr>
      </w:pPr>
      <w:r w:rsidRPr="00D8539E">
        <w:rPr>
          <w:rFonts w:ascii="Arial" w:hAnsi="Arial" w:cs="Arial"/>
          <w:sz w:val="18"/>
          <w:szCs w:val="18"/>
          <w:rtl/>
        </w:rPr>
        <w:t>דוגמה שנייה היא הטענה שעליה חוזרים גורמים רשמיים שוב ושוב, ולפיה האחריות לפגיעה באזרחים בעזה מוטלת על חמאס, המשתמש בהם כב"מגן אנושי". נכון, חמאס מפר את המשפט הבינלאומי ואף מבצע פשעי מלחמה כמו ירי מכוון על אזרחים, לפעמים מתוך אזורי מגורים צפופים, ועוד. ואולם, אין בעובדות אלה כדי להוות הצדקה כלשהי לפגיעה באזרחים בצד הפלסטיני, גם אם אין חולק על כך שלחימה בתנאים כאלה מקשה מאוד על הצבא. העובדה שצד אחד מפר את דיני הלחימה אין בה כדי להתיר לצד השני להפר אותם, ועקרון ההדדיות אינו מוכר בדיני הלחימה. ההיתלות בפשעי חמאס עלולה לעורר את הרושם, שהצבא רואה באופן הפסול שבו מתנהל חמאס אישור להתנהלות פסולה שלו</w:t>
      </w:r>
      <w:r w:rsidRPr="00D8539E">
        <w:rPr>
          <w:rFonts w:ascii="Arial" w:hAnsi="Arial" w:cs="Arial"/>
          <w:sz w:val="18"/>
          <w:szCs w:val="18"/>
        </w:rPr>
        <w:t>.</w:t>
      </w:r>
    </w:p>
    <w:p w:rsidR="005366A8" w:rsidRPr="00D8539E" w:rsidRDefault="005366A8" w:rsidP="005366A8">
      <w:pPr>
        <w:spacing w:after="60"/>
        <w:ind w:left="360"/>
        <w:rPr>
          <w:rFonts w:ascii="Arial" w:hAnsi="Arial" w:cs="Arial"/>
          <w:sz w:val="18"/>
          <w:szCs w:val="18"/>
        </w:rPr>
      </w:pPr>
      <w:r>
        <w:rPr>
          <w:rFonts w:ascii="Arial" w:hAnsi="Arial" w:cs="Arial" w:hint="cs"/>
          <w:sz w:val="18"/>
          <w:szCs w:val="18"/>
          <w:rtl/>
        </w:rPr>
        <w:t>...</w:t>
      </w:r>
    </w:p>
    <w:p w:rsidR="005366A8" w:rsidRPr="00D8539E" w:rsidRDefault="005366A8" w:rsidP="005366A8">
      <w:pPr>
        <w:spacing w:after="60"/>
        <w:ind w:left="360"/>
        <w:rPr>
          <w:rFonts w:ascii="Arial" w:hAnsi="Arial" w:cs="Arial"/>
          <w:sz w:val="18"/>
          <w:szCs w:val="18"/>
        </w:rPr>
      </w:pPr>
      <w:r w:rsidRPr="00D8539E">
        <w:rPr>
          <w:rFonts w:ascii="Arial" w:hAnsi="Arial" w:cs="Arial"/>
          <w:sz w:val="18"/>
          <w:szCs w:val="18"/>
          <w:rtl/>
        </w:rPr>
        <w:t>המשפט ההומניטרי הבינלאומי, שצה"ל מצהיר כי מכוחו הוא פועל, מורכב ועמום, ומתווה עקרונות כלליים המאפשרים טווח פרשנויות רחב. תפקידם של יועצים משפטיים אינו לנצל את הערפל כדי להצדיק פגיעה באזרחים, אלא לפזרו, להציב גבולות שיגנו על אזרחים ולהזכיר לגורמי הפיקוד שההגנה הזאת היא חובתה של ישראל. לא מדובר בסוגיה תדמיתית, או בחסד שישראל עושה עם הפלסטינים ברצועה. זוהי חובה מפורשת של ישראל כמדינה שחתמה על האמנות הבינלאומיות וכמי שמצהירה כי היא פועלת לאורן</w:t>
      </w:r>
      <w:r w:rsidRPr="00D8539E">
        <w:rPr>
          <w:rFonts w:ascii="Arial" w:hAnsi="Arial" w:cs="Arial"/>
          <w:sz w:val="18"/>
          <w:szCs w:val="18"/>
        </w:rPr>
        <w:t>.</w:t>
      </w:r>
    </w:p>
    <w:p w:rsidR="005366A8" w:rsidRDefault="005366A8" w:rsidP="005366A8">
      <w:pPr>
        <w:ind w:left="360"/>
        <w:rPr>
          <w:rFonts w:ascii="Arial" w:hAnsi="Arial" w:cs="Arial"/>
          <w:sz w:val="18"/>
          <w:szCs w:val="18"/>
          <w:rtl/>
        </w:rPr>
      </w:pPr>
    </w:p>
    <w:p w:rsidR="005366A8" w:rsidRPr="00D8539E" w:rsidRDefault="005366A8" w:rsidP="005366A8">
      <w:pPr>
        <w:ind w:left="360"/>
        <w:rPr>
          <w:rFonts w:ascii="Arial" w:hAnsi="Arial" w:cs="Arial"/>
          <w:sz w:val="18"/>
          <w:szCs w:val="18"/>
          <w:rtl/>
        </w:rPr>
      </w:pPr>
      <w:r>
        <w:rPr>
          <w:rFonts w:ascii="Arial" w:hAnsi="Arial" w:cs="Arial" w:hint="cs"/>
          <w:sz w:val="18"/>
          <w:szCs w:val="18"/>
          <w:rtl/>
        </w:rPr>
        <w:t>[</w:t>
      </w:r>
      <w:r w:rsidRPr="00D8539E">
        <w:rPr>
          <w:rFonts w:ascii="Arial" w:hAnsi="Arial" w:cs="Arial"/>
          <w:sz w:val="18"/>
          <w:szCs w:val="18"/>
          <w:rtl/>
        </w:rPr>
        <w:t>עו"ד שטיין היא מנהלת המחקר של בצלם, מרכז המידע הישראלי לזכויות האדם בשטחים</w:t>
      </w:r>
      <w:r>
        <w:rPr>
          <w:rFonts w:ascii="Arial" w:hAnsi="Arial" w:cs="Arial" w:hint="cs"/>
          <w:sz w:val="18"/>
          <w:szCs w:val="18"/>
          <w:rtl/>
        </w:rPr>
        <w:t>]</w:t>
      </w:r>
    </w:p>
    <w:p w:rsidR="005366A8" w:rsidRPr="00B46B66" w:rsidRDefault="005366A8" w:rsidP="005366A8">
      <w:pPr>
        <w:pStyle w:val="Heading7"/>
        <w:spacing w:line="240" w:lineRule="auto"/>
        <w:jc w:val="left"/>
        <w:rPr>
          <w:b w:val="0"/>
          <w:bCs w:val="0"/>
          <w:sz w:val="20"/>
          <w:szCs w:val="20"/>
          <w:u w:val="none"/>
          <w:rtl/>
        </w:rPr>
      </w:pPr>
    </w:p>
    <w:p w:rsidR="005366A8" w:rsidRDefault="005366A8" w:rsidP="005366A8">
      <w:pPr>
        <w:rPr>
          <w:sz w:val="20"/>
          <w:szCs w:val="20"/>
          <w:rtl/>
        </w:rPr>
      </w:pPr>
      <w:r>
        <w:rPr>
          <w:rFonts w:hint="cs"/>
          <w:sz w:val="20"/>
          <w:szCs w:val="20"/>
          <w:rtl/>
        </w:rPr>
        <w:t xml:space="preserve">ד. (מצד הסוציולוגיה של השיפוט או הפוליטיקה של השיפוט:) </w:t>
      </w:r>
      <w:r w:rsidRPr="001D5597">
        <w:rPr>
          <w:rFonts w:hint="cs"/>
          <w:b/>
          <w:bCs/>
          <w:sz w:val="20"/>
          <w:szCs w:val="20"/>
          <w:rtl/>
        </w:rPr>
        <w:t>תחושת פגיעותו של בית המשפט בתרבות הפוליטית בישראל</w:t>
      </w:r>
      <w:r>
        <w:rPr>
          <w:rFonts w:hint="cs"/>
          <w:sz w:val="20"/>
          <w:szCs w:val="20"/>
          <w:rtl/>
        </w:rPr>
        <w:t xml:space="preserve"> גורמת לבית המשפט לרצות לשמור על "מרחב תמרון" עבור עצמו, והוא עושה כן על ידי הותרת "מרחב תמרון" לרשויות הפוליטיות והמנהליות המבוקרות על ידו (כגון "מתחם מידתיות" ו"מתחם סבירות" רחבים, בעיקר בסוגיות רגישות; וכן באמצעים נוספים שעליהם נלמד). </w:t>
      </w:r>
    </w:p>
    <w:p w:rsidR="005366A8" w:rsidRDefault="005366A8" w:rsidP="005366A8">
      <w:pPr>
        <w:rPr>
          <w:sz w:val="20"/>
          <w:szCs w:val="20"/>
          <w:rtl/>
        </w:rPr>
      </w:pPr>
      <w:r>
        <w:rPr>
          <w:rFonts w:hint="cs"/>
          <w:sz w:val="20"/>
          <w:szCs w:val="20"/>
          <w:rtl/>
        </w:rPr>
        <w:t>מרחב זה נוצר ונשמר גם באמצעות עמימות של מונחים וכן באמצעות ריבוי של עקרונות חשובים שלא פועלים בכיוון אחד, ויש על כן לאזן ביניהם. הצורך באיזון מכיל, בהגדרה, מידה של אי-ודאות.</w:t>
      </w:r>
    </w:p>
    <w:p w:rsidR="005366A8" w:rsidRDefault="005366A8" w:rsidP="005366A8">
      <w:pPr>
        <w:rPr>
          <w:sz w:val="20"/>
          <w:szCs w:val="20"/>
          <w:rtl/>
        </w:rPr>
      </w:pPr>
    </w:p>
    <w:p w:rsidR="005366A8" w:rsidRDefault="005366A8" w:rsidP="005366A8">
      <w:pPr>
        <w:rPr>
          <w:sz w:val="20"/>
          <w:szCs w:val="20"/>
          <w:rtl/>
        </w:rPr>
      </w:pPr>
      <w:r>
        <w:rPr>
          <w:rFonts w:hint="cs"/>
          <w:sz w:val="20"/>
          <w:szCs w:val="20"/>
          <w:rtl/>
        </w:rPr>
        <w:t xml:space="preserve">ה. נקודה חשובה, מאזנת: זה שיש הבדל במידת הוודאות של תחומים משפטיים שונים – הבדל שלחלקים ממנו יש הצדקה ממשית – לא מוביל אותנו לקוטב של שרירותיות או של ערפל מלא. </w:t>
      </w:r>
      <w:r w:rsidRPr="00936AB7">
        <w:rPr>
          <w:rFonts w:hint="cs"/>
          <w:sz w:val="20"/>
          <w:szCs w:val="20"/>
          <w:rtl/>
        </w:rPr>
        <w:t xml:space="preserve">מדובר במיקומים שונים על פני </w:t>
      </w:r>
      <w:r w:rsidRPr="00AE174B">
        <w:rPr>
          <w:rFonts w:hint="cs"/>
          <w:i/>
          <w:iCs/>
          <w:sz w:val="20"/>
          <w:szCs w:val="20"/>
          <w:rtl/>
        </w:rPr>
        <w:t>הרצף</w:t>
      </w:r>
      <w:r w:rsidRPr="00936AB7">
        <w:rPr>
          <w:rFonts w:hint="cs"/>
          <w:sz w:val="20"/>
          <w:szCs w:val="20"/>
          <w:rtl/>
        </w:rPr>
        <w:t xml:space="preserve"> שבין וודאות לבין חוסר</w:t>
      </w:r>
      <w:r>
        <w:rPr>
          <w:rFonts w:hint="cs"/>
          <w:sz w:val="20"/>
          <w:szCs w:val="20"/>
          <w:rtl/>
        </w:rPr>
        <w:t>-</w:t>
      </w:r>
      <w:r w:rsidRPr="00936AB7">
        <w:rPr>
          <w:rFonts w:hint="cs"/>
          <w:sz w:val="20"/>
          <w:szCs w:val="20"/>
          <w:rtl/>
        </w:rPr>
        <w:t>וודאות</w:t>
      </w:r>
      <w:r>
        <w:rPr>
          <w:rFonts w:hint="cs"/>
          <w:sz w:val="20"/>
          <w:szCs w:val="20"/>
          <w:rtl/>
        </w:rPr>
        <w:t xml:space="preserve"> מלא</w:t>
      </w:r>
      <w:r w:rsidRPr="00936AB7">
        <w:rPr>
          <w:rFonts w:hint="cs"/>
          <w:sz w:val="20"/>
          <w:szCs w:val="20"/>
          <w:rtl/>
        </w:rPr>
        <w:t xml:space="preserve">. דרגות שונות של ערפל. </w:t>
      </w:r>
      <w:r w:rsidRPr="00480063">
        <w:rPr>
          <w:rFonts w:hint="cs"/>
          <w:b/>
          <w:bCs/>
          <w:sz w:val="20"/>
          <w:szCs w:val="20"/>
          <w:rtl/>
        </w:rPr>
        <w:t xml:space="preserve">ויש הכרח לפעול ולהכריע גם בתנאים פחות נוחים </w:t>
      </w:r>
      <w:r>
        <w:rPr>
          <w:rFonts w:hint="cs"/>
          <w:b/>
          <w:bCs/>
          <w:sz w:val="20"/>
          <w:szCs w:val="20"/>
          <w:rtl/>
        </w:rPr>
        <w:t>בכל הנוגע ל</w:t>
      </w:r>
      <w:r w:rsidRPr="00480063">
        <w:rPr>
          <w:rFonts w:hint="cs"/>
          <w:b/>
          <w:bCs/>
          <w:sz w:val="20"/>
          <w:szCs w:val="20"/>
          <w:rtl/>
        </w:rPr>
        <w:t xml:space="preserve">בהירות. </w:t>
      </w:r>
      <w:r>
        <w:rPr>
          <w:rFonts w:hint="cs"/>
          <w:b/>
          <w:bCs/>
          <w:sz w:val="20"/>
          <w:szCs w:val="20"/>
          <w:rtl/>
        </w:rPr>
        <w:t xml:space="preserve">יתר על כן, לעיתים יש למתוח "קווים אדומים", ואלו מטבעם יחסית ברורים. מכל מקום, במדינה דמוקרטית </w:t>
      </w:r>
      <w:r w:rsidRPr="00AE174B">
        <w:rPr>
          <w:rFonts w:hint="cs"/>
          <w:b/>
          <w:bCs/>
          <w:sz w:val="20"/>
          <w:szCs w:val="20"/>
          <w:rtl/>
        </w:rPr>
        <w:t xml:space="preserve">אין לנו מנוס מהצורך לפעול לעיתים </w:t>
      </w:r>
      <w:r>
        <w:rPr>
          <w:rFonts w:hint="cs"/>
          <w:b/>
          <w:bCs/>
          <w:sz w:val="20"/>
          <w:szCs w:val="20"/>
          <w:rtl/>
        </w:rPr>
        <w:t>בדרך של איזון, לעיתים בדרך של שרטור "קווים אדומים"</w:t>
      </w:r>
      <w:r w:rsidRPr="00AE174B">
        <w:rPr>
          <w:rFonts w:hint="cs"/>
          <w:b/>
          <w:bCs/>
          <w:sz w:val="20"/>
          <w:szCs w:val="20"/>
          <w:rtl/>
        </w:rPr>
        <w:t>.</w:t>
      </w:r>
      <w:r>
        <w:rPr>
          <w:rFonts w:hint="cs"/>
          <w:sz w:val="20"/>
          <w:szCs w:val="20"/>
          <w:rtl/>
        </w:rPr>
        <w:t xml:space="preserve">  </w:t>
      </w:r>
    </w:p>
    <w:p w:rsidR="005366A8" w:rsidRPr="00B46B66" w:rsidRDefault="005366A8" w:rsidP="005366A8">
      <w:pPr>
        <w:rPr>
          <w:sz w:val="20"/>
          <w:szCs w:val="20"/>
          <w:rtl/>
        </w:rPr>
      </w:pPr>
      <w:r>
        <w:rPr>
          <w:rFonts w:hint="cs"/>
          <w:sz w:val="20"/>
          <w:szCs w:val="20"/>
          <w:rtl/>
        </w:rPr>
        <w:t>[דומה שהצורך בהכרעה המגוננת על אזרחים תמים היא הנקודה שאליה מכוונת יעל שטיין בסוף דבריה].</w:t>
      </w:r>
    </w:p>
    <w:p w:rsidR="005366A8" w:rsidRDefault="005366A8" w:rsidP="005366A8">
      <w:pPr>
        <w:rPr>
          <w:sz w:val="20"/>
          <w:szCs w:val="20"/>
          <w:rtl/>
        </w:rPr>
      </w:pPr>
    </w:p>
    <w:p w:rsidR="005366A8" w:rsidRDefault="005366A8" w:rsidP="005366A8">
      <w:pPr>
        <w:rPr>
          <w:sz w:val="20"/>
          <w:szCs w:val="20"/>
          <w:rtl/>
        </w:rPr>
      </w:pPr>
      <w:r>
        <w:rPr>
          <w:rFonts w:hint="cs"/>
          <w:sz w:val="20"/>
          <w:szCs w:val="20"/>
          <w:rtl/>
        </w:rPr>
        <w:t xml:space="preserve">ראו הצגת דברים נוספת שלי, שמחדדת נקודות שאותן העליתי זה עתה, בעיקר את השתיים האחרונות. היא מזכירה פסיקה שאותה נפגוש בהמשך הקורס. </w:t>
      </w:r>
    </w:p>
    <w:p w:rsidR="005366A8" w:rsidRDefault="005366A8" w:rsidP="005366A8">
      <w:pPr>
        <w:rPr>
          <w:sz w:val="20"/>
          <w:szCs w:val="20"/>
          <w:rtl/>
        </w:rPr>
      </w:pPr>
      <w:r>
        <w:rPr>
          <w:rFonts w:hint="cs"/>
          <w:sz w:val="20"/>
          <w:szCs w:val="20"/>
          <w:rtl/>
        </w:rPr>
        <w:t>הצגת דברים זו הופיעה בהרצאה במסגרת כנס של הפקולטה "לסיכום שנת המשפט" – שהתקיים בחודש אוקטובר 2012:</w:t>
      </w:r>
    </w:p>
    <w:p w:rsidR="005366A8" w:rsidRDefault="005366A8" w:rsidP="005366A8">
      <w:pPr>
        <w:rPr>
          <w:sz w:val="20"/>
          <w:szCs w:val="20"/>
          <w:rtl/>
        </w:rPr>
      </w:pPr>
    </w:p>
    <w:p w:rsidR="005366A8" w:rsidRPr="00480063" w:rsidRDefault="005366A8" w:rsidP="005366A8">
      <w:pPr>
        <w:jc w:val="center"/>
        <w:rPr>
          <w:rFonts w:cs="David"/>
          <w:b/>
          <w:bCs/>
          <w:sz w:val="20"/>
          <w:szCs w:val="20"/>
          <w:rtl/>
        </w:rPr>
      </w:pPr>
      <w:r w:rsidRPr="00480063">
        <w:rPr>
          <w:rFonts w:cs="David" w:hint="cs"/>
          <w:b/>
          <w:bCs/>
          <w:sz w:val="20"/>
          <w:szCs w:val="20"/>
          <w:rtl/>
        </w:rPr>
        <w:t>סקירת התפתחויות וניסיון לאבחן תהליכי-עומק</w:t>
      </w:r>
    </w:p>
    <w:p w:rsidR="005366A8" w:rsidRPr="00480063" w:rsidRDefault="005366A8" w:rsidP="005366A8">
      <w:pPr>
        <w:jc w:val="center"/>
        <w:rPr>
          <w:rFonts w:cs="David"/>
          <w:sz w:val="20"/>
          <w:szCs w:val="20"/>
          <w:u w:val="single"/>
          <w:rtl/>
        </w:rPr>
      </w:pPr>
      <w:r w:rsidRPr="00480063">
        <w:rPr>
          <w:rFonts w:cs="David" w:hint="cs"/>
          <w:b/>
          <w:bCs/>
          <w:sz w:val="20"/>
          <w:szCs w:val="20"/>
          <w:u w:val="single"/>
          <w:rtl/>
        </w:rPr>
        <w:t>במשפט הציבורי</w:t>
      </w:r>
    </w:p>
    <w:p w:rsidR="005366A8" w:rsidRPr="00480063" w:rsidRDefault="005366A8" w:rsidP="005366A8">
      <w:pPr>
        <w:jc w:val="center"/>
        <w:rPr>
          <w:rFonts w:cs="David"/>
          <w:sz w:val="20"/>
          <w:szCs w:val="20"/>
          <w:rtl/>
        </w:rPr>
      </w:pPr>
      <w:r w:rsidRPr="00480063">
        <w:rPr>
          <w:rFonts w:cs="David" w:hint="cs"/>
          <w:sz w:val="20"/>
          <w:szCs w:val="20"/>
          <w:rtl/>
        </w:rPr>
        <w:t>ד"ר אילן סבן</w:t>
      </w:r>
    </w:p>
    <w:p w:rsidR="005366A8" w:rsidRPr="00480063" w:rsidRDefault="005366A8" w:rsidP="005366A8">
      <w:pPr>
        <w:jc w:val="center"/>
        <w:rPr>
          <w:rFonts w:cs="David"/>
          <w:sz w:val="20"/>
          <w:szCs w:val="20"/>
          <w:rtl/>
        </w:rPr>
      </w:pPr>
      <w:r w:rsidRPr="00480063">
        <w:rPr>
          <w:rFonts w:cs="David" w:hint="cs"/>
          <w:sz w:val="20"/>
          <w:szCs w:val="20"/>
          <w:rtl/>
        </w:rPr>
        <w:t>הפקולטה למשפטים, אוניברסיטת חיפה</w:t>
      </w:r>
    </w:p>
    <w:p w:rsidR="005366A8" w:rsidRPr="00480063" w:rsidRDefault="005366A8" w:rsidP="005366A8">
      <w:pPr>
        <w:rPr>
          <w:rFonts w:cs="David"/>
          <w:b/>
          <w:bCs/>
          <w:sz w:val="20"/>
          <w:szCs w:val="20"/>
          <w:rtl/>
        </w:rPr>
      </w:pPr>
    </w:p>
    <w:p w:rsidR="005366A8" w:rsidRPr="00480063" w:rsidRDefault="005366A8" w:rsidP="005366A8">
      <w:pPr>
        <w:rPr>
          <w:rFonts w:cs="David"/>
          <w:b/>
          <w:bCs/>
          <w:sz w:val="20"/>
          <w:szCs w:val="20"/>
          <w:rtl/>
        </w:rPr>
      </w:pPr>
      <w:r w:rsidRPr="00480063">
        <w:rPr>
          <w:rFonts w:cs="David" w:hint="cs"/>
          <w:b/>
          <w:bCs/>
          <w:sz w:val="20"/>
          <w:szCs w:val="20"/>
          <w:rtl/>
        </w:rPr>
        <w:t>1. דברים חשובים שנאמרו בכנס זה בעבר, לפני שנה ושנתיים</w:t>
      </w:r>
    </w:p>
    <w:p w:rsidR="005366A8" w:rsidRPr="00480063" w:rsidRDefault="005366A8" w:rsidP="005366A8">
      <w:pPr>
        <w:rPr>
          <w:rFonts w:cs="David"/>
          <w:sz w:val="20"/>
          <w:szCs w:val="20"/>
          <w:rtl/>
        </w:rPr>
      </w:pPr>
    </w:p>
    <w:p w:rsidR="005366A8" w:rsidRPr="00480063" w:rsidRDefault="005366A8" w:rsidP="005366A8">
      <w:pPr>
        <w:rPr>
          <w:rFonts w:cs="David"/>
          <w:sz w:val="20"/>
          <w:szCs w:val="20"/>
          <w:rtl/>
        </w:rPr>
      </w:pPr>
      <w:r w:rsidRPr="00480063">
        <w:rPr>
          <w:rFonts w:cs="David" w:hint="cs"/>
          <w:sz w:val="20"/>
          <w:szCs w:val="20"/>
          <w:rtl/>
        </w:rPr>
        <w:t xml:space="preserve">לפני שנתיים היה כאן פרופ' אריאל בנדור, ולפני שנה </w:t>
      </w:r>
      <w:r w:rsidRPr="00480063">
        <w:rPr>
          <w:rFonts w:cs="David"/>
          <w:sz w:val="20"/>
          <w:szCs w:val="20"/>
          <w:rtl/>
        </w:rPr>
        <w:t>–</w:t>
      </w:r>
      <w:r w:rsidRPr="00480063">
        <w:rPr>
          <w:rFonts w:cs="David" w:hint="cs"/>
          <w:sz w:val="20"/>
          <w:szCs w:val="20"/>
          <w:rtl/>
        </w:rPr>
        <w:t xml:space="preserve"> בהרצאת פתיחה </w:t>
      </w:r>
      <w:r w:rsidRPr="00480063">
        <w:rPr>
          <w:rFonts w:cs="David"/>
          <w:sz w:val="20"/>
          <w:szCs w:val="20"/>
          <w:rtl/>
        </w:rPr>
        <w:t>–</w:t>
      </w:r>
      <w:r w:rsidRPr="00480063">
        <w:rPr>
          <w:rFonts w:cs="David" w:hint="cs"/>
          <w:sz w:val="20"/>
          <w:szCs w:val="20"/>
          <w:rtl/>
        </w:rPr>
        <w:t xml:space="preserve"> היה כאן היועץ המשפטי של הכנסת, עו"ד איל ינון. ארצה להשתמש באבחנות שהשמיע כל אחד מהם כבסיס לטיעונים משלי, אך אפנה גם בכיוונים נוספים.</w:t>
      </w:r>
    </w:p>
    <w:p w:rsidR="005366A8" w:rsidRPr="00480063" w:rsidRDefault="005366A8" w:rsidP="005366A8">
      <w:pPr>
        <w:rPr>
          <w:rFonts w:cs="David"/>
          <w:sz w:val="20"/>
          <w:szCs w:val="20"/>
          <w:rtl/>
        </w:rPr>
      </w:pPr>
      <w:r w:rsidRPr="00480063">
        <w:rPr>
          <w:rFonts w:cs="David" w:hint="cs"/>
          <w:sz w:val="20"/>
          <w:szCs w:val="20"/>
          <w:rtl/>
        </w:rPr>
        <w:t>לב הרצאתו של פרופ' בנדור</w:t>
      </w:r>
      <w:r w:rsidRPr="00480063">
        <w:rPr>
          <w:rFonts w:cs="David"/>
          <w:sz w:val="20"/>
          <w:szCs w:val="20"/>
          <w:vertAlign w:val="superscript"/>
          <w:rtl/>
        </w:rPr>
        <w:footnoteReference w:id="11"/>
      </w:r>
      <w:r w:rsidRPr="00480063">
        <w:rPr>
          <w:rFonts w:cs="David" w:hint="cs"/>
          <w:sz w:val="20"/>
          <w:szCs w:val="20"/>
          <w:rtl/>
        </w:rPr>
        <w:t xml:space="preserve"> התמקד בתופעה </w:t>
      </w:r>
      <w:r w:rsidRPr="00480063">
        <w:rPr>
          <w:rFonts w:cs="David"/>
          <w:sz w:val="20"/>
          <w:szCs w:val="20"/>
          <w:rtl/>
        </w:rPr>
        <w:t>–</w:t>
      </w:r>
      <w:r w:rsidRPr="00480063">
        <w:rPr>
          <w:rFonts w:cs="David" w:hint="cs"/>
          <w:sz w:val="20"/>
          <w:szCs w:val="20"/>
          <w:rtl/>
        </w:rPr>
        <w:t xml:space="preserve"> מדאיגה בעיניו ומדאיגה בעיני </w:t>
      </w:r>
      <w:r w:rsidRPr="00480063">
        <w:rPr>
          <w:rFonts w:cs="David"/>
          <w:sz w:val="20"/>
          <w:szCs w:val="20"/>
          <w:rtl/>
        </w:rPr>
        <w:t>–</w:t>
      </w:r>
      <w:r w:rsidRPr="00480063">
        <w:rPr>
          <w:rFonts w:cs="David" w:hint="cs"/>
          <w:sz w:val="20"/>
          <w:szCs w:val="20"/>
          <w:rtl/>
        </w:rPr>
        <w:t xml:space="preserve"> של פיחות בוודאות של המשפט הציבורי, וכך ביכולתו לכוון אורחות התנהגות שלטונית, והתעצמות מקבילה בדימוי הפוליטי של המשפט הציבורי ושל בית המשפט העליון המזוהה עמו, התעצמות הגורעת מהלגיטימיות שלהם הנשענת על דימוי א-פוליטי של ציות ל"מרוּת הדין". תופעה זו היא תולדה של מגמות או תהליכים מגוונים, שמתוכם עמד בנדור על שלושה:</w:t>
      </w:r>
    </w:p>
    <w:p w:rsidR="005366A8" w:rsidRPr="00480063" w:rsidRDefault="005366A8" w:rsidP="005366A8">
      <w:pPr>
        <w:rPr>
          <w:rFonts w:cs="David"/>
          <w:sz w:val="20"/>
          <w:szCs w:val="20"/>
          <w:rtl/>
        </w:rPr>
      </w:pPr>
      <w:r w:rsidRPr="00480063">
        <w:rPr>
          <w:rFonts w:cs="David" w:hint="cs"/>
          <w:sz w:val="20"/>
          <w:szCs w:val="20"/>
          <w:rtl/>
        </w:rPr>
        <w:t xml:space="preserve">א. תהליך ראשון הוא פרקטיקה גוברת של "תהליכים מתגלגלים" </w:t>
      </w:r>
      <w:r w:rsidRPr="00480063">
        <w:rPr>
          <w:rFonts w:cs="David"/>
          <w:sz w:val="20"/>
          <w:szCs w:val="20"/>
          <w:rtl/>
        </w:rPr>
        <w:t>–</w:t>
      </w:r>
      <w:r w:rsidRPr="00480063">
        <w:rPr>
          <w:rFonts w:cs="David" w:hint="cs"/>
          <w:sz w:val="20"/>
          <w:szCs w:val="20"/>
          <w:rtl/>
        </w:rPr>
        <w:t xml:space="preserve"> כלומר חריגה ממסגרת של סכסוך והכרעה בו, לטובת יצירת 'מעין-שיחה', שיחה בין שלושה: הפרט, הרשות ובית המשפט; שיחה שתפקידה להוביל לשינוי מצב הדברים במעין גישור או דירבּון של בית המשפט. לעיתים דומה שיש בכך נטילת תפקיד של 'שמרטף' על ידי בית המשפט כלפי רשות שלטונית כזו או אחרת. </w:t>
      </w:r>
    </w:p>
    <w:p w:rsidR="005366A8" w:rsidRPr="00480063" w:rsidRDefault="005366A8" w:rsidP="005366A8">
      <w:pPr>
        <w:rPr>
          <w:rFonts w:cs="David"/>
          <w:sz w:val="20"/>
          <w:szCs w:val="20"/>
          <w:rtl/>
        </w:rPr>
      </w:pPr>
      <w:r w:rsidRPr="00480063">
        <w:rPr>
          <w:rFonts w:cs="David" w:hint="cs"/>
          <w:sz w:val="20"/>
          <w:szCs w:val="20"/>
          <w:rtl/>
        </w:rPr>
        <w:t>ב. תהליך שני, הוא נטייתו הגוברת של בית המשפט להסתמך על עילות התערבות או על כללים שאינם 'קביעים'; כלומר כאלה שהם קשים יותר לאיבחון או לאומדן. והוא הצביע בעיקר על עילת "הסבירות" ועל מבחן המשנה השלישי של המידתיות: עילת הפרופורציונליות או "המידתיות במובן הצר".</w:t>
      </w:r>
    </w:p>
    <w:p w:rsidR="005366A8" w:rsidRPr="00480063" w:rsidRDefault="005366A8" w:rsidP="005366A8">
      <w:pPr>
        <w:rPr>
          <w:rFonts w:cs="David"/>
          <w:sz w:val="20"/>
          <w:szCs w:val="20"/>
          <w:rtl/>
        </w:rPr>
      </w:pPr>
      <w:r w:rsidRPr="00480063">
        <w:rPr>
          <w:rFonts w:cs="David" w:hint="cs"/>
          <w:sz w:val="20"/>
          <w:szCs w:val="20"/>
          <w:rtl/>
        </w:rPr>
        <w:t>ג. התהליך השלישי הוא שגשוג השימוש בסעד של "הבטלות היחסית".</w:t>
      </w:r>
    </w:p>
    <w:p w:rsidR="005366A8" w:rsidRPr="00480063" w:rsidRDefault="005366A8" w:rsidP="005366A8">
      <w:pPr>
        <w:rPr>
          <w:rFonts w:cs="David"/>
          <w:sz w:val="20"/>
          <w:szCs w:val="20"/>
          <w:rtl/>
        </w:rPr>
      </w:pPr>
      <w:r w:rsidRPr="00480063">
        <w:rPr>
          <w:rFonts w:cs="David" w:hint="cs"/>
          <w:sz w:val="20"/>
          <w:szCs w:val="20"/>
          <w:rtl/>
        </w:rPr>
        <w:t>אינני רוצה לשוב לדוגמאות שנותן בנדור, גם לא לספק דוגמאות חדשות. יש כאלה למכביר.</w:t>
      </w:r>
      <w:r w:rsidRPr="00480063">
        <w:rPr>
          <w:rFonts w:cs="David"/>
          <w:sz w:val="20"/>
          <w:szCs w:val="20"/>
          <w:vertAlign w:val="superscript"/>
          <w:rtl/>
        </w:rPr>
        <w:footnoteReference w:id="12"/>
      </w:r>
      <w:r w:rsidRPr="00480063">
        <w:rPr>
          <w:rFonts w:cs="David" w:hint="cs"/>
          <w:sz w:val="20"/>
          <w:szCs w:val="20"/>
          <w:rtl/>
        </w:rPr>
        <w:t xml:space="preserve"> אני מעדיף לנסות לספק גורם מרכזי של הסבר להתעצמות התופעה הזו של הפיחות בוודאות של המשפט הציבורי. אגיע לכך בסוף דברי.</w:t>
      </w:r>
    </w:p>
    <w:p w:rsidR="005366A8" w:rsidRDefault="005366A8" w:rsidP="005366A8">
      <w:pPr>
        <w:rPr>
          <w:sz w:val="20"/>
          <w:szCs w:val="20"/>
          <w:rtl/>
        </w:rPr>
      </w:pPr>
      <w:r>
        <w:rPr>
          <w:rFonts w:hint="cs"/>
          <w:sz w:val="20"/>
          <w:szCs w:val="20"/>
          <w:rtl/>
        </w:rPr>
        <w:t>...</w:t>
      </w:r>
    </w:p>
    <w:p w:rsidR="005366A8" w:rsidRPr="00480063" w:rsidRDefault="005366A8" w:rsidP="005366A8">
      <w:pPr>
        <w:rPr>
          <w:rFonts w:cs="David"/>
          <w:sz w:val="20"/>
          <w:szCs w:val="20"/>
          <w:rtl/>
        </w:rPr>
      </w:pPr>
    </w:p>
    <w:p w:rsidR="005366A8" w:rsidRPr="00480063" w:rsidRDefault="005366A8" w:rsidP="005366A8">
      <w:pPr>
        <w:rPr>
          <w:rFonts w:cs="David"/>
          <w:b/>
          <w:bCs/>
          <w:sz w:val="20"/>
          <w:szCs w:val="20"/>
          <w:rtl/>
        </w:rPr>
      </w:pPr>
      <w:r w:rsidRPr="00480063">
        <w:rPr>
          <w:rFonts w:cs="David" w:hint="cs"/>
          <w:b/>
          <w:bCs/>
          <w:sz w:val="20"/>
          <w:szCs w:val="20"/>
          <w:rtl/>
        </w:rPr>
        <w:t>4. אי-ודאותו של המשפט הציבורי כמנגנון הגנה על מוסד בקרה שברירי - בית המשפט</w:t>
      </w:r>
    </w:p>
    <w:p w:rsidR="005366A8" w:rsidRPr="00480063" w:rsidRDefault="005366A8" w:rsidP="005366A8">
      <w:pPr>
        <w:rPr>
          <w:rFonts w:cs="David"/>
          <w:sz w:val="20"/>
          <w:szCs w:val="20"/>
          <w:rtl/>
        </w:rPr>
      </w:pPr>
    </w:p>
    <w:p w:rsidR="005366A8" w:rsidRPr="00480063" w:rsidRDefault="005366A8" w:rsidP="005366A8">
      <w:pPr>
        <w:rPr>
          <w:rFonts w:cs="David"/>
          <w:sz w:val="20"/>
          <w:szCs w:val="20"/>
          <w:rtl/>
        </w:rPr>
      </w:pPr>
      <w:r w:rsidRPr="00480063">
        <w:rPr>
          <w:rFonts w:cs="David" w:hint="cs"/>
          <w:sz w:val="20"/>
          <w:szCs w:val="20"/>
          <w:rtl/>
        </w:rPr>
        <w:t xml:space="preserve">הסכמתי עם דבריו של פרופ' בנדור אותם איזכרתי בתחילת דברי. כוונתי לחששו מתהליך הפיחות בוודאותן של נורמות המשפט הציבורי, והפיחות הנגזר בלגיטימציה המלווה את ההליך השיפוטי ואת בית המשפט. </w:t>
      </w:r>
    </w:p>
    <w:p w:rsidR="005366A8" w:rsidRPr="00480063" w:rsidRDefault="005366A8" w:rsidP="005366A8">
      <w:pPr>
        <w:rPr>
          <w:rFonts w:cs="David"/>
          <w:sz w:val="20"/>
          <w:szCs w:val="20"/>
          <w:rtl/>
        </w:rPr>
      </w:pPr>
      <w:r w:rsidRPr="00480063">
        <w:rPr>
          <w:rFonts w:cs="David" w:hint="cs"/>
          <w:sz w:val="20"/>
          <w:szCs w:val="20"/>
          <w:rtl/>
        </w:rPr>
        <w:t xml:space="preserve">אגב, אי-הודאות גדלה גם בשל "טכניקות הימנעות" שונות שמלוות את מלאכת השיפוט, והמרכזיות שבהן טמונות בעילות הסף, דוגמת "אי-הבשלות" אותה פגשנו בפסק הדין בעניין חוק הנכבה, או עילת הכוללנות, שהופיעה בפס"ד </w:t>
      </w:r>
      <w:r w:rsidRPr="00480063">
        <w:rPr>
          <w:rFonts w:cs="David" w:hint="cs"/>
          <w:b/>
          <w:bCs/>
          <w:sz w:val="20"/>
          <w:szCs w:val="20"/>
          <w:rtl/>
        </w:rPr>
        <w:t>המחצבות בגדה</w:t>
      </w:r>
      <w:r w:rsidRPr="00480063">
        <w:rPr>
          <w:rFonts w:cs="David" w:hint="cs"/>
          <w:sz w:val="20"/>
          <w:szCs w:val="20"/>
          <w:rtl/>
        </w:rPr>
        <w:t>,</w:t>
      </w:r>
      <w:r w:rsidRPr="00480063">
        <w:rPr>
          <w:rStyle w:val="FootnoteReference"/>
          <w:sz w:val="20"/>
          <w:szCs w:val="20"/>
          <w:rtl/>
        </w:rPr>
        <w:footnoteReference w:id="13"/>
      </w:r>
      <w:r w:rsidRPr="00480063">
        <w:rPr>
          <w:rFonts w:cs="David" w:hint="cs"/>
          <w:sz w:val="20"/>
          <w:szCs w:val="20"/>
          <w:rtl/>
        </w:rPr>
        <w:t xml:space="preserve"> או עילת השיהוי שהופיע בפסק הדין </w:t>
      </w:r>
      <w:r w:rsidRPr="00480063">
        <w:rPr>
          <w:rFonts w:cs="David" w:hint="cs"/>
          <w:b/>
          <w:bCs/>
          <w:sz w:val="20"/>
          <w:szCs w:val="20"/>
          <w:rtl/>
        </w:rPr>
        <w:t>בית איכסא</w:t>
      </w:r>
      <w:r w:rsidRPr="00480063">
        <w:rPr>
          <w:rStyle w:val="FootnoteReference"/>
          <w:sz w:val="20"/>
          <w:szCs w:val="20"/>
          <w:rtl/>
        </w:rPr>
        <w:footnoteReference w:id="14"/>
      </w:r>
      <w:r w:rsidRPr="00480063">
        <w:rPr>
          <w:rFonts w:cs="David" w:hint="cs"/>
          <w:sz w:val="20"/>
          <w:szCs w:val="20"/>
          <w:rtl/>
        </w:rPr>
        <w:t xml:space="preserve"> בעניין הפקעת קרקעות לצורך סלילת קו הרכבת המהירה ירושלים תל-אביב. ראו בעניין זה את הבלוג המעניין של אדם שנער באתר "הטרקלין".</w:t>
      </w:r>
      <w:r w:rsidRPr="00480063">
        <w:rPr>
          <w:rStyle w:val="FootnoteReference"/>
          <w:sz w:val="20"/>
          <w:szCs w:val="20"/>
          <w:rtl/>
        </w:rPr>
        <w:footnoteReference w:id="15"/>
      </w:r>
    </w:p>
    <w:p w:rsidR="005366A8" w:rsidRPr="00480063" w:rsidRDefault="005366A8" w:rsidP="005366A8">
      <w:pPr>
        <w:rPr>
          <w:rFonts w:cs="David"/>
          <w:sz w:val="20"/>
          <w:szCs w:val="20"/>
          <w:rtl/>
        </w:rPr>
      </w:pPr>
      <w:r w:rsidRPr="00480063">
        <w:rPr>
          <w:rFonts w:cs="David" w:hint="cs"/>
          <w:sz w:val="20"/>
          <w:szCs w:val="20"/>
          <w:rtl/>
        </w:rPr>
        <w:t>הנקודה שחסרה לי בדבריו של פרופ' בנדור נוגעת לפישרה של התופעה ולשאלה עד כמה יש ממנה מנוס.</w:t>
      </w:r>
    </w:p>
    <w:p w:rsidR="005366A8" w:rsidRPr="00480063" w:rsidRDefault="005366A8" w:rsidP="005366A8">
      <w:pPr>
        <w:rPr>
          <w:rFonts w:cs="David"/>
          <w:sz w:val="20"/>
          <w:szCs w:val="20"/>
          <w:rtl/>
        </w:rPr>
      </w:pPr>
      <w:r w:rsidRPr="00480063">
        <w:rPr>
          <w:rFonts w:cs="David" w:hint="cs"/>
          <w:sz w:val="20"/>
          <w:szCs w:val="20"/>
          <w:rtl/>
        </w:rPr>
        <w:t xml:space="preserve">טענתי 'הכותרתית' היא זו: בית המשפט חש שברירי ופגיע. סמכותו אינה מעוגנת/מוגנת בחוקה </w:t>
      </w:r>
      <w:r w:rsidRPr="00FF70E0">
        <w:rPr>
          <w:rFonts w:cs="David" w:hint="cs"/>
          <w:i/>
          <w:iCs/>
          <w:sz w:val="20"/>
          <w:szCs w:val="20"/>
          <w:rtl/>
        </w:rPr>
        <w:t>נוקשה</w:t>
      </w:r>
      <w:r w:rsidRPr="00480063">
        <w:rPr>
          <w:rFonts w:cs="David" w:hint="cs"/>
          <w:sz w:val="20"/>
          <w:szCs w:val="20"/>
          <w:rtl/>
        </w:rPr>
        <w:t>. יותר מכך, ואולי חשוב מכך, אין תרבות פוליטית חוקתית ממשית, ודאי לא תרבות מושרשת התומכת בסמכות הביקורת השיפוטית על חקיקה. כמו כן פוחתים מגונניו בקרב האליטות הפוליטיות השולטות. והנה הוא צריך להגיב להחלטות שחלקן - לא כולן - מערבות פחד ונחרצוּת של מקבליהן. משום כך הוא זקוק לכוחות לוליינות מורכבים יותר, למרחב תמרון גדול יותר, שאותו הוא משיג דרך מרחב התמרון שהוא מעניק למבוקריו, משמע, דרך אי-הוודאות שעליו מדבר פרופ' בנדור, ודרך טכניקות הימנעות שונות.</w:t>
      </w:r>
    </w:p>
    <w:p w:rsidR="005366A8" w:rsidRPr="00480063" w:rsidRDefault="005366A8" w:rsidP="005366A8">
      <w:pPr>
        <w:rPr>
          <w:rFonts w:cs="David"/>
          <w:sz w:val="20"/>
          <w:szCs w:val="20"/>
          <w:rtl/>
        </w:rPr>
      </w:pPr>
      <w:r w:rsidRPr="00480063">
        <w:rPr>
          <w:rFonts w:cs="David" w:hint="cs"/>
          <w:sz w:val="20"/>
          <w:szCs w:val="20"/>
          <w:rtl/>
        </w:rPr>
        <w:t>המשפט פועל בדרך של כללים ודוקטרינות ולכן הגמישות הזו - הנחוצה לנושאים רגישים - מחלחלת ואפילו חלה ישירות על נושאים רגילים, 'נורמאליים'.</w:t>
      </w:r>
    </w:p>
    <w:p w:rsidR="005366A8" w:rsidRPr="00480063" w:rsidRDefault="005366A8" w:rsidP="005366A8">
      <w:pPr>
        <w:rPr>
          <w:rFonts w:cs="David"/>
          <w:sz w:val="20"/>
          <w:szCs w:val="20"/>
          <w:rtl/>
        </w:rPr>
      </w:pPr>
      <w:r w:rsidRPr="00480063">
        <w:rPr>
          <w:rFonts w:cs="David" w:hint="cs"/>
          <w:sz w:val="20"/>
          <w:szCs w:val="20"/>
          <w:rtl/>
        </w:rPr>
        <w:t>עולה השאלה האם טיעון זה אינו משום מענה לחלקים מביקורתי שלי על בית המשפט, ביקורת שהשמעתי לעיל</w:t>
      </w:r>
      <w:r>
        <w:rPr>
          <w:rFonts w:cs="David" w:hint="cs"/>
          <w:sz w:val="20"/>
          <w:szCs w:val="20"/>
          <w:rtl/>
        </w:rPr>
        <w:t xml:space="preserve"> [ביחס להמנעות מלתת סעדים אפקטיביים ומהירים לעותרים]</w:t>
      </w:r>
      <w:r w:rsidRPr="00480063">
        <w:rPr>
          <w:rFonts w:cs="David" w:hint="cs"/>
          <w:sz w:val="20"/>
          <w:szCs w:val="20"/>
          <w:rtl/>
        </w:rPr>
        <w:t xml:space="preserve">. אני צריך לחשוב על כך עוד, ואולם אשמיע כאן - טנטטיבית - תשובת-נגד אחת; זו נקודה שהשמעתי כבר בעבר: </w:t>
      </w:r>
    </w:p>
    <w:p w:rsidR="005366A8" w:rsidRPr="00480063" w:rsidRDefault="005366A8" w:rsidP="005366A8">
      <w:pPr>
        <w:ind w:left="720"/>
        <w:rPr>
          <w:rFonts w:cs="David"/>
          <w:sz w:val="20"/>
          <w:szCs w:val="20"/>
          <w:rtl/>
        </w:rPr>
      </w:pPr>
      <w:r w:rsidRPr="00480063">
        <w:rPr>
          <w:rFonts w:cs="David"/>
          <w:sz w:val="20"/>
          <w:szCs w:val="20"/>
          <w:rtl/>
        </w:rPr>
        <w:t>הסעד המשפטי הוא נקודת המפגש בין המשפט לבין הפוליטיקה: הוא המנוף העיקרי שדרכו מחדיר המשפט שינוי לתוך החברה, לתוך הפוליטיקה, וב</w:t>
      </w:r>
      <w:r w:rsidRPr="00480063">
        <w:rPr>
          <w:rFonts w:cs="David" w:hint="cs"/>
          <w:sz w:val="20"/>
          <w:szCs w:val="20"/>
          <w:rtl/>
        </w:rPr>
        <w:t>ה בעת</w:t>
      </w:r>
      <w:r w:rsidRPr="00480063">
        <w:rPr>
          <w:rFonts w:cs="David"/>
          <w:sz w:val="20"/>
          <w:szCs w:val="20"/>
          <w:rtl/>
        </w:rPr>
        <w:t xml:space="preserve">, הוא השילוב בין "הראוי משפטית" לבין "מה שאינו בלתי אפשרי פוליטית" בעיני בית המשפט. </w:t>
      </w:r>
      <w:r w:rsidRPr="000D6166">
        <w:rPr>
          <w:rFonts w:cs="David"/>
          <w:sz w:val="20"/>
          <w:szCs w:val="20"/>
          <w:highlight w:val="yellow"/>
          <w:rtl/>
        </w:rPr>
        <w:t>והנה</w:t>
      </w:r>
      <w:r w:rsidRPr="000D6166">
        <w:rPr>
          <w:rFonts w:cs="David" w:hint="cs"/>
          <w:sz w:val="20"/>
          <w:szCs w:val="20"/>
          <w:highlight w:val="yellow"/>
          <w:rtl/>
        </w:rPr>
        <w:t xml:space="preserve"> </w:t>
      </w:r>
      <w:r w:rsidRPr="000D6166">
        <w:rPr>
          <w:rFonts w:cs="David"/>
          <w:sz w:val="20"/>
          <w:szCs w:val="20"/>
          <w:highlight w:val="yellow"/>
          <w:rtl/>
        </w:rPr>
        <w:t xml:space="preserve">עתירות ההפליה </w:t>
      </w:r>
      <w:r w:rsidRPr="000D6166">
        <w:rPr>
          <w:rFonts w:cs="David" w:hint="cs"/>
          <w:sz w:val="20"/>
          <w:szCs w:val="20"/>
          <w:highlight w:val="yellow"/>
          <w:rtl/>
        </w:rPr>
        <w:t>שהצגתי לעיל</w:t>
      </w:r>
      <w:r w:rsidRPr="000D6166">
        <w:rPr>
          <w:rFonts w:cs="David"/>
          <w:sz w:val="20"/>
          <w:szCs w:val="20"/>
          <w:highlight w:val="yellow"/>
          <w:rtl/>
        </w:rPr>
        <w:t xml:space="preserve"> הן בין חלקיו הפחות אוונגרדיים של </w:t>
      </w:r>
      <w:r w:rsidRPr="000D6166">
        <w:rPr>
          <w:rFonts w:cs="David" w:hint="cs"/>
          <w:sz w:val="20"/>
          <w:szCs w:val="20"/>
          <w:highlight w:val="yellow"/>
          <w:rtl/>
        </w:rPr>
        <w:t>"</w:t>
      </w:r>
      <w:r w:rsidRPr="000D6166">
        <w:rPr>
          <w:rFonts w:cs="David"/>
          <w:sz w:val="20"/>
          <w:szCs w:val="20"/>
          <w:highlight w:val="yellow"/>
          <w:rtl/>
        </w:rPr>
        <w:t>החזון המגשר</w:t>
      </w:r>
      <w:r w:rsidRPr="000D6166">
        <w:rPr>
          <w:rFonts w:cs="David" w:hint="cs"/>
          <w:sz w:val="20"/>
          <w:szCs w:val="20"/>
          <w:highlight w:val="yellow"/>
          <w:rtl/>
        </w:rPr>
        <w:t>"</w:t>
      </w:r>
      <w:r w:rsidRPr="000D6166">
        <w:rPr>
          <w:rFonts w:cs="David"/>
          <w:sz w:val="20"/>
          <w:szCs w:val="20"/>
          <w:highlight w:val="yellow"/>
          <w:rtl/>
        </w:rPr>
        <w:t>. הן מבקשות סעד נחוץ, התואם לחלוטין את הרטוריקה הערכית של המדינה, ואינו מלווה בקשיים משפטיים של ממש</w:t>
      </w:r>
      <w:r w:rsidRPr="000D6166">
        <w:rPr>
          <w:rFonts w:cs="David" w:hint="cs"/>
          <w:sz w:val="20"/>
          <w:szCs w:val="20"/>
          <w:highlight w:val="yellow"/>
          <w:rtl/>
        </w:rPr>
        <w:t>.</w:t>
      </w:r>
      <w:r w:rsidRPr="000D6166">
        <w:rPr>
          <w:rFonts w:cs="David"/>
          <w:sz w:val="20"/>
          <w:szCs w:val="20"/>
          <w:highlight w:val="yellow"/>
          <w:rtl/>
        </w:rPr>
        <w:t xml:space="preserve"> </w:t>
      </w:r>
      <w:r w:rsidRPr="000D6166">
        <w:rPr>
          <w:rFonts w:cs="David" w:hint="cs"/>
          <w:sz w:val="20"/>
          <w:szCs w:val="20"/>
          <w:highlight w:val="yellow"/>
          <w:rtl/>
        </w:rPr>
        <w:t xml:space="preserve">אך </w:t>
      </w:r>
      <w:r w:rsidRPr="000D6166">
        <w:rPr>
          <w:rFonts w:cs="David"/>
          <w:sz w:val="20"/>
          <w:szCs w:val="20"/>
          <w:highlight w:val="yellow"/>
          <w:rtl/>
        </w:rPr>
        <w:t>הנה הן נדחות, משתהות, או מדוללות בסעדיהן</w:t>
      </w:r>
      <w:r w:rsidRPr="000D6166">
        <w:rPr>
          <w:rFonts w:cs="David" w:hint="cs"/>
          <w:sz w:val="20"/>
          <w:szCs w:val="20"/>
          <w:highlight w:val="yellow"/>
          <w:rtl/>
        </w:rPr>
        <w:t xml:space="preserve"> על ידי בית המשפט</w:t>
      </w:r>
      <w:r w:rsidRPr="00480063">
        <w:rPr>
          <w:rFonts w:cs="David"/>
          <w:sz w:val="20"/>
          <w:szCs w:val="20"/>
          <w:rtl/>
        </w:rPr>
        <w:t>.</w:t>
      </w:r>
    </w:p>
    <w:p w:rsidR="005366A8" w:rsidRDefault="005366A8" w:rsidP="005366A8">
      <w:pPr>
        <w:rPr>
          <w:sz w:val="20"/>
          <w:szCs w:val="20"/>
          <w:rtl/>
        </w:rPr>
      </w:pPr>
    </w:p>
    <w:p w:rsidR="005366A8" w:rsidRDefault="005366A8" w:rsidP="005366A8">
      <w:pPr>
        <w:rPr>
          <w:sz w:val="20"/>
          <w:szCs w:val="20"/>
          <w:rtl/>
        </w:rPr>
      </w:pPr>
      <w:r>
        <w:rPr>
          <w:rFonts w:hint="cs"/>
          <w:sz w:val="20"/>
          <w:szCs w:val="20"/>
          <w:rtl/>
        </w:rPr>
        <w:t>=-=</w:t>
      </w:r>
    </w:p>
    <w:p w:rsidR="005366A8" w:rsidRPr="00C97664" w:rsidRDefault="005366A8" w:rsidP="005366A8">
      <w:pPr>
        <w:jc w:val="center"/>
        <w:rPr>
          <w:rFonts w:ascii="Arial" w:hAnsi="Arial" w:cs="Arial"/>
          <w:b/>
          <w:bCs/>
          <w:sz w:val="22"/>
          <w:szCs w:val="22"/>
          <w:rtl/>
        </w:rPr>
      </w:pPr>
      <w:r w:rsidRPr="00C97664">
        <w:rPr>
          <w:rFonts w:ascii="Arial" w:hAnsi="Arial" w:cs="Arial"/>
          <w:b/>
          <w:bCs/>
          <w:sz w:val="22"/>
          <w:szCs w:val="22"/>
          <w:highlight w:val="yellow"/>
          <w:rtl/>
        </w:rPr>
        <w:t>נורמה כללית ונורמה מיוחדת</w:t>
      </w:r>
    </w:p>
    <w:p w:rsidR="005366A8" w:rsidRDefault="005366A8" w:rsidP="005366A8">
      <w:pPr>
        <w:rPr>
          <w:sz w:val="20"/>
          <w:szCs w:val="20"/>
          <w:rtl/>
        </w:rPr>
      </w:pPr>
    </w:p>
    <w:p w:rsidR="005366A8" w:rsidRDefault="005366A8" w:rsidP="005366A8">
      <w:pPr>
        <w:rPr>
          <w:sz w:val="20"/>
          <w:szCs w:val="20"/>
          <w:rtl/>
        </w:rPr>
      </w:pPr>
      <w:r>
        <w:rPr>
          <w:rFonts w:hint="cs"/>
          <w:sz w:val="20"/>
          <w:szCs w:val="20"/>
          <w:rtl/>
        </w:rPr>
        <w:t xml:space="preserve">דיברנו באחת הפגישות הקודמות על המתקל בין "נורמה כללית" ל"נורמה מיוחדת", נורמה ספציפית. </w:t>
      </w:r>
    </w:p>
    <w:p w:rsidR="005366A8" w:rsidRDefault="005366A8" w:rsidP="005366A8">
      <w:pPr>
        <w:rPr>
          <w:sz w:val="20"/>
          <w:szCs w:val="20"/>
          <w:rtl/>
        </w:rPr>
      </w:pPr>
    </w:p>
    <w:p w:rsidR="005366A8" w:rsidRDefault="005366A8" w:rsidP="005366A8">
      <w:pPr>
        <w:rPr>
          <w:sz w:val="20"/>
          <w:szCs w:val="20"/>
          <w:rtl/>
        </w:rPr>
      </w:pPr>
      <w:r>
        <w:rPr>
          <w:rFonts w:hint="cs"/>
          <w:sz w:val="20"/>
          <w:szCs w:val="20"/>
          <w:rtl/>
        </w:rPr>
        <w:t xml:space="preserve">פגשתם בדפי הפגישה הקודמת מתח בין </w:t>
      </w:r>
      <w:r w:rsidRPr="000D6166">
        <w:rPr>
          <w:rFonts w:hint="cs"/>
          <w:b/>
          <w:bCs/>
          <w:sz w:val="20"/>
          <w:szCs w:val="20"/>
          <w:rtl/>
        </w:rPr>
        <w:t>שתי נורמות מיוחדות</w:t>
      </w:r>
      <w:r>
        <w:rPr>
          <w:rFonts w:hint="cs"/>
          <w:sz w:val="20"/>
          <w:szCs w:val="20"/>
          <w:rtl/>
        </w:rPr>
        <w:t xml:space="preserve"> (מתח שנפתר בדרך פרשנית) – בין הוראות חוק יסוד: הממשלה לבין אלו של חוק יסוד: כבוד האדם וחירותו, ביחס למגבלות החלות על תקנות שעת חירום הפוגעות/ מגבילות את "כבוד האדם".</w:t>
      </w:r>
    </w:p>
    <w:p w:rsidR="005366A8" w:rsidRDefault="005366A8" w:rsidP="005366A8">
      <w:pPr>
        <w:rPr>
          <w:sz w:val="20"/>
          <w:szCs w:val="20"/>
          <w:rtl/>
        </w:rPr>
      </w:pPr>
    </w:p>
    <w:p w:rsidR="005366A8" w:rsidRDefault="005366A8" w:rsidP="005366A8">
      <w:pPr>
        <w:ind w:right="-142"/>
        <w:rPr>
          <w:sz w:val="20"/>
          <w:szCs w:val="20"/>
          <w:rtl/>
        </w:rPr>
      </w:pPr>
      <w:r>
        <w:rPr>
          <w:rFonts w:hint="cs"/>
          <w:sz w:val="20"/>
          <w:szCs w:val="20"/>
          <w:rtl/>
        </w:rPr>
        <w:t>פגשתם טענה למתקל בין נורמה כללית ונורמה מיוחדת ב</w:t>
      </w:r>
      <w:r w:rsidRPr="00C97664">
        <w:rPr>
          <w:rFonts w:hint="cs"/>
          <w:b/>
          <w:bCs/>
          <w:sz w:val="20"/>
          <w:szCs w:val="20"/>
          <w:rtl/>
        </w:rPr>
        <w:t>פלונית</w:t>
      </w:r>
      <w:r>
        <w:rPr>
          <w:rFonts w:hint="cs"/>
          <w:b/>
          <w:bCs/>
          <w:sz w:val="20"/>
          <w:szCs w:val="20"/>
          <w:rtl/>
        </w:rPr>
        <w:t xml:space="preserve"> נ' בית הדין למשמעת</w:t>
      </w:r>
      <w:r>
        <w:rPr>
          <w:rFonts w:hint="cs"/>
          <w:sz w:val="20"/>
          <w:szCs w:val="20"/>
          <w:rtl/>
        </w:rPr>
        <w:t xml:space="preserve"> בעת הקריאה להיום. מתקל בין שני חוקי יסוד. השופטת דורנר טוענת שמופיע כאן מתח בין נורמה כללית ונורמה מיוחדת, ובכך המפתח לתשובה המשפטית (ראו להלן: עמדתה אינה מתקבלת על ידי שני השופטים האחרים). </w:t>
      </w:r>
    </w:p>
    <w:p w:rsidR="005366A8" w:rsidRDefault="005366A8" w:rsidP="005366A8">
      <w:pPr>
        <w:rPr>
          <w:sz w:val="20"/>
          <w:szCs w:val="20"/>
          <w:rtl/>
        </w:rPr>
      </w:pPr>
    </w:p>
    <w:p w:rsidR="005366A8" w:rsidRDefault="005366A8" w:rsidP="005366A8">
      <w:pPr>
        <w:rPr>
          <w:sz w:val="20"/>
          <w:szCs w:val="20"/>
          <w:rtl/>
        </w:rPr>
      </w:pPr>
      <w:r>
        <w:rPr>
          <w:rFonts w:hint="cs"/>
          <w:sz w:val="20"/>
          <w:szCs w:val="20"/>
          <w:rtl/>
        </w:rPr>
        <w:t xml:space="preserve">הדגמה למתקל בין נורמה כללית ונורמה מיוחדת </w:t>
      </w:r>
      <w:r>
        <w:rPr>
          <w:sz w:val="20"/>
          <w:szCs w:val="20"/>
          <w:rtl/>
        </w:rPr>
        <w:t>–</w:t>
      </w:r>
      <w:r>
        <w:rPr>
          <w:rFonts w:hint="cs"/>
          <w:sz w:val="20"/>
          <w:szCs w:val="20"/>
          <w:rtl/>
        </w:rPr>
        <w:t xml:space="preserve"> במישור של שני חוקים </w:t>
      </w:r>
      <w:r>
        <w:rPr>
          <w:sz w:val="20"/>
          <w:szCs w:val="20"/>
          <w:rtl/>
        </w:rPr>
        <w:t>–</w:t>
      </w:r>
      <w:r>
        <w:rPr>
          <w:rFonts w:hint="cs"/>
          <w:sz w:val="20"/>
          <w:szCs w:val="20"/>
          <w:rtl/>
        </w:rPr>
        <w:t xml:space="preserve"> ראו את הדוגמא הבאה:</w:t>
      </w:r>
    </w:p>
    <w:p w:rsidR="005366A8" w:rsidRPr="00C97664" w:rsidRDefault="005366A8" w:rsidP="005366A8">
      <w:pPr>
        <w:ind w:left="720"/>
        <w:rPr>
          <w:rStyle w:val="default"/>
          <w:rFonts w:cs="David"/>
          <w:szCs w:val="20"/>
        </w:rPr>
      </w:pPr>
      <w:r w:rsidRPr="00C97664">
        <w:rPr>
          <w:rFonts w:ascii="Arial" w:hAnsi="Arial" w:cs="Arial"/>
          <w:b/>
          <w:bCs/>
          <w:color w:val="1F497D"/>
          <w:sz w:val="18"/>
          <w:szCs w:val="18"/>
          <w:rtl/>
        </w:rPr>
        <w:t>ס' 300(א) לחוק העונשין</w:t>
      </w:r>
      <w:r w:rsidRPr="00C97664">
        <w:rPr>
          <w:rFonts w:ascii="Calibri" w:hAnsi="Calibri"/>
          <w:b/>
          <w:bCs/>
          <w:color w:val="1F497D"/>
          <w:sz w:val="18"/>
          <w:szCs w:val="18"/>
        </w:rPr>
        <w:t>:</w:t>
      </w:r>
      <w:r w:rsidRPr="00C97664">
        <w:rPr>
          <w:rFonts w:ascii="Calibri" w:hAnsi="Calibri"/>
          <w:color w:val="1F497D"/>
          <w:sz w:val="18"/>
          <w:szCs w:val="18"/>
        </w:rPr>
        <w:t xml:space="preserve"> </w:t>
      </w:r>
      <w:r>
        <w:rPr>
          <w:rStyle w:val="default"/>
          <w:rFonts w:cs="FrankRuehl" w:hint="cs"/>
          <w:sz w:val="26"/>
          <w:rtl/>
        </w:rPr>
        <w:t xml:space="preserve"> </w:t>
      </w:r>
      <w:r>
        <w:rPr>
          <w:rStyle w:val="default"/>
          <w:rFonts w:cs="David" w:hint="cs"/>
          <w:szCs w:val="20"/>
          <w:rtl/>
        </w:rPr>
        <w:t>"</w:t>
      </w:r>
      <w:r w:rsidRPr="00C97664">
        <w:rPr>
          <w:rStyle w:val="default"/>
          <w:rFonts w:cs="David" w:hint="cs"/>
          <w:szCs w:val="20"/>
          <w:rtl/>
        </w:rPr>
        <w:t>העושה אחת מאלה יאשם ברצח ודינו - מאסר עולם ועונש זה בלבד:</w:t>
      </w:r>
      <w:r>
        <w:rPr>
          <w:rStyle w:val="default"/>
          <w:rFonts w:cs="David" w:hint="cs"/>
          <w:szCs w:val="20"/>
          <w:rtl/>
        </w:rPr>
        <w:t xml:space="preserve"> ...".</w:t>
      </w:r>
    </w:p>
    <w:p w:rsidR="005366A8" w:rsidRDefault="005366A8" w:rsidP="005366A8">
      <w:pPr>
        <w:ind w:left="720"/>
        <w:rPr>
          <w:rFonts w:ascii="Arial" w:hAnsi="Arial" w:cs="Arial"/>
          <w:color w:val="1F497D"/>
          <w:sz w:val="22"/>
          <w:szCs w:val="22"/>
          <w:rtl/>
        </w:rPr>
      </w:pPr>
      <w:r w:rsidRPr="00C97664">
        <w:rPr>
          <w:rFonts w:ascii="Arial" w:hAnsi="Arial" w:cs="Arial"/>
          <w:b/>
          <w:bCs/>
          <w:color w:val="1F497D"/>
          <w:sz w:val="18"/>
          <w:szCs w:val="18"/>
          <w:rtl/>
        </w:rPr>
        <w:t>ס' 25(ב) לחוק הנוער (שפיטה, ענישה ודרכי טיפול), התשל"א-1971</w:t>
      </w:r>
      <w:r w:rsidRPr="00C97664">
        <w:rPr>
          <w:rFonts w:ascii="Arial" w:hAnsi="Arial" w:cs="Arial"/>
          <w:color w:val="1F497D"/>
          <w:sz w:val="18"/>
          <w:szCs w:val="18"/>
          <w:rtl/>
        </w:rPr>
        <w:t xml:space="preserve">: </w:t>
      </w:r>
      <w:r>
        <w:rPr>
          <w:rFonts w:cs="David" w:hint="cs"/>
          <w:sz w:val="20"/>
          <w:szCs w:val="20"/>
          <w:rtl/>
        </w:rPr>
        <w:t>"</w:t>
      </w:r>
      <w:r w:rsidRPr="00C97664">
        <w:rPr>
          <w:rFonts w:cs="David" w:hint="cs"/>
          <w:sz w:val="20"/>
          <w:szCs w:val="20"/>
          <w:rtl/>
        </w:rPr>
        <w:t>אדם שהיה קטין ביום ביצוע העבירה, לא יוטל עליו עונש מוות, ועל אף האמור בכל דין אין חובה להטיל עליו מאסר עולם, מאסר חובה או עונש מינימום</w:t>
      </w:r>
      <w:r>
        <w:rPr>
          <w:rFonts w:cs="David" w:hint="cs"/>
          <w:sz w:val="20"/>
          <w:szCs w:val="20"/>
          <w:rtl/>
        </w:rPr>
        <w:t>"</w:t>
      </w:r>
      <w:r w:rsidRPr="00C97664">
        <w:rPr>
          <w:rFonts w:ascii="Calibri" w:hAnsi="Calibri" w:cs="David"/>
          <w:sz w:val="20"/>
          <w:szCs w:val="20"/>
        </w:rPr>
        <w:t>.</w:t>
      </w:r>
    </w:p>
    <w:p w:rsidR="005366A8" w:rsidRPr="001C6701" w:rsidRDefault="005366A8" w:rsidP="005366A8">
      <w:pPr>
        <w:spacing w:after="120"/>
        <w:jc w:val="right"/>
        <w:rPr>
          <w:sz w:val="22"/>
          <w:szCs w:val="22"/>
          <w:rtl/>
        </w:rPr>
      </w:pPr>
      <w:r w:rsidRPr="007F6E4F">
        <w:rPr>
          <w:rFonts w:hint="cs"/>
          <w:b/>
          <w:bCs/>
          <w:sz w:val="22"/>
          <w:szCs w:val="22"/>
          <w:rtl/>
        </w:rPr>
        <w:t>משפט ציבורי</w:t>
      </w:r>
      <w:r>
        <w:rPr>
          <w:rFonts w:hint="cs"/>
          <w:sz w:val="22"/>
          <w:szCs w:val="22"/>
          <w:rtl/>
        </w:rPr>
        <w:t xml:space="preserve">, </w:t>
      </w:r>
      <w:r w:rsidRPr="00C4131E">
        <w:rPr>
          <w:rFonts w:hint="cs"/>
          <w:i/>
          <w:iCs/>
          <w:sz w:val="22"/>
          <w:szCs w:val="22"/>
          <w:rtl/>
        </w:rPr>
        <w:t>תשע</w:t>
      </w:r>
      <w:r>
        <w:rPr>
          <w:rFonts w:hint="cs"/>
          <w:i/>
          <w:iCs/>
          <w:sz w:val="22"/>
          <w:szCs w:val="22"/>
          <w:rtl/>
        </w:rPr>
        <w:t>"</w:t>
      </w:r>
      <w:r>
        <w:rPr>
          <w:rFonts w:hint="cs"/>
          <w:sz w:val="22"/>
          <w:szCs w:val="22"/>
          <w:rtl/>
        </w:rPr>
        <w:t xml:space="preserve">ה, </w:t>
      </w:r>
      <w:r w:rsidRPr="007F6E4F">
        <w:rPr>
          <w:rFonts w:hint="cs"/>
          <w:b/>
          <w:bCs/>
          <w:sz w:val="22"/>
          <w:szCs w:val="22"/>
          <w:rtl/>
        </w:rPr>
        <w:t>סמסטר א',</w:t>
      </w:r>
      <w:r>
        <w:rPr>
          <w:rFonts w:hint="cs"/>
          <w:sz w:val="22"/>
          <w:szCs w:val="22"/>
          <w:rtl/>
        </w:rPr>
        <w:t xml:space="preserve"> ד"ר אילן סבן, דצמבר 2014, </w:t>
      </w:r>
      <w:r w:rsidRPr="005366A8">
        <w:rPr>
          <w:rFonts w:hint="cs"/>
          <w:b/>
          <w:bCs/>
          <w:i/>
          <w:iCs/>
          <w:sz w:val="22"/>
          <w:szCs w:val="22"/>
          <w:highlight w:val="magenta"/>
          <w:u w:val="single"/>
          <w:rtl/>
        </w:rPr>
        <w:t>פגישה 12</w:t>
      </w:r>
    </w:p>
    <w:p w:rsidR="005366A8" w:rsidRPr="00A34D93" w:rsidRDefault="005366A8" w:rsidP="005366A8">
      <w:pPr>
        <w:pStyle w:val="T-body"/>
        <w:spacing w:after="240" w:line="240" w:lineRule="auto"/>
        <w:jc w:val="center"/>
        <w:rPr>
          <w:rFonts w:ascii="Arial" w:hAnsi="Arial" w:cs="Guttman-Soncino"/>
          <w:b/>
          <w:bCs/>
          <w:sz w:val="36"/>
          <w:szCs w:val="36"/>
          <w:u w:val="single"/>
          <w:rtl/>
        </w:rPr>
      </w:pPr>
      <w:r w:rsidRPr="00A34D93">
        <w:rPr>
          <w:rFonts w:ascii="Arial" w:hAnsi="Arial" w:cs="Guttman-Soncino" w:hint="cs"/>
          <w:b/>
          <w:bCs/>
          <w:sz w:val="36"/>
          <w:szCs w:val="36"/>
          <w:highlight w:val="yellow"/>
          <w:u w:val="single"/>
          <w:rtl/>
        </w:rPr>
        <w:t xml:space="preserve">החוקה הפורמאלית </w:t>
      </w:r>
      <w:r w:rsidRPr="00A34D93">
        <w:rPr>
          <w:rFonts w:ascii="Arial" w:hAnsi="Arial" w:cs="Guttman-Soncino"/>
          <w:b/>
          <w:bCs/>
          <w:sz w:val="36"/>
          <w:szCs w:val="36"/>
          <w:highlight w:val="yellow"/>
          <w:u w:val="single"/>
          <w:rtl/>
        </w:rPr>
        <w:t>–</w:t>
      </w:r>
      <w:r w:rsidRPr="00A34D93">
        <w:rPr>
          <w:rFonts w:ascii="Arial" w:hAnsi="Arial" w:cs="Guttman-Soncino" w:hint="cs"/>
          <w:b/>
          <w:bCs/>
          <w:sz w:val="36"/>
          <w:szCs w:val="36"/>
          <w:highlight w:val="yellow"/>
          <w:u w:val="single"/>
          <w:rtl/>
        </w:rPr>
        <w:t xml:space="preserve"> המשך</w:t>
      </w:r>
    </w:p>
    <w:p w:rsidR="005366A8" w:rsidRPr="006D7F09" w:rsidRDefault="005366A8" w:rsidP="005366A8">
      <w:pPr>
        <w:jc w:val="center"/>
        <w:rPr>
          <w:rFonts w:ascii="Arial" w:hAnsi="Arial" w:cs="Arial"/>
          <w:b/>
          <w:bCs/>
          <w:sz w:val="28"/>
          <w:szCs w:val="28"/>
          <w:highlight w:val="yellow"/>
          <w:u w:val="single"/>
          <w:rtl/>
        </w:rPr>
      </w:pPr>
      <w:r w:rsidRPr="006D7F09">
        <w:rPr>
          <w:rFonts w:ascii="Arial" w:hAnsi="Arial" w:cs="Arial"/>
          <w:b/>
          <w:bCs/>
          <w:sz w:val="28"/>
          <w:szCs w:val="28"/>
          <w:highlight w:val="yellow"/>
          <w:u w:val="single"/>
          <w:rtl/>
        </w:rPr>
        <w:t>מתקל דינים</w:t>
      </w:r>
    </w:p>
    <w:p w:rsidR="005366A8" w:rsidRPr="006D29F7" w:rsidRDefault="005366A8" w:rsidP="005366A8">
      <w:pPr>
        <w:jc w:val="center"/>
        <w:rPr>
          <w:rFonts w:ascii="Arial" w:hAnsi="Arial" w:cs="Arial"/>
          <w:b/>
          <w:bCs/>
          <w:sz w:val="22"/>
          <w:szCs w:val="22"/>
          <w:highlight w:val="yellow"/>
          <w:rtl/>
        </w:rPr>
      </w:pPr>
    </w:p>
    <w:p w:rsidR="005366A8" w:rsidRPr="00AC37F3" w:rsidRDefault="005366A8" w:rsidP="005366A8">
      <w:pPr>
        <w:ind w:left="720"/>
        <w:rPr>
          <w:sz w:val="22"/>
          <w:szCs w:val="22"/>
          <w:rtl/>
        </w:rPr>
      </w:pPr>
      <w:r w:rsidRPr="00AC37F3">
        <w:rPr>
          <w:rFonts w:hint="cs"/>
          <w:sz w:val="22"/>
          <w:szCs w:val="22"/>
          <w:rtl/>
        </w:rPr>
        <w:t>דיון בכיתה על בסיס דפי הפגישה הקודמת והדפים שלהלן.</w:t>
      </w:r>
    </w:p>
    <w:p w:rsidR="005366A8" w:rsidRPr="00AC37F3" w:rsidRDefault="005366A8" w:rsidP="005366A8">
      <w:pPr>
        <w:rPr>
          <w:sz w:val="22"/>
          <w:szCs w:val="22"/>
          <w:rtl/>
        </w:rPr>
      </w:pPr>
    </w:p>
    <w:p w:rsidR="005366A8" w:rsidRPr="00AC37F3" w:rsidRDefault="005366A8" w:rsidP="005366A8">
      <w:pPr>
        <w:spacing w:after="60"/>
        <w:rPr>
          <w:sz w:val="22"/>
          <w:szCs w:val="22"/>
          <w:rtl/>
        </w:rPr>
      </w:pPr>
      <w:r w:rsidRPr="00AC37F3">
        <w:rPr>
          <w:rFonts w:hint="cs"/>
          <w:sz w:val="22"/>
          <w:szCs w:val="22"/>
          <w:rtl/>
        </w:rPr>
        <w:t xml:space="preserve">משפט ציבורי עוסק בעיקר בסמכויות שלטוניות ובאופן הפעלתן. משמע, סמכות שלטונית אחת המופעלת כלפי אחרת, ובעיקר סמכות שלטונית המופנית כלפינו, בני החברה. </w:t>
      </w:r>
    </w:p>
    <w:p w:rsidR="005366A8" w:rsidRPr="00AC37F3" w:rsidRDefault="005366A8" w:rsidP="005366A8">
      <w:pPr>
        <w:spacing w:after="60"/>
        <w:rPr>
          <w:b/>
          <w:bCs/>
          <w:sz w:val="22"/>
          <w:szCs w:val="22"/>
          <w:rtl/>
        </w:rPr>
      </w:pPr>
      <w:r w:rsidRPr="00AC37F3">
        <w:rPr>
          <w:rFonts w:hint="cs"/>
          <w:sz w:val="22"/>
          <w:szCs w:val="22"/>
          <w:rtl/>
        </w:rPr>
        <w:t xml:space="preserve">אנחנו שואלים: </w:t>
      </w:r>
      <w:r w:rsidRPr="00AC37F3">
        <w:rPr>
          <w:rFonts w:hint="cs"/>
          <w:b/>
          <w:bCs/>
          <w:sz w:val="22"/>
          <w:szCs w:val="22"/>
          <w:rtl/>
        </w:rPr>
        <w:t xml:space="preserve">האם הופעלה סמכות תקפה? והאם הופעלה באופן תקף </w:t>
      </w:r>
      <w:r w:rsidRPr="00AC37F3">
        <w:rPr>
          <w:b/>
          <w:bCs/>
          <w:sz w:val="22"/>
          <w:szCs w:val="22"/>
          <w:rtl/>
        </w:rPr>
        <w:t>–</w:t>
      </w:r>
      <w:r w:rsidRPr="00AC37F3">
        <w:rPr>
          <w:rFonts w:hint="cs"/>
          <w:b/>
          <w:bCs/>
          <w:sz w:val="22"/>
          <w:szCs w:val="22"/>
          <w:rtl/>
        </w:rPr>
        <w:t xml:space="preserve"> כלומר מתוך ציות לחובות החלות על הפעלתה?</w:t>
      </w:r>
    </w:p>
    <w:p w:rsidR="005366A8" w:rsidRPr="00AC37F3" w:rsidRDefault="005366A8" w:rsidP="005366A8">
      <w:pPr>
        <w:spacing w:after="60"/>
        <w:rPr>
          <w:sz w:val="22"/>
          <w:szCs w:val="22"/>
          <w:rtl/>
        </w:rPr>
      </w:pPr>
      <w:r w:rsidRPr="00AC37F3">
        <w:rPr>
          <w:rFonts w:hint="cs"/>
          <w:sz w:val="22"/>
          <w:szCs w:val="22"/>
          <w:rtl/>
        </w:rPr>
        <w:t>היכן מצויה שאלת תקפוּת הסמכות ושאלת החובות/כללים המלווים את הפעלתה? בנורמות המשפטיות, כמובן.</w:t>
      </w:r>
    </w:p>
    <w:p w:rsidR="005366A8" w:rsidRPr="00AC37F3" w:rsidRDefault="005366A8" w:rsidP="005366A8">
      <w:pPr>
        <w:rPr>
          <w:sz w:val="22"/>
          <w:szCs w:val="22"/>
          <w:rtl/>
        </w:rPr>
      </w:pPr>
      <w:r w:rsidRPr="00AC37F3">
        <w:rPr>
          <w:rFonts w:hint="cs"/>
          <w:sz w:val="22"/>
          <w:szCs w:val="22"/>
          <w:rtl/>
        </w:rPr>
        <w:t>והנה הנורמות המשפטיות הללו מגוונות מבחינת מעמדן בפירמידה הנורמטיבית, ואנחנו רגישים לשאלה איזו מהנורמות הנתקלות האחת בשנייה היא גבוהה יותר, שהרי במקרה של "מתקל" (התנגשות בין נורמות) הנורמה הנמוכה נסוגה בפני הנורמה הגבוהה.</w:t>
      </w:r>
    </w:p>
    <w:p w:rsidR="005366A8" w:rsidRPr="00AC37F3" w:rsidRDefault="005366A8" w:rsidP="005366A8">
      <w:pPr>
        <w:rPr>
          <w:sz w:val="22"/>
          <w:szCs w:val="22"/>
          <w:rtl/>
        </w:rPr>
      </w:pPr>
    </w:p>
    <w:p w:rsidR="005366A8" w:rsidRPr="00AC37F3" w:rsidRDefault="005366A8" w:rsidP="005366A8">
      <w:pPr>
        <w:spacing w:after="60"/>
        <w:rPr>
          <w:sz w:val="22"/>
          <w:szCs w:val="22"/>
          <w:rtl/>
        </w:rPr>
      </w:pPr>
      <w:r w:rsidRPr="00AC37F3">
        <w:rPr>
          <w:rFonts w:hint="cs"/>
          <w:sz w:val="22"/>
          <w:szCs w:val="22"/>
          <w:rtl/>
        </w:rPr>
        <w:t>ואולם שימו לב לשניים:</w:t>
      </w:r>
    </w:p>
    <w:p w:rsidR="005366A8" w:rsidRPr="00AC37F3" w:rsidRDefault="005366A8" w:rsidP="005366A8">
      <w:pPr>
        <w:spacing w:after="60"/>
        <w:rPr>
          <w:sz w:val="22"/>
          <w:szCs w:val="22"/>
          <w:rtl/>
        </w:rPr>
      </w:pPr>
      <w:r w:rsidRPr="00AC37F3">
        <w:rPr>
          <w:rFonts w:hint="cs"/>
          <w:sz w:val="22"/>
          <w:szCs w:val="22"/>
          <w:rtl/>
        </w:rPr>
        <w:t xml:space="preserve">^קיומו של מתקל מזוהה רק לאחר </w:t>
      </w:r>
      <w:r w:rsidRPr="00AC37F3">
        <w:rPr>
          <w:rFonts w:hint="cs"/>
          <w:b/>
          <w:bCs/>
          <w:sz w:val="22"/>
          <w:szCs w:val="22"/>
          <w:rtl/>
        </w:rPr>
        <w:t xml:space="preserve">פרשנותן </w:t>
      </w:r>
      <w:r w:rsidRPr="00AC37F3">
        <w:rPr>
          <w:rFonts w:hint="cs"/>
          <w:sz w:val="22"/>
          <w:szCs w:val="22"/>
          <w:rtl/>
        </w:rPr>
        <w:t xml:space="preserve">של הנורמות שיש ביניהן מתח. לעיתים הפרשנות מגלה </w:t>
      </w:r>
      <w:r w:rsidRPr="00AC37F3">
        <w:rPr>
          <w:rFonts w:hint="cs"/>
          <w:i/>
          <w:iCs/>
          <w:sz w:val="22"/>
          <w:szCs w:val="22"/>
          <w:rtl/>
        </w:rPr>
        <w:t>שאין מתקל</w:t>
      </w:r>
      <w:r w:rsidRPr="00AC37F3">
        <w:rPr>
          <w:rFonts w:hint="cs"/>
          <w:sz w:val="22"/>
          <w:szCs w:val="22"/>
          <w:rtl/>
        </w:rPr>
        <w:t xml:space="preserve"> (ראו להלן).</w:t>
      </w:r>
    </w:p>
    <w:p w:rsidR="005366A8" w:rsidRDefault="005366A8" w:rsidP="005366A8">
      <w:pPr>
        <w:spacing w:after="60"/>
        <w:rPr>
          <w:sz w:val="22"/>
          <w:szCs w:val="22"/>
          <w:rtl/>
        </w:rPr>
      </w:pPr>
      <w:r w:rsidRPr="00AC37F3">
        <w:rPr>
          <w:rFonts w:hint="cs"/>
          <w:sz w:val="22"/>
          <w:szCs w:val="22"/>
          <w:rtl/>
        </w:rPr>
        <w:t>^ועוד נקודה: לעיתים תכופות</w:t>
      </w:r>
      <w:r>
        <w:rPr>
          <w:rFonts w:hint="cs"/>
          <w:sz w:val="22"/>
          <w:szCs w:val="22"/>
          <w:rtl/>
        </w:rPr>
        <w:t xml:space="preserve"> מוגשות עתירות שבהן</w:t>
      </w:r>
      <w:r w:rsidRPr="00AC37F3">
        <w:rPr>
          <w:rFonts w:hint="cs"/>
          <w:sz w:val="22"/>
          <w:szCs w:val="22"/>
          <w:rtl/>
        </w:rPr>
        <w:t xml:space="preserve"> </w:t>
      </w:r>
      <w:r w:rsidRPr="00AC37F3">
        <w:rPr>
          <w:rFonts w:hint="cs"/>
          <w:i/>
          <w:iCs/>
          <w:sz w:val="22"/>
          <w:szCs w:val="22"/>
          <w:rtl/>
        </w:rPr>
        <w:t>נטען</w:t>
      </w:r>
      <w:r w:rsidRPr="00AC37F3">
        <w:rPr>
          <w:rFonts w:hint="cs"/>
          <w:sz w:val="22"/>
          <w:szCs w:val="22"/>
          <w:rtl/>
        </w:rPr>
        <w:t xml:space="preserve"> כי מופיע מתקל, ואולם הביקורת השיפוטית </w:t>
      </w:r>
      <w:r w:rsidRPr="00AC37F3">
        <w:rPr>
          <w:sz w:val="22"/>
          <w:szCs w:val="22"/>
          <w:rtl/>
        </w:rPr>
        <w:t>–</w:t>
      </w:r>
      <w:r w:rsidRPr="00AC37F3">
        <w:rPr>
          <w:rFonts w:hint="cs"/>
          <w:sz w:val="22"/>
          <w:szCs w:val="22"/>
          <w:rtl/>
        </w:rPr>
        <w:t xml:space="preserve"> לאחר בחינת הדברים </w:t>
      </w:r>
      <w:r w:rsidRPr="00AC37F3">
        <w:rPr>
          <w:sz w:val="22"/>
          <w:szCs w:val="22"/>
          <w:rtl/>
        </w:rPr>
        <w:t>–</w:t>
      </w:r>
      <w:r w:rsidRPr="00AC37F3">
        <w:rPr>
          <w:rFonts w:hint="cs"/>
          <w:sz w:val="22"/>
          <w:szCs w:val="22"/>
          <w:rtl/>
        </w:rPr>
        <w:t xml:space="preserve"> </w:t>
      </w:r>
      <w:r>
        <w:rPr>
          <w:rFonts w:hint="cs"/>
          <w:sz w:val="22"/>
          <w:szCs w:val="22"/>
          <w:rtl/>
        </w:rPr>
        <w:t xml:space="preserve">דוחה את טענת המתקל, </w:t>
      </w:r>
      <w:r w:rsidRPr="00AC37F3">
        <w:rPr>
          <w:rFonts w:hint="cs"/>
          <w:sz w:val="22"/>
          <w:szCs w:val="22"/>
          <w:rtl/>
        </w:rPr>
        <w:t xml:space="preserve">קובעת </w:t>
      </w:r>
      <w:r w:rsidRPr="00AC37F3">
        <w:rPr>
          <w:rFonts w:hint="cs"/>
          <w:i/>
          <w:iCs/>
          <w:sz w:val="22"/>
          <w:szCs w:val="22"/>
          <w:rtl/>
        </w:rPr>
        <w:t>שאין מתקל</w:t>
      </w:r>
      <w:r>
        <w:rPr>
          <w:rFonts w:hint="cs"/>
          <w:sz w:val="22"/>
          <w:szCs w:val="22"/>
          <w:rtl/>
        </w:rPr>
        <w:t xml:space="preserve">. </w:t>
      </w:r>
    </w:p>
    <w:p w:rsidR="005366A8" w:rsidRDefault="005366A8" w:rsidP="005366A8">
      <w:pPr>
        <w:spacing w:after="60"/>
        <w:ind w:left="720"/>
        <w:rPr>
          <w:sz w:val="22"/>
          <w:szCs w:val="22"/>
          <w:rtl/>
        </w:rPr>
      </w:pPr>
      <w:r>
        <w:rPr>
          <w:rFonts w:hint="cs"/>
          <w:sz w:val="22"/>
          <w:szCs w:val="22"/>
          <w:rtl/>
        </w:rPr>
        <w:t xml:space="preserve">זה קורה למשל, כאשר נטען בעתירה </w:t>
      </w:r>
      <w:r w:rsidRPr="00AC37F3">
        <w:rPr>
          <w:rFonts w:hint="cs"/>
          <w:sz w:val="22"/>
          <w:szCs w:val="22"/>
          <w:rtl/>
        </w:rPr>
        <w:t xml:space="preserve">כי הרשות השלטונית פעלה </w:t>
      </w:r>
      <w:r>
        <w:rPr>
          <w:rFonts w:hint="cs"/>
          <w:b/>
          <w:bCs/>
          <w:sz w:val="22"/>
          <w:szCs w:val="22"/>
          <w:rtl/>
        </w:rPr>
        <w:t xml:space="preserve">תוך </w:t>
      </w:r>
      <w:r w:rsidRPr="00AC37F3">
        <w:rPr>
          <w:rFonts w:hint="cs"/>
          <w:b/>
          <w:bCs/>
          <w:sz w:val="22"/>
          <w:szCs w:val="22"/>
          <w:rtl/>
        </w:rPr>
        <w:t>הפרה של חובות החלות עליה</w:t>
      </w:r>
      <w:r w:rsidRPr="00AC37F3">
        <w:rPr>
          <w:rFonts w:hint="cs"/>
          <w:sz w:val="22"/>
          <w:szCs w:val="22"/>
          <w:rtl/>
        </w:rPr>
        <w:t xml:space="preserve"> </w:t>
      </w:r>
      <w:r>
        <w:rPr>
          <w:rFonts w:hint="cs"/>
          <w:sz w:val="22"/>
          <w:szCs w:val="22"/>
          <w:rtl/>
        </w:rPr>
        <w:t>[</w:t>
      </w:r>
      <w:r w:rsidRPr="00AC37F3">
        <w:rPr>
          <w:rFonts w:hint="cs"/>
          <w:sz w:val="22"/>
          <w:szCs w:val="22"/>
          <w:rtl/>
        </w:rPr>
        <w:t xml:space="preserve">למשל, </w:t>
      </w:r>
      <w:r>
        <w:rPr>
          <w:rFonts w:hint="cs"/>
          <w:sz w:val="22"/>
          <w:szCs w:val="22"/>
          <w:rtl/>
        </w:rPr>
        <w:t xml:space="preserve">כי שללה רישיון עיסוק מאדם תוך הפרה של חובות החלות עליה, דוגמת חובת המידתיות או חובת הסבירות או חובת ההגינות (למשל, שלא העניקה זכות טיעון/ שימוע לפני ביטול הרישיון)], ואילו בית המשפט </w:t>
      </w:r>
      <w:r w:rsidRPr="005608E2">
        <w:rPr>
          <w:rFonts w:hint="cs"/>
          <w:b/>
          <w:bCs/>
          <w:sz w:val="22"/>
          <w:szCs w:val="22"/>
          <w:rtl/>
        </w:rPr>
        <w:t xml:space="preserve">לא מוצא שהחובות הנטענות </w:t>
      </w:r>
      <w:r>
        <w:rPr>
          <w:rFonts w:hint="cs"/>
          <w:b/>
          <w:bCs/>
          <w:sz w:val="22"/>
          <w:szCs w:val="22"/>
          <w:rtl/>
        </w:rPr>
        <w:t xml:space="preserve">אכן </w:t>
      </w:r>
      <w:r w:rsidRPr="005608E2">
        <w:rPr>
          <w:rFonts w:hint="cs"/>
          <w:b/>
          <w:bCs/>
          <w:sz w:val="22"/>
          <w:szCs w:val="22"/>
          <w:rtl/>
        </w:rPr>
        <w:t>הופרו</w:t>
      </w:r>
      <w:r>
        <w:rPr>
          <w:rFonts w:hint="cs"/>
          <w:sz w:val="22"/>
          <w:szCs w:val="22"/>
          <w:rtl/>
        </w:rPr>
        <w:t xml:space="preserve">. </w:t>
      </w:r>
    </w:p>
    <w:p w:rsidR="005366A8" w:rsidRDefault="005366A8" w:rsidP="005366A8">
      <w:pPr>
        <w:spacing w:after="60"/>
        <w:ind w:left="720"/>
        <w:rPr>
          <w:sz w:val="22"/>
          <w:szCs w:val="22"/>
          <w:rtl/>
        </w:rPr>
      </w:pPr>
      <w:r>
        <w:rPr>
          <w:rFonts w:hint="cs"/>
          <w:sz w:val="22"/>
          <w:szCs w:val="22"/>
          <w:rtl/>
        </w:rPr>
        <w:t xml:space="preserve">מטבע הדברים, אנחנו לומדים יותר </w:t>
      </w:r>
      <w:r w:rsidRPr="0071103F">
        <w:rPr>
          <w:rFonts w:hint="cs"/>
          <w:i/>
          <w:iCs/>
          <w:sz w:val="22"/>
          <w:szCs w:val="22"/>
          <w:rtl/>
        </w:rPr>
        <w:t>פסיקה שהיא מתערבת</w:t>
      </w:r>
      <w:r>
        <w:rPr>
          <w:rFonts w:hint="cs"/>
          <w:sz w:val="22"/>
          <w:szCs w:val="22"/>
          <w:rtl/>
        </w:rPr>
        <w:t xml:space="preserve"> </w:t>
      </w:r>
      <w:r>
        <w:rPr>
          <w:sz w:val="22"/>
          <w:szCs w:val="22"/>
          <w:rtl/>
        </w:rPr>
        <w:t>–</w:t>
      </w:r>
      <w:r>
        <w:rPr>
          <w:rFonts w:hint="cs"/>
          <w:sz w:val="22"/>
          <w:szCs w:val="22"/>
          <w:rtl/>
        </w:rPr>
        <w:t xml:space="preserve"> כזו שמצאה הפרה של החובות/הכללים החלים על הרשות. ואולם אל תטעו, פסיקה זו מהווה </w:t>
      </w:r>
      <w:r w:rsidRPr="0071103F">
        <w:rPr>
          <w:rFonts w:hint="cs"/>
          <w:i/>
          <w:iCs/>
          <w:sz w:val="22"/>
          <w:szCs w:val="22"/>
          <w:rtl/>
        </w:rPr>
        <w:t>מיעוט</w:t>
      </w:r>
      <w:r>
        <w:rPr>
          <w:rFonts w:hint="cs"/>
          <w:sz w:val="22"/>
          <w:szCs w:val="22"/>
          <w:rtl/>
        </w:rPr>
        <w:t xml:space="preserve"> מבין ההכרעות השיפוטיות בעתירות כנגד רשות מינהלית.</w:t>
      </w:r>
    </w:p>
    <w:p w:rsidR="005366A8" w:rsidRDefault="005366A8" w:rsidP="005366A8">
      <w:pPr>
        <w:rPr>
          <w:sz w:val="22"/>
          <w:szCs w:val="22"/>
          <w:rtl/>
        </w:rPr>
      </w:pPr>
    </w:p>
    <w:p w:rsidR="005366A8" w:rsidRDefault="005366A8" w:rsidP="005366A8">
      <w:pPr>
        <w:spacing w:after="60"/>
        <w:rPr>
          <w:b/>
          <w:bCs/>
          <w:sz w:val="22"/>
          <w:szCs w:val="22"/>
          <w:rtl/>
        </w:rPr>
      </w:pPr>
      <w:r>
        <w:rPr>
          <w:rFonts w:hint="cs"/>
          <w:sz w:val="22"/>
          <w:szCs w:val="22"/>
          <w:rtl/>
        </w:rPr>
        <w:t xml:space="preserve">[חשבו שוב על הדוגמאות שאותן כבר פגשנו. </w:t>
      </w:r>
    </w:p>
    <w:p w:rsidR="005366A8" w:rsidRDefault="005366A8" w:rsidP="005366A8">
      <w:pPr>
        <w:spacing w:after="120"/>
        <w:rPr>
          <w:sz w:val="22"/>
          <w:szCs w:val="22"/>
          <w:rtl/>
        </w:rPr>
      </w:pPr>
      <w:r w:rsidRPr="00EC312E">
        <w:rPr>
          <w:rFonts w:hint="cs"/>
          <w:b/>
          <w:bCs/>
          <w:sz w:val="22"/>
          <w:szCs w:val="22"/>
          <w:rtl/>
        </w:rPr>
        <w:t>האם כלל התגלה בהן מתקל</w:t>
      </w:r>
      <w:r>
        <w:rPr>
          <w:rFonts w:hint="cs"/>
          <w:b/>
          <w:bCs/>
          <w:sz w:val="22"/>
          <w:szCs w:val="22"/>
          <w:rtl/>
        </w:rPr>
        <w:t xml:space="preserve"> דינים</w:t>
      </w:r>
      <w:r w:rsidRPr="00EC312E">
        <w:rPr>
          <w:rFonts w:hint="cs"/>
          <w:b/>
          <w:bCs/>
          <w:sz w:val="22"/>
          <w:szCs w:val="22"/>
          <w:rtl/>
        </w:rPr>
        <w:t>?</w:t>
      </w:r>
      <w:r>
        <w:rPr>
          <w:rFonts w:hint="cs"/>
          <w:b/>
          <w:bCs/>
          <w:sz w:val="22"/>
          <w:szCs w:val="22"/>
          <w:rtl/>
        </w:rPr>
        <w:t>(כן, ברובם אך לא בכולם);</w:t>
      </w:r>
      <w:r w:rsidRPr="00EC312E">
        <w:rPr>
          <w:rFonts w:hint="cs"/>
          <w:b/>
          <w:bCs/>
          <w:sz w:val="22"/>
          <w:szCs w:val="22"/>
          <w:rtl/>
        </w:rPr>
        <w:t xml:space="preserve"> בין מי למי</w:t>
      </w:r>
      <w:r>
        <w:rPr>
          <w:rFonts w:hint="cs"/>
          <w:b/>
          <w:bCs/>
          <w:sz w:val="22"/>
          <w:szCs w:val="22"/>
          <w:rtl/>
        </w:rPr>
        <w:t>, כלומר,</w:t>
      </w:r>
      <w:r w:rsidRPr="00EC312E">
        <w:rPr>
          <w:rFonts w:hint="cs"/>
          <w:b/>
          <w:bCs/>
          <w:sz w:val="22"/>
          <w:szCs w:val="22"/>
          <w:rtl/>
        </w:rPr>
        <w:t xml:space="preserve"> באיזה ממדרגותיה של הפירמידה הנורמטיבית?</w:t>
      </w:r>
      <w:r>
        <w:rPr>
          <w:rFonts w:hint="cs"/>
          <w:sz w:val="22"/>
          <w:szCs w:val="22"/>
          <w:rtl/>
        </w:rPr>
        <w:t xml:space="preserve"> </w:t>
      </w:r>
    </w:p>
    <w:p w:rsidR="005366A8" w:rsidRDefault="005366A8" w:rsidP="005366A8">
      <w:pPr>
        <w:spacing w:after="60"/>
        <w:ind w:left="720"/>
        <w:rPr>
          <w:b/>
          <w:bCs/>
          <w:sz w:val="22"/>
          <w:szCs w:val="22"/>
          <w:rtl/>
        </w:rPr>
      </w:pPr>
      <w:r w:rsidRPr="00642548">
        <w:rPr>
          <w:rFonts w:hint="cs"/>
          <w:sz w:val="22"/>
          <w:szCs w:val="22"/>
          <w:rtl/>
        </w:rPr>
        <w:t>פס"ד</w:t>
      </w:r>
      <w:r>
        <w:rPr>
          <w:rFonts w:hint="cs"/>
          <w:b/>
          <w:bCs/>
          <w:sz w:val="22"/>
          <w:szCs w:val="22"/>
          <w:rtl/>
        </w:rPr>
        <w:t xml:space="preserve"> בז'רנו</w:t>
      </w:r>
    </w:p>
    <w:p w:rsidR="005366A8" w:rsidRDefault="005366A8" w:rsidP="005366A8">
      <w:pPr>
        <w:spacing w:after="60"/>
        <w:ind w:left="720"/>
        <w:rPr>
          <w:b/>
          <w:bCs/>
          <w:sz w:val="22"/>
          <w:szCs w:val="22"/>
          <w:rtl/>
        </w:rPr>
      </w:pPr>
      <w:r w:rsidRPr="00642548">
        <w:rPr>
          <w:rFonts w:hint="cs"/>
          <w:sz w:val="22"/>
          <w:szCs w:val="22"/>
          <w:rtl/>
        </w:rPr>
        <w:t>פס"ד</w:t>
      </w:r>
      <w:r>
        <w:rPr>
          <w:rFonts w:hint="cs"/>
          <w:b/>
          <w:bCs/>
          <w:sz w:val="22"/>
          <w:szCs w:val="22"/>
          <w:rtl/>
        </w:rPr>
        <w:t xml:space="preserve"> קול העם</w:t>
      </w:r>
    </w:p>
    <w:p w:rsidR="005366A8" w:rsidRPr="00334D2E" w:rsidRDefault="005366A8" w:rsidP="005366A8">
      <w:pPr>
        <w:spacing w:after="60"/>
        <w:ind w:left="720"/>
        <w:rPr>
          <w:sz w:val="22"/>
          <w:szCs w:val="22"/>
          <w:rtl/>
        </w:rPr>
      </w:pPr>
      <w:r w:rsidRPr="00642548">
        <w:rPr>
          <w:rFonts w:hint="cs"/>
          <w:sz w:val="22"/>
          <w:szCs w:val="22"/>
          <w:rtl/>
        </w:rPr>
        <w:t>פס"ד</w:t>
      </w:r>
      <w:r>
        <w:rPr>
          <w:rFonts w:hint="cs"/>
          <w:b/>
          <w:bCs/>
          <w:sz w:val="22"/>
          <w:szCs w:val="22"/>
          <w:rtl/>
        </w:rPr>
        <w:t xml:space="preserve"> ירדור</w:t>
      </w:r>
    </w:p>
    <w:p w:rsidR="005366A8" w:rsidRDefault="005366A8" w:rsidP="005366A8">
      <w:pPr>
        <w:spacing w:after="120"/>
        <w:ind w:left="720"/>
        <w:rPr>
          <w:b/>
          <w:bCs/>
          <w:sz w:val="22"/>
          <w:szCs w:val="22"/>
          <w:rtl/>
        </w:rPr>
      </w:pPr>
      <w:r w:rsidRPr="00642548">
        <w:rPr>
          <w:rFonts w:hint="cs"/>
          <w:sz w:val="22"/>
          <w:szCs w:val="22"/>
          <w:rtl/>
        </w:rPr>
        <w:t>פס"ד</w:t>
      </w:r>
      <w:r>
        <w:rPr>
          <w:rFonts w:hint="cs"/>
          <w:b/>
          <w:bCs/>
          <w:sz w:val="22"/>
          <w:szCs w:val="22"/>
          <w:rtl/>
        </w:rPr>
        <w:t xml:space="preserve"> פרץ נ' כפר שמריהו</w:t>
      </w:r>
    </w:p>
    <w:p w:rsidR="005366A8" w:rsidRDefault="005366A8" w:rsidP="005366A8">
      <w:pPr>
        <w:spacing w:after="120"/>
        <w:ind w:left="720"/>
        <w:rPr>
          <w:b/>
          <w:bCs/>
          <w:sz w:val="22"/>
          <w:szCs w:val="22"/>
          <w:rtl/>
        </w:rPr>
      </w:pPr>
      <w:r w:rsidRPr="00F70B29">
        <w:rPr>
          <w:rFonts w:hint="cs"/>
          <w:sz w:val="22"/>
          <w:szCs w:val="22"/>
          <w:rtl/>
        </w:rPr>
        <w:t>פס"ד</w:t>
      </w:r>
      <w:r>
        <w:rPr>
          <w:rFonts w:hint="cs"/>
          <w:b/>
          <w:bCs/>
          <w:sz w:val="22"/>
          <w:szCs w:val="22"/>
          <w:rtl/>
        </w:rPr>
        <w:t xml:space="preserve"> ברגמן</w:t>
      </w:r>
    </w:p>
    <w:p w:rsidR="005366A8" w:rsidRDefault="005366A8" w:rsidP="005366A8">
      <w:pPr>
        <w:spacing w:after="120"/>
        <w:ind w:left="720"/>
        <w:rPr>
          <w:b/>
          <w:bCs/>
          <w:sz w:val="22"/>
          <w:szCs w:val="22"/>
          <w:rtl/>
        </w:rPr>
      </w:pPr>
      <w:r>
        <w:rPr>
          <w:rFonts w:hint="cs"/>
          <w:b/>
          <w:bCs/>
          <w:sz w:val="22"/>
          <w:szCs w:val="22"/>
          <w:rtl/>
        </w:rPr>
        <w:t>=-=</w:t>
      </w:r>
    </w:p>
    <w:p w:rsidR="005366A8" w:rsidRDefault="005366A8" w:rsidP="005366A8">
      <w:pPr>
        <w:spacing w:after="60"/>
        <w:ind w:left="720"/>
        <w:rPr>
          <w:b/>
          <w:bCs/>
          <w:sz w:val="22"/>
          <w:szCs w:val="22"/>
          <w:rtl/>
        </w:rPr>
      </w:pPr>
      <w:r w:rsidRPr="00642548">
        <w:rPr>
          <w:rFonts w:hint="cs"/>
          <w:sz w:val="22"/>
          <w:szCs w:val="22"/>
          <w:rtl/>
        </w:rPr>
        <w:t>פס"ד</w:t>
      </w:r>
      <w:r>
        <w:rPr>
          <w:rFonts w:hint="cs"/>
          <w:b/>
          <w:bCs/>
          <w:sz w:val="22"/>
          <w:szCs w:val="22"/>
          <w:rtl/>
        </w:rPr>
        <w:t xml:space="preserve"> קעדאן</w:t>
      </w:r>
    </w:p>
    <w:p w:rsidR="005366A8" w:rsidRDefault="005366A8" w:rsidP="005366A8">
      <w:pPr>
        <w:spacing w:after="60"/>
        <w:ind w:left="720"/>
        <w:rPr>
          <w:b/>
          <w:bCs/>
          <w:sz w:val="22"/>
          <w:szCs w:val="22"/>
          <w:rtl/>
        </w:rPr>
      </w:pPr>
      <w:r w:rsidRPr="00642548">
        <w:rPr>
          <w:rFonts w:hint="cs"/>
          <w:sz w:val="22"/>
          <w:szCs w:val="22"/>
          <w:rtl/>
        </w:rPr>
        <w:t>פס"ד</w:t>
      </w:r>
      <w:r>
        <w:rPr>
          <w:rFonts w:hint="cs"/>
          <w:b/>
          <w:bCs/>
          <w:sz w:val="22"/>
          <w:szCs w:val="22"/>
          <w:rtl/>
        </w:rPr>
        <w:t xml:space="preserve"> הוועד הציבורי נגד עינויים</w:t>
      </w:r>
    </w:p>
    <w:p w:rsidR="005366A8" w:rsidRDefault="005366A8" w:rsidP="005366A8">
      <w:pPr>
        <w:spacing w:after="60"/>
        <w:ind w:left="720"/>
        <w:rPr>
          <w:b/>
          <w:bCs/>
          <w:sz w:val="22"/>
          <w:szCs w:val="22"/>
          <w:rtl/>
        </w:rPr>
      </w:pPr>
      <w:r w:rsidRPr="00941019">
        <w:rPr>
          <w:rFonts w:hint="cs"/>
          <w:sz w:val="22"/>
          <w:szCs w:val="22"/>
          <w:rtl/>
        </w:rPr>
        <w:t>פס"ד</w:t>
      </w:r>
      <w:r w:rsidRPr="00941019">
        <w:rPr>
          <w:rFonts w:hint="cs"/>
          <w:b/>
          <w:bCs/>
          <w:sz w:val="22"/>
          <w:szCs w:val="22"/>
          <w:rtl/>
        </w:rPr>
        <w:t xml:space="preserve"> פלוני</w:t>
      </w:r>
      <w:r>
        <w:rPr>
          <w:rFonts w:hint="cs"/>
          <w:b/>
          <w:bCs/>
          <w:sz w:val="22"/>
          <w:szCs w:val="22"/>
          <w:rtl/>
        </w:rPr>
        <w:t xml:space="preserve"> </w:t>
      </w:r>
    </w:p>
    <w:p w:rsidR="005366A8" w:rsidRPr="00642548" w:rsidRDefault="005366A8" w:rsidP="005366A8">
      <w:pPr>
        <w:spacing w:after="60"/>
        <w:ind w:left="720"/>
        <w:rPr>
          <w:b/>
          <w:bCs/>
          <w:sz w:val="22"/>
          <w:szCs w:val="22"/>
          <w:rtl/>
        </w:rPr>
      </w:pPr>
      <w:r w:rsidRPr="00941019">
        <w:rPr>
          <w:rFonts w:hint="cs"/>
          <w:sz w:val="22"/>
          <w:szCs w:val="22"/>
          <w:rtl/>
        </w:rPr>
        <w:t>פס"ד</w:t>
      </w:r>
      <w:r>
        <w:rPr>
          <w:rFonts w:hint="cs"/>
          <w:b/>
          <w:bCs/>
          <w:sz w:val="22"/>
          <w:szCs w:val="22"/>
          <w:rtl/>
        </w:rPr>
        <w:t xml:space="preserve"> בנק המזרחי</w:t>
      </w:r>
    </w:p>
    <w:p w:rsidR="005366A8" w:rsidRDefault="005366A8" w:rsidP="005366A8">
      <w:pPr>
        <w:spacing w:after="60"/>
        <w:ind w:left="720"/>
        <w:rPr>
          <w:b/>
          <w:bCs/>
          <w:i/>
          <w:iCs/>
          <w:sz w:val="22"/>
          <w:szCs w:val="22"/>
          <w:rtl/>
        </w:rPr>
      </w:pPr>
      <w:r>
        <w:rPr>
          <w:rFonts w:hint="cs"/>
          <w:sz w:val="22"/>
          <w:szCs w:val="22"/>
          <w:rtl/>
        </w:rPr>
        <w:t xml:space="preserve">פס"ד </w:t>
      </w:r>
      <w:r w:rsidRPr="00941019">
        <w:rPr>
          <w:rFonts w:hint="cs"/>
          <w:b/>
          <w:bCs/>
          <w:sz w:val="22"/>
          <w:szCs w:val="22"/>
          <w:rtl/>
        </w:rPr>
        <w:t>"חוק טל"</w:t>
      </w:r>
      <w:r>
        <w:rPr>
          <w:rFonts w:hint="cs"/>
          <w:b/>
          <w:bCs/>
          <w:sz w:val="22"/>
          <w:szCs w:val="22"/>
          <w:rtl/>
        </w:rPr>
        <w:t>1 (התנועה לאיכות השלטון)</w:t>
      </w:r>
    </w:p>
    <w:p w:rsidR="005366A8" w:rsidRDefault="005366A8" w:rsidP="005366A8">
      <w:pPr>
        <w:spacing w:after="60"/>
        <w:ind w:left="720"/>
        <w:rPr>
          <w:sz w:val="22"/>
          <w:szCs w:val="22"/>
          <w:rtl/>
        </w:rPr>
      </w:pPr>
      <w:r>
        <w:rPr>
          <w:rFonts w:hint="cs"/>
          <w:sz w:val="22"/>
          <w:szCs w:val="22"/>
          <w:rtl/>
        </w:rPr>
        <w:t xml:space="preserve">פס"ד </w:t>
      </w:r>
      <w:r w:rsidRPr="00941019">
        <w:rPr>
          <w:rFonts w:hint="cs"/>
          <w:b/>
          <w:bCs/>
          <w:sz w:val="22"/>
          <w:szCs w:val="22"/>
          <w:rtl/>
        </w:rPr>
        <w:t>"חוק טל"</w:t>
      </w:r>
      <w:r>
        <w:rPr>
          <w:rFonts w:hint="cs"/>
          <w:b/>
          <w:bCs/>
          <w:sz w:val="22"/>
          <w:szCs w:val="22"/>
          <w:rtl/>
        </w:rPr>
        <w:t>2 (רסלר)</w:t>
      </w:r>
    </w:p>
    <w:p w:rsidR="005366A8" w:rsidRDefault="005366A8" w:rsidP="005366A8">
      <w:pPr>
        <w:spacing w:after="60"/>
        <w:ind w:left="720"/>
        <w:rPr>
          <w:sz w:val="22"/>
          <w:szCs w:val="22"/>
          <w:rtl/>
        </w:rPr>
      </w:pPr>
      <w:r w:rsidRPr="00941019">
        <w:rPr>
          <w:rFonts w:hint="cs"/>
          <w:sz w:val="22"/>
          <w:szCs w:val="22"/>
          <w:rtl/>
        </w:rPr>
        <w:t>פס"ד</w:t>
      </w:r>
      <w:r w:rsidRPr="00941019">
        <w:rPr>
          <w:rFonts w:hint="cs"/>
          <w:b/>
          <w:bCs/>
          <w:sz w:val="22"/>
          <w:szCs w:val="22"/>
          <w:rtl/>
        </w:rPr>
        <w:t xml:space="preserve"> בר-און</w:t>
      </w:r>
      <w:r>
        <w:rPr>
          <w:rFonts w:hint="cs"/>
          <w:b/>
          <w:bCs/>
          <w:sz w:val="22"/>
          <w:szCs w:val="22"/>
          <w:rtl/>
        </w:rPr>
        <w:t>]</w:t>
      </w:r>
    </w:p>
    <w:p w:rsidR="005366A8" w:rsidRDefault="005366A8" w:rsidP="005366A8">
      <w:pPr>
        <w:rPr>
          <w:sz w:val="22"/>
          <w:szCs w:val="22"/>
          <w:rtl/>
        </w:rPr>
      </w:pPr>
      <w:r>
        <w:rPr>
          <w:rFonts w:hint="cs"/>
          <w:sz w:val="22"/>
          <w:szCs w:val="22"/>
          <w:rtl/>
        </w:rPr>
        <w:t>=-=</w:t>
      </w:r>
    </w:p>
    <w:p w:rsidR="005366A8" w:rsidRPr="00864EF7" w:rsidRDefault="005366A8" w:rsidP="005366A8">
      <w:pPr>
        <w:pStyle w:val="BodyText"/>
        <w:spacing w:after="120"/>
        <w:ind w:right="-142"/>
        <w:jc w:val="center"/>
        <w:rPr>
          <w:rFonts w:ascii="Arial" w:hAnsi="Arial" w:cs="Arial"/>
          <w:u w:val="single"/>
          <w:rtl/>
        </w:rPr>
      </w:pPr>
      <w:r w:rsidRPr="00864EF7">
        <w:rPr>
          <w:rFonts w:ascii="Arial" w:hAnsi="Arial" w:cs="Arial"/>
          <w:highlight w:val="yellow"/>
          <w:u w:val="single"/>
          <w:rtl/>
        </w:rPr>
        <w:t>דוגמאות לדיון</w:t>
      </w:r>
    </w:p>
    <w:p w:rsidR="005366A8" w:rsidRDefault="005366A8" w:rsidP="005366A8">
      <w:pPr>
        <w:pStyle w:val="BodyText"/>
        <w:spacing w:after="120"/>
        <w:ind w:right="-142"/>
        <w:rPr>
          <w:rFonts w:ascii="Arial" w:hAnsi="Arial" w:cs="Arial"/>
          <w:sz w:val="22"/>
          <w:szCs w:val="22"/>
          <w:highlight w:val="yellow"/>
          <w:rtl/>
        </w:rPr>
      </w:pPr>
      <w:r w:rsidRPr="005608E2">
        <w:rPr>
          <w:rFonts w:ascii="Arial" w:hAnsi="Arial" w:cs="Arial" w:hint="cs"/>
          <w:sz w:val="22"/>
          <w:szCs w:val="22"/>
          <w:highlight w:val="yellow"/>
          <w:rtl/>
        </w:rPr>
        <w:t>^ נקודה חשובה: אנחנו מוצאים "מתקל", כלומר התנגשות בין שתי נורמות, רק לאחר פרשנותן של שתי הנורמות הללו. במילים אחרות, המתקל או ההתנגשות עשוים להיות רק לכאוריים; שכן, המתח ביניהם עשוי להיפתר בדרך פרשנית.</w:t>
      </w:r>
    </w:p>
    <w:p w:rsidR="005366A8" w:rsidRPr="005608E2" w:rsidRDefault="005366A8" w:rsidP="005366A8">
      <w:pPr>
        <w:pStyle w:val="BodyText"/>
        <w:spacing w:after="120"/>
        <w:ind w:right="-142"/>
        <w:rPr>
          <w:rFonts w:ascii="Arial" w:hAnsi="Arial" w:cs="Arial"/>
          <w:sz w:val="22"/>
          <w:szCs w:val="22"/>
          <w:highlight w:val="yellow"/>
          <w:rtl/>
        </w:rPr>
      </w:pPr>
      <w:r>
        <w:rPr>
          <w:rFonts w:ascii="Arial" w:hAnsi="Arial" w:cs="Arial" w:hint="cs"/>
          <w:sz w:val="22"/>
          <w:szCs w:val="22"/>
          <w:highlight w:val="yellow"/>
          <w:rtl/>
        </w:rPr>
        <w:t>א.</w:t>
      </w:r>
    </w:p>
    <w:p w:rsidR="005366A8" w:rsidRPr="00924F46" w:rsidRDefault="005366A8" w:rsidP="005366A8">
      <w:pPr>
        <w:pStyle w:val="BodyText"/>
        <w:spacing w:after="240"/>
        <w:ind w:left="720" w:right="-142"/>
        <w:rPr>
          <w:rFonts w:ascii="Arial" w:hAnsi="Arial" w:cs="Arial"/>
          <w:sz w:val="20"/>
          <w:szCs w:val="20"/>
          <w:rtl/>
        </w:rPr>
      </w:pPr>
      <w:r w:rsidRPr="00D9351B">
        <w:rPr>
          <w:rFonts w:ascii="Arial" w:hAnsi="Arial" w:cs="Arial" w:hint="cs"/>
          <w:sz w:val="20"/>
          <w:szCs w:val="20"/>
          <w:highlight w:val="yellow"/>
          <w:rtl/>
        </w:rPr>
        <w:t>ראו את הדוגמא הבאה</w:t>
      </w:r>
      <w:r>
        <w:rPr>
          <w:rFonts w:ascii="Arial" w:hAnsi="Arial" w:cs="Arial" w:hint="cs"/>
          <w:sz w:val="20"/>
          <w:szCs w:val="20"/>
          <w:highlight w:val="yellow"/>
          <w:rtl/>
        </w:rPr>
        <w:t xml:space="preserve">. היא אכן מראה את </w:t>
      </w:r>
      <w:r w:rsidRPr="00D9351B">
        <w:rPr>
          <w:rFonts w:ascii="Arial" w:hAnsi="Arial" w:cs="Arial" w:hint="cs"/>
          <w:sz w:val="20"/>
          <w:szCs w:val="20"/>
          <w:highlight w:val="yellow"/>
          <w:rtl/>
        </w:rPr>
        <w:t>משמעותה של מלאכת הפרשנות</w:t>
      </w:r>
      <w:r>
        <w:rPr>
          <w:rFonts w:ascii="Arial" w:hAnsi="Arial" w:cs="Arial" w:hint="cs"/>
          <w:sz w:val="20"/>
          <w:szCs w:val="20"/>
          <w:highlight w:val="yellow"/>
          <w:rtl/>
        </w:rPr>
        <w:t>; היא מדגימה את האופן שבו ניתן ליישב</w:t>
      </w:r>
      <w:r w:rsidRPr="00D9351B">
        <w:rPr>
          <w:rFonts w:ascii="Arial" w:hAnsi="Arial" w:cs="Arial" w:hint="cs"/>
          <w:sz w:val="20"/>
          <w:szCs w:val="20"/>
          <w:highlight w:val="yellow"/>
          <w:rtl/>
        </w:rPr>
        <w:t xml:space="preserve"> </w:t>
      </w:r>
      <w:r>
        <w:rPr>
          <w:rFonts w:ascii="Arial" w:hAnsi="Arial" w:cs="Arial" w:hint="cs"/>
          <w:sz w:val="20"/>
          <w:szCs w:val="20"/>
          <w:highlight w:val="yellow"/>
          <w:rtl/>
        </w:rPr>
        <w:t>בדרך פרשנית (ראויה) את ה</w:t>
      </w:r>
      <w:r w:rsidRPr="00D9351B">
        <w:rPr>
          <w:rFonts w:ascii="Arial" w:hAnsi="Arial" w:cs="Arial" w:hint="cs"/>
          <w:sz w:val="20"/>
          <w:szCs w:val="20"/>
          <w:highlight w:val="yellow"/>
          <w:rtl/>
        </w:rPr>
        <w:t>סתירה</w:t>
      </w:r>
      <w:r>
        <w:rPr>
          <w:rFonts w:ascii="Arial" w:hAnsi="Arial" w:cs="Arial" w:hint="cs"/>
          <w:sz w:val="20"/>
          <w:szCs w:val="20"/>
          <w:highlight w:val="yellow"/>
          <w:rtl/>
        </w:rPr>
        <w:t xml:space="preserve"> לכאורה</w:t>
      </w:r>
      <w:r w:rsidRPr="00D9351B">
        <w:rPr>
          <w:rFonts w:ascii="Arial" w:hAnsi="Arial" w:cs="Arial" w:hint="cs"/>
          <w:sz w:val="20"/>
          <w:szCs w:val="20"/>
          <w:highlight w:val="yellow"/>
          <w:rtl/>
        </w:rPr>
        <w:t>/</w:t>
      </w:r>
      <w:r>
        <w:rPr>
          <w:rFonts w:ascii="Arial" w:hAnsi="Arial" w:cs="Arial" w:hint="cs"/>
          <w:sz w:val="20"/>
          <w:szCs w:val="20"/>
          <w:highlight w:val="yellow"/>
          <w:rtl/>
        </w:rPr>
        <w:t xml:space="preserve"> </w:t>
      </w:r>
      <w:r w:rsidRPr="00D9351B">
        <w:rPr>
          <w:rFonts w:ascii="Arial" w:hAnsi="Arial" w:cs="Arial" w:hint="cs"/>
          <w:sz w:val="20"/>
          <w:szCs w:val="20"/>
          <w:highlight w:val="yellow"/>
          <w:rtl/>
        </w:rPr>
        <w:t>ה</w:t>
      </w:r>
      <w:r>
        <w:rPr>
          <w:rFonts w:ascii="Arial" w:hAnsi="Arial" w:cs="Arial" w:hint="cs"/>
          <w:sz w:val="20"/>
          <w:szCs w:val="20"/>
          <w:highlight w:val="yellow"/>
          <w:rtl/>
        </w:rPr>
        <w:t>ה</w:t>
      </w:r>
      <w:r w:rsidRPr="00D9351B">
        <w:rPr>
          <w:rFonts w:ascii="Arial" w:hAnsi="Arial" w:cs="Arial" w:hint="cs"/>
          <w:sz w:val="20"/>
          <w:szCs w:val="20"/>
          <w:highlight w:val="yellow"/>
          <w:rtl/>
        </w:rPr>
        <w:t xml:space="preserve">תנגשות לכאורה </w:t>
      </w:r>
      <w:r>
        <w:rPr>
          <w:rFonts w:ascii="Arial" w:hAnsi="Arial" w:cs="Arial" w:hint="cs"/>
          <w:sz w:val="20"/>
          <w:szCs w:val="20"/>
          <w:highlight w:val="yellow"/>
          <w:rtl/>
        </w:rPr>
        <w:t xml:space="preserve">המופיעה </w:t>
      </w:r>
      <w:r w:rsidRPr="00D9351B">
        <w:rPr>
          <w:rFonts w:ascii="Arial" w:hAnsi="Arial" w:cs="Arial" w:hint="cs"/>
          <w:sz w:val="20"/>
          <w:szCs w:val="20"/>
          <w:highlight w:val="yellow"/>
          <w:rtl/>
        </w:rPr>
        <w:t>בין שתי הוראות דין:</w:t>
      </w:r>
    </w:p>
    <w:p w:rsidR="005366A8" w:rsidRPr="00BD6787" w:rsidRDefault="005366A8" w:rsidP="005366A8">
      <w:pPr>
        <w:pStyle w:val="BodyText"/>
        <w:spacing w:after="120"/>
        <w:ind w:left="720" w:right="-142"/>
        <w:rPr>
          <w:rFonts w:cs="David"/>
          <w:sz w:val="22"/>
          <w:szCs w:val="22"/>
          <w:u w:val="single"/>
          <w:rtl/>
        </w:rPr>
      </w:pPr>
      <w:r w:rsidRPr="00BD6787">
        <w:rPr>
          <w:rFonts w:cs="David"/>
          <w:sz w:val="22"/>
          <w:szCs w:val="22"/>
          <w:u w:val="single"/>
          <w:rtl/>
        </w:rPr>
        <w:t>חוק יסוד: הממשלה</w:t>
      </w:r>
    </w:p>
    <w:p w:rsidR="005366A8" w:rsidRPr="00FF5E8E" w:rsidRDefault="005366A8" w:rsidP="005366A8">
      <w:pPr>
        <w:rPr>
          <w:rFonts w:cs="David"/>
          <w:snapToGrid w:val="0"/>
          <w:sz w:val="20"/>
          <w:szCs w:val="20"/>
          <w:rtl/>
        </w:rPr>
      </w:pPr>
      <w:r w:rsidRPr="00FF5E8E">
        <w:rPr>
          <w:rFonts w:cs="David"/>
          <w:snapToGrid w:val="0"/>
          <w:sz w:val="20"/>
          <w:szCs w:val="20"/>
          <w:rtl/>
        </w:rPr>
        <w:t>39.(א)  במצב חירום רשאית הממשלה להתקין תקנות שעת-חירום כדי להגן על המדינה, בטחון הציבור וקיום האספקה והשירותים החיוניים; תקנות שעת-חירום יונחו על שולחן ועדת החוץ והבטחון של הכנסת סמוך ככל האפשר לאחר התקנתן.</w:t>
      </w:r>
    </w:p>
    <w:p w:rsidR="005366A8" w:rsidRPr="00FF5E8E" w:rsidRDefault="005366A8" w:rsidP="005366A8">
      <w:pPr>
        <w:pStyle w:val="BodyText2"/>
        <w:jc w:val="left"/>
        <w:rPr>
          <w:rFonts w:cs="David"/>
          <w:sz w:val="20"/>
          <w:szCs w:val="20"/>
        </w:rPr>
      </w:pPr>
      <w:r w:rsidRPr="00FF5E8E">
        <w:rPr>
          <w:rFonts w:cs="David"/>
          <w:sz w:val="20"/>
          <w:szCs w:val="20"/>
          <w:rtl/>
        </w:rPr>
        <w:t xml:space="preserve">     (ב)   ראה ראש הממשלה כי לא ניתן לכנס את הממשלה וכי קיים צורף דחוף וחיוני להתקין תקנות שעת-חירום, רשאי הוא להתקינן או להסמיך שר להתקינן.</w:t>
      </w:r>
      <w:r w:rsidRPr="00FF5E8E">
        <w:rPr>
          <w:rFonts w:cs="David"/>
          <w:sz w:val="20"/>
          <w:szCs w:val="20"/>
          <w:rtl/>
        </w:rPr>
        <w:br/>
        <w:t xml:space="preserve">     (ג)  תקנות שעת-חירום כוחן יפה לשנות כל חוק, להפקיע זמנית את תוקפו או לקבוע בו תנאים, וכן להטיל או להגדיל מסים או תשלומי חובה אחרים, והכל זולת אם אין הוראה אחרת בחוק.</w:t>
      </w:r>
    </w:p>
    <w:p w:rsidR="005366A8" w:rsidRPr="00FF5E8E" w:rsidRDefault="005366A8" w:rsidP="005366A8">
      <w:pPr>
        <w:spacing w:after="240"/>
        <w:rPr>
          <w:rFonts w:cs="David"/>
          <w:snapToGrid w:val="0"/>
          <w:sz w:val="20"/>
          <w:szCs w:val="20"/>
          <w:rtl/>
        </w:rPr>
      </w:pPr>
      <w:r w:rsidRPr="00FF5E8E">
        <w:rPr>
          <w:rFonts w:cs="David"/>
          <w:snapToGrid w:val="0"/>
          <w:sz w:val="20"/>
          <w:szCs w:val="20"/>
          <w:rtl/>
        </w:rPr>
        <w:t xml:space="preserve">    </w:t>
      </w:r>
      <w:r w:rsidRPr="00BA2D52">
        <w:rPr>
          <w:rFonts w:cs="David"/>
          <w:snapToGrid w:val="0"/>
          <w:sz w:val="20"/>
          <w:szCs w:val="20"/>
          <w:rtl/>
        </w:rPr>
        <w:t xml:space="preserve">(ד)   </w:t>
      </w:r>
      <w:r w:rsidRPr="00BA2D52">
        <w:rPr>
          <w:rFonts w:cs="David"/>
          <w:b/>
          <w:bCs/>
          <w:snapToGrid w:val="0"/>
          <w:sz w:val="20"/>
          <w:szCs w:val="20"/>
          <w:rtl/>
        </w:rPr>
        <w:t>אין בכוחן של תקנות שעת-חירום למנוע פניה לערכאות, לקבוע ענישה למפרע, או להתיר פגיעה בכבוד האדם.</w:t>
      </w:r>
      <w:r w:rsidRPr="00FF5E8E">
        <w:rPr>
          <w:rFonts w:cs="David"/>
          <w:b/>
          <w:bCs/>
          <w:snapToGrid w:val="0"/>
          <w:sz w:val="20"/>
          <w:szCs w:val="20"/>
          <w:rtl/>
        </w:rPr>
        <w:br/>
      </w:r>
      <w:r w:rsidRPr="00FF5E8E">
        <w:rPr>
          <w:rFonts w:cs="David"/>
          <w:snapToGrid w:val="0"/>
          <w:sz w:val="20"/>
          <w:szCs w:val="20"/>
          <w:rtl/>
        </w:rPr>
        <w:t xml:space="preserve">    (ה)  לא יותקנו תקנות שעת-חירום ולא יופעלו מכוחן הסדרים, אמצעים וסמכויות, אלא במידה שמצב החירום מחייב זאת.</w:t>
      </w:r>
      <w:r w:rsidRPr="00FF5E8E">
        <w:rPr>
          <w:rFonts w:cs="David"/>
          <w:snapToGrid w:val="0"/>
          <w:sz w:val="20"/>
          <w:szCs w:val="20"/>
          <w:rtl/>
        </w:rPr>
        <w:br/>
        <w:t xml:space="preserve">    (ו)  תוקפן של תקנות שעת-חירום יפקע כעבור שלושה חדשים מיום התקנתן, זולת אם הוארך תוקפן בחוק, או שבוטלו על-ידי הכנסת בחוק או בהחלטה של רוב חברי הכנסת.  [</w:t>
      </w:r>
      <w:r w:rsidRPr="00FF5E8E">
        <w:rPr>
          <w:rFonts w:cs="David"/>
          <w:snapToGrid w:val="0"/>
          <w:sz w:val="20"/>
          <w:szCs w:val="20"/>
        </w:rPr>
        <w:t>…</w:t>
      </w:r>
      <w:r w:rsidRPr="00FF5E8E">
        <w:rPr>
          <w:rFonts w:cs="David"/>
          <w:snapToGrid w:val="0"/>
          <w:sz w:val="20"/>
          <w:szCs w:val="20"/>
          <w:rtl/>
        </w:rPr>
        <w:t>]</w:t>
      </w:r>
    </w:p>
    <w:p w:rsidR="005366A8" w:rsidRPr="00BD6787" w:rsidRDefault="005366A8" w:rsidP="005366A8">
      <w:pPr>
        <w:pStyle w:val="Heading4"/>
        <w:spacing w:after="120"/>
        <w:rPr>
          <w:rFonts w:cs="David"/>
          <w:b w:val="0"/>
          <w:bCs w:val="0"/>
          <w:sz w:val="22"/>
          <w:szCs w:val="22"/>
          <w:u w:val="single"/>
          <w:rtl/>
        </w:rPr>
      </w:pPr>
      <w:r w:rsidRPr="00BD6787">
        <w:rPr>
          <w:rFonts w:cs="David"/>
          <w:sz w:val="22"/>
          <w:szCs w:val="22"/>
          <w:u w:val="single"/>
          <w:rtl/>
        </w:rPr>
        <w:t>חוק יסוד: כבוד האדם וחירותו</w:t>
      </w:r>
      <w:r w:rsidRPr="00BD6787">
        <w:rPr>
          <w:rFonts w:cs="David"/>
          <w:b w:val="0"/>
          <w:bCs w:val="0"/>
          <w:sz w:val="22"/>
          <w:szCs w:val="22"/>
          <w:u w:val="single"/>
          <w:rtl/>
        </w:rPr>
        <w:t xml:space="preserve"> </w:t>
      </w:r>
    </w:p>
    <w:p w:rsidR="005366A8" w:rsidRPr="00B221AF" w:rsidRDefault="005366A8" w:rsidP="005366A8">
      <w:pPr>
        <w:rPr>
          <w:rFonts w:cs="David"/>
          <w:b/>
          <w:bCs/>
          <w:sz w:val="20"/>
          <w:szCs w:val="20"/>
          <w:rtl/>
        </w:rPr>
      </w:pPr>
      <w:r w:rsidRPr="00D9351B">
        <w:rPr>
          <w:rFonts w:cs="David" w:hint="cs"/>
          <w:sz w:val="20"/>
          <w:szCs w:val="20"/>
          <w:rtl/>
        </w:rPr>
        <w:t xml:space="preserve">2. </w:t>
      </w:r>
      <w:r w:rsidRPr="00B221AF">
        <w:rPr>
          <w:rFonts w:cs="David"/>
          <w:b/>
          <w:bCs/>
          <w:sz w:val="20"/>
          <w:szCs w:val="20"/>
          <w:rtl/>
        </w:rPr>
        <w:t xml:space="preserve">אין פוגעים בחייו, בגופו, או בכבודו של אדם באשר הוא אדם. </w:t>
      </w:r>
    </w:p>
    <w:p w:rsidR="005366A8" w:rsidRDefault="005366A8" w:rsidP="005366A8">
      <w:pPr>
        <w:rPr>
          <w:rFonts w:cs="David"/>
          <w:snapToGrid w:val="0"/>
          <w:sz w:val="20"/>
          <w:szCs w:val="20"/>
          <w:rtl/>
        </w:rPr>
      </w:pPr>
    </w:p>
    <w:p w:rsidR="005366A8" w:rsidRDefault="005366A8" w:rsidP="005366A8">
      <w:pPr>
        <w:rPr>
          <w:rFonts w:cs="David"/>
          <w:snapToGrid w:val="0"/>
          <w:sz w:val="20"/>
          <w:szCs w:val="20"/>
          <w:rtl/>
        </w:rPr>
      </w:pPr>
      <w:r w:rsidRPr="00FF5E8E">
        <w:rPr>
          <w:rFonts w:cs="David"/>
          <w:snapToGrid w:val="0"/>
          <w:sz w:val="20"/>
          <w:szCs w:val="20"/>
          <w:rtl/>
        </w:rPr>
        <w:t xml:space="preserve">12. אין בכוחן של תקנות שעת-חירום לשנות חוק-יסוד זה, להפקיע זמנית את תקפו או לקבוע בו תנאים; ואולם בשעה שקיים במדינה מצב של חירום בתוקף הכרזה לפי סעיף 9 לפקודת סדרי השלטון והמשפט, התש"ח-1948, מותר להתקין תקנות שעת-חירום מכוח הסעיף האמור </w:t>
      </w:r>
      <w:r w:rsidRPr="00BD6787">
        <w:rPr>
          <w:rFonts w:cs="David"/>
          <w:b/>
          <w:bCs/>
          <w:snapToGrid w:val="0"/>
          <w:sz w:val="20"/>
          <w:szCs w:val="20"/>
          <w:rtl/>
        </w:rPr>
        <w:t>שיהא בהן כדי לשלול או להגביל זכויות לפי חוק-יסוד זה</w:t>
      </w:r>
      <w:r w:rsidRPr="00FF5E8E">
        <w:rPr>
          <w:rFonts w:cs="David"/>
          <w:snapToGrid w:val="0"/>
          <w:sz w:val="20"/>
          <w:szCs w:val="20"/>
          <w:rtl/>
        </w:rPr>
        <w:t xml:space="preserve">, </w:t>
      </w:r>
      <w:r w:rsidRPr="00FF5E8E">
        <w:rPr>
          <w:rFonts w:cs="David"/>
          <w:b/>
          <w:bCs/>
          <w:snapToGrid w:val="0"/>
          <w:sz w:val="20"/>
          <w:szCs w:val="20"/>
          <w:rtl/>
        </w:rPr>
        <w:t>ובלבד שהשלילה או ההגבלה יהיו לתכלית ראויה ולתקופה ובמידה שלא יעלו על הנדרש.</w:t>
      </w:r>
    </w:p>
    <w:p w:rsidR="005366A8" w:rsidRDefault="005366A8" w:rsidP="005366A8">
      <w:pPr>
        <w:spacing w:after="120"/>
        <w:rPr>
          <w:sz w:val="22"/>
          <w:szCs w:val="22"/>
          <w:rtl/>
        </w:rPr>
      </w:pPr>
      <w:r>
        <w:rPr>
          <w:rFonts w:hint="cs"/>
          <w:sz w:val="22"/>
          <w:szCs w:val="22"/>
          <w:rtl/>
        </w:rPr>
        <w:t>=-=</w:t>
      </w:r>
    </w:p>
    <w:p w:rsidR="005366A8" w:rsidRDefault="005366A8" w:rsidP="005366A8">
      <w:pPr>
        <w:rPr>
          <w:sz w:val="22"/>
          <w:szCs w:val="22"/>
          <w:rtl/>
        </w:rPr>
      </w:pPr>
      <w:r>
        <w:rPr>
          <w:rFonts w:hint="cs"/>
          <w:sz w:val="22"/>
          <w:szCs w:val="22"/>
          <w:rtl/>
        </w:rPr>
        <w:t>ב.</w:t>
      </w:r>
    </w:p>
    <w:p w:rsidR="005366A8" w:rsidRDefault="005366A8" w:rsidP="005366A8">
      <w:pPr>
        <w:jc w:val="center"/>
        <w:rPr>
          <w:sz w:val="22"/>
          <w:szCs w:val="22"/>
          <w:rtl/>
        </w:rPr>
      </w:pPr>
      <w:r w:rsidRPr="00EC312E">
        <w:rPr>
          <w:highlight w:val="yellow"/>
          <w:rtl/>
        </w:rPr>
        <w:t>בג"ץ</w:t>
      </w:r>
      <w:r w:rsidRPr="00EC312E">
        <w:rPr>
          <w:highlight w:val="yellow"/>
        </w:rPr>
        <w:t> 5113/12 </w:t>
      </w:r>
      <w:r w:rsidRPr="00EC312E">
        <w:rPr>
          <w:b/>
          <w:bCs/>
          <w:highlight w:val="yellow"/>
          <w:rtl/>
        </w:rPr>
        <w:t>פרידמן נ</w:t>
      </w:r>
      <w:r>
        <w:rPr>
          <w:rFonts w:hint="cs"/>
          <w:b/>
          <w:bCs/>
          <w:highlight w:val="yellow"/>
          <w:rtl/>
        </w:rPr>
        <w:t>'</w:t>
      </w:r>
      <w:r w:rsidRPr="00EC312E">
        <w:rPr>
          <w:b/>
          <w:bCs/>
          <w:highlight w:val="yellow"/>
        </w:rPr>
        <w:t> </w:t>
      </w:r>
      <w:r w:rsidRPr="00EC312E">
        <w:rPr>
          <w:b/>
          <w:bCs/>
          <w:highlight w:val="yellow"/>
          <w:rtl/>
        </w:rPr>
        <w:t>כנסת ישראל</w:t>
      </w:r>
      <w:r w:rsidRPr="00EC312E">
        <w:rPr>
          <w:rFonts w:hint="cs"/>
          <w:highlight w:val="yellow"/>
          <w:rtl/>
        </w:rPr>
        <w:t xml:space="preserve"> (2012)</w:t>
      </w:r>
    </w:p>
    <w:p w:rsidR="005366A8" w:rsidRDefault="005366A8" w:rsidP="005366A8">
      <w:pPr>
        <w:spacing w:line="203" w:lineRule="atLeast"/>
        <w:rPr>
          <w:rFonts w:ascii="Arial" w:hAnsi="Arial" w:cs="FrankRuehl"/>
          <w:sz w:val="22"/>
          <w:szCs w:val="22"/>
          <w:rtl/>
        </w:rPr>
      </w:pPr>
      <w:r>
        <w:rPr>
          <w:rFonts w:ascii="Arial" w:hAnsi="Arial" w:cs="FrankRuehl" w:hint="cs"/>
          <w:sz w:val="22"/>
          <w:szCs w:val="22"/>
          <w:rtl/>
        </w:rPr>
        <w:t xml:space="preserve">[השופטת ארבל] </w:t>
      </w:r>
    </w:p>
    <w:p w:rsidR="005366A8" w:rsidRPr="00A836AA" w:rsidRDefault="005366A8" w:rsidP="005366A8">
      <w:pPr>
        <w:spacing w:line="203" w:lineRule="atLeast"/>
        <w:rPr>
          <w:rFonts w:ascii="Arial" w:hAnsi="Arial" w:cs="FrankRuehl"/>
          <w:sz w:val="22"/>
          <w:szCs w:val="22"/>
          <w:rtl/>
        </w:rPr>
      </w:pPr>
      <w:r w:rsidRPr="00A836AA">
        <w:rPr>
          <w:rFonts w:ascii="Arial" w:hAnsi="Arial" w:cs="FrankRuehl" w:hint="cs"/>
          <w:sz w:val="22"/>
          <w:szCs w:val="22"/>
          <w:rtl/>
        </w:rPr>
        <w:t>עניינה של העתירה בבקשת העותר לקבוע את בטלותו של תיקון מס' 45 לחוק מבקר המדינה, התשע"ב-2012 (להלן: </w:t>
      </w:r>
      <w:r w:rsidRPr="00A836AA">
        <w:rPr>
          <w:rFonts w:ascii="Arial" w:hAnsi="Arial" w:cs="Miriam" w:hint="cs"/>
          <w:sz w:val="22"/>
          <w:szCs w:val="22"/>
          <w:rtl/>
        </w:rPr>
        <w:t>התיקון</w:t>
      </w:r>
      <w:r w:rsidRPr="00A836AA">
        <w:rPr>
          <w:rFonts w:ascii="Arial" w:hAnsi="Arial" w:cs="FrankRuehl" w:hint="cs"/>
          <w:sz w:val="22"/>
          <w:szCs w:val="22"/>
          <w:rtl/>
        </w:rPr>
        <w:t xml:space="preserve">). </w:t>
      </w:r>
    </w:p>
    <w:p w:rsidR="005366A8" w:rsidRPr="00EC312E" w:rsidRDefault="005366A8" w:rsidP="005366A8">
      <w:pPr>
        <w:spacing w:line="203" w:lineRule="atLeast"/>
        <w:rPr>
          <w:rFonts w:ascii="Arial" w:hAnsi="Arial" w:cs="Arial"/>
          <w:sz w:val="22"/>
          <w:szCs w:val="22"/>
          <w:rtl/>
        </w:rPr>
      </w:pPr>
      <w:r w:rsidRPr="00A836AA">
        <w:rPr>
          <w:rFonts w:ascii="Arial" w:hAnsi="Arial" w:cs="FrankRuehl" w:hint="cs"/>
          <w:sz w:val="22"/>
          <w:szCs w:val="22"/>
          <w:rtl/>
        </w:rPr>
        <w:t>על פי התיקון הוסף לחוק מבקר המדינה, תשי"ח-1958 [נוסח משולב] (להלן: </w:t>
      </w:r>
      <w:r w:rsidRPr="00A836AA">
        <w:rPr>
          <w:rFonts w:ascii="Arial" w:hAnsi="Arial" w:cs="Miriam" w:hint="cs"/>
          <w:sz w:val="22"/>
          <w:szCs w:val="22"/>
          <w:rtl/>
        </w:rPr>
        <w:t>חוק מבקר המדינה</w:t>
      </w:r>
      <w:r w:rsidRPr="00A836AA">
        <w:rPr>
          <w:rFonts w:ascii="Arial" w:hAnsi="Arial" w:cs="FrankRuehl" w:hint="cs"/>
          <w:sz w:val="22"/>
          <w:szCs w:val="22"/>
          <w:rtl/>
        </w:rPr>
        <w:t xml:space="preserve">) </w:t>
      </w:r>
      <w:r w:rsidRPr="00EC312E">
        <w:rPr>
          <w:rFonts w:ascii="Arial" w:hAnsi="Arial" w:cs="FrankRuehl" w:hint="cs"/>
          <w:sz w:val="22"/>
          <w:szCs w:val="22"/>
          <w:highlight w:val="yellow"/>
          <w:rtl/>
        </w:rPr>
        <w:t>סעיף 8ג הקובע כי מבקר המדינה אשר כהונתו הסתיימה, יהיה מוסמך לסיים הכנת דו"ח או חוות דעת בתוך שלושה חודשים מיום סיום כהונתו, ובלבד שטיוטת הדו"ח או חוות הדעת נמסרה למבוקרים לפחות שלושה חודשים לפני מועד סיום הכהונה.</w:t>
      </w:r>
    </w:p>
    <w:p w:rsidR="005366A8" w:rsidRPr="00EC312E" w:rsidRDefault="005366A8" w:rsidP="005366A8">
      <w:pPr>
        <w:spacing w:line="203" w:lineRule="atLeast"/>
        <w:rPr>
          <w:rFonts w:ascii="Arial" w:hAnsi="Arial" w:cs="Arial"/>
          <w:sz w:val="22"/>
          <w:szCs w:val="22"/>
          <w:rtl/>
        </w:rPr>
      </w:pPr>
    </w:p>
    <w:p w:rsidR="005366A8" w:rsidRDefault="005366A8" w:rsidP="005366A8">
      <w:pPr>
        <w:spacing w:line="203" w:lineRule="atLeast"/>
        <w:rPr>
          <w:rFonts w:ascii="Arial" w:hAnsi="Arial" w:cs="Arial"/>
          <w:sz w:val="22"/>
          <w:szCs w:val="22"/>
          <w:rtl/>
        </w:rPr>
      </w:pPr>
      <w:r w:rsidRPr="00EC312E">
        <w:rPr>
          <w:rFonts w:ascii="Arial" w:hAnsi="Arial" w:cs="FrankRuehl" w:hint="cs"/>
          <w:sz w:val="22"/>
          <w:szCs w:val="22"/>
          <w:rtl/>
        </w:rPr>
        <w:t>1.        </w:t>
      </w:r>
      <w:r w:rsidRPr="00A836AA">
        <w:rPr>
          <w:rFonts w:ascii="Arial" w:hAnsi="Arial" w:cs="FrankRuehl" w:hint="cs"/>
          <w:sz w:val="22"/>
          <w:szCs w:val="22"/>
          <w:rtl/>
        </w:rPr>
        <w:t>ביום 24.6.12 פורסמה מטעם הוועדה לענייני ביקורת המדינה של הכנסת הצעת חוק מבקר המדינה (תיקון מס' 45) (השלמת דין וחשבון וחוות דעת על ידי מבקר שכהונתו תמה), התשע"ב-2012.</w:t>
      </w:r>
      <w:r w:rsidRPr="00EC312E">
        <w:rPr>
          <w:rFonts w:ascii="Arial" w:hAnsi="Arial" w:cs="FrankRuehl" w:hint="cs"/>
          <w:sz w:val="22"/>
          <w:szCs w:val="22"/>
          <w:rtl/>
        </w:rPr>
        <w:t xml:space="preserve"> ביום 25.6.12 עברה הצעת החוק בקריאה ראשונה, וביום 26.6.12 עבר התיקון בקריאה שנייה ושלישית במליאת הכנסת. יוער כי התיקון נערך בתקופת פרישתו של מבקר המדינה היוצא, השופט מיכה לינדנשטראוס, אשר כהונתו פקעה במהלך חודש יולי 2012.</w:t>
      </w:r>
      <w:r>
        <w:rPr>
          <w:rFonts w:ascii="Arial" w:hAnsi="Arial" w:cs="Arial" w:hint="cs"/>
          <w:sz w:val="22"/>
          <w:szCs w:val="22"/>
          <w:rtl/>
        </w:rPr>
        <w:t xml:space="preserve"> </w:t>
      </w:r>
    </w:p>
    <w:p w:rsidR="005366A8" w:rsidRPr="00A836AA" w:rsidRDefault="005366A8" w:rsidP="005366A8">
      <w:pPr>
        <w:spacing w:line="203" w:lineRule="atLeast"/>
        <w:rPr>
          <w:rFonts w:ascii="Arial" w:hAnsi="Arial" w:cs="Arial"/>
          <w:sz w:val="22"/>
          <w:szCs w:val="22"/>
          <w:rtl/>
        </w:rPr>
      </w:pPr>
    </w:p>
    <w:p w:rsidR="005366A8" w:rsidRPr="00A836AA" w:rsidRDefault="005366A8" w:rsidP="005366A8">
      <w:pPr>
        <w:spacing w:line="203" w:lineRule="atLeast"/>
        <w:rPr>
          <w:rFonts w:ascii="Arial" w:hAnsi="Arial" w:cs="Arial"/>
          <w:sz w:val="22"/>
          <w:szCs w:val="22"/>
          <w:rtl/>
        </w:rPr>
      </w:pPr>
      <w:r w:rsidRPr="00A836AA">
        <w:rPr>
          <w:rFonts w:ascii="Arial" w:hAnsi="Arial" w:cs="Miriam" w:hint="cs"/>
          <w:sz w:val="22"/>
          <w:szCs w:val="22"/>
          <w:rtl/>
        </w:rPr>
        <w:t>טענות הצדדים</w:t>
      </w:r>
    </w:p>
    <w:p w:rsidR="005366A8" w:rsidRPr="00A836AA" w:rsidRDefault="005366A8" w:rsidP="005366A8">
      <w:pPr>
        <w:spacing w:line="203" w:lineRule="atLeast"/>
        <w:rPr>
          <w:rFonts w:ascii="Arial" w:hAnsi="Arial" w:cs="Arial"/>
          <w:sz w:val="22"/>
          <w:szCs w:val="22"/>
          <w:rtl/>
        </w:rPr>
      </w:pPr>
      <w:r w:rsidRPr="00A836AA">
        <w:rPr>
          <w:rFonts w:ascii="Arial" w:hAnsi="Arial" w:cs="FrankRuehl" w:hint="cs"/>
          <w:sz w:val="22"/>
          <w:szCs w:val="22"/>
          <w:rtl/>
        </w:rPr>
        <w:t> </w:t>
      </w:r>
    </w:p>
    <w:p w:rsidR="005366A8" w:rsidRPr="00A836AA" w:rsidRDefault="005366A8" w:rsidP="005366A8">
      <w:pPr>
        <w:spacing w:line="203" w:lineRule="atLeast"/>
        <w:rPr>
          <w:rFonts w:ascii="Arial" w:hAnsi="Arial" w:cs="Arial"/>
          <w:sz w:val="22"/>
          <w:szCs w:val="22"/>
          <w:rtl/>
        </w:rPr>
      </w:pPr>
      <w:r w:rsidRPr="00A836AA">
        <w:rPr>
          <w:rFonts w:ascii="Arial" w:hAnsi="Arial" w:cs="FrankRuehl" w:hint="cs"/>
          <w:sz w:val="22"/>
          <w:szCs w:val="22"/>
          <w:rtl/>
        </w:rPr>
        <w:t xml:space="preserve">2.        העותר מבקש, כאמור, לקבוע את בטלותו של התיקון, ולחלופין לקבוע כי לא יחול על מבקר המדינה היוצא. טענתו המרכזית של העותר כי התיקון סותר את הוראת </w:t>
      </w:r>
      <w:r w:rsidRPr="00A836AA">
        <w:rPr>
          <w:rFonts w:ascii="Arial" w:hAnsi="Arial" w:cs="FrankRuehl" w:hint="cs"/>
          <w:sz w:val="22"/>
          <w:szCs w:val="22"/>
          <w:highlight w:val="yellow"/>
          <w:rtl/>
        </w:rPr>
        <w:t>סעיף 7(ב) לחוק יסוד: מבקר המדינה (להלן: </w:t>
      </w:r>
      <w:r w:rsidRPr="00A836AA">
        <w:rPr>
          <w:rFonts w:ascii="Arial" w:hAnsi="Arial" w:cs="Miriam" w:hint="cs"/>
          <w:sz w:val="22"/>
          <w:szCs w:val="22"/>
          <w:highlight w:val="yellow"/>
          <w:rtl/>
        </w:rPr>
        <w:t>חוק היסוד</w:t>
      </w:r>
      <w:r w:rsidRPr="00A836AA">
        <w:rPr>
          <w:rFonts w:ascii="Arial" w:hAnsi="Arial" w:cs="FrankRuehl" w:hint="cs"/>
          <w:sz w:val="22"/>
          <w:szCs w:val="22"/>
          <w:highlight w:val="yellow"/>
          <w:rtl/>
        </w:rPr>
        <w:t>)</w:t>
      </w:r>
      <w:r w:rsidRPr="00A836AA">
        <w:rPr>
          <w:rFonts w:ascii="Arial" w:hAnsi="Arial" w:cs="FrankRuehl" w:hint="cs"/>
          <w:sz w:val="22"/>
          <w:szCs w:val="22"/>
          <w:rtl/>
        </w:rPr>
        <w:t xml:space="preserve"> הקובע כי </w:t>
      </w:r>
      <w:r w:rsidRPr="00A836AA">
        <w:rPr>
          <w:rFonts w:ascii="Arial" w:hAnsi="Arial" w:cs="FrankRuehl" w:hint="cs"/>
          <w:sz w:val="22"/>
          <w:szCs w:val="22"/>
          <w:highlight w:val="yellow"/>
          <w:rtl/>
        </w:rPr>
        <w:t>"תקופת כהונתו של מבקר המדינה תהיה שבע שנים".</w:t>
      </w:r>
      <w:r w:rsidRPr="00A836AA">
        <w:rPr>
          <w:rFonts w:ascii="Arial" w:hAnsi="Arial" w:cs="FrankRuehl" w:hint="cs"/>
          <w:sz w:val="22"/>
          <w:szCs w:val="22"/>
          <w:rtl/>
        </w:rPr>
        <w:t xml:space="preserve"> לטענתו, בתיקון לחוק אין כדי לעקוף את פרשנותו המפורשת של חוק היסוד לפיה כהונת המבקר נמשכת 7 שנים בלבד. עוד לטעמו, מדובר בחוק פרסונאלי וספציפי שאושר על ידי מספר קטן יחסית של חברי כנסת והוא פוגע באינטרס הציבורי.</w:t>
      </w:r>
    </w:p>
    <w:p w:rsidR="005366A8" w:rsidRPr="00A836AA" w:rsidRDefault="005366A8" w:rsidP="005366A8">
      <w:pPr>
        <w:spacing w:line="203" w:lineRule="atLeast"/>
        <w:rPr>
          <w:rFonts w:ascii="Arial" w:hAnsi="Arial" w:cs="Arial"/>
          <w:sz w:val="22"/>
          <w:szCs w:val="22"/>
          <w:rtl/>
        </w:rPr>
      </w:pPr>
      <w:r w:rsidRPr="00A836AA">
        <w:rPr>
          <w:rFonts w:ascii="Arial" w:hAnsi="Arial" w:cs="FrankRuehl" w:hint="cs"/>
          <w:sz w:val="22"/>
          <w:szCs w:val="22"/>
          <w:rtl/>
        </w:rPr>
        <w:t> </w:t>
      </w:r>
    </w:p>
    <w:p w:rsidR="005366A8" w:rsidRPr="00A836AA" w:rsidRDefault="005366A8" w:rsidP="005366A8">
      <w:pPr>
        <w:spacing w:line="203" w:lineRule="atLeast"/>
        <w:rPr>
          <w:rFonts w:ascii="Arial" w:hAnsi="Arial" w:cs="Arial"/>
          <w:sz w:val="22"/>
          <w:szCs w:val="22"/>
          <w:rtl/>
        </w:rPr>
      </w:pPr>
      <w:r w:rsidRPr="00A836AA">
        <w:rPr>
          <w:rFonts w:ascii="Arial" w:hAnsi="Arial" w:cs="FrankRuehl" w:hint="cs"/>
          <w:sz w:val="22"/>
          <w:szCs w:val="22"/>
          <w:rtl/>
        </w:rPr>
        <w:t>3.        עמדת המשיבים מלכתחילה בדיונים שנערכו בכנסת היתה כי קיים קושי חוקתי בתיקון לחוק מבקר המדינה. היועץ המשפטי לממשלה כמו גם היועץ המשפטי לכנסת סברו כי התיקון כפשוטו אינו עולה בקנה אחד עם חוק יסוד: מבקר המדינה, כי הדבר מעורר קשיים חוקתיים ומוסדיים, ולכן מלכתחילה הביעו עמדתם כנגד חקיקת החוק. עם זאת, לעת הזאת, לאחר שעבר התיקון על ידי הכנסת, עמדת המשיבים היא כי דין העתירה להידחות. המשיבים מסכימים שקיים מתח מסוים בין התיקון לבין סעיף 7(ב) לחוק היסוד, אך סבורים כי אין במתח זה כדי להוביל לבטלותו של התיקון. הם סבורים כי גם מבלי להכריע בסוגיה כבדת המשקל בעניין פגיעה בחוק יסוד נעדר שריון ונעדר פסקת הגבלה באמצעות חקיקה רגילה, יש מקום לדחות את העתירה. זאת, באמצעות פרשנות מצמצמת לתיקון באופן שימנע סתירה עם חוק היסוד. לפי פרשנות זו מכהן בפרק הזמן המדובר מבקר מדינה אחד, הוא המבקר הנכנס, וכל סמכויות מבקר המדינה לגבי כלל ענייני ביקורת המדינה נתונות בידיו. המבקר היוצא רשאי להשלים את כתיבת הדו"ח, אך מדגיש המשיב 2 כי אין הוא רשאי לפעול ללא הסכמת המבקר המכהן, וכי  תידרש הסכמה של המבקר המכהן לכל הפעולות המתבצעות על ידי המבקר היוצא וסמכויות העזר אותן הוא מפעיל במשך שלושת החודשים שלאחר סיום כהונתו. עוד, לטענת המשיב 2, יש לפרש את התיקון כך שנדרשת הסכמת המבקר הנכנס גם לשם הנחת הדו"ח על שולחן הכנסת. התיקון מכוון למקרים חריגים ויש לעשות שימוש בו במשורה. </w:t>
      </w:r>
      <w:r w:rsidRPr="00A836AA">
        <w:rPr>
          <w:rFonts w:ascii="Arial" w:hAnsi="Arial" w:cs="Arial" w:hint="cs"/>
          <w:sz w:val="22"/>
          <w:szCs w:val="22"/>
          <w:rtl/>
        </w:rPr>
        <w:t xml:space="preserve"> </w:t>
      </w:r>
    </w:p>
    <w:p w:rsidR="005366A8" w:rsidRPr="00A836AA" w:rsidRDefault="005366A8" w:rsidP="005366A8">
      <w:pPr>
        <w:spacing w:line="203" w:lineRule="atLeast"/>
        <w:rPr>
          <w:rFonts w:ascii="Arial" w:hAnsi="Arial" w:cs="Arial"/>
          <w:sz w:val="22"/>
          <w:szCs w:val="22"/>
          <w:rtl/>
        </w:rPr>
      </w:pPr>
    </w:p>
    <w:p w:rsidR="005366A8" w:rsidRPr="00A836AA" w:rsidRDefault="005366A8" w:rsidP="005366A8">
      <w:pPr>
        <w:spacing w:line="203" w:lineRule="atLeast"/>
        <w:rPr>
          <w:rFonts w:ascii="Arial" w:hAnsi="Arial" w:cs="Arial"/>
          <w:sz w:val="22"/>
          <w:szCs w:val="22"/>
          <w:rtl/>
        </w:rPr>
      </w:pPr>
      <w:r w:rsidRPr="00A836AA">
        <w:rPr>
          <w:rFonts w:ascii="Arial" w:hAnsi="Arial" w:cs="Miriam" w:hint="cs"/>
          <w:sz w:val="22"/>
          <w:szCs w:val="22"/>
          <w:rtl/>
        </w:rPr>
        <w:t>דיון והכרעה</w:t>
      </w:r>
    </w:p>
    <w:p w:rsidR="005366A8" w:rsidRPr="00A836AA" w:rsidRDefault="005366A8" w:rsidP="005366A8">
      <w:pPr>
        <w:spacing w:line="203" w:lineRule="atLeast"/>
        <w:rPr>
          <w:rFonts w:ascii="Arial" w:hAnsi="Arial" w:cs="Arial"/>
          <w:sz w:val="22"/>
          <w:szCs w:val="22"/>
          <w:rtl/>
        </w:rPr>
      </w:pPr>
      <w:r w:rsidRPr="00A836AA">
        <w:rPr>
          <w:rFonts w:ascii="Arial" w:hAnsi="Arial" w:cs="FrankRuehl" w:hint="cs"/>
          <w:sz w:val="22"/>
          <w:szCs w:val="22"/>
          <w:rtl/>
        </w:rPr>
        <w:t> </w:t>
      </w:r>
    </w:p>
    <w:p w:rsidR="005366A8" w:rsidRPr="00A836AA" w:rsidRDefault="005366A8" w:rsidP="005366A8">
      <w:pPr>
        <w:spacing w:line="203" w:lineRule="atLeast"/>
        <w:rPr>
          <w:rFonts w:ascii="Arial" w:hAnsi="Arial" w:cs="Arial"/>
          <w:sz w:val="22"/>
          <w:szCs w:val="22"/>
          <w:rtl/>
        </w:rPr>
      </w:pPr>
      <w:r w:rsidRPr="00A836AA">
        <w:rPr>
          <w:rFonts w:ascii="Arial" w:hAnsi="Arial" w:cs="FrankRuehl" w:hint="cs"/>
          <w:sz w:val="22"/>
          <w:szCs w:val="22"/>
          <w:rtl/>
        </w:rPr>
        <w:t xml:space="preserve">4.        לאחר ששמענו את טענות הצדדים הגענו לכלל מסקנה כי דין העתירה להידחות. </w:t>
      </w:r>
      <w:r w:rsidRPr="00A836AA">
        <w:rPr>
          <w:rFonts w:ascii="Arial" w:hAnsi="Arial" w:cs="FrankRuehl" w:hint="cs"/>
          <w:sz w:val="22"/>
          <w:szCs w:val="22"/>
          <w:highlight w:val="yellow"/>
          <w:rtl/>
        </w:rPr>
        <w:t>חוק יסוד: מבקר המדינה קובע כי תקופת כהונתו של מבקר המדינה תעמוד על שבע שנים, וכי המבקר יכהן תקופה אחת בלבד (סעיף 7(ב) ו-(ג) לחוק היסוד)</w:t>
      </w:r>
      <w:r w:rsidRPr="00A836AA">
        <w:rPr>
          <w:rFonts w:ascii="Arial" w:hAnsi="Arial" w:cs="FrankRuehl" w:hint="cs"/>
          <w:sz w:val="22"/>
          <w:szCs w:val="22"/>
          <w:rtl/>
        </w:rPr>
        <w:t xml:space="preserve">. המחוקק בחר </w:t>
      </w:r>
      <w:r w:rsidRPr="00A836AA">
        <w:rPr>
          <w:rFonts w:ascii="Arial" w:hAnsi="Arial" w:cs="FrankRuehl" w:hint="cs"/>
          <w:sz w:val="22"/>
          <w:szCs w:val="22"/>
          <w:highlight w:val="yellow"/>
          <w:rtl/>
        </w:rPr>
        <w:t>לגדור את משך תקופת כהונתו של מבקר המדינה, ואף עשה זאת במסגרת חוק יסוד. לא יכול להיות ספק כי קביעה לפיה מבקר המדינה היוצא יוכל להמשיך ולכהן במקביל למבקר המדינה המכהן, אף אם לתקופה קצרה, אינה עולה בקנה אחד עם ההסדר הקבוע בחוק היסוד</w:t>
      </w:r>
      <w:r w:rsidRPr="00A836AA">
        <w:rPr>
          <w:rFonts w:ascii="Arial" w:hAnsi="Arial" w:cs="FrankRuehl" w:hint="cs"/>
          <w:sz w:val="22"/>
          <w:szCs w:val="22"/>
          <w:rtl/>
        </w:rPr>
        <w:t>. מאחר שמדובר בחוק יסוד אשר אינו מכיל פסקת הגבלה או שריון כלשהו, מתעוררת לכאורה השאלה מה דינה של חקיקה רגילה של הכנסת אשר סותרת את חוק היסוד. שאלה זו נידונה באמרות אגב במספר פסקי דין, תוך קביעה כי "אין בכוחה של הוראת חוק לשנות מהוראותיו של חוק יסוד" (בג"ץ 212/03 </w:t>
      </w:r>
      <w:r w:rsidRPr="00A836AA">
        <w:rPr>
          <w:rFonts w:ascii="Arial" w:hAnsi="Arial" w:cs="Miriam" w:hint="cs"/>
          <w:sz w:val="22"/>
          <w:szCs w:val="22"/>
          <w:rtl/>
        </w:rPr>
        <w:t>חרות התנועה הלאומית נ' יו"ר ועדת הבחירות המרכזית לכנסת השש-עשרה</w:t>
      </w:r>
      <w:r w:rsidRPr="00A836AA">
        <w:rPr>
          <w:rFonts w:ascii="Arial" w:hAnsi="Arial" w:cs="FrankRuehl" w:hint="cs"/>
          <w:sz w:val="22"/>
          <w:szCs w:val="22"/>
          <w:rtl/>
        </w:rPr>
        <w:t>, פ"ד נז(1) 750, 755 (2003); כן ראו בג"ץ 2208/02 </w:t>
      </w:r>
      <w:r w:rsidRPr="00A836AA">
        <w:rPr>
          <w:rFonts w:ascii="Arial" w:hAnsi="Arial" w:cs="Miriam" w:hint="cs"/>
          <w:sz w:val="22"/>
          <w:szCs w:val="22"/>
          <w:rtl/>
        </w:rPr>
        <w:t>סלאמה נ' שר הפנים</w:t>
      </w:r>
      <w:r w:rsidRPr="00A836AA">
        <w:rPr>
          <w:rFonts w:ascii="Arial" w:hAnsi="Arial" w:cs="FrankRuehl" w:hint="cs"/>
          <w:sz w:val="22"/>
          <w:szCs w:val="22"/>
          <w:rtl/>
        </w:rPr>
        <w:t>, פ"ד נו(5) 950 (2002); בג"ץ 1384/98 </w:t>
      </w:r>
      <w:r w:rsidRPr="00A836AA">
        <w:rPr>
          <w:rFonts w:ascii="Arial" w:hAnsi="Arial" w:cs="Miriam" w:hint="cs"/>
          <w:sz w:val="22"/>
          <w:szCs w:val="22"/>
          <w:rtl/>
        </w:rPr>
        <w:t>אבני נ' ראש הממשלה</w:t>
      </w:r>
      <w:r w:rsidRPr="00A836AA">
        <w:rPr>
          <w:rFonts w:ascii="Arial" w:hAnsi="Arial" w:cs="FrankRuehl" w:hint="cs"/>
          <w:sz w:val="22"/>
          <w:szCs w:val="22"/>
          <w:rtl/>
        </w:rPr>
        <w:t xml:space="preserve">, פ"ד נב(5) 206 (1998)). עם זאת, כפי שטענו המשיבים, אין אנו נדרשים גם במסגרת זו להכריע בסוגיה, </w:t>
      </w:r>
      <w:r w:rsidRPr="00A836AA">
        <w:rPr>
          <w:rFonts w:ascii="Arial" w:hAnsi="Arial" w:cs="FrankRuehl" w:hint="cs"/>
          <w:sz w:val="22"/>
          <w:szCs w:val="22"/>
          <w:highlight w:val="yellow"/>
          <w:rtl/>
        </w:rPr>
        <w:t>וזאת מאחר שניתן לצקת לתיקון פרשנות שתמנע את הסתירה בינו לבין חוק היסוד.</w:t>
      </w:r>
    </w:p>
    <w:p w:rsidR="005366A8" w:rsidRPr="00A836AA" w:rsidRDefault="005366A8" w:rsidP="005366A8">
      <w:pPr>
        <w:spacing w:line="203" w:lineRule="atLeast"/>
        <w:rPr>
          <w:rFonts w:ascii="Arial" w:hAnsi="Arial" w:cs="Arial"/>
          <w:sz w:val="22"/>
          <w:szCs w:val="22"/>
          <w:rtl/>
        </w:rPr>
      </w:pPr>
    </w:p>
    <w:p w:rsidR="005366A8" w:rsidRPr="00EC312E" w:rsidRDefault="005366A8" w:rsidP="005366A8">
      <w:pPr>
        <w:spacing w:line="203" w:lineRule="atLeast"/>
        <w:rPr>
          <w:rFonts w:ascii="Arial" w:hAnsi="Arial" w:cs="Arial"/>
          <w:sz w:val="22"/>
          <w:szCs w:val="22"/>
          <w:rtl/>
        </w:rPr>
      </w:pPr>
      <w:r w:rsidRPr="00EC312E">
        <w:rPr>
          <w:rFonts w:ascii="Arial" w:hAnsi="Arial" w:cs="FrankRuehl" w:hint="cs"/>
          <w:sz w:val="22"/>
          <w:szCs w:val="22"/>
          <w:rtl/>
        </w:rPr>
        <w:t>5.        </w:t>
      </w:r>
      <w:r w:rsidRPr="00EC312E">
        <w:rPr>
          <w:rFonts w:ascii="Arial" w:hAnsi="Arial" w:cs="FrankRuehl" w:hint="cs"/>
          <w:sz w:val="22"/>
          <w:szCs w:val="22"/>
          <w:highlight w:val="yellow"/>
          <w:rtl/>
        </w:rPr>
        <w:t>בית משפט זה חזר ואמר לא אחת כי כאשר תוקפו של חוק מועלה לדיון ומתעורר ספק בדבר חוקתיותו, שומה על בית המשפט לבחון תחילה אם אפשרית פרשנות סבירה אשר תמנע את הסתירה בינו לבין חוק היסוד. זאת, כמובן, כל עוד פרשנות כזו אפשרית ואינה נוגדת את לשונו הברורה והמפורשת של החוק.</w:t>
      </w:r>
      <w:r w:rsidRPr="00EC312E">
        <w:rPr>
          <w:rFonts w:ascii="Arial" w:hAnsi="Arial" w:cs="FrankRuehl" w:hint="cs"/>
          <w:sz w:val="22"/>
          <w:szCs w:val="22"/>
          <w:rtl/>
        </w:rPr>
        <w:t xml:space="preserve"> ובלשונו של המשנה לנשיא, מ' חשין:</w:t>
      </w:r>
    </w:p>
    <w:p w:rsidR="005366A8" w:rsidRPr="00EC312E" w:rsidRDefault="005366A8" w:rsidP="005366A8">
      <w:pPr>
        <w:ind w:left="1642" w:right="1282"/>
        <w:rPr>
          <w:rFonts w:ascii="Arial" w:hAnsi="Arial" w:cs="Arial"/>
          <w:sz w:val="22"/>
          <w:szCs w:val="22"/>
          <w:rtl/>
        </w:rPr>
      </w:pPr>
      <w:r w:rsidRPr="00EC312E">
        <w:rPr>
          <w:rFonts w:ascii="Arial" w:hAnsi="Arial" w:cs="FrankRuehl" w:hint="cs"/>
          <w:sz w:val="22"/>
          <w:szCs w:val="22"/>
          <w:rtl/>
        </w:rPr>
        <w:t> </w:t>
      </w:r>
    </w:p>
    <w:p w:rsidR="005366A8" w:rsidRPr="00EC312E" w:rsidRDefault="005366A8" w:rsidP="005366A8">
      <w:pPr>
        <w:ind w:left="1642" w:right="1282"/>
        <w:rPr>
          <w:rFonts w:ascii="Arial" w:hAnsi="Arial" w:cs="Arial"/>
          <w:sz w:val="22"/>
          <w:szCs w:val="22"/>
          <w:rtl/>
        </w:rPr>
      </w:pPr>
      <w:r w:rsidRPr="00EC312E">
        <w:rPr>
          <w:rFonts w:ascii="Arial" w:hAnsi="Arial" w:cs="FrankRuehl" w:hint="cs"/>
          <w:sz w:val="22"/>
          <w:szCs w:val="22"/>
          <w:rtl/>
        </w:rPr>
        <w:t>"כפי שלמדנו ושנינו, עד שנידרש לטענת בטלותו של חוק, שומה עלינו, בראש וראשונה, לפרש את החוק כלשונו וכתכליתו; להוסיף ולקבוע את תחומי פרישתו; ואגב פרשנות זו הוטל עלינו הנטל לעשות כמיטבנו ולנסות להשלים בין הוראות החוק לבין הוראות חוק היסוד" (בג"צ 9098/01 </w:t>
      </w:r>
      <w:r w:rsidRPr="00EC312E">
        <w:rPr>
          <w:rFonts w:ascii="Arial" w:hAnsi="Arial" w:cs="Miriam" w:hint="cs"/>
          <w:sz w:val="22"/>
          <w:szCs w:val="22"/>
          <w:rtl/>
        </w:rPr>
        <w:t>גניס נ' משרד הבינוי והשיכון</w:t>
      </w:r>
      <w:r w:rsidRPr="00EC312E">
        <w:rPr>
          <w:rFonts w:ascii="Arial" w:hAnsi="Arial" w:cs="FrankRuehl" w:hint="cs"/>
          <w:sz w:val="22"/>
          <w:szCs w:val="22"/>
          <w:rtl/>
        </w:rPr>
        <w:t>, פ"ד נט(4) 241, 257 (2004)).</w:t>
      </w:r>
    </w:p>
    <w:p w:rsidR="005366A8" w:rsidRPr="00EC312E" w:rsidRDefault="005366A8" w:rsidP="005366A8">
      <w:pPr>
        <w:spacing w:line="203" w:lineRule="atLeast"/>
        <w:rPr>
          <w:rFonts w:ascii="Arial" w:hAnsi="Arial" w:cs="Arial"/>
          <w:sz w:val="22"/>
          <w:szCs w:val="22"/>
          <w:rtl/>
        </w:rPr>
      </w:pPr>
      <w:r w:rsidRPr="00EC312E">
        <w:rPr>
          <w:rFonts w:ascii="Arial" w:hAnsi="Arial" w:cs="FrankRuehl" w:hint="cs"/>
          <w:sz w:val="22"/>
          <w:szCs w:val="22"/>
          <w:rtl/>
        </w:rPr>
        <w:t> </w:t>
      </w:r>
    </w:p>
    <w:p w:rsidR="005366A8" w:rsidRPr="00EC312E" w:rsidRDefault="005366A8" w:rsidP="005366A8">
      <w:pPr>
        <w:spacing w:line="203" w:lineRule="atLeast"/>
        <w:rPr>
          <w:rFonts w:ascii="Arial" w:hAnsi="Arial" w:cs="Arial"/>
          <w:sz w:val="22"/>
          <w:szCs w:val="22"/>
          <w:rtl/>
        </w:rPr>
      </w:pPr>
      <w:r w:rsidRPr="00EC312E">
        <w:rPr>
          <w:rFonts w:ascii="Arial" w:hAnsi="Arial" w:cs="FrankRuehl" w:hint="cs"/>
          <w:sz w:val="22"/>
          <w:szCs w:val="22"/>
          <w:rtl/>
        </w:rPr>
        <w:t>           לכך יש להוסיף כי נקודת המוצא לבחינת חוקתיות החוק היא חזקת החוקיות, במיוחד כאשר מדובר במעשה חקיקה. בית המשפט ינהג ריסון ואיפוק בהתערבות במעשה חקיקה, במיוחד מעשה חקיקה ראשית:</w:t>
      </w:r>
    </w:p>
    <w:p w:rsidR="005366A8" w:rsidRPr="00EC312E" w:rsidRDefault="005366A8" w:rsidP="005366A8">
      <w:pPr>
        <w:spacing w:line="203" w:lineRule="atLeast"/>
        <w:rPr>
          <w:rFonts w:ascii="Arial" w:hAnsi="Arial" w:cs="Arial"/>
          <w:sz w:val="22"/>
          <w:szCs w:val="22"/>
          <w:rtl/>
        </w:rPr>
      </w:pPr>
      <w:r w:rsidRPr="00EC312E">
        <w:rPr>
          <w:rFonts w:ascii="Arial" w:hAnsi="Arial" w:cs="FrankRuehl" w:hint="cs"/>
          <w:sz w:val="22"/>
          <w:szCs w:val="22"/>
          <w:rtl/>
        </w:rPr>
        <w:t> </w:t>
      </w:r>
    </w:p>
    <w:p w:rsidR="005366A8" w:rsidRPr="00EC312E" w:rsidRDefault="005366A8" w:rsidP="005366A8">
      <w:pPr>
        <w:ind w:left="1642" w:right="1282"/>
        <w:rPr>
          <w:rFonts w:ascii="Arial" w:hAnsi="Arial" w:cs="Arial"/>
          <w:sz w:val="22"/>
          <w:szCs w:val="22"/>
          <w:rtl/>
        </w:rPr>
      </w:pPr>
      <w:r w:rsidRPr="00EC312E">
        <w:rPr>
          <w:rFonts w:ascii="Arial" w:hAnsi="Arial" w:cs="FrankRuehl" w:hint="cs"/>
          <w:sz w:val="22"/>
          <w:szCs w:val="22"/>
          <w:rtl/>
        </w:rPr>
        <w:t>"מושכלות יסוד הם כי דבר חקיקה משקף את רצון נבחרי הציבור, שההליך הדמוקרטי הפקיד בידם את מלאכת קביעת הנורמות החקיקתיות במדינה. הרשות המחוקקת היא האחראית למעשי החקיקה שנועדו להגשים תכליות ראויות באמצעים מידתיים. בית המשפט מפעיל ביקורת שיפוטית, צרה בהיקפה, על חקיקת הכנסת, ובוחן במסגרתה לא את תבונתה של החקיקה אלא את חוקתיותה" (בג"ץ 6304/09 </w:t>
      </w:r>
      <w:r w:rsidRPr="00EC312E">
        <w:rPr>
          <w:rFonts w:ascii="Arial" w:hAnsi="Arial" w:cs="Miriam" w:hint="cs"/>
          <w:sz w:val="22"/>
          <w:szCs w:val="22"/>
          <w:rtl/>
        </w:rPr>
        <w:t>לה"ב - לשכת ארגוני העצמאים והעסקים בישראל נ' היועץ המשפטי לממשלה</w:t>
      </w:r>
      <w:r w:rsidRPr="00EC312E">
        <w:rPr>
          <w:rFonts w:ascii="Arial" w:hAnsi="Arial" w:cs="FrankRuehl" w:hint="cs"/>
          <w:sz w:val="22"/>
          <w:szCs w:val="22"/>
          <w:rtl/>
        </w:rPr>
        <w:t>, פסקה 62 (לא פורסם, 2.9.10)).</w:t>
      </w:r>
    </w:p>
    <w:p w:rsidR="005366A8" w:rsidRPr="00EC312E" w:rsidRDefault="005366A8" w:rsidP="005366A8">
      <w:pPr>
        <w:spacing w:line="203" w:lineRule="atLeast"/>
        <w:rPr>
          <w:rFonts w:ascii="Arial" w:hAnsi="Arial" w:cs="Arial"/>
          <w:sz w:val="22"/>
          <w:szCs w:val="22"/>
          <w:rtl/>
        </w:rPr>
      </w:pPr>
      <w:r w:rsidRPr="00EC312E">
        <w:rPr>
          <w:rFonts w:ascii="Arial" w:hAnsi="Arial" w:cs="FrankRuehl" w:hint="cs"/>
          <w:sz w:val="22"/>
          <w:szCs w:val="22"/>
          <w:rtl/>
        </w:rPr>
        <w:t> </w:t>
      </w:r>
    </w:p>
    <w:p w:rsidR="005366A8" w:rsidRPr="00EC312E" w:rsidRDefault="005366A8" w:rsidP="005366A8">
      <w:pPr>
        <w:spacing w:line="203" w:lineRule="atLeast"/>
        <w:rPr>
          <w:rFonts w:ascii="Arial" w:hAnsi="Arial" w:cs="Arial"/>
          <w:sz w:val="22"/>
          <w:szCs w:val="22"/>
          <w:rtl/>
        </w:rPr>
      </w:pPr>
      <w:r w:rsidRPr="00EC312E">
        <w:rPr>
          <w:rFonts w:ascii="Arial" w:hAnsi="Arial" w:cs="FrankRuehl" w:hint="cs"/>
          <w:sz w:val="22"/>
          <w:szCs w:val="22"/>
          <w:rtl/>
        </w:rPr>
        <w:t>           </w:t>
      </w:r>
      <w:r w:rsidRPr="00EC312E">
        <w:rPr>
          <w:rFonts w:ascii="Arial" w:hAnsi="Arial" w:cs="FrankRuehl" w:hint="cs"/>
          <w:sz w:val="22"/>
          <w:szCs w:val="22"/>
          <w:highlight w:val="yellow"/>
          <w:rtl/>
        </w:rPr>
        <w:t>מכאן, שיש להעדיף פרשנות לתיקון שעולה בקנה אחד עם חוק יסוד: מבקר המדינה, על פני פרשנות לפיה קימת סתירה בין התיקון לבין חוק היסוד.</w:t>
      </w:r>
      <w:r w:rsidRPr="00EC312E">
        <w:rPr>
          <w:rFonts w:ascii="Arial" w:hAnsi="Arial" w:cs="FrankRuehl" w:hint="cs"/>
          <w:sz w:val="22"/>
          <w:szCs w:val="22"/>
          <w:rtl/>
        </w:rPr>
        <w:t>    </w:t>
      </w:r>
    </w:p>
    <w:p w:rsidR="005366A8" w:rsidRPr="00EC312E" w:rsidRDefault="005366A8" w:rsidP="005366A8">
      <w:pPr>
        <w:spacing w:line="203" w:lineRule="atLeast"/>
        <w:rPr>
          <w:rFonts w:ascii="Arial" w:hAnsi="Arial" w:cs="Arial"/>
          <w:sz w:val="22"/>
          <w:szCs w:val="22"/>
          <w:rtl/>
        </w:rPr>
      </w:pPr>
      <w:r w:rsidRPr="00EC312E">
        <w:rPr>
          <w:rFonts w:ascii="Arial" w:hAnsi="Arial" w:cs="FrankRuehl" w:hint="cs"/>
          <w:sz w:val="22"/>
          <w:szCs w:val="22"/>
          <w:rtl/>
        </w:rPr>
        <w:t> </w:t>
      </w:r>
    </w:p>
    <w:p w:rsidR="005366A8" w:rsidRPr="00EC312E" w:rsidRDefault="005366A8" w:rsidP="005366A8">
      <w:pPr>
        <w:spacing w:line="203" w:lineRule="atLeast"/>
        <w:rPr>
          <w:rFonts w:ascii="Arial" w:hAnsi="Arial" w:cs="Arial"/>
          <w:sz w:val="22"/>
          <w:szCs w:val="22"/>
          <w:rtl/>
        </w:rPr>
      </w:pPr>
      <w:r w:rsidRPr="00EC312E">
        <w:rPr>
          <w:rFonts w:ascii="Arial" w:hAnsi="Arial" w:cs="FrankRuehl" w:hint="cs"/>
          <w:sz w:val="22"/>
          <w:szCs w:val="22"/>
          <w:rtl/>
        </w:rPr>
        <w:t>6.        ברי כי פרשנות לתיקון המטשטשת את מועד סיום כהונת המבקר היוצא ואת עקרון רצף הכהונה, ואשר מאפשרת למבקר היוצא לפעול כמבקר מדינה במקביל למבקר המדינה המכהן, אינה עולה בקנה אחד עם התשתית החוקתית של חוק יסוד מבקר המדינה, וזאת אף אם מדובר בתקופה זמנית וקצרה. אלא שאיני סבורה כי זוהי הפרשנות המחייבת לתיקון שהתקבל בכנסת. כפי שהציעו המשיבים, ניתן להעניק לחוק פרשנות סבירה, המתיישבת עם לשונו ותכליתו, באופן שהתיקון לא יעמוד בסתירה חזיתית לחוק היסוד, ושלא יתפרש כהארכת תקופת כהונתו של המבקר היוצא כך שיכהנו שני מבקרים בו זמנית.</w:t>
      </w:r>
    </w:p>
    <w:p w:rsidR="005366A8" w:rsidRPr="00EC312E" w:rsidRDefault="005366A8" w:rsidP="005366A8">
      <w:pPr>
        <w:spacing w:line="203" w:lineRule="atLeast"/>
        <w:rPr>
          <w:rFonts w:ascii="Arial" w:hAnsi="Arial" w:cs="Arial"/>
          <w:sz w:val="22"/>
          <w:szCs w:val="22"/>
          <w:rtl/>
        </w:rPr>
      </w:pPr>
      <w:r w:rsidRPr="00EC312E">
        <w:rPr>
          <w:rFonts w:ascii="Arial" w:hAnsi="Arial" w:cs="FrankRuehl" w:hint="cs"/>
          <w:sz w:val="22"/>
          <w:szCs w:val="22"/>
          <w:rtl/>
        </w:rPr>
        <w:t> </w:t>
      </w:r>
    </w:p>
    <w:p w:rsidR="005366A8" w:rsidRPr="00EC312E" w:rsidRDefault="005366A8" w:rsidP="005366A8">
      <w:pPr>
        <w:spacing w:line="203" w:lineRule="atLeast"/>
        <w:rPr>
          <w:rFonts w:ascii="Arial" w:hAnsi="Arial" w:cs="Arial"/>
          <w:sz w:val="22"/>
          <w:szCs w:val="22"/>
          <w:rtl/>
        </w:rPr>
      </w:pPr>
      <w:r w:rsidRPr="00EC312E">
        <w:rPr>
          <w:rFonts w:ascii="Arial" w:hAnsi="Arial" w:cs="FrankRuehl" w:hint="cs"/>
          <w:sz w:val="22"/>
          <w:szCs w:val="22"/>
          <w:rtl/>
        </w:rPr>
        <w:t xml:space="preserve">7.        לשון התיקון הינה כללית ביותר, ולפיה </w:t>
      </w:r>
      <w:r w:rsidRPr="00EC312E">
        <w:rPr>
          <w:rFonts w:ascii="Arial" w:hAnsi="Arial" w:cs="FrankRuehl" w:hint="cs"/>
          <w:sz w:val="22"/>
          <w:szCs w:val="22"/>
          <w:highlight w:val="yellow"/>
          <w:rtl/>
        </w:rPr>
        <w:t>המבקר היוצא "מוסמך לסיים את הכנת הדין וחשבון או חוות הדעת" בשלושת החודשים לאחר </w:t>
      </w:r>
      <w:r w:rsidRPr="00EC312E">
        <w:rPr>
          <w:rFonts w:ascii="Arial" w:hAnsi="Arial" w:cs="Miriam" w:hint="cs"/>
          <w:sz w:val="22"/>
          <w:szCs w:val="22"/>
          <w:highlight w:val="yellow"/>
          <w:rtl/>
        </w:rPr>
        <w:t>סיום</w:t>
      </w:r>
      <w:r w:rsidRPr="00EC312E">
        <w:rPr>
          <w:rFonts w:ascii="Arial" w:hAnsi="Arial" w:cs="FrankRuehl" w:hint="cs"/>
          <w:sz w:val="22"/>
          <w:szCs w:val="22"/>
          <w:highlight w:val="yellow"/>
          <w:rtl/>
        </w:rPr>
        <w:t> כהונתו</w:t>
      </w:r>
      <w:r w:rsidRPr="00EC312E">
        <w:rPr>
          <w:rFonts w:ascii="Arial" w:hAnsi="Arial" w:cs="FrankRuehl" w:hint="cs"/>
          <w:sz w:val="22"/>
          <w:szCs w:val="22"/>
          <w:rtl/>
        </w:rPr>
        <w:t>.     </w:t>
      </w:r>
      <w:r w:rsidRPr="00EC312E">
        <w:rPr>
          <w:rFonts w:ascii="Arial" w:hAnsi="Arial" w:cs="FrankRuehl" w:hint="cs"/>
          <w:sz w:val="22"/>
          <w:szCs w:val="22"/>
          <w:highlight w:val="yellow"/>
          <w:rtl/>
        </w:rPr>
        <w:t>הפרשנות המתחייבת היא פרשנות מצמצמת אשר עיקרה הוא כי כל הסמכויות לגבי ביקורת המדינה נתונות בידי המבקר המכהן, הנכנס, בעוד המבקר היוצא סיים את כהונתו, ואין לו סמכות אלא זו הניתנת ומאושרת לו על ידי המבקר הנכנס.</w:t>
      </w:r>
      <w:r w:rsidRPr="00EC312E">
        <w:rPr>
          <w:rFonts w:ascii="Arial" w:hAnsi="Arial" w:cs="FrankRuehl" w:hint="cs"/>
          <w:sz w:val="22"/>
          <w:szCs w:val="22"/>
          <w:rtl/>
        </w:rPr>
        <w:t xml:space="preserve"> </w:t>
      </w:r>
      <w:r w:rsidRPr="00EC312E">
        <w:rPr>
          <w:rFonts w:ascii="Arial" w:hAnsi="Arial" w:cs="FrankRuehl" w:hint="cs"/>
          <w:sz w:val="22"/>
          <w:szCs w:val="22"/>
          <w:highlight w:val="yellow"/>
          <w:rtl/>
        </w:rPr>
        <w:t>המבקר היוצא, אם כן, תלוי לצורך השלמת הדו"ח בהתאם לתיקון, במבקר הנכנס. חשוב להדגיש כי גם להנחת הדו"ח שהשלמתו נתבקשה על שולחן הכנסת תידרש הסכמת המבקר המכהן שבידיו נתונה הסמכות.</w:t>
      </w:r>
      <w:r w:rsidRPr="00EC312E">
        <w:rPr>
          <w:rFonts w:ascii="Arial" w:hAnsi="Arial" w:cs="FrankRuehl" w:hint="cs"/>
          <w:sz w:val="22"/>
          <w:szCs w:val="22"/>
          <w:rtl/>
        </w:rPr>
        <w:t xml:space="preserve"> יתרה מכך, תכלית החקיקה היא השלמת הדו"ח שהחל המבקר היוצא והגשתו לכנסת, הא ותו לא, וזאת בעיקר משיקולי יעילות וחיסכון בזמן ובמשאבים. לשם כך, </w:t>
      </w:r>
      <w:r w:rsidRPr="00EC312E">
        <w:rPr>
          <w:rFonts w:ascii="Arial" w:hAnsi="Arial" w:cs="FrankRuehl" w:hint="cs"/>
          <w:sz w:val="22"/>
          <w:szCs w:val="22"/>
          <w:highlight w:val="yellow"/>
          <w:rtl/>
        </w:rPr>
        <w:t>עיקר עבודתו של המבקר היוצא בתקופת הזמן שהותיר לו התיקון, תהיה השלמת כתיבת הדו"ח אשר את הטיוטה בעניינו מסר שלושה חודשים לפחות טרם סיום כהונתו. הפעלת סמכויות עזר, כגון חקירה נוספת או השלמת הבדיקה, תיעשה באופן חריג ביותר, כל עוד הדבר הכרחי לצורך השלמת הדו"ח, וכמובן על דעת ובהסכמת המבקר המכהן. באופן כללי ניתן לומר כי התיקון נועד למקרים חריגים ביותר והשימוש בו יעשה בזהירות ובמשורה.</w:t>
      </w:r>
    </w:p>
    <w:p w:rsidR="005366A8" w:rsidRDefault="005366A8" w:rsidP="005366A8">
      <w:pPr>
        <w:spacing w:line="203" w:lineRule="atLeast"/>
        <w:rPr>
          <w:sz w:val="22"/>
          <w:szCs w:val="22"/>
          <w:rtl/>
        </w:rPr>
      </w:pPr>
      <w:r w:rsidRPr="00EC312E">
        <w:rPr>
          <w:rFonts w:ascii="Arial" w:hAnsi="Arial" w:cs="FrankRuehl" w:hint="cs"/>
          <w:sz w:val="22"/>
          <w:szCs w:val="22"/>
          <w:rtl/>
        </w:rPr>
        <w:t>  </w:t>
      </w:r>
    </w:p>
    <w:p w:rsidR="005366A8" w:rsidRDefault="005366A8" w:rsidP="005366A8">
      <w:pPr>
        <w:rPr>
          <w:sz w:val="22"/>
          <w:szCs w:val="22"/>
          <w:rtl/>
        </w:rPr>
      </w:pPr>
      <w:r>
        <w:rPr>
          <w:rFonts w:hint="cs"/>
          <w:sz w:val="22"/>
          <w:szCs w:val="22"/>
          <w:rtl/>
        </w:rPr>
        <w:t>=-=</w:t>
      </w:r>
    </w:p>
    <w:p w:rsidR="005366A8" w:rsidRDefault="005366A8" w:rsidP="005366A8">
      <w:pPr>
        <w:rPr>
          <w:sz w:val="22"/>
          <w:szCs w:val="22"/>
          <w:rtl/>
        </w:rPr>
      </w:pPr>
    </w:p>
    <w:p w:rsidR="005366A8" w:rsidRPr="00A973E6" w:rsidRDefault="005366A8" w:rsidP="005366A8">
      <w:pPr>
        <w:pStyle w:val="Heading7"/>
        <w:spacing w:after="120" w:line="240" w:lineRule="auto"/>
        <w:rPr>
          <w:rFonts w:cs="Guttman-Soncino"/>
          <w:sz w:val="32"/>
          <w:szCs w:val="32"/>
          <w:rtl/>
        </w:rPr>
      </w:pPr>
      <w:r>
        <w:rPr>
          <w:rFonts w:cs="Guttman-Soncino" w:hint="cs"/>
          <w:sz w:val="32"/>
          <w:szCs w:val="32"/>
          <w:highlight w:val="yellow"/>
          <w:rtl/>
        </w:rPr>
        <w:t>מתקל/</w:t>
      </w:r>
      <w:r w:rsidRPr="00A973E6">
        <w:rPr>
          <w:rFonts w:cs="Guttman-Soncino"/>
          <w:sz w:val="32"/>
          <w:szCs w:val="32"/>
          <w:highlight w:val="yellow"/>
          <w:rtl/>
        </w:rPr>
        <w:t>התנגשות בין חוק לבין חוק יסוד</w:t>
      </w:r>
    </w:p>
    <w:p w:rsidR="005366A8" w:rsidRPr="000B5057" w:rsidRDefault="005366A8" w:rsidP="005366A8">
      <w:pPr>
        <w:spacing w:after="120"/>
        <w:rPr>
          <w:rFonts w:ascii="Arial" w:hAnsi="Arial" w:cs="Arial"/>
          <w:b/>
          <w:bCs/>
          <w:i/>
          <w:iCs/>
          <w:sz w:val="20"/>
          <w:szCs w:val="20"/>
          <w:rtl/>
        </w:rPr>
      </w:pPr>
      <w:r w:rsidRPr="000B5057">
        <w:rPr>
          <w:rFonts w:ascii="Arial" w:hAnsi="Arial" w:cs="Arial"/>
          <w:b/>
          <w:bCs/>
          <w:i/>
          <w:iCs/>
          <w:sz w:val="20"/>
          <w:szCs w:val="20"/>
          <w:rtl/>
        </w:rPr>
        <w:t xml:space="preserve">חוק רגיל </w:t>
      </w:r>
      <w:r w:rsidRPr="000B5057">
        <w:rPr>
          <w:rFonts w:ascii="Arial" w:hAnsi="Arial" w:cs="Arial"/>
          <w:b/>
          <w:bCs/>
          <w:i/>
          <w:iCs/>
          <w:sz w:val="20"/>
          <w:szCs w:val="20"/>
          <w:u w:val="single"/>
          <w:rtl/>
        </w:rPr>
        <w:t>איננו יכול לשנות</w:t>
      </w:r>
      <w:r w:rsidRPr="000B5057">
        <w:rPr>
          <w:rFonts w:ascii="Arial" w:hAnsi="Arial" w:cs="Arial"/>
          <w:b/>
          <w:bCs/>
          <w:i/>
          <w:iCs/>
          <w:sz w:val="20"/>
          <w:szCs w:val="20"/>
          <w:rtl/>
        </w:rPr>
        <w:t xml:space="preserve"> חוק יסוד </w:t>
      </w:r>
      <w:r w:rsidRPr="000B5057">
        <w:rPr>
          <w:rFonts w:ascii="Arial" w:hAnsi="Arial" w:cs="Arial"/>
          <w:i/>
          <w:iCs/>
          <w:sz w:val="20"/>
          <w:szCs w:val="20"/>
          <w:rtl/>
        </w:rPr>
        <w:t>[</w:t>
      </w:r>
      <w:r>
        <w:rPr>
          <w:rFonts w:ascii="Arial" w:hAnsi="Arial" w:cs="Arial" w:hint="cs"/>
          <w:i/>
          <w:iCs/>
          <w:sz w:val="20"/>
          <w:szCs w:val="20"/>
          <w:rtl/>
        </w:rPr>
        <w:t>זהו ביטוי ל</w:t>
      </w:r>
      <w:r w:rsidRPr="000B5057">
        <w:rPr>
          <w:rFonts w:ascii="Arial" w:hAnsi="Arial" w:cs="Arial"/>
          <w:i/>
          <w:iCs/>
          <w:sz w:val="20"/>
          <w:szCs w:val="20"/>
          <w:rtl/>
        </w:rPr>
        <w:t>מימד "העליונות"</w:t>
      </w:r>
      <w:r>
        <w:rPr>
          <w:rFonts w:ascii="Arial" w:hAnsi="Arial" w:cs="Arial" w:hint="cs"/>
          <w:i/>
          <w:iCs/>
          <w:sz w:val="20"/>
          <w:szCs w:val="20"/>
          <w:rtl/>
        </w:rPr>
        <w:t xml:space="preserve"> של הרובד החוקתי על הרבדים שמתחתיו</w:t>
      </w:r>
      <w:r w:rsidRPr="000B5057">
        <w:rPr>
          <w:rFonts w:ascii="Arial" w:hAnsi="Arial" w:cs="Arial"/>
          <w:i/>
          <w:iCs/>
          <w:sz w:val="20"/>
          <w:szCs w:val="20"/>
          <w:rtl/>
        </w:rPr>
        <w:t>]</w:t>
      </w:r>
      <w:r w:rsidRPr="000B5057">
        <w:rPr>
          <w:rFonts w:ascii="Arial" w:hAnsi="Arial" w:cs="Arial"/>
          <w:b/>
          <w:bCs/>
          <w:i/>
          <w:iCs/>
          <w:sz w:val="20"/>
          <w:szCs w:val="20"/>
          <w:rtl/>
        </w:rPr>
        <w:t xml:space="preserve">; </w:t>
      </w:r>
    </w:p>
    <w:p w:rsidR="005366A8" w:rsidRDefault="005366A8" w:rsidP="005366A8">
      <w:pPr>
        <w:ind w:left="720" w:hanging="720"/>
        <w:rPr>
          <w:rFonts w:ascii="Arial" w:hAnsi="Arial" w:cs="Arial"/>
          <w:b/>
          <w:bCs/>
          <w:i/>
          <w:iCs/>
          <w:sz w:val="20"/>
          <w:szCs w:val="20"/>
          <w:rtl/>
        </w:rPr>
      </w:pPr>
      <w:r w:rsidRPr="000B5057">
        <w:rPr>
          <w:rFonts w:ascii="Arial" w:hAnsi="Arial" w:cs="Arial"/>
          <w:b/>
          <w:bCs/>
          <w:i/>
          <w:iCs/>
          <w:sz w:val="20"/>
          <w:szCs w:val="20"/>
          <w:rtl/>
        </w:rPr>
        <w:t xml:space="preserve">עם זאת, </w:t>
      </w:r>
      <w:r w:rsidRPr="000B5057">
        <w:rPr>
          <w:rFonts w:ascii="Arial" w:hAnsi="Arial" w:cs="Arial"/>
          <w:b/>
          <w:bCs/>
          <w:i/>
          <w:iCs/>
          <w:sz w:val="20"/>
          <w:szCs w:val="20"/>
          <w:u w:val="single"/>
          <w:rtl/>
        </w:rPr>
        <w:t>חוק יכול לפגוע</w:t>
      </w:r>
      <w:r w:rsidRPr="000B5057">
        <w:rPr>
          <w:rFonts w:ascii="Arial" w:hAnsi="Arial" w:cs="Arial"/>
          <w:b/>
          <w:bCs/>
          <w:i/>
          <w:iCs/>
          <w:sz w:val="20"/>
          <w:szCs w:val="20"/>
          <w:rtl/>
        </w:rPr>
        <w:t xml:space="preserve"> בהוראה חוקתית</w:t>
      </w:r>
      <w:r>
        <w:rPr>
          <w:rFonts w:ascii="Arial" w:hAnsi="Arial" w:cs="Arial" w:hint="cs"/>
          <w:b/>
          <w:bCs/>
          <w:i/>
          <w:iCs/>
          <w:sz w:val="20"/>
          <w:szCs w:val="20"/>
          <w:rtl/>
        </w:rPr>
        <w:t>, ואולם הוא יכול לעשות כן רק</w:t>
      </w:r>
      <w:r w:rsidRPr="000B5057">
        <w:rPr>
          <w:rFonts w:ascii="Arial" w:hAnsi="Arial" w:cs="Arial"/>
          <w:b/>
          <w:bCs/>
          <w:i/>
          <w:iCs/>
          <w:sz w:val="20"/>
          <w:szCs w:val="20"/>
          <w:rtl/>
        </w:rPr>
        <w:t xml:space="preserve"> אם המסגרת החוקתית קבעה</w:t>
      </w:r>
      <w:r>
        <w:rPr>
          <w:rFonts w:ascii="Arial" w:hAnsi="Arial" w:cs="Arial" w:hint="cs"/>
          <w:b/>
          <w:bCs/>
          <w:i/>
          <w:iCs/>
          <w:sz w:val="20"/>
          <w:szCs w:val="20"/>
          <w:rtl/>
        </w:rPr>
        <w:t xml:space="preserve"> לכך, במפורש או במשתמע, </w:t>
      </w:r>
      <w:r w:rsidRPr="000B5057">
        <w:rPr>
          <w:rFonts w:ascii="Arial" w:hAnsi="Arial" w:cs="Arial"/>
          <w:b/>
          <w:bCs/>
          <w:i/>
          <w:iCs/>
          <w:sz w:val="20"/>
          <w:szCs w:val="20"/>
          <w:rtl/>
        </w:rPr>
        <w:t>מסלול פגיעה לגיטימי</w:t>
      </w:r>
      <w:r>
        <w:rPr>
          <w:rFonts w:ascii="Arial" w:hAnsi="Arial" w:cs="Arial" w:hint="cs"/>
          <w:b/>
          <w:bCs/>
          <w:i/>
          <w:iCs/>
          <w:sz w:val="20"/>
          <w:szCs w:val="20"/>
          <w:rtl/>
        </w:rPr>
        <w:t>,</w:t>
      </w:r>
      <w:r w:rsidRPr="000B5057">
        <w:rPr>
          <w:rFonts w:ascii="Arial" w:hAnsi="Arial" w:cs="Arial"/>
          <w:b/>
          <w:bCs/>
          <w:i/>
          <w:iCs/>
          <w:sz w:val="20"/>
          <w:szCs w:val="20"/>
          <w:rtl/>
        </w:rPr>
        <w:t xml:space="preserve"> </w:t>
      </w:r>
      <w:r>
        <w:rPr>
          <w:rFonts w:ascii="Arial" w:hAnsi="Arial" w:cs="Arial" w:hint="cs"/>
          <w:b/>
          <w:bCs/>
          <w:i/>
          <w:iCs/>
          <w:sz w:val="20"/>
          <w:szCs w:val="20"/>
          <w:rtl/>
        </w:rPr>
        <w:t>ו</w:t>
      </w:r>
      <w:r w:rsidRPr="000B5057">
        <w:rPr>
          <w:rFonts w:ascii="Arial" w:hAnsi="Arial" w:cs="Arial"/>
          <w:b/>
          <w:bCs/>
          <w:i/>
          <w:iCs/>
          <w:sz w:val="20"/>
          <w:szCs w:val="20"/>
          <w:rtl/>
        </w:rPr>
        <w:t xml:space="preserve">החוק </w:t>
      </w:r>
      <w:r>
        <w:rPr>
          <w:rFonts w:ascii="Arial" w:hAnsi="Arial" w:cs="Arial" w:hint="cs"/>
          <w:b/>
          <w:bCs/>
          <w:i/>
          <w:iCs/>
          <w:sz w:val="20"/>
          <w:szCs w:val="20"/>
          <w:rtl/>
        </w:rPr>
        <w:t xml:space="preserve">אכן </w:t>
      </w:r>
      <w:r w:rsidRPr="000B5057">
        <w:rPr>
          <w:rFonts w:ascii="Arial" w:hAnsi="Arial" w:cs="Arial"/>
          <w:b/>
          <w:bCs/>
          <w:i/>
          <w:iCs/>
          <w:sz w:val="20"/>
          <w:szCs w:val="20"/>
          <w:rtl/>
        </w:rPr>
        <w:t>עומד בו</w:t>
      </w:r>
      <w:r>
        <w:rPr>
          <w:rFonts w:ascii="Arial" w:hAnsi="Arial" w:cs="Arial" w:hint="cs"/>
          <w:b/>
          <w:bCs/>
          <w:i/>
          <w:iCs/>
          <w:sz w:val="20"/>
          <w:szCs w:val="20"/>
          <w:rtl/>
        </w:rPr>
        <w:t>.</w:t>
      </w:r>
      <w:r w:rsidRPr="000B5057">
        <w:rPr>
          <w:rFonts w:ascii="Arial" w:hAnsi="Arial" w:cs="Arial"/>
          <w:b/>
          <w:bCs/>
          <w:i/>
          <w:iCs/>
          <w:sz w:val="20"/>
          <w:szCs w:val="20"/>
          <w:rtl/>
        </w:rPr>
        <w:t xml:space="preserve"> </w:t>
      </w:r>
    </w:p>
    <w:p w:rsidR="005366A8" w:rsidRPr="00AB6463" w:rsidRDefault="005366A8" w:rsidP="005366A8">
      <w:pPr>
        <w:ind w:left="1440" w:hanging="720"/>
        <w:rPr>
          <w:i/>
          <w:iCs/>
          <w:sz w:val="20"/>
          <w:szCs w:val="20"/>
          <w:rtl/>
        </w:rPr>
      </w:pPr>
      <w:r w:rsidRPr="000B5057">
        <w:rPr>
          <w:rFonts w:ascii="Arial" w:hAnsi="Arial" w:cs="Arial"/>
          <w:b/>
          <w:bCs/>
          <w:i/>
          <w:iCs/>
          <w:sz w:val="20"/>
          <w:szCs w:val="20"/>
          <w:rtl/>
        </w:rPr>
        <w:t>[</w:t>
      </w:r>
      <w:r>
        <w:rPr>
          <w:rFonts w:ascii="Arial" w:hAnsi="Arial" w:cs="Arial" w:hint="cs"/>
          <w:b/>
          <w:bCs/>
          <w:i/>
          <w:iCs/>
          <w:sz w:val="20"/>
          <w:szCs w:val="20"/>
          <w:rtl/>
        </w:rPr>
        <w:t xml:space="preserve">קביעות מפורשות: </w:t>
      </w:r>
      <w:r w:rsidRPr="000B5057">
        <w:rPr>
          <w:rFonts w:ascii="Arial" w:hAnsi="Arial" w:cs="Arial"/>
          <w:b/>
          <w:bCs/>
          <w:i/>
          <w:iCs/>
          <w:sz w:val="20"/>
          <w:szCs w:val="20"/>
          <w:rtl/>
        </w:rPr>
        <w:t>פסקת הגבלה ו/או פסקת התגברות</w:t>
      </w:r>
      <w:r>
        <w:rPr>
          <w:rFonts w:ascii="Arial" w:hAnsi="Arial" w:cs="Arial" w:hint="cs"/>
          <w:b/>
          <w:bCs/>
          <w:i/>
          <w:iCs/>
          <w:sz w:val="20"/>
          <w:szCs w:val="20"/>
          <w:rtl/>
        </w:rPr>
        <w:t>; קביעות לא מפורשות: "פסקת ההגבלה השיפוטית"]</w:t>
      </w:r>
      <w:r w:rsidRPr="000B5057">
        <w:rPr>
          <w:rFonts w:ascii="Arial" w:hAnsi="Arial" w:cs="Arial"/>
          <w:b/>
          <w:bCs/>
          <w:i/>
          <w:iCs/>
          <w:sz w:val="20"/>
          <w:szCs w:val="20"/>
          <w:rtl/>
        </w:rPr>
        <w:t>.</w:t>
      </w:r>
      <w:r w:rsidRPr="00AB6463">
        <w:rPr>
          <w:i/>
          <w:iCs/>
          <w:sz w:val="20"/>
          <w:szCs w:val="20"/>
          <w:rtl/>
        </w:rPr>
        <w:t xml:space="preserve"> </w:t>
      </w:r>
    </w:p>
    <w:p w:rsidR="005366A8" w:rsidRPr="00AB6463" w:rsidRDefault="005366A8" w:rsidP="005366A8">
      <w:pPr>
        <w:rPr>
          <w:sz w:val="20"/>
          <w:szCs w:val="20"/>
          <w:rtl/>
        </w:rPr>
      </w:pPr>
    </w:p>
    <w:p w:rsidR="005366A8" w:rsidRDefault="005366A8" w:rsidP="005366A8">
      <w:pPr>
        <w:ind w:left="720"/>
        <w:rPr>
          <w:b/>
          <w:bCs/>
          <w:sz w:val="20"/>
          <w:szCs w:val="20"/>
          <w:rtl/>
        </w:rPr>
      </w:pPr>
      <w:r w:rsidRPr="00AB6463">
        <w:rPr>
          <w:b/>
          <w:bCs/>
          <w:i/>
          <w:iCs/>
          <w:sz w:val="20"/>
          <w:szCs w:val="20"/>
          <w:rtl/>
        </w:rPr>
        <w:t xml:space="preserve"> </w:t>
      </w:r>
      <w:r w:rsidRPr="00AB6463">
        <w:rPr>
          <w:b/>
          <w:bCs/>
          <w:sz w:val="20"/>
          <w:szCs w:val="20"/>
          <w:rtl/>
        </w:rPr>
        <w:t xml:space="preserve">מהו, אם כן, </w:t>
      </w:r>
      <w:r w:rsidRPr="00164992">
        <w:rPr>
          <w:b/>
          <w:bCs/>
          <w:sz w:val="20"/>
          <w:szCs w:val="20"/>
          <w:u w:val="single"/>
          <w:rtl/>
        </w:rPr>
        <w:t>שינוי</w:t>
      </w:r>
      <w:r w:rsidRPr="00AB6463">
        <w:rPr>
          <w:b/>
          <w:bCs/>
          <w:sz w:val="20"/>
          <w:szCs w:val="20"/>
          <w:rtl/>
        </w:rPr>
        <w:t xml:space="preserve">?  </w:t>
      </w:r>
      <w:r w:rsidRPr="00164992">
        <w:rPr>
          <w:b/>
          <w:bCs/>
          <w:sz w:val="20"/>
          <w:szCs w:val="20"/>
          <w:u w:val="single"/>
          <w:rtl/>
        </w:rPr>
        <w:t>במה שונה "שינוי" מ"פגיעה"</w:t>
      </w:r>
      <w:r w:rsidRPr="00AB6463">
        <w:rPr>
          <w:b/>
          <w:bCs/>
          <w:sz w:val="20"/>
          <w:szCs w:val="20"/>
          <w:rtl/>
        </w:rPr>
        <w:t>?</w:t>
      </w:r>
      <w:r>
        <w:rPr>
          <w:rFonts w:hint="cs"/>
          <w:b/>
          <w:bCs/>
          <w:sz w:val="20"/>
          <w:szCs w:val="20"/>
          <w:rtl/>
        </w:rPr>
        <w:t xml:space="preserve"> </w:t>
      </w:r>
    </w:p>
    <w:p w:rsidR="005366A8" w:rsidRDefault="005366A8" w:rsidP="005366A8">
      <w:pPr>
        <w:ind w:left="720"/>
        <w:rPr>
          <w:b/>
          <w:bCs/>
          <w:sz w:val="20"/>
          <w:szCs w:val="20"/>
          <w:rtl/>
        </w:rPr>
      </w:pPr>
    </w:p>
    <w:p w:rsidR="005366A8" w:rsidRDefault="005366A8" w:rsidP="005366A8">
      <w:pPr>
        <w:spacing w:after="120"/>
        <w:ind w:left="720"/>
        <w:rPr>
          <w:sz w:val="20"/>
          <w:szCs w:val="20"/>
          <w:rtl/>
        </w:rPr>
      </w:pPr>
      <w:r w:rsidRPr="006917DD">
        <w:rPr>
          <w:rFonts w:hint="cs"/>
          <w:sz w:val="20"/>
          <w:szCs w:val="20"/>
          <w:rtl/>
        </w:rPr>
        <w:t xml:space="preserve">למשל, ניתן לפגוע בעקרון השוויון בבחירות בחוק רגיל שהתקבל בתנאי פסקת ההגבלה שבסעיף 4 לחוק-יסוד: הכנסת </w:t>
      </w:r>
      <w:r>
        <w:rPr>
          <w:sz w:val="20"/>
          <w:szCs w:val="20"/>
          <w:rtl/>
        </w:rPr>
        <w:t>–</w:t>
      </w:r>
      <w:r>
        <w:rPr>
          <w:rFonts w:hint="cs"/>
          <w:sz w:val="20"/>
          <w:szCs w:val="20"/>
          <w:rtl/>
        </w:rPr>
        <w:t xml:space="preserve"> חוק מימון מפלגות (</w:t>
      </w:r>
      <w:r w:rsidRPr="006C580D">
        <w:rPr>
          <w:rFonts w:hint="cs"/>
          <w:b/>
          <w:bCs/>
          <w:sz w:val="20"/>
          <w:szCs w:val="20"/>
          <w:rtl/>
        </w:rPr>
        <w:t>ברגמן</w:t>
      </w:r>
      <w:r>
        <w:rPr>
          <w:rFonts w:hint="cs"/>
          <w:sz w:val="20"/>
          <w:szCs w:val="20"/>
          <w:rtl/>
        </w:rPr>
        <w:t>); חוק העוסק בהקצאת זמן לשידורי תעמולה (</w:t>
      </w:r>
      <w:r w:rsidRPr="006C580D">
        <w:rPr>
          <w:rFonts w:hint="cs"/>
          <w:b/>
          <w:bCs/>
          <w:sz w:val="20"/>
          <w:szCs w:val="20"/>
          <w:rtl/>
        </w:rPr>
        <w:t>דרך-ארץ</w:t>
      </w:r>
      <w:r>
        <w:rPr>
          <w:rFonts w:hint="cs"/>
          <w:sz w:val="20"/>
          <w:szCs w:val="20"/>
          <w:rtl/>
        </w:rPr>
        <w:t xml:space="preserve">), וכדומה; </w:t>
      </w:r>
      <w:r w:rsidRPr="006917DD">
        <w:rPr>
          <w:rFonts w:hint="cs"/>
          <w:sz w:val="20"/>
          <w:szCs w:val="20"/>
          <w:rtl/>
        </w:rPr>
        <w:t xml:space="preserve">אך הכנסת אינה רשאית לקבוע </w:t>
      </w:r>
      <w:r>
        <w:rPr>
          <w:rFonts w:hint="cs"/>
          <w:sz w:val="20"/>
          <w:szCs w:val="20"/>
          <w:rtl/>
        </w:rPr>
        <w:t xml:space="preserve">בחוק רגיל </w:t>
      </w:r>
      <w:r w:rsidRPr="006917DD">
        <w:rPr>
          <w:rFonts w:hint="cs"/>
          <w:sz w:val="20"/>
          <w:szCs w:val="20"/>
          <w:rtl/>
        </w:rPr>
        <w:t xml:space="preserve">שיטת בחירות </w:t>
      </w:r>
      <w:r>
        <w:rPr>
          <w:rFonts w:hint="cs"/>
          <w:sz w:val="20"/>
          <w:szCs w:val="20"/>
          <w:rtl/>
        </w:rPr>
        <w:t>"</w:t>
      </w:r>
      <w:r w:rsidRPr="006917DD">
        <w:rPr>
          <w:rFonts w:hint="cs"/>
          <w:sz w:val="20"/>
          <w:szCs w:val="20"/>
          <w:rtl/>
        </w:rPr>
        <w:t>אזורית</w:t>
      </w:r>
      <w:r>
        <w:rPr>
          <w:rFonts w:hint="cs"/>
          <w:sz w:val="20"/>
          <w:szCs w:val="20"/>
          <w:rtl/>
        </w:rPr>
        <w:t>" (במקום השיטה "היחסית" הנוהגת)</w:t>
      </w:r>
      <w:r w:rsidRPr="006917DD">
        <w:rPr>
          <w:rFonts w:hint="cs"/>
          <w:sz w:val="20"/>
          <w:szCs w:val="20"/>
          <w:rtl/>
        </w:rPr>
        <w:t xml:space="preserve">. </w:t>
      </w:r>
    </w:p>
    <w:p w:rsidR="005366A8" w:rsidRPr="00C83FF8" w:rsidRDefault="005366A8" w:rsidP="005366A8">
      <w:pPr>
        <w:pStyle w:val="BodyText2"/>
        <w:spacing w:after="120"/>
        <w:jc w:val="left"/>
        <w:rPr>
          <w:rFonts w:ascii="Arial" w:hAnsi="Arial" w:cs="Arial"/>
          <w:b/>
          <w:bCs/>
          <w:sz w:val="20"/>
          <w:szCs w:val="20"/>
          <w:highlight w:val="yellow"/>
          <w:rtl/>
        </w:rPr>
      </w:pPr>
      <w:r w:rsidRPr="00A973E6">
        <w:rPr>
          <w:rFonts w:ascii="Arial" w:hAnsi="Arial" w:cs="Arial" w:hint="cs"/>
          <w:b/>
          <w:bCs/>
          <w:sz w:val="20"/>
          <w:szCs w:val="20"/>
          <w:highlight w:val="yellow"/>
          <w:rtl/>
        </w:rPr>
        <w:t xml:space="preserve">דוגמאות </w:t>
      </w:r>
      <w:r>
        <w:rPr>
          <w:rFonts w:ascii="Arial" w:hAnsi="Arial" w:cs="Arial" w:hint="cs"/>
          <w:b/>
          <w:bCs/>
          <w:sz w:val="20"/>
          <w:szCs w:val="20"/>
          <w:highlight w:val="yellow"/>
          <w:rtl/>
        </w:rPr>
        <w:t xml:space="preserve">נוספות </w:t>
      </w:r>
      <w:r w:rsidRPr="00A973E6">
        <w:rPr>
          <w:rFonts w:ascii="Arial" w:hAnsi="Arial" w:cs="Arial" w:hint="cs"/>
          <w:b/>
          <w:bCs/>
          <w:sz w:val="20"/>
          <w:szCs w:val="20"/>
          <w:highlight w:val="yellow"/>
          <w:rtl/>
        </w:rPr>
        <w:t>לדיון:</w:t>
      </w:r>
    </w:p>
    <w:p w:rsidR="005366A8" w:rsidRPr="0055538D" w:rsidRDefault="005366A8" w:rsidP="005366A8">
      <w:pPr>
        <w:ind w:left="720"/>
        <w:rPr>
          <w:sz w:val="20"/>
          <w:szCs w:val="20"/>
          <w:rtl/>
        </w:rPr>
      </w:pPr>
      <w:r w:rsidRPr="0055538D">
        <w:rPr>
          <w:rFonts w:hint="cs"/>
          <w:sz w:val="20"/>
          <w:szCs w:val="20"/>
          <w:rtl/>
        </w:rPr>
        <w:t xml:space="preserve">א. </w:t>
      </w:r>
      <w:r w:rsidRPr="0055538D">
        <w:rPr>
          <w:sz w:val="20"/>
          <w:szCs w:val="20"/>
          <w:rtl/>
        </w:rPr>
        <w:t xml:space="preserve">נניח שהכנסת </w:t>
      </w:r>
      <w:r>
        <w:rPr>
          <w:rFonts w:hint="cs"/>
          <w:sz w:val="20"/>
          <w:szCs w:val="20"/>
          <w:rtl/>
        </w:rPr>
        <w:t xml:space="preserve">תקבל חוק חדש: </w:t>
      </w:r>
      <w:r w:rsidRPr="0055538D">
        <w:rPr>
          <w:sz w:val="20"/>
          <w:szCs w:val="20"/>
          <w:rtl/>
        </w:rPr>
        <w:t xml:space="preserve">חוק </w:t>
      </w:r>
      <w:r w:rsidRPr="0055538D">
        <w:rPr>
          <w:rFonts w:hint="cs"/>
          <w:sz w:val="20"/>
          <w:szCs w:val="20"/>
          <w:rtl/>
        </w:rPr>
        <w:t>מגילת זכויות האזרח, התשע"</w:t>
      </w:r>
      <w:r>
        <w:rPr>
          <w:rFonts w:hint="cs"/>
          <w:sz w:val="20"/>
          <w:szCs w:val="20"/>
          <w:rtl/>
        </w:rPr>
        <w:t>ד</w:t>
      </w:r>
      <w:r w:rsidRPr="0055538D">
        <w:rPr>
          <w:rFonts w:hint="cs"/>
          <w:sz w:val="20"/>
          <w:szCs w:val="20"/>
          <w:rtl/>
        </w:rPr>
        <w:t>-201</w:t>
      </w:r>
      <w:r>
        <w:rPr>
          <w:rFonts w:hint="cs"/>
          <w:sz w:val="20"/>
          <w:szCs w:val="20"/>
          <w:rtl/>
        </w:rPr>
        <w:t>3, ובו תקבע</w:t>
      </w:r>
      <w:r w:rsidRPr="0055538D">
        <w:rPr>
          <w:rFonts w:hint="cs"/>
          <w:sz w:val="20"/>
          <w:szCs w:val="20"/>
          <w:rtl/>
        </w:rPr>
        <w:t xml:space="preserve"> כי "</w:t>
      </w:r>
      <w:r w:rsidRPr="0055538D">
        <w:rPr>
          <w:sz w:val="20"/>
          <w:szCs w:val="20"/>
          <w:rtl/>
        </w:rPr>
        <w:t>חופש העיסוק נתון רק לאזרחי המדינ</w:t>
      </w:r>
      <w:r w:rsidRPr="0055538D">
        <w:rPr>
          <w:rFonts w:hint="cs"/>
          <w:sz w:val="20"/>
          <w:szCs w:val="20"/>
          <w:rtl/>
        </w:rPr>
        <w:t xml:space="preserve">ה בגיל עשרים שנים ומעלה". </w:t>
      </w:r>
      <w:r w:rsidRPr="0055538D">
        <w:rPr>
          <w:rFonts w:cs="David" w:hint="cs"/>
          <w:sz w:val="20"/>
          <w:szCs w:val="20"/>
          <w:rtl/>
        </w:rPr>
        <w:t>והנה סע' 3 לחוק יסוד: חופש העיסוק קובע: "</w:t>
      </w:r>
      <w:r w:rsidRPr="0055538D">
        <w:rPr>
          <w:rFonts w:cs="David"/>
          <w:sz w:val="20"/>
          <w:szCs w:val="20"/>
          <w:rtl/>
        </w:rPr>
        <w:t>כל אזרח או תושב של המדינה זכאי לעסוק בכל עיסוק, מקצוע או משלח יד</w:t>
      </w:r>
      <w:r w:rsidRPr="0055538D">
        <w:rPr>
          <w:rFonts w:cs="David" w:hint="cs"/>
          <w:sz w:val="20"/>
          <w:szCs w:val="20"/>
          <w:rtl/>
        </w:rPr>
        <w:t>"</w:t>
      </w:r>
      <w:r w:rsidRPr="0055538D">
        <w:rPr>
          <w:rFonts w:cs="David"/>
          <w:sz w:val="20"/>
          <w:szCs w:val="20"/>
          <w:rtl/>
        </w:rPr>
        <w:t>.</w:t>
      </w:r>
    </w:p>
    <w:p w:rsidR="005366A8" w:rsidRPr="0055538D" w:rsidRDefault="005366A8" w:rsidP="005366A8">
      <w:pPr>
        <w:ind w:left="720"/>
        <w:rPr>
          <w:sz w:val="20"/>
          <w:szCs w:val="20"/>
          <w:rtl/>
        </w:rPr>
      </w:pPr>
    </w:p>
    <w:p w:rsidR="005366A8" w:rsidRDefault="005366A8" w:rsidP="005366A8">
      <w:pPr>
        <w:ind w:left="720"/>
        <w:rPr>
          <w:sz w:val="20"/>
          <w:szCs w:val="20"/>
          <w:rtl/>
        </w:rPr>
      </w:pPr>
      <w:r w:rsidRPr="0055538D">
        <w:rPr>
          <w:rFonts w:hint="cs"/>
          <w:sz w:val="20"/>
          <w:szCs w:val="20"/>
          <w:rtl/>
        </w:rPr>
        <w:t xml:space="preserve">ב. </w:t>
      </w:r>
      <w:r w:rsidRPr="0055538D">
        <w:rPr>
          <w:sz w:val="20"/>
          <w:szCs w:val="20"/>
          <w:rtl/>
        </w:rPr>
        <w:t xml:space="preserve">נניח </w:t>
      </w:r>
      <w:r>
        <w:rPr>
          <w:rFonts w:hint="cs"/>
          <w:sz w:val="20"/>
          <w:szCs w:val="20"/>
          <w:rtl/>
        </w:rPr>
        <w:t xml:space="preserve">כי בחודש ינואר 2014 מתקבל </w:t>
      </w:r>
      <w:r w:rsidRPr="0055538D">
        <w:rPr>
          <w:sz w:val="20"/>
          <w:szCs w:val="20"/>
          <w:rtl/>
        </w:rPr>
        <w:t xml:space="preserve">חוק </w:t>
      </w:r>
      <w:r w:rsidRPr="0055538D">
        <w:rPr>
          <w:rFonts w:hint="cs"/>
          <w:sz w:val="20"/>
          <w:szCs w:val="20"/>
          <w:rtl/>
        </w:rPr>
        <w:t>מדבירי מזיקים בחקלאות</w:t>
      </w:r>
      <w:r w:rsidRPr="0055538D">
        <w:rPr>
          <w:sz w:val="20"/>
          <w:szCs w:val="20"/>
          <w:rtl/>
        </w:rPr>
        <w:t>, התש</w:t>
      </w:r>
      <w:r w:rsidRPr="0055538D">
        <w:rPr>
          <w:rFonts w:hint="cs"/>
          <w:sz w:val="20"/>
          <w:szCs w:val="20"/>
          <w:rtl/>
        </w:rPr>
        <w:t>ע"</w:t>
      </w:r>
      <w:r>
        <w:rPr>
          <w:rFonts w:hint="cs"/>
          <w:sz w:val="20"/>
          <w:szCs w:val="20"/>
          <w:rtl/>
        </w:rPr>
        <w:t>ד</w:t>
      </w:r>
      <w:r w:rsidRPr="0055538D">
        <w:rPr>
          <w:rFonts w:hint="cs"/>
          <w:sz w:val="20"/>
          <w:szCs w:val="20"/>
          <w:rtl/>
        </w:rPr>
        <w:t>-201</w:t>
      </w:r>
      <w:r>
        <w:rPr>
          <w:rFonts w:hint="cs"/>
          <w:sz w:val="20"/>
          <w:szCs w:val="20"/>
          <w:rtl/>
        </w:rPr>
        <w:t>4</w:t>
      </w:r>
      <w:r w:rsidRPr="0055538D">
        <w:rPr>
          <w:sz w:val="20"/>
          <w:szCs w:val="20"/>
          <w:rtl/>
        </w:rPr>
        <w:t>, הקובע</w:t>
      </w:r>
      <w:r w:rsidRPr="0055538D">
        <w:rPr>
          <w:rFonts w:hint="cs"/>
          <w:sz w:val="20"/>
          <w:szCs w:val="20"/>
          <w:rtl/>
        </w:rPr>
        <w:t>,</w:t>
      </w:r>
      <w:r w:rsidRPr="0055538D">
        <w:rPr>
          <w:sz w:val="20"/>
          <w:szCs w:val="20"/>
          <w:rtl/>
        </w:rPr>
        <w:t xml:space="preserve"> כי "עבודת </w:t>
      </w:r>
      <w:r w:rsidRPr="0055538D">
        <w:rPr>
          <w:rFonts w:hint="cs"/>
          <w:sz w:val="20"/>
          <w:szCs w:val="20"/>
          <w:rtl/>
        </w:rPr>
        <w:t>מדביר מזיקים בחקלאות</w:t>
      </w:r>
      <w:r w:rsidRPr="0055538D">
        <w:rPr>
          <w:sz w:val="20"/>
          <w:szCs w:val="20"/>
          <w:rtl/>
        </w:rPr>
        <w:t xml:space="preserve"> טעונה רישוי".</w:t>
      </w:r>
    </w:p>
    <w:p w:rsidR="005366A8" w:rsidRDefault="005366A8" w:rsidP="005366A8">
      <w:pPr>
        <w:ind w:left="720"/>
        <w:rPr>
          <w:sz w:val="20"/>
          <w:szCs w:val="20"/>
          <w:rtl/>
        </w:rPr>
      </w:pPr>
    </w:p>
    <w:p w:rsidR="005366A8" w:rsidRDefault="005366A8" w:rsidP="005366A8">
      <w:pPr>
        <w:ind w:left="720"/>
        <w:rPr>
          <w:sz w:val="20"/>
          <w:szCs w:val="20"/>
          <w:rtl/>
        </w:rPr>
      </w:pPr>
      <w:r>
        <w:rPr>
          <w:rFonts w:hint="cs"/>
          <w:sz w:val="20"/>
          <w:szCs w:val="20"/>
          <w:rtl/>
        </w:rPr>
        <w:t>ג. [ראו תשובה מפורטת בהמשך]</w:t>
      </w:r>
    </w:p>
    <w:p w:rsidR="005366A8" w:rsidRPr="00E43D60" w:rsidRDefault="005366A8" w:rsidP="005366A8">
      <w:pPr>
        <w:ind w:left="720"/>
        <w:rPr>
          <w:sz w:val="20"/>
          <w:szCs w:val="20"/>
          <w:rtl/>
        </w:rPr>
      </w:pPr>
      <w:r w:rsidRPr="00E43D60">
        <w:rPr>
          <w:sz w:val="20"/>
          <w:szCs w:val="20"/>
          <w:rtl/>
        </w:rPr>
        <w:t>הניחו כי ב-4 לנובמבר 20</w:t>
      </w:r>
      <w:r>
        <w:rPr>
          <w:rFonts w:hint="cs"/>
          <w:sz w:val="20"/>
          <w:szCs w:val="20"/>
          <w:rtl/>
        </w:rPr>
        <w:t>13</w:t>
      </w:r>
      <w:r w:rsidRPr="00E43D60">
        <w:rPr>
          <w:sz w:val="20"/>
          <w:szCs w:val="20"/>
          <w:rtl/>
        </w:rPr>
        <w:t xml:space="preserve"> מקבלת הכנסת את </w:t>
      </w:r>
      <w:r w:rsidRPr="00E43D60">
        <w:rPr>
          <w:b/>
          <w:bCs/>
          <w:sz w:val="20"/>
          <w:szCs w:val="20"/>
          <w:rtl/>
        </w:rPr>
        <w:t>חוק שחרור על תנאי ממאסר (תיקון), תש</w:t>
      </w:r>
      <w:r>
        <w:rPr>
          <w:rFonts w:hint="cs"/>
          <w:b/>
          <w:bCs/>
          <w:sz w:val="20"/>
          <w:szCs w:val="20"/>
          <w:rtl/>
        </w:rPr>
        <w:t>ע</w:t>
      </w:r>
      <w:r w:rsidRPr="00E43D60">
        <w:rPr>
          <w:b/>
          <w:bCs/>
          <w:sz w:val="20"/>
          <w:szCs w:val="20"/>
          <w:rtl/>
        </w:rPr>
        <w:t>"</w:t>
      </w:r>
      <w:r>
        <w:rPr>
          <w:rFonts w:hint="cs"/>
          <w:b/>
          <w:bCs/>
          <w:sz w:val="20"/>
          <w:szCs w:val="20"/>
          <w:rtl/>
        </w:rPr>
        <w:t>ד</w:t>
      </w:r>
      <w:r w:rsidRPr="00E43D60">
        <w:rPr>
          <w:b/>
          <w:bCs/>
          <w:sz w:val="20"/>
          <w:szCs w:val="20"/>
          <w:rtl/>
        </w:rPr>
        <w:t>-20</w:t>
      </w:r>
      <w:r>
        <w:rPr>
          <w:rFonts w:hint="cs"/>
          <w:b/>
          <w:bCs/>
          <w:sz w:val="20"/>
          <w:szCs w:val="20"/>
          <w:rtl/>
        </w:rPr>
        <w:t>13</w:t>
      </w:r>
      <w:r w:rsidRPr="00E43D60">
        <w:rPr>
          <w:b/>
          <w:bCs/>
          <w:sz w:val="20"/>
          <w:szCs w:val="20"/>
          <w:rtl/>
        </w:rPr>
        <w:t xml:space="preserve"> </w:t>
      </w:r>
      <w:r w:rsidRPr="00E43D60">
        <w:rPr>
          <w:sz w:val="20"/>
          <w:szCs w:val="20"/>
          <w:rtl/>
        </w:rPr>
        <w:t>אשר קובע:</w:t>
      </w:r>
    </w:p>
    <w:p w:rsidR="005366A8" w:rsidRPr="00E43D60" w:rsidRDefault="005366A8" w:rsidP="005366A8">
      <w:pPr>
        <w:ind w:left="720"/>
        <w:rPr>
          <w:sz w:val="20"/>
          <w:szCs w:val="20"/>
          <w:rtl/>
        </w:rPr>
      </w:pPr>
      <w:r w:rsidRPr="00E43D60">
        <w:rPr>
          <w:sz w:val="20"/>
          <w:szCs w:val="20"/>
          <w:rtl/>
        </w:rPr>
        <w:t>בחוק שחרור על-תנאי ממאסר, תשס"א-</w:t>
      </w:r>
      <w:r w:rsidRPr="00E43D60">
        <w:rPr>
          <w:sz w:val="20"/>
          <w:szCs w:val="20"/>
        </w:rPr>
        <w:t>2001</w:t>
      </w:r>
      <w:r w:rsidRPr="00E43D60">
        <w:rPr>
          <w:sz w:val="20"/>
          <w:szCs w:val="20"/>
          <w:rtl/>
        </w:rPr>
        <w:t xml:space="preserve"> בסעיף 5,</w:t>
      </w:r>
      <w:r w:rsidRPr="00E43D60">
        <w:rPr>
          <w:sz w:val="20"/>
          <w:szCs w:val="20"/>
        </w:rPr>
        <w:t xml:space="preserve"> </w:t>
      </w:r>
      <w:r w:rsidRPr="00E43D60">
        <w:rPr>
          <w:sz w:val="20"/>
          <w:szCs w:val="20"/>
          <w:rtl/>
        </w:rPr>
        <w:t>האמור בו יסומן "(א)" ואחריו יבוא:</w:t>
      </w:r>
    </w:p>
    <w:p w:rsidR="005366A8" w:rsidRPr="00E43D60" w:rsidRDefault="005366A8" w:rsidP="005366A8">
      <w:pPr>
        <w:ind w:left="1440"/>
        <w:rPr>
          <w:sz w:val="20"/>
          <w:szCs w:val="20"/>
          <w:rtl/>
        </w:rPr>
      </w:pPr>
      <w:r w:rsidRPr="00E43D60">
        <w:rPr>
          <w:sz w:val="20"/>
          <w:szCs w:val="20"/>
          <w:rtl/>
        </w:rPr>
        <w:t>ב. הורשע אדם ברצח ראש הממשלה והתברר כי פעל ממניע</w:t>
      </w:r>
      <w:r w:rsidRPr="00E43D60">
        <w:rPr>
          <w:sz w:val="20"/>
          <w:szCs w:val="20"/>
        </w:rPr>
        <w:t xml:space="preserve"> </w:t>
      </w:r>
      <w:r w:rsidRPr="00E43D60">
        <w:rPr>
          <w:sz w:val="20"/>
          <w:szCs w:val="20"/>
          <w:rtl/>
        </w:rPr>
        <w:t>פוליטי-אידיאולוגי, לא תינתן לו חנינה, בין אם בדרך של קציבת עונש ובין אם בדרך אחרת. כן לא יופחת עונשו ולא תקוצר תקופת מאסרו.</w:t>
      </w:r>
    </w:p>
    <w:p w:rsidR="005366A8" w:rsidRDefault="005366A8" w:rsidP="005366A8">
      <w:pPr>
        <w:ind w:left="720"/>
        <w:rPr>
          <w:sz w:val="20"/>
          <w:szCs w:val="20"/>
          <w:rtl/>
        </w:rPr>
      </w:pPr>
      <w:r w:rsidRPr="00E43D60">
        <w:rPr>
          <w:rFonts w:hint="cs"/>
          <w:sz w:val="20"/>
          <w:szCs w:val="20"/>
          <w:rtl/>
        </w:rPr>
        <w:t xml:space="preserve">סע' 11 (ב) </w:t>
      </w:r>
      <w:r w:rsidRPr="00E43D60">
        <w:rPr>
          <w:rFonts w:hint="cs"/>
          <w:b/>
          <w:bCs/>
          <w:sz w:val="20"/>
          <w:szCs w:val="20"/>
          <w:rtl/>
        </w:rPr>
        <w:t>לחוק יסוד</w:t>
      </w:r>
      <w:r>
        <w:rPr>
          <w:rFonts w:hint="cs"/>
          <w:b/>
          <w:bCs/>
          <w:sz w:val="20"/>
          <w:szCs w:val="20"/>
          <w:rtl/>
        </w:rPr>
        <w:t>:</w:t>
      </w:r>
      <w:r w:rsidRPr="00E43D60">
        <w:rPr>
          <w:rFonts w:hint="cs"/>
          <w:b/>
          <w:bCs/>
          <w:sz w:val="20"/>
          <w:szCs w:val="20"/>
          <w:rtl/>
        </w:rPr>
        <w:t xml:space="preserve"> הנשיא</w:t>
      </w:r>
      <w:r>
        <w:rPr>
          <w:rFonts w:hint="cs"/>
          <w:sz w:val="20"/>
          <w:szCs w:val="20"/>
          <w:rtl/>
        </w:rPr>
        <w:t xml:space="preserve"> קובע: </w:t>
      </w:r>
      <w:r w:rsidRPr="00E43D60">
        <w:rPr>
          <w:rFonts w:hint="cs"/>
          <w:sz w:val="20"/>
          <w:szCs w:val="20"/>
          <w:rtl/>
        </w:rPr>
        <w:t>"</w:t>
      </w:r>
      <w:r w:rsidRPr="00E43D60">
        <w:rPr>
          <w:sz w:val="20"/>
          <w:szCs w:val="20"/>
          <w:rtl/>
        </w:rPr>
        <w:t>לנשיא המדינה נתונה הסמכות לחון עבריינים ולהקל בעונשים על ידי הפחתתם או המרתם</w:t>
      </w:r>
      <w:r w:rsidRPr="00E43D60">
        <w:rPr>
          <w:rFonts w:hint="cs"/>
          <w:sz w:val="20"/>
          <w:szCs w:val="20"/>
          <w:rtl/>
        </w:rPr>
        <w:t>"</w:t>
      </w:r>
      <w:r w:rsidRPr="00E43D60">
        <w:rPr>
          <w:sz w:val="20"/>
          <w:szCs w:val="20"/>
          <w:rtl/>
        </w:rPr>
        <w:t>.</w:t>
      </w:r>
    </w:p>
    <w:p w:rsidR="005366A8" w:rsidRDefault="005366A8" w:rsidP="005366A8">
      <w:pPr>
        <w:ind w:left="720"/>
        <w:rPr>
          <w:sz w:val="20"/>
          <w:szCs w:val="20"/>
          <w:rtl/>
        </w:rPr>
      </w:pPr>
    </w:p>
    <w:p w:rsidR="005366A8" w:rsidRPr="00E43D60" w:rsidRDefault="005366A8" w:rsidP="005366A8">
      <w:pPr>
        <w:ind w:left="720"/>
        <w:rPr>
          <w:sz w:val="20"/>
          <w:szCs w:val="20"/>
          <w:rtl/>
        </w:rPr>
      </w:pPr>
      <w:r>
        <w:rPr>
          <w:rFonts w:hint="cs"/>
          <w:sz w:val="20"/>
          <w:szCs w:val="20"/>
          <w:rtl/>
        </w:rPr>
        <w:t xml:space="preserve">ד. [בהמשך] פס"ד </w:t>
      </w:r>
      <w:r w:rsidRPr="005A1C91">
        <w:rPr>
          <w:rFonts w:hint="cs"/>
          <w:b/>
          <w:bCs/>
          <w:sz w:val="20"/>
          <w:szCs w:val="20"/>
          <w:rtl/>
        </w:rPr>
        <w:t>חירות</w:t>
      </w:r>
      <w:r>
        <w:rPr>
          <w:rFonts w:hint="cs"/>
          <w:sz w:val="20"/>
          <w:szCs w:val="20"/>
          <w:rtl/>
        </w:rPr>
        <w:t xml:space="preserve">: המתקל (או המתקל לכאורה) בין </w:t>
      </w:r>
      <w:r w:rsidRPr="00FF5E8E">
        <w:rPr>
          <w:rFonts w:cs="David"/>
          <w:b/>
          <w:bCs/>
          <w:sz w:val="20"/>
          <w:szCs w:val="20"/>
          <w:rtl/>
        </w:rPr>
        <w:t>סע</w:t>
      </w:r>
      <w:r>
        <w:rPr>
          <w:rFonts w:cs="David" w:hint="cs"/>
          <w:b/>
          <w:bCs/>
          <w:sz w:val="20"/>
          <w:szCs w:val="20"/>
          <w:rtl/>
        </w:rPr>
        <w:t>'</w:t>
      </w:r>
      <w:r w:rsidRPr="00FF5E8E">
        <w:rPr>
          <w:rFonts w:cs="David"/>
          <w:b/>
          <w:bCs/>
          <w:sz w:val="20"/>
          <w:szCs w:val="20"/>
          <w:rtl/>
        </w:rPr>
        <w:t xml:space="preserve"> 137 לחוק הבחירות לכנסת [נוסח משולב], התשכ"ט-1969</w:t>
      </w:r>
      <w:r>
        <w:rPr>
          <w:rFonts w:hint="cs"/>
          <w:sz w:val="20"/>
          <w:szCs w:val="20"/>
          <w:rtl/>
        </w:rPr>
        <w:t xml:space="preserve"> לבין</w:t>
      </w:r>
      <w:r w:rsidRPr="005A1C91">
        <w:rPr>
          <w:rFonts w:cs="David"/>
          <w:b/>
          <w:bCs/>
          <w:sz w:val="20"/>
          <w:szCs w:val="20"/>
          <w:rtl/>
        </w:rPr>
        <w:t xml:space="preserve"> </w:t>
      </w:r>
      <w:r>
        <w:rPr>
          <w:rFonts w:cs="David" w:hint="cs"/>
          <w:b/>
          <w:bCs/>
          <w:sz w:val="20"/>
          <w:szCs w:val="20"/>
          <w:rtl/>
        </w:rPr>
        <w:t>סע' 15 ל</w:t>
      </w:r>
      <w:r w:rsidRPr="00FF5E8E">
        <w:rPr>
          <w:rFonts w:cs="David"/>
          <w:b/>
          <w:bCs/>
          <w:sz w:val="20"/>
          <w:szCs w:val="20"/>
          <w:rtl/>
        </w:rPr>
        <w:t>חוק יסוד: השפיטה</w:t>
      </w:r>
      <w:r>
        <w:rPr>
          <w:rFonts w:hint="cs"/>
          <w:sz w:val="20"/>
          <w:szCs w:val="20"/>
          <w:rtl/>
        </w:rPr>
        <w:t xml:space="preserve"> </w:t>
      </w:r>
    </w:p>
    <w:p w:rsidR="005366A8" w:rsidRDefault="005366A8" w:rsidP="005366A8">
      <w:pPr>
        <w:rPr>
          <w:sz w:val="20"/>
          <w:szCs w:val="20"/>
          <w:rtl/>
        </w:rPr>
      </w:pPr>
    </w:p>
    <w:p w:rsidR="005366A8" w:rsidRDefault="005366A8" w:rsidP="005366A8">
      <w:pPr>
        <w:rPr>
          <w:b/>
          <w:bCs/>
          <w:sz w:val="20"/>
          <w:szCs w:val="20"/>
          <w:rtl/>
        </w:rPr>
      </w:pPr>
      <w:r>
        <w:rPr>
          <w:rFonts w:hint="cs"/>
          <w:b/>
          <w:bCs/>
          <w:sz w:val="20"/>
          <w:szCs w:val="20"/>
          <w:rtl/>
        </w:rPr>
        <w:t>=-=</w:t>
      </w:r>
    </w:p>
    <w:p w:rsidR="005366A8" w:rsidRDefault="005366A8" w:rsidP="005366A8">
      <w:pPr>
        <w:tabs>
          <w:tab w:val="num" w:pos="5040"/>
        </w:tabs>
        <w:spacing w:after="120"/>
        <w:jc w:val="center"/>
        <w:rPr>
          <w:rFonts w:ascii="Arial" w:hAnsi="Arial" w:cs="Arial"/>
          <w:b/>
          <w:bCs/>
          <w:sz w:val="22"/>
          <w:szCs w:val="22"/>
          <w:highlight w:val="yellow"/>
          <w:u w:val="single"/>
          <w:rtl/>
        </w:rPr>
      </w:pPr>
      <w:r>
        <w:rPr>
          <w:rFonts w:ascii="Arial" w:hAnsi="Arial" w:cs="Arial" w:hint="cs"/>
          <w:b/>
          <w:bCs/>
          <w:sz w:val="22"/>
          <w:szCs w:val="22"/>
          <w:highlight w:val="yellow"/>
          <w:u w:val="single"/>
          <w:rtl/>
        </w:rPr>
        <w:t>דוגמא נוספת ל</w:t>
      </w:r>
      <w:r w:rsidRPr="00A36A64">
        <w:rPr>
          <w:rFonts w:ascii="Arial" w:hAnsi="Arial" w:cs="Arial" w:hint="cs"/>
          <w:b/>
          <w:bCs/>
          <w:sz w:val="22"/>
          <w:szCs w:val="22"/>
          <w:highlight w:val="yellow"/>
          <w:u w:val="single"/>
          <w:rtl/>
        </w:rPr>
        <w:t xml:space="preserve">מתקל דינים לכאורה </w:t>
      </w:r>
    </w:p>
    <w:p w:rsidR="005366A8" w:rsidRPr="007C7715" w:rsidRDefault="005366A8" w:rsidP="005366A8">
      <w:pPr>
        <w:tabs>
          <w:tab w:val="num" w:pos="5040"/>
        </w:tabs>
        <w:spacing w:after="120"/>
        <w:jc w:val="center"/>
        <w:rPr>
          <w:rFonts w:ascii="Arial" w:hAnsi="Arial" w:cs="Arial"/>
          <w:b/>
          <w:bCs/>
          <w:sz w:val="28"/>
          <w:szCs w:val="28"/>
          <w:highlight w:val="yellow"/>
          <w:u w:val="single"/>
          <w:rtl/>
        </w:rPr>
      </w:pPr>
      <w:r w:rsidRPr="007C7715">
        <w:rPr>
          <w:rFonts w:ascii="Arial" w:hAnsi="Arial" w:cs="Arial" w:hint="cs"/>
          <w:b/>
          <w:bCs/>
          <w:sz w:val="28"/>
          <w:szCs w:val="28"/>
          <w:highlight w:val="yellow"/>
          <w:u w:val="single"/>
          <w:rtl/>
        </w:rPr>
        <w:t xml:space="preserve">בהקשרם של חוקי יסוד </w:t>
      </w:r>
      <w:r w:rsidRPr="007C7715">
        <w:rPr>
          <w:rFonts w:ascii="Arial" w:hAnsi="Arial" w:cs="Arial" w:hint="cs"/>
          <w:b/>
          <w:bCs/>
          <w:i/>
          <w:iCs/>
          <w:sz w:val="28"/>
          <w:szCs w:val="28"/>
          <w:highlight w:val="yellow"/>
          <w:u w:val="single"/>
          <w:rtl/>
        </w:rPr>
        <w:t>ללא</w:t>
      </w:r>
      <w:r w:rsidRPr="007C7715">
        <w:rPr>
          <w:rFonts w:ascii="Arial" w:hAnsi="Arial" w:cs="Arial" w:hint="cs"/>
          <w:b/>
          <w:bCs/>
          <w:sz w:val="28"/>
          <w:szCs w:val="28"/>
          <w:highlight w:val="yellow"/>
          <w:u w:val="single"/>
          <w:rtl/>
        </w:rPr>
        <w:t xml:space="preserve"> פסקת הגבלה </w:t>
      </w:r>
      <w:r w:rsidRPr="007C7715">
        <w:rPr>
          <w:rFonts w:ascii="Arial" w:hAnsi="Arial" w:cs="Arial"/>
          <w:b/>
          <w:bCs/>
          <w:sz w:val="28"/>
          <w:szCs w:val="28"/>
          <w:highlight w:val="yellow"/>
          <w:u w:val="single"/>
          <w:rtl/>
        </w:rPr>
        <w:t>–</w:t>
      </w:r>
      <w:r w:rsidRPr="007C7715">
        <w:rPr>
          <w:rFonts w:ascii="Arial" w:hAnsi="Arial" w:cs="Arial" w:hint="cs"/>
          <w:b/>
          <w:bCs/>
          <w:sz w:val="28"/>
          <w:szCs w:val="28"/>
          <w:highlight w:val="yellow"/>
          <w:u w:val="single"/>
          <w:rtl/>
        </w:rPr>
        <w:t xml:space="preserve"> </w:t>
      </w:r>
    </w:p>
    <w:p w:rsidR="005366A8" w:rsidRPr="00F70B29" w:rsidRDefault="005366A8" w:rsidP="005366A8">
      <w:pPr>
        <w:tabs>
          <w:tab w:val="num" w:pos="5040"/>
        </w:tabs>
        <w:spacing w:after="120"/>
        <w:rPr>
          <w:rFonts w:ascii="Arial" w:hAnsi="Arial" w:cs="Arial"/>
          <w:b/>
          <w:bCs/>
          <w:sz w:val="22"/>
          <w:szCs w:val="22"/>
          <w:u w:val="single"/>
          <w:rtl/>
        </w:rPr>
      </w:pPr>
      <w:r w:rsidRPr="00F70B29">
        <w:rPr>
          <w:rFonts w:ascii="Arial" w:hAnsi="Arial" w:cs="Arial" w:hint="cs"/>
          <w:b/>
          <w:bCs/>
          <w:sz w:val="22"/>
          <w:szCs w:val="22"/>
          <w:u w:val="single"/>
          <w:rtl/>
        </w:rPr>
        <w:t xml:space="preserve">רעיון "פסקת ההגבלה השיפוטית"; </w:t>
      </w:r>
    </w:p>
    <w:p w:rsidR="005366A8" w:rsidRPr="00F70B29" w:rsidRDefault="005366A8" w:rsidP="005366A8">
      <w:pPr>
        <w:tabs>
          <w:tab w:val="num" w:pos="5040"/>
        </w:tabs>
        <w:spacing w:after="240"/>
        <w:rPr>
          <w:sz w:val="22"/>
          <w:szCs w:val="22"/>
          <w:rtl/>
        </w:rPr>
      </w:pPr>
      <w:r w:rsidRPr="00F70B29">
        <w:rPr>
          <w:rFonts w:ascii="Arial" w:hAnsi="Arial" w:cs="Arial" w:hint="cs"/>
          <w:b/>
          <w:bCs/>
          <w:sz w:val="22"/>
          <w:szCs w:val="22"/>
          <w:u w:val="single"/>
          <w:rtl/>
        </w:rPr>
        <w:t>וכן דוגמאות ביחס לפעולתה של הפרשנות</w:t>
      </w:r>
      <w:r w:rsidRPr="00F70B29">
        <w:rPr>
          <w:rFonts w:hint="cs"/>
          <w:sz w:val="22"/>
          <w:szCs w:val="22"/>
          <w:rtl/>
        </w:rPr>
        <w:t xml:space="preserve"> </w:t>
      </w:r>
      <w:r w:rsidRPr="00F70B29">
        <w:rPr>
          <w:sz w:val="22"/>
          <w:szCs w:val="22"/>
          <w:rtl/>
        </w:rPr>
        <w:t xml:space="preserve"> </w:t>
      </w:r>
    </w:p>
    <w:p w:rsidR="005366A8" w:rsidRPr="00F70B29" w:rsidRDefault="005366A8" w:rsidP="005366A8">
      <w:pPr>
        <w:tabs>
          <w:tab w:val="num" w:pos="5040"/>
        </w:tabs>
        <w:spacing w:after="60"/>
        <w:rPr>
          <w:u w:val="single"/>
        </w:rPr>
      </w:pPr>
      <w:r w:rsidRPr="00F70B29">
        <w:rPr>
          <w:highlight w:val="yellow"/>
          <w:u w:val="single"/>
          <w:rtl/>
        </w:rPr>
        <w:t xml:space="preserve">בג"צ 212/03 </w:t>
      </w:r>
      <w:r w:rsidRPr="00F70B29">
        <w:rPr>
          <w:b/>
          <w:bCs/>
          <w:highlight w:val="yellow"/>
          <w:u w:val="single"/>
          <w:rtl/>
        </w:rPr>
        <w:t>חרות התנועה הלאומית נ' יו"ר ועדת הבחירות המרכזית לכנסת השש-עשרה</w:t>
      </w:r>
      <w:r w:rsidRPr="00F70B29">
        <w:rPr>
          <w:highlight w:val="yellow"/>
          <w:u w:val="single"/>
          <w:rtl/>
        </w:rPr>
        <w:t>, פ"ד נז(1) 750</w:t>
      </w:r>
      <w:r w:rsidRPr="00F70B29">
        <w:rPr>
          <w:rFonts w:hint="cs"/>
          <w:highlight w:val="yellow"/>
          <w:u w:val="single"/>
          <w:rtl/>
        </w:rPr>
        <w:t xml:space="preserve"> (2003)</w:t>
      </w:r>
    </w:p>
    <w:p w:rsidR="005366A8" w:rsidRDefault="005366A8" w:rsidP="005366A8">
      <w:pPr>
        <w:ind w:left="720"/>
        <w:rPr>
          <w:rFonts w:ascii="Arial" w:hAnsi="Arial" w:cs="Arial"/>
          <w:sz w:val="20"/>
          <w:szCs w:val="20"/>
          <w:rtl/>
        </w:rPr>
      </w:pPr>
      <w:r>
        <w:rPr>
          <w:rFonts w:ascii="Arial" w:hAnsi="Arial" w:cs="Arial" w:hint="cs"/>
          <w:sz w:val="20"/>
          <w:szCs w:val="20"/>
          <w:rtl/>
        </w:rPr>
        <w:t xml:space="preserve">[רשימה המתמודדת לכנסת </w:t>
      </w:r>
      <w:r w:rsidRPr="0097408E">
        <w:rPr>
          <w:rFonts w:ascii="Arial" w:hAnsi="Arial" w:cs="Arial"/>
          <w:sz w:val="20"/>
          <w:szCs w:val="20"/>
          <w:rtl/>
        </w:rPr>
        <w:t xml:space="preserve">תוקפת בעתירתה החלטה של </w:t>
      </w:r>
      <w:r>
        <w:rPr>
          <w:rFonts w:ascii="Arial" w:hAnsi="Arial" w:cs="Arial" w:hint="cs"/>
          <w:sz w:val="20"/>
          <w:szCs w:val="20"/>
          <w:rtl/>
        </w:rPr>
        <w:t xml:space="preserve">יו"ר ועדת הבחירות המרכזית (באותה עת, השופט חשין) </w:t>
      </w:r>
      <w:r w:rsidRPr="0097408E">
        <w:rPr>
          <w:rFonts w:ascii="Arial" w:hAnsi="Arial" w:cs="Arial"/>
          <w:sz w:val="20"/>
          <w:szCs w:val="20"/>
          <w:rtl/>
        </w:rPr>
        <w:t xml:space="preserve">לפסול לשידור </w:t>
      </w:r>
      <w:r>
        <w:rPr>
          <w:rFonts w:ascii="Arial" w:hAnsi="Arial" w:cs="Arial" w:hint="cs"/>
          <w:sz w:val="20"/>
          <w:szCs w:val="20"/>
          <w:rtl/>
        </w:rPr>
        <w:t xml:space="preserve">הן </w:t>
      </w:r>
      <w:r w:rsidRPr="0097408E">
        <w:rPr>
          <w:rFonts w:ascii="Arial" w:hAnsi="Arial" w:cs="Arial"/>
          <w:sz w:val="20"/>
          <w:szCs w:val="20"/>
          <w:rtl/>
        </w:rPr>
        <w:t>ברדיו ו</w:t>
      </w:r>
      <w:r>
        <w:rPr>
          <w:rFonts w:ascii="Arial" w:hAnsi="Arial" w:cs="Arial" w:hint="cs"/>
          <w:sz w:val="20"/>
          <w:szCs w:val="20"/>
          <w:rtl/>
        </w:rPr>
        <w:t xml:space="preserve">הן </w:t>
      </w:r>
      <w:r w:rsidRPr="0097408E">
        <w:rPr>
          <w:rFonts w:ascii="Arial" w:hAnsi="Arial" w:cs="Arial"/>
          <w:sz w:val="20"/>
          <w:szCs w:val="20"/>
          <w:rtl/>
        </w:rPr>
        <w:t>בטל</w:t>
      </w:r>
      <w:r w:rsidRPr="0097408E">
        <w:rPr>
          <w:rFonts w:ascii="Arial" w:hAnsi="Arial" w:cs="Arial" w:hint="cs"/>
          <w:sz w:val="20"/>
          <w:szCs w:val="20"/>
          <w:rtl/>
        </w:rPr>
        <w:t>ו</w:t>
      </w:r>
      <w:r w:rsidRPr="0097408E">
        <w:rPr>
          <w:rFonts w:ascii="Arial" w:hAnsi="Arial" w:cs="Arial"/>
          <w:sz w:val="20"/>
          <w:szCs w:val="20"/>
          <w:rtl/>
        </w:rPr>
        <w:t>ויזיה תשדיר בחירות שהוכן על-יד</w:t>
      </w:r>
      <w:r w:rsidRPr="0097408E">
        <w:rPr>
          <w:rFonts w:ascii="Arial" w:hAnsi="Arial" w:cs="Arial" w:hint="cs"/>
          <w:sz w:val="20"/>
          <w:szCs w:val="20"/>
          <w:rtl/>
        </w:rPr>
        <w:t>י</w:t>
      </w:r>
      <w:r w:rsidRPr="0097408E">
        <w:rPr>
          <w:rFonts w:ascii="Arial" w:hAnsi="Arial" w:cs="Arial"/>
          <w:sz w:val="20"/>
          <w:szCs w:val="20"/>
          <w:rtl/>
        </w:rPr>
        <w:t xml:space="preserve">ה במסגרת שידורי התעמולה לקראת הבחירות לכנסת </w:t>
      </w:r>
      <w:r w:rsidRPr="0097408E">
        <w:rPr>
          <w:rFonts w:ascii="Arial" w:hAnsi="Arial" w:cs="Arial" w:hint="cs"/>
          <w:sz w:val="20"/>
          <w:szCs w:val="20"/>
          <w:rtl/>
        </w:rPr>
        <w:t>השש-עשרה</w:t>
      </w:r>
      <w:r w:rsidRPr="0097408E">
        <w:rPr>
          <w:rFonts w:ascii="Arial" w:hAnsi="Arial" w:cs="Arial"/>
          <w:sz w:val="20"/>
          <w:szCs w:val="20"/>
          <w:rtl/>
        </w:rPr>
        <w:t xml:space="preserve">. </w:t>
      </w:r>
    </w:p>
    <w:p w:rsidR="005366A8" w:rsidRDefault="005366A8" w:rsidP="005366A8">
      <w:pPr>
        <w:spacing w:after="120"/>
        <w:ind w:left="720"/>
        <w:rPr>
          <w:rFonts w:ascii="Arial" w:hAnsi="Arial" w:cs="Arial"/>
          <w:sz w:val="20"/>
          <w:szCs w:val="20"/>
          <w:rtl/>
        </w:rPr>
      </w:pPr>
      <w:r w:rsidRPr="0097408E">
        <w:rPr>
          <w:rFonts w:ascii="Arial" w:hAnsi="Arial" w:cs="Arial"/>
          <w:sz w:val="20"/>
          <w:szCs w:val="20"/>
          <w:rtl/>
        </w:rPr>
        <w:t>התשדיר כלל זמריר (ג'ינגל) הכולל דברי שבח וברכות ליאסר</w:t>
      </w:r>
      <w:r>
        <w:rPr>
          <w:rFonts w:ascii="Arial" w:hAnsi="Arial" w:cs="Arial" w:hint="cs"/>
          <w:sz w:val="20"/>
          <w:szCs w:val="20"/>
          <w:rtl/>
        </w:rPr>
        <w:t xml:space="preserve"> </w:t>
      </w:r>
      <w:r w:rsidRPr="0097408E">
        <w:rPr>
          <w:rFonts w:ascii="Arial" w:hAnsi="Arial" w:cs="Arial"/>
          <w:sz w:val="20"/>
          <w:szCs w:val="20"/>
          <w:rtl/>
        </w:rPr>
        <w:t>ערפאת וקריאה לגירוש יהודים מיפו ו</w:t>
      </w:r>
      <w:r w:rsidRPr="0097408E">
        <w:rPr>
          <w:rFonts w:ascii="Arial" w:hAnsi="Arial" w:cs="Arial" w:hint="cs"/>
          <w:sz w:val="20"/>
          <w:szCs w:val="20"/>
          <w:rtl/>
        </w:rPr>
        <w:t>מ</w:t>
      </w:r>
      <w:r w:rsidRPr="0097408E">
        <w:rPr>
          <w:rFonts w:ascii="Arial" w:hAnsi="Arial" w:cs="Arial"/>
          <w:sz w:val="20"/>
          <w:szCs w:val="20"/>
          <w:rtl/>
        </w:rPr>
        <w:t>רמלה. בפתח תשדיר הטל</w:t>
      </w:r>
      <w:r w:rsidRPr="0097408E">
        <w:rPr>
          <w:rFonts w:ascii="Arial" w:hAnsi="Arial" w:cs="Arial" w:hint="cs"/>
          <w:sz w:val="20"/>
          <w:szCs w:val="20"/>
          <w:rtl/>
        </w:rPr>
        <w:t>ו</w:t>
      </w:r>
      <w:r w:rsidRPr="0097408E">
        <w:rPr>
          <w:rFonts w:ascii="Arial" w:hAnsi="Arial" w:cs="Arial"/>
          <w:sz w:val="20"/>
          <w:szCs w:val="20"/>
          <w:rtl/>
        </w:rPr>
        <w:t>ויזיה מוצג דגל ישראל מעל לבני</w:t>
      </w:r>
      <w:r w:rsidRPr="0097408E">
        <w:rPr>
          <w:rFonts w:ascii="Arial" w:hAnsi="Arial" w:cs="Arial" w:hint="cs"/>
          <w:sz w:val="20"/>
          <w:szCs w:val="20"/>
          <w:rtl/>
        </w:rPr>
        <w:t>י</w:t>
      </w:r>
      <w:r w:rsidRPr="0097408E">
        <w:rPr>
          <w:rFonts w:ascii="Arial" w:hAnsi="Arial" w:cs="Arial"/>
          <w:sz w:val="20"/>
          <w:szCs w:val="20"/>
          <w:rtl/>
        </w:rPr>
        <w:t>ן הכנסת אשר הופך ת</w:t>
      </w:r>
      <w:r w:rsidRPr="0097408E">
        <w:rPr>
          <w:rFonts w:ascii="Arial" w:hAnsi="Arial" w:cs="Arial" w:hint="cs"/>
          <w:sz w:val="20"/>
          <w:szCs w:val="20"/>
          <w:rtl/>
        </w:rPr>
        <w:t>ו</w:t>
      </w:r>
      <w:r w:rsidRPr="0097408E">
        <w:rPr>
          <w:rFonts w:ascii="Arial" w:hAnsi="Arial" w:cs="Arial"/>
          <w:sz w:val="20"/>
          <w:szCs w:val="20"/>
          <w:rtl/>
        </w:rPr>
        <w:t>ך שניות מספר לדגל פלסטין. החלטת יושב</w:t>
      </w:r>
      <w:r w:rsidRPr="0097408E">
        <w:rPr>
          <w:rFonts w:ascii="Arial" w:hAnsi="Arial" w:cs="Arial" w:hint="cs"/>
          <w:sz w:val="20"/>
          <w:szCs w:val="20"/>
          <w:rtl/>
        </w:rPr>
        <w:t>-</w:t>
      </w:r>
      <w:r w:rsidRPr="0097408E">
        <w:rPr>
          <w:rFonts w:ascii="Arial" w:hAnsi="Arial" w:cs="Arial"/>
          <w:sz w:val="20"/>
          <w:szCs w:val="20"/>
          <w:rtl/>
        </w:rPr>
        <w:t>ראש הו</w:t>
      </w:r>
      <w:r w:rsidRPr="0097408E">
        <w:rPr>
          <w:rFonts w:ascii="Arial" w:hAnsi="Arial" w:cs="Arial" w:hint="cs"/>
          <w:sz w:val="20"/>
          <w:szCs w:val="20"/>
          <w:rtl/>
        </w:rPr>
        <w:t>ו</w:t>
      </w:r>
      <w:r w:rsidRPr="0097408E">
        <w:rPr>
          <w:rFonts w:ascii="Arial" w:hAnsi="Arial" w:cs="Arial"/>
          <w:sz w:val="20"/>
          <w:szCs w:val="20"/>
          <w:rtl/>
        </w:rPr>
        <w:t>עדה התבססה על כך שהתשדיר גרם לפגיעה קשה בכבוד הדגל וההמנון הלאומי ולביזוים</w:t>
      </w:r>
      <w:r w:rsidRPr="0097408E">
        <w:rPr>
          <w:rFonts w:cs="Miriam" w:hint="cs"/>
          <w:noProof/>
          <w:sz w:val="20"/>
          <w:szCs w:val="20"/>
          <w:rtl/>
          <w:lang w:eastAsia="he-IL"/>
        </w:rPr>
        <w:t xml:space="preserve"> </w:t>
      </w:r>
      <w:r>
        <w:rPr>
          <w:rFonts w:ascii="Arial" w:hAnsi="Arial" w:cs="Arial" w:hint="cs"/>
          <w:sz w:val="20"/>
          <w:szCs w:val="20"/>
          <w:rtl/>
        </w:rPr>
        <w:t>("</w:t>
      </w:r>
      <w:r w:rsidRPr="0097408E">
        <w:rPr>
          <w:rFonts w:ascii="Arial" w:hAnsi="Arial" w:cs="Arial" w:hint="cs"/>
          <w:sz w:val="20"/>
          <w:szCs w:val="20"/>
          <w:rtl/>
        </w:rPr>
        <w:t>ביזוי ההמנון הלאומי ופגיעה בו, ביזוי ופגיעה המביאים לגירוי יצרים ואף להסתה"</w:t>
      </w:r>
      <w:r>
        <w:rPr>
          <w:rFonts w:ascii="Arial" w:hAnsi="Arial" w:cs="Arial" w:hint="cs"/>
          <w:sz w:val="20"/>
          <w:szCs w:val="20"/>
          <w:rtl/>
        </w:rPr>
        <w:t>)</w:t>
      </w:r>
      <w:r w:rsidRPr="0097408E">
        <w:rPr>
          <w:rFonts w:ascii="Arial" w:hAnsi="Arial" w:cs="Arial"/>
          <w:sz w:val="20"/>
          <w:szCs w:val="20"/>
          <w:rtl/>
        </w:rPr>
        <w:t>.</w:t>
      </w:r>
      <w:r>
        <w:rPr>
          <w:rFonts w:ascii="Arial" w:hAnsi="Arial" w:cs="Arial" w:hint="cs"/>
          <w:sz w:val="20"/>
          <w:szCs w:val="20"/>
          <w:rtl/>
        </w:rPr>
        <w:t>]</w:t>
      </w:r>
    </w:p>
    <w:p w:rsidR="005366A8" w:rsidRPr="006C040E" w:rsidRDefault="005366A8" w:rsidP="005366A8">
      <w:pPr>
        <w:spacing w:after="120"/>
        <w:rPr>
          <w:rFonts w:ascii="Arial" w:hAnsi="Arial" w:cs="Arial"/>
          <w:sz w:val="20"/>
          <w:szCs w:val="20"/>
          <w:rtl/>
        </w:rPr>
      </w:pPr>
      <w:r>
        <w:rPr>
          <w:rFonts w:ascii="Arial" w:hAnsi="Arial" w:cs="Arial" w:hint="cs"/>
          <w:sz w:val="20"/>
          <w:szCs w:val="20"/>
          <w:rtl/>
        </w:rPr>
        <w:t>שאלות פסק הדין:</w:t>
      </w:r>
    </w:p>
    <w:p w:rsidR="005366A8" w:rsidRPr="006C040E" w:rsidRDefault="005366A8" w:rsidP="005366A8">
      <w:pPr>
        <w:ind w:left="720"/>
        <w:rPr>
          <w:sz w:val="20"/>
          <w:szCs w:val="20"/>
          <w:rtl/>
        </w:rPr>
      </w:pPr>
      <w:r w:rsidRPr="006C040E">
        <w:rPr>
          <w:rFonts w:hint="cs"/>
          <w:sz w:val="20"/>
          <w:szCs w:val="20"/>
          <w:rtl/>
        </w:rPr>
        <w:t xml:space="preserve">א. </w:t>
      </w:r>
      <w:r w:rsidRPr="00034F50">
        <w:rPr>
          <w:rFonts w:hint="cs"/>
          <w:b/>
          <w:bCs/>
          <w:sz w:val="20"/>
          <w:szCs w:val="20"/>
          <w:rtl/>
        </w:rPr>
        <w:t xml:space="preserve">האם לבית המשפט העליון בשבתו כבג"צ </w:t>
      </w:r>
      <w:r w:rsidRPr="00034F50">
        <w:rPr>
          <w:rFonts w:hint="cs"/>
          <w:b/>
          <w:bCs/>
          <w:sz w:val="20"/>
          <w:szCs w:val="20"/>
          <w:u w:val="single"/>
          <w:rtl/>
        </w:rPr>
        <w:t>סמכות לביקורת שיפוטית</w:t>
      </w:r>
      <w:r w:rsidRPr="00034F50">
        <w:rPr>
          <w:rFonts w:hint="cs"/>
          <w:b/>
          <w:bCs/>
          <w:sz w:val="20"/>
          <w:szCs w:val="20"/>
          <w:rtl/>
        </w:rPr>
        <w:t xml:space="preserve"> על החלטות</w:t>
      </w:r>
      <w:r w:rsidRPr="006C040E">
        <w:rPr>
          <w:rFonts w:hint="cs"/>
          <w:sz w:val="20"/>
          <w:szCs w:val="20"/>
          <w:rtl/>
        </w:rPr>
        <w:t xml:space="preserve"> מסוג זה של יו"ר ועדת הבחירות המרכזית?</w:t>
      </w:r>
    </w:p>
    <w:p w:rsidR="005366A8" w:rsidRPr="006C040E" w:rsidRDefault="005366A8" w:rsidP="005366A8">
      <w:pPr>
        <w:ind w:left="720"/>
        <w:rPr>
          <w:sz w:val="20"/>
          <w:szCs w:val="20"/>
          <w:rtl/>
        </w:rPr>
      </w:pPr>
      <w:r w:rsidRPr="006C040E">
        <w:rPr>
          <w:rFonts w:hint="cs"/>
          <w:sz w:val="20"/>
          <w:szCs w:val="20"/>
          <w:rtl/>
        </w:rPr>
        <w:t xml:space="preserve">ב. </w:t>
      </w:r>
      <w:r w:rsidRPr="00034F50">
        <w:rPr>
          <w:rFonts w:hint="cs"/>
          <w:b/>
          <w:bCs/>
          <w:sz w:val="20"/>
          <w:szCs w:val="20"/>
          <w:rtl/>
        </w:rPr>
        <w:t xml:space="preserve">האם ליו"ר ועדת הבחירות המרכזית </w:t>
      </w:r>
      <w:r w:rsidRPr="00034F50">
        <w:rPr>
          <w:rFonts w:hint="cs"/>
          <w:b/>
          <w:bCs/>
          <w:sz w:val="20"/>
          <w:szCs w:val="20"/>
          <w:u w:val="single"/>
          <w:rtl/>
        </w:rPr>
        <w:t>סמכות</w:t>
      </w:r>
      <w:r w:rsidRPr="00034F50">
        <w:rPr>
          <w:rFonts w:hint="cs"/>
          <w:b/>
          <w:bCs/>
          <w:sz w:val="20"/>
          <w:szCs w:val="20"/>
          <w:rtl/>
        </w:rPr>
        <w:t xml:space="preserve"> להגביל תשדירי תעמולה ברדיו</w:t>
      </w:r>
      <w:r w:rsidRPr="006C040E">
        <w:rPr>
          <w:rFonts w:hint="cs"/>
          <w:sz w:val="20"/>
          <w:szCs w:val="20"/>
          <w:rtl/>
        </w:rPr>
        <w:t xml:space="preserve"> (להבדיל מ</w:t>
      </w:r>
      <w:r>
        <w:rPr>
          <w:rFonts w:hint="cs"/>
          <w:sz w:val="20"/>
          <w:szCs w:val="20"/>
          <w:rtl/>
        </w:rPr>
        <w:t>סמכותו ביחס לתשדירי תעמולה ב</w:t>
      </w:r>
      <w:r w:rsidRPr="006C040E">
        <w:rPr>
          <w:rFonts w:hint="cs"/>
          <w:sz w:val="20"/>
          <w:szCs w:val="20"/>
          <w:rtl/>
        </w:rPr>
        <w:t>טלוויזיה)?</w:t>
      </w:r>
    </w:p>
    <w:p w:rsidR="005366A8" w:rsidRPr="006C040E" w:rsidRDefault="005366A8" w:rsidP="005366A8">
      <w:pPr>
        <w:ind w:left="720"/>
        <w:rPr>
          <w:sz w:val="20"/>
          <w:szCs w:val="20"/>
          <w:rtl/>
        </w:rPr>
      </w:pPr>
      <w:r w:rsidRPr="006C040E">
        <w:rPr>
          <w:rFonts w:hint="cs"/>
          <w:sz w:val="20"/>
          <w:szCs w:val="20"/>
          <w:rtl/>
        </w:rPr>
        <w:t xml:space="preserve">ג. ואם כן, </w:t>
      </w:r>
      <w:r w:rsidRPr="00034F50">
        <w:rPr>
          <w:rFonts w:hint="cs"/>
          <w:b/>
          <w:bCs/>
          <w:sz w:val="20"/>
          <w:szCs w:val="20"/>
          <w:rtl/>
        </w:rPr>
        <w:t xml:space="preserve">מהם הסייגים/ המגבלות הנלוות לסמכות </w:t>
      </w:r>
      <w:r>
        <w:rPr>
          <w:rFonts w:hint="cs"/>
          <w:b/>
          <w:bCs/>
          <w:sz w:val="20"/>
          <w:szCs w:val="20"/>
          <w:rtl/>
        </w:rPr>
        <w:t xml:space="preserve">הגבלת ביטוי </w:t>
      </w:r>
      <w:r w:rsidRPr="00034F50">
        <w:rPr>
          <w:rFonts w:hint="cs"/>
          <w:b/>
          <w:bCs/>
          <w:sz w:val="20"/>
          <w:szCs w:val="20"/>
          <w:rtl/>
        </w:rPr>
        <w:t>זו</w:t>
      </w:r>
      <w:r w:rsidRPr="006C040E">
        <w:rPr>
          <w:rFonts w:hint="cs"/>
          <w:sz w:val="20"/>
          <w:szCs w:val="20"/>
          <w:rtl/>
        </w:rPr>
        <w:t xml:space="preserve"> (</w:t>
      </w:r>
      <w:r w:rsidRPr="00034F50">
        <w:rPr>
          <w:rFonts w:hint="cs"/>
          <w:b/>
          <w:bCs/>
          <w:sz w:val="20"/>
          <w:szCs w:val="20"/>
          <w:rtl/>
        </w:rPr>
        <w:t xml:space="preserve">מהו </w:t>
      </w:r>
      <w:r w:rsidRPr="00034F50">
        <w:rPr>
          <w:rFonts w:hint="cs"/>
          <w:b/>
          <w:bCs/>
          <w:sz w:val="20"/>
          <w:szCs w:val="20"/>
          <w:u w:val="single"/>
          <w:rtl/>
        </w:rPr>
        <w:t>שיקול דעתה</w:t>
      </w:r>
      <w:r w:rsidRPr="00034F50">
        <w:rPr>
          <w:rFonts w:hint="cs"/>
          <w:b/>
          <w:bCs/>
          <w:sz w:val="20"/>
          <w:szCs w:val="20"/>
          <w:rtl/>
        </w:rPr>
        <w:t xml:space="preserve"> של הרשות ביחס לשימוש בסמכותה</w:t>
      </w:r>
      <w:r w:rsidRPr="006C040E">
        <w:rPr>
          <w:rFonts w:hint="cs"/>
          <w:sz w:val="20"/>
          <w:szCs w:val="20"/>
          <w:rtl/>
        </w:rPr>
        <w:t>), והאם עמד בהם יו"ר ועדת הבחירות המרכזית?</w:t>
      </w:r>
    </w:p>
    <w:p w:rsidR="005366A8" w:rsidRPr="006C040E" w:rsidRDefault="005366A8" w:rsidP="005366A8">
      <w:pPr>
        <w:spacing w:after="120"/>
        <w:ind w:left="720"/>
        <w:rPr>
          <w:sz w:val="20"/>
          <w:szCs w:val="20"/>
          <w:rtl/>
        </w:rPr>
      </w:pPr>
      <w:r w:rsidRPr="006C040E">
        <w:rPr>
          <w:rFonts w:hint="cs"/>
          <w:sz w:val="20"/>
          <w:szCs w:val="20"/>
          <w:rtl/>
        </w:rPr>
        <w:t xml:space="preserve">ד. </w:t>
      </w:r>
      <w:r w:rsidRPr="00034F50">
        <w:rPr>
          <w:rFonts w:hint="cs"/>
          <w:b/>
          <w:bCs/>
          <w:sz w:val="20"/>
          <w:szCs w:val="20"/>
          <w:rtl/>
        </w:rPr>
        <w:t xml:space="preserve">מהו </w:t>
      </w:r>
      <w:r w:rsidRPr="00034F50">
        <w:rPr>
          <w:rFonts w:hint="cs"/>
          <w:b/>
          <w:bCs/>
          <w:sz w:val="20"/>
          <w:szCs w:val="20"/>
          <w:u w:val="single"/>
          <w:rtl/>
        </w:rPr>
        <w:t>שיקול הדעת</w:t>
      </w:r>
      <w:r w:rsidRPr="00034F50">
        <w:rPr>
          <w:rFonts w:hint="cs"/>
          <w:b/>
          <w:bCs/>
          <w:sz w:val="20"/>
          <w:szCs w:val="20"/>
          <w:rtl/>
        </w:rPr>
        <w:t xml:space="preserve"> של בית המשפט עצמו ביחס לסמכותו </w:t>
      </w:r>
      <w:r>
        <w:rPr>
          <w:rFonts w:hint="cs"/>
          <w:b/>
          <w:bCs/>
          <w:sz w:val="20"/>
          <w:szCs w:val="20"/>
          <w:rtl/>
        </w:rPr>
        <w:t xml:space="preserve">שלו </w:t>
      </w:r>
      <w:r w:rsidRPr="00034F50">
        <w:rPr>
          <w:rFonts w:hint="cs"/>
          <w:b/>
          <w:bCs/>
          <w:sz w:val="20"/>
          <w:szCs w:val="20"/>
          <w:rtl/>
        </w:rPr>
        <w:t>לבקר</w:t>
      </w:r>
      <w:r>
        <w:rPr>
          <w:rFonts w:hint="cs"/>
          <w:sz w:val="20"/>
          <w:szCs w:val="20"/>
          <w:rtl/>
        </w:rPr>
        <w:t xml:space="preserve"> את החלטותיו</w:t>
      </w:r>
      <w:r w:rsidRPr="006C040E">
        <w:rPr>
          <w:rFonts w:hint="cs"/>
          <w:sz w:val="20"/>
          <w:szCs w:val="20"/>
          <w:rtl/>
        </w:rPr>
        <w:t xml:space="preserve"> יו"ר ועדת הבחירות?</w:t>
      </w:r>
    </w:p>
    <w:p w:rsidR="005366A8" w:rsidRDefault="005366A8" w:rsidP="005366A8">
      <w:pPr>
        <w:rPr>
          <w:sz w:val="20"/>
          <w:szCs w:val="20"/>
          <w:rtl/>
        </w:rPr>
      </w:pPr>
      <w:r>
        <w:rPr>
          <w:rFonts w:hint="cs"/>
          <w:sz w:val="20"/>
          <w:szCs w:val="20"/>
          <w:rtl/>
        </w:rPr>
        <w:t xml:space="preserve">שלשת השופטים </w:t>
      </w:r>
      <w:r>
        <w:rPr>
          <w:sz w:val="20"/>
          <w:szCs w:val="20"/>
          <w:rtl/>
        </w:rPr>
        <w:t>–</w:t>
      </w:r>
      <w:r>
        <w:rPr>
          <w:rFonts w:hint="cs"/>
          <w:sz w:val="20"/>
          <w:szCs w:val="20"/>
          <w:rtl/>
        </w:rPr>
        <w:t xml:space="preserve"> ברק, מצא ושטרסברג-כהן </w:t>
      </w:r>
      <w:r>
        <w:rPr>
          <w:sz w:val="20"/>
          <w:szCs w:val="20"/>
          <w:rtl/>
        </w:rPr>
        <w:t>–</w:t>
      </w:r>
      <w:r>
        <w:rPr>
          <w:rFonts w:hint="cs"/>
          <w:sz w:val="20"/>
          <w:szCs w:val="20"/>
          <w:rtl/>
        </w:rPr>
        <w:t xml:space="preserve"> מסכימים על א', ב', ג' ו-ד', אך חלוקים ביחס </w:t>
      </w:r>
      <w:r w:rsidRPr="0097408E">
        <w:rPr>
          <w:rFonts w:hint="cs"/>
          <w:i/>
          <w:iCs/>
          <w:sz w:val="20"/>
          <w:szCs w:val="20"/>
          <w:rtl/>
        </w:rPr>
        <w:t>ליישומו</w:t>
      </w:r>
      <w:r>
        <w:rPr>
          <w:rFonts w:hint="cs"/>
          <w:sz w:val="20"/>
          <w:szCs w:val="20"/>
          <w:rtl/>
        </w:rPr>
        <w:t xml:space="preserve"> של ג', וזה מוביל אותם לתוצאה שונה. הנשיא ברק היה בעד קבלת העתירה, שני השופטים האחרים בעד דחייתה.</w:t>
      </w:r>
    </w:p>
    <w:p w:rsidR="005366A8" w:rsidRDefault="005366A8" w:rsidP="005366A8">
      <w:pPr>
        <w:rPr>
          <w:sz w:val="20"/>
          <w:szCs w:val="20"/>
          <w:rtl/>
        </w:rPr>
      </w:pPr>
      <w:r>
        <w:rPr>
          <w:rFonts w:hint="cs"/>
          <w:sz w:val="20"/>
          <w:szCs w:val="20"/>
          <w:rtl/>
        </w:rPr>
        <w:t xml:space="preserve">אנו נתמקד כאן בעיקר בשאלה א', שהיא זו שמעוררת שאלה </w:t>
      </w:r>
      <w:r w:rsidRPr="00F70B29">
        <w:rPr>
          <w:rFonts w:hint="cs"/>
          <w:sz w:val="20"/>
          <w:szCs w:val="20"/>
          <w:u w:val="single"/>
          <w:rtl/>
        </w:rPr>
        <w:t>חוקתית</w:t>
      </w:r>
      <w:r>
        <w:rPr>
          <w:rFonts w:hint="cs"/>
          <w:sz w:val="20"/>
          <w:szCs w:val="20"/>
          <w:rtl/>
        </w:rPr>
        <w:t xml:space="preserve"> חדה.</w:t>
      </w:r>
    </w:p>
    <w:p w:rsidR="005366A8" w:rsidRPr="006C040E" w:rsidRDefault="005366A8" w:rsidP="005366A8">
      <w:pPr>
        <w:rPr>
          <w:sz w:val="20"/>
          <w:szCs w:val="20"/>
          <w:rtl/>
        </w:rPr>
      </w:pPr>
    </w:p>
    <w:p w:rsidR="005366A8" w:rsidRPr="00FF5E8E" w:rsidRDefault="005366A8" w:rsidP="005366A8">
      <w:pPr>
        <w:spacing w:after="120"/>
        <w:ind w:left="720"/>
        <w:rPr>
          <w:rFonts w:cs="David"/>
          <w:sz w:val="20"/>
          <w:szCs w:val="20"/>
          <w:rtl/>
        </w:rPr>
      </w:pPr>
      <w:r w:rsidRPr="00FF5E8E">
        <w:rPr>
          <w:rFonts w:cs="David"/>
          <w:b/>
          <w:bCs/>
          <w:sz w:val="20"/>
          <w:szCs w:val="20"/>
          <w:rtl/>
        </w:rPr>
        <w:t>סעיף 137 לחוק הבחירות לכנסת [נוסח משולב], התשכ"ט-1969</w:t>
      </w:r>
      <w:r w:rsidRPr="00FF5E8E">
        <w:rPr>
          <w:rFonts w:cs="David"/>
          <w:sz w:val="20"/>
          <w:szCs w:val="20"/>
          <w:rtl/>
        </w:rPr>
        <w:t xml:space="preserve">: </w:t>
      </w:r>
    </w:p>
    <w:p w:rsidR="005366A8" w:rsidRPr="00FF5E8E" w:rsidRDefault="005366A8" w:rsidP="005366A8">
      <w:pPr>
        <w:spacing w:after="120"/>
        <w:ind w:left="1440"/>
        <w:rPr>
          <w:rFonts w:cs="David"/>
          <w:sz w:val="20"/>
          <w:szCs w:val="20"/>
          <w:rtl/>
        </w:rPr>
      </w:pPr>
      <w:r w:rsidRPr="00FF5E8E">
        <w:rPr>
          <w:rFonts w:cs="David"/>
          <w:sz w:val="20"/>
          <w:szCs w:val="20"/>
          <w:rtl/>
        </w:rPr>
        <w:t xml:space="preserve">"כל קובלנה בקשר למעשה או למחדל לפי חוק זה מסורה לסמכותה היחידה של הוועדה המרכזית; שום בית משפט לא יזקק לבקשת סעד בקשר למעשה או למחדל כזה או בקשה להחלטה או להוראה של הוועדה המרכזית, של יושב ראש הוועדה וסגניו, של יושב ראש הוועדה, של ועדה אזורית או ועדת קלפי - חוץ מן המקרים שלגביהם ישנה בחוק זה הוראה אחרת". </w:t>
      </w:r>
    </w:p>
    <w:p w:rsidR="005366A8" w:rsidRPr="00FF5E8E" w:rsidRDefault="005366A8" w:rsidP="005366A8">
      <w:pPr>
        <w:spacing w:after="120"/>
        <w:ind w:left="720"/>
        <w:rPr>
          <w:rFonts w:cs="David"/>
          <w:b/>
          <w:bCs/>
          <w:sz w:val="20"/>
          <w:szCs w:val="20"/>
          <w:rtl/>
        </w:rPr>
      </w:pPr>
      <w:r w:rsidRPr="00FF5E8E">
        <w:rPr>
          <w:rFonts w:cs="David"/>
          <w:b/>
          <w:bCs/>
          <w:sz w:val="20"/>
          <w:szCs w:val="20"/>
          <w:rtl/>
        </w:rPr>
        <w:t xml:space="preserve">חוק יסוד: השפיטה </w:t>
      </w:r>
      <w:r w:rsidRPr="00FF5E8E">
        <w:rPr>
          <w:rFonts w:cs="David"/>
          <w:b/>
          <w:bCs/>
          <w:sz w:val="20"/>
          <w:szCs w:val="20"/>
        </w:rPr>
        <w:t>–</w:t>
      </w:r>
      <w:r w:rsidRPr="00FF5E8E">
        <w:rPr>
          <w:rFonts w:cs="David"/>
          <w:b/>
          <w:bCs/>
          <w:sz w:val="20"/>
          <w:szCs w:val="20"/>
          <w:rtl/>
        </w:rPr>
        <w:t xml:space="preserve"> סע' 15</w:t>
      </w:r>
    </w:p>
    <w:p w:rsidR="005366A8" w:rsidRPr="00FF5E8E" w:rsidRDefault="005366A8" w:rsidP="005366A8">
      <w:pPr>
        <w:ind w:left="1440"/>
        <w:rPr>
          <w:rFonts w:cs="David"/>
          <w:sz w:val="20"/>
          <w:szCs w:val="20"/>
          <w:rtl/>
        </w:rPr>
      </w:pPr>
      <w:r w:rsidRPr="00FF5E8E">
        <w:rPr>
          <w:rFonts w:cs="David"/>
          <w:sz w:val="20"/>
          <w:szCs w:val="20"/>
          <w:rtl/>
        </w:rPr>
        <w:t>(ג)  בית המשפט העליון ישב גם כבית משפט גבוה לצדק; בשבתו כאמור ידון בענינים אשר הוא רואה צורך לתת בהם סעד למען הצדק ואשר אינם בסמכותו של בית משפט או של בית דין אחר.</w:t>
      </w:r>
    </w:p>
    <w:p w:rsidR="005366A8" w:rsidRPr="00FF5E8E" w:rsidRDefault="005366A8" w:rsidP="005366A8">
      <w:pPr>
        <w:ind w:left="1440"/>
        <w:rPr>
          <w:rFonts w:cs="David"/>
          <w:sz w:val="20"/>
          <w:szCs w:val="20"/>
          <w:rtl/>
        </w:rPr>
      </w:pPr>
      <w:r w:rsidRPr="00FF5E8E">
        <w:rPr>
          <w:rFonts w:cs="David"/>
          <w:sz w:val="20"/>
          <w:szCs w:val="20"/>
          <w:rtl/>
        </w:rPr>
        <w:t xml:space="preserve">(ד) מבלי לפגוע בכלליות ההוראות שבסעיף קטן (ג), מוסמך בית המשפט העליון בשבתו כבית משפט גבוה לצדק </w:t>
      </w:r>
      <w:r w:rsidRPr="00FF5E8E">
        <w:rPr>
          <w:rFonts w:cs="David"/>
          <w:sz w:val="20"/>
          <w:szCs w:val="20"/>
        </w:rPr>
        <w:t>–</w:t>
      </w:r>
    </w:p>
    <w:p w:rsidR="005366A8" w:rsidRPr="00FF5E8E" w:rsidRDefault="005366A8" w:rsidP="005366A8">
      <w:pPr>
        <w:ind w:left="2160"/>
        <w:rPr>
          <w:rFonts w:cs="David"/>
          <w:sz w:val="20"/>
          <w:szCs w:val="20"/>
          <w:rtl/>
        </w:rPr>
      </w:pPr>
      <w:r w:rsidRPr="00FF5E8E">
        <w:rPr>
          <w:rFonts w:cs="David"/>
          <w:sz w:val="20"/>
          <w:szCs w:val="20"/>
          <w:rtl/>
        </w:rPr>
        <w:t>[</w:t>
      </w:r>
      <w:r w:rsidRPr="00FF5E8E">
        <w:rPr>
          <w:rFonts w:cs="David"/>
          <w:sz w:val="20"/>
          <w:szCs w:val="20"/>
        </w:rPr>
        <w:t>…</w:t>
      </w:r>
      <w:r w:rsidRPr="00FF5E8E">
        <w:rPr>
          <w:rFonts w:cs="David"/>
          <w:sz w:val="20"/>
          <w:szCs w:val="20"/>
          <w:rtl/>
        </w:rPr>
        <w:t>] (2)   לתת צווים לרשויות המדינה, לרשויות מקומיות, לפקידיהן ולגופים ולאנשים אחרים הממלאים תפקידים ציבוריים על פי דין, לעשות מעשה או להימנע מעשות מעשה במילוי תפקידיהם כדין, ואם נבחרו או נתמנו שלא כדין - להימנע מלפעול; [</w:t>
      </w:r>
      <w:r w:rsidRPr="00FF5E8E">
        <w:rPr>
          <w:rFonts w:cs="David"/>
          <w:sz w:val="20"/>
          <w:szCs w:val="20"/>
        </w:rPr>
        <w:t>…</w:t>
      </w:r>
      <w:r w:rsidRPr="00FF5E8E">
        <w:rPr>
          <w:rFonts w:cs="David"/>
          <w:sz w:val="20"/>
          <w:szCs w:val="20"/>
          <w:rtl/>
        </w:rPr>
        <w:t>]</w:t>
      </w:r>
    </w:p>
    <w:p w:rsidR="005366A8" w:rsidRPr="009A2A18" w:rsidRDefault="005366A8" w:rsidP="005366A8">
      <w:pPr>
        <w:ind w:left="720"/>
        <w:rPr>
          <w:sz w:val="22"/>
          <w:szCs w:val="22"/>
          <w:rtl/>
        </w:rPr>
      </w:pPr>
    </w:p>
    <w:p w:rsidR="005366A8" w:rsidRPr="009A2A18" w:rsidRDefault="005366A8" w:rsidP="005366A8">
      <w:pPr>
        <w:pStyle w:val="a6"/>
        <w:spacing w:after="60" w:line="240" w:lineRule="auto"/>
        <w:rPr>
          <w:sz w:val="22"/>
          <w:szCs w:val="22"/>
          <w:rtl/>
        </w:rPr>
      </w:pPr>
      <w:r w:rsidRPr="009A2A18">
        <w:rPr>
          <w:rFonts w:cs="Miriam" w:hint="cs"/>
          <w:sz w:val="22"/>
          <w:szCs w:val="22"/>
          <w:rtl/>
        </w:rPr>
        <w:t>סמכותו של בית</w:t>
      </w:r>
      <w:r w:rsidRPr="009A2A18">
        <w:rPr>
          <w:rFonts w:cs="Miriam" w:hint="cs"/>
          <w:position w:val="4"/>
          <w:sz w:val="22"/>
          <w:szCs w:val="22"/>
          <w:rtl/>
        </w:rPr>
        <w:t>-</w:t>
      </w:r>
      <w:r w:rsidRPr="009A2A18">
        <w:rPr>
          <w:rFonts w:cs="Miriam" w:hint="cs"/>
          <w:sz w:val="22"/>
          <w:szCs w:val="22"/>
          <w:rtl/>
        </w:rPr>
        <w:t>המשפט הגבוה לצדק</w:t>
      </w:r>
    </w:p>
    <w:p w:rsidR="005366A8" w:rsidRDefault="005366A8" w:rsidP="005366A8">
      <w:pPr>
        <w:pStyle w:val="a6"/>
        <w:spacing w:after="60" w:line="240" w:lineRule="auto"/>
        <w:rPr>
          <w:sz w:val="22"/>
          <w:szCs w:val="22"/>
          <w:rtl/>
        </w:rPr>
      </w:pPr>
      <w:r w:rsidRPr="009A2A18">
        <w:rPr>
          <w:rFonts w:hint="cs"/>
          <w:sz w:val="22"/>
          <w:szCs w:val="22"/>
          <w:rtl/>
        </w:rPr>
        <w:t>3.</w:t>
      </w:r>
      <w:r w:rsidRPr="009A2A18">
        <w:rPr>
          <w:rFonts w:hint="cs"/>
          <w:sz w:val="22"/>
          <w:szCs w:val="22"/>
          <w:rtl/>
        </w:rPr>
        <w:tab/>
        <w:t>בפתח הדיון בפנינו העלה בא</w:t>
      </w:r>
      <w:r w:rsidRPr="009A2A18">
        <w:rPr>
          <w:rFonts w:hint="cs"/>
          <w:position w:val="4"/>
          <w:sz w:val="22"/>
          <w:szCs w:val="22"/>
          <w:rtl/>
        </w:rPr>
        <w:t>-</w:t>
      </w:r>
      <w:r w:rsidRPr="009A2A18">
        <w:rPr>
          <w:rFonts w:hint="cs"/>
          <w:sz w:val="22"/>
          <w:szCs w:val="22"/>
          <w:rtl/>
        </w:rPr>
        <w:t>כוח פרקליטות המדינה את הטענה כי החלטתו של יושב</w:t>
      </w:r>
      <w:r w:rsidRPr="009A2A18">
        <w:rPr>
          <w:rFonts w:hint="cs"/>
          <w:position w:val="4"/>
          <w:sz w:val="22"/>
          <w:szCs w:val="22"/>
          <w:rtl/>
        </w:rPr>
        <w:t>-</w:t>
      </w:r>
      <w:r w:rsidRPr="009A2A18">
        <w:rPr>
          <w:rFonts w:hint="cs"/>
          <w:sz w:val="22"/>
          <w:szCs w:val="22"/>
          <w:rtl/>
        </w:rPr>
        <w:t>ראש ועדת הבחירות הינה סופית, ואין לבית</w:t>
      </w:r>
      <w:r w:rsidRPr="009A2A18">
        <w:rPr>
          <w:rFonts w:hint="cs"/>
          <w:position w:val="4"/>
          <w:sz w:val="22"/>
          <w:szCs w:val="22"/>
          <w:rtl/>
        </w:rPr>
        <w:t>-</w:t>
      </w:r>
      <w:r w:rsidRPr="009A2A18">
        <w:rPr>
          <w:rFonts w:hint="cs"/>
          <w:sz w:val="22"/>
          <w:szCs w:val="22"/>
          <w:rtl/>
        </w:rPr>
        <w:t xml:space="preserve">המשפט הגבוה לצדק סמכות לדון בה. הוא סמך בעניין זה על הוראת סעיף 137 לחוק הבחירות לכנסת [נוסח משולב], תשכ"ט-1969 (להלן </w:t>
      </w:r>
      <w:r w:rsidRPr="009A2A18">
        <w:rPr>
          <w:sz w:val="22"/>
          <w:szCs w:val="22"/>
          <w:rtl/>
        </w:rPr>
        <w:t>–</w:t>
      </w:r>
      <w:r w:rsidRPr="009A2A18">
        <w:rPr>
          <w:rFonts w:hint="cs"/>
          <w:sz w:val="22"/>
          <w:szCs w:val="22"/>
          <w:rtl/>
        </w:rPr>
        <w:t xml:space="preserve"> חוק הבחירות), </w:t>
      </w:r>
      <w:r>
        <w:rPr>
          <w:rFonts w:hint="cs"/>
          <w:sz w:val="22"/>
          <w:szCs w:val="22"/>
          <w:rtl/>
        </w:rPr>
        <w:t xml:space="preserve">... </w:t>
      </w:r>
    </w:p>
    <w:p w:rsidR="005366A8" w:rsidRPr="009A2A18" w:rsidRDefault="005366A8" w:rsidP="005366A8">
      <w:pPr>
        <w:pStyle w:val="a6"/>
        <w:spacing w:after="60" w:line="240" w:lineRule="auto"/>
        <w:rPr>
          <w:sz w:val="22"/>
          <w:szCs w:val="22"/>
          <w:rtl/>
        </w:rPr>
      </w:pPr>
      <w:r w:rsidRPr="009A2A18">
        <w:rPr>
          <w:rFonts w:hint="cs"/>
          <w:sz w:val="22"/>
          <w:szCs w:val="22"/>
          <w:rtl/>
        </w:rPr>
        <w:t>הוראה זו חלה גם על החלטותיו של יושב</w:t>
      </w:r>
      <w:r w:rsidRPr="009A2A18">
        <w:rPr>
          <w:rFonts w:hint="cs"/>
          <w:position w:val="4"/>
          <w:sz w:val="22"/>
          <w:szCs w:val="22"/>
          <w:rtl/>
        </w:rPr>
        <w:t>-</w:t>
      </w:r>
      <w:r w:rsidRPr="009A2A18">
        <w:rPr>
          <w:rFonts w:hint="cs"/>
          <w:sz w:val="22"/>
          <w:szCs w:val="22"/>
          <w:rtl/>
        </w:rPr>
        <w:t xml:space="preserve">ראש ועדת הבחירות בדבר שידור תעמולת בחירות ברדיו ובטלוויזיה (ראו סעיף 20ב לחוק הבחירות (דרכי תעמולה), תשי"ט-1959 (להלן – חוק דרכי תעמולה)). </w:t>
      </w:r>
      <w:r w:rsidRPr="009A3202">
        <w:rPr>
          <w:rFonts w:hint="cs"/>
          <w:sz w:val="22"/>
          <w:szCs w:val="22"/>
          <w:highlight w:val="yellow"/>
          <w:rtl/>
        </w:rPr>
        <w:t>היא נתפרשה בפסיקה כמעניקה "חסינות דיונית" כנגד ביקורת שיפוטית, לרבות ביקורתו של בית</w:t>
      </w:r>
      <w:r w:rsidRPr="009A3202">
        <w:rPr>
          <w:rFonts w:hint="cs"/>
          <w:position w:val="4"/>
          <w:sz w:val="22"/>
          <w:szCs w:val="22"/>
          <w:highlight w:val="yellow"/>
          <w:rtl/>
        </w:rPr>
        <w:t>-</w:t>
      </w:r>
      <w:r w:rsidRPr="009A3202">
        <w:rPr>
          <w:rFonts w:hint="cs"/>
          <w:sz w:val="22"/>
          <w:szCs w:val="22"/>
          <w:highlight w:val="yellow"/>
          <w:rtl/>
        </w:rPr>
        <w:t>המשפט הגבוה לצדק</w:t>
      </w:r>
      <w:r w:rsidRPr="009A2A18">
        <w:rPr>
          <w:rFonts w:hint="cs"/>
          <w:sz w:val="22"/>
          <w:szCs w:val="22"/>
          <w:rtl/>
        </w:rPr>
        <w:t xml:space="preserve"> (ראו: </w:t>
      </w:r>
      <w:r w:rsidRPr="009A2A18">
        <w:rPr>
          <w:rFonts w:cs="Miriam" w:hint="cs"/>
          <w:sz w:val="22"/>
          <w:szCs w:val="22"/>
          <w:rtl/>
        </w:rPr>
        <w:t>בג"ץ 344/81 נגבי נ' ועדת הבחירות המרכזית לכנסת העשירית [1]</w:t>
      </w:r>
      <w:r w:rsidRPr="009A2A18">
        <w:rPr>
          <w:rFonts w:hint="cs"/>
          <w:sz w:val="22"/>
          <w:szCs w:val="22"/>
          <w:rtl/>
        </w:rPr>
        <w:t xml:space="preserve">; </w:t>
      </w:r>
      <w:r w:rsidRPr="009A2A18">
        <w:rPr>
          <w:rFonts w:cs="Miriam" w:hint="cs"/>
          <w:sz w:val="22"/>
          <w:szCs w:val="22"/>
          <w:rtl/>
        </w:rPr>
        <w:t>בג"ץ 637/88 תנועת לאו"ר נ' יו"ר ועדת הבחירות לכנסת השתים</w:t>
      </w:r>
      <w:r w:rsidRPr="009A2A18">
        <w:rPr>
          <w:rFonts w:cs="Miriam" w:hint="cs"/>
          <w:position w:val="4"/>
          <w:sz w:val="22"/>
          <w:szCs w:val="22"/>
          <w:rtl/>
        </w:rPr>
        <w:t>-</w:t>
      </w:r>
      <w:r w:rsidRPr="009A2A18">
        <w:rPr>
          <w:rFonts w:cs="Miriam" w:hint="cs"/>
          <w:sz w:val="22"/>
          <w:szCs w:val="22"/>
          <w:rtl/>
        </w:rPr>
        <w:t>עשרה [2]</w:t>
      </w:r>
      <w:r w:rsidRPr="009A2A18">
        <w:rPr>
          <w:rFonts w:hint="cs"/>
          <w:sz w:val="22"/>
          <w:szCs w:val="22"/>
          <w:rtl/>
        </w:rPr>
        <w:t xml:space="preserve">). מכוחה של פסיקה זו </w:t>
      </w:r>
      <w:r w:rsidRPr="009A2A18">
        <w:rPr>
          <w:sz w:val="22"/>
          <w:szCs w:val="22"/>
          <w:rtl/>
        </w:rPr>
        <w:t>–</w:t>
      </w:r>
      <w:r w:rsidRPr="009A2A18">
        <w:rPr>
          <w:rFonts w:hint="cs"/>
          <w:sz w:val="22"/>
          <w:szCs w:val="22"/>
          <w:rtl/>
        </w:rPr>
        <w:t xml:space="preserve"> כך טען לפנינו בא</w:t>
      </w:r>
      <w:r w:rsidRPr="009A2A18">
        <w:rPr>
          <w:rFonts w:hint="cs"/>
          <w:position w:val="4"/>
          <w:sz w:val="22"/>
          <w:szCs w:val="22"/>
          <w:rtl/>
        </w:rPr>
        <w:t>-</w:t>
      </w:r>
      <w:r w:rsidRPr="009A2A18">
        <w:rPr>
          <w:rFonts w:hint="cs"/>
          <w:sz w:val="22"/>
          <w:szCs w:val="22"/>
          <w:rtl/>
        </w:rPr>
        <w:t xml:space="preserve">כוח הפרקליטות </w:t>
      </w:r>
      <w:r w:rsidRPr="009A2A18">
        <w:rPr>
          <w:sz w:val="22"/>
          <w:szCs w:val="22"/>
          <w:rtl/>
        </w:rPr>
        <w:t>–</w:t>
      </w:r>
      <w:r w:rsidRPr="009A2A18">
        <w:rPr>
          <w:rFonts w:hint="cs"/>
          <w:sz w:val="22"/>
          <w:szCs w:val="22"/>
          <w:rtl/>
        </w:rPr>
        <w:t xml:space="preserve"> דין העתירה להידחות.</w:t>
      </w:r>
    </w:p>
    <w:p w:rsidR="005366A8" w:rsidRPr="009A2A18" w:rsidRDefault="005366A8" w:rsidP="005366A8">
      <w:pPr>
        <w:pStyle w:val="a6"/>
        <w:spacing w:after="60" w:line="240" w:lineRule="auto"/>
        <w:rPr>
          <w:sz w:val="22"/>
          <w:szCs w:val="22"/>
          <w:rtl/>
        </w:rPr>
      </w:pPr>
      <w:r w:rsidRPr="009A2A18">
        <w:rPr>
          <w:rFonts w:hint="cs"/>
          <w:sz w:val="22"/>
          <w:szCs w:val="22"/>
          <w:rtl/>
        </w:rPr>
        <w:t>4.</w:t>
      </w:r>
      <w:r w:rsidRPr="009A2A18">
        <w:rPr>
          <w:rFonts w:hint="cs"/>
          <w:sz w:val="22"/>
          <w:szCs w:val="22"/>
          <w:rtl/>
        </w:rPr>
        <w:tab/>
      </w:r>
      <w:r w:rsidRPr="009A3202">
        <w:rPr>
          <w:rFonts w:hint="cs"/>
          <w:sz w:val="22"/>
          <w:szCs w:val="22"/>
          <w:highlight w:val="yellow"/>
          <w:rtl/>
        </w:rPr>
        <w:t>אין בידינו לקבל טיעון זה. סמכותו של בית</w:t>
      </w:r>
      <w:r w:rsidRPr="009A3202">
        <w:rPr>
          <w:rFonts w:hint="cs"/>
          <w:position w:val="4"/>
          <w:sz w:val="22"/>
          <w:szCs w:val="22"/>
          <w:highlight w:val="yellow"/>
          <w:rtl/>
        </w:rPr>
        <w:t>-</w:t>
      </w:r>
      <w:r w:rsidRPr="009A3202">
        <w:rPr>
          <w:rFonts w:hint="cs"/>
          <w:sz w:val="22"/>
          <w:szCs w:val="22"/>
          <w:highlight w:val="yellow"/>
          <w:rtl/>
        </w:rPr>
        <w:t>המשפט הגבוה לצדק יונקת חיותה מהוראות חוק</w:t>
      </w:r>
      <w:r w:rsidRPr="009A3202">
        <w:rPr>
          <w:rFonts w:hint="cs"/>
          <w:position w:val="4"/>
          <w:sz w:val="22"/>
          <w:szCs w:val="22"/>
          <w:highlight w:val="yellow"/>
          <w:rtl/>
        </w:rPr>
        <w:t>-</w:t>
      </w:r>
      <w:r w:rsidRPr="009A3202">
        <w:rPr>
          <w:rFonts w:hint="cs"/>
          <w:sz w:val="22"/>
          <w:szCs w:val="22"/>
          <w:highlight w:val="yellow"/>
          <w:rtl/>
        </w:rPr>
        <w:t>יסוד: השפיטה (סעיף 15). היא מעוגנת אפוא בהוראה חוקתית</w:t>
      </w:r>
      <w:r w:rsidRPr="009A3202">
        <w:rPr>
          <w:rFonts w:hint="cs"/>
          <w:position w:val="4"/>
          <w:sz w:val="22"/>
          <w:szCs w:val="22"/>
          <w:highlight w:val="yellow"/>
          <w:rtl/>
        </w:rPr>
        <w:t>-</w:t>
      </w:r>
      <w:r w:rsidRPr="009A3202">
        <w:rPr>
          <w:rFonts w:hint="cs"/>
          <w:sz w:val="22"/>
          <w:szCs w:val="22"/>
          <w:highlight w:val="yellow"/>
          <w:rtl/>
        </w:rPr>
        <w:t>על</w:t>
      </w:r>
      <w:r w:rsidRPr="009A3202">
        <w:rPr>
          <w:rFonts w:hint="cs"/>
          <w:position w:val="4"/>
          <w:sz w:val="22"/>
          <w:szCs w:val="22"/>
          <w:highlight w:val="yellow"/>
          <w:rtl/>
        </w:rPr>
        <w:t>-</w:t>
      </w:r>
      <w:r w:rsidRPr="009A3202">
        <w:rPr>
          <w:rFonts w:hint="cs"/>
          <w:sz w:val="22"/>
          <w:szCs w:val="22"/>
          <w:highlight w:val="yellow"/>
          <w:rtl/>
        </w:rPr>
        <w:t>חוקית. אין בכוחה של הוראת חוק לשנות מהוראותיו של חוק יסוד.</w:t>
      </w:r>
      <w:r w:rsidRPr="009A2A18">
        <w:rPr>
          <w:rFonts w:hint="cs"/>
          <w:sz w:val="22"/>
          <w:szCs w:val="22"/>
          <w:rtl/>
        </w:rPr>
        <w:t xml:space="preserve"> עמדתי על כך ב</w:t>
      </w:r>
      <w:r w:rsidRPr="009A2A18">
        <w:rPr>
          <w:rFonts w:cs="Miriam" w:hint="cs"/>
          <w:sz w:val="22"/>
          <w:szCs w:val="22"/>
          <w:rtl/>
        </w:rPr>
        <w:t xml:space="preserve">ע"א 6821/93 בנק המזרחי המאוחד בע"מ נ' מגדל כפר שיתופי </w:t>
      </w:r>
      <w:r w:rsidRPr="009A2A18">
        <w:rPr>
          <w:rFonts w:hint="cs"/>
          <w:sz w:val="22"/>
          <w:szCs w:val="22"/>
          <w:rtl/>
        </w:rPr>
        <w:t xml:space="preserve">(להלן – פרשת </w:t>
      </w:r>
      <w:r w:rsidRPr="009A2A18">
        <w:rPr>
          <w:rFonts w:cs="Miriam" w:hint="cs"/>
          <w:sz w:val="22"/>
          <w:szCs w:val="22"/>
          <w:rtl/>
        </w:rPr>
        <w:t>בנק המזרחי [3]</w:t>
      </w:r>
      <w:r w:rsidRPr="009A2A18">
        <w:rPr>
          <w:rFonts w:hint="cs"/>
          <w:b/>
          <w:sz w:val="22"/>
          <w:szCs w:val="22"/>
          <w:rtl/>
        </w:rPr>
        <w:t>)</w:t>
      </w:r>
      <w:r w:rsidRPr="009A2A18">
        <w:rPr>
          <w:rFonts w:hint="cs"/>
          <w:sz w:val="22"/>
          <w:szCs w:val="22"/>
          <w:rtl/>
        </w:rPr>
        <w:t xml:space="preserve">, בצייני: </w:t>
      </w:r>
    </w:p>
    <w:p w:rsidR="005366A8" w:rsidRPr="009A2A18" w:rsidRDefault="005366A8" w:rsidP="005366A8">
      <w:pPr>
        <w:pStyle w:val="a7"/>
        <w:spacing w:after="60" w:line="240" w:lineRule="auto"/>
        <w:rPr>
          <w:sz w:val="22"/>
          <w:szCs w:val="22"/>
          <w:rtl/>
        </w:rPr>
      </w:pPr>
      <w:r w:rsidRPr="009A2A18">
        <w:rPr>
          <w:rFonts w:hint="cs"/>
          <w:sz w:val="22"/>
          <w:szCs w:val="22"/>
          <w:rtl/>
        </w:rPr>
        <w:t>"חוק יסוד הוא פרק מחוקתה של המדינה. הוא פרי סמכותה המכוננת של הכנסת. בכינונו של חוק יסוד אנו מצויים בדרגה הנורמאטיבית הגבוהה ביותר. מתבקש מכך, כי אין לשנות חוק יסוד או הוראה מהוראותיו אלא בחוק יסוד" (</w:t>
      </w:r>
      <w:r w:rsidRPr="009A2A18">
        <w:rPr>
          <w:rFonts w:cs="Miriam" w:hint="cs"/>
          <w:sz w:val="22"/>
          <w:szCs w:val="22"/>
          <w:rtl/>
        </w:rPr>
        <w:t>שם [3]</w:t>
      </w:r>
      <w:r w:rsidRPr="009A2A18">
        <w:rPr>
          <w:rFonts w:hint="cs"/>
          <w:sz w:val="22"/>
          <w:szCs w:val="22"/>
          <w:rtl/>
        </w:rPr>
        <w:t xml:space="preserve">, </w:t>
      </w:r>
      <w:r w:rsidRPr="009A2A18">
        <w:rPr>
          <w:rFonts w:cs="Miriam" w:hint="cs"/>
          <w:sz w:val="22"/>
          <w:szCs w:val="22"/>
          <w:rtl/>
        </w:rPr>
        <w:t>בעמ' 406</w:t>
      </w:r>
      <w:r w:rsidRPr="009A2A18">
        <w:rPr>
          <w:rFonts w:hint="cs"/>
          <w:sz w:val="22"/>
          <w:szCs w:val="22"/>
          <w:rtl/>
        </w:rPr>
        <w:t xml:space="preserve">. ראו גם </w:t>
      </w:r>
      <w:r w:rsidRPr="009A2A18">
        <w:rPr>
          <w:rFonts w:cs="Miriam" w:hint="cs"/>
          <w:sz w:val="22"/>
          <w:szCs w:val="22"/>
          <w:rtl/>
        </w:rPr>
        <w:t>בג"ץ 1384/98 אבני נ' ראש</w:t>
      </w:r>
      <w:r w:rsidRPr="009A2A18">
        <w:rPr>
          <w:rFonts w:cs="Miriam" w:hint="cs"/>
          <w:position w:val="4"/>
          <w:sz w:val="22"/>
          <w:szCs w:val="22"/>
          <w:rtl/>
        </w:rPr>
        <w:t>-</w:t>
      </w:r>
      <w:r w:rsidRPr="009A2A18">
        <w:rPr>
          <w:rFonts w:cs="Miriam" w:hint="cs"/>
          <w:sz w:val="22"/>
          <w:szCs w:val="22"/>
          <w:rtl/>
        </w:rPr>
        <w:t>הממשלה [4]</w:t>
      </w:r>
      <w:r w:rsidRPr="009A2A18">
        <w:rPr>
          <w:rFonts w:hint="cs"/>
          <w:sz w:val="22"/>
          <w:szCs w:val="22"/>
          <w:rtl/>
        </w:rPr>
        <w:t>).</w:t>
      </w:r>
    </w:p>
    <w:p w:rsidR="005366A8" w:rsidRPr="009A2A18" w:rsidRDefault="005366A8" w:rsidP="005366A8">
      <w:pPr>
        <w:pStyle w:val="a6"/>
        <w:spacing w:after="60" w:line="240" w:lineRule="auto"/>
        <w:rPr>
          <w:sz w:val="22"/>
          <w:szCs w:val="22"/>
          <w:rtl/>
        </w:rPr>
      </w:pPr>
      <w:r w:rsidRPr="00AE09CD">
        <w:rPr>
          <w:rFonts w:hint="cs"/>
          <w:sz w:val="22"/>
          <w:szCs w:val="22"/>
          <w:highlight w:val="yellow"/>
          <w:rtl/>
        </w:rPr>
        <w:t>בדומה, אין בכוחו של חוק רגיל לפגוע בהוראת חוק יסוד אלא אם כן הדבר מתאפשר על</w:t>
      </w:r>
      <w:r w:rsidRPr="00AE09CD">
        <w:rPr>
          <w:rFonts w:hint="cs"/>
          <w:position w:val="4"/>
          <w:sz w:val="22"/>
          <w:szCs w:val="22"/>
          <w:highlight w:val="yellow"/>
          <w:rtl/>
        </w:rPr>
        <w:t>-</w:t>
      </w:r>
      <w:r w:rsidRPr="00AE09CD">
        <w:rPr>
          <w:rFonts w:hint="cs"/>
          <w:sz w:val="22"/>
          <w:szCs w:val="22"/>
          <w:highlight w:val="yellow"/>
          <w:rtl/>
        </w:rPr>
        <w:t>ידי פיסקת ההגבלה</w:t>
      </w:r>
      <w:r w:rsidRPr="009A2A18">
        <w:rPr>
          <w:rFonts w:hint="cs"/>
          <w:sz w:val="22"/>
          <w:szCs w:val="22"/>
          <w:rtl/>
        </w:rPr>
        <w:t xml:space="preserve"> (ראו </w:t>
      </w:r>
      <w:r w:rsidRPr="009A2A18">
        <w:rPr>
          <w:rFonts w:cs="Miriam" w:hint="cs"/>
          <w:sz w:val="22"/>
          <w:szCs w:val="22"/>
          <w:rtl/>
        </w:rPr>
        <w:t>בג"ץ 3434/96 הופנונג נ' יושב</w:t>
      </w:r>
      <w:r w:rsidRPr="009A2A18">
        <w:rPr>
          <w:rFonts w:cs="Miriam" w:hint="cs"/>
          <w:position w:val="4"/>
          <w:sz w:val="22"/>
          <w:szCs w:val="22"/>
          <w:rtl/>
        </w:rPr>
        <w:t>-</w:t>
      </w:r>
      <w:r w:rsidRPr="009A2A18">
        <w:rPr>
          <w:rFonts w:cs="Miriam" w:hint="cs"/>
          <w:sz w:val="22"/>
          <w:szCs w:val="22"/>
          <w:rtl/>
        </w:rPr>
        <w:t>ראש הכנסת [5]</w:t>
      </w:r>
      <w:r w:rsidRPr="009A2A18">
        <w:rPr>
          <w:rFonts w:hint="cs"/>
          <w:sz w:val="22"/>
          <w:szCs w:val="22"/>
          <w:rtl/>
        </w:rPr>
        <w:t>). על רקע זה פסקנו כי אין בכוחו של חוק בתי משפט לענינים מינהליים, תש"ס-2000, לשלול את סמכותו של בית</w:t>
      </w:r>
      <w:r w:rsidRPr="009A2A18">
        <w:rPr>
          <w:rFonts w:hint="cs"/>
          <w:position w:val="4"/>
          <w:sz w:val="22"/>
          <w:szCs w:val="22"/>
          <w:rtl/>
        </w:rPr>
        <w:t>-</w:t>
      </w:r>
      <w:r w:rsidRPr="009A2A18">
        <w:rPr>
          <w:rFonts w:hint="cs"/>
          <w:sz w:val="22"/>
          <w:szCs w:val="22"/>
          <w:rtl/>
        </w:rPr>
        <w:t xml:space="preserve">המשפט הגבוה לצדק בעניינים מינהליים. ציינו כי </w:t>
      </w:r>
      <w:r w:rsidRPr="009A3202">
        <w:rPr>
          <w:rFonts w:hint="cs"/>
          <w:sz w:val="22"/>
          <w:szCs w:val="22"/>
          <w:highlight w:val="yellow"/>
          <w:rtl/>
        </w:rPr>
        <w:t xml:space="preserve">"אין דבר חקיקה רגיל </w:t>
      </w:r>
      <w:r w:rsidRPr="009A3202">
        <w:rPr>
          <w:sz w:val="22"/>
          <w:szCs w:val="22"/>
          <w:highlight w:val="yellow"/>
          <w:rtl/>
        </w:rPr>
        <w:t>–</w:t>
      </w:r>
      <w:r w:rsidRPr="009A3202">
        <w:rPr>
          <w:rFonts w:hint="cs"/>
          <w:sz w:val="22"/>
          <w:szCs w:val="22"/>
          <w:highlight w:val="yellow"/>
          <w:rtl/>
        </w:rPr>
        <w:t xml:space="preserve"> בין שנחקק לפני כינונו של חוק היסוד ובין שהוחק לאחר מכן </w:t>
      </w:r>
      <w:r w:rsidRPr="009A3202">
        <w:rPr>
          <w:sz w:val="22"/>
          <w:szCs w:val="22"/>
          <w:highlight w:val="yellow"/>
          <w:rtl/>
        </w:rPr>
        <w:t>–</w:t>
      </w:r>
      <w:r w:rsidRPr="009A3202">
        <w:rPr>
          <w:rFonts w:hint="cs"/>
          <w:sz w:val="22"/>
          <w:szCs w:val="22"/>
          <w:highlight w:val="yellow"/>
          <w:rtl/>
        </w:rPr>
        <w:t xml:space="preserve"> יכול לשנות מהוראות חוק היסוד... על</w:t>
      </w:r>
      <w:r w:rsidRPr="009A3202">
        <w:rPr>
          <w:rFonts w:hint="cs"/>
          <w:position w:val="4"/>
          <w:sz w:val="22"/>
          <w:szCs w:val="22"/>
          <w:highlight w:val="yellow"/>
          <w:rtl/>
        </w:rPr>
        <w:t>-</w:t>
      </w:r>
      <w:r w:rsidRPr="009A3202">
        <w:rPr>
          <w:rFonts w:hint="cs"/>
          <w:sz w:val="22"/>
          <w:szCs w:val="22"/>
          <w:highlight w:val="yellow"/>
          <w:rtl/>
        </w:rPr>
        <w:t>כן דבר חקיקה המעניק לבית</w:t>
      </w:r>
      <w:r w:rsidRPr="009A3202">
        <w:rPr>
          <w:rFonts w:hint="cs"/>
          <w:position w:val="4"/>
          <w:sz w:val="22"/>
          <w:szCs w:val="22"/>
          <w:highlight w:val="yellow"/>
          <w:rtl/>
        </w:rPr>
        <w:t>-</w:t>
      </w:r>
      <w:r w:rsidRPr="009A3202">
        <w:rPr>
          <w:rFonts w:hint="cs"/>
          <w:sz w:val="22"/>
          <w:szCs w:val="22"/>
          <w:highlight w:val="yellow"/>
          <w:rtl/>
        </w:rPr>
        <w:t>משפט אחר סמכות בעניינים שבית</w:t>
      </w:r>
      <w:r w:rsidRPr="009A3202">
        <w:rPr>
          <w:rFonts w:hint="cs"/>
          <w:position w:val="4"/>
          <w:sz w:val="22"/>
          <w:szCs w:val="22"/>
          <w:highlight w:val="yellow"/>
          <w:rtl/>
        </w:rPr>
        <w:t>-</w:t>
      </w:r>
      <w:r w:rsidRPr="009A3202">
        <w:rPr>
          <w:rFonts w:hint="cs"/>
          <w:sz w:val="22"/>
          <w:szCs w:val="22"/>
          <w:highlight w:val="yellow"/>
          <w:rtl/>
        </w:rPr>
        <w:t>המשפט הגבוה לצדק הוסמך לדון בהם בחוק</w:t>
      </w:r>
      <w:r w:rsidRPr="009A3202">
        <w:rPr>
          <w:rFonts w:hint="cs"/>
          <w:position w:val="4"/>
          <w:sz w:val="22"/>
          <w:szCs w:val="22"/>
          <w:highlight w:val="yellow"/>
          <w:rtl/>
        </w:rPr>
        <w:t>-</w:t>
      </w:r>
      <w:r w:rsidRPr="009A3202">
        <w:rPr>
          <w:rFonts w:hint="cs"/>
          <w:sz w:val="22"/>
          <w:szCs w:val="22"/>
          <w:highlight w:val="yellow"/>
          <w:rtl/>
        </w:rPr>
        <w:t>יסוד: השפיטה אינו יכול לשנות את סמכותו של בית</w:t>
      </w:r>
      <w:r w:rsidRPr="009A3202">
        <w:rPr>
          <w:rFonts w:hint="cs"/>
          <w:position w:val="4"/>
          <w:sz w:val="22"/>
          <w:szCs w:val="22"/>
          <w:highlight w:val="yellow"/>
          <w:rtl/>
        </w:rPr>
        <w:t>-</w:t>
      </w:r>
      <w:r w:rsidRPr="009A3202">
        <w:rPr>
          <w:rFonts w:hint="cs"/>
          <w:sz w:val="22"/>
          <w:szCs w:val="22"/>
          <w:highlight w:val="yellow"/>
          <w:rtl/>
        </w:rPr>
        <w:t>המשפט הגבוה לצדק"</w:t>
      </w:r>
      <w:r w:rsidRPr="009A2A18">
        <w:rPr>
          <w:rFonts w:hint="cs"/>
          <w:sz w:val="22"/>
          <w:szCs w:val="22"/>
          <w:rtl/>
        </w:rPr>
        <w:t xml:space="preserve"> </w:t>
      </w:r>
      <w:r>
        <w:rPr>
          <w:rFonts w:hint="cs"/>
          <w:sz w:val="22"/>
          <w:szCs w:val="22"/>
          <w:rtl/>
        </w:rPr>
        <w:t>..</w:t>
      </w:r>
      <w:r w:rsidRPr="009A2A18">
        <w:rPr>
          <w:rFonts w:hint="cs"/>
          <w:sz w:val="22"/>
          <w:szCs w:val="22"/>
          <w:rtl/>
        </w:rPr>
        <w:t xml:space="preserve">. </w:t>
      </w:r>
    </w:p>
    <w:p w:rsidR="005366A8" w:rsidRPr="009A2A18" w:rsidRDefault="005366A8" w:rsidP="005366A8">
      <w:pPr>
        <w:pStyle w:val="a6"/>
        <w:spacing w:after="60" w:line="240" w:lineRule="auto"/>
        <w:rPr>
          <w:sz w:val="22"/>
          <w:szCs w:val="22"/>
          <w:rtl/>
        </w:rPr>
      </w:pPr>
      <w:r w:rsidRPr="009A2A18">
        <w:rPr>
          <w:rFonts w:hint="cs"/>
          <w:sz w:val="22"/>
          <w:szCs w:val="22"/>
          <w:rtl/>
        </w:rPr>
        <w:t>5.</w:t>
      </w:r>
      <w:r w:rsidRPr="009A2A18">
        <w:rPr>
          <w:rFonts w:hint="cs"/>
          <w:sz w:val="22"/>
          <w:szCs w:val="22"/>
          <w:rtl/>
        </w:rPr>
        <w:tab/>
        <w:t>על</w:t>
      </w:r>
      <w:r w:rsidRPr="009A2A18">
        <w:rPr>
          <w:rFonts w:hint="cs"/>
          <w:position w:val="4"/>
          <w:sz w:val="22"/>
          <w:szCs w:val="22"/>
          <w:rtl/>
        </w:rPr>
        <w:t>-</w:t>
      </w:r>
      <w:r w:rsidRPr="009A2A18">
        <w:rPr>
          <w:rFonts w:hint="cs"/>
          <w:sz w:val="22"/>
          <w:szCs w:val="22"/>
          <w:rtl/>
        </w:rPr>
        <w:t>כן אין בכוחה של הוראת סעיף 137 לחוק הבחירות לשלול את סמכותו של בית</w:t>
      </w:r>
      <w:r w:rsidRPr="009A2A18">
        <w:rPr>
          <w:rFonts w:hint="cs"/>
          <w:position w:val="4"/>
          <w:sz w:val="22"/>
          <w:szCs w:val="22"/>
          <w:rtl/>
        </w:rPr>
        <w:t>-</w:t>
      </w:r>
      <w:r w:rsidRPr="009A2A18">
        <w:rPr>
          <w:rFonts w:hint="cs"/>
          <w:sz w:val="22"/>
          <w:szCs w:val="22"/>
          <w:rtl/>
        </w:rPr>
        <w:t xml:space="preserve">המשפט הגבוה לצדק. </w:t>
      </w:r>
      <w:r w:rsidRPr="009A3202">
        <w:rPr>
          <w:rFonts w:hint="cs"/>
          <w:sz w:val="22"/>
          <w:szCs w:val="22"/>
          <w:highlight w:val="yellow"/>
          <w:rtl/>
        </w:rPr>
        <w:t>פסקי</w:t>
      </w:r>
      <w:r w:rsidRPr="009A3202">
        <w:rPr>
          <w:rFonts w:hint="cs"/>
          <w:position w:val="4"/>
          <w:sz w:val="22"/>
          <w:szCs w:val="22"/>
          <w:highlight w:val="yellow"/>
          <w:rtl/>
        </w:rPr>
        <w:t>-</w:t>
      </w:r>
      <w:r w:rsidRPr="009A3202">
        <w:rPr>
          <w:rFonts w:hint="cs"/>
          <w:sz w:val="22"/>
          <w:szCs w:val="22"/>
          <w:highlight w:val="yellow"/>
          <w:rtl/>
        </w:rPr>
        <w:t>הדין אשר הובאו על</w:t>
      </w:r>
      <w:r w:rsidRPr="009A3202">
        <w:rPr>
          <w:rFonts w:hint="cs"/>
          <w:position w:val="4"/>
          <w:sz w:val="22"/>
          <w:szCs w:val="22"/>
          <w:highlight w:val="yellow"/>
          <w:rtl/>
        </w:rPr>
        <w:t>-</w:t>
      </w:r>
      <w:r w:rsidRPr="009A3202">
        <w:rPr>
          <w:rFonts w:hint="cs"/>
          <w:sz w:val="22"/>
          <w:szCs w:val="22"/>
          <w:highlight w:val="yellow"/>
          <w:rtl/>
        </w:rPr>
        <w:t>ידי פרקליטות המדינה לתמיכה בטיעוניה ניתנו לפני פסק</w:t>
      </w:r>
      <w:r w:rsidRPr="009A3202">
        <w:rPr>
          <w:rFonts w:hint="cs"/>
          <w:position w:val="4"/>
          <w:sz w:val="22"/>
          <w:szCs w:val="22"/>
          <w:highlight w:val="yellow"/>
          <w:rtl/>
        </w:rPr>
        <w:t>-</w:t>
      </w:r>
      <w:r w:rsidRPr="009A3202">
        <w:rPr>
          <w:rFonts w:hint="cs"/>
          <w:sz w:val="22"/>
          <w:szCs w:val="22"/>
          <w:highlight w:val="yellow"/>
          <w:rtl/>
        </w:rPr>
        <w:t xml:space="preserve">דיננו </w:t>
      </w:r>
      <w:r w:rsidRPr="009A3202">
        <w:rPr>
          <w:rFonts w:hint="cs"/>
          <w:b/>
          <w:sz w:val="22"/>
          <w:szCs w:val="22"/>
          <w:highlight w:val="yellow"/>
          <w:rtl/>
        </w:rPr>
        <w:t>בפרשת</w:t>
      </w:r>
      <w:r w:rsidRPr="009A3202">
        <w:rPr>
          <w:rFonts w:cs="Miriam" w:hint="cs"/>
          <w:sz w:val="22"/>
          <w:szCs w:val="22"/>
          <w:highlight w:val="yellow"/>
          <w:rtl/>
        </w:rPr>
        <w:t xml:space="preserve"> בנק המזרחי</w:t>
      </w:r>
      <w:r w:rsidRPr="009A3202">
        <w:rPr>
          <w:rFonts w:hint="cs"/>
          <w:sz w:val="22"/>
          <w:szCs w:val="22"/>
          <w:highlight w:val="yellow"/>
          <w:rtl/>
        </w:rPr>
        <w:t xml:space="preserve"> </w:t>
      </w:r>
      <w:r w:rsidRPr="009A3202">
        <w:rPr>
          <w:rFonts w:cs="Miriam" w:hint="cs"/>
          <w:sz w:val="22"/>
          <w:szCs w:val="22"/>
          <w:highlight w:val="yellow"/>
          <w:rtl/>
        </w:rPr>
        <w:t>[3]</w:t>
      </w:r>
      <w:r w:rsidRPr="009A3202">
        <w:rPr>
          <w:rFonts w:hint="cs"/>
          <w:sz w:val="22"/>
          <w:szCs w:val="22"/>
          <w:highlight w:val="yellow"/>
          <w:rtl/>
        </w:rPr>
        <w:t>, ואין הם מתיישבים עמו, על</w:t>
      </w:r>
      <w:r w:rsidRPr="009A3202">
        <w:rPr>
          <w:rFonts w:hint="cs"/>
          <w:position w:val="4"/>
          <w:sz w:val="22"/>
          <w:szCs w:val="22"/>
          <w:highlight w:val="yellow"/>
          <w:rtl/>
        </w:rPr>
        <w:t>-</w:t>
      </w:r>
      <w:r w:rsidRPr="009A3202">
        <w:rPr>
          <w:rFonts w:hint="cs"/>
          <w:sz w:val="22"/>
          <w:szCs w:val="22"/>
          <w:highlight w:val="yellow"/>
          <w:rtl/>
        </w:rPr>
        <w:t>כן עד כמה שקביעתו של סעיף 137 לחוק הבחירות כי "שום בית משפט" לא ייזקק לסעדים הקבועים באותה הוראה, מתפרשת כשוללת את סמכותו של בית</w:t>
      </w:r>
      <w:r w:rsidRPr="009A3202">
        <w:rPr>
          <w:rFonts w:hint="cs"/>
          <w:position w:val="4"/>
          <w:sz w:val="22"/>
          <w:szCs w:val="22"/>
          <w:highlight w:val="yellow"/>
          <w:rtl/>
        </w:rPr>
        <w:t>-</w:t>
      </w:r>
      <w:r w:rsidRPr="009A3202">
        <w:rPr>
          <w:rFonts w:hint="cs"/>
          <w:sz w:val="22"/>
          <w:szCs w:val="22"/>
          <w:highlight w:val="yellow"/>
          <w:rtl/>
        </w:rPr>
        <w:t>המשפט הגבוה לצדק, אין היא חוקתית, והיא בטלה בכל הנוגע לתחולתה על בית</w:t>
      </w:r>
      <w:r w:rsidRPr="009A3202">
        <w:rPr>
          <w:rFonts w:hint="cs"/>
          <w:position w:val="4"/>
          <w:sz w:val="22"/>
          <w:szCs w:val="22"/>
          <w:highlight w:val="yellow"/>
          <w:rtl/>
        </w:rPr>
        <w:t>-</w:t>
      </w:r>
      <w:r w:rsidRPr="009A3202">
        <w:rPr>
          <w:rFonts w:hint="cs"/>
          <w:sz w:val="22"/>
          <w:szCs w:val="22"/>
          <w:highlight w:val="yellow"/>
          <w:rtl/>
        </w:rPr>
        <w:t>המשפט הגבוה לצדק. היא תופסת כמובן לעניין כל בתי</w:t>
      </w:r>
      <w:r w:rsidRPr="009A3202">
        <w:rPr>
          <w:rFonts w:hint="cs"/>
          <w:position w:val="4"/>
          <w:sz w:val="22"/>
          <w:szCs w:val="22"/>
          <w:highlight w:val="yellow"/>
          <w:rtl/>
        </w:rPr>
        <w:t>-</w:t>
      </w:r>
      <w:r w:rsidRPr="009A3202">
        <w:rPr>
          <w:rFonts w:hint="cs"/>
          <w:sz w:val="22"/>
          <w:szCs w:val="22"/>
          <w:highlight w:val="yellow"/>
          <w:rtl/>
        </w:rPr>
        <w:t xml:space="preserve">המשפט האחרים. ניתן להגיע לאותה תוצאה עצמה </w:t>
      </w:r>
      <w:r w:rsidRPr="009A3202">
        <w:rPr>
          <w:sz w:val="22"/>
          <w:szCs w:val="22"/>
          <w:highlight w:val="yellow"/>
          <w:rtl/>
        </w:rPr>
        <w:t>–</w:t>
      </w:r>
      <w:r w:rsidRPr="009A3202">
        <w:rPr>
          <w:rFonts w:hint="cs"/>
          <w:sz w:val="22"/>
          <w:szCs w:val="22"/>
          <w:highlight w:val="yellow"/>
          <w:rtl/>
        </w:rPr>
        <w:t xml:space="preserve"> ולדעתי זו גם הדרך הראויה </w:t>
      </w:r>
      <w:r w:rsidRPr="009A3202">
        <w:rPr>
          <w:sz w:val="22"/>
          <w:szCs w:val="22"/>
          <w:highlight w:val="yellow"/>
          <w:rtl/>
        </w:rPr>
        <w:t>–</w:t>
      </w:r>
      <w:r w:rsidRPr="009A3202">
        <w:rPr>
          <w:rFonts w:hint="cs"/>
          <w:sz w:val="22"/>
          <w:szCs w:val="22"/>
          <w:highlight w:val="yellow"/>
          <w:rtl/>
        </w:rPr>
        <w:t xml:space="preserve"> על</w:t>
      </w:r>
      <w:r w:rsidRPr="009A3202">
        <w:rPr>
          <w:rFonts w:hint="cs"/>
          <w:position w:val="4"/>
          <w:sz w:val="22"/>
          <w:szCs w:val="22"/>
          <w:highlight w:val="yellow"/>
          <w:rtl/>
        </w:rPr>
        <w:t>-</w:t>
      </w:r>
      <w:r w:rsidRPr="009A3202">
        <w:rPr>
          <w:rFonts w:hint="cs"/>
          <w:sz w:val="22"/>
          <w:szCs w:val="22"/>
          <w:highlight w:val="yellow"/>
          <w:rtl/>
        </w:rPr>
        <w:t>ידי מתן פירוש חדש לדיבור "שום בית משפט" כמתייחס לכלל בתי</w:t>
      </w:r>
      <w:r w:rsidRPr="009A3202">
        <w:rPr>
          <w:rFonts w:hint="cs"/>
          <w:position w:val="4"/>
          <w:sz w:val="22"/>
          <w:szCs w:val="22"/>
          <w:highlight w:val="yellow"/>
          <w:rtl/>
        </w:rPr>
        <w:t>-</w:t>
      </w:r>
      <w:r w:rsidRPr="009A3202">
        <w:rPr>
          <w:rFonts w:hint="cs"/>
          <w:sz w:val="22"/>
          <w:szCs w:val="22"/>
          <w:highlight w:val="yellow"/>
          <w:rtl/>
        </w:rPr>
        <w:t>המשפט למעט בית</w:t>
      </w:r>
      <w:r w:rsidRPr="009A3202">
        <w:rPr>
          <w:rFonts w:hint="cs"/>
          <w:position w:val="4"/>
          <w:sz w:val="22"/>
          <w:szCs w:val="22"/>
          <w:highlight w:val="yellow"/>
          <w:rtl/>
        </w:rPr>
        <w:t>-</w:t>
      </w:r>
      <w:r w:rsidRPr="009A3202">
        <w:rPr>
          <w:rFonts w:hint="cs"/>
          <w:sz w:val="22"/>
          <w:szCs w:val="22"/>
          <w:highlight w:val="yellow"/>
          <w:rtl/>
        </w:rPr>
        <w:t>המשפט הגבוה לצדק. פירוש זה משקף את הגישה כי "עדיף להגיע לצמצום היקפו של חוק בדרך פרשנות, על פני הצורך להגיע לאותו צמצום עצמו בדרך של הכרזת חלק מהחוק כבטל בהיותו נוגד להוראת חוק יסוד"</w:t>
      </w:r>
      <w:r w:rsidRPr="009A2A18">
        <w:rPr>
          <w:rFonts w:hint="cs"/>
          <w:sz w:val="22"/>
          <w:szCs w:val="22"/>
          <w:rtl/>
        </w:rPr>
        <w:t xml:space="preserve"> (</w:t>
      </w:r>
      <w:r w:rsidRPr="009A2A18">
        <w:rPr>
          <w:rFonts w:cs="Miriam" w:hint="cs"/>
          <w:sz w:val="22"/>
          <w:szCs w:val="22"/>
          <w:rtl/>
        </w:rPr>
        <w:t>בג"ץ 4562/92 זנדברג נ' רשות השידור [8]</w:t>
      </w:r>
      <w:r w:rsidRPr="009A2A18">
        <w:rPr>
          <w:rFonts w:hint="cs"/>
          <w:sz w:val="22"/>
          <w:szCs w:val="22"/>
          <w:rtl/>
        </w:rPr>
        <w:t xml:space="preserve">, </w:t>
      </w:r>
      <w:r w:rsidRPr="009A2A18">
        <w:rPr>
          <w:rFonts w:cs="Miriam" w:hint="cs"/>
          <w:sz w:val="22"/>
          <w:szCs w:val="22"/>
          <w:rtl/>
        </w:rPr>
        <w:t>בעמ' 814</w:t>
      </w:r>
      <w:r w:rsidRPr="009A2A18">
        <w:rPr>
          <w:rFonts w:hint="cs"/>
          <w:sz w:val="22"/>
          <w:szCs w:val="22"/>
          <w:rtl/>
        </w:rPr>
        <w:t>). פירוש זה עולה בקנה אחד עם התפיסה כי "זכות הגישה לבית</w:t>
      </w:r>
      <w:r w:rsidRPr="009A2A18">
        <w:rPr>
          <w:rFonts w:hint="cs"/>
          <w:position w:val="4"/>
          <w:sz w:val="22"/>
          <w:szCs w:val="22"/>
          <w:rtl/>
        </w:rPr>
        <w:t>-</w:t>
      </w:r>
      <w:r w:rsidRPr="009A2A18">
        <w:rPr>
          <w:rFonts w:hint="cs"/>
          <w:sz w:val="22"/>
          <w:szCs w:val="22"/>
          <w:rtl/>
        </w:rPr>
        <w:t>המשפט אין היא זכות</w:t>
      </w:r>
      <w:r w:rsidRPr="009A2A18">
        <w:rPr>
          <w:rFonts w:hint="cs"/>
          <w:position w:val="4"/>
          <w:sz w:val="22"/>
          <w:szCs w:val="22"/>
          <w:rtl/>
        </w:rPr>
        <w:t>-</w:t>
      </w:r>
      <w:r w:rsidRPr="009A2A18">
        <w:rPr>
          <w:rFonts w:hint="cs"/>
          <w:sz w:val="22"/>
          <w:szCs w:val="22"/>
          <w:rtl/>
        </w:rPr>
        <w:t>יסוד במובנו הרגיל של המושג זכות</w:t>
      </w:r>
      <w:r w:rsidRPr="009A2A18">
        <w:rPr>
          <w:rFonts w:hint="cs"/>
          <w:position w:val="4"/>
          <w:sz w:val="22"/>
          <w:szCs w:val="22"/>
          <w:rtl/>
        </w:rPr>
        <w:t>-</w:t>
      </w:r>
      <w:r w:rsidRPr="009A2A18">
        <w:rPr>
          <w:rFonts w:hint="cs"/>
          <w:sz w:val="22"/>
          <w:szCs w:val="22"/>
          <w:rtl/>
        </w:rPr>
        <w:t>יסוד... []קיומה הינו תנאי הכרחי וחיוני לקיומן של שאר זכויות</w:t>
      </w:r>
      <w:r w:rsidRPr="009A2A18">
        <w:rPr>
          <w:rFonts w:hint="cs"/>
          <w:position w:val="4"/>
          <w:sz w:val="22"/>
          <w:szCs w:val="22"/>
          <w:rtl/>
        </w:rPr>
        <w:t>-</w:t>
      </w:r>
      <w:r w:rsidRPr="009A2A18">
        <w:rPr>
          <w:rFonts w:hint="cs"/>
          <w:sz w:val="22"/>
          <w:szCs w:val="22"/>
          <w:rtl/>
        </w:rPr>
        <w:t>היסוד" (</w:t>
      </w:r>
      <w:r w:rsidRPr="009A2A18">
        <w:rPr>
          <w:rFonts w:cs="Miriam" w:hint="cs"/>
          <w:sz w:val="22"/>
          <w:szCs w:val="22"/>
          <w:rtl/>
        </w:rPr>
        <w:t>ע"א 733/95 ארפל אלומיניום בע"מ נ' קליל תעשיות בע"מ [9]</w:t>
      </w:r>
      <w:r w:rsidRPr="009A2A18">
        <w:rPr>
          <w:rFonts w:hint="cs"/>
          <w:b/>
          <w:sz w:val="22"/>
          <w:szCs w:val="22"/>
          <w:rtl/>
        </w:rPr>
        <w:t xml:space="preserve">, </w:t>
      </w:r>
      <w:r w:rsidRPr="009A2A18">
        <w:rPr>
          <w:rFonts w:cs="Miriam" w:hint="cs"/>
          <w:sz w:val="22"/>
          <w:szCs w:val="22"/>
          <w:rtl/>
        </w:rPr>
        <w:t>בעמ'</w:t>
      </w:r>
      <w:r w:rsidRPr="009A2A18">
        <w:rPr>
          <w:rFonts w:cs="Miriam" w:hint="eastAsia"/>
          <w:sz w:val="22"/>
          <w:szCs w:val="22"/>
          <w:rtl/>
        </w:rPr>
        <w:t> </w:t>
      </w:r>
      <w:r w:rsidRPr="009A2A18">
        <w:rPr>
          <w:rFonts w:cs="Miriam" w:hint="cs"/>
          <w:sz w:val="22"/>
          <w:szCs w:val="22"/>
          <w:rtl/>
        </w:rPr>
        <w:t>629</w:t>
      </w:r>
      <w:r w:rsidRPr="009A2A18">
        <w:rPr>
          <w:rFonts w:hint="cs"/>
          <w:sz w:val="22"/>
          <w:szCs w:val="22"/>
          <w:rtl/>
        </w:rPr>
        <w:t xml:space="preserve">). נמצא כי מוסמכים אנו לדון בעתירה שלפנינו. נעבור אפוא לבחינת הטענות האחרות המועלות בפנינו. </w:t>
      </w:r>
    </w:p>
    <w:p w:rsidR="005366A8" w:rsidRPr="00034F50" w:rsidRDefault="005366A8" w:rsidP="005366A8">
      <w:pPr>
        <w:spacing w:after="120"/>
        <w:rPr>
          <w:rFonts w:cs="FrankRuehl"/>
          <w:sz w:val="20"/>
          <w:szCs w:val="20"/>
          <w:rtl/>
        </w:rPr>
      </w:pPr>
      <w:r w:rsidRPr="00034F50">
        <w:rPr>
          <w:rFonts w:cs="FrankRuehl" w:hint="cs"/>
          <w:sz w:val="20"/>
          <w:szCs w:val="20"/>
          <w:rtl/>
        </w:rPr>
        <w:t>=-=</w:t>
      </w:r>
    </w:p>
    <w:p w:rsidR="005366A8" w:rsidRDefault="005366A8" w:rsidP="005366A8">
      <w:pPr>
        <w:rPr>
          <w:b/>
          <w:bCs/>
          <w:sz w:val="20"/>
          <w:szCs w:val="20"/>
          <w:rtl/>
        </w:rPr>
      </w:pPr>
    </w:p>
    <w:p w:rsidR="005366A8" w:rsidRPr="00C579B1" w:rsidRDefault="005366A8" w:rsidP="005366A8">
      <w:pPr>
        <w:pStyle w:val="Heading7"/>
        <w:spacing w:line="240" w:lineRule="auto"/>
        <w:rPr>
          <w:rFonts w:cs="Arial"/>
          <w:rtl/>
        </w:rPr>
      </w:pPr>
      <w:r w:rsidRPr="00C579B1">
        <w:rPr>
          <w:rFonts w:cs="Arial"/>
          <w:highlight w:val="yellow"/>
          <w:rtl/>
        </w:rPr>
        <w:t>מהי "פגיעה"</w:t>
      </w:r>
      <w:r>
        <w:rPr>
          <w:rFonts w:cs="Arial" w:hint="cs"/>
          <w:highlight w:val="yellow"/>
          <w:rtl/>
        </w:rPr>
        <w:t xml:space="preserve"> בהוראת חוק יסוד,</w:t>
      </w:r>
      <w:r w:rsidRPr="00C579B1">
        <w:rPr>
          <w:rFonts w:cs="Arial" w:hint="cs"/>
          <w:highlight w:val="yellow"/>
          <w:rtl/>
        </w:rPr>
        <w:t xml:space="preserve"> ו</w:t>
      </w:r>
      <w:r>
        <w:rPr>
          <w:rFonts w:cs="Arial" w:hint="cs"/>
          <w:highlight w:val="yellow"/>
          <w:rtl/>
        </w:rPr>
        <w:t xml:space="preserve">מהו </w:t>
      </w:r>
      <w:r w:rsidRPr="00C579B1">
        <w:rPr>
          <w:rFonts w:cs="Arial" w:hint="cs"/>
          <w:highlight w:val="yellow"/>
          <w:rtl/>
        </w:rPr>
        <w:t xml:space="preserve">הרעיון של </w:t>
      </w:r>
      <w:r w:rsidRPr="00C579B1">
        <w:rPr>
          <w:rFonts w:cs="Arial"/>
          <w:highlight w:val="yellow"/>
          <w:rtl/>
        </w:rPr>
        <w:t xml:space="preserve">"פסקת הגבלה </w:t>
      </w:r>
      <w:r w:rsidRPr="00C579B1">
        <w:rPr>
          <w:rFonts w:cs="Arial" w:hint="cs"/>
          <w:highlight w:val="yellow"/>
          <w:rtl/>
        </w:rPr>
        <w:t>שיפוטית</w:t>
      </w:r>
      <w:r w:rsidRPr="00924F46">
        <w:rPr>
          <w:rFonts w:cs="Arial" w:hint="cs"/>
          <w:highlight w:val="yellow"/>
          <w:rtl/>
        </w:rPr>
        <w:t>"?</w:t>
      </w:r>
    </w:p>
    <w:p w:rsidR="005366A8" w:rsidRDefault="005366A8" w:rsidP="005366A8">
      <w:pPr>
        <w:rPr>
          <w:b/>
          <w:bCs/>
          <w:sz w:val="20"/>
          <w:szCs w:val="20"/>
          <w:rtl/>
        </w:rPr>
      </w:pPr>
    </w:p>
    <w:p w:rsidR="005366A8" w:rsidRPr="003C12AE" w:rsidRDefault="005366A8" w:rsidP="005366A8">
      <w:pPr>
        <w:spacing w:after="120"/>
        <w:jc w:val="center"/>
        <w:rPr>
          <w:rFonts w:ascii="Arial" w:hAnsi="Arial" w:cs="Arial"/>
          <w:b/>
          <w:bCs/>
          <w:sz w:val="22"/>
          <w:szCs w:val="22"/>
          <w:u w:val="single"/>
          <w:rtl/>
        </w:rPr>
      </w:pPr>
      <w:r>
        <w:rPr>
          <w:rFonts w:ascii="Arial" w:hAnsi="Arial" w:cs="Arial"/>
          <w:b/>
          <w:bCs/>
          <w:sz w:val="22"/>
          <w:szCs w:val="22"/>
          <w:highlight w:val="yellow"/>
          <w:u w:val="single"/>
          <w:rtl/>
        </w:rPr>
        <w:t>"פסקת ההגבלה השיפוטית"</w:t>
      </w:r>
    </w:p>
    <w:p w:rsidR="005366A8" w:rsidRDefault="005366A8" w:rsidP="005366A8">
      <w:pPr>
        <w:spacing w:after="120"/>
        <w:rPr>
          <w:b/>
          <w:bCs/>
          <w:sz w:val="22"/>
          <w:szCs w:val="22"/>
          <w:rtl/>
        </w:rPr>
      </w:pPr>
      <w:r w:rsidRPr="003C12AE">
        <w:rPr>
          <w:rFonts w:hint="cs"/>
          <w:b/>
          <w:bCs/>
          <w:sz w:val="22"/>
          <w:szCs w:val="22"/>
          <w:highlight w:val="yellow"/>
          <w:rtl/>
        </w:rPr>
        <w:t>מהי פסקת ההגבלה השיפוטית?</w:t>
      </w:r>
    </w:p>
    <w:p w:rsidR="005366A8" w:rsidRPr="003C12AE" w:rsidRDefault="005366A8" w:rsidP="005366A8">
      <w:pPr>
        <w:spacing w:after="120"/>
        <w:ind w:left="720"/>
        <w:rPr>
          <w:sz w:val="22"/>
          <w:szCs w:val="22"/>
          <w:rtl/>
        </w:rPr>
      </w:pPr>
      <w:r>
        <w:rPr>
          <w:rFonts w:hint="cs"/>
          <w:sz w:val="22"/>
          <w:szCs w:val="22"/>
          <w:rtl/>
        </w:rPr>
        <w:t xml:space="preserve">פיסקה זו </w:t>
      </w:r>
      <w:r w:rsidRPr="003C12AE">
        <w:rPr>
          <w:rFonts w:hint="cs"/>
          <w:sz w:val="22"/>
          <w:szCs w:val="22"/>
          <w:rtl/>
        </w:rPr>
        <w:t xml:space="preserve">היא הכפפה של הזכויות המוגנות </w:t>
      </w:r>
      <w:r w:rsidRPr="00F70B29">
        <w:rPr>
          <w:rFonts w:hint="cs"/>
          <w:sz w:val="22"/>
          <w:szCs w:val="22"/>
          <w:u w:val="single"/>
          <w:rtl/>
        </w:rPr>
        <w:t>בחוקי היסוד, שלא מכילים פסקת הגבלה מפורשת</w:t>
      </w:r>
      <w:r>
        <w:rPr>
          <w:rFonts w:hint="cs"/>
          <w:sz w:val="22"/>
          <w:szCs w:val="22"/>
          <w:rtl/>
        </w:rPr>
        <w:t>,</w:t>
      </w:r>
      <w:r w:rsidRPr="003C12AE">
        <w:rPr>
          <w:rFonts w:hint="cs"/>
          <w:sz w:val="22"/>
          <w:szCs w:val="22"/>
          <w:rtl/>
        </w:rPr>
        <w:t xml:space="preserve"> לתנאיה של פסקת ההגבלה </w:t>
      </w:r>
      <w:r>
        <w:rPr>
          <w:rFonts w:hint="cs"/>
          <w:sz w:val="22"/>
          <w:szCs w:val="22"/>
          <w:rtl/>
        </w:rPr>
        <w:t xml:space="preserve">המפורשת </w:t>
      </w:r>
      <w:r w:rsidRPr="003C12AE">
        <w:rPr>
          <w:rFonts w:hint="cs"/>
          <w:sz w:val="22"/>
          <w:szCs w:val="22"/>
          <w:rtl/>
        </w:rPr>
        <w:t>הקבועה בחוק יסוד: כבוד האדם וחירותו וחוק יסוד: חופש העיסוק ["הסמכה בחוק.. או מכוח הסמכה מפורשת בו"; "תכלית ראויה"; ו"במידה שאינה עולה על הנדרש".]</w:t>
      </w:r>
    </w:p>
    <w:p w:rsidR="005366A8" w:rsidRDefault="005366A8" w:rsidP="005366A8">
      <w:pPr>
        <w:spacing w:after="120"/>
        <w:rPr>
          <w:sz w:val="22"/>
          <w:szCs w:val="22"/>
          <w:highlight w:val="yellow"/>
          <w:rtl/>
        </w:rPr>
      </w:pPr>
      <w:r w:rsidRPr="009D0905">
        <w:rPr>
          <w:b/>
          <w:bCs/>
          <w:sz w:val="22"/>
          <w:szCs w:val="22"/>
          <w:highlight w:val="yellow"/>
          <w:rtl/>
        </w:rPr>
        <w:t xml:space="preserve">כיצד </w:t>
      </w:r>
      <w:r>
        <w:rPr>
          <w:rFonts w:hint="cs"/>
          <w:b/>
          <w:bCs/>
          <w:sz w:val="22"/>
          <w:szCs w:val="22"/>
          <w:highlight w:val="yellow"/>
          <w:rtl/>
        </w:rPr>
        <w:t xml:space="preserve">היא </w:t>
      </w:r>
      <w:r w:rsidRPr="009D0905">
        <w:rPr>
          <w:b/>
          <w:bCs/>
          <w:sz w:val="22"/>
          <w:szCs w:val="22"/>
          <w:highlight w:val="yellow"/>
          <w:rtl/>
        </w:rPr>
        <w:t>נוצרה?</w:t>
      </w:r>
      <w:r w:rsidRPr="009D0905">
        <w:rPr>
          <w:rFonts w:hint="cs"/>
          <w:b/>
          <w:bCs/>
          <w:sz w:val="22"/>
          <w:szCs w:val="22"/>
          <w:highlight w:val="yellow"/>
          <w:rtl/>
        </w:rPr>
        <w:t xml:space="preserve"> מכוח איזו סמכות?</w:t>
      </w:r>
    </w:p>
    <w:p w:rsidR="005366A8" w:rsidRDefault="005366A8" w:rsidP="005366A8">
      <w:pPr>
        <w:ind w:left="720"/>
        <w:rPr>
          <w:sz w:val="22"/>
          <w:szCs w:val="22"/>
          <w:rtl/>
        </w:rPr>
      </w:pPr>
      <w:r w:rsidRPr="00FD4C4A">
        <w:rPr>
          <w:rFonts w:hint="cs"/>
          <w:sz w:val="22"/>
          <w:szCs w:val="22"/>
          <w:highlight w:val="yellow"/>
          <w:rtl/>
        </w:rPr>
        <w:t>מקור הסמכות הוא בסמכות שמסורה לבית המשפט לפרש את הדין, ובתוך כך את החוקה.</w:t>
      </w:r>
      <w:r w:rsidRPr="009D0905">
        <w:rPr>
          <w:rFonts w:hint="cs"/>
          <w:sz w:val="22"/>
          <w:szCs w:val="22"/>
          <w:rtl/>
        </w:rPr>
        <w:t xml:space="preserve"> </w:t>
      </w:r>
    </w:p>
    <w:p w:rsidR="005366A8" w:rsidRDefault="005366A8" w:rsidP="005366A8">
      <w:pPr>
        <w:ind w:left="720"/>
        <w:rPr>
          <w:sz w:val="22"/>
          <w:szCs w:val="22"/>
          <w:rtl/>
        </w:rPr>
      </w:pPr>
      <w:r w:rsidRPr="009D0905">
        <w:rPr>
          <w:rFonts w:hint="cs"/>
          <w:sz w:val="22"/>
          <w:szCs w:val="22"/>
          <w:rtl/>
        </w:rPr>
        <w:t>בית המשפט מפרש את הוראות החוקה</w:t>
      </w:r>
      <w:r>
        <w:rPr>
          <w:rFonts w:hint="cs"/>
          <w:sz w:val="22"/>
          <w:szCs w:val="22"/>
          <w:rtl/>
        </w:rPr>
        <w:t xml:space="preserve"> שעניינן הגנה על זכויות אדם,</w:t>
      </w:r>
      <w:r w:rsidRPr="009D0905">
        <w:rPr>
          <w:rFonts w:hint="cs"/>
          <w:sz w:val="22"/>
          <w:szCs w:val="22"/>
          <w:rtl/>
        </w:rPr>
        <w:t xml:space="preserve"> כ</w:t>
      </w:r>
      <w:r>
        <w:rPr>
          <w:rFonts w:hint="cs"/>
          <w:sz w:val="22"/>
          <w:szCs w:val="22"/>
          <w:rtl/>
        </w:rPr>
        <w:t>כאלו שלא עושות אותן, את הזכויות, ל</w:t>
      </w:r>
      <w:r w:rsidRPr="009D0905">
        <w:rPr>
          <w:rFonts w:hint="cs"/>
          <w:sz w:val="22"/>
          <w:szCs w:val="22"/>
          <w:rtl/>
        </w:rPr>
        <w:t>מוחלטות</w:t>
      </w:r>
      <w:r>
        <w:rPr>
          <w:rFonts w:hint="cs"/>
          <w:sz w:val="22"/>
          <w:szCs w:val="22"/>
          <w:rtl/>
        </w:rPr>
        <w:t>;</w:t>
      </w:r>
      <w:r w:rsidRPr="009D0905">
        <w:rPr>
          <w:rFonts w:hint="cs"/>
          <w:sz w:val="22"/>
          <w:szCs w:val="22"/>
          <w:rtl/>
        </w:rPr>
        <w:t xml:space="preserve"> אלא ניתן לפגוע בהן בתנאים מסוימים</w:t>
      </w:r>
      <w:r>
        <w:rPr>
          <w:rFonts w:hint="cs"/>
          <w:sz w:val="22"/>
          <w:szCs w:val="22"/>
          <w:rtl/>
        </w:rPr>
        <w:t>.</w:t>
      </w:r>
      <w:r w:rsidRPr="009D0905">
        <w:rPr>
          <w:rFonts w:hint="cs"/>
          <w:sz w:val="22"/>
          <w:szCs w:val="22"/>
          <w:rtl/>
        </w:rPr>
        <w:t xml:space="preserve"> בהתבסס על פירוש חוקי היסוד כמכלול אחד ו</w:t>
      </w:r>
      <w:r>
        <w:rPr>
          <w:rFonts w:hint="cs"/>
          <w:sz w:val="22"/>
          <w:szCs w:val="22"/>
          <w:rtl/>
        </w:rPr>
        <w:t xml:space="preserve">מתוך </w:t>
      </w:r>
      <w:r w:rsidRPr="009D0905">
        <w:rPr>
          <w:rFonts w:hint="cs"/>
          <w:sz w:val="22"/>
          <w:szCs w:val="22"/>
          <w:rtl/>
        </w:rPr>
        <w:t>היקש מפרק אחד בחוקה לפרק אחר</w:t>
      </w:r>
      <w:r>
        <w:rPr>
          <w:rFonts w:hint="cs"/>
          <w:sz w:val="22"/>
          <w:szCs w:val="22"/>
          <w:rtl/>
        </w:rPr>
        <w:t>, הוא קובע כי תנאים אלה יהיו תנאיה של פסקת ההגבלה</w:t>
      </w:r>
      <w:r w:rsidRPr="009D0905">
        <w:rPr>
          <w:rFonts w:hint="cs"/>
          <w:sz w:val="22"/>
          <w:szCs w:val="22"/>
          <w:rtl/>
        </w:rPr>
        <w:t xml:space="preserve">. </w:t>
      </w:r>
    </w:p>
    <w:p w:rsidR="005366A8" w:rsidRDefault="005366A8" w:rsidP="005366A8">
      <w:pPr>
        <w:rPr>
          <w:rFonts w:cs="FrankRuehl"/>
          <w:sz w:val="22"/>
          <w:szCs w:val="22"/>
          <w:rtl/>
        </w:rPr>
      </w:pPr>
    </w:p>
    <w:p w:rsidR="005366A8" w:rsidRPr="00FD4C4A" w:rsidRDefault="005366A8" w:rsidP="005366A8">
      <w:pPr>
        <w:rPr>
          <w:b/>
          <w:bCs/>
          <w:sz w:val="22"/>
          <w:szCs w:val="22"/>
          <w:rtl/>
        </w:rPr>
      </w:pPr>
      <w:r w:rsidRPr="00FD4C4A">
        <w:rPr>
          <w:b/>
          <w:bCs/>
          <w:sz w:val="22"/>
          <w:szCs w:val="22"/>
          <w:highlight w:val="yellow"/>
          <w:rtl/>
        </w:rPr>
        <w:t xml:space="preserve">בואו נקשיב להנמקות המלוות את המהלך </w:t>
      </w:r>
      <w:r>
        <w:rPr>
          <w:rFonts w:hint="cs"/>
          <w:b/>
          <w:bCs/>
          <w:sz w:val="22"/>
          <w:szCs w:val="22"/>
          <w:highlight w:val="yellow"/>
          <w:rtl/>
        </w:rPr>
        <w:t xml:space="preserve">הפרשני </w:t>
      </w:r>
      <w:r w:rsidRPr="00FD4C4A">
        <w:rPr>
          <w:b/>
          <w:bCs/>
          <w:sz w:val="22"/>
          <w:szCs w:val="22"/>
          <w:highlight w:val="yellow"/>
          <w:rtl/>
        </w:rPr>
        <w:t>הזה</w:t>
      </w:r>
      <w:r>
        <w:rPr>
          <w:rFonts w:hint="cs"/>
          <w:b/>
          <w:bCs/>
          <w:sz w:val="22"/>
          <w:szCs w:val="22"/>
          <w:rtl/>
        </w:rPr>
        <w:t>:</w:t>
      </w:r>
    </w:p>
    <w:p w:rsidR="005366A8" w:rsidRPr="009D0905" w:rsidRDefault="005366A8" w:rsidP="005366A8">
      <w:pPr>
        <w:rPr>
          <w:rFonts w:cs="FrankRuehl"/>
          <w:sz w:val="22"/>
          <w:szCs w:val="22"/>
          <w:rtl/>
        </w:rPr>
      </w:pPr>
    </w:p>
    <w:p w:rsidR="005366A8" w:rsidRPr="00F70B29" w:rsidRDefault="005366A8" w:rsidP="005366A8">
      <w:pPr>
        <w:spacing w:after="120"/>
        <w:ind w:left="720"/>
        <w:rPr>
          <w:sz w:val="22"/>
          <w:szCs w:val="22"/>
          <w:u w:val="single"/>
          <w:rtl/>
        </w:rPr>
      </w:pPr>
      <w:r w:rsidRPr="00F70B29">
        <w:rPr>
          <w:sz w:val="22"/>
          <w:szCs w:val="22"/>
          <w:highlight w:val="yellow"/>
          <w:u w:val="single"/>
          <w:rtl/>
        </w:rPr>
        <w:t xml:space="preserve">בג"צ 3434/96 </w:t>
      </w:r>
      <w:r w:rsidRPr="00F70B29">
        <w:rPr>
          <w:b/>
          <w:bCs/>
          <w:sz w:val="22"/>
          <w:szCs w:val="22"/>
          <w:highlight w:val="yellow"/>
          <w:u w:val="single"/>
          <w:rtl/>
        </w:rPr>
        <w:t>הופנונג נ' יו"ר הכנסת</w:t>
      </w:r>
      <w:r w:rsidRPr="00F70B29">
        <w:rPr>
          <w:sz w:val="22"/>
          <w:szCs w:val="22"/>
          <w:highlight w:val="yellow"/>
          <w:u w:val="single"/>
          <w:rtl/>
        </w:rPr>
        <w:t>, פ"ד נ(3) 57</w:t>
      </w:r>
      <w:r w:rsidRPr="00F70B29">
        <w:rPr>
          <w:rFonts w:hint="cs"/>
          <w:sz w:val="22"/>
          <w:szCs w:val="22"/>
          <w:u w:val="single"/>
          <w:rtl/>
        </w:rPr>
        <w:t xml:space="preserve"> (1996)</w:t>
      </w:r>
      <w:r w:rsidRPr="00F70B29">
        <w:rPr>
          <w:sz w:val="22"/>
          <w:szCs w:val="22"/>
          <w:u w:val="single"/>
          <w:rtl/>
        </w:rPr>
        <w:t xml:space="preserve"> </w:t>
      </w:r>
    </w:p>
    <w:p w:rsidR="005366A8" w:rsidRDefault="005366A8" w:rsidP="005366A8">
      <w:pPr>
        <w:pStyle w:val="T-body"/>
        <w:spacing w:after="120" w:line="240" w:lineRule="auto"/>
        <w:rPr>
          <w:sz w:val="20"/>
          <w:szCs w:val="20"/>
          <w:rtl/>
        </w:rPr>
      </w:pPr>
      <w:r>
        <w:rPr>
          <w:rFonts w:hint="cs"/>
          <w:sz w:val="20"/>
          <w:szCs w:val="20"/>
          <w:rtl/>
        </w:rPr>
        <w:t>[עתירה</w:t>
      </w:r>
      <w:r w:rsidRPr="00647A1F">
        <w:rPr>
          <w:sz w:val="20"/>
          <w:szCs w:val="20"/>
          <w:rtl/>
        </w:rPr>
        <w:t xml:space="preserve"> לפסול חוק בעניין שינויים במימון מפלגות לקראת הבחירות, בטענה שהוא פוגע בשוויון, נוגד את חוק יסוד: הכנסת, וטעון רוב מיוחד לאישורו</w:t>
      </w:r>
      <w:r>
        <w:rPr>
          <w:rFonts w:hint="cs"/>
          <w:sz w:val="20"/>
          <w:szCs w:val="20"/>
          <w:rtl/>
        </w:rPr>
        <w:t>.]</w:t>
      </w:r>
    </w:p>
    <w:p w:rsidR="005366A8" w:rsidRPr="000A3E41" w:rsidRDefault="005366A8" w:rsidP="005366A8">
      <w:pPr>
        <w:pStyle w:val="T-body"/>
        <w:spacing w:line="240" w:lineRule="auto"/>
        <w:rPr>
          <w:rFonts w:cs="FrankRuehl"/>
          <w:b/>
          <w:bCs/>
          <w:sz w:val="22"/>
          <w:szCs w:val="22"/>
          <w:u w:val="single"/>
          <w:rtl/>
        </w:rPr>
      </w:pPr>
      <w:r w:rsidRPr="000A3E41">
        <w:rPr>
          <w:rFonts w:cs="FrankRuehl"/>
          <w:b/>
          <w:bCs/>
          <w:sz w:val="22"/>
          <w:szCs w:val="22"/>
          <w:u w:val="single"/>
          <w:rtl/>
        </w:rPr>
        <w:t>השופט זמיר</w:t>
      </w:r>
    </w:p>
    <w:p w:rsidR="005366A8" w:rsidRPr="000A3E41" w:rsidRDefault="005366A8" w:rsidP="005366A8">
      <w:pPr>
        <w:pStyle w:val="T-body"/>
        <w:spacing w:line="240" w:lineRule="auto"/>
        <w:rPr>
          <w:rFonts w:cs="FrankRuehl"/>
          <w:sz w:val="22"/>
          <w:szCs w:val="22"/>
        </w:rPr>
      </w:pPr>
      <w:r w:rsidRPr="000A3E41">
        <w:rPr>
          <w:rFonts w:cs="FrankRuehl"/>
          <w:sz w:val="22"/>
          <w:szCs w:val="22"/>
        </w:rPr>
        <w:t>. 1</w:t>
      </w:r>
      <w:r w:rsidRPr="000A3E41">
        <w:rPr>
          <w:rFonts w:cs="FrankRuehl"/>
          <w:sz w:val="22"/>
          <w:szCs w:val="22"/>
          <w:rtl/>
        </w:rPr>
        <w:t xml:space="preserve">סעיף </w:t>
      </w:r>
      <w:r w:rsidRPr="000A3E41">
        <w:rPr>
          <w:rFonts w:cs="FrankRuehl"/>
          <w:sz w:val="22"/>
          <w:szCs w:val="22"/>
        </w:rPr>
        <w:t>4</w:t>
      </w:r>
      <w:r w:rsidRPr="000A3E41">
        <w:rPr>
          <w:rFonts w:cs="FrankRuehl" w:hint="cs"/>
          <w:sz w:val="22"/>
          <w:szCs w:val="22"/>
          <w:rtl/>
        </w:rPr>
        <w:t xml:space="preserve"> </w:t>
      </w:r>
      <w:r w:rsidRPr="000A3E41">
        <w:rPr>
          <w:rFonts w:cs="FrankRuehl"/>
          <w:sz w:val="22"/>
          <w:szCs w:val="22"/>
          <w:rtl/>
        </w:rPr>
        <w:t>ל</w:t>
      </w:r>
      <w:hyperlink r:id="rId132" w:history="1">
        <w:r w:rsidRPr="000A3E41">
          <w:rPr>
            <w:rStyle w:val="Hyperlink"/>
            <w:rFonts w:cs="FrankRuehl"/>
            <w:sz w:val="22"/>
            <w:szCs w:val="22"/>
            <w:rtl/>
          </w:rPr>
          <w:t>חוק-יסוד: הכנסת</w:t>
        </w:r>
      </w:hyperlink>
      <w:r w:rsidRPr="000A3E41">
        <w:rPr>
          <w:rFonts w:cs="FrankRuehl"/>
          <w:sz w:val="22"/>
          <w:szCs w:val="22"/>
          <w:rtl/>
        </w:rPr>
        <w:t xml:space="preserve"> קובע את עקרון השוויון בבחירות לכנסת. וכך הוא אומר</w:t>
      </w:r>
      <w:r w:rsidRPr="000A3E41">
        <w:rPr>
          <w:rFonts w:cs="FrankRuehl"/>
          <w:sz w:val="22"/>
          <w:szCs w:val="22"/>
        </w:rPr>
        <w:t>:</w:t>
      </w:r>
    </w:p>
    <w:p w:rsidR="005366A8" w:rsidRPr="000A3E41" w:rsidRDefault="005366A8" w:rsidP="005366A8">
      <w:pPr>
        <w:pStyle w:val="T-body"/>
        <w:spacing w:line="240" w:lineRule="auto"/>
        <w:ind w:left="720"/>
        <w:rPr>
          <w:rFonts w:cs="FrankRuehl"/>
          <w:sz w:val="22"/>
          <w:szCs w:val="22"/>
          <w:rtl/>
        </w:rPr>
      </w:pPr>
      <w:r w:rsidRPr="000A3E41">
        <w:rPr>
          <w:rFonts w:cs="FrankRuehl"/>
          <w:sz w:val="22"/>
          <w:szCs w:val="22"/>
        </w:rPr>
        <w:t>"</w:t>
      </w:r>
      <w:r w:rsidRPr="000A3E41">
        <w:rPr>
          <w:rFonts w:cs="FrankRuehl"/>
          <w:sz w:val="22"/>
          <w:szCs w:val="22"/>
          <w:rtl/>
        </w:rPr>
        <w:t xml:space="preserve">הכנסת תיבחר בבחירות כלליות, ארציות, ישירות, שוות, חשאיות ויחסיות, לפי </w:t>
      </w:r>
      <w:hyperlink r:id="rId133" w:history="1">
        <w:r w:rsidRPr="000A3E41">
          <w:rPr>
            <w:rStyle w:val="Hyperlink"/>
            <w:rFonts w:cs="FrankRuehl"/>
            <w:sz w:val="22"/>
            <w:szCs w:val="22"/>
            <w:rtl/>
          </w:rPr>
          <w:t>חוק הבחירות לכנסת</w:t>
        </w:r>
      </w:hyperlink>
      <w:r w:rsidRPr="000A3E41">
        <w:rPr>
          <w:rFonts w:cs="FrankRuehl"/>
          <w:sz w:val="22"/>
          <w:szCs w:val="22"/>
          <w:rtl/>
        </w:rPr>
        <w:t>; אין לשנות סעיף זה, אלא ברוב של חברי הכנסת".</w:t>
      </w:r>
    </w:p>
    <w:p w:rsidR="005366A8" w:rsidRPr="000A3E41" w:rsidRDefault="005366A8" w:rsidP="005366A8">
      <w:pPr>
        <w:pStyle w:val="T-body"/>
        <w:spacing w:line="240" w:lineRule="auto"/>
        <w:rPr>
          <w:rFonts w:cs="FrankRuehl"/>
          <w:sz w:val="22"/>
          <w:szCs w:val="22"/>
          <w:rtl/>
        </w:rPr>
      </w:pPr>
      <w:r w:rsidRPr="000A3E41">
        <w:rPr>
          <w:rFonts w:cs="FrankRuehl"/>
          <w:sz w:val="22"/>
          <w:szCs w:val="22"/>
          <w:rtl/>
        </w:rPr>
        <w:t xml:space="preserve">על יסוד סעיף זה החליט בית המשפט פעמים אחדות לפסול חוקים שפגעו בעקרון השוויון בבחירות לכנסת ולא נתקבלו ברוב של חברי הכנסת. עכשיו פונים העותרים אל בית המשפט כדי שיפסול, על יסוד סעיף זה, חוק שנתקבל בכנסת זה מקרוב: </w:t>
      </w:r>
      <w:hyperlink r:id="rId134" w:history="1">
        <w:r w:rsidRPr="000A3E41">
          <w:rPr>
            <w:rStyle w:val="Hyperlink"/>
            <w:rFonts w:cs="FrankRuehl"/>
            <w:sz w:val="22"/>
            <w:szCs w:val="22"/>
            <w:rtl/>
          </w:rPr>
          <w:t>חוק מימון מפלגות</w:t>
        </w:r>
      </w:hyperlink>
      <w:r w:rsidRPr="000A3E41">
        <w:rPr>
          <w:rFonts w:cs="FrankRuehl"/>
          <w:sz w:val="22"/>
          <w:szCs w:val="22"/>
          <w:rtl/>
        </w:rPr>
        <w:t xml:space="preserve"> (תיקון מס' </w:t>
      </w:r>
      <w:r w:rsidRPr="000A3E41">
        <w:rPr>
          <w:rFonts w:cs="FrankRuehl"/>
          <w:sz w:val="22"/>
          <w:szCs w:val="22"/>
        </w:rPr>
        <w:t>18</w:t>
      </w:r>
      <w:r w:rsidRPr="000A3E41">
        <w:rPr>
          <w:rFonts w:cs="FrankRuehl"/>
          <w:sz w:val="22"/>
          <w:szCs w:val="22"/>
          <w:rtl/>
        </w:rPr>
        <w:t>), תשנ"ו-</w:t>
      </w:r>
      <w:r w:rsidRPr="000A3E41">
        <w:rPr>
          <w:rFonts w:cs="FrankRuehl"/>
          <w:sz w:val="22"/>
          <w:szCs w:val="22"/>
        </w:rPr>
        <w:t xml:space="preserve"> 1996</w:t>
      </w:r>
      <w:r w:rsidRPr="000A3E41">
        <w:rPr>
          <w:rFonts w:cs="FrankRuehl"/>
          <w:sz w:val="22"/>
          <w:szCs w:val="22"/>
          <w:rtl/>
        </w:rPr>
        <w:t xml:space="preserve">(להלן - תיקון מס' </w:t>
      </w:r>
      <w:r w:rsidRPr="000A3E41">
        <w:rPr>
          <w:rFonts w:cs="FrankRuehl"/>
          <w:sz w:val="22"/>
          <w:szCs w:val="22"/>
        </w:rPr>
        <w:t>18</w:t>
      </w:r>
      <w:r w:rsidRPr="000A3E41">
        <w:rPr>
          <w:rFonts w:cs="FrankRuehl"/>
          <w:sz w:val="22"/>
          <w:szCs w:val="22"/>
          <w:rtl/>
        </w:rPr>
        <w:t>). מה, אם כן, קובע חוק זה?</w:t>
      </w:r>
      <w:r w:rsidRPr="000A3E41">
        <w:rPr>
          <w:rFonts w:cs="FrankRuehl" w:hint="cs"/>
          <w:sz w:val="22"/>
          <w:szCs w:val="22"/>
          <w:rtl/>
        </w:rPr>
        <w:t xml:space="preserve"> [...]</w:t>
      </w:r>
    </w:p>
    <w:p w:rsidR="005366A8" w:rsidRPr="000A3E41" w:rsidRDefault="005366A8" w:rsidP="005366A8">
      <w:pPr>
        <w:pStyle w:val="T-body"/>
        <w:spacing w:line="240" w:lineRule="auto"/>
        <w:rPr>
          <w:rFonts w:cs="FrankRuehl"/>
          <w:sz w:val="22"/>
          <w:szCs w:val="22"/>
          <w:rtl/>
        </w:rPr>
      </w:pPr>
    </w:p>
    <w:p w:rsidR="005366A8" w:rsidRPr="000A3E41" w:rsidRDefault="005366A8" w:rsidP="005366A8">
      <w:pPr>
        <w:rPr>
          <w:rFonts w:cs="FrankRuehl"/>
          <w:sz w:val="22"/>
          <w:szCs w:val="22"/>
          <w:rtl/>
        </w:rPr>
      </w:pPr>
      <w:r w:rsidRPr="000A3E41">
        <w:rPr>
          <w:rFonts w:cs="FrankRuehl"/>
          <w:sz w:val="22"/>
          <w:szCs w:val="22"/>
          <w:rtl/>
        </w:rPr>
        <w:t xml:space="preserve">12. לכאורה יש הבדל לעניין זה בין פגיעה בעקרון השוויון בבחירות לכנסת לבין פגיעה באחת מזכויות האדם המעוגנות בחוק-היסוד. הכיצד? סעיף 4 לחוק-יסוך: הכנסת אוסר, לפי לשונו, כל פגיעה בשוויון, תהא תכליתה אשר תהא ותהא מידתה אשר תהא, אלא אם התקבלה ברוב של חברי הכנסת. לעומת זאת, חוק-יסוד: חופש העיסוק וחוק יסוד: כבוד האדם וחירותו מתירים, שניהם כאחד, פגיעה בזכויות המעוגנות בחוקי-היסוד, אם התקיימו התנאים שנקבעו בפיסקת ההגבלה, כלומר, בסעיף 4 לחוק-יסוד: חופש העיסוק וסעיף 8 לחוק-יסוד: כבוד האדם וחירותו. </w:t>
      </w:r>
    </w:p>
    <w:p w:rsidR="005366A8" w:rsidRPr="000A3E41" w:rsidRDefault="005366A8" w:rsidP="005366A8">
      <w:pPr>
        <w:ind w:left="720"/>
        <w:rPr>
          <w:rFonts w:cs="FrankRuehl"/>
          <w:sz w:val="22"/>
          <w:szCs w:val="22"/>
          <w:rtl/>
        </w:rPr>
      </w:pPr>
      <w:r w:rsidRPr="000A3E41">
        <w:rPr>
          <w:rFonts w:cs="FrankRuehl"/>
          <w:sz w:val="22"/>
          <w:szCs w:val="22"/>
          <w:rtl/>
        </w:rPr>
        <w:t xml:space="preserve">אין פוגעים בזכויות שלפי חוק-יסוד זה אלא בחוק ההולם את ערכיה של מדינת ישראל, שנועד לתכלית ראויה ובמידה שאינה עולה על הנדרש או לפי חוק כאמור מכוח הסמכה מפורשת בו. </w:t>
      </w:r>
    </w:p>
    <w:p w:rsidR="005366A8" w:rsidRPr="000A3E41" w:rsidRDefault="005366A8" w:rsidP="005366A8">
      <w:pPr>
        <w:rPr>
          <w:rFonts w:cs="FrankRuehl"/>
          <w:sz w:val="22"/>
          <w:szCs w:val="22"/>
          <w:rtl/>
        </w:rPr>
      </w:pPr>
      <w:r w:rsidRPr="000A3E41">
        <w:rPr>
          <w:rFonts w:cs="FrankRuehl"/>
          <w:sz w:val="22"/>
          <w:szCs w:val="22"/>
          <w:rtl/>
        </w:rPr>
        <w:t>משמע, לפי פיסקת ההגבלה, גם כאשר פגיעה בזכות יסוד עוברת את המידה של פגיעה מזערית (</w:t>
      </w:r>
      <w:r w:rsidRPr="000A3E41">
        <w:rPr>
          <w:rFonts w:cs="FrankRuehl"/>
          <w:sz w:val="22"/>
          <w:szCs w:val="22"/>
        </w:rPr>
        <w:t>de minimis</w:t>
      </w:r>
      <w:r w:rsidRPr="000A3E41">
        <w:rPr>
          <w:rFonts w:cs="FrankRuehl"/>
          <w:sz w:val="22"/>
          <w:szCs w:val="22"/>
          <w:rtl/>
        </w:rPr>
        <w:t xml:space="preserve">),  עדיין אפשר שהפגיעה תיחשב חוקית, אם היא הולמת את ערכי המדינה, נועדה לתכלית ראויה ואינה עוברת את המידה הנדרשת. </w:t>
      </w:r>
    </w:p>
    <w:p w:rsidR="005366A8" w:rsidRPr="000A3E41" w:rsidRDefault="005366A8" w:rsidP="005366A8">
      <w:pPr>
        <w:rPr>
          <w:rFonts w:cs="FrankRuehl"/>
          <w:sz w:val="22"/>
          <w:szCs w:val="22"/>
          <w:rtl/>
        </w:rPr>
      </w:pPr>
      <w:r w:rsidRPr="000A3E41">
        <w:rPr>
          <w:rFonts w:cs="FrankRuehl"/>
          <w:sz w:val="22"/>
          <w:szCs w:val="22"/>
          <w:highlight w:val="yellow"/>
          <w:rtl/>
        </w:rPr>
        <w:t>האם, מבחינה זאת, דין אחד הוא לפגיעה בזכות יסוד ודין אחר הוא לפגיעה בעקרון השוויון בבחירות לכנסת? אני נוטה לחשוב שעל אף ההבדל בלשון החוקים, לעניין זה, לא צריך להיות הבדל במשמעות החוקים.</w:t>
      </w:r>
      <w:r w:rsidRPr="000A3E41">
        <w:rPr>
          <w:rFonts w:cs="FrankRuehl"/>
          <w:sz w:val="22"/>
          <w:szCs w:val="22"/>
          <w:rtl/>
        </w:rPr>
        <w:t xml:space="preserve"> אכן, השוויון בבחירות הוא ערך מרכזי והוא ראוי להגנה מירבית, כמו החשובים שבערכים החוקתיים, כגון זכויות היסוד של האדם, כמו חירות האדם וכבוד האדם. אך דומה כי השוויון אינו צריך הגנה מוחלטת, מעבר להגנה המוקנית לזכויות היסוד של האדם, שכן גם השוויון, כמו זכויות היסוד של האדם, אינו בגדר זכות מוחלטת.</w:t>
      </w:r>
    </w:p>
    <w:p w:rsidR="005366A8" w:rsidRPr="000A3E41" w:rsidRDefault="005366A8" w:rsidP="005366A8">
      <w:pPr>
        <w:rPr>
          <w:rFonts w:cs="FrankRuehl"/>
          <w:sz w:val="22"/>
          <w:szCs w:val="22"/>
          <w:rtl/>
        </w:rPr>
      </w:pPr>
      <w:r w:rsidRPr="000A3E41">
        <w:rPr>
          <w:rFonts w:cs="FrankRuehl"/>
          <w:sz w:val="22"/>
          <w:szCs w:val="22"/>
          <w:rtl/>
        </w:rPr>
        <w:t xml:space="preserve">אמנם ההלכה קבעה כי פגיעה בשוויון, כמשמעותו בסעיף 4 לחוק-יסוד: הכנסת, פוסלת חוק. אולם הלכה זו חלה רק על </w:t>
      </w:r>
      <w:r w:rsidRPr="000A3E41">
        <w:rPr>
          <w:rFonts w:cs="FrankRuehl"/>
          <w:sz w:val="22"/>
          <w:szCs w:val="22"/>
          <w:highlight w:val="yellow"/>
          <w:rtl/>
        </w:rPr>
        <w:t>פגיעה בשוויון המהותי</w:t>
      </w:r>
      <w:r w:rsidRPr="000A3E41">
        <w:rPr>
          <w:rFonts w:cs="FrankRuehl"/>
          <w:sz w:val="22"/>
          <w:szCs w:val="22"/>
          <w:rtl/>
        </w:rPr>
        <w:t xml:space="preserve"> להבדיל מפגיעה בשוויון הפורמלי. ההלכה אומרת כי השוויון המהותי הוא שוויון הסיכויים, אך היא לא השיבה מעבר לכך על השאלה מהו השוויון המהותי או מהי פגיעה בשוויון המהותי. שאלה זאת נותרה פתוחה. יתכן, לכן, שיש מקום לומר כי פגיעה בשוויון המהותי, בהקשר של הבחירות לכנסת, </w:t>
      </w:r>
      <w:r w:rsidRPr="000A3E41">
        <w:rPr>
          <w:rFonts w:cs="FrankRuehl"/>
          <w:sz w:val="22"/>
          <w:szCs w:val="22"/>
          <w:highlight w:val="yellow"/>
          <w:rtl/>
        </w:rPr>
        <w:t>היא פגיעה בשוויון הסיכויים שאינה עומדת במבחן המשולש: ערכי המדינה, תכלית ראויה ומידתיות.</w:t>
      </w:r>
      <w:r w:rsidRPr="000A3E41">
        <w:rPr>
          <w:rFonts w:cs="FrankRuehl"/>
          <w:sz w:val="22"/>
          <w:szCs w:val="22"/>
          <w:rtl/>
        </w:rPr>
        <w:t xml:space="preserve"> פרשנות </w:t>
      </w:r>
      <w:r w:rsidRPr="000A3E41">
        <w:rPr>
          <w:rFonts w:cs="FrankRuehl"/>
          <w:sz w:val="22"/>
          <w:szCs w:val="22"/>
          <w:highlight w:val="yellow"/>
          <w:rtl/>
        </w:rPr>
        <w:t>כזאת תביא הרמוניה ראויה, שהפרשן שואף אליה, בקרב החוקים הקובעים את הערכים החוקתיים.</w:t>
      </w:r>
      <w:r w:rsidRPr="000A3E41">
        <w:rPr>
          <w:rFonts w:cs="FrankRuehl"/>
          <w:sz w:val="22"/>
          <w:szCs w:val="22"/>
          <w:rtl/>
        </w:rPr>
        <w:t xml:space="preserve"> </w:t>
      </w:r>
      <w:r w:rsidRPr="000A3E41">
        <w:rPr>
          <w:rFonts w:cs="FrankRuehl" w:hint="cs"/>
          <w:sz w:val="22"/>
          <w:szCs w:val="22"/>
          <w:rtl/>
        </w:rPr>
        <w:t>...</w:t>
      </w:r>
      <w:r w:rsidRPr="000A3E41">
        <w:rPr>
          <w:rFonts w:cs="FrankRuehl"/>
          <w:sz w:val="22"/>
          <w:szCs w:val="22"/>
          <w:rtl/>
        </w:rPr>
        <w:t xml:space="preserve"> </w:t>
      </w:r>
    </w:p>
    <w:p w:rsidR="005366A8" w:rsidRPr="000A3E41" w:rsidRDefault="005366A8" w:rsidP="005366A8">
      <w:pPr>
        <w:rPr>
          <w:rFonts w:cs="FrankRuehl"/>
          <w:sz w:val="22"/>
          <w:szCs w:val="22"/>
          <w:rtl/>
        </w:rPr>
      </w:pPr>
    </w:p>
    <w:p w:rsidR="005366A8" w:rsidRPr="000A3E41" w:rsidRDefault="005366A8" w:rsidP="005366A8">
      <w:pPr>
        <w:pStyle w:val="T-body"/>
        <w:spacing w:line="240" w:lineRule="auto"/>
        <w:rPr>
          <w:rFonts w:cs="FrankRuehl"/>
          <w:b/>
          <w:bCs/>
          <w:sz w:val="22"/>
          <w:szCs w:val="22"/>
          <w:u w:val="single"/>
          <w:rtl/>
        </w:rPr>
      </w:pPr>
      <w:r w:rsidRPr="000A3E41">
        <w:rPr>
          <w:rFonts w:cs="FrankRuehl"/>
          <w:b/>
          <w:bCs/>
          <w:sz w:val="22"/>
          <w:szCs w:val="22"/>
          <w:u w:val="single"/>
          <w:rtl/>
        </w:rPr>
        <w:t>הנשיא ברק</w:t>
      </w:r>
    </w:p>
    <w:p w:rsidR="005366A8" w:rsidRPr="000A3E41" w:rsidRDefault="005366A8" w:rsidP="005366A8">
      <w:pPr>
        <w:rPr>
          <w:rFonts w:cs="FrankRuehl"/>
          <w:sz w:val="22"/>
          <w:szCs w:val="22"/>
          <w:rtl/>
        </w:rPr>
      </w:pPr>
      <w:r w:rsidRPr="000A3E41">
        <w:rPr>
          <w:rFonts w:cs="FrankRuehl"/>
          <w:sz w:val="22"/>
          <w:szCs w:val="22"/>
          <w:rtl/>
        </w:rPr>
        <w:t>מסכים אני לפסק דינו של חברי, השופט זמיר. אף אני סבור, כי גם אם ההוראות בחוק מימון מפלגות (תיקון מס' 18), התשנ"ו-1996 פוגעות בעיקרון השיוויון (המהותי), הפגיעה אינה מהותית. מקובל עלי, כי רק פגיעה מהותית בעיקרון השיוויון יוצרת ניגוד בין החוק הפוגע לבין סעיף 4 לחוק-יסוד: הכנסת. מכיוון שהפגיעה בענייננו הינה קלה - ולעניין שיטת המימון היא גם ארעית - לא נוצר הניגוד שיש בו כדי להביא להכרזה על בטלות החוק.</w:t>
      </w:r>
    </w:p>
    <w:p w:rsidR="005366A8" w:rsidRPr="000A3E41" w:rsidRDefault="005366A8" w:rsidP="005366A8">
      <w:pPr>
        <w:spacing w:after="120"/>
        <w:rPr>
          <w:rFonts w:ascii="Arial" w:hAnsi="Arial" w:cs="FrankRuehl"/>
          <w:b/>
          <w:bCs/>
          <w:highlight w:val="yellow"/>
          <w:u w:val="single"/>
          <w:rtl/>
        </w:rPr>
      </w:pPr>
      <w:r w:rsidRPr="000A3E41">
        <w:rPr>
          <w:rFonts w:cs="FrankRuehl"/>
          <w:sz w:val="22"/>
          <w:szCs w:val="22"/>
          <w:rtl/>
        </w:rPr>
        <w:t xml:space="preserve">חברי, השופט זמיר, מעלה רעיון מעניין באשר להבנת עיקרון השיוויון בחוק-יסוד: הכנסת. על פי גישתו, פגיעה בשיוויון (המהותי) תתרחש רק אם החוק הפוגע אינו מקיים את דרישותיה של פסקת ההגבלה. יש בהצעתו של חברי משום פיתוח </w:t>
      </w:r>
      <w:r w:rsidRPr="000A3E41">
        <w:rPr>
          <w:rFonts w:cs="FrankRuehl"/>
          <w:sz w:val="22"/>
          <w:szCs w:val="22"/>
          <w:highlight w:val="yellow"/>
          <w:rtl/>
        </w:rPr>
        <w:t>פסקת הגבלה שיפוטית,</w:t>
      </w:r>
      <w:r w:rsidRPr="000A3E41">
        <w:rPr>
          <w:rFonts w:cs="FrankRuehl"/>
          <w:sz w:val="22"/>
          <w:szCs w:val="22"/>
          <w:rtl/>
        </w:rPr>
        <w:t xml:space="preserve"> מקום שחוק היסוד אינו קובע הוראה מפורשת בעניין זה. </w:t>
      </w:r>
      <w:r w:rsidRPr="000A3E41">
        <w:rPr>
          <w:rFonts w:cs="FrankRuehl"/>
          <w:sz w:val="22"/>
          <w:szCs w:val="22"/>
          <w:highlight w:val="yellow"/>
          <w:rtl/>
        </w:rPr>
        <w:t>בדרך דומה נקט בית המשפט העליון של ארצות-הברית.  ה-</w:t>
      </w:r>
      <w:r w:rsidRPr="000A3E41">
        <w:rPr>
          <w:rFonts w:cs="FrankRuehl"/>
          <w:sz w:val="22"/>
          <w:szCs w:val="22"/>
          <w:highlight w:val="yellow"/>
        </w:rPr>
        <w:t>Bill of Rights</w:t>
      </w:r>
      <w:r w:rsidRPr="000A3E41">
        <w:rPr>
          <w:rFonts w:cs="FrankRuehl"/>
          <w:sz w:val="22"/>
          <w:szCs w:val="22"/>
          <w:highlight w:val="yellow"/>
          <w:rtl/>
        </w:rPr>
        <w:t xml:space="preserve"> האמריקני כולל מספר זכויות - כגון חופש הביטוי וחופש הדת - המוגדרות במונחים מוחלטים, ואין בהן כל פסקת הגבלה. בית המשפט העליון לא היסס לפתח פסקאות הגבלה שיפוטיות, ובכך הפך את הזכויות המוחלטות לזכויות יחסיות.</w:t>
      </w:r>
      <w:r w:rsidRPr="000A3E41">
        <w:rPr>
          <w:rFonts w:cs="FrankRuehl"/>
          <w:sz w:val="22"/>
          <w:szCs w:val="22"/>
          <w:rtl/>
        </w:rPr>
        <w:t xml:space="preserve"> רעיונו של חברי, השופט זמיר, הוא איפוא רעיון מעניין וחשוב.  עם זאת, אין הוא רעיון פשוט.  [</w:t>
      </w:r>
      <w:r w:rsidRPr="000A3E41">
        <w:rPr>
          <w:rFonts w:cs="FrankRuehl"/>
          <w:sz w:val="22"/>
          <w:szCs w:val="22"/>
        </w:rPr>
        <w:t>…</w:t>
      </w:r>
      <w:r w:rsidRPr="000A3E41">
        <w:rPr>
          <w:rFonts w:cs="FrankRuehl"/>
          <w:sz w:val="22"/>
          <w:szCs w:val="22"/>
          <w:rtl/>
        </w:rPr>
        <w:t>]</w:t>
      </w:r>
    </w:p>
    <w:p w:rsidR="005366A8" w:rsidRPr="000A3E41" w:rsidRDefault="005366A8" w:rsidP="005366A8">
      <w:pPr>
        <w:spacing w:after="120"/>
        <w:ind w:left="720"/>
        <w:rPr>
          <w:rFonts w:ascii="Arial" w:hAnsi="Arial" w:cs="Arial"/>
          <w:sz w:val="20"/>
          <w:szCs w:val="20"/>
          <w:rtl/>
        </w:rPr>
      </w:pPr>
      <w:r>
        <w:rPr>
          <w:rFonts w:ascii="Arial" w:hAnsi="Arial" w:cs="Arial" w:hint="cs"/>
          <w:sz w:val="20"/>
          <w:szCs w:val="20"/>
          <w:rtl/>
        </w:rPr>
        <w:t>[התיקון הראשון לחוקת ארצות הברית:</w:t>
      </w:r>
    </w:p>
    <w:p w:rsidR="005366A8" w:rsidRDefault="005366A8" w:rsidP="005366A8">
      <w:pPr>
        <w:bidi w:val="0"/>
        <w:spacing w:after="120"/>
        <w:ind w:left="720" w:right="395"/>
        <w:rPr>
          <w:i/>
          <w:iCs/>
          <w:sz w:val="20"/>
          <w:szCs w:val="20"/>
          <w:rtl/>
        </w:rPr>
      </w:pPr>
      <w:r w:rsidRPr="000A3E41">
        <w:rPr>
          <w:i/>
          <w:iCs/>
          <w:sz w:val="20"/>
          <w:szCs w:val="20"/>
        </w:rPr>
        <w:t>Congress shall make no law respecting an establishment of religion, or prohibiting the free exercise thereof; or abridging the freedom of speech, or of the press; or the right of the people peaceably to assemble, and to petition the Government for a redress of grievances.</w:t>
      </w:r>
      <w:r>
        <w:rPr>
          <w:rFonts w:hint="cs"/>
          <w:i/>
          <w:iCs/>
          <w:sz w:val="20"/>
          <w:szCs w:val="20"/>
          <w:rtl/>
        </w:rPr>
        <w:t>[</w:t>
      </w:r>
    </w:p>
    <w:p w:rsidR="005366A8" w:rsidRPr="000A3E41" w:rsidRDefault="005366A8" w:rsidP="005366A8">
      <w:pPr>
        <w:spacing w:after="120"/>
        <w:ind w:right="395"/>
        <w:rPr>
          <w:sz w:val="20"/>
          <w:szCs w:val="20"/>
          <w:rtl/>
        </w:rPr>
      </w:pPr>
      <w:r>
        <w:rPr>
          <w:rFonts w:hint="cs"/>
          <w:sz w:val="20"/>
          <w:szCs w:val="20"/>
          <w:rtl/>
        </w:rPr>
        <w:t>=-=</w:t>
      </w:r>
    </w:p>
    <w:p w:rsidR="005366A8" w:rsidRDefault="005366A8" w:rsidP="005366A8">
      <w:pPr>
        <w:spacing w:after="120"/>
        <w:ind w:left="720"/>
        <w:rPr>
          <w:rFonts w:ascii="Arial" w:hAnsi="Arial" w:cs="Arial"/>
          <w:sz w:val="20"/>
          <w:szCs w:val="20"/>
          <w:rtl/>
        </w:rPr>
      </w:pPr>
      <w:r>
        <w:rPr>
          <w:rFonts w:ascii="Arial" w:hAnsi="Arial" w:cs="Arial" w:hint="cs"/>
          <w:sz w:val="20"/>
          <w:szCs w:val="20"/>
          <w:rtl/>
        </w:rPr>
        <w:t>^עמדתו של פרופ' ברק בספרו "</w:t>
      </w:r>
      <w:r w:rsidRPr="00E270C2">
        <w:rPr>
          <w:rFonts w:ascii="Arial" w:hAnsi="Arial" w:cs="Arial" w:hint="cs"/>
          <w:sz w:val="20"/>
          <w:szCs w:val="20"/>
          <w:highlight w:val="yellow"/>
          <w:rtl/>
        </w:rPr>
        <w:t>שופט במדינה דמוקרטית"</w:t>
      </w:r>
      <w:r>
        <w:rPr>
          <w:rFonts w:ascii="Arial" w:hAnsi="Arial" w:cs="Arial" w:hint="cs"/>
          <w:sz w:val="20"/>
          <w:szCs w:val="20"/>
          <w:rtl/>
        </w:rPr>
        <w:t xml:space="preserve"> </w:t>
      </w:r>
      <w:r>
        <w:rPr>
          <w:rFonts w:ascii="Arial" w:hAnsi="Arial" w:cs="Arial"/>
          <w:sz w:val="20"/>
          <w:szCs w:val="20"/>
          <w:rtl/>
        </w:rPr>
        <w:t>–</w:t>
      </w:r>
      <w:r>
        <w:rPr>
          <w:rFonts w:ascii="Arial" w:hAnsi="Arial" w:cs="Arial" w:hint="cs"/>
          <w:sz w:val="20"/>
          <w:szCs w:val="20"/>
          <w:rtl/>
        </w:rPr>
        <w:t xml:space="preserve"> עמ' 351-3 [כאן הוא כבר </w:t>
      </w:r>
      <w:r w:rsidRPr="00EE1469">
        <w:rPr>
          <w:rFonts w:ascii="Arial" w:hAnsi="Arial" w:cs="Arial" w:hint="cs"/>
          <w:sz w:val="20"/>
          <w:szCs w:val="20"/>
          <w:u w:val="single"/>
          <w:rtl/>
        </w:rPr>
        <w:t>לאחר</w:t>
      </w:r>
      <w:r>
        <w:rPr>
          <w:rFonts w:ascii="Arial" w:hAnsi="Arial" w:cs="Arial" w:hint="cs"/>
          <w:sz w:val="20"/>
          <w:szCs w:val="20"/>
          <w:rtl/>
        </w:rPr>
        <w:t xml:space="preserve"> אימוץ רעיון פסקת ההגבלה השיפוטית]:</w:t>
      </w:r>
    </w:p>
    <w:p w:rsidR="005366A8" w:rsidRPr="009D0905" w:rsidRDefault="005366A8" w:rsidP="005366A8">
      <w:pPr>
        <w:rPr>
          <w:sz w:val="20"/>
          <w:szCs w:val="20"/>
          <w:rtl/>
        </w:rPr>
      </w:pPr>
      <w:r w:rsidRPr="009D0905">
        <w:rPr>
          <w:sz w:val="20"/>
          <w:szCs w:val="20"/>
          <w:rtl/>
        </w:rPr>
        <w:t xml:space="preserve">אכן, עם העמדתם של חוקי היסוד כולם – ולא רק אלה הדנים בזכויות האדם – על רמה חוקתית-על-חוקית, מתחייבת ההכרה בפסקאות הגבלה שיפוטיות </w:t>
      </w:r>
      <w:r w:rsidRPr="009D0905">
        <w:rPr>
          <w:b/>
          <w:bCs/>
          <w:sz w:val="20"/>
          <w:szCs w:val="20"/>
          <w:rtl/>
        </w:rPr>
        <w:t>בכל אותם המקרים שבהם חוקי היסוד הללו קובעים זכויות אדם</w:t>
      </w:r>
      <w:r w:rsidRPr="009D0905">
        <w:rPr>
          <w:sz w:val="20"/>
          <w:szCs w:val="20"/>
          <w:rtl/>
        </w:rPr>
        <w:t xml:space="preserve">. </w:t>
      </w:r>
      <w:r w:rsidRPr="009D0905">
        <w:rPr>
          <w:sz w:val="20"/>
          <w:szCs w:val="20"/>
          <w:highlight w:val="yellow"/>
          <w:rtl/>
        </w:rPr>
        <w:t>הרמוניה חוקתית מצד</w:t>
      </w:r>
      <w:r>
        <w:rPr>
          <w:rFonts w:hint="cs"/>
          <w:sz w:val="20"/>
          <w:szCs w:val="20"/>
          <w:highlight w:val="yellow"/>
          <w:rtl/>
        </w:rPr>
        <w:t>י</w:t>
      </w:r>
      <w:r w:rsidRPr="009D0905">
        <w:rPr>
          <w:sz w:val="20"/>
          <w:szCs w:val="20"/>
          <w:highlight w:val="yellow"/>
          <w:rtl/>
        </w:rPr>
        <w:t>קה פיתוח פסקאות הגבלה שיפוטיות אלה לאור ההנחיה החוקתית הקבועה בפסקאות ההגבלה הקבועות במפורש בחוקי היסוד בדבר זכויות האדם</w:t>
      </w:r>
      <w:r w:rsidRPr="009D0905">
        <w:rPr>
          <w:sz w:val="20"/>
          <w:szCs w:val="20"/>
          <w:rtl/>
        </w:rPr>
        <w:t xml:space="preserve">. </w:t>
      </w:r>
      <w:r w:rsidRPr="009D0905">
        <w:rPr>
          <w:b/>
          <w:bCs/>
          <w:sz w:val="20"/>
          <w:szCs w:val="20"/>
          <w:rtl/>
        </w:rPr>
        <w:t>עד כמה שאלה</w:t>
      </w:r>
      <w:r>
        <w:rPr>
          <w:rFonts w:hint="cs"/>
          <w:b/>
          <w:bCs/>
          <w:sz w:val="20"/>
          <w:szCs w:val="20"/>
          <w:rtl/>
        </w:rPr>
        <w:t xml:space="preserve"> </w:t>
      </w:r>
      <w:r w:rsidRPr="00CE5FD8">
        <w:rPr>
          <w:rFonts w:hint="cs"/>
          <w:sz w:val="20"/>
          <w:szCs w:val="20"/>
          <w:rtl/>
        </w:rPr>
        <w:t>[דרישות פסקת ההגבלה]</w:t>
      </w:r>
      <w:r>
        <w:rPr>
          <w:rFonts w:hint="cs"/>
          <w:b/>
          <w:bCs/>
          <w:sz w:val="20"/>
          <w:szCs w:val="20"/>
          <w:rtl/>
        </w:rPr>
        <w:t xml:space="preserve"> </w:t>
      </w:r>
      <w:r w:rsidRPr="009D0905">
        <w:rPr>
          <w:b/>
          <w:bCs/>
          <w:sz w:val="20"/>
          <w:szCs w:val="20"/>
          <w:rtl/>
        </w:rPr>
        <w:t>אינן מתאימות לסוגיה הנדונה</w:t>
      </w:r>
      <w:r w:rsidRPr="009D0905">
        <w:rPr>
          <w:sz w:val="20"/>
          <w:szCs w:val="20"/>
          <w:rtl/>
        </w:rPr>
        <w:t xml:space="preserve">, יהא צורך לסטות מהניסוח הקיים ולעצב פסקאות הגבלה שיפוטיות </w:t>
      </w:r>
      <w:r>
        <w:rPr>
          <w:rFonts w:hint="cs"/>
          <w:sz w:val="20"/>
          <w:szCs w:val="20"/>
          <w:rtl/>
        </w:rPr>
        <w:t xml:space="preserve">[מיוחדות] </w:t>
      </w:r>
      <w:r w:rsidRPr="009D0905">
        <w:rPr>
          <w:sz w:val="20"/>
          <w:szCs w:val="20"/>
          <w:rtl/>
        </w:rPr>
        <w:t xml:space="preserve">הנגזרות ממהותו של ההסדר החוקתי [המסוים]. </w:t>
      </w:r>
      <w:r w:rsidRPr="009D0905">
        <w:rPr>
          <w:b/>
          <w:bCs/>
          <w:sz w:val="20"/>
          <w:szCs w:val="20"/>
          <w:rtl/>
        </w:rPr>
        <w:t>כאשר ההסדר החוקתי אינו נוגע כלל לזכויות אדם</w:t>
      </w:r>
      <w:r w:rsidRPr="009D0905">
        <w:rPr>
          <w:sz w:val="20"/>
          <w:szCs w:val="20"/>
          <w:rtl/>
        </w:rPr>
        <w:t xml:space="preserve"> אין כל סיבה להניח מראש קיומה של פסקת הגבלה שיפוטית ויש לבחון כל מקרה לגופו.</w:t>
      </w:r>
    </w:p>
    <w:p w:rsidR="005366A8" w:rsidRDefault="005366A8" w:rsidP="005366A8">
      <w:pPr>
        <w:spacing w:after="120"/>
        <w:rPr>
          <w:highlight w:val="yellow"/>
          <w:rtl/>
        </w:rPr>
      </w:pPr>
    </w:p>
    <w:p w:rsidR="005366A8" w:rsidRDefault="005366A8" w:rsidP="005366A8">
      <w:pPr>
        <w:spacing w:after="120"/>
        <w:rPr>
          <w:highlight w:val="yellow"/>
          <w:rtl/>
        </w:rPr>
      </w:pPr>
      <w:r>
        <w:rPr>
          <w:rFonts w:hint="cs"/>
          <w:highlight w:val="yellow"/>
          <w:rtl/>
        </w:rPr>
        <w:t>=-=</w:t>
      </w:r>
    </w:p>
    <w:p w:rsidR="005366A8" w:rsidRPr="00412C94" w:rsidRDefault="005366A8" w:rsidP="005366A8">
      <w:pPr>
        <w:spacing w:after="120"/>
        <w:rPr>
          <w:sz w:val="22"/>
          <w:szCs w:val="22"/>
          <w:rtl/>
        </w:rPr>
      </w:pPr>
      <w:r>
        <w:rPr>
          <w:rFonts w:hint="cs"/>
          <w:sz w:val="22"/>
          <w:szCs w:val="22"/>
          <w:rtl/>
        </w:rPr>
        <w:t xml:space="preserve">* לקריאה </w:t>
      </w:r>
      <w:r>
        <w:rPr>
          <w:sz w:val="22"/>
          <w:szCs w:val="22"/>
          <w:rtl/>
        </w:rPr>
        <w:t>–</w:t>
      </w:r>
      <w:r>
        <w:rPr>
          <w:rFonts w:hint="cs"/>
          <w:sz w:val="22"/>
          <w:szCs w:val="22"/>
          <w:rtl/>
        </w:rPr>
        <w:t xml:space="preserve"> </w:t>
      </w:r>
      <w:r w:rsidRPr="00412C94">
        <w:rPr>
          <w:rFonts w:hint="cs"/>
          <w:sz w:val="22"/>
          <w:szCs w:val="22"/>
          <w:rtl/>
        </w:rPr>
        <w:t>ראו להלן</w:t>
      </w:r>
      <w:r>
        <w:rPr>
          <w:rFonts w:hint="cs"/>
          <w:sz w:val="22"/>
          <w:szCs w:val="22"/>
          <w:rtl/>
        </w:rPr>
        <w:t xml:space="preserve"> </w:t>
      </w:r>
      <w:r w:rsidRPr="00412C94">
        <w:rPr>
          <w:rFonts w:hint="cs"/>
          <w:sz w:val="22"/>
          <w:szCs w:val="22"/>
          <w:rtl/>
        </w:rPr>
        <w:t xml:space="preserve">התייחסות לדוגמא </w:t>
      </w:r>
      <w:r>
        <w:rPr>
          <w:rFonts w:hint="cs"/>
          <w:sz w:val="22"/>
          <w:szCs w:val="22"/>
          <w:rtl/>
        </w:rPr>
        <w:t>שהוזכרה לעיל. התייחסות זו מופיעה בתרגיל מן העבר (פתרון התרגיל עוסק גם בסוגיות אחרות)</w:t>
      </w:r>
      <w:r w:rsidRPr="00412C94">
        <w:rPr>
          <w:rFonts w:hint="cs"/>
          <w:sz w:val="22"/>
          <w:szCs w:val="22"/>
          <w:rtl/>
        </w:rPr>
        <w:t>:</w:t>
      </w:r>
    </w:p>
    <w:p w:rsidR="005366A8" w:rsidRPr="00864EF7" w:rsidRDefault="005366A8" w:rsidP="005366A8">
      <w:pPr>
        <w:spacing w:after="120"/>
        <w:jc w:val="center"/>
        <w:rPr>
          <w:rFonts w:ascii="Arial" w:hAnsi="Arial" w:cs="Arial"/>
          <w:sz w:val="18"/>
          <w:szCs w:val="18"/>
          <w:rtl/>
        </w:rPr>
      </w:pPr>
      <w:r w:rsidRPr="00864EF7">
        <w:rPr>
          <w:rFonts w:ascii="Arial" w:hAnsi="Arial" w:cs="Arial" w:hint="cs"/>
          <w:b/>
          <w:bCs/>
          <w:sz w:val="18"/>
          <w:szCs w:val="18"/>
          <w:highlight w:val="yellow"/>
          <w:u w:val="single"/>
          <w:rtl/>
        </w:rPr>
        <w:t>עיקרי פתרון תרגיל מספר 1</w:t>
      </w:r>
      <w:r w:rsidRPr="00864EF7">
        <w:rPr>
          <w:rFonts w:ascii="Arial" w:hAnsi="Arial" w:cs="Arial" w:hint="cs"/>
          <w:sz w:val="18"/>
          <w:szCs w:val="18"/>
          <w:highlight w:val="yellow"/>
          <w:rtl/>
        </w:rPr>
        <w:t xml:space="preserve"> [תרגיל מן העבר]</w:t>
      </w:r>
    </w:p>
    <w:p w:rsidR="005366A8" w:rsidRPr="00F42F49" w:rsidRDefault="005366A8" w:rsidP="005366A8">
      <w:pPr>
        <w:rPr>
          <w:rFonts w:ascii="Arial" w:hAnsi="Arial" w:cs="Arial"/>
          <w:sz w:val="18"/>
          <w:szCs w:val="18"/>
          <w:highlight w:val="yellow"/>
          <w:rtl/>
        </w:rPr>
      </w:pPr>
      <w:r w:rsidRPr="00F42F49">
        <w:rPr>
          <w:rFonts w:ascii="Arial" w:hAnsi="Arial" w:cs="Arial"/>
          <w:sz w:val="18"/>
          <w:szCs w:val="18"/>
          <w:highlight w:val="yellow"/>
          <w:rtl/>
          <w:lang w:val="en-GB"/>
        </w:rPr>
        <w:t xml:space="preserve">הניחו כי </w:t>
      </w:r>
      <w:r w:rsidRPr="00F42F49">
        <w:rPr>
          <w:rFonts w:ascii="Arial" w:hAnsi="Arial" w:cs="Arial"/>
          <w:sz w:val="18"/>
          <w:szCs w:val="18"/>
          <w:highlight w:val="yellow"/>
          <w:rtl/>
        </w:rPr>
        <w:t xml:space="preserve">ב-4 לנובמבר 2001 מקבלת הכנסת את </w:t>
      </w:r>
      <w:r w:rsidRPr="00F42F49">
        <w:rPr>
          <w:rFonts w:ascii="Arial" w:hAnsi="Arial" w:cs="Arial"/>
          <w:b/>
          <w:bCs/>
          <w:sz w:val="18"/>
          <w:szCs w:val="18"/>
          <w:highlight w:val="yellow"/>
          <w:rtl/>
        </w:rPr>
        <w:t xml:space="preserve">חוק שחרור על תנאי ממאסר (תיקון), </w:t>
      </w:r>
      <w:r>
        <w:rPr>
          <w:rFonts w:ascii="Arial" w:hAnsi="Arial" w:cs="Arial" w:hint="cs"/>
          <w:b/>
          <w:bCs/>
          <w:sz w:val="18"/>
          <w:szCs w:val="18"/>
          <w:highlight w:val="yellow"/>
          <w:rtl/>
        </w:rPr>
        <w:t>ה</w:t>
      </w:r>
      <w:r w:rsidRPr="00F42F49">
        <w:rPr>
          <w:rFonts w:ascii="Arial" w:hAnsi="Arial" w:cs="Arial"/>
          <w:b/>
          <w:bCs/>
          <w:sz w:val="18"/>
          <w:szCs w:val="18"/>
          <w:highlight w:val="yellow"/>
          <w:rtl/>
        </w:rPr>
        <w:t xml:space="preserve">תשס"ב-2001 </w:t>
      </w:r>
      <w:r w:rsidRPr="00F42F49">
        <w:rPr>
          <w:rFonts w:ascii="Arial" w:hAnsi="Arial" w:cs="Arial"/>
          <w:sz w:val="18"/>
          <w:szCs w:val="18"/>
          <w:highlight w:val="yellow"/>
          <w:rtl/>
        </w:rPr>
        <w:t>אשר קובע:</w:t>
      </w:r>
    </w:p>
    <w:p w:rsidR="005366A8" w:rsidRPr="00FF70E0" w:rsidRDefault="005366A8" w:rsidP="005366A8">
      <w:pPr>
        <w:ind w:left="1106"/>
        <w:rPr>
          <w:rFonts w:ascii="Arial" w:hAnsi="Arial" w:cs="David"/>
          <w:sz w:val="20"/>
          <w:szCs w:val="20"/>
          <w:highlight w:val="yellow"/>
          <w:rtl/>
        </w:rPr>
      </w:pPr>
      <w:r w:rsidRPr="00FF70E0">
        <w:rPr>
          <w:rFonts w:ascii="Arial" w:hAnsi="Arial" w:cs="David"/>
          <w:sz w:val="20"/>
          <w:szCs w:val="20"/>
          <w:highlight w:val="yellow"/>
          <w:rtl/>
        </w:rPr>
        <w:t xml:space="preserve">בחוק שחרור על-תנאי ממאסר, </w:t>
      </w:r>
      <w:r w:rsidRPr="00FF70E0">
        <w:rPr>
          <w:rFonts w:ascii="Arial" w:hAnsi="Arial" w:cs="David" w:hint="cs"/>
          <w:sz w:val="20"/>
          <w:szCs w:val="20"/>
          <w:highlight w:val="yellow"/>
          <w:rtl/>
        </w:rPr>
        <w:t>ה</w:t>
      </w:r>
      <w:r w:rsidRPr="00FF70E0">
        <w:rPr>
          <w:rFonts w:ascii="Arial" w:hAnsi="Arial" w:cs="David"/>
          <w:sz w:val="20"/>
          <w:szCs w:val="20"/>
          <w:highlight w:val="yellow"/>
          <w:rtl/>
        </w:rPr>
        <w:t>תשס"א-</w:t>
      </w:r>
      <w:r w:rsidRPr="00FF70E0">
        <w:rPr>
          <w:rFonts w:ascii="Arial" w:hAnsi="Arial" w:cs="David"/>
          <w:sz w:val="20"/>
          <w:szCs w:val="20"/>
          <w:highlight w:val="yellow"/>
        </w:rPr>
        <w:t xml:space="preserve">2001 </w:t>
      </w:r>
      <w:r w:rsidRPr="00FF70E0">
        <w:rPr>
          <w:rFonts w:ascii="Arial" w:hAnsi="Arial" w:cs="David"/>
          <w:sz w:val="20"/>
          <w:szCs w:val="20"/>
          <w:highlight w:val="yellow"/>
          <w:rtl/>
        </w:rPr>
        <w:t xml:space="preserve"> בסעיף 5,</w:t>
      </w:r>
      <w:r w:rsidRPr="00FF70E0">
        <w:rPr>
          <w:rFonts w:ascii="Arial" w:hAnsi="Arial" w:cs="David"/>
          <w:sz w:val="20"/>
          <w:szCs w:val="20"/>
          <w:highlight w:val="yellow"/>
        </w:rPr>
        <w:t xml:space="preserve"> </w:t>
      </w:r>
      <w:r w:rsidRPr="00FF70E0">
        <w:rPr>
          <w:rFonts w:ascii="Arial" w:hAnsi="Arial" w:cs="David"/>
          <w:sz w:val="20"/>
          <w:szCs w:val="20"/>
          <w:highlight w:val="yellow"/>
          <w:rtl/>
        </w:rPr>
        <w:t>האמור בו יסומן "(א)" ואחריו יבוא:</w:t>
      </w:r>
    </w:p>
    <w:p w:rsidR="005366A8" w:rsidRPr="00F42F49" w:rsidRDefault="005366A8" w:rsidP="005366A8">
      <w:pPr>
        <w:ind w:left="1440"/>
        <w:rPr>
          <w:rFonts w:ascii="Arial" w:hAnsi="Arial" w:cs="Arial"/>
          <w:sz w:val="18"/>
          <w:szCs w:val="18"/>
          <w:highlight w:val="yellow"/>
          <w:rtl/>
        </w:rPr>
      </w:pPr>
      <w:r w:rsidRPr="00FF70E0">
        <w:rPr>
          <w:rFonts w:ascii="Arial" w:hAnsi="Arial" w:cs="David"/>
          <w:sz w:val="20"/>
          <w:szCs w:val="20"/>
          <w:highlight w:val="yellow"/>
          <w:rtl/>
        </w:rPr>
        <w:t>ב. הורשע אדם ברצח ראש הממשלה והתברר כי פעל ממניע</w:t>
      </w:r>
      <w:r w:rsidRPr="00FF70E0">
        <w:rPr>
          <w:rFonts w:ascii="Arial" w:hAnsi="Arial" w:cs="David"/>
          <w:sz w:val="20"/>
          <w:szCs w:val="20"/>
          <w:highlight w:val="yellow"/>
        </w:rPr>
        <w:t xml:space="preserve"> </w:t>
      </w:r>
      <w:r w:rsidRPr="00FF70E0">
        <w:rPr>
          <w:rFonts w:ascii="Arial" w:hAnsi="Arial" w:cs="David"/>
          <w:sz w:val="20"/>
          <w:szCs w:val="20"/>
          <w:highlight w:val="yellow"/>
          <w:rtl/>
        </w:rPr>
        <w:t>פוליטי-אידיאולוגי, לא תינתן לו חנינה, בין אם בדרך של קציבת עונש ובין אם בדרך אחרת. כן לא יופחת עונשו ולא תקוצר תקופת מאסרו.</w:t>
      </w:r>
    </w:p>
    <w:p w:rsidR="005366A8" w:rsidRPr="00F42F49" w:rsidRDefault="005366A8" w:rsidP="005366A8">
      <w:pPr>
        <w:rPr>
          <w:rFonts w:ascii="Arial" w:hAnsi="Arial" w:cs="Arial"/>
          <w:sz w:val="18"/>
          <w:szCs w:val="18"/>
          <w:highlight w:val="yellow"/>
          <w:rtl/>
        </w:rPr>
      </w:pPr>
      <w:r w:rsidRPr="00F42F49">
        <w:rPr>
          <w:rFonts w:ascii="Arial" w:hAnsi="Arial" w:cs="Arial"/>
          <w:sz w:val="18"/>
          <w:szCs w:val="18"/>
          <w:highlight w:val="yellow"/>
          <w:rtl/>
        </w:rPr>
        <w:t>תוקפו של החוק עומד לבחינה שיפוטית.</w:t>
      </w:r>
    </w:p>
    <w:p w:rsidR="005366A8" w:rsidRPr="00864EF7" w:rsidRDefault="005366A8" w:rsidP="005366A8">
      <w:pPr>
        <w:rPr>
          <w:rFonts w:ascii="Arial" w:hAnsi="Arial" w:cs="Arial"/>
          <w:sz w:val="18"/>
          <w:szCs w:val="18"/>
          <w:rtl/>
        </w:rPr>
      </w:pPr>
      <w:r w:rsidRPr="00F42F49">
        <w:rPr>
          <w:rFonts w:ascii="Arial" w:hAnsi="Arial" w:cs="Arial" w:hint="cs"/>
          <w:sz w:val="18"/>
          <w:szCs w:val="18"/>
          <w:highlight w:val="yellow"/>
          <w:rtl/>
        </w:rPr>
        <w:t xml:space="preserve">א. </w:t>
      </w:r>
      <w:r w:rsidRPr="00F42F49">
        <w:rPr>
          <w:rFonts w:ascii="Arial" w:hAnsi="Arial" w:cs="Arial"/>
          <w:sz w:val="18"/>
          <w:szCs w:val="18"/>
          <w:highlight w:val="yellow"/>
          <w:rtl/>
        </w:rPr>
        <w:t>מהם הקשיים המרכזיים המתגלעים בחוק?  כיצד הם צפויים להיות מוכרעים בבית המשפט העליון?</w:t>
      </w:r>
    </w:p>
    <w:p w:rsidR="005366A8" w:rsidRPr="00F42F49" w:rsidRDefault="005366A8" w:rsidP="005366A8">
      <w:pPr>
        <w:rPr>
          <w:sz w:val="20"/>
          <w:szCs w:val="20"/>
          <w:rtl/>
        </w:rPr>
      </w:pPr>
    </w:p>
    <w:p w:rsidR="005366A8" w:rsidRPr="00F42F49" w:rsidRDefault="005366A8" w:rsidP="005366A8">
      <w:pPr>
        <w:rPr>
          <w:sz w:val="20"/>
          <w:szCs w:val="20"/>
          <w:rtl/>
        </w:rPr>
      </w:pPr>
      <w:r w:rsidRPr="00F42F49">
        <w:rPr>
          <w:rFonts w:hint="cs"/>
          <w:sz w:val="20"/>
          <w:szCs w:val="20"/>
          <w:rtl/>
        </w:rPr>
        <w:t xml:space="preserve">1. קשה בדרך פרשנית ליישב בין התיקון (ההיפוטטי) לבין </w:t>
      </w:r>
      <w:r w:rsidRPr="00F42F49">
        <w:rPr>
          <w:rFonts w:hint="cs"/>
          <w:b/>
          <w:bCs/>
          <w:sz w:val="20"/>
          <w:szCs w:val="20"/>
          <w:rtl/>
        </w:rPr>
        <w:t>סע</w:t>
      </w:r>
      <w:r>
        <w:rPr>
          <w:rFonts w:hint="cs"/>
          <w:b/>
          <w:bCs/>
          <w:sz w:val="20"/>
          <w:szCs w:val="20"/>
          <w:rtl/>
        </w:rPr>
        <w:t>' 11</w:t>
      </w:r>
      <w:r w:rsidRPr="00F42F49">
        <w:rPr>
          <w:rFonts w:hint="cs"/>
          <w:b/>
          <w:bCs/>
          <w:sz w:val="20"/>
          <w:szCs w:val="20"/>
          <w:rtl/>
        </w:rPr>
        <w:t>(ב) לחוק יסוד הנשיא</w:t>
      </w:r>
      <w:r w:rsidRPr="00F42F49">
        <w:rPr>
          <w:rFonts w:hint="cs"/>
          <w:sz w:val="20"/>
          <w:szCs w:val="20"/>
          <w:rtl/>
        </w:rPr>
        <w:t xml:space="preserve">. </w:t>
      </w:r>
      <w:r>
        <w:rPr>
          <w:rFonts w:hint="cs"/>
          <w:sz w:val="20"/>
          <w:szCs w:val="20"/>
          <w:rtl/>
        </w:rPr>
        <w:t xml:space="preserve">סעיף זה קובע כלהלן: </w:t>
      </w:r>
      <w:r w:rsidRPr="00FF70E0">
        <w:rPr>
          <w:rFonts w:cs="David" w:hint="cs"/>
          <w:sz w:val="20"/>
          <w:szCs w:val="20"/>
          <w:rtl/>
        </w:rPr>
        <w:t>"</w:t>
      </w:r>
      <w:r w:rsidRPr="00FF70E0">
        <w:rPr>
          <w:rFonts w:cs="David"/>
          <w:sz w:val="20"/>
          <w:szCs w:val="20"/>
          <w:rtl/>
        </w:rPr>
        <w:t>לנשיא המדינה נתונה הסמכות לחון עבריינים ולהקל בעונשים על ידי הפחתתם או המרתם</w:t>
      </w:r>
      <w:r w:rsidRPr="00FF70E0">
        <w:rPr>
          <w:rFonts w:cs="David" w:hint="cs"/>
          <w:sz w:val="20"/>
          <w:szCs w:val="20"/>
          <w:rtl/>
        </w:rPr>
        <w:t>"</w:t>
      </w:r>
      <w:r w:rsidRPr="00F42F49">
        <w:rPr>
          <w:sz w:val="20"/>
          <w:szCs w:val="20"/>
          <w:rtl/>
        </w:rPr>
        <w:t>.</w:t>
      </w:r>
    </w:p>
    <w:p w:rsidR="005366A8" w:rsidRPr="00F42F49" w:rsidRDefault="005366A8" w:rsidP="005366A8">
      <w:pPr>
        <w:rPr>
          <w:sz w:val="20"/>
          <w:szCs w:val="20"/>
          <w:rtl/>
        </w:rPr>
      </w:pPr>
      <w:r w:rsidRPr="00F42F49">
        <w:rPr>
          <w:rFonts w:hint="cs"/>
          <w:sz w:val="20"/>
          <w:szCs w:val="20"/>
          <w:rtl/>
        </w:rPr>
        <w:t xml:space="preserve">מופיע כאן, אם כן, ניסיון לגרוע באמצעות חוק מסמכות הנשיא הקבועה בחוק יסוד. זהו ניסיון היוצר קושי במישור החוקתי.  </w:t>
      </w:r>
    </w:p>
    <w:p w:rsidR="005366A8" w:rsidRPr="00F42F49" w:rsidRDefault="005366A8" w:rsidP="005366A8">
      <w:pPr>
        <w:rPr>
          <w:sz w:val="20"/>
          <w:szCs w:val="20"/>
          <w:rtl/>
        </w:rPr>
      </w:pPr>
      <w:r w:rsidRPr="00F42F49">
        <w:rPr>
          <w:rFonts w:hint="cs"/>
          <w:sz w:val="20"/>
          <w:szCs w:val="20"/>
          <w:highlight w:val="yellow"/>
          <w:rtl/>
        </w:rPr>
        <w:t>אין זהו מקרה של נושא טריוויאלי או פגיעה זניחה בחוק היסוד (השוו למקרה ב</w:t>
      </w:r>
      <w:r w:rsidRPr="00F42F49">
        <w:rPr>
          <w:rFonts w:hint="cs"/>
          <w:b/>
          <w:bCs/>
          <w:sz w:val="20"/>
          <w:szCs w:val="20"/>
          <w:highlight w:val="yellow"/>
          <w:rtl/>
        </w:rPr>
        <w:t>הופנונג</w:t>
      </w:r>
      <w:r w:rsidRPr="00F42F49">
        <w:rPr>
          <w:rFonts w:hint="cs"/>
          <w:sz w:val="20"/>
          <w:szCs w:val="20"/>
          <w:highlight w:val="yellow"/>
          <w:rtl/>
        </w:rPr>
        <w:t>).  מנגד, אין מדובר בניסיון "לשינוי" חוק היסוד, אלא ב"פגיעה" בחוק יסוד, שהרי מדובר בגיזרה נקודתית של סמכות החנינה של הנשיא (סמכותו ביחס לרוצח ובהקשר מיוחד של רצח)</w:t>
      </w:r>
      <w:r w:rsidRPr="00F42F49">
        <w:rPr>
          <w:rFonts w:hint="cs"/>
          <w:sz w:val="20"/>
          <w:szCs w:val="20"/>
          <w:rtl/>
        </w:rPr>
        <w:t xml:space="preserve"> [היזכרו בדיון שלנו בכיתה בשאלת סיווג הפגיעה בחוק יסוד: השפיטה באמצעות סע' 137 לחוק הבחירות לכנסת </w:t>
      </w:r>
      <w:r w:rsidRPr="00F42F49">
        <w:rPr>
          <w:sz w:val="20"/>
          <w:szCs w:val="20"/>
          <w:rtl/>
        </w:rPr>
        <w:t>–</w:t>
      </w:r>
      <w:r w:rsidRPr="00F42F49">
        <w:rPr>
          <w:rFonts w:hint="cs"/>
          <w:sz w:val="20"/>
          <w:szCs w:val="20"/>
          <w:rtl/>
        </w:rPr>
        <w:t xml:space="preserve"> פס"ד </w:t>
      </w:r>
      <w:r w:rsidRPr="00F42F49">
        <w:rPr>
          <w:rFonts w:hint="cs"/>
          <w:b/>
          <w:bCs/>
          <w:sz w:val="20"/>
          <w:szCs w:val="20"/>
          <w:rtl/>
        </w:rPr>
        <w:t>חירות</w:t>
      </w:r>
      <w:r w:rsidRPr="00F42F49">
        <w:rPr>
          <w:rFonts w:hint="cs"/>
          <w:sz w:val="20"/>
          <w:szCs w:val="20"/>
          <w:rtl/>
        </w:rPr>
        <w:t xml:space="preserve">].  </w:t>
      </w:r>
    </w:p>
    <w:p w:rsidR="005366A8" w:rsidRDefault="005366A8" w:rsidP="005366A8">
      <w:pPr>
        <w:rPr>
          <w:sz w:val="20"/>
          <w:szCs w:val="20"/>
          <w:rtl/>
        </w:rPr>
      </w:pPr>
      <w:r w:rsidRPr="00F42F49">
        <w:rPr>
          <w:rFonts w:hint="cs"/>
          <w:sz w:val="20"/>
          <w:szCs w:val="20"/>
          <w:rtl/>
        </w:rPr>
        <w:t>על פי המבנה החוקתי שלנו זהו מתקל דינים בין נורמה נמוכה לבין נורמה גבוהה, שמוביל לכאורה לדחיית הנמוכה.  ואולם הפסיקה הוסיפה בהקשר דומה את הרעיון של "פסקת הגבלה שיפוטית" (</w:t>
      </w:r>
      <w:r w:rsidRPr="00F42F49">
        <w:rPr>
          <w:rFonts w:hint="cs"/>
          <w:b/>
          <w:bCs/>
          <w:sz w:val="20"/>
          <w:szCs w:val="20"/>
          <w:rtl/>
        </w:rPr>
        <w:t>הופנונג, חירות, מופז</w:t>
      </w:r>
      <w:r w:rsidRPr="00F42F49">
        <w:rPr>
          <w:rFonts w:hint="cs"/>
          <w:sz w:val="20"/>
          <w:szCs w:val="20"/>
          <w:rtl/>
        </w:rPr>
        <w:t xml:space="preserve">) לבחינת תוקפו של "חוק פוגע".  במילים אחרות, לא כל חוק פוגע יימצא בטל משום מתקל הדינים: על פי גישה זו החוק הפוגע יימצא </w:t>
      </w:r>
      <w:r w:rsidRPr="00B3719C">
        <w:rPr>
          <w:rFonts w:hint="cs"/>
          <w:i/>
          <w:iCs/>
          <w:sz w:val="20"/>
          <w:szCs w:val="20"/>
          <w:rtl/>
        </w:rPr>
        <w:t>תקף</w:t>
      </w:r>
      <w:r w:rsidRPr="00F42F49">
        <w:rPr>
          <w:rFonts w:hint="cs"/>
          <w:sz w:val="20"/>
          <w:szCs w:val="20"/>
          <w:rtl/>
        </w:rPr>
        <w:t xml:space="preserve"> אם יעמוד בתנאי פסקת ההגבלה השיפוטית.  תנאי פסקה זו דומים לתנאי פסקת ההגבלה המוכרת.  </w:t>
      </w:r>
    </w:p>
    <w:p w:rsidR="005366A8" w:rsidRPr="00F42F49" w:rsidRDefault="005366A8" w:rsidP="005366A8">
      <w:pPr>
        <w:rPr>
          <w:sz w:val="20"/>
          <w:szCs w:val="20"/>
          <w:rtl/>
        </w:rPr>
      </w:pPr>
    </w:p>
    <w:p w:rsidR="005366A8" w:rsidRPr="00F42F49" w:rsidRDefault="005366A8" w:rsidP="005366A8">
      <w:pPr>
        <w:rPr>
          <w:sz w:val="20"/>
          <w:szCs w:val="20"/>
          <w:rtl/>
        </w:rPr>
      </w:pPr>
      <w:r w:rsidRPr="00F42F49">
        <w:rPr>
          <w:rFonts w:hint="cs"/>
          <w:sz w:val="20"/>
          <w:szCs w:val="20"/>
          <w:rtl/>
        </w:rPr>
        <w:t xml:space="preserve">2. בנתוני השאלה מתעוררת סוגיה לא פשוטה הנובעת מכך שנראה כי מדובר בחוק שאינו ממש נורמה כללית, אלא קביעה החותרת לגופו של אדם מסוים </w:t>
      </w:r>
      <w:r w:rsidRPr="00F42F49">
        <w:rPr>
          <w:sz w:val="20"/>
          <w:szCs w:val="20"/>
          <w:rtl/>
        </w:rPr>
        <w:t>–</w:t>
      </w:r>
      <w:r w:rsidRPr="00F42F49">
        <w:rPr>
          <w:rFonts w:hint="cs"/>
          <w:sz w:val="20"/>
          <w:szCs w:val="20"/>
          <w:rtl/>
        </w:rPr>
        <w:t xml:space="preserve"> </w:t>
      </w:r>
      <w:r>
        <w:rPr>
          <w:rFonts w:hint="cs"/>
          <w:sz w:val="20"/>
          <w:szCs w:val="20"/>
          <w:rtl/>
        </w:rPr>
        <w:t>יגאל עמיר, רוצח ראש הממשלה יצחק רבין</w:t>
      </w:r>
      <w:r w:rsidRPr="00F42F49">
        <w:rPr>
          <w:rFonts w:hint="cs"/>
          <w:sz w:val="20"/>
          <w:szCs w:val="20"/>
          <w:rtl/>
        </w:rPr>
        <w:t>.  האומנם כזה הוא החוק?  גם בהנחה שכן, היש בכך מתגבש לכדי פגם משפטי-חוקתי הגורר את בטלותו של חוק? איננו בטוחים כלל [ראו התייחסות נוספת בהמשך]</w:t>
      </w:r>
    </w:p>
    <w:p w:rsidR="005366A8" w:rsidRPr="00F42F49" w:rsidRDefault="005366A8" w:rsidP="005366A8">
      <w:pPr>
        <w:rPr>
          <w:sz w:val="20"/>
          <w:szCs w:val="20"/>
          <w:rtl/>
        </w:rPr>
      </w:pPr>
    </w:p>
    <w:p w:rsidR="005366A8" w:rsidRPr="00F42F49" w:rsidRDefault="005366A8" w:rsidP="005366A8">
      <w:pPr>
        <w:rPr>
          <w:sz w:val="20"/>
          <w:szCs w:val="20"/>
          <w:rtl/>
        </w:rPr>
      </w:pPr>
      <w:r w:rsidRPr="00F42F49">
        <w:rPr>
          <w:rFonts w:hint="cs"/>
          <w:sz w:val="20"/>
          <w:szCs w:val="20"/>
          <w:rtl/>
        </w:rPr>
        <w:t xml:space="preserve">3. במקביל יש לשים לב לבעייתיות חוקתית הצומחת ממקור אחר </w:t>
      </w:r>
      <w:r w:rsidRPr="00F42F49">
        <w:rPr>
          <w:sz w:val="20"/>
          <w:szCs w:val="20"/>
          <w:rtl/>
        </w:rPr>
        <w:t>–</w:t>
      </w:r>
      <w:r w:rsidRPr="00F42F49">
        <w:rPr>
          <w:rFonts w:hint="cs"/>
          <w:sz w:val="20"/>
          <w:szCs w:val="20"/>
          <w:rtl/>
        </w:rPr>
        <w:t xml:space="preserve"> האם החוק אינו מתנגש לכאורה בחוק יסוד נוסף, חוק יסוד: כבוד האדם וחירותו?  תשובה חיובית לשאלה זו מותנית באיתור פגיעה של החוק בזכויות המוגנות על ידי חוק היסוד.</w:t>
      </w:r>
    </w:p>
    <w:p w:rsidR="005366A8" w:rsidRPr="00F42F49" w:rsidRDefault="005366A8" w:rsidP="005366A8">
      <w:pPr>
        <w:ind w:left="720"/>
        <w:rPr>
          <w:sz w:val="20"/>
          <w:szCs w:val="20"/>
          <w:rtl/>
        </w:rPr>
      </w:pPr>
      <w:r w:rsidRPr="00F42F49">
        <w:rPr>
          <w:rFonts w:hint="cs"/>
          <w:sz w:val="20"/>
          <w:szCs w:val="20"/>
          <w:rtl/>
        </w:rPr>
        <w:t xml:space="preserve">ראשית, האין כאן פגיעה ב"זכות לחיים"?  </w:t>
      </w:r>
    </w:p>
    <w:p w:rsidR="005366A8" w:rsidRPr="00F42F49" w:rsidRDefault="005366A8" w:rsidP="005366A8">
      <w:pPr>
        <w:ind w:left="1440"/>
        <w:rPr>
          <w:sz w:val="20"/>
          <w:szCs w:val="20"/>
          <w:rtl/>
        </w:rPr>
      </w:pPr>
      <w:r w:rsidRPr="00F42F49">
        <w:rPr>
          <w:rFonts w:hint="cs"/>
          <w:sz w:val="20"/>
          <w:szCs w:val="20"/>
          <w:rtl/>
        </w:rPr>
        <w:t xml:space="preserve">התיקון יוצר לכאורה מאסר עולם-לעולם </w:t>
      </w:r>
      <w:r w:rsidRPr="00F42F49">
        <w:rPr>
          <w:sz w:val="20"/>
          <w:szCs w:val="20"/>
          <w:rtl/>
        </w:rPr>
        <w:t>–</w:t>
      </w:r>
      <w:r w:rsidRPr="00F42F49">
        <w:rPr>
          <w:rFonts w:hint="cs"/>
          <w:sz w:val="20"/>
          <w:szCs w:val="20"/>
          <w:rtl/>
        </w:rPr>
        <w:t xml:space="preserve"> עד סוף חייו של האסיר.  האם מתעוררים הקשיים הנלווים לעונש מוות? לא נראה לנו.  זהו עונש מאסר עד תום החיים, לא עונש מוות שבו המדינה מוציאה להורג את האדם</w:t>
      </w:r>
      <w:r>
        <w:rPr>
          <w:rFonts w:hint="cs"/>
          <w:sz w:val="20"/>
          <w:szCs w:val="20"/>
          <w:rtl/>
        </w:rPr>
        <w:t xml:space="preserve"> (ועושה כן סמוך לגזר הדין)</w:t>
      </w:r>
      <w:r w:rsidRPr="00F42F49">
        <w:rPr>
          <w:rFonts w:hint="cs"/>
          <w:sz w:val="20"/>
          <w:szCs w:val="20"/>
          <w:rtl/>
        </w:rPr>
        <w:t>.</w:t>
      </w:r>
    </w:p>
    <w:p w:rsidR="005366A8" w:rsidRPr="00F42F49" w:rsidRDefault="005366A8" w:rsidP="005366A8">
      <w:pPr>
        <w:ind w:left="720"/>
        <w:rPr>
          <w:sz w:val="20"/>
          <w:szCs w:val="20"/>
          <w:rtl/>
        </w:rPr>
      </w:pPr>
      <w:r w:rsidRPr="00F42F49">
        <w:rPr>
          <w:rFonts w:hint="cs"/>
          <w:sz w:val="20"/>
          <w:szCs w:val="20"/>
          <w:rtl/>
        </w:rPr>
        <w:t xml:space="preserve">שנית, נחסמת האפשרות לשחרר אדם אל מחוץ לכלא, למשל, בעת גסיסתו.  האין בכך </w:t>
      </w:r>
      <w:r w:rsidRPr="00F42F49">
        <w:rPr>
          <w:sz w:val="20"/>
          <w:szCs w:val="20"/>
          <w:rtl/>
        </w:rPr>
        <w:t>–</w:t>
      </w:r>
      <w:r w:rsidRPr="00F42F49">
        <w:rPr>
          <w:rFonts w:hint="cs"/>
          <w:sz w:val="20"/>
          <w:szCs w:val="20"/>
          <w:rtl/>
        </w:rPr>
        <w:t xml:space="preserve"> או בדברים נוספים הנלווים לתחושתו ולחייו של אסיר שנכלא מאסר עולם-לעולם </w:t>
      </w:r>
      <w:r w:rsidRPr="00F42F49">
        <w:rPr>
          <w:sz w:val="20"/>
          <w:szCs w:val="20"/>
          <w:rtl/>
        </w:rPr>
        <w:t>–</w:t>
      </w:r>
      <w:r w:rsidRPr="00F42F49">
        <w:rPr>
          <w:rFonts w:hint="cs"/>
          <w:sz w:val="20"/>
          <w:szCs w:val="20"/>
          <w:rtl/>
        </w:rPr>
        <w:t xml:space="preserve"> משום פגיעה ב"כבוד האדם"? </w:t>
      </w:r>
    </w:p>
    <w:p w:rsidR="005366A8" w:rsidRPr="00F42F49" w:rsidRDefault="005366A8" w:rsidP="005366A8">
      <w:pPr>
        <w:ind w:left="720"/>
        <w:rPr>
          <w:sz w:val="20"/>
          <w:szCs w:val="20"/>
          <w:rtl/>
        </w:rPr>
      </w:pPr>
      <w:r w:rsidRPr="00F42F49">
        <w:rPr>
          <w:rFonts w:hint="cs"/>
          <w:sz w:val="20"/>
          <w:szCs w:val="20"/>
          <w:rtl/>
        </w:rPr>
        <w:t xml:space="preserve">שלישית, האין מופיעה פגיעה ב"כבוד האדם" בשל פגיעה בשוויון (שוויון בין רוצחים; שוויון בין קורבנות </w:t>
      </w:r>
      <w:r w:rsidRPr="00F42F49">
        <w:rPr>
          <w:sz w:val="20"/>
          <w:szCs w:val="20"/>
          <w:rtl/>
        </w:rPr>
        <w:t>–</w:t>
      </w:r>
      <w:r w:rsidRPr="00F42F49">
        <w:rPr>
          <w:rFonts w:hint="cs"/>
          <w:sz w:val="20"/>
          <w:szCs w:val="20"/>
          <w:rtl/>
        </w:rPr>
        <w:t xml:space="preserve"> השוו לדברי ההסבר להצעת החוק של ח"כ קליינר)?  השאלה המרכזית היא, האם כל פגיעה בשוויון פירושה פגיעה בכבוד האדם? כיצד נסווג את הפגיעה כאן?</w:t>
      </w:r>
    </w:p>
    <w:p w:rsidR="005366A8" w:rsidRPr="00F42F49" w:rsidRDefault="005366A8" w:rsidP="005366A8">
      <w:pPr>
        <w:rPr>
          <w:sz w:val="20"/>
          <w:szCs w:val="20"/>
          <w:rtl/>
        </w:rPr>
      </w:pPr>
    </w:p>
    <w:p w:rsidR="005366A8" w:rsidRPr="00F42F49" w:rsidRDefault="005366A8" w:rsidP="005366A8">
      <w:pPr>
        <w:rPr>
          <w:sz w:val="20"/>
          <w:szCs w:val="20"/>
          <w:rtl/>
        </w:rPr>
      </w:pPr>
      <w:r w:rsidRPr="00F42F49">
        <w:rPr>
          <w:rFonts w:hint="cs"/>
          <w:sz w:val="20"/>
          <w:szCs w:val="20"/>
          <w:rtl/>
        </w:rPr>
        <w:t xml:space="preserve">4. הפגיעה או הפגיעות הנזכרות מפעילוֹת את פסקת ההגבלה, שהרי זיהוי של פגיעה בזכויות מוגנות </w:t>
      </w:r>
      <w:r>
        <w:rPr>
          <w:rFonts w:hint="cs"/>
          <w:sz w:val="20"/>
          <w:szCs w:val="20"/>
          <w:rtl/>
        </w:rPr>
        <w:t xml:space="preserve">חוקתית </w:t>
      </w:r>
      <w:r w:rsidRPr="00F42F49">
        <w:rPr>
          <w:rFonts w:hint="cs"/>
          <w:sz w:val="20"/>
          <w:szCs w:val="20"/>
          <w:rtl/>
        </w:rPr>
        <w:t xml:space="preserve">(או פגיעה בחוק יסוד אחר) היא רק </w:t>
      </w:r>
      <w:r>
        <w:rPr>
          <w:rFonts w:hint="cs"/>
          <w:sz w:val="20"/>
          <w:szCs w:val="20"/>
          <w:rtl/>
        </w:rPr>
        <w:t>שלב ראשון ב</w:t>
      </w:r>
      <w:r w:rsidRPr="00F42F49">
        <w:rPr>
          <w:rFonts w:hint="cs"/>
          <w:sz w:val="20"/>
          <w:szCs w:val="20"/>
          <w:rtl/>
        </w:rPr>
        <w:t xml:space="preserve">ניתוח החוקתי. פסקת ההגבלה עוסקת בשאלת ההמשך: האם אותה פגיעה בזכות אינה מוצדקת חוקתית? </w:t>
      </w:r>
    </w:p>
    <w:p w:rsidR="005366A8" w:rsidRPr="00F42F49" w:rsidRDefault="005366A8" w:rsidP="005366A8">
      <w:pPr>
        <w:rPr>
          <w:sz w:val="20"/>
          <w:szCs w:val="20"/>
          <w:rtl/>
        </w:rPr>
      </w:pPr>
      <w:r w:rsidRPr="00F42F49">
        <w:rPr>
          <w:rFonts w:hint="cs"/>
          <w:sz w:val="20"/>
          <w:szCs w:val="20"/>
          <w:rtl/>
        </w:rPr>
        <w:t xml:space="preserve">[שימו לב, כי פסקת ההגבלה מתעוררת כאן משני כיוונים אפשריים </w:t>
      </w:r>
      <w:r w:rsidRPr="00F42F49">
        <w:rPr>
          <w:sz w:val="20"/>
          <w:szCs w:val="20"/>
          <w:rtl/>
        </w:rPr>
        <w:t>–</w:t>
      </w:r>
      <w:r w:rsidRPr="00F42F49">
        <w:rPr>
          <w:rFonts w:hint="cs"/>
          <w:sz w:val="20"/>
          <w:szCs w:val="20"/>
          <w:rtl/>
        </w:rPr>
        <w:t xml:space="preserve"> מכיוון אנלוגי (של פסקת הגבלה שיפוטית, ביחס לפגיעה בחוק יסוד: נשיא המדינה), ומכוח תחולה ישירה (פסקת ההגבלה בחוק יסוד: כבוד האדם וחירותו, אם נגלה פגיעה בזכות המוגנת מכוחו של חוק יסוד זה)].  </w:t>
      </w:r>
    </w:p>
    <w:p w:rsidR="005366A8" w:rsidRPr="00F42F49" w:rsidRDefault="005366A8" w:rsidP="005366A8">
      <w:pPr>
        <w:rPr>
          <w:sz w:val="20"/>
          <w:szCs w:val="20"/>
          <w:rtl/>
        </w:rPr>
      </w:pPr>
      <w:r w:rsidRPr="00F42F49">
        <w:rPr>
          <w:rFonts w:hint="cs"/>
          <w:sz w:val="20"/>
          <w:szCs w:val="20"/>
          <w:rtl/>
        </w:rPr>
        <w:t>לענייננו כאן, הבעיה המרכזית של החוק הנדון אל מול פסקת ההגבלה מופיעה במישור מבחני דרישת המידתיות.</w:t>
      </w:r>
    </w:p>
    <w:p w:rsidR="005366A8" w:rsidRPr="00F42F49" w:rsidRDefault="005366A8" w:rsidP="005366A8">
      <w:pPr>
        <w:ind w:left="720"/>
        <w:rPr>
          <w:sz w:val="20"/>
          <w:szCs w:val="20"/>
          <w:rtl/>
        </w:rPr>
      </w:pPr>
      <w:r w:rsidRPr="00F42F49">
        <w:rPr>
          <w:rFonts w:hint="cs"/>
          <w:sz w:val="20"/>
          <w:szCs w:val="20"/>
          <w:rtl/>
        </w:rPr>
        <w:t xml:space="preserve">המבחן הראשון של המידתיות (הקשר הרציונלי) חושף בעיה בשל הפער בין התכלית המוצהרת לבין האמצעים שננקטו לכאורה להגשמתה. אם התכלית נוגעת לרצון להגן על החברה מפני גלישה לטרור פוליטי פנימי, ומפני פגיעה ביציבות הדמוקרטיה הישראלית בשל הפגיעה בנושאי תפקיד ממלכתי, מדוע לגבש חוק שכזה רק ביחס לרוצחי ראש ממשלה, ולא רוצחי נשיא המדינה, נשיא בית המשפט העליון, יו"ר הכנסת, שרים וכדומה.  האם אין כאן מצב של </w:t>
      </w:r>
      <w:r w:rsidRPr="00F42F49">
        <w:rPr>
          <w:sz w:val="20"/>
          <w:szCs w:val="20"/>
        </w:rPr>
        <w:t>under inclusiveness</w:t>
      </w:r>
      <w:r w:rsidRPr="00F42F49">
        <w:rPr>
          <w:rFonts w:hint="cs"/>
          <w:sz w:val="20"/>
          <w:szCs w:val="20"/>
          <w:rtl/>
        </w:rPr>
        <w:t xml:space="preserve"> המעיד על תכלית שונה מזו המוצהרת? משמע, מעיד על התכלית של לכידה של יגאל עמיר לבדו ברשתו של החוק ולא הטיעון הכללי יותר של מציעי החוק. [ואולם עד כמה תכלית סמויה זו פסולה? </w:t>
      </w:r>
      <w:r>
        <w:rPr>
          <w:rFonts w:hint="cs"/>
          <w:sz w:val="20"/>
          <w:szCs w:val="20"/>
          <w:rtl/>
        </w:rPr>
        <w:t>האם זה מקרה של חריגה ממתחם המידתיות?</w:t>
      </w:r>
      <w:r w:rsidRPr="00F42F49">
        <w:rPr>
          <w:rFonts w:hint="cs"/>
          <w:sz w:val="20"/>
          <w:szCs w:val="20"/>
          <w:rtl/>
        </w:rPr>
        <w:t>]</w:t>
      </w:r>
    </w:p>
    <w:p w:rsidR="005366A8" w:rsidRPr="00F42F49" w:rsidRDefault="005366A8" w:rsidP="005366A8">
      <w:pPr>
        <w:ind w:left="720"/>
        <w:rPr>
          <w:sz w:val="20"/>
          <w:szCs w:val="20"/>
          <w:rtl/>
        </w:rPr>
      </w:pPr>
      <w:r w:rsidRPr="00F42F49">
        <w:rPr>
          <w:rFonts w:hint="cs"/>
          <w:sz w:val="20"/>
          <w:szCs w:val="20"/>
          <w:rtl/>
        </w:rPr>
        <w:t xml:space="preserve">מבחן המידתיות השני: אמצעי חלופי פחוּת בחומרתו </w:t>
      </w:r>
      <w:r w:rsidRPr="00F42F49">
        <w:rPr>
          <w:sz w:val="20"/>
          <w:szCs w:val="20"/>
          <w:rtl/>
        </w:rPr>
        <w:t>–</w:t>
      </w:r>
      <w:r w:rsidRPr="00F42F49">
        <w:rPr>
          <w:rFonts w:hint="cs"/>
          <w:sz w:val="20"/>
          <w:szCs w:val="20"/>
          <w:rtl/>
        </w:rPr>
        <w:t xml:space="preserve"> האם לא ניתן להסתפק בפתרון שננקט בסופו של דבר </w:t>
      </w:r>
      <w:r w:rsidRPr="00F42F49">
        <w:rPr>
          <w:sz w:val="20"/>
          <w:szCs w:val="20"/>
          <w:rtl/>
        </w:rPr>
        <w:t>–</w:t>
      </w:r>
      <w:r w:rsidRPr="00F42F49">
        <w:rPr>
          <w:rFonts w:hint="cs"/>
          <w:sz w:val="20"/>
          <w:szCs w:val="20"/>
          <w:rtl/>
        </w:rPr>
        <w:t xml:space="preserve"> התיקון (הממשי) לחוק, שמקשה על קציבת העונש ועל חנינה אך לא שולל את הסמכות לתתן? [</w:t>
      </w:r>
      <w:r>
        <w:rPr>
          <w:rFonts w:hint="cs"/>
          <w:sz w:val="20"/>
          <w:szCs w:val="20"/>
          <w:rtl/>
        </w:rPr>
        <w:t xml:space="preserve">טענה חשובה; </w:t>
      </w:r>
      <w:r w:rsidRPr="00F42F49">
        <w:rPr>
          <w:rFonts w:hint="cs"/>
          <w:sz w:val="20"/>
          <w:szCs w:val="20"/>
          <w:rtl/>
        </w:rPr>
        <w:t xml:space="preserve">ראו בהמשך </w:t>
      </w:r>
      <w:r w:rsidRPr="00F42F49">
        <w:rPr>
          <w:sz w:val="20"/>
          <w:szCs w:val="20"/>
          <w:rtl/>
        </w:rPr>
        <w:t>–</w:t>
      </w:r>
      <w:r w:rsidRPr="00F42F49">
        <w:rPr>
          <w:rFonts w:hint="cs"/>
          <w:sz w:val="20"/>
          <w:szCs w:val="20"/>
          <w:rtl/>
        </w:rPr>
        <w:t xml:space="preserve"> בסע' ג']</w:t>
      </w:r>
    </w:p>
    <w:p w:rsidR="005366A8" w:rsidRPr="00F42F49" w:rsidRDefault="005366A8" w:rsidP="005366A8">
      <w:pPr>
        <w:ind w:left="720"/>
        <w:rPr>
          <w:sz w:val="20"/>
          <w:szCs w:val="20"/>
          <w:rtl/>
        </w:rPr>
      </w:pPr>
      <w:r w:rsidRPr="00F42F49">
        <w:rPr>
          <w:rFonts w:hint="cs"/>
          <w:sz w:val="20"/>
          <w:szCs w:val="20"/>
          <w:rtl/>
        </w:rPr>
        <w:t xml:space="preserve">האם לא מתעוררת בעיית "מידתיות במובן הצר"? [עמדתנו כאמור לעיל, היא כי לא מדובר בעונש מוות </w:t>
      </w:r>
      <w:r w:rsidRPr="00F42F49">
        <w:rPr>
          <w:sz w:val="20"/>
          <w:szCs w:val="20"/>
          <w:rtl/>
        </w:rPr>
        <w:t>–</w:t>
      </w:r>
      <w:r w:rsidRPr="00F42F49">
        <w:rPr>
          <w:rFonts w:hint="cs"/>
          <w:sz w:val="20"/>
          <w:szCs w:val="20"/>
          <w:rtl/>
        </w:rPr>
        <w:t xml:space="preserve"> ועל כן קשה יותר לגבש תשובה החלטית ביחס למרכיב זה של מבחן המידתיות].</w:t>
      </w:r>
    </w:p>
    <w:p w:rsidR="005366A8" w:rsidRPr="00F42F49" w:rsidRDefault="005366A8" w:rsidP="005366A8">
      <w:pPr>
        <w:ind w:left="720"/>
        <w:rPr>
          <w:sz w:val="20"/>
          <w:szCs w:val="20"/>
          <w:rtl/>
        </w:rPr>
      </w:pPr>
      <w:r w:rsidRPr="00F42F49">
        <w:rPr>
          <w:rFonts w:hint="cs"/>
          <w:sz w:val="20"/>
          <w:szCs w:val="20"/>
          <w:rtl/>
        </w:rPr>
        <w:t xml:space="preserve">יש לזכור, עם זאת, כי שלשת מרכיבי המידתיות הם </w:t>
      </w:r>
      <w:r w:rsidRPr="00F42F49">
        <w:rPr>
          <w:rFonts w:hint="cs"/>
          <w:b/>
          <w:bCs/>
          <w:sz w:val="20"/>
          <w:szCs w:val="20"/>
          <w:rtl/>
        </w:rPr>
        <w:t>מצטברים</w:t>
      </w:r>
      <w:r w:rsidRPr="00F42F49">
        <w:rPr>
          <w:rFonts w:hint="cs"/>
          <w:sz w:val="20"/>
          <w:szCs w:val="20"/>
          <w:rtl/>
        </w:rPr>
        <w:t>, ואם החוק אינו עומד באחד מהם כבר מתגבש כנגדו ספק חוקתי של ממש.</w:t>
      </w:r>
    </w:p>
    <w:p w:rsidR="005366A8" w:rsidRPr="00F42F49" w:rsidRDefault="005366A8" w:rsidP="005366A8">
      <w:pPr>
        <w:rPr>
          <w:sz w:val="20"/>
          <w:szCs w:val="20"/>
          <w:rtl/>
        </w:rPr>
      </w:pPr>
    </w:p>
    <w:p w:rsidR="005366A8" w:rsidRPr="00F42F49" w:rsidRDefault="005366A8" w:rsidP="005366A8">
      <w:pPr>
        <w:rPr>
          <w:sz w:val="20"/>
          <w:szCs w:val="20"/>
          <w:rtl/>
        </w:rPr>
      </w:pPr>
      <w:r w:rsidRPr="00F42F49">
        <w:rPr>
          <w:rFonts w:hint="cs"/>
          <w:sz w:val="20"/>
          <w:szCs w:val="20"/>
          <w:rtl/>
        </w:rPr>
        <w:t xml:space="preserve">קשיי החוק (ההיפוטטי) שבפנינו הם בסך הכול ממשיים. ייתכן לפיכך שעל אף הרגישות הפוליטית הרבה הקשורה לביטול כל חוק, קל וחומר החוק שבפנינו, יפעל כנגדו בית המשפט העליון.  </w:t>
      </w:r>
    </w:p>
    <w:p w:rsidR="005366A8" w:rsidRPr="00F42F49" w:rsidRDefault="005366A8" w:rsidP="005366A8">
      <w:pPr>
        <w:rPr>
          <w:sz w:val="20"/>
          <w:szCs w:val="20"/>
          <w:rtl/>
        </w:rPr>
      </w:pPr>
    </w:p>
    <w:p w:rsidR="005366A8" w:rsidRPr="00864EF7" w:rsidRDefault="005366A8" w:rsidP="005366A8">
      <w:pPr>
        <w:ind w:left="360"/>
        <w:rPr>
          <w:rFonts w:ascii="Arial" w:hAnsi="Arial" w:cs="Arial"/>
          <w:sz w:val="18"/>
          <w:szCs w:val="18"/>
          <w:rtl/>
        </w:rPr>
      </w:pPr>
      <w:r w:rsidRPr="00864EF7">
        <w:rPr>
          <w:rFonts w:hint="cs"/>
          <w:sz w:val="18"/>
          <w:szCs w:val="18"/>
          <w:rtl/>
        </w:rPr>
        <w:t xml:space="preserve">=-= </w:t>
      </w:r>
    </w:p>
    <w:p w:rsidR="005366A8" w:rsidRPr="00864EF7" w:rsidRDefault="005366A8" w:rsidP="005366A8">
      <w:pPr>
        <w:rPr>
          <w:rFonts w:ascii="Arial" w:hAnsi="Arial" w:cs="Arial"/>
          <w:sz w:val="18"/>
          <w:szCs w:val="18"/>
          <w:rtl/>
        </w:rPr>
      </w:pPr>
      <w:r w:rsidRPr="00F42F49">
        <w:rPr>
          <w:rFonts w:ascii="Arial" w:hAnsi="Arial" w:cs="Arial"/>
          <w:sz w:val="18"/>
          <w:szCs w:val="18"/>
          <w:highlight w:val="yellow"/>
          <w:rtl/>
        </w:rPr>
        <w:t xml:space="preserve">ב. כיצד משתנים הקשיים, האם תשתנה ההכרעה, אם ההוראה האמורה הייתה מתקבלת בסע' 11 (ב) </w:t>
      </w:r>
      <w:r w:rsidRPr="00F42F49">
        <w:rPr>
          <w:rFonts w:ascii="Arial" w:hAnsi="Arial" w:cs="Arial"/>
          <w:b/>
          <w:bCs/>
          <w:sz w:val="18"/>
          <w:szCs w:val="18"/>
          <w:highlight w:val="yellow"/>
          <w:rtl/>
        </w:rPr>
        <w:t>לחוק יסוד: נשיא המדינה</w:t>
      </w:r>
      <w:r w:rsidRPr="00F42F49">
        <w:rPr>
          <w:rFonts w:ascii="Arial" w:hAnsi="Arial" w:cs="Arial"/>
          <w:sz w:val="18"/>
          <w:szCs w:val="18"/>
          <w:highlight w:val="yellow"/>
          <w:rtl/>
        </w:rPr>
        <w:t>, במקום בסע' 5 ל</w:t>
      </w:r>
      <w:r w:rsidRPr="00F42F49">
        <w:rPr>
          <w:rFonts w:ascii="Arial" w:hAnsi="Arial" w:cs="Arial"/>
          <w:b/>
          <w:bCs/>
          <w:sz w:val="18"/>
          <w:szCs w:val="18"/>
          <w:highlight w:val="yellow"/>
          <w:rtl/>
        </w:rPr>
        <w:t>חוק שחרור על תנאי ממאסר תשס"א-2001</w:t>
      </w:r>
      <w:r w:rsidRPr="00F42F49">
        <w:rPr>
          <w:rFonts w:ascii="Arial" w:hAnsi="Arial" w:cs="Arial"/>
          <w:sz w:val="18"/>
          <w:szCs w:val="18"/>
          <w:highlight w:val="yellow"/>
          <w:rtl/>
        </w:rPr>
        <w:t>?</w:t>
      </w:r>
    </w:p>
    <w:p w:rsidR="005366A8" w:rsidRPr="00F42F49" w:rsidRDefault="005366A8" w:rsidP="005366A8">
      <w:pPr>
        <w:rPr>
          <w:rFonts w:ascii="Arial" w:hAnsi="Arial" w:cs="Arial"/>
          <w:sz w:val="20"/>
          <w:szCs w:val="20"/>
        </w:rPr>
      </w:pPr>
    </w:p>
    <w:p w:rsidR="005366A8" w:rsidRPr="00F42F49" w:rsidRDefault="005366A8" w:rsidP="005366A8">
      <w:pPr>
        <w:rPr>
          <w:sz w:val="20"/>
          <w:szCs w:val="20"/>
          <w:rtl/>
        </w:rPr>
      </w:pPr>
      <w:r w:rsidRPr="00F42F49">
        <w:rPr>
          <w:rFonts w:hint="cs"/>
          <w:sz w:val="20"/>
          <w:szCs w:val="20"/>
          <w:rtl/>
        </w:rPr>
        <w:t xml:space="preserve">1. בהנחה שהתיקון האמור נעשה בחוק היסוד, הרי שהקשיים החוקתיים הנובעים מהתנגשות בין נורמה נמוכה לנורמה </w:t>
      </w:r>
      <w:r>
        <w:rPr>
          <w:rFonts w:hint="cs"/>
          <w:sz w:val="20"/>
          <w:szCs w:val="20"/>
          <w:rtl/>
        </w:rPr>
        <w:t xml:space="preserve">שהיא </w:t>
      </w:r>
      <w:r w:rsidRPr="00F42F49">
        <w:rPr>
          <w:rFonts w:hint="cs"/>
          <w:sz w:val="20"/>
          <w:szCs w:val="20"/>
          <w:rtl/>
        </w:rPr>
        <w:t xml:space="preserve">גבוהה ממנה נעלמים ברובם הגדול.  לכנסת כרשות מכוננת נתונה הסמכות לשנות את חוק היסוד באמצעות חוק יסוד חדש, זאת ללא כל דרישה לרוב מיוחד כל עוד אין הוראת שריון בחוק היסוד שאותו משנים.  יש לכנסת כרשות מכוננת יכולת לסטות במשתמע גם מהוראות חוק יסוד אחר (חוק יסוד: כבוד האדם וחירותו).  </w:t>
      </w:r>
    </w:p>
    <w:p w:rsidR="005366A8" w:rsidRPr="00F42F49" w:rsidRDefault="005366A8" w:rsidP="005366A8">
      <w:pPr>
        <w:rPr>
          <w:sz w:val="20"/>
          <w:szCs w:val="20"/>
          <w:rtl/>
        </w:rPr>
      </w:pPr>
    </w:p>
    <w:p w:rsidR="005366A8" w:rsidRPr="00F42F49" w:rsidRDefault="005366A8" w:rsidP="005366A8">
      <w:pPr>
        <w:rPr>
          <w:sz w:val="20"/>
          <w:szCs w:val="20"/>
          <w:rtl/>
        </w:rPr>
      </w:pPr>
      <w:r w:rsidRPr="00F42F49">
        <w:rPr>
          <w:rFonts w:hint="cs"/>
          <w:sz w:val="20"/>
          <w:szCs w:val="20"/>
          <w:rtl/>
        </w:rPr>
        <w:t xml:space="preserve">2. אין זה המקרה לביקורת שיפוטית מטא-טקסטואלית </w:t>
      </w:r>
      <w:r w:rsidRPr="00F42F49">
        <w:rPr>
          <w:sz w:val="20"/>
          <w:szCs w:val="20"/>
          <w:rtl/>
        </w:rPr>
        <w:t>–</w:t>
      </w:r>
      <w:r w:rsidRPr="00F42F49">
        <w:rPr>
          <w:rFonts w:hint="cs"/>
          <w:sz w:val="20"/>
          <w:szCs w:val="20"/>
          <w:rtl/>
        </w:rPr>
        <w:t xml:space="preserve"> קרי, התערבות בית המשפט על סמך עקרונות-יסוד על-חוקתיים (פגיעה קשה באושיות המדינה כמדינה יהודית ודמוקרטית) [</w:t>
      </w:r>
      <w:r>
        <w:rPr>
          <w:rFonts w:hint="cs"/>
          <w:b/>
          <w:bCs/>
          <w:sz w:val="20"/>
          <w:szCs w:val="20"/>
          <w:rtl/>
        </w:rPr>
        <w:t>בר-און</w:t>
      </w:r>
      <w:r w:rsidRPr="00F42F49">
        <w:rPr>
          <w:rFonts w:hint="cs"/>
          <w:sz w:val="20"/>
          <w:szCs w:val="20"/>
          <w:rtl/>
        </w:rPr>
        <w:t>]. [הודגש בפניכם שביקורת מטא-טקסטואלית היא משהו מאד קשה ומאד רגיש; אנו איננו רואים נסיבות המצדיקות התערבות שיפוטית חריגה שכזו; הסיווג שלנו את מצב הדברים ככזה שאינו זהה לעונש מוות מקל עלינו את התשובה].</w:t>
      </w:r>
    </w:p>
    <w:p w:rsidR="005366A8" w:rsidRPr="00F42F49" w:rsidRDefault="005366A8" w:rsidP="005366A8">
      <w:pPr>
        <w:rPr>
          <w:sz w:val="20"/>
          <w:szCs w:val="20"/>
          <w:rtl/>
        </w:rPr>
      </w:pPr>
    </w:p>
    <w:p w:rsidR="005366A8" w:rsidRPr="00F42F49" w:rsidRDefault="005366A8" w:rsidP="005366A8">
      <w:pPr>
        <w:rPr>
          <w:sz w:val="20"/>
          <w:szCs w:val="20"/>
          <w:rtl/>
        </w:rPr>
      </w:pPr>
      <w:r w:rsidRPr="00F42F49">
        <w:rPr>
          <w:rFonts w:hint="cs"/>
          <w:sz w:val="20"/>
          <w:szCs w:val="20"/>
          <w:rtl/>
        </w:rPr>
        <w:t xml:space="preserve">3. טענה נוספת שניתן לטעון נגד התיקון לחוק היסוד, היא שאין מדובר כאן במעשה כינון של ממש.  אם נפעיל את </w:t>
      </w:r>
      <w:r>
        <w:rPr>
          <w:rFonts w:hint="cs"/>
          <w:sz w:val="20"/>
          <w:szCs w:val="20"/>
          <w:rtl/>
        </w:rPr>
        <w:t xml:space="preserve">"המסננת המהותית" של </w:t>
      </w:r>
      <w:r w:rsidRPr="00F42F49">
        <w:rPr>
          <w:rFonts w:hint="cs"/>
          <w:sz w:val="20"/>
          <w:szCs w:val="20"/>
          <w:rtl/>
        </w:rPr>
        <w:t xml:space="preserve">"המבחן </w:t>
      </w:r>
      <w:r>
        <w:rPr>
          <w:rFonts w:hint="cs"/>
          <w:sz w:val="20"/>
          <w:szCs w:val="20"/>
          <w:rtl/>
        </w:rPr>
        <w:t>המשולב</w:t>
      </w:r>
      <w:r w:rsidRPr="00F42F49">
        <w:rPr>
          <w:rFonts w:hint="cs"/>
          <w:sz w:val="20"/>
          <w:szCs w:val="20"/>
          <w:rtl/>
        </w:rPr>
        <w:t xml:space="preserve">" לזיהוי נורמות חוקתיות, תיקון זה </w:t>
      </w:r>
      <w:r w:rsidRPr="00F42F49">
        <w:rPr>
          <w:sz w:val="20"/>
          <w:szCs w:val="20"/>
          <w:rtl/>
        </w:rPr>
        <w:t>–</w:t>
      </w:r>
      <w:r w:rsidRPr="00F42F49">
        <w:rPr>
          <w:rFonts w:hint="cs"/>
          <w:sz w:val="20"/>
          <w:szCs w:val="20"/>
          <w:rtl/>
        </w:rPr>
        <w:t xml:space="preserve"> כך תהיה הטענה </w:t>
      </w:r>
      <w:r w:rsidRPr="00F42F49">
        <w:rPr>
          <w:sz w:val="20"/>
          <w:szCs w:val="20"/>
          <w:rtl/>
        </w:rPr>
        <w:t>–</w:t>
      </w:r>
      <w:r w:rsidRPr="00F42F49">
        <w:rPr>
          <w:rFonts w:hint="cs"/>
          <w:sz w:val="20"/>
          <w:szCs w:val="20"/>
          <w:rtl/>
        </w:rPr>
        <w:t xml:space="preserve"> אינו נורמה חוקתית, שכן היא מתכוונת להתמודד עם מקרה מיוחד ואדם מסוים.  </w:t>
      </w:r>
    </w:p>
    <w:p w:rsidR="005366A8" w:rsidRPr="00F42F49" w:rsidRDefault="005366A8" w:rsidP="005366A8">
      <w:pPr>
        <w:rPr>
          <w:sz w:val="20"/>
          <w:szCs w:val="20"/>
          <w:rtl/>
        </w:rPr>
      </w:pPr>
      <w:r w:rsidRPr="00F42F49">
        <w:rPr>
          <w:rFonts w:hint="cs"/>
          <w:sz w:val="20"/>
          <w:szCs w:val="20"/>
          <w:rtl/>
        </w:rPr>
        <w:t xml:space="preserve">ואולם האם כלל ניתן להפעיל כאן "מבחן מהותי" להבדיל "מצורני" לזיהוי מה מצוי בגדר נורמה חוקתית?  </w:t>
      </w:r>
      <w:r>
        <w:rPr>
          <w:rFonts w:hint="cs"/>
          <w:sz w:val="20"/>
          <w:szCs w:val="20"/>
          <w:rtl/>
        </w:rPr>
        <w:t xml:space="preserve">[הושאר בצריך עיון </w:t>
      </w:r>
      <w:r w:rsidRPr="003B3516">
        <w:rPr>
          <w:rFonts w:hint="cs"/>
          <w:b/>
          <w:bCs/>
          <w:sz w:val="20"/>
          <w:szCs w:val="20"/>
          <w:rtl/>
        </w:rPr>
        <w:t>בבר-און</w:t>
      </w:r>
      <w:r>
        <w:rPr>
          <w:rFonts w:hint="cs"/>
          <w:sz w:val="20"/>
          <w:szCs w:val="20"/>
          <w:rtl/>
        </w:rPr>
        <w:t>]</w:t>
      </w:r>
    </w:p>
    <w:p w:rsidR="005366A8" w:rsidRPr="00F42F49" w:rsidRDefault="005366A8" w:rsidP="005366A8">
      <w:pPr>
        <w:rPr>
          <w:sz w:val="20"/>
          <w:szCs w:val="20"/>
          <w:rtl/>
        </w:rPr>
      </w:pPr>
      <w:r w:rsidRPr="00F42F49">
        <w:rPr>
          <w:rFonts w:hint="cs"/>
          <w:sz w:val="20"/>
          <w:szCs w:val="20"/>
          <w:rtl/>
        </w:rPr>
        <w:t>יתרה מכך, האם זה המקרה של חשד גבוה לניצול לרעה של הכוח המכונן, המצדיק אולי חריגה מהמבחן הצורני? נטינו לענות לכך בשלילה.</w:t>
      </w:r>
    </w:p>
    <w:p w:rsidR="005366A8" w:rsidRPr="00F42F49" w:rsidRDefault="005366A8" w:rsidP="005366A8">
      <w:pPr>
        <w:rPr>
          <w:sz w:val="20"/>
          <w:szCs w:val="20"/>
          <w:rtl/>
        </w:rPr>
      </w:pPr>
    </w:p>
    <w:p w:rsidR="005366A8" w:rsidRPr="00864EF7" w:rsidRDefault="005366A8" w:rsidP="005366A8">
      <w:pPr>
        <w:ind w:left="360"/>
        <w:rPr>
          <w:sz w:val="18"/>
          <w:szCs w:val="18"/>
          <w:rtl/>
        </w:rPr>
      </w:pPr>
      <w:r w:rsidRPr="00864EF7">
        <w:rPr>
          <w:rFonts w:hint="cs"/>
          <w:sz w:val="18"/>
          <w:szCs w:val="18"/>
          <w:rtl/>
        </w:rPr>
        <w:t>=-=</w:t>
      </w:r>
    </w:p>
    <w:p w:rsidR="005366A8" w:rsidRPr="00F42F49" w:rsidRDefault="005366A8" w:rsidP="000B7168">
      <w:pPr>
        <w:numPr>
          <w:ilvl w:val="0"/>
          <w:numId w:val="10"/>
        </w:numPr>
        <w:tabs>
          <w:tab w:val="clear" w:pos="360"/>
          <w:tab w:val="num" w:pos="-262"/>
        </w:tabs>
        <w:rPr>
          <w:rFonts w:ascii="Arial" w:hAnsi="Arial" w:cs="Arial"/>
          <w:b/>
          <w:bCs/>
          <w:sz w:val="18"/>
          <w:szCs w:val="18"/>
          <w:highlight w:val="yellow"/>
          <w:u w:val="single"/>
        </w:rPr>
      </w:pPr>
      <w:r w:rsidRPr="00F42F49">
        <w:rPr>
          <w:rFonts w:ascii="Arial" w:hAnsi="Arial" w:cs="Arial"/>
          <w:sz w:val="18"/>
          <w:szCs w:val="18"/>
          <w:highlight w:val="yellow"/>
          <w:u w:val="single"/>
          <w:rtl/>
        </w:rPr>
        <w:t xml:space="preserve">אלו מהקשיים בהם דנתם נפתרו בתיקון </w:t>
      </w:r>
      <w:r w:rsidRPr="003B3516">
        <w:rPr>
          <w:rFonts w:ascii="Arial" w:hAnsi="Arial" w:cs="Arial"/>
          <w:i/>
          <w:iCs/>
          <w:sz w:val="18"/>
          <w:szCs w:val="18"/>
          <w:highlight w:val="yellow"/>
          <w:u w:val="single"/>
          <w:rtl/>
        </w:rPr>
        <w:t>שהתקבל בפועל</w:t>
      </w:r>
      <w:r w:rsidRPr="00F42F49">
        <w:rPr>
          <w:rFonts w:ascii="Arial" w:hAnsi="Arial" w:cs="Arial"/>
          <w:sz w:val="18"/>
          <w:szCs w:val="18"/>
          <w:highlight w:val="yellow"/>
          <w:u w:val="single"/>
          <w:rtl/>
        </w:rPr>
        <w:t xml:space="preserve"> </w:t>
      </w:r>
      <w:r w:rsidRPr="00F42F49">
        <w:rPr>
          <w:rFonts w:ascii="Arial" w:hAnsi="Arial" w:cs="Arial"/>
          <w:b/>
          <w:bCs/>
          <w:sz w:val="18"/>
          <w:szCs w:val="18"/>
          <w:highlight w:val="yellow"/>
          <w:u w:val="single"/>
          <w:rtl/>
        </w:rPr>
        <w:t>לחוק שחרור על-תנאי ממאסר, תשס"א-</w:t>
      </w:r>
      <w:r w:rsidRPr="00F42F49">
        <w:rPr>
          <w:rFonts w:ascii="Arial" w:hAnsi="Arial" w:cs="Arial"/>
          <w:b/>
          <w:bCs/>
          <w:sz w:val="18"/>
          <w:szCs w:val="18"/>
          <w:highlight w:val="yellow"/>
          <w:u w:val="single"/>
        </w:rPr>
        <w:t>2001</w:t>
      </w:r>
      <w:r w:rsidRPr="00F42F49">
        <w:rPr>
          <w:rFonts w:ascii="Arial" w:hAnsi="Arial" w:cs="Arial"/>
          <w:b/>
          <w:bCs/>
          <w:sz w:val="18"/>
          <w:szCs w:val="18"/>
          <w:highlight w:val="yellow"/>
          <w:u w:val="single"/>
          <w:rtl/>
        </w:rPr>
        <w:t xml:space="preserve">, </w:t>
      </w:r>
      <w:r w:rsidRPr="00F42F49">
        <w:rPr>
          <w:rFonts w:ascii="Arial" w:hAnsi="Arial" w:cs="Arial"/>
          <w:sz w:val="18"/>
          <w:szCs w:val="18"/>
          <w:highlight w:val="yellow"/>
          <w:u w:val="single"/>
          <w:rtl/>
        </w:rPr>
        <w:t>ואשר קובע:</w:t>
      </w:r>
    </w:p>
    <w:p w:rsidR="005366A8" w:rsidRPr="00F42F49" w:rsidRDefault="005366A8" w:rsidP="005366A8">
      <w:pPr>
        <w:ind w:left="1106"/>
        <w:rPr>
          <w:rFonts w:ascii="Arial" w:hAnsi="Arial" w:cs="Arial"/>
          <w:sz w:val="18"/>
          <w:szCs w:val="18"/>
          <w:highlight w:val="yellow"/>
          <w:rtl/>
        </w:rPr>
      </w:pPr>
      <w:r w:rsidRPr="00F42F49">
        <w:rPr>
          <w:rFonts w:ascii="Arial" w:hAnsi="Arial" w:cs="Arial"/>
          <w:sz w:val="18"/>
          <w:szCs w:val="18"/>
          <w:highlight w:val="yellow"/>
          <w:rtl/>
        </w:rPr>
        <w:t>בחוק שחרור על תנאי ממאסר, תשס"א-2001, אחרי סעיף 30 יבוא:</w:t>
      </w:r>
    </w:p>
    <w:p w:rsidR="005366A8" w:rsidRPr="00864EF7" w:rsidRDefault="005366A8" w:rsidP="005366A8">
      <w:pPr>
        <w:ind w:left="1106"/>
        <w:rPr>
          <w:sz w:val="18"/>
          <w:szCs w:val="18"/>
          <w:rtl/>
        </w:rPr>
      </w:pPr>
      <w:r w:rsidRPr="00F42F49">
        <w:rPr>
          <w:rFonts w:ascii="Arial" w:hAnsi="Arial" w:cs="Arial"/>
          <w:sz w:val="18"/>
          <w:szCs w:val="18"/>
          <w:highlight w:val="yellow"/>
          <w:rtl/>
        </w:rPr>
        <w:t>30א. מצאה ועדת שחרורים מיוחדת שאסיר עולם שהורשע ברצח ראש הממשלה פעל ממניע פוליטי-אידאולוגי, יראו לענין סעיף 29 כאילו המליצה הועדה שלא לקצוב את עונשו של האסיר, ולענין סעיף 30 כאילו המליצה שלא להפעיל את סמכות הנשיא לפי סעיף 11(ב) לחוק-יסוד: נשיא המדינה; הוראות סעיף 29(ג) לא יחולו לענין זה."</w:t>
      </w:r>
    </w:p>
    <w:p w:rsidR="005366A8" w:rsidRPr="00F42F49" w:rsidRDefault="005366A8" w:rsidP="005366A8">
      <w:pPr>
        <w:rPr>
          <w:sz w:val="20"/>
          <w:szCs w:val="20"/>
          <w:rtl/>
        </w:rPr>
      </w:pPr>
    </w:p>
    <w:p w:rsidR="005366A8" w:rsidRPr="00F42F49" w:rsidRDefault="005366A8" w:rsidP="005366A8">
      <w:pPr>
        <w:rPr>
          <w:sz w:val="20"/>
          <w:szCs w:val="20"/>
        </w:rPr>
      </w:pPr>
      <w:r w:rsidRPr="00F42F49">
        <w:rPr>
          <w:rFonts w:hint="cs"/>
          <w:sz w:val="20"/>
          <w:szCs w:val="20"/>
          <w:rtl/>
        </w:rPr>
        <w:t>1. הסעיף אינו מתנגש בחוק יסוד. הוא אינו מגביל את סמכות הנשיא ביחס לרוצח ראש הממשלה, אלא קובע כי במקרה כזה יראו את הועדה הממליצה לנשיא ככזו שהמליצה שלא לחון או לקצוב את עונשו של הרוצח.</w:t>
      </w:r>
    </w:p>
    <w:p w:rsidR="005366A8" w:rsidRPr="00F42F49" w:rsidRDefault="005366A8" w:rsidP="005366A8">
      <w:pPr>
        <w:rPr>
          <w:sz w:val="20"/>
          <w:szCs w:val="20"/>
        </w:rPr>
      </w:pPr>
      <w:r w:rsidRPr="00F42F49">
        <w:rPr>
          <w:rFonts w:hint="cs"/>
          <w:sz w:val="20"/>
          <w:szCs w:val="20"/>
          <w:rtl/>
        </w:rPr>
        <w:t>2. בנוסף, התיקון שהתקבל בפועל פוגע בזכויות האדם באופן מצומצם יותר, מכיוון שהוא מאפשר לנשיא לחון ולקצוב את העונש בכל זאת. כך למשל, ניתן לשער מקרה מיוחד שבו הנשיא שוקל בכל זאת את חנינת רוצח ראש הממשלה, כשזה נמצא על ערש דווי בשל מחלה קשה בה לקה בכלא.</w:t>
      </w:r>
    </w:p>
    <w:p w:rsidR="005366A8" w:rsidRDefault="005366A8" w:rsidP="005366A8">
      <w:pPr>
        <w:rPr>
          <w:sz w:val="20"/>
          <w:szCs w:val="20"/>
          <w:rtl/>
        </w:rPr>
      </w:pPr>
      <w:r w:rsidRPr="00F42F49">
        <w:rPr>
          <w:rFonts w:hint="cs"/>
          <w:sz w:val="20"/>
          <w:szCs w:val="20"/>
          <w:rtl/>
        </w:rPr>
        <w:t xml:space="preserve">[3. </w:t>
      </w:r>
      <w:r>
        <w:rPr>
          <w:rFonts w:hint="cs"/>
          <w:sz w:val="20"/>
          <w:szCs w:val="20"/>
          <w:rtl/>
        </w:rPr>
        <w:t xml:space="preserve">א. קושי אחד </w:t>
      </w:r>
      <w:r w:rsidRPr="00F42F49">
        <w:rPr>
          <w:rFonts w:hint="cs"/>
          <w:sz w:val="20"/>
          <w:szCs w:val="20"/>
          <w:rtl/>
        </w:rPr>
        <w:t xml:space="preserve">שנותר עם הסעיף, הוא הטענה, כי מדובר בחוק שנועד לחול על בן אדם אחד וספק אם מבחינת פירמידת הנורמות יכולה הכנסת (בשונה מהרשות המבצעת, המוציאה לעיתים צו אינדיבידואלי מכוח נורמה כללית </w:t>
      </w:r>
      <w:r w:rsidRPr="00F42F49">
        <w:rPr>
          <w:sz w:val="20"/>
          <w:szCs w:val="20"/>
          <w:rtl/>
        </w:rPr>
        <w:t>–</w:t>
      </w:r>
      <w:r w:rsidRPr="00F42F49">
        <w:rPr>
          <w:rFonts w:hint="cs"/>
          <w:sz w:val="20"/>
          <w:szCs w:val="20"/>
          <w:rtl/>
        </w:rPr>
        <w:t xml:space="preserve"> דוגמת חוק או תקנה) ליצור הסדרים שכאלו.  </w:t>
      </w:r>
      <w:r>
        <w:rPr>
          <w:rFonts w:hint="cs"/>
          <w:sz w:val="20"/>
          <w:szCs w:val="20"/>
          <w:rtl/>
        </w:rPr>
        <w:t xml:space="preserve">ואולם ניתן להשיב לכך שהרצון להרתיע טרור פוליטי רואה לנגד עיניו </w:t>
      </w:r>
      <w:r>
        <w:rPr>
          <w:sz w:val="20"/>
          <w:szCs w:val="20"/>
          <w:rtl/>
        </w:rPr>
        <w:t>–</w:t>
      </w:r>
      <w:r>
        <w:rPr>
          <w:rFonts w:hint="cs"/>
          <w:sz w:val="20"/>
          <w:szCs w:val="20"/>
          <w:rtl/>
        </w:rPr>
        <w:t xml:space="preserve"> ברמת החשש </w:t>
      </w:r>
      <w:r>
        <w:rPr>
          <w:sz w:val="20"/>
          <w:szCs w:val="20"/>
          <w:rtl/>
        </w:rPr>
        <w:t>–</w:t>
      </w:r>
      <w:r>
        <w:rPr>
          <w:rFonts w:hint="cs"/>
          <w:sz w:val="20"/>
          <w:szCs w:val="20"/>
          <w:rtl/>
        </w:rPr>
        <w:t xml:space="preserve"> יותר מרוצח אחד שכזה.</w:t>
      </w:r>
    </w:p>
    <w:p w:rsidR="005366A8" w:rsidRDefault="005366A8" w:rsidP="005366A8">
      <w:pPr>
        <w:ind w:right="-142"/>
        <w:rPr>
          <w:sz w:val="20"/>
          <w:szCs w:val="20"/>
          <w:rtl/>
        </w:rPr>
      </w:pPr>
      <w:r>
        <w:rPr>
          <w:rFonts w:hint="cs"/>
          <w:sz w:val="20"/>
          <w:szCs w:val="20"/>
          <w:rtl/>
        </w:rPr>
        <w:t xml:space="preserve">ב. קושי שני הוא טענת ההפליה בין רוצח מסוג אחד, ואפילו רוצח פוליטי מסוג אחד לרוצח פוליטי מסוג שני </w:t>
      </w:r>
      <w:r>
        <w:rPr>
          <w:sz w:val="20"/>
          <w:szCs w:val="20"/>
          <w:rtl/>
        </w:rPr>
        <w:t>–</w:t>
      </w:r>
      <w:r>
        <w:rPr>
          <w:rFonts w:hint="cs"/>
          <w:sz w:val="20"/>
          <w:szCs w:val="20"/>
          <w:rtl/>
        </w:rPr>
        <w:t xml:space="preserve"> נטייתנו לומר שאין זו מסוג הבעיות שיצדיקו פסילת חוק, משמע התגבשותה של חריגה של החוק ממתחם המידתיות; כמו כן צפוי להופיע פקפוק בעצם קיומה של "זכות החוקתית" שחוק מעין זה פוגע בה.</w:t>
      </w:r>
      <w:r w:rsidRPr="00F42F49">
        <w:rPr>
          <w:rFonts w:hint="cs"/>
          <w:sz w:val="20"/>
          <w:szCs w:val="20"/>
          <w:rtl/>
        </w:rPr>
        <w:t>]</w:t>
      </w:r>
    </w:p>
    <w:p w:rsidR="005366A8" w:rsidRDefault="005366A8" w:rsidP="005366A8">
      <w:pPr>
        <w:tabs>
          <w:tab w:val="left" w:pos="1473"/>
        </w:tabs>
        <w:spacing w:after="120"/>
        <w:rPr>
          <w:rFonts w:cs="Arial"/>
          <w:highlight w:val="yellow"/>
          <w:rtl/>
        </w:rPr>
      </w:pPr>
      <w:r w:rsidRPr="00E05D40">
        <w:rPr>
          <w:rFonts w:ascii="Arial" w:hAnsi="Arial" w:cs="Arial" w:hint="cs"/>
          <w:b/>
          <w:bCs/>
          <w:sz w:val="20"/>
          <w:szCs w:val="20"/>
          <w:rtl/>
        </w:rPr>
        <w:t>=-=</w:t>
      </w:r>
      <w:r>
        <w:rPr>
          <w:rFonts w:ascii="Arial" w:hAnsi="Arial" w:cs="Arial"/>
          <w:sz w:val="18"/>
          <w:szCs w:val="18"/>
          <w:rtl/>
        </w:rPr>
        <w:tab/>
      </w:r>
    </w:p>
    <w:p w:rsidR="005366A8" w:rsidRDefault="005366A8" w:rsidP="005366A8">
      <w:pPr>
        <w:rPr>
          <w:rFonts w:cs="Arial"/>
          <w:highlight w:val="yellow"/>
          <w:rtl/>
        </w:rPr>
      </w:pPr>
      <w:r>
        <w:rPr>
          <w:rFonts w:cs="Arial" w:hint="cs"/>
          <w:highlight w:val="yellow"/>
          <w:rtl/>
        </w:rPr>
        <w:t>[קריאה לפגישה הקרובה]</w:t>
      </w:r>
    </w:p>
    <w:p w:rsidR="005366A8" w:rsidRPr="00CB740D" w:rsidRDefault="005366A8" w:rsidP="005366A8">
      <w:pPr>
        <w:spacing w:after="120"/>
        <w:jc w:val="center"/>
        <w:rPr>
          <w:rFonts w:ascii="Arial" w:hAnsi="Arial" w:cs="Guttman-Soncino"/>
          <w:b/>
          <w:bCs/>
          <w:sz w:val="28"/>
          <w:szCs w:val="28"/>
          <w:highlight w:val="yellow"/>
          <w:u w:val="single"/>
          <w:rtl/>
        </w:rPr>
      </w:pPr>
      <w:r w:rsidRPr="00CB740D">
        <w:rPr>
          <w:rFonts w:ascii="Arial" w:hAnsi="Arial" w:cs="Guttman-Soncino" w:hint="cs"/>
          <w:b/>
          <w:bCs/>
          <w:sz w:val="28"/>
          <w:szCs w:val="28"/>
          <w:highlight w:val="yellow"/>
          <w:u w:val="single"/>
          <w:rtl/>
        </w:rPr>
        <w:t>מי מזכויות היסוד של האדם זכו למעמד חוקתי</w:t>
      </w:r>
    </w:p>
    <w:p w:rsidR="005366A8" w:rsidRPr="00412C94" w:rsidRDefault="005366A8" w:rsidP="005366A8">
      <w:pPr>
        <w:jc w:val="center"/>
        <w:rPr>
          <w:rFonts w:ascii="Arial" w:hAnsi="Arial" w:cs="Arial"/>
          <w:b/>
          <w:bCs/>
          <w:rtl/>
        </w:rPr>
      </w:pPr>
      <w:r>
        <w:rPr>
          <w:rFonts w:cs="Arial" w:hint="cs"/>
          <w:b/>
          <w:bCs/>
          <w:highlight w:val="yellow"/>
          <w:rtl/>
        </w:rPr>
        <w:t xml:space="preserve">לשון אחרת, </w:t>
      </w:r>
      <w:r w:rsidRPr="00412C94">
        <w:rPr>
          <w:rFonts w:cs="Arial" w:hint="cs"/>
          <w:b/>
          <w:bCs/>
          <w:highlight w:val="yellow"/>
          <w:rtl/>
        </w:rPr>
        <w:t xml:space="preserve">מהן </w:t>
      </w:r>
      <w:r w:rsidRPr="00412C94">
        <w:rPr>
          <w:rFonts w:cs="Arial"/>
          <w:b/>
          <w:bCs/>
          <w:highlight w:val="yellow"/>
          <w:rtl/>
        </w:rPr>
        <w:t xml:space="preserve">זכויות </w:t>
      </w:r>
      <w:r w:rsidRPr="00412C94">
        <w:rPr>
          <w:rFonts w:cs="Arial" w:hint="cs"/>
          <w:b/>
          <w:bCs/>
          <w:highlight w:val="yellow"/>
          <w:rtl/>
        </w:rPr>
        <w:t>האדם הזוכות למעמד חוקתי-על-חוקי במשפט הישראלי</w:t>
      </w:r>
      <w:r w:rsidRPr="00412C94">
        <w:rPr>
          <w:rFonts w:ascii="Arial" w:hAnsi="Arial" w:cs="Arial" w:hint="cs"/>
          <w:b/>
          <w:bCs/>
          <w:highlight w:val="yellow"/>
          <w:rtl/>
        </w:rPr>
        <w:t>?</w:t>
      </w:r>
    </w:p>
    <w:p w:rsidR="005366A8" w:rsidRDefault="005366A8" w:rsidP="005366A8">
      <w:pPr>
        <w:rPr>
          <w:rFonts w:ascii="Arial" w:hAnsi="Arial" w:cs="Arial"/>
          <w:b/>
          <w:bCs/>
          <w:rtl/>
        </w:rPr>
      </w:pPr>
    </w:p>
    <w:p w:rsidR="005366A8" w:rsidRPr="00C96151" w:rsidRDefault="005366A8" w:rsidP="005366A8">
      <w:pPr>
        <w:spacing w:after="60"/>
        <w:rPr>
          <w:rFonts w:ascii="Arial" w:hAnsi="Arial" w:cs="Arial"/>
          <w:sz w:val="20"/>
          <w:szCs w:val="20"/>
          <w:rtl/>
        </w:rPr>
      </w:pPr>
      <w:r w:rsidRPr="00C96151">
        <w:rPr>
          <w:rFonts w:ascii="Arial" w:hAnsi="Arial" w:cs="Arial" w:hint="cs"/>
          <w:sz w:val="20"/>
          <w:szCs w:val="20"/>
          <w:rtl/>
        </w:rPr>
        <w:t xml:space="preserve">זכויות יסוד חוקתיות, להבדיל מזכויות יסוד 'סתם' (זכויות שעשויות להיות חשובות ביותר אף הן, מצד מהותן), הן זכויות שזכו להגנה בחוקי היסוד של ישראל.  </w:t>
      </w:r>
    </w:p>
    <w:p w:rsidR="005366A8" w:rsidRPr="00C96151" w:rsidRDefault="005366A8" w:rsidP="005366A8">
      <w:pPr>
        <w:spacing w:after="60"/>
        <w:rPr>
          <w:rFonts w:ascii="Arial" w:hAnsi="Arial" w:cs="Arial"/>
          <w:sz w:val="20"/>
          <w:szCs w:val="20"/>
          <w:rtl/>
        </w:rPr>
      </w:pPr>
      <w:r w:rsidRPr="00C96151">
        <w:rPr>
          <w:rFonts w:ascii="Arial" w:hAnsi="Arial" w:cs="Arial" w:hint="cs"/>
          <w:sz w:val="20"/>
          <w:szCs w:val="20"/>
          <w:rtl/>
        </w:rPr>
        <w:t xml:space="preserve">ההגנה </w:t>
      </w:r>
      <w:r>
        <w:rPr>
          <w:rFonts w:ascii="Arial" w:hAnsi="Arial" w:cs="Arial" w:hint="cs"/>
          <w:sz w:val="20"/>
          <w:szCs w:val="20"/>
          <w:rtl/>
        </w:rPr>
        <w:t xml:space="preserve">החוקתית </w:t>
      </w:r>
      <w:r w:rsidRPr="00C96151">
        <w:rPr>
          <w:rFonts w:ascii="Arial" w:hAnsi="Arial" w:cs="Arial" w:hint="cs"/>
          <w:sz w:val="20"/>
          <w:szCs w:val="20"/>
          <w:rtl/>
        </w:rPr>
        <w:t xml:space="preserve">יכולה להיות (א) מכוח עיגון מפורש של הזכות בהוראה בחוק יסוד, והיא יכולה להיות (ב) מכוח פרשנות שהכלילה זכות יסוד כזו או אחרת בגדרה של זכות יסוד שעוגנה במפורש. </w:t>
      </w:r>
    </w:p>
    <w:p w:rsidR="005366A8" w:rsidRPr="00C96151" w:rsidRDefault="005366A8" w:rsidP="005366A8">
      <w:pPr>
        <w:spacing w:after="60"/>
        <w:rPr>
          <w:rFonts w:ascii="Arial" w:hAnsi="Arial" w:cs="Arial"/>
          <w:sz w:val="20"/>
          <w:szCs w:val="20"/>
          <w:rtl/>
        </w:rPr>
      </w:pPr>
      <w:r w:rsidRPr="00C96151">
        <w:rPr>
          <w:rFonts w:ascii="Arial" w:hAnsi="Arial" w:cs="Arial" w:hint="cs"/>
          <w:sz w:val="20"/>
          <w:szCs w:val="20"/>
          <w:rtl/>
        </w:rPr>
        <w:t xml:space="preserve">אין הבדל במעמד המשפטי של זכות </w:t>
      </w:r>
      <w:r>
        <w:rPr>
          <w:rFonts w:ascii="Arial" w:hAnsi="Arial" w:cs="Arial" w:hint="cs"/>
          <w:sz w:val="20"/>
          <w:szCs w:val="20"/>
          <w:rtl/>
        </w:rPr>
        <w:t xml:space="preserve">חוקתית </w:t>
      </w:r>
      <w:r w:rsidRPr="00C96151">
        <w:rPr>
          <w:rFonts w:ascii="Arial" w:hAnsi="Arial" w:cs="Arial" w:hint="cs"/>
          <w:sz w:val="20"/>
          <w:szCs w:val="20"/>
          <w:rtl/>
        </w:rPr>
        <w:t>שזכ</w:t>
      </w:r>
      <w:r>
        <w:rPr>
          <w:rFonts w:ascii="Arial" w:hAnsi="Arial" w:cs="Arial" w:hint="cs"/>
          <w:sz w:val="20"/>
          <w:szCs w:val="20"/>
          <w:rtl/>
        </w:rPr>
        <w:t>ת</w:t>
      </w:r>
      <w:r w:rsidRPr="00C96151">
        <w:rPr>
          <w:rFonts w:ascii="Arial" w:hAnsi="Arial" w:cs="Arial" w:hint="cs"/>
          <w:sz w:val="20"/>
          <w:szCs w:val="20"/>
          <w:rtl/>
        </w:rPr>
        <w:t xml:space="preserve">ה להגנה </w:t>
      </w:r>
      <w:r>
        <w:rPr>
          <w:rFonts w:ascii="Arial" w:hAnsi="Arial" w:cs="Arial" w:hint="cs"/>
          <w:sz w:val="20"/>
          <w:szCs w:val="20"/>
          <w:rtl/>
        </w:rPr>
        <w:t xml:space="preserve">בנתיב (א) בהשוואה לנתיב (ב). </w:t>
      </w:r>
      <w:r w:rsidRPr="00C96151">
        <w:rPr>
          <w:rFonts w:ascii="Arial" w:hAnsi="Arial" w:cs="Arial" w:hint="cs"/>
          <w:sz w:val="20"/>
          <w:szCs w:val="20"/>
          <w:rtl/>
        </w:rPr>
        <w:t xml:space="preserve">  </w:t>
      </w:r>
    </w:p>
    <w:p w:rsidR="005366A8" w:rsidRDefault="005366A8" w:rsidP="005366A8">
      <w:pPr>
        <w:spacing w:after="60"/>
        <w:rPr>
          <w:rFonts w:ascii="Arial" w:hAnsi="Arial" w:cs="Arial"/>
          <w:sz w:val="20"/>
          <w:szCs w:val="20"/>
          <w:rtl/>
        </w:rPr>
      </w:pPr>
      <w:r w:rsidRPr="00C96151">
        <w:rPr>
          <w:rFonts w:ascii="Arial" w:hAnsi="Arial" w:cs="Arial" w:hint="cs"/>
          <w:sz w:val="20"/>
          <w:szCs w:val="20"/>
          <w:rtl/>
        </w:rPr>
        <w:t>ההבחנה העיקרית במישור המשפטי נוגעת לעצם המעמד החוקתי עצמו, והיא מבחינה בין זכויות יסוד שזכו למעמד חוקתי (בין בדרך א' ובין בדרך ב') לבין זכויות יסוד שלא זכו למעמד שכזה.</w:t>
      </w:r>
      <w:r>
        <w:rPr>
          <w:rFonts w:ascii="Arial" w:hAnsi="Arial" w:cs="Arial" w:hint="cs"/>
          <w:sz w:val="20"/>
          <w:szCs w:val="20"/>
          <w:rtl/>
        </w:rPr>
        <w:t xml:space="preserve"> הבחנה זו משמעותית ואולי משמעותית מאד, שכן היא מקימה סמכות לביקורת שיפוטית חוקתית </w:t>
      </w:r>
      <w:r>
        <w:rPr>
          <w:rFonts w:ascii="Arial" w:hAnsi="Arial" w:cs="Arial"/>
          <w:sz w:val="20"/>
          <w:szCs w:val="20"/>
          <w:rtl/>
        </w:rPr>
        <w:t>–</w:t>
      </w:r>
      <w:r>
        <w:rPr>
          <w:rFonts w:ascii="Arial" w:hAnsi="Arial" w:cs="Arial" w:hint="cs"/>
          <w:sz w:val="20"/>
          <w:szCs w:val="20"/>
          <w:rtl/>
        </w:rPr>
        <w:t xml:space="preserve"> ביקורת על תוקפו של </w:t>
      </w:r>
      <w:r w:rsidRPr="00A42E2F">
        <w:rPr>
          <w:rFonts w:ascii="Arial" w:hAnsi="Arial" w:cs="Arial" w:hint="cs"/>
          <w:sz w:val="20"/>
          <w:szCs w:val="20"/>
          <w:u w:val="single"/>
          <w:rtl/>
        </w:rPr>
        <w:t xml:space="preserve">חוק </w:t>
      </w:r>
      <w:r>
        <w:rPr>
          <w:rFonts w:ascii="Arial" w:hAnsi="Arial" w:cs="Arial" w:hint="cs"/>
          <w:sz w:val="20"/>
          <w:szCs w:val="20"/>
          <w:rtl/>
        </w:rPr>
        <w:t>הפוגע בזכות החוקתית.</w:t>
      </w:r>
    </w:p>
    <w:p w:rsidR="005366A8" w:rsidRDefault="005366A8" w:rsidP="005366A8">
      <w:pPr>
        <w:spacing w:after="60"/>
        <w:rPr>
          <w:rFonts w:ascii="Arial" w:hAnsi="Arial" w:cs="Arial"/>
          <w:sz w:val="20"/>
          <w:szCs w:val="20"/>
          <w:rtl/>
        </w:rPr>
      </w:pPr>
      <w:r>
        <w:rPr>
          <w:rFonts w:ascii="Arial" w:hAnsi="Arial" w:cs="Arial" w:hint="cs"/>
          <w:sz w:val="20"/>
          <w:szCs w:val="20"/>
          <w:rtl/>
        </w:rPr>
        <w:t xml:space="preserve">[זכויות יסוד שלא זכו למעמד חוקתי זוכות על כן להגנה מופחתת. חוק עשוי להפר אותן (כלומר לפגוע בהן באופן שאינו מוצדק) אך לא יתאפשר סעד של ביקורת שיפוטית חוקתית עליו. </w:t>
      </w:r>
    </w:p>
    <w:p w:rsidR="005366A8" w:rsidRPr="0001167F" w:rsidRDefault="005366A8" w:rsidP="005366A8">
      <w:pPr>
        <w:spacing w:after="60"/>
        <w:rPr>
          <w:rFonts w:ascii="Arial" w:hAnsi="Arial" w:cs="Arial"/>
          <w:sz w:val="18"/>
          <w:szCs w:val="18"/>
          <w:rtl/>
        </w:rPr>
      </w:pPr>
      <w:r>
        <w:rPr>
          <w:rFonts w:ascii="Arial" w:hAnsi="Arial" w:cs="Arial" w:hint="cs"/>
          <w:sz w:val="20"/>
          <w:szCs w:val="20"/>
          <w:rtl/>
        </w:rPr>
        <w:t xml:space="preserve">עם זאת, גם זכויות אלו מוגנות עדיין ומוגנות ממשית במשפט הישראלי, שכן הן חלק מהחוקה המטריאלית של ישראל. (זכרו את </w:t>
      </w:r>
      <w:r w:rsidRPr="00243EEA">
        <w:rPr>
          <w:rFonts w:ascii="Arial" w:hAnsi="Arial" w:cs="Arial" w:hint="cs"/>
          <w:b/>
          <w:bCs/>
          <w:sz w:val="20"/>
          <w:szCs w:val="20"/>
          <w:rtl/>
        </w:rPr>
        <w:t>בז'רנו, קול-העם, פרץ נ' כפר שמריהו</w:t>
      </w:r>
      <w:r>
        <w:rPr>
          <w:rFonts w:ascii="Arial" w:hAnsi="Arial" w:cs="Arial" w:hint="cs"/>
          <w:sz w:val="20"/>
          <w:szCs w:val="20"/>
          <w:rtl/>
        </w:rPr>
        <w:t xml:space="preserve"> וכדומה) </w:t>
      </w:r>
      <w:r>
        <w:rPr>
          <w:rFonts w:ascii="Arial" w:hAnsi="Arial" w:cs="Arial"/>
          <w:sz w:val="20"/>
          <w:szCs w:val="20"/>
          <w:rtl/>
        </w:rPr>
        <w:t>–</w:t>
      </w:r>
      <w:r>
        <w:rPr>
          <w:rFonts w:ascii="Arial" w:hAnsi="Arial" w:cs="Arial" w:hint="cs"/>
          <w:sz w:val="20"/>
          <w:szCs w:val="20"/>
          <w:rtl/>
        </w:rPr>
        <w:t xml:space="preserve"> מהם אופני ההגנה?</w:t>
      </w:r>
    </w:p>
    <w:p w:rsidR="005366A8" w:rsidRPr="0001167F" w:rsidRDefault="005366A8" w:rsidP="000B7168">
      <w:pPr>
        <w:numPr>
          <w:ilvl w:val="0"/>
          <w:numId w:val="13"/>
        </w:numPr>
        <w:spacing w:after="60"/>
        <w:jc w:val="left"/>
        <w:rPr>
          <w:rFonts w:ascii="Arial" w:hAnsi="Arial" w:cs="Arial"/>
          <w:sz w:val="18"/>
          <w:szCs w:val="18"/>
        </w:rPr>
      </w:pPr>
      <w:r w:rsidRPr="0001167F">
        <w:rPr>
          <w:rFonts w:ascii="Arial" w:hAnsi="Arial" w:cs="Arial" w:hint="cs"/>
          <w:sz w:val="18"/>
          <w:szCs w:val="18"/>
          <w:rtl/>
        </w:rPr>
        <w:t xml:space="preserve">הן </w:t>
      </w:r>
      <w:r w:rsidRPr="0001167F">
        <w:rPr>
          <w:rFonts w:ascii="Arial" w:hAnsi="Arial" w:cs="Arial"/>
          <w:sz w:val="18"/>
          <w:szCs w:val="18"/>
          <w:rtl/>
        </w:rPr>
        <w:t>–</w:t>
      </w:r>
      <w:r w:rsidRPr="0001167F">
        <w:rPr>
          <w:rFonts w:ascii="Arial" w:hAnsi="Arial" w:cs="Arial" w:hint="cs"/>
          <w:sz w:val="18"/>
          <w:szCs w:val="18"/>
          <w:rtl/>
        </w:rPr>
        <w:t xml:space="preserve"> אותן זכויות יסוד שלא זכו למעמד חוקתי </w:t>
      </w:r>
      <w:r w:rsidRPr="0001167F">
        <w:rPr>
          <w:rFonts w:ascii="Arial" w:hAnsi="Arial" w:cs="Arial"/>
          <w:sz w:val="18"/>
          <w:szCs w:val="18"/>
          <w:rtl/>
        </w:rPr>
        <w:t>–</w:t>
      </w:r>
      <w:r w:rsidRPr="0001167F">
        <w:rPr>
          <w:rFonts w:ascii="Arial" w:hAnsi="Arial" w:cs="Arial" w:hint="cs"/>
          <w:sz w:val="18"/>
          <w:szCs w:val="18"/>
          <w:rtl/>
        </w:rPr>
        <w:t xml:space="preserve"> מוגנות עדיין בדרך של </w:t>
      </w:r>
      <w:r w:rsidRPr="0001167F">
        <w:rPr>
          <w:rFonts w:ascii="Arial" w:hAnsi="Arial" w:cs="Arial" w:hint="cs"/>
          <w:b/>
          <w:bCs/>
          <w:sz w:val="18"/>
          <w:szCs w:val="18"/>
          <w:rtl/>
        </w:rPr>
        <w:t>פרשנותם של החוקים</w:t>
      </w:r>
      <w:r w:rsidRPr="0001167F">
        <w:rPr>
          <w:rFonts w:ascii="Arial" w:hAnsi="Arial" w:cs="Arial" w:hint="cs"/>
          <w:sz w:val="18"/>
          <w:szCs w:val="18"/>
          <w:rtl/>
        </w:rPr>
        <w:t xml:space="preserve"> (והוראות דין אחרות) במסגרתה של "הפרשנות התכליתית" (שכן הן חלק מהחוקה המהותית של ישראל, שהיא "המטרייה הנורמטיבית" של המשפט הישראלי) </w:t>
      </w:r>
      <w:r w:rsidRPr="0001167F">
        <w:rPr>
          <w:rFonts w:ascii="Arial" w:hAnsi="Arial" w:cs="Arial"/>
          <w:sz w:val="18"/>
          <w:szCs w:val="18"/>
          <w:rtl/>
        </w:rPr>
        <w:t>–</w:t>
      </w:r>
      <w:r w:rsidRPr="0001167F">
        <w:rPr>
          <w:rFonts w:ascii="Arial" w:hAnsi="Arial" w:cs="Arial" w:hint="cs"/>
          <w:sz w:val="18"/>
          <w:szCs w:val="18"/>
          <w:rtl/>
        </w:rPr>
        <w:t xml:space="preserve"> הדוגמא של </w:t>
      </w:r>
      <w:r w:rsidRPr="0001167F">
        <w:rPr>
          <w:rFonts w:ascii="Arial" w:hAnsi="Arial" w:cs="Arial" w:hint="cs"/>
          <w:b/>
          <w:bCs/>
          <w:sz w:val="18"/>
          <w:szCs w:val="18"/>
          <w:rtl/>
        </w:rPr>
        <w:t>קול העם</w:t>
      </w:r>
      <w:r w:rsidRPr="0001167F">
        <w:rPr>
          <w:rFonts w:ascii="Arial" w:hAnsi="Arial" w:cs="Arial" w:hint="cs"/>
          <w:sz w:val="18"/>
          <w:szCs w:val="18"/>
          <w:rtl/>
        </w:rPr>
        <w:t xml:space="preserve"> ופסיקה רבה מאד נוספת.</w:t>
      </w:r>
    </w:p>
    <w:p w:rsidR="005366A8" w:rsidRPr="0001167F" w:rsidRDefault="005366A8" w:rsidP="000B7168">
      <w:pPr>
        <w:numPr>
          <w:ilvl w:val="0"/>
          <w:numId w:val="13"/>
        </w:numPr>
        <w:spacing w:after="60"/>
        <w:jc w:val="left"/>
        <w:rPr>
          <w:rFonts w:ascii="Arial" w:hAnsi="Arial" w:cs="Arial"/>
          <w:sz w:val="18"/>
          <w:szCs w:val="18"/>
        </w:rPr>
      </w:pPr>
      <w:r w:rsidRPr="0001167F">
        <w:rPr>
          <w:rFonts w:ascii="Arial" w:hAnsi="Arial" w:cs="Arial" w:hint="cs"/>
          <w:sz w:val="18"/>
          <w:szCs w:val="18"/>
          <w:rtl/>
        </w:rPr>
        <w:t xml:space="preserve">הן מוגנות גם במסגרת </w:t>
      </w:r>
      <w:r w:rsidRPr="0001167F">
        <w:rPr>
          <w:rFonts w:ascii="Arial" w:hAnsi="Arial" w:cs="Arial" w:hint="cs"/>
          <w:b/>
          <w:bCs/>
          <w:sz w:val="18"/>
          <w:szCs w:val="18"/>
          <w:rtl/>
        </w:rPr>
        <w:t>"המשפט המקובל נוסח ישראל",</w:t>
      </w:r>
      <w:r w:rsidRPr="0001167F">
        <w:rPr>
          <w:rFonts w:ascii="Arial" w:hAnsi="Arial" w:cs="Arial" w:hint="cs"/>
          <w:sz w:val="18"/>
          <w:szCs w:val="18"/>
          <w:rtl/>
        </w:rPr>
        <w:t xml:space="preserve"> המצוי בפירמידה הנורמטיבית מעל לחקיקת משנה ופעולות מינהל אחרות </w:t>
      </w:r>
      <w:r w:rsidRPr="0001167F">
        <w:rPr>
          <w:rFonts w:ascii="Arial" w:hAnsi="Arial" w:cs="Arial"/>
          <w:sz w:val="18"/>
          <w:szCs w:val="18"/>
          <w:rtl/>
        </w:rPr>
        <w:t>–</w:t>
      </w:r>
      <w:r w:rsidRPr="0001167F">
        <w:rPr>
          <w:rFonts w:ascii="Arial" w:hAnsi="Arial" w:cs="Arial" w:hint="cs"/>
          <w:sz w:val="18"/>
          <w:szCs w:val="18"/>
          <w:rtl/>
        </w:rPr>
        <w:t xml:space="preserve"> ולכן ההוראות הנמוכות לא יכולות לסתור/להפר אותן </w:t>
      </w:r>
      <w:r w:rsidRPr="0001167F">
        <w:rPr>
          <w:rFonts w:ascii="Arial" w:hAnsi="Arial" w:cs="Arial"/>
          <w:sz w:val="18"/>
          <w:szCs w:val="18"/>
          <w:rtl/>
        </w:rPr>
        <w:t>–</w:t>
      </w:r>
      <w:r w:rsidRPr="0001167F">
        <w:rPr>
          <w:rFonts w:ascii="Arial" w:hAnsi="Arial" w:cs="Arial" w:hint="cs"/>
          <w:sz w:val="18"/>
          <w:szCs w:val="18"/>
          <w:rtl/>
        </w:rPr>
        <w:t xml:space="preserve"> </w:t>
      </w:r>
      <w:r w:rsidRPr="0001167F">
        <w:rPr>
          <w:rFonts w:ascii="Arial" w:hAnsi="Arial" w:cs="Arial" w:hint="cs"/>
          <w:b/>
          <w:bCs/>
          <w:sz w:val="18"/>
          <w:szCs w:val="18"/>
          <w:rtl/>
        </w:rPr>
        <w:t xml:space="preserve">בז'רנו </w:t>
      </w:r>
      <w:r w:rsidRPr="0001167F">
        <w:rPr>
          <w:rFonts w:ascii="Arial" w:hAnsi="Arial" w:cs="Arial" w:hint="cs"/>
          <w:sz w:val="18"/>
          <w:szCs w:val="18"/>
          <w:rtl/>
        </w:rPr>
        <w:t>הרי ניתן מכוח הנמקה זו</w:t>
      </w:r>
    </w:p>
    <w:p w:rsidR="005366A8" w:rsidRPr="0001167F" w:rsidRDefault="005366A8" w:rsidP="000B7168">
      <w:pPr>
        <w:numPr>
          <w:ilvl w:val="0"/>
          <w:numId w:val="13"/>
        </w:numPr>
        <w:jc w:val="left"/>
        <w:rPr>
          <w:rFonts w:ascii="Arial" w:hAnsi="Arial" w:cs="Arial"/>
          <w:sz w:val="18"/>
          <w:szCs w:val="18"/>
          <w:rtl/>
        </w:rPr>
      </w:pPr>
      <w:r w:rsidRPr="0001167F">
        <w:rPr>
          <w:rFonts w:ascii="Arial" w:hAnsi="Arial" w:cs="Arial" w:hint="cs"/>
          <w:sz w:val="18"/>
          <w:szCs w:val="18"/>
          <w:rtl/>
        </w:rPr>
        <w:t xml:space="preserve">במקרים חריגים מאד, של פגיעה קשה ביותר במי מאותן זכויות, מתאפשרת אולי </w:t>
      </w:r>
      <w:r w:rsidRPr="0001167F">
        <w:rPr>
          <w:rFonts w:ascii="Arial" w:hAnsi="Arial" w:cs="Arial" w:hint="cs"/>
          <w:b/>
          <w:bCs/>
          <w:sz w:val="18"/>
          <w:szCs w:val="18"/>
          <w:rtl/>
        </w:rPr>
        <w:t>ביקורת שיפוטית מטא-טקסטואלית</w:t>
      </w:r>
      <w:r w:rsidRPr="0001167F">
        <w:rPr>
          <w:rFonts w:ascii="Arial" w:hAnsi="Arial" w:cs="Arial" w:hint="cs"/>
          <w:sz w:val="18"/>
          <w:szCs w:val="18"/>
          <w:rtl/>
        </w:rPr>
        <w:t>].</w:t>
      </w:r>
    </w:p>
    <w:p w:rsidR="005366A8" w:rsidRDefault="005366A8" w:rsidP="005366A8">
      <w:pPr>
        <w:rPr>
          <w:rFonts w:ascii="Arial" w:hAnsi="Arial" w:cs="Arial"/>
          <w:b/>
          <w:bCs/>
          <w:rtl/>
        </w:rPr>
      </w:pPr>
    </w:p>
    <w:p w:rsidR="005366A8" w:rsidRPr="00931566" w:rsidRDefault="005366A8" w:rsidP="005366A8">
      <w:pPr>
        <w:pStyle w:val="ruller40"/>
        <w:spacing w:after="60" w:line="240" w:lineRule="auto"/>
        <w:rPr>
          <w:rFonts w:ascii="Arial" w:hAnsi="Arial" w:cs="Arial"/>
          <w:b/>
          <w:bCs/>
          <w:sz w:val="20"/>
          <w:szCs w:val="20"/>
          <w:highlight w:val="yellow"/>
          <w:u w:val="single"/>
          <w:rtl/>
        </w:rPr>
      </w:pPr>
      <w:r w:rsidRPr="00931566">
        <w:rPr>
          <w:rFonts w:ascii="Arial" w:hAnsi="Arial" w:cs="Arial" w:hint="cs"/>
          <w:b/>
          <w:bCs/>
          <w:sz w:val="20"/>
          <w:szCs w:val="20"/>
          <w:highlight w:val="yellow"/>
          <w:u w:val="single"/>
          <w:rtl/>
        </w:rPr>
        <w:t>זכויות יסוד חוקתיות:</w:t>
      </w:r>
    </w:p>
    <w:p w:rsidR="005366A8" w:rsidRDefault="005366A8" w:rsidP="005366A8">
      <w:pPr>
        <w:pStyle w:val="ruller40"/>
        <w:spacing w:after="60" w:line="240" w:lineRule="auto"/>
        <w:rPr>
          <w:rFonts w:ascii="Arial" w:hAnsi="Arial" w:cs="Arial"/>
          <w:sz w:val="20"/>
          <w:szCs w:val="20"/>
          <w:highlight w:val="yellow"/>
          <w:rtl/>
        </w:rPr>
      </w:pPr>
      <w:r>
        <w:rPr>
          <w:rFonts w:ascii="Arial" w:hAnsi="Arial" w:cs="Arial" w:hint="cs"/>
          <w:sz w:val="20"/>
          <w:szCs w:val="20"/>
          <w:highlight w:val="yellow"/>
          <w:rtl/>
        </w:rPr>
        <w:t>דוגמאות:</w:t>
      </w:r>
    </w:p>
    <w:p w:rsidR="005366A8" w:rsidRDefault="005366A8" w:rsidP="005366A8">
      <w:pPr>
        <w:pStyle w:val="ruller40"/>
        <w:spacing w:after="60" w:line="240" w:lineRule="auto"/>
        <w:ind w:left="720"/>
        <w:rPr>
          <w:rFonts w:ascii="Arial" w:hAnsi="Arial" w:cs="Arial"/>
          <w:sz w:val="20"/>
          <w:szCs w:val="20"/>
          <w:highlight w:val="yellow"/>
          <w:rtl/>
        </w:rPr>
      </w:pPr>
      <w:r>
        <w:rPr>
          <w:rFonts w:ascii="Arial" w:hAnsi="Arial" w:cs="Arial" w:hint="cs"/>
          <w:sz w:val="20"/>
          <w:szCs w:val="20"/>
          <w:highlight w:val="yellow"/>
          <w:rtl/>
        </w:rPr>
        <w:t>חוק יסוד: הכנסת</w:t>
      </w:r>
    </w:p>
    <w:p w:rsidR="005366A8" w:rsidRPr="00475AB6" w:rsidRDefault="005366A8" w:rsidP="005366A8">
      <w:pPr>
        <w:pStyle w:val="ruller40"/>
        <w:spacing w:after="60" w:line="240" w:lineRule="auto"/>
        <w:ind w:left="1440"/>
        <w:rPr>
          <w:rFonts w:ascii="Arial" w:hAnsi="Arial" w:cs="Arial"/>
          <w:b/>
          <w:bCs/>
          <w:sz w:val="20"/>
          <w:szCs w:val="20"/>
          <w:highlight w:val="yellow"/>
          <w:rtl/>
        </w:rPr>
      </w:pPr>
      <w:r w:rsidRPr="00475AB6">
        <w:rPr>
          <w:rFonts w:ascii="Arial" w:hAnsi="Arial" w:cs="Arial" w:hint="cs"/>
          <w:b/>
          <w:bCs/>
          <w:sz w:val="20"/>
          <w:szCs w:val="20"/>
          <w:highlight w:val="yellow"/>
          <w:rtl/>
        </w:rPr>
        <w:t>הזכות לבחור</w:t>
      </w:r>
    </w:p>
    <w:p w:rsidR="005366A8" w:rsidRPr="00475AB6" w:rsidRDefault="005366A8" w:rsidP="005366A8">
      <w:pPr>
        <w:pStyle w:val="ruller40"/>
        <w:spacing w:after="60" w:line="240" w:lineRule="auto"/>
        <w:ind w:left="1440"/>
        <w:rPr>
          <w:rFonts w:ascii="Arial" w:hAnsi="Arial" w:cs="Arial"/>
          <w:b/>
          <w:bCs/>
          <w:sz w:val="20"/>
          <w:szCs w:val="20"/>
          <w:highlight w:val="yellow"/>
          <w:rtl/>
        </w:rPr>
      </w:pPr>
      <w:r w:rsidRPr="00475AB6">
        <w:rPr>
          <w:rFonts w:ascii="Arial" w:hAnsi="Arial" w:cs="Arial" w:hint="cs"/>
          <w:b/>
          <w:bCs/>
          <w:sz w:val="20"/>
          <w:szCs w:val="20"/>
          <w:highlight w:val="yellow"/>
          <w:rtl/>
        </w:rPr>
        <w:t>הזכות להיבחר</w:t>
      </w:r>
    </w:p>
    <w:p w:rsidR="005366A8" w:rsidRDefault="005366A8" w:rsidP="005366A8">
      <w:pPr>
        <w:pStyle w:val="ruller40"/>
        <w:spacing w:after="60" w:line="240" w:lineRule="auto"/>
        <w:ind w:left="2160"/>
        <w:rPr>
          <w:rFonts w:ascii="Arial" w:hAnsi="Arial" w:cs="Arial"/>
          <w:sz w:val="20"/>
          <w:szCs w:val="20"/>
          <w:highlight w:val="yellow"/>
          <w:rtl/>
        </w:rPr>
      </w:pPr>
      <w:r w:rsidRPr="00475AB6">
        <w:rPr>
          <w:rFonts w:ascii="Arial" w:hAnsi="Arial" w:cs="Arial" w:hint="cs"/>
          <w:b/>
          <w:bCs/>
          <w:sz w:val="20"/>
          <w:szCs w:val="20"/>
          <w:highlight w:val="yellow"/>
          <w:rtl/>
        </w:rPr>
        <w:t>והשוויון ביחס לזכויות הללו</w:t>
      </w:r>
    </w:p>
    <w:p w:rsidR="005366A8" w:rsidRDefault="005366A8" w:rsidP="005366A8">
      <w:pPr>
        <w:pStyle w:val="ruller40"/>
        <w:spacing w:after="60" w:line="240" w:lineRule="auto"/>
        <w:ind w:left="1440"/>
        <w:rPr>
          <w:rFonts w:ascii="Arial" w:hAnsi="Arial" w:cs="Arial"/>
          <w:sz w:val="20"/>
          <w:szCs w:val="20"/>
          <w:highlight w:val="yellow"/>
          <w:rtl/>
        </w:rPr>
      </w:pPr>
      <w:r>
        <w:rPr>
          <w:rFonts w:ascii="Arial" w:hAnsi="Arial" w:cs="Arial" w:hint="cs"/>
          <w:sz w:val="20"/>
          <w:szCs w:val="20"/>
          <w:highlight w:val="yellow"/>
          <w:rtl/>
        </w:rPr>
        <w:t>...</w:t>
      </w:r>
    </w:p>
    <w:p w:rsidR="005366A8" w:rsidRDefault="005366A8" w:rsidP="005366A8">
      <w:pPr>
        <w:pStyle w:val="ruller40"/>
        <w:spacing w:after="60" w:line="240" w:lineRule="auto"/>
        <w:ind w:left="720"/>
        <w:rPr>
          <w:rFonts w:ascii="Arial" w:hAnsi="Arial" w:cs="Arial"/>
          <w:sz w:val="20"/>
          <w:szCs w:val="20"/>
          <w:highlight w:val="yellow"/>
          <w:rtl/>
        </w:rPr>
      </w:pPr>
      <w:r>
        <w:rPr>
          <w:rFonts w:ascii="Arial" w:hAnsi="Arial" w:cs="Arial" w:hint="cs"/>
          <w:sz w:val="20"/>
          <w:szCs w:val="20"/>
          <w:highlight w:val="yellow"/>
          <w:rtl/>
        </w:rPr>
        <w:t>חוק יסוד: השפיטה</w:t>
      </w:r>
    </w:p>
    <w:p w:rsidR="005366A8" w:rsidRPr="00475AB6" w:rsidRDefault="005366A8" w:rsidP="005366A8">
      <w:pPr>
        <w:pStyle w:val="ruller40"/>
        <w:spacing w:after="60" w:line="240" w:lineRule="auto"/>
        <w:ind w:left="1440"/>
        <w:rPr>
          <w:rFonts w:ascii="Arial" w:hAnsi="Arial" w:cs="Arial"/>
          <w:b/>
          <w:bCs/>
          <w:sz w:val="20"/>
          <w:szCs w:val="20"/>
          <w:highlight w:val="yellow"/>
          <w:rtl/>
        </w:rPr>
      </w:pPr>
      <w:r w:rsidRPr="00475AB6">
        <w:rPr>
          <w:rFonts w:ascii="Arial" w:hAnsi="Arial" w:cs="Arial" w:hint="cs"/>
          <w:b/>
          <w:bCs/>
          <w:sz w:val="20"/>
          <w:szCs w:val="20"/>
          <w:highlight w:val="yellow"/>
          <w:rtl/>
        </w:rPr>
        <w:t>פומביות הדיון המשפטי</w:t>
      </w:r>
    </w:p>
    <w:p w:rsidR="005366A8" w:rsidRDefault="005366A8" w:rsidP="005366A8">
      <w:pPr>
        <w:pStyle w:val="ruller40"/>
        <w:spacing w:after="60" w:line="240" w:lineRule="auto"/>
        <w:ind w:left="1440"/>
        <w:rPr>
          <w:rFonts w:ascii="Arial" w:hAnsi="Arial" w:cs="Arial"/>
          <w:sz w:val="20"/>
          <w:szCs w:val="20"/>
          <w:highlight w:val="yellow"/>
          <w:rtl/>
        </w:rPr>
      </w:pPr>
      <w:r w:rsidRPr="00475AB6">
        <w:rPr>
          <w:rFonts w:ascii="Arial" w:hAnsi="Arial" w:cs="Arial" w:hint="cs"/>
          <w:b/>
          <w:bCs/>
          <w:sz w:val="20"/>
          <w:szCs w:val="20"/>
          <w:highlight w:val="yellow"/>
          <w:rtl/>
        </w:rPr>
        <w:t>נגישות להליך המשפטי</w:t>
      </w:r>
      <w:r>
        <w:rPr>
          <w:rFonts w:ascii="Arial" w:hAnsi="Arial" w:cs="Arial" w:hint="cs"/>
          <w:sz w:val="20"/>
          <w:szCs w:val="20"/>
          <w:highlight w:val="yellow"/>
          <w:rtl/>
        </w:rPr>
        <w:t xml:space="preserve"> </w:t>
      </w:r>
      <w:r>
        <w:rPr>
          <w:rFonts w:ascii="Arial" w:hAnsi="Arial" w:cs="Arial"/>
          <w:sz w:val="20"/>
          <w:szCs w:val="20"/>
          <w:highlight w:val="yellow"/>
          <w:rtl/>
        </w:rPr>
        <w:t>–</w:t>
      </w:r>
      <w:r>
        <w:rPr>
          <w:rFonts w:ascii="Arial" w:hAnsi="Arial" w:cs="Arial" w:hint="cs"/>
          <w:sz w:val="20"/>
          <w:szCs w:val="20"/>
          <w:highlight w:val="yellow"/>
          <w:rtl/>
        </w:rPr>
        <w:t xml:space="preserve"> היכולת לגונן על זכויות וסמכות הבקרה של בתי המשפט</w:t>
      </w:r>
    </w:p>
    <w:p w:rsidR="005366A8" w:rsidRDefault="005366A8" w:rsidP="005366A8">
      <w:pPr>
        <w:pStyle w:val="ruller40"/>
        <w:spacing w:after="60" w:line="240" w:lineRule="auto"/>
        <w:ind w:left="1440"/>
        <w:rPr>
          <w:rFonts w:ascii="Arial" w:hAnsi="Arial" w:cs="Arial"/>
          <w:sz w:val="20"/>
          <w:szCs w:val="20"/>
          <w:highlight w:val="yellow"/>
          <w:rtl/>
        </w:rPr>
      </w:pPr>
      <w:r>
        <w:rPr>
          <w:rFonts w:ascii="Arial" w:hAnsi="Arial" w:cs="Arial" w:hint="cs"/>
          <w:sz w:val="20"/>
          <w:szCs w:val="20"/>
          <w:highlight w:val="yellow"/>
          <w:rtl/>
        </w:rPr>
        <w:t>...</w:t>
      </w:r>
    </w:p>
    <w:p w:rsidR="005366A8" w:rsidRDefault="005366A8" w:rsidP="005366A8">
      <w:pPr>
        <w:pStyle w:val="ruller40"/>
        <w:spacing w:after="60" w:line="240" w:lineRule="auto"/>
        <w:ind w:left="720"/>
        <w:rPr>
          <w:rFonts w:ascii="Arial" w:hAnsi="Arial" w:cs="Arial"/>
          <w:sz w:val="20"/>
          <w:szCs w:val="20"/>
          <w:highlight w:val="yellow"/>
          <w:rtl/>
        </w:rPr>
      </w:pPr>
      <w:r>
        <w:rPr>
          <w:rFonts w:ascii="Arial" w:hAnsi="Arial" w:cs="Arial" w:hint="cs"/>
          <w:sz w:val="20"/>
          <w:szCs w:val="20"/>
          <w:highlight w:val="yellow"/>
          <w:rtl/>
        </w:rPr>
        <w:t>חוק יסוד: הממשלה</w:t>
      </w:r>
    </w:p>
    <w:p w:rsidR="005366A8" w:rsidRDefault="005366A8" w:rsidP="005366A8">
      <w:pPr>
        <w:pStyle w:val="ruller40"/>
        <w:spacing w:after="60" w:line="240" w:lineRule="auto"/>
        <w:ind w:left="1440"/>
        <w:rPr>
          <w:rFonts w:ascii="Arial" w:hAnsi="Arial" w:cs="Arial"/>
          <w:sz w:val="20"/>
          <w:szCs w:val="20"/>
          <w:highlight w:val="yellow"/>
          <w:rtl/>
        </w:rPr>
      </w:pPr>
      <w:r>
        <w:rPr>
          <w:rFonts w:ascii="Arial" w:hAnsi="Arial" w:cs="Arial" w:hint="cs"/>
          <w:sz w:val="20"/>
          <w:szCs w:val="20"/>
          <w:highlight w:val="yellow"/>
          <w:rtl/>
        </w:rPr>
        <w:t xml:space="preserve">למשל, בכל הנוגע לסמכויות לתחיקת חירום של הממשלה </w:t>
      </w:r>
      <w:r>
        <w:rPr>
          <w:rFonts w:ascii="Arial" w:hAnsi="Arial" w:cs="Arial"/>
          <w:sz w:val="20"/>
          <w:szCs w:val="20"/>
          <w:highlight w:val="yellow"/>
          <w:rtl/>
        </w:rPr>
        <w:t>–</w:t>
      </w:r>
      <w:r>
        <w:rPr>
          <w:rFonts w:ascii="Arial" w:hAnsi="Arial" w:cs="Arial" w:hint="cs"/>
          <w:sz w:val="20"/>
          <w:szCs w:val="20"/>
          <w:highlight w:val="yellow"/>
          <w:rtl/>
        </w:rPr>
        <w:t xml:space="preserve"> תקנות שעת-חירום </w:t>
      </w:r>
      <w:r>
        <w:rPr>
          <w:rFonts w:ascii="Arial" w:hAnsi="Arial" w:cs="Arial"/>
          <w:sz w:val="20"/>
          <w:szCs w:val="20"/>
          <w:highlight w:val="yellow"/>
          <w:rtl/>
        </w:rPr>
        <w:t>–</w:t>
      </w:r>
      <w:r>
        <w:rPr>
          <w:rFonts w:ascii="Arial" w:hAnsi="Arial" w:cs="Arial" w:hint="cs"/>
          <w:sz w:val="20"/>
          <w:szCs w:val="20"/>
          <w:highlight w:val="yellow"/>
          <w:rtl/>
        </w:rPr>
        <w:t xml:space="preserve"> והסייגים המלווים אותן</w:t>
      </w:r>
    </w:p>
    <w:p w:rsidR="005366A8" w:rsidRDefault="005366A8" w:rsidP="005366A8">
      <w:pPr>
        <w:pStyle w:val="ruller40"/>
        <w:spacing w:after="60" w:line="240" w:lineRule="auto"/>
        <w:ind w:left="1440"/>
        <w:rPr>
          <w:rFonts w:ascii="Arial" w:hAnsi="Arial" w:cs="Arial"/>
          <w:sz w:val="20"/>
          <w:szCs w:val="20"/>
          <w:highlight w:val="yellow"/>
          <w:rtl/>
        </w:rPr>
      </w:pPr>
      <w:r>
        <w:rPr>
          <w:rFonts w:ascii="Arial" w:hAnsi="Arial" w:cs="Arial" w:hint="cs"/>
          <w:sz w:val="20"/>
          <w:szCs w:val="20"/>
          <w:highlight w:val="yellow"/>
          <w:rtl/>
        </w:rPr>
        <w:t>...</w:t>
      </w:r>
    </w:p>
    <w:p w:rsidR="005366A8" w:rsidRDefault="005366A8" w:rsidP="005366A8">
      <w:pPr>
        <w:pStyle w:val="ruller40"/>
        <w:spacing w:after="60" w:line="240" w:lineRule="auto"/>
        <w:ind w:left="720"/>
        <w:rPr>
          <w:rFonts w:ascii="Arial" w:hAnsi="Arial" w:cs="Arial"/>
          <w:sz w:val="20"/>
          <w:szCs w:val="20"/>
          <w:highlight w:val="yellow"/>
          <w:rtl/>
        </w:rPr>
      </w:pPr>
      <w:r>
        <w:rPr>
          <w:rFonts w:ascii="Arial" w:hAnsi="Arial" w:cs="Arial" w:hint="cs"/>
          <w:sz w:val="20"/>
          <w:szCs w:val="20"/>
          <w:highlight w:val="yellow"/>
          <w:rtl/>
        </w:rPr>
        <w:t>חוק יסוד: נשיא המדינה</w:t>
      </w:r>
    </w:p>
    <w:p w:rsidR="005366A8" w:rsidRDefault="005366A8" w:rsidP="005366A8">
      <w:pPr>
        <w:pStyle w:val="ruller40"/>
        <w:spacing w:after="60" w:line="240" w:lineRule="auto"/>
        <w:ind w:left="720"/>
        <w:rPr>
          <w:rFonts w:ascii="Arial" w:hAnsi="Arial" w:cs="Arial"/>
          <w:sz w:val="20"/>
          <w:szCs w:val="20"/>
          <w:highlight w:val="yellow"/>
          <w:rtl/>
        </w:rPr>
      </w:pPr>
      <w:r>
        <w:rPr>
          <w:rFonts w:ascii="Arial" w:hAnsi="Arial" w:cs="Arial" w:hint="cs"/>
          <w:sz w:val="20"/>
          <w:szCs w:val="20"/>
          <w:highlight w:val="yellow"/>
          <w:rtl/>
        </w:rPr>
        <w:t>חוק יסוד: מבקר המדינה</w:t>
      </w:r>
    </w:p>
    <w:p w:rsidR="005366A8" w:rsidRDefault="005366A8" w:rsidP="005366A8">
      <w:pPr>
        <w:pStyle w:val="ruller40"/>
        <w:spacing w:after="60" w:line="240" w:lineRule="auto"/>
        <w:ind w:left="720"/>
        <w:rPr>
          <w:rFonts w:ascii="Arial" w:hAnsi="Arial" w:cs="Arial"/>
          <w:sz w:val="20"/>
          <w:szCs w:val="20"/>
          <w:highlight w:val="yellow"/>
          <w:rtl/>
        </w:rPr>
      </w:pPr>
      <w:r>
        <w:rPr>
          <w:rFonts w:ascii="Arial" w:hAnsi="Arial" w:cs="Arial" w:hint="cs"/>
          <w:sz w:val="20"/>
          <w:szCs w:val="20"/>
          <w:highlight w:val="yellow"/>
          <w:rtl/>
        </w:rPr>
        <w:t>...</w:t>
      </w:r>
    </w:p>
    <w:p w:rsidR="005366A8" w:rsidRDefault="005366A8" w:rsidP="005366A8">
      <w:pPr>
        <w:pStyle w:val="ruller40"/>
        <w:spacing w:after="60" w:line="240" w:lineRule="auto"/>
        <w:ind w:left="720"/>
        <w:rPr>
          <w:rFonts w:ascii="Arial" w:hAnsi="Arial" w:cs="Arial"/>
          <w:sz w:val="20"/>
          <w:szCs w:val="20"/>
          <w:highlight w:val="yellow"/>
          <w:rtl/>
        </w:rPr>
      </w:pPr>
      <w:r>
        <w:rPr>
          <w:rFonts w:ascii="Arial" w:hAnsi="Arial" w:cs="Arial" w:hint="cs"/>
          <w:sz w:val="20"/>
          <w:szCs w:val="20"/>
          <w:highlight w:val="yellow"/>
          <w:rtl/>
        </w:rPr>
        <w:t xml:space="preserve">חוק יסוד: </w:t>
      </w:r>
      <w:r w:rsidRPr="00475AB6">
        <w:rPr>
          <w:rFonts w:ascii="Arial" w:hAnsi="Arial" w:cs="Arial" w:hint="cs"/>
          <w:b/>
          <w:bCs/>
          <w:sz w:val="20"/>
          <w:szCs w:val="20"/>
          <w:highlight w:val="yellow"/>
          <w:rtl/>
        </w:rPr>
        <w:t>כבוד האדם וחירותו</w:t>
      </w:r>
    </w:p>
    <w:p w:rsidR="005366A8" w:rsidRDefault="005366A8" w:rsidP="005366A8">
      <w:pPr>
        <w:pStyle w:val="ruller40"/>
        <w:spacing w:after="60" w:line="240" w:lineRule="auto"/>
        <w:ind w:left="720"/>
        <w:rPr>
          <w:rFonts w:ascii="Arial" w:hAnsi="Arial" w:cs="Arial"/>
          <w:sz w:val="20"/>
          <w:szCs w:val="20"/>
          <w:highlight w:val="yellow"/>
          <w:rtl/>
        </w:rPr>
      </w:pPr>
      <w:r>
        <w:rPr>
          <w:rFonts w:ascii="Arial" w:hAnsi="Arial" w:cs="Arial" w:hint="cs"/>
          <w:sz w:val="20"/>
          <w:szCs w:val="20"/>
          <w:highlight w:val="yellow"/>
          <w:rtl/>
        </w:rPr>
        <w:t xml:space="preserve">חוק יסוד: </w:t>
      </w:r>
      <w:r w:rsidRPr="00475AB6">
        <w:rPr>
          <w:rFonts w:ascii="Arial" w:hAnsi="Arial" w:cs="Arial" w:hint="cs"/>
          <w:b/>
          <w:bCs/>
          <w:sz w:val="20"/>
          <w:szCs w:val="20"/>
          <w:highlight w:val="yellow"/>
          <w:rtl/>
        </w:rPr>
        <w:t>חופש העיסוק</w:t>
      </w:r>
    </w:p>
    <w:p w:rsidR="005366A8" w:rsidRDefault="005366A8" w:rsidP="005366A8">
      <w:pPr>
        <w:pStyle w:val="ruller40"/>
        <w:spacing w:line="240" w:lineRule="auto"/>
        <w:rPr>
          <w:rFonts w:ascii="Arial" w:hAnsi="Arial" w:cs="Arial"/>
          <w:sz w:val="20"/>
          <w:szCs w:val="20"/>
          <w:highlight w:val="yellow"/>
          <w:rtl/>
        </w:rPr>
      </w:pPr>
    </w:p>
    <w:p w:rsidR="005366A8" w:rsidRDefault="005366A8" w:rsidP="005366A8">
      <w:pPr>
        <w:spacing w:after="120"/>
        <w:jc w:val="center"/>
        <w:rPr>
          <w:rFonts w:cs="Arial"/>
          <w:b/>
          <w:bCs/>
          <w:u w:val="single"/>
          <w:rtl/>
        </w:rPr>
      </w:pPr>
      <w:r w:rsidRPr="004F5D7B">
        <w:rPr>
          <w:rFonts w:cs="Arial"/>
          <w:b/>
          <w:bCs/>
          <w:highlight w:val="yellow"/>
          <w:u w:val="single"/>
          <w:rtl/>
        </w:rPr>
        <w:t>מרכיבי פסקת ההגבלה</w:t>
      </w:r>
    </w:p>
    <w:p w:rsidR="005366A8" w:rsidRPr="00C96151" w:rsidRDefault="005366A8" w:rsidP="005366A8">
      <w:pPr>
        <w:spacing w:after="60"/>
        <w:ind w:left="720"/>
        <w:rPr>
          <w:rFonts w:cs="Arial"/>
          <w:sz w:val="22"/>
          <w:szCs w:val="22"/>
          <w:u w:val="single"/>
          <w:rtl/>
        </w:rPr>
      </w:pPr>
      <w:r w:rsidRPr="00C96151">
        <w:rPr>
          <w:rFonts w:cs="Arial" w:hint="cs"/>
          <w:b/>
          <w:bCs/>
          <w:sz w:val="22"/>
          <w:szCs w:val="22"/>
          <w:u w:val="single"/>
          <w:rtl/>
        </w:rPr>
        <w:t>"אין פוגעים</w:t>
      </w:r>
      <w:r w:rsidRPr="00C96151">
        <w:rPr>
          <w:rFonts w:cs="David"/>
          <w:b/>
          <w:bCs/>
          <w:sz w:val="20"/>
          <w:szCs w:val="20"/>
          <w:u w:val="single"/>
          <w:rtl/>
        </w:rPr>
        <w:t xml:space="preserve"> </w:t>
      </w:r>
      <w:r w:rsidRPr="00C96151">
        <w:rPr>
          <w:rFonts w:cs="Arial"/>
          <w:b/>
          <w:bCs/>
          <w:sz w:val="22"/>
          <w:szCs w:val="22"/>
          <w:u w:val="single"/>
          <w:rtl/>
        </w:rPr>
        <w:t>בזכויות שלפי חוק-יסוד זה</w:t>
      </w:r>
      <w:r w:rsidRPr="00C96151">
        <w:rPr>
          <w:rFonts w:cs="Arial" w:hint="cs"/>
          <w:b/>
          <w:bCs/>
          <w:sz w:val="22"/>
          <w:szCs w:val="22"/>
          <w:u w:val="single"/>
          <w:rtl/>
        </w:rPr>
        <w:t>"</w:t>
      </w:r>
    </w:p>
    <w:p w:rsidR="005366A8" w:rsidRPr="00342995" w:rsidRDefault="005366A8" w:rsidP="005366A8">
      <w:pPr>
        <w:spacing w:after="60"/>
        <w:ind w:left="1440"/>
        <w:rPr>
          <w:rFonts w:cs="Arial"/>
          <w:sz w:val="22"/>
          <w:szCs w:val="22"/>
          <w:rtl/>
        </w:rPr>
      </w:pPr>
      <w:r w:rsidRPr="00342995">
        <w:rPr>
          <w:rFonts w:cs="Arial"/>
          <w:sz w:val="22"/>
          <w:szCs w:val="22"/>
          <w:rtl/>
        </w:rPr>
        <w:t xml:space="preserve">א. </w:t>
      </w:r>
      <w:r w:rsidRPr="00342995">
        <w:rPr>
          <w:rFonts w:cs="Arial" w:hint="cs"/>
          <w:b/>
          <w:bCs/>
          <w:sz w:val="22"/>
          <w:szCs w:val="22"/>
          <w:rtl/>
        </w:rPr>
        <w:t>"</w:t>
      </w:r>
      <w:r w:rsidRPr="00CB740D">
        <w:rPr>
          <w:rFonts w:cs="Arial" w:hint="cs"/>
          <w:b/>
          <w:bCs/>
          <w:sz w:val="22"/>
          <w:szCs w:val="22"/>
          <w:u w:val="single"/>
          <w:rtl/>
        </w:rPr>
        <w:t>אלא בחוק או מכוח הסמכה מפורשת בחוק</w:t>
      </w:r>
      <w:r w:rsidRPr="00342995">
        <w:rPr>
          <w:rFonts w:cs="Arial" w:hint="cs"/>
          <w:b/>
          <w:bCs/>
          <w:sz w:val="22"/>
          <w:szCs w:val="22"/>
          <w:rtl/>
        </w:rPr>
        <w:t>"</w:t>
      </w:r>
      <w:r w:rsidRPr="00342995">
        <w:rPr>
          <w:rFonts w:cs="Arial"/>
          <w:b/>
          <w:bCs/>
          <w:sz w:val="22"/>
          <w:szCs w:val="22"/>
          <w:rtl/>
        </w:rPr>
        <w:t xml:space="preserve"> </w:t>
      </w:r>
    </w:p>
    <w:p w:rsidR="005366A8" w:rsidRPr="00342995" w:rsidRDefault="005366A8" w:rsidP="005366A8">
      <w:pPr>
        <w:spacing w:after="60"/>
        <w:ind w:left="1440"/>
        <w:rPr>
          <w:rFonts w:cs="Arial"/>
          <w:sz w:val="22"/>
          <w:szCs w:val="22"/>
          <w:rtl/>
        </w:rPr>
      </w:pPr>
      <w:r w:rsidRPr="00342995">
        <w:rPr>
          <w:rFonts w:cs="Arial"/>
          <w:sz w:val="22"/>
          <w:szCs w:val="22"/>
          <w:rtl/>
        </w:rPr>
        <w:t xml:space="preserve">ב. </w:t>
      </w:r>
      <w:r>
        <w:rPr>
          <w:rFonts w:cs="Arial" w:hint="cs"/>
          <w:sz w:val="22"/>
          <w:szCs w:val="22"/>
          <w:rtl/>
        </w:rPr>
        <w:t>(</w:t>
      </w:r>
      <w:r w:rsidRPr="00342995">
        <w:rPr>
          <w:rFonts w:cs="Arial"/>
          <w:sz w:val="22"/>
          <w:szCs w:val="22"/>
          <w:rtl/>
        </w:rPr>
        <w:t>חוק</w:t>
      </w:r>
      <w:r>
        <w:rPr>
          <w:rFonts w:cs="Arial" w:hint="cs"/>
          <w:sz w:val="22"/>
          <w:szCs w:val="22"/>
          <w:rtl/>
        </w:rPr>
        <w:t>)</w:t>
      </w:r>
      <w:r w:rsidRPr="00342995">
        <w:rPr>
          <w:rFonts w:cs="Arial"/>
          <w:sz w:val="22"/>
          <w:szCs w:val="22"/>
          <w:rtl/>
        </w:rPr>
        <w:t xml:space="preserve"> </w:t>
      </w:r>
      <w:r w:rsidRPr="00342995">
        <w:rPr>
          <w:rFonts w:cs="Arial" w:hint="cs"/>
          <w:sz w:val="22"/>
          <w:szCs w:val="22"/>
          <w:rtl/>
        </w:rPr>
        <w:t>"</w:t>
      </w:r>
      <w:r w:rsidRPr="00CB740D">
        <w:rPr>
          <w:rFonts w:cs="Arial"/>
          <w:sz w:val="22"/>
          <w:szCs w:val="22"/>
          <w:u w:val="single"/>
          <w:rtl/>
        </w:rPr>
        <w:t xml:space="preserve">ההולם את </w:t>
      </w:r>
      <w:r w:rsidRPr="00CB740D">
        <w:rPr>
          <w:rFonts w:cs="Arial"/>
          <w:b/>
          <w:bCs/>
          <w:sz w:val="22"/>
          <w:szCs w:val="22"/>
          <w:u w:val="single"/>
          <w:rtl/>
        </w:rPr>
        <w:t>ערכיה של מדינת ישראל</w:t>
      </w:r>
      <w:r w:rsidRPr="00342995">
        <w:rPr>
          <w:rFonts w:cs="Arial"/>
          <w:sz w:val="22"/>
          <w:szCs w:val="22"/>
          <w:rtl/>
        </w:rPr>
        <w:t>"</w:t>
      </w:r>
    </w:p>
    <w:p w:rsidR="005366A8" w:rsidRPr="00342995" w:rsidRDefault="005366A8" w:rsidP="005366A8">
      <w:pPr>
        <w:spacing w:after="60"/>
        <w:ind w:left="1440"/>
        <w:rPr>
          <w:rFonts w:cs="Arial"/>
          <w:sz w:val="22"/>
          <w:szCs w:val="22"/>
          <w:rtl/>
        </w:rPr>
      </w:pPr>
      <w:r w:rsidRPr="00342995">
        <w:rPr>
          <w:rFonts w:cs="Arial"/>
          <w:sz w:val="22"/>
          <w:szCs w:val="22"/>
          <w:rtl/>
        </w:rPr>
        <w:t>ג. "</w:t>
      </w:r>
      <w:r w:rsidRPr="00CB740D">
        <w:rPr>
          <w:rFonts w:cs="Arial"/>
          <w:sz w:val="22"/>
          <w:szCs w:val="22"/>
          <w:u w:val="single"/>
          <w:rtl/>
        </w:rPr>
        <w:t>שנועד ל</w:t>
      </w:r>
      <w:r w:rsidRPr="00CB740D">
        <w:rPr>
          <w:rFonts w:cs="Arial"/>
          <w:b/>
          <w:bCs/>
          <w:sz w:val="22"/>
          <w:szCs w:val="22"/>
          <w:u w:val="single"/>
          <w:rtl/>
        </w:rPr>
        <w:t>תכלית ראויה</w:t>
      </w:r>
      <w:r w:rsidRPr="00342995">
        <w:rPr>
          <w:rFonts w:cs="Arial"/>
          <w:sz w:val="22"/>
          <w:szCs w:val="22"/>
          <w:rtl/>
        </w:rPr>
        <w:t>"</w:t>
      </w:r>
    </w:p>
    <w:p w:rsidR="005366A8" w:rsidRPr="00342995" w:rsidRDefault="005366A8" w:rsidP="005366A8">
      <w:pPr>
        <w:spacing w:after="60"/>
        <w:ind w:left="1440"/>
        <w:rPr>
          <w:rFonts w:cs="Arial"/>
          <w:sz w:val="22"/>
          <w:szCs w:val="22"/>
          <w:rtl/>
        </w:rPr>
      </w:pPr>
      <w:r w:rsidRPr="00342995">
        <w:rPr>
          <w:rFonts w:cs="Arial"/>
          <w:sz w:val="22"/>
          <w:szCs w:val="22"/>
          <w:rtl/>
        </w:rPr>
        <w:t xml:space="preserve">ד. </w:t>
      </w:r>
      <w:r w:rsidRPr="00342995">
        <w:rPr>
          <w:rFonts w:cs="Arial"/>
          <w:b/>
          <w:bCs/>
          <w:sz w:val="22"/>
          <w:szCs w:val="22"/>
          <w:rtl/>
        </w:rPr>
        <w:t>"</w:t>
      </w:r>
      <w:r w:rsidRPr="00CB740D">
        <w:rPr>
          <w:rFonts w:cs="Arial"/>
          <w:b/>
          <w:bCs/>
          <w:sz w:val="22"/>
          <w:szCs w:val="22"/>
          <w:u w:val="single"/>
          <w:rtl/>
        </w:rPr>
        <w:t>ובמידה שאינה עולה על הנדרש</w:t>
      </w:r>
      <w:r w:rsidRPr="00342995">
        <w:rPr>
          <w:rFonts w:cs="Arial"/>
          <w:b/>
          <w:bCs/>
          <w:sz w:val="22"/>
          <w:szCs w:val="22"/>
          <w:rtl/>
        </w:rPr>
        <w:t xml:space="preserve">" </w:t>
      </w:r>
      <w:r w:rsidRPr="00342995">
        <w:rPr>
          <w:sz w:val="22"/>
          <w:szCs w:val="22"/>
          <w:rtl/>
        </w:rPr>
        <w:t>–</w:t>
      </w:r>
      <w:r w:rsidRPr="00342995">
        <w:rPr>
          <w:rFonts w:hint="cs"/>
          <w:sz w:val="22"/>
          <w:szCs w:val="22"/>
          <w:rtl/>
        </w:rPr>
        <w:t xml:space="preserve"> </w:t>
      </w:r>
      <w:r w:rsidRPr="004F5D7B">
        <w:rPr>
          <w:rFonts w:ascii="Arial" w:hAnsi="Arial" w:cs="Arial"/>
          <w:sz w:val="22"/>
          <w:szCs w:val="22"/>
          <w:rtl/>
        </w:rPr>
        <w:t>זו</w:t>
      </w:r>
      <w:r>
        <w:rPr>
          <w:rFonts w:hint="cs"/>
          <w:sz w:val="22"/>
          <w:szCs w:val="22"/>
          <w:rtl/>
        </w:rPr>
        <w:t xml:space="preserve"> </w:t>
      </w:r>
      <w:r w:rsidRPr="00342995">
        <w:rPr>
          <w:rFonts w:cs="Arial"/>
          <w:sz w:val="22"/>
          <w:szCs w:val="22"/>
          <w:rtl/>
        </w:rPr>
        <w:t xml:space="preserve">דרישת המידתיות </w:t>
      </w:r>
    </w:p>
    <w:p w:rsidR="005366A8" w:rsidRPr="00342995" w:rsidRDefault="005366A8" w:rsidP="005366A8">
      <w:pPr>
        <w:spacing w:after="60"/>
        <w:ind w:left="2160"/>
        <w:rPr>
          <w:rFonts w:cs="Arial"/>
          <w:sz w:val="22"/>
          <w:szCs w:val="22"/>
          <w:rtl/>
        </w:rPr>
      </w:pPr>
      <w:r w:rsidRPr="00342995">
        <w:rPr>
          <w:rFonts w:cs="Arial"/>
          <w:b/>
          <w:bCs/>
          <w:i/>
          <w:iCs/>
          <w:sz w:val="22"/>
          <w:szCs w:val="22"/>
          <w:rtl/>
        </w:rPr>
        <w:t>1. דרישת הרציונליות</w:t>
      </w:r>
      <w:r w:rsidRPr="00342995">
        <w:rPr>
          <w:rFonts w:cs="Arial" w:hint="cs"/>
          <w:sz w:val="22"/>
          <w:szCs w:val="22"/>
          <w:rtl/>
        </w:rPr>
        <w:t>.</w:t>
      </w:r>
      <w:r w:rsidRPr="00342995">
        <w:rPr>
          <w:rFonts w:cs="Arial"/>
          <w:sz w:val="22"/>
          <w:szCs w:val="22"/>
          <w:rtl/>
        </w:rPr>
        <w:t xml:space="preserve"> האמצעי </w:t>
      </w:r>
      <w:r>
        <w:rPr>
          <w:rFonts w:cs="Arial" w:hint="cs"/>
          <w:sz w:val="22"/>
          <w:szCs w:val="22"/>
          <w:rtl/>
        </w:rPr>
        <w:t xml:space="preserve">שנבחר בחוק </w:t>
      </w:r>
      <w:r w:rsidRPr="00342995">
        <w:rPr>
          <w:rFonts w:cs="Arial"/>
          <w:sz w:val="22"/>
          <w:szCs w:val="22"/>
          <w:rtl/>
        </w:rPr>
        <w:t>אכן משרת את ה</w:t>
      </w:r>
      <w:r>
        <w:rPr>
          <w:rFonts w:cs="Arial" w:hint="cs"/>
          <w:sz w:val="22"/>
          <w:szCs w:val="22"/>
          <w:rtl/>
        </w:rPr>
        <w:t>תכלית המיועדת</w:t>
      </w:r>
      <w:r w:rsidRPr="00342995">
        <w:rPr>
          <w:rFonts w:cs="Arial" w:hint="cs"/>
          <w:sz w:val="22"/>
          <w:szCs w:val="22"/>
          <w:rtl/>
        </w:rPr>
        <w:t xml:space="preserve"> </w:t>
      </w:r>
      <w:r w:rsidRPr="00342995">
        <w:rPr>
          <w:rFonts w:cs="Arial"/>
          <w:sz w:val="22"/>
          <w:szCs w:val="22"/>
          <w:rtl/>
        </w:rPr>
        <w:t>–</w:t>
      </w:r>
      <w:r w:rsidRPr="00342995">
        <w:rPr>
          <w:rFonts w:cs="Arial" w:hint="cs"/>
          <w:sz w:val="22"/>
          <w:szCs w:val="22"/>
          <w:rtl/>
        </w:rPr>
        <w:t xml:space="preserve"> "מבחן ההתאמה"</w:t>
      </w:r>
    </w:p>
    <w:p w:rsidR="005366A8" w:rsidRPr="00342995" w:rsidRDefault="005366A8" w:rsidP="005366A8">
      <w:pPr>
        <w:spacing w:after="60"/>
        <w:ind w:left="2160"/>
        <w:rPr>
          <w:rFonts w:cs="Arial"/>
          <w:sz w:val="22"/>
          <w:szCs w:val="22"/>
          <w:rtl/>
        </w:rPr>
      </w:pPr>
      <w:r w:rsidRPr="00342995">
        <w:rPr>
          <w:rFonts w:cs="Arial"/>
          <w:b/>
          <w:bCs/>
          <w:i/>
          <w:iCs/>
          <w:sz w:val="22"/>
          <w:szCs w:val="22"/>
          <w:rtl/>
        </w:rPr>
        <w:t>2. דרישת האמצעי הדרסטי פחות.</w:t>
      </w:r>
      <w:r w:rsidRPr="00342995">
        <w:rPr>
          <w:rFonts w:cs="Arial"/>
          <w:sz w:val="22"/>
          <w:szCs w:val="22"/>
          <w:rtl/>
        </w:rPr>
        <w:t xml:space="preserve"> </w:t>
      </w:r>
      <w:r>
        <w:rPr>
          <w:rFonts w:cs="Arial" w:hint="cs"/>
          <w:sz w:val="22"/>
          <w:szCs w:val="22"/>
          <w:rtl/>
        </w:rPr>
        <w:t>האי</w:t>
      </w:r>
      <w:r w:rsidRPr="00342995">
        <w:rPr>
          <w:rFonts w:cs="Arial" w:hint="cs"/>
          <w:sz w:val="22"/>
          <w:szCs w:val="22"/>
          <w:rtl/>
        </w:rPr>
        <w:t xml:space="preserve">ן </w:t>
      </w:r>
      <w:r>
        <w:rPr>
          <w:rFonts w:cs="Arial"/>
          <w:sz w:val="22"/>
          <w:szCs w:val="22"/>
          <w:rtl/>
        </w:rPr>
        <w:t xml:space="preserve">"אמצעי חלופי </w:t>
      </w:r>
      <w:r w:rsidRPr="00342995">
        <w:rPr>
          <w:rFonts w:cs="Arial"/>
          <w:sz w:val="22"/>
          <w:szCs w:val="22"/>
          <w:rtl/>
        </w:rPr>
        <w:t>פחות בחומרתו"</w:t>
      </w:r>
      <w:r>
        <w:rPr>
          <w:rFonts w:cs="Arial" w:hint="cs"/>
          <w:sz w:val="22"/>
          <w:szCs w:val="22"/>
          <w:rtl/>
        </w:rPr>
        <w:t xml:space="preserve"> להשגת התכלית?</w:t>
      </w:r>
    </w:p>
    <w:p w:rsidR="005366A8" w:rsidRDefault="005366A8" w:rsidP="005366A8">
      <w:pPr>
        <w:ind w:left="2107"/>
        <w:jc w:val="center"/>
        <w:rPr>
          <w:rFonts w:ascii="Arial" w:hAnsi="Arial" w:cs="Arial"/>
          <w:b/>
          <w:bCs/>
          <w:sz w:val="22"/>
          <w:szCs w:val="22"/>
          <w:highlight w:val="yellow"/>
          <w:u w:val="single"/>
          <w:rtl/>
        </w:rPr>
      </w:pPr>
      <w:r w:rsidRPr="00342995">
        <w:rPr>
          <w:rFonts w:cs="Arial"/>
          <w:b/>
          <w:bCs/>
          <w:i/>
          <w:iCs/>
          <w:sz w:val="22"/>
          <w:szCs w:val="22"/>
          <w:rtl/>
        </w:rPr>
        <w:t>3. מבחן ה</w:t>
      </w:r>
      <w:r>
        <w:rPr>
          <w:rFonts w:cs="Arial" w:hint="cs"/>
          <w:b/>
          <w:bCs/>
          <w:i/>
          <w:iCs/>
          <w:sz w:val="22"/>
          <w:szCs w:val="22"/>
          <w:rtl/>
        </w:rPr>
        <w:t>יחסיוּת (הפרופורציונליות)</w:t>
      </w:r>
      <w:r w:rsidRPr="00342995">
        <w:rPr>
          <w:rFonts w:cs="Arial"/>
          <w:sz w:val="22"/>
          <w:szCs w:val="22"/>
          <w:rtl/>
        </w:rPr>
        <w:t xml:space="preserve">. </w:t>
      </w:r>
      <w:r w:rsidRPr="00342995">
        <w:rPr>
          <w:rFonts w:cs="Arial" w:hint="cs"/>
          <w:sz w:val="22"/>
          <w:szCs w:val="22"/>
          <w:rtl/>
        </w:rPr>
        <w:t xml:space="preserve">מבחן "המידתיות במובן הצר": </w:t>
      </w:r>
      <w:r w:rsidRPr="004F1E33">
        <w:rPr>
          <w:rFonts w:cs="Arial"/>
          <w:sz w:val="20"/>
          <w:szCs w:val="20"/>
          <w:rtl/>
        </w:rPr>
        <w:t xml:space="preserve">האם </w:t>
      </w:r>
      <w:r w:rsidRPr="004F1E33">
        <w:rPr>
          <w:rFonts w:cs="Arial" w:hint="eastAsia"/>
          <w:sz w:val="20"/>
          <w:szCs w:val="20"/>
          <w:rtl/>
        </w:rPr>
        <w:t>קיים</w:t>
      </w:r>
      <w:r w:rsidRPr="004F1E33">
        <w:rPr>
          <w:rFonts w:cs="Arial"/>
          <w:sz w:val="20"/>
          <w:szCs w:val="20"/>
          <w:rtl/>
        </w:rPr>
        <w:t xml:space="preserve"> יחס נאות</w:t>
      </w:r>
      <w:r w:rsidRPr="004F1E33">
        <w:rPr>
          <w:rFonts w:cs="Arial" w:hint="cs"/>
          <w:sz w:val="20"/>
          <w:szCs w:val="20"/>
          <w:rtl/>
        </w:rPr>
        <w:t>, איזון סביר,</w:t>
      </w:r>
      <w:r w:rsidRPr="004F1E33">
        <w:rPr>
          <w:rFonts w:cs="Arial"/>
          <w:sz w:val="20"/>
          <w:szCs w:val="20"/>
          <w:rtl/>
        </w:rPr>
        <w:t xml:space="preserve"> בין מידת התועלת הצפויה לצמוח לציבור מהפעלתו של האמצעי החקיקתי לבין </w:t>
      </w:r>
      <w:r w:rsidRPr="004F1E33">
        <w:rPr>
          <w:rFonts w:cs="Arial" w:hint="eastAsia"/>
          <w:sz w:val="20"/>
          <w:szCs w:val="20"/>
          <w:rtl/>
        </w:rPr>
        <w:t>מידת</w:t>
      </w:r>
      <w:r w:rsidRPr="004F1E33">
        <w:rPr>
          <w:rFonts w:cs="Arial"/>
          <w:sz w:val="20"/>
          <w:szCs w:val="20"/>
          <w:rtl/>
        </w:rPr>
        <w:t xml:space="preserve"> הנזק הנגרמת בעטיו </w:t>
      </w:r>
      <w:r w:rsidRPr="004F1E33">
        <w:rPr>
          <w:rFonts w:cs="Arial" w:hint="cs"/>
          <w:sz w:val="20"/>
          <w:szCs w:val="20"/>
          <w:rtl/>
        </w:rPr>
        <w:t>לזכות המוגנת</w:t>
      </w:r>
      <w:r>
        <w:rPr>
          <w:rFonts w:cs="Arial" w:hint="cs"/>
          <w:sz w:val="20"/>
          <w:szCs w:val="20"/>
          <w:rtl/>
        </w:rPr>
        <w:t>?</w:t>
      </w:r>
    </w:p>
    <w:p w:rsidR="005366A8" w:rsidRDefault="005366A8" w:rsidP="005366A8">
      <w:pPr>
        <w:rPr>
          <w:sz w:val="22"/>
          <w:szCs w:val="22"/>
          <w:rtl/>
        </w:rPr>
      </w:pPr>
    </w:p>
    <w:p w:rsidR="005366A8" w:rsidRDefault="005366A8" w:rsidP="005366A8">
      <w:pPr>
        <w:spacing w:after="120"/>
        <w:rPr>
          <w:sz w:val="22"/>
          <w:szCs w:val="22"/>
          <w:rtl/>
        </w:rPr>
      </w:pPr>
      <w:r w:rsidRPr="005736C0">
        <w:rPr>
          <w:rFonts w:hint="cs"/>
          <w:b/>
          <w:bCs/>
          <w:sz w:val="22"/>
          <w:szCs w:val="22"/>
          <w:highlight w:val="yellow"/>
          <w:u w:val="single"/>
          <w:rtl/>
        </w:rPr>
        <w:t>"אין פוגעים"</w:t>
      </w:r>
      <w:r>
        <w:rPr>
          <w:rFonts w:hint="cs"/>
          <w:sz w:val="22"/>
          <w:szCs w:val="22"/>
          <w:rtl/>
        </w:rPr>
        <w:t xml:space="preserve"> </w:t>
      </w:r>
      <w:r>
        <w:rPr>
          <w:sz w:val="22"/>
          <w:szCs w:val="22"/>
          <w:rtl/>
        </w:rPr>
        <w:t>–</w:t>
      </w:r>
      <w:r>
        <w:rPr>
          <w:rFonts w:hint="cs"/>
          <w:sz w:val="22"/>
          <w:szCs w:val="22"/>
          <w:rtl/>
        </w:rPr>
        <w:t xml:space="preserve"> האם במקרה הנבחן/ בדין הנבחן מדובר </w:t>
      </w:r>
      <w:r w:rsidRPr="00F62369">
        <w:rPr>
          <w:rFonts w:hint="cs"/>
          <w:b/>
          <w:bCs/>
          <w:sz w:val="22"/>
          <w:szCs w:val="22"/>
          <w:rtl/>
        </w:rPr>
        <w:t>"בפגיעה"</w:t>
      </w:r>
      <w:r>
        <w:rPr>
          <w:rFonts w:hint="cs"/>
          <w:sz w:val="22"/>
          <w:szCs w:val="22"/>
          <w:rtl/>
        </w:rPr>
        <w:t xml:space="preserve"> בזכות? </w:t>
      </w:r>
    </w:p>
    <w:p w:rsidR="005366A8" w:rsidRDefault="005366A8" w:rsidP="005366A8">
      <w:pPr>
        <w:rPr>
          <w:sz w:val="22"/>
          <w:szCs w:val="22"/>
          <w:rtl/>
        </w:rPr>
      </w:pPr>
      <w:r w:rsidRPr="005736C0">
        <w:rPr>
          <w:rFonts w:hint="cs"/>
          <w:b/>
          <w:bCs/>
          <w:sz w:val="22"/>
          <w:szCs w:val="22"/>
          <w:highlight w:val="yellow"/>
          <w:u w:val="single"/>
          <w:rtl/>
        </w:rPr>
        <w:t>"בזכויות שלפי חוק יסוד זה"</w:t>
      </w:r>
      <w:r w:rsidRPr="00E2756F">
        <w:rPr>
          <w:rFonts w:hint="cs"/>
          <w:b/>
          <w:bCs/>
          <w:sz w:val="22"/>
          <w:szCs w:val="22"/>
          <w:rtl/>
        </w:rPr>
        <w:t xml:space="preserve"> </w:t>
      </w:r>
      <w:r>
        <w:rPr>
          <w:sz w:val="22"/>
          <w:szCs w:val="22"/>
          <w:rtl/>
        </w:rPr>
        <w:t>–</w:t>
      </w:r>
      <w:r>
        <w:rPr>
          <w:rFonts w:hint="cs"/>
          <w:sz w:val="22"/>
          <w:szCs w:val="22"/>
          <w:rtl/>
        </w:rPr>
        <w:t xml:space="preserve"> זכויות שזכו לעיגון מפורש, וזכויות שזכו להגנה מכוח פרשנות של זכויות אחרות. </w:t>
      </w:r>
    </w:p>
    <w:p w:rsidR="005366A8" w:rsidRDefault="005366A8" w:rsidP="005366A8">
      <w:pPr>
        <w:ind w:left="720"/>
        <w:rPr>
          <w:sz w:val="22"/>
          <w:szCs w:val="22"/>
          <w:rtl/>
        </w:rPr>
      </w:pPr>
      <w:r>
        <w:rPr>
          <w:rFonts w:hint="cs"/>
          <w:sz w:val="22"/>
          <w:szCs w:val="22"/>
          <w:rtl/>
        </w:rPr>
        <w:t xml:space="preserve">ההכרעות של השנים האחרונות. מתן מעמד חוקתי-על-חוקי לחלק חשוב מזכויות היסוד שאינן נזכרות במפורש בחוקי היסוד: </w:t>
      </w:r>
    </w:p>
    <w:p w:rsidR="005366A8" w:rsidRDefault="005366A8" w:rsidP="005366A8">
      <w:pPr>
        <w:ind w:left="720"/>
        <w:rPr>
          <w:sz w:val="22"/>
          <w:szCs w:val="22"/>
          <w:rtl/>
        </w:rPr>
      </w:pPr>
      <w:r w:rsidRPr="00697F05">
        <w:rPr>
          <w:rFonts w:hint="cs"/>
          <w:b/>
          <w:bCs/>
          <w:sz w:val="22"/>
          <w:szCs w:val="22"/>
          <w:highlight w:val="yellow"/>
          <w:rtl/>
        </w:rPr>
        <w:t>"</w:t>
      </w:r>
      <w:r>
        <w:rPr>
          <w:rFonts w:hint="cs"/>
          <w:b/>
          <w:bCs/>
          <w:sz w:val="22"/>
          <w:szCs w:val="22"/>
          <w:highlight w:val="yellow"/>
          <w:rtl/>
        </w:rPr>
        <w:t>ה</w:t>
      </w:r>
      <w:r w:rsidRPr="00697F05">
        <w:rPr>
          <w:rFonts w:hint="cs"/>
          <w:b/>
          <w:bCs/>
          <w:sz w:val="22"/>
          <w:szCs w:val="22"/>
          <w:highlight w:val="yellow"/>
          <w:rtl/>
        </w:rPr>
        <w:t>זכות לשוויון"</w:t>
      </w:r>
      <w:r>
        <w:rPr>
          <w:rFonts w:hint="cs"/>
          <w:sz w:val="22"/>
          <w:szCs w:val="22"/>
          <w:rtl/>
        </w:rPr>
        <w:t xml:space="preserve"> (הקשרים מסוימים שלה) </w:t>
      </w:r>
      <w:r>
        <w:rPr>
          <w:sz w:val="22"/>
          <w:szCs w:val="22"/>
          <w:rtl/>
        </w:rPr>
        <w:t>–</w:t>
      </w:r>
      <w:r>
        <w:rPr>
          <w:rFonts w:hint="cs"/>
          <w:sz w:val="22"/>
          <w:szCs w:val="22"/>
          <w:rtl/>
        </w:rPr>
        <w:t xml:space="preserve"> פס"ד </w:t>
      </w:r>
      <w:r w:rsidRPr="008B6E13">
        <w:rPr>
          <w:rFonts w:hint="cs"/>
          <w:i/>
          <w:iCs/>
          <w:sz w:val="22"/>
          <w:szCs w:val="22"/>
          <w:rtl/>
        </w:rPr>
        <w:t>חוק טל</w:t>
      </w:r>
      <w:r>
        <w:rPr>
          <w:rFonts w:hint="cs"/>
          <w:sz w:val="22"/>
          <w:szCs w:val="22"/>
          <w:rtl/>
        </w:rPr>
        <w:t xml:space="preserve">; פס"ד </w:t>
      </w:r>
      <w:r w:rsidRPr="008B6E13">
        <w:rPr>
          <w:rFonts w:hint="cs"/>
          <w:i/>
          <w:iCs/>
          <w:sz w:val="22"/>
          <w:szCs w:val="22"/>
          <w:rtl/>
        </w:rPr>
        <w:t>חוק האזרחות והכניסה לישראל</w:t>
      </w:r>
      <w:r>
        <w:rPr>
          <w:rFonts w:hint="cs"/>
          <w:sz w:val="22"/>
          <w:szCs w:val="22"/>
          <w:rtl/>
        </w:rPr>
        <w:t xml:space="preserve">; במקביל, פס"ד </w:t>
      </w:r>
      <w:r w:rsidRPr="008B6E13">
        <w:rPr>
          <w:rFonts w:hint="cs"/>
          <w:i/>
          <w:iCs/>
          <w:sz w:val="22"/>
          <w:szCs w:val="22"/>
          <w:rtl/>
        </w:rPr>
        <w:t>פולגת-ג'ינס</w:t>
      </w:r>
      <w:r>
        <w:rPr>
          <w:rFonts w:hint="cs"/>
          <w:sz w:val="22"/>
          <w:szCs w:val="22"/>
          <w:rtl/>
        </w:rPr>
        <w:t xml:space="preserve">; </w:t>
      </w:r>
    </w:p>
    <w:p w:rsidR="005366A8" w:rsidRDefault="005366A8" w:rsidP="005366A8">
      <w:pPr>
        <w:ind w:left="720"/>
        <w:rPr>
          <w:sz w:val="22"/>
          <w:szCs w:val="22"/>
          <w:rtl/>
        </w:rPr>
      </w:pPr>
      <w:r w:rsidRPr="00697F05">
        <w:rPr>
          <w:rFonts w:hint="cs"/>
          <w:b/>
          <w:bCs/>
          <w:sz w:val="22"/>
          <w:szCs w:val="22"/>
          <w:highlight w:val="yellow"/>
          <w:rtl/>
        </w:rPr>
        <w:t>"הזכות לחיי משפחה"</w:t>
      </w:r>
      <w:r>
        <w:rPr>
          <w:rFonts w:hint="cs"/>
          <w:sz w:val="22"/>
          <w:szCs w:val="22"/>
          <w:rtl/>
        </w:rPr>
        <w:t xml:space="preserve"> (היבטיה הנוגעים לבני-זוג ולהורים-ילדיהם הקטינים) </w:t>
      </w:r>
      <w:r>
        <w:rPr>
          <w:sz w:val="22"/>
          <w:szCs w:val="22"/>
          <w:rtl/>
        </w:rPr>
        <w:t>–</w:t>
      </w:r>
      <w:r>
        <w:rPr>
          <w:rFonts w:hint="cs"/>
          <w:sz w:val="22"/>
          <w:szCs w:val="22"/>
          <w:rtl/>
        </w:rPr>
        <w:t xml:space="preserve"> פס"ד </w:t>
      </w:r>
      <w:r w:rsidRPr="008B6E13">
        <w:rPr>
          <w:rFonts w:hint="cs"/>
          <w:i/>
          <w:iCs/>
          <w:sz w:val="22"/>
          <w:szCs w:val="22"/>
          <w:rtl/>
        </w:rPr>
        <w:t>חוק האזרחות והכניסה לישראל</w:t>
      </w:r>
      <w:r>
        <w:rPr>
          <w:rFonts w:hint="cs"/>
          <w:sz w:val="22"/>
          <w:szCs w:val="22"/>
          <w:rtl/>
        </w:rPr>
        <w:t>;</w:t>
      </w:r>
    </w:p>
    <w:p w:rsidR="005366A8" w:rsidRDefault="005366A8" w:rsidP="005366A8">
      <w:pPr>
        <w:spacing w:after="120"/>
        <w:ind w:left="720"/>
        <w:rPr>
          <w:sz w:val="22"/>
          <w:szCs w:val="22"/>
          <w:rtl/>
        </w:rPr>
      </w:pPr>
      <w:r w:rsidRPr="00EE292B">
        <w:rPr>
          <w:rFonts w:hint="cs"/>
          <w:b/>
          <w:bCs/>
          <w:sz w:val="22"/>
          <w:szCs w:val="22"/>
          <w:highlight w:val="yellow"/>
          <w:rtl/>
        </w:rPr>
        <w:t>"חופש ביטוי וחופש הפגנה במישור הפוליטי והחברתי",</w:t>
      </w:r>
      <w:r>
        <w:rPr>
          <w:rFonts w:hint="cs"/>
          <w:sz w:val="22"/>
          <w:szCs w:val="22"/>
          <w:rtl/>
        </w:rPr>
        <w:t xml:space="preserve"> להבדיל מסוגיית חופש הביטוי המסחרי </w:t>
      </w:r>
      <w:r>
        <w:rPr>
          <w:sz w:val="22"/>
          <w:szCs w:val="22"/>
          <w:rtl/>
        </w:rPr>
        <w:t>–</w:t>
      </w:r>
      <w:r>
        <w:rPr>
          <w:rFonts w:hint="cs"/>
          <w:sz w:val="22"/>
          <w:szCs w:val="22"/>
          <w:rtl/>
        </w:rPr>
        <w:t xml:space="preserve"> פס"ד </w:t>
      </w:r>
      <w:r w:rsidRPr="00EE292B">
        <w:rPr>
          <w:rFonts w:hint="cs"/>
          <w:i/>
          <w:iCs/>
          <w:sz w:val="22"/>
          <w:szCs w:val="22"/>
          <w:rtl/>
        </w:rPr>
        <w:t>מטה הרוב</w:t>
      </w:r>
      <w:r>
        <w:rPr>
          <w:rFonts w:hint="cs"/>
          <w:sz w:val="22"/>
          <w:szCs w:val="22"/>
          <w:rtl/>
        </w:rPr>
        <w:t>;</w:t>
      </w:r>
    </w:p>
    <w:p w:rsidR="005366A8" w:rsidRDefault="005366A8" w:rsidP="005366A8">
      <w:pPr>
        <w:rPr>
          <w:sz w:val="22"/>
          <w:szCs w:val="22"/>
          <w:rtl/>
        </w:rPr>
      </w:pPr>
      <w:r w:rsidRPr="005736C0">
        <w:rPr>
          <w:rFonts w:hint="cs"/>
          <w:b/>
          <w:bCs/>
          <w:sz w:val="22"/>
          <w:szCs w:val="22"/>
          <w:highlight w:val="yellow"/>
          <w:u w:val="single"/>
          <w:rtl/>
        </w:rPr>
        <w:t>למי נתונות</w:t>
      </w:r>
      <w:r w:rsidRPr="005736C0">
        <w:rPr>
          <w:rFonts w:hint="cs"/>
          <w:sz w:val="22"/>
          <w:szCs w:val="22"/>
          <w:highlight w:val="yellow"/>
          <w:u w:val="single"/>
          <w:rtl/>
        </w:rPr>
        <w:t>, משפטית</w:t>
      </w:r>
      <w:r>
        <w:rPr>
          <w:rFonts w:hint="cs"/>
          <w:sz w:val="22"/>
          <w:szCs w:val="22"/>
          <w:highlight w:val="yellow"/>
          <w:rtl/>
        </w:rPr>
        <w:t>,</w:t>
      </w:r>
      <w:r w:rsidRPr="004D6888">
        <w:rPr>
          <w:rFonts w:hint="cs"/>
          <w:sz w:val="22"/>
          <w:szCs w:val="22"/>
          <w:highlight w:val="yellow"/>
          <w:rtl/>
        </w:rPr>
        <w:t xml:space="preserve"> "זכויות שלפי חוק יסוד זה"</w:t>
      </w:r>
      <w:r>
        <w:rPr>
          <w:rFonts w:hint="cs"/>
          <w:sz w:val="22"/>
          <w:szCs w:val="22"/>
          <w:rtl/>
        </w:rPr>
        <w:t xml:space="preserve">? </w:t>
      </w:r>
      <w:r>
        <w:rPr>
          <w:sz w:val="22"/>
          <w:szCs w:val="22"/>
          <w:rtl/>
        </w:rPr>
        <w:t>–</w:t>
      </w:r>
      <w:r>
        <w:rPr>
          <w:rFonts w:hint="cs"/>
          <w:sz w:val="22"/>
          <w:szCs w:val="22"/>
          <w:rtl/>
        </w:rPr>
        <w:t xml:space="preserve"> </w:t>
      </w:r>
    </w:p>
    <w:p w:rsidR="005366A8" w:rsidRDefault="005366A8" w:rsidP="005366A8">
      <w:pPr>
        <w:ind w:left="720"/>
        <w:rPr>
          <w:sz w:val="22"/>
          <w:szCs w:val="22"/>
          <w:rtl/>
        </w:rPr>
      </w:pPr>
      <w:r>
        <w:rPr>
          <w:rFonts w:hint="cs"/>
          <w:sz w:val="22"/>
          <w:szCs w:val="22"/>
          <w:rtl/>
        </w:rPr>
        <w:t xml:space="preserve">הגנת חוקי היסוד הוחלה על אזרחים ישראלים בשטחים (פס"ד </w:t>
      </w:r>
      <w:r w:rsidRPr="004D6888">
        <w:rPr>
          <w:rFonts w:hint="cs"/>
          <w:i/>
          <w:iCs/>
          <w:sz w:val="22"/>
          <w:szCs w:val="22"/>
          <w:rtl/>
        </w:rPr>
        <w:t>חוף עזה</w:t>
      </w:r>
      <w:r>
        <w:rPr>
          <w:rFonts w:hint="cs"/>
          <w:i/>
          <w:iCs/>
          <w:sz w:val="22"/>
          <w:szCs w:val="22"/>
          <w:rtl/>
        </w:rPr>
        <w:t xml:space="preserve"> </w:t>
      </w:r>
      <w:r>
        <w:rPr>
          <w:i/>
          <w:iCs/>
          <w:sz w:val="22"/>
          <w:szCs w:val="22"/>
          <w:rtl/>
        </w:rPr>
        <w:t>–</w:t>
      </w:r>
      <w:r>
        <w:rPr>
          <w:rFonts w:hint="cs"/>
          <w:i/>
          <w:iCs/>
          <w:sz w:val="22"/>
          <w:szCs w:val="22"/>
          <w:rtl/>
        </w:rPr>
        <w:t xml:space="preserve"> חוק ההתנתקות</w:t>
      </w:r>
      <w:r>
        <w:rPr>
          <w:rFonts w:hint="cs"/>
          <w:sz w:val="22"/>
          <w:szCs w:val="22"/>
          <w:rtl/>
        </w:rPr>
        <w:t xml:space="preserve">); </w:t>
      </w:r>
    </w:p>
    <w:p w:rsidR="005366A8" w:rsidRDefault="005366A8" w:rsidP="005366A8">
      <w:pPr>
        <w:ind w:left="720"/>
        <w:rPr>
          <w:sz w:val="22"/>
          <w:szCs w:val="22"/>
          <w:rtl/>
        </w:rPr>
      </w:pPr>
      <w:r>
        <w:rPr>
          <w:rFonts w:hint="cs"/>
          <w:sz w:val="22"/>
          <w:szCs w:val="22"/>
          <w:rtl/>
        </w:rPr>
        <w:t xml:space="preserve">שאלת ההגנה הזו על פלסטינים תושבי השטחים (להבדיל מהפלסטינים אזרחי-ישראל או תושבי ישראל, כמו בירושלים המזרחית),  הותרת "בצריך עיון", כלומר ללא הכרעה (פס"ד </w:t>
      </w:r>
      <w:r w:rsidRPr="004D6888">
        <w:rPr>
          <w:rFonts w:hint="cs"/>
          <w:i/>
          <w:iCs/>
          <w:sz w:val="22"/>
          <w:szCs w:val="22"/>
          <w:rtl/>
        </w:rPr>
        <w:t>חוק פיצויי נזיקין באינתיפדה</w:t>
      </w:r>
      <w:r>
        <w:rPr>
          <w:rFonts w:hint="cs"/>
          <w:sz w:val="22"/>
          <w:szCs w:val="22"/>
          <w:rtl/>
        </w:rPr>
        <w:t>); נדון בכך בסמסטר הבא.</w:t>
      </w:r>
    </w:p>
    <w:p w:rsidR="005366A8" w:rsidRDefault="005366A8" w:rsidP="005366A8">
      <w:pPr>
        <w:rPr>
          <w:rFonts w:cs="FrankRuehl"/>
          <w:rtl/>
        </w:rPr>
      </w:pPr>
      <w:r>
        <w:rPr>
          <w:rFonts w:hint="cs"/>
          <w:rtl/>
        </w:rPr>
        <w:t>=-=</w:t>
      </w:r>
    </w:p>
    <w:p w:rsidR="005366A8" w:rsidRDefault="005366A8" w:rsidP="005366A8">
      <w:pPr>
        <w:rPr>
          <w:rFonts w:ascii="Arial" w:hAnsi="Arial" w:cs="Arial"/>
          <w:b/>
          <w:bCs/>
          <w:rtl/>
        </w:rPr>
      </w:pPr>
    </w:p>
    <w:p w:rsidR="005366A8" w:rsidRPr="00C96151" w:rsidRDefault="005366A8" w:rsidP="005366A8">
      <w:pPr>
        <w:rPr>
          <w:rFonts w:ascii="Arial" w:hAnsi="Arial" w:cs="David"/>
          <w:b/>
          <w:bCs/>
          <w:sz w:val="22"/>
          <w:szCs w:val="22"/>
          <w:u w:val="single"/>
          <w:rtl/>
        </w:rPr>
      </w:pPr>
      <w:r w:rsidRPr="00C96151">
        <w:rPr>
          <w:rFonts w:hint="cs"/>
          <w:b/>
          <w:bCs/>
          <w:sz w:val="22"/>
          <w:szCs w:val="22"/>
          <w:u w:val="single"/>
          <w:rtl/>
        </w:rPr>
        <w:t xml:space="preserve">זכויות יסוד רבות זכו </w:t>
      </w:r>
      <w:r w:rsidRPr="00C96151">
        <w:rPr>
          <w:b/>
          <w:bCs/>
          <w:sz w:val="22"/>
          <w:szCs w:val="22"/>
          <w:u w:val="single"/>
          <w:rtl/>
        </w:rPr>
        <w:t>–</w:t>
      </w:r>
      <w:r w:rsidRPr="00C96151">
        <w:rPr>
          <w:rFonts w:hint="cs"/>
          <w:b/>
          <w:bCs/>
          <w:sz w:val="22"/>
          <w:szCs w:val="22"/>
          <w:u w:val="single"/>
          <w:rtl/>
        </w:rPr>
        <w:t xml:space="preserve"> חלקן במפורש וחלקן במשתמע, </w:t>
      </w:r>
      <w:r>
        <w:rPr>
          <w:rFonts w:hint="cs"/>
          <w:b/>
          <w:bCs/>
          <w:sz w:val="22"/>
          <w:szCs w:val="22"/>
          <w:u w:val="single"/>
          <w:rtl/>
        </w:rPr>
        <w:t xml:space="preserve">קרי </w:t>
      </w:r>
      <w:r w:rsidRPr="00C96151">
        <w:rPr>
          <w:rFonts w:hint="cs"/>
          <w:b/>
          <w:bCs/>
          <w:sz w:val="22"/>
          <w:szCs w:val="22"/>
          <w:u w:val="single"/>
          <w:rtl/>
        </w:rPr>
        <w:t xml:space="preserve">בדרך פרשנית </w:t>
      </w:r>
      <w:r w:rsidRPr="00C96151">
        <w:rPr>
          <w:b/>
          <w:bCs/>
          <w:sz w:val="22"/>
          <w:szCs w:val="22"/>
          <w:u w:val="single"/>
          <w:rtl/>
        </w:rPr>
        <w:t>–</w:t>
      </w:r>
      <w:r w:rsidRPr="00C96151">
        <w:rPr>
          <w:rFonts w:hint="cs"/>
          <w:b/>
          <w:bCs/>
          <w:sz w:val="22"/>
          <w:szCs w:val="22"/>
          <w:u w:val="single"/>
          <w:rtl/>
        </w:rPr>
        <w:t xml:space="preserve"> למעמד חוקתי מכוח</w:t>
      </w:r>
      <w:r w:rsidRPr="00C96151">
        <w:rPr>
          <w:b/>
          <w:bCs/>
          <w:sz w:val="22"/>
          <w:szCs w:val="22"/>
          <w:u w:val="single"/>
          <w:rtl/>
        </w:rPr>
        <w:t xml:space="preserve"> </w:t>
      </w:r>
      <w:r w:rsidRPr="00412C94">
        <w:rPr>
          <w:rFonts w:ascii="Arial" w:hAnsi="Arial" w:cs="David"/>
          <w:b/>
          <w:bCs/>
          <w:sz w:val="22"/>
          <w:szCs w:val="22"/>
          <w:highlight w:val="yellow"/>
          <w:u w:val="single"/>
          <w:rtl/>
        </w:rPr>
        <w:t>חוק-יסוד: כבוד האדם וחירותו</w:t>
      </w:r>
      <w:r w:rsidRPr="00C96151">
        <w:rPr>
          <w:rFonts w:ascii="Arial" w:hAnsi="Arial" w:cs="David"/>
          <w:b/>
          <w:bCs/>
          <w:sz w:val="22"/>
          <w:szCs w:val="22"/>
          <w:u w:val="single"/>
          <w:rtl/>
        </w:rPr>
        <w:t xml:space="preserve"> </w:t>
      </w:r>
    </w:p>
    <w:p w:rsidR="005366A8" w:rsidRPr="00CB740D" w:rsidRDefault="005366A8" w:rsidP="005366A8">
      <w:pPr>
        <w:rPr>
          <w:rFonts w:cs="David"/>
          <w:sz w:val="20"/>
          <w:szCs w:val="20"/>
          <w:rtl/>
        </w:rPr>
      </w:pPr>
    </w:p>
    <w:p w:rsidR="005366A8" w:rsidRPr="00CB740D" w:rsidRDefault="005366A8" w:rsidP="005366A8">
      <w:pPr>
        <w:spacing w:after="60"/>
        <w:ind w:left="720"/>
        <w:rPr>
          <w:rFonts w:cs="David"/>
          <w:b/>
          <w:bCs/>
          <w:sz w:val="20"/>
          <w:szCs w:val="20"/>
          <w:highlight w:val="yellow"/>
          <w:rtl/>
        </w:rPr>
      </w:pPr>
      <w:r w:rsidRPr="00CB740D">
        <w:rPr>
          <w:rFonts w:cs="David"/>
          <w:b/>
          <w:bCs/>
          <w:sz w:val="20"/>
          <w:szCs w:val="20"/>
          <w:highlight w:val="yellow"/>
          <w:rtl/>
        </w:rPr>
        <w:t xml:space="preserve">1. </w:t>
      </w:r>
      <w:r w:rsidRPr="00CB740D">
        <w:rPr>
          <w:rFonts w:cs="David"/>
          <w:sz w:val="20"/>
          <w:szCs w:val="20"/>
          <w:highlight w:val="yellow"/>
          <w:rtl/>
        </w:rPr>
        <w:t>עקרונות יסוד [תיקון: תשנ"ד]</w:t>
      </w:r>
      <w:r w:rsidRPr="00CB740D">
        <w:rPr>
          <w:rFonts w:cs="David"/>
          <w:b/>
          <w:bCs/>
          <w:sz w:val="20"/>
          <w:szCs w:val="20"/>
          <w:highlight w:val="yellow"/>
          <w:rtl/>
        </w:rPr>
        <w:t xml:space="preserve"> </w:t>
      </w:r>
    </w:p>
    <w:p w:rsidR="005366A8" w:rsidRPr="00CB740D" w:rsidRDefault="005366A8" w:rsidP="005366A8">
      <w:pPr>
        <w:rPr>
          <w:rFonts w:cs="David"/>
          <w:b/>
          <w:bCs/>
          <w:sz w:val="20"/>
          <w:szCs w:val="20"/>
          <w:highlight w:val="yellow"/>
          <w:rtl/>
        </w:rPr>
      </w:pPr>
      <w:r w:rsidRPr="00CB740D">
        <w:rPr>
          <w:rFonts w:cs="David"/>
          <w:b/>
          <w:bCs/>
          <w:sz w:val="20"/>
          <w:szCs w:val="20"/>
          <w:highlight w:val="yellow"/>
          <w:rtl/>
        </w:rPr>
        <w:t xml:space="preserve">זכויות היסוד של האדם בישראל מושתתות על ההכרה בערך האדם, בקדושת חייו ובהיותו בן-חורין, והן יכובדו ברוח העקרונות שבהכרזה על הקמת מדינת ישראל. </w:t>
      </w:r>
    </w:p>
    <w:p w:rsidR="005366A8" w:rsidRPr="00CB740D" w:rsidRDefault="005366A8" w:rsidP="005366A8">
      <w:pPr>
        <w:rPr>
          <w:rFonts w:cs="David"/>
          <w:b/>
          <w:bCs/>
          <w:sz w:val="20"/>
          <w:szCs w:val="20"/>
          <w:highlight w:val="yellow"/>
          <w:rtl/>
        </w:rPr>
      </w:pPr>
    </w:p>
    <w:p w:rsidR="005366A8" w:rsidRPr="00CB740D" w:rsidRDefault="005366A8" w:rsidP="005366A8">
      <w:pPr>
        <w:spacing w:after="60"/>
        <w:ind w:left="720"/>
        <w:rPr>
          <w:rFonts w:cs="David"/>
          <w:b/>
          <w:bCs/>
          <w:sz w:val="20"/>
          <w:szCs w:val="20"/>
          <w:highlight w:val="yellow"/>
          <w:rtl/>
        </w:rPr>
      </w:pPr>
      <w:r w:rsidRPr="00CB740D">
        <w:rPr>
          <w:rFonts w:cs="David"/>
          <w:b/>
          <w:bCs/>
          <w:sz w:val="20"/>
          <w:szCs w:val="20"/>
          <w:highlight w:val="yellow"/>
          <w:rtl/>
        </w:rPr>
        <w:t xml:space="preserve">1א. </w:t>
      </w:r>
      <w:r w:rsidRPr="00CB740D">
        <w:rPr>
          <w:rFonts w:cs="David"/>
          <w:sz w:val="20"/>
          <w:szCs w:val="20"/>
          <w:highlight w:val="yellow"/>
          <w:rtl/>
        </w:rPr>
        <w:t>מטרה [תיקון: תשנ"ד]</w:t>
      </w:r>
      <w:r w:rsidRPr="00CB740D">
        <w:rPr>
          <w:rFonts w:cs="David"/>
          <w:b/>
          <w:bCs/>
          <w:sz w:val="20"/>
          <w:szCs w:val="20"/>
          <w:highlight w:val="yellow"/>
          <w:rtl/>
        </w:rPr>
        <w:t xml:space="preserve"> </w:t>
      </w:r>
    </w:p>
    <w:p w:rsidR="005366A8" w:rsidRPr="00CB740D" w:rsidRDefault="005366A8" w:rsidP="005366A8">
      <w:pPr>
        <w:rPr>
          <w:rFonts w:cs="David"/>
          <w:b/>
          <w:bCs/>
          <w:sz w:val="20"/>
          <w:szCs w:val="20"/>
          <w:highlight w:val="yellow"/>
          <w:rtl/>
        </w:rPr>
      </w:pPr>
      <w:r w:rsidRPr="00CB740D">
        <w:rPr>
          <w:rFonts w:cs="David"/>
          <w:b/>
          <w:bCs/>
          <w:sz w:val="20"/>
          <w:szCs w:val="20"/>
          <w:highlight w:val="yellow"/>
          <w:rtl/>
        </w:rPr>
        <w:t xml:space="preserve">חוק-יסוד זה, מטרתו להגן על כבוד האדם וחירותו, כדי לעגן בחוק-יסוד את ערכיה של מדינת ישראל כמדינה יהודית ודמוקרטית. </w:t>
      </w:r>
    </w:p>
    <w:p w:rsidR="005366A8" w:rsidRPr="00CB740D" w:rsidRDefault="005366A8" w:rsidP="005366A8">
      <w:pPr>
        <w:rPr>
          <w:rFonts w:cs="David"/>
          <w:b/>
          <w:bCs/>
          <w:sz w:val="20"/>
          <w:szCs w:val="20"/>
          <w:highlight w:val="yellow"/>
          <w:rtl/>
        </w:rPr>
      </w:pPr>
    </w:p>
    <w:p w:rsidR="005366A8" w:rsidRPr="00CB740D" w:rsidRDefault="005366A8" w:rsidP="005366A8">
      <w:pPr>
        <w:ind w:left="720"/>
        <w:rPr>
          <w:rFonts w:cs="David"/>
          <w:b/>
          <w:bCs/>
          <w:sz w:val="20"/>
          <w:szCs w:val="20"/>
          <w:highlight w:val="yellow"/>
          <w:rtl/>
        </w:rPr>
      </w:pPr>
      <w:r w:rsidRPr="00CB740D">
        <w:rPr>
          <w:rFonts w:cs="David"/>
          <w:b/>
          <w:bCs/>
          <w:sz w:val="20"/>
          <w:szCs w:val="20"/>
          <w:highlight w:val="yellow"/>
          <w:rtl/>
        </w:rPr>
        <w:t xml:space="preserve">2. </w:t>
      </w:r>
      <w:r w:rsidRPr="00CB740D">
        <w:rPr>
          <w:rFonts w:cs="David"/>
          <w:sz w:val="20"/>
          <w:szCs w:val="20"/>
          <w:highlight w:val="yellow"/>
          <w:rtl/>
        </w:rPr>
        <w:t>שמירה על החיים, הגוף והכבוד</w:t>
      </w:r>
      <w:r w:rsidRPr="00CB740D">
        <w:rPr>
          <w:rFonts w:cs="David"/>
          <w:b/>
          <w:bCs/>
          <w:sz w:val="20"/>
          <w:szCs w:val="20"/>
          <w:highlight w:val="yellow"/>
          <w:rtl/>
        </w:rPr>
        <w:t xml:space="preserve"> </w:t>
      </w:r>
    </w:p>
    <w:p w:rsidR="005366A8" w:rsidRPr="00CB740D" w:rsidRDefault="005366A8" w:rsidP="005366A8">
      <w:pPr>
        <w:rPr>
          <w:rFonts w:cs="David"/>
          <w:b/>
          <w:bCs/>
          <w:sz w:val="20"/>
          <w:szCs w:val="20"/>
          <w:highlight w:val="yellow"/>
          <w:rtl/>
        </w:rPr>
      </w:pPr>
      <w:r w:rsidRPr="00CB740D">
        <w:rPr>
          <w:rFonts w:cs="David"/>
          <w:b/>
          <w:bCs/>
          <w:sz w:val="20"/>
          <w:szCs w:val="20"/>
          <w:highlight w:val="yellow"/>
          <w:rtl/>
        </w:rPr>
        <w:t xml:space="preserve">אין פוגעים בחייו, בגופו, או בכבודו של אדם באשר הוא אדם. </w:t>
      </w:r>
    </w:p>
    <w:p w:rsidR="005366A8" w:rsidRPr="00CB740D" w:rsidRDefault="005366A8" w:rsidP="005366A8">
      <w:pPr>
        <w:rPr>
          <w:rFonts w:cs="David"/>
          <w:b/>
          <w:bCs/>
          <w:sz w:val="20"/>
          <w:szCs w:val="20"/>
          <w:highlight w:val="yellow"/>
          <w:rtl/>
        </w:rPr>
      </w:pPr>
    </w:p>
    <w:p w:rsidR="005366A8" w:rsidRPr="00CB740D" w:rsidRDefault="005366A8" w:rsidP="005366A8">
      <w:pPr>
        <w:ind w:left="720"/>
        <w:rPr>
          <w:rFonts w:cs="David"/>
          <w:b/>
          <w:bCs/>
          <w:sz w:val="20"/>
          <w:szCs w:val="20"/>
          <w:highlight w:val="yellow"/>
          <w:rtl/>
        </w:rPr>
      </w:pPr>
      <w:r w:rsidRPr="00CB740D">
        <w:rPr>
          <w:rFonts w:cs="David"/>
          <w:b/>
          <w:bCs/>
          <w:sz w:val="20"/>
          <w:szCs w:val="20"/>
          <w:highlight w:val="yellow"/>
          <w:rtl/>
        </w:rPr>
        <w:t xml:space="preserve">3. </w:t>
      </w:r>
      <w:r w:rsidRPr="00CB740D">
        <w:rPr>
          <w:rFonts w:cs="David"/>
          <w:sz w:val="20"/>
          <w:szCs w:val="20"/>
          <w:highlight w:val="yellow"/>
          <w:rtl/>
        </w:rPr>
        <w:t>שמירה על הקנין</w:t>
      </w:r>
      <w:r w:rsidRPr="00CB740D">
        <w:rPr>
          <w:rFonts w:cs="David"/>
          <w:b/>
          <w:bCs/>
          <w:sz w:val="20"/>
          <w:szCs w:val="20"/>
          <w:highlight w:val="yellow"/>
          <w:rtl/>
        </w:rPr>
        <w:t xml:space="preserve"> </w:t>
      </w:r>
    </w:p>
    <w:p w:rsidR="005366A8" w:rsidRPr="00CB740D" w:rsidRDefault="005366A8" w:rsidP="005366A8">
      <w:pPr>
        <w:rPr>
          <w:rFonts w:cs="David"/>
          <w:b/>
          <w:bCs/>
          <w:sz w:val="20"/>
          <w:szCs w:val="20"/>
          <w:highlight w:val="yellow"/>
          <w:rtl/>
        </w:rPr>
      </w:pPr>
      <w:r w:rsidRPr="00CB740D">
        <w:rPr>
          <w:rFonts w:cs="David"/>
          <w:b/>
          <w:bCs/>
          <w:sz w:val="20"/>
          <w:szCs w:val="20"/>
          <w:highlight w:val="yellow"/>
          <w:rtl/>
        </w:rPr>
        <w:t xml:space="preserve">אין פוגעים בקנינו של אדם. </w:t>
      </w:r>
    </w:p>
    <w:p w:rsidR="005366A8" w:rsidRPr="00CB740D" w:rsidRDefault="005366A8" w:rsidP="005366A8">
      <w:pPr>
        <w:rPr>
          <w:rFonts w:cs="David"/>
          <w:b/>
          <w:bCs/>
          <w:sz w:val="20"/>
          <w:szCs w:val="20"/>
          <w:highlight w:val="yellow"/>
          <w:rtl/>
        </w:rPr>
      </w:pPr>
    </w:p>
    <w:p w:rsidR="005366A8" w:rsidRPr="00CB740D" w:rsidRDefault="005366A8" w:rsidP="005366A8">
      <w:pPr>
        <w:ind w:left="720"/>
        <w:rPr>
          <w:rFonts w:cs="David"/>
          <w:b/>
          <w:bCs/>
          <w:sz w:val="20"/>
          <w:szCs w:val="20"/>
          <w:highlight w:val="yellow"/>
          <w:rtl/>
        </w:rPr>
      </w:pPr>
      <w:r w:rsidRPr="00CB740D">
        <w:rPr>
          <w:rFonts w:cs="David"/>
          <w:b/>
          <w:bCs/>
          <w:sz w:val="20"/>
          <w:szCs w:val="20"/>
          <w:highlight w:val="yellow"/>
          <w:rtl/>
        </w:rPr>
        <w:t xml:space="preserve">4. </w:t>
      </w:r>
      <w:r w:rsidRPr="00CB740D">
        <w:rPr>
          <w:rFonts w:cs="David"/>
          <w:sz w:val="20"/>
          <w:szCs w:val="20"/>
          <w:highlight w:val="yellow"/>
          <w:rtl/>
        </w:rPr>
        <w:t>הגנה על החיים, הגוף והכבוד</w:t>
      </w:r>
      <w:r w:rsidRPr="00CB740D">
        <w:rPr>
          <w:rFonts w:cs="David"/>
          <w:b/>
          <w:bCs/>
          <w:sz w:val="20"/>
          <w:szCs w:val="20"/>
          <w:highlight w:val="yellow"/>
          <w:rtl/>
        </w:rPr>
        <w:t xml:space="preserve"> </w:t>
      </w:r>
    </w:p>
    <w:p w:rsidR="005366A8" w:rsidRPr="00CB740D" w:rsidRDefault="005366A8" w:rsidP="005366A8">
      <w:pPr>
        <w:rPr>
          <w:rFonts w:cs="David"/>
          <w:b/>
          <w:bCs/>
          <w:sz w:val="20"/>
          <w:szCs w:val="20"/>
          <w:highlight w:val="yellow"/>
          <w:rtl/>
        </w:rPr>
      </w:pPr>
      <w:r w:rsidRPr="00CB740D">
        <w:rPr>
          <w:rFonts w:cs="David"/>
          <w:b/>
          <w:bCs/>
          <w:sz w:val="20"/>
          <w:szCs w:val="20"/>
          <w:highlight w:val="yellow"/>
          <w:rtl/>
        </w:rPr>
        <w:t xml:space="preserve">כל אדם זכאי להגנה על חייו, על גופו ועל כבודו. </w:t>
      </w:r>
    </w:p>
    <w:p w:rsidR="005366A8" w:rsidRPr="00CB740D" w:rsidRDefault="005366A8" w:rsidP="005366A8">
      <w:pPr>
        <w:rPr>
          <w:rFonts w:cs="David"/>
          <w:b/>
          <w:bCs/>
          <w:sz w:val="20"/>
          <w:szCs w:val="20"/>
          <w:highlight w:val="yellow"/>
          <w:rtl/>
        </w:rPr>
      </w:pPr>
    </w:p>
    <w:p w:rsidR="005366A8" w:rsidRPr="00CB740D" w:rsidRDefault="005366A8" w:rsidP="005366A8">
      <w:pPr>
        <w:ind w:left="720"/>
        <w:rPr>
          <w:rFonts w:cs="David"/>
          <w:b/>
          <w:bCs/>
          <w:sz w:val="20"/>
          <w:szCs w:val="20"/>
          <w:highlight w:val="yellow"/>
          <w:rtl/>
        </w:rPr>
      </w:pPr>
      <w:r w:rsidRPr="00CB740D">
        <w:rPr>
          <w:rFonts w:cs="David"/>
          <w:b/>
          <w:bCs/>
          <w:sz w:val="20"/>
          <w:szCs w:val="20"/>
          <w:highlight w:val="yellow"/>
          <w:rtl/>
        </w:rPr>
        <w:t xml:space="preserve">5. </w:t>
      </w:r>
      <w:r w:rsidRPr="00CB740D">
        <w:rPr>
          <w:rFonts w:cs="David"/>
          <w:sz w:val="20"/>
          <w:szCs w:val="20"/>
          <w:highlight w:val="yellow"/>
          <w:rtl/>
        </w:rPr>
        <w:t>חירות אישית</w:t>
      </w:r>
      <w:r w:rsidRPr="00CB740D">
        <w:rPr>
          <w:rFonts w:cs="David"/>
          <w:b/>
          <w:bCs/>
          <w:sz w:val="20"/>
          <w:szCs w:val="20"/>
          <w:highlight w:val="yellow"/>
          <w:rtl/>
        </w:rPr>
        <w:t xml:space="preserve"> </w:t>
      </w:r>
    </w:p>
    <w:p w:rsidR="005366A8" w:rsidRPr="00CB740D" w:rsidRDefault="005366A8" w:rsidP="005366A8">
      <w:pPr>
        <w:rPr>
          <w:rFonts w:cs="David"/>
          <w:b/>
          <w:bCs/>
          <w:sz w:val="20"/>
          <w:szCs w:val="20"/>
          <w:highlight w:val="yellow"/>
          <w:rtl/>
        </w:rPr>
      </w:pPr>
      <w:r w:rsidRPr="00CB740D">
        <w:rPr>
          <w:rFonts w:cs="David"/>
          <w:b/>
          <w:bCs/>
          <w:sz w:val="20"/>
          <w:szCs w:val="20"/>
          <w:highlight w:val="yellow"/>
          <w:rtl/>
        </w:rPr>
        <w:t xml:space="preserve">אין נוטלים ואין מגבילים את חירותו של אדם במאסר, במעצר, בהסגרה או בכל דרך אחרת. </w:t>
      </w:r>
    </w:p>
    <w:p w:rsidR="005366A8" w:rsidRPr="00CB740D" w:rsidRDefault="005366A8" w:rsidP="005366A8">
      <w:pPr>
        <w:rPr>
          <w:rFonts w:cs="David"/>
          <w:b/>
          <w:bCs/>
          <w:sz w:val="20"/>
          <w:szCs w:val="20"/>
          <w:highlight w:val="yellow"/>
          <w:rtl/>
        </w:rPr>
      </w:pPr>
    </w:p>
    <w:p w:rsidR="005366A8" w:rsidRPr="00CB740D" w:rsidRDefault="005366A8" w:rsidP="005366A8">
      <w:pPr>
        <w:ind w:left="720"/>
        <w:rPr>
          <w:rFonts w:cs="David"/>
          <w:b/>
          <w:bCs/>
          <w:sz w:val="20"/>
          <w:szCs w:val="20"/>
          <w:highlight w:val="yellow"/>
          <w:rtl/>
        </w:rPr>
      </w:pPr>
      <w:r w:rsidRPr="00CB740D">
        <w:rPr>
          <w:rFonts w:cs="David"/>
          <w:b/>
          <w:bCs/>
          <w:sz w:val="20"/>
          <w:szCs w:val="20"/>
          <w:highlight w:val="yellow"/>
          <w:rtl/>
        </w:rPr>
        <w:t xml:space="preserve">6. </w:t>
      </w:r>
      <w:r w:rsidRPr="00CB740D">
        <w:rPr>
          <w:rFonts w:cs="David"/>
          <w:sz w:val="20"/>
          <w:szCs w:val="20"/>
          <w:highlight w:val="yellow"/>
          <w:rtl/>
        </w:rPr>
        <w:t>יציאה מישראל וכניסה אליה</w:t>
      </w:r>
      <w:r w:rsidRPr="00CB740D">
        <w:rPr>
          <w:rFonts w:cs="David"/>
          <w:b/>
          <w:bCs/>
          <w:sz w:val="20"/>
          <w:szCs w:val="20"/>
          <w:highlight w:val="yellow"/>
          <w:rtl/>
        </w:rPr>
        <w:t xml:space="preserve"> </w:t>
      </w:r>
    </w:p>
    <w:p w:rsidR="005366A8" w:rsidRPr="00CB740D" w:rsidRDefault="005366A8" w:rsidP="005366A8">
      <w:pPr>
        <w:rPr>
          <w:rFonts w:cs="David"/>
          <w:b/>
          <w:bCs/>
          <w:sz w:val="20"/>
          <w:szCs w:val="20"/>
          <w:highlight w:val="yellow"/>
          <w:rtl/>
        </w:rPr>
      </w:pPr>
      <w:r w:rsidRPr="00CB740D">
        <w:rPr>
          <w:rFonts w:cs="David"/>
          <w:b/>
          <w:bCs/>
          <w:sz w:val="20"/>
          <w:szCs w:val="20"/>
          <w:highlight w:val="yellow"/>
          <w:rtl/>
        </w:rPr>
        <w:t xml:space="preserve">(א)כל אדם חופשי לצאת מישראל. </w:t>
      </w:r>
    </w:p>
    <w:p w:rsidR="005366A8" w:rsidRPr="00CB740D" w:rsidRDefault="005366A8" w:rsidP="005366A8">
      <w:pPr>
        <w:rPr>
          <w:rFonts w:cs="David"/>
          <w:b/>
          <w:bCs/>
          <w:sz w:val="20"/>
          <w:szCs w:val="20"/>
          <w:highlight w:val="yellow"/>
          <w:rtl/>
        </w:rPr>
      </w:pPr>
      <w:r w:rsidRPr="00CB740D">
        <w:rPr>
          <w:rFonts w:cs="David"/>
          <w:b/>
          <w:bCs/>
          <w:sz w:val="20"/>
          <w:szCs w:val="20"/>
          <w:highlight w:val="yellow"/>
          <w:rtl/>
        </w:rPr>
        <w:t xml:space="preserve">(ב)כל אזרח ישראלי הנמצא בחוץ לארץ זכאי להיכנס לישראל. </w:t>
      </w:r>
    </w:p>
    <w:p w:rsidR="005366A8" w:rsidRPr="00CB740D" w:rsidRDefault="005366A8" w:rsidP="005366A8">
      <w:pPr>
        <w:rPr>
          <w:rFonts w:cs="David"/>
          <w:b/>
          <w:bCs/>
          <w:sz w:val="20"/>
          <w:szCs w:val="20"/>
          <w:highlight w:val="yellow"/>
          <w:rtl/>
        </w:rPr>
      </w:pPr>
    </w:p>
    <w:p w:rsidR="005366A8" w:rsidRPr="00CB740D" w:rsidRDefault="005366A8" w:rsidP="005366A8">
      <w:pPr>
        <w:ind w:left="720"/>
        <w:rPr>
          <w:rFonts w:cs="David"/>
          <w:b/>
          <w:bCs/>
          <w:sz w:val="20"/>
          <w:szCs w:val="20"/>
          <w:highlight w:val="yellow"/>
          <w:rtl/>
        </w:rPr>
      </w:pPr>
      <w:r w:rsidRPr="00CB740D">
        <w:rPr>
          <w:rFonts w:cs="David"/>
          <w:b/>
          <w:bCs/>
          <w:sz w:val="20"/>
          <w:szCs w:val="20"/>
          <w:highlight w:val="yellow"/>
          <w:rtl/>
        </w:rPr>
        <w:t xml:space="preserve">7. </w:t>
      </w:r>
      <w:r w:rsidRPr="00CB740D">
        <w:rPr>
          <w:rFonts w:cs="David"/>
          <w:sz w:val="20"/>
          <w:szCs w:val="20"/>
          <w:highlight w:val="yellow"/>
          <w:rtl/>
        </w:rPr>
        <w:t>פרטיות וצנעת הפרט</w:t>
      </w:r>
      <w:r w:rsidRPr="00CB740D">
        <w:rPr>
          <w:rFonts w:cs="David"/>
          <w:b/>
          <w:bCs/>
          <w:sz w:val="20"/>
          <w:szCs w:val="20"/>
          <w:highlight w:val="yellow"/>
          <w:rtl/>
        </w:rPr>
        <w:t xml:space="preserve"> </w:t>
      </w:r>
    </w:p>
    <w:p w:rsidR="005366A8" w:rsidRPr="00CB740D" w:rsidRDefault="005366A8" w:rsidP="005366A8">
      <w:pPr>
        <w:rPr>
          <w:rFonts w:cs="David"/>
          <w:b/>
          <w:bCs/>
          <w:sz w:val="20"/>
          <w:szCs w:val="20"/>
          <w:highlight w:val="yellow"/>
          <w:rtl/>
        </w:rPr>
      </w:pPr>
      <w:r w:rsidRPr="00CB740D">
        <w:rPr>
          <w:rFonts w:cs="David"/>
          <w:b/>
          <w:bCs/>
          <w:sz w:val="20"/>
          <w:szCs w:val="20"/>
          <w:highlight w:val="yellow"/>
          <w:rtl/>
        </w:rPr>
        <w:t xml:space="preserve">(א)כל אדם זכאי לפרטיות ולצנעת חייו. </w:t>
      </w:r>
    </w:p>
    <w:p w:rsidR="005366A8" w:rsidRPr="00CB740D" w:rsidRDefault="005366A8" w:rsidP="005366A8">
      <w:pPr>
        <w:rPr>
          <w:rFonts w:cs="David"/>
          <w:b/>
          <w:bCs/>
          <w:sz w:val="20"/>
          <w:szCs w:val="20"/>
          <w:highlight w:val="yellow"/>
          <w:rtl/>
        </w:rPr>
      </w:pPr>
      <w:r w:rsidRPr="00CB740D">
        <w:rPr>
          <w:rFonts w:cs="David"/>
          <w:b/>
          <w:bCs/>
          <w:sz w:val="20"/>
          <w:szCs w:val="20"/>
          <w:highlight w:val="yellow"/>
          <w:rtl/>
        </w:rPr>
        <w:t xml:space="preserve">(ב)אין נכנסים לרשות היחיד של אדם שלא בהסכמתו. </w:t>
      </w:r>
    </w:p>
    <w:p w:rsidR="005366A8" w:rsidRPr="00CB740D" w:rsidRDefault="005366A8" w:rsidP="005366A8">
      <w:pPr>
        <w:rPr>
          <w:rFonts w:cs="David"/>
          <w:b/>
          <w:bCs/>
          <w:sz w:val="20"/>
          <w:szCs w:val="20"/>
          <w:highlight w:val="yellow"/>
          <w:rtl/>
        </w:rPr>
      </w:pPr>
      <w:r w:rsidRPr="00CB740D">
        <w:rPr>
          <w:rFonts w:cs="David"/>
          <w:b/>
          <w:bCs/>
          <w:sz w:val="20"/>
          <w:szCs w:val="20"/>
          <w:highlight w:val="yellow"/>
          <w:rtl/>
        </w:rPr>
        <w:t xml:space="preserve">(ג)אין עורכים חיפוש ברשות היחיד של אדם, על גופו, בגופו או בכליו. </w:t>
      </w:r>
    </w:p>
    <w:p w:rsidR="005366A8" w:rsidRPr="00CB740D" w:rsidRDefault="005366A8" w:rsidP="005366A8">
      <w:pPr>
        <w:rPr>
          <w:rFonts w:cs="David"/>
          <w:b/>
          <w:bCs/>
          <w:sz w:val="20"/>
          <w:szCs w:val="20"/>
          <w:rtl/>
        </w:rPr>
      </w:pPr>
      <w:r w:rsidRPr="00CB740D">
        <w:rPr>
          <w:rFonts w:cs="David"/>
          <w:b/>
          <w:bCs/>
          <w:sz w:val="20"/>
          <w:szCs w:val="20"/>
          <w:highlight w:val="yellow"/>
          <w:rtl/>
        </w:rPr>
        <w:t>(ד)אין פוגעים בסוד שיחו של אדם, בכתביו או ברשומותיו.</w:t>
      </w:r>
      <w:r w:rsidRPr="00CB740D">
        <w:rPr>
          <w:rFonts w:cs="David"/>
          <w:b/>
          <w:bCs/>
          <w:sz w:val="20"/>
          <w:szCs w:val="20"/>
          <w:rtl/>
        </w:rPr>
        <w:t xml:space="preserve"> </w:t>
      </w:r>
    </w:p>
    <w:p w:rsidR="005366A8" w:rsidRDefault="005366A8" w:rsidP="005366A8">
      <w:pPr>
        <w:rPr>
          <w:szCs w:val="22"/>
          <w:rtl/>
        </w:rPr>
      </w:pPr>
    </w:p>
    <w:p w:rsidR="005366A8" w:rsidRDefault="005366A8" w:rsidP="005366A8">
      <w:pPr>
        <w:spacing w:after="120"/>
        <w:rPr>
          <w:b/>
          <w:bCs/>
          <w:sz w:val="22"/>
          <w:szCs w:val="22"/>
          <w:rtl/>
        </w:rPr>
      </w:pPr>
      <w:r w:rsidRPr="0007320F">
        <w:rPr>
          <w:rFonts w:ascii="Arial" w:hAnsi="Arial" w:cs="Arial"/>
          <w:b/>
          <w:bCs/>
          <w:sz w:val="22"/>
          <w:szCs w:val="22"/>
          <w:highlight w:val="yellow"/>
          <w:u w:val="single"/>
          <w:rtl/>
        </w:rPr>
        <w:t>הזכויות המנויות במפורש</w:t>
      </w:r>
      <w:r w:rsidRPr="00357C21">
        <w:rPr>
          <w:b/>
          <w:bCs/>
          <w:sz w:val="22"/>
          <w:szCs w:val="22"/>
          <w:rtl/>
        </w:rPr>
        <w:t>:</w:t>
      </w:r>
      <w:r w:rsidRPr="00357C21">
        <w:rPr>
          <w:sz w:val="22"/>
          <w:szCs w:val="22"/>
          <w:rtl/>
        </w:rPr>
        <w:t xml:space="preserve"> </w:t>
      </w:r>
    </w:p>
    <w:p w:rsidR="005366A8" w:rsidRDefault="005366A8" w:rsidP="005366A8">
      <w:pPr>
        <w:spacing w:after="120"/>
        <w:rPr>
          <w:b/>
          <w:bCs/>
          <w:sz w:val="22"/>
          <w:szCs w:val="22"/>
          <w:rtl/>
        </w:rPr>
      </w:pPr>
      <w:r w:rsidRPr="00357C21">
        <w:rPr>
          <w:b/>
          <w:bCs/>
          <w:sz w:val="22"/>
          <w:szCs w:val="22"/>
          <w:rtl/>
        </w:rPr>
        <w:t xml:space="preserve">הזכות לחיים, </w:t>
      </w:r>
    </w:p>
    <w:p w:rsidR="005366A8" w:rsidRDefault="005366A8" w:rsidP="005366A8">
      <w:pPr>
        <w:spacing w:after="120"/>
        <w:rPr>
          <w:b/>
          <w:bCs/>
          <w:sz w:val="22"/>
          <w:szCs w:val="22"/>
          <w:rtl/>
        </w:rPr>
      </w:pPr>
      <w:r w:rsidRPr="00357C21">
        <w:rPr>
          <w:b/>
          <w:bCs/>
          <w:sz w:val="22"/>
          <w:szCs w:val="22"/>
          <w:rtl/>
        </w:rPr>
        <w:t xml:space="preserve">(שלמות) הגוף, </w:t>
      </w:r>
    </w:p>
    <w:p w:rsidR="005366A8" w:rsidRDefault="005366A8" w:rsidP="005366A8">
      <w:pPr>
        <w:spacing w:after="120"/>
        <w:rPr>
          <w:b/>
          <w:bCs/>
          <w:sz w:val="22"/>
          <w:szCs w:val="22"/>
          <w:rtl/>
        </w:rPr>
      </w:pPr>
      <w:r w:rsidRPr="00357C21">
        <w:rPr>
          <w:b/>
          <w:bCs/>
          <w:sz w:val="22"/>
          <w:szCs w:val="22"/>
          <w:rtl/>
        </w:rPr>
        <w:t xml:space="preserve">"כבוד האדם", </w:t>
      </w:r>
    </w:p>
    <w:p w:rsidR="005366A8" w:rsidRDefault="005366A8" w:rsidP="005366A8">
      <w:pPr>
        <w:spacing w:after="120"/>
        <w:rPr>
          <w:b/>
          <w:bCs/>
          <w:sz w:val="22"/>
          <w:szCs w:val="22"/>
          <w:rtl/>
        </w:rPr>
      </w:pPr>
      <w:r w:rsidRPr="00357C21">
        <w:rPr>
          <w:b/>
          <w:bCs/>
          <w:sz w:val="22"/>
          <w:szCs w:val="22"/>
          <w:rtl/>
        </w:rPr>
        <w:t xml:space="preserve">זכות הקנין, </w:t>
      </w:r>
    </w:p>
    <w:p w:rsidR="005366A8" w:rsidRDefault="005366A8" w:rsidP="005366A8">
      <w:pPr>
        <w:spacing w:after="120"/>
        <w:rPr>
          <w:b/>
          <w:bCs/>
          <w:sz w:val="22"/>
          <w:szCs w:val="22"/>
          <w:rtl/>
        </w:rPr>
      </w:pPr>
      <w:r w:rsidRPr="00357C21">
        <w:rPr>
          <w:rFonts w:hint="cs"/>
          <w:b/>
          <w:bCs/>
          <w:sz w:val="22"/>
          <w:szCs w:val="22"/>
          <w:rtl/>
        </w:rPr>
        <w:t>"</w:t>
      </w:r>
      <w:r w:rsidRPr="00357C21">
        <w:rPr>
          <w:b/>
          <w:bCs/>
          <w:sz w:val="22"/>
          <w:szCs w:val="22"/>
          <w:rtl/>
        </w:rPr>
        <w:t>החירות</w:t>
      </w:r>
      <w:r w:rsidRPr="00357C21">
        <w:rPr>
          <w:rFonts w:hint="cs"/>
          <w:b/>
          <w:bCs/>
          <w:sz w:val="22"/>
          <w:szCs w:val="22"/>
          <w:rtl/>
        </w:rPr>
        <w:t>"</w:t>
      </w:r>
      <w:r w:rsidRPr="00357C21">
        <w:rPr>
          <w:b/>
          <w:bCs/>
          <w:sz w:val="22"/>
          <w:szCs w:val="22"/>
          <w:rtl/>
        </w:rPr>
        <w:t xml:space="preserve"> האישית, </w:t>
      </w:r>
    </w:p>
    <w:p w:rsidR="005366A8" w:rsidRDefault="005366A8" w:rsidP="005366A8">
      <w:pPr>
        <w:spacing w:after="120"/>
        <w:rPr>
          <w:b/>
          <w:bCs/>
          <w:sz w:val="22"/>
          <w:szCs w:val="22"/>
          <w:rtl/>
        </w:rPr>
      </w:pPr>
      <w:r w:rsidRPr="00357C21">
        <w:rPr>
          <w:b/>
          <w:bCs/>
          <w:sz w:val="22"/>
          <w:szCs w:val="22"/>
          <w:rtl/>
        </w:rPr>
        <w:t xml:space="preserve">זכות יציאה מישראל, </w:t>
      </w:r>
    </w:p>
    <w:p w:rsidR="005366A8" w:rsidRDefault="005366A8" w:rsidP="005366A8">
      <w:pPr>
        <w:spacing w:after="120"/>
        <w:rPr>
          <w:b/>
          <w:bCs/>
          <w:sz w:val="22"/>
          <w:szCs w:val="22"/>
          <w:rtl/>
        </w:rPr>
      </w:pPr>
      <w:r w:rsidRPr="00357C21">
        <w:rPr>
          <w:b/>
          <w:bCs/>
          <w:sz w:val="22"/>
          <w:szCs w:val="22"/>
          <w:rtl/>
        </w:rPr>
        <w:t xml:space="preserve">זכות הכניסה לישראל, </w:t>
      </w:r>
    </w:p>
    <w:p w:rsidR="005366A8" w:rsidRDefault="005366A8" w:rsidP="005366A8">
      <w:pPr>
        <w:spacing w:after="120"/>
        <w:rPr>
          <w:b/>
          <w:bCs/>
          <w:sz w:val="22"/>
          <w:szCs w:val="22"/>
          <w:rtl/>
        </w:rPr>
      </w:pPr>
      <w:r w:rsidRPr="00357C21">
        <w:rPr>
          <w:b/>
          <w:bCs/>
          <w:sz w:val="22"/>
          <w:szCs w:val="22"/>
          <w:rtl/>
        </w:rPr>
        <w:t>פרטיות</w:t>
      </w:r>
      <w:r>
        <w:rPr>
          <w:rFonts w:hint="cs"/>
          <w:b/>
          <w:bCs/>
          <w:sz w:val="22"/>
          <w:szCs w:val="22"/>
          <w:rtl/>
        </w:rPr>
        <w:t>;</w:t>
      </w:r>
    </w:p>
    <w:p w:rsidR="005366A8" w:rsidRDefault="005366A8" w:rsidP="005366A8">
      <w:pPr>
        <w:spacing w:after="120"/>
        <w:rPr>
          <w:b/>
          <w:bCs/>
          <w:sz w:val="22"/>
          <w:szCs w:val="22"/>
          <w:rtl/>
        </w:rPr>
      </w:pPr>
      <w:r>
        <w:rPr>
          <w:rFonts w:hint="cs"/>
          <w:b/>
          <w:bCs/>
          <w:sz w:val="22"/>
          <w:szCs w:val="22"/>
          <w:rtl/>
        </w:rPr>
        <w:t>הזכות ל</w:t>
      </w:r>
      <w:r w:rsidRPr="00357C21">
        <w:rPr>
          <w:b/>
          <w:bCs/>
          <w:sz w:val="22"/>
          <w:szCs w:val="22"/>
          <w:rtl/>
        </w:rPr>
        <w:t>חופש העיסוק</w:t>
      </w:r>
      <w:r>
        <w:rPr>
          <w:rFonts w:hint="cs"/>
          <w:b/>
          <w:bCs/>
          <w:sz w:val="22"/>
          <w:szCs w:val="22"/>
          <w:rtl/>
        </w:rPr>
        <w:t xml:space="preserve"> </w:t>
      </w:r>
      <w:r>
        <w:rPr>
          <w:b/>
          <w:bCs/>
          <w:sz w:val="22"/>
          <w:szCs w:val="22"/>
          <w:rtl/>
        </w:rPr>
        <w:t>–</w:t>
      </w:r>
      <w:r>
        <w:rPr>
          <w:rFonts w:hint="cs"/>
          <w:b/>
          <w:bCs/>
          <w:sz w:val="22"/>
          <w:szCs w:val="22"/>
          <w:rtl/>
        </w:rPr>
        <w:t xml:space="preserve"> חוק יסוד: חופש העיסוק;</w:t>
      </w:r>
    </w:p>
    <w:p w:rsidR="005366A8" w:rsidRPr="00475AB6" w:rsidRDefault="005366A8" w:rsidP="005366A8">
      <w:pPr>
        <w:spacing w:after="120"/>
        <w:rPr>
          <w:sz w:val="22"/>
          <w:szCs w:val="22"/>
          <w:rtl/>
        </w:rPr>
      </w:pPr>
      <w:r>
        <w:rPr>
          <w:rFonts w:hint="cs"/>
          <w:b/>
          <w:bCs/>
          <w:sz w:val="22"/>
          <w:szCs w:val="22"/>
          <w:rtl/>
        </w:rPr>
        <w:t xml:space="preserve">זכויות נוספות המוגנות במפורש בחוקי היסוד האחרים </w:t>
      </w:r>
      <w:r w:rsidRPr="00475AB6">
        <w:rPr>
          <w:rFonts w:hint="cs"/>
          <w:sz w:val="22"/>
          <w:szCs w:val="22"/>
          <w:rtl/>
        </w:rPr>
        <w:t>[ראו התייחסות קצרה לעיל]</w:t>
      </w:r>
    </w:p>
    <w:p w:rsidR="005366A8" w:rsidRDefault="005366A8" w:rsidP="005366A8">
      <w:pPr>
        <w:spacing w:after="120"/>
        <w:ind w:left="720"/>
        <w:rPr>
          <w:b/>
          <w:bCs/>
          <w:sz w:val="22"/>
          <w:szCs w:val="22"/>
          <w:rtl/>
        </w:rPr>
      </w:pPr>
    </w:p>
    <w:p w:rsidR="005366A8" w:rsidRPr="009812C8" w:rsidRDefault="005366A8" w:rsidP="005366A8">
      <w:pPr>
        <w:spacing w:after="120"/>
        <w:rPr>
          <w:rFonts w:ascii="Arial" w:hAnsi="Arial" w:cs="Arial"/>
          <w:b/>
          <w:bCs/>
          <w:sz w:val="22"/>
          <w:szCs w:val="22"/>
          <w:highlight w:val="yellow"/>
          <w:rtl/>
        </w:rPr>
      </w:pPr>
      <w:r w:rsidRPr="009812C8">
        <w:rPr>
          <w:rFonts w:ascii="Arial" w:hAnsi="Arial" w:cs="Arial" w:hint="cs"/>
          <w:b/>
          <w:bCs/>
          <w:sz w:val="22"/>
          <w:szCs w:val="22"/>
          <w:highlight w:val="yellow"/>
          <w:rtl/>
        </w:rPr>
        <w:t xml:space="preserve">זכויות </w:t>
      </w:r>
      <w:r w:rsidRPr="009812C8">
        <w:rPr>
          <w:rFonts w:ascii="Arial" w:hAnsi="Arial" w:cs="Arial" w:hint="cs"/>
          <w:b/>
          <w:bCs/>
          <w:sz w:val="22"/>
          <w:szCs w:val="22"/>
          <w:highlight w:val="yellow"/>
          <w:u w:val="single"/>
          <w:rtl/>
        </w:rPr>
        <w:t>שאינן מנויות במפורש</w:t>
      </w:r>
      <w:r w:rsidRPr="009812C8">
        <w:rPr>
          <w:rFonts w:ascii="Arial" w:hAnsi="Arial" w:cs="Arial" w:hint="cs"/>
          <w:b/>
          <w:bCs/>
          <w:sz w:val="22"/>
          <w:szCs w:val="22"/>
          <w:highlight w:val="yellow"/>
          <w:rtl/>
        </w:rPr>
        <w:t xml:space="preserve"> אך הן חלק מהזכויות המוגנות חוקתית: </w:t>
      </w:r>
    </w:p>
    <w:p w:rsidR="005366A8" w:rsidRPr="00CB740D" w:rsidRDefault="005366A8" w:rsidP="005366A8">
      <w:pPr>
        <w:spacing w:after="120"/>
        <w:rPr>
          <w:rFonts w:ascii="Arial" w:hAnsi="Arial" w:cs="Arial"/>
          <w:b/>
          <w:bCs/>
          <w:sz w:val="20"/>
          <w:szCs w:val="20"/>
          <w:rtl/>
        </w:rPr>
      </w:pPr>
      <w:r w:rsidRPr="00CB740D">
        <w:rPr>
          <w:rFonts w:ascii="Arial" w:hAnsi="Arial" w:cs="Arial" w:hint="cs"/>
          <w:b/>
          <w:bCs/>
          <w:sz w:val="20"/>
          <w:szCs w:val="20"/>
          <w:highlight w:val="yellow"/>
          <w:rtl/>
        </w:rPr>
        <w:t>א. זכויות שנמצאות מעוגנות בחוקי היסוד מכוח פרשנות לזכויות המנויות במפורש או מתוך פרשנות להוראות מיוחדות המופיעות בחוקי היסוד</w:t>
      </w:r>
    </w:p>
    <w:p w:rsidR="005366A8" w:rsidRPr="00030683" w:rsidRDefault="005366A8" w:rsidP="005366A8">
      <w:pPr>
        <w:spacing w:after="120"/>
        <w:ind w:left="720"/>
        <w:rPr>
          <w:sz w:val="22"/>
          <w:szCs w:val="22"/>
          <w:rtl/>
        </w:rPr>
      </w:pPr>
      <w:r>
        <w:rPr>
          <w:rFonts w:hint="cs"/>
          <w:sz w:val="22"/>
          <w:szCs w:val="22"/>
          <w:rtl/>
        </w:rPr>
        <w:t>דיון עיקרי והכרעה חלקית בכך מצויים בפסקי הדין בעניין חוק טל (התנועה לאיכות השלטון) ובעניין חוק האזרחות והכניסה לישראל (עדאלה)</w:t>
      </w:r>
    </w:p>
    <w:p w:rsidR="005366A8" w:rsidRPr="00CB740D" w:rsidRDefault="005366A8" w:rsidP="005366A8">
      <w:pPr>
        <w:spacing w:after="120"/>
        <w:rPr>
          <w:b/>
          <w:bCs/>
          <w:color w:val="993300"/>
          <w:sz w:val="20"/>
          <w:szCs w:val="20"/>
          <w:rtl/>
        </w:rPr>
      </w:pPr>
      <w:r w:rsidRPr="00CB740D">
        <w:rPr>
          <w:rFonts w:ascii="Arial" w:hAnsi="Arial" w:cs="Arial" w:hint="cs"/>
          <w:b/>
          <w:bCs/>
          <w:sz w:val="20"/>
          <w:szCs w:val="20"/>
          <w:highlight w:val="yellow"/>
          <w:rtl/>
        </w:rPr>
        <w:t xml:space="preserve">ב. "זכויות היסוד של האדם בישראל... יכובדו ברוח העקרונות שבהכרזה על הקמת מדינת ישראל" </w:t>
      </w:r>
      <w:r w:rsidRPr="00CB740D">
        <w:rPr>
          <w:rFonts w:ascii="Arial" w:hAnsi="Arial" w:cs="Arial"/>
          <w:b/>
          <w:bCs/>
          <w:sz w:val="20"/>
          <w:szCs w:val="20"/>
          <w:highlight w:val="yellow"/>
          <w:rtl/>
        </w:rPr>
        <w:t>–</w:t>
      </w:r>
      <w:r w:rsidRPr="00CB740D">
        <w:rPr>
          <w:rFonts w:ascii="Arial" w:hAnsi="Arial" w:cs="Arial" w:hint="cs"/>
          <w:b/>
          <w:bCs/>
          <w:sz w:val="20"/>
          <w:szCs w:val="20"/>
          <w:highlight w:val="yellow"/>
          <w:rtl/>
        </w:rPr>
        <w:t xml:space="preserve"> מה משמעות הדבר? </w:t>
      </w:r>
      <w:r w:rsidRPr="00CB740D">
        <w:rPr>
          <w:rFonts w:ascii="Arial" w:hAnsi="Arial" w:cs="Arial"/>
          <w:b/>
          <w:bCs/>
          <w:sz w:val="20"/>
          <w:szCs w:val="20"/>
          <w:highlight w:val="yellow"/>
          <w:rtl/>
        </w:rPr>
        <w:t xml:space="preserve">האם </w:t>
      </w:r>
      <w:r w:rsidRPr="00CB740D">
        <w:rPr>
          <w:rFonts w:ascii="Arial" w:hAnsi="Arial" w:cs="Arial" w:hint="cs"/>
          <w:b/>
          <w:bCs/>
          <w:sz w:val="20"/>
          <w:szCs w:val="20"/>
          <w:highlight w:val="yellow"/>
          <w:rtl/>
        </w:rPr>
        <w:t xml:space="preserve">ההכרזה היא </w:t>
      </w:r>
      <w:r w:rsidRPr="00CB740D">
        <w:rPr>
          <w:rFonts w:ascii="Arial" w:hAnsi="Arial" w:cs="Arial"/>
          <w:b/>
          <w:bCs/>
          <w:sz w:val="20"/>
          <w:szCs w:val="20"/>
          <w:highlight w:val="yellow"/>
          <w:rtl/>
        </w:rPr>
        <w:t>מקור נוסף לזכויות אדם המוגנות חוקתית?</w:t>
      </w:r>
      <w:r w:rsidRPr="00CB740D">
        <w:rPr>
          <w:rFonts w:hint="cs"/>
          <w:b/>
          <w:bCs/>
          <w:sz w:val="20"/>
          <w:szCs w:val="20"/>
          <w:rtl/>
        </w:rPr>
        <w:t xml:space="preserve"> </w:t>
      </w:r>
    </w:p>
    <w:p w:rsidR="005366A8" w:rsidRPr="00357C21" w:rsidRDefault="005366A8" w:rsidP="005366A8">
      <w:pPr>
        <w:spacing w:after="120"/>
        <w:ind w:left="720"/>
        <w:rPr>
          <w:b/>
          <w:bCs/>
          <w:color w:val="993300"/>
          <w:sz w:val="22"/>
          <w:szCs w:val="22"/>
          <w:rtl/>
        </w:rPr>
      </w:pPr>
      <w:r w:rsidRPr="00ED2FDD">
        <w:rPr>
          <w:rFonts w:cs="David"/>
          <w:sz w:val="22"/>
          <w:szCs w:val="22"/>
          <w:rtl/>
        </w:rPr>
        <w:t>מדינת ישראל תהא פתוחה ל</w:t>
      </w:r>
      <w:hyperlink r:id="rId135" w:history="1">
        <w:r w:rsidRPr="00ED2FDD">
          <w:rPr>
            <w:rFonts w:cs="David"/>
            <w:sz w:val="22"/>
            <w:szCs w:val="22"/>
            <w:rtl/>
          </w:rPr>
          <w:t>עלייה</w:t>
        </w:r>
      </w:hyperlink>
      <w:r w:rsidRPr="00ED2FDD">
        <w:rPr>
          <w:rFonts w:cs="David"/>
          <w:sz w:val="22"/>
          <w:szCs w:val="22"/>
          <w:rtl/>
        </w:rPr>
        <w:t xml:space="preserve"> היהודית ולקיבוץ גלויות; תשקוד על פיתוח הארץ לטובת כל תושביה; תהא מושתתת על יסודות החירות, הצד והשלום לאור חזונם של </w:t>
      </w:r>
      <w:hyperlink r:id="rId136" w:history="1">
        <w:r w:rsidRPr="00ED2FDD">
          <w:rPr>
            <w:rFonts w:cs="David"/>
            <w:sz w:val="22"/>
            <w:szCs w:val="22"/>
            <w:rtl/>
          </w:rPr>
          <w:t>נביאי ישראל</w:t>
        </w:r>
      </w:hyperlink>
      <w:r w:rsidRPr="00ED2FDD">
        <w:rPr>
          <w:rFonts w:cs="David"/>
          <w:sz w:val="22"/>
          <w:szCs w:val="22"/>
          <w:rtl/>
        </w:rPr>
        <w:t xml:space="preserve">; תקיים שוויון זכויות חברתי ומדיני גמור לכל אזרחיה בלי הבדל דת, גזע ומין; תבטיח חופש דת, מצפון,  לשון, חינוך ותרבות; תשמור על המקומות הקדושים של כל הדתות;  ותהיה נאמנה לעקרונותיה של </w:t>
      </w:r>
      <w:hyperlink r:id="rId137" w:history="1">
        <w:r w:rsidRPr="00ED2FDD">
          <w:rPr>
            <w:rFonts w:cs="David"/>
            <w:sz w:val="22"/>
            <w:szCs w:val="22"/>
            <w:rtl/>
          </w:rPr>
          <w:t>מגילת האומות המאוחדות</w:t>
        </w:r>
      </w:hyperlink>
      <w:r w:rsidRPr="00ED2FDD">
        <w:rPr>
          <w:rFonts w:cs="David"/>
          <w:sz w:val="22"/>
          <w:szCs w:val="22"/>
          <w:rtl/>
        </w:rPr>
        <w:t>.</w:t>
      </w:r>
    </w:p>
    <w:p w:rsidR="005366A8" w:rsidRDefault="005366A8" w:rsidP="005366A8">
      <w:pPr>
        <w:spacing w:after="120"/>
        <w:jc w:val="center"/>
        <w:rPr>
          <w:sz w:val="22"/>
          <w:szCs w:val="22"/>
          <w:rtl/>
        </w:rPr>
      </w:pPr>
      <w:r>
        <w:rPr>
          <w:rFonts w:hint="cs"/>
          <w:sz w:val="22"/>
          <w:szCs w:val="22"/>
          <w:rtl/>
        </w:rPr>
        <w:t xml:space="preserve">בשאלה ב' עוסק קצרות </w:t>
      </w:r>
      <w:r w:rsidRPr="00596F67">
        <w:rPr>
          <w:sz w:val="22"/>
          <w:szCs w:val="22"/>
          <w:highlight w:val="yellow"/>
          <w:rtl/>
        </w:rPr>
        <w:t xml:space="preserve">בג"צ 1554/95 </w:t>
      </w:r>
      <w:r w:rsidRPr="00596F67">
        <w:rPr>
          <w:b/>
          <w:bCs/>
          <w:sz w:val="22"/>
          <w:szCs w:val="22"/>
          <w:highlight w:val="yellow"/>
          <w:rtl/>
        </w:rPr>
        <w:t>עמותת "שוחרי גיל"ת" נ' שר החינוך, התרבות והספורט</w:t>
      </w:r>
      <w:r w:rsidRPr="00596F67">
        <w:rPr>
          <w:sz w:val="22"/>
          <w:szCs w:val="22"/>
          <w:highlight w:val="yellow"/>
          <w:rtl/>
        </w:rPr>
        <w:t>, פ"ד נ(3) 2</w:t>
      </w:r>
    </w:p>
    <w:p w:rsidR="005366A8" w:rsidRPr="005502D6" w:rsidRDefault="005366A8" w:rsidP="005366A8">
      <w:pPr>
        <w:spacing w:after="120"/>
        <w:rPr>
          <w:rtl/>
        </w:rPr>
      </w:pPr>
      <w:r w:rsidRPr="00357C21">
        <w:rPr>
          <w:rFonts w:hint="cs"/>
          <w:sz w:val="22"/>
          <w:szCs w:val="22"/>
          <w:rtl/>
        </w:rPr>
        <w:t>[</w:t>
      </w:r>
      <w:r>
        <w:rPr>
          <w:rFonts w:hint="cs"/>
          <w:sz w:val="22"/>
          <w:szCs w:val="22"/>
          <w:rtl/>
        </w:rPr>
        <w:t>השאלה מועלית אך לא זוכה להכרעה ברורה; השופט אור גם נוטה לפרש את המימד החוקתי של הזכות לחינוך בכיוון צר למדי.</w:t>
      </w:r>
      <w:r w:rsidRPr="00357C21">
        <w:rPr>
          <w:rFonts w:hint="cs"/>
          <w:sz w:val="22"/>
          <w:szCs w:val="22"/>
          <w:rtl/>
        </w:rPr>
        <w:t>]</w:t>
      </w:r>
    </w:p>
    <w:p w:rsidR="005366A8" w:rsidRPr="0007320F" w:rsidRDefault="005366A8" w:rsidP="005366A8">
      <w:pPr>
        <w:spacing w:after="120"/>
        <w:rPr>
          <w:rFonts w:cs="FrankRuehl"/>
          <w:sz w:val="22"/>
          <w:szCs w:val="22"/>
          <w:rtl/>
        </w:rPr>
      </w:pPr>
      <w:r w:rsidRPr="005502D6">
        <w:rPr>
          <w:rFonts w:cs="FrankRuehl"/>
          <w:rtl/>
        </w:rPr>
        <w:t>36</w:t>
      </w:r>
      <w:r w:rsidRPr="0007320F">
        <w:rPr>
          <w:rFonts w:cs="FrankRuehl"/>
          <w:sz w:val="22"/>
          <w:szCs w:val="22"/>
          <w:rtl/>
        </w:rPr>
        <w:t>. [</w:t>
      </w:r>
      <w:r w:rsidRPr="0007320F">
        <w:rPr>
          <w:rFonts w:cs="FrankRuehl"/>
          <w:sz w:val="22"/>
          <w:szCs w:val="22"/>
        </w:rPr>
        <w:t>…</w:t>
      </w:r>
      <w:r w:rsidRPr="0007320F">
        <w:rPr>
          <w:rFonts w:cs="FrankRuehl"/>
          <w:sz w:val="22"/>
          <w:szCs w:val="22"/>
          <w:rtl/>
        </w:rPr>
        <w:t>] זכות יסוד חוקתית טעונה עיגון חוקתי. טיעונם של העותרים מחייב  איתור  של  מקור חוקתי, ממנו נגזרת זכות היסוד החוקתית לחינוך. המסמך  החוקתי  היחיד  אשר עשוי להיות רלוונטי לטיעון זה, הוא חוק יסוד:  כבוד  האדם  וחירותו.  חוק  זה  אינו מעגן במפורש את הזכות לחינוך. האם  ניתן  לטעון,  כי במסגרת זכותו של כל אדם לכבוד, המעוגנת בחוק זה,  כלולה  גם הזכות לחינוך? טענה כזו מניחה "מודל רחב" בפרשנות הזכות לכבוד.  מודל כזה מעורר קושי ניכר.</w:t>
      </w:r>
      <w:r w:rsidRPr="0007320F">
        <w:rPr>
          <w:rFonts w:cs="FrankRuehl" w:hint="cs"/>
          <w:sz w:val="22"/>
          <w:szCs w:val="22"/>
          <w:rtl/>
        </w:rPr>
        <w:t xml:space="preserve"> [...]</w:t>
      </w:r>
      <w:r>
        <w:rPr>
          <w:rFonts w:cs="FrankRuehl" w:hint="cs"/>
          <w:sz w:val="22"/>
          <w:szCs w:val="22"/>
          <w:rtl/>
        </w:rPr>
        <w:tab/>
      </w:r>
    </w:p>
    <w:p w:rsidR="005366A8" w:rsidRPr="0007320F" w:rsidRDefault="005366A8" w:rsidP="005366A8">
      <w:pPr>
        <w:spacing w:after="120"/>
        <w:rPr>
          <w:rFonts w:cs="FrankRuehl"/>
          <w:sz w:val="22"/>
          <w:szCs w:val="22"/>
          <w:rtl/>
        </w:rPr>
      </w:pPr>
      <w:r w:rsidRPr="0007320F">
        <w:rPr>
          <w:rFonts w:cs="FrankRuehl"/>
          <w:sz w:val="22"/>
          <w:szCs w:val="22"/>
          <w:rtl/>
        </w:rPr>
        <w:t xml:space="preserve">37.   גם במקורות אליהם מפנים העותרים לא נמצא עיגון לזכות החוקתית לה טוענים העותרים. העותרים פונים בעתירתם לעיקרון "חופש החינוך" שבמגילת העצמאות. פניה זו מעוררת את שאלת מעמדה הנורמטיבי של מגילת העצמאות.  עד לחקיקת  חוק יסוד: כבוד האדם וחירותו, התפישה המשפטית המקובלת היתה כי אין במגילת העצמאות משום "חוק קונסטיטוציוני הפוסק הלכה למעשה בדבר קיום פקודות וחוקים שונים או ביטולם" (ראו:  בג"צ  10/48  זיו נ' גוברניק, פ"ד  א'  85, 89). בחוקי היסוד שנתקבלו בשנים האחרונות </w:t>
      </w:r>
      <w:r w:rsidRPr="0007320F">
        <w:rPr>
          <w:rFonts w:cs="FrankRuehl"/>
          <w:sz w:val="22"/>
          <w:szCs w:val="22"/>
        </w:rPr>
        <w:t>–</w:t>
      </w:r>
      <w:r w:rsidRPr="0007320F">
        <w:rPr>
          <w:rFonts w:cs="FrankRuehl"/>
          <w:sz w:val="22"/>
          <w:szCs w:val="22"/>
          <w:rtl/>
        </w:rPr>
        <w:t xml:space="preserve"> חוק יסוד: כבוד  האדם  וחירותו  וחוק  יסוד:  חופש  העיסוק  - נכללה הוראה המתייחסת למגילת  העצמאות.  כך  קובע  סעיף  1  לחוק  יסוד: כבוד האדם וחירותו, כי:</w:t>
      </w:r>
      <w:r>
        <w:rPr>
          <w:rFonts w:cs="FrankRuehl" w:hint="cs"/>
          <w:sz w:val="22"/>
          <w:szCs w:val="22"/>
          <w:rtl/>
        </w:rPr>
        <w:t xml:space="preserve"> </w:t>
      </w:r>
      <w:r w:rsidRPr="0007320F">
        <w:rPr>
          <w:rFonts w:cs="FrankRuehl"/>
          <w:sz w:val="22"/>
          <w:szCs w:val="22"/>
          <w:rtl/>
        </w:rPr>
        <w:t>"זכויות היסוד של האדם בישראל מושתתות על ההכרה בערך האדם, בקדושת חייו ובהיותו בן חורין והן יכובדו ברוח העקרונות שבהכרזה על הקמת מדינת ישראל".</w:t>
      </w:r>
    </w:p>
    <w:p w:rsidR="005366A8" w:rsidRPr="0007320F" w:rsidRDefault="005366A8" w:rsidP="005366A8">
      <w:pPr>
        <w:spacing w:after="120"/>
        <w:rPr>
          <w:rFonts w:cs="FrankRuehl"/>
          <w:sz w:val="22"/>
          <w:szCs w:val="22"/>
          <w:rtl/>
        </w:rPr>
      </w:pPr>
      <w:r w:rsidRPr="0007320F">
        <w:rPr>
          <w:rFonts w:cs="FrankRuehl"/>
          <w:sz w:val="22"/>
          <w:szCs w:val="22"/>
          <w:rtl/>
        </w:rPr>
        <w:t>הוראה זו מעוררת שאלה, מהו מעמדה של מגילת העצמאות כיום. שאלה זו אינה  פשוטה.  יתכנו  לגביה  פתרונות שונים. פיתרון אפשרי אחד הוא, שניתן למגילת העצמאות מעמד של מקור וכלי עזר לפרשנות, מבלי שהפכה מקור עצמאי לזכויות</w:t>
      </w:r>
      <w:r w:rsidRPr="0007320F">
        <w:rPr>
          <w:rFonts w:cs="FrankRuehl" w:hint="cs"/>
          <w:sz w:val="22"/>
          <w:szCs w:val="22"/>
          <w:rtl/>
        </w:rPr>
        <w:t xml:space="preserve"> </w:t>
      </w:r>
      <w:r w:rsidRPr="0007320F">
        <w:rPr>
          <w:rFonts w:cs="FrankRuehl"/>
          <w:sz w:val="22"/>
          <w:szCs w:val="22"/>
          <w:rtl/>
        </w:rPr>
        <w:t>אדם (ברק,  פרשנות  במשפט, כרך שלישי - פרשנות חוקתית (ירושלים, 1994), בעמוד 305). פיתרון אפשרי אחר הוא, שמכוח הוראת סעיף 1 הנ"ל הפכה מגילת העצמאות למקור עצמאי לזכויות אדם (שם, בעמוד 306).  בין מודלים אפשריים אלה אין הכרעה. הנושא נשאר פתוח, הן בספרות והן בפסיקה.  [</w:t>
      </w:r>
      <w:r w:rsidRPr="0007320F">
        <w:rPr>
          <w:rFonts w:cs="FrankRuehl"/>
          <w:sz w:val="22"/>
          <w:szCs w:val="22"/>
        </w:rPr>
        <w:t>…</w:t>
      </w:r>
      <w:r w:rsidRPr="0007320F">
        <w:rPr>
          <w:rFonts w:cs="FrankRuehl"/>
          <w:sz w:val="22"/>
          <w:szCs w:val="22"/>
          <w:rtl/>
        </w:rPr>
        <w:t>]</w:t>
      </w:r>
    </w:p>
    <w:p w:rsidR="005366A8" w:rsidRDefault="005366A8" w:rsidP="005366A8">
      <w:pPr>
        <w:spacing w:after="120"/>
        <w:rPr>
          <w:color w:val="993300"/>
          <w:sz w:val="22"/>
          <w:szCs w:val="22"/>
          <w:rtl/>
        </w:rPr>
      </w:pPr>
      <w:r w:rsidRPr="0007320F">
        <w:rPr>
          <w:rFonts w:cs="FrankRuehl"/>
          <w:sz w:val="22"/>
          <w:szCs w:val="22"/>
          <w:rtl/>
        </w:rPr>
        <w:t>מה שראוי  להדגיש לענייננו הוא, כי העותרים לא התמודדו עם השאלה</w:t>
      </w:r>
      <w:r w:rsidRPr="0007320F">
        <w:rPr>
          <w:rFonts w:cs="FrankRuehl" w:hint="cs"/>
          <w:sz w:val="22"/>
          <w:szCs w:val="22"/>
          <w:rtl/>
        </w:rPr>
        <w:t xml:space="preserve"> </w:t>
      </w:r>
      <w:r w:rsidRPr="0007320F">
        <w:rPr>
          <w:rFonts w:cs="FrankRuehl"/>
          <w:sz w:val="22"/>
          <w:szCs w:val="22"/>
          <w:rtl/>
        </w:rPr>
        <w:t xml:space="preserve">כיצד נובעת מן החירות שעוגנה במגילת העצמאות </w:t>
      </w:r>
      <w:r w:rsidRPr="0007320F">
        <w:rPr>
          <w:rFonts w:cs="FrankRuehl"/>
          <w:sz w:val="22"/>
          <w:szCs w:val="22"/>
        </w:rPr>
        <w:t>–</w:t>
      </w:r>
      <w:r w:rsidRPr="0007320F">
        <w:rPr>
          <w:rFonts w:cs="FrankRuehl"/>
          <w:sz w:val="22"/>
          <w:szCs w:val="22"/>
          <w:rtl/>
        </w:rPr>
        <w:t xml:space="preserve"> "חופש החינוך" </w:t>
      </w:r>
      <w:r w:rsidRPr="0007320F">
        <w:rPr>
          <w:rFonts w:cs="FrankRuehl"/>
          <w:sz w:val="22"/>
          <w:szCs w:val="22"/>
        </w:rPr>
        <w:t>–</w:t>
      </w:r>
      <w:r w:rsidRPr="0007320F">
        <w:rPr>
          <w:rFonts w:cs="FrankRuehl"/>
          <w:sz w:val="22"/>
          <w:szCs w:val="22"/>
          <w:rtl/>
        </w:rPr>
        <w:t xml:space="preserve"> חובה אפירמטיבית </w:t>
      </w:r>
      <w:r>
        <w:rPr>
          <w:rFonts w:cs="FrankRuehl" w:hint="cs"/>
          <w:sz w:val="22"/>
          <w:szCs w:val="22"/>
          <w:rtl/>
        </w:rPr>
        <w:t xml:space="preserve">[ברורה/מחייבת] </w:t>
      </w:r>
      <w:r w:rsidRPr="0007320F">
        <w:rPr>
          <w:rFonts w:cs="FrankRuehl"/>
          <w:sz w:val="22"/>
          <w:szCs w:val="22"/>
          <w:rtl/>
        </w:rPr>
        <w:t>של  המדינה לספק חינוך לילדים בגילם של העותרים 3 ו-5 ברמה לה הם שואפים.  הזכות ל"חופש  חינוך", על פי פשוטה, באה להבטיח חירות ובחירה בחינוך. כך, למשל, הורים המבקשים ליתן חינוך דתי לילדיהם, שמורים להם החופש והבחירה להקנות להם חינוך כזה. ובדומה, להורים החפצים להקנות לילדיהם חינוך  אחר,  שאינו  דתי,  החופש  לבחור עבורם בחינוך כזה. אך הזכות "לחופש  חינוך",  כשלעצמה,  אינה כוללת את חובתה של המדינה לספק חינוך כזה  או  אחר.  לא ניתן, על כן, להיענות לעתירת העותרים על בסיס זה, אפילו היינו גורסים - מבלי שנקבע עמדה בעניין זה - שמגילת העצמאות הפכה למקור עצמאי לזכויות אדם.</w:t>
      </w:r>
    </w:p>
    <w:p w:rsidR="005366A8" w:rsidRDefault="005366A8" w:rsidP="005366A8">
      <w:pPr>
        <w:spacing w:after="120"/>
        <w:rPr>
          <w:color w:val="993300"/>
          <w:sz w:val="22"/>
          <w:szCs w:val="22"/>
          <w:rtl/>
        </w:rPr>
      </w:pPr>
      <w:r>
        <w:rPr>
          <w:rFonts w:hint="cs"/>
          <w:color w:val="993300"/>
          <w:sz w:val="22"/>
          <w:szCs w:val="22"/>
          <w:rtl/>
        </w:rPr>
        <w:t>=-=</w:t>
      </w:r>
    </w:p>
    <w:p w:rsidR="005366A8" w:rsidRPr="00044364" w:rsidRDefault="005366A8" w:rsidP="005366A8">
      <w:pPr>
        <w:spacing w:after="120"/>
        <w:jc w:val="center"/>
        <w:rPr>
          <w:u w:val="single"/>
          <w:rtl/>
        </w:rPr>
      </w:pPr>
      <w:r w:rsidRPr="00327F7A">
        <w:rPr>
          <w:rFonts w:ascii="Arial" w:hAnsi="Arial" w:cs="Arial"/>
          <w:b/>
          <w:bCs/>
          <w:highlight w:val="yellow"/>
          <w:u w:val="single"/>
          <w:rtl/>
        </w:rPr>
        <w:t>פרשנותן של "זכויות סל" דוגמת "חירות" או "כבוד האדם"</w:t>
      </w:r>
    </w:p>
    <w:p w:rsidR="005366A8" w:rsidRDefault="005366A8" w:rsidP="005366A8">
      <w:pPr>
        <w:spacing w:after="120"/>
        <w:rPr>
          <w:b/>
          <w:bCs/>
          <w:sz w:val="22"/>
          <w:szCs w:val="22"/>
          <w:rtl/>
        </w:rPr>
      </w:pPr>
      <w:r w:rsidRPr="00357C21">
        <w:rPr>
          <w:rFonts w:hint="cs"/>
          <w:b/>
          <w:bCs/>
          <w:sz w:val="22"/>
          <w:szCs w:val="22"/>
          <w:rtl/>
        </w:rPr>
        <w:t xml:space="preserve">שאלה מרכזית היא </w:t>
      </w:r>
      <w:r w:rsidRPr="00357C21">
        <w:rPr>
          <w:b/>
          <w:bCs/>
          <w:sz w:val="22"/>
          <w:szCs w:val="22"/>
          <w:rtl/>
        </w:rPr>
        <w:t xml:space="preserve">היקף תחולתה של הזכות בדבר </w:t>
      </w:r>
      <w:r w:rsidRPr="00357C21">
        <w:rPr>
          <w:b/>
          <w:bCs/>
          <w:sz w:val="22"/>
          <w:szCs w:val="22"/>
          <w:u w:val="single"/>
          <w:rtl/>
        </w:rPr>
        <w:t>"כבוד האדם"</w:t>
      </w:r>
      <w:r w:rsidRPr="00357C21">
        <w:rPr>
          <w:b/>
          <w:bCs/>
          <w:sz w:val="22"/>
          <w:szCs w:val="22"/>
          <w:rtl/>
        </w:rPr>
        <w:t xml:space="preserve"> </w:t>
      </w:r>
      <w:r w:rsidRPr="00357C21">
        <w:rPr>
          <w:b/>
          <w:bCs/>
          <w:sz w:val="22"/>
          <w:szCs w:val="22"/>
        </w:rPr>
        <w:t>–</w:t>
      </w:r>
      <w:r w:rsidRPr="00357C21">
        <w:rPr>
          <w:b/>
          <w:bCs/>
          <w:sz w:val="22"/>
          <w:szCs w:val="22"/>
          <w:rtl/>
        </w:rPr>
        <w:t xml:space="preserve"> </w:t>
      </w:r>
      <w:r w:rsidRPr="00357C21">
        <w:rPr>
          <w:rFonts w:hint="cs"/>
          <w:b/>
          <w:bCs/>
          <w:sz w:val="22"/>
          <w:szCs w:val="22"/>
          <w:u w:val="single"/>
          <w:rtl/>
        </w:rPr>
        <w:t>האם תגונן על "השוויון",</w:t>
      </w:r>
      <w:r w:rsidRPr="00357C21">
        <w:rPr>
          <w:rFonts w:hint="cs"/>
          <w:b/>
          <w:bCs/>
          <w:sz w:val="22"/>
          <w:szCs w:val="22"/>
          <w:rtl/>
        </w:rPr>
        <w:t xml:space="preserve"> שאינו מוגן </w:t>
      </w:r>
      <w:r w:rsidRPr="00044364">
        <w:rPr>
          <w:rFonts w:hint="cs"/>
          <w:b/>
          <w:bCs/>
          <w:i/>
          <w:iCs/>
          <w:sz w:val="22"/>
          <w:szCs w:val="22"/>
          <w:rtl/>
        </w:rPr>
        <w:t>במפורש</w:t>
      </w:r>
      <w:r w:rsidRPr="00357C21">
        <w:rPr>
          <w:rFonts w:hint="cs"/>
          <w:b/>
          <w:bCs/>
          <w:sz w:val="22"/>
          <w:szCs w:val="22"/>
          <w:rtl/>
        </w:rPr>
        <w:t xml:space="preserve"> בחוק היסוד?  האם הזכות ל"כבוד האדם" מגוננת </w:t>
      </w:r>
      <w:r w:rsidRPr="00357C21">
        <w:rPr>
          <w:rFonts w:hint="cs"/>
          <w:b/>
          <w:bCs/>
          <w:sz w:val="22"/>
          <w:szCs w:val="22"/>
          <w:u w:val="single"/>
          <w:rtl/>
        </w:rPr>
        <w:t>על זכויות יסוד אחרות</w:t>
      </w:r>
      <w:r w:rsidRPr="00357C21">
        <w:rPr>
          <w:rFonts w:hint="cs"/>
          <w:b/>
          <w:bCs/>
          <w:sz w:val="22"/>
          <w:szCs w:val="22"/>
          <w:rtl/>
        </w:rPr>
        <w:t xml:space="preserve"> שאינן מנויות במפורש בחוק היסוד?  </w:t>
      </w:r>
    </w:p>
    <w:p w:rsidR="005366A8" w:rsidRDefault="005366A8" w:rsidP="005366A8">
      <w:pPr>
        <w:spacing w:after="120"/>
        <w:rPr>
          <w:b/>
          <w:bCs/>
          <w:sz w:val="22"/>
          <w:szCs w:val="22"/>
          <w:rtl/>
        </w:rPr>
      </w:pPr>
      <w:r>
        <w:rPr>
          <w:rFonts w:hint="cs"/>
          <w:b/>
          <w:bCs/>
          <w:sz w:val="22"/>
          <w:szCs w:val="22"/>
          <w:rtl/>
        </w:rPr>
        <w:t>התשובה שנתנה הפסיקה לשתי השאלות היא תשובה חיובית.  יש עם זאת, הבדלים מסוימים ביחס ל</w:t>
      </w:r>
      <w:r w:rsidRPr="00357C21">
        <w:rPr>
          <w:b/>
          <w:bCs/>
          <w:sz w:val="22"/>
          <w:szCs w:val="22"/>
          <w:rtl/>
        </w:rPr>
        <w:t xml:space="preserve">מודלים </w:t>
      </w:r>
      <w:r>
        <w:rPr>
          <w:rFonts w:hint="cs"/>
          <w:b/>
          <w:bCs/>
          <w:sz w:val="22"/>
          <w:szCs w:val="22"/>
          <w:rtl/>
        </w:rPr>
        <w:t>ה</w:t>
      </w:r>
      <w:r w:rsidRPr="00357C21">
        <w:rPr>
          <w:rFonts w:hint="cs"/>
          <w:b/>
          <w:bCs/>
          <w:sz w:val="22"/>
          <w:szCs w:val="22"/>
          <w:rtl/>
        </w:rPr>
        <w:t>פרשניים</w:t>
      </w:r>
      <w:r>
        <w:rPr>
          <w:rFonts w:hint="cs"/>
          <w:b/>
          <w:bCs/>
          <w:sz w:val="22"/>
          <w:szCs w:val="22"/>
          <w:rtl/>
        </w:rPr>
        <w:t>, וכתולדה מכך הבדל בהיקף הזכויות שזוכות להגנה חוקתית.  ראו להלן את השוני ביחס לסוגיית ההגנה על השוויון/ איסור ההפליה</w:t>
      </w:r>
      <w:r w:rsidRPr="00357C21">
        <w:rPr>
          <w:b/>
          <w:bCs/>
          <w:sz w:val="22"/>
          <w:szCs w:val="22"/>
          <w:rtl/>
        </w:rPr>
        <w:t xml:space="preserve">. </w:t>
      </w:r>
    </w:p>
    <w:p w:rsidR="005366A8" w:rsidRPr="00357C21" w:rsidRDefault="005366A8" w:rsidP="005366A8">
      <w:pPr>
        <w:spacing w:after="120"/>
        <w:rPr>
          <w:b/>
          <w:bCs/>
          <w:sz w:val="22"/>
          <w:szCs w:val="22"/>
          <w:rtl/>
        </w:rPr>
      </w:pPr>
      <w:r w:rsidRPr="00357C21">
        <w:rPr>
          <w:b/>
          <w:bCs/>
          <w:sz w:val="22"/>
          <w:szCs w:val="22"/>
          <w:rtl/>
        </w:rPr>
        <w:t xml:space="preserve"> </w:t>
      </w:r>
      <w:r>
        <w:rPr>
          <w:rFonts w:hint="cs"/>
          <w:b/>
          <w:bCs/>
          <w:sz w:val="22"/>
          <w:szCs w:val="22"/>
          <w:rtl/>
        </w:rPr>
        <w:t>=-=</w:t>
      </w:r>
    </w:p>
    <w:p w:rsidR="005366A8" w:rsidRDefault="005366A8" w:rsidP="005366A8">
      <w:pPr>
        <w:spacing w:after="120"/>
        <w:jc w:val="center"/>
        <w:rPr>
          <w:sz w:val="22"/>
          <w:szCs w:val="22"/>
          <w:rtl/>
        </w:rPr>
      </w:pPr>
      <w:r w:rsidRPr="00802E07">
        <w:rPr>
          <w:rFonts w:ascii="Arial" w:hAnsi="Arial" w:cs="Arial" w:hint="cs"/>
          <w:b/>
          <w:bCs/>
          <w:sz w:val="22"/>
          <w:szCs w:val="22"/>
          <w:highlight w:val="yellow"/>
          <w:u w:val="single"/>
          <w:rtl/>
        </w:rPr>
        <w:t>הזכות ל"כבוד האדם"</w:t>
      </w:r>
      <w:r w:rsidRPr="00802E07">
        <w:rPr>
          <w:rFonts w:ascii="Arial" w:hAnsi="Arial" w:cs="Arial" w:hint="cs"/>
          <w:b/>
          <w:bCs/>
          <w:sz w:val="22"/>
          <w:szCs w:val="22"/>
          <w:highlight w:val="yellow"/>
          <w:rtl/>
        </w:rPr>
        <w:t xml:space="preserve">: </w:t>
      </w:r>
      <w:r w:rsidRPr="00802E07">
        <w:rPr>
          <w:rFonts w:ascii="Arial" w:hAnsi="Arial" w:cs="Arial"/>
          <w:b/>
          <w:bCs/>
          <w:sz w:val="22"/>
          <w:szCs w:val="22"/>
          <w:highlight w:val="yellow"/>
          <w:u w:val="single"/>
          <w:rtl/>
        </w:rPr>
        <w:t xml:space="preserve">סוגיית </w:t>
      </w:r>
      <w:r w:rsidRPr="00802E07">
        <w:rPr>
          <w:rFonts w:ascii="Arial" w:hAnsi="Arial" w:cs="Arial" w:hint="cs"/>
          <w:b/>
          <w:bCs/>
          <w:sz w:val="22"/>
          <w:szCs w:val="22"/>
          <w:highlight w:val="yellow"/>
          <w:u w:val="single"/>
          <w:rtl/>
        </w:rPr>
        <w:t>הזכות ל</w:t>
      </w:r>
      <w:r w:rsidRPr="00802E07">
        <w:rPr>
          <w:rFonts w:ascii="Arial" w:hAnsi="Arial" w:cs="Arial"/>
          <w:b/>
          <w:bCs/>
          <w:sz w:val="22"/>
          <w:szCs w:val="22"/>
          <w:highlight w:val="yellow"/>
          <w:u w:val="single"/>
          <w:rtl/>
        </w:rPr>
        <w:t>שוויון וההגנה עלי</w:t>
      </w:r>
      <w:r w:rsidRPr="00802E07">
        <w:rPr>
          <w:rFonts w:ascii="Arial" w:hAnsi="Arial" w:cs="Arial" w:hint="cs"/>
          <w:b/>
          <w:bCs/>
          <w:sz w:val="22"/>
          <w:szCs w:val="22"/>
          <w:highlight w:val="yellow"/>
          <w:u w:val="single"/>
          <w:rtl/>
        </w:rPr>
        <w:t>ה</w:t>
      </w:r>
      <w:r w:rsidRPr="00802E07">
        <w:rPr>
          <w:rFonts w:ascii="Arial" w:hAnsi="Arial" w:cs="Arial"/>
          <w:b/>
          <w:bCs/>
          <w:sz w:val="22"/>
          <w:szCs w:val="22"/>
          <w:highlight w:val="yellow"/>
          <w:u w:val="single"/>
          <w:rtl/>
        </w:rPr>
        <w:t xml:space="preserve"> ברובד החוקתי</w:t>
      </w:r>
      <w:r w:rsidRPr="00802E07">
        <w:rPr>
          <w:rFonts w:ascii="Arial" w:hAnsi="Arial" w:cs="Arial"/>
          <w:b/>
          <w:bCs/>
          <w:sz w:val="22"/>
          <w:szCs w:val="22"/>
          <w:highlight w:val="yellow"/>
          <w:rtl/>
        </w:rPr>
        <w:t xml:space="preserve"> </w:t>
      </w:r>
      <w:r w:rsidRPr="00802E07">
        <w:rPr>
          <w:b/>
          <w:bCs/>
          <w:sz w:val="22"/>
          <w:szCs w:val="22"/>
          <w:highlight w:val="yellow"/>
          <w:rtl/>
        </w:rPr>
        <w:t>–</w:t>
      </w:r>
    </w:p>
    <w:p w:rsidR="005366A8" w:rsidRDefault="005366A8" w:rsidP="005366A8">
      <w:pPr>
        <w:spacing w:after="120"/>
        <w:rPr>
          <w:rFonts w:ascii="Arial" w:hAnsi="Arial" w:cs="Arial"/>
          <w:sz w:val="18"/>
          <w:szCs w:val="18"/>
          <w:rtl/>
        </w:rPr>
      </w:pPr>
      <w:r>
        <w:rPr>
          <w:rFonts w:ascii="Arial" w:hAnsi="Arial" w:cs="Arial" w:hint="cs"/>
          <w:sz w:val="18"/>
          <w:szCs w:val="18"/>
          <w:rtl/>
        </w:rPr>
        <w:t xml:space="preserve">עמדה חשובה שהושמעה בהקשר זה באמצע שנות ה-90, היא </w:t>
      </w:r>
      <w:r w:rsidRPr="000232B1">
        <w:rPr>
          <w:rFonts w:ascii="Arial" w:hAnsi="Arial" w:cs="Arial" w:hint="cs"/>
          <w:sz w:val="18"/>
          <w:szCs w:val="18"/>
          <w:rtl/>
        </w:rPr>
        <w:t xml:space="preserve">עמדתה של השופטת דורנר בפס"ד </w:t>
      </w:r>
      <w:r w:rsidRPr="000232B1">
        <w:rPr>
          <w:rFonts w:ascii="Arial" w:hAnsi="Arial" w:cs="Arial" w:hint="cs"/>
          <w:b/>
          <w:bCs/>
          <w:i/>
          <w:iCs/>
          <w:sz w:val="18"/>
          <w:szCs w:val="18"/>
          <w:rtl/>
        </w:rPr>
        <w:t>מילר</w:t>
      </w:r>
      <w:r>
        <w:rPr>
          <w:rFonts w:ascii="Arial" w:hAnsi="Arial" w:cs="Arial" w:hint="cs"/>
          <w:b/>
          <w:bCs/>
          <w:i/>
          <w:iCs/>
          <w:sz w:val="18"/>
          <w:szCs w:val="18"/>
          <w:rtl/>
        </w:rPr>
        <w:t>.</w:t>
      </w:r>
      <w:r w:rsidRPr="000232B1">
        <w:rPr>
          <w:rFonts w:ascii="Arial" w:hAnsi="Arial" w:cs="Arial" w:hint="cs"/>
          <w:sz w:val="18"/>
          <w:szCs w:val="18"/>
          <w:rtl/>
        </w:rPr>
        <w:t xml:space="preserve"> </w:t>
      </w:r>
      <w:r>
        <w:rPr>
          <w:rFonts w:ascii="Arial" w:hAnsi="Arial" w:cs="Arial" w:hint="cs"/>
          <w:sz w:val="18"/>
          <w:szCs w:val="18"/>
          <w:rtl/>
        </w:rPr>
        <w:t xml:space="preserve">היא עסקה שם ישירות </w:t>
      </w:r>
      <w:r w:rsidRPr="000232B1">
        <w:rPr>
          <w:rFonts w:ascii="Arial" w:hAnsi="Arial" w:cs="Arial" w:hint="cs"/>
          <w:sz w:val="18"/>
          <w:szCs w:val="18"/>
          <w:rtl/>
        </w:rPr>
        <w:t>בשאלת ההגנה על הזכות לשוויון מכוח ההגנה בחוק יסוד: כבוד האדם וחירותו על הזכות "לכבוד האדם".</w:t>
      </w:r>
      <w:r>
        <w:rPr>
          <w:rFonts w:ascii="Arial" w:hAnsi="Arial" w:cs="Arial" w:hint="cs"/>
          <w:sz w:val="18"/>
          <w:szCs w:val="18"/>
          <w:rtl/>
        </w:rPr>
        <w:t xml:space="preserve"> </w:t>
      </w:r>
    </w:p>
    <w:p w:rsidR="005366A8" w:rsidRDefault="005366A8" w:rsidP="005366A8">
      <w:pPr>
        <w:spacing w:after="120"/>
        <w:rPr>
          <w:rFonts w:ascii="Arial" w:hAnsi="Arial" w:cs="Arial"/>
          <w:sz w:val="18"/>
          <w:szCs w:val="18"/>
          <w:rtl/>
        </w:rPr>
      </w:pPr>
      <w:r>
        <w:rPr>
          <w:rFonts w:ascii="Arial" w:hAnsi="Arial" w:cs="Arial" w:hint="cs"/>
          <w:sz w:val="18"/>
          <w:szCs w:val="18"/>
          <w:rtl/>
        </w:rPr>
        <w:t>עמדה זו מעניינת וחשובה משני טעמים עיקריים: א. היא מבהירה שם היטב את הקשר בין אפליה על בסיס קבוצתי לבין השפלה (= קרי, התרחשות שאין חולק כי היא פגיעה בכבוד האדם); ו-ב. היא חשובה משום שהיא עוסקת שם ישירות בשאלה של איזה משמעות יש לייחס לכך שהכנסת בחרה שלא להכניס זכות מפורשת לשוויון אל תוך חוק יסוד: כבוד האדם וחירותו.</w:t>
      </w:r>
    </w:p>
    <w:p w:rsidR="005366A8" w:rsidRDefault="005366A8" w:rsidP="005366A8">
      <w:pPr>
        <w:rPr>
          <w:rFonts w:ascii="Arial" w:hAnsi="Arial" w:cs="Arial"/>
          <w:sz w:val="18"/>
          <w:szCs w:val="18"/>
          <w:rtl/>
        </w:rPr>
      </w:pPr>
      <w:r>
        <w:rPr>
          <w:rFonts w:ascii="Arial" w:hAnsi="Arial" w:cs="Arial" w:hint="cs"/>
          <w:sz w:val="18"/>
          <w:szCs w:val="18"/>
          <w:rtl/>
        </w:rPr>
        <w:t xml:space="preserve">[עשור אחר כך, בית המשפט העליון בוחר </w:t>
      </w:r>
      <w:r w:rsidRPr="000232B1">
        <w:rPr>
          <w:rFonts w:ascii="Arial" w:hAnsi="Arial" w:cs="Arial" w:hint="cs"/>
          <w:sz w:val="18"/>
          <w:szCs w:val="18"/>
          <w:rtl/>
        </w:rPr>
        <w:t>בגישה מרחיבה יותר</w:t>
      </w:r>
      <w:r>
        <w:rPr>
          <w:rFonts w:ascii="Arial" w:hAnsi="Arial" w:cs="Arial" w:hint="cs"/>
          <w:sz w:val="18"/>
          <w:szCs w:val="18"/>
          <w:rtl/>
        </w:rPr>
        <w:t>;</w:t>
      </w:r>
      <w:r w:rsidRPr="000232B1">
        <w:rPr>
          <w:rFonts w:ascii="Arial" w:hAnsi="Arial" w:cs="Arial" w:hint="cs"/>
          <w:sz w:val="18"/>
          <w:szCs w:val="18"/>
          <w:rtl/>
        </w:rPr>
        <w:t xml:space="preserve"> </w:t>
      </w:r>
      <w:r>
        <w:rPr>
          <w:rFonts w:ascii="Arial" w:hAnsi="Arial" w:cs="Arial" w:hint="cs"/>
          <w:sz w:val="18"/>
          <w:szCs w:val="18"/>
          <w:rtl/>
        </w:rPr>
        <w:t>כזו שכוללת בין ההיבטים של הזכות לשוויון הזוכים למעמד חוקתי מכוח הזכות לכבוד האדם, היבטים הפוסעים גם מעבר לאיסור אפליה על בסיס קבוצתי מהסוג שמשדרת נחיתות/ מגבשת השפלה. עמדה זו ה</w:t>
      </w:r>
      <w:r w:rsidRPr="000232B1">
        <w:rPr>
          <w:rFonts w:ascii="Arial" w:hAnsi="Arial" w:cs="Arial" w:hint="cs"/>
          <w:sz w:val="18"/>
          <w:szCs w:val="18"/>
          <w:rtl/>
        </w:rPr>
        <w:t xml:space="preserve">ופיעה בפס"ד </w:t>
      </w:r>
      <w:r w:rsidRPr="00011EC4">
        <w:rPr>
          <w:rFonts w:ascii="Arial" w:hAnsi="Arial" w:cs="Arial" w:hint="cs"/>
          <w:b/>
          <w:bCs/>
          <w:i/>
          <w:iCs/>
          <w:sz w:val="18"/>
          <w:szCs w:val="18"/>
          <w:rtl/>
        </w:rPr>
        <w:t>חוק טל 1</w:t>
      </w:r>
      <w:r w:rsidRPr="000232B1">
        <w:rPr>
          <w:rFonts w:ascii="Arial" w:hAnsi="Arial" w:cs="Arial" w:hint="cs"/>
          <w:sz w:val="18"/>
          <w:szCs w:val="18"/>
          <w:rtl/>
        </w:rPr>
        <w:t xml:space="preserve">. </w:t>
      </w:r>
      <w:r>
        <w:rPr>
          <w:rFonts w:ascii="Arial" w:hAnsi="Arial" w:cs="Arial" w:hint="cs"/>
          <w:sz w:val="18"/>
          <w:szCs w:val="18"/>
          <w:rtl/>
        </w:rPr>
        <w:t>]</w:t>
      </w:r>
    </w:p>
    <w:p w:rsidR="005366A8" w:rsidRDefault="005366A8" w:rsidP="005366A8">
      <w:pPr>
        <w:rPr>
          <w:rFonts w:ascii="Arial" w:hAnsi="Arial" w:cs="Arial"/>
          <w:sz w:val="20"/>
          <w:szCs w:val="20"/>
          <w:rtl/>
        </w:rPr>
      </w:pPr>
    </w:p>
    <w:p w:rsidR="005366A8" w:rsidRPr="00357C21" w:rsidRDefault="005366A8" w:rsidP="005366A8">
      <w:pPr>
        <w:spacing w:after="120"/>
        <w:jc w:val="center"/>
        <w:rPr>
          <w:sz w:val="22"/>
          <w:szCs w:val="22"/>
          <w:rtl/>
        </w:rPr>
      </w:pPr>
      <w:r w:rsidRPr="00BE087E">
        <w:rPr>
          <w:rFonts w:hint="cs"/>
          <w:b/>
          <w:bCs/>
          <w:sz w:val="22"/>
          <w:szCs w:val="22"/>
          <w:u w:val="single"/>
          <w:rtl/>
        </w:rPr>
        <w:t>עמדתה של השופטת דורנר</w:t>
      </w:r>
      <w:r>
        <w:rPr>
          <w:rFonts w:hint="cs"/>
          <w:sz w:val="22"/>
          <w:szCs w:val="22"/>
          <w:rtl/>
        </w:rPr>
        <w:t xml:space="preserve">: </w:t>
      </w:r>
      <w:r w:rsidRPr="00011EC4">
        <w:rPr>
          <w:sz w:val="22"/>
          <w:szCs w:val="22"/>
          <w:highlight w:val="yellow"/>
          <w:rtl/>
        </w:rPr>
        <w:t xml:space="preserve">בג"צ 4541/94 </w:t>
      </w:r>
      <w:r w:rsidRPr="00011EC4">
        <w:rPr>
          <w:b/>
          <w:bCs/>
          <w:sz w:val="22"/>
          <w:szCs w:val="22"/>
          <w:highlight w:val="yellow"/>
          <w:rtl/>
        </w:rPr>
        <w:t>מילר נ' שר הביטחון</w:t>
      </w:r>
      <w:r w:rsidRPr="00011EC4">
        <w:rPr>
          <w:sz w:val="22"/>
          <w:szCs w:val="22"/>
          <w:highlight w:val="yellow"/>
          <w:rtl/>
        </w:rPr>
        <w:t>, פ"ד מט(4) 94, 131-3</w:t>
      </w:r>
      <w:r w:rsidRPr="00011EC4">
        <w:rPr>
          <w:rFonts w:hint="cs"/>
          <w:sz w:val="22"/>
          <w:szCs w:val="22"/>
          <w:highlight w:val="yellow"/>
          <w:rtl/>
        </w:rPr>
        <w:t xml:space="preserve"> (1995)</w:t>
      </w:r>
      <w:r>
        <w:rPr>
          <w:rFonts w:hint="cs"/>
          <w:sz w:val="22"/>
          <w:szCs w:val="22"/>
          <w:rtl/>
        </w:rPr>
        <w:t xml:space="preserve"> [כניסת נשים לקורס טיס]:</w:t>
      </w:r>
      <w:r w:rsidRPr="00357C21">
        <w:rPr>
          <w:sz w:val="22"/>
          <w:szCs w:val="22"/>
          <w:rtl/>
        </w:rPr>
        <w:t xml:space="preserve"> </w:t>
      </w:r>
    </w:p>
    <w:p w:rsidR="005366A8" w:rsidRPr="00B64DAF" w:rsidRDefault="005366A8" w:rsidP="005366A8">
      <w:pPr>
        <w:pStyle w:val="BodyText2"/>
        <w:rPr>
          <w:rFonts w:cs="FrankRuehl"/>
          <w:sz w:val="22"/>
          <w:rtl/>
        </w:rPr>
      </w:pPr>
      <w:r w:rsidRPr="00B64DAF">
        <w:rPr>
          <w:rFonts w:cs="FrankRuehl"/>
          <w:sz w:val="22"/>
          <w:rtl/>
        </w:rPr>
        <w:t>4.  חוק-יסוד: כבוד  האדם וחירותו (להלן: חוק-היסוד) נתן מעמד חוקתי -על-חוקי - לאיסור על הפליית נשים. מעמד זה נובע משתיים אלה:</w:t>
      </w:r>
      <w:r w:rsidRPr="00B64DAF">
        <w:rPr>
          <w:rFonts w:cs="FrankRuehl" w:hint="cs"/>
          <w:sz w:val="22"/>
          <w:rtl/>
        </w:rPr>
        <w:t xml:space="preserve">  </w:t>
      </w:r>
    </w:p>
    <w:p w:rsidR="005366A8" w:rsidRPr="00B64DAF" w:rsidRDefault="005366A8" w:rsidP="005366A8">
      <w:pPr>
        <w:rPr>
          <w:rFonts w:cs="FrankRuehl"/>
          <w:sz w:val="22"/>
          <w:szCs w:val="22"/>
          <w:rtl/>
        </w:rPr>
      </w:pPr>
      <w:r w:rsidRPr="00B64DAF">
        <w:rPr>
          <w:rFonts w:cs="FrankRuehl"/>
          <w:sz w:val="22"/>
          <w:szCs w:val="22"/>
          <w:rtl/>
        </w:rPr>
        <w:t>ראשית, בסעיף 1 לחוק-היסוד (המופיע אף כסעיף 1 לחוק-יסוד: חופש העיסוק) נקבע:</w:t>
      </w:r>
    </w:p>
    <w:p w:rsidR="005366A8" w:rsidRPr="00B64DAF" w:rsidRDefault="005366A8" w:rsidP="005366A8">
      <w:pPr>
        <w:ind w:left="720"/>
        <w:rPr>
          <w:rFonts w:cs="FrankRuehl"/>
          <w:sz w:val="22"/>
          <w:szCs w:val="22"/>
          <w:rtl/>
        </w:rPr>
      </w:pPr>
      <w:r w:rsidRPr="00B64DAF">
        <w:rPr>
          <w:rFonts w:cs="FrankRuehl"/>
          <w:sz w:val="22"/>
          <w:szCs w:val="22"/>
          <w:rtl/>
        </w:rPr>
        <w:t>"זכויות היסוד של האדם בישראל מושתתות על ההכרה בערך האדם, בקדושת חייו ובהיותו בן חורין, והן יכובדו ברוח העקרונות שבהכרזה על הקמת מדינת ישראל".</w:t>
      </w:r>
    </w:p>
    <w:p w:rsidR="005366A8" w:rsidRPr="00B64DAF" w:rsidRDefault="005366A8" w:rsidP="005366A8">
      <w:pPr>
        <w:rPr>
          <w:rFonts w:cs="FrankRuehl"/>
          <w:sz w:val="22"/>
          <w:szCs w:val="22"/>
          <w:rtl/>
        </w:rPr>
      </w:pPr>
      <w:r w:rsidRPr="00B64DAF">
        <w:rPr>
          <w:rFonts w:cs="FrankRuehl"/>
          <w:sz w:val="22"/>
          <w:szCs w:val="22"/>
          <w:rtl/>
        </w:rPr>
        <w:t>סעיף זה קובע, למיצער, כי את זכויות-היסוד יש לכבד ברוח עקרונותיה של הכרזת העצמאות, וביניהם שוויון האזרחים ללא הבדל מין.  על-כן, למשל, אין להפלות נשים מבחינת זכותן לקניין (זכות המעוגנת בסעיף 3 לחוק-היסוד) או מבחינת חופש העיסוק שלהן (זכות המעוגנת בס</w:t>
      </w:r>
      <w:r w:rsidRPr="00B64DAF">
        <w:rPr>
          <w:rFonts w:cs="FrankRuehl" w:hint="cs"/>
          <w:sz w:val="22"/>
          <w:szCs w:val="22"/>
          <w:rtl/>
        </w:rPr>
        <w:t>'</w:t>
      </w:r>
      <w:r w:rsidRPr="00B64DAF">
        <w:rPr>
          <w:rFonts w:cs="FrankRuehl"/>
          <w:sz w:val="22"/>
          <w:szCs w:val="22"/>
          <w:rtl/>
        </w:rPr>
        <w:t xml:space="preserve"> 3 לחוק-יסוד: חופש העיסוק).</w:t>
      </w:r>
    </w:p>
    <w:p w:rsidR="005366A8" w:rsidRPr="00B64DAF" w:rsidRDefault="005366A8" w:rsidP="005366A8">
      <w:pPr>
        <w:rPr>
          <w:rFonts w:cs="FrankRuehl"/>
          <w:sz w:val="22"/>
          <w:szCs w:val="22"/>
          <w:rtl/>
        </w:rPr>
      </w:pPr>
      <w:r w:rsidRPr="00B64DAF">
        <w:rPr>
          <w:rFonts w:cs="FrankRuehl"/>
          <w:sz w:val="22"/>
          <w:szCs w:val="22"/>
          <w:rtl/>
        </w:rPr>
        <w:t>שנית, איסור הפלייתן לרעה של נשים כלול בזכות לכבוד המעוגנת בסעיפים 2 ו-4 לחוק-היסוד.</w:t>
      </w:r>
      <w:r w:rsidRPr="00B64DAF">
        <w:rPr>
          <w:rFonts w:cs="FrankRuehl" w:hint="cs"/>
          <w:sz w:val="22"/>
          <w:szCs w:val="22"/>
          <w:rtl/>
        </w:rPr>
        <w:t xml:space="preserve"> </w:t>
      </w:r>
      <w:r w:rsidRPr="00B64DAF">
        <w:rPr>
          <w:rFonts w:cs="FrankRuehl"/>
          <w:sz w:val="22"/>
          <w:szCs w:val="22"/>
          <w:rtl/>
        </w:rPr>
        <w:t xml:space="preserve">השאלה אם עקרון השוויון בכללותו כלול בזכות לכבוד, כמשמעותה בחוק-היסוד, זכתה להתייחסות במספר אימרות-אגב בפסיקתו של בית-משפט זה.; </w:t>
      </w:r>
      <w:r w:rsidRPr="00B64DAF">
        <w:rPr>
          <w:rFonts w:cs="FrankRuehl" w:hint="cs"/>
          <w:sz w:val="22"/>
          <w:szCs w:val="22"/>
          <w:rtl/>
        </w:rPr>
        <w:t>...</w:t>
      </w:r>
      <w:r w:rsidRPr="00B64DAF">
        <w:rPr>
          <w:rFonts w:cs="FrankRuehl"/>
          <w:sz w:val="22"/>
          <w:szCs w:val="22"/>
          <w:rtl/>
        </w:rPr>
        <w:t xml:space="preserve">. </w:t>
      </w:r>
    </w:p>
    <w:p w:rsidR="005366A8" w:rsidRPr="00B64DAF" w:rsidRDefault="005366A8" w:rsidP="005366A8">
      <w:pPr>
        <w:pStyle w:val="BodyText2"/>
        <w:rPr>
          <w:rFonts w:cs="FrankRuehl"/>
          <w:sz w:val="22"/>
          <w:rtl/>
        </w:rPr>
      </w:pPr>
      <w:r w:rsidRPr="00B64DAF">
        <w:rPr>
          <w:rFonts w:cs="FrankRuehl"/>
          <w:sz w:val="22"/>
          <w:rtl/>
        </w:rPr>
        <w:t>הה</w:t>
      </w:r>
      <w:r w:rsidRPr="00B64DAF">
        <w:rPr>
          <w:rFonts w:cs="FrankRuehl" w:hint="cs"/>
          <w:sz w:val="22"/>
          <w:rtl/>
        </w:rPr>
        <w:t>י</w:t>
      </w:r>
      <w:r w:rsidRPr="00B64DAF">
        <w:rPr>
          <w:rFonts w:cs="FrankRuehl"/>
          <w:sz w:val="22"/>
          <w:rtl/>
        </w:rPr>
        <w:t>סטוריה החקיקתית של חוק-היסוד מלמדת, כי ההימנעות מלעגן בו את עקרון השוויון הכללי הייתה מכוונת. בדיון בכנסת בהצעת חוק-היסוד, טענו חברי הכנסת שולמית אלוני ומשה שחל כנגד אי ההכללה בחוק היסוד של סעיף בדבר הזכות לשוויון (ראו ד"כ התשנ"ב 1241, 1244). בתשובתו לטענות אלה (שם, 1532) אמר מציע חוק-היסוד, חבר הכנסת אמנון רובינשטיין, את הדברים הבאים:</w:t>
      </w:r>
    </w:p>
    <w:p w:rsidR="005366A8" w:rsidRPr="00B64DAF" w:rsidRDefault="005366A8" w:rsidP="005366A8">
      <w:pPr>
        <w:ind w:left="720"/>
        <w:rPr>
          <w:rFonts w:cs="FrankRuehl"/>
          <w:sz w:val="22"/>
          <w:szCs w:val="22"/>
          <w:rtl/>
        </w:rPr>
      </w:pPr>
      <w:r w:rsidRPr="00B64DAF">
        <w:rPr>
          <w:rFonts w:cs="FrankRuehl"/>
          <w:sz w:val="22"/>
          <w:szCs w:val="22"/>
          <w:rtl/>
        </w:rPr>
        <w:t xml:space="preserve">"אין כאן סעיף שוויון כללי. נכון, מכיוון שסעיף השוויון הכללי הזה היה אבן הנגף, המכשלה שבגללה אי אפשר לקבל את הצעת החוק הכוללנית". </w:t>
      </w:r>
    </w:p>
    <w:p w:rsidR="005366A8" w:rsidRPr="00B64DAF" w:rsidRDefault="005366A8" w:rsidP="005366A8">
      <w:pPr>
        <w:rPr>
          <w:rFonts w:cs="FrankRuehl"/>
          <w:sz w:val="22"/>
          <w:szCs w:val="22"/>
          <w:rtl/>
        </w:rPr>
      </w:pPr>
      <w:r w:rsidRPr="00B64DAF">
        <w:rPr>
          <w:rFonts w:cs="FrankRuehl"/>
          <w:sz w:val="22"/>
          <w:szCs w:val="22"/>
          <w:rtl/>
        </w:rPr>
        <w:t>על רקע זה ספק בעיני אם ניתן - ועל-כל-פנים, אם ראוי - לקבוע על דרך פרשנות כי תכליתו של חוק-היסוד היא לספק הגנה חוקתית לעקרון השוויון הכללי.  כוונתו הברורה של המחוקק, כעולה מעבודות ההכנה, הייתה דווקא שלא לעגן בחוק-היסוד עיקרון כללי זה.  לעבודות ההכנה של חוק משקל בקביעת תכליתו. ראו [</w:t>
      </w:r>
      <w:r w:rsidRPr="00B64DAF">
        <w:rPr>
          <w:rFonts w:cs="FrankRuehl"/>
          <w:sz w:val="22"/>
          <w:szCs w:val="22"/>
        </w:rPr>
        <w:t>…</w:t>
      </w:r>
      <w:r w:rsidRPr="00B64DAF">
        <w:rPr>
          <w:rFonts w:cs="FrankRuehl"/>
          <w:sz w:val="22"/>
          <w:szCs w:val="22"/>
          <w:rtl/>
        </w:rPr>
        <w:t xml:space="preserve">].  אכן, משקלן של עבודות ההכנה - המגלות את כוונתם של חברי הכנסת בחוקקם את החוק - יורד ככל שהתקופה שחלפה מאז החקיקה ארוכה יותר, והספיקו להתחולל שינויים מדיניים, חברתיים או משפטיים העשויים להצדיק חריגה מכוונה זו. ואולם, אך שנים ספורות חלפו מיום חקיקת חוק-היסוד ועד עתה, ולכאורה אין לפרש את חוק-היסוד באופן המנוגד לתכליתו העולה מעבודות ההכנה.  </w:t>
      </w:r>
    </w:p>
    <w:p w:rsidR="005366A8" w:rsidRPr="00B64DAF" w:rsidRDefault="005366A8" w:rsidP="005366A8">
      <w:pPr>
        <w:rPr>
          <w:rFonts w:cs="FrankRuehl"/>
          <w:sz w:val="22"/>
          <w:szCs w:val="22"/>
          <w:rtl/>
        </w:rPr>
      </w:pPr>
      <w:r w:rsidRPr="00B64DAF">
        <w:rPr>
          <w:rFonts w:cs="FrankRuehl"/>
          <w:sz w:val="22"/>
          <w:szCs w:val="22"/>
          <w:highlight w:val="yellow"/>
          <w:rtl/>
        </w:rPr>
        <w:t>עם זאת, לא יכול להיות ספק כי תכלית חוק-היסוד היא להגן על האדם מפני השפלה.  השפלתו של אדם פוגעת בכבודו. אין דרך סבירה לפרש את הזכות לכבוד, כאמור בחוק-היסוד, כך שהשפלתו של אדם לא תיחשב כפוגעת בזכות.</w:t>
      </w:r>
      <w:r w:rsidRPr="00B64DAF">
        <w:rPr>
          <w:rFonts w:cs="FrankRuehl"/>
          <w:sz w:val="22"/>
          <w:szCs w:val="22"/>
          <w:rtl/>
        </w:rPr>
        <w:t xml:space="preserve">  אכן, לא כל פגיעה בשוויון עולה כדי השפלה, ועל-כן לא כל פגיעה בשוויון פוגעת בזכות לכבוד.  כך, למשל, נפסק כי הפליה לרעה של רשימות קטנות לעומת רשימות גדולות או של רשימות חדשות לעומת רשימות ותיקות פוגעת בעקרון השוויון. ראו, למשל, [פסקי-דין </w:t>
      </w:r>
      <w:r w:rsidRPr="00B64DAF">
        <w:rPr>
          <w:rFonts w:cs="FrankRuehl"/>
          <w:b/>
          <w:bCs/>
          <w:sz w:val="22"/>
          <w:szCs w:val="22"/>
          <w:rtl/>
        </w:rPr>
        <w:t>ברגמן, אגודת דרך ארץ, רובינשטיין, תנועת לאו"ר</w:t>
      </w:r>
      <w:r w:rsidRPr="00B64DAF">
        <w:rPr>
          <w:rFonts w:cs="FrankRuehl"/>
          <w:sz w:val="22"/>
          <w:szCs w:val="22"/>
          <w:rtl/>
        </w:rPr>
        <w:t xml:space="preserve">]. עם זאת, פגיעות כאלה בעקרון השוויון, שאף גררו פסילתם של חוקי-הכנסת, לא התבטאו בהשפלה, ולכן, אף לא הייתה בהן פגיעה בכבוד האדם. </w:t>
      </w:r>
    </w:p>
    <w:p w:rsidR="005366A8" w:rsidRPr="00B64DAF" w:rsidRDefault="005366A8" w:rsidP="005366A8">
      <w:pPr>
        <w:rPr>
          <w:rFonts w:cs="FrankRuehl"/>
          <w:sz w:val="22"/>
          <w:szCs w:val="22"/>
          <w:rtl/>
        </w:rPr>
      </w:pPr>
      <w:r w:rsidRPr="00B64DAF">
        <w:rPr>
          <w:rFonts w:cs="FrankRuehl"/>
          <w:sz w:val="22"/>
          <w:szCs w:val="22"/>
          <w:highlight w:val="yellow"/>
          <w:rtl/>
        </w:rPr>
        <w:t>לא כך הדבר בסוגים מסוימים של הפליה לרעה על רקע קבוצתי, ובתוכם הפליה מחמת מין, כמו גם הפליה מחמת גזע.  ביסודה של הפליה כזו עומד ייחוס למופלה של מעמד נחות, שהוא פועל יוצא ממהותו הנחותה כביכול.  בכך טמונה, כמובן, השפלה עמוקה לקורבן ההפליה.</w:t>
      </w:r>
      <w:r w:rsidRPr="00B64DAF">
        <w:rPr>
          <w:rFonts w:cs="FrankRuehl"/>
          <w:sz w:val="22"/>
          <w:szCs w:val="22"/>
          <w:rtl/>
        </w:rPr>
        <w:t xml:space="preserve">  כך, למשל, </w:t>
      </w:r>
      <w:r w:rsidRPr="00B64DAF">
        <w:rPr>
          <w:rFonts w:cs="FrankRuehl" w:hint="cs"/>
          <w:sz w:val="22"/>
          <w:szCs w:val="22"/>
          <w:rtl/>
        </w:rPr>
        <w:t xml:space="preserve">[נקבע] </w:t>
      </w:r>
      <w:r w:rsidRPr="00B64DAF">
        <w:rPr>
          <w:rFonts w:cs="FrankRuehl"/>
          <w:sz w:val="22"/>
          <w:szCs w:val="22"/>
          <w:rtl/>
        </w:rPr>
        <w:t xml:space="preserve">בפסק-הדין המפורסם של בית-המשפט העליון האמריקני בפרשת </w:t>
      </w:r>
      <w:r w:rsidRPr="00B64DAF">
        <w:rPr>
          <w:rFonts w:cs="FrankRuehl"/>
          <w:sz w:val="22"/>
          <w:szCs w:val="22"/>
        </w:rPr>
        <w:t xml:space="preserve"> BROWN V. BOARD OF EDUCATION…</w:t>
      </w:r>
      <w:r w:rsidRPr="00B64DAF">
        <w:rPr>
          <w:rFonts w:cs="FrankRuehl"/>
          <w:sz w:val="22"/>
          <w:szCs w:val="22"/>
          <w:rtl/>
        </w:rPr>
        <w:t>[</w:t>
      </w:r>
      <w:r w:rsidRPr="00B64DAF">
        <w:rPr>
          <w:rFonts w:cs="FrankRuehl"/>
          <w:sz w:val="22"/>
          <w:szCs w:val="22"/>
        </w:rPr>
        <w:t>…</w:t>
      </w:r>
      <w:r w:rsidRPr="00B64DAF">
        <w:rPr>
          <w:rFonts w:cs="FrankRuehl"/>
          <w:sz w:val="22"/>
          <w:szCs w:val="22"/>
          <w:rtl/>
        </w:rPr>
        <w:t>].</w:t>
      </w:r>
    </w:p>
    <w:p w:rsidR="005366A8" w:rsidRDefault="005366A8" w:rsidP="005366A8">
      <w:pPr>
        <w:pStyle w:val="BodyText2"/>
        <w:rPr>
          <w:sz w:val="22"/>
          <w:rtl/>
        </w:rPr>
      </w:pPr>
      <w:r w:rsidRPr="00B64DAF">
        <w:rPr>
          <w:rFonts w:cs="FrankRuehl"/>
          <w:sz w:val="22"/>
          <w:highlight w:val="yellow"/>
          <w:rtl/>
        </w:rPr>
        <w:t>סגירת מקצוע או תפקיד בפני אדם מחמת מינו, גזעו או כיוצא באלה, משדרת מסר כי הקבוצה שעימה הוא נמנה היא נחותה, ובכך נוצרת לבנות הקבוצה ולבניה תדמית נמוכה.  כך מתהווה מעגל קסמים המנציח את ההפליה. התדמית הנמוכה, שיסודה בשונות הביולוגית או הגזעית, גורמת להפליה, וההפליה מאששת את הסטריאוטיפים המשפילים בדבר נחיתות המופלה. היסוד המרכזי, על-כן, בהפליה מחמת מין, גזע או הפליה דומה הוא השפלת הקורבן.  דעתי היא איפוא כי חוק-היסוד מגן מפני פגיעה בעקרון השוויון כאשר הפגיעה גורמת להשפלה, כלומר לפגיעה בכבוד האדם באשר הוא אדם. וכך הוא כאשר אישה מופלית לרעה בשל מינה</w:t>
      </w:r>
      <w:r w:rsidRPr="00B64DAF">
        <w:rPr>
          <w:rFonts w:cs="FrankRuehl"/>
          <w:sz w:val="22"/>
          <w:rtl/>
        </w:rPr>
        <w:t>.</w:t>
      </w:r>
    </w:p>
    <w:p w:rsidR="005366A8" w:rsidRDefault="005366A8" w:rsidP="005366A8">
      <w:pPr>
        <w:rPr>
          <w:rFonts w:ascii="Arial" w:hAnsi="Arial" w:cs="Arial"/>
          <w:sz w:val="20"/>
          <w:szCs w:val="20"/>
          <w:rtl/>
        </w:rPr>
      </w:pPr>
      <w:r>
        <w:rPr>
          <w:rFonts w:ascii="Arial" w:hAnsi="Arial" w:cs="Arial" w:hint="cs"/>
          <w:sz w:val="20"/>
          <w:szCs w:val="20"/>
          <w:rtl/>
        </w:rPr>
        <w:t>=-=</w:t>
      </w:r>
    </w:p>
    <w:p w:rsidR="005366A8" w:rsidRDefault="005366A8" w:rsidP="005366A8">
      <w:pPr>
        <w:rPr>
          <w:sz w:val="22"/>
          <w:szCs w:val="22"/>
          <w:rtl/>
        </w:rPr>
      </w:pPr>
    </w:p>
    <w:p w:rsidR="005366A8" w:rsidRPr="00B64DAF" w:rsidRDefault="005366A8" w:rsidP="005366A8">
      <w:pPr>
        <w:spacing w:after="120"/>
        <w:jc w:val="center"/>
        <w:rPr>
          <w:b/>
          <w:bCs/>
          <w:sz w:val="22"/>
          <w:szCs w:val="22"/>
          <w:highlight w:val="yellow"/>
          <w:u w:val="single"/>
          <w:rtl/>
        </w:rPr>
      </w:pPr>
      <w:r w:rsidRPr="00B64DAF">
        <w:rPr>
          <w:rFonts w:hint="cs"/>
          <w:b/>
          <w:bCs/>
          <w:sz w:val="22"/>
          <w:szCs w:val="22"/>
          <w:highlight w:val="yellow"/>
          <w:u w:val="single"/>
          <w:rtl/>
        </w:rPr>
        <w:t>העמדה שזכתה להיות עמדת הרוב בפסיקה</w:t>
      </w:r>
      <w:r>
        <w:rPr>
          <w:rFonts w:hint="cs"/>
          <w:b/>
          <w:bCs/>
          <w:sz w:val="22"/>
          <w:szCs w:val="22"/>
          <w:highlight w:val="yellow"/>
          <w:u w:val="single"/>
          <w:rtl/>
        </w:rPr>
        <w:t xml:space="preserve"> בהקשרה של "הזכות החוקתית לשוויון"</w:t>
      </w:r>
    </w:p>
    <w:p w:rsidR="005366A8" w:rsidRPr="002F52A2" w:rsidRDefault="005366A8" w:rsidP="005366A8">
      <w:pPr>
        <w:jc w:val="center"/>
        <w:rPr>
          <w:sz w:val="22"/>
          <w:szCs w:val="22"/>
          <w:rtl/>
        </w:rPr>
      </w:pPr>
      <w:r w:rsidRPr="00307A33">
        <w:rPr>
          <w:sz w:val="22"/>
          <w:szCs w:val="22"/>
          <w:highlight w:val="yellow"/>
          <w:rtl/>
        </w:rPr>
        <w:t xml:space="preserve">בג"צ 6427/02 </w:t>
      </w:r>
      <w:r w:rsidRPr="00307A33">
        <w:rPr>
          <w:b/>
          <w:bCs/>
          <w:sz w:val="22"/>
          <w:szCs w:val="22"/>
          <w:highlight w:val="yellow"/>
          <w:rtl/>
        </w:rPr>
        <w:t>התנועה לאיכות השלטון נ' הכנסת</w:t>
      </w:r>
      <w:r w:rsidRPr="00307A33">
        <w:rPr>
          <w:sz w:val="22"/>
          <w:szCs w:val="22"/>
          <w:highlight w:val="yellow"/>
          <w:rtl/>
        </w:rPr>
        <w:t xml:space="preserve"> ["פסק דין חוק טל"]</w:t>
      </w:r>
      <w:r w:rsidRPr="002F52A2">
        <w:rPr>
          <w:sz w:val="22"/>
          <w:szCs w:val="22"/>
          <w:rtl/>
        </w:rPr>
        <w:t>, (בהשמטת אסמכתאות)</w:t>
      </w:r>
    </w:p>
    <w:p w:rsidR="005366A8" w:rsidRPr="00F62369" w:rsidRDefault="005366A8" w:rsidP="005366A8">
      <w:pPr>
        <w:rPr>
          <w:rFonts w:cs="FrankRuehl"/>
          <w:spacing w:val="10"/>
          <w:sz w:val="22"/>
          <w:szCs w:val="22"/>
          <w:rtl/>
        </w:rPr>
      </w:pPr>
      <w:r w:rsidRPr="002F52A2">
        <w:rPr>
          <w:rFonts w:cs="FrankRuehl"/>
          <w:spacing w:val="10"/>
          <w:sz w:val="22"/>
          <w:szCs w:val="22"/>
          <w:rtl/>
        </w:rPr>
        <w:t> </w:t>
      </w:r>
    </w:p>
    <w:p w:rsidR="005366A8" w:rsidRPr="00F62369" w:rsidRDefault="005366A8" w:rsidP="005366A8">
      <w:pPr>
        <w:pStyle w:val="a9"/>
        <w:rPr>
          <w:rFonts w:cs="FrankRuehl"/>
          <w:sz w:val="22"/>
          <w:szCs w:val="22"/>
          <w:rtl/>
        </w:rPr>
      </w:pPr>
      <w:r w:rsidRPr="00F62369">
        <w:rPr>
          <w:rFonts w:cs="FrankRuehl"/>
          <w:sz w:val="22"/>
          <w:szCs w:val="22"/>
          <w:rtl/>
        </w:rPr>
        <w:t>3</w:t>
      </w:r>
      <w:r w:rsidRPr="00F62369">
        <w:rPr>
          <w:rFonts w:cs="FrankRuehl" w:hint="cs"/>
          <w:sz w:val="22"/>
          <w:szCs w:val="22"/>
          <w:rtl/>
        </w:rPr>
        <w:t>1</w:t>
      </w:r>
      <w:r w:rsidRPr="00F62369">
        <w:rPr>
          <w:rFonts w:cs="FrankRuehl"/>
          <w:sz w:val="22"/>
          <w:szCs w:val="22"/>
          <w:rtl/>
        </w:rPr>
        <w:t xml:space="preserve">.      </w:t>
      </w:r>
      <w:r w:rsidRPr="00F62369">
        <w:rPr>
          <w:rFonts w:cs="FrankRuehl" w:hint="cs"/>
          <w:sz w:val="22"/>
          <w:szCs w:val="22"/>
          <w:rtl/>
        </w:rPr>
        <w:t xml:space="preserve">[...] </w:t>
      </w:r>
      <w:r w:rsidRPr="00F62369">
        <w:rPr>
          <w:rFonts w:cs="FrankRuehl"/>
          <w:sz w:val="22"/>
          <w:szCs w:val="22"/>
          <w:rtl/>
        </w:rPr>
        <w:t>כבוד האדם בישראל אינו רק בסיס ותשתית לזכויות האדם השונות. כבוד האדם בישראל אינו אך ערך חברתי. כבוד האדם הוא זכות עצמאית, העומדת על רגליה היא. יש לה קיום בצידן של זכויות האדם האחרות. חוק-יסוד: כבוד האדם וחירותו קובע (סעיף 2): </w:t>
      </w:r>
    </w:p>
    <w:p w:rsidR="005366A8" w:rsidRPr="00F62369" w:rsidRDefault="005366A8" w:rsidP="005366A8">
      <w:pPr>
        <w:pStyle w:val="a9"/>
        <w:ind w:left="720"/>
        <w:rPr>
          <w:rFonts w:cs="FrankRuehl"/>
          <w:sz w:val="22"/>
          <w:szCs w:val="22"/>
          <w:rtl/>
        </w:rPr>
      </w:pPr>
      <w:r w:rsidRPr="00F62369">
        <w:rPr>
          <w:rFonts w:cs="FrankRuehl"/>
          <w:sz w:val="22"/>
          <w:szCs w:val="22"/>
          <w:rtl/>
        </w:rPr>
        <w:t>"שמירה על החיים, הגוף והכבוד</w:t>
      </w:r>
    </w:p>
    <w:p w:rsidR="005366A8" w:rsidRPr="00F62369" w:rsidRDefault="005366A8" w:rsidP="005366A8">
      <w:pPr>
        <w:pStyle w:val="a9"/>
        <w:ind w:left="1440"/>
        <w:rPr>
          <w:rFonts w:cs="FrankRuehl"/>
          <w:sz w:val="22"/>
          <w:szCs w:val="22"/>
          <w:rtl/>
        </w:rPr>
      </w:pPr>
      <w:r w:rsidRPr="00F62369">
        <w:rPr>
          <w:rFonts w:cs="FrankRuehl"/>
          <w:sz w:val="22"/>
          <w:szCs w:val="22"/>
          <w:rtl/>
        </w:rPr>
        <w:t> אין פוגעים בחייו, בגופו או בכבודו של אדם באשר הוא אדם". </w:t>
      </w:r>
    </w:p>
    <w:p w:rsidR="005366A8" w:rsidRPr="00F62369" w:rsidRDefault="005366A8" w:rsidP="005366A8">
      <w:pPr>
        <w:pStyle w:val="a9"/>
        <w:rPr>
          <w:rFonts w:cs="FrankRuehl"/>
          <w:sz w:val="22"/>
          <w:szCs w:val="22"/>
          <w:rtl/>
        </w:rPr>
      </w:pPr>
      <w:r w:rsidRPr="00F62369">
        <w:rPr>
          <w:rFonts w:cs="FrankRuehl"/>
          <w:sz w:val="22"/>
          <w:szCs w:val="22"/>
          <w:rtl/>
        </w:rPr>
        <w:t>וסעיף 4 מוסיף וקובע: </w:t>
      </w:r>
    </w:p>
    <w:p w:rsidR="005366A8" w:rsidRPr="00F62369" w:rsidRDefault="005366A8" w:rsidP="005366A8">
      <w:pPr>
        <w:pStyle w:val="a9"/>
        <w:ind w:left="720"/>
        <w:rPr>
          <w:rFonts w:cs="FrankRuehl"/>
          <w:sz w:val="22"/>
          <w:szCs w:val="22"/>
          <w:rtl/>
        </w:rPr>
      </w:pPr>
      <w:r w:rsidRPr="00F62369">
        <w:rPr>
          <w:rFonts w:cs="FrankRuehl"/>
          <w:sz w:val="22"/>
          <w:szCs w:val="22"/>
          <w:rtl/>
        </w:rPr>
        <w:t>"הגנה על החיים, הגוף והכבוד</w:t>
      </w:r>
    </w:p>
    <w:p w:rsidR="005366A8" w:rsidRPr="00F62369" w:rsidRDefault="005366A8" w:rsidP="005366A8">
      <w:pPr>
        <w:pStyle w:val="a9"/>
        <w:ind w:left="1440"/>
        <w:rPr>
          <w:rFonts w:cs="FrankRuehl"/>
          <w:sz w:val="22"/>
          <w:szCs w:val="22"/>
          <w:rtl/>
        </w:rPr>
      </w:pPr>
      <w:r w:rsidRPr="00F62369">
        <w:rPr>
          <w:rFonts w:cs="FrankRuehl"/>
          <w:sz w:val="22"/>
          <w:szCs w:val="22"/>
          <w:rtl/>
        </w:rPr>
        <w:t> כל אדם זכאי להגנה על חייו, על גופו ועל כבודו". </w:t>
      </w:r>
    </w:p>
    <w:p w:rsidR="005366A8" w:rsidRPr="00F62369" w:rsidRDefault="005366A8" w:rsidP="005366A8">
      <w:pPr>
        <w:pStyle w:val="a9"/>
        <w:rPr>
          <w:rFonts w:cs="FrankRuehl"/>
          <w:sz w:val="22"/>
          <w:szCs w:val="22"/>
          <w:rtl/>
        </w:rPr>
      </w:pPr>
      <w:r w:rsidRPr="00F62369">
        <w:rPr>
          <w:rFonts w:cs="FrankRuehl"/>
          <w:sz w:val="22"/>
          <w:szCs w:val="22"/>
          <w:rtl/>
        </w:rPr>
        <w:t xml:space="preserve">הזכות לכבוד האדם מטילה על רשויות השלטון חובה (שלילית) שלא לפגוע בכבוד האדם, וחובה (חיובית) להגן עליו. הן ההיבט הפסיבי והן ההיבט האקטיבי הם חלקים שונים של השלם, שהוא הזכות לכבוד </w:t>
      </w:r>
      <w:r w:rsidRPr="00F62369">
        <w:rPr>
          <w:rFonts w:cs="FrankRuehl" w:hint="cs"/>
          <w:sz w:val="22"/>
          <w:szCs w:val="22"/>
          <w:rtl/>
        </w:rPr>
        <w:t>[...]</w:t>
      </w:r>
    </w:p>
    <w:p w:rsidR="005366A8" w:rsidRPr="00F62369" w:rsidRDefault="005366A8" w:rsidP="005366A8">
      <w:pPr>
        <w:pStyle w:val="a9"/>
        <w:rPr>
          <w:rFonts w:cs="FrankRuehl"/>
          <w:sz w:val="22"/>
          <w:szCs w:val="22"/>
          <w:rtl/>
        </w:rPr>
      </w:pPr>
    </w:p>
    <w:p w:rsidR="005366A8" w:rsidRPr="00F62369" w:rsidRDefault="005366A8" w:rsidP="005366A8">
      <w:pPr>
        <w:pStyle w:val="a9"/>
        <w:rPr>
          <w:rFonts w:cs="FrankRuehl"/>
          <w:sz w:val="22"/>
          <w:szCs w:val="22"/>
          <w:rtl/>
        </w:rPr>
      </w:pPr>
      <w:r w:rsidRPr="00F62369">
        <w:rPr>
          <w:rFonts w:cs="FrankRuehl" w:hint="cs"/>
          <w:sz w:val="22"/>
          <w:szCs w:val="22"/>
          <w:rtl/>
        </w:rPr>
        <w:t>33.</w:t>
      </w:r>
      <w:r w:rsidRPr="00F62369">
        <w:rPr>
          <w:rFonts w:cs="FrankRuehl" w:hint="cs"/>
          <w:sz w:val="22"/>
          <w:szCs w:val="22"/>
          <w:rtl/>
        </w:rPr>
        <w:tab/>
      </w:r>
      <w:r w:rsidRPr="00F62369">
        <w:rPr>
          <w:rFonts w:cs="FrankRuehl"/>
          <w:sz w:val="22"/>
          <w:szCs w:val="22"/>
          <w:rtl/>
        </w:rPr>
        <w:t xml:space="preserve">מהו, איפוא, המסר הנורמטיבי היוצא מהזכות ל"כבוד" בחוק-יסוד: כבוד האדם וחירותו? בעניין זה הועלו בספרות המשפטית </w:t>
      </w:r>
      <w:r w:rsidRPr="00F62369">
        <w:rPr>
          <w:rFonts w:cs="FrankRuehl"/>
          <w:sz w:val="22"/>
          <w:szCs w:val="22"/>
          <w:highlight w:val="yellow"/>
          <w:rtl/>
        </w:rPr>
        <w:t>שלושה מודלים אפשריים</w:t>
      </w:r>
      <w:r w:rsidRPr="00F62369">
        <w:rPr>
          <w:rFonts w:cs="FrankRuehl"/>
          <w:sz w:val="22"/>
          <w:szCs w:val="22"/>
          <w:rtl/>
        </w:rPr>
        <w:t xml:space="preserve"> (</w:t>
      </w:r>
      <w:r w:rsidRPr="00F62369">
        <w:rPr>
          <w:rFonts w:cs="FrankRuehl" w:hint="cs"/>
          <w:sz w:val="22"/>
          <w:szCs w:val="22"/>
          <w:rtl/>
        </w:rPr>
        <w:t>...</w:t>
      </w:r>
      <w:r w:rsidRPr="00F62369">
        <w:rPr>
          <w:rFonts w:cs="FrankRuehl"/>
          <w:sz w:val="22"/>
          <w:szCs w:val="22"/>
          <w:rtl/>
        </w:rPr>
        <w:t xml:space="preserve">). מודל </w:t>
      </w:r>
      <w:r w:rsidRPr="00F62369">
        <w:rPr>
          <w:rFonts w:cs="FrankRuehl"/>
          <w:sz w:val="22"/>
          <w:szCs w:val="22"/>
          <w:u w:val="single"/>
          <w:rtl/>
        </w:rPr>
        <w:t>אחד</w:t>
      </w:r>
      <w:r w:rsidRPr="00F62369">
        <w:rPr>
          <w:rFonts w:cs="FrankRuehl"/>
          <w:sz w:val="22"/>
          <w:szCs w:val="22"/>
          <w:rtl/>
        </w:rPr>
        <w:t xml:space="preserve"> הוא המודל המצומצם. על-פיו, כבוד האדם משתרע רק על הפגיעות המובהקות בכבוד הקשורים לאנושיותו של האדם. זהו, בלשונה של י' קרפ, "הגרעין" של כבוד האדם (</w:t>
      </w:r>
      <w:r w:rsidRPr="00F62369">
        <w:rPr>
          <w:rFonts w:cs="FrankRuehl" w:hint="cs"/>
          <w:sz w:val="22"/>
          <w:szCs w:val="22"/>
          <w:rtl/>
        </w:rPr>
        <w:t>...</w:t>
      </w:r>
      <w:r w:rsidRPr="00F62369">
        <w:rPr>
          <w:rFonts w:cs="FrankRuehl"/>
          <w:sz w:val="22"/>
          <w:szCs w:val="22"/>
          <w:rtl/>
        </w:rPr>
        <w:t xml:space="preserve">). אלה הן פגיעות גופניות ונפשיות, השפלה, השמצה וכיוצא בהם פגיעות המצויות בגרעין ההגנה על כבוד האדם. המודל </w:t>
      </w:r>
      <w:r w:rsidRPr="00F62369">
        <w:rPr>
          <w:rFonts w:cs="FrankRuehl"/>
          <w:sz w:val="22"/>
          <w:szCs w:val="22"/>
          <w:u w:val="single"/>
          <w:rtl/>
        </w:rPr>
        <w:t>השני</w:t>
      </w:r>
      <w:r w:rsidRPr="00F62369">
        <w:rPr>
          <w:rFonts w:cs="FrankRuehl"/>
          <w:sz w:val="22"/>
          <w:szCs w:val="22"/>
          <w:rtl/>
        </w:rPr>
        <w:t xml:space="preserve"> והנוגד הוא המודל הרחב. על פיו כבוד האדם הוא הבסיס לכל זכויות האדם, וכולן כלולות בו. מודל </w:t>
      </w:r>
      <w:r w:rsidRPr="00F62369">
        <w:rPr>
          <w:rFonts w:cs="FrankRuehl"/>
          <w:sz w:val="22"/>
          <w:szCs w:val="22"/>
          <w:u w:val="single"/>
          <w:rtl/>
        </w:rPr>
        <w:t>שלישי</w:t>
      </w:r>
      <w:r w:rsidRPr="00F62369">
        <w:rPr>
          <w:rFonts w:cs="FrankRuehl"/>
          <w:sz w:val="22"/>
          <w:szCs w:val="22"/>
          <w:rtl/>
        </w:rPr>
        <w:t xml:space="preserve"> הוא מודל ביניים. על פיו כבוד האדם אינו מוגבל אך לפגיעות בגרעין כבוד האדם. הוא גם אינו משתרע על כל זכויות האדם שניתן לגזור ממנו. כבוד האדם כולל, על פי מודל זה, רק אותן זכויות אשר קשורות לכבוד האדם (אם בגרעינו ואם בשוליו) בקשר ענייני הדוק. </w:t>
      </w:r>
      <w:r w:rsidRPr="00F62369">
        <w:rPr>
          <w:rFonts w:cs="FrankRuehl" w:hint="cs"/>
          <w:sz w:val="22"/>
          <w:szCs w:val="22"/>
          <w:rtl/>
        </w:rPr>
        <w:t>[...]</w:t>
      </w:r>
    </w:p>
    <w:p w:rsidR="005366A8" w:rsidRPr="00F62369" w:rsidRDefault="005366A8" w:rsidP="005366A8">
      <w:pPr>
        <w:pStyle w:val="a9"/>
        <w:rPr>
          <w:rFonts w:cs="FrankRuehl"/>
          <w:sz w:val="22"/>
          <w:szCs w:val="22"/>
          <w:rtl/>
        </w:rPr>
      </w:pPr>
      <w:r w:rsidRPr="00F62369">
        <w:rPr>
          <w:rFonts w:cs="FrankRuehl"/>
          <w:sz w:val="22"/>
          <w:szCs w:val="22"/>
          <w:rtl/>
        </w:rPr>
        <w:t xml:space="preserve">35.      </w:t>
      </w:r>
      <w:r w:rsidRPr="00F62369">
        <w:rPr>
          <w:rFonts w:cs="FrankRuehl" w:hint="cs"/>
          <w:sz w:val="22"/>
          <w:szCs w:val="22"/>
          <w:rtl/>
        </w:rPr>
        <w:t xml:space="preserve">[...] </w:t>
      </w:r>
      <w:r w:rsidRPr="00F62369">
        <w:rPr>
          <w:rFonts w:cs="FrankRuehl"/>
          <w:sz w:val="22"/>
          <w:szCs w:val="22"/>
          <w:highlight w:val="yellow"/>
          <w:rtl/>
        </w:rPr>
        <w:t>מסקנתנו היא כי הזכות לכבוד האדם מהווה אגד של זכויות ששמירתן נדרשת כדי לקיים את הכבוד. ביסוד הזכות לכבוד האדם עומדת ההכרה כי האדם הוא יצור חופשי, המפתח את גופו ורוחו על פי רצונו בחברה בה הוא חי; במרכזו של כבוד האדם מונחת קדושת חייו וחירותו. ביסוד כבוד האדם עומדים האוטונומיה של הרצון הפרטי, חופש הבחירה וחופש הפעולה של האדם כיצור חופשי. כבוד האדם נשען על ההכרה בשלמותו הפיזית והרוחנית של האדם, באנושיותו, בערכו כאדם, וכל זאת בלא קשר למידת התועלת הצומחת ממנו לאחרים</w:t>
      </w:r>
      <w:r w:rsidRPr="00F62369">
        <w:rPr>
          <w:rFonts w:cs="FrankRuehl"/>
          <w:sz w:val="22"/>
          <w:szCs w:val="22"/>
          <w:rtl/>
        </w:rPr>
        <w:t xml:space="preserve"> (</w:t>
      </w:r>
      <w:r w:rsidRPr="00F62369">
        <w:rPr>
          <w:rFonts w:cs="FrankRuehl" w:hint="cs"/>
          <w:sz w:val="22"/>
          <w:szCs w:val="22"/>
          <w:rtl/>
        </w:rPr>
        <w:t>...</w:t>
      </w:r>
      <w:r w:rsidRPr="00F62369">
        <w:rPr>
          <w:rFonts w:cs="FrankRuehl"/>
          <w:sz w:val="22"/>
          <w:szCs w:val="22"/>
          <w:rtl/>
        </w:rPr>
        <w:t xml:space="preserve">). </w:t>
      </w:r>
    </w:p>
    <w:p w:rsidR="005366A8" w:rsidRPr="00F62369" w:rsidRDefault="005366A8" w:rsidP="005366A8">
      <w:pPr>
        <w:rPr>
          <w:rFonts w:cs="FrankRuehl"/>
          <w:sz w:val="22"/>
          <w:szCs w:val="22"/>
          <w:rtl/>
        </w:rPr>
      </w:pPr>
      <w:r w:rsidRPr="00F62369">
        <w:rPr>
          <w:rFonts w:cs="FrankRuehl"/>
          <w:sz w:val="22"/>
          <w:szCs w:val="22"/>
          <w:rtl/>
        </w:rPr>
        <w:t> 36.      האם כבוד האדם כזכות חוקתית נפגע על ידי הוראותיו המפלות של חוק דחיית השירות? כדי להשיב על שאלה זו יש לעמוד על היחס בין כבוד האדם לבין השוויון (</w:t>
      </w:r>
      <w:r w:rsidRPr="00F62369">
        <w:rPr>
          <w:rFonts w:cs="FrankRuehl" w:hint="cs"/>
          <w:sz w:val="22"/>
          <w:szCs w:val="22"/>
          <w:rtl/>
        </w:rPr>
        <w:t>...</w:t>
      </w:r>
      <w:r w:rsidRPr="00F62369">
        <w:rPr>
          <w:rFonts w:cs="FrankRuehl"/>
          <w:sz w:val="22"/>
          <w:szCs w:val="22"/>
          <w:rtl/>
        </w:rPr>
        <w:t xml:space="preserve">). יחס זה משתנה על פי המודל הראוי (המצומצם, הרחב, מודל הביניים) להבנת כבוד האדם כזכות חוקתית. כפי שראינו, המודל המצמצם מתרכז בגרעין של כבוד האדם, שעניינו פגיעות נפשיות או השפלה והשמצה. על פי מודל זה, כבוד האדם כזכות חוקתית משתרע על אותן פגיעות בשוויון הפוגעות בגרעינו של כבוד האדם. </w:t>
      </w:r>
      <w:r w:rsidRPr="00F62369">
        <w:rPr>
          <w:rFonts w:cs="FrankRuehl"/>
          <w:sz w:val="22"/>
          <w:szCs w:val="22"/>
          <w:highlight w:val="yellow"/>
          <w:rtl/>
        </w:rPr>
        <w:t>בגישה זו נקטה השופטת ד' דורנר בפרשת מילר</w:t>
      </w:r>
      <w:r w:rsidRPr="00F62369">
        <w:rPr>
          <w:rFonts w:cs="FrankRuehl"/>
          <w:sz w:val="22"/>
          <w:szCs w:val="22"/>
          <w:rtl/>
        </w:rPr>
        <w:t>. באותה פרשה נידונה השאלה אם הפליית אשה באשר היא אשה פוגעת בכבוד האדם. השופטת ד' דורנר השיבה על כך בחיוב</w:t>
      </w:r>
      <w:r w:rsidRPr="00F62369">
        <w:rPr>
          <w:rFonts w:cs="FrankRuehl" w:hint="cs"/>
          <w:sz w:val="22"/>
          <w:szCs w:val="22"/>
          <w:rtl/>
        </w:rPr>
        <w:t xml:space="preserve"> [...]</w:t>
      </w:r>
    </w:p>
    <w:p w:rsidR="005366A8" w:rsidRPr="00F62369" w:rsidRDefault="005366A8" w:rsidP="005366A8">
      <w:pPr>
        <w:pStyle w:val="a9"/>
        <w:rPr>
          <w:rFonts w:cs="FrankRuehl"/>
          <w:sz w:val="22"/>
          <w:szCs w:val="22"/>
          <w:rtl/>
        </w:rPr>
      </w:pPr>
      <w:r w:rsidRPr="00F62369">
        <w:rPr>
          <w:rFonts w:cs="FrankRuehl"/>
          <w:sz w:val="22"/>
          <w:szCs w:val="22"/>
          <w:rtl/>
        </w:rPr>
        <w:t xml:space="preserve">38.      מודל הביניים אינו מצמצם את כבוד האדם אך להשפלה וביזוי, אך הוא גם אינו מרחיבו לכלל זכויות האדם. </w:t>
      </w:r>
      <w:r w:rsidRPr="00F62369">
        <w:rPr>
          <w:rFonts w:cs="FrankRuehl" w:hint="cs"/>
          <w:sz w:val="22"/>
          <w:szCs w:val="22"/>
          <w:rtl/>
        </w:rPr>
        <w:t>[...]</w:t>
      </w:r>
      <w:r w:rsidRPr="00F62369">
        <w:rPr>
          <w:rFonts w:cs="FrankRuehl"/>
          <w:sz w:val="22"/>
          <w:szCs w:val="22"/>
          <w:rtl/>
        </w:rPr>
        <w:t xml:space="preserve">. </w:t>
      </w:r>
      <w:r w:rsidRPr="00F62369">
        <w:rPr>
          <w:rFonts w:cs="FrankRuehl"/>
          <w:sz w:val="22"/>
          <w:szCs w:val="22"/>
          <w:highlight w:val="yellow"/>
          <w:rtl/>
        </w:rPr>
        <w:t>על פי גישה זו, ניתן לכלול בגדרי כבוד האדם גם הפליה שאין עימה השפלה, ובלבד שהיא תהא קשורה בקשר הדוק לכבוד האדם כמבטא אוטונומיה של הרצון הפרטי, חופש בחירה וחופש פעולה וכיוצא בהם היבטים של כבוד האדם כזכות חוקתית</w:t>
      </w:r>
      <w:r w:rsidRPr="00F62369">
        <w:rPr>
          <w:rFonts w:cs="FrankRuehl"/>
          <w:sz w:val="22"/>
          <w:szCs w:val="22"/>
          <w:rtl/>
        </w:rPr>
        <w:t xml:space="preserve">. </w:t>
      </w:r>
    </w:p>
    <w:p w:rsidR="005366A8" w:rsidRPr="00F62369" w:rsidRDefault="005366A8" w:rsidP="005366A8">
      <w:pPr>
        <w:rPr>
          <w:rFonts w:cs="FrankRuehl"/>
          <w:sz w:val="22"/>
          <w:szCs w:val="22"/>
          <w:rtl/>
        </w:rPr>
      </w:pPr>
      <w:r w:rsidRPr="00F62369">
        <w:rPr>
          <w:rFonts w:cs="FrankRuehl"/>
          <w:sz w:val="22"/>
          <w:szCs w:val="22"/>
          <w:rtl/>
        </w:rPr>
        <w:t> </w:t>
      </w:r>
    </w:p>
    <w:p w:rsidR="005366A8" w:rsidRPr="00F62369" w:rsidRDefault="005366A8" w:rsidP="005366A8">
      <w:pPr>
        <w:pStyle w:val="a9"/>
        <w:rPr>
          <w:rFonts w:cs="FrankRuehl"/>
          <w:sz w:val="22"/>
          <w:szCs w:val="22"/>
          <w:rtl/>
        </w:rPr>
      </w:pPr>
      <w:r w:rsidRPr="00F62369">
        <w:rPr>
          <w:rFonts w:cs="FrankRuehl"/>
          <w:sz w:val="22"/>
          <w:szCs w:val="22"/>
          <w:rtl/>
        </w:rPr>
        <w:t xml:space="preserve">40.      אני סבור כי המודל הראוי, להבניית היחס בין כבוד האדם כזכות חוקתית לבין השוויון, הוא מודל הביניים. לדעתי, אין לאמץ את המודל המצומצם. הטעמים לכך הם שלושה: </w:t>
      </w:r>
      <w:r w:rsidRPr="00F62369">
        <w:rPr>
          <w:rFonts w:cs="FrankRuehl"/>
          <w:sz w:val="22"/>
          <w:szCs w:val="22"/>
          <w:u w:val="single"/>
          <w:rtl/>
        </w:rPr>
        <w:t>ראשית</w:t>
      </w:r>
      <w:r w:rsidRPr="00F62369">
        <w:rPr>
          <w:rFonts w:cs="FrankRuehl"/>
          <w:sz w:val="22"/>
          <w:szCs w:val="22"/>
          <w:rtl/>
        </w:rPr>
        <w:t xml:space="preserve">, עמדת הביניים התקבלה לעניין קביעת תחום התפרסותו של חוק-יסוד: כבוד האדם וחירותו. נקבע על-פיה, בין השאר, כי את מידותיה החוקתיות של כבוד האדם אין לצמצם אך לעינויים ולהשפלה (פרשת אדם טבע ודין, עמ' 518). איני רואה טעם לצמצם את היבט השוויון שבחוק היסוד להשפלה בלבד; </w:t>
      </w:r>
      <w:r w:rsidRPr="00F62369">
        <w:rPr>
          <w:rFonts w:cs="FrankRuehl"/>
          <w:sz w:val="22"/>
          <w:szCs w:val="22"/>
          <w:u w:val="single"/>
          <w:rtl/>
        </w:rPr>
        <w:t>שנית</w:t>
      </w:r>
      <w:r w:rsidRPr="00F62369">
        <w:rPr>
          <w:rFonts w:cs="FrankRuehl"/>
          <w:sz w:val="22"/>
          <w:szCs w:val="22"/>
          <w:rtl/>
        </w:rPr>
        <w:t xml:space="preserve">, </w:t>
      </w:r>
      <w:r w:rsidRPr="00F62369">
        <w:rPr>
          <w:rFonts w:cs="FrankRuehl"/>
          <w:sz w:val="22"/>
          <w:szCs w:val="22"/>
          <w:highlight w:val="yellow"/>
          <w:rtl/>
        </w:rPr>
        <w:t>ההכרזה על הקמת מדינת ישראל</w:t>
      </w:r>
      <w:r w:rsidRPr="00F62369">
        <w:rPr>
          <w:rFonts w:cs="FrankRuehl"/>
          <w:sz w:val="22"/>
          <w:szCs w:val="22"/>
          <w:rtl/>
        </w:rPr>
        <w:t xml:space="preserve"> קובעת כי מדינת ישראל "תקיים שוויון זכויות חברתי ומדיני גמור לכל אזרחיה בלי הבדל דת, גזע ומין". דברים אלה – גם אם אין בהם מקור ישיר לזכות החוקתית לשוויון (שאלה שכשלעצמה שנויה היא במחלוקת ואשאירה בצריך עיון (</w:t>
      </w:r>
      <w:r w:rsidRPr="00F62369">
        <w:rPr>
          <w:rFonts w:cs="FrankRuehl" w:hint="cs"/>
          <w:sz w:val="22"/>
          <w:szCs w:val="22"/>
          <w:rtl/>
        </w:rPr>
        <w:t>...</w:t>
      </w:r>
      <w:r w:rsidRPr="00F62369">
        <w:rPr>
          <w:rFonts w:cs="FrankRuehl"/>
          <w:sz w:val="22"/>
          <w:szCs w:val="22"/>
          <w:rtl/>
        </w:rPr>
        <w:t xml:space="preserve">) – בוודאי יש בהם כדי להשפיע על פירושה של הזכות לכבוד האדם ככוללת היבטים של שוויון שמעבר להשפלה וביזוי. אכן, חוק-יסוד: כבוד האדם וחירותו קובע במפורש כי זכויות היסוד של האדם בישראל "יכובדו ברוח העקרונות שבהכרזה על הקמת מדינת ישראל" (סעיף 1); </w:t>
      </w:r>
      <w:r w:rsidRPr="00F62369">
        <w:rPr>
          <w:rFonts w:cs="FrankRuehl"/>
          <w:sz w:val="22"/>
          <w:szCs w:val="22"/>
          <w:u w:val="single"/>
          <w:rtl/>
        </w:rPr>
        <w:t>שלישית</w:t>
      </w:r>
      <w:r w:rsidRPr="00F62369">
        <w:rPr>
          <w:rFonts w:cs="FrankRuehl"/>
          <w:sz w:val="22"/>
          <w:szCs w:val="22"/>
          <w:rtl/>
        </w:rPr>
        <w:t>, התפיסה הראויה לכבוד האדם – המעמידה במרכזו את האוטונומיה של הרצון הפרטי, חופש הבחירה, השלמות הפיזית והרוחנית של האדם ומכלול אנושיותו – מצדיקה לכלול בגדרו של כבוד האדם אותם היבטים של השוויון אשר מבטיחים את התפיסה הראויה הזו של כבוד האדם.</w:t>
      </w:r>
      <w:r w:rsidRPr="00F62369">
        <w:rPr>
          <w:rFonts w:cs="FrankRuehl" w:hint="cs"/>
          <w:sz w:val="22"/>
          <w:szCs w:val="22"/>
          <w:rtl/>
        </w:rPr>
        <w:t xml:space="preserve"> [...]</w:t>
      </w:r>
    </w:p>
    <w:p w:rsidR="005366A8" w:rsidRPr="00F62369" w:rsidRDefault="005366A8" w:rsidP="005366A8">
      <w:pPr>
        <w:pStyle w:val="a9"/>
        <w:rPr>
          <w:rFonts w:cs="FrankRuehl"/>
          <w:sz w:val="22"/>
          <w:szCs w:val="22"/>
          <w:rtl/>
        </w:rPr>
      </w:pPr>
      <w:r w:rsidRPr="00F62369">
        <w:rPr>
          <w:rFonts w:cs="FrankRuehl"/>
          <w:sz w:val="22"/>
          <w:szCs w:val="22"/>
          <w:rtl/>
        </w:rPr>
        <w:t>וכפי שמציין חברי השופט לוי בחוות דעתו "אדם, המגלה כי לבחירותיו לא ניתן משקל שווה לאלו של רעיו, הנוכח כי אין יסוד רציונלי לעובדה כי האחר, בניגוד אליו, זוכה לממש את העדפותיו, המרגיש כי אינו זוכה להכרה, ובפרט שעה שבחירותיו משרתות גם את עניינם של אחרים זולתו, והחש עצמו נפגע בגין בחירות שעשה בלא טעם ממשי לדבר, הוא ללא ספק אדם שכבודו נפגע" (פסקה 4 לפסק דינו).</w:t>
      </w:r>
    </w:p>
    <w:p w:rsidR="005366A8" w:rsidRPr="00F62369" w:rsidRDefault="005366A8" w:rsidP="005366A8">
      <w:pPr>
        <w:pStyle w:val="a9"/>
        <w:rPr>
          <w:rFonts w:cs="FrankRuehl"/>
          <w:sz w:val="22"/>
          <w:szCs w:val="22"/>
          <w:rtl/>
        </w:rPr>
      </w:pPr>
    </w:p>
    <w:p w:rsidR="005366A8" w:rsidRPr="00F62369" w:rsidRDefault="005366A8" w:rsidP="005366A8">
      <w:pPr>
        <w:pStyle w:val="a9"/>
        <w:rPr>
          <w:rFonts w:cs="FrankRuehl"/>
          <w:sz w:val="22"/>
          <w:szCs w:val="22"/>
          <w:rtl/>
        </w:rPr>
      </w:pPr>
      <w:r w:rsidRPr="00F62369">
        <w:rPr>
          <w:rFonts w:cs="FrankRuehl" w:hint="cs"/>
          <w:sz w:val="22"/>
          <w:szCs w:val="22"/>
          <w:rtl/>
        </w:rPr>
        <w:t>41.</w:t>
      </w:r>
      <w:r w:rsidRPr="00F62369">
        <w:rPr>
          <w:rFonts w:cs="FrankRuehl" w:hint="cs"/>
          <w:sz w:val="22"/>
          <w:szCs w:val="22"/>
          <w:rtl/>
        </w:rPr>
        <w:tab/>
        <w:t xml:space="preserve">[...] </w:t>
      </w:r>
      <w:r w:rsidRPr="00F62369">
        <w:rPr>
          <w:rFonts w:cs="FrankRuehl"/>
          <w:sz w:val="22"/>
          <w:szCs w:val="22"/>
          <w:rtl/>
        </w:rPr>
        <w:t>בעוד שמרבית בני החברה מחוייבים בשירות צבאי מלא וממושך, תוך סיכון לעתים של היקר מכל, לתלמידי ישיבות שתורתם אומנותם ניתנת האפשרות להשתחרר משירות זה. מצב דברים זה פוגע בשוויון הבסיסי והאלמנטרי ביותר שבין בני החברה. הוא פוגע במעמדו של האדם המחויב בשירות צבאי כשווה בין שווים, על יסוד השתייכותו החברתית, אמונתו הדתית ואורחות חייו. הוא מפר הפרה קשה את השוויון בזכויות ובחובות האזרחיות הבסיסיות. הוא גורם לאפליה וקיפוח.</w:t>
      </w:r>
    </w:p>
    <w:p w:rsidR="005366A8" w:rsidRPr="00F62369" w:rsidRDefault="005366A8" w:rsidP="005366A8">
      <w:pPr>
        <w:pStyle w:val="a9"/>
        <w:rPr>
          <w:rFonts w:cs="FrankRuehl"/>
          <w:sz w:val="22"/>
          <w:szCs w:val="22"/>
          <w:rtl/>
        </w:rPr>
      </w:pPr>
    </w:p>
    <w:p w:rsidR="005366A8" w:rsidRPr="00F62369" w:rsidRDefault="005366A8" w:rsidP="005366A8">
      <w:pPr>
        <w:pStyle w:val="a9"/>
        <w:rPr>
          <w:rFonts w:cs="FrankRuehl"/>
          <w:sz w:val="22"/>
          <w:szCs w:val="22"/>
          <w:rtl/>
        </w:rPr>
      </w:pPr>
      <w:r w:rsidRPr="00F62369">
        <w:rPr>
          <w:rFonts w:cs="FrankRuehl" w:hint="cs"/>
          <w:sz w:val="22"/>
          <w:szCs w:val="22"/>
          <w:rtl/>
        </w:rPr>
        <w:t>43.</w:t>
      </w:r>
      <w:r w:rsidRPr="00F62369">
        <w:rPr>
          <w:rFonts w:cs="FrankRuehl" w:hint="cs"/>
          <w:sz w:val="22"/>
          <w:szCs w:val="22"/>
          <w:rtl/>
        </w:rPr>
        <w:tab/>
        <w:t xml:space="preserve">[...] </w:t>
      </w:r>
      <w:r w:rsidRPr="00F62369">
        <w:rPr>
          <w:rFonts w:cs="FrankRuehl"/>
          <w:sz w:val="22"/>
          <w:szCs w:val="22"/>
          <w:rtl/>
        </w:rPr>
        <w:t>האם לא נובע מכאן</w:t>
      </w:r>
      <w:r w:rsidRPr="00F62369">
        <w:rPr>
          <w:rFonts w:cs="FrankRuehl" w:hint="cs"/>
          <w:sz w:val="22"/>
          <w:szCs w:val="22"/>
          <w:rtl/>
        </w:rPr>
        <w:t xml:space="preserve"> ...</w:t>
      </w:r>
      <w:r w:rsidRPr="00F62369">
        <w:rPr>
          <w:rFonts w:cs="FrankRuehl"/>
          <w:sz w:val="22"/>
          <w:szCs w:val="22"/>
          <w:rtl/>
        </w:rPr>
        <w:t xml:space="preserve">, כי כבודו של מי שמתחייב בשירות צבאי תובעני וממושך, תוך סיכון חיים, נפגע כאשר אחר זוכה לדחיית השירות אך בשל היותו בחור ישיבה שתורתו אומנותו? האין בכך פגיעה באוטונומיה, בשלמות הפיזית והרוחנית של האדם ובמכלול אנושיותו? ודוק: </w:t>
      </w:r>
      <w:r w:rsidRPr="00F62369">
        <w:rPr>
          <w:rFonts w:cs="FrankRuehl"/>
          <w:sz w:val="22"/>
          <w:szCs w:val="22"/>
          <w:highlight w:val="yellow"/>
          <w:rtl/>
        </w:rPr>
        <w:t>הפגיעה בכבוד האדם אינה בעצם הגיוס לצבא והשירות בו.</w:t>
      </w:r>
      <w:r w:rsidRPr="00F62369">
        <w:rPr>
          <w:rFonts w:cs="FrankRuehl"/>
          <w:sz w:val="22"/>
          <w:szCs w:val="22"/>
          <w:rtl/>
        </w:rPr>
        <w:t xml:space="preserve"> אלה הם זכות וחובה גם יחד; והם מתעצמים עם גידול הנטל והסיכון האישי. הגשמתם היא כבודו של האדם. </w:t>
      </w:r>
      <w:r w:rsidRPr="00F62369">
        <w:rPr>
          <w:rFonts w:cs="FrankRuehl"/>
          <w:sz w:val="22"/>
          <w:szCs w:val="22"/>
          <w:highlight w:val="yellow"/>
          <w:rtl/>
        </w:rPr>
        <w:t>הפגיעה בכבוד האדם היא בתחושה הקשה שהאחר אינו חייב בכך במידה שווה.</w:t>
      </w:r>
      <w:r w:rsidRPr="00F62369">
        <w:rPr>
          <w:rFonts w:cs="FrankRuehl"/>
          <w:sz w:val="22"/>
          <w:szCs w:val="22"/>
          <w:rtl/>
        </w:rPr>
        <w:t xml:space="preserve"> </w:t>
      </w:r>
    </w:p>
    <w:p w:rsidR="005366A8" w:rsidRPr="00F62369" w:rsidRDefault="005366A8" w:rsidP="005366A8">
      <w:pPr>
        <w:pStyle w:val="BodyText2"/>
        <w:rPr>
          <w:rFonts w:cs="FrankRuehl"/>
          <w:sz w:val="22"/>
          <w:rtl/>
        </w:rPr>
      </w:pPr>
      <w:r w:rsidRPr="00F62369">
        <w:rPr>
          <w:rFonts w:cs="FrankRuehl" w:hint="cs"/>
          <w:sz w:val="22"/>
          <w:rtl/>
        </w:rPr>
        <w:t>=-=</w:t>
      </w:r>
    </w:p>
    <w:p w:rsidR="005366A8" w:rsidRDefault="005366A8" w:rsidP="005366A8">
      <w:pPr>
        <w:rPr>
          <w:rFonts w:cs="FrankRuehl"/>
          <w:rtl/>
        </w:rPr>
      </w:pPr>
    </w:p>
    <w:p w:rsidR="005366A8" w:rsidRDefault="005366A8" w:rsidP="005366A8">
      <w:pPr>
        <w:rPr>
          <w:rFonts w:cs="FrankRuehl"/>
          <w:rtl/>
        </w:rPr>
      </w:pPr>
      <w:r>
        <w:rPr>
          <w:rFonts w:cs="FrankRuehl" w:hint="cs"/>
          <w:rtl/>
        </w:rPr>
        <w:t>[דוגמא אחרת עם הכרעה אחרת]</w:t>
      </w:r>
    </w:p>
    <w:p w:rsidR="005366A8" w:rsidRPr="004F0673" w:rsidRDefault="005366A8" w:rsidP="005366A8">
      <w:pPr>
        <w:spacing w:after="120"/>
        <w:jc w:val="center"/>
        <w:rPr>
          <w:sz w:val="22"/>
          <w:szCs w:val="22"/>
          <w:rtl/>
        </w:rPr>
      </w:pPr>
      <w:r w:rsidRPr="00DA5A6C">
        <w:rPr>
          <w:sz w:val="22"/>
          <w:szCs w:val="22"/>
          <w:highlight w:val="yellow"/>
          <w:rtl/>
        </w:rPr>
        <w:t xml:space="preserve">בג"צ 9722/04 </w:t>
      </w:r>
      <w:r w:rsidRPr="00DA5A6C">
        <w:rPr>
          <w:b/>
          <w:bCs/>
          <w:sz w:val="22"/>
          <w:szCs w:val="22"/>
          <w:highlight w:val="yellow"/>
          <w:rtl/>
        </w:rPr>
        <w:t>פולגת ג'ינס בע"מ נ' ממשלת ישראל</w:t>
      </w:r>
      <w:r w:rsidRPr="00DA5A6C">
        <w:rPr>
          <w:sz w:val="22"/>
          <w:szCs w:val="22"/>
          <w:highlight w:val="yellow"/>
          <w:rtl/>
        </w:rPr>
        <w:t xml:space="preserve"> (ניתן ביום 7.12.2006)</w:t>
      </w:r>
    </w:p>
    <w:p w:rsidR="005366A8" w:rsidRPr="004F0673" w:rsidRDefault="005366A8" w:rsidP="005366A8">
      <w:pPr>
        <w:rPr>
          <w:rFonts w:cs="FrankRuehl"/>
          <w:sz w:val="22"/>
          <w:szCs w:val="22"/>
          <w:rtl/>
        </w:rPr>
      </w:pPr>
      <w:r w:rsidRPr="004F0673">
        <w:rPr>
          <w:rFonts w:cs="FrankRuehl" w:hint="cs"/>
          <w:sz w:val="22"/>
          <w:szCs w:val="22"/>
          <w:rtl/>
        </w:rPr>
        <w:t>1.        ביום 15.8.04 קבלה הממשלה החלטה (מס' 2445) שעניינה שילוב עובדים ישראלים בשוק העבודה. עיקרה של ההחלטה בהנחיית הממונה על יחידת הסמך לעניין עובדים זרים במשרד המסחר התעשייה והתעסוקה (להלן – הממונה) להקצות היתרי העסקה לעובדים זרים בענפי התעשייה והשירותים רק ל"מומחי חוץ". לצורך עניין זה, מומחה חוץ הוא תושב חוץ שהוזמן לעבוד בישראל בידי תושב ישראל שאינו קבלן כח אדם או מתווך כח אדם, כדי לתת שירות לאותו תושב ישראל בתחום שיש לו בו מומחיות ייחודית, ושעבור שירותיו ישולם לו שכר חודשי בסכומים מוגדרים. על פי אותה החלטה, החל ב- 1.9.04, השכר שישולם לא יפחת מ 5,000 ₪, ולאחר העלאה הדרגתית, החל מ- 1.1.07, ישולם לעובד שכר שלא יפחת מפעמיים השכר הממוצע במשק. [...]</w:t>
      </w:r>
    </w:p>
    <w:p w:rsidR="005366A8" w:rsidRPr="004F0673" w:rsidRDefault="005366A8" w:rsidP="005366A8">
      <w:pPr>
        <w:rPr>
          <w:rFonts w:cs="FrankRuehl"/>
          <w:sz w:val="22"/>
          <w:szCs w:val="22"/>
          <w:rtl/>
        </w:rPr>
      </w:pPr>
      <w:r w:rsidRPr="004F0673">
        <w:rPr>
          <w:rFonts w:cs="FrankRuehl" w:hint="cs"/>
          <w:sz w:val="22"/>
          <w:szCs w:val="22"/>
          <w:rtl/>
        </w:rPr>
        <w:t xml:space="preserve">2. </w:t>
      </w:r>
      <w:r w:rsidRPr="004F0673">
        <w:rPr>
          <w:rFonts w:cs="FrankRuehl" w:hint="cs"/>
          <w:sz w:val="22"/>
          <w:szCs w:val="22"/>
          <w:rtl/>
        </w:rPr>
        <w:tab/>
        <w:t>לפנינו שתי עתירות המופנות כנגד החלטות הממשלה בעניין העסקת עובדים זרים בתעשייה. [אחת של 50 תאגידים, והאחרת של התאחדות התעשיינים]. [...]</w:t>
      </w:r>
    </w:p>
    <w:p w:rsidR="005366A8" w:rsidRPr="004F0673" w:rsidRDefault="005366A8" w:rsidP="005366A8">
      <w:pPr>
        <w:rPr>
          <w:rFonts w:cs="FrankRuehl"/>
          <w:sz w:val="22"/>
          <w:szCs w:val="22"/>
          <w:rtl/>
        </w:rPr>
      </w:pPr>
      <w:r w:rsidRPr="004F0673">
        <w:rPr>
          <w:rFonts w:cs="FrankRuehl" w:hint="cs"/>
          <w:sz w:val="22"/>
          <w:szCs w:val="22"/>
          <w:rtl/>
        </w:rPr>
        <w:t xml:space="preserve">12.      </w:t>
      </w:r>
      <w:r w:rsidRPr="004F0673">
        <w:rPr>
          <w:rFonts w:cs="FrankRuehl" w:hint="cs"/>
          <w:sz w:val="22"/>
          <w:szCs w:val="22"/>
          <w:highlight w:val="yellow"/>
          <w:rtl/>
        </w:rPr>
        <w:t>טוענים עוד העותרים [מעבר לטענת הפגיעה בחופש העיסוק], כי מדיניות הממשלה בעניין העובדים הזרים בתעשייה פוגעת בזכותם החוקתית לשוויון. אף דין טענה זו להידחות.</w:t>
      </w:r>
      <w:r w:rsidRPr="004F0673">
        <w:rPr>
          <w:rFonts w:cs="FrankRuehl" w:hint="cs"/>
          <w:sz w:val="22"/>
          <w:szCs w:val="22"/>
          <w:rtl/>
        </w:rPr>
        <w:t xml:space="preserve"> </w:t>
      </w:r>
    </w:p>
    <w:p w:rsidR="005366A8" w:rsidRPr="004F0673" w:rsidRDefault="005366A8" w:rsidP="005366A8">
      <w:pPr>
        <w:rPr>
          <w:rFonts w:cs="FrankRuehl"/>
          <w:sz w:val="22"/>
          <w:szCs w:val="22"/>
          <w:rtl/>
        </w:rPr>
      </w:pPr>
      <w:r w:rsidRPr="004F0673">
        <w:rPr>
          <w:rFonts w:cs="FrankRuehl" w:hint="cs"/>
          <w:sz w:val="22"/>
          <w:szCs w:val="22"/>
          <w:rtl/>
        </w:rPr>
        <w:t xml:space="preserve">            מעמדה החוקתי של הזכות לשוויון מותנה בשילובה כחלק מהזכות לכבוד האדם (...[פס"ד חוק טל]). </w:t>
      </w:r>
      <w:r w:rsidRPr="004F0673">
        <w:rPr>
          <w:rFonts w:cs="FrankRuehl" w:hint="cs"/>
          <w:sz w:val="22"/>
          <w:szCs w:val="22"/>
          <w:highlight w:val="yellow"/>
          <w:rtl/>
        </w:rPr>
        <w:t>מעמד זה מותנה במהות הפגיעה בשוויון, ובמידת נגיעתה למושג כבוד האדם</w:t>
      </w:r>
      <w:r w:rsidRPr="004F0673">
        <w:rPr>
          <w:rFonts w:cs="FrankRuehl" w:hint="cs"/>
          <w:sz w:val="22"/>
          <w:szCs w:val="22"/>
          <w:rtl/>
        </w:rPr>
        <w:t xml:space="preserve">. [...] הזכות לכבוד האדם האדם כוללת בחובה את הזכות לשוויון </w:t>
      </w:r>
      <w:r w:rsidRPr="004F0673">
        <w:rPr>
          <w:rFonts w:cs="FrankRuehl" w:hint="cs"/>
          <w:sz w:val="22"/>
          <w:szCs w:val="22"/>
          <w:highlight w:val="yellow"/>
          <w:rtl/>
        </w:rPr>
        <w:t>ככל שזכות זו קשורה קשר ענייני הדוק לכבוד האדם</w:t>
      </w:r>
      <w:r w:rsidRPr="004F0673">
        <w:rPr>
          <w:rFonts w:cs="FrankRuehl" w:hint="cs"/>
          <w:sz w:val="22"/>
          <w:szCs w:val="22"/>
          <w:rtl/>
        </w:rPr>
        <w:t>. </w:t>
      </w:r>
    </w:p>
    <w:p w:rsidR="005366A8" w:rsidRPr="004F0673" w:rsidRDefault="005366A8" w:rsidP="005366A8">
      <w:pPr>
        <w:rPr>
          <w:rFonts w:cs="FrankRuehl"/>
          <w:sz w:val="22"/>
          <w:szCs w:val="22"/>
          <w:rtl/>
        </w:rPr>
      </w:pPr>
      <w:r w:rsidRPr="004F0673">
        <w:rPr>
          <w:rFonts w:cs="FrankRuehl" w:hint="cs"/>
          <w:sz w:val="22"/>
          <w:szCs w:val="22"/>
          <w:rtl/>
        </w:rPr>
        <w:t xml:space="preserve">           </w:t>
      </w:r>
      <w:r w:rsidRPr="004F0673">
        <w:rPr>
          <w:rFonts w:cs="FrankRuehl" w:hint="cs"/>
          <w:sz w:val="22"/>
          <w:szCs w:val="22"/>
          <w:highlight w:val="yellow"/>
          <w:rtl/>
        </w:rPr>
        <w:t xml:space="preserve">טענת הזכות לשוויון כפי שעלתה בהליך זה איננה קשורה קשר הדוק לכבוד האדם, ולכן אין להגדירה כזכות חוקתית. </w:t>
      </w:r>
      <w:r w:rsidRPr="004F0673">
        <w:rPr>
          <w:rFonts w:cs="FrankRuehl" w:hint="cs"/>
          <w:sz w:val="22"/>
          <w:szCs w:val="22"/>
          <w:rtl/>
        </w:rPr>
        <w:t xml:space="preserve">טענות העותרים לפיהן הטלת הגבלות על מתן היתרים לעובדים זרים בתעשייה משמען פגיעה בזכות לשוויון ביחס לעוסקים בענפי משק אחרים אינה שקולה בגרעינה, ואף בשוליה, לפגיעה בכבוד האדם. </w:t>
      </w:r>
      <w:r w:rsidRPr="004F0673">
        <w:rPr>
          <w:rFonts w:cs="FrankRuehl" w:hint="cs"/>
          <w:sz w:val="22"/>
          <w:szCs w:val="22"/>
          <w:highlight w:val="yellow"/>
          <w:rtl/>
        </w:rPr>
        <w:t>זו טענה שמשמעה, לכל היותר, טענת הפלייה במישור המעשה המינהלי של הרשות הציבורית, שעניינה השפעה על הפעילות הכלכלית-עסקית ועל התחרות והרווחיות של העוסקים.</w:t>
      </w:r>
      <w:r w:rsidRPr="004F0673">
        <w:rPr>
          <w:rFonts w:cs="FrankRuehl" w:hint="cs"/>
          <w:sz w:val="22"/>
          <w:szCs w:val="22"/>
          <w:rtl/>
        </w:rPr>
        <w:t xml:space="preserve"> כפי שפורט לעיל, טענה זו דינה להידחות. לאור האמור, טענת הפגיעה בשוויון אינה מעלה שאלה בעלת היבט חוקתי.</w:t>
      </w:r>
    </w:p>
    <w:p w:rsidR="005366A8" w:rsidRDefault="005366A8" w:rsidP="005366A8">
      <w:pPr>
        <w:spacing w:after="120"/>
        <w:rPr>
          <w:rFonts w:ascii="Arial" w:hAnsi="Arial" w:cs="Arial"/>
          <w:b/>
          <w:bCs/>
          <w:i/>
          <w:iCs/>
          <w:sz w:val="22"/>
          <w:szCs w:val="22"/>
          <w:rtl/>
        </w:rPr>
      </w:pPr>
      <w:r w:rsidRPr="004F0673">
        <w:rPr>
          <w:rFonts w:ascii="Arial" w:hAnsi="Arial" w:cs="Arial" w:hint="cs"/>
          <w:b/>
          <w:bCs/>
          <w:i/>
          <w:iCs/>
          <w:sz w:val="22"/>
          <w:szCs w:val="22"/>
          <w:rtl/>
        </w:rPr>
        <w:t>=-=</w:t>
      </w:r>
    </w:p>
    <w:p w:rsidR="005366A8" w:rsidRPr="00CB740D" w:rsidRDefault="005366A8" w:rsidP="005366A8">
      <w:pPr>
        <w:spacing w:after="120"/>
        <w:jc w:val="center"/>
        <w:rPr>
          <w:b/>
          <w:bCs/>
          <w:sz w:val="22"/>
          <w:szCs w:val="22"/>
          <w:highlight w:val="yellow"/>
          <w:u w:val="single"/>
          <w:rtl/>
        </w:rPr>
      </w:pPr>
      <w:r w:rsidRPr="00CB740D">
        <w:rPr>
          <w:rFonts w:hint="cs"/>
          <w:b/>
          <w:bCs/>
          <w:sz w:val="22"/>
          <w:szCs w:val="22"/>
          <w:highlight w:val="yellow"/>
          <w:u w:val="single"/>
          <w:rtl/>
        </w:rPr>
        <w:t>מה הרבותא של השאלה דלעיל? [כלומר, מדוע יש לה חשיבות משפטית כבדת-משקל?]</w:t>
      </w:r>
    </w:p>
    <w:p w:rsidR="005366A8" w:rsidRPr="00F754FE" w:rsidRDefault="005366A8" w:rsidP="005366A8">
      <w:pPr>
        <w:rPr>
          <w:sz w:val="22"/>
          <w:szCs w:val="22"/>
          <w:highlight w:val="yellow"/>
          <w:rtl/>
        </w:rPr>
      </w:pPr>
      <w:r w:rsidRPr="00F754FE">
        <w:rPr>
          <w:rFonts w:hint="cs"/>
          <w:sz w:val="22"/>
          <w:szCs w:val="22"/>
          <w:highlight w:val="yellow"/>
          <w:rtl/>
        </w:rPr>
        <w:t>זכרו זכויות יסוד מוגנות במשפט הישראלי במגוון דרכים. כולן מוגנות בחוקה המהותית של ישראל, אך רק חלקן זכו להגנה בחוקה הפורמאלית שלה, חוקי היסוד שלה.</w:t>
      </w:r>
    </w:p>
    <w:p w:rsidR="005366A8" w:rsidRDefault="005366A8" w:rsidP="005366A8">
      <w:pPr>
        <w:rPr>
          <w:sz w:val="22"/>
          <w:szCs w:val="22"/>
          <w:highlight w:val="yellow"/>
          <w:rtl/>
        </w:rPr>
      </w:pPr>
      <w:r w:rsidRPr="00F754FE">
        <w:rPr>
          <w:rFonts w:hint="cs"/>
          <w:sz w:val="22"/>
          <w:szCs w:val="22"/>
          <w:highlight w:val="yellow"/>
          <w:rtl/>
        </w:rPr>
        <w:t xml:space="preserve">אותן זכויות שלא זכו למעמד חוקתי על-חוקי (כלומר לא </w:t>
      </w:r>
      <w:r>
        <w:rPr>
          <w:rFonts w:hint="cs"/>
          <w:sz w:val="22"/>
          <w:szCs w:val="22"/>
          <w:highlight w:val="yellow"/>
          <w:rtl/>
        </w:rPr>
        <w:t>עוגנו, במפורש או במשתמע,</w:t>
      </w:r>
      <w:r w:rsidRPr="00F754FE">
        <w:rPr>
          <w:rFonts w:hint="cs"/>
          <w:sz w:val="22"/>
          <w:szCs w:val="22"/>
          <w:highlight w:val="yellow"/>
          <w:rtl/>
        </w:rPr>
        <w:t xml:space="preserve"> בחוקה הפורמאלית</w:t>
      </w:r>
      <w:r>
        <w:rPr>
          <w:rFonts w:hint="cs"/>
          <w:sz w:val="22"/>
          <w:szCs w:val="22"/>
          <w:highlight w:val="yellow"/>
          <w:rtl/>
        </w:rPr>
        <w:t>, ולכן לא זכו להגנתה</w:t>
      </w:r>
      <w:r w:rsidRPr="00F754FE">
        <w:rPr>
          <w:rFonts w:hint="cs"/>
          <w:sz w:val="22"/>
          <w:szCs w:val="22"/>
          <w:highlight w:val="yellow"/>
          <w:rtl/>
        </w:rPr>
        <w:t xml:space="preserve">) זוכים </w:t>
      </w:r>
      <w:r>
        <w:rPr>
          <w:rFonts w:hint="cs"/>
          <w:sz w:val="22"/>
          <w:szCs w:val="22"/>
          <w:highlight w:val="yellow"/>
          <w:rtl/>
        </w:rPr>
        <w:t xml:space="preserve">בכל זאת </w:t>
      </w:r>
      <w:r w:rsidRPr="00F754FE">
        <w:rPr>
          <w:rFonts w:hint="cs"/>
          <w:sz w:val="22"/>
          <w:szCs w:val="22"/>
          <w:highlight w:val="yellow"/>
          <w:rtl/>
        </w:rPr>
        <w:t xml:space="preserve">להגנה </w:t>
      </w:r>
      <w:r>
        <w:rPr>
          <w:rFonts w:hint="cs"/>
          <w:sz w:val="22"/>
          <w:szCs w:val="22"/>
          <w:highlight w:val="yellow"/>
          <w:rtl/>
        </w:rPr>
        <w:t xml:space="preserve">משמעותית </w:t>
      </w:r>
      <w:r w:rsidRPr="00F754FE">
        <w:rPr>
          <w:rFonts w:hint="cs"/>
          <w:sz w:val="22"/>
          <w:szCs w:val="22"/>
          <w:highlight w:val="yellow"/>
          <w:rtl/>
        </w:rPr>
        <w:t xml:space="preserve">בדרכים שעליהן כתבתי </w:t>
      </w:r>
      <w:r>
        <w:rPr>
          <w:rFonts w:hint="cs"/>
          <w:sz w:val="22"/>
          <w:szCs w:val="22"/>
          <w:highlight w:val="yellow"/>
          <w:rtl/>
        </w:rPr>
        <w:t>לעיל</w:t>
      </w:r>
      <w:r w:rsidRPr="00F754FE">
        <w:rPr>
          <w:rFonts w:hint="cs"/>
          <w:sz w:val="22"/>
          <w:szCs w:val="22"/>
          <w:highlight w:val="yellow"/>
          <w:rtl/>
        </w:rPr>
        <w:t xml:space="preserve">. </w:t>
      </w:r>
      <w:r>
        <w:rPr>
          <w:rFonts w:hint="cs"/>
          <w:sz w:val="22"/>
          <w:szCs w:val="22"/>
          <w:highlight w:val="yellow"/>
          <w:rtl/>
        </w:rPr>
        <w:t xml:space="preserve">כך למשל, </w:t>
      </w:r>
      <w:r w:rsidRPr="00F754FE">
        <w:rPr>
          <w:rFonts w:hint="cs"/>
          <w:sz w:val="22"/>
          <w:szCs w:val="22"/>
          <w:highlight w:val="yellow"/>
          <w:rtl/>
        </w:rPr>
        <w:t>הן עשויות לזכות להגנה בחוק של הכנסת (להבדיל מחוק יסוד), ו</w:t>
      </w:r>
      <w:r>
        <w:rPr>
          <w:rFonts w:hint="cs"/>
          <w:sz w:val="22"/>
          <w:szCs w:val="22"/>
          <w:highlight w:val="yellow"/>
          <w:rtl/>
        </w:rPr>
        <w:t xml:space="preserve">כמו כן, </w:t>
      </w:r>
      <w:r w:rsidRPr="00F754FE">
        <w:rPr>
          <w:rFonts w:hint="cs"/>
          <w:sz w:val="22"/>
          <w:szCs w:val="22"/>
          <w:highlight w:val="yellow"/>
          <w:rtl/>
        </w:rPr>
        <w:t xml:space="preserve">הן </w:t>
      </w:r>
      <w:r>
        <w:rPr>
          <w:sz w:val="22"/>
          <w:szCs w:val="22"/>
          <w:highlight w:val="yellow"/>
          <w:rtl/>
        </w:rPr>
        <w:t>–</w:t>
      </w:r>
      <w:r>
        <w:rPr>
          <w:rFonts w:hint="cs"/>
          <w:sz w:val="22"/>
          <w:szCs w:val="22"/>
          <w:highlight w:val="yellow"/>
          <w:rtl/>
        </w:rPr>
        <w:t xml:space="preserve"> כולן </w:t>
      </w:r>
      <w:r>
        <w:rPr>
          <w:sz w:val="22"/>
          <w:szCs w:val="22"/>
          <w:highlight w:val="yellow"/>
          <w:rtl/>
        </w:rPr>
        <w:t>–</w:t>
      </w:r>
      <w:r>
        <w:rPr>
          <w:rFonts w:hint="cs"/>
          <w:sz w:val="22"/>
          <w:szCs w:val="22"/>
          <w:highlight w:val="yellow"/>
          <w:rtl/>
        </w:rPr>
        <w:t xml:space="preserve"> </w:t>
      </w:r>
      <w:r w:rsidRPr="00F754FE">
        <w:rPr>
          <w:rFonts w:hint="cs"/>
          <w:sz w:val="22"/>
          <w:szCs w:val="22"/>
          <w:highlight w:val="yellow"/>
          <w:rtl/>
        </w:rPr>
        <w:t>מוגנות מכוח "המשפט המקובל נוסח ישראל".</w:t>
      </w:r>
    </w:p>
    <w:p w:rsidR="005366A8" w:rsidRDefault="005366A8" w:rsidP="005366A8">
      <w:pPr>
        <w:rPr>
          <w:sz w:val="22"/>
          <w:szCs w:val="22"/>
          <w:highlight w:val="yellow"/>
          <w:rtl/>
        </w:rPr>
      </w:pPr>
      <w:r>
        <w:rPr>
          <w:rFonts w:hint="cs"/>
          <w:sz w:val="22"/>
          <w:szCs w:val="22"/>
          <w:highlight w:val="yellow"/>
          <w:rtl/>
        </w:rPr>
        <w:t>ההבדל המשמעותי בין זכויות יסוד חוקתיות לבין זכויות יסוד שאינן חוקתיות, זה שהראשונות גוברות על חוק (שלא עומד בתנאיה של פסקת ההגבלה) ואילו האחרונות נסוגות בפני חוק שכזה.</w:t>
      </w:r>
    </w:p>
    <w:p w:rsidR="005366A8" w:rsidRDefault="005366A8" w:rsidP="005366A8">
      <w:pPr>
        <w:rPr>
          <w:sz w:val="22"/>
          <w:szCs w:val="22"/>
          <w:highlight w:val="yellow"/>
          <w:rtl/>
        </w:rPr>
      </w:pPr>
    </w:p>
    <w:p w:rsidR="005366A8" w:rsidRDefault="005366A8" w:rsidP="005366A8">
      <w:pPr>
        <w:rPr>
          <w:sz w:val="22"/>
          <w:szCs w:val="22"/>
          <w:highlight w:val="yellow"/>
          <w:rtl/>
        </w:rPr>
      </w:pPr>
      <w:r>
        <w:rPr>
          <w:rFonts w:hint="cs"/>
          <w:sz w:val="22"/>
          <w:szCs w:val="22"/>
          <w:highlight w:val="yellow"/>
          <w:rtl/>
        </w:rPr>
        <w:t>=-=</w:t>
      </w:r>
    </w:p>
    <w:p w:rsidR="005366A8" w:rsidRDefault="005366A8" w:rsidP="005366A8">
      <w:pPr>
        <w:spacing w:after="120"/>
        <w:rPr>
          <w:rFonts w:cs="Arial"/>
          <w:sz w:val="22"/>
          <w:szCs w:val="22"/>
          <w:highlight w:val="yellow"/>
          <w:rtl/>
        </w:rPr>
      </w:pPr>
      <w:r w:rsidRPr="00CB740D">
        <w:rPr>
          <w:rFonts w:cs="Arial" w:hint="cs"/>
          <w:sz w:val="22"/>
          <w:szCs w:val="22"/>
          <w:highlight w:val="yellow"/>
          <w:u w:val="single"/>
          <w:rtl/>
        </w:rPr>
        <w:t>זכויות נוספות שזכו להגנה חוקתית מכוח הזכות "לכבוד האדם"</w:t>
      </w:r>
      <w:r>
        <w:rPr>
          <w:rFonts w:cs="Arial" w:hint="cs"/>
          <w:sz w:val="22"/>
          <w:szCs w:val="22"/>
          <w:highlight w:val="yellow"/>
          <w:rtl/>
        </w:rPr>
        <w:t>:</w:t>
      </w:r>
    </w:p>
    <w:p w:rsidR="005366A8" w:rsidRPr="00CB740D" w:rsidRDefault="005366A8" w:rsidP="005366A8">
      <w:pPr>
        <w:spacing w:after="120"/>
        <w:jc w:val="center"/>
        <w:rPr>
          <w:rFonts w:cs="Arial"/>
          <w:sz w:val="22"/>
          <w:szCs w:val="22"/>
          <w:highlight w:val="yellow"/>
          <w:u w:val="single"/>
          <w:rtl/>
        </w:rPr>
      </w:pPr>
      <w:r w:rsidRPr="00CB740D">
        <w:rPr>
          <w:rFonts w:cs="Arial" w:hint="cs"/>
          <w:sz w:val="22"/>
          <w:szCs w:val="22"/>
          <w:highlight w:val="yellow"/>
          <w:u w:val="single"/>
          <w:rtl/>
        </w:rPr>
        <w:t xml:space="preserve">הזכות לכבוד האדם ו"הזכות לחיי משפחה" </w:t>
      </w:r>
      <w:r w:rsidRPr="00CB740D">
        <w:rPr>
          <w:rFonts w:cs="Arial"/>
          <w:sz w:val="22"/>
          <w:szCs w:val="22"/>
          <w:highlight w:val="yellow"/>
          <w:u w:val="single"/>
          <w:rtl/>
        </w:rPr>
        <w:t>–</w:t>
      </w:r>
      <w:r w:rsidRPr="00CB740D">
        <w:rPr>
          <w:rFonts w:cs="Arial" w:hint="cs"/>
          <w:sz w:val="22"/>
          <w:szCs w:val="22"/>
          <w:highlight w:val="yellow"/>
          <w:u w:val="single"/>
          <w:rtl/>
        </w:rPr>
        <w:t xml:space="preserve"> במובן הגרעיני </w:t>
      </w:r>
      <w:r w:rsidRPr="00CB740D">
        <w:rPr>
          <w:rFonts w:cs="Arial"/>
          <w:sz w:val="22"/>
          <w:szCs w:val="22"/>
          <w:highlight w:val="yellow"/>
          <w:u w:val="single"/>
          <w:rtl/>
        </w:rPr>
        <w:t>–</w:t>
      </w:r>
      <w:r w:rsidRPr="00CB740D">
        <w:rPr>
          <w:rFonts w:cs="Arial" w:hint="cs"/>
          <w:sz w:val="22"/>
          <w:szCs w:val="22"/>
          <w:highlight w:val="yellow"/>
          <w:u w:val="single"/>
          <w:rtl/>
        </w:rPr>
        <w:t xml:space="preserve"> של בני-זוג וכן הורים וילדיהם</w:t>
      </w:r>
    </w:p>
    <w:p w:rsidR="005366A8" w:rsidRDefault="005366A8" w:rsidP="005366A8">
      <w:pPr>
        <w:jc w:val="center"/>
        <w:rPr>
          <w:rFonts w:cs="FrankRuehl"/>
          <w:u w:val="single"/>
          <w:rtl/>
        </w:rPr>
      </w:pPr>
      <w:r w:rsidRPr="00807469">
        <w:rPr>
          <w:sz w:val="22"/>
          <w:szCs w:val="22"/>
          <w:highlight w:val="yellow"/>
          <w:rtl/>
        </w:rPr>
        <w:t xml:space="preserve">בג"צ </w:t>
      </w:r>
      <w:r w:rsidRPr="00807469">
        <w:rPr>
          <w:rFonts w:hint="cs"/>
          <w:sz w:val="22"/>
          <w:szCs w:val="22"/>
          <w:highlight w:val="yellow"/>
          <w:rtl/>
        </w:rPr>
        <w:t>7052</w:t>
      </w:r>
      <w:r w:rsidRPr="00807469">
        <w:rPr>
          <w:sz w:val="22"/>
          <w:szCs w:val="22"/>
          <w:highlight w:val="yellow"/>
          <w:rtl/>
        </w:rPr>
        <w:t xml:space="preserve">/03 </w:t>
      </w:r>
      <w:r w:rsidRPr="00807469">
        <w:rPr>
          <w:b/>
          <w:bCs/>
          <w:sz w:val="22"/>
          <w:szCs w:val="22"/>
          <w:highlight w:val="yellow"/>
          <w:rtl/>
        </w:rPr>
        <w:t>עדאלה-המרכז המשפטי לזכויות המיעוט הערבי</w:t>
      </w:r>
      <w:r w:rsidRPr="00807469">
        <w:rPr>
          <w:rFonts w:hint="cs"/>
          <w:b/>
          <w:bCs/>
          <w:sz w:val="22"/>
          <w:szCs w:val="22"/>
          <w:highlight w:val="yellow"/>
          <w:rtl/>
        </w:rPr>
        <w:t xml:space="preserve"> בישראל נ' שר הפנים </w:t>
      </w:r>
      <w:r w:rsidRPr="00807469">
        <w:rPr>
          <w:rFonts w:hint="cs"/>
          <w:i/>
          <w:iCs/>
          <w:sz w:val="22"/>
          <w:szCs w:val="22"/>
          <w:highlight w:val="yellow"/>
          <w:rtl/>
        </w:rPr>
        <w:t>[פס"ד "חוק האזרחות והכניסה לישראל</w:t>
      </w:r>
      <w:r>
        <w:rPr>
          <w:rFonts w:hint="cs"/>
          <w:i/>
          <w:iCs/>
          <w:sz w:val="22"/>
          <w:szCs w:val="22"/>
          <w:highlight w:val="yellow"/>
          <w:rtl/>
        </w:rPr>
        <w:t xml:space="preserve"> 1</w:t>
      </w:r>
      <w:r w:rsidRPr="00807469">
        <w:rPr>
          <w:rFonts w:hint="cs"/>
          <w:i/>
          <w:iCs/>
          <w:sz w:val="22"/>
          <w:szCs w:val="22"/>
          <w:highlight w:val="yellow"/>
          <w:rtl/>
        </w:rPr>
        <w:t>"]</w:t>
      </w:r>
    </w:p>
    <w:p w:rsidR="005366A8" w:rsidRDefault="005366A8" w:rsidP="005366A8">
      <w:pPr>
        <w:rPr>
          <w:rFonts w:cs="David"/>
          <w:sz w:val="22"/>
          <w:szCs w:val="22"/>
          <w:rtl/>
        </w:rPr>
      </w:pPr>
    </w:p>
    <w:p w:rsidR="005366A8" w:rsidRPr="007A00B4" w:rsidRDefault="005366A8" w:rsidP="005366A8">
      <w:pPr>
        <w:spacing w:after="120"/>
        <w:rPr>
          <w:rFonts w:ascii="Arial" w:hAnsi="Arial" w:cs="Arial"/>
          <w:sz w:val="18"/>
          <w:szCs w:val="18"/>
          <w:rtl/>
        </w:rPr>
      </w:pPr>
      <w:r w:rsidRPr="007A00B4">
        <w:rPr>
          <w:rFonts w:ascii="Arial" w:hAnsi="Arial" w:cs="Arial"/>
          <w:sz w:val="18"/>
          <w:szCs w:val="18"/>
          <w:rtl/>
        </w:rPr>
        <w:t xml:space="preserve">[השורות הקרובות הן שלי] למן שנת 2002 מגבילה ישראל הגבלה גורפת את איחוד המשפחות בין אזרחי המדינה לבין בני-זוגם שהם תושבים פלסטינים תושבי השטחים (או אזרחים או תושבים של מדינות המופיעות בתוספת לחוק). </w:t>
      </w:r>
    </w:p>
    <w:p w:rsidR="005366A8" w:rsidRPr="007A00B4" w:rsidRDefault="005366A8" w:rsidP="005366A8">
      <w:pPr>
        <w:spacing w:after="120"/>
        <w:rPr>
          <w:rFonts w:ascii="Arial" w:hAnsi="Arial" w:cs="Arial"/>
          <w:sz w:val="18"/>
          <w:szCs w:val="18"/>
          <w:rtl/>
        </w:rPr>
      </w:pPr>
      <w:r w:rsidRPr="007A00B4">
        <w:rPr>
          <w:rFonts w:ascii="Arial" w:hAnsi="Arial" w:cs="Arial"/>
          <w:sz w:val="18"/>
          <w:szCs w:val="18"/>
          <w:rtl/>
        </w:rPr>
        <w:t xml:space="preserve">אופייה הגורף של ההגבלה נעוץ בכך שהיא פוטרת עצמה מהצורך לבדוק האם אכן טמון סיכון ביטחוני קונקרטי בבן-הזוג הפלסטיני. </w:t>
      </w:r>
      <w:r w:rsidRPr="007A00B4">
        <w:rPr>
          <w:rFonts w:ascii="Arial" w:hAnsi="Arial" w:cs="Arial"/>
          <w:b/>
          <w:bCs/>
          <w:sz w:val="18"/>
          <w:szCs w:val="18"/>
          <w:rtl/>
        </w:rPr>
        <w:t xml:space="preserve">היא יוצרת "חזקת מסוכנות" המלווה כל פלסטיני תושב השטחים באשר הוא (אם הוא גבר מתחת לגיל 35 או אישה מתחת לגיל 25), והיא עושה חזקה זו </w:t>
      </w:r>
      <w:r w:rsidRPr="007A00B4">
        <w:rPr>
          <w:rFonts w:ascii="Arial" w:hAnsi="Arial" w:cs="Arial"/>
          <w:b/>
          <w:bCs/>
          <w:i/>
          <w:iCs/>
          <w:sz w:val="18"/>
          <w:szCs w:val="18"/>
          <w:rtl/>
        </w:rPr>
        <w:t>לבלתי ניתנת לסתירה</w:t>
      </w:r>
      <w:r w:rsidRPr="007A00B4">
        <w:rPr>
          <w:rFonts w:ascii="Arial" w:hAnsi="Arial" w:cs="Arial"/>
          <w:b/>
          <w:bCs/>
          <w:sz w:val="18"/>
          <w:szCs w:val="18"/>
          <w:rtl/>
        </w:rPr>
        <w:t>.</w:t>
      </w:r>
      <w:r w:rsidRPr="007A00B4">
        <w:rPr>
          <w:rFonts w:ascii="Arial" w:hAnsi="Arial" w:cs="Arial"/>
          <w:sz w:val="18"/>
          <w:szCs w:val="18"/>
          <w:rtl/>
        </w:rPr>
        <w:t xml:space="preserve"> בכך פוגעת מדיניות זו באורח קשה מאד בזכות לנישואין ולהורוּת של אזרחי ישראל, פגיעה הנוגעת, הלכה למעשה, אך לאזרחיה הערבים של ישראל, וכך היא מולידה גם אפליה על בסיס לאומי.</w:t>
      </w:r>
    </w:p>
    <w:p w:rsidR="005366A8" w:rsidRPr="007A00B4" w:rsidRDefault="005366A8" w:rsidP="005366A8">
      <w:pPr>
        <w:spacing w:after="120"/>
        <w:rPr>
          <w:rFonts w:ascii="Arial" w:hAnsi="Arial" w:cs="Arial"/>
          <w:sz w:val="18"/>
          <w:szCs w:val="18"/>
          <w:u w:val="single"/>
          <w:rtl/>
        </w:rPr>
      </w:pPr>
      <w:r w:rsidRPr="007A00B4">
        <w:rPr>
          <w:rFonts w:ascii="Arial" w:hAnsi="Arial" w:cs="Arial"/>
          <w:sz w:val="18"/>
          <w:szCs w:val="18"/>
          <w:rtl/>
        </w:rPr>
        <w:t>ביום 14.5.2006 נתן בית המשפט העליון את פסק דינו בעתירות שהוגשו כנגד תוקפו של החוק. 6 שופטים כנגד 5 הכריעו אמנם שהחוק ייוותר בתוקפו, אך אחד משופטי הרוב, השופט לוי, קבע כי הוא שותף לעמדת השופטים מתנגדי החוק, כי החוק בנוסחו הקיים אינו מידתי; קרי, אינו עומד באמות המידה החוקתיות. "מסכים אני עם חברי הנשיא, כי במתכונתו הקיימת מעורר החוק קשיים, הואיל וחוששני כי פגיעתו אינה רק בבני הזוג המבקשים להינשא, כי אם גם בצביונה הדמוקרטי של מדינת ישראל, ובמרקם היחסים העדין עם ציבור לא מבוטל החי בתוכה" (פסקה 9 לפסק דינו). השופט לוי החליט, עם זאת, שלא לבטל את החוק בשלב זה, בשל הצורך "בעבודת מטה מורכבת", תוך שהוא מציב "מסגרת על פיה יידרשו המשיבים להעמיד בתוך תשעה חודשים הסדר משופר".</w:t>
      </w:r>
    </w:p>
    <w:p w:rsidR="005366A8" w:rsidRPr="007A00B4" w:rsidRDefault="005366A8" w:rsidP="005366A8">
      <w:pPr>
        <w:rPr>
          <w:rFonts w:ascii="Arial" w:hAnsi="Arial" w:cs="Arial"/>
          <w:sz w:val="18"/>
          <w:szCs w:val="18"/>
          <w:rtl/>
        </w:rPr>
      </w:pPr>
      <w:r>
        <w:rPr>
          <w:rFonts w:ascii="Arial" w:hAnsi="Arial" w:cs="Arial" w:hint="cs"/>
          <w:sz w:val="18"/>
          <w:szCs w:val="18"/>
          <w:rtl/>
        </w:rPr>
        <w:t>[בינואר 2012 ניתן פסק דין נוסף (</w:t>
      </w:r>
      <w:r w:rsidRPr="00B24C95">
        <w:rPr>
          <w:rFonts w:ascii="Arial" w:hAnsi="Arial" w:cs="Arial" w:hint="cs"/>
          <w:sz w:val="18"/>
          <w:szCs w:val="18"/>
          <w:rtl/>
        </w:rPr>
        <w:t xml:space="preserve">פס"ד "חוק האזרחות והכניסה לישראל </w:t>
      </w:r>
      <w:r>
        <w:rPr>
          <w:rFonts w:ascii="Arial" w:hAnsi="Arial" w:cs="Arial" w:hint="cs"/>
          <w:sz w:val="18"/>
          <w:szCs w:val="18"/>
          <w:rtl/>
        </w:rPr>
        <w:t>2</w:t>
      </w:r>
      <w:r w:rsidRPr="00B24C95">
        <w:rPr>
          <w:rFonts w:ascii="Arial" w:hAnsi="Arial" w:cs="Arial" w:hint="cs"/>
          <w:sz w:val="18"/>
          <w:szCs w:val="18"/>
          <w:rtl/>
        </w:rPr>
        <w:t>"</w:t>
      </w:r>
      <w:r>
        <w:rPr>
          <w:rFonts w:ascii="Arial" w:hAnsi="Arial" w:cs="Arial" w:hint="cs"/>
          <w:sz w:val="18"/>
          <w:szCs w:val="18"/>
          <w:rtl/>
        </w:rPr>
        <w:t xml:space="preserve">), שוב על ידי 11 שופטים, אך עתה 6 חשבו שהוא מידתי. </w:t>
      </w:r>
      <w:r w:rsidRPr="007A00B4">
        <w:rPr>
          <w:rFonts w:ascii="Arial" w:hAnsi="Arial" w:cs="Arial"/>
          <w:sz w:val="18"/>
          <w:szCs w:val="18"/>
          <w:rtl/>
        </w:rPr>
        <w:t>נדון בפסק דין זה בסמסטר הבא</w:t>
      </w:r>
      <w:r>
        <w:rPr>
          <w:rFonts w:ascii="Arial" w:hAnsi="Arial" w:cs="Arial" w:hint="cs"/>
          <w:sz w:val="18"/>
          <w:szCs w:val="18"/>
          <w:rtl/>
        </w:rPr>
        <w:t>].</w:t>
      </w:r>
    </w:p>
    <w:p w:rsidR="005366A8" w:rsidRDefault="005366A8" w:rsidP="005366A8">
      <w:pPr>
        <w:rPr>
          <w:rFonts w:cs="FrankRuehl"/>
          <w:u w:val="single"/>
          <w:rtl/>
        </w:rPr>
      </w:pPr>
    </w:p>
    <w:p w:rsidR="005366A8" w:rsidRPr="00807469" w:rsidRDefault="005366A8" w:rsidP="005366A8">
      <w:pPr>
        <w:rPr>
          <w:rFonts w:cs="FrankRuehl"/>
          <w:u w:val="single"/>
          <w:rtl/>
        </w:rPr>
      </w:pPr>
      <w:r w:rsidRPr="00327F7A">
        <w:rPr>
          <w:rFonts w:cs="FrankRuehl" w:hint="cs"/>
          <w:highlight w:val="yellow"/>
          <w:u w:val="single"/>
          <w:rtl/>
        </w:rPr>
        <w:t>האם זכות בן הזוג הישראלי לחיי משפחה ולשוויון היא חלק מכבוד האדם?</w:t>
      </w:r>
    </w:p>
    <w:p w:rsidR="005366A8" w:rsidRPr="00D85A06" w:rsidRDefault="005366A8" w:rsidP="005366A8">
      <w:pPr>
        <w:rPr>
          <w:rFonts w:cs="FrankRuehl"/>
          <w:sz w:val="22"/>
          <w:szCs w:val="22"/>
          <w:u w:val="single"/>
          <w:rtl/>
        </w:rPr>
      </w:pPr>
    </w:p>
    <w:p w:rsidR="005366A8" w:rsidRPr="00D85A06" w:rsidRDefault="005366A8" w:rsidP="005366A8">
      <w:pPr>
        <w:rPr>
          <w:rFonts w:cs="FrankRuehl"/>
          <w:sz w:val="22"/>
          <w:szCs w:val="22"/>
          <w:rtl/>
        </w:rPr>
      </w:pPr>
      <w:r w:rsidRPr="00D85A06">
        <w:rPr>
          <w:rFonts w:cs="FrankRuehl" w:hint="cs"/>
          <w:sz w:val="22"/>
          <w:szCs w:val="22"/>
          <w:rtl/>
        </w:rPr>
        <w:t>30.</w:t>
      </w:r>
      <w:r w:rsidRPr="00D85A06">
        <w:rPr>
          <w:rFonts w:cs="FrankRuehl" w:hint="cs"/>
          <w:sz w:val="22"/>
          <w:szCs w:val="22"/>
          <w:rtl/>
        </w:rPr>
        <w:tab/>
      </w:r>
      <w:r w:rsidRPr="00D85A06">
        <w:rPr>
          <w:rFonts w:cs="FrankRuehl" w:hint="cs"/>
          <w:sz w:val="22"/>
          <w:szCs w:val="22"/>
          <w:highlight w:val="yellow"/>
          <w:rtl/>
        </w:rPr>
        <w:t>הזכות לחיי משפחה היא חלק מהמשפט המקובל של ישראל. עם כל חשיבותו של המשפט המקובל, בכוחו של חוק לפגוע בזכות המעוגנת בו, ובלבד שהחוק נוקט בלשון ברורה, חד-משמעית ומפורשת (...). חוק האזרחות והכניסה לישראל נוקט בלשון מפורשת, ברורה וחד-משמעית. ביקורת חוקתית על הוראותיו המפורשות, הברורות והחד-משמעיות אפשרית רק אם הזכות לחיי משפחה מוגנת בחוק יסוד. חוק היסוד הרלבנטי לענייננו הוא חוק-יסוד: כבוד האדם וחירותו. האם הזכות לחיי משפחה מעוגנת בו ומוגנת על ידו?</w:t>
      </w:r>
    </w:p>
    <w:p w:rsidR="005366A8" w:rsidRPr="00D85A06" w:rsidRDefault="005366A8" w:rsidP="005366A8">
      <w:pPr>
        <w:rPr>
          <w:rFonts w:cs="FrankRuehl"/>
          <w:sz w:val="22"/>
          <w:szCs w:val="22"/>
          <w:rtl/>
        </w:rPr>
      </w:pPr>
      <w:r w:rsidRPr="00D85A06">
        <w:rPr>
          <w:rFonts w:cs="FrankRuehl" w:hint="cs"/>
          <w:sz w:val="22"/>
          <w:szCs w:val="22"/>
          <w:rtl/>
        </w:rPr>
        <w:t xml:space="preserve"> </w:t>
      </w:r>
    </w:p>
    <w:p w:rsidR="005366A8" w:rsidRPr="00D85A06" w:rsidRDefault="005366A8" w:rsidP="005366A8">
      <w:pPr>
        <w:rPr>
          <w:rFonts w:cs="FrankRuehl"/>
          <w:sz w:val="22"/>
          <w:szCs w:val="22"/>
          <w:rtl/>
        </w:rPr>
      </w:pPr>
      <w:r w:rsidRPr="00D85A06">
        <w:rPr>
          <w:rFonts w:cs="FrankRuehl" w:hint="cs"/>
          <w:sz w:val="22"/>
          <w:szCs w:val="22"/>
          <w:rtl/>
        </w:rPr>
        <w:t>31.</w:t>
      </w:r>
      <w:r w:rsidRPr="00D85A06">
        <w:rPr>
          <w:rFonts w:cs="FrankRuehl" w:hint="cs"/>
          <w:sz w:val="22"/>
          <w:szCs w:val="22"/>
          <w:rtl/>
        </w:rPr>
        <w:tab/>
        <w:t xml:space="preserve">חוק-יסוד: כבוד האדם וחירותו אינו קובע הוראה מפורשת בעניין הזכות לחיי משפחה. השאלה הינה אם ניתן לכלול זכות זו בגדרה של הזכות לכבוד האדם. האם הזכות לחיי משפחה היא "זכות ללא שם" הנגזרת מהזכות לכבוד (ראו ה' סומר, "הזכויות הבלתי-מנויות </w:t>
      </w:r>
      <w:r w:rsidRPr="00D85A06">
        <w:rPr>
          <w:rFonts w:cs="FrankRuehl"/>
          <w:sz w:val="22"/>
          <w:szCs w:val="22"/>
          <w:rtl/>
        </w:rPr>
        <w:t>–</w:t>
      </w:r>
      <w:r w:rsidRPr="00D85A06">
        <w:rPr>
          <w:rFonts w:cs="FrankRuehl" w:hint="cs"/>
          <w:sz w:val="22"/>
          <w:szCs w:val="22"/>
          <w:rtl/>
        </w:rPr>
        <w:t xml:space="preserve"> על היקפה של המהפיכה החוקתית", משפטים כח 257 (1997))? ודוק: השאלה אינה אם בנוסף לזכויות הקבועות בחוק-יסוד: כבוד האדם וחירותו ניתן לכלול בחובו זכויות אדם נוספות שאינן קבועות בו במפורש. השאלה הינה אם במסגרת הזכויות הקבועות בחוק היסוד במפורש </w:t>
      </w:r>
      <w:r w:rsidRPr="00D85A06">
        <w:rPr>
          <w:rFonts w:cs="FrankRuehl"/>
          <w:sz w:val="22"/>
          <w:szCs w:val="22"/>
          <w:rtl/>
        </w:rPr>
        <w:t>–</w:t>
      </w:r>
      <w:r w:rsidRPr="00D85A06">
        <w:rPr>
          <w:rFonts w:cs="FrankRuehl" w:hint="cs"/>
          <w:sz w:val="22"/>
          <w:szCs w:val="22"/>
          <w:rtl/>
        </w:rPr>
        <w:t xml:space="preserve"> לעניייננו, במסגרתה של הזכות לכבוד האדם </w:t>
      </w:r>
      <w:r w:rsidRPr="00D85A06">
        <w:rPr>
          <w:rFonts w:cs="FrankRuehl"/>
          <w:sz w:val="22"/>
          <w:szCs w:val="22"/>
          <w:rtl/>
        </w:rPr>
        <w:t>–</w:t>
      </w:r>
      <w:r w:rsidRPr="00D85A06">
        <w:rPr>
          <w:rFonts w:cs="FrankRuehl" w:hint="cs"/>
          <w:sz w:val="22"/>
          <w:szCs w:val="22"/>
          <w:rtl/>
        </w:rPr>
        <w:t xml:space="preserve"> נכלל גם ההיבט של כבוד האדם שעניינו חיי משפחה. אכן, השאלה אינה אם בחוק-יסוד: כבוד האדם וחירותו קיים "חסר" באשר לזכות לחיי משפחה, והאם ניתן להשלים חסר זה. השאלה הינה אם פירושה של הזכות לכבוד האדם מובילה למסקנה כי במסגרתה של זכות מפורשת זו כלול גם ההיבט של האוטונומיה של הרצון הפרטי המכוונת להקמת חיי משפחה ולהגשמתה בישראל. </w:t>
      </w:r>
      <w:r w:rsidRPr="00D85A06">
        <w:rPr>
          <w:rFonts w:cs="FrankRuehl" w:hint="cs"/>
          <w:sz w:val="22"/>
          <w:szCs w:val="22"/>
          <w:highlight w:val="yellow"/>
          <w:rtl/>
        </w:rPr>
        <w:t>אכן, הזכות לכבוד האדם היא במהותה זכות "מסגרת" או "זכות-אם". המאפיין זכות שכזו הוא כי על פי ניסוחה, אין היא מפרטת בלשונה במפורש את סוגי הפעולות הפרטיקולריות עליהן היא משתרעת.</w:t>
      </w:r>
      <w:r w:rsidRPr="00D85A06">
        <w:rPr>
          <w:rFonts w:cs="FrankRuehl" w:hint="cs"/>
          <w:sz w:val="22"/>
          <w:szCs w:val="22"/>
          <w:rtl/>
        </w:rPr>
        <w:t xml:space="preserve"> היא בעלת פריסה פתוחה (...). המצבים עליהם היא משתרעת נלמדים מפרשנות לשונו הפתוחה של חוק היסוד על רקע תכליתו. מצבים אלה ניתן, לשם הנוחות, לקבץ לקטיגוריות וסוגים, כגון הזכות לקיום אנושי בכבוד (</w:t>
      </w:r>
      <w:r>
        <w:rPr>
          <w:rFonts w:cs="FrankRuehl" w:hint="cs"/>
          <w:sz w:val="22"/>
          <w:szCs w:val="22"/>
          <w:rtl/>
        </w:rPr>
        <w:t xml:space="preserve">[הפנייה לפסיקה] </w:t>
      </w:r>
      <w:r w:rsidRPr="00D85A06">
        <w:rPr>
          <w:rFonts w:cs="FrankRuehl" w:hint="cs"/>
          <w:sz w:val="22"/>
          <w:szCs w:val="22"/>
          <w:rtl/>
        </w:rPr>
        <w:t>...); הזכות לשלמות הגוף והנפש (...); הזכות לשם (...); הזכות של בגיר לאימוץ (...), וכיוצא בהן "זכויות בת" הנגזרות מזכות האם. הן מכונות בספרות החוקתית זכויות חוקתיות נגזרות (</w:t>
      </w:r>
      <w:r w:rsidRPr="00D85A06">
        <w:rPr>
          <w:rFonts w:cs="FrankRuehl"/>
          <w:sz w:val="22"/>
          <w:szCs w:val="22"/>
        </w:rPr>
        <w:t>derivative constitutional rights norms</w:t>
      </w:r>
      <w:r w:rsidRPr="00D85A06">
        <w:rPr>
          <w:rFonts w:cs="FrankRuehl" w:hint="cs"/>
          <w:sz w:val="22"/>
          <w:szCs w:val="22"/>
          <w:rtl/>
        </w:rPr>
        <w:t>) (...). כמובן, תחום הפריסה של זכויות הבת מעורר שאלות פרשניות קשות. כל עוד הן לא הופרדו על ידי הכנסת מכבוד האדם והועמדו על רגליהן הן, אין מנוס מפעילות פרשנית המתרכזת בכבוד האדם, והמבקשת לקבוע את היקפה של זכות זו, תוך נסיון לגבש סוגים של מקרים הכלולים בה. כמובן, קטיגוריזציה זו לעולם לא תשקף את מלוא ההיקף של הזכות לכבוד האדם, ואין היא מכוונת לכך. היא נועדה לסייע בהבנת הוראת המסגרת בדבר כבוד האדם (...). על היקפה של הזכות לכבוד האדם עמדנו בפרשת התנועה לאיכות השלטון:</w:t>
      </w:r>
    </w:p>
    <w:p w:rsidR="005366A8" w:rsidRPr="00D85A06" w:rsidRDefault="005366A8" w:rsidP="005366A8">
      <w:pPr>
        <w:ind w:left="720"/>
        <w:rPr>
          <w:rFonts w:cs="FrankRuehl"/>
          <w:sz w:val="22"/>
          <w:szCs w:val="22"/>
          <w:rtl/>
        </w:rPr>
      </w:pPr>
      <w:r w:rsidRPr="00D85A06">
        <w:rPr>
          <w:rFonts w:cs="FrankRuehl" w:hint="cs"/>
          <w:sz w:val="22"/>
          <w:szCs w:val="22"/>
          <w:rtl/>
        </w:rPr>
        <w:t>"הזכות לכבוד האדם מהווה אגד של זכויות ששמירתן נדרשת כדי לקיים את הכבוד. ביסוד הזכות לכבוד האדם עומדת ההכרה כי האדם הוא יצור חופשי, המפתח את גופו וכוחו על פי רצונו בחברה בה הוא חי; במרכזו של כבוד האדם מונחת קדושת חייו וחירותו. ביסוד כבוד האדם עומדים האוטונומיה של הרצון הפרטי, חופש הבחירה וחופש הפעולה של האדם כיצור חופשי. כבוד האדם נשען על ההכרה בשלמותו הפיזית והרוחנית של האדם, באנושיותו, בערכו כאדם, וכל זאת בלא קשר למידת התועלת הצומחת ממנו" (...).</w:t>
      </w:r>
    </w:p>
    <w:p w:rsidR="005366A8" w:rsidRPr="00D85A06" w:rsidRDefault="005366A8" w:rsidP="005366A8">
      <w:pPr>
        <w:rPr>
          <w:rFonts w:cs="FrankRuehl"/>
          <w:sz w:val="22"/>
          <w:szCs w:val="22"/>
          <w:rtl/>
        </w:rPr>
      </w:pPr>
      <w:r w:rsidRPr="00D85A06">
        <w:rPr>
          <w:rFonts w:cs="FrankRuehl" w:hint="cs"/>
          <w:sz w:val="22"/>
          <w:szCs w:val="22"/>
          <w:rtl/>
        </w:rPr>
        <w:t xml:space="preserve">תפיסה זו של הזכות לכבוד מבוססת על התפיסה כי את הזכות לכבוד "אין לצמצמה אך לעינויים ולהשפלה, שכן בכך נחטיא את התכלית המונחת ביסוד. אין להרחיבה באופן שכל זכות אדם תיכלל בה, שכן בכך נייתר את כל זכויות האדם האחרות הקבועות בחוקי היסוד" (פרשת אדם טבע ודין, עמ' 518). [...]. </w:t>
      </w:r>
    </w:p>
    <w:p w:rsidR="005366A8" w:rsidRDefault="005366A8" w:rsidP="005366A8">
      <w:pPr>
        <w:rPr>
          <w:rFonts w:cs="FrankRuehl"/>
          <w:sz w:val="22"/>
          <w:szCs w:val="22"/>
          <w:rtl/>
        </w:rPr>
      </w:pPr>
      <w:r w:rsidRPr="00D85A06">
        <w:rPr>
          <w:rFonts w:cs="FrankRuehl" w:hint="cs"/>
          <w:sz w:val="22"/>
          <w:szCs w:val="22"/>
          <w:rtl/>
        </w:rPr>
        <w:t xml:space="preserve">על רקע זה קמה ועולה השאלה שלפנינו: האם הזכות של בן הזוג הישראלי לחיי משפחה בישראל נכללת בגדר הזכות לכבוד האדם הקבועה בסעיפים 2 ו-4 לחוק-יסוד: כבוד האדם וחירותו. </w:t>
      </w:r>
    </w:p>
    <w:p w:rsidR="005366A8" w:rsidRPr="00D85A06" w:rsidRDefault="005366A8" w:rsidP="005366A8">
      <w:pPr>
        <w:rPr>
          <w:rFonts w:cs="FrankRuehl"/>
          <w:sz w:val="22"/>
          <w:szCs w:val="22"/>
          <w:rtl/>
        </w:rPr>
      </w:pPr>
    </w:p>
    <w:p w:rsidR="005366A8" w:rsidRPr="00D85A06" w:rsidRDefault="005366A8" w:rsidP="005366A8">
      <w:pPr>
        <w:rPr>
          <w:rFonts w:cs="FrankRuehl"/>
          <w:sz w:val="22"/>
          <w:szCs w:val="22"/>
          <w:rtl/>
        </w:rPr>
      </w:pPr>
      <w:r w:rsidRPr="00D85A06">
        <w:rPr>
          <w:rFonts w:cs="FrankRuehl" w:hint="cs"/>
          <w:sz w:val="22"/>
          <w:szCs w:val="22"/>
          <w:rtl/>
        </w:rPr>
        <w:t>32.</w:t>
      </w:r>
      <w:r w:rsidRPr="00D85A06">
        <w:rPr>
          <w:rFonts w:cs="FrankRuehl" w:hint="cs"/>
          <w:sz w:val="22"/>
          <w:szCs w:val="22"/>
          <w:rtl/>
        </w:rPr>
        <w:tab/>
        <w:t xml:space="preserve">התשובה על שאלה זו מורכבת היא. לא כל ההיבטים של חיי המשפחה נגזרים מכבוד האדם. עלינו למקד עצמנו באותם היבטים של חיי המשפחה החוסים בבית הקיבול של כבוד האדם. </w:t>
      </w:r>
      <w:r w:rsidRPr="00D85A06">
        <w:rPr>
          <w:rFonts w:cs="FrankRuehl" w:hint="cs"/>
          <w:sz w:val="22"/>
          <w:szCs w:val="22"/>
          <w:highlight w:val="yellow"/>
          <w:rtl/>
        </w:rPr>
        <w:t>נקודת המוצא הינה כי המשפחה הינה "יחידה חוקתית" (ראו ע"א 232/85 פלוני נ' היועץ המשפטי לממשלה, פ"ד מ(1) 1, 17). היא זוכה להגנה חוקתית. הגנה זו מצויה בליבה של הזכות לכבוד האדם. היא נשענת גם על הזכות לפרטיות (ראו סעיף 7(א) לחוק-יסוד: כבוד האדם וחירותו). אכן, הזכות לחיות יחדיו כתא משפחתי, היא חלק מהזכות לכבוד האדם. היא נופלת לגרעינה של הזכות לכבוד</w:t>
      </w:r>
      <w:r w:rsidRPr="00D85A06">
        <w:rPr>
          <w:rFonts w:cs="FrankRuehl" w:hint="cs"/>
          <w:sz w:val="22"/>
          <w:szCs w:val="22"/>
          <w:rtl/>
        </w:rPr>
        <w:t xml:space="preserve"> (ראו ע"א 5587/93 נחמני נ' נחמני, פ"ד מט(1) 485, 499). </w:t>
      </w:r>
      <w:r w:rsidRPr="00D85A06">
        <w:rPr>
          <w:rFonts w:cs="FrankRuehl" w:hint="cs"/>
          <w:sz w:val="22"/>
          <w:szCs w:val="22"/>
          <w:highlight w:val="yellow"/>
          <w:rtl/>
        </w:rPr>
        <w:t>אחד המרכיבים היסודיים ביותר של כבוד האדם הוא כוחו של האדם לעצב את חיי המשפחה שלו על פי האוטונומיה של רצונו החופשי, ולגדל במסגרתו את ילדיו, תוך חיים משותפים של מרכיבי התא המשפחתי. התא המשפחתי הוא ביטוי מובהק למימושו העצמי של האדם</w:t>
      </w:r>
      <w:r w:rsidRPr="00D85A06">
        <w:rPr>
          <w:rFonts w:cs="FrankRuehl" w:hint="cs"/>
          <w:sz w:val="22"/>
          <w:szCs w:val="22"/>
          <w:rtl/>
        </w:rPr>
        <w:t>.</w:t>
      </w:r>
    </w:p>
    <w:p w:rsidR="005366A8" w:rsidRDefault="005366A8" w:rsidP="005366A8">
      <w:pPr>
        <w:rPr>
          <w:rFonts w:cs="FrankRuehl"/>
          <w:sz w:val="22"/>
          <w:szCs w:val="22"/>
          <w:rtl/>
        </w:rPr>
      </w:pPr>
      <w:r w:rsidRPr="00D85A06">
        <w:rPr>
          <w:rFonts w:cs="FrankRuehl" w:hint="cs"/>
          <w:sz w:val="22"/>
          <w:szCs w:val="22"/>
          <w:highlight w:val="yellow"/>
          <w:rtl/>
        </w:rPr>
        <w:t xml:space="preserve">קשריו המשפחתיים של האדם הם במידה רבה טעם חייו (ראו </w:t>
      </w:r>
      <w:r w:rsidRPr="00D85A06">
        <w:rPr>
          <w:rFonts w:cs="FrankRuehl"/>
          <w:sz w:val="22"/>
          <w:szCs w:val="22"/>
          <w:highlight w:val="yellow"/>
          <w:u w:val="single"/>
        </w:rPr>
        <w:t>Roberts v. United States Jaycees,</w:t>
      </w:r>
      <w:r w:rsidRPr="00D85A06">
        <w:rPr>
          <w:rFonts w:cs="FrankRuehl"/>
          <w:sz w:val="22"/>
          <w:szCs w:val="22"/>
          <w:highlight w:val="yellow"/>
        </w:rPr>
        <w:t xml:space="preserve"> 469 U.S. 609, 618-619 (1984)</w:t>
      </w:r>
      <w:r w:rsidRPr="00D85A06">
        <w:rPr>
          <w:rFonts w:cs="FrankRuehl" w:hint="cs"/>
          <w:sz w:val="22"/>
          <w:szCs w:val="22"/>
          <w:highlight w:val="yellow"/>
          <w:rtl/>
        </w:rPr>
        <w:t>). מעטות הן ההחלטות המעצבות את חייו של אדם ומשפיעות עליהן כהחלטה עם מי יקשור את גורלו ועם מי יקים את משפחתו. כך גם ביחס לזכותם של ההורים לגדל את ילדיהם. [...]; "זכותם של הורים להחזיק בילדיהם ולגדלם, על כל הכרוך בכך, היא זכות חוקתית טבעית וראשונית בבחינת ביטוי לקשר הטבעי שבין הורים לילדיהם. זכות זו באה לידי ביטוי בפרטיות ובאוטונומיה של המשפחה"</w:t>
      </w:r>
      <w:r w:rsidRPr="00D85A06">
        <w:rPr>
          <w:rFonts w:cs="FrankRuehl" w:hint="cs"/>
          <w:sz w:val="22"/>
          <w:szCs w:val="22"/>
          <w:rtl/>
        </w:rPr>
        <w:t xml:space="preserve"> (הנשיא מ' שמגר בע"א 2266/93 פלונים נ' פלוני, פ"ד מט(1) 221, 235). </w:t>
      </w:r>
    </w:p>
    <w:p w:rsidR="005366A8" w:rsidRPr="00D85A06" w:rsidRDefault="005366A8" w:rsidP="005366A8">
      <w:pPr>
        <w:rPr>
          <w:rFonts w:cs="FrankRuehl"/>
          <w:sz w:val="22"/>
          <w:szCs w:val="22"/>
          <w:rtl/>
        </w:rPr>
      </w:pPr>
    </w:p>
    <w:p w:rsidR="005366A8" w:rsidRPr="00D85A06" w:rsidRDefault="005366A8" w:rsidP="005366A8">
      <w:pPr>
        <w:rPr>
          <w:rFonts w:cs="FrankRuehl"/>
          <w:sz w:val="22"/>
          <w:szCs w:val="22"/>
          <w:rtl/>
        </w:rPr>
      </w:pPr>
      <w:r w:rsidRPr="00D85A06">
        <w:rPr>
          <w:rFonts w:cs="FrankRuehl" w:hint="cs"/>
          <w:sz w:val="22"/>
          <w:szCs w:val="22"/>
          <w:rtl/>
        </w:rPr>
        <w:t>33.</w:t>
      </w:r>
      <w:r w:rsidRPr="00D85A06">
        <w:rPr>
          <w:rFonts w:cs="FrankRuehl" w:hint="cs"/>
          <w:sz w:val="22"/>
          <w:szCs w:val="22"/>
          <w:rtl/>
        </w:rPr>
        <w:tab/>
        <w:t>הזכות לחיי משפחה זוכה להגנה חוקתית במשפטן הפנימי של מדינות רבות. היא קבועה כזכות חוקתית בחוקתן של מדינות אירופיות, כגון צרפת (המבוא לחוקה משנת 1958), אירלנד (סעיף 41 לחוקה משנת 1937), ספרד (סעיף 18 לחוקה משנת 1978), גרמניה (סעיף 6 לחוק היסוד), שבדיה (סעיף 2 לחוקה משנת 1975) ושוויץ (סעיף 14 לחוקה משנת 2000). גם במשפט האמריקאי, ועל אף היעדרה של זכות מפורשת לחיי משפחה מהחוקה, הוכרה הזכות להינשא ולקיים חיי משפחה כזכות חוקתית הנגזרת מהזכויות החוקתיות לחירות ולפרטיות [...]</w:t>
      </w:r>
    </w:p>
    <w:p w:rsidR="005366A8" w:rsidRPr="00D85A06" w:rsidRDefault="005366A8" w:rsidP="005366A8">
      <w:pPr>
        <w:rPr>
          <w:rFonts w:cs="FrankRuehl"/>
          <w:sz w:val="22"/>
          <w:szCs w:val="22"/>
          <w:rtl/>
        </w:rPr>
      </w:pPr>
    </w:p>
    <w:p w:rsidR="005366A8" w:rsidRPr="00D85A06" w:rsidRDefault="005366A8" w:rsidP="005366A8">
      <w:pPr>
        <w:spacing w:after="120"/>
        <w:rPr>
          <w:rFonts w:cs="Arial"/>
          <w:sz w:val="22"/>
          <w:szCs w:val="22"/>
          <w:highlight w:val="yellow"/>
          <w:rtl/>
        </w:rPr>
      </w:pPr>
      <w:r w:rsidRPr="00D85A06">
        <w:rPr>
          <w:rFonts w:cs="FrankRuehl" w:hint="cs"/>
          <w:sz w:val="22"/>
          <w:szCs w:val="22"/>
          <w:rtl/>
        </w:rPr>
        <w:t>34.</w:t>
      </w:r>
      <w:r w:rsidRPr="00D85A06">
        <w:rPr>
          <w:rFonts w:cs="FrankRuehl" w:hint="cs"/>
          <w:sz w:val="22"/>
          <w:szCs w:val="22"/>
          <w:rtl/>
        </w:rPr>
        <w:tab/>
        <w:t xml:space="preserve">הנה כי כן, מכבוד האדם אשר מבוסס על האוטונומיה של הפרט לעצב את חייו נגזרת זכות-הבת של הקמת התא המשפחתי והמשך החיים המשותף יחדיו כיחידה אחת. </w:t>
      </w:r>
      <w:r w:rsidRPr="00D85A06">
        <w:rPr>
          <w:rFonts w:cs="FrankRuehl" w:hint="cs"/>
          <w:sz w:val="22"/>
          <w:szCs w:val="22"/>
          <w:highlight w:val="yellow"/>
          <w:rtl/>
        </w:rPr>
        <w:t>האם מתבקשת מכאן גם המסקנה כי המימוש של הזכות החוקתית לחיות יחדיו משמעותו גם הזכות החוקתית למימושה בישראל? תשובתי על שאלה זו הינה, כי הזכות החוקתית להקים תא משפחתי משמעותה הזכות להקים את התא המשפחתי בישראל.</w:t>
      </w:r>
      <w:r w:rsidRPr="00D85A06">
        <w:rPr>
          <w:rFonts w:cs="FrankRuehl" w:hint="cs"/>
          <w:sz w:val="22"/>
          <w:szCs w:val="22"/>
          <w:rtl/>
        </w:rPr>
        <w:t xml:space="preserve"> אכן, לבן הזוג הישראלי עומדת הזכות החוקתית, הנגזרת מכבוד האדם, לחיות עם בן זוגו הזר בישראל ולגדל בישראל את ילדיו. הזכות החוקתית של בן זוג למימוש התא המשפחתי שלו, היא, בראש ובראשונה, זכותו לעשות כן במדינתו שלו. זכותו של ישראלי לחיי משפחה משמעה זכותו לממשה בישראל. לענייננו, יפים דבריו של השופט מ' חשין בפרשת סטמקה, שלאור חשיבותם אביאם שוב [...] אכן, זכותו החוקתית של בן הזוג הישראלי </w:t>
      </w:r>
      <w:r w:rsidRPr="00D85A06">
        <w:rPr>
          <w:rFonts w:cs="FrankRuehl"/>
          <w:sz w:val="22"/>
          <w:szCs w:val="22"/>
          <w:rtl/>
        </w:rPr>
        <w:t>–</w:t>
      </w:r>
      <w:r w:rsidRPr="00D85A06">
        <w:rPr>
          <w:rFonts w:cs="FrankRuehl" w:hint="cs"/>
          <w:sz w:val="22"/>
          <w:szCs w:val="22"/>
          <w:rtl/>
        </w:rPr>
        <w:t xml:space="preserve"> זכות הנובעת מגרעינו של כבוד האדם כזכות חוקתית </w:t>
      </w:r>
      <w:r w:rsidRPr="00D85A06">
        <w:rPr>
          <w:rFonts w:cs="FrankRuehl"/>
          <w:sz w:val="22"/>
          <w:szCs w:val="22"/>
          <w:rtl/>
        </w:rPr>
        <w:t>–</w:t>
      </w:r>
      <w:r w:rsidRPr="00D85A06">
        <w:rPr>
          <w:rFonts w:cs="FrankRuehl" w:hint="cs"/>
          <w:sz w:val="22"/>
          <w:szCs w:val="22"/>
          <w:rtl/>
        </w:rPr>
        <w:t xml:space="preserve"> הינה "לחיות בצוותא-חדא בטריטוריה שיבחרו בה".</w:t>
      </w:r>
    </w:p>
    <w:p w:rsidR="005366A8" w:rsidRPr="00D85A06" w:rsidRDefault="005366A8" w:rsidP="005366A8">
      <w:pPr>
        <w:rPr>
          <w:rFonts w:cs="Arial"/>
          <w:sz w:val="22"/>
          <w:szCs w:val="22"/>
          <w:highlight w:val="yellow"/>
          <w:rtl/>
        </w:rPr>
      </w:pPr>
      <w:r w:rsidRPr="00D85A06">
        <w:rPr>
          <w:rFonts w:cs="Arial" w:hint="cs"/>
          <w:sz w:val="22"/>
          <w:szCs w:val="22"/>
          <w:highlight w:val="yellow"/>
          <w:rtl/>
        </w:rPr>
        <w:t>=-=</w:t>
      </w:r>
    </w:p>
    <w:p w:rsidR="005366A8" w:rsidRPr="00327F7A" w:rsidRDefault="005366A8" w:rsidP="005366A8">
      <w:pPr>
        <w:spacing w:after="120"/>
        <w:jc w:val="center"/>
        <w:rPr>
          <w:rFonts w:cs="Arial"/>
          <w:b/>
          <w:bCs/>
          <w:sz w:val="22"/>
          <w:szCs w:val="22"/>
          <w:highlight w:val="yellow"/>
          <w:u w:val="single"/>
          <w:rtl/>
        </w:rPr>
      </w:pPr>
      <w:r w:rsidRPr="00327F7A">
        <w:rPr>
          <w:rFonts w:ascii="Arial" w:hAnsi="Arial" w:cs="Arial" w:hint="cs"/>
          <w:b/>
          <w:bCs/>
          <w:sz w:val="22"/>
          <w:szCs w:val="22"/>
          <w:highlight w:val="yellow"/>
          <w:u w:val="single"/>
          <w:rtl/>
        </w:rPr>
        <w:t>הזכות ל"כבוד האדם"</w:t>
      </w:r>
      <w:r>
        <w:rPr>
          <w:rFonts w:ascii="Arial" w:hAnsi="Arial" w:cs="Arial" w:hint="cs"/>
          <w:b/>
          <w:bCs/>
          <w:sz w:val="22"/>
          <w:szCs w:val="22"/>
          <w:highlight w:val="yellow"/>
          <w:u w:val="single"/>
          <w:rtl/>
        </w:rPr>
        <w:t xml:space="preserve"> ו</w:t>
      </w:r>
      <w:r w:rsidRPr="00327F7A">
        <w:rPr>
          <w:rFonts w:cs="Arial" w:hint="cs"/>
          <w:b/>
          <w:bCs/>
          <w:sz w:val="22"/>
          <w:szCs w:val="22"/>
          <w:highlight w:val="yellow"/>
          <w:u w:val="single"/>
          <w:rtl/>
        </w:rPr>
        <w:t xml:space="preserve">שאלת ההגנה החוקתית על הזכות </w:t>
      </w:r>
      <w:r>
        <w:rPr>
          <w:rFonts w:cs="Arial" w:hint="cs"/>
          <w:b/>
          <w:bCs/>
          <w:sz w:val="22"/>
          <w:szCs w:val="22"/>
          <w:highlight w:val="yellow"/>
          <w:u w:val="single"/>
          <w:rtl/>
        </w:rPr>
        <w:t>"</w:t>
      </w:r>
      <w:r w:rsidRPr="00327F7A">
        <w:rPr>
          <w:rFonts w:cs="Arial" w:hint="cs"/>
          <w:b/>
          <w:bCs/>
          <w:sz w:val="22"/>
          <w:szCs w:val="22"/>
          <w:highlight w:val="yellow"/>
          <w:u w:val="single"/>
          <w:rtl/>
        </w:rPr>
        <w:t>לחופש הביטוי ולחופש ההפגנה</w:t>
      </w:r>
      <w:r>
        <w:rPr>
          <w:rFonts w:cs="Arial" w:hint="cs"/>
          <w:b/>
          <w:bCs/>
          <w:sz w:val="22"/>
          <w:szCs w:val="22"/>
          <w:highlight w:val="yellow"/>
          <w:u w:val="single"/>
          <w:rtl/>
        </w:rPr>
        <w:t>"</w:t>
      </w:r>
    </w:p>
    <w:p w:rsidR="005366A8" w:rsidRPr="00327F7A" w:rsidRDefault="005366A8" w:rsidP="005366A8">
      <w:pPr>
        <w:rPr>
          <w:sz w:val="22"/>
          <w:szCs w:val="22"/>
          <w:highlight w:val="yellow"/>
          <w:rtl/>
        </w:rPr>
      </w:pPr>
    </w:p>
    <w:p w:rsidR="005366A8" w:rsidRPr="00505BBE" w:rsidRDefault="005366A8" w:rsidP="005366A8">
      <w:pPr>
        <w:spacing w:after="60"/>
        <w:jc w:val="center"/>
        <w:rPr>
          <w:sz w:val="22"/>
          <w:szCs w:val="22"/>
          <w:rtl/>
        </w:rPr>
      </w:pPr>
      <w:r w:rsidRPr="00327F7A">
        <w:rPr>
          <w:rFonts w:hint="cs"/>
          <w:sz w:val="22"/>
          <w:szCs w:val="22"/>
          <w:highlight w:val="yellow"/>
          <w:rtl/>
        </w:rPr>
        <w:t xml:space="preserve">בג"צ 2557/05 </w:t>
      </w:r>
      <w:r w:rsidRPr="00327F7A">
        <w:rPr>
          <w:rFonts w:hint="cs"/>
          <w:b/>
          <w:bCs/>
          <w:sz w:val="22"/>
          <w:szCs w:val="22"/>
          <w:highlight w:val="yellow"/>
          <w:rtl/>
        </w:rPr>
        <w:t>מטה הרוב נ' משטרת ישראל</w:t>
      </w:r>
      <w:r w:rsidRPr="00327F7A">
        <w:rPr>
          <w:rFonts w:hint="cs"/>
          <w:sz w:val="22"/>
          <w:szCs w:val="22"/>
          <w:highlight w:val="yellow"/>
          <w:rtl/>
        </w:rPr>
        <w:t>, (טרם פורסם, ניתן ביום ה-12.12.06)</w:t>
      </w:r>
    </w:p>
    <w:p w:rsidR="005366A8" w:rsidRDefault="005366A8" w:rsidP="005366A8">
      <w:pPr>
        <w:rPr>
          <w:rFonts w:cs="FrankRuehl"/>
          <w:sz w:val="20"/>
          <w:szCs w:val="20"/>
          <w:rtl/>
        </w:rPr>
      </w:pPr>
    </w:p>
    <w:p w:rsidR="005366A8" w:rsidRPr="000A35A9" w:rsidRDefault="005366A8" w:rsidP="005366A8">
      <w:pPr>
        <w:rPr>
          <w:sz w:val="20"/>
          <w:szCs w:val="20"/>
          <w:rtl/>
        </w:rPr>
      </w:pPr>
      <w:r w:rsidRPr="000A35A9">
        <w:rPr>
          <w:sz w:val="20"/>
          <w:szCs w:val="20"/>
          <w:rtl/>
        </w:rPr>
        <w:t>העותרות ביקשו לקיים הפגנה. מפקד המשטרה התנה מתן הרישיון להפגנה בהצבתם של גדרות, מאבטחים, וסדרנים מטעם מארגני ההפגנה ועל חשבונם. כן התנה הוא את מתן הרישיון בהצבתם של כבאיות ואמבולנסים. רשות הכבאות ואגודת מגן דוד אדום התנו את מתן שירותיהם בתשלום מצד מארגני ההפגנה. כנגד חוקיותן של דרישות אלה – מצד מפקד המשטרה, רשות הכבאות, ואגודת מגן דוד אדום – מופנית העתירה שלפנינו.</w:t>
      </w:r>
    </w:p>
    <w:p w:rsidR="005366A8" w:rsidRPr="00505BBE" w:rsidRDefault="005366A8" w:rsidP="005366A8">
      <w:pPr>
        <w:rPr>
          <w:rFonts w:ascii="Arial TUR" w:hAnsi="Arial TUR" w:cs="FrankRuehl"/>
          <w:spacing w:val="10"/>
          <w:sz w:val="20"/>
          <w:szCs w:val="20"/>
          <w:rtl/>
        </w:rPr>
      </w:pPr>
      <w:r w:rsidRPr="00505BBE">
        <w:rPr>
          <w:rFonts w:ascii="Arial TUR" w:hAnsi="Arial TUR" w:cs="FrankRuehl" w:hint="cs"/>
          <w:spacing w:val="10"/>
          <w:sz w:val="20"/>
          <w:szCs w:val="20"/>
          <w:rtl/>
        </w:rPr>
        <w:t xml:space="preserve">9. </w:t>
      </w:r>
      <w:r w:rsidRPr="00505BBE">
        <w:rPr>
          <w:rFonts w:ascii="Arial TUR" w:hAnsi="Arial TUR" w:cs="FrankRuehl" w:hint="cs"/>
          <w:spacing w:val="10"/>
          <w:sz w:val="20"/>
          <w:szCs w:val="20"/>
          <w:rtl/>
        </w:rPr>
        <w:tab/>
      </w:r>
      <w:r w:rsidRPr="000A35A9">
        <w:rPr>
          <w:rFonts w:ascii="Arial TUR" w:hAnsi="Arial TUR" w:cs="FrankRuehl" w:hint="cs"/>
          <w:spacing w:val="10"/>
          <w:sz w:val="20"/>
          <w:szCs w:val="20"/>
          <w:rtl/>
        </w:rPr>
        <w:t xml:space="preserve">סמכותו של מפקד המשטרה להתנות את קיומה של הפגנה בתנאים מעוגנת בהוראות סעיפים 84 ו-85 לפקודת המשטרה [נוסח חדש], תשל"א – 1971 </w:t>
      </w:r>
      <w:r>
        <w:rPr>
          <w:rFonts w:ascii="Arial TUR" w:hAnsi="Arial TUR" w:cs="FrankRuehl" w:hint="cs"/>
          <w:spacing w:val="10"/>
          <w:sz w:val="20"/>
          <w:szCs w:val="20"/>
          <w:rtl/>
        </w:rPr>
        <w:t xml:space="preserve">... </w:t>
      </w:r>
      <w:r w:rsidRPr="000A35A9">
        <w:rPr>
          <w:rFonts w:ascii="Arial TUR" w:hAnsi="Arial TUR" w:cs="FrankRuehl" w:hint="cs"/>
          <w:spacing w:val="10"/>
          <w:sz w:val="20"/>
          <w:szCs w:val="20"/>
          <w:rtl/>
        </w:rPr>
        <w:t xml:space="preserve">סעיפים 85 ו-86 לפקודת המשטרה קובעים כי המפקד על המחוז רשאי ליתן את הרישיון, לסרב לתתו, או לתתו בתנאים </w:t>
      </w:r>
      <w:r w:rsidRPr="00505BBE">
        <w:rPr>
          <w:rFonts w:ascii="Arial TUR" w:hAnsi="Arial TUR" w:cs="FrankRuehl" w:hint="cs"/>
          <w:spacing w:val="10"/>
          <w:sz w:val="20"/>
          <w:szCs w:val="20"/>
          <w:rtl/>
        </w:rPr>
        <w:t xml:space="preserve">[...] עיון בלשונו של סעיף 85 לפקודת המשטרה מעלה כי ההסמכה הניתנת בו למפקד המשטרה להתנות מתן רישיון להפגנה בתנאים, הינה כללית ועמומה. הסעיף איננו מפרט, ולו בקווים כלליים, מהם התנאים אותם רשאי מפקד המשטרה לקבוע, ובשל אילו שיקולים רשאי הוא לקבוע תנאים כאמור. אין בו הכוונה כלשהי של שיקול הדעת המינהלי. </w:t>
      </w:r>
      <w:r w:rsidRPr="00505BBE">
        <w:rPr>
          <w:rFonts w:ascii="Arial TUR" w:hAnsi="Arial TUR" w:cs="FrankRuehl" w:hint="cs"/>
          <w:spacing w:val="10"/>
          <w:sz w:val="20"/>
          <w:szCs w:val="20"/>
          <w:highlight w:val="yellow"/>
          <w:rtl/>
        </w:rPr>
        <w:t>זוהי חקיקה סתומה (</w:t>
      </w:r>
      <w:r w:rsidRPr="00505BBE">
        <w:rPr>
          <w:rFonts w:ascii="Arial TUR" w:hAnsi="Arial TUR" w:cs="Arial TUR"/>
          <w:spacing w:val="10"/>
          <w:sz w:val="20"/>
          <w:szCs w:val="20"/>
          <w:highlight w:val="yellow"/>
        </w:rPr>
        <w:t>vague</w:t>
      </w:r>
      <w:r w:rsidRPr="00505BBE">
        <w:rPr>
          <w:rFonts w:ascii="Arial TUR" w:hAnsi="Arial TUR" w:cs="FrankRuehl" w:hint="cs"/>
          <w:spacing w:val="10"/>
          <w:sz w:val="20"/>
          <w:szCs w:val="20"/>
          <w:highlight w:val="yellow"/>
          <w:rtl/>
        </w:rPr>
        <w:t>).</w:t>
      </w:r>
      <w:r w:rsidRPr="00505BBE">
        <w:rPr>
          <w:rFonts w:ascii="Arial TUR" w:hAnsi="Arial TUR" w:cs="FrankRuehl" w:hint="cs"/>
          <w:spacing w:val="10"/>
          <w:sz w:val="20"/>
          <w:szCs w:val="20"/>
          <w:rtl/>
        </w:rPr>
        <w:t xml:space="preserve"> חקיקה סתומה איננה רצויה. יש בה כדי לפגוע בעקרון הפרדת הרשויות ובעקרון שלטון החוק (ראו בג"ץ 2740/96 </w:t>
      </w:r>
      <w:r w:rsidRPr="00505BBE">
        <w:rPr>
          <w:rFonts w:ascii="Arial TUR" w:hAnsi="Arial TUR" w:cs="Miriam" w:hint="cs"/>
          <w:sz w:val="20"/>
          <w:szCs w:val="20"/>
          <w:rtl/>
        </w:rPr>
        <w:t>שנסי נ' המפקח על היהלומים</w:t>
      </w:r>
      <w:r w:rsidRPr="00505BBE">
        <w:rPr>
          <w:rFonts w:ascii="Arial TUR" w:hAnsi="Arial TUR" w:cs="FrankRuehl" w:hint="cs"/>
          <w:spacing w:val="10"/>
          <w:sz w:val="20"/>
          <w:szCs w:val="20"/>
          <w:rtl/>
        </w:rPr>
        <w:t>, פ"ד נא(4) 481, 520; להלן –</w:t>
      </w:r>
      <w:r w:rsidRPr="00505BBE">
        <w:rPr>
          <w:rFonts w:ascii="Arial TUR" w:hAnsi="Arial TUR" w:cs="Miriam" w:hint="cs"/>
          <w:sz w:val="20"/>
          <w:szCs w:val="20"/>
          <w:rtl/>
        </w:rPr>
        <w:t xml:space="preserve"> פרשת שנסי</w:t>
      </w:r>
      <w:r w:rsidRPr="00505BBE">
        <w:rPr>
          <w:rFonts w:ascii="Arial TUR" w:hAnsi="Arial TUR" w:cs="FrankRuehl" w:hint="cs"/>
          <w:spacing w:val="10"/>
          <w:sz w:val="20"/>
          <w:szCs w:val="20"/>
          <w:rtl/>
        </w:rPr>
        <w:t>). בעקרון הפרדת הרשויות כיצד? עקרון זה מחייב כי הכנסת, ולא הרשות המבצעת, תקבע את אמות המידה הכלליות להפעלתה של סמכות מנהלית. הסמכה רחבה וסתומה פוגעת בסמכות החקיקה של הכנסת. בעקרון שלטון החוק כיצד? שלטון החוק המהותי מחייב שהחוק יהיה "ברור ודאי וניתן להבנה באופן שבני הציבור יוכלו לנהל על-פיו את ענייניהם" (</w:t>
      </w:r>
      <w:r w:rsidRPr="00505BBE">
        <w:rPr>
          <w:rFonts w:ascii="Arial TUR" w:hAnsi="Arial TUR" w:cs="Miriam" w:hint="cs"/>
          <w:sz w:val="20"/>
          <w:szCs w:val="20"/>
          <w:rtl/>
        </w:rPr>
        <w:t>שם</w:t>
      </w:r>
      <w:r w:rsidRPr="00505BBE">
        <w:rPr>
          <w:rFonts w:ascii="Arial TUR" w:hAnsi="Arial TUR" w:cs="FrankRuehl" w:hint="cs"/>
          <w:spacing w:val="10"/>
          <w:sz w:val="20"/>
          <w:szCs w:val="20"/>
          <w:rtl/>
        </w:rPr>
        <w:t xml:space="preserve">, </w:t>
      </w:r>
      <w:r w:rsidRPr="00505BBE">
        <w:rPr>
          <w:rFonts w:ascii="Arial TUR" w:hAnsi="Arial TUR" w:cs="Miriam" w:hint="cs"/>
          <w:sz w:val="20"/>
          <w:szCs w:val="20"/>
          <w:rtl/>
        </w:rPr>
        <w:t>שם</w:t>
      </w:r>
      <w:r w:rsidRPr="00505BBE">
        <w:rPr>
          <w:rFonts w:ascii="Arial TUR" w:hAnsi="Arial TUR" w:cs="FrankRuehl" w:hint="cs"/>
          <w:spacing w:val="10"/>
          <w:sz w:val="20"/>
          <w:szCs w:val="20"/>
          <w:rtl/>
        </w:rPr>
        <w:t xml:space="preserve">). הסמכה כוללנית ועמומה פוגעת ביכולתם של בני הציבור לדעת אל נכון את זכויותיהם וחובותיהם. כך, למשל, היה הדבר בענייננו, כאשר העותרים הופתעו מהדרישות אותן הציבה בפניהם המשטרה. </w:t>
      </w:r>
      <w:r w:rsidRPr="00505BBE">
        <w:rPr>
          <w:rFonts w:ascii="Arial TUR" w:hAnsi="Arial TUR" w:cs="FrankRuehl" w:hint="cs"/>
          <w:spacing w:val="10"/>
          <w:sz w:val="20"/>
          <w:szCs w:val="20"/>
          <w:highlight w:val="yellow"/>
          <w:rtl/>
        </w:rPr>
        <w:t>חקיקה עמומה נוגדת את הוראות החוקה</w:t>
      </w:r>
      <w:r w:rsidRPr="00505BBE">
        <w:rPr>
          <w:rFonts w:ascii="Arial TUR" w:hAnsi="Arial TUR" w:cs="FrankRuehl" w:hint="cs"/>
          <w:spacing w:val="10"/>
          <w:sz w:val="20"/>
          <w:szCs w:val="20"/>
          <w:rtl/>
        </w:rPr>
        <w:t xml:space="preserve"> (ראו למשל </w:t>
      </w:r>
      <w:r w:rsidRPr="000A35A9">
        <w:rPr>
          <w:spacing w:val="10"/>
          <w:sz w:val="20"/>
          <w:szCs w:val="20"/>
        </w:rPr>
        <w:t>L. Tribe, American Constitutional Law 2</w:t>
      </w:r>
      <w:r w:rsidRPr="000A35A9">
        <w:rPr>
          <w:spacing w:val="10"/>
          <w:sz w:val="20"/>
          <w:szCs w:val="20"/>
          <w:vertAlign w:val="superscript"/>
        </w:rPr>
        <w:t>nd</w:t>
      </w:r>
      <w:r w:rsidRPr="000A35A9">
        <w:rPr>
          <w:spacing w:val="10"/>
          <w:sz w:val="20"/>
          <w:szCs w:val="20"/>
        </w:rPr>
        <w:t xml:space="preserve"> ed. 1988) 1033-1035; P.W. Hogg, Constitutional Law of </w:t>
      </w:r>
      <w:smartTag w:uri="urn:schemas-microsoft-com:office:smarttags" w:element="place">
        <w:smartTag w:uri="urn:schemas-microsoft-com:office:smarttags" w:element="country-region">
          <w:r w:rsidRPr="000A35A9">
            <w:rPr>
              <w:spacing w:val="10"/>
              <w:sz w:val="20"/>
              <w:szCs w:val="20"/>
            </w:rPr>
            <w:t>Canada</w:t>
          </w:r>
        </w:smartTag>
      </w:smartTag>
      <w:r w:rsidRPr="000A35A9">
        <w:rPr>
          <w:spacing w:val="10"/>
          <w:sz w:val="20"/>
          <w:szCs w:val="20"/>
        </w:rPr>
        <w:t xml:space="preserve"> (Student ed. 2005) 1063-1068</w:t>
      </w:r>
      <w:r w:rsidRPr="00505BBE">
        <w:rPr>
          <w:rFonts w:ascii="Arial TUR" w:hAnsi="Arial TUR" w:cs="FrankRuehl" w:hint="cs"/>
          <w:spacing w:val="10"/>
          <w:sz w:val="20"/>
          <w:szCs w:val="20"/>
          <w:rtl/>
        </w:rPr>
        <w:t xml:space="preserve">). </w:t>
      </w:r>
      <w:r w:rsidRPr="00505BBE">
        <w:rPr>
          <w:rFonts w:ascii="Arial TUR" w:hAnsi="Arial TUR" w:cs="FrankRuehl" w:hint="cs"/>
          <w:spacing w:val="10"/>
          <w:sz w:val="20"/>
          <w:szCs w:val="20"/>
          <w:highlight w:val="yellow"/>
          <w:rtl/>
        </w:rPr>
        <w:t>גישה זו חלה גם במשפטנו, וזאת לעניין חקיקה שאינה "מוגנת" מביקורת חוקתית באמצעות הוראות של "שמירת דינים". כן תחול גישה זו ביחס לחוקיותה של חקיקת משנה</w:t>
      </w:r>
      <w:r w:rsidRPr="00505BBE">
        <w:rPr>
          <w:rFonts w:ascii="Arial TUR" w:hAnsi="Arial TUR" w:cs="FrankRuehl" w:hint="cs"/>
          <w:spacing w:val="10"/>
          <w:sz w:val="20"/>
          <w:szCs w:val="20"/>
          <w:rtl/>
        </w:rPr>
        <w:t xml:space="preserve"> (ראו פסק דינו של השופט מ' חשין </w:t>
      </w:r>
      <w:r w:rsidRPr="00505BBE">
        <w:rPr>
          <w:rFonts w:ascii="Arial TUR" w:hAnsi="Arial TUR" w:cs="FrankRuehl" w:hint="cs"/>
          <w:sz w:val="20"/>
          <w:szCs w:val="20"/>
          <w:rtl/>
        </w:rPr>
        <w:t>בפרשת שנסי</w:t>
      </w:r>
      <w:r w:rsidRPr="00505BBE">
        <w:rPr>
          <w:rFonts w:ascii="Arial TUR" w:hAnsi="Arial TUR" w:cs="FrankRuehl" w:hint="cs"/>
          <w:spacing w:val="10"/>
          <w:sz w:val="20"/>
          <w:szCs w:val="20"/>
          <w:rtl/>
        </w:rPr>
        <w:t>, ע' 514-519).</w:t>
      </w:r>
    </w:p>
    <w:p w:rsidR="005366A8" w:rsidRPr="00505BBE" w:rsidRDefault="005366A8" w:rsidP="005366A8">
      <w:pPr>
        <w:overflowPunct w:val="0"/>
        <w:autoSpaceDE w:val="0"/>
        <w:autoSpaceDN w:val="0"/>
        <w:spacing w:after="60"/>
        <w:rPr>
          <w:rFonts w:ascii="Arial" w:hAnsi="Arial" w:cs="Arial"/>
          <w:spacing w:val="10"/>
          <w:sz w:val="20"/>
          <w:szCs w:val="20"/>
        </w:rPr>
      </w:pPr>
      <w:r w:rsidRPr="00EE292B">
        <w:rPr>
          <w:rFonts w:ascii="Arial TUR" w:hAnsi="Arial TUR" w:cs="FrankRuehl" w:hint="cs"/>
          <w:spacing w:val="10"/>
          <w:sz w:val="20"/>
          <w:szCs w:val="20"/>
          <w:highlight w:val="yellow"/>
          <w:rtl/>
        </w:rPr>
        <w:t>10.     האם ניתן לראות בסעיף 85 ל</w:t>
      </w:r>
      <w:r w:rsidRPr="00EE292B">
        <w:rPr>
          <w:rFonts w:ascii="Arial TUR" w:hAnsi="Arial TUR" w:cs="FrankRuehl" w:hint="cs"/>
          <w:sz w:val="20"/>
          <w:szCs w:val="20"/>
          <w:highlight w:val="yellow"/>
          <w:rtl/>
        </w:rPr>
        <w:t>פקודת</w:t>
      </w:r>
      <w:r w:rsidRPr="00EE292B">
        <w:rPr>
          <w:rFonts w:ascii="Arial TUR" w:hAnsi="Arial TUR" w:cs="FrankRuehl" w:hint="cs"/>
          <w:spacing w:val="10"/>
          <w:sz w:val="20"/>
          <w:szCs w:val="20"/>
          <w:highlight w:val="yellow"/>
          <w:rtl/>
        </w:rPr>
        <w:t xml:space="preserve"> </w:t>
      </w:r>
      <w:r w:rsidRPr="00EE292B">
        <w:rPr>
          <w:rFonts w:ascii="Arial TUR" w:hAnsi="Arial TUR" w:cs="FrankRuehl" w:hint="cs"/>
          <w:sz w:val="20"/>
          <w:szCs w:val="20"/>
          <w:highlight w:val="yellow"/>
          <w:rtl/>
        </w:rPr>
        <w:t>המשטרה</w:t>
      </w:r>
      <w:r w:rsidRPr="00EE292B">
        <w:rPr>
          <w:rFonts w:ascii="Arial TUR" w:hAnsi="Arial TUR" w:cs="FrankRuehl" w:hint="cs"/>
          <w:spacing w:val="10"/>
          <w:sz w:val="20"/>
          <w:szCs w:val="20"/>
          <w:highlight w:val="yellow"/>
          <w:rtl/>
        </w:rPr>
        <w:t xml:space="preserve"> מקור הסמכה להתנות מתן רישיון להפגנה בהצבתם של מאבטחים, גדרות ביטחון ועמדות בידוק, מערכות הגברת קול וכריזה, וכיוצא באלה תנאים הקשורים באבטחתה של ההפגנה והכרוכים בעלויות גבוהות עבור מארגניה?</w:t>
      </w:r>
      <w:r w:rsidRPr="00505BBE">
        <w:rPr>
          <w:rFonts w:ascii="Arial TUR" w:hAnsi="Arial TUR" w:cs="FrankRuehl" w:hint="cs"/>
          <w:spacing w:val="10"/>
          <w:sz w:val="20"/>
          <w:szCs w:val="20"/>
          <w:rtl/>
        </w:rPr>
        <w:t xml:space="preserve"> דעתי היא שהתשובה על שאלה זו היא בשלילה. זאת, לנוכח חשיבותה ומעמדה של הזכות לחופש ביטוי ולהפגנה </w:t>
      </w:r>
      <w:r w:rsidRPr="00505BBE">
        <w:rPr>
          <w:rFonts w:ascii="Arial TUR" w:hAnsi="Arial TUR" w:cs="FrankRuehl" w:hint="cs"/>
          <w:spacing w:val="10"/>
          <w:sz w:val="20"/>
          <w:szCs w:val="20"/>
          <w:u w:val="single"/>
          <w:rtl/>
        </w:rPr>
        <w:t>מחד</w:t>
      </w:r>
      <w:r w:rsidRPr="00505BBE">
        <w:rPr>
          <w:rFonts w:ascii="Arial TUR" w:hAnsi="Arial TUR" w:cs="FrankRuehl" w:hint="cs"/>
          <w:spacing w:val="10"/>
          <w:sz w:val="20"/>
          <w:szCs w:val="20"/>
          <w:rtl/>
        </w:rPr>
        <w:t xml:space="preserve">, ולנוכח תפקידה של המדינה בכלל, ושל משטרת ישראל בפרט, להגן על זכות זו ועל האפשרות לממשה </w:t>
      </w:r>
      <w:r w:rsidRPr="00505BBE">
        <w:rPr>
          <w:rFonts w:ascii="Arial TUR" w:hAnsi="Arial TUR" w:cs="FrankRuehl" w:hint="cs"/>
          <w:spacing w:val="10"/>
          <w:sz w:val="20"/>
          <w:szCs w:val="20"/>
          <w:u w:val="single"/>
          <w:rtl/>
        </w:rPr>
        <w:t>מאידך</w:t>
      </w:r>
      <w:r w:rsidRPr="00505BBE">
        <w:rPr>
          <w:rFonts w:ascii="Arial TUR" w:hAnsi="Arial TUR" w:cs="FrankRuehl" w:hint="cs"/>
          <w:spacing w:val="10"/>
          <w:sz w:val="20"/>
          <w:szCs w:val="20"/>
          <w:rtl/>
        </w:rPr>
        <w:t>. אעמוד על שני טעמים אלה כסדרם.</w:t>
      </w:r>
      <w:r w:rsidRPr="00505BBE">
        <w:rPr>
          <w:rFonts w:ascii="Arial" w:hAnsi="Arial" w:cs="Arial"/>
          <w:spacing w:val="10"/>
          <w:sz w:val="20"/>
          <w:szCs w:val="20"/>
        </w:rPr>
        <w:t> </w:t>
      </w:r>
    </w:p>
    <w:p w:rsidR="005366A8" w:rsidRPr="008B6F27" w:rsidRDefault="005366A8" w:rsidP="005366A8">
      <w:pPr>
        <w:overflowPunct w:val="0"/>
        <w:autoSpaceDE w:val="0"/>
        <w:autoSpaceDN w:val="0"/>
        <w:spacing w:after="60"/>
        <w:rPr>
          <w:rFonts w:ascii="Arial TUR" w:hAnsi="Arial TUR" w:cs="Arial TUR"/>
          <w:b/>
          <w:bCs/>
          <w:spacing w:val="10"/>
          <w:sz w:val="20"/>
          <w:szCs w:val="20"/>
          <w:rtl/>
        </w:rPr>
      </w:pPr>
      <w:r w:rsidRPr="008B6F27">
        <w:rPr>
          <w:rFonts w:ascii="Arial" w:hAnsi="Arial" w:cs="Arial"/>
          <w:b/>
          <w:bCs/>
          <w:spacing w:val="10"/>
          <w:sz w:val="20"/>
          <w:szCs w:val="20"/>
          <w:rtl/>
        </w:rPr>
        <w:t> </w:t>
      </w:r>
      <w:r w:rsidRPr="00EB7E35">
        <w:rPr>
          <w:rFonts w:ascii="Arial" w:hAnsi="Arial" w:cs="Arial"/>
          <w:b/>
          <w:bCs/>
          <w:sz w:val="20"/>
          <w:szCs w:val="20"/>
          <w:highlight w:val="green"/>
          <w:rtl/>
        </w:rPr>
        <w:t>הזכות החוקתית להפגנה ולחופש הביטוי</w:t>
      </w:r>
    </w:p>
    <w:p w:rsidR="005366A8" w:rsidRPr="00505BBE" w:rsidRDefault="005366A8" w:rsidP="005366A8">
      <w:pPr>
        <w:overflowPunct w:val="0"/>
        <w:autoSpaceDE w:val="0"/>
        <w:autoSpaceDN w:val="0"/>
        <w:rPr>
          <w:rFonts w:ascii="Arial TUR" w:hAnsi="Arial TUR" w:cs="FrankRuehl"/>
          <w:spacing w:val="10"/>
          <w:sz w:val="20"/>
          <w:szCs w:val="20"/>
          <w:highlight w:val="yellow"/>
          <w:rtl/>
        </w:rPr>
      </w:pPr>
      <w:r w:rsidRPr="00505BBE">
        <w:rPr>
          <w:rFonts w:ascii="Arial TUR" w:hAnsi="Arial TUR" w:cs="FrankRuehl" w:hint="cs"/>
          <w:spacing w:val="10"/>
          <w:sz w:val="20"/>
          <w:szCs w:val="20"/>
          <w:rtl/>
        </w:rPr>
        <w:t xml:space="preserve">12.      </w:t>
      </w:r>
      <w:r w:rsidRPr="00505BBE">
        <w:rPr>
          <w:rFonts w:ascii="Arial TUR" w:hAnsi="Arial TUR" w:cs="FrankRuehl" w:hint="cs"/>
          <w:spacing w:val="10"/>
          <w:sz w:val="20"/>
          <w:szCs w:val="20"/>
          <w:highlight w:val="yellow"/>
          <w:rtl/>
        </w:rPr>
        <w:t xml:space="preserve">בשנת 1992 חוקקה הכנסת את חוק יסוד: כבוד האדם וחירותו. עיקרון חופש הביטוי לא זכה לעיגון מפורש בלשונו של החוק. אולם בשורה של פסקי דין קבע בית משפט זה שחוק היסוד כולל, במסגרת הזכויות והחירויות המוגנות על-ידו, גם את חופש הביטוי, ומקנה בכך לחופש הביטוי מעמד של זכות חוקתית. [...] אכן, "כיום אין עוד חופש הביטוי בבחינת זכות יסוד שאינה כתובה עלי ספר... מדובר בזכות חוקתית מוגנת" (דברי השופט א' ריבלין ברע"א 10520/03 </w:t>
      </w:r>
      <w:r w:rsidRPr="00505BBE">
        <w:rPr>
          <w:rFonts w:ascii="Arial TUR" w:hAnsi="Arial TUR" w:cs="FrankRuehl" w:hint="cs"/>
          <w:sz w:val="20"/>
          <w:szCs w:val="20"/>
          <w:highlight w:val="yellow"/>
          <w:rtl/>
        </w:rPr>
        <w:t>בן גביר נ' דנקנר</w:t>
      </w:r>
      <w:r w:rsidRPr="00505BBE">
        <w:rPr>
          <w:rFonts w:ascii="Arial TUR" w:hAnsi="Arial TUR" w:cs="FrankRuehl" w:hint="cs"/>
          <w:spacing w:val="10"/>
          <w:sz w:val="20"/>
          <w:szCs w:val="20"/>
          <w:highlight w:val="yellow"/>
          <w:rtl/>
        </w:rPr>
        <w:t xml:space="preserve"> (טרם פורסם), פיסקה 10 לפסק דינו). </w:t>
      </w:r>
    </w:p>
    <w:p w:rsidR="005366A8" w:rsidRDefault="005366A8" w:rsidP="005366A8">
      <w:pPr>
        <w:overflowPunct w:val="0"/>
        <w:autoSpaceDE w:val="0"/>
        <w:autoSpaceDN w:val="0"/>
        <w:rPr>
          <w:rFonts w:ascii="Arial" w:hAnsi="Arial" w:cs="Arial"/>
          <w:b/>
          <w:bCs/>
          <w:sz w:val="20"/>
          <w:szCs w:val="20"/>
          <w:rtl/>
        </w:rPr>
      </w:pPr>
      <w:r w:rsidRPr="00505BBE">
        <w:rPr>
          <w:rFonts w:ascii="Arial TUR" w:hAnsi="Arial TUR" w:cs="FrankRuehl" w:hint="cs"/>
          <w:spacing w:val="10"/>
          <w:sz w:val="20"/>
          <w:szCs w:val="20"/>
          <w:rtl/>
        </w:rPr>
        <w:t xml:space="preserve">13.     </w:t>
      </w:r>
      <w:r w:rsidRPr="00505BBE">
        <w:rPr>
          <w:rFonts w:ascii="Arial TUR" w:hAnsi="Arial TUR" w:cs="FrankRuehl" w:hint="cs"/>
          <w:spacing w:val="10"/>
          <w:sz w:val="20"/>
          <w:szCs w:val="20"/>
          <w:highlight w:val="yellow"/>
          <w:rtl/>
        </w:rPr>
        <w:t>עם זאת, לא כל היבטיה של הזכות לחופש ביטוי נתפסים תחת הזכות החוקתית לכבוד האדם,</w:t>
      </w:r>
      <w:r w:rsidRPr="00505BBE">
        <w:rPr>
          <w:rFonts w:ascii="Arial TUR" w:hAnsi="Arial TUR" w:cs="FrankRuehl" w:hint="cs"/>
          <w:spacing w:val="10"/>
          <w:sz w:val="20"/>
          <w:szCs w:val="20"/>
          <w:rtl/>
        </w:rPr>
        <w:t xml:space="preserve"> כי אם </w:t>
      </w:r>
      <w:r w:rsidRPr="00505BBE">
        <w:rPr>
          <w:rFonts w:ascii="Arial TUR" w:hAnsi="Arial TUR" w:cs="FrankRuehl" w:hint="cs"/>
          <w:spacing w:val="10"/>
          <w:sz w:val="20"/>
          <w:szCs w:val="20"/>
          <w:highlight w:val="yellow"/>
          <w:rtl/>
        </w:rPr>
        <w:t>אותם היבטים שלה הנגזרים מכבוד האדם ואשר מקיימים קשר הדוק עם "אותם זכויות וערכים, העומדים ביסוד כבוד האדם כמבטא הכרה באוטונומיה של הרצון הפרטי, בחופש בחירה ובחופש פעולה של האדם כיצור חופשי"</w:t>
      </w:r>
      <w:r w:rsidRPr="00505BBE">
        <w:rPr>
          <w:rFonts w:ascii="Arial TUR" w:hAnsi="Arial TUR" w:cs="FrankRuehl" w:hint="cs"/>
          <w:spacing w:val="10"/>
          <w:sz w:val="20"/>
          <w:szCs w:val="20"/>
          <w:rtl/>
        </w:rPr>
        <w:t xml:space="preserve"> (בג"ץ 6427/02 </w:t>
      </w:r>
      <w:r w:rsidRPr="00505BBE">
        <w:rPr>
          <w:rFonts w:ascii="Arial TUR" w:hAnsi="Arial TUR" w:cs="FrankRuehl" w:hint="cs"/>
          <w:sz w:val="20"/>
          <w:szCs w:val="20"/>
          <w:rtl/>
        </w:rPr>
        <w:t>התנועה לאיכות השלטון בישראל נ' הכנסת</w:t>
      </w:r>
      <w:r w:rsidRPr="00505BBE">
        <w:rPr>
          <w:rFonts w:ascii="Arial TUR" w:hAnsi="Arial TUR" w:cs="FrankRuehl" w:hint="cs"/>
          <w:spacing w:val="10"/>
          <w:sz w:val="20"/>
          <w:szCs w:val="20"/>
          <w:rtl/>
        </w:rPr>
        <w:t xml:space="preserve"> (טרם פורסם)</w:t>
      </w:r>
      <w:r>
        <w:rPr>
          <w:rFonts w:ascii="Arial TUR" w:hAnsi="Arial TUR" w:cs="FrankRuehl" w:hint="cs"/>
          <w:spacing w:val="10"/>
          <w:sz w:val="20"/>
          <w:szCs w:val="20"/>
          <w:rtl/>
        </w:rPr>
        <w:t>...)</w:t>
      </w:r>
      <w:r w:rsidRPr="00505BBE">
        <w:rPr>
          <w:rFonts w:ascii="Arial TUR" w:hAnsi="Arial TUR" w:cs="FrankRuehl" w:hint="cs"/>
          <w:spacing w:val="10"/>
          <w:sz w:val="20"/>
          <w:szCs w:val="20"/>
          <w:rtl/>
        </w:rPr>
        <w:t xml:space="preserve">, </w:t>
      </w:r>
      <w:r>
        <w:rPr>
          <w:rFonts w:ascii="Arial TUR" w:hAnsi="Arial TUR" w:cs="FrankRuehl" w:hint="cs"/>
          <w:spacing w:val="10"/>
          <w:sz w:val="20"/>
          <w:szCs w:val="20"/>
          <w:rtl/>
        </w:rPr>
        <w:t>..</w:t>
      </w:r>
      <w:r w:rsidRPr="00505BBE">
        <w:rPr>
          <w:rFonts w:ascii="Arial TUR" w:hAnsi="Arial TUR" w:cs="FrankRuehl" w:hint="cs"/>
          <w:spacing w:val="10"/>
          <w:sz w:val="20"/>
          <w:szCs w:val="20"/>
          <w:rtl/>
        </w:rPr>
        <w:t xml:space="preserve">. אכן, "אין 'לקרוא' אל תוך הזכות לכבוד יותר ממה שבכוחה לשאת. לא כל הזכויות כולן נלמדות מפירושו של חוק יסוד: כבוד האדם וחירותו. ... בגזירת זכויות, שאינן מנויות במפורש בחוקי היסוד בדבר זכויות אדם, אך נכללות בתוך המושג של כבוד האדם, לא ניתן תמיד לתפוס את מלוא ההיקף שהיה לזכויות ה'נגזרות' אילו עמדו לעצמן כזכויות 'בעלות שם'" </w:t>
      </w:r>
      <w:r w:rsidRPr="00505BBE">
        <w:rPr>
          <w:rFonts w:ascii="Arial TUR" w:hAnsi="Arial TUR" w:cs="FrankRuehl" w:hint="cs"/>
          <w:spacing w:val="10"/>
          <w:sz w:val="20"/>
          <w:szCs w:val="20"/>
          <w:highlight w:val="yellow"/>
          <w:rtl/>
        </w:rPr>
        <w:t>(...). קביעת היקפה של הזכות לחופש ביטוי כזכות חוקתית הנגזרת מכבוד האדם צריכה להיעשות בהתאמה למובן אותו יש ליתן למושג כבוד האדם. אין לנו צורך, במסגרת זו, לעמוד באופן מפורט על היבטיה של הזכות לחופש ביטוי הנכללים במושג כבוד האדם. נראה לי כי הפגנה על רקע פוליטי או חברתי היא ביטוי לאותה אוטונומיה של הרצון הפרטי, חופש הבחירה וחופש הפסילה, הנכללים במסגרת כבוד האדם כזכות חוקתית.</w:t>
      </w:r>
      <w:r>
        <w:rPr>
          <w:rFonts w:ascii="Arial" w:hAnsi="Arial" w:cs="Arial" w:hint="cs"/>
          <w:b/>
          <w:bCs/>
          <w:sz w:val="20"/>
          <w:szCs w:val="20"/>
          <w:rtl/>
        </w:rPr>
        <w:t xml:space="preserve">  [...]</w:t>
      </w:r>
    </w:p>
    <w:p w:rsidR="005366A8" w:rsidRDefault="005366A8" w:rsidP="005366A8">
      <w:pPr>
        <w:spacing w:after="120"/>
        <w:rPr>
          <w:rFonts w:cs="Arial"/>
          <w:highlight w:val="yellow"/>
          <w:rtl/>
        </w:rPr>
      </w:pPr>
      <w:r>
        <w:rPr>
          <w:rFonts w:cs="Arial" w:hint="cs"/>
          <w:highlight w:val="yellow"/>
          <w:rtl/>
        </w:rPr>
        <w:t>=-=</w:t>
      </w:r>
    </w:p>
    <w:p w:rsidR="005366A8" w:rsidRDefault="005366A8" w:rsidP="005366A8">
      <w:pPr>
        <w:jc w:val="center"/>
        <w:rPr>
          <w:rFonts w:cs="FrankRuehl"/>
          <w:i/>
          <w:iCs/>
          <w:sz w:val="28"/>
          <w:szCs w:val="28"/>
          <w:rtl/>
        </w:rPr>
      </w:pPr>
      <w:r w:rsidRPr="00A72C79">
        <w:rPr>
          <w:rFonts w:cs="FrankRuehl" w:hint="cs"/>
          <w:b/>
          <w:sz w:val="28"/>
          <w:szCs w:val="28"/>
          <w:highlight w:val="yellow"/>
          <w:rtl/>
        </w:rPr>
        <w:t xml:space="preserve">בג"ץ  10203/03 </w:t>
      </w:r>
      <w:r w:rsidRPr="00A72C79">
        <w:rPr>
          <w:rFonts w:cs="FrankRuehl" w:hint="cs"/>
          <w:bCs/>
          <w:sz w:val="28"/>
          <w:szCs w:val="28"/>
          <w:highlight w:val="yellow"/>
          <w:rtl/>
        </w:rPr>
        <w:t>"המפקד הלאומי" בע"מ נ' היועץ המשפט לממשלה</w:t>
      </w:r>
      <w:r w:rsidRPr="00A72C79">
        <w:rPr>
          <w:rFonts w:cs="FrankRuehl" w:hint="cs"/>
          <w:b/>
          <w:sz w:val="28"/>
          <w:szCs w:val="28"/>
          <w:highlight w:val="yellow"/>
          <w:rtl/>
        </w:rPr>
        <w:t xml:space="preserve"> (טרם פורסם, ניתן ביום 20.8.2008)</w:t>
      </w:r>
    </w:p>
    <w:p w:rsidR="005366A8" w:rsidRDefault="005366A8" w:rsidP="005366A8">
      <w:pPr>
        <w:rPr>
          <w:sz w:val="22"/>
          <w:szCs w:val="22"/>
          <w:rtl/>
        </w:rPr>
      </w:pPr>
    </w:p>
    <w:p w:rsidR="005366A8" w:rsidRPr="00181B98" w:rsidRDefault="005366A8" w:rsidP="005366A8">
      <w:pPr>
        <w:spacing w:after="120"/>
        <w:rPr>
          <w:rFonts w:cs="FrankRuehl"/>
          <w:sz w:val="22"/>
          <w:szCs w:val="22"/>
          <w:rtl/>
        </w:rPr>
      </w:pPr>
      <w:r w:rsidRPr="00181B98">
        <w:rPr>
          <w:rFonts w:cs="FrankRuehl" w:hint="cs"/>
          <w:sz w:val="22"/>
          <w:szCs w:val="22"/>
          <w:rtl/>
        </w:rPr>
        <w:t>האם האיסורים על שידור תשדיר פרסומת בנושא פוליטי, הקבועים בכללי רשות השידור (תשדירי פרסומת והודעות ברדיו), התשנ"ג-1993 ובכללי הרשות השניה לטלוויזיה ולרדיו (אתיקה בפרסומת בשידורי רדיו), התשנ"ט-1999, הינם בטלים בהיותם פוגעים בחופש הביטוי באופן בלתי חוקתי? זו השאלה הניצבת בפנינו בעתירה זו.</w:t>
      </w:r>
      <w:r>
        <w:rPr>
          <w:rFonts w:cs="FrankRuehl" w:hint="cs"/>
          <w:sz w:val="22"/>
          <w:szCs w:val="22"/>
          <w:rtl/>
        </w:rPr>
        <w:t xml:space="preserve"> [תשדיר ביחס ל"הסכמות ג'נבה"].</w:t>
      </w:r>
    </w:p>
    <w:p w:rsidR="005366A8" w:rsidRPr="001B1697" w:rsidRDefault="005366A8" w:rsidP="005366A8">
      <w:pPr>
        <w:rPr>
          <w:sz w:val="22"/>
          <w:szCs w:val="22"/>
          <w:rtl/>
        </w:rPr>
      </w:pPr>
      <w:r>
        <w:rPr>
          <w:rFonts w:hint="cs"/>
          <w:sz w:val="22"/>
          <w:szCs w:val="22"/>
          <w:rtl/>
        </w:rPr>
        <w:t>[פסק הדין עוסק בשלוש שאלות עיקריות</w:t>
      </w:r>
      <w:r w:rsidRPr="001B1697">
        <w:rPr>
          <w:rFonts w:hint="cs"/>
          <w:sz w:val="22"/>
          <w:szCs w:val="22"/>
          <w:rtl/>
        </w:rPr>
        <w:t>:</w:t>
      </w:r>
    </w:p>
    <w:p w:rsidR="005366A8" w:rsidRPr="00383F9A" w:rsidRDefault="005366A8" w:rsidP="005366A8">
      <w:pPr>
        <w:spacing w:after="60"/>
        <w:ind w:left="1440" w:hanging="720"/>
        <w:rPr>
          <w:rFonts w:ascii="Arial" w:hAnsi="Arial" w:cs="Arial"/>
          <w:b/>
          <w:bCs/>
          <w:sz w:val="20"/>
          <w:szCs w:val="20"/>
          <w:rtl/>
        </w:rPr>
      </w:pPr>
      <w:r w:rsidRPr="00383F9A">
        <w:rPr>
          <w:rFonts w:ascii="Arial" w:hAnsi="Arial" w:cs="Arial" w:hint="cs"/>
          <w:b/>
          <w:bCs/>
          <w:sz w:val="20"/>
          <w:szCs w:val="20"/>
          <w:rtl/>
        </w:rPr>
        <w:t>א. הזכויות המוגנות: האם חופש הביטוי הפוליטי מוגן חוקתית? האם שלילת האפשרות לפרסומות פוליטיות היא פגיעה בזכות החוקתית?</w:t>
      </w:r>
    </w:p>
    <w:p w:rsidR="005366A8" w:rsidRPr="00383F9A" w:rsidRDefault="005366A8" w:rsidP="005366A8">
      <w:pPr>
        <w:spacing w:after="60"/>
        <w:ind w:left="720"/>
        <w:rPr>
          <w:rFonts w:ascii="Arial" w:hAnsi="Arial" w:cs="Arial"/>
          <w:b/>
          <w:bCs/>
          <w:sz w:val="20"/>
          <w:szCs w:val="20"/>
          <w:rtl/>
        </w:rPr>
      </w:pPr>
      <w:r w:rsidRPr="00383F9A">
        <w:rPr>
          <w:rFonts w:ascii="Arial" w:hAnsi="Arial" w:cs="Arial" w:hint="cs"/>
          <w:b/>
          <w:bCs/>
          <w:sz w:val="20"/>
          <w:szCs w:val="20"/>
          <w:rtl/>
        </w:rPr>
        <w:t>ב. מה משמעות הדרישה להגבלה "בחוק... או מכוח חוק... על פי הסמכה מפורשת..."?</w:t>
      </w:r>
    </w:p>
    <w:p w:rsidR="005366A8" w:rsidRPr="00181B98" w:rsidRDefault="005366A8" w:rsidP="005366A8">
      <w:pPr>
        <w:spacing w:after="120"/>
        <w:ind w:left="720"/>
        <w:rPr>
          <w:rFonts w:cs="FrankRuehl"/>
          <w:sz w:val="28"/>
          <w:szCs w:val="28"/>
          <w:rtl/>
        </w:rPr>
      </w:pPr>
      <w:r w:rsidRPr="00383F9A">
        <w:rPr>
          <w:rFonts w:ascii="Arial" w:hAnsi="Arial" w:cs="Arial" w:hint="cs"/>
          <w:b/>
          <w:bCs/>
          <w:sz w:val="20"/>
          <w:szCs w:val="20"/>
          <w:rtl/>
        </w:rPr>
        <w:t>ג. "דוקטרינת ההגינות" בכלי התקשורת האלקטרוניים בישראל וסוגיית הפרסומות הפוליטיות</w:t>
      </w:r>
      <w:r>
        <w:rPr>
          <w:rFonts w:ascii="Arial" w:hAnsi="Arial" w:cs="Arial" w:hint="cs"/>
          <w:sz w:val="20"/>
          <w:szCs w:val="20"/>
          <w:rtl/>
        </w:rPr>
        <w:t>]</w:t>
      </w:r>
    </w:p>
    <w:p w:rsidR="005366A8" w:rsidRPr="00F40701" w:rsidRDefault="005366A8" w:rsidP="005366A8">
      <w:pPr>
        <w:ind w:left="720" w:hanging="720"/>
        <w:rPr>
          <w:sz w:val="22"/>
          <w:szCs w:val="22"/>
          <w:rtl/>
        </w:rPr>
      </w:pPr>
      <w:r w:rsidRPr="00F40701">
        <w:rPr>
          <w:rFonts w:hint="cs"/>
          <w:b/>
          <w:bCs/>
          <w:sz w:val="22"/>
          <w:szCs w:val="22"/>
          <w:rtl/>
        </w:rPr>
        <w:t>השאלה הראשונה היא הכרעה ביחס למעמדו החוקתי של חופש הביטוי הפוליטי? בית המשפט משיב לשאלה זו בחיוב</w:t>
      </w:r>
      <w:r>
        <w:rPr>
          <w:rFonts w:hint="cs"/>
          <w:sz w:val="22"/>
          <w:szCs w:val="22"/>
          <w:rtl/>
        </w:rPr>
        <w:t xml:space="preserve"> </w:t>
      </w:r>
      <w:r>
        <w:rPr>
          <w:sz w:val="22"/>
          <w:szCs w:val="22"/>
          <w:rtl/>
        </w:rPr>
        <w:t>–</w:t>
      </w:r>
      <w:r>
        <w:rPr>
          <w:rFonts w:hint="cs"/>
          <w:sz w:val="22"/>
          <w:szCs w:val="22"/>
          <w:rtl/>
        </w:rPr>
        <w:t xml:space="preserve"> הפעם כחלק מהרציו של הכרעתו (להבדיל מפס"ד מטה הרוב). חופש הביטוי הפוליטי נוסף על כן לרשימת הזכויות המוגנות חוקתית.  הוא זוכה להגנה מכוח ההגנה על הזכות ל"כבוד האדם".</w:t>
      </w:r>
    </w:p>
    <w:p w:rsidR="005366A8" w:rsidRPr="00181B98" w:rsidRDefault="005366A8" w:rsidP="005366A8">
      <w:pPr>
        <w:rPr>
          <w:rFonts w:cs="FrankRuehl"/>
          <w:sz w:val="22"/>
          <w:szCs w:val="22"/>
          <w:rtl/>
        </w:rPr>
      </w:pPr>
      <w:r w:rsidRPr="00F40701">
        <w:rPr>
          <w:rFonts w:hint="cs"/>
          <w:b/>
          <w:bCs/>
          <w:sz w:val="22"/>
          <w:szCs w:val="22"/>
          <w:rtl/>
        </w:rPr>
        <w:t>השופטת נאור</w:t>
      </w:r>
      <w:r w:rsidRPr="00F40701">
        <w:rPr>
          <w:rFonts w:hint="cs"/>
          <w:sz w:val="22"/>
          <w:szCs w:val="22"/>
          <w:rtl/>
        </w:rPr>
        <w:t xml:space="preserve"> עוברת דרך שתי שאלות-משנה עיקריות בדרכה לתשובתה כאן.</w:t>
      </w:r>
    </w:p>
    <w:p w:rsidR="005366A8" w:rsidRPr="00181B98" w:rsidRDefault="005366A8" w:rsidP="005366A8">
      <w:pPr>
        <w:rPr>
          <w:rFonts w:cs="FrankRuehl"/>
          <w:sz w:val="22"/>
          <w:szCs w:val="22"/>
          <w:rtl/>
        </w:rPr>
      </w:pPr>
      <w:r w:rsidRPr="00181B98">
        <w:rPr>
          <w:rFonts w:cs="FrankRuehl" w:hint="cs"/>
          <w:sz w:val="22"/>
          <w:szCs w:val="22"/>
          <w:rtl/>
        </w:rPr>
        <w:t xml:space="preserve">19. </w:t>
      </w:r>
      <w:r w:rsidRPr="00181B98">
        <w:rPr>
          <w:rFonts w:cs="FrankRuehl" w:hint="cs"/>
          <w:sz w:val="22"/>
          <w:szCs w:val="22"/>
          <w:rtl/>
        </w:rPr>
        <w:tab/>
        <w:t>[...] כיצד עלינו לסווג איפוא את ה"ביטוי" שנפגע בענייננו – ביטוי פוליטי או ביטוי מסחרי?</w:t>
      </w:r>
    </w:p>
    <w:p w:rsidR="005366A8" w:rsidRPr="00181B98" w:rsidRDefault="005366A8" w:rsidP="005366A8">
      <w:pPr>
        <w:rPr>
          <w:rFonts w:cs="FrankRuehl"/>
          <w:sz w:val="22"/>
          <w:szCs w:val="22"/>
          <w:rtl/>
        </w:rPr>
      </w:pPr>
      <w:r w:rsidRPr="00181B98">
        <w:rPr>
          <w:rFonts w:cs="FrankRuehl" w:hint="cs"/>
          <w:sz w:val="22"/>
          <w:szCs w:val="22"/>
          <w:rtl/>
        </w:rPr>
        <w:t>20.</w:t>
      </w:r>
      <w:r w:rsidRPr="00181B98">
        <w:rPr>
          <w:rFonts w:cs="FrankRuehl" w:hint="cs"/>
          <w:sz w:val="22"/>
          <w:szCs w:val="22"/>
          <w:rtl/>
        </w:rPr>
        <w:tab/>
        <w:t xml:space="preserve">דעתי היא כי תוכנו של הביטוי שנמנע בענייננו הוא פוליטי, וכי הוא מובא במסגרת מסחרית. המרכיבים הדומיננטיים בעיני לסיווג הביטוי הם תוכנו של הביטוי (פוליטי או מסחרי), אופיו של המתבטא (גוף פוליטי או מסחרי) ומטרותיו של הביטוי (פוליטיות או מסחריות). לעומת זאת, מרכיב פחות חשוב בעיני הוא האמצעי הטכני הנושא את הביטוי או המסגרת החיצונית בה הוא מובא. יש לבחון מהו האפקט הדומיננטי של התשדיר, מנקודת מבטו של הצופה... </w:t>
      </w:r>
    </w:p>
    <w:p w:rsidR="005366A8" w:rsidRPr="00181B98" w:rsidRDefault="005366A8" w:rsidP="005366A8">
      <w:pPr>
        <w:rPr>
          <w:rFonts w:cs="FrankRuehl"/>
          <w:sz w:val="22"/>
          <w:szCs w:val="22"/>
          <w:rtl/>
        </w:rPr>
      </w:pPr>
      <w:r w:rsidRPr="00181B98">
        <w:rPr>
          <w:rFonts w:cs="FrankRuehl" w:hint="cs"/>
          <w:sz w:val="22"/>
          <w:szCs w:val="22"/>
          <w:rtl/>
        </w:rPr>
        <w:t>21.</w:t>
      </w:r>
      <w:r w:rsidRPr="00181B98">
        <w:rPr>
          <w:rFonts w:cs="FrankRuehl" w:hint="cs"/>
          <w:sz w:val="22"/>
          <w:szCs w:val="22"/>
          <w:rtl/>
        </w:rPr>
        <w:tab/>
        <w:t xml:space="preserve">חוק-יסוד: כבוד האדם וחירותו אינו כולל זכות עצמאית ונפרדת אשר כותרתה "חופש הביטוי הפוליטי". עם זאת, חוק-יסוד זה כולל זכות עצמאית ונפרדת שעניינה כבוד האדם. הטענה הינה, כי חופש הביטוי אשר הכללים פוגעים בו - חופש הביטוי הפוליטי - הוא חלק מכבוד האדם. האם טענה זו בדין יסודה? זוהי השאלה </w:t>
      </w:r>
      <w:r w:rsidRPr="00181B98">
        <w:rPr>
          <w:rFonts w:cs="FrankRuehl" w:hint="cs"/>
          <w:sz w:val="22"/>
          <w:szCs w:val="22"/>
          <w:u w:val="single"/>
          <w:rtl/>
        </w:rPr>
        <w:t>השניה</w:t>
      </w:r>
      <w:r w:rsidRPr="00181B98">
        <w:rPr>
          <w:rFonts w:cs="FrankRuehl" w:hint="cs"/>
          <w:sz w:val="22"/>
          <w:szCs w:val="22"/>
          <w:rtl/>
        </w:rPr>
        <w:t xml:space="preserve"> הניצבת בפנינו. לבחינתה נעבור עתה. </w:t>
      </w:r>
    </w:p>
    <w:p w:rsidR="005366A8" w:rsidRPr="00181B98" w:rsidRDefault="005366A8" w:rsidP="005366A8">
      <w:pPr>
        <w:rPr>
          <w:rFonts w:cs="FrankRuehl"/>
          <w:b/>
          <w:bCs/>
          <w:sz w:val="22"/>
          <w:szCs w:val="22"/>
          <w:rtl/>
        </w:rPr>
      </w:pPr>
      <w:r w:rsidRPr="00181B98">
        <w:rPr>
          <w:rFonts w:cs="FrankRuehl" w:hint="cs"/>
          <w:b/>
          <w:bCs/>
          <w:sz w:val="22"/>
          <w:szCs w:val="22"/>
          <w:rtl/>
        </w:rPr>
        <w:t>האם הפגיעה בחופש הביטוי הפוליטי מהווה פגיעה בכבוד האדם?</w:t>
      </w:r>
    </w:p>
    <w:p w:rsidR="005366A8" w:rsidRPr="00181B98" w:rsidRDefault="005366A8" w:rsidP="005366A8">
      <w:pPr>
        <w:rPr>
          <w:rFonts w:cs="FrankRuehl"/>
          <w:sz w:val="22"/>
          <w:szCs w:val="22"/>
          <w:rtl/>
        </w:rPr>
      </w:pPr>
      <w:r w:rsidRPr="00181B98">
        <w:rPr>
          <w:rFonts w:cs="FrankRuehl" w:hint="cs"/>
          <w:sz w:val="22"/>
          <w:szCs w:val="22"/>
          <w:rtl/>
        </w:rPr>
        <w:t>23.</w:t>
      </w:r>
      <w:r w:rsidRPr="00181B98">
        <w:rPr>
          <w:rFonts w:cs="FrankRuehl" w:hint="cs"/>
          <w:sz w:val="22"/>
          <w:szCs w:val="22"/>
          <w:rtl/>
        </w:rPr>
        <w:tab/>
        <w:t>אכן, נקבע בפסיקתנו כי חופש הביטוי הפוליטי הוא בגרעין הזכות לחופש הביטוי (פרשת שינוי פסקה 3 לפסק דינו של השופט ריבלין). "חופש הביטוי הפוליטי ראוי להגנה מירבית, הן משום שנודעת לו חשיבות יתירה מבחינה חברתית, כיסוד מוסד של המשטר הדמוקרטי, והן משום שהוא חשוף יותר מכל צורה אחרת של ביטוי להתנכלות מצד השלטון" (פרשת זקין). ...</w:t>
      </w:r>
    </w:p>
    <w:p w:rsidR="005366A8" w:rsidRPr="00181B98" w:rsidRDefault="005366A8" w:rsidP="005366A8">
      <w:pPr>
        <w:rPr>
          <w:rFonts w:cs="FrankRuehl"/>
          <w:sz w:val="22"/>
          <w:szCs w:val="22"/>
          <w:rtl/>
        </w:rPr>
      </w:pPr>
      <w:r w:rsidRPr="00181B98">
        <w:rPr>
          <w:rFonts w:cs="FrankRuehl" w:hint="cs"/>
          <w:sz w:val="22"/>
          <w:szCs w:val="22"/>
          <w:rtl/>
        </w:rPr>
        <w:t>ומכאן - לשאלה האם הפגיעה בחופש הביטוי הפוליטי מהווה פגיעה בכבוד האדם?</w:t>
      </w:r>
    </w:p>
    <w:p w:rsidR="005366A8" w:rsidRPr="00181B98" w:rsidRDefault="005366A8" w:rsidP="005366A8">
      <w:pPr>
        <w:rPr>
          <w:rFonts w:cs="FrankRuehl"/>
          <w:sz w:val="22"/>
          <w:szCs w:val="22"/>
          <w:rtl/>
        </w:rPr>
      </w:pPr>
      <w:r w:rsidRPr="00181B98">
        <w:rPr>
          <w:rFonts w:cs="FrankRuehl" w:hint="cs"/>
          <w:sz w:val="22"/>
          <w:szCs w:val="22"/>
          <w:rtl/>
        </w:rPr>
        <w:t>24.</w:t>
      </w:r>
      <w:r w:rsidRPr="00181B98">
        <w:rPr>
          <w:rFonts w:cs="FrankRuehl" w:hint="cs"/>
          <w:sz w:val="22"/>
          <w:szCs w:val="22"/>
          <w:rtl/>
        </w:rPr>
        <w:tab/>
        <w:t>הכרעה בשאלה זו כרוכה בפרשנות טבעה של הזכות לכבוד האדם וגבולות פריסתה. ...</w:t>
      </w:r>
    </w:p>
    <w:p w:rsidR="005366A8" w:rsidRPr="00181B98" w:rsidRDefault="005366A8" w:rsidP="005366A8">
      <w:pPr>
        <w:rPr>
          <w:rFonts w:cs="FrankRuehl"/>
          <w:sz w:val="22"/>
          <w:szCs w:val="22"/>
          <w:rtl/>
        </w:rPr>
      </w:pPr>
      <w:r w:rsidRPr="00181B98">
        <w:rPr>
          <w:rFonts w:cs="FrankRuehl" w:hint="cs"/>
          <w:sz w:val="22"/>
          <w:szCs w:val="22"/>
          <w:rtl/>
        </w:rPr>
        <w:t>26.</w:t>
      </w:r>
      <w:r w:rsidRPr="00181B98">
        <w:rPr>
          <w:rFonts w:cs="FrankRuehl" w:hint="cs"/>
          <w:sz w:val="22"/>
          <w:szCs w:val="22"/>
          <w:rtl/>
        </w:rPr>
        <w:tab/>
        <w:t>באחרונה, בפרשת התנועה לאיכות השלטון בישראל נפסק ביחס לזכות לשוויון כי כבוד האדם כולל רק אותן זכויות אשר קשורות לכבוד האדם (אם בגרעינו ואם בשוליו) בקשר ענייני הדוק:</w:t>
      </w:r>
    </w:p>
    <w:p w:rsidR="005366A8" w:rsidRPr="00181B98" w:rsidRDefault="005366A8" w:rsidP="005366A8">
      <w:pPr>
        <w:ind w:left="720"/>
        <w:rPr>
          <w:rFonts w:cs="FrankRuehl"/>
          <w:sz w:val="22"/>
          <w:szCs w:val="22"/>
          <w:rtl/>
        </w:rPr>
      </w:pPr>
      <w:r w:rsidRPr="00181B98">
        <w:rPr>
          <w:rFonts w:cs="FrankRuehl" w:hint="cs"/>
          <w:sz w:val="22"/>
          <w:szCs w:val="22"/>
          <w:rtl/>
        </w:rPr>
        <w:t>"מודל הביניים אינו מצמצם את כבוד האדם אך להשפלה וביזוי, אך הוא גם אינו מרחיבו לכלל זכויות האדם. על פיו, נכללים בגדר כבוד האדם אותם היבטים של כבוד האדם אשר מוצאים בחוקות שונות ביטוי בזכויות אדם מיוחדות, אך המתאפיינים בכך שהם קשורים, על פי תפיסתנו, בקשר ענייני הדוק לכבוד האדם (אם בגרעינו ואם בשוליו)... אני סבור כי המודל הראוי, להבניית היחס בין כבוד האדם כזכות חוקתית לבין השוויון, הוא מודל הביניים... התפיסה הראויה לכבוד האדם – המעמידה במרכזו את האוטונומיה של הרצון הפרטי, חופש הבחירה, השלמות הפיזית והרוחנית של האדם ומכלול אנושיותו – מצדיקה לכלול בגדרו של כבוד האדם אותם היבטים של השוויון אשר מבטיחים את התפיסה הראויה הזו של כבוד האדם" (שם, פסקאות 38, 40 לפסק דינו של הנשיא ברק).</w:t>
      </w:r>
    </w:p>
    <w:p w:rsidR="005366A8" w:rsidRPr="00181B98" w:rsidRDefault="005366A8" w:rsidP="005366A8">
      <w:pPr>
        <w:rPr>
          <w:rFonts w:cs="FrankRuehl"/>
          <w:sz w:val="22"/>
          <w:szCs w:val="22"/>
          <w:rtl/>
        </w:rPr>
      </w:pPr>
      <w:r w:rsidRPr="00181B98">
        <w:rPr>
          <w:rFonts w:cs="FrankRuehl" w:hint="cs"/>
          <w:sz w:val="22"/>
          <w:szCs w:val="22"/>
          <w:rtl/>
        </w:rPr>
        <w:t xml:space="preserve">אמת מידה זו הולמת, לדעתי, גם את היחס בין כבוד האדם כזכות חוקתית לבין חופש הביטוי הפוליטי. דעתי היא כי הזכות נשוא ענייננו, חופש הביטוי הפוליטי, קשורה על פי תפיסתנו המשפטית "בקשר ענייני הדוק לכבוד האדם" שהרי: </w:t>
      </w:r>
    </w:p>
    <w:p w:rsidR="005366A8" w:rsidRPr="00181B98" w:rsidRDefault="005366A8" w:rsidP="005366A8">
      <w:pPr>
        <w:ind w:left="720"/>
        <w:rPr>
          <w:rFonts w:cs="FrankRuehl"/>
          <w:sz w:val="22"/>
          <w:szCs w:val="22"/>
          <w:rtl/>
        </w:rPr>
      </w:pPr>
      <w:r w:rsidRPr="00181B98">
        <w:rPr>
          <w:rFonts w:cs="FrankRuehl" w:hint="cs"/>
          <w:sz w:val="22"/>
          <w:szCs w:val="22"/>
          <w:rtl/>
        </w:rPr>
        <w:t xml:space="preserve">"מהו כבוד האדם על פי גישתו של בית המשפט העליון?... ביסוד כבוד האדם עומדים האוטונומיה של הרצון הפרטי, חופש הבחירה וחופש הפעולה של האדם כיצור חופשי. כבוד האדם נשען על ההכרה בשלמותו הפיזית והרוחנית של האדם, באנושיותו, בערכו כאדם, וכל זאת בלא קשר למידת התועלת הצומחת ממנו לאחרים" (שם, פסקה 35). </w:t>
      </w:r>
    </w:p>
    <w:p w:rsidR="005366A8" w:rsidRPr="00181B98" w:rsidRDefault="005366A8" w:rsidP="005366A8">
      <w:pPr>
        <w:rPr>
          <w:rFonts w:cs="FrankRuehl"/>
          <w:sz w:val="22"/>
          <w:szCs w:val="22"/>
          <w:rtl/>
        </w:rPr>
      </w:pPr>
      <w:r w:rsidRPr="00181B98">
        <w:rPr>
          <w:rFonts w:cs="FrankRuehl" w:hint="cs"/>
          <w:sz w:val="22"/>
          <w:szCs w:val="22"/>
          <w:rtl/>
        </w:rPr>
        <w:t>מתפישה זו של כבוד האדם מתבקשת המסקנה, כי חופש הביטוי הפוליטי הוא חלק מהזכות החוקתית לכבוד האדם... אכן, חופש הביטוי הפוליטי הוא מרכיב חיוני של כבוד האדם. וכאמור, נאמר כבר כי חופש הביטוי הפוליטי הוא ב"גרעין" הזכות לחופש הביטוי... אשר לחופש הביטוי המסחרי - עניין זה כאמור לא מתעורר לשיטתי בפנינו ואשאיר אותו בצריך עיון.</w:t>
      </w:r>
    </w:p>
    <w:p w:rsidR="005366A8" w:rsidRDefault="005366A8" w:rsidP="005366A8">
      <w:pPr>
        <w:rPr>
          <w:rFonts w:cs="FrankRuehl"/>
          <w:sz w:val="22"/>
          <w:szCs w:val="22"/>
          <w:rtl/>
        </w:rPr>
      </w:pPr>
      <w:r w:rsidRPr="00181B98">
        <w:rPr>
          <w:rFonts w:cs="FrankRuehl" w:hint="cs"/>
          <w:sz w:val="22"/>
          <w:szCs w:val="22"/>
          <w:rtl/>
        </w:rPr>
        <w:t xml:space="preserve">27. </w:t>
      </w:r>
      <w:r w:rsidRPr="00181B98">
        <w:rPr>
          <w:rFonts w:cs="FrankRuehl" w:hint="cs"/>
          <w:sz w:val="22"/>
          <w:szCs w:val="22"/>
          <w:rtl/>
        </w:rPr>
        <w:tab/>
        <w:t xml:space="preserve">המסקנה היא, שפגיעתם של הכללים בחופש הביטוי הפוליטי מקימה פגיעה בכבוד האדם. </w:t>
      </w:r>
      <w:r w:rsidRPr="00181B98">
        <w:rPr>
          <w:rFonts w:cs="FrankRuehl" w:hint="cs"/>
          <w:sz w:val="22"/>
          <w:szCs w:val="22"/>
          <w:highlight w:val="yellow"/>
          <w:rtl/>
        </w:rPr>
        <w:t>הכללים פוגעים באותם זכויות וערכים העומדים ביסוד כבוד האדם כמבטא הכרה באוטונומיה של הרצון הפרטי, בחופש הבחירה ובחופש הפעולה של האדם כיצור חופשי.</w:t>
      </w:r>
      <w:r w:rsidRPr="00181B98">
        <w:rPr>
          <w:rFonts w:cs="FrankRuehl" w:hint="cs"/>
          <w:sz w:val="22"/>
          <w:szCs w:val="22"/>
          <w:rtl/>
        </w:rPr>
        <w:t>.. בכך ניתן מענה חיובי גם לשאלה השניה שהצבתי</w:t>
      </w:r>
      <w:r>
        <w:rPr>
          <w:rFonts w:cs="FrankRuehl" w:hint="cs"/>
          <w:sz w:val="22"/>
          <w:szCs w:val="22"/>
          <w:rtl/>
        </w:rPr>
        <w:t>.</w:t>
      </w:r>
    </w:p>
    <w:p w:rsidR="005366A8" w:rsidRPr="00181B98" w:rsidRDefault="005366A8" w:rsidP="005366A8">
      <w:pPr>
        <w:rPr>
          <w:rFonts w:cs="FrankRuehl"/>
          <w:sz w:val="22"/>
          <w:szCs w:val="22"/>
          <w:rtl/>
        </w:rPr>
      </w:pPr>
      <w:r>
        <w:rPr>
          <w:rFonts w:cs="FrankRuehl" w:hint="cs"/>
          <w:sz w:val="22"/>
          <w:szCs w:val="22"/>
          <w:rtl/>
        </w:rPr>
        <w:t>29.</w:t>
      </w:r>
      <w:r>
        <w:rPr>
          <w:rFonts w:cs="FrankRuehl" w:hint="cs"/>
          <w:sz w:val="22"/>
          <w:szCs w:val="22"/>
          <w:rtl/>
        </w:rPr>
        <w:tab/>
        <w:t xml:space="preserve">[...] </w:t>
      </w:r>
      <w:r w:rsidRPr="00E52528">
        <w:rPr>
          <w:rFonts w:cs="FrankRuehl" w:hint="cs"/>
          <w:sz w:val="22"/>
          <w:szCs w:val="22"/>
          <w:highlight w:val="yellow"/>
          <w:rtl/>
        </w:rPr>
        <w:t>ארבעה הם תנאיה של פיסקת ההגבלה, וכולם צריכים להתקיים. נבחן את התנאים בענייננו אחד לאחד.</w:t>
      </w:r>
      <w:r w:rsidRPr="00181B98">
        <w:rPr>
          <w:rFonts w:cs="FrankRuehl" w:hint="cs"/>
          <w:sz w:val="22"/>
          <w:szCs w:val="22"/>
          <w:rtl/>
        </w:rPr>
        <w:t xml:space="preserve"> </w:t>
      </w:r>
      <w:r>
        <w:rPr>
          <w:rFonts w:cs="FrankRuehl" w:hint="cs"/>
          <w:sz w:val="22"/>
          <w:szCs w:val="22"/>
          <w:rtl/>
        </w:rPr>
        <w:t>[...]</w:t>
      </w:r>
    </w:p>
    <w:p w:rsidR="005366A8" w:rsidRPr="00B56CBC" w:rsidRDefault="005366A8" w:rsidP="005366A8">
      <w:pPr>
        <w:spacing w:after="120"/>
        <w:rPr>
          <w:rFonts w:ascii="Arial" w:hAnsi="Arial" w:cs="Arial"/>
          <w:sz w:val="18"/>
          <w:szCs w:val="18"/>
          <w:rtl/>
        </w:rPr>
      </w:pPr>
      <w:r>
        <w:rPr>
          <w:rFonts w:ascii="Arial" w:hAnsi="Arial" w:cs="Arial" w:hint="cs"/>
          <w:sz w:val="18"/>
          <w:szCs w:val="18"/>
          <w:rtl/>
        </w:rPr>
        <w:t>=-=</w:t>
      </w:r>
    </w:p>
    <w:p w:rsidR="005366A8" w:rsidRPr="005F2D27" w:rsidRDefault="005366A8" w:rsidP="005366A8">
      <w:pPr>
        <w:pStyle w:val="T-body"/>
        <w:spacing w:after="120" w:line="240" w:lineRule="auto"/>
        <w:rPr>
          <w:rFonts w:asciiTheme="minorBidi" w:hAnsiTheme="minorBidi" w:cstheme="minorBidi"/>
          <w:sz w:val="18"/>
          <w:szCs w:val="18"/>
          <w:highlight w:val="yellow"/>
          <w:rtl/>
        </w:rPr>
      </w:pPr>
      <w:r w:rsidRPr="005F2D27">
        <w:rPr>
          <w:rFonts w:asciiTheme="minorBidi" w:hAnsiTheme="minorBidi" w:cstheme="minorBidi"/>
          <w:sz w:val="18"/>
          <w:szCs w:val="18"/>
          <w:highlight w:val="green"/>
          <w:u w:val="single"/>
          <w:rtl/>
        </w:rPr>
        <w:t>לשיעור הבא</w:t>
      </w:r>
      <w:r w:rsidRPr="005F2D27">
        <w:rPr>
          <w:rFonts w:asciiTheme="minorBidi" w:hAnsiTheme="minorBidi" w:cstheme="minorBidi"/>
          <w:sz w:val="18"/>
          <w:szCs w:val="18"/>
          <w:highlight w:val="green"/>
          <w:rtl/>
        </w:rPr>
        <w:t xml:space="preserve"> </w:t>
      </w:r>
      <w:r w:rsidRPr="005F2D27">
        <w:rPr>
          <w:rFonts w:asciiTheme="minorBidi" w:hAnsiTheme="minorBidi" w:cstheme="minorBidi"/>
          <w:sz w:val="18"/>
          <w:szCs w:val="18"/>
          <w:highlight w:val="yellow"/>
          <w:rtl/>
        </w:rPr>
        <w:t xml:space="preserve">– </w:t>
      </w:r>
      <w:r>
        <w:rPr>
          <w:rFonts w:asciiTheme="minorBidi" w:hAnsiTheme="minorBidi" w:cstheme="minorBidi" w:hint="cs"/>
          <w:sz w:val="18"/>
          <w:szCs w:val="18"/>
          <w:highlight w:val="yellow"/>
          <w:rtl/>
        </w:rPr>
        <w:t>א.</w:t>
      </w:r>
      <w:r w:rsidRPr="005F2D27">
        <w:rPr>
          <w:rFonts w:asciiTheme="minorBidi" w:hAnsiTheme="minorBidi" w:cstheme="minorBidi"/>
          <w:sz w:val="18"/>
          <w:szCs w:val="18"/>
          <w:highlight w:val="yellow"/>
          <w:rtl/>
        </w:rPr>
        <w:t xml:space="preserve">קראו את פס"ד </w:t>
      </w:r>
      <w:r w:rsidRPr="005F2D27">
        <w:rPr>
          <w:rFonts w:asciiTheme="minorBidi" w:hAnsiTheme="minorBidi" w:cstheme="minorBidi"/>
          <w:b/>
          <w:bCs/>
          <w:sz w:val="18"/>
          <w:szCs w:val="18"/>
          <w:highlight w:val="yellow"/>
          <w:rtl/>
        </w:rPr>
        <w:t xml:space="preserve">מופז </w:t>
      </w:r>
      <w:r w:rsidRPr="005F2D27">
        <w:rPr>
          <w:rFonts w:asciiTheme="minorBidi" w:hAnsiTheme="minorBidi" w:cstheme="minorBidi"/>
          <w:sz w:val="18"/>
          <w:szCs w:val="18"/>
          <w:highlight w:val="yellow"/>
          <w:rtl/>
        </w:rPr>
        <w:t xml:space="preserve">ואת פס"ד </w:t>
      </w:r>
      <w:r w:rsidRPr="005F2D27">
        <w:rPr>
          <w:rFonts w:asciiTheme="minorBidi" w:hAnsiTheme="minorBidi" w:cstheme="minorBidi"/>
          <w:b/>
          <w:bCs/>
          <w:sz w:val="18"/>
          <w:szCs w:val="18"/>
          <w:highlight w:val="yellow"/>
          <w:rtl/>
        </w:rPr>
        <w:t>פלונית נ' בית הדין המשמעתי</w:t>
      </w:r>
      <w:r w:rsidRPr="005F2D27">
        <w:rPr>
          <w:rFonts w:asciiTheme="minorBidi" w:hAnsiTheme="minorBidi" w:cstheme="minorBidi"/>
          <w:sz w:val="18"/>
          <w:szCs w:val="18"/>
          <w:highlight w:val="yellow"/>
          <w:rtl/>
        </w:rPr>
        <w:t>, ואנא חשבו על השאלות הבאות:</w:t>
      </w:r>
    </w:p>
    <w:p w:rsidR="005366A8" w:rsidRPr="005F2D27" w:rsidRDefault="005366A8" w:rsidP="005366A8">
      <w:pPr>
        <w:ind w:left="720"/>
        <w:rPr>
          <w:rFonts w:asciiTheme="minorBidi" w:hAnsiTheme="minorBidi" w:cstheme="minorBidi"/>
          <w:sz w:val="18"/>
          <w:szCs w:val="18"/>
          <w:highlight w:val="yellow"/>
          <w:rtl/>
        </w:rPr>
      </w:pPr>
      <w:r w:rsidRPr="005F2D27">
        <w:rPr>
          <w:rFonts w:asciiTheme="minorBidi" w:hAnsiTheme="minorBidi" w:cstheme="minorBidi"/>
          <w:sz w:val="18"/>
          <w:szCs w:val="18"/>
          <w:highlight w:val="yellow"/>
          <w:rtl/>
        </w:rPr>
        <w:t>כיצד מופעלת "פסקת ההגבלה השיפוטית" על ידי השופט מצא ב</w:t>
      </w:r>
      <w:r w:rsidRPr="005F2D27">
        <w:rPr>
          <w:rFonts w:asciiTheme="minorBidi" w:hAnsiTheme="minorBidi" w:cstheme="minorBidi"/>
          <w:b/>
          <w:bCs/>
          <w:sz w:val="18"/>
          <w:szCs w:val="18"/>
          <w:highlight w:val="yellow"/>
          <w:rtl/>
        </w:rPr>
        <w:t>מופז</w:t>
      </w:r>
      <w:r w:rsidRPr="005F2D27">
        <w:rPr>
          <w:rFonts w:asciiTheme="minorBidi" w:hAnsiTheme="minorBidi" w:cstheme="minorBidi"/>
          <w:sz w:val="18"/>
          <w:szCs w:val="18"/>
          <w:highlight w:val="yellow"/>
          <w:rtl/>
        </w:rPr>
        <w:t>?</w:t>
      </w:r>
    </w:p>
    <w:p w:rsidR="005366A8" w:rsidRPr="005F2D27" w:rsidRDefault="005366A8" w:rsidP="005366A8">
      <w:pPr>
        <w:pStyle w:val="T-body"/>
        <w:spacing w:after="120" w:line="240" w:lineRule="auto"/>
        <w:ind w:left="720"/>
        <w:rPr>
          <w:rFonts w:asciiTheme="minorBidi" w:hAnsiTheme="minorBidi" w:cstheme="minorBidi"/>
          <w:sz w:val="18"/>
          <w:szCs w:val="18"/>
          <w:highlight w:val="yellow"/>
          <w:rtl/>
        </w:rPr>
      </w:pPr>
      <w:r w:rsidRPr="005F2D27">
        <w:rPr>
          <w:rFonts w:asciiTheme="minorBidi" w:hAnsiTheme="minorBidi" w:cstheme="minorBidi"/>
          <w:sz w:val="18"/>
          <w:szCs w:val="18"/>
          <w:highlight w:val="yellow"/>
          <w:rtl/>
        </w:rPr>
        <w:t>על מה מתנהל הויכוח ב</w:t>
      </w:r>
      <w:r w:rsidRPr="005F2D27">
        <w:rPr>
          <w:rFonts w:asciiTheme="minorBidi" w:hAnsiTheme="minorBidi" w:cstheme="minorBidi"/>
          <w:b/>
          <w:bCs/>
          <w:sz w:val="18"/>
          <w:szCs w:val="18"/>
          <w:highlight w:val="yellow"/>
          <w:rtl/>
        </w:rPr>
        <w:t>פלונית</w:t>
      </w:r>
      <w:r w:rsidRPr="005F2D27">
        <w:rPr>
          <w:rFonts w:asciiTheme="minorBidi" w:hAnsiTheme="minorBidi" w:cstheme="minorBidi"/>
          <w:sz w:val="18"/>
          <w:szCs w:val="18"/>
          <w:highlight w:val="yellow"/>
          <w:rtl/>
        </w:rPr>
        <w:t xml:space="preserve"> בין השופטים ברק ודורנר שם? כיצד תורם ויכוח זה לזיהוי קו הגבול העובר בין קיומו של "מתקל" לבין התמודדות עם מתקל לכאורי ב"דרך של פרשנות"?</w:t>
      </w:r>
    </w:p>
    <w:p w:rsidR="005366A8" w:rsidRDefault="005366A8" w:rsidP="005366A8">
      <w:pPr>
        <w:pStyle w:val="T-body"/>
        <w:spacing w:line="240" w:lineRule="auto"/>
        <w:rPr>
          <w:sz w:val="22"/>
          <w:szCs w:val="22"/>
          <w:rtl/>
        </w:rPr>
      </w:pPr>
      <w:r>
        <w:rPr>
          <w:rFonts w:asciiTheme="minorBidi" w:hAnsiTheme="minorBidi" w:cstheme="minorBidi" w:hint="cs"/>
          <w:sz w:val="18"/>
          <w:szCs w:val="18"/>
          <w:highlight w:val="yellow"/>
          <w:rtl/>
        </w:rPr>
        <w:t xml:space="preserve">ב. </w:t>
      </w:r>
      <w:r w:rsidRPr="005F2D27">
        <w:rPr>
          <w:rFonts w:asciiTheme="minorBidi" w:hAnsiTheme="minorBidi" w:cstheme="minorBidi" w:hint="cs"/>
          <w:sz w:val="18"/>
          <w:szCs w:val="18"/>
          <w:highlight w:val="yellow"/>
          <w:rtl/>
        </w:rPr>
        <w:t xml:space="preserve">לאור הדפים שלעיל, </w:t>
      </w:r>
      <w:r w:rsidRPr="005F2D27">
        <w:rPr>
          <w:rFonts w:asciiTheme="minorBidi" w:hAnsiTheme="minorBidi" w:cstheme="minorBidi" w:hint="cs"/>
          <w:b/>
          <w:bCs/>
          <w:sz w:val="18"/>
          <w:szCs w:val="18"/>
          <w:highlight w:val="yellow"/>
          <w:rtl/>
        </w:rPr>
        <w:t>אלו</w:t>
      </w:r>
      <w:r w:rsidRPr="005F2D27">
        <w:rPr>
          <w:rFonts w:asciiTheme="minorBidi" w:hAnsiTheme="minorBidi" w:cstheme="minorBidi"/>
          <w:b/>
          <w:bCs/>
          <w:sz w:val="18"/>
          <w:szCs w:val="18"/>
          <w:highlight w:val="yellow"/>
          <w:rtl/>
        </w:rPr>
        <w:t xml:space="preserve"> זכויות זכו למעמד חוקתי?</w:t>
      </w:r>
      <w:r w:rsidRPr="00864EF7">
        <w:rPr>
          <w:rFonts w:cs="David" w:hint="cs"/>
          <w:sz w:val="20"/>
          <w:szCs w:val="20"/>
          <w:rtl/>
        </w:rPr>
        <w:t xml:space="preserve"> </w:t>
      </w:r>
    </w:p>
    <w:p w:rsidR="005366A8" w:rsidRDefault="005366A8">
      <w:pPr>
        <w:bidi w:val="0"/>
        <w:jc w:val="left"/>
        <w:rPr>
          <w:sz w:val="22"/>
          <w:szCs w:val="22"/>
          <w:rtl/>
        </w:rPr>
      </w:pPr>
      <w:r>
        <w:rPr>
          <w:sz w:val="22"/>
          <w:szCs w:val="22"/>
          <w:rtl/>
        </w:rPr>
        <w:br w:type="page"/>
      </w:r>
    </w:p>
    <w:p w:rsidR="005366A8" w:rsidRPr="001C6701" w:rsidRDefault="005366A8" w:rsidP="005366A8">
      <w:pPr>
        <w:spacing w:after="240"/>
        <w:jc w:val="right"/>
        <w:rPr>
          <w:sz w:val="22"/>
          <w:szCs w:val="22"/>
          <w:rtl/>
        </w:rPr>
      </w:pPr>
      <w:r w:rsidRPr="007F6E4F">
        <w:rPr>
          <w:rFonts w:hint="cs"/>
          <w:b/>
          <w:bCs/>
          <w:sz w:val="22"/>
          <w:szCs w:val="22"/>
          <w:rtl/>
        </w:rPr>
        <w:t>משפט ציבורי</w:t>
      </w:r>
      <w:r>
        <w:rPr>
          <w:rFonts w:hint="cs"/>
          <w:sz w:val="22"/>
          <w:szCs w:val="22"/>
          <w:rtl/>
        </w:rPr>
        <w:t xml:space="preserve">, </w:t>
      </w:r>
      <w:r w:rsidRPr="00C4131E">
        <w:rPr>
          <w:rFonts w:hint="cs"/>
          <w:i/>
          <w:iCs/>
          <w:sz w:val="22"/>
          <w:szCs w:val="22"/>
          <w:rtl/>
        </w:rPr>
        <w:t>תשע</w:t>
      </w:r>
      <w:r>
        <w:rPr>
          <w:rFonts w:hint="cs"/>
          <w:i/>
          <w:iCs/>
          <w:sz w:val="22"/>
          <w:szCs w:val="22"/>
          <w:rtl/>
        </w:rPr>
        <w:t>"ה</w:t>
      </w:r>
      <w:r>
        <w:rPr>
          <w:rFonts w:hint="cs"/>
          <w:sz w:val="22"/>
          <w:szCs w:val="22"/>
          <w:rtl/>
        </w:rPr>
        <w:t xml:space="preserve">, </w:t>
      </w:r>
      <w:r w:rsidRPr="007F6E4F">
        <w:rPr>
          <w:rFonts w:hint="cs"/>
          <w:b/>
          <w:bCs/>
          <w:sz w:val="22"/>
          <w:szCs w:val="22"/>
          <w:rtl/>
        </w:rPr>
        <w:t>סמסטר א',</w:t>
      </w:r>
      <w:r>
        <w:rPr>
          <w:rFonts w:hint="cs"/>
          <w:sz w:val="22"/>
          <w:szCs w:val="22"/>
          <w:rtl/>
        </w:rPr>
        <w:t xml:space="preserve"> ד"ר אילן סבן, דצמבר 2014, </w:t>
      </w:r>
      <w:r w:rsidRPr="005366A8">
        <w:rPr>
          <w:rFonts w:hint="cs"/>
          <w:b/>
          <w:bCs/>
          <w:i/>
          <w:iCs/>
          <w:sz w:val="22"/>
          <w:szCs w:val="22"/>
          <w:highlight w:val="magenta"/>
          <w:u w:val="single"/>
          <w:rtl/>
        </w:rPr>
        <w:t>פגישה 13</w:t>
      </w:r>
    </w:p>
    <w:p w:rsidR="005366A8" w:rsidRPr="00A973E6" w:rsidRDefault="005366A8" w:rsidP="005366A8">
      <w:pPr>
        <w:spacing w:after="360"/>
        <w:jc w:val="center"/>
        <w:rPr>
          <w:rFonts w:cs="Guttman-Soncino"/>
          <w:b/>
          <w:bCs/>
          <w:sz w:val="28"/>
          <w:szCs w:val="28"/>
          <w:highlight w:val="yellow"/>
          <w:rtl/>
        </w:rPr>
      </w:pPr>
      <w:r w:rsidRPr="00A973E6">
        <w:rPr>
          <w:rFonts w:ascii="Arial" w:hAnsi="Arial" w:cs="Guttman-Soncino"/>
          <w:b/>
          <w:bCs/>
          <w:sz w:val="28"/>
          <w:szCs w:val="28"/>
          <w:highlight w:val="yellow"/>
          <w:rtl/>
        </w:rPr>
        <w:t>החוקה הפורמ</w:t>
      </w:r>
      <w:r w:rsidRPr="00A973E6">
        <w:rPr>
          <w:rFonts w:ascii="Arial" w:hAnsi="Arial" w:cs="Guttman-Soncino" w:hint="cs"/>
          <w:b/>
          <w:bCs/>
          <w:sz w:val="28"/>
          <w:szCs w:val="28"/>
          <w:highlight w:val="yellow"/>
          <w:rtl/>
        </w:rPr>
        <w:t>א</w:t>
      </w:r>
      <w:r w:rsidRPr="00A973E6">
        <w:rPr>
          <w:rFonts w:ascii="Arial" w:hAnsi="Arial" w:cs="Guttman-Soncino"/>
          <w:b/>
          <w:bCs/>
          <w:sz w:val="28"/>
          <w:szCs w:val="28"/>
          <w:highlight w:val="yellow"/>
          <w:rtl/>
        </w:rPr>
        <w:t xml:space="preserve">לית של ישראל </w:t>
      </w:r>
      <w:r w:rsidRPr="00A973E6">
        <w:rPr>
          <w:rFonts w:cs="Guttman-Soncino"/>
          <w:b/>
          <w:bCs/>
          <w:sz w:val="28"/>
          <w:szCs w:val="28"/>
          <w:highlight w:val="yellow"/>
          <w:rtl/>
        </w:rPr>
        <w:t>–</w:t>
      </w:r>
      <w:r w:rsidRPr="00A973E6">
        <w:rPr>
          <w:rFonts w:cs="Guttman-Soncino" w:hint="cs"/>
          <w:b/>
          <w:bCs/>
          <w:sz w:val="28"/>
          <w:szCs w:val="28"/>
          <w:highlight w:val="yellow"/>
          <w:rtl/>
        </w:rPr>
        <w:t xml:space="preserve"> המשך</w:t>
      </w:r>
    </w:p>
    <w:p w:rsidR="005366A8" w:rsidRDefault="005366A8" w:rsidP="005366A8">
      <w:pPr>
        <w:jc w:val="center"/>
        <w:rPr>
          <w:rFonts w:ascii="Arial" w:hAnsi="Arial" w:cs="Arial"/>
          <w:sz w:val="20"/>
          <w:szCs w:val="20"/>
          <w:rtl/>
        </w:rPr>
      </w:pPr>
      <w:r>
        <w:rPr>
          <w:rFonts w:cs="Guttman-Soncino" w:hint="cs"/>
          <w:sz w:val="32"/>
          <w:szCs w:val="32"/>
          <w:highlight w:val="yellow"/>
          <w:rtl/>
        </w:rPr>
        <w:t>מתקל/</w:t>
      </w:r>
      <w:r w:rsidRPr="00A973E6">
        <w:rPr>
          <w:rFonts w:cs="Guttman-Soncino"/>
          <w:sz w:val="32"/>
          <w:szCs w:val="32"/>
          <w:highlight w:val="yellow"/>
          <w:rtl/>
        </w:rPr>
        <w:t xml:space="preserve">התנגשות בין חוק לבין חוק </w:t>
      </w:r>
      <w:r w:rsidRPr="00FE611A">
        <w:rPr>
          <w:rFonts w:cs="Guttman-Soncino"/>
          <w:sz w:val="32"/>
          <w:szCs w:val="32"/>
          <w:highlight w:val="yellow"/>
          <w:rtl/>
        </w:rPr>
        <w:t>יסוד</w:t>
      </w:r>
      <w:r w:rsidRPr="00FE611A">
        <w:rPr>
          <w:rFonts w:cs="Guttman-Soncino" w:hint="cs"/>
          <w:sz w:val="32"/>
          <w:szCs w:val="32"/>
          <w:highlight w:val="yellow"/>
          <w:rtl/>
        </w:rPr>
        <w:t xml:space="preserve"> שאין בו פסקת הגבלה מפורשת</w:t>
      </w:r>
    </w:p>
    <w:p w:rsidR="005366A8" w:rsidRDefault="005366A8" w:rsidP="005366A8">
      <w:pPr>
        <w:rPr>
          <w:rFonts w:ascii="Arial" w:hAnsi="Arial" w:cs="Arial"/>
          <w:sz w:val="18"/>
          <w:szCs w:val="18"/>
          <w:rtl/>
        </w:rPr>
      </w:pPr>
    </w:p>
    <w:p w:rsidR="005366A8" w:rsidRDefault="005366A8" w:rsidP="005366A8">
      <w:pPr>
        <w:rPr>
          <w:rFonts w:ascii="Arial" w:hAnsi="Arial" w:cs="Arial"/>
          <w:sz w:val="18"/>
          <w:szCs w:val="18"/>
          <w:rtl/>
        </w:rPr>
      </w:pPr>
    </w:p>
    <w:p w:rsidR="005366A8" w:rsidRPr="00AE174B" w:rsidRDefault="005366A8" w:rsidP="005366A8">
      <w:pPr>
        <w:rPr>
          <w:sz w:val="22"/>
          <w:szCs w:val="22"/>
          <w:highlight w:val="yellow"/>
          <w:rtl/>
        </w:rPr>
      </w:pPr>
      <w:r w:rsidRPr="00412C94">
        <w:rPr>
          <w:rFonts w:hint="cs"/>
          <w:sz w:val="22"/>
          <w:szCs w:val="22"/>
          <w:highlight w:val="yellow"/>
          <w:rtl/>
        </w:rPr>
        <w:t xml:space="preserve">פס"ד </w:t>
      </w:r>
      <w:r w:rsidRPr="00412C94">
        <w:rPr>
          <w:rFonts w:hint="cs"/>
          <w:b/>
          <w:bCs/>
          <w:sz w:val="22"/>
          <w:szCs w:val="22"/>
          <w:highlight w:val="yellow"/>
          <w:rtl/>
        </w:rPr>
        <w:t>חירות</w:t>
      </w:r>
      <w:r>
        <w:rPr>
          <w:rFonts w:hint="cs"/>
          <w:sz w:val="22"/>
          <w:szCs w:val="22"/>
          <w:highlight w:val="yellow"/>
          <w:rtl/>
        </w:rPr>
        <w:t xml:space="preserve"> </w:t>
      </w:r>
      <w:r w:rsidRPr="00AE174B">
        <w:rPr>
          <w:rFonts w:hint="cs"/>
          <w:sz w:val="22"/>
          <w:szCs w:val="22"/>
          <w:rtl/>
        </w:rPr>
        <w:t>(דפי הפגישה הקודמת)</w:t>
      </w:r>
    </w:p>
    <w:p w:rsidR="005366A8" w:rsidRDefault="005366A8" w:rsidP="005366A8">
      <w:pPr>
        <w:rPr>
          <w:sz w:val="22"/>
          <w:szCs w:val="22"/>
          <w:highlight w:val="yellow"/>
          <w:rtl/>
        </w:rPr>
      </w:pPr>
    </w:p>
    <w:p w:rsidR="005366A8" w:rsidRPr="00412C94" w:rsidRDefault="005366A8" w:rsidP="005366A8">
      <w:pPr>
        <w:rPr>
          <w:sz w:val="22"/>
          <w:szCs w:val="22"/>
          <w:rtl/>
        </w:rPr>
      </w:pPr>
      <w:r w:rsidRPr="00412C94">
        <w:rPr>
          <w:rFonts w:hint="cs"/>
          <w:sz w:val="22"/>
          <w:szCs w:val="22"/>
          <w:rtl/>
        </w:rPr>
        <w:t>=-=</w:t>
      </w:r>
    </w:p>
    <w:p w:rsidR="005366A8" w:rsidRPr="00F12212" w:rsidRDefault="005366A8" w:rsidP="005366A8">
      <w:pPr>
        <w:spacing w:after="120"/>
        <w:jc w:val="center"/>
        <w:rPr>
          <w:b/>
          <w:bCs/>
          <w:rtl/>
        </w:rPr>
      </w:pPr>
      <w:r w:rsidRPr="00F12212">
        <w:rPr>
          <w:highlight w:val="yellow"/>
          <w:rtl/>
        </w:rPr>
        <w:t xml:space="preserve">ע"ב 92/03 </w:t>
      </w:r>
      <w:r w:rsidRPr="00F12212">
        <w:rPr>
          <w:b/>
          <w:bCs/>
          <w:highlight w:val="yellow"/>
          <w:rtl/>
        </w:rPr>
        <w:t>מופז נ' יושב-ראש ועדת הבחירות המרכזית לכנסת השש-עשרה</w:t>
      </w:r>
      <w:r w:rsidRPr="00F12212">
        <w:rPr>
          <w:highlight w:val="yellow"/>
          <w:rtl/>
        </w:rPr>
        <w:t>, פ"ד נז(3)</w:t>
      </w:r>
      <w:r>
        <w:rPr>
          <w:rFonts w:hint="cs"/>
          <w:highlight w:val="yellow"/>
          <w:rtl/>
        </w:rPr>
        <w:t xml:space="preserve"> </w:t>
      </w:r>
      <w:r w:rsidRPr="00924F46">
        <w:rPr>
          <w:highlight w:val="yellow"/>
          <w:rtl/>
        </w:rPr>
        <w:t xml:space="preserve">793 </w:t>
      </w:r>
      <w:r w:rsidRPr="00924F46">
        <w:rPr>
          <w:rFonts w:hint="cs"/>
          <w:highlight w:val="yellow"/>
          <w:rtl/>
        </w:rPr>
        <w:t>(2003)</w:t>
      </w:r>
    </w:p>
    <w:p w:rsidR="005366A8" w:rsidRPr="00175BA5" w:rsidRDefault="005366A8" w:rsidP="005366A8">
      <w:pPr>
        <w:pStyle w:val="ruller40"/>
        <w:spacing w:after="120" w:line="240" w:lineRule="auto"/>
        <w:rPr>
          <w:rFonts w:ascii="Times New Roman" w:hAnsi="Times New Roman" w:cs="David"/>
          <w:b/>
          <w:bCs/>
          <w:spacing w:val="0"/>
          <w:sz w:val="20"/>
          <w:szCs w:val="20"/>
          <w:rtl/>
        </w:rPr>
      </w:pPr>
      <w:r w:rsidRPr="007B7C5D">
        <w:rPr>
          <w:rFonts w:ascii="Times New Roman" w:hAnsi="Times New Roman" w:cs="David" w:hint="cs"/>
          <w:b/>
          <w:bCs/>
          <w:spacing w:val="0"/>
          <w:sz w:val="20"/>
          <w:szCs w:val="20"/>
          <w:highlight w:val="yellow"/>
          <w:rtl/>
        </w:rPr>
        <w:t>חוק יסוד</w:t>
      </w:r>
      <w:r w:rsidRPr="00175BA5">
        <w:rPr>
          <w:rFonts w:ascii="Times New Roman" w:hAnsi="Times New Roman" w:cs="David" w:hint="cs"/>
          <w:b/>
          <w:bCs/>
          <w:spacing w:val="0"/>
          <w:sz w:val="20"/>
          <w:szCs w:val="20"/>
          <w:rtl/>
        </w:rPr>
        <w:t>: הכנסת</w:t>
      </w:r>
    </w:p>
    <w:p w:rsidR="005366A8" w:rsidRPr="00175BA5" w:rsidRDefault="005366A8" w:rsidP="005366A8">
      <w:pPr>
        <w:pStyle w:val="ruller40"/>
        <w:spacing w:line="240" w:lineRule="auto"/>
        <w:ind w:left="720"/>
        <w:rPr>
          <w:rFonts w:ascii="Times New Roman" w:hAnsi="Times New Roman" w:cs="David"/>
          <w:spacing w:val="0"/>
          <w:sz w:val="20"/>
          <w:szCs w:val="20"/>
          <w:rtl/>
        </w:rPr>
      </w:pPr>
      <w:r w:rsidRPr="00175BA5">
        <w:rPr>
          <w:rFonts w:ascii="Times New Roman" w:hAnsi="Times New Roman" w:cs="David"/>
          <w:spacing w:val="0"/>
          <w:sz w:val="20"/>
          <w:szCs w:val="20"/>
          <w:rtl/>
        </w:rPr>
        <w:t>4. [שיטת הבחירות]</w:t>
      </w:r>
    </w:p>
    <w:p w:rsidR="005366A8" w:rsidRPr="00175BA5" w:rsidRDefault="005366A8" w:rsidP="005366A8">
      <w:pPr>
        <w:pStyle w:val="ruller40"/>
        <w:spacing w:after="120" w:line="240" w:lineRule="auto"/>
        <w:rPr>
          <w:rFonts w:ascii="Times New Roman" w:hAnsi="Times New Roman" w:cs="David"/>
          <w:spacing w:val="0"/>
          <w:sz w:val="20"/>
          <w:szCs w:val="20"/>
          <w:rtl/>
        </w:rPr>
      </w:pPr>
      <w:r w:rsidRPr="00175BA5">
        <w:rPr>
          <w:rFonts w:ascii="Times New Roman" w:hAnsi="Times New Roman" w:cs="David"/>
          <w:spacing w:val="0"/>
          <w:sz w:val="20"/>
          <w:szCs w:val="20"/>
          <w:rtl/>
        </w:rPr>
        <w:t xml:space="preserve">הכנסת תיבחר בבחירות כלליות, ארציות, ישירות, שוות, חשאיות ויחסיות, לפי חוק הבחירות לכנסת; אין לשנות סעיף זה, אלא ברוב של חברי הכנסת. </w:t>
      </w:r>
    </w:p>
    <w:p w:rsidR="005366A8" w:rsidRPr="00175BA5" w:rsidRDefault="005366A8" w:rsidP="005366A8">
      <w:pPr>
        <w:pStyle w:val="ruller40"/>
        <w:spacing w:line="240" w:lineRule="auto"/>
        <w:rPr>
          <w:rFonts w:ascii="Times New Roman" w:hAnsi="Times New Roman" w:cs="David"/>
          <w:spacing w:val="0"/>
          <w:sz w:val="20"/>
          <w:szCs w:val="20"/>
          <w:rtl/>
        </w:rPr>
      </w:pPr>
      <w:r w:rsidRPr="00175BA5">
        <w:rPr>
          <w:rFonts w:ascii="Times New Roman" w:hAnsi="Times New Roman" w:cs="David" w:hint="cs"/>
          <w:spacing w:val="0"/>
          <w:sz w:val="20"/>
          <w:szCs w:val="20"/>
          <w:rtl/>
        </w:rPr>
        <w:tab/>
      </w:r>
      <w:r w:rsidRPr="00175BA5">
        <w:rPr>
          <w:rFonts w:ascii="Times New Roman" w:hAnsi="Times New Roman" w:cs="David"/>
          <w:spacing w:val="0"/>
          <w:sz w:val="20"/>
          <w:szCs w:val="20"/>
          <w:rtl/>
        </w:rPr>
        <w:t xml:space="preserve">6. [הזכות להיבחר] </w:t>
      </w:r>
    </w:p>
    <w:p w:rsidR="005366A8" w:rsidRPr="00175BA5" w:rsidRDefault="005366A8" w:rsidP="005366A8">
      <w:pPr>
        <w:pStyle w:val="ruller40"/>
        <w:spacing w:after="120" w:line="240" w:lineRule="auto"/>
        <w:rPr>
          <w:rFonts w:ascii="Times New Roman" w:hAnsi="Times New Roman" w:cs="David"/>
          <w:spacing w:val="0"/>
          <w:sz w:val="20"/>
          <w:szCs w:val="20"/>
          <w:rtl/>
        </w:rPr>
      </w:pPr>
      <w:r w:rsidRPr="00175BA5">
        <w:rPr>
          <w:rFonts w:ascii="Times New Roman" w:hAnsi="Times New Roman" w:cs="David"/>
          <w:spacing w:val="0"/>
          <w:sz w:val="20"/>
          <w:szCs w:val="20"/>
          <w:rtl/>
        </w:rPr>
        <w:t>(א) כל אזרח ישראלי שביום הגשת רשימת המועמדים הכוללת את שמו הוא בן עשרים ואחת שנה ומעלה, זכאי להיבחר לכנסת, זולת אם בית משפט שלל ממנו זכות זו על פי חוק או שנידון, בפסק דין סופי, לעונש מאסר בפועל לתקופה העולה על שלושה חודשים וביום הגשת רשימת המועמדים טרם עברו שבע שנים מהיום שגמר לרצות את עונש המאסר בפועל, אלא אם כן קבע יושב ראש ועדת הבחירות המרכזית כי אין עם העבירה שבה הורשע, בנסיבות הענין, משום קלון;</w:t>
      </w:r>
      <w:r w:rsidRPr="00175BA5">
        <w:rPr>
          <w:rFonts w:ascii="Times New Roman" w:hAnsi="Times New Roman" w:cs="David" w:hint="cs"/>
          <w:spacing w:val="0"/>
          <w:sz w:val="20"/>
          <w:szCs w:val="20"/>
          <w:rtl/>
        </w:rPr>
        <w:t xml:space="preserve"> [...]</w:t>
      </w:r>
    </w:p>
    <w:p w:rsidR="005366A8" w:rsidRPr="00175BA5" w:rsidRDefault="005366A8" w:rsidP="005366A8">
      <w:pPr>
        <w:pStyle w:val="ruller40"/>
        <w:spacing w:line="240" w:lineRule="auto"/>
        <w:ind w:left="720"/>
        <w:rPr>
          <w:rFonts w:ascii="Times New Roman" w:hAnsi="Times New Roman" w:cs="David"/>
          <w:spacing w:val="0"/>
          <w:sz w:val="20"/>
          <w:szCs w:val="20"/>
          <w:rtl/>
        </w:rPr>
      </w:pPr>
      <w:r w:rsidRPr="00175BA5">
        <w:rPr>
          <w:rFonts w:ascii="Times New Roman" w:hAnsi="Times New Roman" w:cs="David"/>
          <w:spacing w:val="0"/>
          <w:sz w:val="20"/>
          <w:szCs w:val="20"/>
          <w:rtl/>
        </w:rPr>
        <w:t xml:space="preserve"> 7. </w:t>
      </w:r>
      <w:r w:rsidRPr="00175BA5">
        <w:rPr>
          <w:rFonts w:ascii="Times New Roman" w:hAnsi="Times New Roman" w:cs="David" w:hint="cs"/>
          <w:spacing w:val="0"/>
          <w:sz w:val="20"/>
          <w:szCs w:val="20"/>
          <w:rtl/>
        </w:rPr>
        <w:t>[</w:t>
      </w:r>
      <w:r w:rsidRPr="00175BA5">
        <w:rPr>
          <w:rFonts w:ascii="Times New Roman" w:hAnsi="Times New Roman" w:cs="David"/>
          <w:spacing w:val="0"/>
          <w:sz w:val="20"/>
          <w:szCs w:val="20"/>
          <w:rtl/>
        </w:rPr>
        <w:t>מי לא יהיה מועמד</w:t>
      </w:r>
      <w:r w:rsidRPr="00175BA5">
        <w:rPr>
          <w:rFonts w:ascii="Times New Roman" w:hAnsi="Times New Roman" w:cs="David" w:hint="cs"/>
          <w:spacing w:val="0"/>
          <w:sz w:val="20"/>
          <w:szCs w:val="20"/>
          <w:rtl/>
        </w:rPr>
        <w:t>]</w:t>
      </w:r>
    </w:p>
    <w:p w:rsidR="005366A8" w:rsidRPr="00175BA5" w:rsidRDefault="005366A8" w:rsidP="005366A8">
      <w:pPr>
        <w:pStyle w:val="ruller40"/>
        <w:spacing w:line="240" w:lineRule="auto"/>
        <w:rPr>
          <w:rFonts w:ascii="Times New Roman" w:hAnsi="Times New Roman" w:cs="David"/>
          <w:spacing w:val="0"/>
          <w:sz w:val="20"/>
          <w:szCs w:val="20"/>
          <w:rtl/>
        </w:rPr>
      </w:pPr>
      <w:r w:rsidRPr="00175BA5">
        <w:rPr>
          <w:rFonts w:ascii="Times New Roman" w:hAnsi="Times New Roman" w:cs="David"/>
          <w:spacing w:val="0"/>
          <w:sz w:val="20"/>
          <w:szCs w:val="20"/>
          <w:rtl/>
        </w:rPr>
        <w:t xml:space="preserve"> אלה לא יהיו מועמדים לכנסת:</w:t>
      </w:r>
    </w:p>
    <w:p w:rsidR="005366A8" w:rsidRPr="00175BA5" w:rsidRDefault="005366A8" w:rsidP="005366A8">
      <w:pPr>
        <w:pStyle w:val="ruller40"/>
        <w:spacing w:line="240" w:lineRule="auto"/>
        <w:rPr>
          <w:rFonts w:ascii="Times New Roman" w:hAnsi="Times New Roman" w:cs="David"/>
          <w:spacing w:val="0"/>
          <w:sz w:val="20"/>
          <w:szCs w:val="20"/>
          <w:rtl/>
        </w:rPr>
      </w:pPr>
      <w:r w:rsidRPr="00175BA5">
        <w:rPr>
          <w:rFonts w:ascii="Times New Roman" w:hAnsi="Times New Roman" w:cs="David"/>
          <w:spacing w:val="0"/>
          <w:sz w:val="20"/>
          <w:szCs w:val="20"/>
          <w:rtl/>
        </w:rPr>
        <w:t xml:space="preserve"> (1) נשיא המדינה;</w:t>
      </w:r>
    </w:p>
    <w:p w:rsidR="005366A8" w:rsidRPr="00175BA5" w:rsidRDefault="005366A8" w:rsidP="005366A8">
      <w:pPr>
        <w:pStyle w:val="ruller40"/>
        <w:spacing w:line="240" w:lineRule="auto"/>
        <w:rPr>
          <w:rFonts w:ascii="Times New Roman" w:hAnsi="Times New Roman" w:cs="David"/>
          <w:spacing w:val="0"/>
          <w:sz w:val="20"/>
          <w:szCs w:val="20"/>
          <w:rtl/>
        </w:rPr>
      </w:pPr>
      <w:r w:rsidRPr="00175BA5">
        <w:rPr>
          <w:rFonts w:ascii="Times New Roman" w:hAnsi="Times New Roman" w:cs="David"/>
          <w:spacing w:val="0"/>
          <w:sz w:val="20"/>
          <w:szCs w:val="20"/>
          <w:rtl/>
        </w:rPr>
        <w:t xml:space="preserve"> (2) שני הרבנים הראשיים;</w:t>
      </w:r>
    </w:p>
    <w:p w:rsidR="005366A8" w:rsidRPr="00175BA5" w:rsidRDefault="005366A8" w:rsidP="005366A8">
      <w:pPr>
        <w:pStyle w:val="ruller40"/>
        <w:spacing w:line="240" w:lineRule="auto"/>
        <w:rPr>
          <w:rFonts w:ascii="Times New Roman" w:hAnsi="Times New Roman" w:cs="David"/>
          <w:spacing w:val="0"/>
          <w:sz w:val="20"/>
          <w:szCs w:val="20"/>
          <w:rtl/>
        </w:rPr>
      </w:pPr>
      <w:r w:rsidRPr="00175BA5">
        <w:rPr>
          <w:rFonts w:ascii="Times New Roman" w:hAnsi="Times New Roman" w:cs="David"/>
          <w:spacing w:val="0"/>
          <w:sz w:val="20"/>
          <w:szCs w:val="20"/>
          <w:rtl/>
        </w:rPr>
        <w:t xml:space="preserve"> (3) שופט;</w:t>
      </w:r>
    </w:p>
    <w:p w:rsidR="005366A8" w:rsidRPr="00175BA5" w:rsidRDefault="005366A8" w:rsidP="005366A8">
      <w:pPr>
        <w:pStyle w:val="ruller40"/>
        <w:spacing w:line="240" w:lineRule="auto"/>
        <w:rPr>
          <w:rFonts w:ascii="Times New Roman" w:hAnsi="Times New Roman" w:cs="David"/>
          <w:spacing w:val="0"/>
          <w:sz w:val="20"/>
          <w:szCs w:val="20"/>
          <w:rtl/>
        </w:rPr>
      </w:pPr>
      <w:r w:rsidRPr="00175BA5">
        <w:rPr>
          <w:rFonts w:ascii="Times New Roman" w:hAnsi="Times New Roman" w:cs="David"/>
          <w:spacing w:val="0"/>
          <w:sz w:val="20"/>
          <w:szCs w:val="20"/>
          <w:rtl/>
        </w:rPr>
        <w:t xml:space="preserve"> (4) דיין של בית-דין דתי;</w:t>
      </w:r>
    </w:p>
    <w:p w:rsidR="005366A8" w:rsidRPr="00175BA5" w:rsidRDefault="005366A8" w:rsidP="005366A8">
      <w:pPr>
        <w:pStyle w:val="ruller40"/>
        <w:spacing w:line="240" w:lineRule="auto"/>
        <w:rPr>
          <w:rFonts w:ascii="Times New Roman" w:hAnsi="Times New Roman" w:cs="David"/>
          <w:spacing w:val="0"/>
          <w:sz w:val="20"/>
          <w:szCs w:val="20"/>
          <w:rtl/>
        </w:rPr>
      </w:pPr>
      <w:r w:rsidRPr="00175BA5">
        <w:rPr>
          <w:rFonts w:ascii="Times New Roman" w:hAnsi="Times New Roman" w:cs="David"/>
          <w:spacing w:val="0"/>
          <w:sz w:val="20"/>
          <w:szCs w:val="20"/>
          <w:rtl/>
        </w:rPr>
        <w:t xml:space="preserve"> (5) מבקר המדינה;</w:t>
      </w:r>
    </w:p>
    <w:p w:rsidR="005366A8" w:rsidRPr="00175BA5" w:rsidRDefault="005366A8" w:rsidP="005366A8">
      <w:pPr>
        <w:pStyle w:val="ruller40"/>
        <w:spacing w:line="240" w:lineRule="auto"/>
        <w:rPr>
          <w:rFonts w:ascii="Times New Roman" w:hAnsi="Times New Roman" w:cs="David"/>
          <w:spacing w:val="0"/>
          <w:sz w:val="20"/>
          <w:szCs w:val="20"/>
          <w:rtl/>
        </w:rPr>
      </w:pPr>
      <w:r w:rsidRPr="00175BA5">
        <w:rPr>
          <w:rFonts w:ascii="Times New Roman" w:hAnsi="Times New Roman" w:cs="David"/>
          <w:spacing w:val="0"/>
          <w:sz w:val="20"/>
          <w:szCs w:val="20"/>
          <w:rtl/>
        </w:rPr>
        <w:t xml:space="preserve"> </w:t>
      </w:r>
      <w:r w:rsidRPr="007B7C5D">
        <w:rPr>
          <w:rFonts w:ascii="Times New Roman" w:hAnsi="Times New Roman" w:cs="David"/>
          <w:spacing w:val="0"/>
          <w:sz w:val="20"/>
          <w:szCs w:val="20"/>
          <w:highlight w:val="yellow"/>
          <w:rtl/>
        </w:rPr>
        <w:t>(6) ראש המטה הכללי, צבא-הגנה לישראל;</w:t>
      </w:r>
    </w:p>
    <w:p w:rsidR="005366A8" w:rsidRPr="00175BA5" w:rsidRDefault="005366A8" w:rsidP="005366A8">
      <w:pPr>
        <w:pStyle w:val="ruller40"/>
        <w:spacing w:line="240" w:lineRule="auto"/>
        <w:rPr>
          <w:rFonts w:ascii="Times New Roman" w:hAnsi="Times New Roman" w:cs="David"/>
          <w:spacing w:val="0"/>
          <w:sz w:val="20"/>
          <w:szCs w:val="20"/>
          <w:rtl/>
        </w:rPr>
      </w:pPr>
      <w:r w:rsidRPr="00175BA5">
        <w:rPr>
          <w:rFonts w:ascii="Times New Roman" w:hAnsi="Times New Roman" w:cs="David"/>
          <w:spacing w:val="0"/>
          <w:sz w:val="20"/>
          <w:szCs w:val="20"/>
          <w:rtl/>
        </w:rPr>
        <w:t xml:space="preserve"> (7) רבנים וכהני דתות אחרות, כשהם משמשים בכהונתם בשכר;</w:t>
      </w:r>
    </w:p>
    <w:p w:rsidR="005366A8" w:rsidRPr="00311939" w:rsidRDefault="005366A8" w:rsidP="005366A8">
      <w:pPr>
        <w:pStyle w:val="ruller40"/>
        <w:spacing w:line="240" w:lineRule="auto"/>
        <w:rPr>
          <w:rFonts w:ascii="Times New Roman" w:hAnsi="Times New Roman" w:cs="David"/>
          <w:spacing w:val="0"/>
          <w:sz w:val="20"/>
          <w:szCs w:val="20"/>
          <w:rtl/>
        </w:rPr>
      </w:pPr>
      <w:r w:rsidRPr="00175BA5">
        <w:rPr>
          <w:rFonts w:ascii="Times New Roman" w:hAnsi="Times New Roman" w:cs="David"/>
          <w:spacing w:val="0"/>
          <w:sz w:val="20"/>
          <w:szCs w:val="20"/>
          <w:rtl/>
        </w:rPr>
        <w:t xml:space="preserve"> </w:t>
      </w:r>
      <w:r w:rsidRPr="007B7C5D">
        <w:rPr>
          <w:rFonts w:ascii="Times New Roman" w:hAnsi="Times New Roman" w:cs="David"/>
          <w:spacing w:val="0"/>
          <w:sz w:val="20"/>
          <w:szCs w:val="20"/>
          <w:highlight w:val="yellow"/>
          <w:rtl/>
        </w:rPr>
        <w:t>(8) עובדי-מדינה בכירים וקציני-צבא בדרגות או בתפקידים שייקבעו בחוק.</w:t>
      </w:r>
    </w:p>
    <w:p w:rsidR="005366A8" w:rsidRPr="00311939" w:rsidRDefault="005366A8" w:rsidP="005366A8">
      <w:pPr>
        <w:pStyle w:val="ruller40"/>
        <w:spacing w:line="240" w:lineRule="auto"/>
        <w:rPr>
          <w:rFonts w:ascii="Times New Roman" w:hAnsi="Times New Roman" w:cs="David"/>
          <w:spacing w:val="0"/>
          <w:sz w:val="20"/>
          <w:szCs w:val="20"/>
          <w:rtl/>
        </w:rPr>
      </w:pPr>
      <w:r w:rsidRPr="00311939">
        <w:rPr>
          <w:rFonts w:ascii="Times New Roman" w:hAnsi="Times New Roman" w:cs="David"/>
          <w:spacing w:val="0"/>
          <w:sz w:val="20"/>
          <w:szCs w:val="20"/>
          <w:rtl/>
        </w:rPr>
        <w:t xml:space="preserve"> (9) שוטרים וסוהרים בדרגות או בתפקידים שייקבעו בחוק.</w:t>
      </w:r>
    </w:p>
    <w:p w:rsidR="005366A8" w:rsidRPr="00175BA5" w:rsidRDefault="005366A8" w:rsidP="005366A8">
      <w:pPr>
        <w:pStyle w:val="ruller40"/>
        <w:spacing w:line="240" w:lineRule="auto"/>
        <w:rPr>
          <w:rFonts w:ascii="Times New Roman" w:hAnsi="Times New Roman" w:cs="David"/>
          <w:spacing w:val="0"/>
          <w:sz w:val="20"/>
          <w:szCs w:val="20"/>
          <w:rtl/>
        </w:rPr>
      </w:pPr>
      <w:r w:rsidRPr="00311939">
        <w:rPr>
          <w:rFonts w:ascii="Times New Roman" w:hAnsi="Times New Roman" w:cs="David"/>
          <w:spacing w:val="0"/>
          <w:sz w:val="20"/>
          <w:szCs w:val="20"/>
          <w:rtl/>
        </w:rPr>
        <w:t xml:space="preserve"> (10) עובדי תאגידים שהוקמו בחוק, בדרגות או בתפקידים שייקבעו בחוק.</w:t>
      </w:r>
    </w:p>
    <w:p w:rsidR="005366A8" w:rsidRPr="00175BA5" w:rsidRDefault="005366A8" w:rsidP="005366A8">
      <w:pPr>
        <w:pStyle w:val="ruller40"/>
        <w:spacing w:line="240" w:lineRule="auto"/>
        <w:rPr>
          <w:rFonts w:ascii="Times New Roman" w:hAnsi="Times New Roman" w:cs="David"/>
          <w:spacing w:val="0"/>
          <w:sz w:val="20"/>
          <w:szCs w:val="20"/>
          <w:rtl/>
        </w:rPr>
      </w:pPr>
      <w:r w:rsidRPr="00175BA5">
        <w:rPr>
          <w:rFonts w:ascii="Times New Roman" w:hAnsi="Times New Roman" w:cs="David"/>
          <w:spacing w:val="0"/>
          <w:sz w:val="20"/>
          <w:szCs w:val="20"/>
          <w:rtl/>
        </w:rPr>
        <w:t xml:space="preserve"> </w:t>
      </w:r>
      <w:r w:rsidRPr="00311939">
        <w:rPr>
          <w:rFonts w:ascii="Times New Roman" w:hAnsi="Times New Roman" w:cs="David"/>
          <w:spacing w:val="0"/>
          <w:sz w:val="20"/>
          <w:szCs w:val="20"/>
          <w:highlight w:val="yellow"/>
          <w:rtl/>
        </w:rPr>
        <w:t>זולת  אם  חדלו  לכהן  במשרה או בתפקיד כאמור לפני המועד להגשת רשימות המועמדים לכנסת, ואם נקבע בחוק מועד מוקדם מזה, לפני המועד האמור.</w:t>
      </w:r>
    </w:p>
    <w:p w:rsidR="005366A8" w:rsidRPr="00175BA5" w:rsidRDefault="005366A8" w:rsidP="005366A8">
      <w:pPr>
        <w:pStyle w:val="ruller40"/>
        <w:spacing w:line="240" w:lineRule="auto"/>
        <w:rPr>
          <w:rFonts w:ascii="Times New Roman" w:hAnsi="Times New Roman" w:cs="David"/>
          <w:spacing w:val="0"/>
          <w:sz w:val="20"/>
          <w:szCs w:val="20"/>
          <w:rtl/>
        </w:rPr>
      </w:pPr>
      <w:r w:rsidRPr="00175BA5">
        <w:rPr>
          <w:rFonts w:ascii="Times New Roman" w:hAnsi="Times New Roman" w:cs="David"/>
          <w:spacing w:val="0"/>
          <w:sz w:val="20"/>
          <w:szCs w:val="20"/>
          <w:rtl/>
        </w:rPr>
        <w:t> </w:t>
      </w:r>
    </w:p>
    <w:p w:rsidR="005366A8" w:rsidRPr="00175BA5" w:rsidRDefault="005366A8" w:rsidP="005366A8">
      <w:pPr>
        <w:pStyle w:val="ruller40"/>
        <w:spacing w:line="240" w:lineRule="auto"/>
        <w:rPr>
          <w:rFonts w:ascii="Times New Roman" w:hAnsi="Times New Roman" w:cs="David"/>
          <w:spacing w:val="0"/>
          <w:sz w:val="20"/>
          <w:szCs w:val="20"/>
          <w:rtl/>
        </w:rPr>
      </w:pPr>
      <w:r w:rsidRPr="00175BA5">
        <w:rPr>
          <w:rFonts w:ascii="Times New Roman" w:hAnsi="Times New Roman" w:cs="David"/>
          <w:spacing w:val="0"/>
          <w:sz w:val="20"/>
          <w:szCs w:val="20"/>
          <w:rtl/>
        </w:rPr>
        <w:t>  </w:t>
      </w:r>
      <w:r w:rsidRPr="007B7C5D">
        <w:rPr>
          <w:rFonts w:ascii="Times New Roman" w:hAnsi="Times New Roman" w:cs="David" w:hint="eastAsia"/>
          <w:spacing w:val="0"/>
          <w:sz w:val="20"/>
          <w:szCs w:val="20"/>
          <w:highlight w:val="yellow"/>
          <w:rtl/>
        </w:rPr>
        <w:t>חוק</w:t>
      </w:r>
      <w:r w:rsidRPr="00175BA5">
        <w:rPr>
          <w:rFonts w:ascii="Times New Roman" w:hAnsi="Times New Roman" w:cs="David"/>
          <w:spacing w:val="0"/>
          <w:sz w:val="20"/>
          <w:szCs w:val="20"/>
          <w:rtl/>
        </w:rPr>
        <w:t xml:space="preserve"> הבחירות לכנסת [נוסח משולב], תשכ"ט</w:t>
      </w:r>
      <w:r w:rsidRPr="00175BA5">
        <w:rPr>
          <w:rFonts w:ascii="Times New Roman" w:hAnsi="Times New Roman" w:cs="David"/>
          <w:spacing w:val="0"/>
          <w:sz w:val="20"/>
          <w:szCs w:val="20"/>
          <w:rtl/>
        </w:rPr>
        <w:noBreakHyphen/>
        <w:t>1969 –</w:t>
      </w:r>
      <w:r w:rsidRPr="00175BA5">
        <w:rPr>
          <w:rFonts w:ascii="Times New Roman" w:hAnsi="Times New Roman" w:cs="David" w:hint="cs"/>
          <w:spacing w:val="0"/>
          <w:sz w:val="20"/>
          <w:szCs w:val="20"/>
          <w:rtl/>
        </w:rPr>
        <w:t xml:space="preserve"> </w:t>
      </w:r>
      <w:r w:rsidRPr="00175BA5">
        <w:rPr>
          <w:rFonts w:ascii="Times New Roman" w:hAnsi="Times New Roman" w:cs="David"/>
          <w:spacing w:val="0"/>
          <w:sz w:val="20"/>
          <w:szCs w:val="20"/>
          <w:rtl/>
        </w:rPr>
        <w:t>סעיף 56(א1) קובע</w:t>
      </w:r>
      <w:r w:rsidRPr="00175BA5">
        <w:rPr>
          <w:rFonts w:ascii="Times New Roman" w:hAnsi="Times New Roman" w:cs="David" w:hint="cs"/>
          <w:spacing w:val="0"/>
          <w:sz w:val="20"/>
          <w:szCs w:val="20"/>
          <w:rtl/>
        </w:rPr>
        <w:t xml:space="preserve"> לאחר תיקונו</w:t>
      </w:r>
      <w:r w:rsidRPr="00175BA5">
        <w:rPr>
          <w:rFonts w:ascii="Times New Roman" w:hAnsi="Times New Roman" w:cs="David"/>
          <w:spacing w:val="0"/>
          <w:sz w:val="20"/>
          <w:szCs w:val="20"/>
          <w:rtl/>
        </w:rPr>
        <w:t xml:space="preserve"> </w:t>
      </w:r>
      <w:r w:rsidRPr="00175BA5">
        <w:rPr>
          <w:rFonts w:ascii="Times New Roman" w:hAnsi="Times New Roman" w:cs="David" w:hint="cs"/>
          <w:spacing w:val="0"/>
          <w:sz w:val="20"/>
          <w:szCs w:val="20"/>
          <w:rtl/>
        </w:rPr>
        <w:t>:</w:t>
      </w:r>
    </w:p>
    <w:p w:rsidR="005366A8" w:rsidRPr="00175BA5" w:rsidRDefault="005366A8" w:rsidP="005366A8">
      <w:pPr>
        <w:pStyle w:val="ruller40"/>
        <w:spacing w:line="240" w:lineRule="auto"/>
        <w:rPr>
          <w:rFonts w:ascii="Times New Roman" w:hAnsi="Times New Roman" w:cs="David"/>
          <w:spacing w:val="0"/>
          <w:sz w:val="20"/>
          <w:szCs w:val="20"/>
          <w:rtl/>
        </w:rPr>
      </w:pPr>
      <w:r w:rsidRPr="00175BA5">
        <w:rPr>
          <w:rFonts w:ascii="Times New Roman" w:hAnsi="Times New Roman" w:cs="David"/>
          <w:spacing w:val="0"/>
          <w:sz w:val="20"/>
          <w:szCs w:val="20"/>
          <w:rtl/>
        </w:rPr>
        <w:t> </w:t>
      </w:r>
    </w:p>
    <w:tbl>
      <w:tblPr>
        <w:bidiVisual/>
        <w:tblW w:w="0" w:type="auto"/>
        <w:jc w:val="right"/>
        <w:tblInd w:w="-2893" w:type="dxa"/>
        <w:tblCellMar>
          <w:left w:w="0" w:type="dxa"/>
          <w:right w:w="0" w:type="dxa"/>
        </w:tblCellMar>
        <w:tblLook w:val="0000"/>
      </w:tblPr>
      <w:tblGrid>
        <w:gridCol w:w="261"/>
        <w:gridCol w:w="9795"/>
      </w:tblGrid>
      <w:tr w:rsidR="005366A8" w:rsidRPr="00175BA5" w:rsidTr="001845AC">
        <w:trPr>
          <w:jc w:val="right"/>
        </w:trPr>
        <w:tc>
          <w:tcPr>
            <w:tcW w:w="261" w:type="dxa"/>
            <w:tcMar>
              <w:top w:w="0" w:type="dxa"/>
              <w:left w:w="108" w:type="dxa"/>
              <w:bottom w:w="0" w:type="dxa"/>
              <w:right w:w="108" w:type="dxa"/>
            </w:tcMar>
          </w:tcPr>
          <w:p w:rsidR="005366A8" w:rsidRPr="00175BA5" w:rsidRDefault="005366A8" w:rsidP="001845AC">
            <w:pPr>
              <w:pStyle w:val="40"/>
              <w:spacing w:line="240" w:lineRule="auto"/>
              <w:rPr>
                <w:rFonts w:eastAsia="Arial Unicode MS" w:cs="David"/>
                <w:b w:val="0"/>
                <w:bCs w:val="0"/>
                <w:sz w:val="20"/>
                <w:szCs w:val="20"/>
              </w:rPr>
            </w:pPr>
          </w:p>
        </w:tc>
        <w:tc>
          <w:tcPr>
            <w:tcW w:w="9795" w:type="dxa"/>
            <w:tcMar>
              <w:top w:w="0" w:type="dxa"/>
              <w:left w:w="108" w:type="dxa"/>
              <w:bottom w:w="0" w:type="dxa"/>
              <w:right w:w="108" w:type="dxa"/>
            </w:tcMar>
          </w:tcPr>
          <w:p w:rsidR="005366A8" w:rsidRPr="00175BA5" w:rsidRDefault="005366A8" w:rsidP="001845AC">
            <w:pPr>
              <w:pStyle w:val="40"/>
              <w:spacing w:line="240" w:lineRule="auto"/>
              <w:rPr>
                <w:rFonts w:cs="David"/>
                <w:b w:val="0"/>
                <w:bCs w:val="0"/>
                <w:sz w:val="20"/>
                <w:szCs w:val="20"/>
                <w:rtl/>
              </w:rPr>
            </w:pPr>
            <w:r w:rsidRPr="00175BA5">
              <w:rPr>
                <w:rFonts w:cs="David"/>
                <w:b w:val="0"/>
                <w:bCs w:val="0"/>
                <w:sz w:val="20"/>
                <w:szCs w:val="20"/>
                <w:rtl/>
              </w:rPr>
              <w:t xml:space="preserve">56. </w:t>
            </w:r>
            <w:r>
              <w:rPr>
                <w:rFonts w:cs="David" w:hint="cs"/>
                <w:b w:val="0"/>
                <w:bCs w:val="0"/>
                <w:sz w:val="20"/>
                <w:szCs w:val="20"/>
                <w:rtl/>
              </w:rPr>
              <w:t>[</w:t>
            </w:r>
            <w:r w:rsidRPr="00175BA5">
              <w:rPr>
                <w:rFonts w:cs="David"/>
                <w:b w:val="0"/>
                <w:bCs w:val="0"/>
                <w:sz w:val="20"/>
                <w:szCs w:val="20"/>
                <w:rtl/>
              </w:rPr>
              <w:t>הוראות בעניין עובדי מדינה, חיילים, שוטרים וסוהרים</w:t>
            </w:r>
            <w:r>
              <w:rPr>
                <w:rFonts w:cs="David" w:hint="cs"/>
                <w:b w:val="0"/>
                <w:bCs w:val="0"/>
                <w:sz w:val="20"/>
                <w:szCs w:val="20"/>
                <w:rtl/>
              </w:rPr>
              <w:t>]</w:t>
            </w:r>
            <w:r w:rsidRPr="00175BA5">
              <w:rPr>
                <w:rFonts w:cs="David"/>
                <w:b w:val="0"/>
                <w:bCs w:val="0"/>
                <w:sz w:val="20"/>
                <w:szCs w:val="20"/>
                <w:rtl/>
              </w:rPr>
              <w:t xml:space="preserve"> (א) </w:t>
            </w:r>
            <w:r w:rsidRPr="00175BA5">
              <w:rPr>
                <w:rFonts w:cs="David"/>
                <w:b w:val="0"/>
                <w:bCs w:val="0"/>
                <w:sz w:val="20"/>
                <w:szCs w:val="20"/>
                <w:rtl/>
              </w:rPr>
              <w:noBreakHyphen/>
              <w:t xml:space="preserve"> </w:t>
            </w:r>
            <w:r w:rsidRPr="00175BA5">
              <w:rPr>
                <w:rFonts w:cs="David"/>
                <w:b w:val="0"/>
                <w:bCs w:val="0"/>
                <w:sz w:val="20"/>
                <w:szCs w:val="20"/>
                <w:rtl/>
              </w:rPr>
              <w:noBreakHyphen/>
              <w:t xml:space="preserve"> </w:t>
            </w:r>
            <w:r w:rsidRPr="00175BA5">
              <w:rPr>
                <w:rFonts w:cs="David"/>
                <w:b w:val="0"/>
                <w:bCs w:val="0"/>
                <w:sz w:val="20"/>
                <w:szCs w:val="20"/>
                <w:rtl/>
              </w:rPr>
              <w:noBreakHyphen/>
            </w:r>
          </w:p>
          <w:p w:rsidR="005366A8" w:rsidRPr="00175BA5" w:rsidRDefault="005366A8" w:rsidP="001845AC">
            <w:pPr>
              <w:pStyle w:val="40"/>
              <w:spacing w:line="240" w:lineRule="auto"/>
              <w:ind w:left="720"/>
              <w:rPr>
                <w:rFonts w:eastAsia="Arial Unicode MS" w:cs="David"/>
                <w:b w:val="0"/>
                <w:bCs w:val="0"/>
                <w:sz w:val="20"/>
                <w:szCs w:val="20"/>
              </w:rPr>
            </w:pPr>
            <w:r w:rsidRPr="00175BA5">
              <w:rPr>
                <w:rFonts w:cs="David"/>
                <w:b w:val="0"/>
                <w:bCs w:val="0"/>
                <w:sz w:val="20"/>
                <w:szCs w:val="20"/>
                <w:rtl/>
              </w:rPr>
              <w:t xml:space="preserve"> (א1) </w:t>
            </w:r>
            <w:r w:rsidRPr="00175BA5">
              <w:rPr>
                <w:rFonts w:cs="David" w:hint="cs"/>
                <w:b w:val="0"/>
                <w:bCs w:val="0"/>
                <w:sz w:val="20"/>
                <w:szCs w:val="20"/>
                <w:rtl/>
              </w:rPr>
              <w:t>[...]</w:t>
            </w:r>
          </w:p>
        </w:tc>
      </w:tr>
      <w:tr w:rsidR="005366A8" w:rsidRPr="00175BA5" w:rsidTr="001845AC">
        <w:trPr>
          <w:jc w:val="right"/>
        </w:trPr>
        <w:tc>
          <w:tcPr>
            <w:tcW w:w="261" w:type="dxa"/>
            <w:tcMar>
              <w:top w:w="0" w:type="dxa"/>
              <w:left w:w="108" w:type="dxa"/>
              <w:bottom w:w="0" w:type="dxa"/>
              <w:right w:w="108" w:type="dxa"/>
            </w:tcMar>
          </w:tcPr>
          <w:p w:rsidR="005366A8" w:rsidRPr="00175BA5" w:rsidRDefault="005366A8" w:rsidP="001845AC">
            <w:pPr>
              <w:pStyle w:val="40"/>
              <w:spacing w:line="240" w:lineRule="auto"/>
              <w:rPr>
                <w:rFonts w:eastAsia="Arial Unicode MS" w:cs="David"/>
                <w:b w:val="0"/>
                <w:bCs w:val="0"/>
                <w:sz w:val="20"/>
                <w:szCs w:val="20"/>
              </w:rPr>
            </w:pPr>
            <w:r w:rsidRPr="00175BA5">
              <w:rPr>
                <w:rFonts w:cs="David"/>
                <w:b w:val="0"/>
                <w:bCs w:val="0"/>
                <w:sz w:val="20"/>
                <w:szCs w:val="20"/>
                <w:rtl/>
              </w:rPr>
              <w:t> </w:t>
            </w:r>
          </w:p>
        </w:tc>
        <w:tc>
          <w:tcPr>
            <w:tcW w:w="9795" w:type="dxa"/>
            <w:tcMar>
              <w:top w:w="0" w:type="dxa"/>
              <w:left w:w="108" w:type="dxa"/>
              <w:bottom w:w="0" w:type="dxa"/>
              <w:right w:w="108" w:type="dxa"/>
            </w:tcMar>
          </w:tcPr>
          <w:p w:rsidR="005366A8" w:rsidRPr="007B7C5D" w:rsidRDefault="005366A8" w:rsidP="001845AC">
            <w:pPr>
              <w:pStyle w:val="40"/>
              <w:spacing w:line="240" w:lineRule="auto"/>
              <w:rPr>
                <w:rFonts w:cs="David"/>
                <w:b w:val="0"/>
                <w:bCs w:val="0"/>
                <w:sz w:val="20"/>
                <w:szCs w:val="20"/>
                <w:highlight w:val="yellow"/>
                <w:rtl/>
              </w:rPr>
            </w:pPr>
            <w:r w:rsidRPr="007B7C5D">
              <w:rPr>
                <w:rFonts w:cs="David"/>
                <w:b w:val="0"/>
                <w:bCs w:val="0"/>
                <w:sz w:val="20"/>
                <w:szCs w:val="20"/>
                <w:highlight w:val="yellow"/>
                <w:rtl/>
              </w:rPr>
              <w:t xml:space="preserve">זולת אם חדלו להיות עובדי המדינה, קציני צבא, שוטרים או סוהרים, כאמור, לפני היום הקובע; בסעיף קטן זה, "היום הקובע" </w:t>
            </w:r>
            <w:r w:rsidRPr="007B7C5D">
              <w:rPr>
                <w:rFonts w:cs="David"/>
                <w:b w:val="0"/>
                <w:bCs w:val="0"/>
                <w:sz w:val="20"/>
                <w:szCs w:val="20"/>
                <w:highlight w:val="yellow"/>
                <w:rtl/>
              </w:rPr>
              <w:noBreakHyphen/>
              <w:t xml:space="preserve">  </w:t>
            </w:r>
          </w:p>
          <w:p w:rsidR="005366A8" w:rsidRPr="007B7C5D" w:rsidRDefault="005366A8" w:rsidP="001845AC">
            <w:pPr>
              <w:pStyle w:val="40"/>
              <w:spacing w:line="240" w:lineRule="auto"/>
              <w:ind w:left="720"/>
              <w:rPr>
                <w:rFonts w:cs="David"/>
                <w:b w:val="0"/>
                <w:bCs w:val="0"/>
                <w:sz w:val="20"/>
                <w:szCs w:val="20"/>
                <w:highlight w:val="yellow"/>
                <w:rtl/>
              </w:rPr>
            </w:pPr>
            <w:r w:rsidRPr="007B7C5D">
              <w:rPr>
                <w:rFonts w:cs="David"/>
                <w:b w:val="0"/>
                <w:bCs w:val="0"/>
                <w:sz w:val="20"/>
                <w:szCs w:val="20"/>
                <w:highlight w:val="yellow"/>
                <w:rtl/>
              </w:rPr>
              <w:t xml:space="preserve"> (1)  לענין ראש שירות הביטחון הכללי, ראש המוסד למודיעין ולתפקידים מיוחדים, קצין צבא בדרגת אלוף ומעלה, קצין משטרה בדרגת ניצב ומעלה, ונציב שירות בתי הסוהר </w:t>
            </w:r>
            <w:r w:rsidRPr="007B7C5D">
              <w:rPr>
                <w:rFonts w:cs="David"/>
                <w:b w:val="0"/>
                <w:bCs w:val="0"/>
                <w:sz w:val="20"/>
                <w:szCs w:val="20"/>
                <w:highlight w:val="yellow"/>
                <w:rtl/>
              </w:rPr>
              <w:noBreakHyphen/>
              <w:t xml:space="preserve"> שישה חודשים לפני יום הבחירות;  </w:t>
            </w:r>
          </w:p>
          <w:p w:rsidR="005366A8" w:rsidRPr="00175BA5" w:rsidRDefault="005366A8" w:rsidP="001845AC">
            <w:pPr>
              <w:pStyle w:val="40"/>
              <w:spacing w:after="120" w:line="240" w:lineRule="auto"/>
              <w:ind w:left="720"/>
              <w:rPr>
                <w:rFonts w:eastAsia="Arial Unicode MS" w:cs="David"/>
                <w:b w:val="0"/>
                <w:bCs w:val="0"/>
                <w:sz w:val="20"/>
                <w:szCs w:val="20"/>
              </w:rPr>
            </w:pPr>
            <w:r w:rsidRPr="007B7C5D">
              <w:rPr>
                <w:rFonts w:cs="David"/>
                <w:b w:val="0"/>
                <w:bCs w:val="0"/>
                <w:sz w:val="20"/>
                <w:szCs w:val="20"/>
                <w:highlight w:val="yellow"/>
                <w:rtl/>
              </w:rPr>
              <w:t xml:space="preserve"> (2) לענין עובדי המדינה, קציני צבא, שוטרים או סוהרים, שאינם מנויים בפסקה (1) </w:t>
            </w:r>
            <w:r w:rsidRPr="007B7C5D">
              <w:rPr>
                <w:rFonts w:cs="David"/>
                <w:b w:val="0"/>
                <w:bCs w:val="0"/>
                <w:sz w:val="20"/>
                <w:szCs w:val="20"/>
                <w:highlight w:val="yellow"/>
                <w:rtl/>
              </w:rPr>
              <w:noBreakHyphen/>
              <w:t xml:space="preserve"> 100 ימים לפני יום הבחירות; לענין בחירות מוקדמות שביום שבו נקבע המועד לעריכתן לפי כל דין נותרו פחות מ</w:t>
            </w:r>
            <w:r w:rsidRPr="007B7C5D">
              <w:rPr>
                <w:rFonts w:cs="David"/>
                <w:b w:val="0"/>
                <w:bCs w:val="0"/>
                <w:sz w:val="20"/>
                <w:szCs w:val="20"/>
                <w:highlight w:val="yellow"/>
                <w:rtl/>
              </w:rPr>
              <w:noBreakHyphen/>
              <w:t xml:space="preserve">110 ימים עד לעריכתן, יהיה היום הקובע </w:t>
            </w:r>
            <w:r w:rsidRPr="007B7C5D">
              <w:rPr>
                <w:rFonts w:cs="David"/>
                <w:b w:val="0"/>
                <w:bCs w:val="0"/>
                <w:sz w:val="20"/>
                <w:szCs w:val="20"/>
                <w:highlight w:val="yellow"/>
                <w:rtl/>
              </w:rPr>
              <w:noBreakHyphen/>
              <w:t xml:space="preserve"> 10 ימים מיום קביעת המועד האמור.</w:t>
            </w:r>
          </w:p>
        </w:tc>
      </w:tr>
    </w:tbl>
    <w:p w:rsidR="005366A8" w:rsidRPr="0080216E" w:rsidRDefault="005366A8" w:rsidP="005366A8">
      <w:pPr>
        <w:rPr>
          <w:rFonts w:ascii="Arial" w:hAnsi="Arial" w:cs="Arial"/>
          <w:sz w:val="20"/>
          <w:szCs w:val="20"/>
          <w:rtl/>
        </w:rPr>
      </w:pPr>
      <w:r w:rsidRPr="0080216E">
        <w:rPr>
          <w:rFonts w:ascii="Arial" w:hAnsi="Arial" w:cs="Arial"/>
          <w:sz w:val="20"/>
          <w:szCs w:val="20"/>
          <w:highlight w:val="yellow"/>
          <w:rtl/>
        </w:rPr>
        <w:t>מה היא השאלה/ מהן השאלות המשפטיות המלובנות ב</w:t>
      </w:r>
      <w:r w:rsidRPr="0080216E">
        <w:rPr>
          <w:rFonts w:ascii="Arial" w:hAnsi="Arial" w:cs="Arial"/>
          <w:b/>
          <w:bCs/>
          <w:sz w:val="20"/>
          <w:szCs w:val="20"/>
          <w:highlight w:val="yellow"/>
          <w:rtl/>
        </w:rPr>
        <w:t>מופז</w:t>
      </w:r>
      <w:r w:rsidRPr="0080216E">
        <w:rPr>
          <w:rFonts w:ascii="Arial" w:hAnsi="Arial" w:cs="Arial"/>
          <w:sz w:val="20"/>
          <w:szCs w:val="20"/>
          <w:highlight w:val="yellow"/>
          <w:rtl/>
        </w:rPr>
        <w:t>?</w:t>
      </w:r>
    </w:p>
    <w:p w:rsidR="005366A8" w:rsidRDefault="005366A8" w:rsidP="005366A8">
      <w:pPr>
        <w:rPr>
          <w:sz w:val="20"/>
          <w:szCs w:val="20"/>
          <w:rtl/>
        </w:rPr>
      </w:pPr>
    </w:p>
    <w:p w:rsidR="005366A8" w:rsidRPr="00FD4C4A" w:rsidRDefault="005366A8" w:rsidP="005366A8">
      <w:pPr>
        <w:spacing w:after="120"/>
        <w:rPr>
          <w:rFonts w:ascii="Arial" w:hAnsi="Arial" w:cs="Arial"/>
          <w:sz w:val="20"/>
          <w:szCs w:val="20"/>
          <w:rtl/>
        </w:rPr>
      </w:pPr>
      <w:r w:rsidRPr="0080216E">
        <w:rPr>
          <w:rFonts w:ascii="Arial" w:hAnsi="Arial" w:cs="Arial" w:hint="cs"/>
          <w:sz w:val="20"/>
          <w:szCs w:val="20"/>
          <w:highlight w:val="yellow"/>
          <w:rtl/>
        </w:rPr>
        <w:t xml:space="preserve">ההתפתחות בפס"ד </w:t>
      </w:r>
      <w:r w:rsidRPr="0080216E">
        <w:rPr>
          <w:rFonts w:ascii="Arial" w:hAnsi="Arial" w:cs="Arial" w:hint="cs"/>
          <w:b/>
          <w:bCs/>
          <w:sz w:val="20"/>
          <w:szCs w:val="20"/>
          <w:highlight w:val="yellow"/>
          <w:rtl/>
        </w:rPr>
        <w:t>מופז:</w:t>
      </w:r>
      <w:r w:rsidRPr="0080216E">
        <w:rPr>
          <w:rFonts w:ascii="Arial" w:hAnsi="Arial" w:cs="Arial" w:hint="cs"/>
          <w:sz w:val="20"/>
          <w:szCs w:val="20"/>
          <w:highlight w:val="yellow"/>
          <w:rtl/>
        </w:rPr>
        <w:t xml:space="preserve"> אימוץ רעיון פסקת ההגבלה השיפוטית כחלק מההכרעה השיפוטית, ויישומו</w:t>
      </w:r>
    </w:p>
    <w:p w:rsidR="005366A8" w:rsidRPr="009D0905" w:rsidRDefault="005366A8" w:rsidP="005366A8">
      <w:pPr>
        <w:rPr>
          <w:rFonts w:ascii="Arial" w:hAnsi="Arial" w:cs="FrankRuehl"/>
          <w:sz w:val="22"/>
          <w:szCs w:val="22"/>
          <w:rtl/>
        </w:rPr>
      </w:pPr>
      <w:r w:rsidRPr="00FD4C4A">
        <w:rPr>
          <w:rFonts w:ascii="Arial" w:hAnsi="Arial" w:cs="FrankRuehl" w:hint="cs"/>
          <w:rtl/>
        </w:rPr>
        <w:t>16</w:t>
      </w:r>
      <w:r w:rsidRPr="009D0905">
        <w:rPr>
          <w:rFonts w:ascii="Arial" w:hAnsi="Arial" w:cs="FrankRuehl" w:hint="cs"/>
          <w:sz w:val="22"/>
          <w:szCs w:val="22"/>
          <w:rtl/>
        </w:rPr>
        <w:t>.</w:t>
      </w:r>
      <w:r w:rsidRPr="009D0905">
        <w:rPr>
          <w:rFonts w:ascii="Arial" w:hAnsi="Arial" w:cs="FrankRuehl" w:hint="cs"/>
          <w:sz w:val="22"/>
          <w:szCs w:val="22"/>
          <w:rtl/>
        </w:rPr>
        <w:tab/>
        <w:t>[...] הכלל הוא כי שונות רלוונטית בין הגורמים המושווים עשויה להצדיק הבחנה ביניהם. הבחנה כזאת אינה סותרת את הדרישה לשוויון מהותי בין הגורמים. בכך, כידוע, טמון שורש ההבדל בין הפליה פסולה לבין הבחנה מותרת (ד"נ 10/69 בורונובסקי נ' הרבנים הראשיים לישראל [8], בעמ' 35), ובלבד שעצם ההבחנה בין הגורמים המושווים ומידתה אכן דרושות ומוצדקות, בנסיבותיו של העניין, להשגת המטרה הפרטיקולרית שלשם השגתה מיושמת ההבחנה (בג"ץ 4541/94 מילר נ' שר הביטחון [9], בעמ' 110). החלת כלל זה על פרשתנו הובילני למסקנה כי בהסדר הצינון המחמיר שחוק הבחירות החיל על שכבת הקצינים והמפקדים היותר בכירים במערכות הביטחון, אין משום פגיעה בשוויון. אך גם בהניחי שהסדר הצינון האמור פוגע בשוויון אין לדעתי יסוד לומר שפגיעתו חורגת מגדרו של חוק-יסוד: הכנסת.</w:t>
      </w:r>
    </w:p>
    <w:p w:rsidR="005366A8" w:rsidRPr="009D0905" w:rsidRDefault="005366A8" w:rsidP="005366A8">
      <w:pPr>
        <w:rPr>
          <w:rFonts w:ascii="Arial" w:hAnsi="Arial" w:cs="FrankRuehl"/>
          <w:sz w:val="22"/>
          <w:szCs w:val="22"/>
          <w:rtl/>
        </w:rPr>
      </w:pPr>
      <w:r w:rsidRPr="009D0905">
        <w:rPr>
          <w:rFonts w:ascii="Arial" w:hAnsi="Arial" w:cs="FrankRuehl" w:hint="cs"/>
          <w:sz w:val="22"/>
          <w:szCs w:val="22"/>
          <w:rtl/>
        </w:rPr>
        <w:t>17.</w:t>
      </w:r>
      <w:r w:rsidRPr="009D0905">
        <w:rPr>
          <w:rFonts w:ascii="Arial" w:hAnsi="Arial" w:cs="FrankRuehl" w:hint="cs"/>
          <w:sz w:val="22"/>
          <w:szCs w:val="22"/>
          <w:rtl/>
        </w:rPr>
        <w:tab/>
        <w:t>ניתן להעמיד זאת במבחנו המשולש של סעיף 8 לחוק</w:t>
      </w:r>
      <w:r w:rsidRPr="009D0905">
        <w:rPr>
          <w:rFonts w:ascii="Arial" w:hAnsi="Arial" w:cs="FrankRuehl" w:hint="cs"/>
          <w:sz w:val="22"/>
          <w:szCs w:val="22"/>
          <w:rtl/>
        </w:rPr>
        <w:noBreakHyphen/>
        <w:t xml:space="preserve">יסוד: כבוד האדם וחירותו </w:t>
      </w:r>
      <w:r w:rsidRPr="009D0905">
        <w:rPr>
          <w:rFonts w:ascii="Arial" w:hAnsi="Arial" w:cs="FrankRuehl" w:hint="eastAsia"/>
          <w:sz w:val="22"/>
          <w:szCs w:val="22"/>
          <w:rtl/>
        </w:rPr>
        <w:t>–</w:t>
      </w:r>
      <w:r w:rsidRPr="009D0905">
        <w:rPr>
          <w:rFonts w:ascii="Arial" w:hAnsi="Arial" w:cs="FrankRuehl" w:hint="cs"/>
          <w:sz w:val="22"/>
          <w:szCs w:val="22"/>
          <w:rtl/>
        </w:rPr>
        <w:t xml:space="preserve"> ערכי מדינת ישראל, קיומה של תכלית ראויה ומידתיות. חוק</w:t>
      </w:r>
      <w:r w:rsidRPr="009D0905">
        <w:rPr>
          <w:rFonts w:ascii="Arial" w:hAnsi="Arial" w:cs="FrankRuehl" w:hint="cs"/>
          <w:sz w:val="22"/>
          <w:szCs w:val="22"/>
          <w:rtl/>
        </w:rPr>
        <w:noBreakHyphen/>
        <w:t>יסוד: הכנסת אמנם איננו כולל פיסקת הגבלה, כדוגמת סעיף 8 הנ"ל, וכבר התעוררה השאלה אם בביקורת חקיקה שנטען לגביה שהיא סותרת את עקרון השוויון כמשמעו בחוק</w:t>
      </w:r>
      <w:r w:rsidRPr="009D0905">
        <w:rPr>
          <w:rFonts w:ascii="Arial" w:hAnsi="Arial" w:cs="FrankRuehl" w:hint="cs"/>
          <w:sz w:val="22"/>
          <w:szCs w:val="22"/>
          <w:rtl/>
        </w:rPr>
        <w:noBreakHyphen/>
        <w:t>יסוד: הכנסת, רשאי בית</w:t>
      </w:r>
      <w:r w:rsidRPr="009D0905">
        <w:rPr>
          <w:rFonts w:ascii="Arial" w:hAnsi="Arial" w:cs="FrankRuehl"/>
          <w:sz w:val="22"/>
          <w:szCs w:val="22"/>
          <w:rtl/>
        </w:rPr>
        <w:noBreakHyphen/>
      </w:r>
      <w:r w:rsidRPr="009D0905">
        <w:rPr>
          <w:rFonts w:ascii="Arial" w:hAnsi="Arial" w:cs="FrankRuehl" w:hint="cs"/>
          <w:sz w:val="22"/>
          <w:szCs w:val="22"/>
          <w:rtl/>
        </w:rPr>
        <w:t xml:space="preserve">המשפט להחיל, בדרך שיפוטית, את מבחניה המוכרים של פיסקת ההגבלה הקבועה בסעיף 8 לחוק-יסוד: כבוד האדם וחירותו (ראו בג"ץ 3434/96 הופנונג נ' יושב-ראש הכנסת [10], דברי השופט זמיר בעמ' 70-69). </w:t>
      </w:r>
      <w:r w:rsidRPr="009D0905">
        <w:rPr>
          <w:rFonts w:ascii="Arial" w:hAnsi="Arial" w:cs="FrankRuehl" w:hint="cs"/>
          <w:sz w:val="22"/>
          <w:szCs w:val="22"/>
          <w:highlight w:val="yellow"/>
          <w:rtl/>
        </w:rPr>
        <w:t>כשלעצמי, אינני רואה מניעה לעשות כן. מבחנה המשולש של פיסקת ההגבלה האמורה נתפס בהכרתנו השיפוטית ככלי ראוי לבחינת חוקתיותו של חוק. משהפך לאחד מעקרונות היסוד של שיטתנו החוקתית רשאי בית</w:t>
      </w:r>
      <w:r w:rsidRPr="009D0905">
        <w:rPr>
          <w:rFonts w:ascii="Arial" w:hAnsi="Arial" w:cs="FrankRuehl" w:hint="cs"/>
          <w:sz w:val="22"/>
          <w:szCs w:val="22"/>
          <w:highlight w:val="yellow"/>
          <w:rtl/>
        </w:rPr>
        <w:noBreakHyphen/>
        <w:t>המשפט להפעילו גם בהיעדרה של פיסקת הגבלה בחוק היסוד שלאורו נבחן החוק העומד לביקורתו.</w:t>
      </w:r>
    </w:p>
    <w:p w:rsidR="005366A8" w:rsidRPr="009D0905" w:rsidRDefault="005366A8" w:rsidP="005366A8">
      <w:pPr>
        <w:rPr>
          <w:rFonts w:ascii="Arial" w:hAnsi="Arial" w:cs="FrankRuehl"/>
          <w:sz w:val="22"/>
          <w:szCs w:val="22"/>
          <w:rtl/>
        </w:rPr>
      </w:pPr>
      <w:r w:rsidRPr="009D0905">
        <w:rPr>
          <w:rFonts w:ascii="Arial" w:hAnsi="Arial" w:cs="FrankRuehl" w:hint="cs"/>
          <w:sz w:val="22"/>
          <w:szCs w:val="22"/>
          <w:rtl/>
        </w:rPr>
        <w:t xml:space="preserve">קביעת הסדר צינון מחמיר לשכבת הקצינים והמפקדים היותר בכירים במערכות הביטחון הולמת את ערכיה הדמוקרטיים של המדינה ואינה סותרת את ערכיה היהודיים. כן עומדת היא במבחן התכלית הראויה. ככל ששמירת האופי הבלתי תלוי של מערכות השירות הציבורי </w:t>
      </w:r>
      <w:r w:rsidRPr="009D0905">
        <w:rPr>
          <w:rFonts w:ascii="Arial" w:hAnsi="Arial" w:cs="FrankRuehl" w:hint="eastAsia"/>
          <w:sz w:val="22"/>
          <w:szCs w:val="22"/>
          <w:rtl/>
        </w:rPr>
        <w:t>–</w:t>
      </w:r>
      <w:r w:rsidRPr="009D0905">
        <w:rPr>
          <w:rFonts w:ascii="Arial" w:hAnsi="Arial" w:cs="FrankRuehl" w:hint="cs"/>
          <w:sz w:val="22"/>
          <w:szCs w:val="22"/>
          <w:rtl/>
        </w:rPr>
        <w:t xml:space="preserve"> ושל כוחות הביטחון בכללן </w:t>
      </w:r>
      <w:r w:rsidRPr="009D0905">
        <w:rPr>
          <w:rFonts w:ascii="Arial" w:hAnsi="Arial" w:cs="FrankRuehl" w:hint="eastAsia"/>
          <w:sz w:val="22"/>
          <w:szCs w:val="22"/>
          <w:rtl/>
        </w:rPr>
        <w:t>–</w:t>
      </w:r>
      <w:r w:rsidRPr="009D0905">
        <w:rPr>
          <w:rFonts w:ascii="Arial" w:hAnsi="Arial" w:cs="FrankRuehl" w:hint="cs"/>
          <w:sz w:val="22"/>
          <w:szCs w:val="22"/>
          <w:rtl/>
        </w:rPr>
        <w:t xml:space="preserve"> היא חשובה, הרי שלשמירת האופי הבלתי תלוי של הפיקוד הבכיר במערכות הביטחוניות השונות נודעת חשיבות מיוחדת ומודגשת. התמודדותו בבחירות של מי אשר רק לפני חודשים מעטים לבש מדי צבא ונשא דרגת רב</w:t>
      </w:r>
      <w:r w:rsidRPr="009D0905">
        <w:rPr>
          <w:rFonts w:ascii="Arial" w:hAnsi="Arial" w:cs="FrankRuehl" w:hint="cs"/>
          <w:sz w:val="22"/>
          <w:szCs w:val="22"/>
          <w:rtl/>
        </w:rPr>
        <w:noBreakHyphen/>
        <w:t xml:space="preserve">אלוף או אלוף, או כיהן בדרגה מקבילה באחת מזרועות הביטחון האחרות, טומנת חשש שמא החלטות שקיבל זה לא כבר, במסגרת תפקידו הצבאי או הביטחוני, הושפעו מהשקפותיו הפוליטיות, שעם צירופו לרשימת מועמדים לקראת הבחירות ניתן להן פומבי. לא פחות חשובה מראית העין הכרוכה בהצגת מועמדות לחברות בכנסת של מי שהיה, זה לא כבר, בעל סמכויות רחבות באחת ממערכות הביטחון של המדינה. חיובם של קצינים ומפקדים בכירים בתקופת צינון ארוכה מזו הנדרשת מבעלי דרגות נמוכות יותר נועד למתן חששות אלה ולשככם. נמצא שחיוב זה נועד להשגתה של תכלית ראויה. קביעתה של תקופת צינון בת שישה חודשים משקפת מינון שהמחוקק העריכו כמשך הזמן הנדרש להשגת התכלית האמורה, ולטעמי, אין כל יסוד לומר כי התקופה שנקבעה חורגת ממיתחם המידתיות. נמצא שתקופת הצינון מקיימת גם את דרישת המידתיות. </w:t>
      </w:r>
    </w:p>
    <w:p w:rsidR="005366A8" w:rsidRPr="009D0905" w:rsidRDefault="005366A8" w:rsidP="005366A8">
      <w:pPr>
        <w:rPr>
          <w:rFonts w:ascii="Arial" w:hAnsi="Arial" w:cs="FrankRuehl"/>
          <w:sz w:val="22"/>
          <w:szCs w:val="22"/>
          <w:rtl/>
        </w:rPr>
      </w:pPr>
      <w:r w:rsidRPr="009D0905">
        <w:rPr>
          <w:rFonts w:ascii="Arial" w:hAnsi="Arial" w:cs="FrankRuehl" w:hint="cs"/>
          <w:sz w:val="22"/>
          <w:szCs w:val="22"/>
          <w:rtl/>
        </w:rPr>
        <w:t>אכן נכון הדבר כי לקצין בדרגתו של המערער אין עומדת זכות ברירה שווה לזו הניתנת (בסעיף 56(א1) סיפה) לקציני צבא בדרגות תת</w:t>
      </w:r>
      <w:r w:rsidRPr="009D0905">
        <w:rPr>
          <w:rFonts w:ascii="Arial" w:hAnsi="Arial" w:cs="FrankRuehl" w:hint="cs"/>
          <w:sz w:val="22"/>
          <w:szCs w:val="22"/>
          <w:rtl/>
        </w:rPr>
        <w:noBreakHyphen/>
        <w:t>אלוף ומטה ולבעלי דרגות מקבילות במערכות ביטחוניות אחרות: לפרוש משירותם עם ההכרזה על מועד עריכתן של בחירות מוקדמות ולהיות כשירים להצגת מועמדות. אלא שהשמירה על אי</w:t>
      </w:r>
      <w:r w:rsidRPr="009D0905">
        <w:rPr>
          <w:rFonts w:ascii="Arial" w:hAnsi="Arial" w:cs="FrankRuehl" w:hint="cs"/>
          <w:sz w:val="22"/>
          <w:szCs w:val="22"/>
          <w:rtl/>
        </w:rPr>
        <w:noBreakHyphen/>
        <w:t xml:space="preserve">תלותן של מערכות הביטחון מחייבת ומצדיקה להקפיד עם נושאי הדרגות הבכירות יותר, המוכרים היטב לכלל הציבור, יותר מאשר עם נושאי הדרגות הבכירות פחות, שלגבי הציבור הרחב רובם המכריע הם בבחינת אלמונים. שלילת זכות הברירה מן הקצינים והמפקדים הבכירים יותר נועדה להשגת התכלית שלשמה הותנתה כשירותם של מועמדים אלה בתקופת צינון ארוכה יותר. שלילת זכות הברירה מהם </w:t>
      </w:r>
      <w:r w:rsidRPr="009D0905">
        <w:rPr>
          <w:rFonts w:ascii="Arial" w:hAnsi="Arial" w:cs="FrankRuehl" w:hint="eastAsia"/>
          <w:sz w:val="22"/>
          <w:szCs w:val="22"/>
          <w:rtl/>
        </w:rPr>
        <w:t>–</w:t>
      </w:r>
      <w:r w:rsidRPr="009D0905">
        <w:rPr>
          <w:rFonts w:ascii="Arial" w:hAnsi="Arial" w:cs="FrankRuehl" w:hint="cs"/>
          <w:sz w:val="22"/>
          <w:szCs w:val="22"/>
          <w:rtl/>
        </w:rPr>
        <w:t xml:space="preserve"> כמו חיובם לקיים את הדרישה לתקופת צינון ארוכה יותר </w:t>
      </w:r>
      <w:r w:rsidRPr="009D0905">
        <w:rPr>
          <w:rFonts w:ascii="Arial" w:hAnsi="Arial" w:cs="FrankRuehl" w:hint="eastAsia"/>
          <w:sz w:val="22"/>
          <w:szCs w:val="22"/>
          <w:rtl/>
        </w:rPr>
        <w:t>–</w:t>
      </w:r>
      <w:r w:rsidRPr="009D0905">
        <w:rPr>
          <w:rFonts w:ascii="Arial" w:hAnsi="Arial" w:cs="FrankRuehl" w:hint="cs"/>
          <w:sz w:val="22"/>
          <w:szCs w:val="22"/>
          <w:rtl/>
        </w:rPr>
        <w:t xml:space="preserve"> היא חלק מן המגבלות המתחייבות מדרגותיהם הגבוהות ומן התפקידים הבכירים שמילאו בתקופת שירותם. </w:t>
      </w:r>
    </w:p>
    <w:p w:rsidR="005366A8" w:rsidRDefault="005366A8" w:rsidP="005366A8">
      <w:pPr>
        <w:rPr>
          <w:sz w:val="20"/>
          <w:szCs w:val="20"/>
          <w:rtl/>
        </w:rPr>
      </w:pPr>
    </w:p>
    <w:p w:rsidR="005366A8" w:rsidRDefault="005366A8" w:rsidP="005366A8">
      <w:pPr>
        <w:rPr>
          <w:sz w:val="20"/>
          <w:szCs w:val="20"/>
        </w:rPr>
      </w:pPr>
      <w:r>
        <w:rPr>
          <w:rFonts w:hint="cs"/>
          <w:sz w:val="20"/>
          <w:szCs w:val="20"/>
          <w:rtl/>
        </w:rPr>
        <w:t xml:space="preserve">[שאלה מסקרנת צדדית: </w:t>
      </w:r>
      <w:r w:rsidRPr="00377C4D">
        <w:rPr>
          <w:sz w:val="20"/>
          <w:szCs w:val="20"/>
          <w:rtl/>
        </w:rPr>
        <w:t xml:space="preserve">מדוע התעקשות </w:t>
      </w:r>
      <w:r>
        <w:rPr>
          <w:rFonts w:hint="cs"/>
          <w:sz w:val="20"/>
          <w:szCs w:val="20"/>
          <w:rtl/>
        </w:rPr>
        <w:t xml:space="preserve">הכנסת כאן על יצירת מנגנון בתוך סע' 7 לחוק יסוד הכנסת, שיאפשר קבלה של "חוק צינון"; כלומר מדוע מופיעה התעקשות </w:t>
      </w:r>
      <w:r w:rsidRPr="00377C4D">
        <w:rPr>
          <w:sz w:val="20"/>
          <w:szCs w:val="20"/>
          <w:rtl/>
        </w:rPr>
        <w:t>על תיקון חוק היסוד</w:t>
      </w:r>
      <w:r>
        <w:rPr>
          <w:rFonts w:hint="cs"/>
          <w:sz w:val="20"/>
          <w:szCs w:val="20"/>
          <w:rtl/>
        </w:rPr>
        <w:t xml:space="preserve"> (</w:t>
      </w:r>
      <w:r w:rsidRPr="00377C4D">
        <w:rPr>
          <w:sz w:val="20"/>
          <w:szCs w:val="20"/>
          <w:rtl/>
        </w:rPr>
        <w:t>"שינויו" בדרך</w:t>
      </w:r>
      <w:r>
        <w:rPr>
          <w:rFonts w:hint="cs"/>
          <w:sz w:val="20"/>
          <w:szCs w:val="20"/>
          <w:rtl/>
        </w:rPr>
        <w:t xml:space="preserve"> של תיקון לחוק יסוד)?</w:t>
      </w:r>
    </w:p>
    <w:p w:rsidR="005366A8" w:rsidRDefault="005366A8" w:rsidP="005366A8">
      <w:pPr>
        <w:rPr>
          <w:sz w:val="20"/>
          <w:szCs w:val="20"/>
          <w:rtl/>
        </w:rPr>
      </w:pPr>
      <w:r>
        <w:rPr>
          <w:rFonts w:hint="cs"/>
          <w:sz w:val="20"/>
          <w:szCs w:val="20"/>
          <w:rtl/>
        </w:rPr>
        <w:t xml:space="preserve">הרי יצירת "תקופת צינון" בין משרות ציבוריות מסוימות לבין כניסה לחיים הפוליטיים היא "פגיעה", להבדיל מ"שינוי" (שינוי הוא פגיעה רחבה/ שינוי של מימד רוחבי-כללי של הזכות החוקתית או ההוראה החוקתית) של הזכות להיבחר.  אשר על כן, </w:t>
      </w:r>
      <w:r w:rsidRPr="00602872">
        <w:rPr>
          <w:rFonts w:hint="cs"/>
          <w:b/>
          <w:bCs/>
          <w:sz w:val="20"/>
          <w:szCs w:val="20"/>
          <w:rtl/>
        </w:rPr>
        <w:t>היא לא הצריכה עקרונית תיקון של חוק היסוד</w:t>
      </w:r>
      <w:r>
        <w:rPr>
          <w:rFonts w:hint="cs"/>
          <w:sz w:val="20"/>
          <w:szCs w:val="20"/>
          <w:rtl/>
        </w:rPr>
        <w:t xml:space="preserve">.  </w:t>
      </w:r>
    </w:p>
    <w:p w:rsidR="005366A8" w:rsidRDefault="005366A8" w:rsidP="005366A8">
      <w:pPr>
        <w:spacing w:after="60"/>
        <w:rPr>
          <w:sz w:val="20"/>
          <w:szCs w:val="20"/>
          <w:rtl/>
        </w:rPr>
      </w:pPr>
      <w:r>
        <w:rPr>
          <w:rFonts w:hint="cs"/>
          <w:sz w:val="20"/>
          <w:szCs w:val="20"/>
          <w:rtl/>
        </w:rPr>
        <w:t xml:space="preserve">הסיבה שבגללה היה בכל זאת כורח בתיקון חוק היסוד, היא שסעיף 7 לחוק היסוד, בנוסחו הקודם, הכיל </w:t>
      </w:r>
      <w:r w:rsidRPr="00377C4D">
        <w:rPr>
          <w:rFonts w:hint="cs"/>
          <w:b/>
          <w:bCs/>
          <w:sz w:val="20"/>
          <w:szCs w:val="20"/>
          <w:rtl/>
        </w:rPr>
        <w:t xml:space="preserve">בתוכו </w:t>
      </w:r>
      <w:r>
        <w:rPr>
          <w:rFonts w:hint="cs"/>
          <w:sz w:val="20"/>
          <w:szCs w:val="20"/>
          <w:rtl/>
        </w:rPr>
        <w:t>התייחסות לתקופת הצינון ביחס למשרות מסוימות.  שינוי של תקופת הצינון הזו והרחבת הצינון לכל המשרות בהן עוסק סעיף 7 חייבו לפיכך תיקון בחוק יסוד, להבדיל מקבלת הדברים בחוק. כך קבע סע' 7 בטרם תיקונו:</w:t>
      </w:r>
    </w:p>
    <w:p w:rsidR="005366A8" w:rsidRPr="00B2600D" w:rsidRDefault="005366A8" w:rsidP="005366A8">
      <w:pPr>
        <w:pStyle w:val="ruller40"/>
        <w:spacing w:line="240" w:lineRule="auto"/>
        <w:ind w:left="720"/>
        <w:rPr>
          <w:rFonts w:cs="David"/>
          <w:sz w:val="20"/>
          <w:szCs w:val="20"/>
          <w:rtl/>
        </w:rPr>
      </w:pPr>
      <w:r w:rsidRPr="00B2600D">
        <w:rPr>
          <w:rFonts w:cs="David"/>
          <w:sz w:val="20"/>
          <w:szCs w:val="20"/>
          <w:rtl/>
        </w:rPr>
        <w:t>(3) שופט</w:t>
      </w:r>
      <w:r>
        <w:rPr>
          <w:rFonts w:cs="David" w:hint="cs"/>
          <w:sz w:val="20"/>
          <w:szCs w:val="20"/>
          <w:rtl/>
        </w:rPr>
        <w:t xml:space="preserve"> </w:t>
      </w:r>
      <w:r w:rsidRPr="007B7C5D">
        <w:rPr>
          <w:rFonts w:cs="David" w:hint="cs"/>
          <w:sz w:val="20"/>
          <w:szCs w:val="20"/>
          <w:highlight w:val="yellow"/>
          <w:rtl/>
        </w:rPr>
        <w:t>כל עוד הוא משמש בכהונתו</w:t>
      </w:r>
      <w:r w:rsidRPr="00B2600D">
        <w:rPr>
          <w:rFonts w:cs="David"/>
          <w:sz w:val="20"/>
          <w:szCs w:val="20"/>
          <w:rtl/>
        </w:rPr>
        <w:t>;</w:t>
      </w:r>
    </w:p>
    <w:p w:rsidR="005366A8" w:rsidRPr="00B2600D" w:rsidRDefault="005366A8" w:rsidP="005366A8">
      <w:pPr>
        <w:pStyle w:val="ruller40"/>
        <w:spacing w:line="240" w:lineRule="auto"/>
        <w:ind w:left="720"/>
        <w:rPr>
          <w:rFonts w:cs="David"/>
          <w:sz w:val="20"/>
          <w:szCs w:val="20"/>
          <w:rtl/>
        </w:rPr>
      </w:pPr>
      <w:r w:rsidRPr="00B2600D">
        <w:rPr>
          <w:rFonts w:cs="David"/>
          <w:sz w:val="20"/>
          <w:szCs w:val="20"/>
          <w:rtl/>
        </w:rPr>
        <w:t>(4) דיין של בית-דין דתי</w:t>
      </w:r>
      <w:r>
        <w:rPr>
          <w:rFonts w:cs="David" w:hint="cs"/>
          <w:sz w:val="20"/>
          <w:szCs w:val="20"/>
          <w:rtl/>
        </w:rPr>
        <w:t xml:space="preserve"> </w:t>
      </w:r>
      <w:r w:rsidRPr="007B7C5D">
        <w:rPr>
          <w:rFonts w:cs="David" w:hint="cs"/>
          <w:sz w:val="20"/>
          <w:szCs w:val="20"/>
          <w:highlight w:val="yellow"/>
          <w:rtl/>
        </w:rPr>
        <w:t>כל עוד הוא משמש כהונתו</w:t>
      </w:r>
      <w:r w:rsidRPr="00B2600D">
        <w:rPr>
          <w:rFonts w:cs="David"/>
          <w:sz w:val="20"/>
          <w:szCs w:val="20"/>
          <w:rtl/>
        </w:rPr>
        <w:t>;</w:t>
      </w:r>
      <w:r>
        <w:rPr>
          <w:rFonts w:cs="David" w:hint="cs"/>
          <w:sz w:val="20"/>
          <w:szCs w:val="20"/>
          <w:rtl/>
        </w:rPr>
        <w:t>]</w:t>
      </w:r>
    </w:p>
    <w:p w:rsidR="005366A8" w:rsidRDefault="005366A8" w:rsidP="005366A8">
      <w:pPr>
        <w:rPr>
          <w:sz w:val="22"/>
          <w:szCs w:val="22"/>
          <w:rtl/>
        </w:rPr>
      </w:pPr>
    </w:p>
    <w:p w:rsidR="005366A8" w:rsidRDefault="005366A8" w:rsidP="005366A8">
      <w:pPr>
        <w:rPr>
          <w:b/>
          <w:bCs/>
          <w:sz w:val="20"/>
          <w:szCs w:val="20"/>
          <w:rtl/>
        </w:rPr>
      </w:pPr>
      <w:r>
        <w:rPr>
          <w:rFonts w:hint="cs"/>
          <w:b/>
          <w:bCs/>
          <w:sz w:val="20"/>
          <w:szCs w:val="20"/>
          <w:rtl/>
        </w:rPr>
        <w:t>=-=</w:t>
      </w:r>
    </w:p>
    <w:p w:rsidR="005366A8" w:rsidRDefault="005366A8" w:rsidP="005366A8">
      <w:pPr>
        <w:rPr>
          <w:rFonts w:ascii="Arial" w:hAnsi="Arial" w:cs="FrankRuehl"/>
          <w:sz w:val="22"/>
          <w:szCs w:val="22"/>
          <w:rtl/>
        </w:rPr>
      </w:pPr>
    </w:p>
    <w:p w:rsidR="005366A8" w:rsidRPr="00412C94" w:rsidRDefault="005366A8" w:rsidP="005366A8">
      <w:pPr>
        <w:spacing w:after="120"/>
        <w:rPr>
          <w:b/>
          <w:bCs/>
          <w:sz w:val="22"/>
          <w:szCs w:val="22"/>
          <w:rtl/>
        </w:rPr>
      </w:pPr>
      <w:r w:rsidRPr="00412C94">
        <w:rPr>
          <w:rFonts w:hint="cs"/>
          <w:b/>
          <w:bCs/>
          <w:sz w:val="22"/>
          <w:szCs w:val="22"/>
          <w:rtl/>
        </w:rPr>
        <w:t>סוג נוסף של מתקל:</w:t>
      </w:r>
    </w:p>
    <w:p w:rsidR="005366A8" w:rsidRDefault="005366A8" w:rsidP="005366A8">
      <w:pPr>
        <w:jc w:val="center"/>
        <w:rPr>
          <w:rFonts w:cs="Guttman-Soncino"/>
          <w:sz w:val="32"/>
          <w:szCs w:val="32"/>
          <w:rtl/>
        </w:rPr>
      </w:pPr>
      <w:r>
        <w:rPr>
          <w:rFonts w:cs="Guttman-Soncino" w:hint="cs"/>
          <w:sz w:val="32"/>
          <w:szCs w:val="32"/>
          <w:highlight w:val="yellow"/>
          <w:rtl/>
        </w:rPr>
        <w:t>מתקל/</w:t>
      </w:r>
      <w:r w:rsidRPr="00A973E6">
        <w:rPr>
          <w:rFonts w:cs="Guttman-Soncino"/>
          <w:sz w:val="32"/>
          <w:szCs w:val="32"/>
          <w:highlight w:val="yellow"/>
          <w:rtl/>
        </w:rPr>
        <w:t>התנגשות בין חוק</w:t>
      </w:r>
      <w:r>
        <w:rPr>
          <w:rFonts w:cs="Guttman-Soncino" w:hint="cs"/>
          <w:sz w:val="32"/>
          <w:szCs w:val="32"/>
          <w:highlight w:val="yellow"/>
          <w:rtl/>
        </w:rPr>
        <w:t xml:space="preserve"> יסוד אחד</w:t>
      </w:r>
      <w:r w:rsidRPr="00A973E6">
        <w:rPr>
          <w:rFonts w:cs="Guttman-Soncino"/>
          <w:sz w:val="32"/>
          <w:szCs w:val="32"/>
          <w:highlight w:val="yellow"/>
          <w:rtl/>
        </w:rPr>
        <w:t xml:space="preserve"> לבין חוק </w:t>
      </w:r>
      <w:r w:rsidRPr="00596F67">
        <w:rPr>
          <w:rFonts w:cs="Guttman-Soncino"/>
          <w:sz w:val="32"/>
          <w:szCs w:val="32"/>
          <w:highlight w:val="yellow"/>
          <w:rtl/>
        </w:rPr>
        <w:t>יסוד</w:t>
      </w:r>
      <w:r w:rsidRPr="00596F67">
        <w:rPr>
          <w:rFonts w:cs="Guttman-Soncino" w:hint="cs"/>
          <w:sz w:val="32"/>
          <w:szCs w:val="32"/>
          <w:highlight w:val="yellow"/>
          <w:rtl/>
        </w:rPr>
        <w:t xml:space="preserve"> אחר/</w:t>
      </w:r>
      <w:r>
        <w:rPr>
          <w:rFonts w:cs="Guttman-Soncino" w:hint="cs"/>
          <w:sz w:val="32"/>
          <w:szCs w:val="32"/>
          <w:rtl/>
        </w:rPr>
        <w:t xml:space="preserve"> </w:t>
      </w:r>
    </w:p>
    <w:p w:rsidR="005366A8" w:rsidRPr="00AB6463" w:rsidRDefault="005366A8" w:rsidP="005366A8">
      <w:pPr>
        <w:spacing w:after="240"/>
        <w:jc w:val="center"/>
        <w:rPr>
          <w:b/>
          <w:bCs/>
          <w:sz w:val="20"/>
          <w:szCs w:val="20"/>
          <w:rtl/>
        </w:rPr>
      </w:pPr>
      <w:r>
        <w:rPr>
          <w:rFonts w:cs="Guttman-Soncino" w:hint="cs"/>
          <w:sz w:val="32"/>
          <w:szCs w:val="32"/>
          <w:rtl/>
        </w:rPr>
        <w:t>בין הוראה חוקתית אחת להוראה חוקתית אחרת</w:t>
      </w:r>
    </w:p>
    <w:p w:rsidR="005366A8" w:rsidRPr="005A4564" w:rsidRDefault="005366A8" w:rsidP="005366A8">
      <w:pPr>
        <w:spacing w:after="120"/>
        <w:rPr>
          <w:rFonts w:ascii="Arial" w:hAnsi="Arial" w:cs="Arial"/>
          <w:b/>
          <w:bCs/>
          <w:u w:val="single"/>
          <w:rtl/>
        </w:rPr>
      </w:pPr>
      <w:r w:rsidRPr="004B11D6">
        <w:rPr>
          <w:rFonts w:ascii="Arial" w:hAnsi="Arial" w:cs="Arial" w:hint="cs"/>
          <w:b/>
          <w:bCs/>
          <w:highlight w:val="yellow"/>
          <w:u w:val="single"/>
          <w:rtl/>
        </w:rPr>
        <w:t>דוגמא ל</w:t>
      </w:r>
      <w:r w:rsidRPr="004B11D6">
        <w:rPr>
          <w:rFonts w:ascii="Arial" w:hAnsi="Arial" w:cs="Arial"/>
          <w:b/>
          <w:bCs/>
          <w:highlight w:val="yellow"/>
          <w:u w:val="single"/>
          <w:rtl/>
        </w:rPr>
        <w:t xml:space="preserve">מתקל </w:t>
      </w:r>
      <w:r w:rsidRPr="004B11D6">
        <w:rPr>
          <w:rFonts w:ascii="Arial" w:hAnsi="Arial" w:cs="Arial" w:hint="cs"/>
          <w:b/>
          <w:bCs/>
          <w:highlight w:val="yellow"/>
          <w:u w:val="single"/>
          <w:rtl/>
        </w:rPr>
        <w:t xml:space="preserve">שהוא </w:t>
      </w:r>
      <w:r w:rsidRPr="004B11D6">
        <w:rPr>
          <w:rFonts w:ascii="Arial" w:hAnsi="Arial" w:cs="Arial" w:hint="cs"/>
          <w:b/>
          <w:bCs/>
          <w:i/>
          <w:iCs/>
          <w:highlight w:val="yellow"/>
          <w:u w:val="single"/>
          <w:rtl/>
        </w:rPr>
        <w:t>לכאורי בלבד</w:t>
      </w:r>
      <w:r w:rsidRPr="004B11D6">
        <w:rPr>
          <w:rFonts w:ascii="Arial" w:hAnsi="Arial" w:cs="Arial" w:hint="cs"/>
          <w:b/>
          <w:bCs/>
          <w:highlight w:val="yellow"/>
          <w:u w:val="single"/>
          <w:rtl/>
        </w:rPr>
        <w:t xml:space="preserve"> </w:t>
      </w:r>
      <w:r w:rsidRPr="004B11D6">
        <w:rPr>
          <w:rFonts w:ascii="Arial" w:hAnsi="Arial" w:cs="Arial"/>
          <w:b/>
          <w:bCs/>
          <w:highlight w:val="yellow"/>
          <w:u w:val="single"/>
          <w:rtl/>
        </w:rPr>
        <w:t>–</w:t>
      </w:r>
      <w:r w:rsidRPr="004B11D6">
        <w:rPr>
          <w:rFonts w:ascii="Arial" w:hAnsi="Arial" w:cs="Arial" w:hint="cs"/>
          <w:b/>
          <w:bCs/>
          <w:highlight w:val="yellow"/>
          <w:u w:val="single"/>
          <w:rtl/>
        </w:rPr>
        <w:t xml:space="preserve"> כוחה של פרשנות</w:t>
      </w:r>
      <w:r>
        <w:rPr>
          <w:rFonts w:ascii="Arial" w:hAnsi="Arial" w:cs="Arial" w:hint="cs"/>
          <w:b/>
          <w:bCs/>
          <w:u w:val="single"/>
          <w:rtl/>
        </w:rPr>
        <w:t xml:space="preserve"> </w:t>
      </w:r>
    </w:p>
    <w:p w:rsidR="005366A8" w:rsidRPr="000D3881" w:rsidRDefault="005366A8" w:rsidP="005366A8">
      <w:pPr>
        <w:jc w:val="center"/>
        <w:rPr>
          <w:sz w:val="22"/>
          <w:szCs w:val="22"/>
          <w:rtl/>
        </w:rPr>
      </w:pPr>
      <w:r w:rsidRPr="000D3881">
        <w:rPr>
          <w:b/>
          <w:sz w:val="22"/>
          <w:szCs w:val="22"/>
          <w:highlight w:val="yellow"/>
          <w:rtl/>
        </w:rPr>
        <w:t>בג"ץ  1435/03</w:t>
      </w:r>
      <w:r w:rsidRPr="000D3881">
        <w:rPr>
          <w:sz w:val="22"/>
          <w:szCs w:val="22"/>
          <w:highlight w:val="yellow"/>
          <w:rtl/>
        </w:rPr>
        <w:t xml:space="preserve"> </w:t>
      </w:r>
      <w:r w:rsidRPr="000D3881">
        <w:rPr>
          <w:b/>
          <w:bCs/>
          <w:sz w:val="22"/>
          <w:szCs w:val="22"/>
          <w:highlight w:val="yellow"/>
          <w:rtl/>
        </w:rPr>
        <w:t>פלונית נ' בית הדין למשמעת של עובדי המדינה בחיפה</w:t>
      </w:r>
      <w:r w:rsidRPr="000D3881">
        <w:rPr>
          <w:sz w:val="22"/>
          <w:szCs w:val="22"/>
          <w:highlight w:val="yellow"/>
          <w:rtl/>
        </w:rPr>
        <w:t>, פ"ד נח(1) 529</w:t>
      </w:r>
      <w:r w:rsidRPr="000D3881">
        <w:rPr>
          <w:sz w:val="22"/>
          <w:szCs w:val="22"/>
          <w:rtl/>
        </w:rPr>
        <w:t xml:space="preserve"> (2003) [הדגשות הוספו, השמטת אסמכתאות]</w:t>
      </w:r>
    </w:p>
    <w:p w:rsidR="005366A8" w:rsidRPr="00E674FF" w:rsidRDefault="005366A8" w:rsidP="005366A8">
      <w:pPr>
        <w:jc w:val="center"/>
        <w:rPr>
          <w:rFonts w:ascii="Arial" w:hAnsi="Arial" w:cs="Arial"/>
          <w:sz w:val="20"/>
          <w:szCs w:val="20"/>
        </w:rPr>
      </w:pPr>
    </w:p>
    <w:p w:rsidR="005366A8" w:rsidRDefault="005366A8" w:rsidP="005366A8">
      <w:pPr>
        <w:spacing w:after="60"/>
        <w:rPr>
          <w:sz w:val="20"/>
          <w:szCs w:val="20"/>
          <w:rtl/>
        </w:rPr>
      </w:pPr>
      <w:r w:rsidRPr="00C63AF9">
        <w:rPr>
          <w:rFonts w:hint="cs"/>
          <w:sz w:val="20"/>
          <w:szCs w:val="20"/>
          <w:rtl/>
        </w:rPr>
        <w:t>מתלוננת הגישה תלונה לנציבות שירות המדינה כנגד עובד מדינה בגין הטרדה מינית, ביצוע מעשים מגונים ואינוס. בית הדין למשמעת של עובדי המדינה החליט כי הדיון המשמעתי יתקיים בדלתיים סגורות, וכי החלטה זו חלה גם על המתלוננת</w:t>
      </w:r>
      <w:r>
        <w:rPr>
          <w:rFonts w:hint="cs"/>
          <w:sz w:val="20"/>
          <w:szCs w:val="20"/>
          <w:rtl/>
        </w:rPr>
        <w:t xml:space="preserve"> (נוכחותה בדיון)</w:t>
      </w:r>
      <w:r w:rsidRPr="00C63AF9">
        <w:rPr>
          <w:rFonts w:hint="cs"/>
          <w:sz w:val="20"/>
          <w:szCs w:val="20"/>
          <w:rtl/>
        </w:rPr>
        <w:t>. האם החלטה זו היא כדין?</w:t>
      </w:r>
    </w:p>
    <w:p w:rsidR="005366A8" w:rsidRPr="00C63AF9" w:rsidRDefault="005366A8" w:rsidP="005366A8">
      <w:pPr>
        <w:spacing w:after="60"/>
        <w:rPr>
          <w:sz w:val="20"/>
          <w:szCs w:val="20"/>
          <w:rtl/>
        </w:rPr>
      </w:pPr>
      <w:r>
        <w:rPr>
          <w:rFonts w:hint="cs"/>
          <w:sz w:val="20"/>
          <w:szCs w:val="20"/>
          <w:rtl/>
        </w:rPr>
        <w:t>פלונית (המתלוננת) מדגישה את פומביות הדיון ואת זכותה כנפגעת עבירה; הנאשם, המשיב השני כאן, טוען (בין היתר) להגנתה של הפרטיות.</w:t>
      </w:r>
    </w:p>
    <w:p w:rsidR="005366A8" w:rsidRPr="002B0D1B" w:rsidRDefault="005366A8" w:rsidP="005366A8">
      <w:pPr>
        <w:rPr>
          <w:rFonts w:cs="David"/>
          <w:b/>
          <w:bCs/>
          <w:sz w:val="20"/>
          <w:szCs w:val="20"/>
          <w:rtl/>
        </w:rPr>
      </w:pPr>
      <w:r w:rsidRPr="002B0D1B">
        <w:rPr>
          <w:rFonts w:cs="David" w:hint="cs"/>
          <w:b/>
          <w:bCs/>
          <w:sz w:val="20"/>
          <w:szCs w:val="20"/>
          <w:rtl/>
        </w:rPr>
        <w:t xml:space="preserve">חוק-יסוד: השפיטה: </w:t>
      </w:r>
    </w:p>
    <w:p w:rsidR="005366A8" w:rsidRPr="002B0D1B" w:rsidRDefault="005366A8" w:rsidP="005366A8">
      <w:pPr>
        <w:spacing w:after="120"/>
        <w:ind w:left="720"/>
        <w:rPr>
          <w:rFonts w:cs="David"/>
          <w:sz w:val="20"/>
          <w:szCs w:val="20"/>
          <w:rtl/>
        </w:rPr>
      </w:pPr>
      <w:r w:rsidRPr="002B0D1B">
        <w:rPr>
          <w:rFonts w:cs="David" w:hint="cs"/>
          <w:sz w:val="20"/>
          <w:szCs w:val="20"/>
          <w:rtl/>
        </w:rPr>
        <w:t>3. "בית משפט ידון בפומבי, זולת אם נקבע אחרת בחוק או אם בית המשפט הורה אחרת לפי חוק".</w:t>
      </w:r>
    </w:p>
    <w:p w:rsidR="005366A8" w:rsidRPr="002B0D1B" w:rsidRDefault="005366A8" w:rsidP="005366A8">
      <w:pPr>
        <w:rPr>
          <w:rFonts w:cs="David"/>
          <w:b/>
          <w:bCs/>
          <w:sz w:val="20"/>
          <w:szCs w:val="20"/>
          <w:rtl/>
        </w:rPr>
      </w:pPr>
      <w:r w:rsidRPr="002B0D1B">
        <w:rPr>
          <w:rFonts w:cs="David" w:hint="cs"/>
          <w:b/>
          <w:bCs/>
          <w:sz w:val="20"/>
          <w:szCs w:val="20"/>
          <w:rtl/>
        </w:rPr>
        <w:t xml:space="preserve">חוק-יסוד: כבוד האדם וחירותו: </w:t>
      </w:r>
    </w:p>
    <w:p w:rsidR="005366A8" w:rsidRPr="002B0D1B" w:rsidRDefault="005366A8" w:rsidP="005366A8">
      <w:pPr>
        <w:ind w:left="720"/>
        <w:rPr>
          <w:rFonts w:cs="David"/>
          <w:sz w:val="20"/>
          <w:szCs w:val="20"/>
          <w:rtl/>
        </w:rPr>
      </w:pPr>
      <w:r w:rsidRPr="002B0D1B">
        <w:rPr>
          <w:rFonts w:cs="David" w:hint="cs"/>
          <w:sz w:val="20"/>
          <w:szCs w:val="20"/>
          <w:rtl/>
        </w:rPr>
        <w:t>7. (א) "כל אדם זכאי לפרטיות ולצנעת חייו"; [...]</w:t>
      </w:r>
    </w:p>
    <w:p w:rsidR="005366A8" w:rsidRPr="002B0D1B" w:rsidRDefault="005366A8" w:rsidP="005366A8">
      <w:pPr>
        <w:spacing w:after="120"/>
        <w:ind w:left="720"/>
        <w:rPr>
          <w:rFonts w:cs="David"/>
          <w:sz w:val="20"/>
          <w:szCs w:val="20"/>
          <w:rtl/>
        </w:rPr>
      </w:pPr>
      <w:r w:rsidRPr="002B0D1B">
        <w:rPr>
          <w:rFonts w:cs="David" w:hint="cs"/>
          <w:sz w:val="20"/>
          <w:szCs w:val="20"/>
          <w:rtl/>
        </w:rPr>
        <w:t>[8. "</w:t>
      </w:r>
      <w:r w:rsidRPr="002B0D1B">
        <w:rPr>
          <w:rFonts w:cs="David"/>
          <w:sz w:val="20"/>
          <w:szCs w:val="20"/>
          <w:rtl/>
        </w:rPr>
        <w:t>אין פוגעים בזכויות שלפי חוק-יסוד זה אלא בחוק ההולם את ערכיה של מדינת ישראל, שנועד לתכלית ראויה, ובמידה שאינה עולה על הנדרש או לפי חוק כאמור מכוח הסמכה מפורשת בו</w:t>
      </w:r>
      <w:r w:rsidRPr="002B0D1B">
        <w:rPr>
          <w:rFonts w:cs="David" w:hint="cs"/>
          <w:sz w:val="20"/>
          <w:szCs w:val="20"/>
          <w:rtl/>
        </w:rPr>
        <w:t>"</w:t>
      </w:r>
      <w:r w:rsidRPr="002B0D1B">
        <w:rPr>
          <w:rFonts w:cs="David"/>
          <w:sz w:val="20"/>
          <w:szCs w:val="20"/>
          <w:rtl/>
        </w:rPr>
        <w:t>.</w:t>
      </w:r>
      <w:r w:rsidRPr="002B0D1B">
        <w:rPr>
          <w:rFonts w:cs="David" w:hint="cs"/>
          <w:sz w:val="20"/>
          <w:szCs w:val="20"/>
          <w:rtl/>
        </w:rPr>
        <w:t>]</w:t>
      </w:r>
    </w:p>
    <w:p w:rsidR="005366A8" w:rsidRPr="002B0D1B" w:rsidRDefault="005366A8" w:rsidP="005366A8">
      <w:pPr>
        <w:pStyle w:val="a0"/>
        <w:spacing w:line="240" w:lineRule="auto"/>
        <w:rPr>
          <w:rFonts w:cs="David"/>
          <w:b/>
          <w:bCs/>
          <w:rtl/>
        </w:rPr>
      </w:pPr>
      <w:r w:rsidRPr="002B0D1B">
        <w:rPr>
          <w:rFonts w:cs="David"/>
          <w:b/>
          <w:bCs/>
          <w:rtl/>
        </w:rPr>
        <w:t xml:space="preserve">חוק שירות המדינה (משמעת), תשכ"ג-1963  </w:t>
      </w:r>
    </w:p>
    <w:p w:rsidR="005366A8" w:rsidRPr="002B0D1B" w:rsidRDefault="005366A8" w:rsidP="005366A8">
      <w:pPr>
        <w:pStyle w:val="a0"/>
        <w:spacing w:line="240" w:lineRule="auto"/>
        <w:rPr>
          <w:rFonts w:cs="David"/>
          <w:rtl/>
        </w:rPr>
      </w:pPr>
      <w:r w:rsidRPr="002B0D1B">
        <w:rPr>
          <w:rFonts w:cs="David"/>
          <w:rtl/>
        </w:rPr>
        <w:t xml:space="preserve">41. </w:t>
      </w:r>
      <w:r w:rsidRPr="002B0D1B">
        <w:rPr>
          <w:rFonts w:cs="David" w:hint="cs"/>
          <w:rtl/>
        </w:rPr>
        <w:t>[</w:t>
      </w:r>
      <w:r w:rsidRPr="002B0D1B">
        <w:rPr>
          <w:rFonts w:cs="David"/>
          <w:rtl/>
        </w:rPr>
        <w:t>פומביות הדיון</w:t>
      </w:r>
      <w:r w:rsidRPr="002B0D1B">
        <w:rPr>
          <w:rFonts w:cs="David" w:hint="cs"/>
          <w:rtl/>
        </w:rPr>
        <w:t>]</w:t>
      </w:r>
      <w:r w:rsidRPr="002B0D1B">
        <w:rPr>
          <w:rFonts w:cs="David"/>
          <w:rtl/>
        </w:rPr>
        <w:t xml:space="preserve"> </w:t>
      </w:r>
    </w:p>
    <w:p w:rsidR="005366A8" w:rsidRPr="002B0D1B" w:rsidRDefault="005366A8" w:rsidP="005366A8">
      <w:pPr>
        <w:pStyle w:val="a0"/>
        <w:spacing w:line="240" w:lineRule="auto"/>
        <w:ind w:left="720"/>
        <w:rPr>
          <w:rFonts w:cs="David"/>
          <w:rtl/>
        </w:rPr>
      </w:pPr>
      <w:r w:rsidRPr="002B0D1B">
        <w:rPr>
          <w:rFonts w:cs="David"/>
          <w:rtl/>
        </w:rPr>
        <w:t xml:space="preserve">(א) בית הדין ידון בפומבי. </w:t>
      </w:r>
    </w:p>
    <w:p w:rsidR="005366A8" w:rsidRPr="002B0D1B" w:rsidRDefault="005366A8" w:rsidP="005366A8">
      <w:pPr>
        <w:pStyle w:val="a0"/>
        <w:spacing w:line="240" w:lineRule="auto"/>
        <w:ind w:left="720"/>
        <w:rPr>
          <w:rFonts w:cs="David"/>
          <w:rtl/>
        </w:rPr>
      </w:pPr>
      <w:r w:rsidRPr="002B0D1B">
        <w:rPr>
          <w:rFonts w:cs="David"/>
          <w:rtl/>
        </w:rPr>
        <w:t xml:space="preserve">(ב) בכל שלב משלבי הדיון רשאי בית הדין להחליט, מנימוקים שיירשמו בהחלטתו, על עריכת הדיון, כולו או חלק ממנו, בדלתיים סגורות, אם לדעתו הדבר דרוש לשם שמירה על בטחון המדינה או יחסי החוץ שלה, או לשם הגנה על המוסר, על שלומו של קטין או על פעולתו התקינה של שירות המדינה. </w:t>
      </w:r>
    </w:p>
    <w:p w:rsidR="005366A8" w:rsidRPr="002B0D1B" w:rsidRDefault="005366A8" w:rsidP="005366A8">
      <w:pPr>
        <w:pStyle w:val="a0"/>
        <w:spacing w:after="120" w:line="240" w:lineRule="auto"/>
        <w:ind w:left="720"/>
        <w:rPr>
          <w:rFonts w:cs="David"/>
          <w:rtl/>
        </w:rPr>
      </w:pPr>
      <w:r w:rsidRPr="002B0D1B">
        <w:rPr>
          <w:rFonts w:cs="David"/>
          <w:rtl/>
        </w:rPr>
        <w:t>(ג) החליט בית הדין על עריכת דיון בדלתיים סגורות, רשאי הוא להרשות לאדם או לסוגי בני אדם להיות נוכחים בשעת הדיון, כולו או מקצתו.</w:t>
      </w:r>
    </w:p>
    <w:p w:rsidR="005366A8" w:rsidRPr="000D3881" w:rsidRDefault="005366A8" w:rsidP="005366A8">
      <w:pPr>
        <w:rPr>
          <w:rStyle w:val="1005"/>
          <w:rFonts w:cs="David"/>
          <w:b/>
          <w:bCs/>
          <w:rtl/>
        </w:rPr>
      </w:pPr>
      <w:r w:rsidRPr="000D3881">
        <w:rPr>
          <w:rStyle w:val="1005"/>
          <w:rFonts w:cs="David" w:hint="cs"/>
          <w:b/>
          <w:bCs/>
          <w:rtl/>
        </w:rPr>
        <w:t xml:space="preserve">חוק זכויות נפגעי עבירה, </w:t>
      </w:r>
      <w:r w:rsidRPr="000D3881">
        <w:rPr>
          <w:rFonts w:ascii="Arial TUR" w:hAnsi="Arial TUR" w:cs="David" w:hint="cs"/>
          <w:b/>
          <w:bCs/>
          <w:spacing w:val="10"/>
          <w:sz w:val="20"/>
          <w:szCs w:val="20"/>
          <w:rtl/>
        </w:rPr>
        <w:t>התשס"א</w:t>
      </w:r>
      <w:r>
        <w:rPr>
          <w:rFonts w:ascii="Arial TUR" w:hAnsi="Arial TUR" w:cs="David" w:hint="cs"/>
          <w:b/>
          <w:bCs/>
          <w:spacing w:val="10"/>
          <w:sz w:val="20"/>
          <w:szCs w:val="20"/>
          <w:rtl/>
        </w:rPr>
        <w:t xml:space="preserve">-2001 </w:t>
      </w:r>
    </w:p>
    <w:p w:rsidR="005366A8" w:rsidRPr="002B0D1B" w:rsidRDefault="005366A8" w:rsidP="005366A8">
      <w:pPr>
        <w:overflowPunct w:val="0"/>
        <w:autoSpaceDE w:val="0"/>
        <w:autoSpaceDN w:val="0"/>
        <w:adjustRightInd w:val="0"/>
        <w:rPr>
          <w:rStyle w:val="1005"/>
          <w:rFonts w:cs="David"/>
          <w:rtl/>
        </w:rPr>
      </w:pPr>
      <w:r w:rsidRPr="002B0D1B">
        <w:rPr>
          <w:rStyle w:val="1005"/>
          <w:rFonts w:cs="David" w:hint="cs"/>
          <w:rtl/>
        </w:rPr>
        <w:t>15. "</w:t>
      </w:r>
      <w:r w:rsidRPr="002B0D1B">
        <w:rPr>
          <w:rFonts w:cs="David" w:hint="cs"/>
          <w:sz w:val="20"/>
          <w:szCs w:val="20"/>
          <w:rtl/>
        </w:rPr>
        <w:t>[</w:t>
      </w:r>
      <w:r w:rsidRPr="002B0D1B">
        <w:rPr>
          <w:rFonts w:cs="David"/>
          <w:sz w:val="20"/>
          <w:szCs w:val="20"/>
          <w:rtl/>
        </w:rPr>
        <w:t>זכות לנוכחות בדיון הנערך בדלתיים סגורות</w:t>
      </w:r>
      <w:r w:rsidRPr="002B0D1B">
        <w:rPr>
          <w:rFonts w:cs="David" w:hint="cs"/>
          <w:sz w:val="20"/>
          <w:szCs w:val="20"/>
          <w:rtl/>
        </w:rPr>
        <w:t>]</w:t>
      </w:r>
    </w:p>
    <w:p w:rsidR="005366A8" w:rsidRPr="002B0D1B" w:rsidRDefault="005366A8" w:rsidP="005366A8">
      <w:pPr>
        <w:ind w:left="720"/>
        <w:rPr>
          <w:rFonts w:cs="David"/>
          <w:spacing w:val="10"/>
          <w:sz w:val="20"/>
          <w:szCs w:val="20"/>
          <w:rtl/>
        </w:rPr>
      </w:pPr>
      <w:r w:rsidRPr="002B0D1B">
        <w:rPr>
          <w:rFonts w:cs="David"/>
          <w:spacing w:val="10"/>
          <w:sz w:val="20"/>
          <w:szCs w:val="20"/>
          <w:rtl/>
        </w:rPr>
        <w:t>(א) ... נפגע עבירה זכאי להיות נוכח בדיון בבית המשפט בענין העבירה שממנה נפגע, הנערך בדלתיים סגורות לפי סעיף 68 לחוק בתי המשפט [נוסח משולב], התשמ"ד–1984, וכן זכאי הוא שאדם המלווה אותו, לפי בחירתו, יהיה נוכח עמו בדיון כאמור.</w:t>
      </w:r>
    </w:p>
    <w:p w:rsidR="005366A8" w:rsidRPr="00EC0F15" w:rsidRDefault="005366A8" w:rsidP="005366A8">
      <w:pPr>
        <w:spacing w:after="120"/>
        <w:ind w:left="720"/>
        <w:rPr>
          <w:spacing w:val="10"/>
          <w:sz w:val="20"/>
          <w:szCs w:val="20"/>
          <w:rtl/>
        </w:rPr>
      </w:pPr>
      <w:r w:rsidRPr="002B0D1B">
        <w:rPr>
          <w:rFonts w:cs="David"/>
          <w:spacing w:val="10"/>
          <w:sz w:val="20"/>
          <w:szCs w:val="20"/>
          <w:rtl/>
        </w:rPr>
        <w:t>(ב) על אף הוראות סעיף קטן (א) רשאי בית המשפט, מטעמים מיוחדים שיירשמו, שלא לאפשר את נוכחותו של נפגע העבירה או של האדם המלווה אותו בדיון בבית המשפט."</w:t>
      </w:r>
    </w:p>
    <w:p w:rsidR="005366A8" w:rsidRPr="00876F01" w:rsidRDefault="005366A8" w:rsidP="005366A8">
      <w:pPr>
        <w:pStyle w:val="a0"/>
        <w:spacing w:after="80" w:line="240" w:lineRule="auto"/>
        <w:rPr>
          <w:rFonts w:cs="Times New Roman"/>
          <w:b/>
          <w:bCs/>
          <w:rtl/>
        </w:rPr>
      </w:pPr>
      <w:r w:rsidRPr="00876F01">
        <w:rPr>
          <w:rFonts w:cs="Times New Roman"/>
          <w:b/>
          <w:bCs/>
          <w:rtl/>
        </w:rPr>
        <w:t>השופטת דורנר</w:t>
      </w:r>
    </w:p>
    <w:p w:rsidR="005366A8" w:rsidRPr="006D7019" w:rsidRDefault="005366A8" w:rsidP="005366A8">
      <w:pPr>
        <w:pStyle w:val="a0"/>
        <w:spacing w:after="80" w:line="240" w:lineRule="auto"/>
        <w:rPr>
          <w:rFonts w:cs="Times New Roman"/>
          <w:rtl/>
        </w:rPr>
      </w:pPr>
      <w:r w:rsidRPr="00521948">
        <w:rPr>
          <w:rFonts w:ascii="Arial" w:hAnsi="Arial" w:cs="Arial"/>
          <w:rtl/>
        </w:rPr>
        <w:t>[הכרעה]</w:t>
      </w:r>
      <w:r>
        <w:rPr>
          <w:rFonts w:cs="Times New Roman" w:hint="cs"/>
          <w:rtl/>
        </w:rPr>
        <w:t xml:space="preserve"> </w:t>
      </w:r>
      <w:r w:rsidRPr="006D7019">
        <w:rPr>
          <w:rFonts w:cs="Times New Roman"/>
          <w:rtl/>
        </w:rPr>
        <w:t xml:space="preserve">אמנם, בענייננו לא חל סעיף 3 לחוק-יסוד: השפיטה, הקובע כי "בית משפט ידון בפומבי, זולת אם נקבע אחרת בחוק או אם בית המשפט הורה אחרת לפי חוק", שכן בית-הדין למשמעת של עובדי המדינה אינו "בית משפט" כמשמעותו בחוק-יסוד: השפיטה. עם זאת עקרון פומביות הדיון הוא עקרון יסוד במשפטנו, כמו במשפטה של כל מדינה דמוקרטית, והוא חל גם על הליכי שפיטה שאינם מוסדרים על-ידי סעיף 3 לחוק-יסוד: השפיטה. תחולתו של עיקרון זה על בתי-הדין למשמעת של עובדי המדינה נובעת גם מהוראת סעיף 41(א) לחוק שירות המדינה (משמעת) כי "בית-הדין ידון בפומבי". הפומביות אינה עיקרון מוחלט, וניתן לאזנה כנגד שיקולים המתנגשים בה, לרבות השיקולים הקבועים בסעיף 41(ב) לחוק, תוך מתן משקל הולם לזכות לפרטיות הקבועה בסעיף 7(א) לחוק-יסוד: כבוד האדם וחירותו הגם שעל החוק חלה </w:t>
      </w:r>
      <w:r>
        <w:rPr>
          <w:rFonts w:cs="Times New Roman" w:hint="cs"/>
          <w:rtl/>
        </w:rPr>
        <w:t xml:space="preserve">[פיסקת] </w:t>
      </w:r>
      <w:r w:rsidRPr="006D7019">
        <w:rPr>
          <w:rFonts w:cs="Times New Roman"/>
          <w:rtl/>
        </w:rPr>
        <w:t>שמירת הדינים. השוו בש"פ 537/95 גנימאת נ' מדינת ישראל. במקרה שלפנינו, כמוסבר בפסק-דינו של חברי</w:t>
      </w:r>
      <w:r>
        <w:rPr>
          <w:rFonts w:cs="Times New Roman" w:hint="cs"/>
          <w:rtl/>
        </w:rPr>
        <w:t xml:space="preserve"> [הנשיא ברק]</w:t>
      </w:r>
      <w:r w:rsidRPr="006D7019">
        <w:rPr>
          <w:rFonts w:cs="Times New Roman"/>
          <w:rtl/>
        </w:rPr>
        <w:t xml:space="preserve">, נגדה החלטתו של בית-הדין את עצם רעיון הפומביות, ולכן אין לקבלה. </w:t>
      </w:r>
    </w:p>
    <w:p w:rsidR="005366A8" w:rsidRDefault="005366A8" w:rsidP="005366A8">
      <w:pPr>
        <w:pStyle w:val="a0"/>
        <w:spacing w:after="80" w:line="240" w:lineRule="auto"/>
        <w:rPr>
          <w:rFonts w:cs="Times New Roman"/>
          <w:rtl/>
        </w:rPr>
      </w:pPr>
      <w:r w:rsidRPr="00521948">
        <w:rPr>
          <w:rFonts w:ascii="Arial" w:hAnsi="Arial" w:cs="Arial"/>
          <w:rtl/>
        </w:rPr>
        <w:t>[קו הנמקה אלטרנטיבי]</w:t>
      </w:r>
      <w:r>
        <w:rPr>
          <w:rFonts w:cs="Times New Roman" w:hint="cs"/>
          <w:rtl/>
        </w:rPr>
        <w:t xml:space="preserve"> </w:t>
      </w:r>
      <w:r w:rsidRPr="006D7019">
        <w:rPr>
          <w:rFonts w:cs="Times New Roman"/>
          <w:rtl/>
        </w:rPr>
        <w:t xml:space="preserve">לתוצאה דומה, אך מנימוקים שונים, הייתי מגיעה גם אילו היה ההליך מתנהל בבית-משפט. </w:t>
      </w:r>
      <w:r w:rsidRPr="00785710">
        <w:rPr>
          <w:rFonts w:cs="Times New Roman" w:hint="cs"/>
          <w:rtl/>
        </w:rPr>
        <w:t xml:space="preserve">זכות לפרטיות היא, כאמור, זכות חוקתית, המעוגנת בסעיף 7(א) לחוק-יסוד: כבוד האדם וחירותו, הקובע כי "כל אדם זכאי לפרטיות ולצנעת חייו". אך גם עקרון פומביות הדיון בבתי-משפט קבוע, כפי שצוין, בחוק-יסוד – סעיף 3 לחוק-יסוד: השפיטה. מעמדן הנורמטיבי של שתי הוראות שווה איפוא. אך בעוד שחוק-יסוד: השפיטה מסדיר את הסוגיה של פומביות הדיון בלבד – הפוגעת תמיד בפרטיות – ומהווה נורמה מיוחדת לעניין זה, הרי שחוק-יסוד: כבוד האדם וחירותו עוסק בפרטיות במלוא היקפה </w:t>
      </w:r>
      <w:r w:rsidRPr="0038590C">
        <w:rPr>
          <w:rFonts w:cs="Times New Roman" w:hint="cs"/>
          <w:highlight w:val="yellow"/>
          <w:rtl/>
        </w:rPr>
        <w:t>והוא, על-כן, נורמה כללית, הנסוגה מפני הנורמה המיוחדת</w:t>
      </w:r>
      <w:r w:rsidRPr="00785710">
        <w:rPr>
          <w:rFonts w:cs="Times New Roman" w:hint="cs"/>
          <w:rtl/>
        </w:rPr>
        <w:t xml:space="preserve"> (</w:t>
      </w:r>
      <w:r w:rsidRPr="00785710">
        <w:rPr>
          <w:rFonts w:cs="Times New Roman"/>
        </w:rPr>
        <w:t>Lex specialis derogat generali</w:t>
      </w:r>
      <w:r w:rsidRPr="00785710">
        <w:rPr>
          <w:rFonts w:cs="Times New Roman" w:hint="cs"/>
          <w:rtl/>
        </w:rPr>
        <w:t>)</w:t>
      </w:r>
      <w:r>
        <w:rPr>
          <w:rFonts w:cs="Times New Roman" w:hint="cs"/>
          <w:rtl/>
        </w:rPr>
        <w:t>. ..</w:t>
      </w:r>
      <w:r w:rsidRPr="00785710">
        <w:rPr>
          <w:rFonts w:cs="Times New Roman" w:hint="cs"/>
          <w:rtl/>
        </w:rPr>
        <w:t xml:space="preserve">. </w:t>
      </w:r>
      <w:r w:rsidRPr="004E2356">
        <w:rPr>
          <w:rFonts w:cs="Times New Roman"/>
          <w:rtl/>
        </w:rPr>
        <w:t xml:space="preserve"> </w:t>
      </w:r>
      <w:r w:rsidRPr="0038590C">
        <w:rPr>
          <w:rFonts w:cs="Times New Roman"/>
          <w:rtl/>
        </w:rPr>
        <w:t>על-כן בהיעדר חוק הגורע מפומביות הדיון או המאפשר לבית-משפט לדון שלא בפומבי - כאמור בסעיף 3 לחוק-יסוד: השפיטה - תהיה פומביות הדיון בבית-משפט מלאה.</w:t>
      </w:r>
      <w:r>
        <w:rPr>
          <w:rFonts w:cs="Times New Roman" w:hint="cs"/>
          <w:rtl/>
        </w:rPr>
        <w:t xml:space="preserve">  ... </w:t>
      </w:r>
      <w:r w:rsidRPr="00063FF3">
        <w:rPr>
          <w:rFonts w:cs="Times New Roman"/>
          <w:highlight w:val="yellow"/>
          <w:rtl/>
        </w:rPr>
        <w:t>בענייננו לא הסמיך החוק את בית-הדין לפגוע בפומביות הדיון מטעמים של פרטיות הנאשם, ולכן גם אילו היה מדובר בבית-משפט החלטתו לא הייתה עומדת</w:t>
      </w:r>
      <w:r w:rsidRPr="0038590C">
        <w:rPr>
          <w:rFonts w:cs="Times New Roman"/>
          <w:rtl/>
        </w:rPr>
        <w:t>.</w:t>
      </w:r>
    </w:p>
    <w:p w:rsidR="005366A8" w:rsidRPr="00876F01" w:rsidRDefault="005366A8" w:rsidP="005366A8">
      <w:pPr>
        <w:pStyle w:val="a0"/>
        <w:spacing w:after="80" w:line="240" w:lineRule="auto"/>
        <w:rPr>
          <w:rFonts w:cs="Times New Roman"/>
          <w:b/>
          <w:bCs/>
          <w:rtl/>
        </w:rPr>
      </w:pPr>
      <w:r w:rsidRPr="00876F01">
        <w:rPr>
          <w:rFonts w:cs="Times New Roman" w:hint="cs"/>
          <w:b/>
          <w:bCs/>
          <w:rtl/>
        </w:rPr>
        <w:t>הנשיא ברק</w:t>
      </w:r>
      <w:r>
        <w:rPr>
          <w:rFonts w:cs="Times New Roman" w:hint="cs"/>
          <w:b/>
          <w:bCs/>
          <w:rtl/>
        </w:rPr>
        <w:t xml:space="preserve"> (אליו מצטרף השופט טירקל) </w:t>
      </w:r>
      <w:r w:rsidRPr="005E3D7D">
        <w:rPr>
          <w:rFonts w:cs="Times New Roman" w:hint="cs"/>
          <w:rtl/>
        </w:rPr>
        <w:t>[תוך השמטת אסמכתאות]</w:t>
      </w:r>
    </w:p>
    <w:p w:rsidR="005366A8" w:rsidRDefault="005366A8" w:rsidP="005366A8">
      <w:pPr>
        <w:pStyle w:val="a0"/>
        <w:spacing w:line="240" w:lineRule="auto"/>
        <w:rPr>
          <w:rFonts w:cs="Times New Roman"/>
          <w:rtl/>
        </w:rPr>
      </w:pPr>
      <w:r>
        <w:rPr>
          <w:rFonts w:cs="Times New Roman" w:hint="cs"/>
          <w:rtl/>
        </w:rPr>
        <w:t xml:space="preserve">[...] </w:t>
      </w:r>
      <w:r w:rsidRPr="005E3D7D">
        <w:rPr>
          <w:rFonts w:cs="Times New Roman"/>
          <w:rtl/>
        </w:rPr>
        <w:t xml:space="preserve">להוראות סעיף 15 לחוק </w:t>
      </w:r>
      <w:r>
        <w:rPr>
          <w:rFonts w:cs="Times New Roman" w:hint="cs"/>
          <w:rtl/>
        </w:rPr>
        <w:t xml:space="preserve">[זכויות נפגעי עבירה] </w:t>
      </w:r>
      <w:r w:rsidRPr="005E3D7D">
        <w:rPr>
          <w:rFonts w:cs="Times New Roman"/>
          <w:rtl/>
        </w:rPr>
        <w:t>אין תחולה ישירה על ענייננו, משום שהחוק עוסק בדיון בבית-משפט פלילי, ואילו אנו עוסקים בהליך משמעתי, ואין הרי הליך משמעתי כהרי הליך פלילי. עם זאת ישנם מקרים שבהם הדין הפלילי מקרין על הדין המשמעתי ומשליך על שיקול-הדעת שמפעילים בתי-הדין המשמעתיים. באותם מקרים יש לפרש את הדין המשמעתי בהרמוניה עם הדין הפלילי אם התכלית העומדת ביסוד החקיקה היא מאותו עניין. זהו הדין בענייננו. העותרת טוענת כי היא נפגעה מהטרדה מינית, מעשים מגונים ואינוס. כולם מעשים היכולים להוות עבירה פלילית. תלונתה הוליכה לפתיחת הליך משמעתי כנגד המשיב. הרצון להבטיח את "...[</w:t>
      </w:r>
      <w:r>
        <w:rPr>
          <w:rFonts w:cs="Times New Roman" w:hint="cs"/>
          <w:rtl/>
        </w:rPr>
        <w:t xml:space="preserve"> </w:t>
      </w:r>
      <w:r w:rsidRPr="005E3D7D">
        <w:rPr>
          <w:rFonts w:cs="Times New Roman"/>
          <w:rtl/>
        </w:rPr>
        <w:t>]שיתוף פעולה של קרבנות עבירה עם רשויות אכיפת החוק, שיתוף המותנה בהבנה ובהתיחסות לבעיות הקרבנות..." הוא שעמד בבסיס חקיקת חוק זכויות נפגעי עבירה. רצון זה יפה ודאי גם להליך המשמעתי. לפיכך על בית-הדין לייחס לו חשיבות רבה בבואו למנוע מנפגע עבירה להיות נוכח בדיונים של הנאשם.</w:t>
      </w:r>
    </w:p>
    <w:p w:rsidR="005366A8" w:rsidRDefault="005366A8" w:rsidP="005366A8">
      <w:pPr>
        <w:pStyle w:val="a0"/>
        <w:spacing w:after="120" w:line="240" w:lineRule="auto"/>
        <w:rPr>
          <w:rFonts w:cs="Times New Roman"/>
          <w:rtl/>
        </w:rPr>
      </w:pPr>
      <w:r>
        <w:rPr>
          <w:rFonts w:cs="Times New Roman" w:hint="cs"/>
          <w:rtl/>
        </w:rPr>
        <w:t>...</w:t>
      </w:r>
      <w:r w:rsidRPr="005E3D7D">
        <w:rPr>
          <w:rFonts w:cs="Times New Roman"/>
          <w:rtl/>
        </w:rPr>
        <w:t xml:space="preserve">לאור האמור לעיל החלטה זו של בית-הדין אינה יכולה לעמוד. היא נוגדת את עצם רעיון הפומביות. אם פגיעה בפרטיות הנאשם תאפשר סגירת דלתות בית-המשפט, מה יישאר מעקרון הפומביות? אם ההשפעה על משפט אפשרי אחר תאפשר סגירת הדלתות, מה נותר מעקרון הפומביות? </w:t>
      </w:r>
      <w:r w:rsidRPr="00BC166F">
        <w:rPr>
          <w:rFonts w:cs="Times New Roman"/>
          <w:highlight w:val="yellow"/>
          <w:rtl/>
        </w:rPr>
        <w:t>אכן, בהליכים פומביים תמיד עלולה להיפגע פרטיותו של הנאשם. מניעת נוכחתם של העותרת ושל האדם המלווה אותה בשל שיקול זה באופן שקבע בית-הדין, תעקר את החשיבות שמייחסת שיטת המשפט לנוכחותו של המתלונן בהליכים פרי תלונתו. הוא הדין לעניין היתרונות הדיוניים שיכולה להשיג המתלוננת. אכן, לנוכחותה של המתלוננת יכול שיהיה מחיר מבחינתו של המשיב, אך זהו המחיר הטמון בעקרון פומביות הדיון ובהבטחת זכותה של המתלוננת להיות נוכחת בהליכים המתנהלים כנגד מושא התלונה</w:t>
      </w:r>
      <w:r w:rsidRPr="005E3D7D">
        <w:rPr>
          <w:rFonts w:cs="Times New Roman"/>
          <w:rtl/>
        </w:rPr>
        <w:t>. משכך, נשמט הבסיס להחלטת בית-הדין שלפיה העותרת והמלווה אותה מנועים מלהיות נוכחים בדיונים באופן עקרוני, ודינה להתבטל.</w:t>
      </w:r>
      <w:r>
        <w:rPr>
          <w:rFonts w:cs="Times New Roman" w:hint="cs"/>
          <w:rtl/>
        </w:rPr>
        <w:t xml:space="preserve"> </w:t>
      </w:r>
      <w:r w:rsidRPr="00BC166F">
        <w:rPr>
          <w:rFonts w:cs="Times New Roman"/>
          <w:rtl/>
        </w:rPr>
        <w:t xml:space="preserve">אין בכך כדי למנוע מבית-הדין לסגור הדלתיים גם בפני העותרת והמלווה אותה מטעמים מיוחדים בישיבה כזו או אחרת (השוו סעיף 15(ב) לחוק זכויות נפגעי עבירה). </w:t>
      </w:r>
    </w:p>
    <w:p w:rsidR="005366A8" w:rsidRDefault="005366A8" w:rsidP="005366A8">
      <w:pPr>
        <w:pStyle w:val="a0"/>
        <w:spacing w:after="120" w:line="240" w:lineRule="auto"/>
        <w:rPr>
          <w:rFonts w:cs="Times New Roman"/>
          <w:rtl/>
        </w:rPr>
      </w:pPr>
      <w:r w:rsidRPr="00521948">
        <w:rPr>
          <w:rFonts w:ascii="Arial" w:hAnsi="Arial" w:cs="Arial"/>
          <w:rtl/>
        </w:rPr>
        <w:t>[</w:t>
      </w:r>
      <w:r>
        <w:rPr>
          <w:rFonts w:ascii="Arial" w:hAnsi="Arial" w:cs="Arial" w:hint="cs"/>
          <w:rtl/>
        </w:rPr>
        <w:t>הויכוח ביחס ל</w:t>
      </w:r>
      <w:r w:rsidRPr="00521948">
        <w:rPr>
          <w:rFonts w:ascii="Arial" w:hAnsi="Arial" w:cs="Arial"/>
          <w:rtl/>
        </w:rPr>
        <w:t xml:space="preserve">קו </w:t>
      </w:r>
      <w:r>
        <w:rPr>
          <w:rFonts w:ascii="Arial" w:hAnsi="Arial" w:cs="Arial" w:hint="cs"/>
          <w:rtl/>
        </w:rPr>
        <w:t>ה</w:t>
      </w:r>
      <w:r w:rsidRPr="00521948">
        <w:rPr>
          <w:rFonts w:ascii="Arial" w:hAnsi="Arial" w:cs="Arial"/>
          <w:rtl/>
        </w:rPr>
        <w:t xml:space="preserve">הנמקה </w:t>
      </w:r>
      <w:r>
        <w:rPr>
          <w:rFonts w:ascii="Arial" w:hAnsi="Arial" w:cs="Arial" w:hint="cs"/>
          <w:rtl/>
        </w:rPr>
        <w:t>ה</w:t>
      </w:r>
      <w:r w:rsidRPr="00521948">
        <w:rPr>
          <w:rFonts w:ascii="Arial" w:hAnsi="Arial" w:cs="Arial"/>
          <w:rtl/>
        </w:rPr>
        <w:t>אלטרנטיבי]</w:t>
      </w:r>
      <w:r>
        <w:rPr>
          <w:rFonts w:cs="Times New Roman" w:hint="cs"/>
          <w:rtl/>
        </w:rPr>
        <w:t xml:space="preserve"> </w:t>
      </w:r>
      <w:r w:rsidRPr="005E3D7D">
        <w:rPr>
          <w:rFonts w:cs="Times New Roman"/>
          <w:rtl/>
        </w:rPr>
        <w:t xml:space="preserve">עיינתי בפסק-דינה של חברתי השופטת דורנר. על-פי גישתה, עניין לנו בהתנגשות בין שתי הוראות חוקתיות - הזכות לפרטיות ועקרון הפומביות - המצויות ברמה נורמטיבית שווה. בהתנגשות זו ידה של הפומביות על העליונה, שכן היא מהווה נורמה מיוחדת הגוברת על הזכות לפרטיות, המהווה נורמה כללית. זאת, על-פי הכלל הפרשני כי נורמה מיוחדת מבטלת נורמה כללית. </w:t>
      </w:r>
      <w:r w:rsidRPr="00BC166F">
        <w:rPr>
          <w:rFonts w:cs="Times New Roman" w:hint="cs"/>
          <w:highlight w:val="yellow"/>
          <w:rtl/>
        </w:rPr>
        <w:t>למתודה זו של השופטת דורנר לבעיה שלפנינו איני יכול להסכים.</w:t>
      </w:r>
      <w:r w:rsidRPr="00514F08">
        <w:rPr>
          <w:rFonts w:cs="Times New Roman" w:hint="cs"/>
          <w:rtl/>
        </w:rPr>
        <w:t xml:space="preserve"> גישתי מבוססת על התפיסה כי בהתנגשות (אופקית) בין נורמות חוקתיות השוות במעמדן הנורמטיבי והמשקפות ערכים ועקרונות, </w:t>
      </w:r>
      <w:r w:rsidRPr="0038590C">
        <w:rPr>
          <w:rFonts w:cs="Times New Roman" w:hint="cs"/>
          <w:highlight w:val="yellow"/>
          <w:rtl/>
        </w:rPr>
        <w:t>בדרך כלל אין לנקוט בכלל הפרשני לפיו נורמה מיוחדת מבטלת נורמה כללית</w:t>
      </w:r>
      <w:r w:rsidRPr="00BC166F">
        <w:rPr>
          <w:rFonts w:cs="Times New Roman" w:hint="cs"/>
          <w:highlight w:val="yellow"/>
          <w:rtl/>
        </w:rPr>
        <w:t>. את ההתנגשות יש לפתור בדרך כלל תוך בחינת מהות והיקף הפגיעה בכל אחד מהערכים והעקרונות המתנגשים – תוך הבחנה בין פגיעה בגרעין הזכות או בשוליה</w:t>
      </w:r>
      <w:r w:rsidRPr="00514F08">
        <w:rPr>
          <w:rFonts w:cs="Times New Roman" w:hint="cs"/>
          <w:rtl/>
        </w:rPr>
        <w:t xml:space="preserve"> – ואת השפעת ההתנגשות על המערך הנורמטיבי הכללי. </w:t>
      </w:r>
      <w:r>
        <w:rPr>
          <w:rFonts w:cs="Times New Roman" w:hint="cs"/>
          <w:rtl/>
        </w:rPr>
        <w:t xml:space="preserve">.... </w:t>
      </w:r>
    </w:p>
    <w:p w:rsidR="005366A8" w:rsidRDefault="005366A8" w:rsidP="005366A8">
      <w:pPr>
        <w:pStyle w:val="a0"/>
        <w:spacing w:line="240" w:lineRule="auto"/>
        <w:rPr>
          <w:rFonts w:cs="Times New Roman"/>
          <w:rtl/>
        </w:rPr>
      </w:pPr>
      <w:r w:rsidRPr="005E3D7D">
        <w:rPr>
          <w:rFonts w:cs="Times New Roman"/>
          <w:rtl/>
        </w:rPr>
        <w:t xml:space="preserve">על-פי גישתה של חברתי, הזכות החוקתית לפרטיות אינה משתרעת על מצבים של פרטיות הפוגעים בפומביות הדיון, שכן על היבט זה של פרטיות מתגברת הפומביות תוך שגבולה של הפרטיות נתחם באופן שהוא איננו משתרע על פרטיות הפוגעת בפומביות. מכאן גישתה של חברתי כי חקיקה רגילה בתחום זה חופשית מכל הגבלה חוקתית הקשורה בזכות לפרטיות. לדעתי, אין לקבל גישה זו. </w:t>
      </w:r>
      <w:r w:rsidRPr="00C24B6F">
        <w:rPr>
          <w:rFonts w:cs="Times New Roman"/>
          <w:highlight w:val="yellow"/>
          <w:rtl/>
        </w:rPr>
        <w:t>אין מחלוקת בין חברתי לביני כי עניין לנו בתחום שבו הזכות לפרטיות ועקרון הפומביות מתנגשים זה בזה. התנגשות זו משקפת מצב טבעי בחברה דמוקרטית, שבה זכויות אדם מתנגשות אלה באלה</w:t>
      </w:r>
      <w:r w:rsidRPr="005E3D7D">
        <w:rPr>
          <w:rFonts w:cs="Times New Roman"/>
          <w:rtl/>
        </w:rPr>
        <w:t xml:space="preserve"> (כגון הזכות לחופש הביטוי המתנגשת בזכות לשם הטוב), ושבה זכויות האדם מתנגשות בערכים ובעקרונות של החברה (כגון חופש הביטוי המתנגש עם הביטחון ושלום הציבור). פרט למקרים קיצוניים </w:t>
      </w:r>
      <w:r w:rsidRPr="00C24B6F">
        <w:rPr>
          <w:rFonts w:cs="Times New Roman"/>
          <w:highlight w:val="yellow"/>
          <w:rtl/>
        </w:rPr>
        <w:t>תוצאתה של התנגשות זו אינו מחייב קביעת הגבולות של הזכויות, הערכים והאינטרסים ברמה החוקתית תוך ביטולם של הזכות, הערך או האינטרס שידם על התחתונה. כך למשל איננו קובעים כי הזכות לחופש הביטוי אינה כוללת בחו</w:t>
      </w:r>
      <w:r>
        <w:rPr>
          <w:rFonts w:cs="Times New Roman" w:hint="cs"/>
          <w:highlight w:val="yellow"/>
          <w:rtl/>
        </w:rPr>
        <w:t>ּ</w:t>
      </w:r>
      <w:r w:rsidRPr="00C24B6F">
        <w:rPr>
          <w:rFonts w:cs="Times New Roman"/>
          <w:highlight w:val="yellow"/>
          <w:rtl/>
        </w:rPr>
        <w:t>ב</w:t>
      </w:r>
      <w:r>
        <w:rPr>
          <w:rFonts w:cs="Times New Roman" w:hint="cs"/>
          <w:highlight w:val="yellow"/>
          <w:rtl/>
        </w:rPr>
        <w:t>ּ</w:t>
      </w:r>
      <w:r w:rsidRPr="00C24B6F">
        <w:rPr>
          <w:rFonts w:cs="Times New Roman"/>
          <w:highlight w:val="yellow"/>
          <w:rtl/>
        </w:rPr>
        <w:t>ה ביטוי הפוגע בשם הטוב. אילו כך קבענו היינו מדללים את היקפן של הזכויות החוקתיות ושל הערכים והעקרונות הזוכים להכרה חוקתית, והיינו יוצרים מצב נורמטיבי שלפיו חקיקה רגילה הנוגעת לשם הטוב אינה כפופה למגבלות חוקתיות.</w:t>
      </w:r>
      <w:r w:rsidRPr="005E3D7D">
        <w:rPr>
          <w:rFonts w:cs="Times New Roman"/>
          <w:rtl/>
        </w:rPr>
        <w:t xml:space="preserve"> תוצאה זו אינה ראויה ויש למונעה, אלא אם אין מנוס מהצורך להכריע ברמה החוקתית מהו גבולה של כל זכות. אכן, המאפיין את הדמוקרטיה הוא בעושר הזכויות, הערכים והעקרונות ובהתנגשות המתמדת ביניהם. </w:t>
      </w:r>
      <w:r>
        <w:rPr>
          <w:rFonts w:cs="Times New Roman" w:hint="cs"/>
          <w:rtl/>
        </w:rPr>
        <w:t>...</w:t>
      </w:r>
      <w:r w:rsidRPr="005E3D7D">
        <w:rPr>
          <w:rFonts w:cs="Times New Roman"/>
          <w:rtl/>
        </w:rPr>
        <w:t xml:space="preserve"> אכן, פתרונם של ניגודים אלה - שהם טבעיים לדמוקרטיה ומעניקים לה את חיותה - לרוב אינו בקביעת היקפם של הזכויות, הערכים והאינטרסים ובהוצאת ההיבטים שידם על התחתונה מתחום השיח החוקתי ומתחום הביקורת החוקתית. פתרונם של ניגודים אלה הוא בהשארת הניגוד ברמה החוקתית תוך קביעת מידתה של ההגנה הניתנת לזכויות, לערכים ולאינטרסים המתנגשים ברמה של חקיקה רגילה (איזון אנכי) החייבת לקיים את דרישותיה של פיסקת ההגבלה. אכן, אנו מבחינים בין היקף הזכות החוקתית לבין מידת ההגנה עליה בחקיקה הרגילה</w:t>
      </w:r>
      <w:r>
        <w:rPr>
          <w:rFonts w:cs="Times New Roman" w:hint="cs"/>
          <w:rtl/>
        </w:rPr>
        <w:t>.</w:t>
      </w:r>
    </w:p>
    <w:p w:rsidR="005366A8" w:rsidRDefault="005366A8" w:rsidP="005366A8">
      <w:pPr>
        <w:pStyle w:val="a0"/>
        <w:spacing w:line="240" w:lineRule="auto"/>
        <w:rPr>
          <w:rFonts w:cs="Times New Roman"/>
          <w:rtl/>
        </w:rPr>
      </w:pPr>
      <w:r w:rsidRPr="00BC166F">
        <w:rPr>
          <w:rFonts w:cs="Times New Roman"/>
          <w:rtl/>
        </w:rPr>
        <w:t xml:space="preserve">במקרה שלפנינו אין נדרשת כלל הכרעה ברמה חוקתית בהתנגשות בין הזכות לפרטיות לבין עקרון הפומביות. אף לא נטען בפנינו כי הוראת חוק זו או אחרת היא בלתי חוקתית. אין לנו צורך אפוא לקבוע את היקפן של הזכויות, הערכים והאינטרסים המצויים ברמה החוקתית, </w:t>
      </w:r>
      <w:r w:rsidRPr="00BC166F">
        <w:rPr>
          <w:rFonts w:cs="Times New Roman"/>
          <w:highlight w:val="yellow"/>
          <w:rtl/>
        </w:rPr>
        <w:t>ופתרונו של המקרה שלפנינו הוא בפירושה של החקיקה המגנה על הפומביות</w:t>
      </w:r>
      <w:r w:rsidRPr="00BC166F">
        <w:rPr>
          <w:rFonts w:cs="Times New Roman"/>
          <w:rtl/>
        </w:rPr>
        <w:t xml:space="preserve">. אכן, הזכות לפרטיות היא זכות מורכבת, שאת גבולותיה לא קל לקבוע. הוא הדין בפומביות. </w:t>
      </w:r>
      <w:r>
        <w:rPr>
          <w:rFonts w:cs="Times New Roman" w:hint="cs"/>
          <w:rtl/>
        </w:rPr>
        <w:t>..</w:t>
      </w:r>
      <w:r w:rsidRPr="00BC166F">
        <w:rPr>
          <w:rFonts w:cs="Times New Roman"/>
          <w:rtl/>
        </w:rPr>
        <w:t xml:space="preserve">. מקובל עליי כי בפרשה שלפנינו הפרטיות מתנגשת בפומביות. בהתנגשות זו אין ידה של האחת על העליונה, ואין האחת מבטלת את האחרת. השתיים ממשיכות להתקיים במלוא היקפן במשפט הישראלי. על-כן משתרעת פרטיותו של אדם גם על פרטיות בכל הנוגע לדיונים בבית-המשפט, ועל-כן משתרעת הפומביות גם מקום שהיא פוגעת בפרטיות. </w:t>
      </w:r>
      <w:r w:rsidRPr="00BC166F">
        <w:rPr>
          <w:rFonts w:cs="Times New Roman"/>
          <w:highlight w:val="yellow"/>
          <w:rtl/>
        </w:rPr>
        <w:t>פתרונה של התנגשות זו - פתרון שיש להגיע אליו כדי שהפרט והציבור ידעו כיצד עליהם לפעול - אינו ברמה החוקתית. הפתרון מצוי בדברי החקיקה השונים ובפרשנותם הראויה. אלה פוגעים הן בפרטיות הן בפומביות. חוקתיותם נקבעת על-פי הוראותיה של פיסקת ההגבלה. פרשנותם נקבעת על-פי תכליתם.</w:t>
      </w:r>
      <w:r w:rsidRPr="00BC166F">
        <w:rPr>
          <w:rFonts w:cs="Times New Roman"/>
          <w:rtl/>
        </w:rPr>
        <w:t xml:space="preserve"> הן בקביעת התוקף של הוראת החוק הנוגעת לפומביות הדיון והפוגעת בפרטיות (על-פי פיסקת ההגבלה) הן בקביעת המובן של הוראה זו (בעת מתן פירוש ראוי) </w:t>
      </w:r>
      <w:r w:rsidRPr="00BC166F">
        <w:rPr>
          <w:rFonts w:cs="Times New Roman"/>
          <w:highlight w:val="yellow"/>
          <w:rtl/>
        </w:rPr>
        <w:t>יש לאזן בין הפרטיות לפומביות.</w:t>
      </w:r>
      <w:r w:rsidRPr="00A67B9F">
        <w:rPr>
          <w:rFonts w:cs="Times New Roman"/>
          <w:rtl/>
        </w:rPr>
        <w:t xml:space="preserve"> </w:t>
      </w:r>
      <w:r w:rsidRPr="00BC166F">
        <w:rPr>
          <w:rFonts w:cs="Times New Roman"/>
          <w:highlight w:val="yellow"/>
          <w:rtl/>
        </w:rPr>
        <w:t>מקובל עליי כי באיזון זה - וכל איזון הוא תמיד צמוד מצבים טיפוסיים - יד הפומביות על העליונה</w:t>
      </w:r>
      <w:r w:rsidRPr="00BC166F">
        <w:rPr>
          <w:rFonts w:cs="Times New Roman"/>
          <w:rtl/>
        </w:rPr>
        <w:t xml:space="preserve">. </w:t>
      </w:r>
      <w:r w:rsidRPr="00BC166F">
        <w:rPr>
          <w:rFonts w:cs="Times New Roman"/>
          <w:highlight w:val="yellow"/>
          <w:rtl/>
        </w:rPr>
        <w:t>עם זאת אין בכך כדי לצמצם את היקפה של הזכות לפרטיות, הממשיכה להשתרע גם על דיונים בבית-המשפט. יש בכך רק כדי למנוע הגנת החוק על פגיעה בפרטיות הנערכת בין כותלי בית-המשפט במצב דברים כמו זה שלפנינו</w:t>
      </w:r>
      <w:r w:rsidRPr="00BC166F">
        <w:rPr>
          <w:rFonts w:cs="Times New Roman"/>
          <w:rtl/>
        </w:rPr>
        <w:t>.</w:t>
      </w:r>
    </w:p>
    <w:p w:rsidR="005366A8" w:rsidRDefault="005366A8" w:rsidP="005366A8">
      <w:pPr>
        <w:pStyle w:val="a0"/>
        <w:spacing w:line="240" w:lineRule="auto"/>
        <w:rPr>
          <w:rFonts w:cs="Times New Roman"/>
          <w:rtl/>
        </w:rPr>
      </w:pPr>
      <w:r w:rsidRPr="007C1480">
        <w:rPr>
          <w:rFonts w:cs="Times New Roman" w:hint="cs"/>
          <w:rtl/>
        </w:rPr>
        <w:t xml:space="preserve">במישור החוקתי-העל-חוקי מוכרת הן הפומביות והן הפרטיות, </w:t>
      </w:r>
      <w:r w:rsidRPr="0038590C">
        <w:rPr>
          <w:rFonts w:cs="Times New Roman" w:hint="cs"/>
          <w:highlight w:val="yellow"/>
          <w:rtl/>
        </w:rPr>
        <w:t>בלא שנצטרך לקבוע את גבולותיהן.</w:t>
      </w:r>
      <w:r w:rsidRPr="007C1480">
        <w:rPr>
          <w:rFonts w:cs="Times New Roman" w:hint="cs"/>
          <w:rtl/>
        </w:rPr>
        <w:t xml:space="preserve"> מידת ההגנה הניתנת לפומביות ולפרטיות קבועה בחקיקה הרגילה. אכן</w:t>
      </w:r>
      <w:r w:rsidRPr="00514F08">
        <w:rPr>
          <w:rFonts w:cs="Times New Roman" w:hint="cs"/>
          <w:b/>
          <w:bCs/>
          <w:rtl/>
        </w:rPr>
        <w:t xml:space="preserve">, </w:t>
      </w:r>
      <w:r w:rsidRPr="0038590C">
        <w:rPr>
          <w:rFonts w:cs="Times New Roman" w:hint="cs"/>
          <w:rtl/>
        </w:rPr>
        <w:t>סעיף 3 לחוק-יסוד: השפיטה המכיר בפומביות, מוסיף וקובע כי זו מוכרת "זולת אם נקבע אחרת בחוק".</w:t>
      </w:r>
      <w:r w:rsidRPr="007C1480">
        <w:rPr>
          <w:rFonts w:cs="Times New Roman" w:hint="cs"/>
          <w:rtl/>
        </w:rPr>
        <w:t xml:space="preserve"> </w:t>
      </w:r>
      <w:r w:rsidRPr="0038590C">
        <w:rPr>
          <w:rFonts w:cs="Times New Roman" w:hint="cs"/>
          <w:highlight w:val="yellow"/>
          <w:rtl/>
        </w:rPr>
        <w:t>חוק רגיל הקובע אחרת אינו חופשי לקבוע כל הסדר שיעלה על דעת המחוקק. עליו להיות לתכלית ראויה. עליו לקיים את ערכיה של מדינת ישראל כמדינה יהודית ודמוקרטית; עליו להיות מידתי</w:t>
      </w:r>
      <w:r w:rsidRPr="007C1480">
        <w:rPr>
          <w:rFonts w:cs="Times New Roman" w:hint="cs"/>
          <w:rtl/>
        </w:rPr>
        <w:t xml:space="preserve"> (</w:t>
      </w:r>
      <w:r>
        <w:rPr>
          <w:rFonts w:cs="Times New Roman" w:hint="cs"/>
          <w:rtl/>
        </w:rPr>
        <w:t xml:space="preserve">{"פסקת ההגבלה השיפוטית"} </w:t>
      </w:r>
      <w:r w:rsidRPr="007C1480">
        <w:rPr>
          <w:rFonts w:cs="Times New Roman" w:hint="cs"/>
          <w:rtl/>
        </w:rPr>
        <w:t xml:space="preserve">ראו בג"ץ 3434/96 הופנונג נ' יושב-ראש הכנסת, פ"ד נ(3) 57, 69-70; בג"ץ 312/03 חרות התנועה הלאומית נ' יושב-ראש ועדת הבחירות (טרם פורסם); ע"ב 92/03 מופז נ' יושב-ראש ועדת הבחירות המרכזית (טרם פורסם)). </w:t>
      </w:r>
      <w:r>
        <w:rPr>
          <w:rFonts w:cs="Times New Roman" w:hint="cs"/>
          <w:rtl/>
        </w:rPr>
        <w:t xml:space="preserve">{במקביל} </w:t>
      </w:r>
      <w:r w:rsidRPr="0038590C">
        <w:rPr>
          <w:rFonts w:cs="Times New Roman" w:hint="cs"/>
          <w:rtl/>
        </w:rPr>
        <w:t>מידת ההגנה על הפרטיות קבועה בסעיף 8 לחוק-יסוד: האדם וחירותו.</w:t>
      </w:r>
      <w:r w:rsidRPr="007C1480">
        <w:rPr>
          <w:rFonts w:cs="Times New Roman" w:hint="cs"/>
          <w:rtl/>
        </w:rPr>
        <w:t xml:space="preserve"> </w:t>
      </w:r>
      <w:r w:rsidRPr="0038590C">
        <w:rPr>
          <w:rFonts w:cs="Times New Roman" w:hint="cs"/>
          <w:rtl/>
        </w:rPr>
        <w:t xml:space="preserve">הוראה זו מאפשרת פגיעה בפרטיות באמצעות חקיקה רגילה. </w:t>
      </w:r>
      <w:r w:rsidRPr="0038590C">
        <w:rPr>
          <w:rFonts w:cs="Times New Roman" w:hint="cs"/>
          <w:highlight w:val="yellow"/>
          <w:rtl/>
        </w:rPr>
        <w:t>גם חקיקה זו אינה חופשית בתכניה. על החוק הפוגע לקיים את הוראותיה של פסקת ההגבלה</w:t>
      </w:r>
      <w:r w:rsidRPr="007C1480">
        <w:rPr>
          <w:rFonts w:cs="Times New Roman" w:hint="cs"/>
          <w:rtl/>
        </w:rPr>
        <w:t xml:space="preserve">. </w:t>
      </w:r>
      <w:r>
        <w:rPr>
          <w:rFonts w:cs="Times New Roman" w:hint="cs"/>
          <w:rtl/>
        </w:rPr>
        <w:t xml:space="preserve">{במילים אחרות,} </w:t>
      </w:r>
      <w:r w:rsidRPr="007C1480">
        <w:rPr>
          <w:rFonts w:cs="Times New Roman" w:hint="cs"/>
          <w:rtl/>
        </w:rPr>
        <w:t xml:space="preserve">ההגבלה בחוק של הפומביות חייבת, איפוא, להתחשב – במסגרת ערכיה של מדינת ישראל כמדינה יהודית ודמוקרטית – בפרטיות; </w:t>
      </w:r>
      <w:r>
        <w:rPr>
          <w:rFonts w:cs="Times New Roman" w:hint="cs"/>
          <w:rtl/>
        </w:rPr>
        <w:t>[ו]</w:t>
      </w:r>
      <w:r w:rsidRPr="007C1480">
        <w:rPr>
          <w:rFonts w:cs="Times New Roman" w:hint="cs"/>
          <w:rtl/>
        </w:rPr>
        <w:t>ההגבלה בחוק של הפרטיות חייבת להתחשב – מאותם טעמים עצמם – בפומביות. שתי ההגבלות צריכות להיות מידתיות. עניין לנו איפוא בסינתזה ובאחדות באשר להפעלתן של ההוראות בחוק הפוגעות בזכויות, בערכים ובאינטרסים הקבועים בהוראה חוקתית</w:t>
      </w:r>
      <w:r>
        <w:rPr>
          <w:rFonts w:cs="Times New Roman" w:hint="cs"/>
          <w:rtl/>
        </w:rPr>
        <w:t>..</w:t>
      </w:r>
    </w:p>
    <w:p w:rsidR="005366A8" w:rsidRDefault="005366A8" w:rsidP="005366A8">
      <w:pPr>
        <w:rPr>
          <w:rFonts w:cs="Arial"/>
          <w:highlight w:val="yellow"/>
          <w:rtl/>
        </w:rPr>
      </w:pPr>
    </w:p>
    <w:p w:rsidR="005366A8" w:rsidRDefault="005366A8" w:rsidP="005366A8">
      <w:pPr>
        <w:rPr>
          <w:sz w:val="20"/>
          <w:szCs w:val="20"/>
          <w:rtl/>
        </w:rPr>
      </w:pPr>
      <w:r>
        <w:rPr>
          <w:rFonts w:hint="cs"/>
          <w:sz w:val="20"/>
          <w:szCs w:val="20"/>
          <w:rtl/>
        </w:rPr>
        <w:t>=-=</w:t>
      </w:r>
    </w:p>
    <w:p w:rsidR="005366A8" w:rsidRPr="009B4606" w:rsidRDefault="005366A8" w:rsidP="005366A8">
      <w:pPr>
        <w:jc w:val="center"/>
        <w:rPr>
          <w:rFonts w:ascii="Arial" w:hAnsi="Arial" w:cs="Guttman-Soncino"/>
          <w:b/>
          <w:bCs/>
          <w:sz w:val="36"/>
          <w:szCs w:val="36"/>
          <w:u w:val="single"/>
          <w:rtl/>
        </w:rPr>
      </w:pPr>
      <w:r w:rsidRPr="009B4606">
        <w:rPr>
          <w:rFonts w:ascii="Arial" w:hAnsi="Arial" w:cs="Guttman-Soncino" w:hint="cs"/>
          <w:b/>
          <w:bCs/>
          <w:sz w:val="36"/>
          <w:szCs w:val="36"/>
          <w:highlight w:val="yellow"/>
          <w:u w:val="single"/>
          <w:rtl/>
        </w:rPr>
        <w:t>פסקת ההגבלה ומרכיביה</w:t>
      </w:r>
    </w:p>
    <w:p w:rsidR="005366A8" w:rsidRDefault="005366A8" w:rsidP="005366A8">
      <w:pPr>
        <w:tabs>
          <w:tab w:val="left" w:pos="6054"/>
        </w:tabs>
        <w:spacing w:after="120"/>
        <w:rPr>
          <w:rFonts w:cs="Arial"/>
          <w:b/>
          <w:bCs/>
          <w:highlight w:val="yellow"/>
          <w:u w:val="single"/>
          <w:rtl/>
        </w:rPr>
      </w:pPr>
    </w:p>
    <w:p w:rsidR="005366A8" w:rsidRDefault="005366A8" w:rsidP="005366A8">
      <w:pPr>
        <w:spacing w:after="60"/>
        <w:ind w:left="720"/>
        <w:rPr>
          <w:rFonts w:cs="Arial"/>
          <w:sz w:val="22"/>
          <w:szCs w:val="22"/>
          <w:rtl/>
        </w:rPr>
      </w:pPr>
      <w:r w:rsidRPr="009B4606">
        <w:rPr>
          <w:rFonts w:cs="Arial" w:hint="cs"/>
          <w:b/>
          <w:bCs/>
          <w:sz w:val="22"/>
          <w:szCs w:val="22"/>
          <w:rtl/>
        </w:rPr>
        <w:t>"</w:t>
      </w:r>
      <w:r w:rsidRPr="009B4606">
        <w:rPr>
          <w:rFonts w:cs="Arial" w:hint="cs"/>
          <w:b/>
          <w:bCs/>
          <w:sz w:val="22"/>
          <w:szCs w:val="22"/>
          <w:u w:val="single"/>
          <w:rtl/>
        </w:rPr>
        <w:t>אין פוגעים</w:t>
      </w:r>
      <w:r w:rsidRPr="009B4606">
        <w:rPr>
          <w:rFonts w:cs="David"/>
          <w:b/>
          <w:bCs/>
          <w:sz w:val="20"/>
          <w:szCs w:val="20"/>
          <w:rtl/>
        </w:rPr>
        <w:t xml:space="preserve"> </w:t>
      </w:r>
      <w:r w:rsidRPr="009B4606">
        <w:rPr>
          <w:rFonts w:cs="Arial"/>
          <w:b/>
          <w:bCs/>
          <w:sz w:val="22"/>
          <w:szCs w:val="22"/>
          <w:rtl/>
        </w:rPr>
        <w:t>ב</w:t>
      </w:r>
      <w:r w:rsidRPr="009B4606">
        <w:rPr>
          <w:rFonts w:cs="Arial"/>
          <w:b/>
          <w:bCs/>
          <w:sz w:val="22"/>
          <w:szCs w:val="22"/>
          <w:u w:val="single"/>
          <w:rtl/>
        </w:rPr>
        <w:t>זכויות שלפי חוק-יסוד זה</w:t>
      </w:r>
      <w:r w:rsidRPr="009B4606">
        <w:rPr>
          <w:rFonts w:cs="Arial" w:hint="cs"/>
          <w:b/>
          <w:bCs/>
          <w:sz w:val="22"/>
          <w:szCs w:val="22"/>
          <w:rtl/>
        </w:rPr>
        <w:t>"</w:t>
      </w:r>
      <w:r>
        <w:rPr>
          <w:rFonts w:cs="Arial" w:hint="cs"/>
          <w:sz w:val="22"/>
          <w:szCs w:val="22"/>
          <w:rtl/>
        </w:rPr>
        <w:t xml:space="preserve"> </w:t>
      </w:r>
    </w:p>
    <w:p w:rsidR="005366A8" w:rsidRPr="00342995" w:rsidRDefault="005366A8" w:rsidP="005366A8">
      <w:pPr>
        <w:spacing w:after="60"/>
        <w:ind w:left="1440"/>
        <w:rPr>
          <w:rFonts w:cs="Arial"/>
          <w:sz w:val="22"/>
          <w:szCs w:val="22"/>
          <w:rtl/>
        </w:rPr>
      </w:pPr>
      <w:r w:rsidRPr="00342995">
        <w:rPr>
          <w:rFonts w:cs="Arial"/>
          <w:sz w:val="22"/>
          <w:szCs w:val="22"/>
          <w:rtl/>
        </w:rPr>
        <w:t xml:space="preserve">א. </w:t>
      </w:r>
      <w:r w:rsidRPr="00342995">
        <w:rPr>
          <w:rFonts w:cs="Arial" w:hint="cs"/>
          <w:b/>
          <w:bCs/>
          <w:sz w:val="22"/>
          <w:szCs w:val="22"/>
          <w:rtl/>
        </w:rPr>
        <w:t xml:space="preserve">"אלא בחוק או </w:t>
      </w:r>
      <w:r>
        <w:rPr>
          <w:rFonts w:cs="Arial" w:hint="cs"/>
          <w:b/>
          <w:bCs/>
          <w:sz w:val="22"/>
          <w:szCs w:val="22"/>
          <w:rtl/>
        </w:rPr>
        <w:t xml:space="preserve">מכוח </w:t>
      </w:r>
      <w:r w:rsidRPr="00342995">
        <w:rPr>
          <w:rFonts w:cs="Arial" w:hint="cs"/>
          <w:b/>
          <w:bCs/>
          <w:sz w:val="22"/>
          <w:szCs w:val="22"/>
          <w:rtl/>
        </w:rPr>
        <w:t>הסמכה מפורשת בחוק"</w:t>
      </w:r>
      <w:r w:rsidRPr="00342995">
        <w:rPr>
          <w:rFonts w:cs="Arial"/>
          <w:b/>
          <w:bCs/>
          <w:sz w:val="22"/>
          <w:szCs w:val="22"/>
          <w:rtl/>
        </w:rPr>
        <w:t xml:space="preserve"> </w:t>
      </w:r>
    </w:p>
    <w:p w:rsidR="005366A8" w:rsidRPr="00342995" w:rsidRDefault="005366A8" w:rsidP="005366A8">
      <w:pPr>
        <w:spacing w:after="60"/>
        <w:ind w:left="1440"/>
        <w:rPr>
          <w:rFonts w:cs="Arial"/>
          <w:sz w:val="22"/>
          <w:szCs w:val="22"/>
          <w:rtl/>
        </w:rPr>
      </w:pPr>
      <w:r w:rsidRPr="00342995">
        <w:rPr>
          <w:rFonts w:cs="Arial"/>
          <w:sz w:val="22"/>
          <w:szCs w:val="22"/>
          <w:rtl/>
        </w:rPr>
        <w:t xml:space="preserve">ב. </w:t>
      </w:r>
      <w:r>
        <w:rPr>
          <w:rFonts w:cs="Arial" w:hint="cs"/>
          <w:sz w:val="22"/>
          <w:szCs w:val="22"/>
          <w:rtl/>
        </w:rPr>
        <w:t>(</w:t>
      </w:r>
      <w:r w:rsidRPr="00342995">
        <w:rPr>
          <w:rFonts w:cs="Arial"/>
          <w:sz w:val="22"/>
          <w:szCs w:val="22"/>
          <w:rtl/>
        </w:rPr>
        <w:t>חוק</w:t>
      </w:r>
      <w:r>
        <w:rPr>
          <w:rFonts w:cs="Arial" w:hint="cs"/>
          <w:sz w:val="22"/>
          <w:szCs w:val="22"/>
          <w:rtl/>
        </w:rPr>
        <w:t>)</w:t>
      </w:r>
      <w:r w:rsidRPr="00342995">
        <w:rPr>
          <w:rFonts w:cs="Arial"/>
          <w:sz w:val="22"/>
          <w:szCs w:val="22"/>
          <w:rtl/>
        </w:rPr>
        <w:t xml:space="preserve"> </w:t>
      </w:r>
      <w:r w:rsidRPr="00342995">
        <w:rPr>
          <w:rFonts w:cs="Arial" w:hint="cs"/>
          <w:sz w:val="22"/>
          <w:szCs w:val="22"/>
          <w:rtl/>
        </w:rPr>
        <w:t>"</w:t>
      </w:r>
      <w:r w:rsidRPr="00342995">
        <w:rPr>
          <w:rFonts w:cs="Arial"/>
          <w:sz w:val="22"/>
          <w:szCs w:val="22"/>
          <w:rtl/>
        </w:rPr>
        <w:t xml:space="preserve">ההולם את </w:t>
      </w:r>
      <w:r w:rsidRPr="00342995">
        <w:rPr>
          <w:rFonts w:cs="Arial"/>
          <w:b/>
          <w:bCs/>
          <w:sz w:val="22"/>
          <w:szCs w:val="22"/>
          <w:rtl/>
        </w:rPr>
        <w:t>ערכיה של מדינת ישראל</w:t>
      </w:r>
      <w:r w:rsidRPr="00342995">
        <w:rPr>
          <w:rFonts w:cs="Arial"/>
          <w:sz w:val="22"/>
          <w:szCs w:val="22"/>
          <w:rtl/>
        </w:rPr>
        <w:t>"</w:t>
      </w:r>
    </w:p>
    <w:p w:rsidR="005366A8" w:rsidRPr="00342995" w:rsidRDefault="005366A8" w:rsidP="005366A8">
      <w:pPr>
        <w:spacing w:after="60"/>
        <w:ind w:left="1440"/>
        <w:rPr>
          <w:rFonts w:cs="Arial"/>
          <w:sz w:val="22"/>
          <w:szCs w:val="22"/>
          <w:rtl/>
        </w:rPr>
      </w:pPr>
      <w:r w:rsidRPr="00342995">
        <w:rPr>
          <w:rFonts w:cs="Arial"/>
          <w:sz w:val="22"/>
          <w:szCs w:val="22"/>
          <w:rtl/>
        </w:rPr>
        <w:t>ג. "שנועד ל</w:t>
      </w:r>
      <w:r w:rsidRPr="00342995">
        <w:rPr>
          <w:rFonts w:cs="Arial"/>
          <w:b/>
          <w:bCs/>
          <w:sz w:val="22"/>
          <w:szCs w:val="22"/>
          <w:rtl/>
        </w:rPr>
        <w:t>תכלית ראויה</w:t>
      </w:r>
      <w:r w:rsidRPr="00342995">
        <w:rPr>
          <w:rFonts w:cs="Arial"/>
          <w:sz w:val="22"/>
          <w:szCs w:val="22"/>
          <w:rtl/>
        </w:rPr>
        <w:t>"</w:t>
      </w:r>
    </w:p>
    <w:p w:rsidR="005366A8" w:rsidRDefault="005366A8" w:rsidP="005366A8">
      <w:pPr>
        <w:ind w:left="1440"/>
        <w:rPr>
          <w:rFonts w:cs="Arial"/>
          <w:sz w:val="22"/>
          <w:szCs w:val="22"/>
          <w:rtl/>
        </w:rPr>
      </w:pPr>
      <w:r w:rsidRPr="00342995">
        <w:rPr>
          <w:rFonts w:cs="Arial"/>
          <w:sz w:val="22"/>
          <w:szCs w:val="22"/>
          <w:rtl/>
        </w:rPr>
        <w:t xml:space="preserve">ד. </w:t>
      </w:r>
      <w:r w:rsidRPr="00342995">
        <w:rPr>
          <w:rFonts w:cs="Arial"/>
          <w:b/>
          <w:bCs/>
          <w:sz w:val="22"/>
          <w:szCs w:val="22"/>
          <w:rtl/>
        </w:rPr>
        <w:t xml:space="preserve">"ובמידה שאינה עולה על הנדרש" </w:t>
      </w:r>
      <w:r w:rsidRPr="00342995">
        <w:rPr>
          <w:sz w:val="22"/>
          <w:szCs w:val="22"/>
          <w:rtl/>
        </w:rPr>
        <w:t>–</w:t>
      </w:r>
      <w:r w:rsidRPr="00342995">
        <w:rPr>
          <w:rFonts w:hint="cs"/>
          <w:sz w:val="22"/>
          <w:szCs w:val="22"/>
          <w:rtl/>
        </w:rPr>
        <w:t xml:space="preserve"> </w:t>
      </w:r>
      <w:r w:rsidRPr="004F5D7B">
        <w:rPr>
          <w:rFonts w:ascii="Arial" w:hAnsi="Arial" w:cs="Arial"/>
          <w:sz w:val="22"/>
          <w:szCs w:val="22"/>
          <w:rtl/>
        </w:rPr>
        <w:t>זו</w:t>
      </w:r>
      <w:r>
        <w:rPr>
          <w:rFonts w:hint="cs"/>
          <w:sz w:val="22"/>
          <w:szCs w:val="22"/>
          <w:rtl/>
        </w:rPr>
        <w:t xml:space="preserve"> </w:t>
      </w:r>
      <w:r w:rsidRPr="00342995">
        <w:rPr>
          <w:rFonts w:cs="Arial"/>
          <w:sz w:val="22"/>
          <w:szCs w:val="22"/>
          <w:rtl/>
        </w:rPr>
        <w:t>דרישת המידתיות</w:t>
      </w:r>
    </w:p>
    <w:p w:rsidR="005366A8" w:rsidRDefault="005366A8" w:rsidP="005366A8">
      <w:pPr>
        <w:ind w:left="720"/>
        <w:rPr>
          <w:rFonts w:cs="Arial"/>
          <w:sz w:val="22"/>
          <w:szCs w:val="22"/>
          <w:rtl/>
        </w:rPr>
      </w:pPr>
    </w:p>
    <w:p w:rsidR="005366A8" w:rsidRDefault="005366A8" w:rsidP="005366A8">
      <w:pPr>
        <w:ind w:left="720"/>
        <w:rPr>
          <w:rFonts w:cs="Arial"/>
          <w:sz w:val="22"/>
          <w:szCs w:val="22"/>
          <w:rtl/>
        </w:rPr>
      </w:pPr>
      <w:r>
        <w:rPr>
          <w:rFonts w:cs="Arial" w:hint="cs"/>
          <w:sz w:val="22"/>
          <w:szCs w:val="22"/>
          <w:rtl/>
        </w:rPr>
        <w:t>=-=</w:t>
      </w:r>
    </w:p>
    <w:p w:rsidR="005366A8" w:rsidRDefault="005366A8" w:rsidP="005366A8">
      <w:pPr>
        <w:ind w:left="720"/>
        <w:rPr>
          <w:rFonts w:cs="Arial"/>
          <w:sz w:val="22"/>
          <w:szCs w:val="22"/>
          <w:rtl/>
        </w:rPr>
      </w:pPr>
      <w:r w:rsidRPr="00D60271">
        <w:rPr>
          <w:rFonts w:cs="Arial" w:hint="cs"/>
          <w:b/>
          <w:bCs/>
          <w:sz w:val="22"/>
          <w:szCs w:val="22"/>
          <w:rtl/>
        </w:rPr>
        <w:t>"</w:t>
      </w:r>
      <w:r w:rsidRPr="000125D5">
        <w:rPr>
          <w:rFonts w:cs="Arial" w:hint="cs"/>
          <w:b/>
          <w:bCs/>
          <w:sz w:val="22"/>
          <w:szCs w:val="22"/>
          <w:u w:val="single"/>
          <w:rtl/>
        </w:rPr>
        <w:t>אין פוגעים</w:t>
      </w:r>
      <w:r w:rsidRPr="00D60271">
        <w:rPr>
          <w:rFonts w:cs="Arial" w:hint="cs"/>
          <w:b/>
          <w:bCs/>
          <w:sz w:val="22"/>
          <w:szCs w:val="22"/>
          <w:rtl/>
        </w:rPr>
        <w:t>"</w:t>
      </w:r>
      <w:r>
        <w:rPr>
          <w:rFonts w:cs="Arial" w:hint="cs"/>
          <w:sz w:val="22"/>
          <w:szCs w:val="22"/>
          <w:rtl/>
        </w:rPr>
        <w:t xml:space="preserve"> </w:t>
      </w:r>
      <w:r>
        <w:rPr>
          <w:rFonts w:cs="Arial"/>
          <w:sz w:val="22"/>
          <w:szCs w:val="22"/>
          <w:rtl/>
        </w:rPr>
        <w:t>–</w:t>
      </w:r>
      <w:r>
        <w:rPr>
          <w:rFonts w:cs="Arial" w:hint="cs"/>
          <w:sz w:val="22"/>
          <w:szCs w:val="22"/>
          <w:rtl/>
        </w:rPr>
        <w:t xml:space="preserve"> האם החוק הנבחן חוקתית </w:t>
      </w:r>
      <w:r w:rsidRPr="009B4606">
        <w:rPr>
          <w:rFonts w:cs="Arial" w:hint="cs"/>
          <w:sz w:val="22"/>
          <w:szCs w:val="22"/>
          <w:u w:val="single"/>
          <w:rtl/>
        </w:rPr>
        <w:t>כלל פוגע</w:t>
      </w:r>
      <w:r>
        <w:rPr>
          <w:rFonts w:cs="Arial" w:hint="cs"/>
          <w:sz w:val="22"/>
          <w:szCs w:val="22"/>
          <w:rtl/>
        </w:rPr>
        <w:t xml:space="preserve"> (= שולל, מגביל) בזכות יסוד?</w:t>
      </w:r>
    </w:p>
    <w:p w:rsidR="005366A8" w:rsidRDefault="005366A8" w:rsidP="005366A8">
      <w:pPr>
        <w:ind w:left="720"/>
        <w:rPr>
          <w:rFonts w:cs="Arial"/>
          <w:sz w:val="22"/>
          <w:szCs w:val="22"/>
          <w:rtl/>
        </w:rPr>
      </w:pPr>
    </w:p>
    <w:p w:rsidR="005366A8" w:rsidRDefault="005366A8" w:rsidP="005366A8">
      <w:pPr>
        <w:ind w:left="1440" w:hanging="720"/>
        <w:rPr>
          <w:rFonts w:cs="Arial"/>
          <w:sz w:val="22"/>
          <w:szCs w:val="22"/>
          <w:rtl/>
        </w:rPr>
      </w:pPr>
      <w:r>
        <w:rPr>
          <w:rFonts w:cs="Arial" w:hint="cs"/>
          <w:sz w:val="22"/>
          <w:szCs w:val="22"/>
          <w:rtl/>
        </w:rPr>
        <w:t xml:space="preserve">האם הפגיעה היא </w:t>
      </w:r>
      <w:r w:rsidRPr="000125D5">
        <w:rPr>
          <w:rFonts w:cs="Arial" w:hint="cs"/>
          <w:b/>
          <w:bCs/>
          <w:sz w:val="22"/>
          <w:szCs w:val="22"/>
          <w:u w:val="single"/>
          <w:rtl/>
        </w:rPr>
        <w:t>בזכות-היסוד מוגנת</w:t>
      </w:r>
      <w:r w:rsidRPr="000125D5">
        <w:rPr>
          <w:rFonts w:cs="Arial" w:hint="cs"/>
          <w:sz w:val="22"/>
          <w:szCs w:val="22"/>
          <w:u w:val="single"/>
          <w:rtl/>
        </w:rPr>
        <w:t xml:space="preserve"> </w:t>
      </w:r>
      <w:r w:rsidRPr="000125D5">
        <w:rPr>
          <w:rFonts w:cs="Arial" w:hint="cs"/>
          <w:b/>
          <w:bCs/>
          <w:sz w:val="22"/>
          <w:szCs w:val="22"/>
          <w:u w:val="single"/>
          <w:rtl/>
        </w:rPr>
        <w:t>ב"חוק יסוד"</w:t>
      </w:r>
      <w:r>
        <w:rPr>
          <w:rFonts w:cs="Arial" w:hint="cs"/>
          <w:sz w:val="22"/>
          <w:szCs w:val="22"/>
          <w:rtl/>
        </w:rPr>
        <w:t xml:space="preserve"> </w:t>
      </w:r>
      <w:r>
        <w:rPr>
          <w:rFonts w:cs="Arial"/>
          <w:sz w:val="22"/>
          <w:szCs w:val="22"/>
          <w:rtl/>
        </w:rPr>
        <w:t>–</w:t>
      </w:r>
      <w:r>
        <w:rPr>
          <w:rFonts w:cs="Arial" w:hint="cs"/>
          <w:sz w:val="22"/>
          <w:szCs w:val="22"/>
          <w:rtl/>
        </w:rPr>
        <w:t xml:space="preserve"> כלומר האם היא זכות חוקתית? </w:t>
      </w:r>
      <w:r w:rsidRPr="009B4606">
        <w:rPr>
          <w:rFonts w:cs="Arial" w:hint="cs"/>
          <w:i/>
          <w:iCs/>
          <w:sz w:val="22"/>
          <w:szCs w:val="22"/>
          <w:rtl/>
        </w:rPr>
        <w:t>[דפי הפגישה הקודמת</w:t>
      </w:r>
      <w:r>
        <w:rPr>
          <w:rFonts w:cs="Arial" w:hint="cs"/>
          <w:i/>
          <w:iCs/>
          <w:sz w:val="22"/>
          <w:szCs w:val="22"/>
          <w:rtl/>
        </w:rPr>
        <w:t>, הדיון היום בכיתה, וראו גם תוספת קצרה להלן</w:t>
      </w:r>
      <w:r w:rsidRPr="009B4606">
        <w:rPr>
          <w:rFonts w:cs="Arial" w:hint="cs"/>
          <w:i/>
          <w:iCs/>
          <w:sz w:val="22"/>
          <w:szCs w:val="22"/>
          <w:rtl/>
        </w:rPr>
        <w:t>]</w:t>
      </w:r>
    </w:p>
    <w:p w:rsidR="005366A8" w:rsidRDefault="005366A8" w:rsidP="005366A8">
      <w:pPr>
        <w:ind w:left="720"/>
        <w:rPr>
          <w:rFonts w:cs="Arial"/>
          <w:sz w:val="22"/>
          <w:szCs w:val="22"/>
          <w:rtl/>
        </w:rPr>
      </w:pPr>
    </w:p>
    <w:p w:rsidR="005366A8" w:rsidRPr="0064426D" w:rsidRDefault="005366A8" w:rsidP="005366A8">
      <w:pPr>
        <w:ind w:left="720"/>
        <w:rPr>
          <w:highlight w:val="yellow"/>
          <w:rtl/>
        </w:rPr>
      </w:pPr>
      <w:r>
        <w:rPr>
          <w:rFonts w:cs="Arial" w:hint="cs"/>
          <w:sz w:val="22"/>
          <w:szCs w:val="22"/>
          <w:rtl/>
        </w:rPr>
        <w:t xml:space="preserve">אם חצינו שתי משוכות אלו הגענו אל </w:t>
      </w:r>
      <w:r w:rsidRPr="000125D5">
        <w:rPr>
          <w:rFonts w:cs="Arial" w:hint="cs"/>
          <w:sz w:val="22"/>
          <w:szCs w:val="22"/>
          <w:u w:val="single"/>
          <w:rtl/>
        </w:rPr>
        <w:t xml:space="preserve">מרכיביה הבסיסיים של </w:t>
      </w:r>
      <w:r w:rsidRPr="000125D5">
        <w:rPr>
          <w:rFonts w:cs="Arial" w:hint="cs"/>
          <w:b/>
          <w:bCs/>
          <w:sz w:val="22"/>
          <w:szCs w:val="22"/>
          <w:u w:val="single"/>
          <w:rtl/>
        </w:rPr>
        <w:t>"פסקת ההגבלה"</w:t>
      </w:r>
      <w:r w:rsidRPr="000125D5">
        <w:rPr>
          <w:rFonts w:cs="Arial" w:hint="cs"/>
          <w:sz w:val="22"/>
          <w:szCs w:val="22"/>
          <w:u w:val="single"/>
          <w:rtl/>
        </w:rPr>
        <w:t xml:space="preserve"> [</w:t>
      </w:r>
      <w:r>
        <w:rPr>
          <w:rFonts w:cs="Arial" w:hint="cs"/>
          <w:sz w:val="22"/>
          <w:szCs w:val="22"/>
          <w:u w:val="single"/>
          <w:rtl/>
        </w:rPr>
        <w:t xml:space="preserve">מרכיבים </w:t>
      </w:r>
      <w:r w:rsidRPr="000125D5">
        <w:rPr>
          <w:rFonts w:cs="Arial" w:hint="cs"/>
          <w:sz w:val="22"/>
          <w:szCs w:val="22"/>
          <w:u w:val="single"/>
          <w:rtl/>
        </w:rPr>
        <w:t>א' עד ד'</w:t>
      </w:r>
      <w:r>
        <w:rPr>
          <w:rFonts w:cs="Arial" w:hint="cs"/>
          <w:sz w:val="22"/>
          <w:szCs w:val="22"/>
          <w:u w:val="single"/>
          <w:rtl/>
        </w:rPr>
        <w:t xml:space="preserve"> לעיל</w:t>
      </w:r>
      <w:r w:rsidRPr="000125D5">
        <w:rPr>
          <w:rFonts w:cs="Arial" w:hint="cs"/>
          <w:sz w:val="22"/>
          <w:szCs w:val="22"/>
          <w:u w:val="single"/>
          <w:rtl/>
        </w:rPr>
        <w:t>]</w:t>
      </w:r>
    </w:p>
    <w:p w:rsidR="005366A8" w:rsidRDefault="005366A8" w:rsidP="005366A8">
      <w:pPr>
        <w:pStyle w:val="Heading1"/>
        <w:rPr>
          <w:rFonts w:ascii="Arial" w:hAnsi="Arial" w:cs="Arial"/>
          <w:b w:val="0"/>
          <w:bCs w:val="0"/>
          <w:i/>
          <w:iCs/>
          <w:highlight w:val="yellow"/>
          <w:rtl/>
        </w:rPr>
      </w:pPr>
    </w:p>
    <w:p w:rsidR="005366A8" w:rsidRDefault="005366A8" w:rsidP="005366A8">
      <w:pPr>
        <w:rPr>
          <w:sz w:val="22"/>
          <w:szCs w:val="22"/>
          <w:rtl/>
        </w:rPr>
      </w:pPr>
      <w:r>
        <w:rPr>
          <w:rFonts w:hint="cs"/>
          <w:sz w:val="22"/>
          <w:szCs w:val="22"/>
          <w:rtl/>
        </w:rPr>
        <w:t>=-=</w:t>
      </w:r>
    </w:p>
    <w:p w:rsidR="005366A8" w:rsidRPr="00573079" w:rsidRDefault="005366A8" w:rsidP="005366A8">
      <w:pPr>
        <w:rPr>
          <w:rtl/>
        </w:rPr>
      </w:pPr>
      <w:r>
        <w:rPr>
          <w:rFonts w:hint="cs"/>
          <w:highlight w:val="yellow"/>
          <w:rtl/>
        </w:rPr>
        <w:t xml:space="preserve">סוגיה לדיון </w:t>
      </w:r>
      <w:r w:rsidRPr="00846407">
        <w:rPr>
          <w:rFonts w:hint="cs"/>
          <w:b/>
          <w:bCs/>
          <w:sz w:val="20"/>
          <w:szCs w:val="20"/>
          <w:rtl/>
        </w:rPr>
        <w:t>(המשך קצר לדפי</w:t>
      </w:r>
      <w:r>
        <w:rPr>
          <w:rFonts w:hint="cs"/>
          <w:b/>
          <w:bCs/>
          <w:sz w:val="20"/>
          <w:szCs w:val="20"/>
          <w:rtl/>
        </w:rPr>
        <w:t xml:space="preserve"> הפגישה הקודמת</w:t>
      </w:r>
      <w:r w:rsidRPr="00846407">
        <w:rPr>
          <w:rFonts w:hint="cs"/>
          <w:b/>
          <w:bCs/>
          <w:sz w:val="20"/>
          <w:szCs w:val="20"/>
          <w:rtl/>
        </w:rPr>
        <w:t>)</w:t>
      </w:r>
      <w:r w:rsidRPr="00573079">
        <w:rPr>
          <w:rFonts w:hint="cs"/>
          <w:rtl/>
        </w:rPr>
        <w:t>:</w:t>
      </w:r>
    </w:p>
    <w:p w:rsidR="005366A8" w:rsidRPr="007F4804" w:rsidRDefault="005366A8" w:rsidP="005366A8">
      <w:pPr>
        <w:spacing w:after="120"/>
        <w:rPr>
          <w:b/>
          <w:bCs/>
          <w:sz w:val="20"/>
          <w:szCs w:val="20"/>
          <w:rtl/>
        </w:rPr>
      </w:pPr>
      <w:r w:rsidRPr="00846407">
        <w:rPr>
          <w:rFonts w:hint="cs"/>
          <w:b/>
          <w:bCs/>
          <w:sz w:val="22"/>
          <w:szCs w:val="22"/>
          <w:highlight w:val="yellow"/>
          <w:rtl/>
        </w:rPr>
        <w:t xml:space="preserve">היקף ההגנה החוקתית </w:t>
      </w:r>
      <w:r w:rsidRPr="009B4606">
        <w:rPr>
          <w:rFonts w:hint="cs"/>
          <w:b/>
          <w:bCs/>
          <w:sz w:val="22"/>
          <w:szCs w:val="22"/>
          <w:highlight w:val="yellow"/>
          <w:u w:val="single"/>
          <w:rtl/>
        </w:rPr>
        <w:t>על הזכות לשוויון</w:t>
      </w:r>
      <w:r w:rsidRPr="00846407">
        <w:rPr>
          <w:rFonts w:hint="cs"/>
          <w:b/>
          <w:bCs/>
          <w:sz w:val="22"/>
          <w:szCs w:val="22"/>
          <w:highlight w:val="yellow"/>
          <w:rtl/>
        </w:rPr>
        <w:t xml:space="preserve">: אלו </w:t>
      </w:r>
      <w:r w:rsidRPr="009B4606">
        <w:rPr>
          <w:rFonts w:hint="cs"/>
          <w:b/>
          <w:bCs/>
          <w:sz w:val="22"/>
          <w:szCs w:val="22"/>
          <w:highlight w:val="yellow"/>
          <w:u w:val="single"/>
          <w:rtl/>
        </w:rPr>
        <w:t>היבטים של זכות זו מוגנים מכוח הזכות ל"כבוד האדם"</w:t>
      </w:r>
      <w:r w:rsidRPr="00846407">
        <w:rPr>
          <w:rFonts w:hint="cs"/>
          <w:b/>
          <w:bCs/>
          <w:sz w:val="22"/>
          <w:szCs w:val="22"/>
          <w:highlight w:val="yellow"/>
          <w:rtl/>
        </w:rPr>
        <w:t>?</w:t>
      </w:r>
      <w:r w:rsidRPr="007F4804">
        <w:rPr>
          <w:rFonts w:hint="cs"/>
          <w:b/>
          <w:bCs/>
          <w:sz w:val="20"/>
          <w:szCs w:val="20"/>
          <w:highlight w:val="yellow"/>
          <w:rtl/>
        </w:rPr>
        <w:t xml:space="preserve"> </w:t>
      </w:r>
    </w:p>
    <w:p w:rsidR="005366A8" w:rsidRDefault="005366A8" w:rsidP="005366A8">
      <w:pPr>
        <w:spacing w:after="60"/>
        <w:rPr>
          <w:sz w:val="20"/>
          <w:szCs w:val="20"/>
          <w:rtl/>
        </w:rPr>
      </w:pPr>
      <w:r>
        <w:rPr>
          <w:rFonts w:hint="cs"/>
          <w:i/>
          <w:iCs/>
          <w:sz w:val="20"/>
          <w:szCs w:val="20"/>
          <w:rtl/>
        </w:rPr>
        <w:t>אני מניח כי חלקכם הוטרד</w:t>
      </w:r>
      <w:r>
        <w:rPr>
          <w:rFonts w:hint="cs"/>
          <w:sz w:val="20"/>
          <w:szCs w:val="20"/>
          <w:rtl/>
        </w:rPr>
        <w:t xml:space="preserve"> ממהלכו של בית המשפט העליון בפס"ד </w:t>
      </w:r>
      <w:r w:rsidRPr="00A31A7B">
        <w:rPr>
          <w:rFonts w:hint="cs"/>
          <w:b/>
          <w:bCs/>
          <w:sz w:val="20"/>
          <w:szCs w:val="20"/>
          <w:rtl/>
        </w:rPr>
        <w:t>חוק טל 1</w:t>
      </w:r>
      <w:r>
        <w:rPr>
          <w:rFonts w:hint="cs"/>
          <w:sz w:val="20"/>
          <w:szCs w:val="20"/>
          <w:rtl/>
        </w:rPr>
        <w:t xml:space="preserve"> </w:t>
      </w:r>
      <w:r w:rsidRPr="00A31A7B">
        <w:rPr>
          <w:rFonts w:hint="cs"/>
          <w:b/>
          <w:bCs/>
          <w:sz w:val="20"/>
          <w:szCs w:val="20"/>
          <w:rtl/>
        </w:rPr>
        <w:t>(התנועה לאיכות השלטון)</w:t>
      </w:r>
      <w:r>
        <w:rPr>
          <w:rFonts w:hint="cs"/>
          <w:sz w:val="20"/>
          <w:szCs w:val="20"/>
          <w:rtl/>
        </w:rPr>
        <w:t xml:space="preserve"> ביחס להיבטי השוויון הכלולים בגדרה של הזכות לכבוד האדם. דבריו של חבר הכנסת אמנון רובינשטיין, שצוטטו על ידי השופטת דורנר בפס"ד </w:t>
      </w:r>
      <w:r w:rsidRPr="00A31A7B">
        <w:rPr>
          <w:rFonts w:hint="cs"/>
          <w:b/>
          <w:bCs/>
          <w:sz w:val="20"/>
          <w:szCs w:val="20"/>
          <w:rtl/>
        </w:rPr>
        <w:t>מילר</w:t>
      </w:r>
      <w:r>
        <w:rPr>
          <w:rFonts w:hint="cs"/>
          <w:sz w:val="20"/>
          <w:szCs w:val="20"/>
          <w:rtl/>
        </w:rPr>
        <w:t>, מצביעים על נקודה חשובה והם מעוררים תהייה (=שאלה) ביחס לאופן שבו בית המשפט בפס"ד חוק טל 1 מתמודד עם נקודה זו. להלן הדברים שנאמרו בדיון בכנסת על ידי חבה"כ רובינשטיין, מי שהיה יו"ר ועדת חוקה, חוק ומשפט</w:t>
      </w:r>
      <w:r w:rsidRPr="00846407">
        <w:rPr>
          <w:rFonts w:hint="cs"/>
          <w:sz w:val="20"/>
          <w:szCs w:val="20"/>
          <w:rtl/>
        </w:rPr>
        <w:t xml:space="preserve"> </w:t>
      </w:r>
      <w:r>
        <w:rPr>
          <w:rFonts w:hint="cs"/>
          <w:sz w:val="20"/>
          <w:szCs w:val="20"/>
          <w:rtl/>
        </w:rPr>
        <w:t>בעת קבלת חוקי היסוד:</w:t>
      </w:r>
    </w:p>
    <w:p w:rsidR="005366A8" w:rsidRPr="00B64DAF" w:rsidRDefault="005366A8" w:rsidP="005366A8">
      <w:pPr>
        <w:spacing w:after="60"/>
        <w:ind w:left="720"/>
        <w:rPr>
          <w:rFonts w:cs="FrankRuehl"/>
          <w:sz w:val="22"/>
          <w:szCs w:val="22"/>
          <w:rtl/>
        </w:rPr>
      </w:pPr>
      <w:r w:rsidRPr="00B64DAF">
        <w:rPr>
          <w:rFonts w:cs="FrankRuehl"/>
          <w:sz w:val="22"/>
          <w:szCs w:val="22"/>
          <w:rtl/>
        </w:rPr>
        <w:t xml:space="preserve">"אין כאן </w:t>
      </w:r>
      <w:r>
        <w:rPr>
          <w:rFonts w:cs="FrankRuehl" w:hint="cs"/>
          <w:sz w:val="22"/>
          <w:szCs w:val="22"/>
          <w:rtl/>
        </w:rPr>
        <w:t xml:space="preserve">[בחוק היסוד] </w:t>
      </w:r>
      <w:r w:rsidRPr="00B64DAF">
        <w:rPr>
          <w:rFonts w:cs="FrankRuehl"/>
          <w:sz w:val="22"/>
          <w:szCs w:val="22"/>
          <w:rtl/>
        </w:rPr>
        <w:t xml:space="preserve">סעיף שוויון כללי. נכון, מכיוון שסעיף השוויון הכללי הזה היה אבן הנגף, המכשלה שבגללה אי אפשר לקבל את הצעת החוק הכוללנית". </w:t>
      </w:r>
    </w:p>
    <w:p w:rsidR="005366A8" w:rsidRDefault="005366A8" w:rsidP="005366A8">
      <w:pPr>
        <w:spacing w:after="120"/>
        <w:rPr>
          <w:sz w:val="20"/>
          <w:szCs w:val="20"/>
          <w:rtl/>
        </w:rPr>
      </w:pPr>
      <w:r>
        <w:rPr>
          <w:rFonts w:hint="cs"/>
          <w:sz w:val="20"/>
          <w:szCs w:val="20"/>
          <w:rtl/>
        </w:rPr>
        <w:t>אני תומך במהלכו של בית המשפט. אני חושב שדבריו של חבה"כ רובינשטיין אינם מקימים משוכה גבוהה של ממש בפני מהלך זה. להלן נימוקי.</w:t>
      </w:r>
    </w:p>
    <w:p w:rsidR="005366A8" w:rsidRPr="00164CED" w:rsidRDefault="005366A8" w:rsidP="005366A8">
      <w:pPr>
        <w:spacing w:after="60"/>
        <w:rPr>
          <w:sz w:val="20"/>
          <w:szCs w:val="20"/>
          <w:rtl/>
        </w:rPr>
      </w:pPr>
      <w:r>
        <w:rPr>
          <w:rFonts w:hint="cs"/>
          <w:sz w:val="20"/>
          <w:szCs w:val="20"/>
          <w:rtl/>
        </w:rPr>
        <w:t xml:space="preserve">ראשית, חבה"כ רובינשטיין מדבר על העדר עיגון של סעיף שוויון </w:t>
      </w:r>
      <w:r w:rsidRPr="00164CED">
        <w:rPr>
          <w:rFonts w:hint="cs"/>
          <w:b/>
          <w:bCs/>
          <w:i/>
          <w:iCs/>
          <w:sz w:val="20"/>
          <w:szCs w:val="20"/>
          <w:rtl/>
        </w:rPr>
        <w:t>כללי</w:t>
      </w:r>
      <w:r w:rsidRPr="00573079">
        <w:rPr>
          <w:rFonts w:hint="cs"/>
          <w:sz w:val="20"/>
          <w:szCs w:val="20"/>
          <w:rtl/>
        </w:rPr>
        <w:t>, קרי</w:t>
      </w:r>
      <w:r>
        <w:rPr>
          <w:rFonts w:hint="cs"/>
          <w:b/>
          <w:bCs/>
          <w:i/>
          <w:iCs/>
          <w:sz w:val="20"/>
          <w:szCs w:val="20"/>
          <w:rtl/>
        </w:rPr>
        <w:t xml:space="preserve"> </w:t>
      </w:r>
      <w:r>
        <w:rPr>
          <w:rFonts w:hint="cs"/>
          <w:sz w:val="20"/>
          <w:szCs w:val="20"/>
          <w:rtl/>
        </w:rPr>
        <w:t>איסור אפליה כללי, ברמה החוקתית. והנה פסק דין</w:t>
      </w:r>
      <w:r w:rsidRPr="00846407">
        <w:rPr>
          <w:rFonts w:hint="cs"/>
          <w:b/>
          <w:bCs/>
          <w:sz w:val="20"/>
          <w:szCs w:val="20"/>
          <w:rtl/>
        </w:rPr>
        <w:t xml:space="preserve"> חוק טל 1</w:t>
      </w:r>
      <w:r>
        <w:rPr>
          <w:rFonts w:hint="cs"/>
          <w:sz w:val="20"/>
          <w:szCs w:val="20"/>
          <w:rtl/>
        </w:rPr>
        <w:t xml:space="preserve"> לא גיבש סעיף שוויון שכזה. בית המשפט העליון גיבש כאן </w:t>
      </w:r>
      <w:r>
        <w:rPr>
          <w:sz w:val="20"/>
          <w:szCs w:val="20"/>
          <w:rtl/>
        </w:rPr>
        <w:t>–</w:t>
      </w:r>
      <w:r>
        <w:rPr>
          <w:rFonts w:hint="cs"/>
          <w:sz w:val="20"/>
          <w:szCs w:val="20"/>
          <w:rtl/>
        </w:rPr>
        <w:t xml:space="preserve"> סביב הזכות לכבוד האדם </w:t>
      </w:r>
      <w:r>
        <w:rPr>
          <w:sz w:val="20"/>
          <w:szCs w:val="20"/>
          <w:rtl/>
        </w:rPr>
        <w:t>–</w:t>
      </w:r>
      <w:r>
        <w:rPr>
          <w:rFonts w:hint="cs"/>
          <w:sz w:val="20"/>
          <w:szCs w:val="20"/>
          <w:rtl/>
        </w:rPr>
        <w:t xml:space="preserve"> </w:t>
      </w:r>
      <w:r w:rsidRPr="00846407">
        <w:rPr>
          <w:rFonts w:hint="cs"/>
          <w:b/>
          <w:bCs/>
          <w:i/>
          <w:iCs/>
          <w:sz w:val="20"/>
          <w:szCs w:val="20"/>
          <w:rtl/>
        </w:rPr>
        <w:t>הגנה על השוויון בהקשרים שבהם היחס השונה בין בני קבוצה אחת לבין בני קבוצות אחרות נוגע לפעולות שנוגעות או קרובות לליבת כבוד האדם</w:t>
      </w:r>
      <w:r>
        <w:rPr>
          <w:rFonts w:hint="cs"/>
          <w:sz w:val="20"/>
          <w:szCs w:val="20"/>
          <w:rtl/>
        </w:rPr>
        <w:t>. דוגמא אכן מובהקת, היא השירות הצבאי, על מידת הסיכון ועל היקף הגבלת האוטונומיה הטמונה בו.</w:t>
      </w:r>
    </w:p>
    <w:p w:rsidR="005366A8" w:rsidRDefault="005366A8" w:rsidP="005366A8">
      <w:pPr>
        <w:spacing w:after="60"/>
        <w:rPr>
          <w:sz w:val="20"/>
          <w:szCs w:val="20"/>
          <w:rtl/>
        </w:rPr>
      </w:pPr>
      <w:r>
        <w:rPr>
          <w:rFonts w:hint="cs"/>
          <w:sz w:val="20"/>
          <w:szCs w:val="20"/>
          <w:rtl/>
        </w:rPr>
        <w:t xml:space="preserve">שנית, חוקים עובדים </w:t>
      </w:r>
      <w:r w:rsidRPr="00164CED">
        <w:rPr>
          <w:rFonts w:hint="cs"/>
          <w:i/>
          <w:iCs/>
          <w:sz w:val="20"/>
          <w:szCs w:val="20"/>
          <w:rtl/>
        </w:rPr>
        <w:t>דרך טקסט מילולי</w:t>
      </w:r>
      <w:r>
        <w:rPr>
          <w:rFonts w:hint="cs"/>
          <w:sz w:val="20"/>
          <w:szCs w:val="20"/>
          <w:rtl/>
        </w:rPr>
        <w:t xml:space="preserve">, בין היתר, משום שהם נוצרים על ידי פעולה של </w:t>
      </w:r>
      <w:r w:rsidRPr="00164CED">
        <w:rPr>
          <w:rFonts w:hint="cs"/>
          <w:i/>
          <w:iCs/>
          <w:sz w:val="20"/>
          <w:szCs w:val="20"/>
          <w:rtl/>
        </w:rPr>
        <w:t>גוף קולקטיבי</w:t>
      </w:r>
      <w:r>
        <w:rPr>
          <w:rFonts w:hint="cs"/>
          <w:sz w:val="20"/>
          <w:szCs w:val="20"/>
          <w:rtl/>
        </w:rPr>
        <w:t xml:space="preserve"> </w:t>
      </w:r>
      <w:r>
        <w:rPr>
          <w:sz w:val="20"/>
          <w:szCs w:val="20"/>
          <w:rtl/>
        </w:rPr>
        <w:t>–</w:t>
      </w:r>
      <w:r>
        <w:rPr>
          <w:rFonts w:hint="cs"/>
          <w:sz w:val="20"/>
          <w:szCs w:val="20"/>
          <w:rtl/>
        </w:rPr>
        <w:t xml:space="preserve"> גוף המורכב מחברים רבים. כלומר חברי כנסת המתבוננים בטקסט, מבארים אותו לעצמם, מקשיבים לדיונים ביחס אליו, וכדומה. קשה לדלות (=לאתר) את ההבנה המדויקת, הברורה, של הטקסט, שכן אנשים שונים אולי הבינו כל אחד באופן קצת שונה מהאחר. יתר על כן, בטקסט חוקתי, בשל דרגת מופשטותו, נקודה זו נכונה מקל וחומר.</w:t>
      </w:r>
    </w:p>
    <w:p w:rsidR="005366A8" w:rsidRDefault="005366A8" w:rsidP="005366A8">
      <w:pPr>
        <w:spacing w:after="60"/>
        <w:rPr>
          <w:sz w:val="20"/>
          <w:szCs w:val="20"/>
          <w:rtl/>
        </w:rPr>
      </w:pPr>
      <w:r>
        <w:rPr>
          <w:rFonts w:hint="cs"/>
          <w:sz w:val="20"/>
          <w:szCs w:val="20"/>
          <w:rtl/>
        </w:rPr>
        <w:t xml:space="preserve">שלישית, ואולי בשל "הקולקטיביות" של הגוף המחוקק, שיטת הפרשנות הנוהגת בישראל היא "הפרשנות התכליתית". זו מתחקה אחר "תכלית הנורמה", להבדיל מכוונת מחוקקהּ [=מחוקקיה הרבים]. והנה פרשנות זו מפנה הן לתכליות הסוביקטיביות/ המיוחדות של הנורמה המשפטית והן לתכליות האוביקטיביות/ הכלליות שלה (=ערכי היסוד). וגם זה מרחיק אותנו </w:t>
      </w:r>
      <w:r>
        <w:rPr>
          <w:sz w:val="20"/>
          <w:szCs w:val="20"/>
          <w:rtl/>
        </w:rPr>
        <w:t>–</w:t>
      </w:r>
      <w:r>
        <w:rPr>
          <w:rFonts w:hint="cs"/>
          <w:sz w:val="20"/>
          <w:szCs w:val="20"/>
          <w:rtl/>
        </w:rPr>
        <w:t xml:space="preserve"> חלקית </w:t>
      </w:r>
      <w:r>
        <w:rPr>
          <w:sz w:val="20"/>
          <w:szCs w:val="20"/>
          <w:rtl/>
        </w:rPr>
        <w:t>–</w:t>
      </w:r>
      <w:r>
        <w:rPr>
          <w:rFonts w:hint="cs"/>
          <w:sz w:val="20"/>
          <w:szCs w:val="20"/>
          <w:rtl/>
        </w:rPr>
        <w:t xml:space="preserve"> מכוונת המחוקק, שבוטאה כאן, בין היתר, על ידי יו"ר ועדת החוקה.</w:t>
      </w:r>
    </w:p>
    <w:p w:rsidR="005366A8" w:rsidRDefault="005366A8" w:rsidP="005366A8">
      <w:pPr>
        <w:spacing w:after="60"/>
        <w:rPr>
          <w:sz w:val="20"/>
          <w:szCs w:val="20"/>
          <w:rtl/>
        </w:rPr>
      </w:pPr>
      <w:r>
        <w:rPr>
          <w:rFonts w:hint="cs"/>
          <w:sz w:val="20"/>
          <w:szCs w:val="20"/>
          <w:rtl/>
        </w:rPr>
        <w:t xml:space="preserve">רביעית, הכנסת בכובעה המכונן גוננה מפורשות על הזכות ל"כבוד האדם". היא קבעה את הזכות הזו </w:t>
      </w:r>
      <w:r>
        <w:rPr>
          <w:sz w:val="20"/>
          <w:szCs w:val="20"/>
          <w:rtl/>
        </w:rPr>
        <w:t>–</w:t>
      </w:r>
      <w:r>
        <w:rPr>
          <w:rFonts w:hint="cs"/>
          <w:sz w:val="20"/>
          <w:szCs w:val="20"/>
          <w:rtl/>
        </w:rPr>
        <w:t xml:space="preserve"> פעמיים, "אין פוגעים..." (סע' 2), "כל אדם זכאי להגנה..." (סע' 4) </w:t>
      </w:r>
      <w:r>
        <w:rPr>
          <w:sz w:val="20"/>
          <w:szCs w:val="20"/>
          <w:rtl/>
        </w:rPr>
        <w:t>–</w:t>
      </w:r>
      <w:r>
        <w:rPr>
          <w:rFonts w:hint="cs"/>
          <w:sz w:val="20"/>
          <w:szCs w:val="20"/>
          <w:rtl/>
        </w:rPr>
        <w:t xml:space="preserve"> ובית המשפט ניצב מול טקסט זה וצריך לפרשו. האם לפרשו כגישת השופטת דורנר (איסור השפלה בלבד) או כגישת השופטים </w:t>
      </w:r>
      <w:r w:rsidRPr="00205F49">
        <w:rPr>
          <w:rFonts w:hint="cs"/>
          <w:b/>
          <w:bCs/>
          <w:sz w:val="20"/>
          <w:szCs w:val="20"/>
          <w:rtl/>
        </w:rPr>
        <w:t>בחוק טל 1</w:t>
      </w:r>
      <w:r>
        <w:rPr>
          <w:rFonts w:hint="cs"/>
          <w:sz w:val="20"/>
          <w:szCs w:val="20"/>
          <w:rtl/>
        </w:rPr>
        <w:t>? זו שאלה רצינית, אך אם מקבלים את הנקודות המושמעות כאן, הרי שאין טעם חזק להגביל את הזכות לכבוד האדם באופן צר למדי, כגישתה של השו' דורנר.</w:t>
      </w:r>
    </w:p>
    <w:p w:rsidR="005366A8" w:rsidRDefault="005366A8" w:rsidP="005366A8">
      <w:pPr>
        <w:rPr>
          <w:sz w:val="20"/>
          <w:szCs w:val="20"/>
          <w:rtl/>
        </w:rPr>
      </w:pPr>
      <w:r>
        <w:rPr>
          <w:rFonts w:hint="cs"/>
          <w:sz w:val="20"/>
          <w:szCs w:val="20"/>
          <w:rtl/>
        </w:rPr>
        <w:t xml:space="preserve">חמישית </w:t>
      </w:r>
      <w:r>
        <w:rPr>
          <w:sz w:val="20"/>
          <w:szCs w:val="20"/>
          <w:rtl/>
        </w:rPr>
        <w:t>–</w:t>
      </w:r>
      <w:r>
        <w:rPr>
          <w:rFonts w:hint="cs"/>
          <w:sz w:val="20"/>
          <w:szCs w:val="20"/>
          <w:rtl/>
        </w:rPr>
        <w:t xml:space="preserve"> ונקודה זו נכונה למהלכים מוּקשים או מורכבים של בית המשפט בכל הנוגע למבנה החוקתי של ישראל. צריך אכן להודות: החוקה של ישראל היא 'צולעת', והיא נבנתה והיא נבנית בצורה יוצאת-דופן בהשוואה לחוקות רגילות. עם זאת, חלק חשוב מהלגיטימיות של המבנה החוקתי שנוצר, נובעת מכך שמבנה זה הוא הפיך. במילים אחרות, זה לא בית משפט עליון בארצות הברית שמפרש חוקה נוקשה מאד, שלא תשתנה (מעשית) אלא באמצעות שינוי בפרשנותו שלו, של בית המשפט. קביעותיו של בית המשפט העליון בישראל בעניין תכני החוקה פתוחים לשינוי, ולטעמי אפילו פתוחים מדי לשינוי. והנה, אנו מצויים שמונה שנים לאחר פסק דין </w:t>
      </w:r>
      <w:r w:rsidRPr="00205F49">
        <w:rPr>
          <w:rFonts w:hint="cs"/>
          <w:b/>
          <w:bCs/>
          <w:sz w:val="20"/>
          <w:szCs w:val="20"/>
          <w:rtl/>
        </w:rPr>
        <w:t>חוק טל 1</w:t>
      </w:r>
      <w:r>
        <w:rPr>
          <w:rFonts w:hint="cs"/>
          <w:sz w:val="20"/>
          <w:szCs w:val="20"/>
          <w:rtl/>
        </w:rPr>
        <w:t xml:space="preserve"> והכנסת בכובעה המכונן לא פעלה כלל לשנות את הפרשנות שניתנה שם. </w:t>
      </w:r>
    </w:p>
    <w:p w:rsidR="005366A8" w:rsidRDefault="005366A8" w:rsidP="005366A8">
      <w:pPr>
        <w:rPr>
          <w:sz w:val="20"/>
          <w:szCs w:val="20"/>
          <w:rtl/>
        </w:rPr>
      </w:pPr>
      <w:r>
        <w:rPr>
          <w:rFonts w:hint="cs"/>
          <w:sz w:val="20"/>
          <w:szCs w:val="20"/>
          <w:rtl/>
        </w:rPr>
        <w:t>האין לתת לכך (ולטעמים הנוספים שהוזכרו) משקל של ממש?</w:t>
      </w:r>
    </w:p>
    <w:p w:rsidR="005366A8" w:rsidRDefault="005366A8" w:rsidP="005366A8">
      <w:pPr>
        <w:rPr>
          <w:sz w:val="22"/>
          <w:szCs w:val="22"/>
          <w:rtl/>
        </w:rPr>
      </w:pPr>
    </w:p>
    <w:p w:rsidR="005366A8" w:rsidRDefault="005366A8" w:rsidP="005366A8">
      <w:pPr>
        <w:rPr>
          <w:sz w:val="22"/>
          <w:szCs w:val="22"/>
          <w:rtl/>
        </w:rPr>
      </w:pPr>
      <w:r>
        <w:rPr>
          <w:rFonts w:hint="cs"/>
          <w:sz w:val="22"/>
          <w:szCs w:val="22"/>
          <w:rtl/>
        </w:rPr>
        <w:t>=-=</w:t>
      </w:r>
    </w:p>
    <w:p w:rsidR="005366A8" w:rsidRPr="00573079" w:rsidRDefault="005366A8" w:rsidP="005366A8">
      <w:pPr>
        <w:jc w:val="center"/>
        <w:rPr>
          <w:rFonts w:cs="Guttman-Soncino"/>
          <w:sz w:val="22"/>
          <w:szCs w:val="22"/>
          <w:rtl/>
        </w:rPr>
      </w:pPr>
      <w:r>
        <w:rPr>
          <w:rFonts w:cs="Guttman-Soncino" w:hint="cs"/>
          <w:sz w:val="22"/>
          <w:szCs w:val="22"/>
          <w:rtl/>
        </w:rPr>
        <w:t xml:space="preserve">להלן </w:t>
      </w:r>
      <w:r w:rsidRPr="00573079">
        <w:rPr>
          <w:rFonts w:cs="Guttman-Soncino" w:hint="cs"/>
          <w:sz w:val="22"/>
          <w:szCs w:val="22"/>
          <w:rtl/>
        </w:rPr>
        <w:t>תרגיל מלפני מספר שנים. אנא "שבו" עליו ברצינות ונסו לפותרו</w:t>
      </w:r>
    </w:p>
    <w:p w:rsidR="005366A8" w:rsidRDefault="005366A8" w:rsidP="005366A8">
      <w:pPr>
        <w:rPr>
          <w:sz w:val="22"/>
          <w:szCs w:val="22"/>
          <w:rtl/>
        </w:rPr>
      </w:pPr>
    </w:p>
    <w:p w:rsidR="005366A8" w:rsidRPr="00430058" w:rsidRDefault="005366A8" w:rsidP="005366A8">
      <w:pPr>
        <w:rPr>
          <w:sz w:val="22"/>
          <w:szCs w:val="22"/>
          <w:rtl/>
        </w:rPr>
      </w:pPr>
      <w:r w:rsidRPr="00430058">
        <w:rPr>
          <w:rFonts w:hint="cs"/>
          <w:sz w:val="22"/>
          <w:szCs w:val="22"/>
          <w:rtl/>
        </w:rPr>
        <w:t xml:space="preserve">הניחו כי </w:t>
      </w:r>
      <w:bookmarkStart w:id="4" w:name="Title"/>
      <w:r w:rsidRPr="00430058">
        <w:rPr>
          <w:rFonts w:cs="David"/>
          <w:sz w:val="22"/>
          <w:szCs w:val="22"/>
          <w:rtl/>
        </w:rPr>
        <w:t>הצעת חוק שירותי תיירות (תיקון – מורי דרך), התש"ע–2010</w:t>
      </w:r>
      <w:bookmarkEnd w:id="4"/>
      <w:r w:rsidRPr="00430058">
        <w:rPr>
          <w:rFonts w:hint="cs"/>
          <w:sz w:val="22"/>
          <w:szCs w:val="22"/>
          <w:rtl/>
        </w:rPr>
        <w:t>, המופיעה להלן, התקבלה. [אין זה מצב הדברים בהווה].</w:t>
      </w:r>
    </w:p>
    <w:p w:rsidR="005366A8" w:rsidRPr="00B8414F" w:rsidRDefault="005366A8" w:rsidP="005366A8">
      <w:pPr>
        <w:pStyle w:val="HeadHatzaotHok"/>
        <w:spacing w:line="240" w:lineRule="auto"/>
        <w:rPr>
          <w:rFonts w:cs="David"/>
          <w:szCs w:val="20"/>
          <w:rtl/>
        </w:rPr>
      </w:pPr>
      <w:r w:rsidRPr="00B8414F">
        <w:rPr>
          <w:rFonts w:cs="David"/>
          <w:szCs w:val="20"/>
          <w:rtl/>
        </w:rPr>
        <w:t xml:space="preserve">הכנסת </w:t>
      </w:r>
      <w:bookmarkStart w:id="5" w:name="KnessetNum"/>
      <w:r w:rsidRPr="00B8414F">
        <w:rPr>
          <w:rFonts w:cs="David"/>
          <w:szCs w:val="20"/>
          <w:rtl/>
        </w:rPr>
        <w:t>השמונה-עשרה</w:t>
      </w:r>
      <w:bookmarkEnd w:id="5"/>
    </w:p>
    <w:p w:rsidR="005366A8" w:rsidRPr="00B8414F" w:rsidRDefault="005366A8" w:rsidP="005366A8">
      <w:pPr>
        <w:rPr>
          <w:rFonts w:cs="David"/>
          <w:sz w:val="20"/>
          <w:szCs w:val="20"/>
          <w:rtl/>
        </w:rPr>
      </w:pPr>
    </w:p>
    <w:p w:rsidR="005366A8" w:rsidRPr="00B8414F" w:rsidRDefault="005366A8" w:rsidP="005366A8">
      <w:pPr>
        <w:pStyle w:val="David"/>
        <w:spacing w:line="240" w:lineRule="auto"/>
        <w:ind w:left="2880" w:firstLine="720"/>
        <w:rPr>
          <w:rFonts w:cs="David"/>
          <w:b/>
          <w:bCs/>
          <w:sz w:val="20"/>
          <w:szCs w:val="20"/>
          <w:rtl/>
        </w:rPr>
      </w:pPr>
      <w:r w:rsidRPr="00B8414F">
        <w:rPr>
          <w:rFonts w:cs="David" w:hint="cs"/>
          <w:sz w:val="20"/>
          <w:szCs w:val="20"/>
          <w:rtl/>
        </w:rPr>
        <w:t>הצעת</w:t>
      </w:r>
      <w:r w:rsidRPr="00B8414F">
        <w:rPr>
          <w:rFonts w:cs="David"/>
          <w:sz w:val="20"/>
          <w:szCs w:val="20"/>
          <w:rtl/>
        </w:rPr>
        <w:t xml:space="preserve"> </w:t>
      </w:r>
      <w:r w:rsidRPr="00B8414F">
        <w:rPr>
          <w:rFonts w:cs="David" w:hint="cs"/>
          <w:sz w:val="20"/>
          <w:szCs w:val="20"/>
          <w:rtl/>
        </w:rPr>
        <w:t>חוק</w:t>
      </w:r>
      <w:r w:rsidRPr="00B8414F">
        <w:rPr>
          <w:rFonts w:cs="David"/>
          <w:sz w:val="20"/>
          <w:szCs w:val="20"/>
          <w:rtl/>
        </w:rPr>
        <w:t xml:space="preserve"> </w:t>
      </w:r>
      <w:r w:rsidRPr="00B8414F">
        <w:rPr>
          <w:rFonts w:cs="David" w:hint="cs"/>
          <w:sz w:val="20"/>
          <w:szCs w:val="20"/>
          <w:rtl/>
        </w:rPr>
        <w:t>של</w:t>
      </w:r>
      <w:r w:rsidRPr="00B8414F">
        <w:rPr>
          <w:rFonts w:cs="David"/>
          <w:sz w:val="20"/>
          <w:szCs w:val="20"/>
          <w:rtl/>
        </w:rPr>
        <w:t xml:space="preserve">  </w:t>
      </w:r>
      <w:bookmarkStart w:id="6" w:name="MKsSingleOrMulti"/>
      <w:r w:rsidRPr="00B8414F">
        <w:rPr>
          <w:rFonts w:cs="David" w:hint="cs"/>
          <w:sz w:val="20"/>
          <w:szCs w:val="20"/>
          <w:rtl/>
        </w:rPr>
        <w:t>חברי</w:t>
      </w:r>
      <w:r w:rsidRPr="00B8414F">
        <w:rPr>
          <w:rFonts w:cs="David"/>
          <w:sz w:val="20"/>
          <w:szCs w:val="20"/>
          <w:rtl/>
        </w:rPr>
        <w:t xml:space="preserve"> </w:t>
      </w:r>
      <w:r w:rsidRPr="00B8414F">
        <w:rPr>
          <w:rFonts w:cs="David" w:hint="cs"/>
          <w:sz w:val="20"/>
          <w:szCs w:val="20"/>
          <w:rtl/>
        </w:rPr>
        <w:t>הכנסת</w:t>
      </w:r>
      <w:bookmarkEnd w:id="6"/>
      <w:r w:rsidRPr="00B8414F">
        <w:rPr>
          <w:rFonts w:cs="David"/>
          <w:sz w:val="20"/>
          <w:szCs w:val="20"/>
        </w:rPr>
        <w:tab/>
      </w:r>
      <w:r w:rsidRPr="00B8414F">
        <w:rPr>
          <w:rFonts w:cs="David"/>
          <w:sz w:val="20"/>
          <w:szCs w:val="20"/>
        </w:rPr>
        <w:tab/>
      </w:r>
      <w:bookmarkStart w:id="7" w:name="MKs"/>
      <w:r w:rsidRPr="00B8414F">
        <w:rPr>
          <w:rFonts w:cs="David" w:hint="cs"/>
          <w:b/>
          <w:bCs/>
          <w:sz w:val="20"/>
          <w:szCs w:val="20"/>
          <w:rtl/>
        </w:rPr>
        <w:t>גדעון</w:t>
      </w:r>
      <w:r w:rsidRPr="00B8414F">
        <w:rPr>
          <w:rFonts w:cs="David"/>
          <w:b/>
          <w:bCs/>
          <w:sz w:val="20"/>
          <w:szCs w:val="20"/>
          <w:rtl/>
        </w:rPr>
        <w:t xml:space="preserve"> </w:t>
      </w:r>
      <w:r w:rsidRPr="00B8414F">
        <w:rPr>
          <w:rFonts w:cs="David" w:hint="cs"/>
          <w:b/>
          <w:bCs/>
          <w:sz w:val="20"/>
          <w:szCs w:val="20"/>
          <w:rtl/>
        </w:rPr>
        <w:t>עזרא</w:t>
      </w:r>
    </w:p>
    <w:p w:rsidR="005366A8" w:rsidRPr="00B8414F" w:rsidRDefault="005366A8" w:rsidP="005366A8">
      <w:pPr>
        <w:pStyle w:val="David"/>
        <w:spacing w:line="240" w:lineRule="auto"/>
        <w:ind w:left="2880" w:firstLine="720"/>
        <w:rPr>
          <w:rFonts w:cs="David"/>
          <w:b/>
          <w:bCs/>
          <w:sz w:val="20"/>
          <w:szCs w:val="20"/>
        </w:rPr>
      </w:pPr>
      <w:r w:rsidRPr="00B8414F">
        <w:rPr>
          <w:rFonts w:cs="David"/>
          <w:b/>
          <w:bCs/>
          <w:sz w:val="20"/>
          <w:szCs w:val="20"/>
        </w:rPr>
        <w:tab/>
      </w:r>
      <w:r w:rsidRPr="00B8414F">
        <w:rPr>
          <w:rFonts w:cs="David"/>
          <w:b/>
          <w:bCs/>
          <w:sz w:val="20"/>
          <w:szCs w:val="20"/>
        </w:rPr>
        <w:tab/>
      </w:r>
      <w:r w:rsidRPr="00B8414F">
        <w:rPr>
          <w:rFonts w:cs="David"/>
          <w:b/>
          <w:bCs/>
          <w:sz w:val="20"/>
          <w:szCs w:val="20"/>
        </w:rPr>
        <w:tab/>
      </w:r>
      <w:r w:rsidRPr="00B8414F">
        <w:rPr>
          <w:rFonts w:cs="David"/>
          <w:b/>
          <w:bCs/>
          <w:sz w:val="20"/>
          <w:szCs w:val="20"/>
        </w:rPr>
        <w:tab/>
      </w:r>
      <w:r w:rsidRPr="00B8414F">
        <w:rPr>
          <w:rFonts w:cs="David"/>
          <w:b/>
          <w:bCs/>
          <w:sz w:val="20"/>
          <w:szCs w:val="20"/>
        </w:rPr>
        <w:tab/>
      </w:r>
      <w:r w:rsidRPr="00B8414F">
        <w:rPr>
          <w:rFonts w:cs="David" w:hint="cs"/>
          <w:b/>
          <w:bCs/>
          <w:sz w:val="20"/>
          <w:szCs w:val="20"/>
          <w:rtl/>
        </w:rPr>
        <w:t>אורי</w:t>
      </w:r>
      <w:r w:rsidRPr="00B8414F">
        <w:rPr>
          <w:rFonts w:cs="David"/>
          <w:b/>
          <w:bCs/>
          <w:sz w:val="20"/>
          <w:szCs w:val="20"/>
          <w:rtl/>
        </w:rPr>
        <w:t xml:space="preserve">  </w:t>
      </w:r>
      <w:r w:rsidRPr="00B8414F">
        <w:rPr>
          <w:rFonts w:cs="David" w:hint="cs"/>
          <w:b/>
          <w:bCs/>
          <w:sz w:val="20"/>
          <w:szCs w:val="20"/>
          <w:rtl/>
        </w:rPr>
        <w:t>אריאל</w:t>
      </w:r>
    </w:p>
    <w:p w:rsidR="005366A8" w:rsidRPr="00B8414F" w:rsidRDefault="005366A8" w:rsidP="005366A8">
      <w:pPr>
        <w:pStyle w:val="David"/>
        <w:spacing w:line="240" w:lineRule="auto"/>
        <w:ind w:left="2880" w:firstLine="720"/>
        <w:rPr>
          <w:rFonts w:cs="David"/>
          <w:b/>
          <w:bCs/>
          <w:sz w:val="20"/>
          <w:szCs w:val="20"/>
        </w:rPr>
      </w:pPr>
      <w:r w:rsidRPr="00B8414F">
        <w:rPr>
          <w:rFonts w:cs="David"/>
          <w:b/>
          <w:bCs/>
          <w:sz w:val="20"/>
          <w:szCs w:val="20"/>
        </w:rPr>
        <w:tab/>
      </w:r>
      <w:r w:rsidRPr="00B8414F">
        <w:rPr>
          <w:rFonts w:cs="David"/>
          <w:b/>
          <w:bCs/>
          <w:sz w:val="20"/>
          <w:szCs w:val="20"/>
        </w:rPr>
        <w:tab/>
      </w:r>
      <w:r w:rsidRPr="00B8414F">
        <w:rPr>
          <w:rFonts w:cs="David"/>
          <w:b/>
          <w:bCs/>
          <w:sz w:val="20"/>
          <w:szCs w:val="20"/>
        </w:rPr>
        <w:tab/>
      </w:r>
      <w:r w:rsidRPr="00B8414F">
        <w:rPr>
          <w:rFonts w:cs="David"/>
          <w:b/>
          <w:bCs/>
          <w:sz w:val="20"/>
          <w:szCs w:val="20"/>
        </w:rPr>
        <w:tab/>
      </w:r>
      <w:r w:rsidRPr="00B8414F">
        <w:rPr>
          <w:rFonts w:cs="David"/>
          <w:b/>
          <w:bCs/>
          <w:sz w:val="20"/>
          <w:szCs w:val="20"/>
        </w:rPr>
        <w:tab/>
      </w:r>
      <w:r w:rsidRPr="00B8414F">
        <w:rPr>
          <w:rFonts w:cs="David" w:hint="cs"/>
          <w:b/>
          <w:bCs/>
          <w:sz w:val="20"/>
          <w:szCs w:val="20"/>
          <w:rtl/>
        </w:rPr>
        <w:t>כרמל</w:t>
      </w:r>
      <w:r w:rsidRPr="00B8414F">
        <w:rPr>
          <w:rFonts w:cs="David"/>
          <w:b/>
          <w:bCs/>
          <w:sz w:val="20"/>
          <w:szCs w:val="20"/>
          <w:rtl/>
        </w:rPr>
        <w:t xml:space="preserve"> </w:t>
      </w:r>
      <w:r w:rsidRPr="00B8414F">
        <w:rPr>
          <w:rFonts w:cs="David" w:hint="cs"/>
          <w:b/>
          <w:bCs/>
          <w:sz w:val="20"/>
          <w:szCs w:val="20"/>
          <w:rtl/>
        </w:rPr>
        <w:t>שאמה</w:t>
      </w:r>
    </w:p>
    <w:p w:rsidR="005366A8" w:rsidRPr="00B8414F" w:rsidRDefault="005366A8" w:rsidP="005366A8">
      <w:pPr>
        <w:pStyle w:val="David"/>
        <w:spacing w:line="240" w:lineRule="auto"/>
        <w:ind w:left="2880" w:firstLine="720"/>
        <w:rPr>
          <w:rFonts w:cs="David"/>
          <w:b/>
          <w:bCs/>
          <w:sz w:val="20"/>
          <w:szCs w:val="20"/>
        </w:rPr>
      </w:pPr>
      <w:r w:rsidRPr="00B8414F">
        <w:rPr>
          <w:rFonts w:cs="David"/>
          <w:b/>
          <w:bCs/>
          <w:sz w:val="20"/>
          <w:szCs w:val="20"/>
        </w:rPr>
        <w:tab/>
      </w:r>
      <w:r w:rsidRPr="00B8414F">
        <w:rPr>
          <w:rFonts w:cs="David"/>
          <w:b/>
          <w:bCs/>
          <w:sz w:val="20"/>
          <w:szCs w:val="20"/>
        </w:rPr>
        <w:tab/>
      </w:r>
      <w:r w:rsidRPr="00B8414F">
        <w:rPr>
          <w:rFonts w:cs="David"/>
          <w:b/>
          <w:bCs/>
          <w:sz w:val="20"/>
          <w:szCs w:val="20"/>
        </w:rPr>
        <w:tab/>
      </w:r>
      <w:r w:rsidRPr="00B8414F">
        <w:rPr>
          <w:rFonts w:cs="David"/>
          <w:b/>
          <w:bCs/>
          <w:sz w:val="20"/>
          <w:szCs w:val="20"/>
        </w:rPr>
        <w:tab/>
      </w:r>
      <w:r w:rsidRPr="00B8414F">
        <w:rPr>
          <w:rFonts w:cs="David"/>
          <w:b/>
          <w:bCs/>
          <w:sz w:val="20"/>
          <w:szCs w:val="20"/>
        </w:rPr>
        <w:tab/>
      </w:r>
      <w:r w:rsidRPr="00B8414F">
        <w:rPr>
          <w:rFonts w:cs="David" w:hint="cs"/>
          <w:b/>
          <w:bCs/>
          <w:sz w:val="20"/>
          <w:szCs w:val="20"/>
          <w:rtl/>
        </w:rPr>
        <w:t>דני</w:t>
      </w:r>
      <w:r w:rsidRPr="00B8414F">
        <w:rPr>
          <w:rFonts w:cs="David"/>
          <w:b/>
          <w:bCs/>
          <w:sz w:val="20"/>
          <w:szCs w:val="20"/>
          <w:rtl/>
        </w:rPr>
        <w:t xml:space="preserve"> </w:t>
      </w:r>
      <w:r w:rsidRPr="00B8414F">
        <w:rPr>
          <w:rFonts w:cs="David" w:hint="cs"/>
          <w:b/>
          <w:bCs/>
          <w:sz w:val="20"/>
          <w:szCs w:val="20"/>
          <w:rtl/>
        </w:rPr>
        <w:t>דנון</w:t>
      </w:r>
    </w:p>
    <w:bookmarkEnd w:id="7"/>
    <w:p w:rsidR="005366A8" w:rsidRPr="00B8414F" w:rsidRDefault="005366A8" w:rsidP="005366A8">
      <w:pPr>
        <w:pStyle w:val="David"/>
        <w:spacing w:line="240" w:lineRule="auto"/>
        <w:ind w:left="4320"/>
        <w:rPr>
          <w:rFonts w:cs="David"/>
          <w:b/>
          <w:bCs/>
          <w:sz w:val="20"/>
          <w:szCs w:val="20"/>
        </w:rPr>
      </w:pPr>
      <w:r w:rsidRPr="00B8414F">
        <w:rPr>
          <w:rFonts w:cs="David"/>
          <w:sz w:val="20"/>
          <w:szCs w:val="20"/>
        </w:rPr>
        <w:t xml:space="preserve">   </w:t>
      </w:r>
      <w:r w:rsidRPr="00B8414F">
        <w:rPr>
          <w:rFonts w:cs="David"/>
          <w:b/>
          <w:bCs/>
          <w:sz w:val="20"/>
          <w:szCs w:val="20"/>
          <w:rtl/>
        </w:rPr>
        <w:t xml:space="preserve">                                              </w:t>
      </w:r>
      <w:r w:rsidRPr="00B8414F">
        <w:rPr>
          <w:rFonts w:cs="David"/>
          <w:b/>
          <w:bCs/>
          <w:sz w:val="20"/>
          <w:szCs w:val="20"/>
          <w:rtl/>
        </w:rPr>
        <w:tab/>
      </w:r>
      <w:r w:rsidRPr="00B8414F">
        <w:rPr>
          <w:rFonts w:cs="David" w:hint="cs"/>
          <w:b/>
          <w:bCs/>
          <w:sz w:val="20"/>
          <w:szCs w:val="20"/>
          <w:rtl/>
        </w:rPr>
        <w:t>אברהם</w:t>
      </w:r>
      <w:r w:rsidRPr="00B8414F">
        <w:rPr>
          <w:rFonts w:cs="David"/>
          <w:b/>
          <w:bCs/>
          <w:sz w:val="20"/>
          <w:szCs w:val="20"/>
          <w:rtl/>
        </w:rPr>
        <w:t xml:space="preserve"> </w:t>
      </w:r>
      <w:r w:rsidRPr="00B8414F">
        <w:rPr>
          <w:rFonts w:cs="David" w:hint="cs"/>
          <w:b/>
          <w:bCs/>
          <w:sz w:val="20"/>
          <w:szCs w:val="20"/>
          <w:rtl/>
        </w:rPr>
        <w:t>מיכאלי</w:t>
      </w:r>
    </w:p>
    <w:p w:rsidR="005366A8" w:rsidRPr="00B8414F" w:rsidRDefault="005366A8" w:rsidP="005366A8">
      <w:pPr>
        <w:ind w:left="2880" w:firstLine="720"/>
        <w:rPr>
          <w:rFonts w:cs="David"/>
          <w:sz w:val="20"/>
          <w:szCs w:val="20"/>
          <w:rtl/>
        </w:rPr>
      </w:pPr>
      <w:r w:rsidRPr="00B8414F">
        <w:rPr>
          <w:rFonts w:cs="David"/>
          <w:sz w:val="20"/>
          <w:szCs w:val="20"/>
        </w:rPr>
        <w:tab/>
      </w:r>
      <w:r w:rsidRPr="00B8414F">
        <w:rPr>
          <w:rFonts w:cs="David"/>
          <w:sz w:val="20"/>
          <w:szCs w:val="20"/>
        </w:rPr>
        <w:tab/>
      </w:r>
      <w:r w:rsidRPr="00B8414F">
        <w:rPr>
          <w:rFonts w:cs="David"/>
          <w:sz w:val="20"/>
          <w:szCs w:val="20"/>
        </w:rPr>
        <w:tab/>
      </w:r>
      <w:bookmarkStart w:id="8" w:name="MKs1"/>
      <w:r w:rsidRPr="00B8414F">
        <w:rPr>
          <w:rFonts w:cs="David"/>
          <w:sz w:val="20"/>
          <w:szCs w:val="20"/>
        </w:rPr>
        <w:tab/>
        <w:t xml:space="preserve">          </w:t>
      </w:r>
      <w:r w:rsidRPr="00B8414F">
        <w:rPr>
          <w:rFonts w:cs="David"/>
          <w:sz w:val="20"/>
          <w:szCs w:val="20"/>
          <w:rtl/>
        </w:rPr>
        <w:tab/>
      </w:r>
      <w:r w:rsidRPr="00B8414F">
        <w:rPr>
          <w:rFonts w:cs="David" w:hint="cs"/>
          <w:sz w:val="20"/>
          <w:szCs w:val="20"/>
          <w:rtl/>
        </w:rPr>
        <w:t>עתניאל</w:t>
      </w:r>
      <w:r w:rsidRPr="00B8414F">
        <w:rPr>
          <w:rFonts w:cs="David"/>
          <w:sz w:val="20"/>
          <w:szCs w:val="20"/>
          <w:rtl/>
        </w:rPr>
        <w:t xml:space="preserve"> </w:t>
      </w:r>
      <w:r w:rsidRPr="00B8414F">
        <w:rPr>
          <w:rFonts w:cs="David" w:hint="cs"/>
          <w:sz w:val="20"/>
          <w:szCs w:val="20"/>
          <w:rtl/>
        </w:rPr>
        <w:t>שנלר</w:t>
      </w:r>
      <w:bookmarkEnd w:id="8"/>
      <w:r w:rsidRPr="00B8414F">
        <w:rPr>
          <w:rFonts w:cs="David"/>
          <w:sz w:val="20"/>
          <w:szCs w:val="20"/>
        </w:rPr>
        <w:tab/>
      </w:r>
      <w:r w:rsidRPr="00B8414F">
        <w:rPr>
          <w:rFonts w:cs="David"/>
          <w:sz w:val="20"/>
          <w:szCs w:val="20"/>
          <w:rtl/>
        </w:rPr>
        <w:tab/>
      </w:r>
      <w:r w:rsidRPr="00B8414F">
        <w:rPr>
          <w:rFonts w:cs="David"/>
          <w:sz w:val="20"/>
          <w:szCs w:val="20"/>
          <w:rtl/>
        </w:rPr>
        <w:tab/>
      </w:r>
      <w:r w:rsidRPr="00B8414F">
        <w:rPr>
          <w:rFonts w:cs="David"/>
          <w:sz w:val="20"/>
          <w:szCs w:val="20"/>
          <w:rtl/>
        </w:rPr>
        <w:tab/>
      </w:r>
    </w:p>
    <w:p w:rsidR="005366A8" w:rsidRPr="00B8414F" w:rsidRDefault="005D7968" w:rsidP="005366A8">
      <w:pPr>
        <w:ind w:left="2919" w:firstLine="720"/>
        <w:rPr>
          <w:rFonts w:cs="David"/>
          <w:sz w:val="20"/>
          <w:szCs w:val="20"/>
          <w:rtl/>
        </w:rPr>
      </w:pPr>
      <w:r w:rsidRPr="005D7968">
        <w:rPr>
          <w:noProof/>
          <w:sz w:val="20"/>
          <w:szCs w:val="20"/>
          <w:rtl/>
        </w:rPr>
        <w:pict>
          <v:line id="_x0000_s1156" style="position:absolute;left:0;text-align:left;z-index:251797504" from=".1pt,5.1pt" to="300.1pt,5.1pt">
            <w10:wrap anchorx="page"/>
          </v:line>
        </w:pict>
      </w:r>
      <w:r w:rsidR="005366A8" w:rsidRPr="00B8414F">
        <w:rPr>
          <w:rFonts w:cs="David"/>
          <w:sz w:val="20"/>
          <w:szCs w:val="20"/>
          <w:rtl/>
        </w:rPr>
        <w:tab/>
      </w:r>
      <w:r w:rsidR="005366A8" w:rsidRPr="00B8414F">
        <w:rPr>
          <w:rFonts w:cs="David"/>
          <w:sz w:val="20"/>
          <w:szCs w:val="20"/>
          <w:rtl/>
        </w:rPr>
        <w:tab/>
      </w:r>
      <w:r w:rsidR="005366A8" w:rsidRPr="00B8414F">
        <w:rPr>
          <w:rFonts w:cs="David"/>
          <w:sz w:val="20"/>
          <w:szCs w:val="20"/>
          <w:rtl/>
        </w:rPr>
        <w:tab/>
      </w:r>
      <w:r w:rsidR="005366A8" w:rsidRPr="00B8414F">
        <w:rPr>
          <w:rFonts w:cs="David"/>
          <w:sz w:val="20"/>
          <w:szCs w:val="20"/>
          <w:rtl/>
        </w:rPr>
        <w:tab/>
      </w:r>
      <w:r w:rsidR="005366A8" w:rsidRPr="00B8414F">
        <w:rPr>
          <w:rFonts w:cs="David"/>
          <w:sz w:val="20"/>
          <w:szCs w:val="20"/>
          <w:rtl/>
        </w:rPr>
        <w:tab/>
      </w:r>
      <w:bookmarkStart w:id="9" w:name="LawNum"/>
      <w:r w:rsidR="005366A8" w:rsidRPr="00B8414F">
        <w:rPr>
          <w:rFonts w:cs="David" w:hint="cs"/>
          <w:sz w:val="20"/>
          <w:szCs w:val="20"/>
          <w:rtl/>
        </w:rPr>
        <w:t>פ</w:t>
      </w:r>
      <w:r w:rsidR="005366A8" w:rsidRPr="00B8414F">
        <w:rPr>
          <w:rFonts w:cs="David"/>
          <w:sz w:val="20"/>
          <w:szCs w:val="20"/>
          <w:rtl/>
        </w:rPr>
        <w:t>/2195/18</w:t>
      </w:r>
      <w:bookmarkEnd w:id="9"/>
      <w:r w:rsidR="005366A8" w:rsidRPr="00B8414F">
        <w:rPr>
          <w:rFonts w:cs="David"/>
          <w:sz w:val="20"/>
          <w:szCs w:val="20"/>
          <w:rtl/>
        </w:rPr>
        <w:tab/>
      </w:r>
      <w:r w:rsidR="005366A8" w:rsidRPr="00B8414F">
        <w:rPr>
          <w:rFonts w:cs="David"/>
          <w:sz w:val="20"/>
          <w:szCs w:val="20"/>
          <w:rtl/>
        </w:rPr>
        <w:tab/>
      </w:r>
      <w:r w:rsidR="005366A8" w:rsidRPr="00B8414F">
        <w:rPr>
          <w:rFonts w:cs="David"/>
          <w:sz w:val="20"/>
          <w:szCs w:val="20"/>
          <w:rtl/>
        </w:rPr>
        <w:tab/>
      </w:r>
    </w:p>
    <w:p w:rsidR="005366A8" w:rsidRPr="00B8414F" w:rsidRDefault="005366A8" w:rsidP="005366A8">
      <w:pPr>
        <w:pStyle w:val="HeadHatzaotHok"/>
        <w:tabs>
          <w:tab w:val="left" w:pos="4071"/>
          <w:tab w:val="center" w:pos="4819"/>
        </w:tabs>
        <w:spacing w:before="0" w:line="240" w:lineRule="auto"/>
        <w:rPr>
          <w:rFonts w:cs="David"/>
          <w:szCs w:val="20"/>
          <w:rtl/>
        </w:rPr>
      </w:pPr>
      <w:r w:rsidRPr="00B8414F">
        <w:rPr>
          <w:rFonts w:cs="David"/>
          <w:szCs w:val="20"/>
          <w:rtl/>
        </w:rPr>
        <w:t>הצעת חוק שירותי תיירות (תיקון – מורי דרך), התש"ע–2010</w:t>
      </w:r>
    </w:p>
    <w:p w:rsidR="005366A8" w:rsidRPr="00B8414F" w:rsidRDefault="005366A8" w:rsidP="005366A8">
      <w:pPr>
        <w:rPr>
          <w:rFonts w:cs="David"/>
          <w:sz w:val="20"/>
          <w:szCs w:val="20"/>
          <w:rtl/>
        </w:rPr>
      </w:pPr>
    </w:p>
    <w:tbl>
      <w:tblPr>
        <w:bidiVisual/>
        <w:tblW w:w="0" w:type="auto"/>
        <w:tblInd w:w="8" w:type="dxa"/>
        <w:tblCellMar>
          <w:top w:w="57" w:type="dxa"/>
          <w:left w:w="0" w:type="dxa"/>
          <w:bottom w:w="57" w:type="dxa"/>
          <w:right w:w="0" w:type="dxa"/>
        </w:tblCellMar>
        <w:tblLook w:val="0000"/>
      </w:tblPr>
      <w:tblGrid>
        <w:gridCol w:w="1870"/>
        <w:gridCol w:w="624"/>
        <w:gridCol w:w="624"/>
        <w:gridCol w:w="624"/>
        <w:gridCol w:w="624"/>
        <w:gridCol w:w="624"/>
        <w:gridCol w:w="4649"/>
      </w:tblGrid>
      <w:tr w:rsidR="005366A8" w:rsidRPr="00B8414F" w:rsidTr="001845AC">
        <w:trPr>
          <w:cantSplit/>
        </w:trPr>
        <w:tc>
          <w:tcPr>
            <w:tcW w:w="1870" w:type="dxa"/>
            <w:tcBorders>
              <w:top w:val="nil"/>
              <w:left w:val="nil"/>
              <w:bottom w:val="nil"/>
              <w:right w:val="nil"/>
            </w:tcBorders>
          </w:tcPr>
          <w:p w:rsidR="005366A8" w:rsidRPr="00B8414F" w:rsidRDefault="005366A8" w:rsidP="001845AC">
            <w:pPr>
              <w:pStyle w:val="TableSideHeading"/>
              <w:spacing w:line="240" w:lineRule="auto"/>
              <w:ind w:right="0"/>
              <w:rPr>
                <w:rFonts w:cs="David"/>
                <w:szCs w:val="20"/>
              </w:rPr>
            </w:pPr>
            <w:r w:rsidRPr="00B8414F">
              <w:rPr>
                <w:rFonts w:cs="David"/>
                <w:szCs w:val="20"/>
                <w:rtl/>
              </w:rPr>
              <w:t>הוספת סעיף 3ב</w:t>
            </w:r>
          </w:p>
        </w:tc>
        <w:tc>
          <w:tcPr>
            <w:tcW w:w="624" w:type="dxa"/>
            <w:tcBorders>
              <w:top w:val="nil"/>
              <w:left w:val="nil"/>
              <w:bottom w:val="nil"/>
              <w:right w:val="nil"/>
            </w:tcBorders>
          </w:tcPr>
          <w:p w:rsidR="005366A8" w:rsidRPr="00B8414F" w:rsidRDefault="005366A8" w:rsidP="001845AC">
            <w:pPr>
              <w:pStyle w:val="TableText"/>
              <w:spacing w:line="240" w:lineRule="auto"/>
              <w:ind w:right="0"/>
              <w:jc w:val="both"/>
              <w:rPr>
                <w:rFonts w:cs="David"/>
                <w:szCs w:val="20"/>
              </w:rPr>
            </w:pPr>
            <w:r w:rsidRPr="00B8414F">
              <w:rPr>
                <w:rFonts w:cs="David"/>
                <w:szCs w:val="20"/>
                <w:rtl/>
              </w:rPr>
              <w:t>1.</w:t>
            </w:r>
          </w:p>
        </w:tc>
        <w:tc>
          <w:tcPr>
            <w:tcW w:w="7145" w:type="dxa"/>
            <w:gridSpan w:val="5"/>
            <w:tcBorders>
              <w:top w:val="nil"/>
              <w:left w:val="nil"/>
              <w:bottom w:val="nil"/>
              <w:right w:val="nil"/>
            </w:tcBorders>
          </w:tcPr>
          <w:p w:rsidR="005366A8" w:rsidRPr="00B8414F" w:rsidRDefault="005366A8" w:rsidP="001845AC">
            <w:pPr>
              <w:pStyle w:val="TableBlock"/>
              <w:spacing w:line="240" w:lineRule="auto"/>
              <w:rPr>
                <w:rFonts w:cs="David"/>
                <w:szCs w:val="20"/>
              </w:rPr>
            </w:pPr>
            <w:r w:rsidRPr="00B8414F">
              <w:rPr>
                <w:rFonts w:cs="David"/>
                <w:szCs w:val="20"/>
                <w:rtl/>
              </w:rPr>
              <w:t>בחוק שירותי תיירות, התשל"ו–1976</w:t>
            </w:r>
            <w:r w:rsidRPr="00B8414F">
              <w:rPr>
                <w:rStyle w:val="FootnoteReference"/>
                <w:szCs w:val="20"/>
                <w:rtl/>
              </w:rPr>
              <w:footnoteReference w:id="16"/>
            </w:r>
            <w:r w:rsidRPr="00B8414F">
              <w:rPr>
                <w:rFonts w:cs="David"/>
                <w:szCs w:val="20"/>
                <w:rtl/>
              </w:rPr>
              <w:t>, אחרי סעיף 3א יבוא:</w:t>
            </w:r>
          </w:p>
        </w:tc>
      </w:tr>
      <w:tr w:rsidR="005366A8" w:rsidRPr="00B8414F" w:rsidTr="001845AC">
        <w:trPr>
          <w:cantSplit/>
          <w:trHeight w:val="60"/>
        </w:trPr>
        <w:tc>
          <w:tcPr>
            <w:tcW w:w="1870" w:type="dxa"/>
            <w:tcBorders>
              <w:top w:val="nil"/>
              <w:left w:val="nil"/>
              <w:bottom w:val="nil"/>
              <w:right w:val="nil"/>
            </w:tcBorders>
          </w:tcPr>
          <w:p w:rsidR="005366A8" w:rsidRPr="00B8414F" w:rsidRDefault="005366A8" w:rsidP="001845AC">
            <w:pPr>
              <w:pStyle w:val="TableSideHeading"/>
              <w:keepLines w:val="0"/>
              <w:spacing w:line="240" w:lineRule="auto"/>
              <w:rPr>
                <w:rFonts w:cs="David"/>
                <w:szCs w:val="20"/>
              </w:rPr>
            </w:pPr>
          </w:p>
        </w:tc>
        <w:tc>
          <w:tcPr>
            <w:tcW w:w="624" w:type="dxa"/>
            <w:tcBorders>
              <w:top w:val="nil"/>
              <w:left w:val="nil"/>
              <w:bottom w:val="nil"/>
              <w:right w:val="nil"/>
            </w:tcBorders>
          </w:tcPr>
          <w:p w:rsidR="005366A8" w:rsidRPr="00B8414F" w:rsidRDefault="005366A8" w:rsidP="001845AC">
            <w:pPr>
              <w:pStyle w:val="TableText"/>
              <w:keepLines w:val="0"/>
              <w:spacing w:line="240" w:lineRule="auto"/>
              <w:rPr>
                <w:rFonts w:cs="David"/>
                <w:szCs w:val="20"/>
              </w:rPr>
            </w:pPr>
          </w:p>
        </w:tc>
        <w:tc>
          <w:tcPr>
            <w:tcW w:w="1872" w:type="dxa"/>
            <w:gridSpan w:val="3"/>
            <w:tcBorders>
              <w:top w:val="nil"/>
              <w:left w:val="nil"/>
              <w:bottom w:val="nil"/>
              <w:right w:val="nil"/>
            </w:tcBorders>
          </w:tcPr>
          <w:p w:rsidR="005366A8" w:rsidRPr="00B8414F" w:rsidRDefault="005366A8" w:rsidP="001845AC">
            <w:pPr>
              <w:pStyle w:val="TableInnerSideHeading"/>
              <w:spacing w:line="240" w:lineRule="auto"/>
              <w:rPr>
                <w:rFonts w:cs="David"/>
                <w:szCs w:val="20"/>
              </w:rPr>
            </w:pPr>
            <w:r w:rsidRPr="00B8414F">
              <w:rPr>
                <w:rFonts w:cs="David"/>
                <w:szCs w:val="20"/>
                <w:rtl/>
              </w:rPr>
              <w:t>"רישיון מורה דרך</w:t>
            </w:r>
          </w:p>
        </w:tc>
        <w:tc>
          <w:tcPr>
            <w:tcW w:w="624" w:type="dxa"/>
            <w:tcBorders>
              <w:top w:val="nil"/>
              <w:left w:val="nil"/>
              <w:bottom w:val="nil"/>
              <w:right w:val="nil"/>
            </w:tcBorders>
          </w:tcPr>
          <w:p w:rsidR="005366A8" w:rsidRPr="00B8414F" w:rsidRDefault="005366A8" w:rsidP="001845AC">
            <w:pPr>
              <w:pStyle w:val="TableText"/>
              <w:spacing w:line="240" w:lineRule="auto"/>
              <w:rPr>
                <w:rFonts w:cs="David"/>
                <w:szCs w:val="20"/>
              </w:rPr>
            </w:pPr>
            <w:r w:rsidRPr="00B8414F">
              <w:rPr>
                <w:rFonts w:cs="David"/>
                <w:szCs w:val="20"/>
                <w:rtl/>
              </w:rPr>
              <w:t>3ב.</w:t>
            </w:r>
          </w:p>
        </w:tc>
        <w:tc>
          <w:tcPr>
            <w:tcW w:w="4649" w:type="dxa"/>
            <w:tcBorders>
              <w:top w:val="nil"/>
              <w:left w:val="nil"/>
              <w:bottom w:val="nil"/>
              <w:right w:val="nil"/>
            </w:tcBorders>
          </w:tcPr>
          <w:p w:rsidR="005366A8" w:rsidRPr="00B8414F" w:rsidRDefault="005366A8" w:rsidP="001845AC">
            <w:pPr>
              <w:pStyle w:val="TableBlock"/>
              <w:spacing w:line="240" w:lineRule="auto"/>
              <w:rPr>
                <w:rFonts w:cs="David"/>
                <w:szCs w:val="20"/>
              </w:rPr>
            </w:pPr>
            <w:r w:rsidRPr="00B8414F">
              <w:rPr>
                <w:rFonts w:cs="David"/>
                <w:szCs w:val="20"/>
                <w:rtl/>
              </w:rPr>
              <w:t>(א)</w:t>
            </w:r>
            <w:r w:rsidRPr="00B8414F">
              <w:rPr>
                <w:rFonts w:cs="David"/>
                <w:szCs w:val="20"/>
                <w:rtl/>
              </w:rPr>
              <w:tab/>
              <w:t>לא ישמש אדם מורה דרך בתמורה, לא ישמש מסיע בתמורה כמורה דרך ולא יציע שירותיו כמורה דרך בתמורה, אלא אם כן יש בידיו רישיון תקף לפי חוק זה (בסעיף זה – מורה דרך מורשה).</w:t>
            </w:r>
          </w:p>
        </w:tc>
      </w:tr>
      <w:tr w:rsidR="005366A8" w:rsidRPr="00B8414F" w:rsidTr="001845AC">
        <w:trPr>
          <w:cantSplit/>
          <w:trHeight w:val="60"/>
        </w:trPr>
        <w:tc>
          <w:tcPr>
            <w:tcW w:w="1870" w:type="dxa"/>
            <w:tcBorders>
              <w:top w:val="nil"/>
              <w:left w:val="nil"/>
              <w:bottom w:val="nil"/>
              <w:right w:val="nil"/>
            </w:tcBorders>
          </w:tcPr>
          <w:p w:rsidR="005366A8" w:rsidRPr="00B8414F" w:rsidRDefault="005366A8" w:rsidP="001845AC">
            <w:pPr>
              <w:pStyle w:val="TableSideHeading"/>
              <w:spacing w:line="240" w:lineRule="auto"/>
              <w:rPr>
                <w:rFonts w:cs="David"/>
                <w:szCs w:val="20"/>
              </w:rPr>
            </w:pPr>
          </w:p>
        </w:tc>
        <w:tc>
          <w:tcPr>
            <w:tcW w:w="624" w:type="dxa"/>
            <w:tcBorders>
              <w:top w:val="nil"/>
              <w:left w:val="nil"/>
              <w:bottom w:val="nil"/>
              <w:right w:val="nil"/>
            </w:tcBorders>
          </w:tcPr>
          <w:p w:rsidR="005366A8" w:rsidRPr="00B8414F" w:rsidRDefault="005366A8" w:rsidP="001845AC">
            <w:pPr>
              <w:pStyle w:val="TableText"/>
              <w:spacing w:line="240" w:lineRule="auto"/>
              <w:rPr>
                <w:rFonts w:cs="David"/>
                <w:szCs w:val="20"/>
              </w:rPr>
            </w:pPr>
          </w:p>
        </w:tc>
        <w:tc>
          <w:tcPr>
            <w:tcW w:w="624" w:type="dxa"/>
            <w:tcBorders>
              <w:top w:val="nil"/>
              <w:left w:val="nil"/>
              <w:bottom w:val="nil"/>
              <w:right w:val="nil"/>
            </w:tcBorders>
          </w:tcPr>
          <w:p w:rsidR="005366A8" w:rsidRPr="00B8414F" w:rsidRDefault="005366A8" w:rsidP="001845AC">
            <w:pPr>
              <w:pStyle w:val="TableText"/>
              <w:spacing w:line="240" w:lineRule="auto"/>
              <w:rPr>
                <w:rFonts w:cs="David"/>
                <w:szCs w:val="20"/>
              </w:rPr>
            </w:pPr>
          </w:p>
        </w:tc>
        <w:tc>
          <w:tcPr>
            <w:tcW w:w="624" w:type="dxa"/>
            <w:tcBorders>
              <w:top w:val="nil"/>
              <w:left w:val="nil"/>
              <w:bottom w:val="nil"/>
              <w:right w:val="nil"/>
            </w:tcBorders>
          </w:tcPr>
          <w:p w:rsidR="005366A8" w:rsidRPr="00B8414F" w:rsidRDefault="005366A8" w:rsidP="001845AC">
            <w:pPr>
              <w:pStyle w:val="TableText"/>
              <w:spacing w:line="240" w:lineRule="auto"/>
              <w:rPr>
                <w:rFonts w:cs="David"/>
                <w:szCs w:val="20"/>
              </w:rPr>
            </w:pPr>
          </w:p>
        </w:tc>
        <w:tc>
          <w:tcPr>
            <w:tcW w:w="624" w:type="dxa"/>
            <w:tcBorders>
              <w:top w:val="nil"/>
              <w:left w:val="nil"/>
              <w:bottom w:val="nil"/>
              <w:right w:val="nil"/>
            </w:tcBorders>
          </w:tcPr>
          <w:p w:rsidR="005366A8" w:rsidRPr="00B8414F" w:rsidRDefault="005366A8" w:rsidP="001845AC">
            <w:pPr>
              <w:pStyle w:val="TableText"/>
              <w:spacing w:line="240" w:lineRule="auto"/>
              <w:rPr>
                <w:rFonts w:cs="David"/>
                <w:szCs w:val="20"/>
              </w:rPr>
            </w:pPr>
          </w:p>
        </w:tc>
        <w:tc>
          <w:tcPr>
            <w:tcW w:w="624" w:type="dxa"/>
            <w:tcBorders>
              <w:top w:val="nil"/>
              <w:left w:val="nil"/>
              <w:bottom w:val="nil"/>
              <w:right w:val="nil"/>
            </w:tcBorders>
          </w:tcPr>
          <w:p w:rsidR="005366A8" w:rsidRPr="00B8414F" w:rsidRDefault="005366A8" w:rsidP="001845AC">
            <w:pPr>
              <w:pStyle w:val="TableText"/>
              <w:spacing w:line="240" w:lineRule="auto"/>
              <w:rPr>
                <w:rFonts w:cs="David"/>
                <w:szCs w:val="20"/>
              </w:rPr>
            </w:pPr>
          </w:p>
        </w:tc>
        <w:tc>
          <w:tcPr>
            <w:tcW w:w="4649" w:type="dxa"/>
            <w:tcBorders>
              <w:top w:val="nil"/>
              <w:left w:val="nil"/>
              <w:bottom w:val="nil"/>
              <w:right w:val="nil"/>
            </w:tcBorders>
          </w:tcPr>
          <w:p w:rsidR="005366A8" w:rsidRPr="00B8414F" w:rsidRDefault="005366A8" w:rsidP="001845AC">
            <w:pPr>
              <w:pStyle w:val="TableBlock"/>
              <w:spacing w:line="240" w:lineRule="auto"/>
              <w:rPr>
                <w:rFonts w:cs="David"/>
                <w:szCs w:val="20"/>
              </w:rPr>
            </w:pPr>
            <w:r w:rsidRPr="00B8414F">
              <w:rPr>
                <w:rFonts w:cs="David"/>
                <w:szCs w:val="20"/>
                <w:rtl/>
              </w:rPr>
              <w:t>(ב)</w:t>
            </w:r>
            <w:r w:rsidRPr="00B8414F">
              <w:rPr>
                <w:rFonts w:cs="David"/>
                <w:szCs w:val="20"/>
                <w:rtl/>
              </w:rPr>
              <w:tab/>
              <w:t xml:space="preserve">נותן שירותי סוכנות נסיעות או גוף אחר, המארגן סיורים בישראל לתיירי חוץ, לא יעסיק מורה דרך, אלא אם כן הוא מורה דרך מורשה. </w:t>
            </w:r>
          </w:p>
        </w:tc>
      </w:tr>
      <w:tr w:rsidR="005366A8" w:rsidRPr="00B8414F" w:rsidTr="001845AC">
        <w:trPr>
          <w:cantSplit/>
          <w:trHeight w:val="60"/>
        </w:trPr>
        <w:tc>
          <w:tcPr>
            <w:tcW w:w="1870" w:type="dxa"/>
            <w:tcBorders>
              <w:top w:val="nil"/>
              <w:left w:val="nil"/>
              <w:bottom w:val="nil"/>
              <w:right w:val="nil"/>
            </w:tcBorders>
          </w:tcPr>
          <w:p w:rsidR="005366A8" w:rsidRPr="00B8414F" w:rsidRDefault="005366A8" w:rsidP="001845AC">
            <w:pPr>
              <w:pStyle w:val="TableSideHeading"/>
              <w:spacing w:line="240" w:lineRule="auto"/>
              <w:rPr>
                <w:rFonts w:cs="David"/>
                <w:szCs w:val="20"/>
              </w:rPr>
            </w:pPr>
          </w:p>
        </w:tc>
        <w:tc>
          <w:tcPr>
            <w:tcW w:w="624" w:type="dxa"/>
            <w:tcBorders>
              <w:top w:val="nil"/>
              <w:left w:val="nil"/>
              <w:bottom w:val="nil"/>
              <w:right w:val="nil"/>
            </w:tcBorders>
          </w:tcPr>
          <w:p w:rsidR="005366A8" w:rsidRPr="00B8414F" w:rsidRDefault="005366A8" w:rsidP="001845AC">
            <w:pPr>
              <w:pStyle w:val="TableText"/>
              <w:spacing w:line="240" w:lineRule="auto"/>
              <w:rPr>
                <w:rFonts w:cs="David"/>
                <w:szCs w:val="20"/>
              </w:rPr>
            </w:pPr>
          </w:p>
        </w:tc>
        <w:tc>
          <w:tcPr>
            <w:tcW w:w="624" w:type="dxa"/>
            <w:tcBorders>
              <w:top w:val="nil"/>
              <w:left w:val="nil"/>
              <w:bottom w:val="nil"/>
              <w:right w:val="nil"/>
            </w:tcBorders>
          </w:tcPr>
          <w:p w:rsidR="005366A8" w:rsidRPr="00B8414F" w:rsidRDefault="005366A8" w:rsidP="001845AC">
            <w:pPr>
              <w:pStyle w:val="TableText"/>
              <w:spacing w:line="240" w:lineRule="auto"/>
              <w:rPr>
                <w:rFonts w:cs="David"/>
                <w:szCs w:val="20"/>
              </w:rPr>
            </w:pPr>
          </w:p>
        </w:tc>
        <w:tc>
          <w:tcPr>
            <w:tcW w:w="624" w:type="dxa"/>
            <w:tcBorders>
              <w:top w:val="nil"/>
              <w:left w:val="nil"/>
              <w:bottom w:val="nil"/>
              <w:right w:val="nil"/>
            </w:tcBorders>
          </w:tcPr>
          <w:p w:rsidR="005366A8" w:rsidRPr="00B8414F" w:rsidRDefault="005366A8" w:rsidP="001845AC">
            <w:pPr>
              <w:pStyle w:val="TableText"/>
              <w:spacing w:line="240" w:lineRule="auto"/>
              <w:rPr>
                <w:rFonts w:cs="David"/>
                <w:szCs w:val="20"/>
              </w:rPr>
            </w:pPr>
          </w:p>
        </w:tc>
        <w:tc>
          <w:tcPr>
            <w:tcW w:w="624" w:type="dxa"/>
            <w:tcBorders>
              <w:top w:val="nil"/>
              <w:left w:val="nil"/>
              <w:bottom w:val="nil"/>
              <w:right w:val="nil"/>
            </w:tcBorders>
          </w:tcPr>
          <w:p w:rsidR="005366A8" w:rsidRPr="00B8414F" w:rsidRDefault="005366A8" w:rsidP="001845AC">
            <w:pPr>
              <w:pStyle w:val="TableText"/>
              <w:spacing w:line="240" w:lineRule="auto"/>
              <w:rPr>
                <w:rFonts w:cs="David"/>
                <w:szCs w:val="20"/>
              </w:rPr>
            </w:pPr>
          </w:p>
        </w:tc>
        <w:tc>
          <w:tcPr>
            <w:tcW w:w="624" w:type="dxa"/>
            <w:tcBorders>
              <w:top w:val="nil"/>
              <w:left w:val="nil"/>
              <w:bottom w:val="nil"/>
              <w:right w:val="nil"/>
            </w:tcBorders>
          </w:tcPr>
          <w:p w:rsidR="005366A8" w:rsidRPr="00B8414F" w:rsidRDefault="005366A8" w:rsidP="001845AC">
            <w:pPr>
              <w:pStyle w:val="TableText"/>
              <w:spacing w:line="240" w:lineRule="auto"/>
              <w:rPr>
                <w:rFonts w:cs="David"/>
                <w:szCs w:val="20"/>
              </w:rPr>
            </w:pPr>
          </w:p>
        </w:tc>
        <w:tc>
          <w:tcPr>
            <w:tcW w:w="4649" w:type="dxa"/>
            <w:tcBorders>
              <w:top w:val="nil"/>
              <w:left w:val="nil"/>
              <w:bottom w:val="nil"/>
              <w:right w:val="nil"/>
            </w:tcBorders>
          </w:tcPr>
          <w:p w:rsidR="005366A8" w:rsidRPr="00B8414F" w:rsidRDefault="005366A8" w:rsidP="001845AC">
            <w:pPr>
              <w:pStyle w:val="TableBlock"/>
              <w:spacing w:line="240" w:lineRule="auto"/>
              <w:rPr>
                <w:rFonts w:cs="David"/>
                <w:szCs w:val="20"/>
              </w:rPr>
            </w:pPr>
            <w:r w:rsidRPr="00B8414F">
              <w:rPr>
                <w:rFonts w:cs="David"/>
                <w:szCs w:val="20"/>
                <w:rtl/>
              </w:rPr>
              <w:t>(ג)</w:t>
            </w:r>
            <w:r w:rsidRPr="00B8414F">
              <w:rPr>
                <w:rFonts w:cs="David"/>
                <w:szCs w:val="20"/>
                <w:rtl/>
              </w:rPr>
              <w:tab/>
              <w:t xml:space="preserve">נותן שירותי סוכנות נסיעות או גוף אחר, המארגן סיור בישראל שבו משתתפים לפחות 11 תיירי חוץ, ידאג לכך שהסיור ילווה על ידי מורה דרך מורשה שהוא אזרח ישראלי. </w:t>
            </w:r>
          </w:p>
        </w:tc>
      </w:tr>
      <w:tr w:rsidR="005366A8" w:rsidRPr="00B8414F" w:rsidTr="001845AC">
        <w:trPr>
          <w:cantSplit/>
          <w:trHeight w:val="60"/>
        </w:trPr>
        <w:tc>
          <w:tcPr>
            <w:tcW w:w="1870" w:type="dxa"/>
            <w:tcBorders>
              <w:top w:val="nil"/>
              <w:left w:val="nil"/>
              <w:bottom w:val="nil"/>
              <w:right w:val="nil"/>
            </w:tcBorders>
          </w:tcPr>
          <w:p w:rsidR="005366A8" w:rsidRPr="00B8414F" w:rsidRDefault="005366A8" w:rsidP="001845AC">
            <w:pPr>
              <w:pStyle w:val="TableSideHeading"/>
              <w:spacing w:line="240" w:lineRule="auto"/>
              <w:rPr>
                <w:rFonts w:cs="David"/>
                <w:szCs w:val="20"/>
              </w:rPr>
            </w:pPr>
          </w:p>
        </w:tc>
        <w:tc>
          <w:tcPr>
            <w:tcW w:w="624" w:type="dxa"/>
            <w:tcBorders>
              <w:top w:val="nil"/>
              <w:left w:val="nil"/>
              <w:bottom w:val="nil"/>
              <w:right w:val="nil"/>
            </w:tcBorders>
          </w:tcPr>
          <w:p w:rsidR="005366A8" w:rsidRPr="00B8414F" w:rsidRDefault="005366A8" w:rsidP="001845AC">
            <w:pPr>
              <w:pStyle w:val="TableText"/>
              <w:spacing w:line="240" w:lineRule="auto"/>
              <w:rPr>
                <w:rFonts w:cs="David"/>
                <w:szCs w:val="20"/>
              </w:rPr>
            </w:pPr>
          </w:p>
        </w:tc>
        <w:tc>
          <w:tcPr>
            <w:tcW w:w="624" w:type="dxa"/>
            <w:tcBorders>
              <w:top w:val="nil"/>
              <w:left w:val="nil"/>
              <w:bottom w:val="nil"/>
              <w:right w:val="nil"/>
            </w:tcBorders>
          </w:tcPr>
          <w:p w:rsidR="005366A8" w:rsidRPr="00B8414F" w:rsidRDefault="005366A8" w:rsidP="001845AC">
            <w:pPr>
              <w:pStyle w:val="TableText"/>
              <w:spacing w:line="240" w:lineRule="auto"/>
              <w:rPr>
                <w:rFonts w:cs="David"/>
                <w:szCs w:val="20"/>
              </w:rPr>
            </w:pPr>
          </w:p>
        </w:tc>
        <w:tc>
          <w:tcPr>
            <w:tcW w:w="624" w:type="dxa"/>
            <w:tcBorders>
              <w:top w:val="nil"/>
              <w:left w:val="nil"/>
              <w:bottom w:val="nil"/>
              <w:right w:val="nil"/>
            </w:tcBorders>
          </w:tcPr>
          <w:p w:rsidR="005366A8" w:rsidRPr="00B8414F" w:rsidRDefault="005366A8" w:rsidP="001845AC">
            <w:pPr>
              <w:pStyle w:val="TableText"/>
              <w:spacing w:line="240" w:lineRule="auto"/>
              <w:rPr>
                <w:rFonts w:cs="David"/>
                <w:szCs w:val="20"/>
              </w:rPr>
            </w:pPr>
          </w:p>
        </w:tc>
        <w:tc>
          <w:tcPr>
            <w:tcW w:w="624" w:type="dxa"/>
            <w:tcBorders>
              <w:top w:val="nil"/>
              <w:left w:val="nil"/>
              <w:bottom w:val="nil"/>
              <w:right w:val="nil"/>
            </w:tcBorders>
          </w:tcPr>
          <w:p w:rsidR="005366A8" w:rsidRPr="00B8414F" w:rsidRDefault="005366A8" w:rsidP="001845AC">
            <w:pPr>
              <w:pStyle w:val="TableText"/>
              <w:spacing w:line="240" w:lineRule="auto"/>
              <w:rPr>
                <w:rFonts w:cs="David"/>
                <w:szCs w:val="20"/>
              </w:rPr>
            </w:pPr>
          </w:p>
        </w:tc>
        <w:tc>
          <w:tcPr>
            <w:tcW w:w="624" w:type="dxa"/>
            <w:tcBorders>
              <w:top w:val="nil"/>
              <w:left w:val="nil"/>
              <w:bottom w:val="nil"/>
              <w:right w:val="nil"/>
            </w:tcBorders>
          </w:tcPr>
          <w:p w:rsidR="005366A8" w:rsidRPr="00B8414F" w:rsidRDefault="005366A8" w:rsidP="001845AC">
            <w:pPr>
              <w:pStyle w:val="TableText"/>
              <w:spacing w:line="240" w:lineRule="auto"/>
              <w:rPr>
                <w:rFonts w:cs="David"/>
                <w:szCs w:val="20"/>
              </w:rPr>
            </w:pPr>
          </w:p>
        </w:tc>
        <w:tc>
          <w:tcPr>
            <w:tcW w:w="4649" w:type="dxa"/>
            <w:tcBorders>
              <w:top w:val="nil"/>
              <w:left w:val="nil"/>
              <w:bottom w:val="nil"/>
              <w:right w:val="nil"/>
            </w:tcBorders>
          </w:tcPr>
          <w:p w:rsidR="005366A8" w:rsidRPr="00B8414F" w:rsidRDefault="005366A8" w:rsidP="001845AC">
            <w:pPr>
              <w:pStyle w:val="TableBlock"/>
              <w:spacing w:line="240" w:lineRule="auto"/>
              <w:rPr>
                <w:rFonts w:cs="David"/>
                <w:szCs w:val="20"/>
              </w:rPr>
            </w:pPr>
            <w:r w:rsidRPr="00B8414F">
              <w:rPr>
                <w:rFonts w:cs="David"/>
                <w:szCs w:val="20"/>
                <w:rtl/>
              </w:rPr>
              <w:t>(ד)</w:t>
            </w:r>
            <w:r w:rsidRPr="00B8414F">
              <w:rPr>
                <w:rFonts w:cs="David"/>
                <w:szCs w:val="20"/>
                <w:rtl/>
              </w:rPr>
              <w:tab/>
              <w:t>בלי לגרוע מהוראות סעיף קטן (ג), סיור בישראל שבמהלכו נוסעים תיירי חוץ במספר כלי רכב, ילווה על ידי מורה דרך מורשה שהוא אזרח ישראלי בכל אחד מכלי הרכב כאמור."</w:t>
            </w:r>
          </w:p>
        </w:tc>
      </w:tr>
    </w:tbl>
    <w:p w:rsidR="005366A8" w:rsidRPr="00B8414F" w:rsidRDefault="005366A8" w:rsidP="005366A8">
      <w:pPr>
        <w:pStyle w:val="HeadDivreiHesber"/>
        <w:spacing w:line="240" w:lineRule="auto"/>
        <w:rPr>
          <w:rFonts w:cs="David"/>
          <w:szCs w:val="20"/>
          <w:rtl/>
        </w:rPr>
      </w:pPr>
      <w:r w:rsidRPr="00B8414F">
        <w:rPr>
          <w:rFonts w:cs="David"/>
          <w:szCs w:val="20"/>
          <w:rtl/>
        </w:rPr>
        <w:t>דברי הסבר</w:t>
      </w:r>
    </w:p>
    <w:p w:rsidR="005366A8" w:rsidRPr="00B8414F" w:rsidRDefault="005366A8" w:rsidP="005366A8">
      <w:pPr>
        <w:rPr>
          <w:rFonts w:cs="David"/>
          <w:sz w:val="20"/>
          <w:szCs w:val="20"/>
          <w:rtl/>
        </w:rPr>
      </w:pPr>
      <w:r w:rsidRPr="00B8414F">
        <w:rPr>
          <w:rFonts w:cs="David" w:hint="cs"/>
          <w:sz w:val="20"/>
          <w:szCs w:val="20"/>
          <w:rtl/>
        </w:rPr>
        <w:t>מטרת</w:t>
      </w:r>
      <w:r w:rsidRPr="00B8414F">
        <w:rPr>
          <w:rFonts w:cs="David"/>
          <w:sz w:val="20"/>
          <w:szCs w:val="20"/>
          <w:rtl/>
        </w:rPr>
        <w:t xml:space="preserve"> </w:t>
      </w:r>
      <w:r w:rsidRPr="00B8414F">
        <w:rPr>
          <w:rFonts w:cs="David" w:hint="cs"/>
          <w:sz w:val="20"/>
          <w:szCs w:val="20"/>
          <w:rtl/>
        </w:rPr>
        <w:t>הצעת</w:t>
      </w:r>
      <w:r w:rsidRPr="00B8414F">
        <w:rPr>
          <w:rFonts w:cs="David"/>
          <w:sz w:val="20"/>
          <w:szCs w:val="20"/>
          <w:rtl/>
        </w:rPr>
        <w:t xml:space="preserve"> </w:t>
      </w:r>
      <w:r w:rsidRPr="00B8414F">
        <w:rPr>
          <w:rFonts w:cs="David" w:hint="cs"/>
          <w:sz w:val="20"/>
          <w:szCs w:val="20"/>
          <w:rtl/>
        </w:rPr>
        <w:t>החוק</w:t>
      </w:r>
      <w:r w:rsidRPr="00B8414F">
        <w:rPr>
          <w:rFonts w:cs="David"/>
          <w:sz w:val="20"/>
          <w:szCs w:val="20"/>
          <w:rtl/>
        </w:rPr>
        <w:t xml:space="preserve"> </w:t>
      </w:r>
      <w:r w:rsidRPr="00B8414F">
        <w:rPr>
          <w:rFonts w:cs="David" w:hint="cs"/>
          <w:sz w:val="20"/>
          <w:szCs w:val="20"/>
          <w:rtl/>
        </w:rPr>
        <w:t>היא</w:t>
      </w:r>
      <w:r w:rsidRPr="00B8414F">
        <w:rPr>
          <w:rFonts w:cs="David"/>
          <w:sz w:val="20"/>
          <w:szCs w:val="20"/>
          <w:rtl/>
        </w:rPr>
        <w:t xml:space="preserve"> </w:t>
      </w:r>
      <w:r w:rsidRPr="00B8414F">
        <w:rPr>
          <w:rFonts w:cs="David" w:hint="cs"/>
          <w:sz w:val="20"/>
          <w:szCs w:val="20"/>
          <w:rtl/>
        </w:rPr>
        <w:t>להביא</w:t>
      </w:r>
      <w:r w:rsidRPr="00B8414F">
        <w:rPr>
          <w:rFonts w:cs="David"/>
          <w:sz w:val="20"/>
          <w:szCs w:val="20"/>
          <w:rtl/>
        </w:rPr>
        <w:t xml:space="preserve"> </w:t>
      </w:r>
      <w:r w:rsidRPr="00B8414F">
        <w:rPr>
          <w:rFonts w:cs="David" w:hint="cs"/>
          <w:sz w:val="20"/>
          <w:szCs w:val="20"/>
          <w:rtl/>
        </w:rPr>
        <w:t>לפתרונה</w:t>
      </w:r>
      <w:r w:rsidRPr="00B8414F">
        <w:rPr>
          <w:rFonts w:cs="David"/>
          <w:sz w:val="20"/>
          <w:szCs w:val="20"/>
          <w:rtl/>
        </w:rPr>
        <w:t xml:space="preserve"> </w:t>
      </w:r>
      <w:r w:rsidRPr="00B8414F">
        <w:rPr>
          <w:rFonts w:cs="David" w:hint="cs"/>
          <w:sz w:val="20"/>
          <w:szCs w:val="20"/>
          <w:rtl/>
        </w:rPr>
        <w:t>של</w:t>
      </w:r>
      <w:r w:rsidRPr="00B8414F">
        <w:rPr>
          <w:rFonts w:cs="David"/>
          <w:sz w:val="20"/>
          <w:szCs w:val="20"/>
          <w:rtl/>
        </w:rPr>
        <w:t xml:space="preserve"> </w:t>
      </w:r>
      <w:r w:rsidRPr="00B8414F">
        <w:rPr>
          <w:rFonts w:cs="David" w:hint="cs"/>
          <w:sz w:val="20"/>
          <w:szCs w:val="20"/>
          <w:rtl/>
        </w:rPr>
        <w:t>בעיה</w:t>
      </w:r>
      <w:r w:rsidRPr="00B8414F">
        <w:rPr>
          <w:rFonts w:cs="David"/>
          <w:sz w:val="20"/>
          <w:szCs w:val="20"/>
          <w:rtl/>
        </w:rPr>
        <w:t xml:space="preserve"> </w:t>
      </w:r>
      <w:r w:rsidRPr="00B8414F">
        <w:rPr>
          <w:rFonts w:cs="David" w:hint="cs"/>
          <w:sz w:val="20"/>
          <w:szCs w:val="20"/>
          <w:rtl/>
        </w:rPr>
        <w:t>בענף</w:t>
      </w:r>
      <w:r w:rsidRPr="00B8414F">
        <w:rPr>
          <w:rFonts w:cs="David"/>
          <w:sz w:val="20"/>
          <w:szCs w:val="20"/>
          <w:rtl/>
        </w:rPr>
        <w:t xml:space="preserve"> </w:t>
      </w:r>
      <w:r w:rsidRPr="00B8414F">
        <w:rPr>
          <w:rFonts w:cs="David" w:hint="cs"/>
          <w:sz w:val="20"/>
          <w:szCs w:val="20"/>
          <w:rtl/>
        </w:rPr>
        <w:t>התיירות</w:t>
      </w:r>
      <w:r w:rsidRPr="00B8414F">
        <w:rPr>
          <w:rFonts w:cs="David"/>
          <w:sz w:val="20"/>
          <w:szCs w:val="20"/>
          <w:rtl/>
        </w:rPr>
        <w:t xml:space="preserve">, </w:t>
      </w:r>
      <w:r w:rsidRPr="00B8414F">
        <w:rPr>
          <w:rFonts w:cs="David" w:hint="cs"/>
          <w:sz w:val="20"/>
          <w:szCs w:val="20"/>
          <w:rtl/>
        </w:rPr>
        <w:t>לפיה</w:t>
      </w:r>
      <w:r w:rsidRPr="00B8414F">
        <w:rPr>
          <w:rFonts w:cs="David"/>
          <w:sz w:val="20"/>
          <w:szCs w:val="20"/>
          <w:rtl/>
        </w:rPr>
        <w:t xml:space="preserve"> </w:t>
      </w:r>
      <w:r w:rsidRPr="00B8414F">
        <w:rPr>
          <w:rFonts w:cs="David" w:hint="cs"/>
          <w:sz w:val="20"/>
          <w:szCs w:val="20"/>
          <w:rtl/>
        </w:rPr>
        <w:t>מספר</w:t>
      </w:r>
      <w:r w:rsidRPr="00B8414F">
        <w:rPr>
          <w:rFonts w:cs="David"/>
          <w:sz w:val="20"/>
          <w:szCs w:val="20"/>
          <w:rtl/>
        </w:rPr>
        <w:t xml:space="preserve"> </w:t>
      </w:r>
      <w:r w:rsidRPr="00B8414F">
        <w:rPr>
          <w:rFonts w:cs="David" w:hint="cs"/>
          <w:sz w:val="20"/>
          <w:szCs w:val="20"/>
          <w:rtl/>
        </w:rPr>
        <w:t>רב</w:t>
      </w:r>
      <w:r w:rsidRPr="00B8414F">
        <w:rPr>
          <w:rFonts w:cs="David"/>
          <w:sz w:val="20"/>
          <w:szCs w:val="20"/>
          <w:rtl/>
        </w:rPr>
        <w:t xml:space="preserve"> </w:t>
      </w:r>
      <w:r w:rsidRPr="00B8414F">
        <w:rPr>
          <w:rFonts w:cs="David" w:hint="cs"/>
          <w:sz w:val="20"/>
          <w:szCs w:val="20"/>
          <w:rtl/>
        </w:rPr>
        <w:t>של</w:t>
      </w:r>
      <w:r w:rsidRPr="00B8414F">
        <w:rPr>
          <w:rFonts w:cs="David"/>
          <w:sz w:val="20"/>
          <w:szCs w:val="20"/>
          <w:rtl/>
        </w:rPr>
        <w:t xml:space="preserve"> </w:t>
      </w:r>
      <w:r w:rsidRPr="00B8414F">
        <w:rPr>
          <w:rFonts w:cs="David" w:hint="cs"/>
          <w:sz w:val="20"/>
          <w:szCs w:val="20"/>
          <w:rtl/>
        </w:rPr>
        <w:t>מורי</w:t>
      </w:r>
      <w:r w:rsidRPr="00B8414F">
        <w:rPr>
          <w:rFonts w:cs="David"/>
          <w:sz w:val="20"/>
          <w:szCs w:val="20"/>
          <w:rtl/>
        </w:rPr>
        <w:t xml:space="preserve"> </w:t>
      </w:r>
      <w:r w:rsidRPr="00B8414F">
        <w:rPr>
          <w:rFonts w:cs="David" w:hint="cs"/>
          <w:sz w:val="20"/>
          <w:szCs w:val="20"/>
          <w:rtl/>
        </w:rPr>
        <w:t>דרך</w:t>
      </w:r>
      <w:r w:rsidRPr="00B8414F">
        <w:rPr>
          <w:rFonts w:cs="David"/>
          <w:sz w:val="20"/>
          <w:szCs w:val="20"/>
          <w:rtl/>
        </w:rPr>
        <w:t xml:space="preserve"> </w:t>
      </w:r>
      <w:r w:rsidRPr="00B8414F">
        <w:rPr>
          <w:rFonts w:cs="David" w:hint="cs"/>
          <w:sz w:val="20"/>
          <w:szCs w:val="20"/>
          <w:rtl/>
        </w:rPr>
        <w:t>שלא</w:t>
      </w:r>
      <w:r w:rsidRPr="00B8414F">
        <w:rPr>
          <w:rFonts w:cs="David"/>
          <w:sz w:val="20"/>
          <w:szCs w:val="20"/>
          <w:rtl/>
        </w:rPr>
        <w:t xml:space="preserve"> </w:t>
      </w:r>
      <w:r w:rsidRPr="00B8414F">
        <w:rPr>
          <w:rFonts w:cs="David" w:hint="cs"/>
          <w:sz w:val="20"/>
          <w:szCs w:val="20"/>
          <w:rtl/>
        </w:rPr>
        <w:t>קיבלו</w:t>
      </w:r>
      <w:r w:rsidRPr="00B8414F">
        <w:rPr>
          <w:rFonts w:cs="David"/>
          <w:sz w:val="20"/>
          <w:szCs w:val="20"/>
          <w:rtl/>
        </w:rPr>
        <w:t xml:space="preserve"> </w:t>
      </w:r>
      <w:r w:rsidRPr="00B8414F">
        <w:rPr>
          <w:rFonts w:cs="David" w:hint="cs"/>
          <w:sz w:val="20"/>
          <w:szCs w:val="20"/>
          <w:rtl/>
        </w:rPr>
        <w:t>רישיון</w:t>
      </w:r>
      <w:r w:rsidRPr="00B8414F">
        <w:rPr>
          <w:rFonts w:cs="David"/>
          <w:sz w:val="20"/>
          <w:szCs w:val="20"/>
          <w:rtl/>
        </w:rPr>
        <w:t xml:space="preserve">  </w:t>
      </w:r>
      <w:r w:rsidRPr="00B8414F">
        <w:rPr>
          <w:rFonts w:cs="David" w:hint="cs"/>
          <w:sz w:val="20"/>
          <w:szCs w:val="20"/>
          <w:rtl/>
        </w:rPr>
        <w:t>לפי</w:t>
      </w:r>
      <w:r w:rsidRPr="00B8414F">
        <w:rPr>
          <w:rFonts w:cs="David"/>
          <w:sz w:val="20"/>
          <w:szCs w:val="20"/>
          <w:rtl/>
        </w:rPr>
        <w:t xml:space="preserve"> </w:t>
      </w:r>
      <w:r w:rsidRPr="00B8414F">
        <w:rPr>
          <w:rFonts w:cs="David" w:hint="cs"/>
          <w:sz w:val="20"/>
          <w:szCs w:val="20"/>
          <w:rtl/>
        </w:rPr>
        <w:t>חוק</w:t>
      </w:r>
      <w:r w:rsidRPr="00B8414F">
        <w:rPr>
          <w:rFonts w:cs="David"/>
          <w:sz w:val="20"/>
          <w:szCs w:val="20"/>
          <w:rtl/>
        </w:rPr>
        <w:t xml:space="preserve"> </w:t>
      </w:r>
      <w:r w:rsidRPr="00B8414F">
        <w:rPr>
          <w:rFonts w:cs="David" w:hint="cs"/>
          <w:sz w:val="20"/>
          <w:szCs w:val="20"/>
          <w:rtl/>
        </w:rPr>
        <w:t>שירותי</w:t>
      </w:r>
      <w:r w:rsidRPr="00B8414F">
        <w:rPr>
          <w:rFonts w:cs="David"/>
          <w:sz w:val="20"/>
          <w:szCs w:val="20"/>
          <w:rtl/>
        </w:rPr>
        <w:t xml:space="preserve"> </w:t>
      </w:r>
      <w:r w:rsidRPr="00B8414F">
        <w:rPr>
          <w:rFonts w:cs="David" w:hint="cs"/>
          <w:sz w:val="20"/>
          <w:szCs w:val="20"/>
          <w:rtl/>
        </w:rPr>
        <w:t>תיירות</w:t>
      </w:r>
      <w:r w:rsidRPr="00B8414F">
        <w:rPr>
          <w:rFonts w:cs="David"/>
          <w:sz w:val="20"/>
          <w:szCs w:val="20"/>
          <w:rtl/>
        </w:rPr>
        <w:t xml:space="preserve">, </w:t>
      </w:r>
      <w:r w:rsidRPr="00B8414F">
        <w:rPr>
          <w:rFonts w:cs="David" w:hint="cs"/>
          <w:sz w:val="20"/>
          <w:szCs w:val="20"/>
          <w:rtl/>
        </w:rPr>
        <w:t>התשל</w:t>
      </w:r>
      <w:r w:rsidRPr="00B8414F">
        <w:rPr>
          <w:rFonts w:cs="David"/>
          <w:sz w:val="20"/>
          <w:szCs w:val="20"/>
          <w:rtl/>
        </w:rPr>
        <w:t>"</w:t>
      </w:r>
      <w:r w:rsidRPr="00B8414F">
        <w:rPr>
          <w:rFonts w:cs="David" w:hint="cs"/>
          <w:sz w:val="20"/>
          <w:szCs w:val="20"/>
          <w:rtl/>
        </w:rPr>
        <w:t>ו</w:t>
      </w:r>
      <w:r w:rsidRPr="00B8414F">
        <w:rPr>
          <w:rFonts w:cs="David"/>
          <w:sz w:val="20"/>
          <w:szCs w:val="20"/>
          <w:rtl/>
        </w:rPr>
        <w:t xml:space="preserve">–1976, </w:t>
      </w:r>
      <w:r w:rsidRPr="00B8414F">
        <w:rPr>
          <w:rFonts w:cs="David" w:hint="cs"/>
          <w:sz w:val="20"/>
          <w:szCs w:val="20"/>
          <w:rtl/>
        </w:rPr>
        <w:t>פוגעים</w:t>
      </w:r>
      <w:r w:rsidRPr="00B8414F">
        <w:rPr>
          <w:rFonts w:cs="David"/>
          <w:sz w:val="20"/>
          <w:szCs w:val="20"/>
          <w:rtl/>
        </w:rPr>
        <w:t xml:space="preserve"> </w:t>
      </w:r>
      <w:r w:rsidRPr="00B8414F">
        <w:rPr>
          <w:rFonts w:cs="David" w:hint="cs"/>
          <w:sz w:val="20"/>
          <w:szCs w:val="20"/>
          <w:rtl/>
        </w:rPr>
        <w:t>בתדמיתה</w:t>
      </w:r>
      <w:r w:rsidRPr="00B8414F">
        <w:rPr>
          <w:rFonts w:cs="David"/>
          <w:sz w:val="20"/>
          <w:szCs w:val="20"/>
          <w:rtl/>
        </w:rPr>
        <w:t xml:space="preserve"> </w:t>
      </w:r>
      <w:r w:rsidRPr="00B8414F">
        <w:rPr>
          <w:rFonts w:cs="David" w:hint="cs"/>
          <w:sz w:val="20"/>
          <w:szCs w:val="20"/>
          <w:rtl/>
        </w:rPr>
        <w:t>של</w:t>
      </w:r>
      <w:r w:rsidRPr="00B8414F">
        <w:rPr>
          <w:rFonts w:cs="David"/>
          <w:sz w:val="20"/>
          <w:szCs w:val="20"/>
          <w:rtl/>
        </w:rPr>
        <w:t xml:space="preserve"> </w:t>
      </w:r>
      <w:r w:rsidRPr="00B8414F">
        <w:rPr>
          <w:rFonts w:cs="David" w:hint="cs"/>
          <w:sz w:val="20"/>
          <w:szCs w:val="20"/>
          <w:rtl/>
        </w:rPr>
        <w:t>מדינת</w:t>
      </w:r>
      <w:r w:rsidRPr="00B8414F">
        <w:rPr>
          <w:rFonts w:cs="David"/>
          <w:sz w:val="20"/>
          <w:szCs w:val="20"/>
          <w:rtl/>
        </w:rPr>
        <w:t xml:space="preserve"> </w:t>
      </w:r>
      <w:r w:rsidRPr="00B8414F">
        <w:rPr>
          <w:rFonts w:cs="David" w:hint="cs"/>
          <w:sz w:val="20"/>
          <w:szCs w:val="20"/>
          <w:rtl/>
        </w:rPr>
        <w:t>ישראל</w:t>
      </w:r>
      <w:r w:rsidRPr="00B8414F">
        <w:rPr>
          <w:rFonts w:cs="David"/>
          <w:sz w:val="20"/>
          <w:szCs w:val="20"/>
          <w:rtl/>
        </w:rPr>
        <w:t xml:space="preserve">, </w:t>
      </w:r>
      <w:r w:rsidRPr="00B8414F">
        <w:rPr>
          <w:rFonts w:cs="David" w:hint="cs"/>
          <w:sz w:val="20"/>
          <w:szCs w:val="20"/>
          <w:rtl/>
        </w:rPr>
        <w:t>עקב</w:t>
      </w:r>
      <w:r w:rsidRPr="00B8414F">
        <w:rPr>
          <w:rFonts w:cs="David"/>
          <w:sz w:val="20"/>
          <w:szCs w:val="20"/>
          <w:rtl/>
        </w:rPr>
        <w:t xml:space="preserve"> </w:t>
      </w:r>
      <w:r w:rsidRPr="00B8414F">
        <w:rPr>
          <w:rFonts w:cs="David" w:hint="cs"/>
          <w:sz w:val="20"/>
          <w:szCs w:val="20"/>
          <w:rtl/>
        </w:rPr>
        <w:t>כך</w:t>
      </w:r>
      <w:r w:rsidRPr="00B8414F">
        <w:rPr>
          <w:rFonts w:cs="David"/>
          <w:sz w:val="20"/>
          <w:szCs w:val="20"/>
          <w:rtl/>
        </w:rPr>
        <w:t xml:space="preserve"> </w:t>
      </w:r>
      <w:r w:rsidRPr="00B8414F">
        <w:rPr>
          <w:rFonts w:cs="David" w:hint="cs"/>
          <w:sz w:val="20"/>
          <w:szCs w:val="20"/>
          <w:rtl/>
        </w:rPr>
        <w:t>שלא</w:t>
      </w:r>
      <w:r w:rsidRPr="00B8414F">
        <w:rPr>
          <w:rFonts w:cs="David"/>
          <w:sz w:val="20"/>
          <w:szCs w:val="20"/>
          <w:rtl/>
        </w:rPr>
        <w:t xml:space="preserve"> </w:t>
      </w:r>
      <w:r w:rsidRPr="00B8414F">
        <w:rPr>
          <w:rFonts w:cs="David" w:hint="cs"/>
          <w:sz w:val="20"/>
          <w:szCs w:val="20"/>
          <w:rtl/>
        </w:rPr>
        <w:t>עברו</w:t>
      </w:r>
      <w:r w:rsidRPr="00B8414F">
        <w:rPr>
          <w:rFonts w:cs="David"/>
          <w:sz w:val="20"/>
          <w:szCs w:val="20"/>
          <w:rtl/>
        </w:rPr>
        <w:t xml:space="preserve"> </w:t>
      </w:r>
      <w:r w:rsidRPr="00B8414F">
        <w:rPr>
          <w:rFonts w:cs="David" w:hint="cs"/>
          <w:sz w:val="20"/>
          <w:szCs w:val="20"/>
          <w:rtl/>
        </w:rPr>
        <w:t>הסמכה</w:t>
      </w:r>
      <w:r w:rsidRPr="00B8414F">
        <w:rPr>
          <w:rFonts w:cs="David"/>
          <w:sz w:val="20"/>
          <w:szCs w:val="20"/>
          <w:rtl/>
        </w:rPr>
        <w:t xml:space="preserve"> </w:t>
      </w:r>
      <w:r w:rsidRPr="00B8414F">
        <w:rPr>
          <w:rFonts w:cs="David" w:hint="cs"/>
          <w:sz w:val="20"/>
          <w:szCs w:val="20"/>
          <w:rtl/>
        </w:rPr>
        <w:t>מתאימה</w:t>
      </w:r>
      <w:r w:rsidRPr="00B8414F">
        <w:rPr>
          <w:rFonts w:cs="David"/>
          <w:sz w:val="20"/>
          <w:szCs w:val="20"/>
          <w:rtl/>
        </w:rPr>
        <w:t xml:space="preserve"> </w:t>
      </w:r>
      <w:r w:rsidRPr="00B8414F">
        <w:rPr>
          <w:rFonts w:cs="David" w:hint="cs"/>
          <w:sz w:val="20"/>
          <w:szCs w:val="20"/>
          <w:rtl/>
        </w:rPr>
        <w:t>ואינם</w:t>
      </w:r>
      <w:r w:rsidRPr="00B8414F">
        <w:rPr>
          <w:rFonts w:cs="David"/>
          <w:sz w:val="20"/>
          <w:szCs w:val="20"/>
          <w:rtl/>
        </w:rPr>
        <w:t xml:space="preserve"> </w:t>
      </w:r>
      <w:r w:rsidRPr="00B8414F">
        <w:rPr>
          <w:rFonts w:cs="David" w:hint="cs"/>
          <w:sz w:val="20"/>
          <w:szCs w:val="20"/>
          <w:rtl/>
        </w:rPr>
        <w:t>יכולים</w:t>
      </w:r>
      <w:r w:rsidRPr="00B8414F">
        <w:rPr>
          <w:rFonts w:cs="David"/>
          <w:sz w:val="20"/>
          <w:szCs w:val="20"/>
          <w:rtl/>
        </w:rPr>
        <w:t xml:space="preserve"> </w:t>
      </w:r>
      <w:r w:rsidRPr="00B8414F">
        <w:rPr>
          <w:rFonts w:cs="David" w:hint="cs"/>
          <w:sz w:val="20"/>
          <w:szCs w:val="20"/>
          <w:rtl/>
        </w:rPr>
        <w:t>להציג</w:t>
      </w:r>
      <w:r w:rsidRPr="00B8414F">
        <w:rPr>
          <w:rFonts w:cs="David"/>
          <w:sz w:val="20"/>
          <w:szCs w:val="20"/>
          <w:rtl/>
        </w:rPr>
        <w:t xml:space="preserve"> </w:t>
      </w:r>
      <w:r w:rsidRPr="00B8414F">
        <w:rPr>
          <w:rFonts w:cs="David" w:hint="cs"/>
          <w:sz w:val="20"/>
          <w:szCs w:val="20"/>
          <w:rtl/>
        </w:rPr>
        <w:t>את</w:t>
      </w:r>
      <w:r w:rsidRPr="00B8414F">
        <w:rPr>
          <w:rFonts w:cs="David"/>
          <w:sz w:val="20"/>
          <w:szCs w:val="20"/>
          <w:rtl/>
        </w:rPr>
        <w:t xml:space="preserve"> </w:t>
      </w:r>
      <w:r w:rsidRPr="00B8414F">
        <w:rPr>
          <w:rFonts w:cs="David" w:hint="cs"/>
          <w:sz w:val="20"/>
          <w:szCs w:val="20"/>
          <w:rtl/>
        </w:rPr>
        <w:t>מדינת</w:t>
      </w:r>
      <w:r w:rsidRPr="00B8414F">
        <w:rPr>
          <w:rFonts w:cs="David"/>
          <w:sz w:val="20"/>
          <w:szCs w:val="20"/>
          <w:rtl/>
        </w:rPr>
        <w:t xml:space="preserve"> </w:t>
      </w:r>
      <w:r w:rsidRPr="00B8414F">
        <w:rPr>
          <w:rFonts w:cs="David" w:hint="cs"/>
          <w:sz w:val="20"/>
          <w:szCs w:val="20"/>
          <w:rtl/>
        </w:rPr>
        <w:t>ישראל</w:t>
      </w:r>
      <w:r w:rsidRPr="00B8414F">
        <w:rPr>
          <w:rFonts w:cs="David"/>
          <w:sz w:val="20"/>
          <w:szCs w:val="20"/>
          <w:rtl/>
        </w:rPr>
        <w:t xml:space="preserve"> </w:t>
      </w:r>
      <w:r w:rsidRPr="00B8414F">
        <w:rPr>
          <w:rFonts w:cs="David" w:hint="cs"/>
          <w:sz w:val="20"/>
          <w:szCs w:val="20"/>
          <w:rtl/>
        </w:rPr>
        <w:t>בדרך</w:t>
      </w:r>
      <w:r w:rsidRPr="00B8414F">
        <w:rPr>
          <w:rFonts w:cs="David"/>
          <w:sz w:val="20"/>
          <w:szCs w:val="20"/>
          <w:rtl/>
        </w:rPr>
        <w:t xml:space="preserve"> </w:t>
      </w:r>
      <w:r w:rsidRPr="00B8414F">
        <w:rPr>
          <w:rFonts w:cs="David" w:hint="cs"/>
          <w:sz w:val="20"/>
          <w:szCs w:val="20"/>
          <w:rtl/>
        </w:rPr>
        <w:t>נאותה</w:t>
      </w:r>
      <w:r w:rsidRPr="00B8414F">
        <w:rPr>
          <w:rFonts w:cs="David"/>
          <w:sz w:val="20"/>
          <w:szCs w:val="20"/>
          <w:rtl/>
        </w:rPr>
        <w:t xml:space="preserve">. </w:t>
      </w:r>
      <w:r w:rsidRPr="00B8414F">
        <w:rPr>
          <w:rFonts w:cs="David" w:hint="cs"/>
          <w:sz w:val="20"/>
          <w:szCs w:val="20"/>
          <w:rtl/>
        </w:rPr>
        <w:t>בנוסף</w:t>
      </w:r>
      <w:r w:rsidRPr="00B8414F">
        <w:rPr>
          <w:rFonts w:cs="David"/>
          <w:sz w:val="20"/>
          <w:szCs w:val="20"/>
          <w:rtl/>
        </w:rPr>
        <w:t xml:space="preserve">, </w:t>
      </w:r>
      <w:r w:rsidRPr="00B8414F">
        <w:rPr>
          <w:rFonts w:cs="David" w:hint="cs"/>
          <w:sz w:val="20"/>
          <w:szCs w:val="20"/>
          <w:rtl/>
        </w:rPr>
        <w:t>יש</w:t>
      </w:r>
      <w:r w:rsidRPr="00B8414F">
        <w:rPr>
          <w:rFonts w:cs="David"/>
          <w:sz w:val="20"/>
          <w:szCs w:val="20"/>
          <w:rtl/>
        </w:rPr>
        <w:t xml:space="preserve"> </w:t>
      </w:r>
      <w:r w:rsidRPr="00B8414F">
        <w:rPr>
          <w:rFonts w:cs="David" w:hint="cs"/>
          <w:sz w:val="20"/>
          <w:szCs w:val="20"/>
          <w:rtl/>
        </w:rPr>
        <w:t>בעבודתם</w:t>
      </w:r>
      <w:r w:rsidRPr="00B8414F">
        <w:rPr>
          <w:rFonts w:cs="David"/>
          <w:sz w:val="20"/>
          <w:szCs w:val="20"/>
          <w:rtl/>
        </w:rPr>
        <w:t xml:space="preserve"> </w:t>
      </w:r>
      <w:r w:rsidRPr="00B8414F">
        <w:rPr>
          <w:rFonts w:cs="David" w:hint="cs"/>
          <w:sz w:val="20"/>
          <w:szCs w:val="20"/>
          <w:rtl/>
        </w:rPr>
        <w:t>ללא</w:t>
      </w:r>
      <w:r w:rsidRPr="00B8414F">
        <w:rPr>
          <w:rFonts w:cs="David"/>
          <w:sz w:val="20"/>
          <w:szCs w:val="20"/>
          <w:rtl/>
        </w:rPr>
        <w:t xml:space="preserve"> </w:t>
      </w:r>
      <w:r w:rsidRPr="00B8414F">
        <w:rPr>
          <w:rFonts w:cs="David" w:hint="cs"/>
          <w:sz w:val="20"/>
          <w:szCs w:val="20"/>
          <w:rtl/>
        </w:rPr>
        <w:t>רישיון</w:t>
      </w:r>
      <w:r w:rsidRPr="00B8414F">
        <w:rPr>
          <w:rFonts w:cs="David"/>
          <w:sz w:val="20"/>
          <w:szCs w:val="20"/>
          <w:rtl/>
        </w:rPr>
        <w:t xml:space="preserve"> </w:t>
      </w:r>
      <w:r w:rsidRPr="00B8414F">
        <w:rPr>
          <w:rFonts w:cs="David" w:hint="cs"/>
          <w:sz w:val="20"/>
          <w:szCs w:val="20"/>
          <w:rtl/>
        </w:rPr>
        <w:t>כדי</w:t>
      </w:r>
      <w:r w:rsidRPr="00B8414F">
        <w:rPr>
          <w:rFonts w:cs="David"/>
          <w:sz w:val="20"/>
          <w:szCs w:val="20"/>
          <w:rtl/>
        </w:rPr>
        <w:t xml:space="preserve"> </w:t>
      </w:r>
      <w:r w:rsidRPr="00B8414F">
        <w:rPr>
          <w:rFonts w:cs="David" w:hint="cs"/>
          <w:sz w:val="20"/>
          <w:szCs w:val="20"/>
          <w:rtl/>
        </w:rPr>
        <w:t>לפגוע</w:t>
      </w:r>
      <w:r w:rsidRPr="00B8414F">
        <w:rPr>
          <w:rFonts w:cs="David"/>
          <w:sz w:val="20"/>
          <w:szCs w:val="20"/>
          <w:rtl/>
        </w:rPr>
        <w:t xml:space="preserve">  </w:t>
      </w:r>
      <w:r w:rsidRPr="00B8414F">
        <w:rPr>
          <w:rFonts w:cs="David" w:hint="cs"/>
          <w:sz w:val="20"/>
          <w:szCs w:val="20"/>
          <w:rtl/>
        </w:rPr>
        <w:t>בפרנסתם</w:t>
      </w:r>
      <w:r w:rsidRPr="00B8414F">
        <w:rPr>
          <w:rFonts w:cs="David"/>
          <w:sz w:val="20"/>
          <w:szCs w:val="20"/>
          <w:rtl/>
        </w:rPr>
        <w:t xml:space="preserve"> </w:t>
      </w:r>
      <w:r w:rsidRPr="00B8414F">
        <w:rPr>
          <w:rFonts w:cs="David" w:hint="cs"/>
          <w:sz w:val="20"/>
          <w:szCs w:val="20"/>
          <w:rtl/>
        </w:rPr>
        <w:t>של</w:t>
      </w:r>
      <w:r w:rsidRPr="00B8414F">
        <w:rPr>
          <w:rFonts w:cs="David"/>
          <w:sz w:val="20"/>
          <w:szCs w:val="20"/>
          <w:rtl/>
        </w:rPr>
        <w:t xml:space="preserve"> </w:t>
      </w:r>
      <w:r w:rsidRPr="00B8414F">
        <w:rPr>
          <w:rFonts w:cs="David" w:hint="cs"/>
          <w:sz w:val="20"/>
          <w:szCs w:val="20"/>
          <w:rtl/>
        </w:rPr>
        <w:t>מורי</w:t>
      </w:r>
      <w:r w:rsidRPr="00B8414F">
        <w:rPr>
          <w:rFonts w:cs="David"/>
          <w:sz w:val="20"/>
          <w:szCs w:val="20"/>
          <w:rtl/>
        </w:rPr>
        <w:t xml:space="preserve"> </w:t>
      </w:r>
      <w:r w:rsidRPr="00B8414F">
        <w:rPr>
          <w:rFonts w:cs="David" w:hint="cs"/>
          <w:sz w:val="20"/>
          <w:szCs w:val="20"/>
          <w:rtl/>
        </w:rPr>
        <w:t>דרך</w:t>
      </w:r>
      <w:r w:rsidRPr="00B8414F">
        <w:rPr>
          <w:rFonts w:cs="David"/>
          <w:sz w:val="20"/>
          <w:szCs w:val="20"/>
          <w:rtl/>
        </w:rPr>
        <w:t xml:space="preserve"> </w:t>
      </w:r>
      <w:r w:rsidRPr="00B8414F">
        <w:rPr>
          <w:rFonts w:cs="David" w:hint="cs"/>
          <w:sz w:val="20"/>
          <w:szCs w:val="20"/>
          <w:rtl/>
        </w:rPr>
        <w:t>מורשים</w:t>
      </w:r>
      <w:r w:rsidRPr="00B8414F">
        <w:rPr>
          <w:rFonts w:cs="David"/>
          <w:sz w:val="20"/>
          <w:szCs w:val="20"/>
          <w:rtl/>
        </w:rPr>
        <w:t xml:space="preserve">. </w:t>
      </w:r>
      <w:r w:rsidRPr="00B8414F">
        <w:rPr>
          <w:rFonts w:cs="David" w:hint="cs"/>
          <w:sz w:val="20"/>
          <w:szCs w:val="20"/>
          <w:rtl/>
        </w:rPr>
        <w:t>יש</w:t>
      </w:r>
      <w:r w:rsidRPr="00B8414F">
        <w:rPr>
          <w:rFonts w:cs="David"/>
          <w:sz w:val="20"/>
          <w:szCs w:val="20"/>
          <w:rtl/>
        </w:rPr>
        <w:t xml:space="preserve"> </w:t>
      </w:r>
      <w:r w:rsidRPr="00B8414F">
        <w:rPr>
          <w:rFonts w:cs="David" w:hint="cs"/>
          <w:sz w:val="20"/>
          <w:szCs w:val="20"/>
          <w:rtl/>
        </w:rPr>
        <w:t>לציין</w:t>
      </w:r>
      <w:r w:rsidRPr="00B8414F">
        <w:rPr>
          <w:rFonts w:cs="David"/>
          <w:sz w:val="20"/>
          <w:szCs w:val="20"/>
          <w:rtl/>
        </w:rPr>
        <w:t xml:space="preserve"> </w:t>
      </w:r>
      <w:r w:rsidRPr="00B8414F">
        <w:rPr>
          <w:rFonts w:cs="David" w:hint="cs"/>
          <w:sz w:val="20"/>
          <w:szCs w:val="20"/>
          <w:rtl/>
        </w:rPr>
        <w:t>כי</w:t>
      </w:r>
      <w:r w:rsidRPr="00B8414F">
        <w:rPr>
          <w:rFonts w:cs="David"/>
          <w:sz w:val="20"/>
          <w:szCs w:val="20"/>
          <w:rtl/>
        </w:rPr>
        <w:t xml:space="preserve"> </w:t>
      </w:r>
      <w:r w:rsidRPr="00B8414F">
        <w:rPr>
          <w:rFonts w:cs="David" w:hint="cs"/>
          <w:sz w:val="20"/>
          <w:szCs w:val="20"/>
          <w:rtl/>
        </w:rPr>
        <w:t>חלק</w:t>
      </w:r>
      <w:r w:rsidRPr="00B8414F">
        <w:rPr>
          <w:rFonts w:cs="David"/>
          <w:sz w:val="20"/>
          <w:szCs w:val="20"/>
          <w:rtl/>
        </w:rPr>
        <w:t xml:space="preserve"> </w:t>
      </w:r>
      <w:r w:rsidRPr="00B8414F">
        <w:rPr>
          <w:rFonts w:cs="David" w:hint="cs"/>
          <w:sz w:val="20"/>
          <w:szCs w:val="20"/>
          <w:rtl/>
        </w:rPr>
        <w:t>מההוראות</w:t>
      </w:r>
      <w:r w:rsidRPr="00B8414F">
        <w:rPr>
          <w:rFonts w:cs="David"/>
          <w:sz w:val="20"/>
          <w:szCs w:val="20"/>
          <w:rtl/>
        </w:rPr>
        <w:t xml:space="preserve"> </w:t>
      </w:r>
      <w:r w:rsidRPr="00B8414F">
        <w:rPr>
          <w:rFonts w:cs="David" w:hint="cs"/>
          <w:sz w:val="20"/>
          <w:szCs w:val="20"/>
          <w:rtl/>
        </w:rPr>
        <w:t>המוצעות</w:t>
      </w:r>
      <w:r w:rsidRPr="00B8414F">
        <w:rPr>
          <w:rFonts w:cs="David"/>
          <w:sz w:val="20"/>
          <w:szCs w:val="20"/>
          <w:rtl/>
        </w:rPr>
        <w:t xml:space="preserve"> </w:t>
      </w:r>
      <w:r w:rsidRPr="00B8414F">
        <w:rPr>
          <w:rFonts w:cs="David" w:hint="cs"/>
          <w:sz w:val="20"/>
          <w:szCs w:val="20"/>
          <w:rtl/>
        </w:rPr>
        <w:t>בהצעת</w:t>
      </w:r>
      <w:r w:rsidRPr="00B8414F">
        <w:rPr>
          <w:rFonts w:cs="David"/>
          <w:sz w:val="20"/>
          <w:szCs w:val="20"/>
          <w:rtl/>
        </w:rPr>
        <w:t xml:space="preserve"> </w:t>
      </w:r>
      <w:r w:rsidRPr="00B8414F">
        <w:rPr>
          <w:rFonts w:cs="David" w:hint="cs"/>
          <w:sz w:val="20"/>
          <w:szCs w:val="20"/>
          <w:rtl/>
        </w:rPr>
        <w:t>החוק</w:t>
      </w:r>
      <w:r w:rsidRPr="00B8414F">
        <w:rPr>
          <w:rFonts w:cs="David"/>
          <w:sz w:val="20"/>
          <w:szCs w:val="20"/>
          <w:rtl/>
        </w:rPr>
        <w:t xml:space="preserve"> </w:t>
      </w:r>
      <w:r w:rsidRPr="00B8414F">
        <w:rPr>
          <w:rFonts w:cs="David" w:hint="cs"/>
          <w:sz w:val="20"/>
          <w:szCs w:val="20"/>
          <w:rtl/>
        </w:rPr>
        <w:t>מעוגנות</w:t>
      </w:r>
      <w:r w:rsidRPr="00B8414F">
        <w:rPr>
          <w:rFonts w:cs="David"/>
          <w:sz w:val="20"/>
          <w:szCs w:val="20"/>
          <w:rtl/>
        </w:rPr>
        <w:t xml:space="preserve"> </w:t>
      </w:r>
      <w:r w:rsidRPr="00B8414F">
        <w:rPr>
          <w:rFonts w:cs="David" w:hint="cs"/>
          <w:sz w:val="20"/>
          <w:szCs w:val="20"/>
          <w:rtl/>
        </w:rPr>
        <w:t>כיום</w:t>
      </w:r>
      <w:r w:rsidRPr="00B8414F">
        <w:rPr>
          <w:rFonts w:cs="David"/>
          <w:sz w:val="20"/>
          <w:szCs w:val="20"/>
          <w:rtl/>
        </w:rPr>
        <w:t xml:space="preserve"> </w:t>
      </w:r>
      <w:r w:rsidRPr="00B8414F">
        <w:rPr>
          <w:rFonts w:cs="David" w:hint="cs"/>
          <w:sz w:val="20"/>
          <w:szCs w:val="20"/>
          <w:rtl/>
        </w:rPr>
        <w:t>בתקנות</w:t>
      </w:r>
      <w:r w:rsidRPr="00B8414F">
        <w:rPr>
          <w:rFonts w:cs="David"/>
          <w:sz w:val="20"/>
          <w:szCs w:val="20"/>
          <w:rtl/>
        </w:rPr>
        <w:t xml:space="preserve"> </w:t>
      </w:r>
      <w:r w:rsidRPr="00B8414F">
        <w:rPr>
          <w:rFonts w:cs="David" w:hint="cs"/>
          <w:sz w:val="20"/>
          <w:szCs w:val="20"/>
          <w:rtl/>
        </w:rPr>
        <w:t>שירותי</w:t>
      </w:r>
      <w:r w:rsidRPr="00B8414F">
        <w:rPr>
          <w:rFonts w:cs="David"/>
          <w:sz w:val="20"/>
          <w:szCs w:val="20"/>
          <w:rtl/>
        </w:rPr>
        <w:t xml:space="preserve"> </w:t>
      </w:r>
      <w:r w:rsidRPr="00B8414F">
        <w:rPr>
          <w:rFonts w:cs="David" w:hint="cs"/>
          <w:sz w:val="20"/>
          <w:szCs w:val="20"/>
          <w:rtl/>
        </w:rPr>
        <w:t>תיירות</w:t>
      </w:r>
      <w:r w:rsidRPr="00B8414F">
        <w:rPr>
          <w:rFonts w:cs="David"/>
          <w:sz w:val="20"/>
          <w:szCs w:val="20"/>
          <w:rtl/>
        </w:rPr>
        <w:t xml:space="preserve"> (</w:t>
      </w:r>
      <w:r w:rsidRPr="00B8414F">
        <w:rPr>
          <w:rFonts w:cs="David" w:hint="cs"/>
          <w:sz w:val="20"/>
          <w:szCs w:val="20"/>
          <w:rtl/>
        </w:rPr>
        <w:t>מורי</w:t>
      </w:r>
      <w:r w:rsidRPr="00B8414F">
        <w:rPr>
          <w:rFonts w:cs="David"/>
          <w:sz w:val="20"/>
          <w:szCs w:val="20"/>
          <w:rtl/>
        </w:rPr>
        <w:t xml:space="preserve"> </w:t>
      </w:r>
      <w:r w:rsidRPr="00B8414F">
        <w:rPr>
          <w:rFonts w:cs="David" w:hint="cs"/>
          <w:sz w:val="20"/>
          <w:szCs w:val="20"/>
          <w:rtl/>
        </w:rPr>
        <w:t>דרך</w:t>
      </w:r>
      <w:r w:rsidRPr="00B8414F">
        <w:rPr>
          <w:rFonts w:cs="David"/>
          <w:sz w:val="20"/>
          <w:szCs w:val="20"/>
          <w:rtl/>
        </w:rPr>
        <w:t xml:space="preserve">), </w:t>
      </w:r>
      <w:r w:rsidRPr="00B8414F">
        <w:rPr>
          <w:rFonts w:cs="David" w:hint="cs"/>
          <w:sz w:val="20"/>
          <w:szCs w:val="20"/>
          <w:rtl/>
        </w:rPr>
        <w:t>התשכ</w:t>
      </w:r>
      <w:r w:rsidRPr="00B8414F">
        <w:rPr>
          <w:rFonts w:cs="David"/>
          <w:sz w:val="20"/>
          <w:szCs w:val="20"/>
          <w:rtl/>
        </w:rPr>
        <w:t>"</w:t>
      </w:r>
      <w:r w:rsidRPr="00B8414F">
        <w:rPr>
          <w:rFonts w:cs="David" w:hint="cs"/>
          <w:sz w:val="20"/>
          <w:szCs w:val="20"/>
          <w:rtl/>
        </w:rPr>
        <w:t>ז</w:t>
      </w:r>
      <w:r w:rsidRPr="00B8414F">
        <w:rPr>
          <w:rFonts w:cs="David"/>
          <w:sz w:val="20"/>
          <w:szCs w:val="20"/>
          <w:rtl/>
        </w:rPr>
        <w:t xml:space="preserve">–1967, </w:t>
      </w:r>
      <w:r w:rsidRPr="00B8414F">
        <w:rPr>
          <w:rFonts w:cs="David" w:hint="cs"/>
          <w:sz w:val="20"/>
          <w:szCs w:val="20"/>
          <w:rtl/>
        </w:rPr>
        <w:t>אך</w:t>
      </w:r>
      <w:r w:rsidRPr="00B8414F">
        <w:rPr>
          <w:rFonts w:cs="David"/>
          <w:sz w:val="20"/>
          <w:szCs w:val="20"/>
          <w:rtl/>
        </w:rPr>
        <w:t xml:space="preserve"> </w:t>
      </w:r>
      <w:r w:rsidRPr="00B8414F">
        <w:rPr>
          <w:rFonts w:cs="David" w:hint="cs"/>
          <w:sz w:val="20"/>
          <w:szCs w:val="20"/>
          <w:rtl/>
        </w:rPr>
        <w:t>בשל</w:t>
      </w:r>
      <w:r w:rsidRPr="00B8414F">
        <w:rPr>
          <w:rFonts w:cs="David"/>
          <w:sz w:val="20"/>
          <w:szCs w:val="20"/>
          <w:rtl/>
        </w:rPr>
        <w:t xml:space="preserve"> </w:t>
      </w:r>
      <w:r w:rsidRPr="00B8414F">
        <w:rPr>
          <w:rFonts w:cs="David" w:hint="cs"/>
          <w:sz w:val="20"/>
          <w:szCs w:val="20"/>
          <w:rtl/>
        </w:rPr>
        <w:t>החשיבות</w:t>
      </w:r>
      <w:r w:rsidRPr="00B8414F">
        <w:rPr>
          <w:rFonts w:cs="David"/>
          <w:sz w:val="20"/>
          <w:szCs w:val="20"/>
          <w:rtl/>
        </w:rPr>
        <w:t xml:space="preserve"> </w:t>
      </w:r>
      <w:r w:rsidRPr="00B8414F">
        <w:rPr>
          <w:rFonts w:cs="David" w:hint="cs"/>
          <w:sz w:val="20"/>
          <w:szCs w:val="20"/>
          <w:rtl/>
        </w:rPr>
        <w:t>העקרונית</w:t>
      </w:r>
      <w:r w:rsidRPr="00B8414F">
        <w:rPr>
          <w:rFonts w:cs="David"/>
          <w:sz w:val="20"/>
          <w:szCs w:val="20"/>
          <w:rtl/>
        </w:rPr>
        <w:t xml:space="preserve"> </w:t>
      </w:r>
      <w:r w:rsidRPr="00B8414F">
        <w:rPr>
          <w:rFonts w:cs="David" w:hint="cs"/>
          <w:sz w:val="20"/>
          <w:szCs w:val="20"/>
          <w:rtl/>
        </w:rPr>
        <w:t>ראוי</w:t>
      </w:r>
      <w:r w:rsidRPr="00B8414F">
        <w:rPr>
          <w:rFonts w:cs="David"/>
          <w:sz w:val="20"/>
          <w:szCs w:val="20"/>
          <w:rtl/>
        </w:rPr>
        <w:t xml:space="preserve"> </w:t>
      </w:r>
      <w:r w:rsidRPr="00B8414F">
        <w:rPr>
          <w:rFonts w:cs="David" w:hint="cs"/>
          <w:sz w:val="20"/>
          <w:szCs w:val="20"/>
          <w:rtl/>
        </w:rPr>
        <w:t>לעגן</w:t>
      </w:r>
      <w:r w:rsidRPr="00B8414F">
        <w:rPr>
          <w:rFonts w:cs="David"/>
          <w:sz w:val="20"/>
          <w:szCs w:val="20"/>
          <w:rtl/>
        </w:rPr>
        <w:t xml:space="preserve"> </w:t>
      </w:r>
      <w:r w:rsidRPr="00B8414F">
        <w:rPr>
          <w:rFonts w:cs="David" w:hint="cs"/>
          <w:sz w:val="20"/>
          <w:szCs w:val="20"/>
          <w:rtl/>
        </w:rPr>
        <w:t>אותן</w:t>
      </w:r>
      <w:r w:rsidRPr="00B8414F">
        <w:rPr>
          <w:rFonts w:cs="David"/>
          <w:sz w:val="20"/>
          <w:szCs w:val="20"/>
          <w:rtl/>
        </w:rPr>
        <w:t xml:space="preserve"> </w:t>
      </w:r>
      <w:r w:rsidRPr="00B8414F">
        <w:rPr>
          <w:rFonts w:cs="David" w:hint="cs"/>
          <w:sz w:val="20"/>
          <w:szCs w:val="20"/>
          <w:rtl/>
        </w:rPr>
        <w:t>בחקיקה</w:t>
      </w:r>
      <w:r w:rsidRPr="00B8414F">
        <w:rPr>
          <w:rFonts w:cs="David"/>
          <w:sz w:val="20"/>
          <w:szCs w:val="20"/>
          <w:rtl/>
        </w:rPr>
        <w:t xml:space="preserve"> </w:t>
      </w:r>
      <w:r w:rsidRPr="00B8414F">
        <w:rPr>
          <w:rFonts w:cs="David" w:hint="cs"/>
          <w:sz w:val="20"/>
          <w:szCs w:val="20"/>
          <w:rtl/>
        </w:rPr>
        <w:t>ראשית</w:t>
      </w:r>
      <w:r w:rsidRPr="00B8414F">
        <w:rPr>
          <w:rFonts w:cs="David"/>
          <w:sz w:val="20"/>
          <w:szCs w:val="20"/>
          <w:rtl/>
        </w:rPr>
        <w:t>.</w:t>
      </w:r>
    </w:p>
    <w:p w:rsidR="005366A8" w:rsidRPr="00B8414F" w:rsidRDefault="005366A8" w:rsidP="005366A8">
      <w:pPr>
        <w:rPr>
          <w:rFonts w:cs="David"/>
          <w:sz w:val="20"/>
          <w:szCs w:val="20"/>
          <w:rtl/>
        </w:rPr>
      </w:pPr>
      <w:r w:rsidRPr="00B8414F">
        <w:rPr>
          <w:rFonts w:cs="David" w:hint="cs"/>
          <w:sz w:val="20"/>
          <w:szCs w:val="20"/>
          <w:rtl/>
        </w:rPr>
        <w:t>בהתאם</w:t>
      </w:r>
      <w:r w:rsidRPr="00B8414F">
        <w:rPr>
          <w:rFonts w:cs="David"/>
          <w:sz w:val="20"/>
          <w:szCs w:val="20"/>
          <w:rtl/>
        </w:rPr>
        <w:t xml:space="preserve"> </w:t>
      </w:r>
      <w:r w:rsidRPr="00B8414F">
        <w:rPr>
          <w:rFonts w:cs="David" w:hint="cs"/>
          <w:sz w:val="20"/>
          <w:szCs w:val="20"/>
          <w:rtl/>
        </w:rPr>
        <w:t>להצעת</w:t>
      </w:r>
      <w:r w:rsidRPr="00B8414F">
        <w:rPr>
          <w:rFonts w:cs="David"/>
          <w:sz w:val="20"/>
          <w:szCs w:val="20"/>
          <w:rtl/>
        </w:rPr>
        <w:t xml:space="preserve"> </w:t>
      </w:r>
      <w:r w:rsidRPr="00B8414F">
        <w:rPr>
          <w:rFonts w:cs="David" w:hint="cs"/>
          <w:sz w:val="20"/>
          <w:szCs w:val="20"/>
          <w:rtl/>
        </w:rPr>
        <w:t>החוק</w:t>
      </w:r>
      <w:r w:rsidRPr="00B8414F">
        <w:rPr>
          <w:rFonts w:cs="David"/>
          <w:sz w:val="20"/>
          <w:szCs w:val="20"/>
          <w:rtl/>
        </w:rPr>
        <w:t xml:space="preserve">, </w:t>
      </w:r>
      <w:r w:rsidRPr="00B8414F">
        <w:rPr>
          <w:rFonts w:cs="David" w:hint="cs"/>
          <w:sz w:val="20"/>
          <w:szCs w:val="20"/>
          <w:rtl/>
        </w:rPr>
        <w:t>סוכנויות</w:t>
      </w:r>
      <w:r w:rsidRPr="00B8414F">
        <w:rPr>
          <w:rFonts w:cs="David"/>
          <w:sz w:val="20"/>
          <w:szCs w:val="20"/>
          <w:rtl/>
        </w:rPr>
        <w:t xml:space="preserve">, </w:t>
      </w:r>
      <w:r w:rsidRPr="00B8414F">
        <w:rPr>
          <w:rFonts w:cs="David" w:hint="cs"/>
          <w:sz w:val="20"/>
          <w:szCs w:val="20"/>
          <w:rtl/>
        </w:rPr>
        <w:t>ארגונים</w:t>
      </w:r>
      <w:r w:rsidRPr="00B8414F">
        <w:rPr>
          <w:rFonts w:cs="David"/>
          <w:sz w:val="20"/>
          <w:szCs w:val="20"/>
          <w:rtl/>
        </w:rPr>
        <w:t xml:space="preserve"> </w:t>
      </w:r>
      <w:r w:rsidRPr="00B8414F">
        <w:rPr>
          <w:rFonts w:cs="David" w:hint="cs"/>
          <w:sz w:val="20"/>
          <w:szCs w:val="20"/>
          <w:rtl/>
        </w:rPr>
        <w:t>ומוסדות</w:t>
      </w:r>
      <w:r w:rsidRPr="00B8414F">
        <w:rPr>
          <w:rFonts w:cs="David"/>
          <w:sz w:val="20"/>
          <w:szCs w:val="20"/>
          <w:rtl/>
        </w:rPr>
        <w:t xml:space="preserve">, </w:t>
      </w:r>
      <w:r w:rsidRPr="00B8414F">
        <w:rPr>
          <w:rFonts w:cs="David" w:hint="cs"/>
          <w:sz w:val="20"/>
          <w:szCs w:val="20"/>
          <w:rtl/>
        </w:rPr>
        <w:t>שמארגנים</w:t>
      </w:r>
      <w:r w:rsidRPr="00B8414F">
        <w:rPr>
          <w:rFonts w:cs="David"/>
          <w:sz w:val="20"/>
          <w:szCs w:val="20"/>
          <w:rtl/>
        </w:rPr>
        <w:t xml:space="preserve"> </w:t>
      </w:r>
      <w:r w:rsidRPr="00B8414F">
        <w:rPr>
          <w:rFonts w:cs="David" w:hint="cs"/>
          <w:sz w:val="20"/>
          <w:szCs w:val="20"/>
          <w:rtl/>
        </w:rPr>
        <w:t>סיורי</w:t>
      </w:r>
      <w:r w:rsidRPr="00B8414F">
        <w:rPr>
          <w:rFonts w:cs="David"/>
          <w:sz w:val="20"/>
          <w:szCs w:val="20"/>
          <w:rtl/>
        </w:rPr>
        <w:t xml:space="preserve"> </w:t>
      </w:r>
      <w:r w:rsidRPr="00B8414F">
        <w:rPr>
          <w:rFonts w:cs="David" w:hint="cs"/>
          <w:sz w:val="20"/>
          <w:szCs w:val="20"/>
          <w:rtl/>
        </w:rPr>
        <w:t>תיירות</w:t>
      </w:r>
      <w:r w:rsidRPr="00B8414F">
        <w:rPr>
          <w:rFonts w:cs="David"/>
          <w:sz w:val="20"/>
          <w:szCs w:val="20"/>
          <w:rtl/>
        </w:rPr>
        <w:t xml:space="preserve"> </w:t>
      </w:r>
      <w:r w:rsidRPr="00B8414F">
        <w:rPr>
          <w:rFonts w:cs="David" w:hint="cs"/>
          <w:sz w:val="20"/>
          <w:szCs w:val="20"/>
          <w:rtl/>
        </w:rPr>
        <w:t>בישראל</w:t>
      </w:r>
      <w:r w:rsidRPr="00B8414F">
        <w:rPr>
          <w:rFonts w:cs="David"/>
          <w:sz w:val="20"/>
          <w:szCs w:val="20"/>
          <w:rtl/>
        </w:rPr>
        <w:t xml:space="preserve">, </w:t>
      </w:r>
      <w:r w:rsidRPr="00B8414F">
        <w:rPr>
          <w:rFonts w:cs="David" w:hint="cs"/>
          <w:sz w:val="20"/>
          <w:szCs w:val="20"/>
          <w:rtl/>
        </w:rPr>
        <w:t>יחויבו</w:t>
      </w:r>
      <w:r w:rsidRPr="00B8414F">
        <w:rPr>
          <w:rFonts w:cs="David"/>
          <w:sz w:val="20"/>
          <w:szCs w:val="20"/>
          <w:rtl/>
        </w:rPr>
        <w:t xml:space="preserve"> </w:t>
      </w:r>
      <w:r w:rsidRPr="00B8414F">
        <w:rPr>
          <w:rFonts w:cs="David" w:hint="cs"/>
          <w:sz w:val="20"/>
          <w:szCs w:val="20"/>
          <w:rtl/>
        </w:rPr>
        <w:t>לשכור</w:t>
      </w:r>
      <w:r w:rsidRPr="00B8414F">
        <w:rPr>
          <w:rFonts w:cs="David"/>
          <w:sz w:val="20"/>
          <w:szCs w:val="20"/>
          <w:rtl/>
        </w:rPr>
        <w:t xml:space="preserve"> </w:t>
      </w:r>
      <w:r w:rsidRPr="00B8414F">
        <w:rPr>
          <w:rFonts w:cs="David" w:hint="cs"/>
          <w:sz w:val="20"/>
          <w:szCs w:val="20"/>
          <w:rtl/>
        </w:rPr>
        <w:t>את</w:t>
      </w:r>
      <w:r w:rsidRPr="00B8414F">
        <w:rPr>
          <w:rFonts w:cs="David"/>
          <w:sz w:val="20"/>
          <w:szCs w:val="20"/>
          <w:rtl/>
        </w:rPr>
        <w:t xml:space="preserve"> </w:t>
      </w:r>
      <w:r w:rsidRPr="00B8414F">
        <w:rPr>
          <w:rFonts w:cs="David" w:hint="cs"/>
          <w:sz w:val="20"/>
          <w:szCs w:val="20"/>
          <w:rtl/>
        </w:rPr>
        <w:t>שירותיהם</w:t>
      </w:r>
      <w:r w:rsidRPr="00B8414F">
        <w:rPr>
          <w:rFonts w:cs="David"/>
          <w:sz w:val="20"/>
          <w:szCs w:val="20"/>
          <w:rtl/>
        </w:rPr>
        <w:t xml:space="preserve"> </w:t>
      </w:r>
      <w:r w:rsidRPr="00B8414F">
        <w:rPr>
          <w:rFonts w:cs="David" w:hint="cs"/>
          <w:sz w:val="20"/>
          <w:szCs w:val="20"/>
          <w:rtl/>
        </w:rPr>
        <w:t>של</w:t>
      </w:r>
      <w:r w:rsidRPr="00B8414F">
        <w:rPr>
          <w:rFonts w:cs="David"/>
          <w:sz w:val="20"/>
          <w:szCs w:val="20"/>
          <w:rtl/>
        </w:rPr>
        <w:t xml:space="preserve"> </w:t>
      </w:r>
      <w:r w:rsidRPr="00B8414F">
        <w:rPr>
          <w:rFonts w:cs="David" w:hint="cs"/>
          <w:sz w:val="20"/>
          <w:szCs w:val="20"/>
          <w:rtl/>
        </w:rPr>
        <w:t>מורי</w:t>
      </w:r>
      <w:r w:rsidRPr="00B8414F">
        <w:rPr>
          <w:rFonts w:cs="David"/>
          <w:sz w:val="20"/>
          <w:szCs w:val="20"/>
          <w:rtl/>
        </w:rPr>
        <w:t xml:space="preserve"> </w:t>
      </w:r>
      <w:r w:rsidRPr="00B8414F">
        <w:rPr>
          <w:rFonts w:cs="David" w:hint="cs"/>
          <w:sz w:val="20"/>
          <w:szCs w:val="20"/>
          <w:rtl/>
        </w:rPr>
        <w:t>דרך</w:t>
      </w:r>
      <w:r w:rsidRPr="00B8414F">
        <w:rPr>
          <w:rFonts w:cs="David"/>
          <w:sz w:val="20"/>
          <w:szCs w:val="20"/>
          <w:rtl/>
        </w:rPr>
        <w:t xml:space="preserve"> </w:t>
      </w:r>
      <w:r w:rsidRPr="00B8414F">
        <w:rPr>
          <w:rFonts w:cs="David" w:hint="cs"/>
          <w:sz w:val="20"/>
          <w:szCs w:val="20"/>
          <w:rtl/>
        </w:rPr>
        <w:t>מורשים</w:t>
      </w:r>
      <w:r w:rsidRPr="00B8414F">
        <w:rPr>
          <w:rFonts w:cs="David"/>
          <w:sz w:val="20"/>
          <w:szCs w:val="20"/>
          <w:rtl/>
        </w:rPr>
        <w:t xml:space="preserve"> </w:t>
      </w:r>
      <w:r w:rsidRPr="00B8414F">
        <w:rPr>
          <w:rFonts w:cs="David" w:hint="cs"/>
          <w:sz w:val="20"/>
          <w:szCs w:val="20"/>
          <w:rtl/>
        </w:rPr>
        <w:t>בלבד</w:t>
      </w:r>
      <w:r w:rsidRPr="00B8414F">
        <w:rPr>
          <w:rFonts w:ascii="David" w:hAnsi="David" w:cs="David"/>
          <w:sz w:val="20"/>
          <w:szCs w:val="20"/>
          <w:rtl/>
        </w:rPr>
        <w:t xml:space="preserve">, שכן הוצאת רישיון למורי דרך הינה מנגנון פיקוח להבטחת מקצועיותם של מורי הדרך ולשמירה על תדמיתה של מדינת ישראל, מה גם </w:t>
      </w:r>
      <w:r w:rsidRPr="00B8414F">
        <w:rPr>
          <w:rFonts w:cs="David" w:hint="cs"/>
          <w:sz w:val="20"/>
          <w:szCs w:val="20"/>
          <w:rtl/>
        </w:rPr>
        <w:t>שמדינת</w:t>
      </w:r>
      <w:r w:rsidRPr="00B8414F">
        <w:rPr>
          <w:rFonts w:cs="David"/>
          <w:sz w:val="20"/>
          <w:szCs w:val="20"/>
          <w:rtl/>
        </w:rPr>
        <w:t xml:space="preserve"> </w:t>
      </w:r>
      <w:r w:rsidRPr="00B8414F">
        <w:rPr>
          <w:rFonts w:cs="David" w:hint="cs"/>
          <w:sz w:val="20"/>
          <w:szCs w:val="20"/>
          <w:rtl/>
        </w:rPr>
        <w:t>ישראל</w:t>
      </w:r>
      <w:r w:rsidRPr="00B8414F">
        <w:rPr>
          <w:rFonts w:cs="David"/>
          <w:sz w:val="20"/>
          <w:szCs w:val="20"/>
          <w:rtl/>
        </w:rPr>
        <w:t xml:space="preserve"> </w:t>
      </w:r>
      <w:r w:rsidRPr="00B8414F">
        <w:rPr>
          <w:rFonts w:cs="David" w:hint="cs"/>
          <w:sz w:val="20"/>
          <w:szCs w:val="20"/>
          <w:rtl/>
        </w:rPr>
        <w:t>משקיעה</w:t>
      </w:r>
      <w:r w:rsidRPr="00B8414F">
        <w:rPr>
          <w:rFonts w:cs="David"/>
          <w:sz w:val="20"/>
          <w:szCs w:val="20"/>
          <w:rtl/>
        </w:rPr>
        <w:t xml:space="preserve"> </w:t>
      </w:r>
      <w:r w:rsidRPr="00B8414F">
        <w:rPr>
          <w:rFonts w:cs="David" w:hint="cs"/>
          <w:sz w:val="20"/>
          <w:szCs w:val="20"/>
          <w:rtl/>
        </w:rPr>
        <w:t>אמצעים</w:t>
      </w:r>
      <w:r w:rsidRPr="00B8414F">
        <w:rPr>
          <w:rFonts w:cs="David"/>
          <w:sz w:val="20"/>
          <w:szCs w:val="20"/>
          <w:rtl/>
        </w:rPr>
        <w:t xml:space="preserve"> </w:t>
      </w:r>
      <w:r w:rsidRPr="00B8414F">
        <w:rPr>
          <w:rFonts w:cs="David" w:hint="cs"/>
          <w:sz w:val="20"/>
          <w:szCs w:val="20"/>
          <w:rtl/>
        </w:rPr>
        <w:t>רבים</w:t>
      </w:r>
      <w:r w:rsidRPr="00B8414F">
        <w:rPr>
          <w:rFonts w:cs="David"/>
          <w:sz w:val="20"/>
          <w:szCs w:val="20"/>
          <w:rtl/>
        </w:rPr>
        <w:t xml:space="preserve"> </w:t>
      </w:r>
      <w:r w:rsidRPr="00B8414F">
        <w:rPr>
          <w:rFonts w:cs="David" w:hint="cs"/>
          <w:sz w:val="20"/>
          <w:szCs w:val="20"/>
          <w:rtl/>
        </w:rPr>
        <w:t>לשיפור</w:t>
      </w:r>
      <w:r w:rsidRPr="00B8414F">
        <w:rPr>
          <w:rFonts w:cs="David"/>
          <w:sz w:val="20"/>
          <w:szCs w:val="20"/>
          <w:rtl/>
        </w:rPr>
        <w:t xml:space="preserve"> </w:t>
      </w:r>
      <w:r w:rsidRPr="00B8414F">
        <w:rPr>
          <w:rFonts w:cs="David" w:hint="cs"/>
          <w:sz w:val="20"/>
          <w:szCs w:val="20"/>
          <w:rtl/>
        </w:rPr>
        <w:t>תדמיתה</w:t>
      </w:r>
      <w:r w:rsidRPr="00B8414F">
        <w:rPr>
          <w:rFonts w:cs="David"/>
          <w:sz w:val="20"/>
          <w:szCs w:val="20"/>
          <w:rtl/>
        </w:rPr>
        <w:t xml:space="preserve"> </w:t>
      </w:r>
      <w:r w:rsidRPr="00B8414F">
        <w:rPr>
          <w:rFonts w:cs="David" w:hint="cs"/>
          <w:sz w:val="20"/>
          <w:szCs w:val="20"/>
          <w:rtl/>
        </w:rPr>
        <w:t>כמדינה</w:t>
      </w:r>
      <w:r w:rsidRPr="00B8414F">
        <w:rPr>
          <w:rFonts w:cs="David"/>
          <w:sz w:val="20"/>
          <w:szCs w:val="20"/>
          <w:rtl/>
        </w:rPr>
        <w:t xml:space="preserve"> </w:t>
      </w:r>
      <w:r w:rsidRPr="00B8414F">
        <w:rPr>
          <w:rFonts w:cs="David" w:hint="cs"/>
          <w:sz w:val="20"/>
          <w:szCs w:val="20"/>
          <w:rtl/>
        </w:rPr>
        <w:t>מודרנית</w:t>
      </w:r>
      <w:r w:rsidRPr="00B8414F">
        <w:rPr>
          <w:rFonts w:cs="David"/>
          <w:sz w:val="20"/>
          <w:szCs w:val="20"/>
          <w:rtl/>
        </w:rPr>
        <w:t xml:space="preserve">, </w:t>
      </w:r>
      <w:r w:rsidRPr="00B8414F">
        <w:rPr>
          <w:rFonts w:cs="David" w:hint="cs"/>
          <w:sz w:val="20"/>
          <w:szCs w:val="20"/>
          <w:rtl/>
        </w:rPr>
        <w:t>מערבית</w:t>
      </w:r>
      <w:r w:rsidRPr="00B8414F">
        <w:rPr>
          <w:rFonts w:cs="David"/>
          <w:sz w:val="20"/>
          <w:szCs w:val="20"/>
          <w:rtl/>
        </w:rPr>
        <w:t xml:space="preserve"> </w:t>
      </w:r>
      <w:r w:rsidRPr="00B8414F">
        <w:rPr>
          <w:rFonts w:cs="David" w:hint="cs"/>
          <w:sz w:val="20"/>
          <w:szCs w:val="20"/>
          <w:rtl/>
        </w:rPr>
        <w:t>דמוקרטית</w:t>
      </w:r>
      <w:r w:rsidRPr="00B8414F">
        <w:rPr>
          <w:rFonts w:cs="David"/>
          <w:sz w:val="20"/>
          <w:szCs w:val="20"/>
          <w:rtl/>
        </w:rPr>
        <w:t xml:space="preserve"> </w:t>
      </w:r>
      <w:r w:rsidRPr="00B8414F">
        <w:rPr>
          <w:rFonts w:cs="David" w:hint="cs"/>
          <w:sz w:val="20"/>
          <w:szCs w:val="20"/>
          <w:rtl/>
        </w:rPr>
        <w:t>וחופשית</w:t>
      </w:r>
      <w:r w:rsidRPr="00B8414F">
        <w:rPr>
          <w:rFonts w:cs="David"/>
          <w:sz w:val="20"/>
          <w:szCs w:val="20"/>
          <w:rtl/>
        </w:rPr>
        <w:t xml:space="preserve">. </w:t>
      </w:r>
      <w:r w:rsidRPr="00B8414F">
        <w:rPr>
          <w:rFonts w:cs="David" w:hint="cs"/>
          <w:sz w:val="20"/>
          <w:szCs w:val="20"/>
          <w:rtl/>
        </w:rPr>
        <w:t>זאת</w:t>
      </w:r>
      <w:r w:rsidRPr="00B8414F">
        <w:rPr>
          <w:rFonts w:cs="David"/>
          <w:sz w:val="20"/>
          <w:szCs w:val="20"/>
          <w:rtl/>
        </w:rPr>
        <w:t xml:space="preserve"> </w:t>
      </w:r>
      <w:r w:rsidRPr="00B8414F">
        <w:rPr>
          <w:rFonts w:cs="David" w:hint="cs"/>
          <w:sz w:val="20"/>
          <w:szCs w:val="20"/>
          <w:rtl/>
        </w:rPr>
        <w:t>ועוד</w:t>
      </w:r>
      <w:r w:rsidRPr="00B8414F">
        <w:rPr>
          <w:rFonts w:cs="David"/>
          <w:sz w:val="20"/>
          <w:szCs w:val="20"/>
          <w:rtl/>
        </w:rPr>
        <w:t xml:space="preserve">: </w:t>
      </w:r>
      <w:r w:rsidRPr="00B8414F">
        <w:rPr>
          <w:rFonts w:cs="David" w:hint="cs"/>
          <w:sz w:val="20"/>
          <w:szCs w:val="20"/>
          <w:rtl/>
        </w:rPr>
        <w:t>הבאת</w:t>
      </w:r>
      <w:r w:rsidRPr="00B8414F">
        <w:rPr>
          <w:rFonts w:cs="David"/>
          <w:sz w:val="20"/>
          <w:szCs w:val="20"/>
          <w:rtl/>
        </w:rPr>
        <w:t xml:space="preserve"> </w:t>
      </w:r>
      <w:r w:rsidRPr="00B8414F">
        <w:rPr>
          <w:rFonts w:cs="David" w:hint="cs"/>
          <w:sz w:val="20"/>
          <w:szCs w:val="20"/>
          <w:rtl/>
        </w:rPr>
        <w:t>תיירים</w:t>
      </w:r>
      <w:r w:rsidRPr="00B8414F">
        <w:rPr>
          <w:rFonts w:cs="David"/>
          <w:sz w:val="20"/>
          <w:szCs w:val="20"/>
          <w:rtl/>
        </w:rPr>
        <w:t xml:space="preserve"> </w:t>
      </w:r>
      <w:r w:rsidRPr="00B8414F">
        <w:rPr>
          <w:rFonts w:cs="David" w:hint="cs"/>
          <w:sz w:val="20"/>
          <w:szCs w:val="20"/>
          <w:rtl/>
        </w:rPr>
        <w:t>לישראל</w:t>
      </w:r>
      <w:r w:rsidRPr="00B8414F">
        <w:rPr>
          <w:rFonts w:cs="David"/>
          <w:sz w:val="20"/>
          <w:szCs w:val="20"/>
          <w:rtl/>
        </w:rPr>
        <w:t xml:space="preserve"> </w:t>
      </w:r>
      <w:r w:rsidRPr="00B8414F">
        <w:rPr>
          <w:rFonts w:cs="David" w:hint="cs"/>
          <w:sz w:val="20"/>
          <w:szCs w:val="20"/>
          <w:rtl/>
        </w:rPr>
        <w:t>כרוכה</w:t>
      </w:r>
      <w:r w:rsidRPr="00B8414F">
        <w:rPr>
          <w:rFonts w:cs="David"/>
          <w:sz w:val="20"/>
          <w:szCs w:val="20"/>
          <w:rtl/>
        </w:rPr>
        <w:t xml:space="preserve"> </w:t>
      </w:r>
      <w:r w:rsidRPr="00B8414F">
        <w:rPr>
          <w:rFonts w:cs="David" w:hint="cs"/>
          <w:sz w:val="20"/>
          <w:szCs w:val="20"/>
          <w:rtl/>
        </w:rPr>
        <w:t>בהשקעה</w:t>
      </w:r>
      <w:r w:rsidRPr="00B8414F">
        <w:rPr>
          <w:rFonts w:cs="David"/>
          <w:sz w:val="20"/>
          <w:szCs w:val="20"/>
          <w:rtl/>
        </w:rPr>
        <w:t xml:space="preserve"> </w:t>
      </w:r>
      <w:r w:rsidRPr="00B8414F">
        <w:rPr>
          <w:rFonts w:cs="David" w:hint="cs"/>
          <w:sz w:val="20"/>
          <w:szCs w:val="20"/>
          <w:rtl/>
        </w:rPr>
        <w:t>רבה</w:t>
      </w:r>
      <w:r w:rsidRPr="00B8414F">
        <w:rPr>
          <w:rFonts w:cs="David"/>
          <w:sz w:val="20"/>
          <w:szCs w:val="20"/>
          <w:rtl/>
        </w:rPr>
        <w:t xml:space="preserve"> </w:t>
      </w:r>
      <w:r w:rsidRPr="00B8414F">
        <w:rPr>
          <w:rFonts w:cs="David" w:hint="cs"/>
          <w:sz w:val="20"/>
          <w:szCs w:val="20"/>
          <w:rtl/>
        </w:rPr>
        <w:t>מצד</w:t>
      </w:r>
      <w:r w:rsidRPr="00B8414F">
        <w:rPr>
          <w:rFonts w:cs="David"/>
          <w:sz w:val="20"/>
          <w:szCs w:val="20"/>
          <w:rtl/>
        </w:rPr>
        <w:t xml:space="preserve"> </w:t>
      </w:r>
      <w:r w:rsidRPr="00B8414F">
        <w:rPr>
          <w:rFonts w:cs="David" w:hint="cs"/>
          <w:sz w:val="20"/>
          <w:szCs w:val="20"/>
          <w:rtl/>
        </w:rPr>
        <w:t>כלל</w:t>
      </w:r>
      <w:r w:rsidRPr="00B8414F">
        <w:rPr>
          <w:rFonts w:cs="David"/>
          <w:sz w:val="20"/>
          <w:szCs w:val="20"/>
          <w:rtl/>
        </w:rPr>
        <w:t xml:space="preserve"> </w:t>
      </w:r>
      <w:r w:rsidRPr="00B8414F">
        <w:rPr>
          <w:rFonts w:cs="David" w:hint="cs"/>
          <w:sz w:val="20"/>
          <w:szCs w:val="20"/>
          <w:rtl/>
        </w:rPr>
        <w:t>הגורמים</w:t>
      </w:r>
      <w:r w:rsidRPr="00B8414F">
        <w:rPr>
          <w:rFonts w:cs="David"/>
          <w:sz w:val="20"/>
          <w:szCs w:val="20"/>
          <w:rtl/>
        </w:rPr>
        <w:t xml:space="preserve"> </w:t>
      </w:r>
      <w:r w:rsidRPr="00B8414F">
        <w:rPr>
          <w:rFonts w:cs="David" w:hint="cs"/>
          <w:sz w:val="20"/>
          <w:szCs w:val="20"/>
          <w:rtl/>
        </w:rPr>
        <w:t>במשק</w:t>
      </w:r>
      <w:r w:rsidRPr="00B8414F">
        <w:rPr>
          <w:rFonts w:cs="David"/>
          <w:sz w:val="20"/>
          <w:szCs w:val="20"/>
          <w:rtl/>
        </w:rPr>
        <w:t xml:space="preserve">, </w:t>
      </w:r>
      <w:r w:rsidRPr="00B8414F">
        <w:rPr>
          <w:rFonts w:cs="David" w:hint="cs"/>
          <w:sz w:val="20"/>
          <w:szCs w:val="20"/>
          <w:rtl/>
        </w:rPr>
        <w:t>וכדי</w:t>
      </w:r>
      <w:r w:rsidRPr="00B8414F">
        <w:rPr>
          <w:rFonts w:cs="David"/>
          <w:sz w:val="20"/>
          <w:szCs w:val="20"/>
          <w:rtl/>
        </w:rPr>
        <w:t xml:space="preserve"> </w:t>
      </w:r>
      <w:r w:rsidRPr="00B8414F">
        <w:rPr>
          <w:rFonts w:cs="David" w:hint="cs"/>
          <w:sz w:val="20"/>
          <w:szCs w:val="20"/>
          <w:rtl/>
        </w:rPr>
        <w:t>למנוע</w:t>
      </w:r>
      <w:r w:rsidRPr="00B8414F">
        <w:rPr>
          <w:rFonts w:cs="David"/>
          <w:sz w:val="20"/>
          <w:szCs w:val="20"/>
          <w:rtl/>
        </w:rPr>
        <w:t xml:space="preserve"> </w:t>
      </w:r>
      <w:r w:rsidRPr="00B8414F">
        <w:rPr>
          <w:rFonts w:cs="David" w:hint="cs"/>
          <w:sz w:val="20"/>
          <w:szCs w:val="20"/>
          <w:rtl/>
        </w:rPr>
        <w:t>פגיעה</w:t>
      </w:r>
      <w:r w:rsidRPr="00B8414F">
        <w:rPr>
          <w:rFonts w:cs="David"/>
          <w:sz w:val="20"/>
          <w:szCs w:val="20"/>
          <w:rtl/>
        </w:rPr>
        <w:t xml:space="preserve"> </w:t>
      </w:r>
      <w:r w:rsidRPr="00B8414F">
        <w:rPr>
          <w:rFonts w:cs="David" w:hint="cs"/>
          <w:sz w:val="20"/>
          <w:szCs w:val="20"/>
          <w:rtl/>
        </w:rPr>
        <w:t>בהשקעות</w:t>
      </w:r>
      <w:r w:rsidRPr="00B8414F">
        <w:rPr>
          <w:rFonts w:cs="David"/>
          <w:sz w:val="20"/>
          <w:szCs w:val="20"/>
          <w:rtl/>
        </w:rPr>
        <w:t xml:space="preserve"> </w:t>
      </w:r>
      <w:r w:rsidRPr="00B8414F">
        <w:rPr>
          <w:rFonts w:cs="David" w:hint="cs"/>
          <w:sz w:val="20"/>
          <w:szCs w:val="20"/>
          <w:rtl/>
        </w:rPr>
        <w:t>אלה</w:t>
      </w:r>
      <w:r w:rsidRPr="00B8414F">
        <w:rPr>
          <w:rFonts w:cs="David"/>
          <w:sz w:val="20"/>
          <w:szCs w:val="20"/>
          <w:rtl/>
        </w:rPr>
        <w:t xml:space="preserve">, </w:t>
      </w:r>
      <w:r w:rsidRPr="00B8414F">
        <w:rPr>
          <w:rFonts w:cs="David" w:hint="cs"/>
          <w:sz w:val="20"/>
          <w:szCs w:val="20"/>
          <w:rtl/>
        </w:rPr>
        <w:t>ראוי</w:t>
      </w:r>
      <w:r w:rsidRPr="00B8414F">
        <w:rPr>
          <w:rFonts w:cs="David"/>
          <w:sz w:val="20"/>
          <w:szCs w:val="20"/>
          <w:rtl/>
        </w:rPr>
        <w:t xml:space="preserve">  </w:t>
      </w:r>
      <w:r w:rsidRPr="00B8414F">
        <w:rPr>
          <w:rFonts w:cs="David" w:hint="cs"/>
          <w:sz w:val="20"/>
          <w:szCs w:val="20"/>
          <w:rtl/>
        </w:rPr>
        <w:t>להבטיח</w:t>
      </w:r>
      <w:r w:rsidRPr="00B8414F">
        <w:rPr>
          <w:rFonts w:cs="David"/>
          <w:sz w:val="20"/>
          <w:szCs w:val="20"/>
          <w:rtl/>
        </w:rPr>
        <w:t xml:space="preserve">, </w:t>
      </w:r>
      <w:r w:rsidRPr="00B8414F">
        <w:rPr>
          <w:rFonts w:cs="David" w:hint="cs"/>
          <w:sz w:val="20"/>
          <w:szCs w:val="20"/>
          <w:rtl/>
        </w:rPr>
        <w:t>כי</w:t>
      </w:r>
      <w:r w:rsidRPr="00B8414F">
        <w:rPr>
          <w:rFonts w:cs="David"/>
          <w:sz w:val="20"/>
          <w:szCs w:val="20"/>
          <w:rtl/>
        </w:rPr>
        <w:t xml:space="preserve"> </w:t>
      </w:r>
      <w:r w:rsidRPr="00B8414F">
        <w:rPr>
          <w:rFonts w:cs="David" w:hint="cs"/>
          <w:sz w:val="20"/>
          <w:szCs w:val="20"/>
          <w:rtl/>
        </w:rPr>
        <w:t>יועסקו</w:t>
      </w:r>
      <w:r w:rsidRPr="00B8414F">
        <w:rPr>
          <w:rFonts w:cs="David"/>
          <w:sz w:val="20"/>
          <w:szCs w:val="20"/>
          <w:rtl/>
        </w:rPr>
        <w:t xml:space="preserve"> </w:t>
      </w:r>
      <w:r w:rsidRPr="00B8414F">
        <w:rPr>
          <w:rFonts w:cs="David" w:hint="cs"/>
          <w:sz w:val="20"/>
          <w:szCs w:val="20"/>
          <w:rtl/>
        </w:rPr>
        <w:t>רק</w:t>
      </w:r>
      <w:r w:rsidRPr="00B8414F">
        <w:rPr>
          <w:rFonts w:cs="David"/>
          <w:sz w:val="20"/>
          <w:szCs w:val="20"/>
          <w:rtl/>
        </w:rPr>
        <w:t xml:space="preserve"> </w:t>
      </w:r>
      <w:r w:rsidRPr="00B8414F">
        <w:rPr>
          <w:rFonts w:cs="David" w:hint="cs"/>
          <w:sz w:val="20"/>
          <w:szCs w:val="20"/>
          <w:rtl/>
        </w:rPr>
        <w:t>מורי</w:t>
      </w:r>
      <w:r w:rsidRPr="00B8414F">
        <w:rPr>
          <w:rFonts w:cs="David"/>
          <w:sz w:val="20"/>
          <w:szCs w:val="20"/>
          <w:rtl/>
        </w:rPr>
        <w:t xml:space="preserve"> </w:t>
      </w:r>
      <w:r w:rsidRPr="00B8414F">
        <w:rPr>
          <w:rFonts w:cs="David" w:hint="cs"/>
          <w:sz w:val="20"/>
          <w:szCs w:val="20"/>
          <w:rtl/>
        </w:rPr>
        <w:t>דרך</w:t>
      </w:r>
      <w:r w:rsidRPr="00B8414F">
        <w:rPr>
          <w:rFonts w:cs="David"/>
          <w:sz w:val="20"/>
          <w:szCs w:val="20"/>
          <w:rtl/>
        </w:rPr>
        <w:t xml:space="preserve"> </w:t>
      </w:r>
      <w:r w:rsidRPr="00B8414F">
        <w:rPr>
          <w:rFonts w:cs="David" w:hint="cs"/>
          <w:sz w:val="20"/>
          <w:szCs w:val="20"/>
          <w:rtl/>
        </w:rPr>
        <w:t>שעברו</w:t>
      </w:r>
      <w:r w:rsidRPr="00B8414F">
        <w:rPr>
          <w:rFonts w:cs="David"/>
          <w:sz w:val="20"/>
          <w:szCs w:val="20"/>
          <w:rtl/>
        </w:rPr>
        <w:t xml:space="preserve"> </w:t>
      </w:r>
      <w:r w:rsidRPr="00B8414F">
        <w:rPr>
          <w:rFonts w:cs="David" w:hint="cs"/>
          <w:sz w:val="20"/>
          <w:szCs w:val="20"/>
          <w:rtl/>
        </w:rPr>
        <w:t>הכשרה</w:t>
      </w:r>
      <w:r w:rsidRPr="00B8414F">
        <w:rPr>
          <w:rFonts w:cs="David"/>
          <w:sz w:val="20"/>
          <w:szCs w:val="20"/>
          <w:rtl/>
        </w:rPr>
        <w:t xml:space="preserve"> </w:t>
      </w:r>
      <w:r w:rsidRPr="00B8414F">
        <w:rPr>
          <w:rFonts w:cs="David" w:hint="cs"/>
          <w:sz w:val="20"/>
          <w:szCs w:val="20"/>
          <w:rtl/>
        </w:rPr>
        <w:t>מתאימה</w:t>
      </w:r>
      <w:r w:rsidRPr="00B8414F">
        <w:rPr>
          <w:rFonts w:cs="David"/>
          <w:sz w:val="20"/>
          <w:szCs w:val="20"/>
          <w:rtl/>
        </w:rPr>
        <w:t xml:space="preserve"> </w:t>
      </w:r>
      <w:r w:rsidRPr="00B8414F">
        <w:rPr>
          <w:rFonts w:cs="David" w:hint="cs"/>
          <w:sz w:val="20"/>
          <w:szCs w:val="20"/>
          <w:rtl/>
        </w:rPr>
        <w:t>וקיבלו</w:t>
      </w:r>
      <w:r w:rsidRPr="00B8414F">
        <w:rPr>
          <w:rFonts w:cs="David"/>
          <w:sz w:val="20"/>
          <w:szCs w:val="20"/>
          <w:rtl/>
        </w:rPr>
        <w:t xml:space="preserve"> </w:t>
      </w:r>
      <w:r w:rsidRPr="00B8414F">
        <w:rPr>
          <w:rFonts w:cs="David" w:hint="cs"/>
          <w:sz w:val="20"/>
          <w:szCs w:val="20"/>
          <w:rtl/>
        </w:rPr>
        <w:t>רישיון</w:t>
      </w:r>
      <w:r w:rsidRPr="00B8414F">
        <w:rPr>
          <w:rFonts w:cs="David"/>
          <w:sz w:val="20"/>
          <w:szCs w:val="20"/>
          <w:rtl/>
        </w:rPr>
        <w:t>.</w:t>
      </w:r>
    </w:p>
    <w:p w:rsidR="005366A8" w:rsidRPr="00B8414F" w:rsidRDefault="005366A8" w:rsidP="005366A8">
      <w:pPr>
        <w:pStyle w:val="Hesber"/>
        <w:spacing w:line="240" w:lineRule="auto"/>
        <w:ind w:left="26" w:firstLine="0"/>
        <w:rPr>
          <w:rFonts w:ascii="David" w:hAnsi="David" w:cs="David"/>
          <w:szCs w:val="20"/>
          <w:rtl/>
        </w:rPr>
      </w:pPr>
      <w:r w:rsidRPr="00B8414F">
        <w:rPr>
          <w:rFonts w:cs="David"/>
          <w:szCs w:val="20"/>
          <w:rtl/>
        </w:rPr>
        <w:t>ב</w:t>
      </w:r>
      <w:r w:rsidRPr="00B8414F">
        <w:rPr>
          <w:rFonts w:ascii="David" w:hAnsi="David" w:cs="David" w:hint="eastAsia"/>
          <w:szCs w:val="20"/>
          <w:rtl/>
        </w:rPr>
        <w:t>מדינת</w:t>
      </w:r>
      <w:r w:rsidRPr="00B8414F">
        <w:rPr>
          <w:rFonts w:ascii="David" w:hAnsi="David" w:cs="David"/>
          <w:szCs w:val="20"/>
          <w:rtl/>
        </w:rPr>
        <w:t xml:space="preserve"> </w:t>
      </w:r>
      <w:r w:rsidRPr="00B8414F">
        <w:rPr>
          <w:rFonts w:ascii="David" w:hAnsi="David" w:cs="David" w:hint="eastAsia"/>
          <w:szCs w:val="20"/>
          <w:rtl/>
        </w:rPr>
        <w:t>ישראל</w:t>
      </w:r>
      <w:r w:rsidRPr="00B8414F">
        <w:rPr>
          <w:rFonts w:ascii="David" w:hAnsi="David" w:cs="David"/>
          <w:szCs w:val="20"/>
          <w:rtl/>
        </w:rPr>
        <w:t xml:space="preserve"> </w:t>
      </w:r>
      <w:r w:rsidRPr="00B8414F">
        <w:rPr>
          <w:rFonts w:ascii="David" w:hAnsi="David" w:cs="David" w:hint="eastAsia"/>
          <w:szCs w:val="20"/>
          <w:rtl/>
        </w:rPr>
        <w:t>ישנם</w:t>
      </w:r>
      <w:r w:rsidRPr="00B8414F">
        <w:rPr>
          <w:rFonts w:ascii="David" w:hAnsi="David" w:cs="David"/>
          <w:szCs w:val="20"/>
          <w:rtl/>
        </w:rPr>
        <w:t xml:space="preserve"> </w:t>
      </w:r>
      <w:r w:rsidRPr="00B8414F">
        <w:rPr>
          <w:rFonts w:ascii="David" w:hAnsi="David" w:cs="David" w:hint="eastAsia"/>
          <w:szCs w:val="20"/>
          <w:rtl/>
        </w:rPr>
        <w:t>אתרים</w:t>
      </w:r>
      <w:r w:rsidRPr="00B8414F">
        <w:rPr>
          <w:rFonts w:ascii="David" w:hAnsi="David" w:cs="David"/>
          <w:szCs w:val="20"/>
          <w:rtl/>
        </w:rPr>
        <w:t xml:space="preserve"> </w:t>
      </w:r>
      <w:r w:rsidRPr="00B8414F">
        <w:rPr>
          <w:rFonts w:ascii="David" w:hAnsi="David" w:cs="David" w:hint="eastAsia"/>
          <w:szCs w:val="20"/>
          <w:rtl/>
        </w:rPr>
        <w:t>תיירותיים</w:t>
      </w:r>
      <w:r w:rsidRPr="00B8414F">
        <w:rPr>
          <w:rFonts w:ascii="David" w:hAnsi="David" w:cs="David"/>
          <w:szCs w:val="20"/>
          <w:rtl/>
        </w:rPr>
        <w:t xml:space="preserve"> </w:t>
      </w:r>
      <w:r w:rsidRPr="00B8414F">
        <w:rPr>
          <w:rFonts w:ascii="David" w:hAnsi="David" w:cs="David" w:hint="eastAsia"/>
          <w:szCs w:val="20"/>
          <w:rtl/>
        </w:rPr>
        <w:t>רבי</w:t>
      </w:r>
      <w:r w:rsidRPr="00B8414F">
        <w:rPr>
          <w:rFonts w:ascii="David" w:hAnsi="David" w:cs="David"/>
          <w:szCs w:val="20"/>
          <w:rtl/>
        </w:rPr>
        <w:t>-</w:t>
      </w:r>
      <w:r w:rsidRPr="00B8414F">
        <w:rPr>
          <w:rFonts w:ascii="David" w:hAnsi="David" w:cs="David" w:hint="eastAsia"/>
          <w:szCs w:val="20"/>
          <w:rtl/>
        </w:rPr>
        <w:t>ערך</w:t>
      </w:r>
      <w:r w:rsidRPr="00B8414F">
        <w:rPr>
          <w:rFonts w:ascii="David" w:hAnsi="David" w:cs="David"/>
          <w:szCs w:val="20"/>
          <w:rtl/>
        </w:rPr>
        <w:t xml:space="preserve">. </w:t>
      </w:r>
      <w:r w:rsidRPr="00B8414F">
        <w:rPr>
          <w:rFonts w:ascii="David" w:hAnsi="David" w:cs="David" w:hint="eastAsia"/>
          <w:szCs w:val="20"/>
          <w:rtl/>
        </w:rPr>
        <w:t>לא</w:t>
      </w:r>
      <w:r w:rsidRPr="00B8414F">
        <w:rPr>
          <w:rFonts w:ascii="David" w:hAnsi="David" w:cs="David"/>
          <w:szCs w:val="20"/>
          <w:rtl/>
        </w:rPr>
        <w:t xml:space="preserve"> </w:t>
      </w:r>
      <w:r w:rsidRPr="00B8414F">
        <w:rPr>
          <w:rFonts w:ascii="David" w:hAnsi="David" w:cs="David" w:hint="eastAsia"/>
          <w:szCs w:val="20"/>
          <w:rtl/>
        </w:rPr>
        <w:t>אחת</w:t>
      </w:r>
      <w:r w:rsidRPr="00B8414F">
        <w:rPr>
          <w:rFonts w:ascii="David" w:hAnsi="David" w:cs="David"/>
          <w:szCs w:val="20"/>
          <w:rtl/>
        </w:rPr>
        <w:t xml:space="preserve"> </w:t>
      </w:r>
      <w:r w:rsidRPr="00B8414F">
        <w:rPr>
          <w:rFonts w:ascii="David" w:hAnsi="David" w:cs="David" w:hint="eastAsia"/>
          <w:szCs w:val="20"/>
          <w:rtl/>
        </w:rPr>
        <w:t>ישנם</w:t>
      </w:r>
      <w:r w:rsidRPr="00B8414F">
        <w:rPr>
          <w:rFonts w:ascii="David" w:hAnsi="David" w:cs="David"/>
          <w:szCs w:val="20"/>
          <w:rtl/>
        </w:rPr>
        <w:t xml:space="preserve"> </w:t>
      </w:r>
      <w:r w:rsidRPr="00B8414F">
        <w:rPr>
          <w:rFonts w:ascii="David" w:hAnsi="David" w:cs="David" w:hint="eastAsia"/>
          <w:szCs w:val="20"/>
          <w:rtl/>
        </w:rPr>
        <w:t>חילוקי</w:t>
      </w:r>
      <w:r w:rsidRPr="00B8414F">
        <w:rPr>
          <w:rFonts w:ascii="David" w:hAnsi="David" w:cs="David"/>
          <w:szCs w:val="20"/>
          <w:rtl/>
        </w:rPr>
        <w:t xml:space="preserve"> </w:t>
      </w:r>
      <w:r w:rsidRPr="00B8414F">
        <w:rPr>
          <w:rFonts w:ascii="David" w:hAnsi="David" w:cs="David" w:hint="eastAsia"/>
          <w:szCs w:val="20"/>
          <w:rtl/>
        </w:rPr>
        <w:t>דעות</w:t>
      </w:r>
      <w:r w:rsidRPr="00B8414F">
        <w:rPr>
          <w:rFonts w:ascii="David" w:hAnsi="David" w:cs="David"/>
          <w:szCs w:val="20"/>
          <w:rtl/>
        </w:rPr>
        <w:t xml:space="preserve"> </w:t>
      </w:r>
      <w:r w:rsidRPr="00B8414F">
        <w:rPr>
          <w:rFonts w:ascii="David" w:hAnsi="David" w:cs="David" w:hint="eastAsia"/>
          <w:szCs w:val="20"/>
          <w:rtl/>
        </w:rPr>
        <w:t>באשר</w:t>
      </w:r>
      <w:r w:rsidRPr="00B8414F">
        <w:rPr>
          <w:rFonts w:ascii="David" w:hAnsi="David" w:cs="David"/>
          <w:szCs w:val="20"/>
          <w:rtl/>
        </w:rPr>
        <w:t xml:space="preserve"> </w:t>
      </w:r>
      <w:r w:rsidRPr="00B8414F">
        <w:rPr>
          <w:rFonts w:ascii="David" w:hAnsi="David" w:cs="David" w:hint="eastAsia"/>
          <w:szCs w:val="20"/>
          <w:rtl/>
        </w:rPr>
        <w:t>לאופן</w:t>
      </w:r>
      <w:r w:rsidRPr="00B8414F">
        <w:rPr>
          <w:rFonts w:ascii="David" w:hAnsi="David" w:cs="David"/>
          <w:szCs w:val="20"/>
          <w:rtl/>
        </w:rPr>
        <w:t xml:space="preserve"> </w:t>
      </w:r>
      <w:r w:rsidRPr="00B8414F">
        <w:rPr>
          <w:rFonts w:ascii="David" w:hAnsi="David" w:cs="David" w:hint="eastAsia"/>
          <w:szCs w:val="20"/>
          <w:rtl/>
        </w:rPr>
        <w:t>הצגתם</w:t>
      </w:r>
      <w:r w:rsidRPr="00B8414F">
        <w:rPr>
          <w:rFonts w:ascii="David" w:hAnsi="David" w:cs="David"/>
          <w:szCs w:val="20"/>
          <w:rtl/>
        </w:rPr>
        <w:t xml:space="preserve"> </w:t>
      </w:r>
      <w:r w:rsidRPr="00B8414F">
        <w:rPr>
          <w:rFonts w:ascii="David" w:hAnsi="David" w:cs="David" w:hint="eastAsia"/>
          <w:szCs w:val="20"/>
          <w:rtl/>
        </w:rPr>
        <w:t>של</w:t>
      </w:r>
      <w:r w:rsidRPr="00B8414F">
        <w:rPr>
          <w:rFonts w:ascii="David" w:hAnsi="David" w:cs="David"/>
          <w:szCs w:val="20"/>
          <w:rtl/>
        </w:rPr>
        <w:t xml:space="preserve"> </w:t>
      </w:r>
      <w:r w:rsidRPr="00B8414F">
        <w:rPr>
          <w:rFonts w:ascii="David" w:hAnsi="David" w:cs="David" w:hint="eastAsia"/>
          <w:szCs w:val="20"/>
          <w:rtl/>
        </w:rPr>
        <w:t>אותם</w:t>
      </w:r>
      <w:r w:rsidRPr="00B8414F">
        <w:rPr>
          <w:rFonts w:ascii="David" w:hAnsi="David" w:cs="David"/>
          <w:szCs w:val="20"/>
          <w:rtl/>
        </w:rPr>
        <w:t xml:space="preserve"> </w:t>
      </w:r>
      <w:r w:rsidRPr="00B8414F">
        <w:rPr>
          <w:rFonts w:ascii="David" w:hAnsi="David" w:cs="David" w:hint="eastAsia"/>
          <w:szCs w:val="20"/>
          <w:rtl/>
        </w:rPr>
        <w:t>אתרים</w:t>
      </w:r>
      <w:r w:rsidRPr="00B8414F">
        <w:rPr>
          <w:rFonts w:ascii="David" w:hAnsi="David" w:cs="David"/>
          <w:szCs w:val="20"/>
          <w:rtl/>
        </w:rPr>
        <w:t xml:space="preserve"> </w:t>
      </w:r>
      <w:r w:rsidRPr="00B8414F">
        <w:rPr>
          <w:rFonts w:ascii="David" w:hAnsi="David" w:cs="David" w:hint="eastAsia"/>
          <w:szCs w:val="20"/>
          <w:rtl/>
        </w:rPr>
        <w:t>מבחינה</w:t>
      </w:r>
      <w:r w:rsidRPr="00B8414F">
        <w:rPr>
          <w:rFonts w:ascii="David" w:hAnsi="David" w:cs="David"/>
          <w:szCs w:val="20"/>
          <w:rtl/>
        </w:rPr>
        <w:t xml:space="preserve"> </w:t>
      </w:r>
      <w:r w:rsidRPr="00B8414F">
        <w:rPr>
          <w:rFonts w:ascii="David" w:hAnsi="David" w:cs="David" w:hint="eastAsia"/>
          <w:szCs w:val="20"/>
          <w:rtl/>
        </w:rPr>
        <w:t>היסטורית</w:t>
      </w:r>
      <w:r w:rsidRPr="00B8414F">
        <w:rPr>
          <w:rFonts w:ascii="David" w:hAnsi="David" w:cs="David"/>
          <w:szCs w:val="20"/>
          <w:rtl/>
        </w:rPr>
        <w:t xml:space="preserve">, </w:t>
      </w:r>
      <w:r w:rsidRPr="00B8414F">
        <w:rPr>
          <w:rFonts w:ascii="David" w:hAnsi="David" w:cs="David" w:hint="eastAsia"/>
          <w:szCs w:val="20"/>
          <w:rtl/>
        </w:rPr>
        <w:t>דתית</w:t>
      </w:r>
      <w:r w:rsidRPr="00B8414F">
        <w:rPr>
          <w:rFonts w:ascii="David" w:hAnsi="David" w:cs="David"/>
          <w:szCs w:val="20"/>
          <w:rtl/>
        </w:rPr>
        <w:t xml:space="preserve">, </w:t>
      </w:r>
      <w:r w:rsidRPr="00B8414F">
        <w:rPr>
          <w:rFonts w:ascii="David" w:hAnsi="David" w:cs="David" w:hint="eastAsia"/>
          <w:szCs w:val="20"/>
          <w:rtl/>
        </w:rPr>
        <w:t>תרבותית</w:t>
      </w:r>
      <w:r w:rsidRPr="00B8414F">
        <w:rPr>
          <w:rFonts w:ascii="David" w:hAnsi="David" w:cs="David"/>
          <w:szCs w:val="20"/>
          <w:rtl/>
        </w:rPr>
        <w:t xml:space="preserve"> </w:t>
      </w:r>
      <w:r w:rsidRPr="00B8414F">
        <w:rPr>
          <w:rFonts w:ascii="David" w:hAnsi="David" w:cs="David" w:hint="eastAsia"/>
          <w:szCs w:val="20"/>
          <w:rtl/>
        </w:rPr>
        <w:t>ועוד</w:t>
      </w:r>
      <w:r w:rsidRPr="00B8414F">
        <w:rPr>
          <w:rFonts w:ascii="David" w:hAnsi="David" w:cs="David"/>
          <w:szCs w:val="20"/>
          <w:rtl/>
        </w:rPr>
        <w:t xml:space="preserve">. </w:t>
      </w:r>
      <w:r w:rsidRPr="00B8414F">
        <w:rPr>
          <w:rFonts w:ascii="David" w:hAnsi="David" w:cs="David" w:hint="eastAsia"/>
          <w:szCs w:val="20"/>
          <w:rtl/>
        </w:rPr>
        <w:t>העיר</w:t>
      </w:r>
      <w:r w:rsidRPr="00B8414F">
        <w:rPr>
          <w:rFonts w:ascii="David" w:hAnsi="David" w:cs="David"/>
          <w:szCs w:val="20"/>
          <w:rtl/>
        </w:rPr>
        <w:t xml:space="preserve"> </w:t>
      </w:r>
      <w:r w:rsidRPr="00B8414F">
        <w:rPr>
          <w:rFonts w:ascii="David" w:hAnsi="David" w:cs="David" w:hint="eastAsia"/>
          <w:szCs w:val="20"/>
          <w:rtl/>
        </w:rPr>
        <w:t>ירושלים</w:t>
      </w:r>
      <w:r w:rsidRPr="00B8414F">
        <w:rPr>
          <w:rFonts w:ascii="David" w:hAnsi="David" w:cs="David"/>
          <w:szCs w:val="20"/>
          <w:rtl/>
        </w:rPr>
        <w:t xml:space="preserve">, </w:t>
      </w:r>
      <w:r w:rsidRPr="00B8414F">
        <w:rPr>
          <w:rFonts w:ascii="David" w:hAnsi="David" w:cs="David" w:hint="eastAsia"/>
          <w:szCs w:val="20"/>
          <w:rtl/>
        </w:rPr>
        <w:t>על</w:t>
      </w:r>
      <w:r w:rsidRPr="00B8414F">
        <w:rPr>
          <w:rFonts w:ascii="David" w:hAnsi="David" w:cs="David"/>
          <w:szCs w:val="20"/>
          <w:rtl/>
        </w:rPr>
        <w:t xml:space="preserve"> </w:t>
      </w:r>
      <w:r w:rsidRPr="00B8414F">
        <w:rPr>
          <w:rFonts w:ascii="David" w:hAnsi="David" w:cs="David" w:hint="eastAsia"/>
          <w:szCs w:val="20"/>
          <w:rtl/>
        </w:rPr>
        <w:t>אתריה</w:t>
      </w:r>
      <w:r w:rsidRPr="00B8414F">
        <w:rPr>
          <w:rFonts w:ascii="David" w:hAnsi="David" w:cs="David"/>
          <w:szCs w:val="20"/>
          <w:rtl/>
        </w:rPr>
        <w:t xml:space="preserve"> </w:t>
      </w:r>
      <w:r w:rsidRPr="00B8414F">
        <w:rPr>
          <w:rFonts w:ascii="David" w:hAnsi="David" w:cs="David" w:hint="eastAsia"/>
          <w:szCs w:val="20"/>
          <w:rtl/>
        </w:rPr>
        <w:t>ההיסטוריים</w:t>
      </w:r>
      <w:r w:rsidRPr="00B8414F">
        <w:rPr>
          <w:rFonts w:ascii="David" w:hAnsi="David" w:cs="David"/>
          <w:szCs w:val="20"/>
          <w:rtl/>
        </w:rPr>
        <w:t xml:space="preserve"> </w:t>
      </w:r>
      <w:r w:rsidRPr="00B8414F">
        <w:rPr>
          <w:rFonts w:ascii="David" w:hAnsi="David" w:cs="David" w:hint="eastAsia"/>
          <w:szCs w:val="20"/>
          <w:rtl/>
        </w:rPr>
        <w:t>הרבים</w:t>
      </w:r>
      <w:r w:rsidRPr="00B8414F">
        <w:rPr>
          <w:rFonts w:ascii="David" w:hAnsi="David" w:cs="David"/>
          <w:szCs w:val="20"/>
          <w:rtl/>
        </w:rPr>
        <w:t xml:space="preserve">, </w:t>
      </w:r>
      <w:r w:rsidRPr="00B8414F">
        <w:rPr>
          <w:rFonts w:ascii="David" w:hAnsi="David" w:cs="David" w:hint="eastAsia"/>
          <w:szCs w:val="20"/>
          <w:rtl/>
        </w:rPr>
        <w:t>מהווה</w:t>
      </w:r>
      <w:r w:rsidRPr="00B8414F">
        <w:rPr>
          <w:rFonts w:ascii="David" w:hAnsi="David" w:cs="David"/>
          <w:szCs w:val="20"/>
          <w:rtl/>
        </w:rPr>
        <w:t xml:space="preserve"> </w:t>
      </w:r>
      <w:r w:rsidRPr="00B8414F">
        <w:rPr>
          <w:rFonts w:ascii="David" w:hAnsi="David" w:cs="David" w:hint="eastAsia"/>
          <w:szCs w:val="20"/>
          <w:rtl/>
        </w:rPr>
        <w:t>דוגמא</w:t>
      </w:r>
      <w:r w:rsidRPr="00B8414F">
        <w:rPr>
          <w:rFonts w:ascii="David" w:hAnsi="David" w:cs="David"/>
          <w:szCs w:val="20"/>
          <w:rtl/>
        </w:rPr>
        <w:t xml:space="preserve"> </w:t>
      </w:r>
      <w:r w:rsidRPr="00B8414F">
        <w:rPr>
          <w:rFonts w:ascii="David" w:hAnsi="David" w:cs="David" w:hint="eastAsia"/>
          <w:szCs w:val="20"/>
          <w:rtl/>
        </w:rPr>
        <w:t>לאתר</w:t>
      </w:r>
      <w:r w:rsidRPr="00B8414F">
        <w:rPr>
          <w:rFonts w:ascii="David" w:hAnsi="David" w:cs="David"/>
          <w:szCs w:val="20"/>
          <w:rtl/>
        </w:rPr>
        <w:t xml:space="preserve"> </w:t>
      </w:r>
      <w:r w:rsidRPr="00B8414F">
        <w:rPr>
          <w:rFonts w:ascii="David" w:hAnsi="David" w:cs="David" w:hint="eastAsia"/>
          <w:szCs w:val="20"/>
          <w:rtl/>
        </w:rPr>
        <w:t>שקיימים</w:t>
      </w:r>
      <w:r w:rsidRPr="00B8414F">
        <w:rPr>
          <w:rFonts w:ascii="David" w:hAnsi="David" w:cs="David"/>
          <w:szCs w:val="20"/>
          <w:rtl/>
        </w:rPr>
        <w:t xml:space="preserve"> </w:t>
      </w:r>
      <w:r w:rsidRPr="00B8414F">
        <w:rPr>
          <w:rFonts w:ascii="David" w:hAnsi="David" w:cs="David" w:hint="eastAsia"/>
          <w:szCs w:val="20"/>
          <w:rtl/>
        </w:rPr>
        <w:t>לגביו</w:t>
      </w:r>
      <w:r w:rsidRPr="00B8414F">
        <w:rPr>
          <w:rFonts w:ascii="David" w:hAnsi="David" w:cs="David"/>
          <w:szCs w:val="20"/>
          <w:rtl/>
        </w:rPr>
        <w:t xml:space="preserve"> </w:t>
      </w:r>
      <w:r w:rsidRPr="00B8414F">
        <w:rPr>
          <w:rFonts w:ascii="David" w:hAnsi="David" w:cs="David" w:hint="eastAsia"/>
          <w:szCs w:val="20"/>
          <w:rtl/>
        </w:rPr>
        <w:t>חילוקי</w:t>
      </w:r>
      <w:r w:rsidRPr="00B8414F">
        <w:rPr>
          <w:rFonts w:ascii="David" w:hAnsi="David" w:cs="David"/>
          <w:szCs w:val="20"/>
          <w:rtl/>
        </w:rPr>
        <w:t xml:space="preserve"> </w:t>
      </w:r>
      <w:r w:rsidRPr="00B8414F">
        <w:rPr>
          <w:rFonts w:ascii="David" w:hAnsi="David" w:cs="David" w:hint="eastAsia"/>
          <w:szCs w:val="20"/>
          <w:rtl/>
        </w:rPr>
        <w:t>דעות</w:t>
      </w:r>
      <w:r w:rsidRPr="00B8414F">
        <w:rPr>
          <w:rFonts w:ascii="David" w:hAnsi="David" w:cs="David"/>
          <w:szCs w:val="20"/>
          <w:rtl/>
        </w:rPr>
        <w:t xml:space="preserve"> </w:t>
      </w:r>
      <w:r w:rsidRPr="00B8414F">
        <w:rPr>
          <w:rFonts w:ascii="David" w:hAnsi="David" w:cs="David" w:hint="eastAsia"/>
          <w:szCs w:val="20"/>
          <w:rtl/>
        </w:rPr>
        <w:t>כאמור</w:t>
      </w:r>
      <w:r w:rsidRPr="00B8414F">
        <w:rPr>
          <w:rFonts w:ascii="David" w:hAnsi="David" w:cs="David"/>
          <w:szCs w:val="20"/>
          <w:rtl/>
        </w:rPr>
        <w:t xml:space="preserve">. </w:t>
      </w:r>
      <w:r w:rsidRPr="00B8414F">
        <w:rPr>
          <w:rFonts w:ascii="David" w:hAnsi="David" w:cs="David" w:hint="eastAsia"/>
          <w:szCs w:val="20"/>
          <w:rtl/>
        </w:rPr>
        <w:t>לחלק</w:t>
      </w:r>
      <w:r w:rsidRPr="00B8414F">
        <w:rPr>
          <w:rFonts w:ascii="David" w:hAnsi="David" w:cs="David"/>
          <w:szCs w:val="20"/>
          <w:rtl/>
        </w:rPr>
        <w:t xml:space="preserve"> </w:t>
      </w:r>
      <w:r w:rsidRPr="00B8414F">
        <w:rPr>
          <w:rFonts w:ascii="David" w:hAnsi="David" w:cs="David" w:hint="eastAsia"/>
          <w:szCs w:val="20"/>
          <w:rtl/>
        </w:rPr>
        <w:t>מתושבי</w:t>
      </w:r>
      <w:r w:rsidRPr="00B8414F">
        <w:rPr>
          <w:rFonts w:ascii="David" w:hAnsi="David" w:cs="David"/>
          <w:szCs w:val="20"/>
          <w:rtl/>
        </w:rPr>
        <w:t xml:space="preserve"> </w:t>
      </w:r>
      <w:r w:rsidRPr="00B8414F">
        <w:rPr>
          <w:rFonts w:ascii="David" w:hAnsi="David" w:cs="David" w:hint="eastAsia"/>
          <w:szCs w:val="20"/>
          <w:rtl/>
        </w:rPr>
        <w:t>מדינת</w:t>
      </w:r>
      <w:r w:rsidRPr="00B8414F">
        <w:rPr>
          <w:rFonts w:ascii="David" w:hAnsi="David" w:cs="David"/>
          <w:szCs w:val="20"/>
          <w:rtl/>
        </w:rPr>
        <w:t xml:space="preserve"> </w:t>
      </w:r>
      <w:r w:rsidRPr="00B8414F">
        <w:rPr>
          <w:rFonts w:ascii="David" w:hAnsi="David" w:cs="David" w:hint="eastAsia"/>
          <w:szCs w:val="20"/>
          <w:rtl/>
        </w:rPr>
        <w:t>ישראל</w:t>
      </w:r>
      <w:r w:rsidRPr="00B8414F">
        <w:rPr>
          <w:rFonts w:ascii="David" w:hAnsi="David" w:cs="David"/>
          <w:szCs w:val="20"/>
          <w:rtl/>
        </w:rPr>
        <w:t xml:space="preserve">, </w:t>
      </w:r>
      <w:r w:rsidRPr="00B8414F">
        <w:rPr>
          <w:rFonts w:ascii="David" w:hAnsi="David" w:cs="David" w:hint="eastAsia"/>
          <w:szCs w:val="20"/>
          <w:rtl/>
        </w:rPr>
        <w:t>דוגמת</w:t>
      </w:r>
      <w:r w:rsidRPr="00B8414F">
        <w:rPr>
          <w:rFonts w:ascii="David" w:hAnsi="David" w:cs="David"/>
          <w:szCs w:val="20"/>
          <w:rtl/>
        </w:rPr>
        <w:t xml:space="preserve"> </w:t>
      </w:r>
      <w:r w:rsidRPr="00B8414F">
        <w:rPr>
          <w:rFonts w:ascii="David" w:hAnsi="David" w:cs="David" w:hint="eastAsia"/>
          <w:szCs w:val="20"/>
          <w:rtl/>
        </w:rPr>
        <w:t>תושבי</w:t>
      </w:r>
      <w:r w:rsidRPr="00B8414F">
        <w:rPr>
          <w:rFonts w:ascii="David" w:hAnsi="David" w:cs="David"/>
          <w:szCs w:val="20"/>
          <w:rtl/>
        </w:rPr>
        <w:t xml:space="preserve"> </w:t>
      </w:r>
      <w:r w:rsidRPr="00B8414F">
        <w:rPr>
          <w:rFonts w:ascii="David" w:hAnsi="David" w:cs="David" w:hint="eastAsia"/>
          <w:szCs w:val="20"/>
          <w:rtl/>
        </w:rPr>
        <w:t>מזרח</w:t>
      </w:r>
      <w:r w:rsidRPr="00B8414F">
        <w:rPr>
          <w:rFonts w:ascii="David" w:hAnsi="David" w:cs="David"/>
          <w:szCs w:val="20"/>
          <w:rtl/>
        </w:rPr>
        <w:t xml:space="preserve"> </w:t>
      </w:r>
      <w:r w:rsidRPr="00B8414F">
        <w:rPr>
          <w:rFonts w:ascii="David" w:hAnsi="David" w:cs="David" w:hint="eastAsia"/>
          <w:szCs w:val="20"/>
          <w:rtl/>
        </w:rPr>
        <w:t>ירושלים</w:t>
      </w:r>
      <w:r w:rsidRPr="00B8414F">
        <w:rPr>
          <w:rFonts w:ascii="David" w:hAnsi="David" w:cs="David"/>
          <w:szCs w:val="20"/>
          <w:rtl/>
        </w:rPr>
        <w:t xml:space="preserve">, </w:t>
      </w:r>
      <w:r w:rsidRPr="00B8414F">
        <w:rPr>
          <w:rFonts w:ascii="David" w:hAnsi="David" w:cs="David" w:hint="eastAsia"/>
          <w:szCs w:val="20"/>
          <w:rtl/>
        </w:rPr>
        <w:t>ישנה</w:t>
      </w:r>
      <w:r w:rsidRPr="00B8414F">
        <w:rPr>
          <w:rFonts w:ascii="David" w:hAnsi="David" w:cs="David"/>
          <w:szCs w:val="20"/>
          <w:rtl/>
        </w:rPr>
        <w:t xml:space="preserve"> </w:t>
      </w:r>
      <w:r w:rsidRPr="00B8414F">
        <w:rPr>
          <w:rFonts w:ascii="David" w:hAnsi="David" w:cs="David" w:hint="eastAsia"/>
          <w:szCs w:val="20"/>
          <w:rtl/>
        </w:rPr>
        <w:t>פעמים</w:t>
      </w:r>
      <w:r w:rsidRPr="00B8414F">
        <w:rPr>
          <w:rFonts w:ascii="David" w:hAnsi="David" w:cs="David"/>
          <w:szCs w:val="20"/>
          <w:rtl/>
        </w:rPr>
        <w:t xml:space="preserve"> </w:t>
      </w:r>
      <w:r w:rsidRPr="00B8414F">
        <w:rPr>
          <w:rFonts w:ascii="David" w:hAnsi="David" w:cs="David" w:hint="eastAsia"/>
          <w:szCs w:val="20"/>
          <w:rtl/>
        </w:rPr>
        <w:t>רבות</w:t>
      </w:r>
      <w:r w:rsidRPr="00B8414F">
        <w:rPr>
          <w:rFonts w:ascii="David" w:hAnsi="David" w:cs="David"/>
          <w:szCs w:val="20"/>
          <w:rtl/>
        </w:rPr>
        <w:t xml:space="preserve"> "</w:t>
      </w:r>
      <w:r w:rsidRPr="00B8414F">
        <w:rPr>
          <w:rFonts w:ascii="David" w:hAnsi="David" w:cs="David" w:hint="eastAsia"/>
          <w:szCs w:val="20"/>
          <w:rtl/>
        </w:rPr>
        <w:t>נאמנות</w:t>
      </w:r>
      <w:r w:rsidRPr="00B8414F">
        <w:rPr>
          <w:rFonts w:ascii="David" w:hAnsi="David" w:cs="David"/>
          <w:szCs w:val="20"/>
          <w:rtl/>
        </w:rPr>
        <w:t xml:space="preserve"> </w:t>
      </w:r>
      <w:r w:rsidRPr="00B8414F">
        <w:rPr>
          <w:rFonts w:ascii="David" w:hAnsi="David" w:cs="David" w:hint="eastAsia"/>
          <w:szCs w:val="20"/>
          <w:rtl/>
        </w:rPr>
        <w:t>כפולה</w:t>
      </w:r>
      <w:r w:rsidRPr="00B8414F">
        <w:rPr>
          <w:rFonts w:ascii="David" w:hAnsi="David" w:cs="David"/>
          <w:szCs w:val="20"/>
          <w:rtl/>
        </w:rPr>
        <w:t xml:space="preserve">", </w:t>
      </w:r>
      <w:r w:rsidRPr="00B8414F">
        <w:rPr>
          <w:rFonts w:ascii="David" w:hAnsi="David" w:cs="David" w:hint="eastAsia"/>
          <w:szCs w:val="20"/>
          <w:rtl/>
        </w:rPr>
        <w:t>שכן</w:t>
      </w:r>
      <w:r w:rsidRPr="00B8414F">
        <w:rPr>
          <w:rFonts w:ascii="David" w:hAnsi="David" w:cs="David"/>
          <w:szCs w:val="20"/>
          <w:rtl/>
        </w:rPr>
        <w:t xml:space="preserve"> </w:t>
      </w:r>
      <w:r w:rsidRPr="00B8414F">
        <w:rPr>
          <w:rFonts w:ascii="David" w:hAnsi="David" w:cs="David" w:hint="eastAsia"/>
          <w:szCs w:val="20"/>
          <w:rtl/>
        </w:rPr>
        <w:t>הם</w:t>
      </w:r>
      <w:r w:rsidRPr="00B8414F">
        <w:rPr>
          <w:rFonts w:ascii="David" w:hAnsi="David" w:cs="David"/>
          <w:szCs w:val="20"/>
          <w:rtl/>
        </w:rPr>
        <w:t xml:space="preserve"> </w:t>
      </w:r>
      <w:r w:rsidRPr="00B8414F">
        <w:rPr>
          <w:rFonts w:ascii="David" w:hAnsi="David" w:cs="David" w:hint="eastAsia"/>
          <w:szCs w:val="20"/>
          <w:rtl/>
        </w:rPr>
        <w:t>מצביעים</w:t>
      </w:r>
      <w:r w:rsidRPr="00B8414F">
        <w:rPr>
          <w:rFonts w:ascii="David" w:hAnsi="David" w:cs="David"/>
          <w:szCs w:val="20"/>
          <w:rtl/>
        </w:rPr>
        <w:t xml:space="preserve"> </w:t>
      </w:r>
      <w:r w:rsidRPr="00B8414F">
        <w:rPr>
          <w:rFonts w:ascii="David" w:hAnsi="David" w:cs="David" w:hint="eastAsia"/>
          <w:szCs w:val="20"/>
          <w:rtl/>
        </w:rPr>
        <w:t>לרשות</w:t>
      </w:r>
      <w:r w:rsidRPr="00B8414F">
        <w:rPr>
          <w:rFonts w:ascii="David" w:hAnsi="David" w:cs="David"/>
          <w:szCs w:val="20"/>
          <w:rtl/>
        </w:rPr>
        <w:t xml:space="preserve"> </w:t>
      </w:r>
      <w:r w:rsidRPr="00B8414F">
        <w:rPr>
          <w:rFonts w:ascii="David" w:hAnsi="David" w:cs="David" w:hint="eastAsia"/>
          <w:szCs w:val="20"/>
          <w:rtl/>
        </w:rPr>
        <w:t>הפלסטינית</w:t>
      </w:r>
      <w:r w:rsidRPr="00B8414F">
        <w:rPr>
          <w:rFonts w:ascii="David" w:hAnsi="David" w:cs="David"/>
          <w:szCs w:val="20"/>
          <w:rtl/>
        </w:rPr>
        <w:t xml:space="preserve">: </w:t>
      </w:r>
      <w:r w:rsidRPr="00B8414F">
        <w:rPr>
          <w:rFonts w:ascii="David" w:hAnsi="David" w:cs="David" w:hint="eastAsia"/>
          <w:szCs w:val="20"/>
          <w:rtl/>
        </w:rPr>
        <w:t>תושבים</w:t>
      </w:r>
      <w:r w:rsidRPr="00B8414F">
        <w:rPr>
          <w:rFonts w:ascii="David" w:hAnsi="David" w:cs="David"/>
          <w:szCs w:val="20"/>
          <w:rtl/>
        </w:rPr>
        <w:t xml:space="preserve"> </w:t>
      </w:r>
      <w:r w:rsidRPr="00B8414F">
        <w:rPr>
          <w:rFonts w:ascii="David" w:hAnsi="David" w:cs="David" w:hint="eastAsia"/>
          <w:szCs w:val="20"/>
          <w:rtl/>
        </w:rPr>
        <w:t>אלה</w:t>
      </w:r>
      <w:r w:rsidRPr="00B8414F">
        <w:rPr>
          <w:rFonts w:ascii="David" w:hAnsi="David" w:cs="David"/>
          <w:szCs w:val="20"/>
          <w:rtl/>
        </w:rPr>
        <w:t xml:space="preserve"> </w:t>
      </w:r>
      <w:r w:rsidRPr="00B8414F">
        <w:rPr>
          <w:rFonts w:ascii="David" w:hAnsi="David" w:cs="David" w:hint="eastAsia"/>
          <w:szCs w:val="20"/>
          <w:rtl/>
        </w:rPr>
        <w:t>מציגים</w:t>
      </w:r>
      <w:r w:rsidRPr="00B8414F">
        <w:rPr>
          <w:rFonts w:ascii="David" w:hAnsi="David" w:cs="David"/>
          <w:szCs w:val="20"/>
          <w:rtl/>
        </w:rPr>
        <w:t xml:space="preserve"> </w:t>
      </w:r>
      <w:r w:rsidRPr="00B8414F">
        <w:rPr>
          <w:rFonts w:ascii="David" w:hAnsi="David" w:cs="David" w:hint="eastAsia"/>
          <w:szCs w:val="20"/>
          <w:rtl/>
        </w:rPr>
        <w:t>לעיתים</w:t>
      </w:r>
      <w:r w:rsidRPr="00B8414F">
        <w:rPr>
          <w:rFonts w:ascii="David" w:hAnsi="David" w:cs="David"/>
          <w:szCs w:val="20"/>
          <w:rtl/>
        </w:rPr>
        <w:t xml:space="preserve"> </w:t>
      </w:r>
      <w:r w:rsidRPr="00B8414F">
        <w:rPr>
          <w:rFonts w:ascii="David" w:hAnsi="David" w:cs="David" w:hint="eastAsia"/>
          <w:szCs w:val="20"/>
          <w:rtl/>
        </w:rPr>
        <w:t>עמדות</w:t>
      </w:r>
      <w:r w:rsidRPr="00B8414F">
        <w:rPr>
          <w:rFonts w:ascii="David" w:hAnsi="David" w:cs="David"/>
          <w:szCs w:val="20"/>
          <w:rtl/>
        </w:rPr>
        <w:t xml:space="preserve"> </w:t>
      </w:r>
      <w:r w:rsidRPr="00B8414F">
        <w:rPr>
          <w:rFonts w:ascii="David" w:hAnsi="David" w:cs="David" w:hint="eastAsia"/>
          <w:szCs w:val="20"/>
          <w:rtl/>
        </w:rPr>
        <w:t>אנטי</w:t>
      </w:r>
      <w:r w:rsidRPr="00B8414F">
        <w:rPr>
          <w:rFonts w:ascii="David" w:hAnsi="David" w:cs="David"/>
          <w:szCs w:val="20"/>
          <w:rtl/>
        </w:rPr>
        <w:t>-</w:t>
      </w:r>
      <w:r w:rsidRPr="00B8414F">
        <w:rPr>
          <w:rFonts w:ascii="David" w:hAnsi="David" w:cs="David" w:hint="eastAsia"/>
          <w:szCs w:val="20"/>
          <w:rtl/>
        </w:rPr>
        <w:t>ישראליות</w:t>
      </w:r>
      <w:r w:rsidRPr="00B8414F">
        <w:rPr>
          <w:rFonts w:ascii="David" w:hAnsi="David" w:cs="David"/>
          <w:szCs w:val="20"/>
          <w:rtl/>
        </w:rPr>
        <w:t xml:space="preserve"> </w:t>
      </w:r>
      <w:r w:rsidRPr="00B8414F">
        <w:rPr>
          <w:rFonts w:ascii="David" w:hAnsi="David" w:cs="David" w:hint="eastAsia"/>
          <w:szCs w:val="20"/>
          <w:rtl/>
        </w:rPr>
        <w:t>בפני</w:t>
      </w:r>
      <w:r w:rsidRPr="00B8414F">
        <w:rPr>
          <w:rFonts w:ascii="David" w:hAnsi="David" w:cs="David"/>
          <w:szCs w:val="20"/>
          <w:rtl/>
        </w:rPr>
        <w:t xml:space="preserve"> </w:t>
      </w:r>
      <w:r w:rsidRPr="00B8414F">
        <w:rPr>
          <w:rFonts w:ascii="David" w:hAnsi="David" w:cs="David" w:hint="eastAsia"/>
          <w:szCs w:val="20"/>
          <w:rtl/>
        </w:rPr>
        <w:t>קבוצות</w:t>
      </w:r>
      <w:r w:rsidRPr="00B8414F">
        <w:rPr>
          <w:rFonts w:ascii="David" w:hAnsi="David" w:cs="David"/>
          <w:szCs w:val="20"/>
          <w:rtl/>
        </w:rPr>
        <w:t xml:space="preserve"> </w:t>
      </w:r>
      <w:r w:rsidRPr="00B8414F">
        <w:rPr>
          <w:rFonts w:ascii="David" w:hAnsi="David" w:cs="David" w:hint="eastAsia"/>
          <w:szCs w:val="20"/>
          <w:rtl/>
        </w:rPr>
        <w:t>תיירים</w:t>
      </w:r>
      <w:r w:rsidRPr="00B8414F">
        <w:rPr>
          <w:rFonts w:ascii="David" w:hAnsi="David" w:cs="David"/>
          <w:szCs w:val="20"/>
          <w:rtl/>
        </w:rPr>
        <w:t xml:space="preserve"> </w:t>
      </w:r>
      <w:r w:rsidRPr="00B8414F">
        <w:rPr>
          <w:rFonts w:ascii="David" w:hAnsi="David" w:cs="David" w:hint="eastAsia"/>
          <w:szCs w:val="20"/>
          <w:rtl/>
        </w:rPr>
        <w:t>אותן</w:t>
      </w:r>
      <w:r w:rsidRPr="00B8414F">
        <w:rPr>
          <w:rFonts w:ascii="David" w:hAnsi="David" w:cs="David"/>
          <w:szCs w:val="20"/>
          <w:rtl/>
        </w:rPr>
        <w:t xml:space="preserve"> </w:t>
      </w:r>
      <w:r w:rsidRPr="00B8414F">
        <w:rPr>
          <w:rFonts w:ascii="David" w:hAnsi="David" w:cs="David" w:hint="eastAsia"/>
          <w:szCs w:val="20"/>
          <w:rtl/>
        </w:rPr>
        <w:t>הם</w:t>
      </w:r>
      <w:r w:rsidRPr="00B8414F">
        <w:rPr>
          <w:rFonts w:ascii="David" w:hAnsi="David" w:cs="David"/>
          <w:szCs w:val="20"/>
          <w:rtl/>
        </w:rPr>
        <w:t xml:space="preserve"> </w:t>
      </w:r>
      <w:r w:rsidRPr="00B8414F">
        <w:rPr>
          <w:rFonts w:ascii="David" w:hAnsi="David" w:cs="David" w:hint="eastAsia"/>
          <w:szCs w:val="20"/>
          <w:rtl/>
        </w:rPr>
        <w:t>מדריכים</w:t>
      </w:r>
      <w:r w:rsidRPr="00B8414F">
        <w:rPr>
          <w:rFonts w:ascii="David" w:hAnsi="David" w:cs="David"/>
          <w:szCs w:val="20"/>
          <w:rtl/>
        </w:rPr>
        <w:t xml:space="preserve">. </w:t>
      </w:r>
      <w:r w:rsidRPr="00B8414F">
        <w:rPr>
          <w:rFonts w:ascii="David" w:hAnsi="David" w:cs="David" w:hint="eastAsia"/>
          <w:szCs w:val="20"/>
          <w:rtl/>
        </w:rPr>
        <w:t>כדי</w:t>
      </w:r>
      <w:r w:rsidRPr="00B8414F">
        <w:rPr>
          <w:rFonts w:ascii="David" w:hAnsi="David" w:cs="David"/>
          <w:szCs w:val="20"/>
          <w:rtl/>
        </w:rPr>
        <w:t xml:space="preserve"> </w:t>
      </w:r>
      <w:r w:rsidRPr="00B8414F">
        <w:rPr>
          <w:rFonts w:ascii="David" w:hAnsi="David" w:cs="David" w:hint="eastAsia"/>
          <w:szCs w:val="20"/>
          <w:rtl/>
        </w:rPr>
        <w:t>להבטיח</w:t>
      </w:r>
      <w:r w:rsidRPr="00B8414F">
        <w:rPr>
          <w:rFonts w:ascii="David" w:hAnsi="David" w:cs="David"/>
          <w:szCs w:val="20"/>
          <w:rtl/>
        </w:rPr>
        <w:t xml:space="preserve"> </w:t>
      </w:r>
      <w:r w:rsidRPr="00B8414F">
        <w:rPr>
          <w:rFonts w:ascii="David" w:hAnsi="David" w:cs="David" w:hint="eastAsia"/>
          <w:szCs w:val="20"/>
          <w:rtl/>
        </w:rPr>
        <w:t>שתיירי</w:t>
      </w:r>
      <w:r w:rsidRPr="00B8414F">
        <w:rPr>
          <w:rFonts w:ascii="David" w:hAnsi="David" w:cs="David"/>
          <w:szCs w:val="20"/>
          <w:rtl/>
        </w:rPr>
        <w:t xml:space="preserve"> </w:t>
      </w:r>
      <w:r w:rsidRPr="00B8414F">
        <w:rPr>
          <w:rFonts w:ascii="David" w:hAnsi="David" w:cs="David" w:hint="eastAsia"/>
          <w:szCs w:val="20"/>
          <w:rtl/>
        </w:rPr>
        <w:t>חוץ</w:t>
      </w:r>
      <w:r w:rsidRPr="00B8414F">
        <w:rPr>
          <w:rFonts w:ascii="David" w:hAnsi="David" w:cs="David"/>
          <w:szCs w:val="20"/>
          <w:rtl/>
        </w:rPr>
        <w:t xml:space="preserve"> </w:t>
      </w:r>
      <w:r w:rsidRPr="00B8414F">
        <w:rPr>
          <w:rFonts w:ascii="David" w:hAnsi="David" w:cs="David" w:hint="eastAsia"/>
          <w:szCs w:val="20"/>
          <w:rtl/>
        </w:rPr>
        <w:t>ייחשפו</w:t>
      </w:r>
      <w:r w:rsidRPr="00B8414F">
        <w:rPr>
          <w:rFonts w:ascii="David" w:hAnsi="David" w:cs="David"/>
          <w:szCs w:val="20"/>
          <w:rtl/>
        </w:rPr>
        <w:t xml:space="preserve"> </w:t>
      </w:r>
      <w:r w:rsidRPr="00B8414F">
        <w:rPr>
          <w:rFonts w:ascii="David" w:hAnsi="David" w:cs="David" w:hint="eastAsia"/>
          <w:szCs w:val="20"/>
          <w:rtl/>
        </w:rPr>
        <w:t>לנקודת</w:t>
      </w:r>
      <w:r w:rsidRPr="00B8414F">
        <w:rPr>
          <w:rFonts w:ascii="David" w:hAnsi="David" w:cs="David"/>
          <w:szCs w:val="20"/>
          <w:rtl/>
        </w:rPr>
        <w:t xml:space="preserve"> </w:t>
      </w:r>
      <w:r w:rsidRPr="00B8414F">
        <w:rPr>
          <w:rFonts w:ascii="David" w:hAnsi="David" w:cs="David" w:hint="eastAsia"/>
          <w:szCs w:val="20"/>
          <w:rtl/>
        </w:rPr>
        <w:t>המבט</w:t>
      </w:r>
      <w:r w:rsidRPr="00B8414F">
        <w:rPr>
          <w:rFonts w:ascii="David" w:hAnsi="David" w:cs="David"/>
          <w:szCs w:val="20"/>
          <w:rtl/>
        </w:rPr>
        <w:t xml:space="preserve"> </w:t>
      </w:r>
      <w:r w:rsidRPr="00B8414F">
        <w:rPr>
          <w:rFonts w:ascii="David" w:hAnsi="David" w:cs="David" w:hint="eastAsia"/>
          <w:szCs w:val="20"/>
          <w:rtl/>
        </w:rPr>
        <w:t>הלאומית</w:t>
      </w:r>
      <w:r w:rsidRPr="00B8414F">
        <w:rPr>
          <w:rFonts w:ascii="David" w:hAnsi="David" w:cs="David"/>
          <w:szCs w:val="20"/>
          <w:rtl/>
        </w:rPr>
        <w:t xml:space="preserve"> </w:t>
      </w:r>
      <w:r w:rsidRPr="00B8414F">
        <w:rPr>
          <w:rFonts w:ascii="David" w:hAnsi="David" w:cs="David" w:hint="eastAsia"/>
          <w:szCs w:val="20"/>
          <w:rtl/>
        </w:rPr>
        <w:t>הישראלית</w:t>
      </w:r>
      <w:r w:rsidRPr="00B8414F">
        <w:rPr>
          <w:rFonts w:ascii="David" w:hAnsi="David" w:cs="David"/>
          <w:szCs w:val="20"/>
          <w:rtl/>
        </w:rPr>
        <w:t xml:space="preserve">, </w:t>
      </w:r>
      <w:r w:rsidRPr="00B8414F">
        <w:rPr>
          <w:rFonts w:ascii="David" w:hAnsi="David" w:cs="David" w:hint="eastAsia"/>
          <w:szCs w:val="20"/>
          <w:rtl/>
        </w:rPr>
        <w:t>מוצע</w:t>
      </w:r>
      <w:r w:rsidRPr="00B8414F">
        <w:rPr>
          <w:rFonts w:ascii="David" w:hAnsi="David" w:cs="David"/>
          <w:szCs w:val="20"/>
          <w:rtl/>
        </w:rPr>
        <w:t xml:space="preserve"> </w:t>
      </w:r>
      <w:r w:rsidRPr="00B8414F">
        <w:rPr>
          <w:rFonts w:ascii="David" w:hAnsi="David" w:cs="David" w:hint="eastAsia"/>
          <w:szCs w:val="20"/>
          <w:rtl/>
        </w:rPr>
        <w:t>לקבוע</w:t>
      </w:r>
      <w:r w:rsidRPr="00B8414F">
        <w:rPr>
          <w:rFonts w:ascii="David" w:hAnsi="David" w:cs="David"/>
          <w:szCs w:val="20"/>
          <w:rtl/>
        </w:rPr>
        <w:t xml:space="preserve"> </w:t>
      </w:r>
      <w:r w:rsidRPr="00B8414F">
        <w:rPr>
          <w:rFonts w:ascii="David" w:hAnsi="David" w:cs="David" w:hint="eastAsia"/>
          <w:szCs w:val="20"/>
          <w:rtl/>
        </w:rPr>
        <w:t>כי</w:t>
      </w:r>
      <w:r w:rsidRPr="00B8414F">
        <w:rPr>
          <w:rFonts w:ascii="David" w:hAnsi="David" w:cs="David"/>
          <w:szCs w:val="20"/>
          <w:rtl/>
        </w:rPr>
        <w:t xml:space="preserve"> </w:t>
      </w:r>
      <w:r w:rsidRPr="00B8414F">
        <w:rPr>
          <w:rFonts w:ascii="David" w:hAnsi="David" w:cs="David" w:hint="eastAsia"/>
          <w:szCs w:val="20"/>
          <w:rtl/>
        </w:rPr>
        <w:t>סוכנויות</w:t>
      </w:r>
      <w:r w:rsidRPr="00B8414F">
        <w:rPr>
          <w:rFonts w:ascii="David" w:hAnsi="David" w:cs="David"/>
          <w:szCs w:val="20"/>
          <w:rtl/>
        </w:rPr>
        <w:t xml:space="preserve"> </w:t>
      </w:r>
      <w:r w:rsidRPr="00B8414F">
        <w:rPr>
          <w:rFonts w:ascii="David" w:hAnsi="David" w:cs="David" w:hint="eastAsia"/>
          <w:szCs w:val="20"/>
          <w:rtl/>
        </w:rPr>
        <w:t>נסיעות</w:t>
      </w:r>
      <w:r w:rsidRPr="00B8414F">
        <w:rPr>
          <w:rFonts w:ascii="David" w:hAnsi="David" w:cs="David"/>
          <w:szCs w:val="20"/>
          <w:rtl/>
        </w:rPr>
        <w:t xml:space="preserve">, </w:t>
      </w:r>
      <w:r w:rsidRPr="00B8414F">
        <w:rPr>
          <w:rFonts w:ascii="David" w:hAnsi="David" w:cs="David" w:hint="eastAsia"/>
          <w:szCs w:val="20"/>
          <w:rtl/>
        </w:rPr>
        <w:t>וכל</w:t>
      </w:r>
      <w:r w:rsidRPr="00B8414F">
        <w:rPr>
          <w:rFonts w:ascii="David" w:hAnsi="David" w:cs="David"/>
          <w:szCs w:val="20"/>
          <w:rtl/>
        </w:rPr>
        <w:t xml:space="preserve"> </w:t>
      </w:r>
      <w:r w:rsidRPr="00B8414F">
        <w:rPr>
          <w:rFonts w:ascii="David" w:hAnsi="David" w:cs="David" w:hint="eastAsia"/>
          <w:szCs w:val="20"/>
          <w:rtl/>
        </w:rPr>
        <w:t>גוף</w:t>
      </w:r>
      <w:r w:rsidRPr="00B8414F">
        <w:rPr>
          <w:rFonts w:ascii="David" w:hAnsi="David" w:cs="David"/>
          <w:szCs w:val="20"/>
          <w:rtl/>
        </w:rPr>
        <w:t xml:space="preserve"> </w:t>
      </w:r>
      <w:r w:rsidRPr="00B8414F">
        <w:rPr>
          <w:rFonts w:ascii="David" w:hAnsi="David" w:cs="David" w:hint="eastAsia"/>
          <w:szCs w:val="20"/>
          <w:rtl/>
        </w:rPr>
        <w:t>המארגן</w:t>
      </w:r>
      <w:r w:rsidRPr="00B8414F">
        <w:rPr>
          <w:rFonts w:ascii="David" w:hAnsi="David" w:cs="David"/>
          <w:szCs w:val="20"/>
          <w:rtl/>
        </w:rPr>
        <w:t xml:space="preserve"> </w:t>
      </w:r>
      <w:r w:rsidRPr="00B8414F">
        <w:rPr>
          <w:rFonts w:ascii="David" w:hAnsi="David" w:cs="David" w:hint="eastAsia"/>
          <w:szCs w:val="20"/>
          <w:rtl/>
        </w:rPr>
        <w:t>סיורים</w:t>
      </w:r>
      <w:r w:rsidRPr="00B8414F">
        <w:rPr>
          <w:rFonts w:ascii="David" w:hAnsi="David" w:cs="David"/>
          <w:szCs w:val="20"/>
          <w:rtl/>
        </w:rPr>
        <w:t xml:space="preserve"> </w:t>
      </w:r>
      <w:r w:rsidRPr="00B8414F">
        <w:rPr>
          <w:rFonts w:ascii="David" w:hAnsi="David" w:cs="David" w:hint="eastAsia"/>
          <w:szCs w:val="20"/>
          <w:rtl/>
        </w:rPr>
        <w:t>לתיירי</w:t>
      </w:r>
      <w:r w:rsidRPr="00B8414F">
        <w:rPr>
          <w:rFonts w:ascii="David" w:hAnsi="David" w:cs="David"/>
          <w:szCs w:val="20"/>
          <w:rtl/>
        </w:rPr>
        <w:t xml:space="preserve"> </w:t>
      </w:r>
      <w:r w:rsidRPr="00B8414F">
        <w:rPr>
          <w:rFonts w:ascii="David" w:hAnsi="David" w:cs="David" w:hint="eastAsia"/>
          <w:szCs w:val="20"/>
          <w:rtl/>
        </w:rPr>
        <w:t>חוץ</w:t>
      </w:r>
      <w:r w:rsidRPr="00B8414F">
        <w:rPr>
          <w:rFonts w:ascii="David" w:hAnsi="David" w:cs="David"/>
          <w:szCs w:val="20"/>
          <w:rtl/>
        </w:rPr>
        <w:t xml:space="preserve">, </w:t>
      </w:r>
      <w:r w:rsidRPr="00B8414F">
        <w:rPr>
          <w:rFonts w:ascii="David" w:hAnsi="David" w:cs="David" w:hint="eastAsia"/>
          <w:szCs w:val="20"/>
          <w:rtl/>
        </w:rPr>
        <w:t>ידאגו</w:t>
      </w:r>
      <w:r w:rsidRPr="00B8414F">
        <w:rPr>
          <w:rFonts w:ascii="David" w:hAnsi="David" w:cs="David"/>
          <w:szCs w:val="20"/>
          <w:rtl/>
        </w:rPr>
        <w:t xml:space="preserve"> </w:t>
      </w:r>
      <w:r w:rsidRPr="00B8414F">
        <w:rPr>
          <w:rFonts w:ascii="David" w:hAnsi="David" w:cs="David" w:hint="eastAsia"/>
          <w:szCs w:val="20"/>
          <w:rtl/>
        </w:rPr>
        <w:t>לכך</w:t>
      </w:r>
      <w:r w:rsidRPr="00B8414F">
        <w:rPr>
          <w:rFonts w:ascii="David" w:hAnsi="David" w:cs="David"/>
          <w:szCs w:val="20"/>
          <w:rtl/>
        </w:rPr>
        <w:t xml:space="preserve"> </w:t>
      </w:r>
      <w:r w:rsidRPr="00B8414F">
        <w:rPr>
          <w:rFonts w:ascii="David" w:hAnsi="David" w:cs="David" w:hint="eastAsia"/>
          <w:szCs w:val="20"/>
          <w:rtl/>
        </w:rPr>
        <w:t>שסיורים</w:t>
      </w:r>
      <w:r w:rsidRPr="00B8414F">
        <w:rPr>
          <w:rFonts w:ascii="David" w:hAnsi="David" w:cs="David"/>
          <w:szCs w:val="20"/>
          <w:rtl/>
        </w:rPr>
        <w:t xml:space="preserve"> </w:t>
      </w:r>
      <w:r w:rsidRPr="00B8414F">
        <w:rPr>
          <w:rFonts w:ascii="David" w:hAnsi="David" w:cs="David" w:hint="eastAsia"/>
          <w:szCs w:val="20"/>
          <w:rtl/>
        </w:rPr>
        <w:t>אלה</w:t>
      </w:r>
      <w:r w:rsidRPr="00B8414F">
        <w:rPr>
          <w:rFonts w:ascii="David" w:hAnsi="David" w:cs="David"/>
          <w:szCs w:val="20"/>
          <w:rtl/>
        </w:rPr>
        <w:t xml:space="preserve"> </w:t>
      </w:r>
      <w:r w:rsidRPr="00B8414F">
        <w:rPr>
          <w:rFonts w:ascii="David" w:hAnsi="David" w:cs="David" w:hint="eastAsia"/>
          <w:szCs w:val="20"/>
          <w:rtl/>
        </w:rPr>
        <w:t>ילוו</w:t>
      </w:r>
      <w:r w:rsidRPr="00B8414F">
        <w:rPr>
          <w:rFonts w:ascii="David" w:hAnsi="David" w:cs="David"/>
          <w:szCs w:val="20"/>
          <w:rtl/>
        </w:rPr>
        <w:t xml:space="preserve"> </w:t>
      </w:r>
      <w:r w:rsidRPr="00B8414F">
        <w:rPr>
          <w:rFonts w:ascii="David" w:hAnsi="David" w:cs="David" w:hint="eastAsia"/>
          <w:szCs w:val="20"/>
          <w:rtl/>
        </w:rPr>
        <w:t>על</w:t>
      </w:r>
      <w:r w:rsidRPr="00B8414F">
        <w:rPr>
          <w:rFonts w:ascii="David" w:hAnsi="David" w:cs="David"/>
          <w:szCs w:val="20"/>
          <w:rtl/>
        </w:rPr>
        <w:t xml:space="preserve"> </w:t>
      </w:r>
      <w:r w:rsidRPr="00B8414F">
        <w:rPr>
          <w:rFonts w:ascii="David" w:hAnsi="David" w:cs="David" w:hint="eastAsia"/>
          <w:szCs w:val="20"/>
          <w:rtl/>
        </w:rPr>
        <w:t>ידי</w:t>
      </w:r>
      <w:r w:rsidRPr="00B8414F">
        <w:rPr>
          <w:rFonts w:ascii="David" w:hAnsi="David" w:cs="David"/>
          <w:szCs w:val="20"/>
          <w:rtl/>
        </w:rPr>
        <w:t xml:space="preserve"> </w:t>
      </w:r>
      <w:r w:rsidRPr="00B8414F">
        <w:rPr>
          <w:rFonts w:ascii="David" w:hAnsi="David" w:cs="David" w:hint="eastAsia"/>
          <w:szCs w:val="20"/>
          <w:rtl/>
        </w:rPr>
        <w:t>מורה</w:t>
      </w:r>
      <w:r w:rsidRPr="00B8414F">
        <w:rPr>
          <w:rFonts w:ascii="David" w:hAnsi="David" w:cs="David"/>
          <w:szCs w:val="20"/>
          <w:rtl/>
        </w:rPr>
        <w:t xml:space="preserve"> </w:t>
      </w:r>
      <w:r w:rsidRPr="00B8414F">
        <w:rPr>
          <w:rFonts w:ascii="David" w:hAnsi="David" w:cs="David" w:hint="eastAsia"/>
          <w:szCs w:val="20"/>
          <w:rtl/>
        </w:rPr>
        <w:t>דרך</w:t>
      </w:r>
      <w:r w:rsidRPr="00B8414F">
        <w:rPr>
          <w:rFonts w:ascii="David" w:hAnsi="David" w:cs="David"/>
          <w:szCs w:val="20"/>
          <w:rtl/>
        </w:rPr>
        <w:t xml:space="preserve"> </w:t>
      </w:r>
      <w:r w:rsidRPr="00B8414F">
        <w:rPr>
          <w:rFonts w:ascii="David" w:hAnsi="David" w:cs="David" w:hint="eastAsia"/>
          <w:szCs w:val="20"/>
          <w:rtl/>
        </w:rPr>
        <w:t>שהוא</w:t>
      </w:r>
      <w:r w:rsidRPr="00B8414F">
        <w:rPr>
          <w:rFonts w:ascii="David" w:hAnsi="David" w:cs="David"/>
          <w:szCs w:val="20"/>
          <w:rtl/>
        </w:rPr>
        <w:t xml:space="preserve"> </w:t>
      </w:r>
      <w:r w:rsidRPr="00B8414F">
        <w:rPr>
          <w:rFonts w:ascii="David" w:hAnsi="David" w:cs="David" w:hint="eastAsia"/>
          <w:szCs w:val="20"/>
          <w:rtl/>
        </w:rPr>
        <w:t>אזרח</w:t>
      </w:r>
      <w:r w:rsidRPr="00B8414F">
        <w:rPr>
          <w:rFonts w:ascii="David" w:hAnsi="David" w:cs="David"/>
          <w:szCs w:val="20"/>
          <w:rtl/>
        </w:rPr>
        <w:t xml:space="preserve"> </w:t>
      </w:r>
      <w:r w:rsidRPr="00B8414F">
        <w:rPr>
          <w:rFonts w:ascii="David" w:hAnsi="David" w:cs="David" w:hint="eastAsia"/>
          <w:szCs w:val="20"/>
          <w:rtl/>
        </w:rPr>
        <w:t>ישראלי</w:t>
      </w:r>
      <w:r w:rsidRPr="00B8414F">
        <w:rPr>
          <w:rFonts w:ascii="David" w:hAnsi="David" w:cs="David"/>
          <w:szCs w:val="20"/>
          <w:rtl/>
        </w:rPr>
        <w:t xml:space="preserve">, </w:t>
      </w:r>
      <w:r w:rsidRPr="00B8414F">
        <w:rPr>
          <w:rFonts w:ascii="David" w:hAnsi="David" w:cs="David" w:hint="eastAsia"/>
          <w:szCs w:val="20"/>
          <w:rtl/>
        </w:rPr>
        <w:t>אשר</w:t>
      </w:r>
      <w:r w:rsidRPr="00B8414F">
        <w:rPr>
          <w:rFonts w:ascii="David" w:hAnsi="David" w:cs="David"/>
          <w:szCs w:val="20"/>
          <w:rtl/>
        </w:rPr>
        <w:t xml:space="preserve"> </w:t>
      </w:r>
      <w:r w:rsidRPr="00B8414F">
        <w:rPr>
          <w:rFonts w:ascii="David" w:hAnsi="David" w:cs="David" w:hint="eastAsia"/>
          <w:szCs w:val="20"/>
          <w:rtl/>
        </w:rPr>
        <w:t>יש</w:t>
      </w:r>
      <w:r w:rsidRPr="00B8414F">
        <w:rPr>
          <w:rFonts w:ascii="David" w:hAnsi="David" w:cs="David"/>
          <w:szCs w:val="20"/>
          <w:rtl/>
        </w:rPr>
        <w:t xml:space="preserve"> </w:t>
      </w:r>
      <w:r w:rsidRPr="00B8414F">
        <w:rPr>
          <w:rFonts w:ascii="David" w:hAnsi="David" w:cs="David" w:hint="eastAsia"/>
          <w:szCs w:val="20"/>
          <w:rtl/>
        </w:rPr>
        <w:t>לו</w:t>
      </w:r>
      <w:r w:rsidRPr="00B8414F">
        <w:rPr>
          <w:rFonts w:ascii="David" w:hAnsi="David" w:cs="David"/>
          <w:szCs w:val="20"/>
          <w:rtl/>
        </w:rPr>
        <w:t xml:space="preserve"> </w:t>
      </w:r>
      <w:r w:rsidRPr="00B8414F">
        <w:rPr>
          <w:rFonts w:ascii="David" w:hAnsi="David" w:cs="David" w:hint="eastAsia"/>
          <w:szCs w:val="20"/>
          <w:rtl/>
        </w:rPr>
        <w:t>נאמנות</w:t>
      </w:r>
      <w:r w:rsidRPr="00B8414F">
        <w:rPr>
          <w:rFonts w:ascii="David" w:hAnsi="David" w:cs="David"/>
          <w:szCs w:val="20"/>
          <w:rtl/>
        </w:rPr>
        <w:t xml:space="preserve"> </w:t>
      </w:r>
      <w:r w:rsidRPr="00B8414F">
        <w:rPr>
          <w:rFonts w:ascii="David" w:hAnsi="David" w:cs="David" w:hint="eastAsia"/>
          <w:szCs w:val="20"/>
          <w:rtl/>
        </w:rPr>
        <w:t>מוסדית</w:t>
      </w:r>
      <w:r w:rsidRPr="00B8414F">
        <w:rPr>
          <w:rFonts w:ascii="David" w:hAnsi="David" w:cs="David"/>
          <w:szCs w:val="20"/>
          <w:rtl/>
        </w:rPr>
        <w:t xml:space="preserve"> </w:t>
      </w:r>
      <w:r w:rsidRPr="00B8414F">
        <w:rPr>
          <w:rFonts w:ascii="David" w:hAnsi="David" w:cs="David" w:hint="eastAsia"/>
          <w:szCs w:val="20"/>
          <w:rtl/>
        </w:rPr>
        <w:t>למדינת</w:t>
      </w:r>
      <w:r w:rsidRPr="00B8414F">
        <w:rPr>
          <w:rFonts w:ascii="David" w:hAnsi="David" w:cs="David"/>
          <w:szCs w:val="20"/>
          <w:rtl/>
        </w:rPr>
        <w:t xml:space="preserve"> </w:t>
      </w:r>
      <w:r w:rsidRPr="00B8414F">
        <w:rPr>
          <w:rFonts w:ascii="David" w:hAnsi="David" w:cs="David" w:hint="eastAsia"/>
          <w:szCs w:val="20"/>
          <w:rtl/>
        </w:rPr>
        <w:t>ישראל</w:t>
      </w:r>
      <w:r w:rsidRPr="00B8414F">
        <w:rPr>
          <w:rFonts w:ascii="David" w:hAnsi="David" w:cs="David"/>
          <w:szCs w:val="20"/>
          <w:rtl/>
        </w:rPr>
        <w:t xml:space="preserve">.  </w:t>
      </w:r>
      <w:r w:rsidRPr="00B8414F">
        <w:rPr>
          <w:rFonts w:ascii="David" w:hAnsi="David" w:cs="David" w:hint="eastAsia"/>
          <w:szCs w:val="20"/>
          <w:rtl/>
        </w:rPr>
        <w:t>הצורך</w:t>
      </w:r>
      <w:r w:rsidRPr="00B8414F">
        <w:rPr>
          <w:rFonts w:ascii="David" w:hAnsi="David" w:cs="David"/>
          <w:szCs w:val="20"/>
          <w:rtl/>
        </w:rPr>
        <w:t xml:space="preserve"> </w:t>
      </w:r>
      <w:r w:rsidRPr="00B8414F">
        <w:rPr>
          <w:rFonts w:ascii="David" w:hAnsi="David" w:cs="David" w:hint="eastAsia"/>
          <w:szCs w:val="20"/>
          <w:rtl/>
        </w:rPr>
        <w:t>בשמירה</w:t>
      </w:r>
      <w:r w:rsidRPr="00B8414F">
        <w:rPr>
          <w:rFonts w:ascii="David" w:hAnsi="David" w:cs="David"/>
          <w:szCs w:val="20"/>
          <w:rtl/>
        </w:rPr>
        <w:t xml:space="preserve"> </w:t>
      </w:r>
      <w:r w:rsidRPr="00B8414F">
        <w:rPr>
          <w:rFonts w:ascii="David" w:hAnsi="David" w:cs="David" w:hint="eastAsia"/>
          <w:szCs w:val="20"/>
          <w:rtl/>
        </w:rPr>
        <w:t>על</w:t>
      </w:r>
      <w:r w:rsidRPr="00B8414F">
        <w:rPr>
          <w:rFonts w:ascii="David" w:hAnsi="David" w:cs="David"/>
          <w:szCs w:val="20"/>
          <w:rtl/>
        </w:rPr>
        <w:t xml:space="preserve"> </w:t>
      </w:r>
      <w:r w:rsidRPr="00B8414F">
        <w:rPr>
          <w:rFonts w:ascii="David" w:hAnsi="David" w:cs="David" w:hint="eastAsia"/>
          <w:szCs w:val="20"/>
          <w:rtl/>
        </w:rPr>
        <w:t>האינטרס</w:t>
      </w:r>
      <w:r w:rsidRPr="00B8414F">
        <w:rPr>
          <w:rFonts w:ascii="David" w:hAnsi="David" w:cs="David"/>
          <w:szCs w:val="20"/>
          <w:rtl/>
        </w:rPr>
        <w:t xml:space="preserve"> </w:t>
      </w:r>
      <w:r w:rsidRPr="00B8414F">
        <w:rPr>
          <w:rFonts w:ascii="David" w:hAnsi="David" w:cs="David" w:hint="eastAsia"/>
          <w:szCs w:val="20"/>
          <w:rtl/>
        </w:rPr>
        <w:t>הלאומי</w:t>
      </w:r>
      <w:r w:rsidRPr="00B8414F">
        <w:rPr>
          <w:rFonts w:ascii="David" w:hAnsi="David" w:cs="David"/>
          <w:szCs w:val="20"/>
          <w:rtl/>
        </w:rPr>
        <w:t xml:space="preserve"> </w:t>
      </w:r>
      <w:r w:rsidRPr="00B8414F">
        <w:rPr>
          <w:rFonts w:ascii="David" w:hAnsi="David" w:cs="David" w:hint="eastAsia"/>
          <w:szCs w:val="20"/>
          <w:rtl/>
        </w:rPr>
        <w:t>של</w:t>
      </w:r>
      <w:r w:rsidRPr="00B8414F">
        <w:rPr>
          <w:rFonts w:ascii="David" w:hAnsi="David" w:cs="David"/>
          <w:szCs w:val="20"/>
          <w:rtl/>
        </w:rPr>
        <w:t xml:space="preserve"> </w:t>
      </w:r>
      <w:r w:rsidRPr="00B8414F">
        <w:rPr>
          <w:rFonts w:ascii="David" w:hAnsi="David" w:cs="David" w:hint="eastAsia"/>
          <w:szCs w:val="20"/>
          <w:rtl/>
        </w:rPr>
        <w:t>הצגת</w:t>
      </w:r>
      <w:r w:rsidRPr="00B8414F">
        <w:rPr>
          <w:rFonts w:ascii="David" w:hAnsi="David" w:cs="David"/>
          <w:szCs w:val="20"/>
          <w:rtl/>
        </w:rPr>
        <w:t xml:space="preserve"> </w:t>
      </w:r>
      <w:r w:rsidRPr="00B8414F">
        <w:rPr>
          <w:rFonts w:ascii="David" w:hAnsi="David" w:cs="David" w:hint="eastAsia"/>
          <w:szCs w:val="20"/>
          <w:rtl/>
        </w:rPr>
        <w:t>ישראל</w:t>
      </w:r>
      <w:r w:rsidRPr="00B8414F">
        <w:rPr>
          <w:rFonts w:ascii="David" w:hAnsi="David" w:cs="David"/>
          <w:szCs w:val="20"/>
          <w:rtl/>
        </w:rPr>
        <w:t xml:space="preserve"> </w:t>
      </w:r>
      <w:r w:rsidRPr="00B8414F">
        <w:rPr>
          <w:rFonts w:ascii="David" w:hAnsi="David" w:cs="David" w:hint="eastAsia"/>
          <w:szCs w:val="20"/>
          <w:rtl/>
        </w:rPr>
        <w:t>בדרך</w:t>
      </w:r>
      <w:r w:rsidRPr="00B8414F">
        <w:rPr>
          <w:rFonts w:ascii="David" w:hAnsi="David" w:cs="David"/>
          <w:szCs w:val="20"/>
          <w:rtl/>
        </w:rPr>
        <w:t xml:space="preserve"> </w:t>
      </w:r>
      <w:r w:rsidRPr="00B8414F">
        <w:rPr>
          <w:rFonts w:ascii="David" w:hAnsi="David" w:cs="David" w:hint="eastAsia"/>
          <w:szCs w:val="20"/>
          <w:rtl/>
        </w:rPr>
        <w:t>נאותה</w:t>
      </w:r>
      <w:r w:rsidRPr="00B8414F">
        <w:rPr>
          <w:rFonts w:ascii="David" w:hAnsi="David" w:cs="David"/>
          <w:szCs w:val="20"/>
          <w:rtl/>
        </w:rPr>
        <w:t xml:space="preserve"> </w:t>
      </w:r>
      <w:r w:rsidRPr="00B8414F">
        <w:rPr>
          <w:rFonts w:ascii="David" w:hAnsi="David" w:cs="David" w:hint="eastAsia"/>
          <w:szCs w:val="20"/>
          <w:rtl/>
        </w:rPr>
        <w:t>גובר</w:t>
      </w:r>
      <w:r w:rsidRPr="00B8414F">
        <w:rPr>
          <w:rFonts w:ascii="David" w:hAnsi="David" w:cs="David"/>
          <w:szCs w:val="20"/>
          <w:rtl/>
        </w:rPr>
        <w:t xml:space="preserve"> </w:t>
      </w:r>
      <w:r w:rsidRPr="00B8414F">
        <w:rPr>
          <w:rFonts w:ascii="David" w:hAnsi="David" w:cs="David" w:hint="eastAsia"/>
          <w:szCs w:val="20"/>
          <w:rtl/>
        </w:rPr>
        <w:t>על</w:t>
      </w:r>
      <w:r w:rsidRPr="00B8414F">
        <w:rPr>
          <w:rFonts w:ascii="David" w:hAnsi="David" w:cs="David"/>
          <w:szCs w:val="20"/>
          <w:rtl/>
        </w:rPr>
        <w:t xml:space="preserve"> </w:t>
      </w:r>
      <w:r w:rsidRPr="00B8414F">
        <w:rPr>
          <w:rFonts w:ascii="David" w:hAnsi="David" w:cs="David" w:hint="eastAsia"/>
          <w:szCs w:val="20"/>
          <w:rtl/>
        </w:rPr>
        <w:t>אינטרסים</w:t>
      </w:r>
      <w:r w:rsidRPr="00B8414F">
        <w:rPr>
          <w:rFonts w:ascii="David" w:hAnsi="David" w:cs="David"/>
          <w:szCs w:val="20"/>
          <w:rtl/>
        </w:rPr>
        <w:t xml:space="preserve"> </w:t>
      </w:r>
      <w:r w:rsidRPr="00B8414F">
        <w:rPr>
          <w:rFonts w:ascii="David" w:hAnsi="David" w:cs="David" w:hint="eastAsia"/>
          <w:szCs w:val="20"/>
          <w:rtl/>
        </w:rPr>
        <w:t>אחרים</w:t>
      </w:r>
      <w:r w:rsidRPr="00B8414F">
        <w:rPr>
          <w:rFonts w:ascii="David" w:hAnsi="David" w:cs="David"/>
          <w:szCs w:val="20"/>
          <w:rtl/>
        </w:rPr>
        <w:t xml:space="preserve">. </w:t>
      </w:r>
    </w:p>
    <w:p w:rsidR="005366A8" w:rsidRPr="00B8414F" w:rsidRDefault="005366A8" w:rsidP="005366A8">
      <w:pPr>
        <w:rPr>
          <w:rFonts w:cs="Hadasa Roso SL"/>
          <w:sz w:val="20"/>
          <w:szCs w:val="20"/>
          <w:rtl/>
        </w:rPr>
      </w:pPr>
      <w:r w:rsidRPr="00B8414F">
        <w:rPr>
          <w:rFonts w:cs="David" w:hint="cs"/>
          <w:sz w:val="20"/>
          <w:szCs w:val="20"/>
          <w:rtl/>
        </w:rPr>
        <w:t>יצוין</w:t>
      </w:r>
      <w:r w:rsidRPr="00B8414F">
        <w:rPr>
          <w:rFonts w:cs="David"/>
          <w:sz w:val="20"/>
          <w:szCs w:val="20"/>
          <w:rtl/>
        </w:rPr>
        <w:t xml:space="preserve"> </w:t>
      </w:r>
      <w:r w:rsidRPr="00B8414F">
        <w:rPr>
          <w:rFonts w:cs="David" w:hint="cs"/>
          <w:sz w:val="20"/>
          <w:szCs w:val="20"/>
          <w:rtl/>
        </w:rPr>
        <w:t>כי</w:t>
      </w:r>
      <w:r w:rsidRPr="00B8414F">
        <w:rPr>
          <w:rFonts w:cs="David"/>
          <w:sz w:val="20"/>
          <w:szCs w:val="20"/>
          <w:rtl/>
        </w:rPr>
        <w:t xml:space="preserve"> </w:t>
      </w:r>
      <w:r w:rsidRPr="00B8414F">
        <w:rPr>
          <w:rFonts w:cs="David" w:hint="cs"/>
          <w:sz w:val="20"/>
          <w:szCs w:val="20"/>
          <w:rtl/>
        </w:rPr>
        <w:t>הוראות</w:t>
      </w:r>
      <w:r w:rsidRPr="00B8414F">
        <w:rPr>
          <w:rFonts w:cs="David"/>
          <w:sz w:val="20"/>
          <w:szCs w:val="20"/>
          <w:rtl/>
        </w:rPr>
        <w:t xml:space="preserve"> </w:t>
      </w:r>
      <w:r w:rsidRPr="00B8414F">
        <w:rPr>
          <w:rFonts w:cs="David" w:hint="cs"/>
          <w:sz w:val="20"/>
          <w:szCs w:val="20"/>
          <w:rtl/>
        </w:rPr>
        <w:t>חוק</w:t>
      </w:r>
      <w:r w:rsidRPr="00B8414F">
        <w:rPr>
          <w:rFonts w:cs="David"/>
          <w:sz w:val="20"/>
          <w:szCs w:val="20"/>
          <w:rtl/>
        </w:rPr>
        <w:t xml:space="preserve"> </w:t>
      </w:r>
      <w:r w:rsidRPr="00B8414F">
        <w:rPr>
          <w:rFonts w:cs="David" w:hint="cs"/>
          <w:sz w:val="20"/>
          <w:szCs w:val="20"/>
          <w:rtl/>
        </w:rPr>
        <w:t>דומות</w:t>
      </w:r>
      <w:r w:rsidRPr="00B8414F">
        <w:rPr>
          <w:rFonts w:cs="David"/>
          <w:sz w:val="20"/>
          <w:szCs w:val="20"/>
          <w:rtl/>
        </w:rPr>
        <w:t xml:space="preserve"> </w:t>
      </w:r>
      <w:r w:rsidRPr="00B8414F">
        <w:rPr>
          <w:rFonts w:cs="David" w:hint="cs"/>
          <w:sz w:val="20"/>
          <w:szCs w:val="20"/>
          <w:rtl/>
        </w:rPr>
        <w:t>חלות</w:t>
      </w:r>
      <w:r w:rsidRPr="00B8414F">
        <w:rPr>
          <w:rFonts w:cs="David"/>
          <w:sz w:val="20"/>
          <w:szCs w:val="20"/>
          <w:rtl/>
        </w:rPr>
        <w:t xml:space="preserve"> </w:t>
      </w:r>
      <w:r w:rsidRPr="00B8414F">
        <w:rPr>
          <w:rFonts w:cs="David" w:hint="cs"/>
          <w:sz w:val="20"/>
          <w:szCs w:val="20"/>
          <w:rtl/>
        </w:rPr>
        <w:t>במדינות</w:t>
      </w:r>
      <w:r w:rsidRPr="00B8414F">
        <w:rPr>
          <w:rFonts w:cs="David"/>
          <w:sz w:val="20"/>
          <w:szCs w:val="20"/>
          <w:rtl/>
        </w:rPr>
        <w:t xml:space="preserve"> </w:t>
      </w:r>
      <w:r w:rsidRPr="00B8414F">
        <w:rPr>
          <w:rFonts w:cs="David" w:hint="cs"/>
          <w:sz w:val="20"/>
          <w:szCs w:val="20"/>
          <w:rtl/>
        </w:rPr>
        <w:t>זרות</w:t>
      </w:r>
      <w:r w:rsidRPr="00B8414F">
        <w:rPr>
          <w:rFonts w:cs="David"/>
          <w:sz w:val="20"/>
          <w:szCs w:val="20"/>
          <w:rtl/>
        </w:rPr>
        <w:t xml:space="preserve">, </w:t>
      </w:r>
      <w:r w:rsidRPr="00B8414F">
        <w:rPr>
          <w:rFonts w:cs="David" w:hint="cs"/>
          <w:sz w:val="20"/>
          <w:szCs w:val="20"/>
          <w:rtl/>
        </w:rPr>
        <w:t>בהן</w:t>
      </w:r>
      <w:r w:rsidRPr="00B8414F">
        <w:rPr>
          <w:rFonts w:cs="David"/>
          <w:sz w:val="20"/>
          <w:szCs w:val="20"/>
          <w:rtl/>
        </w:rPr>
        <w:t xml:space="preserve"> </w:t>
      </w:r>
      <w:r w:rsidRPr="00B8414F">
        <w:rPr>
          <w:rFonts w:cs="David" w:hint="cs"/>
          <w:sz w:val="20"/>
          <w:szCs w:val="20"/>
          <w:rtl/>
        </w:rPr>
        <w:t>נהוג</w:t>
      </w:r>
      <w:r w:rsidRPr="00B8414F">
        <w:rPr>
          <w:rFonts w:cs="David"/>
          <w:sz w:val="20"/>
          <w:szCs w:val="20"/>
          <w:rtl/>
        </w:rPr>
        <w:t xml:space="preserve"> </w:t>
      </w:r>
      <w:r w:rsidRPr="00B8414F">
        <w:rPr>
          <w:rFonts w:cs="David" w:hint="cs"/>
          <w:sz w:val="20"/>
          <w:szCs w:val="20"/>
          <w:rtl/>
        </w:rPr>
        <w:t>ומקובל</w:t>
      </w:r>
      <w:r w:rsidRPr="00B8414F">
        <w:rPr>
          <w:rFonts w:cs="David"/>
          <w:sz w:val="20"/>
          <w:szCs w:val="20"/>
          <w:rtl/>
        </w:rPr>
        <w:t xml:space="preserve"> </w:t>
      </w:r>
      <w:r w:rsidRPr="00B8414F">
        <w:rPr>
          <w:rFonts w:cs="David" w:hint="cs"/>
          <w:sz w:val="20"/>
          <w:szCs w:val="20"/>
          <w:rtl/>
        </w:rPr>
        <w:t>כי</w:t>
      </w:r>
      <w:r w:rsidRPr="00B8414F">
        <w:rPr>
          <w:rFonts w:cs="David"/>
          <w:sz w:val="20"/>
          <w:szCs w:val="20"/>
          <w:rtl/>
        </w:rPr>
        <w:t xml:space="preserve"> </w:t>
      </w:r>
      <w:r w:rsidRPr="00B8414F">
        <w:rPr>
          <w:rFonts w:cs="David" w:hint="cs"/>
          <w:sz w:val="20"/>
          <w:szCs w:val="20"/>
          <w:rtl/>
        </w:rPr>
        <w:t>מדריך</w:t>
      </w:r>
      <w:r w:rsidRPr="00B8414F">
        <w:rPr>
          <w:rFonts w:cs="David"/>
          <w:sz w:val="20"/>
          <w:szCs w:val="20"/>
          <w:rtl/>
        </w:rPr>
        <w:t xml:space="preserve"> </w:t>
      </w:r>
      <w:r w:rsidRPr="00B8414F">
        <w:rPr>
          <w:rFonts w:cs="David" w:hint="cs"/>
          <w:sz w:val="20"/>
          <w:szCs w:val="20"/>
          <w:rtl/>
        </w:rPr>
        <w:t>מקומי</w:t>
      </w:r>
      <w:r w:rsidRPr="00B8414F">
        <w:rPr>
          <w:rFonts w:cs="David"/>
          <w:sz w:val="20"/>
          <w:szCs w:val="20"/>
          <w:rtl/>
        </w:rPr>
        <w:t xml:space="preserve"> </w:t>
      </w:r>
      <w:r w:rsidRPr="00B8414F">
        <w:rPr>
          <w:rFonts w:cs="David" w:hint="cs"/>
          <w:sz w:val="20"/>
          <w:szCs w:val="20"/>
          <w:rtl/>
        </w:rPr>
        <w:t>מלווה</w:t>
      </w:r>
      <w:r w:rsidRPr="00B8414F">
        <w:rPr>
          <w:rFonts w:cs="David"/>
          <w:sz w:val="20"/>
          <w:szCs w:val="20"/>
          <w:rtl/>
        </w:rPr>
        <w:t xml:space="preserve"> </w:t>
      </w:r>
      <w:r w:rsidRPr="00B8414F">
        <w:rPr>
          <w:rFonts w:cs="David" w:hint="cs"/>
          <w:sz w:val="20"/>
          <w:szCs w:val="20"/>
          <w:rtl/>
        </w:rPr>
        <w:t>כל</w:t>
      </w:r>
      <w:r w:rsidRPr="00B8414F">
        <w:rPr>
          <w:rFonts w:cs="David"/>
          <w:sz w:val="20"/>
          <w:szCs w:val="20"/>
          <w:rtl/>
        </w:rPr>
        <w:t xml:space="preserve"> </w:t>
      </w:r>
      <w:r w:rsidRPr="00B8414F">
        <w:rPr>
          <w:rFonts w:cs="David" w:hint="cs"/>
          <w:sz w:val="20"/>
          <w:szCs w:val="20"/>
          <w:rtl/>
        </w:rPr>
        <w:t>קבוצות</w:t>
      </w:r>
      <w:r w:rsidRPr="00B8414F">
        <w:rPr>
          <w:rFonts w:cs="David"/>
          <w:sz w:val="20"/>
          <w:szCs w:val="20"/>
          <w:rtl/>
        </w:rPr>
        <w:t xml:space="preserve"> </w:t>
      </w:r>
      <w:r w:rsidRPr="00B8414F">
        <w:rPr>
          <w:rFonts w:cs="David" w:hint="cs"/>
          <w:sz w:val="20"/>
          <w:szCs w:val="20"/>
          <w:rtl/>
        </w:rPr>
        <w:t>תיירים</w:t>
      </w:r>
      <w:r w:rsidRPr="00B8414F">
        <w:rPr>
          <w:rFonts w:cs="David"/>
          <w:sz w:val="20"/>
          <w:szCs w:val="20"/>
          <w:rtl/>
        </w:rPr>
        <w:t xml:space="preserve"> </w:t>
      </w:r>
      <w:r w:rsidRPr="00B8414F">
        <w:rPr>
          <w:rFonts w:cs="David" w:hint="cs"/>
          <w:sz w:val="20"/>
          <w:szCs w:val="20"/>
          <w:rtl/>
        </w:rPr>
        <w:t>אשר</w:t>
      </w:r>
      <w:r w:rsidRPr="00B8414F">
        <w:rPr>
          <w:rFonts w:cs="David"/>
          <w:sz w:val="20"/>
          <w:szCs w:val="20"/>
          <w:rtl/>
        </w:rPr>
        <w:t xml:space="preserve"> </w:t>
      </w:r>
      <w:r w:rsidRPr="00B8414F">
        <w:rPr>
          <w:rFonts w:cs="David" w:hint="cs"/>
          <w:sz w:val="20"/>
          <w:szCs w:val="20"/>
          <w:rtl/>
        </w:rPr>
        <w:t>נכנסת</w:t>
      </w:r>
      <w:r w:rsidRPr="00B8414F">
        <w:rPr>
          <w:rFonts w:cs="David"/>
          <w:sz w:val="20"/>
          <w:szCs w:val="20"/>
          <w:rtl/>
        </w:rPr>
        <w:t xml:space="preserve"> </w:t>
      </w:r>
      <w:r w:rsidRPr="00B8414F">
        <w:rPr>
          <w:rFonts w:cs="David" w:hint="cs"/>
          <w:sz w:val="20"/>
          <w:szCs w:val="20"/>
          <w:rtl/>
        </w:rPr>
        <w:t>למדינה</w:t>
      </w:r>
      <w:r w:rsidRPr="00B8414F">
        <w:rPr>
          <w:rFonts w:cs="David"/>
          <w:sz w:val="20"/>
          <w:szCs w:val="20"/>
          <w:rtl/>
        </w:rPr>
        <w:t xml:space="preserve">. </w:t>
      </w:r>
    </w:p>
    <w:p w:rsidR="005366A8" w:rsidRPr="00B8414F" w:rsidRDefault="005366A8" w:rsidP="005366A8">
      <w:pPr>
        <w:rPr>
          <w:rFonts w:cs="Hadasa Roso SL"/>
          <w:sz w:val="20"/>
          <w:szCs w:val="20"/>
          <w:rtl/>
        </w:rPr>
      </w:pPr>
    </w:p>
    <w:p w:rsidR="005366A8" w:rsidRPr="00B8414F" w:rsidRDefault="005366A8" w:rsidP="005366A8">
      <w:pPr>
        <w:ind w:left="340"/>
        <w:rPr>
          <w:rFonts w:cs="David"/>
          <w:sz w:val="20"/>
          <w:szCs w:val="20"/>
          <w:rtl/>
        </w:rPr>
      </w:pPr>
      <w:r w:rsidRPr="00B8414F">
        <w:rPr>
          <w:rFonts w:cs="David"/>
          <w:sz w:val="20"/>
          <w:szCs w:val="20"/>
          <w:rtl/>
        </w:rPr>
        <w:t>---------------------------------</w:t>
      </w:r>
    </w:p>
    <w:p w:rsidR="005366A8" w:rsidRDefault="005366A8" w:rsidP="005366A8">
      <w:pPr>
        <w:ind w:left="340"/>
        <w:rPr>
          <w:rFonts w:cs="David"/>
          <w:sz w:val="20"/>
          <w:szCs w:val="20"/>
          <w:rtl/>
        </w:rPr>
      </w:pPr>
      <w:r w:rsidRPr="00B8414F">
        <w:rPr>
          <w:rFonts w:cs="David" w:hint="cs"/>
          <w:sz w:val="20"/>
          <w:szCs w:val="20"/>
          <w:rtl/>
        </w:rPr>
        <w:t>הוגשה</w:t>
      </w:r>
      <w:r w:rsidRPr="00B8414F">
        <w:rPr>
          <w:rFonts w:cs="David"/>
          <w:sz w:val="20"/>
          <w:szCs w:val="20"/>
          <w:rtl/>
        </w:rPr>
        <w:t xml:space="preserve"> </w:t>
      </w:r>
      <w:r w:rsidRPr="00B8414F">
        <w:rPr>
          <w:rFonts w:cs="David" w:hint="cs"/>
          <w:sz w:val="20"/>
          <w:szCs w:val="20"/>
          <w:rtl/>
        </w:rPr>
        <w:t>ליו</w:t>
      </w:r>
      <w:r w:rsidRPr="00B8414F">
        <w:rPr>
          <w:rFonts w:cs="David"/>
          <w:sz w:val="20"/>
          <w:szCs w:val="20"/>
          <w:rtl/>
        </w:rPr>
        <w:t>"</w:t>
      </w:r>
      <w:r w:rsidRPr="00B8414F">
        <w:rPr>
          <w:rFonts w:cs="David" w:hint="cs"/>
          <w:sz w:val="20"/>
          <w:szCs w:val="20"/>
          <w:rtl/>
        </w:rPr>
        <w:t>ר</w:t>
      </w:r>
      <w:r w:rsidRPr="00B8414F">
        <w:rPr>
          <w:rFonts w:cs="David"/>
          <w:sz w:val="20"/>
          <w:szCs w:val="20"/>
          <w:rtl/>
        </w:rPr>
        <w:t xml:space="preserve"> </w:t>
      </w:r>
      <w:r w:rsidRPr="00B8414F">
        <w:rPr>
          <w:rFonts w:cs="David" w:hint="cs"/>
          <w:sz w:val="20"/>
          <w:szCs w:val="20"/>
          <w:rtl/>
        </w:rPr>
        <w:t>הכנסת</w:t>
      </w:r>
      <w:r w:rsidRPr="00B8414F">
        <w:rPr>
          <w:rFonts w:cs="David"/>
          <w:sz w:val="20"/>
          <w:szCs w:val="20"/>
          <w:rtl/>
        </w:rPr>
        <w:t xml:space="preserve"> </w:t>
      </w:r>
      <w:r w:rsidRPr="00B8414F">
        <w:rPr>
          <w:rFonts w:cs="David" w:hint="cs"/>
          <w:sz w:val="20"/>
          <w:szCs w:val="20"/>
          <w:rtl/>
        </w:rPr>
        <w:t>והסגנים, והונחה</w:t>
      </w:r>
      <w:r w:rsidRPr="00B8414F">
        <w:rPr>
          <w:rFonts w:cs="David"/>
          <w:sz w:val="20"/>
          <w:szCs w:val="20"/>
          <w:rtl/>
        </w:rPr>
        <w:t xml:space="preserve"> </w:t>
      </w:r>
      <w:r w:rsidRPr="00B8414F">
        <w:rPr>
          <w:rFonts w:cs="David" w:hint="cs"/>
          <w:sz w:val="20"/>
          <w:szCs w:val="20"/>
          <w:rtl/>
        </w:rPr>
        <w:t>על</w:t>
      </w:r>
      <w:r w:rsidRPr="00B8414F">
        <w:rPr>
          <w:rFonts w:cs="David"/>
          <w:sz w:val="20"/>
          <w:szCs w:val="20"/>
          <w:rtl/>
        </w:rPr>
        <w:t xml:space="preserve"> </w:t>
      </w:r>
      <w:r w:rsidRPr="00B8414F">
        <w:rPr>
          <w:rFonts w:cs="David" w:hint="cs"/>
          <w:sz w:val="20"/>
          <w:szCs w:val="20"/>
          <w:rtl/>
        </w:rPr>
        <w:t>שולחן</w:t>
      </w:r>
      <w:r w:rsidRPr="00B8414F">
        <w:rPr>
          <w:rFonts w:cs="David"/>
          <w:sz w:val="20"/>
          <w:szCs w:val="20"/>
          <w:rtl/>
        </w:rPr>
        <w:t xml:space="preserve"> </w:t>
      </w:r>
      <w:r w:rsidRPr="00B8414F">
        <w:rPr>
          <w:rFonts w:cs="David" w:hint="cs"/>
          <w:sz w:val="20"/>
          <w:szCs w:val="20"/>
          <w:rtl/>
        </w:rPr>
        <w:t>הכנסת</w:t>
      </w:r>
      <w:r w:rsidRPr="00B8414F">
        <w:rPr>
          <w:rFonts w:cs="David"/>
          <w:sz w:val="20"/>
          <w:szCs w:val="20"/>
          <w:rtl/>
        </w:rPr>
        <w:t xml:space="preserve"> </w:t>
      </w:r>
      <w:r w:rsidRPr="00B8414F">
        <w:rPr>
          <w:rFonts w:cs="David" w:hint="cs"/>
          <w:sz w:val="20"/>
          <w:szCs w:val="20"/>
          <w:rtl/>
        </w:rPr>
        <w:t>ביום, כ</w:t>
      </w:r>
      <w:r w:rsidRPr="00B8414F">
        <w:rPr>
          <w:rFonts w:cs="David"/>
          <w:sz w:val="20"/>
          <w:szCs w:val="20"/>
          <w:rtl/>
        </w:rPr>
        <w:t>"</w:t>
      </w:r>
      <w:r w:rsidRPr="00B8414F">
        <w:rPr>
          <w:rFonts w:cs="David" w:hint="cs"/>
          <w:sz w:val="20"/>
          <w:szCs w:val="20"/>
          <w:rtl/>
        </w:rPr>
        <w:t>ב</w:t>
      </w:r>
      <w:r w:rsidRPr="00B8414F">
        <w:rPr>
          <w:rFonts w:cs="David"/>
          <w:sz w:val="20"/>
          <w:szCs w:val="20"/>
          <w:rtl/>
        </w:rPr>
        <w:t xml:space="preserve"> </w:t>
      </w:r>
      <w:r w:rsidRPr="00B8414F">
        <w:rPr>
          <w:rFonts w:cs="David" w:hint="cs"/>
          <w:sz w:val="20"/>
          <w:szCs w:val="20"/>
          <w:rtl/>
        </w:rPr>
        <w:t>באדר</w:t>
      </w:r>
      <w:r w:rsidRPr="00B8414F">
        <w:rPr>
          <w:rFonts w:cs="David"/>
          <w:sz w:val="20"/>
          <w:szCs w:val="20"/>
          <w:rtl/>
        </w:rPr>
        <w:t xml:space="preserve"> </w:t>
      </w:r>
      <w:r w:rsidRPr="00B8414F">
        <w:rPr>
          <w:rFonts w:cs="David" w:hint="cs"/>
          <w:sz w:val="20"/>
          <w:szCs w:val="20"/>
          <w:rtl/>
        </w:rPr>
        <w:t>התש</w:t>
      </w:r>
      <w:r w:rsidRPr="00B8414F">
        <w:rPr>
          <w:rFonts w:cs="David"/>
          <w:sz w:val="20"/>
          <w:szCs w:val="20"/>
          <w:rtl/>
        </w:rPr>
        <w:t>"</w:t>
      </w:r>
      <w:r w:rsidRPr="00B8414F">
        <w:rPr>
          <w:rFonts w:cs="David" w:hint="cs"/>
          <w:sz w:val="20"/>
          <w:szCs w:val="20"/>
          <w:rtl/>
        </w:rPr>
        <w:t>ע</w:t>
      </w:r>
      <w:r w:rsidRPr="00B8414F">
        <w:rPr>
          <w:rFonts w:cs="David"/>
          <w:sz w:val="20"/>
          <w:szCs w:val="20"/>
          <w:rtl/>
        </w:rPr>
        <w:t xml:space="preserve"> – 8.3.10</w:t>
      </w:r>
    </w:p>
    <w:p w:rsidR="005366A8" w:rsidRPr="00B8414F" w:rsidRDefault="005366A8" w:rsidP="005366A8">
      <w:pPr>
        <w:ind w:left="340"/>
        <w:rPr>
          <w:rFonts w:cs="David"/>
          <w:sz w:val="20"/>
          <w:szCs w:val="20"/>
          <w:rtl/>
        </w:rPr>
      </w:pPr>
    </w:p>
    <w:p w:rsidR="005366A8" w:rsidRPr="001A19A4" w:rsidRDefault="005366A8" w:rsidP="005366A8">
      <w:pPr>
        <w:rPr>
          <w:sz w:val="22"/>
          <w:szCs w:val="22"/>
          <w:highlight w:val="yellow"/>
          <w:rtl/>
        </w:rPr>
      </w:pPr>
      <w:r w:rsidRPr="001A19A4">
        <w:rPr>
          <w:rFonts w:hint="cs"/>
          <w:sz w:val="22"/>
          <w:szCs w:val="22"/>
          <w:highlight w:val="yellow"/>
          <w:rtl/>
        </w:rPr>
        <w:t xml:space="preserve">א. התיקון לחוק מותקף משפטית.  </w:t>
      </w:r>
    </w:p>
    <w:p w:rsidR="005366A8" w:rsidRPr="001A19A4" w:rsidRDefault="005366A8" w:rsidP="005366A8">
      <w:pPr>
        <w:rPr>
          <w:sz w:val="22"/>
          <w:szCs w:val="22"/>
          <w:highlight w:val="yellow"/>
          <w:rtl/>
        </w:rPr>
      </w:pPr>
    </w:p>
    <w:p w:rsidR="005366A8" w:rsidRPr="001A19A4" w:rsidRDefault="005366A8" w:rsidP="005366A8">
      <w:pPr>
        <w:rPr>
          <w:sz w:val="22"/>
          <w:szCs w:val="22"/>
          <w:highlight w:val="yellow"/>
          <w:rtl/>
        </w:rPr>
      </w:pPr>
      <w:r w:rsidRPr="001A19A4">
        <w:rPr>
          <w:rFonts w:hint="cs"/>
          <w:sz w:val="22"/>
          <w:szCs w:val="22"/>
          <w:highlight w:val="yellow"/>
          <w:rtl/>
        </w:rPr>
        <w:t xml:space="preserve">ב. הניחו כי בית המשפט העליון מורה על בטלות ההוראה המתקנת.  </w:t>
      </w:r>
    </w:p>
    <w:p w:rsidR="005366A8" w:rsidRPr="001A19A4" w:rsidRDefault="005366A8" w:rsidP="005366A8">
      <w:pPr>
        <w:rPr>
          <w:sz w:val="22"/>
          <w:szCs w:val="22"/>
          <w:highlight w:val="yellow"/>
          <w:rtl/>
        </w:rPr>
      </w:pPr>
      <w:r w:rsidRPr="001A19A4">
        <w:rPr>
          <w:rFonts w:hint="cs"/>
          <w:sz w:val="22"/>
          <w:szCs w:val="22"/>
          <w:highlight w:val="yellow"/>
          <w:rtl/>
        </w:rPr>
        <w:t>הניחו עוד, כי לאחר הביטול מחליטה הכנסת לחוקק את התיקון מחדש, אך מוסיפה לצידו הוראה, שזו לשונה: "הוראות סעיפים [סעיפי התיקון] תקפות על אף האמור בחוק יסוד: חופש העיסוק וחוק יסוד: כבוד האדם וחירותו".  הניחו כי התיקון החדש מתקבל ב"רוב של חברי הכנסת".</w:t>
      </w:r>
    </w:p>
    <w:p w:rsidR="005366A8" w:rsidRPr="001A19A4" w:rsidRDefault="005366A8" w:rsidP="005366A8">
      <w:pPr>
        <w:rPr>
          <w:sz w:val="22"/>
          <w:szCs w:val="22"/>
          <w:highlight w:val="yellow"/>
          <w:rtl/>
        </w:rPr>
      </w:pPr>
      <w:r w:rsidRPr="001A19A4">
        <w:rPr>
          <w:rFonts w:hint="cs"/>
          <w:sz w:val="22"/>
          <w:szCs w:val="22"/>
          <w:highlight w:val="yellow"/>
          <w:rtl/>
        </w:rPr>
        <w:t xml:space="preserve">עתה הניחו כי גם תיקון חדש זה מותקף.  </w:t>
      </w:r>
    </w:p>
    <w:p w:rsidR="005366A8" w:rsidRPr="001A19A4" w:rsidRDefault="005366A8" w:rsidP="005366A8">
      <w:pPr>
        <w:rPr>
          <w:sz w:val="22"/>
          <w:szCs w:val="22"/>
          <w:highlight w:val="yellow"/>
          <w:rtl/>
        </w:rPr>
      </w:pPr>
    </w:p>
    <w:p w:rsidR="005366A8" w:rsidRPr="001A19A4" w:rsidRDefault="005366A8" w:rsidP="005366A8">
      <w:pPr>
        <w:rPr>
          <w:sz w:val="22"/>
          <w:szCs w:val="22"/>
          <w:highlight w:val="yellow"/>
          <w:rtl/>
        </w:rPr>
      </w:pPr>
      <w:r w:rsidRPr="001A19A4">
        <w:rPr>
          <w:rFonts w:hint="cs"/>
          <w:sz w:val="22"/>
          <w:szCs w:val="22"/>
          <w:highlight w:val="yellow"/>
          <w:rtl/>
        </w:rPr>
        <w:t xml:space="preserve">ג. הניחו כי בית המשפט העליון מורה גם על בטלות התיקון החדש.  </w:t>
      </w:r>
    </w:p>
    <w:p w:rsidR="005366A8" w:rsidRPr="001A19A4" w:rsidRDefault="005366A8" w:rsidP="005366A8">
      <w:pPr>
        <w:rPr>
          <w:sz w:val="22"/>
          <w:szCs w:val="22"/>
          <w:highlight w:val="yellow"/>
          <w:rtl/>
        </w:rPr>
      </w:pPr>
      <w:r w:rsidRPr="001A19A4">
        <w:rPr>
          <w:rFonts w:hint="cs"/>
          <w:sz w:val="22"/>
          <w:szCs w:val="22"/>
          <w:highlight w:val="yellow"/>
          <w:rtl/>
        </w:rPr>
        <w:t xml:space="preserve">הכנסת מתקנת את </w:t>
      </w:r>
      <w:r w:rsidRPr="001A19A4">
        <w:rPr>
          <w:rFonts w:cs="David" w:hint="cs"/>
          <w:sz w:val="22"/>
          <w:szCs w:val="22"/>
          <w:highlight w:val="yellow"/>
          <w:rtl/>
        </w:rPr>
        <w:t>חוק יסוד: ירושלים</w:t>
      </w:r>
      <w:r w:rsidRPr="001A19A4">
        <w:rPr>
          <w:rFonts w:hint="cs"/>
          <w:sz w:val="22"/>
          <w:szCs w:val="22"/>
          <w:highlight w:val="yellow"/>
          <w:rtl/>
        </w:rPr>
        <w:t>, ומוסיפה את ההוראה הבאה, ובה שני סעיפי משנה:</w:t>
      </w:r>
    </w:p>
    <w:p w:rsidR="005366A8" w:rsidRPr="001A19A4" w:rsidRDefault="005366A8" w:rsidP="005366A8">
      <w:pPr>
        <w:ind w:left="720"/>
        <w:rPr>
          <w:rFonts w:cs="David"/>
          <w:sz w:val="22"/>
          <w:szCs w:val="22"/>
          <w:highlight w:val="yellow"/>
          <w:rtl/>
        </w:rPr>
      </w:pPr>
      <w:r w:rsidRPr="001A19A4">
        <w:rPr>
          <w:rFonts w:cs="David" w:hint="cs"/>
          <w:sz w:val="22"/>
          <w:szCs w:val="22"/>
          <w:highlight w:val="yellow"/>
          <w:rtl/>
        </w:rPr>
        <w:t xml:space="preserve">א. </w:t>
      </w:r>
      <w:r w:rsidRPr="001A19A4">
        <w:rPr>
          <w:rFonts w:cs="David"/>
          <w:sz w:val="22"/>
          <w:szCs w:val="22"/>
          <w:highlight w:val="yellow"/>
          <w:rtl/>
        </w:rPr>
        <w:t>לא ישמש אדם מורה דרך בתמורה, אלא אם כן יש בידיו רישיון תקף לפי חוק שירותי תיירות, התשל"ו–1976</w:t>
      </w:r>
      <w:r w:rsidRPr="001A19A4">
        <w:rPr>
          <w:rFonts w:cs="David" w:hint="cs"/>
          <w:sz w:val="22"/>
          <w:szCs w:val="22"/>
          <w:highlight w:val="yellow"/>
          <w:rtl/>
        </w:rPr>
        <w:t xml:space="preserve">;  </w:t>
      </w:r>
    </w:p>
    <w:p w:rsidR="005366A8" w:rsidRPr="001A19A4" w:rsidRDefault="005366A8" w:rsidP="005366A8">
      <w:pPr>
        <w:ind w:left="720"/>
        <w:rPr>
          <w:sz w:val="22"/>
          <w:szCs w:val="22"/>
          <w:highlight w:val="yellow"/>
          <w:rtl/>
        </w:rPr>
      </w:pPr>
      <w:r w:rsidRPr="001A19A4">
        <w:rPr>
          <w:rFonts w:cs="David" w:hint="cs"/>
          <w:sz w:val="22"/>
          <w:szCs w:val="22"/>
          <w:highlight w:val="yellow"/>
          <w:rtl/>
        </w:rPr>
        <w:t xml:space="preserve">ב. </w:t>
      </w:r>
      <w:r w:rsidRPr="001A19A4">
        <w:rPr>
          <w:rFonts w:cs="David"/>
          <w:sz w:val="22"/>
          <w:szCs w:val="22"/>
          <w:highlight w:val="yellow"/>
          <w:rtl/>
        </w:rPr>
        <w:t>נותן שירותי סוכנות נסיעות או גוף אחר, המארגן סיור בי</w:t>
      </w:r>
      <w:r w:rsidRPr="001A19A4">
        <w:rPr>
          <w:rFonts w:cs="David" w:hint="cs"/>
          <w:sz w:val="22"/>
          <w:szCs w:val="22"/>
          <w:highlight w:val="yellow"/>
          <w:rtl/>
        </w:rPr>
        <w:t>רושלים</w:t>
      </w:r>
      <w:r w:rsidRPr="001A19A4">
        <w:rPr>
          <w:rFonts w:cs="David"/>
          <w:sz w:val="22"/>
          <w:szCs w:val="22"/>
          <w:highlight w:val="yellow"/>
          <w:rtl/>
        </w:rPr>
        <w:t xml:space="preserve"> שבו משתתפים לפחות 11 תיירי חוץ, ידאג לכך שהסיור ילווה על ידי מורה דרך מורשה שהוא אזרח ישראלי.</w:t>
      </w:r>
    </w:p>
    <w:p w:rsidR="005366A8" w:rsidRPr="00430058" w:rsidRDefault="005366A8" w:rsidP="005366A8">
      <w:pPr>
        <w:rPr>
          <w:sz w:val="22"/>
          <w:szCs w:val="22"/>
          <w:rtl/>
        </w:rPr>
      </w:pPr>
      <w:r w:rsidRPr="001A19A4">
        <w:rPr>
          <w:rFonts w:hint="cs"/>
          <w:sz w:val="22"/>
          <w:szCs w:val="22"/>
          <w:highlight w:val="yellow"/>
          <w:rtl/>
        </w:rPr>
        <w:t xml:space="preserve">התיקון לחוק היסוד התקבל ברוב רגיל של חברי הכנסת.  </w:t>
      </w:r>
      <w:r w:rsidRPr="001A19A4">
        <w:rPr>
          <w:rFonts w:hint="cs"/>
          <w:b/>
          <w:bCs/>
          <w:sz w:val="22"/>
          <w:szCs w:val="22"/>
          <w:highlight w:val="yellow"/>
          <w:rtl/>
        </w:rPr>
        <w:t>סעיף משנה ב'</w:t>
      </w:r>
      <w:r w:rsidRPr="001A19A4">
        <w:rPr>
          <w:rFonts w:hint="cs"/>
          <w:sz w:val="22"/>
          <w:szCs w:val="22"/>
          <w:highlight w:val="yellow"/>
          <w:rtl/>
        </w:rPr>
        <w:t xml:space="preserve"> מותקף.</w:t>
      </w:r>
      <w:r w:rsidRPr="00430058">
        <w:rPr>
          <w:rFonts w:hint="cs"/>
          <w:sz w:val="22"/>
          <w:szCs w:val="22"/>
          <w:rtl/>
        </w:rPr>
        <w:t xml:space="preserve">  </w:t>
      </w:r>
    </w:p>
    <w:p w:rsidR="005366A8" w:rsidRPr="00430058" w:rsidRDefault="005366A8" w:rsidP="005366A8">
      <w:pPr>
        <w:rPr>
          <w:sz w:val="22"/>
          <w:szCs w:val="22"/>
          <w:rtl/>
        </w:rPr>
      </w:pPr>
    </w:p>
    <w:p w:rsidR="005366A8" w:rsidRPr="00430058" w:rsidRDefault="005366A8" w:rsidP="005366A8">
      <w:pPr>
        <w:rPr>
          <w:sz w:val="22"/>
          <w:szCs w:val="22"/>
          <w:rtl/>
        </w:rPr>
      </w:pPr>
      <w:r w:rsidRPr="00430058">
        <w:rPr>
          <w:rFonts w:hint="cs"/>
          <w:sz w:val="22"/>
          <w:szCs w:val="22"/>
          <w:rtl/>
        </w:rPr>
        <w:t>=-=</w:t>
      </w:r>
    </w:p>
    <w:p w:rsidR="005366A8" w:rsidRPr="00430058" w:rsidRDefault="005366A8" w:rsidP="005366A8">
      <w:pPr>
        <w:rPr>
          <w:rFonts w:ascii="Arial" w:hAnsi="Arial" w:cs="Arial"/>
          <w:sz w:val="20"/>
          <w:szCs w:val="20"/>
          <w:rtl/>
        </w:rPr>
      </w:pPr>
      <w:r w:rsidRPr="00430058">
        <w:rPr>
          <w:rFonts w:ascii="Arial" w:hAnsi="Arial" w:cs="Arial"/>
          <w:sz w:val="20"/>
          <w:szCs w:val="20"/>
          <w:rtl/>
        </w:rPr>
        <w:t xml:space="preserve">חלקו את פתרונכם לשלשה חלקים: העלו את הטענות ואת טענות-הנגד העיקריות הצפויות בכל אחת משלש העתירות.  </w:t>
      </w:r>
    </w:p>
    <w:p w:rsidR="005366A8" w:rsidRPr="00430058" w:rsidRDefault="005366A8" w:rsidP="005366A8">
      <w:pPr>
        <w:spacing w:after="120"/>
        <w:rPr>
          <w:rFonts w:ascii="Arial" w:hAnsi="Arial" w:cs="Arial"/>
          <w:sz w:val="20"/>
          <w:szCs w:val="20"/>
          <w:rtl/>
        </w:rPr>
      </w:pPr>
      <w:r w:rsidRPr="00430058">
        <w:rPr>
          <w:rFonts w:ascii="Arial" w:hAnsi="Arial" w:cs="Arial"/>
          <w:sz w:val="20"/>
          <w:szCs w:val="20"/>
          <w:rtl/>
        </w:rPr>
        <w:t>במקום שבו אתם יכולים לגבש בקלות יחסית הכרעה – לו הייתם בית המשפט המכריע בעתירות –</w:t>
      </w:r>
      <w:r w:rsidRPr="00430058">
        <w:rPr>
          <w:rFonts w:ascii="Arial" w:hAnsi="Arial" w:cs="Arial" w:hint="cs"/>
          <w:sz w:val="20"/>
          <w:szCs w:val="20"/>
          <w:rtl/>
        </w:rPr>
        <w:t xml:space="preserve"> </w:t>
      </w:r>
      <w:r w:rsidRPr="00430058">
        <w:rPr>
          <w:rFonts w:ascii="Arial" w:hAnsi="Arial" w:cs="Arial"/>
          <w:sz w:val="20"/>
          <w:szCs w:val="20"/>
          <w:rtl/>
        </w:rPr>
        <w:t xml:space="preserve">אזי תשמיעו אותה ואת נימוקיה.  </w:t>
      </w:r>
    </w:p>
    <w:p w:rsidR="005366A8" w:rsidRPr="00430058" w:rsidRDefault="005366A8" w:rsidP="005366A8">
      <w:pPr>
        <w:spacing w:after="120"/>
        <w:rPr>
          <w:rFonts w:ascii="Arial" w:hAnsi="Arial" w:cs="Arial"/>
          <w:sz w:val="20"/>
          <w:szCs w:val="20"/>
          <w:rtl/>
        </w:rPr>
      </w:pPr>
      <w:r w:rsidRPr="00430058">
        <w:rPr>
          <w:rFonts w:ascii="Arial" w:hAnsi="Arial" w:cs="Arial"/>
          <w:sz w:val="20"/>
          <w:szCs w:val="20"/>
          <w:rtl/>
        </w:rPr>
        <w:t xml:space="preserve">עם זאת, בשלב זה של הקורס, שבו הדיון המורכב בזכויות האדם עוד בפנינו, </w:t>
      </w:r>
      <w:r w:rsidRPr="00430058">
        <w:rPr>
          <w:rFonts w:ascii="Arial" w:hAnsi="Arial" w:cs="Arial"/>
          <w:sz w:val="20"/>
          <w:szCs w:val="20"/>
          <w:u w:val="single"/>
          <w:rtl/>
        </w:rPr>
        <w:t>אין לנו ציפייה להכרעה מקיפה ומעמיקה</w:t>
      </w:r>
      <w:r w:rsidRPr="00430058">
        <w:rPr>
          <w:rFonts w:ascii="Arial" w:hAnsi="Arial" w:cs="Arial"/>
          <w:sz w:val="20"/>
          <w:szCs w:val="20"/>
          <w:rtl/>
        </w:rPr>
        <w:t>.  אנו רוצים לראות בעיקר את מתווה הניתוח המשפטי שלכם (כלומר, את הצורה שבה ניגשים להתמודדות עם השאלות העולות כאן), ולשמוע את האופן שבו אתם מזהים את הסוגיות המשפטיות העיקריות ואת הטיעונים העיקריים בעניינן.</w:t>
      </w:r>
    </w:p>
    <w:p w:rsidR="005366A8" w:rsidRPr="00430058" w:rsidRDefault="005366A8" w:rsidP="005366A8">
      <w:pPr>
        <w:spacing w:after="120"/>
        <w:rPr>
          <w:rFonts w:ascii="Arial" w:hAnsi="Arial" w:cs="Arial"/>
          <w:sz w:val="20"/>
          <w:szCs w:val="20"/>
          <w:rtl/>
        </w:rPr>
      </w:pPr>
      <w:r w:rsidRPr="00430058">
        <w:rPr>
          <w:rFonts w:ascii="Arial" w:hAnsi="Arial" w:cs="Arial"/>
          <w:sz w:val="20"/>
          <w:szCs w:val="20"/>
          <w:rtl/>
        </w:rPr>
        <w:t>כללית, לעניין ניסיון ההכרעה שלכם בשאלות מסוימות המטופלות על ידיכם: חלק מהסוגיות הטמונות בתרגיל זכו להכרעה בבית המשפט העליון, וחלק לא. במקרה של העדר הכרעה משפטית ברורה בסוגיה משפטית-חוקתית כזו או אחרת, הפנו לעמדות מרכזיות שונות שעמן נפגשתם בחומר הקריאה ובדיוני הכיתה.  עם זאת, אם עמדה מסוימת הפכה להיות הלכה פסוקה או שהיא מסתמנת בבירור כעמדה המקובלת יותר בבית המשפט העליון, אינכם חייבים – במגבלות הקיימות של ההיקף – לעמוד על המחלוקת.</w:t>
      </w:r>
    </w:p>
    <w:p w:rsidR="005366A8" w:rsidRPr="00430058" w:rsidRDefault="005366A8" w:rsidP="005366A8">
      <w:pPr>
        <w:spacing w:after="120"/>
        <w:rPr>
          <w:rFonts w:ascii="Arial" w:hAnsi="Arial" w:cs="Arial"/>
          <w:b/>
          <w:bCs/>
          <w:sz w:val="20"/>
          <w:szCs w:val="20"/>
          <w:rtl/>
        </w:rPr>
      </w:pPr>
      <w:r w:rsidRPr="00430058">
        <w:rPr>
          <w:rFonts w:ascii="Arial" w:hAnsi="Arial" w:cs="Arial"/>
          <w:b/>
          <w:bCs/>
          <w:sz w:val="20"/>
          <w:szCs w:val="20"/>
          <w:rtl/>
        </w:rPr>
        <w:t xml:space="preserve">מספר הערות שתפקידן לכוון </w:t>
      </w:r>
      <w:r w:rsidRPr="00430058">
        <w:rPr>
          <w:rFonts w:ascii="Arial" w:hAnsi="Arial" w:cs="Arial" w:hint="cs"/>
          <w:b/>
          <w:bCs/>
          <w:sz w:val="20"/>
          <w:szCs w:val="20"/>
          <w:rtl/>
        </w:rPr>
        <w:t xml:space="preserve">עוד יותר </w:t>
      </w:r>
      <w:r w:rsidRPr="00430058">
        <w:rPr>
          <w:rFonts w:ascii="Arial" w:hAnsi="Arial" w:cs="Arial"/>
          <w:b/>
          <w:bCs/>
          <w:sz w:val="20"/>
          <w:szCs w:val="20"/>
          <w:rtl/>
        </w:rPr>
        <w:t>את הניתוח הקונקרטי בתרגיל:</w:t>
      </w:r>
    </w:p>
    <w:p w:rsidR="005366A8" w:rsidRPr="00430058" w:rsidRDefault="005366A8" w:rsidP="005366A8">
      <w:pPr>
        <w:spacing w:after="120"/>
        <w:rPr>
          <w:rFonts w:ascii="Arial" w:hAnsi="Arial" w:cs="Arial"/>
          <w:sz w:val="20"/>
          <w:szCs w:val="20"/>
          <w:rtl/>
        </w:rPr>
      </w:pPr>
      <w:r w:rsidRPr="00430058">
        <w:rPr>
          <w:rFonts w:ascii="Arial" w:hAnsi="Arial" w:cs="Arial"/>
          <w:sz w:val="20"/>
          <w:szCs w:val="20"/>
          <w:rtl/>
        </w:rPr>
        <w:t xml:space="preserve">^ שאלת </w:t>
      </w:r>
      <w:r w:rsidRPr="00430058">
        <w:rPr>
          <w:rFonts w:ascii="Arial" w:hAnsi="Arial" w:cs="Arial" w:hint="cs"/>
          <w:sz w:val="20"/>
          <w:szCs w:val="20"/>
          <w:rtl/>
        </w:rPr>
        <w:t xml:space="preserve">חובת הרישיון </w:t>
      </w:r>
      <w:r w:rsidRPr="00430058">
        <w:rPr>
          <w:rFonts w:ascii="Arial" w:hAnsi="Arial" w:cs="Arial"/>
          <w:sz w:val="20"/>
          <w:szCs w:val="20"/>
          <w:rtl/>
        </w:rPr>
        <w:t>–</w:t>
      </w:r>
      <w:r w:rsidRPr="00430058">
        <w:rPr>
          <w:rFonts w:ascii="Arial" w:hAnsi="Arial" w:cs="Arial" w:hint="cs"/>
          <w:sz w:val="20"/>
          <w:szCs w:val="20"/>
          <w:rtl/>
        </w:rPr>
        <w:t xml:space="preserve"> משמע, </w:t>
      </w:r>
      <w:r w:rsidRPr="00430058">
        <w:rPr>
          <w:rFonts w:ascii="Arial" w:hAnsi="Arial" w:cs="Arial"/>
          <w:sz w:val="20"/>
          <w:szCs w:val="20"/>
          <w:rtl/>
        </w:rPr>
        <w:t>התניית פעילותם בתמורה של מורי דרך</w:t>
      </w:r>
      <w:r w:rsidRPr="00430058">
        <w:rPr>
          <w:rFonts w:ascii="Arial" w:hAnsi="Arial" w:cs="Arial" w:hint="cs"/>
          <w:sz w:val="20"/>
          <w:szCs w:val="20"/>
          <w:rtl/>
        </w:rPr>
        <w:t>,</w:t>
      </w:r>
      <w:r w:rsidRPr="00430058">
        <w:rPr>
          <w:rFonts w:ascii="Arial" w:hAnsi="Arial" w:cs="Arial"/>
          <w:sz w:val="20"/>
          <w:szCs w:val="20"/>
          <w:rtl/>
        </w:rPr>
        <w:t xml:space="preserve"> כולם או חלקם</w:t>
      </w:r>
      <w:r w:rsidRPr="00430058">
        <w:rPr>
          <w:rFonts w:ascii="Arial" w:hAnsi="Arial" w:cs="Arial" w:hint="cs"/>
          <w:sz w:val="20"/>
          <w:szCs w:val="20"/>
          <w:rtl/>
        </w:rPr>
        <w:t xml:space="preserve">, </w:t>
      </w:r>
      <w:r w:rsidRPr="00430058">
        <w:rPr>
          <w:rFonts w:ascii="Arial" w:hAnsi="Arial" w:cs="Arial"/>
          <w:sz w:val="20"/>
          <w:szCs w:val="20"/>
          <w:rtl/>
        </w:rPr>
        <w:t>ברישיון מטעם משרד התיירות –</w:t>
      </w:r>
      <w:r w:rsidRPr="00430058">
        <w:rPr>
          <w:rFonts w:ascii="Arial" w:hAnsi="Arial" w:cs="Arial" w:hint="cs"/>
          <w:sz w:val="20"/>
          <w:szCs w:val="20"/>
          <w:rtl/>
        </w:rPr>
        <w:t xml:space="preserve"> מוסדרת במידה מסוימת בדין הקיים בטרם התיקון.  עם זאת, לצורך הפחתת המורכבות,</w:t>
      </w:r>
      <w:r w:rsidRPr="00430058">
        <w:rPr>
          <w:rFonts w:ascii="Arial" w:hAnsi="Arial" w:cs="Arial"/>
          <w:sz w:val="20"/>
          <w:szCs w:val="20"/>
          <w:rtl/>
        </w:rPr>
        <w:t xml:space="preserve"> </w:t>
      </w:r>
      <w:r w:rsidRPr="00430058">
        <w:rPr>
          <w:rFonts w:ascii="Arial" w:hAnsi="Arial" w:cs="Arial"/>
          <w:b/>
          <w:bCs/>
          <w:sz w:val="20"/>
          <w:szCs w:val="20"/>
          <w:rtl/>
        </w:rPr>
        <w:t>הניחו כי חובת הרישיון נוצרת עתה כאן בתיקון</w:t>
      </w:r>
      <w:r w:rsidRPr="00430058">
        <w:rPr>
          <w:rFonts w:ascii="Arial" w:hAnsi="Arial" w:cs="Arial"/>
          <w:sz w:val="20"/>
          <w:szCs w:val="20"/>
          <w:rtl/>
        </w:rPr>
        <w:t xml:space="preserve">.  </w:t>
      </w:r>
    </w:p>
    <w:p w:rsidR="005366A8" w:rsidRPr="00430058" w:rsidRDefault="005366A8" w:rsidP="005366A8">
      <w:pPr>
        <w:spacing w:after="120"/>
        <w:rPr>
          <w:rFonts w:ascii="Arial" w:hAnsi="Arial" w:cs="Arial"/>
          <w:sz w:val="20"/>
          <w:szCs w:val="20"/>
          <w:rtl/>
        </w:rPr>
      </w:pPr>
      <w:r w:rsidRPr="00430058">
        <w:rPr>
          <w:rFonts w:ascii="Arial" w:hAnsi="Arial" w:cs="Arial"/>
          <w:sz w:val="20"/>
          <w:szCs w:val="20"/>
          <w:rtl/>
        </w:rPr>
        <w:t xml:space="preserve">^ בכל אחד מהחלקים התמקדו בשאלת </w:t>
      </w:r>
      <w:r w:rsidRPr="00430058">
        <w:rPr>
          <w:rFonts w:ascii="Arial" w:hAnsi="Arial" w:cs="Arial"/>
          <w:b/>
          <w:bCs/>
          <w:sz w:val="20"/>
          <w:szCs w:val="20"/>
          <w:rtl/>
        </w:rPr>
        <w:t>תוקף התיקון המותקף</w:t>
      </w:r>
      <w:r w:rsidRPr="00430058">
        <w:rPr>
          <w:rFonts w:ascii="Arial" w:hAnsi="Arial" w:cs="Arial"/>
          <w:sz w:val="20"/>
          <w:szCs w:val="20"/>
          <w:rtl/>
        </w:rPr>
        <w:t>, זאת להבדיל משאלות משפטיות אפשריות נוספות שמושמעות במידע המופיע בחלק מחומר הקריאה שיוזכר להלן.</w:t>
      </w:r>
    </w:p>
    <w:p w:rsidR="005366A8" w:rsidRPr="00430058" w:rsidRDefault="005366A8" w:rsidP="005366A8">
      <w:pPr>
        <w:spacing w:after="120"/>
        <w:rPr>
          <w:rFonts w:ascii="Arial" w:hAnsi="Arial" w:cs="Arial"/>
          <w:sz w:val="20"/>
          <w:szCs w:val="20"/>
          <w:rtl/>
        </w:rPr>
      </w:pPr>
      <w:r w:rsidRPr="00430058">
        <w:rPr>
          <w:rFonts w:ascii="Arial" w:hAnsi="Arial" w:cs="Arial"/>
          <w:sz w:val="20"/>
          <w:szCs w:val="20"/>
          <w:rtl/>
        </w:rPr>
        <w:t xml:space="preserve">^ ובסמוך, בחלק מחומר זה תיתקלו בטענות ביחס למשפט השוואתי וביחס למשפט הבינלאומי.  כללית, הנחות/טענות אלו </w:t>
      </w:r>
      <w:r w:rsidRPr="00430058">
        <w:rPr>
          <w:rFonts w:ascii="Arial" w:hAnsi="Arial" w:cs="Arial" w:hint="cs"/>
          <w:sz w:val="20"/>
          <w:szCs w:val="20"/>
          <w:rtl/>
        </w:rPr>
        <w:t xml:space="preserve">כמובן </w:t>
      </w:r>
      <w:r w:rsidRPr="00430058">
        <w:rPr>
          <w:rFonts w:ascii="Arial" w:hAnsi="Arial" w:cs="Arial"/>
          <w:sz w:val="20"/>
          <w:szCs w:val="20"/>
          <w:rtl/>
        </w:rPr>
        <w:t xml:space="preserve">דורשות בדיקה בטרם אימוצן; ואולם בתרגיל זה </w:t>
      </w:r>
      <w:r w:rsidRPr="00430058">
        <w:rPr>
          <w:rFonts w:ascii="Arial" w:hAnsi="Arial" w:cs="Arial"/>
          <w:b/>
          <w:bCs/>
          <w:sz w:val="20"/>
          <w:szCs w:val="20"/>
          <w:rtl/>
        </w:rPr>
        <w:t>אל תיכנסו כלל לשאלת בירור הדין הבינלאומי או ההשוואתי</w:t>
      </w:r>
      <w:r w:rsidRPr="00430058">
        <w:rPr>
          <w:rFonts w:ascii="Arial" w:hAnsi="Arial" w:cs="Arial"/>
          <w:sz w:val="20"/>
          <w:szCs w:val="20"/>
          <w:rtl/>
        </w:rPr>
        <w:t xml:space="preserve">.  </w:t>
      </w:r>
    </w:p>
    <w:p w:rsidR="005366A8" w:rsidRPr="00430058" w:rsidRDefault="005366A8" w:rsidP="005366A8">
      <w:pPr>
        <w:spacing w:after="120"/>
        <w:rPr>
          <w:rFonts w:ascii="Arial" w:hAnsi="Arial" w:cs="Arial"/>
          <w:sz w:val="20"/>
          <w:szCs w:val="20"/>
          <w:rtl/>
        </w:rPr>
      </w:pPr>
      <w:r w:rsidRPr="00430058">
        <w:rPr>
          <w:rFonts w:ascii="Arial" w:hAnsi="Arial" w:cs="Arial"/>
          <w:sz w:val="20"/>
          <w:szCs w:val="20"/>
          <w:rtl/>
        </w:rPr>
        <w:t>=-=</w:t>
      </w:r>
    </w:p>
    <w:p w:rsidR="005366A8" w:rsidRPr="00430058" w:rsidRDefault="005366A8" w:rsidP="005366A8">
      <w:pPr>
        <w:rPr>
          <w:rFonts w:ascii="Arial" w:hAnsi="Arial" w:cs="Arial"/>
          <w:sz w:val="20"/>
          <w:szCs w:val="20"/>
          <w:rtl/>
        </w:rPr>
      </w:pPr>
      <w:r w:rsidRPr="00430058">
        <w:rPr>
          <w:rFonts w:ascii="Arial" w:hAnsi="Arial" w:cs="Arial"/>
          <w:sz w:val="20"/>
          <w:szCs w:val="20"/>
          <w:rtl/>
        </w:rPr>
        <w:t xml:space="preserve">מדובר בהצעת חוק קיימת שהיו כלפיה תגובות סוערות למדי בשיח הציבורי.  היא מנמקת את עצמה, כפי שראיתם לעיל.  במקביל, ראו להלן קישוריות לשורה של תגובות ביקורתיות (ברובן).  מדובר בקטעי עיתונות או תכתובת של ארגונים שונים.  תגובות אלו מסייעות להבין "על מה המהומה", אך הדיון המופיע בהן עלול להיות לעיתים לא מדויק או שטחי, מנוסח בלשון גסה, וכדומה.  מכל מקום </w:t>
      </w:r>
      <w:r w:rsidRPr="00430058">
        <w:rPr>
          <w:rFonts w:ascii="Arial" w:hAnsi="Arial" w:cs="Arial" w:hint="cs"/>
          <w:sz w:val="20"/>
          <w:szCs w:val="20"/>
          <w:rtl/>
        </w:rPr>
        <w:t>תגובות אלו</w:t>
      </w:r>
      <w:r w:rsidRPr="00430058">
        <w:rPr>
          <w:rFonts w:ascii="Arial" w:hAnsi="Arial" w:cs="Arial"/>
          <w:sz w:val="20"/>
          <w:szCs w:val="20"/>
          <w:rtl/>
        </w:rPr>
        <w:t xml:space="preserve"> רחוקות מלמצות את מכלול הסוגיות המתעוררות בתרגיל, ובוודאי רחוקות מלהבהיר את לבושן המשפטי ואת ניתוחן המשפטי.</w:t>
      </w:r>
    </w:p>
    <w:p w:rsidR="005366A8" w:rsidRPr="00430058" w:rsidRDefault="005366A8" w:rsidP="005366A8">
      <w:pPr>
        <w:rPr>
          <w:rFonts w:ascii="Arial" w:hAnsi="Arial" w:cs="Arial"/>
          <w:sz w:val="20"/>
          <w:szCs w:val="20"/>
          <w:rtl/>
        </w:rPr>
      </w:pPr>
      <w:r w:rsidRPr="00430058">
        <w:rPr>
          <w:rFonts w:ascii="Arial" w:hAnsi="Arial" w:cs="Arial"/>
          <w:sz w:val="20"/>
          <w:szCs w:val="20"/>
          <w:rtl/>
        </w:rPr>
        <w:t>חיפשתי די הרבה באינטרנט אחר כתיבה עיתונאית האוהדת את הצעת החוק, אך מדובר בהתרחשות די טרייה, ואולי לכן לא נכתבה עדיין תגובה מכיוון זה.  אם תמצאו כתיבה אוהדת שכזו שלחו אלי את הלינק ואעביר גם אותו.</w:t>
      </w:r>
    </w:p>
    <w:p w:rsidR="005366A8" w:rsidRPr="00430058" w:rsidRDefault="005366A8" w:rsidP="005366A8">
      <w:pPr>
        <w:spacing w:after="60"/>
        <w:rPr>
          <w:rFonts w:ascii="Arial" w:hAnsi="Arial" w:cs="Arial"/>
          <w:color w:val="000099"/>
          <w:sz w:val="20"/>
          <w:szCs w:val="20"/>
          <w:rtl/>
        </w:rPr>
      </w:pPr>
      <w:r w:rsidRPr="00430058">
        <w:rPr>
          <w:rFonts w:ascii="Arial" w:hAnsi="Arial" w:cs="Arial"/>
          <w:sz w:val="20"/>
          <w:szCs w:val="20"/>
          <w:rtl/>
        </w:rPr>
        <w:t xml:space="preserve">אתם מוזמנים </w:t>
      </w:r>
      <w:r w:rsidRPr="00430058">
        <w:rPr>
          <w:rFonts w:ascii="Arial" w:hAnsi="Arial" w:cs="Arial" w:hint="cs"/>
          <w:sz w:val="20"/>
          <w:szCs w:val="20"/>
          <w:rtl/>
        </w:rPr>
        <w:t xml:space="preserve">לפיכך </w:t>
      </w:r>
      <w:r w:rsidRPr="00430058">
        <w:rPr>
          <w:rFonts w:ascii="Arial" w:hAnsi="Arial" w:cs="Arial"/>
          <w:sz w:val="20"/>
          <w:szCs w:val="20"/>
          <w:rtl/>
        </w:rPr>
        <w:t>להסתייע ב</w:t>
      </w:r>
      <w:r w:rsidRPr="00430058">
        <w:rPr>
          <w:rFonts w:ascii="Arial" w:hAnsi="Arial" w:cs="Arial" w:hint="cs"/>
          <w:sz w:val="20"/>
          <w:szCs w:val="20"/>
          <w:rtl/>
        </w:rPr>
        <w:t>תגובות הללו</w:t>
      </w:r>
      <w:r w:rsidRPr="00430058">
        <w:rPr>
          <w:rFonts w:ascii="Arial" w:hAnsi="Arial" w:cs="Arial"/>
          <w:sz w:val="20"/>
          <w:szCs w:val="20"/>
          <w:rtl/>
        </w:rPr>
        <w:t xml:space="preserve"> אך זאת בזהירות המתבקשת:</w:t>
      </w:r>
    </w:p>
    <w:p w:rsidR="005366A8" w:rsidRPr="00430058" w:rsidRDefault="005D7968" w:rsidP="005366A8">
      <w:pPr>
        <w:bidi w:val="0"/>
        <w:spacing w:after="60"/>
        <w:rPr>
          <w:rFonts w:ascii="Arial" w:hAnsi="Arial" w:cs="Arial"/>
          <w:color w:val="000099"/>
          <w:sz w:val="20"/>
          <w:szCs w:val="20"/>
        </w:rPr>
      </w:pPr>
      <w:hyperlink r:id="rId138" w:history="1">
        <w:r w:rsidR="005366A8" w:rsidRPr="00430058">
          <w:rPr>
            <w:rStyle w:val="Hyperlink"/>
            <w:rFonts w:ascii="Arial" w:hAnsi="Arial" w:cs="Arial"/>
            <w:color w:val="000099"/>
            <w:sz w:val="20"/>
            <w:szCs w:val="20"/>
          </w:rPr>
          <w:t>http://www.haaretz.co.il/hasite/spages/1194258.html</w:t>
        </w:r>
      </w:hyperlink>
    </w:p>
    <w:p w:rsidR="005366A8" w:rsidRPr="00430058" w:rsidRDefault="005D7968" w:rsidP="005366A8">
      <w:pPr>
        <w:bidi w:val="0"/>
        <w:spacing w:after="60"/>
        <w:rPr>
          <w:rFonts w:ascii="Arial" w:hAnsi="Arial" w:cs="Arial"/>
          <w:color w:val="000099"/>
          <w:sz w:val="20"/>
          <w:szCs w:val="20"/>
        </w:rPr>
      </w:pPr>
      <w:hyperlink r:id="rId139" w:history="1">
        <w:r w:rsidR="005366A8" w:rsidRPr="00430058">
          <w:rPr>
            <w:rStyle w:val="Hyperlink"/>
            <w:rFonts w:ascii="Arial" w:hAnsi="Arial" w:cs="Arial"/>
            <w:color w:val="000099"/>
            <w:sz w:val="20"/>
            <w:szCs w:val="20"/>
          </w:rPr>
          <w:t>http://www.itga.org.il/ArticleDetails.aspx?Id=314#</w:t>
        </w:r>
      </w:hyperlink>
    </w:p>
    <w:p w:rsidR="005366A8" w:rsidRPr="00430058" w:rsidRDefault="005D7968" w:rsidP="005366A8">
      <w:pPr>
        <w:bidi w:val="0"/>
        <w:spacing w:after="60"/>
        <w:rPr>
          <w:rFonts w:ascii="Arial" w:hAnsi="Arial" w:cs="Arial"/>
          <w:color w:val="000099"/>
          <w:sz w:val="20"/>
          <w:szCs w:val="20"/>
          <w:rtl/>
        </w:rPr>
      </w:pPr>
      <w:hyperlink r:id="rId140" w:history="1">
        <w:r w:rsidR="005366A8" w:rsidRPr="00430058">
          <w:rPr>
            <w:rStyle w:val="Hyperlink"/>
            <w:rFonts w:ascii="Arial" w:hAnsi="Arial" w:cs="Arial"/>
            <w:color w:val="000099"/>
            <w:sz w:val="20"/>
            <w:szCs w:val="20"/>
          </w:rPr>
          <w:t>http://www.ir-amim.org.il/_Uploads/dbsAttachedFiles/tguva.doc</w:t>
        </w:r>
      </w:hyperlink>
    </w:p>
    <w:p w:rsidR="005366A8" w:rsidRPr="00430058" w:rsidRDefault="005D7968" w:rsidP="005366A8">
      <w:pPr>
        <w:bidi w:val="0"/>
        <w:spacing w:after="60"/>
        <w:rPr>
          <w:rFonts w:ascii="Arial" w:hAnsi="Arial" w:cs="Arial"/>
          <w:color w:val="000099"/>
          <w:sz w:val="20"/>
          <w:szCs w:val="20"/>
        </w:rPr>
      </w:pPr>
      <w:hyperlink r:id="rId141" w:history="1">
        <w:r w:rsidR="005366A8" w:rsidRPr="00430058">
          <w:rPr>
            <w:rStyle w:val="Hyperlink"/>
            <w:rFonts w:ascii="Arial" w:hAnsi="Arial" w:cs="Arial"/>
            <w:color w:val="000099"/>
            <w:sz w:val="20"/>
            <w:szCs w:val="20"/>
          </w:rPr>
          <w:t>http://www.adalah.org/newsletter/ara/oct10/tourism.pdf</w:t>
        </w:r>
      </w:hyperlink>
    </w:p>
    <w:p w:rsidR="005366A8" w:rsidRPr="00430058" w:rsidRDefault="005D7968" w:rsidP="005366A8">
      <w:pPr>
        <w:bidi w:val="0"/>
        <w:spacing w:after="60"/>
        <w:rPr>
          <w:rFonts w:ascii="Arial" w:hAnsi="Arial" w:cs="Arial"/>
          <w:color w:val="000099"/>
          <w:sz w:val="20"/>
          <w:szCs w:val="20"/>
        </w:rPr>
      </w:pPr>
      <w:hyperlink r:id="rId142" w:history="1">
        <w:r w:rsidR="005366A8" w:rsidRPr="00430058">
          <w:rPr>
            <w:rStyle w:val="Hyperlink"/>
            <w:rFonts w:ascii="Arial" w:hAnsi="Arial" w:cs="Arial"/>
            <w:color w:val="000099"/>
            <w:sz w:val="20"/>
            <w:szCs w:val="20"/>
          </w:rPr>
          <w:t>http://www.nrg.co.il/online/54/ART2/156/074.html</w:t>
        </w:r>
      </w:hyperlink>
    </w:p>
    <w:p w:rsidR="005366A8" w:rsidRPr="00430058" w:rsidRDefault="005D7968" w:rsidP="005366A8">
      <w:pPr>
        <w:bidi w:val="0"/>
        <w:spacing w:after="60"/>
        <w:rPr>
          <w:rFonts w:ascii="Arial" w:hAnsi="Arial" w:cs="Arial"/>
          <w:color w:val="000099"/>
          <w:sz w:val="20"/>
          <w:szCs w:val="20"/>
        </w:rPr>
      </w:pPr>
      <w:hyperlink r:id="rId143" w:history="1">
        <w:r w:rsidR="005366A8" w:rsidRPr="00430058">
          <w:rPr>
            <w:rStyle w:val="Hyperlink"/>
            <w:rFonts w:ascii="Arial" w:hAnsi="Arial" w:cs="Arial"/>
            <w:color w:val="000099"/>
            <w:sz w:val="20"/>
            <w:szCs w:val="20"/>
          </w:rPr>
          <w:t>http://www.nrg.co.il/online/55/ART2/164/861.html</w:t>
        </w:r>
      </w:hyperlink>
    </w:p>
    <w:p w:rsidR="005366A8" w:rsidRPr="00430058" w:rsidRDefault="005D7968" w:rsidP="005366A8">
      <w:pPr>
        <w:bidi w:val="0"/>
        <w:spacing w:after="120"/>
        <w:rPr>
          <w:rFonts w:ascii="Arial" w:hAnsi="Arial" w:cs="Arial"/>
          <w:color w:val="000099"/>
          <w:sz w:val="20"/>
          <w:szCs w:val="20"/>
          <w:rtl/>
        </w:rPr>
      </w:pPr>
      <w:hyperlink r:id="rId144" w:history="1">
        <w:r w:rsidR="005366A8" w:rsidRPr="00430058">
          <w:rPr>
            <w:rStyle w:val="Hyperlink"/>
            <w:rFonts w:ascii="Arial" w:hAnsi="Arial" w:cs="Arial"/>
            <w:sz w:val="20"/>
            <w:szCs w:val="20"/>
          </w:rPr>
          <w:t>http://zope.gush-shalom.org/home/he/channels/avnery/1287833216/</w:t>
        </w:r>
      </w:hyperlink>
    </w:p>
    <w:p w:rsidR="005366A8" w:rsidRPr="00430058" w:rsidRDefault="005D7968" w:rsidP="005366A8">
      <w:pPr>
        <w:bidi w:val="0"/>
        <w:spacing w:after="60"/>
        <w:rPr>
          <w:rFonts w:ascii="Arial" w:hAnsi="Arial" w:cs="Arial"/>
          <w:color w:val="000099"/>
          <w:sz w:val="20"/>
          <w:szCs w:val="20"/>
        </w:rPr>
      </w:pPr>
      <w:hyperlink r:id="rId145" w:history="1">
        <w:r w:rsidR="005366A8" w:rsidRPr="00430058">
          <w:rPr>
            <w:rStyle w:val="Hyperlink"/>
            <w:rFonts w:ascii="Arial" w:hAnsi="Arial" w:cs="Arial"/>
            <w:color w:val="000099"/>
            <w:sz w:val="20"/>
            <w:szCs w:val="20"/>
          </w:rPr>
          <w:t>http://www.hahem.co.il/friendsofgeorge/?p=1958</w:t>
        </w:r>
      </w:hyperlink>
    </w:p>
    <w:p w:rsidR="005366A8" w:rsidRPr="00573079" w:rsidRDefault="005366A8" w:rsidP="005366A8">
      <w:pPr>
        <w:rPr>
          <w:sz w:val="22"/>
          <w:szCs w:val="22"/>
          <w:rtl/>
        </w:rPr>
      </w:pPr>
    </w:p>
    <w:p w:rsidR="005366A8" w:rsidRDefault="005366A8" w:rsidP="005366A8">
      <w:pPr>
        <w:rPr>
          <w:sz w:val="22"/>
          <w:szCs w:val="22"/>
          <w:rtl/>
        </w:rPr>
      </w:pPr>
    </w:p>
    <w:p w:rsidR="005366A8" w:rsidRDefault="005366A8" w:rsidP="005366A8">
      <w:pPr>
        <w:rPr>
          <w:sz w:val="22"/>
          <w:szCs w:val="22"/>
          <w:rtl/>
        </w:rPr>
      </w:pPr>
      <w:r>
        <w:rPr>
          <w:rFonts w:hint="cs"/>
          <w:sz w:val="22"/>
          <w:szCs w:val="22"/>
          <w:rtl/>
        </w:rPr>
        <w:t>=-=</w:t>
      </w:r>
    </w:p>
    <w:p w:rsidR="005366A8" w:rsidRDefault="005366A8" w:rsidP="005366A8">
      <w:pPr>
        <w:rPr>
          <w:rFonts w:cs="David"/>
          <w:sz w:val="22"/>
          <w:szCs w:val="22"/>
          <w:rtl/>
        </w:rPr>
      </w:pPr>
      <w:r w:rsidRPr="00DC3A05">
        <w:rPr>
          <w:rFonts w:cs="David" w:hint="cs"/>
          <w:b/>
          <w:bCs/>
          <w:sz w:val="22"/>
          <w:szCs w:val="22"/>
          <w:highlight w:val="green"/>
          <w:u w:val="single"/>
          <w:rtl/>
        </w:rPr>
        <w:t>לפגישה הקרובה:</w:t>
      </w:r>
      <w:r>
        <w:rPr>
          <w:rFonts w:cs="David" w:hint="cs"/>
          <w:sz w:val="22"/>
          <w:szCs w:val="22"/>
          <w:rtl/>
        </w:rPr>
        <w:t xml:space="preserve"> </w:t>
      </w:r>
    </w:p>
    <w:p w:rsidR="005366A8" w:rsidRDefault="005366A8" w:rsidP="005366A8">
      <w:pPr>
        <w:rPr>
          <w:rFonts w:cs="David"/>
          <w:sz w:val="22"/>
          <w:szCs w:val="22"/>
          <w:rtl/>
        </w:rPr>
      </w:pPr>
      <w:r>
        <w:rPr>
          <w:rFonts w:cs="David" w:hint="cs"/>
          <w:sz w:val="22"/>
          <w:szCs w:val="22"/>
          <w:rtl/>
        </w:rPr>
        <w:t xml:space="preserve">א. קראו את פס"ד </w:t>
      </w:r>
      <w:r w:rsidRPr="004D4BCB">
        <w:rPr>
          <w:rFonts w:cs="David" w:hint="cs"/>
          <w:b/>
          <w:bCs/>
          <w:sz w:val="22"/>
          <w:szCs w:val="22"/>
          <w:rtl/>
        </w:rPr>
        <w:t>צמח</w:t>
      </w:r>
      <w:r>
        <w:rPr>
          <w:rFonts w:cs="David" w:hint="cs"/>
          <w:sz w:val="22"/>
          <w:szCs w:val="22"/>
          <w:rtl/>
        </w:rPr>
        <w:t xml:space="preserve"> (אורך תקופת המעצר המירבית של חיילים, בטרם הבאתם בפני שופט, בהשוואה לאזרחים): הפסקאות המבוקשות מפסק דינו של השופט זמיר. אנא ראו את האופן שבו פוסע מסלול ההנמקה ובחנו את הנימוקים. האם מוסכמים עליכם? </w:t>
      </w:r>
    </w:p>
    <w:p w:rsidR="005366A8" w:rsidRDefault="005366A8" w:rsidP="005366A8">
      <w:pPr>
        <w:rPr>
          <w:rFonts w:cs="David"/>
          <w:sz w:val="22"/>
          <w:szCs w:val="22"/>
          <w:rtl/>
        </w:rPr>
      </w:pPr>
    </w:p>
    <w:p w:rsidR="005366A8" w:rsidRDefault="005366A8" w:rsidP="005366A8">
      <w:pPr>
        <w:rPr>
          <w:rFonts w:cs="David"/>
          <w:sz w:val="22"/>
          <w:szCs w:val="22"/>
          <w:rtl/>
        </w:rPr>
      </w:pPr>
      <w:r>
        <w:rPr>
          <w:rFonts w:cs="David" w:hint="cs"/>
          <w:sz w:val="22"/>
          <w:szCs w:val="22"/>
          <w:rtl/>
        </w:rPr>
        <w:t>ב. קראו כמו כן את התרגיל לדוגמא שהופיע לעיל. אל תחפשו את פתרונו. אשמיע את הפתרון בדפי הפגישה הקרובה. נסו פשוט לחשוב עליו באופן עצמאי ונדבר עליו בפגישה הקרובה.</w:t>
      </w:r>
    </w:p>
    <w:p w:rsidR="005366A8" w:rsidRDefault="005366A8" w:rsidP="005366A8">
      <w:pPr>
        <w:rPr>
          <w:rFonts w:cs="David"/>
          <w:sz w:val="22"/>
          <w:szCs w:val="22"/>
          <w:rtl/>
        </w:rPr>
      </w:pPr>
    </w:p>
    <w:p w:rsidR="005366A8" w:rsidRPr="001C6701" w:rsidRDefault="005366A8" w:rsidP="005366A8">
      <w:pPr>
        <w:spacing w:after="360"/>
        <w:jc w:val="right"/>
        <w:rPr>
          <w:sz w:val="22"/>
          <w:szCs w:val="22"/>
          <w:rtl/>
        </w:rPr>
      </w:pPr>
      <w:r w:rsidRPr="007F6E4F">
        <w:rPr>
          <w:rFonts w:hint="cs"/>
          <w:b/>
          <w:bCs/>
          <w:sz w:val="22"/>
          <w:szCs w:val="22"/>
          <w:rtl/>
        </w:rPr>
        <w:t>משפט ציבורי</w:t>
      </w:r>
      <w:r>
        <w:rPr>
          <w:rFonts w:hint="cs"/>
          <w:sz w:val="22"/>
          <w:szCs w:val="22"/>
          <w:rtl/>
        </w:rPr>
        <w:t xml:space="preserve">, </w:t>
      </w:r>
      <w:r w:rsidRPr="00C4131E">
        <w:rPr>
          <w:rFonts w:hint="cs"/>
          <w:i/>
          <w:iCs/>
          <w:sz w:val="22"/>
          <w:szCs w:val="22"/>
          <w:rtl/>
        </w:rPr>
        <w:t>תשע"</w:t>
      </w:r>
      <w:r>
        <w:rPr>
          <w:rFonts w:hint="cs"/>
          <w:i/>
          <w:iCs/>
          <w:sz w:val="22"/>
          <w:szCs w:val="22"/>
          <w:rtl/>
        </w:rPr>
        <w:t>ה</w:t>
      </w:r>
      <w:r>
        <w:rPr>
          <w:rFonts w:hint="cs"/>
          <w:sz w:val="22"/>
          <w:szCs w:val="22"/>
          <w:rtl/>
        </w:rPr>
        <w:t xml:space="preserve">, </w:t>
      </w:r>
      <w:r w:rsidRPr="007F6E4F">
        <w:rPr>
          <w:rFonts w:hint="cs"/>
          <w:b/>
          <w:bCs/>
          <w:sz w:val="22"/>
          <w:szCs w:val="22"/>
          <w:rtl/>
        </w:rPr>
        <w:t>סמסטר א',</w:t>
      </w:r>
      <w:r>
        <w:rPr>
          <w:rFonts w:hint="cs"/>
          <w:sz w:val="22"/>
          <w:szCs w:val="22"/>
          <w:rtl/>
        </w:rPr>
        <w:t xml:space="preserve"> ד"ר אילן סבן, דצמבר 2014, </w:t>
      </w:r>
      <w:r w:rsidRPr="005366A8">
        <w:rPr>
          <w:rFonts w:hint="cs"/>
          <w:b/>
          <w:bCs/>
          <w:i/>
          <w:iCs/>
          <w:sz w:val="22"/>
          <w:szCs w:val="22"/>
          <w:highlight w:val="magenta"/>
          <w:u w:val="single"/>
          <w:rtl/>
        </w:rPr>
        <w:t>פגישה 14</w:t>
      </w:r>
    </w:p>
    <w:p w:rsidR="005366A8" w:rsidRDefault="005366A8" w:rsidP="005366A8">
      <w:pPr>
        <w:jc w:val="center"/>
        <w:rPr>
          <w:rFonts w:ascii="Arial" w:hAnsi="Arial" w:cs="Guttman-Soncino"/>
          <w:b/>
          <w:bCs/>
          <w:sz w:val="28"/>
          <w:szCs w:val="28"/>
          <w:rtl/>
        </w:rPr>
      </w:pPr>
      <w:r w:rsidRPr="00B751AC">
        <w:rPr>
          <w:rFonts w:ascii="Arial" w:hAnsi="Arial" w:cs="Guttman-Soncino"/>
          <w:b/>
          <w:bCs/>
          <w:sz w:val="28"/>
          <w:szCs w:val="28"/>
          <w:highlight w:val="yellow"/>
          <w:rtl/>
        </w:rPr>
        <w:t>החוקה הפורמ</w:t>
      </w:r>
      <w:r w:rsidRPr="00B751AC">
        <w:rPr>
          <w:rFonts w:ascii="Arial" w:hAnsi="Arial" w:cs="Guttman-Soncino" w:hint="cs"/>
          <w:b/>
          <w:bCs/>
          <w:sz w:val="28"/>
          <w:szCs w:val="28"/>
          <w:highlight w:val="yellow"/>
          <w:rtl/>
        </w:rPr>
        <w:t>א</w:t>
      </w:r>
      <w:r w:rsidRPr="00B751AC">
        <w:rPr>
          <w:rFonts w:ascii="Arial" w:hAnsi="Arial" w:cs="Guttman-Soncino"/>
          <w:b/>
          <w:bCs/>
          <w:sz w:val="28"/>
          <w:szCs w:val="28"/>
          <w:highlight w:val="yellow"/>
          <w:rtl/>
        </w:rPr>
        <w:t>לית של ישראל</w:t>
      </w:r>
      <w:r w:rsidRPr="00B751AC">
        <w:rPr>
          <w:rFonts w:ascii="Arial" w:hAnsi="Arial" w:cs="Guttman-Soncino" w:hint="cs"/>
          <w:b/>
          <w:bCs/>
          <w:sz w:val="28"/>
          <w:szCs w:val="28"/>
          <w:highlight w:val="yellow"/>
          <w:rtl/>
        </w:rPr>
        <w:t xml:space="preserve"> </w:t>
      </w:r>
    </w:p>
    <w:p w:rsidR="005366A8" w:rsidRDefault="005366A8" w:rsidP="005366A8">
      <w:pPr>
        <w:jc w:val="center"/>
        <w:rPr>
          <w:rFonts w:ascii="Arial" w:hAnsi="Arial" w:cs="Guttman-Soncino"/>
          <w:b/>
          <w:bCs/>
          <w:sz w:val="28"/>
          <w:szCs w:val="28"/>
          <w:rtl/>
        </w:rPr>
      </w:pPr>
      <w:r>
        <w:rPr>
          <w:rFonts w:ascii="Arial" w:hAnsi="Arial" w:cs="Guttman-Soncino" w:hint="cs"/>
          <w:b/>
          <w:bCs/>
          <w:sz w:val="28"/>
          <w:szCs w:val="28"/>
          <w:rtl/>
        </w:rPr>
        <w:t>"מתקל בין דינים" – סוגים שונים של מתקלים;</w:t>
      </w:r>
    </w:p>
    <w:p w:rsidR="005366A8" w:rsidRDefault="005366A8" w:rsidP="005366A8">
      <w:pPr>
        <w:jc w:val="center"/>
        <w:rPr>
          <w:rFonts w:ascii="Arial" w:hAnsi="Arial" w:cs="Guttman-Soncino"/>
          <w:b/>
          <w:bCs/>
          <w:sz w:val="28"/>
          <w:szCs w:val="28"/>
          <w:rtl/>
        </w:rPr>
      </w:pPr>
      <w:r>
        <w:rPr>
          <w:rFonts w:ascii="Arial" w:hAnsi="Arial" w:cs="Guttman-Soncino" w:hint="cs"/>
          <w:b/>
          <w:bCs/>
          <w:sz w:val="28"/>
          <w:szCs w:val="28"/>
          <w:rtl/>
        </w:rPr>
        <w:t>הזכויות המוגנות חוקתית;</w:t>
      </w:r>
    </w:p>
    <w:p w:rsidR="005366A8" w:rsidRPr="00B751AC" w:rsidRDefault="005366A8" w:rsidP="005366A8">
      <w:pPr>
        <w:jc w:val="center"/>
        <w:rPr>
          <w:rFonts w:ascii="Arial" w:hAnsi="Arial" w:cs="Guttman-Soncino"/>
          <w:b/>
          <w:bCs/>
          <w:sz w:val="28"/>
          <w:szCs w:val="28"/>
          <w:rtl/>
        </w:rPr>
      </w:pPr>
      <w:r>
        <w:rPr>
          <w:rFonts w:ascii="Arial" w:hAnsi="Arial" w:cs="Guttman-Soncino" w:hint="cs"/>
          <w:b/>
          <w:bCs/>
          <w:sz w:val="28"/>
          <w:szCs w:val="28"/>
          <w:rtl/>
        </w:rPr>
        <w:t>ומרכיביה של "פסקת ההגבלה"</w:t>
      </w:r>
    </w:p>
    <w:p w:rsidR="005366A8" w:rsidRDefault="005366A8" w:rsidP="005366A8">
      <w:pPr>
        <w:spacing w:after="120"/>
        <w:rPr>
          <w:rFonts w:cs="FrankRuehl"/>
          <w:sz w:val="22"/>
          <w:szCs w:val="22"/>
          <w:rtl/>
        </w:rPr>
      </w:pPr>
    </w:p>
    <w:p w:rsidR="005366A8" w:rsidRDefault="005366A8" w:rsidP="005366A8">
      <w:pPr>
        <w:jc w:val="center"/>
        <w:rPr>
          <w:rFonts w:asciiTheme="majorBidi" w:hAnsiTheme="majorBidi" w:cstheme="majorBidi"/>
          <w:b/>
          <w:bCs/>
          <w:u w:val="single"/>
          <w:rtl/>
        </w:rPr>
      </w:pPr>
      <w:r w:rsidRPr="00A61536">
        <w:rPr>
          <w:rFonts w:asciiTheme="majorBidi" w:hAnsiTheme="majorBidi" w:cstheme="majorBidi"/>
          <w:b/>
          <w:bCs/>
          <w:u w:val="single"/>
          <w:rtl/>
        </w:rPr>
        <w:t>כמה משפטי קישור או הבהרה</w:t>
      </w:r>
      <w:r>
        <w:rPr>
          <w:rFonts w:asciiTheme="majorBidi" w:hAnsiTheme="majorBidi" w:cstheme="majorBidi" w:hint="cs"/>
          <w:b/>
          <w:bCs/>
          <w:u w:val="single"/>
          <w:rtl/>
        </w:rPr>
        <w:t xml:space="preserve"> ביחס למתקלים של דינים, ובאשר לדיונינו עד עתה</w:t>
      </w:r>
    </w:p>
    <w:p w:rsidR="005366A8" w:rsidRPr="00A61536" w:rsidRDefault="005366A8" w:rsidP="005366A8">
      <w:pPr>
        <w:jc w:val="center"/>
        <w:rPr>
          <w:rFonts w:asciiTheme="majorBidi" w:hAnsiTheme="majorBidi" w:cstheme="majorBidi"/>
          <w:b/>
          <w:bCs/>
          <w:u w:val="single"/>
          <w:rtl/>
        </w:rPr>
      </w:pPr>
    </w:p>
    <w:p w:rsidR="005366A8" w:rsidRPr="00A61536" w:rsidRDefault="005366A8" w:rsidP="005366A8">
      <w:pPr>
        <w:spacing w:after="120"/>
        <w:rPr>
          <w:rFonts w:asciiTheme="majorBidi" w:hAnsiTheme="majorBidi" w:cstheme="majorBidi"/>
          <w:rtl/>
        </w:rPr>
      </w:pPr>
      <w:r w:rsidRPr="00A61536">
        <w:rPr>
          <w:rFonts w:asciiTheme="majorBidi" w:hAnsiTheme="majorBidi" w:cstheme="majorBidi"/>
          <w:rtl/>
        </w:rPr>
        <w:t xml:space="preserve">בעת שדיברנו על "החוקה המהותית" של ישראל דיברנו על </w:t>
      </w:r>
      <w:r w:rsidRPr="00A61536">
        <w:rPr>
          <w:rFonts w:asciiTheme="majorBidi" w:hAnsiTheme="majorBidi" w:cstheme="majorBidi"/>
          <w:b/>
          <w:bCs/>
          <w:rtl/>
        </w:rPr>
        <w:t>ערכי היסוד של שיטת המשפט הישראלית</w:t>
      </w:r>
      <w:r w:rsidRPr="00A61536">
        <w:rPr>
          <w:rFonts w:asciiTheme="majorBidi" w:hAnsiTheme="majorBidi" w:cstheme="majorBidi"/>
          <w:rtl/>
        </w:rPr>
        <w:t>.</w:t>
      </w:r>
    </w:p>
    <w:p w:rsidR="005366A8" w:rsidRPr="00A61536" w:rsidRDefault="005366A8" w:rsidP="005366A8">
      <w:pPr>
        <w:spacing w:after="120"/>
        <w:rPr>
          <w:rFonts w:asciiTheme="majorBidi" w:hAnsiTheme="majorBidi" w:cstheme="majorBidi"/>
          <w:rtl/>
        </w:rPr>
      </w:pPr>
      <w:r w:rsidRPr="00A61536">
        <w:rPr>
          <w:rFonts w:asciiTheme="majorBidi" w:hAnsiTheme="majorBidi" w:cstheme="majorBidi"/>
          <w:rtl/>
        </w:rPr>
        <w:t xml:space="preserve">דיברנו על </w:t>
      </w:r>
      <w:r w:rsidRPr="00A61536">
        <w:rPr>
          <w:rFonts w:asciiTheme="majorBidi" w:hAnsiTheme="majorBidi" w:cstheme="majorBidi"/>
          <w:b/>
          <w:bCs/>
          <w:rtl/>
        </w:rPr>
        <w:t>פרשנות</w:t>
      </w:r>
      <w:r w:rsidRPr="00A61536">
        <w:rPr>
          <w:rFonts w:asciiTheme="majorBidi" w:hAnsiTheme="majorBidi" w:cstheme="majorBidi"/>
          <w:rtl/>
        </w:rPr>
        <w:t xml:space="preserve"> שנעשית בהשראתם של ערכי יסוד אלה (</w:t>
      </w:r>
      <w:r>
        <w:rPr>
          <w:rFonts w:asciiTheme="majorBidi" w:hAnsiTheme="majorBidi" w:cstheme="majorBidi" w:hint="cs"/>
          <w:rtl/>
        </w:rPr>
        <w:t>"</w:t>
      </w:r>
      <w:r w:rsidRPr="00A61536">
        <w:rPr>
          <w:rFonts w:asciiTheme="majorBidi" w:hAnsiTheme="majorBidi" w:cstheme="majorBidi"/>
          <w:rtl/>
        </w:rPr>
        <w:t>הפרשנות התכליתית</w:t>
      </w:r>
      <w:r>
        <w:rPr>
          <w:rFonts w:asciiTheme="majorBidi" w:hAnsiTheme="majorBidi" w:cstheme="majorBidi" w:hint="cs"/>
          <w:rtl/>
        </w:rPr>
        <w:t>"</w:t>
      </w:r>
      <w:r w:rsidRPr="00A61536">
        <w:rPr>
          <w:rFonts w:asciiTheme="majorBidi" w:hAnsiTheme="majorBidi" w:cstheme="majorBidi"/>
          <w:rtl/>
        </w:rPr>
        <w:t xml:space="preserve"> של הדין, הפונה </w:t>
      </w:r>
      <w:r>
        <w:rPr>
          <w:rFonts w:asciiTheme="majorBidi" w:hAnsiTheme="majorBidi" w:cstheme="majorBidi" w:hint="cs"/>
          <w:rtl/>
        </w:rPr>
        <w:t xml:space="preserve">אמנם </w:t>
      </w:r>
      <w:r w:rsidRPr="00A61536">
        <w:rPr>
          <w:rFonts w:asciiTheme="majorBidi" w:hAnsiTheme="majorBidi" w:cstheme="majorBidi"/>
          <w:rtl/>
        </w:rPr>
        <w:t xml:space="preserve">גם לתכליות המיוחדות של הוראת דין כזו או אחרת, אך גם </w:t>
      </w:r>
      <w:r>
        <w:rPr>
          <w:rFonts w:asciiTheme="majorBidi" w:hAnsiTheme="majorBidi" w:cstheme="majorBidi" w:hint="cs"/>
          <w:rtl/>
        </w:rPr>
        <w:t xml:space="preserve">פונה במקביל </w:t>
      </w:r>
      <w:r w:rsidRPr="00A61536">
        <w:rPr>
          <w:rFonts w:asciiTheme="majorBidi" w:hAnsiTheme="majorBidi" w:cstheme="majorBidi"/>
          <w:rtl/>
        </w:rPr>
        <w:t>לתכליות הכלליות של הדין</w:t>
      </w:r>
      <w:r>
        <w:rPr>
          <w:rFonts w:asciiTheme="majorBidi" w:hAnsiTheme="majorBidi" w:cstheme="majorBidi" w:hint="cs"/>
          <w:rtl/>
        </w:rPr>
        <w:t>, כל דין</w:t>
      </w:r>
      <w:r w:rsidRPr="00A61536">
        <w:rPr>
          <w:rFonts w:asciiTheme="majorBidi" w:hAnsiTheme="majorBidi" w:cstheme="majorBidi"/>
          <w:rtl/>
        </w:rPr>
        <w:t xml:space="preserve"> </w:t>
      </w:r>
      <w:r>
        <w:rPr>
          <w:rFonts w:asciiTheme="majorBidi" w:hAnsiTheme="majorBidi" w:cstheme="majorBidi" w:hint="cs"/>
          <w:rtl/>
        </w:rPr>
        <w:t>–</w:t>
      </w:r>
      <w:r w:rsidRPr="00A61536">
        <w:rPr>
          <w:rFonts w:asciiTheme="majorBidi" w:hAnsiTheme="majorBidi" w:cstheme="majorBidi"/>
          <w:rtl/>
        </w:rPr>
        <w:t xml:space="preserve"> שהן לשרת את אותם ערכי יסוד</w:t>
      </w:r>
      <w:r>
        <w:rPr>
          <w:rFonts w:asciiTheme="majorBidi" w:hAnsiTheme="majorBidi" w:cstheme="majorBidi" w:hint="cs"/>
          <w:rtl/>
        </w:rPr>
        <w:t>,</w:t>
      </w:r>
      <w:r w:rsidRPr="00A61536">
        <w:rPr>
          <w:rFonts w:asciiTheme="majorBidi" w:hAnsiTheme="majorBidi" w:cstheme="majorBidi"/>
          <w:rtl/>
        </w:rPr>
        <w:t xml:space="preserve"> </w:t>
      </w:r>
      <w:r>
        <w:rPr>
          <w:rFonts w:asciiTheme="majorBidi" w:hAnsiTheme="majorBidi" w:cstheme="majorBidi" w:hint="cs"/>
          <w:rtl/>
        </w:rPr>
        <w:t>ולחתור ל</w:t>
      </w:r>
      <w:r w:rsidRPr="00A61536">
        <w:rPr>
          <w:rFonts w:asciiTheme="majorBidi" w:hAnsiTheme="majorBidi" w:cstheme="majorBidi"/>
          <w:rtl/>
        </w:rPr>
        <w:t>איזון ה</w:t>
      </w:r>
      <w:r>
        <w:rPr>
          <w:rFonts w:asciiTheme="majorBidi" w:hAnsiTheme="majorBidi" w:cstheme="majorBidi" w:hint="cs"/>
          <w:rtl/>
        </w:rPr>
        <w:t xml:space="preserve">ראוי ביניהם בעת שמופיע </w:t>
      </w:r>
      <w:r w:rsidRPr="00A61536">
        <w:rPr>
          <w:rFonts w:asciiTheme="majorBidi" w:hAnsiTheme="majorBidi" w:cstheme="majorBidi"/>
          <w:rtl/>
        </w:rPr>
        <w:t>מתח בינם לבין עצמם).</w:t>
      </w:r>
    </w:p>
    <w:p w:rsidR="005366A8" w:rsidRPr="00A61536" w:rsidRDefault="005366A8" w:rsidP="005366A8">
      <w:pPr>
        <w:spacing w:after="120"/>
        <w:rPr>
          <w:rFonts w:asciiTheme="majorBidi" w:hAnsiTheme="majorBidi" w:cstheme="majorBidi"/>
          <w:rtl/>
        </w:rPr>
      </w:pPr>
      <w:r w:rsidRPr="00A61536">
        <w:rPr>
          <w:rFonts w:asciiTheme="majorBidi" w:hAnsiTheme="majorBidi" w:cstheme="majorBidi"/>
          <w:rtl/>
        </w:rPr>
        <w:t xml:space="preserve">דיברנו גם על </w:t>
      </w:r>
      <w:r>
        <w:rPr>
          <w:rFonts w:asciiTheme="majorBidi" w:hAnsiTheme="majorBidi" w:cstheme="majorBidi" w:hint="cs"/>
          <w:rtl/>
        </w:rPr>
        <w:t>"</w:t>
      </w:r>
      <w:r w:rsidRPr="00A61536">
        <w:rPr>
          <w:rFonts w:asciiTheme="majorBidi" w:hAnsiTheme="majorBidi" w:cstheme="majorBidi"/>
          <w:rtl/>
        </w:rPr>
        <w:t>מתקלים</w:t>
      </w:r>
      <w:r>
        <w:rPr>
          <w:rFonts w:asciiTheme="majorBidi" w:hAnsiTheme="majorBidi" w:cstheme="majorBidi" w:hint="cs"/>
          <w:rtl/>
        </w:rPr>
        <w:t>"</w:t>
      </w:r>
      <w:r w:rsidRPr="00A61536">
        <w:rPr>
          <w:rFonts w:asciiTheme="majorBidi" w:hAnsiTheme="majorBidi" w:cstheme="majorBidi"/>
          <w:rtl/>
        </w:rPr>
        <w:t xml:space="preserve"> </w:t>
      </w:r>
      <w:r>
        <w:rPr>
          <w:rFonts w:asciiTheme="majorBidi" w:hAnsiTheme="majorBidi" w:cstheme="majorBidi" w:hint="cs"/>
          <w:rtl/>
        </w:rPr>
        <w:t xml:space="preserve">שונים, כמו </w:t>
      </w:r>
      <w:r w:rsidRPr="00A61536">
        <w:rPr>
          <w:rFonts w:asciiTheme="majorBidi" w:hAnsiTheme="majorBidi" w:cstheme="majorBidi"/>
          <w:rtl/>
        </w:rPr>
        <w:t>בין "פעולות מינהל"</w:t>
      </w:r>
      <w:r>
        <w:rPr>
          <w:rFonts w:asciiTheme="majorBidi" w:hAnsiTheme="majorBidi" w:cstheme="majorBidi" w:hint="cs"/>
          <w:rtl/>
        </w:rPr>
        <w:t xml:space="preserve"> למיניהן</w:t>
      </w:r>
      <w:r w:rsidRPr="00A61536">
        <w:rPr>
          <w:rFonts w:asciiTheme="majorBidi" w:hAnsiTheme="majorBidi" w:cstheme="majorBidi"/>
          <w:rtl/>
        </w:rPr>
        <w:t xml:space="preserve"> – דוגמת סגירת משרדי הרישוי בפני המאכרים (</w:t>
      </w:r>
      <w:r w:rsidRPr="00A61536">
        <w:rPr>
          <w:rFonts w:asciiTheme="majorBidi" w:hAnsiTheme="majorBidi" w:cstheme="majorBidi"/>
          <w:b/>
          <w:bCs/>
          <w:rtl/>
        </w:rPr>
        <w:t>בז'רנו</w:t>
      </w:r>
      <w:r w:rsidRPr="00A61536">
        <w:rPr>
          <w:rFonts w:asciiTheme="majorBidi" w:hAnsiTheme="majorBidi" w:cstheme="majorBidi"/>
          <w:rtl/>
        </w:rPr>
        <w:t>) או הסירוב להשכיר רכוש ציבורי מטעמים מפלים (</w:t>
      </w:r>
      <w:r w:rsidRPr="00A61536">
        <w:rPr>
          <w:rFonts w:asciiTheme="majorBidi" w:hAnsiTheme="majorBidi" w:cstheme="majorBidi"/>
          <w:b/>
          <w:bCs/>
          <w:rtl/>
        </w:rPr>
        <w:t>פרץ נ' כפר שמריהו</w:t>
      </w:r>
      <w:r w:rsidRPr="00A61536">
        <w:rPr>
          <w:rFonts w:asciiTheme="majorBidi" w:hAnsiTheme="majorBidi" w:cstheme="majorBidi"/>
          <w:rtl/>
        </w:rPr>
        <w:t>) – לבין זכויות האדם שבית המשפט הכיר בהם כחלק מהמשפט הישראלי (רובד "המשפט המקובל נוסח ישראל").</w:t>
      </w:r>
    </w:p>
    <w:p w:rsidR="005366A8" w:rsidRPr="00A61536" w:rsidRDefault="005366A8" w:rsidP="005366A8">
      <w:pPr>
        <w:spacing w:after="120"/>
        <w:rPr>
          <w:rFonts w:asciiTheme="majorBidi" w:hAnsiTheme="majorBidi" w:cstheme="majorBidi"/>
          <w:rtl/>
        </w:rPr>
      </w:pPr>
      <w:r w:rsidRPr="00A61536">
        <w:rPr>
          <w:rFonts w:asciiTheme="majorBidi" w:hAnsiTheme="majorBidi" w:cstheme="majorBidi"/>
          <w:rtl/>
        </w:rPr>
        <w:t xml:space="preserve">מאז התפתח המשפט הישראלי. </w:t>
      </w:r>
    </w:p>
    <w:p w:rsidR="005366A8" w:rsidRPr="00A61536" w:rsidRDefault="005366A8" w:rsidP="005366A8">
      <w:pPr>
        <w:spacing w:after="120"/>
        <w:rPr>
          <w:rFonts w:asciiTheme="majorBidi" w:hAnsiTheme="majorBidi" w:cstheme="majorBidi"/>
          <w:rtl/>
        </w:rPr>
      </w:pPr>
      <w:r w:rsidRPr="00A61536">
        <w:rPr>
          <w:rFonts w:asciiTheme="majorBidi" w:hAnsiTheme="majorBidi" w:cstheme="majorBidi"/>
          <w:b/>
          <w:bCs/>
          <w:rtl/>
        </w:rPr>
        <w:t xml:space="preserve">חלק מזכויות האדם זכו </w:t>
      </w:r>
      <w:r>
        <w:rPr>
          <w:rFonts w:asciiTheme="majorBidi" w:hAnsiTheme="majorBidi" w:cstheme="majorBidi" w:hint="cs"/>
          <w:b/>
          <w:bCs/>
          <w:rtl/>
        </w:rPr>
        <w:t xml:space="preserve">עתה </w:t>
      </w:r>
      <w:r w:rsidRPr="00A61536">
        <w:rPr>
          <w:rFonts w:asciiTheme="majorBidi" w:hAnsiTheme="majorBidi" w:cstheme="majorBidi"/>
          <w:b/>
          <w:bCs/>
          <w:rtl/>
        </w:rPr>
        <w:t>להגנה בחקיקה של הכנסת</w:t>
      </w:r>
      <w:r w:rsidRPr="00A61536">
        <w:rPr>
          <w:rFonts w:asciiTheme="majorBidi" w:hAnsiTheme="majorBidi" w:cstheme="majorBidi"/>
          <w:rtl/>
        </w:rPr>
        <w:t xml:space="preserve"> – זכויות חברתיות חשובות מאד – דוגמת חינוך, בריאות, רווחה, שיכון – אך גם זכויות אדם במישור חירותו – בנושא מעצרים וחיפוש, ביחס להעמדה לדין פלילי, ביחס להאזנת סתר, פגיעה בפרטיות ועוד ועוד.</w:t>
      </w:r>
    </w:p>
    <w:p w:rsidR="005366A8" w:rsidRPr="00A61536" w:rsidRDefault="005366A8" w:rsidP="005366A8">
      <w:pPr>
        <w:spacing w:after="120"/>
        <w:rPr>
          <w:rFonts w:asciiTheme="majorBidi" w:hAnsiTheme="majorBidi" w:cstheme="majorBidi"/>
          <w:rtl/>
        </w:rPr>
      </w:pPr>
      <w:r w:rsidRPr="00A61536">
        <w:rPr>
          <w:rFonts w:asciiTheme="majorBidi" w:hAnsiTheme="majorBidi" w:cstheme="majorBidi"/>
          <w:b/>
          <w:bCs/>
          <w:rtl/>
        </w:rPr>
        <w:t>ואז במחצית הראשונה של שנות ה-90 מגיעים חוקי היסוד של זכויות האדם</w:t>
      </w:r>
      <w:r w:rsidRPr="00A61536">
        <w:rPr>
          <w:rFonts w:asciiTheme="majorBidi" w:hAnsiTheme="majorBidi" w:cstheme="majorBidi"/>
          <w:rtl/>
        </w:rPr>
        <w:t xml:space="preserve">, ובעקבותיהם פס"ד </w:t>
      </w:r>
      <w:r w:rsidRPr="00A61536">
        <w:rPr>
          <w:rFonts w:asciiTheme="majorBidi" w:hAnsiTheme="majorBidi" w:cstheme="majorBidi"/>
          <w:b/>
          <w:bCs/>
          <w:rtl/>
        </w:rPr>
        <w:t>בנק המזרחי</w:t>
      </w:r>
      <w:r w:rsidRPr="00A61536">
        <w:rPr>
          <w:rFonts w:asciiTheme="majorBidi" w:hAnsiTheme="majorBidi" w:cstheme="majorBidi"/>
          <w:rtl/>
        </w:rPr>
        <w:t xml:space="preserve">, </w:t>
      </w:r>
      <w:r w:rsidRPr="009B2700">
        <w:rPr>
          <w:rFonts w:asciiTheme="majorBidi" w:hAnsiTheme="majorBidi" w:cstheme="majorBidi"/>
          <w:b/>
          <w:bCs/>
          <w:highlight w:val="yellow"/>
          <w:rtl/>
        </w:rPr>
        <w:t xml:space="preserve">ו"המהפכה החוקתית" </w:t>
      </w:r>
      <w:r w:rsidRPr="009B2700">
        <w:rPr>
          <w:rFonts w:asciiTheme="majorBidi" w:hAnsiTheme="majorBidi" w:cstheme="majorBidi"/>
          <w:highlight w:val="yellow"/>
          <w:rtl/>
        </w:rPr>
        <w:t>מתגבשת.</w:t>
      </w:r>
    </w:p>
    <w:p w:rsidR="005366A8" w:rsidRDefault="005366A8" w:rsidP="005366A8">
      <w:pPr>
        <w:spacing w:after="120"/>
        <w:rPr>
          <w:rFonts w:asciiTheme="majorBidi" w:hAnsiTheme="majorBidi" w:cstheme="majorBidi"/>
          <w:rtl/>
        </w:rPr>
      </w:pPr>
      <w:r>
        <w:rPr>
          <w:rFonts w:asciiTheme="majorBidi" w:hAnsiTheme="majorBidi" w:cstheme="majorBidi" w:hint="cs"/>
          <w:rtl/>
        </w:rPr>
        <w:t xml:space="preserve">מהי "המהפכה החוקתית"? </w:t>
      </w:r>
    </w:p>
    <w:p w:rsidR="005366A8" w:rsidRDefault="005366A8" w:rsidP="005366A8">
      <w:pPr>
        <w:spacing w:after="120"/>
        <w:ind w:left="720"/>
        <w:rPr>
          <w:rFonts w:asciiTheme="majorBidi" w:hAnsiTheme="majorBidi" w:cstheme="majorBidi"/>
          <w:rtl/>
        </w:rPr>
      </w:pPr>
      <w:r>
        <w:rPr>
          <w:rFonts w:asciiTheme="majorBidi" w:hAnsiTheme="majorBidi" w:cstheme="majorBidi" w:hint="cs"/>
          <w:rtl/>
        </w:rPr>
        <w:t xml:space="preserve">א. ממודל משטרי ווסטמינסטריאלי – של הפרלמנט כ"ריבון" שאין ערעור על תחיקתו -&gt; הפיכתה של ישראל לסוג של דמוקרטיה פרלמנטארית-חוקתית. </w:t>
      </w:r>
    </w:p>
    <w:p w:rsidR="005366A8" w:rsidRDefault="005366A8" w:rsidP="005366A8">
      <w:pPr>
        <w:spacing w:after="120"/>
        <w:ind w:left="1440"/>
        <w:rPr>
          <w:rFonts w:asciiTheme="majorBidi" w:hAnsiTheme="majorBidi" w:cstheme="majorBidi"/>
          <w:rtl/>
        </w:rPr>
      </w:pPr>
      <w:r>
        <w:rPr>
          <w:rFonts w:asciiTheme="majorBidi" w:hAnsiTheme="majorBidi" w:cstheme="majorBidi" w:hint="cs"/>
          <w:rtl/>
        </w:rPr>
        <w:t>אלא שחוקתה של ישראל היא בעייתית מטעמים שעליהם דיברנו בפגישות קודמות.</w:t>
      </w:r>
    </w:p>
    <w:p w:rsidR="005366A8" w:rsidRDefault="005366A8" w:rsidP="005366A8">
      <w:pPr>
        <w:spacing w:after="120"/>
        <w:ind w:left="720"/>
        <w:rPr>
          <w:rFonts w:asciiTheme="majorBidi" w:hAnsiTheme="majorBidi" w:cstheme="majorBidi"/>
          <w:rtl/>
        </w:rPr>
      </w:pPr>
      <w:r>
        <w:rPr>
          <w:rFonts w:asciiTheme="majorBidi" w:hAnsiTheme="majorBidi" w:cstheme="majorBidi" w:hint="cs"/>
          <w:rtl/>
        </w:rPr>
        <w:t>ב. מה המשמעות הגדולה של השינוי הזה?</w:t>
      </w:r>
    </w:p>
    <w:p w:rsidR="005366A8" w:rsidRDefault="005366A8" w:rsidP="005366A8">
      <w:pPr>
        <w:spacing w:after="120"/>
        <w:ind w:left="1440"/>
        <w:rPr>
          <w:rFonts w:asciiTheme="majorBidi" w:hAnsiTheme="majorBidi" w:cstheme="majorBidi"/>
          <w:rtl/>
        </w:rPr>
      </w:pPr>
      <w:r>
        <w:rPr>
          <w:rFonts w:asciiTheme="majorBidi" w:hAnsiTheme="majorBidi" w:cstheme="majorBidi" w:hint="cs"/>
          <w:rtl/>
        </w:rPr>
        <w:t xml:space="preserve">1. </w:t>
      </w:r>
      <w:r w:rsidRPr="00A61536">
        <w:rPr>
          <w:rFonts w:asciiTheme="majorBidi" w:hAnsiTheme="majorBidi" w:cstheme="majorBidi"/>
          <w:rtl/>
        </w:rPr>
        <w:t>אם בעבר זכויות היסוד היו כפופות לאפשרות סיוגן</w:t>
      </w:r>
      <w:r>
        <w:rPr>
          <w:rFonts w:asciiTheme="majorBidi" w:hAnsiTheme="majorBidi" w:cstheme="majorBidi" w:hint="cs"/>
          <w:rtl/>
        </w:rPr>
        <w:t>/</w:t>
      </w:r>
      <w:r w:rsidRPr="00A61536">
        <w:rPr>
          <w:rFonts w:asciiTheme="majorBidi" w:hAnsiTheme="majorBidi" w:cstheme="majorBidi"/>
          <w:rtl/>
        </w:rPr>
        <w:t xml:space="preserve">שלילתן בחקיקה של הכנסת, עתה, בעקבות המהפכה החוקתית, תוקפם של חוקים מותנה בהתיישבותם עם הוראות חוקתיות – אלו המגוננות על זכויות אדם רבות (אך לא </w:t>
      </w:r>
      <w:r>
        <w:rPr>
          <w:rFonts w:asciiTheme="majorBidi" w:hAnsiTheme="majorBidi" w:cstheme="majorBidi" w:hint="cs"/>
          <w:rtl/>
        </w:rPr>
        <w:t xml:space="preserve">על </w:t>
      </w:r>
      <w:r w:rsidRPr="00A61536">
        <w:rPr>
          <w:rFonts w:asciiTheme="majorBidi" w:hAnsiTheme="majorBidi" w:cstheme="majorBidi"/>
          <w:rtl/>
        </w:rPr>
        <w:t>כל זכויות האדם)</w:t>
      </w:r>
      <w:r>
        <w:rPr>
          <w:rFonts w:asciiTheme="majorBidi" w:hAnsiTheme="majorBidi" w:cstheme="majorBidi" w:hint="cs"/>
          <w:rtl/>
        </w:rPr>
        <w:t>,</w:t>
      </w:r>
      <w:r w:rsidRPr="00A61536">
        <w:rPr>
          <w:rFonts w:asciiTheme="majorBidi" w:hAnsiTheme="majorBidi" w:cstheme="majorBidi"/>
          <w:rtl/>
        </w:rPr>
        <w:t xml:space="preserve"> אך גם מאפשרות להגבילן – אם </w:t>
      </w:r>
      <w:r>
        <w:rPr>
          <w:rFonts w:asciiTheme="majorBidi" w:hAnsiTheme="majorBidi" w:cstheme="majorBidi" w:hint="cs"/>
          <w:rtl/>
        </w:rPr>
        <w:t xml:space="preserve">ההסדר המגביל המופיע בחוק (או מכוח הסמכה מפורשת בחוק) </w:t>
      </w:r>
      <w:r w:rsidRPr="00A61536">
        <w:rPr>
          <w:rFonts w:asciiTheme="majorBidi" w:hAnsiTheme="majorBidi" w:cstheme="majorBidi"/>
          <w:rtl/>
        </w:rPr>
        <w:t>מקיי</w:t>
      </w:r>
      <w:r>
        <w:rPr>
          <w:rFonts w:asciiTheme="majorBidi" w:hAnsiTheme="majorBidi" w:cstheme="majorBidi" w:hint="cs"/>
          <w:rtl/>
        </w:rPr>
        <w:t>ם את</w:t>
      </w:r>
      <w:r w:rsidRPr="00A61536">
        <w:rPr>
          <w:rFonts w:asciiTheme="majorBidi" w:hAnsiTheme="majorBidi" w:cstheme="majorBidi"/>
          <w:rtl/>
        </w:rPr>
        <w:t xml:space="preserve"> דרישותיה של פסקת ההגבלה.</w:t>
      </w:r>
    </w:p>
    <w:p w:rsidR="005366A8" w:rsidRDefault="005366A8" w:rsidP="005366A8">
      <w:pPr>
        <w:spacing w:after="120"/>
        <w:ind w:left="1440"/>
        <w:rPr>
          <w:rFonts w:asciiTheme="majorBidi" w:hAnsiTheme="majorBidi" w:cstheme="majorBidi"/>
          <w:rtl/>
        </w:rPr>
      </w:pPr>
      <w:r>
        <w:rPr>
          <w:rFonts w:asciiTheme="majorBidi" w:hAnsiTheme="majorBidi" w:cstheme="majorBidi" w:hint="cs"/>
          <w:rtl/>
        </w:rPr>
        <w:t>במילים אחרות, רוב זכויות האדם המרכזיות (וכן הסדרי-יסוד נוספים) שינו את מיקומן בפירמידה הנורמטיבית, והן עלו "שתי קומות" – זכויות אדם עלו מהמשפט המקובל נוסח ישראל אל חוקי היסוד – או עלו קומה אחת, מדרגה השווה לחוקים לדרגה העליונה על חוקים (חוקי היסוד המוסדיים: הממשלה, נשיא המדינה, מבקר המדינה, הצבא, ירושלים בירת ישראל וכדומה).</w:t>
      </w:r>
    </w:p>
    <w:p w:rsidR="005366A8" w:rsidRPr="00225722" w:rsidRDefault="005366A8" w:rsidP="005366A8">
      <w:pPr>
        <w:spacing w:after="120"/>
        <w:ind w:left="1440"/>
        <w:rPr>
          <w:rFonts w:asciiTheme="majorBidi" w:hAnsiTheme="majorBidi" w:cstheme="majorBidi"/>
          <w:rtl/>
        </w:rPr>
      </w:pPr>
      <w:r>
        <w:rPr>
          <w:rFonts w:asciiTheme="majorBidi" w:hAnsiTheme="majorBidi" w:cstheme="majorBidi" w:hint="cs"/>
          <w:rtl/>
        </w:rPr>
        <w:t>2</w:t>
      </w:r>
      <w:r w:rsidRPr="00225722">
        <w:rPr>
          <w:rFonts w:asciiTheme="majorBidi" w:hAnsiTheme="majorBidi" w:cstheme="majorBidi"/>
          <w:rtl/>
        </w:rPr>
        <w:t xml:space="preserve">. הקניית הסמכות לבתי המשפט ל"ביקורת שיפוטית חוקתית" – ביקורת על תוקפם של </w:t>
      </w:r>
      <w:r w:rsidRPr="00225722">
        <w:rPr>
          <w:rFonts w:asciiTheme="majorBidi" w:hAnsiTheme="majorBidi" w:cstheme="majorBidi"/>
          <w:u w:val="single"/>
          <w:rtl/>
        </w:rPr>
        <w:t>חוקים</w:t>
      </w:r>
      <w:r w:rsidRPr="00225722">
        <w:rPr>
          <w:rFonts w:asciiTheme="majorBidi" w:hAnsiTheme="majorBidi" w:cstheme="majorBidi"/>
          <w:rtl/>
        </w:rPr>
        <w:t>.</w:t>
      </w:r>
    </w:p>
    <w:p w:rsidR="005366A8" w:rsidRDefault="005366A8" w:rsidP="005366A8">
      <w:pPr>
        <w:spacing w:after="120"/>
        <w:rPr>
          <w:rFonts w:asciiTheme="majorBidi" w:hAnsiTheme="majorBidi" w:cstheme="majorBidi"/>
          <w:rtl/>
        </w:rPr>
      </w:pPr>
      <w:r>
        <w:rPr>
          <w:rFonts w:asciiTheme="majorBidi" w:hAnsiTheme="majorBidi" w:cstheme="majorBidi" w:hint="cs"/>
          <w:rtl/>
        </w:rPr>
        <w:t>בפגישות האחרונות עסקנו ב"מתקלים" חדשים המאפיינים את התקופה של אחרי המהפכה החוקתית, ואולם שימו לב שהמתקלים "הישנים" – אלו שבין, למשל, פעולות מינהל למיניהן לבין המשפט המקובל נוסח ישראל, נותרו גם נותרו.</w:t>
      </w:r>
    </w:p>
    <w:p w:rsidR="005366A8" w:rsidRDefault="005366A8" w:rsidP="005366A8">
      <w:pPr>
        <w:spacing w:after="120"/>
        <w:rPr>
          <w:rFonts w:asciiTheme="majorBidi" w:hAnsiTheme="majorBidi" w:cstheme="majorBidi"/>
          <w:rtl/>
        </w:rPr>
      </w:pPr>
      <w:r>
        <w:rPr>
          <w:rFonts w:asciiTheme="majorBidi" w:hAnsiTheme="majorBidi" w:cstheme="majorBidi" w:hint="cs"/>
          <w:rtl/>
        </w:rPr>
        <w:t>מה המתקלים החדשים שפגשנו?</w:t>
      </w:r>
    </w:p>
    <w:p w:rsidR="005366A8" w:rsidRDefault="005366A8" w:rsidP="005366A8">
      <w:pPr>
        <w:spacing w:after="120"/>
        <w:ind w:left="1440" w:hanging="720"/>
        <w:rPr>
          <w:rFonts w:asciiTheme="majorBidi" w:hAnsiTheme="majorBidi" w:cstheme="majorBidi"/>
          <w:rtl/>
        </w:rPr>
      </w:pPr>
      <w:r>
        <w:rPr>
          <w:rFonts w:asciiTheme="majorBidi" w:hAnsiTheme="majorBidi" w:cstheme="majorBidi" w:hint="cs"/>
          <w:rtl/>
        </w:rPr>
        <w:t xml:space="preserve">פגשנו מתח בין החוקה הפורמאלית לבין החוקה המהותית – פסק דין </w:t>
      </w:r>
      <w:r w:rsidRPr="00225722">
        <w:rPr>
          <w:rFonts w:asciiTheme="majorBidi" w:hAnsiTheme="majorBidi" w:cstheme="majorBidi" w:hint="cs"/>
          <w:b/>
          <w:bCs/>
          <w:rtl/>
        </w:rPr>
        <w:t>בר-און</w:t>
      </w:r>
      <w:r>
        <w:rPr>
          <w:rFonts w:asciiTheme="majorBidi" w:hAnsiTheme="majorBidi" w:cstheme="majorBidi" w:hint="cs"/>
          <w:rtl/>
        </w:rPr>
        <w:t>, ותקיפתו של חוק יסוד תקציב המדינה הדו-שנתי;</w:t>
      </w:r>
    </w:p>
    <w:p w:rsidR="005366A8" w:rsidRDefault="005366A8" w:rsidP="005366A8">
      <w:pPr>
        <w:spacing w:after="120"/>
        <w:ind w:left="1440" w:hanging="720"/>
        <w:rPr>
          <w:rFonts w:asciiTheme="majorBidi" w:hAnsiTheme="majorBidi" w:cstheme="majorBidi"/>
          <w:rtl/>
        </w:rPr>
      </w:pPr>
      <w:r>
        <w:rPr>
          <w:rFonts w:asciiTheme="majorBidi" w:hAnsiTheme="majorBidi" w:cstheme="majorBidi" w:hint="cs"/>
          <w:rtl/>
        </w:rPr>
        <w:t xml:space="preserve">פגשנו מתח/ מתקל אפשרי בין הוראה חוקתית אחת לבין הוראה חוקתית אחרת – פס"ד </w:t>
      </w:r>
      <w:r w:rsidRPr="00225722">
        <w:rPr>
          <w:rFonts w:asciiTheme="majorBidi" w:hAnsiTheme="majorBidi" w:cstheme="majorBidi" w:hint="cs"/>
          <w:b/>
          <w:bCs/>
          <w:rtl/>
        </w:rPr>
        <w:t>פלוני</w:t>
      </w:r>
      <w:r>
        <w:rPr>
          <w:rFonts w:asciiTheme="majorBidi" w:hAnsiTheme="majorBidi" w:cstheme="majorBidi" w:hint="cs"/>
          <w:b/>
          <w:bCs/>
          <w:rtl/>
        </w:rPr>
        <w:t>ת נ' בית הדין המשמע</w:t>
      </w:r>
      <w:r w:rsidRPr="00225722">
        <w:rPr>
          <w:rFonts w:asciiTheme="majorBidi" w:hAnsiTheme="majorBidi" w:cstheme="majorBidi" w:hint="cs"/>
          <w:b/>
          <w:bCs/>
          <w:rtl/>
        </w:rPr>
        <w:t>ת</w:t>
      </w:r>
      <w:r>
        <w:rPr>
          <w:rFonts w:asciiTheme="majorBidi" w:hAnsiTheme="majorBidi" w:cstheme="majorBidi" w:hint="cs"/>
          <w:b/>
          <w:bCs/>
          <w:rtl/>
        </w:rPr>
        <w:t>י,</w:t>
      </w:r>
      <w:r>
        <w:rPr>
          <w:rFonts w:asciiTheme="majorBidi" w:hAnsiTheme="majorBidi" w:cstheme="majorBidi" w:hint="cs"/>
          <w:rtl/>
        </w:rPr>
        <w:t xml:space="preserve"> בנושא פומביות הדיון לעומת פרטיות הנאשם </w:t>
      </w:r>
    </w:p>
    <w:p w:rsidR="005366A8" w:rsidRDefault="005366A8" w:rsidP="005366A8">
      <w:pPr>
        <w:spacing w:after="120"/>
        <w:ind w:left="1440" w:hanging="720"/>
        <w:rPr>
          <w:rFonts w:asciiTheme="majorBidi" w:hAnsiTheme="majorBidi" w:cstheme="majorBidi"/>
          <w:rtl/>
        </w:rPr>
      </w:pPr>
      <w:r w:rsidRPr="00225722">
        <w:rPr>
          <w:rFonts w:asciiTheme="majorBidi" w:hAnsiTheme="majorBidi" w:cstheme="majorBidi" w:hint="cs"/>
          <w:b/>
          <w:bCs/>
          <w:rtl/>
        </w:rPr>
        <w:t>התחלנו גם לפגוש את המתקל השגור יותר, הטיפוסי יותר, זה שבין חוק לבין הוראת חוק יסוד</w:t>
      </w:r>
      <w:r>
        <w:rPr>
          <w:rFonts w:asciiTheme="majorBidi" w:hAnsiTheme="majorBidi" w:cstheme="majorBidi" w:hint="cs"/>
          <w:rtl/>
        </w:rPr>
        <w:t>:</w:t>
      </w:r>
    </w:p>
    <w:p w:rsidR="005366A8" w:rsidRDefault="005366A8" w:rsidP="005366A8">
      <w:pPr>
        <w:spacing w:after="120"/>
        <w:ind w:left="2160" w:hanging="720"/>
        <w:rPr>
          <w:rFonts w:asciiTheme="majorBidi" w:hAnsiTheme="majorBidi" w:cstheme="majorBidi"/>
          <w:rtl/>
        </w:rPr>
      </w:pPr>
      <w:r>
        <w:rPr>
          <w:rFonts w:asciiTheme="majorBidi" w:hAnsiTheme="majorBidi" w:cstheme="majorBidi" w:hint="cs"/>
          <w:rtl/>
        </w:rPr>
        <w:t xml:space="preserve">התחלנו מהמקרה שהוא קצת סבוך יותר, </w:t>
      </w:r>
      <w:r w:rsidRPr="00225722">
        <w:rPr>
          <w:rFonts w:asciiTheme="majorBidi" w:hAnsiTheme="majorBidi" w:cstheme="majorBidi" w:hint="cs"/>
          <w:b/>
          <w:bCs/>
          <w:rtl/>
        </w:rPr>
        <w:t>זה שבין חוק לבין הוראת חוק יסוד שאיננו מלווה בפסקת הגבלה</w:t>
      </w:r>
      <w:r>
        <w:rPr>
          <w:rFonts w:asciiTheme="majorBidi" w:hAnsiTheme="majorBidi" w:cstheme="majorBidi" w:hint="cs"/>
          <w:rtl/>
        </w:rPr>
        <w:t xml:space="preserve">. פגשנו כאן את </w:t>
      </w:r>
      <w:r w:rsidRPr="00225722">
        <w:rPr>
          <w:rFonts w:asciiTheme="majorBidi" w:hAnsiTheme="majorBidi" w:cstheme="majorBidi" w:hint="cs"/>
          <w:b/>
          <w:bCs/>
          <w:rtl/>
        </w:rPr>
        <w:t>"פסקת ההגבלה השיפוטית"</w:t>
      </w:r>
      <w:r>
        <w:rPr>
          <w:rFonts w:asciiTheme="majorBidi" w:hAnsiTheme="majorBidi" w:cstheme="majorBidi" w:hint="cs"/>
          <w:rtl/>
        </w:rPr>
        <w:t xml:space="preserve"> (שקרויה לעיתים, פסקת ההגבלה האנלוגית) – פס"ד </w:t>
      </w:r>
      <w:r w:rsidRPr="00225722">
        <w:rPr>
          <w:rFonts w:asciiTheme="majorBidi" w:hAnsiTheme="majorBidi" w:cstheme="majorBidi" w:hint="cs"/>
          <w:b/>
          <w:bCs/>
          <w:rtl/>
        </w:rPr>
        <w:t>מופז</w:t>
      </w:r>
      <w:r>
        <w:rPr>
          <w:rFonts w:asciiTheme="majorBidi" w:hAnsiTheme="majorBidi" w:cstheme="majorBidi" w:hint="cs"/>
          <w:rtl/>
        </w:rPr>
        <w:t>;</w:t>
      </w:r>
    </w:p>
    <w:p w:rsidR="005366A8" w:rsidRDefault="005366A8" w:rsidP="005366A8">
      <w:pPr>
        <w:spacing w:after="120"/>
        <w:ind w:left="2160" w:hanging="720"/>
        <w:rPr>
          <w:rFonts w:asciiTheme="majorBidi" w:hAnsiTheme="majorBidi" w:cstheme="majorBidi"/>
          <w:rtl/>
        </w:rPr>
      </w:pPr>
      <w:r>
        <w:rPr>
          <w:rFonts w:asciiTheme="majorBidi" w:hAnsiTheme="majorBidi" w:cstheme="majorBidi" w:hint="cs"/>
          <w:rtl/>
        </w:rPr>
        <w:t>עתה אנחנו נכנסים יותר לעומק של מרכיבי "פסקת ההגבלה".</w:t>
      </w:r>
    </w:p>
    <w:p w:rsidR="005366A8" w:rsidRPr="00225722" w:rsidRDefault="005366A8" w:rsidP="005366A8">
      <w:pPr>
        <w:spacing w:after="120"/>
        <w:ind w:left="2160" w:hanging="720"/>
        <w:rPr>
          <w:rFonts w:asciiTheme="majorBidi" w:hAnsiTheme="majorBidi" w:cstheme="majorBidi"/>
          <w:rtl/>
        </w:rPr>
      </w:pPr>
      <w:r>
        <w:rPr>
          <w:rFonts w:asciiTheme="majorBidi" w:hAnsiTheme="majorBidi" w:cstheme="majorBidi" w:hint="cs"/>
          <w:rtl/>
        </w:rPr>
        <w:t>אך לפני זה אנחנו מנסים להבין מהן זכויות האדם שזכו למעמד חוקתי, ומהן זכויות האדם שלא זכו למעמד זה.</w:t>
      </w:r>
    </w:p>
    <w:p w:rsidR="005366A8" w:rsidRPr="00225722" w:rsidRDefault="005366A8" w:rsidP="005366A8">
      <w:pPr>
        <w:spacing w:after="120"/>
        <w:rPr>
          <w:rFonts w:asciiTheme="majorBidi" w:hAnsiTheme="majorBidi" w:cstheme="majorBidi"/>
          <w:rtl/>
        </w:rPr>
      </w:pPr>
      <w:r w:rsidRPr="00225722">
        <w:rPr>
          <w:rFonts w:asciiTheme="majorBidi" w:hAnsiTheme="majorBidi" w:cstheme="majorBidi"/>
          <w:rtl/>
        </w:rPr>
        <w:t>=-=</w:t>
      </w:r>
    </w:p>
    <w:p w:rsidR="005366A8" w:rsidRPr="003C12AE" w:rsidRDefault="005366A8" w:rsidP="005366A8">
      <w:pPr>
        <w:spacing w:after="120"/>
        <w:jc w:val="center"/>
        <w:rPr>
          <w:rFonts w:ascii="Arial" w:hAnsi="Arial" w:cs="Guttman-Soncino"/>
          <w:b/>
          <w:bCs/>
          <w:sz w:val="28"/>
          <w:szCs w:val="28"/>
          <w:highlight w:val="yellow"/>
          <w:rtl/>
        </w:rPr>
      </w:pPr>
      <w:r w:rsidRPr="003C12AE">
        <w:rPr>
          <w:rFonts w:ascii="Arial" w:hAnsi="Arial" w:cs="Guttman-Soncino" w:hint="cs"/>
          <w:b/>
          <w:bCs/>
          <w:sz w:val="28"/>
          <w:szCs w:val="28"/>
          <w:highlight w:val="yellow"/>
          <w:rtl/>
        </w:rPr>
        <w:t>מי מזכויות היסוד של האדם זכו למעמד חוקתי</w:t>
      </w:r>
      <w:r>
        <w:rPr>
          <w:rFonts w:ascii="Arial" w:hAnsi="Arial" w:cs="Guttman-Soncino" w:hint="cs"/>
          <w:b/>
          <w:bCs/>
          <w:sz w:val="28"/>
          <w:szCs w:val="28"/>
          <w:highlight w:val="yellow"/>
          <w:rtl/>
        </w:rPr>
        <w:t>?</w:t>
      </w:r>
    </w:p>
    <w:p w:rsidR="005366A8" w:rsidRDefault="005366A8" w:rsidP="005366A8">
      <w:pPr>
        <w:rPr>
          <w:highlight w:val="yellow"/>
          <w:rtl/>
        </w:rPr>
      </w:pPr>
      <w:r w:rsidRPr="003C12AE">
        <w:rPr>
          <w:rFonts w:hint="cs"/>
          <w:highlight w:val="yellow"/>
          <w:rtl/>
        </w:rPr>
        <w:t xml:space="preserve">דפי </w:t>
      </w:r>
      <w:r>
        <w:rPr>
          <w:rFonts w:hint="cs"/>
          <w:highlight w:val="yellow"/>
          <w:rtl/>
        </w:rPr>
        <w:t>פגישה 12</w:t>
      </w:r>
    </w:p>
    <w:p w:rsidR="005366A8" w:rsidRDefault="005366A8" w:rsidP="005366A8">
      <w:pPr>
        <w:rPr>
          <w:highlight w:val="yellow"/>
          <w:rtl/>
        </w:rPr>
      </w:pPr>
    </w:p>
    <w:p w:rsidR="005366A8" w:rsidRPr="00F754FE" w:rsidRDefault="005366A8" w:rsidP="005366A8">
      <w:pPr>
        <w:rPr>
          <w:sz w:val="22"/>
          <w:szCs w:val="22"/>
          <w:highlight w:val="yellow"/>
          <w:rtl/>
        </w:rPr>
      </w:pPr>
      <w:r>
        <w:rPr>
          <w:rFonts w:hint="cs"/>
          <w:sz w:val="22"/>
          <w:szCs w:val="22"/>
          <w:highlight w:val="yellow"/>
          <w:rtl/>
        </w:rPr>
        <w:t>=-=</w:t>
      </w:r>
    </w:p>
    <w:p w:rsidR="005366A8" w:rsidRPr="004D540C" w:rsidRDefault="005366A8" w:rsidP="005366A8">
      <w:pPr>
        <w:spacing w:after="60"/>
        <w:jc w:val="center"/>
        <w:rPr>
          <w:rFonts w:ascii="Arial" w:hAnsi="Arial" w:cs="Guttman-Soncino"/>
          <w:b/>
          <w:bCs/>
          <w:sz w:val="28"/>
          <w:szCs w:val="28"/>
          <w:rtl/>
        </w:rPr>
      </w:pPr>
      <w:r w:rsidRPr="006616C6">
        <w:rPr>
          <w:rFonts w:ascii="Arial" w:hAnsi="Arial" w:cs="Guttman-Soncino" w:hint="cs"/>
          <w:b/>
          <w:bCs/>
          <w:sz w:val="28"/>
          <w:szCs w:val="28"/>
          <w:highlight w:val="yellow"/>
          <w:rtl/>
        </w:rPr>
        <w:t>פסקת ההגבלה ומרכיביה</w:t>
      </w:r>
    </w:p>
    <w:p w:rsidR="005366A8" w:rsidRDefault="005366A8" w:rsidP="005366A8">
      <w:pPr>
        <w:spacing w:after="60"/>
        <w:rPr>
          <w:rFonts w:cs="Arial"/>
          <w:b/>
          <w:bCs/>
          <w:highlight w:val="yellow"/>
          <w:u w:val="single"/>
          <w:rtl/>
        </w:rPr>
      </w:pPr>
      <w:r>
        <w:rPr>
          <w:rFonts w:cs="Arial" w:hint="cs"/>
          <w:b/>
          <w:bCs/>
          <w:highlight w:val="yellow"/>
          <w:u w:val="single"/>
          <w:rtl/>
        </w:rPr>
        <w:t>מהלך הבדיקה/ הניתוח החוקתי:</w:t>
      </w:r>
    </w:p>
    <w:p w:rsidR="005366A8" w:rsidRDefault="005366A8" w:rsidP="005366A8">
      <w:pPr>
        <w:spacing w:after="120"/>
        <w:ind w:left="720"/>
        <w:rPr>
          <w:rFonts w:cs="Arial"/>
          <w:sz w:val="22"/>
          <w:szCs w:val="22"/>
          <w:rtl/>
        </w:rPr>
      </w:pPr>
      <w:r>
        <w:rPr>
          <w:rFonts w:cs="Arial" w:hint="cs"/>
          <w:b/>
          <w:bCs/>
          <w:sz w:val="22"/>
          <w:szCs w:val="22"/>
          <w:rtl/>
        </w:rPr>
        <w:t>"</w:t>
      </w:r>
      <w:r w:rsidRPr="0055770B">
        <w:rPr>
          <w:rFonts w:cs="Arial" w:hint="cs"/>
          <w:b/>
          <w:bCs/>
          <w:sz w:val="22"/>
          <w:szCs w:val="22"/>
          <w:u w:val="single"/>
          <w:rtl/>
        </w:rPr>
        <w:t>אין פוגעים</w:t>
      </w:r>
      <w:r w:rsidRPr="00F602C3">
        <w:rPr>
          <w:rFonts w:cs="David"/>
          <w:b/>
          <w:bCs/>
          <w:sz w:val="20"/>
          <w:szCs w:val="20"/>
          <w:rtl/>
        </w:rPr>
        <w:t xml:space="preserve"> </w:t>
      </w:r>
      <w:r w:rsidRPr="00F602C3">
        <w:rPr>
          <w:rFonts w:cs="Arial"/>
          <w:b/>
          <w:bCs/>
          <w:sz w:val="22"/>
          <w:szCs w:val="22"/>
          <w:rtl/>
        </w:rPr>
        <w:t>ב</w:t>
      </w:r>
      <w:r w:rsidRPr="0055770B">
        <w:rPr>
          <w:rFonts w:cs="Arial"/>
          <w:b/>
          <w:bCs/>
          <w:sz w:val="22"/>
          <w:szCs w:val="22"/>
          <w:u w:val="single"/>
          <w:rtl/>
        </w:rPr>
        <w:t>זכויות שלפי חוק-יסוד זה</w:t>
      </w:r>
      <w:r>
        <w:rPr>
          <w:rFonts w:cs="Arial" w:hint="cs"/>
          <w:sz w:val="22"/>
          <w:szCs w:val="22"/>
          <w:rtl/>
        </w:rPr>
        <w:t xml:space="preserve"> אלא..." בכפוף לתנאי </w:t>
      </w:r>
      <w:r w:rsidRPr="009F2730">
        <w:rPr>
          <w:rFonts w:cs="Arial" w:hint="cs"/>
          <w:sz w:val="22"/>
          <w:szCs w:val="22"/>
          <w:u w:val="single"/>
          <w:rtl/>
        </w:rPr>
        <w:t>"פסקת ההגבלה"</w:t>
      </w:r>
      <w:r w:rsidRPr="009F2730">
        <w:rPr>
          <w:rFonts w:cs="Arial" w:hint="cs"/>
          <w:sz w:val="22"/>
          <w:szCs w:val="22"/>
          <w:rtl/>
        </w:rPr>
        <w:t>.</w:t>
      </w:r>
    </w:p>
    <w:p w:rsidR="005366A8" w:rsidRDefault="005366A8" w:rsidP="005366A8">
      <w:pPr>
        <w:spacing w:after="60"/>
        <w:ind w:left="1440"/>
        <w:rPr>
          <w:rFonts w:cs="Arial"/>
          <w:sz w:val="22"/>
          <w:szCs w:val="22"/>
          <w:rtl/>
        </w:rPr>
      </w:pPr>
      <w:r w:rsidRPr="00CD4C40">
        <w:rPr>
          <w:rFonts w:cs="Arial" w:hint="cs"/>
          <w:sz w:val="22"/>
          <w:szCs w:val="22"/>
          <w:rtl/>
        </w:rPr>
        <w:t>1</w:t>
      </w:r>
      <w:r>
        <w:rPr>
          <w:rFonts w:cs="Arial" w:hint="cs"/>
          <w:b/>
          <w:bCs/>
          <w:sz w:val="22"/>
          <w:szCs w:val="22"/>
          <w:rtl/>
        </w:rPr>
        <w:t xml:space="preserve">. </w:t>
      </w:r>
      <w:r w:rsidRPr="00D60271">
        <w:rPr>
          <w:rFonts w:cs="Arial" w:hint="cs"/>
          <w:b/>
          <w:bCs/>
          <w:sz w:val="22"/>
          <w:szCs w:val="22"/>
          <w:rtl/>
        </w:rPr>
        <w:t>"</w:t>
      </w:r>
      <w:r w:rsidRPr="000125D5">
        <w:rPr>
          <w:rFonts w:cs="Arial" w:hint="cs"/>
          <w:b/>
          <w:bCs/>
          <w:sz w:val="22"/>
          <w:szCs w:val="22"/>
          <w:u w:val="single"/>
          <w:rtl/>
        </w:rPr>
        <w:t>אין פוגעים</w:t>
      </w:r>
      <w:r w:rsidRPr="00D60271">
        <w:rPr>
          <w:rFonts w:cs="Arial" w:hint="cs"/>
          <w:b/>
          <w:bCs/>
          <w:sz w:val="22"/>
          <w:szCs w:val="22"/>
          <w:rtl/>
        </w:rPr>
        <w:t>"</w:t>
      </w:r>
      <w:r>
        <w:rPr>
          <w:rFonts w:cs="Arial" w:hint="cs"/>
          <w:sz w:val="22"/>
          <w:szCs w:val="22"/>
          <w:rtl/>
        </w:rPr>
        <w:t xml:space="preserve"> </w:t>
      </w:r>
      <w:r>
        <w:rPr>
          <w:rFonts w:cs="Arial"/>
          <w:sz w:val="22"/>
          <w:szCs w:val="22"/>
          <w:rtl/>
        </w:rPr>
        <w:t>–</w:t>
      </w:r>
      <w:r>
        <w:rPr>
          <w:rFonts w:cs="Arial" w:hint="cs"/>
          <w:sz w:val="22"/>
          <w:szCs w:val="22"/>
          <w:rtl/>
        </w:rPr>
        <w:t xml:space="preserve"> </w:t>
      </w:r>
      <w:r w:rsidRPr="00CD4C40">
        <w:rPr>
          <w:rFonts w:cs="Arial" w:hint="cs"/>
          <w:sz w:val="22"/>
          <w:szCs w:val="22"/>
          <w:highlight w:val="yellow"/>
          <w:rtl/>
        </w:rPr>
        <w:t>האם החוק הנבחן חוקתית כלל פוגע (= שולל, מגביל)</w:t>
      </w:r>
      <w:r>
        <w:rPr>
          <w:rFonts w:cs="Arial" w:hint="cs"/>
          <w:sz w:val="22"/>
          <w:szCs w:val="22"/>
          <w:rtl/>
        </w:rPr>
        <w:t xml:space="preserve"> בזכות יסוד?</w:t>
      </w:r>
    </w:p>
    <w:p w:rsidR="005366A8" w:rsidRDefault="005366A8" w:rsidP="005366A8">
      <w:pPr>
        <w:spacing w:after="60"/>
        <w:ind w:left="1440"/>
        <w:rPr>
          <w:rFonts w:cs="Arial"/>
          <w:sz w:val="22"/>
          <w:szCs w:val="22"/>
          <w:rtl/>
        </w:rPr>
      </w:pPr>
      <w:r>
        <w:rPr>
          <w:rFonts w:cs="Arial" w:hint="cs"/>
          <w:sz w:val="22"/>
          <w:szCs w:val="22"/>
          <w:rtl/>
        </w:rPr>
        <w:t xml:space="preserve">2. האם הפגיעה היא </w:t>
      </w:r>
      <w:r w:rsidRPr="000125D5">
        <w:rPr>
          <w:rFonts w:cs="Arial" w:hint="cs"/>
          <w:b/>
          <w:bCs/>
          <w:sz w:val="22"/>
          <w:szCs w:val="22"/>
          <w:u w:val="single"/>
          <w:rtl/>
        </w:rPr>
        <w:t>בזכות-היסוד מוגנת</w:t>
      </w:r>
      <w:r w:rsidRPr="000125D5">
        <w:rPr>
          <w:rFonts w:cs="Arial" w:hint="cs"/>
          <w:sz w:val="22"/>
          <w:szCs w:val="22"/>
          <w:u w:val="single"/>
          <w:rtl/>
        </w:rPr>
        <w:t xml:space="preserve"> </w:t>
      </w:r>
      <w:r w:rsidRPr="000125D5">
        <w:rPr>
          <w:rFonts w:cs="Arial" w:hint="cs"/>
          <w:b/>
          <w:bCs/>
          <w:sz w:val="22"/>
          <w:szCs w:val="22"/>
          <w:u w:val="single"/>
          <w:rtl/>
        </w:rPr>
        <w:t>ב"חוק יסוד"</w:t>
      </w:r>
      <w:r>
        <w:rPr>
          <w:rFonts w:cs="Arial" w:hint="cs"/>
          <w:sz w:val="22"/>
          <w:szCs w:val="22"/>
          <w:rtl/>
        </w:rPr>
        <w:t xml:space="preserve"> </w:t>
      </w:r>
      <w:r>
        <w:rPr>
          <w:rFonts w:cs="Arial"/>
          <w:sz w:val="22"/>
          <w:szCs w:val="22"/>
          <w:rtl/>
        </w:rPr>
        <w:t>–</w:t>
      </w:r>
      <w:r>
        <w:rPr>
          <w:rFonts w:cs="Arial" w:hint="cs"/>
          <w:sz w:val="22"/>
          <w:szCs w:val="22"/>
          <w:rtl/>
        </w:rPr>
        <w:t xml:space="preserve"> כלומר </w:t>
      </w:r>
      <w:r w:rsidRPr="00CD4C40">
        <w:rPr>
          <w:rFonts w:cs="Arial" w:hint="cs"/>
          <w:sz w:val="22"/>
          <w:szCs w:val="22"/>
          <w:highlight w:val="yellow"/>
          <w:rtl/>
        </w:rPr>
        <w:t>האם הזכות הנפגעת היא חוקתית?</w:t>
      </w:r>
      <w:r>
        <w:rPr>
          <w:rFonts w:cs="Arial" w:hint="cs"/>
          <w:sz w:val="22"/>
          <w:szCs w:val="22"/>
          <w:rtl/>
        </w:rPr>
        <w:t xml:space="preserve"> </w:t>
      </w:r>
    </w:p>
    <w:p w:rsidR="005366A8" w:rsidRDefault="005366A8" w:rsidP="005366A8">
      <w:pPr>
        <w:ind w:left="1440"/>
        <w:rPr>
          <w:rFonts w:cs="Arial"/>
          <w:sz w:val="22"/>
          <w:szCs w:val="22"/>
          <w:u w:val="single"/>
          <w:rtl/>
        </w:rPr>
      </w:pPr>
      <w:r>
        <w:rPr>
          <w:rFonts w:cs="Arial" w:hint="cs"/>
          <w:sz w:val="22"/>
          <w:szCs w:val="22"/>
          <w:rtl/>
        </w:rPr>
        <w:t xml:space="preserve">3. (רק) אם חצינו שתי משוכות הללו הגענו אל </w:t>
      </w:r>
      <w:r w:rsidRPr="000125D5">
        <w:rPr>
          <w:rFonts w:cs="Arial" w:hint="cs"/>
          <w:sz w:val="22"/>
          <w:szCs w:val="22"/>
          <w:u w:val="single"/>
          <w:rtl/>
        </w:rPr>
        <w:t xml:space="preserve">מרכיביה הבסיסיים של </w:t>
      </w:r>
      <w:r w:rsidRPr="000125D5">
        <w:rPr>
          <w:rFonts w:cs="Arial" w:hint="cs"/>
          <w:b/>
          <w:bCs/>
          <w:sz w:val="22"/>
          <w:szCs w:val="22"/>
          <w:u w:val="single"/>
          <w:rtl/>
        </w:rPr>
        <w:t>"פסקת ההגבלה"</w:t>
      </w:r>
    </w:p>
    <w:p w:rsidR="005366A8" w:rsidRDefault="005366A8" w:rsidP="005366A8">
      <w:pPr>
        <w:spacing w:after="60"/>
        <w:ind w:left="720"/>
        <w:rPr>
          <w:rFonts w:cs="Arial"/>
          <w:sz w:val="22"/>
          <w:szCs w:val="22"/>
          <w:rtl/>
        </w:rPr>
      </w:pPr>
    </w:p>
    <w:p w:rsidR="005366A8" w:rsidRDefault="005366A8" w:rsidP="005366A8">
      <w:pPr>
        <w:spacing w:after="120"/>
        <w:jc w:val="center"/>
        <w:rPr>
          <w:rFonts w:cs="Arial"/>
          <w:b/>
          <w:bCs/>
          <w:u w:val="single"/>
          <w:rtl/>
        </w:rPr>
      </w:pPr>
      <w:r w:rsidRPr="004F5D7B">
        <w:rPr>
          <w:rFonts w:cs="Arial"/>
          <w:b/>
          <w:bCs/>
          <w:highlight w:val="yellow"/>
          <w:u w:val="single"/>
          <w:rtl/>
        </w:rPr>
        <w:t>מרכיבי פסקת ההגבלה</w:t>
      </w:r>
    </w:p>
    <w:p w:rsidR="005366A8" w:rsidRPr="00342995" w:rsidRDefault="005366A8" w:rsidP="005366A8">
      <w:pPr>
        <w:spacing w:after="60"/>
        <w:ind w:left="1440"/>
        <w:rPr>
          <w:rFonts w:cs="Arial"/>
          <w:sz w:val="22"/>
          <w:szCs w:val="22"/>
          <w:rtl/>
        </w:rPr>
      </w:pPr>
      <w:r w:rsidRPr="00342995">
        <w:rPr>
          <w:rFonts w:cs="Arial"/>
          <w:sz w:val="22"/>
          <w:szCs w:val="22"/>
          <w:rtl/>
        </w:rPr>
        <w:t xml:space="preserve">א. </w:t>
      </w:r>
      <w:r w:rsidRPr="00342995">
        <w:rPr>
          <w:rFonts w:cs="Arial" w:hint="cs"/>
          <w:b/>
          <w:bCs/>
          <w:sz w:val="22"/>
          <w:szCs w:val="22"/>
          <w:rtl/>
        </w:rPr>
        <w:t xml:space="preserve">"אלא בחוק או </w:t>
      </w:r>
      <w:r>
        <w:rPr>
          <w:rFonts w:cs="Arial" w:hint="cs"/>
          <w:b/>
          <w:bCs/>
          <w:sz w:val="22"/>
          <w:szCs w:val="22"/>
          <w:rtl/>
        </w:rPr>
        <w:t xml:space="preserve">מכוח </w:t>
      </w:r>
      <w:r w:rsidRPr="00342995">
        <w:rPr>
          <w:rFonts w:cs="Arial" w:hint="cs"/>
          <w:b/>
          <w:bCs/>
          <w:sz w:val="22"/>
          <w:szCs w:val="22"/>
          <w:rtl/>
        </w:rPr>
        <w:t>הסמכה מפורשת בחוק"</w:t>
      </w:r>
      <w:r w:rsidRPr="00342995">
        <w:rPr>
          <w:rFonts w:cs="Arial"/>
          <w:b/>
          <w:bCs/>
          <w:sz w:val="22"/>
          <w:szCs w:val="22"/>
          <w:rtl/>
        </w:rPr>
        <w:t xml:space="preserve"> </w:t>
      </w:r>
    </w:p>
    <w:p w:rsidR="005366A8" w:rsidRPr="00342995" w:rsidRDefault="005366A8" w:rsidP="005366A8">
      <w:pPr>
        <w:spacing w:after="60"/>
        <w:ind w:left="1440"/>
        <w:rPr>
          <w:rFonts w:cs="Arial"/>
          <w:sz w:val="22"/>
          <w:szCs w:val="22"/>
          <w:rtl/>
        </w:rPr>
      </w:pPr>
      <w:r w:rsidRPr="00342995">
        <w:rPr>
          <w:rFonts w:cs="Arial"/>
          <w:sz w:val="22"/>
          <w:szCs w:val="22"/>
          <w:rtl/>
        </w:rPr>
        <w:t xml:space="preserve">ב. </w:t>
      </w:r>
      <w:r>
        <w:rPr>
          <w:rFonts w:cs="Arial" w:hint="cs"/>
          <w:sz w:val="22"/>
          <w:szCs w:val="22"/>
          <w:rtl/>
        </w:rPr>
        <w:t>(</w:t>
      </w:r>
      <w:r w:rsidRPr="00342995">
        <w:rPr>
          <w:rFonts w:cs="Arial"/>
          <w:sz w:val="22"/>
          <w:szCs w:val="22"/>
          <w:rtl/>
        </w:rPr>
        <w:t>חוק</w:t>
      </w:r>
      <w:r>
        <w:rPr>
          <w:rFonts w:cs="Arial" w:hint="cs"/>
          <w:sz w:val="22"/>
          <w:szCs w:val="22"/>
          <w:rtl/>
        </w:rPr>
        <w:t>)</w:t>
      </w:r>
      <w:r w:rsidRPr="00342995">
        <w:rPr>
          <w:rFonts w:cs="Arial"/>
          <w:sz w:val="22"/>
          <w:szCs w:val="22"/>
          <w:rtl/>
        </w:rPr>
        <w:t xml:space="preserve"> </w:t>
      </w:r>
      <w:r w:rsidRPr="00342995">
        <w:rPr>
          <w:rFonts w:cs="Arial" w:hint="cs"/>
          <w:sz w:val="22"/>
          <w:szCs w:val="22"/>
          <w:rtl/>
        </w:rPr>
        <w:t>"</w:t>
      </w:r>
      <w:r w:rsidRPr="00342995">
        <w:rPr>
          <w:rFonts w:cs="Arial"/>
          <w:sz w:val="22"/>
          <w:szCs w:val="22"/>
          <w:rtl/>
        </w:rPr>
        <w:t xml:space="preserve">ההולם את </w:t>
      </w:r>
      <w:r w:rsidRPr="00342995">
        <w:rPr>
          <w:rFonts w:cs="Arial"/>
          <w:b/>
          <w:bCs/>
          <w:sz w:val="22"/>
          <w:szCs w:val="22"/>
          <w:rtl/>
        </w:rPr>
        <w:t>ערכיה של מדינת ישראל</w:t>
      </w:r>
      <w:r w:rsidRPr="00342995">
        <w:rPr>
          <w:rFonts w:cs="Arial"/>
          <w:sz w:val="22"/>
          <w:szCs w:val="22"/>
          <w:rtl/>
        </w:rPr>
        <w:t>"</w:t>
      </w:r>
    </w:p>
    <w:p w:rsidR="005366A8" w:rsidRPr="00342995" w:rsidRDefault="005366A8" w:rsidP="005366A8">
      <w:pPr>
        <w:spacing w:after="60"/>
        <w:ind w:left="1440"/>
        <w:rPr>
          <w:rFonts w:cs="Arial"/>
          <w:sz w:val="22"/>
          <w:szCs w:val="22"/>
          <w:rtl/>
        </w:rPr>
      </w:pPr>
      <w:r w:rsidRPr="00342995">
        <w:rPr>
          <w:rFonts w:cs="Arial"/>
          <w:sz w:val="22"/>
          <w:szCs w:val="22"/>
          <w:rtl/>
        </w:rPr>
        <w:t>ג. "שנועד ל</w:t>
      </w:r>
      <w:r w:rsidRPr="00342995">
        <w:rPr>
          <w:rFonts w:cs="Arial"/>
          <w:b/>
          <w:bCs/>
          <w:sz w:val="22"/>
          <w:szCs w:val="22"/>
          <w:rtl/>
        </w:rPr>
        <w:t>תכלית ראויה</w:t>
      </w:r>
      <w:r w:rsidRPr="00342995">
        <w:rPr>
          <w:rFonts w:cs="Arial"/>
          <w:sz w:val="22"/>
          <w:szCs w:val="22"/>
          <w:rtl/>
        </w:rPr>
        <w:t>"</w:t>
      </w:r>
    </w:p>
    <w:p w:rsidR="005366A8" w:rsidRDefault="005366A8" w:rsidP="005366A8">
      <w:pPr>
        <w:ind w:left="1440"/>
        <w:rPr>
          <w:rFonts w:cs="Arial"/>
          <w:sz w:val="22"/>
          <w:szCs w:val="22"/>
          <w:rtl/>
        </w:rPr>
      </w:pPr>
      <w:r w:rsidRPr="00342995">
        <w:rPr>
          <w:rFonts w:cs="Arial"/>
          <w:sz w:val="22"/>
          <w:szCs w:val="22"/>
          <w:rtl/>
        </w:rPr>
        <w:t xml:space="preserve">ד. </w:t>
      </w:r>
      <w:r w:rsidRPr="00342995">
        <w:rPr>
          <w:rFonts w:cs="Arial"/>
          <w:b/>
          <w:bCs/>
          <w:sz w:val="22"/>
          <w:szCs w:val="22"/>
          <w:rtl/>
        </w:rPr>
        <w:t xml:space="preserve">"ובמידה שאינה עולה על הנדרש" </w:t>
      </w:r>
      <w:r w:rsidRPr="00342995">
        <w:rPr>
          <w:sz w:val="22"/>
          <w:szCs w:val="22"/>
          <w:rtl/>
        </w:rPr>
        <w:t>–</w:t>
      </w:r>
      <w:r w:rsidRPr="00342995">
        <w:rPr>
          <w:rFonts w:hint="cs"/>
          <w:sz w:val="22"/>
          <w:szCs w:val="22"/>
          <w:rtl/>
        </w:rPr>
        <w:t xml:space="preserve"> </w:t>
      </w:r>
      <w:r w:rsidRPr="004F5D7B">
        <w:rPr>
          <w:rFonts w:ascii="Arial" w:hAnsi="Arial" w:cs="Arial"/>
          <w:sz w:val="22"/>
          <w:szCs w:val="22"/>
          <w:rtl/>
        </w:rPr>
        <w:t>זו</w:t>
      </w:r>
      <w:r>
        <w:rPr>
          <w:rFonts w:hint="cs"/>
          <w:sz w:val="22"/>
          <w:szCs w:val="22"/>
          <w:rtl/>
        </w:rPr>
        <w:t xml:space="preserve"> </w:t>
      </w:r>
      <w:r w:rsidRPr="00342995">
        <w:rPr>
          <w:rFonts w:cs="Arial"/>
          <w:sz w:val="22"/>
          <w:szCs w:val="22"/>
          <w:rtl/>
        </w:rPr>
        <w:t>דרישת המידתיות</w:t>
      </w:r>
    </w:p>
    <w:p w:rsidR="005366A8" w:rsidRDefault="005366A8" w:rsidP="005366A8">
      <w:pPr>
        <w:ind w:left="1440"/>
        <w:rPr>
          <w:rFonts w:cs="Arial"/>
          <w:sz w:val="22"/>
          <w:szCs w:val="22"/>
          <w:rtl/>
        </w:rPr>
      </w:pPr>
    </w:p>
    <w:p w:rsidR="005366A8" w:rsidRPr="00CD4C40" w:rsidRDefault="005366A8" w:rsidP="005366A8">
      <w:pPr>
        <w:pStyle w:val="Heading1"/>
        <w:spacing w:after="120"/>
        <w:jc w:val="left"/>
        <w:rPr>
          <w:rFonts w:ascii="Arial" w:hAnsi="Arial" w:cs="Arial"/>
          <w:b w:val="0"/>
          <w:bCs w:val="0"/>
          <w:i/>
          <w:iCs/>
          <w:highlight w:val="yellow"/>
          <w:rtl/>
        </w:rPr>
      </w:pPr>
      <w:r>
        <w:rPr>
          <w:rFonts w:ascii="Arial" w:hAnsi="Arial" w:cs="Arial" w:hint="cs"/>
          <w:b w:val="0"/>
          <w:bCs w:val="0"/>
          <w:highlight w:val="yellow"/>
          <w:rtl/>
        </w:rPr>
        <w:t>=-=</w:t>
      </w:r>
    </w:p>
    <w:p w:rsidR="005366A8" w:rsidRPr="00402478" w:rsidRDefault="005366A8" w:rsidP="005366A8">
      <w:pPr>
        <w:pStyle w:val="Heading1"/>
        <w:spacing w:after="120"/>
        <w:rPr>
          <w:rFonts w:ascii="Arial" w:hAnsi="Arial" w:cs="Arial"/>
          <w:i/>
          <w:iCs/>
          <w:rtl/>
        </w:rPr>
      </w:pPr>
      <w:r w:rsidRPr="006616C6">
        <w:rPr>
          <w:rFonts w:ascii="Arial" w:hAnsi="Arial" w:cs="Arial" w:hint="cs"/>
          <w:highlight w:val="yellow"/>
          <w:rtl/>
        </w:rPr>
        <w:t xml:space="preserve">המרכיב הראשון </w:t>
      </w:r>
      <w:r w:rsidRPr="006616C6">
        <w:rPr>
          <w:rFonts w:ascii="Arial" w:hAnsi="Arial" w:cs="Arial"/>
          <w:highlight w:val="yellow"/>
          <w:rtl/>
        </w:rPr>
        <w:t>–</w:t>
      </w:r>
      <w:r w:rsidRPr="006616C6">
        <w:rPr>
          <w:rFonts w:ascii="Arial" w:hAnsi="Arial" w:cs="Arial" w:hint="cs"/>
          <w:highlight w:val="yellow"/>
          <w:rtl/>
        </w:rPr>
        <w:t xml:space="preserve"> "דרישת ההסמכה":</w:t>
      </w:r>
      <w:r w:rsidRPr="00402478">
        <w:rPr>
          <w:rFonts w:ascii="Arial" w:hAnsi="Arial" w:cs="Arial" w:hint="cs"/>
          <w:rtl/>
        </w:rPr>
        <w:t xml:space="preserve"> </w:t>
      </w:r>
    </w:p>
    <w:p w:rsidR="005366A8" w:rsidRPr="000615A7" w:rsidRDefault="005366A8" w:rsidP="005366A8">
      <w:pPr>
        <w:pStyle w:val="Heading1"/>
        <w:spacing w:after="240"/>
        <w:rPr>
          <w:rFonts w:ascii="Arial" w:hAnsi="Arial" w:cs="Arial"/>
          <w:i/>
          <w:iCs/>
          <w:szCs w:val="22"/>
          <w:rtl/>
        </w:rPr>
      </w:pPr>
      <w:r w:rsidRPr="00402478">
        <w:rPr>
          <w:rFonts w:ascii="Arial" w:hAnsi="Arial" w:cs="Arial"/>
          <w:rtl/>
        </w:rPr>
        <w:t>"</w:t>
      </w:r>
      <w:r w:rsidRPr="00402478">
        <w:rPr>
          <w:rFonts w:ascii="Arial" w:hAnsi="Arial" w:cs="Arial"/>
          <w:highlight w:val="yellow"/>
          <w:rtl/>
        </w:rPr>
        <w:t xml:space="preserve">אין פוגעים בזכויות שלפי חוק-יסוד זה אלא </w:t>
      </w:r>
      <w:r w:rsidRPr="00402478">
        <w:rPr>
          <w:rFonts w:ascii="Arial" w:hAnsi="Arial" w:cs="Arial"/>
          <w:highlight w:val="yellow"/>
        </w:rPr>
        <w:t>…</w:t>
      </w:r>
      <w:r w:rsidRPr="00402478">
        <w:rPr>
          <w:rFonts w:ascii="Arial" w:hAnsi="Arial" w:cs="Arial"/>
          <w:highlight w:val="yellow"/>
          <w:rtl/>
        </w:rPr>
        <w:t xml:space="preserve"> בחוק או מכוח הסמכה מפורשת בו</w:t>
      </w:r>
      <w:r w:rsidRPr="00402478">
        <w:rPr>
          <w:rFonts w:ascii="Arial" w:hAnsi="Arial" w:cs="Arial"/>
          <w:rtl/>
        </w:rPr>
        <w:t>"</w:t>
      </w:r>
    </w:p>
    <w:p w:rsidR="005366A8" w:rsidRDefault="005366A8" w:rsidP="005366A8">
      <w:pPr>
        <w:spacing w:after="60"/>
        <w:rPr>
          <w:szCs w:val="22"/>
          <w:rtl/>
        </w:rPr>
      </w:pPr>
      <w:r>
        <w:rPr>
          <w:rFonts w:hint="cs"/>
          <w:szCs w:val="22"/>
          <w:rtl/>
        </w:rPr>
        <w:t>כשלמדנו על החוקה המאטריאלית למדנו כי אחד מעקרונותיה החשובים הוא</w:t>
      </w:r>
      <w:r>
        <w:rPr>
          <w:szCs w:val="22"/>
          <w:rtl/>
        </w:rPr>
        <w:t xml:space="preserve"> </w:t>
      </w:r>
      <w:r>
        <w:rPr>
          <w:b/>
          <w:bCs/>
          <w:szCs w:val="22"/>
          <w:rtl/>
        </w:rPr>
        <w:t>עקרון חוקיות המינהל</w:t>
      </w:r>
      <w:r>
        <w:rPr>
          <w:szCs w:val="22"/>
          <w:rtl/>
        </w:rPr>
        <w:t>: "אין סמכות לשום רשות מינהלית אלא אותה סמכות שהוענקה לה לפי חוק".</w:t>
      </w:r>
    </w:p>
    <w:p w:rsidR="005366A8" w:rsidRPr="000615A7" w:rsidRDefault="005366A8" w:rsidP="005366A8">
      <w:pPr>
        <w:spacing w:after="60"/>
        <w:rPr>
          <w:szCs w:val="22"/>
          <w:rtl/>
        </w:rPr>
      </w:pPr>
      <w:r>
        <w:rPr>
          <w:szCs w:val="22"/>
          <w:rtl/>
        </w:rPr>
        <w:t>לכאן הצטר</w:t>
      </w:r>
      <w:r>
        <w:rPr>
          <w:rFonts w:hint="cs"/>
          <w:szCs w:val="22"/>
          <w:rtl/>
        </w:rPr>
        <w:t>ף עקרון/ כלל מרכזי נוסף</w:t>
      </w:r>
      <w:r>
        <w:rPr>
          <w:b/>
          <w:bCs/>
          <w:szCs w:val="22"/>
          <w:rtl/>
        </w:rPr>
        <w:t xml:space="preserve"> דרישת החוקיות המיוחדת</w:t>
      </w:r>
      <w:r>
        <w:rPr>
          <w:szCs w:val="22"/>
          <w:rtl/>
        </w:rPr>
        <w:t xml:space="preserve"> –</w:t>
      </w:r>
      <w:r>
        <w:rPr>
          <w:rFonts w:hint="cs"/>
          <w:szCs w:val="22"/>
          <w:rtl/>
        </w:rPr>
        <w:t xml:space="preserve"> </w:t>
      </w:r>
      <w:r>
        <w:rPr>
          <w:szCs w:val="22"/>
          <w:rtl/>
        </w:rPr>
        <w:t xml:space="preserve">הקפדה מיוחדת עם הרשות ביחס להתיימרות </w:t>
      </w:r>
      <w:r w:rsidRPr="000615A7">
        <w:rPr>
          <w:szCs w:val="22"/>
          <w:rtl/>
        </w:rPr>
        <w:t>לסמכות להגביל זכויות יסוד: הצורך בכך שההסמכה לכך, המוענקת בחוק (=חקיקה ראשית), תהיה הסמכה מפורשת</w:t>
      </w:r>
      <w:r>
        <w:rPr>
          <w:rFonts w:hint="cs"/>
          <w:szCs w:val="22"/>
          <w:rtl/>
        </w:rPr>
        <w:t>/ הסמכה ברורה</w:t>
      </w:r>
      <w:r w:rsidRPr="000615A7">
        <w:rPr>
          <w:szCs w:val="22"/>
          <w:rtl/>
        </w:rPr>
        <w:t xml:space="preserve">.  </w:t>
      </w:r>
    </w:p>
    <w:p w:rsidR="005366A8" w:rsidRPr="00BA345A" w:rsidRDefault="005366A8" w:rsidP="005366A8">
      <w:pPr>
        <w:ind w:left="720"/>
        <w:rPr>
          <w:rFonts w:cs="David"/>
          <w:sz w:val="20"/>
          <w:szCs w:val="20"/>
          <w:rtl/>
        </w:rPr>
      </w:pPr>
      <w:r w:rsidRPr="00BA345A">
        <w:rPr>
          <w:rFonts w:cs="David"/>
          <w:sz w:val="20"/>
          <w:szCs w:val="20"/>
          <w:rtl/>
        </w:rPr>
        <w:t xml:space="preserve">בג"צ 1/49 </w:t>
      </w:r>
      <w:r w:rsidRPr="00BA345A">
        <w:rPr>
          <w:rFonts w:cs="David"/>
          <w:b/>
          <w:bCs/>
          <w:sz w:val="20"/>
          <w:szCs w:val="20"/>
          <w:rtl/>
        </w:rPr>
        <w:t>בז'רנו נ' שר המשטרה</w:t>
      </w:r>
      <w:r w:rsidRPr="00BA345A">
        <w:rPr>
          <w:rFonts w:cs="David"/>
          <w:sz w:val="20"/>
          <w:szCs w:val="20"/>
          <w:rtl/>
        </w:rPr>
        <w:t xml:space="preserve">, פ"ד ב' 80, 83: </w:t>
      </w:r>
    </w:p>
    <w:p w:rsidR="005366A8" w:rsidRPr="00B13AB8" w:rsidRDefault="005366A8" w:rsidP="005366A8">
      <w:pPr>
        <w:spacing w:after="120"/>
        <w:ind w:left="1440"/>
        <w:rPr>
          <w:rFonts w:cs="FrankRuehl"/>
          <w:sz w:val="22"/>
          <w:szCs w:val="22"/>
          <w:rtl/>
        </w:rPr>
      </w:pPr>
      <w:r w:rsidRPr="00B13AB8">
        <w:rPr>
          <w:rFonts w:cs="FrankRuehl"/>
          <w:sz w:val="22"/>
          <w:szCs w:val="22"/>
          <w:rtl/>
        </w:rPr>
        <w:t>כל זמן שהחוק אינו אוסר עליהם את ההתעסקות באומנות אשר בחרו לעצמם, וכל זמן שלא הוטל מטעם החוק</w:t>
      </w:r>
      <w:r w:rsidRPr="00B13AB8">
        <w:rPr>
          <w:rFonts w:cs="FrankRuehl"/>
          <w:sz w:val="22"/>
          <w:szCs w:val="22"/>
        </w:rPr>
        <w:t>…</w:t>
      </w:r>
      <w:r w:rsidRPr="00B13AB8">
        <w:rPr>
          <w:rFonts w:cs="FrankRuehl"/>
          <w:sz w:val="22"/>
          <w:szCs w:val="22"/>
          <w:rtl/>
        </w:rPr>
        <w:t xml:space="preserve"> כל תנאי מוקדם להכשרתם</w:t>
      </w:r>
      <w:r w:rsidRPr="00B13AB8">
        <w:rPr>
          <w:rFonts w:cs="FrankRuehl"/>
          <w:sz w:val="22"/>
          <w:szCs w:val="22"/>
        </w:rPr>
        <w:t>…</w:t>
      </w:r>
      <w:r w:rsidRPr="00B13AB8">
        <w:rPr>
          <w:rFonts w:cs="FrankRuehl"/>
          <w:sz w:val="22"/>
          <w:szCs w:val="22"/>
          <w:rtl/>
        </w:rPr>
        <w:t xml:space="preserve"> זכותם זכות.  ואין לאסור עליהם את השימוש בזכות זו, אלא בשל סיבות אשר נאמרו בחוק.</w:t>
      </w:r>
    </w:p>
    <w:p w:rsidR="005366A8" w:rsidRDefault="005366A8" w:rsidP="005366A8">
      <w:pPr>
        <w:pStyle w:val="BodyText2"/>
        <w:rPr>
          <w:b/>
          <w:bCs/>
          <w:rtl/>
        </w:rPr>
      </w:pPr>
      <w:r w:rsidRPr="006E0C25">
        <w:rPr>
          <w:b/>
          <w:bCs/>
          <w:rtl/>
        </w:rPr>
        <w:t>דרישת החוקיות המיוחדת</w:t>
      </w:r>
      <w:r>
        <w:rPr>
          <w:rFonts w:hint="cs"/>
          <w:b/>
          <w:bCs/>
          <w:rtl/>
        </w:rPr>
        <w:t xml:space="preserve"> עוגנה עתה </w:t>
      </w:r>
      <w:r w:rsidRPr="006E0C25">
        <w:rPr>
          <w:b/>
          <w:bCs/>
          <w:rtl/>
        </w:rPr>
        <w:t>ברמ</w:t>
      </w:r>
      <w:r>
        <w:rPr>
          <w:rFonts w:hint="cs"/>
          <w:b/>
          <w:bCs/>
          <w:rtl/>
        </w:rPr>
        <w:t>ת החוקה הפורמאלית</w:t>
      </w:r>
      <w:r w:rsidRPr="006E0C25">
        <w:rPr>
          <w:b/>
          <w:bCs/>
          <w:rtl/>
        </w:rPr>
        <w:t xml:space="preserve"> – </w:t>
      </w:r>
      <w:r>
        <w:rPr>
          <w:rFonts w:hint="cs"/>
          <w:b/>
          <w:bCs/>
          <w:rtl/>
        </w:rPr>
        <w:t>"</w:t>
      </w:r>
      <w:r w:rsidRPr="006E0C25">
        <w:rPr>
          <w:b/>
          <w:bCs/>
          <w:rtl/>
        </w:rPr>
        <w:t>בפסקת ההגבלה</w:t>
      </w:r>
      <w:r>
        <w:rPr>
          <w:rFonts w:hint="cs"/>
          <w:b/>
          <w:bCs/>
          <w:rtl/>
        </w:rPr>
        <w:t xml:space="preserve">"; זאת </w:t>
      </w:r>
      <w:r w:rsidRPr="006E0C25">
        <w:rPr>
          <w:b/>
          <w:bCs/>
          <w:i/>
          <w:iCs/>
          <w:rtl/>
        </w:rPr>
        <w:t>ביחס לזכויות המוגנות בחוקי היסוד</w:t>
      </w:r>
      <w:r w:rsidRPr="006E0C25">
        <w:rPr>
          <w:b/>
          <w:bCs/>
          <w:rtl/>
        </w:rPr>
        <w:t>.</w:t>
      </w:r>
    </w:p>
    <w:p w:rsidR="005366A8" w:rsidRDefault="005366A8" w:rsidP="005366A8">
      <w:pPr>
        <w:pStyle w:val="BodyText2"/>
        <w:rPr>
          <w:b/>
          <w:bCs/>
          <w:rtl/>
        </w:rPr>
      </w:pPr>
      <w:r>
        <w:rPr>
          <w:rFonts w:hint="cs"/>
          <w:b/>
          <w:bCs/>
          <w:rtl/>
        </w:rPr>
        <w:t>=-=</w:t>
      </w:r>
    </w:p>
    <w:p w:rsidR="005366A8" w:rsidRPr="002A4704" w:rsidRDefault="005366A8" w:rsidP="005366A8">
      <w:pPr>
        <w:spacing w:after="120"/>
        <w:jc w:val="center"/>
        <w:rPr>
          <w:rFonts w:cs="FrankRuehl"/>
          <w:sz w:val="28"/>
          <w:szCs w:val="28"/>
          <w:rtl/>
        </w:rPr>
      </w:pPr>
      <w:r w:rsidRPr="002A4704">
        <w:rPr>
          <w:rFonts w:cs="FrankRuehl" w:hint="cs"/>
          <w:sz w:val="28"/>
          <w:szCs w:val="28"/>
          <w:highlight w:val="yellow"/>
          <w:rtl/>
        </w:rPr>
        <w:t xml:space="preserve">בג"צ 2557/05 </w:t>
      </w:r>
      <w:r w:rsidRPr="002A4704">
        <w:rPr>
          <w:rFonts w:cs="FrankRuehl" w:hint="cs"/>
          <w:b/>
          <w:bCs/>
          <w:sz w:val="28"/>
          <w:szCs w:val="28"/>
          <w:highlight w:val="yellow"/>
          <w:rtl/>
        </w:rPr>
        <w:t>מטה הרוב נ' משטרת ישראל</w:t>
      </w:r>
      <w:r w:rsidRPr="002A4704">
        <w:rPr>
          <w:rFonts w:cs="FrankRuehl" w:hint="cs"/>
          <w:sz w:val="28"/>
          <w:szCs w:val="28"/>
          <w:highlight w:val="yellow"/>
          <w:rtl/>
        </w:rPr>
        <w:t xml:space="preserve"> (</w:t>
      </w:r>
      <w:r>
        <w:rPr>
          <w:rFonts w:cs="FrankRuehl" w:hint="cs"/>
          <w:sz w:val="28"/>
          <w:szCs w:val="28"/>
          <w:highlight w:val="yellow"/>
          <w:rtl/>
        </w:rPr>
        <w:t>2006</w:t>
      </w:r>
      <w:r w:rsidRPr="002A4704">
        <w:rPr>
          <w:rFonts w:cs="FrankRuehl" w:hint="cs"/>
          <w:sz w:val="28"/>
          <w:szCs w:val="28"/>
          <w:highlight w:val="yellow"/>
          <w:rtl/>
        </w:rPr>
        <w:t>)</w:t>
      </w:r>
    </w:p>
    <w:p w:rsidR="005366A8" w:rsidRDefault="005366A8" w:rsidP="005366A8">
      <w:pPr>
        <w:spacing w:after="120"/>
        <w:rPr>
          <w:sz w:val="20"/>
          <w:szCs w:val="20"/>
          <w:rtl/>
        </w:rPr>
      </w:pPr>
      <w:r>
        <w:rPr>
          <w:rFonts w:hint="cs"/>
          <w:sz w:val="20"/>
          <w:szCs w:val="20"/>
          <w:rtl/>
        </w:rPr>
        <w:t>[דפי פגישה 12]</w:t>
      </w:r>
    </w:p>
    <w:p w:rsidR="005366A8" w:rsidRDefault="005366A8" w:rsidP="005366A8">
      <w:pPr>
        <w:spacing w:after="120"/>
        <w:rPr>
          <w:rFonts w:ascii="Arial" w:hAnsi="Arial" w:cs="Arial"/>
          <w:sz w:val="20"/>
          <w:szCs w:val="20"/>
          <w:rtl/>
        </w:rPr>
      </w:pPr>
      <w:r w:rsidRPr="000A35A9">
        <w:rPr>
          <w:sz w:val="20"/>
          <w:szCs w:val="20"/>
          <w:rtl/>
        </w:rPr>
        <w:t>העותרות ביקשו לקיים הפגנה. מפקד המשטרה התנה מתן הרישיון להפגנה בהצבתם של גדרות, מאבטחים, וסדרנים מטעם מארגני ההפגנה ועל חשבונם. כן התנה הוא את מתן הרישיון בהצבתם של כבאיות ואמבולנסים. רשות הכבאות ואגודת מגן דוד אדום התנו את מתן שירותיהם בתשלום מצד מארגני ההפגנה. כנגד חוקיותן של דרישות אלה – מצד מפקד המשטרה, רשות הכבאות, ואגודת מגן דוד אדום – מופנית העתירה שלפנינו.</w:t>
      </w:r>
    </w:p>
    <w:p w:rsidR="005366A8" w:rsidRDefault="005366A8" w:rsidP="005366A8">
      <w:pPr>
        <w:spacing w:after="60"/>
        <w:ind w:left="395"/>
        <w:rPr>
          <w:rFonts w:ascii="Arial" w:hAnsi="Arial" w:cs="Arial"/>
          <w:sz w:val="20"/>
          <w:szCs w:val="20"/>
          <w:rtl/>
        </w:rPr>
      </w:pPr>
      <w:r>
        <w:rPr>
          <w:rFonts w:ascii="Arial" w:hAnsi="Arial" w:cs="Arial" w:hint="cs"/>
          <w:sz w:val="20"/>
          <w:szCs w:val="20"/>
          <w:rtl/>
        </w:rPr>
        <w:t>נידונות כאן שתי סוגיות נוספות וחשובות:</w:t>
      </w:r>
    </w:p>
    <w:p w:rsidR="005366A8" w:rsidRDefault="005366A8" w:rsidP="005366A8">
      <w:pPr>
        <w:spacing w:after="60"/>
        <w:ind w:left="1400" w:right="-142" w:hanging="720"/>
        <w:rPr>
          <w:rFonts w:ascii="Arial" w:hAnsi="Arial" w:cs="Arial"/>
          <w:sz w:val="20"/>
          <w:szCs w:val="20"/>
          <w:rtl/>
        </w:rPr>
      </w:pPr>
      <w:r w:rsidRPr="00CD4C40">
        <w:rPr>
          <w:rFonts w:ascii="Arial" w:hAnsi="Arial" w:cs="Arial" w:hint="cs"/>
          <w:sz w:val="20"/>
          <w:szCs w:val="20"/>
          <w:highlight w:val="yellow"/>
          <w:rtl/>
        </w:rPr>
        <w:t xml:space="preserve">ההוראה הרלבנטית בפקודת המשטרה היא חקיקה "עמומה" </w:t>
      </w:r>
      <w:r w:rsidRPr="00CD4C40">
        <w:rPr>
          <w:rFonts w:ascii="Arial" w:hAnsi="Arial" w:cs="Arial"/>
          <w:sz w:val="20"/>
          <w:szCs w:val="20"/>
          <w:highlight w:val="yellow"/>
          <w:rtl/>
        </w:rPr>
        <w:t>–</w:t>
      </w:r>
      <w:r w:rsidRPr="00CD4C40">
        <w:rPr>
          <w:rFonts w:ascii="Arial" w:hAnsi="Arial" w:cs="Arial" w:hint="cs"/>
          <w:sz w:val="20"/>
          <w:szCs w:val="20"/>
          <w:highlight w:val="yellow"/>
          <w:rtl/>
        </w:rPr>
        <w:t xml:space="preserve"> האין זה פוגע בחוקתיותה? [המרכיב הראשון של פסקת ההגבלה;</w:t>
      </w:r>
      <w:r>
        <w:rPr>
          <w:rFonts w:ascii="Arial" w:hAnsi="Arial" w:cs="Arial" w:hint="cs"/>
          <w:sz w:val="20"/>
          <w:szCs w:val="20"/>
          <w:rtl/>
        </w:rPr>
        <w:t xml:space="preserve"> אך אזכורה במקביל של פסקת "שמירת הדינים", שמגוננת על פקודת המשטרה מפני ביקורת שיפוטית חוקתית]</w:t>
      </w:r>
    </w:p>
    <w:p w:rsidR="005366A8" w:rsidRDefault="005366A8" w:rsidP="005366A8">
      <w:pPr>
        <w:ind w:left="679"/>
        <w:rPr>
          <w:rFonts w:ascii="Arial" w:hAnsi="Arial" w:cs="Arial"/>
          <w:sz w:val="20"/>
          <w:szCs w:val="20"/>
          <w:rtl/>
        </w:rPr>
      </w:pPr>
      <w:r>
        <w:rPr>
          <w:rFonts w:ascii="Arial" w:hAnsi="Arial" w:cs="Arial" w:hint="cs"/>
          <w:sz w:val="20"/>
          <w:szCs w:val="20"/>
          <w:rtl/>
        </w:rPr>
        <w:t>האם חופש הביטוי הפוליטי וחופש ההפגנה מוגנים חוקתית? (שהרי הם אינם מוגנים מפורשות) [אוביטר]</w:t>
      </w:r>
    </w:p>
    <w:p w:rsidR="005366A8" w:rsidRDefault="005366A8" w:rsidP="005366A8">
      <w:pPr>
        <w:rPr>
          <w:rFonts w:cs="FrankRuehl"/>
          <w:sz w:val="32"/>
          <w:rtl/>
        </w:rPr>
      </w:pPr>
    </w:p>
    <w:p w:rsidR="005366A8" w:rsidRPr="00FB79EE" w:rsidRDefault="005366A8" w:rsidP="005366A8">
      <w:pPr>
        <w:rPr>
          <w:rFonts w:ascii="Arial" w:hAnsi="Arial" w:cs="David"/>
          <w:b/>
          <w:bCs/>
          <w:sz w:val="22"/>
          <w:szCs w:val="22"/>
          <w:rtl/>
        </w:rPr>
      </w:pPr>
      <w:r w:rsidRPr="00FB79EE">
        <w:rPr>
          <w:rFonts w:cs="David"/>
          <w:b/>
          <w:bCs/>
          <w:sz w:val="22"/>
          <w:szCs w:val="22"/>
          <w:rtl/>
        </w:rPr>
        <w:t>פקודת המשטרה [נוסח חדש], תשל"א</w:t>
      </w:r>
      <w:r w:rsidRPr="00FB79EE">
        <w:rPr>
          <w:rFonts w:cs="David" w:hint="cs"/>
          <w:b/>
          <w:bCs/>
          <w:sz w:val="22"/>
          <w:szCs w:val="22"/>
          <w:rtl/>
        </w:rPr>
        <w:t>-</w:t>
      </w:r>
      <w:r w:rsidRPr="00FB79EE">
        <w:rPr>
          <w:rFonts w:cs="David"/>
          <w:b/>
          <w:bCs/>
          <w:sz w:val="22"/>
          <w:szCs w:val="22"/>
          <w:rtl/>
        </w:rPr>
        <w:t>1971</w:t>
      </w:r>
    </w:p>
    <w:p w:rsidR="005366A8" w:rsidRPr="00FB79EE" w:rsidRDefault="005366A8" w:rsidP="005366A8">
      <w:pPr>
        <w:pStyle w:val="header-2"/>
        <w:spacing w:before="0"/>
        <w:ind w:left="720" w:right="142"/>
        <w:rPr>
          <w:rFonts w:cs="David"/>
          <w:rtl/>
        </w:rPr>
      </w:pPr>
      <w:r w:rsidRPr="00FB79EE">
        <w:rPr>
          <w:rFonts w:cs="David"/>
          <w:rtl/>
        </w:rPr>
        <w:t>סי</w:t>
      </w:r>
      <w:r w:rsidRPr="00FB79EE">
        <w:rPr>
          <w:rFonts w:cs="David" w:hint="cs"/>
          <w:rtl/>
        </w:rPr>
        <w:t>מן ב': אסיפות ותהלוכות</w:t>
      </w:r>
    </w:p>
    <w:p w:rsidR="005366A8" w:rsidRPr="00FB79EE" w:rsidRDefault="005D7968" w:rsidP="005366A8">
      <w:pPr>
        <w:pStyle w:val="P00"/>
        <w:spacing w:before="72"/>
        <w:ind w:left="720" w:right="142"/>
        <w:rPr>
          <w:rStyle w:val="default"/>
          <w:rFonts w:cs="David"/>
          <w:szCs w:val="20"/>
          <w:rtl/>
        </w:rPr>
      </w:pPr>
      <w:bookmarkStart w:id="10" w:name="Seif150"/>
      <w:bookmarkStart w:id="11" w:name="Seif104"/>
      <w:bookmarkEnd w:id="10"/>
      <w:bookmarkEnd w:id="11"/>
      <w:r w:rsidRPr="005D7968">
        <w:rPr>
          <w:rFonts w:cs="David"/>
          <w:szCs w:val="20"/>
          <w:rtl/>
          <w:lang w:val="he-IL"/>
        </w:rPr>
        <w:pict>
          <v:rect id="_x0000_s1157" style="position:absolute;left:0;text-align:left;margin-left:464.5pt;margin-top:8.05pt;width:75.05pt;height:8pt;z-index:251799552" o:allowincell="f" filled="f" stroked="f" strokecolor="lime" strokeweight=".25pt">
            <v:textbox style="mso-next-textbox:#_x0000_s1157" inset="0,0,0,0">
              <w:txbxContent>
                <w:p w:rsidR="005366A8" w:rsidRDefault="005366A8" w:rsidP="005366A8">
                  <w:pPr>
                    <w:spacing w:line="160" w:lineRule="exact"/>
                    <w:rPr>
                      <w:rFonts w:cs="Miriam"/>
                      <w:noProof/>
                      <w:sz w:val="18"/>
                      <w:szCs w:val="18"/>
                      <w:rtl/>
                    </w:rPr>
                  </w:pPr>
                  <w:r>
                    <w:rPr>
                      <w:rFonts w:cs="Miriam"/>
                      <w:sz w:val="18"/>
                      <w:szCs w:val="18"/>
                      <w:rtl/>
                    </w:rPr>
                    <w:t>הג</w:t>
                  </w:r>
                  <w:r>
                    <w:rPr>
                      <w:rFonts w:cs="Miriam" w:hint="cs"/>
                      <w:sz w:val="18"/>
                      <w:szCs w:val="18"/>
                      <w:rtl/>
                    </w:rPr>
                    <w:t>דרות</w:t>
                  </w:r>
                </w:p>
              </w:txbxContent>
            </v:textbox>
            <w10:anchorlock/>
          </v:rect>
        </w:pict>
      </w:r>
      <w:r w:rsidR="005366A8" w:rsidRPr="00FB79EE">
        <w:rPr>
          <w:rStyle w:val="big-number"/>
          <w:rFonts w:cs="David"/>
          <w:szCs w:val="20"/>
          <w:rtl/>
        </w:rPr>
        <w:t>83.</w:t>
      </w:r>
      <w:r w:rsidR="005366A8" w:rsidRPr="00FB79EE">
        <w:rPr>
          <w:rStyle w:val="big-number"/>
          <w:rFonts w:cs="David"/>
          <w:szCs w:val="20"/>
          <w:rtl/>
        </w:rPr>
        <w:tab/>
      </w:r>
      <w:r w:rsidR="005366A8" w:rsidRPr="00FB79EE">
        <w:rPr>
          <w:rStyle w:val="default"/>
          <w:rFonts w:cs="David"/>
          <w:szCs w:val="20"/>
          <w:rtl/>
        </w:rPr>
        <w:t>בס</w:t>
      </w:r>
      <w:r w:rsidR="005366A8" w:rsidRPr="00FB79EE">
        <w:rPr>
          <w:rStyle w:val="default"/>
          <w:rFonts w:cs="David" w:hint="cs"/>
          <w:szCs w:val="20"/>
          <w:rtl/>
        </w:rPr>
        <w:t xml:space="preserve">ימן זה </w:t>
      </w:r>
      <w:r w:rsidR="005366A8" w:rsidRPr="00FB79EE">
        <w:rPr>
          <w:rStyle w:val="default"/>
          <w:rFonts w:cs="David"/>
          <w:szCs w:val="20"/>
          <w:rtl/>
        </w:rPr>
        <w:t>–</w:t>
      </w:r>
    </w:p>
    <w:p w:rsidR="005366A8" w:rsidRPr="00FB79EE" w:rsidRDefault="005366A8" w:rsidP="005366A8">
      <w:pPr>
        <w:pStyle w:val="P00"/>
        <w:spacing w:before="72"/>
        <w:ind w:left="720" w:right="142"/>
        <w:rPr>
          <w:rStyle w:val="default"/>
          <w:rFonts w:cs="David"/>
          <w:szCs w:val="20"/>
          <w:rtl/>
        </w:rPr>
      </w:pPr>
      <w:r w:rsidRPr="00FB79EE">
        <w:rPr>
          <w:rFonts w:cs="David"/>
          <w:szCs w:val="20"/>
          <w:rtl/>
        </w:rPr>
        <w:tab/>
      </w:r>
      <w:r w:rsidRPr="00FB79EE">
        <w:rPr>
          <w:rStyle w:val="default"/>
          <w:rFonts w:cs="David"/>
          <w:szCs w:val="20"/>
          <w:rtl/>
        </w:rPr>
        <w:t>"א</w:t>
      </w:r>
      <w:r w:rsidRPr="00FB79EE">
        <w:rPr>
          <w:rStyle w:val="default"/>
          <w:rFonts w:cs="David" w:hint="cs"/>
          <w:szCs w:val="20"/>
          <w:rtl/>
        </w:rPr>
        <w:t xml:space="preserve">סיפה" </w:t>
      </w:r>
      <w:r w:rsidRPr="00FB79EE">
        <w:rPr>
          <w:rStyle w:val="default"/>
          <w:rFonts w:cs="David"/>
          <w:szCs w:val="20"/>
          <w:rtl/>
        </w:rPr>
        <w:t xml:space="preserve">– </w:t>
      </w:r>
      <w:r w:rsidRPr="00FB79EE">
        <w:rPr>
          <w:rStyle w:val="default"/>
          <w:rFonts w:cs="David" w:hint="cs"/>
          <w:szCs w:val="20"/>
          <w:rtl/>
        </w:rPr>
        <w:t>חמישים איש או יותר שהתקהלו כדי לשמוע נאום או הרצאה על נושא בעל ענין מדיני או כדי לדון בנושא כזה;</w:t>
      </w:r>
    </w:p>
    <w:p w:rsidR="005366A8" w:rsidRPr="00FB79EE" w:rsidRDefault="005366A8" w:rsidP="005366A8">
      <w:pPr>
        <w:pStyle w:val="P00"/>
        <w:spacing w:before="72"/>
        <w:ind w:left="720" w:right="142"/>
        <w:rPr>
          <w:rStyle w:val="default"/>
          <w:rFonts w:cs="David"/>
          <w:szCs w:val="20"/>
          <w:rtl/>
        </w:rPr>
      </w:pPr>
      <w:r w:rsidRPr="00FB79EE">
        <w:rPr>
          <w:rFonts w:cs="David"/>
          <w:szCs w:val="20"/>
          <w:rtl/>
        </w:rPr>
        <w:tab/>
      </w:r>
      <w:r w:rsidRPr="00FB79EE">
        <w:rPr>
          <w:rStyle w:val="default"/>
          <w:rFonts w:cs="David"/>
          <w:szCs w:val="20"/>
          <w:rtl/>
        </w:rPr>
        <w:t>"ת</w:t>
      </w:r>
      <w:r w:rsidRPr="00FB79EE">
        <w:rPr>
          <w:rStyle w:val="default"/>
          <w:rFonts w:cs="David" w:hint="cs"/>
          <w:szCs w:val="20"/>
          <w:rtl/>
        </w:rPr>
        <w:t xml:space="preserve">הלוכה" </w:t>
      </w:r>
      <w:r w:rsidRPr="00FB79EE">
        <w:rPr>
          <w:rStyle w:val="default"/>
          <w:rFonts w:cs="David"/>
          <w:szCs w:val="20"/>
          <w:rtl/>
        </w:rPr>
        <w:t xml:space="preserve">– </w:t>
      </w:r>
      <w:r w:rsidRPr="00FB79EE">
        <w:rPr>
          <w:rStyle w:val="default"/>
          <w:rFonts w:cs="David" w:hint="cs"/>
          <w:szCs w:val="20"/>
          <w:rtl/>
        </w:rPr>
        <w:t>חמישים איש או יותר המהלכים יחד, או המתקהלים כדי להלך יחד</w:t>
      </w:r>
      <w:r w:rsidRPr="00FB79EE">
        <w:rPr>
          <w:rStyle w:val="default"/>
          <w:rFonts w:cs="David"/>
          <w:szCs w:val="20"/>
          <w:rtl/>
        </w:rPr>
        <w:t>, מ</w:t>
      </w:r>
      <w:r w:rsidRPr="00FB79EE">
        <w:rPr>
          <w:rStyle w:val="default"/>
          <w:rFonts w:cs="David" w:hint="cs"/>
          <w:szCs w:val="20"/>
          <w:rtl/>
        </w:rPr>
        <w:t>מקום למקום, בין שהם בתנועה ממש ובין אם לאו, בין שהם ערוכים בצורה כלשהי ובין אם לאו;</w:t>
      </w:r>
    </w:p>
    <w:p w:rsidR="005366A8" w:rsidRPr="00FB79EE" w:rsidRDefault="005366A8" w:rsidP="005366A8">
      <w:pPr>
        <w:pStyle w:val="P00"/>
        <w:spacing w:before="72"/>
        <w:ind w:left="720" w:right="142"/>
        <w:rPr>
          <w:rStyle w:val="default"/>
          <w:rFonts w:cs="David"/>
          <w:szCs w:val="20"/>
          <w:rtl/>
        </w:rPr>
      </w:pPr>
      <w:r w:rsidRPr="00FB79EE">
        <w:rPr>
          <w:rFonts w:cs="David"/>
          <w:szCs w:val="20"/>
          <w:rtl/>
        </w:rPr>
        <w:tab/>
      </w:r>
      <w:r w:rsidRPr="00FB79EE">
        <w:rPr>
          <w:rStyle w:val="default"/>
          <w:rFonts w:cs="David"/>
          <w:szCs w:val="20"/>
          <w:rtl/>
        </w:rPr>
        <w:t>"מ</w:t>
      </w:r>
      <w:r w:rsidRPr="00FB79EE">
        <w:rPr>
          <w:rStyle w:val="default"/>
          <w:rFonts w:cs="David" w:hint="cs"/>
          <w:szCs w:val="20"/>
          <w:rtl/>
        </w:rPr>
        <w:t xml:space="preserve">חוז", לענין סעיף 84 </w:t>
      </w:r>
      <w:r w:rsidRPr="00FB79EE">
        <w:rPr>
          <w:rStyle w:val="default"/>
          <w:rFonts w:cs="David"/>
          <w:szCs w:val="20"/>
          <w:rtl/>
        </w:rPr>
        <w:t xml:space="preserve">– </w:t>
      </w:r>
      <w:r w:rsidRPr="00FB79EE">
        <w:rPr>
          <w:rStyle w:val="default"/>
          <w:rFonts w:cs="David" w:hint="cs"/>
          <w:szCs w:val="20"/>
          <w:rtl/>
        </w:rPr>
        <w:t>מחוז משטרה, או כל תחום משטרתי משני שהמשטרה שבו נתונה לפיקודו של קצין המשטרה הבכיר שנתן את ההוד</w:t>
      </w:r>
      <w:r w:rsidRPr="00FB79EE">
        <w:rPr>
          <w:rStyle w:val="default"/>
          <w:rFonts w:cs="David"/>
          <w:szCs w:val="20"/>
          <w:rtl/>
        </w:rPr>
        <w:t>ע</w:t>
      </w:r>
      <w:r w:rsidRPr="00FB79EE">
        <w:rPr>
          <w:rStyle w:val="default"/>
          <w:rFonts w:cs="David" w:hint="cs"/>
          <w:szCs w:val="20"/>
          <w:rtl/>
        </w:rPr>
        <w:t>ה לפי אותו סעיף.</w:t>
      </w:r>
    </w:p>
    <w:p w:rsidR="005366A8" w:rsidRPr="00FB79EE" w:rsidRDefault="005D7968" w:rsidP="005366A8">
      <w:pPr>
        <w:pStyle w:val="P00"/>
        <w:spacing w:before="72"/>
        <w:ind w:left="720" w:right="142"/>
        <w:rPr>
          <w:rStyle w:val="default"/>
          <w:rFonts w:cs="David"/>
          <w:szCs w:val="20"/>
          <w:rtl/>
        </w:rPr>
      </w:pPr>
      <w:bookmarkStart w:id="12" w:name="Seif151"/>
      <w:bookmarkStart w:id="13" w:name="Seif105"/>
      <w:bookmarkEnd w:id="12"/>
      <w:bookmarkEnd w:id="13"/>
      <w:r w:rsidRPr="005D7968">
        <w:rPr>
          <w:rFonts w:cs="David"/>
          <w:szCs w:val="20"/>
          <w:rtl/>
          <w:lang w:val="he-IL"/>
        </w:rPr>
        <w:pict>
          <v:rect id="_x0000_s1158" style="position:absolute;left:0;text-align:left;margin-left:464.5pt;margin-top:8.05pt;width:75.05pt;height:8pt;z-index:251800576" o:allowincell="f" filled="f" stroked="f" strokecolor="lime" strokeweight=".25pt">
            <v:textbox style="mso-next-textbox:#_x0000_s1158" inset="0,0,0,0">
              <w:txbxContent>
                <w:p w:rsidR="005366A8" w:rsidRDefault="005366A8" w:rsidP="005366A8">
                  <w:pPr>
                    <w:spacing w:line="160" w:lineRule="exact"/>
                    <w:rPr>
                      <w:rFonts w:cs="Miriam"/>
                      <w:noProof/>
                      <w:sz w:val="18"/>
                      <w:szCs w:val="18"/>
                      <w:rtl/>
                    </w:rPr>
                  </w:pPr>
                  <w:r>
                    <w:rPr>
                      <w:rFonts w:cs="Miriam"/>
                      <w:sz w:val="18"/>
                      <w:szCs w:val="18"/>
                      <w:rtl/>
                    </w:rPr>
                    <w:t>הסדר</w:t>
                  </w:r>
                  <w:r>
                    <w:rPr>
                      <w:rFonts w:cs="Miriam" w:hint="cs"/>
                      <w:sz w:val="18"/>
                      <w:szCs w:val="18"/>
                      <w:rtl/>
                    </w:rPr>
                    <w:t>ת אסיפות ותהלוכות</w:t>
                  </w:r>
                </w:p>
              </w:txbxContent>
            </v:textbox>
            <w10:anchorlock/>
          </v:rect>
        </w:pict>
      </w:r>
      <w:r w:rsidR="005366A8" w:rsidRPr="00FB79EE">
        <w:rPr>
          <w:rStyle w:val="big-number"/>
          <w:rFonts w:cs="David"/>
          <w:szCs w:val="20"/>
          <w:rtl/>
        </w:rPr>
        <w:t>84.</w:t>
      </w:r>
      <w:r w:rsidR="005366A8" w:rsidRPr="00FB79EE">
        <w:rPr>
          <w:rStyle w:val="big-number"/>
          <w:rFonts w:cs="David"/>
          <w:szCs w:val="20"/>
          <w:rtl/>
        </w:rPr>
        <w:tab/>
      </w:r>
      <w:r w:rsidR="005366A8" w:rsidRPr="00FB79EE">
        <w:rPr>
          <w:rStyle w:val="default"/>
          <w:rFonts w:cs="David"/>
          <w:szCs w:val="20"/>
          <w:rtl/>
        </w:rPr>
        <w:t>(א</w:t>
      </w:r>
      <w:r w:rsidR="005366A8" w:rsidRPr="00FB79EE">
        <w:rPr>
          <w:rStyle w:val="default"/>
          <w:rFonts w:cs="David" w:hint="cs"/>
          <w:szCs w:val="20"/>
          <w:rtl/>
        </w:rPr>
        <w:t>)</w:t>
      </w:r>
      <w:r w:rsidR="005366A8" w:rsidRPr="00FB79EE">
        <w:rPr>
          <w:rStyle w:val="default"/>
          <w:rFonts w:cs="David"/>
          <w:szCs w:val="20"/>
          <w:rtl/>
        </w:rPr>
        <w:tab/>
        <w:t>ס</w:t>
      </w:r>
      <w:r w:rsidR="005366A8" w:rsidRPr="00FB79EE">
        <w:rPr>
          <w:rStyle w:val="default"/>
          <w:rFonts w:cs="David" w:hint="cs"/>
          <w:szCs w:val="20"/>
          <w:rtl/>
        </w:rPr>
        <w:t>בור מפקד משטרת המחוז כ</w:t>
      </w:r>
      <w:r w:rsidR="005366A8" w:rsidRPr="00FB79EE">
        <w:rPr>
          <w:rStyle w:val="default"/>
          <w:rFonts w:cs="David"/>
          <w:szCs w:val="20"/>
          <w:rtl/>
        </w:rPr>
        <w:t xml:space="preserve">י </w:t>
      </w:r>
      <w:r w:rsidR="005366A8" w:rsidRPr="00FB79EE">
        <w:rPr>
          <w:rStyle w:val="default"/>
          <w:rFonts w:cs="David" w:hint="cs"/>
          <w:szCs w:val="20"/>
          <w:rtl/>
        </w:rPr>
        <w:t>קיום הבטחון הציבורי או הסדר הציבורי מחייבים זאת, רשאי הוא לדרוש, בהודעה לציבור, כללית או מיוחדת, שכל הרוצה להועיד, לארגן או לקיים במחוזו אסיפה או תהלוכה יבקש בכתב מאת הממונה רשיון לכך, לא פחות מחמישה ימים או זמן אחר שיפורש בהודעה לפני היום שנועד לקיום ה</w:t>
      </w:r>
      <w:r w:rsidR="005366A8" w:rsidRPr="00FB79EE">
        <w:rPr>
          <w:rStyle w:val="default"/>
          <w:rFonts w:cs="David"/>
          <w:szCs w:val="20"/>
          <w:rtl/>
        </w:rPr>
        <w:t>א</w:t>
      </w:r>
      <w:r w:rsidR="005366A8" w:rsidRPr="00FB79EE">
        <w:rPr>
          <w:rStyle w:val="default"/>
          <w:rFonts w:cs="David" w:hint="cs"/>
          <w:szCs w:val="20"/>
          <w:rtl/>
        </w:rPr>
        <w:t>ס</w:t>
      </w:r>
      <w:r w:rsidR="005366A8" w:rsidRPr="00FB79EE">
        <w:rPr>
          <w:rStyle w:val="default"/>
          <w:rFonts w:cs="David"/>
          <w:szCs w:val="20"/>
          <w:rtl/>
        </w:rPr>
        <w:t>י</w:t>
      </w:r>
      <w:r w:rsidR="005366A8" w:rsidRPr="00FB79EE">
        <w:rPr>
          <w:rStyle w:val="default"/>
          <w:rFonts w:cs="David" w:hint="cs"/>
          <w:szCs w:val="20"/>
          <w:rtl/>
        </w:rPr>
        <w:t>פה או התהלוכה.</w:t>
      </w:r>
      <w:r w:rsidR="005366A8" w:rsidRPr="00FB79EE">
        <w:rPr>
          <w:rFonts w:cs="David"/>
          <w:szCs w:val="20"/>
          <w:rtl/>
        </w:rPr>
        <w:tab/>
      </w:r>
      <w:r w:rsidR="005366A8">
        <w:rPr>
          <w:rStyle w:val="default"/>
          <w:rFonts w:cs="David" w:hint="cs"/>
          <w:szCs w:val="20"/>
          <w:rtl/>
        </w:rPr>
        <w:t xml:space="preserve"> [...]</w:t>
      </w:r>
    </w:p>
    <w:p w:rsidR="005366A8" w:rsidRPr="00FB79EE" w:rsidRDefault="005D7968" w:rsidP="005366A8">
      <w:pPr>
        <w:pStyle w:val="P00"/>
        <w:spacing w:before="72"/>
        <w:ind w:left="720" w:right="142"/>
        <w:rPr>
          <w:rStyle w:val="default"/>
          <w:rFonts w:cs="David"/>
          <w:szCs w:val="20"/>
          <w:rtl/>
        </w:rPr>
      </w:pPr>
      <w:bookmarkStart w:id="14" w:name="Seif152"/>
      <w:bookmarkStart w:id="15" w:name="Seif106"/>
      <w:bookmarkEnd w:id="14"/>
      <w:bookmarkEnd w:id="15"/>
      <w:r w:rsidRPr="005D7968">
        <w:rPr>
          <w:rFonts w:cs="David"/>
          <w:szCs w:val="20"/>
          <w:rtl/>
          <w:lang w:val="he-IL"/>
        </w:rPr>
        <w:pict>
          <v:rect id="_x0000_s1159" style="position:absolute;left:0;text-align:left;margin-left:464.5pt;margin-top:8.05pt;width:75.05pt;height:8pt;z-index:251801600" o:allowincell="f" filled="f" stroked="f" strokecolor="lime" strokeweight=".25pt">
            <v:textbox style="mso-next-textbox:#_x0000_s1159" inset="0,0,0,0">
              <w:txbxContent>
                <w:p w:rsidR="005366A8" w:rsidRDefault="005366A8" w:rsidP="005366A8">
                  <w:pPr>
                    <w:spacing w:line="160" w:lineRule="exact"/>
                    <w:rPr>
                      <w:rFonts w:cs="Miriam"/>
                      <w:noProof/>
                      <w:sz w:val="18"/>
                      <w:szCs w:val="18"/>
                      <w:rtl/>
                    </w:rPr>
                  </w:pPr>
                  <w:r>
                    <w:rPr>
                      <w:rFonts w:cs="Miriam"/>
                      <w:sz w:val="18"/>
                      <w:szCs w:val="18"/>
                      <w:rtl/>
                    </w:rPr>
                    <w:t>רי</w:t>
                  </w:r>
                  <w:r>
                    <w:rPr>
                      <w:rFonts w:cs="Miriam" w:hint="cs"/>
                      <w:sz w:val="18"/>
                      <w:szCs w:val="18"/>
                      <w:rtl/>
                    </w:rPr>
                    <w:t>שוי</w:t>
                  </w:r>
                </w:p>
              </w:txbxContent>
            </v:textbox>
            <w10:anchorlock/>
          </v:rect>
        </w:pict>
      </w:r>
      <w:r w:rsidR="005366A8" w:rsidRPr="00FB79EE">
        <w:rPr>
          <w:rStyle w:val="big-number"/>
          <w:rFonts w:cs="David"/>
          <w:szCs w:val="20"/>
          <w:rtl/>
        </w:rPr>
        <w:t>85.</w:t>
      </w:r>
      <w:r w:rsidR="005366A8" w:rsidRPr="00FB79EE">
        <w:rPr>
          <w:rStyle w:val="big-number"/>
          <w:rFonts w:cs="David"/>
          <w:szCs w:val="20"/>
          <w:rtl/>
        </w:rPr>
        <w:tab/>
      </w:r>
      <w:r w:rsidR="005366A8" w:rsidRPr="00FB79EE">
        <w:rPr>
          <w:rStyle w:val="default"/>
          <w:rFonts w:cs="David"/>
          <w:szCs w:val="20"/>
          <w:rtl/>
        </w:rPr>
        <w:t>הו</w:t>
      </w:r>
      <w:r w:rsidR="005366A8" w:rsidRPr="00FB79EE">
        <w:rPr>
          <w:rStyle w:val="default"/>
          <w:rFonts w:cs="David" w:hint="cs"/>
          <w:szCs w:val="20"/>
          <w:rtl/>
        </w:rPr>
        <w:t>גשה בקשה לרשיון, בעקבות ה</w:t>
      </w:r>
      <w:r w:rsidR="005366A8" w:rsidRPr="00FB79EE">
        <w:rPr>
          <w:rStyle w:val="default"/>
          <w:rFonts w:cs="David"/>
          <w:szCs w:val="20"/>
          <w:rtl/>
        </w:rPr>
        <w:t>וד</w:t>
      </w:r>
      <w:r w:rsidR="005366A8" w:rsidRPr="00FB79EE">
        <w:rPr>
          <w:rStyle w:val="default"/>
          <w:rFonts w:cs="David" w:hint="cs"/>
          <w:szCs w:val="20"/>
          <w:rtl/>
        </w:rPr>
        <w:t xml:space="preserve">עה שפורסמה לפי סעיף 84, רשאי הממונה </w:t>
      </w:r>
      <w:r w:rsidR="005366A8" w:rsidRPr="00FB79EE">
        <w:rPr>
          <w:rStyle w:val="default"/>
          <w:rFonts w:cs="David"/>
          <w:szCs w:val="20"/>
          <w:rtl/>
        </w:rPr>
        <w:t>–</w:t>
      </w:r>
    </w:p>
    <w:p w:rsidR="005366A8" w:rsidRPr="00FB79EE" w:rsidRDefault="005366A8" w:rsidP="005366A8">
      <w:pPr>
        <w:pStyle w:val="P22"/>
        <w:spacing w:before="72"/>
        <w:ind w:left="1741" w:right="142"/>
        <w:rPr>
          <w:rStyle w:val="default"/>
          <w:rFonts w:cs="David"/>
          <w:szCs w:val="20"/>
          <w:rtl/>
        </w:rPr>
      </w:pPr>
      <w:r w:rsidRPr="00FB79EE">
        <w:rPr>
          <w:rStyle w:val="default"/>
          <w:rFonts w:cs="David"/>
          <w:szCs w:val="20"/>
          <w:rtl/>
        </w:rPr>
        <w:t>(1)</w:t>
      </w:r>
      <w:r w:rsidRPr="00FB79EE">
        <w:rPr>
          <w:rStyle w:val="default"/>
          <w:rFonts w:cs="David"/>
          <w:szCs w:val="20"/>
          <w:rtl/>
        </w:rPr>
        <w:tab/>
        <w:t>ל</w:t>
      </w:r>
      <w:r w:rsidRPr="00FB79EE">
        <w:rPr>
          <w:rStyle w:val="default"/>
          <w:rFonts w:cs="David" w:hint="cs"/>
          <w:szCs w:val="20"/>
          <w:rtl/>
        </w:rPr>
        <w:t>יתן את הרשיון;</w:t>
      </w:r>
    </w:p>
    <w:p w:rsidR="005366A8" w:rsidRPr="00FB79EE" w:rsidRDefault="005366A8" w:rsidP="005366A8">
      <w:pPr>
        <w:pStyle w:val="P22"/>
        <w:spacing w:before="72"/>
        <w:ind w:left="1741" w:right="142"/>
        <w:rPr>
          <w:rStyle w:val="default"/>
          <w:rFonts w:cs="David"/>
          <w:szCs w:val="20"/>
          <w:rtl/>
        </w:rPr>
      </w:pPr>
      <w:r w:rsidRPr="00FB79EE">
        <w:rPr>
          <w:rStyle w:val="default"/>
          <w:rFonts w:cs="David" w:hint="cs"/>
          <w:szCs w:val="20"/>
          <w:rtl/>
        </w:rPr>
        <w:t>(</w:t>
      </w:r>
      <w:r w:rsidRPr="00FB79EE">
        <w:rPr>
          <w:rStyle w:val="default"/>
          <w:rFonts w:cs="David"/>
          <w:szCs w:val="20"/>
          <w:rtl/>
        </w:rPr>
        <w:t>2)</w:t>
      </w:r>
      <w:r w:rsidRPr="00FB79EE">
        <w:rPr>
          <w:rStyle w:val="default"/>
          <w:rFonts w:cs="David"/>
          <w:szCs w:val="20"/>
          <w:rtl/>
        </w:rPr>
        <w:tab/>
        <w:t>ל</w:t>
      </w:r>
      <w:r w:rsidRPr="00FB79EE">
        <w:rPr>
          <w:rStyle w:val="default"/>
          <w:rFonts w:cs="David" w:hint="cs"/>
          <w:szCs w:val="20"/>
          <w:rtl/>
        </w:rPr>
        <w:t>יתן את הרשיון בערובה או בתנאים או בסייגים אחרים שיראה לנכון לחייב בהם, והתנאים והסייגים יירשמו על גבי הרשיון;</w:t>
      </w:r>
    </w:p>
    <w:p w:rsidR="005366A8" w:rsidRPr="00FB79EE" w:rsidRDefault="005366A8" w:rsidP="005366A8">
      <w:pPr>
        <w:pStyle w:val="P22"/>
        <w:spacing w:before="72"/>
        <w:ind w:left="1741" w:right="142"/>
        <w:rPr>
          <w:rStyle w:val="default"/>
          <w:rFonts w:cs="David"/>
          <w:szCs w:val="20"/>
          <w:rtl/>
        </w:rPr>
      </w:pPr>
      <w:r w:rsidRPr="00FB79EE">
        <w:rPr>
          <w:rStyle w:val="default"/>
          <w:rFonts w:cs="David" w:hint="cs"/>
          <w:szCs w:val="20"/>
          <w:rtl/>
        </w:rPr>
        <w:t>(3)</w:t>
      </w:r>
      <w:r w:rsidRPr="00FB79EE">
        <w:rPr>
          <w:rStyle w:val="default"/>
          <w:rFonts w:cs="David"/>
          <w:szCs w:val="20"/>
          <w:rtl/>
        </w:rPr>
        <w:tab/>
        <w:t>ל</w:t>
      </w:r>
      <w:r w:rsidRPr="00FB79EE">
        <w:rPr>
          <w:rStyle w:val="default"/>
          <w:rFonts w:cs="David" w:hint="cs"/>
          <w:szCs w:val="20"/>
          <w:rtl/>
        </w:rPr>
        <w:t>סרב ליתן את הרשיון.</w:t>
      </w:r>
    </w:p>
    <w:p w:rsidR="005366A8" w:rsidRPr="00FB79EE" w:rsidRDefault="005D7968" w:rsidP="005366A8">
      <w:pPr>
        <w:pStyle w:val="P00"/>
        <w:spacing w:before="72"/>
        <w:ind w:left="720" w:right="142"/>
        <w:rPr>
          <w:rStyle w:val="default"/>
          <w:rFonts w:cs="David"/>
          <w:szCs w:val="20"/>
          <w:rtl/>
        </w:rPr>
      </w:pPr>
      <w:bookmarkStart w:id="16" w:name="Seif153"/>
      <w:bookmarkStart w:id="17" w:name="Seif107"/>
      <w:bookmarkEnd w:id="16"/>
      <w:bookmarkEnd w:id="17"/>
      <w:r w:rsidRPr="005D7968">
        <w:rPr>
          <w:rFonts w:cs="David"/>
          <w:szCs w:val="20"/>
          <w:rtl/>
          <w:lang w:val="he-IL"/>
        </w:rPr>
        <w:pict>
          <v:rect id="_x0000_s1160" style="position:absolute;left:0;text-align:left;margin-left:464.5pt;margin-top:8.05pt;width:75.05pt;height:19.65pt;z-index:251802624" o:allowincell="f" filled="f" stroked="f" strokecolor="lime" strokeweight=".25pt">
            <v:textbox style="mso-next-textbox:#_x0000_s1160" inset="0,0,0,0">
              <w:txbxContent>
                <w:p w:rsidR="005366A8" w:rsidRDefault="005366A8" w:rsidP="005366A8">
                  <w:pPr>
                    <w:spacing w:line="160" w:lineRule="exact"/>
                    <w:rPr>
                      <w:rFonts w:cs="Miriam"/>
                      <w:sz w:val="18"/>
                      <w:szCs w:val="18"/>
                      <w:rtl/>
                    </w:rPr>
                  </w:pPr>
                  <w:r>
                    <w:rPr>
                      <w:rFonts w:cs="Miriam"/>
                      <w:sz w:val="18"/>
                      <w:szCs w:val="18"/>
                      <w:rtl/>
                    </w:rPr>
                    <w:t>רש</w:t>
                  </w:r>
                  <w:r>
                    <w:rPr>
                      <w:rFonts w:cs="Miriam" w:hint="cs"/>
                      <w:sz w:val="18"/>
                      <w:szCs w:val="18"/>
                      <w:rtl/>
                    </w:rPr>
                    <w:t xml:space="preserve">יון פטור </w:t>
                  </w:r>
                </w:p>
                <w:p w:rsidR="005366A8" w:rsidRDefault="005366A8" w:rsidP="005366A8">
                  <w:pPr>
                    <w:spacing w:line="160" w:lineRule="exact"/>
                    <w:rPr>
                      <w:rFonts w:cs="Miriam"/>
                      <w:noProof/>
                      <w:sz w:val="18"/>
                      <w:szCs w:val="18"/>
                      <w:rtl/>
                    </w:rPr>
                  </w:pPr>
                  <w:r>
                    <w:rPr>
                      <w:rFonts w:cs="Miriam" w:hint="cs"/>
                      <w:sz w:val="18"/>
                      <w:szCs w:val="18"/>
                      <w:rtl/>
                    </w:rPr>
                    <w:t>מאגרה</w:t>
                  </w:r>
                </w:p>
              </w:txbxContent>
            </v:textbox>
            <w10:anchorlock/>
          </v:rect>
        </w:pict>
      </w:r>
      <w:r w:rsidR="005366A8" w:rsidRPr="00FB79EE">
        <w:rPr>
          <w:rStyle w:val="big-number"/>
          <w:rFonts w:cs="David"/>
          <w:szCs w:val="20"/>
          <w:rtl/>
        </w:rPr>
        <w:t>86.</w:t>
      </w:r>
      <w:r w:rsidR="005366A8" w:rsidRPr="00FB79EE">
        <w:rPr>
          <w:rStyle w:val="big-number"/>
          <w:rFonts w:cs="David"/>
          <w:szCs w:val="20"/>
          <w:rtl/>
        </w:rPr>
        <w:tab/>
      </w:r>
      <w:r w:rsidR="005366A8" w:rsidRPr="00FB79EE">
        <w:rPr>
          <w:rStyle w:val="default"/>
          <w:rFonts w:cs="David"/>
          <w:szCs w:val="20"/>
          <w:rtl/>
        </w:rPr>
        <w:t>אי</w:t>
      </w:r>
      <w:r w:rsidR="005366A8" w:rsidRPr="00FB79EE">
        <w:rPr>
          <w:rStyle w:val="default"/>
          <w:rFonts w:cs="David" w:hint="cs"/>
          <w:szCs w:val="20"/>
          <w:rtl/>
        </w:rPr>
        <w:t>ן חובת אגרה בעד רשיון לפי סעיף 85.</w:t>
      </w:r>
    </w:p>
    <w:p w:rsidR="005366A8" w:rsidRDefault="005366A8" w:rsidP="005366A8">
      <w:pPr>
        <w:rPr>
          <w:rFonts w:ascii="Arial" w:hAnsi="Arial" w:cs="Arial"/>
          <w:sz w:val="20"/>
          <w:szCs w:val="20"/>
          <w:rtl/>
        </w:rPr>
      </w:pPr>
    </w:p>
    <w:p w:rsidR="005366A8" w:rsidRPr="00805D15" w:rsidRDefault="005366A8" w:rsidP="005366A8">
      <w:pPr>
        <w:rPr>
          <w:rFonts w:ascii="Arial" w:hAnsi="Arial" w:cs="Arial"/>
          <w:sz w:val="20"/>
          <w:szCs w:val="20"/>
          <w:rtl/>
        </w:rPr>
      </w:pPr>
    </w:p>
    <w:p w:rsidR="005366A8" w:rsidRDefault="005366A8" w:rsidP="005366A8">
      <w:pPr>
        <w:rPr>
          <w:rFonts w:ascii="Arial" w:hAnsi="Arial" w:cs="Arial"/>
          <w:sz w:val="20"/>
          <w:szCs w:val="20"/>
          <w:rtl/>
        </w:rPr>
      </w:pPr>
      <w:r>
        <w:rPr>
          <w:rFonts w:ascii="Arial" w:hAnsi="Arial" w:cs="Arial" w:hint="cs"/>
          <w:sz w:val="20"/>
          <w:szCs w:val="20"/>
          <w:rtl/>
        </w:rPr>
        <w:t>=-=</w:t>
      </w:r>
    </w:p>
    <w:p w:rsidR="005366A8" w:rsidRDefault="005366A8" w:rsidP="005366A8">
      <w:pPr>
        <w:spacing w:after="120"/>
        <w:jc w:val="center"/>
        <w:rPr>
          <w:rtl/>
        </w:rPr>
      </w:pPr>
      <w:r w:rsidRPr="004D540C">
        <w:rPr>
          <w:rFonts w:hint="cs"/>
          <w:highlight w:val="yellow"/>
          <w:rtl/>
        </w:rPr>
        <w:t>השו' דורנר ב</w:t>
      </w:r>
      <w:r w:rsidRPr="004D540C">
        <w:rPr>
          <w:highlight w:val="yellow"/>
          <w:rtl/>
        </w:rPr>
        <w:t xml:space="preserve">בג"צ 5936/97 </w:t>
      </w:r>
      <w:r w:rsidRPr="004D540C">
        <w:rPr>
          <w:b/>
          <w:bCs/>
          <w:highlight w:val="yellow"/>
          <w:rtl/>
        </w:rPr>
        <w:t>לם נ' מנכ"ל משרד החינוך, התרבות והספורט</w:t>
      </w:r>
      <w:r w:rsidRPr="004D540C">
        <w:rPr>
          <w:highlight w:val="yellow"/>
          <w:rtl/>
        </w:rPr>
        <w:t xml:space="preserve">, פ"ד </w:t>
      </w:r>
      <w:r w:rsidRPr="004D540C">
        <w:rPr>
          <w:rFonts w:hint="cs"/>
          <w:highlight w:val="yellow"/>
          <w:rtl/>
        </w:rPr>
        <w:t>נג(4) 673</w:t>
      </w:r>
      <w:r w:rsidRPr="004D540C">
        <w:rPr>
          <w:rFonts w:hint="cs"/>
          <w:rtl/>
        </w:rPr>
        <w:t xml:space="preserve"> (1999)</w:t>
      </w:r>
    </w:p>
    <w:p w:rsidR="005366A8" w:rsidRPr="003E347E" w:rsidRDefault="005366A8" w:rsidP="005366A8">
      <w:pPr>
        <w:spacing w:after="120"/>
        <w:rPr>
          <w:b/>
          <w:bCs/>
          <w:sz w:val="22"/>
          <w:szCs w:val="22"/>
          <w:rtl/>
        </w:rPr>
      </w:pPr>
      <w:r>
        <w:rPr>
          <w:rFonts w:hint="cs"/>
          <w:b/>
          <w:bCs/>
          <w:sz w:val="22"/>
          <w:szCs w:val="22"/>
          <w:rtl/>
        </w:rPr>
        <w:t>[הסיטואציה ושאלת "הפגיעה" בזכות]</w:t>
      </w:r>
    </w:p>
    <w:p w:rsidR="005366A8" w:rsidRDefault="005366A8" w:rsidP="005366A8">
      <w:pPr>
        <w:rPr>
          <w:rFonts w:cs="FrankRuehl"/>
          <w:sz w:val="22"/>
          <w:szCs w:val="22"/>
          <w:rtl/>
        </w:rPr>
      </w:pPr>
      <w:r>
        <w:rPr>
          <w:rFonts w:cs="FrankRuehl" w:hint="cs"/>
          <w:sz w:val="22"/>
          <w:szCs w:val="22"/>
          <w:rtl/>
        </w:rPr>
        <w:t xml:space="preserve">1. </w:t>
      </w:r>
      <w:r>
        <w:rPr>
          <w:rFonts w:cs="FrankRuehl" w:hint="cs"/>
          <w:sz w:val="22"/>
          <w:szCs w:val="22"/>
          <w:rtl/>
        </w:rPr>
        <w:tab/>
      </w:r>
      <w:r w:rsidRPr="00573C3B">
        <w:rPr>
          <w:rFonts w:cs="FrankRuehl"/>
          <w:sz w:val="22"/>
          <w:szCs w:val="22"/>
          <w:rtl/>
        </w:rPr>
        <w:t>העותרים 1 ו-3 (להלן: העותרים) עוסקים באיבחון של ליקויי למידה אצל תלמידים.</w:t>
      </w:r>
      <w:r>
        <w:rPr>
          <w:rFonts w:cs="FrankRuehl" w:hint="cs"/>
          <w:sz w:val="22"/>
          <w:szCs w:val="22"/>
          <w:rtl/>
        </w:rPr>
        <w:t xml:space="preserve"> [...] </w:t>
      </w:r>
    </w:p>
    <w:p w:rsidR="005366A8" w:rsidRDefault="005366A8" w:rsidP="005366A8">
      <w:pPr>
        <w:rPr>
          <w:rFonts w:cs="FrankRuehl"/>
          <w:sz w:val="22"/>
          <w:szCs w:val="22"/>
          <w:rtl/>
        </w:rPr>
      </w:pPr>
      <w:r w:rsidRPr="00573C3B">
        <w:rPr>
          <w:rFonts w:cs="FrankRuehl"/>
          <w:sz w:val="22"/>
          <w:szCs w:val="22"/>
          <w:rtl/>
        </w:rPr>
        <w:t xml:space="preserve">2. </w:t>
      </w:r>
      <w:r>
        <w:rPr>
          <w:rFonts w:cs="FrankRuehl" w:hint="cs"/>
          <w:sz w:val="22"/>
          <w:szCs w:val="22"/>
          <w:rtl/>
        </w:rPr>
        <w:tab/>
      </w:r>
      <w:r w:rsidRPr="00573C3B">
        <w:rPr>
          <w:rFonts w:cs="FrankRuehl"/>
          <w:sz w:val="22"/>
          <w:szCs w:val="22"/>
          <w:rtl/>
        </w:rPr>
        <w:t xml:space="preserve">בחודש ספטמבר 1996 הוציא משרד החינוך </w:t>
      </w:r>
      <w:r w:rsidRPr="005F2CE2">
        <w:rPr>
          <w:rFonts w:cs="FrankRuehl"/>
          <w:sz w:val="22"/>
          <w:szCs w:val="22"/>
          <w:highlight w:val="yellow"/>
          <w:rtl/>
        </w:rPr>
        <w:t>חוזר בחתימת מנהלו הכללי</w:t>
      </w:r>
      <w:r w:rsidRPr="00573C3B">
        <w:rPr>
          <w:rFonts w:cs="FrankRuehl"/>
          <w:sz w:val="22"/>
          <w:szCs w:val="22"/>
          <w:rtl/>
        </w:rPr>
        <w:t xml:space="preserve">, בן -ציון דל, שהופץ במוסדות החינוך בכל הרמות. בחוזר נקבע, כי משרד החינוך יכיר רק באבחנה של ליקויי למידה (אבחנה מבדלת) שנעשתה על-ידי פסיכולוג חינוכי מומחה (כמוגדר בתקנות הפסיכולוגים (אישור תואר מומחה), תשל"ט1979 -). משנשללה ההכרה של מערכת החינוך באיבחוניהם של </w:t>
      </w:r>
      <w:r>
        <w:rPr>
          <w:rFonts w:cs="FrankRuehl" w:hint="cs"/>
          <w:sz w:val="22"/>
          <w:szCs w:val="22"/>
          <w:rtl/>
        </w:rPr>
        <w:t>[העותרים]</w:t>
      </w:r>
      <w:r w:rsidRPr="00573C3B">
        <w:rPr>
          <w:rFonts w:cs="FrankRuehl"/>
          <w:sz w:val="22"/>
          <w:szCs w:val="22"/>
          <w:rtl/>
        </w:rPr>
        <w:t>, שוב לא היה טעם לתלמידים שנזקקו לאיבחון לבקש את שירותיהם. מספר הפונים אליהם ירד במידה ניכרת.</w:t>
      </w:r>
    </w:p>
    <w:p w:rsidR="005366A8" w:rsidRDefault="005366A8" w:rsidP="005366A8">
      <w:pPr>
        <w:rPr>
          <w:rFonts w:cs="FrankRuehl"/>
          <w:sz w:val="22"/>
          <w:szCs w:val="22"/>
          <w:rtl/>
        </w:rPr>
      </w:pPr>
      <w:r>
        <w:rPr>
          <w:rFonts w:cs="FrankRuehl" w:hint="cs"/>
          <w:sz w:val="22"/>
          <w:szCs w:val="22"/>
          <w:rtl/>
        </w:rPr>
        <w:t xml:space="preserve">3. </w:t>
      </w:r>
      <w:r>
        <w:rPr>
          <w:rFonts w:cs="FrankRuehl" w:hint="cs"/>
          <w:sz w:val="22"/>
          <w:szCs w:val="22"/>
          <w:rtl/>
        </w:rPr>
        <w:tab/>
        <w:t xml:space="preserve">[...] </w:t>
      </w:r>
      <w:r w:rsidRPr="00573C3B">
        <w:rPr>
          <w:rFonts w:cs="FrankRuehl"/>
          <w:sz w:val="22"/>
          <w:szCs w:val="22"/>
          <w:rtl/>
        </w:rPr>
        <w:t xml:space="preserve">העותרים טענו בעתירתם, כי העדפת הפסיכולוגים החינוכיים, </w:t>
      </w:r>
      <w:r>
        <w:rPr>
          <w:rFonts w:cs="FrankRuehl" w:hint="cs"/>
          <w:sz w:val="22"/>
          <w:szCs w:val="22"/>
          <w:rtl/>
        </w:rPr>
        <w:t>....</w:t>
      </w:r>
      <w:r w:rsidRPr="00573C3B">
        <w:rPr>
          <w:rFonts w:cs="FrankRuehl"/>
          <w:sz w:val="22"/>
          <w:szCs w:val="22"/>
          <w:rtl/>
        </w:rPr>
        <w:t xml:space="preserve">פוגעת בחופש העיסוק של המאבחנים, ולפיכך נוגדת את הוראות חוק-יסוד: חופש העיסוק. </w:t>
      </w:r>
      <w:r w:rsidRPr="0006593F">
        <w:rPr>
          <w:rFonts w:cs="FrankRuehl"/>
          <w:sz w:val="22"/>
          <w:szCs w:val="22"/>
          <w:highlight w:val="yellow"/>
          <w:rtl/>
        </w:rPr>
        <w:t>בעניין זה העותרים טענו, כי חוזרי המנכ"ל אינם מעוגנים בחוק של הכנסת.</w:t>
      </w:r>
    </w:p>
    <w:p w:rsidR="005366A8" w:rsidRPr="0006593F" w:rsidRDefault="005366A8" w:rsidP="005366A8">
      <w:pPr>
        <w:rPr>
          <w:rFonts w:cs="FrankRuehl"/>
          <w:sz w:val="22"/>
          <w:szCs w:val="22"/>
          <w:rtl/>
        </w:rPr>
      </w:pPr>
      <w:r w:rsidRPr="0006593F">
        <w:rPr>
          <w:rFonts w:cs="FrankRuehl"/>
          <w:sz w:val="22"/>
          <w:szCs w:val="22"/>
          <w:rtl/>
        </w:rPr>
        <w:t xml:space="preserve">5. </w:t>
      </w:r>
      <w:r>
        <w:rPr>
          <w:rFonts w:cs="FrankRuehl" w:hint="cs"/>
          <w:sz w:val="22"/>
          <w:szCs w:val="22"/>
          <w:rtl/>
        </w:rPr>
        <w:tab/>
        <w:t>...</w:t>
      </w:r>
      <w:r w:rsidRPr="0006593F">
        <w:rPr>
          <w:rFonts w:cs="FrankRuehl"/>
          <w:sz w:val="22"/>
          <w:szCs w:val="22"/>
          <w:rtl/>
        </w:rPr>
        <w:t xml:space="preserve"> </w:t>
      </w:r>
      <w:r w:rsidRPr="00B53736">
        <w:rPr>
          <w:rFonts w:cs="FrankRuehl"/>
          <w:sz w:val="22"/>
          <w:szCs w:val="22"/>
          <w:highlight w:val="yellow"/>
          <w:rtl/>
        </w:rPr>
        <w:t xml:space="preserve">המשיבים </w:t>
      </w:r>
      <w:r>
        <w:rPr>
          <w:rFonts w:cs="FrankRuehl" w:hint="cs"/>
          <w:sz w:val="22"/>
          <w:szCs w:val="22"/>
          <w:highlight w:val="yellow"/>
          <w:rtl/>
        </w:rPr>
        <w:t xml:space="preserve">[משרד החינוך] </w:t>
      </w:r>
      <w:r w:rsidRPr="00B53736">
        <w:rPr>
          <w:rFonts w:cs="FrankRuehl"/>
          <w:sz w:val="22"/>
          <w:szCs w:val="22"/>
          <w:highlight w:val="yellow"/>
          <w:rtl/>
        </w:rPr>
        <w:t>טענו כי אין בחוזרי המנכ"ל כל פגיעה בחופש העיסוק</w:t>
      </w:r>
      <w:r w:rsidRPr="0006593F">
        <w:rPr>
          <w:rFonts w:cs="FrankRuehl"/>
          <w:sz w:val="22"/>
          <w:szCs w:val="22"/>
          <w:rtl/>
        </w:rPr>
        <w:t xml:space="preserve">, משום שאין הם אוסרים על העותרים או על אחרים להמשיך בעיסוקם. אין לקבל טענה זאת. </w:t>
      </w:r>
    </w:p>
    <w:p w:rsidR="005366A8" w:rsidRPr="0006593F" w:rsidRDefault="005366A8" w:rsidP="005366A8">
      <w:pPr>
        <w:rPr>
          <w:rFonts w:cs="FrankRuehl"/>
          <w:sz w:val="22"/>
          <w:szCs w:val="22"/>
          <w:rtl/>
        </w:rPr>
      </w:pPr>
      <w:r w:rsidRPr="0006593F">
        <w:rPr>
          <w:rFonts w:cs="FrankRuehl"/>
          <w:sz w:val="22"/>
          <w:szCs w:val="22"/>
          <w:rtl/>
        </w:rPr>
        <w:t xml:space="preserve">השאלה, אם החלטה של רשות מהווה פגיעה בחופש העיסוק, צריכה להיבחן באופן מהותי ולא פורמלי. פגיעה בחופש העיסוק אינה מתרחשת רק כאשר רשות מגבילה ישירות את הזכות לעסוק בכל עבודה או משלח-יד, למשל על-ידי הטלת איסור על העיסוק או דרישת רישיון. גם שלילה בפועל של האפשרות לעסוק בעבודה או משלח-יד מסוימים מהווה פגיעה בחופש העיסוק. </w:t>
      </w:r>
      <w:r>
        <w:rPr>
          <w:rFonts w:cs="FrankRuehl" w:hint="cs"/>
          <w:sz w:val="22"/>
          <w:szCs w:val="22"/>
          <w:rtl/>
        </w:rPr>
        <w:t xml:space="preserve">[...] </w:t>
      </w:r>
      <w:r w:rsidRPr="0006593F">
        <w:rPr>
          <w:rFonts w:cs="FrankRuehl"/>
          <w:sz w:val="22"/>
          <w:szCs w:val="22"/>
          <w:rtl/>
        </w:rPr>
        <w:t xml:space="preserve">רשות עשויה לפגוע בחופש העיסוק על-ידי כך שתסכים לקבל את תוצר העיסוק מבעלי הכשרה מסוימת בלבד, וזאת אף מבלי שתטיל איסור על עצם העיסוק של בעלי הכשרה שונה. מדיניות כזאת של רשות תיחשב פגיעה בחופש העיסוק אם בפועל היא שוללת, או מגבילה באופן קשה, את אפשרות העיסוק. </w:t>
      </w:r>
      <w:r>
        <w:rPr>
          <w:rFonts w:cs="FrankRuehl" w:hint="cs"/>
          <w:sz w:val="22"/>
          <w:szCs w:val="22"/>
          <w:rtl/>
        </w:rPr>
        <w:t xml:space="preserve">[...] </w:t>
      </w:r>
      <w:r w:rsidRPr="0006593F">
        <w:rPr>
          <w:rFonts w:cs="FrankRuehl"/>
          <w:sz w:val="22"/>
          <w:szCs w:val="22"/>
          <w:rtl/>
        </w:rPr>
        <w:t xml:space="preserve">אומנם, ככלל, חופש העיסוק אינו מטיל על המדינה ורשויותיה חובה להעסיק. חופש העיסוק הוא החופש להעסיק או שלא להעסיק. </w:t>
      </w:r>
      <w:r>
        <w:rPr>
          <w:rFonts w:cs="FrankRuehl" w:hint="cs"/>
          <w:sz w:val="22"/>
          <w:szCs w:val="22"/>
          <w:rtl/>
        </w:rPr>
        <w:t>...</w:t>
      </w:r>
      <w:r w:rsidRPr="0006593F">
        <w:rPr>
          <w:rFonts w:cs="FrankRuehl"/>
          <w:sz w:val="22"/>
          <w:szCs w:val="22"/>
          <w:rtl/>
        </w:rPr>
        <w:t xml:space="preserve"> המצב שונה מקום שבו למדינה מונופול על ההעסקה או על השימוש בתוצרי העיסוק, והימנעותה מלהעסיק שוללת את אפשרות העיסוק. שלילה כזו מהווה, במהותה, פגיעה בחופש העיסוק. </w:t>
      </w:r>
    </w:p>
    <w:p w:rsidR="005366A8" w:rsidRDefault="005366A8" w:rsidP="005366A8">
      <w:pPr>
        <w:pStyle w:val="BodyText2"/>
        <w:spacing w:after="120"/>
        <w:rPr>
          <w:rtl/>
        </w:rPr>
      </w:pPr>
      <w:r w:rsidRPr="0006593F">
        <w:rPr>
          <w:rFonts w:cs="FrankRuehl"/>
          <w:sz w:val="22"/>
          <w:rtl/>
        </w:rPr>
        <w:t xml:space="preserve">6. </w:t>
      </w:r>
      <w:r>
        <w:rPr>
          <w:rFonts w:cs="FrankRuehl" w:hint="cs"/>
          <w:sz w:val="22"/>
          <w:rtl/>
        </w:rPr>
        <w:tab/>
      </w:r>
      <w:r w:rsidRPr="0006593F">
        <w:rPr>
          <w:rFonts w:cs="FrankRuehl"/>
          <w:sz w:val="22"/>
          <w:rtl/>
        </w:rPr>
        <w:t xml:space="preserve">בענייננו, המדינה אינה אך נמנעת מלהעסיק את העותרים ושכמותם כמאבחנים של ליקויי למידה, אלא נמנעת מלהכיר באיבחוניהם אף כששירותיהם נרכשים על -ידי אחרים. אי-ההכרה של משרד החינוך באיבחוני העותרים חוסמת בפניהם את העיסוק כולו. הגורם היחיד הנזקק לאיבחונים, ואשר חולש בפועל על עיקרו של תחום החינוך בארץ הוא משרד החינוך. </w:t>
      </w:r>
      <w:r>
        <w:rPr>
          <w:rFonts w:cs="FrankRuehl" w:hint="cs"/>
          <w:sz w:val="22"/>
          <w:rtl/>
        </w:rPr>
        <w:t xml:space="preserve">... </w:t>
      </w:r>
      <w:r w:rsidRPr="0006593F">
        <w:rPr>
          <w:rFonts w:cs="FrankRuehl"/>
          <w:sz w:val="22"/>
          <w:rtl/>
        </w:rPr>
        <w:t>מבחינה מהותית אין הבדל של ממש בין אי-הכרה זו לבין קביעת תנאי, שלפיו יוכלו לעסוק באיבחון של ליקויי למידה רק בעלי הכשרה בפסיכולוגיה חינוכית.</w:t>
      </w:r>
    </w:p>
    <w:p w:rsidR="005366A8" w:rsidRDefault="005366A8" w:rsidP="005366A8">
      <w:pPr>
        <w:rPr>
          <w:rFonts w:cs="FrankRuehl"/>
          <w:sz w:val="22"/>
          <w:szCs w:val="22"/>
          <w:rtl/>
        </w:rPr>
      </w:pPr>
      <w:r>
        <w:rPr>
          <w:rFonts w:hint="cs"/>
          <w:b/>
          <w:bCs/>
          <w:szCs w:val="22"/>
          <w:highlight w:val="yellow"/>
          <w:rtl/>
        </w:rPr>
        <w:t>[</w:t>
      </w:r>
      <w:r w:rsidRPr="00510672">
        <w:rPr>
          <w:b/>
          <w:bCs/>
          <w:szCs w:val="22"/>
          <w:highlight w:val="yellow"/>
          <w:rtl/>
        </w:rPr>
        <w:t>האם סעיפי הסמכה כלליים מספיקים?</w:t>
      </w:r>
      <w:r>
        <w:rPr>
          <w:rFonts w:hint="cs"/>
          <w:b/>
          <w:bCs/>
          <w:szCs w:val="22"/>
          <w:rtl/>
        </w:rPr>
        <w:t>]</w:t>
      </w:r>
    </w:p>
    <w:p w:rsidR="005366A8" w:rsidRDefault="005366A8" w:rsidP="005366A8">
      <w:pPr>
        <w:spacing w:after="120"/>
        <w:rPr>
          <w:szCs w:val="22"/>
          <w:rtl/>
        </w:rPr>
      </w:pPr>
      <w:r w:rsidRPr="00B13AB8">
        <w:rPr>
          <w:rFonts w:cs="FrankRuehl"/>
          <w:sz w:val="22"/>
          <w:szCs w:val="22"/>
          <w:rtl/>
        </w:rPr>
        <w:t xml:space="preserve">10. </w:t>
      </w:r>
      <w:r>
        <w:rPr>
          <w:rFonts w:cs="FrankRuehl" w:hint="cs"/>
          <w:sz w:val="22"/>
          <w:szCs w:val="22"/>
          <w:rtl/>
        </w:rPr>
        <w:tab/>
      </w:r>
      <w:r w:rsidRPr="00B13AB8">
        <w:rPr>
          <w:rFonts w:cs="FrankRuehl"/>
          <w:sz w:val="22"/>
          <w:szCs w:val="22"/>
          <w:rtl/>
        </w:rPr>
        <w:t>[</w:t>
      </w:r>
      <w:r w:rsidRPr="00B13AB8">
        <w:rPr>
          <w:rFonts w:cs="FrankRuehl"/>
          <w:sz w:val="22"/>
          <w:szCs w:val="22"/>
        </w:rPr>
        <w:t>…</w:t>
      </w:r>
      <w:r w:rsidRPr="00B13AB8">
        <w:rPr>
          <w:rFonts w:cs="FrankRuehl"/>
          <w:sz w:val="22"/>
          <w:szCs w:val="22"/>
          <w:rtl/>
        </w:rPr>
        <w:t xml:space="preserve">] תיתכן טענה, כי עניינים אלה נופלים למסגרת הוראות ההסמכה הכלליות בחוקים אלה, הקובעות את שר החינוך והתרבות כממונה על ביצועם. ראו </w:t>
      </w:r>
      <w:r w:rsidRPr="00B13AB8">
        <w:rPr>
          <w:rFonts w:cs="FrankRuehl"/>
          <w:sz w:val="22"/>
          <w:szCs w:val="22"/>
          <w:highlight w:val="yellow"/>
          <w:rtl/>
        </w:rPr>
        <w:t>סעיף 34 לחוק חינוך ממלכתי, תשי"ג-1953,</w:t>
      </w:r>
      <w:r w:rsidRPr="00B13AB8">
        <w:rPr>
          <w:rFonts w:cs="FrankRuehl"/>
          <w:sz w:val="22"/>
          <w:szCs w:val="22"/>
          <w:rtl/>
        </w:rPr>
        <w:t xml:space="preserve"> וסעיף 23 לחוק חינוך מיוחד, התשמ"ח-1988. לפי טענה זאת,  מסמיכות הוראות אלה את השר </w:t>
      </w:r>
      <w:r w:rsidRPr="0006593F">
        <w:rPr>
          <w:rFonts w:cs="FrankRuehl"/>
          <w:sz w:val="22"/>
          <w:szCs w:val="22"/>
          <w:highlight w:val="yellow"/>
          <w:rtl/>
        </w:rPr>
        <w:t>לעשות את כל הדרוש לביצוע יעיל של החוקים ולהגשמת מטרותיהם</w:t>
      </w:r>
      <w:r w:rsidRPr="00B13AB8">
        <w:rPr>
          <w:rFonts w:cs="FrankRuehl"/>
          <w:sz w:val="22"/>
          <w:szCs w:val="22"/>
          <w:rtl/>
        </w:rPr>
        <w:t>, ודי בכך לשם הגשמתו של עקרון חוקיות המינהל. [</w:t>
      </w:r>
      <w:r w:rsidRPr="00B13AB8">
        <w:rPr>
          <w:rFonts w:cs="FrankRuehl"/>
          <w:sz w:val="22"/>
          <w:szCs w:val="22"/>
        </w:rPr>
        <w:t>…</w:t>
      </w:r>
      <w:r w:rsidRPr="00B13AB8">
        <w:rPr>
          <w:rFonts w:cs="FrankRuehl"/>
          <w:sz w:val="22"/>
          <w:szCs w:val="22"/>
          <w:rtl/>
        </w:rPr>
        <w:t xml:space="preserve">] </w:t>
      </w:r>
      <w:r w:rsidRPr="003E347E">
        <w:rPr>
          <w:rFonts w:cs="FrankRuehl"/>
          <w:sz w:val="22"/>
          <w:szCs w:val="22"/>
          <w:highlight w:val="yellow"/>
          <w:rtl/>
        </w:rPr>
        <w:t>טענה זאת יש לדחות</w:t>
      </w:r>
      <w:r w:rsidRPr="00B13AB8">
        <w:rPr>
          <w:rFonts w:cs="FrankRuehl"/>
          <w:sz w:val="22"/>
          <w:szCs w:val="22"/>
          <w:rtl/>
        </w:rPr>
        <w:t>. ככלל, אין לפרש חוק כפוגע או כמסמיך לפגוע בחופש העיסוק, זולת אם הדבר נקבע בו במפורש. [</w:t>
      </w:r>
      <w:r w:rsidRPr="00B13AB8">
        <w:rPr>
          <w:rFonts w:cs="FrankRuehl"/>
          <w:sz w:val="22"/>
          <w:szCs w:val="22"/>
        </w:rPr>
        <w:t>…</w:t>
      </w:r>
      <w:r w:rsidRPr="00B13AB8">
        <w:rPr>
          <w:rFonts w:cs="FrankRuehl"/>
          <w:sz w:val="22"/>
          <w:szCs w:val="22"/>
          <w:rtl/>
        </w:rPr>
        <w:t>]</w:t>
      </w:r>
      <w:r>
        <w:rPr>
          <w:rFonts w:cs="FrankRuehl" w:hint="cs"/>
          <w:sz w:val="22"/>
          <w:szCs w:val="22"/>
          <w:rtl/>
        </w:rPr>
        <w:t xml:space="preserve"> </w:t>
      </w:r>
      <w:r w:rsidRPr="00B13AB8">
        <w:rPr>
          <w:rFonts w:cs="FrankRuehl"/>
          <w:sz w:val="22"/>
          <w:szCs w:val="22"/>
          <w:rtl/>
        </w:rPr>
        <w:t xml:space="preserve">הלכה דומה חלה לעניין היקפן של סמכויות-עזר לפי </w:t>
      </w:r>
      <w:r w:rsidRPr="0006593F">
        <w:rPr>
          <w:rFonts w:cs="FrankRuehl"/>
          <w:sz w:val="22"/>
          <w:szCs w:val="22"/>
          <w:highlight w:val="yellow"/>
          <w:rtl/>
        </w:rPr>
        <w:t>סעיף 17(א) לחוק הפרשנות, תשמ"א-1981</w:t>
      </w:r>
      <w:r w:rsidRPr="00B13AB8">
        <w:rPr>
          <w:rFonts w:cs="FrankRuehl"/>
          <w:sz w:val="22"/>
          <w:szCs w:val="22"/>
          <w:rtl/>
        </w:rPr>
        <w:t xml:space="preserve">. ככלל, </w:t>
      </w:r>
      <w:r w:rsidRPr="003E347E">
        <w:rPr>
          <w:rFonts w:cs="FrankRuehl"/>
          <w:sz w:val="22"/>
          <w:szCs w:val="22"/>
          <w:highlight w:val="yellow"/>
          <w:rtl/>
        </w:rPr>
        <w:t>אין באמור</w:t>
      </w:r>
      <w:r w:rsidRPr="00B13AB8">
        <w:rPr>
          <w:rFonts w:cs="FrankRuehl"/>
          <w:sz w:val="22"/>
          <w:szCs w:val="22"/>
          <w:rtl/>
        </w:rPr>
        <w:t xml:space="preserve"> בסעיף זה, כי </w:t>
      </w:r>
      <w:r w:rsidRPr="0006593F">
        <w:rPr>
          <w:rFonts w:cs="FrankRuehl"/>
          <w:sz w:val="22"/>
          <w:szCs w:val="22"/>
          <w:highlight w:val="yellow"/>
          <w:rtl/>
        </w:rPr>
        <w:t>"הסמכה לעשות דבר או לכפות עשייתו - משמעה גם מתן סמכויות עזר הדרושות לכך במידה המתקבלת על הדעת",</w:t>
      </w:r>
      <w:r w:rsidRPr="00B13AB8">
        <w:rPr>
          <w:rFonts w:cs="FrankRuehl"/>
          <w:sz w:val="22"/>
          <w:szCs w:val="22"/>
          <w:rtl/>
        </w:rPr>
        <w:t xml:space="preserve"> כדי להוות מקור לסמכות של רשות מינהלית לפגוע בזכויות-האדם.</w:t>
      </w:r>
    </w:p>
    <w:p w:rsidR="005366A8" w:rsidRDefault="005366A8" w:rsidP="005366A8">
      <w:pPr>
        <w:ind w:left="395"/>
        <w:rPr>
          <w:rStyle w:val="default"/>
          <w:rFonts w:cs="David"/>
          <w:szCs w:val="20"/>
          <w:rtl/>
        </w:rPr>
      </w:pPr>
      <w:r>
        <w:rPr>
          <w:rStyle w:val="default"/>
          <w:rFonts w:cs="David" w:hint="cs"/>
          <w:szCs w:val="20"/>
          <w:rtl/>
        </w:rPr>
        <w:t xml:space="preserve">[עיינו אכן בסע' 34 לחוק חינוך ממלכתי, תשי"ג-1953 </w:t>
      </w:r>
      <w:r w:rsidRPr="003E347E">
        <w:rPr>
          <w:rStyle w:val="default"/>
          <w:rFonts w:cs="David" w:hint="cs"/>
          <w:i/>
          <w:iCs/>
          <w:szCs w:val="20"/>
          <w:rtl/>
        </w:rPr>
        <w:t>(והשוו בתוכו בין הסמכה כללית לבין הסמכה ממוקדת/פרטנית)</w:t>
      </w:r>
      <w:r>
        <w:rPr>
          <w:rStyle w:val="default"/>
          <w:rFonts w:cs="David" w:hint="cs"/>
          <w:szCs w:val="20"/>
          <w:rtl/>
        </w:rPr>
        <w:t>:</w:t>
      </w:r>
    </w:p>
    <w:p w:rsidR="005366A8" w:rsidRDefault="005366A8" w:rsidP="005366A8">
      <w:pPr>
        <w:ind w:left="395"/>
        <w:rPr>
          <w:rStyle w:val="default"/>
          <w:rFonts w:cs="David"/>
          <w:szCs w:val="20"/>
          <w:rtl/>
        </w:rPr>
      </w:pPr>
      <w:r>
        <w:rPr>
          <w:rStyle w:val="default"/>
          <w:rFonts w:cs="David" w:hint="cs"/>
          <w:szCs w:val="20"/>
          <w:rtl/>
        </w:rPr>
        <w:t xml:space="preserve"> </w:t>
      </w:r>
      <w:r w:rsidRPr="00F53B4B">
        <w:rPr>
          <w:rStyle w:val="default"/>
          <w:rFonts w:cs="David" w:hint="cs"/>
          <w:szCs w:val="20"/>
          <w:rtl/>
        </w:rPr>
        <w:t>"</w:t>
      </w:r>
      <w:r w:rsidRPr="00F53B4B">
        <w:rPr>
          <w:rStyle w:val="default"/>
          <w:rFonts w:cs="David"/>
          <w:b/>
          <w:bCs/>
          <w:szCs w:val="20"/>
          <w:rtl/>
        </w:rPr>
        <w:t>ה</w:t>
      </w:r>
      <w:r w:rsidRPr="00F53B4B">
        <w:rPr>
          <w:rStyle w:val="default"/>
          <w:rFonts w:cs="David" w:hint="cs"/>
          <w:b/>
          <w:bCs/>
          <w:szCs w:val="20"/>
          <w:rtl/>
        </w:rPr>
        <w:t>שר ממונה ע</w:t>
      </w:r>
      <w:r w:rsidRPr="00F53B4B">
        <w:rPr>
          <w:rStyle w:val="default"/>
          <w:rFonts w:cs="David"/>
          <w:b/>
          <w:bCs/>
          <w:szCs w:val="20"/>
          <w:rtl/>
        </w:rPr>
        <w:t>ל</w:t>
      </w:r>
      <w:r w:rsidRPr="00F53B4B">
        <w:rPr>
          <w:rStyle w:val="default"/>
          <w:rFonts w:cs="David" w:hint="cs"/>
          <w:b/>
          <w:bCs/>
          <w:szCs w:val="20"/>
          <w:rtl/>
        </w:rPr>
        <w:t xml:space="preserve"> ביצוע חוק זה והוא יתקין תקנות </w:t>
      </w:r>
      <w:r w:rsidRPr="00F53B4B">
        <w:rPr>
          <w:rStyle w:val="default"/>
          <w:rFonts w:cs="David" w:hint="cs"/>
          <w:b/>
          <w:bCs/>
          <w:i/>
          <w:iCs/>
          <w:szCs w:val="20"/>
          <w:rtl/>
        </w:rPr>
        <w:t>בכל ענין הנוגע לביצועו</w:t>
      </w:r>
      <w:r w:rsidRPr="00F53B4B">
        <w:rPr>
          <w:rStyle w:val="default"/>
          <w:rFonts w:cs="David" w:hint="cs"/>
          <w:szCs w:val="20"/>
          <w:rtl/>
        </w:rPr>
        <w:t xml:space="preserve">, ובכלל זה תקנות בדבר </w:t>
      </w:r>
      <w:r w:rsidRPr="00F53B4B">
        <w:rPr>
          <w:rStyle w:val="default"/>
          <w:rFonts w:cs="FrankRuehl"/>
          <w:szCs w:val="20"/>
          <w:rtl/>
        </w:rPr>
        <w:t>—</w:t>
      </w:r>
      <w:r w:rsidRPr="00F53B4B">
        <w:rPr>
          <w:rStyle w:val="default"/>
          <w:rFonts w:cs="David" w:hint="cs"/>
          <w:szCs w:val="20"/>
          <w:rtl/>
        </w:rPr>
        <w:t xml:space="preserve"> [...]</w:t>
      </w:r>
      <w:r>
        <w:rPr>
          <w:rStyle w:val="default"/>
          <w:rFonts w:cs="David" w:hint="cs"/>
          <w:szCs w:val="20"/>
          <w:rtl/>
        </w:rPr>
        <w:t xml:space="preserve"> </w:t>
      </w:r>
    </w:p>
    <w:p w:rsidR="005366A8" w:rsidRPr="005F2CE2" w:rsidRDefault="005366A8" w:rsidP="005366A8">
      <w:pPr>
        <w:ind w:left="720"/>
        <w:rPr>
          <w:rStyle w:val="default"/>
          <w:i/>
          <w:iCs/>
          <w:szCs w:val="20"/>
          <w:rtl/>
        </w:rPr>
      </w:pPr>
      <w:r w:rsidRPr="005F2CE2">
        <w:rPr>
          <w:rStyle w:val="default"/>
          <w:i/>
          <w:iCs/>
          <w:szCs w:val="20"/>
          <w:rtl/>
        </w:rPr>
        <w:t>{השוו להסמכה הממוקדת הבאה:}</w:t>
      </w:r>
    </w:p>
    <w:p w:rsidR="005366A8" w:rsidRPr="00F53B4B" w:rsidRDefault="005366A8" w:rsidP="005366A8">
      <w:pPr>
        <w:spacing w:after="120"/>
        <w:ind w:left="395"/>
        <w:rPr>
          <w:sz w:val="20"/>
          <w:szCs w:val="20"/>
          <w:rtl/>
        </w:rPr>
      </w:pPr>
      <w:r w:rsidRPr="00F53B4B">
        <w:rPr>
          <w:rStyle w:val="default"/>
          <w:rFonts w:cs="David"/>
          <w:szCs w:val="20"/>
          <w:rtl/>
        </w:rPr>
        <w:t>(8)</w:t>
      </w:r>
      <w:r w:rsidRPr="00F53B4B">
        <w:rPr>
          <w:rStyle w:val="default"/>
          <w:rFonts w:cs="David" w:hint="cs"/>
          <w:szCs w:val="20"/>
          <w:rtl/>
        </w:rPr>
        <w:t xml:space="preserve"> מניעת כל תעמולה מפלגתית ומדינית במוסד חינוך בכל צורה שהיא, בין על ידי מורי המוסד ועובדיו ובין על </w:t>
      </w:r>
      <w:r w:rsidRPr="00F53B4B">
        <w:rPr>
          <w:rStyle w:val="default"/>
          <w:rFonts w:cs="David"/>
          <w:szCs w:val="20"/>
          <w:rtl/>
        </w:rPr>
        <w:t>י</w:t>
      </w:r>
      <w:r w:rsidRPr="00F53B4B">
        <w:rPr>
          <w:rStyle w:val="default"/>
          <w:rFonts w:cs="David" w:hint="cs"/>
          <w:szCs w:val="20"/>
          <w:rtl/>
        </w:rPr>
        <w:t>די אנשים מן החוץ.</w:t>
      </w:r>
      <w:r>
        <w:rPr>
          <w:rFonts w:hint="cs"/>
          <w:sz w:val="20"/>
          <w:szCs w:val="20"/>
          <w:rtl/>
        </w:rPr>
        <w:t>]</w:t>
      </w:r>
    </w:p>
    <w:p w:rsidR="005366A8" w:rsidRPr="00510672" w:rsidRDefault="005366A8" w:rsidP="005366A8">
      <w:pPr>
        <w:pStyle w:val="BodyText3"/>
        <w:rPr>
          <w:b/>
          <w:bCs/>
          <w:rtl/>
        </w:rPr>
      </w:pPr>
      <w:r w:rsidRPr="00510672">
        <w:rPr>
          <w:b/>
          <w:bCs/>
          <w:highlight w:val="yellow"/>
          <w:rtl/>
        </w:rPr>
        <w:t>[מהו אחד הרציונלים העיקריים העומד בבסיס דרישת החוקיות המיוחדת?</w:t>
      </w:r>
      <w:r w:rsidRPr="00510672">
        <w:rPr>
          <w:b/>
          <w:bCs/>
          <w:rtl/>
        </w:rPr>
        <w:t>]</w:t>
      </w:r>
    </w:p>
    <w:p w:rsidR="005366A8" w:rsidRPr="00573C3B" w:rsidRDefault="005366A8" w:rsidP="005366A8">
      <w:pPr>
        <w:pStyle w:val="BodyText3"/>
        <w:rPr>
          <w:rFonts w:cs="FrankRuehl"/>
          <w:sz w:val="22"/>
          <w:rtl/>
        </w:rPr>
      </w:pPr>
      <w:r>
        <w:rPr>
          <w:rtl/>
        </w:rPr>
        <w:t>9</w:t>
      </w:r>
      <w:r w:rsidRPr="00573C3B">
        <w:rPr>
          <w:rFonts w:cs="FrankRuehl"/>
          <w:sz w:val="22"/>
          <w:rtl/>
        </w:rPr>
        <w:t>. [</w:t>
      </w:r>
      <w:r w:rsidRPr="00573C3B">
        <w:rPr>
          <w:rFonts w:cs="FrankRuehl"/>
          <w:sz w:val="22"/>
        </w:rPr>
        <w:t>…</w:t>
      </w:r>
      <w:r w:rsidRPr="00573C3B">
        <w:rPr>
          <w:rFonts w:cs="FrankRuehl"/>
          <w:sz w:val="22"/>
          <w:rtl/>
        </w:rPr>
        <w:t>] אומנם, ייתכן כי פגיעה בחופש העיסוק בתחיקת-משנה, ולא-כל-שכן בחוזרי מנכ"ל או בסוגים אחרים של הנחיות מינהליות, היא יעילה יותר. שכן, במרבית המקרים הליך החקיקה בכנסת הוא מורכב, ממושך, ויקר יותר מן ההליך המינהלי. אך יעילות אינה דווקא יתרון מקום בו עומדת על הפרק פגיעה בזכויות-האדם. דווקא "סרבולה" של פעולת החקיקה הראשית, והתנאתה של קבלת חוק בהשגת רוב בקרב נבחרי העם, מהווים ערובה מוסדית מסוימת לכך שזכויות-יסוד לא ייפגעו אלא כאשר הדבר דרוש.</w:t>
      </w:r>
    </w:p>
    <w:p w:rsidR="005366A8" w:rsidRDefault="005366A8" w:rsidP="005366A8">
      <w:pPr>
        <w:spacing w:after="120"/>
        <w:rPr>
          <w:rtl/>
        </w:rPr>
      </w:pPr>
      <w:r w:rsidRPr="00573C3B">
        <w:rPr>
          <w:rFonts w:cs="FrankRuehl"/>
          <w:sz w:val="22"/>
          <w:szCs w:val="22"/>
          <w:rtl/>
        </w:rPr>
        <w:t>11. כאמור, הצדקה מרכזית של הדרישה לכך שפגיעה בחופש העיסוק תיעשה בחוק או לפי חוק, מכוח הסמכה מפורשת בו, היא בערכי הדמוקרטיה. במדינה דמוקרטית נדרשות פגיעות בזכויות-האדם לקבל גושפנקא של נבחרי העם. ממילא, פגיעה בזכויות-האדם אך מכוח הנחיה מינהלית אינה הולמת את ערכיה של מדינת ישראל</w:t>
      </w:r>
      <w:r>
        <w:rPr>
          <w:rFonts w:cs="FrankRuehl" w:hint="cs"/>
          <w:sz w:val="22"/>
          <w:szCs w:val="22"/>
          <w:rtl/>
        </w:rPr>
        <w:t>...</w:t>
      </w:r>
      <w:r w:rsidRPr="00573C3B">
        <w:rPr>
          <w:rFonts w:cs="FrankRuehl"/>
          <w:sz w:val="22"/>
          <w:szCs w:val="22"/>
          <w:rtl/>
        </w:rPr>
        <w:t xml:space="preserve"> ערכיה כמדינה יהודית ודמוקרטית.</w:t>
      </w:r>
    </w:p>
    <w:p w:rsidR="005366A8" w:rsidRDefault="005366A8" w:rsidP="005366A8">
      <w:pPr>
        <w:rPr>
          <w:rFonts w:ascii="Arial" w:hAnsi="Arial" w:cs="Arial"/>
          <w:sz w:val="20"/>
          <w:szCs w:val="20"/>
          <w:rtl/>
        </w:rPr>
      </w:pPr>
      <w:r w:rsidRPr="00805D15">
        <w:rPr>
          <w:rFonts w:ascii="Arial" w:hAnsi="Arial" w:cs="Arial" w:hint="cs"/>
          <w:sz w:val="20"/>
          <w:szCs w:val="20"/>
          <w:rtl/>
        </w:rPr>
        <w:t>=-=</w:t>
      </w:r>
    </w:p>
    <w:p w:rsidR="005366A8" w:rsidRDefault="005366A8" w:rsidP="005366A8">
      <w:pPr>
        <w:rPr>
          <w:rFonts w:ascii="Arial" w:hAnsi="Arial" w:cs="Arial"/>
          <w:sz w:val="20"/>
          <w:szCs w:val="20"/>
          <w:rtl/>
        </w:rPr>
      </w:pPr>
      <w:r>
        <w:rPr>
          <w:rFonts w:ascii="Arial" w:hAnsi="Arial" w:cs="Arial" w:hint="cs"/>
          <w:sz w:val="20"/>
          <w:szCs w:val="20"/>
          <w:rtl/>
        </w:rPr>
        <w:t>משפט משווה:</w:t>
      </w:r>
    </w:p>
    <w:p w:rsidR="005366A8" w:rsidRPr="00510672" w:rsidRDefault="005366A8" w:rsidP="005366A8">
      <w:pPr>
        <w:rPr>
          <w:szCs w:val="22"/>
          <w:rtl/>
        </w:rPr>
      </w:pPr>
      <w:r w:rsidRPr="00510672">
        <w:rPr>
          <w:b/>
          <w:bCs/>
          <w:szCs w:val="22"/>
          <w:highlight w:val="yellow"/>
          <w:rtl/>
        </w:rPr>
        <w:t>מה פירוש "הסמכה מפורשת"?</w:t>
      </w:r>
      <w:r w:rsidRPr="00510672">
        <w:rPr>
          <w:b/>
          <w:bCs/>
          <w:szCs w:val="22"/>
          <w:rtl/>
        </w:rPr>
        <w:t xml:space="preserve"> </w:t>
      </w:r>
    </w:p>
    <w:p w:rsidR="005366A8" w:rsidRDefault="005366A8" w:rsidP="005366A8">
      <w:pPr>
        <w:rPr>
          <w:szCs w:val="22"/>
          <w:rtl/>
        </w:rPr>
      </w:pPr>
      <w:r>
        <w:rPr>
          <w:szCs w:val="22"/>
          <w:rtl/>
        </w:rPr>
        <w:t xml:space="preserve">האם רק הסמכה לפגיעה בזכות יסוד המצוינת </w:t>
      </w:r>
      <w:r>
        <w:rPr>
          <w:rFonts w:hint="cs"/>
          <w:szCs w:val="22"/>
          <w:rtl/>
        </w:rPr>
        <w:t xml:space="preserve">בחוק הנבחן </w:t>
      </w:r>
      <w:r>
        <w:rPr>
          <w:szCs w:val="22"/>
          <w:rtl/>
        </w:rPr>
        <w:t xml:space="preserve">"בלשון מפורשת" או </w:t>
      </w:r>
      <w:r>
        <w:rPr>
          <w:b/>
          <w:bCs/>
          <w:szCs w:val="22"/>
          <w:rtl/>
        </w:rPr>
        <w:t>גם</w:t>
      </w:r>
      <w:r>
        <w:rPr>
          <w:szCs w:val="22"/>
          <w:rtl/>
        </w:rPr>
        <w:t xml:space="preserve"> כאשר אותה "סמכות [לפגיעה בזכות] נחוצה להגשמת התכלית הפרטיקולרית של החוק". </w:t>
      </w:r>
    </w:p>
    <w:p w:rsidR="005366A8" w:rsidRPr="00F57D51" w:rsidRDefault="005366A8" w:rsidP="005366A8">
      <w:pPr>
        <w:ind w:left="720"/>
        <w:rPr>
          <w:sz w:val="20"/>
          <w:szCs w:val="20"/>
          <w:rtl/>
        </w:rPr>
      </w:pPr>
      <w:r w:rsidRPr="00F57D51">
        <w:rPr>
          <w:rFonts w:hint="cs"/>
          <w:b/>
          <w:bCs/>
          <w:sz w:val="20"/>
          <w:szCs w:val="20"/>
          <w:rtl/>
        </w:rPr>
        <w:t xml:space="preserve">דוגמא </w:t>
      </w:r>
      <w:r w:rsidRPr="00F57D51">
        <w:rPr>
          <w:rFonts w:hint="cs"/>
          <w:sz w:val="20"/>
          <w:szCs w:val="20"/>
          <w:rtl/>
        </w:rPr>
        <w:t>מפסק דין קנדי:</w:t>
      </w:r>
      <w:r w:rsidRPr="00F57D51">
        <w:rPr>
          <w:sz w:val="20"/>
          <w:szCs w:val="20"/>
          <w:rtl/>
        </w:rPr>
        <w:t xml:space="preserve"> </w:t>
      </w:r>
      <w:r w:rsidRPr="00F57D51">
        <w:rPr>
          <w:sz w:val="20"/>
          <w:szCs w:val="20"/>
        </w:rPr>
        <w:t xml:space="preserve">R. v. Tompsen (1988) </w:t>
      </w:r>
      <w:smartTag w:uri="urn:schemas-microsoft-com:office:smarttags" w:element="metricconverter">
        <w:smartTagPr>
          <w:attr w:name="ProductID" w:val="63 C"/>
        </w:smartTagPr>
        <w:r w:rsidRPr="00F57D51">
          <w:rPr>
            <w:sz w:val="20"/>
            <w:szCs w:val="20"/>
          </w:rPr>
          <w:t>63 C</w:t>
        </w:r>
      </w:smartTag>
      <w:r w:rsidRPr="00F57D51">
        <w:rPr>
          <w:sz w:val="20"/>
          <w:szCs w:val="20"/>
        </w:rPr>
        <w:t>.R. 3d 1</w:t>
      </w:r>
      <w:r>
        <w:rPr>
          <w:rFonts w:hint="cs"/>
          <w:sz w:val="20"/>
          <w:szCs w:val="20"/>
          <w:rtl/>
        </w:rPr>
        <w:t xml:space="preserve">, העוסק בדרישת "ההסמכה" המוצבת בצ'רטר הזכויות והחירויות שם (מגילת הזכויות החוקתית של קנדה): </w:t>
      </w:r>
      <w:r w:rsidRPr="00F57D51">
        <w:rPr>
          <w:sz w:val="20"/>
          <w:szCs w:val="20"/>
          <w:rtl/>
        </w:rPr>
        <w:t>האם</w:t>
      </w:r>
      <w:r w:rsidRPr="00F57D51">
        <w:rPr>
          <w:rFonts w:hint="cs"/>
          <w:sz w:val="20"/>
          <w:szCs w:val="20"/>
          <w:rtl/>
        </w:rPr>
        <w:t xml:space="preserve"> נדרשת</w:t>
      </w:r>
      <w:r w:rsidRPr="00F57D51">
        <w:rPr>
          <w:sz w:val="20"/>
          <w:szCs w:val="20"/>
          <w:rtl/>
        </w:rPr>
        <w:t xml:space="preserve"> "לשון מפורשת" </w:t>
      </w:r>
      <w:r w:rsidRPr="00F57D51">
        <w:rPr>
          <w:rFonts w:hint="cs"/>
          <w:sz w:val="20"/>
          <w:szCs w:val="20"/>
          <w:rtl/>
        </w:rPr>
        <w:t xml:space="preserve">בחוק המסמיך </w:t>
      </w:r>
      <w:r w:rsidRPr="00F57D51">
        <w:rPr>
          <w:sz w:val="20"/>
          <w:szCs w:val="20"/>
          <w:rtl/>
        </w:rPr>
        <w:t>או די לעיתים ב"</w:t>
      </w:r>
      <w:r w:rsidRPr="009871BB">
        <w:rPr>
          <w:b/>
          <w:bCs/>
          <w:sz w:val="20"/>
          <w:szCs w:val="20"/>
          <w:rtl/>
        </w:rPr>
        <w:t>תכלית</w:t>
      </w:r>
      <w:r w:rsidRPr="00F57D51">
        <w:rPr>
          <w:sz w:val="20"/>
          <w:szCs w:val="20"/>
          <w:rtl/>
        </w:rPr>
        <w:t xml:space="preserve"> מפורשת"?  </w:t>
      </w:r>
    </w:p>
    <w:p w:rsidR="005366A8" w:rsidRDefault="005366A8" w:rsidP="005366A8">
      <w:pPr>
        <w:pStyle w:val="BlockText"/>
        <w:spacing w:after="120"/>
        <w:jc w:val="left"/>
        <w:rPr>
          <w:sz w:val="20"/>
          <w:szCs w:val="20"/>
          <w:rtl/>
        </w:rPr>
      </w:pPr>
      <w:r w:rsidRPr="00F57D51">
        <w:rPr>
          <w:rFonts w:hint="cs"/>
          <w:sz w:val="20"/>
          <w:szCs w:val="20"/>
          <w:rtl/>
        </w:rPr>
        <w:t xml:space="preserve">האם לא ראוי לטעון, כי </w:t>
      </w:r>
      <w:r w:rsidRPr="00F57D51">
        <w:rPr>
          <w:sz w:val="20"/>
          <w:szCs w:val="20"/>
          <w:rtl/>
        </w:rPr>
        <w:t xml:space="preserve">כאשר הסמיך המחוקק </w:t>
      </w:r>
      <w:r w:rsidRPr="00F57D51">
        <w:rPr>
          <w:rFonts w:hint="cs"/>
          <w:sz w:val="20"/>
          <w:szCs w:val="20"/>
          <w:rtl/>
        </w:rPr>
        <w:t xml:space="preserve">במפורש </w:t>
      </w:r>
      <w:r w:rsidRPr="00F57D51">
        <w:rPr>
          <w:sz w:val="20"/>
          <w:szCs w:val="20"/>
          <w:rtl/>
        </w:rPr>
        <w:t xml:space="preserve">את המשטרה לעצור כלי רכב ולבצע לאלתר בדיקת נשימה לנהג, הרי שממטרת החוק </w:t>
      </w:r>
      <w:r>
        <w:rPr>
          <w:rFonts w:hint="cs"/>
          <w:sz w:val="20"/>
          <w:szCs w:val="20"/>
          <w:rtl/>
        </w:rPr>
        <w:t xml:space="preserve">הזה, שהיא מטרה </w:t>
      </w:r>
      <w:r w:rsidRPr="00F57D51">
        <w:rPr>
          <w:rFonts w:hint="cs"/>
          <w:sz w:val="20"/>
          <w:szCs w:val="20"/>
          <w:rtl/>
        </w:rPr>
        <w:t>ברורה</w:t>
      </w:r>
      <w:r>
        <w:rPr>
          <w:rFonts w:hint="cs"/>
          <w:sz w:val="20"/>
          <w:szCs w:val="20"/>
          <w:rtl/>
        </w:rPr>
        <w:t>,</w:t>
      </w:r>
      <w:r w:rsidRPr="00F57D51">
        <w:rPr>
          <w:rFonts w:hint="cs"/>
          <w:sz w:val="20"/>
          <w:szCs w:val="20"/>
          <w:rtl/>
        </w:rPr>
        <w:t xml:space="preserve"> </w:t>
      </w:r>
      <w:r w:rsidRPr="00F57D51">
        <w:rPr>
          <w:sz w:val="20"/>
          <w:szCs w:val="20"/>
          <w:rtl/>
        </w:rPr>
        <w:t xml:space="preserve">ניתן להסיק מכללא </w:t>
      </w:r>
      <w:r w:rsidRPr="00F57D51">
        <w:rPr>
          <w:rFonts w:hint="cs"/>
          <w:sz w:val="20"/>
          <w:szCs w:val="20"/>
          <w:rtl/>
        </w:rPr>
        <w:t xml:space="preserve">(במשתמע) </w:t>
      </w:r>
      <w:r w:rsidRPr="00F57D51">
        <w:rPr>
          <w:sz w:val="20"/>
          <w:szCs w:val="20"/>
          <w:rtl/>
        </w:rPr>
        <w:t xml:space="preserve">שהחוק </w:t>
      </w:r>
      <w:r w:rsidRPr="00BF4868">
        <w:rPr>
          <w:b/>
          <w:bCs/>
          <w:sz w:val="20"/>
          <w:szCs w:val="20"/>
          <w:rtl/>
        </w:rPr>
        <w:t>הגביל את הזכות החוקתית של הנהג להיוועץ בעורך דין</w:t>
      </w:r>
      <w:r w:rsidRPr="00F57D51">
        <w:rPr>
          <w:sz w:val="20"/>
          <w:szCs w:val="20"/>
          <w:rtl/>
        </w:rPr>
        <w:t xml:space="preserve">, </w:t>
      </w:r>
      <w:r>
        <w:rPr>
          <w:rFonts w:hint="cs"/>
          <w:b/>
          <w:bCs/>
          <w:sz w:val="20"/>
          <w:szCs w:val="20"/>
          <w:rtl/>
        </w:rPr>
        <w:t xml:space="preserve">על </w:t>
      </w:r>
      <w:r w:rsidRPr="00BF4868">
        <w:rPr>
          <w:b/>
          <w:bCs/>
          <w:sz w:val="20"/>
          <w:szCs w:val="20"/>
          <w:rtl/>
        </w:rPr>
        <w:t xml:space="preserve">אף שהחוק </w:t>
      </w:r>
      <w:r>
        <w:rPr>
          <w:rFonts w:hint="cs"/>
          <w:b/>
          <w:bCs/>
          <w:sz w:val="20"/>
          <w:szCs w:val="20"/>
          <w:rtl/>
        </w:rPr>
        <w:t xml:space="preserve">שהסמיך את המשטרה </w:t>
      </w:r>
      <w:r w:rsidRPr="00BF4868">
        <w:rPr>
          <w:b/>
          <w:bCs/>
          <w:sz w:val="20"/>
          <w:szCs w:val="20"/>
          <w:rtl/>
        </w:rPr>
        <w:t>שתק</w:t>
      </w:r>
      <w:r w:rsidRPr="00F57D51">
        <w:rPr>
          <w:sz w:val="20"/>
          <w:szCs w:val="20"/>
          <w:rtl/>
        </w:rPr>
        <w:t xml:space="preserve"> בנקודה זו</w:t>
      </w:r>
      <w:r w:rsidRPr="00F57D51">
        <w:rPr>
          <w:rFonts w:hint="cs"/>
          <w:sz w:val="20"/>
          <w:szCs w:val="20"/>
          <w:rtl/>
        </w:rPr>
        <w:t>?</w:t>
      </w:r>
    </w:p>
    <w:p w:rsidR="005366A8" w:rsidRDefault="005366A8" w:rsidP="005366A8">
      <w:pPr>
        <w:pStyle w:val="BlockText"/>
        <w:ind w:left="0"/>
        <w:jc w:val="left"/>
        <w:rPr>
          <w:sz w:val="20"/>
          <w:szCs w:val="20"/>
          <w:rtl/>
        </w:rPr>
      </w:pPr>
      <w:r>
        <w:rPr>
          <w:rFonts w:hint="cs"/>
          <w:sz w:val="20"/>
          <w:szCs w:val="20"/>
          <w:rtl/>
        </w:rPr>
        <w:t xml:space="preserve">ביתר הרחבה: </w:t>
      </w:r>
    </w:p>
    <w:p w:rsidR="005366A8" w:rsidRDefault="005366A8" w:rsidP="005366A8">
      <w:pPr>
        <w:pStyle w:val="BlockText"/>
        <w:ind w:left="0"/>
        <w:jc w:val="left"/>
        <w:rPr>
          <w:sz w:val="20"/>
          <w:szCs w:val="20"/>
          <w:rtl/>
        </w:rPr>
      </w:pPr>
      <w:r w:rsidRPr="00BF4868">
        <w:rPr>
          <w:sz w:val="20"/>
          <w:szCs w:val="20"/>
          <w:rtl/>
        </w:rPr>
        <w:t>האם נהג שעוכב</w:t>
      </w:r>
      <w:r>
        <w:rPr>
          <w:rFonts w:hint="cs"/>
          <w:sz w:val="20"/>
          <w:szCs w:val="20"/>
          <w:rtl/>
        </w:rPr>
        <w:t xml:space="preserve"> על פי חוק</w:t>
      </w:r>
      <w:r w:rsidRPr="00BF4868">
        <w:rPr>
          <w:sz w:val="20"/>
          <w:szCs w:val="20"/>
          <w:rtl/>
        </w:rPr>
        <w:t xml:space="preserve"> כדי להיבדק בנוגע לכמות האלכוהול בדמו זכאי להיוועץ עם עו"ד?</w:t>
      </w:r>
    </w:p>
    <w:p w:rsidR="005366A8" w:rsidRDefault="005366A8" w:rsidP="005366A8">
      <w:pPr>
        <w:pStyle w:val="BlockText"/>
        <w:ind w:left="0"/>
        <w:jc w:val="left"/>
        <w:rPr>
          <w:sz w:val="20"/>
          <w:szCs w:val="20"/>
          <w:rtl/>
        </w:rPr>
      </w:pPr>
      <w:r w:rsidRPr="00BF4868">
        <w:rPr>
          <w:sz w:val="20"/>
          <w:szCs w:val="20"/>
          <w:rtl/>
        </w:rPr>
        <w:t>ס' 10</w:t>
      </w:r>
      <w:r w:rsidRPr="00BF4868">
        <w:rPr>
          <w:sz w:val="20"/>
          <w:szCs w:val="20"/>
        </w:rPr>
        <w:t>b</w:t>
      </w:r>
      <w:r w:rsidRPr="00BF4868">
        <w:rPr>
          <w:sz w:val="20"/>
          <w:szCs w:val="20"/>
          <w:rtl/>
        </w:rPr>
        <w:t xml:space="preserve"> של הצ'ארטר מעניק זכות</w:t>
      </w:r>
      <w:r>
        <w:rPr>
          <w:sz w:val="20"/>
          <w:szCs w:val="20"/>
          <w:rtl/>
        </w:rPr>
        <w:t xml:space="preserve"> היוועצות לכל אדם שנעצר או עוכב</w:t>
      </w:r>
      <w:r>
        <w:rPr>
          <w:rFonts w:hint="cs"/>
          <w:sz w:val="20"/>
          <w:szCs w:val="20"/>
          <w:rtl/>
        </w:rPr>
        <w:t xml:space="preserve"> על ידי המשטרה;</w:t>
      </w:r>
    </w:p>
    <w:p w:rsidR="005366A8" w:rsidRDefault="005366A8" w:rsidP="005366A8">
      <w:pPr>
        <w:pStyle w:val="BlockText"/>
        <w:ind w:left="0"/>
        <w:jc w:val="left"/>
        <w:rPr>
          <w:sz w:val="20"/>
          <w:szCs w:val="20"/>
          <w:rtl/>
        </w:rPr>
      </w:pPr>
      <w:r>
        <w:rPr>
          <w:rFonts w:hint="cs"/>
          <w:sz w:val="20"/>
          <w:szCs w:val="20"/>
          <w:rtl/>
        </w:rPr>
        <w:t xml:space="preserve">ואולם, </w:t>
      </w:r>
      <w:r w:rsidRPr="00BF4868">
        <w:rPr>
          <w:sz w:val="20"/>
          <w:szCs w:val="20"/>
          <w:rtl/>
        </w:rPr>
        <w:t xml:space="preserve">אפשר להגביל את הזכות </w:t>
      </w:r>
      <w:r>
        <w:rPr>
          <w:rFonts w:hint="cs"/>
          <w:sz w:val="20"/>
          <w:szCs w:val="20"/>
          <w:rtl/>
        </w:rPr>
        <w:t xml:space="preserve">החוקתית </w:t>
      </w:r>
      <w:r w:rsidRPr="00BF4868">
        <w:rPr>
          <w:sz w:val="20"/>
          <w:szCs w:val="20"/>
          <w:rtl/>
        </w:rPr>
        <w:t xml:space="preserve">הזו לפי חוק, אם הדבר </w:t>
      </w:r>
      <w:r>
        <w:rPr>
          <w:rFonts w:hint="cs"/>
          <w:sz w:val="20"/>
          <w:szCs w:val="20"/>
          <w:rtl/>
        </w:rPr>
        <w:t>תואם את מרכיביה של "פסקת ההגבלה" (הפעם זו הקנדית, המופיעה בסע'</w:t>
      </w:r>
      <w:r w:rsidRPr="00BF4868">
        <w:rPr>
          <w:sz w:val="20"/>
          <w:szCs w:val="20"/>
          <w:rtl/>
        </w:rPr>
        <w:t xml:space="preserve"> 1 לצ'ארטר)</w:t>
      </w:r>
      <w:r>
        <w:rPr>
          <w:rFonts w:hint="cs"/>
          <w:sz w:val="20"/>
          <w:szCs w:val="20"/>
          <w:rtl/>
        </w:rPr>
        <w:t>:</w:t>
      </w:r>
    </w:p>
    <w:p w:rsidR="005366A8" w:rsidRDefault="005366A8" w:rsidP="005366A8">
      <w:pPr>
        <w:pStyle w:val="BlockText"/>
        <w:bidi w:val="0"/>
        <w:ind w:left="0"/>
        <w:jc w:val="left"/>
        <w:rPr>
          <w:b/>
          <w:bCs/>
          <w:sz w:val="20"/>
          <w:szCs w:val="20"/>
          <w:highlight w:val="yellow"/>
        </w:rPr>
      </w:pPr>
      <w:r>
        <w:rPr>
          <w:sz w:val="20"/>
          <w:szCs w:val="20"/>
        </w:rPr>
        <w:t xml:space="preserve">1. </w:t>
      </w:r>
      <w:r w:rsidRPr="00BF4868">
        <w:rPr>
          <w:sz w:val="20"/>
          <w:szCs w:val="20"/>
        </w:rPr>
        <w:t>The Canadian Charter of Rights and Freedoms guarantees the</w:t>
      </w:r>
      <w:r w:rsidRPr="00BF4868">
        <w:rPr>
          <w:sz w:val="20"/>
          <w:szCs w:val="20"/>
          <w:rtl/>
        </w:rPr>
        <w:t xml:space="preserve"> </w:t>
      </w:r>
      <w:r w:rsidRPr="00BF4868">
        <w:rPr>
          <w:sz w:val="20"/>
          <w:szCs w:val="20"/>
        </w:rPr>
        <w:t xml:space="preserve">rights and freedoms set out in it </w:t>
      </w:r>
      <w:r w:rsidRPr="00BF4868">
        <w:rPr>
          <w:b/>
          <w:bCs/>
          <w:sz w:val="20"/>
          <w:szCs w:val="20"/>
          <w:highlight w:val="yellow"/>
        </w:rPr>
        <w:t>subject only to such reasonable</w:t>
      </w:r>
      <w:r w:rsidRPr="00BF4868">
        <w:rPr>
          <w:b/>
          <w:bCs/>
          <w:sz w:val="20"/>
          <w:szCs w:val="20"/>
          <w:highlight w:val="yellow"/>
          <w:rtl/>
        </w:rPr>
        <w:t xml:space="preserve"> </w:t>
      </w:r>
      <w:r w:rsidRPr="00BF4868">
        <w:rPr>
          <w:b/>
          <w:bCs/>
          <w:sz w:val="20"/>
          <w:szCs w:val="20"/>
          <w:highlight w:val="yellow"/>
        </w:rPr>
        <w:t>limits prescribed by law as can be demonstrably justified in a</w:t>
      </w:r>
      <w:r w:rsidRPr="00BF4868">
        <w:rPr>
          <w:b/>
          <w:bCs/>
          <w:sz w:val="20"/>
          <w:szCs w:val="20"/>
          <w:highlight w:val="yellow"/>
          <w:rtl/>
        </w:rPr>
        <w:t xml:space="preserve"> </w:t>
      </w:r>
      <w:r w:rsidRPr="00BF4868">
        <w:rPr>
          <w:b/>
          <w:bCs/>
          <w:sz w:val="20"/>
          <w:szCs w:val="20"/>
          <w:highlight w:val="yellow"/>
        </w:rPr>
        <w:t>free and democratic society</w:t>
      </w:r>
      <w:r>
        <w:rPr>
          <w:b/>
          <w:bCs/>
          <w:sz w:val="20"/>
          <w:szCs w:val="20"/>
          <w:highlight w:val="yellow"/>
        </w:rPr>
        <w:t>.</w:t>
      </w:r>
    </w:p>
    <w:p w:rsidR="005366A8" w:rsidRDefault="005366A8" w:rsidP="005366A8">
      <w:pPr>
        <w:pStyle w:val="BlockText"/>
        <w:ind w:left="0"/>
        <w:jc w:val="left"/>
        <w:rPr>
          <w:b/>
          <w:bCs/>
          <w:sz w:val="20"/>
          <w:szCs w:val="20"/>
          <w:rtl/>
        </w:rPr>
      </w:pPr>
    </w:p>
    <w:p w:rsidR="005366A8" w:rsidRPr="00F57D51" w:rsidRDefault="005366A8" w:rsidP="005366A8">
      <w:pPr>
        <w:pStyle w:val="BlockText"/>
        <w:ind w:left="0"/>
        <w:jc w:val="left"/>
        <w:rPr>
          <w:sz w:val="20"/>
          <w:szCs w:val="20"/>
          <w:rtl/>
        </w:rPr>
      </w:pPr>
      <w:r w:rsidRPr="00BF4868">
        <w:rPr>
          <w:b/>
          <w:bCs/>
          <w:sz w:val="20"/>
          <w:szCs w:val="20"/>
          <w:rtl/>
        </w:rPr>
        <w:t>בית המשפט</w:t>
      </w:r>
      <w:r>
        <w:rPr>
          <w:rFonts w:hint="cs"/>
          <w:b/>
          <w:bCs/>
          <w:sz w:val="20"/>
          <w:szCs w:val="20"/>
          <w:rtl/>
        </w:rPr>
        <w:t xml:space="preserve"> בפס"ד</w:t>
      </w:r>
      <w:r w:rsidRPr="00BF4868">
        <w:rPr>
          <w:b/>
          <w:bCs/>
          <w:sz w:val="20"/>
          <w:szCs w:val="20"/>
          <w:rtl/>
        </w:rPr>
        <w:t xml:space="preserve"> </w:t>
      </w:r>
      <w:r w:rsidRPr="00BF4868">
        <w:rPr>
          <w:b/>
          <w:bCs/>
          <w:sz w:val="20"/>
          <w:szCs w:val="20"/>
        </w:rPr>
        <w:t>R. v. Tompsen</w:t>
      </w:r>
      <w:r w:rsidRPr="00BF4868">
        <w:rPr>
          <w:b/>
          <w:bCs/>
          <w:sz w:val="20"/>
          <w:szCs w:val="20"/>
          <w:rtl/>
        </w:rPr>
        <w:t xml:space="preserve"> </w:t>
      </w:r>
      <w:r w:rsidRPr="00BF4868">
        <w:rPr>
          <w:sz w:val="20"/>
          <w:szCs w:val="20"/>
          <w:rtl/>
        </w:rPr>
        <w:t>קובע כי</w:t>
      </w:r>
      <w:r>
        <w:rPr>
          <w:rFonts w:hint="cs"/>
          <w:sz w:val="20"/>
          <w:szCs w:val="20"/>
          <w:rtl/>
        </w:rPr>
        <w:t xml:space="preserve"> </w:t>
      </w:r>
      <w:r w:rsidRPr="00BF4868">
        <w:rPr>
          <w:sz w:val="20"/>
          <w:szCs w:val="20"/>
          <w:rtl/>
        </w:rPr>
        <w:t xml:space="preserve">הסמכה בחוק יכולה לנבוע גם באופן משתמע מחוק, או מהדרישות הקשורות ליישומו בפועל. </w:t>
      </w:r>
      <w:r>
        <w:rPr>
          <w:rFonts w:hint="cs"/>
          <w:sz w:val="20"/>
          <w:szCs w:val="20"/>
          <w:rtl/>
        </w:rPr>
        <w:t xml:space="preserve">משמע, </w:t>
      </w:r>
      <w:r w:rsidRPr="00BF4868">
        <w:rPr>
          <w:sz w:val="20"/>
          <w:szCs w:val="20"/>
          <w:rtl/>
        </w:rPr>
        <w:t>לא נדרש שהגבלת הזכות בחוק תהיה כזו ש</w:t>
      </w:r>
      <w:r>
        <w:rPr>
          <w:rFonts w:hint="cs"/>
          <w:sz w:val="20"/>
          <w:szCs w:val="20"/>
          <w:rtl/>
        </w:rPr>
        <w:t xml:space="preserve">בהכרח </w:t>
      </w:r>
      <w:r w:rsidRPr="00BF4868">
        <w:rPr>
          <w:sz w:val="20"/>
          <w:szCs w:val="20"/>
          <w:rtl/>
        </w:rPr>
        <w:t>מציינת במפורש את הפגיעה ואת הזכות הנפגעת.</w:t>
      </w:r>
      <w:r w:rsidRPr="00BF4868">
        <w:rPr>
          <w:sz w:val="20"/>
          <w:szCs w:val="20"/>
          <w:rtl/>
        </w:rPr>
        <w:br/>
        <w:t>במקרה זה</w:t>
      </w:r>
      <w:r>
        <w:rPr>
          <w:rFonts w:hint="cs"/>
          <w:sz w:val="20"/>
          <w:szCs w:val="20"/>
          <w:rtl/>
        </w:rPr>
        <w:t xml:space="preserve"> </w:t>
      </w:r>
      <w:r w:rsidRPr="00BF4868">
        <w:rPr>
          <w:sz w:val="20"/>
          <w:szCs w:val="20"/>
          <w:rtl/>
        </w:rPr>
        <w:t>סעיף החוק מורה שעל הנהג להיענות לדרישה להיבדק באופן מיידי. ברור שכדי לבצע את הבדיקה</w:t>
      </w:r>
      <w:r>
        <w:rPr>
          <w:rFonts w:hint="cs"/>
          <w:sz w:val="20"/>
          <w:szCs w:val="20"/>
          <w:rtl/>
        </w:rPr>
        <w:t xml:space="preserve"> (של שיעור האלכוהול בדם)</w:t>
      </w:r>
      <w:r w:rsidRPr="00BF4868">
        <w:rPr>
          <w:sz w:val="20"/>
          <w:szCs w:val="20"/>
          <w:rtl/>
        </w:rPr>
        <w:t xml:space="preserve"> באופן יעיל לא ניתן להמתין לעו"ד</w:t>
      </w:r>
      <w:r>
        <w:rPr>
          <w:rFonts w:hint="cs"/>
          <w:sz w:val="20"/>
          <w:szCs w:val="20"/>
          <w:rtl/>
        </w:rPr>
        <w:t>, שהרי</w:t>
      </w:r>
      <w:r w:rsidRPr="00BF4868">
        <w:rPr>
          <w:sz w:val="20"/>
          <w:szCs w:val="20"/>
          <w:rtl/>
        </w:rPr>
        <w:t xml:space="preserve"> בדיקה </w:t>
      </w:r>
      <w:r>
        <w:rPr>
          <w:rFonts w:hint="cs"/>
          <w:sz w:val="20"/>
          <w:szCs w:val="20"/>
          <w:rtl/>
        </w:rPr>
        <w:t>ש</w:t>
      </w:r>
      <w:r w:rsidRPr="00BF4868">
        <w:rPr>
          <w:sz w:val="20"/>
          <w:szCs w:val="20"/>
          <w:rtl/>
        </w:rPr>
        <w:t>כזו צריכה להיעשות באופן מיידי. לפיכך ניתן להסיק שהחוק מתיר את הפגיעה בזכות ההיוועצות בעו"ד</w:t>
      </w:r>
      <w:r>
        <w:rPr>
          <w:rFonts w:hint="cs"/>
          <w:sz w:val="20"/>
          <w:szCs w:val="20"/>
          <w:rtl/>
        </w:rPr>
        <w:t xml:space="preserve"> אף מבלי שהוא, החוק, ציין זאת מפורשות. במלים אחרות, הפגיעה כאן בזכות ההיוועצות </w:t>
      </w:r>
      <w:r w:rsidRPr="00BF4868">
        <w:rPr>
          <w:sz w:val="20"/>
          <w:szCs w:val="20"/>
          <w:rtl/>
        </w:rPr>
        <w:t>נעשית לפי חוק.</w:t>
      </w:r>
      <w:r w:rsidRPr="00BF4868">
        <w:rPr>
          <w:sz w:val="20"/>
          <w:szCs w:val="20"/>
          <w:rtl/>
        </w:rPr>
        <w:br/>
      </w:r>
    </w:p>
    <w:p w:rsidR="005366A8" w:rsidRDefault="005366A8" w:rsidP="005366A8">
      <w:pPr>
        <w:rPr>
          <w:rFonts w:ascii="Arial" w:hAnsi="Arial" w:cs="Arial"/>
          <w:sz w:val="20"/>
          <w:szCs w:val="20"/>
          <w:rtl/>
        </w:rPr>
      </w:pPr>
      <w:r>
        <w:rPr>
          <w:rFonts w:ascii="Arial" w:hAnsi="Arial" w:cs="Arial" w:hint="cs"/>
          <w:sz w:val="20"/>
          <w:szCs w:val="20"/>
          <w:rtl/>
        </w:rPr>
        <w:t>=-=</w:t>
      </w:r>
    </w:p>
    <w:p w:rsidR="005366A8" w:rsidRDefault="005366A8" w:rsidP="005366A8">
      <w:pPr>
        <w:rPr>
          <w:rFonts w:ascii="Arial" w:hAnsi="Arial" w:cs="Arial"/>
          <w:sz w:val="20"/>
          <w:szCs w:val="20"/>
          <w:rtl/>
        </w:rPr>
      </w:pPr>
    </w:p>
    <w:p w:rsidR="005366A8" w:rsidRPr="00DF40BE" w:rsidRDefault="005366A8" w:rsidP="005366A8">
      <w:pPr>
        <w:jc w:val="center"/>
        <w:rPr>
          <w:rFonts w:ascii="Arial" w:hAnsi="Arial" w:cs="Arial"/>
          <w:b/>
          <w:bCs/>
          <w:highlight w:val="yellow"/>
          <w:u w:val="single"/>
          <w:rtl/>
        </w:rPr>
      </w:pPr>
      <w:r w:rsidRPr="00DF40BE">
        <w:rPr>
          <w:rFonts w:ascii="Arial" w:hAnsi="Arial" w:cs="Arial" w:hint="cs"/>
          <w:b/>
          <w:bCs/>
          <w:highlight w:val="yellow"/>
          <w:u w:val="single"/>
          <w:rtl/>
        </w:rPr>
        <w:t xml:space="preserve">מרכיביה הנוספים של פסקת ההגבלה: דרישת "התכלית" ודרישת "המידתיות" </w:t>
      </w:r>
    </w:p>
    <w:p w:rsidR="005366A8" w:rsidRPr="00DF40BE" w:rsidRDefault="005366A8" w:rsidP="005366A8">
      <w:pPr>
        <w:spacing w:after="240"/>
        <w:jc w:val="center"/>
        <w:rPr>
          <w:rFonts w:ascii="Arial" w:hAnsi="Arial" w:cs="Arial"/>
          <w:highlight w:val="yellow"/>
          <w:rtl/>
        </w:rPr>
      </w:pPr>
      <w:r w:rsidRPr="00DF40BE">
        <w:rPr>
          <w:rFonts w:ascii="Arial" w:hAnsi="Arial" w:cs="Arial" w:hint="cs"/>
          <w:b/>
          <w:bCs/>
          <w:highlight w:val="yellow"/>
          <w:rtl/>
        </w:rPr>
        <w:t xml:space="preserve">(מידתיות </w:t>
      </w:r>
      <w:r w:rsidRPr="00DF40BE">
        <w:rPr>
          <w:rFonts w:ascii="Arial" w:hAnsi="Arial" w:cs="Arial" w:hint="cs"/>
          <w:b/>
          <w:bCs/>
          <w:highlight w:val="yellow"/>
          <w:u w:val="single"/>
          <w:rtl/>
        </w:rPr>
        <w:t>האמצעים</w:t>
      </w:r>
      <w:r w:rsidRPr="00DF40BE">
        <w:rPr>
          <w:rFonts w:ascii="Arial" w:hAnsi="Arial" w:cs="Arial" w:hint="cs"/>
          <w:b/>
          <w:bCs/>
          <w:highlight w:val="yellow"/>
          <w:rtl/>
        </w:rPr>
        <w:t xml:space="preserve"> שמופעלים בשירותה של התכלית)</w:t>
      </w:r>
      <w:r w:rsidRPr="00DF40BE">
        <w:rPr>
          <w:rFonts w:ascii="Arial" w:hAnsi="Arial" w:cs="Arial" w:hint="cs"/>
          <w:highlight w:val="yellow"/>
          <w:rtl/>
        </w:rPr>
        <w:t xml:space="preserve"> </w:t>
      </w:r>
    </w:p>
    <w:p w:rsidR="005366A8" w:rsidRPr="004B2A24" w:rsidRDefault="005366A8" w:rsidP="005366A8">
      <w:pPr>
        <w:spacing w:after="240"/>
        <w:jc w:val="center"/>
        <w:rPr>
          <w:rFonts w:cs="FrankRuehl"/>
          <w:b/>
          <w:bCs/>
          <w:sz w:val="28"/>
          <w:szCs w:val="28"/>
          <w:rtl/>
        </w:rPr>
      </w:pPr>
      <w:r w:rsidRPr="004B2A24">
        <w:rPr>
          <w:rFonts w:ascii="Arial" w:hAnsi="Arial" w:cs="FrankRuehl"/>
          <w:sz w:val="28"/>
          <w:szCs w:val="28"/>
          <w:highlight w:val="yellow"/>
          <w:u w:val="single"/>
          <w:rtl/>
        </w:rPr>
        <w:t xml:space="preserve">בג"ץ 6055/95 </w:t>
      </w:r>
      <w:r w:rsidRPr="004B2A24">
        <w:rPr>
          <w:rFonts w:ascii="Arial" w:hAnsi="Arial" w:cs="FrankRuehl"/>
          <w:b/>
          <w:bCs/>
          <w:sz w:val="28"/>
          <w:szCs w:val="28"/>
          <w:highlight w:val="yellow"/>
          <w:u w:val="single"/>
          <w:rtl/>
        </w:rPr>
        <w:t>צמח נ' שר הביטחון</w:t>
      </w:r>
      <w:r w:rsidRPr="004B2A24">
        <w:rPr>
          <w:rFonts w:ascii="Arial" w:hAnsi="Arial" w:cs="FrankRuehl"/>
          <w:sz w:val="28"/>
          <w:szCs w:val="28"/>
          <w:highlight w:val="yellow"/>
          <w:rtl/>
        </w:rPr>
        <w:t xml:space="preserve"> </w:t>
      </w:r>
      <w:r w:rsidRPr="004B2A24">
        <w:rPr>
          <w:rFonts w:ascii="Arial" w:hAnsi="Arial" w:cs="FrankRuehl" w:hint="cs"/>
          <w:sz w:val="28"/>
          <w:szCs w:val="28"/>
          <w:highlight w:val="yellow"/>
          <w:rtl/>
        </w:rPr>
        <w:t xml:space="preserve">(1999) </w:t>
      </w:r>
      <w:r w:rsidRPr="004B2A24">
        <w:rPr>
          <w:rFonts w:ascii="Arial" w:hAnsi="Arial" w:cs="FrankRuehl"/>
          <w:sz w:val="28"/>
          <w:szCs w:val="28"/>
          <w:highlight w:val="yellow"/>
          <w:rtl/>
        </w:rPr>
        <w:t>[ההדגשות הוספו]</w:t>
      </w:r>
      <w:r w:rsidRPr="004B2A24">
        <w:rPr>
          <w:rFonts w:ascii="Arial" w:hAnsi="Arial" w:cs="FrankRuehl" w:hint="cs"/>
          <w:sz w:val="28"/>
          <w:szCs w:val="28"/>
          <w:rtl/>
        </w:rPr>
        <w:t xml:space="preserve"> </w:t>
      </w:r>
      <w:r w:rsidRPr="004B2A24">
        <w:rPr>
          <w:rFonts w:cs="FrankRuehl"/>
          <w:b/>
          <w:bCs/>
          <w:sz w:val="28"/>
          <w:szCs w:val="28"/>
          <w:rtl/>
        </w:rPr>
        <w:t>–</w:t>
      </w:r>
      <w:r w:rsidRPr="004B2A24">
        <w:rPr>
          <w:rFonts w:cs="FrankRuehl" w:hint="cs"/>
          <w:b/>
          <w:bCs/>
          <w:sz w:val="28"/>
          <w:szCs w:val="28"/>
          <w:rtl/>
        </w:rPr>
        <w:t xml:space="preserve"> </w:t>
      </w:r>
      <w:r w:rsidRPr="004B2A24">
        <w:rPr>
          <w:rFonts w:ascii="Arial" w:hAnsi="Arial" w:cs="FrankRuehl" w:hint="cs"/>
          <w:sz w:val="28"/>
          <w:szCs w:val="28"/>
          <w:rtl/>
        </w:rPr>
        <w:t>השופט זמיר</w:t>
      </w:r>
    </w:p>
    <w:p w:rsidR="005366A8" w:rsidRPr="008717CB" w:rsidRDefault="005366A8" w:rsidP="005366A8">
      <w:pPr>
        <w:spacing w:after="120"/>
        <w:ind w:left="28" w:hanging="28"/>
        <w:rPr>
          <w:rFonts w:cs="FrankRuehl"/>
          <w:sz w:val="22"/>
          <w:szCs w:val="22"/>
          <w:rtl/>
        </w:rPr>
      </w:pPr>
      <w:r w:rsidRPr="008717CB">
        <w:rPr>
          <w:rFonts w:cs="FrankRuehl" w:hint="cs"/>
          <w:sz w:val="22"/>
          <w:szCs w:val="22"/>
          <w:rtl/>
        </w:rPr>
        <w:t xml:space="preserve">17. </w:t>
      </w:r>
      <w:r w:rsidRPr="008717CB">
        <w:rPr>
          <w:rFonts w:cs="FrankRuehl" w:hint="cs"/>
          <w:sz w:val="22"/>
          <w:szCs w:val="22"/>
          <w:rtl/>
        </w:rPr>
        <w:tab/>
      </w:r>
      <w:r w:rsidRPr="008717CB">
        <w:rPr>
          <w:rFonts w:cs="FrankRuehl"/>
          <w:sz w:val="22"/>
          <w:szCs w:val="22"/>
          <w:rtl/>
        </w:rPr>
        <w:t xml:space="preserve">החירות האישית היא, מכוח סעיף 5 לחוק-יסוד: כבוד האדם וחירותו, זכות חוקתית. יתירה מזאת. החירות האישית היא זכות חוקתית מן המדרגה הראשונה, והיא גם, מבחינה מעשית, תנאי למימוש זכויות יסוד אחרות. הפגיעה בחירות האישית, כמו פגיעת אבן במים, יוצרת מעגל מתרחב של פגיעה בזכויות יסוד נוספות: לא רק בחופש התנועה, אלא גם בחופש הביטוי, בצנעת הפרט, בזכות הקנין ובזכויות נוספות. </w:t>
      </w:r>
      <w:r w:rsidRPr="008717CB">
        <w:rPr>
          <w:rFonts w:cs="FrankRuehl" w:hint="cs"/>
          <w:sz w:val="22"/>
          <w:szCs w:val="22"/>
          <w:rtl/>
        </w:rPr>
        <w:t xml:space="preserve">[...] </w:t>
      </w:r>
      <w:r w:rsidRPr="00405C87">
        <w:rPr>
          <w:rFonts w:cs="FrankRuehl"/>
          <w:sz w:val="22"/>
          <w:szCs w:val="22"/>
          <w:highlight w:val="yellow"/>
          <w:rtl/>
        </w:rPr>
        <w:t>מעצר בידי רשות מינהלית, כגון שוטר, הוא הצורה הקשה ביותר של פגיעה בחירות האישית. מעצר כזה, להבדיל ממאסר, אינו מוטל על ידי בית המשפט, לאחר הליך שיפוטי, כעונש על ביצוע עבירה. הוא מוטל על ידי רשות מינהלית, על אדם שהוא עדיין בחזקת חף מפשע, על יסוד חשד בלבד.</w:t>
      </w:r>
      <w:r w:rsidRPr="008717CB">
        <w:rPr>
          <w:rFonts w:cs="FrankRuehl" w:hint="cs"/>
          <w:sz w:val="22"/>
          <w:szCs w:val="22"/>
          <w:rtl/>
        </w:rPr>
        <w:t xml:space="preserve"> [...] </w:t>
      </w:r>
      <w:r w:rsidRPr="008717CB">
        <w:rPr>
          <w:rFonts w:cs="FrankRuehl"/>
          <w:b/>
          <w:bCs/>
          <w:sz w:val="22"/>
          <w:szCs w:val="22"/>
          <w:rtl/>
        </w:rPr>
        <w:t>מבחינה עקרונית, רמת ההגנה על זכות יסוד צריכה לעמוד ביחס ישר לדרגת החשיבות של הזכות ולעוצמת הפגיעה בזכות.</w:t>
      </w:r>
      <w:r w:rsidRPr="008717CB">
        <w:rPr>
          <w:rFonts w:cs="FrankRuehl"/>
          <w:sz w:val="22"/>
          <w:szCs w:val="22"/>
          <w:rtl/>
        </w:rPr>
        <w:t xml:space="preserve"> בהתאם לכך, יכול להיות הבדל, לדוגמה, </w:t>
      </w:r>
      <w:r w:rsidRPr="008717CB">
        <w:rPr>
          <w:rFonts w:cs="FrankRuehl"/>
          <w:b/>
          <w:bCs/>
          <w:sz w:val="22"/>
          <w:szCs w:val="22"/>
          <w:rtl/>
        </w:rPr>
        <w:t>בין רמת ההגנה על החירות האישית לבין רמת ההגנה על זכות הקנין</w:t>
      </w:r>
      <w:r w:rsidRPr="008717CB">
        <w:rPr>
          <w:rFonts w:cs="FrankRuehl"/>
          <w:sz w:val="22"/>
          <w:szCs w:val="22"/>
          <w:rtl/>
        </w:rPr>
        <w:t xml:space="preserve">, כשם שיכול להיות </w:t>
      </w:r>
      <w:r w:rsidRPr="008717CB">
        <w:rPr>
          <w:rFonts w:cs="FrankRuehl"/>
          <w:b/>
          <w:bCs/>
          <w:sz w:val="22"/>
          <w:szCs w:val="22"/>
          <w:rtl/>
        </w:rPr>
        <w:t>הבדל ברמת ההגנה בין מקרה של שלילה מוחלטת של החירות לבין מקרה של פגיעה מוגבלת בחירות</w:t>
      </w:r>
      <w:r w:rsidRPr="008717CB">
        <w:rPr>
          <w:rFonts w:cs="FrankRuehl"/>
          <w:sz w:val="22"/>
          <w:szCs w:val="22"/>
          <w:rtl/>
        </w:rPr>
        <w:t xml:space="preserve">. </w:t>
      </w:r>
      <w:r w:rsidRPr="008717CB">
        <w:rPr>
          <w:rFonts w:cs="FrankRuehl" w:hint="cs"/>
          <w:sz w:val="22"/>
          <w:szCs w:val="22"/>
          <w:rtl/>
        </w:rPr>
        <w:t xml:space="preserve">[...] </w:t>
      </w:r>
      <w:r w:rsidRPr="008717CB">
        <w:rPr>
          <w:rFonts w:cs="FrankRuehl"/>
          <w:sz w:val="22"/>
          <w:szCs w:val="22"/>
          <w:rtl/>
        </w:rPr>
        <w:t>עם זאת, כידוע, לא כל פגיעה בחירות האישית עומדת בניגוד לחוק-יסוד: כבוד האדם וחירותו. החירות האישית, כמו כל זכות יסוד אחרת, אינה מוחלטת. ניתן להגביל את החירות האישית, ובנסיבות מסויימות אף צריך להגביל אותה, כדי להגן על זכויות אחרות או על אינטרס ציבורי. חוק-היסוד מכיר בצורך זה והוא קובע תנאים לצורך זה. תנאים אלה נקבעו בפיסקת ההגבלה שבחוק-היסוד.</w:t>
      </w:r>
    </w:p>
    <w:p w:rsidR="005366A8" w:rsidRPr="008717CB" w:rsidRDefault="005366A8" w:rsidP="005366A8">
      <w:pPr>
        <w:spacing w:after="120"/>
        <w:rPr>
          <w:rFonts w:cs="FrankRuehl"/>
          <w:sz w:val="22"/>
          <w:szCs w:val="22"/>
          <w:rtl/>
        </w:rPr>
      </w:pPr>
      <w:r w:rsidRPr="008717CB">
        <w:rPr>
          <w:rFonts w:cs="FrankRuehl"/>
          <w:sz w:val="22"/>
          <w:szCs w:val="22"/>
          <w:rtl/>
        </w:rPr>
        <w:t xml:space="preserve">38. </w:t>
      </w:r>
      <w:r w:rsidRPr="008717CB">
        <w:rPr>
          <w:rFonts w:cs="FrankRuehl"/>
          <w:sz w:val="22"/>
          <w:szCs w:val="22"/>
          <w:rtl/>
        </w:rPr>
        <w:tab/>
        <w:t>[</w:t>
      </w:r>
      <w:r w:rsidRPr="008717CB">
        <w:rPr>
          <w:rFonts w:cs="FrankRuehl"/>
          <w:sz w:val="22"/>
          <w:szCs w:val="22"/>
        </w:rPr>
        <w:t>…</w:t>
      </w:r>
      <w:r w:rsidRPr="008717CB">
        <w:rPr>
          <w:rFonts w:cs="FrankRuehl"/>
          <w:sz w:val="22"/>
          <w:szCs w:val="22"/>
          <w:rtl/>
        </w:rPr>
        <w:t xml:space="preserve">] וזו הרי טענת המשיבים, שקיצור תקופת המעצר, בשלב זה, עלול לפגוע במשמעת הצבא, לגרום להתרחבות התופעה של היעדרות מן השירות, ותוצאות נוספות שיפגעו במהות ובאופי של השירות הצבאי. </w:t>
      </w:r>
    </w:p>
    <w:p w:rsidR="005366A8" w:rsidRPr="008717CB" w:rsidRDefault="005366A8" w:rsidP="005366A8">
      <w:pPr>
        <w:rPr>
          <w:rFonts w:cs="FrankRuehl"/>
          <w:sz w:val="22"/>
          <w:szCs w:val="22"/>
          <w:rtl/>
        </w:rPr>
      </w:pPr>
      <w:r w:rsidRPr="008717CB">
        <w:rPr>
          <w:rFonts w:cs="FrankRuehl"/>
          <w:sz w:val="22"/>
          <w:szCs w:val="22"/>
          <w:rtl/>
        </w:rPr>
        <w:t>39.</w:t>
      </w:r>
      <w:r w:rsidRPr="008717CB">
        <w:rPr>
          <w:rFonts w:cs="FrankRuehl"/>
          <w:sz w:val="22"/>
          <w:szCs w:val="22"/>
          <w:rtl/>
        </w:rPr>
        <w:tab/>
        <w:t xml:space="preserve">עם זאת, המשיבים אינם מציגים תוצאות שליליות אלה כתוצאות בלתי-נמנעות. לדבריהם, אפשר למנוע אותן. כדי למנוע אותן הם צריכים שניים אלה: ראשית - זמן; שנית - משאבים. לכן השאלה היא, אם צרכים אלה יש בהם כדי למנוע, כיום הזה, קיצור תקופת המעצר. </w:t>
      </w:r>
    </w:p>
    <w:p w:rsidR="005366A8" w:rsidRPr="008717CB" w:rsidRDefault="005366A8" w:rsidP="005366A8">
      <w:pPr>
        <w:pStyle w:val="BodyText2"/>
        <w:rPr>
          <w:rFonts w:cs="FrankRuehl"/>
          <w:sz w:val="22"/>
          <w:rtl/>
        </w:rPr>
      </w:pPr>
      <w:r w:rsidRPr="008717CB">
        <w:rPr>
          <w:rFonts w:cs="FrankRuehl"/>
          <w:sz w:val="22"/>
          <w:rtl/>
        </w:rPr>
        <w:tab/>
        <w:t>נבדוק תחילה את הצורך במשאבים. האם הצורך במשאבים יש בו כדי למנוע את קיצור תקופת המעצר? באופן עקרוני, אין לשלול את האפשרות שהיקף המשאבים הנדרשים ימנע, באופן מעשי, את קיצור התקופה. וכבר אמר מי שאמר כי הפער בין מצוי לבין רצוי הוא, בגימטריה, כסף.</w:t>
      </w:r>
    </w:p>
    <w:p w:rsidR="005366A8" w:rsidRPr="008717CB" w:rsidRDefault="005366A8" w:rsidP="005366A8">
      <w:pPr>
        <w:rPr>
          <w:rFonts w:cs="FrankRuehl"/>
          <w:sz w:val="22"/>
          <w:szCs w:val="22"/>
          <w:rtl/>
        </w:rPr>
      </w:pPr>
      <w:r w:rsidRPr="008717CB">
        <w:rPr>
          <w:rFonts w:cs="FrankRuehl"/>
          <w:sz w:val="22"/>
          <w:szCs w:val="22"/>
          <w:rtl/>
        </w:rPr>
        <w:tab/>
        <w:t xml:space="preserve">המשיבים פירטו בפני בית המשפט את המשאבים שיידרשו לצורך קיצור תקופת המעצר. ראו לעיל פיסקה 36. משאבים אלה, אף כי אינם מבוטלים, אינם בסדר גודל שמחוץ ליכולת הצבא. יש להעמיד את סדר הגודל של המשאבים הנדרשים (אפילו אם לא ניתן לצמצם אותם) כנגד סדר הגודל של הפגיעה בחירות האישית של החיילים: כ10,000- חיילים הנעצרים מדי שנה (ברוב גדול של המקרים - בגין עבירה של עריקה) על ידי שוטרים צבאיים. </w:t>
      </w:r>
      <w:r w:rsidRPr="00026362">
        <w:rPr>
          <w:rFonts w:cs="FrankRuehl"/>
          <w:sz w:val="22"/>
          <w:szCs w:val="22"/>
          <w:highlight w:val="yellow"/>
          <w:rtl/>
        </w:rPr>
        <w:t>מה מכריע את הכף? התשובה תלוייה בעיקר במשקל היחסי של החירות כנגד המשאבים. מהו, אם כן, המשקל היחסי? שאלה זאת מציבה מבחן לחברה בישראל: החברה נבחנת, בין היתר, על פי המשקל היחסי שהיא נותנת לחירות האישית. המשקל צריך לבוא לידי ביטוי, לא רק באמירות יפות, ולא רק בספרי משפט, אלא גם בספר התקציב. ההגנה על זכויות האדם כרוכה לא פעם במחיר. החברה צריכה להיות מוכנה לשלם מחיר סביר עבור הגנה על זכויות האדם.</w:t>
      </w:r>
      <w:r w:rsidRPr="008717CB">
        <w:rPr>
          <w:rFonts w:cs="FrankRuehl"/>
          <w:sz w:val="22"/>
          <w:szCs w:val="22"/>
          <w:rtl/>
        </w:rPr>
        <w:t xml:space="preserve"> [</w:t>
      </w:r>
      <w:r w:rsidRPr="008717CB">
        <w:rPr>
          <w:rFonts w:cs="FrankRuehl"/>
          <w:sz w:val="22"/>
          <w:szCs w:val="22"/>
        </w:rPr>
        <w:t>…</w:t>
      </w:r>
      <w:r w:rsidRPr="008717CB">
        <w:rPr>
          <w:rFonts w:cs="FrankRuehl"/>
          <w:sz w:val="22"/>
          <w:szCs w:val="22"/>
          <w:rtl/>
        </w:rPr>
        <w:t xml:space="preserve">]. </w:t>
      </w:r>
    </w:p>
    <w:p w:rsidR="005366A8" w:rsidRDefault="005366A8" w:rsidP="005366A8">
      <w:pPr>
        <w:rPr>
          <w:rFonts w:cs="FrankRuehl"/>
          <w:sz w:val="22"/>
          <w:szCs w:val="22"/>
          <w:rtl/>
        </w:rPr>
      </w:pPr>
      <w:r w:rsidRPr="008717CB">
        <w:rPr>
          <w:rFonts w:cs="FrankRuehl"/>
          <w:sz w:val="22"/>
          <w:szCs w:val="22"/>
          <w:rtl/>
        </w:rPr>
        <w:tab/>
        <w:t xml:space="preserve">נראה כי המחיר הנדרש במשאבים של אדם וכסף, כדי לקצר את תקופת המעצר הקיימת, בהתחשב במשקל המיוחד הנודע לצמצום הפגיעה בחירות האישית של חיילים, הינו מחיר סביר. קל וחומר אם ייבדק ויימצא כי ניתן (והדעת נותנת שניתן) לשנות את ההיערכות והנהלים, בכל הנוגע למעצר חיילים, באופן שיפחית את המחיר. מכל מקום, מחיר זה אינו יכול לשמש טעם טוב לפגיעה בחירות האישית של חיילים כה רבים מעבר למידה הנדרשת ממהותו ומאופיו של השירות הצבאי. </w:t>
      </w:r>
      <w:r w:rsidRPr="008717CB">
        <w:rPr>
          <w:rFonts w:cs="FrankRuehl"/>
          <w:sz w:val="22"/>
          <w:szCs w:val="22"/>
          <w:rtl/>
        </w:rPr>
        <w:tab/>
        <w:t xml:space="preserve">אכן, גם הקיצור של תקופת המעצר בידי שוטר אזרחי, מתקופת של 48 שעות לתקופה של 24 שעות, חייב את המשטרה להיערכות מיוחדת, והיערכות כזאת דורשת משאבים של אדם וכסף. אף-על-פי כן, לא היה בכך כדי להרתיע את המחוקק מקיצור תקופת המעצר, מתוך נכונות לשלם מחיר כדי להגן על חירות האדם. </w:t>
      </w:r>
      <w:r>
        <w:rPr>
          <w:rFonts w:cs="FrankRuehl" w:hint="cs"/>
          <w:sz w:val="22"/>
          <w:szCs w:val="22"/>
          <w:rtl/>
        </w:rPr>
        <w:t>...</w:t>
      </w:r>
      <w:r w:rsidRPr="008717CB">
        <w:rPr>
          <w:rFonts w:cs="FrankRuehl"/>
          <w:sz w:val="22"/>
          <w:szCs w:val="22"/>
          <w:rtl/>
        </w:rPr>
        <w:t xml:space="preserve"> </w:t>
      </w:r>
    </w:p>
    <w:p w:rsidR="005366A8" w:rsidRDefault="005366A8" w:rsidP="005366A8">
      <w:pPr>
        <w:rPr>
          <w:rFonts w:cs="FrankRuehl"/>
          <w:sz w:val="22"/>
          <w:szCs w:val="22"/>
          <w:rtl/>
        </w:rPr>
      </w:pPr>
    </w:p>
    <w:p w:rsidR="005366A8" w:rsidRPr="008717CB" w:rsidRDefault="005366A8" w:rsidP="005366A8">
      <w:pPr>
        <w:rPr>
          <w:rFonts w:cs="FrankRuehl"/>
          <w:sz w:val="22"/>
          <w:szCs w:val="22"/>
          <w:rtl/>
        </w:rPr>
      </w:pPr>
      <w:r w:rsidRPr="008717CB">
        <w:rPr>
          <w:rFonts w:cs="FrankRuehl"/>
          <w:sz w:val="22"/>
          <w:szCs w:val="22"/>
          <w:rtl/>
        </w:rPr>
        <w:t>40.</w:t>
      </w:r>
      <w:r w:rsidRPr="008717CB">
        <w:rPr>
          <w:rFonts w:cs="FrankRuehl"/>
          <w:sz w:val="22"/>
          <w:szCs w:val="22"/>
          <w:rtl/>
        </w:rPr>
        <w:tab/>
      </w:r>
      <w:r w:rsidRPr="004D6888">
        <w:rPr>
          <w:rFonts w:cs="FrankRuehl"/>
          <w:sz w:val="22"/>
          <w:szCs w:val="22"/>
          <w:highlight w:val="yellow"/>
          <w:rtl/>
        </w:rPr>
        <w:t>נותר הצורך בזמן, הנדרש על ידי הצבא כדי להיערך כראוי לקיצור תקופת המעצר, באופן שלא תיפגע המשמעת בצבא ולא תורחב התופעה של היעדרות מן השירות.</w:t>
      </w:r>
      <w:r w:rsidRPr="008717CB">
        <w:rPr>
          <w:rFonts w:cs="FrankRuehl"/>
          <w:sz w:val="22"/>
          <w:szCs w:val="22"/>
          <w:rtl/>
        </w:rPr>
        <w:t xml:space="preserve"> </w:t>
      </w:r>
    </w:p>
    <w:p w:rsidR="005366A8" w:rsidRDefault="005366A8" w:rsidP="005366A8">
      <w:pPr>
        <w:rPr>
          <w:rFonts w:cs="FrankRuehl"/>
          <w:sz w:val="22"/>
          <w:szCs w:val="22"/>
          <w:rtl/>
        </w:rPr>
      </w:pPr>
      <w:r w:rsidRPr="008717CB">
        <w:rPr>
          <w:rFonts w:cs="FrankRuehl"/>
          <w:sz w:val="22"/>
          <w:szCs w:val="22"/>
          <w:rtl/>
        </w:rPr>
        <w:tab/>
        <w:t>המשיבים הודיעו לבית המשפט (בחודש ספטמבר 1997) כי לאחר שתקופת המעצר המירבית תקוצר ל</w:t>
      </w:r>
      <w:r>
        <w:rPr>
          <w:rFonts w:cs="FrankRuehl" w:hint="cs"/>
          <w:sz w:val="22"/>
          <w:szCs w:val="22"/>
          <w:rtl/>
        </w:rPr>
        <w:t>-</w:t>
      </w:r>
      <w:r w:rsidRPr="008717CB">
        <w:rPr>
          <w:rFonts w:cs="FrankRuehl"/>
          <w:sz w:val="22"/>
          <w:szCs w:val="22"/>
          <w:rtl/>
        </w:rPr>
        <w:t>96 שעות, בחודש יולי 1998, הם זקוקים לשנה אחת לצורך בחינה של ההסדר החדש, וכי בעקבות הבחינה, לקראת שנת 2000, הם יציעו תיקון לחוק, "אשר יביא לצמצום משך המעצר הראשוני עד להבאה בפני שופט ל48- שעות בלבד, וזאת במידה ולא יתקיימו נסיבות אשר יחייבו לדחות את החקיקה לתקופה לא ארוכה נוספת". ראו לעיל פיסקה 36.</w:t>
      </w:r>
      <w:r w:rsidRPr="008717CB">
        <w:rPr>
          <w:rFonts w:cs="FrankRuehl" w:hint="cs"/>
          <w:sz w:val="22"/>
          <w:szCs w:val="22"/>
          <w:rtl/>
        </w:rPr>
        <w:t xml:space="preserve"> </w:t>
      </w:r>
      <w:r w:rsidRPr="008717CB">
        <w:rPr>
          <w:rFonts w:cs="FrankRuehl"/>
          <w:sz w:val="22"/>
          <w:szCs w:val="22"/>
          <w:rtl/>
        </w:rPr>
        <w:t xml:space="preserve">כיוון שהצבא עצמו הכיר בכך שראוי ואפשר לקצר את תקופת המעצר, היה בידו זמן לא מועט, במהלך ההתדיינות, כדי להיערך לקיצור התקופה. </w:t>
      </w:r>
      <w:r w:rsidRPr="004D6888">
        <w:rPr>
          <w:rFonts w:cs="FrankRuehl"/>
          <w:sz w:val="22"/>
          <w:szCs w:val="22"/>
          <w:highlight w:val="yellow"/>
          <w:rtl/>
        </w:rPr>
        <w:t>אולם, עד היום לא שמענו מפי המשיבים כי הם נערכו או נערכים לקיצור התקופה. מכל מקום, עד היום לא הופץ אפילו תזכיר חוק המציע קיצור התקופה. ואנו כבר בשלהי השנה, ושנת 2000 בפתח. מסתבר, אם כן, כי יש צורך בהכרעה של בית המשפט.</w:t>
      </w:r>
    </w:p>
    <w:p w:rsidR="005366A8" w:rsidRPr="00026362" w:rsidRDefault="005366A8" w:rsidP="005366A8">
      <w:pPr>
        <w:rPr>
          <w:rFonts w:cs="FrankRuehl"/>
          <w:sz w:val="22"/>
          <w:szCs w:val="22"/>
          <w:rtl/>
        </w:rPr>
      </w:pPr>
    </w:p>
    <w:p w:rsidR="005366A8" w:rsidRPr="00026362" w:rsidRDefault="005366A8" w:rsidP="005366A8">
      <w:pPr>
        <w:rPr>
          <w:rFonts w:cs="FrankRuehl"/>
          <w:sz w:val="22"/>
          <w:szCs w:val="22"/>
          <w:rtl/>
        </w:rPr>
      </w:pPr>
      <w:r w:rsidRPr="00026362">
        <w:rPr>
          <w:rFonts w:cs="FrankRuehl"/>
          <w:sz w:val="22"/>
          <w:szCs w:val="22"/>
          <w:rtl/>
        </w:rPr>
        <w:t xml:space="preserve">41. </w:t>
      </w:r>
      <w:r w:rsidRPr="00026362">
        <w:rPr>
          <w:rFonts w:cs="FrankRuehl" w:hint="cs"/>
          <w:sz w:val="22"/>
          <w:szCs w:val="22"/>
          <w:rtl/>
        </w:rPr>
        <w:tab/>
      </w:r>
      <w:r w:rsidRPr="00026362">
        <w:rPr>
          <w:rFonts w:cs="FrankRuehl"/>
          <w:sz w:val="22"/>
          <w:szCs w:val="22"/>
          <w:rtl/>
        </w:rPr>
        <w:t xml:space="preserve">מכל האמור עולה מסקנה כי החוק המתקן הקובע שתקופת המעצר של חייל בידי שוטר צבאי היא 96 שעות, אינו עומד עוד במבחן המידתיות: כיום הוא פוגע בחירות האישית של החייל מעבר למידה הנדרשת ממהותו ומאופיו של השירות הצבאי. </w:t>
      </w:r>
    </w:p>
    <w:p w:rsidR="005366A8" w:rsidRDefault="005366A8" w:rsidP="005366A8">
      <w:pPr>
        <w:rPr>
          <w:rFonts w:cs="FrankRuehl"/>
          <w:sz w:val="22"/>
          <w:szCs w:val="22"/>
          <w:rtl/>
        </w:rPr>
      </w:pPr>
      <w:r w:rsidRPr="00026362">
        <w:rPr>
          <w:rFonts w:cs="FrankRuehl"/>
          <w:sz w:val="22"/>
          <w:szCs w:val="22"/>
          <w:rtl/>
        </w:rPr>
        <w:t xml:space="preserve">מה הסעד הראוי בעקבות מסקנה זאת? ברור, כפי שבית-המשפט אמר לא פעם, שבית-המשפט נוהג בזהירות ובאיפוק עד שהוא מצהיר על הוראת חוק כי היא סותרת את חוק-יסוד: כבוד האדם וחירותו, ולפיכך היא בטלה. אולם, במקרה זה, אפילו המשיבים אינם חולקים על כך שהחוק המתקן פוגע בחירות האישית של חיילים מעבר למידה הנדרשת ורצוי, אף לדעתם, לקצר את תקופת המעצר שנקבעה בחוק, ולהעמיד אותה על 48 שעות בלבד. </w:t>
      </w:r>
      <w:r w:rsidRPr="00026362">
        <w:rPr>
          <w:rFonts w:cs="FrankRuehl"/>
          <w:sz w:val="22"/>
          <w:szCs w:val="22"/>
          <w:highlight w:val="yellow"/>
          <w:rtl/>
        </w:rPr>
        <w:t>המחלוקת בין העותרים לבין המשיבים סבה, לכאורה, על המשאבים הנדרשים כדי לעבור מן המצוי אל הרצוי. אך לא זו בלבד שהמשאבים הנדרשים, לפי חישובים שנערכו על-ידי המשיבים, אינם בסדר גודל בלתי סביר, אלא אף המשיבים סבורים כי אפשר וראוי להשקיע משאבים אלה. אכן, בהתחשב בחשיבות המיוחדת של החירות האישית, וכן בהתחשב בכך שהחוק הנדון חל על מעצר של 10,000 חיילים לערך מדי שנה בשנה, סדר הגודל של המשאבים הנדרשים אין בו כדי למנוע, או אפילו לעכב, את תיקון החוק באופן שיקצר את תקופת המעצר בידי שוטר צבאי, עד שפגיעתו בחירות האישית לא תעבור את המידה הנדרשת.</w:t>
      </w:r>
      <w:r w:rsidRPr="00026362">
        <w:rPr>
          <w:rFonts w:cs="FrankRuehl"/>
          <w:sz w:val="22"/>
          <w:szCs w:val="22"/>
          <w:rtl/>
        </w:rPr>
        <w:t xml:space="preserve"> </w:t>
      </w:r>
    </w:p>
    <w:p w:rsidR="005366A8" w:rsidRPr="00026362" w:rsidRDefault="005366A8" w:rsidP="005366A8">
      <w:pPr>
        <w:rPr>
          <w:rFonts w:cs="FrankRuehl"/>
          <w:sz w:val="22"/>
          <w:szCs w:val="22"/>
          <w:rtl/>
        </w:rPr>
      </w:pPr>
    </w:p>
    <w:p w:rsidR="005366A8" w:rsidRDefault="005366A8" w:rsidP="005366A8">
      <w:pPr>
        <w:rPr>
          <w:rFonts w:cs="FrankRuehl"/>
          <w:sz w:val="22"/>
          <w:szCs w:val="22"/>
          <w:rtl/>
        </w:rPr>
      </w:pPr>
      <w:r w:rsidRPr="00026362">
        <w:rPr>
          <w:rFonts w:cs="FrankRuehl"/>
          <w:sz w:val="22"/>
          <w:szCs w:val="22"/>
          <w:rtl/>
        </w:rPr>
        <w:t xml:space="preserve">42. </w:t>
      </w:r>
      <w:r w:rsidRPr="00026362">
        <w:rPr>
          <w:rFonts w:cs="FrankRuehl" w:hint="cs"/>
          <w:sz w:val="22"/>
          <w:szCs w:val="22"/>
          <w:rtl/>
        </w:rPr>
        <w:tab/>
      </w:r>
      <w:r w:rsidRPr="00026362">
        <w:rPr>
          <w:rFonts w:cs="FrankRuehl"/>
          <w:sz w:val="22"/>
          <w:szCs w:val="22"/>
          <w:rtl/>
        </w:rPr>
        <w:t xml:space="preserve">לפיכך אנו מצהירים בזה כי הוראת החוק המתקן, הקובעת תקופת מעצר מרבית של 96 שעות, סותרת את חוק-יסוד: כבוד האדם וחירותו, בהיותה פוגעת בחירות האישית, כפי שנקבעה בסעיף 5 לחוק היסוד, במידה העולה על הנדרש ממהותו ומאופיו של השירות הצבאי, ולפיכך היא בטלה. </w:t>
      </w:r>
    </w:p>
    <w:p w:rsidR="005366A8" w:rsidRPr="00026362" w:rsidRDefault="005366A8" w:rsidP="005366A8">
      <w:pPr>
        <w:rPr>
          <w:rFonts w:cs="FrankRuehl"/>
          <w:sz w:val="22"/>
          <w:szCs w:val="22"/>
          <w:rtl/>
        </w:rPr>
      </w:pPr>
    </w:p>
    <w:p w:rsidR="005366A8" w:rsidRDefault="005366A8" w:rsidP="005366A8">
      <w:pPr>
        <w:rPr>
          <w:rFonts w:cs="FrankRuehl"/>
          <w:sz w:val="22"/>
          <w:szCs w:val="22"/>
          <w:rtl/>
        </w:rPr>
      </w:pPr>
      <w:r w:rsidRPr="00026362">
        <w:rPr>
          <w:rFonts w:cs="FrankRuehl"/>
          <w:sz w:val="22"/>
          <w:szCs w:val="22"/>
          <w:rtl/>
        </w:rPr>
        <w:t xml:space="preserve">43. </w:t>
      </w:r>
      <w:r w:rsidRPr="00026362">
        <w:rPr>
          <w:rFonts w:cs="FrankRuehl" w:hint="cs"/>
          <w:sz w:val="22"/>
          <w:szCs w:val="22"/>
          <w:rtl/>
        </w:rPr>
        <w:tab/>
      </w:r>
      <w:r w:rsidRPr="00026362">
        <w:rPr>
          <w:rFonts w:cs="FrankRuehl"/>
          <w:sz w:val="22"/>
          <w:szCs w:val="22"/>
          <w:rtl/>
        </w:rPr>
        <w:t xml:space="preserve">שאלה היא, מהי הוראת החוק שצריכה לבוא במקום ההוראה הבטלה. לשון אחר, מהי תקופת המעצר של חייל בידי שוטר צבאי, עד שהוא מובא בפני שופט, שפגיעתה בחירות האישית לא תעלה על המידה הנדרשת ממהותו ומאופיו של השירות הצבאי. בנסיבות המקרה, בית-המשפט פטור ממתן תשובה, שכן המשיבים עצמם הגיעו למסקנה, והודיעו עליה לבית-המשפט, שראוי לקבוע בחוק תקופת מעצר מרבית של 48 שעות. האם תקופת מעצר של 48 שעות תעמוד במבחן המידתיות? הסמכות לקבוע את תקופת המעצר נתונה למחוקק, ובידו גם שיקול-הדעת בשאלה מהי התקופה הנדרשת, ובלבד שהתקופה לא תחרוג ממיתחם המידתיות. לכאורה, אם המחוקק יקבע תקופת מעצר של 48 שעות, היא התקופה הנראית למשיבים כתקופה ראויה, יש יסוד לטענה כי במצב הקיים כיום תקופה זאת לא תחרוג ממיתחם המידתיות, כפי שנדרש על-ידי חוק-יסוד: כבוד האדם וחירותו. בשלב זה אין בית-המשפט נדרש לתת תשובה פסקנית יותר. </w:t>
      </w:r>
    </w:p>
    <w:p w:rsidR="005366A8" w:rsidRPr="00026362" w:rsidRDefault="005366A8" w:rsidP="005366A8">
      <w:pPr>
        <w:rPr>
          <w:rFonts w:cs="FrankRuehl"/>
          <w:sz w:val="22"/>
          <w:szCs w:val="22"/>
          <w:rtl/>
        </w:rPr>
      </w:pPr>
    </w:p>
    <w:p w:rsidR="005366A8" w:rsidRDefault="005366A8" w:rsidP="005366A8">
      <w:pPr>
        <w:spacing w:after="120"/>
        <w:rPr>
          <w:rFonts w:cs="FrankRuehl"/>
          <w:sz w:val="22"/>
          <w:szCs w:val="22"/>
          <w:rtl/>
        </w:rPr>
      </w:pPr>
      <w:r w:rsidRPr="00026362">
        <w:rPr>
          <w:rFonts w:cs="FrankRuehl"/>
          <w:sz w:val="22"/>
          <w:szCs w:val="22"/>
          <w:rtl/>
        </w:rPr>
        <w:t xml:space="preserve">44. </w:t>
      </w:r>
      <w:r w:rsidRPr="00026362">
        <w:rPr>
          <w:rFonts w:cs="FrankRuehl" w:hint="cs"/>
          <w:sz w:val="22"/>
          <w:szCs w:val="22"/>
          <w:rtl/>
        </w:rPr>
        <w:tab/>
      </w:r>
      <w:r w:rsidRPr="00026362">
        <w:rPr>
          <w:rFonts w:cs="FrankRuehl"/>
          <w:sz w:val="22"/>
          <w:szCs w:val="22"/>
          <w:rtl/>
        </w:rPr>
        <w:t xml:space="preserve">כידוע, הצהרה של בית-המשפט על בטלות חוק, או הוראה בחוק, אינה חייבת להיכנס לתוקף באופן מיידי. היא יכולה להיות עתידית (פרוספקטיבית), אם הנסיבות מצדיקות זאת, כדי לאפשר היערכות ראויה לקראת הבטלות. ראו, לדוגמה, בג"ץ 1715/97 [11], בעמ' 417. </w:t>
      </w:r>
      <w:r w:rsidRPr="00026362">
        <w:rPr>
          <w:rFonts w:cs="FrankRuehl"/>
          <w:sz w:val="22"/>
          <w:szCs w:val="22"/>
          <w:highlight w:val="yellow"/>
          <w:rtl/>
        </w:rPr>
        <w:t>במקרה זה, הנסיבות מחייבות לדחות את מועד הכניסה לתוקף של הצהרת הבטלות, כדי לתת סיפק בידי המשיבים להגיש את הצעת החוק הנדרשת לכנסת, לתת סיפק בידי הכנסת לדון כנדרש בהצעת החוק, ובין לבין לתת סיפק בידי המשיבים להכין את הצבא כנדרש לקראת החקיקה הצפויה. בהתאם לכך אנו קובעים כי הצהרת הבטלות תיכנס לתוקף רק בתום שישה חודשים מיום מתן פסק-דין זה.</w:t>
      </w:r>
    </w:p>
    <w:p w:rsidR="005366A8" w:rsidRDefault="005366A8" w:rsidP="005366A8">
      <w:pPr>
        <w:pStyle w:val="T-body"/>
        <w:spacing w:line="240" w:lineRule="auto"/>
        <w:rPr>
          <w:sz w:val="22"/>
          <w:szCs w:val="22"/>
          <w:rtl/>
        </w:rPr>
      </w:pPr>
      <w:r>
        <w:rPr>
          <w:rFonts w:hint="cs"/>
          <w:sz w:val="22"/>
          <w:szCs w:val="22"/>
          <w:rtl/>
        </w:rPr>
        <w:t>=-=</w:t>
      </w:r>
    </w:p>
    <w:p w:rsidR="005366A8" w:rsidRDefault="005366A8" w:rsidP="005366A8">
      <w:pPr>
        <w:pStyle w:val="T-body"/>
        <w:spacing w:line="240" w:lineRule="auto"/>
        <w:rPr>
          <w:sz w:val="22"/>
          <w:szCs w:val="22"/>
          <w:rtl/>
        </w:rPr>
      </w:pPr>
      <w:r>
        <w:rPr>
          <w:rFonts w:hint="cs"/>
          <w:sz w:val="22"/>
          <w:szCs w:val="22"/>
          <w:rtl/>
        </w:rPr>
        <w:t xml:space="preserve">בפס"ד </w:t>
      </w:r>
      <w:r w:rsidRPr="00DF40BE">
        <w:rPr>
          <w:rFonts w:hint="cs"/>
          <w:b/>
          <w:bCs/>
          <w:sz w:val="22"/>
          <w:szCs w:val="22"/>
          <w:rtl/>
        </w:rPr>
        <w:t xml:space="preserve">צמח </w:t>
      </w:r>
      <w:r>
        <w:rPr>
          <w:rFonts w:hint="cs"/>
          <w:sz w:val="22"/>
          <w:szCs w:val="22"/>
          <w:rtl/>
        </w:rPr>
        <w:t>יש טיפול בסוגיה נוספת, שעניינה פסקת "שמירת הדינים". מה היה מיוחד בהקשר זה בפסק הדין, וכיצד הוא הוכרע?</w:t>
      </w:r>
    </w:p>
    <w:p w:rsidR="005366A8" w:rsidRDefault="005366A8" w:rsidP="005366A8">
      <w:pPr>
        <w:pStyle w:val="T-body"/>
        <w:spacing w:line="240" w:lineRule="auto"/>
        <w:rPr>
          <w:sz w:val="22"/>
          <w:szCs w:val="22"/>
          <w:rtl/>
        </w:rPr>
      </w:pPr>
    </w:p>
    <w:p w:rsidR="005366A8" w:rsidRPr="00DF40BE" w:rsidRDefault="005366A8" w:rsidP="005366A8">
      <w:pPr>
        <w:pStyle w:val="Heading7"/>
        <w:spacing w:after="120" w:line="240" w:lineRule="auto"/>
        <w:rPr>
          <w:rFonts w:cs="Arial"/>
          <w:sz w:val="22"/>
          <w:szCs w:val="22"/>
          <w:rtl/>
        </w:rPr>
      </w:pPr>
      <w:r w:rsidRPr="00DF40BE">
        <w:rPr>
          <w:rFonts w:cs="Arial"/>
          <w:sz w:val="22"/>
          <w:szCs w:val="22"/>
          <w:highlight w:val="yellow"/>
          <w:rtl/>
        </w:rPr>
        <w:t>פסקת "שמירת הדינים"</w:t>
      </w:r>
      <w:r w:rsidRPr="00DF40BE">
        <w:rPr>
          <w:rFonts w:cs="Arial" w:hint="cs"/>
          <w:sz w:val="22"/>
          <w:szCs w:val="22"/>
          <w:highlight w:val="yellow"/>
          <w:rtl/>
        </w:rPr>
        <w:t xml:space="preserve"> </w:t>
      </w:r>
      <w:r w:rsidRPr="00DF40BE">
        <w:rPr>
          <w:rFonts w:cs="Arial"/>
          <w:sz w:val="22"/>
          <w:szCs w:val="22"/>
          <w:highlight w:val="yellow"/>
          <w:rtl/>
        </w:rPr>
        <w:t>–</w:t>
      </w:r>
      <w:r w:rsidRPr="00DF40BE">
        <w:rPr>
          <w:rFonts w:cs="Arial" w:hint="cs"/>
          <w:sz w:val="22"/>
          <w:szCs w:val="22"/>
          <w:highlight w:val="yellow"/>
          <w:rtl/>
        </w:rPr>
        <w:t xml:space="preserve"> סע' 10 ל</w:t>
      </w:r>
      <w:r w:rsidRPr="00DF40BE">
        <w:rPr>
          <w:rFonts w:cs="Arial"/>
          <w:sz w:val="22"/>
          <w:szCs w:val="22"/>
          <w:highlight w:val="yellow"/>
          <w:rtl/>
        </w:rPr>
        <w:t>חוק יסוד: כבוד האדם וחירותו</w:t>
      </w:r>
    </w:p>
    <w:p w:rsidR="005366A8" w:rsidRDefault="005366A8" w:rsidP="005366A8">
      <w:pPr>
        <w:spacing w:after="120"/>
        <w:ind w:left="720"/>
        <w:rPr>
          <w:rFonts w:cs="David"/>
          <w:b/>
          <w:bCs/>
          <w:sz w:val="20"/>
          <w:szCs w:val="20"/>
          <w:rtl/>
        </w:rPr>
      </w:pPr>
      <w:r w:rsidRPr="00DF40BE">
        <w:rPr>
          <w:rFonts w:cs="David" w:hint="cs"/>
          <w:b/>
          <w:bCs/>
          <w:sz w:val="20"/>
          <w:szCs w:val="20"/>
          <w:highlight w:val="yellow"/>
          <w:rtl/>
        </w:rPr>
        <w:t>"</w:t>
      </w:r>
      <w:r w:rsidRPr="00DF40BE">
        <w:rPr>
          <w:rFonts w:cs="David"/>
          <w:b/>
          <w:bCs/>
          <w:sz w:val="20"/>
          <w:szCs w:val="20"/>
          <w:highlight w:val="yellow"/>
          <w:rtl/>
        </w:rPr>
        <w:t>אין בחוק-יסוד זה כדי לפגוע בתקפו של דין שהיה קיים ערב תחילתו של חוק-היסוד</w:t>
      </w:r>
      <w:r w:rsidRPr="00DF40BE">
        <w:rPr>
          <w:rFonts w:cs="David" w:hint="cs"/>
          <w:b/>
          <w:bCs/>
          <w:sz w:val="20"/>
          <w:szCs w:val="20"/>
          <w:highlight w:val="yellow"/>
          <w:rtl/>
        </w:rPr>
        <w:t>"</w:t>
      </w:r>
      <w:r w:rsidRPr="00DF40BE">
        <w:rPr>
          <w:rFonts w:cs="David"/>
          <w:b/>
          <w:bCs/>
          <w:sz w:val="20"/>
          <w:szCs w:val="20"/>
          <w:highlight w:val="yellow"/>
          <w:rtl/>
        </w:rPr>
        <w:t>.</w:t>
      </w:r>
    </w:p>
    <w:p w:rsidR="005366A8" w:rsidRDefault="005366A8" w:rsidP="005366A8">
      <w:pPr>
        <w:spacing w:after="120"/>
        <w:rPr>
          <w:rFonts w:cs="David"/>
          <w:sz w:val="20"/>
          <w:szCs w:val="20"/>
          <w:rtl/>
        </w:rPr>
      </w:pPr>
      <w:r>
        <w:rPr>
          <w:rFonts w:cs="David" w:hint="cs"/>
          <w:sz w:val="20"/>
          <w:szCs w:val="20"/>
          <w:rtl/>
        </w:rPr>
        <w:t>פסקה זו מגוננת על חוקים ישנים הפוגעים בזכויות המוגנות בחוק יסוד: כבוד האדם וחירותו, אך לא על זכויות חוקתיות המוגנות בחקיקת יסוד אחרת, שכן בחוקי היסוד האחרים לא מופיעה פסקת שמירת דינים.  בחוק יסוד: חופש העיסוק היא הופיעה בעבר אך תוקפה פקע בשנת 2002.</w:t>
      </w:r>
    </w:p>
    <w:p w:rsidR="005366A8" w:rsidRDefault="005366A8" w:rsidP="005366A8">
      <w:pPr>
        <w:rPr>
          <w:rFonts w:cs="David"/>
          <w:sz w:val="20"/>
          <w:szCs w:val="20"/>
          <w:rtl/>
        </w:rPr>
      </w:pPr>
      <w:r>
        <w:rPr>
          <w:rFonts w:cs="David" w:hint="cs"/>
          <w:sz w:val="20"/>
          <w:szCs w:val="20"/>
          <w:rtl/>
        </w:rPr>
        <w:t>מה משמעותה של פסקת שמירת הדינים, כאשר היא חלה?</w:t>
      </w:r>
      <w:r w:rsidRPr="003075E1">
        <w:rPr>
          <w:b/>
          <w:bCs/>
          <w:sz w:val="20"/>
          <w:szCs w:val="20"/>
          <w:rtl/>
        </w:rPr>
        <w:t xml:space="preserve"> </w:t>
      </w:r>
      <w:r>
        <w:rPr>
          <w:rFonts w:hint="cs"/>
          <w:b/>
          <w:bCs/>
          <w:sz w:val="20"/>
          <w:szCs w:val="20"/>
          <w:rtl/>
        </w:rPr>
        <w:t xml:space="preserve">= </w:t>
      </w:r>
      <w:r w:rsidRPr="003075E1">
        <w:rPr>
          <w:rFonts w:cs="David"/>
          <w:b/>
          <w:bCs/>
          <w:sz w:val="20"/>
          <w:szCs w:val="20"/>
          <w:rtl/>
        </w:rPr>
        <w:t xml:space="preserve">תוקף </w:t>
      </w:r>
      <w:r w:rsidRPr="003075E1">
        <w:rPr>
          <w:rFonts w:cs="David" w:hint="cs"/>
          <w:b/>
          <w:bCs/>
          <w:sz w:val="20"/>
          <w:szCs w:val="20"/>
          <w:rtl/>
        </w:rPr>
        <w:t xml:space="preserve">הוראת החוק הותיקה </w:t>
      </w:r>
      <w:r w:rsidRPr="003075E1">
        <w:rPr>
          <w:rFonts w:cs="David"/>
          <w:b/>
          <w:bCs/>
          <w:sz w:val="20"/>
          <w:szCs w:val="20"/>
          <w:rtl/>
        </w:rPr>
        <w:t>נשמר</w:t>
      </w:r>
      <w:r>
        <w:rPr>
          <w:rFonts w:cs="David" w:hint="cs"/>
          <w:b/>
          <w:bCs/>
          <w:sz w:val="20"/>
          <w:szCs w:val="20"/>
          <w:rtl/>
        </w:rPr>
        <w:t>;</w:t>
      </w:r>
      <w:r w:rsidRPr="003075E1">
        <w:rPr>
          <w:rFonts w:cs="David"/>
          <w:sz w:val="20"/>
          <w:szCs w:val="20"/>
          <w:rtl/>
        </w:rPr>
        <w:t xml:space="preserve"> אך </w:t>
      </w:r>
      <w:r w:rsidRPr="003075E1">
        <w:rPr>
          <w:rFonts w:cs="David"/>
          <w:b/>
          <w:bCs/>
          <w:sz w:val="20"/>
          <w:szCs w:val="20"/>
          <w:rtl/>
        </w:rPr>
        <w:t>עד כמה עשויה להשתנות פרשנות</w:t>
      </w:r>
      <w:r w:rsidRPr="003075E1">
        <w:rPr>
          <w:rFonts w:cs="David" w:hint="cs"/>
          <w:b/>
          <w:bCs/>
          <w:sz w:val="20"/>
          <w:szCs w:val="20"/>
          <w:rtl/>
        </w:rPr>
        <w:t>ה</w:t>
      </w:r>
      <w:r w:rsidRPr="003075E1">
        <w:rPr>
          <w:rFonts w:cs="David"/>
          <w:sz w:val="20"/>
          <w:szCs w:val="20"/>
          <w:rtl/>
        </w:rPr>
        <w:t xml:space="preserve">?  </w:t>
      </w:r>
    </w:p>
    <w:p w:rsidR="005366A8" w:rsidRPr="003075E1" w:rsidRDefault="005366A8" w:rsidP="005366A8">
      <w:pPr>
        <w:spacing w:after="120"/>
        <w:ind w:left="720"/>
        <w:rPr>
          <w:rFonts w:cs="David"/>
          <w:sz w:val="20"/>
          <w:szCs w:val="20"/>
          <w:rtl/>
        </w:rPr>
      </w:pPr>
      <w:r>
        <w:rPr>
          <w:rFonts w:cs="David" w:hint="cs"/>
          <w:sz w:val="20"/>
          <w:szCs w:val="20"/>
          <w:rtl/>
        </w:rPr>
        <w:t xml:space="preserve">[ראו דפים קודמים, פגישה 11, העוסקים בפסק דין חשוב שהתלבט בכך, והכריע בכיוון של השפעה פרשנית ממשית: </w:t>
      </w:r>
      <w:r w:rsidRPr="00DF40BE">
        <w:rPr>
          <w:rFonts w:cs="David" w:hint="cs"/>
          <w:b/>
          <w:bCs/>
          <w:sz w:val="20"/>
          <w:szCs w:val="20"/>
          <w:rtl/>
        </w:rPr>
        <w:t>גנימאת</w:t>
      </w:r>
      <w:r>
        <w:rPr>
          <w:rFonts w:cs="David" w:hint="cs"/>
          <w:sz w:val="20"/>
          <w:szCs w:val="20"/>
          <w:rtl/>
        </w:rPr>
        <w:t>].</w:t>
      </w:r>
    </w:p>
    <w:p w:rsidR="005366A8" w:rsidRDefault="005366A8" w:rsidP="005366A8">
      <w:pPr>
        <w:pStyle w:val="T-body"/>
        <w:spacing w:line="240" w:lineRule="auto"/>
        <w:rPr>
          <w:sz w:val="22"/>
          <w:szCs w:val="22"/>
          <w:rtl/>
        </w:rPr>
      </w:pPr>
      <w:r>
        <w:rPr>
          <w:rFonts w:hint="cs"/>
          <w:sz w:val="22"/>
          <w:szCs w:val="22"/>
          <w:rtl/>
        </w:rPr>
        <w:t>=-=</w:t>
      </w:r>
    </w:p>
    <w:p w:rsidR="005366A8" w:rsidRDefault="005366A8" w:rsidP="005366A8">
      <w:pPr>
        <w:pStyle w:val="T-body"/>
        <w:spacing w:line="240" w:lineRule="auto"/>
        <w:rPr>
          <w:sz w:val="22"/>
          <w:szCs w:val="22"/>
          <w:rtl/>
        </w:rPr>
      </w:pPr>
    </w:p>
    <w:p w:rsidR="005366A8" w:rsidRDefault="005366A8" w:rsidP="005366A8">
      <w:pPr>
        <w:spacing w:after="120"/>
        <w:jc w:val="center"/>
        <w:rPr>
          <w:rFonts w:cs="Arial"/>
          <w:b/>
          <w:bCs/>
          <w:rtl/>
        </w:rPr>
      </w:pPr>
      <w:r w:rsidRPr="000076D9">
        <w:rPr>
          <w:rFonts w:cs="Arial"/>
          <w:b/>
          <w:bCs/>
          <w:highlight w:val="yellow"/>
          <w:rtl/>
        </w:rPr>
        <w:t xml:space="preserve">ביקורת שיפוטית חוקתית – </w:t>
      </w:r>
      <w:r w:rsidRPr="000076D9">
        <w:rPr>
          <w:rFonts w:cs="Arial"/>
          <w:b/>
          <w:bCs/>
          <w:highlight w:val="yellow"/>
          <w:u w:val="single"/>
          <w:rtl/>
        </w:rPr>
        <w:t>על מי נטל ההוכחה?</w:t>
      </w:r>
    </w:p>
    <w:p w:rsidR="005366A8" w:rsidRPr="00750039" w:rsidRDefault="005366A8" w:rsidP="005366A8">
      <w:pPr>
        <w:spacing w:after="120"/>
        <w:rPr>
          <w:rFonts w:ascii="Arial" w:hAnsi="Arial" w:cs="Arial"/>
          <w:sz w:val="20"/>
          <w:szCs w:val="20"/>
          <w:rtl/>
        </w:rPr>
      </w:pPr>
      <w:r w:rsidRPr="00750039">
        <w:rPr>
          <w:rFonts w:ascii="Arial" w:hAnsi="Arial" w:cs="Arial"/>
          <w:sz w:val="20"/>
          <w:szCs w:val="20"/>
          <w:rtl/>
        </w:rPr>
        <w:t xml:space="preserve">נקודה חשובה בביקורת השיפוטית על רשויות שלטוניות נוגעת לנטל ההוכחה: על מי מוטל נטל ההוכחה בעת הביקורת השיפוטית? על העותר? על הרשות? על שניהם, תוך כדי 'פינג-פונג' מסוים?  [אנחנו עושים כאן מעבר מדיון בשאלה אלו נורמות תקפות חלות על רשויות שלטון, והאם הופרו, לשאלה </w:t>
      </w:r>
      <w:r w:rsidRPr="00405C87">
        <w:rPr>
          <w:rFonts w:ascii="Arial" w:hAnsi="Arial" w:cs="Arial"/>
          <w:b/>
          <w:bCs/>
          <w:i/>
          <w:iCs/>
          <w:sz w:val="20"/>
          <w:szCs w:val="20"/>
          <w:rtl/>
        </w:rPr>
        <w:t>כיצד מוכחת</w:t>
      </w:r>
      <w:r w:rsidRPr="00750039">
        <w:rPr>
          <w:rFonts w:ascii="Arial" w:hAnsi="Arial" w:cs="Arial"/>
          <w:sz w:val="20"/>
          <w:szCs w:val="20"/>
          <w:rtl/>
        </w:rPr>
        <w:t xml:space="preserve"> הפרה כזו או אחרת?] </w:t>
      </w:r>
    </w:p>
    <w:p w:rsidR="005366A8" w:rsidRPr="00750039" w:rsidRDefault="005366A8" w:rsidP="005366A8">
      <w:pPr>
        <w:spacing w:after="60"/>
        <w:rPr>
          <w:rFonts w:ascii="Arial" w:hAnsi="Arial" w:cs="Arial"/>
          <w:sz w:val="20"/>
          <w:szCs w:val="20"/>
          <w:rtl/>
        </w:rPr>
      </w:pPr>
      <w:r w:rsidRPr="00750039">
        <w:rPr>
          <w:rFonts w:ascii="Arial" w:hAnsi="Arial" w:cs="Arial"/>
          <w:b/>
          <w:bCs/>
          <w:sz w:val="20"/>
          <w:szCs w:val="20"/>
          <w:highlight w:val="yellow"/>
          <w:rtl/>
        </w:rPr>
        <w:t>בהקשרי ביקורת שיפוטית חוקתית</w:t>
      </w:r>
      <w:r w:rsidRPr="00750039">
        <w:rPr>
          <w:rFonts w:ascii="Arial" w:hAnsi="Arial" w:cs="Arial"/>
          <w:sz w:val="20"/>
          <w:szCs w:val="20"/>
          <w:rtl/>
        </w:rPr>
        <w:t xml:space="preserve"> – </w:t>
      </w:r>
      <w:r w:rsidRPr="00750039">
        <w:rPr>
          <w:rFonts w:ascii="Arial" w:hAnsi="Arial" w:cs="Arial"/>
          <w:b/>
          <w:bCs/>
          <w:sz w:val="20"/>
          <w:szCs w:val="20"/>
          <w:rtl/>
        </w:rPr>
        <w:t>ביקורת על תוקפם של חוקים שנטען כי הם פוגעים בזכויות אדם</w:t>
      </w:r>
      <w:r w:rsidRPr="00750039">
        <w:rPr>
          <w:rFonts w:ascii="Arial" w:hAnsi="Arial" w:cs="Arial"/>
          <w:sz w:val="20"/>
          <w:szCs w:val="20"/>
          <w:rtl/>
        </w:rPr>
        <w:t xml:space="preserve"> – אולי בשל כובד ההכרעה – אין תשובה ברורה.  בפסק הדין המנחה של </w:t>
      </w:r>
      <w:r w:rsidRPr="00750039">
        <w:rPr>
          <w:rFonts w:ascii="Arial" w:hAnsi="Arial" w:cs="Arial"/>
          <w:b/>
          <w:bCs/>
          <w:sz w:val="20"/>
          <w:szCs w:val="20"/>
          <w:rtl/>
        </w:rPr>
        <w:t>בנק המזרחי</w:t>
      </w:r>
      <w:r w:rsidRPr="00750039">
        <w:rPr>
          <w:rFonts w:ascii="Arial" w:hAnsi="Arial" w:cs="Arial"/>
          <w:sz w:val="20"/>
          <w:szCs w:val="20"/>
          <w:rtl/>
        </w:rPr>
        <w:t xml:space="preserve"> הושמעו עמדות שונות ואין בו הכרעה.  מצויה בו עמדת בינים שזה מהלכה: </w:t>
      </w:r>
    </w:p>
    <w:p w:rsidR="005366A8" w:rsidRPr="00750039" w:rsidRDefault="005366A8" w:rsidP="005366A8">
      <w:pPr>
        <w:spacing w:after="60"/>
        <w:rPr>
          <w:rFonts w:ascii="Arial" w:hAnsi="Arial" w:cs="Arial"/>
          <w:sz w:val="20"/>
          <w:szCs w:val="20"/>
          <w:rtl/>
        </w:rPr>
      </w:pPr>
      <w:r w:rsidRPr="00750039">
        <w:rPr>
          <w:rFonts w:ascii="Arial" w:hAnsi="Arial" w:cs="Arial"/>
          <w:sz w:val="20"/>
          <w:szCs w:val="20"/>
          <w:rtl/>
        </w:rPr>
        <w:t xml:space="preserve">על הטוען לפגיעה בזכות חוקתית מוטל להוכיח כי אכן נגרמה פגיעה בזכותו;  </w:t>
      </w:r>
    </w:p>
    <w:p w:rsidR="005366A8" w:rsidRPr="00750039" w:rsidRDefault="005366A8" w:rsidP="005366A8">
      <w:pPr>
        <w:spacing w:after="60"/>
        <w:rPr>
          <w:rFonts w:ascii="Arial" w:hAnsi="Arial" w:cs="Arial"/>
          <w:sz w:val="20"/>
          <w:szCs w:val="20"/>
          <w:rtl/>
        </w:rPr>
      </w:pPr>
      <w:r w:rsidRPr="00750039">
        <w:rPr>
          <w:rFonts w:ascii="Arial" w:hAnsi="Arial" w:cs="Arial"/>
          <w:sz w:val="20"/>
          <w:szCs w:val="20"/>
          <w:rtl/>
        </w:rPr>
        <w:t xml:space="preserve">בשלב זה עובר הנטל אל מי שמבקש להצדיק את הפגיעה – ובענייננו, הנטל עובר למדינה לשכנע כי התקיימו תנאי פסקת ההגבלה.  </w:t>
      </w:r>
    </w:p>
    <w:p w:rsidR="005366A8" w:rsidRPr="00652955" w:rsidRDefault="005366A8" w:rsidP="005366A8">
      <w:pPr>
        <w:spacing w:after="240"/>
        <w:rPr>
          <w:sz w:val="20"/>
          <w:szCs w:val="20"/>
          <w:rtl/>
        </w:rPr>
      </w:pPr>
      <w:r w:rsidRPr="00750039">
        <w:rPr>
          <w:rFonts w:ascii="Arial" w:hAnsi="Arial" w:cs="Arial"/>
          <w:sz w:val="20"/>
          <w:szCs w:val="20"/>
          <w:rtl/>
        </w:rPr>
        <w:t>ואולם, כאן הוסיפה עמדת הביניים כי "יש טעם בחלוקת הנטל בין הצדדים, באופן שעל המדינה יוטל לשכנע כי הפגיעה היא לתכלית ראויה, וכן שהאמצעי אשר נבחר מתאים להשגת התכלית, ואילו הנטל להוכיח שעל השלטון היה לבחור באמצעי חלופי פחוּת בחומרתו ירבץ על שכמו של הטוען לאי חוקיות הפגיעה" (השופט מצא, בפיסקה האחרונה של פסק דינו</w:t>
      </w:r>
      <w:r>
        <w:rPr>
          <w:rFonts w:ascii="Arial" w:hAnsi="Arial" w:cs="Arial" w:hint="cs"/>
          <w:sz w:val="20"/>
          <w:szCs w:val="20"/>
          <w:rtl/>
        </w:rPr>
        <w:t xml:space="preserve"> בבנק המזרחי</w:t>
      </w:r>
      <w:r w:rsidRPr="00750039">
        <w:rPr>
          <w:rFonts w:ascii="Arial" w:hAnsi="Arial" w:cs="Arial"/>
          <w:sz w:val="20"/>
          <w:szCs w:val="20"/>
          <w:rtl/>
        </w:rPr>
        <w:t>).</w:t>
      </w:r>
    </w:p>
    <w:p w:rsidR="005366A8" w:rsidRPr="00652955" w:rsidRDefault="005366A8" w:rsidP="005366A8">
      <w:pPr>
        <w:spacing w:after="120"/>
        <w:jc w:val="center"/>
        <w:rPr>
          <w:i/>
          <w:iCs/>
          <w:sz w:val="20"/>
          <w:szCs w:val="20"/>
          <w:u w:val="single"/>
          <w:rtl/>
        </w:rPr>
      </w:pPr>
      <w:r w:rsidRPr="00652955">
        <w:rPr>
          <w:i/>
          <w:iCs/>
          <w:sz w:val="20"/>
          <w:szCs w:val="20"/>
          <w:u w:val="single"/>
          <w:rtl/>
        </w:rPr>
        <w:t>עמדה מפורטת</w:t>
      </w:r>
      <w:r>
        <w:rPr>
          <w:rFonts w:hint="cs"/>
          <w:i/>
          <w:iCs/>
          <w:sz w:val="20"/>
          <w:szCs w:val="20"/>
          <w:u w:val="single"/>
          <w:rtl/>
        </w:rPr>
        <w:t xml:space="preserve"> ומעט שונה</w:t>
      </w:r>
      <w:r w:rsidRPr="00652955">
        <w:rPr>
          <w:i/>
          <w:iCs/>
          <w:sz w:val="20"/>
          <w:szCs w:val="20"/>
          <w:u w:val="single"/>
          <w:rtl/>
        </w:rPr>
        <w:t xml:space="preserve"> הושמעה על ידי השופט זמיר </w:t>
      </w:r>
      <w:r w:rsidRPr="002A4704">
        <w:rPr>
          <w:i/>
          <w:iCs/>
          <w:sz w:val="20"/>
          <w:szCs w:val="20"/>
          <w:highlight w:val="yellow"/>
          <w:u w:val="single"/>
          <w:rtl/>
        </w:rPr>
        <w:t>ב</w:t>
      </w:r>
      <w:r w:rsidRPr="002A4704">
        <w:rPr>
          <w:rFonts w:ascii="Arial" w:hAnsi="Arial" w:cs="Arial"/>
          <w:sz w:val="20"/>
          <w:szCs w:val="20"/>
          <w:highlight w:val="yellow"/>
          <w:u w:val="single"/>
          <w:rtl/>
        </w:rPr>
        <w:t xml:space="preserve">בג"צ 6055/95 </w:t>
      </w:r>
      <w:r w:rsidRPr="002A4704">
        <w:rPr>
          <w:rFonts w:ascii="Arial" w:hAnsi="Arial" w:cs="Arial"/>
          <w:b/>
          <w:bCs/>
          <w:sz w:val="20"/>
          <w:szCs w:val="20"/>
          <w:highlight w:val="yellow"/>
          <w:u w:val="single"/>
          <w:rtl/>
        </w:rPr>
        <w:t>צמח נ' שר הבטחון</w:t>
      </w:r>
      <w:r w:rsidRPr="002A4704">
        <w:rPr>
          <w:i/>
          <w:iCs/>
          <w:sz w:val="20"/>
          <w:szCs w:val="20"/>
          <w:highlight w:val="yellow"/>
          <w:u w:val="single"/>
          <w:rtl/>
        </w:rPr>
        <w:t xml:space="preserve"> [ההדגשות הוספו]</w:t>
      </w:r>
    </w:p>
    <w:p w:rsidR="005366A8" w:rsidRPr="00405C87" w:rsidRDefault="005366A8" w:rsidP="005366A8">
      <w:pPr>
        <w:spacing w:after="60"/>
        <w:rPr>
          <w:rFonts w:cs="FrankRuehl"/>
          <w:sz w:val="22"/>
          <w:szCs w:val="22"/>
          <w:rtl/>
        </w:rPr>
      </w:pPr>
      <w:r w:rsidRPr="00405C87">
        <w:rPr>
          <w:rFonts w:cs="FrankRuehl"/>
          <w:sz w:val="22"/>
          <w:szCs w:val="22"/>
          <w:rtl/>
        </w:rPr>
        <w:t xml:space="preserve">השאלה העיקרית העומדת להכרעה בעתירות אלה היא, אם כן, אם הסמכות שהוענקה בחוק לשוטר צבאי לעצור חייל, עומדת במבחן המידתיות בהתחשב במהות ובאופי של השירות הצבאי. האם אפשר לקצר את תקופת המעצר בלי לפגוע בתכלית המעצר? </w:t>
      </w:r>
    </w:p>
    <w:p w:rsidR="005366A8" w:rsidRPr="00405C87" w:rsidRDefault="005366A8" w:rsidP="005366A8">
      <w:pPr>
        <w:spacing w:after="60"/>
        <w:rPr>
          <w:rFonts w:cs="FrankRuehl"/>
          <w:sz w:val="22"/>
          <w:szCs w:val="22"/>
          <w:rtl/>
        </w:rPr>
      </w:pPr>
      <w:r w:rsidRPr="00405C87">
        <w:rPr>
          <w:rFonts w:cs="FrankRuehl"/>
          <w:sz w:val="22"/>
          <w:szCs w:val="22"/>
          <w:rtl/>
        </w:rPr>
        <w:t xml:space="preserve">24. התשובה לשאלת המידתיות תלוייה במידה רבה בראיות. האם הוכח לבית המשפט, בראיות כדין, כי אפשר לקצר את תקופת המעצר, ובדרך זאת לצמצם את הפגיעה בחירות האישית, בלי לפגוע בתכלית המעצר? כדי להשיב על שאלה זאת יש לברר תחילה על מי מוטל נטל ההוכחה בשאלת המידתיות: על העותרים או על המשיבים? </w:t>
      </w:r>
    </w:p>
    <w:p w:rsidR="005366A8" w:rsidRPr="00405C87" w:rsidRDefault="005366A8" w:rsidP="005366A8">
      <w:pPr>
        <w:spacing w:after="60"/>
        <w:rPr>
          <w:rFonts w:cs="FrankRuehl"/>
          <w:sz w:val="22"/>
          <w:szCs w:val="22"/>
          <w:rtl/>
        </w:rPr>
      </w:pPr>
      <w:r w:rsidRPr="00405C87">
        <w:rPr>
          <w:rFonts w:cs="FrankRuehl"/>
          <w:sz w:val="22"/>
          <w:szCs w:val="22"/>
          <w:rtl/>
        </w:rPr>
        <w:t xml:space="preserve">השאלה של נטל ההוכחה בשאלת המידתיות, אף כי עלתה לדיון, טרם הוכרעה על ידי בית המשפט. הדעות בשאלה זאת נחלקו בין השופטים. חילוקי הדעות באו לידי ביטוי בפסק הדין שניתן </w:t>
      </w:r>
      <w:r w:rsidRPr="00405C87">
        <w:rPr>
          <w:rFonts w:cs="FrankRuehl"/>
          <w:sz w:val="22"/>
          <w:szCs w:val="22"/>
          <w:u w:val="single"/>
          <w:rtl/>
        </w:rPr>
        <w:t>במשפט בנק המזרחי</w:t>
      </w:r>
      <w:r w:rsidRPr="00405C87">
        <w:rPr>
          <w:rFonts w:cs="FrankRuehl"/>
          <w:sz w:val="22"/>
          <w:szCs w:val="22"/>
          <w:rtl/>
        </w:rPr>
        <w:t xml:space="preserve"> (</w:t>
      </w:r>
      <w:r w:rsidRPr="00405C87">
        <w:rPr>
          <w:rFonts w:cs="FrankRuehl"/>
          <w:sz w:val="22"/>
          <w:szCs w:val="22"/>
        </w:rPr>
        <w:t>…</w:t>
      </w:r>
      <w:r w:rsidRPr="00405C87">
        <w:rPr>
          <w:rFonts w:cs="FrankRuehl"/>
          <w:sz w:val="22"/>
          <w:szCs w:val="22"/>
          <w:rtl/>
        </w:rPr>
        <w:t xml:space="preserve">). בפסק הדין הבחינו השופטים בין </w:t>
      </w:r>
      <w:r w:rsidRPr="00405C87">
        <w:rPr>
          <w:rFonts w:cs="FrankRuehl"/>
          <w:b/>
          <w:bCs/>
          <w:sz w:val="22"/>
          <w:szCs w:val="22"/>
          <w:rtl/>
        </w:rPr>
        <w:t>שני הנטלים הנכללים בנטל ההוכחה: הנטל העיקרי, הוא נטל השכנוע; והנטל המשני, הוא נטל הבאת הראיות.</w:t>
      </w:r>
      <w:r w:rsidRPr="00405C87">
        <w:rPr>
          <w:rFonts w:cs="FrankRuehl"/>
          <w:sz w:val="22"/>
          <w:szCs w:val="22"/>
          <w:rtl/>
        </w:rPr>
        <w:t xml:space="preserve">  [</w:t>
      </w:r>
      <w:r w:rsidRPr="00405C87">
        <w:rPr>
          <w:rFonts w:cs="FrankRuehl"/>
          <w:sz w:val="22"/>
          <w:szCs w:val="22"/>
        </w:rPr>
        <w:t>…</w:t>
      </w:r>
      <w:r w:rsidRPr="00405C87">
        <w:rPr>
          <w:rFonts w:cs="FrankRuehl"/>
          <w:sz w:val="22"/>
          <w:szCs w:val="22"/>
          <w:rtl/>
        </w:rPr>
        <w:t xml:space="preserve">] </w:t>
      </w:r>
    </w:p>
    <w:p w:rsidR="005366A8" w:rsidRPr="00405C87" w:rsidRDefault="005366A8" w:rsidP="005366A8">
      <w:pPr>
        <w:spacing w:after="60"/>
        <w:rPr>
          <w:rFonts w:cs="FrankRuehl"/>
          <w:sz w:val="22"/>
          <w:szCs w:val="22"/>
          <w:rtl/>
        </w:rPr>
      </w:pPr>
      <w:r w:rsidRPr="00405C87">
        <w:rPr>
          <w:rFonts w:cs="FrankRuehl"/>
          <w:sz w:val="22"/>
          <w:szCs w:val="22"/>
          <w:rtl/>
        </w:rPr>
        <w:t xml:space="preserve">לפי דעה אחת, מבין הדעות שהובעו במשפט בנק המזרחי, נטל השכנוע עובר מצד לצד לפי שלב ההתדיינות. בשלב ההתדיינות הראשון, השאלה היא, אם החוק הנדון פוגע בזכות חוקתית. בשלב זה החוק נהנה מחזקת חוקתיות. לכן נטל השכנוע כי החוק פוגע בזכות חוקתית מוטל על מי שטוען כי החוק פוגע בזכות, כלומר, בדרך כלל על אותו אדם או גוף שנפגע מן החוק. בשלב השני, השאלה היא, אם הפגיעה בזכות החוקתית נעשתה כדין, כלומר, בהתאם לפיסקת ההגבלה: בחוק או לפי חוק ההולם את ערכיה של מדינת ישראל, לתכלית ראוייה ובאופן מידתי. בשלב זה נטל השכנוע כי הפגיעה נעשתה כדין מוטל על מי שטוען לחוקתיות הפגיעה, כלומר, בדרך כלל על הרשות המינהלית הפועלת מכוח החוק. ראו השופט ברק, שם, בעמ' 429-428; השופט ד' לוין, שם בעמ' 459-458. </w:t>
      </w:r>
    </w:p>
    <w:p w:rsidR="005366A8" w:rsidRPr="00405C87" w:rsidRDefault="005366A8" w:rsidP="005366A8">
      <w:pPr>
        <w:spacing w:after="60"/>
        <w:rPr>
          <w:rFonts w:cs="FrankRuehl"/>
          <w:sz w:val="22"/>
          <w:szCs w:val="22"/>
          <w:rtl/>
        </w:rPr>
      </w:pPr>
      <w:r w:rsidRPr="00405C87">
        <w:rPr>
          <w:rFonts w:cs="FrankRuehl"/>
          <w:sz w:val="22"/>
          <w:szCs w:val="22"/>
          <w:rtl/>
        </w:rPr>
        <w:t xml:space="preserve">לפי דעה נוגדת, כל חוק נהנה בכל שלב של ההתדיינות מחזקת החוקתיות, ולפיכך מי שטוען אחרת עליו נטל השכנוע בשני השלבים. ראו השופט א' גולדברג, שם בעמ' 577; השופט ג' בך, שם בעמ' 586. </w:t>
      </w:r>
    </w:p>
    <w:p w:rsidR="005366A8" w:rsidRPr="00405C87" w:rsidRDefault="005366A8" w:rsidP="005366A8">
      <w:pPr>
        <w:spacing w:after="60"/>
        <w:rPr>
          <w:rFonts w:cs="FrankRuehl"/>
          <w:sz w:val="22"/>
          <w:szCs w:val="22"/>
          <w:rtl/>
        </w:rPr>
      </w:pPr>
      <w:r w:rsidRPr="00405C87">
        <w:rPr>
          <w:rFonts w:cs="FrankRuehl"/>
          <w:sz w:val="22"/>
          <w:szCs w:val="22"/>
          <w:rtl/>
        </w:rPr>
        <w:t xml:space="preserve">דעה אחרת, הנוקטת עמדת ביניים, מפצלת את נטל ההוכחה בשלב השני. לפי דעה זאת, נטל השכנוע בשלב השני מוטל על הטוען לחוקתיות החוק, כלומר, בדרך כלל על הרשות המינהלית הפועלת מכוח החוק; אולם, בשאלת המידתיות נטל הבאת הראיות מוטל על מי שטוען כי הפגיעה אינה מידתית, כלומר, עליו להביא ראיות כי קיימות דרכים מתונות יותר לפגיעה בזכות. ראו הנשיא שמגר, שם בעמ' 348; השופט מצא, שם בעמ' 579-578 [השוו לניסוח של השופט מצא לעיל, שהוא מעט יותר מורכב – א.ס.-]. ראו גם דעה דומה של השופט חשין בעמ' 570. אך, בסופו של יום, המחלוקת שנתגלעה בין השופטים במשפט בנק המזרחי נשארה </w:t>
      </w:r>
      <w:r w:rsidRPr="00405C87">
        <w:rPr>
          <w:rFonts w:cs="FrankRuehl"/>
          <w:b/>
          <w:bCs/>
          <w:sz w:val="22"/>
          <w:szCs w:val="22"/>
          <w:rtl/>
        </w:rPr>
        <w:t>ללא הכרעה</w:t>
      </w:r>
      <w:r w:rsidRPr="00405C87">
        <w:rPr>
          <w:rFonts w:cs="FrankRuehl"/>
          <w:sz w:val="22"/>
          <w:szCs w:val="22"/>
          <w:rtl/>
        </w:rPr>
        <w:t xml:space="preserve">. </w:t>
      </w:r>
    </w:p>
    <w:p w:rsidR="005366A8" w:rsidRPr="00405C87" w:rsidRDefault="005366A8" w:rsidP="005366A8">
      <w:pPr>
        <w:spacing w:after="60"/>
        <w:rPr>
          <w:rFonts w:cs="FrankRuehl"/>
          <w:b/>
          <w:bCs/>
          <w:sz w:val="22"/>
          <w:szCs w:val="22"/>
          <w:rtl/>
        </w:rPr>
      </w:pPr>
      <w:r w:rsidRPr="00405C87">
        <w:rPr>
          <w:rFonts w:cs="FrankRuehl"/>
          <w:sz w:val="22"/>
          <w:szCs w:val="22"/>
          <w:rtl/>
        </w:rPr>
        <w:t>במאמר מוסגר אעיר, ש</w:t>
      </w:r>
      <w:r w:rsidRPr="00405C87">
        <w:rPr>
          <w:rFonts w:cs="FrankRuehl"/>
          <w:b/>
          <w:bCs/>
          <w:sz w:val="22"/>
          <w:szCs w:val="22"/>
          <w:rtl/>
        </w:rPr>
        <w:t>ספק בעיני אם ההלכה בעניין נטל ההוכחה, שהורתה ותחולתה בתחום המשפט הפלילי ובתחום המשפט האזרחי, חלה באותה מתכונת גם בתחום המשפט הציבורי.</w:t>
      </w:r>
      <w:r w:rsidRPr="00405C87">
        <w:rPr>
          <w:rFonts w:cs="FrankRuehl"/>
          <w:sz w:val="22"/>
          <w:szCs w:val="22"/>
          <w:rtl/>
        </w:rPr>
        <w:t xml:space="preserve"> אכן, גם בתחום המשפט הציבורי, כמו בתחום המשפט האזרחי, חל הכלל הקובע כי המוציא מחברו עליו הראיה. לכן, בשלב הראשון של ההתדיינות בתחום המשפט הציבורי, מוטל על העותר הטוען נגד החוקיות של חוק, תקנה או החלטה מינהלית, הנטל לעורר ספק מהותי בחוקיות. אולם, משעורר העותר ספק כזה (בין אם הוצא צו על-תנאי ובין אם לא הוצא צו כזה) שוב אין בית המשפט חייב להסתפק בראיות שהובאו בפניו על ידי העותר.  למשל, </w:t>
      </w:r>
      <w:r w:rsidRPr="00405C87">
        <w:rPr>
          <w:rFonts w:cs="FrankRuehl"/>
          <w:b/>
          <w:bCs/>
          <w:sz w:val="22"/>
          <w:szCs w:val="22"/>
          <w:rtl/>
        </w:rPr>
        <w:t>אם העותר הצליח לעורר ספק מהותי בחוקיות השיקולים של הרשות או בסבירות של ההחלטה, אך לא הצליח להביא די ראיות כדי שבית המשפט יוכל לקבוע בפסקנות אם ההחלטה חוקית או אינה חוקית, בית המשפט אינו חייב לדחות את העתירה בשל חוסר ראיות.  הוא רשאי לנקוט יוזמה ולדרוש מן הרשות להשיב על שאלות מסויימות או להביא בפניו ראיות נוספות כפי שיקבע: תצהירים, מסמכים, ועוד</w:t>
      </w:r>
      <w:r w:rsidRPr="00405C87">
        <w:rPr>
          <w:rFonts w:cs="FrankRuehl"/>
          <w:sz w:val="22"/>
          <w:szCs w:val="22"/>
          <w:rtl/>
        </w:rPr>
        <w:t xml:space="preserve">. זהו אחד ההבדלים בין הליך מינהלי לבין הליך פלילי והליך אזרחי. הבדל זה נובע, ראשית, ממהותו של ההליך המינהלי: הליך זה עוסק בהחלטה שנתקבלה על ידי הרשות מטעם הציבור ולמען הציבור, ולכן יש לציבור זכות עקרונית לדעת את העובדות והטעמים שביסוד ההחלטה. שנית, הבדל זה נובע גם מן העקרון של שלטון החוק: בהליך מינהלי בית המשפט אמור, לא רק להכריע בסכסוך בין שני צדדים, אלא גם לשמור על העקרון של שלטון החוק. על פי עקרון זה, אם נתעורר ספק מהותי בחוקיות של החלטה מינהלית, ראוי לברר ספק זה, כדי שלא תישאר החלטה בלתי-חוקית על כנה. מכאן נובע גם הבדל בשאלת נטל ההוכחה בין הליך מינהלי לבין הליך פלילי או הליך אזרחי. בהליך מינהלי, יותר מאשר בהליך פלילי או בהליך אזרחי, בית המשפט עשוי לפעול לחיזוק תשתית הראיות, לפי הצורך, עד שיוכל להכריע לגוף העניין בשאלת החוקיות של ההחלטה המינהלית.  </w:t>
      </w:r>
      <w:r w:rsidRPr="00405C87">
        <w:rPr>
          <w:rFonts w:cs="FrankRuehl"/>
          <w:b/>
          <w:bCs/>
          <w:sz w:val="22"/>
          <w:szCs w:val="22"/>
          <w:rtl/>
        </w:rPr>
        <w:t>משום כך, בהליך מינהלי, לאחר שבתחילת ההליך התעורר ספק מהותי בחוקיות ההחלטה המינהלית, בדרך כלל לא מתעוררת יותר, בהמשך ההליך, השאלה של נטל ההוכחה.</w:t>
      </w:r>
    </w:p>
    <w:p w:rsidR="005366A8" w:rsidRPr="00405C87" w:rsidRDefault="005366A8" w:rsidP="005366A8">
      <w:pPr>
        <w:spacing w:after="60"/>
        <w:rPr>
          <w:rFonts w:cs="FrankRuehl"/>
          <w:sz w:val="22"/>
          <w:szCs w:val="22"/>
          <w:rtl/>
        </w:rPr>
      </w:pPr>
      <w:r w:rsidRPr="00405C87">
        <w:rPr>
          <w:rFonts w:cs="FrankRuehl"/>
          <w:b/>
          <w:bCs/>
          <w:sz w:val="22"/>
          <w:szCs w:val="22"/>
          <w:rtl/>
        </w:rPr>
        <w:t>אך לא תמיד כך</w:t>
      </w:r>
      <w:r w:rsidRPr="00405C87">
        <w:rPr>
          <w:rFonts w:cs="FrankRuehl"/>
          <w:sz w:val="22"/>
          <w:szCs w:val="22"/>
          <w:rtl/>
        </w:rPr>
        <w:t xml:space="preserve">. לעתים תשתית הראיות נשארת, גם בסופו של הליך, רופפת עד כדי כך שבית המשפט אינו יכול לבסס עליה ממצאים כפי שנדרש לצורך הכרעה בשאלת החוקיות של ההחלטה המינהלית. במצב כזה אפשר שבית המשפט יהיה נאלץ להכריע בשאלת החוקיות של ההחלטה המינהלית, לא לגוף העניין, אלא על יסוד הכרעה בשאלה של נטל ההוכחה. </w:t>
      </w:r>
      <w:r w:rsidRPr="00405C87">
        <w:rPr>
          <w:rFonts w:cs="FrankRuehl"/>
          <w:b/>
          <w:bCs/>
          <w:sz w:val="22"/>
          <w:szCs w:val="22"/>
          <w:rtl/>
        </w:rPr>
        <w:t>אולם ההכרעה בשאלה זאת, אף היא עשוייה להיות מושפעת מן המהות המיוחדת של ההליך המינהלי. היא עשוייה להיות מושפעת משיקולים של שלטון החוק, חזקת החוקתיות של חוק וחזקת החוקיות של החלטה מינהלית, החשיבות של הזכות הנפגעת ועוצמת הפגיעה בזכות, יעילות המינהל ואינטרסים ציבוריים אחרים.</w:t>
      </w:r>
      <w:r w:rsidRPr="00405C87">
        <w:rPr>
          <w:rFonts w:cs="FrankRuehl"/>
          <w:sz w:val="22"/>
          <w:szCs w:val="22"/>
          <w:rtl/>
        </w:rPr>
        <w:t xml:space="preserve"> </w:t>
      </w:r>
      <w:r w:rsidRPr="00405C87">
        <w:rPr>
          <w:rFonts w:cs="FrankRuehl"/>
          <w:b/>
          <w:bCs/>
          <w:sz w:val="22"/>
          <w:szCs w:val="22"/>
          <w:rtl/>
        </w:rPr>
        <w:t>המשקל היחסי הניתן לשיקולים עשוי לקבוע אם נטל ההוכחה יישאר מוטל על העותר, המוציא מן הרשות, או שהוא יעבור אל הרשות.</w:t>
      </w:r>
      <w:r w:rsidRPr="00405C87">
        <w:rPr>
          <w:rFonts w:cs="FrankRuehl"/>
          <w:sz w:val="22"/>
          <w:szCs w:val="22"/>
          <w:rtl/>
        </w:rPr>
        <w:t xml:space="preserve"> ייתכן כי זהו גם הסבר, ולו רק הסבר חלקי, לחילוקי הדעות בשאלה של נטל ההוכחה שנתגלעו בין השופטים במשפט בנק המזרחי.</w:t>
      </w:r>
    </w:p>
    <w:p w:rsidR="005366A8" w:rsidRPr="00405C87" w:rsidRDefault="005366A8" w:rsidP="005366A8">
      <w:pPr>
        <w:spacing w:after="120"/>
        <w:rPr>
          <w:rFonts w:cs="FrankRuehl"/>
          <w:sz w:val="22"/>
          <w:szCs w:val="22"/>
          <w:rtl/>
        </w:rPr>
      </w:pPr>
      <w:r w:rsidRPr="00405C87">
        <w:rPr>
          <w:rFonts w:cs="FrankRuehl"/>
          <w:b/>
          <w:bCs/>
          <w:sz w:val="22"/>
          <w:szCs w:val="22"/>
          <w:rtl/>
        </w:rPr>
        <w:t>מכל מקום, במשפט זה, כמו במשפט בנק המזרחי, אפשר להשאיר את המחלוקת בדבר נטל ההוכחה ללא הכרעה. לכן אשאיר אותה בצריך עיון. כך הדבר משום שבפועל, לאחר שהוצא צו על-תנאי, ולאחר מכן בעקבות בקשה של בית המשפט, הביאו המשיבים בפני בית המשפט את מלוא הראיות, גם בשאלת המידתיות. הראיות שהובאו בפני בית המשפט די בהן כדי שבית המשפט יוכל לפסוק בשאלת המידתיות של הוראת החוק המסמיכה שוטר צבאי לעצור חייל לתקופה של 96 שעות, בלי להכריע בשאלה של נטל ההוכחה.</w:t>
      </w:r>
    </w:p>
    <w:p w:rsidR="005366A8" w:rsidRDefault="005366A8" w:rsidP="005366A8">
      <w:pPr>
        <w:rPr>
          <w:sz w:val="20"/>
          <w:szCs w:val="20"/>
          <w:rtl/>
        </w:rPr>
      </w:pPr>
      <w:r>
        <w:rPr>
          <w:rFonts w:hint="cs"/>
          <w:sz w:val="20"/>
          <w:szCs w:val="20"/>
          <w:rtl/>
        </w:rPr>
        <w:t>=-=</w:t>
      </w:r>
    </w:p>
    <w:p w:rsidR="005366A8" w:rsidRDefault="005366A8" w:rsidP="005366A8">
      <w:pPr>
        <w:rPr>
          <w:rtl/>
        </w:rPr>
      </w:pPr>
    </w:p>
    <w:p w:rsidR="005366A8" w:rsidRDefault="005366A8" w:rsidP="005366A8">
      <w:pPr>
        <w:rPr>
          <w:rtl/>
        </w:rPr>
      </w:pPr>
      <w:r>
        <w:rPr>
          <w:rFonts w:hint="cs"/>
          <w:rtl/>
        </w:rPr>
        <w:t xml:space="preserve">נושא חשוב אחר. </w:t>
      </w:r>
    </w:p>
    <w:p w:rsidR="005366A8" w:rsidRDefault="005366A8" w:rsidP="005366A8">
      <w:pPr>
        <w:rPr>
          <w:rtl/>
        </w:rPr>
      </w:pPr>
    </w:p>
    <w:p w:rsidR="005366A8" w:rsidRPr="0071692F" w:rsidRDefault="005366A8" w:rsidP="005366A8">
      <w:pPr>
        <w:jc w:val="center"/>
        <w:rPr>
          <w:rFonts w:ascii="Arial" w:hAnsi="Arial" w:cs="Arial"/>
          <w:b/>
          <w:bCs/>
          <w:highlight w:val="yellow"/>
          <w:rtl/>
        </w:rPr>
      </w:pPr>
      <w:r w:rsidRPr="0071692F">
        <w:rPr>
          <w:rFonts w:ascii="Arial" w:hAnsi="Arial" w:cs="Arial"/>
          <w:b/>
          <w:bCs/>
          <w:highlight w:val="yellow"/>
          <w:rtl/>
        </w:rPr>
        <w:t xml:space="preserve">כניסתו של מרכיב של "דמוקרטיה ישירה" – </w:t>
      </w:r>
      <w:r w:rsidRPr="00E25963">
        <w:rPr>
          <w:rFonts w:ascii="Arial" w:hAnsi="Arial" w:cs="Arial"/>
          <w:b/>
          <w:bCs/>
          <w:highlight w:val="yellow"/>
          <w:u w:val="single"/>
          <w:rtl/>
        </w:rPr>
        <w:t>משאל עם</w:t>
      </w:r>
      <w:r w:rsidRPr="0071692F">
        <w:rPr>
          <w:rFonts w:ascii="Arial" w:hAnsi="Arial" w:cs="Arial"/>
          <w:b/>
          <w:bCs/>
          <w:highlight w:val="yellow"/>
          <w:rtl/>
        </w:rPr>
        <w:t xml:space="preserve"> – </w:t>
      </w:r>
    </w:p>
    <w:p w:rsidR="005366A8" w:rsidRPr="00D052ED" w:rsidRDefault="005366A8" w:rsidP="005366A8">
      <w:pPr>
        <w:jc w:val="center"/>
        <w:rPr>
          <w:b/>
          <w:bCs/>
          <w:rtl/>
        </w:rPr>
      </w:pPr>
      <w:r w:rsidRPr="0071692F">
        <w:rPr>
          <w:rFonts w:ascii="Arial" w:hAnsi="Arial" w:cs="Arial"/>
          <w:b/>
          <w:bCs/>
          <w:highlight w:val="yellow"/>
          <w:rtl/>
        </w:rPr>
        <w:t>לתוך המשטר הדמוקרטי של ישראל</w:t>
      </w:r>
      <w:r>
        <w:rPr>
          <w:rFonts w:ascii="Arial" w:hAnsi="Arial" w:cs="Arial" w:hint="cs"/>
          <w:b/>
          <w:bCs/>
          <w:highlight w:val="yellow"/>
          <w:rtl/>
        </w:rPr>
        <w:t>,</w:t>
      </w:r>
      <w:r w:rsidRPr="0071692F">
        <w:rPr>
          <w:rFonts w:ascii="Arial" w:hAnsi="Arial" w:cs="Arial"/>
          <w:b/>
          <w:bCs/>
          <w:highlight w:val="yellow"/>
          <w:rtl/>
        </w:rPr>
        <w:t xml:space="preserve"> </w:t>
      </w:r>
      <w:r>
        <w:rPr>
          <w:rFonts w:ascii="Arial" w:hAnsi="Arial" w:cs="Arial" w:hint="cs"/>
          <w:b/>
          <w:bCs/>
          <w:highlight w:val="yellow"/>
          <w:rtl/>
        </w:rPr>
        <w:t xml:space="preserve">מדינה </w:t>
      </w:r>
      <w:r w:rsidRPr="0071692F">
        <w:rPr>
          <w:rFonts w:ascii="Arial" w:hAnsi="Arial" w:cs="Arial"/>
          <w:b/>
          <w:bCs/>
          <w:highlight w:val="yellow"/>
          <w:rtl/>
        </w:rPr>
        <w:t>שמאז ומעולם הי</w:t>
      </w:r>
      <w:r>
        <w:rPr>
          <w:rFonts w:ascii="Arial" w:hAnsi="Arial" w:cs="Arial" w:hint="cs"/>
          <w:b/>
          <w:bCs/>
          <w:highlight w:val="yellow"/>
          <w:rtl/>
        </w:rPr>
        <w:t>ת</w:t>
      </w:r>
      <w:r w:rsidRPr="0071692F">
        <w:rPr>
          <w:rFonts w:ascii="Arial" w:hAnsi="Arial" w:cs="Arial"/>
          <w:b/>
          <w:bCs/>
          <w:highlight w:val="yellow"/>
          <w:rtl/>
        </w:rPr>
        <w:t>ה "דמוקרטיה ייצוגית"</w:t>
      </w:r>
    </w:p>
    <w:p w:rsidR="005366A8" w:rsidRDefault="005366A8" w:rsidP="005366A8">
      <w:pPr>
        <w:rPr>
          <w:rtl/>
        </w:rPr>
      </w:pPr>
    </w:p>
    <w:p w:rsidR="005366A8" w:rsidRDefault="005366A8" w:rsidP="005366A8">
      <w:pPr>
        <w:spacing w:after="240"/>
        <w:rPr>
          <w:rFonts w:ascii="Arial" w:hAnsi="Arial" w:cs="Arial"/>
          <w:b/>
          <w:bCs/>
          <w:sz w:val="22"/>
          <w:szCs w:val="22"/>
          <w:rtl/>
        </w:rPr>
      </w:pPr>
      <w:r w:rsidRPr="00E25963">
        <w:rPr>
          <w:rFonts w:ascii="Arial" w:hAnsi="Arial" w:cs="Arial" w:hint="cs"/>
          <w:b/>
          <w:bCs/>
          <w:sz w:val="22"/>
          <w:szCs w:val="22"/>
          <w:highlight w:val="yellow"/>
          <w:rtl/>
        </w:rPr>
        <w:t>"</w:t>
      </w:r>
      <w:r w:rsidRPr="00E25963">
        <w:rPr>
          <w:rFonts w:ascii="Arial" w:hAnsi="Arial" w:cs="Arial"/>
          <w:b/>
          <w:bCs/>
          <w:sz w:val="22"/>
          <w:szCs w:val="22"/>
          <w:highlight w:val="yellow"/>
          <w:u w:val="single"/>
          <w:rtl/>
        </w:rPr>
        <w:t>משאל עם</w:t>
      </w:r>
      <w:r w:rsidRPr="00E25963">
        <w:rPr>
          <w:rFonts w:ascii="Arial" w:hAnsi="Arial" w:cs="Arial" w:hint="cs"/>
          <w:b/>
          <w:bCs/>
          <w:sz w:val="22"/>
          <w:szCs w:val="22"/>
          <w:highlight w:val="yellow"/>
          <w:rtl/>
        </w:rPr>
        <w:t xml:space="preserve">" ואופן הסדרתו, התוכני והנורמטיבי: </w:t>
      </w:r>
      <w:r w:rsidRPr="00E25963">
        <w:rPr>
          <w:rFonts w:ascii="Arial" w:hAnsi="Arial" w:cs="Arial" w:hint="cs"/>
          <w:b/>
          <w:bCs/>
          <w:sz w:val="22"/>
          <w:szCs w:val="22"/>
          <w:highlight w:val="yellow"/>
          <w:u w:val="single"/>
          <w:rtl/>
        </w:rPr>
        <w:t>התפתחות חוקתית חדשה</w:t>
      </w:r>
      <w:r w:rsidRPr="00E25963">
        <w:rPr>
          <w:rFonts w:ascii="Arial" w:hAnsi="Arial" w:cs="Arial" w:hint="cs"/>
          <w:b/>
          <w:bCs/>
          <w:sz w:val="22"/>
          <w:szCs w:val="22"/>
          <w:highlight w:val="yellow"/>
          <w:rtl/>
        </w:rPr>
        <w:t xml:space="preserve"> בגזרה מסוימת וחלקית של החלטות</w:t>
      </w:r>
    </w:p>
    <w:p w:rsidR="005366A8" w:rsidRDefault="005366A8" w:rsidP="005366A8">
      <w:pPr>
        <w:spacing w:after="240"/>
        <w:rPr>
          <w:rFonts w:ascii="Arial" w:hAnsi="Arial" w:cs="Arial"/>
          <w:b/>
          <w:bCs/>
          <w:sz w:val="22"/>
          <w:szCs w:val="22"/>
          <w:rtl/>
        </w:rPr>
      </w:pPr>
      <w:r>
        <w:rPr>
          <w:rFonts w:ascii="Arial" w:hAnsi="Arial" w:cs="Arial" w:hint="cs"/>
          <w:b/>
          <w:bCs/>
          <w:sz w:val="22"/>
          <w:szCs w:val="22"/>
          <w:rtl/>
        </w:rPr>
        <w:t>ראו את ההשתלשלות המשפטית שלהלן</w:t>
      </w:r>
    </w:p>
    <w:p w:rsidR="005366A8" w:rsidRPr="00E25963" w:rsidRDefault="005366A8" w:rsidP="005366A8">
      <w:pPr>
        <w:spacing w:after="240"/>
        <w:rPr>
          <w:rFonts w:ascii="Arial" w:hAnsi="Arial" w:cs="Arial"/>
          <w:b/>
          <w:bCs/>
          <w:sz w:val="22"/>
          <w:szCs w:val="22"/>
          <w:rtl/>
        </w:rPr>
      </w:pPr>
      <w:r>
        <w:rPr>
          <w:rFonts w:ascii="Arial" w:hAnsi="Arial" w:cs="Arial" w:hint="cs"/>
          <w:b/>
          <w:bCs/>
          <w:sz w:val="22"/>
          <w:szCs w:val="22"/>
          <w:rtl/>
        </w:rPr>
        <w:t>א.</w:t>
      </w:r>
    </w:p>
    <w:p w:rsidR="005366A8" w:rsidRPr="00942514" w:rsidRDefault="005366A8" w:rsidP="005366A8">
      <w:pPr>
        <w:spacing w:after="120"/>
        <w:ind w:left="720"/>
        <w:rPr>
          <w:b/>
          <w:bCs/>
          <w:sz w:val="20"/>
          <w:szCs w:val="20"/>
          <w:rtl/>
        </w:rPr>
      </w:pPr>
      <w:r w:rsidRPr="008E73DD">
        <w:rPr>
          <w:rFonts w:cs="David"/>
          <w:b/>
          <w:bCs/>
          <w:sz w:val="20"/>
          <w:szCs w:val="20"/>
          <w:highlight w:val="yellow"/>
          <w:rtl/>
        </w:rPr>
        <w:t>ח</w:t>
      </w:r>
      <w:r w:rsidRPr="008E73DD">
        <w:rPr>
          <w:rFonts w:cs="David" w:hint="cs"/>
          <w:b/>
          <w:bCs/>
          <w:sz w:val="20"/>
          <w:szCs w:val="20"/>
          <w:highlight w:val="yellow"/>
          <w:rtl/>
        </w:rPr>
        <w:t>וק סדרי השלטון והמשפט (ביטול החלת המשפט, השיפוט והמינהל), תשנ"ט 1999</w:t>
      </w:r>
      <w:r w:rsidRPr="00942514">
        <w:rPr>
          <w:rFonts w:hint="cs"/>
          <w:b/>
          <w:bCs/>
          <w:sz w:val="20"/>
          <w:szCs w:val="20"/>
          <w:rtl/>
        </w:rPr>
        <w:t xml:space="preserve"> </w:t>
      </w:r>
      <w:r w:rsidRPr="00942514">
        <w:rPr>
          <w:rFonts w:hint="cs"/>
          <w:b/>
          <w:bCs/>
          <w:sz w:val="20"/>
          <w:szCs w:val="20"/>
          <w:highlight w:val="yellow"/>
          <w:rtl/>
        </w:rPr>
        <w:t>[</w:t>
      </w:r>
      <w:r w:rsidRPr="008E73DD">
        <w:rPr>
          <w:rFonts w:hint="cs"/>
          <w:b/>
          <w:bCs/>
          <w:sz w:val="20"/>
          <w:szCs w:val="20"/>
          <w:highlight w:val="yellow"/>
          <w:u w:val="single"/>
          <w:rtl/>
        </w:rPr>
        <w:t xml:space="preserve">הנוסח המקורי, בטרם התיקון </w:t>
      </w:r>
      <w:r>
        <w:rPr>
          <w:rFonts w:hint="cs"/>
          <w:b/>
          <w:bCs/>
          <w:sz w:val="20"/>
          <w:szCs w:val="20"/>
          <w:highlight w:val="yellow"/>
          <w:u w:val="single"/>
          <w:rtl/>
        </w:rPr>
        <w:t>מ-2010</w:t>
      </w:r>
      <w:r w:rsidRPr="00942514">
        <w:rPr>
          <w:rFonts w:hint="cs"/>
          <w:b/>
          <w:bCs/>
          <w:sz w:val="20"/>
          <w:szCs w:val="20"/>
          <w:highlight w:val="yellow"/>
          <w:rtl/>
        </w:rPr>
        <w:t>]</w:t>
      </w:r>
    </w:p>
    <w:p w:rsidR="005366A8" w:rsidRPr="00942514" w:rsidRDefault="005D7968" w:rsidP="005366A8">
      <w:pPr>
        <w:ind w:left="720"/>
        <w:rPr>
          <w:sz w:val="20"/>
          <w:szCs w:val="20"/>
          <w:rtl/>
        </w:rPr>
      </w:pPr>
      <w:r>
        <w:rPr>
          <w:sz w:val="20"/>
          <w:szCs w:val="20"/>
          <w:rtl/>
        </w:rPr>
        <w:pict>
          <v:rect id="_x0000_s1168" style="position:absolute;left:0;text-align:left;margin-left:464.5pt;margin-top:8.05pt;width:75.05pt;height:10pt;z-index:251810816" o:allowincell="f" filled="f" stroked="f" strokecolor="lime" strokeweight=".25pt">
            <v:textbox style="mso-next-textbox:#_x0000_s1168" inset="0,0,0,0">
              <w:txbxContent>
                <w:p w:rsidR="005366A8" w:rsidRDefault="005366A8" w:rsidP="005366A8">
                  <w:pPr>
                    <w:spacing w:line="160" w:lineRule="exact"/>
                    <w:rPr>
                      <w:rFonts w:cs="Miriam"/>
                      <w:noProof/>
                      <w:szCs w:val="18"/>
                      <w:rtl/>
                    </w:rPr>
                  </w:pPr>
                  <w:r>
                    <w:rPr>
                      <w:rFonts w:cs="Miriam" w:hint="cs"/>
                      <w:szCs w:val="18"/>
                      <w:rtl/>
                    </w:rPr>
                    <w:t xml:space="preserve"> </w:t>
                  </w:r>
                  <w:r>
                    <w:rPr>
                      <w:rFonts w:cs="Miriam"/>
                      <w:szCs w:val="18"/>
                      <w:rtl/>
                    </w:rPr>
                    <w:t>ה</w:t>
                  </w:r>
                  <w:r>
                    <w:rPr>
                      <w:rFonts w:cs="Miriam" w:hint="cs"/>
                      <w:szCs w:val="18"/>
                      <w:rtl/>
                    </w:rPr>
                    <w:t>גדרות</w:t>
                  </w:r>
                </w:p>
              </w:txbxContent>
            </v:textbox>
            <w10:anchorlock/>
          </v:rect>
        </w:pict>
      </w:r>
      <w:r w:rsidR="005366A8" w:rsidRPr="00942514">
        <w:rPr>
          <w:sz w:val="20"/>
          <w:szCs w:val="20"/>
          <w:rtl/>
        </w:rPr>
        <w:t>1.</w:t>
      </w:r>
      <w:r w:rsidR="005366A8" w:rsidRPr="00942514">
        <w:rPr>
          <w:sz w:val="20"/>
          <w:szCs w:val="20"/>
          <w:rtl/>
        </w:rPr>
        <w:tab/>
        <w:t>ל</w:t>
      </w:r>
      <w:r w:rsidR="005366A8" w:rsidRPr="00942514">
        <w:rPr>
          <w:rFonts w:hint="cs"/>
          <w:sz w:val="20"/>
          <w:szCs w:val="20"/>
          <w:rtl/>
        </w:rPr>
        <w:t>ענין חוק זה -</w:t>
      </w:r>
    </w:p>
    <w:p w:rsidR="005366A8" w:rsidRPr="00942514" w:rsidRDefault="005366A8" w:rsidP="005366A8">
      <w:pPr>
        <w:ind w:left="720"/>
        <w:rPr>
          <w:sz w:val="20"/>
          <w:szCs w:val="20"/>
          <w:rtl/>
        </w:rPr>
      </w:pPr>
      <w:r w:rsidRPr="00942514">
        <w:rPr>
          <w:sz w:val="20"/>
          <w:szCs w:val="20"/>
          <w:rtl/>
        </w:rPr>
        <w:tab/>
        <w:t>"</w:t>
      </w:r>
      <w:r w:rsidRPr="00942514">
        <w:rPr>
          <w:rFonts w:hint="cs"/>
          <w:sz w:val="20"/>
          <w:szCs w:val="20"/>
          <w:rtl/>
        </w:rPr>
        <w:t>החלטת ממשלה" - החלטה של הממשלה, בדרך של אי</w:t>
      </w:r>
      <w:r w:rsidRPr="00942514">
        <w:rPr>
          <w:sz w:val="20"/>
          <w:szCs w:val="20"/>
          <w:rtl/>
        </w:rPr>
        <w:t>ש</w:t>
      </w:r>
      <w:r w:rsidRPr="00942514">
        <w:rPr>
          <w:rFonts w:hint="cs"/>
          <w:sz w:val="20"/>
          <w:szCs w:val="20"/>
          <w:rtl/>
        </w:rPr>
        <w:t>ור אמנה או הסכם או בדרך אחרת, לרבות התחייבות לעתיד והתחייבות המותנית בתנאים;</w:t>
      </w:r>
    </w:p>
    <w:p w:rsidR="005366A8" w:rsidRPr="00942514" w:rsidRDefault="005366A8" w:rsidP="005366A8">
      <w:pPr>
        <w:spacing w:after="120"/>
        <w:ind w:left="720"/>
        <w:rPr>
          <w:sz w:val="20"/>
          <w:szCs w:val="20"/>
          <w:rtl/>
        </w:rPr>
      </w:pPr>
      <w:r w:rsidRPr="00942514">
        <w:rPr>
          <w:sz w:val="20"/>
          <w:szCs w:val="20"/>
          <w:rtl/>
        </w:rPr>
        <w:tab/>
        <w:t>"</w:t>
      </w:r>
      <w:r w:rsidRPr="00942514">
        <w:rPr>
          <w:rFonts w:hint="cs"/>
          <w:sz w:val="20"/>
          <w:szCs w:val="20"/>
          <w:rtl/>
        </w:rPr>
        <w:t>שטח" - שטח שחלים בו המשפט, השיפוט והמינהל של מדינת ישראל.</w:t>
      </w:r>
    </w:p>
    <w:p w:rsidR="005366A8" w:rsidRPr="00942514" w:rsidRDefault="005D7968" w:rsidP="005366A8">
      <w:pPr>
        <w:spacing w:after="120"/>
        <w:ind w:left="720"/>
        <w:rPr>
          <w:sz w:val="20"/>
          <w:szCs w:val="20"/>
          <w:rtl/>
        </w:rPr>
      </w:pPr>
      <w:r>
        <w:rPr>
          <w:sz w:val="20"/>
          <w:szCs w:val="20"/>
          <w:rtl/>
        </w:rPr>
        <w:pict>
          <v:rect id="_x0000_s1169" style="position:absolute;left:0;text-align:left;margin-left:464.5pt;margin-top:-.2pt;width:75.05pt;height:18.25pt;z-index:251811840" o:allowincell="f" filled="f" stroked="f" strokecolor="lime" strokeweight=".25pt">
            <v:textbox style="mso-next-textbox:#_x0000_s1169" inset="0,0,0,0">
              <w:txbxContent>
                <w:p w:rsidR="005366A8" w:rsidRDefault="005366A8" w:rsidP="005366A8">
                  <w:pPr>
                    <w:spacing w:line="160" w:lineRule="exact"/>
                    <w:rPr>
                      <w:rFonts w:cs="Miriam"/>
                      <w:noProof/>
                      <w:szCs w:val="18"/>
                      <w:rtl/>
                    </w:rPr>
                  </w:pPr>
                  <w:r>
                    <w:rPr>
                      <w:rFonts w:cs="Miriam"/>
                      <w:szCs w:val="18"/>
                      <w:rtl/>
                    </w:rPr>
                    <w:t>א</w:t>
                  </w:r>
                  <w:r>
                    <w:rPr>
                      <w:rFonts w:cs="Miriam" w:hint="cs"/>
                      <w:szCs w:val="18"/>
                      <w:rtl/>
                    </w:rPr>
                    <w:t>ישור הכנסת</w:t>
                  </w:r>
                </w:p>
              </w:txbxContent>
            </v:textbox>
            <w10:anchorlock/>
          </v:rect>
        </w:pict>
      </w:r>
      <w:r w:rsidR="005366A8" w:rsidRPr="00942514">
        <w:rPr>
          <w:sz w:val="20"/>
          <w:szCs w:val="20"/>
          <w:rtl/>
        </w:rPr>
        <w:t>2.</w:t>
      </w:r>
      <w:r w:rsidR="005366A8" w:rsidRPr="00942514">
        <w:rPr>
          <w:sz w:val="20"/>
          <w:szCs w:val="20"/>
          <w:rtl/>
        </w:rPr>
        <w:tab/>
        <w:t>ה</w:t>
      </w:r>
      <w:r w:rsidR="005366A8" w:rsidRPr="00942514">
        <w:rPr>
          <w:rFonts w:hint="cs"/>
          <w:sz w:val="20"/>
          <w:szCs w:val="20"/>
          <w:rtl/>
        </w:rPr>
        <w:t>חלטת ממשלה לפיה המשפט, השיפוט והמינהל של מדינת ישראל לא יחולו עוד על שטח, טעונה אישור של הכנסת בהחל</w:t>
      </w:r>
      <w:r w:rsidR="005366A8" w:rsidRPr="00942514">
        <w:rPr>
          <w:sz w:val="20"/>
          <w:szCs w:val="20"/>
          <w:rtl/>
        </w:rPr>
        <w:t>ט</w:t>
      </w:r>
      <w:r w:rsidR="005366A8" w:rsidRPr="00942514">
        <w:rPr>
          <w:rFonts w:hint="cs"/>
          <w:sz w:val="20"/>
          <w:szCs w:val="20"/>
          <w:rtl/>
        </w:rPr>
        <w:t>ה שתקבל ברוב חבריה.</w:t>
      </w:r>
    </w:p>
    <w:p w:rsidR="005366A8" w:rsidRPr="00942514" w:rsidRDefault="005D7968" w:rsidP="005366A8">
      <w:pPr>
        <w:spacing w:after="120"/>
        <w:ind w:left="720"/>
        <w:rPr>
          <w:sz w:val="20"/>
          <w:szCs w:val="20"/>
          <w:rtl/>
        </w:rPr>
      </w:pPr>
      <w:r>
        <w:rPr>
          <w:sz w:val="20"/>
          <w:szCs w:val="20"/>
          <w:rtl/>
        </w:rPr>
        <w:pict>
          <v:rect id="_x0000_s1170" style="position:absolute;left:0;text-align:left;margin-left:464.5pt;margin-top:.05pt;width:75.05pt;height:18pt;z-index:251812864" o:allowincell="f" filled="f" stroked="f" strokecolor="lime" strokeweight=".25pt">
            <v:textbox style="mso-next-textbox:#_x0000_s1170" inset="0,0,0,0">
              <w:txbxContent>
                <w:p w:rsidR="005366A8" w:rsidRDefault="005366A8" w:rsidP="005366A8">
                  <w:pPr>
                    <w:spacing w:line="160" w:lineRule="exact"/>
                    <w:rPr>
                      <w:rFonts w:cs="Miriam"/>
                      <w:noProof/>
                      <w:szCs w:val="18"/>
                      <w:rtl/>
                    </w:rPr>
                  </w:pPr>
                  <w:r>
                    <w:rPr>
                      <w:rFonts w:cs="Miriam"/>
                      <w:szCs w:val="18"/>
                      <w:rtl/>
                    </w:rPr>
                    <w:t>מ</w:t>
                  </w:r>
                  <w:r>
                    <w:rPr>
                      <w:rFonts w:cs="Miriam" w:hint="cs"/>
                      <w:szCs w:val="18"/>
                      <w:rtl/>
                    </w:rPr>
                    <w:t>שאל עם</w:t>
                  </w:r>
                </w:p>
              </w:txbxContent>
            </v:textbox>
            <w10:anchorlock/>
          </v:rect>
        </w:pict>
      </w:r>
      <w:r w:rsidR="005366A8" w:rsidRPr="00942514">
        <w:rPr>
          <w:sz w:val="20"/>
          <w:szCs w:val="20"/>
          <w:rtl/>
        </w:rPr>
        <w:t>3.</w:t>
      </w:r>
      <w:r w:rsidR="005366A8" w:rsidRPr="00942514">
        <w:rPr>
          <w:sz w:val="20"/>
          <w:szCs w:val="20"/>
          <w:rtl/>
        </w:rPr>
        <w:tab/>
        <w:t>ה</w:t>
      </w:r>
      <w:r w:rsidR="005366A8" w:rsidRPr="00942514">
        <w:rPr>
          <w:rFonts w:hint="cs"/>
          <w:sz w:val="20"/>
          <w:szCs w:val="20"/>
          <w:rtl/>
        </w:rPr>
        <w:t>חלטת ממשלה, שאושרה על ידי הכנסת, כאמור בסעיף 2, טעונה גם אישור במשאל עם, שיתקבל ברוב הקולות הכשרים של המשתתפים במשאל.</w:t>
      </w:r>
    </w:p>
    <w:p w:rsidR="005366A8" w:rsidRPr="00942514" w:rsidRDefault="005D7968" w:rsidP="005366A8">
      <w:pPr>
        <w:ind w:left="720"/>
        <w:rPr>
          <w:sz w:val="20"/>
          <w:szCs w:val="20"/>
          <w:rtl/>
        </w:rPr>
      </w:pPr>
      <w:r>
        <w:rPr>
          <w:sz w:val="20"/>
          <w:szCs w:val="20"/>
          <w:rtl/>
        </w:rPr>
        <w:pict>
          <v:rect id="_x0000_s1171" style="position:absolute;left:0;text-align:left;margin-left:464.5pt;margin-top:2.35pt;width:75.05pt;height:15.7pt;z-index:251813888" o:allowincell="f" filled="f" stroked="f" strokecolor="lime" strokeweight=".25pt">
            <v:textbox style="mso-next-textbox:#_x0000_s1171" inset="0,0,0,0">
              <w:txbxContent>
                <w:p w:rsidR="005366A8" w:rsidRDefault="005366A8" w:rsidP="005366A8">
                  <w:pPr>
                    <w:spacing w:line="160" w:lineRule="exact"/>
                    <w:rPr>
                      <w:rFonts w:cs="Miriam"/>
                      <w:noProof/>
                      <w:szCs w:val="18"/>
                      <w:rtl/>
                    </w:rPr>
                  </w:pPr>
                  <w:r>
                    <w:rPr>
                      <w:rFonts w:cs="Miriam"/>
                      <w:szCs w:val="18"/>
                      <w:rtl/>
                    </w:rPr>
                    <w:t>ת</w:t>
                  </w:r>
                  <w:r>
                    <w:rPr>
                      <w:rFonts w:cs="Miriam" w:hint="cs"/>
                      <w:szCs w:val="18"/>
                      <w:rtl/>
                    </w:rPr>
                    <w:t>חילה</w:t>
                  </w:r>
                </w:p>
              </w:txbxContent>
            </v:textbox>
            <w10:anchorlock/>
          </v:rect>
        </w:pict>
      </w:r>
      <w:r w:rsidR="005366A8" w:rsidRPr="00942514">
        <w:rPr>
          <w:sz w:val="20"/>
          <w:szCs w:val="20"/>
          <w:rtl/>
        </w:rPr>
        <w:t>4.</w:t>
      </w:r>
      <w:r w:rsidR="005366A8" w:rsidRPr="00942514">
        <w:rPr>
          <w:sz w:val="20"/>
          <w:szCs w:val="20"/>
          <w:rtl/>
        </w:rPr>
        <w:tab/>
      </w:r>
      <w:r w:rsidR="005366A8" w:rsidRPr="00942514">
        <w:rPr>
          <w:sz w:val="20"/>
          <w:szCs w:val="20"/>
          <w:highlight w:val="yellow"/>
          <w:rtl/>
        </w:rPr>
        <w:t>ת</w:t>
      </w:r>
      <w:r w:rsidR="005366A8" w:rsidRPr="00942514">
        <w:rPr>
          <w:rFonts w:hint="cs"/>
          <w:sz w:val="20"/>
          <w:szCs w:val="20"/>
          <w:highlight w:val="yellow"/>
          <w:rtl/>
        </w:rPr>
        <w:t>חילתו של סעיף 3 ביום תחילת תוקפו של חוק יסוד, אשר יסדיר את עריכתו של משאל עם.</w:t>
      </w:r>
    </w:p>
    <w:p w:rsidR="005366A8" w:rsidRDefault="005366A8" w:rsidP="005366A8">
      <w:pPr>
        <w:spacing w:after="120"/>
        <w:rPr>
          <w:sz w:val="20"/>
          <w:szCs w:val="20"/>
          <w:rtl/>
        </w:rPr>
      </w:pPr>
    </w:p>
    <w:p w:rsidR="005366A8" w:rsidRPr="0030735F" w:rsidRDefault="005366A8" w:rsidP="005366A8">
      <w:pPr>
        <w:spacing w:after="120"/>
        <w:rPr>
          <w:rFonts w:asciiTheme="minorBidi" w:hAnsiTheme="minorBidi" w:cstheme="minorBidi"/>
          <w:b/>
          <w:bCs/>
          <w:sz w:val="22"/>
          <w:szCs w:val="22"/>
          <w:rtl/>
        </w:rPr>
      </w:pPr>
      <w:r w:rsidRPr="0030735F">
        <w:rPr>
          <w:rFonts w:asciiTheme="minorBidi" w:hAnsiTheme="minorBidi" w:cstheme="minorBidi"/>
          <w:b/>
          <w:bCs/>
          <w:sz w:val="22"/>
          <w:szCs w:val="22"/>
          <w:rtl/>
        </w:rPr>
        <w:t>ב.</w:t>
      </w:r>
    </w:p>
    <w:p w:rsidR="005366A8" w:rsidRDefault="005366A8" w:rsidP="005366A8">
      <w:pPr>
        <w:rPr>
          <w:rFonts w:cs="David"/>
          <w:sz w:val="20"/>
          <w:szCs w:val="20"/>
          <w:u w:val="single"/>
          <w:rtl/>
        </w:rPr>
      </w:pPr>
      <w:r>
        <w:rPr>
          <w:rFonts w:cs="David" w:hint="cs"/>
          <w:sz w:val="20"/>
          <w:szCs w:val="20"/>
          <w:u w:val="single"/>
          <w:rtl/>
        </w:rPr>
        <w:t xml:space="preserve">לחוק זה התקבל תיקון </w:t>
      </w:r>
      <w:r w:rsidRPr="008E73DD">
        <w:rPr>
          <w:rFonts w:cs="David" w:hint="cs"/>
          <w:sz w:val="20"/>
          <w:szCs w:val="20"/>
          <w:u w:val="single"/>
          <w:rtl/>
        </w:rPr>
        <w:t>בנובמבר 2010</w:t>
      </w:r>
      <w:r>
        <w:rPr>
          <w:rFonts w:cs="David" w:hint="cs"/>
          <w:sz w:val="20"/>
          <w:szCs w:val="20"/>
          <w:u w:val="single"/>
          <w:rtl/>
        </w:rPr>
        <w:t xml:space="preserve">. </w:t>
      </w:r>
    </w:p>
    <w:p w:rsidR="005366A8" w:rsidRPr="00942514" w:rsidRDefault="005366A8" w:rsidP="005366A8">
      <w:pPr>
        <w:rPr>
          <w:rFonts w:cs="David"/>
          <w:sz w:val="20"/>
          <w:szCs w:val="20"/>
          <w:rtl/>
        </w:rPr>
      </w:pPr>
      <w:r>
        <w:rPr>
          <w:rFonts w:cs="David" w:hint="cs"/>
          <w:sz w:val="20"/>
          <w:szCs w:val="20"/>
          <w:u w:val="single"/>
          <w:rtl/>
        </w:rPr>
        <w:t>התיקון</w:t>
      </w:r>
      <w:r w:rsidRPr="008E73DD">
        <w:rPr>
          <w:rFonts w:cs="David" w:hint="cs"/>
          <w:sz w:val="20"/>
          <w:szCs w:val="20"/>
          <w:u w:val="single"/>
          <w:rtl/>
        </w:rPr>
        <w:t xml:space="preserve"> </w:t>
      </w:r>
      <w:r w:rsidRPr="008E73DD">
        <w:rPr>
          <w:rFonts w:cs="David" w:hint="cs"/>
          <w:sz w:val="20"/>
          <w:szCs w:val="20"/>
          <w:highlight w:val="yellow"/>
          <w:u w:val="single"/>
          <w:rtl/>
        </w:rPr>
        <w:t>מבטל, בין היתר, את סעיף 4,</w:t>
      </w:r>
      <w:r w:rsidRPr="008E73DD">
        <w:rPr>
          <w:rFonts w:cs="David" w:hint="cs"/>
          <w:sz w:val="20"/>
          <w:szCs w:val="20"/>
          <w:u w:val="single"/>
          <w:rtl/>
        </w:rPr>
        <w:t xml:space="preserve"> ומסדיר </w:t>
      </w:r>
      <w:r w:rsidRPr="008E73DD">
        <w:rPr>
          <w:rFonts w:cs="David" w:hint="cs"/>
          <w:sz w:val="20"/>
          <w:szCs w:val="20"/>
          <w:highlight w:val="yellow"/>
          <w:u w:val="single"/>
          <w:rtl/>
        </w:rPr>
        <w:t xml:space="preserve">בתוך חוק זה </w:t>
      </w:r>
      <w:r>
        <w:rPr>
          <w:rFonts w:cs="David" w:hint="cs"/>
          <w:sz w:val="20"/>
          <w:szCs w:val="20"/>
          <w:highlight w:val="yellow"/>
          <w:u w:val="single"/>
          <w:rtl/>
        </w:rPr>
        <w:t xml:space="preserve">עצמו (להבדיל מחוק יסוד) </w:t>
      </w:r>
      <w:r w:rsidRPr="008E73DD">
        <w:rPr>
          <w:rFonts w:cs="David" w:hint="cs"/>
          <w:sz w:val="20"/>
          <w:szCs w:val="20"/>
          <w:highlight w:val="yellow"/>
          <w:u w:val="single"/>
          <w:rtl/>
        </w:rPr>
        <w:t>את הליך משאל העם</w:t>
      </w:r>
      <w:r w:rsidRPr="00942514">
        <w:rPr>
          <w:rFonts w:cs="David" w:hint="cs"/>
          <w:sz w:val="20"/>
          <w:szCs w:val="20"/>
          <w:rtl/>
        </w:rPr>
        <w:t>.</w:t>
      </w:r>
    </w:p>
    <w:p w:rsidR="005366A8" w:rsidRDefault="005366A8" w:rsidP="005366A8">
      <w:pPr>
        <w:ind w:left="720"/>
        <w:rPr>
          <w:sz w:val="18"/>
          <w:szCs w:val="18"/>
          <w:rtl/>
        </w:rPr>
      </w:pPr>
    </w:p>
    <w:p w:rsidR="005366A8" w:rsidRPr="00DA6CA7" w:rsidRDefault="005366A8" w:rsidP="005366A8">
      <w:pPr>
        <w:pStyle w:val="Heading2"/>
        <w:rPr>
          <w:rFonts w:ascii="Arial" w:hAnsi="Arial" w:cs="Arial"/>
          <w:szCs w:val="22"/>
          <w:rtl/>
        </w:rPr>
      </w:pPr>
      <w:r w:rsidRPr="00DA6CA7">
        <w:rPr>
          <w:rFonts w:ascii="Arial" w:hAnsi="Arial" w:cs="Arial"/>
          <w:szCs w:val="22"/>
          <w:rtl/>
        </w:rPr>
        <w:t xml:space="preserve">חוק משאל העם: מהפיכה שחוקיותה בספק </w:t>
      </w:r>
    </w:p>
    <w:p w:rsidR="005366A8" w:rsidRPr="00DA6CA7" w:rsidRDefault="005366A8" w:rsidP="005366A8">
      <w:pPr>
        <w:pStyle w:val="Heading3"/>
        <w:rPr>
          <w:rFonts w:ascii="Arial" w:hAnsi="Arial" w:cs="Arial"/>
          <w:sz w:val="18"/>
          <w:szCs w:val="18"/>
          <w:rtl/>
        </w:rPr>
      </w:pPr>
      <w:r w:rsidRPr="00DA6CA7">
        <w:rPr>
          <w:rFonts w:ascii="Arial" w:hAnsi="Arial" w:cs="Arial"/>
          <w:sz w:val="18"/>
          <w:szCs w:val="18"/>
          <w:rtl/>
        </w:rPr>
        <w:t>העובדה שהכנסת קבעה את החובה לקיים משאל עם בחוק רגיל, תאפשר גמישות. על רקע נסיבות פוליטיות מסוימות, ניתן יהיה לבטלה ברוב רגיל</w:t>
      </w:r>
    </w:p>
    <w:p w:rsidR="005366A8" w:rsidRDefault="005366A8" w:rsidP="005366A8">
      <w:pPr>
        <w:rPr>
          <w:rFonts w:ascii="Arial" w:hAnsi="Arial" w:cs="Arial"/>
          <w:sz w:val="16"/>
          <w:szCs w:val="16"/>
          <w:rtl/>
        </w:rPr>
      </w:pPr>
      <w:r>
        <w:rPr>
          <w:rFonts w:ascii="Arial" w:hAnsi="Arial" w:cs="Arial"/>
          <w:vertAlign w:val="subscript"/>
          <w:rtl/>
        </w:rPr>
        <w:t xml:space="preserve">מאת </w:t>
      </w:r>
      <w:hyperlink r:id="rId146" w:history="1">
        <w:r>
          <w:rPr>
            <w:rStyle w:val="Hyperlink"/>
            <w:rFonts w:ascii="Arial" w:hAnsi="Arial" w:cs="Arial"/>
            <w:vertAlign w:val="subscript"/>
            <w:rtl/>
          </w:rPr>
          <w:t>זאב סגל</w:t>
        </w:r>
      </w:hyperlink>
      <w:r>
        <w:rPr>
          <w:rFonts w:ascii="Arial" w:hAnsi="Arial" w:cs="Arial" w:hint="cs"/>
          <w:rtl/>
        </w:rPr>
        <w:t xml:space="preserve">, </w:t>
      </w:r>
      <w:r w:rsidRPr="00933863">
        <w:rPr>
          <w:rFonts w:ascii="Arial" w:hAnsi="Arial" w:cs="Arial" w:hint="cs"/>
          <w:sz w:val="16"/>
          <w:szCs w:val="16"/>
          <w:rtl/>
        </w:rPr>
        <w:t>הארץ 23.11.2010</w:t>
      </w:r>
      <w:r>
        <w:rPr>
          <w:rFonts w:ascii="Arial" w:hAnsi="Arial" w:cs="Arial" w:hint="cs"/>
          <w:sz w:val="16"/>
          <w:szCs w:val="16"/>
          <w:rtl/>
        </w:rPr>
        <w:t xml:space="preserve"> </w:t>
      </w:r>
    </w:p>
    <w:p w:rsidR="005366A8" w:rsidRDefault="005366A8" w:rsidP="005366A8">
      <w:pPr>
        <w:ind w:left="720"/>
        <w:rPr>
          <w:rFonts w:ascii="Arial" w:hAnsi="Arial" w:cs="Arial"/>
          <w:rtl/>
        </w:rPr>
      </w:pPr>
      <w:r>
        <w:rPr>
          <w:rFonts w:ascii="Arial" w:hAnsi="Arial" w:cs="Arial" w:hint="cs"/>
          <w:sz w:val="16"/>
          <w:szCs w:val="16"/>
          <w:rtl/>
        </w:rPr>
        <w:t>[פרופ' זאב סגל המנוח היה פרופסור למשפט חוקתי בבית הספר למדע המדינה באוניברסיטת תל-אביב, וכן הפרשן המשפטי של עיתון הארץ]</w:t>
      </w:r>
    </w:p>
    <w:p w:rsidR="005366A8" w:rsidRPr="00DA4CB5" w:rsidRDefault="005366A8" w:rsidP="005366A8">
      <w:pPr>
        <w:rPr>
          <w:rFonts w:ascii="Arial" w:hAnsi="Arial" w:cs="Arial"/>
          <w:sz w:val="18"/>
          <w:szCs w:val="18"/>
          <w:rtl/>
        </w:rPr>
      </w:pPr>
      <w:r>
        <w:rPr>
          <w:rFonts w:ascii="Arial" w:hAnsi="Arial" w:cs="Arial"/>
          <w:rtl/>
        </w:rPr>
        <w:br/>
      </w:r>
      <w:r w:rsidRPr="00DA4CB5">
        <w:rPr>
          <w:rFonts w:ascii="Arial" w:hAnsi="Arial" w:cs="Arial"/>
          <w:sz w:val="18"/>
          <w:szCs w:val="18"/>
          <w:rtl/>
        </w:rPr>
        <w:t xml:space="preserve">הכנסת קיבלה אתמול </w:t>
      </w:r>
      <w:r w:rsidRPr="00DA4CB5">
        <w:rPr>
          <w:sz w:val="18"/>
          <w:szCs w:val="18"/>
          <w:rtl/>
        </w:rPr>
        <w:t>[ברוב של 65 תומכים, מול 33 מתנגדים]</w:t>
      </w:r>
      <w:r w:rsidRPr="00DA4CB5">
        <w:rPr>
          <w:rFonts w:ascii="Arial" w:hAnsi="Arial" w:cs="Arial"/>
          <w:sz w:val="18"/>
          <w:szCs w:val="18"/>
          <w:rtl/>
        </w:rPr>
        <w:t xml:space="preserve"> תיקון לחוק סדרי השלטון והמשפט ואימצה לראשונה בתולדות המדינה את מוסד </w:t>
      </w:r>
      <w:hyperlink r:id="rId147" w:history="1">
        <w:r w:rsidRPr="00DA4CB5">
          <w:rPr>
            <w:rStyle w:val="Hyperlink"/>
            <w:rFonts w:ascii="Arial" w:hAnsi="Arial" w:cs="Arial"/>
            <w:sz w:val="18"/>
            <w:szCs w:val="18"/>
            <w:rtl/>
          </w:rPr>
          <w:t>משאל העם</w:t>
        </w:r>
      </w:hyperlink>
      <w:r w:rsidRPr="00DA4CB5">
        <w:rPr>
          <w:rFonts w:ascii="Arial" w:hAnsi="Arial" w:cs="Arial"/>
          <w:sz w:val="18"/>
          <w:szCs w:val="18"/>
          <w:rtl/>
        </w:rPr>
        <w:t xml:space="preserve">. </w:t>
      </w:r>
      <w:r w:rsidRPr="00DA4CB5">
        <w:rPr>
          <w:rFonts w:ascii="Arial" w:hAnsi="Arial" w:cs="Arial"/>
          <w:sz w:val="18"/>
          <w:szCs w:val="18"/>
          <w:highlight w:val="yellow"/>
          <w:rtl/>
        </w:rPr>
        <w:t>שילוב מוסד זה בסדרי הממשל מגביל את עליונותה וכוחה של הכנסת בנושא שנקבע - ביטול החלת השלטון והמשפט של ישראל במזרח ירושלים וברמת הגולן, שבהם חל המשפט הישראלי. כך, אין די באישורה - בחוק או בהחלטה - ונדרש אישור העניין במשאל עם.</w:t>
      </w:r>
      <w:r w:rsidRPr="00DA4CB5">
        <w:rPr>
          <w:rFonts w:ascii="Arial" w:hAnsi="Arial" w:cs="Arial"/>
          <w:sz w:val="18"/>
          <w:szCs w:val="18"/>
          <w:rtl/>
        </w:rPr>
        <w:t xml:space="preserve"> </w:t>
      </w:r>
      <w:r w:rsidRPr="00DA4CB5">
        <w:rPr>
          <w:rFonts w:ascii="Arial" w:hAnsi="Arial" w:cs="Arial"/>
          <w:sz w:val="18"/>
          <w:szCs w:val="18"/>
          <w:rtl/>
        </w:rPr>
        <w:br/>
      </w:r>
      <w:r w:rsidRPr="00DA4CB5">
        <w:rPr>
          <w:rFonts w:ascii="Arial" w:hAnsi="Arial" w:cs="Arial"/>
          <w:sz w:val="18"/>
          <w:szCs w:val="18"/>
          <w:rtl/>
        </w:rPr>
        <w:br/>
        <w:t xml:space="preserve">החוק קובע את חובת קיום משאל העם בנושא ספציפי, אך אין ספק שמדובר במהפכה בסדרי הממשל בישראל. הואיל וכך, מתבקש היה שהכנסת תקבע שינוי כזה בחוק יסוד, הנהנה ממעמד חוקתי מיוחד. טיוטת הצעת חוק יסוד: משאל עם, שהוכנה בשעתה במשרד המשפטים, קבעה שמשאל עם ייקבע, במקרה שיוחלט על כך, בחוק יסוד, שניתן יהיה לשנותו רק בחוק יסוד חדש, שיתקבל ברוב של 61 ח"כים. </w:t>
      </w:r>
      <w:r w:rsidRPr="00DA4CB5">
        <w:rPr>
          <w:rFonts w:ascii="Arial" w:hAnsi="Arial" w:cs="Arial"/>
          <w:sz w:val="18"/>
          <w:szCs w:val="18"/>
          <w:rtl/>
        </w:rPr>
        <w:br/>
      </w:r>
      <w:r w:rsidRPr="00DA4CB5">
        <w:rPr>
          <w:rFonts w:ascii="Arial" w:hAnsi="Arial" w:cs="Arial"/>
          <w:sz w:val="18"/>
          <w:szCs w:val="18"/>
          <w:rtl/>
        </w:rPr>
        <w:br/>
        <w:t xml:space="preserve">העובדה שהכנסת קבעה את החובה לקיים משאל עם בחוק רגיל, תאפשר גמישות בבוא היום. על רקע נסיבות פוליטיות מסוימות, ניתן יהיה לבטל את החובה בחוק רגיל שיתקבל ברוב רגיל של המשתתפים בהצבעה. הואיל ומדובר בחוק "רגיל", החוק החדש כפוף לביקורת שיפוטית-חוקתית של בג"ץ. המתנגדים לקיום משאל עם כמוסד ממשלי, יוכלו לטעון בעתירה כי שינוי כזה בסדרי הממשל נוגד את עקרונותיו של חוק יסוד: הכנסת ולפיכך בטל. לו התקבל מוסד משאל העם בחוק יסוד, סביר להניח שהוא היה נחשב חסין מביקורת שיפוטית. </w:t>
      </w:r>
      <w:r w:rsidRPr="00DA4CB5">
        <w:rPr>
          <w:rFonts w:ascii="Arial" w:hAnsi="Arial" w:cs="Arial"/>
          <w:sz w:val="18"/>
          <w:szCs w:val="18"/>
          <w:rtl/>
        </w:rPr>
        <w:br/>
      </w:r>
      <w:r w:rsidRPr="00DA4CB5">
        <w:rPr>
          <w:rFonts w:ascii="Arial" w:hAnsi="Arial" w:cs="Arial"/>
          <w:sz w:val="18"/>
          <w:szCs w:val="18"/>
          <w:rtl/>
        </w:rPr>
        <w:br/>
      </w:r>
      <w:r w:rsidRPr="00395A83">
        <w:rPr>
          <w:rFonts w:ascii="Arial" w:hAnsi="Arial" w:cs="Arial"/>
          <w:sz w:val="18"/>
          <w:szCs w:val="18"/>
          <w:rtl/>
        </w:rPr>
        <w:t xml:space="preserve">באשר לעקרונות משאל העם, נותן החוק תשובות לשאלות מורכבות. </w:t>
      </w:r>
      <w:r w:rsidRPr="00DA4CB5">
        <w:rPr>
          <w:rFonts w:ascii="Arial" w:hAnsi="Arial" w:cs="Arial"/>
          <w:sz w:val="18"/>
          <w:szCs w:val="18"/>
          <w:highlight w:val="yellow"/>
          <w:rtl/>
        </w:rPr>
        <w:t xml:space="preserve">הוא כובל את הממשלה בכוחה לחתום הסכם לביטול החלת המשפט, השיפוט והמינהל הישראלי, וכופף אותו לאישור הכנסת. ההסכם צריך להתקבל ברוב של 61 ח"כים ומותנה באישור במשאל עם, שייערך לאחר מכן. החובה לקיים משאל עם </w:t>
      </w:r>
      <w:r w:rsidRPr="00DA4CB5">
        <w:rPr>
          <w:rFonts w:ascii="Arial" w:hAnsi="Arial" w:cs="Arial"/>
          <w:b/>
          <w:bCs/>
          <w:sz w:val="18"/>
          <w:szCs w:val="18"/>
          <w:highlight w:val="yellow"/>
          <w:rtl/>
        </w:rPr>
        <w:t>לא תחול</w:t>
      </w:r>
      <w:r w:rsidRPr="00DA4CB5">
        <w:rPr>
          <w:rFonts w:ascii="Arial" w:hAnsi="Arial" w:cs="Arial"/>
          <w:sz w:val="18"/>
          <w:szCs w:val="18"/>
          <w:highlight w:val="yellow"/>
          <w:rtl/>
        </w:rPr>
        <w:t>, אם תאשר הכנסת את ההסכם ברוב של שני שלישים (80 ח"כים), הנחשב מאז ומתמיד לרוב מיוחד ומיוחס, המחייב הסכמה בין הגושים הפוליטיים הגדולים.</w:t>
      </w:r>
      <w:r w:rsidRPr="00DA4CB5">
        <w:rPr>
          <w:rFonts w:ascii="Arial" w:hAnsi="Arial" w:cs="Arial"/>
          <w:sz w:val="18"/>
          <w:szCs w:val="18"/>
          <w:rtl/>
        </w:rPr>
        <w:t xml:space="preserve"> </w:t>
      </w:r>
      <w:r w:rsidRPr="00DA4CB5">
        <w:rPr>
          <w:rFonts w:ascii="Arial" w:hAnsi="Arial" w:cs="Arial"/>
          <w:sz w:val="18"/>
          <w:szCs w:val="18"/>
          <w:rtl/>
        </w:rPr>
        <w:br/>
      </w:r>
      <w:r w:rsidRPr="00DA4CB5">
        <w:rPr>
          <w:rFonts w:ascii="Arial" w:hAnsi="Arial" w:cs="Arial"/>
          <w:sz w:val="18"/>
          <w:szCs w:val="18"/>
          <w:rtl/>
        </w:rPr>
        <w:br/>
      </w:r>
      <w:r w:rsidRPr="00DA4CB5">
        <w:rPr>
          <w:rFonts w:ascii="Arial" w:hAnsi="Arial" w:cs="Arial"/>
          <w:sz w:val="18"/>
          <w:szCs w:val="18"/>
          <w:highlight w:val="yellow"/>
          <w:rtl/>
        </w:rPr>
        <w:t xml:space="preserve">החוק עצמו קובע את נוסח השאלה שתוצג - האם את/אתה בעד או נגד ההסכם שאישרה הכנסת? - ובכך נחסך הוויכוח המוכר במדינות אחרות סביב ניסוח השאלה במשאל. </w:t>
      </w:r>
      <w:r w:rsidRPr="00395A83">
        <w:rPr>
          <w:rFonts w:ascii="Arial" w:hAnsi="Arial" w:cs="Arial"/>
          <w:sz w:val="18"/>
          <w:szCs w:val="18"/>
          <w:rtl/>
        </w:rPr>
        <w:t xml:space="preserve">החוק נותן גם תשובה החלטית </w:t>
      </w:r>
      <w:r w:rsidRPr="00DA4CB5">
        <w:rPr>
          <w:rFonts w:ascii="Arial" w:hAnsi="Arial" w:cs="Arial"/>
          <w:sz w:val="18"/>
          <w:szCs w:val="18"/>
          <w:highlight w:val="yellow"/>
          <w:rtl/>
        </w:rPr>
        <w:t>בדבר שאלת הרוב הנדרש להכרעה. הרוב הוא - רוב הקולות הכשרים של המשתתפים במשאל. המשאל ייחשב כמאשר את ההסכם אם "היה מספר המצביעים בעד גדול ממספר המצביעים נגד".</w:t>
      </w:r>
      <w:r w:rsidRPr="00DA4CB5">
        <w:rPr>
          <w:rFonts w:ascii="Arial" w:hAnsi="Arial" w:cs="Arial"/>
          <w:sz w:val="18"/>
          <w:szCs w:val="18"/>
          <w:rtl/>
        </w:rPr>
        <w:t xml:space="preserve"> </w:t>
      </w:r>
      <w:r w:rsidRPr="00DA4CB5">
        <w:rPr>
          <w:rFonts w:ascii="Arial" w:hAnsi="Arial" w:cs="Arial"/>
          <w:sz w:val="18"/>
          <w:szCs w:val="18"/>
          <w:rtl/>
        </w:rPr>
        <w:br/>
      </w:r>
      <w:r w:rsidRPr="00DA4CB5">
        <w:rPr>
          <w:rFonts w:ascii="Arial" w:hAnsi="Arial" w:cs="Arial"/>
          <w:sz w:val="18"/>
          <w:szCs w:val="18"/>
          <w:rtl/>
        </w:rPr>
        <w:br/>
        <w:t xml:space="preserve">קבלת החוק, הקובע לראשונה חובה לקיים משאל עם, מסיימת ויכוח בנושא שראשיתו בשנות ה-50, סביב קבלת השילומים מגרמניה. משאלי עם מקובלים ברוב מדינות העולם הדמוקרטי, להוציא ארצות הברית במישור הפדרלי, גרמניה ויפן. משאלי עם נערכו בנושא ההצטרפות לשוק המשותף גם בבריטניה - "אם הפרלמנטים" - שאינה רואה בכך המעטה בלתי-ראויה בכוחו של הפרלמנט. </w:t>
      </w:r>
      <w:r w:rsidRPr="00DA4CB5">
        <w:rPr>
          <w:rFonts w:ascii="Arial" w:hAnsi="Arial" w:cs="Arial"/>
          <w:sz w:val="18"/>
          <w:szCs w:val="18"/>
          <w:rtl/>
        </w:rPr>
        <w:br/>
      </w:r>
      <w:r w:rsidRPr="00DA4CB5">
        <w:rPr>
          <w:rFonts w:ascii="Arial" w:hAnsi="Arial" w:cs="Arial"/>
          <w:sz w:val="18"/>
          <w:szCs w:val="18"/>
          <w:rtl/>
        </w:rPr>
        <w:br/>
        <w:t>החוק, כפי שהתקבל אתמול, מייחד את המשאל לנושא מסוים ומוגדר, הרגיש במיוחד בהוויה הישראלית. נותר לראות אם יהיה בו כדי ליצור תשתית ותקדים להנהגת משאל עם בנושאים רבים אחרים. לכך מתנגדים מומחים רבים הרואים במשאלי עם הכרעה חדה מדי וחידוד מחלוקות ומתחים בחברה מקוטבת.</w:t>
      </w:r>
    </w:p>
    <w:p w:rsidR="005366A8" w:rsidRPr="00933863" w:rsidRDefault="005366A8" w:rsidP="005366A8">
      <w:pPr>
        <w:rPr>
          <w:sz w:val="16"/>
          <w:szCs w:val="16"/>
          <w:vertAlign w:val="subscript"/>
          <w:rtl/>
        </w:rPr>
      </w:pPr>
      <w:r>
        <w:rPr>
          <w:rFonts w:ascii="Arial" w:hAnsi="Arial" w:cs="Arial" w:hint="cs"/>
          <w:sz w:val="16"/>
          <w:szCs w:val="16"/>
          <w:rtl/>
        </w:rPr>
        <w:t>=-=</w:t>
      </w:r>
    </w:p>
    <w:p w:rsidR="005366A8" w:rsidRPr="00503F35" w:rsidRDefault="005366A8" w:rsidP="005366A8">
      <w:pPr>
        <w:rPr>
          <w:sz w:val="18"/>
          <w:szCs w:val="18"/>
          <w:rtl/>
        </w:rPr>
      </w:pPr>
    </w:p>
    <w:p w:rsidR="005366A8" w:rsidRPr="00911649" w:rsidRDefault="005366A8" w:rsidP="005366A8">
      <w:pPr>
        <w:pStyle w:val="T-body"/>
        <w:spacing w:after="120" w:line="240" w:lineRule="auto"/>
        <w:rPr>
          <w:sz w:val="20"/>
          <w:szCs w:val="20"/>
          <w:rtl/>
        </w:rPr>
      </w:pPr>
      <w:r w:rsidRPr="00911649">
        <w:rPr>
          <w:rFonts w:hint="cs"/>
          <w:sz w:val="20"/>
          <w:szCs w:val="20"/>
          <w:highlight w:val="yellow"/>
          <w:u w:val="single"/>
          <w:rtl/>
        </w:rPr>
        <w:t xml:space="preserve">המשך לנקודה </w:t>
      </w:r>
      <w:r>
        <w:rPr>
          <w:rFonts w:hint="cs"/>
          <w:sz w:val="20"/>
          <w:szCs w:val="20"/>
          <w:highlight w:val="yellow"/>
          <w:u w:val="single"/>
          <w:rtl/>
        </w:rPr>
        <w:t>שלעיל</w:t>
      </w:r>
      <w:r w:rsidRPr="00911649">
        <w:rPr>
          <w:rFonts w:hint="cs"/>
          <w:sz w:val="20"/>
          <w:szCs w:val="20"/>
          <w:highlight w:val="yellow"/>
          <w:rtl/>
        </w:rPr>
        <w:t>:</w:t>
      </w:r>
      <w:r w:rsidRPr="00911649">
        <w:rPr>
          <w:rFonts w:hint="cs"/>
          <w:sz w:val="20"/>
          <w:szCs w:val="20"/>
          <w:rtl/>
        </w:rPr>
        <w:t xml:space="preserve"> קבלת מנגנון של </w:t>
      </w:r>
      <w:r w:rsidRPr="00911649">
        <w:rPr>
          <w:rFonts w:hint="cs"/>
          <w:b/>
          <w:bCs/>
          <w:sz w:val="20"/>
          <w:szCs w:val="20"/>
          <w:rtl/>
        </w:rPr>
        <w:t>משאל-עם ביחס להכרעה מסוג מסוים</w:t>
      </w:r>
      <w:r w:rsidRPr="00911649">
        <w:rPr>
          <w:rFonts w:hint="cs"/>
          <w:sz w:val="20"/>
          <w:szCs w:val="20"/>
          <w:rtl/>
        </w:rPr>
        <w:t xml:space="preserve"> </w:t>
      </w:r>
      <w:r w:rsidRPr="00911649">
        <w:rPr>
          <w:sz w:val="20"/>
          <w:szCs w:val="20"/>
          <w:rtl/>
        </w:rPr>
        <w:t>–</w:t>
      </w:r>
      <w:r w:rsidRPr="00911649">
        <w:rPr>
          <w:rFonts w:hint="cs"/>
          <w:sz w:val="20"/>
          <w:szCs w:val="20"/>
          <w:rtl/>
        </w:rPr>
        <w:t xml:space="preserve"> העברת שטח מריבונותה של ישראל.</w:t>
      </w:r>
      <w:r>
        <w:rPr>
          <w:rFonts w:hint="cs"/>
          <w:sz w:val="20"/>
          <w:szCs w:val="20"/>
          <w:rtl/>
        </w:rPr>
        <w:t xml:space="preserve"> </w:t>
      </w:r>
    </w:p>
    <w:p w:rsidR="005366A8" w:rsidRDefault="005366A8" w:rsidP="005366A8">
      <w:pPr>
        <w:pStyle w:val="T-body"/>
        <w:spacing w:after="120" w:line="240" w:lineRule="auto"/>
        <w:rPr>
          <w:sz w:val="20"/>
          <w:szCs w:val="20"/>
          <w:highlight w:val="yellow"/>
          <w:rtl/>
        </w:rPr>
      </w:pPr>
      <w:r w:rsidRPr="00DA6CA7">
        <w:rPr>
          <w:rFonts w:hint="cs"/>
          <w:sz w:val="20"/>
          <w:szCs w:val="20"/>
          <w:highlight w:val="yellow"/>
          <w:rtl/>
        </w:rPr>
        <w:t>שימו לב, לא מדובר בסייג להחזרת "השטחים" (</w:t>
      </w:r>
      <w:r>
        <w:rPr>
          <w:rFonts w:hint="cs"/>
          <w:sz w:val="20"/>
          <w:szCs w:val="20"/>
          <w:highlight w:val="yellow"/>
          <w:rtl/>
        </w:rPr>
        <w:t>"</w:t>
      </w:r>
      <w:r w:rsidRPr="00DA6CA7">
        <w:rPr>
          <w:rFonts w:hint="cs"/>
          <w:sz w:val="20"/>
          <w:szCs w:val="20"/>
          <w:highlight w:val="yellow"/>
          <w:rtl/>
        </w:rPr>
        <w:t xml:space="preserve">השטחים </w:t>
      </w:r>
      <w:r>
        <w:rPr>
          <w:rFonts w:hint="cs"/>
          <w:sz w:val="20"/>
          <w:szCs w:val="20"/>
          <w:highlight w:val="yellow"/>
          <w:rtl/>
        </w:rPr>
        <w:t xml:space="preserve">הכבושים"/ "השטחים </w:t>
      </w:r>
      <w:r w:rsidRPr="00DA6CA7">
        <w:rPr>
          <w:rFonts w:hint="cs"/>
          <w:sz w:val="20"/>
          <w:szCs w:val="20"/>
          <w:highlight w:val="yellow"/>
          <w:rtl/>
        </w:rPr>
        <w:t>המוחזקים</w:t>
      </w:r>
      <w:r>
        <w:rPr>
          <w:rFonts w:hint="cs"/>
          <w:sz w:val="20"/>
          <w:szCs w:val="20"/>
          <w:highlight w:val="yellow"/>
          <w:rtl/>
        </w:rPr>
        <w:t>"</w:t>
      </w:r>
      <w:r w:rsidRPr="00DA6CA7">
        <w:rPr>
          <w:rFonts w:hint="cs"/>
          <w:sz w:val="20"/>
          <w:szCs w:val="20"/>
          <w:highlight w:val="yellow"/>
          <w:rtl/>
        </w:rPr>
        <w:t xml:space="preserve">) או חלק מהם, אלא הוצאה מריבונותה של ישראל של שטח שהוא שטח שלה מלפני 1967 או </w:t>
      </w:r>
      <w:r>
        <w:rPr>
          <w:rFonts w:hint="cs"/>
          <w:sz w:val="20"/>
          <w:szCs w:val="20"/>
          <w:highlight w:val="yellow"/>
          <w:rtl/>
        </w:rPr>
        <w:t>שטח שנכבש/נתפס ב-1967 וסופח</w:t>
      </w:r>
      <w:r w:rsidRPr="00DA6CA7">
        <w:rPr>
          <w:rFonts w:hint="cs"/>
          <w:sz w:val="20"/>
          <w:szCs w:val="20"/>
          <w:highlight w:val="yellow"/>
          <w:rtl/>
        </w:rPr>
        <w:t xml:space="preserve"> אליה: </w:t>
      </w:r>
      <w:r>
        <w:rPr>
          <w:rFonts w:hint="cs"/>
          <w:sz w:val="20"/>
          <w:szCs w:val="20"/>
          <w:highlight w:val="yellow"/>
          <w:rtl/>
        </w:rPr>
        <w:t xml:space="preserve">כלומר, </w:t>
      </w:r>
      <w:r w:rsidRPr="00DA6CA7">
        <w:rPr>
          <w:rFonts w:hint="cs"/>
          <w:sz w:val="20"/>
          <w:szCs w:val="20"/>
          <w:highlight w:val="yellow"/>
          <w:rtl/>
        </w:rPr>
        <w:t>ירושלים המזרחית ורמת הגולן.</w:t>
      </w:r>
      <w:r>
        <w:rPr>
          <w:rFonts w:hint="cs"/>
          <w:sz w:val="20"/>
          <w:szCs w:val="20"/>
          <w:highlight w:val="yellow"/>
          <w:rtl/>
        </w:rPr>
        <w:t xml:space="preserve"> </w:t>
      </w:r>
    </w:p>
    <w:p w:rsidR="005366A8" w:rsidRPr="0030735F" w:rsidRDefault="005366A8" w:rsidP="005366A8">
      <w:pPr>
        <w:pStyle w:val="T-body"/>
        <w:spacing w:after="120" w:line="240" w:lineRule="auto"/>
        <w:rPr>
          <w:i/>
          <w:iCs/>
          <w:sz w:val="20"/>
          <w:szCs w:val="20"/>
          <w:rtl/>
        </w:rPr>
      </w:pPr>
      <w:r w:rsidRPr="0030735F">
        <w:rPr>
          <w:rFonts w:hint="cs"/>
          <w:i/>
          <w:iCs/>
          <w:sz w:val="20"/>
          <w:szCs w:val="20"/>
          <w:highlight w:val="yellow"/>
          <w:rtl/>
        </w:rPr>
        <w:t>[אגב, סיפוחים אלה אינם מוכרים מבחינת המשפט הבינלאומי, אך כאן אנו עוסקים במשפט הפנימי-החוקתי של ישראל.</w:t>
      </w:r>
      <w:r w:rsidRPr="0030735F">
        <w:rPr>
          <w:rFonts w:hint="cs"/>
          <w:i/>
          <w:iCs/>
          <w:sz w:val="20"/>
          <w:szCs w:val="20"/>
          <w:rtl/>
        </w:rPr>
        <w:t>]</w:t>
      </w:r>
    </w:p>
    <w:p w:rsidR="005366A8" w:rsidRDefault="005366A8" w:rsidP="005366A8">
      <w:pPr>
        <w:rPr>
          <w:rFonts w:ascii="Arial" w:hAnsi="Arial" w:cs="Arial"/>
          <w:rtl/>
        </w:rPr>
      </w:pPr>
      <w:r>
        <w:rPr>
          <w:rFonts w:ascii="Arial" w:hAnsi="Arial" w:cs="Arial"/>
          <w:vertAlign w:val="subscript"/>
          <w:rtl/>
        </w:rPr>
        <w:t>עודכן ב- 06:24 29/11/2010</w:t>
      </w:r>
    </w:p>
    <w:p w:rsidR="005366A8" w:rsidRDefault="005366A8" w:rsidP="005366A8">
      <w:pPr>
        <w:pStyle w:val="Heading2"/>
        <w:rPr>
          <w:rFonts w:ascii="Arial" w:hAnsi="Arial" w:cs="Arial"/>
          <w:rtl/>
        </w:rPr>
      </w:pPr>
      <w:r>
        <w:rPr>
          <w:rFonts w:ascii="Arial" w:hAnsi="Arial" w:cs="Arial"/>
          <w:rtl/>
        </w:rPr>
        <w:t xml:space="preserve">זאב סגל | משאל עם, הכרעה בגיליוטינה </w:t>
      </w:r>
    </w:p>
    <w:p w:rsidR="005366A8" w:rsidRDefault="005366A8" w:rsidP="005366A8">
      <w:pPr>
        <w:rPr>
          <w:rFonts w:ascii="Arial" w:hAnsi="Arial" w:cs="Arial"/>
          <w:rtl/>
        </w:rPr>
      </w:pPr>
      <w:r>
        <w:rPr>
          <w:rFonts w:ascii="Arial" w:hAnsi="Arial" w:cs="Arial"/>
          <w:vertAlign w:val="subscript"/>
          <w:rtl/>
        </w:rPr>
        <w:t xml:space="preserve">מאת </w:t>
      </w:r>
      <w:hyperlink r:id="rId148" w:history="1">
        <w:r>
          <w:rPr>
            <w:rStyle w:val="Hyperlink"/>
            <w:rFonts w:ascii="Arial" w:hAnsi="Arial" w:cs="Arial"/>
            <w:vertAlign w:val="subscript"/>
            <w:rtl/>
          </w:rPr>
          <w:t>זאב סגל</w:t>
        </w:r>
      </w:hyperlink>
    </w:p>
    <w:p w:rsidR="005366A8" w:rsidRPr="003B267B" w:rsidRDefault="005366A8" w:rsidP="005366A8">
      <w:pPr>
        <w:rPr>
          <w:sz w:val="18"/>
          <w:szCs w:val="18"/>
          <w:rtl/>
        </w:rPr>
      </w:pPr>
      <w:r w:rsidRPr="003B267B">
        <w:rPr>
          <w:rFonts w:ascii="Arial" w:hAnsi="Arial" w:cs="Arial"/>
          <w:sz w:val="18"/>
          <w:szCs w:val="18"/>
          <w:rtl/>
        </w:rPr>
        <w:br/>
        <w:t xml:space="preserve">ביום שני שעבר, סמוך לחצות, חוללה הכנסת מהפיכה בדמוקרטיה הישראלית. ברוב של 65 נגד 33 היא קיבלה חוק "רגיל" שהחדיר לממשל לראשונה את מוסד משאל העם, שהוויכוחים סביבו נמשכים כ-60 שנה. </w:t>
      </w:r>
      <w:r w:rsidRPr="003B267B">
        <w:rPr>
          <w:rFonts w:ascii="Arial" w:hAnsi="Arial" w:cs="Arial"/>
          <w:sz w:val="18"/>
          <w:szCs w:val="18"/>
          <w:rtl/>
        </w:rPr>
        <w:br/>
      </w:r>
      <w:r w:rsidRPr="003B267B">
        <w:rPr>
          <w:rFonts w:ascii="Arial" w:hAnsi="Arial" w:cs="Arial"/>
          <w:sz w:val="18"/>
          <w:szCs w:val="18"/>
          <w:rtl/>
        </w:rPr>
        <w:br/>
        <w:t xml:space="preserve">החובה לקיים משאל עם מגבילה את עליונות הכנסת בעניין שנקבע בחוק - ביטול החלת המשפט, השיפוט והמינהל של מדינת ישראל במזרח ירושלים ורמת הגולן. </w:t>
      </w:r>
      <w:r w:rsidRPr="003B267B">
        <w:rPr>
          <w:rFonts w:ascii="Arial" w:hAnsi="Arial" w:cs="Arial" w:hint="cs"/>
          <w:sz w:val="18"/>
          <w:szCs w:val="18"/>
          <w:rtl/>
        </w:rPr>
        <w:t>[</w:t>
      </w:r>
      <w:r w:rsidRPr="003B267B">
        <w:rPr>
          <w:rFonts w:ascii="Arial" w:hAnsi="Arial" w:cs="David" w:hint="cs"/>
          <w:sz w:val="18"/>
          <w:szCs w:val="18"/>
          <w:rtl/>
        </w:rPr>
        <w:t xml:space="preserve">פרופ' סגל לא </w:t>
      </w:r>
      <w:r>
        <w:rPr>
          <w:rFonts w:ascii="Arial" w:hAnsi="Arial" w:cs="David" w:hint="cs"/>
          <w:sz w:val="18"/>
          <w:szCs w:val="18"/>
          <w:rtl/>
        </w:rPr>
        <w:t xml:space="preserve">לגמרי </w:t>
      </w:r>
      <w:r w:rsidRPr="003B267B">
        <w:rPr>
          <w:rFonts w:ascii="Arial" w:hAnsi="Arial" w:cs="David" w:hint="cs"/>
          <w:sz w:val="18"/>
          <w:szCs w:val="18"/>
          <w:rtl/>
        </w:rPr>
        <w:t>מדייק כאן: מדובר בכל שטח שמבחינת המשפט הפנימי נתפס כשטחה של ישראל, לאו דווקא מאותן טריטוריות שישראל סיפחה מתוך שטחים שנכבשו ב-1967</w:t>
      </w:r>
      <w:r w:rsidRPr="003B267B">
        <w:rPr>
          <w:rFonts w:ascii="Arial" w:hAnsi="Arial" w:cs="Arial" w:hint="cs"/>
          <w:sz w:val="18"/>
          <w:szCs w:val="18"/>
          <w:rtl/>
        </w:rPr>
        <w:t xml:space="preserve">] </w:t>
      </w:r>
      <w:r w:rsidRPr="003B267B">
        <w:rPr>
          <w:rFonts w:ascii="Arial" w:hAnsi="Arial" w:cs="Arial"/>
          <w:sz w:val="18"/>
          <w:szCs w:val="18"/>
          <w:rtl/>
        </w:rPr>
        <w:t xml:space="preserve">שינוי ממשלי כה בסיסי אמור היה להיקבע בחוק יסוד. </w:t>
      </w:r>
      <w:r w:rsidRPr="003B267B">
        <w:rPr>
          <w:rFonts w:ascii="Arial" w:hAnsi="Arial" w:cs="Arial"/>
          <w:sz w:val="18"/>
          <w:szCs w:val="18"/>
          <w:rtl/>
        </w:rPr>
        <w:br/>
      </w:r>
      <w:r w:rsidRPr="003B267B">
        <w:rPr>
          <w:rFonts w:ascii="Arial" w:hAnsi="Arial" w:cs="Arial"/>
          <w:sz w:val="18"/>
          <w:szCs w:val="18"/>
          <w:rtl/>
        </w:rPr>
        <w:br/>
        <w:t xml:space="preserve">הקביעה של חובת משאל העם בחוק רגיל תאפשר בבוא היום, לקראת הסדר במזרח ירושלים או ברמת הגולן, לבטלה בחוק שיתקבל ברוב רגיל. מכיוון שאין מדובר בחוק יסוד, החוק החדש גם כפוף לביקורת שיפוטית-חוקתית של בג"ץ. </w:t>
      </w:r>
      <w:r w:rsidRPr="003B267B">
        <w:rPr>
          <w:rFonts w:ascii="Arial" w:hAnsi="Arial" w:cs="Arial"/>
          <w:sz w:val="18"/>
          <w:szCs w:val="18"/>
          <w:highlight w:val="yellow"/>
          <w:rtl/>
        </w:rPr>
        <w:t>אפשר לטעון בצדק לפני שופטי בג"ץ, ששינוי כה עמוק בסדרי הממשל נוגד את עקרונות חוק יסוד: הכנסת, המציב את הכנסת כגוף עליון הקובע את כללי המשחק, ולפיכך הוא בטל.</w:t>
      </w:r>
      <w:r w:rsidRPr="003B267B">
        <w:rPr>
          <w:rFonts w:ascii="Arial" w:hAnsi="Arial" w:cs="Arial"/>
          <w:sz w:val="18"/>
          <w:szCs w:val="18"/>
          <w:rtl/>
        </w:rPr>
        <w:t xml:space="preserve"> </w:t>
      </w:r>
      <w:r w:rsidRPr="003B267B">
        <w:rPr>
          <w:rFonts w:ascii="Arial" w:hAnsi="Arial" w:cs="Arial"/>
          <w:sz w:val="18"/>
          <w:szCs w:val="18"/>
          <w:rtl/>
        </w:rPr>
        <w:br/>
      </w:r>
      <w:r w:rsidRPr="003B267B">
        <w:rPr>
          <w:rFonts w:ascii="Arial" w:hAnsi="Arial" w:cs="Arial"/>
          <w:sz w:val="18"/>
          <w:szCs w:val="18"/>
          <w:rtl/>
        </w:rPr>
        <w:br/>
        <w:t xml:space="preserve">ובכל זאת, חוק משאל העם קובע עובדות בשדה החוקתי ורושם ציון דרך בדיונים בסוגיה, שהחלו בשנות ה-50. בוויכוחים הסוערים בשאלה האם להסכים לקבלת שילומים מגרמניה, הציע חבר הכנסת מנחם בגין, שייערך משאל עם בעניין. במשך השנים הוצע לערוך משאלים על שינויים בשיטת הבחירות לכנסת, על ענייני דת ומדינה, בשאלת הסמכות לפסול התמודדות רשימות לכנסת וויתורים טריטוריאליים. </w:t>
      </w:r>
      <w:r w:rsidRPr="003B267B">
        <w:rPr>
          <w:rFonts w:ascii="Arial" w:hAnsi="Arial" w:cs="Arial"/>
          <w:sz w:val="18"/>
          <w:szCs w:val="18"/>
          <w:rtl/>
        </w:rPr>
        <w:br/>
      </w:r>
      <w:r w:rsidRPr="003B267B">
        <w:rPr>
          <w:rFonts w:ascii="Arial" w:hAnsi="Arial" w:cs="Arial"/>
          <w:sz w:val="18"/>
          <w:szCs w:val="18"/>
          <w:rtl/>
        </w:rPr>
        <w:br/>
        <w:t xml:space="preserve">ב-2004 אמר ראש הממשלה אז, אריאל שרון, כי ההצעה לקיים משאל עם על התוכנית לפנות יישובים מחבל עזה היא "רעיון טוב". שר האוצר אז, בנימין נתניהו, צידד במשאל עם על תוכנית ההתנתקות, כדי לשמור על "אחדות העם". </w:t>
      </w:r>
      <w:r w:rsidRPr="003B267B">
        <w:rPr>
          <w:rFonts w:ascii="Arial" w:hAnsi="Arial" w:cs="Arial"/>
          <w:sz w:val="18"/>
          <w:szCs w:val="18"/>
          <w:rtl/>
        </w:rPr>
        <w:br/>
      </w:r>
      <w:r w:rsidRPr="003B267B">
        <w:rPr>
          <w:rFonts w:ascii="Arial" w:hAnsi="Arial" w:cs="Arial"/>
          <w:sz w:val="18"/>
          <w:szCs w:val="18"/>
          <w:rtl/>
        </w:rPr>
        <w:br/>
        <w:t xml:space="preserve">לאחר שהתקבל בכנסת חוק יישום ההתנתקות טען ועד יישובי חבל עזה בבג"ץ שהחוק אינו חוקתי, מכיוון שהחלטה כה מהותית היתה צריכה להתקבל במשאל עם. בג"ץ דחה את העתירה וקבע ששיטת הממשל בישראל בנויה על "ממשל נציגים", שמוסד משאל העם אינו מוכר בה. </w:t>
      </w:r>
      <w:r w:rsidRPr="003B267B">
        <w:rPr>
          <w:rFonts w:ascii="Arial" w:hAnsi="Arial" w:cs="Arial"/>
          <w:sz w:val="18"/>
          <w:szCs w:val="18"/>
          <w:rtl/>
        </w:rPr>
        <w:br/>
      </w:r>
      <w:r w:rsidRPr="003B267B">
        <w:rPr>
          <w:rFonts w:ascii="Arial" w:hAnsi="Arial" w:cs="Arial"/>
          <w:sz w:val="18"/>
          <w:szCs w:val="18"/>
          <w:rtl/>
        </w:rPr>
        <w:br/>
        <w:t xml:space="preserve">בניגוד לעמדת נתניהו, הרואה במשאלי עם מתכון לחיזוק "אחדות העם", מיטב מומחי מדע המדינה מזהירים מפני הסכנה הטמונה בהם: חידוד המחלוקות בחברה המשוסעת. עם קבלת החוק הדגישה פרופ' מיכל שמיר מאוניברסיטת תל אביב, שמשאלים יובילו להעמקת הניגודים בחברה הישראלית המפולגת. </w:t>
      </w:r>
      <w:r w:rsidRPr="003B267B">
        <w:rPr>
          <w:rFonts w:ascii="Arial" w:hAnsi="Arial" w:cs="Arial"/>
          <w:sz w:val="18"/>
          <w:szCs w:val="18"/>
          <w:rtl/>
        </w:rPr>
        <w:br/>
      </w:r>
      <w:r w:rsidRPr="003B267B">
        <w:rPr>
          <w:rFonts w:ascii="Arial" w:hAnsi="Arial" w:cs="Arial"/>
          <w:sz w:val="18"/>
          <w:szCs w:val="18"/>
          <w:rtl/>
        </w:rPr>
        <w:br/>
        <w:t xml:space="preserve">אכן, אם מוסד המשאל יתאזרח אצלנו בעקבות התקדים החוקי שנוצר, לא יקשה לתאר הכרעות חדות במשאלי עם בנושאים שונים שבעקבותיהן יגברו המתחים בין ימין לשמאל, חילוניים ודתיים, יהודים וערבים. ישראל מושתתת על משטר פרלמנטרי המבוסס על פשרות פוליטיות והסכמות בין מגזרים. לא אחת מתקבלות פשרות לא ראויות, אבל אלה עדיפות בדרך כלל על פני הכרעות של גיליוטינה - דימוי מקובל בהתייחסות למשאלי עם שההחלטה בהם עשויה ליפול על חודם של קולות בודדים. </w:t>
      </w:r>
      <w:r w:rsidRPr="003B267B">
        <w:rPr>
          <w:rFonts w:ascii="Arial" w:hAnsi="Arial" w:cs="Arial"/>
          <w:sz w:val="18"/>
          <w:szCs w:val="18"/>
          <w:rtl/>
        </w:rPr>
        <w:br/>
      </w:r>
      <w:r w:rsidRPr="003B267B">
        <w:rPr>
          <w:rFonts w:ascii="Arial" w:hAnsi="Arial" w:cs="Arial"/>
          <w:sz w:val="18"/>
          <w:szCs w:val="18"/>
          <w:rtl/>
        </w:rPr>
        <w:br/>
        <w:t xml:space="preserve">משאלי עם מקובלים במדינות רבות. באירופה נערכו משאלים באשר להצטרפות לאיחוד האירופי ובאחרונה, בעניין אישור החוקה הכלל-אירופית. משאלים הם חלק ממטענן של דמוקרטיות רבות - להוציא ארצות הברית במישור הפדרלי, גרמניה ויפאן - ואי אפשר לטעון שעצם קיומם מנוגד לדמוקרטיה. </w:t>
      </w:r>
      <w:r w:rsidRPr="003B267B">
        <w:rPr>
          <w:rFonts w:ascii="Arial" w:hAnsi="Arial" w:cs="Arial"/>
          <w:sz w:val="18"/>
          <w:szCs w:val="18"/>
          <w:rtl/>
        </w:rPr>
        <w:br/>
      </w:r>
      <w:r w:rsidRPr="003B267B">
        <w:rPr>
          <w:rFonts w:ascii="Arial" w:hAnsi="Arial" w:cs="Arial"/>
          <w:sz w:val="18"/>
          <w:szCs w:val="18"/>
          <w:rtl/>
        </w:rPr>
        <w:br/>
        <w:t xml:space="preserve">התשובה לשאלה אם משאלי עם טובים לדמוקרטיה תלויה במציאות במדינה המדוברת. מה שטוב לאנגליה - שהמשאל שנערך בה ב-1975 בדבר ההישארות בשוק האירופי נועד לעקוף חילוקי דעות מפלגתיים - יכול להיות מסוכן לישראל. </w:t>
      </w:r>
      <w:r w:rsidRPr="003B267B">
        <w:rPr>
          <w:rFonts w:ascii="Arial" w:hAnsi="Arial" w:cs="Arial"/>
          <w:sz w:val="18"/>
          <w:szCs w:val="18"/>
          <w:rtl/>
        </w:rPr>
        <w:br/>
      </w:r>
      <w:r w:rsidRPr="003B267B">
        <w:rPr>
          <w:rFonts w:ascii="Arial" w:hAnsi="Arial" w:cs="Arial"/>
          <w:sz w:val="18"/>
          <w:szCs w:val="18"/>
          <w:rtl/>
        </w:rPr>
        <w:br/>
        <w:t>המוטיווציה של השלטון להשתמש במשאל עם כדי לפתור בעיות קואליציוניות, ולא כדי לשמוע את דעת הציבור בבעיה משמעותית, מוכרת בישראל כמו במדינות אחרות. אלא שאסור שחברה מקוטבת בתחומים רבים מאוד, הנעדרת חוקה, תשמש שדה ניסוי לכלי העלול להיות הרסני.</w:t>
      </w:r>
    </w:p>
    <w:p w:rsidR="005366A8" w:rsidRDefault="005366A8" w:rsidP="005366A8">
      <w:pPr>
        <w:rPr>
          <w:rtl/>
        </w:rPr>
      </w:pPr>
      <w:r>
        <w:rPr>
          <w:rFonts w:hint="cs"/>
          <w:rtl/>
        </w:rPr>
        <w:t>=-=</w:t>
      </w:r>
    </w:p>
    <w:p w:rsidR="005366A8" w:rsidRPr="00E25963" w:rsidRDefault="005366A8" w:rsidP="005366A8">
      <w:pPr>
        <w:rPr>
          <w:i/>
          <w:iCs/>
          <w:sz w:val="20"/>
          <w:szCs w:val="20"/>
          <w:rtl/>
        </w:rPr>
      </w:pPr>
      <w:r w:rsidRPr="00E25963">
        <w:rPr>
          <w:rFonts w:hint="cs"/>
          <w:i/>
          <w:iCs/>
          <w:sz w:val="20"/>
          <w:szCs w:val="20"/>
          <w:rtl/>
        </w:rPr>
        <w:t xml:space="preserve">[יש טענות נוספות כנגד </w:t>
      </w:r>
      <w:r w:rsidRPr="00E25963">
        <w:rPr>
          <w:i/>
          <w:iCs/>
          <w:sz w:val="20"/>
          <w:szCs w:val="20"/>
          <w:rtl/>
        </w:rPr>
        <w:t>–</w:t>
      </w:r>
      <w:r w:rsidRPr="00E25963">
        <w:rPr>
          <w:rFonts w:hint="cs"/>
          <w:i/>
          <w:iCs/>
          <w:sz w:val="20"/>
          <w:szCs w:val="20"/>
          <w:rtl/>
        </w:rPr>
        <w:t xml:space="preserve"> ויש טענות בעד </w:t>
      </w:r>
      <w:r w:rsidRPr="00E25963">
        <w:rPr>
          <w:i/>
          <w:iCs/>
          <w:sz w:val="20"/>
          <w:szCs w:val="20"/>
          <w:rtl/>
        </w:rPr>
        <w:t>–</w:t>
      </w:r>
      <w:r w:rsidRPr="00E25963">
        <w:rPr>
          <w:rFonts w:hint="cs"/>
          <w:i/>
          <w:iCs/>
          <w:sz w:val="20"/>
          <w:szCs w:val="20"/>
          <w:rtl/>
        </w:rPr>
        <w:t xml:space="preserve"> משאלי עם; לא נדון בהן כאן]</w:t>
      </w:r>
      <w:r>
        <w:rPr>
          <w:rFonts w:hint="cs"/>
          <w:i/>
          <w:iCs/>
          <w:sz w:val="20"/>
          <w:szCs w:val="20"/>
          <w:rtl/>
        </w:rPr>
        <w:t>.</w:t>
      </w:r>
    </w:p>
    <w:p w:rsidR="005366A8" w:rsidRDefault="005366A8" w:rsidP="005366A8">
      <w:pPr>
        <w:rPr>
          <w:sz w:val="20"/>
          <w:szCs w:val="20"/>
          <w:rtl/>
        </w:rPr>
      </w:pPr>
    </w:p>
    <w:p w:rsidR="005366A8" w:rsidRPr="0030735F" w:rsidRDefault="005366A8" w:rsidP="005366A8">
      <w:pPr>
        <w:rPr>
          <w:rFonts w:asciiTheme="minorBidi" w:hAnsiTheme="minorBidi" w:cstheme="minorBidi"/>
          <w:b/>
          <w:bCs/>
          <w:sz w:val="22"/>
          <w:szCs w:val="22"/>
          <w:rtl/>
        </w:rPr>
      </w:pPr>
      <w:r w:rsidRPr="0030735F">
        <w:rPr>
          <w:rFonts w:asciiTheme="minorBidi" w:hAnsiTheme="minorBidi" w:cstheme="minorBidi"/>
          <w:b/>
          <w:bCs/>
          <w:sz w:val="22"/>
          <w:szCs w:val="22"/>
          <w:rtl/>
        </w:rPr>
        <w:t xml:space="preserve">ג. </w:t>
      </w:r>
    </w:p>
    <w:p w:rsidR="005366A8" w:rsidRDefault="005366A8" w:rsidP="005366A8">
      <w:pPr>
        <w:rPr>
          <w:sz w:val="20"/>
          <w:szCs w:val="20"/>
          <w:rtl/>
        </w:rPr>
      </w:pPr>
    </w:p>
    <w:p w:rsidR="005366A8" w:rsidRDefault="005366A8" w:rsidP="005366A8">
      <w:pPr>
        <w:rPr>
          <w:sz w:val="20"/>
          <w:szCs w:val="20"/>
          <w:rtl/>
        </w:rPr>
      </w:pPr>
      <w:r>
        <w:rPr>
          <w:rFonts w:hint="cs"/>
          <w:sz w:val="20"/>
          <w:szCs w:val="20"/>
          <w:rtl/>
        </w:rPr>
        <w:t xml:space="preserve">כנגד התיקון לחוק הוגשה העתירה הבאה </w:t>
      </w:r>
      <w:r>
        <w:rPr>
          <w:sz w:val="20"/>
          <w:szCs w:val="20"/>
          <w:rtl/>
        </w:rPr>
        <w:t>–</w:t>
      </w:r>
      <w:r>
        <w:rPr>
          <w:rFonts w:hint="cs"/>
          <w:sz w:val="20"/>
          <w:szCs w:val="20"/>
          <w:rtl/>
        </w:rPr>
        <w:t xml:space="preserve"> וניתן בה צו על תנאי, המזמין את המדינה לשכנע בתקפותו של מהלכה</w:t>
      </w:r>
    </w:p>
    <w:p w:rsidR="005366A8" w:rsidRDefault="005366A8" w:rsidP="005366A8">
      <w:pPr>
        <w:rPr>
          <w:sz w:val="20"/>
          <w:szCs w:val="20"/>
          <w:rtl/>
        </w:rPr>
      </w:pPr>
      <w:r>
        <w:rPr>
          <w:rFonts w:hint="cs"/>
          <w:sz w:val="20"/>
          <w:szCs w:val="20"/>
          <w:rtl/>
        </w:rPr>
        <w:t xml:space="preserve">[ד"ר ותד, העותר, הוא </w:t>
      </w:r>
      <w:r w:rsidRPr="002E2450">
        <w:rPr>
          <w:sz w:val="20"/>
          <w:szCs w:val="20"/>
          <w:rtl/>
        </w:rPr>
        <w:t>מרצה בכיר למשפט חוקתי בבית-הספר למשפטים של המכללה האקדמית צפת</w:t>
      </w:r>
      <w:r>
        <w:rPr>
          <w:rFonts w:hint="cs"/>
          <w:sz w:val="20"/>
          <w:szCs w:val="20"/>
          <w:rtl/>
        </w:rPr>
        <w:t>, והוא גם בוגר מצטיין של הפקולטה]:</w:t>
      </w:r>
    </w:p>
    <w:p w:rsidR="005366A8" w:rsidRDefault="005366A8" w:rsidP="005366A8">
      <w:pPr>
        <w:rPr>
          <w:sz w:val="20"/>
          <w:szCs w:val="20"/>
          <w:rtl/>
        </w:rPr>
      </w:pPr>
    </w:p>
    <w:tbl>
      <w:tblPr>
        <w:bidiVisual/>
        <w:tblW w:w="0" w:type="auto"/>
        <w:tblInd w:w="27" w:type="dxa"/>
        <w:tblCellMar>
          <w:left w:w="0" w:type="dxa"/>
          <w:right w:w="0" w:type="dxa"/>
        </w:tblCellMar>
        <w:tblLook w:val="04A0"/>
      </w:tblPr>
      <w:tblGrid>
        <w:gridCol w:w="9828"/>
      </w:tblGrid>
      <w:tr w:rsidR="005366A8" w:rsidRPr="0032749A" w:rsidTr="001845AC">
        <w:trPr>
          <w:trHeight w:val="342"/>
        </w:trPr>
        <w:tc>
          <w:tcPr>
            <w:tcW w:w="9828" w:type="dxa"/>
            <w:tcMar>
              <w:top w:w="0" w:type="dxa"/>
              <w:left w:w="108" w:type="dxa"/>
              <w:bottom w:w="0" w:type="dxa"/>
              <w:right w:w="108" w:type="dxa"/>
            </w:tcMar>
            <w:hideMark/>
          </w:tcPr>
          <w:p w:rsidR="005366A8" w:rsidRPr="0032749A" w:rsidRDefault="005366A8" w:rsidP="001845AC">
            <w:pPr>
              <w:spacing w:line="193" w:lineRule="atLeast"/>
              <w:jc w:val="right"/>
              <w:rPr>
                <w:sz w:val="20"/>
                <w:szCs w:val="20"/>
              </w:rPr>
            </w:pPr>
            <w:bookmarkStart w:id="18" w:name="casename_body"/>
            <w:r w:rsidRPr="0032749A">
              <w:rPr>
                <w:rFonts w:cs="David" w:hint="cs"/>
                <w:b/>
                <w:bCs/>
                <w:sz w:val="20"/>
                <w:szCs w:val="20"/>
                <w:rtl/>
              </w:rPr>
              <w:t>בג"ץ </w:t>
            </w:r>
            <w:r w:rsidRPr="002E2450">
              <w:rPr>
                <w:rFonts w:cs="David" w:hint="cs"/>
                <w:b/>
                <w:bCs/>
                <w:sz w:val="20"/>
                <w:szCs w:val="20"/>
                <w:rtl/>
              </w:rPr>
              <w:t> </w:t>
            </w:r>
            <w:r w:rsidRPr="0032749A">
              <w:rPr>
                <w:rFonts w:cs="David" w:hint="cs"/>
                <w:b/>
                <w:bCs/>
                <w:sz w:val="20"/>
                <w:szCs w:val="20"/>
                <w:rtl/>
              </w:rPr>
              <w:t>9149/10</w:t>
            </w:r>
            <w:bookmarkEnd w:id="18"/>
          </w:p>
        </w:tc>
      </w:tr>
    </w:tbl>
    <w:p w:rsidR="005366A8" w:rsidRPr="0032749A" w:rsidRDefault="005366A8" w:rsidP="005366A8">
      <w:pPr>
        <w:rPr>
          <w:vanish/>
          <w:color w:val="000000"/>
          <w:sz w:val="20"/>
          <w:szCs w:val="20"/>
          <w:rtl/>
        </w:rPr>
      </w:pPr>
    </w:p>
    <w:tbl>
      <w:tblPr>
        <w:bidiVisual/>
        <w:tblW w:w="0" w:type="auto"/>
        <w:tblCellMar>
          <w:left w:w="0" w:type="dxa"/>
          <w:right w:w="0" w:type="dxa"/>
        </w:tblCellMar>
        <w:tblLook w:val="04A0"/>
      </w:tblPr>
      <w:tblGrid>
        <w:gridCol w:w="3284"/>
        <w:gridCol w:w="5238"/>
      </w:tblGrid>
      <w:tr w:rsidR="005366A8" w:rsidRPr="0032749A" w:rsidTr="001845AC">
        <w:trPr>
          <w:trHeight w:val="287"/>
        </w:trPr>
        <w:tc>
          <w:tcPr>
            <w:tcW w:w="3284" w:type="dxa"/>
            <w:tcMar>
              <w:top w:w="0" w:type="dxa"/>
              <w:left w:w="108" w:type="dxa"/>
              <w:bottom w:w="0" w:type="dxa"/>
              <w:right w:w="108" w:type="dxa"/>
            </w:tcMar>
            <w:hideMark/>
          </w:tcPr>
          <w:p w:rsidR="005366A8" w:rsidRPr="0032749A" w:rsidRDefault="005366A8" w:rsidP="001845AC">
            <w:pPr>
              <w:rPr>
                <w:sz w:val="20"/>
                <w:szCs w:val="20"/>
              </w:rPr>
            </w:pPr>
            <w:r w:rsidRPr="0032749A">
              <w:rPr>
                <w:rFonts w:cs="David" w:hint="cs"/>
                <w:sz w:val="20"/>
                <w:szCs w:val="20"/>
                <w:rtl/>
              </w:rPr>
              <w:t>לפני:  </w:t>
            </w:r>
          </w:p>
        </w:tc>
        <w:tc>
          <w:tcPr>
            <w:tcW w:w="5238" w:type="dxa"/>
            <w:tcMar>
              <w:top w:w="0" w:type="dxa"/>
              <w:left w:w="108" w:type="dxa"/>
              <w:bottom w:w="0" w:type="dxa"/>
              <w:right w:w="108" w:type="dxa"/>
            </w:tcMar>
            <w:hideMark/>
          </w:tcPr>
          <w:p w:rsidR="005366A8" w:rsidRPr="0032749A" w:rsidRDefault="005366A8" w:rsidP="001845AC">
            <w:pPr>
              <w:tabs>
                <w:tab w:val="left" w:pos="3663"/>
              </w:tabs>
              <w:rPr>
                <w:sz w:val="20"/>
                <w:szCs w:val="20"/>
              </w:rPr>
            </w:pPr>
            <w:r w:rsidRPr="0032749A">
              <w:rPr>
                <w:rFonts w:cs="David" w:hint="cs"/>
                <w:sz w:val="20"/>
                <w:szCs w:val="20"/>
                <w:rtl/>
              </w:rPr>
              <w:t>כבוד השופטת מ' נאור</w:t>
            </w:r>
            <w:r w:rsidRPr="002E2450">
              <w:rPr>
                <w:rFonts w:cs="David"/>
                <w:sz w:val="20"/>
                <w:szCs w:val="20"/>
                <w:rtl/>
              </w:rPr>
              <w:tab/>
            </w:r>
          </w:p>
        </w:tc>
      </w:tr>
      <w:tr w:rsidR="005366A8" w:rsidRPr="0032749A" w:rsidTr="001845AC">
        <w:trPr>
          <w:trHeight w:val="287"/>
        </w:trPr>
        <w:tc>
          <w:tcPr>
            <w:tcW w:w="3284" w:type="dxa"/>
            <w:tcMar>
              <w:top w:w="0" w:type="dxa"/>
              <w:left w:w="108" w:type="dxa"/>
              <w:bottom w:w="0" w:type="dxa"/>
              <w:right w:w="108" w:type="dxa"/>
            </w:tcMar>
            <w:hideMark/>
          </w:tcPr>
          <w:p w:rsidR="005366A8" w:rsidRPr="0032749A" w:rsidRDefault="005366A8" w:rsidP="001845AC">
            <w:pPr>
              <w:bidi w:val="0"/>
              <w:rPr>
                <w:sz w:val="20"/>
                <w:szCs w:val="20"/>
              </w:rPr>
            </w:pPr>
          </w:p>
        </w:tc>
        <w:tc>
          <w:tcPr>
            <w:tcW w:w="5238" w:type="dxa"/>
            <w:tcMar>
              <w:top w:w="0" w:type="dxa"/>
              <w:left w:w="108" w:type="dxa"/>
              <w:bottom w:w="0" w:type="dxa"/>
              <w:right w:w="108" w:type="dxa"/>
            </w:tcMar>
            <w:hideMark/>
          </w:tcPr>
          <w:p w:rsidR="005366A8" w:rsidRPr="0032749A" w:rsidRDefault="005366A8" w:rsidP="001845AC">
            <w:pPr>
              <w:rPr>
                <w:sz w:val="20"/>
                <w:szCs w:val="20"/>
              </w:rPr>
            </w:pPr>
            <w:r w:rsidRPr="0032749A">
              <w:rPr>
                <w:rFonts w:cs="David" w:hint="cs"/>
                <w:sz w:val="20"/>
                <w:szCs w:val="20"/>
                <w:rtl/>
              </w:rPr>
              <w:t>כבוד השופט</w:t>
            </w:r>
            <w:r w:rsidRPr="002E2450">
              <w:rPr>
                <w:rFonts w:cs="David" w:hint="cs"/>
                <w:sz w:val="20"/>
                <w:szCs w:val="20"/>
                <w:rtl/>
              </w:rPr>
              <w:t> </w:t>
            </w:r>
            <w:r w:rsidRPr="0032749A">
              <w:rPr>
                <w:rFonts w:cs="David" w:hint="cs"/>
                <w:sz w:val="20"/>
                <w:szCs w:val="20"/>
                <w:rtl/>
              </w:rPr>
              <w:t>א' רובינשטיין</w:t>
            </w:r>
          </w:p>
        </w:tc>
      </w:tr>
      <w:tr w:rsidR="005366A8" w:rsidRPr="0032749A" w:rsidTr="001845AC">
        <w:trPr>
          <w:trHeight w:val="287"/>
        </w:trPr>
        <w:tc>
          <w:tcPr>
            <w:tcW w:w="3284" w:type="dxa"/>
            <w:tcMar>
              <w:top w:w="0" w:type="dxa"/>
              <w:left w:w="108" w:type="dxa"/>
              <w:bottom w:w="0" w:type="dxa"/>
              <w:right w:w="108" w:type="dxa"/>
            </w:tcMar>
            <w:hideMark/>
          </w:tcPr>
          <w:p w:rsidR="005366A8" w:rsidRPr="0032749A" w:rsidRDefault="005366A8" w:rsidP="001845AC">
            <w:pPr>
              <w:bidi w:val="0"/>
              <w:rPr>
                <w:sz w:val="20"/>
                <w:szCs w:val="20"/>
              </w:rPr>
            </w:pPr>
            <w:bookmarkStart w:id="19" w:name="LastJudge"/>
            <w:bookmarkEnd w:id="19"/>
          </w:p>
        </w:tc>
        <w:tc>
          <w:tcPr>
            <w:tcW w:w="5238" w:type="dxa"/>
            <w:tcMar>
              <w:top w:w="0" w:type="dxa"/>
              <w:left w:w="108" w:type="dxa"/>
              <w:bottom w:w="0" w:type="dxa"/>
              <w:right w:w="108" w:type="dxa"/>
            </w:tcMar>
            <w:hideMark/>
          </w:tcPr>
          <w:p w:rsidR="005366A8" w:rsidRPr="002E2450" w:rsidRDefault="005366A8" w:rsidP="001845AC">
            <w:pPr>
              <w:rPr>
                <w:rFonts w:cs="David"/>
                <w:sz w:val="20"/>
                <w:szCs w:val="20"/>
                <w:rtl/>
              </w:rPr>
            </w:pPr>
            <w:r w:rsidRPr="0032749A">
              <w:rPr>
                <w:rFonts w:cs="David" w:hint="cs"/>
                <w:sz w:val="20"/>
                <w:szCs w:val="20"/>
                <w:rtl/>
              </w:rPr>
              <w:t>כבוד השופטת א' חיות</w:t>
            </w:r>
          </w:p>
          <w:p w:rsidR="005366A8" w:rsidRPr="0032749A" w:rsidRDefault="005366A8" w:rsidP="001845AC">
            <w:pPr>
              <w:rPr>
                <w:sz w:val="20"/>
                <w:szCs w:val="20"/>
              </w:rPr>
            </w:pPr>
          </w:p>
        </w:tc>
      </w:tr>
    </w:tbl>
    <w:p w:rsidR="005366A8" w:rsidRPr="0032749A" w:rsidRDefault="005366A8" w:rsidP="005366A8">
      <w:pPr>
        <w:rPr>
          <w:vanish/>
          <w:color w:val="000000"/>
          <w:sz w:val="20"/>
          <w:szCs w:val="20"/>
          <w:rtl/>
        </w:rPr>
      </w:pPr>
    </w:p>
    <w:tbl>
      <w:tblPr>
        <w:bidiVisual/>
        <w:tblW w:w="0" w:type="auto"/>
        <w:tblCellMar>
          <w:left w:w="0" w:type="dxa"/>
          <w:right w:w="0" w:type="dxa"/>
        </w:tblCellMar>
        <w:tblLook w:val="04A0"/>
      </w:tblPr>
      <w:tblGrid>
        <w:gridCol w:w="3284"/>
        <w:gridCol w:w="5238"/>
      </w:tblGrid>
      <w:tr w:rsidR="005366A8" w:rsidRPr="0032749A" w:rsidTr="001845AC">
        <w:tc>
          <w:tcPr>
            <w:tcW w:w="3284" w:type="dxa"/>
            <w:tcMar>
              <w:top w:w="0" w:type="dxa"/>
              <w:left w:w="108" w:type="dxa"/>
              <w:bottom w:w="0" w:type="dxa"/>
              <w:right w:w="108" w:type="dxa"/>
            </w:tcMar>
            <w:hideMark/>
          </w:tcPr>
          <w:p w:rsidR="005366A8" w:rsidRPr="0032749A" w:rsidRDefault="005366A8" w:rsidP="001845AC">
            <w:pPr>
              <w:rPr>
                <w:sz w:val="20"/>
                <w:szCs w:val="20"/>
              </w:rPr>
            </w:pPr>
            <w:bookmarkStart w:id="20" w:name="FirstAppellant"/>
            <w:r w:rsidRPr="0032749A">
              <w:rPr>
                <w:rFonts w:cs="David" w:hint="cs"/>
                <w:sz w:val="20"/>
                <w:szCs w:val="20"/>
                <w:rtl/>
              </w:rPr>
              <w:t>העותר:</w:t>
            </w:r>
            <w:bookmarkEnd w:id="20"/>
          </w:p>
        </w:tc>
        <w:tc>
          <w:tcPr>
            <w:tcW w:w="5238" w:type="dxa"/>
            <w:tcMar>
              <w:top w:w="0" w:type="dxa"/>
              <w:left w:w="108" w:type="dxa"/>
              <w:bottom w:w="0" w:type="dxa"/>
              <w:right w:w="108" w:type="dxa"/>
            </w:tcMar>
            <w:hideMark/>
          </w:tcPr>
          <w:p w:rsidR="005366A8" w:rsidRPr="0032749A" w:rsidRDefault="005366A8" w:rsidP="001845AC">
            <w:pPr>
              <w:rPr>
                <w:sz w:val="20"/>
                <w:szCs w:val="20"/>
              </w:rPr>
            </w:pPr>
            <w:r w:rsidRPr="0032749A">
              <w:rPr>
                <w:rFonts w:cs="David" w:hint="cs"/>
                <w:sz w:val="20"/>
                <w:szCs w:val="20"/>
                <w:rtl/>
              </w:rPr>
              <w:t>ד"ר מוחמד ס. ותד, עו"ד</w:t>
            </w:r>
          </w:p>
        </w:tc>
      </w:tr>
    </w:tbl>
    <w:p w:rsidR="005366A8" w:rsidRPr="0032749A" w:rsidRDefault="005366A8" w:rsidP="005366A8">
      <w:pPr>
        <w:spacing w:line="223" w:lineRule="atLeast"/>
        <w:rPr>
          <w:color w:val="000000"/>
          <w:sz w:val="20"/>
          <w:szCs w:val="20"/>
        </w:rPr>
      </w:pPr>
      <w:r w:rsidRPr="0032749A">
        <w:rPr>
          <w:color w:val="000000"/>
          <w:sz w:val="20"/>
          <w:szCs w:val="20"/>
        </w:rPr>
        <w:t>                                          </w:t>
      </w:r>
    </w:p>
    <w:tbl>
      <w:tblPr>
        <w:bidiVisual/>
        <w:tblW w:w="0" w:type="auto"/>
        <w:tblCellMar>
          <w:left w:w="0" w:type="dxa"/>
          <w:right w:w="0" w:type="dxa"/>
        </w:tblCellMar>
        <w:tblLook w:val="04A0"/>
      </w:tblPr>
      <w:tblGrid>
        <w:gridCol w:w="3284"/>
        <w:gridCol w:w="5238"/>
      </w:tblGrid>
      <w:tr w:rsidR="005366A8" w:rsidRPr="0032749A" w:rsidTr="001845AC">
        <w:tc>
          <w:tcPr>
            <w:tcW w:w="3284" w:type="dxa"/>
            <w:tcMar>
              <w:top w:w="0" w:type="dxa"/>
              <w:left w:w="108" w:type="dxa"/>
              <w:bottom w:w="0" w:type="dxa"/>
              <w:right w:w="108" w:type="dxa"/>
            </w:tcMar>
            <w:hideMark/>
          </w:tcPr>
          <w:p w:rsidR="005366A8" w:rsidRPr="0032749A" w:rsidRDefault="005366A8" w:rsidP="001845AC">
            <w:pPr>
              <w:bidi w:val="0"/>
              <w:rPr>
                <w:sz w:val="20"/>
                <w:szCs w:val="20"/>
              </w:rPr>
            </w:pPr>
          </w:p>
        </w:tc>
        <w:tc>
          <w:tcPr>
            <w:tcW w:w="5238" w:type="dxa"/>
            <w:tcMar>
              <w:top w:w="0" w:type="dxa"/>
              <w:left w:w="108" w:type="dxa"/>
              <w:bottom w:w="0" w:type="dxa"/>
              <w:right w:w="108" w:type="dxa"/>
            </w:tcMar>
            <w:hideMark/>
          </w:tcPr>
          <w:p w:rsidR="005366A8" w:rsidRPr="0032749A" w:rsidRDefault="005366A8" w:rsidP="001845AC">
            <w:pPr>
              <w:rPr>
                <w:sz w:val="20"/>
                <w:szCs w:val="20"/>
              </w:rPr>
            </w:pPr>
            <w:r w:rsidRPr="0032749A">
              <w:rPr>
                <w:rFonts w:cs="David" w:hint="cs"/>
                <w:sz w:val="20"/>
                <w:szCs w:val="20"/>
                <w:rtl/>
              </w:rPr>
              <w:t>נ</w:t>
            </w:r>
            <w:r w:rsidRPr="0032749A">
              <w:rPr>
                <w:sz w:val="20"/>
                <w:szCs w:val="20"/>
              </w:rPr>
              <w:t> </w:t>
            </w:r>
            <w:r w:rsidRPr="002E2450">
              <w:rPr>
                <w:sz w:val="20"/>
                <w:szCs w:val="20"/>
              </w:rPr>
              <w:t> </w:t>
            </w:r>
            <w:r w:rsidRPr="0032749A">
              <w:rPr>
                <w:rFonts w:cs="David" w:hint="cs"/>
                <w:sz w:val="20"/>
                <w:szCs w:val="20"/>
                <w:rtl/>
              </w:rPr>
              <w:t>ג</w:t>
            </w:r>
            <w:r w:rsidRPr="0032749A">
              <w:rPr>
                <w:sz w:val="20"/>
                <w:szCs w:val="20"/>
              </w:rPr>
              <w:t> </w:t>
            </w:r>
            <w:r w:rsidRPr="002E2450">
              <w:rPr>
                <w:sz w:val="20"/>
                <w:szCs w:val="20"/>
              </w:rPr>
              <w:t> </w:t>
            </w:r>
            <w:r w:rsidRPr="0032749A">
              <w:rPr>
                <w:rFonts w:cs="David" w:hint="cs"/>
                <w:sz w:val="20"/>
                <w:szCs w:val="20"/>
                <w:rtl/>
              </w:rPr>
              <w:t>ד</w:t>
            </w:r>
          </w:p>
        </w:tc>
      </w:tr>
    </w:tbl>
    <w:p w:rsidR="005366A8" w:rsidRPr="0032749A" w:rsidRDefault="005366A8" w:rsidP="005366A8">
      <w:pPr>
        <w:spacing w:line="223" w:lineRule="atLeast"/>
        <w:rPr>
          <w:color w:val="000000"/>
          <w:sz w:val="20"/>
          <w:szCs w:val="20"/>
          <w:rtl/>
        </w:rPr>
      </w:pPr>
      <w:r w:rsidRPr="0032749A">
        <w:rPr>
          <w:color w:val="000000"/>
          <w:sz w:val="20"/>
          <w:szCs w:val="20"/>
        </w:rPr>
        <w:t>                                                                                               </w:t>
      </w:r>
      <w:r w:rsidRPr="002E2450">
        <w:rPr>
          <w:color w:val="000000"/>
          <w:sz w:val="20"/>
          <w:szCs w:val="20"/>
        </w:rPr>
        <w:t> </w:t>
      </w:r>
      <w:r w:rsidRPr="0032749A">
        <w:rPr>
          <w:color w:val="000000"/>
          <w:sz w:val="20"/>
          <w:szCs w:val="20"/>
        </w:rPr>
        <w:t>    </w:t>
      </w:r>
    </w:p>
    <w:tbl>
      <w:tblPr>
        <w:bidiVisual/>
        <w:tblW w:w="0" w:type="auto"/>
        <w:tblCellMar>
          <w:left w:w="0" w:type="dxa"/>
          <w:right w:w="0" w:type="dxa"/>
        </w:tblCellMar>
        <w:tblLook w:val="04A0"/>
      </w:tblPr>
      <w:tblGrid>
        <w:gridCol w:w="3284"/>
        <w:gridCol w:w="5238"/>
      </w:tblGrid>
      <w:tr w:rsidR="005366A8" w:rsidRPr="0032749A" w:rsidTr="001845AC">
        <w:tc>
          <w:tcPr>
            <w:tcW w:w="3284" w:type="dxa"/>
            <w:tcMar>
              <w:top w:w="0" w:type="dxa"/>
              <w:left w:w="108" w:type="dxa"/>
              <w:bottom w:w="0" w:type="dxa"/>
              <w:right w:w="108" w:type="dxa"/>
            </w:tcMar>
            <w:hideMark/>
          </w:tcPr>
          <w:p w:rsidR="005366A8" w:rsidRPr="0032749A" w:rsidRDefault="005366A8" w:rsidP="001845AC">
            <w:pPr>
              <w:rPr>
                <w:sz w:val="20"/>
                <w:szCs w:val="20"/>
              </w:rPr>
            </w:pPr>
            <w:r w:rsidRPr="0032749A">
              <w:rPr>
                <w:rFonts w:cs="David" w:hint="cs"/>
                <w:sz w:val="20"/>
                <w:szCs w:val="20"/>
                <w:rtl/>
              </w:rPr>
              <w:t>המשיבים:</w:t>
            </w:r>
          </w:p>
        </w:tc>
        <w:tc>
          <w:tcPr>
            <w:tcW w:w="5238" w:type="dxa"/>
            <w:tcMar>
              <w:top w:w="0" w:type="dxa"/>
              <w:left w:w="108" w:type="dxa"/>
              <w:bottom w:w="0" w:type="dxa"/>
              <w:right w:w="108" w:type="dxa"/>
            </w:tcMar>
            <w:hideMark/>
          </w:tcPr>
          <w:p w:rsidR="005366A8" w:rsidRPr="0032749A" w:rsidRDefault="005366A8" w:rsidP="001845AC">
            <w:pPr>
              <w:rPr>
                <w:sz w:val="20"/>
                <w:szCs w:val="20"/>
              </w:rPr>
            </w:pPr>
            <w:r w:rsidRPr="0032749A">
              <w:rPr>
                <w:rFonts w:cs="David" w:hint="cs"/>
                <w:sz w:val="20"/>
                <w:szCs w:val="20"/>
                <w:rtl/>
              </w:rPr>
              <w:t>1. כנסת ישראל</w:t>
            </w:r>
          </w:p>
        </w:tc>
      </w:tr>
      <w:tr w:rsidR="005366A8" w:rsidRPr="0032749A" w:rsidTr="001845AC">
        <w:tc>
          <w:tcPr>
            <w:tcW w:w="3284" w:type="dxa"/>
            <w:tcMar>
              <w:top w:w="0" w:type="dxa"/>
              <w:left w:w="108" w:type="dxa"/>
              <w:bottom w:w="0" w:type="dxa"/>
              <w:right w:w="108" w:type="dxa"/>
            </w:tcMar>
            <w:hideMark/>
          </w:tcPr>
          <w:p w:rsidR="005366A8" w:rsidRPr="0032749A" w:rsidRDefault="005366A8" w:rsidP="001845AC">
            <w:pPr>
              <w:bidi w:val="0"/>
              <w:rPr>
                <w:sz w:val="20"/>
                <w:szCs w:val="20"/>
              </w:rPr>
            </w:pPr>
          </w:p>
        </w:tc>
        <w:tc>
          <w:tcPr>
            <w:tcW w:w="5238" w:type="dxa"/>
            <w:tcMar>
              <w:top w:w="0" w:type="dxa"/>
              <w:left w:w="108" w:type="dxa"/>
              <w:bottom w:w="0" w:type="dxa"/>
              <w:right w:w="108" w:type="dxa"/>
            </w:tcMar>
            <w:hideMark/>
          </w:tcPr>
          <w:p w:rsidR="005366A8" w:rsidRPr="0032749A" w:rsidRDefault="005366A8" w:rsidP="001845AC">
            <w:pPr>
              <w:rPr>
                <w:sz w:val="20"/>
                <w:szCs w:val="20"/>
              </w:rPr>
            </w:pPr>
            <w:r w:rsidRPr="0032749A">
              <w:rPr>
                <w:rFonts w:cs="David" w:hint="cs"/>
                <w:sz w:val="20"/>
                <w:szCs w:val="20"/>
                <w:rtl/>
              </w:rPr>
              <w:t>2. יושב ראש הכנסת השמונה עשרה, ראובן ריבלין</w:t>
            </w:r>
          </w:p>
        </w:tc>
      </w:tr>
      <w:tr w:rsidR="005366A8" w:rsidRPr="0032749A" w:rsidTr="001845AC">
        <w:tc>
          <w:tcPr>
            <w:tcW w:w="3284" w:type="dxa"/>
            <w:tcMar>
              <w:top w:w="0" w:type="dxa"/>
              <w:left w:w="108" w:type="dxa"/>
              <w:bottom w:w="0" w:type="dxa"/>
              <w:right w:w="108" w:type="dxa"/>
            </w:tcMar>
            <w:hideMark/>
          </w:tcPr>
          <w:p w:rsidR="005366A8" w:rsidRPr="0032749A" w:rsidRDefault="005366A8" w:rsidP="001845AC">
            <w:pPr>
              <w:bidi w:val="0"/>
              <w:rPr>
                <w:sz w:val="20"/>
                <w:szCs w:val="20"/>
              </w:rPr>
            </w:pPr>
          </w:p>
        </w:tc>
        <w:tc>
          <w:tcPr>
            <w:tcW w:w="5238" w:type="dxa"/>
            <w:tcMar>
              <w:top w:w="0" w:type="dxa"/>
              <w:left w:w="108" w:type="dxa"/>
              <w:bottom w:w="0" w:type="dxa"/>
              <w:right w:w="108" w:type="dxa"/>
            </w:tcMar>
            <w:hideMark/>
          </w:tcPr>
          <w:p w:rsidR="005366A8" w:rsidRPr="0032749A" w:rsidRDefault="005366A8" w:rsidP="001845AC">
            <w:pPr>
              <w:rPr>
                <w:sz w:val="20"/>
                <w:szCs w:val="20"/>
              </w:rPr>
            </w:pPr>
            <w:r w:rsidRPr="0032749A">
              <w:rPr>
                <w:rFonts w:cs="David" w:hint="cs"/>
                <w:sz w:val="20"/>
                <w:szCs w:val="20"/>
                <w:rtl/>
              </w:rPr>
              <w:t>3. ראש הממשלה</w:t>
            </w:r>
          </w:p>
        </w:tc>
      </w:tr>
      <w:tr w:rsidR="005366A8" w:rsidRPr="0032749A" w:rsidTr="001845AC">
        <w:tc>
          <w:tcPr>
            <w:tcW w:w="3284" w:type="dxa"/>
            <w:tcMar>
              <w:top w:w="0" w:type="dxa"/>
              <w:left w:w="108" w:type="dxa"/>
              <w:bottom w:w="0" w:type="dxa"/>
              <w:right w:w="108" w:type="dxa"/>
            </w:tcMar>
            <w:hideMark/>
          </w:tcPr>
          <w:p w:rsidR="005366A8" w:rsidRPr="0032749A" w:rsidRDefault="005366A8" w:rsidP="001845AC">
            <w:pPr>
              <w:bidi w:val="0"/>
              <w:rPr>
                <w:sz w:val="20"/>
                <w:szCs w:val="20"/>
              </w:rPr>
            </w:pPr>
          </w:p>
        </w:tc>
        <w:tc>
          <w:tcPr>
            <w:tcW w:w="5238" w:type="dxa"/>
            <w:tcMar>
              <w:top w:w="0" w:type="dxa"/>
              <w:left w:w="108" w:type="dxa"/>
              <w:bottom w:w="0" w:type="dxa"/>
              <w:right w:w="108" w:type="dxa"/>
            </w:tcMar>
            <w:hideMark/>
          </w:tcPr>
          <w:p w:rsidR="005366A8" w:rsidRPr="0032749A" w:rsidRDefault="005366A8" w:rsidP="001845AC">
            <w:pPr>
              <w:rPr>
                <w:sz w:val="20"/>
                <w:szCs w:val="20"/>
              </w:rPr>
            </w:pPr>
            <w:r w:rsidRPr="0032749A">
              <w:rPr>
                <w:rFonts w:cs="David" w:hint="cs"/>
                <w:sz w:val="20"/>
                <w:szCs w:val="20"/>
                <w:rtl/>
              </w:rPr>
              <w:t>4. שר הפנים</w:t>
            </w:r>
          </w:p>
        </w:tc>
      </w:tr>
      <w:tr w:rsidR="005366A8" w:rsidRPr="0032749A" w:rsidTr="001845AC">
        <w:tc>
          <w:tcPr>
            <w:tcW w:w="3284" w:type="dxa"/>
            <w:tcMar>
              <w:top w:w="0" w:type="dxa"/>
              <w:left w:w="108" w:type="dxa"/>
              <w:bottom w:w="0" w:type="dxa"/>
              <w:right w:w="108" w:type="dxa"/>
            </w:tcMar>
            <w:hideMark/>
          </w:tcPr>
          <w:p w:rsidR="005366A8" w:rsidRPr="0032749A" w:rsidRDefault="005366A8" w:rsidP="001845AC">
            <w:pPr>
              <w:bidi w:val="0"/>
              <w:rPr>
                <w:sz w:val="20"/>
                <w:szCs w:val="20"/>
              </w:rPr>
            </w:pPr>
          </w:p>
        </w:tc>
        <w:tc>
          <w:tcPr>
            <w:tcW w:w="5238" w:type="dxa"/>
            <w:tcMar>
              <w:top w:w="0" w:type="dxa"/>
              <w:left w:w="108" w:type="dxa"/>
              <w:bottom w:w="0" w:type="dxa"/>
              <w:right w:w="108" w:type="dxa"/>
            </w:tcMar>
            <w:hideMark/>
          </w:tcPr>
          <w:p w:rsidR="005366A8" w:rsidRPr="0032749A" w:rsidRDefault="005366A8" w:rsidP="001845AC">
            <w:pPr>
              <w:rPr>
                <w:sz w:val="20"/>
                <w:szCs w:val="20"/>
              </w:rPr>
            </w:pPr>
            <w:r w:rsidRPr="0032749A">
              <w:rPr>
                <w:rFonts w:cs="David" w:hint="cs"/>
                <w:sz w:val="20"/>
                <w:szCs w:val="20"/>
                <w:rtl/>
              </w:rPr>
              <w:t>5. נשיא המדינה</w:t>
            </w:r>
          </w:p>
        </w:tc>
      </w:tr>
    </w:tbl>
    <w:p w:rsidR="005366A8" w:rsidRPr="0032749A" w:rsidRDefault="005366A8" w:rsidP="005366A8">
      <w:pPr>
        <w:spacing w:line="223" w:lineRule="atLeast"/>
        <w:rPr>
          <w:color w:val="000000"/>
          <w:sz w:val="20"/>
          <w:szCs w:val="20"/>
          <w:rtl/>
        </w:rPr>
      </w:pPr>
      <w:r w:rsidRPr="0032749A">
        <w:rPr>
          <w:rFonts w:cs="FrankRuehl" w:hint="cs"/>
          <w:color w:val="000000"/>
          <w:sz w:val="20"/>
          <w:szCs w:val="20"/>
          <w:rtl/>
        </w:rPr>
        <w:t>                                          </w:t>
      </w:r>
    </w:p>
    <w:tbl>
      <w:tblPr>
        <w:bidiVisual/>
        <w:tblW w:w="0" w:type="auto"/>
        <w:tblInd w:w="3284" w:type="dxa"/>
        <w:tblCellMar>
          <w:left w:w="0" w:type="dxa"/>
          <w:right w:w="0" w:type="dxa"/>
        </w:tblCellMar>
        <w:tblLook w:val="04A0"/>
      </w:tblPr>
      <w:tblGrid>
        <w:gridCol w:w="5238"/>
      </w:tblGrid>
      <w:tr w:rsidR="005366A8" w:rsidRPr="0032749A" w:rsidTr="001845AC">
        <w:tc>
          <w:tcPr>
            <w:tcW w:w="5238" w:type="dxa"/>
            <w:tcMar>
              <w:top w:w="0" w:type="dxa"/>
              <w:left w:w="108" w:type="dxa"/>
              <w:bottom w:w="0" w:type="dxa"/>
              <w:right w:w="108" w:type="dxa"/>
            </w:tcMar>
            <w:hideMark/>
          </w:tcPr>
          <w:p w:rsidR="005366A8" w:rsidRPr="0032749A" w:rsidRDefault="005366A8" w:rsidP="001845AC">
            <w:pPr>
              <w:rPr>
                <w:sz w:val="20"/>
                <w:szCs w:val="20"/>
              </w:rPr>
            </w:pPr>
            <w:r w:rsidRPr="0032749A">
              <w:rPr>
                <w:rFonts w:cs="David" w:hint="cs"/>
                <w:sz w:val="20"/>
                <w:szCs w:val="20"/>
                <w:rtl/>
              </w:rPr>
              <w:t>עתירה למתן צו על תנאי</w:t>
            </w:r>
          </w:p>
        </w:tc>
      </w:tr>
    </w:tbl>
    <w:p w:rsidR="005366A8" w:rsidRPr="0032749A" w:rsidRDefault="005366A8" w:rsidP="005366A8">
      <w:pPr>
        <w:spacing w:line="223" w:lineRule="atLeast"/>
        <w:rPr>
          <w:color w:val="000000"/>
          <w:sz w:val="20"/>
          <w:szCs w:val="20"/>
          <w:rtl/>
        </w:rPr>
      </w:pPr>
      <w:r w:rsidRPr="0032749A">
        <w:rPr>
          <w:rFonts w:cs="FrankRuehl" w:hint="cs"/>
          <w:color w:val="000000"/>
          <w:sz w:val="20"/>
          <w:szCs w:val="20"/>
          <w:rtl/>
        </w:rPr>
        <w:t>                                          </w:t>
      </w:r>
    </w:p>
    <w:tbl>
      <w:tblPr>
        <w:bidiVisual/>
        <w:tblW w:w="8535" w:type="dxa"/>
        <w:tblInd w:w="27" w:type="dxa"/>
        <w:tblCellMar>
          <w:left w:w="0" w:type="dxa"/>
          <w:right w:w="0" w:type="dxa"/>
        </w:tblCellMar>
        <w:tblLook w:val="04A0"/>
      </w:tblPr>
      <w:tblGrid>
        <w:gridCol w:w="3257"/>
        <w:gridCol w:w="2301"/>
        <w:gridCol w:w="2977"/>
      </w:tblGrid>
      <w:tr w:rsidR="005366A8" w:rsidRPr="0032749A" w:rsidTr="001845AC">
        <w:tc>
          <w:tcPr>
            <w:tcW w:w="3257" w:type="dxa"/>
            <w:tcBorders>
              <w:top w:val="nil"/>
              <w:left w:val="nil"/>
              <w:bottom w:val="nil"/>
              <w:right w:val="nil"/>
            </w:tcBorders>
            <w:tcMar>
              <w:top w:w="0" w:type="dxa"/>
              <w:left w:w="108" w:type="dxa"/>
              <w:bottom w:w="0" w:type="dxa"/>
              <w:right w:w="108" w:type="dxa"/>
            </w:tcMar>
            <w:hideMark/>
          </w:tcPr>
          <w:p w:rsidR="005366A8" w:rsidRPr="0032749A" w:rsidRDefault="005366A8" w:rsidP="001845AC">
            <w:pPr>
              <w:rPr>
                <w:sz w:val="20"/>
                <w:szCs w:val="20"/>
              </w:rPr>
            </w:pPr>
            <w:r w:rsidRPr="0032749A">
              <w:rPr>
                <w:rFonts w:cs="David" w:hint="cs"/>
                <w:sz w:val="20"/>
                <w:szCs w:val="20"/>
                <w:rtl/>
              </w:rPr>
              <w:t>תאריך הישיבה:</w:t>
            </w:r>
          </w:p>
        </w:tc>
        <w:tc>
          <w:tcPr>
            <w:tcW w:w="2301" w:type="dxa"/>
            <w:tcBorders>
              <w:top w:val="nil"/>
              <w:left w:val="nil"/>
              <w:bottom w:val="nil"/>
              <w:right w:val="nil"/>
            </w:tcBorders>
            <w:tcMar>
              <w:top w:w="0" w:type="dxa"/>
              <w:left w:w="108" w:type="dxa"/>
              <w:bottom w:w="0" w:type="dxa"/>
              <w:right w:w="108" w:type="dxa"/>
            </w:tcMar>
            <w:hideMark/>
          </w:tcPr>
          <w:p w:rsidR="005366A8" w:rsidRPr="0032749A" w:rsidRDefault="005366A8" w:rsidP="001845AC">
            <w:pPr>
              <w:rPr>
                <w:sz w:val="20"/>
                <w:szCs w:val="20"/>
              </w:rPr>
            </w:pPr>
            <w:bookmarkStart w:id="21" w:name="xDate"/>
            <w:r w:rsidRPr="0032749A">
              <w:rPr>
                <w:rFonts w:cs="David" w:hint="cs"/>
                <w:sz w:val="20"/>
                <w:szCs w:val="20"/>
                <w:rtl/>
              </w:rPr>
              <w:t>כ"ה בכסלו התשע"ב</w:t>
            </w:r>
            <w:bookmarkEnd w:id="21"/>
            <w:r w:rsidRPr="0032749A">
              <w:rPr>
                <w:sz w:val="20"/>
                <w:szCs w:val="20"/>
              </w:rPr>
              <w:t>     </w:t>
            </w:r>
          </w:p>
        </w:tc>
        <w:tc>
          <w:tcPr>
            <w:tcW w:w="2977" w:type="dxa"/>
            <w:tcBorders>
              <w:top w:val="nil"/>
              <w:left w:val="nil"/>
              <w:bottom w:val="nil"/>
              <w:right w:val="nil"/>
            </w:tcBorders>
            <w:tcMar>
              <w:top w:w="0" w:type="dxa"/>
              <w:left w:w="108" w:type="dxa"/>
              <w:bottom w:w="0" w:type="dxa"/>
              <w:right w:w="108" w:type="dxa"/>
            </w:tcMar>
            <w:hideMark/>
          </w:tcPr>
          <w:p w:rsidR="005366A8" w:rsidRPr="002E2450" w:rsidRDefault="005366A8" w:rsidP="001845AC">
            <w:pPr>
              <w:rPr>
                <w:sz w:val="20"/>
                <w:szCs w:val="20"/>
                <w:rtl/>
              </w:rPr>
            </w:pPr>
            <w:bookmarkStart w:id="22" w:name="xGDate"/>
            <w:r w:rsidRPr="0032749A">
              <w:rPr>
                <w:sz w:val="20"/>
                <w:szCs w:val="20"/>
              </w:rPr>
              <w:t>(21.12.2011)</w:t>
            </w:r>
            <w:bookmarkEnd w:id="22"/>
          </w:p>
          <w:p w:rsidR="005366A8" w:rsidRPr="0032749A" w:rsidRDefault="005366A8" w:rsidP="001845AC">
            <w:pPr>
              <w:rPr>
                <w:sz w:val="20"/>
                <w:szCs w:val="20"/>
              </w:rPr>
            </w:pPr>
          </w:p>
        </w:tc>
      </w:tr>
    </w:tbl>
    <w:p w:rsidR="005366A8" w:rsidRPr="0032749A" w:rsidRDefault="005366A8" w:rsidP="005366A8">
      <w:pPr>
        <w:rPr>
          <w:vanish/>
          <w:color w:val="000000"/>
          <w:sz w:val="20"/>
          <w:szCs w:val="20"/>
          <w:rtl/>
        </w:rPr>
      </w:pPr>
    </w:p>
    <w:tbl>
      <w:tblPr>
        <w:bidiVisual/>
        <w:tblW w:w="0" w:type="auto"/>
        <w:tblInd w:w="27" w:type="dxa"/>
        <w:tblCellMar>
          <w:left w:w="0" w:type="dxa"/>
          <w:right w:w="0" w:type="dxa"/>
        </w:tblCellMar>
        <w:tblLook w:val="04A0"/>
      </w:tblPr>
      <w:tblGrid>
        <w:gridCol w:w="3257"/>
        <w:gridCol w:w="5238"/>
      </w:tblGrid>
      <w:tr w:rsidR="005366A8" w:rsidRPr="0032749A" w:rsidTr="001845AC">
        <w:tc>
          <w:tcPr>
            <w:tcW w:w="3257" w:type="dxa"/>
            <w:tcBorders>
              <w:top w:val="nil"/>
              <w:left w:val="nil"/>
              <w:bottom w:val="nil"/>
              <w:right w:val="nil"/>
            </w:tcBorders>
            <w:tcMar>
              <w:top w:w="0" w:type="dxa"/>
              <w:left w:w="108" w:type="dxa"/>
              <w:bottom w:w="0" w:type="dxa"/>
              <w:right w:w="108" w:type="dxa"/>
            </w:tcMar>
            <w:hideMark/>
          </w:tcPr>
          <w:p w:rsidR="005366A8" w:rsidRPr="0032749A" w:rsidRDefault="005366A8" w:rsidP="001845AC">
            <w:pPr>
              <w:rPr>
                <w:sz w:val="20"/>
                <w:szCs w:val="20"/>
              </w:rPr>
            </w:pPr>
            <w:r w:rsidRPr="0032749A">
              <w:rPr>
                <w:rFonts w:cs="David" w:hint="cs"/>
                <w:sz w:val="20"/>
                <w:szCs w:val="20"/>
                <w:rtl/>
              </w:rPr>
              <w:t>העותר:</w:t>
            </w:r>
          </w:p>
        </w:tc>
        <w:tc>
          <w:tcPr>
            <w:tcW w:w="5238" w:type="dxa"/>
            <w:tcBorders>
              <w:top w:val="nil"/>
              <w:left w:val="nil"/>
              <w:bottom w:val="nil"/>
              <w:right w:val="nil"/>
            </w:tcBorders>
            <w:tcMar>
              <w:top w:w="0" w:type="dxa"/>
              <w:left w:w="108" w:type="dxa"/>
              <w:bottom w:w="0" w:type="dxa"/>
              <w:right w:w="108" w:type="dxa"/>
            </w:tcMar>
            <w:hideMark/>
          </w:tcPr>
          <w:p w:rsidR="005366A8" w:rsidRPr="0032749A" w:rsidRDefault="005366A8" w:rsidP="001845AC">
            <w:pPr>
              <w:rPr>
                <w:sz w:val="20"/>
                <w:szCs w:val="20"/>
              </w:rPr>
            </w:pPr>
            <w:r w:rsidRPr="0032749A">
              <w:rPr>
                <w:rFonts w:cs="David" w:hint="cs"/>
                <w:sz w:val="20"/>
                <w:szCs w:val="20"/>
                <w:rtl/>
              </w:rPr>
              <w:t>בעצמו</w:t>
            </w:r>
          </w:p>
        </w:tc>
      </w:tr>
    </w:tbl>
    <w:p w:rsidR="005366A8" w:rsidRPr="0032749A" w:rsidRDefault="005366A8" w:rsidP="005366A8">
      <w:pPr>
        <w:rPr>
          <w:vanish/>
          <w:color w:val="000000"/>
          <w:sz w:val="20"/>
          <w:szCs w:val="20"/>
          <w:rtl/>
        </w:rPr>
      </w:pPr>
    </w:p>
    <w:tbl>
      <w:tblPr>
        <w:bidiVisual/>
        <w:tblW w:w="0" w:type="auto"/>
        <w:tblInd w:w="27" w:type="dxa"/>
        <w:tblCellMar>
          <w:left w:w="0" w:type="dxa"/>
          <w:right w:w="0" w:type="dxa"/>
        </w:tblCellMar>
        <w:tblLook w:val="04A0"/>
      </w:tblPr>
      <w:tblGrid>
        <w:gridCol w:w="3257"/>
        <w:gridCol w:w="5238"/>
      </w:tblGrid>
      <w:tr w:rsidR="005366A8" w:rsidRPr="0032749A" w:rsidTr="001845AC">
        <w:tc>
          <w:tcPr>
            <w:tcW w:w="3257" w:type="dxa"/>
            <w:tcBorders>
              <w:top w:val="nil"/>
              <w:left w:val="nil"/>
              <w:bottom w:val="nil"/>
              <w:right w:val="nil"/>
            </w:tcBorders>
            <w:tcMar>
              <w:top w:w="0" w:type="dxa"/>
              <w:left w:w="108" w:type="dxa"/>
              <w:bottom w:w="0" w:type="dxa"/>
              <w:right w:w="108" w:type="dxa"/>
            </w:tcMar>
            <w:hideMark/>
          </w:tcPr>
          <w:p w:rsidR="005366A8" w:rsidRPr="0032749A" w:rsidRDefault="005366A8" w:rsidP="001845AC">
            <w:pPr>
              <w:rPr>
                <w:sz w:val="20"/>
                <w:szCs w:val="20"/>
              </w:rPr>
            </w:pPr>
            <w:bookmarkStart w:id="23" w:name="FirstLawyer"/>
            <w:r w:rsidRPr="0032749A">
              <w:rPr>
                <w:rFonts w:cs="David" w:hint="cs"/>
                <w:sz w:val="20"/>
                <w:szCs w:val="20"/>
                <w:rtl/>
              </w:rPr>
              <w:t>בשם המשיבים 2-1:</w:t>
            </w:r>
            <w:bookmarkEnd w:id="23"/>
          </w:p>
        </w:tc>
        <w:tc>
          <w:tcPr>
            <w:tcW w:w="5238" w:type="dxa"/>
            <w:tcBorders>
              <w:top w:val="nil"/>
              <w:left w:val="nil"/>
              <w:bottom w:val="nil"/>
              <w:right w:val="nil"/>
            </w:tcBorders>
            <w:tcMar>
              <w:top w:w="0" w:type="dxa"/>
              <w:left w:w="108" w:type="dxa"/>
              <w:bottom w:w="0" w:type="dxa"/>
              <w:right w:w="108" w:type="dxa"/>
            </w:tcMar>
            <w:hideMark/>
          </w:tcPr>
          <w:p w:rsidR="005366A8" w:rsidRPr="0032749A" w:rsidRDefault="005366A8" w:rsidP="001845AC">
            <w:pPr>
              <w:rPr>
                <w:sz w:val="20"/>
                <w:szCs w:val="20"/>
              </w:rPr>
            </w:pPr>
            <w:r w:rsidRPr="0032749A">
              <w:rPr>
                <w:rFonts w:cs="David" w:hint="cs"/>
                <w:sz w:val="20"/>
                <w:szCs w:val="20"/>
                <w:rtl/>
              </w:rPr>
              <w:t>עו"ד גור בליי</w:t>
            </w:r>
          </w:p>
        </w:tc>
      </w:tr>
    </w:tbl>
    <w:p w:rsidR="005366A8" w:rsidRPr="0032749A" w:rsidRDefault="005366A8" w:rsidP="005366A8">
      <w:pPr>
        <w:rPr>
          <w:vanish/>
          <w:color w:val="000000"/>
          <w:sz w:val="20"/>
          <w:szCs w:val="20"/>
          <w:rtl/>
        </w:rPr>
      </w:pPr>
    </w:p>
    <w:tbl>
      <w:tblPr>
        <w:bidiVisual/>
        <w:tblW w:w="0" w:type="auto"/>
        <w:tblInd w:w="27" w:type="dxa"/>
        <w:tblCellMar>
          <w:left w:w="0" w:type="dxa"/>
          <w:right w:w="0" w:type="dxa"/>
        </w:tblCellMar>
        <w:tblLook w:val="04A0"/>
      </w:tblPr>
      <w:tblGrid>
        <w:gridCol w:w="3257"/>
        <w:gridCol w:w="5238"/>
      </w:tblGrid>
      <w:tr w:rsidR="005366A8" w:rsidRPr="0032749A" w:rsidTr="001845AC">
        <w:tc>
          <w:tcPr>
            <w:tcW w:w="3257" w:type="dxa"/>
            <w:tcBorders>
              <w:top w:val="nil"/>
              <w:left w:val="nil"/>
              <w:bottom w:val="nil"/>
              <w:right w:val="nil"/>
            </w:tcBorders>
            <w:tcMar>
              <w:top w:w="0" w:type="dxa"/>
              <w:left w:w="108" w:type="dxa"/>
              <w:bottom w:w="0" w:type="dxa"/>
              <w:right w:w="108" w:type="dxa"/>
            </w:tcMar>
            <w:hideMark/>
          </w:tcPr>
          <w:p w:rsidR="005366A8" w:rsidRPr="0032749A" w:rsidRDefault="005366A8" w:rsidP="001845AC">
            <w:pPr>
              <w:rPr>
                <w:sz w:val="20"/>
                <w:szCs w:val="20"/>
              </w:rPr>
            </w:pPr>
            <w:r w:rsidRPr="0032749A">
              <w:rPr>
                <w:rFonts w:cs="David" w:hint="cs"/>
                <w:sz w:val="20"/>
                <w:szCs w:val="20"/>
                <w:rtl/>
              </w:rPr>
              <w:t>בשם המשיבים 5-3:</w:t>
            </w:r>
          </w:p>
        </w:tc>
        <w:tc>
          <w:tcPr>
            <w:tcW w:w="5238" w:type="dxa"/>
            <w:tcBorders>
              <w:top w:val="nil"/>
              <w:left w:val="nil"/>
              <w:bottom w:val="nil"/>
              <w:right w:val="nil"/>
            </w:tcBorders>
            <w:tcMar>
              <w:top w:w="0" w:type="dxa"/>
              <w:left w:w="108" w:type="dxa"/>
              <w:bottom w:w="0" w:type="dxa"/>
              <w:right w:w="108" w:type="dxa"/>
            </w:tcMar>
            <w:hideMark/>
          </w:tcPr>
          <w:p w:rsidR="005366A8" w:rsidRPr="0032749A" w:rsidRDefault="005366A8" w:rsidP="001845AC">
            <w:pPr>
              <w:rPr>
                <w:sz w:val="20"/>
                <w:szCs w:val="20"/>
              </w:rPr>
            </w:pPr>
            <w:r w:rsidRPr="0032749A">
              <w:rPr>
                <w:rFonts w:cs="David" w:hint="cs"/>
                <w:sz w:val="20"/>
                <w:szCs w:val="20"/>
                <w:rtl/>
              </w:rPr>
              <w:t>עו"ד חני אופק</w:t>
            </w:r>
          </w:p>
        </w:tc>
      </w:tr>
    </w:tbl>
    <w:p w:rsidR="005366A8" w:rsidRPr="0032749A" w:rsidRDefault="005366A8" w:rsidP="005366A8">
      <w:pPr>
        <w:bidi w:val="0"/>
        <w:rPr>
          <w:sz w:val="20"/>
          <w:szCs w:val="20"/>
          <w:rtl/>
        </w:rPr>
      </w:pPr>
      <w:bookmarkStart w:id="24" w:name="ABSTRACT_START"/>
      <w:bookmarkEnd w:id="24"/>
      <w:r w:rsidRPr="0032749A">
        <w:rPr>
          <w:color w:val="000000"/>
          <w:sz w:val="20"/>
          <w:szCs w:val="20"/>
        </w:rPr>
        <w:t>°</w:t>
      </w:r>
    </w:p>
    <w:tbl>
      <w:tblPr>
        <w:bidiVisual/>
        <w:tblW w:w="0" w:type="auto"/>
        <w:tblCellMar>
          <w:left w:w="0" w:type="dxa"/>
          <w:right w:w="0" w:type="dxa"/>
        </w:tblCellMar>
        <w:tblLook w:val="04A0"/>
      </w:tblPr>
      <w:tblGrid>
        <w:gridCol w:w="9837"/>
      </w:tblGrid>
      <w:tr w:rsidR="005366A8" w:rsidRPr="0032749A" w:rsidTr="001845AC">
        <w:tc>
          <w:tcPr>
            <w:tcW w:w="9837" w:type="dxa"/>
            <w:tcMar>
              <w:top w:w="0" w:type="dxa"/>
              <w:left w:w="108" w:type="dxa"/>
              <w:bottom w:w="0" w:type="dxa"/>
              <w:right w:w="108" w:type="dxa"/>
            </w:tcMar>
            <w:hideMark/>
          </w:tcPr>
          <w:p w:rsidR="005366A8" w:rsidRPr="0032749A" w:rsidRDefault="005366A8" w:rsidP="001845AC">
            <w:pPr>
              <w:spacing w:line="193" w:lineRule="atLeast"/>
              <w:jc w:val="center"/>
              <w:rPr>
                <w:spacing w:val="30"/>
                <w:sz w:val="20"/>
                <w:szCs w:val="20"/>
                <w:u w:val="single"/>
                <w:rtl/>
              </w:rPr>
            </w:pPr>
            <w:bookmarkStart w:id="25" w:name="secretary"/>
            <w:bookmarkStart w:id="26" w:name="BeginProtocol"/>
            <w:bookmarkStart w:id="27" w:name="PsakDin"/>
            <w:bookmarkEnd w:id="25"/>
            <w:bookmarkEnd w:id="26"/>
            <w:bookmarkEnd w:id="27"/>
            <w:r w:rsidRPr="0032749A">
              <w:rPr>
                <w:rFonts w:cs="David" w:hint="cs"/>
                <w:b/>
                <w:bCs/>
                <w:spacing w:val="30"/>
                <w:sz w:val="20"/>
                <w:szCs w:val="20"/>
                <w:u w:val="single"/>
                <w:rtl/>
              </w:rPr>
              <w:t>החלטה</w:t>
            </w:r>
          </w:p>
          <w:p w:rsidR="005366A8" w:rsidRPr="0032749A" w:rsidRDefault="005366A8" w:rsidP="001845AC">
            <w:pPr>
              <w:spacing w:line="193" w:lineRule="atLeast"/>
              <w:jc w:val="center"/>
              <w:rPr>
                <w:spacing w:val="30"/>
                <w:sz w:val="20"/>
                <w:szCs w:val="20"/>
                <w:u w:val="single"/>
              </w:rPr>
            </w:pPr>
            <w:r w:rsidRPr="0032749A">
              <w:rPr>
                <w:spacing w:val="30"/>
                <w:sz w:val="20"/>
                <w:szCs w:val="20"/>
                <w:u w:val="single"/>
              </w:rPr>
              <w:t> </w:t>
            </w:r>
          </w:p>
        </w:tc>
      </w:tr>
    </w:tbl>
    <w:p w:rsidR="005366A8" w:rsidRPr="00942514" w:rsidRDefault="005366A8" w:rsidP="005366A8">
      <w:pPr>
        <w:spacing w:line="223" w:lineRule="atLeast"/>
        <w:rPr>
          <w:rFonts w:ascii="Arial TUR" w:hAnsi="Arial TUR" w:cs="Arial TUR"/>
          <w:color w:val="000000"/>
          <w:sz w:val="22"/>
          <w:szCs w:val="22"/>
          <w:rtl/>
        </w:rPr>
      </w:pPr>
      <w:bookmarkStart w:id="28" w:name="Writer_Name"/>
      <w:bookmarkStart w:id="29" w:name="Start_Write"/>
      <w:bookmarkEnd w:id="28"/>
      <w:bookmarkEnd w:id="29"/>
      <w:r w:rsidRPr="00942514">
        <w:rPr>
          <w:rFonts w:ascii="Arial TUR" w:hAnsi="Arial TUR" w:cs="FrankRuehl" w:hint="cs"/>
          <w:color w:val="000000"/>
          <w:sz w:val="22"/>
          <w:szCs w:val="22"/>
          <w:rtl/>
        </w:rPr>
        <w:t>1.        לאחר שמיעת טענות הצדדים, אנו מחליטים להעביר את העתירה להרכב מורחב של שופטים שייקבע על ידי הנשיאה.</w:t>
      </w:r>
    </w:p>
    <w:p w:rsidR="005366A8" w:rsidRPr="00942514" w:rsidRDefault="005366A8" w:rsidP="005366A8">
      <w:pPr>
        <w:spacing w:line="223" w:lineRule="atLeast"/>
        <w:rPr>
          <w:rFonts w:ascii="Arial TUR" w:hAnsi="Arial TUR" w:cs="Arial TUR"/>
          <w:color w:val="000000"/>
          <w:sz w:val="22"/>
          <w:szCs w:val="22"/>
          <w:rtl/>
        </w:rPr>
      </w:pPr>
      <w:r w:rsidRPr="00942514">
        <w:rPr>
          <w:rFonts w:ascii="Arial TUR" w:hAnsi="Arial TUR" w:cs="FrankRuehl" w:hint="cs"/>
          <w:color w:val="000000"/>
          <w:sz w:val="22"/>
          <w:szCs w:val="22"/>
          <w:rtl/>
        </w:rPr>
        <w:t xml:space="preserve">2.        בהסכמת העותר, בעקבות הדיון, </w:t>
      </w:r>
      <w:r w:rsidRPr="00942514">
        <w:rPr>
          <w:rFonts w:ascii="Arial TUR" w:hAnsi="Arial TUR" w:cs="FrankRuehl" w:hint="cs"/>
          <w:color w:val="000000"/>
          <w:sz w:val="22"/>
          <w:szCs w:val="22"/>
          <w:highlight w:val="yellow"/>
          <w:rtl/>
        </w:rPr>
        <w:t>יצומצם הדיון לשאלה האם ההסמכה לעריכת משאל עם אינה חייבת להיות מעוגנת בחוק יסוד.</w:t>
      </w:r>
    </w:p>
    <w:p w:rsidR="005366A8" w:rsidRPr="00942514" w:rsidRDefault="005366A8" w:rsidP="005366A8">
      <w:pPr>
        <w:spacing w:line="223" w:lineRule="atLeast"/>
        <w:rPr>
          <w:rFonts w:ascii="Arial TUR" w:hAnsi="Arial TUR" w:cs="Arial TUR"/>
          <w:color w:val="000000"/>
          <w:sz w:val="22"/>
          <w:szCs w:val="22"/>
          <w:rtl/>
        </w:rPr>
      </w:pPr>
      <w:r w:rsidRPr="00942514">
        <w:rPr>
          <w:rFonts w:ascii="Arial TUR" w:hAnsi="Arial TUR" w:cs="FrankRuehl" w:hint="cs"/>
          <w:color w:val="000000"/>
          <w:sz w:val="22"/>
          <w:szCs w:val="22"/>
          <w:rtl/>
        </w:rPr>
        <w:t>3.        10 ימים לאחר החלטת הנשיאה ימציאו המשיבים 1-2 במספר עותקים כנדרש העתקים של הפרוטוקול או קטעי הפרוטוקולים של הכנסת במליאתה או של הועדה המשותפת, המתייחסים לשאלה האמורה.</w:t>
      </w:r>
    </w:p>
    <w:p w:rsidR="005366A8" w:rsidRDefault="005366A8" w:rsidP="005366A8">
      <w:pPr>
        <w:spacing w:line="223" w:lineRule="atLeast"/>
        <w:rPr>
          <w:sz w:val="20"/>
          <w:szCs w:val="20"/>
          <w:rtl/>
        </w:rPr>
      </w:pPr>
      <w:r w:rsidRPr="00942514">
        <w:rPr>
          <w:rFonts w:ascii="Arial TUR" w:hAnsi="Arial TUR" w:cs="FrankRuehl" w:hint="cs"/>
          <w:color w:val="000000"/>
          <w:sz w:val="22"/>
          <w:szCs w:val="22"/>
          <w:rtl/>
        </w:rPr>
        <w:t> ניתנה היום, ‏‏‏כ"ט כסלו, תשע"ב (25.12.2011).</w:t>
      </w:r>
      <w:r w:rsidRPr="0032749A">
        <w:rPr>
          <w:rFonts w:ascii="Arial TUR" w:hAnsi="Arial TUR" w:cs="FrankRuehl" w:hint="cs"/>
          <w:color w:val="000000"/>
          <w:sz w:val="20"/>
          <w:szCs w:val="20"/>
          <w:rtl/>
        </w:rPr>
        <w:t> </w:t>
      </w:r>
    </w:p>
    <w:p w:rsidR="005366A8" w:rsidRDefault="005366A8" w:rsidP="005366A8">
      <w:pPr>
        <w:rPr>
          <w:sz w:val="20"/>
          <w:szCs w:val="20"/>
          <w:rtl/>
        </w:rPr>
      </w:pPr>
    </w:p>
    <w:p w:rsidR="005366A8" w:rsidRDefault="005366A8" w:rsidP="005366A8">
      <w:pPr>
        <w:rPr>
          <w:sz w:val="22"/>
          <w:szCs w:val="22"/>
          <w:rtl/>
        </w:rPr>
      </w:pPr>
      <w:r>
        <w:rPr>
          <w:rFonts w:hint="cs"/>
          <w:sz w:val="20"/>
          <w:szCs w:val="20"/>
          <w:rtl/>
        </w:rPr>
        <w:t>=-=</w:t>
      </w:r>
    </w:p>
    <w:p w:rsidR="005366A8" w:rsidRPr="0030735F" w:rsidRDefault="005366A8" w:rsidP="005366A8">
      <w:pPr>
        <w:rPr>
          <w:rFonts w:asciiTheme="minorBidi" w:hAnsiTheme="minorBidi" w:cstheme="minorBidi"/>
          <w:b/>
          <w:bCs/>
          <w:sz w:val="22"/>
          <w:szCs w:val="22"/>
          <w:rtl/>
        </w:rPr>
      </w:pPr>
      <w:r w:rsidRPr="0030735F">
        <w:rPr>
          <w:rFonts w:asciiTheme="minorBidi" w:hAnsiTheme="minorBidi" w:cstheme="minorBidi"/>
          <w:b/>
          <w:bCs/>
          <w:sz w:val="22"/>
          <w:szCs w:val="22"/>
          <w:rtl/>
        </w:rPr>
        <w:t>ד.</w:t>
      </w:r>
    </w:p>
    <w:p w:rsidR="005366A8" w:rsidRPr="003A4E75" w:rsidRDefault="005366A8" w:rsidP="005366A8">
      <w:pPr>
        <w:pStyle w:val="T-body"/>
        <w:spacing w:line="240" w:lineRule="auto"/>
        <w:rPr>
          <w:sz w:val="22"/>
          <w:szCs w:val="22"/>
          <w:rtl/>
        </w:rPr>
      </w:pPr>
      <w:r>
        <w:rPr>
          <w:rFonts w:hint="cs"/>
          <w:sz w:val="22"/>
          <w:szCs w:val="22"/>
          <w:rtl/>
        </w:rPr>
        <w:t>לאחרונה התפתחות חשובה מאד:</w:t>
      </w:r>
    </w:p>
    <w:p w:rsidR="005366A8" w:rsidRPr="003A4E75" w:rsidRDefault="005366A8" w:rsidP="005366A8">
      <w:pPr>
        <w:pStyle w:val="big-header"/>
        <w:spacing w:before="0"/>
        <w:ind w:left="624"/>
        <w:rPr>
          <w:rStyle w:val="default"/>
          <w:rFonts w:cs="David"/>
          <w:b/>
          <w:bCs/>
          <w:sz w:val="22"/>
          <w:szCs w:val="22"/>
          <w:u w:val="single"/>
          <w:rtl/>
        </w:rPr>
      </w:pPr>
      <w:r w:rsidRPr="003A4E75">
        <w:rPr>
          <w:rFonts w:cs="David" w:hint="cs"/>
          <w:b/>
          <w:bCs/>
          <w:sz w:val="22"/>
          <w:szCs w:val="22"/>
          <w:highlight w:val="yellow"/>
          <w:u w:val="single"/>
          <w:rtl/>
        </w:rPr>
        <w:t>חוק-יסוד: משאל עם</w:t>
      </w:r>
    </w:p>
    <w:p w:rsidR="005366A8" w:rsidRPr="003A4E75" w:rsidRDefault="005D7968" w:rsidP="005366A8">
      <w:pPr>
        <w:pStyle w:val="P00"/>
        <w:ind w:left="1248"/>
        <w:rPr>
          <w:rStyle w:val="default"/>
          <w:rFonts w:cs="David"/>
          <w:sz w:val="22"/>
          <w:szCs w:val="22"/>
          <w:rtl/>
        </w:rPr>
      </w:pPr>
      <w:r w:rsidRPr="005D7968">
        <w:rPr>
          <w:rFonts w:cs="David"/>
          <w:sz w:val="22"/>
          <w:szCs w:val="22"/>
          <w:highlight w:val="yellow"/>
          <w:rtl/>
          <w:lang w:val="he-IL"/>
        </w:rPr>
        <w:pict>
          <v:rect id="_x0000_s1172" style="position:absolute;left:0;text-align:left;margin-left:464.5pt;margin-top:8.05pt;width:75.05pt;height:16pt;z-index:251814912" o:allowincell="f" filled="f" stroked="f" strokecolor="lime" strokeweight=".25pt">
            <v:textbox inset="0,0,0,0">
              <w:txbxContent>
                <w:p w:rsidR="005366A8" w:rsidRDefault="005366A8" w:rsidP="005366A8">
                  <w:pPr>
                    <w:spacing w:line="160" w:lineRule="exact"/>
                    <w:ind w:left="720"/>
                    <w:rPr>
                      <w:rFonts w:cs="Miriam"/>
                      <w:noProof/>
                      <w:szCs w:val="18"/>
                      <w:rtl/>
                    </w:rPr>
                  </w:pPr>
                  <w:r>
                    <w:rPr>
                      <w:rFonts w:cs="Miriam" w:hint="cs"/>
                      <w:szCs w:val="18"/>
                      <w:rtl/>
                    </w:rPr>
                    <w:t>משאל עם</w:t>
                  </w:r>
                </w:p>
              </w:txbxContent>
            </v:textbox>
            <w10:anchorlock/>
          </v:rect>
        </w:pict>
      </w:r>
      <w:r w:rsidR="005366A8" w:rsidRPr="003A4E75">
        <w:rPr>
          <w:rStyle w:val="big-number"/>
          <w:rFonts w:cs="David"/>
          <w:sz w:val="22"/>
          <w:szCs w:val="22"/>
          <w:rtl/>
        </w:rPr>
        <w:t>1.</w:t>
      </w:r>
      <w:r w:rsidR="005366A8" w:rsidRPr="003A4E75">
        <w:rPr>
          <w:rStyle w:val="big-number"/>
          <w:rFonts w:cs="David"/>
          <w:sz w:val="22"/>
          <w:szCs w:val="22"/>
          <w:rtl/>
        </w:rPr>
        <w:tab/>
      </w:r>
      <w:r w:rsidR="005366A8" w:rsidRPr="003A4E75">
        <w:rPr>
          <w:rStyle w:val="default"/>
          <w:rFonts w:cs="David" w:hint="cs"/>
          <w:sz w:val="22"/>
          <w:szCs w:val="22"/>
          <w:rtl/>
        </w:rPr>
        <w:t>(א)</w:t>
      </w:r>
      <w:r w:rsidR="005366A8" w:rsidRPr="003A4E75">
        <w:rPr>
          <w:rStyle w:val="default"/>
          <w:rFonts w:cs="David" w:hint="cs"/>
          <w:sz w:val="22"/>
          <w:szCs w:val="22"/>
          <w:rtl/>
        </w:rPr>
        <w:tab/>
        <w:t>החליטה הממשלה לאשרר הסכם או לחתום על הסכם, שלפיו המשפט, השיפוט והמינהל של מדינת ישראל לא יחולו עוד על שטח שהם חלים בו, לרבות הסכם הכולל התחייבות לעתיד והתחייבות המותנית בתנאים, יהא ההסכם, לאחר שאושר בכנסת ברוב חבריה, טעון אישור במשאל עם, אלא אם כן אושר ברוב של שמונים חברי הכנסת.</w:t>
      </w:r>
    </w:p>
    <w:p w:rsidR="005366A8" w:rsidRPr="003A4E75" w:rsidRDefault="005366A8" w:rsidP="005366A8">
      <w:pPr>
        <w:pStyle w:val="P00"/>
        <w:ind w:left="1248"/>
        <w:rPr>
          <w:rStyle w:val="default"/>
          <w:rFonts w:cs="David"/>
          <w:sz w:val="22"/>
          <w:szCs w:val="22"/>
          <w:rtl/>
        </w:rPr>
      </w:pPr>
      <w:r w:rsidRPr="003A4E75">
        <w:rPr>
          <w:rStyle w:val="default"/>
          <w:rFonts w:cs="David" w:hint="cs"/>
          <w:sz w:val="22"/>
          <w:szCs w:val="22"/>
          <w:rtl/>
        </w:rPr>
        <w:tab/>
        <w:t>(ב)</w:t>
      </w:r>
      <w:r w:rsidRPr="003A4E75">
        <w:rPr>
          <w:rStyle w:val="default"/>
          <w:rFonts w:cs="David" w:hint="cs"/>
          <w:sz w:val="22"/>
          <w:szCs w:val="22"/>
          <w:rtl/>
        </w:rPr>
        <w:tab/>
        <w:t>החליטה הממשלה, שלא בדרך של הסכם, שהמשפט, השיפוט והמינהל של מדינת ישראל לא יחולו עוד על שטח שהם חלים בו, תהא ההחלטה, לאחר שאושרה בכנסת ברוב חבריה, טעונה אישור במשאל עם, אלא אם כן אושרה ברוב של שמונים חברי הכנסת.</w:t>
      </w:r>
    </w:p>
    <w:p w:rsidR="005366A8" w:rsidRPr="003A4E75" w:rsidRDefault="005D7968" w:rsidP="005366A8">
      <w:pPr>
        <w:pStyle w:val="P00"/>
        <w:spacing w:before="72"/>
        <w:ind w:left="1248"/>
        <w:rPr>
          <w:rStyle w:val="default"/>
          <w:rFonts w:cs="David"/>
          <w:sz w:val="22"/>
          <w:szCs w:val="22"/>
          <w:rtl/>
        </w:rPr>
      </w:pPr>
      <w:r w:rsidRPr="005D7968">
        <w:rPr>
          <w:rFonts w:cs="David"/>
          <w:sz w:val="22"/>
          <w:szCs w:val="22"/>
          <w:highlight w:val="yellow"/>
          <w:rtl/>
          <w:lang w:val="he-IL"/>
        </w:rPr>
        <w:pict>
          <v:rect id="_x0000_s1173" style="position:absolute;left:0;text-align:left;margin-left:464.5pt;margin-top:-8.35pt;width:75.05pt;height:36.5pt;z-index:251815936" o:allowincell="f" filled="f" stroked="f" strokecolor="lime" strokeweight=".25pt">
            <v:textbox inset="0,0,0,0">
              <w:txbxContent>
                <w:p w:rsidR="005366A8" w:rsidRDefault="005366A8" w:rsidP="005366A8">
                  <w:pPr>
                    <w:spacing w:line="160" w:lineRule="exact"/>
                    <w:ind w:left="720"/>
                    <w:rPr>
                      <w:rFonts w:cs="Miriam"/>
                      <w:noProof/>
                      <w:szCs w:val="18"/>
                      <w:rtl/>
                    </w:rPr>
                  </w:pPr>
                  <w:r>
                    <w:rPr>
                      <w:rFonts w:cs="Miriam" w:hint="cs"/>
                      <w:szCs w:val="18"/>
                      <w:rtl/>
                    </w:rPr>
                    <w:t>הזכות להשתתף במשאל העם</w:t>
                  </w:r>
                </w:p>
              </w:txbxContent>
            </v:textbox>
            <w10:anchorlock/>
          </v:rect>
        </w:pict>
      </w:r>
      <w:r w:rsidR="005366A8" w:rsidRPr="003A4E75">
        <w:rPr>
          <w:rStyle w:val="big-number"/>
          <w:rFonts w:cs="David"/>
          <w:sz w:val="22"/>
          <w:szCs w:val="22"/>
          <w:rtl/>
        </w:rPr>
        <w:t>2.</w:t>
      </w:r>
      <w:r w:rsidR="005366A8" w:rsidRPr="003A4E75">
        <w:rPr>
          <w:rStyle w:val="big-number"/>
          <w:rFonts w:cs="David"/>
          <w:sz w:val="22"/>
          <w:szCs w:val="22"/>
          <w:rtl/>
        </w:rPr>
        <w:tab/>
      </w:r>
      <w:r w:rsidR="005366A8" w:rsidRPr="003A4E75">
        <w:rPr>
          <w:rStyle w:val="default"/>
          <w:rFonts w:cs="David" w:hint="cs"/>
          <w:sz w:val="22"/>
          <w:szCs w:val="22"/>
          <w:rtl/>
        </w:rPr>
        <w:t>זכאי להשתתף במשאל העם מי שהיה זכאי להשתתף בבחירות לכנסת לו היו מתקיימות במועד עריכת משאל העם.</w:t>
      </w:r>
    </w:p>
    <w:p w:rsidR="005366A8" w:rsidRPr="003A4E75" w:rsidRDefault="005D7968" w:rsidP="005366A8">
      <w:pPr>
        <w:pStyle w:val="P00"/>
        <w:spacing w:before="72"/>
        <w:ind w:left="1248"/>
        <w:rPr>
          <w:rStyle w:val="default"/>
          <w:rFonts w:cs="David"/>
          <w:sz w:val="22"/>
          <w:szCs w:val="22"/>
          <w:rtl/>
        </w:rPr>
      </w:pPr>
      <w:r w:rsidRPr="005D7968">
        <w:rPr>
          <w:rFonts w:cs="David"/>
          <w:sz w:val="22"/>
          <w:szCs w:val="22"/>
          <w:highlight w:val="yellow"/>
          <w:rtl/>
          <w:lang w:val="he-IL"/>
        </w:rPr>
        <w:pict>
          <v:rect id="_x0000_s1174" style="position:absolute;left:0;text-align:left;margin-left:464.5pt;margin-top:8.05pt;width:75.05pt;height:15.15pt;z-index:251816960" o:allowincell="f" filled="f" stroked="f" strokecolor="lime" strokeweight=".25pt">
            <v:textbox inset="0,0,0,0">
              <w:txbxContent>
                <w:p w:rsidR="005366A8" w:rsidRDefault="005366A8" w:rsidP="005366A8">
                  <w:pPr>
                    <w:spacing w:line="160" w:lineRule="exact"/>
                    <w:ind w:left="720"/>
                    <w:rPr>
                      <w:rFonts w:cs="Miriam"/>
                      <w:noProof/>
                      <w:szCs w:val="18"/>
                      <w:rtl/>
                    </w:rPr>
                  </w:pPr>
                  <w:r>
                    <w:rPr>
                      <w:rFonts w:cs="Miriam" w:hint="cs"/>
                      <w:szCs w:val="18"/>
                      <w:rtl/>
                    </w:rPr>
                    <w:t>החלת הוראות</w:t>
                  </w:r>
                </w:p>
              </w:txbxContent>
            </v:textbox>
            <w10:anchorlock/>
          </v:rect>
        </w:pict>
      </w:r>
      <w:r w:rsidR="005366A8" w:rsidRPr="003A4E75">
        <w:rPr>
          <w:rStyle w:val="big-number"/>
          <w:rFonts w:cs="David"/>
          <w:sz w:val="22"/>
          <w:szCs w:val="22"/>
          <w:rtl/>
        </w:rPr>
        <w:t>3.</w:t>
      </w:r>
      <w:r w:rsidR="005366A8" w:rsidRPr="003A4E75">
        <w:rPr>
          <w:rStyle w:val="big-number"/>
          <w:rFonts w:cs="David"/>
          <w:sz w:val="22"/>
          <w:szCs w:val="22"/>
          <w:rtl/>
        </w:rPr>
        <w:tab/>
      </w:r>
      <w:r w:rsidR="005366A8" w:rsidRPr="003A4E75">
        <w:rPr>
          <w:rStyle w:val="default"/>
          <w:rFonts w:cs="David" w:hint="cs"/>
          <w:sz w:val="22"/>
          <w:szCs w:val="22"/>
          <w:rtl/>
        </w:rPr>
        <w:t>על עריכת משאל העם יחולו הוראות הדין בעניין הבחירות לכנסת, בשינויים המחויבים ובשינויים שנקבעו בחוק.</w:t>
      </w:r>
    </w:p>
    <w:p w:rsidR="005366A8" w:rsidRPr="003A4E75" w:rsidRDefault="005D7968" w:rsidP="005366A8">
      <w:pPr>
        <w:pStyle w:val="P00"/>
        <w:spacing w:before="72"/>
        <w:ind w:left="1248"/>
        <w:rPr>
          <w:rStyle w:val="default"/>
          <w:rFonts w:cs="David"/>
          <w:sz w:val="22"/>
          <w:szCs w:val="22"/>
          <w:rtl/>
        </w:rPr>
      </w:pPr>
      <w:r w:rsidRPr="005D7968">
        <w:rPr>
          <w:rFonts w:cs="David"/>
          <w:sz w:val="22"/>
          <w:szCs w:val="22"/>
          <w:highlight w:val="yellow"/>
          <w:rtl/>
          <w:lang w:val="he-IL"/>
        </w:rPr>
        <w:pict>
          <v:rect id="_x0000_s1175" style="position:absolute;left:0;text-align:left;margin-left:464.5pt;margin-top:8.05pt;width:75.05pt;height:15.85pt;z-index:251817984" o:allowincell="f" filled="f" stroked="f" strokecolor="lime" strokeweight=".25pt">
            <v:textbox inset="0,0,0,0">
              <w:txbxContent>
                <w:p w:rsidR="005366A8" w:rsidRDefault="005366A8" w:rsidP="005366A8">
                  <w:pPr>
                    <w:spacing w:line="160" w:lineRule="exact"/>
                    <w:ind w:left="720"/>
                    <w:rPr>
                      <w:rFonts w:cs="Miriam"/>
                      <w:noProof/>
                      <w:szCs w:val="18"/>
                      <w:rtl/>
                    </w:rPr>
                  </w:pPr>
                  <w:r>
                    <w:rPr>
                      <w:rFonts w:cs="Miriam" w:hint="cs"/>
                      <w:szCs w:val="18"/>
                      <w:rtl/>
                    </w:rPr>
                    <w:t>יציבות</w:t>
                  </w:r>
                </w:p>
              </w:txbxContent>
            </v:textbox>
            <w10:anchorlock/>
          </v:rect>
        </w:pict>
      </w:r>
      <w:r w:rsidR="005366A8" w:rsidRPr="003A4E75">
        <w:rPr>
          <w:rStyle w:val="big-number"/>
          <w:rFonts w:cs="David"/>
          <w:sz w:val="22"/>
          <w:szCs w:val="22"/>
          <w:rtl/>
        </w:rPr>
        <w:t>4.</w:t>
      </w:r>
      <w:r w:rsidR="005366A8" w:rsidRPr="003A4E75">
        <w:rPr>
          <w:rStyle w:val="big-number"/>
          <w:rFonts w:cs="David"/>
          <w:sz w:val="22"/>
          <w:szCs w:val="22"/>
          <w:rtl/>
        </w:rPr>
        <w:tab/>
      </w:r>
      <w:r w:rsidR="005366A8" w:rsidRPr="003A4E75">
        <w:rPr>
          <w:rStyle w:val="default"/>
          <w:rFonts w:cs="David" w:hint="cs"/>
          <w:sz w:val="22"/>
          <w:szCs w:val="22"/>
          <w:rtl/>
        </w:rPr>
        <w:t>אין בכוחן של תקנות שעת חירום לשנות חוק-יסוד זה, להפקיע זמנית את תוקפו או לקבוע בו תנאים.</w:t>
      </w:r>
    </w:p>
    <w:p w:rsidR="005366A8" w:rsidRPr="003A4E75" w:rsidRDefault="005D7968" w:rsidP="005366A8">
      <w:pPr>
        <w:pStyle w:val="P00"/>
        <w:spacing w:before="72"/>
        <w:ind w:left="1248"/>
        <w:rPr>
          <w:rStyle w:val="default"/>
          <w:rFonts w:cs="David"/>
          <w:sz w:val="22"/>
          <w:szCs w:val="22"/>
          <w:rtl/>
        </w:rPr>
      </w:pPr>
      <w:r w:rsidRPr="005D7968">
        <w:rPr>
          <w:rFonts w:cs="David"/>
          <w:sz w:val="22"/>
          <w:szCs w:val="22"/>
          <w:highlight w:val="yellow"/>
          <w:rtl/>
          <w:lang w:val="he-IL"/>
        </w:rPr>
        <w:pict>
          <v:rect id="_x0000_s1176" style="position:absolute;left:0;text-align:left;margin-left:464.5pt;margin-top:8.05pt;width:75.05pt;height:16.5pt;z-index:251819008" o:allowincell="f" filled="f" stroked="f" strokecolor="lime" strokeweight=".25pt">
            <v:textbox inset="0,0,0,0">
              <w:txbxContent>
                <w:p w:rsidR="005366A8" w:rsidRDefault="005366A8" w:rsidP="005366A8">
                  <w:pPr>
                    <w:spacing w:line="160" w:lineRule="exact"/>
                    <w:ind w:left="720"/>
                    <w:rPr>
                      <w:rFonts w:cs="Miriam"/>
                      <w:noProof/>
                      <w:szCs w:val="18"/>
                      <w:rtl/>
                    </w:rPr>
                  </w:pPr>
                  <w:r>
                    <w:rPr>
                      <w:rFonts w:cs="Miriam" w:hint="cs"/>
                      <w:szCs w:val="18"/>
                      <w:rtl/>
                    </w:rPr>
                    <w:t>נוקשות</w:t>
                  </w:r>
                </w:p>
              </w:txbxContent>
            </v:textbox>
            <w10:anchorlock/>
          </v:rect>
        </w:pict>
      </w:r>
      <w:r w:rsidR="005366A8" w:rsidRPr="003A4E75">
        <w:rPr>
          <w:rStyle w:val="big-number"/>
          <w:rFonts w:cs="David"/>
          <w:sz w:val="22"/>
          <w:szCs w:val="22"/>
          <w:rtl/>
        </w:rPr>
        <w:t>5.</w:t>
      </w:r>
      <w:r w:rsidR="005366A8" w:rsidRPr="003A4E75">
        <w:rPr>
          <w:rStyle w:val="big-number"/>
          <w:rFonts w:cs="David"/>
          <w:sz w:val="22"/>
          <w:szCs w:val="22"/>
          <w:rtl/>
        </w:rPr>
        <w:tab/>
      </w:r>
      <w:r w:rsidR="005366A8" w:rsidRPr="003A4E75">
        <w:rPr>
          <w:rStyle w:val="default"/>
          <w:rFonts w:cs="David" w:hint="cs"/>
          <w:sz w:val="22"/>
          <w:szCs w:val="22"/>
          <w:rtl/>
        </w:rPr>
        <w:t>אין לשנות חוק-יסוד זה אלא בחוק-יסוד שהתקבל ברוב של חברי הכנסת.</w:t>
      </w:r>
    </w:p>
    <w:p w:rsidR="005366A8" w:rsidRPr="004000E0" w:rsidRDefault="005366A8" w:rsidP="005366A8">
      <w:pPr>
        <w:pStyle w:val="P00"/>
        <w:spacing w:before="72"/>
        <w:ind w:left="0" w:right="709"/>
        <w:rPr>
          <w:rFonts w:cs="David"/>
          <w:sz w:val="24"/>
          <w:szCs w:val="24"/>
          <w:rtl/>
        </w:rPr>
      </w:pPr>
    </w:p>
    <w:p w:rsidR="005366A8" w:rsidRPr="0030735F" w:rsidRDefault="005366A8" w:rsidP="005366A8">
      <w:pPr>
        <w:pStyle w:val="T-body"/>
        <w:spacing w:line="240" w:lineRule="auto"/>
        <w:rPr>
          <w:i/>
          <w:iCs/>
          <w:sz w:val="22"/>
          <w:szCs w:val="22"/>
          <w:rtl/>
        </w:rPr>
      </w:pPr>
      <w:r w:rsidRPr="0030735F">
        <w:rPr>
          <w:i/>
          <w:iCs/>
          <w:sz w:val="22"/>
          <w:szCs w:val="22"/>
          <w:rtl/>
        </w:rPr>
        <w:t xml:space="preserve">חוק </w:t>
      </w:r>
      <w:r w:rsidRPr="0030735F">
        <w:rPr>
          <w:rFonts w:hint="cs"/>
          <w:i/>
          <w:iCs/>
          <w:sz w:val="22"/>
          <w:szCs w:val="22"/>
          <w:rtl/>
        </w:rPr>
        <w:t xml:space="preserve">היסוד </w:t>
      </w:r>
      <w:r w:rsidRPr="0030735F">
        <w:rPr>
          <w:i/>
          <w:iCs/>
          <w:sz w:val="22"/>
          <w:szCs w:val="22"/>
          <w:rtl/>
        </w:rPr>
        <w:t>אושר בכנסת ב</w:t>
      </w:r>
      <w:r w:rsidRPr="0030735F">
        <w:rPr>
          <w:i/>
          <w:iCs/>
          <w:sz w:val="22"/>
          <w:szCs w:val="22"/>
        </w:rPr>
        <w:t>-</w:t>
      </w:r>
      <w:hyperlink r:id="rId149" w:tooltip="12 במרץ" w:history="1">
        <w:r w:rsidRPr="0030735F">
          <w:rPr>
            <w:rStyle w:val="Hyperlink"/>
            <w:i/>
            <w:iCs/>
            <w:sz w:val="22"/>
            <w:szCs w:val="22"/>
          </w:rPr>
          <w:t xml:space="preserve">12 </w:t>
        </w:r>
        <w:r w:rsidRPr="0030735F">
          <w:rPr>
            <w:rStyle w:val="Hyperlink"/>
            <w:i/>
            <w:iCs/>
            <w:sz w:val="22"/>
            <w:szCs w:val="22"/>
            <w:rtl/>
          </w:rPr>
          <w:t>במרץ</w:t>
        </w:r>
      </w:hyperlink>
      <w:r w:rsidRPr="0030735F">
        <w:rPr>
          <w:i/>
          <w:iCs/>
          <w:sz w:val="22"/>
          <w:szCs w:val="22"/>
        </w:rPr>
        <w:t> </w:t>
      </w:r>
      <w:hyperlink r:id="rId150" w:tooltip="2014" w:history="1">
        <w:r w:rsidRPr="0030735F">
          <w:rPr>
            <w:rStyle w:val="Hyperlink"/>
            <w:i/>
            <w:iCs/>
            <w:sz w:val="22"/>
            <w:szCs w:val="22"/>
          </w:rPr>
          <w:t>2014</w:t>
        </w:r>
      </w:hyperlink>
      <w:r w:rsidRPr="0030735F">
        <w:rPr>
          <w:i/>
          <w:iCs/>
          <w:sz w:val="22"/>
          <w:szCs w:val="22"/>
        </w:rPr>
        <w:t> </w:t>
      </w:r>
      <w:r w:rsidRPr="0030735F">
        <w:rPr>
          <w:i/>
          <w:iCs/>
          <w:sz w:val="22"/>
          <w:szCs w:val="22"/>
          <w:rtl/>
        </w:rPr>
        <w:t>ברוב של 68 תומכים וללא מתנגדים, על רקע החלטת סיעות ה</w:t>
      </w:r>
      <w:hyperlink r:id="rId151" w:tooltip="אופוזיציה" w:history="1">
        <w:r w:rsidRPr="0030735F">
          <w:rPr>
            <w:rStyle w:val="Hyperlink"/>
            <w:i/>
            <w:iCs/>
            <w:sz w:val="22"/>
            <w:szCs w:val="22"/>
            <w:rtl/>
          </w:rPr>
          <w:t>אופוזיציה</w:t>
        </w:r>
      </w:hyperlink>
      <w:r w:rsidRPr="0030735F">
        <w:rPr>
          <w:i/>
          <w:iCs/>
          <w:sz w:val="22"/>
          <w:szCs w:val="22"/>
        </w:rPr>
        <w:t> </w:t>
      </w:r>
      <w:r w:rsidRPr="0030735F">
        <w:rPr>
          <w:i/>
          <w:iCs/>
          <w:sz w:val="22"/>
          <w:szCs w:val="22"/>
          <w:rtl/>
        </w:rPr>
        <w:t>להחרים את ההצבעה</w:t>
      </w:r>
      <w:r w:rsidRPr="0030735F">
        <w:rPr>
          <w:i/>
          <w:iCs/>
          <w:sz w:val="22"/>
          <w:szCs w:val="22"/>
        </w:rPr>
        <w:t>.</w:t>
      </w:r>
    </w:p>
    <w:p w:rsidR="005366A8" w:rsidRDefault="005366A8" w:rsidP="005366A8">
      <w:pPr>
        <w:rPr>
          <w:rFonts w:ascii="Arial" w:hAnsi="Arial" w:cs="Arial"/>
          <w:rtl/>
        </w:rPr>
      </w:pPr>
    </w:p>
    <w:p w:rsidR="005366A8" w:rsidRDefault="005366A8" w:rsidP="005366A8">
      <w:pPr>
        <w:pStyle w:val="T-body"/>
        <w:spacing w:line="240" w:lineRule="auto"/>
        <w:rPr>
          <w:sz w:val="22"/>
          <w:szCs w:val="22"/>
          <w:rtl/>
        </w:rPr>
      </w:pPr>
      <w:r w:rsidRPr="001A19A4">
        <w:rPr>
          <w:rFonts w:hint="cs"/>
          <w:sz w:val="22"/>
          <w:szCs w:val="22"/>
          <w:highlight w:val="yellow"/>
          <w:rtl/>
        </w:rPr>
        <w:t>=-=</w:t>
      </w:r>
    </w:p>
    <w:p w:rsidR="005366A8" w:rsidRDefault="005366A8" w:rsidP="005366A8">
      <w:pPr>
        <w:jc w:val="center"/>
        <w:rPr>
          <w:rFonts w:cs="Guttman-Soncino"/>
          <w:u w:val="single"/>
          <w:rtl/>
        </w:rPr>
      </w:pPr>
      <w:r w:rsidRPr="001B473A">
        <w:rPr>
          <w:rFonts w:cs="Guttman-Soncino" w:hint="cs"/>
          <w:u w:val="single"/>
          <w:rtl/>
        </w:rPr>
        <w:t>דוגמאות לניתוח שאלות וסוגיות שונות של משפט חוקתי</w:t>
      </w:r>
    </w:p>
    <w:p w:rsidR="005366A8" w:rsidRPr="001B473A" w:rsidRDefault="005366A8" w:rsidP="005366A8">
      <w:pPr>
        <w:jc w:val="center"/>
        <w:rPr>
          <w:rFonts w:cs="Guttman-Soncino"/>
          <w:u w:val="single"/>
          <w:rtl/>
        </w:rPr>
      </w:pPr>
    </w:p>
    <w:p w:rsidR="005366A8" w:rsidRDefault="005366A8" w:rsidP="005366A8">
      <w:pPr>
        <w:rPr>
          <w:b/>
          <w:bCs/>
          <w:u w:val="single"/>
          <w:rtl/>
        </w:rPr>
      </w:pPr>
      <w:r>
        <w:rPr>
          <w:rFonts w:hint="cs"/>
          <w:b/>
          <w:bCs/>
          <w:highlight w:val="green"/>
          <w:u w:val="single"/>
          <w:rtl/>
        </w:rPr>
        <w:t>א</w:t>
      </w:r>
      <w:r w:rsidRPr="00E25963">
        <w:rPr>
          <w:rFonts w:hint="cs"/>
          <w:b/>
          <w:bCs/>
          <w:highlight w:val="green"/>
          <w:u w:val="single"/>
          <w:rtl/>
        </w:rPr>
        <w:t>.</w:t>
      </w:r>
      <w:r w:rsidRPr="001A44A0">
        <w:rPr>
          <w:rFonts w:hint="cs"/>
          <w:b/>
          <w:bCs/>
          <w:highlight w:val="yellow"/>
          <w:u w:val="single"/>
          <w:rtl/>
        </w:rPr>
        <w:t xml:space="preserve"> תרגיל מספר 1 מ</w:t>
      </w:r>
      <w:r>
        <w:rPr>
          <w:rFonts w:hint="cs"/>
          <w:b/>
          <w:bCs/>
          <w:highlight w:val="yellow"/>
          <w:u w:val="single"/>
          <w:rtl/>
        </w:rPr>
        <w:t>לפני</w:t>
      </w:r>
      <w:r w:rsidRPr="002D68B6">
        <w:rPr>
          <w:rFonts w:hint="cs"/>
          <w:b/>
          <w:bCs/>
          <w:highlight w:val="yellow"/>
          <w:u w:val="single"/>
          <w:rtl/>
        </w:rPr>
        <w:t xml:space="preserve"> מספר שנים</w:t>
      </w:r>
      <w:r w:rsidRPr="001B473A">
        <w:rPr>
          <w:rFonts w:hint="cs"/>
          <w:u w:val="single"/>
          <w:rtl/>
        </w:rPr>
        <w:t xml:space="preserve"> </w:t>
      </w:r>
      <w:r>
        <w:rPr>
          <w:rFonts w:hint="cs"/>
          <w:u w:val="single"/>
          <w:rtl/>
        </w:rPr>
        <w:t>–</w:t>
      </w:r>
      <w:r w:rsidRPr="001B473A">
        <w:rPr>
          <w:rFonts w:hint="cs"/>
          <w:u w:val="single"/>
          <w:rtl/>
        </w:rPr>
        <w:t xml:space="preserve"> תרגיל קשה למדי, קראו אותו בעיון; אם נמצא את הזמן נדבר עליו בפגישה הבאה</w:t>
      </w:r>
    </w:p>
    <w:p w:rsidR="005366A8" w:rsidRPr="001A44A0" w:rsidRDefault="005366A8" w:rsidP="005366A8">
      <w:pPr>
        <w:rPr>
          <w:b/>
          <w:bCs/>
          <w:u w:val="single"/>
          <w:rtl/>
        </w:rPr>
      </w:pPr>
    </w:p>
    <w:p w:rsidR="005366A8" w:rsidRPr="007D31E7" w:rsidRDefault="005366A8" w:rsidP="005366A8">
      <w:pPr>
        <w:pStyle w:val="big-header"/>
        <w:spacing w:before="120" w:after="240"/>
        <w:ind w:left="1021"/>
        <w:rPr>
          <w:rStyle w:val="default"/>
          <w:rFonts w:cs="David"/>
          <w:b/>
          <w:bCs/>
          <w:szCs w:val="20"/>
          <w:rtl/>
        </w:rPr>
      </w:pPr>
      <w:r w:rsidRPr="007D31E7">
        <w:rPr>
          <w:rFonts w:cs="David"/>
          <w:b/>
          <w:bCs/>
          <w:szCs w:val="20"/>
          <w:rtl/>
        </w:rPr>
        <w:t>חו</w:t>
      </w:r>
      <w:r w:rsidRPr="007D31E7">
        <w:rPr>
          <w:rFonts w:cs="David" w:hint="cs"/>
          <w:b/>
          <w:bCs/>
          <w:szCs w:val="20"/>
          <w:rtl/>
        </w:rPr>
        <w:t>ק-יסוד: ירושלים בירת ישראל</w:t>
      </w:r>
    </w:p>
    <w:p w:rsidR="005366A8" w:rsidRPr="007D31E7" w:rsidRDefault="005D7968" w:rsidP="005366A8">
      <w:pPr>
        <w:pStyle w:val="P00"/>
        <w:spacing w:before="72" w:after="120"/>
        <w:ind w:left="1928"/>
        <w:rPr>
          <w:rStyle w:val="default"/>
          <w:rFonts w:cs="David"/>
          <w:szCs w:val="20"/>
          <w:rtl/>
        </w:rPr>
      </w:pPr>
      <w:bookmarkStart w:id="30" w:name="Seif0"/>
      <w:bookmarkEnd w:id="30"/>
      <w:r w:rsidRPr="005D7968">
        <w:rPr>
          <w:rFonts w:cs="David"/>
          <w:szCs w:val="20"/>
          <w:rtl/>
          <w:lang w:val="he-IL"/>
        </w:rPr>
        <w:pict>
          <v:rect id="_x0000_s1161" style="position:absolute;left:0;text-align:left;margin-left:432.55pt;margin-top:8.05pt;width:107pt;height:16pt;z-index:251803648" o:allowincell="f" filled="f" stroked="f" strokecolor="lime" strokeweight=".25pt">
            <v:textbox style="mso-next-textbox:#_x0000_s1161" inset="0,0,0,0">
              <w:txbxContent>
                <w:p w:rsidR="005366A8" w:rsidRPr="007D31E7" w:rsidRDefault="005366A8" w:rsidP="005366A8">
                  <w:pPr>
                    <w:spacing w:line="160" w:lineRule="exact"/>
                    <w:ind w:left="720"/>
                    <w:rPr>
                      <w:rFonts w:cs="Miriam"/>
                      <w:noProof/>
                      <w:sz w:val="16"/>
                      <w:szCs w:val="16"/>
                      <w:rtl/>
                    </w:rPr>
                  </w:pPr>
                  <w:r w:rsidRPr="007D31E7">
                    <w:rPr>
                      <w:rFonts w:cs="Miriam"/>
                      <w:sz w:val="16"/>
                      <w:szCs w:val="16"/>
                      <w:rtl/>
                    </w:rPr>
                    <w:t>יר</w:t>
                  </w:r>
                  <w:r w:rsidRPr="007D31E7">
                    <w:rPr>
                      <w:rFonts w:cs="Miriam" w:hint="cs"/>
                      <w:sz w:val="16"/>
                      <w:szCs w:val="16"/>
                      <w:rtl/>
                    </w:rPr>
                    <w:t xml:space="preserve">ושלים </w:t>
                  </w:r>
                  <w:r w:rsidRPr="007D31E7">
                    <w:rPr>
                      <w:rFonts w:cs="Miriam"/>
                      <w:sz w:val="16"/>
                      <w:szCs w:val="16"/>
                      <w:rtl/>
                    </w:rPr>
                    <w:t>–</w:t>
                  </w:r>
                  <w:r w:rsidRPr="007D31E7">
                    <w:rPr>
                      <w:rFonts w:cs="Miriam" w:hint="cs"/>
                      <w:sz w:val="16"/>
                      <w:szCs w:val="16"/>
                      <w:rtl/>
                    </w:rPr>
                    <w:t xml:space="preserve"> </w:t>
                  </w:r>
                  <w:r w:rsidRPr="007D31E7">
                    <w:rPr>
                      <w:rFonts w:cs="Miriam"/>
                      <w:sz w:val="16"/>
                      <w:szCs w:val="16"/>
                      <w:rtl/>
                    </w:rPr>
                    <w:t>בי</w:t>
                  </w:r>
                  <w:r w:rsidRPr="007D31E7">
                    <w:rPr>
                      <w:rFonts w:cs="Miriam" w:hint="cs"/>
                      <w:sz w:val="16"/>
                      <w:szCs w:val="16"/>
                      <w:rtl/>
                    </w:rPr>
                    <w:t>רת ישראל</w:t>
                  </w:r>
                </w:p>
              </w:txbxContent>
            </v:textbox>
            <w10:anchorlock/>
          </v:rect>
        </w:pict>
      </w:r>
      <w:r w:rsidR="005366A8" w:rsidRPr="007D31E7">
        <w:rPr>
          <w:rStyle w:val="big-number"/>
          <w:rFonts w:cs="David"/>
          <w:szCs w:val="20"/>
          <w:rtl/>
        </w:rPr>
        <w:t>1.</w:t>
      </w:r>
      <w:r w:rsidR="005366A8" w:rsidRPr="007D31E7">
        <w:rPr>
          <w:rStyle w:val="big-number"/>
          <w:rFonts w:cs="David"/>
          <w:szCs w:val="20"/>
          <w:rtl/>
        </w:rPr>
        <w:tab/>
      </w:r>
      <w:r w:rsidR="005366A8" w:rsidRPr="007D31E7">
        <w:rPr>
          <w:rStyle w:val="default"/>
          <w:rFonts w:cs="David"/>
          <w:szCs w:val="20"/>
          <w:rtl/>
        </w:rPr>
        <w:t>יר</w:t>
      </w:r>
      <w:r w:rsidR="005366A8" w:rsidRPr="007D31E7">
        <w:rPr>
          <w:rStyle w:val="default"/>
          <w:rFonts w:cs="David" w:hint="cs"/>
          <w:szCs w:val="20"/>
          <w:rtl/>
        </w:rPr>
        <w:t>ושלים השלמה והמאוחדת היא בירת ישראל.</w:t>
      </w:r>
    </w:p>
    <w:p w:rsidR="005366A8" w:rsidRPr="007D31E7" w:rsidRDefault="005366A8" w:rsidP="005366A8">
      <w:pPr>
        <w:pStyle w:val="P00"/>
        <w:spacing w:before="72" w:after="120"/>
        <w:ind w:left="1928"/>
        <w:rPr>
          <w:rStyle w:val="default"/>
          <w:rFonts w:cs="David"/>
          <w:szCs w:val="20"/>
          <w:rtl/>
        </w:rPr>
      </w:pPr>
    </w:p>
    <w:p w:rsidR="005366A8" w:rsidRPr="007D31E7" w:rsidRDefault="005D7968" w:rsidP="005366A8">
      <w:pPr>
        <w:pStyle w:val="P00"/>
        <w:spacing w:before="72" w:after="120"/>
        <w:ind w:left="1928"/>
        <w:rPr>
          <w:rStyle w:val="default"/>
          <w:rFonts w:cs="David"/>
          <w:szCs w:val="20"/>
          <w:rtl/>
        </w:rPr>
      </w:pPr>
      <w:bookmarkStart w:id="31" w:name="Seif1"/>
      <w:bookmarkEnd w:id="31"/>
      <w:r w:rsidRPr="005D7968">
        <w:rPr>
          <w:rFonts w:cs="David"/>
          <w:szCs w:val="20"/>
          <w:rtl/>
          <w:lang w:val="he-IL"/>
        </w:rPr>
        <w:pict>
          <v:rect id="_x0000_s1162" style="position:absolute;left:0;text-align:left;margin-left:432.55pt;margin-top:8.05pt;width:107pt;height:32pt;z-index:251804672" o:allowincell="f" filled="f" stroked="f" strokecolor="lime" strokeweight=".25pt">
            <v:textbox inset="0,0,0,0">
              <w:txbxContent>
                <w:p w:rsidR="005366A8" w:rsidRPr="007D31E7" w:rsidRDefault="005366A8" w:rsidP="005366A8">
                  <w:pPr>
                    <w:spacing w:line="160" w:lineRule="exact"/>
                    <w:ind w:left="720"/>
                    <w:rPr>
                      <w:rFonts w:cs="Miriam"/>
                      <w:noProof/>
                      <w:sz w:val="16"/>
                      <w:szCs w:val="16"/>
                      <w:rtl/>
                    </w:rPr>
                  </w:pPr>
                  <w:r w:rsidRPr="007D31E7">
                    <w:rPr>
                      <w:rFonts w:cs="Miriam"/>
                      <w:sz w:val="16"/>
                      <w:szCs w:val="16"/>
                      <w:rtl/>
                    </w:rPr>
                    <w:t>מק</w:t>
                  </w:r>
                  <w:r w:rsidRPr="007D31E7">
                    <w:rPr>
                      <w:rFonts w:cs="Miriam" w:hint="cs"/>
                      <w:sz w:val="16"/>
                      <w:szCs w:val="16"/>
                      <w:rtl/>
                    </w:rPr>
                    <w:t xml:space="preserve">ום מושבם של </w:t>
                  </w:r>
                  <w:r w:rsidRPr="007D31E7">
                    <w:rPr>
                      <w:rFonts w:cs="Miriam"/>
                      <w:sz w:val="16"/>
                      <w:szCs w:val="16"/>
                      <w:rtl/>
                    </w:rPr>
                    <w:t>הנ</w:t>
                  </w:r>
                  <w:r w:rsidRPr="007D31E7">
                    <w:rPr>
                      <w:rFonts w:cs="Miriam" w:hint="cs"/>
                      <w:sz w:val="16"/>
                      <w:szCs w:val="16"/>
                      <w:rtl/>
                    </w:rPr>
                    <w:t xml:space="preserve">שיא, הכנסת, </w:t>
                  </w:r>
                  <w:r w:rsidRPr="007D31E7">
                    <w:rPr>
                      <w:rFonts w:cs="Miriam"/>
                      <w:sz w:val="16"/>
                      <w:szCs w:val="16"/>
                      <w:rtl/>
                    </w:rPr>
                    <w:t>המ</w:t>
                  </w:r>
                  <w:r w:rsidRPr="007D31E7">
                    <w:rPr>
                      <w:rFonts w:cs="Miriam" w:hint="cs"/>
                      <w:sz w:val="16"/>
                      <w:szCs w:val="16"/>
                      <w:rtl/>
                    </w:rPr>
                    <w:t xml:space="preserve">משלה ובית </w:t>
                  </w:r>
                  <w:r w:rsidRPr="007D31E7">
                    <w:rPr>
                      <w:rFonts w:cs="Miriam"/>
                      <w:sz w:val="16"/>
                      <w:szCs w:val="16"/>
                      <w:rtl/>
                    </w:rPr>
                    <w:t>המ</w:t>
                  </w:r>
                  <w:r w:rsidRPr="007D31E7">
                    <w:rPr>
                      <w:rFonts w:cs="Miriam" w:hint="cs"/>
                      <w:sz w:val="16"/>
                      <w:szCs w:val="16"/>
                      <w:rtl/>
                    </w:rPr>
                    <w:t>שפט העליון</w:t>
                  </w:r>
                </w:p>
              </w:txbxContent>
            </v:textbox>
            <w10:anchorlock/>
          </v:rect>
        </w:pict>
      </w:r>
      <w:r w:rsidR="005366A8" w:rsidRPr="007D31E7">
        <w:rPr>
          <w:rStyle w:val="big-number"/>
          <w:rFonts w:cs="David"/>
          <w:szCs w:val="20"/>
          <w:rtl/>
        </w:rPr>
        <w:t>2.</w:t>
      </w:r>
      <w:r w:rsidR="005366A8" w:rsidRPr="007D31E7">
        <w:rPr>
          <w:rStyle w:val="big-number"/>
          <w:rFonts w:cs="David"/>
          <w:szCs w:val="20"/>
          <w:rtl/>
        </w:rPr>
        <w:tab/>
      </w:r>
      <w:r w:rsidR="005366A8" w:rsidRPr="007D31E7">
        <w:rPr>
          <w:rStyle w:val="default"/>
          <w:rFonts w:cs="David"/>
          <w:szCs w:val="20"/>
          <w:rtl/>
        </w:rPr>
        <w:t>יר</w:t>
      </w:r>
      <w:r w:rsidR="005366A8" w:rsidRPr="007D31E7">
        <w:rPr>
          <w:rStyle w:val="default"/>
          <w:rFonts w:cs="David" w:hint="cs"/>
          <w:szCs w:val="20"/>
          <w:rtl/>
        </w:rPr>
        <w:t>ושלים היא מקום מושבם של נשיא המדינה, הכנסת, הממשלה ובית המשפט העליון.</w:t>
      </w:r>
    </w:p>
    <w:p w:rsidR="005366A8" w:rsidRPr="007D31E7" w:rsidRDefault="005366A8" w:rsidP="005366A8">
      <w:pPr>
        <w:pStyle w:val="P00"/>
        <w:spacing w:before="72" w:after="120"/>
        <w:ind w:left="1928"/>
        <w:rPr>
          <w:rStyle w:val="default"/>
          <w:rFonts w:cs="David"/>
          <w:szCs w:val="20"/>
          <w:rtl/>
        </w:rPr>
      </w:pPr>
    </w:p>
    <w:p w:rsidR="005366A8" w:rsidRPr="007D31E7" w:rsidRDefault="005366A8" w:rsidP="005366A8">
      <w:pPr>
        <w:pStyle w:val="P00"/>
        <w:spacing w:before="72"/>
        <w:ind w:left="1928"/>
        <w:rPr>
          <w:rStyle w:val="default"/>
          <w:rFonts w:cs="David"/>
          <w:szCs w:val="20"/>
          <w:rtl/>
        </w:rPr>
      </w:pPr>
    </w:p>
    <w:p w:rsidR="005366A8" w:rsidRPr="007D31E7" w:rsidRDefault="005D7968" w:rsidP="005366A8">
      <w:pPr>
        <w:pStyle w:val="P00"/>
        <w:spacing w:before="72"/>
        <w:ind w:left="1928"/>
        <w:rPr>
          <w:rStyle w:val="default"/>
          <w:rFonts w:cs="David"/>
          <w:szCs w:val="20"/>
          <w:rtl/>
        </w:rPr>
      </w:pPr>
      <w:bookmarkStart w:id="32" w:name="Seif2"/>
      <w:bookmarkEnd w:id="32"/>
      <w:r w:rsidRPr="005D7968">
        <w:rPr>
          <w:rFonts w:cs="David"/>
          <w:szCs w:val="20"/>
          <w:rtl/>
          <w:lang w:val="he-IL"/>
        </w:rPr>
        <w:pict>
          <v:rect id="_x0000_s1163" style="position:absolute;left:0;text-align:left;margin-left:432.55pt;margin-top:8.05pt;width:107pt;height:16pt;z-index:251805696" o:allowincell="f" filled="f" stroked="f" strokecolor="lime" strokeweight=".25pt">
            <v:textbox inset="0,0,0,0">
              <w:txbxContent>
                <w:p w:rsidR="005366A8" w:rsidRPr="007D31E7" w:rsidRDefault="005366A8" w:rsidP="005366A8">
                  <w:pPr>
                    <w:spacing w:line="160" w:lineRule="exact"/>
                    <w:ind w:left="720"/>
                    <w:rPr>
                      <w:rFonts w:cs="Miriam"/>
                      <w:noProof/>
                      <w:sz w:val="16"/>
                      <w:szCs w:val="16"/>
                      <w:rtl/>
                    </w:rPr>
                  </w:pPr>
                  <w:r w:rsidRPr="007D31E7">
                    <w:rPr>
                      <w:rFonts w:cs="Miriam"/>
                      <w:sz w:val="16"/>
                      <w:szCs w:val="16"/>
                      <w:rtl/>
                    </w:rPr>
                    <w:t>שמ</w:t>
                  </w:r>
                  <w:r w:rsidRPr="007D31E7">
                    <w:rPr>
                      <w:rFonts w:cs="Miriam" w:hint="cs"/>
                      <w:sz w:val="16"/>
                      <w:szCs w:val="16"/>
                      <w:rtl/>
                    </w:rPr>
                    <w:t xml:space="preserve">ירת המקומות </w:t>
                  </w:r>
                  <w:r w:rsidRPr="007D31E7">
                    <w:rPr>
                      <w:rFonts w:cs="Miriam"/>
                      <w:sz w:val="16"/>
                      <w:szCs w:val="16"/>
                      <w:rtl/>
                    </w:rPr>
                    <w:t>הק</w:t>
                  </w:r>
                  <w:r w:rsidRPr="007D31E7">
                    <w:rPr>
                      <w:rFonts w:cs="Miriam" w:hint="cs"/>
                      <w:sz w:val="16"/>
                      <w:szCs w:val="16"/>
                      <w:rtl/>
                    </w:rPr>
                    <w:t>דושים</w:t>
                  </w:r>
                </w:p>
              </w:txbxContent>
            </v:textbox>
            <w10:anchorlock/>
          </v:rect>
        </w:pict>
      </w:r>
      <w:r w:rsidR="005366A8" w:rsidRPr="007D31E7">
        <w:rPr>
          <w:rStyle w:val="big-number"/>
          <w:rFonts w:cs="David"/>
          <w:szCs w:val="20"/>
          <w:rtl/>
        </w:rPr>
        <w:t>3.</w:t>
      </w:r>
      <w:r w:rsidR="005366A8" w:rsidRPr="007D31E7">
        <w:rPr>
          <w:rStyle w:val="big-number"/>
          <w:rFonts w:cs="David"/>
          <w:szCs w:val="20"/>
          <w:rtl/>
        </w:rPr>
        <w:tab/>
      </w:r>
      <w:r w:rsidR="005366A8" w:rsidRPr="007D31E7">
        <w:rPr>
          <w:rStyle w:val="default"/>
          <w:rFonts w:cs="David"/>
          <w:szCs w:val="20"/>
          <w:rtl/>
        </w:rPr>
        <w:t>המ</w:t>
      </w:r>
      <w:r w:rsidR="005366A8" w:rsidRPr="007D31E7">
        <w:rPr>
          <w:rStyle w:val="default"/>
          <w:rFonts w:cs="David" w:hint="cs"/>
          <w:szCs w:val="20"/>
          <w:rtl/>
        </w:rPr>
        <w:t xml:space="preserve">קומות הקדושים יהיו שמורים מפני חילול וכל פגיעה אחרת ומפני כל דבר העלול </w:t>
      </w:r>
      <w:r w:rsidR="005366A8" w:rsidRPr="007D31E7">
        <w:rPr>
          <w:rStyle w:val="default"/>
          <w:rFonts w:cs="David"/>
          <w:szCs w:val="20"/>
          <w:rtl/>
        </w:rPr>
        <w:t>לפ</w:t>
      </w:r>
      <w:r w:rsidR="005366A8" w:rsidRPr="007D31E7">
        <w:rPr>
          <w:rStyle w:val="default"/>
          <w:rFonts w:cs="David" w:hint="cs"/>
          <w:szCs w:val="20"/>
          <w:rtl/>
        </w:rPr>
        <w:t>גוע בחופש הגישה של בני הדתות אל המקומות המקודשים להם או ברגשותיהם כלפי אותם המקומות.</w:t>
      </w:r>
    </w:p>
    <w:p w:rsidR="005366A8" w:rsidRPr="007D31E7" w:rsidRDefault="005D7968" w:rsidP="005366A8">
      <w:pPr>
        <w:pStyle w:val="P00"/>
        <w:spacing w:before="72"/>
        <w:ind w:left="1928"/>
        <w:rPr>
          <w:rStyle w:val="default"/>
          <w:rFonts w:cs="David"/>
          <w:szCs w:val="20"/>
          <w:rtl/>
        </w:rPr>
      </w:pPr>
      <w:r w:rsidRPr="005D7968">
        <w:rPr>
          <w:rFonts w:cs="David"/>
          <w:szCs w:val="20"/>
          <w:rtl/>
          <w:lang w:val="he-IL"/>
        </w:rPr>
        <w:pict>
          <v:rect id="_x0000_s1164" style="position:absolute;left:0;text-align:left;margin-left:464.5pt;margin-top:8.05pt;width:75.05pt;height:19pt;z-index:251806720" o:allowincell="f" filled="f" stroked="f" strokecolor="lime" strokeweight=".25pt">
            <v:textbox style="mso-next-textbox:#_x0000_s1164" inset="0,0,0,0">
              <w:txbxContent>
                <w:p w:rsidR="005366A8" w:rsidRPr="007D31E7" w:rsidRDefault="005366A8" w:rsidP="005366A8">
                  <w:pPr>
                    <w:spacing w:line="160" w:lineRule="exact"/>
                    <w:ind w:left="720"/>
                    <w:rPr>
                      <w:rFonts w:cs="Miriam"/>
                      <w:noProof/>
                      <w:sz w:val="16"/>
                      <w:szCs w:val="16"/>
                      <w:rtl/>
                    </w:rPr>
                  </w:pPr>
                  <w:r w:rsidRPr="007D31E7">
                    <w:rPr>
                      <w:rFonts w:cs="Miriam"/>
                      <w:sz w:val="16"/>
                      <w:szCs w:val="16"/>
                      <w:rtl/>
                    </w:rPr>
                    <w:t>פי</w:t>
                  </w:r>
                  <w:r w:rsidRPr="007D31E7">
                    <w:rPr>
                      <w:rFonts w:cs="Miriam" w:hint="cs"/>
                      <w:sz w:val="16"/>
                      <w:szCs w:val="16"/>
                      <w:rtl/>
                    </w:rPr>
                    <w:t>תוח ירושלים</w:t>
                  </w:r>
                </w:p>
              </w:txbxContent>
            </v:textbox>
            <w10:anchorlock/>
          </v:rect>
        </w:pict>
      </w:r>
      <w:r w:rsidR="005366A8" w:rsidRPr="007D31E7">
        <w:rPr>
          <w:rStyle w:val="big-number"/>
          <w:rFonts w:cs="David"/>
          <w:szCs w:val="20"/>
          <w:rtl/>
        </w:rPr>
        <w:t>4.</w:t>
      </w:r>
      <w:r w:rsidR="005366A8" w:rsidRPr="007D31E7">
        <w:rPr>
          <w:rStyle w:val="big-number"/>
          <w:rFonts w:cs="David"/>
          <w:szCs w:val="20"/>
          <w:rtl/>
        </w:rPr>
        <w:tab/>
      </w:r>
      <w:r w:rsidR="005366A8" w:rsidRPr="007D31E7">
        <w:rPr>
          <w:rStyle w:val="default"/>
          <w:rFonts w:cs="David"/>
          <w:szCs w:val="20"/>
          <w:rtl/>
        </w:rPr>
        <w:t>(א</w:t>
      </w:r>
      <w:r w:rsidR="005366A8" w:rsidRPr="007D31E7">
        <w:rPr>
          <w:rStyle w:val="default"/>
          <w:rFonts w:cs="David" w:hint="cs"/>
          <w:szCs w:val="20"/>
          <w:rtl/>
        </w:rPr>
        <w:t>)</w:t>
      </w:r>
      <w:r w:rsidR="005366A8" w:rsidRPr="007D31E7">
        <w:rPr>
          <w:rStyle w:val="default"/>
          <w:rFonts w:cs="David"/>
          <w:szCs w:val="20"/>
          <w:rtl/>
        </w:rPr>
        <w:tab/>
        <w:t>ה</w:t>
      </w:r>
      <w:r w:rsidR="005366A8" w:rsidRPr="007D31E7">
        <w:rPr>
          <w:rStyle w:val="default"/>
          <w:rFonts w:cs="David" w:hint="cs"/>
          <w:szCs w:val="20"/>
          <w:rtl/>
        </w:rPr>
        <w:t>ממשלה תשקוד על פיתוחה ושגשוגה של ירושלים ועל רווחת תושביה על-ידי הקצאת משאבים מיוחדים, לרבות מענק</w:t>
      </w:r>
      <w:r w:rsidR="005366A8" w:rsidRPr="007D31E7">
        <w:rPr>
          <w:rStyle w:val="default"/>
          <w:rFonts w:cs="David"/>
          <w:szCs w:val="20"/>
          <w:rtl/>
        </w:rPr>
        <w:t xml:space="preserve"> </w:t>
      </w:r>
      <w:r w:rsidR="005366A8" w:rsidRPr="007D31E7">
        <w:rPr>
          <w:rStyle w:val="default"/>
          <w:rFonts w:cs="David" w:hint="cs"/>
          <w:szCs w:val="20"/>
          <w:rtl/>
        </w:rPr>
        <w:t xml:space="preserve">שנתי מיוחד לעיריית ירושלים (מענק הבירה) באישור ועדת הכספים של </w:t>
      </w:r>
      <w:r w:rsidR="005366A8" w:rsidRPr="007D31E7">
        <w:rPr>
          <w:rStyle w:val="default"/>
          <w:rFonts w:cs="David"/>
          <w:szCs w:val="20"/>
          <w:rtl/>
        </w:rPr>
        <w:t>הכ</w:t>
      </w:r>
      <w:r w:rsidR="005366A8" w:rsidRPr="007D31E7">
        <w:rPr>
          <w:rStyle w:val="default"/>
          <w:rFonts w:cs="David" w:hint="cs"/>
          <w:szCs w:val="20"/>
          <w:rtl/>
        </w:rPr>
        <w:t>נסת.</w:t>
      </w:r>
    </w:p>
    <w:p w:rsidR="005366A8" w:rsidRPr="007D31E7" w:rsidRDefault="005366A8" w:rsidP="005366A8">
      <w:pPr>
        <w:pStyle w:val="P00"/>
        <w:spacing w:before="72"/>
        <w:ind w:left="1928"/>
        <w:rPr>
          <w:rStyle w:val="default"/>
          <w:rFonts w:cs="David"/>
          <w:szCs w:val="20"/>
          <w:rtl/>
        </w:rPr>
      </w:pPr>
      <w:r w:rsidRPr="007D31E7">
        <w:rPr>
          <w:rFonts w:cs="David"/>
          <w:szCs w:val="20"/>
          <w:rtl/>
        </w:rPr>
        <w:tab/>
      </w:r>
      <w:r w:rsidRPr="007D31E7">
        <w:rPr>
          <w:rStyle w:val="default"/>
          <w:rFonts w:cs="David"/>
          <w:szCs w:val="20"/>
          <w:rtl/>
        </w:rPr>
        <w:t>(ב</w:t>
      </w:r>
      <w:r w:rsidRPr="007D31E7">
        <w:rPr>
          <w:rStyle w:val="default"/>
          <w:rFonts w:cs="David" w:hint="cs"/>
          <w:szCs w:val="20"/>
          <w:rtl/>
        </w:rPr>
        <w:t>)</w:t>
      </w:r>
      <w:r w:rsidRPr="007D31E7">
        <w:rPr>
          <w:rStyle w:val="default"/>
          <w:rFonts w:cs="David"/>
          <w:szCs w:val="20"/>
          <w:rtl/>
        </w:rPr>
        <w:tab/>
        <w:t>ל</w:t>
      </w:r>
      <w:r w:rsidRPr="007D31E7">
        <w:rPr>
          <w:rStyle w:val="default"/>
          <w:rFonts w:cs="David" w:hint="cs"/>
          <w:szCs w:val="20"/>
          <w:rtl/>
        </w:rPr>
        <w:t>ירושלים יינתנו עדיפויות מיוחדות בפעילויות של רשויות המדינה לפיתוחה של ירושלים בנושאי משק וכלכלה ובנושאים אחרים.</w:t>
      </w:r>
    </w:p>
    <w:p w:rsidR="005366A8" w:rsidRPr="007D31E7" w:rsidRDefault="005366A8" w:rsidP="005366A8">
      <w:pPr>
        <w:pStyle w:val="P00"/>
        <w:spacing w:before="72"/>
        <w:ind w:left="1928"/>
        <w:rPr>
          <w:rStyle w:val="default"/>
          <w:rFonts w:cs="David"/>
          <w:szCs w:val="20"/>
          <w:rtl/>
        </w:rPr>
      </w:pPr>
      <w:r w:rsidRPr="007D31E7">
        <w:rPr>
          <w:rFonts w:cs="David"/>
          <w:szCs w:val="20"/>
          <w:rtl/>
        </w:rPr>
        <w:tab/>
      </w:r>
      <w:r w:rsidRPr="007D31E7">
        <w:rPr>
          <w:rStyle w:val="default"/>
          <w:rFonts w:cs="David"/>
          <w:szCs w:val="20"/>
          <w:rtl/>
        </w:rPr>
        <w:t>(ג</w:t>
      </w:r>
      <w:r w:rsidRPr="007D31E7">
        <w:rPr>
          <w:rStyle w:val="default"/>
          <w:rFonts w:cs="David" w:hint="cs"/>
          <w:szCs w:val="20"/>
          <w:rtl/>
        </w:rPr>
        <w:t>)</w:t>
      </w:r>
      <w:r w:rsidRPr="007D31E7">
        <w:rPr>
          <w:rStyle w:val="default"/>
          <w:rFonts w:cs="David"/>
          <w:szCs w:val="20"/>
          <w:rtl/>
        </w:rPr>
        <w:tab/>
        <w:t>ה</w:t>
      </w:r>
      <w:r w:rsidRPr="007D31E7">
        <w:rPr>
          <w:rStyle w:val="default"/>
          <w:rFonts w:cs="David" w:hint="cs"/>
          <w:szCs w:val="20"/>
          <w:rtl/>
        </w:rPr>
        <w:t>ממשלה תכונן גוף או גופים מיוחדים לביצוע סעיף זה.</w:t>
      </w:r>
    </w:p>
    <w:p w:rsidR="005366A8" w:rsidRPr="007D31E7" w:rsidRDefault="005366A8" w:rsidP="005366A8">
      <w:pPr>
        <w:pStyle w:val="P00"/>
        <w:spacing w:before="0"/>
        <w:ind w:left="1928"/>
        <w:rPr>
          <w:rFonts w:cs="David"/>
          <w:b/>
          <w:bCs/>
          <w:vanish/>
          <w:szCs w:val="20"/>
          <w:shd w:val="clear" w:color="auto" w:fill="FFFF99"/>
          <w:rtl/>
        </w:rPr>
      </w:pPr>
      <w:bookmarkStart w:id="33" w:name="Rov9"/>
      <w:r w:rsidRPr="007D31E7">
        <w:rPr>
          <w:rFonts w:cs="David" w:hint="cs"/>
          <w:vanish/>
          <w:color w:val="FF0000"/>
          <w:szCs w:val="20"/>
          <w:shd w:val="clear" w:color="auto" w:fill="FFFF99"/>
          <w:rtl/>
        </w:rPr>
        <w:t>מיום 7.12.2000</w:t>
      </w:r>
    </w:p>
    <w:p w:rsidR="005366A8" w:rsidRPr="007D31E7" w:rsidRDefault="005366A8" w:rsidP="005366A8">
      <w:pPr>
        <w:pStyle w:val="P00"/>
        <w:spacing w:before="0"/>
        <w:ind w:left="1928"/>
        <w:rPr>
          <w:rFonts w:cs="David"/>
          <w:b/>
          <w:bCs/>
          <w:vanish/>
          <w:szCs w:val="20"/>
          <w:shd w:val="clear" w:color="auto" w:fill="FFFF99"/>
          <w:rtl/>
        </w:rPr>
      </w:pPr>
      <w:r w:rsidRPr="007D31E7">
        <w:rPr>
          <w:rFonts w:cs="David" w:hint="cs"/>
          <w:b/>
          <w:bCs/>
          <w:vanish/>
          <w:szCs w:val="20"/>
          <w:shd w:val="clear" w:color="auto" w:fill="FFFF99"/>
          <w:rtl/>
        </w:rPr>
        <w:t>תיקון מס' 1</w:t>
      </w:r>
    </w:p>
    <w:p w:rsidR="005366A8" w:rsidRPr="007D31E7" w:rsidRDefault="005D7968" w:rsidP="005366A8">
      <w:pPr>
        <w:pStyle w:val="P00"/>
        <w:tabs>
          <w:tab w:val="clear" w:pos="6259"/>
        </w:tabs>
        <w:spacing w:before="0"/>
        <w:ind w:left="1928"/>
        <w:rPr>
          <w:rFonts w:cs="David"/>
          <w:vanish/>
          <w:szCs w:val="20"/>
          <w:shd w:val="clear" w:color="auto" w:fill="FFFF99"/>
          <w:rtl/>
        </w:rPr>
      </w:pPr>
      <w:hyperlink r:id="rId152" w:history="1">
        <w:r w:rsidR="005366A8" w:rsidRPr="007D31E7">
          <w:rPr>
            <w:rStyle w:val="Hyperlink"/>
            <w:rFonts w:cs="David" w:hint="cs"/>
            <w:vanish/>
            <w:szCs w:val="20"/>
            <w:shd w:val="clear" w:color="auto" w:fill="FFFF99"/>
            <w:rtl/>
          </w:rPr>
          <w:t>ס"ח תשס"א מס' 1760</w:t>
        </w:r>
      </w:hyperlink>
      <w:r w:rsidR="005366A8" w:rsidRPr="007D31E7">
        <w:rPr>
          <w:rFonts w:cs="David" w:hint="cs"/>
          <w:vanish/>
          <w:szCs w:val="20"/>
          <w:shd w:val="clear" w:color="auto" w:fill="FFFF99"/>
          <w:rtl/>
        </w:rPr>
        <w:t xml:space="preserve"> מיום 7.12.2000 בעמ' 28 (</w:t>
      </w:r>
      <w:hyperlink r:id="rId153" w:history="1">
        <w:r w:rsidR="005366A8" w:rsidRPr="007D31E7">
          <w:rPr>
            <w:rStyle w:val="Hyperlink"/>
            <w:rFonts w:cs="David" w:hint="cs"/>
            <w:vanish/>
            <w:szCs w:val="20"/>
            <w:shd w:val="clear" w:color="auto" w:fill="FFFF99"/>
            <w:rtl/>
          </w:rPr>
          <w:t>ה"ח 2908</w:t>
        </w:r>
      </w:hyperlink>
      <w:r w:rsidR="005366A8" w:rsidRPr="007D31E7">
        <w:rPr>
          <w:rFonts w:cs="David" w:hint="cs"/>
          <w:vanish/>
          <w:szCs w:val="20"/>
          <w:shd w:val="clear" w:color="auto" w:fill="FFFF99"/>
          <w:rtl/>
        </w:rPr>
        <w:t>)</w:t>
      </w:r>
    </w:p>
    <w:p w:rsidR="005366A8" w:rsidRPr="007D31E7" w:rsidRDefault="005366A8" w:rsidP="005366A8">
      <w:pPr>
        <w:pStyle w:val="P00"/>
        <w:tabs>
          <w:tab w:val="clear" w:pos="6259"/>
        </w:tabs>
        <w:spacing w:before="0"/>
        <w:ind w:left="1928"/>
        <w:rPr>
          <w:rStyle w:val="default"/>
          <w:rFonts w:cs="David"/>
          <w:b/>
          <w:bCs/>
          <w:szCs w:val="20"/>
          <w:rtl/>
        </w:rPr>
      </w:pPr>
      <w:r w:rsidRPr="007D31E7">
        <w:rPr>
          <w:rFonts w:cs="David" w:hint="cs"/>
          <w:b/>
          <w:bCs/>
          <w:vanish/>
          <w:szCs w:val="20"/>
          <w:shd w:val="clear" w:color="auto" w:fill="FFFF99"/>
          <w:rtl/>
        </w:rPr>
        <w:t>הוספת סעיף 4</w:t>
      </w:r>
      <w:bookmarkEnd w:id="33"/>
    </w:p>
    <w:p w:rsidR="005366A8" w:rsidRPr="007D31E7" w:rsidRDefault="005D7968" w:rsidP="005366A8">
      <w:pPr>
        <w:pStyle w:val="P00"/>
        <w:spacing w:before="72"/>
        <w:ind w:left="1928"/>
        <w:rPr>
          <w:rStyle w:val="default"/>
          <w:rFonts w:cs="David"/>
          <w:szCs w:val="20"/>
          <w:rtl/>
        </w:rPr>
      </w:pPr>
      <w:bookmarkStart w:id="34" w:name="Seif4"/>
      <w:bookmarkEnd w:id="34"/>
      <w:r w:rsidRPr="005D7968">
        <w:rPr>
          <w:rFonts w:cs="David"/>
          <w:szCs w:val="20"/>
          <w:rtl/>
          <w:lang w:val="he-IL"/>
        </w:rPr>
        <w:pict>
          <v:rect id="_x0000_s1165" style="position:absolute;left:0;text-align:left;margin-left:432.55pt;margin-top:8.05pt;width:107pt;height:28.2pt;z-index:251807744" o:allowincell="f" filled="f" stroked="f" strokecolor="lime" strokeweight=".25pt">
            <v:textbox inset="0,0,0,0">
              <w:txbxContent>
                <w:p w:rsidR="005366A8" w:rsidRPr="007D31E7" w:rsidRDefault="005366A8" w:rsidP="005366A8">
                  <w:pPr>
                    <w:spacing w:line="160" w:lineRule="exact"/>
                    <w:ind w:left="720"/>
                    <w:rPr>
                      <w:rFonts w:cs="Miriam"/>
                      <w:noProof/>
                      <w:sz w:val="16"/>
                      <w:szCs w:val="16"/>
                      <w:rtl/>
                    </w:rPr>
                  </w:pPr>
                  <w:r w:rsidRPr="007D31E7">
                    <w:rPr>
                      <w:rFonts w:cs="Miriam"/>
                      <w:sz w:val="16"/>
                      <w:szCs w:val="16"/>
                      <w:rtl/>
                    </w:rPr>
                    <w:t>שט</w:t>
                  </w:r>
                  <w:r w:rsidRPr="007D31E7">
                    <w:rPr>
                      <w:rFonts w:cs="Miriam" w:hint="cs"/>
                      <w:sz w:val="16"/>
                      <w:szCs w:val="16"/>
                      <w:rtl/>
                    </w:rPr>
                    <w:t>ח תחום ירוש</w:t>
                  </w:r>
                  <w:r w:rsidRPr="007D31E7">
                    <w:rPr>
                      <w:rFonts w:cs="Miriam"/>
                      <w:sz w:val="16"/>
                      <w:szCs w:val="16"/>
                      <w:rtl/>
                    </w:rPr>
                    <w:t>ל</w:t>
                  </w:r>
                  <w:r w:rsidRPr="007D31E7">
                    <w:rPr>
                      <w:rFonts w:cs="Miriam" w:hint="cs"/>
                      <w:sz w:val="16"/>
                      <w:szCs w:val="16"/>
                      <w:rtl/>
                    </w:rPr>
                    <w:t>ים</w:t>
                  </w:r>
                </w:p>
                <w:p w:rsidR="005366A8" w:rsidRPr="007D31E7" w:rsidRDefault="005366A8" w:rsidP="005366A8">
                  <w:pPr>
                    <w:spacing w:line="160" w:lineRule="exact"/>
                    <w:ind w:left="720"/>
                    <w:rPr>
                      <w:rFonts w:cs="Miriam"/>
                      <w:noProof/>
                      <w:sz w:val="16"/>
                      <w:szCs w:val="16"/>
                      <w:rtl/>
                    </w:rPr>
                  </w:pPr>
                  <w:r w:rsidRPr="007D31E7">
                    <w:rPr>
                      <w:rFonts w:cs="Miriam" w:hint="cs"/>
                      <w:sz w:val="16"/>
                      <w:szCs w:val="16"/>
                      <w:rtl/>
                    </w:rPr>
                    <w:t>(תיקון מס' 1) תשס"א-</w:t>
                  </w:r>
                  <w:r w:rsidRPr="007D31E7">
                    <w:rPr>
                      <w:rFonts w:cs="Miriam"/>
                      <w:sz w:val="16"/>
                      <w:szCs w:val="16"/>
                      <w:rtl/>
                    </w:rPr>
                    <w:t>2000</w:t>
                  </w:r>
                </w:p>
              </w:txbxContent>
            </v:textbox>
            <w10:anchorlock/>
          </v:rect>
        </w:pict>
      </w:r>
      <w:r w:rsidR="005366A8" w:rsidRPr="007D31E7">
        <w:rPr>
          <w:rStyle w:val="big-number"/>
          <w:rFonts w:cs="David"/>
          <w:szCs w:val="20"/>
          <w:rtl/>
        </w:rPr>
        <w:t>5.</w:t>
      </w:r>
      <w:r w:rsidR="005366A8" w:rsidRPr="007D31E7">
        <w:rPr>
          <w:rStyle w:val="big-number"/>
          <w:rFonts w:cs="David"/>
          <w:szCs w:val="20"/>
          <w:rtl/>
        </w:rPr>
        <w:tab/>
      </w:r>
      <w:r w:rsidR="005366A8" w:rsidRPr="007D31E7">
        <w:rPr>
          <w:rStyle w:val="default"/>
          <w:rFonts w:cs="David"/>
          <w:szCs w:val="20"/>
          <w:rtl/>
        </w:rPr>
        <w:t>תח</w:t>
      </w:r>
      <w:r w:rsidR="005366A8" w:rsidRPr="007D31E7">
        <w:rPr>
          <w:rStyle w:val="default"/>
          <w:rFonts w:cs="David" w:hint="cs"/>
          <w:szCs w:val="20"/>
          <w:rtl/>
        </w:rPr>
        <w:t>ום ירושלים כולל, לענין חוק-יסוד זה, בין השאר, את כל השטח המתואר בתוספת</w:t>
      </w:r>
      <w:r w:rsidR="005366A8" w:rsidRPr="007D31E7">
        <w:rPr>
          <w:rStyle w:val="default"/>
          <w:rFonts w:cs="David"/>
          <w:szCs w:val="20"/>
          <w:rtl/>
        </w:rPr>
        <w:t xml:space="preserve"> ל</w:t>
      </w:r>
      <w:r w:rsidR="005366A8" w:rsidRPr="007D31E7">
        <w:rPr>
          <w:rStyle w:val="default"/>
          <w:rFonts w:cs="David" w:hint="cs"/>
          <w:szCs w:val="20"/>
          <w:rtl/>
        </w:rPr>
        <w:t>אכרזה על הרחבת תחום עיריית ירושלים מיום כ' בסיון תשכ"ז (28 ביוני 1967), שניתנה לפי פקודת העיריות.</w:t>
      </w:r>
      <w:r w:rsidR="005366A8">
        <w:rPr>
          <w:rStyle w:val="default"/>
          <w:rFonts w:cs="David" w:hint="cs"/>
          <w:szCs w:val="20"/>
          <w:rtl/>
        </w:rPr>
        <w:t xml:space="preserve"> </w:t>
      </w:r>
    </w:p>
    <w:p w:rsidR="005366A8" w:rsidRPr="007D31E7" w:rsidRDefault="005366A8" w:rsidP="005366A8">
      <w:pPr>
        <w:pStyle w:val="P00"/>
        <w:spacing w:before="0"/>
        <w:ind w:left="1928"/>
        <w:rPr>
          <w:rFonts w:cs="David"/>
          <w:b/>
          <w:bCs/>
          <w:vanish/>
          <w:szCs w:val="20"/>
          <w:shd w:val="clear" w:color="auto" w:fill="FFFF99"/>
          <w:rtl/>
        </w:rPr>
      </w:pPr>
      <w:bookmarkStart w:id="35" w:name="Rov10"/>
      <w:r w:rsidRPr="007D31E7">
        <w:rPr>
          <w:rFonts w:cs="David" w:hint="cs"/>
          <w:vanish/>
          <w:color w:val="FF0000"/>
          <w:szCs w:val="20"/>
          <w:shd w:val="clear" w:color="auto" w:fill="FFFF99"/>
          <w:rtl/>
        </w:rPr>
        <w:t>מיום 7.12.2000</w:t>
      </w:r>
    </w:p>
    <w:p w:rsidR="005366A8" w:rsidRPr="007D31E7" w:rsidRDefault="005366A8" w:rsidP="005366A8">
      <w:pPr>
        <w:pStyle w:val="P00"/>
        <w:spacing w:before="0"/>
        <w:ind w:left="1928"/>
        <w:rPr>
          <w:rFonts w:cs="David"/>
          <w:b/>
          <w:bCs/>
          <w:vanish/>
          <w:szCs w:val="20"/>
          <w:shd w:val="clear" w:color="auto" w:fill="FFFF99"/>
          <w:rtl/>
        </w:rPr>
      </w:pPr>
      <w:r w:rsidRPr="007D31E7">
        <w:rPr>
          <w:rFonts w:cs="David" w:hint="cs"/>
          <w:b/>
          <w:bCs/>
          <w:vanish/>
          <w:szCs w:val="20"/>
          <w:shd w:val="clear" w:color="auto" w:fill="FFFF99"/>
          <w:rtl/>
        </w:rPr>
        <w:t>תיקון מס' 1</w:t>
      </w:r>
    </w:p>
    <w:p w:rsidR="005366A8" w:rsidRPr="007D31E7" w:rsidRDefault="005D7968" w:rsidP="005366A8">
      <w:pPr>
        <w:pStyle w:val="P00"/>
        <w:tabs>
          <w:tab w:val="clear" w:pos="6259"/>
        </w:tabs>
        <w:spacing w:before="0"/>
        <w:ind w:left="1928"/>
        <w:rPr>
          <w:rFonts w:cs="David"/>
          <w:vanish/>
          <w:szCs w:val="20"/>
          <w:shd w:val="clear" w:color="auto" w:fill="FFFF99"/>
          <w:rtl/>
        </w:rPr>
      </w:pPr>
      <w:hyperlink r:id="rId154" w:history="1">
        <w:r w:rsidR="005366A8" w:rsidRPr="007D31E7">
          <w:rPr>
            <w:rStyle w:val="Hyperlink"/>
            <w:rFonts w:cs="David" w:hint="cs"/>
            <w:vanish/>
            <w:szCs w:val="20"/>
            <w:shd w:val="clear" w:color="auto" w:fill="FFFF99"/>
            <w:rtl/>
          </w:rPr>
          <w:t>ס"ח תשס"א מס' 1760</w:t>
        </w:r>
      </w:hyperlink>
      <w:r w:rsidR="005366A8" w:rsidRPr="007D31E7">
        <w:rPr>
          <w:rFonts w:cs="David" w:hint="cs"/>
          <w:vanish/>
          <w:szCs w:val="20"/>
          <w:shd w:val="clear" w:color="auto" w:fill="FFFF99"/>
          <w:rtl/>
        </w:rPr>
        <w:t xml:space="preserve"> מיום 7.12.2000 בעמ' 28 (</w:t>
      </w:r>
      <w:hyperlink r:id="rId155" w:history="1">
        <w:r w:rsidR="005366A8" w:rsidRPr="007D31E7">
          <w:rPr>
            <w:rStyle w:val="Hyperlink"/>
            <w:rFonts w:cs="David" w:hint="cs"/>
            <w:vanish/>
            <w:szCs w:val="20"/>
            <w:shd w:val="clear" w:color="auto" w:fill="FFFF99"/>
            <w:rtl/>
          </w:rPr>
          <w:t>ה"ח 2908</w:t>
        </w:r>
      </w:hyperlink>
      <w:r w:rsidR="005366A8" w:rsidRPr="007D31E7">
        <w:rPr>
          <w:rFonts w:cs="David" w:hint="cs"/>
          <w:vanish/>
          <w:szCs w:val="20"/>
          <w:shd w:val="clear" w:color="auto" w:fill="FFFF99"/>
          <w:rtl/>
        </w:rPr>
        <w:t>)</w:t>
      </w:r>
    </w:p>
    <w:p w:rsidR="005366A8" w:rsidRPr="007D31E7" w:rsidRDefault="005366A8" w:rsidP="005366A8">
      <w:pPr>
        <w:pStyle w:val="P00"/>
        <w:tabs>
          <w:tab w:val="clear" w:pos="6259"/>
        </w:tabs>
        <w:spacing w:before="0"/>
        <w:ind w:left="1928"/>
        <w:rPr>
          <w:rStyle w:val="default"/>
          <w:rFonts w:cs="David"/>
          <w:b/>
          <w:bCs/>
          <w:szCs w:val="20"/>
          <w:rtl/>
        </w:rPr>
      </w:pPr>
      <w:r w:rsidRPr="007D31E7">
        <w:rPr>
          <w:rFonts w:cs="David" w:hint="cs"/>
          <w:b/>
          <w:bCs/>
          <w:vanish/>
          <w:szCs w:val="20"/>
          <w:shd w:val="clear" w:color="auto" w:fill="FFFF99"/>
          <w:rtl/>
        </w:rPr>
        <w:t>הוספת סעיף 5</w:t>
      </w:r>
      <w:bookmarkEnd w:id="35"/>
    </w:p>
    <w:p w:rsidR="005366A8" w:rsidRPr="007D31E7" w:rsidRDefault="005D7968" w:rsidP="005366A8">
      <w:pPr>
        <w:pStyle w:val="P00"/>
        <w:spacing w:before="72"/>
        <w:ind w:left="1928"/>
        <w:rPr>
          <w:rStyle w:val="default"/>
          <w:rFonts w:cs="David"/>
          <w:szCs w:val="20"/>
          <w:rtl/>
        </w:rPr>
      </w:pPr>
      <w:bookmarkStart w:id="36" w:name="Seif5"/>
      <w:bookmarkEnd w:id="36"/>
      <w:r w:rsidRPr="005D7968">
        <w:rPr>
          <w:rFonts w:cs="David"/>
          <w:szCs w:val="20"/>
          <w:rtl/>
          <w:lang w:val="he-IL"/>
        </w:rPr>
        <w:pict>
          <v:rect id="_x0000_s1166" style="position:absolute;left:0;text-align:left;margin-left:434.9pt;margin-top:8.05pt;width:104.65pt;height:37.45pt;z-index:251808768" o:allowincell="f" filled="f" stroked="f" strokecolor="lime" strokeweight=".25pt">
            <v:textbox style="mso-next-textbox:#_x0000_s1166" inset="0,0,0,0">
              <w:txbxContent>
                <w:p w:rsidR="005366A8" w:rsidRPr="007D31E7" w:rsidRDefault="005366A8" w:rsidP="005366A8">
                  <w:pPr>
                    <w:spacing w:line="160" w:lineRule="exact"/>
                    <w:ind w:left="720"/>
                    <w:rPr>
                      <w:rFonts w:cs="Miriam"/>
                      <w:noProof/>
                      <w:sz w:val="16"/>
                      <w:szCs w:val="16"/>
                      <w:rtl/>
                    </w:rPr>
                  </w:pPr>
                  <w:r w:rsidRPr="007D31E7">
                    <w:rPr>
                      <w:rFonts w:cs="Miriam"/>
                      <w:sz w:val="16"/>
                      <w:szCs w:val="16"/>
                      <w:rtl/>
                    </w:rPr>
                    <w:t>אי</w:t>
                  </w:r>
                  <w:r w:rsidRPr="007D31E7">
                    <w:rPr>
                      <w:rFonts w:cs="Miriam" w:hint="cs"/>
                      <w:sz w:val="16"/>
                      <w:szCs w:val="16"/>
                      <w:rtl/>
                    </w:rPr>
                    <w:t xml:space="preserve">סור על </w:t>
                  </w:r>
                  <w:r w:rsidRPr="007D31E7">
                    <w:rPr>
                      <w:rFonts w:cs="Miriam"/>
                      <w:sz w:val="16"/>
                      <w:szCs w:val="16"/>
                      <w:rtl/>
                    </w:rPr>
                    <w:t>הע</w:t>
                  </w:r>
                  <w:r w:rsidRPr="007D31E7">
                    <w:rPr>
                      <w:rFonts w:cs="Miriam" w:hint="cs"/>
                      <w:sz w:val="16"/>
                      <w:szCs w:val="16"/>
                      <w:rtl/>
                    </w:rPr>
                    <w:t>ברת</w:t>
                  </w:r>
                  <w:r w:rsidRPr="007D31E7">
                    <w:rPr>
                      <w:rFonts w:cs="Miriam"/>
                      <w:sz w:val="16"/>
                      <w:szCs w:val="16"/>
                      <w:rtl/>
                    </w:rPr>
                    <w:t xml:space="preserve"> ס</w:t>
                  </w:r>
                  <w:r w:rsidRPr="007D31E7">
                    <w:rPr>
                      <w:rFonts w:cs="Miriam" w:hint="cs"/>
                      <w:sz w:val="16"/>
                      <w:szCs w:val="16"/>
                      <w:rtl/>
                    </w:rPr>
                    <w:t>מכויות</w:t>
                  </w:r>
                </w:p>
                <w:p w:rsidR="005366A8" w:rsidRDefault="005366A8" w:rsidP="005366A8">
                  <w:pPr>
                    <w:spacing w:line="160" w:lineRule="exact"/>
                    <w:ind w:left="720"/>
                    <w:rPr>
                      <w:rFonts w:cs="Miriam"/>
                      <w:noProof/>
                      <w:sz w:val="18"/>
                      <w:szCs w:val="18"/>
                      <w:rtl/>
                    </w:rPr>
                  </w:pPr>
                  <w:r w:rsidRPr="007D31E7">
                    <w:rPr>
                      <w:rFonts w:cs="Miriam" w:hint="cs"/>
                      <w:sz w:val="16"/>
                      <w:szCs w:val="16"/>
                      <w:rtl/>
                    </w:rPr>
                    <w:t>תיקון תשס"א-</w:t>
                  </w:r>
                  <w:r w:rsidRPr="007D31E7">
                    <w:rPr>
                      <w:rFonts w:cs="Miriam"/>
                      <w:sz w:val="16"/>
                      <w:szCs w:val="16"/>
                      <w:rtl/>
                    </w:rPr>
                    <w:t>2000</w:t>
                  </w:r>
                </w:p>
              </w:txbxContent>
            </v:textbox>
            <w10:anchorlock/>
          </v:rect>
        </w:pict>
      </w:r>
      <w:r w:rsidR="005366A8" w:rsidRPr="007D31E7">
        <w:rPr>
          <w:rStyle w:val="big-number"/>
          <w:rFonts w:cs="David"/>
          <w:szCs w:val="20"/>
          <w:rtl/>
        </w:rPr>
        <w:t>6.</w:t>
      </w:r>
      <w:r w:rsidR="005366A8" w:rsidRPr="007D31E7">
        <w:rPr>
          <w:rStyle w:val="big-number"/>
          <w:rFonts w:cs="David"/>
          <w:szCs w:val="20"/>
          <w:rtl/>
        </w:rPr>
        <w:tab/>
      </w:r>
      <w:r w:rsidR="005366A8" w:rsidRPr="007D31E7">
        <w:rPr>
          <w:rStyle w:val="default"/>
          <w:rFonts w:cs="David"/>
          <w:szCs w:val="20"/>
          <w:rtl/>
        </w:rPr>
        <w:t>לא</w:t>
      </w:r>
      <w:r w:rsidR="005366A8" w:rsidRPr="007D31E7">
        <w:rPr>
          <w:rStyle w:val="default"/>
          <w:rFonts w:cs="David" w:hint="cs"/>
          <w:szCs w:val="20"/>
          <w:rtl/>
        </w:rPr>
        <w:t xml:space="preserve"> תועבר לגורם זר, מדיני או שלטוני, או לגורם זר אחר בדומה לכך, בין דרך קבע ובין לתקופה קצובה, כל סמכות המתייחסת לתחום ירושלים והנתונה על פי דין למדינת </w:t>
      </w:r>
      <w:r w:rsidR="005366A8" w:rsidRPr="007D31E7">
        <w:rPr>
          <w:rStyle w:val="default"/>
          <w:rFonts w:cs="David"/>
          <w:szCs w:val="20"/>
          <w:rtl/>
        </w:rPr>
        <w:t>יש</w:t>
      </w:r>
      <w:r w:rsidR="005366A8" w:rsidRPr="007D31E7">
        <w:rPr>
          <w:rStyle w:val="default"/>
          <w:rFonts w:cs="David" w:hint="cs"/>
          <w:szCs w:val="20"/>
          <w:rtl/>
        </w:rPr>
        <w:t>ראל או לעיריית ירושלים.</w:t>
      </w:r>
      <w:r w:rsidR="005366A8">
        <w:rPr>
          <w:rStyle w:val="default"/>
          <w:rFonts w:cs="David" w:hint="cs"/>
          <w:szCs w:val="20"/>
          <w:rtl/>
        </w:rPr>
        <w:t xml:space="preserve"> </w:t>
      </w:r>
    </w:p>
    <w:p w:rsidR="005366A8" w:rsidRPr="007D31E7" w:rsidRDefault="005366A8" w:rsidP="005366A8">
      <w:pPr>
        <w:pStyle w:val="P00"/>
        <w:spacing w:before="0"/>
        <w:ind w:left="1928"/>
        <w:rPr>
          <w:rFonts w:cs="David"/>
          <w:b/>
          <w:bCs/>
          <w:vanish/>
          <w:szCs w:val="20"/>
          <w:shd w:val="clear" w:color="auto" w:fill="FFFF99"/>
          <w:rtl/>
        </w:rPr>
      </w:pPr>
      <w:bookmarkStart w:id="37" w:name="Rov11"/>
      <w:r w:rsidRPr="007D31E7">
        <w:rPr>
          <w:rFonts w:cs="David" w:hint="cs"/>
          <w:vanish/>
          <w:color w:val="FF0000"/>
          <w:szCs w:val="20"/>
          <w:shd w:val="clear" w:color="auto" w:fill="FFFF99"/>
          <w:rtl/>
        </w:rPr>
        <w:t>מיום 7.12.2000</w:t>
      </w:r>
    </w:p>
    <w:p w:rsidR="005366A8" w:rsidRPr="007D31E7" w:rsidRDefault="005366A8" w:rsidP="005366A8">
      <w:pPr>
        <w:pStyle w:val="P00"/>
        <w:spacing w:before="0"/>
        <w:ind w:left="1928"/>
        <w:rPr>
          <w:rFonts w:cs="David"/>
          <w:b/>
          <w:bCs/>
          <w:vanish/>
          <w:szCs w:val="20"/>
          <w:shd w:val="clear" w:color="auto" w:fill="FFFF99"/>
          <w:rtl/>
        </w:rPr>
      </w:pPr>
      <w:r w:rsidRPr="007D31E7">
        <w:rPr>
          <w:rFonts w:cs="David" w:hint="cs"/>
          <w:b/>
          <w:bCs/>
          <w:vanish/>
          <w:szCs w:val="20"/>
          <w:shd w:val="clear" w:color="auto" w:fill="FFFF99"/>
          <w:rtl/>
        </w:rPr>
        <w:t>תיקון מס' 1</w:t>
      </w:r>
    </w:p>
    <w:p w:rsidR="005366A8" w:rsidRPr="007D31E7" w:rsidRDefault="005D7968" w:rsidP="005366A8">
      <w:pPr>
        <w:pStyle w:val="P00"/>
        <w:tabs>
          <w:tab w:val="clear" w:pos="6259"/>
        </w:tabs>
        <w:spacing w:before="0"/>
        <w:ind w:left="1928"/>
        <w:rPr>
          <w:rFonts w:cs="David"/>
          <w:vanish/>
          <w:szCs w:val="20"/>
          <w:shd w:val="clear" w:color="auto" w:fill="FFFF99"/>
          <w:rtl/>
        </w:rPr>
      </w:pPr>
      <w:hyperlink r:id="rId156" w:history="1">
        <w:r w:rsidR="005366A8" w:rsidRPr="007D31E7">
          <w:rPr>
            <w:rStyle w:val="Hyperlink"/>
            <w:rFonts w:cs="David" w:hint="cs"/>
            <w:vanish/>
            <w:szCs w:val="20"/>
            <w:shd w:val="clear" w:color="auto" w:fill="FFFF99"/>
            <w:rtl/>
          </w:rPr>
          <w:t>ס"ח תשס"א מס' 1760</w:t>
        </w:r>
      </w:hyperlink>
      <w:r w:rsidR="005366A8" w:rsidRPr="007D31E7">
        <w:rPr>
          <w:rFonts w:cs="David" w:hint="cs"/>
          <w:vanish/>
          <w:szCs w:val="20"/>
          <w:shd w:val="clear" w:color="auto" w:fill="FFFF99"/>
          <w:rtl/>
        </w:rPr>
        <w:t xml:space="preserve"> מיום 7.12.2000 בעמ' 28 (</w:t>
      </w:r>
      <w:hyperlink r:id="rId157" w:history="1">
        <w:r w:rsidR="005366A8" w:rsidRPr="007D31E7">
          <w:rPr>
            <w:rStyle w:val="Hyperlink"/>
            <w:rFonts w:cs="David" w:hint="cs"/>
            <w:vanish/>
            <w:szCs w:val="20"/>
            <w:shd w:val="clear" w:color="auto" w:fill="FFFF99"/>
            <w:rtl/>
          </w:rPr>
          <w:t>ה"ח 2908</w:t>
        </w:r>
      </w:hyperlink>
      <w:r w:rsidR="005366A8" w:rsidRPr="007D31E7">
        <w:rPr>
          <w:rFonts w:cs="David" w:hint="cs"/>
          <w:vanish/>
          <w:szCs w:val="20"/>
          <w:shd w:val="clear" w:color="auto" w:fill="FFFF99"/>
          <w:rtl/>
        </w:rPr>
        <w:t>)</w:t>
      </w:r>
    </w:p>
    <w:p w:rsidR="005366A8" w:rsidRPr="007D31E7" w:rsidRDefault="005366A8" w:rsidP="005366A8">
      <w:pPr>
        <w:pStyle w:val="P00"/>
        <w:tabs>
          <w:tab w:val="clear" w:pos="6259"/>
        </w:tabs>
        <w:spacing w:before="0"/>
        <w:ind w:left="1928"/>
        <w:rPr>
          <w:rStyle w:val="default"/>
          <w:rFonts w:cs="David"/>
          <w:b/>
          <w:bCs/>
          <w:szCs w:val="20"/>
          <w:rtl/>
        </w:rPr>
      </w:pPr>
      <w:r w:rsidRPr="007D31E7">
        <w:rPr>
          <w:rFonts w:cs="David" w:hint="cs"/>
          <w:b/>
          <w:bCs/>
          <w:vanish/>
          <w:szCs w:val="20"/>
          <w:shd w:val="clear" w:color="auto" w:fill="FFFF99"/>
          <w:rtl/>
        </w:rPr>
        <w:t>הוספת סעיף 6</w:t>
      </w:r>
      <w:bookmarkEnd w:id="37"/>
    </w:p>
    <w:p w:rsidR="005366A8" w:rsidRPr="007D31E7" w:rsidRDefault="005D7968" w:rsidP="005366A8">
      <w:pPr>
        <w:pStyle w:val="P00"/>
        <w:spacing w:before="72"/>
        <w:ind w:left="1928"/>
        <w:rPr>
          <w:rStyle w:val="default"/>
          <w:rFonts w:cs="David"/>
          <w:szCs w:val="20"/>
          <w:rtl/>
        </w:rPr>
      </w:pPr>
      <w:r w:rsidRPr="005D7968">
        <w:rPr>
          <w:rFonts w:cs="David"/>
          <w:szCs w:val="20"/>
          <w:rtl/>
          <w:lang w:val="he-IL"/>
        </w:rPr>
        <w:pict>
          <v:rect id="_x0000_s1167" style="position:absolute;left:0;text-align:left;margin-left:432.55pt;margin-top:8.05pt;width:107pt;height:29.95pt;z-index:251809792" o:allowincell="f" filled="f" stroked="f" strokecolor="lime" strokeweight=".25pt">
            <v:textbox style="mso-next-textbox:#_x0000_s1167" inset="0,0,0,0">
              <w:txbxContent>
                <w:p w:rsidR="005366A8" w:rsidRPr="007D31E7" w:rsidRDefault="005366A8" w:rsidP="005366A8">
                  <w:pPr>
                    <w:spacing w:line="160" w:lineRule="exact"/>
                    <w:ind w:left="720"/>
                    <w:rPr>
                      <w:rFonts w:cs="Miriam"/>
                      <w:noProof/>
                      <w:sz w:val="16"/>
                      <w:szCs w:val="16"/>
                      <w:rtl/>
                    </w:rPr>
                  </w:pPr>
                  <w:r w:rsidRPr="007D31E7">
                    <w:rPr>
                      <w:rFonts w:cs="Miriam"/>
                      <w:sz w:val="16"/>
                      <w:szCs w:val="16"/>
                      <w:rtl/>
                    </w:rPr>
                    <w:t>נו</w:t>
                  </w:r>
                  <w:r w:rsidRPr="007D31E7">
                    <w:rPr>
                      <w:rFonts w:cs="Miriam" w:hint="cs"/>
                      <w:sz w:val="16"/>
                      <w:szCs w:val="16"/>
                      <w:rtl/>
                    </w:rPr>
                    <w:t>קשות</w:t>
                  </w:r>
                </w:p>
                <w:p w:rsidR="005366A8" w:rsidRPr="007D31E7" w:rsidRDefault="005366A8" w:rsidP="005366A8">
                  <w:pPr>
                    <w:spacing w:line="160" w:lineRule="exact"/>
                    <w:ind w:left="720"/>
                    <w:rPr>
                      <w:rFonts w:cs="Miriam"/>
                      <w:noProof/>
                      <w:sz w:val="16"/>
                      <w:szCs w:val="16"/>
                      <w:rtl/>
                    </w:rPr>
                  </w:pPr>
                  <w:r w:rsidRPr="007D31E7">
                    <w:rPr>
                      <w:rFonts w:cs="Miriam" w:hint="cs"/>
                      <w:sz w:val="16"/>
                      <w:szCs w:val="16"/>
                      <w:rtl/>
                    </w:rPr>
                    <w:t>(תיקון מס' 1) תשס"א-</w:t>
                  </w:r>
                  <w:r w:rsidRPr="007D31E7">
                    <w:rPr>
                      <w:rFonts w:cs="Miriam"/>
                      <w:sz w:val="16"/>
                      <w:szCs w:val="16"/>
                      <w:rtl/>
                    </w:rPr>
                    <w:t>2000</w:t>
                  </w:r>
                </w:p>
              </w:txbxContent>
            </v:textbox>
            <w10:anchorlock/>
          </v:rect>
        </w:pict>
      </w:r>
      <w:r w:rsidR="005366A8" w:rsidRPr="007D31E7">
        <w:rPr>
          <w:rStyle w:val="big-number"/>
          <w:rFonts w:cs="David"/>
          <w:szCs w:val="20"/>
          <w:rtl/>
        </w:rPr>
        <w:t>7.</w:t>
      </w:r>
      <w:r w:rsidR="005366A8" w:rsidRPr="007D31E7">
        <w:rPr>
          <w:rStyle w:val="big-number"/>
          <w:rFonts w:cs="David"/>
          <w:szCs w:val="20"/>
          <w:rtl/>
        </w:rPr>
        <w:tab/>
      </w:r>
      <w:r w:rsidR="005366A8" w:rsidRPr="007D31E7">
        <w:rPr>
          <w:rStyle w:val="default"/>
          <w:rFonts w:cs="David"/>
          <w:szCs w:val="20"/>
          <w:rtl/>
        </w:rPr>
        <w:t>אי</w:t>
      </w:r>
      <w:r w:rsidR="005366A8" w:rsidRPr="007D31E7">
        <w:rPr>
          <w:rStyle w:val="default"/>
          <w:rFonts w:cs="David" w:hint="cs"/>
          <w:szCs w:val="20"/>
          <w:rtl/>
        </w:rPr>
        <w:t>ן לשנות את הוראות סעיפים 5 ו-6 אלא בחוק-יסוד שנתקבל ברוב של חב</w:t>
      </w:r>
      <w:r w:rsidR="005366A8" w:rsidRPr="007D31E7">
        <w:rPr>
          <w:rStyle w:val="default"/>
          <w:rFonts w:cs="David"/>
          <w:szCs w:val="20"/>
          <w:rtl/>
        </w:rPr>
        <w:t>ר</w:t>
      </w:r>
      <w:r w:rsidR="005366A8" w:rsidRPr="007D31E7">
        <w:rPr>
          <w:rStyle w:val="default"/>
          <w:rFonts w:cs="David" w:hint="cs"/>
          <w:szCs w:val="20"/>
          <w:rtl/>
        </w:rPr>
        <w:t>י הכנסת.</w:t>
      </w:r>
    </w:p>
    <w:p w:rsidR="005366A8" w:rsidRPr="007D31E7" w:rsidRDefault="005366A8" w:rsidP="005366A8">
      <w:pPr>
        <w:pStyle w:val="P00"/>
        <w:spacing w:before="0"/>
        <w:ind w:left="0" w:right="1134"/>
        <w:rPr>
          <w:rFonts w:cs="David"/>
          <w:b/>
          <w:bCs/>
          <w:vanish/>
          <w:szCs w:val="20"/>
          <w:shd w:val="clear" w:color="auto" w:fill="FFFF99"/>
          <w:rtl/>
        </w:rPr>
      </w:pPr>
      <w:bookmarkStart w:id="38" w:name="Rov12"/>
      <w:r w:rsidRPr="007D31E7">
        <w:rPr>
          <w:rFonts w:cs="David" w:hint="cs"/>
          <w:vanish/>
          <w:color w:val="FF0000"/>
          <w:szCs w:val="20"/>
          <w:shd w:val="clear" w:color="auto" w:fill="FFFF99"/>
          <w:rtl/>
        </w:rPr>
        <w:t>מיום 7.12.2000</w:t>
      </w:r>
    </w:p>
    <w:p w:rsidR="005366A8" w:rsidRPr="007D31E7" w:rsidRDefault="005366A8" w:rsidP="005366A8">
      <w:pPr>
        <w:pStyle w:val="P00"/>
        <w:spacing w:before="0"/>
        <w:ind w:left="0" w:right="1134"/>
        <w:rPr>
          <w:rFonts w:cs="David"/>
          <w:b/>
          <w:bCs/>
          <w:vanish/>
          <w:szCs w:val="20"/>
          <w:shd w:val="clear" w:color="auto" w:fill="FFFF99"/>
          <w:rtl/>
        </w:rPr>
      </w:pPr>
      <w:r w:rsidRPr="007D31E7">
        <w:rPr>
          <w:rFonts w:cs="David" w:hint="cs"/>
          <w:b/>
          <w:bCs/>
          <w:vanish/>
          <w:szCs w:val="20"/>
          <w:shd w:val="clear" w:color="auto" w:fill="FFFF99"/>
          <w:rtl/>
        </w:rPr>
        <w:t>תיקון מס' 1</w:t>
      </w:r>
    </w:p>
    <w:p w:rsidR="005366A8" w:rsidRPr="007D31E7" w:rsidRDefault="005D7968" w:rsidP="005366A8">
      <w:pPr>
        <w:pStyle w:val="P00"/>
        <w:tabs>
          <w:tab w:val="clear" w:pos="6259"/>
        </w:tabs>
        <w:spacing w:before="0"/>
        <w:ind w:left="0" w:right="1134"/>
        <w:rPr>
          <w:rFonts w:cs="David"/>
          <w:vanish/>
          <w:szCs w:val="20"/>
          <w:shd w:val="clear" w:color="auto" w:fill="FFFF99"/>
          <w:rtl/>
        </w:rPr>
      </w:pPr>
      <w:hyperlink r:id="rId158" w:history="1">
        <w:r w:rsidR="005366A8" w:rsidRPr="007D31E7">
          <w:rPr>
            <w:rStyle w:val="Hyperlink"/>
            <w:rFonts w:cs="David" w:hint="cs"/>
            <w:vanish/>
            <w:szCs w:val="20"/>
            <w:shd w:val="clear" w:color="auto" w:fill="FFFF99"/>
            <w:rtl/>
          </w:rPr>
          <w:t>ס"ח תשס"א מס' 1760</w:t>
        </w:r>
      </w:hyperlink>
      <w:r w:rsidR="005366A8" w:rsidRPr="007D31E7">
        <w:rPr>
          <w:rFonts w:cs="David" w:hint="cs"/>
          <w:vanish/>
          <w:szCs w:val="20"/>
          <w:shd w:val="clear" w:color="auto" w:fill="FFFF99"/>
          <w:rtl/>
        </w:rPr>
        <w:t xml:space="preserve"> מיום 7.12.2000 בעמ' 28 (</w:t>
      </w:r>
      <w:hyperlink r:id="rId159" w:history="1">
        <w:r w:rsidR="005366A8" w:rsidRPr="007D31E7">
          <w:rPr>
            <w:rStyle w:val="Hyperlink"/>
            <w:rFonts w:cs="David" w:hint="cs"/>
            <w:vanish/>
            <w:szCs w:val="20"/>
            <w:shd w:val="clear" w:color="auto" w:fill="FFFF99"/>
            <w:rtl/>
          </w:rPr>
          <w:t>ה"ח 2908</w:t>
        </w:r>
      </w:hyperlink>
      <w:r w:rsidR="005366A8" w:rsidRPr="007D31E7">
        <w:rPr>
          <w:rFonts w:cs="David" w:hint="cs"/>
          <w:vanish/>
          <w:szCs w:val="20"/>
          <w:shd w:val="clear" w:color="auto" w:fill="FFFF99"/>
          <w:rtl/>
        </w:rPr>
        <w:t>)</w:t>
      </w:r>
    </w:p>
    <w:p w:rsidR="005366A8" w:rsidRPr="007D31E7" w:rsidRDefault="005366A8" w:rsidP="005366A8">
      <w:pPr>
        <w:pStyle w:val="P00"/>
        <w:tabs>
          <w:tab w:val="clear" w:pos="6259"/>
        </w:tabs>
        <w:spacing w:before="0"/>
        <w:ind w:left="0" w:right="1134"/>
        <w:rPr>
          <w:rStyle w:val="default"/>
          <w:rFonts w:cs="David"/>
          <w:b/>
          <w:bCs/>
          <w:szCs w:val="20"/>
          <w:rtl/>
        </w:rPr>
      </w:pPr>
      <w:r w:rsidRPr="007D31E7">
        <w:rPr>
          <w:rFonts w:cs="David" w:hint="cs"/>
          <w:b/>
          <w:bCs/>
          <w:vanish/>
          <w:szCs w:val="20"/>
          <w:shd w:val="clear" w:color="auto" w:fill="FFFF99"/>
          <w:rtl/>
        </w:rPr>
        <w:t>הוספת סעיף 7</w:t>
      </w:r>
      <w:bookmarkEnd w:id="38"/>
    </w:p>
    <w:p w:rsidR="005366A8" w:rsidRPr="00156BE3" w:rsidRDefault="005366A8" w:rsidP="005366A8">
      <w:pPr>
        <w:pStyle w:val="P00"/>
        <w:spacing w:before="72"/>
        <w:ind w:left="0" w:right="1134"/>
        <w:rPr>
          <w:rStyle w:val="default"/>
          <w:rFonts w:cs="David"/>
          <w:sz w:val="22"/>
          <w:szCs w:val="22"/>
          <w:rtl/>
        </w:rPr>
      </w:pPr>
    </w:p>
    <w:p w:rsidR="005366A8" w:rsidRPr="003A4085" w:rsidRDefault="005366A8" w:rsidP="005366A8">
      <w:pPr>
        <w:spacing w:after="60"/>
        <w:rPr>
          <w:sz w:val="22"/>
          <w:szCs w:val="22"/>
          <w:rtl/>
        </w:rPr>
      </w:pPr>
    </w:p>
    <w:p w:rsidR="005366A8" w:rsidRPr="00E25963" w:rsidRDefault="005366A8" w:rsidP="005366A8">
      <w:pPr>
        <w:spacing w:after="60"/>
        <w:rPr>
          <w:sz w:val="20"/>
          <w:szCs w:val="20"/>
          <w:rtl/>
        </w:rPr>
      </w:pPr>
      <w:r w:rsidRPr="00E25963">
        <w:rPr>
          <w:rFonts w:hint="cs"/>
          <w:sz w:val="20"/>
          <w:szCs w:val="20"/>
          <w:highlight w:val="yellow"/>
          <w:rtl/>
        </w:rPr>
        <w:t xml:space="preserve">[הניחו כי] הכנסת אימצה לאחרונה בקריאה שנייה ושלישית, ברוב של 55 חברי כנסת כנגד 25 חברי כנסת ו-10 נמנעים, את </w:t>
      </w:r>
      <w:r w:rsidRPr="00E25963">
        <w:rPr>
          <w:rFonts w:cs="David"/>
          <w:b/>
          <w:bCs/>
          <w:sz w:val="20"/>
          <w:szCs w:val="20"/>
          <w:highlight w:val="yellow"/>
          <w:rtl/>
        </w:rPr>
        <w:t>הצעת חוק-יסוד: ירושלים בירת ישראל (תיקון – ירושלים בירת העם היהודי)</w:t>
      </w:r>
      <w:r w:rsidRPr="00E25963">
        <w:rPr>
          <w:rFonts w:hint="cs"/>
          <w:sz w:val="20"/>
          <w:szCs w:val="20"/>
          <w:highlight w:val="yellow"/>
          <w:rtl/>
        </w:rPr>
        <w:t xml:space="preserve"> (להלן: "התיקון").</w:t>
      </w:r>
    </w:p>
    <w:p w:rsidR="005366A8" w:rsidRPr="00E25963" w:rsidRDefault="005366A8" w:rsidP="005366A8">
      <w:pPr>
        <w:spacing w:after="60"/>
        <w:rPr>
          <w:sz w:val="20"/>
          <w:szCs w:val="20"/>
          <w:rtl/>
        </w:rPr>
      </w:pPr>
      <w:r w:rsidRPr="00E25963">
        <w:rPr>
          <w:rFonts w:hint="cs"/>
          <w:sz w:val="20"/>
          <w:szCs w:val="20"/>
          <w:rtl/>
        </w:rPr>
        <w:t>זו לשון התיקון</w:t>
      </w:r>
      <w:r>
        <w:rPr>
          <w:rFonts w:hint="cs"/>
          <w:sz w:val="20"/>
          <w:szCs w:val="20"/>
          <w:rtl/>
        </w:rPr>
        <w:t xml:space="preserve"> שכביכול התקבל</w:t>
      </w:r>
      <w:r w:rsidRPr="00E25963">
        <w:rPr>
          <w:rFonts w:hint="cs"/>
          <w:sz w:val="20"/>
          <w:szCs w:val="20"/>
          <w:rtl/>
        </w:rPr>
        <w:t>:</w:t>
      </w:r>
    </w:p>
    <w:tbl>
      <w:tblPr>
        <w:bidiVisual/>
        <w:tblW w:w="9639" w:type="dxa"/>
        <w:tblInd w:w="8" w:type="dxa"/>
        <w:tblLayout w:type="fixed"/>
        <w:tblCellMar>
          <w:top w:w="57" w:type="dxa"/>
          <w:left w:w="0" w:type="dxa"/>
          <w:bottom w:w="57" w:type="dxa"/>
          <w:right w:w="0" w:type="dxa"/>
        </w:tblCellMar>
        <w:tblLook w:val="0000"/>
      </w:tblPr>
      <w:tblGrid>
        <w:gridCol w:w="1871"/>
        <w:gridCol w:w="624"/>
        <w:gridCol w:w="7144"/>
      </w:tblGrid>
      <w:tr w:rsidR="005366A8" w:rsidRPr="00E25963" w:rsidTr="001845AC">
        <w:trPr>
          <w:cantSplit/>
          <w:trHeight w:val="60"/>
        </w:trPr>
        <w:tc>
          <w:tcPr>
            <w:tcW w:w="1871" w:type="dxa"/>
            <w:tcBorders>
              <w:top w:val="nil"/>
              <w:left w:val="nil"/>
              <w:bottom w:val="nil"/>
              <w:right w:val="nil"/>
            </w:tcBorders>
          </w:tcPr>
          <w:p w:rsidR="005366A8" w:rsidRPr="00E25963" w:rsidRDefault="005366A8" w:rsidP="001845AC">
            <w:pPr>
              <w:spacing w:after="60"/>
              <w:rPr>
                <w:rFonts w:cs="David"/>
                <w:sz w:val="20"/>
                <w:szCs w:val="20"/>
              </w:rPr>
            </w:pPr>
            <w:r w:rsidRPr="00E25963">
              <w:rPr>
                <w:rFonts w:cs="David"/>
                <w:sz w:val="20"/>
                <w:szCs w:val="20"/>
                <w:rtl/>
              </w:rPr>
              <w:t>תיקון סעיף 1</w:t>
            </w:r>
          </w:p>
        </w:tc>
        <w:tc>
          <w:tcPr>
            <w:tcW w:w="624" w:type="dxa"/>
            <w:tcBorders>
              <w:top w:val="nil"/>
              <w:left w:val="nil"/>
              <w:bottom w:val="nil"/>
              <w:right w:val="nil"/>
            </w:tcBorders>
          </w:tcPr>
          <w:p w:rsidR="005366A8" w:rsidRPr="00E25963" w:rsidRDefault="005366A8" w:rsidP="001845AC">
            <w:pPr>
              <w:spacing w:after="60"/>
              <w:rPr>
                <w:rFonts w:cs="David"/>
                <w:sz w:val="20"/>
                <w:szCs w:val="20"/>
              </w:rPr>
            </w:pPr>
            <w:r w:rsidRPr="00E25963">
              <w:rPr>
                <w:rFonts w:cs="David"/>
                <w:sz w:val="20"/>
                <w:szCs w:val="20"/>
                <w:rtl/>
              </w:rPr>
              <w:t>1.</w:t>
            </w:r>
          </w:p>
        </w:tc>
        <w:tc>
          <w:tcPr>
            <w:tcW w:w="7144" w:type="dxa"/>
            <w:tcBorders>
              <w:top w:val="nil"/>
              <w:left w:val="nil"/>
              <w:bottom w:val="nil"/>
              <w:right w:val="nil"/>
            </w:tcBorders>
          </w:tcPr>
          <w:p w:rsidR="005366A8" w:rsidRPr="00E25963" w:rsidRDefault="005366A8" w:rsidP="001845AC">
            <w:pPr>
              <w:spacing w:after="60"/>
              <w:rPr>
                <w:rFonts w:cs="David"/>
                <w:sz w:val="20"/>
                <w:szCs w:val="20"/>
                <w:rtl/>
              </w:rPr>
            </w:pPr>
            <w:r w:rsidRPr="00E25963">
              <w:rPr>
                <w:rFonts w:cs="David" w:hint="cs"/>
                <w:sz w:val="20"/>
                <w:szCs w:val="20"/>
                <w:rtl/>
              </w:rPr>
              <w:t xml:space="preserve">א. </w:t>
            </w:r>
            <w:r w:rsidRPr="00E25963">
              <w:rPr>
                <w:rFonts w:cs="David"/>
                <w:sz w:val="20"/>
                <w:szCs w:val="20"/>
                <w:rtl/>
              </w:rPr>
              <w:t>בחוק-יסוד: ירושלים בירת ישראל, בסעיף 1, בסופו יבוא "והעם היהודי".</w:t>
            </w:r>
          </w:p>
          <w:p w:rsidR="005366A8" w:rsidRPr="00E25963" w:rsidRDefault="005366A8" w:rsidP="001845AC">
            <w:pPr>
              <w:spacing w:after="60"/>
              <w:rPr>
                <w:rFonts w:cs="David"/>
                <w:sz w:val="20"/>
                <w:szCs w:val="20"/>
                <w:rtl/>
              </w:rPr>
            </w:pPr>
            <w:r w:rsidRPr="00E25963">
              <w:rPr>
                <w:rFonts w:cs="David" w:hint="cs"/>
                <w:sz w:val="20"/>
                <w:szCs w:val="20"/>
                <w:rtl/>
              </w:rPr>
              <w:t>ב. הוראה סעיף 1 המתוקנת תסומן (א) ואליה תתווסף ההוראה הבאה:</w:t>
            </w:r>
          </w:p>
          <w:p w:rsidR="005366A8" w:rsidRPr="00E25963" w:rsidRDefault="005366A8" w:rsidP="001845AC">
            <w:pPr>
              <w:spacing w:after="60"/>
              <w:ind w:left="720"/>
              <w:rPr>
                <w:rFonts w:cs="David"/>
                <w:sz w:val="20"/>
                <w:szCs w:val="20"/>
                <w:rtl/>
              </w:rPr>
            </w:pPr>
            <w:r w:rsidRPr="00E25963">
              <w:rPr>
                <w:rFonts w:cs="David" w:hint="cs"/>
                <w:sz w:val="20"/>
                <w:szCs w:val="20"/>
                <w:rtl/>
              </w:rPr>
              <w:t xml:space="preserve">(ב) </w:t>
            </w:r>
            <w:r w:rsidRPr="00E25963">
              <w:rPr>
                <w:rStyle w:val="default"/>
                <w:rFonts w:cs="David" w:hint="cs"/>
                <w:szCs w:val="20"/>
                <w:rtl/>
              </w:rPr>
              <w:t>הסכם שלפיו המשפט, השיפוט והמינהל של מדינת ישראל לא יחולו על שטח מתחום ירושלים טעון אישור באופן המצטבר הבא</w:t>
            </w:r>
            <w:r w:rsidRPr="00E25963">
              <w:rPr>
                <w:rFonts w:cs="David" w:hint="cs"/>
                <w:sz w:val="20"/>
                <w:szCs w:val="20"/>
                <w:rtl/>
              </w:rPr>
              <w:t xml:space="preserve">: </w:t>
            </w:r>
          </w:p>
          <w:p w:rsidR="005366A8" w:rsidRPr="00E25963" w:rsidRDefault="005366A8" w:rsidP="001845AC">
            <w:pPr>
              <w:spacing w:after="60"/>
              <w:ind w:left="1440"/>
              <w:rPr>
                <w:rFonts w:cs="David"/>
                <w:sz w:val="20"/>
                <w:szCs w:val="20"/>
                <w:rtl/>
              </w:rPr>
            </w:pPr>
            <w:r w:rsidRPr="00E25963">
              <w:rPr>
                <w:rFonts w:cs="David" w:hint="cs"/>
                <w:sz w:val="20"/>
                <w:szCs w:val="20"/>
                <w:rtl/>
              </w:rPr>
              <w:t xml:space="preserve">(1) </w:t>
            </w:r>
            <w:r w:rsidRPr="00E25963">
              <w:rPr>
                <w:rStyle w:val="default"/>
                <w:rFonts w:cs="David" w:hint="cs"/>
                <w:szCs w:val="20"/>
                <w:rtl/>
              </w:rPr>
              <w:t>אישור במשאל עם, שיתקבל ברוב של שני שליש מהקולות הכשרים של המשתתפים במשאל</w:t>
            </w:r>
            <w:r w:rsidRPr="00E25963">
              <w:rPr>
                <w:rFonts w:cs="David" w:hint="cs"/>
                <w:sz w:val="20"/>
                <w:szCs w:val="20"/>
                <w:rtl/>
              </w:rPr>
              <w:t>; הוראות בדבר עריכת משאל העם יקבעו בחוק;</w:t>
            </w:r>
          </w:p>
          <w:p w:rsidR="005366A8" w:rsidRPr="00E25963" w:rsidRDefault="005366A8" w:rsidP="001845AC">
            <w:pPr>
              <w:spacing w:after="60"/>
              <w:ind w:left="1440"/>
              <w:rPr>
                <w:rFonts w:cs="David"/>
                <w:sz w:val="20"/>
                <w:szCs w:val="20"/>
              </w:rPr>
            </w:pPr>
            <w:r w:rsidRPr="00E25963">
              <w:rPr>
                <w:rFonts w:cs="David" w:hint="cs"/>
                <w:sz w:val="20"/>
                <w:szCs w:val="20"/>
                <w:rtl/>
              </w:rPr>
              <w:t>(2) אישור בהכרעת רוב של שני שליש של צירי הקונגרס הציוני המשתתפים בהצבעה שתיערך בכינוס מיוחד של הקונגרס.</w:t>
            </w:r>
          </w:p>
        </w:tc>
      </w:tr>
    </w:tbl>
    <w:p w:rsidR="005366A8" w:rsidRPr="00E25963" w:rsidRDefault="005366A8" w:rsidP="005366A8">
      <w:pPr>
        <w:spacing w:after="60"/>
        <w:rPr>
          <w:sz w:val="20"/>
          <w:szCs w:val="20"/>
          <w:rtl/>
        </w:rPr>
      </w:pPr>
      <w:r w:rsidRPr="00E25963">
        <w:rPr>
          <w:rFonts w:hint="cs"/>
          <w:sz w:val="20"/>
          <w:szCs w:val="20"/>
          <w:rtl/>
        </w:rPr>
        <w:t>ביחס להרכבו של הקונגרס הציוני, הניחו את מצב הדברים הבא:</w:t>
      </w:r>
    </w:p>
    <w:p w:rsidR="005366A8" w:rsidRPr="003A4E75" w:rsidRDefault="005366A8" w:rsidP="005366A8">
      <w:pPr>
        <w:spacing w:after="60"/>
        <w:ind w:left="720"/>
        <w:rPr>
          <w:sz w:val="16"/>
          <w:szCs w:val="16"/>
        </w:rPr>
      </w:pPr>
      <w:r w:rsidRPr="003A4E75">
        <w:rPr>
          <w:rFonts w:ascii="Tahoma" w:hAnsi="Tahoma" w:cs="Tahoma"/>
          <w:sz w:val="16"/>
          <w:szCs w:val="16"/>
          <w:rtl/>
        </w:rPr>
        <w:t>על פי סעיף 17 פיסקה 1 של חוקת ההסתדרות הציונית, מספרי צירי הקונגרס –</w:t>
      </w:r>
      <w:r w:rsidRPr="003A4E75">
        <w:rPr>
          <w:rFonts w:ascii="Tahoma" w:hAnsi="Tahoma" w:cs="Tahoma" w:hint="cs"/>
          <w:sz w:val="16"/>
          <w:szCs w:val="16"/>
          <w:rtl/>
        </w:rPr>
        <w:t xml:space="preserve"> </w:t>
      </w:r>
      <w:r w:rsidRPr="003A4E75">
        <w:rPr>
          <w:rFonts w:ascii="Tahoma" w:hAnsi="Tahoma" w:cs="Tahoma"/>
          <w:sz w:val="16"/>
          <w:szCs w:val="16"/>
          <w:rtl/>
        </w:rPr>
        <w:t>מלבד אלה הנבחרים לפי רשימות עולמיות ואלה המייצגים ארגונים בין לאומים –</w:t>
      </w:r>
      <w:r w:rsidRPr="003A4E75">
        <w:rPr>
          <w:rFonts w:ascii="Tahoma" w:hAnsi="Tahoma" w:cs="Tahoma" w:hint="cs"/>
          <w:sz w:val="16"/>
          <w:szCs w:val="16"/>
          <w:rtl/>
        </w:rPr>
        <w:t xml:space="preserve"> </w:t>
      </w:r>
      <w:r w:rsidRPr="003A4E75">
        <w:rPr>
          <w:rFonts w:ascii="Tahoma" w:hAnsi="Tahoma" w:cs="Tahoma"/>
          <w:sz w:val="16"/>
          <w:szCs w:val="16"/>
          <w:rtl/>
        </w:rPr>
        <w:t xml:space="preserve">לא יעלה על 500. על פי פיסקה 3, מספר צירי הקונגרס יחולק כדלקמן: ישראל 38%, ארצות הברית 29%, ויתר ארצות התפוצות 33%. </w:t>
      </w:r>
    </w:p>
    <w:p w:rsidR="005366A8" w:rsidRPr="00E25963" w:rsidRDefault="005366A8" w:rsidP="005366A8">
      <w:pPr>
        <w:spacing w:after="60"/>
        <w:ind w:left="720" w:hanging="720"/>
        <w:rPr>
          <w:sz w:val="20"/>
          <w:szCs w:val="20"/>
          <w:rtl/>
        </w:rPr>
      </w:pPr>
      <w:r w:rsidRPr="00E25963">
        <w:rPr>
          <w:rFonts w:hint="cs"/>
          <w:sz w:val="20"/>
          <w:szCs w:val="20"/>
          <w:rtl/>
        </w:rPr>
        <w:t>=-=</w:t>
      </w:r>
    </w:p>
    <w:p w:rsidR="005366A8" w:rsidRPr="00E25963" w:rsidRDefault="005366A8" w:rsidP="005366A8">
      <w:pPr>
        <w:spacing w:after="60"/>
        <w:ind w:left="720" w:hanging="720"/>
        <w:rPr>
          <w:b/>
          <w:bCs/>
          <w:sz w:val="20"/>
          <w:szCs w:val="20"/>
          <w:rtl/>
        </w:rPr>
      </w:pPr>
      <w:r w:rsidRPr="00E25963">
        <w:rPr>
          <w:rFonts w:hint="cs"/>
          <w:b/>
          <w:bCs/>
          <w:sz w:val="20"/>
          <w:szCs w:val="20"/>
          <w:rtl/>
        </w:rPr>
        <w:t>1. באיזה זכויות אדם פוגע, אם בכלל, תיקון זה? זכויות של איזה בני-אדם? מהן תכליתו או הצדקותיו האפשריות? מהן בעיותיו הגדולות, ככל שיש כאלו? מה עמדתך (הערכית) ביחס אליו?</w:t>
      </w:r>
    </w:p>
    <w:p w:rsidR="005366A8" w:rsidRPr="00E25963" w:rsidRDefault="005366A8" w:rsidP="005366A8">
      <w:pPr>
        <w:spacing w:after="60"/>
        <w:ind w:left="720" w:hanging="720"/>
        <w:rPr>
          <w:sz w:val="20"/>
          <w:szCs w:val="20"/>
          <w:rtl/>
        </w:rPr>
      </w:pPr>
    </w:p>
    <w:p w:rsidR="005366A8" w:rsidRPr="00E25963" w:rsidRDefault="005366A8" w:rsidP="005366A8">
      <w:pPr>
        <w:spacing w:after="60"/>
        <w:rPr>
          <w:b/>
          <w:bCs/>
          <w:i/>
          <w:iCs/>
          <w:sz w:val="20"/>
          <w:szCs w:val="20"/>
          <w:rtl/>
        </w:rPr>
      </w:pPr>
      <w:r w:rsidRPr="00E25963">
        <w:rPr>
          <w:rFonts w:hint="cs"/>
          <w:b/>
          <w:bCs/>
          <w:i/>
          <w:iCs/>
          <w:sz w:val="20"/>
          <w:szCs w:val="20"/>
          <w:rtl/>
        </w:rPr>
        <w:t>מהן תכליות התיקון לחוק היסוד, ומה הוא בעצם עושה?</w:t>
      </w:r>
    </w:p>
    <w:p w:rsidR="005366A8" w:rsidRPr="00E25963" w:rsidRDefault="005366A8" w:rsidP="005366A8">
      <w:pPr>
        <w:spacing w:after="60"/>
        <w:rPr>
          <w:sz w:val="20"/>
          <w:szCs w:val="20"/>
          <w:rtl/>
        </w:rPr>
      </w:pPr>
      <w:r w:rsidRPr="00E25963">
        <w:rPr>
          <w:rFonts w:hint="cs"/>
          <w:sz w:val="20"/>
          <w:szCs w:val="20"/>
          <w:rtl/>
        </w:rPr>
        <w:t xml:space="preserve">התיקון חותר לשתי תכליות לפחות: ראשית, לסמל את היותה של ירושלים לא רק בירת ישראל אלא גם בירתו של העם היהודי כולו, זה שכאן וזה שבתפוצות; שנית, ליצור משוכות גבוהות בפני חלוקת העיר. </w:t>
      </w:r>
    </w:p>
    <w:p w:rsidR="005366A8" w:rsidRPr="00E25963" w:rsidRDefault="005366A8" w:rsidP="005366A8">
      <w:pPr>
        <w:spacing w:after="60"/>
        <w:rPr>
          <w:sz w:val="20"/>
          <w:szCs w:val="20"/>
          <w:rtl/>
        </w:rPr>
      </w:pPr>
      <w:r w:rsidRPr="00E25963">
        <w:rPr>
          <w:rFonts w:hint="cs"/>
          <w:sz w:val="20"/>
          <w:szCs w:val="20"/>
          <w:rtl/>
        </w:rPr>
        <w:t xml:space="preserve">את התפיסה לפיה ירושלים היא גם בירת העם היהודי מבטא התיקון גם במילים וגם בדרך נוספת: הוא מתנה את חלוקתה של ירושלים במעורבותם ובהסכמתם של צירי הקונגרס הציוני, שרובם תושבי התפוצות. </w:t>
      </w:r>
    </w:p>
    <w:p w:rsidR="005366A8" w:rsidRPr="00E25963" w:rsidRDefault="005366A8" w:rsidP="005366A8">
      <w:pPr>
        <w:spacing w:after="60"/>
        <w:rPr>
          <w:sz w:val="20"/>
          <w:szCs w:val="20"/>
          <w:rtl/>
        </w:rPr>
      </w:pPr>
      <w:r w:rsidRPr="00E25963">
        <w:rPr>
          <w:rFonts w:hint="cs"/>
          <w:sz w:val="20"/>
          <w:szCs w:val="20"/>
          <w:rtl/>
        </w:rPr>
        <w:t>את המשוכות הגבוהות בפני חלוקתה של ירושלים יוצר התיקון בשתי דרכים:</w:t>
      </w:r>
    </w:p>
    <w:p w:rsidR="005366A8" w:rsidRPr="00E25963" w:rsidRDefault="005366A8" w:rsidP="005366A8">
      <w:pPr>
        <w:spacing w:after="60"/>
        <w:rPr>
          <w:sz w:val="20"/>
          <w:szCs w:val="20"/>
          <w:rtl/>
        </w:rPr>
      </w:pPr>
      <w:r w:rsidRPr="00E25963">
        <w:rPr>
          <w:rFonts w:hint="cs"/>
          <w:sz w:val="20"/>
          <w:szCs w:val="20"/>
          <w:rtl/>
        </w:rPr>
        <w:t xml:space="preserve">א. באמצעות עירובו של גורם הכרעה נוסף, הוא הקונגרס הציוני </w:t>
      </w:r>
      <w:r w:rsidRPr="00E25963">
        <w:rPr>
          <w:sz w:val="20"/>
          <w:szCs w:val="20"/>
          <w:rtl/>
        </w:rPr>
        <w:t>–</w:t>
      </w:r>
      <w:r w:rsidRPr="00E25963">
        <w:rPr>
          <w:rFonts w:hint="cs"/>
          <w:sz w:val="20"/>
          <w:szCs w:val="20"/>
          <w:rtl/>
        </w:rPr>
        <w:t xml:space="preserve"> שלו ניתנה כאן "סמכות וטו" לעצור הסכם מדיני שאחת מהסכמותיו היא חלוקת שטחה של ירושלים.</w:t>
      </w:r>
    </w:p>
    <w:p w:rsidR="005366A8" w:rsidRPr="00E25963" w:rsidRDefault="005366A8" w:rsidP="005366A8">
      <w:pPr>
        <w:spacing w:after="60"/>
        <w:rPr>
          <w:sz w:val="20"/>
          <w:szCs w:val="20"/>
          <w:rtl/>
        </w:rPr>
      </w:pPr>
      <w:r w:rsidRPr="00E25963">
        <w:rPr>
          <w:rFonts w:hint="cs"/>
          <w:sz w:val="20"/>
          <w:szCs w:val="20"/>
          <w:rtl/>
        </w:rPr>
        <w:t>ב. יצירת דרישה לרוב מיוחד, של שני שליש, בקרב משתתפי ההצבעה בשני פורומים מצטברים של הכרעה בסוגיה זו: משאל עם בקרב אזרחי ישראל, וכינוס מיוחד של הקונגרס הציוני.</w:t>
      </w:r>
    </w:p>
    <w:p w:rsidR="005366A8" w:rsidRPr="00E25963" w:rsidRDefault="005366A8" w:rsidP="005366A8">
      <w:pPr>
        <w:spacing w:after="60"/>
        <w:rPr>
          <w:sz w:val="20"/>
          <w:szCs w:val="20"/>
          <w:rtl/>
        </w:rPr>
      </w:pPr>
      <w:r w:rsidRPr="00E25963">
        <w:rPr>
          <w:rFonts w:hint="cs"/>
          <w:sz w:val="20"/>
          <w:szCs w:val="20"/>
          <w:rtl/>
        </w:rPr>
        <w:t xml:space="preserve">נקודה נוספת. ישראל היא דמוקרטיה פרלמנטרית, משמע, דמוקרטיה ייצוגית, להבדיל מדמוקרטיה ישירה, ולכן יצירת פרוצדורה של משאל-עם משנה משהו-של-ממש בכללי המשחק שלה. [בעבר הכנסת גילתה דעתה, כי משאל עם ביחס להעברת שטח משטחה יתקיים רק כאשר יתגבש חוק יסוד: משאל-עם, ואולם לפני כשנה היא תיקנה את הוראת </w:t>
      </w:r>
      <w:r w:rsidRPr="00E25963">
        <w:rPr>
          <w:rFonts w:cs="David" w:hint="cs"/>
          <w:sz w:val="20"/>
          <w:szCs w:val="20"/>
          <w:rtl/>
        </w:rPr>
        <w:t>חוק סדרי השלטון והמשפט (ביטול החלת המשפט, השיפוט והמינהל), תשנ"ט-1999</w:t>
      </w:r>
      <w:r w:rsidRPr="00E25963">
        <w:rPr>
          <w:rFonts w:hint="cs"/>
          <w:sz w:val="20"/>
          <w:szCs w:val="20"/>
          <w:rtl/>
        </w:rPr>
        <w:t xml:space="preserve">, והכניסה פרוצדורה מפורטת של משאל-עם בתוך חוק זה עצמו (כלומר לא בחוק יסוד). שאלת סמכותה לעשות זאת נבחנת עתה בבית המשפט העליון במסגרת עתירה שהוגשה כנגד אותו תיקון חוק]. ואולם כאן בעיה זו נעקפת לכאורה, שכן התיקון שמוצג בתרגיל קובע את הדרישה למשאל-עם בתוך חוק יסוד, הוא חוק יסוד: ירושלים בירת ישראל. </w:t>
      </w:r>
    </w:p>
    <w:p w:rsidR="005366A8" w:rsidRPr="00E25963" w:rsidRDefault="005366A8" w:rsidP="005366A8">
      <w:pPr>
        <w:spacing w:after="60"/>
        <w:rPr>
          <w:sz w:val="20"/>
          <w:szCs w:val="20"/>
          <w:rtl/>
        </w:rPr>
      </w:pPr>
      <w:r w:rsidRPr="00E25963">
        <w:rPr>
          <w:rFonts w:hint="cs"/>
          <w:sz w:val="20"/>
          <w:szCs w:val="20"/>
          <w:rtl/>
        </w:rPr>
        <w:t>עם זאת, נוצרת במקביל בעיה נוספת במישור הדמוקרטיה הייצוגית: פרשנית נראה כי חוק היסוד המתוקן משמיט כליל את הכנסת מהליך קבלת ההכרעה ביחס לחלוקת ירושלים. הסכם מדיני בעניין ירושלים (הסכם שרק הממשלה יכולה לגבש את מסגרתו) כבר אינו צריך לבוא לאישורה של הכנסת ולאישור במשאל עם כנדרש בחוק סדרי השלטון והמשפט, אלא לאישורו של משאל עם ולאישורו של הקונגרס הציוני. במילים אחרות, בעניין חשוב זה הקונגרס הציוני מחליף את כנסת ישראל!</w:t>
      </w:r>
    </w:p>
    <w:p w:rsidR="005366A8" w:rsidRPr="00E25963" w:rsidRDefault="005366A8" w:rsidP="005366A8">
      <w:pPr>
        <w:spacing w:after="60"/>
        <w:rPr>
          <w:sz w:val="20"/>
          <w:szCs w:val="20"/>
          <w:rtl/>
        </w:rPr>
      </w:pPr>
    </w:p>
    <w:p w:rsidR="005366A8" w:rsidRPr="00E25963" w:rsidRDefault="005366A8" w:rsidP="005366A8">
      <w:pPr>
        <w:spacing w:after="60"/>
        <w:rPr>
          <w:b/>
          <w:bCs/>
          <w:i/>
          <w:iCs/>
          <w:sz w:val="20"/>
          <w:szCs w:val="20"/>
          <w:rtl/>
        </w:rPr>
      </w:pPr>
      <w:r w:rsidRPr="00E25963">
        <w:rPr>
          <w:rFonts w:hint="cs"/>
          <w:b/>
          <w:bCs/>
          <w:i/>
          <w:iCs/>
          <w:sz w:val="20"/>
          <w:szCs w:val="20"/>
          <w:rtl/>
        </w:rPr>
        <w:t>מהן הבעיות המיוחדות של התיקון במישור הערכי?</w:t>
      </w:r>
    </w:p>
    <w:p w:rsidR="005366A8" w:rsidRPr="00E25963" w:rsidRDefault="005366A8" w:rsidP="005366A8">
      <w:pPr>
        <w:spacing w:after="60"/>
        <w:rPr>
          <w:sz w:val="20"/>
          <w:szCs w:val="20"/>
          <w:rtl/>
        </w:rPr>
      </w:pPr>
      <w:r w:rsidRPr="00E25963">
        <w:rPr>
          <w:rFonts w:hint="cs"/>
          <w:sz w:val="20"/>
          <w:szCs w:val="20"/>
          <w:rtl/>
        </w:rPr>
        <w:t>מנקודת-ראות ליברלית, נקודת-הראות שאותה אימצתי, מתעוררות בעיות רבות, והן בעיות מצטברות.</w:t>
      </w:r>
    </w:p>
    <w:p w:rsidR="005366A8" w:rsidRPr="00E25963" w:rsidRDefault="005366A8" w:rsidP="005366A8">
      <w:pPr>
        <w:spacing w:after="60"/>
        <w:rPr>
          <w:sz w:val="20"/>
          <w:szCs w:val="20"/>
          <w:rtl/>
        </w:rPr>
      </w:pPr>
      <w:r w:rsidRPr="00E25963">
        <w:rPr>
          <w:rFonts w:hint="cs"/>
          <w:sz w:val="20"/>
          <w:szCs w:val="20"/>
          <w:rtl/>
        </w:rPr>
        <w:t>[אני מכניס את הנקודה הבאה לסוגריים, שכן לא למדנו על מעמד אזרחי ולא עסקנו בפלסטינים תושבי ירושלים המזרחית.</w:t>
      </w:r>
    </w:p>
    <w:p w:rsidR="005366A8" w:rsidRPr="00E25963" w:rsidRDefault="005366A8" w:rsidP="005366A8">
      <w:pPr>
        <w:spacing w:after="60"/>
        <w:rPr>
          <w:sz w:val="20"/>
          <w:szCs w:val="20"/>
          <w:rtl/>
        </w:rPr>
      </w:pPr>
      <w:r w:rsidRPr="00E25963">
        <w:rPr>
          <w:rFonts w:hint="cs"/>
          <w:sz w:val="20"/>
          <w:szCs w:val="20"/>
          <w:rtl/>
        </w:rPr>
        <w:t xml:space="preserve">בעיה גדולה ביותר בעיני נוגעת לפלסטינים תושבי ירושלים. הגבהת המשוכות לחלוקתה של ירושלים מנציחה יותר ויותר את מצבם. מאז שנת 1967 הם מוחזקים תחת שלטון ישראל, בסטאטוס של תושבים, ללא הזכויות הפוליטיות של אזרחים. יתר על כן, גדר ההפרדה שהוקמה עתה ועוטפת גם את מרבית ירושלים המזרחית מחריפה את הניתוק בינם לבין בני-עמם, שעמם הם מצויים בקשרי שאירות משפחתיים, ובקשרים קהילתיים ותרבותיים הדוקים יותר </w:t>
      </w:r>
      <w:r w:rsidRPr="00E25963">
        <w:rPr>
          <w:sz w:val="20"/>
          <w:szCs w:val="20"/>
          <w:rtl/>
        </w:rPr>
        <w:t>–</w:t>
      </w:r>
      <w:r w:rsidRPr="00E25963">
        <w:rPr>
          <w:rFonts w:hint="cs"/>
          <w:sz w:val="20"/>
          <w:szCs w:val="20"/>
          <w:rtl/>
        </w:rPr>
        <w:t xml:space="preserve"> הפלסטינים בגדה המערבית. </w:t>
      </w:r>
    </w:p>
    <w:p w:rsidR="005366A8" w:rsidRPr="00E25963" w:rsidRDefault="005366A8" w:rsidP="005366A8">
      <w:pPr>
        <w:spacing w:after="60"/>
        <w:rPr>
          <w:sz w:val="20"/>
          <w:szCs w:val="20"/>
          <w:rtl/>
        </w:rPr>
      </w:pPr>
      <w:r w:rsidRPr="00E25963">
        <w:rPr>
          <w:rFonts w:hint="cs"/>
          <w:sz w:val="20"/>
          <w:szCs w:val="20"/>
          <w:rtl/>
        </w:rPr>
        <w:t>יתר על כן, הגבהת המשוכות לחלוקתה של ירושלים פוגעת בפלסטינים כעם, כקהילה לאומית, שכן גם הם רואים בירושלים את בירתם; יתר על כן, הגבהת המשוכות מנציחה יותר ויותר את הפיצול הפנימי שלהם, את הנתק המתעצם בינם לבין הפלסטינים תושבי ירושלים].</w:t>
      </w:r>
    </w:p>
    <w:p w:rsidR="005366A8" w:rsidRPr="00E25963" w:rsidRDefault="005366A8" w:rsidP="005366A8">
      <w:pPr>
        <w:spacing w:after="60"/>
        <w:rPr>
          <w:b/>
          <w:bCs/>
          <w:sz w:val="20"/>
          <w:szCs w:val="20"/>
          <w:rtl/>
        </w:rPr>
      </w:pPr>
      <w:r w:rsidRPr="00E25963">
        <w:rPr>
          <w:rFonts w:hint="cs"/>
          <w:b/>
          <w:bCs/>
          <w:sz w:val="20"/>
          <w:szCs w:val="20"/>
          <w:rtl/>
        </w:rPr>
        <w:t xml:space="preserve">במקביל, תיקון חוק היסוד מכיל קשיים רבים גם במישור הפנים-ישראלי. </w:t>
      </w:r>
    </w:p>
    <w:p w:rsidR="005366A8" w:rsidRPr="00E25963" w:rsidRDefault="005366A8" w:rsidP="005366A8">
      <w:pPr>
        <w:spacing w:after="60"/>
        <w:rPr>
          <w:sz w:val="20"/>
          <w:szCs w:val="20"/>
          <w:rtl/>
        </w:rPr>
      </w:pPr>
      <w:r w:rsidRPr="00E25963">
        <w:rPr>
          <w:rFonts w:hint="cs"/>
          <w:sz w:val="20"/>
          <w:szCs w:val="20"/>
          <w:rtl/>
        </w:rPr>
        <w:t xml:space="preserve">הגבהה של משוכות מפני שינוי נעשית בדרך כלל בחוקה, והיא נוגעת לסוגים מסוימים, חשובים במיוחד, של הכרעות. מדובר או בהכרעות שעניינן "כללי המשחק" של הדמוקרטיה </w:t>
      </w:r>
      <w:r w:rsidRPr="00E25963">
        <w:rPr>
          <w:sz w:val="20"/>
          <w:szCs w:val="20"/>
          <w:rtl/>
        </w:rPr>
        <w:t>–</w:t>
      </w:r>
      <w:r w:rsidRPr="00E25963">
        <w:rPr>
          <w:rFonts w:hint="cs"/>
          <w:sz w:val="20"/>
          <w:szCs w:val="20"/>
          <w:rtl/>
        </w:rPr>
        <w:t xml:space="preserve"> כלומר הכללים ביחס </w:t>
      </w:r>
      <w:r w:rsidRPr="00E25963">
        <w:rPr>
          <w:rFonts w:hint="cs"/>
          <w:i/>
          <w:iCs/>
          <w:sz w:val="20"/>
          <w:szCs w:val="20"/>
          <w:rtl/>
        </w:rPr>
        <w:t xml:space="preserve">לאופן </w:t>
      </w:r>
      <w:r w:rsidRPr="00E25963">
        <w:rPr>
          <w:rFonts w:hint="cs"/>
          <w:sz w:val="20"/>
          <w:szCs w:val="20"/>
          <w:rtl/>
        </w:rPr>
        <w:t xml:space="preserve">קבלת ההכרעות הגורליות/ היסודיות בדמוקרטיה </w:t>
      </w:r>
      <w:r w:rsidRPr="00E25963">
        <w:rPr>
          <w:sz w:val="20"/>
          <w:szCs w:val="20"/>
          <w:rtl/>
        </w:rPr>
        <w:t>–</w:t>
      </w:r>
      <w:r w:rsidRPr="00E25963">
        <w:rPr>
          <w:rFonts w:hint="cs"/>
          <w:sz w:val="20"/>
          <w:szCs w:val="20"/>
          <w:rtl/>
        </w:rPr>
        <w:t xml:space="preserve"> או הכרעות שנוגעות לערכי היסוד של מדינה דמוקרטית, ובהם ההגנה על זכויות האדם וזכויות המיעוט. האם תיקון זה לחוק יסוד: ירושלים בירת ישראל </w:t>
      </w:r>
      <w:r w:rsidRPr="00E25963">
        <w:rPr>
          <w:sz w:val="20"/>
          <w:szCs w:val="20"/>
          <w:rtl/>
        </w:rPr>
        <w:t>–</w:t>
      </w:r>
      <w:r w:rsidRPr="00E25963">
        <w:rPr>
          <w:rFonts w:hint="cs"/>
          <w:sz w:val="20"/>
          <w:szCs w:val="20"/>
          <w:rtl/>
        </w:rPr>
        <w:t xml:space="preserve"> הגבהת המשוכות מפני חלוקת ירושלים </w:t>
      </w:r>
      <w:r w:rsidRPr="00E25963">
        <w:rPr>
          <w:sz w:val="20"/>
          <w:szCs w:val="20"/>
          <w:rtl/>
        </w:rPr>
        <w:t>–</w:t>
      </w:r>
      <w:r w:rsidRPr="00E25963">
        <w:rPr>
          <w:rFonts w:hint="cs"/>
          <w:sz w:val="20"/>
          <w:szCs w:val="20"/>
          <w:rtl/>
        </w:rPr>
        <w:t xml:space="preserve"> הוא סוג החלטה שכזה? </w:t>
      </w:r>
    </w:p>
    <w:p w:rsidR="005366A8" w:rsidRPr="00E25963" w:rsidRDefault="005366A8" w:rsidP="005366A8">
      <w:pPr>
        <w:spacing w:after="60"/>
        <w:rPr>
          <w:sz w:val="20"/>
          <w:szCs w:val="20"/>
          <w:rtl/>
        </w:rPr>
      </w:pPr>
      <w:r w:rsidRPr="00E25963">
        <w:rPr>
          <w:rFonts w:hint="cs"/>
          <w:sz w:val="20"/>
          <w:szCs w:val="20"/>
          <w:rtl/>
        </w:rPr>
        <w:t>[אני כמובן מודע לכך שהגבהה מסוימת של המשוכות מפני חלוקת ירושלים נעשתה כבר בשנת 2000, דרך התיקון לחוק יסוד: ירושלים שעיצב את סעיפים 7-5 המופיעים עתה, והמתנים את חלוקת ירושלים בשינוי מוקדם של סעיף 6 בחוק יסוד, שינוי שצריך להתקבל בחוק יסוד אחר, שיתקבל ברוב של חברי הכנסת. ואולם השאלה הערכית נותרת ביחס למוסריותו של כל הסדר "משריין גבול" שכזה, זה של שנת 2000, ובמיוחד ההסדר החדש שבו עוסקת השאלה, שמבקש להערים משוכות נוספות מפני חלוקת העיר].</w:t>
      </w:r>
    </w:p>
    <w:p w:rsidR="005366A8" w:rsidRPr="00E25963" w:rsidRDefault="005366A8" w:rsidP="005366A8">
      <w:pPr>
        <w:spacing w:after="60"/>
        <w:rPr>
          <w:sz w:val="20"/>
          <w:szCs w:val="20"/>
          <w:rtl/>
        </w:rPr>
      </w:pPr>
      <w:r w:rsidRPr="00E25963">
        <w:rPr>
          <w:rFonts w:hint="cs"/>
          <w:sz w:val="20"/>
          <w:szCs w:val="20"/>
          <w:rtl/>
        </w:rPr>
        <w:t xml:space="preserve">א. התיקון מעניק משקל עודף לתומכי הסטטוס-קוו (מצב הדברים הקיים) על פני תומכי שינויו </w:t>
      </w:r>
      <w:r w:rsidRPr="00E25963">
        <w:rPr>
          <w:sz w:val="20"/>
          <w:szCs w:val="20"/>
          <w:rtl/>
        </w:rPr>
        <w:t>–</w:t>
      </w:r>
      <w:r w:rsidRPr="00E25963">
        <w:rPr>
          <w:rFonts w:hint="cs"/>
          <w:sz w:val="20"/>
          <w:szCs w:val="20"/>
          <w:rtl/>
        </w:rPr>
        <w:t xml:space="preserve"> שכן הוא דורש רוב מיוחד, גבוה מאד, של שני שלישים, לצורך שינוי מצב הדברים; במילים אחרות, המיעוט הפוליטי שתומך בסטטוס-קוו, גם אם הוא רק שליש, מקבל כאן סמכות וטו.</w:t>
      </w:r>
    </w:p>
    <w:p w:rsidR="005366A8" w:rsidRPr="00E25963" w:rsidRDefault="005366A8" w:rsidP="005366A8">
      <w:pPr>
        <w:spacing w:after="60"/>
        <w:rPr>
          <w:sz w:val="20"/>
          <w:szCs w:val="20"/>
          <w:rtl/>
        </w:rPr>
      </w:pPr>
      <w:r w:rsidRPr="00E25963">
        <w:rPr>
          <w:rFonts w:hint="cs"/>
          <w:sz w:val="20"/>
          <w:szCs w:val="20"/>
          <w:rtl/>
        </w:rPr>
        <w:t>ב. יתר על כן, התיקון מעניק "סמכות וטו" לגורם נוסף, גורם שאינו אזרחי המדינה או נציגיהם. מדובר בגורם המורכב בעיקרו ממי שאינם אזרחי ישראל. הענקה זו מדללת, וכאן אפילו מאיינת, את כוחם של אזרחי המדינה לקבל הכרעה מרכזית שהיא גורלית עבורם.</w:t>
      </w:r>
    </w:p>
    <w:p w:rsidR="005366A8" w:rsidRPr="00E25963" w:rsidRDefault="005366A8" w:rsidP="005366A8">
      <w:pPr>
        <w:spacing w:after="60"/>
        <w:rPr>
          <w:sz w:val="20"/>
          <w:szCs w:val="20"/>
          <w:rtl/>
        </w:rPr>
      </w:pPr>
      <w:r w:rsidRPr="00E25963">
        <w:rPr>
          <w:rFonts w:hint="cs"/>
          <w:sz w:val="20"/>
          <w:szCs w:val="20"/>
          <w:rtl/>
        </w:rPr>
        <w:t>ג. אין מדובר בהעברה של סמכות וטו לגורם חיצוני סתם (למשל לאזרחי ניו-זילנד). מדובר בהעברה לגורם שמזוהה עם אחת הקהילות הלאומיות בישראל, קהילת הרוב. כלומר זה הוספת "מגבר", הוספת קולות, שצבועה בצבעים אתניים-לאומיים חדים. נוצרת כאן גם אפליה עמוקה על בסיס לאומי.</w:t>
      </w:r>
    </w:p>
    <w:p w:rsidR="005366A8" w:rsidRPr="00E25963" w:rsidRDefault="005366A8" w:rsidP="005366A8">
      <w:pPr>
        <w:spacing w:after="60"/>
        <w:rPr>
          <w:sz w:val="20"/>
          <w:szCs w:val="20"/>
          <w:rtl/>
        </w:rPr>
      </w:pPr>
      <w:r w:rsidRPr="00E25963">
        <w:rPr>
          <w:rFonts w:hint="cs"/>
          <w:sz w:val="20"/>
          <w:szCs w:val="20"/>
          <w:rtl/>
        </w:rPr>
        <w:t xml:space="preserve">מהי לפיכך, בתמצית, בעיית העומק המופיעה כאן? הסכם מדיני הוא עניין של מלחמה ושלום, חיים ומוות. הכרעות גורליות שכאלה צריכות להתקבל בדמוקרטיה על ידי בני החברה הזו, שצריכים לשלם את המחיר העיקרי בגין אותן הכרעות. הן צריכות לפיכך להתקבל </w:t>
      </w:r>
      <w:r w:rsidRPr="00E25963">
        <w:rPr>
          <w:rFonts w:hint="cs"/>
          <w:b/>
          <w:bCs/>
          <w:sz w:val="20"/>
          <w:szCs w:val="20"/>
          <w:rtl/>
        </w:rPr>
        <w:t>על ידם</w:t>
      </w:r>
      <w:r w:rsidRPr="00E25963">
        <w:rPr>
          <w:rFonts w:hint="cs"/>
          <w:sz w:val="20"/>
          <w:szCs w:val="20"/>
          <w:rtl/>
        </w:rPr>
        <w:t xml:space="preserve">, ולא על ידי גורמים חיצוניים (ראו את הדיון בהצעת החוק שכונתה "חוק היורדים"); ויתר על כן, הן צריכות להתקבל </w:t>
      </w:r>
      <w:r w:rsidRPr="00E25963">
        <w:rPr>
          <w:rFonts w:hint="cs"/>
          <w:b/>
          <w:bCs/>
          <w:sz w:val="20"/>
          <w:szCs w:val="20"/>
          <w:rtl/>
        </w:rPr>
        <w:t>ברוב רגיל</w:t>
      </w:r>
      <w:r w:rsidRPr="00E25963">
        <w:rPr>
          <w:rFonts w:hint="cs"/>
          <w:sz w:val="20"/>
          <w:szCs w:val="20"/>
          <w:rtl/>
        </w:rPr>
        <w:t>, שכן אין הצדקה שבנושאים של חיים ומוות יהיה לקול של חלק מאיתנו יותר כוח, יותר משקל, בהשוואה לקולו של חלק אחר מאיתנו. קל וחומר ש</w:t>
      </w:r>
      <w:r w:rsidRPr="00E25963">
        <w:rPr>
          <w:rFonts w:hint="cs"/>
          <w:b/>
          <w:bCs/>
          <w:sz w:val="20"/>
          <w:szCs w:val="20"/>
          <w:rtl/>
        </w:rPr>
        <w:t>אסור שתהא אפליה על בסיס אתני</w:t>
      </w:r>
      <w:r w:rsidRPr="00E25963">
        <w:rPr>
          <w:rFonts w:hint="cs"/>
          <w:sz w:val="20"/>
          <w:szCs w:val="20"/>
          <w:rtl/>
        </w:rPr>
        <w:t xml:space="preserve"> בכל הנוגע למשקל קולו של אדם ביחס להכרעה מהסוג המעורב בהסכם מדיני.</w:t>
      </w:r>
    </w:p>
    <w:p w:rsidR="005366A8" w:rsidRPr="00E25963" w:rsidRDefault="005366A8" w:rsidP="005366A8">
      <w:pPr>
        <w:spacing w:after="60"/>
        <w:ind w:left="720"/>
        <w:rPr>
          <w:sz w:val="20"/>
          <w:szCs w:val="20"/>
          <w:rtl/>
        </w:rPr>
      </w:pPr>
      <w:r w:rsidRPr="00E25963">
        <w:rPr>
          <w:rFonts w:hint="cs"/>
          <w:sz w:val="20"/>
          <w:szCs w:val="20"/>
          <w:rtl/>
        </w:rPr>
        <w:t>[הרב אליעזר מלמד בקטע שאליו הופנתם אומר כך: "</w:t>
      </w:r>
      <w:r w:rsidRPr="00E25963">
        <w:rPr>
          <w:sz w:val="20"/>
          <w:szCs w:val="20"/>
          <w:rtl/>
        </w:rPr>
        <w:t>צריך שיהיה רוב ברור בקרב מי שעלול לשאת בתוצאות ההכרעה. את מחיר המלחמות כאן משלמים היהודים ובעלי בריתם המשרתים בצבא, והם שצריכים להכריע</w:t>
      </w:r>
      <w:r w:rsidRPr="00E25963">
        <w:rPr>
          <w:rFonts w:hint="cs"/>
          <w:sz w:val="20"/>
          <w:szCs w:val="20"/>
          <w:rtl/>
        </w:rPr>
        <w:t>"</w:t>
      </w:r>
      <w:r w:rsidRPr="00E25963">
        <w:rPr>
          <w:sz w:val="20"/>
          <w:szCs w:val="20"/>
        </w:rPr>
        <w:t>.</w:t>
      </w:r>
    </w:p>
    <w:p w:rsidR="005366A8" w:rsidRPr="00E25963" w:rsidRDefault="005366A8" w:rsidP="005366A8">
      <w:pPr>
        <w:spacing w:after="60"/>
        <w:ind w:left="720"/>
        <w:rPr>
          <w:sz w:val="20"/>
          <w:szCs w:val="20"/>
          <w:rtl/>
        </w:rPr>
      </w:pPr>
      <w:r w:rsidRPr="00E25963">
        <w:rPr>
          <w:rFonts w:hint="cs"/>
          <w:sz w:val="20"/>
          <w:szCs w:val="20"/>
          <w:rtl/>
        </w:rPr>
        <w:t xml:space="preserve">הבעיה העמוקה של תפיסה הקושרת בין הכרעות פוליטיות לבין שירות צבאי היא בכך שהיא חורגת עמוקות מהתפיסה הדמוקרטית. תפיסה זו קושרת זכויות לעצם האזרחות </w:t>
      </w:r>
      <w:r w:rsidRPr="00E25963">
        <w:rPr>
          <w:sz w:val="20"/>
          <w:szCs w:val="20"/>
          <w:rtl/>
        </w:rPr>
        <w:t>–</w:t>
      </w:r>
      <w:r w:rsidRPr="00E25963">
        <w:rPr>
          <w:rFonts w:hint="cs"/>
          <w:sz w:val="20"/>
          <w:szCs w:val="20"/>
          <w:rtl/>
        </w:rPr>
        <w:t xml:space="preserve"> לא לתועלת חברתית או למילוי חובה כזו או אחרת. היא לא מבחינה בין "קרביים" "ללא קרביים", בין נשים לגברים, זקנים וצעירים, יהודים וערבים, אזרחים ותיקים ואזרחים-זה-מקרוב. יתר על כן, את מחיר המלחמות משלמים כל בני החברה; וכמו כן, רוב האזרחים מן היישוב, מכוח אנושיותם, ללא כל קשר ללאומיותם, הם תאבי שלום וביטחון, להבדיל ממלחמה. הטוענים אחרת מבלבלים (ואולי רוצים לבלבל) בין ויכוח בשאלה האם עמדה א' תוביל למלחמה </w:t>
      </w:r>
      <w:r w:rsidRPr="00E25963">
        <w:rPr>
          <w:sz w:val="20"/>
          <w:szCs w:val="20"/>
          <w:rtl/>
        </w:rPr>
        <w:t>–</w:t>
      </w:r>
      <w:r w:rsidRPr="00E25963">
        <w:rPr>
          <w:rFonts w:hint="cs"/>
          <w:sz w:val="20"/>
          <w:szCs w:val="20"/>
          <w:rtl/>
        </w:rPr>
        <w:t xml:space="preserve"> ויכוח לגיטימי </w:t>
      </w:r>
      <w:r w:rsidRPr="00E25963">
        <w:rPr>
          <w:sz w:val="20"/>
          <w:szCs w:val="20"/>
          <w:rtl/>
        </w:rPr>
        <w:t>–</w:t>
      </w:r>
      <w:r w:rsidRPr="00E25963">
        <w:rPr>
          <w:rFonts w:hint="cs"/>
          <w:sz w:val="20"/>
          <w:szCs w:val="20"/>
          <w:rtl/>
        </w:rPr>
        <w:t xml:space="preserve"> לבין השאלה האם מי שתומך בעמדה א' עושה זאת משום שהוא תאב-מלחמה. תמיכה בעמדה א' היא אולי מוטעית (ואולי צודקת), אך ברוב רובם של המקרים היא נובעת מהחיפוש האנושי אחר שלום וביטחון על פי תפיסתו של התומך בה.]</w:t>
      </w:r>
    </w:p>
    <w:p w:rsidR="005366A8" w:rsidRPr="00E25963" w:rsidRDefault="005366A8" w:rsidP="005366A8">
      <w:pPr>
        <w:spacing w:after="60"/>
        <w:rPr>
          <w:sz w:val="20"/>
          <w:szCs w:val="20"/>
          <w:rtl/>
        </w:rPr>
      </w:pPr>
      <w:r w:rsidRPr="00E25963">
        <w:rPr>
          <w:rFonts w:hint="cs"/>
          <w:sz w:val="20"/>
          <w:szCs w:val="20"/>
          <w:rtl/>
        </w:rPr>
        <w:t xml:space="preserve">הנקודה שהושמעה זה עתה מופיעה במשתמע גם בעמדה המשפטית שמשמיע בית המשפט העליון בכל הנוגע למובנה של מדינה "יהודית ודמוקרטית". ראו את הדברים הבאים מתוך </w:t>
      </w:r>
      <w:r w:rsidRPr="00E25963">
        <w:rPr>
          <w:rFonts w:hint="cs"/>
          <w:b/>
          <w:bCs/>
          <w:sz w:val="20"/>
          <w:szCs w:val="20"/>
          <w:rtl/>
        </w:rPr>
        <w:t>קעדאן</w:t>
      </w:r>
      <w:r w:rsidRPr="00E25963">
        <w:rPr>
          <w:rFonts w:hint="cs"/>
          <w:sz w:val="20"/>
          <w:szCs w:val="20"/>
          <w:rtl/>
        </w:rPr>
        <w:t>:</w:t>
      </w:r>
    </w:p>
    <w:p w:rsidR="005366A8" w:rsidRPr="00460CA3" w:rsidRDefault="005366A8" w:rsidP="005366A8">
      <w:pPr>
        <w:spacing w:after="60"/>
        <w:ind w:left="720"/>
        <w:rPr>
          <w:rFonts w:cs="FrankRuehl"/>
          <w:sz w:val="22"/>
          <w:szCs w:val="22"/>
          <w:rtl/>
        </w:rPr>
      </w:pPr>
      <w:r w:rsidRPr="00460CA3">
        <w:rPr>
          <w:rFonts w:cs="FrankRuehl"/>
          <w:sz w:val="22"/>
          <w:szCs w:val="22"/>
          <w:rtl/>
        </w:rPr>
        <w:t xml:space="preserve">מדינת ישראל היא מדינה יהודית אשר בתוכה חיים מיעוטים, ובהם המיעוט הערבי. כל אחד מבני המיעוטים החיים בישראל נהנה משוויון זכויות גמור. אמת, מפתח מיוחד לכניסה לבית ניתן לבני העם היהודי (ראו </w:t>
      </w:r>
      <w:r w:rsidRPr="00460CA3">
        <w:rPr>
          <w:rFonts w:cs="FrankRuehl"/>
          <w:sz w:val="22"/>
          <w:szCs w:val="22"/>
          <w:u w:val="single"/>
          <w:rtl/>
        </w:rPr>
        <w:t>חוק השבות</w:t>
      </w:r>
      <w:r w:rsidRPr="00460CA3">
        <w:rPr>
          <w:rFonts w:cs="FrankRuehl"/>
          <w:sz w:val="22"/>
          <w:szCs w:val="22"/>
          <w:rtl/>
        </w:rPr>
        <w:t xml:space="preserve">, התש"י1950-). </w:t>
      </w:r>
      <w:r w:rsidRPr="00460CA3">
        <w:rPr>
          <w:rFonts w:cs="FrankRuehl"/>
          <w:b/>
          <w:bCs/>
          <w:sz w:val="22"/>
          <w:szCs w:val="22"/>
          <w:rtl/>
        </w:rPr>
        <w:t>אך משמצוי אדם בבית כאזרח כדין, הוא נהנה מזכויות שוות כמו כל בני הבית האחרים</w:t>
      </w:r>
      <w:r w:rsidRPr="00460CA3">
        <w:rPr>
          <w:rFonts w:cs="FrankRuehl"/>
          <w:sz w:val="22"/>
          <w:szCs w:val="22"/>
          <w:rtl/>
        </w:rPr>
        <w:t>.</w:t>
      </w:r>
    </w:p>
    <w:p w:rsidR="005366A8" w:rsidRPr="00E25963" w:rsidRDefault="005366A8" w:rsidP="005366A8">
      <w:pPr>
        <w:spacing w:after="60"/>
        <w:rPr>
          <w:sz w:val="20"/>
          <w:szCs w:val="20"/>
          <w:rtl/>
        </w:rPr>
      </w:pPr>
      <w:r w:rsidRPr="00E25963">
        <w:rPr>
          <w:rFonts w:hint="cs"/>
          <w:sz w:val="20"/>
          <w:szCs w:val="20"/>
          <w:rtl/>
        </w:rPr>
        <w:t>וזכרו גם את הוראותיה של מגילת העצמאות:</w:t>
      </w:r>
    </w:p>
    <w:p w:rsidR="005366A8" w:rsidRPr="00460CA3" w:rsidRDefault="005366A8" w:rsidP="005366A8">
      <w:pPr>
        <w:spacing w:after="60"/>
        <w:ind w:left="720"/>
        <w:rPr>
          <w:rFonts w:cs="FrankRuehl"/>
          <w:sz w:val="22"/>
          <w:szCs w:val="22"/>
          <w:rtl/>
        </w:rPr>
      </w:pPr>
      <w:r w:rsidRPr="00460CA3">
        <w:rPr>
          <w:rFonts w:cs="FrankRuehl" w:hint="cs"/>
          <w:sz w:val="22"/>
          <w:szCs w:val="22"/>
          <w:rtl/>
        </w:rPr>
        <w:t xml:space="preserve">מדינת ישראל... </w:t>
      </w:r>
      <w:r w:rsidRPr="00460CA3">
        <w:rPr>
          <w:rFonts w:cs="FrankRuehl"/>
          <w:sz w:val="22"/>
          <w:szCs w:val="22"/>
          <w:rtl/>
        </w:rPr>
        <w:t>תקיים שויון זכויות חברתי ומדיני גמור לכל אזרחיה בלי הבדל דת, גזע ומין; [</w:t>
      </w:r>
      <w:r w:rsidRPr="00460CA3">
        <w:rPr>
          <w:rFonts w:cs="FrankRuehl"/>
          <w:sz w:val="22"/>
          <w:szCs w:val="22"/>
        </w:rPr>
        <w:t>…</w:t>
      </w:r>
      <w:r w:rsidRPr="00460CA3">
        <w:rPr>
          <w:rFonts w:cs="FrankRuehl"/>
          <w:sz w:val="22"/>
          <w:szCs w:val="22"/>
          <w:rtl/>
        </w:rPr>
        <w:t>]</w:t>
      </w:r>
    </w:p>
    <w:p w:rsidR="005366A8" w:rsidRPr="00460CA3" w:rsidRDefault="005366A8" w:rsidP="005366A8">
      <w:pPr>
        <w:spacing w:after="60"/>
        <w:ind w:left="720"/>
        <w:rPr>
          <w:sz w:val="22"/>
          <w:szCs w:val="22"/>
          <w:rtl/>
        </w:rPr>
      </w:pPr>
      <w:r w:rsidRPr="00460CA3">
        <w:rPr>
          <w:rFonts w:cs="FrankRuehl"/>
          <w:sz w:val="22"/>
          <w:szCs w:val="22"/>
          <w:rtl/>
        </w:rPr>
        <w:t>אנו קוראים - גם בתוך התקפת-הדמים הנערכת עלינו זה חדשים - לבני העם הערבי תושבי מדינת ישראל לשמור על השלום וליטול חלקם בבנין המדינה על יסוד אזרחות מלאה ושווה ועל יסוד נציגות מתאימה בכל מוסדותיה, הזמניים והקבועים.</w:t>
      </w:r>
    </w:p>
    <w:p w:rsidR="005366A8" w:rsidRPr="00E25963" w:rsidRDefault="005366A8" w:rsidP="005366A8">
      <w:pPr>
        <w:spacing w:after="60"/>
        <w:rPr>
          <w:sz w:val="20"/>
          <w:szCs w:val="20"/>
          <w:rtl/>
        </w:rPr>
      </w:pPr>
      <w:r w:rsidRPr="00E25963">
        <w:rPr>
          <w:rFonts w:hint="cs"/>
          <w:sz w:val="20"/>
          <w:szCs w:val="20"/>
          <w:rtl/>
        </w:rPr>
        <w:t xml:space="preserve">נקודה אחרת. בכיתה דיברנו על מצבים שבהם הקושי הערכי והמשפטי מופיע לא רק במישור תוכנו של ההסדר שקובעת הכנסת אלא במישור "נוקשותו", כלומר צמצום הפיכותו של הסדר זה. הוספתי כי במקרה שכזה אנחנו שואלים את עצמנו שתי שאלות חדשות: שאלה ביחס להצדקת עצם הקניית הנוקשות להסדר מעין זה </w:t>
      </w:r>
      <w:r w:rsidRPr="00E25963">
        <w:rPr>
          <w:sz w:val="20"/>
          <w:szCs w:val="20"/>
          <w:rtl/>
        </w:rPr>
        <w:t>–</w:t>
      </w:r>
      <w:r w:rsidRPr="00E25963">
        <w:rPr>
          <w:rFonts w:hint="cs"/>
          <w:sz w:val="20"/>
          <w:szCs w:val="20"/>
          <w:rtl/>
        </w:rPr>
        <w:t xml:space="preserve"> עצם הדרישה לכך ששינויו בעתיד יהיה כפוף לרוב שהוא שונה מרוב פשוט; ושאלה נוספת, ביחס לאופן התגבשותה של אותה נוקשות: איך היא עצמה התקבלה? במילים אחרות, באיזה רוב קיבלה הכנסת את הדרישה כי שינויו של ההסדר שאותו קבעה יהיה רק ברוב מיוחד (למשל, של שני שלישים מחברי הכנסת)? האם את הדרישה המיוחדת הזו היא קיבלה ברוב פשוט, למשל, של 50 כנגד 20 חברי כנסת, או שמא היא קיבלה אותו ברוב של שני שלישים, כלומר 80 חברי כנסת? </w:t>
      </w:r>
      <w:r w:rsidRPr="00E25963">
        <w:rPr>
          <w:rFonts w:hint="cs"/>
          <w:b/>
          <w:bCs/>
          <w:sz w:val="20"/>
          <w:szCs w:val="20"/>
          <w:rtl/>
        </w:rPr>
        <w:t>כאן בעיה זו אינה מתעוררת</w:t>
      </w:r>
      <w:r w:rsidRPr="00E25963">
        <w:rPr>
          <w:rFonts w:hint="cs"/>
          <w:sz w:val="20"/>
          <w:szCs w:val="20"/>
          <w:rtl/>
        </w:rPr>
        <w:t xml:space="preserve">. התיקון אמנם דורש רוב של שני שלישים מהקולות הכשרים במשאל העם ובכינוס המיוחד של הקונגרס הציוני (וביחס לכך אנחנו משמיעים קובלנה חריפה), ואולם </w:t>
      </w:r>
      <w:r w:rsidRPr="00E25963">
        <w:rPr>
          <w:rFonts w:hint="cs"/>
          <w:b/>
          <w:bCs/>
          <w:sz w:val="20"/>
          <w:szCs w:val="20"/>
          <w:rtl/>
        </w:rPr>
        <w:t>הסדר זה עצמו אינו נוקשה</w:t>
      </w:r>
      <w:r w:rsidRPr="00E25963">
        <w:rPr>
          <w:rFonts w:hint="cs"/>
          <w:sz w:val="20"/>
          <w:szCs w:val="20"/>
          <w:rtl/>
        </w:rPr>
        <w:t>. הכנסת, בלובשה את כובעה המכונן, יכולה לשוב ולתקן את התיקון שאותו אנחנו בוחנים עתה, וזאת ברוב פשוט, למשל של שני חברי כנסת נגד אחד.</w:t>
      </w:r>
    </w:p>
    <w:p w:rsidR="005366A8" w:rsidRPr="00E25963" w:rsidRDefault="005366A8" w:rsidP="005366A8">
      <w:pPr>
        <w:spacing w:after="60"/>
        <w:rPr>
          <w:sz w:val="20"/>
          <w:szCs w:val="20"/>
          <w:rtl/>
        </w:rPr>
      </w:pPr>
    </w:p>
    <w:p w:rsidR="005366A8" w:rsidRPr="00E25963" w:rsidRDefault="005366A8" w:rsidP="005366A8">
      <w:pPr>
        <w:spacing w:after="60"/>
        <w:rPr>
          <w:b/>
          <w:bCs/>
          <w:i/>
          <w:iCs/>
          <w:sz w:val="20"/>
          <w:szCs w:val="20"/>
          <w:rtl/>
        </w:rPr>
      </w:pPr>
      <w:r w:rsidRPr="00E25963">
        <w:rPr>
          <w:rFonts w:hint="cs"/>
          <w:b/>
          <w:bCs/>
          <w:i/>
          <w:iCs/>
          <w:sz w:val="20"/>
          <w:szCs w:val="20"/>
          <w:rtl/>
        </w:rPr>
        <w:t xml:space="preserve">מהם הטעמים שתומכי התיקון צפויים להשמיע? </w:t>
      </w:r>
    </w:p>
    <w:p w:rsidR="005366A8" w:rsidRPr="00E25963" w:rsidRDefault="005366A8" w:rsidP="005366A8">
      <w:pPr>
        <w:spacing w:after="60"/>
        <w:rPr>
          <w:sz w:val="20"/>
          <w:szCs w:val="20"/>
          <w:rtl/>
        </w:rPr>
      </w:pPr>
      <w:r w:rsidRPr="00E25963">
        <w:rPr>
          <w:rFonts w:hint="cs"/>
          <w:sz w:val="20"/>
          <w:szCs w:val="20"/>
          <w:rtl/>
        </w:rPr>
        <w:t xml:space="preserve">מדינת ישראל היא מדינה יהודית ודמוקרטית. ב"יהודית" הכוונה בין היתר למדינתו של העם היהודי, ועל כן עיר בירתו היא בירת העם היהודי, ולכך ניתן ביטוי סימבולי כאן. </w:t>
      </w:r>
    </w:p>
    <w:p w:rsidR="005366A8" w:rsidRPr="00E25963" w:rsidRDefault="005366A8" w:rsidP="005366A8">
      <w:pPr>
        <w:spacing w:after="60"/>
        <w:rPr>
          <w:sz w:val="20"/>
          <w:szCs w:val="20"/>
          <w:rtl/>
        </w:rPr>
      </w:pPr>
      <w:r w:rsidRPr="00E25963">
        <w:rPr>
          <w:rFonts w:hint="cs"/>
          <w:sz w:val="20"/>
          <w:szCs w:val="20"/>
          <w:rtl/>
        </w:rPr>
        <w:t xml:space="preserve">באשר לדרישת הרוב המיוחד לשינוי מצב הדברים. יאמרו התומכים: חלוקת ירושלים תפגע/ עלולה לפגוע באזרחים של ישראל היושבים בחלקה המזרחי של העיר. [ואולי הם יוסיפו, מתוך צביעות או ללא צביעות, כי היא גם משפיעה גם על גורלם של תושבים שאינם אזרחים </w:t>
      </w:r>
      <w:r w:rsidRPr="00E25963">
        <w:rPr>
          <w:sz w:val="20"/>
          <w:szCs w:val="20"/>
          <w:rtl/>
        </w:rPr>
        <w:t>–</w:t>
      </w:r>
      <w:r w:rsidRPr="00E25963">
        <w:rPr>
          <w:rFonts w:hint="cs"/>
          <w:sz w:val="20"/>
          <w:szCs w:val="20"/>
          <w:rtl/>
        </w:rPr>
        <w:t xml:space="preserve"> הפלסטינים תושבי מזרח העיר]. תומכי דרישת הרוב המיוחד יצדיקו אותה גם בערך תרבותי עמוק במיוחד של העם היהודי </w:t>
      </w:r>
      <w:r w:rsidRPr="00E25963">
        <w:rPr>
          <w:sz w:val="20"/>
          <w:szCs w:val="20"/>
          <w:rtl/>
        </w:rPr>
        <w:t>–</w:t>
      </w:r>
      <w:r w:rsidRPr="00E25963">
        <w:rPr>
          <w:rFonts w:hint="cs"/>
          <w:sz w:val="20"/>
          <w:szCs w:val="20"/>
          <w:rtl/>
        </w:rPr>
        <w:t xml:space="preserve"> העיר ירושלים, על חשיבותה הלאומית, התרבותית והדתית. הרי חלק מהטקסים המרכזיים בחייו של אדם </w:t>
      </w:r>
      <w:r w:rsidRPr="00E25963">
        <w:rPr>
          <w:sz w:val="20"/>
          <w:szCs w:val="20"/>
          <w:rtl/>
        </w:rPr>
        <w:t>–</w:t>
      </w:r>
      <w:r w:rsidRPr="00E25963">
        <w:rPr>
          <w:rFonts w:hint="cs"/>
          <w:sz w:val="20"/>
          <w:szCs w:val="20"/>
          <w:rtl/>
        </w:rPr>
        <w:t xml:space="preserve"> למשל חתונתו </w:t>
      </w:r>
      <w:r w:rsidRPr="00E25963">
        <w:rPr>
          <w:sz w:val="20"/>
          <w:szCs w:val="20"/>
          <w:rtl/>
        </w:rPr>
        <w:t>–</w:t>
      </w:r>
      <w:r w:rsidRPr="00E25963">
        <w:rPr>
          <w:rFonts w:hint="cs"/>
          <w:sz w:val="20"/>
          <w:szCs w:val="20"/>
          <w:rtl/>
        </w:rPr>
        <w:t xml:space="preserve"> מלוות במילים "אם אשכחך ירושלים, תשכח ימיני. תדבק לשוני לחכי אם לא אזכרכי, אם לא אעלה את ירושלים על ראש שמחתי" (תהלים קל"ז, ה'-ו'). כה מרכזית היא.</w:t>
      </w:r>
    </w:p>
    <w:p w:rsidR="005366A8" w:rsidRPr="00E25963" w:rsidRDefault="005366A8" w:rsidP="005366A8">
      <w:pPr>
        <w:spacing w:after="60"/>
        <w:rPr>
          <w:sz w:val="20"/>
          <w:szCs w:val="20"/>
          <w:rtl/>
        </w:rPr>
      </w:pPr>
      <w:r w:rsidRPr="00E25963">
        <w:rPr>
          <w:rFonts w:hint="cs"/>
          <w:sz w:val="20"/>
          <w:szCs w:val="20"/>
          <w:rtl/>
        </w:rPr>
        <w:t>תומכי התיקון יאמרו כי יש מקום לנוקשות (להגבהת משוכות) לצורך שמירה על ערכים. ערכים אינם רק דמוקרטיים אלא גם לאומיים, כך הם יוסיפו; וירושלים היא ערך לאומי מרכזי.</w:t>
      </w:r>
    </w:p>
    <w:p w:rsidR="005366A8" w:rsidRPr="00E25963" w:rsidRDefault="005366A8" w:rsidP="005366A8">
      <w:pPr>
        <w:spacing w:after="60"/>
        <w:rPr>
          <w:sz w:val="20"/>
          <w:szCs w:val="20"/>
          <w:rtl/>
        </w:rPr>
      </w:pPr>
      <w:r w:rsidRPr="00E25963">
        <w:rPr>
          <w:rFonts w:hint="cs"/>
          <w:sz w:val="20"/>
          <w:szCs w:val="20"/>
          <w:rtl/>
        </w:rPr>
        <w:t>[ייתכן בהחלט כי קיימים עוד טיעונים. לא היינו כאן שיפוטיים. ביקשנו לשמוע את עמדתכם הערכית].</w:t>
      </w:r>
    </w:p>
    <w:p w:rsidR="005366A8" w:rsidRPr="00E25963" w:rsidRDefault="005366A8" w:rsidP="005366A8">
      <w:pPr>
        <w:spacing w:after="60"/>
        <w:rPr>
          <w:sz w:val="20"/>
          <w:szCs w:val="20"/>
          <w:rtl/>
        </w:rPr>
      </w:pPr>
    </w:p>
    <w:p w:rsidR="005366A8" w:rsidRPr="00E25963" w:rsidRDefault="005366A8" w:rsidP="005366A8">
      <w:pPr>
        <w:spacing w:after="60"/>
        <w:rPr>
          <w:sz w:val="20"/>
          <w:szCs w:val="20"/>
          <w:rtl/>
        </w:rPr>
      </w:pPr>
      <w:r w:rsidRPr="00E25963">
        <w:rPr>
          <w:rFonts w:hint="cs"/>
          <w:sz w:val="20"/>
          <w:szCs w:val="20"/>
          <w:rtl/>
        </w:rPr>
        <w:t xml:space="preserve">אוסיף בקצרה כי הטעמים הנזכרים אינם משכנעים אותי, זאת משום שנקודת הראות שלי היא ליברלית, והדגש שלה לפיכך הוא על זכויות האדם באשר הוא אדם. נקודת ראות ליברלית אמנם מעניקה כבוד וחשיבות לזכות ההגדרה העצמית של העם היהודי, וכמו כן הזכות לתרבות של כל אדם מגוננת גם על הזיקה הרגשית והתרבותית של יהודים לירושלים. אלא שכאן איננו עוסקים בקיומה או בהעדרה של זיקה רגשית ותרבותית הראויה להגנה, אלא נשאלת שאלה ביחס </w:t>
      </w:r>
      <w:r w:rsidRPr="00E25963">
        <w:rPr>
          <w:rFonts w:hint="cs"/>
          <w:b/>
          <w:bCs/>
          <w:sz w:val="20"/>
          <w:szCs w:val="20"/>
          <w:rtl/>
        </w:rPr>
        <w:t xml:space="preserve">להיקף </w:t>
      </w:r>
      <w:r w:rsidRPr="00E25963">
        <w:rPr>
          <w:rFonts w:hint="cs"/>
          <w:sz w:val="20"/>
          <w:szCs w:val="20"/>
          <w:rtl/>
        </w:rPr>
        <w:t xml:space="preserve">ההגנה הניתנת לה כאן. </w:t>
      </w:r>
    </w:p>
    <w:p w:rsidR="005366A8" w:rsidRPr="00E25963" w:rsidRDefault="005366A8" w:rsidP="005366A8">
      <w:pPr>
        <w:spacing w:after="60"/>
        <w:rPr>
          <w:sz w:val="20"/>
          <w:szCs w:val="20"/>
          <w:rtl/>
        </w:rPr>
      </w:pPr>
      <w:r w:rsidRPr="00E25963">
        <w:rPr>
          <w:rFonts w:hint="cs"/>
          <w:sz w:val="20"/>
          <w:szCs w:val="20"/>
          <w:rtl/>
        </w:rPr>
        <w:t xml:space="preserve">ההגנה הניתנת כאן חורגת מהגנה על המשך עצם היותה של ירושלים בירת ישראל; וחורגת אפילו משאלת השליטה הישראלית במקומות הקדושים; היא ניתנה על כל מרחב ירושלים </w:t>
      </w:r>
      <w:r w:rsidRPr="00E25963">
        <w:rPr>
          <w:sz w:val="20"/>
          <w:szCs w:val="20"/>
          <w:rtl/>
        </w:rPr>
        <w:t>–</w:t>
      </w:r>
      <w:r w:rsidRPr="00E25963">
        <w:rPr>
          <w:rFonts w:hint="cs"/>
          <w:sz w:val="20"/>
          <w:szCs w:val="20"/>
          <w:rtl/>
        </w:rPr>
        <w:t xml:space="preserve"> כפי שעוצב בעקבות הסיפוח שלאחר 1967. יתר על כן, המשוכה המוגבהת מפני שינוי מצב הדברים הקיים לא מתמודדת עם העובדה שמדובר בהכרעה שעניינה מלחמה ושלום, חיים ומוות, ועל כן היא צריכה להתקבל ברוב רגיל. זאת ועוד, טעמי ההגנה על התיקון, אלה שהושמעו לעיל, מצדיקים אמנם חופש פעולה במסגרת הזיקה בין העם היהודי השוכן בישראל לבין תפוצותיו, אך לא עד כדי העברת הכרעה בסדר גודל שכזה ל"סמכות וטו" של התפוצות, להבדיל (אולי) מהיוועצות עמן. [אגב, התיקון בוחר רק בגורם מסוים מקרב התפוצות היהודיות, מי שהאידיאולוגיה שלו ציונית]. אנשי התפוצות אינם כאן למרות שחוק השבות מאפשר להם בכל עת להשתקע כאן; הם לא צפויים לספוג את השלכותיה של ההכרעה שבעניינה הם זכו למשקל כה גדול </w:t>
      </w:r>
      <w:r w:rsidRPr="00E25963">
        <w:rPr>
          <w:sz w:val="20"/>
          <w:szCs w:val="20"/>
          <w:rtl/>
        </w:rPr>
        <w:t>–</w:t>
      </w:r>
      <w:r w:rsidRPr="00E25963">
        <w:rPr>
          <w:rFonts w:hint="cs"/>
          <w:sz w:val="20"/>
          <w:szCs w:val="20"/>
          <w:rtl/>
        </w:rPr>
        <w:t xml:space="preserve"> משקל של סמכות-וטו. יתר על כן, התיקון כאן שונה 'איכותית' מעירובם של מוסדות משותפים ("המוסדות הלאומיים") בסוגיות דו-צדדיות מוגבלות, דוגמת איסוף והענקת תרומות או קשרי תרבות בין יהודים בישראל ליהודים בתפוצות. כאן התיקון מבקש להעניק לקונגרס הציוני כוח הכרעה המדלל עוד יותר את כוחם המועט של האזרחים הערבים בכל הנוגע להכרעות הנוגעות לגורלה של החברה הישראלית שהם אזרחיה. </w:t>
      </w:r>
    </w:p>
    <w:p w:rsidR="005366A8" w:rsidRPr="00E25963" w:rsidRDefault="005366A8" w:rsidP="005366A8">
      <w:pPr>
        <w:spacing w:after="60"/>
        <w:rPr>
          <w:sz w:val="20"/>
          <w:szCs w:val="20"/>
          <w:rtl/>
        </w:rPr>
      </w:pPr>
    </w:p>
    <w:p w:rsidR="005366A8" w:rsidRPr="00E25963" w:rsidRDefault="005366A8" w:rsidP="005366A8">
      <w:pPr>
        <w:spacing w:after="60"/>
        <w:ind w:left="720" w:hanging="720"/>
        <w:rPr>
          <w:sz w:val="20"/>
          <w:szCs w:val="20"/>
          <w:rtl/>
        </w:rPr>
      </w:pPr>
      <w:r w:rsidRPr="00E25963">
        <w:rPr>
          <w:rFonts w:hint="cs"/>
          <w:sz w:val="20"/>
          <w:szCs w:val="20"/>
          <w:rtl/>
        </w:rPr>
        <w:t>=-=</w:t>
      </w:r>
    </w:p>
    <w:p w:rsidR="005366A8" w:rsidRPr="00E25963" w:rsidRDefault="005366A8" w:rsidP="005366A8">
      <w:pPr>
        <w:spacing w:after="60"/>
        <w:ind w:left="720" w:hanging="720"/>
        <w:rPr>
          <w:b/>
          <w:bCs/>
          <w:sz w:val="20"/>
          <w:szCs w:val="20"/>
          <w:rtl/>
        </w:rPr>
      </w:pPr>
      <w:r w:rsidRPr="00E25963">
        <w:rPr>
          <w:rFonts w:hint="cs"/>
          <w:b/>
          <w:bCs/>
          <w:sz w:val="20"/>
          <w:szCs w:val="20"/>
          <w:rtl/>
        </w:rPr>
        <w:t xml:space="preserve">2. האם הפגיעות הטמונות בתיקון, או קשיים מכיוונים נוספים, עשויים להוביל להכרזה על </w:t>
      </w:r>
      <w:r w:rsidRPr="00460CA3">
        <w:rPr>
          <w:rFonts w:hint="cs"/>
          <w:b/>
          <w:bCs/>
          <w:sz w:val="20"/>
          <w:szCs w:val="20"/>
          <w:u w:val="single"/>
          <w:rtl/>
        </w:rPr>
        <w:t>חוסר תקפותו במישור המשפטי</w:t>
      </w:r>
      <w:r w:rsidRPr="00E25963">
        <w:rPr>
          <w:rFonts w:hint="cs"/>
          <w:b/>
          <w:bCs/>
          <w:sz w:val="20"/>
          <w:szCs w:val="20"/>
          <w:rtl/>
        </w:rPr>
        <w:t xml:space="preserve">? </w:t>
      </w:r>
    </w:p>
    <w:p w:rsidR="005366A8" w:rsidRPr="00E25963" w:rsidRDefault="005366A8" w:rsidP="005366A8">
      <w:pPr>
        <w:spacing w:after="60"/>
        <w:ind w:left="720"/>
        <w:rPr>
          <w:b/>
          <w:bCs/>
          <w:sz w:val="20"/>
          <w:szCs w:val="20"/>
          <w:rtl/>
        </w:rPr>
      </w:pPr>
      <w:r w:rsidRPr="00E25963">
        <w:rPr>
          <w:rFonts w:hint="cs"/>
          <w:b/>
          <w:bCs/>
          <w:sz w:val="20"/>
          <w:szCs w:val="20"/>
          <w:rtl/>
        </w:rPr>
        <w:t xml:space="preserve">אל תנסו כאן להשיב החלטית לשאלה המשפטית, אלא רק שרטטו את המתווה של הטענות האפשריות הקונקרטיות (וטענות-הנגד) לתקיפת תוקפו של התיקון הנבחן או חלק ממנו. </w:t>
      </w:r>
    </w:p>
    <w:p w:rsidR="005366A8" w:rsidRPr="00E25963" w:rsidRDefault="005366A8" w:rsidP="005366A8">
      <w:pPr>
        <w:spacing w:after="60"/>
        <w:rPr>
          <w:sz w:val="20"/>
          <w:szCs w:val="20"/>
          <w:rtl/>
        </w:rPr>
      </w:pPr>
    </w:p>
    <w:p w:rsidR="005366A8" w:rsidRPr="00E25963" w:rsidRDefault="005366A8" w:rsidP="005366A8">
      <w:pPr>
        <w:spacing w:after="60"/>
        <w:rPr>
          <w:sz w:val="20"/>
          <w:szCs w:val="20"/>
          <w:rtl/>
        </w:rPr>
      </w:pPr>
      <w:r w:rsidRPr="00E25963">
        <w:rPr>
          <w:rFonts w:hint="cs"/>
          <w:sz w:val="20"/>
          <w:szCs w:val="20"/>
          <w:rtl/>
        </w:rPr>
        <w:t>המעבר ממישור של דיון ערכי למישור של דיון משפטי הוא מעבר חשוב ומורכב.</w:t>
      </w:r>
    </w:p>
    <w:p w:rsidR="005366A8" w:rsidRPr="00E25963" w:rsidRDefault="005366A8" w:rsidP="005366A8">
      <w:pPr>
        <w:spacing w:after="60"/>
        <w:rPr>
          <w:sz w:val="20"/>
          <w:szCs w:val="20"/>
          <w:rtl/>
        </w:rPr>
      </w:pPr>
      <w:r w:rsidRPr="00E25963">
        <w:rPr>
          <w:rFonts w:hint="cs"/>
          <w:sz w:val="20"/>
          <w:szCs w:val="20"/>
          <w:rtl/>
        </w:rPr>
        <w:t xml:space="preserve">מדובר בענייננו בתיקון לחוק יסוד, כלומר בהוראה חוקתית, המצויה בחלק העליון של הפירמידה הנורמטיבית שלנו. נורמה שכזו יכולה להימצא בלתי תקפה רק בשני מקרים: </w:t>
      </w:r>
    </w:p>
    <w:p w:rsidR="005366A8" w:rsidRPr="00E25963" w:rsidRDefault="005366A8" w:rsidP="005366A8">
      <w:pPr>
        <w:spacing w:after="60"/>
        <w:rPr>
          <w:sz w:val="20"/>
          <w:szCs w:val="20"/>
          <w:rtl/>
        </w:rPr>
      </w:pPr>
      <w:r w:rsidRPr="00E25963">
        <w:rPr>
          <w:rFonts w:hint="cs"/>
          <w:sz w:val="20"/>
          <w:szCs w:val="20"/>
          <w:rtl/>
        </w:rPr>
        <w:t>א. אם היא מתנגשת בהוראה כובלת של החוקה הפורמאלית, הוראת נוקשות.</w:t>
      </w:r>
    </w:p>
    <w:p w:rsidR="005366A8" w:rsidRPr="00E25963" w:rsidRDefault="005366A8" w:rsidP="005366A8">
      <w:pPr>
        <w:spacing w:after="60"/>
        <w:ind w:left="720"/>
        <w:rPr>
          <w:sz w:val="20"/>
          <w:szCs w:val="20"/>
          <w:rtl/>
        </w:rPr>
      </w:pPr>
      <w:r w:rsidRPr="00E25963">
        <w:rPr>
          <w:rFonts w:hint="cs"/>
          <w:sz w:val="20"/>
          <w:szCs w:val="20"/>
          <w:rtl/>
        </w:rPr>
        <w:t xml:space="preserve">אין מדובר בהתנגשות עם "פסקת ההגבלה", שכן פסקת ההגבלה מסמנת את עליונותה רק ביחס "לחוק" (להבדיל מחוק יסוד) הנוגד הוראה חוקתית. ההוראה החוקתית שהיא מחייבת או כובלת נורמות חוקתיות חדשות או מתקנות היא </w:t>
      </w:r>
      <w:r w:rsidRPr="00E25963">
        <w:rPr>
          <w:rFonts w:hint="cs"/>
          <w:b/>
          <w:bCs/>
          <w:sz w:val="20"/>
          <w:szCs w:val="20"/>
          <w:rtl/>
        </w:rPr>
        <w:t>הוראת נוקשות</w:t>
      </w:r>
      <w:r w:rsidRPr="00E25963">
        <w:rPr>
          <w:rFonts w:hint="cs"/>
          <w:sz w:val="20"/>
          <w:szCs w:val="20"/>
          <w:rtl/>
        </w:rPr>
        <w:t xml:space="preserve">, שבה הכנסת כרשות מכוננת כובלת את עצמה. כך למשל קובע </w:t>
      </w:r>
      <w:r w:rsidRPr="00E25963">
        <w:rPr>
          <w:rFonts w:cs="David" w:hint="cs"/>
          <w:sz w:val="20"/>
          <w:szCs w:val="20"/>
          <w:rtl/>
        </w:rPr>
        <w:t>סעיף 7 לחוק יסוד: חופש העיסוק</w:t>
      </w:r>
      <w:r w:rsidRPr="00E25963">
        <w:rPr>
          <w:rFonts w:hint="cs"/>
          <w:sz w:val="20"/>
          <w:szCs w:val="20"/>
          <w:rtl/>
        </w:rPr>
        <w:t>, תחת כותרת השוליים "נוקשות", כי</w:t>
      </w:r>
      <w:r w:rsidRPr="00E25963">
        <w:rPr>
          <w:rFonts w:cs="David" w:hint="cs"/>
          <w:sz w:val="20"/>
          <w:szCs w:val="20"/>
          <w:rtl/>
        </w:rPr>
        <w:t xml:space="preserve"> "</w:t>
      </w:r>
      <w:r w:rsidRPr="00E25963">
        <w:rPr>
          <w:rFonts w:cs="David"/>
          <w:color w:val="000000"/>
          <w:sz w:val="20"/>
          <w:szCs w:val="20"/>
          <w:rtl/>
        </w:rPr>
        <w:t>אין לשנות חוק-יסוד זה אלא בחוק-יסוד שנתקבל ברוב של חברי הכנסת</w:t>
      </w:r>
      <w:r w:rsidRPr="00E25963">
        <w:rPr>
          <w:rFonts w:cs="David" w:hint="cs"/>
          <w:sz w:val="20"/>
          <w:szCs w:val="20"/>
          <w:rtl/>
        </w:rPr>
        <w:t xml:space="preserve">"; </w:t>
      </w:r>
      <w:r w:rsidRPr="00E25963">
        <w:rPr>
          <w:sz w:val="20"/>
          <w:szCs w:val="20"/>
          <w:rtl/>
        </w:rPr>
        <w:t>וכך קובע גם בענייננו</w:t>
      </w:r>
      <w:r w:rsidRPr="00E25963">
        <w:rPr>
          <w:rFonts w:cs="David" w:hint="cs"/>
          <w:sz w:val="20"/>
          <w:szCs w:val="20"/>
          <w:rtl/>
        </w:rPr>
        <w:t xml:space="preserve"> חוק יסוד: ירושלים בירת ישראל, בסע' 7 שלו, כי "</w:t>
      </w:r>
      <w:r w:rsidRPr="00E25963">
        <w:rPr>
          <w:rFonts w:cs="David"/>
          <w:sz w:val="20"/>
          <w:szCs w:val="20"/>
          <w:rtl/>
        </w:rPr>
        <w:t>אי</w:t>
      </w:r>
      <w:r w:rsidRPr="00E25963">
        <w:rPr>
          <w:rFonts w:cs="David" w:hint="cs"/>
          <w:sz w:val="20"/>
          <w:szCs w:val="20"/>
          <w:rtl/>
        </w:rPr>
        <w:t>ן לשנות את הוראות סעיפים 5 ו-6 אלא בחוק-יסוד שנתקבל ברוב של חב</w:t>
      </w:r>
      <w:r w:rsidRPr="00E25963">
        <w:rPr>
          <w:rFonts w:cs="David"/>
          <w:sz w:val="20"/>
          <w:szCs w:val="20"/>
          <w:rtl/>
        </w:rPr>
        <w:t>ר</w:t>
      </w:r>
      <w:r w:rsidRPr="00E25963">
        <w:rPr>
          <w:rFonts w:cs="David" w:hint="cs"/>
          <w:sz w:val="20"/>
          <w:szCs w:val="20"/>
          <w:rtl/>
        </w:rPr>
        <w:t xml:space="preserve">י הכנסת"; </w:t>
      </w:r>
      <w:r w:rsidRPr="00E25963">
        <w:rPr>
          <w:sz w:val="20"/>
          <w:szCs w:val="20"/>
          <w:rtl/>
        </w:rPr>
        <w:t>וכך קובע גם</w:t>
      </w:r>
      <w:r w:rsidRPr="00E25963">
        <w:rPr>
          <w:rFonts w:cs="David" w:hint="cs"/>
          <w:sz w:val="20"/>
          <w:szCs w:val="20"/>
          <w:rtl/>
        </w:rPr>
        <w:t xml:space="preserve"> סע' 4 לחוק יסוד: הכנסת, כי </w:t>
      </w:r>
      <w:r w:rsidRPr="00E25963">
        <w:rPr>
          <w:rStyle w:val="default"/>
          <w:rFonts w:cs="David" w:hint="cs"/>
          <w:szCs w:val="20"/>
          <w:rtl/>
        </w:rPr>
        <w:t>"</w:t>
      </w:r>
      <w:r w:rsidRPr="00E25963">
        <w:rPr>
          <w:rStyle w:val="default"/>
          <w:rFonts w:cs="David"/>
          <w:szCs w:val="20"/>
          <w:rtl/>
        </w:rPr>
        <w:t>ה</w:t>
      </w:r>
      <w:r w:rsidRPr="00E25963">
        <w:rPr>
          <w:rStyle w:val="default"/>
          <w:rFonts w:cs="David" w:hint="cs"/>
          <w:szCs w:val="20"/>
          <w:rtl/>
        </w:rPr>
        <w:t>כנסת תיבחר בבחירות כלליות, ארציות, ישירות, שוות, חשאיות, וי</w:t>
      </w:r>
      <w:r w:rsidRPr="00E25963">
        <w:rPr>
          <w:rStyle w:val="default"/>
          <w:rFonts w:cs="David"/>
          <w:szCs w:val="20"/>
          <w:rtl/>
        </w:rPr>
        <w:t>ח</w:t>
      </w:r>
      <w:r w:rsidRPr="00E25963">
        <w:rPr>
          <w:rStyle w:val="default"/>
          <w:rFonts w:cs="David" w:hint="cs"/>
          <w:szCs w:val="20"/>
          <w:rtl/>
        </w:rPr>
        <w:t>סיות, לפי חוק הבחירות לכנסת; אין לשנות סעיף זה, אלא ברוב של חברי הכנסת".</w:t>
      </w:r>
    </w:p>
    <w:p w:rsidR="005366A8" w:rsidRPr="00E25963" w:rsidRDefault="005366A8" w:rsidP="005366A8">
      <w:pPr>
        <w:spacing w:after="60"/>
        <w:ind w:left="720"/>
        <w:rPr>
          <w:sz w:val="20"/>
          <w:szCs w:val="20"/>
          <w:rtl/>
        </w:rPr>
      </w:pPr>
      <w:r w:rsidRPr="00E25963">
        <w:rPr>
          <w:rFonts w:hint="cs"/>
          <w:sz w:val="20"/>
          <w:szCs w:val="20"/>
          <w:rtl/>
        </w:rPr>
        <w:t>האם הוראה חוקתית כובלת הופרה בענייננו?</w:t>
      </w:r>
    </w:p>
    <w:p w:rsidR="005366A8" w:rsidRPr="00E25963" w:rsidRDefault="005366A8" w:rsidP="005366A8">
      <w:pPr>
        <w:spacing w:after="60"/>
        <w:rPr>
          <w:sz w:val="20"/>
          <w:szCs w:val="20"/>
          <w:rtl/>
        </w:rPr>
      </w:pPr>
      <w:r w:rsidRPr="00E25963">
        <w:rPr>
          <w:rFonts w:hint="cs"/>
          <w:sz w:val="20"/>
          <w:szCs w:val="20"/>
          <w:rtl/>
        </w:rPr>
        <w:t xml:space="preserve">ב. לחלופין, מקרה נדיר וסבוך יותר: נורמה חוקתית עשויה להיות מוכרזת כבלתי תקפה, אם היא מתנגשת באופן עמוק מאד עם "החוקה המהותית" של ישראל. </w:t>
      </w:r>
    </w:p>
    <w:p w:rsidR="005366A8" w:rsidRPr="00E25963" w:rsidRDefault="005366A8" w:rsidP="005366A8">
      <w:pPr>
        <w:spacing w:after="60"/>
        <w:ind w:left="720"/>
        <w:rPr>
          <w:sz w:val="20"/>
          <w:szCs w:val="20"/>
          <w:rtl/>
        </w:rPr>
      </w:pPr>
      <w:r w:rsidRPr="00E25963">
        <w:rPr>
          <w:rFonts w:hint="cs"/>
          <w:sz w:val="20"/>
          <w:szCs w:val="20"/>
          <w:rtl/>
        </w:rPr>
        <w:t xml:space="preserve">זו הביקורת המשפטית המטא-טקסטואלית או דוקטרינת "תיקון החוקה שאינו חוקתי", שאותן פגשנו בפס"ד </w:t>
      </w:r>
      <w:r w:rsidRPr="00E25963">
        <w:rPr>
          <w:rFonts w:hint="cs"/>
          <w:b/>
          <w:bCs/>
          <w:sz w:val="20"/>
          <w:szCs w:val="20"/>
          <w:rtl/>
        </w:rPr>
        <w:t>ירדור</w:t>
      </w:r>
      <w:r w:rsidRPr="00E25963">
        <w:rPr>
          <w:rFonts w:hint="cs"/>
          <w:sz w:val="20"/>
          <w:szCs w:val="20"/>
          <w:rtl/>
        </w:rPr>
        <w:t xml:space="preserve">, בפס"ד </w:t>
      </w:r>
      <w:r w:rsidRPr="00E25963">
        <w:rPr>
          <w:rFonts w:hint="cs"/>
          <w:b/>
          <w:bCs/>
          <w:sz w:val="20"/>
          <w:szCs w:val="20"/>
          <w:rtl/>
        </w:rPr>
        <w:t>בר-און</w:t>
      </w:r>
      <w:r w:rsidRPr="00E25963">
        <w:rPr>
          <w:rFonts w:hint="cs"/>
          <w:sz w:val="20"/>
          <w:szCs w:val="20"/>
          <w:rtl/>
        </w:rPr>
        <w:t>, וכן במאמרו של פרופ' אהרן ברק.</w:t>
      </w:r>
    </w:p>
    <w:p w:rsidR="005366A8" w:rsidRPr="00E25963" w:rsidRDefault="005366A8" w:rsidP="005366A8">
      <w:pPr>
        <w:spacing w:after="60"/>
        <w:rPr>
          <w:sz w:val="20"/>
          <w:szCs w:val="20"/>
          <w:rtl/>
        </w:rPr>
      </w:pPr>
      <w:r w:rsidRPr="00E25963">
        <w:rPr>
          <w:rFonts w:hint="cs"/>
          <w:sz w:val="20"/>
          <w:szCs w:val="20"/>
          <w:rtl/>
        </w:rPr>
        <w:t>האם מי משתי האפשרויות הללו מתגבשת בענייננו?</w:t>
      </w:r>
    </w:p>
    <w:p w:rsidR="005366A8" w:rsidRPr="00E25963" w:rsidRDefault="005366A8" w:rsidP="005366A8">
      <w:pPr>
        <w:spacing w:after="60"/>
        <w:rPr>
          <w:sz w:val="20"/>
          <w:szCs w:val="20"/>
          <w:rtl/>
        </w:rPr>
      </w:pPr>
    </w:p>
    <w:p w:rsidR="005366A8" w:rsidRPr="00E25963" w:rsidRDefault="005366A8" w:rsidP="005366A8">
      <w:pPr>
        <w:spacing w:after="60"/>
        <w:rPr>
          <w:sz w:val="20"/>
          <w:szCs w:val="20"/>
          <w:rtl/>
        </w:rPr>
      </w:pPr>
      <w:r w:rsidRPr="00E25963">
        <w:rPr>
          <w:rFonts w:hint="cs"/>
          <w:sz w:val="20"/>
          <w:szCs w:val="20"/>
          <w:rtl/>
        </w:rPr>
        <w:t xml:space="preserve">נתחיל באפשרות השגורה יותר, אפשרות ההתנגשות </w:t>
      </w:r>
      <w:r w:rsidRPr="00E25963">
        <w:rPr>
          <w:rFonts w:hint="cs"/>
          <w:b/>
          <w:bCs/>
          <w:sz w:val="20"/>
          <w:szCs w:val="20"/>
          <w:rtl/>
        </w:rPr>
        <w:t>בחוקה הפורמאלית</w:t>
      </w:r>
      <w:r w:rsidRPr="00E25963">
        <w:rPr>
          <w:rFonts w:hint="cs"/>
          <w:sz w:val="20"/>
          <w:szCs w:val="20"/>
          <w:rtl/>
        </w:rPr>
        <w:t>.</w:t>
      </w:r>
    </w:p>
    <w:p w:rsidR="005366A8" w:rsidRPr="00E25963" w:rsidRDefault="005366A8" w:rsidP="005366A8">
      <w:pPr>
        <w:spacing w:after="60"/>
        <w:rPr>
          <w:sz w:val="20"/>
          <w:szCs w:val="20"/>
          <w:rtl/>
        </w:rPr>
      </w:pPr>
      <w:r w:rsidRPr="00E25963">
        <w:rPr>
          <w:rFonts w:hint="cs"/>
          <w:sz w:val="20"/>
          <w:szCs w:val="20"/>
          <w:rtl/>
        </w:rPr>
        <w:t>(1). התיקון שבענייננו אמנם פוגע בזכות ל"כבוד האדם" (גם לפי הלכת בית המשפט העליון ב</w:t>
      </w:r>
      <w:r w:rsidRPr="00E25963">
        <w:rPr>
          <w:rFonts w:hint="cs"/>
          <w:b/>
          <w:bCs/>
          <w:sz w:val="20"/>
          <w:szCs w:val="20"/>
          <w:rtl/>
        </w:rPr>
        <w:t>פסה"ד בעניין חוק טל</w:t>
      </w:r>
      <w:r>
        <w:rPr>
          <w:rFonts w:hint="cs"/>
          <w:b/>
          <w:bCs/>
          <w:sz w:val="20"/>
          <w:szCs w:val="20"/>
          <w:rtl/>
        </w:rPr>
        <w:t xml:space="preserve"> 1</w:t>
      </w:r>
      <w:r w:rsidRPr="00E25963">
        <w:rPr>
          <w:rFonts w:hint="cs"/>
          <w:sz w:val="20"/>
          <w:szCs w:val="20"/>
          <w:rtl/>
        </w:rPr>
        <w:t xml:space="preserve">, וגם לפי הגישה הצרה יותר לזכות זו </w:t>
      </w:r>
      <w:r w:rsidRPr="00E25963">
        <w:rPr>
          <w:sz w:val="20"/>
          <w:szCs w:val="20"/>
          <w:rtl/>
        </w:rPr>
        <w:t>–</w:t>
      </w:r>
      <w:r w:rsidRPr="00E25963">
        <w:rPr>
          <w:rFonts w:hint="cs"/>
          <w:sz w:val="20"/>
          <w:szCs w:val="20"/>
          <w:rtl/>
        </w:rPr>
        <w:t xml:space="preserve"> גישתה של השופט דורנר בפס"ד </w:t>
      </w:r>
      <w:r w:rsidRPr="00E25963">
        <w:rPr>
          <w:rFonts w:hint="cs"/>
          <w:b/>
          <w:bCs/>
          <w:sz w:val="20"/>
          <w:szCs w:val="20"/>
          <w:rtl/>
        </w:rPr>
        <w:t>מילר</w:t>
      </w:r>
      <w:r w:rsidRPr="00E25963">
        <w:rPr>
          <w:rFonts w:hint="cs"/>
          <w:sz w:val="20"/>
          <w:szCs w:val="20"/>
          <w:rtl/>
        </w:rPr>
        <w:t xml:space="preserve">), שכן הוא פוגע, ובאופן עמוק, על בסיס אתני-לאומי בשוויון בין אזרחים בכל הנוגע לזכותם ליטול חלק בהכרעות שנוגעות לגורלם. לו היה מדובר בחוק יתכן בהחלט שהוא לא היה עובר את השלב החוקתי הבא: שאלת עמידתו בתנאי פסקת ההגבלה; ואולם בענייננו אין מדובר בחוק מתקן אלא </w:t>
      </w:r>
      <w:r w:rsidRPr="00460CA3">
        <w:rPr>
          <w:rFonts w:hint="cs"/>
          <w:b/>
          <w:bCs/>
          <w:i/>
          <w:iCs/>
          <w:sz w:val="20"/>
          <w:szCs w:val="20"/>
          <w:rtl/>
        </w:rPr>
        <w:t>בתיקון לחוק יסוד</w:t>
      </w:r>
      <w:r w:rsidRPr="00E25963">
        <w:rPr>
          <w:rFonts w:hint="cs"/>
          <w:sz w:val="20"/>
          <w:szCs w:val="20"/>
          <w:rtl/>
        </w:rPr>
        <w:t xml:space="preserve">, ועל כן אין בכך בכדי לשלול את תוקפו של התיקון (השוו לפסה"ד של </w:t>
      </w:r>
      <w:r w:rsidRPr="00E25963">
        <w:rPr>
          <w:rFonts w:hint="cs"/>
          <w:b/>
          <w:bCs/>
          <w:sz w:val="20"/>
          <w:szCs w:val="20"/>
          <w:rtl/>
        </w:rPr>
        <w:t>פלונית</w:t>
      </w:r>
      <w:r w:rsidRPr="00E25963">
        <w:rPr>
          <w:rFonts w:hint="cs"/>
          <w:sz w:val="20"/>
          <w:szCs w:val="20"/>
          <w:rtl/>
        </w:rPr>
        <w:t>).</w:t>
      </w:r>
    </w:p>
    <w:p w:rsidR="005366A8" w:rsidRPr="00E25963" w:rsidRDefault="005366A8" w:rsidP="005366A8">
      <w:pPr>
        <w:spacing w:after="60"/>
        <w:rPr>
          <w:sz w:val="20"/>
          <w:szCs w:val="20"/>
          <w:rtl/>
        </w:rPr>
      </w:pPr>
      <w:r w:rsidRPr="00E25963">
        <w:rPr>
          <w:rFonts w:hint="cs"/>
          <w:sz w:val="20"/>
          <w:szCs w:val="20"/>
          <w:rtl/>
        </w:rPr>
        <w:t xml:space="preserve">(2). האם התיקון כאן, שהוא תיקון של </w:t>
      </w:r>
      <w:r w:rsidRPr="00E25963">
        <w:rPr>
          <w:rFonts w:cs="David" w:hint="cs"/>
          <w:sz w:val="20"/>
          <w:szCs w:val="20"/>
          <w:rtl/>
        </w:rPr>
        <w:t>סע' 1 לחוק יסוד: ירושלים בירת ישראל</w:t>
      </w:r>
      <w:r w:rsidRPr="00E25963">
        <w:rPr>
          <w:rFonts w:hint="cs"/>
          <w:sz w:val="20"/>
          <w:szCs w:val="20"/>
          <w:rtl/>
        </w:rPr>
        <w:t xml:space="preserve"> פוגע בסע' 6 לחוק היסוד, הקובע כי </w:t>
      </w:r>
      <w:r w:rsidRPr="00E25963">
        <w:rPr>
          <w:rStyle w:val="default"/>
          <w:rFonts w:cs="David" w:hint="cs"/>
          <w:szCs w:val="20"/>
          <w:rtl/>
        </w:rPr>
        <w:t>"</w:t>
      </w:r>
      <w:r w:rsidRPr="00E25963">
        <w:rPr>
          <w:rStyle w:val="default"/>
          <w:rFonts w:cs="David"/>
          <w:szCs w:val="20"/>
          <w:rtl/>
        </w:rPr>
        <w:t>לא</w:t>
      </w:r>
      <w:r w:rsidRPr="00E25963">
        <w:rPr>
          <w:rStyle w:val="default"/>
          <w:rFonts w:cs="David" w:hint="cs"/>
          <w:szCs w:val="20"/>
          <w:rtl/>
        </w:rPr>
        <w:t xml:space="preserve"> תועבר לגורם זר, מדיני או שלטוני, או לגורם זר אחר בדומה לכך, בין דרך קבע ובין לתקופה קצובה, כל סמכות המתייחסת לתחום ירושלים והנתונה על פי דין למדינת </w:t>
      </w:r>
      <w:r w:rsidRPr="00E25963">
        <w:rPr>
          <w:rStyle w:val="default"/>
          <w:rFonts w:cs="David"/>
          <w:szCs w:val="20"/>
          <w:rtl/>
        </w:rPr>
        <w:t>יש</w:t>
      </w:r>
      <w:r w:rsidRPr="00E25963">
        <w:rPr>
          <w:rStyle w:val="default"/>
          <w:rFonts w:cs="David" w:hint="cs"/>
          <w:szCs w:val="20"/>
          <w:rtl/>
        </w:rPr>
        <w:t>ראל או לעיריית ירושלים"?</w:t>
      </w:r>
      <w:r w:rsidRPr="00E25963">
        <w:rPr>
          <w:rFonts w:hint="cs"/>
          <w:sz w:val="20"/>
          <w:szCs w:val="20"/>
          <w:rtl/>
        </w:rPr>
        <w:t xml:space="preserve"> סע' 7 לחוק היסוד מקנה נוקשות לסע' 6. הוא הרי קובע, כי </w:t>
      </w:r>
      <w:r w:rsidRPr="00E25963">
        <w:rPr>
          <w:rStyle w:val="default"/>
          <w:rFonts w:cs="David" w:hint="cs"/>
          <w:szCs w:val="20"/>
          <w:rtl/>
        </w:rPr>
        <w:t>"</w:t>
      </w:r>
      <w:r w:rsidRPr="00E25963">
        <w:rPr>
          <w:rStyle w:val="default"/>
          <w:rFonts w:cs="David"/>
          <w:szCs w:val="20"/>
          <w:rtl/>
        </w:rPr>
        <w:t>אי</w:t>
      </w:r>
      <w:r w:rsidRPr="00E25963">
        <w:rPr>
          <w:rStyle w:val="default"/>
          <w:rFonts w:cs="David" w:hint="cs"/>
          <w:szCs w:val="20"/>
          <w:rtl/>
        </w:rPr>
        <w:t>ן לשנות את הוראות סעיפים 5 ו-6 אלא בחוק-יסוד שנתקבל ברוב של חב</w:t>
      </w:r>
      <w:r w:rsidRPr="00E25963">
        <w:rPr>
          <w:rStyle w:val="default"/>
          <w:rFonts w:cs="David"/>
          <w:szCs w:val="20"/>
          <w:rtl/>
        </w:rPr>
        <w:t>ר</w:t>
      </w:r>
      <w:r w:rsidRPr="00E25963">
        <w:rPr>
          <w:rStyle w:val="default"/>
          <w:rFonts w:cs="David" w:hint="cs"/>
          <w:szCs w:val="20"/>
          <w:rtl/>
        </w:rPr>
        <w:t xml:space="preserve">י הכנסת". </w:t>
      </w:r>
      <w:r w:rsidRPr="00E25963">
        <w:rPr>
          <w:rFonts w:hint="cs"/>
          <w:sz w:val="20"/>
          <w:szCs w:val="20"/>
          <w:rtl/>
        </w:rPr>
        <w:t xml:space="preserve">כאן התיקון מתקבל אמנם בחוק יסוד, אך כזה שלא מתקבל "ברוב של חברי הכנסת" (הוא התקבל רק ברוב של 55 חברי כנסת, להבדיל מ-61 חברי כנסת ומעלה). האם הוראת הכבילה העצמית/ הוראת הנוקשות הופרה לפיכך? </w:t>
      </w:r>
    </w:p>
    <w:p w:rsidR="005366A8" w:rsidRPr="00E25963" w:rsidRDefault="005366A8" w:rsidP="005366A8">
      <w:pPr>
        <w:spacing w:after="60"/>
        <w:rPr>
          <w:sz w:val="20"/>
          <w:szCs w:val="20"/>
          <w:rtl/>
        </w:rPr>
      </w:pPr>
      <w:r w:rsidRPr="00E25963">
        <w:rPr>
          <w:rFonts w:hint="cs"/>
          <w:sz w:val="20"/>
          <w:szCs w:val="20"/>
          <w:rtl/>
        </w:rPr>
        <w:t xml:space="preserve">התשובה לכך מחייבת פרשנות של הוראת סעיף 6, ובעיקר השאלה מהו "גורם זר". הפרשנות התכליתית מובילה אותנו, בין היתר, לתכליות הסובייקטיביות של ההוראה, שביקשה לסייג העברת סמכויות לרשות הפלסטינית ולמדינה פלסטינית עתידית. התכלית האובייקטיבית מובילה אותנו לערכיה של מדינת ישראל כ"מדינה יהודית ודמוקרטית" </w:t>
      </w:r>
      <w:r w:rsidRPr="00E25963">
        <w:rPr>
          <w:sz w:val="20"/>
          <w:szCs w:val="20"/>
          <w:rtl/>
        </w:rPr>
        <w:t>–</w:t>
      </w:r>
      <w:r w:rsidRPr="00E25963">
        <w:rPr>
          <w:rFonts w:hint="cs"/>
          <w:sz w:val="20"/>
          <w:szCs w:val="20"/>
          <w:rtl/>
        </w:rPr>
        <w:t xml:space="preserve"> האם הקונגרס הציוני יזוהה כ"גורם זר"? אני נוטה לתשובה שלילית. ואולם בכך כלל לא תם הדיון, שהרי כיווני תקיפה נוספים קיימים כאן.</w:t>
      </w:r>
    </w:p>
    <w:p w:rsidR="005366A8" w:rsidRPr="00E25963" w:rsidRDefault="005366A8" w:rsidP="005366A8">
      <w:pPr>
        <w:spacing w:after="60"/>
        <w:rPr>
          <w:sz w:val="20"/>
          <w:szCs w:val="20"/>
          <w:rtl/>
        </w:rPr>
      </w:pPr>
      <w:r w:rsidRPr="00E25963">
        <w:rPr>
          <w:rFonts w:hint="cs"/>
          <w:sz w:val="20"/>
          <w:szCs w:val="20"/>
          <w:rtl/>
        </w:rPr>
        <w:t xml:space="preserve">(3). האם התיקון הנבחן לא פוגע בהוראות משוריינות בחוק יסוד: הכנסת? נתבונן בסעיפים הבאים: </w:t>
      </w:r>
    </w:p>
    <w:p w:rsidR="005366A8" w:rsidRPr="00E25963" w:rsidRDefault="005366A8" w:rsidP="005366A8">
      <w:pPr>
        <w:pStyle w:val="P00"/>
        <w:ind w:left="720"/>
        <w:rPr>
          <w:rStyle w:val="default"/>
          <w:rFonts w:cs="David"/>
          <w:szCs w:val="20"/>
          <w:rtl/>
        </w:rPr>
      </w:pPr>
      <w:r w:rsidRPr="00E25963">
        <w:rPr>
          <w:rStyle w:val="big-number"/>
          <w:rFonts w:cs="David"/>
          <w:szCs w:val="20"/>
          <w:rtl/>
        </w:rPr>
        <w:t>1.</w:t>
      </w:r>
      <w:r w:rsidRPr="00E25963">
        <w:rPr>
          <w:rStyle w:val="big-number"/>
          <w:rFonts w:cs="David"/>
          <w:szCs w:val="20"/>
          <w:rtl/>
        </w:rPr>
        <w:tab/>
      </w:r>
      <w:r w:rsidRPr="00E25963">
        <w:rPr>
          <w:rStyle w:val="default"/>
          <w:rFonts w:cs="David"/>
          <w:szCs w:val="20"/>
          <w:rtl/>
        </w:rPr>
        <w:t>ה</w:t>
      </w:r>
      <w:r w:rsidRPr="00E25963">
        <w:rPr>
          <w:rStyle w:val="default"/>
          <w:rFonts w:cs="David" w:hint="cs"/>
          <w:szCs w:val="20"/>
          <w:rtl/>
        </w:rPr>
        <w:t>כנסת היא בית הנבחרים של</w:t>
      </w:r>
      <w:r w:rsidRPr="00E25963">
        <w:rPr>
          <w:rStyle w:val="default"/>
          <w:rFonts w:cs="David"/>
          <w:szCs w:val="20"/>
          <w:rtl/>
        </w:rPr>
        <w:t xml:space="preserve"> </w:t>
      </w:r>
      <w:r w:rsidRPr="00E25963">
        <w:rPr>
          <w:rStyle w:val="default"/>
          <w:rFonts w:cs="David" w:hint="cs"/>
          <w:szCs w:val="20"/>
          <w:rtl/>
        </w:rPr>
        <w:t>המדינה.</w:t>
      </w:r>
    </w:p>
    <w:p w:rsidR="005366A8" w:rsidRPr="00E25963" w:rsidRDefault="005366A8" w:rsidP="005366A8">
      <w:pPr>
        <w:pStyle w:val="P00"/>
        <w:spacing w:before="72"/>
        <w:ind w:left="720"/>
        <w:rPr>
          <w:rStyle w:val="default"/>
          <w:rFonts w:cs="David"/>
          <w:szCs w:val="20"/>
          <w:rtl/>
        </w:rPr>
      </w:pPr>
      <w:bookmarkStart w:id="39" w:name="Seif27"/>
      <w:bookmarkEnd w:id="39"/>
      <w:r w:rsidRPr="00E25963">
        <w:rPr>
          <w:rStyle w:val="big-number"/>
          <w:rFonts w:cs="David"/>
          <w:szCs w:val="20"/>
          <w:rtl/>
        </w:rPr>
        <w:t>4.</w:t>
      </w:r>
      <w:r w:rsidRPr="00E25963">
        <w:rPr>
          <w:rStyle w:val="big-number"/>
          <w:rFonts w:cs="David"/>
          <w:szCs w:val="20"/>
          <w:rtl/>
        </w:rPr>
        <w:tab/>
      </w:r>
      <w:r w:rsidRPr="00E25963">
        <w:rPr>
          <w:rStyle w:val="default"/>
          <w:rFonts w:cs="David"/>
          <w:szCs w:val="20"/>
          <w:rtl/>
        </w:rPr>
        <w:t>ה</w:t>
      </w:r>
      <w:r w:rsidRPr="00E25963">
        <w:rPr>
          <w:rStyle w:val="default"/>
          <w:rFonts w:cs="David" w:hint="cs"/>
          <w:szCs w:val="20"/>
          <w:rtl/>
        </w:rPr>
        <w:t>כנסת תיבחר בבחירות כלליות, ארציות, ישירות, שוות, חשאיות, וי</w:t>
      </w:r>
      <w:r w:rsidRPr="00E25963">
        <w:rPr>
          <w:rStyle w:val="default"/>
          <w:rFonts w:cs="David"/>
          <w:szCs w:val="20"/>
          <w:rtl/>
        </w:rPr>
        <w:t>ח</w:t>
      </w:r>
      <w:r w:rsidRPr="00E25963">
        <w:rPr>
          <w:rStyle w:val="default"/>
          <w:rFonts w:cs="David" w:hint="cs"/>
          <w:szCs w:val="20"/>
          <w:rtl/>
        </w:rPr>
        <w:t>סיות, לפי חוק הבחירות לכנסת; אין לשנות סעיף זה, אלא ברוב של חברי הכנסת.</w:t>
      </w:r>
    </w:p>
    <w:p w:rsidR="005366A8" w:rsidRPr="00E25963" w:rsidRDefault="005366A8" w:rsidP="005366A8">
      <w:pPr>
        <w:pStyle w:val="P00"/>
        <w:spacing w:before="72"/>
        <w:ind w:left="720"/>
        <w:rPr>
          <w:rStyle w:val="default"/>
          <w:rFonts w:cs="David"/>
          <w:vanish/>
          <w:color w:val="FF0000"/>
          <w:szCs w:val="20"/>
          <w:shd w:val="clear" w:color="auto" w:fill="FFFF99"/>
          <w:rtl/>
        </w:rPr>
      </w:pPr>
      <w:bookmarkStart w:id="40" w:name="Seif28"/>
      <w:bookmarkEnd w:id="40"/>
      <w:r w:rsidRPr="00E25963">
        <w:rPr>
          <w:rStyle w:val="big-number"/>
          <w:rFonts w:cs="David"/>
          <w:szCs w:val="20"/>
          <w:rtl/>
        </w:rPr>
        <w:t>5.</w:t>
      </w:r>
      <w:r w:rsidRPr="00E25963">
        <w:rPr>
          <w:rStyle w:val="big-number"/>
          <w:rFonts w:cs="David"/>
          <w:szCs w:val="20"/>
          <w:rtl/>
        </w:rPr>
        <w:tab/>
      </w:r>
      <w:r w:rsidRPr="00E25963">
        <w:rPr>
          <w:rStyle w:val="default"/>
          <w:rFonts w:cs="David"/>
          <w:szCs w:val="20"/>
          <w:rtl/>
        </w:rPr>
        <w:t>כ</w:t>
      </w:r>
      <w:r w:rsidRPr="00E25963">
        <w:rPr>
          <w:rStyle w:val="default"/>
          <w:rFonts w:cs="David" w:hint="cs"/>
          <w:szCs w:val="20"/>
          <w:rtl/>
        </w:rPr>
        <w:t>ל אזרח ישראלי בן שמונה עשרה שנה ומעלה זכאי לבחור לכנסת, אם בית משפט לא שלל ממנו זכות זו על פי חוק; ...</w:t>
      </w:r>
      <w:bookmarkStart w:id="41" w:name="Rov71"/>
      <w:r w:rsidRPr="00E25963">
        <w:rPr>
          <w:rStyle w:val="default"/>
          <w:rFonts w:cs="David" w:hint="cs"/>
          <w:vanish/>
          <w:color w:val="FF0000"/>
          <w:szCs w:val="20"/>
          <w:shd w:val="clear" w:color="auto" w:fill="FFFF99"/>
          <w:rtl/>
        </w:rPr>
        <w:t xml:space="preserve"> מיום 27.2.1996</w:t>
      </w:r>
    </w:p>
    <w:p w:rsidR="005366A8" w:rsidRPr="00E25963" w:rsidRDefault="005366A8" w:rsidP="005366A8">
      <w:pPr>
        <w:pStyle w:val="P00"/>
        <w:spacing w:before="0"/>
        <w:ind w:left="720"/>
        <w:rPr>
          <w:rStyle w:val="default"/>
          <w:rFonts w:cs="David"/>
          <w:b/>
          <w:bCs/>
          <w:vanish/>
          <w:szCs w:val="20"/>
          <w:shd w:val="clear" w:color="auto" w:fill="FFFF99"/>
          <w:rtl/>
        </w:rPr>
      </w:pPr>
      <w:r w:rsidRPr="00E25963">
        <w:rPr>
          <w:rStyle w:val="default"/>
          <w:rFonts w:cs="David" w:hint="cs"/>
          <w:b/>
          <w:bCs/>
          <w:vanish/>
          <w:szCs w:val="20"/>
          <w:shd w:val="clear" w:color="auto" w:fill="FFFF99"/>
          <w:rtl/>
        </w:rPr>
        <w:t>תיקון מס' 19</w:t>
      </w:r>
      <w:r w:rsidRPr="00E25963">
        <w:rPr>
          <w:rStyle w:val="default"/>
          <w:rFonts w:cs="David" w:hint="cs"/>
          <w:vanish/>
          <w:szCs w:val="20"/>
          <w:shd w:val="clear" w:color="auto" w:fill="FFFF99"/>
          <w:rtl/>
        </w:rPr>
        <w:t xml:space="preserve"> (בוטל על ידי תיקון מס' 21)</w:t>
      </w:r>
    </w:p>
    <w:p w:rsidR="005366A8" w:rsidRPr="00E25963" w:rsidRDefault="005D7968" w:rsidP="005366A8">
      <w:pPr>
        <w:pStyle w:val="P00"/>
        <w:spacing w:before="0"/>
        <w:ind w:left="720"/>
        <w:rPr>
          <w:rStyle w:val="default"/>
          <w:rFonts w:cs="David"/>
          <w:vanish/>
          <w:szCs w:val="20"/>
          <w:shd w:val="clear" w:color="auto" w:fill="FFFF99"/>
          <w:rtl/>
        </w:rPr>
      </w:pPr>
      <w:hyperlink r:id="rId160" w:history="1">
        <w:r w:rsidR="005366A8" w:rsidRPr="00E25963">
          <w:rPr>
            <w:rStyle w:val="Hyperlink"/>
            <w:rFonts w:cs="David" w:hint="cs"/>
            <w:vanish/>
            <w:szCs w:val="20"/>
            <w:shd w:val="clear" w:color="auto" w:fill="FFFF99"/>
            <w:rtl/>
          </w:rPr>
          <w:t>ס"ח תשנ"ו מס' 1566</w:t>
        </w:r>
      </w:hyperlink>
      <w:r w:rsidR="005366A8" w:rsidRPr="00E25963">
        <w:rPr>
          <w:rStyle w:val="default"/>
          <w:rFonts w:cs="David" w:hint="cs"/>
          <w:vanish/>
          <w:szCs w:val="20"/>
          <w:shd w:val="clear" w:color="auto" w:fill="FFFF99"/>
          <w:rtl/>
        </w:rPr>
        <w:t xml:space="preserve"> מיום 27.2.1996 עמ' 106 (</w:t>
      </w:r>
      <w:hyperlink r:id="rId161" w:history="1">
        <w:r w:rsidR="005366A8" w:rsidRPr="00E25963">
          <w:rPr>
            <w:rStyle w:val="Hyperlink"/>
            <w:rFonts w:cs="David" w:hint="cs"/>
            <w:vanish/>
            <w:szCs w:val="20"/>
            <w:shd w:val="clear" w:color="auto" w:fill="FFFF99"/>
            <w:rtl/>
          </w:rPr>
          <w:t>ה"ח 2499</w:t>
        </w:r>
      </w:hyperlink>
      <w:r w:rsidR="005366A8" w:rsidRPr="00E25963">
        <w:rPr>
          <w:rStyle w:val="default"/>
          <w:rFonts w:cs="David" w:hint="cs"/>
          <w:vanish/>
          <w:szCs w:val="20"/>
          <w:shd w:val="clear" w:color="auto" w:fill="FFFF99"/>
          <w:rtl/>
        </w:rPr>
        <w:t>)</w:t>
      </w:r>
    </w:p>
    <w:p w:rsidR="005366A8" w:rsidRPr="00E25963" w:rsidRDefault="005366A8" w:rsidP="005366A8">
      <w:pPr>
        <w:pStyle w:val="P00"/>
        <w:spacing w:before="0"/>
        <w:ind w:left="720"/>
        <w:rPr>
          <w:rStyle w:val="default"/>
          <w:rFonts w:cs="David"/>
          <w:vanish/>
          <w:szCs w:val="20"/>
          <w:shd w:val="clear" w:color="auto" w:fill="FFFF99"/>
          <w:rtl/>
        </w:rPr>
      </w:pPr>
      <w:r w:rsidRPr="00E25963">
        <w:rPr>
          <w:rStyle w:val="default"/>
          <w:rFonts w:cs="David" w:hint="cs"/>
          <w:b/>
          <w:bCs/>
          <w:vanish/>
          <w:szCs w:val="20"/>
          <w:shd w:val="clear" w:color="auto" w:fill="FFFF99"/>
          <w:rtl/>
        </w:rPr>
        <w:t>הוספת סעיף 5א</w:t>
      </w:r>
    </w:p>
    <w:p w:rsidR="005366A8" w:rsidRPr="00E25963" w:rsidRDefault="005366A8" w:rsidP="005366A8">
      <w:pPr>
        <w:pStyle w:val="P00"/>
        <w:ind w:left="720"/>
        <w:rPr>
          <w:rStyle w:val="default"/>
          <w:rFonts w:cs="David"/>
          <w:vanish/>
          <w:szCs w:val="20"/>
          <w:shd w:val="clear" w:color="auto" w:fill="FFFF99"/>
          <w:rtl/>
        </w:rPr>
      </w:pPr>
      <w:r w:rsidRPr="00E25963">
        <w:rPr>
          <w:rStyle w:val="default"/>
          <w:rFonts w:cs="David" w:hint="cs"/>
          <w:vanish/>
          <w:szCs w:val="20"/>
          <w:shd w:val="clear" w:color="auto" w:fill="FFFF99"/>
          <w:rtl/>
        </w:rPr>
        <w:t>הנוסח:</w:t>
      </w:r>
    </w:p>
    <w:p w:rsidR="005366A8" w:rsidRPr="00E25963" w:rsidRDefault="005366A8" w:rsidP="005366A8">
      <w:pPr>
        <w:pStyle w:val="P00"/>
        <w:spacing w:before="20"/>
        <w:ind w:left="720"/>
        <w:rPr>
          <w:rStyle w:val="default"/>
          <w:rFonts w:cs="David"/>
          <w:strike/>
          <w:vanish/>
          <w:szCs w:val="20"/>
          <w:shd w:val="clear" w:color="auto" w:fill="FFFF99"/>
          <w:rtl/>
        </w:rPr>
      </w:pPr>
      <w:r w:rsidRPr="00E25963">
        <w:rPr>
          <w:rStyle w:val="default"/>
          <w:rFonts w:cs="David" w:hint="cs"/>
          <w:strike/>
          <w:vanish/>
          <w:szCs w:val="20"/>
          <w:shd w:val="clear" w:color="auto" w:fill="FFFF99"/>
          <w:rtl/>
        </w:rPr>
        <w:t>הגשת רשימת מועמדים</w:t>
      </w:r>
    </w:p>
    <w:p w:rsidR="005366A8" w:rsidRPr="00E25963" w:rsidRDefault="005366A8" w:rsidP="005366A8">
      <w:pPr>
        <w:pStyle w:val="P00"/>
        <w:spacing w:before="0"/>
        <w:ind w:left="720"/>
        <w:rPr>
          <w:rStyle w:val="default"/>
          <w:rFonts w:cs="David"/>
          <w:strike/>
          <w:vanish/>
          <w:szCs w:val="20"/>
          <w:shd w:val="clear" w:color="auto" w:fill="FFFF99"/>
          <w:rtl/>
        </w:rPr>
      </w:pPr>
      <w:r w:rsidRPr="00E25963">
        <w:rPr>
          <w:rStyle w:val="default"/>
          <w:rFonts w:cs="David" w:hint="cs"/>
          <w:strike/>
          <w:vanish/>
          <w:szCs w:val="20"/>
          <w:shd w:val="clear" w:color="auto" w:fill="FFFF99"/>
          <w:rtl/>
        </w:rPr>
        <w:t>5א.</w:t>
      </w:r>
      <w:r w:rsidRPr="00E25963">
        <w:rPr>
          <w:rStyle w:val="default"/>
          <w:rFonts w:cs="David" w:hint="cs"/>
          <w:strike/>
          <w:vanish/>
          <w:szCs w:val="20"/>
          <w:shd w:val="clear" w:color="auto" w:fill="FFFF99"/>
          <w:rtl/>
        </w:rPr>
        <w:tab/>
        <w:t>רשימת מועמדים לכנסת תוגש על ידי מפלגה בלבד; דרכי התאגדותן ורישומן של מפלגות ותנאים להגשת רשימת מועמדים, ייקבעו בחוק.</w:t>
      </w:r>
    </w:p>
    <w:p w:rsidR="005366A8" w:rsidRPr="00E25963" w:rsidRDefault="005366A8" w:rsidP="005366A8">
      <w:pPr>
        <w:pStyle w:val="P00"/>
        <w:spacing w:before="0"/>
        <w:ind w:left="720"/>
        <w:rPr>
          <w:rStyle w:val="default"/>
          <w:rFonts w:cs="David"/>
          <w:vanish/>
          <w:szCs w:val="20"/>
          <w:shd w:val="clear" w:color="auto" w:fill="FFFF99"/>
          <w:rtl/>
        </w:rPr>
      </w:pPr>
    </w:p>
    <w:p w:rsidR="005366A8" w:rsidRPr="00E25963" w:rsidRDefault="005366A8" w:rsidP="005366A8">
      <w:pPr>
        <w:pStyle w:val="P00"/>
        <w:spacing w:before="0"/>
        <w:ind w:left="720"/>
        <w:rPr>
          <w:rStyle w:val="default"/>
          <w:rFonts w:cs="David"/>
          <w:vanish/>
          <w:color w:val="FF0000"/>
          <w:szCs w:val="20"/>
          <w:shd w:val="clear" w:color="auto" w:fill="FFFF99"/>
          <w:rtl/>
        </w:rPr>
      </w:pPr>
      <w:r w:rsidRPr="00E25963">
        <w:rPr>
          <w:rStyle w:val="default"/>
          <w:rFonts w:cs="David" w:hint="cs"/>
          <w:vanish/>
          <w:color w:val="FF0000"/>
          <w:szCs w:val="20"/>
          <w:shd w:val="clear" w:color="auto" w:fill="FFFF99"/>
          <w:rtl/>
        </w:rPr>
        <w:t>מיום 29.2.1996</w:t>
      </w:r>
    </w:p>
    <w:p w:rsidR="005366A8" w:rsidRPr="00E25963" w:rsidRDefault="005366A8" w:rsidP="005366A8">
      <w:pPr>
        <w:pStyle w:val="P00"/>
        <w:spacing w:before="0"/>
        <w:ind w:left="720"/>
        <w:rPr>
          <w:rStyle w:val="default"/>
          <w:rFonts w:cs="David"/>
          <w:b/>
          <w:bCs/>
          <w:vanish/>
          <w:szCs w:val="20"/>
          <w:shd w:val="clear" w:color="auto" w:fill="FFFF99"/>
          <w:rtl/>
        </w:rPr>
      </w:pPr>
      <w:r w:rsidRPr="00E25963">
        <w:rPr>
          <w:rStyle w:val="default"/>
          <w:rFonts w:cs="David" w:hint="cs"/>
          <w:b/>
          <w:bCs/>
          <w:vanish/>
          <w:szCs w:val="20"/>
          <w:shd w:val="clear" w:color="auto" w:fill="FFFF99"/>
          <w:rtl/>
        </w:rPr>
        <w:t>תיקון מס' 21</w:t>
      </w:r>
    </w:p>
    <w:p w:rsidR="005366A8" w:rsidRPr="00E25963" w:rsidRDefault="005D7968" w:rsidP="005366A8">
      <w:pPr>
        <w:pStyle w:val="P00"/>
        <w:spacing w:before="0"/>
        <w:ind w:left="720"/>
        <w:rPr>
          <w:rStyle w:val="default"/>
          <w:rFonts w:cs="David"/>
          <w:vanish/>
          <w:szCs w:val="20"/>
          <w:shd w:val="clear" w:color="auto" w:fill="FFFF99"/>
          <w:rtl/>
        </w:rPr>
      </w:pPr>
      <w:hyperlink r:id="rId162" w:history="1">
        <w:r w:rsidR="005366A8" w:rsidRPr="00E25963">
          <w:rPr>
            <w:rStyle w:val="Hyperlink"/>
            <w:rFonts w:cs="David" w:hint="cs"/>
            <w:vanish/>
            <w:szCs w:val="20"/>
            <w:shd w:val="clear" w:color="auto" w:fill="FFFF99"/>
            <w:rtl/>
          </w:rPr>
          <w:t>ס"ח תשנ"ו מס' 1568</w:t>
        </w:r>
      </w:hyperlink>
      <w:r w:rsidR="005366A8" w:rsidRPr="00E25963">
        <w:rPr>
          <w:rStyle w:val="default"/>
          <w:rFonts w:cs="David" w:hint="cs"/>
          <w:vanish/>
          <w:szCs w:val="20"/>
          <w:shd w:val="clear" w:color="auto" w:fill="FFFF99"/>
          <w:rtl/>
        </w:rPr>
        <w:t xml:space="preserve"> מיום 29.2.1996 עמ' 112 (</w:t>
      </w:r>
      <w:hyperlink r:id="rId163" w:history="1">
        <w:r w:rsidR="005366A8" w:rsidRPr="00E25963">
          <w:rPr>
            <w:rStyle w:val="Hyperlink"/>
            <w:rFonts w:cs="David" w:hint="cs"/>
            <w:vanish/>
            <w:szCs w:val="20"/>
            <w:shd w:val="clear" w:color="auto" w:fill="FFFF99"/>
            <w:rtl/>
          </w:rPr>
          <w:t>ה"ח 2514</w:t>
        </w:r>
      </w:hyperlink>
      <w:r w:rsidR="005366A8" w:rsidRPr="00E25963">
        <w:rPr>
          <w:rStyle w:val="default"/>
          <w:rFonts w:cs="David" w:hint="cs"/>
          <w:vanish/>
          <w:szCs w:val="20"/>
          <w:shd w:val="clear" w:color="auto" w:fill="FFFF99"/>
          <w:rtl/>
        </w:rPr>
        <w:t>)</w:t>
      </w:r>
    </w:p>
    <w:p w:rsidR="005366A8" w:rsidRPr="00E25963" w:rsidRDefault="005366A8" w:rsidP="005366A8">
      <w:pPr>
        <w:pStyle w:val="P00"/>
        <w:spacing w:before="0"/>
        <w:ind w:left="720"/>
        <w:rPr>
          <w:rStyle w:val="default"/>
          <w:rFonts w:cs="David"/>
          <w:b/>
          <w:bCs/>
          <w:szCs w:val="20"/>
          <w:shd w:val="clear" w:color="auto" w:fill="FFFF99"/>
          <w:rtl/>
        </w:rPr>
      </w:pPr>
      <w:r w:rsidRPr="00E25963">
        <w:rPr>
          <w:rStyle w:val="default"/>
          <w:rFonts w:cs="David" w:hint="cs"/>
          <w:b/>
          <w:bCs/>
          <w:vanish/>
          <w:szCs w:val="20"/>
          <w:shd w:val="clear" w:color="auto" w:fill="FFFF99"/>
          <w:rtl/>
        </w:rPr>
        <w:t>הוספת סעיף 5א</w:t>
      </w:r>
      <w:bookmarkEnd w:id="41"/>
    </w:p>
    <w:p w:rsidR="005366A8" w:rsidRPr="00E25963" w:rsidRDefault="005366A8" w:rsidP="005366A8">
      <w:pPr>
        <w:pStyle w:val="P00"/>
        <w:spacing w:before="72" w:after="120"/>
        <w:ind w:left="720"/>
        <w:rPr>
          <w:rStyle w:val="default"/>
          <w:rFonts w:cs="David"/>
          <w:szCs w:val="20"/>
          <w:rtl/>
        </w:rPr>
      </w:pPr>
      <w:bookmarkStart w:id="42" w:name="Seif30"/>
      <w:bookmarkEnd w:id="42"/>
      <w:r w:rsidRPr="00E25963">
        <w:rPr>
          <w:rStyle w:val="big-number"/>
          <w:rFonts w:cs="David"/>
          <w:szCs w:val="20"/>
          <w:rtl/>
        </w:rPr>
        <w:t>6.</w:t>
      </w:r>
      <w:r w:rsidRPr="00E25963">
        <w:rPr>
          <w:rStyle w:val="big-number"/>
          <w:rFonts w:cs="David"/>
          <w:szCs w:val="20"/>
          <w:rtl/>
        </w:rPr>
        <w:tab/>
      </w:r>
      <w:r w:rsidRPr="00E25963">
        <w:rPr>
          <w:rStyle w:val="default"/>
          <w:rFonts w:cs="David"/>
          <w:szCs w:val="20"/>
          <w:rtl/>
        </w:rPr>
        <w:t>(</w:t>
      </w:r>
      <w:r w:rsidRPr="00E25963">
        <w:rPr>
          <w:rStyle w:val="default"/>
          <w:rFonts w:cs="David" w:hint="cs"/>
          <w:szCs w:val="20"/>
          <w:rtl/>
        </w:rPr>
        <w:t>א)</w:t>
      </w:r>
      <w:r w:rsidRPr="00E25963">
        <w:rPr>
          <w:rStyle w:val="default"/>
          <w:rFonts w:cs="David"/>
          <w:szCs w:val="20"/>
          <w:rtl/>
        </w:rPr>
        <w:tab/>
      </w:r>
      <w:r w:rsidRPr="00E25963">
        <w:rPr>
          <w:rStyle w:val="default"/>
          <w:rFonts w:cs="David" w:hint="cs"/>
          <w:szCs w:val="20"/>
          <w:rtl/>
        </w:rPr>
        <w:t>כל אזרח ישראלי שביום הגשת רשימת המועמדים הכוללת את שמו הוא בן עשרים ואחת שנה ומעלה, זכאי להיבחר לכנסת, זולת אם בית משפט שלל ממנו זכות זו על פי חוק או ...</w:t>
      </w:r>
    </w:p>
    <w:p w:rsidR="005366A8" w:rsidRPr="00E25963" w:rsidRDefault="005366A8" w:rsidP="005366A8">
      <w:pPr>
        <w:spacing w:after="60"/>
        <w:rPr>
          <w:sz w:val="20"/>
          <w:szCs w:val="20"/>
          <w:rtl/>
        </w:rPr>
      </w:pPr>
      <w:r w:rsidRPr="00E25963">
        <w:rPr>
          <w:rFonts w:hint="cs"/>
          <w:sz w:val="20"/>
          <w:szCs w:val="20"/>
          <w:rtl/>
        </w:rPr>
        <w:t>התיקון הנבחן כאן לא משנה את סעיף 4 לחוק יסוד: הכנסת. הוא לא משנה את שיטת הבחירות. עם זאת, האם לא ניתן לטעון כי הוא פוגע בשוויונן של הבחירות? אם כן, האם הוא לא צריך להתקבל ב"רוב של חברי הכנסת"?</w:t>
      </w:r>
    </w:p>
    <w:p w:rsidR="005366A8" w:rsidRPr="00E25963" w:rsidRDefault="005366A8" w:rsidP="005366A8">
      <w:pPr>
        <w:spacing w:after="60"/>
        <w:rPr>
          <w:sz w:val="20"/>
          <w:szCs w:val="20"/>
          <w:rtl/>
        </w:rPr>
      </w:pPr>
      <w:r w:rsidRPr="00E25963">
        <w:rPr>
          <w:rFonts w:hint="cs"/>
          <w:sz w:val="20"/>
          <w:szCs w:val="20"/>
          <w:rtl/>
        </w:rPr>
        <w:t>[האם לא ניתן לטעון עוד, שהוא פוגע גם באיפיונן של הבחירות בישראל כבחירות "ארציות"].</w:t>
      </w:r>
    </w:p>
    <w:p w:rsidR="005366A8" w:rsidRPr="00E25963" w:rsidRDefault="005366A8" w:rsidP="005366A8">
      <w:pPr>
        <w:spacing w:after="60"/>
        <w:rPr>
          <w:sz w:val="20"/>
          <w:szCs w:val="20"/>
          <w:rtl/>
        </w:rPr>
      </w:pPr>
      <w:r w:rsidRPr="00E25963">
        <w:rPr>
          <w:rFonts w:hint="cs"/>
          <w:sz w:val="20"/>
          <w:szCs w:val="20"/>
          <w:rtl/>
        </w:rPr>
        <w:t xml:space="preserve">נקודה נוספת: בעיה גדולה של התיקון נעוצה בכך שהוא פוגע בסע' 1 לחוק יסוד: הכנסת, לפיה "הכנסת היא בית הנבחרים של המדינה". כאן מצוי הלב של שיטת המשטר שלנו כדמוקרטיה ייצוגית. והנה התיקון מנטרל את הכנסת כליל ביחס להכרעה מהמעלה הראשונה </w:t>
      </w:r>
      <w:r w:rsidRPr="00E25963">
        <w:rPr>
          <w:sz w:val="20"/>
          <w:szCs w:val="20"/>
          <w:rtl/>
        </w:rPr>
        <w:t>–</w:t>
      </w:r>
      <w:r w:rsidRPr="00E25963">
        <w:rPr>
          <w:rFonts w:hint="cs"/>
          <w:sz w:val="20"/>
          <w:szCs w:val="20"/>
          <w:rtl/>
        </w:rPr>
        <w:t xml:space="preserve"> הסכם מדיני העוסק במלחמה ושלום, והעוסק בין היתר בחלוקתה של ירושלים. זו אכן בעיה עמוקה מאד, אך האם גם במישור החוקה הפורמאלית? שהרי סעיף 1 לחוק יסוד: הכנסת, להבדיל מסע' 4, אינו נוקשה.</w:t>
      </w:r>
    </w:p>
    <w:p w:rsidR="005366A8" w:rsidRPr="00E25963" w:rsidRDefault="005366A8" w:rsidP="005366A8">
      <w:pPr>
        <w:spacing w:after="60"/>
        <w:rPr>
          <w:sz w:val="20"/>
          <w:szCs w:val="20"/>
          <w:rtl/>
        </w:rPr>
      </w:pPr>
      <w:r w:rsidRPr="00460CA3">
        <w:rPr>
          <w:rFonts w:hint="cs"/>
          <w:b/>
          <w:bCs/>
          <w:sz w:val="20"/>
          <w:szCs w:val="20"/>
          <w:rtl/>
        </w:rPr>
        <w:t>סיכום ביניים</w:t>
      </w:r>
      <w:r w:rsidRPr="00460CA3">
        <w:rPr>
          <w:rFonts w:hint="cs"/>
          <w:sz w:val="20"/>
          <w:szCs w:val="20"/>
          <w:rtl/>
        </w:rPr>
        <w:t xml:space="preserve">: </w:t>
      </w:r>
      <w:r w:rsidRPr="00460CA3">
        <w:rPr>
          <w:sz w:val="20"/>
          <w:szCs w:val="20"/>
          <w:rtl/>
        </w:rPr>
        <w:t>ה</w:t>
      </w:r>
      <w:r w:rsidRPr="00460CA3">
        <w:rPr>
          <w:rFonts w:hint="cs"/>
          <w:sz w:val="20"/>
          <w:szCs w:val="20"/>
          <w:rtl/>
        </w:rPr>
        <w:t>תיקון החוקתי כאן ככל הנראה לא מתנגש בהוראותיה של החוקה הפורמאלית, למעט אולי התנגשותו בסעיף 4 לחוק יסוד: הכנסת. ואולם האם הוא לא מתנגש עמוקות בחוקה המהותית של ישראל?</w:t>
      </w:r>
    </w:p>
    <w:p w:rsidR="005366A8" w:rsidRPr="00E25963" w:rsidRDefault="005366A8" w:rsidP="005366A8">
      <w:pPr>
        <w:spacing w:after="60"/>
        <w:rPr>
          <w:sz w:val="20"/>
          <w:szCs w:val="20"/>
          <w:rtl/>
        </w:rPr>
      </w:pPr>
    </w:p>
    <w:p w:rsidR="005366A8" w:rsidRPr="00E25963" w:rsidRDefault="005366A8" w:rsidP="005366A8">
      <w:pPr>
        <w:spacing w:after="60"/>
        <w:rPr>
          <w:b/>
          <w:bCs/>
          <w:sz w:val="20"/>
          <w:szCs w:val="20"/>
          <w:rtl/>
        </w:rPr>
      </w:pPr>
      <w:r w:rsidRPr="00E25963">
        <w:rPr>
          <w:rFonts w:hint="cs"/>
          <w:b/>
          <w:bCs/>
          <w:sz w:val="20"/>
          <w:szCs w:val="20"/>
          <w:rtl/>
        </w:rPr>
        <w:t>התנגשות למול החוקה המהותית של ישראל</w:t>
      </w:r>
    </w:p>
    <w:p w:rsidR="005366A8" w:rsidRPr="00E25963" w:rsidRDefault="005366A8" w:rsidP="005366A8">
      <w:pPr>
        <w:spacing w:after="60"/>
        <w:rPr>
          <w:b/>
          <w:bCs/>
          <w:sz w:val="20"/>
          <w:szCs w:val="20"/>
          <w:rtl/>
        </w:rPr>
      </w:pPr>
      <w:r w:rsidRPr="00E25963">
        <w:rPr>
          <w:rFonts w:hint="cs"/>
          <w:sz w:val="20"/>
          <w:szCs w:val="20"/>
          <w:rtl/>
        </w:rPr>
        <w:t>הביקורת המטא-טקסטואלית (או דוקטרינת תיקון החוקה שאינו חוקתי) היא מקרה חריג ביותר, של מצב חירום חוקתי קשה ביותר. בפסיקה מצאנו הפעלה שלה כנראה רק ב</w:t>
      </w:r>
      <w:r w:rsidRPr="00E25963">
        <w:rPr>
          <w:rFonts w:hint="cs"/>
          <w:b/>
          <w:bCs/>
          <w:sz w:val="20"/>
          <w:szCs w:val="20"/>
          <w:rtl/>
        </w:rPr>
        <w:t>ירדור.</w:t>
      </w:r>
    </w:p>
    <w:p w:rsidR="005366A8" w:rsidRPr="00E25963" w:rsidRDefault="005366A8" w:rsidP="005366A8">
      <w:pPr>
        <w:spacing w:after="60"/>
        <w:rPr>
          <w:b/>
          <w:bCs/>
          <w:sz w:val="20"/>
          <w:szCs w:val="20"/>
          <w:rtl/>
        </w:rPr>
      </w:pPr>
      <w:r w:rsidRPr="00E25963">
        <w:rPr>
          <w:rFonts w:hint="cs"/>
          <w:b/>
          <w:bCs/>
          <w:sz w:val="20"/>
          <w:szCs w:val="20"/>
          <w:rtl/>
        </w:rPr>
        <w:t xml:space="preserve">מכל הטעמים המפורטים בחלק א' של השאלה, ובשל היותם טעמים מצטברים, אני מוצא שזה אכן אותו מקרה מיוחד וחריג של ערעור היסודות הדמוקרטיים של ישראל: שלילה מקיפה של מעורבותה של הכנסת בהכרעה מהשורה הראשונה; הבחירה הלא מוצדקת ברוב מיוחד של שני שליש לשימור סטטוס-קוו פוליטי בעניין גבולותיה של ירושלים; והעברת סמכות-וטו לגורם חיצוני המשמש "מגבר כוח" לאחת הקהילות הלאומיות, קהילת הרוב; כל זה יוצר, לטעמי, "מסה קריטית" של פגיעה בדמוקרטיה </w:t>
      </w:r>
      <w:r w:rsidRPr="00E25963">
        <w:rPr>
          <w:b/>
          <w:bCs/>
          <w:sz w:val="20"/>
          <w:szCs w:val="20"/>
          <w:rtl/>
        </w:rPr>
        <w:t>–</w:t>
      </w:r>
      <w:r w:rsidRPr="00E25963">
        <w:rPr>
          <w:rFonts w:hint="cs"/>
          <w:b/>
          <w:bCs/>
          <w:sz w:val="20"/>
          <w:szCs w:val="20"/>
          <w:rtl/>
        </w:rPr>
        <w:t xml:space="preserve"> ערעור יסודותיה העמוקים ביותר.</w:t>
      </w:r>
    </w:p>
    <w:p w:rsidR="005366A8" w:rsidRPr="00E25963" w:rsidRDefault="005366A8" w:rsidP="005366A8">
      <w:pPr>
        <w:spacing w:after="60"/>
        <w:rPr>
          <w:sz w:val="20"/>
          <w:szCs w:val="20"/>
          <w:rtl/>
        </w:rPr>
      </w:pPr>
      <w:r w:rsidRPr="00E25963">
        <w:rPr>
          <w:rFonts w:hint="cs"/>
          <w:sz w:val="20"/>
          <w:szCs w:val="20"/>
          <w:rtl/>
        </w:rPr>
        <w:t>יתכן מאד שבית המשפט ייקח בחשבון שהסדר זה עצמו אינו משוריין, והכנסת יכולה לשנותו ברוב רגיל, והוא יעדיף להצהיר בשלב ראשון רק על עומק הבעיה העצומה שבתיקון, זאת מתוך תקווה שהכנסת אכן תבטל את ההסדר.</w:t>
      </w:r>
    </w:p>
    <w:p w:rsidR="005366A8" w:rsidRPr="00E25963" w:rsidRDefault="005366A8" w:rsidP="005366A8">
      <w:pPr>
        <w:spacing w:after="60"/>
        <w:rPr>
          <w:sz w:val="20"/>
          <w:szCs w:val="20"/>
          <w:rtl/>
        </w:rPr>
      </w:pPr>
      <w:r w:rsidRPr="00E25963">
        <w:rPr>
          <w:rFonts w:hint="cs"/>
          <w:sz w:val="20"/>
          <w:szCs w:val="20"/>
          <w:rtl/>
        </w:rPr>
        <w:t xml:space="preserve">כלומר ייתכן ובית המשפט יפעל כאן בגישה דו-שלבית, שבה הוא יפעיל בפועל ביקורת מטא-טקסטואלית אך בצורה הדרגתית. בתחילה </w:t>
      </w:r>
      <w:r>
        <w:rPr>
          <w:rFonts w:hint="cs"/>
          <w:sz w:val="20"/>
          <w:szCs w:val="20"/>
          <w:rtl/>
        </w:rPr>
        <w:t xml:space="preserve">הוא </w:t>
      </w:r>
      <w:r w:rsidRPr="00E25963">
        <w:rPr>
          <w:rFonts w:hint="cs"/>
          <w:sz w:val="20"/>
          <w:szCs w:val="20"/>
          <w:rtl/>
        </w:rPr>
        <w:t>יצהיר על הבעייתיות הגדולה של התיקון, ורק אם ההצהרה הראשונית לא תוביל את הכנסת לתיקון עצמי של ההסדר החדש, הוא ייתן צו המכריז על בטלותו.</w:t>
      </w:r>
    </w:p>
    <w:p w:rsidR="005366A8" w:rsidRPr="00E25963" w:rsidRDefault="005366A8" w:rsidP="005366A8">
      <w:pPr>
        <w:spacing w:after="60"/>
        <w:rPr>
          <w:sz w:val="20"/>
          <w:szCs w:val="20"/>
          <w:rtl/>
        </w:rPr>
      </w:pPr>
    </w:p>
    <w:p w:rsidR="005366A8" w:rsidRPr="00E25963" w:rsidRDefault="005366A8" w:rsidP="005366A8">
      <w:pPr>
        <w:spacing w:after="60"/>
        <w:rPr>
          <w:sz w:val="20"/>
          <w:szCs w:val="20"/>
          <w:rtl/>
        </w:rPr>
      </w:pPr>
      <w:r w:rsidRPr="00E25963">
        <w:rPr>
          <w:sz w:val="20"/>
          <w:szCs w:val="20"/>
          <w:rtl/>
        </w:rPr>
        <w:t>=-=</w:t>
      </w:r>
    </w:p>
    <w:p w:rsidR="005366A8" w:rsidRPr="00E25963" w:rsidRDefault="005366A8" w:rsidP="005366A8">
      <w:pPr>
        <w:spacing w:after="60"/>
        <w:ind w:left="720" w:hanging="720"/>
        <w:rPr>
          <w:b/>
          <w:bCs/>
          <w:sz w:val="20"/>
          <w:szCs w:val="20"/>
          <w:rtl/>
        </w:rPr>
      </w:pPr>
      <w:r w:rsidRPr="00E25963">
        <w:rPr>
          <w:rFonts w:hint="cs"/>
          <w:b/>
          <w:bCs/>
          <w:sz w:val="20"/>
          <w:szCs w:val="20"/>
          <w:rtl/>
        </w:rPr>
        <w:t>3. האם הייתה משתנה תשובתכם (ואם כן, כיצד ומדוע) לו הסעיף הראשון של התיקון הנדון היה מתקבל כפי שהתקבל, אך חלקו השני היה מתקבל כתיקון לחוק סדרי השלטון והמשפט (ביטול החלת המשפט, השיפוט והמינהל), תשנ"ט-1999 בנוסחו דהיום?</w:t>
      </w:r>
    </w:p>
    <w:p w:rsidR="005366A8" w:rsidRPr="00E25963" w:rsidRDefault="005366A8" w:rsidP="005366A8">
      <w:pPr>
        <w:spacing w:after="60"/>
        <w:rPr>
          <w:sz w:val="20"/>
          <w:szCs w:val="20"/>
          <w:rtl/>
        </w:rPr>
      </w:pPr>
    </w:p>
    <w:p w:rsidR="005366A8" w:rsidRPr="00E25963" w:rsidRDefault="005366A8" w:rsidP="005366A8">
      <w:pPr>
        <w:spacing w:after="60"/>
        <w:rPr>
          <w:b/>
          <w:bCs/>
          <w:i/>
          <w:iCs/>
          <w:sz w:val="20"/>
          <w:szCs w:val="20"/>
          <w:rtl/>
        </w:rPr>
      </w:pPr>
      <w:r w:rsidRPr="00E25963">
        <w:rPr>
          <w:rFonts w:hint="cs"/>
          <w:b/>
          <w:bCs/>
          <w:i/>
          <w:iCs/>
          <w:sz w:val="20"/>
          <w:szCs w:val="20"/>
          <w:rtl/>
        </w:rPr>
        <w:t>מה השוני למול הניתוח שבסעיף הקודם?</w:t>
      </w:r>
    </w:p>
    <w:p w:rsidR="005366A8" w:rsidRPr="00E25963" w:rsidRDefault="005366A8" w:rsidP="005366A8">
      <w:pPr>
        <w:spacing w:after="60"/>
        <w:rPr>
          <w:b/>
          <w:bCs/>
          <w:sz w:val="20"/>
          <w:szCs w:val="20"/>
          <w:rtl/>
        </w:rPr>
      </w:pPr>
      <w:r w:rsidRPr="00E25963">
        <w:rPr>
          <w:rFonts w:hint="cs"/>
          <w:b/>
          <w:bCs/>
          <w:sz w:val="20"/>
          <w:szCs w:val="20"/>
          <w:rtl/>
        </w:rPr>
        <w:t>משמדובר בחוק הרי שיש לבדוק את התנגשותו למול חוקי היסוד, על עליונותם ופסקת ההגבלה הישירה או האנלוגית שבהם.</w:t>
      </w:r>
    </w:p>
    <w:p w:rsidR="005366A8" w:rsidRPr="00E25963" w:rsidRDefault="005366A8" w:rsidP="005366A8">
      <w:pPr>
        <w:spacing w:after="60"/>
        <w:rPr>
          <w:sz w:val="20"/>
          <w:szCs w:val="20"/>
          <w:rtl/>
        </w:rPr>
      </w:pPr>
      <w:r w:rsidRPr="00E25963">
        <w:rPr>
          <w:rFonts w:hint="cs"/>
          <w:sz w:val="20"/>
          <w:szCs w:val="20"/>
          <w:rtl/>
        </w:rPr>
        <w:t xml:space="preserve">לענייננו מדובר בבחינה של כמה פגיעות, שיש לבחון את עמידתן בתנאי הצדקה מסוימים. מדובר הן בפגיעה בחוק יסוד: כבוד האדם וחירותו </w:t>
      </w:r>
      <w:r w:rsidRPr="00E25963">
        <w:rPr>
          <w:sz w:val="20"/>
          <w:szCs w:val="20"/>
          <w:rtl/>
        </w:rPr>
        <w:t>–</w:t>
      </w:r>
      <w:r w:rsidRPr="00E25963">
        <w:rPr>
          <w:rFonts w:hint="cs"/>
          <w:sz w:val="20"/>
          <w:szCs w:val="20"/>
          <w:rtl/>
        </w:rPr>
        <w:t xml:space="preserve"> הזכות ל"כבוד האדם" הנפגעת עמוקות בשל ההטיה האתנית-לאומית של ההסדר כאן; והן בהתנגשות למול סעיפי שונים של חוק יסוד: הכנסת: סע' 1, בדבר היותה של הכנסת, ולא גורם אחר, בית הנבחרים של המדינה; והן בפגיעה אפשרית בסע' 4 ביחס לשוויון בבחירות [ואולי גם ביחס להיותן "ארציות"]. ויש להוסיף ולשאול, האם החוק המתקן לא פוגע גם בזכות לבחור ובזכות להיבחר (סעיפים 5 ו-6 לחוק יסוד: הכנסת).</w:t>
      </w:r>
    </w:p>
    <w:p w:rsidR="005366A8" w:rsidRPr="00E25963" w:rsidRDefault="005366A8" w:rsidP="005366A8">
      <w:pPr>
        <w:spacing w:after="60"/>
        <w:rPr>
          <w:sz w:val="20"/>
          <w:szCs w:val="20"/>
          <w:rtl/>
        </w:rPr>
      </w:pPr>
      <w:r w:rsidRPr="00E25963">
        <w:rPr>
          <w:rFonts w:hint="cs"/>
          <w:sz w:val="20"/>
          <w:szCs w:val="20"/>
          <w:rtl/>
        </w:rPr>
        <w:t xml:space="preserve">חוק פוגע מעין זה צריך לעמוד בתנאי "פסקת הגבלה": פסקת הגבלה ישירה בכל הנוגע לפגיעתו בזכות לשוויון המעוגנת בזכות לכבוד האדם; ופסקת הגבלה אנלוגית ביחס לפגיעותיו בחוק יסוד: הכנסת. </w:t>
      </w:r>
    </w:p>
    <w:p w:rsidR="005366A8" w:rsidRPr="00E25963" w:rsidRDefault="005366A8" w:rsidP="005366A8">
      <w:pPr>
        <w:spacing w:after="60"/>
        <w:rPr>
          <w:sz w:val="20"/>
          <w:szCs w:val="20"/>
          <w:rtl/>
        </w:rPr>
      </w:pPr>
      <w:r w:rsidRPr="00E25963">
        <w:rPr>
          <w:rFonts w:hint="cs"/>
          <w:sz w:val="20"/>
          <w:szCs w:val="20"/>
          <w:rtl/>
        </w:rPr>
        <w:t xml:space="preserve">מהטעמים שצוינו בחלק א' של השאלה, החוק אינו עובר בעיני את משוכת דרישותיה של פסקת ההגבלה. הבעיה המרכזית היא במישור </w:t>
      </w:r>
      <w:r w:rsidRPr="00E25963">
        <w:rPr>
          <w:rFonts w:hint="cs"/>
          <w:b/>
          <w:bCs/>
          <w:sz w:val="20"/>
          <w:szCs w:val="20"/>
          <w:rtl/>
        </w:rPr>
        <w:t>המידתיות</w:t>
      </w:r>
      <w:r w:rsidRPr="00E25963">
        <w:rPr>
          <w:rFonts w:hint="cs"/>
          <w:sz w:val="20"/>
          <w:szCs w:val="20"/>
          <w:rtl/>
        </w:rPr>
        <w:t xml:space="preserve">. [מטעמים שונים אני חושב שבעיית החוק מופיעה כבר במישור "התכלית הראויה", אך לא אעסוק בכך כאן, שכן לא לימדתי אתכם נקודה זו]. </w:t>
      </w:r>
    </w:p>
    <w:p w:rsidR="005366A8" w:rsidRDefault="005366A8" w:rsidP="005366A8">
      <w:pPr>
        <w:spacing w:after="60"/>
        <w:rPr>
          <w:sz w:val="20"/>
          <w:szCs w:val="20"/>
          <w:rtl/>
        </w:rPr>
      </w:pPr>
      <w:r w:rsidRPr="00E25963">
        <w:rPr>
          <w:rFonts w:hint="cs"/>
          <w:sz w:val="20"/>
          <w:szCs w:val="20"/>
          <w:rtl/>
        </w:rPr>
        <w:t xml:space="preserve">ראשית, ערכה התרבותי המיוחד של ירושלים נוגע למקומות הקדושים בה. אין הוא נוגע דווקא למרחב הנוכחי של ירושלים, ועל כן מבחנה השני של המידתיות </w:t>
      </w:r>
      <w:r w:rsidRPr="00E25963">
        <w:rPr>
          <w:sz w:val="20"/>
          <w:szCs w:val="20"/>
          <w:rtl/>
        </w:rPr>
        <w:t>–</w:t>
      </w:r>
      <w:r w:rsidRPr="00E25963">
        <w:rPr>
          <w:rFonts w:hint="cs"/>
          <w:sz w:val="20"/>
          <w:szCs w:val="20"/>
          <w:rtl/>
        </w:rPr>
        <w:t xml:space="preserve"> ביחס "לנחיצות"/ העדרן של חלופות פחותות בחומרתן </w:t>
      </w:r>
      <w:r w:rsidRPr="00E25963">
        <w:rPr>
          <w:sz w:val="20"/>
          <w:szCs w:val="20"/>
          <w:rtl/>
        </w:rPr>
        <w:t>–</w:t>
      </w:r>
      <w:r w:rsidRPr="00E25963">
        <w:rPr>
          <w:rFonts w:hint="cs"/>
          <w:sz w:val="20"/>
          <w:szCs w:val="20"/>
          <w:rtl/>
        </w:rPr>
        <w:t xml:space="preserve"> מופר כאשר ההגנה חורגת משאלת הר-הבית והכותל המערבי. </w:t>
      </w:r>
    </w:p>
    <w:p w:rsidR="005366A8" w:rsidRPr="00E25963" w:rsidRDefault="005366A8" w:rsidP="005366A8">
      <w:pPr>
        <w:spacing w:after="60"/>
        <w:rPr>
          <w:sz w:val="20"/>
          <w:szCs w:val="20"/>
          <w:rtl/>
        </w:rPr>
      </w:pPr>
      <w:r w:rsidRPr="00E25963">
        <w:rPr>
          <w:rFonts w:hint="cs"/>
          <w:sz w:val="20"/>
          <w:szCs w:val="20"/>
          <w:rtl/>
        </w:rPr>
        <w:t xml:space="preserve">שנית, </w:t>
      </w:r>
      <w:r w:rsidRPr="00E25963">
        <w:rPr>
          <w:rFonts w:hint="cs"/>
          <w:b/>
          <w:bCs/>
          <w:sz w:val="20"/>
          <w:szCs w:val="20"/>
          <w:rtl/>
        </w:rPr>
        <w:t>וחשוב מכך,</w:t>
      </w:r>
      <w:r w:rsidRPr="00E25963">
        <w:rPr>
          <w:rFonts w:hint="cs"/>
          <w:sz w:val="20"/>
          <w:szCs w:val="20"/>
          <w:rtl/>
        </w:rPr>
        <w:t xml:space="preserve"> בעיית המידתיות הקשה ביותר קיימת במבחן השלישי. מבחן זה מופר </w:t>
      </w:r>
      <w:r w:rsidRPr="00E25963">
        <w:rPr>
          <w:sz w:val="20"/>
          <w:szCs w:val="20"/>
          <w:rtl/>
        </w:rPr>
        <w:t>–</w:t>
      </w:r>
      <w:r w:rsidRPr="00E25963">
        <w:rPr>
          <w:rFonts w:hint="cs"/>
          <w:sz w:val="20"/>
          <w:szCs w:val="20"/>
          <w:rtl/>
        </w:rPr>
        <w:t xml:space="preserve"> </w:t>
      </w:r>
      <w:r w:rsidRPr="00346E5E">
        <w:rPr>
          <w:rFonts w:hint="cs"/>
          <w:i/>
          <w:iCs/>
          <w:sz w:val="20"/>
          <w:szCs w:val="20"/>
          <w:rtl/>
        </w:rPr>
        <w:t>ובאופן מצטבר</w:t>
      </w:r>
      <w:r w:rsidRPr="00E25963">
        <w:rPr>
          <w:rFonts w:hint="cs"/>
          <w:sz w:val="20"/>
          <w:szCs w:val="20"/>
          <w:rtl/>
        </w:rPr>
        <w:t xml:space="preserve"> </w:t>
      </w:r>
      <w:r w:rsidRPr="00E25963">
        <w:rPr>
          <w:sz w:val="20"/>
          <w:szCs w:val="20"/>
          <w:rtl/>
        </w:rPr>
        <w:t>–</w:t>
      </w:r>
      <w:r w:rsidRPr="00E25963">
        <w:rPr>
          <w:rFonts w:hint="cs"/>
          <w:sz w:val="20"/>
          <w:szCs w:val="20"/>
          <w:rtl/>
        </w:rPr>
        <w:t xml:space="preserve"> הן על ידי דרישת הרוב המיוחד ביחס להכרעה שצריכה להתקבל על בסיס רוב רגיל, והן משום שדרישת הרוב המיוחד היא בעצם תוצר של רצון להתנות החלטה שכזו ב"רוב יהודי", והן משום שמוענקת כאן סמכות-וטו לגורם חיצוני ומוטה-לאומית.</w:t>
      </w:r>
      <w:r>
        <w:rPr>
          <w:rFonts w:hint="cs"/>
          <w:sz w:val="20"/>
          <w:szCs w:val="20"/>
          <w:rtl/>
        </w:rPr>
        <w:t xml:space="preserve"> אלו פגמים עמוקים מאד.</w:t>
      </w:r>
    </w:p>
    <w:p w:rsidR="005366A8" w:rsidRDefault="005366A8" w:rsidP="005366A8">
      <w:pPr>
        <w:rPr>
          <w:sz w:val="22"/>
          <w:szCs w:val="22"/>
          <w:rtl/>
        </w:rPr>
      </w:pPr>
    </w:p>
    <w:p w:rsidR="005366A8" w:rsidRDefault="005366A8" w:rsidP="005366A8">
      <w:pPr>
        <w:rPr>
          <w:sz w:val="22"/>
          <w:szCs w:val="22"/>
          <w:rtl/>
        </w:rPr>
      </w:pPr>
      <w:r>
        <w:rPr>
          <w:rFonts w:hint="cs"/>
          <w:sz w:val="22"/>
          <w:szCs w:val="22"/>
          <w:rtl/>
        </w:rPr>
        <w:t>=-=</w:t>
      </w:r>
    </w:p>
    <w:p w:rsidR="005366A8" w:rsidRPr="001A44A0" w:rsidRDefault="005366A8" w:rsidP="005366A8">
      <w:pPr>
        <w:rPr>
          <w:b/>
          <w:bCs/>
          <w:sz w:val="22"/>
          <w:szCs w:val="22"/>
          <w:u w:val="single"/>
          <w:rtl/>
        </w:rPr>
      </w:pPr>
      <w:r>
        <w:rPr>
          <w:rFonts w:hint="cs"/>
          <w:b/>
          <w:bCs/>
          <w:sz w:val="22"/>
          <w:szCs w:val="22"/>
          <w:highlight w:val="green"/>
          <w:u w:val="single"/>
          <w:rtl/>
        </w:rPr>
        <w:t>ב</w:t>
      </w:r>
      <w:r w:rsidRPr="00E25963">
        <w:rPr>
          <w:rFonts w:hint="cs"/>
          <w:b/>
          <w:bCs/>
          <w:sz w:val="22"/>
          <w:szCs w:val="22"/>
          <w:highlight w:val="green"/>
          <w:u w:val="single"/>
          <w:rtl/>
        </w:rPr>
        <w:t xml:space="preserve">. </w:t>
      </w:r>
      <w:r w:rsidRPr="001A44A0">
        <w:rPr>
          <w:rFonts w:hint="cs"/>
          <w:b/>
          <w:bCs/>
          <w:sz w:val="22"/>
          <w:szCs w:val="22"/>
          <w:highlight w:val="yellow"/>
          <w:u w:val="single"/>
          <w:rtl/>
        </w:rPr>
        <w:t>פתרון שאלה באחד ממועדי הבחינה השנתית באחת השנים הקודמות (שאלה שנשאלה גם, בשלב מ</w:t>
      </w:r>
      <w:r>
        <w:rPr>
          <w:rFonts w:hint="cs"/>
          <w:b/>
          <w:bCs/>
          <w:sz w:val="22"/>
          <w:szCs w:val="22"/>
          <w:highlight w:val="yellow"/>
          <w:u w:val="single"/>
          <w:rtl/>
        </w:rPr>
        <w:t>ו</w:t>
      </w:r>
      <w:r w:rsidRPr="001A44A0">
        <w:rPr>
          <w:rFonts w:hint="cs"/>
          <w:b/>
          <w:bCs/>
          <w:sz w:val="22"/>
          <w:szCs w:val="22"/>
          <w:highlight w:val="yellow"/>
          <w:u w:val="single"/>
          <w:rtl/>
        </w:rPr>
        <w:t>קדם יותר, כתרגיל 1</w:t>
      </w:r>
      <w:r>
        <w:rPr>
          <w:rFonts w:hint="cs"/>
          <w:b/>
          <w:bCs/>
          <w:sz w:val="22"/>
          <w:szCs w:val="22"/>
          <w:highlight w:val="yellow"/>
          <w:u w:val="single"/>
          <w:rtl/>
        </w:rPr>
        <w:t>)</w:t>
      </w:r>
      <w:r w:rsidRPr="001A44A0">
        <w:rPr>
          <w:rFonts w:hint="cs"/>
          <w:b/>
          <w:bCs/>
          <w:sz w:val="22"/>
          <w:szCs w:val="22"/>
          <w:highlight w:val="yellow"/>
          <w:u w:val="single"/>
          <w:rtl/>
        </w:rPr>
        <w:t>:</w:t>
      </w:r>
    </w:p>
    <w:p w:rsidR="005366A8" w:rsidRPr="00EE6B7C" w:rsidRDefault="005366A8" w:rsidP="005366A8">
      <w:pPr>
        <w:rPr>
          <w:sz w:val="22"/>
          <w:szCs w:val="22"/>
          <w:rtl/>
        </w:rPr>
      </w:pPr>
    </w:p>
    <w:p w:rsidR="005366A8" w:rsidRDefault="005366A8" w:rsidP="005366A8">
      <w:pPr>
        <w:spacing w:after="100" w:afterAutospacing="1"/>
        <w:jc w:val="center"/>
        <w:rPr>
          <w:rFonts w:ascii="Arial" w:hAnsi="Arial" w:cs="Arial"/>
          <w:b/>
          <w:bCs/>
          <w:sz w:val="22"/>
          <w:szCs w:val="22"/>
          <w:rtl/>
        </w:rPr>
      </w:pPr>
      <w:r w:rsidRPr="00F06D89">
        <w:rPr>
          <w:rFonts w:ascii="Arial" w:hAnsi="Arial" w:cs="Arial"/>
          <w:b/>
          <w:bCs/>
          <w:sz w:val="22"/>
          <w:szCs w:val="22"/>
          <w:highlight w:val="yellow"/>
          <w:rtl/>
        </w:rPr>
        <w:t>מורי דרך</w:t>
      </w:r>
      <w:r>
        <w:rPr>
          <w:rFonts w:ascii="Arial" w:hAnsi="Arial" w:cs="Arial" w:hint="cs"/>
          <w:b/>
          <w:bCs/>
          <w:sz w:val="22"/>
          <w:szCs w:val="22"/>
          <w:highlight w:val="yellow"/>
          <w:rtl/>
        </w:rPr>
        <w:t xml:space="preserve"> </w:t>
      </w:r>
      <w:r w:rsidRPr="00F06D89">
        <w:rPr>
          <w:rFonts w:ascii="Arial" w:hAnsi="Arial" w:cs="Arial"/>
          <w:b/>
          <w:bCs/>
          <w:sz w:val="22"/>
          <w:szCs w:val="22"/>
          <w:highlight w:val="yellow"/>
          <w:rtl/>
        </w:rPr>
        <w:t>– חובת רישוי ודרישת אזרחות</w:t>
      </w:r>
    </w:p>
    <w:p w:rsidR="005366A8" w:rsidRDefault="005366A8" w:rsidP="005366A8">
      <w:pPr>
        <w:spacing w:after="60"/>
        <w:rPr>
          <w:b/>
          <w:bCs/>
          <w:sz w:val="22"/>
          <w:szCs w:val="22"/>
          <w:rtl/>
        </w:rPr>
      </w:pPr>
      <w:r w:rsidRPr="00EE6B7C">
        <w:rPr>
          <w:rFonts w:hint="cs"/>
          <w:b/>
          <w:bCs/>
          <w:sz w:val="22"/>
          <w:szCs w:val="22"/>
          <w:rtl/>
        </w:rPr>
        <w:t>הניחו כי התיקון הבא לחוק התקבל בכנסת.</w:t>
      </w:r>
      <w:r>
        <w:rPr>
          <w:rFonts w:hint="cs"/>
          <w:b/>
          <w:bCs/>
          <w:sz w:val="22"/>
          <w:szCs w:val="22"/>
          <w:rtl/>
        </w:rPr>
        <w:t xml:space="preserve"> (</w:t>
      </w:r>
      <w:r w:rsidRPr="00377147">
        <w:rPr>
          <w:rFonts w:hint="cs"/>
          <w:b/>
          <w:bCs/>
          <w:i/>
          <w:iCs/>
          <w:sz w:val="22"/>
          <w:szCs w:val="22"/>
          <w:highlight w:val="yellow"/>
          <w:rtl/>
        </w:rPr>
        <w:t>בפועל הוא לא התקבל/ טרם התקבל</w:t>
      </w:r>
      <w:r>
        <w:rPr>
          <w:rFonts w:hint="cs"/>
          <w:b/>
          <w:bCs/>
          <w:sz w:val="22"/>
          <w:szCs w:val="22"/>
          <w:rtl/>
        </w:rPr>
        <w:t xml:space="preserve">). </w:t>
      </w:r>
    </w:p>
    <w:p w:rsidR="005366A8" w:rsidRDefault="005366A8" w:rsidP="005366A8">
      <w:pPr>
        <w:spacing w:after="60"/>
        <w:rPr>
          <w:b/>
          <w:bCs/>
          <w:sz w:val="22"/>
          <w:szCs w:val="22"/>
          <w:rtl/>
        </w:rPr>
      </w:pPr>
      <w:r w:rsidRPr="00EE6B7C">
        <w:rPr>
          <w:rFonts w:hint="cs"/>
          <w:b/>
          <w:bCs/>
          <w:sz w:val="22"/>
          <w:szCs w:val="22"/>
          <w:rtl/>
        </w:rPr>
        <w:t>בהמשך מופיעים דברי ההסבר שליוו את הצעת החוק.</w:t>
      </w:r>
    </w:p>
    <w:p w:rsidR="005366A8" w:rsidRPr="00F06D89" w:rsidRDefault="005366A8" w:rsidP="005366A8">
      <w:pPr>
        <w:spacing w:after="60"/>
        <w:rPr>
          <w:sz w:val="22"/>
          <w:szCs w:val="22"/>
          <w:rtl/>
        </w:rPr>
      </w:pPr>
      <w:r w:rsidRPr="00F06D89">
        <w:rPr>
          <w:rFonts w:hint="cs"/>
          <w:sz w:val="22"/>
          <w:szCs w:val="22"/>
          <w:rtl/>
        </w:rPr>
        <w:t>[הנוסח שלהלן מוסיף סעיף קטן (ד), שלא מופיע בפועל בנוסח הצעת החוק].</w:t>
      </w:r>
    </w:p>
    <w:p w:rsidR="005366A8" w:rsidRPr="00EE6B7C" w:rsidRDefault="005366A8" w:rsidP="005366A8">
      <w:pPr>
        <w:spacing w:after="60"/>
        <w:rPr>
          <w:b/>
          <w:bCs/>
          <w:sz w:val="22"/>
          <w:szCs w:val="22"/>
          <w:rtl/>
        </w:rPr>
      </w:pPr>
    </w:p>
    <w:p w:rsidR="005366A8" w:rsidRPr="003A4E75" w:rsidRDefault="005366A8" w:rsidP="005366A8">
      <w:pPr>
        <w:pStyle w:val="HeadHatzaotHok"/>
        <w:tabs>
          <w:tab w:val="left" w:pos="4071"/>
          <w:tab w:val="center" w:pos="4819"/>
        </w:tabs>
        <w:spacing w:before="0" w:after="60" w:line="240" w:lineRule="auto"/>
        <w:rPr>
          <w:szCs w:val="20"/>
          <w:rtl/>
        </w:rPr>
      </w:pPr>
      <w:r w:rsidRPr="003A4E75">
        <w:rPr>
          <w:rFonts w:cs="David"/>
          <w:szCs w:val="20"/>
          <w:highlight w:val="yellow"/>
          <w:rtl/>
        </w:rPr>
        <w:t>חוק שירותי תיירות (תיקון – מורי דרך), התש</w:t>
      </w:r>
      <w:r w:rsidRPr="003A4E75">
        <w:rPr>
          <w:rFonts w:cs="David" w:hint="cs"/>
          <w:szCs w:val="20"/>
          <w:highlight w:val="yellow"/>
          <w:rtl/>
        </w:rPr>
        <w:t>ע</w:t>
      </w:r>
      <w:r w:rsidRPr="003A4E75">
        <w:rPr>
          <w:rFonts w:cs="David"/>
          <w:szCs w:val="20"/>
          <w:highlight w:val="yellow"/>
          <w:rtl/>
        </w:rPr>
        <w:t>"</w:t>
      </w:r>
      <w:r w:rsidRPr="003A4E75">
        <w:rPr>
          <w:rFonts w:cs="David" w:hint="cs"/>
          <w:szCs w:val="20"/>
          <w:highlight w:val="yellow"/>
          <w:rtl/>
        </w:rPr>
        <w:t>א</w:t>
      </w:r>
      <w:r w:rsidRPr="003A4E75">
        <w:rPr>
          <w:rFonts w:cs="David"/>
          <w:szCs w:val="20"/>
          <w:highlight w:val="yellow"/>
          <w:rtl/>
        </w:rPr>
        <w:t>–201</w:t>
      </w:r>
      <w:r w:rsidRPr="003A4E75">
        <w:rPr>
          <w:rFonts w:cs="David" w:hint="cs"/>
          <w:szCs w:val="20"/>
          <w:highlight w:val="yellow"/>
          <w:rtl/>
        </w:rPr>
        <w:t>1</w:t>
      </w:r>
    </w:p>
    <w:tbl>
      <w:tblPr>
        <w:bidiVisual/>
        <w:tblW w:w="0" w:type="auto"/>
        <w:tblInd w:w="8" w:type="dxa"/>
        <w:tblCellMar>
          <w:top w:w="57" w:type="dxa"/>
          <w:left w:w="0" w:type="dxa"/>
          <w:bottom w:w="57" w:type="dxa"/>
          <w:right w:w="0" w:type="dxa"/>
        </w:tblCellMar>
        <w:tblLook w:val="0000"/>
      </w:tblPr>
      <w:tblGrid>
        <w:gridCol w:w="1870"/>
        <w:gridCol w:w="624"/>
        <w:gridCol w:w="624"/>
        <w:gridCol w:w="624"/>
        <w:gridCol w:w="624"/>
        <w:gridCol w:w="624"/>
        <w:gridCol w:w="4649"/>
      </w:tblGrid>
      <w:tr w:rsidR="005366A8" w:rsidRPr="003A4E75" w:rsidTr="001845AC">
        <w:trPr>
          <w:cantSplit/>
        </w:trPr>
        <w:tc>
          <w:tcPr>
            <w:tcW w:w="1870" w:type="dxa"/>
            <w:tcBorders>
              <w:top w:val="nil"/>
              <w:left w:val="nil"/>
              <w:bottom w:val="nil"/>
              <w:right w:val="nil"/>
            </w:tcBorders>
          </w:tcPr>
          <w:p w:rsidR="005366A8" w:rsidRPr="003A4E75" w:rsidRDefault="005366A8" w:rsidP="001845AC">
            <w:pPr>
              <w:pStyle w:val="TableSideHeading"/>
              <w:spacing w:after="60" w:line="240" w:lineRule="auto"/>
              <w:ind w:right="0"/>
              <w:rPr>
                <w:rFonts w:cs="David"/>
                <w:szCs w:val="20"/>
              </w:rPr>
            </w:pPr>
            <w:r w:rsidRPr="003A4E75">
              <w:rPr>
                <w:rFonts w:cs="David"/>
                <w:szCs w:val="20"/>
                <w:rtl/>
              </w:rPr>
              <w:t>הוספת סעיף 3ב</w:t>
            </w:r>
          </w:p>
        </w:tc>
        <w:tc>
          <w:tcPr>
            <w:tcW w:w="624" w:type="dxa"/>
            <w:tcBorders>
              <w:top w:val="nil"/>
              <w:left w:val="nil"/>
              <w:bottom w:val="nil"/>
              <w:right w:val="nil"/>
            </w:tcBorders>
          </w:tcPr>
          <w:p w:rsidR="005366A8" w:rsidRPr="003A4E75" w:rsidRDefault="005366A8" w:rsidP="001845AC">
            <w:pPr>
              <w:pStyle w:val="TableText"/>
              <w:spacing w:after="60" w:line="240" w:lineRule="auto"/>
              <w:ind w:right="0"/>
              <w:jc w:val="both"/>
              <w:rPr>
                <w:rFonts w:cs="David"/>
                <w:szCs w:val="20"/>
              </w:rPr>
            </w:pPr>
            <w:r w:rsidRPr="003A4E75">
              <w:rPr>
                <w:rFonts w:cs="David"/>
                <w:szCs w:val="20"/>
                <w:rtl/>
              </w:rPr>
              <w:t>1.</w:t>
            </w:r>
          </w:p>
        </w:tc>
        <w:tc>
          <w:tcPr>
            <w:tcW w:w="7145" w:type="dxa"/>
            <w:gridSpan w:val="5"/>
            <w:tcBorders>
              <w:top w:val="nil"/>
              <w:left w:val="nil"/>
              <w:bottom w:val="nil"/>
              <w:right w:val="nil"/>
            </w:tcBorders>
          </w:tcPr>
          <w:p w:rsidR="005366A8" w:rsidRPr="003A4E75" w:rsidRDefault="005366A8" w:rsidP="001845AC">
            <w:pPr>
              <w:pStyle w:val="TableBlock"/>
              <w:spacing w:after="60" w:line="240" w:lineRule="auto"/>
              <w:rPr>
                <w:rFonts w:cs="David"/>
                <w:szCs w:val="20"/>
              </w:rPr>
            </w:pPr>
            <w:r w:rsidRPr="003A4E75">
              <w:rPr>
                <w:rFonts w:cs="David"/>
                <w:szCs w:val="20"/>
                <w:rtl/>
              </w:rPr>
              <w:t>בחוק שירותי תיירות, התשל"ו–1976, אחרי סעיף 3א יבוא:</w:t>
            </w:r>
          </w:p>
        </w:tc>
      </w:tr>
      <w:tr w:rsidR="005366A8" w:rsidRPr="003A4E75" w:rsidTr="001845AC">
        <w:trPr>
          <w:cantSplit/>
          <w:trHeight w:val="60"/>
        </w:trPr>
        <w:tc>
          <w:tcPr>
            <w:tcW w:w="1870" w:type="dxa"/>
            <w:tcBorders>
              <w:top w:val="nil"/>
              <w:left w:val="nil"/>
              <w:bottom w:val="nil"/>
              <w:right w:val="nil"/>
            </w:tcBorders>
          </w:tcPr>
          <w:p w:rsidR="005366A8" w:rsidRPr="003A4E75" w:rsidRDefault="005366A8" w:rsidP="001845AC">
            <w:pPr>
              <w:pStyle w:val="TableSideHeading"/>
              <w:keepLines w:val="0"/>
              <w:spacing w:after="60" w:line="240" w:lineRule="auto"/>
              <w:rPr>
                <w:rFonts w:cs="David"/>
                <w:szCs w:val="20"/>
              </w:rPr>
            </w:pPr>
          </w:p>
        </w:tc>
        <w:tc>
          <w:tcPr>
            <w:tcW w:w="624" w:type="dxa"/>
            <w:tcBorders>
              <w:top w:val="nil"/>
              <w:left w:val="nil"/>
              <w:bottom w:val="nil"/>
              <w:right w:val="nil"/>
            </w:tcBorders>
          </w:tcPr>
          <w:p w:rsidR="005366A8" w:rsidRPr="003A4E75" w:rsidRDefault="005366A8" w:rsidP="001845AC">
            <w:pPr>
              <w:pStyle w:val="TableText"/>
              <w:keepLines w:val="0"/>
              <w:spacing w:after="60" w:line="240" w:lineRule="auto"/>
              <w:rPr>
                <w:rFonts w:cs="David"/>
                <w:szCs w:val="20"/>
              </w:rPr>
            </w:pPr>
          </w:p>
        </w:tc>
        <w:tc>
          <w:tcPr>
            <w:tcW w:w="1872" w:type="dxa"/>
            <w:gridSpan w:val="3"/>
            <w:tcBorders>
              <w:top w:val="nil"/>
              <w:left w:val="nil"/>
              <w:bottom w:val="nil"/>
              <w:right w:val="nil"/>
            </w:tcBorders>
          </w:tcPr>
          <w:p w:rsidR="005366A8" w:rsidRPr="003A4E75" w:rsidRDefault="005366A8" w:rsidP="001845AC">
            <w:pPr>
              <w:pStyle w:val="TableInnerSideHeading"/>
              <w:spacing w:after="60" w:line="240" w:lineRule="auto"/>
              <w:rPr>
                <w:rFonts w:cs="David"/>
                <w:szCs w:val="20"/>
              </w:rPr>
            </w:pPr>
            <w:r w:rsidRPr="003A4E75">
              <w:rPr>
                <w:rFonts w:cs="David"/>
                <w:szCs w:val="20"/>
                <w:rtl/>
              </w:rPr>
              <w:t>"רישיון מורה דרך</w:t>
            </w:r>
          </w:p>
        </w:tc>
        <w:tc>
          <w:tcPr>
            <w:tcW w:w="624" w:type="dxa"/>
            <w:tcBorders>
              <w:top w:val="nil"/>
              <w:left w:val="nil"/>
              <w:bottom w:val="nil"/>
              <w:right w:val="nil"/>
            </w:tcBorders>
          </w:tcPr>
          <w:p w:rsidR="005366A8" w:rsidRPr="003A4E75" w:rsidRDefault="005366A8" w:rsidP="001845AC">
            <w:pPr>
              <w:pStyle w:val="TableText"/>
              <w:spacing w:after="60" w:line="240" w:lineRule="auto"/>
              <w:rPr>
                <w:rFonts w:cs="David"/>
                <w:szCs w:val="20"/>
              </w:rPr>
            </w:pPr>
            <w:r w:rsidRPr="003A4E75">
              <w:rPr>
                <w:rFonts w:cs="David"/>
                <w:szCs w:val="20"/>
                <w:rtl/>
              </w:rPr>
              <w:t>3ב.</w:t>
            </w:r>
          </w:p>
        </w:tc>
        <w:tc>
          <w:tcPr>
            <w:tcW w:w="4649" w:type="dxa"/>
            <w:tcBorders>
              <w:top w:val="nil"/>
              <w:left w:val="nil"/>
              <w:bottom w:val="nil"/>
              <w:right w:val="nil"/>
            </w:tcBorders>
          </w:tcPr>
          <w:p w:rsidR="005366A8" w:rsidRPr="003A4E75" w:rsidRDefault="005366A8" w:rsidP="001845AC">
            <w:pPr>
              <w:pStyle w:val="TableBlock"/>
              <w:spacing w:after="60" w:line="240" w:lineRule="auto"/>
              <w:rPr>
                <w:rFonts w:cs="David"/>
                <w:szCs w:val="20"/>
              </w:rPr>
            </w:pPr>
            <w:r w:rsidRPr="003A4E75">
              <w:rPr>
                <w:rFonts w:cs="David"/>
                <w:szCs w:val="20"/>
                <w:rtl/>
              </w:rPr>
              <w:t>(א)</w:t>
            </w:r>
            <w:r w:rsidRPr="003A4E75">
              <w:rPr>
                <w:rFonts w:cs="David"/>
                <w:szCs w:val="20"/>
                <w:rtl/>
              </w:rPr>
              <w:tab/>
              <w:t>לא ישמש אדם מורה דרך בתמורה</w:t>
            </w:r>
            <w:r w:rsidRPr="003A4E75">
              <w:rPr>
                <w:rFonts w:cs="David" w:hint="cs"/>
                <w:szCs w:val="20"/>
                <w:rtl/>
              </w:rPr>
              <w:t xml:space="preserve"> </w:t>
            </w:r>
            <w:r w:rsidRPr="003A4E75">
              <w:rPr>
                <w:rFonts w:cs="David"/>
                <w:szCs w:val="20"/>
                <w:rtl/>
              </w:rPr>
              <w:t>אלא אם כן יש בידיו רישיון תקף לפי חוק זה (בסעיף זה – מורה דרך מורשה).</w:t>
            </w:r>
          </w:p>
        </w:tc>
      </w:tr>
      <w:tr w:rsidR="005366A8" w:rsidRPr="003A4E75" w:rsidTr="001845AC">
        <w:trPr>
          <w:cantSplit/>
          <w:trHeight w:val="60"/>
        </w:trPr>
        <w:tc>
          <w:tcPr>
            <w:tcW w:w="1870" w:type="dxa"/>
            <w:tcBorders>
              <w:top w:val="nil"/>
              <w:left w:val="nil"/>
              <w:bottom w:val="nil"/>
              <w:right w:val="nil"/>
            </w:tcBorders>
          </w:tcPr>
          <w:p w:rsidR="005366A8" w:rsidRPr="003A4E75" w:rsidRDefault="005366A8" w:rsidP="001845AC">
            <w:pPr>
              <w:pStyle w:val="TableSideHeading"/>
              <w:spacing w:after="60" w:line="240" w:lineRule="auto"/>
              <w:rPr>
                <w:rFonts w:cs="David"/>
                <w:szCs w:val="20"/>
              </w:rPr>
            </w:pPr>
          </w:p>
        </w:tc>
        <w:tc>
          <w:tcPr>
            <w:tcW w:w="624" w:type="dxa"/>
            <w:tcBorders>
              <w:top w:val="nil"/>
              <w:left w:val="nil"/>
              <w:bottom w:val="nil"/>
              <w:right w:val="nil"/>
            </w:tcBorders>
          </w:tcPr>
          <w:p w:rsidR="005366A8" w:rsidRPr="003A4E75" w:rsidRDefault="005366A8" w:rsidP="001845AC">
            <w:pPr>
              <w:pStyle w:val="TableText"/>
              <w:spacing w:after="60" w:line="240" w:lineRule="auto"/>
              <w:rPr>
                <w:rFonts w:cs="David"/>
                <w:szCs w:val="20"/>
              </w:rPr>
            </w:pPr>
          </w:p>
        </w:tc>
        <w:tc>
          <w:tcPr>
            <w:tcW w:w="624" w:type="dxa"/>
            <w:tcBorders>
              <w:top w:val="nil"/>
              <w:left w:val="nil"/>
              <w:bottom w:val="nil"/>
              <w:right w:val="nil"/>
            </w:tcBorders>
          </w:tcPr>
          <w:p w:rsidR="005366A8" w:rsidRPr="003A4E75" w:rsidRDefault="005366A8" w:rsidP="001845AC">
            <w:pPr>
              <w:pStyle w:val="TableText"/>
              <w:spacing w:after="60" w:line="240" w:lineRule="auto"/>
              <w:rPr>
                <w:rFonts w:cs="David"/>
                <w:szCs w:val="20"/>
              </w:rPr>
            </w:pPr>
          </w:p>
        </w:tc>
        <w:tc>
          <w:tcPr>
            <w:tcW w:w="624" w:type="dxa"/>
            <w:tcBorders>
              <w:top w:val="nil"/>
              <w:left w:val="nil"/>
              <w:bottom w:val="nil"/>
              <w:right w:val="nil"/>
            </w:tcBorders>
          </w:tcPr>
          <w:p w:rsidR="005366A8" w:rsidRPr="003A4E75" w:rsidRDefault="005366A8" w:rsidP="001845AC">
            <w:pPr>
              <w:pStyle w:val="TableText"/>
              <w:spacing w:after="60" w:line="240" w:lineRule="auto"/>
              <w:rPr>
                <w:rFonts w:cs="David"/>
                <w:szCs w:val="20"/>
              </w:rPr>
            </w:pPr>
          </w:p>
        </w:tc>
        <w:tc>
          <w:tcPr>
            <w:tcW w:w="624" w:type="dxa"/>
            <w:tcBorders>
              <w:top w:val="nil"/>
              <w:left w:val="nil"/>
              <w:bottom w:val="nil"/>
              <w:right w:val="nil"/>
            </w:tcBorders>
          </w:tcPr>
          <w:p w:rsidR="005366A8" w:rsidRPr="003A4E75" w:rsidRDefault="005366A8" w:rsidP="001845AC">
            <w:pPr>
              <w:pStyle w:val="TableText"/>
              <w:spacing w:after="60" w:line="240" w:lineRule="auto"/>
              <w:rPr>
                <w:rFonts w:cs="David"/>
                <w:szCs w:val="20"/>
              </w:rPr>
            </w:pPr>
          </w:p>
        </w:tc>
        <w:tc>
          <w:tcPr>
            <w:tcW w:w="624" w:type="dxa"/>
            <w:tcBorders>
              <w:top w:val="nil"/>
              <w:left w:val="nil"/>
              <w:bottom w:val="nil"/>
              <w:right w:val="nil"/>
            </w:tcBorders>
          </w:tcPr>
          <w:p w:rsidR="005366A8" w:rsidRPr="003A4E75" w:rsidRDefault="005366A8" w:rsidP="001845AC">
            <w:pPr>
              <w:pStyle w:val="TableText"/>
              <w:spacing w:after="60" w:line="240" w:lineRule="auto"/>
              <w:rPr>
                <w:rFonts w:cs="David"/>
                <w:szCs w:val="20"/>
              </w:rPr>
            </w:pPr>
          </w:p>
        </w:tc>
        <w:tc>
          <w:tcPr>
            <w:tcW w:w="4649" w:type="dxa"/>
            <w:tcBorders>
              <w:top w:val="nil"/>
              <w:left w:val="nil"/>
              <w:bottom w:val="nil"/>
              <w:right w:val="nil"/>
            </w:tcBorders>
          </w:tcPr>
          <w:p w:rsidR="005366A8" w:rsidRPr="003A4E75" w:rsidRDefault="005366A8" w:rsidP="001845AC">
            <w:pPr>
              <w:pStyle w:val="TableBlock"/>
              <w:spacing w:after="60" w:line="240" w:lineRule="auto"/>
              <w:rPr>
                <w:rFonts w:cs="David"/>
                <w:szCs w:val="20"/>
              </w:rPr>
            </w:pPr>
            <w:r w:rsidRPr="003A4E75">
              <w:rPr>
                <w:rFonts w:cs="David"/>
                <w:szCs w:val="20"/>
                <w:rtl/>
              </w:rPr>
              <w:t>(ב)</w:t>
            </w:r>
            <w:r w:rsidRPr="003A4E75">
              <w:rPr>
                <w:rFonts w:cs="David"/>
                <w:szCs w:val="20"/>
                <w:rtl/>
              </w:rPr>
              <w:tab/>
              <w:t xml:space="preserve">נותן שירותי סוכנות נסיעות או גוף אחר, המארגן סיורים בישראל לתיירי חוץ, לא יעסיק מורה דרך, אלא אם כן הוא מורה דרך מורשה. </w:t>
            </w:r>
          </w:p>
        </w:tc>
      </w:tr>
      <w:tr w:rsidR="005366A8" w:rsidRPr="003A4E75" w:rsidTr="001845AC">
        <w:trPr>
          <w:cantSplit/>
          <w:trHeight w:val="60"/>
        </w:trPr>
        <w:tc>
          <w:tcPr>
            <w:tcW w:w="1870" w:type="dxa"/>
            <w:tcBorders>
              <w:top w:val="nil"/>
              <w:left w:val="nil"/>
              <w:bottom w:val="nil"/>
              <w:right w:val="nil"/>
            </w:tcBorders>
          </w:tcPr>
          <w:p w:rsidR="005366A8" w:rsidRPr="003A4E75" w:rsidRDefault="005366A8" w:rsidP="001845AC">
            <w:pPr>
              <w:pStyle w:val="TableSideHeading"/>
              <w:spacing w:after="60" w:line="240" w:lineRule="auto"/>
              <w:rPr>
                <w:rFonts w:cs="David"/>
                <w:szCs w:val="20"/>
              </w:rPr>
            </w:pPr>
          </w:p>
        </w:tc>
        <w:tc>
          <w:tcPr>
            <w:tcW w:w="624" w:type="dxa"/>
            <w:tcBorders>
              <w:top w:val="nil"/>
              <w:left w:val="nil"/>
              <w:bottom w:val="nil"/>
              <w:right w:val="nil"/>
            </w:tcBorders>
          </w:tcPr>
          <w:p w:rsidR="005366A8" w:rsidRPr="003A4E75" w:rsidRDefault="005366A8" w:rsidP="001845AC">
            <w:pPr>
              <w:pStyle w:val="TableText"/>
              <w:spacing w:after="60" w:line="240" w:lineRule="auto"/>
              <w:rPr>
                <w:rFonts w:cs="David"/>
                <w:szCs w:val="20"/>
              </w:rPr>
            </w:pPr>
          </w:p>
        </w:tc>
        <w:tc>
          <w:tcPr>
            <w:tcW w:w="624" w:type="dxa"/>
            <w:tcBorders>
              <w:top w:val="nil"/>
              <w:left w:val="nil"/>
              <w:bottom w:val="nil"/>
              <w:right w:val="nil"/>
            </w:tcBorders>
          </w:tcPr>
          <w:p w:rsidR="005366A8" w:rsidRPr="003A4E75" w:rsidRDefault="005366A8" w:rsidP="001845AC">
            <w:pPr>
              <w:pStyle w:val="TableText"/>
              <w:spacing w:after="60" w:line="240" w:lineRule="auto"/>
              <w:rPr>
                <w:rFonts w:cs="David"/>
                <w:szCs w:val="20"/>
              </w:rPr>
            </w:pPr>
          </w:p>
        </w:tc>
        <w:tc>
          <w:tcPr>
            <w:tcW w:w="624" w:type="dxa"/>
            <w:tcBorders>
              <w:top w:val="nil"/>
              <w:left w:val="nil"/>
              <w:bottom w:val="nil"/>
              <w:right w:val="nil"/>
            </w:tcBorders>
          </w:tcPr>
          <w:p w:rsidR="005366A8" w:rsidRPr="003A4E75" w:rsidRDefault="005366A8" w:rsidP="001845AC">
            <w:pPr>
              <w:pStyle w:val="TableText"/>
              <w:spacing w:after="60" w:line="240" w:lineRule="auto"/>
              <w:rPr>
                <w:rFonts w:cs="David"/>
                <w:szCs w:val="20"/>
              </w:rPr>
            </w:pPr>
          </w:p>
        </w:tc>
        <w:tc>
          <w:tcPr>
            <w:tcW w:w="624" w:type="dxa"/>
            <w:tcBorders>
              <w:top w:val="nil"/>
              <w:left w:val="nil"/>
              <w:bottom w:val="nil"/>
              <w:right w:val="nil"/>
            </w:tcBorders>
          </w:tcPr>
          <w:p w:rsidR="005366A8" w:rsidRPr="003A4E75" w:rsidRDefault="005366A8" w:rsidP="001845AC">
            <w:pPr>
              <w:pStyle w:val="TableText"/>
              <w:spacing w:after="60" w:line="240" w:lineRule="auto"/>
              <w:rPr>
                <w:rFonts w:cs="David"/>
                <w:szCs w:val="20"/>
              </w:rPr>
            </w:pPr>
          </w:p>
        </w:tc>
        <w:tc>
          <w:tcPr>
            <w:tcW w:w="624" w:type="dxa"/>
            <w:tcBorders>
              <w:top w:val="nil"/>
              <w:left w:val="nil"/>
              <w:bottom w:val="nil"/>
              <w:right w:val="nil"/>
            </w:tcBorders>
          </w:tcPr>
          <w:p w:rsidR="005366A8" w:rsidRPr="003A4E75" w:rsidRDefault="005366A8" w:rsidP="001845AC">
            <w:pPr>
              <w:pStyle w:val="TableText"/>
              <w:spacing w:after="60" w:line="240" w:lineRule="auto"/>
              <w:rPr>
                <w:rFonts w:cs="David"/>
                <w:szCs w:val="20"/>
              </w:rPr>
            </w:pPr>
          </w:p>
        </w:tc>
        <w:tc>
          <w:tcPr>
            <w:tcW w:w="4649" w:type="dxa"/>
            <w:tcBorders>
              <w:top w:val="nil"/>
              <w:left w:val="nil"/>
              <w:bottom w:val="nil"/>
              <w:right w:val="nil"/>
            </w:tcBorders>
          </w:tcPr>
          <w:p w:rsidR="005366A8" w:rsidRPr="003A4E75" w:rsidRDefault="005366A8" w:rsidP="001845AC">
            <w:pPr>
              <w:pStyle w:val="TableBlock"/>
              <w:spacing w:after="60" w:line="240" w:lineRule="auto"/>
              <w:rPr>
                <w:rFonts w:cs="David"/>
                <w:szCs w:val="20"/>
              </w:rPr>
            </w:pPr>
            <w:r w:rsidRPr="003A4E75">
              <w:rPr>
                <w:rFonts w:cs="David"/>
                <w:szCs w:val="20"/>
                <w:rtl/>
              </w:rPr>
              <w:t>(ג)</w:t>
            </w:r>
            <w:r w:rsidRPr="003A4E75">
              <w:rPr>
                <w:rFonts w:cs="David"/>
                <w:szCs w:val="20"/>
                <w:rtl/>
              </w:rPr>
              <w:tab/>
              <w:t xml:space="preserve">נותן שירותי סוכנות נסיעות או גוף אחר, המארגן סיור בישראל שבו משתתפים לפחות 11 תיירי חוץ, ידאג לכך שהסיור ילווה על ידי מורה דרך מורשה שהוא אזרח ישראלי. </w:t>
            </w:r>
          </w:p>
        </w:tc>
      </w:tr>
      <w:tr w:rsidR="005366A8" w:rsidRPr="003A4E75" w:rsidTr="001845AC">
        <w:trPr>
          <w:cantSplit/>
          <w:trHeight w:val="60"/>
        </w:trPr>
        <w:tc>
          <w:tcPr>
            <w:tcW w:w="1870" w:type="dxa"/>
            <w:tcBorders>
              <w:top w:val="nil"/>
              <w:left w:val="nil"/>
              <w:bottom w:val="nil"/>
              <w:right w:val="nil"/>
            </w:tcBorders>
          </w:tcPr>
          <w:p w:rsidR="005366A8" w:rsidRPr="003A4E75" w:rsidRDefault="005366A8" w:rsidP="001845AC">
            <w:pPr>
              <w:pStyle w:val="TableSideHeading"/>
              <w:spacing w:after="60" w:line="240" w:lineRule="auto"/>
              <w:rPr>
                <w:rFonts w:cs="David"/>
                <w:szCs w:val="20"/>
              </w:rPr>
            </w:pPr>
          </w:p>
        </w:tc>
        <w:tc>
          <w:tcPr>
            <w:tcW w:w="624" w:type="dxa"/>
            <w:tcBorders>
              <w:top w:val="nil"/>
              <w:left w:val="nil"/>
              <w:bottom w:val="nil"/>
              <w:right w:val="nil"/>
            </w:tcBorders>
          </w:tcPr>
          <w:p w:rsidR="005366A8" w:rsidRPr="003A4E75" w:rsidRDefault="005366A8" w:rsidP="001845AC">
            <w:pPr>
              <w:pStyle w:val="TableText"/>
              <w:spacing w:after="60" w:line="240" w:lineRule="auto"/>
              <w:rPr>
                <w:rFonts w:cs="David"/>
                <w:szCs w:val="20"/>
              </w:rPr>
            </w:pPr>
          </w:p>
        </w:tc>
        <w:tc>
          <w:tcPr>
            <w:tcW w:w="624" w:type="dxa"/>
            <w:tcBorders>
              <w:top w:val="nil"/>
              <w:left w:val="nil"/>
              <w:bottom w:val="nil"/>
              <w:right w:val="nil"/>
            </w:tcBorders>
          </w:tcPr>
          <w:p w:rsidR="005366A8" w:rsidRPr="003A4E75" w:rsidRDefault="005366A8" w:rsidP="001845AC">
            <w:pPr>
              <w:pStyle w:val="TableText"/>
              <w:spacing w:after="60" w:line="240" w:lineRule="auto"/>
              <w:rPr>
                <w:rFonts w:cs="David"/>
                <w:szCs w:val="20"/>
              </w:rPr>
            </w:pPr>
          </w:p>
        </w:tc>
        <w:tc>
          <w:tcPr>
            <w:tcW w:w="624" w:type="dxa"/>
            <w:tcBorders>
              <w:top w:val="nil"/>
              <w:left w:val="nil"/>
              <w:bottom w:val="nil"/>
              <w:right w:val="nil"/>
            </w:tcBorders>
          </w:tcPr>
          <w:p w:rsidR="005366A8" w:rsidRPr="003A4E75" w:rsidRDefault="005366A8" w:rsidP="001845AC">
            <w:pPr>
              <w:pStyle w:val="TableText"/>
              <w:spacing w:after="60" w:line="240" w:lineRule="auto"/>
              <w:rPr>
                <w:rFonts w:cs="David"/>
                <w:szCs w:val="20"/>
              </w:rPr>
            </w:pPr>
          </w:p>
        </w:tc>
        <w:tc>
          <w:tcPr>
            <w:tcW w:w="624" w:type="dxa"/>
            <w:tcBorders>
              <w:top w:val="nil"/>
              <w:left w:val="nil"/>
              <w:bottom w:val="nil"/>
              <w:right w:val="nil"/>
            </w:tcBorders>
          </w:tcPr>
          <w:p w:rsidR="005366A8" w:rsidRPr="003A4E75" w:rsidRDefault="005366A8" w:rsidP="001845AC">
            <w:pPr>
              <w:pStyle w:val="TableText"/>
              <w:spacing w:after="60" w:line="240" w:lineRule="auto"/>
              <w:rPr>
                <w:rFonts w:cs="David"/>
                <w:szCs w:val="20"/>
              </w:rPr>
            </w:pPr>
          </w:p>
        </w:tc>
        <w:tc>
          <w:tcPr>
            <w:tcW w:w="624" w:type="dxa"/>
            <w:tcBorders>
              <w:top w:val="nil"/>
              <w:left w:val="nil"/>
              <w:bottom w:val="nil"/>
              <w:right w:val="nil"/>
            </w:tcBorders>
          </w:tcPr>
          <w:p w:rsidR="005366A8" w:rsidRPr="003A4E75" w:rsidRDefault="005366A8" w:rsidP="001845AC">
            <w:pPr>
              <w:pStyle w:val="TableText"/>
              <w:spacing w:after="60" w:line="240" w:lineRule="auto"/>
              <w:rPr>
                <w:rFonts w:cs="David"/>
                <w:szCs w:val="20"/>
              </w:rPr>
            </w:pPr>
          </w:p>
        </w:tc>
        <w:tc>
          <w:tcPr>
            <w:tcW w:w="4649" w:type="dxa"/>
            <w:tcBorders>
              <w:top w:val="nil"/>
              <w:left w:val="nil"/>
              <w:bottom w:val="nil"/>
              <w:right w:val="nil"/>
            </w:tcBorders>
          </w:tcPr>
          <w:p w:rsidR="005366A8" w:rsidRPr="003A4E75" w:rsidRDefault="005366A8" w:rsidP="001845AC">
            <w:pPr>
              <w:pStyle w:val="TableBlock"/>
              <w:spacing w:after="60" w:line="240" w:lineRule="auto"/>
              <w:rPr>
                <w:rFonts w:cs="David"/>
                <w:szCs w:val="20"/>
              </w:rPr>
            </w:pPr>
            <w:r w:rsidRPr="003A4E75">
              <w:rPr>
                <w:rFonts w:cs="David"/>
                <w:szCs w:val="20"/>
                <w:rtl/>
              </w:rPr>
              <w:t>(ד)</w:t>
            </w:r>
            <w:r w:rsidRPr="003A4E75">
              <w:rPr>
                <w:rFonts w:cs="David"/>
                <w:szCs w:val="20"/>
                <w:rtl/>
              </w:rPr>
              <w:tab/>
            </w:r>
            <w:r w:rsidRPr="003A4E75">
              <w:rPr>
                <w:rFonts w:cs="David" w:hint="cs"/>
                <w:szCs w:val="20"/>
                <w:rtl/>
              </w:rPr>
              <w:t>הוראה זו תהא תקפה על אף האמור בחוק יסוד: חופש העיסוק</w:t>
            </w:r>
            <w:r w:rsidRPr="003A4E75">
              <w:rPr>
                <w:rFonts w:cs="David"/>
                <w:szCs w:val="20"/>
                <w:rtl/>
              </w:rPr>
              <w:t>."</w:t>
            </w:r>
          </w:p>
        </w:tc>
      </w:tr>
    </w:tbl>
    <w:p w:rsidR="005366A8" w:rsidRPr="00E25963" w:rsidRDefault="005366A8" w:rsidP="005366A8">
      <w:pPr>
        <w:pStyle w:val="HeadDivreiHesber"/>
        <w:spacing w:before="0" w:after="60" w:line="240" w:lineRule="auto"/>
        <w:rPr>
          <w:rFonts w:cs="Arial"/>
          <w:sz w:val="18"/>
          <w:szCs w:val="18"/>
          <w:rtl/>
        </w:rPr>
      </w:pPr>
      <w:r w:rsidRPr="00E25963">
        <w:rPr>
          <w:rFonts w:cs="Arial"/>
          <w:sz w:val="18"/>
          <w:szCs w:val="18"/>
          <w:rtl/>
        </w:rPr>
        <w:t>דברי הסבר</w:t>
      </w:r>
    </w:p>
    <w:p w:rsidR="005366A8" w:rsidRPr="00E25963" w:rsidRDefault="005366A8" w:rsidP="005366A8">
      <w:pPr>
        <w:spacing w:after="60"/>
        <w:rPr>
          <w:rFonts w:ascii="Arial" w:hAnsi="Arial" w:cs="Arial"/>
          <w:sz w:val="18"/>
          <w:szCs w:val="18"/>
          <w:rtl/>
        </w:rPr>
      </w:pPr>
      <w:r w:rsidRPr="00E25963">
        <w:rPr>
          <w:rFonts w:ascii="Arial" w:hAnsi="Arial" w:cs="Arial"/>
          <w:sz w:val="18"/>
          <w:szCs w:val="18"/>
          <w:rtl/>
        </w:rPr>
        <w:t>מטרת הצעת החוק היא להביא לפתרונה של בעיה בענף התיירות, לפיה מספר רב של מורי דרך שלא קיבלו רישיון לפי חוק שירותי תיירות, התשל"ו–1976, פוגעים בתדמיתה של מדינת ישראל, עקב כך שלא עברו הסמכה מתאימה ואינם יכולים להציג את מדינת ישראל בדרך נאותה. בנוסף, יש בעבודתם ללא רישיון כדי לפגוע בפרנסתם של מורי דרך מורשים. ...</w:t>
      </w:r>
    </w:p>
    <w:p w:rsidR="005366A8" w:rsidRPr="00E25963" w:rsidRDefault="005366A8" w:rsidP="005366A8">
      <w:pPr>
        <w:spacing w:after="60"/>
        <w:rPr>
          <w:rFonts w:ascii="Arial" w:hAnsi="Arial" w:cs="Arial"/>
          <w:sz w:val="18"/>
          <w:szCs w:val="18"/>
          <w:rtl/>
        </w:rPr>
      </w:pPr>
      <w:r w:rsidRPr="00E25963">
        <w:rPr>
          <w:rFonts w:ascii="Arial" w:hAnsi="Arial" w:cs="Arial"/>
          <w:sz w:val="18"/>
          <w:szCs w:val="18"/>
          <w:rtl/>
        </w:rPr>
        <w:t>בהתאם להצעת החוק, סוכנויות, ארגונים ומוסדות, שמארגנים סיורי תיירות בישראל, יחויבו לשכור את שירותיהם של מורי דרך מורשים בלבד, שכן הוצאת רישיון למורי דרך הינה מנגנון פיקוח להבטחת מקצועיותם של מורי הדרך ולשמירה על תדמיתה של מדינת ישראל, מה גם שמדינת ישראל משקיעה אמצעים רבים לשיפור תדמיתה כמדינה מודרנית, מערבית דמוקרטית וחופשית. זאת ועוד: הבאת תיירים לישראל כרוכה בהשקעה רבה מצד כלל הגורמים במשק, וכדי למנוע פגיעה בהשקעות אלה, ראוי להבטיח, כי יועסקו רק מורי דרך שעברו הכשרה מתאימה וקיבלו רישיון.</w:t>
      </w:r>
    </w:p>
    <w:p w:rsidR="005366A8" w:rsidRPr="00E25963" w:rsidRDefault="005366A8" w:rsidP="005366A8">
      <w:pPr>
        <w:pStyle w:val="Hesber"/>
        <w:spacing w:after="60" w:line="240" w:lineRule="auto"/>
        <w:ind w:left="26" w:firstLine="0"/>
        <w:rPr>
          <w:rFonts w:cs="Arial"/>
          <w:sz w:val="18"/>
          <w:szCs w:val="18"/>
          <w:rtl/>
        </w:rPr>
      </w:pPr>
      <w:r w:rsidRPr="00E25963">
        <w:rPr>
          <w:rFonts w:cs="Arial"/>
          <w:sz w:val="18"/>
          <w:szCs w:val="18"/>
          <w:rtl/>
        </w:rPr>
        <w:t xml:space="preserve">במדינת ישראל ישנם אתרים תיירותיים רבי-ערך. לא אחת ישנם חילוקי דעות באשר לאופן הצגתם של אותם אתרים מבחינה היסטורית, דתית, תרבותית ועוד. העיר ירושלים, על אתריה ההיסטוריים הרבים, מהווה דוגמא לאתר שקיימים לגביו חילוקי דעות כאמור. לחלק מתושבי מדינת ישראל, דוגמת תושבי מזרח ירושלים, ישנה פעמים רבות "נאמנות כפולה", שכן הם מצביעים לרשות הפלסטינית: תושבים אלה מציגים לעיתים עמדות אנטי-ישראליות בפני קבוצות תיירים אותן הם מדריכים. כדי להבטיח שתיירי חוץ ייחשפו לנקודת המבט הלאומית הישראלית, מוצע לקבוע כי סוכנויות נסיעות, וכל גוף המארגן סיורים לתיירי חוץ, ידאגו לכך שסיורים אלה ילוו על ידי מורה דרך שהוא אזרח ישראלי, אשר יש לו נאמנות מוסדית למדינת ישראל. </w:t>
      </w:r>
    </w:p>
    <w:p w:rsidR="005366A8" w:rsidRPr="00F36A5D" w:rsidRDefault="005366A8" w:rsidP="005366A8">
      <w:pPr>
        <w:pStyle w:val="Hesber"/>
        <w:spacing w:after="60" w:line="240" w:lineRule="auto"/>
        <w:ind w:left="26" w:firstLine="0"/>
        <w:rPr>
          <w:rFonts w:cs="Arial"/>
          <w:szCs w:val="20"/>
          <w:rtl/>
        </w:rPr>
      </w:pPr>
      <w:r w:rsidRPr="00E25963">
        <w:rPr>
          <w:rFonts w:cs="Arial"/>
          <w:sz w:val="18"/>
          <w:szCs w:val="18"/>
          <w:rtl/>
        </w:rPr>
        <w:t>הצורך בשמירה על האינטרס הלאומי של הצגת ישראל בדרך נאותה גובר על אינטרסים אחרים</w:t>
      </w:r>
      <w:r w:rsidRPr="00E25963">
        <w:rPr>
          <w:rFonts w:cs="Arial" w:hint="cs"/>
          <w:sz w:val="18"/>
          <w:szCs w:val="18"/>
          <w:rtl/>
        </w:rPr>
        <w:t>, ובכללם חופש העיסוק</w:t>
      </w:r>
      <w:r w:rsidRPr="00E25963">
        <w:rPr>
          <w:rFonts w:cs="Arial"/>
          <w:sz w:val="18"/>
          <w:szCs w:val="18"/>
          <w:rtl/>
        </w:rPr>
        <w:t>.</w:t>
      </w:r>
      <w:r w:rsidRPr="00F36A5D">
        <w:rPr>
          <w:rFonts w:cs="Arial"/>
          <w:szCs w:val="20"/>
          <w:rtl/>
        </w:rPr>
        <w:t xml:space="preserve"> </w:t>
      </w:r>
    </w:p>
    <w:p w:rsidR="005366A8" w:rsidRPr="00F36A5D" w:rsidRDefault="005366A8" w:rsidP="005366A8">
      <w:pPr>
        <w:spacing w:after="60"/>
        <w:ind w:left="26"/>
        <w:rPr>
          <w:sz w:val="20"/>
          <w:szCs w:val="20"/>
          <w:rtl/>
        </w:rPr>
      </w:pPr>
    </w:p>
    <w:p w:rsidR="005366A8" w:rsidRPr="00E25963" w:rsidRDefault="005366A8" w:rsidP="005366A8">
      <w:pPr>
        <w:spacing w:after="60"/>
        <w:rPr>
          <w:b/>
          <w:bCs/>
          <w:sz w:val="20"/>
          <w:szCs w:val="20"/>
          <w:rtl/>
        </w:rPr>
      </w:pPr>
      <w:r w:rsidRPr="00E25963">
        <w:rPr>
          <w:sz w:val="20"/>
          <w:szCs w:val="20"/>
          <w:highlight w:val="yellow"/>
          <w:rtl/>
        </w:rPr>
        <w:t>התיקון לחוק מותקף משפטית.</w:t>
      </w:r>
      <w:r w:rsidRPr="00E25963">
        <w:rPr>
          <w:rFonts w:hint="cs"/>
          <w:sz w:val="20"/>
          <w:szCs w:val="20"/>
          <w:highlight w:val="yellow"/>
          <w:rtl/>
        </w:rPr>
        <w:t xml:space="preserve"> הניחו כי כל הטענות הרלבנטיות מושמעות, וכי אתם בית המשפט. אנא כתבו את פסק דינכם המנומק.</w:t>
      </w:r>
      <w:r w:rsidRPr="00E25963">
        <w:rPr>
          <w:b/>
          <w:bCs/>
          <w:sz w:val="20"/>
          <w:szCs w:val="20"/>
          <w:rtl/>
        </w:rPr>
        <w:t xml:space="preserve"> </w:t>
      </w:r>
    </w:p>
    <w:p w:rsidR="005366A8" w:rsidRPr="00E25963" w:rsidRDefault="005366A8" w:rsidP="005366A8">
      <w:pPr>
        <w:rPr>
          <w:b/>
          <w:bCs/>
          <w:sz w:val="20"/>
          <w:szCs w:val="20"/>
          <w:rtl/>
        </w:rPr>
      </w:pPr>
    </w:p>
    <w:p w:rsidR="005366A8" w:rsidRPr="00E25963" w:rsidRDefault="005366A8" w:rsidP="005366A8">
      <w:pPr>
        <w:spacing w:after="60"/>
        <w:ind w:left="720"/>
        <w:rPr>
          <w:b/>
          <w:bCs/>
          <w:sz w:val="20"/>
          <w:szCs w:val="20"/>
          <w:rtl/>
        </w:rPr>
      </w:pPr>
      <w:r w:rsidRPr="00E25963">
        <w:rPr>
          <w:rFonts w:hint="cs"/>
          <w:b/>
          <w:bCs/>
          <w:sz w:val="20"/>
          <w:szCs w:val="20"/>
          <w:rtl/>
        </w:rPr>
        <w:t xml:space="preserve">[הניתוח להלן מתמקד בעיקר בדרישת "האזרחות" שמוספת כאן, בהצעת החוק/ בחוק. </w:t>
      </w:r>
    </w:p>
    <w:p w:rsidR="005366A8" w:rsidRPr="00E25963" w:rsidRDefault="005366A8" w:rsidP="005366A8">
      <w:pPr>
        <w:spacing w:after="60"/>
        <w:ind w:left="720"/>
        <w:rPr>
          <w:b/>
          <w:bCs/>
          <w:sz w:val="20"/>
          <w:szCs w:val="20"/>
          <w:rtl/>
        </w:rPr>
      </w:pPr>
      <w:r w:rsidRPr="00E25963">
        <w:rPr>
          <w:rFonts w:hint="cs"/>
          <w:b/>
          <w:bCs/>
          <w:sz w:val="20"/>
          <w:szCs w:val="20"/>
          <w:rtl/>
        </w:rPr>
        <w:t>ביחס לעצם דרישת הרישוי כתנאי לעיסוק יש דיון קצר בהמשך.</w:t>
      </w:r>
    </w:p>
    <w:p w:rsidR="005366A8" w:rsidRPr="00E25963" w:rsidRDefault="005366A8" w:rsidP="005366A8">
      <w:pPr>
        <w:spacing w:after="60"/>
        <w:ind w:left="720"/>
        <w:rPr>
          <w:b/>
          <w:bCs/>
          <w:sz w:val="20"/>
          <w:szCs w:val="20"/>
          <w:rtl/>
        </w:rPr>
      </w:pPr>
      <w:r w:rsidRPr="00E25963">
        <w:rPr>
          <w:rFonts w:hint="cs"/>
          <w:b/>
          <w:bCs/>
          <w:sz w:val="20"/>
          <w:szCs w:val="20"/>
          <w:rtl/>
        </w:rPr>
        <w:t xml:space="preserve">מה שלא נדון שם, בין היתר, הוא נושא תכני בחינות הרישוי: </w:t>
      </w:r>
    </w:p>
    <w:p w:rsidR="005366A8" w:rsidRPr="00E25963" w:rsidRDefault="005366A8" w:rsidP="005366A8">
      <w:pPr>
        <w:spacing w:after="60"/>
        <w:ind w:left="1440"/>
        <w:rPr>
          <w:b/>
          <w:bCs/>
          <w:sz w:val="20"/>
          <w:szCs w:val="20"/>
          <w:rtl/>
        </w:rPr>
      </w:pPr>
      <w:r w:rsidRPr="00E25963">
        <w:rPr>
          <w:rFonts w:hint="cs"/>
          <w:sz w:val="20"/>
          <w:szCs w:val="20"/>
          <w:rtl/>
        </w:rPr>
        <w:t>איזה גוף-ידע, למשל, נדרש לצורך קבלת הרישיון? האם תואר אקדמי הוא תנאי? באיזה חוגי לימוד? האם מוכרים תארים אקדמיים מקבילים מאוניברסיטאות פלסטיניות, למשל? מאוניברסיטות פלסטיניות בירושלים המזרחית? האם לא עשויה להתעורר גם בעיה מצפונית (פגיעה אפשרית בזכות "לכבוד האדם"), אם תופיע דרישה לענות תשובות 'נכונות' מסוימות לבחינת רישוי העוסקת למשל בהיסטוריה של ירושלים/ אל-קודס?</w:t>
      </w:r>
      <w:r w:rsidRPr="00E25963">
        <w:rPr>
          <w:rFonts w:hint="cs"/>
          <w:b/>
          <w:bCs/>
          <w:sz w:val="20"/>
          <w:szCs w:val="20"/>
          <w:rtl/>
        </w:rPr>
        <w:t>]</w:t>
      </w:r>
    </w:p>
    <w:p w:rsidR="005366A8" w:rsidRPr="00E25963" w:rsidRDefault="005366A8" w:rsidP="005366A8">
      <w:pPr>
        <w:rPr>
          <w:sz w:val="20"/>
          <w:szCs w:val="20"/>
          <w:rtl/>
        </w:rPr>
      </w:pPr>
    </w:p>
    <w:p w:rsidR="005366A8" w:rsidRPr="00E25963" w:rsidRDefault="005366A8" w:rsidP="005366A8">
      <w:pPr>
        <w:rPr>
          <w:sz w:val="20"/>
          <w:szCs w:val="20"/>
          <w:rtl/>
        </w:rPr>
      </w:pPr>
      <w:r w:rsidRPr="00E25963">
        <w:rPr>
          <w:sz w:val="20"/>
          <w:szCs w:val="20"/>
          <w:rtl/>
        </w:rPr>
        <w:t>הנקודה הראשונית</w:t>
      </w:r>
      <w:r w:rsidRPr="00E25963">
        <w:rPr>
          <w:rFonts w:hint="cs"/>
          <w:sz w:val="20"/>
          <w:szCs w:val="20"/>
          <w:rtl/>
        </w:rPr>
        <w:t xml:space="preserve">, נקודת המוצא בניתוח המשפטי, צריכה להיות </w:t>
      </w:r>
      <w:r w:rsidRPr="00E25963">
        <w:rPr>
          <w:rFonts w:hint="cs"/>
          <w:sz w:val="20"/>
          <w:szCs w:val="20"/>
          <w:highlight w:val="yellow"/>
          <w:rtl/>
        </w:rPr>
        <w:t>פרשנות הוראות הדין הנבחן</w:t>
      </w:r>
      <w:r w:rsidRPr="00E25963">
        <w:rPr>
          <w:rFonts w:hint="cs"/>
          <w:sz w:val="20"/>
          <w:szCs w:val="20"/>
          <w:rtl/>
        </w:rPr>
        <w:t xml:space="preserve">. משמע, </w:t>
      </w:r>
      <w:r w:rsidRPr="00E25963">
        <w:rPr>
          <w:sz w:val="20"/>
          <w:szCs w:val="20"/>
          <w:rtl/>
        </w:rPr>
        <w:t xml:space="preserve">ניסיון להתחקות אחר משמעות ההוראות החדשות שהתווספו לחוק בעת תיקונו. </w:t>
      </w:r>
    </w:p>
    <w:p w:rsidR="005366A8" w:rsidRPr="00E25963" w:rsidRDefault="005366A8" w:rsidP="005366A8">
      <w:pPr>
        <w:rPr>
          <w:sz w:val="20"/>
          <w:szCs w:val="20"/>
          <w:rtl/>
        </w:rPr>
      </w:pPr>
      <w:r w:rsidRPr="00E25963">
        <w:rPr>
          <w:rFonts w:hint="cs"/>
          <w:sz w:val="20"/>
          <w:szCs w:val="20"/>
          <w:rtl/>
        </w:rPr>
        <w:t>שיטת הפרשנות הנוהגת בישראל היא "ה</w:t>
      </w:r>
      <w:r w:rsidRPr="00E25963">
        <w:rPr>
          <w:sz w:val="20"/>
          <w:szCs w:val="20"/>
          <w:rtl/>
        </w:rPr>
        <w:t xml:space="preserve">פרשנות </w:t>
      </w:r>
      <w:r w:rsidRPr="00E25963">
        <w:rPr>
          <w:rFonts w:hint="cs"/>
          <w:sz w:val="20"/>
          <w:szCs w:val="20"/>
          <w:rtl/>
        </w:rPr>
        <w:t>ה</w:t>
      </w:r>
      <w:r w:rsidRPr="00E25963">
        <w:rPr>
          <w:sz w:val="20"/>
          <w:szCs w:val="20"/>
          <w:rtl/>
        </w:rPr>
        <w:t>תכליתית</w:t>
      </w:r>
      <w:r w:rsidRPr="00E25963">
        <w:rPr>
          <w:rFonts w:hint="cs"/>
          <w:sz w:val="20"/>
          <w:szCs w:val="20"/>
          <w:rtl/>
        </w:rPr>
        <w:t>". פרשנות זו</w:t>
      </w:r>
      <w:r w:rsidRPr="00E25963">
        <w:rPr>
          <w:sz w:val="20"/>
          <w:szCs w:val="20"/>
          <w:rtl/>
        </w:rPr>
        <w:t xml:space="preserve"> של ההוראות מאפשרת להבינן ככאלו שמטילות שתי חובות: </w:t>
      </w:r>
    </w:p>
    <w:p w:rsidR="005366A8" w:rsidRPr="00E25963" w:rsidRDefault="005366A8" w:rsidP="005366A8">
      <w:pPr>
        <w:rPr>
          <w:sz w:val="20"/>
          <w:szCs w:val="20"/>
          <w:rtl/>
        </w:rPr>
      </w:pPr>
      <w:r w:rsidRPr="00E25963">
        <w:rPr>
          <w:sz w:val="20"/>
          <w:szCs w:val="20"/>
          <w:rtl/>
        </w:rPr>
        <w:t>(א) חובת רישוי על כל מורה-דרך בתמורה</w:t>
      </w:r>
      <w:r w:rsidRPr="00E25963">
        <w:rPr>
          <w:rFonts w:hint="cs"/>
          <w:sz w:val="20"/>
          <w:szCs w:val="20"/>
          <w:rtl/>
        </w:rPr>
        <w:t>, כלומר בשכר</w:t>
      </w:r>
      <w:r w:rsidRPr="00E25963">
        <w:rPr>
          <w:sz w:val="20"/>
          <w:szCs w:val="20"/>
          <w:rtl/>
        </w:rPr>
        <w:t xml:space="preserve">; </w:t>
      </w:r>
    </w:p>
    <w:p w:rsidR="005366A8" w:rsidRPr="00E25963" w:rsidRDefault="005366A8" w:rsidP="005366A8">
      <w:pPr>
        <w:rPr>
          <w:sz w:val="20"/>
          <w:szCs w:val="20"/>
          <w:rtl/>
        </w:rPr>
      </w:pPr>
      <w:r w:rsidRPr="00E25963">
        <w:rPr>
          <w:sz w:val="20"/>
          <w:szCs w:val="20"/>
          <w:rtl/>
        </w:rPr>
        <w:t>(ב) חובה לפיה כל קבוצה של 11 תיירי</w:t>
      </w:r>
      <w:r w:rsidRPr="00E25963">
        <w:rPr>
          <w:rFonts w:hint="cs"/>
          <w:sz w:val="20"/>
          <w:szCs w:val="20"/>
          <w:rtl/>
        </w:rPr>
        <w:t>-</w:t>
      </w:r>
      <w:r w:rsidRPr="00E25963">
        <w:rPr>
          <w:sz w:val="20"/>
          <w:szCs w:val="20"/>
          <w:rtl/>
        </w:rPr>
        <w:t xml:space="preserve">חוץ ומעלה תהא מלווה על ידי מורה דרך מורשה שהוא "אזרח ישראלי". </w:t>
      </w:r>
    </w:p>
    <w:p w:rsidR="005366A8" w:rsidRPr="00E25963" w:rsidRDefault="005366A8" w:rsidP="005366A8">
      <w:pPr>
        <w:rPr>
          <w:sz w:val="20"/>
          <w:szCs w:val="20"/>
          <w:rtl/>
        </w:rPr>
      </w:pPr>
      <w:r w:rsidRPr="00E25963">
        <w:rPr>
          <w:sz w:val="20"/>
          <w:szCs w:val="20"/>
          <w:rtl/>
        </w:rPr>
        <w:t xml:space="preserve">ואולם על פי תפיסתנו, לאור "המטריה הנורמטיבית" של ערכיה הדמוקרטיים של ישראל יש לפרש את חובה ב' </w:t>
      </w:r>
      <w:r w:rsidRPr="00E25963">
        <w:rPr>
          <w:sz w:val="20"/>
          <w:szCs w:val="20"/>
          <w:highlight w:val="yellow"/>
          <w:rtl/>
        </w:rPr>
        <w:t>ככזו שמחייבת ליווי "גם" על ידי מדריך מורשה שהוא אזרח ישראל, זאת להבדיל מליווי "רק" על ידי מדריך שכז</w:t>
      </w:r>
      <w:r w:rsidRPr="00E25963">
        <w:rPr>
          <w:sz w:val="20"/>
          <w:szCs w:val="20"/>
          <w:rtl/>
        </w:rPr>
        <w:t>ה. פרשנות זו ממתנת את הפגיעה המתעוררת בזכויות האדם, אך היא מאד רחוקה מלפתור אותה.</w:t>
      </w:r>
      <w:r w:rsidRPr="00E25963">
        <w:rPr>
          <w:rFonts w:hint="cs"/>
          <w:sz w:val="20"/>
          <w:szCs w:val="20"/>
          <w:rtl/>
        </w:rPr>
        <w:t xml:space="preserve"> נרחיב בכך מייד.</w:t>
      </w:r>
    </w:p>
    <w:p w:rsidR="005366A8" w:rsidRPr="00E25963" w:rsidRDefault="005366A8" w:rsidP="005366A8">
      <w:pPr>
        <w:rPr>
          <w:sz w:val="20"/>
          <w:szCs w:val="20"/>
          <w:rtl/>
        </w:rPr>
      </w:pPr>
    </w:p>
    <w:p w:rsidR="005366A8" w:rsidRPr="00E25963" w:rsidRDefault="005366A8" w:rsidP="005366A8">
      <w:pPr>
        <w:rPr>
          <w:sz w:val="20"/>
          <w:szCs w:val="20"/>
          <w:rtl/>
        </w:rPr>
      </w:pPr>
      <w:r w:rsidRPr="00E25963">
        <w:rPr>
          <w:sz w:val="20"/>
          <w:szCs w:val="20"/>
          <w:rtl/>
        </w:rPr>
        <w:t xml:space="preserve">השאלה שעורר התרגיל עוסקת בתוקפה של הוראת חוק. הוראה זו יכולה להיות מותקפת, ולהיות מושא לביקורת שיפוטית חוקתית, רק בעת מתקל בנורמה הגבוהה מחוק, ולענייננו חוק יסוד או חוקי יסוד. </w:t>
      </w:r>
      <w:r w:rsidRPr="00E25963">
        <w:rPr>
          <w:rFonts w:hint="cs"/>
          <w:sz w:val="20"/>
          <w:szCs w:val="20"/>
          <w:rtl/>
        </w:rPr>
        <w:t>מייד נבדוק את קיומו של המתקל.</w:t>
      </w:r>
    </w:p>
    <w:p w:rsidR="005366A8" w:rsidRPr="00E25963" w:rsidRDefault="005366A8" w:rsidP="005366A8">
      <w:pPr>
        <w:ind w:left="720"/>
        <w:rPr>
          <w:sz w:val="20"/>
          <w:szCs w:val="20"/>
          <w:rtl/>
        </w:rPr>
      </w:pPr>
      <w:r w:rsidRPr="00E25963">
        <w:rPr>
          <w:rFonts w:hint="cs"/>
          <w:sz w:val="20"/>
          <w:szCs w:val="20"/>
          <w:rtl/>
        </w:rPr>
        <w:t xml:space="preserve">[נקדים ונאמר כי אכן מופיע כאן מתקל, וזאת משום שהוראת החוק פוגעת בזכויות יסוד חוקתיות שהוגנו בחוק יסוד: חופש העיסוק וחוק יסוד: כבוד האדם וחירותו. עם זאת, </w:t>
      </w:r>
      <w:r w:rsidRPr="00E25963">
        <w:rPr>
          <w:sz w:val="20"/>
          <w:szCs w:val="20"/>
          <w:rtl/>
        </w:rPr>
        <w:t xml:space="preserve">משום שהוראת החוק </w:t>
      </w:r>
      <w:r w:rsidRPr="00E25963">
        <w:rPr>
          <w:rFonts w:hint="cs"/>
          <w:sz w:val="20"/>
          <w:szCs w:val="20"/>
          <w:rtl/>
        </w:rPr>
        <w:t>הנבחנ</w:t>
      </w:r>
      <w:r w:rsidRPr="00E25963">
        <w:rPr>
          <w:sz w:val="20"/>
          <w:szCs w:val="20"/>
          <w:rtl/>
        </w:rPr>
        <w:t xml:space="preserve">ת אינה מתיימרת לשנות מרכיב מרכזי/רחב בחוק יסוד, אלא רק לפגוע/להגביל גזרת פעילות מסוימת בגדרה של זכות יסוד מסוימת שעליה מגונן חוק יסוד, </w:t>
      </w:r>
      <w:r w:rsidRPr="00E25963">
        <w:rPr>
          <w:rFonts w:hint="cs"/>
          <w:sz w:val="20"/>
          <w:szCs w:val="20"/>
          <w:rtl/>
        </w:rPr>
        <w:t>הרי שאין צורך שהכנסת תנסה להשיג את מטרתה כאן בדרך של תיקון חוק היסוד על ידיה כשהיא פועלת בכובעה המכונן. ניתן לעשות כן באמצעות הוראת חוק, ואולם הוראה זו צריכה לעמוד בדרישותיה של הכנסת ביחס לפגיעה בזכויות יסוד חוקתיות. דרישות אלו מופיעות ב"פסקת ההגבלה" ולעיתים ב"</w:t>
      </w:r>
      <w:r w:rsidRPr="00E25963">
        <w:rPr>
          <w:sz w:val="20"/>
          <w:szCs w:val="20"/>
          <w:rtl/>
        </w:rPr>
        <w:t>פסקת ההתגברות</w:t>
      </w:r>
      <w:r w:rsidRPr="00E25963">
        <w:rPr>
          <w:rFonts w:hint="cs"/>
          <w:sz w:val="20"/>
          <w:szCs w:val="20"/>
          <w:rtl/>
        </w:rPr>
        <w:t>".]</w:t>
      </w:r>
    </w:p>
    <w:p w:rsidR="005366A8" w:rsidRPr="00E25963" w:rsidRDefault="005366A8" w:rsidP="005366A8">
      <w:pPr>
        <w:rPr>
          <w:sz w:val="20"/>
          <w:szCs w:val="20"/>
          <w:rtl/>
        </w:rPr>
      </w:pPr>
    </w:p>
    <w:p w:rsidR="005366A8" w:rsidRPr="00E25963" w:rsidRDefault="005366A8" w:rsidP="005366A8">
      <w:pPr>
        <w:rPr>
          <w:b/>
          <w:bCs/>
          <w:sz w:val="20"/>
          <w:szCs w:val="20"/>
          <w:rtl/>
        </w:rPr>
      </w:pPr>
      <w:r w:rsidRPr="00E25963">
        <w:rPr>
          <w:rFonts w:hint="cs"/>
          <w:b/>
          <w:bCs/>
          <w:sz w:val="20"/>
          <w:szCs w:val="20"/>
          <w:rtl/>
        </w:rPr>
        <w:t>האם מופיע מתקל בין הוראת החוק הנבחנת לבין הרובד החוקתי שמעליה?</w:t>
      </w:r>
    </w:p>
    <w:p w:rsidR="005366A8" w:rsidRPr="00E25963" w:rsidRDefault="005366A8" w:rsidP="005366A8">
      <w:pPr>
        <w:rPr>
          <w:sz w:val="20"/>
          <w:szCs w:val="20"/>
          <w:rtl/>
        </w:rPr>
      </w:pPr>
      <w:r w:rsidRPr="00E25963">
        <w:rPr>
          <w:b/>
          <w:bCs/>
          <w:sz w:val="20"/>
          <w:szCs w:val="20"/>
          <w:rtl/>
        </w:rPr>
        <w:t>זיהוי הזכויות הנפגעות</w:t>
      </w:r>
      <w:r w:rsidRPr="00E25963">
        <w:rPr>
          <w:rFonts w:hint="cs"/>
          <w:b/>
          <w:bCs/>
          <w:sz w:val="20"/>
          <w:szCs w:val="20"/>
          <w:rtl/>
        </w:rPr>
        <w:t xml:space="preserve"> ומעמדן בפירמידה הנורמטיבית של שיטת המשפט שלנו</w:t>
      </w:r>
      <w:r w:rsidRPr="00E25963">
        <w:rPr>
          <w:sz w:val="20"/>
          <w:szCs w:val="20"/>
          <w:rtl/>
        </w:rPr>
        <w:t xml:space="preserve">. </w:t>
      </w:r>
    </w:p>
    <w:p w:rsidR="005366A8" w:rsidRPr="00E25963" w:rsidRDefault="005366A8" w:rsidP="005366A8">
      <w:pPr>
        <w:rPr>
          <w:sz w:val="20"/>
          <w:szCs w:val="20"/>
          <w:highlight w:val="yellow"/>
          <w:rtl/>
        </w:rPr>
      </w:pPr>
      <w:r w:rsidRPr="00E25963">
        <w:rPr>
          <w:sz w:val="20"/>
          <w:szCs w:val="20"/>
          <w:highlight w:val="yellow"/>
          <w:rtl/>
        </w:rPr>
        <w:t xml:space="preserve">ראשית, </w:t>
      </w:r>
      <w:r w:rsidRPr="00E25963">
        <w:rPr>
          <w:rFonts w:hint="cs"/>
          <w:sz w:val="20"/>
          <w:szCs w:val="20"/>
          <w:highlight w:val="yellow"/>
          <w:rtl/>
        </w:rPr>
        <w:t xml:space="preserve">מהי ההגבלה או הפגיעה בזכויות המופיעה כאן? </w:t>
      </w:r>
    </w:p>
    <w:p w:rsidR="005366A8" w:rsidRPr="00E25963" w:rsidRDefault="005366A8" w:rsidP="005366A8">
      <w:pPr>
        <w:rPr>
          <w:sz w:val="20"/>
          <w:szCs w:val="20"/>
          <w:highlight w:val="yellow"/>
          <w:rtl/>
        </w:rPr>
      </w:pPr>
      <w:r w:rsidRPr="00E25963">
        <w:rPr>
          <w:rFonts w:hint="cs"/>
          <w:sz w:val="20"/>
          <w:szCs w:val="20"/>
          <w:highlight w:val="yellow"/>
          <w:rtl/>
        </w:rPr>
        <w:t>שנית, האם החוק הפוגע מגביל זכויות שהן בדרגה חוקתית, קרי כאלה שזכו למעמד משפטי הגבוה מחוק?</w:t>
      </w:r>
    </w:p>
    <w:p w:rsidR="005366A8" w:rsidRPr="00E25963" w:rsidRDefault="005366A8" w:rsidP="005366A8">
      <w:pPr>
        <w:rPr>
          <w:sz w:val="20"/>
          <w:szCs w:val="20"/>
          <w:rtl/>
        </w:rPr>
      </w:pPr>
      <w:r w:rsidRPr="00E25963">
        <w:rPr>
          <w:rFonts w:hint="cs"/>
          <w:sz w:val="20"/>
          <w:szCs w:val="20"/>
          <w:highlight w:val="yellow"/>
          <w:rtl/>
        </w:rPr>
        <w:t xml:space="preserve">אשר לנקודה הראשונה, </w:t>
      </w:r>
      <w:r w:rsidRPr="00E25963">
        <w:rPr>
          <w:sz w:val="20"/>
          <w:szCs w:val="20"/>
          <w:highlight w:val="yellow"/>
          <w:rtl/>
        </w:rPr>
        <w:t>השינוי התחיקתי מגביל את חופש העיסוק כמורה-דרך, בכך שהוא מתנה עיסוק שכזה ברישיון מטעם המדינה. שנית, בנסיבות מסוימות מוגבל חופש העיסוק רק למי שהם בעלי אזרחות ישראלית.</w:t>
      </w:r>
      <w:r w:rsidRPr="00E25963">
        <w:rPr>
          <w:sz w:val="20"/>
          <w:szCs w:val="20"/>
          <w:rtl/>
        </w:rPr>
        <w:t xml:space="preserve"> מדריכים שהם תושבי ישראל אך אינם אזרחיה (בעיקר מדובר בתושבים הפלסטינים של ירושלים המזרחית אותה סיפחה ישראל אליה לאחר 1967)</w:t>
      </w:r>
      <w:r w:rsidRPr="00E25963">
        <w:rPr>
          <w:rFonts w:hint="cs"/>
          <w:sz w:val="20"/>
          <w:szCs w:val="20"/>
          <w:rtl/>
        </w:rPr>
        <w:t>,</w:t>
      </w:r>
      <w:r w:rsidRPr="00E25963">
        <w:rPr>
          <w:sz w:val="20"/>
          <w:szCs w:val="20"/>
          <w:rtl/>
        </w:rPr>
        <w:t xml:space="preserve"> וכן מדריכים זרים</w:t>
      </w:r>
      <w:r w:rsidRPr="00E25963">
        <w:rPr>
          <w:rFonts w:hint="cs"/>
          <w:sz w:val="20"/>
          <w:szCs w:val="20"/>
          <w:rtl/>
        </w:rPr>
        <w:t>,</w:t>
      </w:r>
      <w:r w:rsidRPr="00E25963">
        <w:rPr>
          <w:sz w:val="20"/>
          <w:szCs w:val="20"/>
          <w:rtl/>
        </w:rPr>
        <w:t xml:space="preserve"> אמנם יכולים עדיין להדריך לבדם קבוצות שהן קטנות מ-11 תיירי חוץ או יכולים להדריך – יחד עם מדריך שהוא אזרח ישראלי – קבוצות גדולות יותר, ואולם חופש העיסוק שלהם צומצם בכך, והם גם מובחנים/מופלים בכך בהשוואה למדריכים שהם אזרחים. </w:t>
      </w:r>
    </w:p>
    <w:p w:rsidR="005366A8" w:rsidRPr="00E25963" w:rsidRDefault="005366A8" w:rsidP="005366A8">
      <w:pPr>
        <w:rPr>
          <w:sz w:val="20"/>
          <w:szCs w:val="20"/>
          <w:rtl/>
        </w:rPr>
      </w:pPr>
      <w:r w:rsidRPr="00E25963">
        <w:rPr>
          <w:sz w:val="20"/>
          <w:szCs w:val="20"/>
          <w:rtl/>
        </w:rPr>
        <w:t>איזה זכויות מרכזיות נפגעות כאן</w:t>
      </w:r>
      <w:r w:rsidRPr="00E25963">
        <w:rPr>
          <w:rFonts w:hint="cs"/>
          <w:sz w:val="20"/>
          <w:szCs w:val="20"/>
          <w:rtl/>
        </w:rPr>
        <w:t>, והאם הן במעמד חוקתי</w:t>
      </w:r>
      <w:r w:rsidRPr="00E25963">
        <w:rPr>
          <w:sz w:val="20"/>
          <w:szCs w:val="20"/>
          <w:rtl/>
        </w:rPr>
        <w:t>?</w:t>
      </w:r>
    </w:p>
    <w:p w:rsidR="005366A8" w:rsidRPr="00E25963" w:rsidRDefault="005366A8" w:rsidP="005366A8">
      <w:pPr>
        <w:rPr>
          <w:sz w:val="20"/>
          <w:szCs w:val="20"/>
          <w:rtl/>
        </w:rPr>
      </w:pPr>
    </w:p>
    <w:p w:rsidR="005366A8" w:rsidRPr="00E25963" w:rsidRDefault="005366A8" w:rsidP="005366A8">
      <w:pPr>
        <w:rPr>
          <w:sz w:val="20"/>
          <w:szCs w:val="20"/>
          <w:rtl/>
        </w:rPr>
      </w:pPr>
      <w:r w:rsidRPr="00E25963">
        <w:rPr>
          <w:sz w:val="20"/>
          <w:szCs w:val="20"/>
          <w:rtl/>
        </w:rPr>
        <w:t xml:space="preserve">1. נפגע </w:t>
      </w:r>
      <w:r w:rsidRPr="00E25963">
        <w:rPr>
          <w:sz w:val="20"/>
          <w:szCs w:val="20"/>
          <w:highlight w:val="yellow"/>
          <w:rtl/>
        </w:rPr>
        <w:t>חופש העיסוק</w:t>
      </w:r>
      <w:r w:rsidRPr="00E25963">
        <w:rPr>
          <w:sz w:val="20"/>
          <w:szCs w:val="20"/>
          <w:rtl/>
        </w:rPr>
        <w:t xml:space="preserve"> של כל מי שמבקש להיות מורה-דרך, שכן (בנתוני</w:t>
      </w:r>
      <w:r w:rsidRPr="00E25963">
        <w:rPr>
          <w:rFonts w:hint="cs"/>
          <w:sz w:val="20"/>
          <w:szCs w:val="20"/>
          <w:rtl/>
        </w:rPr>
        <w:t>ם שנמסרו</w:t>
      </w:r>
      <w:r w:rsidRPr="00E25963">
        <w:rPr>
          <w:sz w:val="20"/>
          <w:szCs w:val="20"/>
          <w:rtl/>
        </w:rPr>
        <w:t xml:space="preserve">) התיקון </w:t>
      </w:r>
      <w:r w:rsidRPr="00E25963">
        <w:rPr>
          <w:rFonts w:hint="cs"/>
          <w:sz w:val="20"/>
          <w:szCs w:val="20"/>
          <w:rtl/>
        </w:rPr>
        <w:t xml:space="preserve">החדש </w:t>
      </w:r>
      <w:r w:rsidRPr="00E25963">
        <w:rPr>
          <w:sz w:val="20"/>
          <w:szCs w:val="20"/>
          <w:rtl/>
        </w:rPr>
        <w:t xml:space="preserve">הוא זה שמכפיף עיסוק זה לחובת הרישוי. במקביל מתגבשת פגיעה מוגברת בחופש העיסוק של המדריכים שאינם אזרחים, זאת משום שפחות משתלם להעסיקם יחד עם המדריך שהוא אזרח ישראלי, שהרי ברוב המקרים ניתן להעסיק את האחרון לבדו. </w:t>
      </w:r>
    </w:p>
    <w:p w:rsidR="005366A8" w:rsidRPr="00E25963" w:rsidRDefault="005366A8" w:rsidP="005366A8">
      <w:pPr>
        <w:rPr>
          <w:sz w:val="20"/>
          <w:szCs w:val="20"/>
          <w:rtl/>
        </w:rPr>
      </w:pPr>
      <w:r w:rsidRPr="00E25963">
        <w:rPr>
          <w:sz w:val="20"/>
          <w:szCs w:val="20"/>
          <w:rtl/>
        </w:rPr>
        <w:t xml:space="preserve">חופש העיסוק של תושב שאיננו אזרח (זאת להבדיל ממדריך זר) מוגן ברמה החוקתית על ידי סע' 3 לחוק יסוד: חופש העיסוק: "כל אזרח או תושב של המדינה זכאי לעסוק בכל עיסוק, מקצוע או משלח יד". </w:t>
      </w:r>
    </w:p>
    <w:p w:rsidR="005366A8" w:rsidRPr="00E25963" w:rsidRDefault="005366A8" w:rsidP="005366A8">
      <w:pPr>
        <w:rPr>
          <w:sz w:val="20"/>
          <w:szCs w:val="20"/>
          <w:rtl/>
        </w:rPr>
      </w:pPr>
    </w:p>
    <w:p w:rsidR="005366A8" w:rsidRPr="00E25963" w:rsidRDefault="005366A8" w:rsidP="005366A8">
      <w:pPr>
        <w:rPr>
          <w:sz w:val="20"/>
          <w:szCs w:val="20"/>
          <w:rtl/>
        </w:rPr>
      </w:pPr>
      <w:r w:rsidRPr="00E25963">
        <w:rPr>
          <w:sz w:val="20"/>
          <w:szCs w:val="20"/>
          <w:rtl/>
        </w:rPr>
        <w:t xml:space="preserve">2. כשנפגע חופש העיסוק של מי שמבקש להיות מורה-דרך הרי שנפגע גם </w:t>
      </w:r>
      <w:r w:rsidRPr="00E25963">
        <w:rPr>
          <w:sz w:val="20"/>
          <w:szCs w:val="20"/>
          <w:highlight w:val="yellow"/>
          <w:rtl/>
        </w:rPr>
        <w:t>חופש הביטוי</w:t>
      </w:r>
      <w:r w:rsidRPr="00E25963">
        <w:rPr>
          <w:sz w:val="20"/>
          <w:szCs w:val="20"/>
          <w:rtl/>
        </w:rPr>
        <w:t xml:space="preserve"> שלו, זאת בשל אופי משלח-היד הזה. ביחס למורי-דרך מירושלים המזרחית בעיית חופש הביטוי מתעצמת</w:t>
      </w:r>
      <w:r w:rsidRPr="00E25963">
        <w:rPr>
          <w:rFonts w:hint="cs"/>
          <w:sz w:val="20"/>
          <w:szCs w:val="20"/>
          <w:rtl/>
        </w:rPr>
        <w:t xml:space="preserve">. יוזמי החוק לא מסתירים שהם מבקשים להגביל את חופש הביטוי של תושבי ירושלים המזרחית כדי למנוע </w:t>
      </w:r>
      <w:r w:rsidRPr="00E25963">
        <w:rPr>
          <w:sz w:val="20"/>
          <w:szCs w:val="20"/>
          <w:rtl/>
        </w:rPr>
        <w:t>פגיעה בתדמיתה של מדינת ישראל. מדובר ב</w:t>
      </w:r>
      <w:r w:rsidRPr="00E25963">
        <w:rPr>
          <w:rFonts w:hint="cs"/>
          <w:sz w:val="20"/>
          <w:szCs w:val="20"/>
          <w:rtl/>
        </w:rPr>
        <w:t xml:space="preserve">הגבלת </w:t>
      </w:r>
      <w:r w:rsidRPr="00E25963">
        <w:rPr>
          <w:sz w:val="20"/>
          <w:szCs w:val="20"/>
          <w:rtl/>
        </w:rPr>
        <w:t>חופש הביטוי</w:t>
      </w:r>
      <w:r w:rsidRPr="00E25963">
        <w:rPr>
          <w:rFonts w:hint="cs"/>
          <w:sz w:val="20"/>
          <w:szCs w:val="20"/>
          <w:rtl/>
        </w:rPr>
        <w:t xml:space="preserve"> ביחס לנרטיבים היסטוריים שנוגעים לעיר ירושלים ולאתרים נוספים; במילים אחרות, </w:t>
      </w:r>
      <w:r w:rsidRPr="00E25963">
        <w:rPr>
          <w:sz w:val="20"/>
          <w:szCs w:val="20"/>
          <w:rtl/>
        </w:rPr>
        <w:t>מדובר בחופש הביטוי הפוליטי</w:t>
      </w:r>
      <w:r w:rsidRPr="00E25963">
        <w:rPr>
          <w:rFonts w:hint="cs"/>
          <w:sz w:val="20"/>
          <w:szCs w:val="20"/>
          <w:rtl/>
        </w:rPr>
        <w:t xml:space="preserve">. חופש ביטוי פוליטי, אקדמי, אמנותי </w:t>
      </w:r>
      <w:r w:rsidRPr="00E25963">
        <w:rPr>
          <w:sz w:val="20"/>
          <w:szCs w:val="20"/>
          <w:rtl/>
        </w:rPr>
        <w:t>נתפס על ידי בית המשפט כמוגן מכוח הזכות "לכבוד האדם"</w:t>
      </w:r>
      <w:r w:rsidRPr="00E25963">
        <w:rPr>
          <w:rFonts w:hint="cs"/>
          <w:sz w:val="20"/>
          <w:szCs w:val="20"/>
          <w:rtl/>
        </w:rPr>
        <w:t xml:space="preserve">, כלומר </w:t>
      </w:r>
      <w:r w:rsidRPr="00E25963">
        <w:rPr>
          <w:rFonts w:hint="cs"/>
          <w:sz w:val="20"/>
          <w:szCs w:val="20"/>
          <w:highlight w:val="yellow"/>
          <w:rtl/>
        </w:rPr>
        <w:t>כזוכה למעמד חוקתי</w:t>
      </w:r>
      <w:r w:rsidRPr="00E25963">
        <w:rPr>
          <w:sz w:val="20"/>
          <w:szCs w:val="20"/>
          <w:rtl/>
        </w:rPr>
        <w:t xml:space="preserve"> (פס"ד </w:t>
      </w:r>
      <w:r w:rsidRPr="00E25963">
        <w:rPr>
          <w:b/>
          <w:bCs/>
          <w:sz w:val="20"/>
          <w:szCs w:val="20"/>
          <w:rtl/>
        </w:rPr>
        <w:t>מטה רוב</w:t>
      </w:r>
      <w:r w:rsidRPr="00E25963">
        <w:rPr>
          <w:sz w:val="20"/>
          <w:szCs w:val="20"/>
          <w:rtl/>
        </w:rPr>
        <w:t>, באוביטר, ו</w:t>
      </w:r>
      <w:r w:rsidRPr="00E25963">
        <w:rPr>
          <w:rFonts w:hint="cs"/>
          <w:sz w:val="20"/>
          <w:szCs w:val="20"/>
          <w:rtl/>
        </w:rPr>
        <w:t xml:space="preserve">מופיעה גם </w:t>
      </w:r>
      <w:r w:rsidRPr="00E25963">
        <w:rPr>
          <w:sz w:val="20"/>
          <w:szCs w:val="20"/>
          <w:rtl/>
        </w:rPr>
        <w:t xml:space="preserve">הכרעה ברורה בנקודה זו בפס"ד </w:t>
      </w:r>
      <w:r w:rsidRPr="00E25963">
        <w:rPr>
          <w:b/>
          <w:bCs/>
          <w:sz w:val="20"/>
          <w:szCs w:val="20"/>
          <w:rtl/>
        </w:rPr>
        <w:t>המפקד הלאומי</w:t>
      </w:r>
      <w:r w:rsidRPr="00E25963">
        <w:rPr>
          <w:sz w:val="20"/>
          <w:szCs w:val="20"/>
          <w:rtl/>
        </w:rPr>
        <w:t xml:space="preserve">). </w:t>
      </w:r>
    </w:p>
    <w:p w:rsidR="005366A8" w:rsidRPr="00E25963" w:rsidRDefault="005366A8" w:rsidP="005366A8">
      <w:pPr>
        <w:ind w:left="720"/>
        <w:rPr>
          <w:sz w:val="20"/>
          <w:szCs w:val="20"/>
          <w:rtl/>
        </w:rPr>
      </w:pPr>
      <w:r w:rsidRPr="00E25963">
        <w:rPr>
          <w:sz w:val="20"/>
          <w:szCs w:val="20"/>
          <w:rtl/>
        </w:rPr>
        <w:t>[בניגוד לחוק יסוד: חופש העיסוק המקנה את הגנתו לאזרח או תושב, הרי שח"י: כבוד האדם וחירותו מדבר על "אדם". מתעוררת לפיכך השאלה, האין חלה הגנה חוקתית ביחס לפגיעה בחופש הביטוי ובשוויון של אדם שהוא אזרח זר המדריך תיירים זרים בישראל? שאלה נוספת: האם חופש הביטוי הוא רק הזכות להשמיע דברים או שמא גם הזכות לשמוע את הדברים (זכות של התיירים הזרים</w:t>
      </w:r>
      <w:r w:rsidRPr="00E25963">
        <w:rPr>
          <w:rFonts w:hint="cs"/>
          <w:sz w:val="20"/>
          <w:szCs w:val="20"/>
          <w:rtl/>
        </w:rPr>
        <w:t xml:space="preserve"> המבקשים לשמוע ממורה-הדרך שבו בחרו</w:t>
      </w:r>
      <w:r w:rsidRPr="00E25963">
        <w:rPr>
          <w:sz w:val="20"/>
          <w:szCs w:val="20"/>
          <w:rtl/>
        </w:rPr>
        <w:t xml:space="preserve">)? לא נעסוק בכך כאן]. </w:t>
      </w:r>
    </w:p>
    <w:p w:rsidR="005366A8" w:rsidRPr="00E25963" w:rsidRDefault="005366A8" w:rsidP="005366A8">
      <w:pPr>
        <w:ind w:left="720"/>
        <w:rPr>
          <w:sz w:val="20"/>
          <w:szCs w:val="20"/>
          <w:rtl/>
        </w:rPr>
      </w:pPr>
    </w:p>
    <w:p w:rsidR="005366A8" w:rsidRPr="00E25963" w:rsidRDefault="005366A8" w:rsidP="005366A8">
      <w:pPr>
        <w:rPr>
          <w:sz w:val="20"/>
          <w:szCs w:val="20"/>
          <w:rtl/>
        </w:rPr>
      </w:pPr>
      <w:r w:rsidRPr="00E25963">
        <w:rPr>
          <w:sz w:val="20"/>
          <w:szCs w:val="20"/>
          <w:rtl/>
        </w:rPr>
        <w:t xml:space="preserve">3. מופיעה </w:t>
      </w:r>
      <w:r w:rsidRPr="00E25963">
        <w:rPr>
          <w:sz w:val="20"/>
          <w:szCs w:val="20"/>
          <w:highlight w:val="yellow"/>
          <w:rtl/>
        </w:rPr>
        <w:t>אפליה שמתבססת על המעמד האזרחי, בין מי שהוא אזרח לבין מי שהוא תושב</w:t>
      </w:r>
      <w:r w:rsidRPr="00E25963">
        <w:rPr>
          <w:sz w:val="20"/>
          <w:szCs w:val="20"/>
          <w:rtl/>
        </w:rPr>
        <w:t xml:space="preserve"> אך אינו אזרח. כשקוראים את דברי ההסבר לתיקון לחוק, מבינים כי החוק מתקבל על בסיס חשד המופנה כלפי תושביה הפלסטינים של ירושלים כקבוצה. אפליית אדם על בסיס השתייכותו הקבוצתית (היותו פלסטיני-תושב, להבדיל מיהודי או ערבי-פלסטיני אזרח ישראל), היא מהלך הפוגע </w:t>
      </w:r>
      <w:r w:rsidRPr="00E25963">
        <w:rPr>
          <w:rFonts w:hint="cs"/>
          <w:sz w:val="20"/>
          <w:szCs w:val="20"/>
          <w:rtl/>
        </w:rPr>
        <w:t xml:space="preserve">לכאורה </w:t>
      </w:r>
      <w:r w:rsidRPr="00E25963">
        <w:rPr>
          <w:sz w:val="20"/>
          <w:szCs w:val="20"/>
          <w:rtl/>
        </w:rPr>
        <w:t>בכבוד האדם שלו (</w:t>
      </w:r>
      <w:r w:rsidRPr="00E25963">
        <w:rPr>
          <w:rFonts w:hint="cs"/>
          <w:sz w:val="20"/>
          <w:szCs w:val="20"/>
          <w:rtl/>
        </w:rPr>
        <w:t>ראו הבנת הזכות "לכבוד האדם" ב</w:t>
      </w:r>
      <w:r w:rsidRPr="00E25963">
        <w:rPr>
          <w:sz w:val="20"/>
          <w:szCs w:val="20"/>
          <w:rtl/>
        </w:rPr>
        <w:t xml:space="preserve">פס"ד </w:t>
      </w:r>
      <w:r w:rsidRPr="00E25963">
        <w:rPr>
          <w:b/>
          <w:bCs/>
          <w:sz w:val="20"/>
          <w:szCs w:val="20"/>
          <w:rtl/>
        </w:rPr>
        <w:t>חוק טל</w:t>
      </w:r>
      <w:r w:rsidRPr="00E25963">
        <w:rPr>
          <w:rFonts w:hint="cs"/>
          <w:b/>
          <w:bCs/>
          <w:sz w:val="20"/>
          <w:szCs w:val="20"/>
          <w:rtl/>
        </w:rPr>
        <w:t xml:space="preserve"> </w:t>
      </w:r>
      <w:r w:rsidRPr="00E25963">
        <w:rPr>
          <w:b/>
          <w:bCs/>
          <w:sz w:val="20"/>
          <w:szCs w:val="20"/>
          <w:rtl/>
        </w:rPr>
        <w:t>–</w:t>
      </w:r>
      <w:r w:rsidRPr="00E25963">
        <w:rPr>
          <w:rFonts w:hint="cs"/>
          <w:b/>
          <w:bCs/>
          <w:sz w:val="20"/>
          <w:szCs w:val="20"/>
          <w:rtl/>
        </w:rPr>
        <w:t xml:space="preserve"> </w:t>
      </w:r>
      <w:r w:rsidRPr="00E25963">
        <w:rPr>
          <w:rFonts w:hint="cs"/>
          <w:sz w:val="20"/>
          <w:szCs w:val="20"/>
          <w:rtl/>
        </w:rPr>
        <w:t>זו הכוללת את תפיסת ההשפלה של השופטת דורנר אך פוסעת גם מעבר לה</w:t>
      </w:r>
      <w:r w:rsidRPr="00E25963">
        <w:rPr>
          <w:sz w:val="20"/>
          <w:szCs w:val="20"/>
          <w:rtl/>
        </w:rPr>
        <w:t>)</w:t>
      </w:r>
      <w:r w:rsidRPr="00E25963">
        <w:rPr>
          <w:rFonts w:hint="cs"/>
          <w:sz w:val="20"/>
          <w:szCs w:val="20"/>
          <w:rtl/>
        </w:rPr>
        <w:t>, זאת במיוחד משום ש</w:t>
      </w:r>
      <w:r w:rsidRPr="00E25963">
        <w:rPr>
          <w:sz w:val="20"/>
          <w:szCs w:val="20"/>
          <w:highlight w:val="yellow"/>
          <w:rtl/>
        </w:rPr>
        <w:t xml:space="preserve">להניח שתושב המדינה הוא מסוכן, זאת ללא חשד קונקרטי כלפיו, 'פשוט' על סמך השתייכותו הקבוצתית, </w:t>
      </w:r>
      <w:r w:rsidRPr="00E25963">
        <w:rPr>
          <w:rFonts w:hint="cs"/>
          <w:sz w:val="20"/>
          <w:szCs w:val="20"/>
          <w:highlight w:val="yellow"/>
          <w:rtl/>
        </w:rPr>
        <w:t xml:space="preserve">הוא </w:t>
      </w:r>
      <w:r w:rsidRPr="00E25963">
        <w:rPr>
          <w:sz w:val="20"/>
          <w:szCs w:val="20"/>
          <w:highlight w:val="yellow"/>
          <w:rtl/>
        </w:rPr>
        <w:t>מהלך פוגעני מאד של תיוג (פרופיילינג).</w:t>
      </w:r>
      <w:r w:rsidRPr="00E25963">
        <w:rPr>
          <w:sz w:val="20"/>
          <w:szCs w:val="20"/>
          <w:rtl/>
        </w:rPr>
        <w:t xml:space="preserve"> </w:t>
      </w:r>
    </w:p>
    <w:p w:rsidR="005366A8" w:rsidRPr="00E25963" w:rsidRDefault="005366A8" w:rsidP="005366A8">
      <w:pPr>
        <w:ind w:left="720"/>
        <w:rPr>
          <w:sz w:val="20"/>
          <w:szCs w:val="20"/>
          <w:rtl/>
        </w:rPr>
      </w:pPr>
      <w:r w:rsidRPr="00E25963">
        <w:rPr>
          <w:rFonts w:hint="cs"/>
          <w:sz w:val="20"/>
          <w:szCs w:val="20"/>
          <w:rtl/>
        </w:rPr>
        <w:t>[נדון ב"תיוג" ארוכות בהמשך דיוני הקורס, דרך העיסוק בחוק האזרחות והכניסה לישראל (איחוד המשפחות) ודרך העיסוק בפרקטיקה של המדינה בנמלי היציאה מן הארץ.]</w:t>
      </w:r>
    </w:p>
    <w:p w:rsidR="005366A8" w:rsidRPr="00E25963" w:rsidRDefault="005366A8" w:rsidP="005366A8">
      <w:pPr>
        <w:rPr>
          <w:b/>
          <w:bCs/>
          <w:sz w:val="20"/>
          <w:szCs w:val="20"/>
          <w:rtl/>
        </w:rPr>
      </w:pPr>
    </w:p>
    <w:p w:rsidR="005366A8" w:rsidRPr="00E25963" w:rsidRDefault="005366A8" w:rsidP="005366A8">
      <w:pPr>
        <w:rPr>
          <w:b/>
          <w:bCs/>
          <w:sz w:val="20"/>
          <w:szCs w:val="20"/>
          <w:rtl/>
        </w:rPr>
      </w:pPr>
      <w:r w:rsidRPr="00E25963">
        <w:rPr>
          <w:rFonts w:hint="cs"/>
          <w:b/>
          <w:bCs/>
          <w:sz w:val="20"/>
          <w:szCs w:val="20"/>
          <w:rtl/>
        </w:rPr>
        <w:t>התקיימות דרישותיה של פסקת ההגבלה?</w:t>
      </w:r>
    </w:p>
    <w:p w:rsidR="005366A8" w:rsidRPr="00E25963" w:rsidRDefault="005366A8" w:rsidP="005366A8">
      <w:pPr>
        <w:rPr>
          <w:b/>
          <w:bCs/>
          <w:sz w:val="20"/>
          <w:szCs w:val="20"/>
          <w:highlight w:val="yellow"/>
          <w:rtl/>
        </w:rPr>
      </w:pPr>
      <w:r w:rsidRPr="00E25963">
        <w:rPr>
          <w:b/>
          <w:bCs/>
          <w:sz w:val="20"/>
          <w:szCs w:val="20"/>
          <w:highlight w:val="yellow"/>
          <w:rtl/>
        </w:rPr>
        <w:t xml:space="preserve">ההגבלה התקבלה </w:t>
      </w:r>
      <w:r w:rsidRPr="00E25963">
        <w:rPr>
          <w:b/>
          <w:bCs/>
          <w:sz w:val="20"/>
          <w:szCs w:val="20"/>
          <w:highlight w:val="yellow"/>
          <w:u w:val="single"/>
          <w:rtl/>
        </w:rPr>
        <w:t>"בחוק"</w:t>
      </w:r>
      <w:r w:rsidRPr="00E25963">
        <w:rPr>
          <w:b/>
          <w:bCs/>
          <w:sz w:val="20"/>
          <w:szCs w:val="20"/>
          <w:highlight w:val="yellow"/>
          <w:rtl/>
        </w:rPr>
        <w:t xml:space="preserve">. </w:t>
      </w:r>
    </w:p>
    <w:p w:rsidR="005366A8" w:rsidRPr="00E25963" w:rsidRDefault="005366A8" w:rsidP="005366A8">
      <w:pPr>
        <w:rPr>
          <w:sz w:val="20"/>
          <w:szCs w:val="20"/>
          <w:rtl/>
        </w:rPr>
      </w:pPr>
      <w:r w:rsidRPr="00E25963">
        <w:rPr>
          <w:rFonts w:hint="cs"/>
          <w:b/>
          <w:bCs/>
          <w:sz w:val="20"/>
          <w:szCs w:val="20"/>
          <w:highlight w:val="yellow"/>
          <w:rtl/>
        </w:rPr>
        <w:t>נמשיך</w:t>
      </w:r>
      <w:r w:rsidRPr="00E25963">
        <w:rPr>
          <w:b/>
          <w:bCs/>
          <w:sz w:val="20"/>
          <w:szCs w:val="20"/>
          <w:highlight w:val="yellow"/>
          <w:rtl/>
        </w:rPr>
        <w:t xml:space="preserve"> לסוגיית </w:t>
      </w:r>
      <w:r w:rsidRPr="00E25963">
        <w:rPr>
          <w:b/>
          <w:bCs/>
          <w:sz w:val="20"/>
          <w:szCs w:val="20"/>
          <w:highlight w:val="yellow"/>
          <w:u w:val="single"/>
          <w:rtl/>
        </w:rPr>
        <w:t>"התכלית הראויה"</w:t>
      </w:r>
      <w:r w:rsidRPr="00E25963">
        <w:rPr>
          <w:b/>
          <w:bCs/>
          <w:sz w:val="20"/>
          <w:szCs w:val="20"/>
          <w:rtl/>
        </w:rPr>
        <w:t xml:space="preserve"> (סוגיה זו, כך מקובל לנתח, מפנימה אל תוכה את הדרישה כי ההגבלה תהא בחוק "ההולם את ערכיה של מדינת ישראל")</w:t>
      </w:r>
      <w:r w:rsidRPr="00E25963">
        <w:rPr>
          <w:sz w:val="20"/>
          <w:szCs w:val="20"/>
          <w:rtl/>
        </w:rPr>
        <w:t>.</w:t>
      </w:r>
    </w:p>
    <w:p w:rsidR="005366A8" w:rsidRPr="00E25963" w:rsidRDefault="005366A8" w:rsidP="005366A8">
      <w:pPr>
        <w:rPr>
          <w:sz w:val="20"/>
          <w:szCs w:val="20"/>
          <w:rtl/>
        </w:rPr>
      </w:pPr>
    </w:p>
    <w:p w:rsidR="005366A8" w:rsidRPr="00E25963" w:rsidRDefault="005366A8" w:rsidP="005366A8">
      <w:pPr>
        <w:rPr>
          <w:sz w:val="20"/>
          <w:szCs w:val="20"/>
          <w:rtl/>
        </w:rPr>
      </w:pPr>
      <w:r w:rsidRPr="00E25963">
        <w:rPr>
          <w:sz w:val="20"/>
          <w:szCs w:val="20"/>
          <w:rtl/>
        </w:rPr>
        <w:t xml:space="preserve">א. אשר לתכלית הראשונה של החוק: </w:t>
      </w:r>
      <w:r w:rsidRPr="00E25963">
        <w:rPr>
          <w:sz w:val="20"/>
          <w:szCs w:val="20"/>
          <w:highlight w:val="yellow"/>
          <w:rtl/>
        </w:rPr>
        <w:t>הטלת (ואכיפת) דרישת רישוי</w:t>
      </w:r>
      <w:r w:rsidRPr="00E25963">
        <w:rPr>
          <w:sz w:val="20"/>
          <w:szCs w:val="20"/>
          <w:rtl/>
        </w:rPr>
        <w:t xml:space="preserve"> על מי שמבקשים להיות מורי דרך</w:t>
      </w:r>
      <w:r w:rsidRPr="00E25963">
        <w:rPr>
          <w:rFonts w:hint="cs"/>
          <w:sz w:val="20"/>
          <w:szCs w:val="20"/>
          <w:rtl/>
        </w:rPr>
        <w:t>.</w:t>
      </w:r>
      <w:r w:rsidRPr="00E25963">
        <w:rPr>
          <w:sz w:val="20"/>
          <w:szCs w:val="20"/>
          <w:rtl/>
        </w:rPr>
        <w:t xml:space="preserve"> </w:t>
      </w:r>
      <w:r w:rsidRPr="00E25963">
        <w:rPr>
          <w:i/>
          <w:iCs/>
          <w:sz w:val="20"/>
          <w:szCs w:val="20"/>
          <w:rtl/>
        </w:rPr>
        <w:t>האם חובת רישוי</w:t>
      </w:r>
      <w:r w:rsidRPr="00E25963">
        <w:rPr>
          <w:rFonts w:hint="cs"/>
          <w:i/>
          <w:iCs/>
          <w:sz w:val="20"/>
          <w:szCs w:val="20"/>
          <w:rtl/>
        </w:rPr>
        <w:t xml:space="preserve"> ראויה ביחס למקצוע זה?</w:t>
      </w:r>
      <w:r w:rsidRPr="00E25963">
        <w:rPr>
          <w:sz w:val="20"/>
          <w:szCs w:val="20"/>
          <w:rtl/>
        </w:rPr>
        <w:t xml:space="preserve"> </w:t>
      </w:r>
      <w:r w:rsidRPr="00E25963">
        <w:rPr>
          <w:rFonts w:hint="cs"/>
          <w:sz w:val="20"/>
          <w:szCs w:val="20"/>
          <w:rtl/>
        </w:rPr>
        <w:t>הא</w:t>
      </w:r>
      <w:r w:rsidRPr="00E25963">
        <w:rPr>
          <w:sz w:val="20"/>
          <w:szCs w:val="20"/>
          <w:rtl/>
        </w:rPr>
        <w:t xml:space="preserve">ם זה מקצוע שבו טמונים סיכונים </w:t>
      </w:r>
      <w:r w:rsidRPr="00E25963">
        <w:rPr>
          <w:rFonts w:hint="cs"/>
          <w:sz w:val="20"/>
          <w:szCs w:val="20"/>
          <w:rtl/>
        </w:rPr>
        <w:t xml:space="preserve">של ממש </w:t>
      </w:r>
      <w:r w:rsidRPr="00E25963">
        <w:rPr>
          <w:sz w:val="20"/>
          <w:szCs w:val="20"/>
          <w:rtl/>
        </w:rPr>
        <w:t xml:space="preserve">לגוף, לנפש, לחירות, לקניין, </w:t>
      </w:r>
      <w:r w:rsidRPr="00E25963">
        <w:rPr>
          <w:rFonts w:hint="cs"/>
          <w:sz w:val="20"/>
          <w:szCs w:val="20"/>
          <w:rtl/>
        </w:rPr>
        <w:t xml:space="preserve">של האדם נותן-השירות ובעיקר של זולתו, מקבל-השירות, </w:t>
      </w:r>
      <w:r w:rsidRPr="00E25963">
        <w:rPr>
          <w:sz w:val="20"/>
          <w:szCs w:val="20"/>
          <w:rtl/>
        </w:rPr>
        <w:t>ולכן ראויה הסדרתו ברישוי</w:t>
      </w:r>
      <w:r w:rsidRPr="00E25963">
        <w:rPr>
          <w:rFonts w:hint="cs"/>
          <w:sz w:val="20"/>
          <w:szCs w:val="20"/>
          <w:rtl/>
        </w:rPr>
        <w:t>?</w:t>
      </w:r>
      <w:r w:rsidRPr="00E25963">
        <w:rPr>
          <w:sz w:val="20"/>
          <w:szCs w:val="20"/>
          <w:rtl/>
        </w:rPr>
        <w:t xml:space="preserve"> (</w:t>
      </w:r>
      <w:r w:rsidRPr="00E25963">
        <w:rPr>
          <w:rFonts w:hint="cs"/>
          <w:sz w:val="20"/>
          <w:szCs w:val="20"/>
          <w:rtl/>
        </w:rPr>
        <w:t xml:space="preserve">מקצועות רפואה, מקצועות רווחה וטיפול נפשי, </w:t>
      </w:r>
      <w:r w:rsidRPr="00E25963">
        <w:rPr>
          <w:sz w:val="20"/>
          <w:szCs w:val="20"/>
          <w:rtl/>
        </w:rPr>
        <w:t>עו"ד, רואה</w:t>
      </w:r>
      <w:r w:rsidRPr="00E25963">
        <w:rPr>
          <w:rFonts w:hint="cs"/>
          <w:sz w:val="20"/>
          <w:szCs w:val="20"/>
          <w:rtl/>
        </w:rPr>
        <w:t>-</w:t>
      </w:r>
      <w:r w:rsidRPr="00E25963">
        <w:rPr>
          <w:sz w:val="20"/>
          <w:szCs w:val="20"/>
          <w:rtl/>
        </w:rPr>
        <w:t>חשבון וכדומה</w:t>
      </w:r>
      <w:r w:rsidRPr="00E25963">
        <w:rPr>
          <w:rFonts w:hint="cs"/>
          <w:sz w:val="20"/>
          <w:szCs w:val="20"/>
          <w:rtl/>
        </w:rPr>
        <w:t>).</w:t>
      </w:r>
      <w:r w:rsidRPr="00E25963">
        <w:rPr>
          <w:sz w:val="20"/>
          <w:szCs w:val="20"/>
          <w:rtl/>
        </w:rPr>
        <w:t xml:space="preserve"> [קיבלנו כל תשובה מנומקת כאן].</w:t>
      </w:r>
    </w:p>
    <w:p w:rsidR="005366A8" w:rsidRPr="00E25963" w:rsidRDefault="005366A8" w:rsidP="005366A8">
      <w:pPr>
        <w:rPr>
          <w:sz w:val="20"/>
          <w:szCs w:val="20"/>
          <w:rtl/>
        </w:rPr>
      </w:pPr>
    </w:p>
    <w:p w:rsidR="005366A8" w:rsidRPr="00E25963" w:rsidRDefault="005366A8" w:rsidP="005366A8">
      <w:pPr>
        <w:rPr>
          <w:sz w:val="20"/>
          <w:szCs w:val="20"/>
          <w:rtl/>
        </w:rPr>
      </w:pPr>
      <w:r w:rsidRPr="00E25963">
        <w:rPr>
          <w:sz w:val="20"/>
          <w:szCs w:val="20"/>
          <w:rtl/>
        </w:rPr>
        <w:t xml:space="preserve">ב. </w:t>
      </w:r>
      <w:r w:rsidRPr="00E25963">
        <w:rPr>
          <w:sz w:val="20"/>
          <w:szCs w:val="20"/>
          <w:highlight w:val="yellow"/>
          <w:rtl/>
        </w:rPr>
        <w:t>מה באשר לשמירת תדמיתה של המדינה?</w:t>
      </w:r>
      <w:r w:rsidRPr="00E25963">
        <w:rPr>
          <w:sz w:val="20"/>
          <w:szCs w:val="20"/>
          <w:rtl/>
        </w:rPr>
        <w:t xml:space="preserve"> כאן מתעוררת בעיה של ממש. </w:t>
      </w:r>
    </w:p>
    <w:p w:rsidR="005366A8" w:rsidRPr="00E25963" w:rsidRDefault="005366A8" w:rsidP="005366A8">
      <w:pPr>
        <w:rPr>
          <w:sz w:val="20"/>
          <w:szCs w:val="20"/>
          <w:rtl/>
        </w:rPr>
      </w:pPr>
      <w:r w:rsidRPr="00E25963">
        <w:rPr>
          <w:rFonts w:hint="cs"/>
          <w:sz w:val="20"/>
          <w:szCs w:val="20"/>
          <w:rtl/>
        </w:rPr>
        <w:t xml:space="preserve">יש לשים לב כי אין מדובר בהדרכת </w:t>
      </w:r>
      <w:r w:rsidRPr="00E25963">
        <w:rPr>
          <w:sz w:val="20"/>
          <w:szCs w:val="20"/>
          <w:rtl/>
        </w:rPr>
        <w:t>תלמידים/קטינים</w:t>
      </w:r>
      <w:r w:rsidRPr="00E25963">
        <w:rPr>
          <w:rFonts w:hint="cs"/>
          <w:sz w:val="20"/>
          <w:szCs w:val="20"/>
          <w:rtl/>
        </w:rPr>
        <w:t xml:space="preserve"> במסגרת חינוך ממלכתי</w:t>
      </w:r>
      <w:r w:rsidRPr="00E25963">
        <w:rPr>
          <w:sz w:val="20"/>
          <w:szCs w:val="20"/>
          <w:rtl/>
        </w:rPr>
        <w:t xml:space="preserve">, ולא מדובר בדוברי משרד החוץ הישראלי או משרד התיירות. החוק </w:t>
      </w:r>
      <w:r w:rsidRPr="00E25963">
        <w:rPr>
          <w:rFonts w:hint="cs"/>
          <w:sz w:val="20"/>
          <w:szCs w:val="20"/>
          <w:rtl/>
        </w:rPr>
        <w:t xml:space="preserve">מגביל </w:t>
      </w:r>
      <w:r w:rsidRPr="00E25963">
        <w:rPr>
          <w:sz w:val="20"/>
          <w:szCs w:val="20"/>
          <w:rtl/>
        </w:rPr>
        <w:t xml:space="preserve">בני-אדם פרטיים הפועלים במסגרת עסק פרטי במקצוע של מורי-דרך. האם מקצוע כזה יכול להיות "מולאם" לטובת תדמיתה של המדינה? </w:t>
      </w:r>
    </w:p>
    <w:p w:rsidR="005366A8" w:rsidRPr="00E25963" w:rsidRDefault="005366A8" w:rsidP="005366A8">
      <w:pPr>
        <w:rPr>
          <w:sz w:val="20"/>
          <w:szCs w:val="20"/>
          <w:highlight w:val="yellow"/>
          <w:rtl/>
        </w:rPr>
      </w:pPr>
      <w:r w:rsidRPr="00E25963">
        <w:rPr>
          <w:sz w:val="20"/>
          <w:szCs w:val="20"/>
          <w:rtl/>
        </w:rPr>
        <w:t xml:space="preserve">המדינה יכולה לעמול, תוך שימוש במשאבים ציבוריים (תקציבים, כוח אדם), על שמירה ושיפור של תדמיתה הבינלאומית – זו המשפיעה על מידת העוינות המופנית כלפיה, וזו המשפיעה אולי גם על התיירות אליה. ואולם השאלה היא עד כמה תכלית שכזו היא תכלית ראויה/ תכלית לגיטימית כבסיס </w:t>
      </w:r>
      <w:r w:rsidRPr="00E25963">
        <w:rPr>
          <w:b/>
          <w:bCs/>
          <w:sz w:val="20"/>
          <w:szCs w:val="20"/>
          <w:rtl/>
        </w:rPr>
        <w:t>להגבלת</w:t>
      </w:r>
      <w:r w:rsidRPr="00E25963">
        <w:rPr>
          <w:sz w:val="20"/>
          <w:szCs w:val="20"/>
          <w:rtl/>
        </w:rPr>
        <w:t xml:space="preserve"> בני אדם פרטיים. </w:t>
      </w:r>
      <w:r w:rsidRPr="00E25963">
        <w:rPr>
          <w:sz w:val="20"/>
          <w:szCs w:val="20"/>
          <w:highlight w:val="yellow"/>
          <w:rtl/>
        </w:rPr>
        <w:t>אנו יכולים להבין מצב שבו סכנה לביטחון הציבור או אינטרס חשוב אחר הוא בסיס להגבלת זכויות אדם, אך האם תדמיתה של ישראל היא אינטרס חשוב שכזה?</w:t>
      </w:r>
    </w:p>
    <w:p w:rsidR="005366A8" w:rsidRPr="00E25963" w:rsidRDefault="005366A8" w:rsidP="005366A8">
      <w:pPr>
        <w:rPr>
          <w:sz w:val="20"/>
          <w:szCs w:val="20"/>
          <w:rtl/>
        </w:rPr>
      </w:pPr>
      <w:r w:rsidRPr="00E25963">
        <w:rPr>
          <w:sz w:val="20"/>
          <w:szCs w:val="20"/>
          <w:highlight w:val="yellow"/>
          <w:rtl/>
        </w:rPr>
        <w:t>בניסוח אחר, השאלה היא האם אינטרס "תדמיתה של ישראל" צרי</w:t>
      </w:r>
      <w:r w:rsidRPr="00E25963">
        <w:rPr>
          <w:rFonts w:hint="cs"/>
          <w:sz w:val="20"/>
          <w:szCs w:val="20"/>
          <w:highlight w:val="yellow"/>
          <w:rtl/>
        </w:rPr>
        <w:t>ך</w:t>
      </w:r>
      <w:r w:rsidRPr="00E25963">
        <w:rPr>
          <w:sz w:val="20"/>
          <w:szCs w:val="20"/>
          <w:highlight w:val="yellow"/>
          <w:rtl/>
        </w:rPr>
        <w:t xml:space="preserve"> להיפסל כבר בשלב התכלית, או שמא צריך להתמודד עם חולשת</w:t>
      </w:r>
      <w:r w:rsidRPr="00E25963">
        <w:rPr>
          <w:rFonts w:hint="cs"/>
          <w:sz w:val="20"/>
          <w:szCs w:val="20"/>
          <w:highlight w:val="yellow"/>
          <w:rtl/>
        </w:rPr>
        <w:t>ו</w:t>
      </w:r>
      <w:r w:rsidRPr="00E25963">
        <w:rPr>
          <w:sz w:val="20"/>
          <w:szCs w:val="20"/>
          <w:highlight w:val="yellow"/>
          <w:rtl/>
        </w:rPr>
        <w:t xml:space="preserve"> בשלב הדיון במידתיות האמצעים?</w:t>
      </w:r>
      <w:r w:rsidRPr="00E25963">
        <w:rPr>
          <w:sz w:val="20"/>
          <w:szCs w:val="20"/>
          <w:rtl/>
        </w:rPr>
        <w:t xml:space="preserve"> </w:t>
      </w:r>
    </w:p>
    <w:p w:rsidR="005366A8" w:rsidRPr="00E25963" w:rsidRDefault="005366A8" w:rsidP="005366A8">
      <w:pPr>
        <w:ind w:left="720"/>
        <w:rPr>
          <w:sz w:val="20"/>
          <w:szCs w:val="20"/>
          <w:rtl/>
        </w:rPr>
      </w:pPr>
      <w:r w:rsidRPr="00E25963">
        <w:rPr>
          <w:sz w:val="20"/>
          <w:szCs w:val="20"/>
          <w:rtl/>
        </w:rPr>
        <w:t>[דעתנו שלנו היא כי היות תכלית מסוימת "חיובית" או לגיטימית, במובן כזה או אחר, אינו תנאי מספיק להיותה "תכלית ראויה" להגבלת זכויות אדם. כדי להיות תכלית ראויה נדרש אינטרס רב-כוח שאוצר בחוּבו כוח/הצדקה להגבלת זכויות אדם; זה אינו המקרה; עם זאת, קיבלנו כמובן גם עמדה אחרת; יתר על כן, טענות חשובות אכן עולות גם במישור המידתיות, ולכך נפנה עתה].</w:t>
      </w:r>
    </w:p>
    <w:p w:rsidR="005366A8" w:rsidRPr="00E25963" w:rsidRDefault="005366A8" w:rsidP="005366A8">
      <w:pPr>
        <w:rPr>
          <w:sz w:val="20"/>
          <w:szCs w:val="20"/>
          <w:rtl/>
        </w:rPr>
      </w:pPr>
    </w:p>
    <w:p w:rsidR="005366A8" w:rsidRPr="00E25963" w:rsidRDefault="005366A8" w:rsidP="005366A8">
      <w:pPr>
        <w:rPr>
          <w:sz w:val="20"/>
          <w:szCs w:val="20"/>
          <w:rtl/>
        </w:rPr>
      </w:pPr>
      <w:r w:rsidRPr="00E25963">
        <w:rPr>
          <w:b/>
          <w:bCs/>
          <w:sz w:val="20"/>
          <w:szCs w:val="20"/>
          <w:highlight w:val="yellow"/>
          <w:u w:val="single"/>
          <w:rtl/>
        </w:rPr>
        <w:t>מידתיות האמצעי שבשירותה של התכלית</w:t>
      </w:r>
      <w:r w:rsidRPr="00E25963">
        <w:rPr>
          <w:sz w:val="20"/>
          <w:szCs w:val="20"/>
          <w:rtl/>
        </w:rPr>
        <w:t xml:space="preserve">. הפרשנות שאותה קיבלנו </w:t>
      </w:r>
      <w:r w:rsidRPr="00E25963">
        <w:rPr>
          <w:rFonts w:hint="cs"/>
          <w:sz w:val="20"/>
          <w:szCs w:val="20"/>
          <w:rtl/>
        </w:rPr>
        <w:t xml:space="preserve">בפתח הדברים </w:t>
      </w:r>
      <w:r w:rsidRPr="00E25963">
        <w:rPr>
          <w:sz w:val="20"/>
          <w:szCs w:val="20"/>
          <w:rtl/>
        </w:rPr>
        <w:t>מרככת במידה מסוימת את הפגיעה. היא קובעת כי מדריך שהוא אזרח ישראלי ילווה את הקבוצה אך גם מדריך פלסטיני תושב ירושלים (</w:t>
      </w:r>
      <w:r w:rsidRPr="00E25963">
        <w:rPr>
          <w:rFonts w:hint="cs"/>
          <w:sz w:val="20"/>
          <w:szCs w:val="20"/>
          <w:rtl/>
        </w:rPr>
        <w:t xml:space="preserve">קרי, </w:t>
      </w:r>
      <w:r w:rsidRPr="00E25963">
        <w:rPr>
          <w:sz w:val="20"/>
          <w:szCs w:val="20"/>
          <w:rtl/>
        </w:rPr>
        <w:t>תושב ישראל) יוכל לעשות כן, במקביל. משמע, מהלך זה מאפשר לכאורה שאותו מדריך-תושב-שאינו-אזרח יוכל להשמיע את הנארטיב/ את התפיסה שלו ביחס להיסטוריה של העיר או של מקומות אחרים בהם הוא מדריך. נקודה זו נשמעת יפה יותר מ</w:t>
      </w:r>
      <w:r w:rsidRPr="00E25963">
        <w:rPr>
          <w:rFonts w:hint="cs"/>
          <w:sz w:val="20"/>
          <w:szCs w:val="20"/>
          <w:rtl/>
        </w:rPr>
        <w:t xml:space="preserve">כפי </w:t>
      </w:r>
      <w:r w:rsidRPr="00E25963">
        <w:rPr>
          <w:sz w:val="20"/>
          <w:szCs w:val="20"/>
          <w:rtl/>
        </w:rPr>
        <w:t>המציאות שבפועל תיווצר. שהרי אם לא משתלם להעסיק את המדריך תושב ירושלים המזרחית, שכן ממלא צריכים לשכור את שירותיו של מדריך שהוא אזרח ישראלי, הרי שבפועל גם חופש העיסוק של אותו מדריך וגם חופש הביטוי שלו מצטמצמים. יתר על כן, נפגעת כזכור גם זכותו של אותו תושב לכך שלא יופלה למול אזרח ביחס לזכות שבשל אופייה ומהותה היא נתונה גם לתושב וגם לאזרח (זאת, להבדיל למשל מהזכות לבחור ולהיבחר</w:t>
      </w:r>
      <w:r w:rsidRPr="00E25963">
        <w:rPr>
          <w:rFonts w:hint="cs"/>
          <w:sz w:val="20"/>
          <w:szCs w:val="20"/>
          <w:rtl/>
        </w:rPr>
        <w:t xml:space="preserve"> בבחירות הארציות, הנתונה לאזרחים בלבד</w:t>
      </w:r>
      <w:r w:rsidRPr="00E25963">
        <w:rPr>
          <w:sz w:val="20"/>
          <w:szCs w:val="20"/>
          <w:rtl/>
        </w:rPr>
        <w:t xml:space="preserve">). </w:t>
      </w:r>
    </w:p>
    <w:p w:rsidR="005366A8" w:rsidRPr="00E25963" w:rsidRDefault="005366A8" w:rsidP="005366A8">
      <w:pPr>
        <w:rPr>
          <w:sz w:val="20"/>
          <w:szCs w:val="20"/>
          <w:rtl/>
        </w:rPr>
      </w:pPr>
      <w:r w:rsidRPr="00E25963">
        <w:rPr>
          <w:sz w:val="20"/>
          <w:szCs w:val="20"/>
          <w:rtl/>
        </w:rPr>
        <w:t xml:space="preserve">הבעיה העיקרית מופיעה במישור מבחן המידתיות השלישי: מבחן המידתיות במובן הצר. אם נזכור שבפסק דין </w:t>
      </w:r>
      <w:r w:rsidRPr="00E25963">
        <w:rPr>
          <w:b/>
          <w:bCs/>
          <w:sz w:val="20"/>
          <w:szCs w:val="20"/>
          <w:rtl/>
        </w:rPr>
        <w:t xml:space="preserve">קול העם </w:t>
      </w:r>
      <w:r w:rsidRPr="00E25963">
        <w:rPr>
          <w:sz w:val="20"/>
          <w:szCs w:val="20"/>
          <w:rtl/>
        </w:rPr>
        <w:t xml:space="preserve">דורש בית המשפט מבחן איזון של "ודאות קרובה" לנוכח סכנה לאינטרס ציבורי חיוני דוגמת "ביטחון הציבור", הרי שנבין את גודל הבעייתיות הטמונה בתיקון זה לחוק. תיקון זה גוזר איסור מוחלט על כל תושב, איסור של קבע (כל עוד הוא לא הופך לאזרח), </w:t>
      </w:r>
      <w:r w:rsidRPr="00E25963">
        <w:rPr>
          <w:sz w:val="20"/>
          <w:szCs w:val="20"/>
          <w:highlight w:val="yellow"/>
          <w:rtl/>
        </w:rPr>
        <w:t>וזאת ללא כל הוכחה של סיכון ממשי וקונקרטי הנשקף מאותו אדם לביטחון הציבור</w:t>
      </w:r>
      <w:r w:rsidRPr="00E25963">
        <w:rPr>
          <w:rFonts w:hint="cs"/>
          <w:sz w:val="20"/>
          <w:szCs w:val="20"/>
          <w:highlight w:val="yellow"/>
          <w:rtl/>
        </w:rPr>
        <w:t>.</w:t>
      </w:r>
      <w:r w:rsidRPr="00E25963">
        <w:rPr>
          <w:rFonts w:hint="cs"/>
          <w:sz w:val="20"/>
          <w:szCs w:val="20"/>
          <w:rtl/>
        </w:rPr>
        <w:t xml:space="preserve"> יתר על כן, </w:t>
      </w:r>
      <w:r w:rsidRPr="00E25963">
        <w:rPr>
          <w:rFonts w:hint="cs"/>
          <w:sz w:val="20"/>
          <w:szCs w:val="20"/>
          <w:highlight w:val="yellow"/>
          <w:rtl/>
        </w:rPr>
        <w:t xml:space="preserve">התכלית העומדת כאן על הפרק </w:t>
      </w:r>
      <w:r w:rsidRPr="00E25963">
        <w:rPr>
          <w:sz w:val="20"/>
          <w:szCs w:val="20"/>
          <w:highlight w:val="yellow"/>
          <w:rtl/>
        </w:rPr>
        <w:t>–</w:t>
      </w:r>
      <w:r w:rsidRPr="00E25963">
        <w:rPr>
          <w:rFonts w:hint="cs"/>
          <w:sz w:val="20"/>
          <w:szCs w:val="20"/>
          <w:highlight w:val="yellow"/>
          <w:rtl/>
        </w:rPr>
        <w:t xml:space="preserve"> פגיעה "בתדמיתה של ישראל" </w:t>
      </w:r>
      <w:r w:rsidRPr="00E25963">
        <w:rPr>
          <w:sz w:val="20"/>
          <w:szCs w:val="20"/>
          <w:highlight w:val="yellow"/>
          <w:rtl/>
        </w:rPr>
        <w:t>–</w:t>
      </w:r>
      <w:r w:rsidRPr="00E25963">
        <w:rPr>
          <w:rFonts w:hint="cs"/>
          <w:sz w:val="20"/>
          <w:szCs w:val="20"/>
          <w:highlight w:val="yellow"/>
          <w:rtl/>
        </w:rPr>
        <w:t xml:space="preserve"> אם היא בכלל לגיטימית כטעם להגבלת זכויות יסוד </w:t>
      </w:r>
      <w:r w:rsidRPr="00E25963">
        <w:rPr>
          <w:sz w:val="20"/>
          <w:szCs w:val="20"/>
          <w:highlight w:val="yellow"/>
          <w:rtl/>
        </w:rPr>
        <w:t>–</w:t>
      </w:r>
      <w:r w:rsidRPr="00E25963">
        <w:rPr>
          <w:rFonts w:hint="cs"/>
          <w:sz w:val="20"/>
          <w:szCs w:val="20"/>
          <w:highlight w:val="yellow"/>
          <w:rtl/>
        </w:rPr>
        <w:t xml:space="preserve"> היא בוודאי מהסוג שהוא כבד-משקל-הרבה-פחות מאשר אינטרס בטחון הציבור.</w:t>
      </w:r>
      <w:r w:rsidRPr="00E25963">
        <w:rPr>
          <w:sz w:val="20"/>
          <w:szCs w:val="20"/>
          <w:rtl/>
        </w:rPr>
        <w:t xml:space="preserve"> </w:t>
      </w:r>
    </w:p>
    <w:p w:rsidR="005366A8" w:rsidRPr="00E25963" w:rsidRDefault="005366A8" w:rsidP="005366A8">
      <w:pPr>
        <w:rPr>
          <w:sz w:val="20"/>
          <w:szCs w:val="20"/>
          <w:rtl/>
        </w:rPr>
      </w:pPr>
      <w:r w:rsidRPr="00E25963">
        <w:rPr>
          <w:rFonts w:hint="cs"/>
          <w:sz w:val="20"/>
          <w:szCs w:val="20"/>
          <w:rtl/>
        </w:rPr>
        <w:t xml:space="preserve">במילים אחרות, התיקון לחוק הגביל את חופש הביטוי וחופש העיסוק על בסיס </w:t>
      </w:r>
      <w:r w:rsidRPr="00E25963">
        <w:rPr>
          <w:sz w:val="20"/>
          <w:szCs w:val="20"/>
          <w:rtl/>
        </w:rPr>
        <w:t xml:space="preserve">חשש כללי, המופנה באופן גורף לכל יחידיה של קבוצה של תושבים, </w:t>
      </w:r>
      <w:r w:rsidRPr="00E25963">
        <w:rPr>
          <w:rFonts w:hint="cs"/>
          <w:sz w:val="20"/>
          <w:szCs w:val="20"/>
          <w:rtl/>
        </w:rPr>
        <w:t xml:space="preserve">תושבים שקרוב לוודאי שלא-במקרה הם ערבים בלבד, </w:t>
      </w:r>
      <w:r w:rsidRPr="00E25963">
        <w:rPr>
          <w:sz w:val="20"/>
          <w:szCs w:val="20"/>
          <w:rtl/>
        </w:rPr>
        <w:t xml:space="preserve">ביחס לפגיעה אפשרית "בתדמיתה של ישראל". זהו 'איזון' שהוא </w:t>
      </w:r>
      <w:r w:rsidRPr="00E25963">
        <w:rPr>
          <w:rFonts w:hint="cs"/>
          <w:sz w:val="20"/>
          <w:szCs w:val="20"/>
          <w:rtl/>
        </w:rPr>
        <w:t xml:space="preserve">בעליל </w:t>
      </w:r>
      <w:r w:rsidRPr="00E25963">
        <w:rPr>
          <w:sz w:val="20"/>
          <w:szCs w:val="20"/>
          <w:rtl/>
        </w:rPr>
        <w:t>בלתי מידתי.</w:t>
      </w:r>
    </w:p>
    <w:p w:rsidR="005366A8" w:rsidRPr="00E25963" w:rsidRDefault="005366A8" w:rsidP="005366A8">
      <w:pPr>
        <w:rPr>
          <w:sz w:val="20"/>
          <w:szCs w:val="20"/>
          <w:rtl/>
        </w:rPr>
      </w:pPr>
      <w:r w:rsidRPr="00E25963">
        <w:rPr>
          <w:rFonts w:hint="cs"/>
          <w:sz w:val="20"/>
          <w:szCs w:val="20"/>
          <w:rtl/>
        </w:rPr>
        <w:t xml:space="preserve">[בסמסטר ב' נוסיף לדיון שלעיל שאלה נוספת:] האם מופיעה הצדקה אפשרית נוספת לפגיעה בחופש הביטוי </w:t>
      </w:r>
      <w:r w:rsidRPr="00E25963">
        <w:rPr>
          <w:sz w:val="20"/>
          <w:szCs w:val="20"/>
          <w:rtl/>
        </w:rPr>
        <w:t>–</w:t>
      </w:r>
      <w:r w:rsidRPr="00E25963">
        <w:rPr>
          <w:rFonts w:hint="cs"/>
          <w:sz w:val="20"/>
          <w:szCs w:val="20"/>
          <w:rtl/>
        </w:rPr>
        <w:t xml:space="preserve"> האם מתעוררת טענה רצינית של "פגיעה ברגשות", פגיעה שהיא "מעבר לסף הסיבולת"? אנו משיבים לכך בשלילה. יש לזכור כי מורי הדרך אינם מדריכים של משרד התיירות </w:t>
      </w:r>
      <w:r w:rsidRPr="00E25963">
        <w:rPr>
          <w:sz w:val="20"/>
          <w:szCs w:val="20"/>
          <w:rtl/>
        </w:rPr>
        <w:t>–</w:t>
      </w:r>
      <w:r w:rsidRPr="00E25963">
        <w:rPr>
          <w:rFonts w:hint="cs"/>
          <w:sz w:val="20"/>
          <w:szCs w:val="20"/>
          <w:rtl/>
        </w:rPr>
        <w:t xml:space="preserve"> אין "הכשר" מדינה הניתן לדבריהם. הם מדברים בשם עצמם וכך הם מתקבלים.</w:t>
      </w:r>
    </w:p>
    <w:p w:rsidR="005366A8" w:rsidRPr="00E25963" w:rsidRDefault="005366A8" w:rsidP="005366A8">
      <w:pPr>
        <w:rPr>
          <w:sz w:val="20"/>
          <w:szCs w:val="20"/>
          <w:rtl/>
        </w:rPr>
      </w:pPr>
    </w:p>
    <w:p w:rsidR="005366A8" w:rsidRPr="00E25963" w:rsidRDefault="005366A8" w:rsidP="005366A8">
      <w:pPr>
        <w:rPr>
          <w:b/>
          <w:bCs/>
          <w:sz w:val="20"/>
          <w:szCs w:val="20"/>
          <w:rtl/>
        </w:rPr>
      </w:pPr>
      <w:r w:rsidRPr="00E25963">
        <w:rPr>
          <w:rFonts w:hint="cs"/>
          <w:b/>
          <w:bCs/>
          <w:sz w:val="20"/>
          <w:szCs w:val="20"/>
          <w:rtl/>
        </w:rPr>
        <w:t>פסקת ההתגברות ופס"ד מיטראל</w:t>
      </w:r>
    </w:p>
    <w:p w:rsidR="005366A8" w:rsidRPr="00E25963" w:rsidRDefault="005366A8" w:rsidP="005366A8">
      <w:pPr>
        <w:spacing w:after="60"/>
        <w:rPr>
          <w:sz w:val="20"/>
          <w:szCs w:val="20"/>
          <w:highlight w:val="yellow"/>
          <w:rtl/>
        </w:rPr>
      </w:pPr>
      <w:r w:rsidRPr="00E25963">
        <w:rPr>
          <w:rFonts w:hint="cs"/>
          <w:sz w:val="20"/>
          <w:szCs w:val="20"/>
          <w:highlight w:val="yellow"/>
          <w:rtl/>
        </w:rPr>
        <w:t xml:space="preserve">חלקכם לא שם לב לקיומו של סעיף קטן (ד) של התיקון לחוק </w:t>
      </w:r>
      <w:r w:rsidRPr="00E25963">
        <w:rPr>
          <w:sz w:val="20"/>
          <w:szCs w:val="20"/>
          <w:highlight w:val="yellow"/>
          <w:rtl/>
        </w:rPr>
        <w:t>–</w:t>
      </w:r>
      <w:r w:rsidRPr="00E25963">
        <w:rPr>
          <w:rFonts w:hint="cs"/>
          <w:sz w:val="20"/>
          <w:szCs w:val="20"/>
          <w:highlight w:val="yellow"/>
          <w:rtl/>
        </w:rPr>
        <w:t xml:space="preserve"> שהוא </w:t>
      </w:r>
      <w:r w:rsidRPr="00E25963">
        <w:rPr>
          <w:rFonts w:hint="cs"/>
          <w:b/>
          <w:bCs/>
          <w:sz w:val="20"/>
          <w:szCs w:val="20"/>
          <w:highlight w:val="yellow"/>
          <w:rtl/>
        </w:rPr>
        <w:t>ניסיון "התגברות"</w:t>
      </w:r>
      <w:r w:rsidRPr="00E25963">
        <w:rPr>
          <w:rFonts w:hint="cs"/>
          <w:sz w:val="20"/>
          <w:szCs w:val="20"/>
          <w:highlight w:val="yellow"/>
          <w:rtl/>
        </w:rPr>
        <w:t>. הסעיף הקטן קובע:</w:t>
      </w:r>
    </w:p>
    <w:p w:rsidR="005366A8" w:rsidRPr="00E25963" w:rsidRDefault="005366A8" w:rsidP="005366A8">
      <w:pPr>
        <w:ind w:left="720"/>
        <w:rPr>
          <w:sz w:val="20"/>
          <w:szCs w:val="20"/>
          <w:rtl/>
        </w:rPr>
      </w:pPr>
      <w:r w:rsidRPr="00E25963">
        <w:rPr>
          <w:rFonts w:cs="David" w:hint="cs"/>
          <w:sz w:val="20"/>
          <w:szCs w:val="20"/>
          <w:highlight w:val="yellow"/>
          <w:rtl/>
        </w:rPr>
        <w:t>הוראה זו תהא תקפה על אף האמור בחוק יסוד: חופש העיסוק</w:t>
      </w:r>
    </w:p>
    <w:p w:rsidR="005366A8" w:rsidRPr="00E25963" w:rsidRDefault="005366A8" w:rsidP="005366A8">
      <w:pPr>
        <w:ind w:left="720"/>
        <w:rPr>
          <w:sz w:val="20"/>
          <w:szCs w:val="20"/>
          <w:rtl/>
        </w:rPr>
      </w:pPr>
    </w:p>
    <w:p w:rsidR="005366A8" w:rsidRPr="00E25963" w:rsidRDefault="005366A8" w:rsidP="005366A8">
      <w:pPr>
        <w:spacing w:after="60"/>
        <w:rPr>
          <w:sz w:val="20"/>
          <w:szCs w:val="20"/>
          <w:rtl/>
        </w:rPr>
      </w:pPr>
      <w:r w:rsidRPr="00E25963">
        <w:rPr>
          <w:rFonts w:hint="cs"/>
          <w:sz w:val="20"/>
          <w:szCs w:val="20"/>
          <w:rtl/>
        </w:rPr>
        <w:t xml:space="preserve">לצורך הצלחה במהלך התגברות נדרשת הכנסת לעמוד בדרישותיה של הרשות המכוננת </w:t>
      </w:r>
      <w:r w:rsidRPr="00E25963">
        <w:rPr>
          <w:sz w:val="20"/>
          <w:szCs w:val="20"/>
          <w:rtl/>
        </w:rPr>
        <w:t>–</w:t>
      </w:r>
      <w:r w:rsidRPr="00E25963">
        <w:rPr>
          <w:rFonts w:hint="cs"/>
          <w:sz w:val="20"/>
          <w:szCs w:val="20"/>
          <w:rtl/>
        </w:rPr>
        <w:t xml:space="preserve"> זו אפשרה להתגבר על הוראותיה שלה בדרך שהותוותה בסעיף 8 לחוק יסוד: חופש העיסוק, היא </w:t>
      </w:r>
      <w:r w:rsidRPr="00E25963">
        <w:rPr>
          <w:rFonts w:hint="cs"/>
          <w:sz w:val="20"/>
          <w:szCs w:val="20"/>
          <w:highlight w:val="yellow"/>
          <w:rtl/>
        </w:rPr>
        <w:t>"פסקת ההתגברות":</w:t>
      </w:r>
    </w:p>
    <w:p w:rsidR="005366A8" w:rsidRPr="00E25963" w:rsidRDefault="005366A8" w:rsidP="005366A8">
      <w:pPr>
        <w:ind w:left="720"/>
        <w:rPr>
          <w:rFonts w:cs="David"/>
          <w:sz w:val="20"/>
          <w:szCs w:val="20"/>
          <w:rtl/>
        </w:rPr>
      </w:pPr>
      <w:r w:rsidRPr="00E25963">
        <w:rPr>
          <w:rFonts w:cs="David"/>
          <w:color w:val="000000"/>
          <w:sz w:val="20"/>
          <w:szCs w:val="20"/>
          <w:rtl/>
        </w:rPr>
        <w:t>הוראת חוק הפוגעת בחופש העיסוק תהיה תקפה אף כשאינה בהתאם לסעיף 4</w:t>
      </w:r>
      <w:r w:rsidRPr="00E25963">
        <w:rPr>
          <w:rFonts w:cs="David" w:hint="cs"/>
          <w:color w:val="000000"/>
          <w:sz w:val="20"/>
          <w:szCs w:val="20"/>
          <w:rtl/>
        </w:rPr>
        <w:t xml:space="preserve"> {"פסקת ההגבלה"}</w:t>
      </w:r>
      <w:r w:rsidRPr="00E25963">
        <w:rPr>
          <w:rFonts w:cs="David"/>
          <w:color w:val="000000"/>
          <w:sz w:val="20"/>
          <w:szCs w:val="20"/>
          <w:rtl/>
        </w:rPr>
        <w:t>, אם נכללה בחוק שנתקבל ברוב של חברי הכנסת ונאמר בו במפורש, שהוא תקף על אף האמור בחוק-יסוד זה; תוקפו של חוק כאמור יפקע בתום ארבע שנים מיום תחילתו, זולת אם נקבע בו מועד מוקדם יותר.</w:t>
      </w:r>
    </w:p>
    <w:p w:rsidR="005366A8" w:rsidRPr="00E25963" w:rsidRDefault="005366A8" w:rsidP="005366A8">
      <w:pPr>
        <w:rPr>
          <w:sz w:val="20"/>
          <w:szCs w:val="20"/>
          <w:rtl/>
        </w:rPr>
      </w:pPr>
    </w:p>
    <w:p w:rsidR="005366A8" w:rsidRPr="00E25963" w:rsidRDefault="005366A8" w:rsidP="005366A8">
      <w:pPr>
        <w:rPr>
          <w:sz w:val="20"/>
          <w:szCs w:val="20"/>
          <w:rtl/>
        </w:rPr>
      </w:pPr>
      <w:r w:rsidRPr="00E25963">
        <w:rPr>
          <w:rFonts w:hint="cs"/>
          <w:sz w:val="20"/>
          <w:szCs w:val="20"/>
          <w:rtl/>
        </w:rPr>
        <w:t xml:space="preserve">אם להיות קונקרטיים, הרי שהכנסת (בכובעה המכונן, כפי שאכן נדרש) איפשרה בחוק היסוד התגברות של חוק הכנסת על ההגנה המוקנית לחופש העיסוק, ואולם היא התנתה זאת, בין היתר, בכך ש"החוק המתגבר" </w:t>
      </w:r>
      <w:r w:rsidRPr="00E25963">
        <w:rPr>
          <w:rFonts w:hint="cs"/>
          <w:sz w:val="20"/>
          <w:szCs w:val="20"/>
          <w:highlight w:val="yellow"/>
          <w:rtl/>
        </w:rPr>
        <w:t>יתקבל ב"רוב"</w:t>
      </w:r>
      <w:r w:rsidRPr="00E25963">
        <w:rPr>
          <w:rFonts w:hint="cs"/>
          <w:sz w:val="20"/>
          <w:szCs w:val="20"/>
          <w:rtl/>
        </w:rPr>
        <w:t xml:space="preserve"> (קרי, ב-61 חברי כנסת לפחות). </w:t>
      </w:r>
      <w:r w:rsidRPr="00E25963">
        <w:rPr>
          <w:rFonts w:hint="cs"/>
          <w:sz w:val="20"/>
          <w:szCs w:val="20"/>
          <w:highlight w:val="yellow"/>
          <w:rtl/>
        </w:rPr>
        <w:t>היה צורך לפיכך להניח הנחה ביחס להיקף התמיכה שלה זכה התיקון בכנסת.</w:t>
      </w:r>
      <w:r w:rsidRPr="00E25963">
        <w:rPr>
          <w:rFonts w:hint="cs"/>
          <w:sz w:val="20"/>
          <w:szCs w:val="20"/>
          <w:rtl/>
        </w:rPr>
        <w:t xml:space="preserve"> [החוק המתגבר צריך כמו כן לציין במפורש כי הוא "תקף על אף האמור" בחוק יסוד: חופש העיסוק </w:t>
      </w:r>
      <w:r w:rsidRPr="00E25963">
        <w:rPr>
          <w:sz w:val="20"/>
          <w:szCs w:val="20"/>
          <w:rtl/>
        </w:rPr>
        <w:t>–</w:t>
      </w:r>
      <w:r w:rsidRPr="00E25963">
        <w:rPr>
          <w:rFonts w:hint="cs"/>
          <w:sz w:val="20"/>
          <w:szCs w:val="20"/>
          <w:rtl/>
        </w:rPr>
        <w:t xml:space="preserve"> דרישה זו התמלאה].</w:t>
      </w:r>
    </w:p>
    <w:p w:rsidR="005366A8" w:rsidRPr="00E25963" w:rsidRDefault="005366A8" w:rsidP="005366A8">
      <w:pPr>
        <w:rPr>
          <w:sz w:val="20"/>
          <w:szCs w:val="20"/>
          <w:rtl/>
        </w:rPr>
      </w:pPr>
      <w:r w:rsidRPr="00E25963">
        <w:rPr>
          <w:rFonts w:hint="cs"/>
          <w:sz w:val="20"/>
          <w:szCs w:val="20"/>
          <w:rtl/>
        </w:rPr>
        <w:t xml:space="preserve">ואולם בכך לא די, שכן התיקון בענייננו פוגע לא רק בחופש העיסוק אלא גם בזכויות חוקתיות מוגנות אחרות: חופש הביטוי הפוליטי של תושביה הפלסטינים של ירושלים וכן בשוויונם, מכוח ההגנה על "כבודם" (פסק הדין בעניין חוק טל). </w:t>
      </w:r>
    </w:p>
    <w:p w:rsidR="005366A8" w:rsidRPr="00E25963" w:rsidRDefault="005366A8" w:rsidP="005366A8">
      <w:pPr>
        <w:rPr>
          <w:sz w:val="20"/>
          <w:szCs w:val="20"/>
          <w:rtl/>
        </w:rPr>
      </w:pPr>
      <w:r w:rsidRPr="00E25963">
        <w:rPr>
          <w:rFonts w:hint="cs"/>
          <w:sz w:val="20"/>
          <w:szCs w:val="20"/>
          <w:rtl/>
        </w:rPr>
        <w:t xml:space="preserve">סיטואציה מעין זו טופלה </w:t>
      </w:r>
      <w:r w:rsidRPr="00E25963">
        <w:rPr>
          <w:rFonts w:hint="cs"/>
          <w:sz w:val="20"/>
          <w:szCs w:val="20"/>
          <w:highlight w:val="yellow"/>
          <w:rtl/>
        </w:rPr>
        <w:t>ב</w:t>
      </w:r>
      <w:r w:rsidRPr="00E25963">
        <w:rPr>
          <w:sz w:val="20"/>
          <w:szCs w:val="20"/>
          <w:highlight w:val="yellow"/>
          <w:rtl/>
        </w:rPr>
        <w:t xml:space="preserve">הלכת </w:t>
      </w:r>
      <w:r w:rsidRPr="00E25963">
        <w:rPr>
          <w:b/>
          <w:bCs/>
          <w:sz w:val="20"/>
          <w:szCs w:val="20"/>
          <w:highlight w:val="yellow"/>
          <w:rtl/>
        </w:rPr>
        <w:t>מיטראל</w:t>
      </w:r>
      <w:r w:rsidRPr="00E25963">
        <w:rPr>
          <w:sz w:val="20"/>
          <w:szCs w:val="20"/>
          <w:highlight w:val="yellow"/>
          <w:rtl/>
        </w:rPr>
        <w:t>,</w:t>
      </w:r>
      <w:r w:rsidRPr="00E25963">
        <w:rPr>
          <w:sz w:val="20"/>
          <w:szCs w:val="20"/>
          <w:rtl/>
        </w:rPr>
        <w:t xml:space="preserve"> שעניינה מצבים שבהם מופעלת פסקת ההתגברות בכדי לגונן על הוראת חוק הפוגעת לא רק בחופש העיסוק אלא גם בזכויות יסוד חוקתיות אחרות. הלכת </w:t>
      </w:r>
      <w:r w:rsidRPr="00E25963">
        <w:rPr>
          <w:b/>
          <w:bCs/>
          <w:sz w:val="20"/>
          <w:szCs w:val="20"/>
          <w:rtl/>
        </w:rPr>
        <w:t>מיטראל</w:t>
      </w:r>
      <w:r w:rsidRPr="00E25963">
        <w:rPr>
          <w:sz w:val="20"/>
          <w:szCs w:val="20"/>
          <w:rtl/>
        </w:rPr>
        <w:t xml:space="preserve"> מציגה שלשה תנאים </w:t>
      </w:r>
      <w:r w:rsidRPr="00E25963">
        <w:rPr>
          <w:i/>
          <w:iCs/>
          <w:sz w:val="20"/>
          <w:szCs w:val="20"/>
          <w:rtl/>
        </w:rPr>
        <w:t>מצטברים</w:t>
      </w:r>
      <w:r w:rsidRPr="00E25963">
        <w:rPr>
          <w:sz w:val="20"/>
          <w:szCs w:val="20"/>
          <w:rtl/>
        </w:rPr>
        <w:t xml:space="preserve">. </w:t>
      </w:r>
    </w:p>
    <w:p w:rsidR="005366A8" w:rsidRPr="00250709" w:rsidRDefault="005366A8" w:rsidP="005366A8">
      <w:pPr>
        <w:ind w:left="720"/>
        <w:rPr>
          <w:sz w:val="22"/>
          <w:szCs w:val="22"/>
          <w:rtl/>
        </w:rPr>
      </w:pPr>
      <w:r w:rsidRPr="00250709">
        <w:rPr>
          <w:rFonts w:cs="FrankRuehl"/>
          <w:sz w:val="22"/>
          <w:szCs w:val="22"/>
          <w:rtl/>
        </w:rPr>
        <w:t>ראשית, הפגיעה בזכויות האדם האחרות היא תוצאת לוואי המתבקשת באופן טבעי מהפגיעה בחופש העיסוק; שנית, הפגיעה בחופש העיסוק היא הפגיעה העיקרית ואילו הפגיעה בזכויות האדם האחרות היא משנית. שלישית, הפגיעה בזכויות האדם האחרות, כשלעצמה, אינה בעלת עוצמה ממשית.</w:t>
      </w:r>
    </w:p>
    <w:p w:rsidR="005366A8" w:rsidRPr="00E25963" w:rsidRDefault="005366A8" w:rsidP="005366A8">
      <w:pPr>
        <w:rPr>
          <w:sz w:val="20"/>
          <w:szCs w:val="20"/>
          <w:rtl/>
        </w:rPr>
      </w:pPr>
      <w:r w:rsidRPr="00E25963">
        <w:rPr>
          <w:sz w:val="20"/>
          <w:szCs w:val="20"/>
          <w:rtl/>
        </w:rPr>
        <w:t xml:space="preserve">מבין שלשת התנאים נראה לנו בבירור שפגיעת התיקון התחיקתי </w:t>
      </w:r>
      <w:r w:rsidRPr="00E25963">
        <w:rPr>
          <w:rFonts w:hint="cs"/>
          <w:sz w:val="20"/>
          <w:szCs w:val="20"/>
          <w:rtl/>
        </w:rPr>
        <w:t xml:space="preserve">הנדון כאן </w:t>
      </w:r>
      <w:r w:rsidRPr="00E25963">
        <w:rPr>
          <w:sz w:val="20"/>
          <w:szCs w:val="20"/>
          <w:rtl/>
        </w:rPr>
        <w:t>בחופש הביטוי ובזכות החוקתית לשוויון אינם עונים לדרישה השלישית, לפיה: "הפגיעה בזכויות האדם האחרות, כשלעצמה, אינה בעלת עוצמה ממשית". הפגיעה כאן היא ממשית עד מאד (ראו דיונינו לעיל).</w:t>
      </w:r>
      <w:r w:rsidRPr="00E25963">
        <w:rPr>
          <w:rFonts w:hint="cs"/>
          <w:sz w:val="20"/>
          <w:szCs w:val="20"/>
          <w:rtl/>
        </w:rPr>
        <w:t xml:space="preserve"> </w:t>
      </w:r>
      <w:r w:rsidRPr="00E25963">
        <w:rPr>
          <w:sz w:val="20"/>
          <w:szCs w:val="20"/>
          <w:rtl/>
        </w:rPr>
        <w:t xml:space="preserve">אשר על כן, התיקון התחיקתי הנבחן </w:t>
      </w:r>
      <w:r w:rsidRPr="00E25963">
        <w:rPr>
          <w:rFonts w:hint="cs"/>
          <w:sz w:val="20"/>
          <w:szCs w:val="20"/>
          <w:rtl/>
        </w:rPr>
        <w:t>בענייננו לא זוכה להגנה על תוקפו מכיוונה של פסקת ההתגברות</w:t>
      </w:r>
      <w:r w:rsidRPr="00E25963">
        <w:rPr>
          <w:sz w:val="20"/>
          <w:szCs w:val="20"/>
          <w:rtl/>
        </w:rPr>
        <w:t>.</w:t>
      </w:r>
    </w:p>
    <w:p w:rsidR="005366A8" w:rsidRPr="00E25963" w:rsidRDefault="005366A8" w:rsidP="005366A8">
      <w:pPr>
        <w:rPr>
          <w:sz w:val="20"/>
          <w:szCs w:val="20"/>
          <w:rtl/>
        </w:rPr>
      </w:pPr>
    </w:p>
    <w:p w:rsidR="005366A8" w:rsidRPr="00E25963" w:rsidRDefault="005366A8" w:rsidP="005366A8">
      <w:pPr>
        <w:rPr>
          <w:spacing w:val="10"/>
          <w:sz w:val="20"/>
          <w:szCs w:val="20"/>
          <w:rtl/>
        </w:rPr>
      </w:pPr>
      <w:r w:rsidRPr="00E25963">
        <w:rPr>
          <w:b/>
          <w:bCs/>
          <w:sz w:val="20"/>
          <w:szCs w:val="20"/>
          <w:highlight w:val="yellow"/>
          <w:rtl/>
        </w:rPr>
        <w:t>לסיכום,</w:t>
      </w:r>
      <w:r w:rsidRPr="00E25963">
        <w:rPr>
          <w:sz w:val="20"/>
          <w:szCs w:val="20"/>
          <w:highlight w:val="yellow"/>
          <w:rtl/>
        </w:rPr>
        <w:t xml:space="preserve"> </w:t>
      </w:r>
      <w:r w:rsidRPr="00E25963">
        <w:rPr>
          <w:rFonts w:hint="cs"/>
          <w:sz w:val="20"/>
          <w:szCs w:val="20"/>
          <w:highlight w:val="yellow"/>
          <w:rtl/>
        </w:rPr>
        <w:t>התיקון לחוק כושל הן בדרישת "</w:t>
      </w:r>
      <w:r w:rsidRPr="00E25963">
        <w:rPr>
          <w:sz w:val="20"/>
          <w:szCs w:val="20"/>
          <w:highlight w:val="yellow"/>
          <w:rtl/>
        </w:rPr>
        <w:t>התכלית</w:t>
      </w:r>
      <w:r w:rsidRPr="00E25963">
        <w:rPr>
          <w:rFonts w:hint="cs"/>
          <w:sz w:val="20"/>
          <w:szCs w:val="20"/>
          <w:highlight w:val="yellow"/>
          <w:rtl/>
        </w:rPr>
        <w:t xml:space="preserve"> הראויה"</w:t>
      </w:r>
      <w:r w:rsidRPr="00E25963">
        <w:rPr>
          <w:sz w:val="20"/>
          <w:szCs w:val="20"/>
          <w:highlight w:val="yellow"/>
          <w:rtl/>
        </w:rPr>
        <w:t xml:space="preserve"> ו</w:t>
      </w:r>
      <w:r w:rsidRPr="00E25963">
        <w:rPr>
          <w:rFonts w:hint="cs"/>
          <w:sz w:val="20"/>
          <w:szCs w:val="20"/>
          <w:highlight w:val="yellow"/>
          <w:rtl/>
        </w:rPr>
        <w:t>הן בדרישת "</w:t>
      </w:r>
      <w:r w:rsidRPr="00E25963">
        <w:rPr>
          <w:sz w:val="20"/>
          <w:szCs w:val="20"/>
          <w:highlight w:val="yellow"/>
          <w:rtl/>
        </w:rPr>
        <w:t>המידתיות</w:t>
      </w:r>
      <w:r w:rsidRPr="00E25963">
        <w:rPr>
          <w:rFonts w:hint="cs"/>
          <w:sz w:val="20"/>
          <w:szCs w:val="20"/>
          <w:highlight w:val="yellow"/>
          <w:rtl/>
        </w:rPr>
        <w:t xml:space="preserve">" </w:t>
      </w:r>
      <w:r w:rsidRPr="00E25963">
        <w:rPr>
          <w:sz w:val="20"/>
          <w:szCs w:val="20"/>
          <w:highlight w:val="yellow"/>
          <w:rtl/>
        </w:rPr>
        <w:t>–</w:t>
      </w:r>
      <w:r w:rsidRPr="00E25963">
        <w:rPr>
          <w:rFonts w:hint="cs"/>
          <w:sz w:val="20"/>
          <w:szCs w:val="20"/>
          <w:highlight w:val="yellow"/>
          <w:rtl/>
        </w:rPr>
        <w:t xml:space="preserve"> ולכן אין הוא ממלא אחר "פסקת ההגבלה"; ניסיון "ההתגברות" על קושי זה לא צולח, זאת גם אם זכה החוק המתקן ב"רוב" של חברי הכנסת, שכן לא התמלאו דרישות הלכת </w:t>
      </w:r>
      <w:r w:rsidRPr="00E25963">
        <w:rPr>
          <w:rFonts w:hint="cs"/>
          <w:b/>
          <w:bCs/>
          <w:sz w:val="20"/>
          <w:szCs w:val="20"/>
          <w:highlight w:val="yellow"/>
          <w:rtl/>
        </w:rPr>
        <w:t>מיטראל</w:t>
      </w:r>
      <w:r w:rsidRPr="00E25963">
        <w:rPr>
          <w:rFonts w:hint="cs"/>
          <w:sz w:val="20"/>
          <w:szCs w:val="20"/>
          <w:highlight w:val="yellow"/>
          <w:rtl/>
        </w:rPr>
        <w:t xml:space="preserve"> ביחס לחוק הפוגע בזכויות חוקתיות שמעבר לחופש העיסוק</w:t>
      </w:r>
      <w:r w:rsidRPr="00E25963">
        <w:rPr>
          <w:sz w:val="20"/>
          <w:szCs w:val="20"/>
          <w:highlight w:val="yellow"/>
          <w:rtl/>
        </w:rPr>
        <w:t>.</w:t>
      </w:r>
      <w:r w:rsidRPr="00E25963">
        <w:rPr>
          <w:rFonts w:hint="cs"/>
          <w:sz w:val="20"/>
          <w:szCs w:val="20"/>
          <w:rtl/>
        </w:rPr>
        <w:t xml:space="preserve"> </w:t>
      </w:r>
      <w:r w:rsidRPr="00E25963">
        <w:rPr>
          <w:rFonts w:hint="cs"/>
          <w:sz w:val="20"/>
          <w:szCs w:val="20"/>
          <w:highlight w:val="yellow"/>
          <w:rtl/>
        </w:rPr>
        <w:t>אשר על כן, החוק המתקן צפוי להיות מוכרז כלא תקף.</w:t>
      </w:r>
    </w:p>
    <w:p w:rsidR="005366A8" w:rsidRPr="00E25963" w:rsidRDefault="005366A8" w:rsidP="005366A8">
      <w:pPr>
        <w:tabs>
          <w:tab w:val="left" w:pos="800"/>
        </w:tabs>
        <w:overflowPunct w:val="0"/>
        <w:adjustRightInd w:val="0"/>
        <w:ind w:left="720"/>
        <w:rPr>
          <w:spacing w:val="10"/>
          <w:sz w:val="20"/>
          <w:szCs w:val="20"/>
          <w:rtl/>
        </w:rPr>
      </w:pPr>
      <w:r w:rsidRPr="00E25963">
        <w:rPr>
          <w:rFonts w:hint="cs"/>
          <w:spacing w:val="10"/>
          <w:sz w:val="20"/>
          <w:szCs w:val="20"/>
          <w:rtl/>
        </w:rPr>
        <w:t xml:space="preserve">[בעקבות סמסטר ב': חלקכם העלה טענה יפה, בעקבות פס"ד </w:t>
      </w:r>
      <w:r w:rsidRPr="00E25963">
        <w:rPr>
          <w:rFonts w:hint="cs"/>
          <w:b/>
          <w:bCs/>
          <w:spacing w:val="10"/>
          <w:sz w:val="20"/>
          <w:szCs w:val="20"/>
          <w:rtl/>
        </w:rPr>
        <w:t xml:space="preserve">יועצי השקעות </w:t>
      </w:r>
      <w:r w:rsidRPr="00E25963">
        <w:rPr>
          <w:rFonts w:hint="cs"/>
          <w:spacing w:val="10"/>
          <w:sz w:val="20"/>
          <w:szCs w:val="20"/>
          <w:rtl/>
        </w:rPr>
        <w:t>ופסיקה נוספת (</w:t>
      </w:r>
      <w:r w:rsidRPr="00E25963">
        <w:rPr>
          <w:rFonts w:hint="cs"/>
          <w:b/>
          <w:bCs/>
          <w:spacing w:val="10"/>
          <w:sz w:val="20"/>
          <w:szCs w:val="20"/>
          <w:rtl/>
        </w:rPr>
        <w:t>לם</w:t>
      </w:r>
      <w:r w:rsidRPr="00E25963">
        <w:rPr>
          <w:rFonts w:hint="cs"/>
          <w:spacing w:val="10"/>
          <w:sz w:val="20"/>
          <w:szCs w:val="20"/>
          <w:rtl/>
        </w:rPr>
        <w:t xml:space="preserve">) שעוסקת בצורך ב"הוראות מעבר", בין היתר בעת החלת חובת רישוי חדשה, קרי, כאשר לא הופעלה דרישה שכזו קודם. במצב מעין זה בני אדם כבר רכשו מיומנות מקצועית, ביצעו השקעות שונות עבור רכישת אותה מיומנות, ויתרו על כיווני עיסוק אחרים וכדומה; ולכן הוראות מעבר </w:t>
      </w:r>
      <w:r w:rsidRPr="00E25963">
        <w:rPr>
          <w:spacing w:val="10"/>
          <w:sz w:val="20"/>
          <w:szCs w:val="20"/>
          <w:rtl/>
        </w:rPr>
        <w:t>–</w:t>
      </w:r>
      <w:r w:rsidRPr="00E25963">
        <w:rPr>
          <w:rFonts w:hint="cs"/>
          <w:spacing w:val="10"/>
          <w:sz w:val="20"/>
          <w:szCs w:val="20"/>
          <w:rtl/>
        </w:rPr>
        <w:t xml:space="preserve"> כאלו המחילות את החובה החדשה באופן הדרגתי ואולי גם סלקטיבי </w:t>
      </w:r>
      <w:r w:rsidRPr="00E25963">
        <w:rPr>
          <w:spacing w:val="10"/>
          <w:sz w:val="20"/>
          <w:szCs w:val="20"/>
          <w:rtl/>
        </w:rPr>
        <w:t>–</w:t>
      </w:r>
      <w:r w:rsidRPr="00E25963">
        <w:rPr>
          <w:rFonts w:hint="cs"/>
          <w:spacing w:val="10"/>
          <w:sz w:val="20"/>
          <w:szCs w:val="20"/>
          <w:rtl/>
        </w:rPr>
        <w:t xml:space="preserve"> מתחייבות מתוך חובת ההגינות המוטלת על הרשות].</w:t>
      </w:r>
    </w:p>
    <w:p w:rsidR="005366A8" w:rsidRDefault="005366A8" w:rsidP="005366A8">
      <w:pPr>
        <w:rPr>
          <w:rtl/>
        </w:rPr>
      </w:pPr>
    </w:p>
    <w:p w:rsidR="005366A8" w:rsidRDefault="005366A8" w:rsidP="005366A8">
      <w:pPr>
        <w:pStyle w:val="T-body"/>
        <w:spacing w:line="240" w:lineRule="auto"/>
        <w:rPr>
          <w:sz w:val="22"/>
          <w:szCs w:val="22"/>
          <w:rtl/>
        </w:rPr>
      </w:pPr>
      <w:r w:rsidRPr="00430058">
        <w:rPr>
          <w:rFonts w:ascii="Arial" w:hAnsi="Arial" w:cs="Arial"/>
          <w:sz w:val="20"/>
          <w:szCs w:val="20"/>
          <w:rtl/>
        </w:rPr>
        <w:t>=-=</w:t>
      </w:r>
    </w:p>
    <w:p w:rsidR="005366A8" w:rsidRPr="009B2700" w:rsidRDefault="005366A8" w:rsidP="005366A8">
      <w:pPr>
        <w:pStyle w:val="T-body"/>
        <w:spacing w:after="60" w:line="240" w:lineRule="auto"/>
        <w:rPr>
          <w:rFonts w:asciiTheme="minorBidi" w:hAnsiTheme="minorBidi" w:cstheme="minorBidi"/>
          <w:sz w:val="22"/>
          <w:szCs w:val="22"/>
          <w:rtl/>
        </w:rPr>
      </w:pPr>
      <w:r w:rsidRPr="009B2700">
        <w:rPr>
          <w:rFonts w:asciiTheme="minorBidi" w:hAnsiTheme="minorBidi" w:cstheme="minorBidi"/>
          <w:sz w:val="22"/>
          <w:szCs w:val="22"/>
          <w:highlight w:val="green"/>
          <w:u w:val="single"/>
          <w:rtl/>
        </w:rPr>
        <w:t>חומר הקריאה לפגישה הבאה</w:t>
      </w:r>
      <w:r w:rsidRPr="009B2700">
        <w:rPr>
          <w:rFonts w:asciiTheme="minorBidi" w:hAnsiTheme="minorBidi" w:cstheme="minorBidi"/>
          <w:sz w:val="22"/>
          <w:szCs w:val="22"/>
          <w:highlight w:val="green"/>
          <w:rtl/>
        </w:rPr>
        <w:t>:</w:t>
      </w:r>
      <w:r w:rsidRPr="009B2700">
        <w:rPr>
          <w:rFonts w:asciiTheme="minorBidi" w:hAnsiTheme="minorBidi" w:cstheme="minorBidi"/>
          <w:sz w:val="22"/>
          <w:szCs w:val="22"/>
          <w:rtl/>
        </w:rPr>
        <w:t xml:space="preserve"> </w:t>
      </w:r>
    </w:p>
    <w:p w:rsidR="005366A8" w:rsidRPr="009B2700" w:rsidRDefault="005366A8" w:rsidP="005366A8">
      <w:pPr>
        <w:spacing w:after="60"/>
        <w:rPr>
          <w:rFonts w:asciiTheme="minorBidi" w:hAnsiTheme="minorBidi" w:cstheme="minorBidi"/>
          <w:sz w:val="20"/>
          <w:szCs w:val="20"/>
          <w:rtl/>
        </w:rPr>
      </w:pPr>
      <w:r w:rsidRPr="009B2700">
        <w:rPr>
          <w:rFonts w:asciiTheme="minorBidi" w:hAnsiTheme="minorBidi" w:cstheme="minorBidi"/>
          <w:sz w:val="20"/>
          <w:szCs w:val="20"/>
          <w:rtl/>
        </w:rPr>
        <w:t xml:space="preserve">קראו את הדפים שלעיל, על הסוגיות השונות המטופלות בהן, ובתוך כך את הדיון במרכיב פסקת ההגבלה שעניינו </w:t>
      </w:r>
      <w:r w:rsidRPr="009B2700">
        <w:rPr>
          <w:rFonts w:asciiTheme="minorBidi" w:hAnsiTheme="minorBidi" w:cstheme="minorBidi"/>
          <w:b/>
          <w:bCs/>
          <w:sz w:val="20"/>
          <w:szCs w:val="20"/>
          <w:rtl/>
        </w:rPr>
        <w:t>"הסמכה" – הסמכה בחוק או מכוח הסמכה מפורשת בחוק</w:t>
      </w:r>
      <w:r w:rsidRPr="009B2700">
        <w:rPr>
          <w:rFonts w:asciiTheme="minorBidi" w:hAnsiTheme="minorBidi" w:cstheme="minorBidi"/>
          <w:sz w:val="20"/>
          <w:szCs w:val="20"/>
          <w:rtl/>
        </w:rPr>
        <w:t xml:space="preserve">. </w:t>
      </w:r>
    </w:p>
    <w:p w:rsidR="005366A8" w:rsidRPr="009B2700" w:rsidRDefault="005366A8" w:rsidP="005366A8">
      <w:pPr>
        <w:spacing w:after="60"/>
        <w:rPr>
          <w:rFonts w:asciiTheme="minorBidi" w:hAnsiTheme="minorBidi" w:cstheme="minorBidi"/>
          <w:sz w:val="22"/>
          <w:szCs w:val="22"/>
          <w:rtl/>
        </w:rPr>
      </w:pPr>
      <w:r w:rsidRPr="009B2700">
        <w:rPr>
          <w:rFonts w:asciiTheme="minorBidi" w:hAnsiTheme="minorBidi" w:cstheme="minorBidi"/>
          <w:sz w:val="20"/>
          <w:szCs w:val="20"/>
          <w:rtl/>
        </w:rPr>
        <w:t xml:space="preserve">קראו גם את פס"ד </w:t>
      </w:r>
      <w:r w:rsidRPr="009B2700">
        <w:rPr>
          <w:rFonts w:asciiTheme="minorBidi" w:hAnsiTheme="minorBidi" w:cstheme="minorBidi"/>
          <w:b/>
          <w:bCs/>
          <w:sz w:val="20"/>
          <w:szCs w:val="20"/>
          <w:rtl/>
        </w:rPr>
        <w:t>מנאע</w:t>
      </w:r>
      <w:r w:rsidRPr="009B2700">
        <w:rPr>
          <w:rFonts w:asciiTheme="minorBidi" w:hAnsiTheme="minorBidi" w:cstheme="minorBidi"/>
          <w:sz w:val="20"/>
          <w:szCs w:val="20"/>
          <w:rtl/>
        </w:rPr>
        <w:t>, פס' 1, 45-13 ו-50 לפסק דינו של</w:t>
      </w:r>
      <w:r w:rsidRPr="009B2700">
        <w:rPr>
          <w:rFonts w:asciiTheme="minorBidi" w:hAnsiTheme="minorBidi" w:cstheme="minorBidi"/>
          <w:sz w:val="20"/>
          <w:szCs w:val="20"/>
        </w:rPr>
        <w:t xml:space="preserve"> </w:t>
      </w:r>
      <w:r w:rsidRPr="009B2700">
        <w:rPr>
          <w:rFonts w:asciiTheme="minorBidi" w:hAnsiTheme="minorBidi" w:cstheme="minorBidi"/>
          <w:sz w:val="20"/>
          <w:szCs w:val="20"/>
          <w:rtl/>
        </w:rPr>
        <w:t>השופט פוגלמן – איזה סוגיות עיקריות מוכרעות כאן? האם יש בהן מרכיב של חידוש?</w:t>
      </w:r>
      <w:r w:rsidRPr="009B2700">
        <w:rPr>
          <w:rFonts w:asciiTheme="minorBidi" w:hAnsiTheme="minorBidi" w:cstheme="minorBidi"/>
          <w:sz w:val="22"/>
          <w:szCs w:val="22"/>
          <w:rtl/>
        </w:rPr>
        <w:t xml:space="preserve"> </w:t>
      </w:r>
    </w:p>
    <w:p w:rsidR="005366A8" w:rsidRPr="009B2700" w:rsidRDefault="005366A8" w:rsidP="005366A8">
      <w:pPr>
        <w:pStyle w:val="T-body"/>
        <w:spacing w:after="60" w:line="240" w:lineRule="auto"/>
        <w:rPr>
          <w:rFonts w:asciiTheme="minorBidi" w:hAnsiTheme="minorBidi" w:cstheme="minorBidi"/>
          <w:sz w:val="20"/>
          <w:szCs w:val="20"/>
          <w:rtl/>
        </w:rPr>
      </w:pPr>
      <w:r w:rsidRPr="009B2700">
        <w:rPr>
          <w:rFonts w:asciiTheme="minorBidi" w:hAnsiTheme="minorBidi" w:cstheme="minorBidi"/>
          <w:sz w:val="20"/>
          <w:szCs w:val="20"/>
          <w:rtl/>
        </w:rPr>
        <w:t xml:space="preserve">נדבר קצת על </w:t>
      </w:r>
      <w:r w:rsidRPr="009B2700">
        <w:rPr>
          <w:rFonts w:asciiTheme="minorBidi" w:hAnsiTheme="minorBidi" w:cstheme="minorBidi"/>
          <w:b/>
          <w:bCs/>
          <w:sz w:val="20"/>
          <w:szCs w:val="20"/>
          <w:rtl/>
        </w:rPr>
        <w:t>חוק יסוד: משאל עם</w:t>
      </w:r>
      <w:r w:rsidRPr="009B2700">
        <w:rPr>
          <w:rFonts w:asciiTheme="minorBidi" w:hAnsiTheme="minorBidi" w:cstheme="minorBidi"/>
          <w:sz w:val="20"/>
          <w:szCs w:val="20"/>
          <w:rtl/>
        </w:rPr>
        <w:t xml:space="preserve">. </w:t>
      </w:r>
      <w:r>
        <w:rPr>
          <w:rFonts w:asciiTheme="minorBidi" w:hAnsiTheme="minorBidi" w:cstheme="minorBidi" w:hint="cs"/>
          <w:sz w:val="20"/>
          <w:szCs w:val="20"/>
          <w:rtl/>
        </w:rPr>
        <w:t>ק</w:t>
      </w:r>
      <w:r w:rsidRPr="009B2700">
        <w:rPr>
          <w:rFonts w:asciiTheme="minorBidi" w:hAnsiTheme="minorBidi" w:cstheme="minorBidi"/>
          <w:sz w:val="20"/>
          <w:szCs w:val="20"/>
          <w:rtl/>
        </w:rPr>
        <w:t>ראו את הדפים שלעיל.</w:t>
      </w:r>
    </w:p>
    <w:p w:rsidR="005366A8" w:rsidRDefault="005366A8">
      <w:pPr>
        <w:bidi w:val="0"/>
        <w:jc w:val="left"/>
        <w:rPr>
          <w:sz w:val="22"/>
          <w:szCs w:val="22"/>
          <w:rtl/>
        </w:rPr>
      </w:pPr>
      <w:r>
        <w:rPr>
          <w:sz w:val="22"/>
          <w:szCs w:val="22"/>
          <w:rtl/>
        </w:rPr>
        <w:br w:type="page"/>
      </w:r>
    </w:p>
    <w:p w:rsidR="005366A8" w:rsidRPr="001C6701" w:rsidRDefault="005366A8" w:rsidP="005366A8">
      <w:pPr>
        <w:spacing w:after="240"/>
        <w:jc w:val="right"/>
        <w:rPr>
          <w:sz w:val="22"/>
          <w:szCs w:val="22"/>
          <w:rtl/>
        </w:rPr>
      </w:pPr>
      <w:r w:rsidRPr="007F6E4F">
        <w:rPr>
          <w:rFonts w:hint="cs"/>
          <w:b/>
          <w:bCs/>
          <w:sz w:val="22"/>
          <w:szCs w:val="22"/>
          <w:rtl/>
        </w:rPr>
        <w:t>משפט ציבורי</w:t>
      </w:r>
      <w:r>
        <w:rPr>
          <w:rFonts w:hint="cs"/>
          <w:sz w:val="22"/>
          <w:szCs w:val="22"/>
          <w:rtl/>
        </w:rPr>
        <w:t xml:space="preserve">, </w:t>
      </w:r>
      <w:r w:rsidRPr="00C4131E">
        <w:rPr>
          <w:rFonts w:hint="cs"/>
          <w:i/>
          <w:iCs/>
          <w:sz w:val="22"/>
          <w:szCs w:val="22"/>
          <w:rtl/>
        </w:rPr>
        <w:t>תשע"</w:t>
      </w:r>
      <w:r>
        <w:rPr>
          <w:rFonts w:hint="cs"/>
          <w:i/>
          <w:iCs/>
          <w:sz w:val="22"/>
          <w:szCs w:val="22"/>
          <w:rtl/>
        </w:rPr>
        <w:t>ה</w:t>
      </w:r>
      <w:r>
        <w:rPr>
          <w:rFonts w:hint="cs"/>
          <w:sz w:val="22"/>
          <w:szCs w:val="22"/>
          <w:rtl/>
        </w:rPr>
        <w:t xml:space="preserve">, </w:t>
      </w:r>
      <w:r w:rsidRPr="007F6E4F">
        <w:rPr>
          <w:rFonts w:hint="cs"/>
          <w:b/>
          <w:bCs/>
          <w:sz w:val="22"/>
          <w:szCs w:val="22"/>
          <w:rtl/>
        </w:rPr>
        <w:t>סמסטר א',</w:t>
      </w:r>
      <w:r>
        <w:rPr>
          <w:rFonts w:hint="cs"/>
          <w:sz w:val="22"/>
          <w:szCs w:val="22"/>
          <w:rtl/>
        </w:rPr>
        <w:t xml:space="preserve"> ד"ר אילן סבן, דצמבר 2014, </w:t>
      </w:r>
      <w:r w:rsidRPr="005366A8">
        <w:rPr>
          <w:rFonts w:hint="cs"/>
          <w:b/>
          <w:bCs/>
          <w:i/>
          <w:iCs/>
          <w:sz w:val="22"/>
          <w:szCs w:val="22"/>
          <w:highlight w:val="magenta"/>
          <w:u w:val="single"/>
          <w:rtl/>
        </w:rPr>
        <w:t>פגישה 15</w:t>
      </w:r>
    </w:p>
    <w:p w:rsidR="005366A8" w:rsidRDefault="005366A8" w:rsidP="005366A8">
      <w:pPr>
        <w:jc w:val="center"/>
        <w:rPr>
          <w:rFonts w:ascii="Arial" w:hAnsi="Arial" w:cs="Guttman-Soncino"/>
          <w:b/>
          <w:bCs/>
          <w:sz w:val="28"/>
          <w:szCs w:val="28"/>
          <w:highlight w:val="yellow"/>
          <w:rtl/>
        </w:rPr>
      </w:pPr>
      <w:r w:rsidRPr="00E251AB">
        <w:rPr>
          <w:rFonts w:ascii="Arial" w:hAnsi="Arial" w:cs="Guttman-Soncino"/>
          <w:b/>
          <w:bCs/>
          <w:sz w:val="28"/>
          <w:szCs w:val="28"/>
          <w:highlight w:val="yellow"/>
          <w:rtl/>
        </w:rPr>
        <w:t>החוקה הפורמ</w:t>
      </w:r>
      <w:r w:rsidRPr="00E251AB">
        <w:rPr>
          <w:rFonts w:ascii="Arial" w:hAnsi="Arial" w:cs="Guttman-Soncino" w:hint="cs"/>
          <w:b/>
          <w:bCs/>
          <w:sz w:val="28"/>
          <w:szCs w:val="28"/>
          <w:highlight w:val="yellow"/>
          <w:rtl/>
        </w:rPr>
        <w:t>א</w:t>
      </w:r>
      <w:r w:rsidRPr="00E251AB">
        <w:rPr>
          <w:rFonts w:ascii="Arial" w:hAnsi="Arial" w:cs="Guttman-Soncino"/>
          <w:b/>
          <w:bCs/>
          <w:sz w:val="28"/>
          <w:szCs w:val="28"/>
          <w:highlight w:val="yellow"/>
          <w:rtl/>
        </w:rPr>
        <w:t>לית של ישראל</w:t>
      </w:r>
      <w:r w:rsidRPr="00E251AB">
        <w:rPr>
          <w:rFonts w:ascii="Arial" w:hAnsi="Arial" w:cs="Guttman-Soncino" w:hint="cs"/>
          <w:b/>
          <w:bCs/>
          <w:sz w:val="28"/>
          <w:szCs w:val="28"/>
          <w:highlight w:val="yellow"/>
          <w:rtl/>
        </w:rPr>
        <w:t xml:space="preserve"> </w:t>
      </w:r>
    </w:p>
    <w:p w:rsidR="005366A8" w:rsidRPr="00E251AB" w:rsidRDefault="005366A8" w:rsidP="005366A8">
      <w:pPr>
        <w:jc w:val="center"/>
        <w:rPr>
          <w:rFonts w:ascii="Arial" w:hAnsi="Arial" w:cs="Guttman-Soncino"/>
          <w:b/>
          <w:bCs/>
          <w:sz w:val="28"/>
          <w:szCs w:val="28"/>
          <w:rtl/>
        </w:rPr>
      </w:pPr>
      <w:r w:rsidRPr="00E251AB">
        <w:rPr>
          <w:rFonts w:ascii="Arial" w:hAnsi="Arial" w:cs="Guttman-Soncino" w:hint="cs"/>
          <w:b/>
          <w:bCs/>
          <w:sz w:val="28"/>
          <w:szCs w:val="28"/>
          <w:highlight w:val="yellow"/>
          <w:rtl/>
        </w:rPr>
        <w:t>"פסקת ההגבלה"</w:t>
      </w:r>
    </w:p>
    <w:p w:rsidR="005366A8" w:rsidRDefault="005366A8" w:rsidP="005366A8">
      <w:pPr>
        <w:rPr>
          <w:rtl/>
        </w:rPr>
      </w:pPr>
    </w:p>
    <w:p w:rsidR="005366A8" w:rsidRPr="00B55FFF" w:rsidRDefault="005366A8" w:rsidP="005366A8">
      <w:pPr>
        <w:rPr>
          <w:b/>
          <w:bCs/>
          <w:u w:val="single"/>
          <w:rtl/>
        </w:rPr>
      </w:pPr>
      <w:r w:rsidRPr="00B55FFF">
        <w:rPr>
          <w:rFonts w:hint="cs"/>
          <w:b/>
          <w:bCs/>
          <w:u w:val="single"/>
          <w:rtl/>
        </w:rPr>
        <w:t>פתרון תרגיל לדוגמא</w:t>
      </w:r>
    </w:p>
    <w:p w:rsidR="005366A8" w:rsidRPr="00B8414F" w:rsidRDefault="005366A8" w:rsidP="005366A8">
      <w:pPr>
        <w:pStyle w:val="HeadHatzaotHok"/>
        <w:spacing w:before="0" w:line="240" w:lineRule="auto"/>
        <w:rPr>
          <w:rFonts w:cs="David"/>
          <w:szCs w:val="20"/>
          <w:rtl/>
        </w:rPr>
      </w:pPr>
      <w:r w:rsidRPr="00B8414F">
        <w:rPr>
          <w:rFonts w:cs="David"/>
          <w:szCs w:val="20"/>
          <w:rtl/>
        </w:rPr>
        <w:t>הכנסת השמונה-עשרה</w:t>
      </w:r>
    </w:p>
    <w:p w:rsidR="005366A8" w:rsidRPr="00B8414F" w:rsidRDefault="005366A8" w:rsidP="005366A8">
      <w:pPr>
        <w:rPr>
          <w:rFonts w:cs="David"/>
          <w:sz w:val="20"/>
          <w:szCs w:val="20"/>
          <w:rtl/>
        </w:rPr>
      </w:pPr>
    </w:p>
    <w:p w:rsidR="005366A8" w:rsidRPr="00B8414F" w:rsidRDefault="005366A8" w:rsidP="005366A8">
      <w:pPr>
        <w:pStyle w:val="David"/>
        <w:spacing w:line="240" w:lineRule="auto"/>
        <w:ind w:left="2880" w:firstLine="720"/>
        <w:rPr>
          <w:rFonts w:cs="David"/>
          <w:sz w:val="20"/>
          <w:szCs w:val="20"/>
        </w:rPr>
      </w:pPr>
      <w:r w:rsidRPr="00B8414F">
        <w:rPr>
          <w:rFonts w:cs="David" w:hint="cs"/>
          <w:sz w:val="20"/>
          <w:szCs w:val="20"/>
          <w:rtl/>
        </w:rPr>
        <w:t>הצעת</w:t>
      </w:r>
      <w:r w:rsidRPr="00B8414F">
        <w:rPr>
          <w:rFonts w:cs="David"/>
          <w:sz w:val="20"/>
          <w:szCs w:val="20"/>
          <w:rtl/>
        </w:rPr>
        <w:t xml:space="preserve"> </w:t>
      </w:r>
      <w:r w:rsidRPr="00B8414F">
        <w:rPr>
          <w:rFonts w:cs="David" w:hint="cs"/>
          <w:sz w:val="20"/>
          <w:szCs w:val="20"/>
          <w:rtl/>
        </w:rPr>
        <w:t>חוק</w:t>
      </w:r>
      <w:r w:rsidRPr="00B8414F">
        <w:rPr>
          <w:rFonts w:cs="David"/>
          <w:sz w:val="20"/>
          <w:szCs w:val="20"/>
          <w:rtl/>
        </w:rPr>
        <w:t xml:space="preserve"> </w:t>
      </w:r>
      <w:r w:rsidRPr="00B8414F">
        <w:rPr>
          <w:rFonts w:cs="David" w:hint="cs"/>
          <w:sz w:val="20"/>
          <w:szCs w:val="20"/>
          <w:rtl/>
        </w:rPr>
        <w:t>של</w:t>
      </w:r>
      <w:r w:rsidRPr="00B8414F">
        <w:rPr>
          <w:rFonts w:cs="David"/>
          <w:sz w:val="20"/>
          <w:szCs w:val="20"/>
          <w:rtl/>
        </w:rPr>
        <w:t xml:space="preserve">  </w:t>
      </w:r>
      <w:r w:rsidRPr="00B8414F">
        <w:rPr>
          <w:rFonts w:cs="David" w:hint="cs"/>
          <w:sz w:val="20"/>
          <w:szCs w:val="20"/>
          <w:rtl/>
        </w:rPr>
        <w:t>חברי</w:t>
      </w:r>
      <w:r w:rsidRPr="00B8414F">
        <w:rPr>
          <w:rFonts w:cs="David"/>
          <w:sz w:val="20"/>
          <w:szCs w:val="20"/>
          <w:rtl/>
        </w:rPr>
        <w:t xml:space="preserve"> </w:t>
      </w:r>
      <w:r w:rsidRPr="00B8414F">
        <w:rPr>
          <w:rFonts w:cs="David" w:hint="cs"/>
          <w:sz w:val="20"/>
          <w:szCs w:val="20"/>
          <w:rtl/>
        </w:rPr>
        <w:t>הכנסת</w:t>
      </w:r>
      <w:r w:rsidRPr="00B8414F">
        <w:rPr>
          <w:rFonts w:cs="David"/>
          <w:sz w:val="20"/>
          <w:szCs w:val="20"/>
        </w:rPr>
        <w:tab/>
      </w:r>
      <w:r w:rsidRPr="00B8414F">
        <w:rPr>
          <w:rFonts w:cs="David"/>
          <w:sz w:val="20"/>
          <w:szCs w:val="20"/>
        </w:rPr>
        <w:tab/>
      </w:r>
      <w:r w:rsidRPr="00B8414F">
        <w:rPr>
          <w:rFonts w:cs="David" w:hint="cs"/>
          <w:b/>
          <w:bCs/>
          <w:sz w:val="20"/>
          <w:szCs w:val="20"/>
          <w:rtl/>
        </w:rPr>
        <w:t>גדעון</w:t>
      </w:r>
      <w:r w:rsidRPr="00B8414F">
        <w:rPr>
          <w:rFonts w:cs="David"/>
          <w:b/>
          <w:bCs/>
          <w:sz w:val="20"/>
          <w:szCs w:val="20"/>
          <w:rtl/>
        </w:rPr>
        <w:t xml:space="preserve"> </w:t>
      </w:r>
      <w:r w:rsidRPr="00B8414F">
        <w:rPr>
          <w:rFonts w:cs="David" w:hint="cs"/>
          <w:b/>
          <w:bCs/>
          <w:sz w:val="20"/>
          <w:szCs w:val="20"/>
          <w:rtl/>
        </w:rPr>
        <w:t>עזרא</w:t>
      </w:r>
      <w:r>
        <w:rPr>
          <w:rFonts w:cs="David" w:hint="cs"/>
          <w:b/>
          <w:bCs/>
          <w:sz w:val="20"/>
          <w:szCs w:val="20"/>
          <w:rtl/>
        </w:rPr>
        <w:t xml:space="preserve"> ואח'</w:t>
      </w:r>
      <w:r w:rsidRPr="00B8414F">
        <w:rPr>
          <w:rFonts w:cs="David"/>
          <w:b/>
          <w:bCs/>
          <w:sz w:val="20"/>
          <w:szCs w:val="20"/>
        </w:rPr>
        <w:tab/>
      </w:r>
      <w:r w:rsidRPr="00B8414F">
        <w:rPr>
          <w:rFonts w:cs="David"/>
          <w:b/>
          <w:bCs/>
          <w:sz w:val="20"/>
          <w:szCs w:val="20"/>
        </w:rPr>
        <w:tab/>
      </w:r>
      <w:r w:rsidRPr="00B8414F">
        <w:rPr>
          <w:rFonts w:cs="David"/>
          <w:b/>
          <w:bCs/>
          <w:sz w:val="20"/>
          <w:szCs w:val="20"/>
        </w:rPr>
        <w:tab/>
      </w:r>
      <w:r w:rsidRPr="00B8414F">
        <w:rPr>
          <w:rFonts w:cs="David"/>
          <w:b/>
          <w:bCs/>
          <w:sz w:val="20"/>
          <w:szCs w:val="20"/>
        </w:rPr>
        <w:tab/>
      </w:r>
    </w:p>
    <w:p w:rsidR="005366A8" w:rsidRPr="00B8414F" w:rsidRDefault="005366A8" w:rsidP="005366A8">
      <w:pPr>
        <w:ind w:left="2919" w:firstLine="720"/>
        <w:rPr>
          <w:rFonts w:cs="David"/>
          <w:sz w:val="20"/>
          <w:szCs w:val="20"/>
          <w:rtl/>
        </w:rPr>
      </w:pPr>
      <w:r w:rsidRPr="00B8414F">
        <w:rPr>
          <w:rFonts w:cs="David"/>
          <w:sz w:val="20"/>
          <w:szCs w:val="20"/>
          <w:rtl/>
        </w:rPr>
        <w:tab/>
      </w:r>
      <w:r w:rsidRPr="00B8414F">
        <w:rPr>
          <w:rFonts w:cs="David"/>
          <w:sz w:val="20"/>
          <w:szCs w:val="20"/>
          <w:rtl/>
        </w:rPr>
        <w:tab/>
      </w:r>
    </w:p>
    <w:p w:rsidR="005366A8" w:rsidRPr="00B8414F" w:rsidRDefault="005366A8" w:rsidP="005366A8">
      <w:pPr>
        <w:pStyle w:val="HeadHatzaotHok"/>
        <w:tabs>
          <w:tab w:val="left" w:pos="4071"/>
          <w:tab w:val="center" w:pos="4819"/>
        </w:tabs>
        <w:spacing w:before="0" w:line="240" w:lineRule="auto"/>
        <w:rPr>
          <w:rFonts w:cs="David"/>
          <w:szCs w:val="20"/>
          <w:rtl/>
        </w:rPr>
      </w:pPr>
      <w:r w:rsidRPr="00B55FFF">
        <w:rPr>
          <w:rFonts w:cs="David"/>
          <w:szCs w:val="20"/>
          <w:highlight w:val="yellow"/>
          <w:rtl/>
        </w:rPr>
        <w:t>הצעת חוק שירותי תיירות (תיקון – מורי דרך), התש"ע–2010</w:t>
      </w:r>
    </w:p>
    <w:p w:rsidR="005366A8" w:rsidRPr="00B8414F" w:rsidRDefault="005366A8" w:rsidP="005366A8">
      <w:pPr>
        <w:rPr>
          <w:rFonts w:cs="David"/>
          <w:sz w:val="20"/>
          <w:szCs w:val="20"/>
          <w:rtl/>
        </w:rPr>
      </w:pPr>
    </w:p>
    <w:tbl>
      <w:tblPr>
        <w:bidiVisual/>
        <w:tblW w:w="0" w:type="auto"/>
        <w:tblInd w:w="8" w:type="dxa"/>
        <w:tblCellMar>
          <w:top w:w="57" w:type="dxa"/>
          <w:left w:w="0" w:type="dxa"/>
          <w:bottom w:w="57" w:type="dxa"/>
          <w:right w:w="0" w:type="dxa"/>
        </w:tblCellMar>
        <w:tblLook w:val="0000"/>
      </w:tblPr>
      <w:tblGrid>
        <w:gridCol w:w="1870"/>
        <w:gridCol w:w="624"/>
        <w:gridCol w:w="624"/>
        <w:gridCol w:w="624"/>
        <w:gridCol w:w="624"/>
        <w:gridCol w:w="624"/>
        <w:gridCol w:w="4649"/>
      </w:tblGrid>
      <w:tr w:rsidR="005366A8" w:rsidRPr="00B8414F" w:rsidTr="001845AC">
        <w:trPr>
          <w:cantSplit/>
        </w:trPr>
        <w:tc>
          <w:tcPr>
            <w:tcW w:w="1870" w:type="dxa"/>
            <w:tcBorders>
              <w:top w:val="nil"/>
              <w:left w:val="nil"/>
              <w:bottom w:val="nil"/>
              <w:right w:val="nil"/>
            </w:tcBorders>
          </w:tcPr>
          <w:p w:rsidR="005366A8" w:rsidRPr="00B8414F" w:rsidRDefault="005366A8" w:rsidP="001845AC">
            <w:pPr>
              <w:pStyle w:val="TableSideHeading"/>
              <w:spacing w:line="240" w:lineRule="auto"/>
              <w:ind w:right="0"/>
              <w:rPr>
                <w:rFonts w:cs="David"/>
                <w:szCs w:val="20"/>
              </w:rPr>
            </w:pPr>
            <w:r w:rsidRPr="00B8414F">
              <w:rPr>
                <w:rFonts w:cs="David"/>
                <w:szCs w:val="20"/>
                <w:rtl/>
              </w:rPr>
              <w:t>הוספת סעיף 3ב</w:t>
            </w:r>
          </w:p>
        </w:tc>
        <w:tc>
          <w:tcPr>
            <w:tcW w:w="624" w:type="dxa"/>
            <w:tcBorders>
              <w:top w:val="nil"/>
              <w:left w:val="nil"/>
              <w:bottom w:val="nil"/>
              <w:right w:val="nil"/>
            </w:tcBorders>
          </w:tcPr>
          <w:p w:rsidR="005366A8" w:rsidRPr="00B8414F" w:rsidRDefault="005366A8" w:rsidP="001845AC">
            <w:pPr>
              <w:pStyle w:val="TableText"/>
              <w:spacing w:line="240" w:lineRule="auto"/>
              <w:ind w:right="0"/>
              <w:jc w:val="both"/>
              <w:rPr>
                <w:rFonts w:cs="David"/>
                <w:szCs w:val="20"/>
              </w:rPr>
            </w:pPr>
            <w:r w:rsidRPr="00B8414F">
              <w:rPr>
                <w:rFonts w:cs="David"/>
                <w:szCs w:val="20"/>
                <w:rtl/>
              </w:rPr>
              <w:t>1.</w:t>
            </w:r>
          </w:p>
        </w:tc>
        <w:tc>
          <w:tcPr>
            <w:tcW w:w="7145" w:type="dxa"/>
            <w:gridSpan w:val="5"/>
            <w:tcBorders>
              <w:top w:val="nil"/>
              <w:left w:val="nil"/>
              <w:bottom w:val="nil"/>
              <w:right w:val="nil"/>
            </w:tcBorders>
          </w:tcPr>
          <w:p w:rsidR="005366A8" w:rsidRPr="00B8414F" w:rsidRDefault="005366A8" w:rsidP="001845AC">
            <w:pPr>
              <w:pStyle w:val="TableBlock"/>
              <w:spacing w:line="240" w:lineRule="auto"/>
              <w:rPr>
                <w:rFonts w:cs="David"/>
                <w:szCs w:val="20"/>
              </w:rPr>
            </w:pPr>
            <w:r w:rsidRPr="00B8414F">
              <w:rPr>
                <w:rFonts w:cs="David"/>
                <w:szCs w:val="20"/>
                <w:rtl/>
              </w:rPr>
              <w:t>בחוק שירותי תיירות, התשל"ו–1976, אחרי סעיף 3א יבוא:</w:t>
            </w:r>
          </w:p>
        </w:tc>
      </w:tr>
      <w:tr w:rsidR="005366A8" w:rsidRPr="00B8414F" w:rsidTr="001845AC">
        <w:trPr>
          <w:cantSplit/>
          <w:trHeight w:val="60"/>
        </w:trPr>
        <w:tc>
          <w:tcPr>
            <w:tcW w:w="1870" w:type="dxa"/>
            <w:tcBorders>
              <w:top w:val="nil"/>
              <w:left w:val="nil"/>
              <w:bottom w:val="nil"/>
              <w:right w:val="nil"/>
            </w:tcBorders>
          </w:tcPr>
          <w:p w:rsidR="005366A8" w:rsidRPr="00B8414F" w:rsidRDefault="005366A8" w:rsidP="001845AC">
            <w:pPr>
              <w:pStyle w:val="TableSideHeading"/>
              <w:keepLines w:val="0"/>
              <w:spacing w:line="240" w:lineRule="auto"/>
              <w:rPr>
                <w:rFonts w:cs="David"/>
                <w:szCs w:val="20"/>
              </w:rPr>
            </w:pPr>
          </w:p>
        </w:tc>
        <w:tc>
          <w:tcPr>
            <w:tcW w:w="624" w:type="dxa"/>
            <w:tcBorders>
              <w:top w:val="nil"/>
              <w:left w:val="nil"/>
              <w:bottom w:val="nil"/>
              <w:right w:val="nil"/>
            </w:tcBorders>
          </w:tcPr>
          <w:p w:rsidR="005366A8" w:rsidRPr="00B8414F" w:rsidRDefault="005366A8" w:rsidP="001845AC">
            <w:pPr>
              <w:pStyle w:val="TableText"/>
              <w:keepLines w:val="0"/>
              <w:spacing w:line="240" w:lineRule="auto"/>
              <w:rPr>
                <w:rFonts w:cs="David"/>
                <w:szCs w:val="20"/>
              </w:rPr>
            </w:pPr>
          </w:p>
        </w:tc>
        <w:tc>
          <w:tcPr>
            <w:tcW w:w="1872" w:type="dxa"/>
            <w:gridSpan w:val="3"/>
            <w:tcBorders>
              <w:top w:val="nil"/>
              <w:left w:val="nil"/>
              <w:bottom w:val="nil"/>
              <w:right w:val="nil"/>
            </w:tcBorders>
          </w:tcPr>
          <w:p w:rsidR="005366A8" w:rsidRPr="00B8414F" w:rsidRDefault="005366A8" w:rsidP="001845AC">
            <w:pPr>
              <w:pStyle w:val="TableInnerSideHeading"/>
              <w:spacing w:line="240" w:lineRule="auto"/>
              <w:rPr>
                <w:rFonts w:cs="David"/>
                <w:szCs w:val="20"/>
              </w:rPr>
            </w:pPr>
            <w:r w:rsidRPr="00B8414F">
              <w:rPr>
                <w:rFonts w:cs="David"/>
                <w:szCs w:val="20"/>
                <w:rtl/>
              </w:rPr>
              <w:t>"רישיון מורה דרך</w:t>
            </w:r>
          </w:p>
        </w:tc>
        <w:tc>
          <w:tcPr>
            <w:tcW w:w="624" w:type="dxa"/>
            <w:tcBorders>
              <w:top w:val="nil"/>
              <w:left w:val="nil"/>
              <w:bottom w:val="nil"/>
              <w:right w:val="nil"/>
            </w:tcBorders>
          </w:tcPr>
          <w:p w:rsidR="005366A8" w:rsidRPr="00B8414F" w:rsidRDefault="005366A8" w:rsidP="001845AC">
            <w:pPr>
              <w:pStyle w:val="TableText"/>
              <w:spacing w:line="240" w:lineRule="auto"/>
              <w:rPr>
                <w:rFonts w:cs="David"/>
                <w:szCs w:val="20"/>
              </w:rPr>
            </w:pPr>
            <w:r w:rsidRPr="00B8414F">
              <w:rPr>
                <w:rFonts w:cs="David"/>
                <w:szCs w:val="20"/>
                <w:rtl/>
              </w:rPr>
              <w:t>3ב.</w:t>
            </w:r>
          </w:p>
        </w:tc>
        <w:tc>
          <w:tcPr>
            <w:tcW w:w="4649" w:type="dxa"/>
            <w:tcBorders>
              <w:top w:val="nil"/>
              <w:left w:val="nil"/>
              <w:bottom w:val="nil"/>
              <w:right w:val="nil"/>
            </w:tcBorders>
          </w:tcPr>
          <w:p w:rsidR="005366A8" w:rsidRPr="00B8414F" w:rsidRDefault="005366A8" w:rsidP="001845AC">
            <w:pPr>
              <w:pStyle w:val="TableBlock"/>
              <w:spacing w:line="240" w:lineRule="auto"/>
              <w:rPr>
                <w:rFonts w:cs="David"/>
                <w:szCs w:val="20"/>
              </w:rPr>
            </w:pPr>
            <w:r w:rsidRPr="00B8414F">
              <w:rPr>
                <w:rFonts w:cs="David"/>
                <w:szCs w:val="20"/>
                <w:rtl/>
              </w:rPr>
              <w:t>(א)</w:t>
            </w:r>
            <w:r w:rsidRPr="00B8414F">
              <w:rPr>
                <w:rFonts w:cs="David"/>
                <w:szCs w:val="20"/>
                <w:rtl/>
              </w:rPr>
              <w:tab/>
              <w:t>לא ישמש אדם מורה דרך בתמורה, לא ישמש מסיע בתמורה כמורה דרך ולא יציע שירותיו כמורה דרך בתמורה, אלא אם כן יש בידיו רישיון תקף לפי חוק זה (בסעיף זה – מורה דרך מורשה).</w:t>
            </w:r>
          </w:p>
        </w:tc>
      </w:tr>
      <w:tr w:rsidR="005366A8" w:rsidRPr="00B8414F" w:rsidTr="001845AC">
        <w:trPr>
          <w:cantSplit/>
          <w:trHeight w:val="60"/>
        </w:trPr>
        <w:tc>
          <w:tcPr>
            <w:tcW w:w="1870" w:type="dxa"/>
            <w:tcBorders>
              <w:top w:val="nil"/>
              <w:left w:val="nil"/>
              <w:bottom w:val="nil"/>
              <w:right w:val="nil"/>
            </w:tcBorders>
          </w:tcPr>
          <w:p w:rsidR="005366A8" w:rsidRPr="00B8414F" w:rsidRDefault="005366A8" w:rsidP="001845AC">
            <w:pPr>
              <w:pStyle w:val="TableSideHeading"/>
              <w:spacing w:line="240" w:lineRule="auto"/>
              <w:rPr>
                <w:rFonts w:cs="David"/>
                <w:szCs w:val="20"/>
              </w:rPr>
            </w:pPr>
          </w:p>
        </w:tc>
        <w:tc>
          <w:tcPr>
            <w:tcW w:w="624" w:type="dxa"/>
            <w:tcBorders>
              <w:top w:val="nil"/>
              <w:left w:val="nil"/>
              <w:bottom w:val="nil"/>
              <w:right w:val="nil"/>
            </w:tcBorders>
          </w:tcPr>
          <w:p w:rsidR="005366A8" w:rsidRPr="00B8414F" w:rsidRDefault="005366A8" w:rsidP="001845AC">
            <w:pPr>
              <w:pStyle w:val="TableText"/>
              <w:spacing w:line="240" w:lineRule="auto"/>
              <w:rPr>
                <w:rFonts w:cs="David"/>
                <w:szCs w:val="20"/>
              </w:rPr>
            </w:pPr>
          </w:p>
        </w:tc>
        <w:tc>
          <w:tcPr>
            <w:tcW w:w="624" w:type="dxa"/>
            <w:tcBorders>
              <w:top w:val="nil"/>
              <w:left w:val="nil"/>
              <w:bottom w:val="nil"/>
              <w:right w:val="nil"/>
            </w:tcBorders>
          </w:tcPr>
          <w:p w:rsidR="005366A8" w:rsidRPr="00B8414F" w:rsidRDefault="005366A8" w:rsidP="001845AC">
            <w:pPr>
              <w:pStyle w:val="TableText"/>
              <w:spacing w:line="240" w:lineRule="auto"/>
              <w:rPr>
                <w:rFonts w:cs="David"/>
                <w:szCs w:val="20"/>
              </w:rPr>
            </w:pPr>
          </w:p>
        </w:tc>
        <w:tc>
          <w:tcPr>
            <w:tcW w:w="624" w:type="dxa"/>
            <w:tcBorders>
              <w:top w:val="nil"/>
              <w:left w:val="nil"/>
              <w:bottom w:val="nil"/>
              <w:right w:val="nil"/>
            </w:tcBorders>
          </w:tcPr>
          <w:p w:rsidR="005366A8" w:rsidRPr="00B8414F" w:rsidRDefault="005366A8" w:rsidP="001845AC">
            <w:pPr>
              <w:pStyle w:val="TableText"/>
              <w:spacing w:line="240" w:lineRule="auto"/>
              <w:rPr>
                <w:rFonts w:cs="David"/>
                <w:szCs w:val="20"/>
              </w:rPr>
            </w:pPr>
          </w:p>
        </w:tc>
        <w:tc>
          <w:tcPr>
            <w:tcW w:w="624" w:type="dxa"/>
            <w:tcBorders>
              <w:top w:val="nil"/>
              <w:left w:val="nil"/>
              <w:bottom w:val="nil"/>
              <w:right w:val="nil"/>
            </w:tcBorders>
          </w:tcPr>
          <w:p w:rsidR="005366A8" w:rsidRPr="00B8414F" w:rsidRDefault="005366A8" w:rsidP="001845AC">
            <w:pPr>
              <w:pStyle w:val="TableText"/>
              <w:spacing w:line="240" w:lineRule="auto"/>
              <w:rPr>
                <w:rFonts w:cs="David"/>
                <w:szCs w:val="20"/>
              </w:rPr>
            </w:pPr>
          </w:p>
        </w:tc>
        <w:tc>
          <w:tcPr>
            <w:tcW w:w="624" w:type="dxa"/>
            <w:tcBorders>
              <w:top w:val="nil"/>
              <w:left w:val="nil"/>
              <w:bottom w:val="nil"/>
              <w:right w:val="nil"/>
            </w:tcBorders>
          </w:tcPr>
          <w:p w:rsidR="005366A8" w:rsidRPr="00B8414F" w:rsidRDefault="005366A8" w:rsidP="001845AC">
            <w:pPr>
              <w:pStyle w:val="TableText"/>
              <w:spacing w:line="240" w:lineRule="auto"/>
              <w:rPr>
                <w:rFonts w:cs="David"/>
                <w:szCs w:val="20"/>
              </w:rPr>
            </w:pPr>
          </w:p>
        </w:tc>
        <w:tc>
          <w:tcPr>
            <w:tcW w:w="4649" w:type="dxa"/>
            <w:tcBorders>
              <w:top w:val="nil"/>
              <w:left w:val="nil"/>
              <w:bottom w:val="nil"/>
              <w:right w:val="nil"/>
            </w:tcBorders>
          </w:tcPr>
          <w:p w:rsidR="005366A8" w:rsidRPr="00B8414F" w:rsidRDefault="005366A8" w:rsidP="001845AC">
            <w:pPr>
              <w:pStyle w:val="TableBlock"/>
              <w:spacing w:line="240" w:lineRule="auto"/>
              <w:rPr>
                <w:rFonts w:cs="David"/>
                <w:szCs w:val="20"/>
              </w:rPr>
            </w:pPr>
            <w:r w:rsidRPr="00B8414F">
              <w:rPr>
                <w:rFonts w:cs="David"/>
                <w:szCs w:val="20"/>
                <w:rtl/>
              </w:rPr>
              <w:t>(ב)</w:t>
            </w:r>
            <w:r w:rsidRPr="00B8414F">
              <w:rPr>
                <w:rFonts w:cs="David"/>
                <w:szCs w:val="20"/>
                <w:rtl/>
              </w:rPr>
              <w:tab/>
              <w:t xml:space="preserve">נותן שירותי סוכנות נסיעות או גוף אחר, המארגן סיורים בישראל לתיירי חוץ, לא יעסיק מורה דרך, אלא אם כן הוא מורה דרך מורשה. </w:t>
            </w:r>
          </w:p>
        </w:tc>
      </w:tr>
      <w:tr w:rsidR="005366A8" w:rsidRPr="00B8414F" w:rsidTr="001845AC">
        <w:trPr>
          <w:cantSplit/>
          <w:trHeight w:val="60"/>
        </w:trPr>
        <w:tc>
          <w:tcPr>
            <w:tcW w:w="1870" w:type="dxa"/>
            <w:tcBorders>
              <w:top w:val="nil"/>
              <w:left w:val="nil"/>
              <w:bottom w:val="nil"/>
              <w:right w:val="nil"/>
            </w:tcBorders>
          </w:tcPr>
          <w:p w:rsidR="005366A8" w:rsidRPr="00B8414F" w:rsidRDefault="005366A8" w:rsidP="001845AC">
            <w:pPr>
              <w:pStyle w:val="TableSideHeading"/>
              <w:spacing w:line="240" w:lineRule="auto"/>
              <w:rPr>
                <w:rFonts w:cs="David"/>
                <w:szCs w:val="20"/>
              </w:rPr>
            </w:pPr>
          </w:p>
        </w:tc>
        <w:tc>
          <w:tcPr>
            <w:tcW w:w="624" w:type="dxa"/>
            <w:tcBorders>
              <w:top w:val="nil"/>
              <w:left w:val="nil"/>
              <w:bottom w:val="nil"/>
              <w:right w:val="nil"/>
            </w:tcBorders>
          </w:tcPr>
          <w:p w:rsidR="005366A8" w:rsidRPr="00B8414F" w:rsidRDefault="005366A8" w:rsidP="001845AC">
            <w:pPr>
              <w:pStyle w:val="TableText"/>
              <w:spacing w:line="240" w:lineRule="auto"/>
              <w:rPr>
                <w:rFonts w:cs="David"/>
                <w:szCs w:val="20"/>
              </w:rPr>
            </w:pPr>
          </w:p>
        </w:tc>
        <w:tc>
          <w:tcPr>
            <w:tcW w:w="624" w:type="dxa"/>
            <w:tcBorders>
              <w:top w:val="nil"/>
              <w:left w:val="nil"/>
              <w:bottom w:val="nil"/>
              <w:right w:val="nil"/>
            </w:tcBorders>
          </w:tcPr>
          <w:p w:rsidR="005366A8" w:rsidRPr="00B8414F" w:rsidRDefault="005366A8" w:rsidP="001845AC">
            <w:pPr>
              <w:pStyle w:val="TableText"/>
              <w:spacing w:line="240" w:lineRule="auto"/>
              <w:rPr>
                <w:rFonts w:cs="David"/>
                <w:szCs w:val="20"/>
              </w:rPr>
            </w:pPr>
          </w:p>
        </w:tc>
        <w:tc>
          <w:tcPr>
            <w:tcW w:w="624" w:type="dxa"/>
            <w:tcBorders>
              <w:top w:val="nil"/>
              <w:left w:val="nil"/>
              <w:bottom w:val="nil"/>
              <w:right w:val="nil"/>
            </w:tcBorders>
          </w:tcPr>
          <w:p w:rsidR="005366A8" w:rsidRPr="00B8414F" w:rsidRDefault="005366A8" w:rsidP="001845AC">
            <w:pPr>
              <w:pStyle w:val="TableText"/>
              <w:spacing w:line="240" w:lineRule="auto"/>
              <w:rPr>
                <w:rFonts w:cs="David"/>
                <w:szCs w:val="20"/>
              </w:rPr>
            </w:pPr>
          </w:p>
        </w:tc>
        <w:tc>
          <w:tcPr>
            <w:tcW w:w="624" w:type="dxa"/>
            <w:tcBorders>
              <w:top w:val="nil"/>
              <w:left w:val="nil"/>
              <w:bottom w:val="nil"/>
              <w:right w:val="nil"/>
            </w:tcBorders>
          </w:tcPr>
          <w:p w:rsidR="005366A8" w:rsidRPr="00B8414F" w:rsidRDefault="005366A8" w:rsidP="001845AC">
            <w:pPr>
              <w:pStyle w:val="TableText"/>
              <w:spacing w:line="240" w:lineRule="auto"/>
              <w:rPr>
                <w:rFonts w:cs="David"/>
                <w:szCs w:val="20"/>
              </w:rPr>
            </w:pPr>
          </w:p>
        </w:tc>
        <w:tc>
          <w:tcPr>
            <w:tcW w:w="624" w:type="dxa"/>
            <w:tcBorders>
              <w:top w:val="nil"/>
              <w:left w:val="nil"/>
              <w:bottom w:val="nil"/>
              <w:right w:val="nil"/>
            </w:tcBorders>
          </w:tcPr>
          <w:p w:rsidR="005366A8" w:rsidRPr="00B8414F" w:rsidRDefault="005366A8" w:rsidP="001845AC">
            <w:pPr>
              <w:pStyle w:val="TableText"/>
              <w:spacing w:line="240" w:lineRule="auto"/>
              <w:rPr>
                <w:rFonts w:cs="David"/>
                <w:szCs w:val="20"/>
              </w:rPr>
            </w:pPr>
          </w:p>
        </w:tc>
        <w:tc>
          <w:tcPr>
            <w:tcW w:w="4649" w:type="dxa"/>
            <w:tcBorders>
              <w:top w:val="nil"/>
              <w:left w:val="nil"/>
              <w:bottom w:val="nil"/>
              <w:right w:val="nil"/>
            </w:tcBorders>
          </w:tcPr>
          <w:p w:rsidR="005366A8" w:rsidRPr="00B8414F" w:rsidRDefault="005366A8" w:rsidP="001845AC">
            <w:pPr>
              <w:pStyle w:val="TableBlock"/>
              <w:spacing w:line="240" w:lineRule="auto"/>
              <w:rPr>
                <w:rFonts w:cs="David"/>
                <w:szCs w:val="20"/>
              </w:rPr>
            </w:pPr>
            <w:r w:rsidRPr="00B8414F">
              <w:rPr>
                <w:rFonts w:cs="David"/>
                <w:szCs w:val="20"/>
                <w:rtl/>
              </w:rPr>
              <w:t>(ג)</w:t>
            </w:r>
            <w:r w:rsidRPr="00B8414F">
              <w:rPr>
                <w:rFonts w:cs="David"/>
                <w:szCs w:val="20"/>
                <w:rtl/>
              </w:rPr>
              <w:tab/>
              <w:t xml:space="preserve">נותן שירותי סוכנות נסיעות או גוף אחר, המארגן סיור בישראל שבו משתתפים לפחות 11 תיירי חוץ, ידאג לכך שהסיור ילווה על ידי מורה דרך מורשה שהוא אזרח ישראלי. </w:t>
            </w:r>
          </w:p>
        </w:tc>
      </w:tr>
      <w:tr w:rsidR="005366A8" w:rsidRPr="00B8414F" w:rsidTr="001845AC">
        <w:trPr>
          <w:cantSplit/>
          <w:trHeight w:val="60"/>
        </w:trPr>
        <w:tc>
          <w:tcPr>
            <w:tcW w:w="1870" w:type="dxa"/>
            <w:tcBorders>
              <w:top w:val="nil"/>
              <w:left w:val="nil"/>
              <w:bottom w:val="nil"/>
              <w:right w:val="nil"/>
            </w:tcBorders>
          </w:tcPr>
          <w:p w:rsidR="005366A8" w:rsidRPr="00B8414F" w:rsidRDefault="005366A8" w:rsidP="001845AC">
            <w:pPr>
              <w:pStyle w:val="TableSideHeading"/>
              <w:spacing w:line="240" w:lineRule="auto"/>
              <w:rPr>
                <w:rFonts w:cs="David"/>
                <w:szCs w:val="20"/>
              </w:rPr>
            </w:pPr>
          </w:p>
        </w:tc>
        <w:tc>
          <w:tcPr>
            <w:tcW w:w="624" w:type="dxa"/>
            <w:tcBorders>
              <w:top w:val="nil"/>
              <w:left w:val="nil"/>
              <w:bottom w:val="nil"/>
              <w:right w:val="nil"/>
            </w:tcBorders>
          </w:tcPr>
          <w:p w:rsidR="005366A8" w:rsidRPr="00B8414F" w:rsidRDefault="005366A8" w:rsidP="001845AC">
            <w:pPr>
              <w:pStyle w:val="TableText"/>
              <w:spacing w:line="240" w:lineRule="auto"/>
              <w:rPr>
                <w:rFonts w:cs="David"/>
                <w:szCs w:val="20"/>
              </w:rPr>
            </w:pPr>
          </w:p>
        </w:tc>
        <w:tc>
          <w:tcPr>
            <w:tcW w:w="624" w:type="dxa"/>
            <w:tcBorders>
              <w:top w:val="nil"/>
              <w:left w:val="nil"/>
              <w:bottom w:val="nil"/>
              <w:right w:val="nil"/>
            </w:tcBorders>
          </w:tcPr>
          <w:p w:rsidR="005366A8" w:rsidRPr="00B8414F" w:rsidRDefault="005366A8" w:rsidP="001845AC">
            <w:pPr>
              <w:pStyle w:val="TableText"/>
              <w:spacing w:line="240" w:lineRule="auto"/>
              <w:rPr>
                <w:rFonts w:cs="David"/>
                <w:szCs w:val="20"/>
              </w:rPr>
            </w:pPr>
          </w:p>
        </w:tc>
        <w:tc>
          <w:tcPr>
            <w:tcW w:w="624" w:type="dxa"/>
            <w:tcBorders>
              <w:top w:val="nil"/>
              <w:left w:val="nil"/>
              <w:bottom w:val="nil"/>
              <w:right w:val="nil"/>
            </w:tcBorders>
          </w:tcPr>
          <w:p w:rsidR="005366A8" w:rsidRPr="00B8414F" w:rsidRDefault="005366A8" w:rsidP="001845AC">
            <w:pPr>
              <w:pStyle w:val="TableText"/>
              <w:spacing w:line="240" w:lineRule="auto"/>
              <w:rPr>
                <w:rFonts w:cs="David"/>
                <w:szCs w:val="20"/>
              </w:rPr>
            </w:pPr>
          </w:p>
        </w:tc>
        <w:tc>
          <w:tcPr>
            <w:tcW w:w="624" w:type="dxa"/>
            <w:tcBorders>
              <w:top w:val="nil"/>
              <w:left w:val="nil"/>
              <w:bottom w:val="nil"/>
              <w:right w:val="nil"/>
            </w:tcBorders>
          </w:tcPr>
          <w:p w:rsidR="005366A8" w:rsidRPr="00B8414F" w:rsidRDefault="005366A8" w:rsidP="001845AC">
            <w:pPr>
              <w:pStyle w:val="TableText"/>
              <w:spacing w:line="240" w:lineRule="auto"/>
              <w:rPr>
                <w:rFonts w:cs="David"/>
                <w:szCs w:val="20"/>
              </w:rPr>
            </w:pPr>
          </w:p>
        </w:tc>
        <w:tc>
          <w:tcPr>
            <w:tcW w:w="624" w:type="dxa"/>
            <w:tcBorders>
              <w:top w:val="nil"/>
              <w:left w:val="nil"/>
              <w:bottom w:val="nil"/>
              <w:right w:val="nil"/>
            </w:tcBorders>
          </w:tcPr>
          <w:p w:rsidR="005366A8" w:rsidRPr="00B8414F" w:rsidRDefault="005366A8" w:rsidP="001845AC">
            <w:pPr>
              <w:pStyle w:val="TableText"/>
              <w:spacing w:line="240" w:lineRule="auto"/>
              <w:rPr>
                <w:rFonts w:cs="David"/>
                <w:szCs w:val="20"/>
              </w:rPr>
            </w:pPr>
          </w:p>
        </w:tc>
        <w:tc>
          <w:tcPr>
            <w:tcW w:w="4649" w:type="dxa"/>
            <w:tcBorders>
              <w:top w:val="nil"/>
              <w:left w:val="nil"/>
              <w:bottom w:val="nil"/>
              <w:right w:val="nil"/>
            </w:tcBorders>
          </w:tcPr>
          <w:p w:rsidR="005366A8" w:rsidRPr="00B8414F" w:rsidRDefault="005366A8" w:rsidP="001845AC">
            <w:pPr>
              <w:pStyle w:val="TableBlock"/>
              <w:spacing w:line="240" w:lineRule="auto"/>
              <w:rPr>
                <w:rFonts w:cs="David"/>
                <w:szCs w:val="20"/>
              </w:rPr>
            </w:pPr>
            <w:r w:rsidRPr="00B8414F">
              <w:rPr>
                <w:rFonts w:cs="David"/>
                <w:szCs w:val="20"/>
                <w:rtl/>
              </w:rPr>
              <w:t>(ד)</w:t>
            </w:r>
            <w:r w:rsidRPr="00B8414F">
              <w:rPr>
                <w:rFonts w:cs="David"/>
                <w:szCs w:val="20"/>
                <w:rtl/>
              </w:rPr>
              <w:tab/>
              <w:t>בלי לגרוע מהוראות סעיף קטן (ג), סיור בישראל שבמהלכו נוסעים תיירי חוץ במספר כלי רכב, ילווה על ידי מורה דרך מורשה שהוא אזרח ישראלי בכל אחד מכלי הרכב כאמור."</w:t>
            </w:r>
          </w:p>
        </w:tc>
      </w:tr>
    </w:tbl>
    <w:p w:rsidR="005366A8" w:rsidRPr="00B8414F" w:rsidRDefault="005366A8" w:rsidP="005366A8">
      <w:pPr>
        <w:pStyle w:val="HeadDivreiHesber"/>
        <w:spacing w:line="240" w:lineRule="auto"/>
        <w:rPr>
          <w:rFonts w:cs="David"/>
          <w:szCs w:val="20"/>
          <w:rtl/>
        </w:rPr>
      </w:pPr>
      <w:r w:rsidRPr="00B8414F">
        <w:rPr>
          <w:rFonts w:cs="David"/>
          <w:szCs w:val="20"/>
          <w:rtl/>
        </w:rPr>
        <w:t>דברי הסבר</w:t>
      </w:r>
    </w:p>
    <w:p w:rsidR="005366A8" w:rsidRPr="00B8414F" w:rsidRDefault="005366A8" w:rsidP="005366A8">
      <w:pPr>
        <w:rPr>
          <w:rFonts w:cs="David"/>
          <w:sz w:val="20"/>
          <w:szCs w:val="20"/>
          <w:rtl/>
        </w:rPr>
      </w:pPr>
      <w:r w:rsidRPr="00B8414F">
        <w:rPr>
          <w:rFonts w:cs="David" w:hint="cs"/>
          <w:sz w:val="20"/>
          <w:szCs w:val="20"/>
          <w:rtl/>
        </w:rPr>
        <w:t>מטרת</w:t>
      </w:r>
      <w:r w:rsidRPr="00B8414F">
        <w:rPr>
          <w:rFonts w:cs="David"/>
          <w:sz w:val="20"/>
          <w:szCs w:val="20"/>
          <w:rtl/>
        </w:rPr>
        <w:t xml:space="preserve"> </w:t>
      </w:r>
      <w:r w:rsidRPr="00B8414F">
        <w:rPr>
          <w:rFonts w:cs="David" w:hint="cs"/>
          <w:sz w:val="20"/>
          <w:szCs w:val="20"/>
          <w:rtl/>
        </w:rPr>
        <w:t>הצעת</w:t>
      </w:r>
      <w:r w:rsidRPr="00B8414F">
        <w:rPr>
          <w:rFonts w:cs="David"/>
          <w:sz w:val="20"/>
          <w:szCs w:val="20"/>
          <w:rtl/>
        </w:rPr>
        <w:t xml:space="preserve"> </w:t>
      </w:r>
      <w:r w:rsidRPr="00B8414F">
        <w:rPr>
          <w:rFonts w:cs="David" w:hint="cs"/>
          <w:sz w:val="20"/>
          <w:szCs w:val="20"/>
          <w:rtl/>
        </w:rPr>
        <w:t>החוק</w:t>
      </w:r>
      <w:r w:rsidRPr="00B8414F">
        <w:rPr>
          <w:rFonts w:cs="David"/>
          <w:sz w:val="20"/>
          <w:szCs w:val="20"/>
          <w:rtl/>
        </w:rPr>
        <w:t xml:space="preserve"> </w:t>
      </w:r>
      <w:r w:rsidRPr="00B8414F">
        <w:rPr>
          <w:rFonts w:cs="David" w:hint="cs"/>
          <w:sz w:val="20"/>
          <w:szCs w:val="20"/>
          <w:rtl/>
        </w:rPr>
        <w:t>היא</w:t>
      </w:r>
      <w:r w:rsidRPr="00B8414F">
        <w:rPr>
          <w:rFonts w:cs="David"/>
          <w:sz w:val="20"/>
          <w:szCs w:val="20"/>
          <w:rtl/>
        </w:rPr>
        <w:t xml:space="preserve"> </w:t>
      </w:r>
      <w:r w:rsidRPr="00B8414F">
        <w:rPr>
          <w:rFonts w:cs="David" w:hint="cs"/>
          <w:sz w:val="20"/>
          <w:szCs w:val="20"/>
          <w:rtl/>
        </w:rPr>
        <w:t>להביא</w:t>
      </w:r>
      <w:r w:rsidRPr="00B8414F">
        <w:rPr>
          <w:rFonts w:cs="David"/>
          <w:sz w:val="20"/>
          <w:szCs w:val="20"/>
          <w:rtl/>
        </w:rPr>
        <w:t xml:space="preserve"> </w:t>
      </w:r>
      <w:r w:rsidRPr="00B8414F">
        <w:rPr>
          <w:rFonts w:cs="David" w:hint="cs"/>
          <w:sz w:val="20"/>
          <w:szCs w:val="20"/>
          <w:rtl/>
        </w:rPr>
        <w:t>לפתרונה</w:t>
      </w:r>
      <w:r w:rsidRPr="00B8414F">
        <w:rPr>
          <w:rFonts w:cs="David"/>
          <w:sz w:val="20"/>
          <w:szCs w:val="20"/>
          <w:rtl/>
        </w:rPr>
        <w:t xml:space="preserve"> </w:t>
      </w:r>
      <w:r w:rsidRPr="00B8414F">
        <w:rPr>
          <w:rFonts w:cs="David" w:hint="cs"/>
          <w:sz w:val="20"/>
          <w:szCs w:val="20"/>
          <w:rtl/>
        </w:rPr>
        <w:t>של</w:t>
      </w:r>
      <w:r w:rsidRPr="00B8414F">
        <w:rPr>
          <w:rFonts w:cs="David"/>
          <w:sz w:val="20"/>
          <w:szCs w:val="20"/>
          <w:rtl/>
        </w:rPr>
        <w:t xml:space="preserve"> </w:t>
      </w:r>
      <w:r w:rsidRPr="00B8414F">
        <w:rPr>
          <w:rFonts w:cs="David" w:hint="cs"/>
          <w:sz w:val="20"/>
          <w:szCs w:val="20"/>
          <w:rtl/>
        </w:rPr>
        <w:t>בעיה</w:t>
      </w:r>
      <w:r w:rsidRPr="00B8414F">
        <w:rPr>
          <w:rFonts w:cs="David"/>
          <w:sz w:val="20"/>
          <w:szCs w:val="20"/>
          <w:rtl/>
        </w:rPr>
        <w:t xml:space="preserve"> </w:t>
      </w:r>
      <w:r w:rsidRPr="00B8414F">
        <w:rPr>
          <w:rFonts w:cs="David" w:hint="cs"/>
          <w:sz w:val="20"/>
          <w:szCs w:val="20"/>
          <w:rtl/>
        </w:rPr>
        <w:t>בענף</w:t>
      </w:r>
      <w:r w:rsidRPr="00B8414F">
        <w:rPr>
          <w:rFonts w:cs="David"/>
          <w:sz w:val="20"/>
          <w:szCs w:val="20"/>
          <w:rtl/>
        </w:rPr>
        <w:t xml:space="preserve"> </w:t>
      </w:r>
      <w:r w:rsidRPr="00B8414F">
        <w:rPr>
          <w:rFonts w:cs="David" w:hint="cs"/>
          <w:sz w:val="20"/>
          <w:szCs w:val="20"/>
          <w:rtl/>
        </w:rPr>
        <w:t>התיירות</w:t>
      </w:r>
      <w:r w:rsidRPr="00B8414F">
        <w:rPr>
          <w:rFonts w:cs="David"/>
          <w:sz w:val="20"/>
          <w:szCs w:val="20"/>
          <w:rtl/>
        </w:rPr>
        <w:t xml:space="preserve">, </w:t>
      </w:r>
      <w:r w:rsidRPr="00B8414F">
        <w:rPr>
          <w:rFonts w:cs="David" w:hint="cs"/>
          <w:sz w:val="20"/>
          <w:szCs w:val="20"/>
          <w:rtl/>
        </w:rPr>
        <w:t>לפיה</w:t>
      </w:r>
      <w:r w:rsidRPr="00B8414F">
        <w:rPr>
          <w:rFonts w:cs="David"/>
          <w:sz w:val="20"/>
          <w:szCs w:val="20"/>
          <w:rtl/>
        </w:rPr>
        <w:t xml:space="preserve"> </w:t>
      </w:r>
      <w:r w:rsidRPr="00B8414F">
        <w:rPr>
          <w:rFonts w:cs="David" w:hint="cs"/>
          <w:sz w:val="20"/>
          <w:szCs w:val="20"/>
          <w:rtl/>
        </w:rPr>
        <w:t>מספר</w:t>
      </w:r>
      <w:r w:rsidRPr="00B8414F">
        <w:rPr>
          <w:rFonts w:cs="David"/>
          <w:sz w:val="20"/>
          <w:szCs w:val="20"/>
          <w:rtl/>
        </w:rPr>
        <w:t xml:space="preserve"> </w:t>
      </w:r>
      <w:r w:rsidRPr="00B8414F">
        <w:rPr>
          <w:rFonts w:cs="David" w:hint="cs"/>
          <w:sz w:val="20"/>
          <w:szCs w:val="20"/>
          <w:rtl/>
        </w:rPr>
        <w:t>רב</w:t>
      </w:r>
      <w:r w:rsidRPr="00B8414F">
        <w:rPr>
          <w:rFonts w:cs="David"/>
          <w:sz w:val="20"/>
          <w:szCs w:val="20"/>
          <w:rtl/>
        </w:rPr>
        <w:t xml:space="preserve"> </w:t>
      </w:r>
      <w:r w:rsidRPr="00B8414F">
        <w:rPr>
          <w:rFonts w:cs="David" w:hint="cs"/>
          <w:sz w:val="20"/>
          <w:szCs w:val="20"/>
          <w:rtl/>
        </w:rPr>
        <w:t>של</w:t>
      </w:r>
      <w:r w:rsidRPr="00B8414F">
        <w:rPr>
          <w:rFonts w:cs="David"/>
          <w:sz w:val="20"/>
          <w:szCs w:val="20"/>
          <w:rtl/>
        </w:rPr>
        <w:t xml:space="preserve"> </w:t>
      </w:r>
      <w:r w:rsidRPr="00B8414F">
        <w:rPr>
          <w:rFonts w:cs="David" w:hint="cs"/>
          <w:sz w:val="20"/>
          <w:szCs w:val="20"/>
          <w:rtl/>
        </w:rPr>
        <w:t>מורי</w:t>
      </w:r>
      <w:r w:rsidRPr="00B8414F">
        <w:rPr>
          <w:rFonts w:cs="David"/>
          <w:sz w:val="20"/>
          <w:szCs w:val="20"/>
          <w:rtl/>
        </w:rPr>
        <w:t xml:space="preserve"> </w:t>
      </w:r>
      <w:r w:rsidRPr="00B8414F">
        <w:rPr>
          <w:rFonts w:cs="David" w:hint="cs"/>
          <w:sz w:val="20"/>
          <w:szCs w:val="20"/>
          <w:rtl/>
        </w:rPr>
        <w:t>דרך</w:t>
      </w:r>
      <w:r w:rsidRPr="00B8414F">
        <w:rPr>
          <w:rFonts w:cs="David"/>
          <w:sz w:val="20"/>
          <w:szCs w:val="20"/>
          <w:rtl/>
        </w:rPr>
        <w:t xml:space="preserve"> </w:t>
      </w:r>
      <w:r w:rsidRPr="00B8414F">
        <w:rPr>
          <w:rFonts w:cs="David" w:hint="cs"/>
          <w:sz w:val="20"/>
          <w:szCs w:val="20"/>
          <w:rtl/>
        </w:rPr>
        <w:t>שלא</w:t>
      </w:r>
      <w:r w:rsidRPr="00B8414F">
        <w:rPr>
          <w:rFonts w:cs="David"/>
          <w:sz w:val="20"/>
          <w:szCs w:val="20"/>
          <w:rtl/>
        </w:rPr>
        <w:t xml:space="preserve"> </w:t>
      </w:r>
      <w:r w:rsidRPr="00B8414F">
        <w:rPr>
          <w:rFonts w:cs="David" w:hint="cs"/>
          <w:sz w:val="20"/>
          <w:szCs w:val="20"/>
          <w:rtl/>
        </w:rPr>
        <w:t>קיבלו</w:t>
      </w:r>
      <w:r w:rsidRPr="00B8414F">
        <w:rPr>
          <w:rFonts w:cs="David"/>
          <w:sz w:val="20"/>
          <w:szCs w:val="20"/>
          <w:rtl/>
        </w:rPr>
        <w:t xml:space="preserve"> </w:t>
      </w:r>
      <w:r w:rsidRPr="00B8414F">
        <w:rPr>
          <w:rFonts w:cs="David" w:hint="cs"/>
          <w:sz w:val="20"/>
          <w:szCs w:val="20"/>
          <w:rtl/>
        </w:rPr>
        <w:t>רישיון</w:t>
      </w:r>
      <w:r w:rsidRPr="00B8414F">
        <w:rPr>
          <w:rFonts w:cs="David"/>
          <w:sz w:val="20"/>
          <w:szCs w:val="20"/>
          <w:rtl/>
        </w:rPr>
        <w:t xml:space="preserve">  </w:t>
      </w:r>
      <w:r w:rsidRPr="00B8414F">
        <w:rPr>
          <w:rFonts w:cs="David" w:hint="cs"/>
          <w:sz w:val="20"/>
          <w:szCs w:val="20"/>
          <w:rtl/>
        </w:rPr>
        <w:t>לפי</w:t>
      </w:r>
      <w:r w:rsidRPr="00B8414F">
        <w:rPr>
          <w:rFonts w:cs="David"/>
          <w:sz w:val="20"/>
          <w:szCs w:val="20"/>
          <w:rtl/>
        </w:rPr>
        <w:t xml:space="preserve"> </w:t>
      </w:r>
      <w:r w:rsidRPr="00B8414F">
        <w:rPr>
          <w:rFonts w:cs="David" w:hint="cs"/>
          <w:sz w:val="20"/>
          <w:szCs w:val="20"/>
          <w:rtl/>
        </w:rPr>
        <w:t>חוק</w:t>
      </w:r>
      <w:r w:rsidRPr="00B8414F">
        <w:rPr>
          <w:rFonts w:cs="David"/>
          <w:sz w:val="20"/>
          <w:szCs w:val="20"/>
          <w:rtl/>
        </w:rPr>
        <w:t xml:space="preserve"> </w:t>
      </w:r>
      <w:r w:rsidRPr="00B8414F">
        <w:rPr>
          <w:rFonts w:cs="David" w:hint="cs"/>
          <w:sz w:val="20"/>
          <w:szCs w:val="20"/>
          <w:rtl/>
        </w:rPr>
        <w:t>שירותי</w:t>
      </w:r>
      <w:r w:rsidRPr="00B8414F">
        <w:rPr>
          <w:rFonts w:cs="David"/>
          <w:sz w:val="20"/>
          <w:szCs w:val="20"/>
          <w:rtl/>
        </w:rPr>
        <w:t xml:space="preserve"> </w:t>
      </w:r>
      <w:r w:rsidRPr="00B8414F">
        <w:rPr>
          <w:rFonts w:cs="David" w:hint="cs"/>
          <w:sz w:val="20"/>
          <w:szCs w:val="20"/>
          <w:rtl/>
        </w:rPr>
        <w:t>תיירות</w:t>
      </w:r>
      <w:r w:rsidRPr="00B8414F">
        <w:rPr>
          <w:rFonts w:cs="David"/>
          <w:sz w:val="20"/>
          <w:szCs w:val="20"/>
          <w:rtl/>
        </w:rPr>
        <w:t xml:space="preserve">, </w:t>
      </w:r>
      <w:r w:rsidRPr="00B8414F">
        <w:rPr>
          <w:rFonts w:cs="David" w:hint="cs"/>
          <w:sz w:val="20"/>
          <w:szCs w:val="20"/>
          <w:rtl/>
        </w:rPr>
        <w:t>התשל</w:t>
      </w:r>
      <w:r w:rsidRPr="00B8414F">
        <w:rPr>
          <w:rFonts w:cs="David"/>
          <w:sz w:val="20"/>
          <w:szCs w:val="20"/>
          <w:rtl/>
        </w:rPr>
        <w:t>"</w:t>
      </w:r>
      <w:r w:rsidRPr="00B8414F">
        <w:rPr>
          <w:rFonts w:cs="David" w:hint="cs"/>
          <w:sz w:val="20"/>
          <w:szCs w:val="20"/>
          <w:rtl/>
        </w:rPr>
        <w:t>ו</w:t>
      </w:r>
      <w:r w:rsidRPr="00B8414F">
        <w:rPr>
          <w:rFonts w:cs="David"/>
          <w:sz w:val="20"/>
          <w:szCs w:val="20"/>
          <w:rtl/>
        </w:rPr>
        <w:t xml:space="preserve">–1976, </w:t>
      </w:r>
      <w:r w:rsidRPr="00B8414F">
        <w:rPr>
          <w:rFonts w:cs="David" w:hint="cs"/>
          <w:sz w:val="20"/>
          <w:szCs w:val="20"/>
          <w:rtl/>
        </w:rPr>
        <w:t>פוגעים</w:t>
      </w:r>
      <w:r w:rsidRPr="00B8414F">
        <w:rPr>
          <w:rFonts w:cs="David"/>
          <w:sz w:val="20"/>
          <w:szCs w:val="20"/>
          <w:rtl/>
        </w:rPr>
        <w:t xml:space="preserve"> </w:t>
      </w:r>
      <w:r w:rsidRPr="00B8414F">
        <w:rPr>
          <w:rFonts w:cs="David" w:hint="cs"/>
          <w:sz w:val="20"/>
          <w:szCs w:val="20"/>
          <w:rtl/>
        </w:rPr>
        <w:t>בתדמיתה</w:t>
      </w:r>
      <w:r w:rsidRPr="00B8414F">
        <w:rPr>
          <w:rFonts w:cs="David"/>
          <w:sz w:val="20"/>
          <w:szCs w:val="20"/>
          <w:rtl/>
        </w:rPr>
        <w:t xml:space="preserve"> </w:t>
      </w:r>
      <w:r w:rsidRPr="00B8414F">
        <w:rPr>
          <w:rFonts w:cs="David" w:hint="cs"/>
          <w:sz w:val="20"/>
          <w:szCs w:val="20"/>
          <w:rtl/>
        </w:rPr>
        <w:t>של</w:t>
      </w:r>
      <w:r w:rsidRPr="00B8414F">
        <w:rPr>
          <w:rFonts w:cs="David"/>
          <w:sz w:val="20"/>
          <w:szCs w:val="20"/>
          <w:rtl/>
        </w:rPr>
        <w:t xml:space="preserve"> </w:t>
      </w:r>
      <w:r w:rsidRPr="00B8414F">
        <w:rPr>
          <w:rFonts w:cs="David" w:hint="cs"/>
          <w:sz w:val="20"/>
          <w:szCs w:val="20"/>
          <w:rtl/>
        </w:rPr>
        <w:t>מדינת</w:t>
      </w:r>
      <w:r w:rsidRPr="00B8414F">
        <w:rPr>
          <w:rFonts w:cs="David"/>
          <w:sz w:val="20"/>
          <w:szCs w:val="20"/>
          <w:rtl/>
        </w:rPr>
        <w:t xml:space="preserve"> </w:t>
      </w:r>
      <w:r w:rsidRPr="00B8414F">
        <w:rPr>
          <w:rFonts w:cs="David" w:hint="cs"/>
          <w:sz w:val="20"/>
          <w:szCs w:val="20"/>
          <w:rtl/>
        </w:rPr>
        <w:t>ישראל</w:t>
      </w:r>
      <w:r w:rsidRPr="00B8414F">
        <w:rPr>
          <w:rFonts w:cs="David"/>
          <w:sz w:val="20"/>
          <w:szCs w:val="20"/>
          <w:rtl/>
        </w:rPr>
        <w:t xml:space="preserve">, </w:t>
      </w:r>
      <w:r w:rsidRPr="00B8414F">
        <w:rPr>
          <w:rFonts w:cs="David" w:hint="cs"/>
          <w:sz w:val="20"/>
          <w:szCs w:val="20"/>
          <w:rtl/>
        </w:rPr>
        <w:t>עקב</w:t>
      </w:r>
      <w:r w:rsidRPr="00B8414F">
        <w:rPr>
          <w:rFonts w:cs="David"/>
          <w:sz w:val="20"/>
          <w:szCs w:val="20"/>
          <w:rtl/>
        </w:rPr>
        <w:t xml:space="preserve"> </w:t>
      </w:r>
      <w:r w:rsidRPr="00B8414F">
        <w:rPr>
          <w:rFonts w:cs="David" w:hint="cs"/>
          <w:sz w:val="20"/>
          <w:szCs w:val="20"/>
          <w:rtl/>
        </w:rPr>
        <w:t>כך</w:t>
      </w:r>
      <w:r w:rsidRPr="00B8414F">
        <w:rPr>
          <w:rFonts w:cs="David"/>
          <w:sz w:val="20"/>
          <w:szCs w:val="20"/>
          <w:rtl/>
        </w:rPr>
        <w:t xml:space="preserve"> </w:t>
      </w:r>
      <w:r w:rsidRPr="00B8414F">
        <w:rPr>
          <w:rFonts w:cs="David" w:hint="cs"/>
          <w:sz w:val="20"/>
          <w:szCs w:val="20"/>
          <w:rtl/>
        </w:rPr>
        <w:t>שלא</w:t>
      </w:r>
      <w:r w:rsidRPr="00B8414F">
        <w:rPr>
          <w:rFonts w:cs="David"/>
          <w:sz w:val="20"/>
          <w:szCs w:val="20"/>
          <w:rtl/>
        </w:rPr>
        <w:t xml:space="preserve"> </w:t>
      </w:r>
      <w:r w:rsidRPr="00B8414F">
        <w:rPr>
          <w:rFonts w:cs="David" w:hint="cs"/>
          <w:sz w:val="20"/>
          <w:szCs w:val="20"/>
          <w:rtl/>
        </w:rPr>
        <w:t>עברו</w:t>
      </w:r>
      <w:r w:rsidRPr="00B8414F">
        <w:rPr>
          <w:rFonts w:cs="David"/>
          <w:sz w:val="20"/>
          <w:szCs w:val="20"/>
          <w:rtl/>
        </w:rPr>
        <w:t xml:space="preserve"> </w:t>
      </w:r>
      <w:r w:rsidRPr="00B8414F">
        <w:rPr>
          <w:rFonts w:cs="David" w:hint="cs"/>
          <w:sz w:val="20"/>
          <w:szCs w:val="20"/>
          <w:rtl/>
        </w:rPr>
        <w:t>הסמכה</w:t>
      </w:r>
      <w:r w:rsidRPr="00B8414F">
        <w:rPr>
          <w:rFonts w:cs="David"/>
          <w:sz w:val="20"/>
          <w:szCs w:val="20"/>
          <w:rtl/>
        </w:rPr>
        <w:t xml:space="preserve"> </w:t>
      </w:r>
      <w:r w:rsidRPr="00B8414F">
        <w:rPr>
          <w:rFonts w:cs="David" w:hint="cs"/>
          <w:sz w:val="20"/>
          <w:szCs w:val="20"/>
          <w:rtl/>
        </w:rPr>
        <w:t>מתאימה</w:t>
      </w:r>
      <w:r w:rsidRPr="00B8414F">
        <w:rPr>
          <w:rFonts w:cs="David"/>
          <w:sz w:val="20"/>
          <w:szCs w:val="20"/>
          <w:rtl/>
        </w:rPr>
        <w:t xml:space="preserve"> </w:t>
      </w:r>
      <w:r w:rsidRPr="00B8414F">
        <w:rPr>
          <w:rFonts w:cs="David" w:hint="cs"/>
          <w:sz w:val="20"/>
          <w:szCs w:val="20"/>
          <w:rtl/>
        </w:rPr>
        <w:t>ואינם</w:t>
      </w:r>
      <w:r w:rsidRPr="00B8414F">
        <w:rPr>
          <w:rFonts w:cs="David"/>
          <w:sz w:val="20"/>
          <w:szCs w:val="20"/>
          <w:rtl/>
        </w:rPr>
        <w:t xml:space="preserve"> </w:t>
      </w:r>
      <w:r w:rsidRPr="00B8414F">
        <w:rPr>
          <w:rFonts w:cs="David" w:hint="cs"/>
          <w:sz w:val="20"/>
          <w:szCs w:val="20"/>
          <w:rtl/>
        </w:rPr>
        <w:t>יכולים</w:t>
      </w:r>
      <w:r w:rsidRPr="00B8414F">
        <w:rPr>
          <w:rFonts w:cs="David"/>
          <w:sz w:val="20"/>
          <w:szCs w:val="20"/>
          <w:rtl/>
        </w:rPr>
        <w:t xml:space="preserve"> </w:t>
      </w:r>
      <w:r w:rsidRPr="00B8414F">
        <w:rPr>
          <w:rFonts w:cs="David" w:hint="cs"/>
          <w:sz w:val="20"/>
          <w:szCs w:val="20"/>
          <w:rtl/>
        </w:rPr>
        <w:t>להציג</w:t>
      </w:r>
      <w:r w:rsidRPr="00B8414F">
        <w:rPr>
          <w:rFonts w:cs="David"/>
          <w:sz w:val="20"/>
          <w:szCs w:val="20"/>
          <w:rtl/>
        </w:rPr>
        <w:t xml:space="preserve"> </w:t>
      </w:r>
      <w:r w:rsidRPr="00B8414F">
        <w:rPr>
          <w:rFonts w:cs="David" w:hint="cs"/>
          <w:sz w:val="20"/>
          <w:szCs w:val="20"/>
          <w:rtl/>
        </w:rPr>
        <w:t>את</w:t>
      </w:r>
      <w:r w:rsidRPr="00B8414F">
        <w:rPr>
          <w:rFonts w:cs="David"/>
          <w:sz w:val="20"/>
          <w:szCs w:val="20"/>
          <w:rtl/>
        </w:rPr>
        <w:t xml:space="preserve"> </w:t>
      </w:r>
      <w:r w:rsidRPr="00B8414F">
        <w:rPr>
          <w:rFonts w:cs="David" w:hint="cs"/>
          <w:sz w:val="20"/>
          <w:szCs w:val="20"/>
          <w:rtl/>
        </w:rPr>
        <w:t>מדינת</w:t>
      </w:r>
      <w:r w:rsidRPr="00B8414F">
        <w:rPr>
          <w:rFonts w:cs="David"/>
          <w:sz w:val="20"/>
          <w:szCs w:val="20"/>
          <w:rtl/>
        </w:rPr>
        <w:t xml:space="preserve"> </w:t>
      </w:r>
      <w:r w:rsidRPr="00B8414F">
        <w:rPr>
          <w:rFonts w:cs="David" w:hint="cs"/>
          <w:sz w:val="20"/>
          <w:szCs w:val="20"/>
          <w:rtl/>
        </w:rPr>
        <w:t>ישראל</w:t>
      </w:r>
      <w:r w:rsidRPr="00B8414F">
        <w:rPr>
          <w:rFonts w:cs="David"/>
          <w:sz w:val="20"/>
          <w:szCs w:val="20"/>
          <w:rtl/>
        </w:rPr>
        <w:t xml:space="preserve"> </w:t>
      </w:r>
      <w:r w:rsidRPr="00B8414F">
        <w:rPr>
          <w:rFonts w:cs="David" w:hint="cs"/>
          <w:sz w:val="20"/>
          <w:szCs w:val="20"/>
          <w:rtl/>
        </w:rPr>
        <w:t>בדרך</w:t>
      </w:r>
      <w:r w:rsidRPr="00B8414F">
        <w:rPr>
          <w:rFonts w:cs="David"/>
          <w:sz w:val="20"/>
          <w:szCs w:val="20"/>
          <w:rtl/>
        </w:rPr>
        <w:t xml:space="preserve"> </w:t>
      </w:r>
      <w:r w:rsidRPr="00B8414F">
        <w:rPr>
          <w:rFonts w:cs="David" w:hint="cs"/>
          <w:sz w:val="20"/>
          <w:szCs w:val="20"/>
          <w:rtl/>
        </w:rPr>
        <w:t>נאותה</w:t>
      </w:r>
      <w:r w:rsidRPr="00B8414F">
        <w:rPr>
          <w:rFonts w:cs="David"/>
          <w:sz w:val="20"/>
          <w:szCs w:val="20"/>
          <w:rtl/>
        </w:rPr>
        <w:t xml:space="preserve">. </w:t>
      </w:r>
      <w:r w:rsidRPr="00B8414F">
        <w:rPr>
          <w:rFonts w:cs="David" w:hint="cs"/>
          <w:sz w:val="20"/>
          <w:szCs w:val="20"/>
          <w:rtl/>
        </w:rPr>
        <w:t>בנוסף</w:t>
      </w:r>
      <w:r w:rsidRPr="00B8414F">
        <w:rPr>
          <w:rFonts w:cs="David"/>
          <w:sz w:val="20"/>
          <w:szCs w:val="20"/>
          <w:rtl/>
        </w:rPr>
        <w:t xml:space="preserve">, </w:t>
      </w:r>
      <w:r w:rsidRPr="00B8414F">
        <w:rPr>
          <w:rFonts w:cs="David" w:hint="cs"/>
          <w:sz w:val="20"/>
          <w:szCs w:val="20"/>
          <w:rtl/>
        </w:rPr>
        <w:t>יש</w:t>
      </w:r>
      <w:r w:rsidRPr="00B8414F">
        <w:rPr>
          <w:rFonts w:cs="David"/>
          <w:sz w:val="20"/>
          <w:szCs w:val="20"/>
          <w:rtl/>
        </w:rPr>
        <w:t xml:space="preserve"> </w:t>
      </w:r>
      <w:r w:rsidRPr="00B8414F">
        <w:rPr>
          <w:rFonts w:cs="David" w:hint="cs"/>
          <w:sz w:val="20"/>
          <w:szCs w:val="20"/>
          <w:rtl/>
        </w:rPr>
        <w:t>בעבודתם</w:t>
      </w:r>
      <w:r w:rsidRPr="00B8414F">
        <w:rPr>
          <w:rFonts w:cs="David"/>
          <w:sz w:val="20"/>
          <w:szCs w:val="20"/>
          <w:rtl/>
        </w:rPr>
        <w:t xml:space="preserve"> </w:t>
      </w:r>
      <w:r w:rsidRPr="00B8414F">
        <w:rPr>
          <w:rFonts w:cs="David" w:hint="cs"/>
          <w:sz w:val="20"/>
          <w:szCs w:val="20"/>
          <w:rtl/>
        </w:rPr>
        <w:t>ללא</w:t>
      </w:r>
      <w:r w:rsidRPr="00B8414F">
        <w:rPr>
          <w:rFonts w:cs="David"/>
          <w:sz w:val="20"/>
          <w:szCs w:val="20"/>
          <w:rtl/>
        </w:rPr>
        <w:t xml:space="preserve"> </w:t>
      </w:r>
      <w:r w:rsidRPr="00B8414F">
        <w:rPr>
          <w:rFonts w:cs="David" w:hint="cs"/>
          <w:sz w:val="20"/>
          <w:szCs w:val="20"/>
          <w:rtl/>
        </w:rPr>
        <w:t>רישיון</w:t>
      </w:r>
      <w:r w:rsidRPr="00B8414F">
        <w:rPr>
          <w:rFonts w:cs="David"/>
          <w:sz w:val="20"/>
          <w:szCs w:val="20"/>
          <w:rtl/>
        </w:rPr>
        <w:t xml:space="preserve"> </w:t>
      </w:r>
      <w:r w:rsidRPr="00B8414F">
        <w:rPr>
          <w:rFonts w:cs="David" w:hint="cs"/>
          <w:sz w:val="20"/>
          <w:szCs w:val="20"/>
          <w:rtl/>
        </w:rPr>
        <w:t>כדי</w:t>
      </w:r>
      <w:r w:rsidRPr="00B8414F">
        <w:rPr>
          <w:rFonts w:cs="David"/>
          <w:sz w:val="20"/>
          <w:szCs w:val="20"/>
          <w:rtl/>
        </w:rPr>
        <w:t xml:space="preserve"> </w:t>
      </w:r>
      <w:r w:rsidRPr="00B8414F">
        <w:rPr>
          <w:rFonts w:cs="David" w:hint="cs"/>
          <w:sz w:val="20"/>
          <w:szCs w:val="20"/>
          <w:rtl/>
        </w:rPr>
        <w:t>לפגוע</w:t>
      </w:r>
      <w:r w:rsidRPr="00B8414F">
        <w:rPr>
          <w:rFonts w:cs="David"/>
          <w:sz w:val="20"/>
          <w:szCs w:val="20"/>
          <w:rtl/>
        </w:rPr>
        <w:t xml:space="preserve">  </w:t>
      </w:r>
      <w:r w:rsidRPr="00B8414F">
        <w:rPr>
          <w:rFonts w:cs="David" w:hint="cs"/>
          <w:sz w:val="20"/>
          <w:szCs w:val="20"/>
          <w:rtl/>
        </w:rPr>
        <w:t>בפרנסתם</w:t>
      </w:r>
      <w:r w:rsidRPr="00B8414F">
        <w:rPr>
          <w:rFonts w:cs="David"/>
          <w:sz w:val="20"/>
          <w:szCs w:val="20"/>
          <w:rtl/>
        </w:rPr>
        <w:t xml:space="preserve"> </w:t>
      </w:r>
      <w:r w:rsidRPr="00B8414F">
        <w:rPr>
          <w:rFonts w:cs="David" w:hint="cs"/>
          <w:sz w:val="20"/>
          <w:szCs w:val="20"/>
          <w:rtl/>
        </w:rPr>
        <w:t>של</w:t>
      </w:r>
      <w:r w:rsidRPr="00B8414F">
        <w:rPr>
          <w:rFonts w:cs="David"/>
          <w:sz w:val="20"/>
          <w:szCs w:val="20"/>
          <w:rtl/>
        </w:rPr>
        <w:t xml:space="preserve"> </w:t>
      </w:r>
      <w:r w:rsidRPr="00B8414F">
        <w:rPr>
          <w:rFonts w:cs="David" w:hint="cs"/>
          <w:sz w:val="20"/>
          <w:szCs w:val="20"/>
          <w:rtl/>
        </w:rPr>
        <w:t>מורי</w:t>
      </w:r>
      <w:r w:rsidRPr="00B8414F">
        <w:rPr>
          <w:rFonts w:cs="David"/>
          <w:sz w:val="20"/>
          <w:szCs w:val="20"/>
          <w:rtl/>
        </w:rPr>
        <w:t xml:space="preserve"> </w:t>
      </w:r>
      <w:r w:rsidRPr="00B8414F">
        <w:rPr>
          <w:rFonts w:cs="David" w:hint="cs"/>
          <w:sz w:val="20"/>
          <w:szCs w:val="20"/>
          <w:rtl/>
        </w:rPr>
        <w:t>דרך</w:t>
      </w:r>
      <w:r w:rsidRPr="00B8414F">
        <w:rPr>
          <w:rFonts w:cs="David"/>
          <w:sz w:val="20"/>
          <w:szCs w:val="20"/>
          <w:rtl/>
        </w:rPr>
        <w:t xml:space="preserve"> </w:t>
      </w:r>
      <w:r w:rsidRPr="00B8414F">
        <w:rPr>
          <w:rFonts w:cs="David" w:hint="cs"/>
          <w:sz w:val="20"/>
          <w:szCs w:val="20"/>
          <w:rtl/>
        </w:rPr>
        <w:t>מורשים</w:t>
      </w:r>
      <w:r w:rsidRPr="00B8414F">
        <w:rPr>
          <w:rFonts w:cs="David"/>
          <w:sz w:val="20"/>
          <w:szCs w:val="20"/>
          <w:rtl/>
        </w:rPr>
        <w:t xml:space="preserve">. </w:t>
      </w:r>
      <w:r w:rsidRPr="00B8414F">
        <w:rPr>
          <w:rFonts w:cs="David" w:hint="cs"/>
          <w:sz w:val="20"/>
          <w:szCs w:val="20"/>
          <w:rtl/>
        </w:rPr>
        <w:t>יש</w:t>
      </w:r>
      <w:r w:rsidRPr="00B8414F">
        <w:rPr>
          <w:rFonts w:cs="David"/>
          <w:sz w:val="20"/>
          <w:szCs w:val="20"/>
          <w:rtl/>
        </w:rPr>
        <w:t xml:space="preserve"> </w:t>
      </w:r>
      <w:r w:rsidRPr="00B8414F">
        <w:rPr>
          <w:rFonts w:cs="David" w:hint="cs"/>
          <w:sz w:val="20"/>
          <w:szCs w:val="20"/>
          <w:rtl/>
        </w:rPr>
        <w:t>לציין</w:t>
      </w:r>
      <w:r w:rsidRPr="00B8414F">
        <w:rPr>
          <w:rFonts w:cs="David"/>
          <w:sz w:val="20"/>
          <w:szCs w:val="20"/>
          <w:rtl/>
        </w:rPr>
        <w:t xml:space="preserve"> </w:t>
      </w:r>
      <w:r w:rsidRPr="00B8414F">
        <w:rPr>
          <w:rFonts w:cs="David" w:hint="cs"/>
          <w:sz w:val="20"/>
          <w:szCs w:val="20"/>
          <w:rtl/>
        </w:rPr>
        <w:t>כי</w:t>
      </w:r>
      <w:r w:rsidRPr="00B8414F">
        <w:rPr>
          <w:rFonts w:cs="David"/>
          <w:sz w:val="20"/>
          <w:szCs w:val="20"/>
          <w:rtl/>
        </w:rPr>
        <w:t xml:space="preserve"> </w:t>
      </w:r>
      <w:r w:rsidRPr="00B8414F">
        <w:rPr>
          <w:rFonts w:cs="David" w:hint="cs"/>
          <w:sz w:val="20"/>
          <w:szCs w:val="20"/>
          <w:rtl/>
        </w:rPr>
        <w:t>חלק</w:t>
      </w:r>
      <w:r w:rsidRPr="00B8414F">
        <w:rPr>
          <w:rFonts w:cs="David"/>
          <w:sz w:val="20"/>
          <w:szCs w:val="20"/>
          <w:rtl/>
        </w:rPr>
        <w:t xml:space="preserve"> </w:t>
      </w:r>
      <w:r w:rsidRPr="00B8414F">
        <w:rPr>
          <w:rFonts w:cs="David" w:hint="cs"/>
          <w:sz w:val="20"/>
          <w:szCs w:val="20"/>
          <w:rtl/>
        </w:rPr>
        <w:t>מההוראות</w:t>
      </w:r>
      <w:r w:rsidRPr="00B8414F">
        <w:rPr>
          <w:rFonts w:cs="David"/>
          <w:sz w:val="20"/>
          <w:szCs w:val="20"/>
          <w:rtl/>
        </w:rPr>
        <w:t xml:space="preserve"> </w:t>
      </w:r>
      <w:r w:rsidRPr="00B8414F">
        <w:rPr>
          <w:rFonts w:cs="David" w:hint="cs"/>
          <w:sz w:val="20"/>
          <w:szCs w:val="20"/>
          <w:rtl/>
        </w:rPr>
        <w:t>המוצעות</w:t>
      </w:r>
      <w:r w:rsidRPr="00B8414F">
        <w:rPr>
          <w:rFonts w:cs="David"/>
          <w:sz w:val="20"/>
          <w:szCs w:val="20"/>
          <w:rtl/>
        </w:rPr>
        <w:t xml:space="preserve"> </w:t>
      </w:r>
      <w:r w:rsidRPr="00B8414F">
        <w:rPr>
          <w:rFonts w:cs="David" w:hint="cs"/>
          <w:sz w:val="20"/>
          <w:szCs w:val="20"/>
          <w:rtl/>
        </w:rPr>
        <w:t>בהצעת</w:t>
      </w:r>
      <w:r w:rsidRPr="00B8414F">
        <w:rPr>
          <w:rFonts w:cs="David"/>
          <w:sz w:val="20"/>
          <w:szCs w:val="20"/>
          <w:rtl/>
        </w:rPr>
        <w:t xml:space="preserve"> </w:t>
      </w:r>
      <w:r w:rsidRPr="00B8414F">
        <w:rPr>
          <w:rFonts w:cs="David" w:hint="cs"/>
          <w:sz w:val="20"/>
          <w:szCs w:val="20"/>
          <w:rtl/>
        </w:rPr>
        <w:t>החוק</w:t>
      </w:r>
      <w:r w:rsidRPr="00B8414F">
        <w:rPr>
          <w:rFonts w:cs="David"/>
          <w:sz w:val="20"/>
          <w:szCs w:val="20"/>
          <w:rtl/>
        </w:rPr>
        <w:t xml:space="preserve"> </w:t>
      </w:r>
      <w:r w:rsidRPr="00B8414F">
        <w:rPr>
          <w:rFonts w:cs="David" w:hint="cs"/>
          <w:sz w:val="20"/>
          <w:szCs w:val="20"/>
          <w:rtl/>
        </w:rPr>
        <w:t>מעוגנות</w:t>
      </w:r>
      <w:r w:rsidRPr="00B8414F">
        <w:rPr>
          <w:rFonts w:cs="David"/>
          <w:sz w:val="20"/>
          <w:szCs w:val="20"/>
          <w:rtl/>
        </w:rPr>
        <w:t xml:space="preserve"> </w:t>
      </w:r>
      <w:r w:rsidRPr="00B8414F">
        <w:rPr>
          <w:rFonts w:cs="David" w:hint="cs"/>
          <w:sz w:val="20"/>
          <w:szCs w:val="20"/>
          <w:rtl/>
        </w:rPr>
        <w:t>כיום</w:t>
      </w:r>
      <w:r w:rsidRPr="00B8414F">
        <w:rPr>
          <w:rFonts w:cs="David"/>
          <w:sz w:val="20"/>
          <w:szCs w:val="20"/>
          <w:rtl/>
        </w:rPr>
        <w:t xml:space="preserve"> </w:t>
      </w:r>
      <w:r w:rsidRPr="00B8414F">
        <w:rPr>
          <w:rFonts w:cs="David" w:hint="cs"/>
          <w:sz w:val="20"/>
          <w:szCs w:val="20"/>
          <w:rtl/>
        </w:rPr>
        <w:t>בתקנות</w:t>
      </w:r>
      <w:r w:rsidRPr="00B8414F">
        <w:rPr>
          <w:rFonts w:cs="David"/>
          <w:sz w:val="20"/>
          <w:szCs w:val="20"/>
          <w:rtl/>
        </w:rPr>
        <w:t xml:space="preserve"> </w:t>
      </w:r>
      <w:r w:rsidRPr="00B8414F">
        <w:rPr>
          <w:rFonts w:cs="David" w:hint="cs"/>
          <w:sz w:val="20"/>
          <w:szCs w:val="20"/>
          <w:rtl/>
        </w:rPr>
        <w:t>שירותי</w:t>
      </w:r>
      <w:r w:rsidRPr="00B8414F">
        <w:rPr>
          <w:rFonts w:cs="David"/>
          <w:sz w:val="20"/>
          <w:szCs w:val="20"/>
          <w:rtl/>
        </w:rPr>
        <w:t xml:space="preserve"> </w:t>
      </w:r>
      <w:r w:rsidRPr="00B8414F">
        <w:rPr>
          <w:rFonts w:cs="David" w:hint="cs"/>
          <w:sz w:val="20"/>
          <w:szCs w:val="20"/>
          <w:rtl/>
        </w:rPr>
        <w:t>תיירות</w:t>
      </w:r>
      <w:r w:rsidRPr="00B8414F">
        <w:rPr>
          <w:rFonts w:cs="David"/>
          <w:sz w:val="20"/>
          <w:szCs w:val="20"/>
          <w:rtl/>
        </w:rPr>
        <w:t xml:space="preserve"> (</w:t>
      </w:r>
      <w:r w:rsidRPr="00B8414F">
        <w:rPr>
          <w:rFonts w:cs="David" w:hint="cs"/>
          <w:sz w:val="20"/>
          <w:szCs w:val="20"/>
          <w:rtl/>
        </w:rPr>
        <w:t>מורי</w:t>
      </w:r>
      <w:r w:rsidRPr="00B8414F">
        <w:rPr>
          <w:rFonts w:cs="David"/>
          <w:sz w:val="20"/>
          <w:szCs w:val="20"/>
          <w:rtl/>
        </w:rPr>
        <w:t xml:space="preserve"> </w:t>
      </w:r>
      <w:r w:rsidRPr="00B8414F">
        <w:rPr>
          <w:rFonts w:cs="David" w:hint="cs"/>
          <w:sz w:val="20"/>
          <w:szCs w:val="20"/>
          <w:rtl/>
        </w:rPr>
        <w:t>דרך</w:t>
      </w:r>
      <w:r w:rsidRPr="00B8414F">
        <w:rPr>
          <w:rFonts w:cs="David"/>
          <w:sz w:val="20"/>
          <w:szCs w:val="20"/>
          <w:rtl/>
        </w:rPr>
        <w:t xml:space="preserve">), </w:t>
      </w:r>
      <w:r w:rsidRPr="00B8414F">
        <w:rPr>
          <w:rFonts w:cs="David" w:hint="cs"/>
          <w:sz w:val="20"/>
          <w:szCs w:val="20"/>
          <w:rtl/>
        </w:rPr>
        <w:t>התשכ</w:t>
      </w:r>
      <w:r w:rsidRPr="00B8414F">
        <w:rPr>
          <w:rFonts w:cs="David"/>
          <w:sz w:val="20"/>
          <w:szCs w:val="20"/>
          <w:rtl/>
        </w:rPr>
        <w:t>"</w:t>
      </w:r>
      <w:r w:rsidRPr="00B8414F">
        <w:rPr>
          <w:rFonts w:cs="David" w:hint="cs"/>
          <w:sz w:val="20"/>
          <w:szCs w:val="20"/>
          <w:rtl/>
        </w:rPr>
        <w:t>ז</w:t>
      </w:r>
      <w:r w:rsidRPr="00B8414F">
        <w:rPr>
          <w:rFonts w:cs="David"/>
          <w:sz w:val="20"/>
          <w:szCs w:val="20"/>
          <w:rtl/>
        </w:rPr>
        <w:t xml:space="preserve">–1967, </w:t>
      </w:r>
      <w:r w:rsidRPr="00B8414F">
        <w:rPr>
          <w:rFonts w:cs="David" w:hint="cs"/>
          <w:sz w:val="20"/>
          <w:szCs w:val="20"/>
          <w:rtl/>
        </w:rPr>
        <w:t>אך</w:t>
      </w:r>
      <w:r w:rsidRPr="00B8414F">
        <w:rPr>
          <w:rFonts w:cs="David"/>
          <w:sz w:val="20"/>
          <w:szCs w:val="20"/>
          <w:rtl/>
        </w:rPr>
        <w:t xml:space="preserve"> </w:t>
      </w:r>
      <w:r w:rsidRPr="00B8414F">
        <w:rPr>
          <w:rFonts w:cs="David" w:hint="cs"/>
          <w:sz w:val="20"/>
          <w:szCs w:val="20"/>
          <w:rtl/>
        </w:rPr>
        <w:t>בשל</w:t>
      </w:r>
      <w:r w:rsidRPr="00B8414F">
        <w:rPr>
          <w:rFonts w:cs="David"/>
          <w:sz w:val="20"/>
          <w:szCs w:val="20"/>
          <w:rtl/>
        </w:rPr>
        <w:t xml:space="preserve"> </w:t>
      </w:r>
      <w:r w:rsidRPr="00B8414F">
        <w:rPr>
          <w:rFonts w:cs="David" w:hint="cs"/>
          <w:sz w:val="20"/>
          <w:szCs w:val="20"/>
          <w:rtl/>
        </w:rPr>
        <w:t>החשיבות</w:t>
      </w:r>
      <w:r w:rsidRPr="00B8414F">
        <w:rPr>
          <w:rFonts w:cs="David"/>
          <w:sz w:val="20"/>
          <w:szCs w:val="20"/>
          <w:rtl/>
        </w:rPr>
        <w:t xml:space="preserve"> </w:t>
      </w:r>
      <w:r w:rsidRPr="00B8414F">
        <w:rPr>
          <w:rFonts w:cs="David" w:hint="cs"/>
          <w:sz w:val="20"/>
          <w:szCs w:val="20"/>
          <w:rtl/>
        </w:rPr>
        <w:t>העקרונית</w:t>
      </w:r>
      <w:r w:rsidRPr="00B8414F">
        <w:rPr>
          <w:rFonts w:cs="David"/>
          <w:sz w:val="20"/>
          <w:szCs w:val="20"/>
          <w:rtl/>
        </w:rPr>
        <w:t xml:space="preserve"> </w:t>
      </w:r>
      <w:r w:rsidRPr="00B8414F">
        <w:rPr>
          <w:rFonts w:cs="David" w:hint="cs"/>
          <w:sz w:val="20"/>
          <w:szCs w:val="20"/>
          <w:rtl/>
        </w:rPr>
        <w:t>ראוי</w:t>
      </w:r>
      <w:r w:rsidRPr="00B8414F">
        <w:rPr>
          <w:rFonts w:cs="David"/>
          <w:sz w:val="20"/>
          <w:szCs w:val="20"/>
          <w:rtl/>
        </w:rPr>
        <w:t xml:space="preserve"> </w:t>
      </w:r>
      <w:r w:rsidRPr="00B8414F">
        <w:rPr>
          <w:rFonts w:cs="David" w:hint="cs"/>
          <w:sz w:val="20"/>
          <w:szCs w:val="20"/>
          <w:rtl/>
        </w:rPr>
        <w:t>לעגן</w:t>
      </w:r>
      <w:r w:rsidRPr="00B8414F">
        <w:rPr>
          <w:rFonts w:cs="David"/>
          <w:sz w:val="20"/>
          <w:szCs w:val="20"/>
          <w:rtl/>
        </w:rPr>
        <w:t xml:space="preserve"> </w:t>
      </w:r>
      <w:r w:rsidRPr="00B8414F">
        <w:rPr>
          <w:rFonts w:cs="David" w:hint="cs"/>
          <w:sz w:val="20"/>
          <w:szCs w:val="20"/>
          <w:rtl/>
        </w:rPr>
        <w:t>אותן</w:t>
      </w:r>
      <w:r w:rsidRPr="00B8414F">
        <w:rPr>
          <w:rFonts w:cs="David"/>
          <w:sz w:val="20"/>
          <w:szCs w:val="20"/>
          <w:rtl/>
        </w:rPr>
        <w:t xml:space="preserve"> </w:t>
      </w:r>
      <w:r w:rsidRPr="00B8414F">
        <w:rPr>
          <w:rFonts w:cs="David" w:hint="cs"/>
          <w:sz w:val="20"/>
          <w:szCs w:val="20"/>
          <w:rtl/>
        </w:rPr>
        <w:t>בחקיקה</w:t>
      </w:r>
      <w:r w:rsidRPr="00B8414F">
        <w:rPr>
          <w:rFonts w:cs="David"/>
          <w:sz w:val="20"/>
          <w:szCs w:val="20"/>
          <w:rtl/>
        </w:rPr>
        <w:t xml:space="preserve"> </w:t>
      </w:r>
      <w:r w:rsidRPr="00B8414F">
        <w:rPr>
          <w:rFonts w:cs="David" w:hint="cs"/>
          <w:sz w:val="20"/>
          <w:szCs w:val="20"/>
          <w:rtl/>
        </w:rPr>
        <w:t>ראשית</w:t>
      </w:r>
      <w:r w:rsidRPr="00B8414F">
        <w:rPr>
          <w:rFonts w:cs="David"/>
          <w:sz w:val="20"/>
          <w:szCs w:val="20"/>
          <w:rtl/>
        </w:rPr>
        <w:t>.</w:t>
      </w:r>
    </w:p>
    <w:p w:rsidR="005366A8" w:rsidRPr="00B8414F" w:rsidRDefault="005366A8" w:rsidP="005366A8">
      <w:pPr>
        <w:rPr>
          <w:rFonts w:cs="David"/>
          <w:sz w:val="20"/>
          <w:szCs w:val="20"/>
          <w:rtl/>
        </w:rPr>
      </w:pPr>
      <w:r w:rsidRPr="00B8414F">
        <w:rPr>
          <w:rFonts w:cs="David" w:hint="cs"/>
          <w:sz w:val="20"/>
          <w:szCs w:val="20"/>
          <w:rtl/>
        </w:rPr>
        <w:t>בהתאם</w:t>
      </w:r>
      <w:r w:rsidRPr="00B8414F">
        <w:rPr>
          <w:rFonts w:cs="David"/>
          <w:sz w:val="20"/>
          <w:szCs w:val="20"/>
          <w:rtl/>
        </w:rPr>
        <w:t xml:space="preserve"> </w:t>
      </w:r>
      <w:r w:rsidRPr="00B8414F">
        <w:rPr>
          <w:rFonts w:cs="David" w:hint="cs"/>
          <w:sz w:val="20"/>
          <w:szCs w:val="20"/>
          <w:rtl/>
        </w:rPr>
        <w:t>להצעת</w:t>
      </w:r>
      <w:r w:rsidRPr="00B8414F">
        <w:rPr>
          <w:rFonts w:cs="David"/>
          <w:sz w:val="20"/>
          <w:szCs w:val="20"/>
          <w:rtl/>
        </w:rPr>
        <w:t xml:space="preserve"> </w:t>
      </w:r>
      <w:r w:rsidRPr="00B8414F">
        <w:rPr>
          <w:rFonts w:cs="David" w:hint="cs"/>
          <w:sz w:val="20"/>
          <w:szCs w:val="20"/>
          <w:rtl/>
        </w:rPr>
        <w:t>החוק</w:t>
      </w:r>
      <w:r w:rsidRPr="00B8414F">
        <w:rPr>
          <w:rFonts w:cs="David"/>
          <w:sz w:val="20"/>
          <w:szCs w:val="20"/>
          <w:rtl/>
        </w:rPr>
        <w:t xml:space="preserve">, </w:t>
      </w:r>
      <w:r w:rsidRPr="00B8414F">
        <w:rPr>
          <w:rFonts w:cs="David" w:hint="cs"/>
          <w:sz w:val="20"/>
          <w:szCs w:val="20"/>
          <w:rtl/>
        </w:rPr>
        <w:t>סוכנויות</w:t>
      </w:r>
      <w:r w:rsidRPr="00B8414F">
        <w:rPr>
          <w:rFonts w:cs="David"/>
          <w:sz w:val="20"/>
          <w:szCs w:val="20"/>
          <w:rtl/>
        </w:rPr>
        <w:t xml:space="preserve">, </w:t>
      </w:r>
      <w:r w:rsidRPr="00B8414F">
        <w:rPr>
          <w:rFonts w:cs="David" w:hint="cs"/>
          <w:sz w:val="20"/>
          <w:szCs w:val="20"/>
          <w:rtl/>
        </w:rPr>
        <w:t>ארגונים</w:t>
      </w:r>
      <w:r w:rsidRPr="00B8414F">
        <w:rPr>
          <w:rFonts w:cs="David"/>
          <w:sz w:val="20"/>
          <w:szCs w:val="20"/>
          <w:rtl/>
        </w:rPr>
        <w:t xml:space="preserve"> </w:t>
      </w:r>
      <w:r w:rsidRPr="00B8414F">
        <w:rPr>
          <w:rFonts w:cs="David" w:hint="cs"/>
          <w:sz w:val="20"/>
          <w:szCs w:val="20"/>
          <w:rtl/>
        </w:rPr>
        <w:t>ומוסדות</w:t>
      </w:r>
      <w:r w:rsidRPr="00B8414F">
        <w:rPr>
          <w:rFonts w:cs="David"/>
          <w:sz w:val="20"/>
          <w:szCs w:val="20"/>
          <w:rtl/>
        </w:rPr>
        <w:t xml:space="preserve">, </w:t>
      </w:r>
      <w:r w:rsidRPr="00B8414F">
        <w:rPr>
          <w:rFonts w:cs="David" w:hint="cs"/>
          <w:sz w:val="20"/>
          <w:szCs w:val="20"/>
          <w:rtl/>
        </w:rPr>
        <w:t>שמארגנים</w:t>
      </w:r>
      <w:r w:rsidRPr="00B8414F">
        <w:rPr>
          <w:rFonts w:cs="David"/>
          <w:sz w:val="20"/>
          <w:szCs w:val="20"/>
          <w:rtl/>
        </w:rPr>
        <w:t xml:space="preserve"> </w:t>
      </w:r>
      <w:r w:rsidRPr="00B8414F">
        <w:rPr>
          <w:rFonts w:cs="David" w:hint="cs"/>
          <w:sz w:val="20"/>
          <w:szCs w:val="20"/>
          <w:rtl/>
        </w:rPr>
        <w:t>סיורי</w:t>
      </w:r>
      <w:r w:rsidRPr="00B8414F">
        <w:rPr>
          <w:rFonts w:cs="David"/>
          <w:sz w:val="20"/>
          <w:szCs w:val="20"/>
          <w:rtl/>
        </w:rPr>
        <w:t xml:space="preserve"> </w:t>
      </w:r>
      <w:r w:rsidRPr="00B8414F">
        <w:rPr>
          <w:rFonts w:cs="David" w:hint="cs"/>
          <w:sz w:val="20"/>
          <w:szCs w:val="20"/>
          <w:rtl/>
        </w:rPr>
        <w:t>תיירות</w:t>
      </w:r>
      <w:r w:rsidRPr="00B8414F">
        <w:rPr>
          <w:rFonts w:cs="David"/>
          <w:sz w:val="20"/>
          <w:szCs w:val="20"/>
          <w:rtl/>
        </w:rPr>
        <w:t xml:space="preserve"> </w:t>
      </w:r>
      <w:r w:rsidRPr="00B8414F">
        <w:rPr>
          <w:rFonts w:cs="David" w:hint="cs"/>
          <w:sz w:val="20"/>
          <w:szCs w:val="20"/>
          <w:rtl/>
        </w:rPr>
        <w:t>בישראל</w:t>
      </w:r>
      <w:r w:rsidRPr="00B8414F">
        <w:rPr>
          <w:rFonts w:cs="David"/>
          <w:sz w:val="20"/>
          <w:szCs w:val="20"/>
          <w:rtl/>
        </w:rPr>
        <w:t xml:space="preserve">, </w:t>
      </w:r>
      <w:r w:rsidRPr="00B8414F">
        <w:rPr>
          <w:rFonts w:cs="David" w:hint="cs"/>
          <w:sz w:val="20"/>
          <w:szCs w:val="20"/>
          <w:rtl/>
        </w:rPr>
        <w:t>יחויבו</w:t>
      </w:r>
      <w:r w:rsidRPr="00B8414F">
        <w:rPr>
          <w:rFonts w:cs="David"/>
          <w:sz w:val="20"/>
          <w:szCs w:val="20"/>
          <w:rtl/>
        </w:rPr>
        <w:t xml:space="preserve"> </w:t>
      </w:r>
      <w:r w:rsidRPr="00B8414F">
        <w:rPr>
          <w:rFonts w:cs="David" w:hint="cs"/>
          <w:sz w:val="20"/>
          <w:szCs w:val="20"/>
          <w:rtl/>
        </w:rPr>
        <w:t>לשכור</w:t>
      </w:r>
      <w:r w:rsidRPr="00B8414F">
        <w:rPr>
          <w:rFonts w:cs="David"/>
          <w:sz w:val="20"/>
          <w:szCs w:val="20"/>
          <w:rtl/>
        </w:rPr>
        <w:t xml:space="preserve"> </w:t>
      </w:r>
      <w:r w:rsidRPr="00B8414F">
        <w:rPr>
          <w:rFonts w:cs="David" w:hint="cs"/>
          <w:sz w:val="20"/>
          <w:szCs w:val="20"/>
          <w:rtl/>
        </w:rPr>
        <w:t>את</w:t>
      </w:r>
      <w:r w:rsidRPr="00B8414F">
        <w:rPr>
          <w:rFonts w:cs="David"/>
          <w:sz w:val="20"/>
          <w:szCs w:val="20"/>
          <w:rtl/>
        </w:rPr>
        <w:t xml:space="preserve"> </w:t>
      </w:r>
      <w:r w:rsidRPr="00B8414F">
        <w:rPr>
          <w:rFonts w:cs="David" w:hint="cs"/>
          <w:sz w:val="20"/>
          <w:szCs w:val="20"/>
          <w:rtl/>
        </w:rPr>
        <w:t>שירותיהם</w:t>
      </w:r>
      <w:r w:rsidRPr="00B8414F">
        <w:rPr>
          <w:rFonts w:cs="David"/>
          <w:sz w:val="20"/>
          <w:szCs w:val="20"/>
          <w:rtl/>
        </w:rPr>
        <w:t xml:space="preserve"> </w:t>
      </w:r>
      <w:r w:rsidRPr="00B8414F">
        <w:rPr>
          <w:rFonts w:cs="David" w:hint="cs"/>
          <w:sz w:val="20"/>
          <w:szCs w:val="20"/>
          <w:rtl/>
        </w:rPr>
        <w:t>של</w:t>
      </w:r>
      <w:r w:rsidRPr="00B8414F">
        <w:rPr>
          <w:rFonts w:cs="David"/>
          <w:sz w:val="20"/>
          <w:szCs w:val="20"/>
          <w:rtl/>
        </w:rPr>
        <w:t xml:space="preserve"> </w:t>
      </w:r>
      <w:r w:rsidRPr="00B8414F">
        <w:rPr>
          <w:rFonts w:cs="David" w:hint="cs"/>
          <w:sz w:val="20"/>
          <w:szCs w:val="20"/>
          <w:rtl/>
        </w:rPr>
        <w:t>מורי</w:t>
      </w:r>
      <w:r w:rsidRPr="00B8414F">
        <w:rPr>
          <w:rFonts w:cs="David"/>
          <w:sz w:val="20"/>
          <w:szCs w:val="20"/>
          <w:rtl/>
        </w:rPr>
        <w:t xml:space="preserve"> </w:t>
      </w:r>
      <w:r w:rsidRPr="00B8414F">
        <w:rPr>
          <w:rFonts w:cs="David" w:hint="cs"/>
          <w:sz w:val="20"/>
          <w:szCs w:val="20"/>
          <w:rtl/>
        </w:rPr>
        <w:t>דרך</w:t>
      </w:r>
      <w:r w:rsidRPr="00B8414F">
        <w:rPr>
          <w:rFonts w:cs="David"/>
          <w:sz w:val="20"/>
          <w:szCs w:val="20"/>
          <w:rtl/>
        </w:rPr>
        <w:t xml:space="preserve"> </w:t>
      </w:r>
      <w:r w:rsidRPr="00B8414F">
        <w:rPr>
          <w:rFonts w:cs="David" w:hint="cs"/>
          <w:sz w:val="20"/>
          <w:szCs w:val="20"/>
          <w:rtl/>
        </w:rPr>
        <w:t>מורשים</w:t>
      </w:r>
      <w:r w:rsidRPr="00B8414F">
        <w:rPr>
          <w:rFonts w:cs="David"/>
          <w:sz w:val="20"/>
          <w:szCs w:val="20"/>
          <w:rtl/>
        </w:rPr>
        <w:t xml:space="preserve"> </w:t>
      </w:r>
      <w:r w:rsidRPr="00B8414F">
        <w:rPr>
          <w:rFonts w:cs="David" w:hint="cs"/>
          <w:sz w:val="20"/>
          <w:szCs w:val="20"/>
          <w:rtl/>
        </w:rPr>
        <w:t>בלבד</w:t>
      </w:r>
      <w:r w:rsidRPr="00B8414F">
        <w:rPr>
          <w:rFonts w:ascii="David" w:hAnsi="David" w:cs="David"/>
          <w:sz w:val="20"/>
          <w:szCs w:val="20"/>
          <w:rtl/>
        </w:rPr>
        <w:t xml:space="preserve">, שכן הוצאת רישיון למורי דרך הינה מנגנון פיקוח להבטחת מקצועיותם של מורי הדרך ולשמירה על תדמיתה של מדינת ישראל, מה גם </w:t>
      </w:r>
      <w:r w:rsidRPr="00B8414F">
        <w:rPr>
          <w:rFonts w:cs="David" w:hint="cs"/>
          <w:sz w:val="20"/>
          <w:szCs w:val="20"/>
          <w:rtl/>
        </w:rPr>
        <w:t>שמדינת</w:t>
      </w:r>
      <w:r w:rsidRPr="00B8414F">
        <w:rPr>
          <w:rFonts w:cs="David"/>
          <w:sz w:val="20"/>
          <w:szCs w:val="20"/>
          <w:rtl/>
        </w:rPr>
        <w:t xml:space="preserve"> </w:t>
      </w:r>
      <w:r w:rsidRPr="00B8414F">
        <w:rPr>
          <w:rFonts w:cs="David" w:hint="cs"/>
          <w:sz w:val="20"/>
          <w:szCs w:val="20"/>
          <w:rtl/>
        </w:rPr>
        <w:t>ישראל</w:t>
      </w:r>
      <w:r w:rsidRPr="00B8414F">
        <w:rPr>
          <w:rFonts w:cs="David"/>
          <w:sz w:val="20"/>
          <w:szCs w:val="20"/>
          <w:rtl/>
        </w:rPr>
        <w:t xml:space="preserve"> </w:t>
      </w:r>
      <w:r w:rsidRPr="00B8414F">
        <w:rPr>
          <w:rFonts w:cs="David" w:hint="cs"/>
          <w:sz w:val="20"/>
          <w:szCs w:val="20"/>
          <w:rtl/>
        </w:rPr>
        <w:t>משקיעה</w:t>
      </w:r>
      <w:r w:rsidRPr="00B8414F">
        <w:rPr>
          <w:rFonts w:cs="David"/>
          <w:sz w:val="20"/>
          <w:szCs w:val="20"/>
          <w:rtl/>
        </w:rPr>
        <w:t xml:space="preserve"> </w:t>
      </w:r>
      <w:r w:rsidRPr="00B8414F">
        <w:rPr>
          <w:rFonts w:cs="David" w:hint="cs"/>
          <w:sz w:val="20"/>
          <w:szCs w:val="20"/>
          <w:rtl/>
        </w:rPr>
        <w:t>אמצעים</w:t>
      </w:r>
      <w:r w:rsidRPr="00B8414F">
        <w:rPr>
          <w:rFonts w:cs="David"/>
          <w:sz w:val="20"/>
          <w:szCs w:val="20"/>
          <w:rtl/>
        </w:rPr>
        <w:t xml:space="preserve"> </w:t>
      </w:r>
      <w:r w:rsidRPr="00B8414F">
        <w:rPr>
          <w:rFonts w:cs="David" w:hint="cs"/>
          <w:sz w:val="20"/>
          <w:szCs w:val="20"/>
          <w:rtl/>
        </w:rPr>
        <w:t>רבים</w:t>
      </w:r>
      <w:r w:rsidRPr="00B8414F">
        <w:rPr>
          <w:rFonts w:cs="David"/>
          <w:sz w:val="20"/>
          <w:szCs w:val="20"/>
          <w:rtl/>
        </w:rPr>
        <w:t xml:space="preserve"> </w:t>
      </w:r>
      <w:r w:rsidRPr="00B8414F">
        <w:rPr>
          <w:rFonts w:cs="David" w:hint="cs"/>
          <w:sz w:val="20"/>
          <w:szCs w:val="20"/>
          <w:rtl/>
        </w:rPr>
        <w:t>לשיפור</w:t>
      </w:r>
      <w:r w:rsidRPr="00B8414F">
        <w:rPr>
          <w:rFonts w:cs="David"/>
          <w:sz w:val="20"/>
          <w:szCs w:val="20"/>
          <w:rtl/>
        </w:rPr>
        <w:t xml:space="preserve"> </w:t>
      </w:r>
      <w:r w:rsidRPr="00B8414F">
        <w:rPr>
          <w:rFonts w:cs="David" w:hint="cs"/>
          <w:sz w:val="20"/>
          <w:szCs w:val="20"/>
          <w:rtl/>
        </w:rPr>
        <w:t>תדמיתה</w:t>
      </w:r>
      <w:r w:rsidRPr="00B8414F">
        <w:rPr>
          <w:rFonts w:cs="David"/>
          <w:sz w:val="20"/>
          <w:szCs w:val="20"/>
          <w:rtl/>
        </w:rPr>
        <w:t xml:space="preserve"> </w:t>
      </w:r>
      <w:r w:rsidRPr="00B8414F">
        <w:rPr>
          <w:rFonts w:cs="David" w:hint="cs"/>
          <w:sz w:val="20"/>
          <w:szCs w:val="20"/>
          <w:rtl/>
        </w:rPr>
        <w:t>כמדינה</w:t>
      </w:r>
      <w:r w:rsidRPr="00B8414F">
        <w:rPr>
          <w:rFonts w:cs="David"/>
          <w:sz w:val="20"/>
          <w:szCs w:val="20"/>
          <w:rtl/>
        </w:rPr>
        <w:t xml:space="preserve"> </w:t>
      </w:r>
      <w:r w:rsidRPr="00B8414F">
        <w:rPr>
          <w:rFonts w:cs="David" w:hint="cs"/>
          <w:sz w:val="20"/>
          <w:szCs w:val="20"/>
          <w:rtl/>
        </w:rPr>
        <w:t>מודרנית</w:t>
      </w:r>
      <w:r w:rsidRPr="00B8414F">
        <w:rPr>
          <w:rFonts w:cs="David"/>
          <w:sz w:val="20"/>
          <w:szCs w:val="20"/>
          <w:rtl/>
        </w:rPr>
        <w:t xml:space="preserve">, </w:t>
      </w:r>
      <w:r w:rsidRPr="00B8414F">
        <w:rPr>
          <w:rFonts w:cs="David" w:hint="cs"/>
          <w:sz w:val="20"/>
          <w:szCs w:val="20"/>
          <w:rtl/>
        </w:rPr>
        <w:t>מערבית</w:t>
      </w:r>
      <w:r w:rsidRPr="00B8414F">
        <w:rPr>
          <w:rFonts w:cs="David"/>
          <w:sz w:val="20"/>
          <w:szCs w:val="20"/>
          <w:rtl/>
        </w:rPr>
        <w:t xml:space="preserve"> </w:t>
      </w:r>
      <w:r w:rsidRPr="00B8414F">
        <w:rPr>
          <w:rFonts w:cs="David" w:hint="cs"/>
          <w:sz w:val="20"/>
          <w:szCs w:val="20"/>
          <w:rtl/>
        </w:rPr>
        <w:t>דמוקרטית</w:t>
      </w:r>
      <w:r w:rsidRPr="00B8414F">
        <w:rPr>
          <w:rFonts w:cs="David"/>
          <w:sz w:val="20"/>
          <w:szCs w:val="20"/>
          <w:rtl/>
        </w:rPr>
        <w:t xml:space="preserve"> </w:t>
      </w:r>
      <w:r w:rsidRPr="00B8414F">
        <w:rPr>
          <w:rFonts w:cs="David" w:hint="cs"/>
          <w:sz w:val="20"/>
          <w:szCs w:val="20"/>
          <w:rtl/>
        </w:rPr>
        <w:t>וחופשית</w:t>
      </w:r>
      <w:r w:rsidRPr="00B8414F">
        <w:rPr>
          <w:rFonts w:cs="David"/>
          <w:sz w:val="20"/>
          <w:szCs w:val="20"/>
          <w:rtl/>
        </w:rPr>
        <w:t xml:space="preserve">. </w:t>
      </w:r>
      <w:r w:rsidRPr="00B8414F">
        <w:rPr>
          <w:rFonts w:cs="David" w:hint="cs"/>
          <w:sz w:val="20"/>
          <w:szCs w:val="20"/>
          <w:rtl/>
        </w:rPr>
        <w:t>זאת</w:t>
      </w:r>
      <w:r w:rsidRPr="00B8414F">
        <w:rPr>
          <w:rFonts w:cs="David"/>
          <w:sz w:val="20"/>
          <w:szCs w:val="20"/>
          <w:rtl/>
        </w:rPr>
        <w:t xml:space="preserve"> </w:t>
      </w:r>
      <w:r w:rsidRPr="00B8414F">
        <w:rPr>
          <w:rFonts w:cs="David" w:hint="cs"/>
          <w:sz w:val="20"/>
          <w:szCs w:val="20"/>
          <w:rtl/>
        </w:rPr>
        <w:t>ועוד</w:t>
      </w:r>
      <w:r w:rsidRPr="00B8414F">
        <w:rPr>
          <w:rFonts w:cs="David"/>
          <w:sz w:val="20"/>
          <w:szCs w:val="20"/>
          <w:rtl/>
        </w:rPr>
        <w:t xml:space="preserve">: </w:t>
      </w:r>
      <w:r w:rsidRPr="00B8414F">
        <w:rPr>
          <w:rFonts w:cs="David" w:hint="cs"/>
          <w:sz w:val="20"/>
          <w:szCs w:val="20"/>
          <w:rtl/>
        </w:rPr>
        <w:t>הבאת</w:t>
      </w:r>
      <w:r w:rsidRPr="00B8414F">
        <w:rPr>
          <w:rFonts w:cs="David"/>
          <w:sz w:val="20"/>
          <w:szCs w:val="20"/>
          <w:rtl/>
        </w:rPr>
        <w:t xml:space="preserve"> </w:t>
      </w:r>
      <w:r w:rsidRPr="00B8414F">
        <w:rPr>
          <w:rFonts w:cs="David" w:hint="cs"/>
          <w:sz w:val="20"/>
          <w:szCs w:val="20"/>
          <w:rtl/>
        </w:rPr>
        <w:t>תיירים</w:t>
      </w:r>
      <w:r w:rsidRPr="00B8414F">
        <w:rPr>
          <w:rFonts w:cs="David"/>
          <w:sz w:val="20"/>
          <w:szCs w:val="20"/>
          <w:rtl/>
        </w:rPr>
        <w:t xml:space="preserve"> </w:t>
      </w:r>
      <w:r w:rsidRPr="00B8414F">
        <w:rPr>
          <w:rFonts w:cs="David" w:hint="cs"/>
          <w:sz w:val="20"/>
          <w:szCs w:val="20"/>
          <w:rtl/>
        </w:rPr>
        <w:t>לישראל</w:t>
      </w:r>
      <w:r w:rsidRPr="00B8414F">
        <w:rPr>
          <w:rFonts w:cs="David"/>
          <w:sz w:val="20"/>
          <w:szCs w:val="20"/>
          <w:rtl/>
        </w:rPr>
        <w:t xml:space="preserve"> </w:t>
      </w:r>
      <w:r w:rsidRPr="00B8414F">
        <w:rPr>
          <w:rFonts w:cs="David" w:hint="cs"/>
          <w:sz w:val="20"/>
          <w:szCs w:val="20"/>
          <w:rtl/>
        </w:rPr>
        <w:t>כרוכה</w:t>
      </w:r>
      <w:r w:rsidRPr="00B8414F">
        <w:rPr>
          <w:rFonts w:cs="David"/>
          <w:sz w:val="20"/>
          <w:szCs w:val="20"/>
          <w:rtl/>
        </w:rPr>
        <w:t xml:space="preserve"> </w:t>
      </w:r>
      <w:r w:rsidRPr="00B8414F">
        <w:rPr>
          <w:rFonts w:cs="David" w:hint="cs"/>
          <w:sz w:val="20"/>
          <w:szCs w:val="20"/>
          <w:rtl/>
        </w:rPr>
        <w:t>בהשקעה</w:t>
      </w:r>
      <w:r w:rsidRPr="00B8414F">
        <w:rPr>
          <w:rFonts w:cs="David"/>
          <w:sz w:val="20"/>
          <w:szCs w:val="20"/>
          <w:rtl/>
        </w:rPr>
        <w:t xml:space="preserve"> </w:t>
      </w:r>
      <w:r w:rsidRPr="00B8414F">
        <w:rPr>
          <w:rFonts w:cs="David" w:hint="cs"/>
          <w:sz w:val="20"/>
          <w:szCs w:val="20"/>
          <w:rtl/>
        </w:rPr>
        <w:t>רבה</w:t>
      </w:r>
      <w:r w:rsidRPr="00B8414F">
        <w:rPr>
          <w:rFonts w:cs="David"/>
          <w:sz w:val="20"/>
          <w:szCs w:val="20"/>
          <w:rtl/>
        </w:rPr>
        <w:t xml:space="preserve"> </w:t>
      </w:r>
      <w:r w:rsidRPr="00B8414F">
        <w:rPr>
          <w:rFonts w:cs="David" w:hint="cs"/>
          <w:sz w:val="20"/>
          <w:szCs w:val="20"/>
          <w:rtl/>
        </w:rPr>
        <w:t>מצד</w:t>
      </w:r>
      <w:r w:rsidRPr="00B8414F">
        <w:rPr>
          <w:rFonts w:cs="David"/>
          <w:sz w:val="20"/>
          <w:szCs w:val="20"/>
          <w:rtl/>
        </w:rPr>
        <w:t xml:space="preserve"> </w:t>
      </w:r>
      <w:r w:rsidRPr="00B8414F">
        <w:rPr>
          <w:rFonts w:cs="David" w:hint="cs"/>
          <w:sz w:val="20"/>
          <w:szCs w:val="20"/>
          <w:rtl/>
        </w:rPr>
        <w:t>כלל</w:t>
      </w:r>
      <w:r w:rsidRPr="00B8414F">
        <w:rPr>
          <w:rFonts w:cs="David"/>
          <w:sz w:val="20"/>
          <w:szCs w:val="20"/>
          <w:rtl/>
        </w:rPr>
        <w:t xml:space="preserve"> </w:t>
      </w:r>
      <w:r w:rsidRPr="00B8414F">
        <w:rPr>
          <w:rFonts w:cs="David" w:hint="cs"/>
          <w:sz w:val="20"/>
          <w:szCs w:val="20"/>
          <w:rtl/>
        </w:rPr>
        <w:t>הגורמים</w:t>
      </w:r>
      <w:r w:rsidRPr="00B8414F">
        <w:rPr>
          <w:rFonts w:cs="David"/>
          <w:sz w:val="20"/>
          <w:szCs w:val="20"/>
          <w:rtl/>
        </w:rPr>
        <w:t xml:space="preserve"> </w:t>
      </w:r>
      <w:r w:rsidRPr="00B8414F">
        <w:rPr>
          <w:rFonts w:cs="David" w:hint="cs"/>
          <w:sz w:val="20"/>
          <w:szCs w:val="20"/>
          <w:rtl/>
        </w:rPr>
        <w:t>במשק</w:t>
      </w:r>
      <w:r w:rsidRPr="00B8414F">
        <w:rPr>
          <w:rFonts w:cs="David"/>
          <w:sz w:val="20"/>
          <w:szCs w:val="20"/>
          <w:rtl/>
        </w:rPr>
        <w:t xml:space="preserve">, </w:t>
      </w:r>
      <w:r w:rsidRPr="00B8414F">
        <w:rPr>
          <w:rFonts w:cs="David" w:hint="cs"/>
          <w:sz w:val="20"/>
          <w:szCs w:val="20"/>
          <w:rtl/>
        </w:rPr>
        <w:t>וכדי</w:t>
      </w:r>
      <w:r w:rsidRPr="00B8414F">
        <w:rPr>
          <w:rFonts w:cs="David"/>
          <w:sz w:val="20"/>
          <w:szCs w:val="20"/>
          <w:rtl/>
        </w:rPr>
        <w:t xml:space="preserve"> </w:t>
      </w:r>
      <w:r w:rsidRPr="00B8414F">
        <w:rPr>
          <w:rFonts w:cs="David" w:hint="cs"/>
          <w:sz w:val="20"/>
          <w:szCs w:val="20"/>
          <w:rtl/>
        </w:rPr>
        <w:t>למנוע</w:t>
      </w:r>
      <w:r w:rsidRPr="00B8414F">
        <w:rPr>
          <w:rFonts w:cs="David"/>
          <w:sz w:val="20"/>
          <w:szCs w:val="20"/>
          <w:rtl/>
        </w:rPr>
        <w:t xml:space="preserve"> </w:t>
      </w:r>
      <w:r w:rsidRPr="00B8414F">
        <w:rPr>
          <w:rFonts w:cs="David" w:hint="cs"/>
          <w:sz w:val="20"/>
          <w:szCs w:val="20"/>
          <w:rtl/>
        </w:rPr>
        <w:t>פגיעה</w:t>
      </w:r>
      <w:r w:rsidRPr="00B8414F">
        <w:rPr>
          <w:rFonts w:cs="David"/>
          <w:sz w:val="20"/>
          <w:szCs w:val="20"/>
          <w:rtl/>
        </w:rPr>
        <w:t xml:space="preserve"> </w:t>
      </w:r>
      <w:r w:rsidRPr="00B8414F">
        <w:rPr>
          <w:rFonts w:cs="David" w:hint="cs"/>
          <w:sz w:val="20"/>
          <w:szCs w:val="20"/>
          <w:rtl/>
        </w:rPr>
        <w:t>בהשקעות</w:t>
      </w:r>
      <w:r w:rsidRPr="00B8414F">
        <w:rPr>
          <w:rFonts w:cs="David"/>
          <w:sz w:val="20"/>
          <w:szCs w:val="20"/>
          <w:rtl/>
        </w:rPr>
        <w:t xml:space="preserve"> </w:t>
      </w:r>
      <w:r w:rsidRPr="00B8414F">
        <w:rPr>
          <w:rFonts w:cs="David" w:hint="cs"/>
          <w:sz w:val="20"/>
          <w:szCs w:val="20"/>
          <w:rtl/>
        </w:rPr>
        <w:t>אלה</w:t>
      </w:r>
      <w:r w:rsidRPr="00B8414F">
        <w:rPr>
          <w:rFonts w:cs="David"/>
          <w:sz w:val="20"/>
          <w:szCs w:val="20"/>
          <w:rtl/>
        </w:rPr>
        <w:t xml:space="preserve">, </w:t>
      </w:r>
      <w:r w:rsidRPr="00B8414F">
        <w:rPr>
          <w:rFonts w:cs="David" w:hint="cs"/>
          <w:sz w:val="20"/>
          <w:szCs w:val="20"/>
          <w:rtl/>
        </w:rPr>
        <w:t>ראוי</w:t>
      </w:r>
      <w:r w:rsidRPr="00B8414F">
        <w:rPr>
          <w:rFonts w:cs="David"/>
          <w:sz w:val="20"/>
          <w:szCs w:val="20"/>
          <w:rtl/>
        </w:rPr>
        <w:t xml:space="preserve">  </w:t>
      </w:r>
      <w:r w:rsidRPr="00B8414F">
        <w:rPr>
          <w:rFonts w:cs="David" w:hint="cs"/>
          <w:sz w:val="20"/>
          <w:szCs w:val="20"/>
          <w:rtl/>
        </w:rPr>
        <w:t>להבטיח</w:t>
      </w:r>
      <w:r w:rsidRPr="00B8414F">
        <w:rPr>
          <w:rFonts w:cs="David"/>
          <w:sz w:val="20"/>
          <w:szCs w:val="20"/>
          <w:rtl/>
        </w:rPr>
        <w:t xml:space="preserve">, </w:t>
      </w:r>
      <w:r w:rsidRPr="00B8414F">
        <w:rPr>
          <w:rFonts w:cs="David" w:hint="cs"/>
          <w:sz w:val="20"/>
          <w:szCs w:val="20"/>
          <w:rtl/>
        </w:rPr>
        <w:t>כי</w:t>
      </w:r>
      <w:r w:rsidRPr="00B8414F">
        <w:rPr>
          <w:rFonts w:cs="David"/>
          <w:sz w:val="20"/>
          <w:szCs w:val="20"/>
          <w:rtl/>
        </w:rPr>
        <w:t xml:space="preserve"> </w:t>
      </w:r>
      <w:r w:rsidRPr="00B8414F">
        <w:rPr>
          <w:rFonts w:cs="David" w:hint="cs"/>
          <w:sz w:val="20"/>
          <w:szCs w:val="20"/>
          <w:rtl/>
        </w:rPr>
        <w:t>יועסקו</w:t>
      </w:r>
      <w:r w:rsidRPr="00B8414F">
        <w:rPr>
          <w:rFonts w:cs="David"/>
          <w:sz w:val="20"/>
          <w:szCs w:val="20"/>
          <w:rtl/>
        </w:rPr>
        <w:t xml:space="preserve"> </w:t>
      </w:r>
      <w:r w:rsidRPr="00B8414F">
        <w:rPr>
          <w:rFonts w:cs="David" w:hint="cs"/>
          <w:sz w:val="20"/>
          <w:szCs w:val="20"/>
          <w:rtl/>
        </w:rPr>
        <w:t>רק</w:t>
      </w:r>
      <w:r w:rsidRPr="00B8414F">
        <w:rPr>
          <w:rFonts w:cs="David"/>
          <w:sz w:val="20"/>
          <w:szCs w:val="20"/>
          <w:rtl/>
        </w:rPr>
        <w:t xml:space="preserve"> </w:t>
      </w:r>
      <w:r w:rsidRPr="00B8414F">
        <w:rPr>
          <w:rFonts w:cs="David" w:hint="cs"/>
          <w:sz w:val="20"/>
          <w:szCs w:val="20"/>
          <w:rtl/>
        </w:rPr>
        <w:t>מורי</w:t>
      </w:r>
      <w:r w:rsidRPr="00B8414F">
        <w:rPr>
          <w:rFonts w:cs="David"/>
          <w:sz w:val="20"/>
          <w:szCs w:val="20"/>
          <w:rtl/>
        </w:rPr>
        <w:t xml:space="preserve"> </w:t>
      </w:r>
      <w:r w:rsidRPr="00B8414F">
        <w:rPr>
          <w:rFonts w:cs="David" w:hint="cs"/>
          <w:sz w:val="20"/>
          <w:szCs w:val="20"/>
          <w:rtl/>
        </w:rPr>
        <w:t>דרך</w:t>
      </w:r>
      <w:r w:rsidRPr="00B8414F">
        <w:rPr>
          <w:rFonts w:cs="David"/>
          <w:sz w:val="20"/>
          <w:szCs w:val="20"/>
          <w:rtl/>
        </w:rPr>
        <w:t xml:space="preserve"> </w:t>
      </w:r>
      <w:r w:rsidRPr="00B8414F">
        <w:rPr>
          <w:rFonts w:cs="David" w:hint="cs"/>
          <w:sz w:val="20"/>
          <w:szCs w:val="20"/>
          <w:rtl/>
        </w:rPr>
        <w:t>שעברו</w:t>
      </w:r>
      <w:r w:rsidRPr="00B8414F">
        <w:rPr>
          <w:rFonts w:cs="David"/>
          <w:sz w:val="20"/>
          <w:szCs w:val="20"/>
          <w:rtl/>
        </w:rPr>
        <w:t xml:space="preserve"> </w:t>
      </w:r>
      <w:r w:rsidRPr="00B8414F">
        <w:rPr>
          <w:rFonts w:cs="David" w:hint="cs"/>
          <w:sz w:val="20"/>
          <w:szCs w:val="20"/>
          <w:rtl/>
        </w:rPr>
        <w:t>הכשרה</w:t>
      </w:r>
      <w:r w:rsidRPr="00B8414F">
        <w:rPr>
          <w:rFonts w:cs="David"/>
          <w:sz w:val="20"/>
          <w:szCs w:val="20"/>
          <w:rtl/>
        </w:rPr>
        <w:t xml:space="preserve"> </w:t>
      </w:r>
      <w:r w:rsidRPr="00B8414F">
        <w:rPr>
          <w:rFonts w:cs="David" w:hint="cs"/>
          <w:sz w:val="20"/>
          <w:szCs w:val="20"/>
          <w:rtl/>
        </w:rPr>
        <w:t>מתאימה</w:t>
      </w:r>
      <w:r w:rsidRPr="00B8414F">
        <w:rPr>
          <w:rFonts w:cs="David"/>
          <w:sz w:val="20"/>
          <w:szCs w:val="20"/>
          <w:rtl/>
        </w:rPr>
        <w:t xml:space="preserve"> </w:t>
      </w:r>
      <w:r w:rsidRPr="00B8414F">
        <w:rPr>
          <w:rFonts w:cs="David" w:hint="cs"/>
          <w:sz w:val="20"/>
          <w:szCs w:val="20"/>
          <w:rtl/>
        </w:rPr>
        <w:t>וקיבלו</w:t>
      </w:r>
      <w:r w:rsidRPr="00B8414F">
        <w:rPr>
          <w:rFonts w:cs="David"/>
          <w:sz w:val="20"/>
          <w:szCs w:val="20"/>
          <w:rtl/>
        </w:rPr>
        <w:t xml:space="preserve"> </w:t>
      </w:r>
      <w:r w:rsidRPr="00B8414F">
        <w:rPr>
          <w:rFonts w:cs="David" w:hint="cs"/>
          <w:sz w:val="20"/>
          <w:szCs w:val="20"/>
          <w:rtl/>
        </w:rPr>
        <w:t>רישיון</w:t>
      </w:r>
      <w:r w:rsidRPr="00B8414F">
        <w:rPr>
          <w:rFonts w:cs="David"/>
          <w:sz w:val="20"/>
          <w:szCs w:val="20"/>
          <w:rtl/>
        </w:rPr>
        <w:t>.</w:t>
      </w:r>
    </w:p>
    <w:p w:rsidR="005366A8" w:rsidRPr="00B8414F" w:rsidRDefault="005366A8" w:rsidP="005366A8">
      <w:pPr>
        <w:pStyle w:val="Hesber"/>
        <w:spacing w:line="240" w:lineRule="auto"/>
        <w:ind w:left="26" w:firstLine="0"/>
        <w:rPr>
          <w:rFonts w:ascii="David" w:hAnsi="David" w:cs="David"/>
          <w:szCs w:val="20"/>
          <w:rtl/>
        </w:rPr>
      </w:pPr>
      <w:r w:rsidRPr="00B8414F">
        <w:rPr>
          <w:rFonts w:cs="David"/>
          <w:szCs w:val="20"/>
          <w:rtl/>
        </w:rPr>
        <w:t>ב</w:t>
      </w:r>
      <w:r w:rsidRPr="00B8414F">
        <w:rPr>
          <w:rFonts w:ascii="David" w:hAnsi="David" w:cs="David" w:hint="eastAsia"/>
          <w:szCs w:val="20"/>
          <w:rtl/>
        </w:rPr>
        <w:t>מדינת</w:t>
      </w:r>
      <w:r w:rsidRPr="00B8414F">
        <w:rPr>
          <w:rFonts w:ascii="David" w:hAnsi="David" w:cs="David"/>
          <w:szCs w:val="20"/>
          <w:rtl/>
        </w:rPr>
        <w:t xml:space="preserve"> </w:t>
      </w:r>
      <w:r w:rsidRPr="00B8414F">
        <w:rPr>
          <w:rFonts w:ascii="David" w:hAnsi="David" w:cs="David" w:hint="eastAsia"/>
          <w:szCs w:val="20"/>
          <w:rtl/>
        </w:rPr>
        <w:t>ישראל</w:t>
      </w:r>
      <w:r w:rsidRPr="00B8414F">
        <w:rPr>
          <w:rFonts w:ascii="David" w:hAnsi="David" w:cs="David"/>
          <w:szCs w:val="20"/>
          <w:rtl/>
        </w:rPr>
        <w:t xml:space="preserve"> </w:t>
      </w:r>
      <w:r w:rsidRPr="00B8414F">
        <w:rPr>
          <w:rFonts w:ascii="David" w:hAnsi="David" w:cs="David" w:hint="eastAsia"/>
          <w:szCs w:val="20"/>
          <w:rtl/>
        </w:rPr>
        <w:t>ישנם</w:t>
      </w:r>
      <w:r w:rsidRPr="00B8414F">
        <w:rPr>
          <w:rFonts w:ascii="David" w:hAnsi="David" w:cs="David"/>
          <w:szCs w:val="20"/>
          <w:rtl/>
        </w:rPr>
        <w:t xml:space="preserve"> </w:t>
      </w:r>
      <w:r w:rsidRPr="00B8414F">
        <w:rPr>
          <w:rFonts w:ascii="David" w:hAnsi="David" w:cs="David" w:hint="eastAsia"/>
          <w:szCs w:val="20"/>
          <w:rtl/>
        </w:rPr>
        <w:t>אתרים</w:t>
      </w:r>
      <w:r w:rsidRPr="00B8414F">
        <w:rPr>
          <w:rFonts w:ascii="David" w:hAnsi="David" w:cs="David"/>
          <w:szCs w:val="20"/>
          <w:rtl/>
        </w:rPr>
        <w:t xml:space="preserve"> </w:t>
      </w:r>
      <w:r w:rsidRPr="00B8414F">
        <w:rPr>
          <w:rFonts w:ascii="David" w:hAnsi="David" w:cs="David" w:hint="eastAsia"/>
          <w:szCs w:val="20"/>
          <w:rtl/>
        </w:rPr>
        <w:t>תיירותיים</w:t>
      </w:r>
      <w:r w:rsidRPr="00B8414F">
        <w:rPr>
          <w:rFonts w:ascii="David" w:hAnsi="David" w:cs="David"/>
          <w:szCs w:val="20"/>
          <w:rtl/>
        </w:rPr>
        <w:t xml:space="preserve"> </w:t>
      </w:r>
      <w:r w:rsidRPr="00B8414F">
        <w:rPr>
          <w:rFonts w:ascii="David" w:hAnsi="David" w:cs="David" w:hint="eastAsia"/>
          <w:szCs w:val="20"/>
          <w:rtl/>
        </w:rPr>
        <w:t>רבי</w:t>
      </w:r>
      <w:r w:rsidRPr="00B8414F">
        <w:rPr>
          <w:rFonts w:ascii="David" w:hAnsi="David" w:cs="David"/>
          <w:szCs w:val="20"/>
          <w:rtl/>
        </w:rPr>
        <w:t>-</w:t>
      </w:r>
      <w:r w:rsidRPr="00B8414F">
        <w:rPr>
          <w:rFonts w:ascii="David" w:hAnsi="David" w:cs="David" w:hint="eastAsia"/>
          <w:szCs w:val="20"/>
          <w:rtl/>
        </w:rPr>
        <w:t>ערך</w:t>
      </w:r>
      <w:r w:rsidRPr="00B8414F">
        <w:rPr>
          <w:rFonts w:ascii="David" w:hAnsi="David" w:cs="David"/>
          <w:szCs w:val="20"/>
          <w:rtl/>
        </w:rPr>
        <w:t xml:space="preserve">. </w:t>
      </w:r>
      <w:r w:rsidRPr="00B8414F">
        <w:rPr>
          <w:rFonts w:ascii="David" w:hAnsi="David" w:cs="David" w:hint="eastAsia"/>
          <w:szCs w:val="20"/>
          <w:rtl/>
        </w:rPr>
        <w:t>לא</w:t>
      </w:r>
      <w:r w:rsidRPr="00B8414F">
        <w:rPr>
          <w:rFonts w:ascii="David" w:hAnsi="David" w:cs="David"/>
          <w:szCs w:val="20"/>
          <w:rtl/>
        </w:rPr>
        <w:t xml:space="preserve"> </w:t>
      </w:r>
      <w:r w:rsidRPr="00B8414F">
        <w:rPr>
          <w:rFonts w:ascii="David" w:hAnsi="David" w:cs="David" w:hint="eastAsia"/>
          <w:szCs w:val="20"/>
          <w:rtl/>
        </w:rPr>
        <w:t>אחת</w:t>
      </w:r>
      <w:r w:rsidRPr="00B8414F">
        <w:rPr>
          <w:rFonts w:ascii="David" w:hAnsi="David" w:cs="David"/>
          <w:szCs w:val="20"/>
          <w:rtl/>
        </w:rPr>
        <w:t xml:space="preserve"> </w:t>
      </w:r>
      <w:r w:rsidRPr="00B8414F">
        <w:rPr>
          <w:rFonts w:ascii="David" w:hAnsi="David" w:cs="David" w:hint="eastAsia"/>
          <w:szCs w:val="20"/>
          <w:rtl/>
        </w:rPr>
        <w:t>ישנם</w:t>
      </w:r>
      <w:r w:rsidRPr="00B8414F">
        <w:rPr>
          <w:rFonts w:ascii="David" w:hAnsi="David" w:cs="David"/>
          <w:szCs w:val="20"/>
          <w:rtl/>
        </w:rPr>
        <w:t xml:space="preserve"> </w:t>
      </w:r>
      <w:r w:rsidRPr="00B8414F">
        <w:rPr>
          <w:rFonts w:ascii="David" w:hAnsi="David" w:cs="David" w:hint="eastAsia"/>
          <w:szCs w:val="20"/>
          <w:rtl/>
        </w:rPr>
        <w:t>חילוקי</w:t>
      </w:r>
      <w:r w:rsidRPr="00B8414F">
        <w:rPr>
          <w:rFonts w:ascii="David" w:hAnsi="David" w:cs="David"/>
          <w:szCs w:val="20"/>
          <w:rtl/>
        </w:rPr>
        <w:t xml:space="preserve"> </w:t>
      </w:r>
      <w:r w:rsidRPr="00B8414F">
        <w:rPr>
          <w:rFonts w:ascii="David" w:hAnsi="David" w:cs="David" w:hint="eastAsia"/>
          <w:szCs w:val="20"/>
          <w:rtl/>
        </w:rPr>
        <w:t>דעות</w:t>
      </w:r>
      <w:r w:rsidRPr="00B8414F">
        <w:rPr>
          <w:rFonts w:ascii="David" w:hAnsi="David" w:cs="David"/>
          <w:szCs w:val="20"/>
          <w:rtl/>
        </w:rPr>
        <w:t xml:space="preserve"> </w:t>
      </w:r>
      <w:r w:rsidRPr="00B8414F">
        <w:rPr>
          <w:rFonts w:ascii="David" w:hAnsi="David" w:cs="David" w:hint="eastAsia"/>
          <w:szCs w:val="20"/>
          <w:rtl/>
        </w:rPr>
        <w:t>באשר</w:t>
      </w:r>
      <w:r w:rsidRPr="00B8414F">
        <w:rPr>
          <w:rFonts w:ascii="David" w:hAnsi="David" w:cs="David"/>
          <w:szCs w:val="20"/>
          <w:rtl/>
        </w:rPr>
        <w:t xml:space="preserve"> </w:t>
      </w:r>
      <w:r w:rsidRPr="00B8414F">
        <w:rPr>
          <w:rFonts w:ascii="David" w:hAnsi="David" w:cs="David" w:hint="eastAsia"/>
          <w:szCs w:val="20"/>
          <w:rtl/>
        </w:rPr>
        <w:t>לאופן</w:t>
      </w:r>
      <w:r w:rsidRPr="00B8414F">
        <w:rPr>
          <w:rFonts w:ascii="David" w:hAnsi="David" w:cs="David"/>
          <w:szCs w:val="20"/>
          <w:rtl/>
        </w:rPr>
        <w:t xml:space="preserve"> </w:t>
      </w:r>
      <w:r w:rsidRPr="00B8414F">
        <w:rPr>
          <w:rFonts w:ascii="David" w:hAnsi="David" w:cs="David" w:hint="eastAsia"/>
          <w:szCs w:val="20"/>
          <w:rtl/>
        </w:rPr>
        <w:t>הצגתם</w:t>
      </w:r>
      <w:r w:rsidRPr="00B8414F">
        <w:rPr>
          <w:rFonts w:ascii="David" w:hAnsi="David" w:cs="David"/>
          <w:szCs w:val="20"/>
          <w:rtl/>
        </w:rPr>
        <w:t xml:space="preserve"> </w:t>
      </w:r>
      <w:r w:rsidRPr="00B8414F">
        <w:rPr>
          <w:rFonts w:ascii="David" w:hAnsi="David" w:cs="David" w:hint="eastAsia"/>
          <w:szCs w:val="20"/>
          <w:rtl/>
        </w:rPr>
        <w:t>של</w:t>
      </w:r>
      <w:r w:rsidRPr="00B8414F">
        <w:rPr>
          <w:rFonts w:ascii="David" w:hAnsi="David" w:cs="David"/>
          <w:szCs w:val="20"/>
          <w:rtl/>
        </w:rPr>
        <w:t xml:space="preserve"> </w:t>
      </w:r>
      <w:r w:rsidRPr="00B8414F">
        <w:rPr>
          <w:rFonts w:ascii="David" w:hAnsi="David" w:cs="David" w:hint="eastAsia"/>
          <w:szCs w:val="20"/>
          <w:rtl/>
        </w:rPr>
        <w:t>אותם</w:t>
      </w:r>
      <w:r w:rsidRPr="00B8414F">
        <w:rPr>
          <w:rFonts w:ascii="David" w:hAnsi="David" w:cs="David"/>
          <w:szCs w:val="20"/>
          <w:rtl/>
        </w:rPr>
        <w:t xml:space="preserve"> </w:t>
      </w:r>
      <w:r w:rsidRPr="00B8414F">
        <w:rPr>
          <w:rFonts w:ascii="David" w:hAnsi="David" w:cs="David" w:hint="eastAsia"/>
          <w:szCs w:val="20"/>
          <w:rtl/>
        </w:rPr>
        <w:t>אתרים</w:t>
      </w:r>
      <w:r w:rsidRPr="00B8414F">
        <w:rPr>
          <w:rFonts w:ascii="David" w:hAnsi="David" w:cs="David"/>
          <w:szCs w:val="20"/>
          <w:rtl/>
        </w:rPr>
        <w:t xml:space="preserve"> </w:t>
      </w:r>
      <w:r w:rsidRPr="00B8414F">
        <w:rPr>
          <w:rFonts w:ascii="David" w:hAnsi="David" w:cs="David" w:hint="eastAsia"/>
          <w:szCs w:val="20"/>
          <w:rtl/>
        </w:rPr>
        <w:t>מבחינה</w:t>
      </w:r>
      <w:r w:rsidRPr="00B8414F">
        <w:rPr>
          <w:rFonts w:ascii="David" w:hAnsi="David" w:cs="David"/>
          <w:szCs w:val="20"/>
          <w:rtl/>
        </w:rPr>
        <w:t xml:space="preserve"> </w:t>
      </w:r>
      <w:r w:rsidRPr="00B8414F">
        <w:rPr>
          <w:rFonts w:ascii="David" w:hAnsi="David" w:cs="David" w:hint="eastAsia"/>
          <w:szCs w:val="20"/>
          <w:rtl/>
        </w:rPr>
        <w:t>היסטורית</w:t>
      </w:r>
      <w:r w:rsidRPr="00B8414F">
        <w:rPr>
          <w:rFonts w:ascii="David" w:hAnsi="David" w:cs="David"/>
          <w:szCs w:val="20"/>
          <w:rtl/>
        </w:rPr>
        <w:t xml:space="preserve">, </w:t>
      </w:r>
      <w:r w:rsidRPr="00B8414F">
        <w:rPr>
          <w:rFonts w:ascii="David" w:hAnsi="David" w:cs="David" w:hint="eastAsia"/>
          <w:szCs w:val="20"/>
          <w:rtl/>
        </w:rPr>
        <w:t>דתית</w:t>
      </w:r>
      <w:r w:rsidRPr="00B8414F">
        <w:rPr>
          <w:rFonts w:ascii="David" w:hAnsi="David" w:cs="David"/>
          <w:szCs w:val="20"/>
          <w:rtl/>
        </w:rPr>
        <w:t xml:space="preserve">, </w:t>
      </w:r>
      <w:r w:rsidRPr="00B8414F">
        <w:rPr>
          <w:rFonts w:ascii="David" w:hAnsi="David" w:cs="David" w:hint="eastAsia"/>
          <w:szCs w:val="20"/>
          <w:rtl/>
        </w:rPr>
        <w:t>תרבותית</w:t>
      </w:r>
      <w:r w:rsidRPr="00B8414F">
        <w:rPr>
          <w:rFonts w:ascii="David" w:hAnsi="David" w:cs="David"/>
          <w:szCs w:val="20"/>
          <w:rtl/>
        </w:rPr>
        <w:t xml:space="preserve"> </w:t>
      </w:r>
      <w:r w:rsidRPr="00B8414F">
        <w:rPr>
          <w:rFonts w:ascii="David" w:hAnsi="David" w:cs="David" w:hint="eastAsia"/>
          <w:szCs w:val="20"/>
          <w:rtl/>
        </w:rPr>
        <w:t>ועוד</w:t>
      </w:r>
      <w:r w:rsidRPr="00B8414F">
        <w:rPr>
          <w:rFonts w:ascii="David" w:hAnsi="David" w:cs="David"/>
          <w:szCs w:val="20"/>
          <w:rtl/>
        </w:rPr>
        <w:t xml:space="preserve">. </w:t>
      </w:r>
      <w:r w:rsidRPr="00B8414F">
        <w:rPr>
          <w:rFonts w:ascii="David" w:hAnsi="David" w:cs="David" w:hint="eastAsia"/>
          <w:szCs w:val="20"/>
          <w:rtl/>
        </w:rPr>
        <w:t>העיר</w:t>
      </w:r>
      <w:r w:rsidRPr="00B8414F">
        <w:rPr>
          <w:rFonts w:ascii="David" w:hAnsi="David" w:cs="David"/>
          <w:szCs w:val="20"/>
          <w:rtl/>
        </w:rPr>
        <w:t xml:space="preserve"> </w:t>
      </w:r>
      <w:r w:rsidRPr="00B8414F">
        <w:rPr>
          <w:rFonts w:ascii="David" w:hAnsi="David" w:cs="David" w:hint="eastAsia"/>
          <w:szCs w:val="20"/>
          <w:rtl/>
        </w:rPr>
        <w:t>ירושלים</w:t>
      </w:r>
      <w:r w:rsidRPr="00B8414F">
        <w:rPr>
          <w:rFonts w:ascii="David" w:hAnsi="David" w:cs="David"/>
          <w:szCs w:val="20"/>
          <w:rtl/>
        </w:rPr>
        <w:t xml:space="preserve">, </w:t>
      </w:r>
      <w:r w:rsidRPr="00B8414F">
        <w:rPr>
          <w:rFonts w:ascii="David" w:hAnsi="David" w:cs="David" w:hint="eastAsia"/>
          <w:szCs w:val="20"/>
          <w:rtl/>
        </w:rPr>
        <w:t>על</w:t>
      </w:r>
      <w:r w:rsidRPr="00B8414F">
        <w:rPr>
          <w:rFonts w:ascii="David" w:hAnsi="David" w:cs="David"/>
          <w:szCs w:val="20"/>
          <w:rtl/>
        </w:rPr>
        <w:t xml:space="preserve"> </w:t>
      </w:r>
      <w:r w:rsidRPr="00B8414F">
        <w:rPr>
          <w:rFonts w:ascii="David" w:hAnsi="David" w:cs="David" w:hint="eastAsia"/>
          <w:szCs w:val="20"/>
          <w:rtl/>
        </w:rPr>
        <w:t>אתריה</w:t>
      </w:r>
      <w:r w:rsidRPr="00B8414F">
        <w:rPr>
          <w:rFonts w:ascii="David" w:hAnsi="David" w:cs="David"/>
          <w:szCs w:val="20"/>
          <w:rtl/>
        </w:rPr>
        <w:t xml:space="preserve"> </w:t>
      </w:r>
      <w:r w:rsidRPr="00B8414F">
        <w:rPr>
          <w:rFonts w:ascii="David" w:hAnsi="David" w:cs="David" w:hint="eastAsia"/>
          <w:szCs w:val="20"/>
          <w:rtl/>
        </w:rPr>
        <w:t>ההיסטוריים</w:t>
      </w:r>
      <w:r w:rsidRPr="00B8414F">
        <w:rPr>
          <w:rFonts w:ascii="David" w:hAnsi="David" w:cs="David"/>
          <w:szCs w:val="20"/>
          <w:rtl/>
        </w:rPr>
        <w:t xml:space="preserve"> </w:t>
      </w:r>
      <w:r w:rsidRPr="00B8414F">
        <w:rPr>
          <w:rFonts w:ascii="David" w:hAnsi="David" w:cs="David" w:hint="eastAsia"/>
          <w:szCs w:val="20"/>
          <w:rtl/>
        </w:rPr>
        <w:t>הרבים</w:t>
      </w:r>
      <w:r w:rsidRPr="00B8414F">
        <w:rPr>
          <w:rFonts w:ascii="David" w:hAnsi="David" w:cs="David"/>
          <w:szCs w:val="20"/>
          <w:rtl/>
        </w:rPr>
        <w:t xml:space="preserve">, </w:t>
      </w:r>
      <w:r w:rsidRPr="00B8414F">
        <w:rPr>
          <w:rFonts w:ascii="David" w:hAnsi="David" w:cs="David" w:hint="eastAsia"/>
          <w:szCs w:val="20"/>
          <w:rtl/>
        </w:rPr>
        <w:t>מהווה</w:t>
      </w:r>
      <w:r w:rsidRPr="00B8414F">
        <w:rPr>
          <w:rFonts w:ascii="David" w:hAnsi="David" w:cs="David"/>
          <w:szCs w:val="20"/>
          <w:rtl/>
        </w:rPr>
        <w:t xml:space="preserve"> </w:t>
      </w:r>
      <w:r w:rsidRPr="00B8414F">
        <w:rPr>
          <w:rFonts w:ascii="David" w:hAnsi="David" w:cs="David" w:hint="eastAsia"/>
          <w:szCs w:val="20"/>
          <w:rtl/>
        </w:rPr>
        <w:t>דוגמא</w:t>
      </w:r>
      <w:r w:rsidRPr="00B8414F">
        <w:rPr>
          <w:rFonts w:ascii="David" w:hAnsi="David" w:cs="David"/>
          <w:szCs w:val="20"/>
          <w:rtl/>
        </w:rPr>
        <w:t xml:space="preserve"> </w:t>
      </w:r>
      <w:r w:rsidRPr="00B8414F">
        <w:rPr>
          <w:rFonts w:ascii="David" w:hAnsi="David" w:cs="David" w:hint="eastAsia"/>
          <w:szCs w:val="20"/>
          <w:rtl/>
        </w:rPr>
        <w:t>לאתר</w:t>
      </w:r>
      <w:r w:rsidRPr="00B8414F">
        <w:rPr>
          <w:rFonts w:ascii="David" w:hAnsi="David" w:cs="David"/>
          <w:szCs w:val="20"/>
          <w:rtl/>
        </w:rPr>
        <w:t xml:space="preserve"> </w:t>
      </w:r>
      <w:r w:rsidRPr="00B8414F">
        <w:rPr>
          <w:rFonts w:ascii="David" w:hAnsi="David" w:cs="David" w:hint="eastAsia"/>
          <w:szCs w:val="20"/>
          <w:rtl/>
        </w:rPr>
        <w:t>שקיימים</w:t>
      </w:r>
      <w:r w:rsidRPr="00B8414F">
        <w:rPr>
          <w:rFonts w:ascii="David" w:hAnsi="David" w:cs="David"/>
          <w:szCs w:val="20"/>
          <w:rtl/>
        </w:rPr>
        <w:t xml:space="preserve"> </w:t>
      </w:r>
      <w:r w:rsidRPr="00B8414F">
        <w:rPr>
          <w:rFonts w:ascii="David" w:hAnsi="David" w:cs="David" w:hint="eastAsia"/>
          <w:szCs w:val="20"/>
          <w:rtl/>
        </w:rPr>
        <w:t>לגביו</w:t>
      </w:r>
      <w:r w:rsidRPr="00B8414F">
        <w:rPr>
          <w:rFonts w:ascii="David" w:hAnsi="David" w:cs="David"/>
          <w:szCs w:val="20"/>
          <w:rtl/>
        </w:rPr>
        <w:t xml:space="preserve"> </w:t>
      </w:r>
      <w:r w:rsidRPr="00B8414F">
        <w:rPr>
          <w:rFonts w:ascii="David" w:hAnsi="David" w:cs="David" w:hint="eastAsia"/>
          <w:szCs w:val="20"/>
          <w:rtl/>
        </w:rPr>
        <w:t>חילוקי</w:t>
      </w:r>
      <w:r w:rsidRPr="00B8414F">
        <w:rPr>
          <w:rFonts w:ascii="David" w:hAnsi="David" w:cs="David"/>
          <w:szCs w:val="20"/>
          <w:rtl/>
        </w:rPr>
        <w:t xml:space="preserve"> </w:t>
      </w:r>
      <w:r w:rsidRPr="00B8414F">
        <w:rPr>
          <w:rFonts w:ascii="David" w:hAnsi="David" w:cs="David" w:hint="eastAsia"/>
          <w:szCs w:val="20"/>
          <w:rtl/>
        </w:rPr>
        <w:t>דעות</w:t>
      </w:r>
      <w:r w:rsidRPr="00B8414F">
        <w:rPr>
          <w:rFonts w:ascii="David" w:hAnsi="David" w:cs="David"/>
          <w:szCs w:val="20"/>
          <w:rtl/>
        </w:rPr>
        <w:t xml:space="preserve"> </w:t>
      </w:r>
      <w:r w:rsidRPr="00B8414F">
        <w:rPr>
          <w:rFonts w:ascii="David" w:hAnsi="David" w:cs="David" w:hint="eastAsia"/>
          <w:szCs w:val="20"/>
          <w:rtl/>
        </w:rPr>
        <w:t>כאמור</w:t>
      </w:r>
      <w:r w:rsidRPr="00B8414F">
        <w:rPr>
          <w:rFonts w:ascii="David" w:hAnsi="David" w:cs="David"/>
          <w:szCs w:val="20"/>
          <w:rtl/>
        </w:rPr>
        <w:t xml:space="preserve">. </w:t>
      </w:r>
      <w:r w:rsidRPr="00B8414F">
        <w:rPr>
          <w:rFonts w:ascii="David" w:hAnsi="David" w:cs="David" w:hint="eastAsia"/>
          <w:szCs w:val="20"/>
          <w:rtl/>
        </w:rPr>
        <w:t>לחלק</w:t>
      </w:r>
      <w:r w:rsidRPr="00B8414F">
        <w:rPr>
          <w:rFonts w:ascii="David" w:hAnsi="David" w:cs="David"/>
          <w:szCs w:val="20"/>
          <w:rtl/>
        </w:rPr>
        <w:t xml:space="preserve"> </w:t>
      </w:r>
      <w:r w:rsidRPr="00B8414F">
        <w:rPr>
          <w:rFonts w:ascii="David" w:hAnsi="David" w:cs="David" w:hint="eastAsia"/>
          <w:szCs w:val="20"/>
          <w:rtl/>
        </w:rPr>
        <w:t>מתושבי</w:t>
      </w:r>
      <w:r w:rsidRPr="00B8414F">
        <w:rPr>
          <w:rFonts w:ascii="David" w:hAnsi="David" w:cs="David"/>
          <w:szCs w:val="20"/>
          <w:rtl/>
        </w:rPr>
        <w:t xml:space="preserve"> </w:t>
      </w:r>
      <w:r w:rsidRPr="00B8414F">
        <w:rPr>
          <w:rFonts w:ascii="David" w:hAnsi="David" w:cs="David" w:hint="eastAsia"/>
          <w:szCs w:val="20"/>
          <w:rtl/>
        </w:rPr>
        <w:t>מדינת</w:t>
      </w:r>
      <w:r w:rsidRPr="00B8414F">
        <w:rPr>
          <w:rFonts w:ascii="David" w:hAnsi="David" w:cs="David"/>
          <w:szCs w:val="20"/>
          <w:rtl/>
        </w:rPr>
        <w:t xml:space="preserve"> </w:t>
      </w:r>
      <w:r w:rsidRPr="00B8414F">
        <w:rPr>
          <w:rFonts w:ascii="David" w:hAnsi="David" w:cs="David" w:hint="eastAsia"/>
          <w:szCs w:val="20"/>
          <w:rtl/>
        </w:rPr>
        <w:t>ישראל</w:t>
      </w:r>
      <w:r w:rsidRPr="00B8414F">
        <w:rPr>
          <w:rFonts w:ascii="David" w:hAnsi="David" w:cs="David"/>
          <w:szCs w:val="20"/>
          <w:rtl/>
        </w:rPr>
        <w:t xml:space="preserve">, </w:t>
      </w:r>
      <w:r w:rsidRPr="00B8414F">
        <w:rPr>
          <w:rFonts w:ascii="David" w:hAnsi="David" w:cs="David" w:hint="eastAsia"/>
          <w:szCs w:val="20"/>
          <w:rtl/>
        </w:rPr>
        <w:t>דוגמת</w:t>
      </w:r>
      <w:r w:rsidRPr="00B8414F">
        <w:rPr>
          <w:rFonts w:ascii="David" w:hAnsi="David" w:cs="David"/>
          <w:szCs w:val="20"/>
          <w:rtl/>
        </w:rPr>
        <w:t xml:space="preserve"> </w:t>
      </w:r>
      <w:r w:rsidRPr="00B8414F">
        <w:rPr>
          <w:rFonts w:ascii="David" w:hAnsi="David" w:cs="David" w:hint="eastAsia"/>
          <w:szCs w:val="20"/>
          <w:rtl/>
        </w:rPr>
        <w:t>תושבי</w:t>
      </w:r>
      <w:r w:rsidRPr="00B8414F">
        <w:rPr>
          <w:rFonts w:ascii="David" w:hAnsi="David" w:cs="David"/>
          <w:szCs w:val="20"/>
          <w:rtl/>
        </w:rPr>
        <w:t xml:space="preserve"> </w:t>
      </w:r>
      <w:r w:rsidRPr="00B8414F">
        <w:rPr>
          <w:rFonts w:ascii="David" w:hAnsi="David" w:cs="David" w:hint="eastAsia"/>
          <w:szCs w:val="20"/>
          <w:rtl/>
        </w:rPr>
        <w:t>מזרח</w:t>
      </w:r>
      <w:r w:rsidRPr="00B8414F">
        <w:rPr>
          <w:rFonts w:ascii="David" w:hAnsi="David" w:cs="David"/>
          <w:szCs w:val="20"/>
          <w:rtl/>
        </w:rPr>
        <w:t xml:space="preserve"> </w:t>
      </w:r>
      <w:r w:rsidRPr="00B8414F">
        <w:rPr>
          <w:rFonts w:ascii="David" w:hAnsi="David" w:cs="David" w:hint="eastAsia"/>
          <w:szCs w:val="20"/>
          <w:rtl/>
        </w:rPr>
        <w:t>ירושלים</w:t>
      </w:r>
      <w:r w:rsidRPr="00B8414F">
        <w:rPr>
          <w:rFonts w:ascii="David" w:hAnsi="David" w:cs="David"/>
          <w:szCs w:val="20"/>
          <w:rtl/>
        </w:rPr>
        <w:t xml:space="preserve">, </w:t>
      </w:r>
      <w:r w:rsidRPr="00B8414F">
        <w:rPr>
          <w:rFonts w:ascii="David" w:hAnsi="David" w:cs="David" w:hint="eastAsia"/>
          <w:szCs w:val="20"/>
          <w:rtl/>
        </w:rPr>
        <w:t>ישנה</w:t>
      </w:r>
      <w:r w:rsidRPr="00B8414F">
        <w:rPr>
          <w:rFonts w:ascii="David" w:hAnsi="David" w:cs="David"/>
          <w:szCs w:val="20"/>
          <w:rtl/>
        </w:rPr>
        <w:t xml:space="preserve"> </w:t>
      </w:r>
      <w:r w:rsidRPr="00B8414F">
        <w:rPr>
          <w:rFonts w:ascii="David" w:hAnsi="David" w:cs="David" w:hint="eastAsia"/>
          <w:szCs w:val="20"/>
          <w:rtl/>
        </w:rPr>
        <w:t>פעמים</w:t>
      </w:r>
      <w:r w:rsidRPr="00B8414F">
        <w:rPr>
          <w:rFonts w:ascii="David" w:hAnsi="David" w:cs="David"/>
          <w:szCs w:val="20"/>
          <w:rtl/>
        </w:rPr>
        <w:t xml:space="preserve"> </w:t>
      </w:r>
      <w:r w:rsidRPr="00B8414F">
        <w:rPr>
          <w:rFonts w:ascii="David" w:hAnsi="David" w:cs="David" w:hint="eastAsia"/>
          <w:szCs w:val="20"/>
          <w:rtl/>
        </w:rPr>
        <w:t>רבות</w:t>
      </w:r>
      <w:r w:rsidRPr="00B8414F">
        <w:rPr>
          <w:rFonts w:ascii="David" w:hAnsi="David" w:cs="David"/>
          <w:szCs w:val="20"/>
          <w:rtl/>
        </w:rPr>
        <w:t xml:space="preserve"> "</w:t>
      </w:r>
      <w:r w:rsidRPr="00B8414F">
        <w:rPr>
          <w:rFonts w:ascii="David" w:hAnsi="David" w:cs="David" w:hint="eastAsia"/>
          <w:szCs w:val="20"/>
          <w:rtl/>
        </w:rPr>
        <w:t>נאמנות</w:t>
      </w:r>
      <w:r w:rsidRPr="00B8414F">
        <w:rPr>
          <w:rFonts w:ascii="David" w:hAnsi="David" w:cs="David"/>
          <w:szCs w:val="20"/>
          <w:rtl/>
        </w:rPr>
        <w:t xml:space="preserve"> </w:t>
      </w:r>
      <w:r w:rsidRPr="00B8414F">
        <w:rPr>
          <w:rFonts w:ascii="David" w:hAnsi="David" w:cs="David" w:hint="eastAsia"/>
          <w:szCs w:val="20"/>
          <w:rtl/>
        </w:rPr>
        <w:t>כפולה</w:t>
      </w:r>
      <w:r w:rsidRPr="00B8414F">
        <w:rPr>
          <w:rFonts w:ascii="David" w:hAnsi="David" w:cs="David"/>
          <w:szCs w:val="20"/>
          <w:rtl/>
        </w:rPr>
        <w:t xml:space="preserve">", </w:t>
      </w:r>
      <w:r w:rsidRPr="00B8414F">
        <w:rPr>
          <w:rFonts w:ascii="David" w:hAnsi="David" w:cs="David" w:hint="eastAsia"/>
          <w:szCs w:val="20"/>
          <w:rtl/>
        </w:rPr>
        <w:t>שכן</w:t>
      </w:r>
      <w:r w:rsidRPr="00B8414F">
        <w:rPr>
          <w:rFonts w:ascii="David" w:hAnsi="David" w:cs="David"/>
          <w:szCs w:val="20"/>
          <w:rtl/>
        </w:rPr>
        <w:t xml:space="preserve"> </w:t>
      </w:r>
      <w:r w:rsidRPr="00B8414F">
        <w:rPr>
          <w:rFonts w:ascii="David" w:hAnsi="David" w:cs="David" w:hint="eastAsia"/>
          <w:szCs w:val="20"/>
          <w:rtl/>
        </w:rPr>
        <w:t>הם</w:t>
      </w:r>
      <w:r w:rsidRPr="00B8414F">
        <w:rPr>
          <w:rFonts w:ascii="David" w:hAnsi="David" w:cs="David"/>
          <w:szCs w:val="20"/>
          <w:rtl/>
        </w:rPr>
        <w:t xml:space="preserve"> </w:t>
      </w:r>
      <w:r w:rsidRPr="00B8414F">
        <w:rPr>
          <w:rFonts w:ascii="David" w:hAnsi="David" w:cs="David" w:hint="eastAsia"/>
          <w:szCs w:val="20"/>
          <w:rtl/>
        </w:rPr>
        <w:t>מצביעים</w:t>
      </w:r>
      <w:r w:rsidRPr="00B8414F">
        <w:rPr>
          <w:rFonts w:ascii="David" w:hAnsi="David" w:cs="David"/>
          <w:szCs w:val="20"/>
          <w:rtl/>
        </w:rPr>
        <w:t xml:space="preserve"> </w:t>
      </w:r>
      <w:r w:rsidRPr="00B8414F">
        <w:rPr>
          <w:rFonts w:ascii="David" w:hAnsi="David" w:cs="David" w:hint="eastAsia"/>
          <w:szCs w:val="20"/>
          <w:rtl/>
        </w:rPr>
        <w:t>לרשות</w:t>
      </w:r>
      <w:r w:rsidRPr="00B8414F">
        <w:rPr>
          <w:rFonts w:ascii="David" w:hAnsi="David" w:cs="David"/>
          <w:szCs w:val="20"/>
          <w:rtl/>
        </w:rPr>
        <w:t xml:space="preserve"> </w:t>
      </w:r>
      <w:r w:rsidRPr="00B8414F">
        <w:rPr>
          <w:rFonts w:ascii="David" w:hAnsi="David" w:cs="David" w:hint="eastAsia"/>
          <w:szCs w:val="20"/>
          <w:rtl/>
        </w:rPr>
        <w:t>הפלסטינית</w:t>
      </w:r>
      <w:r w:rsidRPr="00B8414F">
        <w:rPr>
          <w:rFonts w:ascii="David" w:hAnsi="David" w:cs="David"/>
          <w:szCs w:val="20"/>
          <w:rtl/>
        </w:rPr>
        <w:t xml:space="preserve">: </w:t>
      </w:r>
      <w:r w:rsidRPr="00B8414F">
        <w:rPr>
          <w:rFonts w:ascii="David" w:hAnsi="David" w:cs="David" w:hint="eastAsia"/>
          <w:szCs w:val="20"/>
          <w:rtl/>
        </w:rPr>
        <w:t>תושבים</w:t>
      </w:r>
      <w:r w:rsidRPr="00B8414F">
        <w:rPr>
          <w:rFonts w:ascii="David" w:hAnsi="David" w:cs="David"/>
          <w:szCs w:val="20"/>
          <w:rtl/>
        </w:rPr>
        <w:t xml:space="preserve"> </w:t>
      </w:r>
      <w:r w:rsidRPr="00B8414F">
        <w:rPr>
          <w:rFonts w:ascii="David" w:hAnsi="David" w:cs="David" w:hint="eastAsia"/>
          <w:szCs w:val="20"/>
          <w:rtl/>
        </w:rPr>
        <w:t>אלה</w:t>
      </w:r>
      <w:r w:rsidRPr="00B8414F">
        <w:rPr>
          <w:rFonts w:ascii="David" w:hAnsi="David" w:cs="David"/>
          <w:szCs w:val="20"/>
          <w:rtl/>
        </w:rPr>
        <w:t xml:space="preserve"> </w:t>
      </w:r>
      <w:r w:rsidRPr="00B8414F">
        <w:rPr>
          <w:rFonts w:ascii="David" w:hAnsi="David" w:cs="David" w:hint="eastAsia"/>
          <w:szCs w:val="20"/>
          <w:rtl/>
        </w:rPr>
        <w:t>מציגים</w:t>
      </w:r>
      <w:r w:rsidRPr="00B8414F">
        <w:rPr>
          <w:rFonts w:ascii="David" w:hAnsi="David" w:cs="David"/>
          <w:szCs w:val="20"/>
          <w:rtl/>
        </w:rPr>
        <w:t xml:space="preserve"> </w:t>
      </w:r>
      <w:r w:rsidRPr="00B8414F">
        <w:rPr>
          <w:rFonts w:ascii="David" w:hAnsi="David" w:cs="David" w:hint="eastAsia"/>
          <w:szCs w:val="20"/>
          <w:rtl/>
        </w:rPr>
        <w:t>לעיתים</w:t>
      </w:r>
      <w:r w:rsidRPr="00B8414F">
        <w:rPr>
          <w:rFonts w:ascii="David" w:hAnsi="David" w:cs="David"/>
          <w:szCs w:val="20"/>
          <w:rtl/>
        </w:rPr>
        <w:t xml:space="preserve"> </w:t>
      </w:r>
      <w:r w:rsidRPr="00B8414F">
        <w:rPr>
          <w:rFonts w:ascii="David" w:hAnsi="David" w:cs="David" w:hint="eastAsia"/>
          <w:szCs w:val="20"/>
          <w:rtl/>
        </w:rPr>
        <w:t>עמדות</w:t>
      </w:r>
      <w:r w:rsidRPr="00B8414F">
        <w:rPr>
          <w:rFonts w:ascii="David" w:hAnsi="David" w:cs="David"/>
          <w:szCs w:val="20"/>
          <w:rtl/>
        </w:rPr>
        <w:t xml:space="preserve"> </w:t>
      </w:r>
      <w:r w:rsidRPr="00B8414F">
        <w:rPr>
          <w:rFonts w:ascii="David" w:hAnsi="David" w:cs="David" w:hint="eastAsia"/>
          <w:szCs w:val="20"/>
          <w:rtl/>
        </w:rPr>
        <w:t>אנטי</w:t>
      </w:r>
      <w:r w:rsidRPr="00B8414F">
        <w:rPr>
          <w:rFonts w:ascii="David" w:hAnsi="David" w:cs="David"/>
          <w:szCs w:val="20"/>
          <w:rtl/>
        </w:rPr>
        <w:t>-</w:t>
      </w:r>
      <w:r w:rsidRPr="00B8414F">
        <w:rPr>
          <w:rFonts w:ascii="David" w:hAnsi="David" w:cs="David" w:hint="eastAsia"/>
          <w:szCs w:val="20"/>
          <w:rtl/>
        </w:rPr>
        <w:t>ישראליות</w:t>
      </w:r>
      <w:r w:rsidRPr="00B8414F">
        <w:rPr>
          <w:rFonts w:ascii="David" w:hAnsi="David" w:cs="David"/>
          <w:szCs w:val="20"/>
          <w:rtl/>
        </w:rPr>
        <w:t xml:space="preserve"> </w:t>
      </w:r>
      <w:r w:rsidRPr="00B8414F">
        <w:rPr>
          <w:rFonts w:ascii="David" w:hAnsi="David" w:cs="David" w:hint="eastAsia"/>
          <w:szCs w:val="20"/>
          <w:rtl/>
        </w:rPr>
        <w:t>בפני</w:t>
      </w:r>
      <w:r w:rsidRPr="00B8414F">
        <w:rPr>
          <w:rFonts w:ascii="David" w:hAnsi="David" w:cs="David"/>
          <w:szCs w:val="20"/>
          <w:rtl/>
        </w:rPr>
        <w:t xml:space="preserve"> </w:t>
      </w:r>
      <w:r w:rsidRPr="00B8414F">
        <w:rPr>
          <w:rFonts w:ascii="David" w:hAnsi="David" w:cs="David" w:hint="eastAsia"/>
          <w:szCs w:val="20"/>
          <w:rtl/>
        </w:rPr>
        <w:t>קבוצות</w:t>
      </w:r>
      <w:r w:rsidRPr="00B8414F">
        <w:rPr>
          <w:rFonts w:ascii="David" w:hAnsi="David" w:cs="David"/>
          <w:szCs w:val="20"/>
          <w:rtl/>
        </w:rPr>
        <w:t xml:space="preserve"> </w:t>
      </w:r>
      <w:r w:rsidRPr="00B8414F">
        <w:rPr>
          <w:rFonts w:ascii="David" w:hAnsi="David" w:cs="David" w:hint="eastAsia"/>
          <w:szCs w:val="20"/>
          <w:rtl/>
        </w:rPr>
        <w:t>תיירים</w:t>
      </w:r>
      <w:r w:rsidRPr="00B8414F">
        <w:rPr>
          <w:rFonts w:ascii="David" w:hAnsi="David" w:cs="David"/>
          <w:szCs w:val="20"/>
          <w:rtl/>
        </w:rPr>
        <w:t xml:space="preserve"> </w:t>
      </w:r>
      <w:r w:rsidRPr="00B8414F">
        <w:rPr>
          <w:rFonts w:ascii="David" w:hAnsi="David" w:cs="David" w:hint="eastAsia"/>
          <w:szCs w:val="20"/>
          <w:rtl/>
        </w:rPr>
        <w:t>אותן</w:t>
      </w:r>
      <w:r w:rsidRPr="00B8414F">
        <w:rPr>
          <w:rFonts w:ascii="David" w:hAnsi="David" w:cs="David"/>
          <w:szCs w:val="20"/>
          <w:rtl/>
        </w:rPr>
        <w:t xml:space="preserve"> </w:t>
      </w:r>
      <w:r w:rsidRPr="00B8414F">
        <w:rPr>
          <w:rFonts w:ascii="David" w:hAnsi="David" w:cs="David" w:hint="eastAsia"/>
          <w:szCs w:val="20"/>
          <w:rtl/>
        </w:rPr>
        <w:t>הם</w:t>
      </w:r>
      <w:r w:rsidRPr="00B8414F">
        <w:rPr>
          <w:rFonts w:ascii="David" w:hAnsi="David" w:cs="David"/>
          <w:szCs w:val="20"/>
          <w:rtl/>
        </w:rPr>
        <w:t xml:space="preserve"> </w:t>
      </w:r>
      <w:r w:rsidRPr="00B8414F">
        <w:rPr>
          <w:rFonts w:ascii="David" w:hAnsi="David" w:cs="David" w:hint="eastAsia"/>
          <w:szCs w:val="20"/>
          <w:rtl/>
        </w:rPr>
        <w:t>מדריכים</w:t>
      </w:r>
      <w:r w:rsidRPr="00B8414F">
        <w:rPr>
          <w:rFonts w:ascii="David" w:hAnsi="David" w:cs="David"/>
          <w:szCs w:val="20"/>
          <w:rtl/>
        </w:rPr>
        <w:t xml:space="preserve">. </w:t>
      </w:r>
      <w:r w:rsidRPr="00B8414F">
        <w:rPr>
          <w:rFonts w:ascii="David" w:hAnsi="David" w:cs="David" w:hint="eastAsia"/>
          <w:szCs w:val="20"/>
          <w:rtl/>
        </w:rPr>
        <w:t>כדי</w:t>
      </w:r>
      <w:r w:rsidRPr="00B8414F">
        <w:rPr>
          <w:rFonts w:ascii="David" w:hAnsi="David" w:cs="David"/>
          <w:szCs w:val="20"/>
          <w:rtl/>
        </w:rPr>
        <w:t xml:space="preserve"> </w:t>
      </w:r>
      <w:r w:rsidRPr="00B8414F">
        <w:rPr>
          <w:rFonts w:ascii="David" w:hAnsi="David" w:cs="David" w:hint="eastAsia"/>
          <w:szCs w:val="20"/>
          <w:rtl/>
        </w:rPr>
        <w:t>להבטיח</w:t>
      </w:r>
      <w:r w:rsidRPr="00B8414F">
        <w:rPr>
          <w:rFonts w:ascii="David" w:hAnsi="David" w:cs="David"/>
          <w:szCs w:val="20"/>
          <w:rtl/>
        </w:rPr>
        <w:t xml:space="preserve"> </w:t>
      </w:r>
      <w:r w:rsidRPr="00B8414F">
        <w:rPr>
          <w:rFonts w:ascii="David" w:hAnsi="David" w:cs="David" w:hint="eastAsia"/>
          <w:szCs w:val="20"/>
          <w:rtl/>
        </w:rPr>
        <w:t>שתיירי</w:t>
      </w:r>
      <w:r w:rsidRPr="00B8414F">
        <w:rPr>
          <w:rFonts w:ascii="David" w:hAnsi="David" w:cs="David"/>
          <w:szCs w:val="20"/>
          <w:rtl/>
        </w:rPr>
        <w:t xml:space="preserve"> </w:t>
      </w:r>
      <w:r w:rsidRPr="00B8414F">
        <w:rPr>
          <w:rFonts w:ascii="David" w:hAnsi="David" w:cs="David" w:hint="eastAsia"/>
          <w:szCs w:val="20"/>
          <w:rtl/>
        </w:rPr>
        <w:t>חוץ</w:t>
      </w:r>
      <w:r w:rsidRPr="00B8414F">
        <w:rPr>
          <w:rFonts w:ascii="David" w:hAnsi="David" w:cs="David"/>
          <w:szCs w:val="20"/>
          <w:rtl/>
        </w:rPr>
        <w:t xml:space="preserve"> </w:t>
      </w:r>
      <w:r w:rsidRPr="00B8414F">
        <w:rPr>
          <w:rFonts w:ascii="David" w:hAnsi="David" w:cs="David" w:hint="eastAsia"/>
          <w:szCs w:val="20"/>
          <w:rtl/>
        </w:rPr>
        <w:t>ייחשפו</w:t>
      </w:r>
      <w:r w:rsidRPr="00B8414F">
        <w:rPr>
          <w:rFonts w:ascii="David" w:hAnsi="David" w:cs="David"/>
          <w:szCs w:val="20"/>
          <w:rtl/>
        </w:rPr>
        <w:t xml:space="preserve"> </w:t>
      </w:r>
      <w:r w:rsidRPr="00B8414F">
        <w:rPr>
          <w:rFonts w:ascii="David" w:hAnsi="David" w:cs="David" w:hint="eastAsia"/>
          <w:szCs w:val="20"/>
          <w:rtl/>
        </w:rPr>
        <w:t>לנקודת</w:t>
      </w:r>
      <w:r w:rsidRPr="00B8414F">
        <w:rPr>
          <w:rFonts w:ascii="David" w:hAnsi="David" w:cs="David"/>
          <w:szCs w:val="20"/>
          <w:rtl/>
        </w:rPr>
        <w:t xml:space="preserve"> </w:t>
      </w:r>
      <w:r w:rsidRPr="00B8414F">
        <w:rPr>
          <w:rFonts w:ascii="David" w:hAnsi="David" w:cs="David" w:hint="eastAsia"/>
          <w:szCs w:val="20"/>
          <w:rtl/>
        </w:rPr>
        <w:t>המבט</w:t>
      </w:r>
      <w:r w:rsidRPr="00B8414F">
        <w:rPr>
          <w:rFonts w:ascii="David" w:hAnsi="David" w:cs="David"/>
          <w:szCs w:val="20"/>
          <w:rtl/>
        </w:rPr>
        <w:t xml:space="preserve"> </w:t>
      </w:r>
      <w:r w:rsidRPr="00B8414F">
        <w:rPr>
          <w:rFonts w:ascii="David" w:hAnsi="David" w:cs="David" w:hint="eastAsia"/>
          <w:szCs w:val="20"/>
          <w:rtl/>
        </w:rPr>
        <w:t>הלאומית</w:t>
      </w:r>
      <w:r w:rsidRPr="00B8414F">
        <w:rPr>
          <w:rFonts w:ascii="David" w:hAnsi="David" w:cs="David"/>
          <w:szCs w:val="20"/>
          <w:rtl/>
        </w:rPr>
        <w:t xml:space="preserve"> </w:t>
      </w:r>
      <w:r w:rsidRPr="00B8414F">
        <w:rPr>
          <w:rFonts w:ascii="David" w:hAnsi="David" w:cs="David" w:hint="eastAsia"/>
          <w:szCs w:val="20"/>
          <w:rtl/>
        </w:rPr>
        <w:t>הישראלית</w:t>
      </w:r>
      <w:r w:rsidRPr="00B8414F">
        <w:rPr>
          <w:rFonts w:ascii="David" w:hAnsi="David" w:cs="David"/>
          <w:szCs w:val="20"/>
          <w:rtl/>
        </w:rPr>
        <w:t xml:space="preserve">, </w:t>
      </w:r>
      <w:r w:rsidRPr="00B8414F">
        <w:rPr>
          <w:rFonts w:ascii="David" w:hAnsi="David" w:cs="David" w:hint="eastAsia"/>
          <w:szCs w:val="20"/>
          <w:rtl/>
        </w:rPr>
        <w:t>מוצע</w:t>
      </w:r>
      <w:r w:rsidRPr="00B8414F">
        <w:rPr>
          <w:rFonts w:ascii="David" w:hAnsi="David" w:cs="David"/>
          <w:szCs w:val="20"/>
          <w:rtl/>
        </w:rPr>
        <w:t xml:space="preserve"> </w:t>
      </w:r>
      <w:r w:rsidRPr="00B8414F">
        <w:rPr>
          <w:rFonts w:ascii="David" w:hAnsi="David" w:cs="David" w:hint="eastAsia"/>
          <w:szCs w:val="20"/>
          <w:rtl/>
        </w:rPr>
        <w:t>לקבוע</w:t>
      </w:r>
      <w:r w:rsidRPr="00B8414F">
        <w:rPr>
          <w:rFonts w:ascii="David" w:hAnsi="David" w:cs="David"/>
          <w:szCs w:val="20"/>
          <w:rtl/>
        </w:rPr>
        <w:t xml:space="preserve"> </w:t>
      </w:r>
      <w:r w:rsidRPr="00B8414F">
        <w:rPr>
          <w:rFonts w:ascii="David" w:hAnsi="David" w:cs="David" w:hint="eastAsia"/>
          <w:szCs w:val="20"/>
          <w:rtl/>
        </w:rPr>
        <w:t>כי</w:t>
      </w:r>
      <w:r w:rsidRPr="00B8414F">
        <w:rPr>
          <w:rFonts w:ascii="David" w:hAnsi="David" w:cs="David"/>
          <w:szCs w:val="20"/>
          <w:rtl/>
        </w:rPr>
        <w:t xml:space="preserve"> </w:t>
      </w:r>
      <w:r w:rsidRPr="00B8414F">
        <w:rPr>
          <w:rFonts w:ascii="David" w:hAnsi="David" w:cs="David" w:hint="eastAsia"/>
          <w:szCs w:val="20"/>
          <w:rtl/>
        </w:rPr>
        <w:t>סוכנויות</w:t>
      </w:r>
      <w:r w:rsidRPr="00B8414F">
        <w:rPr>
          <w:rFonts w:ascii="David" w:hAnsi="David" w:cs="David"/>
          <w:szCs w:val="20"/>
          <w:rtl/>
        </w:rPr>
        <w:t xml:space="preserve"> </w:t>
      </w:r>
      <w:r w:rsidRPr="00B8414F">
        <w:rPr>
          <w:rFonts w:ascii="David" w:hAnsi="David" w:cs="David" w:hint="eastAsia"/>
          <w:szCs w:val="20"/>
          <w:rtl/>
        </w:rPr>
        <w:t>נסיעות</w:t>
      </w:r>
      <w:r w:rsidRPr="00B8414F">
        <w:rPr>
          <w:rFonts w:ascii="David" w:hAnsi="David" w:cs="David"/>
          <w:szCs w:val="20"/>
          <w:rtl/>
        </w:rPr>
        <w:t xml:space="preserve">, </w:t>
      </w:r>
      <w:r w:rsidRPr="00B8414F">
        <w:rPr>
          <w:rFonts w:ascii="David" w:hAnsi="David" w:cs="David" w:hint="eastAsia"/>
          <w:szCs w:val="20"/>
          <w:rtl/>
        </w:rPr>
        <w:t>וכל</w:t>
      </w:r>
      <w:r w:rsidRPr="00B8414F">
        <w:rPr>
          <w:rFonts w:ascii="David" w:hAnsi="David" w:cs="David"/>
          <w:szCs w:val="20"/>
          <w:rtl/>
        </w:rPr>
        <w:t xml:space="preserve"> </w:t>
      </w:r>
      <w:r w:rsidRPr="00B8414F">
        <w:rPr>
          <w:rFonts w:ascii="David" w:hAnsi="David" w:cs="David" w:hint="eastAsia"/>
          <w:szCs w:val="20"/>
          <w:rtl/>
        </w:rPr>
        <w:t>גוף</w:t>
      </w:r>
      <w:r w:rsidRPr="00B8414F">
        <w:rPr>
          <w:rFonts w:ascii="David" w:hAnsi="David" w:cs="David"/>
          <w:szCs w:val="20"/>
          <w:rtl/>
        </w:rPr>
        <w:t xml:space="preserve"> </w:t>
      </w:r>
      <w:r w:rsidRPr="00B8414F">
        <w:rPr>
          <w:rFonts w:ascii="David" w:hAnsi="David" w:cs="David" w:hint="eastAsia"/>
          <w:szCs w:val="20"/>
          <w:rtl/>
        </w:rPr>
        <w:t>המארגן</w:t>
      </w:r>
      <w:r w:rsidRPr="00B8414F">
        <w:rPr>
          <w:rFonts w:ascii="David" w:hAnsi="David" w:cs="David"/>
          <w:szCs w:val="20"/>
          <w:rtl/>
        </w:rPr>
        <w:t xml:space="preserve"> </w:t>
      </w:r>
      <w:r w:rsidRPr="00B8414F">
        <w:rPr>
          <w:rFonts w:ascii="David" w:hAnsi="David" w:cs="David" w:hint="eastAsia"/>
          <w:szCs w:val="20"/>
          <w:rtl/>
        </w:rPr>
        <w:t>סיורים</w:t>
      </w:r>
      <w:r w:rsidRPr="00B8414F">
        <w:rPr>
          <w:rFonts w:ascii="David" w:hAnsi="David" w:cs="David"/>
          <w:szCs w:val="20"/>
          <w:rtl/>
        </w:rPr>
        <w:t xml:space="preserve"> </w:t>
      </w:r>
      <w:r w:rsidRPr="00B8414F">
        <w:rPr>
          <w:rFonts w:ascii="David" w:hAnsi="David" w:cs="David" w:hint="eastAsia"/>
          <w:szCs w:val="20"/>
          <w:rtl/>
        </w:rPr>
        <w:t>לתיירי</w:t>
      </w:r>
      <w:r w:rsidRPr="00B8414F">
        <w:rPr>
          <w:rFonts w:ascii="David" w:hAnsi="David" w:cs="David"/>
          <w:szCs w:val="20"/>
          <w:rtl/>
        </w:rPr>
        <w:t xml:space="preserve"> </w:t>
      </w:r>
      <w:r w:rsidRPr="00B8414F">
        <w:rPr>
          <w:rFonts w:ascii="David" w:hAnsi="David" w:cs="David" w:hint="eastAsia"/>
          <w:szCs w:val="20"/>
          <w:rtl/>
        </w:rPr>
        <w:t>חוץ</w:t>
      </w:r>
      <w:r w:rsidRPr="00B8414F">
        <w:rPr>
          <w:rFonts w:ascii="David" w:hAnsi="David" w:cs="David"/>
          <w:szCs w:val="20"/>
          <w:rtl/>
        </w:rPr>
        <w:t xml:space="preserve">, </w:t>
      </w:r>
      <w:r w:rsidRPr="00B8414F">
        <w:rPr>
          <w:rFonts w:ascii="David" w:hAnsi="David" w:cs="David" w:hint="eastAsia"/>
          <w:szCs w:val="20"/>
          <w:rtl/>
        </w:rPr>
        <w:t>ידאגו</w:t>
      </w:r>
      <w:r w:rsidRPr="00B8414F">
        <w:rPr>
          <w:rFonts w:ascii="David" w:hAnsi="David" w:cs="David"/>
          <w:szCs w:val="20"/>
          <w:rtl/>
        </w:rPr>
        <w:t xml:space="preserve"> </w:t>
      </w:r>
      <w:r w:rsidRPr="00B8414F">
        <w:rPr>
          <w:rFonts w:ascii="David" w:hAnsi="David" w:cs="David" w:hint="eastAsia"/>
          <w:szCs w:val="20"/>
          <w:rtl/>
        </w:rPr>
        <w:t>לכך</w:t>
      </w:r>
      <w:r w:rsidRPr="00B8414F">
        <w:rPr>
          <w:rFonts w:ascii="David" w:hAnsi="David" w:cs="David"/>
          <w:szCs w:val="20"/>
          <w:rtl/>
        </w:rPr>
        <w:t xml:space="preserve"> </w:t>
      </w:r>
      <w:r w:rsidRPr="00B8414F">
        <w:rPr>
          <w:rFonts w:ascii="David" w:hAnsi="David" w:cs="David" w:hint="eastAsia"/>
          <w:szCs w:val="20"/>
          <w:rtl/>
        </w:rPr>
        <w:t>שסיורים</w:t>
      </w:r>
      <w:r w:rsidRPr="00B8414F">
        <w:rPr>
          <w:rFonts w:ascii="David" w:hAnsi="David" w:cs="David"/>
          <w:szCs w:val="20"/>
          <w:rtl/>
        </w:rPr>
        <w:t xml:space="preserve"> </w:t>
      </w:r>
      <w:r w:rsidRPr="00B8414F">
        <w:rPr>
          <w:rFonts w:ascii="David" w:hAnsi="David" w:cs="David" w:hint="eastAsia"/>
          <w:szCs w:val="20"/>
          <w:rtl/>
        </w:rPr>
        <w:t>אלה</w:t>
      </w:r>
      <w:r w:rsidRPr="00B8414F">
        <w:rPr>
          <w:rFonts w:ascii="David" w:hAnsi="David" w:cs="David"/>
          <w:szCs w:val="20"/>
          <w:rtl/>
        </w:rPr>
        <w:t xml:space="preserve"> </w:t>
      </w:r>
      <w:r w:rsidRPr="00B8414F">
        <w:rPr>
          <w:rFonts w:ascii="David" w:hAnsi="David" w:cs="David" w:hint="eastAsia"/>
          <w:szCs w:val="20"/>
          <w:rtl/>
        </w:rPr>
        <w:t>ילוו</w:t>
      </w:r>
      <w:r w:rsidRPr="00B8414F">
        <w:rPr>
          <w:rFonts w:ascii="David" w:hAnsi="David" w:cs="David"/>
          <w:szCs w:val="20"/>
          <w:rtl/>
        </w:rPr>
        <w:t xml:space="preserve"> </w:t>
      </w:r>
      <w:r w:rsidRPr="00B8414F">
        <w:rPr>
          <w:rFonts w:ascii="David" w:hAnsi="David" w:cs="David" w:hint="eastAsia"/>
          <w:szCs w:val="20"/>
          <w:rtl/>
        </w:rPr>
        <w:t>על</w:t>
      </w:r>
      <w:r w:rsidRPr="00B8414F">
        <w:rPr>
          <w:rFonts w:ascii="David" w:hAnsi="David" w:cs="David"/>
          <w:szCs w:val="20"/>
          <w:rtl/>
        </w:rPr>
        <w:t xml:space="preserve"> </w:t>
      </w:r>
      <w:r w:rsidRPr="00B8414F">
        <w:rPr>
          <w:rFonts w:ascii="David" w:hAnsi="David" w:cs="David" w:hint="eastAsia"/>
          <w:szCs w:val="20"/>
          <w:rtl/>
        </w:rPr>
        <w:t>ידי</w:t>
      </w:r>
      <w:r w:rsidRPr="00B8414F">
        <w:rPr>
          <w:rFonts w:ascii="David" w:hAnsi="David" w:cs="David"/>
          <w:szCs w:val="20"/>
          <w:rtl/>
        </w:rPr>
        <w:t xml:space="preserve"> </w:t>
      </w:r>
      <w:r w:rsidRPr="00B8414F">
        <w:rPr>
          <w:rFonts w:ascii="David" w:hAnsi="David" w:cs="David" w:hint="eastAsia"/>
          <w:szCs w:val="20"/>
          <w:rtl/>
        </w:rPr>
        <w:t>מורה</w:t>
      </w:r>
      <w:r w:rsidRPr="00B8414F">
        <w:rPr>
          <w:rFonts w:ascii="David" w:hAnsi="David" w:cs="David"/>
          <w:szCs w:val="20"/>
          <w:rtl/>
        </w:rPr>
        <w:t xml:space="preserve"> </w:t>
      </w:r>
      <w:r w:rsidRPr="00B8414F">
        <w:rPr>
          <w:rFonts w:ascii="David" w:hAnsi="David" w:cs="David" w:hint="eastAsia"/>
          <w:szCs w:val="20"/>
          <w:rtl/>
        </w:rPr>
        <w:t>דרך</w:t>
      </w:r>
      <w:r w:rsidRPr="00B8414F">
        <w:rPr>
          <w:rFonts w:ascii="David" w:hAnsi="David" w:cs="David"/>
          <w:szCs w:val="20"/>
          <w:rtl/>
        </w:rPr>
        <w:t xml:space="preserve"> </w:t>
      </w:r>
      <w:r w:rsidRPr="00B8414F">
        <w:rPr>
          <w:rFonts w:ascii="David" w:hAnsi="David" w:cs="David" w:hint="eastAsia"/>
          <w:szCs w:val="20"/>
          <w:rtl/>
        </w:rPr>
        <w:t>שהוא</w:t>
      </w:r>
      <w:r w:rsidRPr="00B8414F">
        <w:rPr>
          <w:rFonts w:ascii="David" w:hAnsi="David" w:cs="David"/>
          <w:szCs w:val="20"/>
          <w:rtl/>
        </w:rPr>
        <w:t xml:space="preserve"> </w:t>
      </w:r>
      <w:r w:rsidRPr="00B8414F">
        <w:rPr>
          <w:rFonts w:ascii="David" w:hAnsi="David" w:cs="David" w:hint="eastAsia"/>
          <w:szCs w:val="20"/>
          <w:rtl/>
        </w:rPr>
        <w:t>אזרח</w:t>
      </w:r>
      <w:r w:rsidRPr="00B8414F">
        <w:rPr>
          <w:rFonts w:ascii="David" w:hAnsi="David" w:cs="David"/>
          <w:szCs w:val="20"/>
          <w:rtl/>
        </w:rPr>
        <w:t xml:space="preserve"> </w:t>
      </w:r>
      <w:r w:rsidRPr="00B8414F">
        <w:rPr>
          <w:rFonts w:ascii="David" w:hAnsi="David" w:cs="David" w:hint="eastAsia"/>
          <w:szCs w:val="20"/>
          <w:rtl/>
        </w:rPr>
        <w:t>ישראלי</w:t>
      </w:r>
      <w:r w:rsidRPr="00B8414F">
        <w:rPr>
          <w:rFonts w:ascii="David" w:hAnsi="David" w:cs="David"/>
          <w:szCs w:val="20"/>
          <w:rtl/>
        </w:rPr>
        <w:t xml:space="preserve">, </w:t>
      </w:r>
      <w:r w:rsidRPr="00B8414F">
        <w:rPr>
          <w:rFonts w:ascii="David" w:hAnsi="David" w:cs="David" w:hint="eastAsia"/>
          <w:szCs w:val="20"/>
          <w:rtl/>
        </w:rPr>
        <w:t>אשר</w:t>
      </w:r>
      <w:r w:rsidRPr="00B8414F">
        <w:rPr>
          <w:rFonts w:ascii="David" w:hAnsi="David" w:cs="David"/>
          <w:szCs w:val="20"/>
          <w:rtl/>
        </w:rPr>
        <w:t xml:space="preserve"> </w:t>
      </w:r>
      <w:r w:rsidRPr="00B8414F">
        <w:rPr>
          <w:rFonts w:ascii="David" w:hAnsi="David" w:cs="David" w:hint="eastAsia"/>
          <w:szCs w:val="20"/>
          <w:rtl/>
        </w:rPr>
        <w:t>יש</w:t>
      </w:r>
      <w:r w:rsidRPr="00B8414F">
        <w:rPr>
          <w:rFonts w:ascii="David" w:hAnsi="David" w:cs="David"/>
          <w:szCs w:val="20"/>
          <w:rtl/>
        </w:rPr>
        <w:t xml:space="preserve"> </w:t>
      </w:r>
      <w:r w:rsidRPr="00B8414F">
        <w:rPr>
          <w:rFonts w:ascii="David" w:hAnsi="David" w:cs="David" w:hint="eastAsia"/>
          <w:szCs w:val="20"/>
          <w:rtl/>
        </w:rPr>
        <w:t>לו</w:t>
      </w:r>
      <w:r w:rsidRPr="00B8414F">
        <w:rPr>
          <w:rFonts w:ascii="David" w:hAnsi="David" w:cs="David"/>
          <w:szCs w:val="20"/>
          <w:rtl/>
        </w:rPr>
        <w:t xml:space="preserve"> </w:t>
      </w:r>
      <w:r w:rsidRPr="00B8414F">
        <w:rPr>
          <w:rFonts w:ascii="David" w:hAnsi="David" w:cs="David" w:hint="eastAsia"/>
          <w:szCs w:val="20"/>
          <w:rtl/>
        </w:rPr>
        <w:t>נאמנות</w:t>
      </w:r>
      <w:r w:rsidRPr="00B8414F">
        <w:rPr>
          <w:rFonts w:ascii="David" w:hAnsi="David" w:cs="David"/>
          <w:szCs w:val="20"/>
          <w:rtl/>
        </w:rPr>
        <w:t xml:space="preserve"> </w:t>
      </w:r>
      <w:r w:rsidRPr="00B8414F">
        <w:rPr>
          <w:rFonts w:ascii="David" w:hAnsi="David" w:cs="David" w:hint="eastAsia"/>
          <w:szCs w:val="20"/>
          <w:rtl/>
        </w:rPr>
        <w:t>מוסדית</w:t>
      </w:r>
      <w:r w:rsidRPr="00B8414F">
        <w:rPr>
          <w:rFonts w:ascii="David" w:hAnsi="David" w:cs="David"/>
          <w:szCs w:val="20"/>
          <w:rtl/>
        </w:rPr>
        <w:t xml:space="preserve"> </w:t>
      </w:r>
      <w:r w:rsidRPr="00B8414F">
        <w:rPr>
          <w:rFonts w:ascii="David" w:hAnsi="David" w:cs="David" w:hint="eastAsia"/>
          <w:szCs w:val="20"/>
          <w:rtl/>
        </w:rPr>
        <w:t>למדינת</w:t>
      </w:r>
      <w:r w:rsidRPr="00B8414F">
        <w:rPr>
          <w:rFonts w:ascii="David" w:hAnsi="David" w:cs="David"/>
          <w:szCs w:val="20"/>
          <w:rtl/>
        </w:rPr>
        <w:t xml:space="preserve"> </w:t>
      </w:r>
      <w:r w:rsidRPr="00B8414F">
        <w:rPr>
          <w:rFonts w:ascii="David" w:hAnsi="David" w:cs="David" w:hint="eastAsia"/>
          <w:szCs w:val="20"/>
          <w:rtl/>
        </w:rPr>
        <w:t>ישראל</w:t>
      </w:r>
      <w:r w:rsidRPr="00B8414F">
        <w:rPr>
          <w:rFonts w:ascii="David" w:hAnsi="David" w:cs="David"/>
          <w:szCs w:val="20"/>
          <w:rtl/>
        </w:rPr>
        <w:t xml:space="preserve">.  </w:t>
      </w:r>
      <w:r w:rsidRPr="00B8414F">
        <w:rPr>
          <w:rFonts w:ascii="David" w:hAnsi="David" w:cs="David" w:hint="eastAsia"/>
          <w:szCs w:val="20"/>
          <w:rtl/>
        </w:rPr>
        <w:t>הצורך</w:t>
      </w:r>
      <w:r w:rsidRPr="00B8414F">
        <w:rPr>
          <w:rFonts w:ascii="David" w:hAnsi="David" w:cs="David"/>
          <w:szCs w:val="20"/>
          <w:rtl/>
        </w:rPr>
        <w:t xml:space="preserve"> </w:t>
      </w:r>
      <w:r w:rsidRPr="00B8414F">
        <w:rPr>
          <w:rFonts w:ascii="David" w:hAnsi="David" w:cs="David" w:hint="eastAsia"/>
          <w:szCs w:val="20"/>
          <w:rtl/>
        </w:rPr>
        <w:t>בשמירה</w:t>
      </w:r>
      <w:r w:rsidRPr="00B8414F">
        <w:rPr>
          <w:rFonts w:ascii="David" w:hAnsi="David" w:cs="David"/>
          <w:szCs w:val="20"/>
          <w:rtl/>
        </w:rPr>
        <w:t xml:space="preserve"> </w:t>
      </w:r>
      <w:r w:rsidRPr="00B8414F">
        <w:rPr>
          <w:rFonts w:ascii="David" w:hAnsi="David" w:cs="David" w:hint="eastAsia"/>
          <w:szCs w:val="20"/>
          <w:rtl/>
        </w:rPr>
        <w:t>על</w:t>
      </w:r>
      <w:r w:rsidRPr="00B8414F">
        <w:rPr>
          <w:rFonts w:ascii="David" w:hAnsi="David" w:cs="David"/>
          <w:szCs w:val="20"/>
          <w:rtl/>
        </w:rPr>
        <w:t xml:space="preserve"> </w:t>
      </w:r>
      <w:r w:rsidRPr="00B8414F">
        <w:rPr>
          <w:rFonts w:ascii="David" w:hAnsi="David" w:cs="David" w:hint="eastAsia"/>
          <w:szCs w:val="20"/>
          <w:rtl/>
        </w:rPr>
        <w:t>האינטרס</w:t>
      </w:r>
      <w:r w:rsidRPr="00B8414F">
        <w:rPr>
          <w:rFonts w:ascii="David" w:hAnsi="David" w:cs="David"/>
          <w:szCs w:val="20"/>
          <w:rtl/>
        </w:rPr>
        <w:t xml:space="preserve"> </w:t>
      </w:r>
      <w:r w:rsidRPr="00B8414F">
        <w:rPr>
          <w:rFonts w:ascii="David" w:hAnsi="David" w:cs="David" w:hint="eastAsia"/>
          <w:szCs w:val="20"/>
          <w:rtl/>
        </w:rPr>
        <w:t>הלאומי</w:t>
      </w:r>
      <w:r w:rsidRPr="00B8414F">
        <w:rPr>
          <w:rFonts w:ascii="David" w:hAnsi="David" w:cs="David"/>
          <w:szCs w:val="20"/>
          <w:rtl/>
        </w:rPr>
        <w:t xml:space="preserve"> </w:t>
      </w:r>
      <w:r w:rsidRPr="00B8414F">
        <w:rPr>
          <w:rFonts w:ascii="David" w:hAnsi="David" w:cs="David" w:hint="eastAsia"/>
          <w:szCs w:val="20"/>
          <w:rtl/>
        </w:rPr>
        <w:t>של</w:t>
      </w:r>
      <w:r w:rsidRPr="00B8414F">
        <w:rPr>
          <w:rFonts w:ascii="David" w:hAnsi="David" w:cs="David"/>
          <w:szCs w:val="20"/>
          <w:rtl/>
        </w:rPr>
        <w:t xml:space="preserve"> </w:t>
      </w:r>
      <w:r w:rsidRPr="00B8414F">
        <w:rPr>
          <w:rFonts w:ascii="David" w:hAnsi="David" w:cs="David" w:hint="eastAsia"/>
          <w:szCs w:val="20"/>
          <w:rtl/>
        </w:rPr>
        <w:t>הצגת</w:t>
      </w:r>
      <w:r w:rsidRPr="00B8414F">
        <w:rPr>
          <w:rFonts w:ascii="David" w:hAnsi="David" w:cs="David"/>
          <w:szCs w:val="20"/>
          <w:rtl/>
        </w:rPr>
        <w:t xml:space="preserve"> </w:t>
      </w:r>
      <w:r w:rsidRPr="00B8414F">
        <w:rPr>
          <w:rFonts w:ascii="David" w:hAnsi="David" w:cs="David" w:hint="eastAsia"/>
          <w:szCs w:val="20"/>
          <w:rtl/>
        </w:rPr>
        <w:t>ישראל</w:t>
      </w:r>
      <w:r w:rsidRPr="00B8414F">
        <w:rPr>
          <w:rFonts w:ascii="David" w:hAnsi="David" w:cs="David"/>
          <w:szCs w:val="20"/>
          <w:rtl/>
        </w:rPr>
        <w:t xml:space="preserve"> </w:t>
      </w:r>
      <w:r w:rsidRPr="00B8414F">
        <w:rPr>
          <w:rFonts w:ascii="David" w:hAnsi="David" w:cs="David" w:hint="eastAsia"/>
          <w:szCs w:val="20"/>
          <w:rtl/>
        </w:rPr>
        <w:t>בדרך</w:t>
      </w:r>
      <w:r w:rsidRPr="00B8414F">
        <w:rPr>
          <w:rFonts w:ascii="David" w:hAnsi="David" w:cs="David"/>
          <w:szCs w:val="20"/>
          <w:rtl/>
        </w:rPr>
        <w:t xml:space="preserve"> </w:t>
      </w:r>
      <w:r w:rsidRPr="00B8414F">
        <w:rPr>
          <w:rFonts w:ascii="David" w:hAnsi="David" w:cs="David" w:hint="eastAsia"/>
          <w:szCs w:val="20"/>
          <w:rtl/>
        </w:rPr>
        <w:t>נאותה</w:t>
      </w:r>
      <w:r w:rsidRPr="00B8414F">
        <w:rPr>
          <w:rFonts w:ascii="David" w:hAnsi="David" w:cs="David"/>
          <w:szCs w:val="20"/>
          <w:rtl/>
        </w:rPr>
        <w:t xml:space="preserve"> </w:t>
      </w:r>
      <w:r w:rsidRPr="00B8414F">
        <w:rPr>
          <w:rFonts w:ascii="David" w:hAnsi="David" w:cs="David" w:hint="eastAsia"/>
          <w:szCs w:val="20"/>
          <w:rtl/>
        </w:rPr>
        <w:t>גובר</w:t>
      </w:r>
      <w:r w:rsidRPr="00B8414F">
        <w:rPr>
          <w:rFonts w:ascii="David" w:hAnsi="David" w:cs="David"/>
          <w:szCs w:val="20"/>
          <w:rtl/>
        </w:rPr>
        <w:t xml:space="preserve"> </w:t>
      </w:r>
      <w:r w:rsidRPr="00B8414F">
        <w:rPr>
          <w:rFonts w:ascii="David" w:hAnsi="David" w:cs="David" w:hint="eastAsia"/>
          <w:szCs w:val="20"/>
          <w:rtl/>
        </w:rPr>
        <w:t>על</w:t>
      </w:r>
      <w:r w:rsidRPr="00B8414F">
        <w:rPr>
          <w:rFonts w:ascii="David" w:hAnsi="David" w:cs="David"/>
          <w:szCs w:val="20"/>
          <w:rtl/>
        </w:rPr>
        <w:t xml:space="preserve"> </w:t>
      </w:r>
      <w:r w:rsidRPr="00B8414F">
        <w:rPr>
          <w:rFonts w:ascii="David" w:hAnsi="David" w:cs="David" w:hint="eastAsia"/>
          <w:szCs w:val="20"/>
          <w:rtl/>
        </w:rPr>
        <w:t>אינטרסים</w:t>
      </w:r>
      <w:r w:rsidRPr="00B8414F">
        <w:rPr>
          <w:rFonts w:ascii="David" w:hAnsi="David" w:cs="David"/>
          <w:szCs w:val="20"/>
          <w:rtl/>
        </w:rPr>
        <w:t xml:space="preserve"> </w:t>
      </w:r>
      <w:r w:rsidRPr="00B8414F">
        <w:rPr>
          <w:rFonts w:ascii="David" w:hAnsi="David" w:cs="David" w:hint="eastAsia"/>
          <w:szCs w:val="20"/>
          <w:rtl/>
        </w:rPr>
        <w:t>אחרים</w:t>
      </w:r>
      <w:r w:rsidRPr="00B8414F">
        <w:rPr>
          <w:rFonts w:ascii="David" w:hAnsi="David" w:cs="David"/>
          <w:szCs w:val="20"/>
          <w:rtl/>
        </w:rPr>
        <w:t xml:space="preserve">. </w:t>
      </w:r>
    </w:p>
    <w:p w:rsidR="005366A8" w:rsidRPr="00B8414F" w:rsidRDefault="005366A8" w:rsidP="005366A8">
      <w:pPr>
        <w:rPr>
          <w:rFonts w:cs="Hadasa Roso SL"/>
          <w:sz w:val="20"/>
          <w:szCs w:val="20"/>
          <w:rtl/>
        </w:rPr>
      </w:pPr>
      <w:r w:rsidRPr="00B8414F">
        <w:rPr>
          <w:rFonts w:cs="David" w:hint="cs"/>
          <w:sz w:val="20"/>
          <w:szCs w:val="20"/>
          <w:rtl/>
        </w:rPr>
        <w:t>יצוין</w:t>
      </w:r>
      <w:r w:rsidRPr="00B8414F">
        <w:rPr>
          <w:rFonts w:cs="David"/>
          <w:sz w:val="20"/>
          <w:szCs w:val="20"/>
          <w:rtl/>
        </w:rPr>
        <w:t xml:space="preserve"> </w:t>
      </w:r>
      <w:r w:rsidRPr="00B8414F">
        <w:rPr>
          <w:rFonts w:cs="David" w:hint="cs"/>
          <w:sz w:val="20"/>
          <w:szCs w:val="20"/>
          <w:rtl/>
        </w:rPr>
        <w:t>כי</w:t>
      </w:r>
      <w:r w:rsidRPr="00B8414F">
        <w:rPr>
          <w:rFonts w:cs="David"/>
          <w:sz w:val="20"/>
          <w:szCs w:val="20"/>
          <w:rtl/>
        </w:rPr>
        <w:t xml:space="preserve"> </w:t>
      </w:r>
      <w:r w:rsidRPr="00B8414F">
        <w:rPr>
          <w:rFonts w:cs="David" w:hint="cs"/>
          <w:sz w:val="20"/>
          <w:szCs w:val="20"/>
          <w:rtl/>
        </w:rPr>
        <w:t>הוראות</w:t>
      </w:r>
      <w:r w:rsidRPr="00B8414F">
        <w:rPr>
          <w:rFonts w:cs="David"/>
          <w:sz w:val="20"/>
          <w:szCs w:val="20"/>
          <w:rtl/>
        </w:rPr>
        <w:t xml:space="preserve"> </w:t>
      </w:r>
      <w:r w:rsidRPr="00B8414F">
        <w:rPr>
          <w:rFonts w:cs="David" w:hint="cs"/>
          <w:sz w:val="20"/>
          <w:szCs w:val="20"/>
          <w:rtl/>
        </w:rPr>
        <w:t>חוק</w:t>
      </w:r>
      <w:r w:rsidRPr="00B8414F">
        <w:rPr>
          <w:rFonts w:cs="David"/>
          <w:sz w:val="20"/>
          <w:szCs w:val="20"/>
          <w:rtl/>
        </w:rPr>
        <w:t xml:space="preserve"> </w:t>
      </w:r>
      <w:r w:rsidRPr="00B8414F">
        <w:rPr>
          <w:rFonts w:cs="David" w:hint="cs"/>
          <w:sz w:val="20"/>
          <w:szCs w:val="20"/>
          <w:rtl/>
        </w:rPr>
        <w:t>דומות</w:t>
      </w:r>
      <w:r w:rsidRPr="00B8414F">
        <w:rPr>
          <w:rFonts w:cs="David"/>
          <w:sz w:val="20"/>
          <w:szCs w:val="20"/>
          <w:rtl/>
        </w:rPr>
        <w:t xml:space="preserve"> </w:t>
      </w:r>
      <w:r w:rsidRPr="00B8414F">
        <w:rPr>
          <w:rFonts w:cs="David" w:hint="cs"/>
          <w:sz w:val="20"/>
          <w:szCs w:val="20"/>
          <w:rtl/>
        </w:rPr>
        <w:t>חלות</w:t>
      </w:r>
      <w:r w:rsidRPr="00B8414F">
        <w:rPr>
          <w:rFonts w:cs="David"/>
          <w:sz w:val="20"/>
          <w:szCs w:val="20"/>
          <w:rtl/>
        </w:rPr>
        <w:t xml:space="preserve"> </w:t>
      </w:r>
      <w:r w:rsidRPr="00B8414F">
        <w:rPr>
          <w:rFonts w:cs="David" w:hint="cs"/>
          <w:sz w:val="20"/>
          <w:szCs w:val="20"/>
          <w:rtl/>
        </w:rPr>
        <w:t>במדינות</w:t>
      </w:r>
      <w:r w:rsidRPr="00B8414F">
        <w:rPr>
          <w:rFonts w:cs="David"/>
          <w:sz w:val="20"/>
          <w:szCs w:val="20"/>
          <w:rtl/>
        </w:rPr>
        <w:t xml:space="preserve"> </w:t>
      </w:r>
      <w:r w:rsidRPr="00B8414F">
        <w:rPr>
          <w:rFonts w:cs="David" w:hint="cs"/>
          <w:sz w:val="20"/>
          <w:szCs w:val="20"/>
          <w:rtl/>
        </w:rPr>
        <w:t>זרות</w:t>
      </w:r>
      <w:r w:rsidRPr="00B8414F">
        <w:rPr>
          <w:rFonts w:cs="David"/>
          <w:sz w:val="20"/>
          <w:szCs w:val="20"/>
          <w:rtl/>
        </w:rPr>
        <w:t xml:space="preserve">, </w:t>
      </w:r>
      <w:r w:rsidRPr="00B8414F">
        <w:rPr>
          <w:rFonts w:cs="David" w:hint="cs"/>
          <w:sz w:val="20"/>
          <w:szCs w:val="20"/>
          <w:rtl/>
        </w:rPr>
        <w:t>בהן</w:t>
      </w:r>
      <w:r w:rsidRPr="00B8414F">
        <w:rPr>
          <w:rFonts w:cs="David"/>
          <w:sz w:val="20"/>
          <w:szCs w:val="20"/>
          <w:rtl/>
        </w:rPr>
        <w:t xml:space="preserve"> </w:t>
      </w:r>
      <w:r w:rsidRPr="00B8414F">
        <w:rPr>
          <w:rFonts w:cs="David" w:hint="cs"/>
          <w:sz w:val="20"/>
          <w:szCs w:val="20"/>
          <w:rtl/>
        </w:rPr>
        <w:t>נהוג</w:t>
      </w:r>
      <w:r w:rsidRPr="00B8414F">
        <w:rPr>
          <w:rFonts w:cs="David"/>
          <w:sz w:val="20"/>
          <w:szCs w:val="20"/>
          <w:rtl/>
        </w:rPr>
        <w:t xml:space="preserve"> </w:t>
      </w:r>
      <w:r w:rsidRPr="00B8414F">
        <w:rPr>
          <w:rFonts w:cs="David" w:hint="cs"/>
          <w:sz w:val="20"/>
          <w:szCs w:val="20"/>
          <w:rtl/>
        </w:rPr>
        <w:t>ומקובל</w:t>
      </w:r>
      <w:r w:rsidRPr="00B8414F">
        <w:rPr>
          <w:rFonts w:cs="David"/>
          <w:sz w:val="20"/>
          <w:szCs w:val="20"/>
          <w:rtl/>
        </w:rPr>
        <w:t xml:space="preserve"> </w:t>
      </w:r>
      <w:r w:rsidRPr="00B8414F">
        <w:rPr>
          <w:rFonts w:cs="David" w:hint="cs"/>
          <w:sz w:val="20"/>
          <w:szCs w:val="20"/>
          <w:rtl/>
        </w:rPr>
        <w:t>כי</w:t>
      </w:r>
      <w:r w:rsidRPr="00B8414F">
        <w:rPr>
          <w:rFonts w:cs="David"/>
          <w:sz w:val="20"/>
          <w:szCs w:val="20"/>
          <w:rtl/>
        </w:rPr>
        <w:t xml:space="preserve"> </w:t>
      </w:r>
      <w:r w:rsidRPr="00B8414F">
        <w:rPr>
          <w:rFonts w:cs="David" w:hint="cs"/>
          <w:sz w:val="20"/>
          <w:szCs w:val="20"/>
          <w:rtl/>
        </w:rPr>
        <w:t>מדריך</w:t>
      </w:r>
      <w:r w:rsidRPr="00B8414F">
        <w:rPr>
          <w:rFonts w:cs="David"/>
          <w:sz w:val="20"/>
          <w:szCs w:val="20"/>
          <w:rtl/>
        </w:rPr>
        <w:t xml:space="preserve"> </w:t>
      </w:r>
      <w:r w:rsidRPr="00B8414F">
        <w:rPr>
          <w:rFonts w:cs="David" w:hint="cs"/>
          <w:sz w:val="20"/>
          <w:szCs w:val="20"/>
          <w:rtl/>
        </w:rPr>
        <w:t>מקומי</w:t>
      </w:r>
      <w:r w:rsidRPr="00B8414F">
        <w:rPr>
          <w:rFonts w:cs="David"/>
          <w:sz w:val="20"/>
          <w:szCs w:val="20"/>
          <w:rtl/>
        </w:rPr>
        <w:t xml:space="preserve"> </w:t>
      </w:r>
      <w:r w:rsidRPr="00B8414F">
        <w:rPr>
          <w:rFonts w:cs="David" w:hint="cs"/>
          <w:sz w:val="20"/>
          <w:szCs w:val="20"/>
          <w:rtl/>
        </w:rPr>
        <w:t>מלווה</w:t>
      </w:r>
      <w:r w:rsidRPr="00B8414F">
        <w:rPr>
          <w:rFonts w:cs="David"/>
          <w:sz w:val="20"/>
          <w:szCs w:val="20"/>
          <w:rtl/>
        </w:rPr>
        <w:t xml:space="preserve"> </w:t>
      </w:r>
      <w:r w:rsidRPr="00B8414F">
        <w:rPr>
          <w:rFonts w:cs="David" w:hint="cs"/>
          <w:sz w:val="20"/>
          <w:szCs w:val="20"/>
          <w:rtl/>
        </w:rPr>
        <w:t>כל</w:t>
      </w:r>
      <w:r w:rsidRPr="00B8414F">
        <w:rPr>
          <w:rFonts w:cs="David"/>
          <w:sz w:val="20"/>
          <w:szCs w:val="20"/>
          <w:rtl/>
        </w:rPr>
        <w:t xml:space="preserve"> </w:t>
      </w:r>
      <w:r w:rsidRPr="00B8414F">
        <w:rPr>
          <w:rFonts w:cs="David" w:hint="cs"/>
          <w:sz w:val="20"/>
          <w:szCs w:val="20"/>
          <w:rtl/>
        </w:rPr>
        <w:t>קבוצות</w:t>
      </w:r>
      <w:r w:rsidRPr="00B8414F">
        <w:rPr>
          <w:rFonts w:cs="David"/>
          <w:sz w:val="20"/>
          <w:szCs w:val="20"/>
          <w:rtl/>
        </w:rPr>
        <w:t xml:space="preserve"> </w:t>
      </w:r>
      <w:r w:rsidRPr="00B8414F">
        <w:rPr>
          <w:rFonts w:cs="David" w:hint="cs"/>
          <w:sz w:val="20"/>
          <w:szCs w:val="20"/>
          <w:rtl/>
        </w:rPr>
        <w:t>תיירים</w:t>
      </w:r>
      <w:r w:rsidRPr="00B8414F">
        <w:rPr>
          <w:rFonts w:cs="David"/>
          <w:sz w:val="20"/>
          <w:szCs w:val="20"/>
          <w:rtl/>
        </w:rPr>
        <w:t xml:space="preserve"> </w:t>
      </w:r>
      <w:r w:rsidRPr="00B8414F">
        <w:rPr>
          <w:rFonts w:cs="David" w:hint="cs"/>
          <w:sz w:val="20"/>
          <w:szCs w:val="20"/>
          <w:rtl/>
        </w:rPr>
        <w:t>אשר</w:t>
      </w:r>
      <w:r w:rsidRPr="00B8414F">
        <w:rPr>
          <w:rFonts w:cs="David"/>
          <w:sz w:val="20"/>
          <w:szCs w:val="20"/>
          <w:rtl/>
        </w:rPr>
        <w:t xml:space="preserve"> </w:t>
      </w:r>
      <w:r w:rsidRPr="00B8414F">
        <w:rPr>
          <w:rFonts w:cs="David" w:hint="cs"/>
          <w:sz w:val="20"/>
          <w:szCs w:val="20"/>
          <w:rtl/>
        </w:rPr>
        <w:t>נכנסת</w:t>
      </w:r>
      <w:r w:rsidRPr="00B8414F">
        <w:rPr>
          <w:rFonts w:cs="David"/>
          <w:sz w:val="20"/>
          <w:szCs w:val="20"/>
          <w:rtl/>
        </w:rPr>
        <w:t xml:space="preserve"> </w:t>
      </w:r>
      <w:r w:rsidRPr="00B8414F">
        <w:rPr>
          <w:rFonts w:cs="David" w:hint="cs"/>
          <w:sz w:val="20"/>
          <w:szCs w:val="20"/>
          <w:rtl/>
        </w:rPr>
        <w:t>למדינה</w:t>
      </w:r>
      <w:r w:rsidRPr="00B8414F">
        <w:rPr>
          <w:rFonts w:cs="David"/>
          <w:sz w:val="20"/>
          <w:szCs w:val="20"/>
          <w:rtl/>
        </w:rPr>
        <w:t xml:space="preserve">. </w:t>
      </w:r>
    </w:p>
    <w:p w:rsidR="005366A8" w:rsidRPr="00B8414F" w:rsidRDefault="005366A8" w:rsidP="005366A8">
      <w:pPr>
        <w:rPr>
          <w:rFonts w:cs="Hadasa Roso SL"/>
          <w:sz w:val="20"/>
          <w:szCs w:val="20"/>
          <w:rtl/>
        </w:rPr>
      </w:pPr>
    </w:p>
    <w:p w:rsidR="005366A8" w:rsidRPr="00B8414F" w:rsidRDefault="005366A8" w:rsidP="005366A8">
      <w:pPr>
        <w:ind w:left="340"/>
        <w:rPr>
          <w:rFonts w:cs="David"/>
          <w:sz w:val="20"/>
          <w:szCs w:val="20"/>
          <w:rtl/>
        </w:rPr>
      </w:pPr>
      <w:r w:rsidRPr="00B8414F">
        <w:rPr>
          <w:rFonts w:cs="David"/>
          <w:sz w:val="20"/>
          <w:szCs w:val="20"/>
          <w:rtl/>
        </w:rPr>
        <w:t>---------------------------------</w:t>
      </w:r>
    </w:p>
    <w:p w:rsidR="005366A8" w:rsidRDefault="005366A8" w:rsidP="005366A8">
      <w:pPr>
        <w:ind w:left="340"/>
        <w:rPr>
          <w:rFonts w:cs="David"/>
          <w:sz w:val="20"/>
          <w:szCs w:val="20"/>
          <w:rtl/>
        </w:rPr>
      </w:pPr>
      <w:r w:rsidRPr="00B8414F">
        <w:rPr>
          <w:rFonts w:cs="David" w:hint="cs"/>
          <w:sz w:val="20"/>
          <w:szCs w:val="20"/>
          <w:rtl/>
        </w:rPr>
        <w:t>הוגשה</w:t>
      </w:r>
      <w:r w:rsidRPr="00B8414F">
        <w:rPr>
          <w:rFonts w:cs="David"/>
          <w:sz w:val="20"/>
          <w:szCs w:val="20"/>
          <w:rtl/>
        </w:rPr>
        <w:t xml:space="preserve"> </w:t>
      </w:r>
      <w:r w:rsidRPr="00B8414F">
        <w:rPr>
          <w:rFonts w:cs="David" w:hint="cs"/>
          <w:sz w:val="20"/>
          <w:szCs w:val="20"/>
          <w:rtl/>
        </w:rPr>
        <w:t>ליו</w:t>
      </w:r>
      <w:r w:rsidRPr="00B8414F">
        <w:rPr>
          <w:rFonts w:cs="David"/>
          <w:sz w:val="20"/>
          <w:szCs w:val="20"/>
          <w:rtl/>
        </w:rPr>
        <w:t>"</w:t>
      </w:r>
      <w:r w:rsidRPr="00B8414F">
        <w:rPr>
          <w:rFonts w:cs="David" w:hint="cs"/>
          <w:sz w:val="20"/>
          <w:szCs w:val="20"/>
          <w:rtl/>
        </w:rPr>
        <w:t>ר</w:t>
      </w:r>
      <w:r w:rsidRPr="00B8414F">
        <w:rPr>
          <w:rFonts w:cs="David"/>
          <w:sz w:val="20"/>
          <w:szCs w:val="20"/>
          <w:rtl/>
        </w:rPr>
        <w:t xml:space="preserve"> </w:t>
      </w:r>
      <w:r w:rsidRPr="00B8414F">
        <w:rPr>
          <w:rFonts w:cs="David" w:hint="cs"/>
          <w:sz w:val="20"/>
          <w:szCs w:val="20"/>
          <w:rtl/>
        </w:rPr>
        <w:t>הכנסת</w:t>
      </w:r>
      <w:r w:rsidRPr="00B8414F">
        <w:rPr>
          <w:rFonts w:cs="David"/>
          <w:sz w:val="20"/>
          <w:szCs w:val="20"/>
          <w:rtl/>
        </w:rPr>
        <w:t xml:space="preserve"> </w:t>
      </w:r>
      <w:r w:rsidRPr="00B8414F">
        <w:rPr>
          <w:rFonts w:cs="David" w:hint="cs"/>
          <w:sz w:val="20"/>
          <w:szCs w:val="20"/>
          <w:rtl/>
        </w:rPr>
        <w:t>והסגנים, והונחה</w:t>
      </w:r>
      <w:r w:rsidRPr="00B8414F">
        <w:rPr>
          <w:rFonts w:cs="David"/>
          <w:sz w:val="20"/>
          <w:szCs w:val="20"/>
          <w:rtl/>
        </w:rPr>
        <w:t xml:space="preserve"> </w:t>
      </w:r>
      <w:r w:rsidRPr="00B8414F">
        <w:rPr>
          <w:rFonts w:cs="David" w:hint="cs"/>
          <w:sz w:val="20"/>
          <w:szCs w:val="20"/>
          <w:rtl/>
        </w:rPr>
        <w:t>על</w:t>
      </w:r>
      <w:r w:rsidRPr="00B8414F">
        <w:rPr>
          <w:rFonts w:cs="David"/>
          <w:sz w:val="20"/>
          <w:szCs w:val="20"/>
          <w:rtl/>
        </w:rPr>
        <w:t xml:space="preserve"> </w:t>
      </w:r>
      <w:r w:rsidRPr="00B8414F">
        <w:rPr>
          <w:rFonts w:cs="David" w:hint="cs"/>
          <w:sz w:val="20"/>
          <w:szCs w:val="20"/>
          <w:rtl/>
        </w:rPr>
        <w:t>שולחן</w:t>
      </w:r>
      <w:r w:rsidRPr="00B8414F">
        <w:rPr>
          <w:rFonts w:cs="David"/>
          <w:sz w:val="20"/>
          <w:szCs w:val="20"/>
          <w:rtl/>
        </w:rPr>
        <w:t xml:space="preserve"> </w:t>
      </w:r>
      <w:r w:rsidRPr="00B8414F">
        <w:rPr>
          <w:rFonts w:cs="David" w:hint="cs"/>
          <w:sz w:val="20"/>
          <w:szCs w:val="20"/>
          <w:rtl/>
        </w:rPr>
        <w:t>הכנסת</w:t>
      </w:r>
      <w:r w:rsidRPr="00B8414F">
        <w:rPr>
          <w:rFonts w:cs="David"/>
          <w:sz w:val="20"/>
          <w:szCs w:val="20"/>
          <w:rtl/>
        </w:rPr>
        <w:t xml:space="preserve"> </w:t>
      </w:r>
      <w:r w:rsidRPr="00B8414F">
        <w:rPr>
          <w:rFonts w:cs="David" w:hint="cs"/>
          <w:sz w:val="20"/>
          <w:szCs w:val="20"/>
          <w:rtl/>
        </w:rPr>
        <w:t>ביום, כ</w:t>
      </w:r>
      <w:r w:rsidRPr="00B8414F">
        <w:rPr>
          <w:rFonts w:cs="David"/>
          <w:sz w:val="20"/>
          <w:szCs w:val="20"/>
          <w:rtl/>
        </w:rPr>
        <w:t>"</w:t>
      </w:r>
      <w:r w:rsidRPr="00B8414F">
        <w:rPr>
          <w:rFonts w:cs="David" w:hint="cs"/>
          <w:sz w:val="20"/>
          <w:szCs w:val="20"/>
          <w:rtl/>
        </w:rPr>
        <w:t>ב</w:t>
      </w:r>
      <w:r w:rsidRPr="00B8414F">
        <w:rPr>
          <w:rFonts w:cs="David"/>
          <w:sz w:val="20"/>
          <w:szCs w:val="20"/>
          <w:rtl/>
        </w:rPr>
        <w:t xml:space="preserve"> </w:t>
      </w:r>
      <w:r w:rsidRPr="00B8414F">
        <w:rPr>
          <w:rFonts w:cs="David" w:hint="cs"/>
          <w:sz w:val="20"/>
          <w:szCs w:val="20"/>
          <w:rtl/>
        </w:rPr>
        <w:t>באדר</w:t>
      </w:r>
      <w:r w:rsidRPr="00B8414F">
        <w:rPr>
          <w:rFonts w:cs="David"/>
          <w:sz w:val="20"/>
          <w:szCs w:val="20"/>
          <w:rtl/>
        </w:rPr>
        <w:t xml:space="preserve"> </w:t>
      </w:r>
      <w:r w:rsidRPr="00B8414F">
        <w:rPr>
          <w:rFonts w:cs="David" w:hint="cs"/>
          <w:sz w:val="20"/>
          <w:szCs w:val="20"/>
          <w:rtl/>
        </w:rPr>
        <w:t>התש</w:t>
      </w:r>
      <w:r w:rsidRPr="00B8414F">
        <w:rPr>
          <w:rFonts w:cs="David"/>
          <w:sz w:val="20"/>
          <w:szCs w:val="20"/>
          <w:rtl/>
        </w:rPr>
        <w:t>"</w:t>
      </w:r>
      <w:r w:rsidRPr="00B8414F">
        <w:rPr>
          <w:rFonts w:cs="David" w:hint="cs"/>
          <w:sz w:val="20"/>
          <w:szCs w:val="20"/>
          <w:rtl/>
        </w:rPr>
        <w:t>ע</w:t>
      </w:r>
      <w:r w:rsidRPr="00B8414F">
        <w:rPr>
          <w:rFonts w:cs="David"/>
          <w:sz w:val="20"/>
          <w:szCs w:val="20"/>
          <w:rtl/>
        </w:rPr>
        <w:t xml:space="preserve"> – 8.3.10</w:t>
      </w:r>
    </w:p>
    <w:p w:rsidR="005366A8" w:rsidRPr="00B8414F" w:rsidRDefault="005366A8" w:rsidP="005366A8">
      <w:pPr>
        <w:ind w:left="340"/>
        <w:rPr>
          <w:rFonts w:cs="David"/>
          <w:sz w:val="20"/>
          <w:szCs w:val="20"/>
          <w:rtl/>
        </w:rPr>
      </w:pPr>
    </w:p>
    <w:p w:rsidR="005366A8" w:rsidRPr="00F701F4" w:rsidRDefault="005366A8" w:rsidP="005366A8">
      <w:pPr>
        <w:rPr>
          <w:sz w:val="20"/>
          <w:szCs w:val="20"/>
          <w:highlight w:val="yellow"/>
          <w:rtl/>
        </w:rPr>
      </w:pPr>
      <w:r w:rsidRPr="00F701F4">
        <w:rPr>
          <w:rFonts w:hint="cs"/>
          <w:sz w:val="20"/>
          <w:szCs w:val="20"/>
          <w:highlight w:val="yellow"/>
          <w:rtl/>
        </w:rPr>
        <w:t xml:space="preserve">א. התיקון לחוק מותקף משפטית.  </w:t>
      </w:r>
    </w:p>
    <w:p w:rsidR="005366A8" w:rsidRPr="00F701F4" w:rsidRDefault="005366A8" w:rsidP="005366A8">
      <w:pPr>
        <w:rPr>
          <w:sz w:val="20"/>
          <w:szCs w:val="20"/>
          <w:highlight w:val="yellow"/>
          <w:rtl/>
        </w:rPr>
      </w:pPr>
    </w:p>
    <w:p w:rsidR="005366A8" w:rsidRPr="00F701F4" w:rsidRDefault="005366A8" w:rsidP="005366A8">
      <w:pPr>
        <w:rPr>
          <w:sz w:val="20"/>
          <w:szCs w:val="20"/>
          <w:highlight w:val="yellow"/>
          <w:rtl/>
        </w:rPr>
      </w:pPr>
      <w:r w:rsidRPr="00F701F4">
        <w:rPr>
          <w:rFonts w:hint="cs"/>
          <w:sz w:val="20"/>
          <w:szCs w:val="20"/>
          <w:highlight w:val="yellow"/>
          <w:rtl/>
        </w:rPr>
        <w:t xml:space="preserve">ב. הניחו כי בית המשפט העליון מורה על בטלות ההוראה המתקנת.  </w:t>
      </w:r>
    </w:p>
    <w:p w:rsidR="005366A8" w:rsidRPr="00F701F4" w:rsidRDefault="005366A8" w:rsidP="005366A8">
      <w:pPr>
        <w:rPr>
          <w:sz w:val="20"/>
          <w:szCs w:val="20"/>
          <w:highlight w:val="yellow"/>
          <w:rtl/>
        </w:rPr>
      </w:pPr>
      <w:r w:rsidRPr="00F701F4">
        <w:rPr>
          <w:rFonts w:hint="cs"/>
          <w:sz w:val="20"/>
          <w:szCs w:val="20"/>
          <w:highlight w:val="yellow"/>
          <w:rtl/>
        </w:rPr>
        <w:t>הניחו עוד, כי לאחר הביטול מחליטה הכנסת לחוקק את התיקון מחדש, אך מוסיפה לצידו הוראה, שזו לשונה: "הוראות סעיפים [סעיפי התיקון] תקפות על אף האמור בחוק יסוד: חופש העיסוק וחוק יסוד: כבוד האדם וחירותו".  הניחו כי התיקון החדש מתקבל ב"רוב של חברי הכנסת".</w:t>
      </w:r>
    </w:p>
    <w:p w:rsidR="005366A8" w:rsidRPr="00F701F4" w:rsidRDefault="005366A8" w:rsidP="005366A8">
      <w:pPr>
        <w:rPr>
          <w:sz w:val="20"/>
          <w:szCs w:val="20"/>
          <w:highlight w:val="yellow"/>
          <w:rtl/>
        </w:rPr>
      </w:pPr>
      <w:r w:rsidRPr="00F701F4">
        <w:rPr>
          <w:rFonts w:hint="cs"/>
          <w:sz w:val="20"/>
          <w:szCs w:val="20"/>
          <w:highlight w:val="yellow"/>
          <w:rtl/>
        </w:rPr>
        <w:t xml:space="preserve">עתה הניחו כי גם תיקון חדש זה מותקף.  </w:t>
      </w:r>
    </w:p>
    <w:p w:rsidR="005366A8" w:rsidRPr="00F701F4" w:rsidRDefault="005366A8" w:rsidP="005366A8">
      <w:pPr>
        <w:rPr>
          <w:sz w:val="20"/>
          <w:szCs w:val="20"/>
          <w:highlight w:val="yellow"/>
          <w:rtl/>
        </w:rPr>
      </w:pPr>
    </w:p>
    <w:p w:rsidR="005366A8" w:rsidRPr="00F701F4" w:rsidRDefault="005366A8" w:rsidP="005366A8">
      <w:pPr>
        <w:rPr>
          <w:sz w:val="20"/>
          <w:szCs w:val="20"/>
          <w:highlight w:val="yellow"/>
          <w:rtl/>
        </w:rPr>
      </w:pPr>
      <w:r w:rsidRPr="00F701F4">
        <w:rPr>
          <w:rFonts w:hint="cs"/>
          <w:sz w:val="20"/>
          <w:szCs w:val="20"/>
          <w:highlight w:val="yellow"/>
          <w:rtl/>
        </w:rPr>
        <w:t xml:space="preserve">ג. הניחו כי בית המשפט העליון מורה גם על בטלות התיקון החדש.  </w:t>
      </w:r>
    </w:p>
    <w:p w:rsidR="005366A8" w:rsidRPr="00F701F4" w:rsidRDefault="005366A8" w:rsidP="005366A8">
      <w:pPr>
        <w:rPr>
          <w:sz w:val="20"/>
          <w:szCs w:val="20"/>
          <w:highlight w:val="yellow"/>
          <w:rtl/>
        </w:rPr>
      </w:pPr>
      <w:r w:rsidRPr="00F701F4">
        <w:rPr>
          <w:rFonts w:hint="cs"/>
          <w:sz w:val="20"/>
          <w:szCs w:val="20"/>
          <w:highlight w:val="yellow"/>
          <w:rtl/>
        </w:rPr>
        <w:t xml:space="preserve">הכנסת מתקנת את </w:t>
      </w:r>
      <w:r w:rsidRPr="00F701F4">
        <w:rPr>
          <w:rFonts w:cs="David" w:hint="cs"/>
          <w:sz w:val="20"/>
          <w:szCs w:val="20"/>
          <w:highlight w:val="yellow"/>
          <w:rtl/>
        </w:rPr>
        <w:t>חוק יסוד: ירושלים</w:t>
      </w:r>
      <w:r w:rsidRPr="00F701F4">
        <w:rPr>
          <w:rFonts w:hint="cs"/>
          <w:sz w:val="20"/>
          <w:szCs w:val="20"/>
          <w:highlight w:val="yellow"/>
          <w:rtl/>
        </w:rPr>
        <w:t>, ומוסיפה את ההוראה הבאה, ובה שני סעיפי משנה:</w:t>
      </w:r>
    </w:p>
    <w:p w:rsidR="005366A8" w:rsidRPr="00F701F4" w:rsidRDefault="005366A8" w:rsidP="005366A8">
      <w:pPr>
        <w:ind w:left="720"/>
        <w:rPr>
          <w:rFonts w:cs="David"/>
          <w:sz w:val="20"/>
          <w:szCs w:val="20"/>
          <w:highlight w:val="yellow"/>
          <w:rtl/>
        </w:rPr>
      </w:pPr>
      <w:r w:rsidRPr="00F701F4">
        <w:rPr>
          <w:rFonts w:cs="David" w:hint="cs"/>
          <w:sz w:val="20"/>
          <w:szCs w:val="20"/>
          <w:highlight w:val="yellow"/>
          <w:rtl/>
        </w:rPr>
        <w:t xml:space="preserve">א. </w:t>
      </w:r>
      <w:r w:rsidRPr="00F701F4">
        <w:rPr>
          <w:rFonts w:cs="David"/>
          <w:sz w:val="20"/>
          <w:szCs w:val="20"/>
          <w:highlight w:val="yellow"/>
          <w:rtl/>
        </w:rPr>
        <w:t>לא ישמש אדם מורה דרך בתמורה, אלא אם כן יש בידיו רישיון תקף לפי חוק שירותי תיירות, התשל"ו–1976</w:t>
      </w:r>
      <w:r w:rsidRPr="00F701F4">
        <w:rPr>
          <w:rFonts w:cs="David" w:hint="cs"/>
          <w:sz w:val="20"/>
          <w:szCs w:val="20"/>
          <w:highlight w:val="yellow"/>
          <w:rtl/>
        </w:rPr>
        <w:t xml:space="preserve">;  </w:t>
      </w:r>
    </w:p>
    <w:p w:rsidR="005366A8" w:rsidRPr="00F701F4" w:rsidRDefault="005366A8" w:rsidP="005366A8">
      <w:pPr>
        <w:ind w:left="720"/>
        <w:rPr>
          <w:sz w:val="20"/>
          <w:szCs w:val="20"/>
          <w:highlight w:val="yellow"/>
          <w:rtl/>
        </w:rPr>
      </w:pPr>
      <w:r w:rsidRPr="00F701F4">
        <w:rPr>
          <w:rFonts w:cs="David" w:hint="cs"/>
          <w:sz w:val="20"/>
          <w:szCs w:val="20"/>
          <w:highlight w:val="yellow"/>
          <w:rtl/>
        </w:rPr>
        <w:t xml:space="preserve">ב. </w:t>
      </w:r>
      <w:r w:rsidRPr="00F701F4">
        <w:rPr>
          <w:rFonts w:cs="David"/>
          <w:sz w:val="20"/>
          <w:szCs w:val="20"/>
          <w:highlight w:val="yellow"/>
          <w:rtl/>
        </w:rPr>
        <w:t>נותן שירותי סוכנות נסיעות או גוף אחר, המארגן סיור בי</w:t>
      </w:r>
      <w:r w:rsidRPr="00F701F4">
        <w:rPr>
          <w:rFonts w:cs="David" w:hint="cs"/>
          <w:sz w:val="20"/>
          <w:szCs w:val="20"/>
          <w:highlight w:val="yellow"/>
          <w:rtl/>
        </w:rPr>
        <w:t>רושלים</w:t>
      </w:r>
      <w:r w:rsidRPr="00F701F4">
        <w:rPr>
          <w:rFonts w:cs="David"/>
          <w:sz w:val="20"/>
          <w:szCs w:val="20"/>
          <w:highlight w:val="yellow"/>
          <w:rtl/>
        </w:rPr>
        <w:t xml:space="preserve"> שבו משתתפים לפחות 11 תיירי חוץ, ידאג לכך שהסיור ילווה על ידי מורה דרך מורשה שהוא אזרח ישראלי.</w:t>
      </w:r>
    </w:p>
    <w:p w:rsidR="005366A8" w:rsidRPr="00F701F4" w:rsidRDefault="005366A8" w:rsidP="005366A8">
      <w:pPr>
        <w:rPr>
          <w:sz w:val="20"/>
          <w:szCs w:val="20"/>
          <w:rtl/>
        </w:rPr>
      </w:pPr>
      <w:r w:rsidRPr="00F701F4">
        <w:rPr>
          <w:rFonts w:hint="cs"/>
          <w:sz w:val="20"/>
          <w:szCs w:val="20"/>
          <w:highlight w:val="yellow"/>
          <w:rtl/>
        </w:rPr>
        <w:t xml:space="preserve">התיקון לחוק היסוד התקבל ברוב רגיל של חברי הכנסת.  </w:t>
      </w:r>
      <w:r w:rsidRPr="00F701F4">
        <w:rPr>
          <w:rFonts w:hint="cs"/>
          <w:b/>
          <w:bCs/>
          <w:sz w:val="20"/>
          <w:szCs w:val="20"/>
          <w:highlight w:val="yellow"/>
          <w:rtl/>
        </w:rPr>
        <w:t>סעיף משנה ב'</w:t>
      </w:r>
      <w:r w:rsidRPr="00F701F4">
        <w:rPr>
          <w:rFonts w:hint="cs"/>
          <w:sz w:val="20"/>
          <w:szCs w:val="20"/>
          <w:highlight w:val="yellow"/>
          <w:rtl/>
        </w:rPr>
        <w:t xml:space="preserve"> מותקף.</w:t>
      </w:r>
      <w:r w:rsidRPr="00F701F4">
        <w:rPr>
          <w:rFonts w:hint="cs"/>
          <w:sz w:val="20"/>
          <w:szCs w:val="20"/>
          <w:rtl/>
        </w:rPr>
        <w:t xml:space="preserve">  </w:t>
      </w:r>
    </w:p>
    <w:p w:rsidR="005366A8" w:rsidRDefault="005366A8" w:rsidP="005366A8">
      <w:pPr>
        <w:rPr>
          <w:rtl/>
        </w:rPr>
      </w:pPr>
    </w:p>
    <w:p w:rsidR="005366A8" w:rsidRDefault="005366A8" w:rsidP="005366A8">
      <w:pPr>
        <w:rPr>
          <w:rtl/>
        </w:rPr>
      </w:pPr>
      <w:r>
        <w:rPr>
          <w:rFonts w:hint="cs"/>
          <w:rtl/>
        </w:rPr>
        <w:t>=-=</w:t>
      </w:r>
    </w:p>
    <w:p w:rsidR="005366A8" w:rsidRPr="005B06C9" w:rsidRDefault="005366A8" w:rsidP="005366A8">
      <w:pPr>
        <w:spacing w:after="60"/>
        <w:rPr>
          <w:rFonts w:cs="Guttman-Soncino"/>
          <w:sz w:val="28"/>
          <w:szCs w:val="28"/>
          <w:highlight w:val="yellow"/>
          <w:rtl/>
        </w:rPr>
      </w:pPr>
      <w:r w:rsidRPr="005B06C9">
        <w:rPr>
          <w:rFonts w:cs="Guttman-Soncino" w:hint="cs"/>
          <w:sz w:val="28"/>
          <w:szCs w:val="28"/>
          <w:highlight w:val="yellow"/>
          <w:rtl/>
        </w:rPr>
        <w:t>מהלך הבדיקה/ הניתוח החוקתי:</w:t>
      </w:r>
    </w:p>
    <w:p w:rsidR="005366A8" w:rsidRDefault="005366A8" w:rsidP="005366A8">
      <w:pPr>
        <w:spacing w:after="120"/>
        <w:ind w:left="720"/>
        <w:rPr>
          <w:rFonts w:cs="Arial"/>
          <w:sz w:val="22"/>
          <w:szCs w:val="22"/>
          <w:rtl/>
        </w:rPr>
      </w:pPr>
      <w:r>
        <w:rPr>
          <w:rFonts w:cs="Arial" w:hint="cs"/>
          <w:b/>
          <w:bCs/>
          <w:sz w:val="22"/>
          <w:szCs w:val="22"/>
          <w:rtl/>
        </w:rPr>
        <w:t>"</w:t>
      </w:r>
      <w:r w:rsidRPr="0055770B">
        <w:rPr>
          <w:rFonts w:cs="Arial" w:hint="cs"/>
          <w:b/>
          <w:bCs/>
          <w:sz w:val="22"/>
          <w:szCs w:val="22"/>
          <w:u w:val="single"/>
          <w:rtl/>
        </w:rPr>
        <w:t>אין פוגעים</w:t>
      </w:r>
      <w:r w:rsidRPr="00F602C3">
        <w:rPr>
          <w:rFonts w:cs="David"/>
          <w:b/>
          <w:bCs/>
          <w:sz w:val="20"/>
          <w:szCs w:val="20"/>
          <w:rtl/>
        </w:rPr>
        <w:t xml:space="preserve"> </w:t>
      </w:r>
      <w:r w:rsidRPr="00F602C3">
        <w:rPr>
          <w:rFonts w:cs="Arial"/>
          <w:b/>
          <w:bCs/>
          <w:sz w:val="22"/>
          <w:szCs w:val="22"/>
          <w:rtl/>
        </w:rPr>
        <w:t>ב</w:t>
      </w:r>
      <w:r w:rsidRPr="0055770B">
        <w:rPr>
          <w:rFonts w:cs="Arial"/>
          <w:b/>
          <w:bCs/>
          <w:sz w:val="22"/>
          <w:szCs w:val="22"/>
          <w:u w:val="single"/>
          <w:rtl/>
        </w:rPr>
        <w:t>זכויות שלפי חוק-יסוד זה</w:t>
      </w:r>
      <w:r>
        <w:rPr>
          <w:rFonts w:cs="Arial" w:hint="cs"/>
          <w:sz w:val="22"/>
          <w:szCs w:val="22"/>
          <w:rtl/>
        </w:rPr>
        <w:t xml:space="preserve"> אלא... [בכפוף לתנאי </w:t>
      </w:r>
      <w:r w:rsidRPr="009F2730">
        <w:rPr>
          <w:rFonts w:cs="Arial" w:hint="cs"/>
          <w:sz w:val="22"/>
          <w:szCs w:val="22"/>
          <w:u w:val="single"/>
          <w:rtl/>
        </w:rPr>
        <w:t>"פסקת ההגבלה</w:t>
      </w:r>
      <w:r w:rsidRPr="005B06C9">
        <w:rPr>
          <w:rFonts w:cs="Arial" w:hint="cs"/>
          <w:sz w:val="22"/>
          <w:szCs w:val="22"/>
          <w:rtl/>
        </w:rPr>
        <w:t>]".</w:t>
      </w:r>
    </w:p>
    <w:p w:rsidR="005366A8" w:rsidRDefault="005366A8" w:rsidP="005366A8">
      <w:pPr>
        <w:spacing w:after="60"/>
        <w:ind w:left="1440"/>
        <w:rPr>
          <w:rFonts w:cs="Arial"/>
          <w:sz w:val="22"/>
          <w:szCs w:val="22"/>
          <w:rtl/>
        </w:rPr>
      </w:pPr>
      <w:r w:rsidRPr="00CD4C40">
        <w:rPr>
          <w:rFonts w:cs="Arial" w:hint="cs"/>
          <w:sz w:val="22"/>
          <w:szCs w:val="22"/>
          <w:rtl/>
        </w:rPr>
        <w:t>1</w:t>
      </w:r>
      <w:r>
        <w:rPr>
          <w:rFonts w:cs="Arial" w:hint="cs"/>
          <w:b/>
          <w:bCs/>
          <w:sz w:val="22"/>
          <w:szCs w:val="22"/>
          <w:rtl/>
        </w:rPr>
        <w:t xml:space="preserve">. </w:t>
      </w:r>
      <w:r w:rsidRPr="005B06C9">
        <w:rPr>
          <w:rFonts w:cs="Arial" w:hint="cs"/>
          <w:b/>
          <w:bCs/>
          <w:sz w:val="22"/>
          <w:szCs w:val="22"/>
          <w:highlight w:val="yellow"/>
          <w:rtl/>
        </w:rPr>
        <w:t>"</w:t>
      </w:r>
      <w:r w:rsidRPr="005B06C9">
        <w:rPr>
          <w:rFonts w:cs="Arial" w:hint="cs"/>
          <w:b/>
          <w:bCs/>
          <w:sz w:val="22"/>
          <w:szCs w:val="22"/>
          <w:highlight w:val="yellow"/>
          <w:u w:val="single"/>
          <w:rtl/>
        </w:rPr>
        <w:t>אין פוגעים</w:t>
      </w:r>
      <w:r w:rsidRPr="005B06C9">
        <w:rPr>
          <w:rFonts w:cs="Arial" w:hint="cs"/>
          <w:b/>
          <w:bCs/>
          <w:sz w:val="22"/>
          <w:szCs w:val="22"/>
          <w:highlight w:val="yellow"/>
          <w:rtl/>
        </w:rPr>
        <w:t>"</w:t>
      </w:r>
      <w:r>
        <w:rPr>
          <w:rFonts w:cs="Arial" w:hint="cs"/>
          <w:sz w:val="22"/>
          <w:szCs w:val="22"/>
          <w:rtl/>
        </w:rPr>
        <w:t xml:space="preserve"> </w:t>
      </w:r>
      <w:r>
        <w:rPr>
          <w:rFonts w:cs="Arial"/>
          <w:sz w:val="22"/>
          <w:szCs w:val="22"/>
          <w:rtl/>
        </w:rPr>
        <w:t>–</w:t>
      </w:r>
      <w:r>
        <w:rPr>
          <w:rFonts w:cs="Arial" w:hint="cs"/>
          <w:sz w:val="22"/>
          <w:szCs w:val="22"/>
          <w:rtl/>
        </w:rPr>
        <w:t xml:space="preserve"> </w:t>
      </w:r>
      <w:r w:rsidRPr="005B06C9">
        <w:rPr>
          <w:rFonts w:cs="Arial" w:hint="cs"/>
          <w:sz w:val="22"/>
          <w:szCs w:val="22"/>
          <w:rtl/>
        </w:rPr>
        <w:t>האם החוק הנבחן חוקתית כלל פוגע (= שולל, מגביל) בזכות יסוד?</w:t>
      </w:r>
    </w:p>
    <w:p w:rsidR="005366A8" w:rsidRDefault="005366A8" w:rsidP="005366A8">
      <w:pPr>
        <w:spacing w:after="60"/>
        <w:ind w:left="1440"/>
        <w:rPr>
          <w:rFonts w:cs="Arial"/>
          <w:sz w:val="22"/>
          <w:szCs w:val="22"/>
          <w:rtl/>
        </w:rPr>
      </w:pPr>
      <w:r>
        <w:rPr>
          <w:rFonts w:cs="Arial" w:hint="cs"/>
          <w:sz w:val="22"/>
          <w:szCs w:val="22"/>
          <w:rtl/>
        </w:rPr>
        <w:t xml:space="preserve">2. האם הפגיעה היא </w:t>
      </w:r>
      <w:r w:rsidRPr="005B06C9">
        <w:rPr>
          <w:rFonts w:cs="Arial" w:hint="cs"/>
          <w:b/>
          <w:bCs/>
          <w:sz w:val="22"/>
          <w:szCs w:val="22"/>
          <w:highlight w:val="yellow"/>
          <w:u w:val="single"/>
          <w:rtl/>
        </w:rPr>
        <w:t>בזכות-היסוד מוגנת</w:t>
      </w:r>
      <w:r w:rsidRPr="005B06C9">
        <w:rPr>
          <w:rFonts w:cs="Arial" w:hint="cs"/>
          <w:sz w:val="22"/>
          <w:szCs w:val="22"/>
          <w:highlight w:val="yellow"/>
          <w:u w:val="single"/>
          <w:rtl/>
        </w:rPr>
        <w:t xml:space="preserve"> </w:t>
      </w:r>
      <w:r w:rsidRPr="005B06C9">
        <w:rPr>
          <w:rFonts w:cs="Arial" w:hint="cs"/>
          <w:b/>
          <w:bCs/>
          <w:sz w:val="22"/>
          <w:szCs w:val="22"/>
          <w:highlight w:val="yellow"/>
          <w:u w:val="single"/>
          <w:rtl/>
        </w:rPr>
        <w:t>ב"חוק יסוד"</w:t>
      </w:r>
      <w:r>
        <w:rPr>
          <w:rFonts w:cs="Arial" w:hint="cs"/>
          <w:sz w:val="22"/>
          <w:szCs w:val="22"/>
          <w:rtl/>
        </w:rPr>
        <w:t xml:space="preserve"> </w:t>
      </w:r>
      <w:r>
        <w:rPr>
          <w:rFonts w:cs="Arial"/>
          <w:sz w:val="22"/>
          <w:szCs w:val="22"/>
          <w:rtl/>
        </w:rPr>
        <w:t>–</w:t>
      </w:r>
      <w:r>
        <w:rPr>
          <w:rFonts w:cs="Arial" w:hint="cs"/>
          <w:sz w:val="22"/>
          <w:szCs w:val="22"/>
          <w:rtl/>
        </w:rPr>
        <w:t xml:space="preserve"> </w:t>
      </w:r>
      <w:r w:rsidRPr="005B06C9">
        <w:rPr>
          <w:rFonts w:cs="Arial" w:hint="cs"/>
          <w:sz w:val="22"/>
          <w:szCs w:val="22"/>
          <w:rtl/>
        </w:rPr>
        <w:t>כלומר האם הזכות הנפגעת היא חוקתית?</w:t>
      </w:r>
      <w:r>
        <w:rPr>
          <w:rFonts w:cs="Arial" w:hint="cs"/>
          <w:sz w:val="22"/>
          <w:szCs w:val="22"/>
          <w:rtl/>
        </w:rPr>
        <w:t xml:space="preserve"> </w:t>
      </w:r>
    </w:p>
    <w:p w:rsidR="005366A8" w:rsidRDefault="005366A8" w:rsidP="005366A8">
      <w:pPr>
        <w:spacing w:after="120"/>
        <w:ind w:left="1440"/>
        <w:rPr>
          <w:rFonts w:cs="Arial"/>
          <w:sz w:val="22"/>
          <w:szCs w:val="22"/>
          <w:u w:val="single"/>
          <w:rtl/>
        </w:rPr>
      </w:pPr>
      <w:r>
        <w:rPr>
          <w:rFonts w:cs="Arial" w:hint="cs"/>
          <w:sz w:val="22"/>
          <w:szCs w:val="22"/>
          <w:rtl/>
        </w:rPr>
        <w:t xml:space="preserve">3. (רק) אם חצינו את שתי משוכות הללו הגענו אל </w:t>
      </w:r>
      <w:r w:rsidRPr="005B06C9">
        <w:rPr>
          <w:rFonts w:cs="Arial" w:hint="cs"/>
          <w:sz w:val="22"/>
          <w:szCs w:val="22"/>
          <w:highlight w:val="yellow"/>
          <w:u w:val="single"/>
          <w:rtl/>
        </w:rPr>
        <w:t xml:space="preserve">מרכיביה הבסיסיים של </w:t>
      </w:r>
      <w:r w:rsidRPr="005B06C9">
        <w:rPr>
          <w:rFonts w:cs="Arial" w:hint="cs"/>
          <w:b/>
          <w:bCs/>
          <w:sz w:val="22"/>
          <w:szCs w:val="22"/>
          <w:highlight w:val="yellow"/>
          <w:u w:val="single"/>
          <w:rtl/>
        </w:rPr>
        <w:t>"פסקת ההגבלה"</w:t>
      </w:r>
    </w:p>
    <w:p w:rsidR="005366A8" w:rsidRPr="005B06C9" w:rsidRDefault="005366A8" w:rsidP="005366A8">
      <w:pPr>
        <w:spacing w:after="120"/>
        <w:jc w:val="center"/>
        <w:rPr>
          <w:rFonts w:cs="Guttman-Soncino"/>
          <w:b/>
          <w:bCs/>
          <w:sz w:val="28"/>
          <w:szCs w:val="28"/>
          <w:rtl/>
        </w:rPr>
      </w:pPr>
      <w:r w:rsidRPr="005B06C9">
        <w:rPr>
          <w:rFonts w:cs="Guttman-Soncino" w:hint="cs"/>
          <w:b/>
          <w:bCs/>
          <w:sz w:val="28"/>
          <w:szCs w:val="28"/>
          <w:highlight w:val="yellow"/>
          <w:rtl/>
        </w:rPr>
        <w:t xml:space="preserve">שלב 3: </w:t>
      </w:r>
      <w:r w:rsidRPr="005B06C9">
        <w:rPr>
          <w:rFonts w:cs="Guttman-Soncino"/>
          <w:b/>
          <w:bCs/>
          <w:sz w:val="28"/>
          <w:szCs w:val="28"/>
          <w:highlight w:val="yellow"/>
          <w:rtl/>
        </w:rPr>
        <w:t>מרכיבי פסקת ההגבלה</w:t>
      </w:r>
    </w:p>
    <w:p w:rsidR="005366A8" w:rsidRPr="00342995" w:rsidRDefault="005366A8" w:rsidP="005366A8">
      <w:pPr>
        <w:spacing w:after="60"/>
        <w:ind w:left="2160"/>
        <w:rPr>
          <w:rFonts w:cs="Arial"/>
          <w:sz w:val="22"/>
          <w:szCs w:val="22"/>
          <w:rtl/>
        </w:rPr>
      </w:pPr>
      <w:r w:rsidRPr="00342995">
        <w:rPr>
          <w:rFonts w:cs="Arial"/>
          <w:sz w:val="22"/>
          <w:szCs w:val="22"/>
          <w:rtl/>
        </w:rPr>
        <w:t xml:space="preserve">א. </w:t>
      </w:r>
      <w:r w:rsidRPr="00342995">
        <w:rPr>
          <w:rFonts w:cs="Arial" w:hint="cs"/>
          <w:b/>
          <w:bCs/>
          <w:sz w:val="22"/>
          <w:szCs w:val="22"/>
          <w:rtl/>
        </w:rPr>
        <w:t>"אלא בחוק</w:t>
      </w:r>
      <w:r>
        <w:rPr>
          <w:rFonts w:cs="Arial" w:hint="cs"/>
          <w:b/>
          <w:bCs/>
          <w:sz w:val="22"/>
          <w:szCs w:val="22"/>
          <w:rtl/>
        </w:rPr>
        <w:t>...</w:t>
      </w:r>
      <w:r w:rsidRPr="00342995">
        <w:rPr>
          <w:rFonts w:cs="Arial" w:hint="cs"/>
          <w:b/>
          <w:bCs/>
          <w:sz w:val="22"/>
          <w:szCs w:val="22"/>
          <w:rtl/>
        </w:rPr>
        <w:t xml:space="preserve"> או </w:t>
      </w:r>
      <w:r>
        <w:rPr>
          <w:rFonts w:cs="Arial" w:hint="cs"/>
          <w:b/>
          <w:bCs/>
          <w:sz w:val="22"/>
          <w:szCs w:val="22"/>
          <w:rtl/>
        </w:rPr>
        <w:t xml:space="preserve">מכוח </w:t>
      </w:r>
      <w:r w:rsidRPr="00342995">
        <w:rPr>
          <w:rFonts w:cs="Arial" w:hint="cs"/>
          <w:b/>
          <w:bCs/>
          <w:sz w:val="22"/>
          <w:szCs w:val="22"/>
          <w:rtl/>
        </w:rPr>
        <w:t>הסמכה מפורשת בו"</w:t>
      </w:r>
      <w:r w:rsidRPr="00342995">
        <w:rPr>
          <w:rFonts w:cs="Arial"/>
          <w:b/>
          <w:bCs/>
          <w:sz w:val="22"/>
          <w:szCs w:val="22"/>
          <w:rtl/>
        </w:rPr>
        <w:t xml:space="preserve"> </w:t>
      </w:r>
    </w:p>
    <w:p w:rsidR="005366A8" w:rsidRPr="00342995" w:rsidRDefault="005366A8" w:rsidP="005366A8">
      <w:pPr>
        <w:spacing w:after="60"/>
        <w:ind w:left="2160"/>
        <w:rPr>
          <w:rFonts w:cs="Arial"/>
          <w:sz w:val="22"/>
          <w:szCs w:val="22"/>
          <w:rtl/>
        </w:rPr>
      </w:pPr>
      <w:r w:rsidRPr="00342995">
        <w:rPr>
          <w:rFonts w:cs="Arial"/>
          <w:sz w:val="22"/>
          <w:szCs w:val="22"/>
          <w:rtl/>
        </w:rPr>
        <w:t xml:space="preserve">ב. </w:t>
      </w:r>
      <w:r>
        <w:rPr>
          <w:rFonts w:cs="Arial" w:hint="cs"/>
          <w:sz w:val="22"/>
          <w:szCs w:val="22"/>
          <w:rtl/>
        </w:rPr>
        <w:t>(</w:t>
      </w:r>
      <w:r w:rsidRPr="00342995">
        <w:rPr>
          <w:rFonts w:cs="Arial"/>
          <w:sz w:val="22"/>
          <w:szCs w:val="22"/>
          <w:rtl/>
        </w:rPr>
        <w:t>חוק</w:t>
      </w:r>
      <w:r>
        <w:rPr>
          <w:rFonts w:cs="Arial" w:hint="cs"/>
          <w:sz w:val="22"/>
          <w:szCs w:val="22"/>
          <w:rtl/>
        </w:rPr>
        <w:t>)</w:t>
      </w:r>
      <w:r w:rsidRPr="00342995">
        <w:rPr>
          <w:rFonts w:cs="Arial"/>
          <w:sz w:val="22"/>
          <w:szCs w:val="22"/>
          <w:rtl/>
        </w:rPr>
        <w:t xml:space="preserve"> </w:t>
      </w:r>
      <w:r w:rsidRPr="00342995">
        <w:rPr>
          <w:rFonts w:cs="Arial" w:hint="cs"/>
          <w:sz w:val="22"/>
          <w:szCs w:val="22"/>
          <w:rtl/>
        </w:rPr>
        <w:t>"</w:t>
      </w:r>
      <w:r w:rsidRPr="00342995">
        <w:rPr>
          <w:rFonts w:cs="Arial"/>
          <w:sz w:val="22"/>
          <w:szCs w:val="22"/>
          <w:rtl/>
        </w:rPr>
        <w:t xml:space="preserve">ההולם את </w:t>
      </w:r>
      <w:r w:rsidRPr="00342995">
        <w:rPr>
          <w:rFonts w:cs="Arial"/>
          <w:b/>
          <w:bCs/>
          <w:sz w:val="22"/>
          <w:szCs w:val="22"/>
          <w:rtl/>
        </w:rPr>
        <w:t>ערכיה של מדינת ישראל</w:t>
      </w:r>
      <w:r w:rsidRPr="00342995">
        <w:rPr>
          <w:rFonts w:cs="Arial"/>
          <w:sz w:val="22"/>
          <w:szCs w:val="22"/>
          <w:rtl/>
        </w:rPr>
        <w:t>"</w:t>
      </w:r>
    </w:p>
    <w:p w:rsidR="005366A8" w:rsidRPr="00342995" w:rsidRDefault="005366A8" w:rsidP="005366A8">
      <w:pPr>
        <w:spacing w:after="60"/>
        <w:ind w:left="2160"/>
        <w:rPr>
          <w:rFonts w:cs="Arial"/>
          <w:sz w:val="22"/>
          <w:szCs w:val="22"/>
          <w:rtl/>
        </w:rPr>
      </w:pPr>
      <w:r w:rsidRPr="00342995">
        <w:rPr>
          <w:rFonts w:cs="Arial"/>
          <w:sz w:val="22"/>
          <w:szCs w:val="22"/>
          <w:rtl/>
        </w:rPr>
        <w:t>ג. "שנועד ל</w:t>
      </w:r>
      <w:r w:rsidRPr="00342995">
        <w:rPr>
          <w:rFonts w:cs="Arial"/>
          <w:b/>
          <w:bCs/>
          <w:sz w:val="22"/>
          <w:szCs w:val="22"/>
          <w:rtl/>
        </w:rPr>
        <w:t>תכלית ראויה</w:t>
      </w:r>
      <w:r w:rsidRPr="00342995">
        <w:rPr>
          <w:rFonts w:cs="Arial"/>
          <w:sz w:val="22"/>
          <w:szCs w:val="22"/>
          <w:rtl/>
        </w:rPr>
        <w:t>"</w:t>
      </w:r>
    </w:p>
    <w:p w:rsidR="005366A8" w:rsidRDefault="005366A8" w:rsidP="005366A8">
      <w:pPr>
        <w:spacing w:after="60"/>
        <w:ind w:left="2160"/>
        <w:rPr>
          <w:rFonts w:ascii="Arial" w:hAnsi="Arial" w:cs="Arial"/>
          <w:sz w:val="22"/>
          <w:szCs w:val="22"/>
          <w:rtl/>
        </w:rPr>
      </w:pPr>
      <w:r w:rsidRPr="00342995">
        <w:rPr>
          <w:rFonts w:cs="Arial"/>
          <w:sz w:val="22"/>
          <w:szCs w:val="22"/>
          <w:rtl/>
        </w:rPr>
        <w:t xml:space="preserve">ד. </w:t>
      </w:r>
      <w:r w:rsidRPr="00342995">
        <w:rPr>
          <w:rFonts w:cs="Arial"/>
          <w:b/>
          <w:bCs/>
          <w:sz w:val="22"/>
          <w:szCs w:val="22"/>
          <w:rtl/>
        </w:rPr>
        <w:t xml:space="preserve">"ובמידה שאינה עולה על הנדרש" </w:t>
      </w:r>
      <w:r w:rsidRPr="00342995">
        <w:rPr>
          <w:sz w:val="22"/>
          <w:szCs w:val="22"/>
          <w:rtl/>
        </w:rPr>
        <w:t>–</w:t>
      </w:r>
      <w:r w:rsidRPr="00342995">
        <w:rPr>
          <w:rFonts w:hint="cs"/>
          <w:sz w:val="22"/>
          <w:szCs w:val="22"/>
          <w:rtl/>
        </w:rPr>
        <w:t xml:space="preserve"> </w:t>
      </w:r>
    </w:p>
    <w:p w:rsidR="005366A8" w:rsidRDefault="005366A8" w:rsidP="005366A8">
      <w:pPr>
        <w:spacing w:after="60"/>
        <w:ind w:left="2880"/>
        <w:rPr>
          <w:rFonts w:cs="Arial"/>
          <w:sz w:val="22"/>
          <w:szCs w:val="22"/>
          <w:rtl/>
        </w:rPr>
      </w:pPr>
      <w:r w:rsidRPr="004F5D7B">
        <w:rPr>
          <w:rFonts w:ascii="Arial" w:hAnsi="Arial" w:cs="Arial"/>
          <w:sz w:val="22"/>
          <w:szCs w:val="22"/>
          <w:rtl/>
        </w:rPr>
        <w:t>זו</w:t>
      </w:r>
      <w:r>
        <w:rPr>
          <w:rFonts w:hint="cs"/>
          <w:sz w:val="22"/>
          <w:szCs w:val="22"/>
          <w:rtl/>
        </w:rPr>
        <w:t xml:space="preserve"> </w:t>
      </w:r>
      <w:r w:rsidRPr="00342995">
        <w:rPr>
          <w:rFonts w:cs="Arial"/>
          <w:sz w:val="22"/>
          <w:szCs w:val="22"/>
          <w:rtl/>
        </w:rPr>
        <w:t>דרישת המידתיות</w:t>
      </w:r>
      <w:r>
        <w:rPr>
          <w:rFonts w:cs="Arial" w:hint="cs"/>
          <w:sz w:val="22"/>
          <w:szCs w:val="22"/>
          <w:rtl/>
        </w:rPr>
        <w:t xml:space="preserve">, על שלושת מבחני-המשנה </w:t>
      </w:r>
      <w:r w:rsidRPr="00B55FFF">
        <w:rPr>
          <w:rFonts w:cs="Arial" w:hint="cs"/>
          <w:sz w:val="22"/>
          <w:szCs w:val="22"/>
          <w:u w:val="single"/>
          <w:rtl/>
        </w:rPr>
        <w:t>המצטברים</w:t>
      </w:r>
      <w:r>
        <w:rPr>
          <w:rFonts w:cs="Arial" w:hint="cs"/>
          <w:sz w:val="22"/>
          <w:szCs w:val="22"/>
          <w:rtl/>
        </w:rPr>
        <w:t xml:space="preserve"> שלה:</w:t>
      </w:r>
    </w:p>
    <w:p w:rsidR="005366A8" w:rsidRPr="005B06C9" w:rsidRDefault="005366A8" w:rsidP="005366A8">
      <w:pPr>
        <w:ind w:left="2880"/>
        <w:rPr>
          <w:rFonts w:cs="Arial"/>
          <w:sz w:val="22"/>
          <w:szCs w:val="22"/>
          <w:highlight w:val="yellow"/>
          <w:rtl/>
        </w:rPr>
      </w:pPr>
      <w:r w:rsidRPr="005B06C9">
        <w:rPr>
          <w:rFonts w:cs="Arial" w:hint="cs"/>
          <w:sz w:val="22"/>
          <w:szCs w:val="22"/>
          <w:highlight w:val="yellow"/>
          <w:rtl/>
        </w:rPr>
        <w:t>(1) קשר רציונאלי;</w:t>
      </w:r>
    </w:p>
    <w:p w:rsidR="005366A8" w:rsidRPr="005B06C9" w:rsidRDefault="005366A8" w:rsidP="005366A8">
      <w:pPr>
        <w:ind w:left="2880"/>
        <w:rPr>
          <w:rFonts w:cs="Arial"/>
          <w:sz w:val="22"/>
          <w:szCs w:val="22"/>
          <w:highlight w:val="yellow"/>
          <w:rtl/>
        </w:rPr>
      </w:pPr>
      <w:r w:rsidRPr="005B06C9">
        <w:rPr>
          <w:rFonts w:cs="Arial" w:hint="cs"/>
          <w:sz w:val="22"/>
          <w:szCs w:val="22"/>
          <w:highlight w:val="yellow"/>
          <w:rtl/>
        </w:rPr>
        <w:t>(2) האמצעי שפגיעתו פחותה;</w:t>
      </w:r>
    </w:p>
    <w:p w:rsidR="005366A8" w:rsidRDefault="005366A8" w:rsidP="005366A8">
      <w:pPr>
        <w:ind w:left="2880"/>
        <w:rPr>
          <w:rFonts w:cs="Arial"/>
          <w:sz w:val="22"/>
          <w:szCs w:val="22"/>
          <w:rtl/>
        </w:rPr>
      </w:pPr>
      <w:r w:rsidRPr="005B06C9">
        <w:rPr>
          <w:rFonts w:cs="Arial" w:hint="cs"/>
          <w:sz w:val="22"/>
          <w:szCs w:val="22"/>
          <w:highlight w:val="yellow"/>
          <w:rtl/>
        </w:rPr>
        <w:t>(3) מידתיות במובן הצר.</w:t>
      </w:r>
    </w:p>
    <w:p w:rsidR="005366A8" w:rsidRDefault="005366A8" w:rsidP="005366A8">
      <w:pPr>
        <w:rPr>
          <w:rtl/>
        </w:rPr>
      </w:pPr>
      <w:r>
        <w:rPr>
          <w:rFonts w:hint="cs"/>
          <w:rtl/>
        </w:rPr>
        <w:t>=-=</w:t>
      </w:r>
    </w:p>
    <w:p w:rsidR="005366A8" w:rsidRDefault="005366A8" w:rsidP="005366A8">
      <w:pPr>
        <w:rPr>
          <w:rtl/>
        </w:rPr>
      </w:pPr>
    </w:p>
    <w:p w:rsidR="005366A8" w:rsidRPr="005B06C9" w:rsidRDefault="005366A8" w:rsidP="005366A8">
      <w:pPr>
        <w:jc w:val="center"/>
        <w:rPr>
          <w:rFonts w:cs="Guttman-Soncino"/>
          <w:sz w:val="28"/>
          <w:szCs w:val="28"/>
          <w:rtl/>
        </w:rPr>
      </w:pPr>
      <w:r w:rsidRPr="00B55FFF">
        <w:rPr>
          <w:rFonts w:cs="Guttman-Soncino"/>
          <w:sz w:val="28"/>
          <w:szCs w:val="28"/>
          <w:highlight w:val="yellow"/>
          <w:rtl/>
        </w:rPr>
        <w:t xml:space="preserve">א. </w:t>
      </w:r>
      <w:r w:rsidRPr="00B55FFF">
        <w:rPr>
          <w:rFonts w:cs="Guttman-Soncino" w:hint="cs"/>
          <w:b/>
          <w:bCs/>
          <w:sz w:val="28"/>
          <w:szCs w:val="28"/>
          <w:highlight w:val="yellow"/>
          <w:rtl/>
        </w:rPr>
        <w:t>"אלא בחוק... או מכוח הסמכה מפורשת בו"</w:t>
      </w:r>
    </w:p>
    <w:p w:rsidR="005366A8" w:rsidRDefault="005366A8" w:rsidP="005366A8">
      <w:pPr>
        <w:rPr>
          <w:rtl/>
        </w:rPr>
      </w:pPr>
    </w:p>
    <w:p w:rsidR="005366A8" w:rsidRDefault="005366A8" w:rsidP="005366A8">
      <w:pPr>
        <w:rPr>
          <w:rFonts w:ascii="Arial" w:hAnsi="Arial" w:cs="Arial"/>
          <w:b/>
          <w:bCs/>
          <w:sz w:val="20"/>
          <w:szCs w:val="20"/>
          <w:rtl/>
        </w:rPr>
      </w:pPr>
      <w:r>
        <w:rPr>
          <w:rFonts w:ascii="Arial" w:hAnsi="Arial" w:cs="Arial" w:hint="cs"/>
          <w:b/>
          <w:bCs/>
          <w:sz w:val="20"/>
          <w:szCs w:val="20"/>
          <w:rtl/>
        </w:rPr>
        <w:t xml:space="preserve">בפסק הדין של </w:t>
      </w:r>
      <w:r w:rsidRPr="00B55FFF">
        <w:rPr>
          <w:rFonts w:ascii="Arial" w:hAnsi="Arial" w:cs="Arial" w:hint="cs"/>
          <w:b/>
          <w:bCs/>
          <w:i/>
          <w:iCs/>
          <w:sz w:val="20"/>
          <w:szCs w:val="20"/>
          <w:rtl/>
        </w:rPr>
        <w:t>מנאע</w:t>
      </w:r>
      <w:r>
        <w:rPr>
          <w:rFonts w:ascii="Arial" w:hAnsi="Arial" w:cs="Arial" w:hint="cs"/>
          <w:b/>
          <w:bCs/>
          <w:sz w:val="20"/>
          <w:szCs w:val="20"/>
          <w:rtl/>
        </w:rPr>
        <w:t xml:space="preserve"> מתקיים </w:t>
      </w:r>
      <w:r w:rsidRPr="001A0301">
        <w:rPr>
          <w:rFonts w:ascii="Arial" w:hAnsi="Arial" w:cs="Arial" w:hint="cs"/>
          <w:b/>
          <w:bCs/>
          <w:sz w:val="20"/>
          <w:szCs w:val="20"/>
          <w:rtl/>
        </w:rPr>
        <w:t xml:space="preserve">ליבון מקיף של התנאי הראשון </w:t>
      </w:r>
      <w:r>
        <w:rPr>
          <w:rFonts w:ascii="Arial" w:hAnsi="Arial" w:cs="Arial" w:hint="cs"/>
          <w:b/>
          <w:bCs/>
          <w:sz w:val="20"/>
          <w:szCs w:val="20"/>
          <w:rtl/>
        </w:rPr>
        <w:t>של פסקת ההגבלה;</w:t>
      </w:r>
      <w:r w:rsidRPr="001A0301">
        <w:rPr>
          <w:rFonts w:ascii="Arial" w:hAnsi="Arial" w:cs="Arial" w:hint="cs"/>
          <w:b/>
          <w:bCs/>
          <w:sz w:val="20"/>
          <w:szCs w:val="20"/>
          <w:rtl/>
        </w:rPr>
        <w:t xml:space="preserve"> </w:t>
      </w:r>
    </w:p>
    <w:p w:rsidR="005366A8" w:rsidRPr="005B06C9" w:rsidRDefault="005366A8" w:rsidP="005366A8">
      <w:pPr>
        <w:rPr>
          <w:rFonts w:ascii="Arial" w:hAnsi="Arial" w:cs="Arial"/>
          <w:sz w:val="20"/>
          <w:szCs w:val="20"/>
          <w:rtl/>
        </w:rPr>
      </w:pPr>
      <w:r>
        <w:rPr>
          <w:rFonts w:ascii="Arial" w:hAnsi="Arial" w:cs="Arial" w:hint="cs"/>
          <w:sz w:val="20"/>
          <w:szCs w:val="20"/>
          <w:rtl/>
        </w:rPr>
        <w:t>ליבון זה מצטרף לדברים שפרטתי בהקשר זה בדפי הפגישה הקודמת (חזרו ועיינו שם).</w:t>
      </w:r>
    </w:p>
    <w:p w:rsidR="005366A8" w:rsidRPr="001A0301" w:rsidRDefault="005366A8" w:rsidP="005366A8">
      <w:pPr>
        <w:rPr>
          <w:rFonts w:ascii="Arial" w:hAnsi="Arial" w:cs="Arial"/>
          <w:b/>
          <w:bCs/>
          <w:sz w:val="20"/>
          <w:szCs w:val="20"/>
          <w:rtl/>
        </w:rPr>
      </w:pPr>
    </w:p>
    <w:p w:rsidR="005366A8" w:rsidRPr="00A23B49" w:rsidRDefault="005366A8" w:rsidP="005366A8">
      <w:pPr>
        <w:jc w:val="center"/>
        <w:rPr>
          <w:rtl/>
        </w:rPr>
      </w:pPr>
      <w:r w:rsidRPr="0015092A">
        <w:rPr>
          <w:highlight w:val="yellow"/>
          <w:rtl/>
        </w:rPr>
        <w:t xml:space="preserve">בג"צ 6824/07 </w:t>
      </w:r>
      <w:r w:rsidRPr="0015092A">
        <w:rPr>
          <w:b/>
          <w:bCs/>
          <w:highlight w:val="yellow"/>
          <w:rtl/>
        </w:rPr>
        <w:t>מנאע נ' רשות המיסים</w:t>
      </w:r>
      <w:r w:rsidRPr="0015092A">
        <w:rPr>
          <w:highlight w:val="yellow"/>
          <w:rtl/>
        </w:rPr>
        <w:t xml:space="preserve"> (2010)</w:t>
      </w:r>
    </w:p>
    <w:p w:rsidR="005366A8" w:rsidRDefault="005366A8" w:rsidP="005366A8">
      <w:pPr>
        <w:rPr>
          <w:rFonts w:ascii="Arial" w:hAnsi="Arial" w:cs="Arial"/>
          <w:sz w:val="20"/>
          <w:szCs w:val="20"/>
          <w:rtl/>
        </w:rPr>
      </w:pPr>
    </w:p>
    <w:p w:rsidR="005366A8" w:rsidRPr="00F7292D" w:rsidRDefault="005366A8" w:rsidP="005366A8">
      <w:pPr>
        <w:rPr>
          <w:rFonts w:ascii="Arial" w:hAnsi="Arial" w:cs="Arial"/>
          <w:i/>
          <w:iCs/>
          <w:sz w:val="20"/>
          <w:szCs w:val="20"/>
          <w:rtl/>
        </w:rPr>
      </w:pPr>
      <w:r w:rsidRPr="00F7292D">
        <w:rPr>
          <w:rFonts w:ascii="Arial" w:hAnsi="Arial" w:cs="Arial" w:hint="cs"/>
          <w:i/>
          <w:iCs/>
          <w:sz w:val="20"/>
          <w:szCs w:val="20"/>
          <w:rtl/>
        </w:rPr>
        <w:t>האם המשיבים, רשות המיסים והמוסד לביטוח לאומי, מוסמכים לגבות חובות באמצעות עיכוב החייבים במחסומי דרכים שהוצבו לצרכים מבצעיים על-ידי כוחות שיטור, ו</w:t>
      </w:r>
      <w:r>
        <w:rPr>
          <w:rFonts w:ascii="Arial" w:hAnsi="Arial" w:cs="Arial" w:hint="cs"/>
          <w:i/>
          <w:iCs/>
          <w:sz w:val="20"/>
          <w:szCs w:val="20"/>
          <w:rtl/>
        </w:rPr>
        <w:t xml:space="preserve">באמצעות </w:t>
      </w:r>
      <w:r w:rsidRPr="00F7292D">
        <w:rPr>
          <w:rFonts w:ascii="Arial" w:hAnsi="Arial" w:cs="Arial" w:hint="cs"/>
          <w:i/>
          <w:iCs/>
          <w:sz w:val="20"/>
          <w:szCs w:val="20"/>
          <w:rtl/>
        </w:rPr>
        <w:t>עיקול רכבו של חייב שאינו משלם את חובו (או חלק מחובו) על</w:t>
      </w:r>
      <w:r>
        <w:rPr>
          <w:rFonts w:ascii="Arial" w:hAnsi="Arial" w:cs="Arial" w:hint="cs"/>
          <w:i/>
          <w:iCs/>
          <w:sz w:val="20"/>
          <w:szCs w:val="20"/>
          <w:rtl/>
        </w:rPr>
        <w:t>-</w:t>
      </w:r>
      <w:r w:rsidRPr="00F7292D">
        <w:rPr>
          <w:rFonts w:ascii="Arial" w:hAnsi="Arial" w:cs="Arial" w:hint="cs"/>
          <w:i/>
          <w:iCs/>
          <w:sz w:val="20"/>
          <w:szCs w:val="20"/>
          <w:rtl/>
        </w:rPr>
        <w:t xml:space="preserve">אתר [כלומר, </w:t>
      </w:r>
      <w:r>
        <w:rPr>
          <w:rFonts w:ascii="Arial" w:hAnsi="Arial" w:cs="Arial" w:hint="cs"/>
          <w:i/>
          <w:iCs/>
          <w:sz w:val="20"/>
          <w:szCs w:val="20"/>
          <w:rtl/>
        </w:rPr>
        <w:t>כאן ועכשיו/ בו-</w:t>
      </w:r>
      <w:r w:rsidRPr="00F7292D">
        <w:rPr>
          <w:rFonts w:ascii="Arial" w:hAnsi="Arial" w:cs="Arial" w:hint="cs"/>
          <w:i/>
          <w:iCs/>
          <w:sz w:val="20"/>
          <w:szCs w:val="20"/>
          <w:rtl/>
        </w:rPr>
        <w:t>במקום]?</w:t>
      </w:r>
    </w:p>
    <w:p w:rsidR="005366A8" w:rsidRPr="007722D0" w:rsidRDefault="005366A8" w:rsidP="005366A8">
      <w:pPr>
        <w:tabs>
          <w:tab w:val="left" w:pos="800"/>
        </w:tabs>
        <w:overflowPunct w:val="0"/>
        <w:autoSpaceDE w:val="0"/>
        <w:autoSpaceDN w:val="0"/>
        <w:adjustRightInd w:val="0"/>
        <w:rPr>
          <w:rFonts w:ascii="Arial TUR" w:hAnsi="Arial TUR" w:cs="FrankRuehl"/>
          <w:spacing w:val="10"/>
          <w:sz w:val="22"/>
          <w:szCs w:val="22"/>
          <w:highlight w:val="yellow"/>
          <w:rtl/>
        </w:rPr>
      </w:pPr>
    </w:p>
    <w:p w:rsidR="005366A8" w:rsidRDefault="005366A8" w:rsidP="005366A8">
      <w:pPr>
        <w:rPr>
          <w:rFonts w:ascii="Arial TUR" w:hAnsi="Arial TUR" w:cs="FrankRuehl"/>
          <w:spacing w:val="10"/>
          <w:sz w:val="22"/>
          <w:szCs w:val="22"/>
          <w:rtl/>
        </w:rPr>
      </w:pPr>
      <w:r w:rsidRPr="007722D0">
        <w:rPr>
          <w:rFonts w:ascii="Arial TUR" w:hAnsi="Arial TUR" w:cs="FrankRuehl" w:hint="cs"/>
          <w:spacing w:val="10"/>
          <w:sz w:val="22"/>
          <w:szCs w:val="22"/>
          <w:rtl/>
        </w:rPr>
        <w:t>14.</w:t>
      </w:r>
      <w:r w:rsidRPr="007722D0">
        <w:rPr>
          <w:rFonts w:ascii="Arial TUR" w:hAnsi="Arial TUR" w:cs="FrankRuehl" w:hint="cs"/>
          <w:spacing w:val="10"/>
          <w:sz w:val="22"/>
          <w:szCs w:val="22"/>
          <w:rtl/>
        </w:rPr>
        <w:tab/>
      </w:r>
      <w:r w:rsidRPr="007722D0">
        <w:rPr>
          <w:rFonts w:ascii="Arial TUR" w:hAnsi="Arial TUR" w:cs="FrankRuehl" w:hint="cs"/>
          <w:spacing w:val="10"/>
          <w:sz w:val="22"/>
          <w:szCs w:val="22"/>
          <w:highlight w:val="yellow"/>
          <w:rtl/>
        </w:rPr>
        <w:t>תחולתו של עיקרון חוקיות המינהל אינה מצטמצמת למצבים שבהם פוגעת הרשות בפעולתה בזכויות יסוד של הפרט. אכן, פרט המבקש לטעון כי בפעולתה חרגה הרשות מן הסמכות המוקנה לה בדין, אינו חייב להצביע על כך שפעולתה של הרשות גרמה לפגיעה בזכויות יסוד או בזכות חוקתית, ובמקרים שונים נתקפה פעולת הרשות בבית המשפט בהתבסס על עיקרון זה, הגם שלא היו לה השלכות על זכויות אדם מוכרות, והשפעתה התמצתה בפגיעה באינטרסים</w:t>
      </w:r>
      <w:r w:rsidRPr="007722D0">
        <w:rPr>
          <w:rFonts w:ascii="Arial TUR" w:hAnsi="Arial TUR" w:cs="FrankRuehl" w:hint="cs"/>
          <w:spacing w:val="10"/>
          <w:sz w:val="22"/>
          <w:szCs w:val="22"/>
          <w:rtl/>
        </w:rPr>
        <w:t xml:space="preserve"> (ראו למשל בג"צ 3424/90 </w:t>
      </w:r>
      <w:r w:rsidRPr="007722D0">
        <w:rPr>
          <w:rFonts w:ascii="Arial TUR" w:hAnsi="Arial TUR" w:cs="Miriam" w:hint="cs"/>
          <w:sz w:val="22"/>
          <w:szCs w:val="22"/>
          <w:rtl/>
        </w:rPr>
        <w:t>איגוד העיתונים היומיים בישראל נ' שר החינוך והתרבות</w:t>
      </w:r>
      <w:r w:rsidRPr="007722D0">
        <w:rPr>
          <w:rFonts w:ascii="Arial TUR" w:hAnsi="Arial TUR" w:cs="FrankRuehl" w:hint="cs"/>
          <w:spacing w:val="10"/>
          <w:sz w:val="22"/>
          <w:szCs w:val="22"/>
          <w:rtl/>
        </w:rPr>
        <w:t xml:space="preserve">, פ"ד מה(2) 24 (1991); בג"צ 6446/96 </w:t>
      </w:r>
      <w:r w:rsidRPr="007722D0">
        <w:rPr>
          <w:rFonts w:ascii="Arial TUR" w:hAnsi="Arial TUR" w:cs="Miriam" w:hint="cs"/>
          <w:sz w:val="22"/>
          <w:szCs w:val="22"/>
          <w:rtl/>
        </w:rPr>
        <w:t>העמותה למען החתול נ' עיריית ערד</w:t>
      </w:r>
      <w:r w:rsidRPr="007722D0">
        <w:rPr>
          <w:rFonts w:ascii="Arial TUR" w:hAnsi="Arial TUR" w:cs="FrankRuehl" w:hint="cs"/>
          <w:spacing w:val="10"/>
          <w:sz w:val="22"/>
          <w:szCs w:val="22"/>
          <w:rtl/>
        </w:rPr>
        <w:t xml:space="preserve">, פ"ד נה(1) 769 (1998)). עם זאת, כשפעולתה של הרשות עלולה להביא לפגיעה בזכות יסוד מוכרת, מקבלת ההקפדה על עיקרון זה משנה חשיבות. לפיכך, </w:t>
      </w:r>
      <w:r w:rsidRPr="007722D0">
        <w:rPr>
          <w:rFonts w:ascii="Arial TUR" w:hAnsi="Arial TUR" w:cs="FrankRuehl" w:hint="cs"/>
          <w:spacing w:val="10"/>
          <w:sz w:val="22"/>
          <w:szCs w:val="22"/>
          <w:highlight w:val="yellow"/>
          <w:rtl/>
        </w:rPr>
        <w:t>נקבע כי כאשר הפעולה המינהלית שבנדון עלולה להביא לפגיעה בזכויות הפרט, אין הרשות יוצאת ידי חובתה בהצבעה על הוראת חוק כללית שיכולה להתפרש כמקור הסמכה לפעולתה</w:t>
      </w:r>
      <w:r w:rsidRPr="007722D0">
        <w:rPr>
          <w:rFonts w:ascii="Arial TUR" w:hAnsi="Arial TUR" w:cs="FrankRuehl" w:hint="cs"/>
          <w:spacing w:val="10"/>
          <w:sz w:val="22"/>
          <w:szCs w:val="22"/>
          <w:rtl/>
        </w:rPr>
        <w:t xml:space="preserve"> (בג"צ 5100/94 </w:t>
      </w:r>
      <w:r w:rsidRPr="007722D0">
        <w:rPr>
          <w:rFonts w:ascii="Arial TUR" w:hAnsi="Arial TUR" w:cs="Miriam" w:hint="cs"/>
          <w:sz w:val="22"/>
          <w:szCs w:val="22"/>
          <w:rtl/>
        </w:rPr>
        <w:t>הועד הציבורי נ' עינויים בישראל נ' ממשלת ישראל</w:t>
      </w:r>
      <w:r w:rsidRPr="007722D0">
        <w:rPr>
          <w:rFonts w:ascii="Arial TUR" w:hAnsi="Arial TUR" w:cs="FrankRuehl" w:hint="cs"/>
          <w:spacing w:val="10"/>
          <w:sz w:val="22"/>
          <w:szCs w:val="22"/>
          <w:rtl/>
        </w:rPr>
        <w:t xml:space="preserve">, פ"ד נג(4) 817 (1999)). </w:t>
      </w:r>
      <w:r w:rsidRPr="007722D0">
        <w:rPr>
          <w:rFonts w:ascii="Arial TUR" w:hAnsi="Arial TUR" w:cs="FrankRuehl" w:hint="cs"/>
          <w:spacing w:val="10"/>
          <w:sz w:val="22"/>
          <w:szCs w:val="22"/>
          <w:highlight w:val="yellow"/>
          <w:rtl/>
        </w:rPr>
        <w:t xml:space="preserve">במקרה שכזה, על ההסמכה לפעולה להיות </w:t>
      </w:r>
      <w:r w:rsidRPr="007722D0">
        <w:rPr>
          <w:rFonts w:ascii="Arial TUR" w:hAnsi="Arial TUR" w:cs="Miriam" w:hint="cs"/>
          <w:sz w:val="22"/>
          <w:szCs w:val="22"/>
          <w:highlight w:val="yellow"/>
          <w:rtl/>
        </w:rPr>
        <w:t>ברורה, מפורטת ומפורשת</w:t>
      </w:r>
      <w:r w:rsidRPr="007722D0">
        <w:rPr>
          <w:rFonts w:ascii="Arial TUR" w:hAnsi="Arial TUR" w:cs="FrankRuehl" w:hint="cs"/>
          <w:spacing w:val="10"/>
          <w:sz w:val="22"/>
          <w:szCs w:val="22"/>
          <w:highlight w:val="yellow"/>
          <w:rtl/>
        </w:rPr>
        <w:t xml:space="preserve"> בחקיקה ראשית</w:t>
      </w:r>
      <w:r w:rsidRPr="007722D0">
        <w:rPr>
          <w:rFonts w:ascii="Arial TUR" w:hAnsi="Arial TUR" w:cs="FrankRuehl" w:hint="cs"/>
          <w:spacing w:val="10"/>
          <w:sz w:val="22"/>
          <w:szCs w:val="22"/>
          <w:rtl/>
        </w:rPr>
        <w:t xml:space="preserve"> (בג"צ 3355/79 </w:t>
      </w:r>
      <w:r w:rsidRPr="007722D0">
        <w:rPr>
          <w:rFonts w:ascii="Arial TUR" w:hAnsi="Arial TUR" w:cs="Miriam" w:hint="cs"/>
          <w:sz w:val="22"/>
          <w:szCs w:val="22"/>
          <w:rtl/>
        </w:rPr>
        <w:t>קטלן נ' שירות בתי הסוהר</w:t>
      </w:r>
      <w:r w:rsidRPr="007722D0">
        <w:rPr>
          <w:rFonts w:ascii="Arial TUR" w:hAnsi="Arial TUR" w:cs="FrankRuehl" w:hint="cs"/>
          <w:spacing w:val="10"/>
          <w:sz w:val="22"/>
          <w:szCs w:val="22"/>
          <w:rtl/>
        </w:rPr>
        <w:t xml:space="preserve">, פ"ד לד(3) 294 (1980); בג"צ 1437/02 </w:t>
      </w:r>
      <w:r w:rsidRPr="007722D0">
        <w:rPr>
          <w:rFonts w:ascii="Arial TUR" w:hAnsi="Arial TUR" w:cs="Miriam" w:hint="cs"/>
          <w:sz w:val="22"/>
          <w:szCs w:val="22"/>
          <w:rtl/>
        </w:rPr>
        <w:t>האגודה לזכויות האזרח בישראל נ' השר לביטחון פנים</w:t>
      </w:r>
      <w:r w:rsidRPr="007722D0">
        <w:rPr>
          <w:rFonts w:ascii="Arial TUR" w:hAnsi="Arial TUR" w:cs="FrankRuehl" w:hint="cs"/>
          <w:spacing w:val="10"/>
          <w:sz w:val="22"/>
          <w:szCs w:val="22"/>
          <w:rtl/>
        </w:rPr>
        <w:t>, פ"ד נח(2) 746, 762 (2004)).</w:t>
      </w:r>
    </w:p>
    <w:p w:rsidR="005366A8" w:rsidRPr="007722D0" w:rsidRDefault="005366A8" w:rsidP="005366A8">
      <w:pPr>
        <w:rPr>
          <w:rFonts w:ascii="Arial TUR" w:hAnsi="Arial TUR" w:cs="FrankRuehl"/>
          <w:spacing w:val="10"/>
          <w:sz w:val="22"/>
          <w:szCs w:val="22"/>
          <w:rtl/>
        </w:rPr>
      </w:pPr>
    </w:p>
    <w:p w:rsidR="005366A8" w:rsidRDefault="005366A8" w:rsidP="005366A8">
      <w:pPr>
        <w:rPr>
          <w:rFonts w:ascii="Arial TUR" w:hAnsi="Arial TUR" w:cs="FrankRuehl"/>
          <w:spacing w:val="10"/>
          <w:sz w:val="22"/>
          <w:szCs w:val="22"/>
          <w:rtl/>
        </w:rPr>
      </w:pPr>
      <w:r w:rsidRPr="003541DF">
        <w:rPr>
          <w:rFonts w:ascii="Arial TUR" w:hAnsi="Arial TUR" w:cs="FrankRuehl" w:hint="cs"/>
          <w:spacing w:val="10"/>
          <w:sz w:val="22"/>
          <w:szCs w:val="22"/>
          <w:rtl/>
        </w:rPr>
        <w:t>15.</w:t>
      </w:r>
      <w:r w:rsidRPr="003541DF">
        <w:rPr>
          <w:rFonts w:ascii="Arial TUR" w:hAnsi="Arial TUR" w:cs="FrankRuehl" w:hint="cs"/>
          <w:spacing w:val="10"/>
          <w:sz w:val="22"/>
          <w:szCs w:val="22"/>
          <w:rtl/>
        </w:rPr>
        <w:tab/>
      </w:r>
      <w:r>
        <w:rPr>
          <w:rFonts w:ascii="Arial TUR" w:hAnsi="Arial TUR" w:cs="FrankRuehl" w:hint="cs"/>
          <w:spacing w:val="10"/>
          <w:sz w:val="22"/>
          <w:szCs w:val="22"/>
          <w:rtl/>
        </w:rPr>
        <w:t>...</w:t>
      </w:r>
      <w:r w:rsidRPr="003541DF">
        <w:rPr>
          <w:rFonts w:ascii="Arial TUR" w:hAnsi="Arial TUR" w:cs="FrankRuehl" w:hint="cs"/>
          <w:spacing w:val="10"/>
          <w:sz w:val="22"/>
          <w:szCs w:val="22"/>
          <w:rtl/>
        </w:rPr>
        <w:t xml:space="preserve"> תתאפשר פגיעה בזכויות המוגנות בגדר חוק היסוד רק בחוק, או "לפי חוק כאמור מכוח הסכמה מפורשת בו". בדנג"צ 9411/00 </w:t>
      </w:r>
      <w:r w:rsidRPr="003541DF">
        <w:rPr>
          <w:rFonts w:ascii="Arial TUR" w:hAnsi="Arial TUR" w:cs="Miriam" w:hint="cs"/>
          <w:sz w:val="22"/>
          <w:szCs w:val="22"/>
          <w:rtl/>
        </w:rPr>
        <w:t>ארקו תעשיות חשמל בע"מ נ' ראש עיריית ראשון לציון</w:t>
      </w:r>
      <w:r w:rsidRPr="003541DF">
        <w:rPr>
          <w:rFonts w:ascii="Arial TUR" w:hAnsi="Arial TUR" w:cs="FrankRuehl" w:hint="cs"/>
          <w:spacing w:val="10"/>
          <w:sz w:val="22"/>
          <w:szCs w:val="22"/>
          <w:rtl/>
        </w:rPr>
        <w:t xml:space="preserve"> </w:t>
      </w:r>
      <w:r>
        <w:rPr>
          <w:rFonts w:ascii="Arial TUR" w:hAnsi="Arial TUR" w:cs="FrankRuehl" w:hint="cs"/>
          <w:spacing w:val="10"/>
          <w:sz w:val="22"/>
          <w:szCs w:val="22"/>
          <w:rtl/>
        </w:rPr>
        <w:t>..</w:t>
      </w:r>
      <w:r w:rsidRPr="003541DF">
        <w:rPr>
          <w:rFonts w:ascii="Arial TUR" w:hAnsi="Arial TUR" w:cs="FrankRuehl" w:hint="cs"/>
          <w:spacing w:val="10"/>
          <w:sz w:val="22"/>
          <w:szCs w:val="22"/>
          <w:rtl/>
        </w:rPr>
        <w:t xml:space="preserve">, דן בית משפט זה </w:t>
      </w:r>
      <w:r w:rsidRPr="007722D0">
        <w:rPr>
          <w:rFonts w:ascii="Arial TUR" w:hAnsi="Arial TUR" w:cs="FrankRuehl" w:hint="cs"/>
          <w:spacing w:val="10"/>
          <w:sz w:val="22"/>
          <w:szCs w:val="22"/>
          <w:highlight w:val="yellow"/>
          <w:rtl/>
        </w:rPr>
        <w:t>בפרשנות המונח "מפורשת"</w:t>
      </w:r>
      <w:r w:rsidRPr="003541DF">
        <w:rPr>
          <w:rFonts w:ascii="Arial TUR" w:hAnsi="Arial TUR" w:cs="FrankRuehl" w:hint="cs"/>
          <w:spacing w:val="10"/>
          <w:sz w:val="22"/>
          <w:szCs w:val="22"/>
          <w:rtl/>
        </w:rPr>
        <w:t xml:space="preserve"> המתייחס לאופי ההסמכה הנדרשת בחוק היסוד. </w:t>
      </w:r>
      <w:r w:rsidRPr="004225F6">
        <w:rPr>
          <w:rFonts w:ascii="Arial TUR" w:hAnsi="Arial TUR" w:cs="FrankRuehl" w:hint="cs"/>
          <w:spacing w:val="10"/>
          <w:sz w:val="22"/>
          <w:szCs w:val="22"/>
          <w:highlight w:val="yellow"/>
          <w:rtl/>
        </w:rPr>
        <w:t xml:space="preserve">בית המשפט קבע כי אין ליתן למונח "הסמכה מפורשת" משמעות צרה והכרחית אחת, </w:t>
      </w:r>
      <w:r w:rsidRPr="00047675">
        <w:rPr>
          <w:rFonts w:ascii="Arial TUR" w:hAnsi="Arial TUR" w:cs="FrankRuehl" w:hint="cs"/>
          <w:spacing w:val="10"/>
          <w:sz w:val="22"/>
          <w:szCs w:val="22"/>
          <w:rtl/>
        </w:rPr>
        <w:t xml:space="preserve">שכן "מונח זה יוצר קשת של פרשנויות אפשריות שהבחירה ביניהן תלויה בנסיבות המקרה, </w:t>
      </w:r>
      <w:r w:rsidRPr="004225F6">
        <w:rPr>
          <w:rFonts w:ascii="Arial TUR" w:hAnsi="Arial TUR" w:cs="FrankRuehl" w:hint="cs"/>
          <w:spacing w:val="10"/>
          <w:sz w:val="22"/>
          <w:szCs w:val="22"/>
          <w:highlight w:val="yellow"/>
          <w:rtl/>
        </w:rPr>
        <w:t>ובין היתר בטיב הזכות הנפגעת והטעמים שבבסיסה, חשיבותה החברתית היחסית של הזכות, השלכותיה החברתיות, מיהות הרשות הפוגעת</w:t>
      </w:r>
      <w:r>
        <w:rPr>
          <w:rFonts w:ascii="Arial TUR" w:hAnsi="Arial TUR" w:cs="FrankRuehl" w:hint="cs"/>
          <w:spacing w:val="10"/>
          <w:sz w:val="22"/>
          <w:szCs w:val="22"/>
          <w:highlight w:val="yellow"/>
          <w:rtl/>
        </w:rPr>
        <w:t>,</w:t>
      </w:r>
      <w:r w:rsidRPr="004225F6">
        <w:rPr>
          <w:rFonts w:ascii="Arial TUR" w:hAnsi="Arial TUR" w:cs="FrankRuehl" w:hint="cs"/>
          <w:spacing w:val="10"/>
          <w:sz w:val="22"/>
          <w:szCs w:val="22"/>
          <w:highlight w:val="yellow"/>
          <w:rtl/>
        </w:rPr>
        <w:t xml:space="preserve"> בעוצמת הפגיעה הנגרמת לזכות המוגנת בהקשרם של דברים"</w:t>
      </w:r>
      <w:r w:rsidRPr="003541DF">
        <w:rPr>
          <w:rFonts w:ascii="Arial TUR" w:hAnsi="Arial TUR" w:cs="FrankRuehl" w:hint="cs"/>
          <w:spacing w:val="10"/>
          <w:sz w:val="22"/>
          <w:szCs w:val="22"/>
          <w:rtl/>
        </w:rPr>
        <w:t xml:space="preserve"> (סעיף 11 לפסק דינה של חברתי הנשיאה, </w:t>
      </w:r>
      <w:r w:rsidRPr="003541DF">
        <w:rPr>
          <w:rFonts w:ascii="Arial TUR" w:hAnsi="Arial TUR" w:cs="Miriam" w:hint="cs"/>
          <w:sz w:val="22"/>
          <w:szCs w:val="22"/>
          <w:rtl/>
        </w:rPr>
        <w:t>ד' ביניש</w:t>
      </w:r>
      <w:r w:rsidRPr="003541DF">
        <w:rPr>
          <w:rFonts w:ascii="Arial TUR" w:hAnsi="Arial TUR" w:cs="FrankRuehl" w:hint="cs"/>
          <w:spacing w:val="10"/>
          <w:sz w:val="22"/>
          <w:szCs w:val="22"/>
          <w:rtl/>
        </w:rPr>
        <w:t xml:space="preserve">). </w:t>
      </w:r>
      <w:r w:rsidRPr="003541DF">
        <w:rPr>
          <w:rFonts w:ascii="Arial TUR" w:hAnsi="Arial TUR" w:cs="FrankRuehl" w:hint="cs"/>
          <w:spacing w:val="10"/>
          <w:sz w:val="22"/>
          <w:szCs w:val="22"/>
          <w:highlight w:val="yellow"/>
          <w:rtl/>
        </w:rPr>
        <w:t>כפועל יוצא, ככל שזכות היסוד שעלולה להיפגע נושאת זיקה עניינית הדוקה לזכויות אדם מוגנות, וככל שמדובר בזכות מרכזית יותר, כך תפורש ביתר הקפדה הדרישה לקיומה של "הסמכה מפורשת" בחוק</w:t>
      </w:r>
      <w:r w:rsidRPr="003541DF">
        <w:rPr>
          <w:rFonts w:ascii="Arial TUR" w:hAnsi="Arial TUR" w:cs="FrankRuehl" w:hint="cs"/>
          <w:spacing w:val="10"/>
          <w:sz w:val="22"/>
          <w:szCs w:val="22"/>
          <w:rtl/>
        </w:rPr>
        <w:t xml:space="preserve"> </w:t>
      </w:r>
      <w:r>
        <w:rPr>
          <w:rFonts w:ascii="Arial TUR" w:hAnsi="Arial TUR" w:cs="FrankRuehl" w:hint="cs"/>
          <w:spacing w:val="10"/>
          <w:sz w:val="22"/>
          <w:szCs w:val="22"/>
          <w:rtl/>
        </w:rPr>
        <w:t>..</w:t>
      </w:r>
      <w:r w:rsidRPr="003541DF">
        <w:rPr>
          <w:rFonts w:ascii="Arial TUR" w:hAnsi="Arial TUR" w:cs="FrankRuehl" w:hint="cs"/>
          <w:spacing w:val="10"/>
          <w:sz w:val="22"/>
          <w:szCs w:val="22"/>
          <w:rtl/>
        </w:rPr>
        <w:t xml:space="preserve">. </w:t>
      </w:r>
    </w:p>
    <w:p w:rsidR="005366A8" w:rsidRPr="007722D0" w:rsidRDefault="005366A8" w:rsidP="005366A8">
      <w:pPr>
        <w:rPr>
          <w:rFonts w:ascii="Arial" w:hAnsi="Arial" w:cs="Arial"/>
          <w:sz w:val="22"/>
          <w:szCs w:val="22"/>
          <w:rtl/>
        </w:rPr>
      </w:pPr>
      <w:r w:rsidRPr="003541DF">
        <w:rPr>
          <w:rFonts w:ascii="Arial TUR" w:hAnsi="Arial TUR" w:cs="FrankRuehl" w:hint="cs"/>
          <w:spacing w:val="10"/>
          <w:sz w:val="22"/>
          <w:szCs w:val="22"/>
          <w:rtl/>
        </w:rPr>
        <w:t>דברים אלה התייחסו בעיקרם להסמכה חוקית לפגיעה בזכויות יסוד בגדרה של חקיקת משנה, ולזכויות שהוכרו ככלולות בחוק יסוד: כבוד האדם וחירותו. ואולם, לטעמי, יש להלכה זו תחולה גם במקרה של הפעלת סמכות מינהלית הפוגעת בזכות אדם שאינה מעוגנת בחוקי היסוד. מתן פרשנות "גמישה" שאינה "דווקנית" לכלל הפסיקתי בדבר הסמכה ברורה ומפורשת, ונקיטה בגישה "הקשרית", שלפיה מידת ההקפדה בדרישה להסמכה מפורשת משתנה בהתאם לחשיבותה היחסית של הזכות הנפגעת, למידת הפגיעה בה, לתכלית החוק ולמכלול הנסיבות, מקדמת הרמוניה פרשנית, והיא מוצדקת גם מטעמים מהותיים, באשר היא מתאפיינת בגמישות ובחוסר דוגמטיות, כמתחייב משיח הזכויות, ומאזנת בין הטעמים המצדיקים הגבלת זכויות אדם רק בחקיקה ראשית, לבין ערכים נגדיים של יעילות מינהלית ומרחב פעולה אפקטיבי</w:t>
      </w:r>
      <w:r w:rsidRPr="003541DF">
        <w:rPr>
          <w:rFonts w:ascii="Arial" w:hAnsi="Arial" w:cs="Arial" w:hint="cs"/>
          <w:sz w:val="22"/>
          <w:szCs w:val="22"/>
          <w:rtl/>
        </w:rPr>
        <w:t>.</w:t>
      </w:r>
    </w:p>
    <w:p w:rsidR="005366A8" w:rsidRPr="007722D0" w:rsidRDefault="005366A8" w:rsidP="005366A8">
      <w:pPr>
        <w:rPr>
          <w:rFonts w:ascii="Arial" w:hAnsi="Arial" w:cs="Arial"/>
          <w:sz w:val="22"/>
          <w:szCs w:val="22"/>
          <w:rtl/>
        </w:rPr>
      </w:pPr>
    </w:p>
    <w:p w:rsidR="005366A8" w:rsidRDefault="005366A8" w:rsidP="005366A8">
      <w:pPr>
        <w:tabs>
          <w:tab w:val="left" w:pos="800"/>
        </w:tabs>
        <w:overflowPunct w:val="0"/>
        <w:autoSpaceDE w:val="0"/>
        <w:autoSpaceDN w:val="0"/>
        <w:adjustRightInd w:val="0"/>
        <w:rPr>
          <w:rFonts w:ascii="Arial TUR" w:hAnsi="Arial TUR" w:cs="FrankRuehl"/>
          <w:noProof/>
          <w:spacing w:val="10"/>
          <w:sz w:val="22"/>
          <w:szCs w:val="22"/>
          <w:rtl/>
          <w:lang w:eastAsia="he-IL"/>
        </w:rPr>
      </w:pPr>
      <w:r w:rsidRPr="007722D0">
        <w:rPr>
          <w:rFonts w:ascii="Arial TUR" w:hAnsi="Arial TUR" w:cs="FrankRuehl" w:hint="cs"/>
          <w:noProof/>
          <w:spacing w:val="10"/>
          <w:sz w:val="22"/>
          <w:szCs w:val="22"/>
          <w:rtl/>
          <w:lang w:eastAsia="he-IL"/>
        </w:rPr>
        <w:t>17.</w:t>
      </w:r>
      <w:bookmarkStart w:id="43" w:name="Seif6"/>
      <w:bookmarkEnd w:id="43"/>
      <w:r w:rsidRPr="007722D0">
        <w:rPr>
          <w:rFonts w:ascii="Arial TUR" w:hAnsi="Arial TUR" w:cs="FrankRuehl" w:hint="cs"/>
          <w:noProof/>
          <w:spacing w:val="10"/>
          <w:sz w:val="22"/>
          <w:szCs w:val="22"/>
          <w:rtl/>
          <w:lang w:eastAsia="he-IL"/>
        </w:rPr>
        <w:tab/>
        <w:t xml:space="preserve">מן האמור בפקודה [פקודת המיסים (גביה)] עולה, כי אדם שלא שילם את המס המוטל עליו, ונמנע מלשלמו גם לאחר שנשלחה לו דרישה בכתב – רשאיות רשויות הגביה לדרוש ממנו תשלום מיידי של חוב המס, שאחרת ייתפסו מיטלטליו ויימכרו. לשם הוצאתה לפועל של סמכות זו – רשאי נציג רשויות הגביה להיכנס לחצריו של הנישום שבהם מצויים מיטלטליו, או לחצרו של צד שלישי שבו מצויים מיטלטלי הנישום, לעקל את המיטלטלין ולמכרם, ובדרך זו להיפרע את חוב המס. בידי רשויות הגביה קיימות, אפוא, סמכויות נרחבות לפעול לשם מימוש חוב מס שבו חב הנישום. </w:t>
      </w:r>
      <w:r w:rsidRPr="007722D0">
        <w:rPr>
          <w:rFonts w:ascii="Arial TUR" w:hAnsi="Arial TUR" w:cs="FrankRuehl" w:hint="cs"/>
          <w:noProof/>
          <w:spacing w:val="10"/>
          <w:sz w:val="22"/>
          <w:szCs w:val="22"/>
          <w:highlight w:val="yellow"/>
          <w:rtl/>
          <w:lang w:eastAsia="he-IL"/>
        </w:rPr>
        <w:t>הרשות מבקשת ללמוד מהיקף סמכויות נרחב זה גם על קיומה של סמכות לעקל את רכבו של חייב באמצעות שימוש "נלווה" במחסומים המוצבים בכבישים בנקודות שונות ברחבי הארץ מטעמים ביטחוניים. לדידה, סמכות זו נלמדת על דרך קל וחומר, והיא בבחינת "מרובה המחזיק את המועט", שכן ברי – להשקפתה – כי אם נתונה בידי רשויות הגביה סמכות להיכנס לחצריו הפרטיים של החייב לשם עיקול מיטלטליו, נתונה להם גם הסמכות לעשות זאת ברשות הרבים</w:t>
      </w:r>
      <w:r w:rsidRPr="007722D0">
        <w:rPr>
          <w:rFonts w:ascii="Arial TUR" w:hAnsi="Arial TUR" w:cs="FrankRuehl" w:hint="cs"/>
          <w:noProof/>
          <w:spacing w:val="10"/>
          <w:sz w:val="22"/>
          <w:szCs w:val="22"/>
          <w:rtl/>
          <w:lang w:eastAsia="he-IL"/>
        </w:rPr>
        <w:t xml:space="preserve">. נוכח דברינו שלעיל, כי לכלל </w:t>
      </w:r>
      <w:r w:rsidRPr="007722D0">
        <w:rPr>
          <w:rFonts w:ascii="Arial TUR" w:hAnsi="Arial TUR" w:cs="FrankRuehl" w:hint="cs"/>
          <w:spacing w:val="10"/>
          <w:sz w:val="22"/>
          <w:szCs w:val="22"/>
          <w:rtl/>
        </w:rPr>
        <w:t xml:space="preserve">הפסיקתי בדבר הסמכה ברורה ומפורשת, יש ליתן פרשנות גמישה ו"הקשרית", שלפיה מידת דווקנותה של ההסמכה המפורשת הנדרשת תיגזר מן החשיבות היחסית של הזכות הנפגעת, מידת הפגיעה בה, תכלית החוק ומכלול הנסיבות, עלינו לנקוט מהלך פרשני לבחינת הוראות פקודת המסים (גביה), ובגדרו לבחון האם </w:t>
      </w:r>
      <w:r w:rsidRPr="007722D0">
        <w:rPr>
          <w:rFonts w:ascii="Arial TUR" w:hAnsi="Arial TUR" w:cs="FrankRuehl" w:hint="cs"/>
          <w:noProof/>
          <w:spacing w:val="10"/>
          <w:sz w:val="22"/>
          <w:szCs w:val="22"/>
          <w:rtl/>
          <w:lang w:eastAsia="he-IL"/>
        </w:rPr>
        <w:t>ניתן לראות בפקודה מקור סמכות לביצוען של הפעולות נושא העתירה.</w:t>
      </w:r>
    </w:p>
    <w:p w:rsidR="005366A8" w:rsidRPr="00AB7723" w:rsidRDefault="005366A8" w:rsidP="005366A8">
      <w:pPr>
        <w:tabs>
          <w:tab w:val="left" w:pos="800"/>
        </w:tabs>
        <w:overflowPunct w:val="0"/>
        <w:autoSpaceDE w:val="0"/>
        <w:autoSpaceDN w:val="0"/>
        <w:adjustRightInd w:val="0"/>
        <w:rPr>
          <w:rFonts w:ascii="Arial TUR" w:hAnsi="Arial TUR" w:cs="FrankRuehl"/>
          <w:noProof/>
          <w:spacing w:val="10"/>
          <w:sz w:val="22"/>
          <w:szCs w:val="22"/>
          <w:rtl/>
          <w:lang w:eastAsia="he-IL"/>
        </w:rPr>
      </w:pPr>
    </w:p>
    <w:p w:rsidR="005366A8" w:rsidRPr="00AB7723" w:rsidRDefault="005366A8" w:rsidP="005366A8">
      <w:pPr>
        <w:tabs>
          <w:tab w:val="left" w:pos="800"/>
        </w:tabs>
        <w:overflowPunct w:val="0"/>
        <w:autoSpaceDE w:val="0"/>
        <w:autoSpaceDN w:val="0"/>
        <w:adjustRightInd w:val="0"/>
        <w:rPr>
          <w:rFonts w:ascii="Arial TUR" w:hAnsi="Arial TUR" w:cs="Miriam"/>
          <w:noProof/>
          <w:sz w:val="22"/>
          <w:szCs w:val="22"/>
          <w:rtl/>
          <w:lang w:eastAsia="he-IL"/>
        </w:rPr>
      </w:pPr>
      <w:r w:rsidRPr="00AB7723">
        <w:rPr>
          <w:rFonts w:ascii="Arial TUR" w:hAnsi="Arial TUR" w:cs="Miriam" w:hint="cs"/>
          <w:noProof/>
          <w:sz w:val="22"/>
          <w:szCs w:val="22"/>
          <w:rtl/>
          <w:lang w:eastAsia="he-IL"/>
        </w:rPr>
        <w:t xml:space="preserve">פרשנות דיני המס </w:t>
      </w:r>
    </w:p>
    <w:p w:rsidR="005366A8" w:rsidRPr="00AB7723"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AB7723">
        <w:rPr>
          <w:rFonts w:ascii="Arial TUR" w:hAnsi="Arial TUR" w:cs="FrankRuehl" w:hint="cs"/>
          <w:spacing w:val="10"/>
          <w:sz w:val="22"/>
          <w:szCs w:val="22"/>
          <w:rtl/>
        </w:rPr>
        <w:t>19.</w:t>
      </w:r>
      <w:r w:rsidRPr="00AB7723">
        <w:rPr>
          <w:rFonts w:ascii="Arial TUR" w:hAnsi="Arial TUR" w:cs="FrankRuehl" w:hint="cs"/>
          <w:spacing w:val="10"/>
          <w:sz w:val="22"/>
          <w:szCs w:val="22"/>
          <w:rtl/>
        </w:rPr>
        <w:tab/>
        <w:t xml:space="preserve">התחנה הראשונה בדרכו של הפרשן הינה, איפוא, לשון החוק, ובגדרה יינתנו למילותיו של דבר החקיקה, ולשפה שבה בחר המחוקק להשתמש, רק אותן משמעויות המצויות ב"מתחם האפשרויות הלשוניות", משמע כאלה שהמילים יכולות "לשאת" מן הבחינה הלשונית. פרשנות הנעדרת כל עיגון לשוני אינה יכולה להתקיים, שהרי "גבול הפרשנות הוא גבול הלשון" (ע"א 1900/96 </w:t>
      </w:r>
      <w:r w:rsidRPr="00AB7723">
        <w:rPr>
          <w:rFonts w:ascii="Arial TUR" w:hAnsi="Arial TUR" w:cs="Miriam" w:hint="cs"/>
          <w:sz w:val="22"/>
          <w:szCs w:val="22"/>
          <w:rtl/>
        </w:rPr>
        <w:t>טלמצ'יו נ' האפוטרופוס הכללי</w:t>
      </w:r>
      <w:r w:rsidRPr="00AB7723">
        <w:rPr>
          <w:rFonts w:ascii="Arial TUR" w:hAnsi="Arial TUR" w:cs="FrankRuehl" w:hint="cs"/>
          <w:spacing w:val="10"/>
          <w:sz w:val="22"/>
          <w:szCs w:val="22"/>
          <w:rtl/>
        </w:rPr>
        <w:t xml:space="preserve">, פ"ד נג(2) 817, 827 (1999)). מבין האפשרויות השונות שבמתחם, יש לקבוע מהי האפשרות המגשימה באופן מיטבי את תכלית החקיקה. אפשרות זו היא משמעותה המשפטית של הוראת החוק </w:t>
      </w:r>
      <w:r>
        <w:rPr>
          <w:rFonts w:ascii="Arial TUR" w:hAnsi="Arial TUR" w:cs="FrankRuehl" w:hint="cs"/>
          <w:spacing w:val="10"/>
          <w:sz w:val="22"/>
          <w:szCs w:val="22"/>
          <w:rtl/>
        </w:rPr>
        <w:t>..</w:t>
      </w:r>
      <w:r w:rsidRPr="00AB7723">
        <w:rPr>
          <w:rFonts w:ascii="Arial TUR" w:hAnsi="Arial TUR" w:cs="FrankRuehl" w:hint="cs"/>
          <w:spacing w:val="10"/>
          <w:sz w:val="22"/>
          <w:szCs w:val="22"/>
          <w:rtl/>
        </w:rPr>
        <w:t xml:space="preserve">. בגדר כך, ייתן הפרשן דעתו להבחנה שבין תכליתו הסובייקטיבית של דבר החקיקה, היא המטרה שביקש המחוקק להגשים באמצעות החוק; לבין התכלית האובייקטיבית, המבטאת את "כוונת השיטה המשפטית" או כוונת "המחוקק הסביר" </w:t>
      </w:r>
      <w:r>
        <w:rPr>
          <w:rFonts w:ascii="Arial TUR" w:hAnsi="Arial TUR" w:cs="FrankRuehl" w:hint="cs"/>
          <w:spacing w:val="10"/>
          <w:sz w:val="22"/>
          <w:szCs w:val="22"/>
          <w:rtl/>
        </w:rPr>
        <w:t>..</w:t>
      </w:r>
      <w:r w:rsidRPr="00AB7723">
        <w:rPr>
          <w:rFonts w:ascii="Arial TUR" w:hAnsi="Arial TUR" w:cs="FrankRuehl" w:hint="cs"/>
          <w:spacing w:val="10"/>
          <w:sz w:val="22"/>
          <w:szCs w:val="22"/>
          <w:rtl/>
        </w:rPr>
        <w:t xml:space="preserve">, הטומנת בחובה את המטרות והמדיניות, הערכים והעקרונות שאותן נועד להגשים כל דבר חקיקה בחברה דמוקרטית מודרנית </w:t>
      </w:r>
      <w:r>
        <w:rPr>
          <w:rFonts w:ascii="Arial TUR" w:hAnsi="Arial TUR" w:cs="FrankRuehl" w:hint="cs"/>
          <w:spacing w:val="10"/>
          <w:sz w:val="22"/>
          <w:szCs w:val="22"/>
          <w:rtl/>
        </w:rPr>
        <w:t>..</w:t>
      </w:r>
      <w:r w:rsidRPr="00AB7723">
        <w:rPr>
          <w:rFonts w:ascii="Arial TUR" w:hAnsi="Arial TUR" w:cs="FrankRuehl" w:hint="cs"/>
          <w:spacing w:val="10"/>
          <w:sz w:val="22"/>
          <w:szCs w:val="22"/>
          <w:rtl/>
        </w:rPr>
        <w:t xml:space="preserve">. על תכליות אלה ניתן ללמוד מכל מקור אמין, ובכלל זה לשון החוק, ההיסטוריה החקיקתית, הרקע הכללי ועקרונות היסוד של השיטה המשפטית </w:t>
      </w:r>
      <w:r>
        <w:rPr>
          <w:rFonts w:ascii="Arial TUR" w:hAnsi="Arial TUR" w:cs="FrankRuehl" w:hint="cs"/>
          <w:spacing w:val="10"/>
          <w:sz w:val="22"/>
          <w:szCs w:val="22"/>
          <w:rtl/>
        </w:rPr>
        <w:t>..</w:t>
      </w:r>
      <w:r w:rsidRPr="00AB7723">
        <w:rPr>
          <w:rFonts w:ascii="Arial TUR" w:hAnsi="Arial TUR" w:cs="FrankRuehl" w:hint="cs"/>
          <w:spacing w:val="10"/>
          <w:sz w:val="22"/>
          <w:szCs w:val="22"/>
          <w:rtl/>
        </w:rPr>
        <w:t>. בהתגלע סתירה בין תכליות שונות, יאזן הפרשן ביניהן תוך הפעלת שיקול-דעת שיפוטי, כשבתום התהליך, תיקבע תכליתו הסופית של דבר החקיקה</w:t>
      </w:r>
      <w:r>
        <w:rPr>
          <w:rFonts w:ascii="Arial TUR" w:hAnsi="Arial TUR" w:cs="FrankRuehl" w:hint="cs"/>
          <w:spacing w:val="10"/>
          <w:sz w:val="22"/>
          <w:szCs w:val="22"/>
          <w:rtl/>
        </w:rPr>
        <w:t>...</w:t>
      </w:r>
      <w:r w:rsidRPr="00AB7723">
        <w:rPr>
          <w:rFonts w:ascii="Arial TUR" w:hAnsi="Arial TUR" w:cs="FrankRuehl" w:hint="cs"/>
          <w:spacing w:val="10"/>
          <w:sz w:val="22"/>
          <w:szCs w:val="22"/>
          <w:rtl/>
        </w:rPr>
        <w:t xml:space="preserve"> </w:t>
      </w:r>
    </w:p>
    <w:p w:rsidR="005366A8" w:rsidRPr="00AB7723" w:rsidRDefault="005366A8" w:rsidP="005366A8">
      <w:pPr>
        <w:tabs>
          <w:tab w:val="left" w:pos="800"/>
        </w:tabs>
        <w:overflowPunct w:val="0"/>
        <w:autoSpaceDE w:val="0"/>
        <w:autoSpaceDN w:val="0"/>
        <w:adjustRightInd w:val="0"/>
        <w:rPr>
          <w:rFonts w:ascii="Arial TUR" w:hAnsi="Arial TUR" w:cs="FrankRuehl"/>
          <w:noProof/>
          <w:spacing w:val="10"/>
          <w:sz w:val="22"/>
          <w:szCs w:val="22"/>
          <w:rtl/>
          <w:lang w:eastAsia="he-IL"/>
        </w:rPr>
      </w:pPr>
    </w:p>
    <w:p w:rsidR="005366A8" w:rsidRPr="00AB7723" w:rsidRDefault="005366A8" w:rsidP="005366A8">
      <w:pPr>
        <w:tabs>
          <w:tab w:val="left" w:pos="800"/>
        </w:tabs>
        <w:overflowPunct w:val="0"/>
        <w:autoSpaceDE w:val="0"/>
        <w:autoSpaceDN w:val="0"/>
        <w:adjustRightInd w:val="0"/>
        <w:rPr>
          <w:rFonts w:ascii="Arial TUR" w:hAnsi="Arial TUR" w:cs="Miriam"/>
          <w:noProof/>
          <w:sz w:val="22"/>
          <w:szCs w:val="22"/>
          <w:rtl/>
          <w:lang w:eastAsia="he-IL"/>
        </w:rPr>
      </w:pPr>
      <w:r w:rsidRPr="00AB7723">
        <w:rPr>
          <w:rFonts w:ascii="Arial TUR" w:hAnsi="Arial TUR" w:cs="Miriam" w:hint="cs"/>
          <w:noProof/>
          <w:sz w:val="22"/>
          <w:szCs w:val="22"/>
          <w:rtl/>
          <w:lang w:eastAsia="he-IL"/>
        </w:rPr>
        <w:t>רכיב הלשון</w:t>
      </w:r>
    </w:p>
    <w:p w:rsidR="005366A8" w:rsidRPr="00AB7723" w:rsidRDefault="005366A8" w:rsidP="005366A8">
      <w:pPr>
        <w:tabs>
          <w:tab w:val="left" w:pos="800"/>
        </w:tabs>
        <w:overflowPunct w:val="0"/>
        <w:autoSpaceDE w:val="0"/>
        <w:autoSpaceDN w:val="0"/>
        <w:adjustRightInd w:val="0"/>
        <w:rPr>
          <w:rFonts w:ascii="Arial TUR" w:hAnsi="Arial TUR" w:cs="FrankRuehl"/>
          <w:noProof/>
          <w:spacing w:val="10"/>
          <w:sz w:val="22"/>
          <w:szCs w:val="22"/>
          <w:rtl/>
          <w:lang w:eastAsia="he-IL"/>
        </w:rPr>
      </w:pPr>
      <w:r w:rsidRPr="00AB7723">
        <w:rPr>
          <w:rFonts w:ascii="Arial TUR" w:hAnsi="Arial TUR" w:cs="FrankRuehl" w:hint="cs"/>
          <w:noProof/>
          <w:spacing w:val="10"/>
          <w:sz w:val="22"/>
          <w:szCs w:val="22"/>
          <w:rtl/>
          <w:lang w:eastAsia="he-IL"/>
        </w:rPr>
        <w:t>20.</w:t>
      </w:r>
      <w:r w:rsidRPr="00AB7723">
        <w:rPr>
          <w:rFonts w:ascii="Arial TUR" w:hAnsi="Arial TUR" w:cs="FrankRuehl" w:hint="cs"/>
          <w:noProof/>
          <w:spacing w:val="10"/>
          <w:sz w:val="22"/>
          <w:szCs w:val="22"/>
          <w:rtl/>
          <w:lang w:eastAsia="he-IL"/>
        </w:rPr>
        <w:tab/>
        <w:t xml:space="preserve">לשון החוק בענייננו אינה כוללת כל התייחסות לאפשרות של עיקול מיטלטלין המצויים ברשות הרבים. תחת זאת, מורה היא כי משלא שילם נישום את חובו גם לאחר שנשלחה אליו הודעה על כך בכתב, והוסיף ונמנע מלשלם גם לאחר דרישה נוספת של "גובה המס", רשאי האחרון להיכנס לחצריו או לחצריו של אדם שלישי – בנסיבות מסוימות אף תוך הפעלת כוח – לעקל את המיטלטלין ובהמשך גם למכרם. </w:t>
      </w:r>
      <w:r w:rsidRPr="009F13C0">
        <w:rPr>
          <w:rFonts w:ascii="Arial TUR" w:hAnsi="Arial TUR" w:cs="FrankRuehl" w:hint="cs"/>
          <w:noProof/>
          <w:spacing w:val="10"/>
          <w:sz w:val="22"/>
          <w:szCs w:val="22"/>
          <w:highlight w:val="yellow"/>
          <w:rtl/>
          <w:lang w:eastAsia="he-IL"/>
        </w:rPr>
        <w:t>האם מהיעדר התייחסות לגבייה ברשות הרבים יש ללמוד על קיומו של הסדר שלילי?</w:t>
      </w:r>
      <w:r w:rsidRPr="00AB7723">
        <w:rPr>
          <w:rFonts w:ascii="Arial TUR" w:hAnsi="Arial TUR" w:cs="FrankRuehl" w:hint="cs"/>
          <w:noProof/>
          <w:spacing w:val="10"/>
          <w:sz w:val="22"/>
          <w:szCs w:val="22"/>
          <w:rtl/>
          <w:lang w:eastAsia="he-IL"/>
        </w:rPr>
        <w:t xml:space="preserve"> לשון אחר, האם מכלל ההן בנוגע לכניסה לחצרים, יש ללמוד על הלאו בנוגע לגביה ברשות הרבים? </w:t>
      </w:r>
      <w:r w:rsidRPr="009F13C0">
        <w:rPr>
          <w:rFonts w:ascii="Arial TUR" w:hAnsi="Arial TUR" w:cs="FrankRuehl" w:hint="cs"/>
          <w:noProof/>
          <w:spacing w:val="10"/>
          <w:sz w:val="22"/>
          <w:szCs w:val="22"/>
          <w:highlight w:val="yellow"/>
          <w:rtl/>
          <w:lang w:eastAsia="he-IL"/>
        </w:rPr>
        <w:t>האם היעדרה של התייחסות מפורשת מלמדנו כי ניתן ללמוד על קיומה של סמכות על דרך ההיקש, או בבחינת קל וחומר?</w:t>
      </w:r>
    </w:p>
    <w:p w:rsidR="005366A8" w:rsidRPr="00AB7723" w:rsidRDefault="005366A8" w:rsidP="005366A8">
      <w:pPr>
        <w:tabs>
          <w:tab w:val="left" w:pos="800"/>
        </w:tabs>
        <w:overflowPunct w:val="0"/>
        <w:autoSpaceDE w:val="0"/>
        <w:autoSpaceDN w:val="0"/>
        <w:adjustRightInd w:val="0"/>
        <w:rPr>
          <w:rFonts w:ascii="Arial TUR" w:hAnsi="Arial TUR" w:cs="FrankRuehl"/>
          <w:spacing w:val="10"/>
          <w:sz w:val="22"/>
          <w:szCs w:val="22"/>
          <w:highlight w:val="yellow"/>
          <w:rtl/>
        </w:rPr>
      </w:pPr>
    </w:p>
    <w:p w:rsidR="005366A8" w:rsidRPr="00AB7723"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AB7723">
        <w:rPr>
          <w:rFonts w:ascii="Arial TUR" w:hAnsi="Arial TUR" w:cs="FrankRuehl" w:hint="cs"/>
          <w:spacing w:val="10"/>
          <w:sz w:val="22"/>
          <w:szCs w:val="22"/>
          <w:rtl/>
        </w:rPr>
        <w:t>21.</w:t>
      </w:r>
      <w:r w:rsidRPr="00AB7723">
        <w:rPr>
          <w:rFonts w:ascii="Arial TUR" w:hAnsi="Arial TUR" w:cs="FrankRuehl" w:hint="cs"/>
          <w:spacing w:val="10"/>
          <w:sz w:val="22"/>
          <w:szCs w:val="22"/>
          <w:rtl/>
        </w:rPr>
        <w:tab/>
      </w:r>
      <w:r w:rsidRPr="00AB7723">
        <w:rPr>
          <w:rFonts w:ascii="Arial TUR" w:hAnsi="Arial TUR" w:cs="FrankRuehl" w:hint="cs"/>
          <w:spacing w:val="10"/>
          <w:sz w:val="22"/>
          <w:szCs w:val="22"/>
          <w:highlight w:val="yellow"/>
          <w:rtl/>
        </w:rPr>
        <w:t>ככלל, יש לנקוט זהירות יתרה בטרם ייעשה שימוש בעיקרון שלפיו מכלל ההן ניתן לשמוע את הלאו</w:t>
      </w:r>
      <w:r w:rsidRPr="00AB7723">
        <w:rPr>
          <w:rFonts w:ascii="Arial TUR" w:hAnsi="Arial TUR" w:cs="FrankRuehl" w:hint="cs"/>
          <w:noProof/>
          <w:spacing w:val="10"/>
          <w:sz w:val="22"/>
          <w:szCs w:val="22"/>
          <w:rtl/>
          <w:lang w:eastAsia="he-IL"/>
        </w:rPr>
        <w:t xml:space="preserve"> ...</w:t>
      </w:r>
      <w:r w:rsidRPr="00AB7723">
        <w:rPr>
          <w:rFonts w:ascii="Arial TUR" w:hAnsi="Arial TUR" w:cs="FrankRuehl" w:hint="cs"/>
          <w:spacing w:val="10"/>
          <w:sz w:val="22"/>
          <w:szCs w:val="22"/>
          <w:rtl/>
        </w:rPr>
        <w:t xml:space="preserve"> על כל פנים, </w:t>
      </w:r>
      <w:r w:rsidRPr="00AB7723">
        <w:rPr>
          <w:rFonts w:ascii="Arial TUR" w:hAnsi="Arial TUR" w:cs="FrankRuehl" w:hint="cs"/>
          <w:spacing w:val="10"/>
          <w:sz w:val="22"/>
          <w:szCs w:val="22"/>
          <w:highlight w:val="yellow"/>
          <w:rtl/>
        </w:rPr>
        <w:t>מוכן אני להניח לצורך הדיון, לטובת המשיבים, מבלי לקבוע מסמרות, כי מתחם האפשרויות הלשוניות של הכתוב רחב דיו כדי לשאת את שתי המשמעויות שמציעים הצדדים.</w:t>
      </w:r>
      <w:r w:rsidRPr="00AB7723">
        <w:rPr>
          <w:rFonts w:ascii="Arial TUR" w:hAnsi="Arial TUR" w:cs="FrankRuehl" w:hint="cs"/>
          <w:spacing w:val="10"/>
          <w:sz w:val="22"/>
          <w:szCs w:val="22"/>
          <w:rtl/>
        </w:rPr>
        <w:t xml:space="preserve"> על מנת להכריע בשאלת מובנו המשפטי של דבר החקיקה, יש לעמוד על התכלית שעמדה ביסוד חקיקת החוק (</w:t>
      </w:r>
      <w:r w:rsidRPr="00AB7723">
        <w:rPr>
          <w:rFonts w:ascii="Arial TUR" w:hAnsi="Arial TUR" w:cs="Miriam" w:hint="cs"/>
          <w:sz w:val="22"/>
          <w:szCs w:val="22"/>
          <w:rtl/>
        </w:rPr>
        <w:t>ברק</w:t>
      </w:r>
      <w:r w:rsidRPr="00AB7723">
        <w:rPr>
          <w:rFonts w:ascii="Arial TUR" w:hAnsi="Arial TUR" w:cs="FrankRuehl" w:hint="cs"/>
          <w:spacing w:val="10"/>
          <w:sz w:val="22"/>
          <w:szCs w:val="22"/>
          <w:rtl/>
        </w:rPr>
        <w:t xml:space="preserve">, בעמ' 115). </w:t>
      </w:r>
    </w:p>
    <w:p w:rsidR="005366A8" w:rsidRPr="00AB7723" w:rsidRDefault="005366A8" w:rsidP="005366A8">
      <w:pPr>
        <w:tabs>
          <w:tab w:val="left" w:pos="800"/>
        </w:tabs>
        <w:overflowPunct w:val="0"/>
        <w:autoSpaceDE w:val="0"/>
        <w:autoSpaceDN w:val="0"/>
        <w:adjustRightInd w:val="0"/>
        <w:rPr>
          <w:rFonts w:ascii="Arial TUR" w:hAnsi="Arial TUR" w:cs="FrankRuehl"/>
          <w:noProof/>
          <w:spacing w:val="10"/>
          <w:sz w:val="22"/>
          <w:szCs w:val="22"/>
          <w:rtl/>
          <w:lang w:eastAsia="he-IL"/>
        </w:rPr>
      </w:pPr>
    </w:p>
    <w:p w:rsidR="005366A8" w:rsidRPr="00AB7723" w:rsidRDefault="005366A8" w:rsidP="005366A8">
      <w:pPr>
        <w:tabs>
          <w:tab w:val="left" w:pos="800"/>
        </w:tabs>
        <w:overflowPunct w:val="0"/>
        <w:autoSpaceDE w:val="0"/>
        <w:autoSpaceDN w:val="0"/>
        <w:adjustRightInd w:val="0"/>
        <w:rPr>
          <w:rFonts w:ascii="Arial TUR" w:hAnsi="Arial TUR" w:cs="FrankRuehl"/>
          <w:noProof/>
          <w:spacing w:val="10"/>
          <w:sz w:val="22"/>
          <w:szCs w:val="22"/>
          <w:rtl/>
          <w:lang w:eastAsia="he-IL"/>
        </w:rPr>
      </w:pPr>
      <w:r w:rsidRPr="00AB7723">
        <w:rPr>
          <w:rFonts w:ascii="Arial TUR" w:hAnsi="Arial TUR" w:cs="Miriam" w:hint="cs"/>
          <w:noProof/>
          <w:sz w:val="22"/>
          <w:szCs w:val="22"/>
          <w:rtl/>
          <w:lang w:eastAsia="he-IL"/>
        </w:rPr>
        <w:t>רכיב התכלית הסובייקטיבית</w:t>
      </w:r>
    </w:p>
    <w:p w:rsidR="005366A8" w:rsidRPr="00AB7723"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AB7723">
        <w:rPr>
          <w:rFonts w:ascii="Arial TUR" w:hAnsi="Arial TUR" w:cs="FrankRuehl" w:hint="cs"/>
          <w:noProof/>
          <w:spacing w:val="10"/>
          <w:sz w:val="22"/>
          <w:szCs w:val="22"/>
          <w:rtl/>
          <w:lang w:eastAsia="he-IL"/>
        </w:rPr>
        <w:t>22.</w:t>
      </w:r>
      <w:r w:rsidRPr="00AB7723">
        <w:rPr>
          <w:rFonts w:ascii="Arial TUR" w:hAnsi="Arial TUR" w:cs="FrankRuehl" w:hint="cs"/>
          <w:noProof/>
          <w:spacing w:val="10"/>
          <w:sz w:val="22"/>
          <w:szCs w:val="22"/>
          <w:rtl/>
          <w:lang w:eastAsia="he-IL"/>
        </w:rPr>
        <w:tab/>
        <w:t xml:space="preserve">ראשית לתכלית הסובייקטיבית. </w:t>
      </w:r>
      <w:r w:rsidRPr="00AB7723">
        <w:rPr>
          <w:rFonts w:ascii="Arial TUR" w:hAnsi="Arial TUR" w:cs="FrankRuehl" w:hint="cs"/>
          <w:spacing w:val="10"/>
          <w:sz w:val="22"/>
          <w:szCs w:val="22"/>
          <w:rtl/>
        </w:rPr>
        <w:t xml:space="preserve">תכליתו הסובייקטיבית של דבר החקיקה היא התכלית אשר יוצר החוק ביקש להגשים בשעת חקיקתו (בג"צ 693/91 </w:t>
      </w:r>
      <w:r w:rsidRPr="00AB7723">
        <w:rPr>
          <w:rFonts w:ascii="Arial TUR" w:hAnsi="Arial TUR" w:cs="Miriam" w:hint="cs"/>
          <w:sz w:val="22"/>
          <w:szCs w:val="22"/>
          <w:rtl/>
        </w:rPr>
        <w:t>אפרת נ' הממונה על מרשם האוכלוסין במשרד הפנים</w:t>
      </w:r>
      <w:r w:rsidRPr="00AB7723">
        <w:rPr>
          <w:rFonts w:ascii="Arial TUR" w:hAnsi="Arial TUR" w:cs="FrankRuehl" w:hint="cs"/>
          <w:spacing w:val="10"/>
          <w:sz w:val="22"/>
          <w:szCs w:val="22"/>
          <w:rtl/>
        </w:rPr>
        <w:t xml:space="preserve">, פ"ד מז(1) 749, 764 (1993)). מקור מרכזי ללמידה על תכלית זו מצוי בדברי ההסבר להצעת החוק. </w:t>
      </w:r>
      <w:r>
        <w:rPr>
          <w:rFonts w:ascii="Arial TUR" w:hAnsi="Arial TUR" w:cs="FrankRuehl" w:hint="cs"/>
          <w:spacing w:val="10"/>
          <w:sz w:val="22"/>
          <w:szCs w:val="22"/>
          <w:rtl/>
        </w:rPr>
        <w:t>...</w:t>
      </w:r>
    </w:p>
    <w:p w:rsidR="005366A8" w:rsidRPr="00AB7723" w:rsidRDefault="005366A8" w:rsidP="005366A8">
      <w:pPr>
        <w:tabs>
          <w:tab w:val="left" w:pos="800"/>
        </w:tabs>
        <w:overflowPunct w:val="0"/>
        <w:autoSpaceDE w:val="0"/>
        <w:autoSpaceDN w:val="0"/>
        <w:adjustRightInd w:val="0"/>
        <w:rPr>
          <w:rFonts w:ascii="Arial TUR" w:hAnsi="Arial TUR" w:cs="FrankRuehl"/>
          <w:spacing w:val="10"/>
          <w:sz w:val="22"/>
          <w:szCs w:val="22"/>
          <w:rtl/>
        </w:rPr>
      </w:pPr>
    </w:p>
    <w:p w:rsidR="005366A8" w:rsidRDefault="005366A8" w:rsidP="005366A8">
      <w:pPr>
        <w:tabs>
          <w:tab w:val="left" w:pos="800"/>
        </w:tabs>
        <w:overflowPunct w:val="0"/>
        <w:autoSpaceDE w:val="0"/>
        <w:autoSpaceDN w:val="0"/>
        <w:adjustRightInd w:val="0"/>
        <w:rPr>
          <w:rFonts w:ascii="Arial TUR" w:hAnsi="Arial TUR" w:cs="FrankRuehl"/>
          <w:noProof/>
          <w:spacing w:val="10"/>
          <w:sz w:val="22"/>
          <w:szCs w:val="22"/>
          <w:rtl/>
          <w:lang w:eastAsia="he-IL"/>
        </w:rPr>
      </w:pPr>
      <w:r w:rsidRPr="00AB7723">
        <w:rPr>
          <w:rFonts w:ascii="Arial TUR" w:hAnsi="Arial TUR" w:cs="FrankRuehl" w:hint="cs"/>
          <w:spacing w:val="10"/>
          <w:sz w:val="22"/>
          <w:szCs w:val="22"/>
          <w:rtl/>
        </w:rPr>
        <w:t>23.</w:t>
      </w:r>
      <w:r w:rsidRPr="00AB7723">
        <w:rPr>
          <w:rFonts w:ascii="Arial TUR" w:hAnsi="Arial TUR" w:cs="FrankRuehl" w:hint="cs"/>
          <w:spacing w:val="10"/>
          <w:sz w:val="22"/>
          <w:szCs w:val="22"/>
          <w:rtl/>
        </w:rPr>
        <w:tab/>
        <w:t>מדברי ההסבר עולה, אפוא, כי אחת ממטרותיו של התיקון היתה להעמיד כלים נוספים בידיו של גובה המס כדי שיוכל לגבות את חובותיהם של סרבני מס באופן אפקטיבי. מגמה זו באה לידי ביטוי גם בכמה מן התיקונים לפקודה בשנים מאוחרות יותר</w:t>
      </w:r>
      <w:r>
        <w:rPr>
          <w:rFonts w:ascii="Arial TUR" w:hAnsi="Arial TUR" w:cs="FrankRuehl" w:hint="cs"/>
          <w:spacing w:val="10"/>
          <w:sz w:val="22"/>
          <w:szCs w:val="22"/>
          <w:rtl/>
        </w:rPr>
        <w:t>..</w:t>
      </w:r>
      <w:r w:rsidRPr="00AB7723">
        <w:rPr>
          <w:rFonts w:ascii="Arial TUR" w:hAnsi="Arial TUR" w:cs="FrankRuehl" w:hint="cs"/>
          <w:spacing w:val="10"/>
          <w:sz w:val="22"/>
          <w:szCs w:val="22"/>
          <w:rtl/>
        </w:rPr>
        <w:t>.</w:t>
      </w:r>
    </w:p>
    <w:p w:rsidR="005366A8" w:rsidRPr="00AB7723" w:rsidRDefault="005366A8" w:rsidP="005366A8">
      <w:pPr>
        <w:tabs>
          <w:tab w:val="left" w:pos="800"/>
        </w:tabs>
        <w:overflowPunct w:val="0"/>
        <w:autoSpaceDE w:val="0"/>
        <w:autoSpaceDN w:val="0"/>
        <w:adjustRightInd w:val="0"/>
        <w:rPr>
          <w:rFonts w:ascii="Arial TUR" w:hAnsi="Arial TUR" w:cs="FrankRuehl"/>
          <w:noProof/>
          <w:spacing w:val="10"/>
          <w:sz w:val="22"/>
          <w:szCs w:val="22"/>
          <w:rtl/>
          <w:lang w:eastAsia="he-IL"/>
        </w:rPr>
      </w:pPr>
      <w:r w:rsidRPr="00AB7723">
        <w:rPr>
          <w:rFonts w:ascii="Arial TUR" w:hAnsi="Arial TUR" w:cs="FrankRuehl" w:hint="cs"/>
          <w:noProof/>
          <w:spacing w:val="10"/>
          <w:sz w:val="22"/>
          <w:szCs w:val="22"/>
          <w:rtl/>
          <w:lang w:eastAsia="he-IL"/>
        </w:rPr>
        <w:t xml:space="preserve"> </w:t>
      </w:r>
    </w:p>
    <w:p w:rsidR="005366A8" w:rsidRPr="00AB7723" w:rsidRDefault="005366A8" w:rsidP="005366A8">
      <w:pPr>
        <w:tabs>
          <w:tab w:val="left" w:pos="800"/>
        </w:tabs>
        <w:overflowPunct w:val="0"/>
        <w:autoSpaceDE w:val="0"/>
        <w:autoSpaceDN w:val="0"/>
        <w:adjustRightInd w:val="0"/>
        <w:rPr>
          <w:rFonts w:ascii="Arial TUR" w:hAnsi="Arial TUR" w:cs="FrankRuehl"/>
          <w:noProof/>
          <w:spacing w:val="10"/>
          <w:sz w:val="22"/>
          <w:szCs w:val="22"/>
          <w:rtl/>
          <w:lang w:eastAsia="he-IL"/>
        </w:rPr>
      </w:pPr>
      <w:r w:rsidRPr="00AB7723">
        <w:rPr>
          <w:rFonts w:ascii="Arial TUR" w:hAnsi="Arial TUR" w:cs="FrankRuehl" w:hint="cs"/>
          <w:noProof/>
          <w:spacing w:val="10"/>
          <w:sz w:val="22"/>
          <w:szCs w:val="22"/>
          <w:rtl/>
          <w:lang w:eastAsia="he-IL"/>
        </w:rPr>
        <w:t>24.</w:t>
      </w:r>
      <w:r w:rsidRPr="00AB7723">
        <w:rPr>
          <w:rFonts w:ascii="Arial TUR" w:hAnsi="Arial TUR" w:cs="FrankRuehl" w:hint="cs"/>
          <w:noProof/>
          <w:spacing w:val="10"/>
          <w:sz w:val="22"/>
          <w:szCs w:val="22"/>
          <w:rtl/>
          <w:lang w:eastAsia="he-IL"/>
        </w:rPr>
        <w:tab/>
        <w:t xml:space="preserve">הנה כי כן, מניתוח התכלית הסוביקטיבית קשה "לזקק" כוונה ברורה להעניק סמכות לרשויות הגביה לעקל כלי רכב במחסום על אם הדרך; מאידך גיסא, לא ניתן לזהות התייחסות קונקרטית נוגדת לנושא זה. נמשיך, אפוא, לבחינת התכלית החיצונית לטקסט, היא התכלית האובייקטיבית. </w:t>
      </w:r>
    </w:p>
    <w:p w:rsidR="005366A8" w:rsidRPr="00AB7723" w:rsidRDefault="005366A8" w:rsidP="005366A8">
      <w:pPr>
        <w:tabs>
          <w:tab w:val="left" w:pos="800"/>
        </w:tabs>
        <w:overflowPunct w:val="0"/>
        <w:autoSpaceDE w:val="0"/>
        <w:autoSpaceDN w:val="0"/>
        <w:adjustRightInd w:val="0"/>
        <w:rPr>
          <w:rFonts w:ascii="Arial TUR" w:hAnsi="Arial TUR" w:cs="FrankRuehl"/>
          <w:noProof/>
          <w:spacing w:val="10"/>
          <w:sz w:val="22"/>
          <w:szCs w:val="22"/>
          <w:rtl/>
          <w:lang w:eastAsia="he-IL"/>
        </w:rPr>
      </w:pPr>
    </w:p>
    <w:p w:rsidR="005366A8" w:rsidRPr="00AB7723" w:rsidRDefault="005366A8" w:rsidP="005366A8">
      <w:pPr>
        <w:tabs>
          <w:tab w:val="left" w:pos="800"/>
        </w:tabs>
        <w:overflowPunct w:val="0"/>
        <w:autoSpaceDE w:val="0"/>
        <w:autoSpaceDN w:val="0"/>
        <w:adjustRightInd w:val="0"/>
        <w:rPr>
          <w:rFonts w:ascii="Arial TUR" w:hAnsi="Arial TUR" w:cs="Miriam"/>
          <w:noProof/>
          <w:sz w:val="22"/>
          <w:szCs w:val="22"/>
          <w:rtl/>
          <w:lang w:eastAsia="he-IL"/>
        </w:rPr>
      </w:pPr>
      <w:r w:rsidRPr="00AB7723">
        <w:rPr>
          <w:rFonts w:ascii="Arial TUR" w:hAnsi="Arial TUR" w:cs="Miriam" w:hint="cs"/>
          <w:noProof/>
          <w:sz w:val="22"/>
          <w:szCs w:val="22"/>
          <w:rtl/>
          <w:lang w:eastAsia="he-IL"/>
        </w:rPr>
        <w:t>רכיב התכלית האובייקטיבית</w:t>
      </w:r>
    </w:p>
    <w:p w:rsidR="005366A8" w:rsidRPr="00AB7723" w:rsidRDefault="005366A8" w:rsidP="005366A8">
      <w:pPr>
        <w:tabs>
          <w:tab w:val="left" w:pos="800"/>
        </w:tabs>
        <w:overflowPunct w:val="0"/>
        <w:autoSpaceDE w:val="0"/>
        <w:autoSpaceDN w:val="0"/>
        <w:adjustRightInd w:val="0"/>
        <w:rPr>
          <w:rFonts w:ascii="Arial TUR" w:hAnsi="Arial TUR" w:cs="Miriam"/>
          <w:noProof/>
          <w:sz w:val="22"/>
          <w:szCs w:val="22"/>
          <w:rtl/>
          <w:lang w:eastAsia="he-IL"/>
        </w:rPr>
      </w:pPr>
      <w:r w:rsidRPr="00AB7723">
        <w:rPr>
          <w:rFonts w:ascii="Arial TUR" w:hAnsi="Arial TUR" w:cs="Miriam" w:hint="cs"/>
          <w:noProof/>
          <w:sz w:val="22"/>
          <w:szCs w:val="22"/>
          <w:rtl/>
          <w:lang w:eastAsia="he-IL"/>
        </w:rPr>
        <w:t xml:space="preserve"> </w:t>
      </w:r>
    </w:p>
    <w:p w:rsidR="005366A8" w:rsidRPr="00AB7723" w:rsidRDefault="005366A8" w:rsidP="005366A8">
      <w:pPr>
        <w:tabs>
          <w:tab w:val="left" w:pos="800"/>
        </w:tabs>
        <w:overflowPunct w:val="0"/>
        <w:autoSpaceDE w:val="0"/>
        <w:autoSpaceDN w:val="0"/>
        <w:adjustRightInd w:val="0"/>
        <w:rPr>
          <w:rFonts w:ascii="Arial TUR" w:hAnsi="Arial TUR" w:cs="Miriam"/>
          <w:noProof/>
          <w:sz w:val="22"/>
          <w:szCs w:val="22"/>
          <w:rtl/>
          <w:lang w:eastAsia="he-IL"/>
        </w:rPr>
      </w:pPr>
      <w:r w:rsidRPr="00AB7723">
        <w:rPr>
          <w:rFonts w:ascii="Arial TUR" w:hAnsi="Arial TUR" w:cs="Miriam" w:hint="cs"/>
          <w:noProof/>
          <w:sz w:val="22"/>
          <w:szCs w:val="22"/>
          <w:rtl/>
          <w:lang w:eastAsia="he-IL"/>
        </w:rPr>
        <w:t>(א) גבייה אפקטיבית של תשלומי חובה</w:t>
      </w:r>
    </w:p>
    <w:p w:rsidR="005366A8" w:rsidRPr="00AB7723" w:rsidRDefault="005366A8" w:rsidP="005366A8">
      <w:pPr>
        <w:tabs>
          <w:tab w:val="left" w:pos="800"/>
        </w:tabs>
        <w:overflowPunct w:val="0"/>
        <w:autoSpaceDE w:val="0"/>
        <w:autoSpaceDN w:val="0"/>
        <w:adjustRightInd w:val="0"/>
        <w:rPr>
          <w:rFonts w:ascii="Arial TUR" w:hAnsi="Arial TUR" w:cs="FrankRuehl"/>
          <w:noProof/>
          <w:spacing w:val="10"/>
          <w:sz w:val="22"/>
          <w:szCs w:val="22"/>
          <w:rtl/>
          <w:lang w:eastAsia="he-IL"/>
        </w:rPr>
      </w:pPr>
      <w:r w:rsidRPr="00AB7723">
        <w:rPr>
          <w:rFonts w:cs="FrankRuehl" w:hint="cs"/>
          <w:noProof/>
          <w:spacing w:val="10"/>
          <w:sz w:val="22"/>
          <w:szCs w:val="22"/>
          <w:rtl/>
          <w:lang w:eastAsia="he-IL"/>
        </w:rPr>
        <w:t>25.</w:t>
      </w:r>
      <w:r w:rsidRPr="00AB7723">
        <w:rPr>
          <w:rFonts w:cs="FrankRuehl" w:hint="cs"/>
          <w:noProof/>
          <w:spacing w:val="10"/>
          <w:sz w:val="22"/>
          <w:szCs w:val="22"/>
          <w:rtl/>
          <w:lang w:eastAsia="he-IL"/>
        </w:rPr>
        <w:tab/>
      </w:r>
      <w:r w:rsidRPr="00AB7723">
        <w:rPr>
          <w:rFonts w:ascii="Arial TUR" w:hAnsi="Arial TUR" w:cs="FrankRuehl" w:hint="cs"/>
          <w:noProof/>
          <w:spacing w:val="10"/>
          <w:sz w:val="22"/>
          <w:szCs w:val="22"/>
          <w:highlight w:val="yellow"/>
          <w:rtl/>
          <w:lang w:eastAsia="he-IL"/>
        </w:rPr>
        <w:t>מרכיב מרכזי בתכלית האובייקטיבית העומדת ביסוד פרשנותה של פקודת המסים (גביה) ושל מרחב פרישתן של הסמכויות המוקנות בסעיפים 5-4 לה בפרט, הוא הצורך בקיומה של גבית מס אפקטיבית, לצורך ביצוע פעולות ציבוריות המשרתות את כלל האזרחים.</w:t>
      </w:r>
      <w:r w:rsidRPr="00AB7723">
        <w:rPr>
          <w:rFonts w:ascii="Arial TUR" w:hAnsi="Arial TUR" w:cs="FrankRuehl" w:hint="cs"/>
          <w:noProof/>
          <w:spacing w:val="10"/>
          <w:sz w:val="22"/>
          <w:szCs w:val="22"/>
          <w:rtl/>
          <w:lang w:eastAsia="he-IL"/>
        </w:rPr>
        <w:t xml:space="preserve"> דברים אלה יפים גם לעניין גביית דמי הביטוח הלאומי, שאינם אלא תשלום חובה "ייעודי" המבטיח מערכת של ביטחון סוציאלי ומעניק </w:t>
      </w:r>
      <w:r w:rsidRPr="00AB7723">
        <w:rPr>
          <w:rFonts w:ascii="Arial TUR" w:hAnsi="Arial TUR" w:cs="FrankRuehl" w:hint="cs"/>
          <w:spacing w:val="10"/>
          <w:sz w:val="22"/>
          <w:szCs w:val="22"/>
          <w:rtl/>
        </w:rPr>
        <w:t xml:space="preserve">אמצעי קיום, רשת ביטחון ושירותים חיוניים מינימאליים לקבוצות רחבות של האוכלוסייה </w:t>
      </w:r>
      <w:r w:rsidRPr="00AB7723">
        <w:rPr>
          <w:rFonts w:ascii="Arial TUR" w:hAnsi="Arial TUR" w:cs="FrankRuehl" w:hint="cs"/>
          <w:noProof/>
          <w:spacing w:val="10"/>
          <w:sz w:val="22"/>
          <w:szCs w:val="22"/>
          <w:rtl/>
          <w:lang w:eastAsia="he-IL"/>
        </w:rPr>
        <w:t xml:space="preserve">בקהילה שבה נגבה המס, </w:t>
      </w:r>
      <w:r w:rsidRPr="00AB7723">
        <w:rPr>
          <w:rFonts w:ascii="Arial TUR" w:hAnsi="Arial TUR" w:cs="FrankRuehl" w:hint="cs"/>
          <w:spacing w:val="10"/>
          <w:sz w:val="22"/>
          <w:szCs w:val="22"/>
          <w:rtl/>
        </w:rPr>
        <w:t>בהתקיים מצב של נזקקות</w:t>
      </w:r>
      <w:r w:rsidRPr="00AB7723">
        <w:rPr>
          <w:rFonts w:ascii="Arial TUR" w:hAnsi="Arial TUR" w:cs="FrankRuehl" w:hint="cs"/>
          <w:noProof/>
          <w:spacing w:val="10"/>
          <w:sz w:val="22"/>
          <w:szCs w:val="22"/>
          <w:rtl/>
          <w:lang w:eastAsia="he-IL"/>
        </w:rPr>
        <w:t xml:space="preserve"> (להרחבה, ראו: רות בן ישראל </w:t>
      </w:r>
      <w:r w:rsidRPr="00AB7723">
        <w:rPr>
          <w:rFonts w:ascii="Arial TUR" w:hAnsi="Arial TUR" w:cs="Miriam" w:hint="cs"/>
          <w:noProof/>
          <w:sz w:val="22"/>
          <w:szCs w:val="22"/>
          <w:rtl/>
          <w:lang w:eastAsia="he-IL"/>
        </w:rPr>
        <w:t xml:space="preserve">ביטחון סוציאלי </w:t>
      </w:r>
      <w:r w:rsidRPr="00AB7723">
        <w:rPr>
          <w:rFonts w:ascii="Arial TUR" w:hAnsi="Arial TUR" w:cs="FrankRuehl" w:hint="cs"/>
          <w:noProof/>
          <w:spacing w:val="10"/>
          <w:sz w:val="22"/>
          <w:szCs w:val="22"/>
          <w:rtl/>
          <w:lang w:eastAsia="he-IL"/>
        </w:rPr>
        <w:t xml:space="preserve">127-35 (2006); בג"צ 6304/09 </w:t>
      </w:r>
      <w:r w:rsidRPr="00AB7723">
        <w:rPr>
          <w:rFonts w:ascii="Arial TUR" w:hAnsi="Arial TUR" w:cs="Miriam" w:hint="cs"/>
          <w:noProof/>
          <w:sz w:val="22"/>
          <w:szCs w:val="22"/>
          <w:rtl/>
          <w:lang w:eastAsia="he-IL"/>
        </w:rPr>
        <w:t>לה"ב נ' היועץ המשפטי לממשלה</w:t>
      </w:r>
      <w:r w:rsidRPr="00AB7723">
        <w:rPr>
          <w:rFonts w:ascii="Arial TUR" w:hAnsi="Arial TUR" w:cs="FrankRuehl" w:hint="cs"/>
          <w:noProof/>
          <w:spacing w:val="10"/>
          <w:sz w:val="22"/>
          <w:szCs w:val="22"/>
          <w:rtl/>
          <w:lang w:eastAsia="he-IL"/>
        </w:rPr>
        <w:t>, סעיפים 53-42 (לא פורסם, 2.9.10)). מערכת גבייה יעילה של תשלומי חובה מגשימה גם ערכים של צדק חברתי, צדק חלוקתי ושל שוויון מהותי; היא מממשת את אופיה של המדינה כמדינת רווחה (רע"</w:t>
      </w:r>
      <w:r w:rsidRPr="00AB7723">
        <w:rPr>
          <w:rFonts w:ascii="Arial TUR" w:hAnsi="Arial TUR" w:cs="FrankRuehl" w:hint="cs"/>
          <w:spacing w:val="10"/>
          <w:sz w:val="22"/>
          <w:szCs w:val="22"/>
          <w:rtl/>
        </w:rPr>
        <w:t xml:space="preserve">א 9823/02 </w:t>
      </w:r>
      <w:r w:rsidRPr="00AB7723">
        <w:rPr>
          <w:rFonts w:ascii="Arial TUR" w:hAnsi="Arial TUR" w:cs="Miriam" w:hint="cs"/>
          <w:sz w:val="22"/>
          <w:szCs w:val="22"/>
          <w:rtl/>
        </w:rPr>
        <w:t>"המגן" חב' לביטוח בע"מ נ' המוסד לביטוח לאומי</w:t>
      </w:r>
      <w:r w:rsidRPr="00AB7723">
        <w:rPr>
          <w:rFonts w:ascii="Arial TUR" w:hAnsi="Arial TUR" w:cs="FrankRuehl" w:hint="cs"/>
          <w:spacing w:val="10"/>
          <w:sz w:val="22"/>
          <w:szCs w:val="22"/>
          <w:rtl/>
        </w:rPr>
        <w:t>, סעיף 17 (לא פורסם, 27.12.04))</w:t>
      </w:r>
      <w:r w:rsidRPr="00AB7723">
        <w:rPr>
          <w:rFonts w:ascii="Arial TUR" w:hAnsi="Arial TUR" w:cs="FrankRuehl" w:hint="cs"/>
          <w:noProof/>
          <w:spacing w:val="10"/>
          <w:sz w:val="22"/>
          <w:szCs w:val="22"/>
          <w:rtl/>
          <w:lang w:eastAsia="he-IL"/>
        </w:rPr>
        <w:t xml:space="preserve">; היא מאפשרת הספקתם של מוצרים ציבוריים הנחוצים לכלל חברי הקהילה אך אינם מיוצרים על-ידי השוק החופשי מחמת כשלי שוק (ראו יוסף אדרעי </w:t>
      </w:r>
      <w:r w:rsidRPr="00AB7723">
        <w:rPr>
          <w:rFonts w:ascii="Arial TUR" w:hAnsi="Arial TUR" w:cs="Miriam" w:hint="cs"/>
          <w:noProof/>
          <w:sz w:val="22"/>
          <w:szCs w:val="22"/>
          <w:rtl/>
          <w:lang w:eastAsia="he-IL"/>
        </w:rPr>
        <w:t>מבוא לתורת המסים</w:t>
      </w:r>
      <w:r w:rsidRPr="00AB7723">
        <w:rPr>
          <w:rFonts w:ascii="Arial TUR" w:hAnsi="Arial TUR" w:cs="FrankRuehl" w:hint="cs"/>
          <w:noProof/>
          <w:spacing w:val="10"/>
          <w:sz w:val="22"/>
          <w:szCs w:val="22"/>
          <w:rtl/>
          <w:lang w:eastAsia="he-IL"/>
        </w:rPr>
        <w:t xml:space="preserve"> 28, 39-38 (2008) (להלן: </w:t>
      </w:r>
      <w:r w:rsidRPr="00AB7723">
        <w:rPr>
          <w:rFonts w:ascii="Arial TUR" w:hAnsi="Arial TUR" w:cs="Miriam" w:hint="cs"/>
          <w:noProof/>
          <w:sz w:val="22"/>
          <w:szCs w:val="22"/>
          <w:rtl/>
          <w:lang w:eastAsia="he-IL"/>
        </w:rPr>
        <w:t>אדרעי</w:t>
      </w:r>
      <w:r w:rsidRPr="00AB7723">
        <w:rPr>
          <w:rFonts w:ascii="Arial TUR" w:hAnsi="Arial TUR" w:cs="FrankRuehl" w:hint="cs"/>
          <w:noProof/>
          <w:spacing w:val="10"/>
          <w:sz w:val="22"/>
          <w:szCs w:val="22"/>
          <w:rtl/>
          <w:lang w:eastAsia="he-IL"/>
        </w:rPr>
        <w:t xml:space="preserve">)). בכך מוגשמת באופן רחב את זכות האדם לכבוד (רע"א 4905/98 </w:t>
      </w:r>
      <w:r w:rsidRPr="00AB7723">
        <w:rPr>
          <w:rFonts w:ascii="Arial TUR" w:hAnsi="Arial TUR" w:cs="Miriam" w:hint="cs"/>
          <w:noProof/>
          <w:sz w:val="22"/>
          <w:szCs w:val="22"/>
          <w:rtl/>
          <w:lang w:eastAsia="he-IL"/>
        </w:rPr>
        <w:t>גמזו נ' ישעיהו</w:t>
      </w:r>
      <w:r w:rsidRPr="00AB7723">
        <w:rPr>
          <w:rFonts w:ascii="Arial TUR" w:hAnsi="Arial TUR" w:cs="FrankRuehl" w:hint="cs"/>
          <w:noProof/>
          <w:spacing w:val="10"/>
          <w:sz w:val="22"/>
          <w:szCs w:val="22"/>
          <w:rtl/>
          <w:lang w:eastAsia="he-IL"/>
        </w:rPr>
        <w:t>, פ"ד נה(3) 360 376-375 (2001)). מי שנמנע מתשלום מס או תשלום חובה אחר פוגע בכלל, הן משום שבהימנעותו מלהשתתף בנטל הוא מביא לצמצום בהיקף הסחורות והשירותים שהמדינה יכולה לספק, והזכויות הסוציאליות שהיא יכולה להבטיח, הן בכך שכדי למלא את החסר בקופה הציבורית חייב כל אחד מיתר חברי הקהילה לשלם מחיר גבוה יותר, ופעמים רבות – אף גבוה מנטל המס שהיה מוטל עליו לפי נקודת האיזון החברתית, בהתאם ליכולתו הכלכלית..</w:t>
      </w:r>
    </w:p>
    <w:p w:rsidR="005366A8" w:rsidRPr="00AB7723" w:rsidRDefault="005366A8" w:rsidP="005366A8">
      <w:pPr>
        <w:tabs>
          <w:tab w:val="left" w:pos="800"/>
        </w:tabs>
        <w:overflowPunct w:val="0"/>
        <w:autoSpaceDE w:val="0"/>
        <w:autoSpaceDN w:val="0"/>
        <w:adjustRightInd w:val="0"/>
        <w:rPr>
          <w:rFonts w:ascii="Arial TUR" w:hAnsi="Arial TUR" w:cs="FrankRuehl"/>
          <w:noProof/>
          <w:spacing w:val="10"/>
          <w:sz w:val="22"/>
          <w:szCs w:val="22"/>
          <w:rtl/>
          <w:lang w:eastAsia="he-IL"/>
        </w:rPr>
      </w:pPr>
    </w:p>
    <w:p w:rsidR="005366A8" w:rsidRPr="00AB7723" w:rsidRDefault="005366A8" w:rsidP="005366A8">
      <w:pPr>
        <w:tabs>
          <w:tab w:val="left" w:pos="800"/>
        </w:tabs>
        <w:overflowPunct w:val="0"/>
        <w:autoSpaceDE w:val="0"/>
        <w:autoSpaceDN w:val="0"/>
        <w:adjustRightInd w:val="0"/>
        <w:rPr>
          <w:rFonts w:cs="Miriam"/>
          <w:sz w:val="22"/>
          <w:szCs w:val="22"/>
          <w:rtl/>
        </w:rPr>
      </w:pPr>
      <w:r w:rsidRPr="00AB7723">
        <w:rPr>
          <w:rFonts w:cs="Miriam" w:hint="cs"/>
          <w:sz w:val="22"/>
          <w:szCs w:val="22"/>
          <w:rtl/>
        </w:rPr>
        <w:t xml:space="preserve">(ב) שלטון החוק </w:t>
      </w:r>
    </w:p>
    <w:p w:rsidR="005366A8" w:rsidRPr="00AB7723" w:rsidRDefault="005366A8" w:rsidP="005366A8">
      <w:pPr>
        <w:tabs>
          <w:tab w:val="left" w:pos="800"/>
        </w:tabs>
        <w:overflowPunct w:val="0"/>
        <w:autoSpaceDE w:val="0"/>
        <w:autoSpaceDN w:val="0"/>
        <w:adjustRightInd w:val="0"/>
        <w:rPr>
          <w:rFonts w:ascii="Arial TUR" w:hAnsi="Arial TUR" w:cs="FrankRuehl"/>
          <w:noProof/>
          <w:spacing w:val="10"/>
          <w:sz w:val="22"/>
          <w:szCs w:val="22"/>
          <w:rtl/>
          <w:lang w:eastAsia="he-IL"/>
        </w:rPr>
      </w:pPr>
      <w:r w:rsidRPr="00AB7723">
        <w:rPr>
          <w:rFonts w:ascii="Arial TUR" w:hAnsi="Arial TUR" w:cs="FrankRuehl" w:hint="cs"/>
          <w:noProof/>
          <w:spacing w:val="10"/>
          <w:sz w:val="22"/>
          <w:szCs w:val="22"/>
          <w:rtl/>
          <w:lang w:eastAsia="he-IL"/>
        </w:rPr>
        <w:t>27.</w:t>
      </w:r>
      <w:r w:rsidRPr="00AB7723">
        <w:rPr>
          <w:rFonts w:ascii="Arial TUR" w:hAnsi="Arial TUR" w:cs="FrankRuehl" w:hint="cs"/>
          <w:noProof/>
          <w:spacing w:val="10"/>
          <w:sz w:val="22"/>
          <w:szCs w:val="22"/>
          <w:rtl/>
          <w:lang w:eastAsia="he-IL"/>
        </w:rPr>
        <w:tab/>
        <w:t xml:space="preserve">תכלית חיצונית נוספת, רחבה יותר, העומדת ביסוד הסדרי הגביה הקבועים בפקודה, עניינה בהבטחת שלטון החוק ואכיפת החוק, שהם משום עיקרון יסוד בשיטת המשפט הישראלית (ע"א 3015/06 </w:t>
      </w:r>
      <w:r w:rsidRPr="00AB7723">
        <w:rPr>
          <w:rFonts w:ascii="Arial TUR" w:hAnsi="Arial TUR" w:cs="Miriam" w:hint="cs"/>
          <w:noProof/>
          <w:sz w:val="22"/>
          <w:szCs w:val="22"/>
          <w:rtl/>
          <w:lang w:eastAsia="he-IL"/>
        </w:rPr>
        <w:t>מדינת ישראל נ' פינקלשטיין</w:t>
      </w:r>
      <w:r w:rsidRPr="00AB7723">
        <w:rPr>
          <w:rFonts w:ascii="Arial TUR" w:hAnsi="Arial TUR" w:cs="FrankRuehl" w:hint="cs"/>
          <w:noProof/>
          <w:spacing w:val="10"/>
          <w:sz w:val="22"/>
          <w:szCs w:val="22"/>
          <w:rtl/>
          <w:lang w:eastAsia="he-IL"/>
        </w:rPr>
        <w:t xml:space="preserve"> (לא פורסם, 9.12.08); עע"מ 9057/09 </w:t>
      </w:r>
      <w:r w:rsidRPr="00AB7723">
        <w:rPr>
          <w:rFonts w:ascii="Arial TUR" w:hAnsi="Arial TUR" w:cs="Miriam" w:hint="cs"/>
          <w:noProof/>
          <w:sz w:val="22"/>
          <w:szCs w:val="22"/>
          <w:rtl/>
          <w:lang w:eastAsia="he-IL"/>
        </w:rPr>
        <w:t>איגנר נ' השמורה</w:t>
      </w:r>
      <w:r w:rsidRPr="00AB7723">
        <w:rPr>
          <w:rFonts w:ascii="Arial TUR" w:hAnsi="Arial TUR" w:cs="FrankRuehl" w:hint="cs"/>
          <w:noProof/>
          <w:spacing w:val="10"/>
          <w:sz w:val="22"/>
          <w:szCs w:val="22"/>
          <w:rtl/>
          <w:lang w:eastAsia="he-IL"/>
        </w:rPr>
        <w:t xml:space="preserve"> בע"מ (לא פורסם, 20.10.10)). </w:t>
      </w:r>
      <w:r w:rsidRPr="00AB7723">
        <w:rPr>
          <w:rFonts w:ascii="Arial TUR" w:hAnsi="Arial TUR" w:cs="FrankRuehl" w:hint="cs"/>
          <w:spacing w:val="10"/>
          <w:sz w:val="22"/>
          <w:szCs w:val="22"/>
          <w:rtl/>
        </w:rPr>
        <w:t>נדבך מרכזי של שלטון החוק, עניינו בידיעתו של מפר החוק כי בעשותו כן צפוי הוא לסנקציה מאורגנת של החברה. אכן, שלטון החוק מחייב את אכיפת החוק באופן שוויוני ללא שרירות וללא מקריות, שאחרת ייעשה החוק פלסתר, ייפגע אמון הציבור ברשויות השלטון ויישחק גורם ההרתעה מפני הפרתו (ראו ע"פ 3520/91</w:t>
      </w:r>
      <w:r w:rsidRPr="00AB7723">
        <w:rPr>
          <w:rFonts w:ascii="Arial TUR" w:hAnsi="Arial TUR" w:cs="FrankRuehl" w:hint="cs"/>
          <w:sz w:val="22"/>
          <w:szCs w:val="22"/>
          <w:rtl/>
        </w:rPr>
        <w:t xml:space="preserve"> </w:t>
      </w:r>
      <w:r w:rsidRPr="00AB7723">
        <w:rPr>
          <w:rFonts w:ascii="Arial TUR" w:hAnsi="Arial TUR" w:cs="Miriam" w:hint="cs"/>
          <w:sz w:val="22"/>
          <w:szCs w:val="22"/>
          <w:rtl/>
        </w:rPr>
        <w:t>תורג'מן נ' מדינת ישראל</w:t>
      </w:r>
      <w:r w:rsidRPr="00AB7723">
        <w:rPr>
          <w:rFonts w:ascii="Arial TUR" w:hAnsi="Arial TUR" w:cs="FrankRuehl" w:hint="cs"/>
          <w:spacing w:val="10"/>
          <w:sz w:val="22"/>
          <w:szCs w:val="22"/>
          <w:rtl/>
        </w:rPr>
        <w:t xml:space="preserve">, פ"ד מז(1) 441, 456 (1993); ראו גם אהרון ברק </w:t>
      </w:r>
      <w:r w:rsidRPr="00AB7723">
        <w:rPr>
          <w:rFonts w:ascii="Arial TUR" w:hAnsi="Arial TUR" w:cs="Miriam" w:hint="cs"/>
          <w:sz w:val="22"/>
          <w:szCs w:val="22"/>
          <w:rtl/>
        </w:rPr>
        <w:t>שופט בחברה דמוקרטית</w:t>
      </w:r>
      <w:r w:rsidRPr="00AB7723">
        <w:rPr>
          <w:rFonts w:ascii="Arial TUR" w:hAnsi="Arial TUR" w:cs="FrankRuehl" w:hint="cs"/>
          <w:sz w:val="22"/>
          <w:szCs w:val="22"/>
          <w:rtl/>
        </w:rPr>
        <w:t xml:space="preserve"> </w:t>
      </w:r>
      <w:r w:rsidRPr="00AB7723">
        <w:rPr>
          <w:rFonts w:ascii="Arial TUR" w:hAnsi="Arial TUR" w:cs="FrankRuehl" w:hint="cs"/>
          <w:spacing w:val="10"/>
          <w:sz w:val="22"/>
          <w:szCs w:val="22"/>
          <w:rtl/>
        </w:rPr>
        <w:t>122-116</w:t>
      </w:r>
      <w:r w:rsidRPr="00AB7723">
        <w:rPr>
          <w:rFonts w:ascii="Arial TUR" w:hAnsi="Arial TUR" w:cs="FrankRuehl" w:hint="cs"/>
          <w:spacing w:val="10"/>
          <w:sz w:val="22"/>
          <w:szCs w:val="22"/>
        </w:rPr>
        <w:t xml:space="preserve"> </w:t>
      </w:r>
      <w:r w:rsidRPr="00AB7723">
        <w:rPr>
          <w:rFonts w:ascii="Arial TUR" w:hAnsi="Arial TUR" w:cs="FrankRuehl" w:hint="cs"/>
          <w:spacing w:val="10"/>
          <w:sz w:val="22"/>
          <w:szCs w:val="22"/>
          <w:rtl/>
        </w:rPr>
        <w:t xml:space="preserve">(2004)). </w:t>
      </w:r>
      <w:r w:rsidRPr="00AB7723">
        <w:rPr>
          <w:rFonts w:ascii="Arial TUR" w:hAnsi="Arial TUR" w:cs="FrankRuehl" w:hint="cs"/>
          <w:spacing w:val="10"/>
          <w:sz w:val="22"/>
          <w:szCs w:val="22"/>
          <w:highlight w:val="yellow"/>
          <w:rtl/>
        </w:rPr>
        <w:t xml:space="preserve">אכיפת בלתי שוויונית של החוק עלולה אף להוביל למצב שבו חוטא יוצא נשכר שכן מפר החוק נהנה מפרי הפרתו (ראו ע"א 6416/01 </w:t>
      </w:r>
      <w:r w:rsidRPr="00AB7723">
        <w:rPr>
          <w:rFonts w:ascii="Arial TUR" w:hAnsi="Arial TUR" w:cs="Miriam" w:hint="cs"/>
          <w:sz w:val="22"/>
          <w:szCs w:val="22"/>
          <w:highlight w:val="yellow"/>
          <w:rtl/>
        </w:rPr>
        <w:t>בנבנישתי נ' כונס הנכסים הרשמי</w:t>
      </w:r>
      <w:r w:rsidRPr="00AB7723">
        <w:rPr>
          <w:rFonts w:ascii="Arial TUR" w:hAnsi="Arial TUR" w:cs="FrankRuehl" w:hint="cs"/>
          <w:spacing w:val="10"/>
          <w:sz w:val="22"/>
          <w:szCs w:val="22"/>
          <w:highlight w:val="yellow"/>
          <w:rtl/>
        </w:rPr>
        <w:t>, פ"ד נז(4) 197, 206 (2003)). על רקע זה, נקבעה חזקת תכלית שלפיה יש להימנע מפירוש המביא לעקיפתו של חוק (</w:t>
      </w:r>
      <w:r w:rsidRPr="00AB7723">
        <w:rPr>
          <w:rFonts w:ascii="Arial TUR" w:hAnsi="Arial TUR" w:cs="Miriam" w:hint="cs"/>
          <w:sz w:val="22"/>
          <w:szCs w:val="22"/>
          <w:highlight w:val="yellow"/>
          <w:rtl/>
        </w:rPr>
        <w:t>ברק</w:t>
      </w:r>
      <w:r w:rsidRPr="00AB7723">
        <w:rPr>
          <w:rFonts w:ascii="Arial TUR" w:hAnsi="Arial TUR" w:cs="FrankRuehl" w:hint="cs"/>
          <w:spacing w:val="10"/>
          <w:sz w:val="22"/>
          <w:szCs w:val="22"/>
          <w:highlight w:val="yellow"/>
          <w:rtl/>
        </w:rPr>
        <w:t>, בעמ' 575-574). התכלית בדבר הבטחתה של גביה אפקטיבית, המקשה על מפר החוק להתעלם מבקשות כתובות המופנות אליו ולחמוק מתשלום מס – הנגזרת מן התכלית הרחבה בדבר הגנה על שלטון החוק – תומכת בשימוש באמצעים לשם גביית מס, כדוגמת אלה הננקטים על-ידי המשיבים</w:t>
      </w:r>
      <w:r w:rsidRPr="00AB7723">
        <w:rPr>
          <w:rFonts w:ascii="Arial TUR" w:hAnsi="Arial TUR" w:cs="FrankRuehl" w:hint="cs"/>
          <w:spacing w:val="10"/>
          <w:sz w:val="22"/>
          <w:szCs w:val="22"/>
          <w:rtl/>
        </w:rPr>
        <w:t xml:space="preserve">. </w:t>
      </w:r>
    </w:p>
    <w:p w:rsidR="005366A8" w:rsidRPr="00AB7723" w:rsidRDefault="005366A8" w:rsidP="005366A8">
      <w:pPr>
        <w:tabs>
          <w:tab w:val="left" w:pos="800"/>
        </w:tabs>
        <w:overflowPunct w:val="0"/>
        <w:autoSpaceDE w:val="0"/>
        <w:autoSpaceDN w:val="0"/>
        <w:adjustRightInd w:val="0"/>
        <w:rPr>
          <w:rFonts w:ascii="Arial TUR" w:hAnsi="Arial TUR" w:cs="FrankRuehl"/>
          <w:noProof/>
          <w:spacing w:val="10"/>
          <w:sz w:val="22"/>
          <w:szCs w:val="22"/>
          <w:rtl/>
          <w:lang w:eastAsia="he-IL"/>
        </w:rPr>
      </w:pPr>
    </w:p>
    <w:p w:rsidR="005366A8" w:rsidRPr="009716BD"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AB7723">
        <w:rPr>
          <w:rFonts w:ascii="Arial TUR" w:hAnsi="Arial TUR" w:cs="FrankRuehl" w:hint="cs"/>
          <w:noProof/>
          <w:spacing w:val="10"/>
          <w:sz w:val="22"/>
          <w:szCs w:val="22"/>
          <w:rtl/>
          <w:lang w:eastAsia="he-IL"/>
        </w:rPr>
        <w:t>28.</w:t>
      </w:r>
      <w:r w:rsidRPr="00AB7723">
        <w:rPr>
          <w:rFonts w:ascii="Arial TUR" w:hAnsi="Arial TUR" w:cs="FrankRuehl" w:hint="cs"/>
          <w:noProof/>
          <w:spacing w:val="10"/>
          <w:sz w:val="22"/>
          <w:szCs w:val="22"/>
          <w:rtl/>
          <w:lang w:eastAsia="he-IL"/>
        </w:rPr>
        <w:tab/>
      </w:r>
      <w:r w:rsidRPr="00AB7723">
        <w:rPr>
          <w:rFonts w:ascii="Arial TUR" w:hAnsi="Arial TUR" w:cs="FrankRuehl" w:hint="cs"/>
          <w:noProof/>
          <w:spacing w:val="10"/>
          <w:sz w:val="22"/>
          <w:szCs w:val="22"/>
          <w:highlight w:val="yellow"/>
          <w:rtl/>
          <w:lang w:eastAsia="he-IL"/>
        </w:rPr>
        <w:t>בצד תכליות אובייקטיביות אלה, התומכות בפרשנות מרחיבה ובלימוד סמכות משתמעת בנוגע לאפשרות לעקל כלי רכב במחסום על אם הדרך, קיימות תכליות נוספות הנלמדות מעקרונות היסוד של שיטת המשפט הישראלית ומהמערך החקיקתי המצוי בה, שעשויות להצביע על תוצאה שונה. בין תכליות אלה מצויה קיומן והגשמתן של זכויות אשר זכו למעמד חוקתי בישראל, בחוק ובפסיקה, ובכלל זה הזכות לכבוד, לקניין, לחופש תנועה</w:t>
      </w:r>
      <w:r>
        <w:rPr>
          <w:rFonts w:ascii="Arial TUR" w:hAnsi="Arial TUR" w:cs="FrankRuehl" w:hint="cs"/>
          <w:noProof/>
          <w:spacing w:val="10"/>
          <w:sz w:val="22"/>
          <w:szCs w:val="22"/>
          <w:highlight w:val="yellow"/>
          <w:rtl/>
          <w:lang w:eastAsia="he-IL"/>
        </w:rPr>
        <w:t>,</w:t>
      </w:r>
      <w:r w:rsidRPr="00AB7723">
        <w:rPr>
          <w:rFonts w:ascii="Arial TUR" w:hAnsi="Arial TUR" w:cs="FrankRuehl" w:hint="cs"/>
          <w:noProof/>
          <w:spacing w:val="10"/>
          <w:sz w:val="22"/>
          <w:szCs w:val="22"/>
          <w:highlight w:val="yellow"/>
          <w:rtl/>
          <w:lang w:eastAsia="he-IL"/>
        </w:rPr>
        <w:t xml:space="preserve"> לפרטיות, להליך הוגן וכן זכות הגישה לערכאות.</w:t>
      </w:r>
      <w:r w:rsidRPr="00AB7723">
        <w:rPr>
          <w:rFonts w:ascii="Arial TUR" w:hAnsi="Arial TUR" w:cs="FrankRuehl" w:hint="cs"/>
          <w:noProof/>
          <w:spacing w:val="10"/>
          <w:sz w:val="22"/>
          <w:szCs w:val="22"/>
          <w:rtl/>
          <w:lang w:eastAsia="he-IL"/>
        </w:rPr>
        <w:t xml:space="preserve"> אמנם, ככל זכות, גם זכויות אלה אינן מוגנות</w:t>
      </w:r>
      <w:r w:rsidRPr="00AB7723">
        <w:rPr>
          <w:rFonts w:ascii="Arial TUR" w:hAnsi="Arial TUR" w:cs="FrankRuehl" w:hint="cs"/>
          <w:spacing w:val="10"/>
          <w:sz w:val="22"/>
          <w:szCs w:val="22"/>
          <w:rtl/>
        </w:rPr>
        <w:t xml:space="preserve"> בכל הנסיבות במלוא היקף פרישתן, ובמצבים מסוימים – בהתאם לאמות המידה שנקבעו בפסקת ההגבלה שבחוק יסוד: כבוד האדם וחירותו – יוּצַר היקף ההגנה החוקתית הניתנת להן, כאשר כנגדן עומד ערך נוגד חשוב אחר </w:t>
      </w:r>
      <w:r>
        <w:rPr>
          <w:rFonts w:ascii="Arial TUR" w:hAnsi="Arial TUR" w:cs="FrankRuehl" w:hint="cs"/>
          <w:spacing w:val="10"/>
          <w:sz w:val="22"/>
          <w:szCs w:val="22"/>
          <w:rtl/>
        </w:rPr>
        <w:t>..</w:t>
      </w:r>
      <w:r w:rsidRPr="00AB7723">
        <w:rPr>
          <w:rFonts w:ascii="Arial TUR" w:hAnsi="Arial TUR" w:cs="FrankRuehl" w:hint="cs"/>
          <w:spacing w:val="10"/>
          <w:sz w:val="22"/>
          <w:szCs w:val="22"/>
          <w:rtl/>
        </w:rPr>
        <w:t xml:space="preserve">. ואולם, גם </w:t>
      </w:r>
      <w:r w:rsidRPr="009716BD">
        <w:rPr>
          <w:rFonts w:ascii="Arial TUR" w:hAnsi="Arial TUR" w:cs="FrankRuehl" w:hint="cs"/>
          <w:spacing w:val="10"/>
          <w:sz w:val="22"/>
          <w:szCs w:val="22"/>
          <w:rtl/>
        </w:rPr>
        <w:t xml:space="preserve">בהינתן האמור, ברי כי לאפשרות הפגיעה בזכויות יסוד מוגנות יש ליתן משקל בבואנו לפרש סעיף חוק המקים פוטנציאל לפגיעה בזכויות ובחירויות כאמור. </w:t>
      </w:r>
    </w:p>
    <w:p w:rsidR="005366A8" w:rsidRPr="009716BD"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9716BD">
        <w:rPr>
          <w:rFonts w:ascii="Arial TUR" w:hAnsi="Arial TUR" w:cs="FrankRuehl" w:hint="cs"/>
          <w:spacing w:val="10"/>
          <w:sz w:val="22"/>
          <w:szCs w:val="22"/>
          <w:rtl/>
        </w:rPr>
        <w:t xml:space="preserve">יצוין, כי נוכח סעיף </w:t>
      </w:r>
      <w:r w:rsidRPr="009716BD">
        <w:rPr>
          <w:rFonts w:ascii="Arial TUR" w:hAnsi="Arial TUR" w:cs="FrankRuehl" w:hint="cs"/>
          <w:spacing w:val="10"/>
          <w:sz w:val="22"/>
          <w:szCs w:val="22"/>
          <w:highlight w:val="yellow"/>
          <w:rtl/>
        </w:rPr>
        <w:t>שמירת הדינים</w:t>
      </w:r>
      <w:r w:rsidRPr="009716BD">
        <w:rPr>
          <w:rFonts w:ascii="Arial TUR" w:hAnsi="Arial TUR" w:cs="FrankRuehl" w:hint="cs"/>
          <w:spacing w:val="10"/>
          <w:sz w:val="22"/>
          <w:szCs w:val="22"/>
          <w:rtl/>
        </w:rPr>
        <w:t xml:space="preserve"> הקבוע בסעיף 10 לחוק יסוד: כבוד האדם וחירותו, לא נתונות הוראות פקודת המסים (גביה) – אשר קדמו לחוק היסוד, לביקורת חוקתית. </w:t>
      </w:r>
      <w:r w:rsidRPr="00827592">
        <w:rPr>
          <w:rFonts w:ascii="Arial TUR" w:hAnsi="Arial TUR" w:cs="FrankRuehl" w:hint="cs"/>
          <w:spacing w:val="10"/>
          <w:sz w:val="22"/>
          <w:szCs w:val="22"/>
          <w:highlight w:val="yellow"/>
          <w:rtl/>
        </w:rPr>
        <w:t>עם זאת, כפי שנפסק לא אחת, את הפקודה – כמו כל חוק אחר שקדם לחוק היסוד – יש לפרש לאור העקרונות והערכים שהתוו בחוק יסוד: כבוד האדם וחירותו והזכויות הנגזרות ממנו</w:t>
      </w:r>
      <w:r w:rsidRPr="009716BD">
        <w:rPr>
          <w:rFonts w:ascii="Arial TUR" w:hAnsi="Arial TUR" w:cs="FrankRuehl" w:hint="cs"/>
          <w:spacing w:val="10"/>
          <w:sz w:val="22"/>
          <w:szCs w:val="22"/>
          <w:rtl/>
        </w:rPr>
        <w:t xml:space="preserve"> (דנ"פ 2316/95 </w:t>
      </w:r>
      <w:r w:rsidRPr="009716BD">
        <w:rPr>
          <w:rFonts w:ascii="Arial TUR" w:hAnsi="Arial TUR" w:cs="Miriam" w:hint="cs"/>
          <w:sz w:val="22"/>
          <w:szCs w:val="22"/>
          <w:rtl/>
        </w:rPr>
        <w:t>גנימאת נ' מדינת ישראל</w:t>
      </w:r>
      <w:r w:rsidRPr="009716BD">
        <w:rPr>
          <w:rFonts w:ascii="Arial TUR" w:hAnsi="Arial TUR" w:cs="FrankRuehl" w:hint="cs"/>
          <w:spacing w:val="10"/>
          <w:sz w:val="22"/>
          <w:szCs w:val="22"/>
          <w:rtl/>
        </w:rPr>
        <w:t xml:space="preserve">, פ"ד מט(4) 589, 643, 653 (1996)). </w:t>
      </w:r>
    </w:p>
    <w:p w:rsidR="005366A8" w:rsidRPr="009716BD" w:rsidRDefault="005366A8" w:rsidP="005366A8">
      <w:pPr>
        <w:tabs>
          <w:tab w:val="left" w:pos="800"/>
        </w:tabs>
        <w:overflowPunct w:val="0"/>
        <w:autoSpaceDE w:val="0"/>
        <w:autoSpaceDN w:val="0"/>
        <w:adjustRightInd w:val="0"/>
        <w:rPr>
          <w:rFonts w:ascii="Arial TUR" w:hAnsi="Arial TUR" w:cs="FrankRuehl"/>
          <w:spacing w:val="10"/>
          <w:sz w:val="22"/>
          <w:szCs w:val="22"/>
          <w:rtl/>
        </w:rPr>
      </w:pPr>
    </w:p>
    <w:p w:rsidR="005366A8" w:rsidRPr="009716BD" w:rsidRDefault="005366A8" w:rsidP="005366A8">
      <w:pPr>
        <w:tabs>
          <w:tab w:val="left" w:pos="800"/>
        </w:tabs>
        <w:overflowPunct w:val="0"/>
        <w:autoSpaceDE w:val="0"/>
        <w:autoSpaceDN w:val="0"/>
        <w:adjustRightInd w:val="0"/>
        <w:rPr>
          <w:rFonts w:cs="Miriam"/>
          <w:sz w:val="22"/>
          <w:szCs w:val="22"/>
          <w:rtl/>
        </w:rPr>
      </w:pPr>
      <w:r w:rsidRPr="009716BD">
        <w:rPr>
          <w:rFonts w:cs="Miriam" w:hint="cs"/>
          <w:sz w:val="22"/>
          <w:szCs w:val="22"/>
          <w:rtl/>
        </w:rPr>
        <w:t>(ג) הזכות לכבוד</w:t>
      </w:r>
    </w:p>
    <w:p w:rsidR="005366A8" w:rsidRPr="009716BD"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9716BD">
        <w:rPr>
          <w:rFonts w:ascii="Arial TUR" w:hAnsi="Arial TUR" w:cs="FrankRuehl" w:hint="cs"/>
          <w:spacing w:val="10"/>
          <w:sz w:val="22"/>
          <w:szCs w:val="22"/>
          <w:rtl/>
        </w:rPr>
        <w:t>29.</w:t>
      </w:r>
      <w:r w:rsidRPr="009716BD">
        <w:rPr>
          <w:rFonts w:ascii="Arial TUR" w:hAnsi="Arial TUR" w:cs="FrankRuehl" w:hint="cs"/>
          <w:spacing w:val="10"/>
          <w:sz w:val="22"/>
          <w:szCs w:val="22"/>
          <w:rtl/>
        </w:rPr>
        <w:tab/>
        <w:t xml:space="preserve">הרעיון הבסיסי העומד ביסוד התיאוריה של זכויות האדם הינו שלאדם כפרט יש כבוד, שהוא ראוי שינהגו בו בכבוד, וכי שומה על הגורמים המופקדים על כך, ובכלל זה בית המשפט, להגן על הפרט מפני פגיעה בכבוד. באופן פרטני, כולל כבוד האדם אגד של זכויות, שבהיעדרן אין משמעות להיותו של האדם יצור חופשי, אוטונומי ובעל ערך בתור שכזה (ראו בג"צ 366/03 </w:t>
      </w:r>
      <w:r w:rsidRPr="009716BD">
        <w:rPr>
          <w:rFonts w:ascii="Arial TUR" w:hAnsi="Arial TUR" w:cs="Miriam" w:hint="cs"/>
          <w:sz w:val="22"/>
          <w:szCs w:val="22"/>
          <w:rtl/>
        </w:rPr>
        <w:t>עמותת מחויבות לשלום וצדק חברתי נ' שר האוצר</w:t>
      </w:r>
      <w:r w:rsidRPr="009716BD">
        <w:rPr>
          <w:rFonts w:ascii="Arial TUR" w:hAnsi="Arial TUR" w:cs="FrankRuehl" w:hint="cs"/>
          <w:spacing w:val="10"/>
          <w:sz w:val="22"/>
          <w:szCs w:val="22"/>
          <w:rtl/>
        </w:rPr>
        <w:t xml:space="preserve"> פ"ד ס(3) 464, 480 (2005)). היקף פרישתה של הזכות לכבוד נידון בבית משפט זה ובספרות פעמים רבות. </w:t>
      </w:r>
      <w:r w:rsidRPr="004B71A6">
        <w:rPr>
          <w:rFonts w:ascii="Arial TUR" w:hAnsi="Arial TUR" w:cs="FrankRuehl" w:hint="cs"/>
          <w:spacing w:val="10"/>
          <w:sz w:val="22"/>
          <w:szCs w:val="22"/>
          <w:highlight w:val="yellow"/>
          <w:rtl/>
        </w:rPr>
        <w:t xml:space="preserve">כך למשל, הציע המלומד </w:t>
      </w:r>
      <w:r w:rsidRPr="004B71A6">
        <w:rPr>
          <w:rFonts w:ascii="Arial TUR" w:hAnsi="Arial TUR" w:cs="Miriam" w:hint="cs"/>
          <w:sz w:val="22"/>
          <w:szCs w:val="22"/>
          <w:highlight w:val="yellow"/>
          <w:rtl/>
        </w:rPr>
        <w:t xml:space="preserve">ד' סטטמן </w:t>
      </w:r>
      <w:r w:rsidRPr="004B71A6">
        <w:rPr>
          <w:rFonts w:ascii="Arial TUR" w:hAnsi="Arial TUR" w:cs="FrankRuehl" w:hint="cs"/>
          <w:spacing w:val="10"/>
          <w:sz w:val="22"/>
          <w:szCs w:val="22"/>
          <w:highlight w:val="yellow"/>
          <w:rtl/>
        </w:rPr>
        <w:t xml:space="preserve">שני מושגים שונים של המונח כבוד: </w:t>
      </w:r>
      <w:r w:rsidRPr="004B71A6">
        <w:rPr>
          <w:rFonts w:ascii="Arial TUR" w:hAnsi="Arial TUR" w:cs="FrankRuehl" w:hint="cs"/>
          <w:spacing w:val="10"/>
          <w:sz w:val="22"/>
          <w:szCs w:val="22"/>
          <w:rtl/>
        </w:rPr>
        <w:t xml:space="preserve">האחד, </w:t>
      </w:r>
      <w:r w:rsidRPr="004B71A6">
        <w:rPr>
          <w:rFonts w:ascii="Arial TUR" w:hAnsi="Arial TUR" w:cs="FrankRuehl" w:hint="cs"/>
          <w:spacing w:val="10"/>
          <w:sz w:val="22"/>
          <w:szCs w:val="22"/>
          <w:highlight w:val="yellow"/>
          <w:rtl/>
        </w:rPr>
        <w:t>המתבסס על תורתו של עמנואל קאנט, רואה בכבוד "יחס מוסרי" כך ש"לבני האדם (...) אין מחיר, שכן ערכם הוא פנימי, אובייקטיבי ומוחלט, ובלתי תלוי ברצון אנושי מקרי"</w:t>
      </w:r>
      <w:r w:rsidRPr="009716BD">
        <w:rPr>
          <w:rFonts w:ascii="Arial TUR" w:hAnsi="Arial TUR" w:cs="FrankRuehl" w:hint="cs"/>
          <w:spacing w:val="10"/>
          <w:sz w:val="22"/>
          <w:szCs w:val="22"/>
          <w:rtl/>
        </w:rPr>
        <w:t xml:space="preserve"> (דני סטטמן "שני מושגים של כבוד" </w:t>
      </w:r>
      <w:r w:rsidRPr="009716BD">
        <w:rPr>
          <w:rFonts w:ascii="Arial TUR" w:hAnsi="Arial TUR" w:cs="Miriam" w:hint="cs"/>
          <w:sz w:val="22"/>
          <w:szCs w:val="22"/>
          <w:rtl/>
        </w:rPr>
        <w:t>עיוני משפט</w:t>
      </w:r>
      <w:r w:rsidRPr="009716BD">
        <w:rPr>
          <w:rFonts w:ascii="Arial TUR" w:hAnsi="Arial TUR" w:cs="FrankRuehl" w:hint="cs"/>
          <w:spacing w:val="10"/>
          <w:sz w:val="22"/>
          <w:szCs w:val="22"/>
          <w:rtl/>
        </w:rPr>
        <w:t xml:space="preserve"> כד(3) 541, 546-545 (2001) (להלן: </w:t>
      </w:r>
      <w:r w:rsidRPr="009716BD">
        <w:rPr>
          <w:rFonts w:ascii="Arial TUR" w:hAnsi="Arial TUR" w:cs="Miriam" w:hint="cs"/>
          <w:sz w:val="22"/>
          <w:szCs w:val="22"/>
          <w:rtl/>
        </w:rPr>
        <w:t>סטטמן</w:t>
      </w:r>
      <w:r w:rsidRPr="009716BD">
        <w:rPr>
          <w:rFonts w:ascii="Arial TUR" w:hAnsi="Arial TUR" w:cs="FrankRuehl" w:hint="cs"/>
          <w:spacing w:val="10"/>
          <w:sz w:val="22"/>
          <w:szCs w:val="22"/>
          <w:rtl/>
        </w:rPr>
        <w:t xml:space="preserve">)). לפי גישה זו, אין להתייחס אל אדם כאל אמצעי בלבד להשגת תכליות נלוות חיצוניות, שכן בכך נעוצה פגיעה בכבודו, ובלשונו של קאנט "הציווי המעשי יהיה כדלקמן: עשה פעולתך כך שהאנושות, הן שבך הן שבכל איש אחר, תשמש לך לעולם גם תכלית ולעולם לא אמצעי בלבד" (עמנואל קאנט </w:t>
      </w:r>
      <w:r w:rsidRPr="009716BD">
        <w:rPr>
          <w:rFonts w:ascii="Arial TUR" w:hAnsi="Arial TUR" w:cs="Miriam" w:hint="cs"/>
          <w:sz w:val="22"/>
          <w:szCs w:val="22"/>
          <w:rtl/>
        </w:rPr>
        <w:t>הנחת יסוד למטאפיסיקה של המידות</w:t>
      </w:r>
      <w:r w:rsidRPr="009716BD">
        <w:rPr>
          <w:rFonts w:ascii="Arial TUR" w:hAnsi="Arial TUR" w:cs="FrankRuehl" w:hint="cs"/>
          <w:spacing w:val="10"/>
          <w:sz w:val="22"/>
          <w:szCs w:val="22"/>
          <w:rtl/>
        </w:rPr>
        <w:t xml:space="preserve"> 95 (תרגום: משה שפי, 1965)). המושג השני </w:t>
      </w:r>
      <w:r w:rsidRPr="004B71A6">
        <w:rPr>
          <w:rFonts w:ascii="Arial TUR" w:hAnsi="Arial TUR" w:cs="FrankRuehl" w:hint="cs"/>
          <w:spacing w:val="10"/>
          <w:sz w:val="22"/>
          <w:szCs w:val="22"/>
          <w:highlight w:val="yellow"/>
          <w:rtl/>
        </w:rPr>
        <w:t>של המונח כבוד רואה בו משום "יחס לא משפיל". לפי גישה זו, פגיעה בכבודו של אדם פירושה "השפלתו, העלבתו, הלבנת פניו" הגורמים ל"הורדת ערכו של אדם בעיני עצמו ובעיני זולתו"</w:t>
      </w:r>
      <w:r w:rsidRPr="009716BD">
        <w:rPr>
          <w:rFonts w:ascii="Arial TUR" w:hAnsi="Arial TUR" w:cs="FrankRuehl" w:hint="cs"/>
          <w:spacing w:val="10"/>
          <w:sz w:val="22"/>
          <w:szCs w:val="22"/>
          <w:rtl/>
        </w:rPr>
        <w:t xml:space="preserve"> (</w:t>
      </w:r>
      <w:r w:rsidRPr="009716BD">
        <w:rPr>
          <w:rFonts w:ascii="Arial TUR" w:hAnsi="Arial TUR" w:cs="Miriam" w:hint="cs"/>
          <w:sz w:val="22"/>
          <w:szCs w:val="22"/>
          <w:rtl/>
        </w:rPr>
        <w:t>סטטמן</w:t>
      </w:r>
      <w:r w:rsidRPr="009716BD">
        <w:rPr>
          <w:rFonts w:ascii="Arial TUR" w:hAnsi="Arial TUR" w:cs="FrankRuehl" w:hint="cs"/>
          <w:spacing w:val="10"/>
          <w:sz w:val="22"/>
          <w:szCs w:val="22"/>
          <w:rtl/>
        </w:rPr>
        <w:t xml:space="preserve">, בעמ' 548). </w:t>
      </w:r>
      <w:r>
        <w:rPr>
          <w:rFonts w:ascii="Arial TUR" w:hAnsi="Arial TUR" w:cs="FrankRuehl" w:hint="cs"/>
          <w:spacing w:val="10"/>
          <w:sz w:val="22"/>
          <w:szCs w:val="22"/>
          <w:rtl/>
        </w:rPr>
        <w:t>...</w:t>
      </w:r>
    </w:p>
    <w:p w:rsidR="005366A8" w:rsidRPr="009716BD" w:rsidRDefault="005366A8" w:rsidP="005366A8">
      <w:pPr>
        <w:tabs>
          <w:tab w:val="left" w:pos="800"/>
        </w:tabs>
        <w:overflowPunct w:val="0"/>
        <w:autoSpaceDE w:val="0"/>
        <w:autoSpaceDN w:val="0"/>
        <w:adjustRightInd w:val="0"/>
        <w:rPr>
          <w:rFonts w:ascii="Arial TUR" w:hAnsi="Arial TUR" w:cs="FrankRuehl"/>
          <w:spacing w:val="10"/>
          <w:sz w:val="22"/>
          <w:szCs w:val="22"/>
          <w:rtl/>
        </w:rPr>
      </w:pPr>
    </w:p>
    <w:p w:rsidR="005366A8"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9716BD">
        <w:rPr>
          <w:rFonts w:ascii="Arial TUR" w:hAnsi="Arial TUR" w:cs="FrankRuehl" w:hint="cs"/>
          <w:spacing w:val="10"/>
          <w:sz w:val="22"/>
          <w:szCs w:val="22"/>
          <w:rtl/>
        </w:rPr>
        <w:t>30.</w:t>
      </w:r>
      <w:r w:rsidRPr="009716BD">
        <w:rPr>
          <w:rFonts w:ascii="Arial TUR" w:hAnsi="Arial TUR" w:cs="FrankRuehl" w:hint="cs"/>
          <w:spacing w:val="10"/>
          <w:sz w:val="22"/>
          <w:szCs w:val="22"/>
          <w:rtl/>
        </w:rPr>
        <w:tab/>
      </w:r>
      <w:r w:rsidRPr="009716BD">
        <w:rPr>
          <w:rFonts w:ascii="Arial TUR" w:hAnsi="Arial TUR" w:cs="FrankRuehl" w:hint="cs"/>
          <w:spacing w:val="10"/>
          <w:sz w:val="22"/>
          <w:szCs w:val="22"/>
          <w:highlight w:val="yellow"/>
          <w:rtl/>
        </w:rPr>
        <w:t>בסופו של יום, אומץ בבית משפט זה מודל ביניים לעניין היקף פרישתה של הזכות לכבוד לפי חוק יסוד: כבוד האדם וחירותו. מודל זה אינו מתמצה רק בפגיעות מובהקות בכבוד הכוללות מרכיבים של השפלה וביזוי, אך גם אינו משתרע על פני זכויות האדם כולן</w:t>
      </w:r>
      <w:r w:rsidRPr="009716BD">
        <w:rPr>
          <w:rFonts w:ascii="Arial TUR" w:hAnsi="Arial TUR" w:cs="FrankRuehl" w:hint="cs"/>
          <w:spacing w:val="10"/>
          <w:sz w:val="22"/>
          <w:szCs w:val="22"/>
          <w:rtl/>
        </w:rPr>
        <w:t xml:space="preserve"> </w:t>
      </w:r>
      <w:r>
        <w:rPr>
          <w:rFonts w:ascii="Arial TUR" w:hAnsi="Arial TUR" w:cs="FrankRuehl" w:hint="cs"/>
          <w:spacing w:val="10"/>
          <w:sz w:val="22"/>
          <w:szCs w:val="22"/>
          <w:rtl/>
        </w:rPr>
        <w:t>..</w:t>
      </w:r>
    </w:p>
    <w:p w:rsidR="005366A8" w:rsidRPr="009716BD" w:rsidRDefault="005366A8" w:rsidP="005366A8">
      <w:pPr>
        <w:tabs>
          <w:tab w:val="left" w:pos="800"/>
        </w:tabs>
        <w:overflowPunct w:val="0"/>
        <w:autoSpaceDE w:val="0"/>
        <w:autoSpaceDN w:val="0"/>
        <w:adjustRightInd w:val="0"/>
        <w:rPr>
          <w:rFonts w:ascii="Arial TUR" w:hAnsi="Arial TUR" w:cs="FrankRuehl"/>
          <w:spacing w:val="10"/>
          <w:sz w:val="22"/>
          <w:szCs w:val="22"/>
          <w:rtl/>
        </w:rPr>
      </w:pPr>
    </w:p>
    <w:p w:rsidR="005366A8" w:rsidRPr="009716BD"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9716BD">
        <w:rPr>
          <w:rFonts w:ascii="Arial TUR" w:hAnsi="Arial TUR" w:cs="FrankRuehl" w:hint="cs"/>
          <w:spacing w:val="10"/>
          <w:sz w:val="22"/>
          <w:szCs w:val="22"/>
          <w:rtl/>
        </w:rPr>
        <w:t>31.</w:t>
      </w:r>
      <w:r w:rsidRPr="009716BD">
        <w:rPr>
          <w:rFonts w:ascii="Arial TUR" w:hAnsi="Arial TUR" w:cs="FrankRuehl" w:hint="cs"/>
          <w:spacing w:val="10"/>
          <w:sz w:val="22"/>
          <w:szCs w:val="22"/>
          <w:rtl/>
        </w:rPr>
        <w:tab/>
      </w:r>
      <w:r w:rsidRPr="009716BD">
        <w:rPr>
          <w:rFonts w:ascii="Arial TUR" w:hAnsi="Arial TUR" w:cs="FrankRuehl" w:hint="cs"/>
          <w:spacing w:val="10"/>
          <w:sz w:val="22"/>
          <w:szCs w:val="22"/>
          <w:highlight w:val="yellow"/>
          <w:rtl/>
        </w:rPr>
        <w:t>גם בעת הנוכחית, טרם תוחמו גבולותיו המדויקים של המונח "כבוד האדם", ועדיין קיימת בו מידה של עמימות. עם זאת, נראה שלא קיימת מחלוקת בדבר מרכיביה הגרעיניים של הזכות, ובכלל זה, בדבר האיסור לבייש, להשפיל או לבזות אדם; בדבר האיסור להלבין את פניו ברבים ולגרום לו תחושה של עלבון; ובדבר האיסור להעמידו במצב של חוסר אונים כשהוא נתון לשרירות רצונם של אחרים</w:t>
      </w:r>
      <w:r w:rsidRPr="009716BD">
        <w:rPr>
          <w:rFonts w:ascii="Arial TUR" w:hAnsi="Arial TUR" w:cs="FrankRuehl" w:hint="cs"/>
          <w:spacing w:val="10"/>
          <w:sz w:val="22"/>
          <w:szCs w:val="22"/>
          <w:rtl/>
        </w:rPr>
        <w:t xml:space="preserve"> (ראו גם </w:t>
      </w:r>
      <w:r w:rsidRPr="009716BD">
        <w:rPr>
          <w:rFonts w:ascii="Arial TUR" w:hAnsi="Arial TUR" w:cs="Miriam" w:hint="cs"/>
          <w:sz w:val="22"/>
          <w:szCs w:val="22"/>
          <w:rtl/>
        </w:rPr>
        <w:t>סטטמן</w:t>
      </w:r>
      <w:r w:rsidRPr="009716BD">
        <w:rPr>
          <w:rFonts w:ascii="Arial TUR" w:hAnsi="Arial TUR" w:cs="FrankRuehl" w:hint="cs"/>
          <w:spacing w:val="10"/>
          <w:sz w:val="22"/>
          <w:szCs w:val="22"/>
          <w:rtl/>
        </w:rPr>
        <w:t xml:space="preserve">, בעמ' 560). </w:t>
      </w:r>
    </w:p>
    <w:p w:rsidR="005366A8" w:rsidRPr="009716BD" w:rsidRDefault="005366A8" w:rsidP="005366A8">
      <w:pPr>
        <w:tabs>
          <w:tab w:val="left" w:pos="800"/>
        </w:tabs>
        <w:overflowPunct w:val="0"/>
        <w:autoSpaceDE w:val="0"/>
        <w:autoSpaceDN w:val="0"/>
        <w:adjustRightInd w:val="0"/>
        <w:rPr>
          <w:rFonts w:ascii="Arial TUR" w:hAnsi="Arial TUR" w:cs="FrankRuehl"/>
          <w:spacing w:val="10"/>
          <w:sz w:val="22"/>
          <w:szCs w:val="22"/>
          <w:rtl/>
        </w:rPr>
      </w:pPr>
    </w:p>
    <w:p w:rsidR="005366A8" w:rsidRPr="009716BD" w:rsidRDefault="005366A8" w:rsidP="005366A8">
      <w:pPr>
        <w:tabs>
          <w:tab w:val="left" w:pos="800"/>
        </w:tabs>
        <w:overflowPunct w:val="0"/>
        <w:autoSpaceDE w:val="0"/>
        <w:autoSpaceDN w:val="0"/>
        <w:adjustRightInd w:val="0"/>
        <w:rPr>
          <w:rFonts w:ascii="Arial TUR" w:hAnsi="Arial TUR" w:cs="FrankRuehl"/>
          <w:noProof/>
          <w:spacing w:val="10"/>
          <w:sz w:val="22"/>
          <w:szCs w:val="22"/>
          <w:rtl/>
          <w:lang w:eastAsia="he-IL"/>
        </w:rPr>
      </w:pPr>
      <w:r w:rsidRPr="009716BD">
        <w:rPr>
          <w:rFonts w:ascii="Arial TUR" w:hAnsi="Arial TUR" w:cs="FrankRuehl" w:hint="cs"/>
          <w:noProof/>
          <w:spacing w:val="10"/>
          <w:sz w:val="22"/>
          <w:szCs w:val="22"/>
          <w:rtl/>
          <w:lang w:eastAsia="he-IL"/>
        </w:rPr>
        <w:t>32.</w:t>
      </w:r>
      <w:r w:rsidRPr="009716BD">
        <w:rPr>
          <w:rFonts w:ascii="Arial TUR" w:hAnsi="Arial TUR" w:cs="FrankRuehl" w:hint="cs"/>
          <w:noProof/>
          <w:spacing w:val="10"/>
          <w:sz w:val="22"/>
          <w:szCs w:val="22"/>
          <w:rtl/>
          <w:lang w:eastAsia="he-IL"/>
        </w:rPr>
        <w:tab/>
      </w:r>
      <w:r w:rsidRPr="009716BD">
        <w:rPr>
          <w:rFonts w:ascii="Arial TUR" w:hAnsi="Arial TUR" w:cs="FrankRuehl" w:hint="cs"/>
          <w:noProof/>
          <w:spacing w:val="10"/>
          <w:sz w:val="22"/>
          <w:szCs w:val="22"/>
          <w:highlight w:val="yellow"/>
          <w:rtl/>
          <w:lang w:eastAsia="he-IL"/>
        </w:rPr>
        <w:t>לטעמי, הנוהל המאפשר למשיבים לעקל כלי רכב במחסום על אם הדרך, פוגע בזכותם של הנישומים לכבוד, באופן החורג מזה שנגרם כשהגביה נעשית בחצרים ומזה שנובע מעצם גביית המס. קיומו של חוב מס בלתי מוסדר אינו מפשיט את החייב מזכויותיו ואינו הופך את כבודו הפקר. הליכי גבייה המתבצעים אגב עיכוב אקראי של החייב שנעשה בשל טעמים בטחוניים, כשהוא חשוף לעיני כל ומצוי בעמדה רגישה ומוחלשת, שבה יכולתו להתגונן פחותה; כל זאת כשהימנעותו מלהסדיר את חובו, אפשר שנגרמה בתום-לב, פוגעת בכבודו. ודוק: ייתכן שהחייבים נמנעו מתשלום חוב המס בשל בורות או חוסר התמצאות בניהול ההליכים, ואין באפשרותם לזכות בייעוץ משפטי; ייתכן שדרישת התשלום הקבועה בסעיף 4 לפקודה לא הגיעה לידיהם והם לא ידעו על קיומו של חוב; ייתכן שידעו על החוב, אך ידיהם לא היתה משגת לפורעו במועד שנקבע, והם עמלו על השגת יתרת התשלום; תיתכן טעות מצידה של הרשות; ייתכנו טעמים נוספים</w:t>
      </w:r>
      <w:r>
        <w:rPr>
          <w:rFonts w:ascii="Arial TUR" w:hAnsi="Arial TUR" w:cs="FrankRuehl" w:hint="cs"/>
          <w:noProof/>
          <w:spacing w:val="10"/>
          <w:sz w:val="22"/>
          <w:szCs w:val="22"/>
          <w:rtl/>
          <w:lang w:eastAsia="he-IL"/>
        </w:rPr>
        <w:t xml:space="preserve"> (ראו והש</w:t>
      </w:r>
      <w:r w:rsidRPr="009716BD">
        <w:rPr>
          <w:rFonts w:ascii="Arial TUR" w:hAnsi="Arial TUR" w:cs="FrankRuehl" w:hint="cs"/>
          <w:noProof/>
          <w:spacing w:val="10"/>
          <w:sz w:val="22"/>
          <w:szCs w:val="22"/>
          <w:rtl/>
          <w:lang w:eastAsia="he-IL"/>
        </w:rPr>
        <w:t xml:space="preserve">וו: בג"צ 5304/92 </w:t>
      </w:r>
      <w:r w:rsidRPr="009716BD">
        <w:rPr>
          <w:rFonts w:ascii="Arial TUR" w:hAnsi="Arial TUR" w:cs="Miriam" w:hint="cs"/>
          <w:noProof/>
          <w:sz w:val="22"/>
          <w:szCs w:val="22"/>
          <w:rtl/>
          <w:lang w:eastAsia="he-IL"/>
        </w:rPr>
        <w:t>פר"ח 1992 סיוע לנפגעי חוקים ותקנות למען ישראל אחרת – עמותה נ' שר המשפטים</w:t>
      </w:r>
      <w:r w:rsidRPr="009716BD">
        <w:rPr>
          <w:rFonts w:ascii="Arial TUR" w:hAnsi="Arial TUR" w:cs="FrankRuehl" w:hint="cs"/>
          <w:noProof/>
          <w:spacing w:val="10"/>
          <w:sz w:val="22"/>
          <w:szCs w:val="22"/>
          <w:rtl/>
          <w:lang w:eastAsia="he-IL"/>
        </w:rPr>
        <w:t xml:space="preserve">, פ"ד מז(4) 715, 725-723 (1983)). </w:t>
      </w:r>
      <w:r w:rsidRPr="004F0E85">
        <w:rPr>
          <w:rFonts w:ascii="Arial TUR" w:hAnsi="Arial TUR" w:cs="FrankRuehl" w:hint="cs"/>
          <w:noProof/>
          <w:spacing w:val="10"/>
          <w:sz w:val="22"/>
          <w:szCs w:val="22"/>
          <w:highlight w:val="yellow"/>
          <w:rtl/>
          <w:lang w:eastAsia="he-IL"/>
        </w:rPr>
        <w:t>כל אלה נעלמים ואינם כשהחייב עובר עם מכוניתו במחסום, ומספר תעודת הזהות שלו נקלט על-ידי גופי הגבייה.</w:t>
      </w:r>
      <w:r w:rsidRPr="009716BD">
        <w:rPr>
          <w:rFonts w:ascii="Arial TUR" w:hAnsi="Arial TUR" w:cs="FrankRuehl" w:hint="cs"/>
          <w:noProof/>
          <w:spacing w:val="10"/>
          <w:sz w:val="22"/>
          <w:szCs w:val="22"/>
          <w:rtl/>
          <w:lang w:eastAsia="he-IL"/>
        </w:rPr>
        <w:t xml:space="preserve"> </w:t>
      </w:r>
    </w:p>
    <w:p w:rsidR="005366A8" w:rsidRPr="009716BD" w:rsidRDefault="005366A8" w:rsidP="005366A8">
      <w:pPr>
        <w:tabs>
          <w:tab w:val="left" w:pos="800"/>
        </w:tabs>
        <w:overflowPunct w:val="0"/>
        <w:autoSpaceDE w:val="0"/>
        <w:autoSpaceDN w:val="0"/>
        <w:adjustRightInd w:val="0"/>
        <w:rPr>
          <w:rFonts w:ascii="Arial TUR" w:hAnsi="Arial TUR" w:cs="FrankRuehl"/>
          <w:spacing w:val="10"/>
          <w:sz w:val="22"/>
          <w:szCs w:val="22"/>
          <w:rtl/>
        </w:rPr>
      </w:pPr>
    </w:p>
    <w:p w:rsidR="005366A8" w:rsidRPr="009716BD"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9716BD">
        <w:rPr>
          <w:rFonts w:ascii="Arial TUR" w:hAnsi="Arial TUR" w:cs="FrankRuehl" w:hint="cs"/>
          <w:spacing w:val="10"/>
          <w:sz w:val="22"/>
          <w:szCs w:val="22"/>
          <w:rtl/>
        </w:rPr>
        <w:t>33.</w:t>
      </w:r>
      <w:r w:rsidRPr="009716BD">
        <w:rPr>
          <w:rFonts w:ascii="Arial TUR" w:hAnsi="Arial TUR" w:cs="FrankRuehl" w:hint="cs"/>
          <w:spacing w:val="10"/>
          <w:sz w:val="22"/>
          <w:szCs w:val="22"/>
          <w:rtl/>
        </w:rPr>
        <w:tab/>
      </w:r>
      <w:r w:rsidRPr="009716BD">
        <w:rPr>
          <w:rFonts w:ascii="Arial TUR" w:hAnsi="Arial TUR" w:cs="FrankRuehl" w:hint="cs"/>
          <w:spacing w:val="10"/>
          <w:sz w:val="22"/>
          <w:szCs w:val="22"/>
          <w:highlight w:val="yellow"/>
          <w:rtl/>
        </w:rPr>
        <w:t>החייב הנעצר במחסום באמצע הדרך, נותר – הוא ומיטלטליו – בצד הכביש, אפשרויות הפעולה שלו מוגבלות, כמו גם יכולתו להיעזר בבני משפחה או בחברים. אפילו ירצה אותו חייב לפרוע את חובו או לברר את עצם קיומו של חוב, יכולתו לעשות כן כשהוא בצד הדרך נופלת מזו הנתונה לו בביתו, כשהוא מצוי בסביבה המאפשרת לו להעמיד את המעשה המינהלי – במקרה מתאים – לביקורת שיפוטית (כפי שיבואר גם להלן). המחשה לעוצמת הפגיעה בנישום, ניתן לראות בתשתית שאותה הציג לפנינו העותר 1, ד"ר עאדל מאנע, מנהל המרכז לחקר החברה הערבית בישראל במכון ון ליר בירושלים. עותר זה יצא מביתו שבירושלים לכיוון האוניברסיטה העברית. לאחר שנסע כמאתיים מטר, עצר אותו שוטר וביקש ממנו להציג תעודותיו. העותר ביקש לדעת מהי העילה שבגינה עוכב. במרחק כמה מטרים מן הכביש, חנה רכב אזרחי שאליו נלקחו התעודות על-ידי השוטר. בחלוף כעשר דקות, חזר השוטר והודיע לו כי עומד נגדו חוב במס רכוש, שאת מחציתו, כ- 7400 ש"ח, עליו לשלם בתוך 30 דקות, שאם לא כן ייגרר רכבו. הסבריו כי העניין מצוי בהליך הסדר, ואף עומדת לזכותו יתרה במס רכוש, לא נשמעו. כמוהם נדחתה גם בקשתו לשלם את הסכום בשיק או באמצעות כרטיס אשראי. העותר נאלץ ללכת ברגל לסניף בנק, למשוך את סכום הכסף הנדרש ולשלמו במחסום. רק אז, לאחר כשעתיים וחצי, שוחרר רכבו. כשלושה שבועות לאחר מכן הודע לו בכתב מאת רשויות המס שאכן נזקפת לזכותו יתרה של 26,005 ש"ח, וזו הופקדה בחשבון הבנק שלו. אין צריך להוסיף ולהרחיב על מידת הפגיעה הכרוכה במי שנעצר במהלך נסיעתו מטעם שאינו ברור לו ונדרש לשלם לאלתר ובמזומן חוב, בלא אפשרות בירור וערעור ובלא נגישות לאמצעי התשלום הנדרש, כל זאת לעיניהם של עוברים ושבים</w:t>
      </w:r>
      <w:r w:rsidRPr="009716BD">
        <w:rPr>
          <w:rFonts w:ascii="Arial TUR" w:hAnsi="Arial TUR" w:cs="FrankRuehl" w:hint="cs"/>
          <w:spacing w:val="10"/>
          <w:sz w:val="22"/>
          <w:szCs w:val="22"/>
          <w:rtl/>
        </w:rPr>
        <w:t xml:space="preserve">. אכן, אין חולק על האפקטיביות של אמצעי זה לשם גביית מס. עמדנו על כך לעיל ועל המשבצת הראויה לאיזון בין הפגיעה בזכות לבין התכלית הציבורית נעמוד גם להלן. בשלב זה של דיוננו, המיקוד כאמור הינו בפגיעה בזכות, שעליה דומה שקשה לחלוק. </w:t>
      </w:r>
      <w:r w:rsidRPr="009716BD">
        <w:rPr>
          <w:rFonts w:ascii="Arial TUR" w:hAnsi="Arial TUR" w:cs="FrankRuehl" w:hint="cs"/>
          <w:spacing w:val="10"/>
          <w:sz w:val="22"/>
          <w:szCs w:val="22"/>
          <w:highlight w:val="yellow"/>
          <w:rtl/>
        </w:rPr>
        <w:t>השימוש שנעשה במחסומים משטרתיים ובסמכויות העיכוב של המשטרה לשם גביית מס, כשלאזרח לא ברורה מהות השימוש האנדרוגיני במחסום, יכול אף להעצים את מידת הפגיעה.</w:t>
      </w:r>
      <w:r w:rsidRPr="009716BD">
        <w:rPr>
          <w:rFonts w:ascii="Arial TUR" w:hAnsi="Arial TUR" w:cs="FrankRuehl" w:hint="cs"/>
          <w:spacing w:val="10"/>
          <w:sz w:val="22"/>
          <w:szCs w:val="22"/>
          <w:rtl/>
        </w:rPr>
        <w:t xml:space="preserve"> </w:t>
      </w:r>
    </w:p>
    <w:p w:rsidR="005366A8" w:rsidRPr="00B32366"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9716BD">
        <w:rPr>
          <w:rFonts w:ascii="Arial TUR" w:hAnsi="Arial TUR" w:cs="FrankRuehl" w:hint="cs"/>
          <w:spacing w:val="10"/>
          <w:sz w:val="22"/>
          <w:szCs w:val="22"/>
          <w:rtl/>
        </w:rPr>
        <w:tab/>
        <w:t xml:space="preserve">הנה כי-כן, אפילו נתייחס לכבוד האדם במשמעותו הגרעינית והמיידית, נימצא למדים כי הליכי הגביה נושא העתירה פוגעים בכבוד האדם של הנישום. </w:t>
      </w:r>
    </w:p>
    <w:p w:rsidR="005366A8" w:rsidRPr="00B32366" w:rsidRDefault="005366A8" w:rsidP="005366A8">
      <w:pPr>
        <w:tabs>
          <w:tab w:val="left" w:pos="800"/>
        </w:tabs>
        <w:overflowPunct w:val="0"/>
        <w:autoSpaceDE w:val="0"/>
        <w:autoSpaceDN w:val="0"/>
        <w:adjustRightInd w:val="0"/>
        <w:rPr>
          <w:rFonts w:ascii="Arial TUR" w:hAnsi="Arial TUR" w:cs="Miriam"/>
          <w:sz w:val="22"/>
          <w:szCs w:val="22"/>
          <w:rtl/>
        </w:rPr>
      </w:pPr>
    </w:p>
    <w:p w:rsidR="005366A8" w:rsidRPr="00B32366" w:rsidRDefault="005366A8" w:rsidP="005366A8">
      <w:pPr>
        <w:tabs>
          <w:tab w:val="left" w:pos="800"/>
        </w:tabs>
        <w:overflowPunct w:val="0"/>
        <w:autoSpaceDE w:val="0"/>
        <w:autoSpaceDN w:val="0"/>
        <w:adjustRightInd w:val="0"/>
        <w:rPr>
          <w:rFonts w:ascii="Arial TUR" w:hAnsi="Arial TUR" w:cs="Miriam"/>
          <w:sz w:val="22"/>
          <w:szCs w:val="22"/>
          <w:rtl/>
        </w:rPr>
      </w:pPr>
      <w:r w:rsidRPr="00B32366">
        <w:rPr>
          <w:rFonts w:ascii="Arial TUR" w:hAnsi="Arial TUR" w:cs="Miriam" w:hint="cs"/>
          <w:sz w:val="22"/>
          <w:szCs w:val="22"/>
          <w:rtl/>
        </w:rPr>
        <w:t xml:space="preserve">(ד) הזכות לפרטיות </w:t>
      </w:r>
    </w:p>
    <w:p w:rsidR="005366A8" w:rsidRPr="00B32366"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B32366">
        <w:rPr>
          <w:rFonts w:ascii="Arial TUR" w:hAnsi="Arial TUR" w:cs="FrankRuehl" w:hint="cs"/>
          <w:spacing w:val="10"/>
          <w:sz w:val="22"/>
          <w:szCs w:val="22"/>
          <w:rtl/>
        </w:rPr>
        <w:t>36.</w:t>
      </w:r>
      <w:r w:rsidRPr="00B32366">
        <w:rPr>
          <w:rFonts w:ascii="Arial TUR" w:hAnsi="Arial TUR" w:cs="FrankRuehl" w:hint="cs"/>
          <w:spacing w:val="10"/>
          <w:sz w:val="22"/>
          <w:szCs w:val="22"/>
          <w:rtl/>
        </w:rPr>
        <w:tab/>
      </w:r>
      <w:r w:rsidRPr="00B32366">
        <w:rPr>
          <w:rFonts w:ascii="Arial TUR" w:hAnsi="Arial TUR" w:cs="FrankRuehl" w:hint="cs"/>
          <w:spacing w:val="10"/>
          <w:sz w:val="22"/>
          <w:szCs w:val="22"/>
          <w:highlight w:val="yellow"/>
          <w:rtl/>
        </w:rPr>
        <w:t>על פי אמות מידה אלה, שאלת הפגיעה בפרטיות כפועל יוצא של הפעלת אמצעי הגבייה נושא העתירה מתעוררת בענייננו בשני מישורים: הראשון נוגע לעצם העברת מספר הזהות של הנישום מגורמי השיטור לגורמי הגבייה והשני נוגע לעיכוב הנהג במחסום ועיקול הרכב ברשות הרבים</w:t>
      </w:r>
      <w:r w:rsidRPr="00B32366">
        <w:rPr>
          <w:rFonts w:ascii="Arial TUR" w:hAnsi="Arial TUR" w:cs="FrankRuehl" w:hint="cs"/>
          <w:spacing w:val="10"/>
          <w:sz w:val="22"/>
          <w:szCs w:val="22"/>
          <w:rtl/>
        </w:rPr>
        <w:t xml:space="preserve">. </w:t>
      </w:r>
    </w:p>
    <w:p w:rsidR="005366A8" w:rsidRPr="00B32366" w:rsidRDefault="005366A8" w:rsidP="005366A8">
      <w:pPr>
        <w:tabs>
          <w:tab w:val="left" w:pos="800"/>
        </w:tabs>
        <w:overflowPunct w:val="0"/>
        <w:autoSpaceDE w:val="0"/>
        <w:autoSpaceDN w:val="0"/>
        <w:adjustRightInd w:val="0"/>
        <w:rPr>
          <w:rFonts w:ascii="Arial TUR" w:hAnsi="Arial TUR" w:cs="FrankRuehl"/>
          <w:spacing w:val="10"/>
          <w:sz w:val="22"/>
          <w:szCs w:val="22"/>
          <w:rtl/>
        </w:rPr>
      </w:pPr>
    </w:p>
    <w:p w:rsidR="005366A8" w:rsidRPr="00B32366"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B32366">
        <w:rPr>
          <w:rFonts w:ascii="Arial TUR" w:hAnsi="Arial TUR" w:cs="FrankRuehl" w:hint="cs"/>
          <w:spacing w:val="10"/>
          <w:sz w:val="22"/>
          <w:szCs w:val="22"/>
          <w:rtl/>
        </w:rPr>
        <w:t>37.</w:t>
      </w:r>
      <w:r w:rsidRPr="00B32366">
        <w:rPr>
          <w:rFonts w:ascii="Arial TUR" w:hAnsi="Arial TUR" w:cs="FrankRuehl" w:hint="cs"/>
          <w:spacing w:val="10"/>
          <w:sz w:val="22"/>
          <w:szCs w:val="22"/>
          <w:rtl/>
        </w:rPr>
        <w:tab/>
        <w:t xml:space="preserve">ההיבט הראשון של הפגיעה בפרטיות, עניינו בהעברת מספר הזהות של הפרט, הנמסר למשטרה מכוח סמכותה, לרשויות הגביה המוצבות במחסום. אין חולק כי יש זיקה בין השימוש שנעשה במספר הזהות של אדם לבין זכותו לפרטיות. אכן, מספר הזהות אינו רצף ספרות בעלמא. המספר, אשר ניתן לתושב ישראל לראשונה עם לידתו, מלווה אותו בכל צעדיו. הוא מופיע בתעודת הזהות שלו, בדרכונו, ברישיון הנהיגה שלו, במסמכי הבנק, בתעודות הצבא, במסמכי המסים, במסמכים משפטיים שונים, בעסקאות שהוא צד להן וכן – לאחר מותו – בתעודת הפטירה ובצווי הירושה. מספר הזהות אינו ניתן לשינוי והוא אינו נמחק ממרשם האוכלוסין גם כשהנישום נפטר או עוזב את הארץ. משכך, ברי כי מן המספר ניתן ללמוד מידע ונתונים הנוגעים למעשיו, עיסוקיו, טעמו ומאפייניו של בעליו במגוון תחומים עד כי נוצרת זהות בין האדם לבין מספר הזהות שמאחוריו (ראו </w:t>
      </w:r>
      <w:r w:rsidRPr="00B32366">
        <w:rPr>
          <w:rFonts w:ascii="Arial TUR" w:hAnsi="Arial TUR" w:cs="Miriam" w:hint="cs"/>
          <w:sz w:val="22"/>
          <w:szCs w:val="22"/>
          <w:rtl/>
        </w:rPr>
        <w:t>בירנהק</w:t>
      </w:r>
      <w:r w:rsidRPr="00B32366">
        <w:rPr>
          <w:rFonts w:ascii="Arial TUR" w:hAnsi="Arial TUR" w:cs="FrankRuehl" w:hint="cs"/>
          <w:spacing w:val="10"/>
          <w:sz w:val="22"/>
          <w:szCs w:val="22"/>
          <w:rtl/>
        </w:rPr>
        <w:t>, בעמ' 42). שליטה של אחר במידע מעין זה, לא כל שכן הצלבתו עם מקור מידע נוסף, ניתוחו והעברתו לצדדים שלישיים, וקבלת החלטות בהסתמך על מידע זה, פוגעים בפרטיות (</w:t>
      </w:r>
      <w:r w:rsidRPr="00B32366">
        <w:rPr>
          <w:rFonts w:ascii="Arial TUR" w:hAnsi="Arial TUR" w:cs="Miriam" w:hint="cs"/>
          <w:sz w:val="22"/>
          <w:szCs w:val="22"/>
          <w:rtl/>
        </w:rPr>
        <w:t>בירנהק</w:t>
      </w:r>
      <w:r w:rsidRPr="00B32366">
        <w:rPr>
          <w:rFonts w:ascii="Arial TUR" w:hAnsi="Arial TUR" w:cs="FrankRuehl" w:hint="cs"/>
          <w:spacing w:val="10"/>
          <w:sz w:val="22"/>
          <w:szCs w:val="22"/>
          <w:rtl/>
        </w:rPr>
        <w:t xml:space="preserve">, שם). </w:t>
      </w:r>
    </w:p>
    <w:p w:rsidR="005366A8" w:rsidRPr="00B32366" w:rsidRDefault="005366A8" w:rsidP="005366A8">
      <w:pPr>
        <w:tabs>
          <w:tab w:val="left" w:pos="800"/>
        </w:tabs>
        <w:overflowPunct w:val="0"/>
        <w:autoSpaceDE w:val="0"/>
        <w:autoSpaceDN w:val="0"/>
        <w:adjustRightInd w:val="0"/>
        <w:rPr>
          <w:rFonts w:ascii="Arial TUR" w:hAnsi="Arial TUR" w:cs="FrankRuehl"/>
          <w:spacing w:val="10"/>
          <w:sz w:val="22"/>
          <w:szCs w:val="22"/>
          <w:rtl/>
        </w:rPr>
      </w:pPr>
    </w:p>
    <w:p w:rsidR="005366A8" w:rsidRPr="00B32366"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B32366">
        <w:rPr>
          <w:rFonts w:ascii="Arial TUR" w:hAnsi="Arial TUR" w:cs="FrankRuehl" w:hint="cs"/>
          <w:spacing w:val="10"/>
          <w:sz w:val="22"/>
          <w:szCs w:val="22"/>
          <w:rtl/>
        </w:rPr>
        <w:t>38.</w:t>
      </w:r>
      <w:r w:rsidRPr="00B32366">
        <w:rPr>
          <w:rFonts w:ascii="Arial TUR" w:hAnsi="Arial TUR" w:cs="FrankRuehl" w:hint="cs"/>
          <w:spacing w:val="10"/>
          <w:sz w:val="22"/>
          <w:szCs w:val="22"/>
          <w:rtl/>
        </w:rPr>
        <w:tab/>
        <w:t xml:space="preserve">הקשיים המלווים מסירת מידע הכולל נתונים אישיים על אודות אדם מאת גוף ציבורי, לא נעלמו מעיני המחוקק, אשר אסר בסעיף 23ב(א) לחוק הגנת הפרטיות מסירת מידע מעין זה על-ידי גוף ציבורי, "זולת אם המידע פורסם לרבים על-פי סמכות כדין, או הועמד לעיון הרבים על-פי סמכות כדין, או שהאדם אשר המידע מתייחס אליו נתן הסכמתו למסירה". איסור זה סויג בסעיף 23ג(2) לחוק הגנת הפרטיות, </w:t>
      </w:r>
      <w:r w:rsidRPr="00B32366">
        <w:rPr>
          <w:rFonts w:ascii="Arial TUR" w:hAnsi="Arial TUR" w:cs="FrankRuehl" w:hint="cs"/>
          <w:spacing w:val="10"/>
          <w:sz w:val="22"/>
          <w:szCs w:val="22"/>
          <w:highlight w:val="yellow"/>
          <w:rtl/>
        </w:rPr>
        <w:t>המתיר מסירת מידע אם המסירה "דרושה למטרת ביצוע כל חיקוק או למטרה במסגרת הסמכויות או התפקידים של מוסר המידע או מקבלו". בין הצדדים נטושה מחלוקת בשאלת תחולתה של הוראה זו על ענייננו</w:t>
      </w:r>
      <w:r w:rsidRPr="00B32366">
        <w:rPr>
          <w:rFonts w:ascii="Arial TUR" w:hAnsi="Arial TUR" w:cs="FrankRuehl" w:hint="cs"/>
          <w:spacing w:val="10"/>
          <w:sz w:val="22"/>
          <w:szCs w:val="22"/>
          <w:rtl/>
        </w:rPr>
        <w:t xml:space="preserve">, לשון אחר: האם העברת מספר הזהות מן השוטרים לאנשי הגבייה לשם בחינת קיומו של חוב מס מהווה פגיעה בפרטיות, ובמקרה שכן – האם חוסה היא תחת ההגנה הקבועה בסעיף 23ג(2). </w:t>
      </w:r>
      <w:r>
        <w:rPr>
          <w:rFonts w:ascii="Arial TUR" w:hAnsi="Arial TUR" w:cs="FrankRuehl" w:hint="cs"/>
          <w:spacing w:val="10"/>
          <w:sz w:val="22"/>
          <w:szCs w:val="22"/>
          <w:rtl/>
        </w:rPr>
        <w:t>..</w:t>
      </w:r>
      <w:r w:rsidRPr="00B32366">
        <w:rPr>
          <w:rFonts w:ascii="Arial TUR" w:hAnsi="Arial TUR" w:cs="FrankRuehl" w:hint="cs"/>
          <w:spacing w:val="10"/>
          <w:sz w:val="22"/>
          <w:szCs w:val="22"/>
          <w:rtl/>
        </w:rPr>
        <w:t xml:space="preserve"> לא ראיתי להכריע בשלב זה, של הצגת התכליות האובייקטיביות, בשאלת תחולתו של סעיף 23ג(2) על ענייננו, ואותירה בצריך עיון. </w:t>
      </w:r>
    </w:p>
    <w:p w:rsidR="005366A8" w:rsidRPr="00B32366" w:rsidRDefault="005366A8" w:rsidP="005366A8">
      <w:pPr>
        <w:tabs>
          <w:tab w:val="left" w:pos="800"/>
        </w:tabs>
        <w:overflowPunct w:val="0"/>
        <w:autoSpaceDE w:val="0"/>
        <w:autoSpaceDN w:val="0"/>
        <w:adjustRightInd w:val="0"/>
        <w:rPr>
          <w:rFonts w:ascii="Arial TUR" w:hAnsi="Arial TUR" w:cs="FrankRuehl"/>
          <w:spacing w:val="10"/>
          <w:sz w:val="22"/>
          <w:szCs w:val="22"/>
          <w:rtl/>
        </w:rPr>
      </w:pPr>
    </w:p>
    <w:p w:rsidR="005366A8" w:rsidRPr="00B32366"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B32366">
        <w:rPr>
          <w:rFonts w:ascii="Arial TUR" w:hAnsi="Arial TUR" w:cs="FrankRuehl" w:hint="cs"/>
          <w:spacing w:val="10"/>
          <w:sz w:val="22"/>
          <w:szCs w:val="22"/>
          <w:rtl/>
        </w:rPr>
        <w:t>39.</w:t>
      </w:r>
      <w:r w:rsidRPr="00B32366">
        <w:rPr>
          <w:rFonts w:ascii="Arial TUR" w:hAnsi="Arial TUR" w:cs="FrankRuehl" w:hint="cs"/>
          <w:spacing w:val="10"/>
          <w:sz w:val="22"/>
          <w:szCs w:val="22"/>
          <w:rtl/>
        </w:rPr>
        <w:tab/>
      </w:r>
      <w:r w:rsidRPr="00B32366">
        <w:rPr>
          <w:rFonts w:ascii="Arial TUR" w:hAnsi="Arial TUR" w:cs="FrankRuehl" w:hint="cs"/>
          <w:spacing w:val="10"/>
          <w:sz w:val="22"/>
          <w:szCs w:val="22"/>
          <w:highlight w:val="yellow"/>
          <w:rtl/>
        </w:rPr>
        <w:t>ההיבט השני של הפגיעה בפרטיות נוגע, כאמור, לעיכוב הנהג ועיקול הרכב המתבצעים ברשות הרבים. ביצוע הגביה בהליך נושא העתירה, נושא בצידו פגיעה בפרטיות שאין לה מקבילה בביצוע העיקול בחצריו של הנישום. עיכוב הנהג וייחוס לו חוב מס מתבצעים בפומבי, על אם הדרך, לאור היום ובאופן חשוף נטול דיסקרטיות, תוך פגיעה ביכולתו של הפרט לווסת את היקף המידע על אודותיו, ולהותירו במרחב שבינו לבין הרשויות. בדרך זו, נחשף הנישום לציבור, בלא יכולת להתגונן או להימנע מכך. הליכי הגבייה הננקטים נגד הנישום כרוכים, אפוא, בפגיעה בפרטיותו החורגת מזו הנגרמת מעצם הליך הגבייה.</w:t>
      </w:r>
    </w:p>
    <w:p w:rsidR="005366A8" w:rsidRPr="00B32366" w:rsidRDefault="005366A8" w:rsidP="005366A8">
      <w:pPr>
        <w:tabs>
          <w:tab w:val="left" w:pos="800"/>
        </w:tabs>
        <w:overflowPunct w:val="0"/>
        <w:autoSpaceDE w:val="0"/>
        <w:autoSpaceDN w:val="0"/>
        <w:adjustRightInd w:val="0"/>
        <w:rPr>
          <w:rFonts w:ascii="Arial TUR" w:hAnsi="Arial TUR" w:cs="FrankRuehl"/>
          <w:spacing w:val="10"/>
          <w:sz w:val="22"/>
          <w:szCs w:val="22"/>
          <w:rtl/>
        </w:rPr>
      </w:pPr>
    </w:p>
    <w:p w:rsidR="005366A8" w:rsidRPr="00B32366" w:rsidRDefault="005366A8" w:rsidP="005366A8">
      <w:pPr>
        <w:tabs>
          <w:tab w:val="left" w:pos="800"/>
        </w:tabs>
        <w:overflowPunct w:val="0"/>
        <w:autoSpaceDE w:val="0"/>
        <w:autoSpaceDN w:val="0"/>
        <w:adjustRightInd w:val="0"/>
        <w:rPr>
          <w:rFonts w:ascii="Arial TUR" w:hAnsi="Arial TUR" w:cs="Miriam"/>
          <w:sz w:val="22"/>
          <w:szCs w:val="22"/>
          <w:rtl/>
        </w:rPr>
      </w:pPr>
      <w:r w:rsidRPr="00B32366">
        <w:rPr>
          <w:rFonts w:ascii="Arial TUR" w:hAnsi="Arial TUR" w:cs="Miriam" w:hint="cs"/>
          <w:sz w:val="22"/>
          <w:szCs w:val="22"/>
          <w:rtl/>
        </w:rPr>
        <w:t>(ה) חופש התנועה</w:t>
      </w:r>
      <w:r>
        <w:rPr>
          <w:rFonts w:ascii="Arial TUR" w:hAnsi="Arial TUR" w:cs="Miriam" w:hint="cs"/>
          <w:sz w:val="22"/>
          <w:szCs w:val="22"/>
          <w:rtl/>
        </w:rPr>
        <w:t xml:space="preserve"> </w:t>
      </w:r>
    </w:p>
    <w:p w:rsidR="005366A8" w:rsidRPr="00B32366" w:rsidRDefault="005366A8" w:rsidP="005366A8">
      <w:pPr>
        <w:tabs>
          <w:tab w:val="left" w:pos="800"/>
        </w:tabs>
        <w:overflowPunct w:val="0"/>
        <w:autoSpaceDE w:val="0"/>
        <w:autoSpaceDN w:val="0"/>
        <w:adjustRightInd w:val="0"/>
        <w:rPr>
          <w:rFonts w:ascii="Arial" w:hAnsi="Arial" w:cs="FrankRuehl"/>
          <w:spacing w:val="10"/>
          <w:sz w:val="22"/>
          <w:szCs w:val="22"/>
          <w:rtl/>
        </w:rPr>
      </w:pPr>
      <w:r w:rsidRPr="00B32366">
        <w:rPr>
          <w:rFonts w:ascii="Arial TUR" w:hAnsi="Arial TUR" w:cs="FrankRuehl" w:hint="cs"/>
          <w:spacing w:val="10"/>
          <w:sz w:val="22"/>
          <w:szCs w:val="22"/>
          <w:rtl/>
        </w:rPr>
        <w:t>41.</w:t>
      </w:r>
      <w:r w:rsidRPr="00B32366">
        <w:rPr>
          <w:rFonts w:ascii="Arial TUR" w:hAnsi="Arial TUR" w:cs="FrankRuehl"/>
          <w:spacing w:val="10"/>
          <w:sz w:val="22"/>
          <w:szCs w:val="22"/>
        </w:rPr>
        <w:tab/>
      </w:r>
      <w:r w:rsidRPr="00B32366">
        <w:rPr>
          <w:rFonts w:ascii="Arial TUR" w:hAnsi="Arial TUR" w:cs="FrankRuehl" w:hint="cs"/>
          <w:spacing w:val="10"/>
          <w:sz w:val="22"/>
          <w:szCs w:val="22"/>
          <w:highlight w:val="yellow"/>
          <w:rtl/>
        </w:rPr>
        <w:t xml:space="preserve">לטעמי, הליכי הגביה נושא הערעור פוגעים בחופש התנועה של הפרט, ובכך מוסיפים הם היבט נוסף של פגיעה בזכויות, החורג מן הפגיעה הנגרמת כתוצאה מהליכי גביה המתבצעים בחצריו של החייב. כך, הן בעיכובו במחסום, הן בעיקול הרכב שבו הוא נוהג. במציאות שבה </w:t>
      </w:r>
      <w:r w:rsidRPr="00B32366">
        <w:rPr>
          <w:rFonts w:ascii="Arial" w:hAnsi="Arial" w:cs="FrankRuehl" w:hint="cs"/>
          <w:spacing w:val="10"/>
          <w:sz w:val="22"/>
          <w:szCs w:val="22"/>
          <w:highlight w:val="yellow"/>
          <w:rtl/>
        </w:rPr>
        <w:t>כלי רכב פרטי משמש אמצעי לתנועה ממקום למקום ולסיפוק צרכים חברתיים ותרבותיים של הכלל והפרט, יש בעובדה</w:t>
      </w:r>
      <w:r w:rsidRPr="00B32366">
        <w:rPr>
          <w:rFonts w:ascii="Arial TUR" w:hAnsi="Arial TUR" w:cs="FrankRuehl" w:hint="cs"/>
          <w:spacing w:val="10"/>
          <w:sz w:val="22"/>
          <w:szCs w:val="22"/>
          <w:highlight w:val="yellow"/>
          <w:rtl/>
        </w:rPr>
        <w:t xml:space="preserve"> שעיכובו של הנישום במחסום לשם גביית חובו על אתר ועיקול רכבו מתבצעים ב"הפתעה", לאחר שכבר יצא מן הבית והחל בנסיעתו, משום </w:t>
      </w:r>
      <w:r w:rsidRPr="00B32366">
        <w:rPr>
          <w:rFonts w:ascii="Arial" w:hAnsi="Arial" w:cs="FrankRuehl" w:hint="cs"/>
          <w:spacing w:val="10"/>
          <w:sz w:val="22"/>
          <w:szCs w:val="22"/>
          <w:highlight w:val="yellow"/>
          <w:rtl/>
        </w:rPr>
        <w:t>פגיעה ממשית בחופש התנועה שלו, וביכולתו להגיע למחוז חפצו. הנישום עלול למצוא את עצמו בעל-כורחו, באמצע הדרך, חשוף לפגעי מזג האוויר, כשהוא ממתין ממושכות לבחינה של דבר קיומו של חוב. בהימצא חוב, שעלול להגיע כדי סכומים ניכרים – יידרש הנישום לשלמו לאלתר, דבר שעשוי להיות כרוך בהתניידות נוספות ובפרק זמן משמעותי שבמהלכו נמנע ממנו להמשיך בתנועה ובשגרת חייו. כל זאת, בלא שיעמוד לרשותו, בהכרח, אמצעי תחבורה סביר שיביאו ליעד נסיעתו בהתאם ללוח הזמנים המתוכנן. בכך, מוטלת – כאמור – מגבלה ממשית על יכולתו של הנישום לנוע באופן אפקטיבי ממקום למקום.</w:t>
      </w:r>
      <w:r w:rsidRPr="00B32366">
        <w:rPr>
          <w:rFonts w:ascii="Arial" w:hAnsi="Arial" w:cs="FrankRuehl" w:hint="cs"/>
          <w:spacing w:val="10"/>
          <w:sz w:val="22"/>
          <w:szCs w:val="22"/>
          <w:rtl/>
        </w:rPr>
        <w:t xml:space="preserve"> אמנם, המשטרה רשאית להגביל את חירות התנועה של אדם ולעכב כלי רכב בהתאם לסעיפים 69-67, 71 לחוק המעצרים, הקובע איזון פרטני בין הזכויות והאינטרסים השונים, ואולם מעצר ועיכוב לפי חוק זה נועדו להגשים את התכלית הקבועה בהם – ובראשה בחינת חשד לביצועה בעבר או בעתיד של עבירה בת מעצר – וזו אינה כוללת גביית מס. </w:t>
      </w:r>
      <w:r>
        <w:rPr>
          <w:rFonts w:ascii="Arial" w:hAnsi="Arial" w:cs="FrankRuehl" w:hint="cs"/>
          <w:spacing w:val="10"/>
          <w:sz w:val="22"/>
          <w:szCs w:val="22"/>
          <w:rtl/>
        </w:rPr>
        <w:t>..</w:t>
      </w:r>
      <w:r w:rsidRPr="00B32366">
        <w:rPr>
          <w:rFonts w:ascii="Arial" w:hAnsi="Arial" w:cs="FrankRuehl" w:hint="cs"/>
          <w:spacing w:val="10"/>
          <w:sz w:val="22"/>
          <w:szCs w:val="22"/>
          <w:rtl/>
        </w:rPr>
        <w:t xml:space="preserve">. </w:t>
      </w:r>
    </w:p>
    <w:p w:rsidR="005366A8" w:rsidRPr="00B32366" w:rsidRDefault="005366A8" w:rsidP="005366A8">
      <w:pPr>
        <w:tabs>
          <w:tab w:val="left" w:pos="800"/>
        </w:tabs>
        <w:overflowPunct w:val="0"/>
        <w:autoSpaceDE w:val="0"/>
        <w:autoSpaceDN w:val="0"/>
        <w:adjustRightInd w:val="0"/>
        <w:rPr>
          <w:rFonts w:ascii="Arial" w:hAnsi="Arial" w:cs="FrankRuehl"/>
          <w:spacing w:val="10"/>
          <w:sz w:val="22"/>
          <w:szCs w:val="22"/>
        </w:rPr>
      </w:pPr>
    </w:p>
    <w:p w:rsidR="005366A8" w:rsidRPr="00B32366" w:rsidRDefault="005366A8" w:rsidP="005366A8">
      <w:pPr>
        <w:tabs>
          <w:tab w:val="left" w:pos="800"/>
        </w:tabs>
        <w:overflowPunct w:val="0"/>
        <w:autoSpaceDE w:val="0"/>
        <w:autoSpaceDN w:val="0"/>
        <w:adjustRightInd w:val="0"/>
        <w:rPr>
          <w:rFonts w:ascii="Arial TUR" w:hAnsi="Arial TUR" w:cs="Miriam"/>
          <w:sz w:val="22"/>
          <w:szCs w:val="22"/>
          <w:rtl/>
        </w:rPr>
      </w:pPr>
      <w:r w:rsidRPr="00B32366">
        <w:rPr>
          <w:rFonts w:ascii="Arial TUR" w:hAnsi="Arial TUR" w:cs="Miriam" w:hint="cs"/>
          <w:sz w:val="22"/>
          <w:szCs w:val="22"/>
          <w:rtl/>
        </w:rPr>
        <w:t>(ו) זכות טיעון, הליך הוגן וגישה לערכאות</w:t>
      </w:r>
    </w:p>
    <w:p w:rsidR="005366A8" w:rsidRPr="00B32366"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B32366">
        <w:rPr>
          <w:rFonts w:ascii="Arial TUR" w:hAnsi="Arial TUR" w:cs="FrankRuehl" w:hint="cs"/>
          <w:spacing w:val="10"/>
          <w:sz w:val="22"/>
          <w:szCs w:val="22"/>
          <w:rtl/>
        </w:rPr>
        <w:t>42.</w:t>
      </w:r>
      <w:r w:rsidRPr="00B32366">
        <w:rPr>
          <w:rFonts w:ascii="Arial TUR" w:hAnsi="Arial TUR" w:cs="FrankRuehl" w:hint="cs"/>
          <w:spacing w:val="10"/>
          <w:sz w:val="22"/>
          <w:szCs w:val="22"/>
          <w:rtl/>
        </w:rPr>
        <w:tab/>
        <w:t xml:space="preserve">כלל יסוד בשיטתנו המשפטית מורה כי רשות מינהלית תימנע בדרך-כלל, מהחלטה הפוגעת בזכות או באינטרס מוגן של אדם, קודם שהעניקה לו הזדמנות נאותה להשמיע את דבריו ולשטוח את טענותיו </w:t>
      </w:r>
      <w:r>
        <w:rPr>
          <w:rFonts w:ascii="Arial TUR" w:hAnsi="Arial TUR" w:cs="FrankRuehl" w:hint="cs"/>
          <w:spacing w:val="10"/>
          <w:sz w:val="22"/>
          <w:szCs w:val="22"/>
          <w:rtl/>
        </w:rPr>
        <w:t>.</w:t>
      </w:r>
      <w:r w:rsidRPr="00B32366">
        <w:rPr>
          <w:rFonts w:ascii="Arial TUR" w:hAnsi="Arial TUR" w:cs="FrankRuehl" w:hint="cs"/>
          <w:spacing w:val="10"/>
          <w:sz w:val="22"/>
          <w:szCs w:val="22"/>
          <w:rtl/>
        </w:rPr>
        <w:t xml:space="preserve">. ביסוד הכלל, עומדת חובתה של הרשות </w:t>
      </w:r>
      <w:r w:rsidRPr="00B32366">
        <w:rPr>
          <w:rFonts w:ascii="Arial TUR" w:eastAsia="Arial Unicode MS" w:hAnsi="Arial TUR" w:cs="FrankRuehl" w:hint="cs"/>
          <w:spacing w:val="10"/>
          <w:sz w:val="22"/>
          <w:szCs w:val="22"/>
          <w:rtl/>
          <w:lang w:eastAsia="he-IL"/>
        </w:rPr>
        <w:t xml:space="preserve">להתייחס בהגינות לאזרח, תוך התחשבות במכלול העובדות והשיקולים שיש להם רלבנטיות לצורך ההחלטה, כך שהצדק ייעשה וגם ייראה </w:t>
      </w:r>
      <w:r>
        <w:rPr>
          <w:rFonts w:ascii="Arial TUR" w:eastAsia="Arial Unicode MS" w:hAnsi="Arial TUR" w:cs="FrankRuehl" w:hint="cs"/>
          <w:spacing w:val="10"/>
          <w:sz w:val="22"/>
          <w:szCs w:val="22"/>
          <w:rtl/>
          <w:lang w:eastAsia="he-IL"/>
        </w:rPr>
        <w:t>.</w:t>
      </w:r>
      <w:r w:rsidRPr="00B32366">
        <w:rPr>
          <w:rFonts w:ascii="Arial TUR" w:eastAsia="Arial Unicode MS" w:hAnsi="Arial TUR" w:cs="FrankRuehl" w:hint="cs"/>
          <w:spacing w:val="10"/>
          <w:sz w:val="22"/>
          <w:szCs w:val="22"/>
          <w:rtl/>
          <w:lang w:eastAsia="he-IL"/>
        </w:rPr>
        <w:t>. ההזדמנות להשמיע טענות צריכה להיות הוגנת, בהתחשב במכלול נסיבות העניין</w:t>
      </w:r>
      <w:r>
        <w:rPr>
          <w:rFonts w:ascii="Arial TUR" w:eastAsia="Arial Unicode MS" w:hAnsi="Arial TUR" w:cs="FrankRuehl" w:hint="cs"/>
          <w:spacing w:val="10"/>
          <w:sz w:val="22"/>
          <w:szCs w:val="22"/>
          <w:rtl/>
          <w:lang w:eastAsia="he-IL"/>
        </w:rPr>
        <w:t>.</w:t>
      </w:r>
      <w:r w:rsidRPr="00B32366">
        <w:rPr>
          <w:rFonts w:ascii="Arial TUR" w:eastAsia="Arial Unicode MS" w:hAnsi="Arial TUR" w:cs="FrankRuehl" w:hint="cs"/>
          <w:spacing w:val="10"/>
          <w:sz w:val="22"/>
          <w:szCs w:val="22"/>
          <w:rtl/>
          <w:lang w:eastAsia="he-IL"/>
        </w:rPr>
        <w:t>. לכך יש להוסיף כי ככל שהפגיעה הצפויה באזרח חמורה יותר, כן רחבה זכותו להשמיע טענותיו</w:t>
      </w:r>
      <w:r>
        <w:rPr>
          <w:rFonts w:ascii="Arial TUR" w:eastAsia="Arial Unicode MS" w:hAnsi="Arial TUR" w:cs="FrankRuehl" w:hint="cs"/>
          <w:spacing w:val="10"/>
          <w:sz w:val="22"/>
          <w:szCs w:val="22"/>
          <w:rtl/>
          <w:lang w:eastAsia="he-IL"/>
        </w:rPr>
        <w:t>..</w:t>
      </w:r>
      <w:r w:rsidRPr="00B32366">
        <w:rPr>
          <w:rFonts w:ascii="Arial TUR" w:eastAsia="Arial Unicode MS" w:hAnsi="Arial TUR" w:cs="FrankRuehl" w:hint="cs"/>
          <w:spacing w:val="10"/>
          <w:sz w:val="22"/>
          <w:szCs w:val="22"/>
          <w:rtl/>
          <w:lang w:eastAsia="he-IL"/>
        </w:rPr>
        <w:t>.</w:t>
      </w:r>
      <w:r>
        <w:rPr>
          <w:rFonts w:ascii="Arial TUR" w:eastAsia="Arial Unicode MS" w:hAnsi="Arial TUR" w:cs="FrankRuehl" w:hint="cs"/>
          <w:spacing w:val="10"/>
          <w:sz w:val="22"/>
          <w:szCs w:val="22"/>
          <w:rtl/>
          <w:lang w:eastAsia="he-IL"/>
        </w:rPr>
        <w:t xml:space="preserve"> </w:t>
      </w:r>
    </w:p>
    <w:p w:rsidR="005366A8" w:rsidRPr="00B32366" w:rsidRDefault="005366A8" w:rsidP="005366A8">
      <w:pPr>
        <w:tabs>
          <w:tab w:val="left" w:pos="800"/>
        </w:tabs>
        <w:overflowPunct w:val="0"/>
        <w:autoSpaceDE w:val="0"/>
        <w:autoSpaceDN w:val="0"/>
        <w:adjustRightInd w:val="0"/>
        <w:rPr>
          <w:rFonts w:ascii="Arial TUR" w:hAnsi="Arial TUR" w:cs="FrankRuehl"/>
          <w:spacing w:val="10"/>
          <w:sz w:val="22"/>
          <w:szCs w:val="22"/>
          <w:rtl/>
        </w:rPr>
      </w:pPr>
    </w:p>
    <w:p w:rsidR="005366A8" w:rsidRPr="00B32366"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B32366">
        <w:rPr>
          <w:rFonts w:ascii="Arial TUR" w:hAnsi="Arial TUR" w:cs="FrankRuehl" w:hint="cs"/>
          <w:spacing w:val="10"/>
          <w:sz w:val="22"/>
          <w:szCs w:val="22"/>
          <w:rtl/>
        </w:rPr>
        <w:t>43.</w:t>
      </w:r>
      <w:r w:rsidRPr="00B32366">
        <w:rPr>
          <w:rFonts w:ascii="Arial TUR" w:hAnsi="Arial TUR" w:cs="FrankRuehl" w:hint="cs"/>
          <w:spacing w:val="10"/>
          <w:sz w:val="22"/>
          <w:szCs w:val="22"/>
          <w:rtl/>
        </w:rPr>
        <w:tab/>
        <w:t>בנפרד מכלל זה, עומדת לפרט זכותו להביא את עניינו לביקורת שיפוטית. אכן, לזכות הגישה לערכאות שיפוטיות, אשר הוכרה בשיטתנו כזכות בעלת מעמד חוקתי</w:t>
      </w:r>
      <w:r>
        <w:rPr>
          <w:rFonts w:ascii="Arial TUR" w:hAnsi="Arial TUR" w:cs="FrankRuehl" w:hint="cs"/>
          <w:spacing w:val="10"/>
          <w:sz w:val="22"/>
          <w:szCs w:val="22"/>
          <w:rtl/>
        </w:rPr>
        <w:t>..</w:t>
      </w:r>
      <w:r w:rsidRPr="00B32366">
        <w:rPr>
          <w:rFonts w:ascii="Arial TUR" w:hAnsi="Arial TUR" w:cs="FrankRuehl" w:hint="cs"/>
          <w:spacing w:val="10"/>
          <w:sz w:val="22"/>
          <w:szCs w:val="22"/>
          <w:rtl/>
        </w:rPr>
        <w:t xml:space="preserve"> קיימת חשיבות רבה, הנגזרת מן הצורך להבטיח, כי למי שסבור שהוא זכאי לסעד משפטי יתאפשר להביא את עניינו בפני בית המשפט, על מנת שזה יכריע בו. לא יתאפשר כן – לא יוכל אותו אדם לזכות בסעד בגין פגיעה בזכויותיו, וממילא לא תהיה משמעות אפקטיבית לזכויות אלו</w:t>
      </w:r>
      <w:r>
        <w:rPr>
          <w:rFonts w:ascii="Arial TUR" w:hAnsi="Arial TUR" w:cs="FrankRuehl" w:hint="cs"/>
          <w:spacing w:val="10"/>
          <w:sz w:val="22"/>
          <w:szCs w:val="22"/>
          <w:rtl/>
        </w:rPr>
        <w:t>.</w:t>
      </w:r>
      <w:r w:rsidRPr="00B32366">
        <w:rPr>
          <w:rFonts w:ascii="Arial TUR" w:hAnsi="Arial TUR" w:cs="FrankRuehl" w:hint="cs"/>
          <w:spacing w:val="10"/>
          <w:sz w:val="22"/>
          <w:szCs w:val="22"/>
          <w:rtl/>
        </w:rPr>
        <w:t xml:space="preserve">. יפים לעניין זה דברי השופט </w:t>
      </w:r>
      <w:r w:rsidRPr="00B32366">
        <w:rPr>
          <w:rFonts w:ascii="Arial TUR" w:hAnsi="Arial TUR" w:cs="Miriam" w:hint="cs"/>
          <w:sz w:val="22"/>
          <w:szCs w:val="22"/>
          <w:rtl/>
        </w:rPr>
        <w:t>חשין</w:t>
      </w:r>
      <w:r w:rsidRPr="00B32366">
        <w:rPr>
          <w:rFonts w:ascii="Arial TUR" w:hAnsi="Arial TUR" w:cs="FrankRuehl" w:hint="cs"/>
          <w:spacing w:val="10"/>
          <w:sz w:val="22"/>
          <w:szCs w:val="22"/>
          <w:rtl/>
        </w:rPr>
        <w:t xml:space="preserve"> בעניין </w:t>
      </w:r>
      <w:r w:rsidRPr="00B32366">
        <w:rPr>
          <w:rFonts w:ascii="Arial TUR" w:hAnsi="Arial TUR" w:cs="Miriam" w:hint="cs"/>
          <w:sz w:val="22"/>
          <w:szCs w:val="22"/>
          <w:rtl/>
        </w:rPr>
        <w:t>ארפל אלומיניום</w:t>
      </w:r>
      <w:r w:rsidRPr="00B32366">
        <w:rPr>
          <w:rFonts w:ascii="Arial TUR" w:hAnsi="Arial TUR" w:cs="FrankRuehl" w:hint="cs"/>
          <w:spacing w:val="10"/>
          <w:sz w:val="22"/>
          <w:szCs w:val="22"/>
          <w:rtl/>
        </w:rPr>
        <w:t>:</w:t>
      </w:r>
    </w:p>
    <w:p w:rsidR="005366A8" w:rsidRPr="00B32366" w:rsidRDefault="005366A8" w:rsidP="005366A8">
      <w:pPr>
        <w:overflowPunct w:val="0"/>
        <w:autoSpaceDE w:val="0"/>
        <w:autoSpaceDN w:val="0"/>
        <w:adjustRightInd w:val="0"/>
        <w:ind w:left="1642" w:right="1282"/>
        <w:rPr>
          <w:rFonts w:ascii="Arial TUR" w:hAnsi="Arial TUR" w:cs="FrankRuehl"/>
          <w:spacing w:val="10"/>
          <w:sz w:val="22"/>
          <w:szCs w:val="22"/>
          <w:rtl/>
        </w:rPr>
      </w:pPr>
      <w:r w:rsidRPr="00B32366">
        <w:rPr>
          <w:rFonts w:ascii="Arial TUR" w:hAnsi="Arial TUR" w:cs="FrankRuehl" w:hint="cs"/>
          <w:spacing w:val="10"/>
          <w:sz w:val="22"/>
          <w:szCs w:val="22"/>
          <w:rtl/>
        </w:rPr>
        <w:t xml:space="preserve">"זכות הגישה לבית-המשפט אין היא זכות-יסוד במובנו הרגיל של המושג זכות-יסוד. שייכת היא למסדר נורמות אחר בשיטת המשפט. ניתן לומר – וכך אומַר אני – כי נעלה היא על זכות-יסוד. לא עוד, אלא שקיומה הינו תנאי הכרחי וחיוני לקיומן של שאר זכויות-היסוד (...) </w:t>
      </w:r>
      <w:r w:rsidRPr="00B32366">
        <w:rPr>
          <w:rFonts w:ascii="Arial TUR" w:hAnsi="Arial TUR" w:cs="FrankRuehl" w:hint="cs"/>
          <w:spacing w:val="10"/>
          <w:sz w:val="22"/>
          <w:szCs w:val="22"/>
          <w:highlight w:val="yellow"/>
          <w:rtl/>
        </w:rPr>
        <w:t>באין רשות שופטת, באין ביקורת על מעשי הפרט והשלטון, ייפרע עם ותאבד ממלכה. באין ביקורת שיפוטית יאבד שלטון החוק ותיעלמנה זכויות-היסוד (...)</w:t>
      </w:r>
      <w:r>
        <w:rPr>
          <w:rFonts w:ascii="Arial TUR" w:hAnsi="Arial TUR" w:cs="FrankRuehl" w:hint="cs"/>
          <w:spacing w:val="10"/>
          <w:sz w:val="22"/>
          <w:szCs w:val="22"/>
          <w:highlight w:val="yellow"/>
          <w:rtl/>
        </w:rPr>
        <w:t xml:space="preserve"> </w:t>
      </w:r>
      <w:r w:rsidRPr="00B32366">
        <w:rPr>
          <w:rFonts w:ascii="Arial TUR" w:hAnsi="Arial TUR" w:cs="FrankRuehl" w:hint="cs"/>
          <w:spacing w:val="10"/>
          <w:sz w:val="22"/>
          <w:szCs w:val="22"/>
          <w:highlight w:val="yellow"/>
          <w:rtl/>
        </w:rPr>
        <w:t>בחסימת הדרך לבית-משפט ייעלם ואיננו הדַיין, ובאין דיין ייעלם אף הדין עמו"</w:t>
      </w:r>
      <w:r w:rsidRPr="00B32366">
        <w:rPr>
          <w:rFonts w:ascii="Arial TUR" w:hAnsi="Arial TUR" w:cs="FrankRuehl" w:hint="cs"/>
          <w:spacing w:val="10"/>
          <w:sz w:val="22"/>
          <w:szCs w:val="22"/>
          <w:rtl/>
        </w:rPr>
        <w:t xml:space="preserve"> (עמ' 629). </w:t>
      </w:r>
    </w:p>
    <w:p w:rsidR="005366A8" w:rsidRPr="00B32366" w:rsidRDefault="005366A8" w:rsidP="005366A8">
      <w:pPr>
        <w:tabs>
          <w:tab w:val="left" w:pos="800"/>
        </w:tabs>
        <w:overflowPunct w:val="0"/>
        <w:autoSpaceDE w:val="0"/>
        <w:autoSpaceDN w:val="0"/>
        <w:adjustRightInd w:val="0"/>
        <w:rPr>
          <w:rFonts w:ascii="Arial TUR" w:eastAsia="Arial Unicode MS" w:hAnsi="Arial TUR" w:cs="FrankRuehl"/>
          <w:spacing w:val="10"/>
          <w:sz w:val="22"/>
          <w:szCs w:val="22"/>
          <w:rtl/>
          <w:lang w:eastAsia="he-IL"/>
        </w:rPr>
      </w:pPr>
    </w:p>
    <w:p w:rsidR="005366A8" w:rsidRPr="00B32366"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B32366">
        <w:rPr>
          <w:rFonts w:ascii="Arial TUR" w:eastAsia="Arial Unicode MS" w:hAnsi="Arial TUR" w:cs="FrankRuehl" w:hint="cs"/>
          <w:spacing w:val="10"/>
          <w:sz w:val="22"/>
          <w:szCs w:val="22"/>
          <w:rtl/>
          <w:lang w:eastAsia="he-IL"/>
        </w:rPr>
        <w:tab/>
      </w:r>
      <w:r w:rsidRPr="00B32366">
        <w:rPr>
          <w:rFonts w:ascii="Arial TUR" w:eastAsia="Arial Unicode MS" w:hAnsi="Arial TUR" w:cs="FrankRuehl" w:hint="cs"/>
          <w:spacing w:val="10"/>
          <w:sz w:val="22"/>
          <w:szCs w:val="22"/>
          <w:highlight w:val="yellow"/>
          <w:rtl/>
          <w:lang w:eastAsia="he-IL"/>
        </w:rPr>
        <w:t>דברים אלה מקבלים משנה תוקף כאשר הגישה לערכאות נעשית לצורך ביקורת שיפוטית על החלטה המתקבלת על-ידי רשות מינהלית (להבדיל מביקורת ערעורית על החלטה שיפוטית).</w:t>
      </w:r>
      <w:r w:rsidRPr="00B32366">
        <w:rPr>
          <w:rFonts w:ascii="Arial TUR" w:eastAsia="Arial Unicode MS" w:hAnsi="Arial TUR" w:cs="FrankRuehl" w:hint="cs"/>
          <w:spacing w:val="10"/>
          <w:sz w:val="22"/>
          <w:szCs w:val="22"/>
          <w:rtl/>
          <w:lang w:eastAsia="he-IL"/>
        </w:rPr>
        <w:t xml:space="preserve"> </w:t>
      </w:r>
    </w:p>
    <w:p w:rsidR="005366A8" w:rsidRPr="00B32366" w:rsidRDefault="005366A8" w:rsidP="005366A8">
      <w:pPr>
        <w:tabs>
          <w:tab w:val="left" w:pos="800"/>
        </w:tabs>
        <w:overflowPunct w:val="0"/>
        <w:autoSpaceDE w:val="0"/>
        <w:autoSpaceDN w:val="0"/>
        <w:adjustRightInd w:val="0"/>
        <w:rPr>
          <w:rFonts w:ascii="Arial TUR" w:hAnsi="Arial TUR" w:cs="FrankRuehl"/>
          <w:spacing w:val="10"/>
          <w:sz w:val="22"/>
          <w:szCs w:val="22"/>
          <w:rtl/>
        </w:rPr>
      </w:pPr>
    </w:p>
    <w:p w:rsidR="005366A8" w:rsidRPr="00B32366" w:rsidRDefault="005366A8" w:rsidP="005366A8">
      <w:pPr>
        <w:tabs>
          <w:tab w:val="left" w:pos="800"/>
        </w:tabs>
        <w:overflowPunct w:val="0"/>
        <w:autoSpaceDE w:val="0"/>
        <w:autoSpaceDN w:val="0"/>
        <w:adjustRightInd w:val="0"/>
        <w:rPr>
          <w:rFonts w:ascii="Arial TUR" w:eastAsia="Arial Unicode MS" w:hAnsi="Arial TUR" w:cs="FrankRuehl"/>
          <w:spacing w:val="10"/>
          <w:sz w:val="22"/>
          <w:szCs w:val="22"/>
          <w:rtl/>
          <w:lang w:eastAsia="he-IL"/>
        </w:rPr>
      </w:pPr>
      <w:r w:rsidRPr="00B32366">
        <w:rPr>
          <w:rFonts w:ascii="Arial TUR" w:eastAsia="Arial Unicode MS" w:hAnsi="Arial TUR" w:cs="FrankRuehl" w:hint="cs"/>
          <w:spacing w:val="10"/>
          <w:sz w:val="22"/>
          <w:szCs w:val="22"/>
          <w:rtl/>
          <w:lang w:eastAsia="he-IL"/>
        </w:rPr>
        <w:t>44.</w:t>
      </w:r>
      <w:r w:rsidRPr="00B32366">
        <w:rPr>
          <w:rFonts w:ascii="Arial TUR" w:eastAsia="Arial Unicode MS" w:hAnsi="Arial TUR" w:cs="FrankRuehl" w:hint="cs"/>
          <w:spacing w:val="10"/>
          <w:sz w:val="22"/>
          <w:szCs w:val="22"/>
          <w:rtl/>
          <w:lang w:eastAsia="he-IL"/>
        </w:rPr>
        <w:tab/>
        <w:t xml:space="preserve">החוב נושא ההליכים שלפנינו, דינו – כפי שהוסבר – כדין חוב מס סופי ופסוק, שלגביו, פתוחה בפני הרשות הדרך לקיים הליכי גבייה. אמנם, הדין אינו כולל דרישה לקיומו של שימוע נוסף כאשר מדובר בחוב מס סופי; עם זאת, במהלך הדברים הרגיל, תחילתם של הליכי גבייה אינה מונעת העלאת טענות מצד הנישום בין לפני הרשות ובין בהליך של ביקורת שיפוטית על חוקיות הליכי הגבייה. בגדרן של פעולות גבייה המתבצעות בחצרי חייב, מוטל אמנם עיקול על מיטלטליו, ואולם, בידי גובה המס נתונה הסמכות להותירם במקומם בחצרים לפי שיקול דעתו (על חשבונו ועל אחריותו של הסרבן), תוך קציבת פרק זמן לחייב לתשלום החוב (ומכירת המעוקלים במקרה שלא ייעשה כן) (סעיפים 5(2) ו 5(2א) לפקודה). בדרך פעולה מעין זו, מתאפשר לחייב לפנות לרשות קודם להמשך הליכי הגבייה ואף להעמידם לביקורת שיפוטית, אם קיימת עילה לכך. בחינה אמפירית של הליכי גבייה שנערכים על ידי הרשויות תגלה – לדוגמה – כי בעקבות הליכים לפי הפקודה שננקטים על ידי רשויות מקומיות, מוגשות – במקרים רבים – עתירות לבתי המשפט המינהליים שבהן נתקפים הליכי גבייה אלה, ומתבקש צו ביניים לעיכובם, עד לבירור ההליך העיקרי. </w:t>
      </w:r>
      <w:r w:rsidRPr="00B32366">
        <w:rPr>
          <w:rFonts w:ascii="Arial TUR" w:eastAsia="Arial Unicode MS" w:hAnsi="Arial TUR" w:cs="FrankRuehl" w:hint="cs"/>
          <w:spacing w:val="10"/>
          <w:sz w:val="22"/>
          <w:szCs w:val="22"/>
          <w:highlight w:val="yellow"/>
          <w:rtl/>
          <w:lang w:eastAsia="he-IL"/>
        </w:rPr>
        <w:t>כך, במקרה שבו עולה טענה כי לא קיים חוב, כי נפלה טעות, כי החוב התיישן</w:t>
      </w:r>
      <w:r w:rsidRPr="00B32366">
        <w:rPr>
          <w:rFonts w:ascii="Arial TUR" w:eastAsia="Arial Unicode MS" w:hAnsi="Arial TUR" w:cs="FrankRuehl" w:hint="cs"/>
          <w:spacing w:val="10"/>
          <w:sz w:val="22"/>
          <w:szCs w:val="22"/>
          <w:rtl/>
          <w:lang w:eastAsia="he-IL"/>
        </w:rPr>
        <w:t xml:space="preserve"> (השוו: רע"א 187/05 </w:t>
      </w:r>
      <w:r w:rsidRPr="00B32366">
        <w:rPr>
          <w:rFonts w:ascii="Arial TUR" w:eastAsia="Arial Unicode MS" w:hAnsi="Arial TUR" w:cs="Miriam" w:hint="cs"/>
          <w:sz w:val="22"/>
          <w:szCs w:val="22"/>
          <w:rtl/>
          <w:lang w:eastAsia="he-IL"/>
        </w:rPr>
        <w:t>נסייר נ' עירית נצרת עלית</w:t>
      </w:r>
      <w:r w:rsidRPr="00B32366">
        <w:rPr>
          <w:rFonts w:ascii="Arial TUR" w:eastAsia="Arial Unicode MS" w:hAnsi="Arial TUR" w:cs="FrankRuehl" w:hint="cs"/>
          <w:spacing w:val="10"/>
          <w:sz w:val="22"/>
          <w:szCs w:val="22"/>
          <w:rtl/>
          <w:lang w:eastAsia="he-IL"/>
        </w:rPr>
        <w:t xml:space="preserve">, סעיף 19 (לא פורסם, 20.6.10)) ועוד טענות כיוצא באלה, ניתן לבררן לגופן קודם למכירת המעוקלים. כאמור, לביקורת שיפוטית נודעת חשיבות יתר, בנסיבות שבהן ניתן </w:t>
      </w:r>
      <w:r w:rsidRPr="00B32366">
        <w:rPr>
          <w:rFonts w:ascii="Arial TUR" w:hAnsi="Arial TUR" w:cs="FrankRuehl" w:hint="cs"/>
          <w:spacing w:val="10"/>
          <w:sz w:val="22"/>
          <w:szCs w:val="22"/>
          <w:rtl/>
        </w:rPr>
        <w:t>לרשות הכוח לפעול לגביית חוב, מבלי ששאלת קיומו של החוב ושיעורו נבחנה קודם לכן בהליך שיפוטי.</w:t>
      </w:r>
      <w:r w:rsidRPr="00B32366">
        <w:rPr>
          <w:rFonts w:ascii="Arial TUR" w:eastAsia="Arial Unicode MS" w:hAnsi="Arial TUR" w:cs="FrankRuehl" w:hint="cs"/>
          <w:spacing w:val="10"/>
          <w:sz w:val="22"/>
          <w:szCs w:val="22"/>
          <w:rtl/>
          <w:lang w:eastAsia="he-IL"/>
        </w:rPr>
        <w:t xml:space="preserve"> </w:t>
      </w:r>
      <w:r w:rsidRPr="00B32366">
        <w:rPr>
          <w:rFonts w:ascii="Arial TUR" w:eastAsia="Arial Unicode MS" w:hAnsi="Arial TUR" w:cs="FrankRuehl" w:hint="cs"/>
          <w:spacing w:val="10"/>
          <w:sz w:val="22"/>
          <w:szCs w:val="22"/>
          <w:highlight w:val="yellow"/>
          <w:rtl/>
          <w:lang w:eastAsia="he-IL"/>
        </w:rPr>
        <w:t>להבדיל מכך, כאשר הליכי הגבייה מתבצעים באין התרעה, במהלך נסיעה ברכב, מוצא עצמו הנישום, כשהוא לא ערוך לכך, בפני גופי גבייה, כשהוא נדרש לשלם במזומן סכום ניכר שבמקרים רבים אינו מצוי בידיו; שאם לא כן – יילקח מידיו הרכב שבו הוא נוהג, לאלתר. ברירה זו מוצגת לנישום כשהוא ברשות הרבים וחשוף לעיני כל, בתנאי לחץ ומתח, וכשלא ניתנת לו שהות של ממש לבחון את הנתונים ולפרוש את טענותיו. אפילו יתעשת ויבקש להציג גרסה סדורה – כפי שאירע בעניינו של העותר 1 – זו לא תזכה לבחינה ממשית. אין צריך לומר כי בסד הזמנים שבו מדובר, אין אף אפשרות מעשית לפרט להעמיד את הליכי הגבייה לביקורת שיפוטית מבעוד מועד</w:t>
      </w:r>
      <w:r w:rsidRPr="00B32366">
        <w:rPr>
          <w:rFonts w:ascii="Arial TUR" w:eastAsia="Arial Unicode MS" w:hAnsi="Arial TUR" w:cs="FrankRuehl" w:hint="cs"/>
          <w:spacing w:val="10"/>
          <w:sz w:val="22"/>
          <w:szCs w:val="22"/>
          <w:rtl/>
          <w:lang w:eastAsia="he-IL"/>
        </w:rPr>
        <w:t xml:space="preserve">. </w:t>
      </w:r>
    </w:p>
    <w:p w:rsidR="005366A8" w:rsidRPr="00B32366" w:rsidRDefault="005366A8" w:rsidP="005366A8">
      <w:pPr>
        <w:tabs>
          <w:tab w:val="left" w:pos="800"/>
        </w:tabs>
        <w:overflowPunct w:val="0"/>
        <w:autoSpaceDE w:val="0"/>
        <w:autoSpaceDN w:val="0"/>
        <w:adjustRightInd w:val="0"/>
        <w:rPr>
          <w:rFonts w:ascii="Arial TUR" w:eastAsia="Arial Unicode MS" w:hAnsi="Arial TUR" w:cs="FrankRuehl"/>
          <w:spacing w:val="10"/>
          <w:sz w:val="22"/>
          <w:szCs w:val="22"/>
          <w:rtl/>
          <w:lang w:eastAsia="he-IL"/>
        </w:rPr>
      </w:pPr>
    </w:p>
    <w:p w:rsidR="005366A8" w:rsidRPr="00B32366" w:rsidRDefault="005366A8" w:rsidP="005366A8">
      <w:pPr>
        <w:tabs>
          <w:tab w:val="left" w:pos="800"/>
        </w:tabs>
        <w:overflowPunct w:val="0"/>
        <w:autoSpaceDE w:val="0"/>
        <w:autoSpaceDN w:val="0"/>
        <w:adjustRightInd w:val="0"/>
        <w:rPr>
          <w:rFonts w:ascii="Arial TUR" w:eastAsia="Arial Unicode MS" w:hAnsi="Arial TUR" w:cs="FrankRuehl"/>
          <w:spacing w:val="10"/>
          <w:sz w:val="22"/>
          <w:szCs w:val="22"/>
          <w:rtl/>
          <w:lang w:eastAsia="he-IL"/>
        </w:rPr>
      </w:pPr>
      <w:r w:rsidRPr="00B32366">
        <w:rPr>
          <w:rFonts w:ascii="Arial TUR" w:eastAsia="Arial Unicode MS" w:hAnsi="Arial TUR" w:cs="FrankRuehl" w:hint="cs"/>
          <w:spacing w:val="10"/>
          <w:sz w:val="22"/>
          <w:szCs w:val="22"/>
          <w:rtl/>
          <w:lang w:eastAsia="he-IL"/>
        </w:rPr>
        <w:t>45.</w:t>
      </w:r>
      <w:r w:rsidRPr="00B32366">
        <w:rPr>
          <w:rFonts w:ascii="Arial TUR" w:eastAsia="Arial Unicode MS" w:hAnsi="Arial TUR" w:cs="FrankRuehl" w:hint="cs"/>
          <w:spacing w:val="10"/>
          <w:sz w:val="22"/>
          <w:szCs w:val="22"/>
          <w:rtl/>
          <w:lang w:eastAsia="he-IL"/>
        </w:rPr>
        <w:tab/>
        <w:t xml:space="preserve">בטענותיהם, הציגו המשיבים לפנינו אמצעים המקהים, לגישתם, מן החדות והמיידיות שבנטילת הרכב על אתר באמצע הדרך. כך למשל, מצביעים המשיבים על שיקול הדעת הנתון בידיו של גובה המס להתחשב בנסיבות כגון השעה, קיומה של תחבורה ציבורית במקום, זמן העיכוב הכולל וכיוצא באלה, בטרם יחליט אם לעכב את הרכב ולהותירו במחסום. עוד מצביעים הם על נכונותם של גובי המס להתיר לרכב ולנהגו לעזוב את המחסום בכפוף להגעה להסדר עימם, שבגדרו יוכל החייב לשלם חלק מהחוב ולהגיע להסדר על מועד קרוב לתשלום יתרת החוב. </w:t>
      </w:r>
      <w:r w:rsidRPr="00B32366">
        <w:rPr>
          <w:rFonts w:ascii="Arial TUR" w:eastAsia="Arial Unicode MS" w:hAnsi="Arial TUR" w:cs="FrankRuehl" w:hint="cs"/>
          <w:spacing w:val="10"/>
          <w:sz w:val="22"/>
          <w:szCs w:val="22"/>
          <w:highlight w:val="yellow"/>
          <w:rtl/>
          <w:lang w:eastAsia="he-IL"/>
        </w:rPr>
        <w:t>גם אמצעים אלה אינם מספקים, לטעמי, מענה, לקושי הכרוך בשלילת אפשרות מעשית מן הנישום להתמודד עם האמצעי הדרסטי שננקט כלפיו. למתן אפשרות טיעון וביקורת שיפוטית אפקטיבית קיימת חשיבות מיוחדת דווקא בשל אופיו של הליך גביית המס, המגדיר חוב שלגביו נשלחו שתי הודעות תשלום כחוב פסוק, שכן, כאמור, בניגוד לחובות בהקשרים אחרים, החוב הנדרש כפועל יוצא מדרישת הרשות, ניתן לגבייה גם בלא הכרעה שיפוטית במחלוקת. במקרה שההודעות לא הגיעו לידי הנישום, הוא עלול למצוא עצמו מתוודע לראשונה לדבר קיומה של דרישת חוב בהגיעו אל מחסום הגבייה. ההזדמנות לטעון טענות ולנקוט בהליכים, במתכונת שקיימת בפועל עת מבוצע עיקול בחצרים, היתה עשוי להניב גם יתרונות שבמהות, על רקע החשש המוגבר מפני טעות והערך הגלום בשמיעת הנישום ככלי להקטנת סיכון זה</w:t>
      </w:r>
      <w:r w:rsidRPr="00B32366">
        <w:rPr>
          <w:rFonts w:ascii="Arial TUR" w:eastAsia="Arial Unicode MS" w:hAnsi="Arial TUR" w:cs="FrankRuehl" w:hint="cs"/>
          <w:spacing w:val="10"/>
          <w:sz w:val="22"/>
          <w:szCs w:val="22"/>
          <w:rtl/>
          <w:lang w:eastAsia="he-IL"/>
        </w:rPr>
        <w:t xml:space="preserve"> (ראו </w:t>
      </w:r>
      <w:r w:rsidRPr="00B32366">
        <w:rPr>
          <w:rFonts w:ascii="Arial TUR" w:eastAsia="Arial Unicode MS" w:hAnsi="Arial TUR" w:cs="Miriam" w:hint="cs"/>
          <w:sz w:val="22"/>
          <w:szCs w:val="22"/>
          <w:rtl/>
          <w:lang w:eastAsia="he-IL"/>
        </w:rPr>
        <w:t>ברק-ארז</w:t>
      </w:r>
      <w:r w:rsidRPr="00B32366">
        <w:rPr>
          <w:rFonts w:ascii="Arial TUR" w:eastAsia="Arial Unicode MS" w:hAnsi="Arial TUR" w:cs="FrankRuehl" w:hint="cs"/>
          <w:spacing w:val="10"/>
          <w:sz w:val="22"/>
          <w:szCs w:val="22"/>
          <w:rtl/>
          <w:lang w:eastAsia="he-IL"/>
        </w:rPr>
        <w:t xml:space="preserve">, בעמ' 498). אמנם, כפי שמציינת המדינה, בפני החייב מוסיפה להיות פתוחה הדרך לפנות לערכאות גם לאחר התפיסה, בבקשה כי יורו על השבת הרכב שנתפס. ברם, ברי כי אין דין הליך מעין זה, שמתבצע לאחר מעשה, ואשר לבירורו יידרש פרק זמן מתאים, כדין הליך שננקט בטרם עוקל הרכב, ואין בקיומו כדי לאיין את הפגיעה החריפה שכבר נגרמה לנישום. </w:t>
      </w:r>
    </w:p>
    <w:p w:rsidR="005366A8" w:rsidRPr="00B32366" w:rsidRDefault="005366A8" w:rsidP="005366A8">
      <w:pPr>
        <w:tabs>
          <w:tab w:val="left" w:pos="800"/>
        </w:tabs>
        <w:overflowPunct w:val="0"/>
        <w:autoSpaceDE w:val="0"/>
        <w:autoSpaceDN w:val="0"/>
        <w:adjustRightInd w:val="0"/>
        <w:rPr>
          <w:rFonts w:ascii="Arial TUR" w:hAnsi="Arial TUR" w:cs="Miriam"/>
          <w:sz w:val="22"/>
          <w:szCs w:val="22"/>
          <w:rtl/>
        </w:rPr>
      </w:pPr>
    </w:p>
    <w:p w:rsidR="005366A8" w:rsidRPr="00B32366" w:rsidRDefault="005366A8" w:rsidP="005366A8">
      <w:pPr>
        <w:tabs>
          <w:tab w:val="left" w:pos="800"/>
        </w:tabs>
        <w:overflowPunct w:val="0"/>
        <w:autoSpaceDE w:val="0"/>
        <w:autoSpaceDN w:val="0"/>
        <w:adjustRightInd w:val="0"/>
        <w:rPr>
          <w:rFonts w:ascii="Arial TUR" w:hAnsi="Arial TUR" w:cs="Miriam"/>
          <w:sz w:val="22"/>
          <w:szCs w:val="22"/>
          <w:rtl/>
        </w:rPr>
      </w:pPr>
      <w:r w:rsidRPr="00B32366">
        <w:rPr>
          <w:rFonts w:ascii="Arial TUR" w:hAnsi="Arial TUR" w:cs="Miriam" w:hint="cs"/>
          <w:sz w:val="22"/>
          <w:szCs w:val="22"/>
          <w:highlight w:val="yellow"/>
          <w:rtl/>
        </w:rPr>
        <w:t>סיכום ביניים</w:t>
      </w:r>
    </w:p>
    <w:p w:rsidR="005366A8" w:rsidRPr="00B32366"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B32366">
        <w:rPr>
          <w:rFonts w:ascii="Arial TUR" w:hAnsi="Arial TUR" w:cs="FrankRuehl" w:hint="cs"/>
          <w:spacing w:val="10"/>
          <w:sz w:val="22"/>
          <w:szCs w:val="22"/>
          <w:rtl/>
        </w:rPr>
        <w:t>46.</w:t>
      </w:r>
      <w:r w:rsidRPr="00B32366">
        <w:rPr>
          <w:rFonts w:ascii="Arial TUR" w:hAnsi="Arial TUR" w:cs="FrankRuehl" w:hint="cs"/>
          <w:spacing w:val="10"/>
          <w:sz w:val="22"/>
          <w:szCs w:val="22"/>
          <w:rtl/>
        </w:rPr>
        <w:tab/>
      </w:r>
      <w:r w:rsidRPr="0071692F">
        <w:rPr>
          <w:rFonts w:ascii="Arial TUR" w:hAnsi="Arial TUR" w:cs="FrankRuehl" w:hint="cs"/>
          <w:spacing w:val="10"/>
          <w:sz w:val="22"/>
          <w:szCs w:val="22"/>
          <w:highlight w:val="yellow"/>
          <w:rtl/>
        </w:rPr>
        <w:t xml:space="preserve">נסכם את שלבי התהליך הפרשני עד כה. בתחילת הילוכנו מוכנים היינו להניח, לטובת המשיבים, כי קיים עיגון לשוני לשתי הפרשנויות המוצעות: זו הרואה בסמכות העיקול בחצרים שבפקודת המסים (גביה) כמקור סמכות לעיקול נכסים במחסומים, וזו הגורסת כי מקור סמכות כאמור אינו קיים בפקודה. המשכנו ובחנו את התכלית הסובייקטיבית של סעיפים 5-4 לפקודה, ולמדנו כי ההיסטוריה החקיקתית מצביעה על כך שמטרתו של המחוקק בתקנו את הפקודה המנדטורית, היתה להרחיב את סמכויות הגבייה המנויות בפקודה במובנים מסוימים, ולצמצמן במובנים אחרים, בלא שקיימת התייחסות קונקרטית לנושא המחלוקת. בהמשך עמדנו על התכלית האובייקטיבית של החוק, וראינו כי זו כוללת היבטים שונים אשר מוליכים לכוונים מנוגדים: מן הצד האחד השאיפה להביא לגביה אפקטיבית של מס ולשמירה על שלטון החוק, ומן הצד השני הרצון לשמור ולהגן על זכויות אדם שונות ובכלל זה הזכות לכבוד, לחופש תנועה, להליך הוגן ולפרטיות. הגענו עתה </w:t>
      </w:r>
      <w:r w:rsidRPr="0071692F">
        <w:rPr>
          <w:rFonts w:ascii="Arial TUR" w:eastAsia="Arial Unicode MS" w:hAnsi="Arial TUR" w:cs="FrankRuehl" w:hint="cs"/>
          <w:spacing w:val="10"/>
          <w:sz w:val="22"/>
          <w:szCs w:val="22"/>
          <w:highlight w:val="yellow"/>
          <w:rtl/>
          <w:lang w:eastAsia="he-IL"/>
        </w:rPr>
        <w:t>לקו הגמר. עלינו להציב את התכליות השונות, אלה מול אלה, לאזן ביניהן, בשים לב לכלל הפסיקתי הדורש סמכות מפורשת ולגישה הפרטנית והגמישה שיש לנקוט לגביו, ולגבש את תכליתו הסופית של דבר החקיקה.</w:t>
      </w:r>
      <w:r w:rsidRPr="00B32366">
        <w:rPr>
          <w:rFonts w:ascii="Arial TUR" w:eastAsia="Arial Unicode MS" w:hAnsi="Arial TUR" w:cs="FrankRuehl" w:hint="cs"/>
          <w:spacing w:val="10"/>
          <w:sz w:val="22"/>
          <w:szCs w:val="22"/>
          <w:rtl/>
          <w:lang w:eastAsia="he-IL"/>
        </w:rPr>
        <w:t xml:space="preserve"> </w:t>
      </w:r>
    </w:p>
    <w:p w:rsidR="005366A8" w:rsidRPr="00B32366" w:rsidRDefault="005366A8" w:rsidP="005366A8">
      <w:pPr>
        <w:tabs>
          <w:tab w:val="left" w:pos="800"/>
        </w:tabs>
        <w:overflowPunct w:val="0"/>
        <w:autoSpaceDE w:val="0"/>
        <w:autoSpaceDN w:val="0"/>
        <w:adjustRightInd w:val="0"/>
        <w:rPr>
          <w:rFonts w:ascii="Arial TUR" w:eastAsia="Arial Unicode MS" w:hAnsi="Arial TUR" w:cs="Miriam"/>
          <w:sz w:val="22"/>
          <w:szCs w:val="22"/>
          <w:rtl/>
          <w:lang w:eastAsia="he-IL"/>
        </w:rPr>
      </w:pPr>
    </w:p>
    <w:p w:rsidR="005366A8" w:rsidRPr="00B32366" w:rsidRDefault="005366A8" w:rsidP="005366A8">
      <w:pPr>
        <w:tabs>
          <w:tab w:val="left" w:pos="800"/>
        </w:tabs>
        <w:overflowPunct w:val="0"/>
        <w:autoSpaceDE w:val="0"/>
        <w:autoSpaceDN w:val="0"/>
        <w:adjustRightInd w:val="0"/>
        <w:rPr>
          <w:rFonts w:ascii="Arial TUR" w:eastAsia="Arial Unicode MS" w:hAnsi="Arial TUR" w:cs="Miriam"/>
          <w:sz w:val="22"/>
          <w:szCs w:val="22"/>
          <w:rtl/>
          <w:lang w:eastAsia="he-IL"/>
        </w:rPr>
      </w:pPr>
      <w:r w:rsidRPr="00B32366">
        <w:rPr>
          <w:rFonts w:ascii="Arial TUR" w:eastAsia="Arial Unicode MS" w:hAnsi="Arial TUR" w:cs="Miriam" w:hint="cs"/>
          <w:sz w:val="22"/>
          <w:szCs w:val="22"/>
          <w:rtl/>
          <w:lang w:eastAsia="he-IL"/>
        </w:rPr>
        <w:t>גיבוש התכלית הסופית של דבר החקיקה</w:t>
      </w:r>
    </w:p>
    <w:p w:rsidR="005366A8" w:rsidRPr="00B32366"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B32366">
        <w:rPr>
          <w:rFonts w:ascii="Arial TUR" w:hAnsi="Arial TUR" w:cs="FrankRuehl" w:hint="cs"/>
          <w:spacing w:val="10"/>
          <w:sz w:val="22"/>
          <w:szCs w:val="22"/>
          <w:rtl/>
        </w:rPr>
        <w:t>47.</w:t>
      </w:r>
      <w:r w:rsidRPr="00B32366">
        <w:rPr>
          <w:rFonts w:ascii="Arial TUR" w:hAnsi="Arial TUR" w:cs="FrankRuehl" w:hint="cs"/>
          <w:spacing w:val="10"/>
          <w:sz w:val="22"/>
          <w:szCs w:val="22"/>
          <w:rtl/>
        </w:rPr>
        <w:tab/>
        <w:t>לאחר שפסענו בנתיבי הפרשנות, נחזור לנקודת המוצא של דיוננו, לשאלת קיומה של הסמכה מפורשת להליכי גבייה במחסומי הגבייה, ולאמות המידה שעל יסודן ניתנת תשובה לשאלה זו.</w:t>
      </w:r>
      <w:r>
        <w:rPr>
          <w:rFonts w:ascii="Arial TUR" w:hAnsi="Arial TUR" w:cs="FrankRuehl" w:hint="cs"/>
          <w:spacing w:val="10"/>
          <w:sz w:val="22"/>
          <w:szCs w:val="22"/>
          <w:rtl/>
        </w:rPr>
        <w:t>..</w:t>
      </w:r>
      <w:r w:rsidRPr="00B32366">
        <w:rPr>
          <w:rFonts w:ascii="Arial TUR" w:hAnsi="Arial TUR" w:cs="FrankRuehl" w:hint="cs"/>
          <w:spacing w:val="10"/>
          <w:sz w:val="22"/>
          <w:szCs w:val="22"/>
          <w:rtl/>
        </w:rPr>
        <w:t xml:space="preserve"> </w:t>
      </w:r>
    </w:p>
    <w:p w:rsidR="005366A8" w:rsidRPr="00B32366" w:rsidRDefault="005366A8" w:rsidP="005366A8">
      <w:pPr>
        <w:tabs>
          <w:tab w:val="left" w:pos="800"/>
        </w:tabs>
        <w:overflowPunct w:val="0"/>
        <w:autoSpaceDE w:val="0"/>
        <w:autoSpaceDN w:val="0"/>
        <w:adjustRightInd w:val="0"/>
        <w:rPr>
          <w:rFonts w:ascii="Arial TUR" w:hAnsi="Arial TUR" w:cs="FrankRuehl"/>
          <w:spacing w:val="10"/>
          <w:sz w:val="22"/>
          <w:szCs w:val="22"/>
          <w:rtl/>
        </w:rPr>
      </w:pPr>
    </w:p>
    <w:p w:rsidR="005366A8" w:rsidRPr="00B32366"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B32366">
        <w:rPr>
          <w:rFonts w:ascii="Arial TUR" w:hAnsi="Arial TUR" w:cs="FrankRuehl" w:hint="cs"/>
          <w:spacing w:val="10"/>
          <w:sz w:val="22"/>
          <w:szCs w:val="22"/>
          <w:rtl/>
        </w:rPr>
        <w:t>48.</w:t>
      </w:r>
      <w:r w:rsidRPr="00B32366">
        <w:rPr>
          <w:rFonts w:ascii="Arial TUR" w:hAnsi="Arial TUR" w:cs="FrankRuehl" w:hint="cs"/>
          <w:spacing w:val="10"/>
          <w:sz w:val="22"/>
          <w:szCs w:val="22"/>
          <w:rtl/>
        </w:rPr>
        <w:tab/>
        <w:t xml:space="preserve">הגבולות ששרטט המחוקק הראשי מתווים את האיזון בין השאיפה לקיים גביית מס יעילה לבין השמירה על זכויות אדם. בגדר כך, מתאפשרת כניסה לחצריו של נישום שלא עמד בחובו, בסייגים שנקבעו. מאידך גיסא, נמנע המחוקק מלהתיר ביצוע גביה מסוג זה במחסומי דרכים, גם אם אלה הוקמו במקור משיקוליה המבצעיים של המשטרה. אמנם, מן הטעמים שפורטו, ישנה חשיבות מרובה לקיומה של גבית מס אפקטיבית ולאכיפת החוק על מי שנמנע מלשלם את חובו, הגם שנדרש לעשות כן. ואולם, צורך זה, על כל חשיבותו – אין פרישתו מוחלטת, ועל רקע הפגיעה הכרוכה באמצעי הננקט להגשמתו, בזכויות יסוד, יש להצביע על מקור סמכות מפורש, ישיר וברור לשם שימוש באמצעי זה. </w:t>
      </w:r>
    </w:p>
    <w:p w:rsidR="005366A8" w:rsidRPr="00B32366" w:rsidRDefault="005366A8" w:rsidP="005366A8">
      <w:pPr>
        <w:tabs>
          <w:tab w:val="left" w:pos="800"/>
        </w:tabs>
        <w:overflowPunct w:val="0"/>
        <w:autoSpaceDE w:val="0"/>
        <w:autoSpaceDN w:val="0"/>
        <w:adjustRightInd w:val="0"/>
        <w:rPr>
          <w:rFonts w:ascii="Arial TUR" w:hAnsi="Arial TUR" w:cs="FrankRuehl"/>
          <w:spacing w:val="10"/>
          <w:sz w:val="22"/>
          <w:szCs w:val="22"/>
          <w:rtl/>
        </w:rPr>
      </w:pPr>
    </w:p>
    <w:p w:rsidR="005366A8" w:rsidRPr="00B32366"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B32366">
        <w:rPr>
          <w:rFonts w:ascii="Arial TUR" w:hAnsi="Arial TUR" w:cs="FrankRuehl" w:hint="cs"/>
          <w:spacing w:val="10"/>
          <w:sz w:val="22"/>
          <w:szCs w:val="22"/>
          <w:rtl/>
        </w:rPr>
        <w:t>49.</w:t>
      </w:r>
      <w:r w:rsidRPr="00B32366">
        <w:rPr>
          <w:rFonts w:ascii="Arial TUR" w:hAnsi="Arial TUR" w:cs="FrankRuehl" w:hint="cs"/>
          <w:spacing w:val="10"/>
          <w:sz w:val="22"/>
          <w:szCs w:val="22"/>
          <w:rtl/>
        </w:rPr>
        <w:tab/>
      </w:r>
      <w:r w:rsidRPr="0071692F">
        <w:rPr>
          <w:rFonts w:ascii="Arial TUR" w:hAnsi="Arial TUR" w:cs="FrankRuehl" w:hint="cs"/>
          <w:spacing w:val="10"/>
          <w:sz w:val="22"/>
          <w:szCs w:val="22"/>
          <w:highlight w:val="yellow"/>
          <w:rtl/>
        </w:rPr>
        <w:t>לא זו בלבד שהמשיבים פוגעים פגיעה ממשית באגד של זכויות שעליהן עמדנו; אף זו – עצמת הפגיעה בזכויות הינה רבה וניכרת, והיא שונה באופן מהותי מהפגיעה הנגרמת לפרט במקרה של עיקול בחצריו – הסמכות שממנה ניסו המשיבים לגזור את הסמכות להפעיל סמכויות גבייה</w:t>
      </w:r>
      <w:r w:rsidRPr="00B32366">
        <w:rPr>
          <w:rFonts w:ascii="Arial TUR" w:hAnsi="Arial TUR" w:cs="FrankRuehl" w:hint="cs"/>
          <w:spacing w:val="10"/>
          <w:sz w:val="22"/>
          <w:szCs w:val="22"/>
          <w:rtl/>
        </w:rPr>
        <w:t xml:space="preserve"> בדרך של קל וחומר. </w:t>
      </w:r>
      <w:r w:rsidRPr="00B32366">
        <w:rPr>
          <w:rFonts w:ascii="Arial TUR" w:hAnsi="Arial TUR" w:cs="FrankRuehl" w:hint="cs"/>
          <w:spacing w:val="10"/>
          <w:sz w:val="22"/>
          <w:szCs w:val="22"/>
          <w:highlight w:val="yellow"/>
          <w:rtl/>
        </w:rPr>
        <w:t xml:space="preserve">להשקפתי, גם בנפרד מהדרישה לקיומה של סמכות מפורשת שעליה עמדנו, קשה לעמוד על הגיונה של טענת "הקל וחומר" מקום שבו הפגיעה בפרט במקרה של הפעלת הסמכות נושא העתירה, מצויה במישורים נוספים ובעוצמה גבוהה יותר ביחס לסמכות שממנה מבקשים להקיש. כאשר מדובר בעוצמת פגיעה ממשית בזכויות יסוד מרכזיות ("מן השורה הראשונה" כלשונו של הנשיא </w:t>
      </w:r>
      <w:r w:rsidRPr="00B32366">
        <w:rPr>
          <w:rFonts w:ascii="Arial TUR" w:eastAsia="Arial Unicode MS" w:hAnsi="Arial TUR" w:cs="Miriam" w:hint="cs"/>
          <w:sz w:val="22"/>
          <w:szCs w:val="22"/>
          <w:highlight w:val="yellow"/>
          <w:rtl/>
          <w:lang w:eastAsia="he-IL"/>
        </w:rPr>
        <w:t>ברק</w:t>
      </w:r>
      <w:r w:rsidRPr="00B32366">
        <w:rPr>
          <w:rFonts w:ascii="Arial TUR" w:hAnsi="Arial TUR" w:cs="FrankRuehl" w:hint="cs"/>
          <w:spacing w:val="10"/>
          <w:sz w:val="22"/>
          <w:szCs w:val="22"/>
          <w:highlight w:val="yellow"/>
          <w:rtl/>
        </w:rPr>
        <w:t xml:space="preserve">), דרישת ההסמכה המפורשת צריכה להתפרש בקפדנות יתר. כשעסקינן במאטריה של דיני המס, זוכה החובה בדבר קיומה של הסמכה חוקית מפורשת לתוקף נוסף, ובנוגע לעצם הטלתם – </w:t>
      </w:r>
      <w:r w:rsidRPr="0071692F">
        <w:rPr>
          <w:rFonts w:ascii="Arial TUR" w:hAnsi="Arial TUR" w:cs="FrankRuehl" w:hint="cs"/>
          <w:spacing w:val="10"/>
          <w:sz w:val="22"/>
          <w:szCs w:val="22"/>
          <w:rtl/>
        </w:rPr>
        <w:t xml:space="preserve">היא אף זכתה לעיגון בחוק יסוד: משק המדינה הקובע זכות חוקתית שלא לשלם מסים, אגרות ותשלומי חובה אחרים שלא הוטלו בחוק או על-פיו. </w:t>
      </w:r>
      <w:r w:rsidRPr="00B32366">
        <w:rPr>
          <w:rFonts w:ascii="Arial TUR" w:hAnsi="Arial TUR" w:cs="FrankRuehl" w:hint="cs"/>
          <w:spacing w:val="10"/>
          <w:sz w:val="22"/>
          <w:szCs w:val="22"/>
          <w:highlight w:val="yellow"/>
          <w:rtl/>
        </w:rPr>
        <w:t>תוקף מוגבר זה – אף טעם מהותי בבסיסו, שכן כשמדובר בגביית כסף מן הפרט לשם מימון פעילותה של הממשלה לטובת הציבור בכללותו, יש מקום שהדבר ייעשה מתוך הסכמה קולקטיבית, המתבטאת במעשי ידיהם של נציגי הציבור בכנסת (ראו גם</w:t>
      </w:r>
      <w:r w:rsidRPr="00B32366">
        <w:rPr>
          <w:rFonts w:ascii="Arial TUR" w:hAnsi="Arial TUR" w:cs="Miriam" w:hint="cs"/>
          <w:sz w:val="22"/>
          <w:szCs w:val="22"/>
          <w:highlight w:val="yellow"/>
          <w:rtl/>
        </w:rPr>
        <w:t xml:space="preserve"> אדרעי</w:t>
      </w:r>
      <w:r w:rsidRPr="00B32366">
        <w:rPr>
          <w:rFonts w:ascii="Arial TUR" w:hAnsi="Arial TUR" w:cs="FrankRuehl" w:hint="cs"/>
          <w:spacing w:val="10"/>
          <w:sz w:val="22"/>
          <w:szCs w:val="22"/>
          <w:highlight w:val="yellow"/>
          <w:rtl/>
        </w:rPr>
        <w:t xml:space="preserve"> בעמ' 16-15, 32 (2008)). דברים אלה המתייחסים לעצם הטלת המס, תקפים הם גם לגבי דרך גבייתו.</w:t>
      </w:r>
    </w:p>
    <w:p w:rsidR="005366A8" w:rsidRPr="00B32366" w:rsidRDefault="005366A8" w:rsidP="005366A8">
      <w:pPr>
        <w:tabs>
          <w:tab w:val="left" w:pos="800"/>
        </w:tabs>
        <w:overflowPunct w:val="0"/>
        <w:autoSpaceDE w:val="0"/>
        <w:autoSpaceDN w:val="0"/>
        <w:adjustRightInd w:val="0"/>
        <w:rPr>
          <w:rFonts w:ascii="Arial TUR" w:hAnsi="Arial TUR" w:cs="FrankRuehl"/>
          <w:spacing w:val="10"/>
          <w:sz w:val="22"/>
          <w:szCs w:val="22"/>
          <w:rtl/>
        </w:rPr>
      </w:pPr>
    </w:p>
    <w:p w:rsidR="005366A8" w:rsidRPr="00B32366"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B32366">
        <w:rPr>
          <w:rFonts w:ascii="Arial TUR" w:hAnsi="Arial TUR" w:cs="FrankRuehl" w:hint="cs"/>
          <w:spacing w:val="10"/>
          <w:sz w:val="22"/>
          <w:szCs w:val="22"/>
          <w:rtl/>
        </w:rPr>
        <w:t>50.</w:t>
      </w:r>
      <w:r w:rsidRPr="00B32366">
        <w:rPr>
          <w:rFonts w:ascii="Arial TUR" w:hAnsi="Arial TUR" w:cs="FrankRuehl" w:hint="cs"/>
          <w:spacing w:val="10"/>
          <w:sz w:val="22"/>
          <w:szCs w:val="22"/>
          <w:rtl/>
        </w:rPr>
        <w:tab/>
        <w:t xml:space="preserve">נוכח המקובץ, ועל יסוד הטעמים שעליהם עמדנו, אין לפרש את הוראות סעיפים 4 ו-5 לפקודת הגביה כמעניקות סמכות כללית, רחבה, גורפת ובלתי מוגבלת לגבות מן הנישום מס בכל אמצעי שהוא. סמכות זו כרוכה בפגיעה בזכויות יסוד ובאינטרסים שונים, שמן הראוי כי המחוקק ייתן עליהם את דעתו, ולא ניתן להסיק קיומה של סמכות באופן משתמע או על דרך ההיקש. אכן, פקודת המסים (גביה) מעניקה סמכויות נרחבות לגובה המס ומתירה לו לבצע פעולות שונות שעלולות להיות כרוכות בפגיעה בזכויות יסוד. ואולם, דווקא בשל אופיין של סמכויות אלה, קיים חשש מפני </w:t>
      </w:r>
      <w:r w:rsidRPr="00DC58B8">
        <w:rPr>
          <w:rFonts w:ascii="Arial TUR" w:hAnsi="Arial TUR" w:cs="FrankRuehl" w:hint="cs"/>
          <w:spacing w:val="10"/>
          <w:sz w:val="22"/>
          <w:szCs w:val="22"/>
          <w:highlight w:val="yellow"/>
          <w:rtl/>
        </w:rPr>
        <w:t>"פריצת הסכר"</w:t>
      </w:r>
      <w:r w:rsidRPr="00B32366">
        <w:rPr>
          <w:rFonts w:ascii="Arial TUR" w:hAnsi="Arial TUR" w:cs="FrankRuehl" w:hint="cs"/>
          <w:spacing w:val="10"/>
          <w:sz w:val="22"/>
          <w:szCs w:val="22"/>
          <w:rtl/>
        </w:rPr>
        <w:t xml:space="preserve">. </w:t>
      </w:r>
      <w:r w:rsidRPr="00B32366">
        <w:rPr>
          <w:rFonts w:ascii="Arial TUR" w:hAnsi="Arial TUR" w:cs="FrankRuehl" w:hint="cs"/>
          <w:spacing w:val="10"/>
          <w:sz w:val="22"/>
          <w:szCs w:val="22"/>
          <w:highlight w:val="yellow"/>
          <w:rtl/>
        </w:rPr>
        <w:t>ריבוי הסמכויות בפקודה ואופיין הפוגעני מחייב עמידה דקדקנית על קיומם של תנאי הסמכות ואי חריגה ממנה. אין ללמוד, אפוא, משתיקת המחוקק בפקודה בנוגע לשאלה שלפנינו על מתן הרשאה לפגיעה גורפת בזכויות יסוד, זולת זו שהותרה באופן מפורש, ואין ללמוד סמכות משתמעת לבצע את הגביה באמצעי נושא העתירה, במחסומי דרכים ברשות הרבים</w:t>
      </w:r>
      <w:r w:rsidRPr="00B32366">
        <w:rPr>
          <w:rFonts w:ascii="Arial TUR" w:hAnsi="Arial TUR" w:cs="FrankRuehl" w:hint="cs"/>
          <w:spacing w:val="10"/>
          <w:sz w:val="22"/>
          <w:szCs w:val="22"/>
          <w:rtl/>
        </w:rPr>
        <w:t>.</w:t>
      </w:r>
    </w:p>
    <w:p w:rsidR="005366A8" w:rsidRPr="00B32366" w:rsidRDefault="005366A8" w:rsidP="005366A8">
      <w:pPr>
        <w:tabs>
          <w:tab w:val="left" w:pos="800"/>
        </w:tabs>
        <w:overflowPunct w:val="0"/>
        <w:autoSpaceDE w:val="0"/>
        <w:autoSpaceDN w:val="0"/>
        <w:adjustRightInd w:val="0"/>
        <w:rPr>
          <w:rFonts w:ascii="Arial TUR" w:hAnsi="Arial TUR" w:cs="FrankRuehl"/>
          <w:spacing w:val="10"/>
          <w:sz w:val="22"/>
          <w:szCs w:val="22"/>
          <w:rtl/>
        </w:rPr>
      </w:pPr>
    </w:p>
    <w:p w:rsidR="005366A8" w:rsidRPr="00B32366"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B32366">
        <w:rPr>
          <w:rFonts w:ascii="Arial TUR" w:hAnsi="Arial TUR" w:cs="FrankRuehl" w:hint="cs"/>
          <w:spacing w:val="10"/>
          <w:sz w:val="22"/>
          <w:szCs w:val="22"/>
          <w:rtl/>
        </w:rPr>
        <w:t>51.</w:t>
      </w:r>
      <w:r w:rsidRPr="00B32366">
        <w:rPr>
          <w:rFonts w:ascii="Arial TUR" w:hAnsi="Arial TUR" w:cs="FrankRuehl" w:hint="cs"/>
          <w:spacing w:val="10"/>
          <w:sz w:val="22"/>
          <w:szCs w:val="22"/>
          <w:rtl/>
        </w:rPr>
        <w:tab/>
        <w:t xml:space="preserve">בדברינו אלה, איננו מתעלמים מהתכליות הציבוריות החשובות שהוזכרו, העומדות בבסיס הליכי הגבייה המנהלית, ובכלל זה – השאיפה לגביית מס אפקטיבית, הבטחת שלטון החוק ואכיפת החוק. אף לא באנו להטיל דופי בהליכים אלה שמשרתים גם הם – במקרים המתאימים – את האינטרס הציבורי. </w:t>
      </w:r>
      <w:r w:rsidRPr="00B32366">
        <w:rPr>
          <w:rFonts w:ascii="Arial TUR" w:hAnsi="Arial TUR" w:cs="FrankRuehl" w:hint="cs"/>
          <w:spacing w:val="10"/>
          <w:sz w:val="22"/>
          <w:szCs w:val="22"/>
          <w:highlight w:val="yellow"/>
          <w:rtl/>
        </w:rPr>
        <w:t xml:space="preserve">ואולם, לשם הפעלת האמצעי נושא העתירה במסגרת מחסומי דרכים, נדרשת, בראש ובראשונה, הסמכה מפורשת בחקיקה ראשית. </w:t>
      </w:r>
      <w:r w:rsidRPr="0071692F">
        <w:rPr>
          <w:rFonts w:ascii="Arial TUR" w:hAnsi="Arial TUR" w:cs="FrankRuehl" w:hint="cs"/>
          <w:spacing w:val="10"/>
          <w:sz w:val="22"/>
          <w:szCs w:val="22"/>
          <w:rtl/>
        </w:rPr>
        <w:t xml:space="preserve">ככל שהמחוקק ימצא לנכון להקנות סמכות אכיפה בהסדר חקיקתי מפורש שיתייחס לרשות הרבים בכלל, ולגבייה במחסום דרכים בפרט, </w:t>
      </w:r>
      <w:r w:rsidRPr="0071692F">
        <w:rPr>
          <w:rFonts w:ascii="Arial TUR" w:hAnsi="Arial TUR" w:cs="FrankRuehl" w:hint="cs"/>
          <w:spacing w:val="10"/>
          <w:sz w:val="22"/>
          <w:szCs w:val="22"/>
          <w:highlight w:val="yellow"/>
          <w:rtl/>
        </w:rPr>
        <w:t xml:space="preserve">יהיה עליו לערוך את האיזונים הנדרשים בין </w:t>
      </w:r>
      <w:r w:rsidRPr="00B32366">
        <w:rPr>
          <w:rFonts w:ascii="Arial TUR" w:hAnsi="Arial TUR" w:cs="FrankRuehl" w:hint="cs"/>
          <w:spacing w:val="10"/>
          <w:sz w:val="22"/>
          <w:szCs w:val="22"/>
          <w:highlight w:val="yellow"/>
          <w:rtl/>
        </w:rPr>
        <w:t>הפגיעה בזכויות יסוד לבין התכליות שאותן מבקשות רשויות המס לקדם, ולבחון את עמידתו של ההסדר בתנאיה של פסקת ההגבלה. אין צריך לומר – בצד האמור – כי כל חקיקה ראשית חדשה שתצא מלפני המחוקק, תהא נתונה לביקורת חוקתית.</w:t>
      </w:r>
    </w:p>
    <w:p w:rsidR="005366A8" w:rsidRPr="00B32366" w:rsidRDefault="005366A8" w:rsidP="005366A8">
      <w:pPr>
        <w:tabs>
          <w:tab w:val="left" w:pos="800"/>
        </w:tabs>
        <w:overflowPunct w:val="0"/>
        <w:autoSpaceDE w:val="0"/>
        <w:autoSpaceDN w:val="0"/>
        <w:adjustRightInd w:val="0"/>
        <w:rPr>
          <w:rFonts w:ascii="Arial TUR" w:hAnsi="Arial TUR" w:cs="FrankRuehl"/>
          <w:spacing w:val="10"/>
          <w:sz w:val="22"/>
          <w:szCs w:val="22"/>
          <w:rtl/>
        </w:rPr>
      </w:pPr>
    </w:p>
    <w:p w:rsidR="005366A8" w:rsidRPr="00B32366" w:rsidRDefault="005366A8" w:rsidP="005366A8">
      <w:pPr>
        <w:tabs>
          <w:tab w:val="left" w:pos="800"/>
        </w:tabs>
        <w:overflowPunct w:val="0"/>
        <w:autoSpaceDE w:val="0"/>
        <w:autoSpaceDN w:val="0"/>
        <w:adjustRightInd w:val="0"/>
        <w:rPr>
          <w:rFonts w:ascii="Arial TUR" w:hAnsi="Arial TUR" w:cs="Miriam"/>
          <w:sz w:val="22"/>
          <w:szCs w:val="22"/>
          <w:rtl/>
        </w:rPr>
      </w:pPr>
      <w:r w:rsidRPr="00B32366">
        <w:rPr>
          <w:rFonts w:ascii="Arial TUR" w:hAnsi="Arial TUR" w:cs="FrankRuehl" w:hint="cs"/>
          <w:spacing w:val="10"/>
          <w:sz w:val="22"/>
          <w:szCs w:val="22"/>
          <w:rtl/>
        </w:rPr>
        <w:t>52.</w:t>
      </w:r>
      <w:r w:rsidRPr="00B32366">
        <w:rPr>
          <w:rFonts w:ascii="Arial TUR" w:hAnsi="Arial TUR" w:cs="FrankRuehl" w:hint="cs"/>
          <w:spacing w:val="10"/>
          <w:sz w:val="22"/>
          <w:szCs w:val="22"/>
          <w:rtl/>
        </w:rPr>
        <w:tab/>
        <w:t xml:space="preserve">סוף דבר – מצאנו כי הפעלת סמכויות של גבייה מינהלית במחסומי דרכים המוקמים על-ידי משטרת ישראל לצרכים מבצעיים, פוגעת בזכות לכבוד, בזכות לפרטיות, בחופש התנועה ובזכות להליך הוגן ולגישה לערכאות. עוד מצאנו כי פקודת המסים (גביה) בנוסחה הנוכחי, אינה מסמיכה את המשיבים 2-1 להפעיל סמכויות גבייה במחסומים האמורים. מטעם זה, אציע לחבריי לעשות את הצו על תנאי למוחלט. המשיבים ישלמו לעותרים שכ"ט עו"ד בסך </w:t>
      </w:r>
      <w:r>
        <w:rPr>
          <w:rFonts w:ascii="Arial TUR" w:hAnsi="Arial TUR" w:cs="FrankRuehl" w:hint="cs"/>
          <w:spacing w:val="10"/>
          <w:sz w:val="22"/>
          <w:szCs w:val="22"/>
          <w:rtl/>
        </w:rPr>
        <w:t>20,000 ש"ח</w:t>
      </w:r>
      <w:r w:rsidRPr="00B32366">
        <w:rPr>
          <w:rFonts w:ascii="Arial TUR" w:hAnsi="Arial TUR" w:cs="FrankRuehl" w:hint="cs"/>
          <w:spacing w:val="10"/>
          <w:sz w:val="22"/>
          <w:szCs w:val="22"/>
          <w:rtl/>
        </w:rPr>
        <w:t>.</w:t>
      </w:r>
      <w:r w:rsidRPr="00B32366">
        <w:rPr>
          <w:rFonts w:ascii="Arial TUR" w:hAnsi="Arial TUR" w:cs="Miriam" w:hint="cs"/>
          <w:sz w:val="22"/>
          <w:szCs w:val="22"/>
          <w:rtl/>
        </w:rPr>
        <w:t xml:space="preserve"> </w:t>
      </w:r>
    </w:p>
    <w:p w:rsidR="005366A8" w:rsidRDefault="005366A8" w:rsidP="005366A8">
      <w:pPr>
        <w:rPr>
          <w:rtl/>
        </w:rPr>
      </w:pPr>
    </w:p>
    <w:p w:rsidR="005366A8" w:rsidRPr="002A4704" w:rsidRDefault="005366A8" w:rsidP="005366A8">
      <w:pPr>
        <w:rPr>
          <w:rFonts w:ascii="Arial" w:hAnsi="Arial" w:cs="Arial"/>
          <w:rtl/>
        </w:rPr>
      </w:pPr>
      <w:r>
        <w:rPr>
          <w:rFonts w:hint="cs"/>
          <w:rtl/>
        </w:rPr>
        <w:t>=-=</w:t>
      </w:r>
      <w:r>
        <w:rPr>
          <w:rFonts w:ascii="Arial" w:hAnsi="Arial" w:cs="Arial" w:hint="cs"/>
          <w:rtl/>
        </w:rPr>
        <w:t>=-=</w:t>
      </w:r>
    </w:p>
    <w:p w:rsidR="005366A8" w:rsidRPr="002A4704" w:rsidRDefault="005366A8" w:rsidP="005366A8">
      <w:pPr>
        <w:rPr>
          <w:rFonts w:ascii="Arial" w:hAnsi="Arial" w:cs="Arial"/>
          <w:b/>
          <w:bCs/>
          <w:rtl/>
        </w:rPr>
      </w:pPr>
      <w:r w:rsidRPr="002A4704">
        <w:rPr>
          <w:rFonts w:ascii="Arial" w:hAnsi="Arial" w:cs="Arial" w:hint="cs"/>
          <w:b/>
          <w:bCs/>
          <w:rtl/>
        </w:rPr>
        <w:t>כמה נקודות נוספות:</w:t>
      </w:r>
    </w:p>
    <w:p w:rsidR="005366A8" w:rsidRDefault="005366A8" w:rsidP="005366A8">
      <w:pPr>
        <w:rPr>
          <w:sz w:val="20"/>
          <w:szCs w:val="20"/>
          <w:rtl/>
        </w:rPr>
      </w:pPr>
    </w:p>
    <w:p w:rsidR="005366A8" w:rsidRPr="005930C6" w:rsidRDefault="005366A8" w:rsidP="005366A8">
      <w:pPr>
        <w:spacing w:after="120"/>
        <w:jc w:val="center"/>
        <w:rPr>
          <w:rtl/>
        </w:rPr>
      </w:pPr>
      <w:r>
        <w:rPr>
          <w:rFonts w:cs="Arial" w:hint="cs"/>
          <w:b/>
          <w:bCs/>
          <w:highlight w:val="yellow"/>
          <w:u w:val="single"/>
          <w:rtl/>
        </w:rPr>
        <w:t xml:space="preserve">א. </w:t>
      </w:r>
      <w:r w:rsidRPr="005930C6">
        <w:rPr>
          <w:rFonts w:cs="Arial"/>
          <w:b/>
          <w:bCs/>
          <w:highlight w:val="yellow"/>
          <w:u w:val="single"/>
          <w:rtl/>
        </w:rPr>
        <w:t xml:space="preserve">שלבי הביקורת השיפוטית החוקתית; </w:t>
      </w:r>
      <w:r>
        <w:rPr>
          <w:rFonts w:cs="Arial" w:hint="cs"/>
          <w:b/>
          <w:bCs/>
          <w:highlight w:val="yellow"/>
          <w:u w:val="single"/>
          <w:rtl/>
        </w:rPr>
        <w:t xml:space="preserve">ב. </w:t>
      </w:r>
      <w:r w:rsidRPr="005930C6">
        <w:rPr>
          <w:rFonts w:cs="Arial"/>
          <w:b/>
          <w:bCs/>
          <w:highlight w:val="yellow"/>
          <w:u w:val="single"/>
          <w:rtl/>
        </w:rPr>
        <w:t xml:space="preserve">"מתחם המידתיות", </w:t>
      </w:r>
      <w:r>
        <w:rPr>
          <w:rFonts w:cs="Arial" w:hint="cs"/>
          <w:b/>
          <w:bCs/>
          <w:highlight w:val="yellow"/>
          <w:u w:val="single"/>
          <w:rtl/>
        </w:rPr>
        <w:t xml:space="preserve">ג. </w:t>
      </w:r>
      <w:r w:rsidRPr="005930C6">
        <w:rPr>
          <w:rFonts w:cs="Arial" w:hint="cs"/>
          <w:b/>
          <w:bCs/>
          <w:highlight w:val="yellow"/>
          <w:u w:val="single"/>
          <w:rtl/>
        </w:rPr>
        <w:t>סוגיית "</w:t>
      </w:r>
      <w:r w:rsidRPr="005930C6">
        <w:rPr>
          <w:rFonts w:cs="Arial"/>
          <w:b/>
          <w:bCs/>
          <w:highlight w:val="yellow"/>
          <w:u w:val="single"/>
          <w:rtl/>
        </w:rPr>
        <w:t xml:space="preserve">מדרג </w:t>
      </w:r>
      <w:r w:rsidRPr="005930C6">
        <w:rPr>
          <w:rFonts w:cs="Arial" w:hint="cs"/>
          <w:b/>
          <w:bCs/>
          <w:highlight w:val="yellow"/>
          <w:u w:val="single"/>
          <w:rtl/>
        </w:rPr>
        <w:t>ה</w:t>
      </w:r>
      <w:r w:rsidRPr="005930C6">
        <w:rPr>
          <w:rFonts w:cs="Arial"/>
          <w:b/>
          <w:bCs/>
          <w:highlight w:val="yellow"/>
          <w:u w:val="single"/>
          <w:rtl/>
        </w:rPr>
        <w:t>זכויות</w:t>
      </w:r>
      <w:r w:rsidRPr="005930C6">
        <w:rPr>
          <w:rFonts w:cs="Arial" w:hint="cs"/>
          <w:b/>
          <w:bCs/>
          <w:highlight w:val="yellow"/>
          <w:u w:val="single"/>
          <w:rtl/>
        </w:rPr>
        <w:t>"</w:t>
      </w:r>
    </w:p>
    <w:p w:rsidR="005366A8" w:rsidRDefault="005366A8" w:rsidP="005366A8">
      <w:pPr>
        <w:jc w:val="center"/>
        <w:rPr>
          <w:szCs w:val="22"/>
          <w:rtl/>
        </w:rPr>
      </w:pPr>
      <w:r w:rsidRPr="00405C87">
        <w:rPr>
          <w:highlight w:val="yellow"/>
          <w:u w:val="single"/>
          <w:rtl/>
        </w:rPr>
        <w:t xml:space="preserve">בג"צ 450/97 </w:t>
      </w:r>
      <w:r w:rsidRPr="00405C87">
        <w:rPr>
          <w:b/>
          <w:bCs/>
          <w:highlight w:val="yellow"/>
          <w:u w:val="single"/>
          <w:rtl/>
        </w:rPr>
        <w:t>תנופה נ' שר העבודה</w:t>
      </w:r>
      <w:r w:rsidRPr="00405C87">
        <w:rPr>
          <w:highlight w:val="yellow"/>
          <w:u w:val="single"/>
          <w:rtl/>
        </w:rPr>
        <w:t>, פ"ד נב(2) 433</w:t>
      </w:r>
      <w:r w:rsidRPr="00405C87">
        <w:rPr>
          <w:szCs w:val="22"/>
          <w:highlight w:val="yellow"/>
          <w:u w:val="single"/>
          <w:rtl/>
        </w:rPr>
        <w:t xml:space="preserve"> </w:t>
      </w:r>
      <w:r w:rsidRPr="00405C87">
        <w:rPr>
          <w:rFonts w:hint="cs"/>
          <w:szCs w:val="22"/>
          <w:highlight w:val="yellow"/>
          <w:u w:val="single"/>
          <w:rtl/>
        </w:rPr>
        <w:t>(1998)</w:t>
      </w:r>
      <w:r w:rsidRPr="00805D15">
        <w:rPr>
          <w:rFonts w:hint="cs"/>
          <w:szCs w:val="22"/>
          <w:u w:val="single"/>
          <w:rtl/>
        </w:rPr>
        <w:t xml:space="preserve"> </w:t>
      </w:r>
      <w:r>
        <w:rPr>
          <w:szCs w:val="22"/>
          <w:rtl/>
        </w:rPr>
        <w:t>[ההדגשות הוספו]</w:t>
      </w:r>
    </w:p>
    <w:p w:rsidR="005366A8" w:rsidRDefault="005366A8" w:rsidP="005366A8">
      <w:pPr>
        <w:rPr>
          <w:rFonts w:cs="FrankRuehl"/>
          <w:b/>
          <w:bCs/>
          <w:sz w:val="22"/>
          <w:szCs w:val="22"/>
          <w:rtl/>
        </w:rPr>
      </w:pPr>
    </w:p>
    <w:p w:rsidR="005366A8" w:rsidRPr="005930C6" w:rsidRDefault="005366A8" w:rsidP="005366A8">
      <w:pPr>
        <w:spacing w:after="120"/>
        <w:rPr>
          <w:rFonts w:cs="FrankRuehl"/>
          <w:b/>
          <w:bCs/>
          <w:sz w:val="22"/>
          <w:szCs w:val="22"/>
          <w:rtl/>
        </w:rPr>
      </w:pPr>
      <w:r w:rsidRPr="005930C6">
        <w:rPr>
          <w:rFonts w:cs="FrankRuehl"/>
          <w:b/>
          <w:bCs/>
          <w:sz w:val="22"/>
          <w:szCs w:val="22"/>
          <w:rtl/>
        </w:rPr>
        <w:t>טענת חברות כח אדם כי החוק הדורש רישוי לעיסוק זה ותנאי הרישוי נוגד את חוק יסוד: חופש העיסוק</w:t>
      </w:r>
      <w:r>
        <w:rPr>
          <w:rFonts w:cs="FrankRuehl" w:hint="cs"/>
          <w:b/>
          <w:bCs/>
          <w:sz w:val="22"/>
          <w:szCs w:val="22"/>
          <w:rtl/>
        </w:rPr>
        <w:t xml:space="preserve">. </w:t>
      </w:r>
      <w:r w:rsidRPr="005930C6">
        <w:rPr>
          <w:rFonts w:cs="FrankRuehl"/>
          <w:b/>
          <w:bCs/>
          <w:sz w:val="22"/>
          <w:szCs w:val="22"/>
          <w:rtl/>
        </w:rPr>
        <w:t>חוק העסקת עובדים על ידי קבלני כוח אדם, התשנ"ו-1996, קובע חובת רישוי על קבלן כוח אדם. החוק קובע תנאים למתן רשיון. אחד מאלה דורש ממי שמבקש לעסוק כקבלן כוח אדם להמציא ערבות בנקאית או ערבות מתאימה אחרת למילוי חובותיו כלפי עובדיו. האם דרישה זו היא חוקתית?</w:t>
      </w:r>
    </w:p>
    <w:p w:rsidR="005366A8" w:rsidRPr="00F62266" w:rsidRDefault="005366A8" w:rsidP="005366A8">
      <w:pPr>
        <w:spacing w:after="120"/>
        <w:rPr>
          <w:rFonts w:cs="FrankRuehl"/>
          <w:b/>
          <w:bCs/>
          <w:i/>
          <w:iCs/>
          <w:sz w:val="22"/>
          <w:szCs w:val="22"/>
          <w:u w:val="single"/>
          <w:rtl/>
        </w:rPr>
      </w:pPr>
      <w:r w:rsidRPr="00F62266">
        <w:rPr>
          <w:rFonts w:cs="FrankRuehl"/>
          <w:b/>
          <w:bCs/>
          <w:i/>
          <w:iCs/>
          <w:sz w:val="22"/>
          <w:szCs w:val="22"/>
          <w:u w:val="single"/>
          <w:rtl/>
        </w:rPr>
        <w:t>הנשיא ברק</w:t>
      </w:r>
    </w:p>
    <w:p w:rsidR="005366A8" w:rsidRPr="00F62266" w:rsidRDefault="005366A8" w:rsidP="005366A8">
      <w:pPr>
        <w:rPr>
          <w:rFonts w:cs="FrankRuehl"/>
          <w:sz w:val="22"/>
          <w:szCs w:val="22"/>
          <w:rtl/>
        </w:rPr>
      </w:pPr>
      <w:r w:rsidRPr="00F62266">
        <w:rPr>
          <w:rFonts w:cs="FrankRuehl"/>
          <w:sz w:val="22"/>
          <w:szCs w:val="22"/>
          <w:rtl/>
        </w:rPr>
        <w:t>6. כאשר בית משפט נתקל בטענה כי חיקוק אינו חוקתי בהיותו סותר לחוק-יסוד, מן הראוי הוא - למען בהירות הניתוח ודיוק החשיבה - שיבחן את הטענה בשלושה שלבים (ראה ע"א 6821/93 בנק המזרחי המאוחד בע"מ נ' מגדל כפר שיתופי, פ"ד מט(4) 222, 428).</w:t>
      </w:r>
    </w:p>
    <w:p w:rsidR="005366A8" w:rsidRPr="00F62266" w:rsidRDefault="005366A8" w:rsidP="005366A8">
      <w:pPr>
        <w:rPr>
          <w:rFonts w:cs="FrankRuehl"/>
          <w:sz w:val="22"/>
          <w:szCs w:val="22"/>
          <w:rtl/>
        </w:rPr>
      </w:pPr>
      <w:r w:rsidRPr="00F62266">
        <w:rPr>
          <w:rFonts w:cs="FrankRuehl"/>
          <w:b/>
          <w:bCs/>
          <w:sz w:val="22"/>
          <w:szCs w:val="22"/>
          <w:rtl/>
        </w:rPr>
        <w:t>בשלב הראשון נבחנה השאלה אם החיקוק פוגע בהסדר המעוגן בחוק-יסוד</w:t>
      </w:r>
      <w:r w:rsidRPr="00F62266">
        <w:rPr>
          <w:rFonts w:cs="FrankRuehl"/>
          <w:sz w:val="22"/>
          <w:szCs w:val="22"/>
          <w:rtl/>
        </w:rPr>
        <w:t xml:space="preserve">. כאשר הטענה הינה לפגיעה בזכות אדם, יש לבחון אם החיקוק פוגע בזכות אדם המעוגנת בחוק היסוד.  בחינה זו מתחלקת לשני שלבי משנה. שלב המשנה הראשון, עניינו </w:t>
      </w:r>
      <w:r w:rsidRPr="00F62266">
        <w:rPr>
          <w:rFonts w:cs="FrankRuehl"/>
          <w:b/>
          <w:bCs/>
          <w:sz w:val="22"/>
          <w:szCs w:val="22"/>
          <w:rtl/>
        </w:rPr>
        <w:t>פירוש ההוראה החוקתית</w:t>
      </w:r>
      <w:r w:rsidRPr="00F62266">
        <w:rPr>
          <w:rFonts w:cs="FrankRuehl"/>
          <w:sz w:val="22"/>
          <w:szCs w:val="22"/>
          <w:rtl/>
        </w:rPr>
        <w:t>.  תפקידו של שלב זה לקבוע את היקף הפריסה של ההסדר החוקתי. כאשר הטענה נוגעת לפגיעה בזכות אדם חוקתית, על בית המשפט לקבוע את היקף הפריסה של זכות האדם המעוגנת בחוק היסוד. בחינה זו נעשית על פי הכללים הנוהגים במשפטנו בדבר פרשנות הוראות חוקתיות. זוהי הפרשנות החוקתית (</w:t>
      </w:r>
      <w:r w:rsidRPr="00F62266">
        <w:rPr>
          <w:rFonts w:cs="FrankRuehl"/>
          <w:sz w:val="22"/>
          <w:szCs w:val="22"/>
        </w:rPr>
        <w:t>…</w:t>
      </w:r>
      <w:r w:rsidRPr="00F62266">
        <w:rPr>
          <w:rFonts w:cs="FrankRuehl"/>
          <w:sz w:val="22"/>
          <w:szCs w:val="22"/>
          <w:rtl/>
        </w:rPr>
        <w:t>). כללים אלה הם חלק מתורת הפרשנות שלנו. כמו כל טקסט משפטי, גם הטקסט החוקתי מתפרש על פי הפרשנות התכליתית. עם זאת, אופיו של הטקסט משפיע על פרשנותו התכליתית. [</w:t>
      </w:r>
      <w:r w:rsidRPr="00F62266">
        <w:rPr>
          <w:rFonts w:cs="FrankRuehl"/>
          <w:sz w:val="22"/>
          <w:szCs w:val="22"/>
        </w:rPr>
        <w:t>…</w:t>
      </w:r>
      <w:r w:rsidRPr="00F62266">
        <w:rPr>
          <w:rFonts w:cs="FrankRuehl"/>
          <w:sz w:val="22"/>
          <w:szCs w:val="22"/>
          <w:rtl/>
        </w:rPr>
        <w:t>] "לא הרי פירושה של הוראה רגילה כהרי פירושה של הוראת יסוד חוקתית" (</w:t>
      </w:r>
      <w:r w:rsidRPr="00F62266">
        <w:rPr>
          <w:rFonts w:cs="FrankRuehl"/>
          <w:sz w:val="22"/>
          <w:szCs w:val="22"/>
        </w:rPr>
        <w:t>…</w:t>
      </w:r>
      <w:r w:rsidRPr="00F62266">
        <w:rPr>
          <w:rFonts w:cs="FrankRuehl"/>
          <w:sz w:val="22"/>
          <w:szCs w:val="22"/>
          <w:rtl/>
        </w:rPr>
        <w:t xml:space="preserve">). שלב המשנה השני, עניינו </w:t>
      </w:r>
      <w:r w:rsidRPr="00F62266">
        <w:rPr>
          <w:rFonts w:cs="FrankRuehl"/>
          <w:b/>
          <w:bCs/>
          <w:sz w:val="22"/>
          <w:szCs w:val="22"/>
          <w:rtl/>
        </w:rPr>
        <w:t>פירושו של החיקוק שלפי הטענה פוגע בהסדר החוקתי</w:t>
      </w:r>
      <w:r w:rsidRPr="00F62266">
        <w:rPr>
          <w:rFonts w:cs="FrankRuehl"/>
          <w:sz w:val="22"/>
          <w:szCs w:val="22"/>
          <w:rtl/>
        </w:rPr>
        <w:t>. פרשנות זו נעשית על פי הכללים המקובלים עלינו בפרשנות החקיקה. בין שני שלבי המשנה קיים קשר הדוק. קשר זה מתבטא, בין השאר, בחזקה כי תכליתו של חיקוק תואמת את חוק היסוד. אכן, אנו שואפים להרמוניה נורמטיבית; אנו שואפים לאחדות חוקתית. עמדתי על כך באחת הפרשות, בצייני:</w:t>
      </w:r>
      <w:r w:rsidRPr="00F62266">
        <w:rPr>
          <w:rFonts w:cs="FrankRuehl" w:hint="cs"/>
          <w:sz w:val="22"/>
          <w:szCs w:val="22"/>
          <w:rtl/>
        </w:rPr>
        <w:t xml:space="preserve"> </w:t>
      </w:r>
      <w:r w:rsidRPr="00F62266">
        <w:rPr>
          <w:rFonts w:cs="FrankRuehl"/>
          <w:b/>
          <w:bCs/>
          <w:sz w:val="22"/>
          <w:szCs w:val="22"/>
          <w:rtl/>
        </w:rPr>
        <w:t xml:space="preserve">"מבין שני פירושים </w:t>
      </w:r>
      <w:r w:rsidRPr="00F62266">
        <w:rPr>
          <w:rFonts w:cs="FrankRuehl"/>
          <w:b/>
          <w:bCs/>
          <w:i/>
          <w:iCs/>
          <w:sz w:val="22"/>
          <w:szCs w:val="22"/>
          <w:rtl/>
        </w:rPr>
        <w:t>אפשריים</w:t>
      </w:r>
      <w:r w:rsidRPr="00F62266">
        <w:rPr>
          <w:rFonts w:cs="FrankRuehl"/>
          <w:b/>
          <w:bCs/>
          <w:sz w:val="22"/>
          <w:szCs w:val="22"/>
          <w:rtl/>
        </w:rPr>
        <w:t>, יש לבחור באותו פירוש המתיישב עם החוקה"</w:t>
      </w:r>
      <w:r w:rsidRPr="00F62266">
        <w:rPr>
          <w:rFonts w:cs="FrankRuehl"/>
          <w:sz w:val="22"/>
          <w:szCs w:val="22"/>
          <w:rtl/>
        </w:rPr>
        <w:t xml:space="preserve"> (בג"צ 4562/92 הנ"ל, פסקה 19).</w:t>
      </w:r>
    </w:p>
    <w:p w:rsidR="005366A8" w:rsidRPr="00F62266" w:rsidRDefault="005366A8" w:rsidP="005366A8">
      <w:pPr>
        <w:rPr>
          <w:rFonts w:cs="FrankRuehl"/>
          <w:sz w:val="22"/>
          <w:szCs w:val="22"/>
          <w:rtl/>
        </w:rPr>
      </w:pPr>
      <w:r w:rsidRPr="00F62266">
        <w:rPr>
          <w:rFonts w:cs="FrankRuehl"/>
          <w:sz w:val="22"/>
          <w:szCs w:val="22"/>
          <w:rtl/>
        </w:rPr>
        <w:t>כמובן, "חזקת החוקתיות" ניתנת לסתירה; הפירוש התואם עשוי שלא להיות סביר. בכל המקרים הללו נוצר עימות בין החוקה לחוק, בין חוק היסוד לחיקוק הפוגע בזכות המעוגנת בו.  עימות זה אינו גורר אחריו בהכרח אי חוקתיות החוק, שכן יתכן והפגיעה בהסדר החוקתי היא חוקתית. עניין זה נבחן בשלב השני מבין שלושת שלבי הבחינה החוקתית.</w:t>
      </w:r>
    </w:p>
    <w:p w:rsidR="005366A8" w:rsidRPr="00F62266" w:rsidRDefault="005366A8" w:rsidP="005366A8">
      <w:pPr>
        <w:rPr>
          <w:rFonts w:cs="FrankRuehl"/>
          <w:sz w:val="22"/>
          <w:szCs w:val="22"/>
          <w:rtl/>
        </w:rPr>
      </w:pPr>
    </w:p>
    <w:p w:rsidR="005366A8" w:rsidRPr="00F62266" w:rsidRDefault="005366A8" w:rsidP="005366A8">
      <w:pPr>
        <w:rPr>
          <w:rFonts w:cs="FrankRuehl"/>
          <w:sz w:val="22"/>
          <w:szCs w:val="22"/>
          <w:rtl/>
        </w:rPr>
      </w:pPr>
      <w:r w:rsidRPr="00F62266">
        <w:rPr>
          <w:rFonts w:cs="FrankRuehl"/>
          <w:sz w:val="22"/>
          <w:szCs w:val="22"/>
          <w:rtl/>
        </w:rPr>
        <w:t xml:space="preserve">7. </w:t>
      </w:r>
      <w:r w:rsidRPr="00F62266">
        <w:rPr>
          <w:rFonts w:cs="FrankRuehl"/>
          <w:b/>
          <w:bCs/>
          <w:sz w:val="22"/>
          <w:szCs w:val="22"/>
          <w:rtl/>
        </w:rPr>
        <w:t>השלב השני בוחן אם הפגיעה בהסדר החוקתי נעשתה על פי ההוראות החוקתיות עצמן</w:t>
      </w:r>
      <w:r w:rsidRPr="00F62266">
        <w:rPr>
          <w:rFonts w:cs="FrankRuehl"/>
          <w:sz w:val="22"/>
          <w:szCs w:val="22"/>
          <w:rtl/>
        </w:rPr>
        <w:t xml:space="preserve">. כאשר הפגיעה הינה בזכות אדם המעוגנת בחוק-יסוד: כבוד האדם וחירותו וחוק-יסוד: חופש העיסוק, הבחינה הינה אם הפגיעה בזכות האדם עולה בקנה אחד עם </w:t>
      </w:r>
      <w:r w:rsidRPr="00F62266">
        <w:rPr>
          <w:rFonts w:cs="FrankRuehl"/>
          <w:b/>
          <w:bCs/>
          <w:sz w:val="22"/>
          <w:szCs w:val="22"/>
          <w:rtl/>
        </w:rPr>
        <w:t>פסקת ההגבלה</w:t>
      </w:r>
      <w:r w:rsidRPr="00F62266">
        <w:rPr>
          <w:rFonts w:cs="FrankRuehl"/>
          <w:sz w:val="22"/>
          <w:szCs w:val="22"/>
          <w:rtl/>
        </w:rPr>
        <w:t xml:space="preserve"> שבחוקי היסוד (סעיף 8 לחוק-יסוד: כבוד האדם וחירותו; סעיף 4 לחוק-יסוד: חופש העיסוק).  אכן, זכויות האדם אינן מוחלטות. ניתן לפגוע בהן כדי לקדם יעדים לאומיים. ראוי לפגוע בהן כדי לקיים מסגרת חברתית השומרת על זכויות האדם. השמירה על זכויות האדם מחייבת הטלת חובות על האדם. בצד זכותו של הפרט כלפי הכלל עומדת חובתו של הפרט כלפי הכלל (השווה בג"צ 164/97 קונטרם בע"מ נ' משרד האוצר (טרם פורסם)). אם הפגיעה בהסדר החוקתי היא חוקתית, מסתיימת הבחינה החוקתית. אם הפגיעה אינה חוקתית, על השופט לעבור לשלב השלישי.</w:t>
      </w:r>
    </w:p>
    <w:p w:rsidR="005366A8" w:rsidRPr="00F62266" w:rsidRDefault="005366A8" w:rsidP="005366A8">
      <w:pPr>
        <w:rPr>
          <w:rFonts w:cs="FrankRuehl"/>
          <w:sz w:val="22"/>
          <w:szCs w:val="22"/>
          <w:rtl/>
        </w:rPr>
      </w:pPr>
    </w:p>
    <w:p w:rsidR="005366A8" w:rsidRPr="00F62266" w:rsidRDefault="005366A8" w:rsidP="005366A8">
      <w:pPr>
        <w:rPr>
          <w:rFonts w:cs="FrankRuehl"/>
          <w:sz w:val="22"/>
          <w:szCs w:val="22"/>
          <w:rtl/>
        </w:rPr>
      </w:pPr>
      <w:r w:rsidRPr="00F62266">
        <w:rPr>
          <w:rFonts w:cs="FrankRuehl"/>
          <w:sz w:val="22"/>
          <w:szCs w:val="22"/>
          <w:rtl/>
        </w:rPr>
        <w:t xml:space="preserve">8. </w:t>
      </w:r>
      <w:r w:rsidRPr="00F62266">
        <w:rPr>
          <w:rFonts w:cs="FrankRuehl"/>
          <w:b/>
          <w:bCs/>
          <w:sz w:val="22"/>
          <w:szCs w:val="22"/>
          <w:rtl/>
        </w:rPr>
        <w:t>השלב השלישי הוא השלב התרופתי</w:t>
      </w:r>
      <w:r w:rsidRPr="00F62266">
        <w:rPr>
          <w:rFonts w:cs="FrankRuehl"/>
          <w:sz w:val="22"/>
          <w:szCs w:val="22"/>
          <w:rtl/>
        </w:rPr>
        <w:t>. בגדרו של זה נבחנות התוצאות של אי החוקתיות. ניתנת תשובה לשאלה מה תוקפו של החיקוק הלא-חוקתי? מה דינן של פעולות (אזרחיות ופליליות) שנעשו מכוחו? האם הפגם בחיקוק פועל רטרואקטיבית, אקטיבית או פרוספקטיבית? באלו נסיבות ובאלו תנאים ישהה בית המשפט את הכרזתו כי החיקוק בטל (ראה בג"צ 1715/97 לשכת מנהלי ההשקעות בישראל נ' שר האוצר (טרם פורסם)). אכן, אי החוקתיות של חיקוק אינה עניין מופשט המונח בחללה של השיטה. זהו עניין קונקרטי המחייב הכרעה שיפוטית הקובעת תוצאות מעשיות מבחינת התחולה בזמן, במקום ובצדדים.</w:t>
      </w:r>
    </w:p>
    <w:p w:rsidR="005366A8" w:rsidRPr="00F62266" w:rsidRDefault="005366A8" w:rsidP="005366A8">
      <w:pPr>
        <w:rPr>
          <w:rFonts w:cs="FrankRuehl"/>
          <w:sz w:val="22"/>
          <w:szCs w:val="22"/>
          <w:rtl/>
        </w:rPr>
      </w:pPr>
    </w:p>
    <w:p w:rsidR="005366A8" w:rsidRPr="00F62266" w:rsidRDefault="005366A8" w:rsidP="005366A8">
      <w:pPr>
        <w:rPr>
          <w:rFonts w:cs="FrankRuehl"/>
          <w:sz w:val="22"/>
          <w:szCs w:val="22"/>
          <w:rtl/>
        </w:rPr>
      </w:pPr>
      <w:r w:rsidRPr="00F62266">
        <w:rPr>
          <w:rFonts w:cs="FrankRuehl"/>
          <w:sz w:val="22"/>
          <w:szCs w:val="22"/>
          <w:rtl/>
        </w:rPr>
        <w:t>10. [</w:t>
      </w:r>
      <w:r w:rsidRPr="00F62266">
        <w:rPr>
          <w:rFonts w:cs="FrankRuehl"/>
          <w:sz w:val="22"/>
          <w:szCs w:val="22"/>
        </w:rPr>
        <w:t>…</w:t>
      </w:r>
      <w:r w:rsidRPr="00F62266">
        <w:rPr>
          <w:rFonts w:cs="FrankRuehl"/>
          <w:sz w:val="22"/>
          <w:szCs w:val="22"/>
          <w:rtl/>
        </w:rPr>
        <w:t xml:space="preserve">] </w:t>
      </w:r>
      <w:r w:rsidRPr="00F62266">
        <w:rPr>
          <w:rFonts w:cs="FrankRuehl"/>
          <w:b/>
          <w:bCs/>
          <w:sz w:val="22"/>
          <w:szCs w:val="22"/>
          <w:rtl/>
        </w:rPr>
        <w:t>האם תנאיה של פסקת ההגבלה מתקיימים בעתירות שלפנינו?</w:t>
      </w:r>
      <w:r w:rsidRPr="00F62266">
        <w:rPr>
          <w:rFonts w:cs="FrankRuehl"/>
          <w:sz w:val="22"/>
          <w:szCs w:val="22"/>
          <w:rtl/>
        </w:rPr>
        <w:t xml:space="preserve"> אין מחלוקת בין הצדדים כי הפגיעה של חוק קבלני כוח אדם היא </w:t>
      </w:r>
      <w:r w:rsidRPr="00F62266">
        <w:rPr>
          <w:rFonts w:cs="FrankRuehl"/>
          <w:b/>
          <w:bCs/>
          <w:sz w:val="22"/>
          <w:szCs w:val="22"/>
          <w:rtl/>
        </w:rPr>
        <w:t>פגיעה "בחוק",</w:t>
      </w:r>
      <w:r w:rsidRPr="00F62266">
        <w:rPr>
          <w:rFonts w:cs="FrankRuehl"/>
          <w:sz w:val="22"/>
          <w:szCs w:val="22"/>
          <w:rtl/>
        </w:rPr>
        <w:t xml:space="preserve"> וכי הפגיעה של תקנות הערובה היא "מכוח הסמכה מפורשת" בחוק. טענות הצדדים התמקדו בשניים מהתנאים הקבועים בפסקת ההגבלה: התכלית הראויה וטיב האמצעים. לבחינתם של אלה נפנה עתה.</w:t>
      </w:r>
    </w:p>
    <w:p w:rsidR="005366A8" w:rsidRPr="00F62266" w:rsidRDefault="005366A8" w:rsidP="005366A8">
      <w:pPr>
        <w:rPr>
          <w:rFonts w:cs="FrankRuehl"/>
          <w:sz w:val="22"/>
          <w:szCs w:val="22"/>
          <w:rtl/>
        </w:rPr>
      </w:pPr>
    </w:p>
    <w:p w:rsidR="005366A8" w:rsidRPr="00F62266" w:rsidRDefault="005366A8" w:rsidP="005366A8">
      <w:pPr>
        <w:rPr>
          <w:rFonts w:cs="FrankRuehl"/>
          <w:sz w:val="22"/>
          <w:szCs w:val="22"/>
          <w:rtl/>
        </w:rPr>
      </w:pPr>
      <w:r w:rsidRPr="00F62266">
        <w:rPr>
          <w:rFonts w:cs="FrankRuehl"/>
          <w:sz w:val="22"/>
          <w:szCs w:val="22"/>
          <w:rtl/>
        </w:rPr>
        <w:t xml:space="preserve">12. נראה לי כי התכלית המונחת ביסוד חוק קבלני כוח אדם בכלל והדרישות בעניין הערובה בפרט, הנה </w:t>
      </w:r>
      <w:r w:rsidRPr="00F62266">
        <w:rPr>
          <w:rFonts w:cs="FrankRuehl"/>
          <w:b/>
          <w:bCs/>
          <w:sz w:val="22"/>
          <w:szCs w:val="22"/>
          <w:rtl/>
        </w:rPr>
        <w:t>תכלית ראויה</w:t>
      </w:r>
      <w:r w:rsidRPr="00F62266">
        <w:rPr>
          <w:rFonts w:cs="FrankRuehl"/>
          <w:sz w:val="22"/>
          <w:szCs w:val="22"/>
          <w:rtl/>
        </w:rPr>
        <w:t>. היא נועדה להבטיח את זכויות העובד ורווחתו. היא באה למנוע פגיעה חמורה בבטחון הסוציאלי של העובד. כל אלה הן תכליות ראויות. הן משרתות מטרה חברתית חשובה הרגישה לזכויות האדם. בפרשת בנק המזרחי המאוחד ציינתי כי:</w:t>
      </w:r>
    </w:p>
    <w:p w:rsidR="005366A8" w:rsidRPr="00F62266" w:rsidRDefault="005366A8" w:rsidP="005366A8">
      <w:pPr>
        <w:ind w:left="720"/>
        <w:rPr>
          <w:rFonts w:cs="FrankRuehl"/>
          <w:sz w:val="22"/>
          <w:szCs w:val="22"/>
          <w:rtl/>
        </w:rPr>
      </w:pPr>
      <w:r w:rsidRPr="00F62266">
        <w:rPr>
          <w:rFonts w:cs="FrankRuehl"/>
          <w:sz w:val="22"/>
          <w:szCs w:val="22"/>
          <w:rtl/>
        </w:rPr>
        <w:t>"תכלית היא ראויה, אם היא נועדה להגשים מטרות חברתיות חשובות לקיומה של מסגרת חברתית שמכירה בחשיבותן החוקתית של זכויות האדם ובצורך להגן עליהן" (שם, עמ' 435).</w:t>
      </w:r>
    </w:p>
    <w:p w:rsidR="005366A8" w:rsidRPr="00F62266" w:rsidRDefault="005366A8" w:rsidP="005366A8">
      <w:pPr>
        <w:rPr>
          <w:rFonts w:cs="FrankRuehl"/>
          <w:sz w:val="22"/>
          <w:szCs w:val="22"/>
          <w:rtl/>
        </w:rPr>
      </w:pPr>
      <w:r w:rsidRPr="00F62266">
        <w:rPr>
          <w:rFonts w:cs="FrankRuehl"/>
          <w:sz w:val="22"/>
          <w:szCs w:val="22"/>
          <w:rtl/>
        </w:rPr>
        <w:t>מבחן זה מתקיים בעתירות שלפנינו. הגנה על זכויות העובד היא תכלית ראויה; הבטחת בטחון סוציאלי לעובד היא תכלית ראויה; שמירת המסגרת של חוקי מגן שתגן על עובדים היא תכלית ראויה. אכן, הגנה זו על זכויות העובד היא בעלת חשיבות חברתית בסיסית בחברה שלנו. היא מהווה תכלית ראויה מהבחינה החוקתית. בצדק ציינו המשיבים, כי קיים צורך חברתי חיוני בהסדרת העיסוק כקבלן כוח אדם ובהגנה על האינטרס של ציבור עובדים חלש במיוחד.</w:t>
      </w:r>
    </w:p>
    <w:p w:rsidR="005366A8" w:rsidRPr="00F62266" w:rsidRDefault="005366A8" w:rsidP="005366A8">
      <w:pPr>
        <w:rPr>
          <w:rFonts w:cs="FrankRuehl"/>
          <w:sz w:val="22"/>
          <w:szCs w:val="22"/>
          <w:rtl/>
        </w:rPr>
      </w:pPr>
    </w:p>
    <w:p w:rsidR="005366A8" w:rsidRPr="00F62266" w:rsidRDefault="005366A8" w:rsidP="005366A8">
      <w:pPr>
        <w:rPr>
          <w:rFonts w:cs="FrankRuehl"/>
          <w:sz w:val="22"/>
          <w:szCs w:val="22"/>
          <w:rtl/>
        </w:rPr>
      </w:pPr>
      <w:r w:rsidRPr="00F62266">
        <w:rPr>
          <w:rFonts w:cs="FrankRuehl"/>
          <w:sz w:val="22"/>
          <w:szCs w:val="22"/>
          <w:rtl/>
        </w:rPr>
        <w:t>13. חוקתיותה של חקיקה הפוגעת בזכות אדם חוקתית מותנית, בין השאר, בכך, ש</w:t>
      </w:r>
      <w:r w:rsidRPr="00F62266">
        <w:rPr>
          <w:rFonts w:cs="FrankRuehl"/>
          <w:b/>
          <w:bCs/>
          <w:sz w:val="22"/>
          <w:szCs w:val="22"/>
          <w:rtl/>
        </w:rPr>
        <w:t>הפגיעה בזכות החוקתית "אינה עולה על הנדרש". זהו מבחן של מידתיות (</w:t>
      </w:r>
      <w:r w:rsidRPr="00F62266">
        <w:rPr>
          <w:rFonts w:cs="FrankRuehl"/>
          <w:b/>
          <w:bCs/>
          <w:sz w:val="22"/>
          <w:szCs w:val="22"/>
        </w:rPr>
        <w:t>proportionality</w:t>
      </w:r>
      <w:r w:rsidRPr="00F62266">
        <w:rPr>
          <w:rFonts w:cs="FrankRuehl"/>
          <w:b/>
          <w:bCs/>
          <w:sz w:val="22"/>
          <w:szCs w:val="22"/>
          <w:rtl/>
        </w:rPr>
        <w:t>).</w:t>
      </w:r>
      <w:r w:rsidRPr="00F62266">
        <w:rPr>
          <w:rFonts w:cs="FrankRuehl"/>
          <w:sz w:val="22"/>
          <w:szCs w:val="22"/>
          <w:rtl/>
        </w:rPr>
        <w:t xml:space="preserve">  על פיו, האמצעי שנבחר על ידי המחוקק, צריך שיהא מתאים להשגת התכלית; שפגיעתו בזכות החוקתית תהא הפחותה; ושיתקיים יחס ראוי בין התועלת הצומחת מהגשמת התכלית לבין הנזק הנגרם בשל פגיעה בזכות החוקתית (</w:t>
      </w:r>
      <w:r w:rsidRPr="00F62266">
        <w:rPr>
          <w:rFonts w:cs="FrankRuehl"/>
          <w:sz w:val="22"/>
          <w:szCs w:val="22"/>
        </w:rPr>
        <w:t>…</w:t>
      </w:r>
      <w:r w:rsidRPr="00F62266">
        <w:rPr>
          <w:rFonts w:cs="FrankRuehl"/>
          <w:sz w:val="22"/>
          <w:szCs w:val="22"/>
          <w:rtl/>
        </w:rPr>
        <w:t>). האם תנאים אלה מתקיימים בעתירות שלפנינו? גדר המחלוקת בין הצדדים סובב סביב החובה להמציא ערובה (בין ערובה בנקאית ובין ערובה מתאימה אחרת). נטען בפנינו כי אין כל סיבה להבחין בין קבלני כוח האדם (עליהם מוטלת חובת ערובה) לבין מעבידים אחרים (עליהם אינה מוטלת חובה לערובה). ההבחנה בין קבלני כוח אדם לבין מעבידים אחרים הינה, לטענת העותרות, מפלה. כמו כן נטען בפנינו, כי הערובה הנדרשת הינה אמצעי שאינו מתאים להשגת התכלית הראויה. הטעם לכך הוא שאמצעי זה מעמיד את קבלני כוח אדם בפני סכנה ממשית של חוסר יכולת לעמוד בהתחייבויותיהם. זאת ועוד: ניתן להשיג את התכלית הראויה באמצעים שפגיעתם בחופש העיסוק של העותרות קטנה יותר מהפגיעה הנגרמת להם על ידי דרישת הערובה. לדעת העותרות ניתן להגן על זכויות העובדים באמצעות המוסדות הקיימים (האיגוד המקצועי, מערכת בתי הדין לעבודה, חוקי הביטוח הלאומי ומערכת ההוצאה לפועל), ואין צורך בהטלת חובת ערובה על העותרות. לבסוף, נטען כי הפגיעה שנפגעות העותרות מדרישות הערובה היא לא מידתית ביחס לתועלת שתצמח מהערובה לעובדים.</w:t>
      </w:r>
    </w:p>
    <w:p w:rsidR="005366A8" w:rsidRPr="00F62266" w:rsidRDefault="005366A8" w:rsidP="005366A8">
      <w:pPr>
        <w:rPr>
          <w:rFonts w:cs="FrankRuehl"/>
          <w:sz w:val="22"/>
          <w:szCs w:val="22"/>
          <w:rtl/>
        </w:rPr>
      </w:pPr>
    </w:p>
    <w:p w:rsidR="005366A8" w:rsidRPr="00F62266" w:rsidRDefault="005366A8" w:rsidP="005366A8">
      <w:pPr>
        <w:rPr>
          <w:rFonts w:cs="FrankRuehl"/>
          <w:sz w:val="22"/>
          <w:szCs w:val="22"/>
          <w:rtl/>
        </w:rPr>
      </w:pPr>
      <w:r w:rsidRPr="00F62266">
        <w:rPr>
          <w:rFonts w:cs="FrankRuehl"/>
          <w:sz w:val="22"/>
          <w:szCs w:val="22"/>
          <w:rtl/>
        </w:rPr>
        <w:t>14. לא מצאתי ממש בטענות אלה. קיים שוני מהותי בין מעביד "רגיל" לבין מעביד שהוא קבלן כוח אדם. מעביד רגיל צריך לדאוג למקום עבודה ולאמצעי יצור, ואילו קבלן כוח אדם זקוק לשולחן וכסא. גם אם יש לו לקבלן כוח האדם אלפי עובדים - כפי שהדבר הוא במציאות -"כרית הבטחון" שיש לו להבטחת זכויות העובדים היא מינימלית; אין לו מבנים ואין לו מכונות מהם ניתן לפרוע החוב לעובדים. הוא מנייד עובדים ממקום למקום מבלי שאלה מתקשרים אליו; היום הוא קיים, מחר הוא איננו. בדיונים שהתקיימו בועדת העבודה והרווחה הובאו נתונים על הקלות היחסית בה ניתן להקים חברת כוח אדם ולהיעלם בין-לילה, תוך שהעובדים נשארים בלא משכורת ובלא כתובת אליה יוכלו לפנות. הובאו בפני הועדה מקרים של קבלני כוח אדם, אשר הפסיקו פעילותם ונעלמו מהשטח - אם מתוך שעזבו את הארץ ואם מתוך שפשטו רגל - והשאירו העובדים חסרי כל, בלא שיהא מי שידאג לזכויותיהם. כל אלה מצדיקים הבחנה בין מעביד רגיל - שאינו חייב בערובה - לבין קבלן כוח אדם - החייב בערובה כתנאי לעיסוקו.</w:t>
      </w:r>
    </w:p>
    <w:p w:rsidR="005366A8" w:rsidRPr="00F62266" w:rsidRDefault="005366A8" w:rsidP="005366A8">
      <w:pPr>
        <w:rPr>
          <w:rFonts w:cs="FrankRuehl"/>
          <w:sz w:val="22"/>
          <w:szCs w:val="22"/>
          <w:rtl/>
        </w:rPr>
      </w:pPr>
    </w:p>
    <w:p w:rsidR="005366A8" w:rsidRPr="00F62266" w:rsidRDefault="005366A8" w:rsidP="005366A8">
      <w:pPr>
        <w:rPr>
          <w:rFonts w:cs="FrankRuehl"/>
          <w:sz w:val="22"/>
          <w:szCs w:val="22"/>
          <w:rtl/>
        </w:rPr>
      </w:pPr>
      <w:r w:rsidRPr="00F62266">
        <w:rPr>
          <w:rFonts w:cs="FrankRuehl"/>
          <w:sz w:val="22"/>
          <w:szCs w:val="22"/>
          <w:rtl/>
        </w:rPr>
        <w:t>15. האמצעי שנקבע על ידי חוק קבלני כוח אדם - ערובה (בנקאית או ערובה מתאימה אחרת) - הוא אמצעי מידתי. קיים קשר רציונלי בין הטלת הערובה לבין השגת התכלית הראויה. האמצעי מתאים להשגת המטרה. אכן, על ידי הטלת חובת ערובה מבטיח החוק הגנה על זכויות העובדים כדי הערובה. אמצעי זה פגיעתו בחופש העיסוק של קבלני כוח האדם היא הפחותה. [</w:t>
      </w:r>
      <w:r w:rsidRPr="00F62266">
        <w:rPr>
          <w:rFonts w:cs="FrankRuehl"/>
          <w:sz w:val="22"/>
          <w:szCs w:val="22"/>
        </w:rPr>
        <w:t>…</w:t>
      </w:r>
      <w:r w:rsidRPr="00F62266">
        <w:rPr>
          <w:rFonts w:cs="FrankRuehl"/>
          <w:sz w:val="22"/>
          <w:szCs w:val="22"/>
          <w:rtl/>
        </w:rPr>
        <w:t>]</w:t>
      </w:r>
    </w:p>
    <w:p w:rsidR="005366A8" w:rsidRPr="00F62266" w:rsidRDefault="005366A8" w:rsidP="005366A8">
      <w:pPr>
        <w:rPr>
          <w:rFonts w:cs="FrankRuehl"/>
          <w:sz w:val="22"/>
          <w:szCs w:val="22"/>
          <w:rtl/>
        </w:rPr>
      </w:pPr>
    </w:p>
    <w:p w:rsidR="005366A8" w:rsidRPr="00F62266" w:rsidRDefault="005366A8" w:rsidP="005366A8">
      <w:pPr>
        <w:rPr>
          <w:rFonts w:cs="FrankRuehl"/>
          <w:sz w:val="22"/>
          <w:szCs w:val="22"/>
          <w:rtl/>
        </w:rPr>
      </w:pPr>
      <w:r w:rsidRPr="00F62266">
        <w:rPr>
          <w:rFonts w:cs="FrankRuehl"/>
          <w:sz w:val="22"/>
          <w:szCs w:val="22"/>
          <w:rtl/>
        </w:rPr>
        <w:t xml:space="preserve">16. הנה כי כן, חוק קבלני כוח אדם הוא חוקתי. אמת, הוא פוגע בחופש העיסוק. אך פגיעה בזכות חוקתית מוגנת, כשלעצמה, אינה עושה חוק ללא חוקתי. החוק הוא חוקתי, שכן הפגיעה בחופש העיסוק היא כדין. היא מקיימת את דרישותיה של פסקת ההגבלה. המקרה שלפנינו נראה לי כמקרה "קל". </w:t>
      </w:r>
      <w:r w:rsidRPr="00F62266">
        <w:rPr>
          <w:rFonts w:cs="FrankRuehl" w:hint="cs"/>
          <w:sz w:val="22"/>
          <w:szCs w:val="22"/>
          <w:rtl/>
        </w:rPr>
        <w:t>[...]</w:t>
      </w:r>
      <w:r w:rsidRPr="00F62266">
        <w:rPr>
          <w:rFonts w:cs="FrankRuehl"/>
          <w:sz w:val="22"/>
          <w:szCs w:val="22"/>
          <w:rtl/>
        </w:rPr>
        <w:t xml:space="preserve"> לאור מסקנתי כי חוק קבלני כוח אדם עובר את הבחינה החוקתית, ממילא אין צורך לבחון את השלב השלישי, שעניינו התרופות החוקתיות. לא הגענו לשלב זה, שכן החוק הוא חוקתי.</w:t>
      </w:r>
    </w:p>
    <w:p w:rsidR="005366A8" w:rsidRPr="00F62266" w:rsidRDefault="005366A8" w:rsidP="005366A8">
      <w:pPr>
        <w:rPr>
          <w:rFonts w:cs="FrankRuehl"/>
          <w:sz w:val="22"/>
          <w:szCs w:val="22"/>
          <w:rtl/>
        </w:rPr>
      </w:pPr>
    </w:p>
    <w:p w:rsidR="005366A8" w:rsidRPr="00F62266" w:rsidRDefault="005366A8" w:rsidP="005366A8">
      <w:pPr>
        <w:pStyle w:val="T-body"/>
        <w:spacing w:after="120" w:line="240" w:lineRule="auto"/>
        <w:rPr>
          <w:rFonts w:cs="FrankRuehl"/>
          <w:b/>
          <w:bCs/>
          <w:i/>
          <w:iCs/>
          <w:sz w:val="22"/>
          <w:szCs w:val="22"/>
          <w:u w:val="single"/>
          <w:rtl/>
        </w:rPr>
      </w:pPr>
      <w:r w:rsidRPr="00F62266">
        <w:rPr>
          <w:rFonts w:cs="FrankRuehl"/>
          <w:b/>
          <w:bCs/>
          <w:i/>
          <w:iCs/>
          <w:sz w:val="22"/>
          <w:szCs w:val="22"/>
          <w:u w:val="single"/>
          <w:rtl/>
        </w:rPr>
        <w:t>השופטת דורנר</w:t>
      </w:r>
      <w:r>
        <w:rPr>
          <w:rFonts w:cs="FrankRuehl" w:hint="cs"/>
          <w:b/>
          <w:bCs/>
          <w:i/>
          <w:iCs/>
          <w:sz w:val="22"/>
          <w:szCs w:val="22"/>
          <w:u w:val="single"/>
          <w:rtl/>
        </w:rPr>
        <w:t xml:space="preserve"> (ראו נקודות נוספות מטה, בדיון על "מידתיות ומבחניה")</w:t>
      </w:r>
    </w:p>
    <w:p w:rsidR="005366A8" w:rsidRPr="00F62266" w:rsidRDefault="005366A8" w:rsidP="005366A8">
      <w:pPr>
        <w:pStyle w:val="T-body"/>
        <w:spacing w:line="240" w:lineRule="auto"/>
        <w:rPr>
          <w:rFonts w:cs="FrankRuehl"/>
          <w:sz w:val="22"/>
          <w:szCs w:val="22"/>
          <w:rtl/>
        </w:rPr>
      </w:pPr>
      <w:r w:rsidRPr="00F62266">
        <w:rPr>
          <w:rFonts w:cs="FrankRuehl"/>
          <w:sz w:val="22"/>
          <w:szCs w:val="22"/>
          <w:rtl/>
        </w:rPr>
        <w:t xml:space="preserve">אלא שמבחני-המשנה אינם מוחלטים או דווקניים. לרשויות יש שיקול-דעת ביישומם, ודי כי הפגיעה בזכות תימצא במסגרת </w:t>
      </w:r>
      <w:r w:rsidRPr="00F62266">
        <w:rPr>
          <w:rFonts w:cs="FrankRuehl"/>
          <w:b/>
          <w:bCs/>
          <w:sz w:val="22"/>
          <w:szCs w:val="22"/>
          <w:rtl/>
        </w:rPr>
        <w:t>"מתחם המידתיות"</w:t>
      </w:r>
      <w:r w:rsidRPr="00F62266">
        <w:rPr>
          <w:rFonts w:cs="FrankRuehl"/>
          <w:sz w:val="22"/>
          <w:szCs w:val="22"/>
          <w:rtl/>
        </w:rPr>
        <w:t xml:space="preserve"> כדי שהנורמה תעמוד בדרישת המידתיות. הדבר בוודאי נכון באשר לרשות המחוקקת. [</w:t>
      </w:r>
      <w:r w:rsidRPr="00F62266">
        <w:rPr>
          <w:rFonts w:cs="FrankRuehl"/>
          <w:sz w:val="22"/>
          <w:szCs w:val="22"/>
        </w:rPr>
        <w:t>…</w:t>
      </w:r>
      <w:r w:rsidRPr="00F62266">
        <w:rPr>
          <w:rFonts w:cs="FrankRuehl"/>
          <w:sz w:val="22"/>
          <w:szCs w:val="22"/>
          <w:rtl/>
        </w:rPr>
        <w:t>] והדבר נכון אף באשר לנורמות המתקבלות על-ידי הרשות המבצעת. [</w:t>
      </w:r>
      <w:r w:rsidRPr="00F62266">
        <w:rPr>
          <w:rFonts w:cs="FrankRuehl"/>
          <w:sz w:val="22"/>
          <w:szCs w:val="22"/>
        </w:rPr>
        <w:t>…</w:t>
      </w:r>
      <w:r w:rsidRPr="00F62266">
        <w:rPr>
          <w:rFonts w:cs="FrankRuehl"/>
          <w:sz w:val="22"/>
          <w:szCs w:val="22"/>
          <w:rtl/>
        </w:rPr>
        <w:t xml:space="preserve">] </w:t>
      </w:r>
      <w:r w:rsidRPr="005930C6">
        <w:rPr>
          <w:rFonts w:cs="FrankRuehl"/>
          <w:sz w:val="22"/>
          <w:szCs w:val="22"/>
          <w:highlight w:val="yellow"/>
          <w:rtl/>
        </w:rPr>
        <w:t xml:space="preserve">עם זאת, </w:t>
      </w:r>
      <w:r w:rsidRPr="005930C6">
        <w:rPr>
          <w:rFonts w:cs="FrankRuehl"/>
          <w:b/>
          <w:bCs/>
          <w:sz w:val="22"/>
          <w:szCs w:val="22"/>
          <w:highlight w:val="yellow"/>
          <w:rtl/>
        </w:rPr>
        <w:t>הדעת נותנת כי "מיתחם המידתיות" הנתון לרשות המבצעת עשוי להיות צר יותר מזה הנתון לרשות המחוקקת</w:t>
      </w:r>
      <w:r w:rsidRPr="005930C6">
        <w:rPr>
          <w:rFonts w:cs="FrankRuehl"/>
          <w:sz w:val="22"/>
          <w:szCs w:val="22"/>
          <w:highlight w:val="yellow"/>
          <w:rtl/>
        </w:rPr>
        <w:t xml:space="preserve">. "מתחם המידתיות" </w:t>
      </w:r>
      <w:r w:rsidRPr="005930C6">
        <w:rPr>
          <w:rFonts w:cs="FrankRuehl"/>
          <w:b/>
          <w:bCs/>
          <w:sz w:val="22"/>
          <w:szCs w:val="22"/>
          <w:highlight w:val="yellow"/>
          <w:rtl/>
        </w:rPr>
        <w:t>אף נקבע בהתחשב במהות של הזכות או האינטרס הנפגעים, ובמידת החשיבות המיוחסת להם.</w:t>
      </w:r>
      <w:r w:rsidRPr="00F62266">
        <w:rPr>
          <w:rFonts w:cs="FrankRuehl"/>
          <w:sz w:val="22"/>
          <w:szCs w:val="22"/>
          <w:rtl/>
        </w:rPr>
        <w:t xml:space="preserve"> עמדתי על כך בבג"צ </w:t>
      </w:r>
      <w:r w:rsidRPr="00405C87">
        <w:rPr>
          <w:rFonts w:cs="FrankRuehl"/>
          <w:b/>
          <w:bCs/>
          <w:sz w:val="22"/>
          <w:szCs w:val="22"/>
          <w:rtl/>
        </w:rPr>
        <w:t>לשכת מנהלי ההשקעות</w:t>
      </w:r>
      <w:r w:rsidRPr="00F62266">
        <w:rPr>
          <w:rFonts w:cs="FrankRuehl"/>
          <w:sz w:val="22"/>
          <w:szCs w:val="22"/>
          <w:rtl/>
        </w:rPr>
        <w:t xml:space="preserve"> בסעיף 8 לפסק-דיני:</w:t>
      </w:r>
    </w:p>
    <w:p w:rsidR="005366A8" w:rsidRPr="00F701F4" w:rsidRDefault="005366A8" w:rsidP="005366A8">
      <w:pPr>
        <w:ind w:left="720"/>
        <w:rPr>
          <w:rFonts w:cs="FrankRuehl"/>
          <w:sz w:val="20"/>
          <w:szCs w:val="20"/>
          <w:rtl/>
        </w:rPr>
      </w:pPr>
      <w:r w:rsidRPr="00F701F4">
        <w:rPr>
          <w:rFonts w:cs="FrankRuehl"/>
          <w:sz w:val="20"/>
          <w:szCs w:val="20"/>
          <w:rtl/>
        </w:rPr>
        <w:t>באשר למבחן בדבר התאמת האמצעי לתכלית, מידת הוודאות שתידרש להתאמת האמצעי וליעילותו מושפעת ממידת החשיבות של הזכות והטעמים שביסודה. כשמדובר בזכות כבדת-משקל, עשויה להידרש "ודאות קרובה", ואולי אף כמעט מוחלטת, לכך שהאמצעי הפוגע בה יגשים ביעילות ובאופן מושלם את תכליתו. לעומת זאת, כשמדובר בזכות קלת-משקל יותר, ייתכן כי ניתן יהיה להסתפק ב"אפשרות סבירה" לקידומה של התכלית. באשר למבחן בדבר בחירת האמצעי הפוגע בזכות במידה המועטה הנדרשת, שכאמור אינו מבחן מוחלט, תושפע בחירת האמצעי מן הזכות הנפגעת.  כשמדובר בזכות-יסוד חשובה במיוחד יוקפד יותר על בחירת אמצעי הפוגע בה במידה המיזערית, וזאת גם אם מדובר באמצעי שעלותו ניכרת. הדין עשוי להיות שונה מקום שבו עומדת על הפרק זכות שחשיבותה פחותה, שלשם שמירתה לא תידרש המדינה לנקוט באמצעים העלולים לגרום להכבדה מיוחדת.  באשר למבחן שבמסגרתו נערך איזון בין התועלת שבתכלית לבין הנזק שבאמצעי להשגתה, הוא יופעל - כמקובל בפסיקה שבה דנתי לעיל, העוסקת בהחלטות של רשויות מינהליות - בהתחשב במהות הזכות שעל הפרק, הטעמים שביסודה והערכים והאינטרסים הנפגעים במקרה הספציפי.</w:t>
      </w:r>
    </w:p>
    <w:p w:rsidR="005366A8" w:rsidRPr="005930C6" w:rsidRDefault="005366A8" w:rsidP="005366A8">
      <w:pPr>
        <w:rPr>
          <w:rFonts w:cs="FrankRuehl"/>
          <w:sz w:val="22"/>
          <w:szCs w:val="22"/>
          <w:rtl/>
        </w:rPr>
      </w:pPr>
      <w:r w:rsidRPr="005930C6">
        <w:rPr>
          <w:rFonts w:cs="FrankRuehl"/>
          <w:b/>
          <w:bCs/>
          <w:sz w:val="22"/>
          <w:szCs w:val="22"/>
          <w:highlight w:val="yellow"/>
          <w:rtl/>
        </w:rPr>
        <w:t>בענייננו, מדובר בזכות שהיא במהותה כלכלית. הטעם העומד ביסוד הזכות לחופש העיסוק של העותרים הוא עניינם האישי במשלח-ידם. זכות זו חשובה היא, אך אין היא זכות-על.</w:t>
      </w:r>
      <w:r>
        <w:rPr>
          <w:rFonts w:cs="FrankRuehl" w:hint="cs"/>
          <w:b/>
          <w:bCs/>
          <w:sz w:val="22"/>
          <w:szCs w:val="22"/>
          <w:rtl/>
        </w:rPr>
        <w:t xml:space="preserve"> </w:t>
      </w:r>
      <w:r>
        <w:rPr>
          <w:rFonts w:cs="FrankRuehl" w:hint="cs"/>
          <w:sz w:val="22"/>
          <w:szCs w:val="22"/>
          <w:rtl/>
        </w:rPr>
        <w:t>[השופטת דורנר אף היא דוחה את העתירה].</w:t>
      </w:r>
    </w:p>
    <w:p w:rsidR="005366A8" w:rsidRDefault="005366A8" w:rsidP="005366A8">
      <w:pPr>
        <w:rPr>
          <w:rFonts w:ascii="Arial" w:hAnsi="Arial" w:cs="Arial"/>
          <w:i/>
          <w:iCs/>
          <w:rtl/>
        </w:rPr>
      </w:pPr>
      <w:r>
        <w:rPr>
          <w:rFonts w:hint="cs"/>
          <w:sz w:val="20"/>
          <w:szCs w:val="20"/>
          <w:rtl/>
        </w:rPr>
        <w:t>=-=</w:t>
      </w:r>
    </w:p>
    <w:p w:rsidR="005366A8" w:rsidRPr="00C4365F" w:rsidRDefault="005366A8" w:rsidP="005366A8">
      <w:pPr>
        <w:jc w:val="center"/>
        <w:rPr>
          <w:rFonts w:ascii="Arial" w:hAnsi="Arial" w:cs="Arial"/>
          <w:i/>
          <w:iCs/>
          <w:rtl/>
        </w:rPr>
      </w:pPr>
      <w:r w:rsidRPr="00C4365F">
        <w:rPr>
          <w:rFonts w:ascii="Arial" w:hAnsi="Arial" w:cs="Arial"/>
          <w:i/>
          <w:iCs/>
          <w:rtl/>
        </w:rPr>
        <w:t>מידתיות</w:t>
      </w:r>
      <w:r>
        <w:rPr>
          <w:rFonts w:ascii="Arial" w:hAnsi="Arial" w:cs="Arial" w:hint="cs"/>
          <w:i/>
          <w:iCs/>
          <w:rtl/>
        </w:rPr>
        <w:t xml:space="preserve"> ומבחניה</w:t>
      </w:r>
      <w:r w:rsidRPr="00C4365F">
        <w:rPr>
          <w:rStyle w:val="FootnoteReference"/>
          <w:rFonts w:ascii="Arial" w:hAnsi="Arial" w:cs="Arial"/>
          <w:b/>
          <w:bCs/>
          <w:i/>
          <w:iCs/>
          <w:rtl/>
        </w:rPr>
        <w:footnoteReference w:id="17"/>
      </w:r>
    </w:p>
    <w:p w:rsidR="005366A8" w:rsidRPr="00F2396F" w:rsidRDefault="005366A8" w:rsidP="005366A8">
      <w:pPr>
        <w:spacing w:after="120"/>
        <w:rPr>
          <w:b/>
          <w:bCs/>
          <w:sz w:val="20"/>
          <w:szCs w:val="20"/>
          <w:rtl/>
        </w:rPr>
      </w:pPr>
      <w:r w:rsidRPr="00F2396F">
        <w:rPr>
          <w:b/>
          <w:bCs/>
          <w:sz w:val="20"/>
          <w:szCs w:val="20"/>
          <w:rtl/>
        </w:rPr>
        <w:t xml:space="preserve">המידתיות נקבעה בפסקת ההגבלה כתנאי הכרחי לצורך פגיעה בזכויות המוגנות בחוקי היסוד העוסקים בזכויות האדם.  </w:t>
      </w:r>
    </w:p>
    <w:p w:rsidR="005366A8" w:rsidRPr="00C4365F" w:rsidRDefault="005366A8" w:rsidP="005366A8">
      <w:pPr>
        <w:rPr>
          <w:sz w:val="20"/>
          <w:szCs w:val="20"/>
          <w:rtl/>
        </w:rPr>
      </w:pPr>
      <w:r w:rsidRPr="00C4365F">
        <w:rPr>
          <w:sz w:val="20"/>
          <w:szCs w:val="20"/>
          <w:rtl/>
        </w:rPr>
        <w:t xml:space="preserve">מדובר </w:t>
      </w:r>
      <w:r>
        <w:rPr>
          <w:rFonts w:hint="cs"/>
          <w:sz w:val="20"/>
          <w:szCs w:val="20"/>
          <w:rtl/>
        </w:rPr>
        <w:t xml:space="preserve">קרוב לודאי </w:t>
      </w:r>
      <w:r w:rsidRPr="00C4365F">
        <w:rPr>
          <w:sz w:val="20"/>
          <w:szCs w:val="20"/>
          <w:rtl/>
        </w:rPr>
        <w:t xml:space="preserve">בחשובה מבין ארבעת היסודות של פסקת ההגבלה.  זאת משום שהיא מטילה על רשויות השלטון את הנטל המשמעותי והמכביד ביותר.  דרישת המידתיות יורדת לפרטי ההסדרים, לרבות חלופות פוטנציאליות להם.  היא אינה מסתפקת בצורה הפורמלית של עיגונם, בהלימתם העקרונית את ערכי המדינה, או בלגיטימיות הכללית של תכליתם.  </w:t>
      </w:r>
      <w:r>
        <w:rPr>
          <w:rFonts w:hint="cs"/>
          <w:sz w:val="20"/>
          <w:szCs w:val="20"/>
          <w:rtl/>
        </w:rPr>
        <w:t xml:space="preserve">היא ביטוי לרעיון מוסרי מרכזי: </w:t>
      </w:r>
      <w:r w:rsidRPr="000650E2">
        <w:rPr>
          <w:rFonts w:hint="cs"/>
          <w:b/>
          <w:bCs/>
          <w:sz w:val="20"/>
          <w:szCs w:val="20"/>
          <w:rtl/>
        </w:rPr>
        <w:t>"לא כל האמצעים כשרים".</w:t>
      </w:r>
      <w:r>
        <w:rPr>
          <w:rFonts w:hint="cs"/>
          <w:sz w:val="20"/>
          <w:szCs w:val="20"/>
          <w:rtl/>
        </w:rPr>
        <w:t xml:space="preserve"> תכלית </w:t>
      </w:r>
      <w:r>
        <w:rPr>
          <w:sz w:val="20"/>
          <w:szCs w:val="20"/>
          <w:rtl/>
        </w:rPr>
        <w:t>–</w:t>
      </w:r>
      <w:r>
        <w:rPr>
          <w:rFonts w:hint="cs"/>
          <w:sz w:val="20"/>
          <w:szCs w:val="20"/>
          <w:rtl/>
        </w:rPr>
        <w:t xml:space="preserve"> גם אם טובה מאד </w:t>
      </w:r>
      <w:r>
        <w:rPr>
          <w:sz w:val="20"/>
          <w:szCs w:val="20"/>
          <w:rtl/>
        </w:rPr>
        <w:t>–</w:t>
      </w:r>
      <w:r>
        <w:rPr>
          <w:rFonts w:hint="cs"/>
          <w:sz w:val="20"/>
          <w:szCs w:val="20"/>
          <w:rtl/>
        </w:rPr>
        <w:t xml:space="preserve"> צריכה להיות משורתת על ידי אמצעים ראויים. בין היתר, אמצעים שאינם מופרזים.</w:t>
      </w:r>
    </w:p>
    <w:p w:rsidR="005366A8" w:rsidRDefault="005366A8" w:rsidP="005366A8">
      <w:pPr>
        <w:rPr>
          <w:sz w:val="20"/>
          <w:szCs w:val="20"/>
          <w:rtl/>
        </w:rPr>
      </w:pPr>
      <w:r>
        <w:rPr>
          <w:rFonts w:hint="cs"/>
          <w:sz w:val="20"/>
          <w:szCs w:val="20"/>
          <w:rtl/>
        </w:rPr>
        <w:t xml:space="preserve">במקביל </w:t>
      </w:r>
      <w:r>
        <w:rPr>
          <w:sz w:val="20"/>
          <w:szCs w:val="20"/>
          <w:rtl/>
        </w:rPr>
        <w:t>–</w:t>
      </w:r>
      <w:r>
        <w:rPr>
          <w:rFonts w:hint="cs"/>
          <w:sz w:val="20"/>
          <w:szCs w:val="20"/>
          <w:rtl/>
        </w:rPr>
        <w:t xml:space="preserve"> וגם זה תורם לחשיבותה של המידתיות (מכיוון המישור של "הפוליטיקה של השיפוט") </w:t>
      </w:r>
      <w:r>
        <w:rPr>
          <w:sz w:val="20"/>
          <w:szCs w:val="20"/>
          <w:rtl/>
        </w:rPr>
        <w:t>–</w:t>
      </w:r>
      <w:r>
        <w:rPr>
          <w:rFonts w:hint="cs"/>
          <w:sz w:val="20"/>
          <w:szCs w:val="20"/>
          <w:rtl/>
        </w:rPr>
        <w:t xml:space="preserve"> </w:t>
      </w:r>
      <w:r w:rsidRPr="00C4365F">
        <w:rPr>
          <w:sz w:val="20"/>
          <w:szCs w:val="20"/>
          <w:rtl/>
        </w:rPr>
        <w:t xml:space="preserve">התמקדות באמצעי פסול/מופרז היא מישור עימות חד פחות </w:t>
      </w:r>
      <w:r>
        <w:rPr>
          <w:rFonts w:hint="cs"/>
          <w:sz w:val="20"/>
          <w:szCs w:val="20"/>
          <w:rtl/>
        </w:rPr>
        <w:t xml:space="preserve">עם הרשויות הפוליטיות </w:t>
      </w:r>
      <w:r w:rsidRPr="00C4365F">
        <w:rPr>
          <w:sz w:val="20"/>
          <w:szCs w:val="20"/>
          <w:rtl/>
        </w:rPr>
        <w:t xml:space="preserve">מאשר הכרזה על תכלית של המחוקק כתכלית </w:t>
      </w:r>
      <w:r>
        <w:rPr>
          <w:rFonts w:hint="cs"/>
          <w:sz w:val="20"/>
          <w:szCs w:val="20"/>
          <w:rtl/>
        </w:rPr>
        <w:t>לא-ראויה</w:t>
      </w:r>
      <w:r w:rsidRPr="00C4365F">
        <w:rPr>
          <w:sz w:val="20"/>
          <w:szCs w:val="20"/>
          <w:rtl/>
        </w:rPr>
        <w:t>.</w:t>
      </w:r>
    </w:p>
    <w:p w:rsidR="005366A8" w:rsidRDefault="005366A8" w:rsidP="005366A8">
      <w:pPr>
        <w:rPr>
          <w:sz w:val="20"/>
          <w:szCs w:val="20"/>
          <w:rtl/>
        </w:rPr>
      </w:pPr>
    </w:p>
    <w:p w:rsidR="005366A8" w:rsidRPr="00C4365F" w:rsidRDefault="005366A8" w:rsidP="005366A8">
      <w:pPr>
        <w:rPr>
          <w:sz w:val="20"/>
          <w:szCs w:val="20"/>
          <w:rtl/>
        </w:rPr>
      </w:pPr>
      <w:r>
        <w:rPr>
          <w:rFonts w:hint="cs"/>
          <w:sz w:val="20"/>
          <w:szCs w:val="20"/>
          <w:rtl/>
        </w:rPr>
        <w:t xml:space="preserve">אנא שימו לב: דרישת המידתיות אינה רק חובה שחלה על המחוקק בבואו לפגוע בזכויות המוגנות בחוקי היסוד. זו חובה החלה </w:t>
      </w:r>
      <w:r w:rsidRPr="00F62EA3">
        <w:rPr>
          <w:rFonts w:hint="cs"/>
          <w:b/>
          <w:bCs/>
          <w:sz w:val="20"/>
          <w:szCs w:val="20"/>
          <w:rtl/>
        </w:rPr>
        <w:t>על כל רשות שלטונית</w:t>
      </w:r>
      <w:r>
        <w:rPr>
          <w:rFonts w:hint="cs"/>
          <w:sz w:val="20"/>
          <w:szCs w:val="20"/>
          <w:rtl/>
        </w:rPr>
        <w:t xml:space="preserve"> (כל גורם "הממלא תפקיד ציבורי על פי דין"), וביחס לכל פעולה שלטונית (חקיקת משנה, "פעולת מינהל" </w:t>
      </w:r>
      <w:r>
        <w:rPr>
          <w:sz w:val="20"/>
          <w:szCs w:val="20"/>
          <w:rtl/>
        </w:rPr>
        <w:t>–</w:t>
      </w:r>
      <w:r>
        <w:rPr>
          <w:rFonts w:hint="cs"/>
          <w:sz w:val="20"/>
          <w:szCs w:val="20"/>
          <w:rtl/>
        </w:rPr>
        <w:t xml:space="preserve"> דוגמת הוצאת צו לסגירת עיתון מכוח פקודת העיתונות, חזרה מהבטחה שלטונית). היא חובה מהמשפט הציבורי החלה על כל מושאיו. כאן, בשלב זה, אנחנו מתעמקים בה בעיקר אל מול המחוקק.</w:t>
      </w:r>
    </w:p>
    <w:p w:rsidR="005366A8" w:rsidRPr="00C4365F" w:rsidRDefault="005366A8" w:rsidP="005366A8">
      <w:pPr>
        <w:rPr>
          <w:sz w:val="20"/>
          <w:szCs w:val="20"/>
          <w:rtl/>
        </w:rPr>
      </w:pPr>
    </w:p>
    <w:p w:rsidR="005366A8" w:rsidRDefault="005366A8" w:rsidP="005366A8">
      <w:pPr>
        <w:rPr>
          <w:sz w:val="20"/>
          <w:szCs w:val="20"/>
          <w:rtl/>
        </w:rPr>
      </w:pPr>
      <w:r w:rsidRPr="00C4365F">
        <w:rPr>
          <w:rFonts w:hint="cs"/>
          <w:sz w:val="20"/>
          <w:szCs w:val="20"/>
          <w:rtl/>
        </w:rPr>
        <w:t>המידתיות</w:t>
      </w:r>
      <w:r w:rsidRPr="00C4365F">
        <w:rPr>
          <w:sz w:val="20"/>
          <w:szCs w:val="20"/>
          <w:rtl/>
        </w:rPr>
        <w:t xml:space="preserve"> מורכבת משלשה מבחני משנה שמוחלים </w:t>
      </w:r>
      <w:r w:rsidRPr="00C4365F">
        <w:rPr>
          <w:i/>
          <w:iCs/>
          <w:sz w:val="20"/>
          <w:szCs w:val="20"/>
          <w:rtl/>
        </w:rPr>
        <w:t>באופן מצטבר</w:t>
      </w:r>
      <w:r w:rsidRPr="00C4365F">
        <w:rPr>
          <w:sz w:val="20"/>
          <w:szCs w:val="20"/>
          <w:rtl/>
        </w:rPr>
        <w:t>.  פעולה שלטונית היא מידתית רק אם היא עומדת בשל</w:t>
      </w:r>
      <w:r>
        <w:rPr>
          <w:rFonts w:hint="cs"/>
          <w:sz w:val="20"/>
          <w:szCs w:val="20"/>
          <w:rtl/>
        </w:rPr>
        <w:t>ו</w:t>
      </w:r>
      <w:r w:rsidRPr="00C4365F">
        <w:rPr>
          <w:sz w:val="20"/>
          <w:szCs w:val="20"/>
          <w:rtl/>
        </w:rPr>
        <w:t>שתם גם יחד.</w:t>
      </w:r>
      <w:r>
        <w:rPr>
          <w:rFonts w:hint="cs"/>
          <w:sz w:val="20"/>
          <w:szCs w:val="20"/>
          <w:rtl/>
        </w:rPr>
        <w:t xml:space="preserve"> </w:t>
      </w:r>
    </w:p>
    <w:p w:rsidR="005366A8" w:rsidRPr="00C4365F" w:rsidRDefault="005366A8" w:rsidP="005366A8">
      <w:pPr>
        <w:rPr>
          <w:sz w:val="20"/>
          <w:szCs w:val="20"/>
          <w:rtl/>
        </w:rPr>
      </w:pPr>
      <w:r w:rsidRPr="00C4365F">
        <w:rPr>
          <w:sz w:val="20"/>
          <w:szCs w:val="20"/>
          <w:rtl/>
        </w:rPr>
        <w:t xml:space="preserve">מבחן המשנה הראשון </w:t>
      </w:r>
      <w:r w:rsidRPr="00C4365F">
        <w:rPr>
          <w:sz w:val="20"/>
          <w:szCs w:val="20"/>
        </w:rPr>
        <w:t>–</w:t>
      </w:r>
      <w:r w:rsidRPr="00C4365F">
        <w:rPr>
          <w:sz w:val="20"/>
          <w:szCs w:val="20"/>
          <w:rtl/>
        </w:rPr>
        <w:t xml:space="preserve"> </w:t>
      </w:r>
      <w:r w:rsidRPr="00C4365F">
        <w:rPr>
          <w:b/>
          <w:bCs/>
          <w:i/>
          <w:iCs/>
          <w:sz w:val="20"/>
          <w:szCs w:val="20"/>
          <w:rtl/>
        </w:rPr>
        <w:t>מבחן ההתאמה</w:t>
      </w:r>
      <w:r w:rsidRPr="00C4365F">
        <w:rPr>
          <w:sz w:val="20"/>
          <w:szCs w:val="20"/>
          <w:rtl/>
        </w:rPr>
        <w:t xml:space="preserve"> </w:t>
      </w:r>
      <w:r w:rsidRPr="00C4365F">
        <w:rPr>
          <w:sz w:val="20"/>
          <w:szCs w:val="20"/>
        </w:rPr>
        <w:t>–</w:t>
      </w:r>
      <w:r w:rsidRPr="00C4365F">
        <w:rPr>
          <w:sz w:val="20"/>
          <w:szCs w:val="20"/>
          <w:rtl/>
        </w:rPr>
        <w:t xml:space="preserve"> קובע, כי על הפעולה להיות מתאימה להשגת תכליתה.  אם אין בכוחו של האמצעי שננקט לתרום להגשמת התכלית שאותה הוא מיועד לקדם, הפעולה אינה כדין.</w:t>
      </w:r>
    </w:p>
    <w:p w:rsidR="005366A8" w:rsidRPr="00C4365F" w:rsidRDefault="005366A8" w:rsidP="005366A8">
      <w:pPr>
        <w:rPr>
          <w:sz w:val="20"/>
          <w:szCs w:val="20"/>
          <w:rtl/>
        </w:rPr>
      </w:pPr>
      <w:r w:rsidRPr="00C4365F">
        <w:rPr>
          <w:sz w:val="20"/>
          <w:szCs w:val="20"/>
          <w:rtl/>
        </w:rPr>
        <w:t xml:space="preserve">מבחן המשנה השני </w:t>
      </w:r>
      <w:r w:rsidRPr="00C4365F">
        <w:rPr>
          <w:sz w:val="20"/>
          <w:szCs w:val="20"/>
        </w:rPr>
        <w:t>–</w:t>
      </w:r>
      <w:r w:rsidRPr="00C4365F">
        <w:rPr>
          <w:sz w:val="20"/>
          <w:szCs w:val="20"/>
          <w:rtl/>
        </w:rPr>
        <w:t xml:space="preserve"> </w:t>
      </w:r>
      <w:r w:rsidRPr="00C4365F">
        <w:rPr>
          <w:b/>
          <w:bCs/>
          <w:i/>
          <w:iCs/>
          <w:sz w:val="20"/>
          <w:szCs w:val="20"/>
          <w:rtl/>
        </w:rPr>
        <w:t>מבחן הפגיעה הפחותה</w:t>
      </w:r>
      <w:r w:rsidRPr="00C4365F">
        <w:rPr>
          <w:sz w:val="20"/>
          <w:szCs w:val="20"/>
          <w:rtl/>
        </w:rPr>
        <w:t xml:space="preserve"> </w:t>
      </w:r>
      <w:r w:rsidRPr="00C4365F">
        <w:rPr>
          <w:sz w:val="20"/>
          <w:szCs w:val="20"/>
        </w:rPr>
        <w:t>–</w:t>
      </w:r>
      <w:r w:rsidRPr="00C4365F">
        <w:rPr>
          <w:sz w:val="20"/>
          <w:szCs w:val="20"/>
          <w:rtl/>
        </w:rPr>
        <w:t xml:space="preserve"> מורה, כי מבין האמצעים החלופיים העשויים לקדם את הגשמת התכלית יש לנקוט אמצע שמידת פגיעתו בזכות היא הפחותה.</w:t>
      </w:r>
    </w:p>
    <w:p w:rsidR="005366A8" w:rsidRPr="00C4365F" w:rsidRDefault="005366A8" w:rsidP="005366A8">
      <w:pPr>
        <w:rPr>
          <w:sz w:val="20"/>
          <w:szCs w:val="20"/>
          <w:rtl/>
        </w:rPr>
      </w:pPr>
      <w:r w:rsidRPr="00C4365F">
        <w:rPr>
          <w:sz w:val="20"/>
          <w:szCs w:val="20"/>
          <w:rtl/>
        </w:rPr>
        <w:t xml:space="preserve">מבחן המשנה השלישי </w:t>
      </w:r>
      <w:r w:rsidRPr="00C4365F">
        <w:rPr>
          <w:sz w:val="20"/>
          <w:szCs w:val="20"/>
        </w:rPr>
        <w:t>–</w:t>
      </w:r>
      <w:r w:rsidRPr="00C4365F">
        <w:rPr>
          <w:sz w:val="20"/>
          <w:szCs w:val="20"/>
          <w:rtl/>
        </w:rPr>
        <w:t xml:space="preserve"> </w:t>
      </w:r>
      <w:r w:rsidRPr="00C4365F">
        <w:rPr>
          <w:b/>
          <w:bCs/>
          <w:i/>
          <w:iCs/>
          <w:sz w:val="20"/>
          <w:szCs w:val="20"/>
          <w:rtl/>
        </w:rPr>
        <w:t>מבחן היחסיות</w:t>
      </w:r>
      <w:r w:rsidRPr="00C4365F">
        <w:rPr>
          <w:sz w:val="20"/>
          <w:szCs w:val="20"/>
          <w:rtl/>
        </w:rPr>
        <w:t xml:space="preserve"> </w:t>
      </w:r>
      <w:r w:rsidRPr="00C4365F">
        <w:rPr>
          <w:sz w:val="20"/>
          <w:szCs w:val="20"/>
        </w:rPr>
        <w:t>–</w:t>
      </w:r>
      <w:r w:rsidRPr="00C4365F">
        <w:rPr>
          <w:sz w:val="20"/>
          <w:szCs w:val="20"/>
          <w:rtl/>
        </w:rPr>
        <w:t xml:space="preserve"> מחייב, כי פעולה הפוגעת בזכות או באינטרס מוגנים תינקט רק אם היחס בין התועלת שבפעולה לבין הפגיעה שהיא גורמת הוא יחס סביר.  </w:t>
      </w:r>
      <w:r>
        <w:rPr>
          <w:rFonts w:hint="cs"/>
          <w:sz w:val="20"/>
          <w:szCs w:val="20"/>
          <w:rtl/>
        </w:rPr>
        <w:t>פירוש הדבר, בין היתר, שהוראת חוק (או פעולה שלטונית אחרת)</w:t>
      </w:r>
      <w:r w:rsidRPr="00C4365F">
        <w:rPr>
          <w:sz w:val="20"/>
          <w:szCs w:val="20"/>
          <w:rtl/>
        </w:rPr>
        <w:t xml:space="preserve"> שפגיעתה בזכות יסוד היא עזה, ותכליתה </w:t>
      </w:r>
      <w:r w:rsidRPr="00C4365F">
        <w:rPr>
          <w:sz w:val="20"/>
          <w:szCs w:val="20"/>
        </w:rPr>
        <w:t>–</w:t>
      </w:r>
      <w:r w:rsidRPr="00C4365F">
        <w:rPr>
          <w:sz w:val="20"/>
          <w:szCs w:val="20"/>
          <w:rtl/>
        </w:rPr>
        <w:t xml:space="preserve"> גם אם היא ראויה כשלעצמה </w:t>
      </w:r>
      <w:r w:rsidRPr="00C4365F">
        <w:rPr>
          <w:sz w:val="20"/>
          <w:szCs w:val="20"/>
        </w:rPr>
        <w:t>–</w:t>
      </w:r>
      <w:r w:rsidRPr="00C4365F">
        <w:rPr>
          <w:sz w:val="20"/>
          <w:szCs w:val="20"/>
          <w:rtl/>
        </w:rPr>
        <w:t xml:space="preserve"> היא בעלת חשיבות משנית, עשויה להיאסר.</w:t>
      </w:r>
      <w:r>
        <w:rPr>
          <w:rFonts w:hint="cs"/>
          <w:sz w:val="20"/>
          <w:szCs w:val="20"/>
          <w:rtl/>
        </w:rPr>
        <w:t xml:space="preserve"> פירוש הדבר גם, שיש אמצעים שחוצים קווים אדומים גם אם הם באים לשרת תכלית דגולה (ראו למשל, סוגיית איסור העינויים).</w:t>
      </w:r>
    </w:p>
    <w:p w:rsidR="005366A8" w:rsidRPr="00C4365F" w:rsidRDefault="005366A8" w:rsidP="005366A8">
      <w:pPr>
        <w:rPr>
          <w:sz w:val="20"/>
          <w:szCs w:val="20"/>
          <w:rtl/>
        </w:rPr>
      </w:pPr>
    </w:p>
    <w:p w:rsidR="005366A8" w:rsidRPr="00C4365F" w:rsidRDefault="005366A8" w:rsidP="005366A8">
      <w:pPr>
        <w:rPr>
          <w:sz w:val="20"/>
          <w:szCs w:val="20"/>
          <w:rtl/>
        </w:rPr>
      </w:pPr>
      <w:r w:rsidRPr="00C4365F">
        <w:rPr>
          <w:sz w:val="20"/>
          <w:szCs w:val="20"/>
          <w:rtl/>
        </w:rPr>
        <w:t xml:space="preserve">המידתיות ומבחניה מקדמים ממשית את הביקורת השיפוטית </w:t>
      </w:r>
      <w:r w:rsidRPr="00C4365F">
        <w:rPr>
          <w:sz w:val="20"/>
          <w:szCs w:val="20"/>
        </w:rPr>
        <w:t>–</w:t>
      </w:r>
      <w:r w:rsidRPr="00C4365F">
        <w:rPr>
          <w:sz w:val="20"/>
          <w:szCs w:val="20"/>
          <w:rtl/>
        </w:rPr>
        <w:t xml:space="preserve"> הם מעניקים</w:t>
      </w:r>
      <w:r w:rsidRPr="00C4365F">
        <w:rPr>
          <w:rFonts w:hint="cs"/>
          <w:sz w:val="20"/>
          <w:szCs w:val="20"/>
          <w:rtl/>
        </w:rPr>
        <w:t>, למשל,</w:t>
      </w:r>
      <w:r w:rsidRPr="00C4365F">
        <w:rPr>
          <w:sz w:val="20"/>
          <w:szCs w:val="20"/>
          <w:rtl/>
        </w:rPr>
        <w:t xml:space="preserve"> כלים מעודנים ומשוכללים יותר (וממלא משכנעים יותר) לזהוֹת</w:t>
      </w:r>
      <w:r w:rsidRPr="00C4365F">
        <w:rPr>
          <w:rFonts w:hint="cs"/>
          <w:sz w:val="20"/>
          <w:szCs w:val="20"/>
          <w:rtl/>
        </w:rPr>
        <w:t xml:space="preserve"> מצבים שבהם המחוקק (או רשות אחרת) חתרו ככל הנראה לתכלית השונה מהתכלית המוצהרת. </w:t>
      </w:r>
      <w:r>
        <w:rPr>
          <w:rFonts w:hint="cs"/>
          <w:sz w:val="20"/>
          <w:szCs w:val="20"/>
          <w:rtl/>
        </w:rPr>
        <w:t xml:space="preserve">תכופות אין לנו מידע ישיר (ראיות מפורשות) </w:t>
      </w:r>
      <w:r w:rsidRPr="00C4365F">
        <w:rPr>
          <w:rFonts w:hint="cs"/>
          <w:sz w:val="20"/>
          <w:szCs w:val="20"/>
          <w:rtl/>
        </w:rPr>
        <w:t xml:space="preserve">על התכלית הסמויה, אך אנו למדים עליה בעקיפין מתוך אי-העמידה במבחני המידתיות. מתוך שהאמצעים שנבחרו אינם מתאימים להשגת התכלית המוצהרת, או משום שהם 'משיגים' יותר מדי, פוגעים יותר מכפי שנחוץ באותה מטרה מוצהרת, וכדומה.  </w:t>
      </w:r>
    </w:p>
    <w:p w:rsidR="005366A8" w:rsidRDefault="005366A8" w:rsidP="005366A8">
      <w:pPr>
        <w:rPr>
          <w:sz w:val="20"/>
          <w:szCs w:val="20"/>
          <w:rtl/>
        </w:rPr>
      </w:pPr>
      <w:r w:rsidRPr="00C4365F">
        <w:rPr>
          <w:sz w:val="20"/>
          <w:szCs w:val="20"/>
          <w:rtl/>
        </w:rPr>
        <w:t>נדרשים עם זאת עידונים נוספים</w:t>
      </w:r>
      <w:r>
        <w:rPr>
          <w:rFonts w:hint="cs"/>
          <w:sz w:val="20"/>
          <w:szCs w:val="20"/>
          <w:rtl/>
        </w:rPr>
        <w:t xml:space="preserve"> לתיאור דברים זה</w:t>
      </w:r>
      <w:r w:rsidRPr="00C4365F">
        <w:rPr>
          <w:sz w:val="20"/>
          <w:szCs w:val="20"/>
          <w:rtl/>
        </w:rPr>
        <w:t xml:space="preserve">.  </w:t>
      </w:r>
      <w:r w:rsidRPr="00C4365F">
        <w:rPr>
          <w:rFonts w:hint="cs"/>
          <w:sz w:val="20"/>
          <w:szCs w:val="20"/>
          <w:rtl/>
        </w:rPr>
        <w:t>טעם חשוב לכך, הוא</w:t>
      </w:r>
      <w:r w:rsidRPr="00F62EA3">
        <w:rPr>
          <w:rFonts w:hint="cs"/>
          <w:sz w:val="20"/>
          <w:szCs w:val="20"/>
          <w:rtl/>
        </w:rPr>
        <w:t xml:space="preserve"> </w:t>
      </w:r>
      <w:r>
        <w:rPr>
          <w:rFonts w:hint="cs"/>
          <w:sz w:val="20"/>
          <w:szCs w:val="20"/>
          <w:rtl/>
        </w:rPr>
        <w:t xml:space="preserve">כאמור לעיל עובדת הטלתה של </w:t>
      </w:r>
      <w:r w:rsidRPr="00F62EA3">
        <w:rPr>
          <w:rFonts w:hint="cs"/>
          <w:sz w:val="20"/>
          <w:szCs w:val="20"/>
          <w:rtl/>
        </w:rPr>
        <w:t>המידתיות כחובה "בכל רחבי המשפט הציבורי".</w:t>
      </w:r>
      <w:r w:rsidRPr="00C4365F">
        <w:rPr>
          <w:rFonts w:hint="cs"/>
          <w:sz w:val="20"/>
          <w:szCs w:val="20"/>
          <w:rtl/>
        </w:rPr>
        <w:t xml:space="preserve">  היא מוטלת</w:t>
      </w:r>
      <w:r>
        <w:rPr>
          <w:rFonts w:hint="cs"/>
          <w:sz w:val="20"/>
          <w:szCs w:val="20"/>
          <w:rtl/>
        </w:rPr>
        <w:t xml:space="preserve">, אם כן, </w:t>
      </w:r>
      <w:r w:rsidRPr="00C4365F">
        <w:rPr>
          <w:rFonts w:hint="cs"/>
          <w:sz w:val="20"/>
          <w:szCs w:val="20"/>
          <w:rtl/>
        </w:rPr>
        <w:t xml:space="preserve">על כל רשות שלטונית </w:t>
      </w:r>
      <w:r w:rsidRPr="00C4365F">
        <w:rPr>
          <w:sz w:val="20"/>
          <w:szCs w:val="20"/>
          <w:rtl/>
        </w:rPr>
        <w:t>–</w:t>
      </w:r>
      <w:r w:rsidRPr="00C4365F">
        <w:rPr>
          <w:rFonts w:hint="cs"/>
          <w:sz w:val="20"/>
          <w:szCs w:val="20"/>
          <w:rtl/>
        </w:rPr>
        <w:t xml:space="preserve"> לא רק על למחוקק</w:t>
      </w:r>
      <w:r>
        <w:rPr>
          <w:rFonts w:hint="cs"/>
          <w:sz w:val="20"/>
          <w:szCs w:val="20"/>
          <w:rtl/>
        </w:rPr>
        <w:t xml:space="preserve">. נקודה זו עשויה להשפיע על השימוש בה בביקורת השיפוטית, שכן לא הרי הביקורת הראויה על רשויות המינהל, כהרי הביקורת על המחוקק. </w:t>
      </w:r>
    </w:p>
    <w:p w:rsidR="005366A8" w:rsidRDefault="005366A8" w:rsidP="005366A8">
      <w:pPr>
        <w:spacing w:after="120"/>
        <w:rPr>
          <w:sz w:val="20"/>
          <w:szCs w:val="20"/>
          <w:rtl/>
        </w:rPr>
      </w:pPr>
      <w:r>
        <w:rPr>
          <w:rFonts w:hint="cs"/>
          <w:sz w:val="20"/>
          <w:szCs w:val="20"/>
          <w:rtl/>
        </w:rPr>
        <w:t xml:space="preserve">יתר על כן, המידתיות </w:t>
      </w:r>
      <w:r w:rsidRPr="00C4365F">
        <w:rPr>
          <w:rFonts w:hint="cs"/>
          <w:sz w:val="20"/>
          <w:szCs w:val="20"/>
          <w:rtl/>
        </w:rPr>
        <w:t xml:space="preserve">חלה לגבי </w:t>
      </w:r>
      <w:r>
        <w:rPr>
          <w:rFonts w:hint="cs"/>
          <w:sz w:val="20"/>
          <w:szCs w:val="20"/>
          <w:rtl/>
        </w:rPr>
        <w:t>הפגיעה ב</w:t>
      </w:r>
      <w:r w:rsidRPr="00C4365F">
        <w:rPr>
          <w:rFonts w:hint="cs"/>
          <w:sz w:val="20"/>
          <w:szCs w:val="20"/>
          <w:rtl/>
        </w:rPr>
        <w:t>מגוון זכויות היסוד: משמע, גם בהקשרן של פגיעות בזכויות שאינן מוגנות בחוקי היסוד</w:t>
      </w:r>
      <w:r>
        <w:rPr>
          <w:rFonts w:hint="cs"/>
          <w:sz w:val="20"/>
          <w:szCs w:val="20"/>
          <w:rtl/>
        </w:rPr>
        <w:t xml:space="preserve"> וגם בהקשרן של הזכויות המוגנות חוקתית</w:t>
      </w:r>
      <w:r w:rsidRPr="00C4365F">
        <w:rPr>
          <w:rFonts w:hint="cs"/>
          <w:sz w:val="20"/>
          <w:szCs w:val="20"/>
          <w:rtl/>
        </w:rPr>
        <w:t xml:space="preserve">; </w:t>
      </w:r>
      <w:r>
        <w:rPr>
          <w:rFonts w:hint="cs"/>
          <w:sz w:val="20"/>
          <w:szCs w:val="20"/>
          <w:rtl/>
        </w:rPr>
        <w:t xml:space="preserve">זאת ועוד, </w:t>
      </w:r>
      <w:r w:rsidRPr="00C4365F">
        <w:rPr>
          <w:rFonts w:hint="cs"/>
          <w:sz w:val="20"/>
          <w:szCs w:val="20"/>
          <w:rtl/>
        </w:rPr>
        <w:t>היא מוטלת ביחס לפגיעה ב</w:t>
      </w:r>
      <w:r w:rsidRPr="00C4365F">
        <w:rPr>
          <w:sz w:val="20"/>
          <w:szCs w:val="20"/>
          <w:rtl/>
        </w:rPr>
        <w:t xml:space="preserve">זכויות מוגנות/מעוגנות מדרגות חשיבות </w:t>
      </w:r>
      <w:r>
        <w:rPr>
          <w:rFonts w:hint="cs"/>
          <w:sz w:val="20"/>
          <w:szCs w:val="20"/>
          <w:rtl/>
        </w:rPr>
        <w:t>גבוהה יותר ונמוכה יותר</w:t>
      </w:r>
      <w:r w:rsidRPr="00C4365F">
        <w:rPr>
          <w:sz w:val="20"/>
          <w:szCs w:val="20"/>
          <w:rtl/>
        </w:rPr>
        <w:t xml:space="preserve"> (</w:t>
      </w:r>
      <w:r>
        <w:rPr>
          <w:rFonts w:hint="cs"/>
          <w:sz w:val="20"/>
          <w:szCs w:val="20"/>
          <w:rtl/>
        </w:rPr>
        <w:t xml:space="preserve">למשל, </w:t>
      </w:r>
      <w:r w:rsidRPr="00C4365F">
        <w:rPr>
          <w:sz w:val="20"/>
          <w:szCs w:val="20"/>
          <w:rtl/>
        </w:rPr>
        <w:t xml:space="preserve">חירות גופנית, לעומת קנין או חופש עיסוק); </w:t>
      </w:r>
      <w:r w:rsidRPr="00C4365F">
        <w:rPr>
          <w:rFonts w:hint="cs"/>
          <w:sz w:val="20"/>
          <w:szCs w:val="20"/>
          <w:rtl/>
        </w:rPr>
        <w:t xml:space="preserve">ועוד. </w:t>
      </w:r>
      <w:r>
        <w:rPr>
          <w:rFonts w:hint="cs"/>
          <w:sz w:val="20"/>
          <w:szCs w:val="20"/>
          <w:rtl/>
        </w:rPr>
        <w:t xml:space="preserve"> גיוון גדול זה מחייב התאמה, מחייב גמישות מסוימת. </w:t>
      </w:r>
    </w:p>
    <w:p w:rsidR="005366A8" w:rsidRPr="00C4365F" w:rsidRDefault="005366A8" w:rsidP="005366A8">
      <w:pPr>
        <w:rPr>
          <w:sz w:val="20"/>
          <w:szCs w:val="20"/>
          <w:rtl/>
        </w:rPr>
      </w:pPr>
      <w:r>
        <w:rPr>
          <w:rFonts w:hint="cs"/>
          <w:sz w:val="20"/>
          <w:szCs w:val="20"/>
          <w:rtl/>
        </w:rPr>
        <w:t xml:space="preserve">כך למשל, </w:t>
      </w:r>
      <w:r w:rsidRPr="00C4365F">
        <w:rPr>
          <w:sz w:val="20"/>
          <w:szCs w:val="20"/>
          <w:rtl/>
        </w:rPr>
        <w:t>הפעלה אחידה של עיקרון המידתיות על כל הזכויות והאינטרסים הללו עלולה לטשטש הבחנות חיוניות ביניהם, ועלולה לפגוע ברמת ההגנה על הזכויות החשובות יותר.</w:t>
      </w:r>
      <w:r>
        <w:rPr>
          <w:rFonts w:hint="cs"/>
          <w:sz w:val="20"/>
          <w:szCs w:val="20"/>
          <w:rtl/>
        </w:rPr>
        <w:t xml:space="preserve"> על כן:</w:t>
      </w:r>
    </w:p>
    <w:p w:rsidR="005366A8" w:rsidRPr="00C4365F" w:rsidRDefault="005366A8" w:rsidP="005366A8">
      <w:pPr>
        <w:spacing w:after="120"/>
        <w:ind w:left="720"/>
        <w:rPr>
          <w:sz w:val="20"/>
          <w:szCs w:val="20"/>
          <w:rtl/>
        </w:rPr>
      </w:pPr>
      <w:r w:rsidRPr="00402478">
        <w:rPr>
          <w:sz w:val="20"/>
          <w:szCs w:val="20"/>
          <w:highlight w:val="yellow"/>
          <w:rtl/>
        </w:rPr>
        <w:t>יש להבחין</w:t>
      </w:r>
      <w:r w:rsidRPr="00402478">
        <w:rPr>
          <w:rFonts w:hint="cs"/>
          <w:sz w:val="20"/>
          <w:szCs w:val="20"/>
          <w:highlight w:val="yellow"/>
          <w:rtl/>
        </w:rPr>
        <w:t xml:space="preserve"> </w:t>
      </w:r>
      <w:r w:rsidRPr="00402478">
        <w:rPr>
          <w:sz w:val="20"/>
          <w:szCs w:val="20"/>
          <w:highlight w:val="yellow"/>
          <w:rtl/>
        </w:rPr>
        <w:t xml:space="preserve">בין זכויות הצומחות ישירות מן הליבה של כבוד האדם והשמירה על צלמו </w:t>
      </w:r>
      <w:r w:rsidRPr="00402478">
        <w:rPr>
          <w:sz w:val="20"/>
          <w:szCs w:val="20"/>
          <w:highlight w:val="yellow"/>
        </w:rPr>
        <w:t>–</w:t>
      </w:r>
      <w:r w:rsidRPr="00402478">
        <w:rPr>
          <w:sz w:val="20"/>
          <w:szCs w:val="20"/>
          <w:highlight w:val="yellow"/>
          <w:rtl/>
        </w:rPr>
        <w:t xml:space="preserve"> כגון הזכות לחיים, הזכות לחירות מפני מעצר, הזכות לשוויון בלא הבדל דת, לאום, גזע, מין, נטייה מינית והשתייכויות קבוצתיות אחרות, חופש היצירה האומנותית וחופש הביטוי הפוליטי </w:t>
      </w:r>
      <w:r w:rsidRPr="00402478">
        <w:rPr>
          <w:sz w:val="20"/>
          <w:szCs w:val="20"/>
          <w:highlight w:val="yellow"/>
        </w:rPr>
        <w:t>–</w:t>
      </w:r>
      <w:r w:rsidRPr="00402478">
        <w:rPr>
          <w:sz w:val="20"/>
          <w:szCs w:val="20"/>
          <w:highlight w:val="yellow"/>
          <w:rtl/>
        </w:rPr>
        <w:t xml:space="preserve"> לבין זכויות המרוחקות מליבה זאת, כגון זכות הקניין, חופש העיסוק וחופש הביטוי המסחרי</w:t>
      </w:r>
      <w:r w:rsidRPr="00402478">
        <w:rPr>
          <w:sz w:val="20"/>
          <w:szCs w:val="20"/>
          <w:rtl/>
        </w:rPr>
        <w:t xml:space="preserve">. </w:t>
      </w:r>
      <w:r w:rsidRPr="00402478">
        <w:rPr>
          <w:rFonts w:hint="cs"/>
          <w:sz w:val="20"/>
          <w:szCs w:val="20"/>
          <w:rtl/>
        </w:rPr>
        <w:t xml:space="preserve"> </w:t>
      </w:r>
      <w:r w:rsidRPr="002F24A5">
        <w:rPr>
          <w:rFonts w:hint="cs"/>
          <w:sz w:val="20"/>
          <w:szCs w:val="20"/>
          <w:highlight w:val="yellow"/>
          <w:rtl/>
        </w:rPr>
        <w:t>זהו</w:t>
      </w:r>
      <w:r w:rsidRPr="002F24A5">
        <w:rPr>
          <w:rFonts w:hint="cs"/>
          <w:b/>
          <w:bCs/>
          <w:sz w:val="20"/>
          <w:szCs w:val="20"/>
          <w:highlight w:val="yellow"/>
          <w:rtl/>
        </w:rPr>
        <w:t xml:space="preserve"> </w:t>
      </w:r>
      <w:r w:rsidRPr="002F24A5">
        <w:rPr>
          <w:b/>
          <w:bCs/>
          <w:sz w:val="20"/>
          <w:szCs w:val="20"/>
          <w:highlight w:val="yellow"/>
          <w:rtl/>
        </w:rPr>
        <w:t>מדרג זכויות.</w:t>
      </w:r>
    </w:p>
    <w:p w:rsidR="005366A8" w:rsidRPr="00C4365F" w:rsidRDefault="005366A8" w:rsidP="005366A8">
      <w:pPr>
        <w:pStyle w:val="BodyText2"/>
        <w:rPr>
          <w:sz w:val="20"/>
          <w:szCs w:val="20"/>
          <w:rtl/>
        </w:rPr>
      </w:pPr>
      <w:r>
        <w:rPr>
          <w:rFonts w:hint="cs"/>
          <w:sz w:val="20"/>
          <w:szCs w:val="20"/>
          <w:rtl/>
        </w:rPr>
        <w:t xml:space="preserve">עוד מימד של גמישות: אנחנו מבחינים בין רשות שלטונית מסוג א' [המחוקק] לבין רשות שלטונית מסוג ב' [הרשות המבצעת] לעניין </w:t>
      </w:r>
      <w:r w:rsidRPr="00402478">
        <w:rPr>
          <w:rFonts w:hint="cs"/>
          <w:sz w:val="20"/>
          <w:szCs w:val="20"/>
          <w:highlight w:val="yellow"/>
          <w:rtl/>
        </w:rPr>
        <w:t>מרחב הפעולה</w:t>
      </w:r>
      <w:r>
        <w:rPr>
          <w:rFonts w:hint="cs"/>
          <w:sz w:val="20"/>
          <w:szCs w:val="20"/>
          <w:rtl/>
        </w:rPr>
        <w:t xml:space="preserve"> שלהן (דיברנו על הטעמים לכך בעבר). ואנחנו מבחינים גם בין מרחב הפעולה שצריך להישמר לתכלית שלטונית-חברתית א' [למשל, ביטחון] לעומת תכלית שלטונית-חברתית ב' [למשל, צרכים כלכליים]:</w:t>
      </w:r>
      <w:r w:rsidRPr="00C4365F">
        <w:rPr>
          <w:sz w:val="20"/>
          <w:szCs w:val="20"/>
          <w:rtl/>
        </w:rPr>
        <w:t xml:space="preserve">  </w:t>
      </w:r>
    </w:p>
    <w:p w:rsidR="005366A8" w:rsidRPr="00C4365F" w:rsidRDefault="005366A8" w:rsidP="005366A8">
      <w:pPr>
        <w:pStyle w:val="BodyText2"/>
        <w:spacing w:after="120"/>
        <w:ind w:left="720"/>
        <w:rPr>
          <w:b/>
          <w:bCs/>
          <w:sz w:val="20"/>
          <w:szCs w:val="20"/>
          <w:rtl/>
        </w:rPr>
      </w:pPr>
      <w:r>
        <w:rPr>
          <w:rFonts w:hint="cs"/>
          <w:sz w:val="20"/>
          <w:szCs w:val="20"/>
          <w:rtl/>
        </w:rPr>
        <w:t xml:space="preserve">במילים אחרות, יש כאן מדרג של מוסדות שנתונים לפיקוח; מדרג של זכויות שהפגיעה בהן נבחנת; ומדרג של האינטרסים שנטען כי הם מצדיקים את הפגיעה האמורה. כל פעולה של ביקורת על חוק/ חקיקת משנה/ פעולת מינהל ניצבת על כן מול גיוון, מול שילוב דברים שהוא מיוחד /לא-אחיד. קיומו של מגוון זה מצריך גיוון מקביל במידת הדווקנות שבה יופעלו </w:t>
      </w:r>
      <w:r w:rsidRPr="00C4365F">
        <w:rPr>
          <w:sz w:val="20"/>
          <w:szCs w:val="20"/>
          <w:rtl/>
        </w:rPr>
        <w:t xml:space="preserve">מבחני המשנה </w:t>
      </w:r>
      <w:r>
        <w:rPr>
          <w:rFonts w:hint="cs"/>
          <w:sz w:val="20"/>
          <w:szCs w:val="20"/>
          <w:rtl/>
        </w:rPr>
        <w:t>של המידתיות</w:t>
      </w:r>
      <w:r w:rsidRPr="00C4365F">
        <w:rPr>
          <w:sz w:val="20"/>
          <w:szCs w:val="20"/>
          <w:rtl/>
        </w:rPr>
        <w:t xml:space="preserve">.  </w:t>
      </w:r>
      <w:r w:rsidRPr="002F24A5">
        <w:rPr>
          <w:rFonts w:hint="cs"/>
          <w:sz w:val="20"/>
          <w:szCs w:val="20"/>
          <w:highlight w:val="yellow"/>
          <w:rtl/>
        </w:rPr>
        <w:t xml:space="preserve">זהו </w:t>
      </w:r>
      <w:r w:rsidRPr="002F24A5">
        <w:rPr>
          <w:b/>
          <w:bCs/>
          <w:sz w:val="20"/>
          <w:szCs w:val="20"/>
          <w:highlight w:val="yellow"/>
          <w:rtl/>
        </w:rPr>
        <w:t xml:space="preserve">"מתחם </w:t>
      </w:r>
      <w:r w:rsidRPr="002F24A5">
        <w:rPr>
          <w:rFonts w:hint="cs"/>
          <w:b/>
          <w:bCs/>
          <w:sz w:val="20"/>
          <w:szCs w:val="20"/>
          <w:highlight w:val="yellow"/>
          <w:rtl/>
        </w:rPr>
        <w:t>ה</w:t>
      </w:r>
      <w:r w:rsidRPr="002F24A5">
        <w:rPr>
          <w:b/>
          <w:bCs/>
          <w:sz w:val="20"/>
          <w:szCs w:val="20"/>
          <w:highlight w:val="yellow"/>
          <w:rtl/>
        </w:rPr>
        <w:t>מידתיות".</w:t>
      </w:r>
    </w:p>
    <w:p w:rsidR="005366A8" w:rsidRPr="00C4365F" w:rsidRDefault="005366A8" w:rsidP="005366A8">
      <w:pPr>
        <w:rPr>
          <w:sz w:val="20"/>
          <w:szCs w:val="20"/>
          <w:rtl/>
        </w:rPr>
      </w:pPr>
      <w:r w:rsidRPr="00C4365F">
        <w:rPr>
          <w:sz w:val="20"/>
          <w:szCs w:val="20"/>
          <w:rtl/>
        </w:rPr>
        <w:t xml:space="preserve">כך ביחס למבחן הראשון </w:t>
      </w:r>
      <w:r w:rsidRPr="00C4365F">
        <w:rPr>
          <w:sz w:val="20"/>
          <w:szCs w:val="20"/>
        </w:rPr>
        <w:t>–</w:t>
      </w:r>
      <w:r w:rsidRPr="00C4365F">
        <w:rPr>
          <w:sz w:val="20"/>
          <w:szCs w:val="20"/>
          <w:rtl/>
        </w:rPr>
        <w:t xml:space="preserve"> </w:t>
      </w:r>
      <w:r w:rsidRPr="00C4365F">
        <w:rPr>
          <w:b/>
          <w:bCs/>
          <w:sz w:val="20"/>
          <w:szCs w:val="20"/>
          <w:rtl/>
        </w:rPr>
        <w:t>מבחן ההתאמה</w:t>
      </w:r>
      <w:r w:rsidRPr="00C4365F">
        <w:rPr>
          <w:sz w:val="20"/>
          <w:szCs w:val="20"/>
          <w:rtl/>
        </w:rPr>
        <w:t xml:space="preserve">.  אין נדרשת ודאות מוחלטת כי הפעולה השלטונית תגשים באופן מוחלט את תכליתה.  די במידה נאותה של הסתברות כי הפעולה הפוגעת בזכות/ אינטרס תתרום במידה סבירה להשגת התכלית.  הנאותות והסבירות ייקבעו בהתאם למידת החשיבות היחסית של הזכות/אינטרס </w:t>
      </w:r>
      <w:r>
        <w:rPr>
          <w:rFonts w:hint="cs"/>
          <w:sz w:val="20"/>
          <w:szCs w:val="20"/>
          <w:rtl/>
        </w:rPr>
        <w:t xml:space="preserve">(ועוצמת הפגיעה בה) </w:t>
      </w:r>
      <w:r w:rsidRPr="00C4365F">
        <w:rPr>
          <w:sz w:val="20"/>
          <w:szCs w:val="20"/>
          <w:rtl/>
        </w:rPr>
        <w:t xml:space="preserve">אל מול התכלית שהרשות מבקשת את הגשמתה.  </w:t>
      </w:r>
    </w:p>
    <w:p w:rsidR="005366A8" w:rsidRDefault="005366A8" w:rsidP="005366A8">
      <w:pPr>
        <w:ind w:left="720"/>
        <w:rPr>
          <w:sz w:val="20"/>
          <w:szCs w:val="20"/>
          <w:rtl/>
        </w:rPr>
      </w:pPr>
      <w:r w:rsidRPr="00C4365F">
        <w:rPr>
          <w:sz w:val="20"/>
          <w:szCs w:val="20"/>
          <w:rtl/>
        </w:rPr>
        <w:t>כך למשל, הגם שאין בכוחה של הריסת בתיהם של מחבלים מתאבדים להרתיע באופן מלא מביצוע פיגועים בעתיד, נפסק כי קיום אמצעי זה עשוי להרתיע מפני ביצוע פיגועים מסוימים, ולנוכח משקלה הכבד של התכלית של מניעת פיגועים קטלניים די בכך כדי לעמוד במבחן ההתאמה.</w:t>
      </w:r>
      <w:r>
        <w:rPr>
          <w:rFonts w:hint="cs"/>
          <w:sz w:val="20"/>
          <w:szCs w:val="20"/>
          <w:rtl/>
        </w:rPr>
        <w:t xml:space="preserve"> </w:t>
      </w:r>
    </w:p>
    <w:p w:rsidR="005366A8" w:rsidRPr="00F701F4" w:rsidRDefault="005366A8" w:rsidP="005366A8">
      <w:pPr>
        <w:spacing w:after="120"/>
        <w:ind w:left="1440"/>
        <w:rPr>
          <w:i/>
          <w:iCs/>
          <w:sz w:val="20"/>
          <w:szCs w:val="20"/>
          <w:rtl/>
        </w:rPr>
      </w:pPr>
      <w:r w:rsidRPr="00F701F4">
        <w:rPr>
          <w:rFonts w:hint="cs"/>
          <w:i/>
          <w:iCs/>
          <w:sz w:val="20"/>
          <w:szCs w:val="20"/>
          <w:rtl/>
        </w:rPr>
        <w:t>[ואולם האם לא ניתן להשמיע טיעונים אחרים נגד הריסת הבתים מכיוון מבחני המשנה האחרים של המידתיות?]</w:t>
      </w:r>
    </w:p>
    <w:p w:rsidR="005366A8" w:rsidRPr="00C4365F" w:rsidRDefault="005366A8" w:rsidP="005366A8">
      <w:pPr>
        <w:rPr>
          <w:sz w:val="20"/>
          <w:szCs w:val="20"/>
          <w:rtl/>
        </w:rPr>
      </w:pPr>
      <w:r w:rsidRPr="00C4365F">
        <w:rPr>
          <w:sz w:val="20"/>
          <w:szCs w:val="20"/>
          <w:rtl/>
        </w:rPr>
        <w:t xml:space="preserve">באשר </w:t>
      </w:r>
      <w:r w:rsidRPr="00C4365F">
        <w:rPr>
          <w:b/>
          <w:bCs/>
          <w:sz w:val="20"/>
          <w:szCs w:val="20"/>
          <w:rtl/>
        </w:rPr>
        <w:t>למבחן הפגיעה הפחותה</w:t>
      </w:r>
      <w:r w:rsidRPr="00C4365F">
        <w:rPr>
          <w:sz w:val="20"/>
          <w:szCs w:val="20"/>
          <w:rtl/>
        </w:rPr>
        <w:t xml:space="preserve">, לא נדרש כי האמצעי שבו הרשות תבחר להגשמת התכלית יהיה </w:t>
      </w:r>
      <w:r w:rsidRPr="00C4365F">
        <w:rPr>
          <w:sz w:val="20"/>
          <w:szCs w:val="20"/>
        </w:rPr>
        <w:t>–</w:t>
      </w:r>
      <w:r w:rsidRPr="00C4365F">
        <w:rPr>
          <w:sz w:val="20"/>
          <w:szCs w:val="20"/>
          <w:rtl/>
        </w:rPr>
        <w:t xml:space="preserve"> בכל תנאי ובכל מחיר </w:t>
      </w:r>
      <w:r w:rsidRPr="00C4365F">
        <w:rPr>
          <w:sz w:val="20"/>
          <w:szCs w:val="20"/>
        </w:rPr>
        <w:t>–</w:t>
      </w:r>
      <w:r w:rsidRPr="00C4365F">
        <w:rPr>
          <w:sz w:val="20"/>
          <w:szCs w:val="20"/>
          <w:rtl/>
        </w:rPr>
        <w:t xml:space="preserve"> האמצעי הפוגע בזכות או באינטרס במידה הפחותה ביותר האפשרית.  מטבע הדברים, המשאבים הציבוריים מוגבלים, לא ניתן ולא ראוי, לתת בכל מקרה עדיפות מוחלטת להגשמת זכויות האדם על פני שאר המשימות שרשויות השלטון נדרשות לקצוב להן ממשאביהן.</w:t>
      </w:r>
    </w:p>
    <w:p w:rsidR="005366A8" w:rsidRPr="00C4365F" w:rsidRDefault="005366A8" w:rsidP="005366A8">
      <w:pPr>
        <w:pStyle w:val="BodyText2"/>
        <w:ind w:left="720"/>
        <w:rPr>
          <w:sz w:val="20"/>
          <w:szCs w:val="20"/>
          <w:rtl/>
        </w:rPr>
      </w:pPr>
      <w:r w:rsidRPr="00C4365F">
        <w:rPr>
          <w:sz w:val="20"/>
          <w:szCs w:val="20"/>
          <w:rtl/>
        </w:rPr>
        <w:t>כך למשל, נראה כי אפשר להבטיח בכל מקרה כי חשודים ונאשמים לא יסכנו את שלום הציבור אם יוחזקו ב"מעצר בית" בפיקוח צמוד של כוח שוטרים.  ואולם לנוכח עלותו הרבה של אמצעי זה (אם ימומן על ידי המדינה) או טעמים של הימנעות מפגיעה בשוויון (אם אמצעי זה יאופשר לאותם חשודים ונאשמים המסוגלים לממן אותו), הרי שאמצעי זה יינקט, אם בכלל, רק בנסיבות נדירות.</w:t>
      </w:r>
    </w:p>
    <w:p w:rsidR="005366A8" w:rsidRPr="00C4365F" w:rsidRDefault="005366A8" w:rsidP="005366A8">
      <w:pPr>
        <w:ind w:left="720"/>
        <w:rPr>
          <w:sz w:val="20"/>
          <w:szCs w:val="20"/>
          <w:rtl/>
        </w:rPr>
      </w:pPr>
      <w:r w:rsidRPr="00C4365F">
        <w:rPr>
          <w:sz w:val="20"/>
          <w:szCs w:val="20"/>
          <w:rtl/>
        </w:rPr>
        <w:t xml:space="preserve">דוגמא אחרת: נפסק כי מתן רשיון לעריכת אירוע </w:t>
      </w:r>
      <w:r w:rsidRPr="002D6017">
        <w:rPr>
          <w:i/>
          <w:iCs/>
          <w:sz w:val="20"/>
          <w:szCs w:val="20"/>
          <w:rtl/>
        </w:rPr>
        <w:t>תרבותי-מסחרי</w:t>
      </w:r>
      <w:r w:rsidRPr="00C4365F">
        <w:rPr>
          <w:sz w:val="20"/>
          <w:szCs w:val="20"/>
          <w:rtl/>
        </w:rPr>
        <w:t xml:space="preserve"> יכול להיות מותנה בכך שמפיקיו יממנו העסקה של שוטרים בשכר לצורך אבטחתו.  זאת הגם שזכויות שונות של </w:t>
      </w:r>
      <w:r>
        <w:rPr>
          <w:rFonts w:hint="cs"/>
          <w:sz w:val="20"/>
          <w:szCs w:val="20"/>
          <w:rtl/>
        </w:rPr>
        <w:t>מארגני</w:t>
      </w:r>
      <w:r w:rsidRPr="00C4365F">
        <w:rPr>
          <w:sz w:val="20"/>
          <w:szCs w:val="20"/>
          <w:rtl/>
        </w:rPr>
        <w:t xml:space="preserve"> האירוע והמשתתפים בו </w:t>
      </w:r>
      <w:r w:rsidRPr="00C4365F">
        <w:rPr>
          <w:sz w:val="20"/>
          <w:szCs w:val="20"/>
        </w:rPr>
        <w:t>–</w:t>
      </w:r>
      <w:r w:rsidRPr="00C4365F">
        <w:rPr>
          <w:sz w:val="20"/>
          <w:szCs w:val="20"/>
          <w:rtl/>
        </w:rPr>
        <w:t xml:space="preserve"> כגון חופש העיסוק והקניין </w:t>
      </w:r>
      <w:r w:rsidRPr="00C4365F">
        <w:rPr>
          <w:sz w:val="20"/>
          <w:szCs w:val="20"/>
        </w:rPr>
        <w:t>–</w:t>
      </w:r>
      <w:r w:rsidRPr="00C4365F">
        <w:rPr>
          <w:sz w:val="20"/>
          <w:szCs w:val="20"/>
          <w:rtl/>
        </w:rPr>
        <w:t xml:space="preserve"> הנפגעות עקב הדרישה הנזכרת, לא היו נפגעות כלל אילו המשטרה היתה מספקת את האבטחה הנדרשת ללא תשלום.</w:t>
      </w:r>
    </w:p>
    <w:p w:rsidR="005366A8" w:rsidRDefault="005366A8" w:rsidP="005366A8">
      <w:pPr>
        <w:ind w:left="720"/>
        <w:rPr>
          <w:rtl/>
        </w:rPr>
      </w:pPr>
      <w:r w:rsidRPr="00C4365F">
        <w:rPr>
          <w:sz w:val="20"/>
          <w:szCs w:val="20"/>
          <w:rtl/>
        </w:rPr>
        <w:t xml:space="preserve">מנגד: מקום שבו על הפרק עומדת זכות שמשקלה כבד במיוחד </w:t>
      </w:r>
      <w:r w:rsidRPr="00C4365F">
        <w:rPr>
          <w:sz w:val="20"/>
          <w:szCs w:val="20"/>
        </w:rPr>
        <w:t>–</w:t>
      </w:r>
      <w:r w:rsidRPr="00C4365F">
        <w:rPr>
          <w:sz w:val="20"/>
          <w:szCs w:val="20"/>
          <w:rtl/>
        </w:rPr>
        <w:t xml:space="preserve"> כגון הזכות לכבוד </w:t>
      </w:r>
      <w:r w:rsidRPr="00C4365F">
        <w:rPr>
          <w:sz w:val="20"/>
          <w:szCs w:val="20"/>
        </w:rPr>
        <w:t>–</w:t>
      </w:r>
      <w:r w:rsidRPr="00C4365F">
        <w:rPr>
          <w:sz w:val="20"/>
          <w:szCs w:val="20"/>
          <w:rtl/>
        </w:rPr>
        <w:t xml:space="preserve"> </w:t>
      </w:r>
      <w:r w:rsidRPr="00C4365F">
        <w:rPr>
          <w:rFonts w:hint="cs"/>
          <w:sz w:val="20"/>
          <w:szCs w:val="20"/>
          <w:rtl/>
        </w:rPr>
        <w:t>צפויה</w:t>
      </w:r>
      <w:r w:rsidRPr="00C4365F">
        <w:rPr>
          <w:sz w:val="20"/>
          <w:szCs w:val="20"/>
          <w:rtl/>
        </w:rPr>
        <w:t xml:space="preserve"> הרשות להידרש להשיג את תכליתה באמצעים פוגעניים פחות גם אם עלוּתם נכבדה.  [</w:t>
      </w:r>
      <w:r>
        <w:rPr>
          <w:rFonts w:hint="cs"/>
          <w:sz w:val="20"/>
          <w:szCs w:val="20"/>
          <w:rtl/>
        </w:rPr>
        <w:t xml:space="preserve">פס"ד </w:t>
      </w:r>
      <w:r w:rsidRPr="00C4365F">
        <w:rPr>
          <w:b/>
          <w:bCs/>
          <w:sz w:val="20"/>
          <w:szCs w:val="20"/>
          <w:rtl/>
        </w:rPr>
        <w:t>צמח</w:t>
      </w:r>
      <w:r w:rsidRPr="00C4365F">
        <w:rPr>
          <w:sz w:val="20"/>
          <w:szCs w:val="20"/>
          <w:rtl/>
        </w:rPr>
        <w:t xml:space="preserve"> </w:t>
      </w:r>
      <w:r w:rsidRPr="00C4365F">
        <w:rPr>
          <w:sz w:val="20"/>
          <w:szCs w:val="20"/>
        </w:rPr>
        <w:t>–</w:t>
      </w:r>
      <w:r w:rsidRPr="00C4365F">
        <w:rPr>
          <w:sz w:val="20"/>
          <w:szCs w:val="20"/>
          <w:rtl/>
        </w:rPr>
        <w:t xml:space="preserve"> זכות-העל של חירות הגוף </w:t>
      </w:r>
      <w:r w:rsidRPr="00C4365F">
        <w:rPr>
          <w:sz w:val="20"/>
          <w:szCs w:val="20"/>
        </w:rPr>
        <w:t>–</w:t>
      </w:r>
      <w:r w:rsidRPr="00C4365F">
        <w:rPr>
          <w:sz w:val="20"/>
          <w:szCs w:val="20"/>
          <w:rtl/>
        </w:rPr>
        <w:t xml:space="preserve"> התערבות ב</w:t>
      </w:r>
      <w:r>
        <w:rPr>
          <w:rFonts w:hint="cs"/>
          <w:sz w:val="20"/>
          <w:szCs w:val="20"/>
          <w:rtl/>
        </w:rPr>
        <w:t>אורך</w:t>
      </w:r>
      <w:r w:rsidRPr="00C4365F">
        <w:rPr>
          <w:sz w:val="20"/>
          <w:szCs w:val="20"/>
          <w:rtl/>
        </w:rPr>
        <w:t xml:space="preserve"> תקופת מעצר חיילים על ידי שוטר צבאי</w:t>
      </w:r>
      <w:r>
        <w:rPr>
          <w:rFonts w:hint="cs"/>
          <w:sz w:val="20"/>
          <w:szCs w:val="20"/>
          <w:rtl/>
        </w:rPr>
        <w:t xml:space="preserve">; פס"ד </w:t>
      </w:r>
      <w:r w:rsidRPr="002D6017">
        <w:rPr>
          <w:rFonts w:hint="cs"/>
          <w:b/>
          <w:bCs/>
          <w:sz w:val="20"/>
          <w:szCs w:val="20"/>
          <w:rtl/>
        </w:rPr>
        <w:t>מטה הרוב</w:t>
      </w:r>
      <w:r>
        <w:rPr>
          <w:rFonts w:hint="cs"/>
          <w:sz w:val="20"/>
          <w:szCs w:val="20"/>
          <w:rtl/>
        </w:rPr>
        <w:t xml:space="preserve"> וההתניות שביקשו להטיל בו על ההפגנה</w:t>
      </w:r>
      <w:r w:rsidRPr="00C4365F">
        <w:rPr>
          <w:sz w:val="20"/>
          <w:szCs w:val="20"/>
          <w:rtl/>
        </w:rPr>
        <w:t>].</w:t>
      </w:r>
      <w:r w:rsidRPr="00756579">
        <w:rPr>
          <w:rFonts w:ascii="Arial" w:hAnsi="Arial" w:cs="Arial"/>
          <w:b/>
          <w:bCs/>
          <w:rtl/>
        </w:rPr>
        <w:t xml:space="preserve"> </w:t>
      </w:r>
    </w:p>
    <w:p w:rsidR="005366A8" w:rsidRDefault="005366A8" w:rsidP="005366A8">
      <w:pPr>
        <w:rPr>
          <w:rtl/>
        </w:rPr>
      </w:pPr>
      <w:r>
        <w:rPr>
          <w:rFonts w:hint="cs"/>
          <w:rtl/>
        </w:rPr>
        <w:t>=-=</w:t>
      </w:r>
    </w:p>
    <w:p w:rsidR="005366A8" w:rsidRPr="001A44A0" w:rsidRDefault="005366A8" w:rsidP="005366A8">
      <w:pPr>
        <w:spacing w:after="60"/>
        <w:rPr>
          <w:rFonts w:cs="David"/>
          <w:sz w:val="20"/>
          <w:szCs w:val="20"/>
          <w:rtl/>
        </w:rPr>
      </w:pPr>
      <w:r w:rsidRPr="001A44A0">
        <w:rPr>
          <w:rFonts w:cs="David" w:hint="cs"/>
          <w:b/>
          <w:bCs/>
          <w:sz w:val="20"/>
          <w:szCs w:val="20"/>
          <w:highlight w:val="green"/>
          <w:rtl/>
        </w:rPr>
        <w:t>קריאה לפגישה הקרובה</w:t>
      </w:r>
      <w:r w:rsidRPr="001A44A0">
        <w:rPr>
          <w:rFonts w:cs="David" w:hint="cs"/>
          <w:sz w:val="20"/>
          <w:szCs w:val="20"/>
          <w:rtl/>
        </w:rPr>
        <w:t xml:space="preserve">: </w:t>
      </w:r>
    </w:p>
    <w:p w:rsidR="005366A8" w:rsidRPr="001A44A0" w:rsidRDefault="005366A8" w:rsidP="005366A8">
      <w:pPr>
        <w:pStyle w:val="T-body"/>
        <w:spacing w:after="60" w:line="240" w:lineRule="auto"/>
        <w:rPr>
          <w:sz w:val="20"/>
          <w:szCs w:val="20"/>
          <w:rtl/>
        </w:rPr>
      </w:pPr>
      <w:r w:rsidRPr="001A44A0">
        <w:rPr>
          <w:rFonts w:cs="David" w:hint="cs"/>
          <w:sz w:val="20"/>
          <w:szCs w:val="20"/>
          <w:rtl/>
        </w:rPr>
        <w:t xml:space="preserve">פס"ד </w:t>
      </w:r>
      <w:r w:rsidRPr="001A44A0">
        <w:rPr>
          <w:rFonts w:cs="David" w:hint="cs"/>
          <w:b/>
          <w:bCs/>
          <w:sz w:val="20"/>
          <w:szCs w:val="20"/>
          <w:rtl/>
        </w:rPr>
        <w:t>המרכז האקדמי למשפט ועסקים</w:t>
      </w:r>
      <w:r w:rsidRPr="001A44A0">
        <w:rPr>
          <w:rFonts w:cs="David" w:hint="cs"/>
          <w:sz w:val="20"/>
          <w:szCs w:val="20"/>
          <w:rtl/>
        </w:rPr>
        <w:t xml:space="preserve"> </w:t>
      </w:r>
      <w:r w:rsidRPr="001A44A0">
        <w:rPr>
          <w:rFonts w:cs="David"/>
          <w:sz w:val="20"/>
          <w:szCs w:val="20"/>
          <w:rtl/>
        </w:rPr>
        <w:t>–</w:t>
      </w:r>
      <w:r w:rsidRPr="001A44A0">
        <w:rPr>
          <w:rFonts w:cs="David" w:hint="cs"/>
          <w:sz w:val="20"/>
          <w:szCs w:val="20"/>
          <w:rtl/>
        </w:rPr>
        <w:t xml:space="preserve"> פס"ד חשוב שעניינו חוקתיותו של </w:t>
      </w:r>
      <w:r w:rsidRPr="00250709">
        <w:rPr>
          <w:rFonts w:cs="David" w:hint="cs"/>
          <w:b/>
          <w:bCs/>
          <w:sz w:val="20"/>
          <w:szCs w:val="20"/>
          <w:rtl/>
        </w:rPr>
        <w:t>בית סוהר פרטי (בפיקוח ציבורי)</w:t>
      </w:r>
      <w:r w:rsidRPr="001A44A0">
        <w:rPr>
          <w:rFonts w:cs="David" w:hint="cs"/>
          <w:sz w:val="20"/>
          <w:szCs w:val="20"/>
          <w:rtl/>
        </w:rPr>
        <w:t xml:space="preserve">. קראו את הסעיפים המבוקשים </w:t>
      </w:r>
      <w:r>
        <w:rPr>
          <w:rFonts w:cs="David" w:hint="cs"/>
          <w:sz w:val="20"/>
          <w:szCs w:val="20"/>
          <w:rtl/>
        </w:rPr>
        <w:t xml:space="preserve">בסילבוס, </w:t>
      </w:r>
      <w:r w:rsidRPr="003B4E25">
        <w:rPr>
          <w:rFonts w:cs="David" w:hint="cs"/>
          <w:b/>
          <w:bCs/>
          <w:sz w:val="20"/>
          <w:szCs w:val="20"/>
          <w:rtl/>
        </w:rPr>
        <w:t xml:space="preserve">ונסו להבין את ההנמקה המורכבת </w:t>
      </w:r>
      <w:r w:rsidRPr="00250709">
        <w:rPr>
          <w:rFonts w:cs="David" w:hint="cs"/>
          <w:sz w:val="20"/>
          <w:szCs w:val="20"/>
          <w:rtl/>
        </w:rPr>
        <w:t>המלווה את ההכרעה הניתנת</w:t>
      </w:r>
      <w:r w:rsidRPr="001A44A0">
        <w:rPr>
          <w:rFonts w:cs="David" w:hint="cs"/>
          <w:sz w:val="20"/>
          <w:szCs w:val="20"/>
          <w:rtl/>
        </w:rPr>
        <w:t>.</w:t>
      </w:r>
    </w:p>
    <w:p w:rsidR="005366A8" w:rsidRPr="007B204F" w:rsidRDefault="005366A8" w:rsidP="005366A8">
      <w:pPr>
        <w:rPr>
          <w:rtl/>
        </w:rPr>
      </w:pPr>
      <w:r w:rsidRPr="001A44A0">
        <w:rPr>
          <w:rFonts w:cs="David" w:hint="cs"/>
          <w:sz w:val="20"/>
          <w:szCs w:val="20"/>
          <w:rtl/>
        </w:rPr>
        <w:t xml:space="preserve">פס"ד </w:t>
      </w:r>
      <w:r w:rsidRPr="001A44A0">
        <w:rPr>
          <w:rFonts w:cs="David" w:hint="cs"/>
          <w:b/>
          <w:bCs/>
          <w:sz w:val="20"/>
          <w:szCs w:val="20"/>
          <w:rtl/>
        </w:rPr>
        <w:t xml:space="preserve">מיטראל </w:t>
      </w:r>
      <w:r w:rsidRPr="001A44A0">
        <w:rPr>
          <w:rFonts w:cs="David"/>
          <w:sz w:val="20"/>
          <w:szCs w:val="20"/>
          <w:rtl/>
        </w:rPr>
        <w:t>–</w:t>
      </w:r>
      <w:r>
        <w:rPr>
          <w:rFonts w:cs="David" w:hint="cs"/>
          <w:sz w:val="20"/>
          <w:szCs w:val="20"/>
          <w:rtl/>
        </w:rPr>
        <w:t xml:space="preserve"> </w:t>
      </w:r>
      <w:r w:rsidRPr="003B4E25">
        <w:rPr>
          <w:rFonts w:cs="David" w:hint="cs"/>
          <w:b/>
          <w:bCs/>
          <w:sz w:val="20"/>
          <w:szCs w:val="20"/>
          <w:rtl/>
        </w:rPr>
        <w:t xml:space="preserve">כיצד תופעל "פסקת ההתגברות" במצבים של פגיעה </w:t>
      </w:r>
      <w:r>
        <w:rPr>
          <w:rFonts w:cs="David" w:hint="cs"/>
          <w:b/>
          <w:bCs/>
          <w:sz w:val="20"/>
          <w:szCs w:val="20"/>
          <w:rtl/>
        </w:rPr>
        <w:t>מורכבת</w:t>
      </w:r>
      <w:r w:rsidRPr="003B4E25">
        <w:rPr>
          <w:rFonts w:cs="David" w:hint="cs"/>
          <w:b/>
          <w:bCs/>
          <w:sz w:val="20"/>
          <w:szCs w:val="20"/>
          <w:rtl/>
        </w:rPr>
        <w:t>, כלומר</w:t>
      </w:r>
      <w:r>
        <w:rPr>
          <w:rFonts w:cs="David" w:hint="cs"/>
          <w:b/>
          <w:bCs/>
          <w:sz w:val="20"/>
          <w:szCs w:val="20"/>
          <w:rtl/>
        </w:rPr>
        <w:t xml:space="preserve"> פגיעה שאינה </w:t>
      </w:r>
      <w:r w:rsidRPr="003B4E25">
        <w:rPr>
          <w:rFonts w:cs="David" w:hint="cs"/>
          <w:b/>
          <w:bCs/>
          <w:sz w:val="20"/>
          <w:szCs w:val="20"/>
          <w:rtl/>
        </w:rPr>
        <w:t>רק בזכות לחופש העיסוק, אלא גם בזכויות המוגנות בחוק יסוד: כבוד האדם וחירותו?</w:t>
      </w:r>
      <w:r>
        <w:rPr>
          <w:rFonts w:cs="David" w:hint="cs"/>
          <w:sz w:val="20"/>
          <w:szCs w:val="20"/>
          <w:rtl/>
        </w:rPr>
        <w:t xml:space="preserve"> (</w:t>
      </w:r>
      <w:r w:rsidRPr="001A44A0">
        <w:rPr>
          <w:rFonts w:cs="David" w:hint="cs"/>
          <w:sz w:val="20"/>
          <w:szCs w:val="20"/>
          <w:rtl/>
        </w:rPr>
        <w:t>יש כאן</w:t>
      </w:r>
      <w:r>
        <w:rPr>
          <w:rFonts w:cs="David" w:hint="cs"/>
          <w:sz w:val="20"/>
          <w:szCs w:val="20"/>
          <w:rtl/>
        </w:rPr>
        <w:t>, בפסק הדין,</w:t>
      </w:r>
      <w:r w:rsidRPr="001A44A0">
        <w:rPr>
          <w:rFonts w:cs="David" w:hint="cs"/>
          <w:sz w:val="20"/>
          <w:szCs w:val="20"/>
          <w:rtl/>
        </w:rPr>
        <w:t xml:space="preserve"> גם עיסוק </w:t>
      </w:r>
      <w:r>
        <w:rPr>
          <w:rFonts w:cs="David" w:hint="cs"/>
          <w:sz w:val="20"/>
          <w:szCs w:val="20"/>
          <w:rtl/>
        </w:rPr>
        <w:t xml:space="preserve">נוסף, קצר, </w:t>
      </w:r>
      <w:r w:rsidRPr="001A44A0">
        <w:rPr>
          <w:rFonts w:cs="David" w:hint="cs"/>
          <w:sz w:val="20"/>
          <w:szCs w:val="20"/>
          <w:rtl/>
        </w:rPr>
        <w:t>בביקורת השיפוטית המטא-טקסטואלית).</w:t>
      </w:r>
    </w:p>
    <w:p w:rsidR="005366A8" w:rsidRDefault="005366A8">
      <w:pPr>
        <w:bidi w:val="0"/>
        <w:jc w:val="left"/>
        <w:rPr>
          <w:sz w:val="22"/>
          <w:szCs w:val="22"/>
          <w:rtl/>
        </w:rPr>
      </w:pPr>
      <w:r>
        <w:rPr>
          <w:sz w:val="22"/>
          <w:szCs w:val="22"/>
          <w:rtl/>
        </w:rPr>
        <w:br w:type="page"/>
      </w:r>
    </w:p>
    <w:p w:rsidR="005366A8" w:rsidRPr="001C6701" w:rsidRDefault="005366A8" w:rsidP="005366A8">
      <w:pPr>
        <w:spacing w:after="120"/>
        <w:jc w:val="right"/>
        <w:rPr>
          <w:sz w:val="22"/>
          <w:szCs w:val="22"/>
          <w:rtl/>
        </w:rPr>
      </w:pPr>
      <w:r w:rsidRPr="007F6E4F">
        <w:rPr>
          <w:rFonts w:hint="cs"/>
          <w:b/>
          <w:bCs/>
          <w:sz w:val="22"/>
          <w:szCs w:val="22"/>
          <w:rtl/>
        </w:rPr>
        <w:t>משפט ציבורי</w:t>
      </w:r>
      <w:r>
        <w:rPr>
          <w:rFonts w:hint="cs"/>
          <w:sz w:val="22"/>
          <w:szCs w:val="22"/>
          <w:rtl/>
        </w:rPr>
        <w:t xml:space="preserve">, </w:t>
      </w:r>
      <w:r w:rsidRPr="00C4131E">
        <w:rPr>
          <w:rFonts w:hint="cs"/>
          <w:i/>
          <w:iCs/>
          <w:sz w:val="22"/>
          <w:szCs w:val="22"/>
          <w:rtl/>
        </w:rPr>
        <w:t>תשע"</w:t>
      </w:r>
      <w:r>
        <w:rPr>
          <w:rFonts w:hint="cs"/>
          <w:i/>
          <w:iCs/>
          <w:sz w:val="22"/>
          <w:szCs w:val="22"/>
          <w:rtl/>
        </w:rPr>
        <w:t>ה</w:t>
      </w:r>
      <w:r>
        <w:rPr>
          <w:rFonts w:hint="cs"/>
          <w:sz w:val="22"/>
          <w:szCs w:val="22"/>
          <w:rtl/>
        </w:rPr>
        <w:t xml:space="preserve">, </w:t>
      </w:r>
      <w:r w:rsidRPr="007F6E4F">
        <w:rPr>
          <w:rFonts w:hint="cs"/>
          <w:b/>
          <w:bCs/>
          <w:sz w:val="22"/>
          <w:szCs w:val="22"/>
          <w:rtl/>
        </w:rPr>
        <w:t>סמסטר א',</w:t>
      </w:r>
      <w:r>
        <w:rPr>
          <w:rFonts w:hint="cs"/>
          <w:sz w:val="22"/>
          <w:szCs w:val="22"/>
          <w:rtl/>
        </w:rPr>
        <w:t xml:space="preserve"> ד"ר אילן סבן, דצמבר 2014, </w:t>
      </w:r>
      <w:r w:rsidRPr="005366A8">
        <w:rPr>
          <w:rFonts w:hint="cs"/>
          <w:b/>
          <w:bCs/>
          <w:i/>
          <w:iCs/>
          <w:sz w:val="22"/>
          <w:szCs w:val="22"/>
          <w:highlight w:val="magenta"/>
          <w:u w:val="single"/>
          <w:rtl/>
        </w:rPr>
        <w:t>פגישה 16</w:t>
      </w:r>
    </w:p>
    <w:p w:rsidR="005366A8" w:rsidRPr="00A4463F" w:rsidRDefault="005366A8" w:rsidP="005366A8">
      <w:pPr>
        <w:jc w:val="center"/>
        <w:rPr>
          <w:rFonts w:ascii="Arial" w:hAnsi="Arial" w:cs="Guttman-Soncino"/>
          <w:b/>
          <w:bCs/>
          <w:sz w:val="32"/>
          <w:szCs w:val="32"/>
          <w:highlight w:val="yellow"/>
          <w:rtl/>
        </w:rPr>
      </w:pPr>
      <w:r w:rsidRPr="00A4463F">
        <w:rPr>
          <w:rFonts w:ascii="Arial" w:hAnsi="Arial" w:cs="Guttman-Soncino"/>
          <w:b/>
          <w:bCs/>
          <w:sz w:val="32"/>
          <w:szCs w:val="32"/>
          <w:highlight w:val="yellow"/>
          <w:rtl/>
        </w:rPr>
        <w:t>החוקה הפורמ</w:t>
      </w:r>
      <w:r w:rsidRPr="00A4463F">
        <w:rPr>
          <w:rFonts w:ascii="Arial" w:hAnsi="Arial" w:cs="Guttman-Soncino" w:hint="cs"/>
          <w:b/>
          <w:bCs/>
          <w:sz w:val="32"/>
          <w:szCs w:val="32"/>
          <w:highlight w:val="yellow"/>
          <w:rtl/>
        </w:rPr>
        <w:t>א</w:t>
      </w:r>
      <w:r w:rsidRPr="00A4463F">
        <w:rPr>
          <w:rFonts w:ascii="Arial" w:hAnsi="Arial" w:cs="Guttman-Soncino"/>
          <w:b/>
          <w:bCs/>
          <w:sz w:val="32"/>
          <w:szCs w:val="32"/>
          <w:highlight w:val="yellow"/>
          <w:rtl/>
        </w:rPr>
        <w:t>לית של ישראל</w:t>
      </w:r>
      <w:r w:rsidRPr="00A4463F">
        <w:rPr>
          <w:rFonts w:ascii="Arial" w:hAnsi="Arial" w:cs="Guttman-Soncino" w:hint="cs"/>
          <w:b/>
          <w:bCs/>
          <w:sz w:val="32"/>
          <w:szCs w:val="32"/>
          <w:highlight w:val="yellow"/>
          <w:rtl/>
        </w:rPr>
        <w:t xml:space="preserve"> </w:t>
      </w:r>
    </w:p>
    <w:p w:rsidR="005366A8" w:rsidRDefault="005366A8" w:rsidP="005366A8">
      <w:pPr>
        <w:jc w:val="center"/>
        <w:rPr>
          <w:rFonts w:ascii="Arial" w:hAnsi="Arial" w:cs="Arial"/>
          <w:b/>
          <w:bCs/>
          <w:rtl/>
        </w:rPr>
      </w:pPr>
      <w:r w:rsidRPr="00A4463F">
        <w:rPr>
          <w:rFonts w:ascii="Arial" w:hAnsi="Arial" w:cs="Guttman-Soncino" w:hint="cs"/>
          <w:b/>
          <w:bCs/>
          <w:sz w:val="32"/>
          <w:szCs w:val="32"/>
          <w:highlight w:val="yellow"/>
          <w:rtl/>
        </w:rPr>
        <w:t>פסקת ההגבלה (המשך)</w:t>
      </w:r>
    </w:p>
    <w:p w:rsidR="005366A8" w:rsidRDefault="005366A8" w:rsidP="005366A8">
      <w:pPr>
        <w:rPr>
          <w:rFonts w:ascii="Arial" w:hAnsi="Arial" w:cs="Arial"/>
          <w:rtl/>
        </w:rPr>
      </w:pPr>
    </w:p>
    <w:p w:rsidR="005366A8" w:rsidRPr="004D32CB" w:rsidRDefault="005366A8" w:rsidP="005366A8">
      <w:pPr>
        <w:spacing w:after="120"/>
        <w:rPr>
          <w:rFonts w:cs="Guttman-Soncino"/>
          <w:sz w:val="22"/>
          <w:szCs w:val="22"/>
          <w:rtl/>
        </w:rPr>
      </w:pPr>
      <w:r w:rsidRPr="004D32CB">
        <w:rPr>
          <w:rFonts w:cs="Guttman-Soncino" w:hint="cs"/>
          <w:sz w:val="22"/>
          <w:szCs w:val="22"/>
          <w:rtl/>
        </w:rPr>
        <w:t>המשך קצר לדיון בחוק יסוד: משאל עם</w:t>
      </w:r>
    </w:p>
    <w:p w:rsidR="005366A8" w:rsidRPr="004D32CB" w:rsidRDefault="005366A8" w:rsidP="005366A8">
      <w:pPr>
        <w:spacing w:after="120"/>
        <w:rPr>
          <w:sz w:val="22"/>
          <w:szCs w:val="22"/>
          <w:rtl/>
        </w:rPr>
      </w:pPr>
      <w:r w:rsidRPr="004D32CB">
        <w:rPr>
          <w:rFonts w:hint="cs"/>
          <w:sz w:val="22"/>
          <w:szCs w:val="22"/>
          <w:rtl/>
        </w:rPr>
        <w:t>דברים שכבר אמרתי ותוספת המצטרפת אליהם.</w:t>
      </w:r>
    </w:p>
    <w:p w:rsidR="005366A8" w:rsidRPr="004D32CB" w:rsidRDefault="005366A8" w:rsidP="005366A8">
      <w:pPr>
        <w:spacing w:after="120"/>
        <w:rPr>
          <w:sz w:val="22"/>
          <w:szCs w:val="22"/>
          <w:rtl/>
        </w:rPr>
      </w:pPr>
      <w:r w:rsidRPr="004D32CB">
        <w:rPr>
          <w:sz w:val="22"/>
          <w:szCs w:val="22"/>
          <w:rtl/>
        </w:rPr>
        <w:t xml:space="preserve">לדעתי </w:t>
      </w:r>
      <w:r w:rsidRPr="004D32CB">
        <w:rPr>
          <w:b/>
          <w:bCs/>
          <w:sz w:val="22"/>
          <w:szCs w:val="22"/>
          <w:rtl/>
        </w:rPr>
        <w:t>חוק יסוד: משאל עם</w:t>
      </w:r>
      <w:r w:rsidRPr="004D32CB">
        <w:rPr>
          <w:rFonts w:hint="cs"/>
          <w:sz w:val="22"/>
          <w:szCs w:val="22"/>
          <w:rtl/>
        </w:rPr>
        <w:t xml:space="preserve"> הוא התפתחות שהיא כנראה גורלית</w:t>
      </w:r>
      <w:r w:rsidRPr="004D32CB">
        <w:rPr>
          <w:sz w:val="22"/>
          <w:szCs w:val="22"/>
          <w:rtl/>
        </w:rPr>
        <w:t xml:space="preserve">. </w:t>
      </w:r>
      <w:r w:rsidRPr="004D32CB">
        <w:rPr>
          <w:rFonts w:hint="cs"/>
          <w:sz w:val="22"/>
          <w:szCs w:val="22"/>
          <w:highlight w:val="yellow"/>
          <w:rtl/>
        </w:rPr>
        <w:t xml:space="preserve">זה נכון למרות שחוק היסוד לכאורה לא </w:t>
      </w:r>
      <w:r w:rsidRPr="004D32CB">
        <w:rPr>
          <w:sz w:val="22"/>
          <w:szCs w:val="22"/>
          <w:highlight w:val="yellow"/>
          <w:rtl/>
        </w:rPr>
        <w:t>עוסק בגדה המערבית</w:t>
      </w:r>
      <w:r w:rsidRPr="004D32CB">
        <w:rPr>
          <w:rFonts w:hint="cs"/>
          <w:sz w:val="22"/>
          <w:szCs w:val="22"/>
          <w:highlight w:val="yellow"/>
          <w:rtl/>
        </w:rPr>
        <w:t xml:space="preserve">. זאת משום שחוק היסוד </w:t>
      </w:r>
      <w:r w:rsidRPr="004D32CB">
        <w:rPr>
          <w:sz w:val="22"/>
          <w:szCs w:val="22"/>
          <w:highlight w:val="yellow"/>
          <w:rtl/>
        </w:rPr>
        <w:t xml:space="preserve">עוסק </w:t>
      </w:r>
      <w:r w:rsidRPr="004D32CB">
        <w:rPr>
          <w:rFonts w:hint="cs"/>
          <w:sz w:val="22"/>
          <w:szCs w:val="22"/>
          <w:highlight w:val="yellow"/>
          <w:rtl/>
        </w:rPr>
        <w:t>ב</w:t>
      </w:r>
      <w:r w:rsidRPr="004D32CB">
        <w:rPr>
          <w:sz w:val="22"/>
          <w:szCs w:val="22"/>
          <w:highlight w:val="yellow"/>
          <w:rtl/>
        </w:rPr>
        <w:t>ירושלים</w:t>
      </w:r>
      <w:r>
        <w:rPr>
          <w:rFonts w:hint="cs"/>
          <w:sz w:val="22"/>
          <w:szCs w:val="22"/>
          <w:highlight w:val="yellow"/>
          <w:rtl/>
        </w:rPr>
        <w:t xml:space="preserve"> המזרחית שסופחה לישראל</w:t>
      </w:r>
      <w:r w:rsidRPr="004D32CB">
        <w:rPr>
          <w:rFonts w:hint="cs"/>
          <w:sz w:val="22"/>
          <w:szCs w:val="22"/>
          <w:highlight w:val="yellow"/>
          <w:rtl/>
        </w:rPr>
        <w:t xml:space="preserve"> (וכן </w:t>
      </w:r>
      <w:r>
        <w:rPr>
          <w:rFonts w:hint="cs"/>
          <w:sz w:val="22"/>
          <w:szCs w:val="22"/>
          <w:highlight w:val="yellow"/>
          <w:rtl/>
        </w:rPr>
        <w:t xml:space="preserve">עוסק </w:t>
      </w:r>
      <w:r w:rsidRPr="004D32CB">
        <w:rPr>
          <w:rFonts w:hint="cs"/>
          <w:sz w:val="22"/>
          <w:szCs w:val="22"/>
          <w:highlight w:val="yellow"/>
          <w:rtl/>
        </w:rPr>
        <w:t>בכל סיטואציה של "חילופי שטחים"</w:t>
      </w:r>
      <w:r>
        <w:rPr>
          <w:rFonts w:hint="cs"/>
          <w:sz w:val="22"/>
          <w:szCs w:val="22"/>
          <w:highlight w:val="yellow"/>
          <w:rtl/>
        </w:rPr>
        <w:t xml:space="preserve"> בין הגדה לבין ישראל</w:t>
      </w:r>
      <w:r w:rsidRPr="004D32CB">
        <w:rPr>
          <w:rFonts w:hint="cs"/>
          <w:sz w:val="22"/>
          <w:szCs w:val="22"/>
          <w:highlight w:val="yellow"/>
          <w:rtl/>
        </w:rPr>
        <w:t xml:space="preserve">). והנה משום שירושלים תידון ותושפע מכל </w:t>
      </w:r>
      <w:r w:rsidRPr="004D32CB">
        <w:rPr>
          <w:sz w:val="22"/>
          <w:szCs w:val="22"/>
          <w:highlight w:val="yellow"/>
          <w:rtl/>
        </w:rPr>
        <w:t xml:space="preserve">הסדר עם הפלסטינים, </w:t>
      </w:r>
      <w:r w:rsidRPr="004D32CB">
        <w:rPr>
          <w:rFonts w:hint="cs"/>
          <w:sz w:val="22"/>
          <w:szCs w:val="22"/>
          <w:highlight w:val="yellow"/>
          <w:rtl/>
        </w:rPr>
        <w:t xml:space="preserve">אזי כל השפעה שכזו, </w:t>
      </w:r>
      <w:r w:rsidRPr="004D32CB">
        <w:rPr>
          <w:sz w:val="22"/>
          <w:szCs w:val="22"/>
          <w:highlight w:val="yellow"/>
          <w:rtl/>
        </w:rPr>
        <w:t>כל נגיעה בגבולות המוניציפאליים של ירושלים, תצטרך להגיע למשאל עם</w:t>
      </w:r>
      <w:r w:rsidRPr="004D32CB">
        <w:rPr>
          <w:rFonts w:hint="cs"/>
          <w:sz w:val="22"/>
          <w:szCs w:val="22"/>
          <w:highlight w:val="yellow"/>
          <w:rtl/>
        </w:rPr>
        <w:t>. כך גם ביחס לכל הסדר שמכיל חילופי שטחים, וקשה לדמיין הסכם עם הפלסטינים שלא מכיל אלמנט שכזה</w:t>
      </w:r>
      <w:r w:rsidRPr="004D32CB">
        <w:rPr>
          <w:sz w:val="22"/>
          <w:szCs w:val="22"/>
          <w:highlight w:val="yellow"/>
          <w:rtl/>
        </w:rPr>
        <w:t>.</w:t>
      </w:r>
      <w:r w:rsidRPr="004D32CB">
        <w:rPr>
          <w:sz w:val="22"/>
          <w:szCs w:val="22"/>
          <w:rtl/>
        </w:rPr>
        <w:t xml:space="preserve"> </w:t>
      </w:r>
    </w:p>
    <w:p w:rsidR="005366A8" w:rsidRPr="00EC4EC7" w:rsidRDefault="005366A8" w:rsidP="005366A8">
      <w:pPr>
        <w:pStyle w:val="big-header"/>
        <w:spacing w:before="0"/>
        <w:ind w:left="624"/>
        <w:rPr>
          <w:rStyle w:val="default"/>
          <w:rFonts w:cs="David"/>
          <w:b/>
          <w:bCs/>
          <w:sz w:val="22"/>
          <w:szCs w:val="22"/>
          <w:u w:val="single"/>
          <w:rtl/>
        </w:rPr>
      </w:pPr>
      <w:r w:rsidRPr="00EC4EC7">
        <w:rPr>
          <w:rFonts w:cs="David" w:hint="cs"/>
          <w:b/>
          <w:bCs/>
          <w:sz w:val="22"/>
          <w:szCs w:val="22"/>
          <w:highlight w:val="yellow"/>
          <w:u w:val="single"/>
          <w:rtl/>
        </w:rPr>
        <w:t>חוק-יסוד: משאל עם</w:t>
      </w:r>
    </w:p>
    <w:p w:rsidR="005366A8" w:rsidRPr="00EC4EC7" w:rsidRDefault="005D7968" w:rsidP="005366A8">
      <w:pPr>
        <w:pStyle w:val="P00"/>
        <w:spacing w:before="0" w:after="120"/>
        <w:ind w:left="1248"/>
        <w:rPr>
          <w:rStyle w:val="default"/>
          <w:rFonts w:cs="David"/>
          <w:sz w:val="22"/>
          <w:szCs w:val="22"/>
          <w:rtl/>
        </w:rPr>
      </w:pPr>
      <w:r w:rsidRPr="005D7968">
        <w:rPr>
          <w:rFonts w:cs="David"/>
          <w:sz w:val="22"/>
          <w:szCs w:val="22"/>
          <w:highlight w:val="yellow"/>
          <w:rtl/>
          <w:lang w:val="he-IL"/>
        </w:rPr>
        <w:pict>
          <v:rect id="_x0000_s1179" style="position:absolute;left:0;text-align:left;margin-left:365.15pt;margin-top:8.05pt;width:174.4pt;height:16pt;z-index:251823104" o:allowincell="f" filled="f" stroked="f" strokecolor="lime" strokeweight=".25pt">
            <v:textbox inset="0,0,0,0">
              <w:txbxContent>
                <w:p w:rsidR="005366A8" w:rsidRDefault="005366A8" w:rsidP="005366A8">
                  <w:pPr>
                    <w:spacing w:line="160" w:lineRule="exact"/>
                    <w:rPr>
                      <w:rFonts w:cs="Miriam"/>
                      <w:noProof/>
                      <w:szCs w:val="18"/>
                      <w:rtl/>
                    </w:rPr>
                  </w:pPr>
                  <w:r>
                    <w:rPr>
                      <w:rFonts w:cs="Miriam" w:hint="cs"/>
                      <w:szCs w:val="18"/>
                      <w:rtl/>
                    </w:rPr>
                    <w:t>משאל עם</w:t>
                  </w:r>
                </w:p>
              </w:txbxContent>
            </v:textbox>
            <w10:anchorlock/>
          </v:rect>
        </w:pict>
      </w:r>
      <w:r w:rsidR="005366A8" w:rsidRPr="00EC4EC7">
        <w:rPr>
          <w:rStyle w:val="big-number"/>
          <w:rFonts w:cs="David"/>
          <w:sz w:val="22"/>
          <w:szCs w:val="22"/>
          <w:rtl/>
        </w:rPr>
        <w:t>1.</w:t>
      </w:r>
      <w:r w:rsidR="005366A8" w:rsidRPr="00EC4EC7">
        <w:rPr>
          <w:rStyle w:val="big-number"/>
          <w:rFonts w:cs="David"/>
          <w:sz w:val="22"/>
          <w:szCs w:val="22"/>
          <w:rtl/>
        </w:rPr>
        <w:tab/>
      </w:r>
      <w:r w:rsidR="005366A8" w:rsidRPr="00EC4EC7">
        <w:rPr>
          <w:rStyle w:val="default"/>
          <w:rFonts w:cs="David" w:hint="cs"/>
          <w:sz w:val="22"/>
          <w:szCs w:val="22"/>
          <w:rtl/>
        </w:rPr>
        <w:t>(א)</w:t>
      </w:r>
      <w:r w:rsidR="005366A8" w:rsidRPr="00EC4EC7">
        <w:rPr>
          <w:rStyle w:val="default"/>
          <w:rFonts w:cs="David" w:hint="cs"/>
          <w:sz w:val="22"/>
          <w:szCs w:val="22"/>
          <w:rtl/>
        </w:rPr>
        <w:tab/>
      </w:r>
      <w:r w:rsidR="005366A8" w:rsidRPr="00EC4EC7">
        <w:rPr>
          <w:rStyle w:val="default"/>
          <w:rFonts w:cs="David" w:hint="cs"/>
          <w:b/>
          <w:bCs/>
          <w:sz w:val="22"/>
          <w:szCs w:val="22"/>
          <w:rtl/>
        </w:rPr>
        <w:t>החליטה הממשלה לאשרר הסכם או לחתום על הסכם, שלפיו המשפט, השיפוט והמינהל של מדינת ישראל לא יחולו עוד על שטח שהם חלים בו</w:t>
      </w:r>
      <w:r w:rsidR="005366A8" w:rsidRPr="00EC4EC7">
        <w:rPr>
          <w:rStyle w:val="default"/>
          <w:rFonts w:cs="David" w:hint="cs"/>
          <w:sz w:val="22"/>
          <w:szCs w:val="22"/>
          <w:rtl/>
        </w:rPr>
        <w:t>, לרבות הסכם הכולל התחייבות לעתיד והתחייבות המותנית בתנאים, יהא ההסכם, לאחר שאושר בכנסת ברוב חבריה, טעון אישור במשאל עם, אלא אם כן אושר ברוב של שמונים חברי הכנסת.</w:t>
      </w:r>
    </w:p>
    <w:p w:rsidR="005366A8" w:rsidRPr="00EC4EC7" w:rsidRDefault="005366A8" w:rsidP="005366A8">
      <w:pPr>
        <w:pStyle w:val="P00"/>
        <w:spacing w:before="0" w:after="120"/>
        <w:ind w:left="1248"/>
        <w:rPr>
          <w:rStyle w:val="default"/>
          <w:rFonts w:cs="David"/>
          <w:sz w:val="22"/>
          <w:szCs w:val="22"/>
          <w:rtl/>
        </w:rPr>
      </w:pPr>
      <w:r w:rsidRPr="00EC4EC7">
        <w:rPr>
          <w:rStyle w:val="default"/>
          <w:rFonts w:cs="David" w:hint="cs"/>
          <w:sz w:val="22"/>
          <w:szCs w:val="22"/>
          <w:rtl/>
        </w:rPr>
        <w:tab/>
        <w:t>(ב)</w:t>
      </w:r>
      <w:r w:rsidRPr="00EC4EC7">
        <w:rPr>
          <w:rStyle w:val="default"/>
          <w:rFonts w:cs="David" w:hint="cs"/>
          <w:sz w:val="22"/>
          <w:szCs w:val="22"/>
          <w:rtl/>
        </w:rPr>
        <w:tab/>
        <w:t>החליטה הממשלה, שלא בדרך של הסכם, שהמשפט, השיפוט והמינהל של מדינת ישראל לא יחולו עוד על שטח שהם חלים בו, תהא ההחלטה, לאחר שאושרה בכנסת ברוב חבריה, טעונה אישור במשאל עם, אלא אם כן אושרה ברוב של שמונים חברי הכנסת.</w:t>
      </w:r>
    </w:p>
    <w:p w:rsidR="005366A8" w:rsidRPr="00EC4EC7" w:rsidRDefault="005D7968" w:rsidP="005366A8">
      <w:pPr>
        <w:pStyle w:val="P00"/>
        <w:spacing w:before="0" w:after="120"/>
        <w:ind w:left="1248"/>
        <w:rPr>
          <w:rStyle w:val="default"/>
          <w:rFonts w:cs="David"/>
          <w:sz w:val="22"/>
          <w:szCs w:val="22"/>
          <w:rtl/>
        </w:rPr>
      </w:pPr>
      <w:r w:rsidRPr="005D7968">
        <w:rPr>
          <w:rFonts w:cs="David"/>
          <w:sz w:val="22"/>
          <w:szCs w:val="22"/>
          <w:highlight w:val="yellow"/>
          <w:rtl/>
          <w:lang w:val="he-IL"/>
        </w:rPr>
        <w:pict>
          <v:rect id="_x0000_s1180" style="position:absolute;left:0;text-align:left;margin-left:365.15pt;margin-top:-8.35pt;width:174.4pt;height:36.5pt;z-index:251824128" o:allowincell="f" filled="f" stroked="f" strokecolor="lime" strokeweight=".25pt">
            <v:textbox inset="0,0,0,0">
              <w:txbxContent>
                <w:p w:rsidR="005366A8" w:rsidRDefault="005366A8" w:rsidP="005366A8">
                  <w:pPr>
                    <w:spacing w:line="160" w:lineRule="exact"/>
                    <w:rPr>
                      <w:rFonts w:cs="Miriam"/>
                      <w:szCs w:val="18"/>
                      <w:rtl/>
                    </w:rPr>
                  </w:pPr>
                  <w:r>
                    <w:rPr>
                      <w:rFonts w:cs="Miriam" w:hint="cs"/>
                      <w:szCs w:val="18"/>
                      <w:rtl/>
                    </w:rPr>
                    <w:t xml:space="preserve">הזכות להשתתף </w:t>
                  </w:r>
                </w:p>
                <w:p w:rsidR="005366A8" w:rsidRDefault="005366A8" w:rsidP="005366A8">
                  <w:pPr>
                    <w:spacing w:line="160" w:lineRule="exact"/>
                    <w:rPr>
                      <w:rFonts w:cs="Miriam"/>
                      <w:noProof/>
                      <w:szCs w:val="18"/>
                      <w:rtl/>
                    </w:rPr>
                  </w:pPr>
                  <w:r>
                    <w:rPr>
                      <w:rFonts w:cs="Miriam" w:hint="cs"/>
                      <w:szCs w:val="18"/>
                      <w:rtl/>
                    </w:rPr>
                    <w:t>במשאל העם</w:t>
                  </w:r>
                </w:p>
              </w:txbxContent>
            </v:textbox>
            <w10:anchorlock/>
          </v:rect>
        </w:pict>
      </w:r>
      <w:r w:rsidR="005366A8" w:rsidRPr="00EC4EC7">
        <w:rPr>
          <w:rStyle w:val="big-number"/>
          <w:rFonts w:cs="David"/>
          <w:sz w:val="22"/>
          <w:szCs w:val="22"/>
          <w:rtl/>
        </w:rPr>
        <w:t>2.</w:t>
      </w:r>
      <w:r w:rsidR="005366A8" w:rsidRPr="00EC4EC7">
        <w:rPr>
          <w:rStyle w:val="big-number"/>
          <w:rFonts w:cs="David"/>
          <w:sz w:val="22"/>
          <w:szCs w:val="22"/>
          <w:rtl/>
        </w:rPr>
        <w:tab/>
      </w:r>
      <w:r w:rsidR="005366A8" w:rsidRPr="00EC4EC7">
        <w:rPr>
          <w:rStyle w:val="default"/>
          <w:rFonts w:cs="David" w:hint="cs"/>
          <w:sz w:val="22"/>
          <w:szCs w:val="22"/>
          <w:rtl/>
        </w:rPr>
        <w:t xml:space="preserve">זכאי להשתתף במשאל העם </w:t>
      </w:r>
      <w:r w:rsidR="005366A8" w:rsidRPr="00EC4EC7">
        <w:rPr>
          <w:rStyle w:val="default"/>
          <w:rFonts w:cs="David" w:hint="cs"/>
          <w:b/>
          <w:bCs/>
          <w:sz w:val="22"/>
          <w:szCs w:val="22"/>
          <w:rtl/>
        </w:rPr>
        <w:t>מי שהיה זכאי להשתתף בבחירות לכנסת</w:t>
      </w:r>
      <w:r w:rsidR="005366A8" w:rsidRPr="00EC4EC7">
        <w:rPr>
          <w:rStyle w:val="default"/>
          <w:rFonts w:cs="David" w:hint="cs"/>
          <w:sz w:val="22"/>
          <w:szCs w:val="22"/>
          <w:rtl/>
        </w:rPr>
        <w:t xml:space="preserve"> לו היו מתקיימות במועד עריכת משאל העם.</w:t>
      </w:r>
    </w:p>
    <w:p w:rsidR="005366A8" w:rsidRPr="00EC4EC7" w:rsidRDefault="005D7968" w:rsidP="005366A8">
      <w:pPr>
        <w:pStyle w:val="P00"/>
        <w:spacing w:before="0" w:after="120"/>
        <w:ind w:left="1248"/>
        <w:rPr>
          <w:rStyle w:val="default"/>
          <w:rFonts w:cs="David"/>
          <w:sz w:val="22"/>
          <w:szCs w:val="22"/>
          <w:rtl/>
        </w:rPr>
      </w:pPr>
      <w:r w:rsidRPr="005D7968">
        <w:rPr>
          <w:rFonts w:cs="David"/>
          <w:sz w:val="22"/>
          <w:szCs w:val="22"/>
          <w:highlight w:val="yellow"/>
          <w:rtl/>
          <w:lang w:val="he-IL"/>
        </w:rPr>
        <w:pict>
          <v:rect id="_x0000_s1181" style="position:absolute;left:0;text-align:left;margin-left:365.15pt;margin-top:8.05pt;width:174.4pt;height:15.15pt;z-index:251825152" o:allowincell="f" filled="f" stroked="f" strokecolor="lime" strokeweight=".25pt">
            <v:textbox inset="0,0,0,0">
              <w:txbxContent>
                <w:p w:rsidR="005366A8" w:rsidRDefault="005366A8" w:rsidP="005366A8">
                  <w:pPr>
                    <w:spacing w:line="160" w:lineRule="exact"/>
                    <w:rPr>
                      <w:rFonts w:cs="Miriam"/>
                      <w:noProof/>
                      <w:szCs w:val="18"/>
                      <w:rtl/>
                    </w:rPr>
                  </w:pPr>
                  <w:r>
                    <w:rPr>
                      <w:rFonts w:cs="Miriam" w:hint="cs"/>
                      <w:szCs w:val="18"/>
                      <w:rtl/>
                    </w:rPr>
                    <w:t>החלת הוראות</w:t>
                  </w:r>
                </w:p>
              </w:txbxContent>
            </v:textbox>
            <w10:anchorlock/>
          </v:rect>
        </w:pict>
      </w:r>
      <w:r w:rsidR="005366A8" w:rsidRPr="00EC4EC7">
        <w:rPr>
          <w:rStyle w:val="big-number"/>
          <w:rFonts w:cs="David"/>
          <w:sz w:val="22"/>
          <w:szCs w:val="22"/>
          <w:rtl/>
        </w:rPr>
        <w:t>3.</w:t>
      </w:r>
      <w:r w:rsidR="005366A8" w:rsidRPr="00EC4EC7">
        <w:rPr>
          <w:rStyle w:val="big-number"/>
          <w:rFonts w:cs="David"/>
          <w:sz w:val="22"/>
          <w:szCs w:val="22"/>
          <w:rtl/>
        </w:rPr>
        <w:tab/>
      </w:r>
      <w:r w:rsidR="005366A8" w:rsidRPr="00EC4EC7">
        <w:rPr>
          <w:rStyle w:val="default"/>
          <w:rFonts w:cs="David" w:hint="cs"/>
          <w:sz w:val="22"/>
          <w:szCs w:val="22"/>
          <w:rtl/>
        </w:rPr>
        <w:t>על עריכת משאל העם יחולו הוראות הדין בעניין הבחירות לכנסת, בשינויים המחויבים ובשינויים שנקבעו בחוק.</w:t>
      </w:r>
    </w:p>
    <w:p w:rsidR="005366A8" w:rsidRPr="00EC4EC7" w:rsidRDefault="005D7968" w:rsidP="005366A8">
      <w:pPr>
        <w:pStyle w:val="P00"/>
        <w:spacing w:before="0" w:after="120"/>
        <w:ind w:left="1248"/>
        <w:rPr>
          <w:rStyle w:val="default"/>
          <w:rFonts w:cs="David"/>
          <w:sz w:val="22"/>
          <w:szCs w:val="22"/>
          <w:rtl/>
        </w:rPr>
      </w:pPr>
      <w:r w:rsidRPr="005D7968">
        <w:rPr>
          <w:rFonts w:cs="David"/>
          <w:sz w:val="22"/>
          <w:szCs w:val="22"/>
          <w:highlight w:val="yellow"/>
          <w:rtl/>
          <w:lang w:val="he-IL"/>
        </w:rPr>
        <w:pict>
          <v:rect id="_x0000_s1182" style="position:absolute;left:0;text-align:left;margin-left:365.15pt;margin-top:8.05pt;width:174.4pt;height:15.85pt;z-index:251826176" o:allowincell="f" filled="f" stroked="f" strokecolor="lime" strokeweight=".25pt">
            <v:textbox inset="0,0,0,0">
              <w:txbxContent>
                <w:p w:rsidR="005366A8" w:rsidRDefault="005366A8" w:rsidP="005366A8">
                  <w:pPr>
                    <w:spacing w:line="160" w:lineRule="exact"/>
                    <w:rPr>
                      <w:rFonts w:cs="Miriam"/>
                      <w:noProof/>
                      <w:szCs w:val="18"/>
                      <w:rtl/>
                    </w:rPr>
                  </w:pPr>
                  <w:r>
                    <w:rPr>
                      <w:rFonts w:cs="Miriam" w:hint="cs"/>
                      <w:szCs w:val="18"/>
                      <w:rtl/>
                    </w:rPr>
                    <w:t>יציבות</w:t>
                  </w:r>
                </w:p>
              </w:txbxContent>
            </v:textbox>
            <w10:anchorlock/>
          </v:rect>
        </w:pict>
      </w:r>
      <w:r w:rsidR="005366A8" w:rsidRPr="00EC4EC7">
        <w:rPr>
          <w:rStyle w:val="big-number"/>
          <w:rFonts w:cs="David"/>
          <w:sz w:val="22"/>
          <w:szCs w:val="22"/>
          <w:rtl/>
        </w:rPr>
        <w:t>4.</w:t>
      </w:r>
      <w:r w:rsidR="005366A8" w:rsidRPr="00EC4EC7">
        <w:rPr>
          <w:rStyle w:val="big-number"/>
          <w:rFonts w:cs="David"/>
          <w:sz w:val="22"/>
          <w:szCs w:val="22"/>
          <w:rtl/>
        </w:rPr>
        <w:tab/>
      </w:r>
      <w:r w:rsidR="005366A8" w:rsidRPr="00EC4EC7">
        <w:rPr>
          <w:rStyle w:val="default"/>
          <w:rFonts w:cs="David" w:hint="cs"/>
          <w:sz w:val="22"/>
          <w:szCs w:val="22"/>
          <w:rtl/>
        </w:rPr>
        <w:t>אין בכוחן של תקנות שעת חירום לשנות חוק-יסוד זה, להפקיע זמנית את תוקפו או לקבוע בו תנאים.</w:t>
      </w:r>
    </w:p>
    <w:p w:rsidR="005366A8" w:rsidRPr="00EC4EC7" w:rsidRDefault="005D7968" w:rsidP="005366A8">
      <w:pPr>
        <w:pStyle w:val="P00"/>
        <w:spacing w:before="0" w:after="120"/>
        <w:ind w:left="1248"/>
        <w:rPr>
          <w:rStyle w:val="default"/>
          <w:rFonts w:cs="David"/>
          <w:sz w:val="22"/>
          <w:szCs w:val="22"/>
          <w:rtl/>
        </w:rPr>
      </w:pPr>
      <w:r w:rsidRPr="005D7968">
        <w:rPr>
          <w:rFonts w:cs="David"/>
          <w:sz w:val="22"/>
          <w:szCs w:val="22"/>
          <w:highlight w:val="yellow"/>
          <w:rtl/>
          <w:lang w:val="he-IL"/>
        </w:rPr>
        <w:pict>
          <v:rect id="_x0000_s1183" style="position:absolute;left:0;text-align:left;margin-left:362.3pt;margin-top:8.05pt;width:177.25pt;height:16.5pt;z-index:251827200" o:allowincell="f" filled="f" stroked="f" strokecolor="lime" strokeweight=".25pt">
            <v:textbox inset="0,0,0,0">
              <w:txbxContent>
                <w:p w:rsidR="005366A8" w:rsidRDefault="005366A8" w:rsidP="005366A8">
                  <w:pPr>
                    <w:spacing w:line="160" w:lineRule="exact"/>
                    <w:rPr>
                      <w:rFonts w:cs="Miriam"/>
                      <w:noProof/>
                      <w:szCs w:val="18"/>
                      <w:rtl/>
                    </w:rPr>
                  </w:pPr>
                  <w:r>
                    <w:rPr>
                      <w:rFonts w:cs="Miriam" w:hint="cs"/>
                      <w:szCs w:val="18"/>
                      <w:rtl/>
                    </w:rPr>
                    <w:t>נוקשות</w:t>
                  </w:r>
                </w:p>
              </w:txbxContent>
            </v:textbox>
            <w10:anchorlock/>
          </v:rect>
        </w:pict>
      </w:r>
      <w:r w:rsidR="005366A8" w:rsidRPr="00EC4EC7">
        <w:rPr>
          <w:rStyle w:val="big-number"/>
          <w:rFonts w:cs="David"/>
          <w:sz w:val="22"/>
          <w:szCs w:val="22"/>
          <w:rtl/>
        </w:rPr>
        <w:t>5.</w:t>
      </w:r>
      <w:r w:rsidR="005366A8" w:rsidRPr="00EC4EC7">
        <w:rPr>
          <w:rStyle w:val="big-number"/>
          <w:rFonts w:cs="David"/>
          <w:sz w:val="22"/>
          <w:szCs w:val="22"/>
          <w:rtl/>
        </w:rPr>
        <w:tab/>
      </w:r>
      <w:r w:rsidR="005366A8" w:rsidRPr="00EC4EC7">
        <w:rPr>
          <w:rStyle w:val="default"/>
          <w:rFonts w:cs="David" w:hint="cs"/>
          <w:b/>
          <w:bCs/>
          <w:sz w:val="22"/>
          <w:szCs w:val="22"/>
          <w:rtl/>
        </w:rPr>
        <w:t>אין לשנות חוק-יסוד זה אלא בחוק-יסוד שהתקבל ברוב של חברי הכנסת</w:t>
      </w:r>
      <w:r w:rsidR="005366A8" w:rsidRPr="00EC4EC7">
        <w:rPr>
          <w:rStyle w:val="default"/>
          <w:rFonts w:cs="David" w:hint="cs"/>
          <w:sz w:val="22"/>
          <w:szCs w:val="22"/>
          <w:rtl/>
        </w:rPr>
        <w:t>.</w:t>
      </w:r>
    </w:p>
    <w:p w:rsidR="005366A8" w:rsidRPr="00EC4EC7" w:rsidRDefault="005366A8" w:rsidP="005366A8">
      <w:pPr>
        <w:pStyle w:val="P00"/>
        <w:spacing w:before="0" w:after="120"/>
        <w:ind w:left="0" w:right="709"/>
        <w:rPr>
          <w:rFonts w:cs="David"/>
          <w:sz w:val="22"/>
          <w:szCs w:val="22"/>
          <w:rtl/>
        </w:rPr>
      </w:pPr>
    </w:p>
    <w:p w:rsidR="005366A8" w:rsidRPr="00EC4EC7" w:rsidRDefault="005366A8" w:rsidP="005366A8">
      <w:pPr>
        <w:pStyle w:val="T-body"/>
        <w:spacing w:after="120" w:line="240" w:lineRule="auto"/>
        <w:rPr>
          <w:i/>
          <w:iCs/>
          <w:sz w:val="22"/>
          <w:szCs w:val="22"/>
          <w:rtl/>
        </w:rPr>
      </w:pPr>
      <w:r>
        <w:rPr>
          <w:rFonts w:hint="cs"/>
          <w:i/>
          <w:iCs/>
          <w:sz w:val="22"/>
          <w:szCs w:val="22"/>
          <w:rtl/>
        </w:rPr>
        <w:t>[</w:t>
      </w:r>
      <w:r w:rsidRPr="00EC4EC7">
        <w:rPr>
          <w:rFonts w:hint="cs"/>
          <w:i/>
          <w:iCs/>
          <w:sz w:val="22"/>
          <w:szCs w:val="22"/>
          <w:rtl/>
        </w:rPr>
        <w:t xml:space="preserve">הוא </w:t>
      </w:r>
      <w:r w:rsidRPr="00EC4EC7">
        <w:rPr>
          <w:i/>
          <w:iCs/>
          <w:sz w:val="22"/>
          <w:szCs w:val="22"/>
          <w:rtl/>
        </w:rPr>
        <w:t>אושר בכנסת ב</w:t>
      </w:r>
      <w:r w:rsidRPr="00EC4EC7">
        <w:rPr>
          <w:i/>
          <w:iCs/>
          <w:sz w:val="22"/>
          <w:szCs w:val="22"/>
        </w:rPr>
        <w:t>-</w:t>
      </w:r>
      <w:hyperlink r:id="rId164" w:tooltip="12 במרץ" w:history="1">
        <w:r w:rsidRPr="00EC4EC7">
          <w:rPr>
            <w:rStyle w:val="Hyperlink"/>
            <w:sz w:val="22"/>
            <w:szCs w:val="22"/>
          </w:rPr>
          <w:t xml:space="preserve">12 </w:t>
        </w:r>
        <w:r w:rsidRPr="00EC4EC7">
          <w:rPr>
            <w:rStyle w:val="Hyperlink"/>
            <w:sz w:val="22"/>
            <w:szCs w:val="22"/>
            <w:rtl/>
          </w:rPr>
          <w:t>במרץ</w:t>
        </w:r>
      </w:hyperlink>
      <w:r w:rsidRPr="00EC4EC7">
        <w:rPr>
          <w:i/>
          <w:iCs/>
          <w:sz w:val="22"/>
          <w:szCs w:val="22"/>
        </w:rPr>
        <w:t> </w:t>
      </w:r>
      <w:hyperlink r:id="rId165" w:tooltip="2014" w:history="1">
        <w:r w:rsidRPr="00EC4EC7">
          <w:rPr>
            <w:rStyle w:val="Hyperlink"/>
            <w:sz w:val="22"/>
            <w:szCs w:val="22"/>
          </w:rPr>
          <w:t>2014</w:t>
        </w:r>
      </w:hyperlink>
      <w:r w:rsidRPr="00EC4EC7">
        <w:rPr>
          <w:i/>
          <w:iCs/>
          <w:sz w:val="22"/>
          <w:szCs w:val="22"/>
        </w:rPr>
        <w:t> </w:t>
      </w:r>
      <w:r w:rsidRPr="00EC4EC7">
        <w:rPr>
          <w:i/>
          <w:iCs/>
          <w:sz w:val="22"/>
          <w:szCs w:val="22"/>
          <w:rtl/>
        </w:rPr>
        <w:t>ברוב של 68 תומכים וללא מתנגדים, על רקע החלטת סיעות ה</w:t>
      </w:r>
      <w:hyperlink r:id="rId166" w:tooltip="אופוזיציה" w:history="1">
        <w:r w:rsidRPr="00EC4EC7">
          <w:rPr>
            <w:rStyle w:val="Hyperlink"/>
            <w:sz w:val="22"/>
            <w:szCs w:val="22"/>
            <w:rtl/>
          </w:rPr>
          <w:t>אופוזיציה</w:t>
        </w:r>
      </w:hyperlink>
      <w:r w:rsidRPr="00EC4EC7">
        <w:rPr>
          <w:i/>
          <w:iCs/>
          <w:sz w:val="22"/>
          <w:szCs w:val="22"/>
        </w:rPr>
        <w:t> </w:t>
      </w:r>
      <w:r w:rsidRPr="00EC4EC7">
        <w:rPr>
          <w:i/>
          <w:iCs/>
          <w:sz w:val="22"/>
          <w:szCs w:val="22"/>
          <w:rtl/>
        </w:rPr>
        <w:t>להחרים את ההצבעה</w:t>
      </w:r>
      <w:r w:rsidRPr="00EC4EC7">
        <w:rPr>
          <w:i/>
          <w:iCs/>
          <w:sz w:val="22"/>
          <w:szCs w:val="22"/>
        </w:rPr>
        <w:t>.</w:t>
      </w:r>
      <w:r>
        <w:rPr>
          <w:rFonts w:hint="cs"/>
          <w:i/>
          <w:iCs/>
          <w:sz w:val="22"/>
          <w:szCs w:val="22"/>
          <w:rtl/>
        </w:rPr>
        <w:t>]</w:t>
      </w:r>
    </w:p>
    <w:p w:rsidR="005366A8" w:rsidRPr="00EC4EC7" w:rsidRDefault="005366A8" w:rsidP="005366A8">
      <w:pPr>
        <w:spacing w:after="120"/>
        <w:rPr>
          <w:color w:val="1F497D"/>
          <w:sz w:val="22"/>
          <w:szCs w:val="22"/>
          <w:rtl/>
        </w:rPr>
      </w:pPr>
    </w:p>
    <w:p w:rsidR="005366A8" w:rsidRPr="004D32CB" w:rsidRDefault="005366A8" w:rsidP="005366A8">
      <w:pPr>
        <w:spacing w:after="120"/>
        <w:rPr>
          <w:rFonts w:asciiTheme="majorBidi" w:hAnsiTheme="majorBidi" w:cstheme="majorBidi"/>
          <w:sz w:val="22"/>
          <w:szCs w:val="22"/>
          <w:rtl/>
        </w:rPr>
      </w:pPr>
      <w:r w:rsidRPr="004D32CB">
        <w:rPr>
          <w:rFonts w:hint="cs"/>
          <w:sz w:val="22"/>
          <w:szCs w:val="22"/>
          <w:rtl/>
        </w:rPr>
        <w:t>מדוע חוק היסוד הזה הוא התפתחות כנראה גורלית?</w:t>
      </w:r>
      <w:r w:rsidRPr="004D32CB">
        <w:rPr>
          <w:rFonts w:asciiTheme="majorBidi" w:hAnsiTheme="majorBidi" w:cstheme="majorBidi" w:hint="cs"/>
          <w:sz w:val="22"/>
          <w:szCs w:val="22"/>
          <w:rtl/>
        </w:rPr>
        <w:t xml:space="preserve"> </w:t>
      </w:r>
    </w:p>
    <w:p w:rsidR="005366A8" w:rsidRPr="004D32CB" w:rsidRDefault="005366A8" w:rsidP="005366A8">
      <w:pPr>
        <w:spacing w:after="120"/>
        <w:ind w:left="720"/>
        <w:rPr>
          <w:sz w:val="22"/>
          <w:szCs w:val="22"/>
          <w:rtl/>
        </w:rPr>
      </w:pPr>
      <w:r w:rsidRPr="004D32CB">
        <w:rPr>
          <w:rFonts w:asciiTheme="majorBidi" w:hAnsiTheme="majorBidi" w:cstheme="majorBidi" w:hint="cs"/>
          <w:sz w:val="22"/>
          <w:szCs w:val="22"/>
          <w:rtl/>
        </w:rPr>
        <w:t>[היבט מקטין-גורליות, הוא האפשרות של הכנסת בכובעה המכונן לבטל את חוק היסוד "ברוב" (61) של חברי הכנסת].</w:t>
      </w:r>
    </w:p>
    <w:p w:rsidR="005366A8" w:rsidRPr="004D32CB" w:rsidRDefault="005366A8" w:rsidP="005366A8">
      <w:pPr>
        <w:spacing w:after="120"/>
        <w:rPr>
          <w:sz w:val="22"/>
          <w:szCs w:val="22"/>
          <w:rtl/>
        </w:rPr>
      </w:pPr>
      <w:r w:rsidRPr="004D32CB">
        <w:rPr>
          <w:rFonts w:hint="cs"/>
          <w:sz w:val="22"/>
          <w:szCs w:val="22"/>
          <w:rtl/>
        </w:rPr>
        <w:t>ראשית, יהיו הבדלים ממשיים בעוצמת האהדה או עוצמת ההתנגדות להסדר שיובא להכרעה (הכל כמובן בהנחה שהצדדים יגיעו להסכם). הבדלי העוצמה יתבטאו בהבדלים בשיעורי ההצבעה. כך למשל האזרחים הערבים לא צפויים להיות מאד בעד ההסכם, שהרי הוא צפוי להתפשר עמוקות על זכות השיבה; וגם כך אחוז ההצבעה הטיפוסי בציבור הערבי הוא נמוך מבציבור היהודי. מנגד, הציבור הדתי-לאומי צפוי להתנגד להסכם בחריפות ובנחישות. [מתוך התבוננות בתקופת "ההתנתקות":] הוא צפוי להפעיל את הנוער של בני-עקיבא למבצעי "הקש בדלת", יפעיל תקציבים ציבוריים לקמפיינים כנגד ההסכם העומד על הפרק, יוציא ציבורים גדולים (מתוכו אך גם קבוצות נוספות בחברה) למחאה ענקית שצפויה להיות עצומה בהרבה מזו של תקופת ההתנתקות, ואולי גם תהיה אלימה יותר, וכדומה.</w:t>
      </w:r>
    </w:p>
    <w:p w:rsidR="005366A8" w:rsidRPr="004D32CB" w:rsidRDefault="005366A8" w:rsidP="005366A8">
      <w:pPr>
        <w:spacing w:after="120"/>
        <w:rPr>
          <w:sz w:val="22"/>
          <w:szCs w:val="22"/>
          <w:rtl/>
        </w:rPr>
      </w:pPr>
      <w:r w:rsidRPr="004D32CB">
        <w:rPr>
          <w:rFonts w:hint="cs"/>
          <w:sz w:val="22"/>
          <w:szCs w:val="22"/>
          <w:rtl/>
        </w:rPr>
        <w:t>שנית, משאל העם עלול לפיכך להתקבל 'על הקשקש'. הקשקש ישוייך כמובן להצבעת המיעוט הערבי-פלסטיני, וכך זה יהיה "העם" ('האמיתי', עם-ישראל) נגד העם – במובן הדמוקרטי, של האזרחים. והנה אין מתכון קשה יותר לחידוד היחסים בין יהודים לערבים, ולחידוד שאלת הדמוקרטיות של ישראל לעומת האתנוצנטריות שלה. פירוש הדבר מתחים עמוקים, ואולי אלימים, בין יהודים לערבים ובין ימין לשמאל בתוך קהילת הרוב.</w:t>
      </w:r>
    </w:p>
    <w:p w:rsidR="005366A8" w:rsidRPr="004D32CB" w:rsidRDefault="005366A8" w:rsidP="005366A8">
      <w:pPr>
        <w:spacing w:after="120"/>
        <w:rPr>
          <w:sz w:val="22"/>
          <w:szCs w:val="22"/>
          <w:rtl/>
        </w:rPr>
      </w:pPr>
      <w:r w:rsidRPr="004D32CB">
        <w:rPr>
          <w:rFonts w:hint="cs"/>
          <w:sz w:val="22"/>
          <w:szCs w:val="22"/>
          <w:rtl/>
        </w:rPr>
        <w:t>האם השילוב הנזכר יגדיל או יקטין את החשש ל</w:t>
      </w:r>
      <w:r>
        <w:rPr>
          <w:rFonts w:hint="cs"/>
          <w:sz w:val="22"/>
          <w:szCs w:val="22"/>
          <w:rtl/>
        </w:rPr>
        <w:t>אלימות פנימית</w:t>
      </w:r>
      <w:r w:rsidRPr="004D32CB">
        <w:rPr>
          <w:rFonts w:hint="cs"/>
          <w:sz w:val="22"/>
          <w:szCs w:val="22"/>
          <w:rtl/>
        </w:rPr>
        <w:t>? [התשובה אינה חד-משמעית; שכן לא ברור מה תהיה התגובה בהעדר משאל עם].</w:t>
      </w:r>
    </w:p>
    <w:p w:rsidR="005366A8" w:rsidRPr="004D32CB" w:rsidRDefault="005366A8" w:rsidP="005366A8">
      <w:pPr>
        <w:spacing w:after="120"/>
        <w:rPr>
          <w:sz w:val="22"/>
          <w:szCs w:val="22"/>
        </w:rPr>
      </w:pPr>
      <w:r w:rsidRPr="004D32CB">
        <w:rPr>
          <w:rFonts w:hint="cs"/>
          <w:sz w:val="22"/>
          <w:szCs w:val="22"/>
          <w:rtl/>
        </w:rPr>
        <w:t>ומנגד, או במקביל, האם השילוב הנזכר יגדיל או יקטין את האפשרות להתעצמות האלימות בסכסוך הישראלי-פלסטיני? אני מניח שזה תלוי בתוצאות משאל העם ובעיקר בשאלת מימוש ההסכם, אם הוא יאושר, וההתפתחויות השונות בעקבות ההסכם, אישורו ומימושו. [צריך לזכור שלהסדר צפויים גם מתנגדים, חלקם אלימים מאד, בתוך הצד הפלסטיני</w:t>
      </w:r>
      <w:r>
        <w:rPr>
          <w:rFonts w:hint="cs"/>
          <w:sz w:val="22"/>
          <w:szCs w:val="22"/>
          <w:rtl/>
        </w:rPr>
        <w:t>; למתנגדים האלימים, בשני הצדדים, קוראים:</w:t>
      </w:r>
      <w:r w:rsidRPr="004D32CB">
        <w:rPr>
          <w:rFonts w:hint="cs"/>
          <w:sz w:val="22"/>
          <w:szCs w:val="22"/>
          <w:rtl/>
        </w:rPr>
        <w:t xml:space="preserve"> בעיית ה-</w:t>
      </w:r>
      <w:r w:rsidRPr="004D32CB">
        <w:rPr>
          <w:sz w:val="22"/>
          <w:szCs w:val="22"/>
        </w:rPr>
        <w:t>spoilers</w:t>
      </w:r>
      <w:r w:rsidRPr="004D32CB">
        <w:rPr>
          <w:rFonts w:hint="cs"/>
          <w:sz w:val="22"/>
          <w:szCs w:val="22"/>
          <w:rtl/>
        </w:rPr>
        <w:t>].</w:t>
      </w:r>
    </w:p>
    <w:p w:rsidR="005366A8" w:rsidRPr="00F91170" w:rsidRDefault="005366A8" w:rsidP="005366A8">
      <w:pPr>
        <w:spacing w:after="120"/>
        <w:ind w:left="720"/>
        <w:rPr>
          <w:sz w:val="22"/>
          <w:szCs w:val="22"/>
          <w:rtl/>
        </w:rPr>
      </w:pPr>
    </w:p>
    <w:p w:rsidR="005366A8" w:rsidRPr="004D32CB" w:rsidRDefault="005366A8" w:rsidP="005366A8">
      <w:pPr>
        <w:spacing w:after="120"/>
        <w:rPr>
          <w:sz w:val="22"/>
          <w:szCs w:val="22"/>
          <w:rtl/>
        </w:rPr>
      </w:pPr>
      <w:r w:rsidRPr="004D32CB">
        <w:rPr>
          <w:rFonts w:hint="cs"/>
          <w:sz w:val="22"/>
          <w:szCs w:val="22"/>
          <w:rtl/>
        </w:rPr>
        <w:t xml:space="preserve">לבד מהבעיות או השאלות שהזכרתי, צצה </w:t>
      </w:r>
      <w:r w:rsidRPr="004D32CB">
        <w:rPr>
          <w:rFonts w:hint="cs"/>
          <w:b/>
          <w:bCs/>
          <w:sz w:val="22"/>
          <w:szCs w:val="22"/>
          <w:rtl/>
        </w:rPr>
        <w:t>בעיה מרכזית נוספת</w:t>
      </w:r>
      <w:r w:rsidRPr="004D32CB">
        <w:rPr>
          <w:rFonts w:hint="cs"/>
          <w:sz w:val="22"/>
          <w:szCs w:val="22"/>
          <w:rtl/>
        </w:rPr>
        <w:t>:</w:t>
      </w:r>
      <w:r w:rsidRPr="004D32CB">
        <w:rPr>
          <w:rFonts w:ascii="Arial" w:hAnsi="Arial" w:cs="Arial" w:hint="cs"/>
          <w:sz w:val="22"/>
          <w:szCs w:val="22"/>
          <w:rtl/>
        </w:rPr>
        <w:t xml:space="preserve"> </w:t>
      </w:r>
      <w:r w:rsidRPr="004D32CB">
        <w:rPr>
          <w:rFonts w:hint="cs"/>
          <w:sz w:val="22"/>
          <w:szCs w:val="22"/>
          <w:rtl/>
        </w:rPr>
        <w:t xml:space="preserve">משאל העם מוגבל לאזרחים (סעיף 2); משמע, </w:t>
      </w:r>
      <w:r w:rsidRPr="004D32CB">
        <w:rPr>
          <w:rFonts w:hint="cs"/>
          <w:b/>
          <w:bCs/>
          <w:sz w:val="22"/>
          <w:szCs w:val="22"/>
          <w:highlight w:val="yellow"/>
          <w:rtl/>
        </w:rPr>
        <w:t>הוא שולל את זכות ההשתתפות במשאל העם מציבור שההכרעה במשאל קריטית עבורו: התושבים הפלסטינים של ירושלים.</w:t>
      </w:r>
    </w:p>
    <w:p w:rsidR="005366A8" w:rsidRPr="004D32CB" w:rsidRDefault="005366A8" w:rsidP="005366A8">
      <w:pPr>
        <w:spacing w:after="120"/>
        <w:rPr>
          <w:rFonts w:asciiTheme="majorBidi" w:hAnsiTheme="majorBidi" w:cstheme="majorBidi"/>
          <w:b/>
          <w:bCs/>
          <w:sz w:val="22"/>
          <w:szCs w:val="22"/>
        </w:rPr>
      </w:pPr>
      <w:r w:rsidRPr="004D32CB">
        <w:rPr>
          <w:rFonts w:asciiTheme="majorBidi" w:hAnsiTheme="majorBidi" w:cstheme="majorBidi" w:hint="cs"/>
          <w:b/>
          <w:bCs/>
          <w:sz w:val="22"/>
          <w:szCs w:val="22"/>
          <w:highlight w:val="yellow"/>
          <w:rtl/>
        </w:rPr>
        <w:t xml:space="preserve">אך כאן עולה שאלה חשובה: </w:t>
      </w:r>
      <w:r w:rsidRPr="004D32CB">
        <w:rPr>
          <w:rFonts w:asciiTheme="majorBidi" w:hAnsiTheme="majorBidi" w:cstheme="majorBidi"/>
          <w:b/>
          <w:bCs/>
          <w:sz w:val="22"/>
          <w:szCs w:val="22"/>
          <w:highlight w:val="yellow"/>
          <w:rtl/>
        </w:rPr>
        <w:t>עד כמה אי השתתפותם של הפלסטינים מירושלים המזרחית במשאל העם בישראל על עתידה של ירושלים</w:t>
      </w:r>
      <w:r w:rsidRPr="004D32CB">
        <w:rPr>
          <w:rFonts w:asciiTheme="majorBidi" w:hAnsiTheme="majorBidi" w:cstheme="majorBidi" w:hint="cs"/>
          <w:b/>
          <w:bCs/>
          <w:sz w:val="22"/>
          <w:szCs w:val="22"/>
          <w:highlight w:val="yellow"/>
          <w:rtl/>
        </w:rPr>
        <w:t>,</w:t>
      </w:r>
      <w:r w:rsidRPr="004D32CB">
        <w:rPr>
          <w:rFonts w:asciiTheme="majorBidi" w:hAnsiTheme="majorBidi" w:cstheme="majorBidi"/>
          <w:b/>
          <w:bCs/>
          <w:sz w:val="22"/>
          <w:szCs w:val="22"/>
          <w:highlight w:val="yellow"/>
          <w:rtl/>
        </w:rPr>
        <w:t xml:space="preserve"> היא בעיה שנפתרת דרך השתתפותם בהליכים מקבילים – של דמוקרטיה ייצוגית או דמוקרטיה ישירה – ברשות הפלסטינית?</w:t>
      </w:r>
    </w:p>
    <w:p w:rsidR="005366A8" w:rsidRPr="004D32CB" w:rsidRDefault="005366A8" w:rsidP="005366A8">
      <w:pPr>
        <w:spacing w:after="120"/>
        <w:rPr>
          <w:rFonts w:asciiTheme="majorBidi" w:hAnsiTheme="majorBidi" w:cstheme="majorBidi"/>
          <w:sz w:val="22"/>
          <w:szCs w:val="22"/>
          <w:rtl/>
        </w:rPr>
      </w:pPr>
      <w:r w:rsidRPr="004D32CB">
        <w:rPr>
          <w:rFonts w:asciiTheme="majorBidi" w:hAnsiTheme="majorBidi" w:cstheme="majorBidi"/>
          <w:sz w:val="22"/>
          <w:szCs w:val="22"/>
          <w:rtl/>
        </w:rPr>
        <w:t xml:space="preserve">תשובתי השלילית לשאלה </w:t>
      </w:r>
      <w:r w:rsidRPr="004D32CB">
        <w:rPr>
          <w:rFonts w:asciiTheme="majorBidi" w:hAnsiTheme="majorBidi" w:cstheme="majorBidi" w:hint="cs"/>
          <w:sz w:val="22"/>
          <w:szCs w:val="22"/>
          <w:rtl/>
        </w:rPr>
        <w:t xml:space="preserve">זו </w:t>
      </w:r>
      <w:r w:rsidRPr="004D32CB">
        <w:rPr>
          <w:rFonts w:asciiTheme="majorBidi" w:hAnsiTheme="majorBidi" w:cstheme="majorBidi"/>
          <w:sz w:val="22"/>
          <w:szCs w:val="22"/>
          <w:rtl/>
        </w:rPr>
        <w:t xml:space="preserve">צעדה בנתיב </w:t>
      </w:r>
      <w:r w:rsidRPr="004D32CB">
        <w:rPr>
          <w:rFonts w:asciiTheme="majorBidi" w:hAnsiTheme="majorBidi" w:cstheme="majorBidi" w:hint="cs"/>
          <w:sz w:val="22"/>
          <w:szCs w:val="22"/>
          <w:rtl/>
        </w:rPr>
        <w:t>שמייד יפורט</w:t>
      </w:r>
      <w:r w:rsidRPr="004D32CB">
        <w:rPr>
          <w:rFonts w:asciiTheme="majorBidi" w:hAnsiTheme="majorBidi" w:cstheme="majorBidi"/>
          <w:sz w:val="22"/>
          <w:szCs w:val="22"/>
          <w:rtl/>
        </w:rPr>
        <w:t>, אבל היא נתקלת בטענת</w:t>
      </w:r>
      <w:r w:rsidRPr="004D32CB">
        <w:rPr>
          <w:rFonts w:asciiTheme="majorBidi" w:hAnsiTheme="majorBidi" w:cstheme="majorBidi" w:hint="cs"/>
          <w:sz w:val="22"/>
          <w:szCs w:val="22"/>
          <w:rtl/>
        </w:rPr>
        <w:t>-</w:t>
      </w:r>
      <w:r w:rsidRPr="004D32CB">
        <w:rPr>
          <w:rFonts w:asciiTheme="majorBidi" w:hAnsiTheme="majorBidi" w:cstheme="majorBidi"/>
          <w:sz w:val="22"/>
          <w:szCs w:val="22"/>
          <w:rtl/>
        </w:rPr>
        <w:t xml:space="preserve">נגד </w:t>
      </w:r>
      <w:r w:rsidRPr="004D32CB">
        <w:rPr>
          <w:rFonts w:asciiTheme="majorBidi" w:hAnsiTheme="majorBidi" w:cstheme="majorBidi" w:hint="cs"/>
          <w:sz w:val="22"/>
          <w:szCs w:val="22"/>
          <w:rtl/>
        </w:rPr>
        <w:t>ממשית</w:t>
      </w:r>
      <w:r w:rsidRPr="004D32CB">
        <w:rPr>
          <w:rFonts w:asciiTheme="majorBidi" w:hAnsiTheme="majorBidi" w:cstheme="majorBidi"/>
          <w:sz w:val="22"/>
          <w:szCs w:val="22"/>
          <w:rtl/>
        </w:rPr>
        <w:t xml:space="preserve">. </w:t>
      </w:r>
    </w:p>
    <w:p w:rsidR="005366A8" w:rsidRPr="004D32CB" w:rsidRDefault="005366A8" w:rsidP="005366A8">
      <w:pPr>
        <w:spacing w:after="120"/>
        <w:rPr>
          <w:rFonts w:asciiTheme="majorBidi" w:hAnsiTheme="majorBidi" w:cstheme="majorBidi"/>
          <w:sz w:val="22"/>
          <w:szCs w:val="22"/>
          <w:rtl/>
        </w:rPr>
      </w:pPr>
      <w:r w:rsidRPr="004D32CB">
        <w:rPr>
          <w:rFonts w:asciiTheme="majorBidi" w:hAnsiTheme="majorBidi" w:cstheme="majorBidi"/>
          <w:sz w:val="22"/>
          <w:szCs w:val="22"/>
          <w:rtl/>
        </w:rPr>
        <w:t xml:space="preserve">ישראל שולטת בהווה בירושלים המזרחית, כלומר שולטת בפלסטינים של ירושלים המזרחית. </w:t>
      </w:r>
      <w:r w:rsidRPr="004D32CB">
        <w:rPr>
          <w:rFonts w:asciiTheme="majorBidi" w:hAnsiTheme="majorBidi" w:cstheme="majorBidi" w:hint="cs"/>
          <w:sz w:val="22"/>
          <w:szCs w:val="22"/>
          <w:rtl/>
        </w:rPr>
        <w:t xml:space="preserve">היא סיפחה את השטח אליה והפכה אותם לתושבי קבע שלה. </w:t>
      </w:r>
      <w:r w:rsidRPr="004D32CB">
        <w:rPr>
          <w:rFonts w:asciiTheme="majorBidi" w:hAnsiTheme="majorBidi" w:cstheme="majorBidi"/>
          <w:sz w:val="22"/>
          <w:szCs w:val="22"/>
          <w:rtl/>
        </w:rPr>
        <w:t>התיאוריה הדמוקרטית מסבירה שדמוקרטיה מובחנת משיעבוד בכך שאנחנו, נתיני המדינה</w:t>
      </w:r>
      <w:r w:rsidRPr="004D32CB">
        <w:rPr>
          <w:rFonts w:asciiTheme="majorBidi" w:hAnsiTheme="majorBidi" w:cstheme="majorBidi" w:hint="cs"/>
          <w:sz w:val="22"/>
          <w:szCs w:val="22"/>
          <w:rtl/>
        </w:rPr>
        <w:t xml:space="preserve">, בו-זמנית שולטים בה; </w:t>
      </w:r>
      <w:r w:rsidRPr="004D32CB">
        <w:rPr>
          <w:rFonts w:asciiTheme="majorBidi" w:hAnsiTheme="majorBidi" w:cstheme="majorBidi"/>
          <w:sz w:val="22"/>
          <w:szCs w:val="22"/>
          <w:rtl/>
        </w:rPr>
        <w:t xml:space="preserve">דרך מנגנוני ההשפעה השונים – הצבעה בבחירות, הצבעה במשאלי עם וכדומה. </w:t>
      </w:r>
    </w:p>
    <w:p w:rsidR="005366A8" w:rsidRPr="004D32CB" w:rsidRDefault="005366A8" w:rsidP="005366A8">
      <w:pPr>
        <w:spacing w:after="120"/>
        <w:rPr>
          <w:rFonts w:asciiTheme="majorBidi" w:hAnsiTheme="majorBidi" w:cstheme="majorBidi"/>
          <w:sz w:val="22"/>
          <w:szCs w:val="22"/>
          <w:rtl/>
        </w:rPr>
      </w:pPr>
      <w:r w:rsidRPr="004D32CB">
        <w:rPr>
          <w:rFonts w:asciiTheme="majorBidi" w:hAnsiTheme="majorBidi" w:cstheme="majorBidi"/>
          <w:sz w:val="22"/>
          <w:szCs w:val="22"/>
          <w:rtl/>
        </w:rPr>
        <w:t xml:space="preserve">ואכן בעיה עצומה המופיעה בהווה נוגעת לכך שהפלסטינים תושבי ירושלים המזרחית הם תושביה של ישראל אך לא אזרחיה. והנה אנחנו רק מחמירים את הבעיה כאשר אנחנו שוללים את יכולתם להשפיע על ההחלטה </w:t>
      </w:r>
      <w:r w:rsidRPr="004D32CB">
        <w:rPr>
          <w:rFonts w:asciiTheme="majorBidi" w:hAnsiTheme="majorBidi" w:cstheme="majorBidi" w:hint="cs"/>
          <w:sz w:val="22"/>
          <w:szCs w:val="22"/>
          <w:rtl/>
        </w:rPr>
        <w:t xml:space="preserve">שהיא </w:t>
      </w:r>
      <w:r w:rsidRPr="004D32CB">
        <w:rPr>
          <w:rFonts w:asciiTheme="majorBidi" w:hAnsiTheme="majorBidi" w:cstheme="majorBidi"/>
          <w:sz w:val="22"/>
          <w:szCs w:val="22"/>
          <w:rtl/>
        </w:rPr>
        <w:t xml:space="preserve">הגורלית ביותר בעניינם – תחת איזו ריבונות הם יחיו, ובאלו הסדרים? </w:t>
      </w:r>
    </w:p>
    <w:p w:rsidR="005366A8" w:rsidRPr="004D32CB" w:rsidRDefault="005366A8" w:rsidP="005366A8">
      <w:pPr>
        <w:spacing w:after="120"/>
        <w:rPr>
          <w:rFonts w:asciiTheme="majorBidi" w:hAnsiTheme="majorBidi" w:cstheme="majorBidi"/>
          <w:sz w:val="22"/>
          <w:szCs w:val="22"/>
          <w:rtl/>
        </w:rPr>
      </w:pPr>
      <w:r w:rsidRPr="004D32CB">
        <w:rPr>
          <w:rFonts w:asciiTheme="majorBidi" w:hAnsiTheme="majorBidi" w:cstheme="majorBidi"/>
          <w:sz w:val="22"/>
          <w:szCs w:val="22"/>
          <w:rtl/>
        </w:rPr>
        <w:t>אם נאמר להם: תסתפקו בהצבעתכם במסגרתה של הרשות הפלסטינית, האם איננו אומרים משהו נבוב ובעייתי ביותר? אולי להם באופן ספציפי יש זכות להשתתף בשני משאלי העם, גם הישראלי וגם הפלסטיני, שכן לכל אחד ממשאלי העם יש כוח וטו ביחס לגורלם. אבל מכל מקום, אם היה צריך לבחור בין השניים הרי שהחשוב שביניהם, ו</w:t>
      </w:r>
      <w:r w:rsidRPr="004D32CB">
        <w:rPr>
          <w:rFonts w:asciiTheme="majorBidi" w:hAnsiTheme="majorBidi" w:cstheme="majorBidi" w:hint="cs"/>
          <w:sz w:val="22"/>
          <w:szCs w:val="22"/>
          <w:rtl/>
        </w:rPr>
        <w:t xml:space="preserve">לכן </w:t>
      </w:r>
      <w:r w:rsidRPr="004D32CB">
        <w:rPr>
          <w:rFonts w:asciiTheme="majorBidi" w:hAnsiTheme="majorBidi" w:cstheme="majorBidi"/>
          <w:sz w:val="22"/>
          <w:szCs w:val="22"/>
          <w:rtl/>
        </w:rPr>
        <w:t xml:space="preserve">זה שיש להם את הזכות הגדולה ביותר בעניינו, הוא השתתפות במשאל העם בקרב הכוח השולט בהם בהווה. רק כך אדם נשלט הוא גם אדם המשתתף בעיצוב גורלו. </w:t>
      </w:r>
    </w:p>
    <w:p w:rsidR="005366A8" w:rsidRPr="004D32CB" w:rsidRDefault="005366A8" w:rsidP="005366A8">
      <w:pPr>
        <w:spacing w:after="120"/>
        <w:rPr>
          <w:rFonts w:asciiTheme="majorBidi" w:hAnsiTheme="majorBidi" w:cstheme="majorBidi"/>
          <w:sz w:val="22"/>
          <w:szCs w:val="22"/>
          <w:rtl/>
        </w:rPr>
      </w:pPr>
      <w:r w:rsidRPr="004D32CB">
        <w:rPr>
          <w:rFonts w:asciiTheme="majorBidi" w:hAnsiTheme="majorBidi" w:cstheme="majorBidi" w:hint="cs"/>
          <w:sz w:val="22"/>
          <w:szCs w:val="22"/>
          <w:rtl/>
        </w:rPr>
        <w:t xml:space="preserve">אך כאן צפויה להישמע </w:t>
      </w:r>
      <w:r w:rsidRPr="004D32CB">
        <w:rPr>
          <w:rFonts w:asciiTheme="majorBidi" w:hAnsiTheme="majorBidi" w:cstheme="majorBidi"/>
          <w:sz w:val="22"/>
          <w:szCs w:val="22"/>
          <w:rtl/>
        </w:rPr>
        <w:t xml:space="preserve">טענת נגד חשובה: </w:t>
      </w:r>
      <w:r w:rsidRPr="004D32CB">
        <w:rPr>
          <w:rFonts w:asciiTheme="majorBidi" w:hAnsiTheme="majorBidi" w:cstheme="majorBidi"/>
          <w:sz w:val="22"/>
          <w:szCs w:val="22"/>
          <w:highlight w:val="yellow"/>
          <w:rtl/>
        </w:rPr>
        <w:t xml:space="preserve">הטיעון הזה חל גם לגבי הפלסטינים בחלקים האחרים של הגדה המערבית, אלה שלא בשטח ישראל אך תחת שליטתה. מדוע הם לא יטענו לזכאותם להשתתף במשאל העם האפקטיבי הקובע את גורלם – </w:t>
      </w:r>
      <w:r w:rsidRPr="004D32CB">
        <w:rPr>
          <w:rFonts w:asciiTheme="majorBidi" w:hAnsiTheme="majorBidi" w:cstheme="majorBidi" w:hint="cs"/>
          <w:sz w:val="22"/>
          <w:szCs w:val="22"/>
          <w:highlight w:val="yellow"/>
          <w:rtl/>
        </w:rPr>
        <w:t xml:space="preserve">כלומר </w:t>
      </w:r>
      <w:r w:rsidRPr="004D32CB">
        <w:rPr>
          <w:rFonts w:asciiTheme="majorBidi" w:hAnsiTheme="majorBidi" w:cstheme="majorBidi"/>
          <w:sz w:val="22"/>
          <w:szCs w:val="22"/>
          <w:highlight w:val="yellow"/>
          <w:rtl/>
        </w:rPr>
        <w:t>זה המתקיים בישראל?</w:t>
      </w:r>
    </w:p>
    <w:p w:rsidR="005366A8" w:rsidRPr="004D32CB" w:rsidRDefault="005366A8" w:rsidP="005366A8">
      <w:pPr>
        <w:spacing w:after="120"/>
        <w:rPr>
          <w:rFonts w:asciiTheme="majorBidi" w:hAnsiTheme="majorBidi" w:cstheme="majorBidi"/>
          <w:sz w:val="22"/>
          <w:szCs w:val="22"/>
          <w:rtl/>
        </w:rPr>
      </w:pPr>
      <w:r w:rsidRPr="004D32CB">
        <w:rPr>
          <w:rFonts w:asciiTheme="majorBidi" w:hAnsiTheme="majorBidi" w:cstheme="majorBidi" w:hint="cs"/>
          <w:sz w:val="22"/>
          <w:szCs w:val="22"/>
          <w:rtl/>
        </w:rPr>
        <w:t xml:space="preserve">תשובת נגד לטענת הנגד? </w:t>
      </w:r>
      <w:r w:rsidRPr="004D32CB">
        <w:rPr>
          <w:rFonts w:asciiTheme="majorBidi" w:hAnsiTheme="majorBidi" w:cstheme="majorBidi"/>
          <w:sz w:val="22"/>
          <w:szCs w:val="22"/>
          <w:rtl/>
        </w:rPr>
        <w:t xml:space="preserve">מנקודת הראות של המשפט הבינלאומי תושבי ירושלים המזרחית הם </w:t>
      </w:r>
      <w:r w:rsidRPr="004D32CB">
        <w:rPr>
          <w:rFonts w:asciiTheme="majorBidi" w:hAnsiTheme="majorBidi" w:cstheme="majorBidi" w:hint="cs"/>
          <w:sz w:val="22"/>
          <w:szCs w:val="22"/>
          <w:rtl/>
        </w:rPr>
        <w:t>"</w:t>
      </w:r>
      <w:r w:rsidRPr="004D32CB">
        <w:rPr>
          <w:rFonts w:asciiTheme="majorBidi" w:hAnsiTheme="majorBidi" w:cstheme="majorBidi"/>
          <w:sz w:val="22"/>
          <w:szCs w:val="22"/>
          <w:rtl/>
        </w:rPr>
        <w:t>תושבים מוגנים</w:t>
      </w:r>
      <w:r w:rsidRPr="004D32CB">
        <w:rPr>
          <w:rFonts w:asciiTheme="majorBidi" w:hAnsiTheme="majorBidi" w:cstheme="majorBidi" w:hint="cs"/>
          <w:sz w:val="22"/>
          <w:szCs w:val="22"/>
          <w:rtl/>
        </w:rPr>
        <w:t>",</w:t>
      </w:r>
      <w:r w:rsidRPr="004D32CB">
        <w:rPr>
          <w:rFonts w:asciiTheme="majorBidi" w:hAnsiTheme="majorBidi" w:cstheme="majorBidi"/>
          <w:sz w:val="22"/>
          <w:szCs w:val="22"/>
          <w:rtl/>
        </w:rPr>
        <w:t xml:space="preserve"> כמו יתר הפלסטינים בגדה</w:t>
      </w:r>
      <w:r w:rsidRPr="004D32CB">
        <w:rPr>
          <w:rFonts w:asciiTheme="majorBidi" w:hAnsiTheme="majorBidi" w:cstheme="majorBidi" w:hint="cs"/>
          <w:sz w:val="22"/>
          <w:szCs w:val="22"/>
          <w:rtl/>
        </w:rPr>
        <w:t xml:space="preserve"> המערבית</w:t>
      </w:r>
      <w:r w:rsidRPr="004D32CB">
        <w:rPr>
          <w:rFonts w:asciiTheme="majorBidi" w:hAnsiTheme="majorBidi" w:cstheme="majorBidi"/>
          <w:sz w:val="22"/>
          <w:szCs w:val="22"/>
          <w:rtl/>
        </w:rPr>
        <w:t xml:space="preserve">. </w:t>
      </w:r>
      <w:r w:rsidRPr="004D32CB">
        <w:rPr>
          <w:rFonts w:asciiTheme="majorBidi" w:hAnsiTheme="majorBidi" w:cstheme="majorBidi" w:hint="cs"/>
          <w:sz w:val="22"/>
          <w:szCs w:val="22"/>
          <w:rtl/>
        </w:rPr>
        <w:t xml:space="preserve">מנגד, </w:t>
      </w:r>
      <w:r w:rsidRPr="004D32CB">
        <w:rPr>
          <w:rFonts w:asciiTheme="majorBidi" w:hAnsiTheme="majorBidi" w:cstheme="majorBidi"/>
          <w:sz w:val="22"/>
          <w:szCs w:val="22"/>
          <w:rtl/>
        </w:rPr>
        <w:t xml:space="preserve">מנקודת הראות של המשפט הפנימי </w:t>
      </w:r>
      <w:r w:rsidRPr="004D32CB">
        <w:rPr>
          <w:rFonts w:asciiTheme="majorBidi" w:hAnsiTheme="majorBidi" w:cstheme="majorBidi" w:hint="cs"/>
          <w:sz w:val="22"/>
          <w:szCs w:val="22"/>
          <w:rtl/>
        </w:rPr>
        <w:t xml:space="preserve">של ישראל </w:t>
      </w:r>
      <w:r w:rsidRPr="004D32CB">
        <w:rPr>
          <w:rFonts w:asciiTheme="majorBidi" w:hAnsiTheme="majorBidi" w:cstheme="majorBidi"/>
          <w:sz w:val="22"/>
          <w:szCs w:val="22"/>
          <w:rtl/>
        </w:rPr>
        <w:t>מצבם אחר.</w:t>
      </w:r>
      <w:r w:rsidRPr="004D32CB">
        <w:rPr>
          <w:rFonts w:asciiTheme="majorBidi" w:hAnsiTheme="majorBidi" w:cstheme="majorBidi" w:hint="cs"/>
          <w:sz w:val="22"/>
          <w:szCs w:val="22"/>
          <w:rtl/>
        </w:rPr>
        <w:t xml:space="preserve"> כלומר תושבי ירושלים הם תושבי ישראל ולא תושבים כבושים ("תושבים מוגנים"). </w:t>
      </w:r>
      <w:r w:rsidRPr="004D32CB">
        <w:rPr>
          <w:rFonts w:asciiTheme="majorBidi" w:hAnsiTheme="majorBidi" w:cstheme="majorBidi"/>
          <w:sz w:val="22"/>
          <w:szCs w:val="22"/>
          <w:highlight w:val="yellow"/>
          <w:rtl/>
        </w:rPr>
        <w:t xml:space="preserve">האם הבדל הסטטוס הזה, </w:t>
      </w:r>
      <w:r w:rsidRPr="004D32CB">
        <w:rPr>
          <w:rFonts w:asciiTheme="majorBidi" w:hAnsiTheme="majorBidi" w:cstheme="majorBidi" w:hint="cs"/>
          <w:sz w:val="22"/>
          <w:szCs w:val="22"/>
          <w:highlight w:val="yellow"/>
          <w:rtl/>
        </w:rPr>
        <w:t>כלומר המעמד של הפלסטינים בירושלים, במשפט הפנימי של ישראל, כתושבי קבע שלה, לא אמור להעניק להם את הזכות להשתתף במשאל עם ביחס לגורלם?</w:t>
      </w:r>
      <w:r w:rsidRPr="004D32CB">
        <w:rPr>
          <w:rFonts w:asciiTheme="majorBidi" w:hAnsiTheme="majorBidi" w:cstheme="majorBidi" w:hint="cs"/>
          <w:sz w:val="22"/>
          <w:szCs w:val="22"/>
          <w:rtl/>
        </w:rPr>
        <w:t xml:space="preserve"> </w:t>
      </w:r>
    </w:p>
    <w:p w:rsidR="005366A8" w:rsidRPr="004D32CB" w:rsidRDefault="005366A8" w:rsidP="005366A8">
      <w:pPr>
        <w:spacing w:after="120"/>
        <w:rPr>
          <w:rFonts w:asciiTheme="majorBidi" w:hAnsiTheme="majorBidi" w:cstheme="majorBidi"/>
          <w:sz w:val="22"/>
          <w:szCs w:val="22"/>
          <w:rtl/>
        </w:rPr>
      </w:pPr>
      <w:r w:rsidRPr="004D32CB">
        <w:rPr>
          <w:rFonts w:asciiTheme="majorBidi" w:hAnsiTheme="majorBidi" w:cstheme="majorBidi" w:hint="cs"/>
          <w:sz w:val="22"/>
          <w:szCs w:val="22"/>
          <w:rtl/>
        </w:rPr>
        <w:t xml:space="preserve">ואולם המשפט מבדיל בין אזרח לבין תושב לעניין החלטות מסוימות </w:t>
      </w:r>
      <w:r w:rsidRPr="004D32CB">
        <w:rPr>
          <w:rFonts w:asciiTheme="majorBidi" w:hAnsiTheme="majorBidi" w:cstheme="majorBidi"/>
          <w:sz w:val="22"/>
          <w:szCs w:val="22"/>
          <w:rtl/>
        </w:rPr>
        <w:t>–</w:t>
      </w:r>
      <w:r w:rsidRPr="004D32CB">
        <w:rPr>
          <w:rFonts w:asciiTheme="majorBidi" w:hAnsiTheme="majorBidi" w:cstheme="majorBidi" w:hint="cs"/>
          <w:sz w:val="22"/>
          <w:szCs w:val="22"/>
          <w:rtl/>
        </w:rPr>
        <w:t xml:space="preserve"> למשל, הזכות להשתתף בבחירות לכנסת. מדוע שזה לא יחול כאן? </w:t>
      </w:r>
    </w:p>
    <w:p w:rsidR="005366A8" w:rsidRPr="004D32CB" w:rsidRDefault="005366A8" w:rsidP="005366A8">
      <w:pPr>
        <w:spacing w:after="120"/>
        <w:rPr>
          <w:rFonts w:asciiTheme="majorBidi" w:hAnsiTheme="majorBidi" w:cstheme="majorBidi"/>
          <w:sz w:val="22"/>
          <w:szCs w:val="22"/>
          <w:rtl/>
        </w:rPr>
      </w:pPr>
      <w:r w:rsidRPr="004D32CB">
        <w:rPr>
          <w:rFonts w:asciiTheme="majorBidi" w:hAnsiTheme="majorBidi" w:cstheme="majorBidi" w:hint="cs"/>
          <w:sz w:val="22"/>
          <w:szCs w:val="22"/>
          <w:rtl/>
        </w:rPr>
        <w:t xml:space="preserve">זו תשובתי: ההבדל 'הרגיל' שבין "תושב" לבין "אזרח", לעניין ההשתתפות בהכרעות מסוג מסוים, חל לגבי תושב שהוא מהגר לישראל שטרם התאזרח בה. הבדל זה לא אמור להתקיים ביחס </w:t>
      </w:r>
      <w:r w:rsidRPr="004D32CB">
        <w:rPr>
          <w:rFonts w:asciiTheme="majorBidi" w:hAnsiTheme="majorBidi" w:cstheme="majorBidi" w:hint="cs"/>
          <w:b/>
          <w:bCs/>
          <w:sz w:val="22"/>
          <w:szCs w:val="22"/>
          <w:rtl/>
        </w:rPr>
        <w:t>לתושב-יליד</w:t>
      </w:r>
      <w:r w:rsidRPr="004D32CB">
        <w:rPr>
          <w:rFonts w:asciiTheme="majorBidi" w:hAnsiTheme="majorBidi" w:cstheme="majorBidi" w:hint="cs"/>
          <w:sz w:val="22"/>
          <w:szCs w:val="22"/>
          <w:rtl/>
        </w:rPr>
        <w:t xml:space="preserve"> </w:t>
      </w:r>
      <w:r w:rsidRPr="004D32CB">
        <w:rPr>
          <w:rFonts w:asciiTheme="majorBidi" w:hAnsiTheme="majorBidi" w:cstheme="majorBidi" w:hint="cs"/>
          <w:b/>
          <w:bCs/>
          <w:sz w:val="22"/>
          <w:szCs w:val="22"/>
          <w:rtl/>
        </w:rPr>
        <w:t>של המקום</w:t>
      </w:r>
      <w:r w:rsidRPr="004D32CB">
        <w:rPr>
          <w:rFonts w:asciiTheme="majorBidi" w:hAnsiTheme="majorBidi" w:cstheme="majorBidi" w:hint="cs"/>
          <w:sz w:val="22"/>
          <w:szCs w:val="22"/>
          <w:rtl/>
        </w:rPr>
        <w:t>. לא הוא נכנס אל המדינה אלא המדינה נכנסה אליו, כבשה אותו ואת בני-עמו, והיא זו שהפכה אותו ואת בני העיר שלו למסופחים לישראל ובמעמד של תושב בה.</w:t>
      </w:r>
      <w:r w:rsidRPr="004D32CB">
        <w:rPr>
          <w:rFonts w:hint="cs"/>
          <w:rtl/>
        </w:rPr>
        <w:t xml:space="preserve"> </w:t>
      </w:r>
      <w:r w:rsidRPr="004D32CB">
        <w:rPr>
          <w:rFonts w:asciiTheme="majorBidi" w:hAnsiTheme="majorBidi" w:cstheme="majorBidi" w:hint="cs"/>
          <w:sz w:val="22"/>
          <w:szCs w:val="22"/>
          <w:rtl/>
        </w:rPr>
        <w:t xml:space="preserve">ככאלה יש להם זכות, מבחינת המשפט הפנימי, להשתתף בהכרעה הנוגעת להתמשכות או שינוי במצב דברים זה. </w:t>
      </w:r>
    </w:p>
    <w:p w:rsidR="005366A8" w:rsidRPr="004D32CB" w:rsidRDefault="005366A8" w:rsidP="005366A8">
      <w:pPr>
        <w:spacing w:after="120"/>
        <w:rPr>
          <w:rFonts w:asciiTheme="majorBidi" w:hAnsiTheme="majorBidi" w:cstheme="majorBidi"/>
          <w:sz w:val="22"/>
          <w:szCs w:val="22"/>
          <w:rtl/>
        </w:rPr>
      </w:pPr>
      <w:r w:rsidRPr="004D32CB">
        <w:rPr>
          <w:rFonts w:asciiTheme="majorBidi" w:hAnsiTheme="majorBidi" w:cstheme="majorBidi" w:hint="cs"/>
          <w:sz w:val="22"/>
          <w:szCs w:val="22"/>
          <w:rtl/>
        </w:rPr>
        <w:t xml:space="preserve">תמשיך המדינה ותטען, אבל לתושבים הפלסטינים יש אפשרות להתאזרח. אפשרות שאותה הם מסרבים, ברובם, לממש. היא תטען שזה פותר את הקושי. </w:t>
      </w:r>
      <w:r w:rsidRPr="004D32CB">
        <w:rPr>
          <w:rFonts w:asciiTheme="majorBidi" w:hAnsiTheme="majorBidi" w:cstheme="majorBidi"/>
          <w:sz w:val="22"/>
          <w:szCs w:val="22"/>
          <w:rtl/>
        </w:rPr>
        <w:t>אינני חושב</w:t>
      </w:r>
      <w:r w:rsidRPr="004D32CB">
        <w:rPr>
          <w:rFonts w:asciiTheme="majorBidi" w:hAnsiTheme="majorBidi" w:cstheme="majorBidi" w:hint="cs"/>
          <w:sz w:val="22"/>
          <w:szCs w:val="22"/>
          <w:rtl/>
        </w:rPr>
        <w:t xml:space="preserve"> כך. זאת שוב, מהטעמים שהזכרתי זה עתה. הפלסטינים בירושלים הם תושבים ילידים שמתנגדים לסיפוחם ולכן מסרבים להתאזרח. אין לכפות זאת עליהם, ואין להשתמש בסירוב זה כתירוץ להדירם ממשאל עם הנוגע ישירות להסדר החל עליהם.</w:t>
      </w:r>
    </w:p>
    <w:p w:rsidR="005366A8" w:rsidRPr="004D32CB" w:rsidRDefault="005366A8" w:rsidP="005366A8">
      <w:pPr>
        <w:spacing w:after="120"/>
        <w:rPr>
          <w:rFonts w:asciiTheme="majorBidi" w:hAnsiTheme="majorBidi" w:cstheme="majorBidi"/>
          <w:sz w:val="22"/>
          <w:szCs w:val="22"/>
          <w:rtl/>
        </w:rPr>
      </w:pPr>
      <w:r w:rsidRPr="004D32CB">
        <w:rPr>
          <w:rFonts w:asciiTheme="majorBidi" w:hAnsiTheme="majorBidi" w:cstheme="majorBidi" w:hint="cs"/>
          <w:sz w:val="22"/>
          <w:szCs w:val="22"/>
          <w:rtl/>
        </w:rPr>
        <w:t>=-=</w:t>
      </w:r>
    </w:p>
    <w:p w:rsidR="005366A8" w:rsidRPr="004D32CB" w:rsidRDefault="005366A8" w:rsidP="005366A8">
      <w:pPr>
        <w:spacing w:after="120"/>
        <w:rPr>
          <w:rFonts w:asciiTheme="majorBidi" w:hAnsiTheme="majorBidi" w:cstheme="majorBidi"/>
          <w:i/>
          <w:iCs/>
          <w:sz w:val="22"/>
          <w:szCs w:val="22"/>
          <w:rtl/>
        </w:rPr>
      </w:pPr>
      <w:r w:rsidRPr="004D32CB">
        <w:rPr>
          <w:rFonts w:asciiTheme="majorBidi" w:hAnsiTheme="majorBidi" w:cstheme="majorBidi" w:hint="cs"/>
          <w:i/>
          <w:iCs/>
          <w:sz w:val="22"/>
          <w:szCs w:val="22"/>
          <w:rtl/>
        </w:rPr>
        <w:t>[שאלתי את עו"ד חסן ג'בארין, מנכ"ל ארגון עדאלה, ביחס לשאלת הדרתם של תושבי ירושלים המזרחית ממשאל העם בישראל; להלן תשובתו:]</w:t>
      </w:r>
    </w:p>
    <w:p w:rsidR="005366A8" w:rsidRPr="004D32CB" w:rsidRDefault="005366A8" w:rsidP="005366A8">
      <w:pPr>
        <w:spacing w:after="120"/>
        <w:rPr>
          <w:rFonts w:asciiTheme="majorBidi" w:hAnsiTheme="majorBidi" w:cstheme="majorBidi"/>
          <w:sz w:val="22"/>
          <w:szCs w:val="22"/>
          <w:rtl/>
        </w:rPr>
      </w:pPr>
      <w:r w:rsidRPr="004D32CB">
        <w:rPr>
          <w:rFonts w:asciiTheme="majorBidi" w:hAnsiTheme="majorBidi" w:cstheme="majorBidi"/>
          <w:sz w:val="22"/>
          <w:szCs w:val="22"/>
          <w:rtl/>
        </w:rPr>
        <w:t>ההיבט הדמוקרטי והחוקתי של השאלה מחייב גם דיון בשאלה</w:t>
      </w:r>
      <w:r w:rsidRPr="004D32CB">
        <w:rPr>
          <w:rFonts w:asciiTheme="majorBidi" w:hAnsiTheme="majorBidi" w:cstheme="majorBidi" w:hint="cs"/>
          <w:sz w:val="22"/>
          <w:szCs w:val="22"/>
          <w:rtl/>
        </w:rPr>
        <w:t xml:space="preserve"> הבאה</w:t>
      </w:r>
      <w:r w:rsidRPr="004D32CB">
        <w:rPr>
          <w:rFonts w:asciiTheme="majorBidi" w:hAnsiTheme="majorBidi" w:cstheme="majorBidi"/>
          <w:sz w:val="22"/>
          <w:szCs w:val="22"/>
          <w:rtl/>
        </w:rPr>
        <w:t>: מה הפלסטינים הירושלמים רוצים? לדעתי הם לא תובעים ולא יתבעו להשתתף במשאל עם</w:t>
      </w:r>
      <w:r w:rsidRPr="004D32CB">
        <w:rPr>
          <w:rFonts w:asciiTheme="majorBidi" w:hAnsiTheme="majorBidi" w:cstheme="majorBidi" w:hint="cs"/>
          <w:sz w:val="22"/>
          <w:szCs w:val="22"/>
          <w:rtl/>
        </w:rPr>
        <w:t xml:space="preserve"> בישראל</w:t>
      </w:r>
      <w:r w:rsidRPr="004D32CB">
        <w:rPr>
          <w:rFonts w:asciiTheme="majorBidi" w:hAnsiTheme="majorBidi" w:cstheme="majorBidi"/>
          <w:sz w:val="22"/>
          <w:szCs w:val="22"/>
          <w:rtl/>
        </w:rPr>
        <w:t>. מבחינתם הם נמצאים תחת כיבוש. השתתפותם במשאל עם, מבחינתם, היא הענקת לגיטימציה לכובש. לא חוקיו הם שיקבעו באם הם כבושים אלא המשפט הבינלאומי ההומניטארי</w:t>
      </w:r>
      <w:r w:rsidRPr="004D32CB">
        <w:rPr>
          <w:rFonts w:asciiTheme="majorBidi" w:hAnsiTheme="majorBidi" w:cstheme="majorBidi" w:hint="cs"/>
          <w:sz w:val="22"/>
          <w:szCs w:val="22"/>
          <w:rtl/>
        </w:rPr>
        <w:t>,</w:t>
      </w:r>
      <w:r w:rsidRPr="004D32CB">
        <w:rPr>
          <w:rFonts w:asciiTheme="majorBidi" w:hAnsiTheme="majorBidi" w:cstheme="majorBidi"/>
          <w:sz w:val="22"/>
          <w:szCs w:val="22"/>
          <w:rtl/>
        </w:rPr>
        <w:t xml:space="preserve"> ומשפט זה </w:t>
      </w:r>
      <w:r w:rsidRPr="004D32CB">
        <w:rPr>
          <w:rFonts w:asciiTheme="majorBidi" w:hAnsiTheme="majorBidi" w:cstheme="majorBidi" w:hint="cs"/>
          <w:sz w:val="22"/>
          <w:szCs w:val="22"/>
          <w:rtl/>
        </w:rPr>
        <w:t xml:space="preserve">מזהה אותם ככבושים/ כתושבים מוגנים. הוא </w:t>
      </w:r>
      <w:r w:rsidRPr="004D32CB">
        <w:rPr>
          <w:rFonts w:asciiTheme="majorBidi" w:hAnsiTheme="majorBidi" w:cstheme="majorBidi"/>
          <w:sz w:val="22"/>
          <w:szCs w:val="22"/>
          <w:rtl/>
        </w:rPr>
        <w:t xml:space="preserve">לא </w:t>
      </w:r>
      <w:r w:rsidRPr="004D32CB">
        <w:rPr>
          <w:rFonts w:asciiTheme="majorBidi" w:hAnsiTheme="majorBidi" w:cstheme="majorBidi" w:hint="cs"/>
          <w:sz w:val="22"/>
          <w:szCs w:val="22"/>
          <w:rtl/>
        </w:rPr>
        <w:t xml:space="preserve">מחיל עליהם חובת נאמנות למדינה הכובשת, והוא לא </w:t>
      </w:r>
      <w:r w:rsidRPr="004D32CB">
        <w:rPr>
          <w:rFonts w:asciiTheme="majorBidi" w:hAnsiTheme="majorBidi" w:cstheme="majorBidi"/>
          <w:sz w:val="22"/>
          <w:szCs w:val="22"/>
          <w:rtl/>
        </w:rPr>
        <w:t>מעניק את הזכות הזו</w:t>
      </w:r>
      <w:r w:rsidRPr="004D32CB">
        <w:rPr>
          <w:rFonts w:asciiTheme="majorBidi" w:hAnsiTheme="majorBidi" w:cstheme="majorBidi" w:hint="cs"/>
          <w:sz w:val="22"/>
          <w:szCs w:val="22"/>
          <w:rtl/>
        </w:rPr>
        <w:t>, להשתתפות במשאל העם,</w:t>
      </w:r>
      <w:r w:rsidRPr="004D32CB">
        <w:rPr>
          <w:rFonts w:asciiTheme="majorBidi" w:hAnsiTheme="majorBidi" w:cstheme="majorBidi"/>
          <w:sz w:val="22"/>
          <w:szCs w:val="22"/>
          <w:rtl/>
        </w:rPr>
        <w:t xml:space="preserve"> שטמונ</w:t>
      </w:r>
      <w:r w:rsidRPr="004D32CB">
        <w:rPr>
          <w:rFonts w:asciiTheme="majorBidi" w:hAnsiTheme="majorBidi" w:cstheme="majorBidi" w:hint="cs"/>
          <w:sz w:val="22"/>
          <w:szCs w:val="22"/>
          <w:rtl/>
        </w:rPr>
        <w:t>ים</w:t>
      </w:r>
      <w:r w:rsidRPr="004D32CB">
        <w:rPr>
          <w:rFonts w:asciiTheme="majorBidi" w:hAnsiTheme="majorBidi" w:cstheme="majorBidi"/>
          <w:sz w:val="22"/>
          <w:szCs w:val="22"/>
          <w:rtl/>
        </w:rPr>
        <w:t xml:space="preserve"> בה ערכי נאמנות. </w:t>
      </w:r>
    </w:p>
    <w:p w:rsidR="005366A8" w:rsidRPr="004D32CB" w:rsidRDefault="005366A8" w:rsidP="005366A8">
      <w:pPr>
        <w:spacing w:after="120"/>
        <w:rPr>
          <w:rFonts w:asciiTheme="majorBidi" w:hAnsiTheme="majorBidi" w:cstheme="majorBidi"/>
          <w:sz w:val="22"/>
          <w:szCs w:val="22"/>
        </w:rPr>
      </w:pPr>
      <w:r w:rsidRPr="004D32CB">
        <w:rPr>
          <w:rFonts w:asciiTheme="majorBidi" w:hAnsiTheme="majorBidi" w:cstheme="majorBidi"/>
          <w:noProof/>
          <w:sz w:val="22"/>
          <w:szCs w:val="22"/>
        </w:rPr>
        <w:drawing>
          <wp:inline distT="0" distB="0" distL="0" distR="0">
            <wp:extent cx="6350" cy="6350"/>
            <wp:effectExtent l="0" t="0" r="0" b="0"/>
            <wp:docPr id="2" name="Picture 55"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sl.gstatic.com/ui/v1/icons/mail/images/cleardot.gif"/>
                    <pic:cNvPicPr>
                      <a:picLocks noChangeAspect="1" noChangeArrowheads="1"/>
                    </pic:cNvPicPr>
                  </pic:nvPicPr>
                  <pic:blipFill>
                    <a:blip r:embed="rId167"/>
                    <a:srcRect/>
                    <a:stretch>
                      <a:fillRect/>
                    </a:stretch>
                  </pic:blipFill>
                  <pic:spPr bwMode="auto">
                    <a:xfrm>
                      <a:off x="0" y="0"/>
                      <a:ext cx="6350" cy="6350"/>
                    </a:xfrm>
                    <a:prstGeom prst="rect">
                      <a:avLst/>
                    </a:prstGeom>
                    <a:noFill/>
                    <a:ln w="9525">
                      <a:noFill/>
                      <a:miter lim="800000"/>
                      <a:headEnd/>
                      <a:tailEnd/>
                    </a:ln>
                  </pic:spPr>
                </pic:pic>
              </a:graphicData>
            </a:graphic>
          </wp:inline>
        </w:drawing>
      </w:r>
      <w:r w:rsidRPr="004D32CB">
        <w:rPr>
          <w:rFonts w:asciiTheme="majorBidi" w:hAnsiTheme="majorBidi" w:cstheme="majorBidi" w:hint="cs"/>
          <w:sz w:val="22"/>
          <w:szCs w:val="22"/>
          <w:rtl/>
        </w:rPr>
        <w:t>=-=</w:t>
      </w:r>
    </w:p>
    <w:p w:rsidR="005366A8" w:rsidRPr="00736FD0" w:rsidRDefault="005366A8" w:rsidP="005366A8">
      <w:pPr>
        <w:spacing w:after="120"/>
        <w:rPr>
          <w:rFonts w:asciiTheme="majorBidi" w:hAnsiTheme="majorBidi" w:cstheme="majorBidi"/>
          <w:sz w:val="22"/>
          <w:szCs w:val="22"/>
          <w:rtl/>
        </w:rPr>
      </w:pPr>
      <w:r w:rsidRPr="004D32CB">
        <w:rPr>
          <w:rFonts w:asciiTheme="majorBidi" w:hAnsiTheme="majorBidi" w:cstheme="majorBidi"/>
          <w:noProof/>
          <w:sz w:val="22"/>
          <w:szCs w:val="22"/>
        </w:rPr>
        <w:drawing>
          <wp:inline distT="0" distB="0" distL="0" distR="0">
            <wp:extent cx="6350" cy="6350"/>
            <wp:effectExtent l="0" t="0" r="0" b="0"/>
            <wp:docPr id="3" name=":0_4-e"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4-e" descr="https://ssl.gstatic.com/ui/v1/icons/mail/profile_mask2.png"/>
                    <pic:cNvPicPr>
                      <a:picLocks noChangeAspect="1" noChangeArrowheads="1"/>
                    </pic:cNvPicPr>
                  </pic:nvPicPr>
                  <pic:blipFill>
                    <a:blip r:embed="rId167"/>
                    <a:srcRect/>
                    <a:stretch>
                      <a:fillRect/>
                    </a:stretch>
                  </pic:blipFill>
                  <pic:spPr bwMode="auto">
                    <a:xfrm>
                      <a:off x="0" y="0"/>
                      <a:ext cx="6350" cy="6350"/>
                    </a:xfrm>
                    <a:prstGeom prst="rect">
                      <a:avLst/>
                    </a:prstGeom>
                    <a:noFill/>
                    <a:ln w="9525">
                      <a:noFill/>
                      <a:miter lim="800000"/>
                      <a:headEnd/>
                      <a:tailEnd/>
                    </a:ln>
                  </pic:spPr>
                </pic:pic>
              </a:graphicData>
            </a:graphic>
          </wp:inline>
        </w:drawing>
      </w:r>
      <w:r w:rsidRPr="004D32CB">
        <w:rPr>
          <w:rFonts w:asciiTheme="majorBidi" w:hAnsiTheme="majorBidi" w:cstheme="majorBidi"/>
          <w:sz w:val="22"/>
          <w:szCs w:val="22"/>
          <w:rtl/>
        </w:rPr>
        <w:t>תודה</w:t>
      </w:r>
      <w:r w:rsidRPr="004D32CB">
        <w:rPr>
          <w:rFonts w:asciiTheme="majorBidi" w:hAnsiTheme="majorBidi" w:cstheme="majorBidi" w:hint="cs"/>
          <w:sz w:val="22"/>
          <w:szCs w:val="22"/>
          <w:rtl/>
        </w:rPr>
        <w:t xml:space="preserve"> חסן</w:t>
      </w:r>
      <w:r w:rsidRPr="004D32CB">
        <w:rPr>
          <w:rFonts w:asciiTheme="majorBidi" w:hAnsiTheme="majorBidi" w:cstheme="majorBidi"/>
          <w:sz w:val="22"/>
          <w:szCs w:val="22"/>
          <w:rtl/>
        </w:rPr>
        <w:t>.</w:t>
      </w:r>
      <w:r w:rsidRPr="004D32CB">
        <w:rPr>
          <w:rFonts w:asciiTheme="majorBidi" w:hAnsiTheme="majorBidi" w:cstheme="majorBidi"/>
          <w:sz w:val="22"/>
          <w:szCs w:val="22"/>
          <w:rtl/>
        </w:rPr>
        <w:br/>
        <w:t>דברי</w:t>
      </w:r>
      <w:r w:rsidRPr="004D32CB">
        <w:rPr>
          <w:rFonts w:asciiTheme="majorBidi" w:hAnsiTheme="majorBidi" w:cstheme="majorBidi" w:hint="cs"/>
          <w:sz w:val="22"/>
          <w:szCs w:val="22"/>
          <w:rtl/>
        </w:rPr>
        <w:t xml:space="preserve">ך מעניינים וחשובים, אבל א. </w:t>
      </w:r>
      <w:r w:rsidRPr="004D32CB">
        <w:rPr>
          <w:rFonts w:asciiTheme="majorBidi" w:hAnsiTheme="majorBidi" w:cstheme="majorBidi"/>
          <w:sz w:val="22"/>
          <w:szCs w:val="22"/>
          <w:rtl/>
        </w:rPr>
        <w:t xml:space="preserve">אתה </w:t>
      </w:r>
      <w:r>
        <w:rPr>
          <w:rFonts w:asciiTheme="majorBidi" w:hAnsiTheme="majorBidi" w:cstheme="majorBidi" w:hint="cs"/>
          <w:sz w:val="22"/>
          <w:szCs w:val="22"/>
          <w:rtl/>
        </w:rPr>
        <w:t xml:space="preserve">מאיר את </w:t>
      </w:r>
      <w:r w:rsidRPr="004D32CB">
        <w:rPr>
          <w:rFonts w:asciiTheme="majorBidi" w:hAnsiTheme="majorBidi" w:cstheme="majorBidi"/>
          <w:sz w:val="22"/>
          <w:szCs w:val="22"/>
          <w:rtl/>
        </w:rPr>
        <w:t xml:space="preserve">נקודת ראותם </w:t>
      </w:r>
      <w:r w:rsidRPr="004D32CB">
        <w:rPr>
          <w:rFonts w:asciiTheme="majorBidi" w:hAnsiTheme="majorBidi" w:cstheme="majorBidi" w:hint="cs"/>
          <w:sz w:val="22"/>
          <w:szCs w:val="22"/>
          <w:rtl/>
        </w:rPr>
        <w:t xml:space="preserve">של הפלסטינים בירושלים המזרחית, </w:t>
      </w:r>
      <w:r w:rsidRPr="004D32CB">
        <w:rPr>
          <w:rFonts w:asciiTheme="majorBidi" w:hAnsiTheme="majorBidi" w:cstheme="majorBidi"/>
          <w:sz w:val="22"/>
          <w:szCs w:val="22"/>
          <w:rtl/>
        </w:rPr>
        <w:t>ו</w:t>
      </w:r>
      <w:r w:rsidRPr="004D32CB">
        <w:rPr>
          <w:rFonts w:asciiTheme="majorBidi" w:hAnsiTheme="majorBidi" w:cstheme="majorBidi" w:hint="cs"/>
          <w:sz w:val="22"/>
          <w:szCs w:val="22"/>
          <w:rtl/>
        </w:rPr>
        <w:t xml:space="preserve">אילו </w:t>
      </w:r>
      <w:r w:rsidRPr="004D32CB">
        <w:rPr>
          <w:rFonts w:asciiTheme="majorBidi" w:hAnsiTheme="majorBidi" w:cstheme="majorBidi"/>
          <w:sz w:val="22"/>
          <w:szCs w:val="22"/>
          <w:rtl/>
        </w:rPr>
        <w:t xml:space="preserve">אני שואל </w:t>
      </w:r>
      <w:r w:rsidRPr="004D32CB">
        <w:rPr>
          <w:rFonts w:asciiTheme="majorBidi" w:hAnsiTheme="majorBidi" w:cstheme="majorBidi" w:hint="cs"/>
          <w:sz w:val="22"/>
          <w:szCs w:val="22"/>
          <w:rtl/>
        </w:rPr>
        <w:t>ביחס לזכותם</w:t>
      </w:r>
      <w:r>
        <w:rPr>
          <w:rFonts w:asciiTheme="majorBidi" w:hAnsiTheme="majorBidi" w:cstheme="majorBidi" w:hint="cs"/>
          <w:sz w:val="22"/>
          <w:szCs w:val="22"/>
          <w:rtl/>
        </w:rPr>
        <w:t>, וזאת</w:t>
      </w:r>
      <w:r w:rsidRPr="004D32CB">
        <w:rPr>
          <w:rFonts w:asciiTheme="majorBidi" w:hAnsiTheme="majorBidi" w:cstheme="majorBidi" w:hint="cs"/>
          <w:sz w:val="22"/>
          <w:szCs w:val="22"/>
          <w:rtl/>
        </w:rPr>
        <w:t xml:space="preserve"> </w:t>
      </w:r>
      <w:r w:rsidRPr="004D32CB">
        <w:rPr>
          <w:rFonts w:asciiTheme="majorBidi" w:hAnsiTheme="majorBidi" w:cstheme="majorBidi"/>
          <w:sz w:val="22"/>
          <w:szCs w:val="22"/>
          <w:rtl/>
        </w:rPr>
        <w:t xml:space="preserve">מנקודת </w:t>
      </w:r>
      <w:r w:rsidRPr="004D32CB">
        <w:rPr>
          <w:rFonts w:asciiTheme="majorBidi" w:hAnsiTheme="majorBidi" w:cstheme="majorBidi" w:hint="cs"/>
          <w:sz w:val="22"/>
          <w:szCs w:val="22"/>
          <w:rtl/>
        </w:rPr>
        <w:t>ה</w:t>
      </w:r>
      <w:r w:rsidRPr="004D32CB">
        <w:rPr>
          <w:rFonts w:asciiTheme="majorBidi" w:hAnsiTheme="majorBidi" w:cstheme="majorBidi"/>
          <w:sz w:val="22"/>
          <w:szCs w:val="22"/>
          <w:rtl/>
        </w:rPr>
        <w:t xml:space="preserve">ראות של המשפט החוקתי הישראלי </w:t>
      </w:r>
      <w:r w:rsidRPr="004D32CB">
        <w:rPr>
          <w:rFonts w:asciiTheme="majorBidi" w:hAnsiTheme="majorBidi" w:cstheme="majorBidi" w:hint="cs"/>
          <w:sz w:val="22"/>
          <w:szCs w:val="22"/>
          <w:rtl/>
        </w:rPr>
        <w:t xml:space="preserve">על </w:t>
      </w:r>
      <w:r w:rsidRPr="004D32CB">
        <w:rPr>
          <w:rFonts w:asciiTheme="majorBidi" w:hAnsiTheme="majorBidi" w:cstheme="majorBidi"/>
          <w:sz w:val="22"/>
          <w:szCs w:val="22"/>
          <w:rtl/>
        </w:rPr>
        <w:t>הערכים שביסודו.</w:t>
      </w:r>
      <w:r w:rsidRPr="004D32CB">
        <w:rPr>
          <w:rFonts w:asciiTheme="majorBidi" w:hAnsiTheme="majorBidi" w:cstheme="majorBidi" w:hint="cs"/>
          <w:sz w:val="22"/>
          <w:szCs w:val="22"/>
          <w:rtl/>
        </w:rPr>
        <w:t xml:space="preserve"> ב. הם לא חייבים לממש זכות, ואולם השאלה היא האם עומדת להם הזכות. חוק יסוד משאל עם שלל מהם את הזכות. על זה הויכוח.</w:t>
      </w:r>
      <w:r w:rsidRPr="004D32CB">
        <w:rPr>
          <w:rFonts w:asciiTheme="majorBidi" w:hAnsiTheme="majorBidi" w:cstheme="majorBidi"/>
          <w:sz w:val="22"/>
          <w:szCs w:val="22"/>
          <w:rtl/>
        </w:rPr>
        <w:br/>
        <w:t>אילן</w:t>
      </w:r>
    </w:p>
    <w:p w:rsidR="005366A8" w:rsidRPr="00736FD0" w:rsidRDefault="005366A8" w:rsidP="005366A8">
      <w:pPr>
        <w:rPr>
          <w:rFonts w:asciiTheme="majorBidi" w:hAnsiTheme="majorBidi" w:cstheme="majorBidi"/>
          <w:sz w:val="22"/>
          <w:szCs w:val="22"/>
          <w:rtl/>
        </w:rPr>
      </w:pPr>
      <w:r w:rsidRPr="00736FD0">
        <w:rPr>
          <w:rFonts w:asciiTheme="majorBidi" w:hAnsiTheme="majorBidi" w:cstheme="majorBidi"/>
          <w:sz w:val="22"/>
          <w:szCs w:val="22"/>
          <w:rtl/>
        </w:rPr>
        <w:t>=-=</w:t>
      </w:r>
    </w:p>
    <w:p w:rsidR="005366A8" w:rsidRPr="00316EF7" w:rsidRDefault="005366A8" w:rsidP="005366A8">
      <w:pPr>
        <w:rPr>
          <w:rFonts w:asciiTheme="majorBidi" w:hAnsiTheme="majorBidi" w:cstheme="majorBidi"/>
          <w:i/>
          <w:iCs/>
          <w:sz w:val="22"/>
          <w:szCs w:val="22"/>
          <w:rtl/>
        </w:rPr>
      </w:pPr>
      <w:r>
        <w:rPr>
          <w:rFonts w:asciiTheme="majorBidi" w:hAnsiTheme="majorBidi" w:cstheme="majorBidi" w:hint="cs"/>
          <w:i/>
          <w:iCs/>
          <w:sz w:val="22"/>
          <w:szCs w:val="22"/>
          <w:rtl/>
        </w:rPr>
        <w:t>*</w:t>
      </w:r>
      <w:r w:rsidRPr="00316EF7">
        <w:rPr>
          <w:rFonts w:asciiTheme="majorBidi" w:hAnsiTheme="majorBidi" w:cstheme="majorBidi" w:hint="cs"/>
          <w:i/>
          <w:iCs/>
          <w:sz w:val="22"/>
          <w:szCs w:val="22"/>
          <w:rtl/>
        </w:rPr>
        <w:t>הערה לסטודנטים: אלו מחשבות</w:t>
      </w:r>
      <w:r>
        <w:rPr>
          <w:rFonts w:asciiTheme="majorBidi" w:hAnsiTheme="majorBidi" w:cstheme="majorBidi" w:hint="cs"/>
          <w:i/>
          <w:iCs/>
          <w:sz w:val="22"/>
          <w:szCs w:val="22"/>
          <w:rtl/>
        </w:rPr>
        <w:t>, ראשוניות למדי,</w:t>
      </w:r>
      <w:r w:rsidRPr="00316EF7">
        <w:rPr>
          <w:rFonts w:asciiTheme="majorBidi" w:hAnsiTheme="majorBidi" w:cstheme="majorBidi" w:hint="cs"/>
          <w:i/>
          <w:iCs/>
          <w:sz w:val="22"/>
          <w:szCs w:val="22"/>
          <w:rtl/>
        </w:rPr>
        <w:t xml:space="preserve"> שעלו בי ביחס לחוק יסוד משאל עם. אשמח[!] להערות שלכן המאתגרות אותן</w:t>
      </w:r>
      <w:r>
        <w:rPr>
          <w:rFonts w:asciiTheme="majorBidi" w:hAnsiTheme="majorBidi" w:cstheme="majorBidi" w:hint="cs"/>
          <w:i/>
          <w:iCs/>
          <w:sz w:val="22"/>
          <w:szCs w:val="22"/>
          <w:rtl/>
        </w:rPr>
        <w:t>.</w:t>
      </w:r>
    </w:p>
    <w:p w:rsidR="005366A8" w:rsidRPr="00736FD0" w:rsidRDefault="005366A8" w:rsidP="005366A8">
      <w:pPr>
        <w:rPr>
          <w:rFonts w:asciiTheme="majorBidi" w:hAnsiTheme="majorBidi" w:cstheme="majorBidi"/>
          <w:sz w:val="22"/>
          <w:szCs w:val="22"/>
          <w:rtl/>
        </w:rPr>
      </w:pPr>
    </w:p>
    <w:p w:rsidR="005366A8" w:rsidRDefault="005366A8" w:rsidP="005366A8">
      <w:pPr>
        <w:rPr>
          <w:rFonts w:asciiTheme="majorBidi" w:hAnsiTheme="majorBidi" w:cstheme="majorBidi"/>
          <w:sz w:val="22"/>
          <w:szCs w:val="22"/>
          <w:rtl/>
        </w:rPr>
      </w:pPr>
      <w:r w:rsidRPr="00887787">
        <w:rPr>
          <w:rFonts w:asciiTheme="majorBidi" w:hAnsiTheme="majorBidi" w:cstheme="majorBidi"/>
          <w:sz w:val="22"/>
          <w:szCs w:val="22"/>
          <w:highlight w:val="yellow"/>
          <w:rtl/>
        </w:rPr>
        <w:t>=-=</w:t>
      </w:r>
    </w:p>
    <w:p w:rsidR="005366A8" w:rsidRDefault="005366A8" w:rsidP="005366A8">
      <w:pPr>
        <w:rPr>
          <w:rFonts w:asciiTheme="majorBidi" w:hAnsiTheme="majorBidi" w:cstheme="majorBidi"/>
          <w:sz w:val="22"/>
          <w:szCs w:val="22"/>
          <w:rtl/>
        </w:rPr>
      </w:pPr>
    </w:p>
    <w:p w:rsidR="005366A8" w:rsidRPr="00887787" w:rsidRDefault="005366A8" w:rsidP="005366A8">
      <w:pPr>
        <w:rPr>
          <w:rFonts w:asciiTheme="majorBidi" w:hAnsiTheme="majorBidi" w:cs="Guttman-Soncino"/>
          <w:sz w:val="22"/>
          <w:szCs w:val="22"/>
          <w:rtl/>
        </w:rPr>
      </w:pPr>
      <w:r w:rsidRPr="00887787">
        <w:rPr>
          <w:rFonts w:asciiTheme="majorBidi" w:hAnsiTheme="majorBidi" w:cs="Guttman-Soncino" w:hint="cs"/>
          <w:sz w:val="22"/>
          <w:szCs w:val="22"/>
          <w:rtl/>
        </w:rPr>
        <w:t>המשך קצר לתרגיל בנושא מורי הדרך.</w:t>
      </w:r>
    </w:p>
    <w:p w:rsidR="005366A8" w:rsidRDefault="005366A8" w:rsidP="005366A8">
      <w:pPr>
        <w:rPr>
          <w:rFonts w:asciiTheme="majorBidi" w:hAnsiTheme="majorBidi" w:cstheme="majorBidi"/>
          <w:sz w:val="22"/>
          <w:szCs w:val="22"/>
          <w:rtl/>
        </w:rPr>
      </w:pPr>
      <w:r>
        <w:rPr>
          <w:rFonts w:asciiTheme="majorBidi" w:hAnsiTheme="majorBidi" w:cstheme="majorBidi" w:hint="cs"/>
          <w:sz w:val="22"/>
          <w:szCs w:val="22"/>
          <w:rtl/>
        </w:rPr>
        <w:t>תודה לאביחי על שאלה שהוא הפנה אלי במייל לאחר בדיקת הדין הרלבנטי.</w:t>
      </w:r>
    </w:p>
    <w:p w:rsidR="005366A8" w:rsidRDefault="005366A8" w:rsidP="005366A8">
      <w:pPr>
        <w:rPr>
          <w:rFonts w:asciiTheme="majorBidi" w:hAnsiTheme="majorBidi" w:cstheme="majorBidi"/>
          <w:sz w:val="22"/>
          <w:szCs w:val="22"/>
          <w:rtl/>
        </w:rPr>
      </w:pPr>
      <w:r>
        <w:rPr>
          <w:rFonts w:asciiTheme="majorBidi" w:hAnsiTheme="majorBidi" w:cstheme="majorBidi" w:hint="cs"/>
          <w:sz w:val="22"/>
          <w:szCs w:val="22"/>
          <w:rtl/>
        </w:rPr>
        <w:t xml:space="preserve">בהווה יש כבר חובת רישוי מכוח </w:t>
      </w:r>
      <w:r w:rsidRPr="00887787">
        <w:rPr>
          <w:rFonts w:asciiTheme="majorBidi" w:hAnsiTheme="majorBidi" w:cs="David" w:hint="cs"/>
          <w:b/>
          <w:bCs/>
          <w:sz w:val="22"/>
          <w:szCs w:val="22"/>
          <w:rtl/>
        </w:rPr>
        <w:t>תקנות שירותי תיירות (מורי דרך), תשכ"ז-1967</w:t>
      </w:r>
      <w:r>
        <w:rPr>
          <w:rFonts w:asciiTheme="majorBidi" w:hAnsiTheme="majorBidi" w:cstheme="majorBidi" w:hint="cs"/>
          <w:sz w:val="22"/>
          <w:szCs w:val="22"/>
          <w:rtl/>
        </w:rPr>
        <w:t>.</w:t>
      </w:r>
      <w:r w:rsidRPr="00887787">
        <w:rPr>
          <w:rFonts w:asciiTheme="majorBidi" w:hAnsiTheme="majorBidi" w:cstheme="majorBidi" w:hint="cs"/>
          <w:sz w:val="22"/>
          <w:szCs w:val="22"/>
          <w:rtl/>
        </w:rPr>
        <w:t xml:space="preserve"> </w:t>
      </w:r>
      <w:r w:rsidRPr="00E97B3F">
        <w:rPr>
          <w:rFonts w:asciiTheme="majorBidi" w:hAnsiTheme="majorBidi" w:cstheme="majorBidi" w:hint="cs"/>
          <w:sz w:val="22"/>
          <w:szCs w:val="22"/>
          <w:u w:val="single"/>
          <w:rtl/>
        </w:rPr>
        <w:t>עד כמה זה משנה?</w:t>
      </w:r>
      <w:r>
        <w:rPr>
          <w:rFonts w:asciiTheme="majorBidi" w:hAnsiTheme="majorBidi" w:cstheme="majorBidi" w:hint="cs"/>
          <w:sz w:val="22"/>
          <w:szCs w:val="22"/>
          <w:rtl/>
        </w:rPr>
        <w:t xml:space="preserve"> </w:t>
      </w:r>
    </w:p>
    <w:p w:rsidR="005366A8" w:rsidRDefault="005366A8" w:rsidP="005366A8">
      <w:pPr>
        <w:rPr>
          <w:rFonts w:asciiTheme="majorBidi" w:hAnsiTheme="majorBidi" w:cstheme="majorBidi"/>
          <w:sz w:val="22"/>
          <w:szCs w:val="22"/>
          <w:rtl/>
        </w:rPr>
      </w:pPr>
    </w:p>
    <w:p w:rsidR="005366A8" w:rsidRDefault="005366A8" w:rsidP="005366A8">
      <w:pPr>
        <w:rPr>
          <w:rFonts w:asciiTheme="majorBidi" w:hAnsiTheme="majorBidi" w:cstheme="majorBidi"/>
          <w:sz w:val="22"/>
          <w:szCs w:val="22"/>
          <w:rtl/>
        </w:rPr>
      </w:pPr>
      <w:r>
        <w:rPr>
          <w:rFonts w:asciiTheme="majorBidi" w:hAnsiTheme="majorBidi" w:cstheme="majorBidi" w:hint="cs"/>
          <w:sz w:val="22"/>
          <w:szCs w:val="22"/>
          <w:rtl/>
        </w:rPr>
        <w:t>להלן הדין הקיים:</w:t>
      </w:r>
    </w:p>
    <w:p w:rsidR="005366A8" w:rsidRPr="00887787" w:rsidRDefault="005366A8" w:rsidP="005366A8">
      <w:pPr>
        <w:pStyle w:val="P00"/>
        <w:ind w:left="0" w:right="1134"/>
        <w:jc w:val="center"/>
        <w:rPr>
          <w:rStyle w:val="default"/>
          <w:rFonts w:cs="David"/>
          <w:b/>
          <w:bCs/>
          <w:sz w:val="22"/>
          <w:szCs w:val="22"/>
          <w:rtl/>
        </w:rPr>
      </w:pPr>
      <w:r w:rsidRPr="00887787">
        <w:rPr>
          <w:rFonts w:cs="David" w:hint="cs"/>
          <w:b/>
          <w:bCs/>
          <w:sz w:val="22"/>
          <w:szCs w:val="22"/>
          <w:rtl/>
        </w:rPr>
        <w:t>חוק שירותי תיירות, תשל"ו-1976</w:t>
      </w:r>
    </w:p>
    <w:p w:rsidR="005366A8" w:rsidRPr="00887787" w:rsidRDefault="005366A8" w:rsidP="005366A8">
      <w:pPr>
        <w:pStyle w:val="P00"/>
        <w:spacing w:before="0"/>
        <w:ind w:left="0" w:right="1134"/>
        <w:rPr>
          <w:vanish/>
          <w:sz w:val="22"/>
          <w:szCs w:val="22"/>
          <w:shd w:val="clear" w:color="auto" w:fill="FFFF99"/>
          <w:rtl/>
        </w:rPr>
      </w:pPr>
      <w:r w:rsidRPr="00887787">
        <w:rPr>
          <w:rFonts w:cs="David" w:hint="cs"/>
          <w:vanish/>
          <w:color w:val="FF0000"/>
          <w:sz w:val="22"/>
          <w:szCs w:val="22"/>
          <w:shd w:val="clear" w:color="auto" w:fill="FFFF99"/>
          <w:rtl/>
        </w:rPr>
        <w:t>מיום 5.8.1987</w:t>
      </w:r>
    </w:p>
    <w:p w:rsidR="005366A8" w:rsidRPr="00887787" w:rsidRDefault="005366A8" w:rsidP="005366A8">
      <w:pPr>
        <w:pStyle w:val="P00"/>
        <w:spacing w:before="0"/>
        <w:ind w:left="0" w:right="1134"/>
        <w:rPr>
          <w:rFonts w:cs="David"/>
          <w:b/>
          <w:bCs/>
          <w:vanish/>
          <w:sz w:val="22"/>
          <w:szCs w:val="22"/>
          <w:shd w:val="clear" w:color="auto" w:fill="FFFF99"/>
          <w:rtl/>
        </w:rPr>
      </w:pPr>
      <w:r w:rsidRPr="00887787">
        <w:rPr>
          <w:rFonts w:cs="David" w:hint="cs"/>
          <w:b/>
          <w:bCs/>
          <w:vanish/>
          <w:sz w:val="22"/>
          <w:szCs w:val="22"/>
          <w:shd w:val="clear" w:color="auto" w:fill="FFFF99"/>
          <w:rtl/>
        </w:rPr>
        <w:t>תיקון מס' 1</w:t>
      </w:r>
    </w:p>
    <w:p w:rsidR="005366A8" w:rsidRPr="00887787" w:rsidRDefault="005D7968" w:rsidP="005366A8">
      <w:pPr>
        <w:pStyle w:val="P00"/>
        <w:spacing w:before="0"/>
        <w:ind w:left="0" w:right="1134"/>
        <w:rPr>
          <w:rFonts w:cs="David"/>
          <w:vanish/>
          <w:sz w:val="22"/>
          <w:szCs w:val="22"/>
          <w:shd w:val="clear" w:color="auto" w:fill="FFFF99"/>
          <w:rtl/>
        </w:rPr>
      </w:pPr>
      <w:hyperlink r:id="rId168" w:history="1">
        <w:r w:rsidR="005366A8" w:rsidRPr="00887787">
          <w:rPr>
            <w:rStyle w:val="Hyperlink"/>
            <w:rFonts w:cs="David" w:hint="cs"/>
            <w:vanish/>
            <w:sz w:val="22"/>
            <w:szCs w:val="22"/>
            <w:shd w:val="clear" w:color="auto" w:fill="FFFF99"/>
            <w:rtl/>
          </w:rPr>
          <w:t>ס"ח תשמ"ז מס' 1222</w:t>
        </w:r>
      </w:hyperlink>
      <w:r w:rsidR="005366A8" w:rsidRPr="00887787">
        <w:rPr>
          <w:rFonts w:cs="David" w:hint="cs"/>
          <w:vanish/>
          <w:sz w:val="22"/>
          <w:szCs w:val="22"/>
          <w:shd w:val="clear" w:color="auto" w:fill="FFFF99"/>
          <w:rtl/>
        </w:rPr>
        <w:t xml:space="preserve"> מיום 5.8.1987 עמ' 151 (</w:t>
      </w:r>
      <w:hyperlink r:id="rId169" w:history="1">
        <w:r w:rsidR="005366A8" w:rsidRPr="00887787">
          <w:rPr>
            <w:rStyle w:val="Hyperlink"/>
            <w:rFonts w:cs="David" w:hint="cs"/>
            <w:vanish/>
            <w:sz w:val="22"/>
            <w:szCs w:val="22"/>
            <w:shd w:val="clear" w:color="auto" w:fill="FFFF99"/>
            <w:rtl/>
          </w:rPr>
          <w:t>ה"ח 1837</w:t>
        </w:r>
      </w:hyperlink>
      <w:r w:rsidR="005366A8" w:rsidRPr="00887787">
        <w:rPr>
          <w:rFonts w:cs="David" w:hint="cs"/>
          <w:vanish/>
          <w:sz w:val="22"/>
          <w:szCs w:val="22"/>
          <w:shd w:val="clear" w:color="auto" w:fill="FFFF99"/>
          <w:rtl/>
        </w:rPr>
        <w:t>)</w:t>
      </w:r>
    </w:p>
    <w:p w:rsidR="005366A8" w:rsidRPr="00887787" w:rsidRDefault="005366A8" w:rsidP="005366A8">
      <w:pPr>
        <w:pStyle w:val="P00"/>
        <w:spacing w:before="0"/>
        <w:ind w:left="0" w:right="1134"/>
        <w:rPr>
          <w:rFonts w:cs="David"/>
          <w:b/>
          <w:bCs/>
          <w:vanish/>
          <w:sz w:val="22"/>
          <w:szCs w:val="22"/>
          <w:shd w:val="clear" w:color="auto" w:fill="FFFF99"/>
          <w:rtl/>
        </w:rPr>
      </w:pPr>
      <w:r w:rsidRPr="00887787">
        <w:rPr>
          <w:rFonts w:cs="David" w:hint="cs"/>
          <w:b/>
          <w:bCs/>
          <w:vanish/>
          <w:sz w:val="22"/>
          <w:szCs w:val="22"/>
          <w:shd w:val="clear" w:color="auto" w:fill="FFFF99"/>
          <w:rtl/>
        </w:rPr>
        <w:t>הוספת סעיף 3א</w:t>
      </w:r>
    </w:p>
    <w:p w:rsidR="005366A8" w:rsidRPr="00887787" w:rsidRDefault="005366A8" w:rsidP="005366A8">
      <w:pPr>
        <w:pStyle w:val="P00"/>
        <w:spacing w:before="0"/>
        <w:ind w:left="0" w:right="1134"/>
        <w:rPr>
          <w:rFonts w:cs="David"/>
          <w:vanish/>
          <w:color w:val="FF0000"/>
          <w:sz w:val="22"/>
          <w:szCs w:val="22"/>
          <w:shd w:val="clear" w:color="auto" w:fill="FFFF99"/>
          <w:rtl/>
        </w:rPr>
      </w:pPr>
    </w:p>
    <w:p w:rsidR="005366A8" w:rsidRPr="00887787" w:rsidRDefault="005366A8" w:rsidP="005366A8">
      <w:pPr>
        <w:pStyle w:val="P00"/>
        <w:spacing w:before="0"/>
        <w:ind w:left="0" w:right="1134"/>
        <w:rPr>
          <w:rFonts w:cs="David"/>
          <w:b/>
          <w:bCs/>
          <w:vanish/>
          <w:sz w:val="22"/>
          <w:szCs w:val="22"/>
          <w:shd w:val="clear" w:color="auto" w:fill="FFFF99"/>
          <w:rtl/>
        </w:rPr>
      </w:pPr>
      <w:r w:rsidRPr="00887787">
        <w:rPr>
          <w:rFonts w:cs="David" w:hint="cs"/>
          <w:vanish/>
          <w:color w:val="FF0000"/>
          <w:sz w:val="22"/>
          <w:szCs w:val="22"/>
          <w:shd w:val="clear" w:color="auto" w:fill="FFFF99"/>
          <w:rtl/>
        </w:rPr>
        <w:t>מיום 1.1.2002</w:t>
      </w:r>
    </w:p>
    <w:p w:rsidR="005366A8" w:rsidRPr="00887787" w:rsidRDefault="005366A8" w:rsidP="005366A8">
      <w:pPr>
        <w:pStyle w:val="P00"/>
        <w:spacing w:before="0"/>
        <w:ind w:left="0" w:right="1134"/>
        <w:rPr>
          <w:rFonts w:cs="David"/>
          <w:b/>
          <w:bCs/>
          <w:vanish/>
          <w:sz w:val="22"/>
          <w:szCs w:val="22"/>
          <w:shd w:val="clear" w:color="auto" w:fill="FFFF99"/>
          <w:rtl/>
        </w:rPr>
      </w:pPr>
      <w:r w:rsidRPr="00887787">
        <w:rPr>
          <w:rFonts w:cs="David" w:hint="cs"/>
          <w:b/>
          <w:bCs/>
          <w:vanish/>
          <w:sz w:val="22"/>
          <w:szCs w:val="22"/>
          <w:shd w:val="clear" w:color="auto" w:fill="FFFF99"/>
          <w:rtl/>
        </w:rPr>
        <w:t>תיקון מס' 3</w:t>
      </w:r>
    </w:p>
    <w:p w:rsidR="005366A8" w:rsidRPr="00887787" w:rsidRDefault="005D7968" w:rsidP="005366A8">
      <w:pPr>
        <w:pStyle w:val="P00"/>
        <w:spacing w:before="0"/>
        <w:ind w:left="0" w:right="1134"/>
        <w:rPr>
          <w:rFonts w:cs="David"/>
          <w:vanish/>
          <w:sz w:val="22"/>
          <w:szCs w:val="22"/>
          <w:shd w:val="clear" w:color="auto" w:fill="FFFF99"/>
          <w:rtl/>
        </w:rPr>
      </w:pPr>
      <w:hyperlink r:id="rId170" w:history="1">
        <w:r w:rsidR="005366A8" w:rsidRPr="00887787">
          <w:rPr>
            <w:rStyle w:val="Hyperlink"/>
            <w:rFonts w:cs="David" w:hint="cs"/>
            <w:vanish/>
            <w:sz w:val="22"/>
            <w:szCs w:val="22"/>
            <w:shd w:val="clear" w:color="auto" w:fill="FFFF99"/>
            <w:rtl/>
          </w:rPr>
          <w:t>ס"ח תשנ"ט מס' 1704</w:t>
        </w:r>
      </w:hyperlink>
      <w:r w:rsidR="005366A8" w:rsidRPr="00887787">
        <w:rPr>
          <w:rFonts w:cs="David" w:hint="cs"/>
          <w:vanish/>
          <w:sz w:val="22"/>
          <w:szCs w:val="22"/>
          <w:shd w:val="clear" w:color="auto" w:fill="FFFF99"/>
          <w:rtl/>
        </w:rPr>
        <w:t xml:space="preserve"> מיום 15.2.1999 עמ' 112 (</w:t>
      </w:r>
      <w:hyperlink r:id="rId171" w:history="1">
        <w:r w:rsidR="005366A8" w:rsidRPr="00887787">
          <w:rPr>
            <w:rStyle w:val="Hyperlink"/>
            <w:rFonts w:cs="David" w:hint="cs"/>
            <w:vanish/>
            <w:sz w:val="22"/>
            <w:szCs w:val="22"/>
            <w:shd w:val="clear" w:color="auto" w:fill="FFFF99"/>
            <w:rtl/>
          </w:rPr>
          <w:t>ה"ח 2785</w:t>
        </w:r>
      </w:hyperlink>
      <w:r w:rsidR="005366A8" w:rsidRPr="00887787">
        <w:rPr>
          <w:rFonts w:cs="David" w:hint="cs"/>
          <w:vanish/>
          <w:sz w:val="22"/>
          <w:szCs w:val="22"/>
          <w:shd w:val="clear" w:color="auto" w:fill="FFFF99"/>
          <w:rtl/>
        </w:rPr>
        <w:t>)</w:t>
      </w:r>
    </w:p>
    <w:p w:rsidR="005366A8" w:rsidRPr="00887787" w:rsidRDefault="005366A8" w:rsidP="005366A8">
      <w:pPr>
        <w:pStyle w:val="P00"/>
        <w:spacing w:before="0"/>
        <w:ind w:left="0" w:right="1134"/>
        <w:rPr>
          <w:rFonts w:cs="David"/>
          <w:b/>
          <w:bCs/>
          <w:vanish/>
          <w:sz w:val="22"/>
          <w:szCs w:val="22"/>
          <w:shd w:val="clear" w:color="auto" w:fill="FFFF99"/>
          <w:rtl/>
        </w:rPr>
      </w:pPr>
      <w:r w:rsidRPr="00887787">
        <w:rPr>
          <w:rFonts w:cs="David" w:hint="cs"/>
          <w:b/>
          <w:bCs/>
          <w:vanish/>
          <w:sz w:val="22"/>
          <w:szCs w:val="22"/>
          <w:shd w:val="clear" w:color="auto" w:fill="FFFF99"/>
          <w:rtl/>
        </w:rPr>
        <w:t>ביטול סעיף 3א</w:t>
      </w:r>
    </w:p>
    <w:p w:rsidR="005366A8" w:rsidRPr="00887787" w:rsidRDefault="005366A8" w:rsidP="005366A8">
      <w:pPr>
        <w:pStyle w:val="P00"/>
        <w:ind w:left="0" w:right="1134"/>
        <w:rPr>
          <w:rFonts w:cs="David"/>
          <w:vanish/>
          <w:sz w:val="22"/>
          <w:szCs w:val="22"/>
          <w:shd w:val="clear" w:color="auto" w:fill="FFFF99"/>
          <w:rtl/>
        </w:rPr>
      </w:pPr>
      <w:r w:rsidRPr="00887787">
        <w:rPr>
          <w:rFonts w:cs="David" w:hint="cs"/>
          <w:vanish/>
          <w:sz w:val="22"/>
          <w:szCs w:val="22"/>
          <w:shd w:val="clear" w:color="auto" w:fill="FFFF99"/>
          <w:rtl/>
        </w:rPr>
        <w:t>הנוסח הקודם:</w:t>
      </w:r>
    </w:p>
    <w:p w:rsidR="005366A8" w:rsidRPr="00887787" w:rsidRDefault="005366A8" w:rsidP="005366A8">
      <w:pPr>
        <w:pStyle w:val="P00"/>
        <w:spacing w:before="20"/>
        <w:ind w:left="0" w:right="1134"/>
        <w:rPr>
          <w:rFonts w:cs="David"/>
          <w:strike/>
          <w:vanish/>
          <w:sz w:val="22"/>
          <w:szCs w:val="22"/>
          <w:shd w:val="clear" w:color="auto" w:fill="FFFF99"/>
          <w:rtl/>
        </w:rPr>
      </w:pPr>
      <w:r w:rsidRPr="00887787">
        <w:rPr>
          <w:rFonts w:cs="David" w:hint="cs"/>
          <w:strike/>
          <w:vanish/>
          <w:sz w:val="22"/>
          <w:szCs w:val="22"/>
          <w:shd w:val="clear" w:color="auto" w:fill="FFFF99"/>
          <w:rtl/>
        </w:rPr>
        <w:t>ערובה לא ניתנת לשיעבוד</w:t>
      </w:r>
    </w:p>
    <w:p w:rsidR="005366A8" w:rsidRPr="00887787" w:rsidRDefault="005366A8" w:rsidP="005366A8">
      <w:pPr>
        <w:pStyle w:val="P00"/>
        <w:spacing w:before="0"/>
        <w:ind w:left="0" w:right="1134"/>
        <w:rPr>
          <w:rFonts w:cs="David"/>
          <w:strike/>
          <w:vanish/>
          <w:sz w:val="22"/>
          <w:szCs w:val="22"/>
          <w:shd w:val="clear" w:color="auto" w:fill="FFFF99"/>
          <w:rtl/>
        </w:rPr>
      </w:pPr>
      <w:r w:rsidRPr="00887787">
        <w:rPr>
          <w:rFonts w:cs="David" w:hint="cs"/>
          <w:strike/>
          <w:vanish/>
          <w:sz w:val="22"/>
          <w:szCs w:val="22"/>
          <w:shd w:val="clear" w:color="auto" w:fill="FFFF99"/>
          <w:rtl/>
        </w:rPr>
        <w:t>3א.</w:t>
      </w:r>
      <w:r w:rsidRPr="00887787">
        <w:rPr>
          <w:rFonts w:cs="David" w:hint="cs"/>
          <w:strike/>
          <w:vanish/>
          <w:sz w:val="22"/>
          <w:szCs w:val="22"/>
          <w:shd w:val="clear" w:color="auto" w:fill="FFFF99"/>
          <w:rtl/>
        </w:rPr>
        <w:tab/>
        <w:t>ערובה כאמור בסעיף 3(3) וכספים ממימושה הנמצאים בידי מי שנקבע על פי הסעיף האמור, לא ישמשו אלא למילוי ההתחייבויות כאמור באותו סעיף וכפי שנקבע בתקנות, והם אינם ניתנים –</w:t>
      </w:r>
    </w:p>
    <w:p w:rsidR="005366A8" w:rsidRPr="00887787" w:rsidRDefault="005366A8" w:rsidP="005366A8">
      <w:pPr>
        <w:pStyle w:val="P00"/>
        <w:spacing w:before="0"/>
        <w:ind w:left="1021" w:right="1134"/>
        <w:rPr>
          <w:rFonts w:cs="David"/>
          <w:strike/>
          <w:vanish/>
          <w:sz w:val="22"/>
          <w:szCs w:val="22"/>
          <w:shd w:val="clear" w:color="auto" w:fill="FFFF99"/>
          <w:rtl/>
        </w:rPr>
      </w:pPr>
      <w:r w:rsidRPr="00887787">
        <w:rPr>
          <w:rFonts w:cs="David" w:hint="cs"/>
          <w:strike/>
          <w:vanish/>
          <w:sz w:val="22"/>
          <w:szCs w:val="22"/>
          <w:shd w:val="clear" w:color="auto" w:fill="FFFF99"/>
          <w:rtl/>
        </w:rPr>
        <w:t>(1)</w:t>
      </w:r>
      <w:r w:rsidRPr="00887787">
        <w:rPr>
          <w:rFonts w:cs="David" w:hint="cs"/>
          <w:strike/>
          <w:vanish/>
          <w:sz w:val="22"/>
          <w:szCs w:val="22"/>
          <w:shd w:val="clear" w:color="auto" w:fill="FFFF99"/>
          <w:rtl/>
        </w:rPr>
        <w:tab/>
        <w:t>לעיקול או שיעבוד;</w:t>
      </w:r>
    </w:p>
    <w:p w:rsidR="005366A8" w:rsidRPr="00887787" w:rsidRDefault="005366A8" w:rsidP="005366A8">
      <w:pPr>
        <w:pStyle w:val="P00"/>
        <w:spacing w:before="0"/>
        <w:ind w:left="1021" w:right="1134"/>
        <w:rPr>
          <w:rFonts w:cs="David"/>
          <w:strike/>
          <w:sz w:val="22"/>
          <w:szCs w:val="22"/>
          <w:rtl/>
        </w:rPr>
      </w:pPr>
      <w:r w:rsidRPr="00887787">
        <w:rPr>
          <w:rFonts w:cs="David" w:hint="cs"/>
          <w:strike/>
          <w:vanish/>
          <w:sz w:val="22"/>
          <w:szCs w:val="22"/>
          <w:shd w:val="clear" w:color="auto" w:fill="FFFF99"/>
          <w:rtl/>
        </w:rPr>
        <w:t>(2)</w:t>
      </w:r>
      <w:r w:rsidRPr="00887787">
        <w:rPr>
          <w:rFonts w:cs="David" w:hint="cs"/>
          <w:strike/>
          <w:vanish/>
          <w:sz w:val="22"/>
          <w:szCs w:val="22"/>
          <w:shd w:val="clear" w:color="auto" w:fill="FFFF99"/>
          <w:rtl/>
        </w:rPr>
        <w:tab/>
        <w:t>להעברה, אלא בדרך שנקבעה בתקנות או בהוראות מינהל.</w:t>
      </w:r>
    </w:p>
    <w:p w:rsidR="005366A8" w:rsidRPr="00887787" w:rsidRDefault="005366A8" w:rsidP="005366A8">
      <w:pPr>
        <w:pStyle w:val="P00"/>
        <w:spacing w:before="0"/>
        <w:ind w:left="624" w:right="1134"/>
        <w:rPr>
          <w:rStyle w:val="default"/>
          <w:rFonts w:cs="David"/>
          <w:sz w:val="22"/>
          <w:szCs w:val="22"/>
          <w:rtl/>
        </w:rPr>
      </w:pPr>
      <w:r w:rsidRPr="00887787">
        <w:rPr>
          <w:rStyle w:val="big-number"/>
          <w:rFonts w:cs="David" w:hint="cs"/>
          <w:sz w:val="22"/>
          <w:szCs w:val="22"/>
          <w:rtl/>
        </w:rPr>
        <w:t>4.</w:t>
      </w:r>
      <w:r w:rsidRPr="00887787">
        <w:rPr>
          <w:rStyle w:val="big-number"/>
          <w:rFonts w:cs="David" w:hint="cs"/>
          <w:sz w:val="22"/>
          <w:szCs w:val="22"/>
          <w:rtl/>
        </w:rPr>
        <w:tab/>
      </w:r>
      <w:r w:rsidRPr="00887787">
        <w:rPr>
          <w:rStyle w:val="default"/>
          <w:rFonts w:cs="David" w:hint="cs"/>
          <w:sz w:val="22"/>
          <w:szCs w:val="22"/>
          <w:rtl/>
        </w:rPr>
        <w:t>(א)</w:t>
      </w:r>
      <w:r w:rsidRPr="00887787">
        <w:rPr>
          <w:rStyle w:val="default"/>
          <w:rFonts w:cs="David" w:hint="cs"/>
          <w:sz w:val="22"/>
          <w:szCs w:val="22"/>
          <w:rtl/>
        </w:rPr>
        <w:tab/>
        <w:t xml:space="preserve">השר רשאי לקבוע בתקנות - </w:t>
      </w:r>
    </w:p>
    <w:p w:rsidR="005366A8" w:rsidRPr="00887787" w:rsidRDefault="005366A8" w:rsidP="005366A8">
      <w:pPr>
        <w:pStyle w:val="P22"/>
        <w:spacing w:before="72"/>
        <w:ind w:left="1645" w:right="1134"/>
        <w:rPr>
          <w:rStyle w:val="default"/>
          <w:rFonts w:cs="David"/>
          <w:sz w:val="22"/>
          <w:szCs w:val="22"/>
          <w:rtl/>
        </w:rPr>
      </w:pPr>
      <w:r w:rsidRPr="00887787">
        <w:rPr>
          <w:rStyle w:val="default"/>
          <w:rFonts w:cs="David" w:hint="cs"/>
          <w:sz w:val="22"/>
          <w:szCs w:val="22"/>
          <w:rtl/>
        </w:rPr>
        <w:t>(1)</w:t>
      </w:r>
      <w:r w:rsidRPr="00887787">
        <w:rPr>
          <w:rStyle w:val="default"/>
          <w:rFonts w:cs="David" w:hint="cs"/>
          <w:sz w:val="22"/>
          <w:szCs w:val="22"/>
          <w:rtl/>
        </w:rPr>
        <w:tab/>
        <w:t>חובה ששירות תיירות פלוני יינתן על ידי בעלי כשירות מקצועית;</w:t>
      </w:r>
    </w:p>
    <w:p w:rsidR="005366A8" w:rsidRPr="00887787" w:rsidRDefault="005366A8" w:rsidP="005366A8">
      <w:pPr>
        <w:pStyle w:val="P22"/>
        <w:spacing w:before="0"/>
        <w:ind w:left="1645" w:right="1134"/>
        <w:rPr>
          <w:rStyle w:val="default"/>
          <w:rFonts w:cs="David"/>
          <w:sz w:val="22"/>
          <w:szCs w:val="22"/>
          <w:rtl/>
        </w:rPr>
      </w:pPr>
      <w:r w:rsidRPr="00887787">
        <w:rPr>
          <w:rStyle w:val="default"/>
          <w:rFonts w:cs="David" w:hint="cs"/>
          <w:sz w:val="22"/>
          <w:szCs w:val="22"/>
          <w:rtl/>
        </w:rPr>
        <w:t>(2)</w:t>
      </w:r>
      <w:r w:rsidRPr="00887787">
        <w:rPr>
          <w:rStyle w:val="default"/>
          <w:rFonts w:cs="David" w:hint="cs"/>
          <w:sz w:val="22"/>
          <w:szCs w:val="22"/>
          <w:rtl/>
        </w:rPr>
        <w:tab/>
      </w:r>
      <w:r w:rsidRPr="00E97B3F">
        <w:rPr>
          <w:rStyle w:val="default"/>
          <w:rFonts w:cs="David" w:hint="cs"/>
          <w:sz w:val="22"/>
          <w:szCs w:val="22"/>
          <w:rtl/>
        </w:rPr>
        <w:t>בהתייעצות עם שר העבודה והרווחה - הסדרים בענין הכשרה וכשירות של מורה דרך, כהגדרתו בתקנות</w:t>
      </w:r>
      <w:r w:rsidRPr="00887787">
        <w:rPr>
          <w:rStyle w:val="default"/>
          <w:rFonts w:cs="David" w:hint="cs"/>
          <w:sz w:val="22"/>
          <w:szCs w:val="22"/>
          <w:rtl/>
        </w:rPr>
        <w:t>.</w:t>
      </w:r>
    </w:p>
    <w:p w:rsidR="005366A8" w:rsidRPr="00887787" w:rsidRDefault="005366A8" w:rsidP="005366A8">
      <w:pPr>
        <w:pStyle w:val="P22"/>
        <w:spacing w:before="72"/>
        <w:ind w:left="1021" w:right="1134"/>
        <w:rPr>
          <w:rStyle w:val="default"/>
          <w:rFonts w:cs="David"/>
          <w:sz w:val="22"/>
          <w:szCs w:val="22"/>
          <w:rtl/>
        </w:rPr>
      </w:pPr>
      <w:r w:rsidRPr="00887787">
        <w:rPr>
          <w:rStyle w:val="default"/>
          <w:rFonts w:cs="David" w:hint="cs"/>
          <w:sz w:val="22"/>
          <w:szCs w:val="22"/>
          <w:rtl/>
        </w:rPr>
        <w:t>[...]</w:t>
      </w:r>
    </w:p>
    <w:p w:rsidR="005366A8" w:rsidRDefault="005366A8" w:rsidP="005366A8">
      <w:pPr>
        <w:pStyle w:val="NormalWeb"/>
        <w:tabs>
          <w:tab w:val="left" w:pos="2479"/>
        </w:tabs>
        <w:rPr>
          <w:rFonts w:asciiTheme="majorBidi" w:hAnsiTheme="majorBidi" w:cstheme="majorBidi"/>
          <w:sz w:val="22"/>
          <w:szCs w:val="22"/>
          <w:rtl/>
        </w:rPr>
      </w:pPr>
      <w:r w:rsidRPr="00887787">
        <w:rPr>
          <w:rFonts w:asciiTheme="majorBidi" w:hAnsiTheme="majorBidi" w:cstheme="majorBidi" w:hint="cs"/>
          <w:sz w:val="22"/>
          <w:szCs w:val="22"/>
          <w:rtl/>
        </w:rPr>
        <w:t xml:space="preserve">ואכן </w:t>
      </w:r>
      <w:r w:rsidRPr="00887787">
        <w:rPr>
          <w:rFonts w:asciiTheme="majorBidi" w:hAnsiTheme="majorBidi" w:cs="David" w:hint="cs"/>
          <w:b/>
          <w:bCs/>
          <w:sz w:val="22"/>
          <w:szCs w:val="22"/>
          <w:rtl/>
        </w:rPr>
        <w:t>בתקנות שירותי תיירות (מורי דרך), תשכ"ז-1967</w:t>
      </w:r>
      <w:r w:rsidRPr="00887787">
        <w:rPr>
          <w:rFonts w:asciiTheme="majorBidi" w:hAnsiTheme="majorBidi" w:cstheme="majorBidi" w:hint="cs"/>
          <w:sz w:val="22"/>
          <w:szCs w:val="22"/>
          <w:rtl/>
        </w:rPr>
        <w:t xml:space="preserve"> </w:t>
      </w:r>
      <w:r>
        <w:rPr>
          <w:rFonts w:asciiTheme="majorBidi" w:hAnsiTheme="majorBidi" w:cstheme="majorBidi" w:hint="cs"/>
          <w:sz w:val="22"/>
          <w:szCs w:val="22"/>
          <w:rtl/>
        </w:rPr>
        <w:t>נקבע ב</w:t>
      </w:r>
      <w:r w:rsidRPr="00887787">
        <w:rPr>
          <w:rFonts w:asciiTheme="majorBidi" w:hAnsiTheme="majorBidi" w:cstheme="majorBidi" w:hint="cs"/>
          <w:sz w:val="22"/>
          <w:szCs w:val="22"/>
          <w:rtl/>
        </w:rPr>
        <w:t>סע</w:t>
      </w:r>
      <w:r>
        <w:rPr>
          <w:rFonts w:asciiTheme="majorBidi" w:hAnsiTheme="majorBidi" w:cstheme="majorBidi" w:hint="cs"/>
          <w:sz w:val="22"/>
          <w:szCs w:val="22"/>
          <w:rtl/>
        </w:rPr>
        <w:t>יף</w:t>
      </w:r>
      <w:r w:rsidRPr="00887787">
        <w:rPr>
          <w:rFonts w:asciiTheme="majorBidi" w:hAnsiTheme="majorBidi" w:cstheme="majorBidi" w:hint="cs"/>
          <w:sz w:val="22"/>
          <w:szCs w:val="22"/>
          <w:rtl/>
        </w:rPr>
        <w:t xml:space="preserve"> 2 </w:t>
      </w:r>
      <w:r>
        <w:rPr>
          <w:rFonts w:asciiTheme="majorBidi" w:hAnsiTheme="majorBidi" w:cstheme="majorBidi" w:hint="cs"/>
          <w:sz w:val="22"/>
          <w:szCs w:val="22"/>
          <w:rtl/>
        </w:rPr>
        <w:t>כך</w:t>
      </w:r>
      <w:r w:rsidRPr="00887787">
        <w:rPr>
          <w:rFonts w:asciiTheme="majorBidi" w:hAnsiTheme="majorBidi" w:cstheme="majorBidi" w:hint="cs"/>
          <w:sz w:val="22"/>
          <w:szCs w:val="22"/>
          <w:rtl/>
        </w:rPr>
        <w:t xml:space="preserve">: </w:t>
      </w:r>
    </w:p>
    <w:p w:rsidR="005366A8" w:rsidRPr="00E97B3F" w:rsidRDefault="005366A8" w:rsidP="005366A8">
      <w:pPr>
        <w:pStyle w:val="P00"/>
        <w:ind w:left="624" w:right="1134"/>
        <w:rPr>
          <w:rStyle w:val="default"/>
          <w:rFonts w:cs="David"/>
          <w:sz w:val="22"/>
          <w:szCs w:val="22"/>
          <w:rtl/>
        </w:rPr>
      </w:pPr>
      <w:r>
        <w:rPr>
          <w:rStyle w:val="default"/>
          <w:rFonts w:cs="David" w:hint="cs"/>
          <w:sz w:val="22"/>
          <w:szCs w:val="22"/>
          <w:rtl/>
        </w:rPr>
        <w:t xml:space="preserve">2. </w:t>
      </w:r>
      <w:r w:rsidRPr="00E97B3F">
        <w:rPr>
          <w:rStyle w:val="default"/>
          <w:rFonts w:cs="David"/>
          <w:sz w:val="22"/>
          <w:szCs w:val="22"/>
          <w:rtl/>
        </w:rPr>
        <w:t>ה</w:t>
      </w:r>
      <w:r w:rsidRPr="00E97B3F">
        <w:rPr>
          <w:rStyle w:val="default"/>
          <w:rFonts w:cs="David" w:hint="cs"/>
          <w:sz w:val="22"/>
          <w:szCs w:val="22"/>
          <w:rtl/>
        </w:rPr>
        <w:t>ממונה רשאי לתת למבקש רשיון מורה דרך אם התקיימו בו כל אלה:</w:t>
      </w:r>
    </w:p>
    <w:p w:rsidR="005366A8" w:rsidRPr="00E97B3F" w:rsidRDefault="005366A8" w:rsidP="005366A8">
      <w:pPr>
        <w:pStyle w:val="P22"/>
        <w:spacing w:before="72"/>
        <w:ind w:left="1645" w:right="1134"/>
        <w:rPr>
          <w:rStyle w:val="default"/>
          <w:rFonts w:cs="David"/>
          <w:sz w:val="22"/>
          <w:szCs w:val="22"/>
          <w:rtl/>
        </w:rPr>
      </w:pPr>
      <w:r w:rsidRPr="00E97B3F">
        <w:rPr>
          <w:rStyle w:val="default"/>
          <w:rFonts w:cs="David"/>
          <w:sz w:val="22"/>
          <w:szCs w:val="22"/>
          <w:rtl/>
        </w:rPr>
        <w:t>(</w:t>
      </w:r>
      <w:r w:rsidRPr="00E97B3F">
        <w:rPr>
          <w:rStyle w:val="default"/>
          <w:rFonts w:cs="David" w:hint="cs"/>
          <w:sz w:val="22"/>
          <w:szCs w:val="22"/>
          <w:rtl/>
        </w:rPr>
        <w:t>1)</w:t>
      </w:r>
      <w:r w:rsidRPr="00E97B3F">
        <w:rPr>
          <w:rStyle w:val="default"/>
          <w:rFonts w:cs="David"/>
          <w:sz w:val="22"/>
          <w:szCs w:val="22"/>
          <w:rtl/>
        </w:rPr>
        <w:tab/>
      </w:r>
      <w:r w:rsidRPr="00E97B3F">
        <w:rPr>
          <w:rStyle w:val="default"/>
          <w:rFonts w:cs="David" w:hint="cs"/>
          <w:sz w:val="22"/>
          <w:szCs w:val="22"/>
          <w:rtl/>
        </w:rPr>
        <w:t>הוא תושב ישראל;</w:t>
      </w:r>
    </w:p>
    <w:p w:rsidR="005366A8" w:rsidRPr="00E97B3F" w:rsidRDefault="005366A8" w:rsidP="005366A8">
      <w:pPr>
        <w:pStyle w:val="P22"/>
        <w:spacing w:before="72"/>
        <w:ind w:left="1645" w:right="1134"/>
        <w:rPr>
          <w:rStyle w:val="default"/>
          <w:rFonts w:cs="David"/>
          <w:sz w:val="22"/>
          <w:szCs w:val="22"/>
          <w:rtl/>
        </w:rPr>
      </w:pPr>
      <w:r w:rsidRPr="00E97B3F">
        <w:rPr>
          <w:rStyle w:val="default"/>
          <w:rFonts w:cs="David"/>
          <w:sz w:val="22"/>
          <w:szCs w:val="22"/>
          <w:rtl/>
        </w:rPr>
        <w:t>(2)</w:t>
      </w:r>
      <w:r w:rsidRPr="00E97B3F">
        <w:rPr>
          <w:rStyle w:val="default"/>
          <w:rFonts w:cs="David"/>
          <w:sz w:val="22"/>
          <w:szCs w:val="22"/>
          <w:rtl/>
        </w:rPr>
        <w:tab/>
      </w:r>
      <w:r w:rsidRPr="00E97B3F">
        <w:rPr>
          <w:rStyle w:val="default"/>
          <w:rFonts w:cs="David" w:hint="cs"/>
          <w:sz w:val="22"/>
          <w:szCs w:val="22"/>
          <w:rtl/>
        </w:rPr>
        <w:t>מלאו לו 21 שנים;</w:t>
      </w:r>
    </w:p>
    <w:p w:rsidR="005366A8" w:rsidRPr="00E97B3F" w:rsidRDefault="005366A8" w:rsidP="005366A8">
      <w:pPr>
        <w:pStyle w:val="P22"/>
        <w:spacing w:before="72"/>
        <w:ind w:left="1645" w:right="1134"/>
        <w:rPr>
          <w:rStyle w:val="default"/>
          <w:rFonts w:cs="David"/>
          <w:sz w:val="22"/>
          <w:szCs w:val="22"/>
          <w:rtl/>
        </w:rPr>
      </w:pPr>
      <w:r w:rsidRPr="00E97B3F">
        <w:rPr>
          <w:rStyle w:val="default"/>
          <w:rFonts w:cs="David"/>
          <w:sz w:val="22"/>
          <w:szCs w:val="22"/>
          <w:rtl/>
        </w:rPr>
        <w:t>(3)</w:t>
      </w:r>
      <w:r w:rsidRPr="00E97B3F">
        <w:rPr>
          <w:rStyle w:val="default"/>
          <w:rFonts w:cs="David"/>
          <w:sz w:val="22"/>
          <w:szCs w:val="22"/>
          <w:rtl/>
        </w:rPr>
        <w:tab/>
      </w:r>
      <w:r w:rsidRPr="00E97B3F">
        <w:rPr>
          <w:rStyle w:val="default"/>
          <w:rFonts w:cs="David" w:hint="cs"/>
          <w:sz w:val="22"/>
          <w:szCs w:val="22"/>
          <w:rtl/>
        </w:rPr>
        <w:t>אין לגביו רישום במר</w:t>
      </w:r>
      <w:r w:rsidRPr="00E97B3F">
        <w:rPr>
          <w:rStyle w:val="default"/>
          <w:rFonts w:cs="David"/>
          <w:sz w:val="22"/>
          <w:szCs w:val="22"/>
          <w:rtl/>
        </w:rPr>
        <w:t>ש</w:t>
      </w:r>
      <w:r w:rsidRPr="00E97B3F">
        <w:rPr>
          <w:rStyle w:val="default"/>
          <w:rFonts w:cs="David" w:hint="cs"/>
          <w:sz w:val="22"/>
          <w:szCs w:val="22"/>
          <w:rtl/>
        </w:rPr>
        <w:t>ם הפלילי על עבירה שיש עמה קלון;</w:t>
      </w:r>
    </w:p>
    <w:p w:rsidR="005366A8" w:rsidRPr="00E97B3F" w:rsidRDefault="005366A8" w:rsidP="005366A8">
      <w:pPr>
        <w:pStyle w:val="P22"/>
        <w:spacing w:before="72"/>
        <w:ind w:left="1645" w:right="1134"/>
        <w:rPr>
          <w:rStyle w:val="default"/>
          <w:rFonts w:cs="David"/>
          <w:sz w:val="22"/>
          <w:szCs w:val="22"/>
          <w:rtl/>
        </w:rPr>
      </w:pPr>
      <w:r w:rsidRPr="00E97B3F">
        <w:rPr>
          <w:rStyle w:val="default"/>
          <w:rFonts w:cs="David"/>
          <w:sz w:val="22"/>
          <w:szCs w:val="22"/>
          <w:rtl/>
        </w:rPr>
        <w:t>(4)</w:t>
      </w:r>
      <w:r w:rsidRPr="00E97B3F">
        <w:rPr>
          <w:rStyle w:val="default"/>
          <w:rFonts w:cs="David"/>
          <w:sz w:val="22"/>
          <w:szCs w:val="22"/>
          <w:rtl/>
        </w:rPr>
        <w:tab/>
      </w:r>
      <w:r w:rsidRPr="00E97B3F">
        <w:rPr>
          <w:rStyle w:val="default"/>
          <w:rFonts w:cs="David" w:hint="cs"/>
          <w:sz w:val="22"/>
          <w:szCs w:val="22"/>
          <w:rtl/>
        </w:rPr>
        <w:t>עמד בבחינות לפי תקנות אלה.</w:t>
      </w:r>
    </w:p>
    <w:p w:rsidR="005366A8" w:rsidRPr="00887787" w:rsidRDefault="005366A8" w:rsidP="005366A8">
      <w:pPr>
        <w:rPr>
          <w:color w:val="1F497D" w:themeColor="dark2"/>
          <w:sz w:val="22"/>
          <w:szCs w:val="22"/>
          <w:rtl/>
        </w:rPr>
      </w:pPr>
    </w:p>
    <w:p w:rsidR="005366A8" w:rsidRDefault="005366A8" w:rsidP="005366A8">
      <w:pPr>
        <w:rPr>
          <w:sz w:val="22"/>
          <w:szCs w:val="22"/>
          <w:rtl/>
        </w:rPr>
      </w:pPr>
      <w:r>
        <w:rPr>
          <w:rFonts w:hint="cs"/>
          <w:sz w:val="22"/>
          <w:szCs w:val="22"/>
          <w:rtl/>
        </w:rPr>
        <w:t>להלן הצעת החוק, שלצורך התרגיל הנחנו כי הפכה לחוק:</w:t>
      </w:r>
    </w:p>
    <w:p w:rsidR="005366A8" w:rsidRPr="00E97B3F" w:rsidRDefault="005366A8" w:rsidP="005366A8">
      <w:pPr>
        <w:rPr>
          <w:sz w:val="22"/>
          <w:szCs w:val="22"/>
          <w:rtl/>
        </w:rPr>
      </w:pPr>
    </w:p>
    <w:p w:rsidR="005366A8" w:rsidRPr="00E97B3F" w:rsidRDefault="005366A8" w:rsidP="005366A8">
      <w:pPr>
        <w:pStyle w:val="HeadHatzaotHok"/>
        <w:tabs>
          <w:tab w:val="left" w:pos="4071"/>
          <w:tab w:val="center" w:pos="4819"/>
        </w:tabs>
        <w:spacing w:before="0" w:after="60" w:line="240" w:lineRule="auto"/>
        <w:rPr>
          <w:sz w:val="22"/>
          <w:szCs w:val="22"/>
          <w:rtl/>
        </w:rPr>
      </w:pPr>
      <w:r w:rsidRPr="00E97B3F">
        <w:rPr>
          <w:rFonts w:cs="David"/>
          <w:sz w:val="22"/>
          <w:szCs w:val="22"/>
          <w:highlight w:val="yellow"/>
          <w:rtl/>
        </w:rPr>
        <w:t>חוק שירותי תיירות (תיקון – מורי דרך), התש</w:t>
      </w:r>
      <w:r w:rsidRPr="00E97B3F">
        <w:rPr>
          <w:rFonts w:cs="David" w:hint="cs"/>
          <w:sz w:val="22"/>
          <w:szCs w:val="22"/>
          <w:highlight w:val="yellow"/>
          <w:rtl/>
        </w:rPr>
        <w:t>ע</w:t>
      </w:r>
      <w:r w:rsidRPr="00E97B3F">
        <w:rPr>
          <w:rFonts w:cs="David"/>
          <w:sz w:val="22"/>
          <w:szCs w:val="22"/>
          <w:highlight w:val="yellow"/>
          <w:rtl/>
        </w:rPr>
        <w:t>"</w:t>
      </w:r>
      <w:r w:rsidRPr="00E97B3F">
        <w:rPr>
          <w:rFonts w:cs="David" w:hint="cs"/>
          <w:sz w:val="22"/>
          <w:szCs w:val="22"/>
          <w:highlight w:val="yellow"/>
          <w:rtl/>
        </w:rPr>
        <w:t>א</w:t>
      </w:r>
      <w:r w:rsidRPr="00E97B3F">
        <w:rPr>
          <w:rFonts w:cs="David"/>
          <w:sz w:val="22"/>
          <w:szCs w:val="22"/>
          <w:highlight w:val="yellow"/>
          <w:rtl/>
        </w:rPr>
        <w:t>–201</w:t>
      </w:r>
      <w:r w:rsidRPr="00E97B3F">
        <w:rPr>
          <w:rFonts w:cs="David" w:hint="cs"/>
          <w:sz w:val="22"/>
          <w:szCs w:val="22"/>
          <w:highlight w:val="yellow"/>
          <w:rtl/>
        </w:rPr>
        <w:t>1</w:t>
      </w:r>
    </w:p>
    <w:tbl>
      <w:tblPr>
        <w:bidiVisual/>
        <w:tblW w:w="0" w:type="auto"/>
        <w:tblInd w:w="8" w:type="dxa"/>
        <w:tblCellMar>
          <w:top w:w="57" w:type="dxa"/>
          <w:left w:w="0" w:type="dxa"/>
          <w:bottom w:w="57" w:type="dxa"/>
          <w:right w:w="0" w:type="dxa"/>
        </w:tblCellMar>
        <w:tblLook w:val="0000"/>
      </w:tblPr>
      <w:tblGrid>
        <w:gridCol w:w="1870"/>
        <w:gridCol w:w="624"/>
        <w:gridCol w:w="624"/>
        <w:gridCol w:w="624"/>
        <w:gridCol w:w="624"/>
        <w:gridCol w:w="624"/>
        <w:gridCol w:w="4649"/>
      </w:tblGrid>
      <w:tr w:rsidR="005366A8" w:rsidRPr="00E97B3F" w:rsidTr="001845AC">
        <w:trPr>
          <w:cantSplit/>
        </w:trPr>
        <w:tc>
          <w:tcPr>
            <w:tcW w:w="1870" w:type="dxa"/>
            <w:tcBorders>
              <w:top w:val="nil"/>
              <w:left w:val="nil"/>
              <w:bottom w:val="nil"/>
              <w:right w:val="nil"/>
            </w:tcBorders>
          </w:tcPr>
          <w:p w:rsidR="005366A8" w:rsidRPr="00E97B3F" w:rsidRDefault="005366A8" w:rsidP="001845AC">
            <w:pPr>
              <w:pStyle w:val="TableSideHeading"/>
              <w:spacing w:after="60" w:line="240" w:lineRule="auto"/>
              <w:ind w:right="0"/>
              <w:rPr>
                <w:rFonts w:cs="David"/>
                <w:sz w:val="22"/>
                <w:szCs w:val="22"/>
              </w:rPr>
            </w:pPr>
            <w:r w:rsidRPr="00E97B3F">
              <w:rPr>
                <w:rFonts w:cs="David"/>
                <w:sz w:val="22"/>
                <w:szCs w:val="22"/>
                <w:rtl/>
              </w:rPr>
              <w:t>הוספת סעיף 3ב</w:t>
            </w:r>
          </w:p>
        </w:tc>
        <w:tc>
          <w:tcPr>
            <w:tcW w:w="624" w:type="dxa"/>
            <w:tcBorders>
              <w:top w:val="nil"/>
              <w:left w:val="nil"/>
              <w:bottom w:val="nil"/>
              <w:right w:val="nil"/>
            </w:tcBorders>
          </w:tcPr>
          <w:p w:rsidR="005366A8" w:rsidRPr="00E97B3F" w:rsidRDefault="005366A8" w:rsidP="001845AC">
            <w:pPr>
              <w:pStyle w:val="TableText"/>
              <w:spacing w:after="60" w:line="240" w:lineRule="auto"/>
              <w:ind w:right="0"/>
              <w:jc w:val="both"/>
              <w:rPr>
                <w:rFonts w:cs="David"/>
                <w:sz w:val="22"/>
                <w:szCs w:val="22"/>
              </w:rPr>
            </w:pPr>
            <w:r w:rsidRPr="00E97B3F">
              <w:rPr>
                <w:rFonts w:cs="David"/>
                <w:sz w:val="22"/>
                <w:szCs w:val="22"/>
                <w:rtl/>
              </w:rPr>
              <w:t>1.</w:t>
            </w:r>
          </w:p>
        </w:tc>
        <w:tc>
          <w:tcPr>
            <w:tcW w:w="7145" w:type="dxa"/>
            <w:gridSpan w:val="5"/>
            <w:tcBorders>
              <w:top w:val="nil"/>
              <w:left w:val="nil"/>
              <w:bottom w:val="nil"/>
              <w:right w:val="nil"/>
            </w:tcBorders>
          </w:tcPr>
          <w:p w:rsidR="005366A8" w:rsidRPr="00E97B3F" w:rsidRDefault="005366A8" w:rsidP="001845AC">
            <w:pPr>
              <w:pStyle w:val="TableBlock"/>
              <w:spacing w:after="60" w:line="240" w:lineRule="auto"/>
              <w:rPr>
                <w:rFonts w:cs="David"/>
                <w:sz w:val="22"/>
                <w:szCs w:val="22"/>
              </w:rPr>
            </w:pPr>
            <w:r w:rsidRPr="00E97B3F">
              <w:rPr>
                <w:rFonts w:cs="David"/>
                <w:sz w:val="22"/>
                <w:szCs w:val="22"/>
                <w:rtl/>
              </w:rPr>
              <w:t>בחוק שירותי תיירות, התשל"ו–1976, אחרי סעיף 3א יבוא:</w:t>
            </w:r>
          </w:p>
        </w:tc>
      </w:tr>
      <w:tr w:rsidR="005366A8" w:rsidRPr="00E97B3F" w:rsidTr="001845AC">
        <w:trPr>
          <w:cantSplit/>
          <w:trHeight w:val="60"/>
        </w:trPr>
        <w:tc>
          <w:tcPr>
            <w:tcW w:w="1870" w:type="dxa"/>
            <w:tcBorders>
              <w:top w:val="nil"/>
              <w:left w:val="nil"/>
              <w:bottom w:val="nil"/>
              <w:right w:val="nil"/>
            </w:tcBorders>
          </w:tcPr>
          <w:p w:rsidR="005366A8" w:rsidRPr="00E97B3F" w:rsidRDefault="005366A8" w:rsidP="001845AC">
            <w:pPr>
              <w:pStyle w:val="TableSideHeading"/>
              <w:keepLines w:val="0"/>
              <w:spacing w:after="60" w:line="240" w:lineRule="auto"/>
              <w:rPr>
                <w:rFonts w:cs="David"/>
                <w:sz w:val="22"/>
                <w:szCs w:val="22"/>
              </w:rPr>
            </w:pPr>
          </w:p>
        </w:tc>
        <w:tc>
          <w:tcPr>
            <w:tcW w:w="624" w:type="dxa"/>
            <w:tcBorders>
              <w:top w:val="nil"/>
              <w:left w:val="nil"/>
              <w:bottom w:val="nil"/>
              <w:right w:val="nil"/>
            </w:tcBorders>
          </w:tcPr>
          <w:p w:rsidR="005366A8" w:rsidRPr="00E97B3F" w:rsidRDefault="005366A8" w:rsidP="001845AC">
            <w:pPr>
              <w:pStyle w:val="TableText"/>
              <w:keepLines w:val="0"/>
              <w:spacing w:after="60" w:line="240" w:lineRule="auto"/>
              <w:rPr>
                <w:rFonts w:cs="David"/>
                <w:sz w:val="22"/>
                <w:szCs w:val="22"/>
              </w:rPr>
            </w:pPr>
          </w:p>
        </w:tc>
        <w:tc>
          <w:tcPr>
            <w:tcW w:w="1872" w:type="dxa"/>
            <w:gridSpan w:val="3"/>
            <w:tcBorders>
              <w:top w:val="nil"/>
              <w:left w:val="nil"/>
              <w:bottom w:val="nil"/>
              <w:right w:val="nil"/>
            </w:tcBorders>
          </w:tcPr>
          <w:p w:rsidR="005366A8" w:rsidRPr="00E97B3F" w:rsidRDefault="005366A8" w:rsidP="001845AC">
            <w:pPr>
              <w:pStyle w:val="TableInnerSideHeading"/>
              <w:spacing w:after="60" w:line="240" w:lineRule="auto"/>
              <w:rPr>
                <w:rFonts w:cs="David"/>
                <w:sz w:val="22"/>
                <w:szCs w:val="22"/>
              </w:rPr>
            </w:pPr>
            <w:r w:rsidRPr="00E97B3F">
              <w:rPr>
                <w:rFonts w:cs="David"/>
                <w:sz w:val="22"/>
                <w:szCs w:val="22"/>
                <w:rtl/>
              </w:rPr>
              <w:t>"רישיון מורה דרך</w:t>
            </w:r>
          </w:p>
        </w:tc>
        <w:tc>
          <w:tcPr>
            <w:tcW w:w="624" w:type="dxa"/>
            <w:tcBorders>
              <w:top w:val="nil"/>
              <w:left w:val="nil"/>
              <w:bottom w:val="nil"/>
              <w:right w:val="nil"/>
            </w:tcBorders>
          </w:tcPr>
          <w:p w:rsidR="005366A8" w:rsidRPr="00E97B3F" w:rsidRDefault="005366A8" w:rsidP="001845AC">
            <w:pPr>
              <w:pStyle w:val="TableText"/>
              <w:spacing w:after="60" w:line="240" w:lineRule="auto"/>
              <w:rPr>
                <w:rFonts w:cs="David"/>
                <w:sz w:val="22"/>
                <w:szCs w:val="22"/>
              </w:rPr>
            </w:pPr>
            <w:r w:rsidRPr="00E97B3F">
              <w:rPr>
                <w:rFonts w:cs="David"/>
                <w:sz w:val="22"/>
                <w:szCs w:val="22"/>
                <w:rtl/>
              </w:rPr>
              <w:t>3ב.</w:t>
            </w:r>
          </w:p>
        </w:tc>
        <w:tc>
          <w:tcPr>
            <w:tcW w:w="4649" w:type="dxa"/>
            <w:tcBorders>
              <w:top w:val="nil"/>
              <w:left w:val="nil"/>
              <w:bottom w:val="nil"/>
              <w:right w:val="nil"/>
            </w:tcBorders>
          </w:tcPr>
          <w:p w:rsidR="005366A8" w:rsidRPr="00E97B3F" w:rsidRDefault="005366A8" w:rsidP="001845AC">
            <w:pPr>
              <w:pStyle w:val="TableBlock"/>
              <w:spacing w:after="60" w:line="240" w:lineRule="auto"/>
              <w:rPr>
                <w:rFonts w:cs="David"/>
                <w:sz w:val="22"/>
                <w:szCs w:val="22"/>
              </w:rPr>
            </w:pPr>
            <w:r w:rsidRPr="00E97B3F">
              <w:rPr>
                <w:rFonts w:cs="David"/>
                <w:sz w:val="22"/>
                <w:szCs w:val="22"/>
                <w:rtl/>
              </w:rPr>
              <w:t>(א)</w:t>
            </w:r>
            <w:r w:rsidRPr="00E97B3F">
              <w:rPr>
                <w:rFonts w:cs="David"/>
                <w:sz w:val="22"/>
                <w:szCs w:val="22"/>
                <w:rtl/>
              </w:rPr>
              <w:tab/>
              <w:t>לא ישמש אדם מורה דרך בתמורה</w:t>
            </w:r>
            <w:r w:rsidRPr="00E97B3F">
              <w:rPr>
                <w:rFonts w:cs="David" w:hint="cs"/>
                <w:sz w:val="22"/>
                <w:szCs w:val="22"/>
                <w:rtl/>
              </w:rPr>
              <w:t xml:space="preserve"> </w:t>
            </w:r>
            <w:r w:rsidRPr="00E97B3F">
              <w:rPr>
                <w:rFonts w:cs="David"/>
                <w:sz w:val="22"/>
                <w:szCs w:val="22"/>
                <w:rtl/>
              </w:rPr>
              <w:t>אלא אם כן יש בידיו רישיון תקף לפי חוק זה (בסעיף זה – מורה דרך מורשה).</w:t>
            </w:r>
          </w:p>
        </w:tc>
      </w:tr>
      <w:tr w:rsidR="005366A8" w:rsidRPr="00E97B3F" w:rsidTr="001845AC">
        <w:trPr>
          <w:cantSplit/>
          <w:trHeight w:val="60"/>
        </w:trPr>
        <w:tc>
          <w:tcPr>
            <w:tcW w:w="1870" w:type="dxa"/>
            <w:tcBorders>
              <w:top w:val="nil"/>
              <w:left w:val="nil"/>
              <w:bottom w:val="nil"/>
              <w:right w:val="nil"/>
            </w:tcBorders>
          </w:tcPr>
          <w:p w:rsidR="005366A8" w:rsidRPr="00E97B3F" w:rsidRDefault="005366A8" w:rsidP="001845AC">
            <w:pPr>
              <w:pStyle w:val="TableSideHeading"/>
              <w:spacing w:after="60" w:line="240" w:lineRule="auto"/>
              <w:rPr>
                <w:rFonts w:cs="David"/>
                <w:sz w:val="22"/>
                <w:szCs w:val="22"/>
              </w:rPr>
            </w:pPr>
          </w:p>
        </w:tc>
        <w:tc>
          <w:tcPr>
            <w:tcW w:w="624" w:type="dxa"/>
            <w:tcBorders>
              <w:top w:val="nil"/>
              <w:left w:val="nil"/>
              <w:bottom w:val="nil"/>
              <w:right w:val="nil"/>
            </w:tcBorders>
          </w:tcPr>
          <w:p w:rsidR="005366A8" w:rsidRPr="00E97B3F" w:rsidRDefault="005366A8" w:rsidP="001845AC">
            <w:pPr>
              <w:pStyle w:val="TableText"/>
              <w:spacing w:after="60" w:line="240" w:lineRule="auto"/>
              <w:rPr>
                <w:rFonts w:cs="David"/>
                <w:sz w:val="22"/>
                <w:szCs w:val="22"/>
              </w:rPr>
            </w:pPr>
          </w:p>
        </w:tc>
        <w:tc>
          <w:tcPr>
            <w:tcW w:w="624" w:type="dxa"/>
            <w:tcBorders>
              <w:top w:val="nil"/>
              <w:left w:val="nil"/>
              <w:bottom w:val="nil"/>
              <w:right w:val="nil"/>
            </w:tcBorders>
          </w:tcPr>
          <w:p w:rsidR="005366A8" w:rsidRPr="00E97B3F" w:rsidRDefault="005366A8" w:rsidP="001845AC">
            <w:pPr>
              <w:pStyle w:val="TableText"/>
              <w:spacing w:after="60" w:line="240" w:lineRule="auto"/>
              <w:rPr>
                <w:rFonts w:cs="David"/>
                <w:sz w:val="22"/>
                <w:szCs w:val="22"/>
              </w:rPr>
            </w:pPr>
          </w:p>
        </w:tc>
        <w:tc>
          <w:tcPr>
            <w:tcW w:w="624" w:type="dxa"/>
            <w:tcBorders>
              <w:top w:val="nil"/>
              <w:left w:val="nil"/>
              <w:bottom w:val="nil"/>
              <w:right w:val="nil"/>
            </w:tcBorders>
          </w:tcPr>
          <w:p w:rsidR="005366A8" w:rsidRPr="00E97B3F" w:rsidRDefault="005366A8" w:rsidP="001845AC">
            <w:pPr>
              <w:pStyle w:val="TableText"/>
              <w:spacing w:after="60" w:line="240" w:lineRule="auto"/>
              <w:rPr>
                <w:rFonts w:cs="David"/>
                <w:sz w:val="22"/>
                <w:szCs w:val="22"/>
              </w:rPr>
            </w:pPr>
          </w:p>
        </w:tc>
        <w:tc>
          <w:tcPr>
            <w:tcW w:w="624" w:type="dxa"/>
            <w:tcBorders>
              <w:top w:val="nil"/>
              <w:left w:val="nil"/>
              <w:bottom w:val="nil"/>
              <w:right w:val="nil"/>
            </w:tcBorders>
          </w:tcPr>
          <w:p w:rsidR="005366A8" w:rsidRPr="00E97B3F" w:rsidRDefault="005366A8" w:rsidP="001845AC">
            <w:pPr>
              <w:pStyle w:val="TableText"/>
              <w:spacing w:after="60" w:line="240" w:lineRule="auto"/>
              <w:rPr>
                <w:rFonts w:cs="David"/>
                <w:sz w:val="22"/>
                <w:szCs w:val="22"/>
              </w:rPr>
            </w:pPr>
          </w:p>
        </w:tc>
        <w:tc>
          <w:tcPr>
            <w:tcW w:w="624" w:type="dxa"/>
            <w:tcBorders>
              <w:top w:val="nil"/>
              <w:left w:val="nil"/>
              <w:bottom w:val="nil"/>
              <w:right w:val="nil"/>
            </w:tcBorders>
          </w:tcPr>
          <w:p w:rsidR="005366A8" w:rsidRPr="00E97B3F" w:rsidRDefault="005366A8" w:rsidP="001845AC">
            <w:pPr>
              <w:pStyle w:val="TableText"/>
              <w:spacing w:after="60" w:line="240" w:lineRule="auto"/>
              <w:rPr>
                <w:rFonts w:cs="David"/>
                <w:sz w:val="22"/>
                <w:szCs w:val="22"/>
              </w:rPr>
            </w:pPr>
          </w:p>
        </w:tc>
        <w:tc>
          <w:tcPr>
            <w:tcW w:w="4649" w:type="dxa"/>
            <w:tcBorders>
              <w:top w:val="nil"/>
              <w:left w:val="nil"/>
              <w:bottom w:val="nil"/>
              <w:right w:val="nil"/>
            </w:tcBorders>
          </w:tcPr>
          <w:p w:rsidR="005366A8" w:rsidRPr="00E97B3F" w:rsidRDefault="005366A8" w:rsidP="001845AC">
            <w:pPr>
              <w:pStyle w:val="TableBlock"/>
              <w:spacing w:after="60" w:line="240" w:lineRule="auto"/>
              <w:rPr>
                <w:rFonts w:cs="David"/>
                <w:sz w:val="22"/>
                <w:szCs w:val="22"/>
              </w:rPr>
            </w:pPr>
            <w:r w:rsidRPr="00E97B3F">
              <w:rPr>
                <w:rFonts w:cs="David"/>
                <w:sz w:val="22"/>
                <w:szCs w:val="22"/>
                <w:rtl/>
              </w:rPr>
              <w:t>(ב)</w:t>
            </w:r>
            <w:r w:rsidRPr="00E97B3F">
              <w:rPr>
                <w:rFonts w:cs="David"/>
                <w:sz w:val="22"/>
                <w:szCs w:val="22"/>
                <w:rtl/>
              </w:rPr>
              <w:tab/>
              <w:t xml:space="preserve">נותן שירותי סוכנות נסיעות או גוף אחר, המארגן סיורים בישראל לתיירי חוץ, לא יעסיק מורה דרך, אלא אם כן הוא מורה דרך מורשה. </w:t>
            </w:r>
          </w:p>
        </w:tc>
      </w:tr>
      <w:tr w:rsidR="005366A8" w:rsidRPr="00E97B3F" w:rsidTr="001845AC">
        <w:trPr>
          <w:cantSplit/>
          <w:trHeight w:val="60"/>
        </w:trPr>
        <w:tc>
          <w:tcPr>
            <w:tcW w:w="1870" w:type="dxa"/>
            <w:tcBorders>
              <w:top w:val="nil"/>
              <w:left w:val="nil"/>
              <w:bottom w:val="nil"/>
              <w:right w:val="nil"/>
            </w:tcBorders>
          </w:tcPr>
          <w:p w:rsidR="005366A8" w:rsidRPr="00E97B3F" w:rsidRDefault="005366A8" w:rsidP="001845AC">
            <w:pPr>
              <w:pStyle w:val="TableSideHeading"/>
              <w:spacing w:after="60" w:line="240" w:lineRule="auto"/>
              <w:rPr>
                <w:rFonts w:cs="David"/>
                <w:sz w:val="22"/>
                <w:szCs w:val="22"/>
              </w:rPr>
            </w:pPr>
          </w:p>
        </w:tc>
        <w:tc>
          <w:tcPr>
            <w:tcW w:w="624" w:type="dxa"/>
            <w:tcBorders>
              <w:top w:val="nil"/>
              <w:left w:val="nil"/>
              <w:bottom w:val="nil"/>
              <w:right w:val="nil"/>
            </w:tcBorders>
          </w:tcPr>
          <w:p w:rsidR="005366A8" w:rsidRPr="00E97B3F" w:rsidRDefault="005366A8" w:rsidP="001845AC">
            <w:pPr>
              <w:pStyle w:val="TableText"/>
              <w:spacing w:after="60" w:line="240" w:lineRule="auto"/>
              <w:rPr>
                <w:rFonts w:cs="David"/>
                <w:sz w:val="22"/>
                <w:szCs w:val="22"/>
              </w:rPr>
            </w:pPr>
          </w:p>
        </w:tc>
        <w:tc>
          <w:tcPr>
            <w:tcW w:w="624" w:type="dxa"/>
            <w:tcBorders>
              <w:top w:val="nil"/>
              <w:left w:val="nil"/>
              <w:bottom w:val="nil"/>
              <w:right w:val="nil"/>
            </w:tcBorders>
          </w:tcPr>
          <w:p w:rsidR="005366A8" w:rsidRPr="00E97B3F" w:rsidRDefault="005366A8" w:rsidP="001845AC">
            <w:pPr>
              <w:pStyle w:val="TableText"/>
              <w:spacing w:after="60" w:line="240" w:lineRule="auto"/>
              <w:rPr>
                <w:rFonts w:cs="David"/>
                <w:sz w:val="22"/>
                <w:szCs w:val="22"/>
              </w:rPr>
            </w:pPr>
          </w:p>
        </w:tc>
        <w:tc>
          <w:tcPr>
            <w:tcW w:w="624" w:type="dxa"/>
            <w:tcBorders>
              <w:top w:val="nil"/>
              <w:left w:val="nil"/>
              <w:bottom w:val="nil"/>
              <w:right w:val="nil"/>
            </w:tcBorders>
          </w:tcPr>
          <w:p w:rsidR="005366A8" w:rsidRPr="00E97B3F" w:rsidRDefault="005366A8" w:rsidP="001845AC">
            <w:pPr>
              <w:pStyle w:val="TableText"/>
              <w:spacing w:after="60" w:line="240" w:lineRule="auto"/>
              <w:rPr>
                <w:rFonts w:cs="David"/>
                <w:sz w:val="22"/>
                <w:szCs w:val="22"/>
              </w:rPr>
            </w:pPr>
          </w:p>
        </w:tc>
        <w:tc>
          <w:tcPr>
            <w:tcW w:w="624" w:type="dxa"/>
            <w:tcBorders>
              <w:top w:val="nil"/>
              <w:left w:val="nil"/>
              <w:bottom w:val="nil"/>
              <w:right w:val="nil"/>
            </w:tcBorders>
          </w:tcPr>
          <w:p w:rsidR="005366A8" w:rsidRPr="00E97B3F" w:rsidRDefault="005366A8" w:rsidP="001845AC">
            <w:pPr>
              <w:pStyle w:val="TableText"/>
              <w:spacing w:after="60" w:line="240" w:lineRule="auto"/>
              <w:rPr>
                <w:rFonts w:cs="David"/>
                <w:sz w:val="22"/>
                <w:szCs w:val="22"/>
              </w:rPr>
            </w:pPr>
          </w:p>
        </w:tc>
        <w:tc>
          <w:tcPr>
            <w:tcW w:w="624" w:type="dxa"/>
            <w:tcBorders>
              <w:top w:val="nil"/>
              <w:left w:val="nil"/>
              <w:bottom w:val="nil"/>
              <w:right w:val="nil"/>
            </w:tcBorders>
          </w:tcPr>
          <w:p w:rsidR="005366A8" w:rsidRPr="00E97B3F" w:rsidRDefault="005366A8" w:rsidP="001845AC">
            <w:pPr>
              <w:pStyle w:val="TableText"/>
              <w:spacing w:after="60" w:line="240" w:lineRule="auto"/>
              <w:rPr>
                <w:rFonts w:cs="David"/>
                <w:sz w:val="22"/>
                <w:szCs w:val="22"/>
              </w:rPr>
            </w:pPr>
          </w:p>
        </w:tc>
        <w:tc>
          <w:tcPr>
            <w:tcW w:w="4649" w:type="dxa"/>
            <w:tcBorders>
              <w:top w:val="nil"/>
              <w:left w:val="nil"/>
              <w:bottom w:val="nil"/>
              <w:right w:val="nil"/>
            </w:tcBorders>
          </w:tcPr>
          <w:p w:rsidR="005366A8" w:rsidRPr="00E97B3F" w:rsidRDefault="005366A8" w:rsidP="001845AC">
            <w:pPr>
              <w:pStyle w:val="TableBlock"/>
              <w:spacing w:after="60" w:line="240" w:lineRule="auto"/>
              <w:rPr>
                <w:rFonts w:cs="David"/>
                <w:sz w:val="22"/>
                <w:szCs w:val="22"/>
              </w:rPr>
            </w:pPr>
            <w:r w:rsidRPr="00E97B3F">
              <w:rPr>
                <w:rFonts w:cs="David"/>
                <w:sz w:val="22"/>
                <w:szCs w:val="22"/>
                <w:rtl/>
              </w:rPr>
              <w:t>(ג)</w:t>
            </w:r>
            <w:r w:rsidRPr="00E97B3F">
              <w:rPr>
                <w:rFonts w:cs="David"/>
                <w:sz w:val="22"/>
                <w:szCs w:val="22"/>
                <w:rtl/>
              </w:rPr>
              <w:tab/>
              <w:t xml:space="preserve">נותן שירותי סוכנות נסיעות או גוף אחר, המארגן סיור בישראל שבו משתתפים לפחות 11 תיירי חוץ, ידאג לכך שהסיור ילווה על ידי מורה דרך מורשה שהוא אזרח ישראלי. </w:t>
            </w:r>
          </w:p>
        </w:tc>
      </w:tr>
      <w:tr w:rsidR="005366A8" w:rsidRPr="00E97B3F" w:rsidTr="001845AC">
        <w:trPr>
          <w:cantSplit/>
          <w:trHeight w:val="60"/>
        </w:trPr>
        <w:tc>
          <w:tcPr>
            <w:tcW w:w="1870" w:type="dxa"/>
            <w:tcBorders>
              <w:top w:val="nil"/>
              <w:left w:val="nil"/>
              <w:bottom w:val="nil"/>
              <w:right w:val="nil"/>
            </w:tcBorders>
          </w:tcPr>
          <w:p w:rsidR="005366A8" w:rsidRPr="00E97B3F" w:rsidRDefault="005366A8" w:rsidP="001845AC">
            <w:pPr>
              <w:pStyle w:val="TableSideHeading"/>
              <w:spacing w:after="60" w:line="240" w:lineRule="auto"/>
              <w:rPr>
                <w:rFonts w:cs="David"/>
                <w:sz w:val="22"/>
                <w:szCs w:val="22"/>
              </w:rPr>
            </w:pPr>
          </w:p>
        </w:tc>
        <w:tc>
          <w:tcPr>
            <w:tcW w:w="624" w:type="dxa"/>
            <w:tcBorders>
              <w:top w:val="nil"/>
              <w:left w:val="nil"/>
              <w:bottom w:val="nil"/>
              <w:right w:val="nil"/>
            </w:tcBorders>
          </w:tcPr>
          <w:p w:rsidR="005366A8" w:rsidRPr="00E97B3F" w:rsidRDefault="005366A8" w:rsidP="001845AC">
            <w:pPr>
              <w:pStyle w:val="TableText"/>
              <w:spacing w:after="60" w:line="240" w:lineRule="auto"/>
              <w:rPr>
                <w:rFonts w:cs="David"/>
                <w:sz w:val="22"/>
                <w:szCs w:val="22"/>
              </w:rPr>
            </w:pPr>
          </w:p>
        </w:tc>
        <w:tc>
          <w:tcPr>
            <w:tcW w:w="624" w:type="dxa"/>
            <w:tcBorders>
              <w:top w:val="nil"/>
              <w:left w:val="nil"/>
              <w:bottom w:val="nil"/>
              <w:right w:val="nil"/>
            </w:tcBorders>
          </w:tcPr>
          <w:p w:rsidR="005366A8" w:rsidRPr="00E97B3F" w:rsidRDefault="005366A8" w:rsidP="001845AC">
            <w:pPr>
              <w:pStyle w:val="TableText"/>
              <w:spacing w:after="60" w:line="240" w:lineRule="auto"/>
              <w:rPr>
                <w:rFonts w:cs="David"/>
                <w:sz w:val="22"/>
                <w:szCs w:val="22"/>
              </w:rPr>
            </w:pPr>
          </w:p>
        </w:tc>
        <w:tc>
          <w:tcPr>
            <w:tcW w:w="624" w:type="dxa"/>
            <w:tcBorders>
              <w:top w:val="nil"/>
              <w:left w:val="nil"/>
              <w:bottom w:val="nil"/>
              <w:right w:val="nil"/>
            </w:tcBorders>
          </w:tcPr>
          <w:p w:rsidR="005366A8" w:rsidRPr="00E97B3F" w:rsidRDefault="005366A8" w:rsidP="001845AC">
            <w:pPr>
              <w:pStyle w:val="TableText"/>
              <w:spacing w:after="60" w:line="240" w:lineRule="auto"/>
              <w:rPr>
                <w:rFonts w:cs="David"/>
                <w:sz w:val="22"/>
                <w:szCs w:val="22"/>
              </w:rPr>
            </w:pPr>
          </w:p>
        </w:tc>
        <w:tc>
          <w:tcPr>
            <w:tcW w:w="624" w:type="dxa"/>
            <w:tcBorders>
              <w:top w:val="nil"/>
              <w:left w:val="nil"/>
              <w:bottom w:val="nil"/>
              <w:right w:val="nil"/>
            </w:tcBorders>
          </w:tcPr>
          <w:p w:rsidR="005366A8" w:rsidRPr="00E97B3F" w:rsidRDefault="005366A8" w:rsidP="001845AC">
            <w:pPr>
              <w:pStyle w:val="TableText"/>
              <w:spacing w:after="60" w:line="240" w:lineRule="auto"/>
              <w:rPr>
                <w:rFonts w:cs="David"/>
                <w:sz w:val="22"/>
                <w:szCs w:val="22"/>
              </w:rPr>
            </w:pPr>
          </w:p>
        </w:tc>
        <w:tc>
          <w:tcPr>
            <w:tcW w:w="624" w:type="dxa"/>
            <w:tcBorders>
              <w:top w:val="nil"/>
              <w:left w:val="nil"/>
              <w:bottom w:val="nil"/>
              <w:right w:val="nil"/>
            </w:tcBorders>
          </w:tcPr>
          <w:p w:rsidR="005366A8" w:rsidRPr="00E97B3F" w:rsidRDefault="005366A8" w:rsidP="001845AC">
            <w:pPr>
              <w:pStyle w:val="TableText"/>
              <w:spacing w:after="60" w:line="240" w:lineRule="auto"/>
              <w:rPr>
                <w:rFonts w:cs="David"/>
                <w:sz w:val="22"/>
                <w:szCs w:val="22"/>
              </w:rPr>
            </w:pPr>
          </w:p>
        </w:tc>
        <w:tc>
          <w:tcPr>
            <w:tcW w:w="4649" w:type="dxa"/>
            <w:tcBorders>
              <w:top w:val="nil"/>
              <w:left w:val="nil"/>
              <w:bottom w:val="nil"/>
              <w:right w:val="nil"/>
            </w:tcBorders>
          </w:tcPr>
          <w:p w:rsidR="005366A8" w:rsidRPr="00E97B3F" w:rsidRDefault="005366A8" w:rsidP="001845AC">
            <w:pPr>
              <w:pStyle w:val="TableBlock"/>
              <w:spacing w:after="60" w:line="240" w:lineRule="auto"/>
              <w:rPr>
                <w:rFonts w:cs="David"/>
                <w:sz w:val="22"/>
                <w:szCs w:val="22"/>
              </w:rPr>
            </w:pPr>
            <w:r w:rsidRPr="00E97B3F">
              <w:rPr>
                <w:rFonts w:cs="David"/>
                <w:sz w:val="22"/>
                <w:szCs w:val="22"/>
                <w:rtl/>
              </w:rPr>
              <w:t>(ד)</w:t>
            </w:r>
            <w:r w:rsidRPr="00E97B3F">
              <w:rPr>
                <w:rFonts w:cs="David"/>
                <w:sz w:val="22"/>
                <w:szCs w:val="22"/>
                <w:rtl/>
              </w:rPr>
              <w:tab/>
            </w:r>
            <w:r w:rsidRPr="00E97B3F">
              <w:rPr>
                <w:rFonts w:cs="David" w:hint="cs"/>
                <w:sz w:val="22"/>
                <w:szCs w:val="22"/>
                <w:rtl/>
              </w:rPr>
              <w:t>הוראה זו תהא תקפה על אף האמור בחוק יסוד: חופש העיסוק</w:t>
            </w:r>
            <w:r w:rsidRPr="00E97B3F">
              <w:rPr>
                <w:rFonts w:cs="David"/>
                <w:sz w:val="22"/>
                <w:szCs w:val="22"/>
                <w:rtl/>
              </w:rPr>
              <w:t>."</w:t>
            </w:r>
          </w:p>
        </w:tc>
      </w:tr>
    </w:tbl>
    <w:p w:rsidR="005366A8" w:rsidRPr="00E97B3F" w:rsidRDefault="005366A8" w:rsidP="005366A8">
      <w:pPr>
        <w:rPr>
          <w:sz w:val="22"/>
          <w:szCs w:val="22"/>
          <w:rtl/>
        </w:rPr>
      </w:pPr>
    </w:p>
    <w:p w:rsidR="005366A8" w:rsidRDefault="005366A8" w:rsidP="005366A8">
      <w:pPr>
        <w:rPr>
          <w:sz w:val="22"/>
          <w:szCs w:val="22"/>
          <w:rtl/>
        </w:rPr>
      </w:pPr>
      <w:r>
        <w:rPr>
          <w:rFonts w:hint="cs"/>
          <w:sz w:val="22"/>
          <w:szCs w:val="22"/>
          <w:rtl/>
        </w:rPr>
        <w:t>1. שימו לב כי החוק החדש מנסה להפעיל את "פסקת ההתגברות" שבחוק יסוד: חופש העיסוק. האם הצליח?</w:t>
      </w:r>
    </w:p>
    <w:p w:rsidR="005366A8" w:rsidRDefault="005366A8" w:rsidP="005366A8">
      <w:pPr>
        <w:ind w:left="720"/>
        <w:rPr>
          <w:sz w:val="22"/>
          <w:szCs w:val="22"/>
          <w:rtl/>
        </w:rPr>
      </w:pPr>
      <w:r>
        <w:rPr>
          <w:rFonts w:hint="cs"/>
          <w:sz w:val="22"/>
          <w:szCs w:val="22"/>
          <w:rtl/>
        </w:rPr>
        <w:t>א. נשאלת השאלה האם הוא התקבל "ברוב" של חברי הכנסת.</w:t>
      </w:r>
    </w:p>
    <w:p w:rsidR="005366A8" w:rsidRDefault="005366A8" w:rsidP="005366A8">
      <w:pPr>
        <w:ind w:left="720"/>
        <w:rPr>
          <w:sz w:val="22"/>
          <w:szCs w:val="22"/>
          <w:rtl/>
        </w:rPr>
      </w:pPr>
      <w:r>
        <w:rPr>
          <w:rFonts w:hint="cs"/>
          <w:sz w:val="22"/>
          <w:szCs w:val="22"/>
          <w:rtl/>
        </w:rPr>
        <w:t xml:space="preserve">ב. מכיוון שההוראה מגבילה/פוגעת גם בחוק יסוד: חופש העיסוק וגם בחוק יסוד: כבוד האדם וחירותו, עולה השאלה האם הוא צולח את דרישות פס"ד </w:t>
      </w:r>
      <w:r w:rsidRPr="00B01E20">
        <w:rPr>
          <w:rFonts w:hint="cs"/>
          <w:b/>
          <w:bCs/>
          <w:sz w:val="22"/>
          <w:szCs w:val="22"/>
          <w:rtl/>
        </w:rPr>
        <w:t>מיטראל</w:t>
      </w:r>
      <w:r>
        <w:rPr>
          <w:rFonts w:hint="cs"/>
          <w:sz w:val="22"/>
          <w:szCs w:val="22"/>
          <w:rtl/>
        </w:rPr>
        <w:t>, שאותו התבקשתם לקרוא.</w:t>
      </w:r>
    </w:p>
    <w:p w:rsidR="005366A8" w:rsidRPr="00E97B3F" w:rsidRDefault="005366A8" w:rsidP="005366A8">
      <w:pPr>
        <w:rPr>
          <w:sz w:val="22"/>
          <w:szCs w:val="22"/>
          <w:rtl/>
        </w:rPr>
      </w:pPr>
    </w:p>
    <w:p w:rsidR="005366A8" w:rsidRDefault="005366A8" w:rsidP="005366A8">
      <w:pPr>
        <w:spacing w:after="60"/>
        <w:rPr>
          <w:sz w:val="22"/>
          <w:szCs w:val="22"/>
          <w:rtl/>
        </w:rPr>
      </w:pPr>
      <w:r>
        <w:rPr>
          <w:rFonts w:hint="cs"/>
          <w:sz w:val="22"/>
          <w:szCs w:val="22"/>
          <w:rtl/>
        </w:rPr>
        <w:t xml:space="preserve">2. </w:t>
      </w:r>
      <w:r w:rsidRPr="00E97B3F">
        <w:rPr>
          <w:rFonts w:hint="cs"/>
          <w:sz w:val="22"/>
          <w:szCs w:val="22"/>
          <w:rtl/>
        </w:rPr>
        <w:t xml:space="preserve">פסקת </w:t>
      </w:r>
      <w:r>
        <w:rPr>
          <w:rFonts w:hint="cs"/>
          <w:sz w:val="22"/>
          <w:szCs w:val="22"/>
          <w:rtl/>
        </w:rPr>
        <w:t>"</w:t>
      </w:r>
      <w:r w:rsidRPr="00E97B3F">
        <w:rPr>
          <w:rFonts w:hint="cs"/>
          <w:sz w:val="22"/>
          <w:szCs w:val="22"/>
          <w:rtl/>
        </w:rPr>
        <w:t>שמירת דינים</w:t>
      </w:r>
      <w:r>
        <w:rPr>
          <w:rFonts w:hint="cs"/>
          <w:sz w:val="22"/>
          <w:szCs w:val="22"/>
          <w:rtl/>
        </w:rPr>
        <w:t>"</w:t>
      </w:r>
      <w:r w:rsidRPr="00E97B3F">
        <w:rPr>
          <w:rFonts w:hint="cs"/>
          <w:sz w:val="22"/>
          <w:szCs w:val="22"/>
          <w:rtl/>
        </w:rPr>
        <w:t xml:space="preserve"> מעניקה </w:t>
      </w:r>
      <w:r>
        <w:rPr>
          <w:rFonts w:hint="cs"/>
          <w:sz w:val="22"/>
          <w:szCs w:val="22"/>
          <w:rtl/>
        </w:rPr>
        <w:t xml:space="preserve">"לדין ותיק" (ומעשית ל"חוק ותיק") </w:t>
      </w:r>
      <w:r w:rsidRPr="00E97B3F">
        <w:rPr>
          <w:rFonts w:hint="cs"/>
          <w:sz w:val="22"/>
          <w:szCs w:val="22"/>
          <w:rtl/>
        </w:rPr>
        <w:t xml:space="preserve">חסינות מפני תקיפה, כך שאיננו </w:t>
      </w:r>
      <w:r>
        <w:rPr>
          <w:rFonts w:hint="cs"/>
          <w:sz w:val="22"/>
          <w:szCs w:val="22"/>
          <w:rtl/>
        </w:rPr>
        <w:t xml:space="preserve">יכולים לעסוק </w:t>
      </w:r>
      <w:r w:rsidRPr="00E97B3F">
        <w:rPr>
          <w:rFonts w:hint="cs"/>
          <w:sz w:val="22"/>
          <w:szCs w:val="22"/>
          <w:rtl/>
        </w:rPr>
        <w:t xml:space="preserve">בתוקפה של </w:t>
      </w:r>
      <w:r>
        <w:rPr>
          <w:rFonts w:hint="cs"/>
          <w:sz w:val="22"/>
          <w:szCs w:val="22"/>
          <w:rtl/>
        </w:rPr>
        <w:t>"</w:t>
      </w:r>
      <w:r w:rsidRPr="00E97B3F">
        <w:rPr>
          <w:rFonts w:hint="cs"/>
          <w:sz w:val="22"/>
          <w:szCs w:val="22"/>
          <w:rtl/>
        </w:rPr>
        <w:t xml:space="preserve">ההוראה </w:t>
      </w:r>
      <w:r>
        <w:rPr>
          <w:rFonts w:hint="cs"/>
          <w:sz w:val="22"/>
          <w:szCs w:val="22"/>
          <w:rtl/>
        </w:rPr>
        <w:t>שנשמרה", גם אם היא נמצאת במתקל עם חוק היסוד שמכיל את פסקת שמירת הדינים – חוק יסוד: כבוד האדם וחירותו. ואולם:</w:t>
      </w:r>
    </w:p>
    <w:p w:rsidR="005366A8" w:rsidRDefault="005366A8" w:rsidP="005366A8">
      <w:pPr>
        <w:spacing w:after="60"/>
        <w:ind w:left="720"/>
        <w:rPr>
          <w:sz w:val="22"/>
          <w:szCs w:val="22"/>
          <w:rtl/>
        </w:rPr>
      </w:pPr>
      <w:r>
        <w:rPr>
          <w:rFonts w:hint="cs"/>
          <w:sz w:val="22"/>
          <w:szCs w:val="22"/>
          <w:rtl/>
        </w:rPr>
        <w:t>א. איננו יכולים לתקוף (על יסוד חוק יסוד זה) את תוקפה של אותה הוראה שנשמרה</w:t>
      </w:r>
      <w:r w:rsidRPr="00E97B3F">
        <w:rPr>
          <w:rFonts w:hint="cs"/>
          <w:sz w:val="22"/>
          <w:szCs w:val="22"/>
          <w:rtl/>
        </w:rPr>
        <w:t xml:space="preserve">, </w:t>
      </w:r>
      <w:r>
        <w:rPr>
          <w:rFonts w:hint="cs"/>
          <w:sz w:val="22"/>
          <w:szCs w:val="22"/>
          <w:rtl/>
        </w:rPr>
        <w:t xml:space="preserve">ואולם אנו מצווים לבחון את פרשנותה. הפרשנות עשויה להשתנות בחלוף הזמן ולאור התפתחויות שונות – ראו את פסק דין </w:t>
      </w:r>
      <w:r w:rsidRPr="00B01E20">
        <w:rPr>
          <w:rFonts w:hint="cs"/>
          <w:b/>
          <w:bCs/>
          <w:sz w:val="22"/>
          <w:szCs w:val="22"/>
          <w:rtl/>
        </w:rPr>
        <w:t>גנימאת</w:t>
      </w:r>
      <w:r>
        <w:rPr>
          <w:rFonts w:hint="cs"/>
          <w:sz w:val="22"/>
          <w:szCs w:val="22"/>
          <w:rtl/>
        </w:rPr>
        <w:t xml:space="preserve"> שהזכרתי בדפי פגישות קודמות. </w:t>
      </w:r>
    </w:p>
    <w:p w:rsidR="005366A8" w:rsidRDefault="005366A8" w:rsidP="005366A8">
      <w:pPr>
        <w:spacing w:after="60"/>
        <w:ind w:left="720"/>
        <w:rPr>
          <w:sz w:val="22"/>
          <w:szCs w:val="22"/>
          <w:rtl/>
        </w:rPr>
      </w:pPr>
      <w:r>
        <w:rPr>
          <w:rFonts w:hint="cs"/>
          <w:sz w:val="22"/>
          <w:szCs w:val="22"/>
          <w:rtl/>
        </w:rPr>
        <w:t xml:space="preserve">ב. שימו לב למצבים, כמו במקרה שבפנינו, שבהם החוק הנבחן פוגע במספר זכויות. התיקון פוגע לפחות בשתי זכויות חוקתיות: בזכות לכבוד האדם – בשל הפגיעה בשוויון על בסיס גורף של השתייכות קבוצתית וגם בשל הפגיעה בחופש הביטוי הפוליטי – וכן בזכות לחופש העיסוק, המוגנת בחוק יסוד: חופש העיסוק. </w:t>
      </w:r>
    </w:p>
    <w:p w:rsidR="005366A8" w:rsidRDefault="005366A8" w:rsidP="005366A8">
      <w:pPr>
        <w:spacing w:after="60"/>
        <w:ind w:left="720"/>
        <w:rPr>
          <w:sz w:val="22"/>
          <w:szCs w:val="22"/>
          <w:rtl/>
        </w:rPr>
      </w:pPr>
      <w:r>
        <w:rPr>
          <w:rFonts w:hint="cs"/>
          <w:sz w:val="22"/>
          <w:szCs w:val="22"/>
          <w:rtl/>
        </w:rPr>
        <w:t>במצב הנבחן בתרגיל החוק/התיקון פוגע גם בזכות המוגנת בחוק יסוד המכיל פסקת שמירת דינים (חוק יסוד: כבוד האדם וחירותו), וגם בזכות המוגנת בחוק יסוד שלא מכיל פסקת שמירת דינים (חוק יסוד: חופש העיסוק). האם יש לכך משמעות?</w:t>
      </w:r>
    </w:p>
    <w:p w:rsidR="005366A8" w:rsidRDefault="005366A8" w:rsidP="005366A8">
      <w:pPr>
        <w:spacing w:after="60"/>
        <w:ind w:left="720"/>
        <w:rPr>
          <w:sz w:val="22"/>
          <w:szCs w:val="22"/>
          <w:rtl/>
        </w:rPr>
      </w:pPr>
      <w:r>
        <w:rPr>
          <w:rFonts w:hint="cs"/>
          <w:sz w:val="22"/>
          <w:szCs w:val="22"/>
          <w:rtl/>
        </w:rPr>
        <w:t xml:space="preserve">באופן בסיסי, לענייננו כאן, אין לכך משמעות. </w:t>
      </w:r>
      <w:r w:rsidRPr="00154926">
        <w:rPr>
          <w:rFonts w:hint="cs"/>
          <w:sz w:val="22"/>
          <w:szCs w:val="22"/>
          <w:u w:val="single"/>
          <w:rtl/>
        </w:rPr>
        <w:t>התיקון המותקף הוא חדש</w:t>
      </w:r>
      <w:r>
        <w:rPr>
          <w:rFonts w:hint="cs"/>
          <w:sz w:val="22"/>
          <w:szCs w:val="22"/>
          <w:rtl/>
        </w:rPr>
        <w:t>, ולכן לא חלה שמירת הדינים.</w:t>
      </w:r>
    </w:p>
    <w:p w:rsidR="005366A8" w:rsidRDefault="005366A8" w:rsidP="005366A8">
      <w:pPr>
        <w:spacing w:after="60"/>
        <w:ind w:left="720"/>
        <w:rPr>
          <w:sz w:val="22"/>
          <w:szCs w:val="22"/>
          <w:rtl/>
        </w:rPr>
      </w:pPr>
      <w:r w:rsidRPr="00154926">
        <w:rPr>
          <w:rFonts w:hint="cs"/>
          <w:sz w:val="22"/>
          <w:szCs w:val="22"/>
          <w:u w:val="single"/>
          <w:rtl/>
        </w:rPr>
        <w:t>מה ביחס לעצם דרישת הרישוי למורה דרך? היא הייתה קיימת כבר בתקנות ותיקות, משנת 1967</w:t>
      </w:r>
      <w:r>
        <w:rPr>
          <w:rFonts w:hint="cs"/>
          <w:sz w:val="22"/>
          <w:szCs w:val="22"/>
          <w:rtl/>
        </w:rPr>
        <w:t>.</w:t>
      </w:r>
    </w:p>
    <w:p w:rsidR="005366A8" w:rsidRDefault="005366A8" w:rsidP="005366A8">
      <w:pPr>
        <w:spacing w:after="60"/>
        <w:rPr>
          <w:sz w:val="22"/>
          <w:szCs w:val="22"/>
          <w:rtl/>
        </w:rPr>
      </w:pPr>
      <w:r>
        <w:rPr>
          <w:rFonts w:hint="cs"/>
          <w:sz w:val="22"/>
          <w:szCs w:val="22"/>
          <w:rtl/>
        </w:rPr>
        <w:t>להלן התשובה:</w:t>
      </w:r>
    </w:p>
    <w:p w:rsidR="005366A8" w:rsidRDefault="005366A8" w:rsidP="005366A8">
      <w:pPr>
        <w:spacing w:after="60"/>
        <w:ind w:left="720"/>
        <w:rPr>
          <w:sz w:val="22"/>
          <w:szCs w:val="22"/>
          <w:rtl/>
        </w:rPr>
      </w:pPr>
      <w:r>
        <w:rPr>
          <w:rFonts w:hint="cs"/>
          <w:sz w:val="22"/>
          <w:szCs w:val="22"/>
          <w:rtl/>
        </w:rPr>
        <w:t>הגבלה של חופש העיסוק אינה כפופה לפסקת שמירת הדינים, ולכן הוותק לא עוזר כאן.</w:t>
      </w:r>
    </w:p>
    <w:p w:rsidR="005366A8" w:rsidRPr="009E7287" w:rsidRDefault="005366A8" w:rsidP="005366A8">
      <w:pPr>
        <w:spacing w:after="60"/>
        <w:ind w:left="720"/>
        <w:rPr>
          <w:sz w:val="22"/>
          <w:szCs w:val="22"/>
          <w:rtl/>
        </w:rPr>
      </w:pPr>
      <w:r>
        <w:rPr>
          <w:rFonts w:hint="cs"/>
          <w:sz w:val="22"/>
          <w:szCs w:val="22"/>
          <w:rtl/>
        </w:rPr>
        <w:t xml:space="preserve">שנית, ומסיבות הקשורות לפירמידה הנורמטיבית, שמירת הדינים מועילה רק </w:t>
      </w:r>
      <w:r w:rsidRPr="009E7287">
        <w:rPr>
          <w:rFonts w:hint="cs"/>
          <w:sz w:val="22"/>
          <w:szCs w:val="22"/>
          <w:u w:val="single"/>
          <w:rtl/>
        </w:rPr>
        <w:t>לחקיקה</w:t>
      </w:r>
      <w:r>
        <w:rPr>
          <w:rFonts w:hint="cs"/>
          <w:sz w:val="22"/>
          <w:szCs w:val="22"/>
          <w:rtl/>
        </w:rPr>
        <w:t xml:space="preserve"> ותיקה. היא לא רלבנטית לחקיקת משנה (תקנות, כללים, חוקי-עזר עירוניים וכדומה).</w:t>
      </w:r>
      <w:r w:rsidRPr="009E7287">
        <w:rPr>
          <w:rFonts w:hint="cs"/>
          <w:sz w:val="22"/>
          <w:szCs w:val="22"/>
          <w:rtl/>
        </w:rPr>
        <w:t xml:space="preserve"> זה קשור בפירמידה הנורמטיבית ובמיקומה של חקיקת משנה בפירמידה מתחת לזכויות היסוד מכוח המשפט המקובל נוסח ישראל.</w:t>
      </w:r>
      <w:r>
        <w:rPr>
          <w:rFonts w:hint="cs"/>
          <w:sz w:val="22"/>
          <w:szCs w:val="22"/>
          <w:rtl/>
        </w:rPr>
        <w:t xml:space="preserve"> מיקום זה הפך את חקיקת המשנה לפתוחה לכל העילות השונות, זאת עוד לפני המהפכה החוקתית. [ארחיב בכך בהזדמנות קרובה].</w:t>
      </w:r>
    </w:p>
    <w:p w:rsidR="005366A8" w:rsidRDefault="005366A8" w:rsidP="005366A8">
      <w:pPr>
        <w:spacing w:after="60"/>
        <w:ind w:left="720"/>
        <w:rPr>
          <w:sz w:val="22"/>
          <w:szCs w:val="22"/>
          <w:rtl/>
        </w:rPr>
      </w:pPr>
    </w:p>
    <w:p w:rsidR="005366A8" w:rsidRPr="00E97B3F" w:rsidRDefault="005366A8" w:rsidP="005366A8">
      <w:pPr>
        <w:rPr>
          <w:sz w:val="22"/>
          <w:szCs w:val="22"/>
          <w:rtl/>
        </w:rPr>
      </w:pPr>
      <w:r>
        <w:rPr>
          <w:rFonts w:hint="cs"/>
          <w:sz w:val="22"/>
          <w:szCs w:val="22"/>
          <w:rtl/>
        </w:rPr>
        <w:t xml:space="preserve">3. </w:t>
      </w:r>
      <w:r w:rsidRPr="00E97B3F">
        <w:rPr>
          <w:rFonts w:hint="cs"/>
          <w:sz w:val="22"/>
          <w:szCs w:val="22"/>
          <w:rtl/>
        </w:rPr>
        <w:t xml:space="preserve">אני חושב, בעקבות הדיון בכיתה, כי </w:t>
      </w:r>
      <w:r>
        <w:rPr>
          <w:rFonts w:hint="cs"/>
          <w:sz w:val="22"/>
          <w:szCs w:val="22"/>
          <w:rtl/>
        </w:rPr>
        <w:t xml:space="preserve">רישוי חלקי של מורי דרך הוא בהחלט אפשרי. </w:t>
      </w:r>
      <w:r w:rsidRPr="00E97B3F">
        <w:rPr>
          <w:rFonts w:hint="cs"/>
          <w:sz w:val="22"/>
          <w:szCs w:val="22"/>
          <w:rtl/>
        </w:rPr>
        <w:t xml:space="preserve">יש תכלית ראויה ביחס להסדרה של מורי דרך, אך </w:t>
      </w:r>
      <w:r>
        <w:rPr>
          <w:rFonts w:hint="cs"/>
          <w:sz w:val="22"/>
          <w:szCs w:val="22"/>
          <w:rtl/>
        </w:rPr>
        <w:t xml:space="preserve">היא בעיני </w:t>
      </w:r>
      <w:r w:rsidRPr="00E97B3F">
        <w:rPr>
          <w:rFonts w:hint="cs"/>
          <w:sz w:val="22"/>
          <w:szCs w:val="22"/>
          <w:rtl/>
        </w:rPr>
        <w:t>לא גורפת</w:t>
      </w:r>
      <w:r>
        <w:rPr>
          <w:rFonts w:hint="cs"/>
          <w:sz w:val="22"/>
          <w:szCs w:val="22"/>
          <w:rtl/>
        </w:rPr>
        <w:t>,</w:t>
      </w:r>
      <w:r w:rsidRPr="00E97B3F">
        <w:rPr>
          <w:rFonts w:hint="cs"/>
          <w:sz w:val="22"/>
          <w:szCs w:val="22"/>
          <w:rtl/>
        </w:rPr>
        <w:t xml:space="preserve"> אלא כזו שצריכה להיות תחומה להקשרים נושאי סיכון כזה או אחר.</w:t>
      </w:r>
      <w:r>
        <w:rPr>
          <w:rFonts w:hint="cs"/>
          <w:sz w:val="22"/>
          <w:szCs w:val="22"/>
          <w:rtl/>
        </w:rPr>
        <w:t xml:space="preserve"> ברישוי מקיף יש על כן בעיה לפחות במישור המידתיות.</w:t>
      </w:r>
    </w:p>
    <w:p w:rsidR="005366A8" w:rsidRDefault="005366A8" w:rsidP="005366A8">
      <w:pPr>
        <w:rPr>
          <w:rFonts w:asciiTheme="majorBidi" w:hAnsiTheme="majorBidi" w:cstheme="majorBidi"/>
          <w:sz w:val="22"/>
          <w:szCs w:val="22"/>
          <w:rtl/>
        </w:rPr>
      </w:pPr>
    </w:p>
    <w:p w:rsidR="005366A8" w:rsidRDefault="005366A8" w:rsidP="005366A8">
      <w:pPr>
        <w:rPr>
          <w:rFonts w:asciiTheme="majorBidi" w:hAnsiTheme="majorBidi" w:cstheme="majorBidi"/>
          <w:sz w:val="22"/>
          <w:szCs w:val="22"/>
          <w:rtl/>
        </w:rPr>
      </w:pPr>
    </w:p>
    <w:p w:rsidR="005366A8" w:rsidRDefault="005366A8" w:rsidP="005366A8">
      <w:pPr>
        <w:rPr>
          <w:rFonts w:asciiTheme="majorBidi" w:hAnsiTheme="majorBidi" w:cstheme="majorBidi"/>
          <w:sz w:val="22"/>
          <w:szCs w:val="22"/>
          <w:rtl/>
        </w:rPr>
      </w:pPr>
      <w:r>
        <w:rPr>
          <w:rFonts w:asciiTheme="majorBidi" w:hAnsiTheme="majorBidi" w:cstheme="majorBidi" w:hint="cs"/>
          <w:sz w:val="22"/>
          <w:szCs w:val="22"/>
          <w:rtl/>
        </w:rPr>
        <w:t>=-=</w:t>
      </w:r>
    </w:p>
    <w:p w:rsidR="005366A8" w:rsidRPr="00736FD0" w:rsidRDefault="005366A8" w:rsidP="005366A8">
      <w:pPr>
        <w:rPr>
          <w:rFonts w:asciiTheme="majorBidi" w:hAnsiTheme="majorBidi" w:cstheme="majorBidi"/>
          <w:sz w:val="22"/>
          <w:szCs w:val="22"/>
          <w:rtl/>
        </w:rPr>
      </w:pPr>
    </w:p>
    <w:p w:rsidR="005366A8" w:rsidRDefault="005366A8" w:rsidP="005366A8">
      <w:pPr>
        <w:rPr>
          <w:rFonts w:ascii="Arial" w:hAnsi="Arial" w:cs="Arial"/>
          <w:b/>
          <w:bCs/>
          <w:rtl/>
        </w:rPr>
      </w:pPr>
      <w:r w:rsidRPr="00EC7F41">
        <w:rPr>
          <w:rFonts w:ascii="Arial" w:hAnsi="Arial" w:cs="Arial" w:hint="cs"/>
          <w:b/>
          <w:bCs/>
          <w:highlight w:val="yellow"/>
          <w:rtl/>
        </w:rPr>
        <w:t>גבולותיה החוקתיים של ההפרטה: מקרה בית הסוהר הפרטי</w:t>
      </w:r>
    </w:p>
    <w:p w:rsidR="005366A8" w:rsidRPr="007D33F3" w:rsidRDefault="005366A8" w:rsidP="005366A8">
      <w:pPr>
        <w:rPr>
          <w:rFonts w:ascii="Arial" w:hAnsi="Arial" w:cs="Arial"/>
          <w:b/>
          <w:bCs/>
          <w:rtl/>
        </w:rPr>
      </w:pPr>
    </w:p>
    <w:p w:rsidR="005366A8" w:rsidRDefault="005366A8" w:rsidP="005366A8">
      <w:pPr>
        <w:jc w:val="center"/>
        <w:rPr>
          <w:rtl/>
        </w:rPr>
      </w:pPr>
      <w:r w:rsidRPr="00A4463F">
        <w:rPr>
          <w:highlight w:val="yellow"/>
          <w:rtl/>
        </w:rPr>
        <w:t xml:space="preserve">בג"צ 2605/05 </w:t>
      </w:r>
      <w:r w:rsidRPr="00A4463F">
        <w:rPr>
          <w:b/>
          <w:bCs/>
          <w:highlight w:val="yellow"/>
          <w:rtl/>
        </w:rPr>
        <w:t>המרכז האקדמי למשפט ולעסקים, חטיבת זכויות האדם נ' שר האוצר</w:t>
      </w:r>
      <w:r w:rsidRPr="00A4463F">
        <w:rPr>
          <w:highlight w:val="yellow"/>
          <w:rtl/>
        </w:rPr>
        <w:t xml:space="preserve"> (2009)</w:t>
      </w:r>
    </w:p>
    <w:p w:rsidR="005366A8" w:rsidRPr="00653324" w:rsidRDefault="005366A8" w:rsidP="005366A8">
      <w:pPr>
        <w:rPr>
          <w:rtl/>
        </w:rPr>
      </w:pPr>
    </w:p>
    <w:p w:rsidR="005366A8" w:rsidRPr="00EC7F41" w:rsidRDefault="005366A8" w:rsidP="005366A8">
      <w:pPr>
        <w:rPr>
          <w:rFonts w:ascii="Arial" w:hAnsi="Arial" w:cs="Arial"/>
          <w:rtl/>
        </w:rPr>
      </w:pPr>
      <w:r w:rsidRPr="00F3624C">
        <w:rPr>
          <w:rFonts w:ascii="Arial" w:hAnsi="Arial" w:cs="Arial"/>
          <w:sz w:val="20"/>
          <w:szCs w:val="20"/>
          <w:highlight w:val="yellow"/>
          <w:rtl/>
          <w:lang w:eastAsia="he-IL"/>
        </w:rPr>
        <w:t xml:space="preserve">שי אוצרי, אוהד איציק, גיא זאבי "פסק דין החודש – דצמבר – בג"צ 2605/05 </w:t>
      </w:r>
      <w:r w:rsidRPr="00F3624C">
        <w:rPr>
          <w:rFonts w:ascii="Arial" w:hAnsi="Arial" w:cs="Arial"/>
          <w:sz w:val="20"/>
          <w:szCs w:val="20"/>
          <w:highlight w:val="yellow"/>
          <w:u w:val="single"/>
          <w:rtl/>
          <w:lang w:eastAsia="he-IL"/>
        </w:rPr>
        <w:t>חטיבת זכויות האדם נ' שר האוצר</w:t>
      </w:r>
      <w:r w:rsidRPr="00F3624C">
        <w:rPr>
          <w:rFonts w:ascii="Arial" w:hAnsi="Arial" w:cs="Arial"/>
          <w:sz w:val="20"/>
          <w:szCs w:val="20"/>
          <w:highlight w:val="yellow"/>
          <w:rtl/>
          <w:lang w:eastAsia="he-IL"/>
        </w:rPr>
        <w:t xml:space="preserve"> (2009)" </w:t>
      </w:r>
      <w:r w:rsidRPr="00F3624C">
        <w:rPr>
          <w:rFonts w:ascii="Arial" w:hAnsi="Arial" w:cs="Arial"/>
          <w:b/>
          <w:bCs/>
          <w:sz w:val="20"/>
          <w:szCs w:val="20"/>
          <w:highlight w:val="yellow"/>
          <w:rtl/>
          <w:lang w:eastAsia="he-IL"/>
        </w:rPr>
        <w:t>הארת דין</w:t>
      </w:r>
      <w:r w:rsidRPr="00F3624C">
        <w:rPr>
          <w:rFonts w:ascii="Arial" w:hAnsi="Arial" w:cs="Arial"/>
          <w:sz w:val="20"/>
          <w:szCs w:val="20"/>
          <w:highlight w:val="yellow"/>
          <w:rtl/>
          <w:lang w:eastAsia="he-IL"/>
        </w:rPr>
        <w:t xml:space="preserve"> ו(1) (2010)</w:t>
      </w:r>
    </w:p>
    <w:p w:rsidR="005366A8" w:rsidRPr="00EC7F41" w:rsidRDefault="005366A8" w:rsidP="005366A8">
      <w:pPr>
        <w:rPr>
          <w:sz w:val="20"/>
          <w:szCs w:val="20"/>
          <w:rtl/>
        </w:rPr>
      </w:pPr>
    </w:p>
    <w:p w:rsidR="005366A8" w:rsidRPr="00EC7F41" w:rsidRDefault="005366A8" w:rsidP="005366A8">
      <w:pPr>
        <w:spacing w:after="60"/>
        <w:ind w:firstLine="720"/>
        <w:rPr>
          <w:rFonts w:cs="David"/>
          <w:b/>
          <w:bCs/>
          <w:sz w:val="20"/>
          <w:szCs w:val="20"/>
          <w:u w:val="single"/>
          <w:rtl/>
        </w:rPr>
      </w:pPr>
      <w:r w:rsidRPr="00EC7F41">
        <w:rPr>
          <w:rFonts w:cs="David" w:hint="eastAsia"/>
          <w:sz w:val="20"/>
          <w:szCs w:val="20"/>
          <w:rtl/>
        </w:rPr>
        <w:t>ביום</w:t>
      </w:r>
      <w:r w:rsidRPr="00EC7F41">
        <w:rPr>
          <w:rFonts w:cs="David"/>
          <w:sz w:val="20"/>
          <w:szCs w:val="20"/>
          <w:rtl/>
        </w:rPr>
        <w:t xml:space="preserve"> 31.3.2004 </w:t>
      </w:r>
      <w:r w:rsidRPr="00EC7F41">
        <w:rPr>
          <w:rFonts w:cs="David" w:hint="eastAsia"/>
          <w:sz w:val="20"/>
          <w:szCs w:val="20"/>
          <w:rtl/>
        </w:rPr>
        <w:t>התפרסם</w:t>
      </w:r>
      <w:r w:rsidRPr="00EC7F41">
        <w:rPr>
          <w:rFonts w:cs="David"/>
          <w:sz w:val="20"/>
          <w:szCs w:val="20"/>
          <w:rtl/>
        </w:rPr>
        <w:t xml:space="preserve"> </w:t>
      </w:r>
      <w:r w:rsidRPr="00EC7F41">
        <w:rPr>
          <w:rFonts w:cs="David" w:hint="eastAsia"/>
          <w:sz w:val="20"/>
          <w:szCs w:val="20"/>
          <w:rtl/>
        </w:rPr>
        <w:t>החוק</w:t>
      </w:r>
      <w:r w:rsidRPr="00EC7F41">
        <w:rPr>
          <w:rFonts w:cs="David"/>
          <w:sz w:val="20"/>
          <w:szCs w:val="20"/>
          <w:rtl/>
        </w:rPr>
        <w:t xml:space="preserve"> </w:t>
      </w:r>
      <w:r w:rsidRPr="00EC7F41">
        <w:rPr>
          <w:rFonts w:cs="David" w:hint="eastAsia"/>
          <w:sz w:val="20"/>
          <w:szCs w:val="20"/>
          <w:rtl/>
        </w:rPr>
        <w:t>לתיקון</w:t>
      </w:r>
      <w:r w:rsidRPr="00EC7F41">
        <w:rPr>
          <w:rFonts w:cs="David"/>
          <w:sz w:val="20"/>
          <w:szCs w:val="20"/>
          <w:rtl/>
        </w:rPr>
        <w:t xml:space="preserve"> </w:t>
      </w:r>
      <w:r w:rsidRPr="00EC7F41">
        <w:rPr>
          <w:rFonts w:cs="David" w:hint="eastAsia"/>
          <w:sz w:val="20"/>
          <w:szCs w:val="20"/>
          <w:rtl/>
        </w:rPr>
        <w:t>פקודת</w:t>
      </w:r>
      <w:r w:rsidRPr="00EC7F41">
        <w:rPr>
          <w:rFonts w:cs="David"/>
          <w:sz w:val="20"/>
          <w:szCs w:val="20"/>
          <w:rtl/>
        </w:rPr>
        <w:t xml:space="preserve"> </w:t>
      </w:r>
      <w:r w:rsidRPr="00EC7F41">
        <w:rPr>
          <w:rFonts w:cs="David" w:hint="eastAsia"/>
          <w:sz w:val="20"/>
          <w:szCs w:val="20"/>
          <w:rtl/>
        </w:rPr>
        <w:t>בתי</w:t>
      </w:r>
      <w:r w:rsidRPr="00EC7F41">
        <w:rPr>
          <w:rFonts w:cs="David"/>
          <w:sz w:val="20"/>
          <w:szCs w:val="20"/>
          <w:rtl/>
        </w:rPr>
        <w:t xml:space="preserve"> </w:t>
      </w:r>
      <w:r w:rsidRPr="00EC7F41">
        <w:rPr>
          <w:rFonts w:cs="David" w:hint="eastAsia"/>
          <w:sz w:val="20"/>
          <w:szCs w:val="20"/>
          <w:rtl/>
        </w:rPr>
        <w:t>הסוהר</w:t>
      </w:r>
      <w:r w:rsidRPr="00EC7F41">
        <w:rPr>
          <w:rFonts w:cs="David"/>
          <w:sz w:val="20"/>
          <w:szCs w:val="20"/>
          <w:rtl/>
        </w:rPr>
        <w:t xml:space="preserve"> (</w:t>
      </w:r>
      <w:r w:rsidRPr="00EC7F41">
        <w:rPr>
          <w:rFonts w:cs="David" w:hint="eastAsia"/>
          <w:sz w:val="20"/>
          <w:szCs w:val="20"/>
          <w:rtl/>
        </w:rPr>
        <w:t>מס</w:t>
      </w:r>
      <w:r w:rsidRPr="00EC7F41">
        <w:rPr>
          <w:rFonts w:cs="David"/>
          <w:sz w:val="20"/>
          <w:szCs w:val="20"/>
          <w:rtl/>
        </w:rPr>
        <w:t xml:space="preserve">' 28), </w:t>
      </w:r>
      <w:r w:rsidRPr="00EC7F41">
        <w:rPr>
          <w:rFonts w:cs="David" w:hint="eastAsia"/>
          <w:sz w:val="20"/>
          <w:szCs w:val="20"/>
          <w:rtl/>
        </w:rPr>
        <w:t>התשס</w:t>
      </w:r>
      <w:r w:rsidRPr="00EC7F41">
        <w:rPr>
          <w:rFonts w:cs="David"/>
          <w:sz w:val="20"/>
          <w:szCs w:val="20"/>
          <w:rtl/>
        </w:rPr>
        <w:t>"</w:t>
      </w:r>
      <w:r w:rsidRPr="00EC7F41">
        <w:rPr>
          <w:rFonts w:cs="David" w:hint="eastAsia"/>
          <w:sz w:val="20"/>
          <w:szCs w:val="20"/>
          <w:rtl/>
        </w:rPr>
        <w:t>ד</w:t>
      </w:r>
      <w:r w:rsidRPr="00EC7F41">
        <w:rPr>
          <w:rFonts w:cs="David"/>
          <w:sz w:val="20"/>
          <w:szCs w:val="20"/>
          <w:rtl/>
        </w:rPr>
        <w:t xml:space="preserve">-2004. </w:t>
      </w:r>
      <w:r w:rsidRPr="00EC7F41">
        <w:rPr>
          <w:rFonts w:cs="David" w:hint="eastAsia"/>
          <w:sz w:val="20"/>
          <w:szCs w:val="20"/>
          <w:rtl/>
        </w:rPr>
        <w:t>על</w:t>
      </w:r>
      <w:r w:rsidRPr="00EC7F41">
        <w:rPr>
          <w:rFonts w:cs="David"/>
          <w:sz w:val="20"/>
          <w:szCs w:val="20"/>
          <w:rtl/>
        </w:rPr>
        <w:t xml:space="preserve"> </w:t>
      </w:r>
      <w:r w:rsidRPr="00EC7F41">
        <w:rPr>
          <w:rFonts w:cs="David" w:hint="eastAsia"/>
          <w:sz w:val="20"/>
          <w:szCs w:val="20"/>
          <w:rtl/>
        </w:rPr>
        <w:t>פי</w:t>
      </w:r>
      <w:r w:rsidRPr="00EC7F41">
        <w:rPr>
          <w:rFonts w:cs="David"/>
          <w:sz w:val="20"/>
          <w:szCs w:val="20"/>
          <w:rtl/>
        </w:rPr>
        <w:t xml:space="preserve"> </w:t>
      </w:r>
      <w:r w:rsidRPr="00EC7F41">
        <w:rPr>
          <w:rFonts w:cs="David" w:hint="eastAsia"/>
          <w:sz w:val="20"/>
          <w:szCs w:val="20"/>
          <w:rtl/>
        </w:rPr>
        <w:t>התיקון</w:t>
      </w:r>
      <w:r w:rsidRPr="00EC7F41">
        <w:rPr>
          <w:rFonts w:cs="David"/>
          <w:sz w:val="20"/>
          <w:szCs w:val="20"/>
          <w:rtl/>
        </w:rPr>
        <w:t xml:space="preserve"> </w:t>
      </w:r>
      <w:r w:rsidRPr="00EC7F41">
        <w:rPr>
          <w:rFonts w:cs="David" w:hint="eastAsia"/>
          <w:sz w:val="20"/>
          <w:szCs w:val="20"/>
          <w:rtl/>
        </w:rPr>
        <w:t>נוסף</w:t>
      </w:r>
      <w:r w:rsidRPr="00EC7F41">
        <w:rPr>
          <w:rFonts w:cs="David"/>
          <w:sz w:val="20"/>
          <w:szCs w:val="20"/>
          <w:rtl/>
        </w:rPr>
        <w:t xml:space="preserve"> </w:t>
      </w:r>
      <w:r w:rsidRPr="00EC7F41">
        <w:rPr>
          <w:rFonts w:cs="David" w:hint="eastAsia"/>
          <w:sz w:val="20"/>
          <w:szCs w:val="20"/>
          <w:rtl/>
        </w:rPr>
        <w:t>לפקודת</w:t>
      </w:r>
      <w:r w:rsidRPr="00EC7F41">
        <w:rPr>
          <w:rFonts w:cs="David"/>
          <w:sz w:val="20"/>
          <w:szCs w:val="20"/>
          <w:rtl/>
        </w:rPr>
        <w:t xml:space="preserve"> </w:t>
      </w:r>
      <w:r w:rsidRPr="00EC7F41">
        <w:rPr>
          <w:rFonts w:cs="David" w:hint="eastAsia"/>
          <w:sz w:val="20"/>
          <w:szCs w:val="20"/>
          <w:rtl/>
        </w:rPr>
        <w:t>בתי</w:t>
      </w:r>
      <w:r w:rsidRPr="00EC7F41">
        <w:rPr>
          <w:rFonts w:cs="David"/>
          <w:sz w:val="20"/>
          <w:szCs w:val="20"/>
          <w:rtl/>
        </w:rPr>
        <w:t xml:space="preserve"> </w:t>
      </w:r>
      <w:r w:rsidRPr="00EC7F41">
        <w:rPr>
          <w:rFonts w:cs="David" w:hint="eastAsia"/>
          <w:sz w:val="20"/>
          <w:szCs w:val="20"/>
          <w:rtl/>
        </w:rPr>
        <w:t>הסוהר</w:t>
      </w:r>
      <w:r w:rsidRPr="00EC7F41">
        <w:rPr>
          <w:rFonts w:cs="David"/>
          <w:sz w:val="20"/>
          <w:szCs w:val="20"/>
          <w:rtl/>
        </w:rPr>
        <w:t xml:space="preserve"> </w:t>
      </w:r>
      <w:r w:rsidRPr="00EC7F41">
        <w:rPr>
          <w:rFonts w:cs="David" w:hint="eastAsia"/>
          <w:sz w:val="20"/>
          <w:szCs w:val="20"/>
          <w:rtl/>
        </w:rPr>
        <w:t>פרק</w:t>
      </w:r>
      <w:r w:rsidRPr="00EC7F41">
        <w:rPr>
          <w:rFonts w:cs="David"/>
          <w:sz w:val="20"/>
          <w:szCs w:val="20"/>
          <w:rtl/>
        </w:rPr>
        <w:t xml:space="preserve"> </w:t>
      </w:r>
      <w:r w:rsidRPr="00EC7F41">
        <w:rPr>
          <w:rFonts w:cs="David" w:hint="eastAsia"/>
          <w:sz w:val="20"/>
          <w:szCs w:val="20"/>
          <w:rtl/>
        </w:rPr>
        <w:t>ג</w:t>
      </w:r>
      <w:r w:rsidRPr="00EC7F41">
        <w:rPr>
          <w:rFonts w:cs="David"/>
          <w:sz w:val="20"/>
          <w:szCs w:val="20"/>
          <w:rtl/>
        </w:rPr>
        <w:t xml:space="preserve">'2 </w:t>
      </w:r>
      <w:r w:rsidRPr="00EC7F41">
        <w:rPr>
          <w:rFonts w:cs="David" w:hint="cs"/>
          <w:sz w:val="20"/>
          <w:szCs w:val="20"/>
          <w:rtl/>
        </w:rPr>
        <w:t>ה</w:t>
      </w:r>
      <w:r w:rsidRPr="00EC7F41">
        <w:rPr>
          <w:rFonts w:cs="David" w:hint="eastAsia"/>
          <w:sz w:val="20"/>
          <w:szCs w:val="20"/>
          <w:rtl/>
        </w:rPr>
        <w:t>מסדיר</w:t>
      </w:r>
      <w:r w:rsidRPr="00EC7F41">
        <w:rPr>
          <w:rFonts w:cs="David"/>
          <w:sz w:val="20"/>
          <w:szCs w:val="20"/>
          <w:rtl/>
        </w:rPr>
        <w:t xml:space="preserve"> </w:t>
      </w:r>
      <w:r w:rsidRPr="00EC7F41">
        <w:rPr>
          <w:rFonts w:cs="David" w:hint="eastAsia"/>
          <w:sz w:val="20"/>
          <w:szCs w:val="20"/>
          <w:rtl/>
        </w:rPr>
        <w:t>את</w:t>
      </w:r>
      <w:r w:rsidRPr="00EC7F41">
        <w:rPr>
          <w:rFonts w:cs="David"/>
          <w:sz w:val="20"/>
          <w:szCs w:val="20"/>
          <w:rtl/>
        </w:rPr>
        <w:t xml:space="preserve"> </w:t>
      </w:r>
      <w:r w:rsidRPr="00EC7F41">
        <w:rPr>
          <w:rFonts w:cs="David" w:hint="eastAsia"/>
          <w:sz w:val="20"/>
          <w:szCs w:val="20"/>
          <w:rtl/>
        </w:rPr>
        <w:t>הקמתו</w:t>
      </w:r>
      <w:r w:rsidRPr="00EC7F41">
        <w:rPr>
          <w:rFonts w:cs="David"/>
          <w:sz w:val="20"/>
          <w:szCs w:val="20"/>
          <w:rtl/>
        </w:rPr>
        <w:t xml:space="preserve"> </w:t>
      </w:r>
      <w:r w:rsidRPr="00EC7F41">
        <w:rPr>
          <w:rFonts w:cs="David" w:hint="eastAsia"/>
          <w:sz w:val="20"/>
          <w:szCs w:val="20"/>
          <w:rtl/>
        </w:rPr>
        <w:t>של</w:t>
      </w:r>
      <w:r w:rsidRPr="00EC7F41">
        <w:rPr>
          <w:rFonts w:cs="David"/>
          <w:sz w:val="20"/>
          <w:szCs w:val="20"/>
          <w:rtl/>
        </w:rPr>
        <w:t xml:space="preserve"> </w:t>
      </w:r>
      <w:r w:rsidRPr="00EC7F41">
        <w:rPr>
          <w:rFonts w:cs="David" w:hint="eastAsia"/>
          <w:sz w:val="20"/>
          <w:szCs w:val="20"/>
          <w:rtl/>
        </w:rPr>
        <w:t>בית</w:t>
      </w:r>
      <w:r w:rsidRPr="00EC7F41">
        <w:rPr>
          <w:rFonts w:cs="David"/>
          <w:sz w:val="20"/>
          <w:szCs w:val="20"/>
          <w:rtl/>
        </w:rPr>
        <w:t xml:space="preserve"> </w:t>
      </w:r>
      <w:r w:rsidRPr="00EC7F41">
        <w:rPr>
          <w:rFonts w:cs="David" w:hint="eastAsia"/>
          <w:sz w:val="20"/>
          <w:szCs w:val="20"/>
          <w:rtl/>
        </w:rPr>
        <w:t>סוהר</w:t>
      </w:r>
      <w:r w:rsidRPr="00EC7F41">
        <w:rPr>
          <w:rFonts w:cs="David"/>
          <w:sz w:val="20"/>
          <w:szCs w:val="20"/>
          <w:rtl/>
        </w:rPr>
        <w:t xml:space="preserve"> </w:t>
      </w:r>
      <w:r w:rsidRPr="00EC7F41">
        <w:rPr>
          <w:rFonts w:cs="David" w:hint="eastAsia"/>
          <w:sz w:val="20"/>
          <w:szCs w:val="20"/>
          <w:rtl/>
        </w:rPr>
        <w:t>אחד</w:t>
      </w:r>
      <w:r w:rsidRPr="00EC7F41">
        <w:rPr>
          <w:rFonts w:cs="David"/>
          <w:sz w:val="20"/>
          <w:szCs w:val="20"/>
          <w:rtl/>
        </w:rPr>
        <w:t xml:space="preserve"> </w:t>
      </w:r>
      <w:r w:rsidRPr="00EC7F41">
        <w:rPr>
          <w:rFonts w:cs="David" w:hint="eastAsia"/>
          <w:sz w:val="20"/>
          <w:szCs w:val="20"/>
          <w:rtl/>
        </w:rPr>
        <w:t>שיוקם</w:t>
      </w:r>
      <w:r w:rsidRPr="00EC7F41">
        <w:rPr>
          <w:rFonts w:cs="David"/>
          <w:sz w:val="20"/>
          <w:szCs w:val="20"/>
          <w:rtl/>
        </w:rPr>
        <w:t xml:space="preserve">, </w:t>
      </w:r>
      <w:r w:rsidRPr="00EC7F41">
        <w:rPr>
          <w:rFonts w:cs="David" w:hint="eastAsia"/>
          <w:sz w:val="20"/>
          <w:szCs w:val="20"/>
          <w:rtl/>
        </w:rPr>
        <w:t>ינוהל</w:t>
      </w:r>
      <w:r w:rsidRPr="00EC7F41">
        <w:rPr>
          <w:rFonts w:cs="David"/>
          <w:sz w:val="20"/>
          <w:szCs w:val="20"/>
          <w:rtl/>
        </w:rPr>
        <w:t xml:space="preserve"> </w:t>
      </w:r>
      <w:r w:rsidRPr="00EC7F41">
        <w:rPr>
          <w:rFonts w:cs="David" w:hint="eastAsia"/>
          <w:sz w:val="20"/>
          <w:szCs w:val="20"/>
          <w:rtl/>
        </w:rPr>
        <w:t>ויופעל</w:t>
      </w:r>
      <w:r w:rsidRPr="00EC7F41">
        <w:rPr>
          <w:rFonts w:cs="David"/>
          <w:sz w:val="20"/>
          <w:szCs w:val="20"/>
          <w:rtl/>
        </w:rPr>
        <w:t xml:space="preserve"> </w:t>
      </w:r>
      <w:r w:rsidRPr="00EC7F41">
        <w:rPr>
          <w:rFonts w:cs="David" w:hint="eastAsia"/>
          <w:sz w:val="20"/>
          <w:szCs w:val="20"/>
          <w:rtl/>
        </w:rPr>
        <w:t>על</w:t>
      </w:r>
      <w:r w:rsidRPr="00EC7F41">
        <w:rPr>
          <w:rFonts w:cs="David"/>
          <w:sz w:val="20"/>
          <w:szCs w:val="20"/>
          <w:rtl/>
        </w:rPr>
        <w:t xml:space="preserve"> </w:t>
      </w:r>
      <w:r w:rsidRPr="00EC7F41">
        <w:rPr>
          <w:rFonts w:cs="David" w:hint="eastAsia"/>
          <w:sz w:val="20"/>
          <w:szCs w:val="20"/>
          <w:rtl/>
        </w:rPr>
        <w:t>ידי</w:t>
      </w:r>
      <w:r w:rsidRPr="00EC7F41">
        <w:rPr>
          <w:rFonts w:cs="David"/>
          <w:sz w:val="20"/>
          <w:szCs w:val="20"/>
          <w:rtl/>
        </w:rPr>
        <w:t xml:space="preserve"> </w:t>
      </w:r>
      <w:r w:rsidRPr="00EC7F41">
        <w:rPr>
          <w:rFonts w:cs="David" w:hint="eastAsia"/>
          <w:sz w:val="20"/>
          <w:szCs w:val="20"/>
          <w:rtl/>
        </w:rPr>
        <w:t>זכיין</w:t>
      </w:r>
      <w:r w:rsidRPr="00EC7F41">
        <w:rPr>
          <w:rFonts w:cs="David"/>
          <w:sz w:val="20"/>
          <w:szCs w:val="20"/>
          <w:rtl/>
        </w:rPr>
        <w:t xml:space="preserve"> </w:t>
      </w:r>
      <w:r w:rsidRPr="00EC7F41">
        <w:rPr>
          <w:rFonts w:cs="David" w:hint="eastAsia"/>
          <w:sz w:val="20"/>
          <w:szCs w:val="20"/>
          <w:rtl/>
        </w:rPr>
        <w:t>פרטי</w:t>
      </w:r>
      <w:r w:rsidRPr="00EC7F41">
        <w:rPr>
          <w:rFonts w:cs="David"/>
          <w:sz w:val="20"/>
          <w:szCs w:val="20"/>
          <w:rtl/>
        </w:rPr>
        <w:t xml:space="preserve">. </w:t>
      </w:r>
      <w:r w:rsidRPr="00EC7F41">
        <w:rPr>
          <w:rFonts w:cs="David" w:hint="eastAsia"/>
          <w:sz w:val="20"/>
          <w:szCs w:val="20"/>
          <w:rtl/>
        </w:rPr>
        <w:t>כנגד</w:t>
      </w:r>
      <w:r w:rsidRPr="00EC7F41">
        <w:rPr>
          <w:rFonts w:cs="David"/>
          <w:sz w:val="20"/>
          <w:szCs w:val="20"/>
          <w:rtl/>
        </w:rPr>
        <w:t xml:space="preserve"> </w:t>
      </w:r>
      <w:r w:rsidRPr="00EC7F41">
        <w:rPr>
          <w:rFonts w:cs="David" w:hint="eastAsia"/>
          <w:sz w:val="20"/>
          <w:szCs w:val="20"/>
          <w:rtl/>
        </w:rPr>
        <w:t>חוקתיות</w:t>
      </w:r>
      <w:r w:rsidRPr="00EC7F41">
        <w:rPr>
          <w:rFonts w:cs="David"/>
          <w:sz w:val="20"/>
          <w:szCs w:val="20"/>
          <w:rtl/>
        </w:rPr>
        <w:t xml:space="preserve"> </w:t>
      </w:r>
      <w:r w:rsidRPr="00EC7F41">
        <w:rPr>
          <w:rFonts w:cs="David" w:hint="eastAsia"/>
          <w:sz w:val="20"/>
          <w:szCs w:val="20"/>
          <w:rtl/>
        </w:rPr>
        <w:t>התיקון</w:t>
      </w:r>
      <w:r w:rsidRPr="00EC7F41">
        <w:rPr>
          <w:rFonts w:cs="David"/>
          <w:sz w:val="20"/>
          <w:szCs w:val="20"/>
          <w:rtl/>
        </w:rPr>
        <w:t xml:space="preserve"> </w:t>
      </w:r>
      <w:r w:rsidRPr="00EC7F41">
        <w:rPr>
          <w:rFonts w:cs="David" w:hint="eastAsia"/>
          <w:sz w:val="20"/>
          <w:szCs w:val="20"/>
          <w:rtl/>
        </w:rPr>
        <w:t>הוגשה</w:t>
      </w:r>
      <w:r w:rsidRPr="00EC7F41">
        <w:rPr>
          <w:rFonts w:cs="David"/>
          <w:sz w:val="20"/>
          <w:szCs w:val="20"/>
          <w:rtl/>
        </w:rPr>
        <w:t xml:space="preserve"> </w:t>
      </w:r>
      <w:r w:rsidRPr="00EC7F41">
        <w:rPr>
          <w:rFonts w:cs="David" w:hint="eastAsia"/>
          <w:sz w:val="20"/>
          <w:szCs w:val="20"/>
          <w:rtl/>
        </w:rPr>
        <w:t>עתירה</w:t>
      </w:r>
      <w:r w:rsidRPr="00EC7F41">
        <w:rPr>
          <w:rFonts w:cs="David"/>
          <w:sz w:val="20"/>
          <w:szCs w:val="20"/>
          <w:rtl/>
        </w:rPr>
        <w:t xml:space="preserve"> </w:t>
      </w:r>
      <w:r w:rsidRPr="00EC7F41">
        <w:rPr>
          <w:rFonts w:cs="David" w:hint="eastAsia"/>
          <w:sz w:val="20"/>
          <w:szCs w:val="20"/>
          <w:rtl/>
        </w:rPr>
        <w:t>ב</w:t>
      </w:r>
      <w:r w:rsidRPr="00EC7F41">
        <w:rPr>
          <w:rFonts w:cs="David"/>
          <w:sz w:val="20"/>
          <w:szCs w:val="20"/>
          <w:rtl/>
        </w:rPr>
        <w:t xml:space="preserve">-16.3.2005. </w:t>
      </w:r>
      <w:r w:rsidRPr="00EC7F41">
        <w:rPr>
          <w:rFonts w:cs="David" w:hint="eastAsia"/>
          <w:sz w:val="20"/>
          <w:szCs w:val="20"/>
          <w:rtl/>
        </w:rPr>
        <w:t>העותרים</w:t>
      </w:r>
      <w:r w:rsidRPr="00EC7F41">
        <w:rPr>
          <w:rFonts w:cs="David"/>
          <w:sz w:val="20"/>
          <w:szCs w:val="20"/>
          <w:rtl/>
        </w:rPr>
        <w:t xml:space="preserve"> </w:t>
      </w:r>
      <w:r w:rsidRPr="00EC7F41">
        <w:rPr>
          <w:rFonts w:cs="David" w:hint="eastAsia"/>
          <w:sz w:val="20"/>
          <w:szCs w:val="20"/>
          <w:rtl/>
        </w:rPr>
        <w:t>טענו</w:t>
      </w:r>
      <w:r w:rsidRPr="00EC7F41">
        <w:rPr>
          <w:rFonts w:cs="David"/>
          <w:sz w:val="20"/>
          <w:szCs w:val="20"/>
          <w:rtl/>
        </w:rPr>
        <w:t xml:space="preserve"> </w:t>
      </w:r>
      <w:r w:rsidRPr="00EC7F41">
        <w:rPr>
          <w:rFonts w:cs="David" w:hint="eastAsia"/>
          <w:sz w:val="20"/>
          <w:szCs w:val="20"/>
          <w:rtl/>
        </w:rPr>
        <w:t>כנגד</w:t>
      </w:r>
      <w:r w:rsidRPr="00EC7F41">
        <w:rPr>
          <w:rFonts w:cs="David"/>
          <w:sz w:val="20"/>
          <w:szCs w:val="20"/>
          <w:rtl/>
        </w:rPr>
        <w:t xml:space="preserve"> </w:t>
      </w:r>
      <w:r w:rsidRPr="00EC7F41">
        <w:rPr>
          <w:rFonts w:cs="David" w:hint="eastAsia"/>
          <w:sz w:val="20"/>
          <w:szCs w:val="20"/>
          <w:rtl/>
        </w:rPr>
        <w:t>התיקון</w:t>
      </w:r>
      <w:r w:rsidRPr="00EC7F41">
        <w:rPr>
          <w:rFonts w:cs="David"/>
          <w:sz w:val="20"/>
          <w:szCs w:val="20"/>
          <w:rtl/>
        </w:rPr>
        <w:t xml:space="preserve"> </w:t>
      </w:r>
      <w:r w:rsidRPr="00EC7F41">
        <w:rPr>
          <w:rFonts w:cs="David" w:hint="eastAsia"/>
          <w:sz w:val="20"/>
          <w:szCs w:val="20"/>
          <w:rtl/>
        </w:rPr>
        <w:t>בשני</w:t>
      </w:r>
      <w:r w:rsidRPr="00EC7F41">
        <w:rPr>
          <w:rFonts w:cs="David"/>
          <w:sz w:val="20"/>
          <w:szCs w:val="20"/>
          <w:rtl/>
        </w:rPr>
        <w:t xml:space="preserve"> </w:t>
      </w:r>
      <w:r w:rsidRPr="00EC7F41">
        <w:rPr>
          <w:rFonts w:cs="David" w:hint="eastAsia"/>
          <w:sz w:val="20"/>
          <w:szCs w:val="20"/>
          <w:rtl/>
        </w:rPr>
        <w:t>מישורים</w:t>
      </w:r>
      <w:r w:rsidRPr="00EC7F41">
        <w:rPr>
          <w:rFonts w:cs="David"/>
          <w:sz w:val="20"/>
          <w:szCs w:val="20"/>
          <w:rtl/>
        </w:rPr>
        <w:t xml:space="preserve">: </w:t>
      </w:r>
      <w:r w:rsidRPr="008E0470">
        <w:rPr>
          <w:rFonts w:cs="David" w:hint="eastAsia"/>
          <w:sz w:val="20"/>
          <w:szCs w:val="20"/>
          <w:highlight w:val="yellow"/>
          <w:rtl/>
        </w:rPr>
        <w:t>במישור</w:t>
      </w:r>
      <w:r w:rsidRPr="008E0470">
        <w:rPr>
          <w:rFonts w:cs="David"/>
          <w:sz w:val="20"/>
          <w:szCs w:val="20"/>
          <w:highlight w:val="yellow"/>
          <w:rtl/>
        </w:rPr>
        <w:t xml:space="preserve"> </w:t>
      </w:r>
      <w:r w:rsidRPr="008E0470">
        <w:rPr>
          <w:rFonts w:cs="David" w:hint="eastAsia"/>
          <w:sz w:val="20"/>
          <w:szCs w:val="20"/>
          <w:highlight w:val="yellow"/>
          <w:rtl/>
        </w:rPr>
        <w:t>הראשון</w:t>
      </w:r>
      <w:r w:rsidRPr="00EC7F41">
        <w:rPr>
          <w:rFonts w:cs="David"/>
          <w:sz w:val="20"/>
          <w:szCs w:val="20"/>
          <w:rtl/>
        </w:rPr>
        <w:t xml:space="preserve"> </w:t>
      </w:r>
      <w:r w:rsidRPr="00EC7F41">
        <w:rPr>
          <w:rFonts w:cs="David" w:hint="eastAsia"/>
          <w:sz w:val="20"/>
          <w:szCs w:val="20"/>
          <w:rtl/>
        </w:rPr>
        <w:t>טענו</w:t>
      </w:r>
      <w:r w:rsidRPr="00EC7F41">
        <w:rPr>
          <w:rFonts w:cs="David"/>
          <w:sz w:val="20"/>
          <w:szCs w:val="20"/>
          <w:rtl/>
        </w:rPr>
        <w:t xml:space="preserve"> </w:t>
      </w:r>
      <w:r w:rsidRPr="00EC7F41">
        <w:rPr>
          <w:rFonts w:cs="David" w:hint="eastAsia"/>
          <w:sz w:val="20"/>
          <w:szCs w:val="20"/>
          <w:rtl/>
        </w:rPr>
        <w:t>העותרים</w:t>
      </w:r>
      <w:r w:rsidRPr="00EC7F41">
        <w:rPr>
          <w:rFonts w:cs="David"/>
          <w:sz w:val="20"/>
          <w:szCs w:val="20"/>
          <w:rtl/>
        </w:rPr>
        <w:t xml:space="preserve"> </w:t>
      </w:r>
      <w:r w:rsidRPr="00EC7F41">
        <w:rPr>
          <w:rFonts w:cs="David" w:hint="eastAsia"/>
          <w:sz w:val="20"/>
          <w:szCs w:val="20"/>
          <w:rtl/>
        </w:rPr>
        <w:t>שהפרטה</w:t>
      </w:r>
      <w:r w:rsidRPr="00EC7F41">
        <w:rPr>
          <w:rFonts w:cs="David"/>
          <w:sz w:val="20"/>
          <w:szCs w:val="20"/>
          <w:rtl/>
        </w:rPr>
        <w:t xml:space="preserve"> </w:t>
      </w:r>
      <w:r w:rsidRPr="00EC7F41">
        <w:rPr>
          <w:rFonts w:cs="David" w:hint="eastAsia"/>
          <w:sz w:val="20"/>
          <w:szCs w:val="20"/>
          <w:rtl/>
        </w:rPr>
        <w:t>כאמור</w:t>
      </w:r>
      <w:r w:rsidRPr="00EC7F41">
        <w:rPr>
          <w:rFonts w:cs="David"/>
          <w:sz w:val="20"/>
          <w:szCs w:val="20"/>
          <w:rtl/>
        </w:rPr>
        <w:t xml:space="preserve"> </w:t>
      </w:r>
      <w:r w:rsidRPr="00EC7F41">
        <w:rPr>
          <w:rFonts w:cs="David" w:hint="eastAsia"/>
          <w:sz w:val="20"/>
          <w:szCs w:val="20"/>
          <w:rtl/>
        </w:rPr>
        <w:t>מהווה</w:t>
      </w:r>
      <w:r w:rsidRPr="00EC7F41">
        <w:rPr>
          <w:rFonts w:cs="David"/>
          <w:sz w:val="20"/>
          <w:szCs w:val="20"/>
          <w:rtl/>
        </w:rPr>
        <w:t xml:space="preserve"> </w:t>
      </w:r>
      <w:r w:rsidRPr="00EC7F41">
        <w:rPr>
          <w:rFonts w:cs="David" w:hint="eastAsia"/>
          <w:sz w:val="20"/>
          <w:szCs w:val="20"/>
          <w:rtl/>
        </w:rPr>
        <w:t>פגיעה</w:t>
      </w:r>
      <w:r w:rsidRPr="00EC7F41">
        <w:rPr>
          <w:rFonts w:cs="David"/>
          <w:sz w:val="20"/>
          <w:szCs w:val="20"/>
          <w:rtl/>
        </w:rPr>
        <w:t xml:space="preserve"> </w:t>
      </w:r>
      <w:r w:rsidRPr="00EC7F41">
        <w:rPr>
          <w:rFonts w:cs="David" w:hint="eastAsia"/>
          <w:sz w:val="20"/>
          <w:szCs w:val="20"/>
          <w:rtl/>
        </w:rPr>
        <w:t>בזכויות</w:t>
      </w:r>
      <w:r w:rsidRPr="00EC7F41">
        <w:rPr>
          <w:rFonts w:cs="David"/>
          <w:sz w:val="20"/>
          <w:szCs w:val="20"/>
          <w:rtl/>
        </w:rPr>
        <w:t xml:space="preserve"> </w:t>
      </w:r>
      <w:r w:rsidRPr="00EC7F41">
        <w:rPr>
          <w:rFonts w:cs="David" w:hint="eastAsia"/>
          <w:sz w:val="20"/>
          <w:szCs w:val="20"/>
          <w:rtl/>
        </w:rPr>
        <w:t>החוקתיות</w:t>
      </w:r>
      <w:r w:rsidRPr="00EC7F41">
        <w:rPr>
          <w:rFonts w:cs="David"/>
          <w:sz w:val="20"/>
          <w:szCs w:val="20"/>
          <w:rtl/>
        </w:rPr>
        <w:t xml:space="preserve"> </w:t>
      </w:r>
      <w:r w:rsidRPr="00EC7F41">
        <w:rPr>
          <w:rFonts w:cs="David" w:hint="eastAsia"/>
          <w:sz w:val="20"/>
          <w:szCs w:val="20"/>
          <w:rtl/>
        </w:rPr>
        <w:t>לחירות</w:t>
      </w:r>
      <w:r w:rsidRPr="00EC7F41">
        <w:rPr>
          <w:rFonts w:cs="David"/>
          <w:sz w:val="20"/>
          <w:szCs w:val="20"/>
          <w:rtl/>
        </w:rPr>
        <w:t xml:space="preserve"> </w:t>
      </w:r>
      <w:r w:rsidRPr="00EC7F41">
        <w:rPr>
          <w:rFonts w:cs="David" w:hint="eastAsia"/>
          <w:sz w:val="20"/>
          <w:szCs w:val="20"/>
          <w:rtl/>
        </w:rPr>
        <w:t>ולכבוד</w:t>
      </w:r>
      <w:r w:rsidRPr="00EC7F41">
        <w:rPr>
          <w:rFonts w:cs="David"/>
          <w:sz w:val="20"/>
          <w:szCs w:val="20"/>
          <w:rtl/>
        </w:rPr>
        <w:t xml:space="preserve"> </w:t>
      </w:r>
      <w:r w:rsidRPr="00EC7F41">
        <w:rPr>
          <w:rFonts w:cs="David" w:hint="eastAsia"/>
          <w:sz w:val="20"/>
          <w:szCs w:val="20"/>
          <w:rtl/>
        </w:rPr>
        <w:t>האדם</w:t>
      </w:r>
      <w:r w:rsidRPr="00EC7F41">
        <w:rPr>
          <w:rFonts w:cs="David"/>
          <w:sz w:val="20"/>
          <w:szCs w:val="20"/>
          <w:rtl/>
        </w:rPr>
        <w:t xml:space="preserve"> </w:t>
      </w:r>
      <w:r w:rsidRPr="00EC7F41">
        <w:rPr>
          <w:rFonts w:cs="David" w:hint="eastAsia"/>
          <w:sz w:val="20"/>
          <w:szCs w:val="20"/>
          <w:rtl/>
        </w:rPr>
        <w:t>שאינה</w:t>
      </w:r>
      <w:r w:rsidRPr="00EC7F41">
        <w:rPr>
          <w:rFonts w:cs="David"/>
          <w:sz w:val="20"/>
          <w:szCs w:val="20"/>
          <w:rtl/>
        </w:rPr>
        <w:t xml:space="preserve"> </w:t>
      </w:r>
      <w:r w:rsidRPr="00EC7F41">
        <w:rPr>
          <w:rFonts w:cs="David" w:hint="eastAsia"/>
          <w:sz w:val="20"/>
          <w:szCs w:val="20"/>
          <w:rtl/>
        </w:rPr>
        <w:t>עומדת</w:t>
      </w:r>
      <w:r w:rsidRPr="00EC7F41">
        <w:rPr>
          <w:rFonts w:cs="David"/>
          <w:sz w:val="20"/>
          <w:szCs w:val="20"/>
          <w:rtl/>
        </w:rPr>
        <w:t xml:space="preserve"> </w:t>
      </w:r>
      <w:r w:rsidRPr="00EC7F41">
        <w:rPr>
          <w:rFonts w:cs="David" w:hint="eastAsia"/>
          <w:sz w:val="20"/>
          <w:szCs w:val="20"/>
          <w:rtl/>
        </w:rPr>
        <w:t>בתנאי</w:t>
      </w:r>
      <w:r w:rsidRPr="00EC7F41">
        <w:rPr>
          <w:rFonts w:cs="David"/>
          <w:sz w:val="20"/>
          <w:szCs w:val="20"/>
          <w:rtl/>
        </w:rPr>
        <w:t xml:space="preserve"> </w:t>
      </w:r>
      <w:r w:rsidRPr="00EC7F41">
        <w:rPr>
          <w:rFonts w:cs="David" w:hint="eastAsia"/>
          <w:sz w:val="20"/>
          <w:szCs w:val="20"/>
          <w:rtl/>
        </w:rPr>
        <w:t>חוק</w:t>
      </w:r>
      <w:r w:rsidRPr="00EC7F41">
        <w:rPr>
          <w:rFonts w:cs="David"/>
          <w:sz w:val="20"/>
          <w:szCs w:val="20"/>
          <w:rtl/>
        </w:rPr>
        <w:t xml:space="preserve"> </w:t>
      </w:r>
      <w:r w:rsidRPr="00EC7F41">
        <w:rPr>
          <w:rFonts w:cs="David" w:hint="eastAsia"/>
          <w:sz w:val="20"/>
          <w:szCs w:val="20"/>
          <w:rtl/>
        </w:rPr>
        <w:t>יסוד</w:t>
      </w:r>
      <w:r w:rsidRPr="00EC7F41">
        <w:rPr>
          <w:rFonts w:cs="David"/>
          <w:sz w:val="20"/>
          <w:szCs w:val="20"/>
          <w:rtl/>
        </w:rPr>
        <w:t xml:space="preserve">: </w:t>
      </w:r>
      <w:r w:rsidRPr="00EC7F41">
        <w:rPr>
          <w:rFonts w:cs="David" w:hint="eastAsia"/>
          <w:sz w:val="20"/>
          <w:szCs w:val="20"/>
          <w:rtl/>
        </w:rPr>
        <w:t>כבוד</w:t>
      </w:r>
      <w:r w:rsidRPr="00EC7F41">
        <w:rPr>
          <w:rFonts w:cs="David"/>
          <w:sz w:val="20"/>
          <w:szCs w:val="20"/>
          <w:rtl/>
        </w:rPr>
        <w:t xml:space="preserve"> </w:t>
      </w:r>
      <w:r w:rsidRPr="00EC7F41">
        <w:rPr>
          <w:rFonts w:cs="David" w:hint="eastAsia"/>
          <w:sz w:val="20"/>
          <w:szCs w:val="20"/>
          <w:rtl/>
        </w:rPr>
        <w:t>האדם</w:t>
      </w:r>
      <w:r w:rsidRPr="00EC7F41">
        <w:rPr>
          <w:rFonts w:cs="David"/>
          <w:sz w:val="20"/>
          <w:szCs w:val="20"/>
          <w:rtl/>
        </w:rPr>
        <w:t xml:space="preserve"> </w:t>
      </w:r>
      <w:r w:rsidRPr="00EC7F41">
        <w:rPr>
          <w:rFonts w:cs="David" w:hint="eastAsia"/>
          <w:sz w:val="20"/>
          <w:szCs w:val="20"/>
          <w:rtl/>
        </w:rPr>
        <w:t>וחירותו</w:t>
      </w:r>
      <w:r w:rsidRPr="00EC7F41">
        <w:rPr>
          <w:rFonts w:cs="David"/>
          <w:sz w:val="20"/>
          <w:szCs w:val="20"/>
          <w:rtl/>
        </w:rPr>
        <w:t xml:space="preserve">. </w:t>
      </w:r>
      <w:r w:rsidRPr="008E0470">
        <w:rPr>
          <w:rFonts w:cs="David" w:hint="eastAsia"/>
          <w:sz w:val="20"/>
          <w:szCs w:val="20"/>
          <w:highlight w:val="yellow"/>
          <w:rtl/>
        </w:rPr>
        <w:t>במישור</w:t>
      </w:r>
      <w:r w:rsidRPr="008E0470">
        <w:rPr>
          <w:rFonts w:cs="David"/>
          <w:sz w:val="20"/>
          <w:szCs w:val="20"/>
          <w:highlight w:val="yellow"/>
          <w:rtl/>
        </w:rPr>
        <w:t xml:space="preserve"> </w:t>
      </w:r>
      <w:r w:rsidRPr="008E0470">
        <w:rPr>
          <w:rFonts w:cs="David" w:hint="eastAsia"/>
          <w:sz w:val="20"/>
          <w:szCs w:val="20"/>
          <w:highlight w:val="yellow"/>
          <w:rtl/>
        </w:rPr>
        <w:t>השני</w:t>
      </w:r>
      <w:r w:rsidRPr="00EC7F41">
        <w:rPr>
          <w:rFonts w:cs="David"/>
          <w:sz w:val="20"/>
          <w:szCs w:val="20"/>
          <w:rtl/>
        </w:rPr>
        <w:t xml:space="preserve"> </w:t>
      </w:r>
      <w:r w:rsidRPr="00EC7F41">
        <w:rPr>
          <w:rFonts w:cs="David" w:hint="eastAsia"/>
          <w:sz w:val="20"/>
          <w:szCs w:val="20"/>
          <w:rtl/>
        </w:rPr>
        <w:t>טענו</w:t>
      </w:r>
      <w:r w:rsidRPr="00EC7F41">
        <w:rPr>
          <w:rFonts w:cs="David"/>
          <w:sz w:val="20"/>
          <w:szCs w:val="20"/>
          <w:rtl/>
        </w:rPr>
        <w:t xml:space="preserve"> </w:t>
      </w:r>
      <w:r w:rsidRPr="00EC7F41">
        <w:rPr>
          <w:rFonts w:cs="David" w:hint="eastAsia"/>
          <w:sz w:val="20"/>
          <w:szCs w:val="20"/>
          <w:rtl/>
        </w:rPr>
        <w:t>העותרים</w:t>
      </w:r>
      <w:r w:rsidRPr="00EC7F41">
        <w:rPr>
          <w:rFonts w:cs="David"/>
          <w:sz w:val="20"/>
          <w:szCs w:val="20"/>
          <w:rtl/>
        </w:rPr>
        <w:t xml:space="preserve"> </w:t>
      </w:r>
      <w:r w:rsidRPr="00EC7F41">
        <w:rPr>
          <w:rFonts w:cs="David" w:hint="eastAsia"/>
          <w:sz w:val="20"/>
          <w:szCs w:val="20"/>
          <w:rtl/>
        </w:rPr>
        <w:t>שהתיקון</w:t>
      </w:r>
      <w:r w:rsidRPr="00EC7F41">
        <w:rPr>
          <w:rFonts w:cs="David"/>
          <w:sz w:val="20"/>
          <w:szCs w:val="20"/>
          <w:rtl/>
        </w:rPr>
        <w:t xml:space="preserve"> </w:t>
      </w:r>
      <w:r w:rsidRPr="00EC7F41">
        <w:rPr>
          <w:rFonts w:cs="David" w:hint="eastAsia"/>
          <w:sz w:val="20"/>
          <w:szCs w:val="20"/>
          <w:rtl/>
        </w:rPr>
        <w:t>מהווה</w:t>
      </w:r>
      <w:r w:rsidRPr="00EC7F41">
        <w:rPr>
          <w:rFonts w:cs="David"/>
          <w:sz w:val="20"/>
          <w:szCs w:val="20"/>
          <w:rtl/>
        </w:rPr>
        <w:t xml:space="preserve"> </w:t>
      </w:r>
      <w:r w:rsidRPr="00EC7F41">
        <w:rPr>
          <w:rFonts w:cs="David" w:hint="eastAsia"/>
          <w:sz w:val="20"/>
          <w:szCs w:val="20"/>
          <w:rtl/>
        </w:rPr>
        <w:t>פגיעה</w:t>
      </w:r>
      <w:r w:rsidRPr="00EC7F41">
        <w:rPr>
          <w:rFonts w:cs="David"/>
          <w:sz w:val="20"/>
          <w:szCs w:val="20"/>
          <w:rtl/>
        </w:rPr>
        <w:t xml:space="preserve"> </w:t>
      </w:r>
      <w:r w:rsidRPr="00EC7F41">
        <w:rPr>
          <w:rFonts w:cs="David" w:hint="eastAsia"/>
          <w:sz w:val="20"/>
          <w:szCs w:val="20"/>
          <w:rtl/>
        </w:rPr>
        <w:t>בכלל</w:t>
      </w:r>
      <w:r w:rsidRPr="00EC7F41">
        <w:rPr>
          <w:rFonts w:cs="David"/>
          <w:sz w:val="20"/>
          <w:szCs w:val="20"/>
          <w:rtl/>
        </w:rPr>
        <w:t xml:space="preserve"> </w:t>
      </w:r>
      <w:r w:rsidRPr="00EC7F41">
        <w:rPr>
          <w:rFonts w:cs="David" w:hint="eastAsia"/>
          <w:sz w:val="20"/>
          <w:szCs w:val="20"/>
          <w:rtl/>
        </w:rPr>
        <w:t>החוקתי</w:t>
      </w:r>
      <w:r w:rsidRPr="00EC7F41">
        <w:rPr>
          <w:rFonts w:cs="David"/>
          <w:sz w:val="20"/>
          <w:szCs w:val="20"/>
          <w:rtl/>
        </w:rPr>
        <w:t xml:space="preserve"> </w:t>
      </w:r>
      <w:r w:rsidRPr="00EC7F41">
        <w:rPr>
          <w:rFonts w:cs="David" w:hint="eastAsia"/>
          <w:sz w:val="20"/>
          <w:szCs w:val="20"/>
          <w:rtl/>
        </w:rPr>
        <w:t>הקבוע</w:t>
      </w:r>
      <w:r w:rsidRPr="00EC7F41">
        <w:rPr>
          <w:rFonts w:cs="David"/>
          <w:sz w:val="20"/>
          <w:szCs w:val="20"/>
          <w:rtl/>
        </w:rPr>
        <w:t xml:space="preserve"> </w:t>
      </w:r>
      <w:r w:rsidRPr="00EC7F41">
        <w:rPr>
          <w:rFonts w:cs="David" w:hint="eastAsia"/>
          <w:sz w:val="20"/>
          <w:szCs w:val="20"/>
          <w:rtl/>
        </w:rPr>
        <w:t>בסעיף</w:t>
      </w:r>
      <w:r w:rsidRPr="00EC7F41">
        <w:rPr>
          <w:rFonts w:cs="David"/>
          <w:sz w:val="20"/>
          <w:szCs w:val="20"/>
          <w:rtl/>
        </w:rPr>
        <w:t xml:space="preserve"> 1 </w:t>
      </w:r>
      <w:r w:rsidRPr="00EC7F41">
        <w:rPr>
          <w:rFonts w:cs="David" w:hint="eastAsia"/>
          <w:sz w:val="20"/>
          <w:szCs w:val="20"/>
          <w:rtl/>
        </w:rPr>
        <w:t>לחוק</w:t>
      </w:r>
      <w:r w:rsidRPr="00EC7F41">
        <w:rPr>
          <w:rFonts w:cs="David"/>
          <w:sz w:val="20"/>
          <w:szCs w:val="20"/>
          <w:rtl/>
        </w:rPr>
        <w:t xml:space="preserve"> </w:t>
      </w:r>
      <w:r w:rsidRPr="00EC7F41">
        <w:rPr>
          <w:rFonts w:cs="David" w:hint="eastAsia"/>
          <w:sz w:val="20"/>
          <w:szCs w:val="20"/>
          <w:rtl/>
        </w:rPr>
        <w:t>יסוד</w:t>
      </w:r>
      <w:r w:rsidRPr="00EC7F41">
        <w:rPr>
          <w:rFonts w:cs="David"/>
          <w:sz w:val="20"/>
          <w:szCs w:val="20"/>
          <w:rtl/>
        </w:rPr>
        <w:t xml:space="preserve">: </w:t>
      </w:r>
      <w:r w:rsidRPr="00EC7F41">
        <w:rPr>
          <w:rFonts w:cs="David" w:hint="eastAsia"/>
          <w:sz w:val="20"/>
          <w:szCs w:val="20"/>
          <w:rtl/>
        </w:rPr>
        <w:t>הממשלה</w:t>
      </w:r>
      <w:r w:rsidRPr="00EC7F41">
        <w:rPr>
          <w:rFonts w:cs="David"/>
          <w:sz w:val="20"/>
          <w:szCs w:val="20"/>
          <w:rtl/>
        </w:rPr>
        <w:t xml:space="preserve">, </w:t>
      </w:r>
      <w:r w:rsidRPr="00EC7F41">
        <w:rPr>
          <w:rFonts w:cs="David" w:hint="eastAsia"/>
          <w:sz w:val="20"/>
          <w:szCs w:val="20"/>
          <w:rtl/>
        </w:rPr>
        <w:t>שלפיו</w:t>
      </w:r>
      <w:r w:rsidRPr="00EC7F41">
        <w:rPr>
          <w:rFonts w:cs="David"/>
          <w:sz w:val="20"/>
          <w:szCs w:val="20"/>
          <w:rtl/>
        </w:rPr>
        <w:t xml:space="preserve"> "</w:t>
      </w:r>
      <w:r w:rsidRPr="00EC7F41">
        <w:rPr>
          <w:rFonts w:cs="David" w:hint="eastAsia"/>
          <w:sz w:val="20"/>
          <w:szCs w:val="20"/>
          <w:rtl/>
        </w:rPr>
        <w:t>הממשלה</w:t>
      </w:r>
      <w:r w:rsidRPr="00EC7F41">
        <w:rPr>
          <w:rFonts w:cs="David"/>
          <w:sz w:val="20"/>
          <w:szCs w:val="20"/>
          <w:rtl/>
        </w:rPr>
        <w:t xml:space="preserve"> </w:t>
      </w:r>
      <w:r w:rsidRPr="00EC7F41">
        <w:rPr>
          <w:rFonts w:cs="David" w:hint="eastAsia"/>
          <w:sz w:val="20"/>
          <w:szCs w:val="20"/>
          <w:rtl/>
        </w:rPr>
        <w:t>היא</w:t>
      </w:r>
      <w:r w:rsidRPr="00EC7F41">
        <w:rPr>
          <w:rFonts w:cs="David"/>
          <w:sz w:val="20"/>
          <w:szCs w:val="20"/>
          <w:rtl/>
        </w:rPr>
        <w:t xml:space="preserve"> </w:t>
      </w:r>
      <w:r w:rsidRPr="00EC7F41">
        <w:rPr>
          <w:rFonts w:cs="David" w:hint="eastAsia"/>
          <w:sz w:val="20"/>
          <w:szCs w:val="20"/>
          <w:rtl/>
        </w:rPr>
        <w:t>הרשות</w:t>
      </w:r>
      <w:r w:rsidRPr="00EC7F41">
        <w:rPr>
          <w:rFonts w:cs="David"/>
          <w:sz w:val="20"/>
          <w:szCs w:val="20"/>
          <w:rtl/>
        </w:rPr>
        <w:t xml:space="preserve"> </w:t>
      </w:r>
      <w:r w:rsidRPr="00EC7F41">
        <w:rPr>
          <w:rFonts w:cs="David" w:hint="eastAsia"/>
          <w:sz w:val="20"/>
          <w:szCs w:val="20"/>
          <w:rtl/>
        </w:rPr>
        <w:t>המבצעת</w:t>
      </w:r>
      <w:r w:rsidRPr="00EC7F41">
        <w:rPr>
          <w:rFonts w:cs="David"/>
          <w:sz w:val="20"/>
          <w:szCs w:val="20"/>
          <w:rtl/>
        </w:rPr>
        <w:t xml:space="preserve"> </w:t>
      </w:r>
      <w:r w:rsidRPr="00EC7F41">
        <w:rPr>
          <w:rFonts w:cs="David" w:hint="eastAsia"/>
          <w:sz w:val="20"/>
          <w:szCs w:val="20"/>
          <w:rtl/>
        </w:rPr>
        <w:t>של</w:t>
      </w:r>
      <w:r w:rsidRPr="00EC7F41">
        <w:rPr>
          <w:rFonts w:cs="David"/>
          <w:sz w:val="20"/>
          <w:szCs w:val="20"/>
          <w:rtl/>
        </w:rPr>
        <w:t xml:space="preserve"> </w:t>
      </w:r>
      <w:r w:rsidRPr="00EC7F41">
        <w:rPr>
          <w:rFonts w:cs="David" w:hint="eastAsia"/>
          <w:sz w:val="20"/>
          <w:szCs w:val="20"/>
          <w:rtl/>
        </w:rPr>
        <w:t>המדינה</w:t>
      </w:r>
      <w:r w:rsidRPr="00EC7F41">
        <w:rPr>
          <w:rFonts w:cs="David"/>
          <w:sz w:val="20"/>
          <w:szCs w:val="20"/>
          <w:rtl/>
        </w:rPr>
        <w:t>".</w:t>
      </w:r>
      <w:r w:rsidRPr="00EC7F41">
        <w:rPr>
          <w:rFonts w:cs="David"/>
          <w:b/>
          <w:bCs/>
          <w:sz w:val="20"/>
          <w:szCs w:val="20"/>
          <w:u w:val="single"/>
          <w:rtl/>
        </w:rPr>
        <w:t xml:space="preserve"> </w:t>
      </w:r>
    </w:p>
    <w:p w:rsidR="005366A8" w:rsidRPr="00EC7F41" w:rsidRDefault="005366A8" w:rsidP="005366A8">
      <w:pPr>
        <w:spacing w:after="60"/>
        <w:ind w:firstLine="720"/>
        <w:rPr>
          <w:rFonts w:cs="David"/>
          <w:sz w:val="20"/>
          <w:szCs w:val="20"/>
          <w:rtl/>
        </w:rPr>
      </w:pPr>
      <w:r w:rsidRPr="00EC7F41">
        <w:rPr>
          <w:rFonts w:cs="David" w:hint="eastAsia"/>
          <w:sz w:val="20"/>
          <w:szCs w:val="20"/>
          <w:rtl/>
        </w:rPr>
        <w:t>בית</w:t>
      </w:r>
      <w:r w:rsidRPr="00EC7F41">
        <w:rPr>
          <w:rFonts w:cs="David"/>
          <w:sz w:val="20"/>
          <w:szCs w:val="20"/>
          <w:rtl/>
        </w:rPr>
        <w:t xml:space="preserve"> </w:t>
      </w:r>
      <w:r w:rsidRPr="00EC7F41">
        <w:rPr>
          <w:rFonts w:cs="David" w:hint="eastAsia"/>
          <w:sz w:val="20"/>
          <w:szCs w:val="20"/>
          <w:rtl/>
        </w:rPr>
        <w:t>המשפט</w:t>
      </w:r>
      <w:r w:rsidRPr="00EC7F41">
        <w:rPr>
          <w:rFonts w:cs="David" w:hint="cs"/>
          <w:sz w:val="20"/>
          <w:szCs w:val="20"/>
          <w:rtl/>
        </w:rPr>
        <w:t xml:space="preserve"> שישב בהרכב מורחב של תשעה שופטים</w:t>
      </w:r>
      <w:r w:rsidRPr="00EC7F41">
        <w:rPr>
          <w:rFonts w:cs="David"/>
          <w:sz w:val="20"/>
          <w:szCs w:val="20"/>
          <w:rtl/>
        </w:rPr>
        <w:t xml:space="preserve"> </w:t>
      </w:r>
      <w:r w:rsidRPr="00EC7F41">
        <w:rPr>
          <w:rFonts w:cs="David" w:hint="eastAsia"/>
          <w:sz w:val="20"/>
          <w:szCs w:val="20"/>
          <w:rtl/>
        </w:rPr>
        <w:t>קיבל</w:t>
      </w:r>
      <w:r w:rsidRPr="00EC7F41">
        <w:rPr>
          <w:rFonts w:cs="David"/>
          <w:sz w:val="20"/>
          <w:szCs w:val="20"/>
          <w:rtl/>
        </w:rPr>
        <w:t xml:space="preserve"> </w:t>
      </w:r>
      <w:r w:rsidRPr="00EC7F41">
        <w:rPr>
          <w:rFonts w:cs="David" w:hint="eastAsia"/>
          <w:sz w:val="20"/>
          <w:szCs w:val="20"/>
          <w:rtl/>
        </w:rPr>
        <w:t>בדעת</w:t>
      </w:r>
      <w:r w:rsidRPr="00EC7F41">
        <w:rPr>
          <w:rFonts w:cs="David"/>
          <w:sz w:val="20"/>
          <w:szCs w:val="20"/>
          <w:rtl/>
        </w:rPr>
        <w:t xml:space="preserve"> </w:t>
      </w:r>
      <w:r w:rsidRPr="00EC7F41">
        <w:rPr>
          <w:rFonts w:cs="David" w:hint="eastAsia"/>
          <w:sz w:val="20"/>
          <w:szCs w:val="20"/>
          <w:rtl/>
        </w:rPr>
        <w:t>רוב</w:t>
      </w:r>
      <w:r w:rsidRPr="00EC7F41">
        <w:rPr>
          <w:rFonts w:cs="David"/>
          <w:sz w:val="20"/>
          <w:szCs w:val="20"/>
          <w:rtl/>
        </w:rPr>
        <w:t xml:space="preserve">, </w:t>
      </w:r>
      <w:r w:rsidRPr="00EC7F41">
        <w:rPr>
          <w:rFonts w:cs="David" w:hint="eastAsia"/>
          <w:sz w:val="20"/>
          <w:szCs w:val="20"/>
          <w:rtl/>
        </w:rPr>
        <w:t>נגד</w:t>
      </w:r>
      <w:r w:rsidRPr="00EC7F41">
        <w:rPr>
          <w:rFonts w:cs="David"/>
          <w:sz w:val="20"/>
          <w:szCs w:val="20"/>
          <w:rtl/>
        </w:rPr>
        <w:t xml:space="preserve"> </w:t>
      </w:r>
      <w:r w:rsidRPr="00EC7F41">
        <w:rPr>
          <w:rFonts w:cs="David" w:hint="eastAsia"/>
          <w:sz w:val="20"/>
          <w:szCs w:val="20"/>
          <w:rtl/>
        </w:rPr>
        <w:t>דעתו</w:t>
      </w:r>
      <w:r w:rsidRPr="00EC7F41">
        <w:rPr>
          <w:rFonts w:cs="David"/>
          <w:sz w:val="20"/>
          <w:szCs w:val="20"/>
          <w:rtl/>
        </w:rPr>
        <w:t xml:space="preserve"> </w:t>
      </w:r>
      <w:r w:rsidRPr="00EC7F41">
        <w:rPr>
          <w:rFonts w:cs="David" w:hint="eastAsia"/>
          <w:sz w:val="20"/>
          <w:szCs w:val="20"/>
          <w:rtl/>
        </w:rPr>
        <w:t>החולקת</w:t>
      </w:r>
      <w:r w:rsidRPr="00EC7F41">
        <w:rPr>
          <w:rFonts w:cs="David"/>
          <w:sz w:val="20"/>
          <w:szCs w:val="20"/>
          <w:rtl/>
        </w:rPr>
        <w:t xml:space="preserve"> </w:t>
      </w:r>
      <w:r w:rsidRPr="00EC7F41">
        <w:rPr>
          <w:rFonts w:cs="David" w:hint="eastAsia"/>
          <w:sz w:val="20"/>
          <w:szCs w:val="20"/>
          <w:rtl/>
        </w:rPr>
        <w:t>של</w:t>
      </w:r>
      <w:r w:rsidRPr="00EC7F41">
        <w:rPr>
          <w:rFonts w:cs="David"/>
          <w:sz w:val="20"/>
          <w:szCs w:val="20"/>
          <w:rtl/>
        </w:rPr>
        <w:t xml:space="preserve"> </w:t>
      </w:r>
      <w:r w:rsidRPr="00EC7F41">
        <w:rPr>
          <w:rFonts w:cs="David" w:hint="eastAsia"/>
          <w:sz w:val="20"/>
          <w:szCs w:val="20"/>
          <w:rtl/>
        </w:rPr>
        <w:t>השופט</w:t>
      </w:r>
      <w:r w:rsidRPr="00EC7F41">
        <w:rPr>
          <w:rFonts w:cs="David"/>
          <w:sz w:val="20"/>
          <w:szCs w:val="20"/>
          <w:rtl/>
        </w:rPr>
        <w:t xml:space="preserve"> </w:t>
      </w:r>
      <w:r w:rsidRPr="00EC7F41">
        <w:rPr>
          <w:rFonts w:cs="David" w:hint="eastAsia"/>
          <w:sz w:val="20"/>
          <w:szCs w:val="20"/>
          <w:rtl/>
        </w:rPr>
        <w:t>אדמונד</w:t>
      </w:r>
      <w:r w:rsidRPr="00EC7F41">
        <w:rPr>
          <w:rFonts w:cs="David"/>
          <w:sz w:val="20"/>
          <w:szCs w:val="20"/>
          <w:rtl/>
        </w:rPr>
        <w:t xml:space="preserve"> </w:t>
      </w:r>
      <w:r w:rsidRPr="00EC7F41">
        <w:rPr>
          <w:rFonts w:cs="David" w:hint="eastAsia"/>
          <w:sz w:val="20"/>
          <w:szCs w:val="20"/>
          <w:rtl/>
        </w:rPr>
        <w:t>לוי</w:t>
      </w:r>
      <w:r w:rsidRPr="00EC7F41">
        <w:rPr>
          <w:rFonts w:cs="David"/>
          <w:sz w:val="20"/>
          <w:szCs w:val="20"/>
          <w:rtl/>
        </w:rPr>
        <w:t xml:space="preserve">, </w:t>
      </w:r>
      <w:r w:rsidRPr="00EC7F41">
        <w:rPr>
          <w:rFonts w:cs="David" w:hint="eastAsia"/>
          <w:sz w:val="20"/>
          <w:szCs w:val="20"/>
          <w:rtl/>
        </w:rPr>
        <w:t>את</w:t>
      </w:r>
      <w:r w:rsidRPr="00EC7F41">
        <w:rPr>
          <w:rFonts w:cs="David"/>
          <w:sz w:val="20"/>
          <w:szCs w:val="20"/>
          <w:rtl/>
        </w:rPr>
        <w:t xml:space="preserve"> </w:t>
      </w:r>
      <w:r w:rsidRPr="00EC7F41">
        <w:rPr>
          <w:rFonts w:cs="David" w:hint="eastAsia"/>
          <w:sz w:val="20"/>
          <w:szCs w:val="20"/>
          <w:rtl/>
        </w:rPr>
        <w:t>העתירה</w:t>
      </w:r>
      <w:r w:rsidRPr="00EC7F41">
        <w:rPr>
          <w:rFonts w:cs="David"/>
          <w:sz w:val="20"/>
          <w:szCs w:val="20"/>
          <w:rtl/>
        </w:rPr>
        <w:t xml:space="preserve"> </w:t>
      </w:r>
      <w:r w:rsidRPr="00EC7F41">
        <w:rPr>
          <w:rFonts w:cs="David" w:hint="eastAsia"/>
          <w:sz w:val="20"/>
          <w:szCs w:val="20"/>
          <w:rtl/>
        </w:rPr>
        <w:t>נגד</w:t>
      </w:r>
      <w:r w:rsidRPr="00EC7F41">
        <w:rPr>
          <w:rFonts w:cs="David"/>
          <w:sz w:val="20"/>
          <w:szCs w:val="20"/>
          <w:rtl/>
        </w:rPr>
        <w:t xml:space="preserve"> </w:t>
      </w:r>
      <w:r w:rsidRPr="00EC7F41">
        <w:rPr>
          <w:rFonts w:cs="David" w:hint="eastAsia"/>
          <w:sz w:val="20"/>
          <w:szCs w:val="20"/>
          <w:rtl/>
        </w:rPr>
        <w:t>החוק</w:t>
      </w:r>
      <w:r w:rsidRPr="00EC7F41">
        <w:rPr>
          <w:rFonts w:cs="David"/>
          <w:sz w:val="20"/>
          <w:szCs w:val="20"/>
          <w:rtl/>
        </w:rPr>
        <w:t xml:space="preserve"> </w:t>
      </w:r>
      <w:r w:rsidRPr="00EC7F41">
        <w:rPr>
          <w:rFonts w:cs="David" w:hint="eastAsia"/>
          <w:sz w:val="20"/>
          <w:szCs w:val="20"/>
          <w:rtl/>
        </w:rPr>
        <w:t>וביטל</w:t>
      </w:r>
      <w:r>
        <w:rPr>
          <w:rFonts w:cs="David"/>
          <w:sz w:val="20"/>
          <w:szCs w:val="20"/>
          <w:rtl/>
        </w:rPr>
        <w:t xml:space="preserve"> </w:t>
      </w:r>
      <w:r w:rsidRPr="00EC7F41">
        <w:rPr>
          <w:rFonts w:cs="David" w:hint="eastAsia"/>
          <w:sz w:val="20"/>
          <w:szCs w:val="20"/>
          <w:rtl/>
        </w:rPr>
        <w:t>את</w:t>
      </w:r>
      <w:r w:rsidRPr="00EC7F41">
        <w:rPr>
          <w:rFonts w:cs="David"/>
          <w:sz w:val="20"/>
          <w:szCs w:val="20"/>
          <w:rtl/>
        </w:rPr>
        <w:t xml:space="preserve"> </w:t>
      </w:r>
      <w:r w:rsidRPr="00EC7F41">
        <w:rPr>
          <w:rFonts w:cs="David" w:hint="eastAsia"/>
          <w:sz w:val="20"/>
          <w:szCs w:val="20"/>
          <w:rtl/>
        </w:rPr>
        <w:t>התיקון</w:t>
      </w:r>
      <w:r w:rsidRPr="00EC7F41">
        <w:rPr>
          <w:rFonts w:cs="David"/>
          <w:sz w:val="20"/>
          <w:szCs w:val="20"/>
          <w:rtl/>
        </w:rPr>
        <w:t xml:space="preserve">. </w:t>
      </w:r>
      <w:r w:rsidRPr="00EC7F41">
        <w:rPr>
          <w:rFonts w:cs="David" w:hint="eastAsia"/>
          <w:sz w:val="20"/>
          <w:szCs w:val="20"/>
          <w:rtl/>
        </w:rPr>
        <w:t>חוות</w:t>
      </w:r>
      <w:r w:rsidRPr="00EC7F41">
        <w:rPr>
          <w:rFonts w:cs="David"/>
          <w:sz w:val="20"/>
          <w:szCs w:val="20"/>
          <w:rtl/>
        </w:rPr>
        <w:t xml:space="preserve"> </w:t>
      </w:r>
      <w:r w:rsidRPr="00EC7F41">
        <w:rPr>
          <w:rFonts w:cs="David" w:hint="eastAsia"/>
          <w:sz w:val="20"/>
          <w:szCs w:val="20"/>
          <w:rtl/>
        </w:rPr>
        <w:t>הדעת</w:t>
      </w:r>
      <w:r w:rsidRPr="00EC7F41">
        <w:rPr>
          <w:rFonts w:cs="David"/>
          <w:sz w:val="20"/>
          <w:szCs w:val="20"/>
          <w:rtl/>
        </w:rPr>
        <w:t xml:space="preserve"> </w:t>
      </w:r>
      <w:r w:rsidRPr="00EC7F41">
        <w:rPr>
          <w:rFonts w:cs="David" w:hint="eastAsia"/>
          <w:sz w:val="20"/>
          <w:szCs w:val="20"/>
          <w:rtl/>
        </w:rPr>
        <w:t>העיקרית</w:t>
      </w:r>
      <w:r w:rsidRPr="00EC7F41">
        <w:rPr>
          <w:rFonts w:cs="David" w:hint="cs"/>
          <w:sz w:val="20"/>
          <w:szCs w:val="20"/>
          <w:rtl/>
        </w:rPr>
        <w:t>, מבין כמה חוות דעת שניתנו על ידי שופטי הרוב,</w:t>
      </w:r>
      <w:r w:rsidRPr="00EC7F41">
        <w:rPr>
          <w:rFonts w:cs="David"/>
          <w:sz w:val="20"/>
          <w:szCs w:val="20"/>
          <w:rtl/>
        </w:rPr>
        <w:t xml:space="preserve"> </w:t>
      </w:r>
      <w:r w:rsidRPr="00EC7F41">
        <w:rPr>
          <w:rFonts w:cs="David" w:hint="eastAsia"/>
          <w:sz w:val="20"/>
          <w:szCs w:val="20"/>
          <w:rtl/>
        </w:rPr>
        <w:t>ניתנה</w:t>
      </w:r>
      <w:r w:rsidRPr="00EC7F41">
        <w:rPr>
          <w:rFonts w:cs="David"/>
          <w:sz w:val="20"/>
          <w:szCs w:val="20"/>
          <w:rtl/>
        </w:rPr>
        <w:t xml:space="preserve"> </w:t>
      </w:r>
      <w:r w:rsidRPr="00EC7F41">
        <w:rPr>
          <w:rFonts w:cs="David" w:hint="eastAsia"/>
          <w:sz w:val="20"/>
          <w:szCs w:val="20"/>
          <w:rtl/>
        </w:rPr>
        <w:t>על</w:t>
      </w:r>
      <w:r w:rsidRPr="00EC7F41">
        <w:rPr>
          <w:rFonts w:cs="David"/>
          <w:sz w:val="20"/>
          <w:szCs w:val="20"/>
          <w:rtl/>
        </w:rPr>
        <w:t xml:space="preserve"> </w:t>
      </w:r>
      <w:r w:rsidRPr="00EC7F41">
        <w:rPr>
          <w:rFonts w:cs="David" w:hint="eastAsia"/>
          <w:sz w:val="20"/>
          <w:szCs w:val="20"/>
          <w:rtl/>
        </w:rPr>
        <w:t>ידי</w:t>
      </w:r>
      <w:r>
        <w:rPr>
          <w:rFonts w:cs="David"/>
          <w:sz w:val="20"/>
          <w:szCs w:val="20"/>
          <w:rtl/>
        </w:rPr>
        <w:t xml:space="preserve"> </w:t>
      </w:r>
      <w:r w:rsidRPr="00EC7F41">
        <w:rPr>
          <w:rFonts w:cs="David" w:hint="eastAsia"/>
          <w:sz w:val="20"/>
          <w:szCs w:val="20"/>
          <w:rtl/>
        </w:rPr>
        <w:t>כבוד</w:t>
      </w:r>
      <w:r w:rsidRPr="00EC7F41">
        <w:rPr>
          <w:rFonts w:cs="David"/>
          <w:sz w:val="20"/>
          <w:szCs w:val="20"/>
          <w:rtl/>
        </w:rPr>
        <w:t xml:space="preserve"> </w:t>
      </w:r>
      <w:r w:rsidRPr="006A199E">
        <w:rPr>
          <w:rFonts w:cs="David" w:hint="eastAsia"/>
          <w:sz w:val="20"/>
          <w:szCs w:val="20"/>
          <w:highlight w:val="yellow"/>
          <w:rtl/>
        </w:rPr>
        <w:t>הנשיאה</w:t>
      </w:r>
      <w:r w:rsidRPr="006A199E">
        <w:rPr>
          <w:rFonts w:cs="David"/>
          <w:sz w:val="20"/>
          <w:szCs w:val="20"/>
          <w:highlight w:val="yellow"/>
          <w:rtl/>
        </w:rPr>
        <w:t xml:space="preserve"> </w:t>
      </w:r>
      <w:r w:rsidRPr="006A199E">
        <w:rPr>
          <w:rFonts w:cs="David" w:hint="eastAsia"/>
          <w:sz w:val="20"/>
          <w:szCs w:val="20"/>
          <w:highlight w:val="yellow"/>
          <w:rtl/>
        </w:rPr>
        <w:t>בייניש</w:t>
      </w:r>
      <w:r w:rsidRPr="00EC7F41">
        <w:rPr>
          <w:rFonts w:cs="David"/>
          <w:sz w:val="20"/>
          <w:szCs w:val="20"/>
          <w:rtl/>
        </w:rPr>
        <w:t xml:space="preserve">, </w:t>
      </w:r>
      <w:r w:rsidRPr="00EC7F41">
        <w:rPr>
          <w:rFonts w:cs="David" w:hint="eastAsia"/>
          <w:sz w:val="20"/>
          <w:szCs w:val="20"/>
          <w:rtl/>
        </w:rPr>
        <w:t>שאל</w:t>
      </w:r>
      <w:r w:rsidRPr="00EC7F41">
        <w:rPr>
          <w:rFonts w:cs="David"/>
          <w:sz w:val="20"/>
          <w:szCs w:val="20"/>
          <w:rtl/>
        </w:rPr>
        <w:t xml:space="preserve"> </w:t>
      </w:r>
      <w:r w:rsidRPr="00EC7F41">
        <w:rPr>
          <w:rFonts w:cs="David" w:hint="eastAsia"/>
          <w:sz w:val="20"/>
          <w:szCs w:val="20"/>
          <w:rtl/>
        </w:rPr>
        <w:t>נימוקיה</w:t>
      </w:r>
      <w:r w:rsidRPr="00EC7F41">
        <w:rPr>
          <w:rFonts w:cs="David"/>
          <w:sz w:val="20"/>
          <w:szCs w:val="20"/>
          <w:rtl/>
        </w:rPr>
        <w:t xml:space="preserve"> </w:t>
      </w:r>
      <w:r w:rsidRPr="00EC7F41">
        <w:rPr>
          <w:rFonts w:cs="David" w:hint="eastAsia"/>
          <w:sz w:val="20"/>
          <w:szCs w:val="20"/>
          <w:rtl/>
        </w:rPr>
        <w:t>הצטרפו</w:t>
      </w:r>
      <w:r w:rsidRPr="00EC7F41">
        <w:rPr>
          <w:rFonts w:cs="David"/>
          <w:sz w:val="20"/>
          <w:szCs w:val="20"/>
          <w:rtl/>
        </w:rPr>
        <w:t xml:space="preserve"> </w:t>
      </w:r>
      <w:r w:rsidRPr="00EC7F41">
        <w:rPr>
          <w:rFonts w:cs="David" w:hint="eastAsia"/>
          <w:sz w:val="20"/>
          <w:szCs w:val="20"/>
          <w:rtl/>
        </w:rPr>
        <w:t>מרבית</w:t>
      </w:r>
      <w:r w:rsidRPr="00EC7F41">
        <w:rPr>
          <w:rFonts w:cs="David"/>
          <w:sz w:val="20"/>
          <w:szCs w:val="20"/>
          <w:rtl/>
        </w:rPr>
        <w:t xml:space="preserve"> </w:t>
      </w:r>
      <w:r w:rsidRPr="00EC7F41">
        <w:rPr>
          <w:rFonts w:cs="David" w:hint="eastAsia"/>
          <w:sz w:val="20"/>
          <w:szCs w:val="20"/>
          <w:rtl/>
        </w:rPr>
        <w:t>השופטים</w:t>
      </w:r>
      <w:r w:rsidRPr="00EC7F41">
        <w:rPr>
          <w:rFonts w:cs="David" w:hint="cs"/>
          <w:sz w:val="20"/>
          <w:szCs w:val="20"/>
          <w:rtl/>
        </w:rPr>
        <w:t xml:space="preserve"> בהרכב</w:t>
      </w:r>
      <w:r w:rsidRPr="00EC7F41">
        <w:rPr>
          <w:rFonts w:cs="David"/>
          <w:sz w:val="20"/>
          <w:szCs w:val="20"/>
          <w:rtl/>
        </w:rPr>
        <w:t xml:space="preserve">. </w:t>
      </w:r>
      <w:r w:rsidRPr="00EC7F41">
        <w:rPr>
          <w:rFonts w:cs="David" w:hint="eastAsia"/>
          <w:sz w:val="20"/>
          <w:szCs w:val="20"/>
          <w:rtl/>
        </w:rPr>
        <w:t>בחוות</w:t>
      </w:r>
      <w:r w:rsidRPr="00EC7F41">
        <w:rPr>
          <w:rFonts w:cs="David"/>
          <w:sz w:val="20"/>
          <w:szCs w:val="20"/>
          <w:rtl/>
        </w:rPr>
        <w:t xml:space="preserve"> </w:t>
      </w:r>
      <w:r w:rsidRPr="00EC7F41">
        <w:rPr>
          <w:rFonts w:cs="David" w:hint="eastAsia"/>
          <w:sz w:val="20"/>
          <w:szCs w:val="20"/>
          <w:rtl/>
        </w:rPr>
        <w:t>דעתה</w:t>
      </w:r>
      <w:r w:rsidRPr="00EC7F41">
        <w:rPr>
          <w:rFonts w:cs="David"/>
          <w:sz w:val="20"/>
          <w:szCs w:val="20"/>
          <w:rtl/>
        </w:rPr>
        <w:t xml:space="preserve"> </w:t>
      </w:r>
      <w:r w:rsidRPr="00EC7F41">
        <w:rPr>
          <w:rFonts w:cs="David" w:hint="eastAsia"/>
          <w:sz w:val="20"/>
          <w:szCs w:val="20"/>
          <w:rtl/>
        </w:rPr>
        <w:t>סקרה</w:t>
      </w:r>
      <w:r w:rsidRPr="00EC7F41">
        <w:rPr>
          <w:rFonts w:cs="David"/>
          <w:sz w:val="20"/>
          <w:szCs w:val="20"/>
          <w:rtl/>
        </w:rPr>
        <w:t xml:space="preserve"> </w:t>
      </w:r>
      <w:r w:rsidRPr="00EC7F41">
        <w:rPr>
          <w:rFonts w:cs="David" w:hint="eastAsia"/>
          <w:sz w:val="20"/>
          <w:szCs w:val="20"/>
          <w:rtl/>
        </w:rPr>
        <w:t>הנשיאה</w:t>
      </w:r>
      <w:r w:rsidRPr="00EC7F41">
        <w:rPr>
          <w:rFonts w:cs="David"/>
          <w:sz w:val="20"/>
          <w:szCs w:val="20"/>
          <w:rtl/>
        </w:rPr>
        <w:t xml:space="preserve"> </w:t>
      </w:r>
      <w:r w:rsidRPr="00EC7F41">
        <w:rPr>
          <w:rFonts w:cs="David" w:hint="cs"/>
          <w:sz w:val="20"/>
          <w:szCs w:val="20"/>
          <w:rtl/>
        </w:rPr>
        <w:t xml:space="preserve">תחילה </w:t>
      </w:r>
      <w:r w:rsidRPr="00EC7F41">
        <w:rPr>
          <w:rFonts w:cs="David" w:hint="eastAsia"/>
          <w:sz w:val="20"/>
          <w:szCs w:val="20"/>
          <w:rtl/>
        </w:rPr>
        <w:t>את</w:t>
      </w:r>
      <w:r w:rsidRPr="00EC7F41">
        <w:rPr>
          <w:rFonts w:cs="David"/>
          <w:sz w:val="20"/>
          <w:szCs w:val="20"/>
          <w:rtl/>
        </w:rPr>
        <w:t xml:space="preserve"> </w:t>
      </w:r>
      <w:r w:rsidRPr="00EC7F41">
        <w:rPr>
          <w:rFonts w:cs="David" w:hint="eastAsia"/>
          <w:sz w:val="20"/>
          <w:szCs w:val="20"/>
          <w:rtl/>
        </w:rPr>
        <w:t>התיקון</w:t>
      </w:r>
      <w:r w:rsidRPr="00EC7F41">
        <w:rPr>
          <w:rFonts w:cs="David"/>
          <w:sz w:val="20"/>
          <w:szCs w:val="20"/>
          <w:rtl/>
        </w:rPr>
        <w:t xml:space="preserve"> </w:t>
      </w:r>
      <w:r w:rsidRPr="00EC7F41">
        <w:rPr>
          <w:rFonts w:cs="David" w:hint="eastAsia"/>
          <w:sz w:val="20"/>
          <w:szCs w:val="20"/>
          <w:rtl/>
        </w:rPr>
        <w:t>ואת</w:t>
      </w:r>
      <w:r w:rsidRPr="00EC7F41">
        <w:rPr>
          <w:rFonts w:cs="David"/>
          <w:sz w:val="20"/>
          <w:szCs w:val="20"/>
          <w:rtl/>
        </w:rPr>
        <w:t xml:space="preserve"> </w:t>
      </w:r>
      <w:r w:rsidRPr="00EC7F41">
        <w:rPr>
          <w:rFonts w:cs="David" w:hint="eastAsia"/>
          <w:sz w:val="20"/>
          <w:szCs w:val="20"/>
          <w:rtl/>
        </w:rPr>
        <w:t>ההסדרים</w:t>
      </w:r>
      <w:r w:rsidRPr="00EC7F41">
        <w:rPr>
          <w:rFonts w:cs="David"/>
          <w:sz w:val="20"/>
          <w:szCs w:val="20"/>
          <w:rtl/>
        </w:rPr>
        <w:t xml:space="preserve"> </w:t>
      </w:r>
      <w:r w:rsidRPr="00EC7F41">
        <w:rPr>
          <w:rFonts w:cs="David" w:hint="eastAsia"/>
          <w:sz w:val="20"/>
          <w:szCs w:val="20"/>
          <w:rtl/>
        </w:rPr>
        <w:t>שנקבעו</w:t>
      </w:r>
      <w:r w:rsidRPr="00EC7F41">
        <w:rPr>
          <w:rFonts w:cs="David"/>
          <w:sz w:val="20"/>
          <w:szCs w:val="20"/>
          <w:rtl/>
        </w:rPr>
        <w:t xml:space="preserve"> </w:t>
      </w:r>
      <w:r w:rsidRPr="00EC7F41">
        <w:rPr>
          <w:rFonts w:cs="David" w:hint="eastAsia"/>
          <w:sz w:val="20"/>
          <w:szCs w:val="20"/>
          <w:rtl/>
        </w:rPr>
        <w:t>בו</w:t>
      </w:r>
      <w:r w:rsidRPr="00EC7F41">
        <w:rPr>
          <w:rFonts w:cs="David"/>
          <w:sz w:val="20"/>
          <w:szCs w:val="20"/>
          <w:rtl/>
        </w:rPr>
        <w:t xml:space="preserve">, </w:t>
      </w:r>
      <w:r w:rsidRPr="00EC7F41">
        <w:rPr>
          <w:rFonts w:cs="David" w:hint="eastAsia"/>
          <w:sz w:val="20"/>
          <w:szCs w:val="20"/>
          <w:rtl/>
        </w:rPr>
        <w:t>ועמדה</w:t>
      </w:r>
      <w:r w:rsidRPr="00EC7F41">
        <w:rPr>
          <w:rFonts w:cs="David"/>
          <w:sz w:val="20"/>
          <w:szCs w:val="20"/>
          <w:rtl/>
        </w:rPr>
        <w:t xml:space="preserve"> </w:t>
      </w:r>
      <w:r w:rsidRPr="00EC7F41">
        <w:rPr>
          <w:rFonts w:cs="David" w:hint="eastAsia"/>
          <w:sz w:val="20"/>
          <w:szCs w:val="20"/>
          <w:rtl/>
        </w:rPr>
        <w:t>על</w:t>
      </w:r>
      <w:r w:rsidRPr="00EC7F41">
        <w:rPr>
          <w:rFonts w:cs="David"/>
          <w:sz w:val="20"/>
          <w:szCs w:val="20"/>
          <w:rtl/>
        </w:rPr>
        <w:t xml:space="preserve"> </w:t>
      </w:r>
      <w:r w:rsidRPr="00EC7F41">
        <w:rPr>
          <w:rFonts w:cs="David" w:hint="eastAsia"/>
          <w:sz w:val="20"/>
          <w:szCs w:val="20"/>
          <w:rtl/>
        </w:rPr>
        <w:t>כך</w:t>
      </w:r>
      <w:r w:rsidRPr="00EC7F41">
        <w:rPr>
          <w:rFonts w:cs="David"/>
          <w:sz w:val="20"/>
          <w:szCs w:val="20"/>
          <w:rtl/>
        </w:rPr>
        <w:t xml:space="preserve"> </w:t>
      </w:r>
      <w:r w:rsidRPr="00EC7F41">
        <w:rPr>
          <w:rFonts w:cs="David" w:hint="eastAsia"/>
          <w:sz w:val="20"/>
          <w:szCs w:val="20"/>
          <w:rtl/>
        </w:rPr>
        <w:t>שבמסגרת</w:t>
      </w:r>
      <w:r w:rsidRPr="00EC7F41">
        <w:rPr>
          <w:rFonts w:cs="David"/>
          <w:sz w:val="20"/>
          <w:szCs w:val="20"/>
          <w:rtl/>
        </w:rPr>
        <w:t xml:space="preserve"> </w:t>
      </w:r>
      <w:r w:rsidRPr="00EC7F41">
        <w:rPr>
          <w:rFonts w:cs="David" w:hint="eastAsia"/>
          <w:sz w:val="20"/>
          <w:szCs w:val="20"/>
          <w:rtl/>
        </w:rPr>
        <w:t>התיקון</w:t>
      </w:r>
      <w:r w:rsidRPr="00EC7F41">
        <w:rPr>
          <w:rFonts w:cs="David"/>
          <w:sz w:val="20"/>
          <w:szCs w:val="20"/>
          <w:rtl/>
        </w:rPr>
        <w:t xml:space="preserve"> </w:t>
      </w:r>
      <w:r w:rsidRPr="00EC7F41">
        <w:rPr>
          <w:rFonts w:cs="David" w:hint="eastAsia"/>
          <w:sz w:val="20"/>
          <w:szCs w:val="20"/>
          <w:rtl/>
        </w:rPr>
        <w:t>הוענקו</w:t>
      </w:r>
      <w:r w:rsidRPr="00EC7F41">
        <w:rPr>
          <w:rFonts w:cs="David"/>
          <w:sz w:val="20"/>
          <w:szCs w:val="20"/>
          <w:rtl/>
        </w:rPr>
        <w:t xml:space="preserve"> </w:t>
      </w:r>
      <w:r w:rsidRPr="00EC7F41">
        <w:rPr>
          <w:rFonts w:cs="David" w:hint="eastAsia"/>
          <w:sz w:val="20"/>
          <w:szCs w:val="20"/>
          <w:rtl/>
        </w:rPr>
        <w:t>לזכיין</w:t>
      </w:r>
      <w:r w:rsidRPr="00EC7F41">
        <w:rPr>
          <w:rFonts w:cs="David"/>
          <w:sz w:val="20"/>
          <w:szCs w:val="20"/>
          <w:rtl/>
        </w:rPr>
        <w:t xml:space="preserve">, </w:t>
      </w:r>
      <w:r w:rsidRPr="00EC7F41">
        <w:rPr>
          <w:rFonts w:cs="David" w:hint="eastAsia"/>
          <w:sz w:val="20"/>
          <w:szCs w:val="20"/>
          <w:rtl/>
        </w:rPr>
        <w:t>למנהל</w:t>
      </w:r>
      <w:r w:rsidRPr="00EC7F41">
        <w:rPr>
          <w:rFonts w:cs="David"/>
          <w:sz w:val="20"/>
          <w:szCs w:val="20"/>
          <w:rtl/>
        </w:rPr>
        <w:t xml:space="preserve"> </w:t>
      </w:r>
      <w:r w:rsidRPr="00EC7F41">
        <w:rPr>
          <w:rFonts w:cs="David" w:hint="eastAsia"/>
          <w:sz w:val="20"/>
          <w:szCs w:val="20"/>
          <w:rtl/>
        </w:rPr>
        <w:t>בית</w:t>
      </w:r>
      <w:r w:rsidRPr="00EC7F41">
        <w:rPr>
          <w:rFonts w:cs="David"/>
          <w:sz w:val="20"/>
          <w:szCs w:val="20"/>
          <w:rtl/>
        </w:rPr>
        <w:t xml:space="preserve"> </w:t>
      </w:r>
      <w:r w:rsidRPr="00EC7F41">
        <w:rPr>
          <w:rFonts w:cs="David" w:hint="eastAsia"/>
          <w:sz w:val="20"/>
          <w:szCs w:val="20"/>
          <w:rtl/>
        </w:rPr>
        <w:t>הסוהר</w:t>
      </w:r>
      <w:r w:rsidRPr="00EC7F41">
        <w:rPr>
          <w:rFonts w:cs="David"/>
          <w:sz w:val="20"/>
          <w:szCs w:val="20"/>
          <w:rtl/>
        </w:rPr>
        <w:t xml:space="preserve"> </w:t>
      </w:r>
      <w:r w:rsidRPr="00EC7F41">
        <w:rPr>
          <w:rFonts w:cs="David" w:hint="eastAsia"/>
          <w:sz w:val="20"/>
          <w:szCs w:val="20"/>
          <w:rtl/>
        </w:rPr>
        <w:t>מטעמו</w:t>
      </w:r>
      <w:r w:rsidRPr="00EC7F41">
        <w:rPr>
          <w:rFonts w:cs="David"/>
          <w:sz w:val="20"/>
          <w:szCs w:val="20"/>
          <w:rtl/>
        </w:rPr>
        <w:t xml:space="preserve"> </w:t>
      </w:r>
      <w:r w:rsidRPr="00EC7F41">
        <w:rPr>
          <w:rFonts w:cs="David" w:hint="eastAsia"/>
          <w:sz w:val="20"/>
          <w:szCs w:val="20"/>
          <w:rtl/>
        </w:rPr>
        <w:t>ולעובדים</w:t>
      </w:r>
      <w:r w:rsidRPr="00EC7F41">
        <w:rPr>
          <w:rFonts w:cs="David"/>
          <w:sz w:val="20"/>
          <w:szCs w:val="20"/>
          <w:rtl/>
        </w:rPr>
        <w:t xml:space="preserve"> </w:t>
      </w:r>
      <w:r w:rsidRPr="00EC7F41">
        <w:rPr>
          <w:rFonts w:cs="David" w:hint="eastAsia"/>
          <w:sz w:val="20"/>
          <w:szCs w:val="20"/>
          <w:rtl/>
        </w:rPr>
        <w:t>הכפופים</w:t>
      </w:r>
      <w:r w:rsidRPr="00EC7F41">
        <w:rPr>
          <w:rFonts w:cs="David"/>
          <w:sz w:val="20"/>
          <w:szCs w:val="20"/>
          <w:rtl/>
        </w:rPr>
        <w:t xml:space="preserve"> </w:t>
      </w:r>
      <w:r w:rsidRPr="00EC7F41">
        <w:rPr>
          <w:rFonts w:cs="David" w:hint="eastAsia"/>
          <w:sz w:val="20"/>
          <w:szCs w:val="20"/>
          <w:rtl/>
        </w:rPr>
        <w:t>לו</w:t>
      </w:r>
      <w:r w:rsidRPr="00EC7F41">
        <w:rPr>
          <w:rFonts w:cs="David"/>
          <w:sz w:val="20"/>
          <w:szCs w:val="20"/>
          <w:rtl/>
        </w:rPr>
        <w:t xml:space="preserve"> </w:t>
      </w:r>
      <w:r w:rsidRPr="00EC7F41">
        <w:rPr>
          <w:rFonts w:cs="David" w:hint="eastAsia"/>
          <w:sz w:val="20"/>
          <w:szCs w:val="20"/>
          <w:rtl/>
        </w:rPr>
        <w:t>סמכויות</w:t>
      </w:r>
      <w:r w:rsidRPr="00EC7F41">
        <w:rPr>
          <w:rFonts w:cs="David"/>
          <w:sz w:val="20"/>
          <w:szCs w:val="20"/>
          <w:rtl/>
        </w:rPr>
        <w:t xml:space="preserve"> </w:t>
      </w:r>
      <w:r w:rsidRPr="00EC7F41">
        <w:rPr>
          <w:rFonts w:cs="David" w:hint="eastAsia"/>
          <w:sz w:val="20"/>
          <w:szCs w:val="20"/>
          <w:rtl/>
        </w:rPr>
        <w:t>הפוגעות</w:t>
      </w:r>
      <w:r w:rsidRPr="00EC7F41">
        <w:rPr>
          <w:rFonts w:cs="David"/>
          <w:sz w:val="20"/>
          <w:szCs w:val="20"/>
          <w:rtl/>
        </w:rPr>
        <w:t xml:space="preserve"> </w:t>
      </w:r>
      <w:r w:rsidRPr="00EC7F41">
        <w:rPr>
          <w:rFonts w:cs="David" w:hint="eastAsia"/>
          <w:sz w:val="20"/>
          <w:szCs w:val="20"/>
          <w:rtl/>
        </w:rPr>
        <w:t>בחירות</w:t>
      </w:r>
      <w:r w:rsidRPr="00EC7F41">
        <w:rPr>
          <w:rFonts w:cs="David"/>
          <w:sz w:val="20"/>
          <w:szCs w:val="20"/>
          <w:rtl/>
        </w:rPr>
        <w:t xml:space="preserve"> </w:t>
      </w:r>
      <w:r w:rsidRPr="00EC7F41">
        <w:rPr>
          <w:rFonts w:cs="David" w:hint="eastAsia"/>
          <w:sz w:val="20"/>
          <w:szCs w:val="20"/>
          <w:rtl/>
        </w:rPr>
        <w:t>האישית</w:t>
      </w:r>
      <w:r w:rsidRPr="00EC7F41">
        <w:rPr>
          <w:rFonts w:cs="David"/>
          <w:sz w:val="20"/>
          <w:szCs w:val="20"/>
          <w:rtl/>
        </w:rPr>
        <w:t xml:space="preserve"> </w:t>
      </w:r>
      <w:r w:rsidRPr="00EC7F41">
        <w:rPr>
          <w:rFonts w:cs="David" w:hint="eastAsia"/>
          <w:sz w:val="20"/>
          <w:szCs w:val="20"/>
          <w:rtl/>
        </w:rPr>
        <w:t>של</w:t>
      </w:r>
      <w:r w:rsidRPr="00EC7F41">
        <w:rPr>
          <w:rFonts w:cs="David"/>
          <w:sz w:val="20"/>
          <w:szCs w:val="20"/>
          <w:rtl/>
        </w:rPr>
        <w:t xml:space="preserve"> </w:t>
      </w:r>
      <w:r w:rsidRPr="00EC7F41">
        <w:rPr>
          <w:rFonts w:cs="David" w:hint="eastAsia"/>
          <w:sz w:val="20"/>
          <w:szCs w:val="20"/>
          <w:rtl/>
        </w:rPr>
        <w:t>האסירים</w:t>
      </w:r>
      <w:r w:rsidRPr="00EC7F41">
        <w:rPr>
          <w:rFonts w:cs="David"/>
          <w:sz w:val="20"/>
          <w:szCs w:val="20"/>
          <w:rtl/>
        </w:rPr>
        <w:t xml:space="preserve">. </w:t>
      </w:r>
      <w:r w:rsidRPr="00EC7F41">
        <w:rPr>
          <w:rFonts w:cs="David" w:hint="eastAsia"/>
          <w:sz w:val="20"/>
          <w:szCs w:val="20"/>
          <w:rtl/>
        </w:rPr>
        <w:t>סמכויות</w:t>
      </w:r>
      <w:r w:rsidRPr="00EC7F41">
        <w:rPr>
          <w:rFonts w:cs="David"/>
          <w:sz w:val="20"/>
          <w:szCs w:val="20"/>
          <w:rtl/>
        </w:rPr>
        <w:t xml:space="preserve"> </w:t>
      </w:r>
      <w:r w:rsidRPr="00EC7F41">
        <w:rPr>
          <w:rFonts w:cs="David" w:hint="eastAsia"/>
          <w:sz w:val="20"/>
          <w:szCs w:val="20"/>
          <w:rtl/>
        </w:rPr>
        <w:t>אלו</w:t>
      </w:r>
      <w:r w:rsidRPr="00EC7F41">
        <w:rPr>
          <w:rFonts w:cs="David"/>
          <w:sz w:val="20"/>
          <w:szCs w:val="20"/>
          <w:rtl/>
        </w:rPr>
        <w:t xml:space="preserve"> </w:t>
      </w:r>
      <w:r w:rsidRPr="00EC7F41">
        <w:rPr>
          <w:rFonts w:cs="David" w:hint="eastAsia"/>
          <w:sz w:val="20"/>
          <w:szCs w:val="20"/>
          <w:rtl/>
        </w:rPr>
        <w:t>אינן</w:t>
      </w:r>
      <w:r w:rsidRPr="00EC7F41">
        <w:rPr>
          <w:rFonts w:cs="David"/>
          <w:sz w:val="20"/>
          <w:szCs w:val="20"/>
          <w:rtl/>
        </w:rPr>
        <w:t xml:space="preserve"> </w:t>
      </w:r>
      <w:r w:rsidRPr="00EC7F41">
        <w:rPr>
          <w:rFonts w:cs="David" w:hint="eastAsia"/>
          <w:sz w:val="20"/>
          <w:szCs w:val="20"/>
          <w:rtl/>
        </w:rPr>
        <w:t>שונות</w:t>
      </w:r>
      <w:r w:rsidRPr="00EC7F41">
        <w:rPr>
          <w:rFonts w:cs="David"/>
          <w:sz w:val="20"/>
          <w:szCs w:val="20"/>
          <w:rtl/>
        </w:rPr>
        <w:t xml:space="preserve"> </w:t>
      </w:r>
      <w:r w:rsidRPr="00EC7F41">
        <w:rPr>
          <w:rFonts w:cs="David" w:hint="eastAsia"/>
          <w:sz w:val="20"/>
          <w:szCs w:val="20"/>
          <w:rtl/>
        </w:rPr>
        <w:t>במהותן</w:t>
      </w:r>
      <w:r w:rsidRPr="00EC7F41">
        <w:rPr>
          <w:rFonts w:cs="David"/>
          <w:sz w:val="20"/>
          <w:szCs w:val="20"/>
          <w:rtl/>
        </w:rPr>
        <w:t xml:space="preserve"> </w:t>
      </w:r>
      <w:r w:rsidRPr="00EC7F41">
        <w:rPr>
          <w:rFonts w:cs="David" w:hint="eastAsia"/>
          <w:sz w:val="20"/>
          <w:szCs w:val="20"/>
          <w:rtl/>
        </w:rPr>
        <w:t>מהסמכויות</w:t>
      </w:r>
      <w:r w:rsidRPr="00EC7F41">
        <w:rPr>
          <w:rFonts w:cs="David"/>
          <w:sz w:val="20"/>
          <w:szCs w:val="20"/>
          <w:rtl/>
        </w:rPr>
        <w:t xml:space="preserve"> </w:t>
      </w:r>
      <w:r w:rsidRPr="00EC7F41">
        <w:rPr>
          <w:rFonts w:cs="David" w:hint="eastAsia"/>
          <w:sz w:val="20"/>
          <w:szCs w:val="20"/>
          <w:rtl/>
        </w:rPr>
        <w:t>המוקנות</w:t>
      </w:r>
      <w:r w:rsidRPr="00EC7F41">
        <w:rPr>
          <w:rFonts w:cs="David"/>
          <w:sz w:val="20"/>
          <w:szCs w:val="20"/>
          <w:rtl/>
        </w:rPr>
        <w:t xml:space="preserve"> </w:t>
      </w:r>
      <w:r w:rsidRPr="00EC7F41">
        <w:rPr>
          <w:rFonts w:cs="David" w:hint="eastAsia"/>
          <w:sz w:val="20"/>
          <w:szCs w:val="20"/>
          <w:rtl/>
        </w:rPr>
        <w:t>לעובדים</w:t>
      </w:r>
      <w:r w:rsidRPr="00EC7F41">
        <w:rPr>
          <w:rFonts w:cs="David"/>
          <w:sz w:val="20"/>
          <w:szCs w:val="20"/>
          <w:rtl/>
        </w:rPr>
        <w:t xml:space="preserve"> </w:t>
      </w:r>
      <w:r w:rsidRPr="00EC7F41">
        <w:rPr>
          <w:rFonts w:cs="David" w:hint="eastAsia"/>
          <w:sz w:val="20"/>
          <w:szCs w:val="20"/>
          <w:rtl/>
        </w:rPr>
        <w:t>וסוהרים</w:t>
      </w:r>
      <w:r w:rsidRPr="00EC7F41">
        <w:rPr>
          <w:rFonts w:cs="David"/>
          <w:sz w:val="20"/>
          <w:szCs w:val="20"/>
          <w:rtl/>
        </w:rPr>
        <w:t xml:space="preserve"> </w:t>
      </w:r>
      <w:r w:rsidRPr="00EC7F41">
        <w:rPr>
          <w:rFonts w:cs="David" w:hint="eastAsia"/>
          <w:sz w:val="20"/>
          <w:szCs w:val="20"/>
          <w:rtl/>
        </w:rPr>
        <w:t>המשרתים</w:t>
      </w:r>
      <w:r w:rsidRPr="00EC7F41">
        <w:rPr>
          <w:rFonts w:cs="David"/>
          <w:sz w:val="20"/>
          <w:szCs w:val="20"/>
          <w:rtl/>
        </w:rPr>
        <w:t xml:space="preserve"> </w:t>
      </w:r>
      <w:r w:rsidRPr="00EC7F41">
        <w:rPr>
          <w:rFonts w:cs="David" w:hint="eastAsia"/>
          <w:sz w:val="20"/>
          <w:szCs w:val="20"/>
          <w:rtl/>
        </w:rPr>
        <w:t>בבתי</w:t>
      </w:r>
      <w:r w:rsidRPr="00EC7F41">
        <w:rPr>
          <w:rFonts w:cs="David"/>
          <w:sz w:val="20"/>
          <w:szCs w:val="20"/>
          <w:rtl/>
        </w:rPr>
        <w:t xml:space="preserve"> </w:t>
      </w:r>
      <w:r w:rsidRPr="00EC7F41">
        <w:rPr>
          <w:rFonts w:cs="David" w:hint="eastAsia"/>
          <w:sz w:val="20"/>
          <w:szCs w:val="20"/>
          <w:rtl/>
        </w:rPr>
        <w:t>הסוהר</w:t>
      </w:r>
      <w:r w:rsidRPr="00EC7F41">
        <w:rPr>
          <w:rFonts w:cs="David"/>
          <w:sz w:val="20"/>
          <w:szCs w:val="20"/>
          <w:rtl/>
        </w:rPr>
        <w:t xml:space="preserve"> </w:t>
      </w:r>
      <w:r w:rsidRPr="00EC7F41">
        <w:rPr>
          <w:rFonts w:cs="David" w:hint="eastAsia"/>
          <w:sz w:val="20"/>
          <w:szCs w:val="20"/>
          <w:rtl/>
        </w:rPr>
        <w:t>של</w:t>
      </w:r>
      <w:r w:rsidRPr="00EC7F41">
        <w:rPr>
          <w:rFonts w:cs="David"/>
          <w:sz w:val="20"/>
          <w:szCs w:val="20"/>
          <w:rtl/>
        </w:rPr>
        <w:t xml:space="preserve"> </w:t>
      </w:r>
      <w:r w:rsidRPr="00EC7F41">
        <w:rPr>
          <w:rFonts w:cs="David" w:hint="eastAsia"/>
          <w:sz w:val="20"/>
          <w:szCs w:val="20"/>
          <w:rtl/>
        </w:rPr>
        <w:t>שירות</w:t>
      </w:r>
      <w:r w:rsidRPr="00EC7F41">
        <w:rPr>
          <w:rFonts w:cs="David"/>
          <w:sz w:val="20"/>
          <w:szCs w:val="20"/>
          <w:rtl/>
        </w:rPr>
        <w:t xml:space="preserve"> </w:t>
      </w:r>
      <w:r w:rsidRPr="00EC7F41">
        <w:rPr>
          <w:rFonts w:cs="David" w:hint="eastAsia"/>
          <w:sz w:val="20"/>
          <w:szCs w:val="20"/>
          <w:rtl/>
        </w:rPr>
        <w:t>בתי</w:t>
      </w:r>
      <w:r w:rsidRPr="00EC7F41">
        <w:rPr>
          <w:rFonts w:cs="David"/>
          <w:sz w:val="20"/>
          <w:szCs w:val="20"/>
          <w:rtl/>
        </w:rPr>
        <w:t xml:space="preserve"> </w:t>
      </w:r>
      <w:r w:rsidRPr="00EC7F41">
        <w:rPr>
          <w:rFonts w:cs="David" w:hint="eastAsia"/>
          <w:sz w:val="20"/>
          <w:szCs w:val="20"/>
          <w:rtl/>
        </w:rPr>
        <w:t>הסוהר</w:t>
      </w:r>
      <w:r w:rsidRPr="00EC7F41">
        <w:rPr>
          <w:rFonts w:cs="David"/>
          <w:sz w:val="20"/>
          <w:szCs w:val="20"/>
          <w:rtl/>
        </w:rPr>
        <w:t xml:space="preserve">. </w:t>
      </w:r>
      <w:r w:rsidRPr="00EC7F41">
        <w:rPr>
          <w:rFonts w:cs="David" w:hint="eastAsia"/>
          <w:sz w:val="20"/>
          <w:szCs w:val="20"/>
          <w:rtl/>
        </w:rPr>
        <w:t>במקרים</w:t>
      </w:r>
      <w:r w:rsidRPr="00EC7F41">
        <w:rPr>
          <w:rFonts w:cs="David"/>
          <w:sz w:val="20"/>
          <w:szCs w:val="20"/>
          <w:rtl/>
        </w:rPr>
        <w:t xml:space="preserve"> </w:t>
      </w:r>
      <w:r w:rsidRPr="00EC7F41">
        <w:rPr>
          <w:rFonts w:cs="David" w:hint="eastAsia"/>
          <w:sz w:val="20"/>
          <w:szCs w:val="20"/>
          <w:rtl/>
        </w:rPr>
        <w:t>אחדים</w:t>
      </w:r>
      <w:r w:rsidRPr="00EC7F41">
        <w:rPr>
          <w:rFonts w:cs="David"/>
          <w:sz w:val="20"/>
          <w:szCs w:val="20"/>
          <w:rtl/>
        </w:rPr>
        <w:t xml:space="preserve"> </w:t>
      </w:r>
      <w:r w:rsidRPr="00EC7F41">
        <w:rPr>
          <w:rFonts w:cs="David" w:hint="eastAsia"/>
          <w:sz w:val="20"/>
          <w:szCs w:val="20"/>
          <w:rtl/>
        </w:rPr>
        <w:t>אף</w:t>
      </w:r>
      <w:r w:rsidRPr="00EC7F41">
        <w:rPr>
          <w:rFonts w:cs="David"/>
          <w:sz w:val="20"/>
          <w:szCs w:val="20"/>
          <w:rtl/>
        </w:rPr>
        <w:t xml:space="preserve"> </w:t>
      </w:r>
      <w:r w:rsidRPr="00EC7F41">
        <w:rPr>
          <w:rFonts w:cs="David" w:hint="eastAsia"/>
          <w:sz w:val="20"/>
          <w:szCs w:val="20"/>
          <w:rtl/>
        </w:rPr>
        <w:t>צומצמו</w:t>
      </w:r>
      <w:r w:rsidRPr="00EC7F41">
        <w:rPr>
          <w:rFonts w:cs="David"/>
          <w:sz w:val="20"/>
          <w:szCs w:val="20"/>
          <w:rtl/>
        </w:rPr>
        <w:t xml:space="preserve"> </w:t>
      </w:r>
      <w:r w:rsidRPr="00EC7F41">
        <w:rPr>
          <w:rFonts w:cs="David" w:hint="cs"/>
          <w:sz w:val="20"/>
          <w:szCs w:val="20"/>
          <w:rtl/>
        </w:rPr>
        <w:t>הסמכויות</w:t>
      </w:r>
      <w:r w:rsidRPr="00EC7F41">
        <w:rPr>
          <w:rFonts w:cs="David"/>
          <w:sz w:val="20"/>
          <w:szCs w:val="20"/>
          <w:rtl/>
        </w:rPr>
        <w:t xml:space="preserve"> </w:t>
      </w:r>
      <w:r w:rsidRPr="00EC7F41">
        <w:rPr>
          <w:rFonts w:cs="David" w:hint="eastAsia"/>
          <w:sz w:val="20"/>
          <w:szCs w:val="20"/>
          <w:rtl/>
        </w:rPr>
        <w:t>במקצת</w:t>
      </w:r>
      <w:r w:rsidRPr="00EC7F41">
        <w:rPr>
          <w:rFonts w:cs="David" w:hint="cs"/>
          <w:sz w:val="20"/>
          <w:szCs w:val="20"/>
          <w:rtl/>
        </w:rPr>
        <w:t xml:space="preserve">. </w:t>
      </w:r>
    </w:p>
    <w:p w:rsidR="005366A8" w:rsidRPr="00EC7F41" w:rsidRDefault="005366A8" w:rsidP="005366A8">
      <w:pPr>
        <w:spacing w:after="60"/>
        <w:ind w:firstLine="720"/>
        <w:rPr>
          <w:rFonts w:cs="David"/>
          <w:sz w:val="20"/>
          <w:szCs w:val="20"/>
          <w:rtl/>
        </w:rPr>
      </w:pPr>
      <w:r w:rsidRPr="00EC7F41">
        <w:rPr>
          <w:rFonts w:cs="David" w:hint="cs"/>
          <w:sz w:val="20"/>
          <w:szCs w:val="20"/>
          <w:rtl/>
        </w:rPr>
        <w:t>עם זאת</w:t>
      </w:r>
      <w:r w:rsidRPr="00EC7F41">
        <w:rPr>
          <w:rFonts w:cs="David"/>
          <w:sz w:val="20"/>
          <w:szCs w:val="20"/>
          <w:rtl/>
        </w:rPr>
        <w:t xml:space="preserve"> </w:t>
      </w:r>
      <w:r w:rsidRPr="00EC7F41">
        <w:rPr>
          <w:rFonts w:cs="David" w:hint="eastAsia"/>
          <w:sz w:val="20"/>
          <w:szCs w:val="20"/>
          <w:rtl/>
        </w:rPr>
        <w:t>הנשיאה</w:t>
      </w:r>
      <w:r w:rsidRPr="00EC7F41">
        <w:rPr>
          <w:rFonts w:cs="David" w:hint="cs"/>
          <w:sz w:val="20"/>
          <w:szCs w:val="20"/>
          <w:rtl/>
        </w:rPr>
        <w:t xml:space="preserve"> סברה</w:t>
      </w:r>
      <w:r w:rsidRPr="00EC7F41">
        <w:rPr>
          <w:rFonts w:cs="David"/>
          <w:sz w:val="20"/>
          <w:szCs w:val="20"/>
          <w:rtl/>
        </w:rPr>
        <w:t xml:space="preserve"> </w:t>
      </w:r>
      <w:r w:rsidRPr="00EC7F41">
        <w:rPr>
          <w:rFonts w:cs="David" w:hint="eastAsia"/>
          <w:sz w:val="20"/>
          <w:szCs w:val="20"/>
          <w:rtl/>
        </w:rPr>
        <w:t>שעצם</w:t>
      </w:r>
      <w:r w:rsidRPr="00EC7F41">
        <w:rPr>
          <w:rFonts w:cs="David"/>
          <w:sz w:val="20"/>
          <w:szCs w:val="20"/>
          <w:rtl/>
        </w:rPr>
        <w:t xml:space="preserve"> </w:t>
      </w:r>
      <w:r w:rsidRPr="00EC7F41">
        <w:rPr>
          <w:rFonts w:cs="David" w:hint="eastAsia"/>
          <w:sz w:val="20"/>
          <w:szCs w:val="20"/>
          <w:rtl/>
        </w:rPr>
        <w:t>העברת</w:t>
      </w:r>
      <w:r w:rsidRPr="00EC7F41">
        <w:rPr>
          <w:rFonts w:cs="David"/>
          <w:sz w:val="20"/>
          <w:szCs w:val="20"/>
          <w:rtl/>
        </w:rPr>
        <w:t xml:space="preserve"> </w:t>
      </w:r>
      <w:r w:rsidRPr="00EC7F41">
        <w:rPr>
          <w:rFonts w:cs="David" w:hint="eastAsia"/>
          <w:sz w:val="20"/>
          <w:szCs w:val="20"/>
          <w:rtl/>
        </w:rPr>
        <w:t>סמכויות</w:t>
      </w:r>
      <w:r w:rsidRPr="00EC7F41">
        <w:rPr>
          <w:rFonts w:cs="David"/>
          <w:sz w:val="20"/>
          <w:szCs w:val="20"/>
          <w:rtl/>
        </w:rPr>
        <w:t xml:space="preserve"> </w:t>
      </w:r>
      <w:r w:rsidRPr="00EC7F41">
        <w:rPr>
          <w:rFonts w:cs="David" w:hint="eastAsia"/>
          <w:sz w:val="20"/>
          <w:szCs w:val="20"/>
          <w:rtl/>
        </w:rPr>
        <w:t>הניהול</w:t>
      </w:r>
      <w:r w:rsidRPr="00EC7F41">
        <w:rPr>
          <w:rFonts w:cs="David"/>
          <w:sz w:val="20"/>
          <w:szCs w:val="20"/>
          <w:rtl/>
        </w:rPr>
        <w:t xml:space="preserve"> </w:t>
      </w:r>
      <w:r w:rsidRPr="00EC7F41">
        <w:rPr>
          <w:rFonts w:cs="David" w:hint="eastAsia"/>
          <w:sz w:val="20"/>
          <w:szCs w:val="20"/>
          <w:rtl/>
        </w:rPr>
        <w:t>וההפעלה</w:t>
      </w:r>
      <w:r w:rsidRPr="00EC7F41">
        <w:rPr>
          <w:rFonts w:cs="David"/>
          <w:sz w:val="20"/>
          <w:szCs w:val="20"/>
          <w:rtl/>
        </w:rPr>
        <w:t xml:space="preserve"> </w:t>
      </w:r>
      <w:r w:rsidRPr="00EC7F41">
        <w:rPr>
          <w:rFonts w:cs="David" w:hint="eastAsia"/>
          <w:sz w:val="20"/>
          <w:szCs w:val="20"/>
          <w:rtl/>
        </w:rPr>
        <w:t>של</w:t>
      </w:r>
      <w:r w:rsidRPr="00EC7F41">
        <w:rPr>
          <w:rFonts w:cs="David"/>
          <w:sz w:val="20"/>
          <w:szCs w:val="20"/>
          <w:rtl/>
        </w:rPr>
        <w:t xml:space="preserve"> </w:t>
      </w:r>
      <w:r w:rsidRPr="00EC7F41">
        <w:rPr>
          <w:rFonts w:cs="David" w:hint="eastAsia"/>
          <w:sz w:val="20"/>
          <w:szCs w:val="20"/>
          <w:rtl/>
        </w:rPr>
        <w:t>בית</w:t>
      </w:r>
      <w:r w:rsidRPr="00EC7F41">
        <w:rPr>
          <w:rFonts w:cs="David"/>
          <w:sz w:val="20"/>
          <w:szCs w:val="20"/>
          <w:rtl/>
        </w:rPr>
        <w:t xml:space="preserve"> </w:t>
      </w:r>
      <w:r w:rsidRPr="00EC7F41">
        <w:rPr>
          <w:rFonts w:cs="David" w:hint="eastAsia"/>
          <w:sz w:val="20"/>
          <w:szCs w:val="20"/>
          <w:rtl/>
        </w:rPr>
        <w:t>הסוהר</w:t>
      </w:r>
      <w:r w:rsidRPr="00EC7F41">
        <w:rPr>
          <w:rFonts w:cs="David"/>
          <w:sz w:val="20"/>
          <w:szCs w:val="20"/>
          <w:rtl/>
        </w:rPr>
        <w:t xml:space="preserve"> </w:t>
      </w:r>
      <w:r w:rsidRPr="00EC7F41">
        <w:rPr>
          <w:rFonts w:cs="David" w:hint="eastAsia"/>
          <w:sz w:val="20"/>
          <w:szCs w:val="20"/>
          <w:rtl/>
        </w:rPr>
        <w:t>מידי</w:t>
      </w:r>
      <w:r w:rsidRPr="00EC7F41">
        <w:rPr>
          <w:rFonts w:cs="David"/>
          <w:sz w:val="20"/>
          <w:szCs w:val="20"/>
          <w:rtl/>
        </w:rPr>
        <w:t xml:space="preserve"> </w:t>
      </w:r>
      <w:r w:rsidRPr="00EC7F41">
        <w:rPr>
          <w:rFonts w:cs="David" w:hint="eastAsia"/>
          <w:sz w:val="20"/>
          <w:szCs w:val="20"/>
          <w:rtl/>
        </w:rPr>
        <w:t>המדינה</w:t>
      </w:r>
      <w:r w:rsidRPr="00EC7F41">
        <w:rPr>
          <w:rFonts w:cs="David"/>
          <w:sz w:val="20"/>
          <w:szCs w:val="20"/>
          <w:rtl/>
        </w:rPr>
        <w:t xml:space="preserve"> </w:t>
      </w:r>
      <w:r w:rsidRPr="00EC7F41">
        <w:rPr>
          <w:rFonts w:cs="David" w:hint="eastAsia"/>
          <w:sz w:val="20"/>
          <w:szCs w:val="20"/>
          <w:rtl/>
        </w:rPr>
        <w:t>לידי</w:t>
      </w:r>
      <w:r w:rsidRPr="00EC7F41">
        <w:rPr>
          <w:rFonts w:cs="David"/>
          <w:sz w:val="20"/>
          <w:szCs w:val="20"/>
          <w:rtl/>
        </w:rPr>
        <w:t xml:space="preserve"> </w:t>
      </w:r>
      <w:r w:rsidRPr="00EC7F41">
        <w:rPr>
          <w:rFonts w:cs="David" w:hint="eastAsia"/>
          <w:sz w:val="20"/>
          <w:szCs w:val="20"/>
          <w:rtl/>
        </w:rPr>
        <w:t>תאגיד</w:t>
      </w:r>
      <w:r w:rsidRPr="00EC7F41">
        <w:rPr>
          <w:rFonts w:cs="David"/>
          <w:sz w:val="20"/>
          <w:szCs w:val="20"/>
          <w:rtl/>
        </w:rPr>
        <w:t xml:space="preserve"> </w:t>
      </w:r>
      <w:r w:rsidRPr="00EC7F41">
        <w:rPr>
          <w:rFonts w:cs="David" w:hint="eastAsia"/>
          <w:sz w:val="20"/>
          <w:szCs w:val="20"/>
          <w:rtl/>
        </w:rPr>
        <w:t>פרטי</w:t>
      </w:r>
      <w:r w:rsidRPr="00EC7F41">
        <w:rPr>
          <w:rFonts w:cs="David" w:hint="cs"/>
          <w:sz w:val="20"/>
          <w:szCs w:val="20"/>
          <w:rtl/>
        </w:rPr>
        <w:t>,</w:t>
      </w:r>
      <w:r w:rsidRPr="00EC7F41">
        <w:rPr>
          <w:rFonts w:cs="David"/>
          <w:sz w:val="20"/>
          <w:szCs w:val="20"/>
          <w:rtl/>
        </w:rPr>
        <w:t xml:space="preserve"> </w:t>
      </w:r>
      <w:r w:rsidRPr="00EC7F41">
        <w:rPr>
          <w:rFonts w:cs="David" w:hint="eastAsia"/>
          <w:sz w:val="20"/>
          <w:szCs w:val="20"/>
          <w:rtl/>
        </w:rPr>
        <w:t>המונע</w:t>
      </w:r>
      <w:r w:rsidRPr="00EC7F41">
        <w:rPr>
          <w:rFonts w:cs="David"/>
          <w:sz w:val="20"/>
          <w:szCs w:val="20"/>
          <w:rtl/>
        </w:rPr>
        <w:t xml:space="preserve"> </w:t>
      </w:r>
      <w:r w:rsidRPr="00EC7F41">
        <w:rPr>
          <w:rFonts w:cs="David" w:hint="eastAsia"/>
          <w:sz w:val="20"/>
          <w:szCs w:val="20"/>
          <w:rtl/>
        </w:rPr>
        <w:t>משיקולים</w:t>
      </w:r>
      <w:r w:rsidRPr="00EC7F41">
        <w:rPr>
          <w:rFonts w:cs="David"/>
          <w:sz w:val="20"/>
          <w:szCs w:val="20"/>
          <w:rtl/>
        </w:rPr>
        <w:t xml:space="preserve"> </w:t>
      </w:r>
      <w:r w:rsidRPr="00EC7F41">
        <w:rPr>
          <w:rFonts w:cs="David" w:hint="eastAsia"/>
          <w:sz w:val="20"/>
          <w:szCs w:val="20"/>
          <w:rtl/>
        </w:rPr>
        <w:t>כלכליים</w:t>
      </w:r>
      <w:r w:rsidRPr="00EC7F41">
        <w:rPr>
          <w:rFonts w:cs="David"/>
          <w:sz w:val="20"/>
          <w:szCs w:val="20"/>
          <w:rtl/>
        </w:rPr>
        <w:t xml:space="preserve"> </w:t>
      </w:r>
      <w:r w:rsidRPr="00EC7F41">
        <w:rPr>
          <w:rFonts w:cs="David" w:hint="eastAsia"/>
          <w:sz w:val="20"/>
          <w:szCs w:val="20"/>
          <w:rtl/>
        </w:rPr>
        <w:t>של</w:t>
      </w:r>
      <w:r w:rsidRPr="00EC7F41">
        <w:rPr>
          <w:rFonts w:cs="David"/>
          <w:sz w:val="20"/>
          <w:szCs w:val="20"/>
          <w:rtl/>
        </w:rPr>
        <w:t xml:space="preserve"> </w:t>
      </w:r>
      <w:r w:rsidRPr="00EC7F41">
        <w:rPr>
          <w:rFonts w:cs="David" w:hint="eastAsia"/>
          <w:sz w:val="20"/>
          <w:szCs w:val="20"/>
          <w:rtl/>
        </w:rPr>
        <w:t>רווח</w:t>
      </w:r>
      <w:r w:rsidRPr="00EC7F41">
        <w:rPr>
          <w:rFonts w:cs="David"/>
          <w:sz w:val="20"/>
          <w:szCs w:val="20"/>
          <w:rtl/>
        </w:rPr>
        <w:t xml:space="preserve"> </w:t>
      </w:r>
      <w:r w:rsidRPr="00EC7F41">
        <w:rPr>
          <w:rFonts w:cs="David" w:hint="eastAsia"/>
          <w:sz w:val="20"/>
          <w:szCs w:val="20"/>
          <w:rtl/>
        </w:rPr>
        <w:t>והפסד</w:t>
      </w:r>
      <w:r w:rsidRPr="00EC7F41">
        <w:rPr>
          <w:rFonts w:cs="David" w:hint="cs"/>
          <w:sz w:val="20"/>
          <w:szCs w:val="20"/>
          <w:rtl/>
        </w:rPr>
        <w:t>,</w:t>
      </w:r>
      <w:r w:rsidRPr="00EC7F41">
        <w:rPr>
          <w:rFonts w:cs="David"/>
          <w:sz w:val="20"/>
          <w:szCs w:val="20"/>
          <w:rtl/>
        </w:rPr>
        <w:t xml:space="preserve"> </w:t>
      </w:r>
      <w:r w:rsidRPr="00EC7F41">
        <w:rPr>
          <w:rFonts w:cs="David" w:hint="eastAsia"/>
          <w:sz w:val="20"/>
          <w:szCs w:val="20"/>
          <w:rtl/>
        </w:rPr>
        <w:t>מהווה</w:t>
      </w:r>
      <w:r w:rsidRPr="00EC7F41">
        <w:rPr>
          <w:rFonts w:cs="David"/>
          <w:sz w:val="20"/>
          <w:szCs w:val="20"/>
          <w:rtl/>
        </w:rPr>
        <w:t xml:space="preserve"> </w:t>
      </w:r>
      <w:r w:rsidRPr="00EC7F41">
        <w:rPr>
          <w:rFonts w:cs="David" w:hint="eastAsia"/>
          <w:sz w:val="20"/>
          <w:szCs w:val="20"/>
          <w:rtl/>
        </w:rPr>
        <w:t>פגיעה</w:t>
      </w:r>
      <w:r w:rsidRPr="00EC7F41">
        <w:rPr>
          <w:rFonts w:cs="David"/>
          <w:sz w:val="20"/>
          <w:szCs w:val="20"/>
          <w:rtl/>
        </w:rPr>
        <w:t xml:space="preserve"> </w:t>
      </w:r>
      <w:r w:rsidRPr="00EC7F41">
        <w:rPr>
          <w:rFonts w:cs="David" w:hint="eastAsia"/>
          <w:sz w:val="20"/>
          <w:szCs w:val="20"/>
          <w:rtl/>
        </w:rPr>
        <w:t>נוספת</w:t>
      </w:r>
      <w:r w:rsidRPr="00EC7F41">
        <w:rPr>
          <w:rFonts w:cs="David"/>
          <w:sz w:val="20"/>
          <w:szCs w:val="20"/>
          <w:rtl/>
        </w:rPr>
        <w:t xml:space="preserve"> </w:t>
      </w:r>
      <w:r w:rsidRPr="00EC7F41">
        <w:rPr>
          <w:rFonts w:cs="David" w:hint="eastAsia"/>
          <w:sz w:val="20"/>
          <w:szCs w:val="20"/>
          <w:rtl/>
        </w:rPr>
        <w:t>ועצמאית</w:t>
      </w:r>
      <w:r w:rsidRPr="00EC7F41">
        <w:rPr>
          <w:rFonts w:cs="David"/>
          <w:sz w:val="20"/>
          <w:szCs w:val="20"/>
          <w:rtl/>
        </w:rPr>
        <w:t xml:space="preserve"> </w:t>
      </w:r>
      <w:r w:rsidRPr="00EC7F41">
        <w:rPr>
          <w:rFonts w:cs="David" w:hint="eastAsia"/>
          <w:sz w:val="20"/>
          <w:szCs w:val="20"/>
          <w:rtl/>
        </w:rPr>
        <w:t>בחירות</w:t>
      </w:r>
      <w:r w:rsidRPr="00EC7F41">
        <w:rPr>
          <w:rFonts w:cs="David"/>
          <w:sz w:val="20"/>
          <w:szCs w:val="20"/>
          <w:rtl/>
        </w:rPr>
        <w:t xml:space="preserve"> </w:t>
      </w:r>
      <w:r w:rsidRPr="00EC7F41">
        <w:rPr>
          <w:rFonts w:cs="David" w:hint="eastAsia"/>
          <w:sz w:val="20"/>
          <w:szCs w:val="20"/>
          <w:rtl/>
        </w:rPr>
        <w:t>האישית</w:t>
      </w:r>
      <w:r w:rsidRPr="00EC7F41">
        <w:rPr>
          <w:rFonts w:cs="David"/>
          <w:sz w:val="20"/>
          <w:szCs w:val="20"/>
          <w:rtl/>
        </w:rPr>
        <w:t xml:space="preserve"> </w:t>
      </w:r>
      <w:r w:rsidRPr="00EC7F41">
        <w:rPr>
          <w:rFonts w:cs="David" w:hint="eastAsia"/>
          <w:sz w:val="20"/>
          <w:szCs w:val="20"/>
          <w:rtl/>
        </w:rPr>
        <w:t>של</w:t>
      </w:r>
      <w:r w:rsidRPr="00EC7F41">
        <w:rPr>
          <w:rFonts w:cs="David"/>
          <w:sz w:val="20"/>
          <w:szCs w:val="20"/>
          <w:rtl/>
        </w:rPr>
        <w:t xml:space="preserve"> </w:t>
      </w:r>
      <w:r w:rsidRPr="00EC7F41">
        <w:rPr>
          <w:rFonts w:cs="David" w:hint="eastAsia"/>
          <w:sz w:val="20"/>
          <w:szCs w:val="20"/>
          <w:rtl/>
        </w:rPr>
        <w:t>האסירים</w:t>
      </w:r>
      <w:r w:rsidRPr="00EC7F41">
        <w:rPr>
          <w:rFonts w:cs="David"/>
          <w:sz w:val="20"/>
          <w:szCs w:val="20"/>
          <w:rtl/>
        </w:rPr>
        <w:t xml:space="preserve">. </w:t>
      </w:r>
      <w:r w:rsidRPr="00EC7F41">
        <w:rPr>
          <w:rFonts w:cs="David" w:hint="eastAsia"/>
          <w:sz w:val="20"/>
          <w:szCs w:val="20"/>
          <w:rtl/>
        </w:rPr>
        <w:t>ודוק</w:t>
      </w:r>
      <w:r w:rsidRPr="00EC7F41">
        <w:rPr>
          <w:rFonts w:cs="David" w:hint="cs"/>
          <w:sz w:val="20"/>
          <w:szCs w:val="20"/>
          <w:rtl/>
        </w:rPr>
        <w:t>,</w:t>
      </w:r>
      <w:r w:rsidRPr="00EC7F41">
        <w:rPr>
          <w:rFonts w:cs="David"/>
          <w:sz w:val="20"/>
          <w:szCs w:val="20"/>
          <w:rtl/>
        </w:rPr>
        <w:t xml:space="preserve"> </w:t>
      </w:r>
      <w:r w:rsidRPr="00EC7F41">
        <w:rPr>
          <w:rFonts w:cs="David" w:hint="eastAsia"/>
          <w:sz w:val="20"/>
          <w:szCs w:val="20"/>
          <w:rtl/>
        </w:rPr>
        <w:t>לשיטתה</w:t>
      </w:r>
      <w:r w:rsidRPr="00EC7F41">
        <w:rPr>
          <w:rFonts w:cs="David"/>
          <w:sz w:val="20"/>
          <w:szCs w:val="20"/>
          <w:rtl/>
        </w:rPr>
        <w:t xml:space="preserve"> </w:t>
      </w:r>
      <w:r w:rsidRPr="00EC7F41">
        <w:rPr>
          <w:rFonts w:cs="David" w:hint="eastAsia"/>
          <w:sz w:val="20"/>
          <w:szCs w:val="20"/>
          <w:rtl/>
        </w:rPr>
        <w:t>של</w:t>
      </w:r>
      <w:r w:rsidRPr="00EC7F41">
        <w:rPr>
          <w:rFonts w:cs="David"/>
          <w:sz w:val="20"/>
          <w:szCs w:val="20"/>
          <w:rtl/>
        </w:rPr>
        <w:t xml:space="preserve"> </w:t>
      </w:r>
      <w:r w:rsidRPr="00EC7F41">
        <w:rPr>
          <w:rFonts w:cs="David" w:hint="cs"/>
          <w:sz w:val="20"/>
          <w:szCs w:val="20"/>
          <w:rtl/>
        </w:rPr>
        <w:t>הנשיאה</w:t>
      </w:r>
      <w:r w:rsidRPr="00EC7F41">
        <w:rPr>
          <w:rFonts w:cs="David"/>
          <w:sz w:val="20"/>
          <w:szCs w:val="20"/>
          <w:rtl/>
        </w:rPr>
        <w:t xml:space="preserve"> </w:t>
      </w:r>
      <w:r w:rsidRPr="00EC7F41">
        <w:rPr>
          <w:rFonts w:cs="David" w:hint="eastAsia"/>
          <w:sz w:val="20"/>
          <w:szCs w:val="20"/>
          <w:rtl/>
        </w:rPr>
        <w:t>מיהותו</w:t>
      </w:r>
      <w:r w:rsidRPr="00EC7F41">
        <w:rPr>
          <w:rFonts w:cs="David"/>
          <w:sz w:val="20"/>
          <w:szCs w:val="20"/>
          <w:rtl/>
        </w:rPr>
        <w:t xml:space="preserve"> </w:t>
      </w:r>
      <w:r w:rsidRPr="00EC7F41">
        <w:rPr>
          <w:rFonts w:cs="David" w:hint="eastAsia"/>
          <w:sz w:val="20"/>
          <w:szCs w:val="20"/>
          <w:rtl/>
        </w:rPr>
        <w:t>של</w:t>
      </w:r>
      <w:r w:rsidRPr="00EC7F41">
        <w:rPr>
          <w:rFonts w:cs="David"/>
          <w:sz w:val="20"/>
          <w:szCs w:val="20"/>
          <w:rtl/>
        </w:rPr>
        <w:t xml:space="preserve"> </w:t>
      </w:r>
      <w:r w:rsidRPr="00EC7F41">
        <w:rPr>
          <w:rFonts w:cs="David" w:hint="eastAsia"/>
          <w:sz w:val="20"/>
          <w:szCs w:val="20"/>
          <w:rtl/>
        </w:rPr>
        <w:t>הפוגע</w:t>
      </w:r>
      <w:r w:rsidRPr="00EC7F41">
        <w:rPr>
          <w:rFonts w:cs="David"/>
          <w:sz w:val="20"/>
          <w:szCs w:val="20"/>
          <w:rtl/>
        </w:rPr>
        <w:t xml:space="preserve"> </w:t>
      </w:r>
      <w:r w:rsidRPr="00EC7F41">
        <w:rPr>
          <w:rFonts w:cs="David" w:hint="eastAsia"/>
          <w:sz w:val="20"/>
          <w:szCs w:val="20"/>
          <w:rtl/>
        </w:rPr>
        <w:t>מגבירה</w:t>
      </w:r>
      <w:r w:rsidRPr="00EC7F41">
        <w:rPr>
          <w:rFonts w:cs="David"/>
          <w:sz w:val="20"/>
          <w:szCs w:val="20"/>
          <w:rtl/>
        </w:rPr>
        <w:t xml:space="preserve"> </w:t>
      </w:r>
      <w:r w:rsidRPr="00EC7F41">
        <w:rPr>
          <w:rFonts w:cs="David" w:hint="eastAsia"/>
          <w:sz w:val="20"/>
          <w:szCs w:val="20"/>
          <w:rtl/>
        </w:rPr>
        <w:t>את</w:t>
      </w:r>
      <w:r w:rsidRPr="00EC7F41">
        <w:rPr>
          <w:rFonts w:cs="David"/>
          <w:sz w:val="20"/>
          <w:szCs w:val="20"/>
          <w:rtl/>
        </w:rPr>
        <w:t xml:space="preserve"> </w:t>
      </w:r>
      <w:r w:rsidRPr="00EC7F41">
        <w:rPr>
          <w:rFonts w:cs="David" w:hint="eastAsia"/>
          <w:sz w:val="20"/>
          <w:szCs w:val="20"/>
          <w:rtl/>
        </w:rPr>
        <w:t>עוצמת</w:t>
      </w:r>
      <w:r w:rsidRPr="00EC7F41">
        <w:rPr>
          <w:rFonts w:cs="David"/>
          <w:sz w:val="20"/>
          <w:szCs w:val="20"/>
          <w:rtl/>
        </w:rPr>
        <w:t xml:space="preserve"> </w:t>
      </w:r>
      <w:r w:rsidRPr="00EC7F41">
        <w:rPr>
          <w:rFonts w:cs="David" w:hint="eastAsia"/>
          <w:sz w:val="20"/>
          <w:szCs w:val="20"/>
          <w:rtl/>
        </w:rPr>
        <w:t>הפגיעה</w:t>
      </w:r>
      <w:r w:rsidRPr="00EC7F41">
        <w:rPr>
          <w:rFonts w:cs="David"/>
          <w:sz w:val="20"/>
          <w:szCs w:val="20"/>
          <w:rtl/>
        </w:rPr>
        <w:t xml:space="preserve"> </w:t>
      </w:r>
      <w:r w:rsidRPr="00EC7F41">
        <w:rPr>
          <w:rFonts w:cs="David" w:hint="eastAsia"/>
          <w:sz w:val="20"/>
          <w:szCs w:val="20"/>
          <w:rtl/>
        </w:rPr>
        <w:t>בחירות</w:t>
      </w:r>
      <w:r w:rsidRPr="00EC7F41">
        <w:rPr>
          <w:rFonts w:cs="David"/>
          <w:sz w:val="20"/>
          <w:szCs w:val="20"/>
          <w:rtl/>
        </w:rPr>
        <w:t xml:space="preserve"> </w:t>
      </w:r>
      <w:r w:rsidRPr="00EC7F41">
        <w:rPr>
          <w:rFonts w:cs="David" w:hint="eastAsia"/>
          <w:sz w:val="20"/>
          <w:szCs w:val="20"/>
          <w:rtl/>
        </w:rPr>
        <w:t>האישית</w:t>
      </w:r>
      <w:r w:rsidRPr="00EC7F41">
        <w:rPr>
          <w:rFonts w:cs="David"/>
          <w:sz w:val="20"/>
          <w:szCs w:val="20"/>
          <w:rtl/>
        </w:rPr>
        <w:t xml:space="preserve"> </w:t>
      </w:r>
      <w:r w:rsidRPr="00EC7F41">
        <w:rPr>
          <w:rFonts w:cs="David"/>
          <w:sz w:val="20"/>
          <w:szCs w:val="20"/>
          <w:highlight w:val="yellow"/>
          <w:rtl/>
        </w:rPr>
        <w:t>"</w:t>
      </w:r>
      <w:r w:rsidRPr="00EC7F41">
        <w:rPr>
          <w:rFonts w:cs="David" w:hint="eastAsia"/>
          <w:sz w:val="20"/>
          <w:szCs w:val="20"/>
          <w:highlight w:val="yellow"/>
          <w:rtl/>
        </w:rPr>
        <w:t>גם</w:t>
      </w:r>
      <w:r w:rsidRPr="00EC7F41">
        <w:rPr>
          <w:rFonts w:cs="David"/>
          <w:sz w:val="20"/>
          <w:szCs w:val="20"/>
          <w:highlight w:val="yellow"/>
          <w:rtl/>
        </w:rPr>
        <w:t xml:space="preserve"> </w:t>
      </w:r>
      <w:r w:rsidRPr="00EC7F41">
        <w:rPr>
          <w:rFonts w:cs="David" w:hint="eastAsia"/>
          <w:sz w:val="20"/>
          <w:szCs w:val="20"/>
          <w:highlight w:val="yellow"/>
          <w:rtl/>
        </w:rPr>
        <w:t>אם</w:t>
      </w:r>
      <w:r w:rsidRPr="00EC7F41">
        <w:rPr>
          <w:rFonts w:cs="David"/>
          <w:sz w:val="20"/>
          <w:szCs w:val="20"/>
          <w:highlight w:val="yellow"/>
          <w:rtl/>
        </w:rPr>
        <w:t xml:space="preserve"> </w:t>
      </w:r>
      <w:r w:rsidRPr="00EC7F41">
        <w:rPr>
          <w:rFonts w:cs="David" w:hint="eastAsia"/>
          <w:sz w:val="20"/>
          <w:szCs w:val="20"/>
          <w:highlight w:val="yellow"/>
          <w:rtl/>
        </w:rPr>
        <w:t>משך</w:t>
      </w:r>
      <w:r w:rsidRPr="00EC7F41">
        <w:rPr>
          <w:rFonts w:cs="David"/>
          <w:sz w:val="20"/>
          <w:szCs w:val="20"/>
          <w:highlight w:val="yellow"/>
          <w:rtl/>
        </w:rPr>
        <w:t xml:space="preserve"> </w:t>
      </w:r>
      <w:r w:rsidRPr="00EC7F41">
        <w:rPr>
          <w:rFonts w:cs="David" w:hint="eastAsia"/>
          <w:sz w:val="20"/>
          <w:szCs w:val="20"/>
          <w:highlight w:val="yellow"/>
          <w:rtl/>
        </w:rPr>
        <w:t>המאסר</w:t>
      </w:r>
      <w:r w:rsidRPr="00EC7F41">
        <w:rPr>
          <w:rFonts w:cs="David"/>
          <w:sz w:val="20"/>
          <w:szCs w:val="20"/>
          <w:highlight w:val="yellow"/>
          <w:rtl/>
        </w:rPr>
        <w:t xml:space="preserve"> </w:t>
      </w:r>
      <w:r w:rsidRPr="00EC7F41">
        <w:rPr>
          <w:rFonts w:cs="David" w:hint="eastAsia"/>
          <w:sz w:val="20"/>
          <w:szCs w:val="20"/>
          <w:highlight w:val="yellow"/>
          <w:rtl/>
        </w:rPr>
        <w:t>אותו</w:t>
      </w:r>
      <w:r w:rsidRPr="00EC7F41">
        <w:rPr>
          <w:rFonts w:cs="David"/>
          <w:sz w:val="20"/>
          <w:szCs w:val="20"/>
          <w:highlight w:val="yellow"/>
          <w:rtl/>
        </w:rPr>
        <w:t xml:space="preserve"> </w:t>
      </w:r>
      <w:r w:rsidRPr="00EC7F41">
        <w:rPr>
          <w:rFonts w:cs="David" w:hint="eastAsia"/>
          <w:sz w:val="20"/>
          <w:szCs w:val="20"/>
          <w:highlight w:val="yellow"/>
          <w:rtl/>
        </w:rPr>
        <w:t>מרצים</w:t>
      </w:r>
      <w:r w:rsidRPr="00EC7F41">
        <w:rPr>
          <w:rFonts w:cs="David"/>
          <w:sz w:val="20"/>
          <w:szCs w:val="20"/>
          <w:highlight w:val="yellow"/>
          <w:rtl/>
        </w:rPr>
        <w:t xml:space="preserve"> </w:t>
      </w:r>
      <w:r w:rsidRPr="00EC7F41">
        <w:rPr>
          <w:rFonts w:cs="David" w:hint="eastAsia"/>
          <w:sz w:val="20"/>
          <w:szCs w:val="20"/>
          <w:highlight w:val="yellow"/>
          <w:rtl/>
        </w:rPr>
        <w:t>שני</w:t>
      </w:r>
      <w:r w:rsidRPr="00EC7F41">
        <w:rPr>
          <w:rFonts w:cs="David"/>
          <w:sz w:val="20"/>
          <w:szCs w:val="20"/>
          <w:highlight w:val="yellow"/>
          <w:rtl/>
        </w:rPr>
        <w:t xml:space="preserve"> </w:t>
      </w:r>
      <w:r w:rsidRPr="00EC7F41">
        <w:rPr>
          <w:rFonts w:cs="David" w:hint="eastAsia"/>
          <w:sz w:val="20"/>
          <w:szCs w:val="20"/>
          <w:highlight w:val="yellow"/>
          <w:rtl/>
        </w:rPr>
        <w:t>האסירים</w:t>
      </w:r>
      <w:r w:rsidRPr="00EC7F41">
        <w:rPr>
          <w:rFonts w:cs="David"/>
          <w:sz w:val="20"/>
          <w:szCs w:val="20"/>
          <w:highlight w:val="yellow"/>
          <w:rtl/>
        </w:rPr>
        <w:t xml:space="preserve"> </w:t>
      </w:r>
      <w:r w:rsidRPr="00EC7F41">
        <w:rPr>
          <w:rFonts w:cs="David" w:hint="eastAsia"/>
          <w:sz w:val="20"/>
          <w:szCs w:val="20"/>
          <w:highlight w:val="yellow"/>
          <w:rtl/>
        </w:rPr>
        <w:t>הללו</w:t>
      </w:r>
      <w:r w:rsidRPr="00EC7F41">
        <w:rPr>
          <w:rFonts w:cs="David"/>
          <w:sz w:val="20"/>
          <w:szCs w:val="20"/>
          <w:highlight w:val="yellow"/>
          <w:rtl/>
        </w:rPr>
        <w:t xml:space="preserve"> </w:t>
      </w:r>
      <w:r w:rsidRPr="00EC7F41">
        <w:rPr>
          <w:rFonts w:cs="David" w:hint="eastAsia"/>
          <w:sz w:val="20"/>
          <w:szCs w:val="20"/>
          <w:highlight w:val="yellow"/>
          <w:rtl/>
        </w:rPr>
        <w:t>זהה</w:t>
      </w:r>
      <w:r w:rsidRPr="00EC7F41">
        <w:rPr>
          <w:rFonts w:cs="David"/>
          <w:sz w:val="20"/>
          <w:szCs w:val="20"/>
          <w:highlight w:val="yellow"/>
          <w:rtl/>
        </w:rPr>
        <w:t xml:space="preserve"> </w:t>
      </w:r>
      <w:r w:rsidRPr="00EC7F41">
        <w:rPr>
          <w:rFonts w:cs="David" w:hint="eastAsia"/>
          <w:sz w:val="20"/>
          <w:szCs w:val="20"/>
          <w:highlight w:val="yellow"/>
          <w:rtl/>
        </w:rPr>
        <w:t>וגם</w:t>
      </w:r>
      <w:r w:rsidRPr="00EC7F41">
        <w:rPr>
          <w:rFonts w:cs="David"/>
          <w:sz w:val="20"/>
          <w:szCs w:val="20"/>
          <w:highlight w:val="yellow"/>
          <w:rtl/>
        </w:rPr>
        <w:t xml:space="preserve"> </w:t>
      </w:r>
      <w:r w:rsidRPr="00EC7F41">
        <w:rPr>
          <w:rFonts w:cs="David" w:hint="eastAsia"/>
          <w:sz w:val="20"/>
          <w:szCs w:val="20"/>
          <w:highlight w:val="yellow"/>
          <w:rtl/>
        </w:rPr>
        <w:t>אם</w:t>
      </w:r>
      <w:r w:rsidRPr="00EC7F41">
        <w:rPr>
          <w:rFonts w:cs="David"/>
          <w:sz w:val="20"/>
          <w:szCs w:val="20"/>
          <w:highlight w:val="yellow"/>
          <w:rtl/>
        </w:rPr>
        <w:t xml:space="preserve"> </w:t>
      </w:r>
      <w:r w:rsidRPr="00EC7F41">
        <w:rPr>
          <w:rFonts w:cs="David" w:hint="eastAsia"/>
          <w:sz w:val="20"/>
          <w:szCs w:val="20"/>
          <w:highlight w:val="yellow"/>
          <w:rtl/>
        </w:rPr>
        <w:t>הפגיעה</w:t>
      </w:r>
      <w:r w:rsidRPr="00EC7F41">
        <w:rPr>
          <w:rFonts w:cs="David"/>
          <w:sz w:val="20"/>
          <w:szCs w:val="20"/>
          <w:highlight w:val="yellow"/>
          <w:rtl/>
        </w:rPr>
        <w:t xml:space="preserve"> </w:t>
      </w:r>
      <w:r w:rsidRPr="00EC7F41">
        <w:rPr>
          <w:rFonts w:cs="David" w:hint="eastAsia"/>
          <w:sz w:val="20"/>
          <w:szCs w:val="20"/>
          <w:highlight w:val="yellow"/>
          <w:rtl/>
        </w:rPr>
        <w:t>בזכויות</w:t>
      </w:r>
      <w:r w:rsidRPr="00EC7F41">
        <w:rPr>
          <w:rFonts w:cs="David"/>
          <w:sz w:val="20"/>
          <w:szCs w:val="20"/>
          <w:highlight w:val="yellow"/>
          <w:rtl/>
        </w:rPr>
        <w:t xml:space="preserve"> </w:t>
      </w:r>
      <w:r w:rsidRPr="00EC7F41">
        <w:rPr>
          <w:rFonts w:cs="David" w:hint="eastAsia"/>
          <w:sz w:val="20"/>
          <w:szCs w:val="20"/>
          <w:highlight w:val="yellow"/>
          <w:rtl/>
        </w:rPr>
        <w:t>האדם</w:t>
      </w:r>
      <w:r w:rsidRPr="00EC7F41">
        <w:rPr>
          <w:rFonts w:cs="David"/>
          <w:sz w:val="20"/>
          <w:szCs w:val="20"/>
          <w:highlight w:val="yellow"/>
          <w:rtl/>
        </w:rPr>
        <w:t xml:space="preserve"> </w:t>
      </w:r>
      <w:r w:rsidRPr="00EC7F41">
        <w:rPr>
          <w:rFonts w:cs="David" w:hint="eastAsia"/>
          <w:sz w:val="20"/>
          <w:szCs w:val="20"/>
          <w:highlight w:val="yellow"/>
          <w:rtl/>
        </w:rPr>
        <w:t>המתרחשת</w:t>
      </w:r>
      <w:r w:rsidRPr="00EC7F41">
        <w:rPr>
          <w:rFonts w:cs="David"/>
          <w:sz w:val="20"/>
          <w:szCs w:val="20"/>
          <w:highlight w:val="yellow"/>
          <w:rtl/>
        </w:rPr>
        <w:t xml:space="preserve"> </w:t>
      </w:r>
      <w:r w:rsidRPr="00EC7F41">
        <w:rPr>
          <w:rFonts w:cs="David" w:hint="eastAsia"/>
          <w:sz w:val="20"/>
          <w:szCs w:val="20"/>
          <w:highlight w:val="yellow"/>
          <w:rtl/>
        </w:rPr>
        <w:t>בפועל</w:t>
      </w:r>
      <w:r w:rsidRPr="00EC7F41">
        <w:rPr>
          <w:rFonts w:cs="David"/>
          <w:sz w:val="20"/>
          <w:szCs w:val="20"/>
          <w:highlight w:val="yellow"/>
          <w:rtl/>
        </w:rPr>
        <w:t xml:space="preserve"> </w:t>
      </w:r>
      <w:r w:rsidRPr="00EC7F41">
        <w:rPr>
          <w:rFonts w:cs="David" w:hint="eastAsia"/>
          <w:sz w:val="20"/>
          <w:szCs w:val="20"/>
          <w:highlight w:val="yellow"/>
          <w:rtl/>
        </w:rPr>
        <w:t>בין</w:t>
      </w:r>
      <w:r w:rsidRPr="00EC7F41">
        <w:rPr>
          <w:rFonts w:cs="David"/>
          <w:sz w:val="20"/>
          <w:szCs w:val="20"/>
          <w:highlight w:val="yellow"/>
          <w:rtl/>
        </w:rPr>
        <w:t xml:space="preserve"> </w:t>
      </w:r>
      <w:r w:rsidRPr="00EC7F41">
        <w:rPr>
          <w:rFonts w:cs="David" w:hint="eastAsia"/>
          <w:sz w:val="20"/>
          <w:szCs w:val="20"/>
          <w:highlight w:val="yellow"/>
          <w:rtl/>
        </w:rPr>
        <w:t>כתליו</w:t>
      </w:r>
      <w:r w:rsidRPr="00EC7F41">
        <w:rPr>
          <w:rFonts w:cs="David"/>
          <w:sz w:val="20"/>
          <w:szCs w:val="20"/>
          <w:highlight w:val="yellow"/>
          <w:rtl/>
        </w:rPr>
        <w:t xml:space="preserve"> </w:t>
      </w:r>
      <w:r w:rsidRPr="00EC7F41">
        <w:rPr>
          <w:rFonts w:cs="David" w:hint="eastAsia"/>
          <w:sz w:val="20"/>
          <w:szCs w:val="20"/>
          <w:highlight w:val="yellow"/>
          <w:rtl/>
        </w:rPr>
        <w:t>של</w:t>
      </w:r>
      <w:r w:rsidRPr="00EC7F41">
        <w:rPr>
          <w:rFonts w:cs="David"/>
          <w:sz w:val="20"/>
          <w:szCs w:val="20"/>
          <w:highlight w:val="yellow"/>
          <w:rtl/>
        </w:rPr>
        <w:t xml:space="preserve"> </w:t>
      </w:r>
      <w:r w:rsidRPr="00EC7F41">
        <w:rPr>
          <w:rFonts w:cs="David" w:hint="eastAsia"/>
          <w:sz w:val="20"/>
          <w:szCs w:val="20"/>
          <w:highlight w:val="yellow"/>
          <w:rtl/>
        </w:rPr>
        <w:t>כל</w:t>
      </w:r>
      <w:r w:rsidRPr="00EC7F41">
        <w:rPr>
          <w:rFonts w:cs="David"/>
          <w:sz w:val="20"/>
          <w:szCs w:val="20"/>
          <w:highlight w:val="yellow"/>
          <w:rtl/>
        </w:rPr>
        <w:t xml:space="preserve"> </w:t>
      </w:r>
      <w:r w:rsidRPr="00EC7F41">
        <w:rPr>
          <w:rFonts w:cs="David" w:hint="eastAsia"/>
          <w:sz w:val="20"/>
          <w:szCs w:val="20"/>
          <w:highlight w:val="yellow"/>
          <w:rtl/>
        </w:rPr>
        <w:t>אחד</w:t>
      </w:r>
      <w:r w:rsidRPr="00EC7F41">
        <w:rPr>
          <w:rFonts w:cs="David"/>
          <w:sz w:val="20"/>
          <w:szCs w:val="20"/>
          <w:highlight w:val="yellow"/>
          <w:rtl/>
        </w:rPr>
        <w:t xml:space="preserve"> </w:t>
      </w:r>
      <w:r w:rsidRPr="00EC7F41">
        <w:rPr>
          <w:rFonts w:cs="David" w:hint="eastAsia"/>
          <w:sz w:val="20"/>
          <w:szCs w:val="20"/>
          <w:highlight w:val="yellow"/>
          <w:rtl/>
        </w:rPr>
        <w:t>משני</w:t>
      </w:r>
      <w:r w:rsidRPr="00EC7F41">
        <w:rPr>
          <w:rFonts w:cs="David"/>
          <w:sz w:val="20"/>
          <w:szCs w:val="20"/>
          <w:highlight w:val="yellow"/>
          <w:rtl/>
        </w:rPr>
        <w:t xml:space="preserve"> </w:t>
      </w:r>
      <w:r w:rsidRPr="00EC7F41">
        <w:rPr>
          <w:rFonts w:cs="David" w:hint="eastAsia"/>
          <w:sz w:val="20"/>
          <w:szCs w:val="20"/>
          <w:highlight w:val="yellow"/>
          <w:rtl/>
        </w:rPr>
        <w:t>בתי</w:t>
      </w:r>
      <w:r w:rsidRPr="00EC7F41">
        <w:rPr>
          <w:rFonts w:cs="David"/>
          <w:sz w:val="20"/>
          <w:szCs w:val="20"/>
          <w:highlight w:val="yellow"/>
          <w:rtl/>
        </w:rPr>
        <w:t xml:space="preserve"> </w:t>
      </w:r>
      <w:r w:rsidRPr="00EC7F41">
        <w:rPr>
          <w:rFonts w:cs="David" w:hint="eastAsia"/>
          <w:sz w:val="20"/>
          <w:szCs w:val="20"/>
          <w:highlight w:val="yellow"/>
          <w:rtl/>
        </w:rPr>
        <w:t>הסוהר</w:t>
      </w:r>
      <w:r w:rsidRPr="00EC7F41">
        <w:rPr>
          <w:rFonts w:cs="David"/>
          <w:sz w:val="20"/>
          <w:szCs w:val="20"/>
          <w:highlight w:val="yellow"/>
          <w:rtl/>
        </w:rPr>
        <w:t xml:space="preserve"> </w:t>
      </w:r>
      <w:r w:rsidRPr="00EC7F41">
        <w:rPr>
          <w:rFonts w:cs="David" w:hint="eastAsia"/>
          <w:sz w:val="20"/>
          <w:szCs w:val="20"/>
          <w:highlight w:val="yellow"/>
          <w:rtl/>
        </w:rPr>
        <w:t>בהם</w:t>
      </w:r>
      <w:r w:rsidRPr="00EC7F41">
        <w:rPr>
          <w:rFonts w:cs="David"/>
          <w:sz w:val="20"/>
          <w:szCs w:val="20"/>
          <w:highlight w:val="yellow"/>
          <w:rtl/>
        </w:rPr>
        <w:t xml:space="preserve"> </w:t>
      </w:r>
      <w:r w:rsidRPr="00EC7F41">
        <w:rPr>
          <w:rFonts w:cs="David" w:hint="eastAsia"/>
          <w:sz w:val="20"/>
          <w:szCs w:val="20"/>
          <w:highlight w:val="yellow"/>
          <w:rtl/>
        </w:rPr>
        <w:t>הם</w:t>
      </w:r>
      <w:r w:rsidRPr="00EC7F41">
        <w:rPr>
          <w:rFonts w:cs="David"/>
          <w:sz w:val="20"/>
          <w:szCs w:val="20"/>
          <w:highlight w:val="yellow"/>
          <w:rtl/>
        </w:rPr>
        <w:t xml:space="preserve"> </w:t>
      </w:r>
      <w:r w:rsidRPr="00EC7F41">
        <w:rPr>
          <w:rFonts w:cs="David" w:hint="eastAsia"/>
          <w:sz w:val="20"/>
          <w:szCs w:val="20"/>
          <w:highlight w:val="yellow"/>
          <w:rtl/>
        </w:rPr>
        <w:t>מרצים</w:t>
      </w:r>
      <w:r w:rsidRPr="00EC7F41">
        <w:rPr>
          <w:rFonts w:cs="David"/>
          <w:sz w:val="20"/>
          <w:szCs w:val="20"/>
          <w:highlight w:val="yellow"/>
          <w:rtl/>
        </w:rPr>
        <w:t xml:space="preserve"> </w:t>
      </w:r>
      <w:r w:rsidRPr="00EC7F41">
        <w:rPr>
          <w:rFonts w:cs="David" w:hint="eastAsia"/>
          <w:sz w:val="20"/>
          <w:szCs w:val="20"/>
          <w:highlight w:val="yellow"/>
          <w:rtl/>
        </w:rPr>
        <w:t>את</w:t>
      </w:r>
      <w:r w:rsidRPr="00EC7F41">
        <w:rPr>
          <w:rFonts w:cs="David"/>
          <w:sz w:val="20"/>
          <w:szCs w:val="20"/>
          <w:highlight w:val="yellow"/>
          <w:rtl/>
        </w:rPr>
        <w:t xml:space="preserve"> </w:t>
      </w:r>
      <w:r w:rsidRPr="00EC7F41">
        <w:rPr>
          <w:rFonts w:cs="David" w:hint="eastAsia"/>
          <w:sz w:val="20"/>
          <w:szCs w:val="20"/>
          <w:highlight w:val="yellow"/>
          <w:rtl/>
        </w:rPr>
        <w:t>עונשיהם</w:t>
      </w:r>
      <w:r w:rsidRPr="00EC7F41">
        <w:rPr>
          <w:rFonts w:cs="David"/>
          <w:sz w:val="20"/>
          <w:szCs w:val="20"/>
          <w:highlight w:val="yellow"/>
          <w:rtl/>
        </w:rPr>
        <w:t xml:space="preserve"> </w:t>
      </w:r>
      <w:r w:rsidRPr="00EC7F41">
        <w:rPr>
          <w:rFonts w:cs="David" w:hint="eastAsia"/>
          <w:sz w:val="20"/>
          <w:szCs w:val="20"/>
          <w:highlight w:val="yellow"/>
          <w:rtl/>
        </w:rPr>
        <w:t>היא</w:t>
      </w:r>
      <w:r w:rsidRPr="00EC7F41">
        <w:rPr>
          <w:rFonts w:cs="David"/>
          <w:sz w:val="20"/>
          <w:szCs w:val="20"/>
          <w:highlight w:val="yellow"/>
          <w:rtl/>
        </w:rPr>
        <w:t xml:space="preserve"> </w:t>
      </w:r>
      <w:r w:rsidRPr="00EC7F41">
        <w:rPr>
          <w:rFonts w:cs="David" w:hint="eastAsia"/>
          <w:sz w:val="20"/>
          <w:szCs w:val="20"/>
          <w:highlight w:val="yellow"/>
          <w:rtl/>
        </w:rPr>
        <w:t>זהה</w:t>
      </w:r>
      <w:r w:rsidRPr="00EC7F41">
        <w:rPr>
          <w:rFonts w:cs="David"/>
          <w:sz w:val="20"/>
          <w:szCs w:val="20"/>
          <w:highlight w:val="yellow"/>
          <w:rtl/>
        </w:rPr>
        <w:t>."</w:t>
      </w:r>
      <w:r w:rsidRPr="00EC7F41">
        <w:rPr>
          <w:rFonts w:cs="David"/>
          <w:sz w:val="20"/>
          <w:szCs w:val="20"/>
          <w:rtl/>
        </w:rPr>
        <w:t xml:space="preserve"> (</w:t>
      </w:r>
      <w:r w:rsidRPr="00EC7F41">
        <w:rPr>
          <w:rFonts w:cs="David" w:hint="eastAsia"/>
          <w:sz w:val="20"/>
          <w:szCs w:val="20"/>
          <w:rtl/>
        </w:rPr>
        <w:t>פסקה</w:t>
      </w:r>
      <w:r w:rsidRPr="00EC7F41">
        <w:rPr>
          <w:rFonts w:cs="David"/>
          <w:sz w:val="20"/>
          <w:szCs w:val="20"/>
          <w:rtl/>
        </w:rPr>
        <w:t xml:space="preserve"> 33). </w:t>
      </w:r>
      <w:r w:rsidRPr="00EC7F41">
        <w:rPr>
          <w:rFonts w:cs="David" w:hint="eastAsia"/>
          <w:sz w:val="20"/>
          <w:szCs w:val="20"/>
          <w:rtl/>
        </w:rPr>
        <w:t>אם</w:t>
      </w:r>
      <w:r w:rsidRPr="00EC7F41">
        <w:rPr>
          <w:rFonts w:cs="David"/>
          <w:sz w:val="20"/>
          <w:szCs w:val="20"/>
          <w:rtl/>
        </w:rPr>
        <w:t xml:space="preserve"> </w:t>
      </w:r>
      <w:r w:rsidRPr="00EC7F41">
        <w:rPr>
          <w:rFonts w:cs="David" w:hint="eastAsia"/>
          <w:sz w:val="20"/>
          <w:szCs w:val="20"/>
          <w:rtl/>
        </w:rPr>
        <w:t>כן</w:t>
      </w:r>
      <w:r w:rsidRPr="00EC7F41">
        <w:rPr>
          <w:rFonts w:cs="David"/>
          <w:sz w:val="20"/>
          <w:szCs w:val="20"/>
          <w:rtl/>
        </w:rPr>
        <w:t xml:space="preserve"> </w:t>
      </w:r>
      <w:r w:rsidRPr="00EC7F41">
        <w:rPr>
          <w:rFonts w:cs="David" w:hint="eastAsia"/>
          <w:sz w:val="20"/>
          <w:szCs w:val="20"/>
          <w:rtl/>
        </w:rPr>
        <w:t>ההלכה</w:t>
      </w:r>
      <w:r w:rsidRPr="00EC7F41">
        <w:rPr>
          <w:rFonts w:cs="David"/>
          <w:sz w:val="20"/>
          <w:szCs w:val="20"/>
          <w:rtl/>
        </w:rPr>
        <w:t xml:space="preserve"> </w:t>
      </w:r>
      <w:r w:rsidRPr="00EC7F41">
        <w:rPr>
          <w:rFonts w:cs="David" w:hint="eastAsia"/>
          <w:sz w:val="20"/>
          <w:szCs w:val="20"/>
          <w:rtl/>
        </w:rPr>
        <w:t>החשובה</w:t>
      </w:r>
      <w:r w:rsidRPr="00EC7F41">
        <w:rPr>
          <w:rFonts w:cs="David"/>
          <w:sz w:val="20"/>
          <w:szCs w:val="20"/>
          <w:rtl/>
        </w:rPr>
        <w:t xml:space="preserve"> </w:t>
      </w:r>
      <w:r w:rsidRPr="00EC7F41">
        <w:rPr>
          <w:rFonts w:cs="David" w:hint="eastAsia"/>
          <w:sz w:val="20"/>
          <w:szCs w:val="20"/>
          <w:rtl/>
        </w:rPr>
        <w:t>היוצאת</w:t>
      </w:r>
      <w:r w:rsidRPr="00EC7F41">
        <w:rPr>
          <w:rFonts w:cs="David"/>
          <w:sz w:val="20"/>
          <w:szCs w:val="20"/>
          <w:rtl/>
        </w:rPr>
        <w:t xml:space="preserve"> </w:t>
      </w:r>
      <w:r w:rsidRPr="00EC7F41">
        <w:rPr>
          <w:rFonts w:cs="David" w:hint="eastAsia"/>
          <w:sz w:val="20"/>
          <w:szCs w:val="20"/>
          <w:rtl/>
        </w:rPr>
        <w:t>מתחת</w:t>
      </w:r>
      <w:r w:rsidRPr="00EC7F41">
        <w:rPr>
          <w:rFonts w:cs="David"/>
          <w:sz w:val="20"/>
          <w:szCs w:val="20"/>
          <w:rtl/>
        </w:rPr>
        <w:t xml:space="preserve"> </w:t>
      </w:r>
      <w:r w:rsidRPr="00EC7F41">
        <w:rPr>
          <w:rFonts w:cs="David" w:hint="eastAsia"/>
          <w:sz w:val="20"/>
          <w:szCs w:val="20"/>
          <w:rtl/>
        </w:rPr>
        <w:t>ידי</w:t>
      </w:r>
      <w:r w:rsidRPr="00EC7F41">
        <w:rPr>
          <w:rFonts w:cs="David"/>
          <w:sz w:val="20"/>
          <w:szCs w:val="20"/>
          <w:rtl/>
        </w:rPr>
        <w:t xml:space="preserve"> </w:t>
      </w:r>
      <w:r w:rsidRPr="00EC7F41">
        <w:rPr>
          <w:rFonts w:cs="David" w:hint="cs"/>
          <w:sz w:val="20"/>
          <w:szCs w:val="20"/>
          <w:rtl/>
        </w:rPr>
        <w:t>בית המשפט</w:t>
      </w:r>
      <w:r w:rsidRPr="00EC7F41">
        <w:rPr>
          <w:rFonts w:cs="David"/>
          <w:sz w:val="20"/>
          <w:szCs w:val="20"/>
          <w:rtl/>
        </w:rPr>
        <w:t xml:space="preserve"> </w:t>
      </w:r>
      <w:r w:rsidRPr="00EC7F41">
        <w:rPr>
          <w:rFonts w:cs="David" w:hint="eastAsia"/>
          <w:sz w:val="20"/>
          <w:szCs w:val="20"/>
          <w:rtl/>
        </w:rPr>
        <w:t>הינה</w:t>
      </w:r>
      <w:r w:rsidRPr="00EC7F41">
        <w:rPr>
          <w:rFonts w:cs="David"/>
          <w:sz w:val="20"/>
          <w:szCs w:val="20"/>
          <w:rtl/>
        </w:rPr>
        <w:t xml:space="preserve"> </w:t>
      </w:r>
      <w:r w:rsidRPr="00EC7F41">
        <w:rPr>
          <w:rFonts w:cs="David" w:hint="eastAsia"/>
          <w:sz w:val="20"/>
          <w:szCs w:val="20"/>
          <w:rtl/>
        </w:rPr>
        <w:t>שמהות</w:t>
      </w:r>
      <w:r w:rsidRPr="00EC7F41">
        <w:rPr>
          <w:rFonts w:cs="David"/>
          <w:sz w:val="20"/>
          <w:szCs w:val="20"/>
          <w:rtl/>
        </w:rPr>
        <w:t xml:space="preserve"> </w:t>
      </w:r>
      <w:r w:rsidRPr="00EC7F41">
        <w:rPr>
          <w:rFonts w:cs="David" w:hint="eastAsia"/>
          <w:sz w:val="20"/>
          <w:szCs w:val="20"/>
          <w:rtl/>
        </w:rPr>
        <w:t>ומיהות</w:t>
      </w:r>
      <w:r w:rsidRPr="00EC7F41">
        <w:rPr>
          <w:rFonts w:cs="David"/>
          <w:sz w:val="20"/>
          <w:szCs w:val="20"/>
          <w:rtl/>
        </w:rPr>
        <w:t xml:space="preserve"> </w:t>
      </w:r>
      <w:r w:rsidRPr="00EC7F41">
        <w:rPr>
          <w:rFonts w:cs="David" w:hint="eastAsia"/>
          <w:sz w:val="20"/>
          <w:szCs w:val="20"/>
          <w:rtl/>
        </w:rPr>
        <w:t>הגוף</w:t>
      </w:r>
      <w:r w:rsidRPr="00EC7F41">
        <w:rPr>
          <w:rFonts w:cs="David"/>
          <w:sz w:val="20"/>
          <w:szCs w:val="20"/>
          <w:rtl/>
        </w:rPr>
        <w:t xml:space="preserve"> </w:t>
      </w:r>
      <w:r w:rsidRPr="00EC7F41">
        <w:rPr>
          <w:rFonts w:cs="David" w:hint="eastAsia"/>
          <w:sz w:val="20"/>
          <w:szCs w:val="20"/>
          <w:rtl/>
        </w:rPr>
        <w:t>הפוגע</w:t>
      </w:r>
      <w:r w:rsidRPr="00EC7F41">
        <w:rPr>
          <w:rFonts w:cs="David"/>
          <w:sz w:val="20"/>
          <w:szCs w:val="20"/>
          <w:rtl/>
        </w:rPr>
        <w:t xml:space="preserve"> </w:t>
      </w:r>
      <w:r w:rsidRPr="00EC7F41">
        <w:rPr>
          <w:rFonts w:cs="David" w:hint="eastAsia"/>
          <w:sz w:val="20"/>
          <w:szCs w:val="20"/>
          <w:rtl/>
        </w:rPr>
        <w:t>בזכות</w:t>
      </w:r>
      <w:r w:rsidRPr="00EC7F41">
        <w:rPr>
          <w:rFonts w:cs="David"/>
          <w:sz w:val="20"/>
          <w:szCs w:val="20"/>
          <w:rtl/>
        </w:rPr>
        <w:t xml:space="preserve"> </w:t>
      </w:r>
      <w:r w:rsidRPr="00EC7F41">
        <w:rPr>
          <w:rFonts w:cs="David" w:hint="eastAsia"/>
          <w:sz w:val="20"/>
          <w:szCs w:val="20"/>
          <w:rtl/>
        </w:rPr>
        <w:t>חוקתית</w:t>
      </w:r>
      <w:r w:rsidRPr="00EC7F41">
        <w:rPr>
          <w:rFonts w:cs="David"/>
          <w:sz w:val="20"/>
          <w:szCs w:val="20"/>
          <w:rtl/>
        </w:rPr>
        <w:t xml:space="preserve"> </w:t>
      </w:r>
      <w:r w:rsidRPr="00EC7F41">
        <w:rPr>
          <w:rFonts w:cs="David" w:hint="cs"/>
          <w:sz w:val="20"/>
          <w:szCs w:val="20"/>
          <w:rtl/>
        </w:rPr>
        <w:t>עלולה להוות</w:t>
      </w:r>
      <w:r w:rsidRPr="00EC7F41">
        <w:rPr>
          <w:rFonts w:cs="David"/>
          <w:sz w:val="20"/>
          <w:szCs w:val="20"/>
          <w:rtl/>
        </w:rPr>
        <w:t xml:space="preserve"> </w:t>
      </w:r>
      <w:r w:rsidRPr="00EC7F41">
        <w:rPr>
          <w:rFonts w:cs="David" w:hint="eastAsia"/>
          <w:sz w:val="20"/>
          <w:szCs w:val="20"/>
          <w:rtl/>
        </w:rPr>
        <w:t>פגיעה</w:t>
      </w:r>
      <w:r w:rsidRPr="00EC7F41">
        <w:rPr>
          <w:rFonts w:cs="David"/>
          <w:sz w:val="20"/>
          <w:szCs w:val="20"/>
          <w:rtl/>
        </w:rPr>
        <w:t xml:space="preserve"> </w:t>
      </w:r>
      <w:r w:rsidRPr="00EC7F41">
        <w:rPr>
          <w:rFonts w:cs="David" w:hint="eastAsia"/>
          <w:sz w:val="20"/>
          <w:szCs w:val="20"/>
          <w:rtl/>
        </w:rPr>
        <w:t>נוספת</w:t>
      </w:r>
      <w:r w:rsidRPr="00EC7F41">
        <w:rPr>
          <w:rFonts w:cs="David"/>
          <w:sz w:val="20"/>
          <w:szCs w:val="20"/>
          <w:rtl/>
        </w:rPr>
        <w:t xml:space="preserve"> </w:t>
      </w:r>
      <w:r w:rsidRPr="00EC7F41">
        <w:rPr>
          <w:rFonts w:cs="David" w:hint="eastAsia"/>
          <w:sz w:val="20"/>
          <w:szCs w:val="20"/>
          <w:rtl/>
        </w:rPr>
        <w:t>ב</w:t>
      </w:r>
      <w:r w:rsidRPr="00EC7F41">
        <w:rPr>
          <w:rFonts w:cs="David" w:hint="cs"/>
          <w:sz w:val="20"/>
          <w:szCs w:val="20"/>
          <w:rtl/>
        </w:rPr>
        <w:t xml:space="preserve">אותה </w:t>
      </w:r>
      <w:r w:rsidRPr="00EC7F41">
        <w:rPr>
          <w:rFonts w:cs="David" w:hint="eastAsia"/>
          <w:sz w:val="20"/>
          <w:szCs w:val="20"/>
          <w:rtl/>
        </w:rPr>
        <w:t>זכות</w:t>
      </w:r>
      <w:r w:rsidRPr="00EC7F41">
        <w:rPr>
          <w:rFonts w:cs="David"/>
          <w:sz w:val="20"/>
          <w:szCs w:val="20"/>
          <w:rtl/>
        </w:rPr>
        <w:t xml:space="preserve"> </w:t>
      </w:r>
      <w:r w:rsidRPr="00EC7F41">
        <w:rPr>
          <w:rFonts w:cs="David" w:hint="eastAsia"/>
          <w:sz w:val="20"/>
          <w:szCs w:val="20"/>
          <w:rtl/>
        </w:rPr>
        <w:t>חוקתית</w:t>
      </w:r>
      <w:r w:rsidRPr="00EC7F41">
        <w:rPr>
          <w:rFonts w:cs="David"/>
          <w:sz w:val="20"/>
          <w:szCs w:val="20"/>
          <w:rtl/>
        </w:rPr>
        <w:t xml:space="preserve">. </w:t>
      </w:r>
      <w:r w:rsidRPr="00EC7F41">
        <w:rPr>
          <w:rFonts w:cs="David" w:hint="eastAsia"/>
          <w:sz w:val="20"/>
          <w:szCs w:val="20"/>
          <w:rtl/>
        </w:rPr>
        <w:t>הטעם</w:t>
      </w:r>
      <w:r w:rsidRPr="00EC7F41">
        <w:rPr>
          <w:rFonts w:cs="David"/>
          <w:sz w:val="20"/>
          <w:szCs w:val="20"/>
          <w:rtl/>
        </w:rPr>
        <w:t xml:space="preserve"> </w:t>
      </w:r>
      <w:r w:rsidRPr="00EC7F41">
        <w:rPr>
          <w:rFonts w:cs="David" w:hint="eastAsia"/>
          <w:sz w:val="20"/>
          <w:szCs w:val="20"/>
          <w:rtl/>
        </w:rPr>
        <w:t>לקביעתה</w:t>
      </w:r>
      <w:r w:rsidRPr="00EC7F41">
        <w:rPr>
          <w:rFonts w:cs="David"/>
          <w:sz w:val="20"/>
          <w:szCs w:val="20"/>
          <w:rtl/>
        </w:rPr>
        <w:t xml:space="preserve"> </w:t>
      </w:r>
      <w:r w:rsidRPr="00EC7F41">
        <w:rPr>
          <w:rFonts w:cs="David" w:hint="eastAsia"/>
          <w:sz w:val="20"/>
          <w:szCs w:val="20"/>
          <w:rtl/>
        </w:rPr>
        <w:t>נעוץ</w:t>
      </w:r>
      <w:r w:rsidRPr="00EC7F41">
        <w:rPr>
          <w:rFonts w:cs="David"/>
          <w:sz w:val="20"/>
          <w:szCs w:val="20"/>
          <w:rtl/>
        </w:rPr>
        <w:t xml:space="preserve"> </w:t>
      </w:r>
      <w:r w:rsidRPr="00EC7F41">
        <w:rPr>
          <w:rFonts w:cs="David" w:hint="eastAsia"/>
          <w:sz w:val="20"/>
          <w:szCs w:val="20"/>
          <w:rtl/>
        </w:rPr>
        <w:t>ב</w:t>
      </w:r>
      <w:r w:rsidRPr="00EC7F41">
        <w:rPr>
          <w:rFonts w:cs="David" w:hint="cs"/>
          <w:sz w:val="20"/>
          <w:szCs w:val="20"/>
          <w:rtl/>
        </w:rPr>
        <w:t>ש</w:t>
      </w:r>
      <w:r w:rsidRPr="00EC7F41">
        <w:rPr>
          <w:rFonts w:cs="David" w:hint="eastAsia"/>
          <w:sz w:val="20"/>
          <w:szCs w:val="20"/>
          <w:rtl/>
        </w:rPr>
        <w:t>ני</w:t>
      </w:r>
      <w:r w:rsidRPr="00EC7F41">
        <w:rPr>
          <w:rFonts w:cs="David"/>
          <w:sz w:val="20"/>
          <w:szCs w:val="20"/>
          <w:rtl/>
        </w:rPr>
        <w:t xml:space="preserve"> </w:t>
      </w:r>
      <w:r w:rsidRPr="00EC7F41">
        <w:rPr>
          <w:rFonts w:cs="David" w:hint="eastAsia"/>
          <w:sz w:val="20"/>
          <w:szCs w:val="20"/>
          <w:rtl/>
        </w:rPr>
        <w:t>היבטים</w:t>
      </w:r>
      <w:r w:rsidRPr="00EC7F41">
        <w:rPr>
          <w:rFonts w:cs="David"/>
          <w:sz w:val="20"/>
          <w:szCs w:val="20"/>
          <w:rtl/>
        </w:rPr>
        <w:t xml:space="preserve">: </w:t>
      </w:r>
      <w:r w:rsidRPr="00EC7F41">
        <w:rPr>
          <w:rFonts w:cs="David" w:hint="eastAsia"/>
          <w:sz w:val="20"/>
          <w:szCs w:val="20"/>
          <w:rtl/>
        </w:rPr>
        <w:t>ראשית</w:t>
      </w:r>
      <w:r w:rsidRPr="00EC7F41">
        <w:rPr>
          <w:rFonts w:cs="David"/>
          <w:sz w:val="20"/>
          <w:szCs w:val="20"/>
          <w:rtl/>
        </w:rPr>
        <w:t xml:space="preserve">, </w:t>
      </w:r>
      <w:r w:rsidRPr="00EC7F41">
        <w:rPr>
          <w:rFonts w:cs="David" w:hint="eastAsia"/>
          <w:sz w:val="20"/>
          <w:szCs w:val="20"/>
          <w:rtl/>
        </w:rPr>
        <w:t>המדינה</w:t>
      </w:r>
      <w:r w:rsidRPr="00EC7F41">
        <w:rPr>
          <w:rFonts w:cs="David"/>
          <w:sz w:val="20"/>
          <w:szCs w:val="20"/>
          <w:rtl/>
        </w:rPr>
        <w:t xml:space="preserve">, </w:t>
      </w:r>
      <w:r w:rsidRPr="00EC7F41">
        <w:rPr>
          <w:rFonts w:cs="David" w:hint="eastAsia"/>
          <w:sz w:val="20"/>
          <w:szCs w:val="20"/>
          <w:rtl/>
        </w:rPr>
        <w:t>לאחר</w:t>
      </w:r>
      <w:r w:rsidRPr="00EC7F41">
        <w:rPr>
          <w:rFonts w:cs="David"/>
          <w:sz w:val="20"/>
          <w:szCs w:val="20"/>
          <w:rtl/>
        </w:rPr>
        <w:t xml:space="preserve"> </w:t>
      </w:r>
      <w:r w:rsidRPr="00EC7F41">
        <w:rPr>
          <w:rFonts w:cs="David" w:hint="eastAsia"/>
          <w:sz w:val="20"/>
          <w:szCs w:val="20"/>
          <w:rtl/>
        </w:rPr>
        <w:t>שקבעה</w:t>
      </w:r>
      <w:r w:rsidRPr="00EC7F41">
        <w:rPr>
          <w:rFonts w:cs="David"/>
          <w:sz w:val="20"/>
          <w:szCs w:val="20"/>
          <w:rtl/>
        </w:rPr>
        <w:t xml:space="preserve"> </w:t>
      </w:r>
      <w:r w:rsidRPr="00EC7F41">
        <w:rPr>
          <w:rFonts w:cs="David" w:hint="eastAsia"/>
          <w:sz w:val="20"/>
          <w:szCs w:val="20"/>
          <w:rtl/>
        </w:rPr>
        <w:t>באמצעות</w:t>
      </w:r>
      <w:r w:rsidRPr="00EC7F41">
        <w:rPr>
          <w:rFonts w:cs="David"/>
          <w:sz w:val="20"/>
          <w:szCs w:val="20"/>
          <w:rtl/>
        </w:rPr>
        <w:t xml:space="preserve"> </w:t>
      </w:r>
      <w:r w:rsidRPr="00EC7F41">
        <w:rPr>
          <w:rFonts w:cs="David" w:hint="eastAsia"/>
          <w:sz w:val="20"/>
          <w:szCs w:val="20"/>
          <w:rtl/>
        </w:rPr>
        <w:t>מערכת</w:t>
      </w:r>
      <w:r w:rsidRPr="00EC7F41">
        <w:rPr>
          <w:rFonts w:cs="David"/>
          <w:sz w:val="20"/>
          <w:szCs w:val="20"/>
          <w:rtl/>
        </w:rPr>
        <w:t xml:space="preserve"> </w:t>
      </w:r>
      <w:r w:rsidRPr="00EC7F41">
        <w:rPr>
          <w:rFonts w:cs="David" w:hint="eastAsia"/>
          <w:sz w:val="20"/>
          <w:szCs w:val="20"/>
          <w:rtl/>
        </w:rPr>
        <w:t>בתי</w:t>
      </w:r>
      <w:r w:rsidRPr="00EC7F41">
        <w:rPr>
          <w:rFonts w:cs="David"/>
          <w:sz w:val="20"/>
          <w:szCs w:val="20"/>
          <w:rtl/>
        </w:rPr>
        <w:t xml:space="preserve"> </w:t>
      </w:r>
      <w:r w:rsidRPr="00EC7F41">
        <w:rPr>
          <w:rFonts w:cs="David" w:hint="eastAsia"/>
          <w:sz w:val="20"/>
          <w:szCs w:val="20"/>
          <w:rtl/>
        </w:rPr>
        <w:t>המשפט</w:t>
      </w:r>
      <w:r w:rsidRPr="00EC7F41">
        <w:rPr>
          <w:rFonts w:cs="David"/>
          <w:sz w:val="20"/>
          <w:szCs w:val="20"/>
          <w:rtl/>
        </w:rPr>
        <w:t xml:space="preserve"> </w:t>
      </w:r>
      <w:r w:rsidRPr="00EC7F41">
        <w:rPr>
          <w:rFonts w:cs="David" w:hint="eastAsia"/>
          <w:sz w:val="20"/>
          <w:szCs w:val="20"/>
          <w:rtl/>
        </w:rPr>
        <w:t>שלה</w:t>
      </w:r>
      <w:r w:rsidRPr="00EC7F41">
        <w:rPr>
          <w:rFonts w:cs="David"/>
          <w:sz w:val="20"/>
          <w:szCs w:val="20"/>
          <w:rtl/>
        </w:rPr>
        <w:t xml:space="preserve"> </w:t>
      </w:r>
      <w:r w:rsidRPr="00EC7F41">
        <w:rPr>
          <w:rFonts w:cs="David" w:hint="eastAsia"/>
          <w:sz w:val="20"/>
          <w:szCs w:val="20"/>
          <w:rtl/>
        </w:rPr>
        <w:t>כי</w:t>
      </w:r>
      <w:r w:rsidRPr="00EC7F41">
        <w:rPr>
          <w:rFonts w:cs="David"/>
          <w:sz w:val="20"/>
          <w:szCs w:val="20"/>
          <w:rtl/>
        </w:rPr>
        <w:t xml:space="preserve"> </w:t>
      </w:r>
      <w:r w:rsidRPr="00EC7F41">
        <w:rPr>
          <w:rFonts w:cs="David" w:hint="eastAsia"/>
          <w:sz w:val="20"/>
          <w:szCs w:val="20"/>
          <w:rtl/>
        </w:rPr>
        <w:t>יש</w:t>
      </w:r>
      <w:r w:rsidRPr="00EC7F41">
        <w:rPr>
          <w:rFonts w:cs="David"/>
          <w:sz w:val="20"/>
          <w:szCs w:val="20"/>
          <w:rtl/>
        </w:rPr>
        <w:t xml:space="preserve"> </w:t>
      </w:r>
      <w:r w:rsidRPr="00EC7F41">
        <w:rPr>
          <w:rFonts w:cs="David" w:hint="eastAsia"/>
          <w:sz w:val="20"/>
          <w:szCs w:val="20"/>
          <w:rtl/>
        </w:rPr>
        <w:t>להטיל</w:t>
      </w:r>
      <w:r w:rsidRPr="00EC7F41">
        <w:rPr>
          <w:rFonts w:cs="David"/>
          <w:sz w:val="20"/>
          <w:szCs w:val="20"/>
          <w:rtl/>
        </w:rPr>
        <w:t xml:space="preserve"> </w:t>
      </w:r>
      <w:r w:rsidRPr="00EC7F41">
        <w:rPr>
          <w:rFonts w:cs="David" w:hint="eastAsia"/>
          <w:sz w:val="20"/>
          <w:szCs w:val="20"/>
          <w:rtl/>
        </w:rPr>
        <w:t>על</w:t>
      </w:r>
      <w:r w:rsidRPr="00EC7F41">
        <w:rPr>
          <w:rFonts w:cs="David"/>
          <w:sz w:val="20"/>
          <w:szCs w:val="20"/>
          <w:rtl/>
        </w:rPr>
        <w:t xml:space="preserve"> </w:t>
      </w:r>
      <w:r w:rsidRPr="00EC7F41">
        <w:rPr>
          <w:rFonts w:cs="David" w:hint="eastAsia"/>
          <w:sz w:val="20"/>
          <w:szCs w:val="20"/>
          <w:rtl/>
        </w:rPr>
        <w:t>אדם</w:t>
      </w:r>
      <w:r w:rsidRPr="00EC7F41">
        <w:rPr>
          <w:rFonts w:cs="David"/>
          <w:sz w:val="20"/>
          <w:szCs w:val="20"/>
          <w:rtl/>
        </w:rPr>
        <w:t xml:space="preserve"> </w:t>
      </w:r>
      <w:r w:rsidRPr="00EC7F41">
        <w:rPr>
          <w:rFonts w:cs="David" w:hint="eastAsia"/>
          <w:sz w:val="20"/>
          <w:szCs w:val="20"/>
          <w:rtl/>
        </w:rPr>
        <w:t>עונש</w:t>
      </w:r>
      <w:r w:rsidRPr="00EC7F41">
        <w:rPr>
          <w:rFonts w:cs="David"/>
          <w:sz w:val="20"/>
          <w:szCs w:val="20"/>
          <w:rtl/>
        </w:rPr>
        <w:t xml:space="preserve"> </w:t>
      </w:r>
      <w:r w:rsidRPr="00EC7F41">
        <w:rPr>
          <w:rFonts w:cs="David" w:hint="eastAsia"/>
          <w:sz w:val="20"/>
          <w:szCs w:val="20"/>
          <w:rtl/>
        </w:rPr>
        <w:t>מאסר</w:t>
      </w:r>
      <w:r w:rsidRPr="00EC7F41">
        <w:rPr>
          <w:rFonts w:cs="David"/>
          <w:sz w:val="20"/>
          <w:szCs w:val="20"/>
          <w:rtl/>
        </w:rPr>
        <w:t xml:space="preserve">, </w:t>
      </w:r>
      <w:r w:rsidRPr="00EC7F41">
        <w:rPr>
          <w:rFonts w:cs="David" w:hint="eastAsia"/>
          <w:sz w:val="20"/>
          <w:szCs w:val="20"/>
          <w:rtl/>
        </w:rPr>
        <w:t>אינה</w:t>
      </w:r>
      <w:r w:rsidRPr="00EC7F41">
        <w:rPr>
          <w:rFonts w:cs="David"/>
          <w:sz w:val="20"/>
          <w:szCs w:val="20"/>
          <w:rtl/>
        </w:rPr>
        <w:t xml:space="preserve"> </w:t>
      </w:r>
      <w:r w:rsidRPr="00EC7F41">
        <w:rPr>
          <w:rFonts w:cs="David" w:hint="eastAsia"/>
          <w:sz w:val="20"/>
          <w:szCs w:val="20"/>
          <w:rtl/>
        </w:rPr>
        <w:t>נושאת</w:t>
      </w:r>
      <w:r w:rsidRPr="00EC7F41">
        <w:rPr>
          <w:rFonts w:cs="David"/>
          <w:sz w:val="20"/>
          <w:szCs w:val="20"/>
          <w:rtl/>
        </w:rPr>
        <w:t xml:space="preserve"> </w:t>
      </w:r>
      <w:r w:rsidRPr="00EC7F41">
        <w:rPr>
          <w:rFonts w:cs="David" w:hint="eastAsia"/>
          <w:sz w:val="20"/>
          <w:szCs w:val="20"/>
          <w:rtl/>
        </w:rPr>
        <w:t>במלוא</w:t>
      </w:r>
      <w:r w:rsidRPr="00EC7F41">
        <w:rPr>
          <w:rFonts w:cs="David"/>
          <w:sz w:val="20"/>
          <w:szCs w:val="20"/>
          <w:rtl/>
        </w:rPr>
        <w:t xml:space="preserve"> </w:t>
      </w:r>
      <w:r w:rsidRPr="00EC7F41">
        <w:rPr>
          <w:rFonts w:cs="David" w:hint="eastAsia"/>
          <w:sz w:val="20"/>
          <w:szCs w:val="20"/>
          <w:rtl/>
        </w:rPr>
        <w:t>האחריות</w:t>
      </w:r>
      <w:r w:rsidRPr="00EC7F41">
        <w:rPr>
          <w:rFonts w:cs="David"/>
          <w:sz w:val="20"/>
          <w:szCs w:val="20"/>
          <w:rtl/>
        </w:rPr>
        <w:t xml:space="preserve"> </w:t>
      </w:r>
      <w:r w:rsidRPr="00EC7F41">
        <w:rPr>
          <w:rFonts w:cs="David" w:hint="eastAsia"/>
          <w:sz w:val="20"/>
          <w:szCs w:val="20"/>
          <w:rtl/>
        </w:rPr>
        <w:t>להוצאתה</w:t>
      </w:r>
      <w:r w:rsidRPr="00EC7F41">
        <w:rPr>
          <w:rFonts w:cs="David"/>
          <w:sz w:val="20"/>
          <w:szCs w:val="20"/>
          <w:rtl/>
        </w:rPr>
        <w:t xml:space="preserve"> </w:t>
      </w:r>
      <w:r w:rsidRPr="00EC7F41">
        <w:rPr>
          <w:rFonts w:cs="David" w:hint="eastAsia"/>
          <w:sz w:val="20"/>
          <w:szCs w:val="20"/>
          <w:rtl/>
        </w:rPr>
        <w:t>לפועל</w:t>
      </w:r>
      <w:r w:rsidRPr="00EC7F41">
        <w:rPr>
          <w:rFonts w:cs="David"/>
          <w:sz w:val="20"/>
          <w:szCs w:val="20"/>
          <w:rtl/>
        </w:rPr>
        <w:t xml:space="preserve"> </w:t>
      </w:r>
      <w:r w:rsidRPr="00EC7F41">
        <w:rPr>
          <w:rFonts w:cs="David" w:hint="eastAsia"/>
          <w:sz w:val="20"/>
          <w:szCs w:val="20"/>
          <w:rtl/>
        </w:rPr>
        <w:t>של</w:t>
      </w:r>
      <w:r w:rsidRPr="00EC7F41">
        <w:rPr>
          <w:rFonts w:cs="David"/>
          <w:sz w:val="20"/>
          <w:szCs w:val="20"/>
          <w:rtl/>
        </w:rPr>
        <w:t xml:space="preserve"> </w:t>
      </w:r>
      <w:r w:rsidRPr="00EC7F41">
        <w:rPr>
          <w:rFonts w:cs="David" w:hint="eastAsia"/>
          <w:sz w:val="20"/>
          <w:szCs w:val="20"/>
          <w:rtl/>
        </w:rPr>
        <w:t>החלטה</w:t>
      </w:r>
      <w:r w:rsidRPr="00EC7F41">
        <w:rPr>
          <w:rFonts w:cs="David"/>
          <w:sz w:val="20"/>
          <w:szCs w:val="20"/>
          <w:rtl/>
        </w:rPr>
        <w:t xml:space="preserve"> </w:t>
      </w:r>
      <w:r w:rsidRPr="00EC7F41">
        <w:rPr>
          <w:rFonts w:cs="David" w:hint="eastAsia"/>
          <w:sz w:val="20"/>
          <w:szCs w:val="20"/>
          <w:rtl/>
        </w:rPr>
        <w:t>זו</w:t>
      </w:r>
      <w:r w:rsidRPr="00EC7F41">
        <w:rPr>
          <w:rFonts w:cs="David"/>
          <w:sz w:val="20"/>
          <w:szCs w:val="20"/>
          <w:rtl/>
        </w:rPr>
        <w:t xml:space="preserve">, </w:t>
      </w:r>
      <w:r w:rsidRPr="00EC7F41">
        <w:rPr>
          <w:rFonts w:cs="David" w:hint="eastAsia"/>
          <w:sz w:val="20"/>
          <w:szCs w:val="20"/>
          <w:rtl/>
        </w:rPr>
        <w:t>על</w:t>
      </w:r>
      <w:r w:rsidRPr="00EC7F41">
        <w:rPr>
          <w:rFonts w:cs="David"/>
          <w:sz w:val="20"/>
          <w:szCs w:val="20"/>
          <w:rtl/>
        </w:rPr>
        <w:t xml:space="preserve"> </w:t>
      </w:r>
      <w:r w:rsidRPr="00EC7F41">
        <w:rPr>
          <w:rFonts w:cs="David" w:hint="eastAsia"/>
          <w:sz w:val="20"/>
          <w:szCs w:val="20"/>
          <w:rtl/>
        </w:rPr>
        <w:t>הפגיעה</w:t>
      </w:r>
      <w:r w:rsidRPr="00EC7F41">
        <w:rPr>
          <w:rFonts w:cs="David"/>
          <w:sz w:val="20"/>
          <w:szCs w:val="20"/>
          <w:rtl/>
        </w:rPr>
        <w:t xml:space="preserve"> </w:t>
      </w:r>
      <w:r w:rsidRPr="00EC7F41">
        <w:rPr>
          <w:rFonts w:cs="David" w:hint="eastAsia"/>
          <w:sz w:val="20"/>
          <w:szCs w:val="20"/>
          <w:rtl/>
        </w:rPr>
        <w:t>הנובעת</w:t>
      </w:r>
      <w:r w:rsidRPr="00EC7F41">
        <w:rPr>
          <w:rFonts w:cs="David"/>
          <w:sz w:val="20"/>
          <w:szCs w:val="20"/>
          <w:rtl/>
        </w:rPr>
        <w:t xml:space="preserve"> </w:t>
      </w:r>
      <w:r w:rsidRPr="00EC7F41">
        <w:rPr>
          <w:rFonts w:cs="David" w:hint="eastAsia"/>
          <w:sz w:val="20"/>
          <w:szCs w:val="20"/>
          <w:rtl/>
        </w:rPr>
        <w:t>ממנה</w:t>
      </w:r>
      <w:r w:rsidRPr="00EC7F41">
        <w:rPr>
          <w:rFonts w:cs="David"/>
          <w:sz w:val="20"/>
          <w:szCs w:val="20"/>
          <w:rtl/>
        </w:rPr>
        <w:t xml:space="preserve">. </w:t>
      </w:r>
      <w:r w:rsidRPr="00EC7F41">
        <w:rPr>
          <w:rFonts w:cs="David" w:hint="eastAsia"/>
          <w:sz w:val="20"/>
          <w:szCs w:val="20"/>
          <w:rtl/>
        </w:rPr>
        <w:t>מצב</w:t>
      </w:r>
      <w:r w:rsidRPr="00EC7F41">
        <w:rPr>
          <w:rFonts w:cs="David"/>
          <w:sz w:val="20"/>
          <w:szCs w:val="20"/>
          <w:rtl/>
        </w:rPr>
        <w:t xml:space="preserve"> </w:t>
      </w:r>
      <w:r w:rsidRPr="00EC7F41">
        <w:rPr>
          <w:rFonts w:cs="David" w:hint="eastAsia"/>
          <w:sz w:val="20"/>
          <w:szCs w:val="20"/>
          <w:rtl/>
        </w:rPr>
        <w:t>דברים</w:t>
      </w:r>
      <w:r w:rsidRPr="00EC7F41">
        <w:rPr>
          <w:rFonts w:cs="David"/>
          <w:sz w:val="20"/>
          <w:szCs w:val="20"/>
          <w:rtl/>
        </w:rPr>
        <w:t xml:space="preserve"> </w:t>
      </w:r>
      <w:r w:rsidRPr="00EC7F41">
        <w:rPr>
          <w:rFonts w:cs="David" w:hint="eastAsia"/>
          <w:sz w:val="20"/>
          <w:szCs w:val="20"/>
          <w:rtl/>
        </w:rPr>
        <w:t>זה</w:t>
      </w:r>
      <w:r w:rsidRPr="00EC7F41">
        <w:rPr>
          <w:rFonts w:cs="David"/>
          <w:sz w:val="20"/>
          <w:szCs w:val="20"/>
          <w:rtl/>
        </w:rPr>
        <w:t xml:space="preserve"> </w:t>
      </w:r>
      <w:r w:rsidRPr="00EC7F41">
        <w:rPr>
          <w:rFonts w:cs="David" w:hint="eastAsia"/>
          <w:sz w:val="20"/>
          <w:szCs w:val="20"/>
          <w:rtl/>
        </w:rPr>
        <w:t>מביא</w:t>
      </w:r>
      <w:r w:rsidRPr="00EC7F41">
        <w:rPr>
          <w:rFonts w:cs="David"/>
          <w:sz w:val="20"/>
          <w:szCs w:val="20"/>
          <w:rtl/>
        </w:rPr>
        <w:t xml:space="preserve"> </w:t>
      </w:r>
      <w:r w:rsidRPr="00EC7F41">
        <w:rPr>
          <w:rFonts w:cs="David" w:hint="eastAsia"/>
          <w:sz w:val="20"/>
          <w:szCs w:val="20"/>
          <w:rtl/>
        </w:rPr>
        <w:t>לפגיעה</w:t>
      </w:r>
      <w:r w:rsidRPr="00EC7F41">
        <w:rPr>
          <w:rFonts w:cs="David"/>
          <w:sz w:val="20"/>
          <w:szCs w:val="20"/>
          <w:rtl/>
        </w:rPr>
        <w:t xml:space="preserve"> </w:t>
      </w:r>
      <w:r w:rsidRPr="00EC7F41">
        <w:rPr>
          <w:rFonts w:cs="David" w:hint="eastAsia"/>
          <w:sz w:val="20"/>
          <w:szCs w:val="20"/>
          <w:rtl/>
        </w:rPr>
        <w:t>בלגיטימיות</w:t>
      </w:r>
      <w:r w:rsidRPr="00EC7F41">
        <w:rPr>
          <w:rFonts w:cs="David"/>
          <w:sz w:val="20"/>
          <w:szCs w:val="20"/>
          <w:rtl/>
        </w:rPr>
        <w:t xml:space="preserve"> </w:t>
      </w:r>
      <w:r w:rsidRPr="00EC7F41">
        <w:rPr>
          <w:rFonts w:cs="David" w:hint="eastAsia"/>
          <w:sz w:val="20"/>
          <w:szCs w:val="20"/>
          <w:rtl/>
        </w:rPr>
        <w:t>של</w:t>
      </w:r>
      <w:r w:rsidRPr="00EC7F41">
        <w:rPr>
          <w:rFonts w:cs="David"/>
          <w:sz w:val="20"/>
          <w:szCs w:val="20"/>
          <w:rtl/>
        </w:rPr>
        <w:t xml:space="preserve"> </w:t>
      </w:r>
      <w:r w:rsidRPr="00EC7F41">
        <w:rPr>
          <w:rFonts w:cs="David" w:hint="eastAsia"/>
          <w:sz w:val="20"/>
          <w:szCs w:val="20"/>
          <w:rtl/>
        </w:rPr>
        <w:t>עונש</w:t>
      </w:r>
      <w:r w:rsidRPr="00EC7F41">
        <w:rPr>
          <w:rFonts w:cs="David"/>
          <w:sz w:val="20"/>
          <w:szCs w:val="20"/>
          <w:rtl/>
        </w:rPr>
        <w:t xml:space="preserve"> </w:t>
      </w:r>
      <w:r w:rsidRPr="00EC7F41">
        <w:rPr>
          <w:rFonts w:cs="David" w:hint="eastAsia"/>
          <w:sz w:val="20"/>
          <w:szCs w:val="20"/>
          <w:rtl/>
        </w:rPr>
        <w:t>המאסר</w:t>
      </w:r>
      <w:r w:rsidRPr="00EC7F41">
        <w:rPr>
          <w:rFonts w:cs="David"/>
          <w:sz w:val="20"/>
          <w:szCs w:val="20"/>
          <w:rtl/>
        </w:rPr>
        <w:t xml:space="preserve"> </w:t>
      </w:r>
      <w:r w:rsidRPr="00EC7F41">
        <w:rPr>
          <w:rFonts w:cs="David" w:hint="eastAsia"/>
          <w:sz w:val="20"/>
          <w:szCs w:val="20"/>
          <w:rtl/>
        </w:rPr>
        <w:t>עצמו</w:t>
      </w:r>
      <w:r w:rsidRPr="00EC7F41">
        <w:rPr>
          <w:rFonts w:cs="David"/>
          <w:sz w:val="20"/>
          <w:szCs w:val="20"/>
          <w:rtl/>
        </w:rPr>
        <w:t xml:space="preserve"> </w:t>
      </w:r>
      <w:r w:rsidRPr="00EC7F41">
        <w:rPr>
          <w:rFonts w:cs="David" w:hint="eastAsia"/>
          <w:sz w:val="20"/>
          <w:szCs w:val="20"/>
          <w:rtl/>
        </w:rPr>
        <w:t>ושל</w:t>
      </w:r>
      <w:r w:rsidRPr="00EC7F41">
        <w:rPr>
          <w:rFonts w:cs="David"/>
          <w:sz w:val="20"/>
          <w:szCs w:val="20"/>
          <w:rtl/>
        </w:rPr>
        <w:t xml:space="preserve"> </w:t>
      </w:r>
      <w:r w:rsidRPr="00EC7F41">
        <w:rPr>
          <w:rFonts w:cs="David" w:hint="eastAsia"/>
          <w:sz w:val="20"/>
          <w:szCs w:val="20"/>
          <w:rtl/>
        </w:rPr>
        <w:t>הפגיעות</w:t>
      </w:r>
      <w:r w:rsidRPr="00EC7F41">
        <w:rPr>
          <w:rFonts w:cs="David"/>
          <w:sz w:val="20"/>
          <w:szCs w:val="20"/>
          <w:rtl/>
        </w:rPr>
        <w:t xml:space="preserve"> </w:t>
      </w:r>
      <w:r w:rsidRPr="00EC7F41">
        <w:rPr>
          <w:rFonts w:cs="David" w:hint="eastAsia"/>
          <w:sz w:val="20"/>
          <w:szCs w:val="20"/>
          <w:rtl/>
        </w:rPr>
        <w:t>בזכויות</w:t>
      </w:r>
      <w:r w:rsidRPr="00EC7F41">
        <w:rPr>
          <w:rFonts w:cs="David"/>
          <w:sz w:val="20"/>
          <w:szCs w:val="20"/>
          <w:rtl/>
        </w:rPr>
        <w:t xml:space="preserve"> </w:t>
      </w:r>
      <w:r w:rsidRPr="00EC7F41">
        <w:rPr>
          <w:rFonts w:cs="David" w:hint="eastAsia"/>
          <w:sz w:val="20"/>
          <w:szCs w:val="20"/>
          <w:rtl/>
        </w:rPr>
        <w:t>אדם</w:t>
      </w:r>
      <w:r w:rsidRPr="00EC7F41">
        <w:rPr>
          <w:rFonts w:cs="David"/>
          <w:sz w:val="20"/>
          <w:szCs w:val="20"/>
          <w:rtl/>
        </w:rPr>
        <w:t xml:space="preserve"> </w:t>
      </w:r>
      <w:r w:rsidRPr="00EC7F41">
        <w:rPr>
          <w:rFonts w:cs="David" w:hint="eastAsia"/>
          <w:sz w:val="20"/>
          <w:szCs w:val="20"/>
          <w:rtl/>
        </w:rPr>
        <w:t>שונות</w:t>
      </w:r>
      <w:r w:rsidRPr="00EC7F41">
        <w:rPr>
          <w:rFonts w:cs="David"/>
          <w:sz w:val="20"/>
          <w:szCs w:val="20"/>
          <w:rtl/>
        </w:rPr>
        <w:t xml:space="preserve"> </w:t>
      </w:r>
      <w:r w:rsidRPr="00EC7F41">
        <w:rPr>
          <w:rFonts w:cs="David" w:hint="eastAsia"/>
          <w:sz w:val="20"/>
          <w:szCs w:val="20"/>
          <w:rtl/>
        </w:rPr>
        <w:t>המתחייבות</w:t>
      </w:r>
      <w:r w:rsidRPr="00EC7F41">
        <w:rPr>
          <w:rFonts w:cs="David"/>
          <w:sz w:val="20"/>
          <w:szCs w:val="20"/>
          <w:rtl/>
        </w:rPr>
        <w:t xml:space="preserve"> </w:t>
      </w:r>
      <w:r w:rsidRPr="00EC7F41">
        <w:rPr>
          <w:rFonts w:cs="David" w:hint="eastAsia"/>
          <w:sz w:val="20"/>
          <w:szCs w:val="20"/>
          <w:rtl/>
        </w:rPr>
        <w:t>ממנו</w:t>
      </w:r>
      <w:r w:rsidRPr="00EC7F41">
        <w:rPr>
          <w:rFonts w:cs="David"/>
          <w:sz w:val="20"/>
          <w:szCs w:val="20"/>
          <w:rtl/>
        </w:rPr>
        <w:t xml:space="preserve">. </w:t>
      </w:r>
      <w:r w:rsidRPr="00EC7F41">
        <w:rPr>
          <w:rFonts w:cs="David" w:hint="eastAsia"/>
          <w:sz w:val="20"/>
          <w:szCs w:val="20"/>
          <w:rtl/>
        </w:rPr>
        <w:t>שנית</w:t>
      </w:r>
      <w:r w:rsidRPr="00EC7F41">
        <w:rPr>
          <w:rFonts w:cs="David"/>
          <w:sz w:val="20"/>
          <w:szCs w:val="20"/>
          <w:rtl/>
        </w:rPr>
        <w:t xml:space="preserve">, </w:t>
      </w:r>
      <w:r w:rsidRPr="00EC7F41">
        <w:rPr>
          <w:rFonts w:cs="David" w:hint="eastAsia"/>
          <w:sz w:val="20"/>
          <w:szCs w:val="20"/>
          <w:rtl/>
        </w:rPr>
        <w:t>ובמקביל</w:t>
      </w:r>
      <w:r w:rsidRPr="00EC7F41">
        <w:rPr>
          <w:rFonts w:cs="David"/>
          <w:sz w:val="20"/>
          <w:szCs w:val="20"/>
          <w:rtl/>
        </w:rPr>
        <w:t xml:space="preserve">, </w:t>
      </w:r>
      <w:r w:rsidRPr="00EC7F41">
        <w:rPr>
          <w:rFonts w:cs="David" w:hint="eastAsia"/>
          <w:sz w:val="20"/>
          <w:szCs w:val="20"/>
          <w:rtl/>
        </w:rPr>
        <w:t>האסיר</w:t>
      </w:r>
      <w:r w:rsidRPr="00EC7F41">
        <w:rPr>
          <w:rFonts w:cs="David"/>
          <w:sz w:val="20"/>
          <w:szCs w:val="20"/>
          <w:rtl/>
        </w:rPr>
        <w:t xml:space="preserve"> </w:t>
      </w:r>
      <w:r w:rsidRPr="00EC7F41">
        <w:rPr>
          <w:rFonts w:cs="David" w:hint="eastAsia"/>
          <w:sz w:val="20"/>
          <w:szCs w:val="20"/>
          <w:rtl/>
        </w:rPr>
        <w:t>נחשף</w:t>
      </w:r>
      <w:r w:rsidRPr="00EC7F41">
        <w:rPr>
          <w:rFonts w:cs="David"/>
          <w:sz w:val="20"/>
          <w:szCs w:val="20"/>
          <w:rtl/>
        </w:rPr>
        <w:t xml:space="preserve"> </w:t>
      </w:r>
      <w:r w:rsidRPr="00EC7F41">
        <w:rPr>
          <w:rFonts w:cs="David" w:hint="eastAsia"/>
          <w:sz w:val="20"/>
          <w:szCs w:val="20"/>
          <w:rtl/>
        </w:rPr>
        <w:t>לפגיעה</w:t>
      </w:r>
      <w:r w:rsidRPr="00EC7F41">
        <w:rPr>
          <w:rFonts w:cs="David"/>
          <w:sz w:val="20"/>
          <w:szCs w:val="20"/>
          <w:rtl/>
        </w:rPr>
        <w:t xml:space="preserve"> </w:t>
      </w:r>
      <w:r w:rsidRPr="00EC7F41">
        <w:rPr>
          <w:rFonts w:cs="David" w:hint="eastAsia"/>
          <w:sz w:val="20"/>
          <w:szCs w:val="20"/>
          <w:rtl/>
        </w:rPr>
        <w:t>בזכויותיו</w:t>
      </w:r>
      <w:r w:rsidRPr="00EC7F41">
        <w:rPr>
          <w:rFonts w:cs="David"/>
          <w:sz w:val="20"/>
          <w:szCs w:val="20"/>
          <w:rtl/>
        </w:rPr>
        <w:t xml:space="preserve"> </w:t>
      </w:r>
      <w:r w:rsidRPr="00EC7F41">
        <w:rPr>
          <w:rFonts w:cs="David" w:hint="eastAsia"/>
          <w:sz w:val="20"/>
          <w:szCs w:val="20"/>
          <w:rtl/>
        </w:rPr>
        <w:t>על</w:t>
      </w:r>
      <w:r w:rsidRPr="00EC7F41">
        <w:rPr>
          <w:rFonts w:cs="David"/>
          <w:sz w:val="20"/>
          <w:szCs w:val="20"/>
          <w:rtl/>
        </w:rPr>
        <w:t xml:space="preserve"> </w:t>
      </w:r>
      <w:r w:rsidRPr="00EC7F41">
        <w:rPr>
          <w:rFonts w:cs="David" w:hint="eastAsia"/>
          <w:sz w:val="20"/>
          <w:szCs w:val="20"/>
          <w:rtl/>
        </w:rPr>
        <w:t>ידי</w:t>
      </w:r>
      <w:r w:rsidRPr="00EC7F41">
        <w:rPr>
          <w:rFonts w:cs="David"/>
          <w:sz w:val="20"/>
          <w:szCs w:val="20"/>
          <w:rtl/>
        </w:rPr>
        <w:t xml:space="preserve"> </w:t>
      </w:r>
      <w:r w:rsidRPr="00EC7F41">
        <w:rPr>
          <w:rFonts w:cs="David" w:hint="eastAsia"/>
          <w:sz w:val="20"/>
          <w:szCs w:val="20"/>
          <w:rtl/>
        </w:rPr>
        <w:t>גורם</w:t>
      </w:r>
      <w:r w:rsidRPr="00EC7F41">
        <w:rPr>
          <w:rFonts w:cs="David"/>
          <w:sz w:val="20"/>
          <w:szCs w:val="20"/>
          <w:rtl/>
        </w:rPr>
        <w:t xml:space="preserve"> </w:t>
      </w:r>
      <w:r w:rsidRPr="00EC7F41">
        <w:rPr>
          <w:rFonts w:cs="David" w:hint="eastAsia"/>
          <w:sz w:val="20"/>
          <w:szCs w:val="20"/>
          <w:rtl/>
        </w:rPr>
        <w:t>המונע</w:t>
      </w:r>
      <w:r w:rsidRPr="00EC7F41">
        <w:rPr>
          <w:rFonts w:cs="David"/>
          <w:sz w:val="20"/>
          <w:szCs w:val="20"/>
          <w:rtl/>
        </w:rPr>
        <w:t xml:space="preserve"> </w:t>
      </w:r>
      <w:r w:rsidRPr="00EC7F41">
        <w:rPr>
          <w:rFonts w:cs="David" w:hint="eastAsia"/>
          <w:sz w:val="20"/>
          <w:szCs w:val="20"/>
          <w:rtl/>
        </w:rPr>
        <w:t>ממערכת</w:t>
      </w:r>
      <w:r w:rsidRPr="00EC7F41">
        <w:rPr>
          <w:rFonts w:cs="David"/>
          <w:sz w:val="20"/>
          <w:szCs w:val="20"/>
          <w:rtl/>
        </w:rPr>
        <w:t xml:space="preserve"> </w:t>
      </w:r>
      <w:r w:rsidRPr="00EC7F41">
        <w:rPr>
          <w:rFonts w:cs="David" w:hint="eastAsia"/>
          <w:sz w:val="20"/>
          <w:szCs w:val="20"/>
          <w:rtl/>
        </w:rPr>
        <w:t>שיקולים</w:t>
      </w:r>
      <w:r w:rsidRPr="00EC7F41">
        <w:rPr>
          <w:rFonts w:cs="David"/>
          <w:sz w:val="20"/>
          <w:szCs w:val="20"/>
          <w:rtl/>
        </w:rPr>
        <w:t xml:space="preserve"> </w:t>
      </w:r>
      <w:r w:rsidRPr="00EC7F41">
        <w:rPr>
          <w:rFonts w:cs="David" w:hint="eastAsia"/>
          <w:sz w:val="20"/>
          <w:szCs w:val="20"/>
          <w:rtl/>
        </w:rPr>
        <w:t>ואינטרסים</w:t>
      </w:r>
      <w:r w:rsidRPr="00EC7F41">
        <w:rPr>
          <w:rFonts w:cs="David"/>
          <w:sz w:val="20"/>
          <w:szCs w:val="20"/>
          <w:rtl/>
        </w:rPr>
        <w:t xml:space="preserve"> </w:t>
      </w:r>
      <w:r w:rsidRPr="00EC7F41">
        <w:rPr>
          <w:rFonts w:cs="David" w:hint="eastAsia"/>
          <w:sz w:val="20"/>
          <w:szCs w:val="20"/>
          <w:rtl/>
        </w:rPr>
        <w:t>שונה</w:t>
      </w:r>
      <w:r w:rsidRPr="00EC7F41">
        <w:rPr>
          <w:rFonts w:cs="David"/>
          <w:sz w:val="20"/>
          <w:szCs w:val="20"/>
          <w:rtl/>
        </w:rPr>
        <w:t xml:space="preserve"> </w:t>
      </w:r>
      <w:r w:rsidRPr="00EC7F41">
        <w:rPr>
          <w:rFonts w:cs="David" w:hint="eastAsia"/>
          <w:sz w:val="20"/>
          <w:szCs w:val="20"/>
          <w:rtl/>
        </w:rPr>
        <w:t>מזו</w:t>
      </w:r>
      <w:r w:rsidRPr="00EC7F41">
        <w:rPr>
          <w:rFonts w:cs="David"/>
          <w:sz w:val="20"/>
          <w:szCs w:val="20"/>
          <w:rtl/>
        </w:rPr>
        <w:t xml:space="preserve"> </w:t>
      </w:r>
      <w:r w:rsidRPr="00EC7F41">
        <w:rPr>
          <w:rFonts w:cs="David" w:hint="eastAsia"/>
          <w:sz w:val="20"/>
          <w:szCs w:val="20"/>
          <w:rtl/>
        </w:rPr>
        <w:t>המניעה</w:t>
      </w:r>
      <w:r w:rsidRPr="00EC7F41">
        <w:rPr>
          <w:rFonts w:cs="David"/>
          <w:sz w:val="20"/>
          <w:szCs w:val="20"/>
          <w:rtl/>
        </w:rPr>
        <w:t xml:space="preserve"> </w:t>
      </w:r>
      <w:r w:rsidRPr="00EC7F41">
        <w:rPr>
          <w:rFonts w:cs="David" w:hint="eastAsia"/>
          <w:sz w:val="20"/>
          <w:szCs w:val="20"/>
          <w:rtl/>
        </w:rPr>
        <w:t>את</w:t>
      </w:r>
      <w:r w:rsidRPr="00EC7F41">
        <w:rPr>
          <w:rFonts w:cs="David"/>
          <w:sz w:val="20"/>
          <w:szCs w:val="20"/>
          <w:rtl/>
        </w:rPr>
        <w:t xml:space="preserve"> </w:t>
      </w:r>
      <w:r w:rsidRPr="00EC7F41">
        <w:rPr>
          <w:rFonts w:cs="David" w:hint="eastAsia"/>
          <w:sz w:val="20"/>
          <w:szCs w:val="20"/>
          <w:rtl/>
        </w:rPr>
        <w:t>המדינה</w:t>
      </w:r>
      <w:r w:rsidRPr="00EC7F41">
        <w:rPr>
          <w:rFonts w:cs="David"/>
          <w:sz w:val="20"/>
          <w:szCs w:val="20"/>
          <w:rtl/>
        </w:rPr>
        <w:t xml:space="preserve"> </w:t>
      </w:r>
      <w:r w:rsidRPr="00EC7F41">
        <w:rPr>
          <w:rFonts w:cs="David" w:hint="eastAsia"/>
          <w:sz w:val="20"/>
          <w:szCs w:val="20"/>
          <w:rtl/>
        </w:rPr>
        <w:t>כאשר</w:t>
      </w:r>
      <w:r w:rsidRPr="00EC7F41">
        <w:rPr>
          <w:rFonts w:cs="David"/>
          <w:sz w:val="20"/>
          <w:szCs w:val="20"/>
          <w:rtl/>
        </w:rPr>
        <w:t xml:space="preserve"> </w:t>
      </w:r>
      <w:r w:rsidRPr="00EC7F41">
        <w:rPr>
          <w:rFonts w:cs="David" w:hint="eastAsia"/>
          <w:sz w:val="20"/>
          <w:szCs w:val="20"/>
          <w:rtl/>
        </w:rPr>
        <w:t>זו</w:t>
      </w:r>
      <w:r w:rsidRPr="00EC7F41">
        <w:rPr>
          <w:rFonts w:cs="David"/>
          <w:sz w:val="20"/>
          <w:szCs w:val="20"/>
          <w:rtl/>
        </w:rPr>
        <w:t xml:space="preserve"> </w:t>
      </w:r>
      <w:r w:rsidRPr="00EC7F41">
        <w:rPr>
          <w:rFonts w:cs="David" w:hint="eastAsia"/>
          <w:sz w:val="20"/>
          <w:szCs w:val="20"/>
          <w:rtl/>
        </w:rPr>
        <w:t>מנהלת</w:t>
      </w:r>
      <w:r w:rsidRPr="00EC7F41">
        <w:rPr>
          <w:rFonts w:cs="David"/>
          <w:sz w:val="20"/>
          <w:szCs w:val="20"/>
          <w:rtl/>
        </w:rPr>
        <w:t xml:space="preserve"> </w:t>
      </w:r>
      <w:r w:rsidRPr="00EC7F41">
        <w:rPr>
          <w:rFonts w:cs="David" w:hint="eastAsia"/>
          <w:sz w:val="20"/>
          <w:szCs w:val="20"/>
          <w:rtl/>
        </w:rPr>
        <w:t>ומפעילה</w:t>
      </w:r>
      <w:r w:rsidRPr="00EC7F41">
        <w:rPr>
          <w:rFonts w:cs="David"/>
          <w:sz w:val="20"/>
          <w:szCs w:val="20"/>
          <w:rtl/>
        </w:rPr>
        <w:t xml:space="preserve"> </w:t>
      </w:r>
      <w:r w:rsidRPr="00EC7F41">
        <w:rPr>
          <w:rFonts w:cs="David" w:hint="eastAsia"/>
          <w:sz w:val="20"/>
          <w:szCs w:val="20"/>
          <w:rtl/>
        </w:rPr>
        <w:t>את</w:t>
      </w:r>
      <w:r w:rsidRPr="00EC7F41">
        <w:rPr>
          <w:rFonts w:cs="David"/>
          <w:sz w:val="20"/>
          <w:szCs w:val="20"/>
          <w:rtl/>
        </w:rPr>
        <w:t xml:space="preserve"> </w:t>
      </w:r>
      <w:r w:rsidRPr="00EC7F41">
        <w:rPr>
          <w:rFonts w:cs="David" w:hint="eastAsia"/>
          <w:sz w:val="20"/>
          <w:szCs w:val="20"/>
          <w:rtl/>
        </w:rPr>
        <w:t>בתי</w:t>
      </w:r>
      <w:r w:rsidRPr="00EC7F41">
        <w:rPr>
          <w:rFonts w:cs="David"/>
          <w:sz w:val="20"/>
          <w:szCs w:val="20"/>
          <w:rtl/>
        </w:rPr>
        <w:t xml:space="preserve"> </w:t>
      </w:r>
      <w:r w:rsidRPr="00EC7F41">
        <w:rPr>
          <w:rFonts w:cs="David" w:hint="eastAsia"/>
          <w:sz w:val="20"/>
          <w:szCs w:val="20"/>
          <w:rtl/>
        </w:rPr>
        <w:t>הסוהר</w:t>
      </w:r>
      <w:r w:rsidRPr="00EC7F41">
        <w:rPr>
          <w:rFonts w:cs="David"/>
          <w:sz w:val="20"/>
          <w:szCs w:val="20"/>
          <w:rtl/>
        </w:rPr>
        <w:t xml:space="preserve"> </w:t>
      </w:r>
      <w:r w:rsidRPr="00EC7F41">
        <w:rPr>
          <w:rFonts w:cs="David" w:hint="eastAsia"/>
          <w:sz w:val="20"/>
          <w:szCs w:val="20"/>
          <w:rtl/>
        </w:rPr>
        <w:t>הממשלתיים</w:t>
      </w:r>
      <w:r w:rsidRPr="00EC7F41">
        <w:rPr>
          <w:rFonts w:cs="David"/>
          <w:sz w:val="20"/>
          <w:szCs w:val="20"/>
          <w:rtl/>
        </w:rPr>
        <w:t xml:space="preserve">. </w:t>
      </w:r>
    </w:p>
    <w:p w:rsidR="005366A8" w:rsidRPr="00EC7F41" w:rsidRDefault="005366A8" w:rsidP="005366A8">
      <w:pPr>
        <w:spacing w:after="60"/>
        <w:ind w:firstLine="720"/>
        <w:rPr>
          <w:rFonts w:cs="David"/>
          <w:sz w:val="20"/>
          <w:szCs w:val="20"/>
          <w:rtl/>
        </w:rPr>
      </w:pPr>
      <w:r w:rsidRPr="00EC7F41">
        <w:rPr>
          <w:rFonts w:cs="David" w:hint="cs"/>
          <w:sz w:val="20"/>
          <w:szCs w:val="20"/>
          <w:rtl/>
        </w:rPr>
        <w:t xml:space="preserve">עוד קבעה </w:t>
      </w:r>
      <w:r w:rsidRPr="00EC7F41">
        <w:rPr>
          <w:rFonts w:cs="David" w:hint="eastAsia"/>
          <w:sz w:val="20"/>
          <w:szCs w:val="20"/>
          <w:rtl/>
        </w:rPr>
        <w:t>הנשיאה</w:t>
      </w:r>
      <w:r w:rsidRPr="00EC7F41">
        <w:rPr>
          <w:rFonts w:cs="David"/>
          <w:sz w:val="20"/>
          <w:szCs w:val="20"/>
          <w:rtl/>
        </w:rPr>
        <w:t xml:space="preserve"> </w:t>
      </w:r>
      <w:r w:rsidRPr="00EC7F41">
        <w:rPr>
          <w:rFonts w:cs="David" w:hint="eastAsia"/>
          <w:sz w:val="20"/>
          <w:szCs w:val="20"/>
          <w:rtl/>
        </w:rPr>
        <w:t>כי</w:t>
      </w:r>
      <w:r w:rsidRPr="00EC7F41">
        <w:rPr>
          <w:rFonts w:cs="David" w:hint="cs"/>
          <w:sz w:val="20"/>
          <w:szCs w:val="20"/>
          <w:rtl/>
        </w:rPr>
        <w:t xml:space="preserve"> לא</w:t>
      </w:r>
      <w:r w:rsidRPr="00EC7F41">
        <w:rPr>
          <w:rFonts w:cs="David"/>
          <w:sz w:val="20"/>
          <w:szCs w:val="20"/>
          <w:rtl/>
        </w:rPr>
        <w:t xml:space="preserve"> </w:t>
      </w:r>
      <w:r w:rsidRPr="00EC7F41">
        <w:rPr>
          <w:rFonts w:cs="David" w:hint="eastAsia"/>
          <w:sz w:val="20"/>
          <w:szCs w:val="20"/>
          <w:rtl/>
        </w:rPr>
        <w:t>ניתן</w:t>
      </w:r>
      <w:r w:rsidRPr="00EC7F41">
        <w:rPr>
          <w:rFonts w:cs="David"/>
          <w:sz w:val="20"/>
          <w:szCs w:val="20"/>
          <w:rtl/>
        </w:rPr>
        <w:t xml:space="preserve"> </w:t>
      </w:r>
      <w:r w:rsidRPr="00EC7F41">
        <w:rPr>
          <w:rFonts w:cs="David" w:hint="eastAsia"/>
          <w:sz w:val="20"/>
          <w:szCs w:val="20"/>
          <w:rtl/>
        </w:rPr>
        <w:t>לראות</w:t>
      </w:r>
      <w:r w:rsidRPr="00EC7F41">
        <w:rPr>
          <w:rFonts w:cs="David"/>
          <w:sz w:val="20"/>
          <w:szCs w:val="20"/>
          <w:rtl/>
        </w:rPr>
        <w:t xml:space="preserve"> </w:t>
      </w:r>
      <w:r w:rsidRPr="00EC7F41">
        <w:rPr>
          <w:rFonts w:cs="David" w:hint="eastAsia"/>
          <w:sz w:val="20"/>
          <w:szCs w:val="20"/>
          <w:rtl/>
        </w:rPr>
        <w:t>בסמכויות</w:t>
      </w:r>
      <w:r w:rsidRPr="00EC7F41">
        <w:rPr>
          <w:rFonts w:cs="David"/>
          <w:sz w:val="20"/>
          <w:szCs w:val="20"/>
          <w:rtl/>
        </w:rPr>
        <w:t xml:space="preserve"> </w:t>
      </w:r>
      <w:r w:rsidRPr="00EC7F41">
        <w:rPr>
          <w:rFonts w:cs="David" w:hint="eastAsia"/>
          <w:sz w:val="20"/>
          <w:szCs w:val="20"/>
          <w:rtl/>
        </w:rPr>
        <w:t>הניתנות</w:t>
      </w:r>
      <w:r w:rsidRPr="00EC7F41">
        <w:rPr>
          <w:rFonts w:cs="David"/>
          <w:sz w:val="20"/>
          <w:szCs w:val="20"/>
          <w:rtl/>
        </w:rPr>
        <w:t xml:space="preserve"> </w:t>
      </w:r>
      <w:r w:rsidRPr="00EC7F41">
        <w:rPr>
          <w:rFonts w:cs="David" w:hint="eastAsia"/>
          <w:sz w:val="20"/>
          <w:szCs w:val="20"/>
          <w:rtl/>
        </w:rPr>
        <w:t>לזכיין</w:t>
      </w:r>
      <w:r w:rsidRPr="00EC7F41">
        <w:rPr>
          <w:rFonts w:cs="David"/>
          <w:sz w:val="20"/>
          <w:szCs w:val="20"/>
          <w:rtl/>
        </w:rPr>
        <w:t xml:space="preserve"> </w:t>
      </w:r>
      <w:r w:rsidRPr="00EC7F41">
        <w:rPr>
          <w:rFonts w:cs="David" w:hint="eastAsia"/>
          <w:sz w:val="20"/>
          <w:szCs w:val="20"/>
          <w:rtl/>
        </w:rPr>
        <w:t>ועובדיו</w:t>
      </w:r>
      <w:r w:rsidRPr="00EC7F41">
        <w:rPr>
          <w:rFonts w:cs="David"/>
          <w:sz w:val="20"/>
          <w:szCs w:val="20"/>
          <w:rtl/>
        </w:rPr>
        <w:t xml:space="preserve"> </w:t>
      </w:r>
      <w:r w:rsidRPr="00EC7F41">
        <w:rPr>
          <w:rFonts w:cs="David" w:hint="eastAsia"/>
          <w:sz w:val="20"/>
          <w:szCs w:val="20"/>
          <w:rtl/>
        </w:rPr>
        <w:t>הסתייעות</w:t>
      </w:r>
      <w:r w:rsidRPr="00EC7F41">
        <w:rPr>
          <w:rFonts w:cs="David"/>
          <w:sz w:val="20"/>
          <w:szCs w:val="20"/>
          <w:rtl/>
        </w:rPr>
        <w:t xml:space="preserve"> </w:t>
      </w:r>
      <w:r w:rsidRPr="00EC7F41">
        <w:rPr>
          <w:rFonts w:cs="David" w:hint="eastAsia"/>
          <w:sz w:val="20"/>
          <w:szCs w:val="20"/>
          <w:rtl/>
        </w:rPr>
        <w:t>באחר</w:t>
      </w:r>
      <w:r w:rsidRPr="00EC7F41">
        <w:rPr>
          <w:rFonts w:cs="David"/>
          <w:sz w:val="20"/>
          <w:szCs w:val="20"/>
          <w:rtl/>
        </w:rPr>
        <w:t xml:space="preserve"> </w:t>
      </w:r>
      <w:r w:rsidRPr="00EC7F41">
        <w:rPr>
          <w:rFonts w:cs="David" w:hint="eastAsia"/>
          <w:sz w:val="20"/>
          <w:szCs w:val="20"/>
          <w:rtl/>
        </w:rPr>
        <w:t>שכן</w:t>
      </w:r>
      <w:r w:rsidRPr="00EC7F41">
        <w:rPr>
          <w:rFonts w:cs="David"/>
          <w:sz w:val="20"/>
          <w:szCs w:val="20"/>
          <w:rtl/>
        </w:rPr>
        <w:t xml:space="preserve"> </w:t>
      </w:r>
      <w:r w:rsidRPr="00EC7F41">
        <w:rPr>
          <w:rFonts w:cs="David" w:hint="eastAsia"/>
          <w:sz w:val="20"/>
          <w:szCs w:val="20"/>
          <w:rtl/>
        </w:rPr>
        <w:t>מדובר</w:t>
      </w:r>
      <w:r w:rsidRPr="00EC7F41">
        <w:rPr>
          <w:rFonts w:cs="David"/>
          <w:sz w:val="20"/>
          <w:szCs w:val="20"/>
          <w:rtl/>
        </w:rPr>
        <w:t xml:space="preserve"> </w:t>
      </w:r>
      <w:r w:rsidRPr="00EC7F41">
        <w:rPr>
          <w:rFonts w:cs="David" w:hint="eastAsia"/>
          <w:sz w:val="20"/>
          <w:szCs w:val="20"/>
          <w:rtl/>
        </w:rPr>
        <w:t>בסמכויות</w:t>
      </w:r>
      <w:r w:rsidRPr="00EC7F41">
        <w:rPr>
          <w:rFonts w:cs="David"/>
          <w:sz w:val="20"/>
          <w:szCs w:val="20"/>
          <w:rtl/>
        </w:rPr>
        <w:t xml:space="preserve"> </w:t>
      </w:r>
      <w:r w:rsidRPr="00EC7F41">
        <w:rPr>
          <w:rFonts w:cs="David" w:hint="eastAsia"/>
          <w:sz w:val="20"/>
          <w:szCs w:val="20"/>
          <w:rtl/>
        </w:rPr>
        <w:t>פוגעניות</w:t>
      </w:r>
      <w:r w:rsidRPr="00EC7F41">
        <w:rPr>
          <w:rFonts w:cs="David"/>
          <w:sz w:val="20"/>
          <w:szCs w:val="20"/>
          <w:rtl/>
        </w:rPr>
        <w:t xml:space="preserve">, </w:t>
      </w:r>
      <w:r w:rsidRPr="00EC7F41">
        <w:rPr>
          <w:rFonts w:cs="David" w:hint="eastAsia"/>
          <w:sz w:val="20"/>
          <w:szCs w:val="20"/>
          <w:rtl/>
        </w:rPr>
        <w:t>הכרוכות</w:t>
      </w:r>
      <w:r w:rsidRPr="00EC7F41">
        <w:rPr>
          <w:rFonts w:cs="David"/>
          <w:sz w:val="20"/>
          <w:szCs w:val="20"/>
          <w:rtl/>
        </w:rPr>
        <w:t xml:space="preserve"> </w:t>
      </w:r>
      <w:r w:rsidRPr="00EC7F41">
        <w:rPr>
          <w:rFonts w:cs="David" w:hint="eastAsia"/>
          <w:sz w:val="20"/>
          <w:szCs w:val="20"/>
          <w:rtl/>
        </w:rPr>
        <w:t>באופן</w:t>
      </w:r>
      <w:r w:rsidRPr="00EC7F41">
        <w:rPr>
          <w:rFonts w:cs="David"/>
          <w:sz w:val="20"/>
          <w:szCs w:val="20"/>
          <w:rtl/>
        </w:rPr>
        <w:t xml:space="preserve"> </w:t>
      </w:r>
      <w:r w:rsidRPr="00EC7F41">
        <w:rPr>
          <w:rFonts w:cs="David" w:hint="eastAsia"/>
          <w:sz w:val="20"/>
          <w:szCs w:val="20"/>
          <w:rtl/>
        </w:rPr>
        <w:t>שגרתי</w:t>
      </w:r>
      <w:r w:rsidRPr="00EC7F41">
        <w:rPr>
          <w:rFonts w:cs="David"/>
          <w:sz w:val="20"/>
          <w:szCs w:val="20"/>
          <w:rtl/>
        </w:rPr>
        <w:t xml:space="preserve"> </w:t>
      </w:r>
      <w:r w:rsidRPr="00EC7F41">
        <w:rPr>
          <w:rFonts w:cs="David" w:hint="eastAsia"/>
          <w:sz w:val="20"/>
          <w:szCs w:val="20"/>
          <w:rtl/>
        </w:rPr>
        <w:t>בהפעלת</w:t>
      </w:r>
      <w:r w:rsidRPr="00EC7F41">
        <w:rPr>
          <w:rFonts w:cs="David"/>
          <w:sz w:val="20"/>
          <w:szCs w:val="20"/>
          <w:rtl/>
        </w:rPr>
        <w:t xml:space="preserve"> </w:t>
      </w:r>
      <w:r w:rsidRPr="00EC7F41">
        <w:rPr>
          <w:rFonts w:cs="David" w:hint="eastAsia"/>
          <w:sz w:val="20"/>
          <w:szCs w:val="20"/>
          <w:rtl/>
        </w:rPr>
        <w:t>שיקול</w:t>
      </w:r>
      <w:r w:rsidRPr="00EC7F41">
        <w:rPr>
          <w:rFonts w:cs="David"/>
          <w:sz w:val="20"/>
          <w:szCs w:val="20"/>
          <w:rtl/>
        </w:rPr>
        <w:t xml:space="preserve"> </w:t>
      </w:r>
      <w:r w:rsidRPr="00EC7F41">
        <w:rPr>
          <w:rFonts w:cs="David" w:hint="eastAsia"/>
          <w:sz w:val="20"/>
          <w:szCs w:val="20"/>
          <w:rtl/>
        </w:rPr>
        <w:t>דעת</w:t>
      </w:r>
      <w:r w:rsidRPr="00EC7F41">
        <w:rPr>
          <w:rFonts w:cs="David"/>
          <w:sz w:val="20"/>
          <w:szCs w:val="20"/>
          <w:rtl/>
        </w:rPr>
        <w:t xml:space="preserve">. </w:t>
      </w:r>
      <w:r w:rsidRPr="00EC7F41">
        <w:rPr>
          <w:rFonts w:cs="David" w:hint="eastAsia"/>
          <w:sz w:val="20"/>
          <w:szCs w:val="20"/>
          <w:rtl/>
        </w:rPr>
        <w:t>זאת</w:t>
      </w:r>
      <w:r w:rsidRPr="00EC7F41">
        <w:rPr>
          <w:rFonts w:cs="David"/>
          <w:sz w:val="20"/>
          <w:szCs w:val="20"/>
          <w:rtl/>
        </w:rPr>
        <w:t xml:space="preserve"> </w:t>
      </w:r>
      <w:r w:rsidRPr="00EC7F41">
        <w:rPr>
          <w:rFonts w:cs="David" w:hint="eastAsia"/>
          <w:sz w:val="20"/>
          <w:szCs w:val="20"/>
          <w:rtl/>
        </w:rPr>
        <w:t>ועוד</w:t>
      </w:r>
      <w:r w:rsidRPr="00EC7F41">
        <w:rPr>
          <w:rFonts w:cs="David"/>
          <w:sz w:val="20"/>
          <w:szCs w:val="20"/>
          <w:rtl/>
        </w:rPr>
        <w:t xml:space="preserve">, </w:t>
      </w:r>
      <w:r w:rsidRPr="00EC7F41">
        <w:rPr>
          <w:rFonts w:cs="David" w:hint="eastAsia"/>
          <w:sz w:val="20"/>
          <w:szCs w:val="20"/>
          <w:rtl/>
        </w:rPr>
        <w:t>ניהול</w:t>
      </w:r>
      <w:r w:rsidRPr="00EC7F41">
        <w:rPr>
          <w:rFonts w:cs="David"/>
          <w:sz w:val="20"/>
          <w:szCs w:val="20"/>
          <w:rtl/>
        </w:rPr>
        <w:t xml:space="preserve"> </w:t>
      </w:r>
      <w:r w:rsidRPr="00EC7F41">
        <w:rPr>
          <w:rFonts w:cs="David" w:hint="eastAsia"/>
          <w:sz w:val="20"/>
          <w:szCs w:val="20"/>
          <w:rtl/>
        </w:rPr>
        <w:t>בית</w:t>
      </w:r>
      <w:r w:rsidRPr="00EC7F41">
        <w:rPr>
          <w:rFonts w:cs="David"/>
          <w:sz w:val="20"/>
          <w:szCs w:val="20"/>
          <w:rtl/>
        </w:rPr>
        <w:t xml:space="preserve"> </w:t>
      </w:r>
      <w:r w:rsidRPr="00EC7F41">
        <w:rPr>
          <w:rFonts w:cs="David" w:hint="eastAsia"/>
          <w:sz w:val="20"/>
          <w:szCs w:val="20"/>
          <w:rtl/>
        </w:rPr>
        <w:t>הסוהר</w:t>
      </w:r>
      <w:r w:rsidRPr="00EC7F41">
        <w:rPr>
          <w:rFonts w:cs="David"/>
          <w:sz w:val="20"/>
          <w:szCs w:val="20"/>
          <w:rtl/>
        </w:rPr>
        <w:t xml:space="preserve"> </w:t>
      </w:r>
      <w:r w:rsidRPr="00EC7F41">
        <w:rPr>
          <w:rFonts w:cs="David" w:hint="eastAsia"/>
          <w:sz w:val="20"/>
          <w:szCs w:val="20"/>
          <w:rtl/>
        </w:rPr>
        <w:t>מחייב</w:t>
      </w:r>
      <w:r w:rsidRPr="00EC7F41">
        <w:rPr>
          <w:rFonts w:cs="David"/>
          <w:sz w:val="20"/>
          <w:szCs w:val="20"/>
          <w:rtl/>
        </w:rPr>
        <w:t xml:space="preserve"> </w:t>
      </w:r>
      <w:r w:rsidRPr="00EC7F41">
        <w:rPr>
          <w:rFonts w:cs="David" w:hint="eastAsia"/>
          <w:sz w:val="20"/>
          <w:szCs w:val="20"/>
          <w:rtl/>
        </w:rPr>
        <w:t>התמודדות</w:t>
      </w:r>
      <w:r w:rsidRPr="00EC7F41">
        <w:rPr>
          <w:rFonts w:cs="David"/>
          <w:sz w:val="20"/>
          <w:szCs w:val="20"/>
          <w:rtl/>
        </w:rPr>
        <w:t xml:space="preserve"> </w:t>
      </w:r>
      <w:r w:rsidRPr="00EC7F41">
        <w:rPr>
          <w:rFonts w:cs="David" w:hint="eastAsia"/>
          <w:sz w:val="20"/>
          <w:szCs w:val="20"/>
          <w:rtl/>
        </w:rPr>
        <w:t>עם</w:t>
      </w:r>
      <w:r w:rsidRPr="00EC7F41">
        <w:rPr>
          <w:rFonts w:cs="David"/>
          <w:sz w:val="20"/>
          <w:szCs w:val="20"/>
          <w:rtl/>
        </w:rPr>
        <w:t xml:space="preserve"> </w:t>
      </w:r>
      <w:r w:rsidRPr="00EC7F41">
        <w:rPr>
          <w:rFonts w:cs="David" w:hint="eastAsia"/>
          <w:sz w:val="20"/>
          <w:szCs w:val="20"/>
          <w:rtl/>
        </w:rPr>
        <w:t>סיטואציות</w:t>
      </w:r>
      <w:r w:rsidRPr="00EC7F41">
        <w:rPr>
          <w:rFonts w:cs="David"/>
          <w:sz w:val="20"/>
          <w:szCs w:val="20"/>
          <w:rtl/>
        </w:rPr>
        <w:t xml:space="preserve"> </w:t>
      </w:r>
      <w:r w:rsidRPr="00EC7F41">
        <w:rPr>
          <w:rFonts w:cs="David" w:hint="eastAsia"/>
          <w:sz w:val="20"/>
          <w:szCs w:val="20"/>
          <w:rtl/>
        </w:rPr>
        <w:t>בלתי</w:t>
      </w:r>
      <w:r w:rsidRPr="00EC7F41">
        <w:rPr>
          <w:rFonts w:cs="David"/>
          <w:sz w:val="20"/>
          <w:szCs w:val="20"/>
          <w:rtl/>
        </w:rPr>
        <w:t>-</w:t>
      </w:r>
      <w:r w:rsidRPr="00EC7F41">
        <w:rPr>
          <w:rFonts w:cs="David" w:hint="eastAsia"/>
          <w:sz w:val="20"/>
          <w:szCs w:val="20"/>
          <w:rtl/>
        </w:rPr>
        <w:t>צפויות</w:t>
      </w:r>
      <w:r w:rsidRPr="00EC7F41">
        <w:rPr>
          <w:rFonts w:cs="David"/>
          <w:sz w:val="20"/>
          <w:szCs w:val="20"/>
          <w:rtl/>
        </w:rPr>
        <w:t xml:space="preserve"> </w:t>
      </w:r>
      <w:r w:rsidRPr="00EC7F41">
        <w:rPr>
          <w:rFonts w:cs="David" w:hint="eastAsia"/>
          <w:sz w:val="20"/>
          <w:szCs w:val="20"/>
          <w:rtl/>
        </w:rPr>
        <w:t>תוך</w:t>
      </w:r>
      <w:r w:rsidRPr="00EC7F41">
        <w:rPr>
          <w:rFonts w:cs="David"/>
          <w:sz w:val="20"/>
          <w:szCs w:val="20"/>
          <w:rtl/>
        </w:rPr>
        <w:t xml:space="preserve"> </w:t>
      </w:r>
      <w:r w:rsidRPr="00EC7F41">
        <w:rPr>
          <w:rFonts w:cs="David" w:hint="eastAsia"/>
          <w:sz w:val="20"/>
          <w:szCs w:val="20"/>
          <w:rtl/>
        </w:rPr>
        <w:t>מגע</w:t>
      </w:r>
      <w:r w:rsidRPr="00EC7F41">
        <w:rPr>
          <w:rFonts w:cs="David"/>
          <w:sz w:val="20"/>
          <w:szCs w:val="20"/>
          <w:rtl/>
        </w:rPr>
        <w:t xml:space="preserve"> </w:t>
      </w:r>
      <w:r w:rsidRPr="00EC7F41">
        <w:rPr>
          <w:rFonts w:cs="David" w:hint="eastAsia"/>
          <w:sz w:val="20"/>
          <w:szCs w:val="20"/>
          <w:rtl/>
        </w:rPr>
        <w:t>בלתי</w:t>
      </w:r>
      <w:r w:rsidRPr="00EC7F41">
        <w:rPr>
          <w:rFonts w:cs="David"/>
          <w:sz w:val="20"/>
          <w:szCs w:val="20"/>
          <w:rtl/>
        </w:rPr>
        <w:t xml:space="preserve"> </w:t>
      </w:r>
      <w:r w:rsidRPr="00EC7F41">
        <w:rPr>
          <w:rFonts w:cs="David" w:hint="eastAsia"/>
          <w:sz w:val="20"/>
          <w:szCs w:val="20"/>
          <w:rtl/>
        </w:rPr>
        <w:t>אמצעי</w:t>
      </w:r>
      <w:r w:rsidRPr="00EC7F41">
        <w:rPr>
          <w:rFonts w:cs="David"/>
          <w:sz w:val="20"/>
          <w:szCs w:val="20"/>
          <w:rtl/>
        </w:rPr>
        <w:t xml:space="preserve"> </w:t>
      </w:r>
      <w:r w:rsidRPr="00EC7F41">
        <w:rPr>
          <w:rFonts w:cs="David" w:hint="eastAsia"/>
          <w:sz w:val="20"/>
          <w:szCs w:val="20"/>
          <w:rtl/>
        </w:rPr>
        <w:t>עם</w:t>
      </w:r>
      <w:r w:rsidRPr="00EC7F41">
        <w:rPr>
          <w:rFonts w:cs="David"/>
          <w:sz w:val="20"/>
          <w:szCs w:val="20"/>
          <w:rtl/>
        </w:rPr>
        <w:t xml:space="preserve"> </w:t>
      </w:r>
      <w:r w:rsidRPr="00EC7F41">
        <w:rPr>
          <w:rFonts w:cs="David" w:hint="eastAsia"/>
          <w:sz w:val="20"/>
          <w:szCs w:val="20"/>
          <w:rtl/>
        </w:rPr>
        <w:t>האסירים</w:t>
      </w:r>
      <w:r w:rsidRPr="00EC7F41">
        <w:rPr>
          <w:rFonts w:cs="David"/>
          <w:sz w:val="20"/>
          <w:szCs w:val="20"/>
          <w:rtl/>
        </w:rPr>
        <w:t xml:space="preserve"> </w:t>
      </w:r>
      <w:r w:rsidRPr="00EC7F41">
        <w:rPr>
          <w:rFonts w:cs="David" w:hint="eastAsia"/>
          <w:sz w:val="20"/>
          <w:szCs w:val="20"/>
          <w:rtl/>
        </w:rPr>
        <w:t>וקבלת</w:t>
      </w:r>
      <w:r w:rsidRPr="00EC7F41">
        <w:rPr>
          <w:rFonts w:cs="David"/>
          <w:sz w:val="20"/>
          <w:szCs w:val="20"/>
          <w:rtl/>
        </w:rPr>
        <w:t xml:space="preserve"> </w:t>
      </w:r>
      <w:r w:rsidRPr="00EC7F41">
        <w:rPr>
          <w:rFonts w:cs="David" w:hint="eastAsia"/>
          <w:sz w:val="20"/>
          <w:szCs w:val="20"/>
          <w:rtl/>
        </w:rPr>
        <w:t>החלטות</w:t>
      </w:r>
      <w:r w:rsidRPr="00EC7F41">
        <w:rPr>
          <w:rFonts w:cs="David"/>
          <w:sz w:val="20"/>
          <w:szCs w:val="20"/>
          <w:rtl/>
        </w:rPr>
        <w:t xml:space="preserve"> </w:t>
      </w:r>
      <w:r w:rsidRPr="00EC7F41">
        <w:rPr>
          <w:rFonts w:cs="David" w:hint="eastAsia"/>
          <w:sz w:val="20"/>
          <w:szCs w:val="20"/>
          <w:rtl/>
        </w:rPr>
        <w:t>מהירות</w:t>
      </w:r>
      <w:r w:rsidRPr="00EC7F41">
        <w:rPr>
          <w:rFonts w:cs="David"/>
          <w:sz w:val="20"/>
          <w:szCs w:val="20"/>
          <w:rtl/>
        </w:rPr>
        <w:t xml:space="preserve"> </w:t>
      </w:r>
      <w:r w:rsidRPr="00EC7F41">
        <w:rPr>
          <w:rFonts w:cs="David" w:hint="eastAsia"/>
          <w:sz w:val="20"/>
          <w:szCs w:val="20"/>
          <w:rtl/>
        </w:rPr>
        <w:t>באופן</w:t>
      </w:r>
      <w:r w:rsidRPr="00EC7F41">
        <w:rPr>
          <w:rFonts w:cs="David"/>
          <w:sz w:val="20"/>
          <w:szCs w:val="20"/>
          <w:rtl/>
        </w:rPr>
        <w:t xml:space="preserve"> </w:t>
      </w:r>
      <w:r w:rsidRPr="00EC7F41">
        <w:rPr>
          <w:rFonts w:cs="David" w:hint="eastAsia"/>
          <w:sz w:val="20"/>
          <w:szCs w:val="20"/>
          <w:rtl/>
        </w:rPr>
        <w:t>מיידי</w:t>
      </w:r>
      <w:r w:rsidRPr="00EC7F41">
        <w:rPr>
          <w:rFonts w:cs="David"/>
          <w:sz w:val="20"/>
          <w:szCs w:val="20"/>
          <w:rtl/>
        </w:rPr>
        <w:t xml:space="preserve">, </w:t>
      </w:r>
      <w:r w:rsidRPr="00EC7F41">
        <w:rPr>
          <w:rFonts w:cs="David" w:hint="cs"/>
          <w:sz w:val="20"/>
          <w:szCs w:val="20"/>
          <w:rtl/>
        </w:rPr>
        <w:t>בעוד ש</w:t>
      </w:r>
      <w:r w:rsidRPr="00EC7F41">
        <w:rPr>
          <w:rFonts w:cs="David" w:hint="eastAsia"/>
          <w:sz w:val="20"/>
          <w:szCs w:val="20"/>
          <w:rtl/>
        </w:rPr>
        <w:t>הפיקוח</w:t>
      </w:r>
      <w:r w:rsidRPr="00EC7F41">
        <w:rPr>
          <w:rFonts w:cs="David"/>
          <w:sz w:val="20"/>
          <w:szCs w:val="20"/>
          <w:rtl/>
        </w:rPr>
        <w:t xml:space="preserve"> </w:t>
      </w:r>
      <w:r w:rsidRPr="00EC7F41">
        <w:rPr>
          <w:rFonts w:cs="David" w:hint="eastAsia"/>
          <w:sz w:val="20"/>
          <w:szCs w:val="20"/>
          <w:rtl/>
        </w:rPr>
        <w:t>והבקרה</w:t>
      </w:r>
      <w:r w:rsidRPr="00EC7F41">
        <w:rPr>
          <w:rFonts w:cs="David"/>
          <w:sz w:val="20"/>
          <w:szCs w:val="20"/>
          <w:rtl/>
        </w:rPr>
        <w:t xml:space="preserve"> </w:t>
      </w:r>
      <w:r w:rsidRPr="00EC7F41">
        <w:rPr>
          <w:rFonts w:cs="David" w:hint="eastAsia"/>
          <w:sz w:val="20"/>
          <w:szCs w:val="20"/>
          <w:rtl/>
        </w:rPr>
        <w:t>על</w:t>
      </w:r>
      <w:r w:rsidRPr="00EC7F41">
        <w:rPr>
          <w:rFonts w:cs="David"/>
          <w:sz w:val="20"/>
          <w:szCs w:val="20"/>
          <w:rtl/>
        </w:rPr>
        <w:t xml:space="preserve"> </w:t>
      </w:r>
      <w:r w:rsidRPr="00EC7F41">
        <w:rPr>
          <w:rFonts w:cs="David" w:hint="eastAsia"/>
          <w:sz w:val="20"/>
          <w:szCs w:val="20"/>
          <w:rtl/>
        </w:rPr>
        <w:t>קבלת</w:t>
      </w:r>
      <w:r w:rsidRPr="00EC7F41">
        <w:rPr>
          <w:rFonts w:cs="David"/>
          <w:sz w:val="20"/>
          <w:szCs w:val="20"/>
          <w:rtl/>
        </w:rPr>
        <w:t xml:space="preserve"> </w:t>
      </w:r>
      <w:r w:rsidRPr="00EC7F41">
        <w:rPr>
          <w:rFonts w:cs="David" w:hint="eastAsia"/>
          <w:sz w:val="20"/>
          <w:szCs w:val="20"/>
          <w:rtl/>
        </w:rPr>
        <w:t>ההחלטות</w:t>
      </w:r>
      <w:r w:rsidRPr="00EC7F41">
        <w:rPr>
          <w:rFonts w:cs="David"/>
          <w:sz w:val="20"/>
          <w:szCs w:val="20"/>
          <w:rtl/>
        </w:rPr>
        <w:t xml:space="preserve"> </w:t>
      </w:r>
      <w:r w:rsidRPr="00EC7F41">
        <w:rPr>
          <w:rFonts w:cs="David" w:hint="eastAsia"/>
          <w:sz w:val="20"/>
          <w:szCs w:val="20"/>
          <w:rtl/>
        </w:rPr>
        <w:t>ועל</w:t>
      </w:r>
      <w:r w:rsidRPr="00EC7F41">
        <w:rPr>
          <w:rFonts w:cs="David"/>
          <w:sz w:val="20"/>
          <w:szCs w:val="20"/>
          <w:rtl/>
        </w:rPr>
        <w:t xml:space="preserve"> </w:t>
      </w:r>
      <w:r w:rsidRPr="00EC7F41">
        <w:rPr>
          <w:rFonts w:cs="David" w:hint="eastAsia"/>
          <w:sz w:val="20"/>
          <w:szCs w:val="20"/>
          <w:rtl/>
        </w:rPr>
        <w:t>אופן</w:t>
      </w:r>
      <w:r w:rsidRPr="00EC7F41">
        <w:rPr>
          <w:rFonts w:cs="David"/>
          <w:sz w:val="20"/>
          <w:szCs w:val="20"/>
          <w:rtl/>
        </w:rPr>
        <w:t xml:space="preserve"> </w:t>
      </w:r>
      <w:r w:rsidRPr="00EC7F41">
        <w:rPr>
          <w:rFonts w:cs="David" w:hint="eastAsia"/>
          <w:sz w:val="20"/>
          <w:szCs w:val="20"/>
          <w:rtl/>
        </w:rPr>
        <w:t>הפעלת</w:t>
      </w:r>
      <w:r w:rsidRPr="00EC7F41">
        <w:rPr>
          <w:rFonts w:cs="David"/>
          <w:sz w:val="20"/>
          <w:szCs w:val="20"/>
          <w:rtl/>
        </w:rPr>
        <w:t xml:space="preserve"> </w:t>
      </w:r>
      <w:r w:rsidRPr="00EC7F41">
        <w:rPr>
          <w:rFonts w:cs="David" w:hint="eastAsia"/>
          <w:sz w:val="20"/>
          <w:szCs w:val="20"/>
          <w:rtl/>
        </w:rPr>
        <w:t>שיקול</w:t>
      </w:r>
      <w:r w:rsidRPr="00EC7F41">
        <w:rPr>
          <w:rFonts w:cs="David"/>
          <w:sz w:val="20"/>
          <w:szCs w:val="20"/>
          <w:rtl/>
        </w:rPr>
        <w:t xml:space="preserve"> </w:t>
      </w:r>
      <w:r w:rsidRPr="00EC7F41">
        <w:rPr>
          <w:rFonts w:cs="David" w:hint="eastAsia"/>
          <w:sz w:val="20"/>
          <w:szCs w:val="20"/>
          <w:rtl/>
        </w:rPr>
        <w:t>הדעת</w:t>
      </w:r>
      <w:r w:rsidRPr="00EC7F41">
        <w:rPr>
          <w:rFonts w:cs="David"/>
          <w:sz w:val="20"/>
          <w:szCs w:val="20"/>
          <w:rtl/>
        </w:rPr>
        <w:t xml:space="preserve"> </w:t>
      </w:r>
      <w:r w:rsidRPr="00EC7F41">
        <w:rPr>
          <w:rFonts w:cs="David" w:hint="eastAsia"/>
          <w:sz w:val="20"/>
          <w:szCs w:val="20"/>
          <w:rtl/>
        </w:rPr>
        <w:t>יכולים</w:t>
      </w:r>
      <w:r w:rsidRPr="00EC7F41">
        <w:rPr>
          <w:rFonts w:cs="David"/>
          <w:sz w:val="20"/>
          <w:szCs w:val="20"/>
          <w:rtl/>
        </w:rPr>
        <w:t xml:space="preserve"> </w:t>
      </w:r>
      <w:r w:rsidRPr="00EC7F41">
        <w:rPr>
          <w:rFonts w:cs="David" w:hint="eastAsia"/>
          <w:sz w:val="20"/>
          <w:szCs w:val="20"/>
          <w:rtl/>
        </w:rPr>
        <w:t>להיעשות</w:t>
      </w:r>
      <w:r w:rsidRPr="00EC7F41">
        <w:rPr>
          <w:rFonts w:cs="David"/>
          <w:sz w:val="20"/>
          <w:szCs w:val="20"/>
          <w:rtl/>
        </w:rPr>
        <w:t xml:space="preserve"> </w:t>
      </w:r>
      <w:r w:rsidRPr="00EC7F41">
        <w:rPr>
          <w:rFonts w:cs="David" w:hint="eastAsia"/>
          <w:sz w:val="20"/>
          <w:szCs w:val="20"/>
          <w:rtl/>
        </w:rPr>
        <w:t>רק</w:t>
      </w:r>
      <w:r w:rsidRPr="00EC7F41">
        <w:rPr>
          <w:rFonts w:cs="David"/>
          <w:sz w:val="20"/>
          <w:szCs w:val="20"/>
          <w:rtl/>
        </w:rPr>
        <w:t xml:space="preserve"> </w:t>
      </w:r>
      <w:r w:rsidRPr="00EC7F41">
        <w:rPr>
          <w:rFonts w:cs="David" w:hint="eastAsia"/>
          <w:sz w:val="20"/>
          <w:szCs w:val="20"/>
          <w:rtl/>
        </w:rPr>
        <w:t>בדיעבד</w:t>
      </w:r>
      <w:r w:rsidRPr="00EC7F41">
        <w:rPr>
          <w:rFonts w:cs="David"/>
          <w:sz w:val="20"/>
          <w:szCs w:val="20"/>
          <w:rtl/>
        </w:rPr>
        <w:t xml:space="preserve">. </w:t>
      </w:r>
    </w:p>
    <w:p w:rsidR="005366A8" w:rsidRPr="00EC7F41" w:rsidRDefault="005366A8" w:rsidP="005366A8">
      <w:pPr>
        <w:spacing w:after="60"/>
        <w:ind w:firstLine="720"/>
        <w:rPr>
          <w:rFonts w:cs="David"/>
          <w:sz w:val="20"/>
          <w:szCs w:val="20"/>
          <w:rtl/>
        </w:rPr>
      </w:pPr>
      <w:r w:rsidRPr="006A199E">
        <w:rPr>
          <w:rFonts w:cs="David" w:hint="eastAsia"/>
          <w:sz w:val="20"/>
          <w:szCs w:val="20"/>
          <w:highlight w:val="yellow"/>
          <w:rtl/>
        </w:rPr>
        <w:t>מעבר</w:t>
      </w:r>
      <w:r w:rsidRPr="006A199E">
        <w:rPr>
          <w:rFonts w:cs="David"/>
          <w:sz w:val="20"/>
          <w:szCs w:val="20"/>
          <w:highlight w:val="yellow"/>
          <w:rtl/>
        </w:rPr>
        <w:t xml:space="preserve"> </w:t>
      </w:r>
      <w:r w:rsidRPr="006A199E">
        <w:rPr>
          <w:rFonts w:cs="David" w:hint="eastAsia"/>
          <w:sz w:val="20"/>
          <w:szCs w:val="20"/>
          <w:highlight w:val="yellow"/>
          <w:rtl/>
        </w:rPr>
        <w:t>לפגיעה</w:t>
      </w:r>
      <w:r w:rsidRPr="006A199E">
        <w:rPr>
          <w:rFonts w:cs="David"/>
          <w:sz w:val="20"/>
          <w:szCs w:val="20"/>
          <w:highlight w:val="yellow"/>
          <w:rtl/>
        </w:rPr>
        <w:t xml:space="preserve"> </w:t>
      </w:r>
      <w:r w:rsidRPr="006A199E">
        <w:rPr>
          <w:rFonts w:cs="David" w:hint="eastAsia"/>
          <w:sz w:val="20"/>
          <w:szCs w:val="20"/>
          <w:highlight w:val="yellow"/>
          <w:rtl/>
        </w:rPr>
        <w:t>בחירות</w:t>
      </w:r>
      <w:r w:rsidRPr="006A199E">
        <w:rPr>
          <w:rFonts w:cs="David"/>
          <w:sz w:val="20"/>
          <w:szCs w:val="20"/>
          <w:highlight w:val="yellow"/>
          <w:rtl/>
        </w:rPr>
        <w:t xml:space="preserve"> </w:t>
      </w:r>
      <w:r w:rsidRPr="006A199E">
        <w:rPr>
          <w:rFonts w:cs="David" w:hint="eastAsia"/>
          <w:sz w:val="20"/>
          <w:szCs w:val="20"/>
          <w:highlight w:val="yellow"/>
          <w:rtl/>
        </w:rPr>
        <w:t>האישית</w:t>
      </w:r>
      <w:r w:rsidRPr="006A199E">
        <w:rPr>
          <w:rFonts w:cs="David"/>
          <w:sz w:val="20"/>
          <w:szCs w:val="20"/>
          <w:highlight w:val="yellow"/>
          <w:rtl/>
        </w:rPr>
        <w:t xml:space="preserve"> </w:t>
      </w:r>
      <w:r w:rsidRPr="006A199E">
        <w:rPr>
          <w:rFonts w:cs="David" w:hint="eastAsia"/>
          <w:sz w:val="20"/>
          <w:szCs w:val="20"/>
          <w:highlight w:val="yellow"/>
          <w:rtl/>
        </w:rPr>
        <w:t>קבעה</w:t>
      </w:r>
      <w:r w:rsidRPr="006A199E">
        <w:rPr>
          <w:rFonts w:cs="David"/>
          <w:sz w:val="20"/>
          <w:szCs w:val="20"/>
          <w:highlight w:val="yellow"/>
          <w:rtl/>
        </w:rPr>
        <w:t xml:space="preserve"> </w:t>
      </w:r>
      <w:r w:rsidRPr="006A199E">
        <w:rPr>
          <w:rFonts w:cs="David" w:hint="eastAsia"/>
          <w:sz w:val="20"/>
          <w:szCs w:val="20"/>
          <w:highlight w:val="yellow"/>
          <w:rtl/>
        </w:rPr>
        <w:t>הנשיאה</w:t>
      </w:r>
      <w:r w:rsidRPr="006A199E">
        <w:rPr>
          <w:rFonts w:cs="David"/>
          <w:sz w:val="20"/>
          <w:szCs w:val="20"/>
          <w:highlight w:val="yellow"/>
          <w:rtl/>
        </w:rPr>
        <w:t xml:space="preserve"> </w:t>
      </w:r>
      <w:r w:rsidRPr="006A199E">
        <w:rPr>
          <w:rFonts w:cs="David" w:hint="eastAsia"/>
          <w:sz w:val="20"/>
          <w:szCs w:val="20"/>
          <w:highlight w:val="yellow"/>
          <w:rtl/>
        </w:rPr>
        <w:t>ביניש</w:t>
      </w:r>
      <w:r w:rsidRPr="006A199E">
        <w:rPr>
          <w:rFonts w:cs="David"/>
          <w:sz w:val="20"/>
          <w:szCs w:val="20"/>
          <w:highlight w:val="yellow"/>
          <w:rtl/>
        </w:rPr>
        <w:t xml:space="preserve"> </w:t>
      </w:r>
      <w:r w:rsidRPr="006A199E">
        <w:rPr>
          <w:rFonts w:cs="David" w:hint="eastAsia"/>
          <w:sz w:val="20"/>
          <w:szCs w:val="20"/>
          <w:highlight w:val="yellow"/>
          <w:rtl/>
        </w:rPr>
        <w:t>שהתיקון</w:t>
      </w:r>
      <w:r w:rsidRPr="006A199E">
        <w:rPr>
          <w:rFonts w:cs="David"/>
          <w:sz w:val="20"/>
          <w:szCs w:val="20"/>
          <w:highlight w:val="yellow"/>
          <w:rtl/>
        </w:rPr>
        <w:t xml:space="preserve"> </w:t>
      </w:r>
      <w:r w:rsidRPr="006A199E">
        <w:rPr>
          <w:rFonts w:cs="David" w:hint="eastAsia"/>
          <w:sz w:val="20"/>
          <w:szCs w:val="20"/>
          <w:highlight w:val="yellow"/>
          <w:rtl/>
        </w:rPr>
        <w:t>פוגע</w:t>
      </w:r>
      <w:r w:rsidRPr="006A199E">
        <w:rPr>
          <w:rFonts w:cs="David"/>
          <w:sz w:val="20"/>
          <w:szCs w:val="20"/>
          <w:highlight w:val="yellow"/>
          <w:rtl/>
        </w:rPr>
        <w:t xml:space="preserve"> </w:t>
      </w:r>
      <w:r w:rsidRPr="006A199E">
        <w:rPr>
          <w:rFonts w:cs="David" w:hint="eastAsia"/>
          <w:sz w:val="20"/>
          <w:szCs w:val="20"/>
          <w:highlight w:val="yellow"/>
          <w:rtl/>
        </w:rPr>
        <w:t>גם</w:t>
      </w:r>
      <w:r w:rsidRPr="006A199E">
        <w:rPr>
          <w:rFonts w:cs="David"/>
          <w:sz w:val="20"/>
          <w:szCs w:val="20"/>
          <w:highlight w:val="yellow"/>
          <w:rtl/>
        </w:rPr>
        <w:t xml:space="preserve"> </w:t>
      </w:r>
      <w:r w:rsidRPr="006A199E">
        <w:rPr>
          <w:rFonts w:cs="David" w:hint="eastAsia"/>
          <w:sz w:val="20"/>
          <w:szCs w:val="20"/>
          <w:highlight w:val="yellow"/>
          <w:rtl/>
        </w:rPr>
        <w:t>בכבוד</w:t>
      </w:r>
      <w:r w:rsidRPr="006A199E">
        <w:rPr>
          <w:rFonts w:cs="David"/>
          <w:sz w:val="20"/>
          <w:szCs w:val="20"/>
          <w:highlight w:val="yellow"/>
          <w:rtl/>
        </w:rPr>
        <w:t xml:space="preserve"> </w:t>
      </w:r>
      <w:r w:rsidRPr="006A199E">
        <w:rPr>
          <w:rFonts w:cs="David" w:hint="eastAsia"/>
          <w:sz w:val="20"/>
          <w:szCs w:val="20"/>
          <w:highlight w:val="yellow"/>
          <w:rtl/>
        </w:rPr>
        <w:t>האדם</w:t>
      </w:r>
      <w:r w:rsidRPr="006A199E">
        <w:rPr>
          <w:rFonts w:cs="David"/>
          <w:sz w:val="20"/>
          <w:szCs w:val="20"/>
          <w:highlight w:val="yellow"/>
          <w:rtl/>
        </w:rPr>
        <w:t xml:space="preserve"> </w:t>
      </w:r>
      <w:r w:rsidRPr="006A199E">
        <w:rPr>
          <w:rFonts w:cs="David" w:hint="eastAsia"/>
          <w:sz w:val="20"/>
          <w:szCs w:val="20"/>
          <w:highlight w:val="yellow"/>
          <w:rtl/>
        </w:rPr>
        <w:t>של</w:t>
      </w:r>
      <w:r w:rsidRPr="006A199E">
        <w:rPr>
          <w:rFonts w:cs="David"/>
          <w:sz w:val="20"/>
          <w:szCs w:val="20"/>
          <w:highlight w:val="yellow"/>
          <w:rtl/>
        </w:rPr>
        <w:t xml:space="preserve"> </w:t>
      </w:r>
      <w:r w:rsidRPr="006A199E">
        <w:rPr>
          <w:rFonts w:cs="David" w:hint="eastAsia"/>
          <w:sz w:val="20"/>
          <w:szCs w:val="20"/>
          <w:highlight w:val="yellow"/>
          <w:rtl/>
        </w:rPr>
        <w:t>האסירים</w:t>
      </w:r>
      <w:r w:rsidRPr="006A199E">
        <w:rPr>
          <w:rFonts w:cs="David" w:hint="cs"/>
          <w:sz w:val="20"/>
          <w:szCs w:val="20"/>
          <w:highlight w:val="yellow"/>
          <w:rtl/>
        </w:rPr>
        <w:t>.</w:t>
      </w:r>
      <w:r w:rsidRPr="006A199E">
        <w:rPr>
          <w:rFonts w:cs="David"/>
          <w:sz w:val="20"/>
          <w:szCs w:val="20"/>
          <w:highlight w:val="yellow"/>
          <w:rtl/>
        </w:rPr>
        <w:t xml:space="preserve"> </w:t>
      </w:r>
      <w:r w:rsidRPr="006A199E">
        <w:rPr>
          <w:rFonts w:cs="David" w:hint="eastAsia"/>
          <w:sz w:val="20"/>
          <w:szCs w:val="20"/>
          <w:highlight w:val="yellow"/>
          <w:rtl/>
        </w:rPr>
        <w:t>כליאת</w:t>
      </w:r>
      <w:r w:rsidRPr="006A199E">
        <w:rPr>
          <w:rFonts w:cs="David"/>
          <w:sz w:val="20"/>
          <w:szCs w:val="20"/>
          <w:highlight w:val="yellow"/>
          <w:rtl/>
        </w:rPr>
        <w:t xml:space="preserve"> </w:t>
      </w:r>
      <w:r w:rsidRPr="006A199E">
        <w:rPr>
          <w:rFonts w:cs="David" w:hint="eastAsia"/>
          <w:sz w:val="20"/>
          <w:szCs w:val="20"/>
          <w:highlight w:val="yellow"/>
          <w:rtl/>
        </w:rPr>
        <w:t>אסירים</w:t>
      </w:r>
      <w:r w:rsidRPr="006A199E">
        <w:rPr>
          <w:rFonts w:cs="David"/>
          <w:sz w:val="20"/>
          <w:szCs w:val="20"/>
          <w:highlight w:val="yellow"/>
          <w:rtl/>
        </w:rPr>
        <w:t xml:space="preserve"> </w:t>
      </w:r>
      <w:r w:rsidRPr="006A199E">
        <w:rPr>
          <w:rFonts w:cs="David" w:hint="eastAsia"/>
          <w:sz w:val="20"/>
          <w:szCs w:val="20"/>
          <w:highlight w:val="yellow"/>
          <w:rtl/>
        </w:rPr>
        <w:t>בבית</w:t>
      </w:r>
      <w:r w:rsidRPr="006A199E">
        <w:rPr>
          <w:rFonts w:cs="David"/>
          <w:sz w:val="20"/>
          <w:szCs w:val="20"/>
          <w:highlight w:val="yellow"/>
          <w:rtl/>
        </w:rPr>
        <w:t xml:space="preserve"> </w:t>
      </w:r>
      <w:r w:rsidRPr="006A199E">
        <w:rPr>
          <w:rFonts w:cs="David" w:hint="eastAsia"/>
          <w:sz w:val="20"/>
          <w:szCs w:val="20"/>
          <w:highlight w:val="yellow"/>
          <w:rtl/>
        </w:rPr>
        <w:t>סוהר</w:t>
      </w:r>
      <w:r w:rsidRPr="006A199E">
        <w:rPr>
          <w:rFonts w:cs="David"/>
          <w:sz w:val="20"/>
          <w:szCs w:val="20"/>
          <w:highlight w:val="yellow"/>
          <w:rtl/>
        </w:rPr>
        <w:t xml:space="preserve"> </w:t>
      </w:r>
      <w:r w:rsidRPr="006A199E">
        <w:rPr>
          <w:rFonts w:cs="David" w:hint="eastAsia"/>
          <w:sz w:val="20"/>
          <w:szCs w:val="20"/>
          <w:highlight w:val="yellow"/>
          <w:rtl/>
        </w:rPr>
        <w:t>בניהול</w:t>
      </w:r>
      <w:r w:rsidRPr="006A199E">
        <w:rPr>
          <w:rFonts w:cs="David"/>
          <w:sz w:val="20"/>
          <w:szCs w:val="20"/>
          <w:highlight w:val="yellow"/>
          <w:rtl/>
        </w:rPr>
        <w:t xml:space="preserve"> </w:t>
      </w:r>
      <w:r w:rsidRPr="006A199E">
        <w:rPr>
          <w:rFonts w:cs="David" w:hint="eastAsia"/>
          <w:sz w:val="20"/>
          <w:szCs w:val="20"/>
          <w:highlight w:val="yellow"/>
          <w:rtl/>
        </w:rPr>
        <w:t>פרטי</w:t>
      </w:r>
      <w:r w:rsidRPr="006A199E">
        <w:rPr>
          <w:rFonts w:cs="David"/>
          <w:sz w:val="20"/>
          <w:szCs w:val="20"/>
          <w:highlight w:val="yellow"/>
          <w:rtl/>
        </w:rPr>
        <w:t xml:space="preserve"> </w:t>
      </w:r>
      <w:r w:rsidRPr="006A199E">
        <w:rPr>
          <w:rFonts w:cs="David" w:hint="eastAsia"/>
          <w:sz w:val="20"/>
          <w:szCs w:val="20"/>
          <w:highlight w:val="yellow"/>
          <w:rtl/>
        </w:rPr>
        <w:t>מביאה</w:t>
      </w:r>
      <w:r w:rsidRPr="006A199E">
        <w:rPr>
          <w:rFonts w:cs="David"/>
          <w:sz w:val="20"/>
          <w:szCs w:val="20"/>
          <w:highlight w:val="yellow"/>
          <w:rtl/>
        </w:rPr>
        <w:t xml:space="preserve"> </w:t>
      </w:r>
      <w:r w:rsidRPr="006A199E">
        <w:rPr>
          <w:rFonts w:cs="David" w:hint="eastAsia"/>
          <w:sz w:val="20"/>
          <w:szCs w:val="20"/>
          <w:highlight w:val="yellow"/>
          <w:rtl/>
        </w:rPr>
        <w:t>לכך</w:t>
      </w:r>
      <w:r w:rsidRPr="006A199E">
        <w:rPr>
          <w:rFonts w:cs="David"/>
          <w:sz w:val="20"/>
          <w:szCs w:val="20"/>
          <w:highlight w:val="yellow"/>
          <w:rtl/>
        </w:rPr>
        <w:t xml:space="preserve"> </w:t>
      </w:r>
      <w:r w:rsidRPr="006A199E">
        <w:rPr>
          <w:rFonts w:cs="David" w:hint="eastAsia"/>
          <w:sz w:val="20"/>
          <w:szCs w:val="20"/>
          <w:highlight w:val="yellow"/>
          <w:rtl/>
        </w:rPr>
        <w:t>שהתכלית</w:t>
      </w:r>
      <w:r w:rsidRPr="006A199E">
        <w:rPr>
          <w:rFonts w:cs="David"/>
          <w:sz w:val="20"/>
          <w:szCs w:val="20"/>
          <w:highlight w:val="yellow"/>
          <w:rtl/>
        </w:rPr>
        <w:t xml:space="preserve"> </w:t>
      </w:r>
      <w:r w:rsidRPr="006A199E">
        <w:rPr>
          <w:rFonts w:cs="David" w:hint="eastAsia"/>
          <w:sz w:val="20"/>
          <w:szCs w:val="20"/>
          <w:highlight w:val="yellow"/>
          <w:rtl/>
        </w:rPr>
        <w:t>הציבורית</w:t>
      </w:r>
      <w:r w:rsidRPr="006A199E">
        <w:rPr>
          <w:rFonts w:cs="David"/>
          <w:sz w:val="20"/>
          <w:szCs w:val="20"/>
          <w:highlight w:val="yellow"/>
          <w:rtl/>
        </w:rPr>
        <w:t xml:space="preserve"> </w:t>
      </w:r>
      <w:r w:rsidRPr="006A199E">
        <w:rPr>
          <w:rFonts w:cs="David" w:hint="eastAsia"/>
          <w:sz w:val="20"/>
          <w:szCs w:val="20"/>
          <w:highlight w:val="yellow"/>
          <w:rtl/>
        </w:rPr>
        <w:t>המובהקת</w:t>
      </w:r>
      <w:r w:rsidRPr="006A199E">
        <w:rPr>
          <w:rFonts w:cs="David"/>
          <w:sz w:val="20"/>
          <w:szCs w:val="20"/>
          <w:highlight w:val="yellow"/>
          <w:rtl/>
        </w:rPr>
        <w:t xml:space="preserve"> </w:t>
      </w:r>
      <w:r w:rsidRPr="006A199E">
        <w:rPr>
          <w:rFonts w:cs="David" w:hint="eastAsia"/>
          <w:sz w:val="20"/>
          <w:szCs w:val="20"/>
          <w:highlight w:val="yellow"/>
          <w:rtl/>
        </w:rPr>
        <w:t>של</w:t>
      </w:r>
      <w:r w:rsidRPr="006A199E">
        <w:rPr>
          <w:rFonts w:cs="David"/>
          <w:sz w:val="20"/>
          <w:szCs w:val="20"/>
          <w:highlight w:val="yellow"/>
          <w:rtl/>
        </w:rPr>
        <w:t xml:space="preserve"> </w:t>
      </w:r>
      <w:r w:rsidRPr="006A199E">
        <w:rPr>
          <w:rFonts w:cs="David" w:hint="eastAsia"/>
          <w:sz w:val="20"/>
          <w:szCs w:val="20"/>
          <w:highlight w:val="yellow"/>
          <w:rtl/>
        </w:rPr>
        <w:t>המאסר</w:t>
      </w:r>
      <w:r w:rsidRPr="006A199E">
        <w:rPr>
          <w:rFonts w:cs="David"/>
          <w:sz w:val="20"/>
          <w:szCs w:val="20"/>
          <w:highlight w:val="yellow"/>
          <w:rtl/>
        </w:rPr>
        <w:t xml:space="preserve"> </w:t>
      </w:r>
      <w:r w:rsidRPr="006A199E">
        <w:rPr>
          <w:rFonts w:cs="David" w:hint="cs"/>
          <w:sz w:val="20"/>
          <w:szCs w:val="20"/>
          <w:highlight w:val="yellow"/>
          <w:rtl/>
        </w:rPr>
        <w:t>משולבת ב</w:t>
      </w:r>
      <w:r w:rsidRPr="006A199E">
        <w:rPr>
          <w:rFonts w:cs="David" w:hint="eastAsia"/>
          <w:sz w:val="20"/>
          <w:szCs w:val="20"/>
          <w:highlight w:val="yellow"/>
          <w:rtl/>
        </w:rPr>
        <w:t>רצון</w:t>
      </w:r>
      <w:r w:rsidRPr="006A199E">
        <w:rPr>
          <w:rFonts w:cs="David"/>
          <w:sz w:val="20"/>
          <w:szCs w:val="20"/>
          <w:highlight w:val="yellow"/>
          <w:rtl/>
        </w:rPr>
        <w:t xml:space="preserve"> </w:t>
      </w:r>
      <w:r w:rsidRPr="006A199E">
        <w:rPr>
          <w:rFonts w:cs="David" w:hint="eastAsia"/>
          <w:sz w:val="20"/>
          <w:szCs w:val="20"/>
          <w:highlight w:val="yellow"/>
          <w:rtl/>
        </w:rPr>
        <w:t>התאגיד</w:t>
      </w:r>
      <w:r w:rsidRPr="006A199E">
        <w:rPr>
          <w:rFonts w:cs="David"/>
          <w:sz w:val="20"/>
          <w:szCs w:val="20"/>
          <w:highlight w:val="yellow"/>
          <w:rtl/>
        </w:rPr>
        <w:t xml:space="preserve"> </w:t>
      </w:r>
      <w:r w:rsidRPr="006A199E">
        <w:rPr>
          <w:rFonts w:cs="David" w:hint="eastAsia"/>
          <w:sz w:val="20"/>
          <w:szCs w:val="20"/>
          <w:highlight w:val="yellow"/>
          <w:rtl/>
        </w:rPr>
        <w:t>למקסם</w:t>
      </w:r>
      <w:r w:rsidRPr="006A199E">
        <w:rPr>
          <w:rFonts w:cs="David"/>
          <w:sz w:val="20"/>
          <w:szCs w:val="20"/>
          <w:highlight w:val="yellow"/>
          <w:rtl/>
        </w:rPr>
        <w:t xml:space="preserve"> </w:t>
      </w:r>
      <w:r w:rsidRPr="006A199E">
        <w:rPr>
          <w:rFonts w:cs="David" w:hint="eastAsia"/>
          <w:sz w:val="20"/>
          <w:szCs w:val="20"/>
          <w:highlight w:val="yellow"/>
          <w:rtl/>
        </w:rPr>
        <w:t>את</w:t>
      </w:r>
      <w:r w:rsidRPr="006A199E">
        <w:rPr>
          <w:rFonts w:cs="David"/>
          <w:sz w:val="20"/>
          <w:szCs w:val="20"/>
          <w:highlight w:val="yellow"/>
          <w:rtl/>
        </w:rPr>
        <w:t xml:space="preserve"> </w:t>
      </w:r>
      <w:r w:rsidRPr="006A199E">
        <w:rPr>
          <w:rFonts w:cs="David" w:hint="eastAsia"/>
          <w:sz w:val="20"/>
          <w:szCs w:val="20"/>
          <w:highlight w:val="yellow"/>
          <w:rtl/>
        </w:rPr>
        <w:t>רווחיו</w:t>
      </w:r>
      <w:r w:rsidRPr="006A199E">
        <w:rPr>
          <w:rFonts w:cs="David"/>
          <w:sz w:val="20"/>
          <w:szCs w:val="20"/>
          <w:highlight w:val="yellow"/>
          <w:rtl/>
        </w:rPr>
        <w:t xml:space="preserve">. </w:t>
      </w:r>
      <w:r w:rsidRPr="006A199E">
        <w:rPr>
          <w:rFonts w:cs="David" w:hint="eastAsia"/>
          <w:sz w:val="20"/>
          <w:szCs w:val="20"/>
          <w:highlight w:val="yellow"/>
          <w:rtl/>
        </w:rPr>
        <w:t>במצב</w:t>
      </w:r>
      <w:r w:rsidRPr="006A199E">
        <w:rPr>
          <w:rFonts w:cs="David"/>
          <w:sz w:val="20"/>
          <w:szCs w:val="20"/>
          <w:highlight w:val="yellow"/>
          <w:rtl/>
        </w:rPr>
        <w:t xml:space="preserve"> </w:t>
      </w:r>
      <w:r w:rsidRPr="006A199E">
        <w:rPr>
          <w:rFonts w:cs="David" w:hint="eastAsia"/>
          <w:sz w:val="20"/>
          <w:szCs w:val="20"/>
          <w:highlight w:val="yellow"/>
          <w:rtl/>
        </w:rPr>
        <w:t>זה</w:t>
      </w:r>
      <w:r w:rsidRPr="006A199E">
        <w:rPr>
          <w:rFonts w:cs="David"/>
          <w:sz w:val="20"/>
          <w:szCs w:val="20"/>
          <w:highlight w:val="yellow"/>
          <w:rtl/>
        </w:rPr>
        <w:t xml:space="preserve"> </w:t>
      </w:r>
      <w:r w:rsidRPr="006A199E">
        <w:rPr>
          <w:rFonts w:cs="David" w:hint="eastAsia"/>
          <w:sz w:val="20"/>
          <w:szCs w:val="20"/>
          <w:highlight w:val="yellow"/>
          <w:rtl/>
        </w:rPr>
        <w:t>יש</w:t>
      </w:r>
      <w:r w:rsidRPr="006A199E">
        <w:rPr>
          <w:rFonts w:cs="David"/>
          <w:sz w:val="20"/>
          <w:szCs w:val="20"/>
          <w:highlight w:val="yellow"/>
          <w:rtl/>
        </w:rPr>
        <w:t xml:space="preserve"> </w:t>
      </w:r>
      <w:r w:rsidRPr="006A199E">
        <w:rPr>
          <w:rFonts w:cs="David" w:hint="eastAsia"/>
          <w:sz w:val="20"/>
          <w:szCs w:val="20"/>
          <w:highlight w:val="yellow"/>
          <w:rtl/>
        </w:rPr>
        <w:t>חשש</w:t>
      </w:r>
      <w:r w:rsidRPr="006A199E">
        <w:rPr>
          <w:rFonts w:cs="David"/>
          <w:sz w:val="20"/>
          <w:szCs w:val="20"/>
          <w:highlight w:val="yellow"/>
          <w:rtl/>
        </w:rPr>
        <w:t xml:space="preserve"> </w:t>
      </w:r>
      <w:r w:rsidRPr="006A199E">
        <w:rPr>
          <w:rFonts w:cs="David" w:hint="eastAsia"/>
          <w:sz w:val="20"/>
          <w:szCs w:val="20"/>
          <w:highlight w:val="yellow"/>
          <w:rtl/>
        </w:rPr>
        <w:t>טבוע</w:t>
      </w:r>
      <w:r w:rsidRPr="006A199E">
        <w:rPr>
          <w:rFonts w:cs="David"/>
          <w:sz w:val="20"/>
          <w:szCs w:val="20"/>
          <w:highlight w:val="yellow"/>
          <w:rtl/>
        </w:rPr>
        <w:t xml:space="preserve"> </w:t>
      </w:r>
      <w:r w:rsidRPr="006A199E">
        <w:rPr>
          <w:rFonts w:cs="David" w:hint="eastAsia"/>
          <w:sz w:val="20"/>
          <w:szCs w:val="20"/>
          <w:highlight w:val="yellow"/>
          <w:rtl/>
        </w:rPr>
        <w:t>ומובנה</w:t>
      </w:r>
      <w:r w:rsidRPr="006A199E">
        <w:rPr>
          <w:rFonts w:cs="David"/>
          <w:sz w:val="20"/>
          <w:szCs w:val="20"/>
          <w:highlight w:val="yellow"/>
          <w:rtl/>
        </w:rPr>
        <w:t xml:space="preserve"> </w:t>
      </w:r>
      <w:r w:rsidRPr="006A199E">
        <w:rPr>
          <w:rFonts w:cs="David" w:hint="eastAsia"/>
          <w:sz w:val="20"/>
          <w:szCs w:val="20"/>
          <w:highlight w:val="yellow"/>
          <w:rtl/>
        </w:rPr>
        <w:t>שהאסירים</w:t>
      </w:r>
      <w:r w:rsidRPr="006A199E">
        <w:rPr>
          <w:rFonts w:cs="David"/>
          <w:sz w:val="20"/>
          <w:szCs w:val="20"/>
          <w:highlight w:val="yellow"/>
          <w:rtl/>
        </w:rPr>
        <w:t xml:space="preserve"> </w:t>
      </w:r>
      <w:r w:rsidRPr="006A199E">
        <w:rPr>
          <w:rFonts w:cs="David" w:hint="eastAsia"/>
          <w:sz w:val="20"/>
          <w:szCs w:val="20"/>
          <w:highlight w:val="yellow"/>
          <w:rtl/>
        </w:rPr>
        <w:t>יהפכו</w:t>
      </w:r>
      <w:r w:rsidRPr="006A199E">
        <w:rPr>
          <w:rFonts w:cs="David"/>
          <w:sz w:val="20"/>
          <w:szCs w:val="20"/>
          <w:highlight w:val="yellow"/>
          <w:rtl/>
        </w:rPr>
        <w:t xml:space="preserve"> </w:t>
      </w:r>
      <w:r w:rsidRPr="006A199E">
        <w:rPr>
          <w:rFonts w:cs="David" w:hint="eastAsia"/>
          <w:sz w:val="20"/>
          <w:szCs w:val="20"/>
          <w:highlight w:val="yellow"/>
          <w:rtl/>
        </w:rPr>
        <w:t>לאמצעי</w:t>
      </w:r>
      <w:r w:rsidRPr="006A199E">
        <w:rPr>
          <w:rFonts w:cs="David"/>
          <w:sz w:val="20"/>
          <w:szCs w:val="20"/>
          <w:highlight w:val="yellow"/>
          <w:rtl/>
        </w:rPr>
        <w:t xml:space="preserve"> </w:t>
      </w:r>
      <w:r w:rsidRPr="006A199E">
        <w:rPr>
          <w:rFonts w:cs="David" w:hint="eastAsia"/>
          <w:sz w:val="20"/>
          <w:szCs w:val="20"/>
          <w:highlight w:val="yellow"/>
          <w:rtl/>
        </w:rPr>
        <w:t>להפקת</w:t>
      </w:r>
      <w:r w:rsidRPr="006A199E">
        <w:rPr>
          <w:rFonts w:cs="David"/>
          <w:sz w:val="20"/>
          <w:szCs w:val="20"/>
          <w:highlight w:val="yellow"/>
          <w:rtl/>
        </w:rPr>
        <w:t xml:space="preserve"> </w:t>
      </w:r>
      <w:r w:rsidRPr="006A199E">
        <w:rPr>
          <w:rFonts w:cs="David" w:hint="eastAsia"/>
          <w:sz w:val="20"/>
          <w:szCs w:val="20"/>
          <w:highlight w:val="yellow"/>
          <w:rtl/>
        </w:rPr>
        <w:t>רווחים</w:t>
      </w:r>
      <w:r w:rsidRPr="006A199E">
        <w:rPr>
          <w:rFonts w:cs="David"/>
          <w:sz w:val="20"/>
          <w:szCs w:val="20"/>
          <w:highlight w:val="yellow"/>
          <w:rtl/>
        </w:rPr>
        <w:t xml:space="preserve"> </w:t>
      </w:r>
      <w:r w:rsidRPr="006A199E">
        <w:rPr>
          <w:rFonts w:cs="David" w:hint="eastAsia"/>
          <w:sz w:val="20"/>
          <w:szCs w:val="20"/>
          <w:highlight w:val="yellow"/>
          <w:rtl/>
        </w:rPr>
        <w:t>כספיים</w:t>
      </w:r>
      <w:r w:rsidRPr="006A199E">
        <w:rPr>
          <w:rFonts w:cs="David"/>
          <w:sz w:val="20"/>
          <w:szCs w:val="20"/>
          <w:highlight w:val="yellow"/>
          <w:rtl/>
        </w:rPr>
        <w:t xml:space="preserve"> </w:t>
      </w:r>
      <w:r w:rsidRPr="006A199E">
        <w:rPr>
          <w:rFonts w:cs="David" w:hint="eastAsia"/>
          <w:sz w:val="20"/>
          <w:szCs w:val="20"/>
          <w:highlight w:val="yellow"/>
          <w:rtl/>
        </w:rPr>
        <w:t>על</w:t>
      </w:r>
      <w:r w:rsidRPr="006A199E">
        <w:rPr>
          <w:rFonts w:cs="David"/>
          <w:sz w:val="20"/>
          <w:szCs w:val="20"/>
          <w:highlight w:val="yellow"/>
          <w:rtl/>
        </w:rPr>
        <w:t xml:space="preserve"> </w:t>
      </w:r>
      <w:r w:rsidRPr="006A199E">
        <w:rPr>
          <w:rFonts w:cs="David" w:hint="eastAsia"/>
          <w:sz w:val="20"/>
          <w:szCs w:val="20"/>
          <w:highlight w:val="yellow"/>
          <w:rtl/>
        </w:rPr>
        <w:t>ידי</w:t>
      </w:r>
      <w:r w:rsidRPr="006A199E">
        <w:rPr>
          <w:rFonts w:cs="David"/>
          <w:sz w:val="20"/>
          <w:szCs w:val="20"/>
          <w:highlight w:val="yellow"/>
          <w:rtl/>
        </w:rPr>
        <w:t xml:space="preserve"> </w:t>
      </w:r>
      <w:r w:rsidRPr="006A199E">
        <w:rPr>
          <w:rFonts w:cs="David" w:hint="eastAsia"/>
          <w:sz w:val="20"/>
          <w:szCs w:val="20"/>
          <w:highlight w:val="yellow"/>
          <w:rtl/>
        </w:rPr>
        <w:t>התאגיד</w:t>
      </w:r>
      <w:r w:rsidRPr="006A199E">
        <w:rPr>
          <w:rFonts w:cs="David"/>
          <w:sz w:val="20"/>
          <w:szCs w:val="20"/>
          <w:highlight w:val="yellow"/>
          <w:rtl/>
        </w:rPr>
        <w:t xml:space="preserve">. </w:t>
      </w:r>
      <w:r w:rsidRPr="006A199E">
        <w:rPr>
          <w:rFonts w:cs="David" w:hint="eastAsia"/>
          <w:sz w:val="20"/>
          <w:szCs w:val="20"/>
          <w:highlight w:val="yellow"/>
          <w:rtl/>
        </w:rPr>
        <w:t>עצם</w:t>
      </w:r>
      <w:r w:rsidRPr="006A199E">
        <w:rPr>
          <w:rFonts w:cs="David"/>
          <w:sz w:val="20"/>
          <w:szCs w:val="20"/>
          <w:highlight w:val="yellow"/>
          <w:rtl/>
        </w:rPr>
        <w:t xml:space="preserve"> </w:t>
      </w:r>
      <w:r w:rsidRPr="006A199E">
        <w:rPr>
          <w:rFonts w:cs="David" w:hint="eastAsia"/>
          <w:sz w:val="20"/>
          <w:szCs w:val="20"/>
          <w:highlight w:val="yellow"/>
          <w:rtl/>
        </w:rPr>
        <w:t>קיום</w:t>
      </w:r>
      <w:r w:rsidRPr="006A199E">
        <w:rPr>
          <w:rFonts w:cs="David"/>
          <w:sz w:val="20"/>
          <w:szCs w:val="20"/>
          <w:highlight w:val="yellow"/>
          <w:rtl/>
        </w:rPr>
        <w:t xml:space="preserve"> </w:t>
      </w:r>
      <w:r w:rsidRPr="006A199E">
        <w:rPr>
          <w:rFonts w:cs="David" w:hint="eastAsia"/>
          <w:sz w:val="20"/>
          <w:szCs w:val="20"/>
          <w:highlight w:val="yellow"/>
          <w:rtl/>
        </w:rPr>
        <w:t>מוסד</w:t>
      </w:r>
      <w:r w:rsidRPr="006A199E">
        <w:rPr>
          <w:rFonts w:cs="David"/>
          <w:sz w:val="20"/>
          <w:szCs w:val="20"/>
          <w:highlight w:val="yellow"/>
          <w:rtl/>
        </w:rPr>
        <w:t xml:space="preserve"> </w:t>
      </w:r>
      <w:r w:rsidRPr="006A199E">
        <w:rPr>
          <w:rFonts w:cs="David" w:hint="eastAsia"/>
          <w:sz w:val="20"/>
          <w:szCs w:val="20"/>
          <w:highlight w:val="yellow"/>
          <w:rtl/>
        </w:rPr>
        <w:t>של</w:t>
      </w:r>
      <w:r w:rsidRPr="006A199E">
        <w:rPr>
          <w:rFonts w:cs="David"/>
          <w:sz w:val="20"/>
          <w:szCs w:val="20"/>
          <w:highlight w:val="yellow"/>
          <w:rtl/>
        </w:rPr>
        <w:t xml:space="preserve"> "</w:t>
      </w:r>
      <w:r w:rsidRPr="006A199E">
        <w:rPr>
          <w:rFonts w:cs="David" w:hint="eastAsia"/>
          <w:sz w:val="20"/>
          <w:szCs w:val="20"/>
          <w:highlight w:val="yellow"/>
          <w:rtl/>
        </w:rPr>
        <w:t>בית</w:t>
      </w:r>
      <w:r w:rsidRPr="006A199E">
        <w:rPr>
          <w:rFonts w:cs="David"/>
          <w:sz w:val="20"/>
          <w:szCs w:val="20"/>
          <w:highlight w:val="yellow"/>
          <w:rtl/>
        </w:rPr>
        <w:t xml:space="preserve"> </w:t>
      </w:r>
      <w:r w:rsidRPr="006A199E">
        <w:rPr>
          <w:rFonts w:cs="David" w:hint="eastAsia"/>
          <w:sz w:val="20"/>
          <w:szCs w:val="20"/>
          <w:highlight w:val="yellow"/>
          <w:rtl/>
        </w:rPr>
        <w:t>סוהר</w:t>
      </w:r>
      <w:r w:rsidRPr="006A199E">
        <w:rPr>
          <w:rFonts w:cs="David"/>
          <w:sz w:val="20"/>
          <w:szCs w:val="20"/>
          <w:highlight w:val="yellow"/>
          <w:rtl/>
        </w:rPr>
        <w:t xml:space="preserve"> </w:t>
      </w:r>
      <w:r w:rsidRPr="006A199E">
        <w:rPr>
          <w:rFonts w:cs="David" w:hint="eastAsia"/>
          <w:sz w:val="20"/>
          <w:szCs w:val="20"/>
          <w:highlight w:val="yellow"/>
          <w:rtl/>
        </w:rPr>
        <w:t>למטרות</w:t>
      </w:r>
      <w:r w:rsidRPr="006A199E">
        <w:rPr>
          <w:rFonts w:cs="David"/>
          <w:sz w:val="20"/>
          <w:szCs w:val="20"/>
          <w:highlight w:val="yellow"/>
          <w:rtl/>
        </w:rPr>
        <w:t xml:space="preserve"> </w:t>
      </w:r>
      <w:r w:rsidRPr="006A199E">
        <w:rPr>
          <w:rFonts w:cs="David" w:hint="eastAsia"/>
          <w:sz w:val="20"/>
          <w:szCs w:val="20"/>
          <w:highlight w:val="yellow"/>
          <w:rtl/>
        </w:rPr>
        <w:t>רווח</w:t>
      </w:r>
      <w:r w:rsidRPr="006A199E">
        <w:rPr>
          <w:rFonts w:cs="David"/>
          <w:sz w:val="20"/>
          <w:szCs w:val="20"/>
          <w:highlight w:val="yellow"/>
          <w:rtl/>
        </w:rPr>
        <w:t xml:space="preserve">" </w:t>
      </w:r>
      <w:r w:rsidRPr="006A199E">
        <w:rPr>
          <w:rFonts w:cs="David" w:hint="eastAsia"/>
          <w:sz w:val="20"/>
          <w:szCs w:val="20"/>
          <w:highlight w:val="yellow"/>
          <w:rtl/>
        </w:rPr>
        <w:t>מבטא</w:t>
      </w:r>
      <w:r w:rsidRPr="006A199E">
        <w:rPr>
          <w:rFonts w:cs="David"/>
          <w:sz w:val="20"/>
          <w:szCs w:val="20"/>
          <w:highlight w:val="yellow"/>
          <w:rtl/>
        </w:rPr>
        <w:t xml:space="preserve"> </w:t>
      </w:r>
      <w:r w:rsidRPr="006A199E">
        <w:rPr>
          <w:rFonts w:cs="David" w:hint="eastAsia"/>
          <w:sz w:val="20"/>
          <w:szCs w:val="20"/>
          <w:highlight w:val="yellow"/>
          <w:rtl/>
        </w:rPr>
        <w:t>חוסר</w:t>
      </w:r>
      <w:r w:rsidRPr="006A199E">
        <w:rPr>
          <w:rFonts w:cs="David"/>
          <w:sz w:val="20"/>
          <w:szCs w:val="20"/>
          <w:highlight w:val="yellow"/>
          <w:rtl/>
        </w:rPr>
        <w:t xml:space="preserve"> </w:t>
      </w:r>
      <w:r w:rsidRPr="006A199E">
        <w:rPr>
          <w:rFonts w:cs="David" w:hint="eastAsia"/>
          <w:sz w:val="20"/>
          <w:szCs w:val="20"/>
          <w:highlight w:val="yellow"/>
          <w:rtl/>
        </w:rPr>
        <w:t>כבוד</w:t>
      </w:r>
      <w:r w:rsidRPr="006A199E">
        <w:rPr>
          <w:rFonts w:cs="David"/>
          <w:sz w:val="20"/>
          <w:szCs w:val="20"/>
          <w:highlight w:val="yellow"/>
          <w:rtl/>
        </w:rPr>
        <w:t xml:space="preserve"> </w:t>
      </w:r>
      <w:r w:rsidRPr="006A199E">
        <w:rPr>
          <w:rFonts w:cs="David" w:hint="eastAsia"/>
          <w:sz w:val="20"/>
          <w:szCs w:val="20"/>
          <w:highlight w:val="yellow"/>
          <w:rtl/>
        </w:rPr>
        <w:t>למעמדם</w:t>
      </w:r>
      <w:r w:rsidRPr="006A199E">
        <w:rPr>
          <w:rFonts w:cs="David"/>
          <w:sz w:val="20"/>
          <w:szCs w:val="20"/>
          <w:highlight w:val="yellow"/>
          <w:rtl/>
        </w:rPr>
        <w:t xml:space="preserve"> </w:t>
      </w:r>
      <w:r w:rsidRPr="006A199E">
        <w:rPr>
          <w:rFonts w:cs="David" w:hint="eastAsia"/>
          <w:sz w:val="20"/>
          <w:szCs w:val="20"/>
          <w:highlight w:val="yellow"/>
          <w:rtl/>
        </w:rPr>
        <w:t>של</w:t>
      </w:r>
      <w:r w:rsidRPr="006A199E">
        <w:rPr>
          <w:rFonts w:cs="David"/>
          <w:sz w:val="20"/>
          <w:szCs w:val="20"/>
          <w:highlight w:val="yellow"/>
          <w:rtl/>
        </w:rPr>
        <w:t xml:space="preserve"> </w:t>
      </w:r>
      <w:r w:rsidRPr="006A199E">
        <w:rPr>
          <w:rFonts w:cs="David" w:hint="eastAsia"/>
          <w:sz w:val="20"/>
          <w:szCs w:val="20"/>
          <w:highlight w:val="yellow"/>
          <w:rtl/>
        </w:rPr>
        <w:t>האסירים</w:t>
      </w:r>
      <w:r w:rsidRPr="006A199E">
        <w:rPr>
          <w:rFonts w:cs="David"/>
          <w:sz w:val="20"/>
          <w:szCs w:val="20"/>
          <w:highlight w:val="yellow"/>
          <w:rtl/>
        </w:rPr>
        <w:t xml:space="preserve"> </w:t>
      </w:r>
      <w:r w:rsidRPr="006A199E">
        <w:rPr>
          <w:rFonts w:cs="David" w:hint="eastAsia"/>
          <w:sz w:val="20"/>
          <w:szCs w:val="20"/>
          <w:highlight w:val="yellow"/>
          <w:rtl/>
        </w:rPr>
        <w:t>כבני</w:t>
      </w:r>
      <w:r w:rsidRPr="006A199E">
        <w:rPr>
          <w:rFonts w:cs="David"/>
          <w:sz w:val="20"/>
          <w:szCs w:val="20"/>
          <w:highlight w:val="yellow"/>
          <w:rtl/>
        </w:rPr>
        <w:t xml:space="preserve"> </w:t>
      </w:r>
      <w:r w:rsidRPr="006A199E">
        <w:rPr>
          <w:rFonts w:cs="David" w:hint="eastAsia"/>
          <w:sz w:val="20"/>
          <w:szCs w:val="20"/>
          <w:highlight w:val="yellow"/>
          <w:rtl/>
        </w:rPr>
        <w:t>אדם</w:t>
      </w:r>
      <w:r w:rsidRPr="006A199E">
        <w:rPr>
          <w:rFonts w:cs="David" w:hint="cs"/>
          <w:sz w:val="20"/>
          <w:szCs w:val="20"/>
          <w:highlight w:val="yellow"/>
          <w:rtl/>
        </w:rPr>
        <w:t>.</w:t>
      </w:r>
      <w:r w:rsidRPr="006A199E">
        <w:rPr>
          <w:rFonts w:cs="David"/>
          <w:sz w:val="20"/>
          <w:szCs w:val="20"/>
          <w:highlight w:val="yellow"/>
          <w:rtl/>
        </w:rPr>
        <w:t xml:space="preserve"> </w:t>
      </w:r>
      <w:r w:rsidRPr="006A199E">
        <w:rPr>
          <w:rFonts w:cs="David" w:hint="eastAsia"/>
          <w:sz w:val="20"/>
          <w:szCs w:val="20"/>
          <w:highlight w:val="yellow"/>
          <w:rtl/>
        </w:rPr>
        <w:t>אין</w:t>
      </w:r>
      <w:r w:rsidRPr="006A199E">
        <w:rPr>
          <w:rFonts w:cs="David"/>
          <w:sz w:val="20"/>
          <w:szCs w:val="20"/>
          <w:highlight w:val="yellow"/>
          <w:rtl/>
        </w:rPr>
        <w:t xml:space="preserve"> </w:t>
      </w:r>
      <w:r w:rsidRPr="006A199E">
        <w:rPr>
          <w:rFonts w:cs="David" w:hint="eastAsia"/>
          <w:sz w:val="20"/>
          <w:szCs w:val="20"/>
          <w:highlight w:val="yellow"/>
          <w:rtl/>
        </w:rPr>
        <w:t>מדובר</w:t>
      </w:r>
      <w:r w:rsidRPr="006A199E">
        <w:rPr>
          <w:rFonts w:cs="David"/>
          <w:sz w:val="20"/>
          <w:szCs w:val="20"/>
          <w:highlight w:val="yellow"/>
          <w:rtl/>
        </w:rPr>
        <w:t xml:space="preserve"> </w:t>
      </w:r>
      <w:r w:rsidRPr="006A199E">
        <w:rPr>
          <w:rFonts w:cs="David" w:hint="eastAsia"/>
          <w:sz w:val="20"/>
          <w:szCs w:val="20"/>
          <w:highlight w:val="yellow"/>
          <w:rtl/>
        </w:rPr>
        <w:t>בפגיעה</w:t>
      </w:r>
      <w:r w:rsidRPr="006A199E">
        <w:rPr>
          <w:rFonts w:cs="David"/>
          <w:sz w:val="20"/>
          <w:szCs w:val="20"/>
          <w:highlight w:val="yellow"/>
          <w:rtl/>
        </w:rPr>
        <w:t xml:space="preserve"> </w:t>
      </w:r>
      <w:r w:rsidRPr="006A199E">
        <w:rPr>
          <w:rFonts w:cs="David" w:hint="eastAsia"/>
          <w:sz w:val="20"/>
          <w:szCs w:val="20"/>
          <w:highlight w:val="yellow"/>
          <w:rtl/>
        </w:rPr>
        <w:t>סובי</w:t>
      </w:r>
      <w:r w:rsidRPr="006A199E">
        <w:rPr>
          <w:rFonts w:cs="David" w:hint="cs"/>
          <w:sz w:val="20"/>
          <w:szCs w:val="20"/>
          <w:highlight w:val="yellow"/>
          <w:rtl/>
        </w:rPr>
        <w:t>י</w:t>
      </w:r>
      <w:r w:rsidRPr="006A199E">
        <w:rPr>
          <w:rFonts w:cs="David" w:hint="eastAsia"/>
          <w:sz w:val="20"/>
          <w:szCs w:val="20"/>
          <w:highlight w:val="yellow"/>
          <w:rtl/>
        </w:rPr>
        <w:t>קטיבית</w:t>
      </w:r>
      <w:r w:rsidRPr="006A199E">
        <w:rPr>
          <w:rFonts w:cs="David"/>
          <w:sz w:val="20"/>
          <w:szCs w:val="20"/>
          <w:highlight w:val="yellow"/>
          <w:rtl/>
        </w:rPr>
        <w:t xml:space="preserve"> </w:t>
      </w:r>
      <w:r w:rsidRPr="006A199E">
        <w:rPr>
          <w:rFonts w:cs="David" w:hint="eastAsia"/>
          <w:sz w:val="20"/>
          <w:szCs w:val="20"/>
          <w:highlight w:val="yellow"/>
          <w:rtl/>
        </w:rPr>
        <w:t>של</w:t>
      </w:r>
      <w:r w:rsidRPr="006A199E">
        <w:rPr>
          <w:rFonts w:cs="David"/>
          <w:sz w:val="20"/>
          <w:szCs w:val="20"/>
          <w:highlight w:val="yellow"/>
          <w:rtl/>
        </w:rPr>
        <w:t xml:space="preserve"> </w:t>
      </w:r>
      <w:r w:rsidRPr="006A199E">
        <w:rPr>
          <w:rFonts w:cs="David" w:hint="eastAsia"/>
          <w:sz w:val="20"/>
          <w:szCs w:val="20"/>
          <w:highlight w:val="yellow"/>
          <w:rtl/>
        </w:rPr>
        <w:t>אותם</w:t>
      </w:r>
      <w:r w:rsidRPr="006A199E">
        <w:rPr>
          <w:rFonts w:cs="David"/>
          <w:sz w:val="20"/>
          <w:szCs w:val="20"/>
          <w:highlight w:val="yellow"/>
          <w:rtl/>
        </w:rPr>
        <w:t xml:space="preserve"> </w:t>
      </w:r>
      <w:r w:rsidRPr="006A199E">
        <w:rPr>
          <w:rFonts w:cs="David" w:hint="eastAsia"/>
          <w:sz w:val="20"/>
          <w:szCs w:val="20"/>
          <w:highlight w:val="yellow"/>
          <w:rtl/>
        </w:rPr>
        <w:t>אסירים</w:t>
      </w:r>
      <w:r w:rsidRPr="006A199E">
        <w:rPr>
          <w:rFonts w:cs="David"/>
          <w:sz w:val="20"/>
          <w:szCs w:val="20"/>
          <w:highlight w:val="yellow"/>
          <w:rtl/>
        </w:rPr>
        <w:t xml:space="preserve">, </w:t>
      </w:r>
      <w:r w:rsidRPr="006A199E">
        <w:rPr>
          <w:rFonts w:cs="David" w:hint="eastAsia"/>
          <w:sz w:val="20"/>
          <w:szCs w:val="20"/>
          <w:highlight w:val="yellow"/>
          <w:rtl/>
        </w:rPr>
        <w:t>אלא</w:t>
      </w:r>
      <w:r w:rsidRPr="006A199E">
        <w:rPr>
          <w:rFonts w:cs="David"/>
          <w:sz w:val="20"/>
          <w:szCs w:val="20"/>
          <w:highlight w:val="yellow"/>
          <w:rtl/>
        </w:rPr>
        <w:t xml:space="preserve"> </w:t>
      </w:r>
      <w:r w:rsidRPr="006A199E">
        <w:rPr>
          <w:rFonts w:cs="David" w:hint="eastAsia"/>
          <w:sz w:val="20"/>
          <w:szCs w:val="20"/>
          <w:highlight w:val="yellow"/>
          <w:rtl/>
        </w:rPr>
        <w:t>פגיעה</w:t>
      </w:r>
      <w:r w:rsidRPr="006A199E">
        <w:rPr>
          <w:rFonts w:cs="David"/>
          <w:sz w:val="20"/>
          <w:szCs w:val="20"/>
          <w:highlight w:val="yellow"/>
          <w:rtl/>
        </w:rPr>
        <w:t xml:space="preserve"> </w:t>
      </w:r>
      <w:r w:rsidRPr="006A199E">
        <w:rPr>
          <w:rFonts w:cs="David" w:hint="eastAsia"/>
          <w:sz w:val="20"/>
          <w:szCs w:val="20"/>
          <w:highlight w:val="yellow"/>
          <w:rtl/>
        </w:rPr>
        <w:t>אובייקטיבית</w:t>
      </w:r>
      <w:r w:rsidRPr="006A199E">
        <w:rPr>
          <w:rFonts w:cs="David"/>
          <w:sz w:val="20"/>
          <w:szCs w:val="20"/>
          <w:highlight w:val="yellow"/>
          <w:rtl/>
        </w:rPr>
        <w:t xml:space="preserve"> </w:t>
      </w:r>
      <w:r w:rsidRPr="006A199E">
        <w:rPr>
          <w:rFonts w:cs="David" w:hint="cs"/>
          <w:sz w:val="20"/>
          <w:szCs w:val="20"/>
          <w:highlight w:val="yellow"/>
          <w:rtl/>
        </w:rPr>
        <w:t>ב</w:t>
      </w:r>
      <w:r w:rsidRPr="006A199E">
        <w:rPr>
          <w:rFonts w:cs="David" w:hint="eastAsia"/>
          <w:sz w:val="20"/>
          <w:szCs w:val="20"/>
          <w:highlight w:val="yellow"/>
          <w:rtl/>
        </w:rPr>
        <w:t>זכותם</w:t>
      </w:r>
      <w:r w:rsidRPr="006A199E">
        <w:rPr>
          <w:rFonts w:cs="David"/>
          <w:sz w:val="20"/>
          <w:szCs w:val="20"/>
          <w:highlight w:val="yellow"/>
          <w:rtl/>
        </w:rPr>
        <w:t xml:space="preserve"> </w:t>
      </w:r>
      <w:r w:rsidRPr="006A199E">
        <w:rPr>
          <w:rFonts w:cs="David" w:hint="eastAsia"/>
          <w:sz w:val="20"/>
          <w:szCs w:val="20"/>
          <w:highlight w:val="yellow"/>
          <w:rtl/>
        </w:rPr>
        <w:t>החוקתית</w:t>
      </w:r>
      <w:r w:rsidRPr="006A199E">
        <w:rPr>
          <w:rFonts w:cs="David"/>
          <w:sz w:val="20"/>
          <w:szCs w:val="20"/>
          <w:highlight w:val="yellow"/>
          <w:rtl/>
        </w:rPr>
        <w:t xml:space="preserve"> </w:t>
      </w:r>
      <w:r w:rsidRPr="006A199E">
        <w:rPr>
          <w:rFonts w:cs="David" w:hint="eastAsia"/>
          <w:sz w:val="20"/>
          <w:szCs w:val="20"/>
          <w:highlight w:val="yellow"/>
          <w:rtl/>
        </w:rPr>
        <w:t>לכבוד</w:t>
      </w:r>
      <w:r w:rsidRPr="006A199E">
        <w:rPr>
          <w:rFonts w:cs="David"/>
          <w:sz w:val="20"/>
          <w:szCs w:val="20"/>
          <w:highlight w:val="yellow"/>
          <w:rtl/>
        </w:rPr>
        <w:t xml:space="preserve"> </w:t>
      </w:r>
      <w:r w:rsidRPr="006A199E">
        <w:rPr>
          <w:rFonts w:cs="David" w:hint="eastAsia"/>
          <w:sz w:val="20"/>
          <w:szCs w:val="20"/>
          <w:highlight w:val="yellow"/>
          <w:rtl/>
        </w:rPr>
        <w:t>האדם</w:t>
      </w:r>
      <w:r w:rsidRPr="006A199E">
        <w:rPr>
          <w:rFonts w:cs="David"/>
          <w:sz w:val="20"/>
          <w:szCs w:val="20"/>
          <w:highlight w:val="yellow"/>
          <w:rtl/>
        </w:rPr>
        <w:t>.</w:t>
      </w:r>
      <w:r w:rsidRPr="00EC7F41">
        <w:rPr>
          <w:rFonts w:cs="David"/>
          <w:sz w:val="20"/>
          <w:szCs w:val="20"/>
          <w:rtl/>
        </w:rPr>
        <w:t xml:space="preserve"> </w:t>
      </w:r>
    </w:p>
    <w:p w:rsidR="005366A8" w:rsidRPr="00EC7F41" w:rsidRDefault="005366A8" w:rsidP="005366A8">
      <w:pPr>
        <w:spacing w:after="60"/>
        <w:ind w:firstLine="720"/>
        <w:rPr>
          <w:rFonts w:cs="David"/>
          <w:sz w:val="20"/>
          <w:szCs w:val="20"/>
          <w:rtl/>
        </w:rPr>
      </w:pPr>
      <w:r w:rsidRPr="006A199E">
        <w:rPr>
          <w:rFonts w:cs="David" w:hint="eastAsia"/>
          <w:sz w:val="20"/>
          <w:szCs w:val="20"/>
          <w:highlight w:val="yellow"/>
          <w:rtl/>
        </w:rPr>
        <w:t>משקבעה</w:t>
      </w:r>
      <w:r w:rsidRPr="006A199E">
        <w:rPr>
          <w:rFonts w:cs="David"/>
          <w:sz w:val="20"/>
          <w:szCs w:val="20"/>
          <w:highlight w:val="yellow"/>
          <w:rtl/>
        </w:rPr>
        <w:t xml:space="preserve"> </w:t>
      </w:r>
      <w:r w:rsidRPr="006A199E">
        <w:rPr>
          <w:rFonts w:cs="David" w:hint="eastAsia"/>
          <w:sz w:val="20"/>
          <w:szCs w:val="20"/>
          <w:highlight w:val="yellow"/>
          <w:rtl/>
        </w:rPr>
        <w:t>הנשיאה</w:t>
      </w:r>
      <w:r w:rsidRPr="006A199E">
        <w:rPr>
          <w:rFonts w:cs="David"/>
          <w:sz w:val="20"/>
          <w:szCs w:val="20"/>
          <w:highlight w:val="yellow"/>
          <w:rtl/>
        </w:rPr>
        <w:t xml:space="preserve"> </w:t>
      </w:r>
      <w:r w:rsidRPr="006A199E">
        <w:rPr>
          <w:rFonts w:cs="David" w:hint="eastAsia"/>
          <w:sz w:val="20"/>
          <w:szCs w:val="20"/>
          <w:highlight w:val="yellow"/>
          <w:rtl/>
        </w:rPr>
        <w:t>שהתיקון</w:t>
      </w:r>
      <w:r w:rsidRPr="006A199E">
        <w:rPr>
          <w:rFonts w:cs="David"/>
          <w:sz w:val="20"/>
          <w:szCs w:val="20"/>
          <w:highlight w:val="yellow"/>
          <w:rtl/>
        </w:rPr>
        <w:t xml:space="preserve"> </w:t>
      </w:r>
      <w:r w:rsidRPr="006A199E">
        <w:rPr>
          <w:rFonts w:cs="David" w:hint="eastAsia"/>
          <w:sz w:val="20"/>
          <w:szCs w:val="20"/>
          <w:highlight w:val="yellow"/>
          <w:rtl/>
        </w:rPr>
        <w:t>לחוק</w:t>
      </w:r>
      <w:r w:rsidRPr="006A199E">
        <w:rPr>
          <w:rFonts w:cs="David"/>
          <w:sz w:val="20"/>
          <w:szCs w:val="20"/>
          <w:highlight w:val="yellow"/>
          <w:rtl/>
        </w:rPr>
        <w:t xml:space="preserve"> </w:t>
      </w:r>
      <w:r w:rsidRPr="006A199E">
        <w:rPr>
          <w:rFonts w:cs="David" w:hint="eastAsia"/>
          <w:sz w:val="20"/>
          <w:szCs w:val="20"/>
          <w:highlight w:val="yellow"/>
          <w:rtl/>
        </w:rPr>
        <w:t>פוגע</w:t>
      </w:r>
      <w:r w:rsidRPr="006A199E">
        <w:rPr>
          <w:rFonts w:cs="David"/>
          <w:sz w:val="20"/>
          <w:szCs w:val="20"/>
          <w:highlight w:val="yellow"/>
          <w:rtl/>
        </w:rPr>
        <w:t xml:space="preserve"> </w:t>
      </w:r>
      <w:r w:rsidRPr="006A199E">
        <w:rPr>
          <w:rFonts w:cs="David" w:hint="eastAsia"/>
          <w:sz w:val="20"/>
          <w:szCs w:val="20"/>
          <w:highlight w:val="yellow"/>
          <w:rtl/>
        </w:rPr>
        <w:t>בזכות</w:t>
      </w:r>
      <w:r w:rsidRPr="006A199E">
        <w:rPr>
          <w:rFonts w:cs="David"/>
          <w:sz w:val="20"/>
          <w:szCs w:val="20"/>
          <w:highlight w:val="yellow"/>
          <w:rtl/>
        </w:rPr>
        <w:t xml:space="preserve"> </w:t>
      </w:r>
      <w:r w:rsidRPr="006A199E">
        <w:rPr>
          <w:rFonts w:cs="David" w:hint="eastAsia"/>
          <w:sz w:val="20"/>
          <w:szCs w:val="20"/>
          <w:highlight w:val="yellow"/>
          <w:rtl/>
        </w:rPr>
        <w:t>לחירות</w:t>
      </w:r>
      <w:r w:rsidRPr="006A199E">
        <w:rPr>
          <w:rFonts w:cs="David"/>
          <w:sz w:val="20"/>
          <w:szCs w:val="20"/>
          <w:highlight w:val="yellow"/>
          <w:rtl/>
        </w:rPr>
        <w:t xml:space="preserve"> </w:t>
      </w:r>
      <w:r w:rsidRPr="006A199E">
        <w:rPr>
          <w:rFonts w:cs="David" w:hint="eastAsia"/>
          <w:sz w:val="20"/>
          <w:szCs w:val="20"/>
          <w:highlight w:val="yellow"/>
          <w:rtl/>
        </w:rPr>
        <w:t>אישית</w:t>
      </w:r>
      <w:r w:rsidRPr="006A199E">
        <w:rPr>
          <w:rFonts w:cs="David"/>
          <w:sz w:val="20"/>
          <w:szCs w:val="20"/>
          <w:highlight w:val="yellow"/>
          <w:rtl/>
        </w:rPr>
        <w:t xml:space="preserve"> </w:t>
      </w:r>
      <w:r w:rsidRPr="006A199E">
        <w:rPr>
          <w:rFonts w:cs="David" w:hint="eastAsia"/>
          <w:sz w:val="20"/>
          <w:szCs w:val="20"/>
          <w:highlight w:val="yellow"/>
          <w:rtl/>
        </w:rPr>
        <w:t>ובכבוד</w:t>
      </w:r>
      <w:r w:rsidRPr="006A199E">
        <w:rPr>
          <w:rFonts w:cs="David"/>
          <w:sz w:val="20"/>
          <w:szCs w:val="20"/>
          <w:highlight w:val="yellow"/>
          <w:rtl/>
        </w:rPr>
        <w:t xml:space="preserve"> </w:t>
      </w:r>
      <w:r w:rsidRPr="006A199E">
        <w:rPr>
          <w:rFonts w:cs="David" w:hint="eastAsia"/>
          <w:sz w:val="20"/>
          <w:szCs w:val="20"/>
          <w:highlight w:val="yellow"/>
          <w:rtl/>
        </w:rPr>
        <w:t>האדם</w:t>
      </w:r>
      <w:r w:rsidRPr="006A199E">
        <w:rPr>
          <w:rFonts w:cs="David"/>
          <w:sz w:val="20"/>
          <w:szCs w:val="20"/>
          <w:highlight w:val="yellow"/>
          <w:rtl/>
        </w:rPr>
        <w:t xml:space="preserve">, </w:t>
      </w:r>
      <w:r w:rsidRPr="006A199E">
        <w:rPr>
          <w:rFonts w:cs="David" w:hint="eastAsia"/>
          <w:sz w:val="20"/>
          <w:szCs w:val="20"/>
          <w:highlight w:val="yellow"/>
          <w:rtl/>
        </w:rPr>
        <w:t>בחנה</w:t>
      </w:r>
      <w:r w:rsidRPr="006A199E">
        <w:rPr>
          <w:rFonts w:cs="David"/>
          <w:sz w:val="20"/>
          <w:szCs w:val="20"/>
          <w:highlight w:val="yellow"/>
          <w:rtl/>
        </w:rPr>
        <w:t xml:space="preserve"> </w:t>
      </w:r>
      <w:r w:rsidRPr="006A199E">
        <w:rPr>
          <w:rFonts w:cs="David" w:hint="eastAsia"/>
          <w:sz w:val="20"/>
          <w:szCs w:val="20"/>
          <w:highlight w:val="yellow"/>
          <w:rtl/>
        </w:rPr>
        <w:t>הנשיאה</w:t>
      </w:r>
      <w:r w:rsidRPr="006A199E">
        <w:rPr>
          <w:rFonts w:cs="David"/>
          <w:sz w:val="20"/>
          <w:szCs w:val="20"/>
          <w:highlight w:val="yellow"/>
          <w:rtl/>
        </w:rPr>
        <w:t xml:space="preserve"> </w:t>
      </w:r>
      <w:r w:rsidRPr="006A199E">
        <w:rPr>
          <w:rFonts w:cs="David" w:hint="eastAsia"/>
          <w:sz w:val="20"/>
          <w:szCs w:val="20"/>
          <w:highlight w:val="yellow"/>
          <w:rtl/>
        </w:rPr>
        <w:t>את</w:t>
      </w:r>
      <w:r w:rsidRPr="006A199E">
        <w:rPr>
          <w:rFonts w:cs="David"/>
          <w:sz w:val="20"/>
          <w:szCs w:val="20"/>
          <w:highlight w:val="yellow"/>
          <w:rtl/>
        </w:rPr>
        <w:t xml:space="preserve"> </w:t>
      </w:r>
      <w:r w:rsidRPr="006A199E">
        <w:rPr>
          <w:rFonts w:cs="David" w:hint="eastAsia"/>
          <w:sz w:val="20"/>
          <w:szCs w:val="20"/>
          <w:highlight w:val="yellow"/>
          <w:rtl/>
        </w:rPr>
        <w:t>עמידתו</w:t>
      </w:r>
      <w:r w:rsidRPr="006A199E">
        <w:rPr>
          <w:rFonts w:cs="David"/>
          <w:sz w:val="20"/>
          <w:szCs w:val="20"/>
          <w:highlight w:val="yellow"/>
          <w:rtl/>
        </w:rPr>
        <w:t xml:space="preserve"> </w:t>
      </w:r>
      <w:r w:rsidRPr="006A199E">
        <w:rPr>
          <w:rFonts w:cs="David" w:hint="eastAsia"/>
          <w:sz w:val="20"/>
          <w:szCs w:val="20"/>
          <w:highlight w:val="yellow"/>
          <w:rtl/>
        </w:rPr>
        <w:t>של</w:t>
      </w:r>
      <w:r w:rsidRPr="006A199E">
        <w:rPr>
          <w:rFonts w:cs="David"/>
          <w:sz w:val="20"/>
          <w:szCs w:val="20"/>
          <w:highlight w:val="yellow"/>
          <w:rtl/>
        </w:rPr>
        <w:t xml:space="preserve"> </w:t>
      </w:r>
      <w:r w:rsidRPr="006A199E">
        <w:rPr>
          <w:rFonts w:cs="David" w:hint="eastAsia"/>
          <w:sz w:val="20"/>
          <w:szCs w:val="20"/>
          <w:highlight w:val="yellow"/>
          <w:rtl/>
        </w:rPr>
        <w:t>תיקון</w:t>
      </w:r>
      <w:r w:rsidRPr="006A199E">
        <w:rPr>
          <w:rFonts w:cs="David"/>
          <w:sz w:val="20"/>
          <w:szCs w:val="20"/>
          <w:highlight w:val="yellow"/>
          <w:rtl/>
        </w:rPr>
        <w:t xml:space="preserve"> 28 </w:t>
      </w:r>
      <w:r w:rsidRPr="006A199E">
        <w:rPr>
          <w:rFonts w:cs="David" w:hint="eastAsia"/>
          <w:sz w:val="20"/>
          <w:szCs w:val="20"/>
          <w:highlight w:val="yellow"/>
          <w:rtl/>
        </w:rPr>
        <w:t>במבחני</w:t>
      </w:r>
      <w:r w:rsidRPr="006A199E">
        <w:rPr>
          <w:rFonts w:cs="David"/>
          <w:sz w:val="20"/>
          <w:szCs w:val="20"/>
          <w:highlight w:val="yellow"/>
          <w:rtl/>
        </w:rPr>
        <w:t xml:space="preserve"> </w:t>
      </w:r>
      <w:r w:rsidRPr="006A199E">
        <w:rPr>
          <w:rFonts w:cs="David" w:hint="eastAsia"/>
          <w:sz w:val="20"/>
          <w:szCs w:val="20"/>
          <w:highlight w:val="yellow"/>
          <w:rtl/>
        </w:rPr>
        <w:t>פסקת</w:t>
      </w:r>
      <w:r w:rsidRPr="006A199E">
        <w:rPr>
          <w:rFonts w:cs="David"/>
          <w:sz w:val="20"/>
          <w:szCs w:val="20"/>
          <w:highlight w:val="yellow"/>
          <w:rtl/>
        </w:rPr>
        <w:t xml:space="preserve"> </w:t>
      </w:r>
      <w:r w:rsidRPr="006A199E">
        <w:rPr>
          <w:rFonts w:cs="David" w:hint="eastAsia"/>
          <w:sz w:val="20"/>
          <w:szCs w:val="20"/>
          <w:highlight w:val="yellow"/>
          <w:rtl/>
        </w:rPr>
        <w:t>ההגבלה</w:t>
      </w:r>
      <w:r w:rsidRPr="00EC7F41">
        <w:rPr>
          <w:rFonts w:cs="David"/>
          <w:sz w:val="20"/>
          <w:szCs w:val="20"/>
          <w:rtl/>
        </w:rPr>
        <w:t xml:space="preserve">: </w:t>
      </w:r>
      <w:r w:rsidRPr="00EC7F41">
        <w:rPr>
          <w:rFonts w:cs="David" w:hint="eastAsia"/>
          <w:sz w:val="20"/>
          <w:szCs w:val="20"/>
          <w:rtl/>
        </w:rPr>
        <w:t>הנשיאה</w:t>
      </w:r>
      <w:r w:rsidRPr="00EC7F41">
        <w:rPr>
          <w:rFonts w:cs="David"/>
          <w:sz w:val="20"/>
          <w:szCs w:val="20"/>
          <w:rtl/>
        </w:rPr>
        <w:t xml:space="preserve"> </w:t>
      </w:r>
      <w:r w:rsidRPr="00EC7F41">
        <w:rPr>
          <w:rFonts w:cs="David" w:hint="eastAsia"/>
          <w:sz w:val="20"/>
          <w:szCs w:val="20"/>
          <w:rtl/>
        </w:rPr>
        <w:t>הייתה</w:t>
      </w:r>
      <w:r w:rsidRPr="00EC7F41">
        <w:rPr>
          <w:rFonts w:cs="David"/>
          <w:sz w:val="20"/>
          <w:szCs w:val="20"/>
          <w:rtl/>
        </w:rPr>
        <w:t xml:space="preserve"> </w:t>
      </w:r>
      <w:r w:rsidRPr="00EC7F41">
        <w:rPr>
          <w:rFonts w:cs="David" w:hint="eastAsia"/>
          <w:sz w:val="20"/>
          <w:szCs w:val="20"/>
          <w:rtl/>
        </w:rPr>
        <w:t>מוכנה</w:t>
      </w:r>
      <w:r w:rsidRPr="00EC7F41">
        <w:rPr>
          <w:rFonts w:cs="David"/>
          <w:sz w:val="20"/>
          <w:szCs w:val="20"/>
          <w:rtl/>
        </w:rPr>
        <w:t xml:space="preserve"> </w:t>
      </w:r>
      <w:r w:rsidRPr="00EC7F41">
        <w:rPr>
          <w:rFonts w:cs="David" w:hint="eastAsia"/>
          <w:sz w:val="20"/>
          <w:szCs w:val="20"/>
          <w:rtl/>
        </w:rPr>
        <w:t>להניח</w:t>
      </w:r>
      <w:r w:rsidRPr="00EC7F41">
        <w:rPr>
          <w:rFonts w:cs="David"/>
          <w:sz w:val="20"/>
          <w:szCs w:val="20"/>
          <w:rtl/>
        </w:rPr>
        <w:t xml:space="preserve"> </w:t>
      </w:r>
      <w:r w:rsidRPr="00EC7F41">
        <w:rPr>
          <w:rFonts w:cs="David" w:hint="eastAsia"/>
          <w:sz w:val="20"/>
          <w:szCs w:val="20"/>
          <w:rtl/>
        </w:rPr>
        <w:t>שהתיקון</w:t>
      </w:r>
      <w:r w:rsidRPr="00EC7F41">
        <w:rPr>
          <w:rFonts w:cs="David"/>
          <w:sz w:val="20"/>
          <w:szCs w:val="20"/>
          <w:rtl/>
        </w:rPr>
        <w:t xml:space="preserve"> </w:t>
      </w:r>
      <w:r w:rsidRPr="00EC7F41">
        <w:rPr>
          <w:rFonts w:cs="David" w:hint="eastAsia"/>
          <w:sz w:val="20"/>
          <w:szCs w:val="20"/>
          <w:rtl/>
        </w:rPr>
        <w:t>לחוק</w:t>
      </w:r>
      <w:r w:rsidRPr="00EC7F41">
        <w:rPr>
          <w:rFonts w:cs="David"/>
          <w:sz w:val="20"/>
          <w:szCs w:val="20"/>
          <w:rtl/>
        </w:rPr>
        <w:t xml:space="preserve"> </w:t>
      </w:r>
      <w:r w:rsidRPr="00EC7F41">
        <w:rPr>
          <w:rFonts w:cs="David" w:hint="cs"/>
          <w:sz w:val="20"/>
          <w:szCs w:val="20"/>
          <w:rtl/>
        </w:rPr>
        <w:t>עשוי</w:t>
      </w:r>
      <w:r w:rsidRPr="00EC7F41">
        <w:rPr>
          <w:rFonts w:cs="David"/>
          <w:sz w:val="20"/>
          <w:szCs w:val="20"/>
          <w:rtl/>
        </w:rPr>
        <w:t xml:space="preserve"> </w:t>
      </w:r>
      <w:r w:rsidRPr="00EC7F41">
        <w:rPr>
          <w:rFonts w:cs="David" w:hint="eastAsia"/>
          <w:sz w:val="20"/>
          <w:szCs w:val="20"/>
          <w:rtl/>
        </w:rPr>
        <w:t>להגשים</w:t>
      </w:r>
      <w:r w:rsidRPr="00EC7F41">
        <w:rPr>
          <w:rFonts w:cs="David"/>
          <w:sz w:val="20"/>
          <w:szCs w:val="20"/>
          <w:rtl/>
        </w:rPr>
        <w:t xml:space="preserve"> </w:t>
      </w:r>
      <w:r w:rsidRPr="00EC7F41">
        <w:rPr>
          <w:rFonts w:cs="David" w:hint="eastAsia"/>
          <w:sz w:val="20"/>
          <w:szCs w:val="20"/>
          <w:rtl/>
        </w:rPr>
        <w:t>את</w:t>
      </w:r>
      <w:r w:rsidRPr="00EC7F41">
        <w:rPr>
          <w:rFonts w:cs="David"/>
          <w:sz w:val="20"/>
          <w:szCs w:val="20"/>
          <w:rtl/>
        </w:rPr>
        <w:t xml:space="preserve"> </w:t>
      </w:r>
      <w:r w:rsidRPr="00EC7F41">
        <w:rPr>
          <w:rFonts w:cs="David" w:hint="eastAsia"/>
          <w:sz w:val="20"/>
          <w:szCs w:val="20"/>
          <w:rtl/>
        </w:rPr>
        <w:t>מטרות</w:t>
      </w:r>
      <w:r w:rsidRPr="00EC7F41">
        <w:rPr>
          <w:rFonts w:cs="David"/>
          <w:sz w:val="20"/>
          <w:szCs w:val="20"/>
          <w:rtl/>
        </w:rPr>
        <w:t xml:space="preserve"> </w:t>
      </w:r>
      <w:r w:rsidRPr="00EC7F41">
        <w:rPr>
          <w:rFonts w:cs="David" w:hint="eastAsia"/>
          <w:sz w:val="20"/>
          <w:szCs w:val="20"/>
          <w:rtl/>
        </w:rPr>
        <w:t>החיסכון</w:t>
      </w:r>
      <w:r w:rsidRPr="00EC7F41">
        <w:rPr>
          <w:rFonts w:cs="David" w:hint="cs"/>
          <w:sz w:val="20"/>
          <w:szCs w:val="20"/>
          <w:rtl/>
        </w:rPr>
        <w:t xml:space="preserve"> הכספי</w:t>
      </w:r>
      <w:r w:rsidRPr="00EC7F41">
        <w:rPr>
          <w:rFonts w:cs="David"/>
          <w:sz w:val="20"/>
          <w:szCs w:val="20"/>
          <w:rtl/>
        </w:rPr>
        <w:t xml:space="preserve"> </w:t>
      </w:r>
      <w:r w:rsidRPr="00EC7F41">
        <w:rPr>
          <w:rFonts w:cs="David" w:hint="eastAsia"/>
          <w:sz w:val="20"/>
          <w:szCs w:val="20"/>
          <w:rtl/>
        </w:rPr>
        <w:t>ושיפור</w:t>
      </w:r>
      <w:r w:rsidRPr="00EC7F41">
        <w:rPr>
          <w:rFonts w:cs="David"/>
          <w:sz w:val="20"/>
          <w:szCs w:val="20"/>
          <w:rtl/>
        </w:rPr>
        <w:t xml:space="preserve"> </w:t>
      </w:r>
      <w:r w:rsidRPr="00EC7F41">
        <w:rPr>
          <w:rFonts w:cs="David" w:hint="eastAsia"/>
          <w:sz w:val="20"/>
          <w:szCs w:val="20"/>
          <w:rtl/>
        </w:rPr>
        <w:t>תנאי</w:t>
      </w:r>
      <w:r w:rsidRPr="00EC7F41">
        <w:rPr>
          <w:rFonts w:cs="David"/>
          <w:sz w:val="20"/>
          <w:szCs w:val="20"/>
          <w:rtl/>
        </w:rPr>
        <w:t xml:space="preserve"> </w:t>
      </w:r>
      <w:r w:rsidRPr="00EC7F41">
        <w:rPr>
          <w:rFonts w:cs="David" w:hint="eastAsia"/>
          <w:sz w:val="20"/>
          <w:szCs w:val="20"/>
          <w:rtl/>
        </w:rPr>
        <w:t>הכליאה</w:t>
      </w:r>
      <w:r w:rsidRPr="00EC7F41">
        <w:rPr>
          <w:rFonts w:cs="David"/>
          <w:sz w:val="20"/>
          <w:szCs w:val="20"/>
          <w:rtl/>
        </w:rPr>
        <w:t xml:space="preserve"> </w:t>
      </w:r>
      <w:r w:rsidRPr="00EC7F41">
        <w:rPr>
          <w:rFonts w:cs="David" w:hint="eastAsia"/>
          <w:sz w:val="20"/>
          <w:szCs w:val="20"/>
          <w:rtl/>
        </w:rPr>
        <w:t>של</w:t>
      </w:r>
      <w:r w:rsidRPr="00EC7F41">
        <w:rPr>
          <w:rFonts w:cs="David"/>
          <w:sz w:val="20"/>
          <w:szCs w:val="20"/>
          <w:rtl/>
        </w:rPr>
        <w:t xml:space="preserve"> </w:t>
      </w:r>
      <w:r w:rsidRPr="00EC7F41">
        <w:rPr>
          <w:rFonts w:cs="David" w:hint="eastAsia"/>
          <w:sz w:val="20"/>
          <w:szCs w:val="20"/>
          <w:rtl/>
        </w:rPr>
        <w:t>האסירים</w:t>
      </w:r>
      <w:r w:rsidRPr="00EC7F41">
        <w:rPr>
          <w:rFonts w:cs="David"/>
          <w:sz w:val="20"/>
          <w:szCs w:val="20"/>
          <w:rtl/>
        </w:rPr>
        <w:t xml:space="preserve"> </w:t>
      </w:r>
      <w:r w:rsidRPr="00EC7F41">
        <w:rPr>
          <w:rFonts w:cs="David" w:hint="eastAsia"/>
          <w:sz w:val="20"/>
          <w:szCs w:val="20"/>
          <w:rtl/>
        </w:rPr>
        <w:t>העומדים</w:t>
      </w:r>
      <w:r w:rsidRPr="00EC7F41">
        <w:rPr>
          <w:rFonts w:cs="David"/>
          <w:sz w:val="20"/>
          <w:szCs w:val="20"/>
          <w:rtl/>
        </w:rPr>
        <w:t xml:space="preserve"> </w:t>
      </w:r>
      <w:r w:rsidRPr="00EC7F41">
        <w:rPr>
          <w:rFonts w:cs="David" w:hint="eastAsia"/>
          <w:sz w:val="20"/>
          <w:szCs w:val="20"/>
          <w:rtl/>
        </w:rPr>
        <w:t>בבסיסו</w:t>
      </w:r>
      <w:r w:rsidRPr="00EC7F41">
        <w:rPr>
          <w:rFonts w:cs="David"/>
          <w:sz w:val="20"/>
          <w:szCs w:val="20"/>
          <w:rtl/>
        </w:rPr>
        <w:t xml:space="preserve">, </w:t>
      </w:r>
      <w:r w:rsidRPr="00EC7F41">
        <w:rPr>
          <w:rFonts w:cs="David" w:hint="eastAsia"/>
          <w:sz w:val="20"/>
          <w:szCs w:val="20"/>
          <w:rtl/>
        </w:rPr>
        <w:t>ועיקר</w:t>
      </w:r>
      <w:r w:rsidRPr="00EC7F41">
        <w:rPr>
          <w:rFonts w:cs="David"/>
          <w:sz w:val="20"/>
          <w:szCs w:val="20"/>
          <w:rtl/>
        </w:rPr>
        <w:t xml:space="preserve"> </w:t>
      </w:r>
      <w:r w:rsidRPr="00EC7F41">
        <w:rPr>
          <w:rFonts w:cs="David" w:hint="eastAsia"/>
          <w:sz w:val="20"/>
          <w:szCs w:val="20"/>
          <w:rtl/>
        </w:rPr>
        <w:t>חוות</w:t>
      </w:r>
      <w:r w:rsidRPr="00EC7F41">
        <w:rPr>
          <w:rFonts w:cs="David"/>
          <w:sz w:val="20"/>
          <w:szCs w:val="20"/>
          <w:rtl/>
        </w:rPr>
        <w:t xml:space="preserve"> </w:t>
      </w:r>
      <w:r w:rsidRPr="00EC7F41">
        <w:rPr>
          <w:rFonts w:cs="David" w:hint="eastAsia"/>
          <w:sz w:val="20"/>
          <w:szCs w:val="20"/>
          <w:rtl/>
        </w:rPr>
        <w:t>דעתה</w:t>
      </w:r>
      <w:r w:rsidRPr="00EC7F41">
        <w:rPr>
          <w:rFonts w:cs="David"/>
          <w:sz w:val="20"/>
          <w:szCs w:val="20"/>
          <w:rtl/>
        </w:rPr>
        <w:t xml:space="preserve"> </w:t>
      </w:r>
      <w:r w:rsidRPr="00EC7F41">
        <w:rPr>
          <w:rFonts w:cs="David" w:hint="eastAsia"/>
          <w:sz w:val="20"/>
          <w:szCs w:val="20"/>
          <w:rtl/>
        </w:rPr>
        <w:t>התמקד</w:t>
      </w:r>
      <w:r w:rsidRPr="00EC7F41">
        <w:rPr>
          <w:rFonts w:cs="David"/>
          <w:sz w:val="20"/>
          <w:szCs w:val="20"/>
          <w:rtl/>
        </w:rPr>
        <w:t xml:space="preserve"> </w:t>
      </w:r>
      <w:r w:rsidRPr="00EC7F41">
        <w:rPr>
          <w:rFonts w:cs="David" w:hint="eastAsia"/>
          <w:sz w:val="20"/>
          <w:szCs w:val="20"/>
          <w:rtl/>
        </w:rPr>
        <w:t>במבחני</w:t>
      </w:r>
      <w:r w:rsidRPr="00EC7F41">
        <w:rPr>
          <w:rFonts w:cs="David"/>
          <w:sz w:val="20"/>
          <w:szCs w:val="20"/>
          <w:rtl/>
        </w:rPr>
        <w:t xml:space="preserve"> </w:t>
      </w:r>
      <w:r w:rsidRPr="00EC7F41">
        <w:rPr>
          <w:rFonts w:cs="David" w:hint="eastAsia"/>
          <w:sz w:val="20"/>
          <w:szCs w:val="20"/>
          <w:rtl/>
        </w:rPr>
        <w:t>המשנה</w:t>
      </w:r>
      <w:r w:rsidRPr="00EC7F41">
        <w:rPr>
          <w:rFonts w:cs="David"/>
          <w:sz w:val="20"/>
          <w:szCs w:val="20"/>
          <w:rtl/>
        </w:rPr>
        <w:t xml:space="preserve"> </w:t>
      </w:r>
      <w:r w:rsidRPr="00EC7F41">
        <w:rPr>
          <w:rFonts w:cs="David" w:hint="eastAsia"/>
          <w:sz w:val="20"/>
          <w:szCs w:val="20"/>
          <w:rtl/>
        </w:rPr>
        <w:t>של</w:t>
      </w:r>
      <w:r w:rsidRPr="00EC7F41">
        <w:rPr>
          <w:rFonts w:cs="David"/>
          <w:sz w:val="20"/>
          <w:szCs w:val="20"/>
          <w:rtl/>
        </w:rPr>
        <w:t xml:space="preserve"> </w:t>
      </w:r>
      <w:r w:rsidRPr="00EC7F41">
        <w:rPr>
          <w:rFonts w:cs="David" w:hint="eastAsia"/>
          <w:sz w:val="20"/>
          <w:szCs w:val="20"/>
          <w:rtl/>
        </w:rPr>
        <w:t>דרישת</w:t>
      </w:r>
      <w:r w:rsidRPr="00EC7F41">
        <w:rPr>
          <w:rFonts w:cs="David"/>
          <w:sz w:val="20"/>
          <w:szCs w:val="20"/>
          <w:rtl/>
        </w:rPr>
        <w:t xml:space="preserve"> </w:t>
      </w:r>
      <w:r w:rsidRPr="00EC7F41">
        <w:rPr>
          <w:rFonts w:cs="David" w:hint="eastAsia"/>
          <w:sz w:val="20"/>
          <w:szCs w:val="20"/>
          <w:rtl/>
        </w:rPr>
        <w:t>המידתיות</w:t>
      </w:r>
      <w:r w:rsidRPr="00EC7F41">
        <w:rPr>
          <w:rFonts w:cs="David"/>
          <w:sz w:val="20"/>
          <w:szCs w:val="20"/>
          <w:rtl/>
        </w:rPr>
        <w:t xml:space="preserve">. </w:t>
      </w:r>
      <w:r w:rsidRPr="00EC7F41">
        <w:rPr>
          <w:rFonts w:cs="David" w:hint="eastAsia"/>
          <w:sz w:val="20"/>
          <w:szCs w:val="20"/>
          <w:rtl/>
        </w:rPr>
        <w:t>הנשיאה</w:t>
      </w:r>
      <w:r w:rsidRPr="00EC7F41">
        <w:rPr>
          <w:rFonts w:cs="David"/>
          <w:sz w:val="20"/>
          <w:szCs w:val="20"/>
          <w:rtl/>
        </w:rPr>
        <w:t xml:space="preserve"> </w:t>
      </w:r>
      <w:r w:rsidRPr="00EC7F41">
        <w:rPr>
          <w:rFonts w:cs="David" w:hint="eastAsia"/>
          <w:sz w:val="20"/>
          <w:szCs w:val="20"/>
          <w:rtl/>
        </w:rPr>
        <w:t>הייתה</w:t>
      </w:r>
      <w:r w:rsidRPr="00EC7F41">
        <w:rPr>
          <w:rFonts w:cs="David"/>
          <w:sz w:val="20"/>
          <w:szCs w:val="20"/>
          <w:rtl/>
        </w:rPr>
        <w:t xml:space="preserve"> </w:t>
      </w:r>
      <w:r w:rsidRPr="00EC7F41">
        <w:rPr>
          <w:rFonts w:cs="David" w:hint="eastAsia"/>
          <w:sz w:val="20"/>
          <w:szCs w:val="20"/>
          <w:rtl/>
        </w:rPr>
        <w:t>מוכנה</w:t>
      </w:r>
      <w:r w:rsidRPr="00EC7F41">
        <w:rPr>
          <w:rFonts w:cs="David" w:hint="cs"/>
          <w:sz w:val="20"/>
          <w:szCs w:val="20"/>
          <w:rtl/>
        </w:rPr>
        <w:t xml:space="preserve"> גם</w:t>
      </w:r>
      <w:r w:rsidRPr="00EC7F41">
        <w:rPr>
          <w:rFonts w:cs="David"/>
          <w:sz w:val="20"/>
          <w:szCs w:val="20"/>
          <w:rtl/>
        </w:rPr>
        <w:t xml:space="preserve"> </w:t>
      </w:r>
      <w:r w:rsidRPr="00EC7F41">
        <w:rPr>
          <w:rFonts w:cs="David" w:hint="eastAsia"/>
          <w:sz w:val="20"/>
          <w:szCs w:val="20"/>
          <w:rtl/>
        </w:rPr>
        <w:t>לקבל</w:t>
      </w:r>
      <w:r w:rsidRPr="00EC7F41">
        <w:rPr>
          <w:rFonts w:cs="David"/>
          <w:sz w:val="20"/>
          <w:szCs w:val="20"/>
          <w:rtl/>
        </w:rPr>
        <w:t xml:space="preserve"> </w:t>
      </w:r>
      <w:r w:rsidRPr="00EC7F41">
        <w:rPr>
          <w:rFonts w:cs="David" w:hint="eastAsia"/>
          <w:sz w:val="20"/>
          <w:szCs w:val="20"/>
          <w:rtl/>
        </w:rPr>
        <w:t>את</w:t>
      </w:r>
      <w:r w:rsidRPr="00EC7F41">
        <w:rPr>
          <w:rFonts w:cs="David"/>
          <w:sz w:val="20"/>
          <w:szCs w:val="20"/>
          <w:rtl/>
        </w:rPr>
        <w:t xml:space="preserve"> </w:t>
      </w:r>
      <w:r w:rsidRPr="00EC7F41">
        <w:rPr>
          <w:rFonts w:cs="David" w:hint="eastAsia"/>
          <w:sz w:val="20"/>
          <w:szCs w:val="20"/>
          <w:rtl/>
        </w:rPr>
        <w:t>עמדת</w:t>
      </w:r>
      <w:r w:rsidRPr="00EC7F41">
        <w:rPr>
          <w:rFonts w:cs="David"/>
          <w:sz w:val="20"/>
          <w:szCs w:val="20"/>
          <w:rtl/>
        </w:rPr>
        <w:t xml:space="preserve"> </w:t>
      </w:r>
      <w:r w:rsidRPr="00EC7F41">
        <w:rPr>
          <w:rFonts w:cs="David" w:hint="eastAsia"/>
          <w:sz w:val="20"/>
          <w:szCs w:val="20"/>
          <w:rtl/>
        </w:rPr>
        <w:t>המדינה</w:t>
      </w:r>
      <w:r w:rsidRPr="00EC7F41">
        <w:rPr>
          <w:rFonts w:cs="David"/>
          <w:sz w:val="20"/>
          <w:szCs w:val="20"/>
          <w:rtl/>
        </w:rPr>
        <w:t xml:space="preserve">, </w:t>
      </w:r>
      <w:r w:rsidRPr="00EC7F41">
        <w:rPr>
          <w:rFonts w:cs="David" w:hint="eastAsia"/>
          <w:sz w:val="20"/>
          <w:szCs w:val="20"/>
          <w:rtl/>
        </w:rPr>
        <w:t>שעל</w:t>
      </w:r>
      <w:r w:rsidRPr="00EC7F41">
        <w:rPr>
          <w:rFonts w:cs="David"/>
          <w:sz w:val="20"/>
          <w:szCs w:val="20"/>
          <w:rtl/>
        </w:rPr>
        <w:t xml:space="preserve"> </w:t>
      </w:r>
      <w:r w:rsidRPr="00EC7F41">
        <w:rPr>
          <w:rFonts w:cs="David" w:hint="eastAsia"/>
          <w:sz w:val="20"/>
          <w:szCs w:val="20"/>
          <w:rtl/>
        </w:rPr>
        <w:t>פיה</w:t>
      </w:r>
      <w:r w:rsidRPr="00EC7F41">
        <w:rPr>
          <w:rFonts w:cs="David"/>
          <w:sz w:val="20"/>
          <w:szCs w:val="20"/>
          <w:rtl/>
        </w:rPr>
        <w:t xml:space="preserve"> </w:t>
      </w:r>
      <w:r w:rsidRPr="00EC7F41">
        <w:rPr>
          <w:rFonts w:cs="David" w:hint="eastAsia"/>
          <w:sz w:val="20"/>
          <w:szCs w:val="20"/>
          <w:rtl/>
        </w:rPr>
        <w:t>הבחירה</w:t>
      </w:r>
      <w:r w:rsidRPr="00EC7F41">
        <w:rPr>
          <w:rFonts w:cs="David"/>
          <w:sz w:val="20"/>
          <w:szCs w:val="20"/>
          <w:rtl/>
        </w:rPr>
        <w:t xml:space="preserve"> </w:t>
      </w:r>
      <w:r w:rsidRPr="00EC7F41">
        <w:rPr>
          <w:rFonts w:cs="David" w:hint="eastAsia"/>
          <w:sz w:val="20"/>
          <w:szCs w:val="20"/>
          <w:rtl/>
        </w:rPr>
        <w:t>ב</w:t>
      </w:r>
      <w:r w:rsidRPr="00EC7F41">
        <w:rPr>
          <w:rFonts w:cs="David"/>
          <w:sz w:val="20"/>
          <w:szCs w:val="20"/>
          <w:rtl/>
        </w:rPr>
        <w:t>"</w:t>
      </w:r>
      <w:r w:rsidRPr="00EC7F41">
        <w:rPr>
          <w:rFonts w:cs="David" w:hint="eastAsia"/>
          <w:sz w:val="20"/>
          <w:szCs w:val="20"/>
          <w:rtl/>
        </w:rPr>
        <w:t>מודל</w:t>
      </w:r>
      <w:r w:rsidRPr="00EC7F41">
        <w:rPr>
          <w:rFonts w:cs="David"/>
          <w:sz w:val="20"/>
          <w:szCs w:val="20"/>
          <w:rtl/>
        </w:rPr>
        <w:t xml:space="preserve"> </w:t>
      </w:r>
      <w:r w:rsidRPr="00EC7F41">
        <w:rPr>
          <w:rFonts w:cs="David" w:hint="eastAsia"/>
          <w:sz w:val="20"/>
          <w:szCs w:val="20"/>
          <w:rtl/>
        </w:rPr>
        <w:t>האנגלי</w:t>
      </w:r>
      <w:r w:rsidRPr="00EC7F41">
        <w:rPr>
          <w:rFonts w:cs="David"/>
          <w:sz w:val="20"/>
          <w:szCs w:val="20"/>
          <w:rtl/>
        </w:rPr>
        <w:t xml:space="preserve"> </w:t>
      </w:r>
      <w:r w:rsidRPr="00EC7F41">
        <w:rPr>
          <w:rFonts w:cs="David" w:hint="eastAsia"/>
          <w:sz w:val="20"/>
          <w:szCs w:val="20"/>
          <w:rtl/>
        </w:rPr>
        <w:t>המורחב</w:t>
      </w:r>
      <w:r w:rsidRPr="00EC7F41">
        <w:rPr>
          <w:rFonts w:cs="David"/>
          <w:sz w:val="20"/>
          <w:szCs w:val="20"/>
          <w:rtl/>
        </w:rPr>
        <w:t>"</w:t>
      </w:r>
      <w:r w:rsidRPr="00EC7F41">
        <w:rPr>
          <w:rFonts w:cs="David" w:hint="cs"/>
          <w:sz w:val="20"/>
          <w:szCs w:val="20"/>
          <w:rtl/>
        </w:rPr>
        <w:t>,</w:t>
      </w:r>
      <w:r w:rsidRPr="00EC7F41">
        <w:rPr>
          <w:rFonts w:cs="David"/>
          <w:sz w:val="20"/>
          <w:szCs w:val="20"/>
          <w:rtl/>
        </w:rPr>
        <w:t xml:space="preserve"> </w:t>
      </w:r>
      <w:r w:rsidRPr="00EC7F41">
        <w:rPr>
          <w:rFonts w:cs="David" w:hint="eastAsia"/>
          <w:sz w:val="20"/>
          <w:szCs w:val="20"/>
          <w:rtl/>
        </w:rPr>
        <w:t>הכולל</w:t>
      </w:r>
      <w:r w:rsidRPr="00EC7F41">
        <w:rPr>
          <w:rFonts w:cs="David"/>
          <w:sz w:val="20"/>
          <w:szCs w:val="20"/>
          <w:rtl/>
        </w:rPr>
        <w:t xml:space="preserve"> </w:t>
      </w:r>
      <w:r w:rsidRPr="00EC7F41">
        <w:rPr>
          <w:rFonts w:cs="David" w:hint="eastAsia"/>
          <w:sz w:val="20"/>
          <w:szCs w:val="20"/>
          <w:rtl/>
        </w:rPr>
        <w:t>מסירת</w:t>
      </w:r>
      <w:r w:rsidRPr="00EC7F41">
        <w:rPr>
          <w:rFonts w:cs="David"/>
          <w:sz w:val="20"/>
          <w:szCs w:val="20"/>
          <w:rtl/>
        </w:rPr>
        <w:t xml:space="preserve"> </w:t>
      </w:r>
      <w:r w:rsidRPr="00EC7F41">
        <w:rPr>
          <w:rFonts w:cs="David" w:hint="eastAsia"/>
          <w:sz w:val="20"/>
          <w:szCs w:val="20"/>
          <w:rtl/>
        </w:rPr>
        <w:t>הפרויקט</w:t>
      </w:r>
      <w:r w:rsidRPr="00EC7F41">
        <w:rPr>
          <w:rFonts w:cs="David"/>
          <w:sz w:val="20"/>
          <w:szCs w:val="20"/>
          <w:rtl/>
        </w:rPr>
        <w:t xml:space="preserve"> </w:t>
      </w:r>
      <w:r w:rsidRPr="00EC7F41">
        <w:rPr>
          <w:rFonts w:cs="David" w:hint="eastAsia"/>
          <w:sz w:val="20"/>
          <w:szCs w:val="20"/>
          <w:rtl/>
        </w:rPr>
        <w:t>ליזם</w:t>
      </w:r>
      <w:r w:rsidRPr="00EC7F41">
        <w:rPr>
          <w:rFonts w:cs="David"/>
          <w:sz w:val="20"/>
          <w:szCs w:val="20"/>
          <w:rtl/>
        </w:rPr>
        <w:t xml:space="preserve"> </w:t>
      </w:r>
      <w:r w:rsidRPr="00EC7F41">
        <w:rPr>
          <w:rFonts w:cs="David" w:hint="eastAsia"/>
          <w:sz w:val="20"/>
          <w:szCs w:val="20"/>
          <w:rtl/>
        </w:rPr>
        <w:t>הפועל</w:t>
      </w:r>
      <w:r w:rsidRPr="00EC7F41">
        <w:rPr>
          <w:rFonts w:cs="David"/>
          <w:sz w:val="20"/>
          <w:szCs w:val="20"/>
          <w:rtl/>
        </w:rPr>
        <w:t xml:space="preserve"> </w:t>
      </w:r>
      <w:r w:rsidRPr="00EC7F41">
        <w:rPr>
          <w:rFonts w:cs="David" w:hint="eastAsia"/>
          <w:sz w:val="20"/>
          <w:szCs w:val="20"/>
          <w:rtl/>
        </w:rPr>
        <w:t>תחת</w:t>
      </w:r>
      <w:r w:rsidRPr="00EC7F41">
        <w:rPr>
          <w:rFonts w:cs="David"/>
          <w:sz w:val="20"/>
          <w:szCs w:val="20"/>
          <w:rtl/>
        </w:rPr>
        <w:t xml:space="preserve"> </w:t>
      </w:r>
      <w:r w:rsidRPr="00EC7F41">
        <w:rPr>
          <w:rFonts w:cs="David" w:hint="eastAsia"/>
          <w:sz w:val="20"/>
          <w:szCs w:val="20"/>
          <w:rtl/>
        </w:rPr>
        <w:t>פיקוח</w:t>
      </w:r>
      <w:r w:rsidRPr="00EC7F41">
        <w:rPr>
          <w:rFonts w:cs="David"/>
          <w:sz w:val="20"/>
          <w:szCs w:val="20"/>
          <w:rtl/>
        </w:rPr>
        <w:t xml:space="preserve"> </w:t>
      </w:r>
      <w:r w:rsidRPr="00EC7F41">
        <w:rPr>
          <w:rFonts w:cs="David" w:hint="eastAsia"/>
          <w:sz w:val="20"/>
          <w:szCs w:val="20"/>
          <w:rtl/>
        </w:rPr>
        <w:t>המדינה</w:t>
      </w:r>
      <w:r w:rsidRPr="00EC7F41">
        <w:rPr>
          <w:rFonts w:cs="David"/>
          <w:sz w:val="20"/>
          <w:szCs w:val="20"/>
          <w:rtl/>
        </w:rPr>
        <w:t xml:space="preserve"> </w:t>
      </w:r>
      <w:r w:rsidRPr="00EC7F41">
        <w:rPr>
          <w:rFonts w:cs="David" w:hint="eastAsia"/>
          <w:sz w:val="20"/>
          <w:szCs w:val="20"/>
          <w:rtl/>
        </w:rPr>
        <w:t>תוך</w:t>
      </w:r>
      <w:r w:rsidRPr="00EC7F41">
        <w:rPr>
          <w:rFonts w:cs="David"/>
          <w:sz w:val="20"/>
          <w:szCs w:val="20"/>
          <w:rtl/>
        </w:rPr>
        <w:t xml:space="preserve"> </w:t>
      </w:r>
      <w:r w:rsidRPr="00EC7F41">
        <w:rPr>
          <w:rFonts w:cs="David" w:hint="eastAsia"/>
          <w:sz w:val="20"/>
          <w:szCs w:val="20"/>
          <w:rtl/>
        </w:rPr>
        <w:t>שמירת</w:t>
      </w:r>
      <w:r w:rsidRPr="00EC7F41">
        <w:rPr>
          <w:rFonts w:cs="David"/>
          <w:sz w:val="20"/>
          <w:szCs w:val="20"/>
          <w:rtl/>
        </w:rPr>
        <w:t xml:space="preserve"> </w:t>
      </w:r>
      <w:r w:rsidRPr="00EC7F41">
        <w:rPr>
          <w:rFonts w:cs="David" w:hint="eastAsia"/>
          <w:sz w:val="20"/>
          <w:szCs w:val="20"/>
          <w:rtl/>
        </w:rPr>
        <w:t>סמכויות</w:t>
      </w:r>
      <w:r w:rsidRPr="00EC7F41">
        <w:rPr>
          <w:rFonts w:cs="David"/>
          <w:sz w:val="20"/>
          <w:szCs w:val="20"/>
          <w:rtl/>
        </w:rPr>
        <w:t xml:space="preserve"> </w:t>
      </w:r>
      <w:r w:rsidRPr="00EC7F41">
        <w:rPr>
          <w:rFonts w:cs="David" w:hint="eastAsia"/>
          <w:sz w:val="20"/>
          <w:szCs w:val="20"/>
          <w:rtl/>
        </w:rPr>
        <w:t>בתחום</w:t>
      </w:r>
      <w:r w:rsidRPr="00EC7F41">
        <w:rPr>
          <w:rFonts w:cs="David"/>
          <w:sz w:val="20"/>
          <w:szCs w:val="20"/>
          <w:rtl/>
        </w:rPr>
        <w:t xml:space="preserve"> </w:t>
      </w:r>
      <w:r w:rsidRPr="00EC7F41">
        <w:rPr>
          <w:rFonts w:cs="David" w:hint="eastAsia"/>
          <w:sz w:val="20"/>
          <w:szCs w:val="20"/>
          <w:rtl/>
        </w:rPr>
        <w:t>השיפוט</w:t>
      </w:r>
      <w:r w:rsidRPr="00EC7F41">
        <w:rPr>
          <w:rFonts w:cs="David"/>
          <w:sz w:val="20"/>
          <w:szCs w:val="20"/>
          <w:rtl/>
        </w:rPr>
        <w:t xml:space="preserve"> </w:t>
      </w:r>
      <w:r w:rsidRPr="00EC7F41">
        <w:rPr>
          <w:rFonts w:cs="David" w:hint="eastAsia"/>
          <w:sz w:val="20"/>
          <w:szCs w:val="20"/>
          <w:rtl/>
        </w:rPr>
        <w:t>והענישה</w:t>
      </w:r>
      <w:r w:rsidRPr="00EC7F41">
        <w:rPr>
          <w:rFonts w:cs="David"/>
          <w:sz w:val="20"/>
          <w:szCs w:val="20"/>
          <w:rtl/>
        </w:rPr>
        <w:t xml:space="preserve"> </w:t>
      </w:r>
      <w:r w:rsidRPr="00EC7F41">
        <w:rPr>
          <w:rFonts w:cs="David" w:hint="eastAsia"/>
          <w:sz w:val="20"/>
          <w:szCs w:val="20"/>
          <w:rtl/>
        </w:rPr>
        <w:t>בידי</w:t>
      </w:r>
      <w:r w:rsidRPr="00EC7F41">
        <w:rPr>
          <w:rFonts w:cs="David"/>
          <w:sz w:val="20"/>
          <w:szCs w:val="20"/>
          <w:rtl/>
        </w:rPr>
        <w:t xml:space="preserve"> </w:t>
      </w:r>
      <w:r w:rsidRPr="00EC7F41">
        <w:rPr>
          <w:rFonts w:cs="David" w:hint="eastAsia"/>
          <w:sz w:val="20"/>
          <w:szCs w:val="20"/>
          <w:rtl/>
        </w:rPr>
        <w:t>המדינה</w:t>
      </w:r>
      <w:r w:rsidRPr="00EC7F41">
        <w:rPr>
          <w:rFonts w:cs="David" w:hint="cs"/>
          <w:sz w:val="20"/>
          <w:szCs w:val="20"/>
          <w:rtl/>
        </w:rPr>
        <w:t>,</w:t>
      </w:r>
      <w:r w:rsidRPr="00EC7F41">
        <w:rPr>
          <w:rFonts w:cs="David"/>
          <w:sz w:val="20"/>
          <w:szCs w:val="20"/>
          <w:rtl/>
        </w:rPr>
        <w:t xml:space="preserve"> </w:t>
      </w:r>
      <w:r w:rsidRPr="00EC7F41">
        <w:rPr>
          <w:rFonts w:cs="David" w:hint="eastAsia"/>
          <w:sz w:val="20"/>
          <w:szCs w:val="20"/>
          <w:rtl/>
        </w:rPr>
        <w:t>מהווה</w:t>
      </w:r>
      <w:r w:rsidRPr="00EC7F41">
        <w:rPr>
          <w:rFonts w:cs="David"/>
          <w:sz w:val="20"/>
          <w:szCs w:val="20"/>
          <w:rtl/>
        </w:rPr>
        <w:t xml:space="preserve"> </w:t>
      </w:r>
      <w:r w:rsidRPr="00EC7F41">
        <w:rPr>
          <w:rFonts w:cs="David" w:hint="eastAsia"/>
          <w:sz w:val="20"/>
          <w:szCs w:val="20"/>
          <w:rtl/>
        </w:rPr>
        <w:t>את</w:t>
      </w:r>
      <w:r w:rsidRPr="00EC7F41">
        <w:rPr>
          <w:rFonts w:cs="David"/>
          <w:sz w:val="20"/>
          <w:szCs w:val="20"/>
          <w:rtl/>
        </w:rPr>
        <w:t xml:space="preserve"> </w:t>
      </w:r>
      <w:r w:rsidRPr="00EC7F41">
        <w:rPr>
          <w:rFonts w:cs="David" w:hint="eastAsia"/>
          <w:sz w:val="20"/>
          <w:szCs w:val="20"/>
          <w:rtl/>
        </w:rPr>
        <w:t>הפגיעה</w:t>
      </w:r>
      <w:r w:rsidRPr="00EC7F41">
        <w:rPr>
          <w:rFonts w:cs="David"/>
          <w:sz w:val="20"/>
          <w:szCs w:val="20"/>
          <w:rtl/>
        </w:rPr>
        <w:t xml:space="preserve"> </w:t>
      </w:r>
      <w:r w:rsidRPr="00EC7F41">
        <w:rPr>
          <w:rFonts w:cs="David" w:hint="eastAsia"/>
          <w:sz w:val="20"/>
          <w:szCs w:val="20"/>
          <w:rtl/>
        </w:rPr>
        <w:t>הפחותה</w:t>
      </w:r>
      <w:r w:rsidRPr="00EC7F41">
        <w:rPr>
          <w:rFonts w:cs="David"/>
          <w:sz w:val="20"/>
          <w:szCs w:val="20"/>
          <w:rtl/>
        </w:rPr>
        <w:t xml:space="preserve"> </w:t>
      </w:r>
      <w:r w:rsidRPr="00EC7F41">
        <w:rPr>
          <w:rFonts w:cs="David" w:hint="eastAsia"/>
          <w:sz w:val="20"/>
          <w:szCs w:val="20"/>
          <w:rtl/>
        </w:rPr>
        <w:t>ביותר</w:t>
      </w:r>
      <w:r w:rsidRPr="00EC7F41">
        <w:rPr>
          <w:rFonts w:cs="David"/>
          <w:sz w:val="20"/>
          <w:szCs w:val="20"/>
          <w:rtl/>
        </w:rPr>
        <w:t xml:space="preserve"> </w:t>
      </w:r>
      <w:r w:rsidRPr="00EC7F41">
        <w:rPr>
          <w:rFonts w:cs="David" w:hint="eastAsia"/>
          <w:sz w:val="20"/>
          <w:szCs w:val="20"/>
          <w:rtl/>
        </w:rPr>
        <w:t>מבין</w:t>
      </w:r>
      <w:r w:rsidRPr="00EC7F41">
        <w:rPr>
          <w:rFonts w:cs="David"/>
          <w:sz w:val="20"/>
          <w:szCs w:val="20"/>
          <w:rtl/>
        </w:rPr>
        <w:t xml:space="preserve"> </w:t>
      </w:r>
      <w:r w:rsidRPr="00EC7F41">
        <w:rPr>
          <w:rFonts w:cs="David" w:hint="eastAsia"/>
          <w:sz w:val="20"/>
          <w:szCs w:val="20"/>
          <w:rtl/>
        </w:rPr>
        <w:t>האפשרויות</w:t>
      </w:r>
      <w:r w:rsidRPr="00EC7F41">
        <w:rPr>
          <w:rFonts w:cs="David"/>
          <w:sz w:val="20"/>
          <w:szCs w:val="20"/>
          <w:rtl/>
        </w:rPr>
        <w:t xml:space="preserve"> </w:t>
      </w:r>
      <w:r w:rsidRPr="00EC7F41">
        <w:rPr>
          <w:rFonts w:cs="David" w:hint="eastAsia"/>
          <w:sz w:val="20"/>
          <w:szCs w:val="20"/>
          <w:rtl/>
        </w:rPr>
        <w:t>האפקטיביות</w:t>
      </w:r>
      <w:r w:rsidRPr="00EC7F41">
        <w:rPr>
          <w:rFonts w:cs="David"/>
          <w:sz w:val="20"/>
          <w:szCs w:val="20"/>
          <w:rtl/>
        </w:rPr>
        <w:t xml:space="preserve"> </w:t>
      </w:r>
      <w:r w:rsidRPr="00EC7F41">
        <w:rPr>
          <w:rFonts w:cs="David" w:hint="eastAsia"/>
          <w:sz w:val="20"/>
          <w:szCs w:val="20"/>
          <w:rtl/>
        </w:rPr>
        <w:t>דיין</w:t>
      </w:r>
      <w:r w:rsidRPr="00EC7F41">
        <w:rPr>
          <w:rFonts w:cs="David"/>
          <w:sz w:val="20"/>
          <w:szCs w:val="20"/>
          <w:rtl/>
        </w:rPr>
        <w:t xml:space="preserve"> </w:t>
      </w:r>
      <w:r w:rsidRPr="00EC7F41">
        <w:rPr>
          <w:rFonts w:cs="David" w:hint="eastAsia"/>
          <w:sz w:val="20"/>
          <w:szCs w:val="20"/>
          <w:rtl/>
        </w:rPr>
        <w:t>להגשמת</w:t>
      </w:r>
      <w:r w:rsidRPr="00EC7F41">
        <w:rPr>
          <w:rFonts w:cs="David"/>
          <w:sz w:val="20"/>
          <w:szCs w:val="20"/>
          <w:rtl/>
        </w:rPr>
        <w:t xml:space="preserve"> </w:t>
      </w:r>
      <w:r w:rsidRPr="00EC7F41">
        <w:rPr>
          <w:rFonts w:cs="David" w:hint="eastAsia"/>
          <w:sz w:val="20"/>
          <w:szCs w:val="20"/>
          <w:rtl/>
        </w:rPr>
        <w:t>תכלית</w:t>
      </w:r>
      <w:r w:rsidRPr="00EC7F41">
        <w:rPr>
          <w:rFonts w:cs="David"/>
          <w:sz w:val="20"/>
          <w:szCs w:val="20"/>
          <w:rtl/>
        </w:rPr>
        <w:t xml:space="preserve"> </w:t>
      </w:r>
      <w:r w:rsidRPr="00EC7F41">
        <w:rPr>
          <w:rFonts w:cs="David" w:hint="eastAsia"/>
          <w:sz w:val="20"/>
          <w:szCs w:val="20"/>
          <w:rtl/>
        </w:rPr>
        <w:t>החוק</w:t>
      </w:r>
      <w:r w:rsidRPr="00EC7F41">
        <w:rPr>
          <w:rFonts w:cs="David"/>
          <w:sz w:val="20"/>
          <w:szCs w:val="20"/>
          <w:rtl/>
        </w:rPr>
        <w:t xml:space="preserve">. </w:t>
      </w:r>
      <w:r w:rsidRPr="00EC7F41">
        <w:rPr>
          <w:rFonts w:cs="David" w:hint="eastAsia"/>
          <w:sz w:val="20"/>
          <w:szCs w:val="20"/>
          <w:rtl/>
        </w:rPr>
        <w:t>הנשיאה</w:t>
      </w:r>
      <w:r w:rsidRPr="00EC7F41">
        <w:rPr>
          <w:rFonts w:cs="David"/>
          <w:sz w:val="20"/>
          <w:szCs w:val="20"/>
          <w:rtl/>
        </w:rPr>
        <w:t xml:space="preserve"> </w:t>
      </w:r>
      <w:r w:rsidRPr="00EC7F41">
        <w:rPr>
          <w:rFonts w:cs="David" w:hint="eastAsia"/>
          <w:sz w:val="20"/>
          <w:szCs w:val="20"/>
          <w:rtl/>
        </w:rPr>
        <w:t>קבעה</w:t>
      </w:r>
      <w:r w:rsidRPr="00EC7F41">
        <w:rPr>
          <w:rFonts w:cs="David"/>
          <w:sz w:val="20"/>
          <w:szCs w:val="20"/>
          <w:rtl/>
        </w:rPr>
        <w:t xml:space="preserve">, </w:t>
      </w:r>
      <w:r w:rsidRPr="00EC7F41">
        <w:rPr>
          <w:rFonts w:cs="David" w:hint="eastAsia"/>
          <w:sz w:val="20"/>
          <w:szCs w:val="20"/>
          <w:rtl/>
        </w:rPr>
        <w:t>אם</w:t>
      </w:r>
      <w:r w:rsidRPr="00EC7F41">
        <w:rPr>
          <w:rFonts w:cs="David"/>
          <w:sz w:val="20"/>
          <w:szCs w:val="20"/>
          <w:rtl/>
        </w:rPr>
        <w:t xml:space="preserve"> </w:t>
      </w:r>
      <w:r w:rsidRPr="00EC7F41">
        <w:rPr>
          <w:rFonts w:cs="David" w:hint="eastAsia"/>
          <w:sz w:val="20"/>
          <w:szCs w:val="20"/>
          <w:rtl/>
        </w:rPr>
        <w:t>כן</w:t>
      </w:r>
      <w:r w:rsidRPr="00EC7F41">
        <w:rPr>
          <w:rFonts w:cs="David"/>
          <w:sz w:val="20"/>
          <w:szCs w:val="20"/>
          <w:rtl/>
        </w:rPr>
        <w:t xml:space="preserve"> ,</w:t>
      </w:r>
      <w:r w:rsidRPr="00EC7F41">
        <w:rPr>
          <w:rFonts w:cs="David" w:hint="eastAsia"/>
          <w:sz w:val="20"/>
          <w:szCs w:val="20"/>
          <w:rtl/>
        </w:rPr>
        <w:t>שהתיקון</w:t>
      </w:r>
      <w:r w:rsidRPr="00EC7F41">
        <w:rPr>
          <w:rFonts w:cs="David"/>
          <w:sz w:val="20"/>
          <w:szCs w:val="20"/>
          <w:rtl/>
        </w:rPr>
        <w:t xml:space="preserve"> </w:t>
      </w:r>
      <w:r w:rsidRPr="00EC7F41">
        <w:rPr>
          <w:rFonts w:cs="David" w:hint="eastAsia"/>
          <w:sz w:val="20"/>
          <w:szCs w:val="20"/>
          <w:rtl/>
        </w:rPr>
        <w:t>עומד</w:t>
      </w:r>
      <w:r w:rsidRPr="00EC7F41">
        <w:rPr>
          <w:rFonts w:cs="David"/>
          <w:sz w:val="20"/>
          <w:szCs w:val="20"/>
          <w:rtl/>
        </w:rPr>
        <w:t xml:space="preserve"> </w:t>
      </w:r>
      <w:r w:rsidRPr="00EC7F41">
        <w:rPr>
          <w:rFonts w:cs="David" w:hint="eastAsia"/>
          <w:sz w:val="20"/>
          <w:szCs w:val="20"/>
          <w:rtl/>
        </w:rPr>
        <w:t>במבחני</w:t>
      </w:r>
      <w:r w:rsidRPr="00EC7F41">
        <w:rPr>
          <w:rFonts w:cs="David"/>
          <w:sz w:val="20"/>
          <w:szCs w:val="20"/>
          <w:rtl/>
        </w:rPr>
        <w:t xml:space="preserve"> </w:t>
      </w:r>
      <w:r w:rsidRPr="00EC7F41">
        <w:rPr>
          <w:rFonts w:cs="David" w:hint="eastAsia"/>
          <w:sz w:val="20"/>
          <w:szCs w:val="20"/>
          <w:rtl/>
        </w:rPr>
        <w:t>המשנה</w:t>
      </w:r>
      <w:r w:rsidRPr="00EC7F41">
        <w:rPr>
          <w:rFonts w:cs="David"/>
          <w:sz w:val="20"/>
          <w:szCs w:val="20"/>
          <w:rtl/>
        </w:rPr>
        <w:t xml:space="preserve"> </w:t>
      </w:r>
      <w:r w:rsidRPr="00EC7F41">
        <w:rPr>
          <w:rFonts w:cs="David" w:hint="eastAsia"/>
          <w:sz w:val="20"/>
          <w:szCs w:val="20"/>
          <w:rtl/>
        </w:rPr>
        <w:t>הראשון</w:t>
      </w:r>
      <w:r w:rsidRPr="00EC7F41">
        <w:rPr>
          <w:rFonts w:cs="David"/>
          <w:sz w:val="20"/>
          <w:szCs w:val="20"/>
          <w:rtl/>
        </w:rPr>
        <w:t xml:space="preserve"> </w:t>
      </w:r>
      <w:r w:rsidRPr="00EC7F41">
        <w:rPr>
          <w:rFonts w:cs="David" w:hint="eastAsia"/>
          <w:sz w:val="20"/>
          <w:szCs w:val="20"/>
          <w:rtl/>
        </w:rPr>
        <w:t>והשני</w:t>
      </w:r>
      <w:r w:rsidRPr="00EC7F41">
        <w:rPr>
          <w:rFonts w:cs="David"/>
          <w:sz w:val="20"/>
          <w:szCs w:val="20"/>
          <w:rtl/>
        </w:rPr>
        <w:t xml:space="preserve">. </w:t>
      </w:r>
      <w:r w:rsidRPr="00EC7F41">
        <w:rPr>
          <w:rFonts w:cs="David" w:hint="eastAsia"/>
          <w:sz w:val="20"/>
          <w:szCs w:val="20"/>
          <w:rtl/>
        </w:rPr>
        <w:t>אלא</w:t>
      </w:r>
      <w:r w:rsidRPr="00EC7F41">
        <w:rPr>
          <w:rFonts w:cs="David"/>
          <w:sz w:val="20"/>
          <w:szCs w:val="20"/>
          <w:rtl/>
        </w:rPr>
        <w:t xml:space="preserve"> </w:t>
      </w:r>
      <w:r w:rsidRPr="00EC7F41">
        <w:rPr>
          <w:rFonts w:cs="David" w:hint="eastAsia"/>
          <w:sz w:val="20"/>
          <w:szCs w:val="20"/>
          <w:rtl/>
        </w:rPr>
        <w:t>שלדידה</w:t>
      </w:r>
      <w:r w:rsidRPr="00EC7F41">
        <w:rPr>
          <w:rFonts w:cs="David"/>
          <w:sz w:val="20"/>
          <w:szCs w:val="20"/>
          <w:rtl/>
        </w:rPr>
        <w:t xml:space="preserve"> </w:t>
      </w:r>
      <w:r w:rsidRPr="00EC7F41">
        <w:rPr>
          <w:rFonts w:cs="David" w:hint="eastAsia"/>
          <w:sz w:val="20"/>
          <w:szCs w:val="20"/>
          <w:rtl/>
        </w:rPr>
        <w:t>של</w:t>
      </w:r>
      <w:r w:rsidRPr="00EC7F41">
        <w:rPr>
          <w:rFonts w:cs="David"/>
          <w:sz w:val="20"/>
          <w:szCs w:val="20"/>
          <w:rtl/>
        </w:rPr>
        <w:t xml:space="preserve"> </w:t>
      </w:r>
      <w:r w:rsidRPr="00EC7F41">
        <w:rPr>
          <w:rFonts w:cs="David" w:hint="eastAsia"/>
          <w:sz w:val="20"/>
          <w:szCs w:val="20"/>
          <w:rtl/>
        </w:rPr>
        <w:t>הנשיאה</w:t>
      </w:r>
      <w:r w:rsidRPr="00EC7F41">
        <w:rPr>
          <w:rFonts w:cs="David"/>
          <w:sz w:val="20"/>
          <w:szCs w:val="20"/>
          <w:rtl/>
        </w:rPr>
        <w:t xml:space="preserve"> </w:t>
      </w:r>
      <w:r w:rsidRPr="00EC7F41">
        <w:rPr>
          <w:rFonts w:cs="David" w:hint="eastAsia"/>
          <w:sz w:val="20"/>
          <w:szCs w:val="20"/>
          <w:rtl/>
        </w:rPr>
        <w:t>לא</w:t>
      </w:r>
      <w:r w:rsidRPr="00EC7F41">
        <w:rPr>
          <w:rFonts w:cs="David"/>
          <w:sz w:val="20"/>
          <w:szCs w:val="20"/>
          <w:rtl/>
        </w:rPr>
        <w:t xml:space="preserve"> </w:t>
      </w:r>
      <w:r w:rsidRPr="00EC7F41">
        <w:rPr>
          <w:rFonts w:cs="David" w:hint="eastAsia"/>
          <w:sz w:val="20"/>
          <w:szCs w:val="20"/>
          <w:rtl/>
        </w:rPr>
        <w:t>עמד</w:t>
      </w:r>
      <w:r w:rsidRPr="00EC7F41">
        <w:rPr>
          <w:rFonts w:cs="David"/>
          <w:sz w:val="20"/>
          <w:szCs w:val="20"/>
          <w:rtl/>
        </w:rPr>
        <w:t xml:space="preserve"> </w:t>
      </w:r>
      <w:r w:rsidRPr="00EC7F41">
        <w:rPr>
          <w:rFonts w:cs="David" w:hint="eastAsia"/>
          <w:sz w:val="20"/>
          <w:szCs w:val="20"/>
          <w:rtl/>
        </w:rPr>
        <w:t>התיקון</w:t>
      </w:r>
      <w:r w:rsidRPr="00EC7F41">
        <w:rPr>
          <w:rFonts w:cs="David"/>
          <w:sz w:val="20"/>
          <w:szCs w:val="20"/>
          <w:rtl/>
        </w:rPr>
        <w:t xml:space="preserve"> </w:t>
      </w:r>
      <w:r w:rsidRPr="006A199E">
        <w:rPr>
          <w:rFonts w:cs="David" w:hint="eastAsia"/>
          <w:sz w:val="20"/>
          <w:szCs w:val="20"/>
          <w:highlight w:val="yellow"/>
          <w:rtl/>
        </w:rPr>
        <w:t>במבחן</w:t>
      </w:r>
      <w:r w:rsidRPr="006A199E">
        <w:rPr>
          <w:rFonts w:cs="David"/>
          <w:sz w:val="20"/>
          <w:szCs w:val="20"/>
          <w:highlight w:val="yellow"/>
          <w:rtl/>
        </w:rPr>
        <w:t xml:space="preserve"> </w:t>
      </w:r>
      <w:r w:rsidRPr="006A199E">
        <w:rPr>
          <w:rFonts w:cs="David" w:hint="eastAsia"/>
          <w:sz w:val="20"/>
          <w:szCs w:val="20"/>
          <w:highlight w:val="yellow"/>
          <w:rtl/>
        </w:rPr>
        <w:t>השלישי</w:t>
      </w:r>
      <w:r w:rsidRPr="006A199E">
        <w:rPr>
          <w:rFonts w:cs="David"/>
          <w:sz w:val="20"/>
          <w:szCs w:val="20"/>
          <w:highlight w:val="yellow"/>
          <w:rtl/>
        </w:rPr>
        <w:t xml:space="preserve">, </w:t>
      </w:r>
      <w:r w:rsidRPr="006A199E">
        <w:rPr>
          <w:rFonts w:cs="David" w:hint="eastAsia"/>
          <w:sz w:val="20"/>
          <w:szCs w:val="20"/>
          <w:highlight w:val="yellow"/>
          <w:rtl/>
        </w:rPr>
        <w:t>מידתיות</w:t>
      </w:r>
      <w:r w:rsidRPr="006A199E">
        <w:rPr>
          <w:rFonts w:cs="David"/>
          <w:sz w:val="20"/>
          <w:szCs w:val="20"/>
          <w:highlight w:val="yellow"/>
          <w:rtl/>
        </w:rPr>
        <w:t xml:space="preserve"> </w:t>
      </w:r>
      <w:r w:rsidRPr="006A199E">
        <w:rPr>
          <w:rFonts w:cs="David" w:hint="eastAsia"/>
          <w:sz w:val="20"/>
          <w:szCs w:val="20"/>
          <w:highlight w:val="yellow"/>
          <w:rtl/>
        </w:rPr>
        <w:t>במובן</w:t>
      </w:r>
      <w:r w:rsidRPr="006A199E">
        <w:rPr>
          <w:rFonts w:cs="David"/>
          <w:sz w:val="20"/>
          <w:szCs w:val="20"/>
          <w:highlight w:val="yellow"/>
          <w:rtl/>
        </w:rPr>
        <w:t xml:space="preserve"> </w:t>
      </w:r>
      <w:r w:rsidRPr="006A199E">
        <w:rPr>
          <w:rFonts w:cs="David" w:hint="eastAsia"/>
          <w:sz w:val="20"/>
          <w:szCs w:val="20"/>
          <w:highlight w:val="yellow"/>
          <w:rtl/>
        </w:rPr>
        <w:t>הצר</w:t>
      </w:r>
      <w:r w:rsidRPr="00EC7F41">
        <w:rPr>
          <w:rFonts w:cs="David"/>
          <w:sz w:val="20"/>
          <w:szCs w:val="20"/>
          <w:rtl/>
        </w:rPr>
        <w:t xml:space="preserve">, </w:t>
      </w:r>
      <w:r w:rsidRPr="00EC7F41">
        <w:rPr>
          <w:rFonts w:cs="David" w:hint="eastAsia"/>
          <w:sz w:val="20"/>
          <w:szCs w:val="20"/>
          <w:rtl/>
        </w:rPr>
        <w:t>הדורש</w:t>
      </w:r>
      <w:r w:rsidRPr="00EC7F41">
        <w:rPr>
          <w:rFonts w:cs="David"/>
          <w:sz w:val="20"/>
          <w:szCs w:val="20"/>
          <w:rtl/>
        </w:rPr>
        <w:t xml:space="preserve"> </w:t>
      </w:r>
      <w:r w:rsidRPr="00EC7F41">
        <w:rPr>
          <w:rFonts w:cs="David" w:hint="eastAsia"/>
          <w:sz w:val="20"/>
          <w:szCs w:val="20"/>
          <w:rtl/>
        </w:rPr>
        <w:t>יחס</w:t>
      </w:r>
      <w:r w:rsidRPr="00EC7F41">
        <w:rPr>
          <w:rFonts w:cs="David"/>
          <w:sz w:val="20"/>
          <w:szCs w:val="20"/>
          <w:rtl/>
        </w:rPr>
        <w:t xml:space="preserve"> </w:t>
      </w:r>
      <w:r w:rsidRPr="00EC7F41">
        <w:rPr>
          <w:rFonts w:cs="David" w:hint="eastAsia"/>
          <w:sz w:val="20"/>
          <w:szCs w:val="20"/>
          <w:rtl/>
        </w:rPr>
        <w:t>ראוי</w:t>
      </w:r>
      <w:r w:rsidRPr="00EC7F41">
        <w:rPr>
          <w:rFonts w:cs="David"/>
          <w:sz w:val="20"/>
          <w:szCs w:val="20"/>
          <w:rtl/>
        </w:rPr>
        <w:t xml:space="preserve"> </w:t>
      </w:r>
      <w:r w:rsidRPr="00EC7F41">
        <w:rPr>
          <w:rFonts w:cs="David" w:hint="eastAsia"/>
          <w:sz w:val="20"/>
          <w:szCs w:val="20"/>
          <w:rtl/>
        </w:rPr>
        <w:t>בין</w:t>
      </w:r>
      <w:r w:rsidRPr="00EC7F41">
        <w:rPr>
          <w:rFonts w:cs="David"/>
          <w:sz w:val="20"/>
          <w:szCs w:val="20"/>
          <w:rtl/>
        </w:rPr>
        <w:t xml:space="preserve"> </w:t>
      </w:r>
      <w:r w:rsidRPr="00EC7F41">
        <w:rPr>
          <w:rFonts w:cs="David" w:hint="eastAsia"/>
          <w:sz w:val="20"/>
          <w:szCs w:val="20"/>
          <w:rtl/>
        </w:rPr>
        <w:t>התועלת</w:t>
      </w:r>
      <w:r w:rsidRPr="00EC7F41">
        <w:rPr>
          <w:rFonts w:cs="David"/>
          <w:sz w:val="20"/>
          <w:szCs w:val="20"/>
          <w:rtl/>
        </w:rPr>
        <w:t xml:space="preserve"> </w:t>
      </w:r>
      <w:r w:rsidRPr="00EC7F41">
        <w:rPr>
          <w:rFonts w:cs="David" w:hint="eastAsia"/>
          <w:sz w:val="20"/>
          <w:szCs w:val="20"/>
          <w:rtl/>
        </w:rPr>
        <w:t>הציבורית</w:t>
      </w:r>
      <w:r w:rsidRPr="00EC7F41">
        <w:rPr>
          <w:rFonts w:cs="David"/>
          <w:sz w:val="20"/>
          <w:szCs w:val="20"/>
          <w:rtl/>
        </w:rPr>
        <w:t xml:space="preserve"> </w:t>
      </w:r>
      <w:r w:rsidRPr="00EC7F41">
        <w:rPr>
          <w:rFonts w:cs="David" w:hint="eastAsia"/>
          <w:sz w:val="20"/>
          <w:szCs w:val="20"/>
          <w:rtl/>
        </w:rPr>
        <w:t>הצומחת</w:t>
      </w:r>
      <w:r w:rsidRPr="00EC7F41">
        <w:rPr>
          <w:rFonts w:cs="David"/>
          <w:sz w:val="20"/>
          <w:szCs w:val="20"/>
          <w:rtl/>
        </w:rPr>
        <w:t xml:space="preserve"> </w:t>
      </w:r>
      <w:r w:rsidRPr="00EC7F41">
        <w:rPr>
          <w:rFonts w:cs="David" w:hint="eastAsia"/>
          <w:sz w:val="20"/>
          <w:szCs w:val="20"/>
          <w:rtl/>
        </w:rPr>
        <w:t>מדבר</w:t>
      </w:r>
      <w:r w:rsidRPr="00EC7F41">
        <w:rPr>
          <w:rFonts w:cs="David"/>
          <w:sz w:val="20"/>
          <w:szCs w:val="20"/>
          <w:rtl/>
        </w:rPr>
        <w:t xml:space="preserve"> </w:t>
      </w:r>
      <w:r w:rsidRPr="00EC7F41">
        <w:rPr>
          <w:rFonts w:cs="David" w:hint="eastAsia"/>
          <w:sz w:val="20"/>
          <w:szCs w:val="20"/>
          <w:rtl/>
        </w:rPr>
        <w:t>החקיקה</w:t>
      </w:r>
      <w:r w:rsidRPr="00EC7F41">
        <w:rPr>
          <w:rFonts w:cs="David"/>
          <w:sz w:val="20"/>
          <w:szCs w:val="20"/>
          <w:rtl/>
        </w:rPr>
        <w:t xml:space="preserve"> </w:t>
      </w:r>
      <w:r w:rsidRPr="00EC7F41">
        <w:rPr>
          <w:rFonts w:cs="David" w:hint="eastAsia"/>
          <w:sz w:val="20"/>
          <w:szCs w:val="20"/>
          <w:rtl/>
        </w:rPr>
        <w:t>לבין</w:t>
      </w:r>
      <w:r w:rsidRPr="00EC7F41">
        <w:rPr>
          <w:rFonts w:cs="David"/>
          <w:sz w:val="20"/>
          <w:szCs w:val="20"/>
          <w:rtl/>
        </w:rPr>
        <w:t xml:space="preserve"> </w:t>
      </w:r>
      <w:r w:rsidRPr="00EC7F41">
        <w:rPr>
          <w:rFonts w:cs="David" w:hint="eastAsia"/>
          <w:sz w:val="20"/>
          <w:szCs w:val="20"/>
          <w:rtl/>
        </w:rPr>
        <w:t>הנזק</w:t>
      </w:r>
      <w:r w:rsidRPr="00EC7F41">
        <w:rPr>
          <w:rFonts w:cs="David"/>
          <w:sz w:val="20"/>
          <w:szCs w:val="20"/>
          <w:rtl/>
        </w:rPr>
        <w:t xml:space="preserve"> </w:t>
      </w:r>
      <w:r w:rsidRPr="00EC7F41">
        <w:rPr>
          <w:rFonts w:cs="David" w:hint="eastAsia"/>
          <w:sz w:val="20"/>
          <w:szCs w:val="20"/>
          <w:rtl/>
        </w:rPr>
        <w:t>לזכות</w:t>
      </w:r>
      <w:r w:rsidRPr="00EC7F41">
        <w:rPr>
          <w:rFonts w:cs="David"/>
          <w:sz w:val="20"/>
          <w:szCs w:val="20"/>
          <w:rtl/>
        </w:rPr>
        <w:t xml:space="preserve"> </w:t>
      </w:r>
      <w:r w:rsidRPr="00EC7F41">
        <w:rPr>
          <w:rFonts w:cs="David" w:hint="eastAsia"/>
          <w:sz w:val="20"/>
          <w:szCs w:val="20"/>
          <w:rtl/>
        </w:rPr>
        <w:t>החוקתית</w:t>
      </w:r>
      <w:r w:rsidRPr="00EC7F41">
        <w:rPr>
          <w:rFonts w:cs="David"/>
          <w:sz w:val="20"/>
          <w:szCs w:val="20"/>
          <w:rtl/>
        </w:rPr>
        <w:t xml:space="preserve"> </w:t>
      </w:r>
      <w:r w:rsidRPr="00EC7F41">
        <w:rPr>
          <w:rFonts w:cs="David" w:hint="eastAsia"/>
          <w:sz w:val="20"/>
          <w:szCs w:val="20"/>
          <w:rtl/>
        </w:rPr>
        <w:t>הנגרם</w:t>
      </w:r>
      <w:r w:rsidRPr="00EC7F41">
        <w:rPr>
          <w:rFonts w:cs="David"/>
          <w:sz w:val="20"/>
          <w:szCs w:val="20"/>
          <w:rtl/>
        </w:rPr>
        <w:t xml:space="preserve"> </w:t>
      </w:r>
      <w:r w:rsidRPr="00EC7F41">
        <w:rPr>
          <w:rFonts w:cs="David" w:hint="eastAsia"/>
          <w:sz w:val="20"/>
          <w:szCs w:val="20"/>
          <w:rtl/>
        </w:rPr>
        <w:t>על</w:t>
      </w:r>
      <w:r w:rsidRPr="00EC7F41">
        <w:rPr>
          <w:rFonts w:cs="David"/>
          <w:sz w:val="20"/>
          <w:szCs w:val="20"/>
          <w:rtl/>
        </w:rPr>
        <w:t xml:space="preserve"> </w:t>
      </w:r>
      <w:r w:rsidRPr="00EC7F41">
        <w:rPr>
          <w:rFonts w:cs="David" w:hint="eastAsia"/>
          <w:sz w:val="20"/>
          <w:szCs w:val="20"/>
          <w:rtl/>
        </w:rPr>
        <w:t>ידי</w:t>
      </w:r>
      <w:r w:rsidRPr="00EC7F41">
        <w:rPr>
          <w:rFonts w:cs="David"/>
          <w:sz w:val="20"/>
          <w:szCs w:val="20"/>
          <w:rtl/>
        </w:rPr>
        <w:t xml:space="preserve"> </w:t>
      </w:r>
      <w:r w:rsidRPr="00EC7F41">
        <w:rPr>
          <w:rFonts w:cs="David" w:hint="eastAsia"/>
          <w:sz w:val="20"/>
          <w:szCs w:val="20"/>
          <w:rtl/>
        </w:rPr>
        <w:t>דבר</w:t>
      </w:r>
      <w:r w:rsidRPr="00EC7F41">
        <w:rPr>
          <w:rFonts w:cs="David"/>
          <w:sz w:val="20"/>
          <w:szCs w:val="20"/>
          <w:rtl/>
        </w:rPr>
        <w:t xml:space="preserve"> </w:t>
      </w:r>
      <w:r w:rsidRPr="00EC7F41">
        <w:rPr>
          <w:rFonts w:cs="David" w:hint="eastAsia"/>
          <w:sz w:val="20"/>
          <w:szCs w:val="20"/>
          <w:rtl/>
        </w:rPr>
        <w:t>החקיקה</w:t>
      </w:r>
      <w:r w:rsidRPr="00EC7F41">
        <w:rPr>
          <w:rFonts w:cs="David"/>
          <w:sz w:val="20"/>
          <w:szCs w:val="20"/>
          <w:rtl/>
        </w:rPr>
        <w:t xml:space="preserve">. </w:t>
      </w:r>
      <w:r w:rsidRPr="00EC7F41">
        <w:rPr>
          <w:rFonts w:cs="David" w:hint="eastAsia"/>
          <w:sz w:val="20"/>
          <w:szCs w:val="20"/>
          <w:rtl/>
        </w:rPr>
        <w:t>הנשיאה</w:t>
      </w:r>
      <w:r w:rsidRPr="00EC7F41">
        <w:rPr>
          <w:rFonts w:cs="David"/>
          <w:sz w:val="20"/>
          <w:szCs w:val="20"/>
          <w:rtl/>
        </w:rPr>
        <w:t xml:space="preserve"> </w:t>
      </w:r>
      <w:r w:rsidRPr="00EC7F41">
        <w:rPr>
          <w:rFonts w:cs="David" w:hint="eastAsia"/>
          <w:sz w:val="20"/>
          <w:szCs w:val="20"/>
          <w:rtl/>
        </w:rPr>
        <w:t>ציינה</w:t>
      </w:r>
      <w:r w:rsidRPr="00EC7F41">
        <w:rPr>
          <w:rFonts w:cs="David"/>
          <w:sz w:val="20"/>
          <w:szCs w:val="20"/>
          <w:rtl/>
        </w:rPr>
        <w:t xml:space="preserve"> </w:t>
      </w:r>
      <w:r w:rsidRPr="00EC7F41">
        <w:rPr>
          <w:rFonts w:cs="David" w:hint="eastAsia"/>
          <w:sz w:val="20"/>
          <w:szCs w:val="20"/>
          <w:rtl/>
        </w:rPr>
        <w:t>כי</w:t>
      </w:r>
      <w:r w:rsidRPr="00EC7F41">
        <w:rPr>
          <w:rFonts w:cs="David"/>
          <w:sz w:val="20"/>
          <w:szCs w:val="20"/>
          <w:rtl/>
        </w:rPr>
        <w:t xml:space="preserve"> </w:t>
      </w:r>
      <w:r w:rsidRPr="00EC7F41">
        <w:rPr>
          <w:rFonts w:cs="David" w:hint="eastAsia"/>
          <w:sz w:val="20"/>
          <w:szCs w:val="20"/>
          <w:rtl/>
        </w:rPr>
        <w:t>על</w:t>
      </w:r>
      <w:r w:rsidRPr="00EC7F41">
        <w:rPr>
          <w:rFonts w:cs="David"/>
          <w:sz w:val="20"/>
          <w:szCs w:val="20"/>
          <w:rtl/>
        </w:rPr>
        <w:t xml:space="preserve"> </w:t>
      </w:r>
      <w:r w:rsidRPr="00EC7F41">
        <w:rPr>
          <w:rFonts w:cs="David" w:hint="eastAsia"/>
          <w:sz w:val="20"/>
          <w:szCs w:val="20"/>
          <w:rtl/>
        </w:rPr>
        <w:t>כפות</w:t>
      </w:r>
      <w:r w:rsidRPr="00EC7F41">
        <w:rPr>
          <w:rFonts w:cs="David"/>
          <w:sz w:val="20"/>
          <w:szCs w:val="20"/>
          <w:rtl/>
        </w:rPr>
        <w:t xml:space="preserve"> </w:t>
      </w:r>
      <w:r w:rsidRPr="00EC7F41">
        <w:rPr>
          <w:rFonts w:cs="David" w:hint="eastAsia"/>
          <w:sz w:val="20"/>
          <w:szCs w:val="20"/>
          <w:rtl/>
        </w:rPr>
        <w:t>המאזניים</w:t>
      </w:r>
      <w:r w:rsidRPr="00EC7F41">
        <w:rPr>
          <w:rFonts w:cs="David"/>
          <w:sz w:val="20"/>
          <w:szCs w:val="20"/>
          <w:rtl/>
        </w:rPr>
        <w:t xml:space="preserve"> </w:t>
      </w:r>
      <w:r w:rsidRPr="00EC7F41">
        <w:rPr>
          <w:rFonts w:cs="David" w:hint="eastAsia"/>
          <w:sz w:val="20"/>
          <w:szCs w:val="20"/>
          <w:rtl/>
        </w:rPr>
        <w:t>מונחים</w:t>
      </w:r>
      <w:r w:rsidRPr="00EC7F41">
        <w:rPr>
          <w:rFonts w:cs="David"/>
          <w:sz w:val="20"/>
          <w:szCs w:val="20"/>
          <w:rtl/>
        </w:rPr>
        <w:t xml:space="preserve"> </w:t>
      </w:r>
      <w:r w:rsidRPr="00EC7F41">
        <w:rPr>
          <w:rFonts w:cs="David" w:hint="eastAsia"/>
          <w:sz w:val="20"/>
          <w:szCs w:val="20"/>
          <w:rtl/>
        </w:rPr>
        <w:t>מחד</w:t>
      </w:r>
      <w:r w:rsidRPr="00EC7F41">
        <w:rPr>
          <w:rFonts w:cs="David"/>
          <w:sz w:val="20"/>
          <w:szCs w:val="20"/>
          <w:rtl/>
        </w:rPr>
        <w:t xml:space="preserve"> </w:t>
      </w:r>
      <w:r w:rsidRPr="00EC7F41">
        <w:rPr>
          <w:rFonts w:cs="David" w:hint="eastAsia"/>
          <w:sz w:val="20"/>
          <w:szCs w:val="20"/>
          <w:rtl/>
        </w:rPr>
        <w:t>גיסא</w:t>
      </w:r>
      <w:r>
        <w:rPr>
          <w:rFonts w:cs="David"/>
          <w:sz w:val="20"/>
          <w:szCs w:val="20"/>
          <w:rtl/>
        </w:rPr>
        <w:t xml:space="preserve"> </w:t>
      </w:r>
      <w:r w:rsidRPr="00EC7F41">
        <w:rPr>
          <w:rFonts w:cs="David" w:hint="eastAsia"/>
          <w:sz w:val="20"/>
          <w:szCs w:val="20"/>
          <w:rtl/>
        </w:rPr>
        <w:t>הפגיעה</w:t>
      </w:r>
      <w:r w:rsidRPr="00EC7F41">
        <w:rPr>
          <w:rFonts w:cs="David"/>
          <w:sz w:val="20"/>
          <w:szCs w:val="20"/>
          <w:rtl/>
        </w:rPr>
        <w:t xml:space="preserve"> </w:t>
      </w:r>
      <w:r w:rsidRPr="00EC7F41">
        <w:rPr>
          <w:rFonts w:cs="David" w:hint="eastAsia"/>
          <w:sz w:val="20"/>
          <w:szCs w:val="20"/>
          <w:rtl/>
        </w:rPr>
        <w:t>בחירות</w:t>
      </w:r>
      <w:r w:rsidRPr="00EC7F41">
        <w:rPr>
          <w:rFonts w:cs="David"/>
          <w:sz w:val="20"/>
          <w:szCs w:val="20"/>
          <w:rtl/>
        </w:rPr>
        <w:t xml:space="preserve"> </w:t>
      </w:r>
      <w:r w:rsidRPr="00EC7F41">
        <w:rPr>
          <w:rFonts w:cs="David" w:hint="eastAsia"/>
          <w:sz w:val="20"/>
          <w:szCs w:val="20"/>
          <w:rtl/>
        </w:rPr>
        <w:t>האישית</w:t>
      </w:r>
      <w:r w:rsidRPr="00EC7F41">
        <w:rPr>
          <w:rFonts w:cs="David"/>
          <w:sz w:val="20"/>
          <w:szCs w:val="20"/>
          <w:rtl/>
        </w:rPr>
        <w:t xml:space="preserve"> </w:t>
      </w:r>
      <w:r w:rsidRPr="00EC7F41">
        <w:rPr>
          <w:rFonts w:cs="David" w:hint="eastAsia"/>
          <w:sz w:val="20"/>
          <w:szCs w:val="20"/>
          <w:rtl/>
        </w:rPr>
        <w:t>וכבוד</w:t>
      </w:r>
      <w:r w:rsidRPr="00EC7F41">
        <w:rPr>
          <w:rFonts w:cs="David"/>
          <w:sz w:val="20"/>
          <w:szCs w:val="20"/>
          <w:rtl/>
        </w:rPr>
        <w:t xml:space="preserve"> </w:t>
      </w:r>
      <w:r w:rsidRPr="00EC7F41">
        <w:rPr>
          <w:rFonts w:cs="David" w:hint="eastAsia"/>
          <w:sz w:val="20"/>
          <w:szCs w:val="20"/>
          <w:rtl/>
        </w:rPr>
        <w:t>האדם</w:t>
      </w:r>
      <w:r w:rsidRPr="00EC7F41">
        <w:rPr>
          <w:rFonts w:cs="David"/>
          <w:sz w:val="20"/>
          <w:szCs w:val="20"/>
          <w:rtl/>
        </w:rPr>
        <w:t xml:space="preserve"> </w:t>
      </w:r>
      <w:r w:rsidRPr="00EC7F41">
        <w:rPr>
          <w:rFonts w:cs="David" w:hint="eastAsia"/>
          <w:sz w:val="20"/>
          <w:szCs w:val="20"/>
          <w:rtl/>
        </w:rPr>
        <w:t>של</w:t>
      </w:r>
      <w:r w:rsidRPr="00EC7F41">
        <w:rPr>
          <w:rFonts w:cs="David"/>
          <w:sz w:val="20"/>
          <w:szCs w:val="20"/>
          <w:rtl/>
        </w:rPr>
        <w:t xml:space="preserve"> </w:t>
      </w:r>
      <w:r w:rsidRPr="00EC7F41">
        <w:rPr>
          <w:rFonts w:cs="David" w:hint="eastAsia"/>
          <w:sz w:val="20"/>
          <w:szCs w:val="20"/>
          <w:rtl/>
        </w:rPr>
        <w:t>האסיר</w:t>
      </w:r>
      <w:r w:rsidRPr="00EC7F41">
        <w:rPr>
          <w:rFonts w:cs="David"/>
          <w:sz w:val="20"/>
          <w:szCs w:val="20"/>
          <w:rtl/>
        </w:rPr>
        <w:t xml:space="preserve"> </w:t>
      </w:r>
      <w:r w:rsidRPr="00EC7F41">
        <w:rPr>
          <w:rFonts w:cs="David" w:hint="eastAsia"/>
          <w:sz w:val="20"/>
          <w:szCs w:val="20"/>
          <w:rtl/>
        </w:rPr>
        <w:t>ומאידך</w:t>
      </w:r>
      <w:r w:rsidRPr="00EC7F41">
        <w:rPr>
          <w:rFonts w:cs="David"/>
          <w:sz w:val="20"/>
          <w:szCs w:val="20"/>
          <w:rtl/>
        </w:rPr>
        <w:t xml:space="preserve"> </w:t>
      </w:r>
      <w:r w:rsidRPr="00EC7F41">
        <w:rPr>
          <w:rFonts w:cs="David" w:hint="eastAsia"/>
          <w:sz w:val="20"/>
          <w:szCs w:val="20"/>
          <w:rtl/>
        </w:rPr>
        <w:t>גיסא</w:t>
      </w:r>
      <w:r w:rsidRPr="00EC7F41">
        <w:rPr>
          <w:rFonts w:cs="David"/>
          <w:sz w:val="20"/>
          <w:szCs w:val="20"/>
          <w:rtl/>
        </w:rPr>
        <w:t xml:space="preserve"> </w:t>
      </w:r>
      <w:r w:rsidRPr="00EC7F41">
        <w:rPr>
          <w:rFonts w:cs="David" w:hint="eastAsia"/>
          <w:sz w:val="20"/>
          <w:szCs w:val="20"/>
          <w:rtl/>
        </w:rPr>
        <w:t>שיפור</w:t>
      </w:r>
      <w:r w:rsidRPr="00EC7F41">
        <w:rPr>
          <w:rFonts w:cs="David"/>
          <w:sz w:val="20"/>
          <w:szCs w:val="20"/>
          <w:rtl/>
        </w:rPr>
        <w:t xml:space="preserve"> </w:t>
      </w:r>
      <w:r w:rsidRPr="00EC7F41">
        <w:rPr>
          <w:rFonts w:cs="David" w:hint="eastAsia"/>
          <w:sz w:val="20"/>
          <w:szCs w:val="20"/>
          <w:rtl/>
        </w:rPr>
        <w:t>תנאי</w:t>
      </w:r>
      <w:r w:rsidRPr="00EC7F41">
        <w:rPr>
          <w:rFonts w:cs="David"/>
          <w:sz w:val="20"/>
          <w:szCs w:val="20"/>
          <w:rtl/>
        </w:rPr>
        <w:t xml:space="preserve"> </w:t>
      </w:r>
      <w:r w:rsidRPr="00EC7F41">
        <w:rPr>
          <w:rFonts w:cs="David" w:hint="eastAsia"/>
          <w:sz w:val="20"/>
          <w:szCs w:val="20"/>
          <w:rtl/>
        </w:rPr>
        <w:t>הכליאה</w:t>
      </w:r>
      <w:r w:rsidRPr="00EC7F41">
        <w:rPr>
          <w:rFonts w:cs="David"/>
          <w:sz w:val="20"/>
          <w:szCs w:val="20"/>
          <w:rtl/>
        </w:rPr>
        <w:t xml:space="preserve"> </w:t>
      </w:r>
      <w:r w:rsidRPr="00EC7F41">
        <w:rPr>
          <w:rFonts w:cs="David" w:hint="eastAsia"/>
          <w:sz w:val="20"/>
          <w:szCs w:val="20"/>
          <w:rtl/>
        </w:rPr>
        <w:t>והתועלת</w:t>
      </w:r>
      <w:r w:rsidRPr="00EC7F41">
        <w:rPr>
          <w:rFonts w:cs="David"/>
          <w:sz w:val="20"/>
          <w:szCs w:val="20"/>
          <w:rtl/>
        </w:rPr>
        <w:t xml:space="preserve"> </w:t>
      </w:r>
      <w:r w:rsidRPr="00EC7F41">
        <w:rPr>
          <w:rFonts w:cs="David" w:hint="eastAsia"/>
          <w:sz w:val="20"/>
          <w:szCs w:val="20"/>
          <w:rtl/>
        </w:rPr>
        <w:t>ציבורית</w:t>
      </w:r>
      <w:r w:rsidRPr="00EC7F41">
        <w:rPr>
          <w:rFonts w:cs="David"/>
          <w:sz w:val="20"/>
          <w:szCs w:val="20"/>
          <w:rtl/>
        </w:rPr>
        <w:t xml:space="preserve"> </w:t>
      </w:r>
      <w:r w:rsidRPr="00EC7F41">
        <w:rPr>
          <w:rFonts w:cs="David" w:hint="eastAsia"/>
          <w:sz w:val="20"/>
          <w:szCs w:val="20"/>
          <w:rtl/>
        </w:rPr>
        <w:t>הגלומה</w:t>
      </w:r>
      <w:r w:rsidRPr="00EC7F41">
        <w:rPr>
          <w:rFonts w:cs="David"/>
          <w:sz w:val="20"/>
          <w:szCs w:val="20"/>
          <w:rtl/>
        </w:rPr>
        <w:t xml:space="preserve"> </w:t>
      </w:r>
      <w:r w:rsidRPr="00EC7F41">
        <w:rPr>
          <w:rFonts w:cs="David" w:hint="eastAsia"/>
          <w:sz w:val="20"/>
          <w:szCs w:val="20"/>
          <w:rtl/>
        </w:rPr>
        <w:t>בחסכון</w:t>
      </w:r>
      <w:r w:rsidRPr="00EC7F41">
        <w:rPr>
          <w:rFonts w:cs="David"/>
          <w:sz w:val="20"/>
          <w:szCs w:val="20"/>
          <w:rtl/>
        </w:rPr>
        <w:t xml:space="preserve"> </w:t>
      </w:r>
      <w:r w:rsidRPr="00EC7F41">
        <w:rPr>
          <w:rFonts w:cs="David" w:hint="eastAsia"/>
          <w:sz w:val="20"/>
          <w:szCs w:val="20"/>
          <w:rtl/>
        </w:rPr>
        <w:t>כספי</w:t>
      </w:r>
      <w:r w:rsidRPr="00EC7F41">
        <w:rPr>
          <w:rFonts w:cs="David"/>
          <w:sz w:val="20"/>
          <w:szCs w:val="20"/>
          <w:rtl/>
        </w:rPr>
        <w:t xml:space="preserve"> </w:t>
      </w:r>
      <w:r w:rsidRPr="00EC7F41">
        <w:rPr>
          <w:rFonts w:cs="David" w:hint="eastAsia"/>
          <w:sz w:val="20"/>
          <w:szCs w:val="20"/>
          <w:rtl/>
        </w:rPr>
        <w:t>ניכר</w:t>
      </w:r>
      <w:r w:rsidRPr="00EC7F41">
        <w:rPr>
          <w:rFonts w:cs="David"/>
          <w:sz w:val="20"/>
          <w:szCs w:val="20"/>
          <w:rtl/>
        </w:rPr>
        <w:t xml:space="preserve"> </w:t>
      </w:r>
      <w:r w:rsidRPr="00EC7F41">
        <w:rPr>
          <w:rFonts w:cs="David" w:hint="eastAsia"/>
          <w:sz w:val="20"/>
          <w:szCs w:val="20"/>
          <w:rtl/>
        </w:rPr>
        <w:t>המוערך</w:t>
      </w:r>
      <w:r w:rsidRPr="00EC7F41">
        <w:rPr>
          <w:rFonts w:cs="David"/>
          <w:sz w:val="20"/>
          <w:szCs w:val="20"/>
          <w:rtl/>
        </w:rPr>
        <w:t xml:space="preserve"> </w:t>
      </w:r>
      <w:r w:rsidRPr="00EC7F41">
        <w:rPr>
          <w:rFonts w:cs="David" w:hint="eastAsia"/>
          <w:sz w:val="20"/>
          <w:szCs w:val="20"/>
          <w:rtl/>
        </w:rPr>
        <w:t>ב</w:t>
      </w:r>
      <w:r w:rsidRPr="00EC7F41">
        <w:rPr>
          <w:rFonts w:cs="David"/>
          <w:sz w:val="20"/>
          <w:szCs w:val="20"/>
          <w:rtl/>
        </w:rPr>
        <w:t xml:space="preserve">-350 </w:t>
      </w:r>
      <w:r w:rsidRPr="00EC7F41">
        <w:rPr>
          <w:rFonts w:cs="David" w:hint="eastAsia"/>
          <w:sz w:val="20"/>
          <w:szCs w:val="20"/>
          <w:rtl/>
        </w:rPr>
        <w:t>מיליון</w:t>
      </w:r>
      <w:r w:rsidRPr="00EC7F41">
        <w:rPr>
          <w:rFonts w:cs="David"/>
          <w:sz w:val="20"/>
          <w:szCs w:val="20"/>
          <w:rtl/>
        </w:rPr>
        <w:t xml:space="preserve"> </w:t>
      </w:r>
      <w:r w:rsidRPr="00EC7F41">
        <w:rPr>
          <w:rFonts w:cs="David" w:hint="eastAsia"/>
          <w:sz w:val="20"/>
          <w:szCs w:val="20"/>
          <w:rtl/>
        </w:rPr>
        <w:t>₪</w:t>
      </w:r>
      <w:r w:rsidRPr="00EC7F41">
        <w:rPr>
          <w:rFonts w:cs="David"/>
          <w:sz w:val="20"/>
          <w:szCs w:val="20"/>
          <w:rtl/>
        </w:rPr>
        <w:t xml:space="preserve"> </w:t>
      </w:r>
      <w:r w:rsidRPr="00EC7F41">
        <w:rPr>
          <w:rFonts w:cs="David" w:hint="eastAsia"/>
          <w:sz w:val="20"/>
          <w:szCs w:val="20"/>
          <w:rtl/>
        </w:rPr>
        <w:t>לכל</w:t>
      </w:r>
      <w:r w:rsidRPr="00EC7F41">
        <w:rPr>
          <w:rFonts w:cs="David"/>
          <w:sz w:val="20"/>
          <w:szCs w:val="20"/>
          <w:rtl/>
        </w:rPr>
        <w:t xml:space="preserve"> 25 </w:t>
      </w:r>
      <w:r w:rsidRPr="00EC7F41">
        <w:rPr>
          <w:rFonts w:cs="David" w:hint="eastAsia"/>
          <w:sz w:val="20"/>
          <w:szCs w:val="20"/>
          <w:rtl/>
        </w:rPr>
        <w:t>השנים</w:t>
      </w:r>
      <w:r w:rsidRPr="00EC7F41">
        <w:rPr>
          <w:rFonts w:cs="David"/>
          <w:sz w:val="20"/>
          <w:szCs w:val="20"/>
          <w:rtl/>
        </w:rPr>
        <w:t xml:space="preserve"> </w:t>
      </w:r>
      <w:r w:rsidRPr="00EC7F41">
        <w:rPr>
          <w:rFonts w:cs="David" w:hint="eastAsia"/>
          <w:sz w:val="20"/>
          <w:szCs w:val="20"/>
          <w:rtl/>
        </w:rPr>
        <w:t>בהם</w:t>
      </w:r>
      <w:r w:rsidRPr="00EC7F41">
        <w:rPr>
          <w:rFonts w:cs="David"/>
          <w:sz w:val="20"/>
          <w:szCs w:val="20"/>
          <w:rtl/>
        </w:rPr>
        <w:t xml:space="preserve"> </w:t>
      </w:r>
      <w:r w:rsidRPr="00EC7F41">
        <w:rPr>
          <w:rFonts w:cs="David" w:hint="eastAsia"/>
          <w:sz w:val="20"/>
          <w:szCs w:val="20"/>
          <w:rtl/>
        </w:rPr>
        <w:t>יפעל</w:t>
      </w:r>
      <w:r w:rsidRPr="00EC7F41">
        <w:rPr>
          <w:rFonts w:cs="David"/>
          <w:sz w:val="20"/>
          <w:szCs w:val="20"/>
          <w:rtl/>
        </w:rPr>
        <w:t xml:space="preserve"> </w:t>
      </w:r>
      <w:r w:rsidRPr="00EC7F41">
        <w:rPr>
          <w:rFonts w:cs="David" w:hint="eastAsia"/>
          <w:sz w:val="20"/>
          <w:szCs w:val="20"/>
          <w:rtl/>
        </w:rPr>
        <w:t>בית</w:t>
      </w:r>
      <w:r w:rsidRPr="00EC7F41">
        <w:rPr>
          <w:rFonts w:cs="David"/>
          <w:sz w:val="20"/>
          <w:szCs w:val="20"/>
          <w:rtl/>
        </w:rPr>
        <w:t xml:space="preserve"> </w:t>
      </w:r>
      <w:r w:rsidRPr="00EC7F41">
        <w:rPr>
          <w:rFonts w:cs="David" w:hint="eastAsia"/>
          <w:sz w:val="20"/>
          <w:szCs w:val="20"/>
          <w:rtl/>
        </w:rPr>
        <w:t>הסוהר</w:t>
      </w:r>
      <w:r w:rsidRPr="00EC7F41">
        <w:rPr>
          <w:rFonts w:cs="David"/>
          <w:sz w:val="20"/>
          <w:szCs w:val="20"/>
          <w:rtl/>
        </w:rPr>
        <w:t xml:space="preserve"> </w:t>
      </w:r>
      <w:r w:rsidRPr="00EC7F41">
        <w:rPr>
          <w:rFonts w:cs="David" w:hint="eastAsia"/>
          <w:sz w:val="20"/>
          <w:szCs w:val="20"/>
          <w:rtl/>
        </w:rPr>
        <w:t>הפרטי</w:t>
      </w:r>
      <w:r w:rsidRPr="00EC7F41">
        <w:rPr>
          <w:rFonts w:cs="David"/>
          <w:sz w:val="20"/>
          <w:szCs w:val="20"/>
          <w:rtl/>
        </w:rPr>
        <w:t xml:space="preserve">. </w:t>
      </w:r>
      <w:r w:rsidRPr="00EC7F41">
        <w:rPr>
          <w:rFonts w:cs="David" w:hint="eastAsia"/>
          <w:sz w:val="20"/>
          <w:szCs w:val="20"/>
          <w:rtl/>
        </w:rPr>
        <w:t>בבחינת</w:t>
      </w:r>
      <w:r w:rsidRPr="00EC7F41">
        <w:rPr>
          <w:rFonts w:cs="David"/>
          <w:sz w:val="20"/>
          <w:szCs w:val="20"/>
          <w:rtl/>
        </w:rPr>
        <w:t xml:space="preserve"> </w:t>
      </w:r>
      <w:r w:rsidRPr="00EC7F41">
        <w:rPr>
          <w:rFonts w:cs="David" w:hint="eastAsia"/>
          <w:sz w:val="20"/>
          <w:szCs w:val="20"/>
          <w:rtl/>
        </w:rPr>
        <w:t>היחס</w:t>
      </w:r>
      <w:r w:rsidRPr="00EC7F41">
        <w:rPr>
          <w:rFonts w:cs="David"/>
          <w:sz w:val="20"/>
          <w:szCs w:val="20"/>
          <w:rtl/>
        </w:rPr>
        <w:t xml:space="preserve"> </w:t>
      </w:r>
      <w:r w:rsidRPr="00EC7F41">
        <w:rPr>
          <w:rFonts w:cs="David" w:hint="eastAsia"/>
          <w:sz w:val="20"/>
          <w:szCs w:val="20"/>
          <w:rtl/>
        </w:rPr>
        <w:t>בין</w:t>
      </w:r>
      <w:r w:rsidRPr="00EC7F41">
        <w:rPr>
          <w:rFonts w:cs="David"/>
          <w:sz w:val="20"/>
          <w:szCs w:val="20"/>
          <w:rtl/>
        </w:rPr>
        <w:t xml:space="preserve"> </w:t>
      </w:r>
      <w:r w:rsidRPr="00EC7F41">
        <w:rPr>
          <w:rFonts w:cs="David" w:hint="eastAsia"/>
          <w:sz w:val="20"/>
          <w:szCs w:val="20"/>
          <w:rtl/>
        </w:rPr>
        <w:t>אלה</w:t>
      </w:r>
      <w:r w:rsidRPr="00EC7F41">
        <w:rPr>
          <w:rFonts w:cs="David"/>
          <w:sz w:val="20"/>
          <w:szCs w:val="20"/>
          <w:rtl/>
        </w:rPr>
        <w:t xml:space="preserve"> </w:t>
      </w:r>
      <w:r w:rsidRPr="00EC7F41">
        <w:rPr>
          <w:rFonts w:cs="David" w:hint="eastAsia"/>
          <w:sz w:val="20"/>
          <w:szCs w:val="20"/>
          <w:rtl/>
        </w:rPr>
        <w:t>הגיעה</w:t>
      </w:r>
      <w:r w:rsidRPr="00EC7F41">
        <w:rPr>
          <w:rFonts w:cs="David"/>
          <w:sz w:val="20"/>
          <w:szCs w:val="20"/>
          <w:rtl/>
        </w:rPr>
        <w:t xml:space="preserve"> </w:t>
      </w:r>
      <w:r w:rsidRPr="00EC7F41">
        <w:rPr>
          <w:rFonts w:cs="David" w:hint="eastAsia"/>
          <w:sz w:val="20"/>
          <w:szCs w:val="20"/>
          <w:rtl/>
        </w:rPr>
        <w:t>הנשיאה</w:t>
      </w:r>
      <w:r w:rsidRPr="00EC7F41">
        <w:rPr>
          <w:rFonts w:cs="David"/>
          <w:sz w:val="20"/>
          <w:szCs w:val="20"/>
          <w:rtl/>
        </w:rPr>
        <w:t xml:space="preserve"> </w:t>
      </w:r>
      <w:r w:rsidRPr="00EC7F41">
        <w:rPr>
          <w:rFonts w:cs="David" w:hint="eastAsia"/>
          <w:sz w:val="20"/>
          <w:szCs w:val="20"/>
          <w:rtl/>
        </w:rPr>
        <w:t>למסקנה</w:t>
      </w:r>
      <w:r w:rsidRPr="00EC7F41">
        <w:rPr>
          <w:rFonts w:cs="David"/>
          <w:sz w:val="20"/>
          <w:szCs w:val="20"/>
          <w:rtl/>
        </w:rPr>
        <w:t xml:space="preserve"> </w:t>
      </w:r>
      <w:r w:rsidRPr="00EC7F41">
        <w:rPr>
          <w:rFonts w:cs="David" w:hint="eastAsia"/>
          <w:sz w:val="20"/>
          <w:szCs w:val="20"/>
          <w:rtl/>
        </w:rPr>
        <w:t>שהיחס</w:t>
      </w:r>
      <w:r w:rsidRPr="00EC7F41">
        <w:rPr>
          <w:rFonts w:cs="David"/>
          <w:sz w:val="20"/>
          <w:szCs w:val="20"/>
          <w:rtl/>
        </w:rPr>
        <w:t xml:space="preserve"> </w:t>
      </w:r>
      <w:r w:rsidRPr="00EC7F41">
        <w:rPr>
          <w:rFonts w:cs="David" w:hint="eastAsia"/>
          <w:sz w:val="20"/>
          <w:szCs w:val="20"/>
          <w:rtl/>
        </w:rPr>
        <w:t>בין</w:t>
      </w:r>
      <w:r w:rsidRPr="00EC7F41">
        <w:rPr>
          <w:rFonts w:cs="David"/>
          <w:sz w:val="20"/>
          <w:szCs w:val="20"/>
          <w:rtl/>
        </w:rPr>
        <w:t xml:space="preserve"> </w:t>
      </w:r>
      <w:r w:rsidRPr="00EC7F41">
        <w:rPr>
          <w:rFonts w:cs="David" w:hint="eastAsia"/>
          <w:sz w:val="20"/>
          <w:szCs w:val="20"/>
          <w:rtl/>
        </w:rPr>
        <w:t>התועלת</w:t>
      </w:r>
      <w:r w:rsidRPr="00EC7F41">
        <w:rPr>
          <w:rFonts w:cs="David"/>
          <w:sz w:val="20"/>
          <w:szCs w:val="20"/>
          <w:rtl/>
        </w:rPr>
        <w:t xml:space="preserve"> </w:t>
      </w:r>
      <w:r w:rsidRPr="00EC7F41">
        <w:rPr>
          <w:rFonts w:cs="David" w:hint="eastAsia"/>
          <w:sz w:val="20"/>
          <w:szCs w:val="20"/>
          <w:rtl/>
        </w:rPr>
        <w:t>החברתית</w:t>
      </w:r>
      <w:r w:rsidRPr="00EC7F41">
        <w:rPr>
          <w:rFonts w:cs="David"/>
          <w:sz w:val="20"/>
          <w:szCs w:val="20"/>
          <w:rtl/>
        </w:rPr>
        <w:t xml:space="preserve"> </w:t>
      </w:r>
      <w:r w:rsidRPr="00EC7F41">
        <w:rPr>
          <w:rFonts w:cs="David" w:hint="eastAsia"/>
          <w:sz w:val="20"/>
          <w:szCs w:val="20"/>
          <w:rtl/>
        </w:rPr>
        <w:t>לעוצמת</w:t>
      </w:r>
      <w:r w:rsidRPr="00EC7F41">
        <w:rPr>
          <w:rFonts w:cs="David"/>
          <w:sz w:val="20"/>
          <w:szCs w:val="20"/>
          <w:rtl/>
        </w:rPr>
        <w:t xml:space="preserve"> </w:t>
      </w:r>
      <w:r w:rsidRPr="00EC7F41">
        <w:rPr>
          <w:rFonts w:cs="David" w:hint="eastAsia"/>
          <w:sz w:val="20"/>
          <w:szCs w:val="20"/>
          <w:rtl/>
        </w:rPr>
        <w:t>הפגיעה</w:t>
      </w:r>
      <w:r w:rsidRPr="00EC7F41">
        <w:rPr>
          <w:rFonts w:cs="David"/>
          <w:sz w:val="20"/>
          <w:szCs w:val="20"/>
          <w:rtl/>
        </w:rPr>
        <w:t xml:space="preserve"> </w:t>
      </w:r>
      <w:r w:rsidRPr="00EC7F41">
        <w:rPr>
          <w:rFonts w:cs="David" w:hint="eastAsia"/>
          <w:sz w:val="20"/>
          <w:szCs w:val="20"/>
          <w:rtl/>
        </w:rPr>
        <w:t>אינו</w:t>
      </w:r>
      <w:r w:rsidRPr="00EC7F41">
        <w:rPr>
          <w:rFonts w:cs="David"/>
          <w:sz w:val="20"/>
          <w:szCs w:val="20"/>
          <w:rtl/>
        </w:rPr>
        <w:t xml:space="preserve"> </w:t>
      </w:r>
      <w:r w:rsidRPr="00EC7F41">
        <w:rPr>
          <w:rFonts w:cs="David" w:hint="eastAsia"/>
          <w:sz w:val="20"/>
          <w:szCs w:val="20"/>
          <w:rtl/>
        </w:rPr>
        <w:t>מידתי</w:t>
      </w:r>
      <w:r w:rsidRPr="00EC7F41">
        <w:rPr>
          <w:rFonts w:cs="David"/>
          <w:sz w:val="20"/>
          <w:szCs w:val="20"/>
          <w:rtl/>
        </w:rPr>
        <w:t xml:space="preserve">. </w:t>
      </w:r>
      <w:r w:rsidRPr="00EC7F41">
        <w:rPr>
          <w:rFonts w:cs="David" w:hint="eastAsia"/>
          <w:sz w:val="20"/>
          <w:szCs w:val="20"/>
          <w:rtl/>
        </w:rPr>
        <w:t>לדידה</w:t>
      </w:r>
      <w:r w:rsidRPr="00EC7F41">
        <w:rPr>
          <w:rFonts w:cs="David"/>
          <w:sz w:val="20"/>
          <w:szCs w:val="20"/>
          <w:rtl/>
        </w:rPr>
        <w:t xml:space="preserve"> </w:t>
      </w:r>
      <w:r w:rsidRPr="00EC7F41">
        <w:rPr>
          <w:rFonts w:cs="David" w:hint="eastAsia"/>
          <w:sz w:val="20"/>
          <w:szCs w:val="20"/>
          <w:rtl/>
        </w:rPr>
        <w:t>הפגיעה</w:t>
      </w:r>
      <w:r w:rsidRPr="00EC7F41">
        <w:rPr>
          <w:rFonts w:cs="David"/>
          <w:sz w:val="20"/>
          <w:szCs w:val="20"/>
          <w:rtl/>
        </w:rPr>
        <w:t xml:space="preserve"> </w:t>
      </w:r>
      <w:r w:rsidRPr="00EC7F41">
        <w:rPr>
          <w:rFonts w:cs="David" w:hint="eastAsia"/>
          <w:sz w:val="20"/>
          <w:szCs w:val="20"/>
          <w:rtl/>
        </w:rPr>
        <w:t>המועצמת</w:t>
      </w:r>
      <w:r w:rsidRPr="00EC7F41">
        <w:rPr>
          <w:rFonts w:cs="David"/>
          <w:sz w:val="20"/>
          <w:szCs w:val="20"/>
          <w:rtl/>
        </w:rPr>
        <w:t xml:space="preserve"> </w:t>
      </w:r>
      <w:r w:rsidRPr="00EC7F41">
        <w:rPr>
          <w:rFonts w:cs="David" w:hint="eastAsia"/>
          <w:sz w:val="20"/>
          <w:szCs w:val="20"/>
          <w:rtl/>
        </w:rPr>
        <w:t>בזכויות</w:t>
      </w:r>
      <w:r w:rsidRPr="00EC7F41">
        <w:rPr>
          <w:rFonts w:cs="David"/>
          <w:sz w:val="20"/>
          <w:szCs w:val="20"/>
          <w:rtl/>
        </w:rPr>
        <w:t xml:space="preserve"> </w:t>
      </w:r>
      <w:r w:rsidRPr="00EC7F41">
        <w:rPr>
          <w:rFonts w:cs="David" w:hint="eastAsia"/>
          <w:sz w:val="20"/>
          <w:szCs w:val="20"/>
          <w:rtl/>
        </w:rPr>
        <w:t>המצויות</w:t>
      </w:r>
      <w:r w:rsidRPr="00EC7F41">
        <w:rPr>
          <w:rFonts w:cs="David"/>
          <w:sz w:val="20"/>
          <w:szCs w:val="20"/>
          <w:rtl/>
        </w:rPr>
        <w:t xml:space="preserve"> </w:t>
      </w:r>
      <w:r w:rsidRPr="00EC7F41">
        <w:rPr>
          <w:rFonts w:cs="David" w:hint="eastAsia"/>
          <w:sz w:val="20"/>
          <w:szCs w:val="20"/>
          <w:rtl/>
        </w:rPr>
        <w:t>בגרעין</w:t>
      </w:r>
      <w:r w:rsidRPr="00EC7F41">
        <w:rPr>
          <w:rFonts w:cs="David"/>
          <w:sz w:val="20"/>
          <w:szCs w:val="20"/>
          <w:rtl/>
        </w:rPr>
        <w:t xml:space="preserve"> </w:t>
      </w:r>
      <w:r w:rsidRPr="00EC7F41">
        <w:rPr>
          <w:rFonts w:cs="David" w:hint="eastAsia"/>
          <w:sz w:val="20"/>
          <w:szCs w:val="20"/>
          <w:rtl/>
        </w:rPr>
        <w:t>הקשה</w:t>
      </w:r>
      <w:r w:rsidRPr="00EC7F41">
        <w:rPr>
          <w:rFonts w:cs="David"/>
          <w:sz w:val="20"/>
          <w:szCs w:val="20"/>
          <w:rtl/>
        </w:rPr>
        <w:t xml:space="preserve"> </w:t>
      </w:r>
      <w:r w:rsidRPr="00EC7F41">
        <w:rPr>
          <w:rFonts w:cs="David" w:hint="eastAsia"/>
          <w:sz w:val="20"/>
          <w:szCs w:val="20"/>
          <w:rtl/>
        </w:rPr>
        <w:t>של</w:t>
      </w:r>
      <w:r w:rsidRPr="00EC7F41">
        <w:rPr>
          <w:rFonts w:cs="David"/>
          <w:sz w:val="20"/>
          <w:szCs w:val="20"/>
          <w:rtl/>
        </w:rPr>
        <w:t xml:space="preserve"> </w:t>
      </w:r>
      <w:r w:rsidRPr="00EC7F41">
        <w:rPr>
          <w:rFonts w:cs="David" w:hint="eastAsia"/>
          <w:sz w:val="20"/>
          <w:szCs w:val="20"/>
          <w:rtl/>
        </w:rPr>
        <w:t>כבוד</w:t>
      </w:r>
      <w:r w:rsidRPr="00EC7F41">
        <w:rPr>
          <w:rFonts w:cs="David"/>
          <w:sz w:val="20"/>
          <w:szCs w:val="20"/>
          <w:rtl/>
        </w:rPr>
        <w:t xml:space="preserve"> </w:t>
      </w:r>
      <w:r w:rsidRPr="00EC7F41">
        <w:rPr>
          <w:rFonts w:cs="David" w:hint="eastAsia"/>
          <w:sz w:val="20"/>
          <w:szCs w:val="20"/>
          <w:rtl/>
        </w:rPr>
        <w:t>האדם</w:t>
      </w:r>
      <w:r w:rsidRPr="00EC7F41">
        <w:rPr>
          <w:rFonts w:cs="David"/>
          <w:sz w:val="20"/>
          <w:szCs w:val="20"/>
          <w:rtl/>
        </w:rPr>
        <w:t xml:space="preserve"> </w:t>
      </w:r>
      <w:r w:rsidRPr="00EC7F41">
        <w:rPr>
          <w:rFonts w:cs="David" w:hint="eastAsia"/>
          <w:sz w:val="20"/>
          <w:szCs w:val="20"/>
          <w:rtl/>
        </w:rPr>
        <w:t>אינה</w:t>
      </w:r>
      <w:r w:rsidRPr="00EC7F41">
        <w:rPr>
          <w:rFonts w:cs="David"/>
          <w:sz w:val="20"/>
          <w:szCs w:val="20"/>
          <w:rtl/>
        </w:rPr>
        <w:t xml:space="preserve"> </w:t>
      </w:r>
      <w:r w:rsidRPr="00EC7F41">
        <w:rPr>
          <w:rFonts w:cs="David" w:hint="eastAsia"/>
          <w:sz w:val="20"/>
          <w:szCs w:val="20"/>
          <w:rtl/>
        </w:rPr>
        <w:t>שקולה</w:t>
      </w:r>
      <w:r w:rsidRPr="00EC7F41">
        <w:rPr>
          <w:rFonts w:cs="David"/>
          <w:sz w:val="20"/>
          <w:szCs w:val="20"/>
          <w:rtl/>
        </w:rPr>
        <w:t xml:space="preserve"> </w:t>
      </w:r>
      <w:r w:rsidRPr="00EC7F41">
        <w:rPr>
          <w:rFonts w:cs="David" w:hint="eastAsia"/>
          <w:sz w:val="20"/>
          <w:szCs w:val="20"/>
          <w:rtl/>
        </w:rPr>
        <w:t>כנגד</w:t>
      </w:r>
      <w:r w:rsidRPr="00EC7F41">
        <w:rPr>
          <w:rFonts w:cs="David"/>
          <w:sz w:val="20"/>
          <w:szCs w:val="20"/>
          <w:rtl/>
        </w:rPr>
        <w:t xml:space="preserve"> </w:t>
      </w:r>
      <w:r w:rsidRPr="00EC7F41">
        <w:rPr>
          <w:rFonts w:cs="David" w:hint="eastAsia"/>
          <w:sz w:val="20"/>
          <w:szCs w:val="20"/>
          <w:rtl/>
        </w:rPr>
        <w:t>התועלת</w:t>
      </w:r>
      <w:r w:rsidRPr="00EC7F41">
        <w:rPr>
          <w:rFonts w:cs="David"/>
          <w:sz w:val="20"/>
          <w:szCs w:val="20"/>
          <w:rtl/>
        </w:rPr>
        <w:t xml:space="preserve"> </w:t>
      </w:r>
      <w:r w:rsidRPr="00EC7F41">
        <w:rPr>
          <w:rFonts w:cs="David" w:hint="eastAsia"/>
          <w:sz w:val="20"/>
          <w:szCs w:val="20"/>
          <w:rtl/>
        </w:rPr>
        <w:t>בחסכון</w:t>
      </w:r>
      <w:r w:rsidRPr="00EC7F41">
        <w:rPr>
          <w:rFonts w:cs="David"/>
          <w:sz w:val="20"/>
          <w:szCs w:val="20"/>
          <w:rtl/>
        </w:rPr>
        <w:t xml:space="preserve"> </w:t>
      </w:r>
      <w:r w:rsidRPr="00EC7F41">
        <w:rPr>
          <w:rFonts w:cs="David" w:hint="eastAsia"/>
          <w:sz w:val="20"/>
          <w:szCs w:val="20"/>
          <w:rtl/>
        </w:rPr>
        <w:t>הכלכלי</w:t>
      </w:r>
      <w:r w:rsidRPr="00EC7F41">
        <w:rPr>
          <w:rFonts w:cs="David"/>
          <w:sz w:val="20"/>
          <w:szCs w:val="20"/>
          <w:rtl/>
        </w:rPr>
        <w:t xml:space="preserve"> </w:t>
      </w:r>
      <w:r w:rsidRPr="00EC7F41">
        <w:rPr>
          <w:rFonts w:cs="David" w:hint="eastAsia"/>
          <w:sz w:val="20"/>
          <w:szCs w:val="20"/>
          <w:rtl/>
        </w:rPr>
        <w:t>הצפוי</w:t>
      </w:r>
      <w:r w:rsidRPr="00EC7F41">
        <w:rPr>
          <w:rFonts w:cs="David"/>
          <w:sz w:val="20"/>
          <w:szCs w:val="20"/>
          <w:rtl/>
        </w:rPr>
        <w:t xml:space="preserve"> </w:t>
      </w:r>
      <w:r w:rsidRPr="00EC7F41">
        <w:rPr>
          <w:rFonts w:cs="David" w:hint="eastAsia"/>
          <w:sz w:val="20"/>
          <w:szCs w:val="20"/>
          <w:rtl/>
        </w:rPr>
        <w:t>מהקמה</w:t>
      </w:r>
      <w:r w:rsidRPr="00EC7F41">
        <w:rPr>
          <w:rFonts w:cs="David"/>
          <w:sz w:val="20"/>
          <w:szCs w:val="20"/>
          <w:rtl/>
        </w:rPr>
        <w:t xml:space="preserve"> </w:t>
      </w:r>
      <w:r w:rsidRPr="00EC7F41">
        <w:rPr>
          <w:rFonts w:cs="David" w:hint="eastAsia"/>
          <w:sz w:val="20"/>
          <w:szCs w:val="20"/>
          <w:rtl/>
        </w:rPr>
        <w:t>וניהול</w:t>
      </w:r>
      <w:r w:rsidRPr="00EC7F41">
        <w:rPr>
          <w:rFonts w:cs="David"/>
          <w:sz w:val="20"/>
          <w:szCs w:val="20"/>
          <w:rtl/>
        </w:rPr>
        <w:t xml:space="preserve"> </w:t>
      </w:r>
      <w:r w:rsidRPr="00EC7F41">
        <w:rPr>
          <w:rFonts w:cs="David" w:hint="eastAsia"/>
          <w:sz w:val="20"/>
          <w:szCs w:val="20"/>
          <w:rtl/>
        </w:rPr>
        <w:t>בית</w:t>
      </w:r>
      <w:r w:rsidRPr="00EC7F41">
        <w:rPr>
          <w:rFonts w:cs="David"/>
          <w:sz w:val="20"/>
          <w:szCs w:val="20"/>
          <w:rtl/>
        </w:rPr>
        <w:t xml:space="preserve"> </w:t>
      </w:r>
      <w:r w:rsidRPr="00EC7F41">
        <w:rPr>
          <w:rFonts w:cs="David" w:hint="eastAsia"/>
          <w:sz w:val="20"/>
          <w:szCs w:val="20"/>
          <w:rtl/>
        </w:rPr>
        <w:t>סוהר</w:t>
      </w:r>
      <w:r w:rsidRPr="00EC7F41">
        <w:rPr>
          <w:rFonts w:cs="David"/>
          <w:sz w:val="20"/>
          <w:szCs w:val="20"/>
          <w:rtl/>
        </w:rPr>
        <w:t xml:space="preserve"> </w:t>
      </w:r>
      <w:r w:rsidRPr="00EC7F41">
        <w:rPr>
          <w:rFonts w:cs="David" w:hint="eastAsia"/>
          <w:sz w:val="20"/>
          <w:szCs w:val="20"/>
          <w:rtl/>
        </w:rPr>
        <w:t>על</w:t>
      </w:r>
      <w:r w:rsidRPr="00EC7F41">
        <w:rPr>
          <w:rFonts w:cs="David"/>
          <w:sz w:val="20"/>
          <w:szCs w:val="20"/>
          <w:rtl/>
        </w:rPr>
        <w:t xml:space="preserve"> </w:t>
      </w:r>
      <w:r w:rsidRPr="00EC7F41">
        <w:rPr>
          <w:rFonts w:cs="David" w:hint="eastAsia"/>
          <w:sz w:val="20"/>
          <w:szCs w:val="20"/>
          <w:rtl/>
        </w:rPr>
        <w:t>ידי</w:t>
      </w:r>
      <w:r w:rsidRPr="00EC7F41">
        <w:rPr>
          <w:rFonts w:cs="David"/>
          <w:sz w:val="20"/>
          <w:szCs w:val="20"/>
          <w:rtl/>
        </w:rPr>
        <w:t xml:space="preserve"> </w:t>
      </w:r>
      <w:r w:rsidRPr="00EC7F41">
        <w:rPr>
          <w:rFonts w:cs="David" w:hint="eastAsia"/>
          <w:sz w:val="20"/>
          <w:szCs w:val="20"/>
          <w:rtl/>
        </w:rPr>
        <w:t>זכיין</w:t>
      </w:r>
      <w:r w:rsidRPr="00EC7F41">
        <w:rPr>
          <w:rFonts w:cs="David"/>
          <w:sz w:val="20"/>
          <w:szCs w:val="20"/>
          <w:rtl/>
        </w:rPr>
        <w:t xml:space="preserve"> </w:t>
      </w:r>
      <w:r w:rsidRPr="00EC7F41">
        <w:rPr>
          <w:rFonts w:cs="David" w:hint="eastAsia"/>
          <w:sz w:val="20"/>
          <w:szCs w:val="20"/>
          <w:rtl/>
        </w:rPr>
        <w:t>פרטי</w:t>
      </w:r>
      <w:r w:rsidRPr="00EC7F41">
        <w:rPr>
          <w:rFonts w:cs="David"/>
          <w:sz w:val="20"/>
          <w:szCs w:val="20"/>
          <w:rtl/>
        </w:rPr>
        <w:t xml:space="preserve">. </w:t>
      </w:r>
    </w:p>
    <w:p w:rsidR="005366A8" w:rsidRPr="00EC7F41" w:rsidRDefault="005366A8" w:rsidP="005366A8">
      <w:pPr>
        <w:spacing w:after="60"/>
        <w:ind w:firstLine="720"/>
        <w:rPr>
          <w:rFonts w:cs="David"/>
          <w:sz w:val="20"/>
          <w:szCs w:val="20"/>
          <w:rtl/>
        </w:rPr>
      </w:pPr>
      <w:r w:rsidRPr="00EC7F41">
        <w:rPr>
          <w:rFonts w:cs="David" w:hint="eastAsia"/>
          <w:sz w:val="20"/>
          <w:szCs w:val="20"/>
          <w:rtl/>
        </w:rPr>
        <w:t>הנשיאה</w:t>
      </w:r>
      <w:r w:rsidRPr="00EC7F41">
        <w:rPr>
          <w:rFonts w:cs="David"/>
          <w:sz w:val="20"/>
          <w:szCs w:val="20"/>
          <w:rtl/>
        </w:rPr>
        <w:t xml:space="preserve"> </w:t>
      </w:r>
      <w:r w:rsidRPr="00EC7F41">
        <w:rPr>
          <w:rFonts w:cs="David" w:hint="eastAsia"/>
          <w:sz w:val="20"/>
          <w:szCs w:val="20"/>
          <w:rtl/>
        </w:rPr>
        <w:t>השאירה</w:t>
      </w:r>
      <w:r w:rsidRPr="00EC7F41">
        <w:rPr>
          <w:rFonts w:cs="David"/>
          <w:sz w:val="20"/>
          <w:szCs w:val="20"/>
          <w:rtl/>
        </w:rPr>
        <w:t xml:space="preserve"> </w:t>
      </w:r>
      <w:r w:rsidRPr="00EC7F41">
        <w:rPr>
          <w:rFonts w:cs="David" w:hint="eastAsia"/>
          <w:sz w:val="20"/>
          <w:szCs w:val="20"/>
          <w:rtl/>
        </w:rPr>
        <w:t>בצריך</w:t>
      </w:r>
      <w:r w:rsidRPr="00EC7F41">
        <w:rPr>
          <w:rFonts w:cs="David"/>
          <w:sz w:val="20"/>
          <w:szCs w:val="20"/>
          <w:rtl/>
        </w:rPr>
        <w:t xml:space="preserve"> </w:t>
      </w:r>
      <w:r w:rsidRPr="00EC7F41">
        <w:rPr>
          <w:rFonts w:cs="David" w:hint="eastAsia"/>
          <w:sz w:val="20"/>
          <w:szCs w:val="20"/>
          <w:rtl/>
        </w:rPr>
        <w:t>עיון</w:t>
      </w:r>
      <w:r w:rsidRPr="00EC7F41">
        <w:rPr>
          <w:rFonts w:cs="David"/>
          <w:sz w:val="20"/>
          <w:szCs w:val="20"/>
          <w:rtl/>
        </w:rPr>
        <w:t xml:space="preserve"> </w:t>
      </w:r>
      <w:r w:rsidRPr="00EC7F41">
        <w:rPr>
          <w:rFonts w:cs="David" w:hint="eastAsia"/>
          <w:sz w:val="20"/>
          <w:szCs w:val="20"/>
          <w:rtl/>
        </w:rPr>
        <w:t>את</w:t>
      </w:r>
      <w:r w:rsidRPr="00EC7F41">
        <w:rPr>
          <w:rFonts w:cs="David"/>
          <w:sz w:val="20"/>
          <w:szCs w:val="20"/>
          <w:rtl/>
        </w:rPr>
        <w:t xml:space="preserve"> </w:t>
      </w:r>
      <w:r w:rsidRPr="00EC7F41">
        <w:rPr>
          <w:rFonts w:cs="David" w:hint="eastAsia"/>
          <w:sz w:val="20"/>
          <w:szCs w:val="20"/>
          <w:rtl/>
        </w:rPr>
        <w:t>טענות</w:t>
      </w:r>
      <w:r w:rsidRPr="00EC7F41">
        <w:rPr>
          <w:rFonts w:cs="David"/>
          <w:sz w:val="20"/>
          <w:szCs w:val="20"/>
          <w:rtl/>
        </w:rPr>
        <w:t xml:space="preserve"> </w:t>
      </w:r>
      <w:r w:rsidRPr="00EC7F41">
        <w:rPr>
          <w:rFonts w:cs="David" w:hint="eastAsia"/>
          <w:sz w:val="20"/>
          <w:szCs w:val="20"/>
          <w:rtl/>
        </w:rPr>
        <w:t>העותרים</w:t>
      </w:r>
      <w:r w:rsidRPr="00EC7F41">
        <w:rPr>
          <w:rFonts w:cs="David"/>
          <w:sz w:val="20"/>
          <w:szCs w:val="20"/>
          <w:rtl/>
        </w:rPr>
        <w:t xml:space="preserve"> </w:t>
      </w:r>
      <w:r w:rsidRPr="00EC7F41">
        <w:rPr>
          <w:rFonts w:cs="David" w:hint="eastAsia"/>
          <w:sz w:val="20"/>
          <w:szCs w:val="20"/>
          <w:rtl/>
        </w:rPr>
        <w:t>המבוססות</w:t>
      </w:r>
      <w:r w:rsidRPr="00EC7F41">
        <w:rPr>
          <w:rFonts w:cs="David"/>
          <w:sz w:val="20"/>
          <w:szCs w:val="20"/>
          <w:rtl/>
        </w:rPr>
        <w:t xml:space="preserve"> </w:t>
      </w:r>
      <w:r w:rsidRPr="00EC7F41">
        <w:rPr>
          <w:rFonts w:cs="David" w:hint="eastAsia"/>
          <w:sz w:val="20"/>
          <w:szCs w:val="20"/>
          <w:rtl/>
        </w:rPr>
        <w:t>על</w:t>
      </w:r>
      <w:r w:rsidRPr="00EC7F41">
        <w:rPr>
          <w:rFonts w:cs="David"/>
          <w:sz w:val="20"/>
          <w:szCs w:val="20"/>
          <w:rtl/>
        </w:rPr>
        <w:t xml:space="preserve"> </w:t>
      </w:r>
      <w:r w:rsidRPr="00EC7F41">
        <w:rPr>
          <w:rFonts w:cs="David" w:hint="eastAsia"/>
          <w:sz w:val="20"/>
          <w:szCs w:val="20"/>
          <w:rtl/>
        </w:rPr>
        <w:t>הוראות</w:t>
      </w:r>
      <w:r w:rsidRPr="00EC7F41">
        <w:rPr>
          <w:rFonts w:cs="David"/>
          <w:sz w:val="20"/>
          <w:szCs w:val="20"/>
          <w:rtl/>
        </w:rPr>
        <w:t xml:space="preserve"> </w:t>
      </w:r>
      <w:r w:rsidRPr="00EC7F41">
        <w:rPr>
          <w:rFonts w:cs="David" w:hint="eastAsia"/>
          <w:sz w:val="20"/>
          <w:szCs w:val="20"/>
          <w:rtl/>
        </w:rPr>
        <w:t>סעיף</w:t>
      </w:r>
      <w:r w:rsidRPr="00EC7F41">
        <w:rPr>
          <w:rFonts w:cs="David"/>
          <w:sz w:val="20"/>
          <w:szCs w:val="20"/>
          <w:rtl/>
        </w:rPr>
        <w:t xml:space="preserve"> 1 </w:t>
      </w:r>
      <w:r w:rsidRPr="00EC7F41">
        <w:rPr>
          <w:rFonts w:cs="David" w:hint="eastAsia"/>
          <w:sz w:val="20"/>
          <w:szCs w:val="20"/>
          <w:rtl/>
        </w:rPr>
        <w:t>לחוק</w:t>
      </w:r>
      <w:r w:rsidRPr="00EC7F41">
        <w:rPr>
          <w:rFonts w:cs="David"/>
          <w:sz w:val="20"/>
          <w:szCs w:val="20"/>
          <w:rtl/>
        </w:rPr>
        <w:t xml:space="preserve"> </w:t>
      </w:r>
      <w:r w:rsidRPr="00EC7F41">
        <w:rPr>
          <w:rFonts w:cs="David" w:hint="eastAsia"/>
          <w:sz w:val="20"/>
          <w:szCs w:val="20"/>
          <w:rtl/>
        </w:rPr>
        <w:t>יסוד</w:t>
      </w:r>
      <w:r w:rsidRPr="00EC7F41">
        <w:rPr>
          <w:rFonts w:cs="David" w:hint="cs"/>
          <w:sz w:val="20"/>
          <w:szCs w:val="20"/>
          <w:rtl/>
        </w:rPr>
        <w:t>:</w:t>
      </w:r>
      <w:r w:rsidRPr="00EC7F41">
        <w:rPr>
          <w:rFonts w:cs="David"/>
          <w:sz w:val="20"/>
          <w:szCs w:val="20"/>
          <w:rtl/>
        </w:rPr>
        <w:t xml:space="preserve"> </w:t>
      </w:r>
      <w:r w:rsidRPr="00EC7F41">
        <w:rPr>
          <w:rFonts w:cs="David" w:hint="eastAsia"/>
          <w:sz w:val="20"/>
          <w:szCs w:val="20"/>
          <w:rtl/>
        </w:rPr>
        <w:t>הממשלה</w:t>
      </w:r>
      <w:r>
        <w:rPr>
          <w:rFonts w:cs="David" w:hint="cs"/>
          <w:sz w:val="20"/>
          <w:szCs w:val="20"/>
          <w:rtl/>
        </w:rPr>
        <w:t>...</w:t>
      </w:r>
      <w:r w:rsidRPr="00EC7F41">
        <w:rPr>
          <w:rFonts w:cs="David"/>
          <w:sz w:val="20"/>
          <w:szCs w:val="20"/>
          <w:rtl/>
        </w:rPr>
        <w:t xml:space="preserve"> </w:t>
      </w:r>
      <w:r w:rsidRPr="00EC7F41">
        <w:rPr>
          <w:rFonts w:cs="David" w:hint="eastAsia"/>
          <w:sz w:val="20"/>
          <w:szCs w:val="20"/>
          <w:rtl/>
        </w:rPr>
        <w:t>משקבעה</w:t>
      </w:r>
      <w:r w:rsidRPr="00EC7F41">
        <w:rPr>
          <w:rFonts w:cs="David"/>
          <w:sz w:val="20"/>
          <w:szCs w:val="20"/>
          <w:rtl/>
        </w:rPr>
        <w:t xml:space="preserve"> </w:t>
      </w:r>
      <w:r w:rsidRPr="00EC7F41">
        <w:rPr>
          <w:rFonts w:cs="David" w:hint="eastAsia"/>
          <w:sz w:val="20"/>
          <w:szCs w:val="20"/>
          <w:rtl/>
        </w:rPr>
        <w:t>שהתיקון</w:t>
      </w:r>
      <w:r w:rsidRPr="00EC7F41">
        <w:rPr>
          <w:rFonts w:cs="David"/>
          <w:sz w:val="20"/>
          <w:szCs w:val="20"/>
          <w:rtl/>
        </w:rPr>
        <w:t xml:space="preserve"> </w:t>
      </w:r>
      <w:r w:rsidRPr="00EC7F41">
        <w:rPr>
          <w:rFonts w:cs="David" w:hint="eastAsia"/>
          <w:sz w:val="20"/>
          <w:szCs w:val="20"/>
          <w:rtl/>
        </w:rPr>
        <w:t>איננו</w:t>
      </w:r>
      <w:r w:rsidRPr="00EC7F41">
        <w:rPr>
          <w:rFonts w:cs="David"/>
          <w:sz w:val="20"/>
          <w:szCs w:val="20"/>
          <w:rtl/>
        </w:rPr>
        <w:t xml:space="preserve"> </w:t>
      </w:r>
      <w:r w:rsidRPr="00EC7F41">
        <w:rPr>
          <w:rFonts w:cs="David" w:hint="eastAsia"/>
          <w:sz w:val="20"/>
          <w:szCs w:val="20"/>
          <w:rtl/>
        </w:rPr>
        <w:t>עומד</w:t>
      </w:r>
      <w:r w:rsidRPr="00EC7F41">
        <w:rPr>
          <w:rFonts w:cs="David"/>
          <w:sz w:val="20"/>
          <w:szCs w:val="20"/>
          <w:rtl/>
        </w:rPr>
        <w:t xml:space="preserve"> </w:t>
      </w:r>
      <w:r w:rsidRPr="00EC7F41">
        <w:rPr>
          <w:rFonts w:cs="David" w:hint="eastAsia"/>
          <w:sz w:val="20"/>
          <w:szCs w:val="20"/>
          <w:rtl/>
        </w:rPr>
        <w:t>במבחני</w:t>
      </w:r>
      <w:r w:rsidRPr="00EC7F41">
        <w:rPr>
          <w:rFonts w:cs="David"/>
          <w:sz w:val="20"/>
          <w:szCs w:val="20"/>
          <w:rtl/>
        </w:rPr>
        <w:t xml:space="preserve"> </w:t>
      </w:r>
      <w:r w:rsidRPr="00EC7F41">
        <w:rPr>
          <w:rFonts w:cs="David" w:hint="eastAsia"/>
          <w:sz w:val="20"/>
          <w:szCs w:val="20"/>
          <w:rtl/>
        </w:rPr>
        <w:t>פסקת</w:t>
      </w:r>
      <w:r w:rsidRPr="00EC7F41">
        <w:rPr>
          <w:rFonts w:cs="David"/>
          <w:sz w:val="20"/>
          <w:szCs w:val="20"/>
          <w:rtl/>
        </w:rPr>
        <w:t xml:space="preserve"> </w:t>
      </w:r>
      <w:r w:rsidRPr="00EC7F41">
        <w:rPr>
          <w:rFonts w:cs="David" w:hint="eastAsia"/>
          <w:sz w:val="20"/>
          <w:szCs w:val="20"/>
          <w:rtl/>
        </w:rPr>
        <w:t>ההגבלה</w:t>
      </w:r>
      <w:r w:rsidRPr="00EC7F41">
        <w:rPr>
          <w:rFonts w:cs="David"/>
          <w:sz w:val="20"/>
          <w:szCs w:val="20"/>
          <w:rtl/>
        </w:rPr>
        <w:t xml:space="preserve">, </w:t>
      </w:r>
      <w:r w:rsidRPr="00EC7F41">
        <w:rPr>
          <w:rFonts w:cs="David" w:hint="cs"/>
          <w:sz w:val="20"/>
          <w:szCs w:val="20"/>
          <w:rtl/>
        </w:rPr>
        <w:t>קבעה</w:t>
      </w:r>
      <w:r w:rsidRPr="00EC7F41">
        <w:rPr>
          <w:rFonts w:cs="David"/>
          <w:sz w:val="20"/>
          <w:szCs w:val="20"/>
          <w:rtl/>
        </w:rPr>
        <w:t xml:space="preserve"> </w:t>
      </w:r>
      <w:r w:rsidRPr="00EC7F41">
        <w:rPr>
          <w:rFonts w:cs="David" w:hint="eastAsia"/>
          <w:sz w:val="20"/>
          <w:szCs w:val="20"/>
          <w:rtl/>
        </w:rPr>
        <w:t>הנשיאה</w:t>
      </w:r>
      <w:r w:rsidRPr="00EC7F41">
        <w:rPr>
          <w:rFonts w:cs="David"/>
          <w:sz w:val="20"/>
          <w:szCs w:val="20"/>
          <w:rtl/>
        </w:rPr>
        <w:t xml:space="preserve"> </w:t>
      </w:r>
      <w:r w:rsidRPr="00EC7F41">
        <w:rPr>
          <w:rFonts w:cs="David" w:hint="eastAsia"/>
          <w:sz w:val="20"/>
          <w:szCs w:val="20"/>
          <w:rtl/>
        </w:rPr>
        <w:t>שהסעד</w:t>
      </w:r>
      <w:r w:rsidRPr="00EC7F41">
        <w:rPr>
          <w:rFonts w:cs="David"/>
          <w:sz w:val="20"/>
          <w:szCs w:val="20"/>
          <w:rtl/>
        </w:rPr>
        <w:t xml:space="preserve"> </w:t>
      </w:r>
      <w:r w:rsidRPr="00EC7F41">
        <w:rPr>
          <w:rFonts w:cs="David" w:hint="eastAsia"/>
          <w:sz w:val="20"/>
          <w:szCs w:val="20"/>
          <w:rtl/>
        </w:rPr>
        <w:t>החוקתי</w:t>
      </w:r>
      <w:r w:rsidRPr="00EC7F41">
        <w:rPr>
          <w:rFonts w:cs="David"/>
          <w:sz w:val="20"/>
          <w:szCs w:val="20"/>
          <w:rtl/>
        </w:rPr>
        <w:t xml:space="preserve"> </w:t>
      </w:r>
      <w:r w:rsidRPr="00EC7F41">
        <w:rPr>
          <w:rFonts w:cs="David" w:hint="eastAsia"/>
          <w:sz w:val="20"/>
          <w:szCs w:val="20"/>
          <w:rtl/>
        </w:rPr>
        <w:t>הראוי</w:t>
      </w:r>
      <w:r w:rsidRPr="00EC7F41">
        <w:rPr>
          <w:rFonts w:cs="David"/>
          <w:sz w:val="20"/>
          <w:szCs w:val="20"/>
          <w:rtl/>
        </w:rPr>
        <w:t xml:space="preserve"> </w:t>
      </w:r>
      <w:r w:rsidRPr="00EC7F41">
        <w:rPr>
          <w:rFonts w:cs="David" w:hint="eastAsia"/>
          <w:sz w:val="20"/>
          <w:szCs w:val="20"/>
          <w:rtl/>
        </w:rPr>
        <w:t>הינו</w:t>
      </w:r>
      <w:r w:rsidRPr="00EC7F41">
        <w:rPr>
          <w:rFonts w:cs="David"/>
          <w:sz w:val="20"/>
          <w:szCs w:val="20"/>
          <w:rtl/>
        </w:rPr>
        <w:t xml:space="preserve"> </w:t>
      </w:r>
      <w:r w:rsidRPr="00EC7F41">
        <w:rPr>
          <w:rFonts w:cs="David" w:hint="eastAsia"/>
          <w:sz w:val="20"/>
          <w:szCs w:val="20"/>
          <w:rtl/>
        </w:rPr>
        <w:t>הצהרה</w:t>
      </w:r>
      <w:r w:rsidRPr="00EC7F41">
        <w:rPr>
          <w:rFonts w:cs="David"/>
          <w:sz w:val="20"/>
          <w:szCs w:val="20"/>
          <w:rtl/>
        </w:rPr>
        <w:t xml:space="preserve"> </w:t>
      </w:r>
      <w:r w:rsidRPr="00EC7F41">
        <w:rPr>
          <w:rFonts w:cs="David" w:hint="eastAsia"/>
          <w:sz w:val="20"/>
          <w:szCs w:val="20"/>
          <w:rtl/>
        </w:rPr>
        <w:t>על</w:t>
      </w:r>
      <w:r w:rsidRPr="00EC7F41">
        <w:rPr>
          <w:rFonts w:cs="David"/>
          <w:sz w:val="20"/>
          <w:szCs w:val="20"/>
          <w:rtl/>
        </w:rPr>
        <w:t xml:space="preserve"> </w:t>
      </w:r>
      <w:r w:rsidRPr="00EC7F41">
        <w:rPr>
          <w:rFonts w:cs="David" w:hint="eastAsia"/>
          <w:sz w:val="20"/>
          <w:szCs w:val="20"/>
          <w:rtl/>
        </w:rPr>
        <w:t>בטלות</w:t>
      </w:r>
      <w:r w:rsidRPr="00EC7F41">
        <w:rPr>
          <w:rFonts w:cs="David"/>
          <w:sz w:val="20"/>
          <w:szCs w:val="20"/>
          <w:rtl/>
        </w:rPr>
        <w:t xml:space="preserve"> </w:t>
      </w:r>
      <w:r w:rsidRPr="00EC7F41">
        <w:rPr>
          <w:rFonts w:cs="David" w:hint="eastAsia"/>
          <w:sz w:val="20"/>
          <w:szCs w:val="20"/>
          <w:rtl/>
        </w:rPr>
        <w:t>התיקון</w:t>
      </w:r>
      <w:r w:rsidRPr="00EC7F41">
        <w:rPr>
          <w:rFonts w:cs="David"/>
          <w:sz w:val="20"/>
          <w:szCs w:val="20"/>
          <w:rtl/>
        </w:rPr>
        <w:t xml:space="preserve"> </w:t>
      </w:r>
      <w:r w:rsidRPr="00EC7F41">
        <w:rPr>
          <w:rFonts w:cs="David" w:hint="eastAsia"/>
          <w:sz w:val="20"/>
          <w:szCs w:val="20"/>
          <w:rtl/>
        </w:rPr>
        <w:t>לחוק</w:t>
      </w:r>
      <w:r w:rsidRPr="00EC7F41">
        <w:rPr>
          <w:rFonts w:cs="David"/>
          <w:sz w:val="20"/>
          <w:szCs w:val="20"/>
          <w:rtl/>
        </w:rPr>
        <w:t>.</w:t>
      </w:r>
    </w:p>
    <w:p w:rsidR="005366A8" w:rsidRPr="00EC7F41" w:rsidRDefault="005366A8" w:rsidP="005366A8">
      <w:pPr>
        <w:spacing w:after="60"/>
        <w:ind w:firstLine="720"/>
        <w:rPr>
          <w:rFonts w:cs="David"/>
          <w:sz w:val="20"/>
          <w:szCs w:val="20"/>
          <w:rtl/>
        </w:rPr>
      </w:pPr>
      <w:r w:rsidRPr="006A199E">
        <w:rPr>
          <w:rFonts w:cs="David" w:hint="eastAsia"/>
          <w:sz w:val="20"/>
          <w:szCs w:val="20"/>
          <w:highlight w:val="yellow"/>
          <w:rtl/>
        </w:rPr>
        <w:t>השופטת</w:t>
      </w:r>
      <w:r w:rsidRPr="006A199E">
        <w:rPr>
          <w:rFonts w:cs="David"/>
          <w:sz w:val="20"/>
          <w:szCs w:val="20"/>
          <w:highlight w:val="yellow"/>
          <w:rtl/>
        </w:rPr>
        <w:t xml:space="preserve"> </w:t>
      </w:r>
      <w:r w:rsidRPr="006A199E">
        <w:rPr>
          <w:rFonts w:cs="David" w:hint="eastAsia"/>
          <w:sz w:val="20"/>
          <w:szCs w:val="20"/>
          <w:highlight w:val="yellow"/>
          <w:rtl/>
        </w:rPr>
        <w:t>פר</w:t>
      </w:r>
      <w:r>
        <w:rPr>
          <w:rFonts w:cs="David" w:hint="cs"/>
          <w:sz w:val="20"/>
          <w:szCs w:val="20"/>
          <w:highlight w:val="yellow"/>
          <w:rtl/>
        </w:rPr>
        <w:t>ו</w:t>
      </w:r>
      <w:r w:rsidRPr="006A199E">
        <w:rPr>
          <w:rFonts w:cs="David" w:hint="eastAsia"/>
          <w:sz w:val="20"/>
          <w:szCs w:val="20"/>
          <w:highlight w:val="yellow"/>
          <w:rtl/>
        </w:rPr>
        <w:t>קצ</w:t>
      </w:r>
      <w:r w:rsidRPr="006A199E">
        <w:rPr>
          <w:rFonts w:cs="David"/>
          <w:sz w:val="20"/>
          <w:szCs w:val="20"/>
          <w:highlight w:val="yellow"/>
          <w:rtl/>
        </w:rPr>
        <w:t>'</w:t>
      </w:r>
      <w:r w:rsidRPr="006A199E">
        <w:rPr>
          <w:rFonts w:cs="David" w:hint="eastAsia"/>
          <w:sz w:val="20"/>
          <w:szCs w:val="20"/>
          <w:highlight w:val="yellow"/>
          <w:rtl/>
        </w:rPr>
        <w:t>יה</w:t>
      </w:r>
      <w:r w:rsidRPr="00EC7F41">
        <w:rPr>
          <w:rFonts w:cs="David"/>
          <w:sz w:val="20"/>
          <w:szCs w:val="20"/>
          <w:rtl/>
        </w:rPr>
        <w:t xml:space="preserve"> </w:t>
      </w:r>
      <w:r w:rsidRPr="00EC7F41">
        <w:rPr>
          <w:rFonts w:cs="David" w:hint="eastAsia"/>
          <w:sz w:val="20"/>
          <w:szCs w:val="20"/>
          <w:rtl/>
        </w:rPr>
        <w:t>הסכימה</w:t>
      </w:r>
      <w:r w:rsidRPr="00EC7F41">
        <w:rPr>
          <w:rFonts w:cs="David"/>
          <w:sz w:val="20"/>
          <w:szCs w:val="20"/>
          <w:rtl/>
        </w:rPr>
        <w:t xml:space="preserve"> </w:t>
      </w:r>
      <w:r w:rsidRPr="00EC7F41">
        <w:rPr>
          <w:rFonts w:cs="David" w:hint="eastAsia"/>
          <w:sz w:val="20"/>
          <w:szCs w:val="20"/>
          <w:rtl/>
        </w:rPr>
        <w:t>עם</w:t>
      </w:r>
      <w:r w:rsidRPr="00EC7F41">
        <w:rPr>
          <w:rFonts w:cs="David"/>
          <w:sz w:val="20"/>
          <w:szCs w:val="20"/>
          <w:rtl/>
        </w:rPr>
        <w:t xml:space="preserve"> </w:t>
      </w:r>
      <w:r w:rsidRPr="00EC7F41">
        <w:rPr>
          <w:rFonts w:cs="David" w:hint="cs"/>
          <w:sz w:val="20"/>
          <w:szCs w:val="20"/>
          <w:rtl/>
        </w:rPr>
        <w:t>התוצאה אליה הגיעה</w:t>
      </w:r>
      <w:r w:rsidRPr="00EC7F41">
        <w:rPr>
          <w:rFonts w:cs="David"/>
          <w:sz w:val="20"/>
          <w:szCs w:val="20"/>
          <w:rtl/>
        </w:rPr>
        <w:t xml:space="preserve"> </w:t>
      </w:r>
      <w:r w:rsidRPr="00EC7F41">
        <w:rPr>
          <w:rFonts w:cs="David" w:hint="eastAsia"/>
          <w:sz w:val="20"/>
          <w:szCs w:val="20"/>
          <w:rtl/>
        </w:rPr>
        <w:t>הנשיאה</w:t>
      </w:r>
      <w:r w:rsidRPr="00EC7F41">
        <w:rPr>
          <w:rFonts w:cs="David"/>
          <w:sz w:val="20"/>
          <w:szCs w:val="20"/>
          <w:rtl/>
        </w:rPr>
        <w:t xml:space="preserve"> </w:t>
      </w:r>
      <w:r w:rsidRPr="00EC7F41">
        <w:rPr>
          <w:rFonts w:cs="David" w:hint="eastAsia"/>
          <w:sz w:val="20"/>
          <w:szCs w:val="20"/>
          <w:rtl/>
        </w:rPr>
        <w:t>בייניש</w:t>
      </w:r>
      <w:r w:rsidRPr="00EC7F41">
        <w:rPr>
          <w:rFonts w:cs="David"/>
          <w:sz w:val="20"/>
          <w:szCs w:val="20"/>
          <w:rtl/>
        </w:rPr>
        <w:t xml:space="preserve">, </w:t>
      </w:r>
      <w:r w:rsidRPr="00EC7F41">
        <w:rPr>
          <w:rFonts w:cs="David" w:hint="eastAsia"/>
          <w:sz w:val="20"/>
          <w:szCs w:val="20"/>
          <w:rtl/>
        </w:rPr>
        <w:t>אולם</w:t>
      </w:r>
      <w:r w:rsidRPr="00EC7F41">
        <w:rPr>
          <w:rFonts w:cs="David"/>
          <w:sz w:val="20"/>
          <w:szCs w:val="20"/>
          <w:rtl/>
        </w:rPr>
        <w:t xml:space="preserve"> </w:t>
      </w:r>
      <w:r w:rsidRPr="00EC7F41">
        <w:rPr>
          <w:rFonts w:cs="David" w:hint="eastAsia"/>
          <w:sz w:val="20"/>
          <w:szCs w:val="20"/>
          <w:rtl/>
        </w:rPr>
        <w:t>ניתחה</w:t>
      </w:r>
      <w:r w:rsidRPr="00EC7F41">
        <w:rPr>
          <w:rFonts w:cs="David"/>
          <w:sz w:val="20"/>
          <w:szCs w:val="20"/>
          <w:rtl/>
        </w:rPr>
        <w:t xml:space="preserve"> </w:t>
      </w:r>
      <w:r w:rsidRPr="00EC7F41">
        <w:rPr>
          <w:rFonts w:cs="David" w:hint="eastAsia"/>
          <w:sz w:val="20"/>
          <w:szCs w:val="20"/>
          <w:rtl/>
        </w:rPr>
        <w:t>את</w:t>
      </w:r>
      <w:r w:rsidRPr="00EC7F41">
        <w:rPr>
          <w:rFonts w:cs="David"/>
          <w:sz w:val="20"/>
          <w:szCs w:val="20"/>
          <w:rtl/>
        </w:rPr>
        <w:t xml:space="preserve"> </w:t>
      </w:r>
      <w:r w:rsidRPr="00EC7F41">
        <w:rPr>
          <w:rFonts w:cs="David" w:hint="eastAsia"/>
          <w:sz w:val="20"/>
          <w:szCs w:val="20"/>
          <w:rtl/>
        </w:rPr>
        <w:t>הסוגיה</w:t>
      </w:r>
      <w:r w:rsidRPr="00EC7F41">
        <w:rPr>
          <w:rFonts w:cs="David"/>
          <w:sz w:val="20"/>
          <w:szCs w:val="20"/>
          <w:rtl/>
        </w:rPr>
        <w:t xml:space="preserve"> </w:t>
      </w:r>
      <w:r w:rsidRPr="00EC7F41">
        <w:rPr>
          <w:rFonts w:cs="David" w:hint="eastAsia"/>
          <w:sz w:val="20"/>
          <w:szCs w:val="20"/>
          <w:rtl/>
        </w:rPr>
        <w:t>באופן</w:t>
      </w:r>
      <w:r w:rsidRPr="00EC7F41">
        <w:rPr>
          <w:rFonts w:cs="David"/>
          <w:sz w:val="20"/>
          <w:szCs w:val="20"/>
          <w:rtl/>
        </w:rPr>
        <w:t xml:space="preserve"> </w:t>
      </w:r>
      <w:r w:rsidRPr="00EC7F41">
        <w:rPr>
          <w:rFonts w:cs="David" w:hint="eastAsia"/>
          <w:sz w:val="20"/>
          <w:szCs w:val="20"/>
          <w:rtl/>
        </w:rPr>
        <w:t>שונה</w:t>
      </w:r>
      <w:r w:rsidRPr="00EC7F41">
        <w:rPr>
          <w:rFonts w:cs="David"/>
          <w:sz w:val="20"/>
          <w:szCs w:val="20"/>
          <w:rtl/>
        </w:rPr>
        <w:t xml:space="preserve">. </w:t>
      </w:r>
      <w:r w:rsidRPr="00EC7F41">
        <w:rPr>
          <w:rFonts w:cs="David" w:hint="eastAsia"/>
          <w:sz w:val="20"/>
          <w:szCs w:val="20"/>
          <w:rtl/>
        </w:rPr>
        <w:t>את</w:t>
      </w:r>
      <w:r w:rsidRPr="00EC7F41">
        <w:rPr>
          <w:rFonts w:cs="David"/>
          <w:sz w:val="20"/>
          <w:szCs w:val="20"/>
          <w:rtl/>
        </w:rPr>
        <w:t xml:space="preserve"> </w:t>
      </w:r>
      <w:r w:rsidRPr="00EC7F41">
        <w:rPr>
          <w:rFonts w:cs="David" w:hint="eastAsia"/>
          <w:sz w:val="20"/>
          <w:szCs w:val="20"/>
          <w:rtl/>
        </w:rPr>
        <w:t>עיקר</w:t>
      </w:r>
      <w:r w:rsidRPr="00EC7F41">
        <w:rPr>
          <w:rFonts w:cs="David"/>
          <w:sz w:val="20"/>
          <w:szCs w:val="20"/>
          <w:rtl/>
        </w:rPr>
        <w:t xml:space="preserve"> </w:t>
      </w:r>
      <w:r w:rsidRPr="00EC7F41">
        <w:rPr>
          <w:rFonts w:cs="David" w:hint="eastAsia"/>
          <w:sz w:val="20"/>
          <w:szCs w:val="20"/>
          <w:rtl/>
        </w:rPr>
        <w:t>הדגש</w:t>
      </w:r>
      <w:r w:rsidRPr="00EC7F41">
        <w:rPr>
          <w:rFonts w:cs="David"/>
          <w:sz w:val="20"/>
          <w:szCs w:val="20"/>
          <w:rtl/>
        </w:rPr>
        <w:t xml:space="preserve"> </w:t>
      </w:r>
      <w:r w:rsidRPr="00EC7F41">
        <w:rPr>
          <w:rFonts w:cs="David" w:hint="eastAsia"/>
          <w:sz w:val="20"/>
          <w:szCs w:val="20"/>
          <w:rtl/>
        </w:rPr>
        <w:t>שמה</w:t>
      </w:r>
      <w:r w:rsidRPr="00EC7F41">
        <w:rPr>
          <w:rFonts w:cs="David"/>
          <w:sz w:val="20"/>
          <w:szCs w:val="20"/>
          <w:rtl/>
        </w:rPr>
        <w:t xml:space="preserve"> </w:t>
      </w:r>
      <w:r w:rsidRPr="00EC7F41">
        <w:rPr>
          <w:rFonts w:cs="David" w:hint="eastAsia"/>
          <w:sz w:val="20"/>
          <w:szCs w:val="20"/>
          <w:rtl/>
        </w:rPr>
        <w:t>השופטת</w:t>
      </w:r>
      <w:r w:rsidRPr="00EC7F41">
        <w:rPr>
          <w:rFonts w:cs="David"/>
          <w:sz w:val="20"/>
          <w:szCs w:val="20"/>
          <w:rtl/>
        </w:rPr>
        <w:t xml:space="preserve"> </w:t>
      </w:r>
      <w:r>
        <w:rPr>
          <w:rFonts w:cs="David" w:hint="eastAsia"/>
          <w:sz w:val="20"/>
          <w:szCs w:val="20"/>
          <w:rtl/>
        </w:rPr>
        <w:t>פ</w:t>
      </w:r>
      <w:r w:rsidRPr="00EC7F41">
        <w:rPr>
          <w:rFonts w:cs="David" w:hint="eastAsia"/>
          <w:sz w:val="20"/>
          <w:szCs w:val="20"/>
          <w:rtl/>
        </w:rPr>
        <w:t>ר</w:t>
      </w:r>
      <w:r>
        <w:rPr>
          <w:rFonts w:cs="David" w:hint="cs"/>
          <w:sz w:val="20"/>
          <w:szCs w:val="20"/>
          <w:rtl/>
        </w:rPr>
        <w:t>ו</w:t>
      </w:r>
      <w:r w:rsidRPr="00EC7F41">
        <w:rPr>
          <w:rFonts w:cs="David" w:hint="eastAsia"/>
          <w:sz w:val="20"/>
          <w:szCs w:val="20"/>
          <w:rtl/>
        </w:rPr>
        <w:t>קצ</w:t>
      </w:r>
      <w:r w:rsidRPr="00EC7F41">
        <w:rPr>
          <w:rFonts w:cs="David"/>
          <w:sz w:val="20"/>
          <w:szCs w:val="20"/>
          <w:rtl/>
        </w:rPr>
        <w:t>'</w:t>
      </w:r>
      <w:r w:rsidRPr="00EC7F41">
        <w:rPr>
          <w:rFonts w:cs="David" w:hint="eastAsia"/>
          <w:sz w:val="20"/>
          <w:szCs w:val="20"/>
          <w:rtl/>
        </w:rPr>
        <w:t>יה</w:t>
      </w:r>
      <w:r w:rsidRPr="00EC7F41">
        <w:rPr>
          <w:rFonts w:cs="David"/>
          <w:sz w:val="20"/>
          <w:szCs w:val="20"/>
          <w:rtl/>
        </w:rPr>
        <w:t xml:space="preserve"> </w:t>
      </w:r>
      <w:r w:rsidRPr="00EC7F41">
        <w:rPr>
          <w:rFonts w:cs="David" w:hint="eastAsia"/>
          <w:sz w:val="20"/>
          <w:szCs w:val="20"/>
          <w:rtl/>
        </w:rPr>
        <w:t>על</w:t>
      </w:r>
      <w:r w:rsidRPr="00EC7F41">
        <w:rPr>
          <w:rFonts w:cs="David"/>
          <w:sz w:val="20"/>
          <w:szCs w:val="20"/>
          <w:rtl/>
        </w:rPr>
        <w:t xml:space="preserve"> </w:t>
      </w:r>
      <w:r w:rsidRPr="00EC7F41">
        <w:rPr>
          <w:rFonts w:cs="David" w:hint="eastAsia"/>
          <w:sz w:val="20"/>
          <w:szCs w:val="20"/>
          <w:rtl/>
        </w:rPr>
        <w:t>הסיכון</w:t>
      </w:r>
      <w:r w:rsidRPr="00EC7F41">
        <w:rPr>
          <w:rFonts w:cs="David"/>
          <w:sz w:val="20"/>
          <w:szCs w:val="20"/>
          <w:rtl/>
        </w:rPr>
        <w:t xml:space="preserve"> </w:t>
      </w:r>
      <w:r w:rsidRPr="00EC7F41">
        <w:rPr>
          <w:rFonts w:cs="David" w:hint="eastAsia"/>
          <w:sz w:val="20"/>
          <w:szCs w:val="20"/>
          <w:rtl/>
        </w:rPr>
        <w:t>בהעברת</w:t>
      </w:r>
      <w:r w:rsidRPr="00EC7F41">
        <w:rPr>
          <w:rFonts w:cs="David"/>
          <w:sz w:val="20"/>
          <w:szCs w:val="20"/>
          <w:rtl/>
        </w:rPr>
        <w:t xml:space="preserve"> </w:t>
      </w:r>
      <w:r w:rsidRPr="00EC7F41">
        <w:rPr>
          <w:rFonts w:cs="David" w:hint="eastAsia"/>
          <w:sz w:val="20"/>
          <w:szCs w:val="20"/>
          <w:rtl/>
        </w:rPr>
        <w:t>סמכויות</w:t>
      </w:r>
      <w:r w:rsidRPr="00EC7F41">
        <w:rPr>
          <w:rFonts w:cs="David"/>
          <w:sz w:val="20"/>
          <w:szCs w:val="20"/>
          <w:rtl/>
        </w:rPr>
        <w:t xml:space="preserve"> </w:t>
      </w:r>
      <w:r w:rsidRPr="00EC7F41">
        <w:rPr>
          <w:rFonts w:cs="David" w:hint="eastAsia"/>
          <w:sz w:val="20"/>
          <w:szCs w:val="20"/>
          <w:rtl/>
        </w:rPr>
        <w:t>מ</w:t>
      </w:r>
      <w:r w:rsidRPr="00EC7F41">
        <w:rPr>
          <w:rFonts w:cs="David" w:hint="cs"/>
          <w:sz w:val="20"/>
          <w:szCs w:val="20"/>
          <w:rtl/>
        </w:rPr>
        <w:t>ה</w:t>
      </w:r>
      <w:r w:rsidRPr="00EC7F41">
        <w:rPr>
          <w:rFonts w:cs="David" w:hint="eastAsia"/>
          <w:sz w:val="20"/>
          <w:szCs w:val="20"/>
          <w:rtl/>
        </w:rPr>
        <w:t>סוג</w:t>
      </w:r>
      <w:r w:rsidRPr="00EC7F41">
        <w:rPr>
          <w:rFonts w:cs="David"/>
          <w:sz w:val="20"/>
          <w:szCs w:val="20"/>
          <w:rtl/>
        </w:rPr>
        <w:t xml:space="preserve"> </w:t>
      </w:r>
      <w:r w:rsidRPr="00EC7F41">
        <w:rPr>
          <w:rFonts w:cs="David" w:hint="cs"/>
          <w:sz w:val="20"/>
          <w:szCs w:val="20"/>
          <w:rtl/>
        </w:rPr>
        <w:t>האמור</w:t>
      </w:r>
      <w:r w:rsidRPr="00EC7F41">
        <w:rPr>
          <w:rFonts w:cs="David"/>
          <w:sz w:val="20"/>
          <w:szCs w:val="20"/>
          <w:rtl/>
        </w:rPr>
        <w:t xml:space="preserve"> </w:t>
      </w:r>
      <w:r w:rsidRPr="00EC7F41">
        <w:rPr>
          <w:rFonts w:cs="David" w:hint="eastAsia"/>
          <w:sz w:val="20"/>
          <w:szCs w:val="20"/>
          <w:rtl/>
        </w:rPr>
        <w:t>ל</w:t>
      </w:r>
      <w:r w:rsidRPr="00EC7F41">
        <w:rPr>
          <w:rFonts w:cs="David" w:hint="cs"/>
          <w:sz w:val="20"/>
          <w:szCs w:val="20"/>
          <w:rtl/>
        </w:rPr>
        <w:t>גוף פרטי, שאינו כפוף למערכת כללי הבקרה וההרתעה המורכבים המובנים בכללי הפעולה של השירות הציבורי, וש</w:t>
      </w:r>
      <w:r w:rsidRPr="00EC7F41">
        <w:rPr>
          <w:rFonts w:cs="David" w:hint="eastAsia"/>
          <w:sz w:val="20"/>
          <w:szCs w:val="20"/>
          <w:rtl/>
        </w:rPr>
        <w:t>פועל</w:t>
      </w:r>
      <w:r w:rsidRPr="00EC7F41">
        <w:rPr>
          <w:rFonts w:cs="David"/>
          <w:sz w:val="20"/>
          <w:szCs w:val="20"/>
          <w:rtl/>
        </w:rPr>
        <w:t xml:space="preserve"> </w:t>
      </w:r>
      <w:r w:rsidRPr="00EC7F41">
        <w:rPr>
          <w:rFonts w:cs="David" w:hint="eastAsia"/>
          <w:sz w:val="20"/>
          <w:szCs w:val="20"/>
          <w:rtl/>
        </w:rPr>
        <w:t>משיקולים</w:t>
      </w:r>
      <w:r w:rsidRPr="00EC7F41">
        <w:rPr>
          <w:rFonts w:cs="David"/>
          <w:sz w:val="20"/>
          <w:szCs w:val="20"/>
          <w:rtl/>
        </w:rPr>
        <w:t xml:space="preserve"> </w:t>
      </w:r>
      <w:r w:rsidRPr="00EC7F41">
        <w:rPr>
          <w:rFonts w:cs="David" w:hint="eastAsia"/>
          <w:sz w:val="20"/>
          <w:szCs w:val="20"/>
          <w:rtl/>
        </w:rPr>
        <w:t>כלכליים</w:t>
      </w:r>
      <w:r w:rsidRPr="00EC7F41">
        <w:rPr>
          <w:rFonts w:cs="David"/>
          <w:sz w:val="20"/>
          <w:szCs w:val="20"/>
          <w:rtl/>
        </w:rPr>
        <w:t xml:space="preserve">. </w:t>
      </w:r>
      <w:r w:rsidRPr="00EC7F41">
        <w:rPr>
          <w:rFonts w:cs="David" w:hint="eastAsia"/>
          <w:sz w:val="20"/>
          <w:szCs w:val="20"/>
          <w:rtl/>
        </w:rPr>
        <w:t>לדידה</w:t>
      </w:r>
      <w:r w:rsidRPr="00EC7F41">
        <w:rPr>
          <w:rFonts w:cs="David"/>
          <w:sz w:val="20"/>
          <w:szCs w:val="20"/>
          <w:rtl/>
        </w:rPr>
        <w:t xml:space="preserve">, </w:t>
      </w:r>
      <w:r w:rsidRPr="00EC7F41">
        <w:rPr>
          <w:rFonts w:cs="David" w:hint="eastAsia"/>
          <w:sz w:val="20"/>
          <w:szCs w:val="20"/>
          <w:rtl/>
        </w:rPr>
        <w:t>העברת</w:t>
      </w:r>
      <w:r w:rsidRPr="00EC7F41">
        <w:rPr>
          <w:rFonts w:cs="David" w:hint="cs"/>
          <w:sz w:val="20"/>
          <w:szCs w:val="20"/>
          <w:rtl/>
        </w:rPr>
        <w:t xml:space="preserve"> הסמכויות</w:t>
      </w:r>
      <w:r w:rsidRPr="00EC7F41">
        <w:rPr>
          <w:rFonts w:cs="David"/>
          <w:sz w:val="20"/>
          <w:szCs w:val="20"/>
          <w:rtl/>
        </w:rPr>
        <w:t xml:space="preserve"> </w:t>
      </w:r>
      <w:r w:rsidRPr="00EC7F41">
        <w:rPr>
          <w:rFonts w:cs="David" w:hint="cs"/>
          <w:sz w:val="20"/>
          <w:szCs w:val="20"/>
          <w:rtl/>
        </w:rPr>
        <w:t>לגוף כאמור</w:t>
      </w:r>
      <w:r w:rsidRPr="00EC7F41">
        <w:rPr>
          <w:rFonts w:cs="David"/>
          <w:sz w:val="20"/>
          <w:szCs w:val="20"/>
          <w:rtl/>
        </w:rPr>
        <w:t xml:space="preserve"> </w:t>
      </w:r>
      <w:r w:rsidRPr="00EC7F41">
        <w:rPr>
          <w:rFonts w:cs="David" w:hint="cs"/>
          <w:sz w:val="20"/>
          <w:szCs w:val="20"/>
          <w:rtl/>
        </w:rPr>
        <w:t>מ</w:t>
      </w:r>
      <w:r w:rsidRPr="00EC7F41">
        <w:rPr>
          <w:rFonts w:cs="David" w:hint="eastAsia"/>
          <w:sz w:val="20"/>
          <w:szCs w:val="20"/>
          <w:rtl/>
        </w:rPr>
        <w:t>גד</w:t>
      </w:r>
      <w:r w:rsidRPr="00EC7F41">
        <w:rPr>
          <w:rFonts w:cs="David" w:hint="cs"/>
          <w:sz w:val="20"/>
          <w:szCs w:val="20"/>
          <w:rtl/>
        </w:rPr>
        <w:t>י</w:t>
      </w:r>
      <w:r w:rsidRPr="00EC7F41">
        <w:rPr>
          <w:rFonts w:cs="David" w:hint="eastAsia"/>
          <w:sz w:val="20"/>
          <w:szCs w:val="20"/>
          <w:rtl/>
        </w:rPr>
        <w:t>ל</w:t>
      </w:r>
      <w:r w:rsidRPr="00EC7F41">
        <w:rPr>
          <w:rFonts w:cs="David" w:hint="cs"/>
          <w:sz w:val="20"/>
          <w:szCs w:val="20"/>
          <w:rtl/>
        </w:rPr>
        <w:t>ה את</w:t>
      </w:r>
      <w:r w:rsidRPr="00EC7F41">
        <w:rPr>
          <w:rFonts w:cs="David" w:hint="eastAsia"/>
          <w:sz w:val="20"/>
          <w:szCs w:val="20"/>
          <w:rtl/>
        </w:rPr>
        <w:t xml:space="preserve"> הסיכון</w:t>
      </w:r>
      <w:r w:rsidRPr="00EC7F41">
        <w:rPr>
          <w:rFonts w:cs="David"/>
          <w:sz w:val="20"/>
          <w:szCs w:val="20"/>
          <w:rtl/>
        </w:rPr>
        <w:t xml:space="preserve"> </w:t>
      </w:r>
      <w:r w:rsidRPr="00EC7F41">
        <w:rPr>
          <w:rFonts w:cs="David" w:hint="eastAsia"/>
          <w:sz w:val="20"/>
          <w:szCs w:val="20"/>
          <w:rtl/>
        </w:rPr>
        <w:t>לפגיעה</w:t>
      </w:r>
      <w:r w:rsidRPr="00EC7F41">
        <w:rPr>
          <w:rFonts w:cs="David"/>
          <w:sz w:val="20"/>
          <w:szCs w:val="20"/>
          <w:rtl/>
        </w:rPr>
        <w:t xml:space="preserve"> </w:t>
      </w:r>
      <w:r w:rsidRPr="00EC7F41">
        <w:rPr>
          <w:rFonts w:cs="David" w:hint="eastAsia"/>
          <w:sz w:val="20"/>
          <w:szCs w:val="20"/>
          <w:rtl/>
        </w:rPr>
        <w:t>בזכויות</w:t>
      </w:r>
      <w:r w:rsidRPr="00EC7F41">
        <w:rPr>
          <w:rFonts w:cs="David"/>
          <w:sz w:val="20"/>
          <w:szCs w:val="20"/>
          <w:rtl/>
        </w:rPr>
        <w:t xml:space="preserve"> </w:t>
      </w:r>
      <w:r w:rsidRPr="00EC7F41">
        <w:rPr>
          <w:rFonts w:cs="David" w:hint="eastAsia"/>
          <w:sz w:val="20"/>
          <w:szCs w:val="20"/>
          <w:rtl/>
        </w:rPr>
        <w:t>האדם</w:t>
      </w:r>
      <w:r w:rsidRPr="00EC7F41">
        <w:rPr>
          <w:rFonts w:cs="David"/>
          <w:sz w:val="20"/>
          <w:szCs w:val="20"/>
          <w:rtl/>
        </w:rPr>
        <w:t xml:space="preserve"> </w:t>
      </w:r>
      <w:r w:rsidRPr="00EC7F41">
        <w:rPr>
          <w:rFonts w:cs="David" w:hint="eastAsia"/>
          <w:sz w:val="20"/>
          <w:szCs w:val="20"/>
          <w:rtl/>
        </w:rPr>
        <w:t>של</w:t>
      </w:r>
      <w:r w:rsidRPr="00EC7F41">
        <w:rPr>
          <w:rFonts w:cs="David"/>
          <w:sz w:val="20"/>
          <w:szCs w:val="20"/>
          <w:rtl/>
        </w:rPr>
        <w:t xml:space="preserve"> </w:t>
      </w:r>
      <w:r w:rsidRPr="00EC7F41">
        <w:rPr>
          <w:rFonts w:cs="David" w:hint="eastAsia"/>
          <w:sz w:val="20"/>
          <w:szCs w:val="20"/>
          <w:rtl/>
        </w:rPr>
        <w:t>האסירים</w:t>
      </w:r>
      <w:r w:rsidRPr="00EC7F41">
        <w:rPr>
          <w:rFonts w:cs="David"/>
          <w:sz w:val="20"/>
          <w:szCs w:val="20"/>
          <w:rtl/>
        </w:rPr>
        <w:t xml:space="preserve">. </w:t>
      </w:r>
      <w:r w:rsidRPr="00F3624C">
        <w:rPr>
          <w:rFonts w:cs="David" w:hint="eastAsia"/>
          <w:sz w:val="20"/>
          <w:szCs w:val="20"/>
          <w:highlight w:val="yellow"/>
          <w:rtl/>
        </w:rPr>
        <w:t>הפוטנציאל</w:t>
      </w:r>
      <w:r w:rsidRPr="00F3624C">
        <w:rPr>
          <w:rFonts w:cs="David"/>
          <w:sz w:val="20"/>
          <w:szCs w:val="20"/>
          <w:highlight w:val="yellow"/>
          <w:rtl/>
        </w:rPr>
        <w:t xml:space="preserve"> </w:t>
      </w:r>
      <w:r w:rsidRPr="00F3624C">
        <w:rPr>
          <w:rFonts w:cs="David" w:hint="eastAsia"/>
          <w:sz w:val="20"/>
          <w:szCs w:val="20"/>
          <w:highlight w:val="yellow"/>
          <w:rtl/>
        </w:rPr>
        <w:t>לפגיעה</w:t>
      </w:r>
      <w:r w:rsidRPr="00EC7F41">
        <w:rPr>
          <w:rFonts w:cs="David"/>
          <w:sz w:val="20"/>
          <w:szCs w:val="20"/>
          <w:rtl/>
        </w:rPr>
        <w:t xml:space="preserve"> </w:t>
      </w:r>
      <w:r w:rsidRPr="00EC7F41">
        <w:rPr>
          <w:rFonts w:cs="David" w:hint="eastAsia"/>
          <w:sz w:val="20"/>
          <w:szCs w:val="20"/>
          <w:rtl/>
        </w:rPr>
        <w:t>בזכויות</w:t>
      </w:r>
      <w:r w:rsidRPr="00EC7F41">
        <w:rPr>
          <w:rFonts w:cs="David"/>
          <w:sz w:val="20"/>
          <w:szCs w:val="20"/>
          <w:rtl/>
        </w:rPr>
        <w:t xml:space="preserve"> </w:t>
      </w:r>
      <w:r w:rsidRPr="00EC7F41">
        <w:rPr>
          <w:rFonts w:cs="David" w:hint="eastAsia"/>
          <w:sz w:val="20"/>
          <w:szCs w:val="20"/>
          <w:rtl/>
        </w:rPr>
        <w:t>אדם</w:t>
      </w:r>
      <w:r w:rsidRPr="00EC7F41">
        <w:rPr>
          <w:rFonts w:cs="David"/>
          <w:sz w:val="20"/>
          <w:szCs w:val="20"/>
          <w:rtl/>
        </w:rPr>
        <w:t xml:space="preserve">, </w:t>
      </w:r>
      <w:r w:rsidRPr="00EC7F41">
        <w:rPr>
          <w:rFonts w:cs="David" w:hint="eastAsia"/>
          <w:sz w:val="20"/>
          <w:szCs w:val="20"/>
          <w:rtl/>
        </w:rPr>
        <w:t>הטמון</w:t>
      </w:r>
      <w:r w:rsidRPr="00EC7F41">
        <w:rPr>
          <w:rFonts w:cs="David"/>
          <w:sz w:val="20"/>
          <w:szCs w:val="20"/>
          <w:rtl/>
        </w:rPr>
        <w:t xml:space="preserve"> </w:t>
      </w:r>
      <w:r w:rsidRPr="00EC7F41">
        <w:rPr>
          <w:rFonts w:cs="David" w:hint="eastAsia"/>
          <w:sz w:val="20"/>
          <w:szCs w:val="20"/>
          <w:rtl/>
        </w:rPr>
        <w:t>בשימוש</w:t>
      </w:r>
      <w:r w:rsidRPr="00EC7F41">
        <w:rPr>
          <w:rFonts w:cs="David"/>
          <w:sz w:val="20"/>
          <w:szCs w:val="20"/>
          <w:rtl/>
        </w:rPr>
        <w:t xml:space="preserve"> </w:t>
      </w:r>
      <w:r w:rsidRPr="00EC7F41">
        <w:rPr>
          <w:rFonts w:cs="David" w:hint="eastAsia"/>
          <w:sz w:val="20"/>
          <w:szCs w:val="20"/>
          <w:rtl/>
        </w:rPr>
        <w:t>בכוח</w:t>
      </w:r>
      <w:r w:rsidRPr="00EC7F41">
        <w:rPr>
          <w:rFonts w:cs="David"/>
          <w:sz w:val="20"/>
          <w:szCs w:val="20"/>
          <w:rtl/>
        </w:rPr>
        <w:t xml:space="preserve"> </w:t>
      </w:r>
      <w:r w:rsidRPr="00EC7F41">
        <w:rPr>
          <w:rFonts w:cs="David" w:hint="eastAsia"/>
          <w:sz w:val="20"/>
          <w:szCs w:val="20"/>
          <w:rtl/>
        </w:rPr>
        <w:t>המרות</w:t>
      </w:r>
      <w:r w:rsidRPr="00EC7F41">
        <w:rPr>
          <w:rFonts w:cs="David"/>
          <w:sz w:val="20"/>
          <w:szCs w:val="20"/>
          <w:rtl/>
        </w:rPr>
        <w:t xml:space="preserve"> </w:t>
      </w:r>
      <w:r w:rsidRPr="00EC7F41">
        <w:rPr>
          <w:rFonts w:cs="David" w:hint="eastAsia"/>
          <w:sz w:val="20"/>
          <w:szCs w:val="20"/>
          <w:rtl/>
        </w:rPr>
        <w:t>השלטוני</w:t>
      </w:r>
      <w:r w:rsidRPr="00EC7F41">
        <w:rPr>
          <w:rFonts w:cs="David"/>
          <w:sz w:val="20"/>
          <w:szCs w:val="20"/>
          <w:rtl/>
        </w:rPr>
        <w:t xml:space="preserve"> </w:t>
      </w:r>
      <w:r w:rsidRPr="00EC7F41">
        <w:rPr>
          <w:rFonts w:cs="David" w:hint="eastAsia"/>
          <w:sz w:val="20"/>
          <w:szCs w:val="20"/>
          <w:rtl/>
        </w:rPr>
        <w:t>המסור</w:t>
      </w:r>
      <w:r w:rsidRPr="00EC7F41">
        <w:rPr>
          <w:rFonts w:cs="David"/>
          <w:sz w:val="20"/>
          <w:szCs w:val="20"/>
          <w:rtl/>
        </w:rPr>
        <w:t xml:space="preserve"> </w:t>
      </w:r>
      <w:r w:rsidRPr="00EC7F41">
        <w:rPr>
          <w:rFonts w:cs="David" w:hint="eastAsia"/>
          <w:sz w:val="20"/>
          <w:szCs w:val="20"/>
          <w:rtl/>
        </w:rPr>
        <w:t>לידי</w:t>
      </w:r>
      <w:r w:rsidRPr="00EC7F41">
        <w:rPr>
          <w:rFonts w:cs="David"/>
          <w:sz w:val="20"/>
          <w:szCs w:val="20"/>
          <w:rtl/>
        </w:rPr>
        <w:t xml:space="preserve"> </w:t>
      </w:r>
      <w:r w:rsidRPr="00EC7F41">
        <w:rPr>
          <w:rFonts w:cs="David" w:hint="eastAsia"/>
          <w:sz w:val="20"/>
          <w:szCs w:val="20"/>
          <w:rtl/>
        </w:rPr>
        <w:t>גוף</w:t>
      </w:r>
      <w:r w:rsidRPr="00EC7F41">
        <w:rPr>
          <w:rFonts w:cs="David"/>
          <w:sz w:val="20"/>
          <w:szCs w:val="20"/>
          <w:rtl/>
        </w:rPr>
        <w:t xml:space="preserve"> </w:t>
      </w:r>
      <w:r w:rsidRPr="00EC7F41">
        <w:rPr>
          <w:rFonts w:cs="David" w:hint="eastAsia"/>
          <w:sz w:val="20"/>
          <w:szCs w:val="20"/>
          <w:rtl/>
        </w:rPr>
        <w:t>שאינו</w:t>
      </w:r>
      <w:r w:rsidRPr="00EC7F41">
        <w:rPr>
          <w:rFonts w:cs="David"/>
          <w:sz w:val="20"/>
          <w:szCs w:val="20"/>
          <w:rtl/>
        </w:rPr>
        <w:t xml:space="preserve"> </w:t>
      </w:r>
      <w:r w:rsidRPr="00EC7F41">
        <w:rPr>
          <w:rFonts w:cs="David" w:hint="eastAsia"/>
          <w:sz w:val="20"/>
          <w:szCs w:val="20"/>
          <w:rtl/>
        </w:rPr>
        <w:t>שלטוני</w:t>
      </w:r>
      <w:r w:rsidRPr="00EC7F41">
        <w:rPr>
          <w:rFonts w:cs="David"/>
          <w:sz w:val="20"/>
          <w:szCs w:val="20"/>
          <w:rtl/>
        </w:rPr>
        <w:t xml:space="preserve"> </w:t>
      </w:r>
      <w:r w:rsidRPr="00EC7F41">
        <w:rPr>
          <w:rFonts w:cs="David" w:hint="eastAsia"/>
          <w:sz w:val="20"/>
          <w:szCs w:val="20"/>
          <w:rtl/>
        </w:rPr>
        <w:t>ומטרתו</w:t>
      </w:r>
      <w:r w:rsidRPr="00EC7F41">
        <w:rPr>
          <w:rFonts w:cs="David"/>
          <w:sz w:val="20"/>
          <w:szCs w:val="20"/>
          <w:rtl/>
        </w:rPr>
        <w:t xml:space="preserve"> </w:t>
      </w:r>
      <w:r w:rsidRPr="00EC7F41">
        <w:rPr>
          <w:rFonts w:cs="David" w:hint="eastAsia"/>
          <w:sz w:val="20"/>
          <w:szCs w:val="20"/>
          <w:rtl/>
        </w:rPr>
        <w:t>היא</w:t>
      </w:r>
      <w:r w:rsidRPr="00EC7F41">
        <w:rPr>
          <w:rFonts w:cs="David"/>
          <w:sz w:val="20"/>
          <w:szCs w:val="20"/>
          <w:rtl/>
        </w:rPr>
        <w:t xml:space="preserve"> </w:t>
      </w:r>
      <w:r w:rsidRPr="00EC7F41">
        <w:rPr>
          <w:rFonts w:cs="David" w:hint="eastAsia"/>
          <w:sz w:val="20"/>
          <w:szCs w:val="20"/>
          <w:rtl/>
        </w:rPr>
        <w:t>השאת</w:t>
      </w:r>
      <w:r w:rsidRPr="00EC7F41">
        <w:rPr>
          <w:rFonts w:cs="David"/>
          <w:sz w:val="20"/>
          <w:szCs w:val="20"/>
          <w:rtl/>
        </w:rPr>
        <w:t xml:space="preserve"> </w:t>
      </w:r>
      <w:r w:rsidRPr="00EC7F41">
        <w:rPr>
          <w:rFonts w:cs="David" w:hint="eastAsia"/>
          <w:sz w:val="20"/>
          <w:szCs w:val="20"/>
          <w:rtl/>
        </w:rPr>
        <w:t>רווחים</w:t>
      </w:r>
      <w:r w:rsidRPr="00EC7F41">
        <w:rPr>
          <w:rFonts w:cs="David"/>
          <w:sz w:val="20"/>
          <w:szCs w:val="20"/>
          <w:rtl/>
        </w:rPr>
        <w:t xml:space="preserve"> </w:t>
      </w:r>
      <w:r w:rsidRPr="00EC7F41">
        <w:rPr>
          <w:rFonts w:cs="David" w:hint="eastAsia"/>
          <w:sz w:val="20"/>
          <w:szCs w:val="20"/>
          <w:rtl/>
        </w:rPr>
        <w:t>לבעלי</w:t>
      </w:r>
      <w:r w:rsidRPr="00EC7F41">
        <w:rPr>
          <w:rFonts w:cs="David"/>
          <w:sz w:val="20"/>
          <w:szCs w:val="20"/>
          <w:rtl/>
        </w:rPr>
        <w:t xml:space="preserve"> </w:t>
      </w:r>
      <w:r w:rsidRPr="00EC7F41">
        <w:rPr>
          <w:rFonts w:cs="David" w:hint="eastAsia"/>
          <w:sz w:val="20"/>
          <w:szCs w:val="20"/>
          <w:rtl/>
        </w:rPr>
        <w:t>המניות</w:t>
      </w:r>
      <w:r w:rsidRPr="00EC7F41">
        <w:rPr>
          <w:rFonts w:cs="David"/>
          <w:sz w:val="20"/>
          <w:szCs w:val="20"/>
          <w:rtl/>
        </w:rPr>
        <w:t xml:space="preserve"> – </w:t>
      </w:r>
      <w:r w:rsidRPr="00EC7F41">
        <w:rPr>
          <w:rFonts w:cs="David" w:hint="eastAsia"/>
          <w:sz w:val="20"/>
          <w:szCs w:val="20"/>
          <w:rtl/>
        </w:rPr>
        <w:t>יוצר</w:t>
      </w:r>
      <w:r w:rsidRPr="00EC7F41">
        <w:rPr>
          <w:rFonts w:cs="David"/>
          <w:sz w:val="20"/>
          <w:szCs w:val="20"/>
          <w:rtl/>
        </w:rPr>
        <w:t xml:space="preserve"> </w:t>
      </w:r>
      <w:r w:rsidRPr="00EC7F41">
        <w:rPr>
          <w:rFonts w:cs="David" w:hint="eastAsia"/>
          <w:sz w:val="20"/>
          <w:szCs w:val="20"/>
          <w:rtl/>
        </w:rPr>
        <w:t>את</w:t>
      </w:r>
      <w:r w:rsidRPr="00EC7F41">
        <w:rPr>
          <w:rFonts w:cs="David"/>
          <w:sz w:val="20"/>
          <w:szCs w:val="20"/>
          <w:rtl/>
        </w:rPr>
        <w:t xml:space="preserve"> </w:t>
      </w:r>
      <w:r w:rsidRPr="00EC7F41">
        <w:rPr>
          <w:rFonts w:cs="David" w:hint="eastAsia"/>
          <w:sz w:val="20"/>
          <w:szCs w:val="20"/>
          <w:rtl/>
        </w:rPr>
        <w:t>הפגיעה</w:t>
      </w:r>
      <w:r w:rsidRPr="00EC7F41">
        <w:rPr>
          <w:rFonts w:cs="David"/>
          <w:sz w:val="20"/>
          <w:szCs w:val="20"/>
          <w:rtl/>
        </w:rPr>
        <w:t xml:space="preserve"> </w:t>
      </w:r>
      <w:r w:rsidRPr="00EC7F41">
        <w:rPr>
          <w:rFonts w:cs="David" w:hint="eastAsia"/>
          <w:sz w:val="20"/>
          <w:szCs w:val="20"/>
          <w:rtl/>
        </w:rPr>
        <w:t>החוקתית</w:t>
      </w:r>
      <w:r w:rsidRPr="00EC7F41">
        <w:rPr>
          <w:rFonts w:cs="David"/>
          <w:sz w:val="20"/>
          <w:szCs w:val="20"/>
          <w:rtl/>
        </w:rPr>
        <w:t xml:space="preserve"> </w:t>
      </w:r>
      <w:r w:rsidRPr="00EC7F41">
        <w:rPr>
          <w:rFonts w:cs="David" w:hint="eastAsia"/>
          <w:sz w:val="20"/>
          <w:szCs w:val="20"/>
          <w:rtl/>
        </w:rPr>
        <w:t>המצריכה</w:t>
      </w:r>
      <w:r w:rsidRPr="00EC7F41">
        <w:rPr>
          <w:rFonts w:cs="David"/>
          <w:sz w:val="20"/>
          <w:szCs w:val="20"/>
          <w:rtl/>
        </w:rPr>
        <w:t xml:space="preserve"> </w:t>
      </w:r>
      <w:r w:rsidRPr="00EC7F41">
        <w:rPr>
          <w:rFonts w:cs="David" w:hint="eastAsia"/>
          <w:sz w:val="20"/>
          <w:szCs w:val="20"/>
          <w:rtl/>
        </w:rPr>
        <w:t>את</w:t>
      </w:r>
      <w:r w:rsidRPr="00EC7F41">
        <w:rPr>
          <w:rFonts w:cs="David"/>
          <w:sz w:val="20"/>
          <w:szCs w:val="20"/>
          <w:rtl/>
        </w:rPr>
        <w:t xml:space="preserve"> </w:t>
      </w:r>
      <w:r w:rsidRPr="00EC7F41">
        <w:rPr>
          <w:rFonts w:cs="David" w:hint="eastAsia"/>
          <w:sz w:val="20"/>
          <w:szCs w:val="20"/>
          <w:rtl/>
        </w:rPr>
        <w:t>ביטול</w:t>
      </w:r>
      <w:r w:rsidRPr="00EC7F41">
        <w:rPr>
          <w:rFonts w:cs="David"/>
          <w:sz w:val="20"/>
          <w:szCs w:val="20"/>
          <w:rtl/>
        </w:rPr>
        <w:t xml:space="preserve"> </w:t>
      </w:r>
      <w:r w:rsidRPr="00EC7F41">
        <w:rPr>
          <w:rFonts w:cs="David" w:hint="eastAsia"/>
          <w:sz w:val="20"/>
          <w:szCs w:val="20"/>
          <w:rtl/>
        </w:rPr>
        <w:t>התיקון</w:t>
      </w:r>
      <w:r w:rsidRPr="00EC7F41">
        <w:rPr>
          <w:rFonts w:cs="David"/>
          <w:sz w:val="20"/>
          <w:szCs w:val="20"/>
          <w:rtl/>
        </w:rPr>
        <w:t xml:space="preserve"> </w:t>
      </w:r>
      <w:r w:rsidRPr="00EC7F41">
        <w:rPr>
          <w:rFonts w:cs="David" w:hint="eastAsia"/>
          <w:sz w:val="20"/>
          <w:szCs w:val="20"/>
          <w:rtl/>
        </w:rPr>
        <w:t>לחוק</w:t>
      </w:r>
      <w:r w:rsidRPr="00EC7F41">
        <w:rPr>
          <w:rFonts w:cs="David"/>
          <w:sz w:val="20"/>
          <w:szCs w:val="20"/>
          <w:rtl/>
        </w:rPr>
        <w:t xml:space="preserve">. </w:t>
      </w:r>
    </w:p>
    <w:p w:rsidR="005366A8" w:rsidRPr="00EC7F41" w:rsidRDefault="005366A8" w:rsidP="005366A8">
      <w:pPr>
        <w:ind w:firstLine="720"/>
        <w:rPr>
          <w:sz w:val="20"/>
          <w:szCs w:val="20"/>
          <w:rtl/>
        </w:rPr>
      </w:pPr>
      <w:r w:rsidRPr="006A199E">
        <w:rPr>
          <w:rFonts w:cs="David" w:hint="eastAsia"/>
          <w:sz w:val="20"/>
          <w:szCs w:val="20"/>
          <w:highlight w:val="yellow"/>
          <w:rtl/>
        </w:rPr>
        <w:t>השופט</w:t>
      </w:r>
      <w:r w:rsidRPr="006A199E">
        <w:rPr>
          <w:rFonts w:cs="David"/>
          <w:sz w:val="20"/>
          <w:szCs w:val="20"/>
          <w:highlight w:val="yellow"/>
          <w:rtl/>
        </w:rPr>
        <w:t xml:space="preserve"> </w:t>
      </w:r>
      <w:r w:rsidRPr="006A199E">
        <w:rPr>
          <w:rFonts w:cs="David" w:hint="eastAsia"/>
          <w:sz w:val="20"/>
          <w:szCs w:val="20"/>
          <w:highlight w:val="yellow"/>
          <w:rtl/>
        </w:rPr>
        <w:t>א</w:t>
      </w:r>
      <w:r w:rsidRPr="006A199E">
        <w:rPr>
          <w:rFonts w:cs="David"/>
          <w:sz w:val="20"/>
          <w:szCs w:val="20"/>
          <w:highlight w:val="yellow"/>
          <w:rtl/>
        </w:rPr>
        <w:t xml:space="preserve">' </w:t>
      </w:r>
      <w:r w:rsidRPr="006A199E">
        <w:rPr>
          <w:rFonts w:cs="David" w:hint="eastAsia"/>
          <w:sz w:val="20"/>
          <w:szCs w:val="20"/>
          <w:highlight w:val="yellow"/>
          <w:rtl/>
        </w:rPr>
        <w:t>לוי</w:t>
      </w:r>
      <w:r w:rsidRPr="00EC7F41">
        <w:rPr>
          <w:rFonts w:cs="David"/>
          <w:sz w:val="20"/>
          <w:szCs w:val="20"/>
          <w:rtl/>
        </w:rPr>
        <w:t xml:space="preserve">, </w:t>
      </w:r>
      <w:r w:rsidRPr="00EC7F41">
        <w:rPr>
          <w:rFonts w:cs="David" w:hint="eastAsia"/>
          <w:sz w:val="20"/>
          <w:szCs w:val="20"/>
          <w:rtl/>
        </w:rPr>
        <w:t>בדעת</w:t>
      </w:r>
      <w:r w:rsidRPr="00EC7F41">
        <w:rPr>
          <w:rFonts w:cs="David"/>
          <w:sz w:val="20"/>
          <w:szCs w:val="20"/>
          <w:rtl/>
        </w:rPr>
        <w:t xml:space="preserve"> </w:t>
      </w:r>
      <w:r w:rsidRPr="00EC7F41">
        <w:rPr>
          <w:rFonts w:cs="David" w:hint="eastAsia"/>
          <w:sz w:val="20"/>
          <w:szCs w:val="20"/>
          <w:rtl/>
        </w:rPr>
        <w:t>המיעוט</w:t>
      </w:r>
      <w:r w:rsidRPr="00EC7F41">
        <w:rPr>
          <w:rFonts w:cs="David" w:hint="cs"/>
          <w:sz w:val="20"/>
          <w:szCs w:val="20"/>
          <w:rtl/>
        </w:rPr>
        <w:t>,</w:t>
      </w:r>
      <w:r>
        <w:rPr>
          <w:rFonts w:cs="David" w:hint="cs"/>
          <w:sz w:val="20"/>
          <w:szCs w:val="20"/>
          <w:rtl/>
        </w:rPr>
        <w:t xml:space="preserve"> </w:t>
      </w:r>
      <w:r w:rsidRPr="00EC7F41">
        <w:rPr>
          <w:rFonts w:cs="David" w:hint="eastAsia"/>
          <w:sz w:val="20"/>
          <w:szCs w:val="20"/>
          <w:rtl/>
        </w:rPr>
        <w:t>לא</w:t>
      </w:r>
      <w:r w:rsidRPr="00EC7F41">
        <w:rPr>
          <w:rFonts w:cs="David"/>
          <w:sz w:val="20"/>
          <w:szCs w:val="20"/>
          <w:rtl/>
        </w:rPr>
        <w:t xml:space="preserve"> </w:t>
      </w:r>
      <w:r w:rsidRPr="00EC7F41">
        <w:rPr>
          <w:rFonts w:cs="David" w:hint="eastAsia"/>
          <w:sz w:val="20"/>
          <w:szCs w:val="20"/>
          <w:rtl/>
        </w:rPr>
        <w:t>קיבל</w:t>
      </w:r>
      <w:r w:rsidRPr="00EC7F41">
        <w:rPr>
          <w:rFonts w:cs="David"/>
          <w:sz w:val="20"/>
          <w:szCs w:val="20"/>
          <w:rtl/>
        </w:rPr>
        <w:t xml:space="preserve"> </w:t>
      </w:r>
      <w:r w:rsidRPr="00EC7F41">
        <w:rPr>
          <w:rFonts w:cs="David" w:hint="eastAsia"/>
          <w:sz w:val="20"/>
          <w:szCs w:val="20"/>
          <w:rtl/>
        </w:rPr>
        <w:t>את</w:t>
      </w:r>
      <w:r w:rsidRPr="00EC7F41">
        <w:rPr>
          <w:rFonts w:cs="David"/>
          <w:sz w:val="20"/>
          <w:szCs w:val="20"/>
          <w:rtl/>
        </w:rPr>
        <w:t xml:space="preserve"> </w:t>
      </w:r>
      <w:r w:rsidRPr="00EC7F41">
        <w:rPr>
          <w:rFonts w:cs="David" w:hint="eastAsia"/>
          <w:sz w:val="20"/>
          <w:szCs w:val="20"/>
          <w:rtl/>
        </w:rPr>
        <w:t>עמדת</w:t>
      </w:r>
      <w:r w:rsidRPr="00EC7F41">
        <w:rPr>
          <w:rFonts w:cs="David"/>
          <w:sz w:val="20"/>
          <w:szCs w:val="20"/>
          <w:rtl/>
        </w:rPr>
        <w:t xml:space="preserve"> </w:t>
      </w:r>
      <w:r w:rsidRPr="00EC7F41">
        <w:rPr>
          <w:rFonts w:cs="David" w:hint="eastAsia"/>
          <w:sz w:val="20"/>
          <w:szCs w:val="20"/>
          <w:rtl/>
        </w:rPr>
        <w:t>הנשיאה</w:t>
      </w:r>
      <w:r w:rsidRPr="00EC7F41">
        <w:rPr>
          <w:rFonts w:cs="David"/>
          <w:sz w:val="20"/>
          <w:szCs w:val="20"/>
          <w:rtl/>
        </w:rPr>
        <w:t xml:space="preserve"> </w:t>
      </w:r>
      <w:r w:rsidRPr="00EC7F41">
        <w:rPr>
          <w:rFonts w:cs="David" w:hint="eastAsia"/>
          <w:sz w:val="20"/>
          <w:szCs w:val="20"/>
          <w:rtl/>
        </w:rPr>
        <w:t>בייניש</w:t>
      </w:r>
      <w:r w:rsidRPr="00EC7F41">
        <w:rPr>
          <w:rFonts w:cs="David"/>
          <w:sz w:val="20"/>
          <w:szCs w:val="20"/>
          <w:rtl/>
        </w:rPr>
        <w:t xml:space="preserve"> </w:t>
      </w:r>
      <w:r w:rsidRPr="00EC7F41">
        <w:rPr>
          <w:rFonts w:cs="David" w:hint="eastAsia"/>
          <w:sz w:val="20"/>
          <w:szCs w:val="20"/>
          <w:rtl/>
        </w:rPr>
        <w:t>בדבר</w:t>
      </w:r>
      <w:r w:rsidRPr="00EC7F41">
        <w:rPr>
          <w:rFonts w:cs="David" w:hint="cs"/>
          <w:sz w:val="20"/>
          <w:szCs w:val="20"/>
          <w:rtl/>
        </w:rPr>
        <w:t xml:space="preserve"> האפשרות לקבוע כבר בשלב זה כי</w:t>
      </w:r>
      <w:r w:rsidRPr="00EC7F41">
        <w:rPr>
          <w:rFonts w:cs="David"/>
          <w:sz w:val="20"/>
          <w:szCs w:val="20"/>
          <w:rtl/>
        </w:rPr>
        <w:t xml:space="preserve"> </w:t>
      </w:r>
      <w:r w:rsidRPr="00EC7F41">
        <w:rPr>
          <w:rFonts w:cs="David" w:hint="eastAsia"/>
          <w:sz w:val="20"/>
          <w:szCs w:val="20"/>
          <w:rtl/>
        </w:rPr>
        <w:t>הפגיעה</w:t>
      </w:r>
      <w:r w:rsidRPr="00EC7F41">
        <w:rPr>
          <w:rFonts w:cs="David"/>
          <w:sz w:val="20"/>
          <w:szCs w:val="20"/>
          <w:rtl/>
        </w:rPr>
        <w:t xml:space="preserve"> </w:t>
      </w:r>
      <w:r w:rsidRPr="00EC7F41">
        <w:rPr>
          <w:rFonts w:cs="David" w:hint="eastAsia"/>
          <w:sz w:val="20"/>
          <w:szCs w:val="20"/>
          <w:rtl/>
        </w:rPr>
        <w:t>הנוספת</w:t>
      </w:r>
      <w:r w:rsidRPr="00EC7F41">
        <w:rPr>
          <w:rFonts w:cs="David"/>
          <w:sz w:val="20"/>
          <w:szCs w:val="20"/>
          <w:rtl/>
        </w:rPr>
        <w:t xml:space="preserve"> </w:t>
      </w:r>
      <w:r w:rsidRPr="00EC7F41">
        <w:rPr>
          <w:rFonts w:cs="David" w:hint="eastAsia"/>
          <w:sz w:val="20"/>
          <w:szCs w:val="20"/>
          <w:rtl/>
        </w:rPr>
        <w:t>הנגרמת</w:t>
      </w:r>
      <w:r w:rsidRPr="00EC7F41">
        <w:rPr>
          <w:rFonts w:cs="David"/>
          <w:sz w:val="20"/>
          <w:szCs w:val="20"/>
          <w:rtl/>
        </w:rPr>
        <w:t xml:space="preserve"> </w:t>
      </w:r>
      <w:r w:rsidRPr="00EC7F41">
        <w:rPr>
          <w:rFonts w:cs="David" w:hint="eastAsia"/>
          <w:sz w:val="20"/>
          <w:szCs w:val="20"/>
          <w:rtl/>
        </w:rPr>
        <w:t>בשל</w:t>
      </w:r>
      <w:r w:rsidRPr="00EC7F41">
        <w:rPr>
          <w:rFonts w:cs="David"/>
          <w:sz w:val="20"/>
          <w:szCs w:val="20"/>
          <w:rtl/>
        </w:rPr>
        <w:t xml:space="preserve"> </w:t>
      </w:r>
      <w:r w:rsidRPr="00EC7F41">
        <w:rPr>
          <w:rFonts w:cs="David" w:hint="eastAsia"/>
          <w:sz w:val="20"/>
          <w:szCs w:val="20"/>
          <w:rtl/>
        </w:rPr>
        <w:t>זהותו</w:t>
      </w:r>
      <w:r w:rsidRPr="00EC7F41">
        <w:rPr>
          <w:rFonts w:cs="David"/>
          <w:sz w:val="20"/>
          <w:szCs w:val="20"/>
          <w:rtl/>
        </w:rPr>
        <w:t xml:space="preserve"> </w:t>
      </w:r>
      <w:r w:rsidRPr="00EC7F41">
        <w:rPr>
          <w:rFonts w:cs="David" w:hint="eastAsia"/>
          <w:sz w:val="20"/>
          <w:szCs w:val="20"/>
          <w:rtl/>
        </w:rPr>
        <w:t>של</w:t>
      </w:r>
      <w:r w:rsidRPr="00EC7F41">
        <w:rPr>
          <w:rFonts w:cs="David"/>
          <w:sz w:val="20"/>
          <w:szCs w:val="20"/>
          <w:rtl/>
        </w:rPr>
        <w:t xml:space="preserve"> </w:t>
      </w:r>
      <w:r w:rsidRPr="00EC7F41">
        <w:rPr>
          <w:rFonts w:cs="David" w:hint="eastAsia"/>
          <w:sz w:val="20"/>
          <w:szCs w:val="20"/>
          <w:rtl/>
        </w:rPr>
        <w:t>מגביל</w:t>
      </w:r>
      <w:r w:rsidRPr="00EC7F41">
        <w:rPr>
          <w:rFonts w:cs="David"/>
          <w:sz w:val="20"/>
          <w:szCs w:val="20"/>
          <w:rtl/>
        </w:rPr>
        <w:t xml:space="preserve"> </w:t>
      </w:r>
      <w:r w:rsidRPr="00EC7F41">
        <w:rPr>
          <w:rFonts w:cs="David" w:hint="eastAsia"/>
          <w:sz w:val="20"/>
          <w:szCs w:val="20"/>
          <w:rtl/>
        </w:rPr>
        <w:t>הזכות</w:t>
      </w:r>
      <w:r w:rsidRPr="00EC7F41">
        <w:rPr>
          <w:rFonts w:cs="David" w:hint="cs"/>
          <w:sz w:val="20"/>
          <w:szCs w:val="20"/>
          <w:rtl/>
        </w:rPr>
        <w:t xml:space="preserve"> אינה עומדת בתנאי פסקת ההגבלה. </w:t>
      </w:r>
      <w:r w:rsidRPr="00EC7F41">
        <w:rPr>
          <w:rFonts w:cs="David" w:hint="eastAsia"/>
          <w:sz w:val="20"/>
          <w:szCs w:val="20"/>
          <w:rtl/>
        </w:rPr>
        <w:t>כמו</w:t>
      </w:r>
      <w:r w:rsidRPr="00EC7F41">
        <w:rPr>
          <w:rFonts w:cs="David"/>
          <w:sz w:val="20"/>
          <w:szCs w:val="20"/>
          <w:rtl/>
        </w:rPr>
        <w:t xml:space="preserve"> </w:t>
      </w:r>
      <w:r w:rsidRPr="00EC7F41">
        <w:rPr>
          <w:rFonts w:cs="David" w:hint="eastAsia"/>
          <w:sz w:val="20"/>
          <w:szCs w:val="20"/>
          <w:rtl/>
        </w:rPr>
        <w:t>כן</w:t>
      </w:r>
      <w:r w:rsidRPr="00EC7F41">
        <w:rPr>
          <w:rFonts w:cs="David"/>
          <w:sz w:val="20"/>
          <w:szCs w:val="20"/>
          <w:rtl/>
        </w:rPr>
        <w:t xml:space="preserve"> </w:t>
      </w:r>
      <w:r w:rsidRPr="00EC7F41">
        <w:rPr>
          <w:rFonts w:cs="David" w:hint="eastAsia"/>
          <w:sz w:val="20"/>
          <w:szCs w:val="20"/>
          <w:rtl/>
        </w:rPr>
        <w:t>דחה</w:t>
      </w:r>
      <w:r w:rsidRPr="00EC7F41">
        <w:rPr>
          <w:rFonts w:cs="David"/>
          <w:sz w:val="20"/>
          <w:szCs w:val="20"/>
          <w:rtl/>
        </w:rPr>
        <w:t xml:space="preserve"> </w:t>
      </w:r>
      <w:r w:rsidRPr="00EC7F41">
        <w:rPr>
          <w:rFonts w:cs="David" w:hint="eastAsia"/>
          <w:sz w:val="20"/>
          <w:szCs w:val="20"/>
          <w:rtl/>
        </w:rPr>
        <w:t>את</w:t>
      </w:r>
      <w:r w:rsidRPr="00EC7F41">
        <w:rPr>
          <w:rFonts w:cs="David"/>
          <w:sz w:val="20"/>
          <w:szCs w:val="20"/>
          <w:rtl/>
        </w:rPr>
        <w:t xml:space="preserve"> </w:t>
      </w:r>
      <w:r w:rsidRPr="00EC7F41">
        <w:rPr>
          <w:rFonts w:cs="David" w:hint="eastAsia"/>
          <w:sz w:val="20"/>
          <w:szCs w:val="20"/>
          <w:rtl/>
        </w:rPr>
        <w:t>עמדת</w:t>
      </w:r>
      <w:r w:rsidRPr="00EC7F41">
        <w:rPr>
          <w:rFonts w:cs="David"/>
          <w:sz w:val="20"/>
          <w:szCs w:val="20"/>
          <w:rtl/>
        </w:rPr>
        <w:t xml:space="preserve"> </w:t>
      </w:r>
      <w:r w:rsidRPr="00EC7F41">
        <w:rPr>
          <w:rFonts w:cs="David" w:hint="eastAsia"/>
          <w:sz w:val="20"/>
          <w:szCs w:val="20"/>
          <w:rtl/>
        </w:rPr>
        <w:t>השופטת</w:t>
      </w:r>
      <w:r w:rsidRPr="00EC7F41">
        <w:rPr>
          <w:rFonts w:cs="David"/>
          <w:sz w:val="20"/>
          <w:szCs w:val="20"/>
          <w:rtl/>
        </w:rPr>
        <w:t xml:space="preserve"> </w:t>
      </w:r>
      <w:r w:rsidRPr="00EC7F41">
        <w:rPr>
          <w:rFonts w:cs="David" w:hint="eastAsia"/>
          <w:sz w:val="20"/>
          <w:szCs w:val="20"/>
          <w:rtl/>
        </w:rPr>
        <w:t>פורקצ</w:t>
      </w:r>
      <w:r w:rsidRPr="00EC7F41">
        <w:rPr>
          <w:rFonts w:cs="David"/>
          <w:sz w:val="20"/>
          <w:szCs w:val="20"/>
          <w:rtl/>
        </w:rPr>
        <w:t>'</w:t>
      </w:r>
      <w:r w:rsidRPr="00EC7F41">
        <w:rPr>
          <w:rFonts w:cs="David" w:hint="eastAsia"/>
          <w:sz w:val="20"/>
          <w:szCs w:val="20"/>
          <w:rtl/>
        </w:rPr>
        <w:t>יה</w:t>
      </w:r>
      <w:r w:rsidRPr="00EC7F41">
        <w:rPr>
          <w:rFonts w:cs="David"/>
          <w:sz w:val="20"/>
          <w:szCs w:val="20"/>
          <w:rtl/>
        </w:rPr>
        <w:t xml:space="preserve"> </w:t>
      </w:r>
      <w:r w:rsidRPr="00EC7F41">
        <w:rPr>
          <w:rFonts w:cs="David" w:hint="eastAsia"/>
          <w:sz w:val="20"/>
          <w:szCs w:val="20"/>
          <w:rtl/>
        </w:rPr>
        <w:t>בדבר</w:t>
      </w:r>
      <w:r w:rsidRPr="00EC7F41">
        <w:rPr>
          <w:rFonts w:cs="David"/>
          <w:sz w:val="20"/>
          <w:szCs w:val="20"/>
          <w:rtl/>
        </w:rPr>
        <w:t xml:space="preserve"> </w:t>
      </w:r>
      <w:r w:rsidRPr="00EC7F41">
        <w:rPr>
          <w:rFonts w:cs="David" w:hint="eastAsia"/>
          <w:sz w:val="20"/>
          <w:szCs w:val="20"/>
          <w:rtl/>
        </w:rPr>
        <w:t>הגדלת</w:t>
      </w:r>
      <w:r w:rsidRPr="00EC7F41">
        <w:rPr>
          <w:rFonts w:cs="David"/>
          <w:sz w:val="20"/>
          <w:szCs w:val="20"/>
          <w:rtl/>
        </w:rPr>
        <w:t xml:space="preserve"> </w:t>
      </w:r>
      <w:r w:rsidRPr="00EC7F41">
        <w:rPr>
          <w:rFonts w:cs="David" w:hint="eastAsia"/>
          <w:sz w:val="20"/>
          <w:szCs w:val="20"/>
          <w:rtl/>
        </w:rPr>
        <w:t>הסיכון</w:t>
      </w:r>
      <w:r w:rsidRPr="00EC7F41">
        <w:rPr>
          <w:rFonts w:cs="David"/>
          <w:sz w:val="20"/>
          <w:szCs w:val="20"/>
          <w:rtl/>
        </w:rPr>
        <w:t xml:space="preserve"> </w:t>
      </w:r>
      <w:r w:rsidRPr="00EC7F41">
        <w:rPr>
          <w:rFonts w:cs="David" w:hint="eastAsia"/>
          <w:sz w:val="20"/>
          <w:szCs w:val="20"/>
          <w:rtl/>
        </w:rPr>
        <w:t>לפגיעה</w:t>
      </w:r>
      <w:r w:rsidRPr="00EC7F41">
        <w:rPr>
          <w:rFonts w:cs="David"/>
          <w:sz w:val="20"/>
          <w:szCs w:val="20"/>
          <w:rtl/>
        </w:rPr>
        <w:t xml:space="preserve"> </w:t>
      </w:r>
      <w:r w:rsidRPr="00EC7F41">
        <w:rPr>
          <w:rFonts w:cs="David" w:hint="eastAsia"/>
          <w:sz w:val="20"/>
          <w:szCs w:val="20"/>
          <w:rtl/>
        </w:rPr>
        <w:t>פוטנציאלית</w:t>
      </w:r>
      <w:r w:rsidRPr="00EC7F41">
        <w:rPr>
          <w:rFonts w:cs="David"/>
          <w:sz w:val="20"/>
          <w:szCs w:val="20"/>
          <w:rtl/>
        </w:rPr>
        <w:t xml:space="preserve">. </w:t>
      </w:r>
      <w:r w:rsidRPr="00EC7F41">
        <w:rPr>
          <w:rFonts w:cs="David" w:hint="eastAsia"/>
          <w:sz w:val="20"/>
          <w:szCs w:val="20"/>
          <w:rtl/>
        </w:rPr>
        <w:t>לדידו</w:t>
      </w:r>
      <w:r w:rsidRPr="00EC7F41">
        <w:rPr>
          <w:rFonts w:cs="David"/>
          <w:sz w:val="20"/>
          <w:szCs w:val="20"/>
          <w:rtl/>
        </w:rPr>
        <w:t xml:space="preserve"> </w:t>
      </w:r>
      <w:r w:rsidRPr="00EC7F41">
        <w:rPr>
          <w:rFonts w:cs="David" w:hint="cs"/>
          <w:sz w:val="20"/>
          <w:szCs w:val="20"/>
          <w:rtl/>
        </w:rPr>
        <w:t xml:space="preserve">של </w:t>
      </w:r>
      <w:r w:rsidRPr="00EC7F41">
        <w:rPr>
          <w:rFonts w:cs="David" w:hint="eastAsia"/>
          <w:sz w:val="20"/>
          <w:szCs w:val="20"/>
          <w:rtl/>
        </w:rPr>
        <w:t>השופט</w:t>
      </w:r>
      <w:r w:rsidRPr="00EC7F41">
        <w:rPr>
          <w:rFonts w:cs="David"/>
          <w:sz w:val="20"/>
          <w:szCs w:val="20"/>
          <w:rtl/>
        </w:rPr>
        <w:t xml:space="preserve"> </w:t>
      </w:r>
      <w:r w:rsidRPr="00EC7F41">
        <w:rPr>
          <w:rFonts w:cs="David" w:hint="eastAsia"/>
          <w:sz w:val="20"/>
          <w:szCs w:val="20"/>
          <w:rtl/>
        </w:rPr>
        <w:t>לוי</w:t>
      </w:r>
      <w:r w:rsidRPr="00EC7F41">
        <w:rPr>
          <w:rFonts w:cs="David"/>
          <w:sz w:val="20"/>
          <w:szCs w:val="20"/>
          <w:rtl/>
        </w:rPr>
        <w:t xml:space="preserve"> </w:t>
      </w:r>
      <w:r w:rsidRPr="00EC7F41">
        <w:rPr>
          <w:rFonts w:cs="David" w:hint="eastAsia"/>
          <w:sz w:val="20"/>
          <w:szCs w:val="20"/>
          <w:rtl/>
        </w:rPr>
        <w:t>יש</w:t>
      </w:r>
      <w:r w:rsidRPr="00EC7F41">
        <w:rPr>
          <w:rFonts w:cs="David"/>
          <w:sz w:val="20"/>
          <w:szCs w:val="20"/>
          <w:rtl/>
        </w:rPr>
        <w:t xml:space="preserve"> </w:t>
      </w:r>
      <w:r w:rsidRPr="00EC7F41">
        <w:rPr>
          <w:rFonts w:cs="David" w:hint="eastAsia"/>
          <w:sz w:val="20"/>
          <w:szCs w:val="20"/>
          <w:rtl/>
        </w:rPr>
        <w:t>ל</w:t>
      </w:r>
      <w:r w:rsidRPr="00EC7F41">
        <w:rPr>
          <w:rFonts w:cs="David" w:hint="cs"/>
          <w:sz w:val="20"/>
          <w:szCs w:val="20"/>
          <w:rtl/>
        </w:rPr>
        <w:t xml:space="preserve">בחון </w:t>
      </w:r>
      <w:r w:rsidRPr="00EC7F41">
        <w:rPr>
          <w:rFonts w:cs="David" w:hint="eastAsia"/>
          <w:sz w:val="20"/>
          <w:szCs w:val="20"/>
          <w:rtl/>
        </w:rPr>
        <w:t>אמפירית</w:t>
      </w:r>
      <w:r w:rsidRPr="00EC7F41">
        <w:rPr>
          <w:rFonts w:cs="David" w:hint="cs"/>
          <w:sz w:val="20"/>
          <w:szCs w:val="20"/>
          <w:rtl/>
        </w:rPr>
        <w:t xml:space="preserve"> את התנהלותו של ההסדר</w:t>
      </w:r>
      <w:r w:rsidRPr="00EC7F41">
        <w:rPr>
          <w:rFonts w:cs="David"/>
          <w:sz w:val="20"/>
          <w:szCs w:val="20"/>
          <w:rtl/>
        </w:rPr>
        <w:t xml:space="preserve">. </w:t>
      </w:r>
      <w:r w:rsidRPr="00EC7F41">
        <w:rPr>
          <w:rFonts w:cs="David" w:hint="eastAsia"/>
          <w:sz w:val="20"/>
          <w:szCs w:val="20"/>
          <w:rtl/>
        </w:rPr>
        <w:t>לפיכך</w:t>
      </w:r>
      <w:r w:rsidRPr="00EC7F41">
        <w:rPr>
          <w:rFonts w:cs="David"/>
          <w:sz w:val="20"/>
          <w:szCs w:val="20"/>
          <w:rtl/>
        </w:rPr>
        <w:t xml:space="preserve"> </w:t>
      </w:r>
      <w:r w:rsidRPr="00EC7F41">
        <w:rPr>
          <w:rFonts w:cs="David" w:hint="eastAsia"/>
          <w:sz w:val="20"/>
          <w:szCs w:val="20"/>
          <w:rtl/>
        </w:rPr>
        <w:t>סבר</w:t>
      </w:r>
      <w:r w:rsidRPr="00EC7F41">
        <w:rPr>
          <w:rFonts w:cs="David"/>
          <w:sz w:val="20"/>
          <w:szCs w:val="20"/>
          <w:rtl/>
        </w:rPr>
        <w:t xml:space="preserve"> </w:t>
      </w:r>
      <w:r w:rsidRPr="00EC7F41">
        <w:rPr>
          <w:rFonts w:cs="David" w:hint="eastAsia"/>
          <w:sz w:val="20"/>
          <w:szCs w:val="20"/>
          <w:rtl/>
        </w:rPr>
        <w:t>השופט</w:t>
      </w:r>
      <w:r w:rsidRPr="00EC7F41">
        <w:rPr>
          <w:rFonts w:cs="David"/>
          <w:sz w:val="20"/>
          <w:szCs w:val="20"/>
          <w:rtl/>
        </w:rPr>
        <w:t xml:space="preserve"> </w:t>
      </w:r>
      <w:r w:rsidRPr="00EC7F41">
        <w:rPr>
          <w:rFonts w:cs="David" w:hint="eastAsia"/>
          <w:sz w:val="20"/>
          <w:szCs w:val="20"/>
          <w:rtl/>
        </w:rPr>
        <w:t>לוי</w:t>
      </w:r>
      <w:r w:rsidRPr="00EC7F41">
        <w:rPr>
          <w:rFonts w:cs="David"/>
          <w:sz w:val="20"/>
          <w:szCs w:val="20"/>
          <w:rtl/>
        </w:rPr>
        <w:t xml:space="preserve"> </w:t>
      </w:r>
      <w:r w:rsidRPr="00EC7F41">
        <w:rPr>
          <w:rFonts w:cs="David" w:hint="eastAsia"/>
          <w:sz w:val="20"/>
          <w:szCs w:val="20"/>
          <w:rtl/>
        </w:rPr>
        <w:t>שיש</w:t>
      </w:r>
      <w:r w:rsidRPr="00EC7F41">
        <w:rPr>
          <w:rFonts w:cs="David"/>
          <w:sz w:val="20"/>
          <w:szCs w:val="20"/>
          <w:rtl/>
        </w:rPr>
        <w:t xml:space="preserve"> </w:t>
      </w:r>
      <w:r w:rsidRPr="00EC7F41">
        <w:rPr>
          <w:rFonts w:cs="David" w:hint="eastAsia"/>
          <w:sz w:val="20"/>
          <w:szCs w:val="20"/>
          <w:rtl/>
        </w:rPr>
        <w:t>לדחות</w:t>
      </w:r>
      <w:r w:rsidRPr="00EC7F41">
        <w:rPr>
          <w:rFonts w:cs="David"/>
          <w:sz w:val="20"/>
          <w:szCs w:val="20"/>
          <w:rtl/>
        </w:rPr>
        <w:t xml:space="preserve"> </w:t>
      </w:r>
      <w:r w:rsidRPr="00EC7F41">
        <w:rPr>
          <w:rFonts w:cs="David" w:hint="eastAsia"/>
          <w:sz w:val="20"/>
          <w:szCs w:val="20"/>
          <w:rtl/>
        </w:rPr>
        <w:t>את</w:t>
      </w:r>
      <w:r w:rsidRPr="00EC7F41">
        <w:rPr>
          <w:rFonts w:cs="David"/>
          <w:sz w:val="20"/>
          <w:szCs w:val="20"/>
          <w:rtl/>
        </w:rPr>
        <w:t xml:space="preserve"> </w:t>
      </w:r>
      <w:r w:rsidRPr="00EC7F41">
        <w:rPr>
          <w:rFonts w:cs="David" w:hint="eastAsia"/>
          <w:sz w:val="20"/>
          <w:szCs w:val="20"/>
          <w:rtl/>
        </w:rPr>
        <w:t>העתירה</w:t>
      </w:r>
      <w:r w:rsidRPr="00EC7F41">
        <w:rPr>
          <w:rFonts w:cs="David"/>
          <w:sz w:val="20"/>
          <w:szCs w:val="20"/>
          <w:rtl/>
        </w:rPr>
        <w:t>.</w:t>
      </w:r>
    </w:p>
    <w:p w:rsidR="005366A8" w:rsidRDefault="005366A8" w:rsidP="005366A8">
      <w:pPr>
        <w:rPr>
          <w:rtl/>
        </w:rPr>
      </w:pPr>
    </w:p>
    <w:p w:rsidR="005366A8" w:rsidRPr="00220449" w:rsidRDefault="005366A8" w:rsidP="005366A8">
      <w:pPr>
        <w:rPr>
          <w:b/>
          <w:bCs/>
          <w:i/>
          <w:iCs/>
          <w:sz w:val="22"/>
          <w:szCs w:val="22"/>
          <w:rtl/>
        </w:rPr>
      </w:pPr>
      <w:r w:rsidRPr="00220449">
        <w:rPr>
          <w:rFonts w:hint="cs"/>
          <w:b/>
          <w:bCs/>
          <w:i/>
          <w:iCs/>
          <w:sz w:val="22"/>
          <w:szCs w:val="22"/>
          <w:rtl/>
        </w:rPr>
        <w:t>דיון:</w:t>
      </w:r>
    </w:p>
    <w:p w:rsidR="005366A8" w:rsidRPr="00CF2299" w:rsidRDefault="005366A8" w:rsidP="005366A8">
      <w:pPr>
        <w:rPr>
          <w:sz w:val="22"/>
          <w:szCs w:val="22"/>
          <w:rtl/>
        </w:rPr>
      </w:pPr>
      <w:r w:rsidRPr="00CF2299">
        <w:rPr>
          <w:rFonts w:hint="cs"/>
          <w:sz w:val="22"/>
          <w:szCs w:val="22"/>
          <w:rtl/>
        </w:rPr>
        <w:t xml:space="preserve">שאלת </w:t>
      </w:r>
      <w:r w:rsidRPr="00CF2299">
        <w:rPr>
          <w:rFonts w:hint="cs"/>
          <w:b/>
          <w:bCs/>
          <w:sz w:val="22"/>
          <w:szCs w:val="22"/>
          <w:rtl/>
        </w:rPr>
        <w:t>"הפגיעה בזכות"</w:t>
      </w:r>
      <w:r>
        <w:rPr>
          <w:rFonts w:hint="cs"/>
          <w:sz w:val="22"/>
          <w:szCs w:val="22"/>
          <w:rtl/>
        </w:rPr>
        <w:t xml:space="preserve"> יסוד חוקתית</w:t>
      </w:r>
      <w:r w:rsidRPr="00CF2299">
        <w:rPr>
          <w:rFonts w:hint="cs"/>
          <w:sz w:val="22"/>
          <w:szCs w:val="22"/>
          <w:rtl/>
        </w:rPr>
        <w:t xml:space="preserve"> </w:t>
      </w:r>
      <w:r w:rsidRPr="00CF2299">
        <w:rPr>
          <w:sz w:val="22"/>
          <w:szCs w:val="22"/>
          <w:rtl/>
        </w:rPr>
        <w:t>–</w:t>
      </w:r>
      <w:r w:rsidRPr="00CF2299">
        <w:rPr>
          <w:rFonts w:hint="cs"/>
          <w:sz w:val="22"/>
          <w:szCs w:val="22"/>
          <w:rtl/>
        </w:rPr>
        <w:t xml:space="preserve"> מהי הפגיעה</w:t>
      </w:r>
      <w:r>
        <w:rPr>
          <w:rFonts w:hint="cs"/>
          <w:sz w:val="22"/>
          <w:szCs w:val="22"/>
          <w:rtl/>
        </w:rPr>
        <w:t>, מהן הזכויות</w:t>
      </w:r>
      <w:r w:rsidRPr="00CF2299">
        <w:rPr>
          <w:rFonts w:hint="cs"/>
          <w:sz w:val="22"/>
          <w:szCs w:val="22"/>
          <w:rtl/>
        </w:rPr>
        <w:t>?</w:t>
      </w:r>
    </w:p>
    <w:p w:rsidR="005366A8" w:rsidRPr="00CF2299" w:rsidRDefault="005366A8" w:rsidP="005366A8">
      <w:pPr>
        <w:rPr>
          <w:sz w:val="22"/>
          <w:szCs w:val="22"/>
          <w:rtl/>
        </w:rPr>
      </w:pPr>
      <w:r w:rsidRPr="00CF2299">
        <w:rPr>
          <w:rFonts w:hint="cs"/>
          <w:sz w:val="22"/>
          <w:szCs w:val="22"/>
          <w:rtl/>
        </w:rPr>
        <w:t xml:space="preserve">שאלת עמידתה </w:t>
      </w:r>
      <w:r w:rsidRPr="00CF2299">
        <w:rPr>
          <w:rFonts w:hint="cs"/>
          <w:b/>
          <w:bCs/>
          <w:sz w:val="22"/>
          <w:szCs w:val="22"/>
          <w:rtl/>
        </w:rPr>
        <w:t>בתנאי פסקת ההגבלה</w:t>
      </w:r>
      <w:r w:rsidRPr="00CF2299">
        <w:rPr>
          <w:rFonts w:hint="cs"/>
          <w:sz w:val="22"/>
          <w:szCs w:val="22"/>
          <w:rtl/>
        </w:rPr>
        <w:t>?</w:t>
      </w:r>
    </w:p>
    <w:p w:rsidR="005366A8" w:rsidRPr="00CF2299" w:rsidRDefault="005366A8" w:rsidP="005366A8">
      <w:pPr>
        <w:ind w:left="720"/>
        <w:rPr>
          <w:sz w:val="22"/>
          <w:szCs w:val="22"/>
          <w:rtl/>
        </w:rPr>
      </w:pPr>
      <w:r w:rsidRPr="00CF2299">
        <w:rPr>
          <w:rFonts w:hint="cs"/>
          <w:b/>
          <w:bCs/>
          <w:sz w:val="22"/>
          <w:szCs w:val="22"/>
          <w:rtl/>
        </w:rPr>
        <w:t>בחוק</w:t>
      </w:r>
      <w:r w:rsidRPr="00CF2299">
        <w:rPr>
          <w:rFonts w:hint="cs"/>
          <w:sz w:val="22"/>
          <w:szCs w:val="22"/>
          <w:rtl/>
        </w:rPr>
        <w:t xml:space="preserve">? </w:t>
      </w:r>
      <w:r w:rsidRPr="00CF2299">
        <w:rPr>
          <w:sz w:val="22"/>
          <w:szCs w:val="22"/>
          <w:rtl/>
        </w:rPr>
        <w:t>–</w:t>
      </w:r>
      <w:r w:rsidRPr="00CF2299">
        <w:rPr>
          <w:rFonts w:hint="cs"/>
          <w:sz w:val="22"/>
          <w:szCs w:val="22"/>
          <w:rtl/>
        </w:rPr>
        <w:t xml:space="preserve"> התיקון המותקף לפקודת בתי הסוהר</w:t>
      </w:r>
    </w:p>
    <w:p w:rsidR="005366A8" w:rsidRPr="00CF2299" w:rsidRDefault="005366A8" w:rsidP="005366A8">
      <w:pPr>
        <w:ind w:left="720"/>
        <w:rPr>
          <w:sz w:val="22"/>
          <w:szCs w:val="22"/>
          <w:rtl/>
        </w:rPr>
      </w:pPr>
      <w:r w:rsidRPr="00CF2299">
        <w:rPr>
          <w:rFonts w:hint="cs"/>
          <w:b/>
          <w:bCs/>
          <w:sz w:val="22"/>
          <w:szCs w:val="22"/>
          <w:rtl/>
        </w:rPr>
        <w:t>תכלית ראויה</w:t>
      </w:r>
      <w:r w:rsidRPr="00CF2299">
        <w:rPr>
          <w:rFonts w:hint="cs"/>
          <w:sz w:val="22"/>
          <w:szCs w:val="22"/>
          <w:rtl/>
        </w:rPr>
        <w:t xml:space="preserve">? </w:t>
      </w:r>
      <w:r w:rsidRPr="00CF2299">
        <w:rPr>
          <w:sz w:val="22"/>
          <w:szCs w:val="22"/>
          <w:rtl/>
        </w:rPr>
        <w:t>–</w:t>
      </w:r>
      <w:r w:rsidRPr="00CF2299">
        <w:rPr>
          <w:rFonts w:hint="cs"/>
          <w:sz w:val="22"/>
          <w:szCs w:val="22"/>
          <w:rtl/>
        </w:rPr>
        <w:t xml:space="preserve"> חיסכון תקציבי</w:t>
      </w:r>
      <w:r>
        <w:rPr>
          <w:rFonts w:hint="cs"/>
          <w:sz w:val="22"/>
          <w:szCs w:val="22"/>
          <w:rtl/>
        </w:rPr>
        <w:t xml:space="preserve"> ושיפור תנאי</w:t>
      </w:r>
    </w:p>
    <w:p w:rsidR="005366A8" w:rsidRDefault="005366A8" w:rsidP="005366A8">
      <w:pPr>
        <w:ind w:left="720"/>
        <w:rPr>
          <w:rtl/>
        </w:rPr>
      </w:pPr>
      <w:r w:rsidRPr="00CF2299">
        <w:rPr>
          <w:rFonts w:hint="cs"/>
          <w:b/>
          <w:bCs/>
          <w:sz w:val="22"/>
          <w:szCs w:val="22"/>
          <w:rtl/>
        </w:rPr>
        <w:t>מידתיות</w:t>
      </w:r>
      <w:r w:rsidRPr="00CF2299">
        <w:rPr>
          <w:rFonts w:hint="cs"/>
          <w:sz w:val="22"/>
          <w:szCs w:val="22"/>
          <w:rtl/>
        </w:rPr>
        <w:t xml:space="preserve"> ה</w:t>
      </w:r>
      <w:r>
        <w:rPr>
          <w:rFonts w:hint="cs"/>
          <w:sz w:val="22"/>
          <w:szCs w:val="22"/>
          <w:rtl/>
        </w:rPr>
        <w:t>אמצעי שבשירות התכלית/ מידתיות ה</w:t>
      </w:r>
      <w:r w:rsidRPr="00CF2299">
        <w:rPr>
          <w:rFonts w:hint="cs"/>
          <w:sz w:val="22"/>
          <w:szCs w:val="22"/>
          <w:rtl/>
        </w:rPr>
        <w:t xml:space="preserve">פגיעה? מבחני המשנה של המידתיות. המבחן השלישי </w:t>
      </w:r>
      <w:r w:rsidRPr="00CF2299">
        <w:rPr>
          <w:sz w:val="22"/>
          <w:szCs w:val="22"/>
          <w:rtl/>
        </w:rPr>
        <w:t>–</w:t>
      </w:r>
      <w:r w:rsidRPr="00CF2299">
        <w:rPr>
          <w:rFonts w:hint="cs"/>
          <w:sz w:val="22"/>
          <w:szCs w:val="22"/>
          <w:rtl/>
        </w:rPr>
        <w:t xml:space="preserve"> "מידתיות במובן הצר".</w:t>
      </w:r>
    </w:p>
    <w:p w:rsidR="005366A8" w:rsidRPr="005C1E7B" w:rsidRDefault="005366A8" w:rsidP="005366A8">
      <w:pPr>
        <w:rPr>
          <w:b/>
          <w:bCs/>
          <w:sz w:val="20"/>
          <w:szCs w:val="20"/>
          <w:rtl/>
        </w:rPr>
      </w:pPr>
      <w:r w:rsidRPr="005C1E7B">
        <w:rPr>
          <w:rFonts w:hint="cs"/>
          <w:b/>
          <w:bCs/>
          <w:sz w:val="20"/>
          <w:szCs w:val="20"/>
          <w:rtl/>
        </w:rPr>
        <w:t>פרופ' ברק מדינה, הערות בעקבות פסק הדין בעניין ההפרטה:</w:t>
      </w:r>
    </w:p>
    <w:p w:rsidR="005366A8" w:rsidRPr="00351A28" w:rsidRDefault="005366A8" w:rsidP="005366A8">
      <w:pPr>
        <w:rPr>
          <w:sz w:val="20"/>
          <w:szCs w:val="20"/>
          <w:rtl/>
        </w:rPr>
      </w:pPr>
    </w:p>
    <w:p w:rsidR="005366A8" w:rsidRPr="00351A28" w:rsidRDefault="005366A8" w:rsidP="005366A8">
      <w:pPr>
        <w:rPr>
          <w:sz w:val="20"/>
          <w:szCs w:val="20"/>
          <w:rtl/>
        </w:rPr>
      </w:pPr>
      <w:r w:rsidRPr="00351A28">
        <w:rPr>
          <w:rFonts w:hint="cs"/>
          <w:sz w:val="20"/>
          <w:szCs w:val="20"/>
          <w:rtl/>
        </w:rPr>
        <w:t xml:space="preserve">1. הדבר העיקרי </w:t>
      </w:r>
      <w:r>
        <w:rPr>
          <w:rFonts w:hint="cs"/>
          <w:sz w:val="20"/>
          <w:szCs w:val="20"/>
          <w:rtl/>
        </w:rPr>
        <w:t xml:space="preserve">בפסק הדין </w:t>
      </w:r>
      <w:r w:rsidRPr="00351A28">
        <w:rPr>
          <w:rFonts w:hint="cs"/>
          <w:sz w:val="20"/>
          <w:szCs w:val="20"/>
          <w:rtl/>
        </w:rPr>
        <w:t xml:space="preserve">הוא איסור על </w:t>
      </w:r>
      <w:r w:rsidRPr="00351A28">
        <w:rPr>
          <w:rFonts w:hint="cs"/>
          <w:sz w:val="20"/>
          <w:szCs w:val="20"/>
          <w:highlight w:val="yellow"/>
          <w:rtl/>
        </w:rPr>
        <w:t>הפרטה של "גרעין" מסוים</w:t>
      </w:r>
      <w:r w:rsidRPr="00351A28">
        <w:rPr>
          <w:rFonts w:hint="cs"/>
          <w:sz w:val="20"/>
          <w:szCs w:val="20"/>
          <w:rtl/>
        </w:rPr>
        <w:t xml:space="preserve">. </w:t>
      </w:r>
      <w:r>
        <w:rPr>
          <w:rFonts w:hint="cs"/>
          <w:sz w:val="20"/>
          <w:szCs w:val="20"/>
          <w:rtl/>
        </w:rPr>
        <w:t xml:space="preserve">עם זאת, </w:t>
      </w:r>
      <w:r w:rsidRPr="00351A28">
        <w:rPr>
          <w:rFonts w:hint="cs"/>
          <w:sz w:val="20"/>
          <w:szCs w:val="20"/>
          <w:rtl/>
        </w:rPr>
        <w:t xml:space="preserve">אין הגדרה ברורה מה נכלל בגרעין הזה. </w:t>
      </w:r>
    </w:p>
    <w:p w:rsidR="005366A8" w:rsidRPr="00351A28" w:rsidRDefault="005366A8" w:rsidP="005366A8">
      <w:pPr>
        <w:rPr>
          <w:sz w:val="20"/>
          <w:szCs w:val="20"/>
          <w:rtl/>
        </w:rPr>
      </w:pPr>
      <w:r w:rsidRPr="00351A28">
        <w:rPr>
          <w:rFonts w:hint="cs"/>
          <w:sz w:val="20"/>
          <w:szCs w:val="20"/>
          <w:rtl/>
        </w:rPr>
        <w:t xml:space="preserve">התפיסה היסודית היא שהאיסור אינו מבוסס על חשש מכך שהשירות שיסופק </w:t>
      </w:r>
      <w:r>
        <w:rPr>
          <w:rFonts w:hint="cs"/>
          <w:sz w:val="20"/>
          <w:szCs w:val="20"/>
          <w:rtl/>
        </w:rPr>
        <w:t xml:space="preserve">[הכליאה] </w:t>
      </w:r>
      <w:r w:rsidRPr="00351A28">
        <w:rPr>
          <w:rFonts w:hint="cs"/>
          <w:sz w:val="20"/>
          <w:szCs w:val="20"/>
          <w:rtl/>
        </w:rPr>
        <w:t>יהיה בלתי מתאים. אין צורך בהוכחה שהשירות יהיה לקוי. יש כאן תפיסה עקרונית האוסרת על הפרטה בשל איסור דאונטולוגי</w:t>
      </w:r>
      <w:r>
        <w:rPr>
          <w:rFonts w:hint="cs"/>
          <w:sz w:val="20"/>
          <w:szCs w:val="20"/>
          <w:rtl/>
        </w:rPr>
        <w:t>/ איסור קנטיאני</w:t>
      </w:r>
      <w:r w:rsidRPr="00351A28">
        <w:rPr>
          <w:rFonts w:hint="cs"/>
          <w:sz w:val="20"/>
          <w:szCs w:val="20"/>
          <w:rtl/>
        </w:rPr>
        <w:t>. האיסור אינו נובע מן החשש אלא מקביעה עקרונית שאסור.</w:t>
      </w:r>
    </w:p>
    <w:p w:rsidR="005366A8" w:rsidRPr="00351A28" w:rsidRDefault="005366A8" w:rsidP="005366A8">
      <w:pPr>
        <w:rPr>
          <w:sz w:val="20"/>
          <w:szCs w:val="20"/>
          <w:rtl/>
        </w:rPr>
      </w:pPr>
      <w:r w:rsidRPr="00351A28">
        <w:rPr>
          <w:rFonts w:hint="cs"/>
          <w:sz w:val="20"/>
          <w:szCs w:val="20"/>
          <w:rtl/>
        </w:rPr>
        <w:t xml:space="preserve">במובן זה יש כאן דמיון מסוים לאיסורים בתחום חופש הביטוי או הגבלת הזכות להיבחר </w:t>
      </w:r>
      <w:r w:rsidRPr="00351A28">
        <w:rPr>
          <w:sz w:val="20"/>
          <w:szCs w:val="20"/>
          <w:rtl/>
        </w:rPr>
        <w:t>–</w:t>
      </w:r>
      <w:r w:rsidRPr="00351A28">
        <w:rPr>
          <w:rFonts w:hint="cs"/>
          <w:sz w:val="20"/>
          <w:szCs w:val="20"/>
          <w:rtl/>
        </w:rPr>
        <w:t xml:space="preserve"> האיסור אינו נובע מהערכה מה יהיו התוצאות הצפויות, אלא מקביעה א-פריורית</w:t>
      </w:r>
      <w:r>
        <w:rPr>
          <w:rFonts w:hint="cs"/>
          <w:sz w:val="20"/>
          <w:szCs w:val="20"/>
          <w:rtl/>
        </w:rPr>
        <w:t xml:space="preserve"> [קביעה עקרונית מראש]</w:t>
      </w:r>
      <w:r w:rsidRPr="00351A28">
        <w:rPr>
          <w:rFonts w:hint="cs"/>
          <w:sz w:val="20"/>
          <w:szCs w:val="20"/>
          <w:rtl/>
        </w:rPr>
        <w:t xml:space="preserve"> שאסור. </w:t>
      </w:r>
    </w:p>
    <w:p w:rsidR="005366A8" w:rsidRPr="00351A28" w:rsidRDefault="005366A8" w:rsidP="005366A8">
      <w:pPr>
        <w:rPr>
          <w:sz w:val="20"/>
          <w:szCs w:val="20"/>
          <w:rtl/>
        </w:rPr>
      </w:pPr>
    </w:p>
    <w:p w:rsidR="005366A8" w:rsidRPr="00351A28" w:rsidRDefault="005366A8" w:rsidP="005366A8">
      <w:pPr>
        <w:rPr>
          <w:sz w:val="20"/>
          <w:szCs w:val="20"/>
          <w:rtl/>
        </w:rPr>
      </w:pPr>
      <w:r w:rsidRPr="00351A28">
        <w:rPr>
          <w:rFonts w:hint="cs"/>
          <w:sz w:val="20"/>
          <w:szCs w:val="20"/>
          <w:rtl/>
        </w:rPr>
        <w:t xml:space="preserve">2. מאפיין מעניין של ההכרעה הוא בקביעה שהאיסור נובע מהכרה בזכות יסוד לכבוד. זו קביעה מעניינת. למשל, בהקשר של איסורים על חופש ביטוי או זכות להיבחר, אין מקובל לבססם על הכרה בזכות יסוד לכבוד. אם כבר, הכיוון הוא הפוך </w:t>
      </w:r>
      <w:r w:rsidRPr="00351A28">
        <w:rPr>
          <w:sz w:val="20"/>
          <w:szCs w:val="20"/>
          <w:rtl/>
        </w:rPr>
        <w:t>–</w:t>
      </w:r>
      <w:r w:rsidRPr="00351A28">
        <w:rPr>
          <w:rFonts w:hint="cs"/>
          <w:sz w:val="20"/>
          <w:szCs w:val="20"/>
          <w:rtl/>
        </w:rPr>
        <w:t xml:space="preserve"> יש זכות יסוד לחופש ביטוי וצריך לבסס את הפגיעה. כאן הכיוון הוא שאין זכות לחופש עיסוק, ולמעשה יש זכות יסוד </w:t>
      </w:r>
      <w:r>
        <w:rPr>
          <w:rFonts w:hint="cs"/>
          <w:sz w:val="20"/>
          <w:szCs w:val="20"/>
          <w:rtl/>
        </w:rPr>
        <w:t xml:space="preserve">[לאסירים] </w:t>
      </w:r>
      <w:r w:rsidRPr="00351A28">
        <w:rPr>
          <w:rFonts w:hint="cs"/>
          <w:sz w:val="20"/>
          <w:szCs w:val="20"/>
          <w:rtl/>
        </w:rPr>
        <w:t>לכך שיוטל איסור על עיסוק מסוים.</w:t>
      </w:r>
    </w:p>
    <w:p w:rsidR="005366A8" w:rsidRPr="00351A28" w:rsidRDefault="005366A8" w:rsidP="005366A8">
      <w:pPr>
        <w:rPr>
          <w:sz w:val="20"/>
          <w:szCs w:val="20"/>
          <w:rtl/>
        </w:rPr>
      </w:pPr>
      <w:r w:rsidRPr="00351A28">
        <w:rPr>
          <w:rFonts w:hint="cs"/>
          <w:sz w:val="20"/>
          <w:szCs w:val="20"/>
          <w:rtl/>
        </w:rPr>
        <w:t>אני מבקש לדון בהשלכות של הגישה הזו, הן בהקשר של הפרטה והן בהקשר של זכויות אדם בכלל.</w:t>
      </w:r>
    </w:p>
    <w:p w:rsidR="005366A8" w:rsidRPr="00351A28" w:rsidRDefault="005366A8" w:rsidP="005366A8">
      <w:pPr>
        <w:rPr>
          <w:sz w:val="20"/>
          <w:szCs w:val="20"/>
          <w:rtl/>
        </w:rPr>
      </w:pPr>
    </w:p>
    <w:p w:rsidR="005366A8" w:rsidRPr="00351A28" w:rsidRDefault="005366A8" w:rsidP="005366A8">
      <w:pPr>
        <w:rPr>
          <w:sz w:val="20"/>
          <w:szCs w:val="20"/>
          <w:highlight w:val="yellow"/>
          <w:rtl/>
        </w:rPr>
      </w:pPr>
      <w:r w:rsidRPr="00351A28">
        <w:rPr>
          <w:rFonts w:hint="cs"/>
          <w:sz w:val="20"/>
          <w:szCs w:val="20"/>
          <w:rtl/>
        </w:rPr>
        <w:t xml:space="preserve">3. ביחס להפרטה: הבסיס כאן הוא הזכות לכבוד והזכות לחירות. הזכות נפגעת אם סמכות שלטונית, המופעלת אגב פגיעה באינטרס הנכלל בגדר זכות היסוד, מופעלת בדרך שנתפסת כבלתי לגיטימית. כלומר, </w:t>
      </w:r>
      <w:r w:rsidRPr="00351A28">
        <w:rPr>
          <w:rFonts w:hint="cs"/>
          <w:sz w:val="20"/>
          <w:szCs w:val="20"/>
          <w:highlight w:val="yellow"/>
          <w:rtl/>
        </w:rPr>
        <w:t>האיסור אינו דווקא על התוצאה הצפויה מאופן הפעלת הסמכות אלא על הדרך.</w:t>
      </w:r>
    </w:p>
    <w:p w:rsidR="005366A8" w:rsidRPr="00351A28" w:rsidRDefault="005366A8" w:rsidP="005366A8">
      <w:pPr>
        <w:rPr>
          <w:sz w:val="20"/>
          <w:szCs w:val="20"/>
          <w:rtl/>
        </w:rPr>
      </w:pPr>
      <w:r w:rsidRPr="00351A28">
        <w:rPr>
          <w:rFonts w:hint="cs"/>
          <w:sz w:val="20"/>
          <w:szCs w:val="20"/>
          <w:highlight w:val="yellow"/>
          <w:rtl/>
        </w:rPr>
        <w:t>כאן זה הופעל לעניין הפעלת הסמכות על-ידי גורם פרטי: מסחור הכליאה.</w:t>
      </w:r>
      <w:r w:rsidRPr="00351A28">
        <w:rPr>
          <w:rFonts w:hint="cs"/>
          <w:sz w:val="20"/>
          <w:szCs w:val="20"/>
          <w:rtl/>
        </w:rPr>
        <w:t xml:space="preserve"> </w:t>
      </w:r>
    </w:p>
    <w:p w:rsidR="005366A8" w:rsidRPr="00351A28" w:rsidRDefault="005366A8" w:rsidP="005366A8">
      <w:pPr>
        <w:rPr>
          <w:sz w:val="20"/>
          <w:szCs w:val="20"/>
          <w:rtl/>
        </w:rPr>
      </w:pPr>
      <w:r w:rsidRPr="00351A28">
        <w:rPr>
          <w:rFonts w:hint="cs"/>
          <w:sz w:val="20"/>
          <w:szCs w:val="20"/>
          <w:rtl/>
        </w:rPr>
        <w:t>הרחבות אפשריות</w:t>
      </w:r>
      <w:r>
        <w:rPr>
          <w:rFonts w:hint="cs"/>
          <w:sz w:val="20"/>
          <w:szCs w:val="20"/>
          <w:rtl/>
        </w:rPr>
        <w:t xml:space="preserve"> של איסור ההפרטה?</w:t>
      </w:r>
      <w:r w:rsidRPr="00351A28">
        <w:rPr>
          <w:rFonts w:hint="cs"/>
          <w:sz w:val="20"/>
          <w:szCs w:val="20"/>
          <w:rtl/>
        </w:rPr>
        <w:t xml:space="preserve">: מסחר שירותי רפואה או שירותי חינוך. </w:t>
      </w:r>
    </w:p>
    <w:p w:rsidR="005366A8" w:rsidRDefault="005366A8" w:rsidP="005366A8">
      <w:pPr>
        <w:rPr>
          <w:sz w:val="20"/>
          <w:szCs w:val="20"/>
          <w:rtl/>
        </w:rPr>
      </w:pPr>
      <w:r w:rsidRPr="00351A28">
        <w:rPr>
          <w:rFonts w:hint="cs"/>
          <w:sz w:val="20"/>
          <w:szCs w:val="20"/>
          <w:rtl/>
        </w:rPr>
        <w:t xml:space="preserve">עצם העובדה שהשירות מסופק על-ידי גורם פרטי, בדרך מסחרית, בעייתי. </w:t>
      </w:r>
    </w:p>
    <w:p w:rsidR="005366A8" w:rsidRPr="00351A28" w:rsidRDefault="005366A8" w:rsidP="005366A8">
      <w:pPr>
        <w:rPr>
          <w:sz w:val="20"/>
          <w:szCs w:val="20"/>
          <w:rtl/>
        </w:rPr>
      </w:pPr>
      <w:r w:rsidRPr="00351A28">
        <w:rPr>
          <w:rFonts w:hint="cs"/>
          <w:sz w:val="20"/>
          <w:szCs w:val="20"/>
          <w:rtl/>
        </w:rPr>
        <w:t xml:space="preserve">למשל, תרופות </w:t>
      </w:r>
      <w:r w:rsidRPr="00351A28">
        <w:rPr>
          <w:sz w:val="20"/>
          <w:szCs w:val="20"/>
          <w:rtl/>
        </w:rPr>
        <w:t>–</w:t>
      </w:r>
      <w:r w:rsidRPr="00351A28">
        <w:rPr>
          <w:rFonts w:hint="cs"/>
          <w:sz w:val="20"/>
          <w:szCs w:val="20"/>
          <w:rtl/>
        </w:rPr>
        <w:t xml:space="preserve"> האם אפשרית הספקה פרטית?</w:t>
      </w:r>
    </w:p>
    <w:p w:rsidR="005366A8" w:rsidRPr="00351A28" w:rsidRDefault="005366A8" w:rsidP="005366A8">
      <w:pPr>
        <w:rPr>
          <w:sz w:val="20"/>
          <w:szCs w:val="20"/>
          <w:rtl/>
        </w:rPr>
      </w:pPr>
      <w:r w:rsidRPr="00351A28">
        <w:rPr>
          <w:rFonts w:hint="cs"/>
          <w:sz w:val="20"/>
          <w:szCs w:val="20"/>
          <w:rtl/>
        </w:rPr>
        <w:t xml:space="preserve">זו הרחבה של הגישה המקובלת נגד הפרטה, שעניינה </w:t>
      </w:r>
      <w:r w:rsidRPr="00351A28">
        <w:rPr>
          <w:rFonts w:hint="cs"/>
          <w:b/>
          <w:bCs/>
          <w:sz w:val="20"/>
          <w:szCs w:val="20"/>
          <w:rtl/>
        </w:rPr>
        <w:t>תוצאות צפויות</w:t>
      </w:r>
      <w:r>
        <w:rPr>
          <w:rFonts w:hint="cs"/>
          <w:sz w:val="20"/>
          <w:szCs w:val="20"/>
          <w:rtl/>
        </w:rPr>
        <w:t xml:space="preserve"> (</w:t>
      </w:r>
      <w:r w:rsidRPr="00351A28">
        <w:rPr>
          <w:rFonts w:hint="cs"/>
          <w:sz w:val="20"/>
          <w:szCs w:val="20"/>
          <w:rtl/>
        </w:rPr>
        <w:t>כמו פגיעה בשוויון או יחס לא ראוי</w:t>
      </w:r>
      <w:r>
        <w:rPr>
          <w:rFonts w:hint="cs"/>
          <w:sz w:val="20"/>
          <w:szCs w:val="20"/>
          <w:rtl/>
        </w:rPr>
        <w:t>)</w:t>
      </w:r>
      <w:r w:rsidRPr="00351A28">
        <w:rPr>
          <w:rFonts w:hint="cs"/>
          <w:sz w:val="20"/>
          <w:szCs w:val="20"/>
          <w:rtl/>
        </w:rPr>
        <w:t xml:space="preserve"> ל</w:t>
      </w:r>
      <w:r>
        <w:rPr>
          <w:rFonts w:hint="cs"/>
          <w:sz w:val="20"/>
          <w:szCs w:val="20"/>
          <w:rtl/>
        </w:rPr>
        <w:t xml:space="preserve">עבר </w:t>
      </w:r>
      <w:r w:rsidRPr="00351A28">
        <w:rPr>
          <w:rFonts w:hint="cs"/>
          <w:b/>
          <w:bCs/>
          <w:sz w:val="20"/>
          <w:szCs w:val="20"/>
          <w:rtl/>
        </w:rPr>
        <w:t>איסור עקרוני</w:t>
      </w:r>
      <w:r w:rsidRPr="00351A28">
        <w:rPr>
          <w:rFonts w:hint="cs"/>
          <w:sz w:val="20"/>
          <w:szCs w:val="20"/>
          <w:rtl/>
        </w:rPr>
        <w:t>.</w:t>
      </w:r>
    </w:p>
    <w:p w:rsidR="005366A8" w:rsidRPr="00351A28" w:rsidRDefault="005366A8" w:rsidP="005366A8">
      <w:pPr>
        <w:rPr>
          <w:sz w:val="20"/>
          <w:szCs w:val="20"/>
          <w:rtl/>
        </w:rPr>
      </w:pPr>
    </w:p>
    <w:p w:rsidR="005366A8" w:rsidRPr="00351A28" w:rsidRDefault="005366A8" w:rsidP="005366A8">
      <w:pPr>
        <w:rPr>
          <w:sz w:val="20"/>
          <w:szCs w:val="20"/>
          <w:rtl/>
        </w:rPr>
      </w:pPr>
      <w:r w:rsidRPr="00351A28">
        <w:rPr>
          <w:rFonts w:hint="cs"/>
          <w:sz w:val="20"/>
          <w:szCs w:val="20"/>
          <w:rtl/>
        </w:rPr>
        <w:t>4. כמו אילוץ דאונטולוגי אחר, גם כאן יש הכרה בסף. ההפרה של האילוץ עשויה להיות מוצדקת אם יש מספיק תועלת מכך. בית-המשפט התמקד בשאלת החיסכון הכספי. אבל יתכן שיש גם פגיעה בשירות שמקבלים האסירים</w:t>
      </w:r>
      <w:r>
        <w:rPr>
          <w:rFonts w:hint="cs"/>
          <w:sz w:val="20"/>
          <w:szCs w:val="20"/>
          <w:rtl/>
        </w:rPr>
        <w:t xml:space="preserve"> [במתכונת הרגילה, של בתי הסוהר המדינתיים]</w:t>
      </w:r>
      <w:r w:rsidRPr="00351A28">
        <w:rPr>
          <w:rFonts w:hint="cs"/>
          <w:sz w:val="20"/>
          <w:szCs w:val="20"/>
          <w:rtl/>
        </w:rPr>
        <w:t>. השאלה בהקשר זה היא מהי התועלת נטו, ודבריו של לוי מכוונים לכך.</w:t>
      </w:r>
    </w:p>
    <w:p w:rsidR="005366A8" w:rsidRPr="00351A28" w:rsidRDefault="005366A8" w:rsidP="005366A8">
      <w:pPr>
        <w:rPr>
          <w:sz w:val="20"/>
          <w:szCs w:val="20"/>
          <w:rtl/>
        </w:rPr>
      </w:pPr>
      <w:r w:rsidRPr="00351A28">
        <w:rPr>
          <w:rFonts w:hint="cs"/>
          <w:sz w:val="20"/>
          <w:szCs w:val="20"/>
          <w:rtl/>
        </w:rPr>
        <w:t>יש כאן קושי מובנה</w:t>
      </w:r>
      <w:r>
        <w:rPr>
          <w:rFonts w:hint="cs"/>
          <w:sz w:val="20"/>
          <w:szCs w:val="20"/>
          <w:rtl/>
        </w:rPr>
        <w:t xml:space="preserve"> [לטיעון העיקרי של בית המשפט]</w:t>
      </w:r>
      <w:r w:rsidRPr="00351A28">
        <w:rPr>
          <w:rFonts w:hint="cs"/>
          <w:sz w:val="20"/>
          <w:szCs w:val="20"/>
          <w:rtl/>
        </w:rPr>
        <w:t>, ש</w:t>
      </w:r>
      <w:r>
        <w:rPr>
          <w:rFonts w:hint="cs"/>
          <w:sz w:val="20"/>
          <w:szCs w:val="20"/>
          <w:rtl/>
        </w:rPr>
        <w:t>כן</w:t>
      </w:r>
      <w:r w:rsidRPr="00351A28">
        <w:rPr>
          <w:rFonts w:hint="cs"/>
          <w:sz w:val="20"/>
          <w:szCs w:val="20"/>
          <w:rtl/>
        </w:rPr>
        <w:t xml:space="preserve"> בירור שאלת התועלת מחייב</w:t>
      </w:r>
      <w:r>
        <w:rPr>
          <w:rFonts w:hint="cs"/>
          <w:sz w:val="20"/>
          <w:szCs w:val="20"/>
          <w:rtl/>
        </w:rPr>
        <w:t>ת</w:t>
      </w:r>
      <w:r w:rsidRPr="00351A28">
        <w:rPr>
          <w:rFonts w:hint="cs"/>
          <w:sz w:val="20"/>
          <w:szCs w:val="20"/>
          <w:rtl/>
        </w:rPr>
        <w:t xml:space="preserve"> הכרה (זיהוי) של כישלון הפיקוח המינהלי-שלטוני, השיפוטי והפרלמנטארי להבטיח שירות ראוי לכלואים.</w:t>
      </w:r>
    </w:p>
    <w:p w:rsidR="005366A8" w:rsidRPr="00351A28" w:rsidRDefault="005366A8" w:rsidP="005366A8">
      <w:pPr>
        <w:rPr>
          <w:sz w:val="20"/>
          <w:szCs w:val="20"/>
          <w:rtl/>
        </w:rPr>
      </w:pPr>
    </w:p>
    <w:p w:rsidR="005366A8" w:rsidRPr="00351A28" w:rsidRDefault="005366A8" w:rsidP="005366A8">
      <w:pPr>
        <w:rPr>
          <w:sz w:val="20"/>
          <w:szCs w:val="20"/>
          <w:rtl/>
        </w:rPr>
      </w:pPr>
      <w:r w:rsidRPr="00351A28">
        <w:rPr>
          <w:rFonts w:hint="cs"/>
          <w:sz w:val="20"/>
          <w:szCs w:val="20"/>
          <w:rtl/>
        </w:rPr>
        <w:t>5. בהקשר רחב יותר, יש כאן הרחבה של זכויות אדם; הרחבה של ההגנה על זכויות במובן זה שאין כאן דרישה להוכחה שנגרע אינטרס מסוים ממשי של הפרט, אלא שדי בכך ש"היחס הנורמטיבי" אליו אינו עולה בקנה אחד עם דרישות חוקתיות כדי להכיר בקיומה של פגיעה חוקתית.</w:t>
      </w:r>
    </w:p>
    <w:p w:rsidR="005366A8" w:rsidRPr="00351A28" w:rsidRDefault="005366A8" w:rsidP="005366A8">
      <w:pPr>
        <w:rPr>
          <w:sz w:val="20"/>
          <w:szCs w:val="20"/>
          <w:rtl/>
        </w:rPr>
      </w:pPr>
      <w:r>
        <w:rPr>
          <w:rFonts w:hint="cs"/>
          <w:sz w:val="20"/>
          <w:szCs w:val="20"/>
          <w:rtl/>
        </w:rPr>
        <w:t>(</w:t>
      </w:r>
      <w:r w:rsidRPr="00351A28">
        <w:rPr>
          <w:rFonts w:hint="cs"/>
          <w:sz w:val="20"/>
          <w:szCs w:val="20"/>
          <w:rtl/>
        </w:rPr>
        <w:t xml:space="preserve">עם זאת, אין כאן ביסוס מלא לקו מחשבה זה, שכן אין בפסק הדין הכרה מפורשת בכך שזו מהות הפגיעה שבה מדובר. הניסוח של הדברים בפסק הדין של השופטת ביניש אינו </w:t>
      </w:r>
      <w:r>
        <w:rPr>
          <w:rFonts w:hint="cs"/>
          <w:sz w:val="20"/>
          <w:szCs w:val="20"/>
          <w:rtl/>
        </w:rPr>
        <w:t xml:space="preserve">מאד </w:t>
      </w:r>
      <w:r w:rsidRPr="00351A28">
        <w:rPr>
          <w:rFonts w:hint="cs"/>
          <w:sz w:val="20"/>
          <w:szCs w:val="20"/>
          <w:rtl/>
        </w:rPr>
        <w:t>חד משמעי בהקשר זה.</w:t>
      </w:r>
      <w:r>
        <w:rPr>
          <w:rFonts w:hint="cs"/>
          <w:sz w:val="20"/>
          <w:szCs w:val="20"/>
          <w:rtl/>
        </w:rPr>
        <w:t>)</w:t>
      </w:r>
      <w:r w:rsidRPr="00351A28">
        <w:rPr>
          <w:sz w:val="20"/>
          <w:szCs w:val="20"/>
          <w:rtl/>
        </w:rPr>
        <w:t xml:space="preserve"> </w:t>
      </w:r>
    </w:p>
    <w:p w:rsidR="005366A8" w:rsidRDefault="005366A8" w:rsidP="005366A8">
      <w:pPr>
        <w:rPr>
          <w:rtl/>
        </w:rPr>
      </w:pPr>
    </w:p>
    <w:p w:rsidR="005366A8" w:rsidRDefault="005366A8" w:rsidP="005366A8">
      <w:pPr>
        <w:rPr>
          <w:rFonts w:ascii="Arial" w:hAnsi="Arial" w:cs="Arial"/>
          <w:rtl/>
        </w:rPr>
      </w:pPr>
      <w:r>
        <w:rPr>
          <w:rFonts w:ascii="Arial" w:hAnsi="Arial" w:cs="Arial" w:hint="cs"/>
          <w:rtl/>
        </w:rPr>
        <w:t>=-=</w:t>
      </w:r>
    </w:p>
    <w:p w:rsidR="005366A8" w:rsidRPr="00F14EF7" w:rsidRDefault="005366A8" w:rsidP="005366A8">
      <w:pPr>
        <w:pStyle w:val="BodyText2"/>
        <w:spacing w:after="120"/>
        <w:jc w:val="center"/>
        <w:rPr>
          <w:rFonts w:cs="Guttman-Soncino"/>
          <w:b/>
          <w:bCs/>
          <w:sz w:val="28"/>
          <w:szCs w:val="28"/>
          <w:highlight w:val="yellow"/>
          <w:u w:val="single"/>
          <w:rtl/>
        </w:rPr>
      </w:pPr>
      <w:r w:rsidRPr="00F14EF7">
        <w:rPr>
          <w:rFonts w:cs="Guttman-Soncino" w:hint="cs"/>
          <w:b/>
          <w:bCs/>
          <w:sz w:val="28"/>
          <w:szCs w:val="28"/>
          <w:highlight w:val="yellow"/>
          <w:u w:val="single"/>
          <w:rtl/>
        </w:rPr>
        <w:t>"</w:t>
      </w:r>
      <w:r w:rsidRPr="00F14EF7">
        <w:rPr>
          <w:rFonts w:cs="Guttman-Soncino"/>
          <w:b/>
          <w:bCs/>
          <w:sz w:val="28"/>
          <w:szCs w:val="28"/>
          <w:highlight w:val="yellow"/>
          <w:u w:val="single"/>
          <w:rtl/>
        </w:rPr>
        <w:t>פסקת ההתגברות</w:t>
      </w:r>
      <w:r w:rsidRPr="00F14EF7">
        <w:rPr>
          <w:rFonts w:cs="Guttman-Soncino" w:hint="cs"/>
          <w:b/>
          <w:bCs/>
          <w:sz w:val="28"/>
          <w:szCs w:val="28"/>
          <w:highlight w:val="yellow"/>
          <w:u w:val="single"/>
          <w:rtl/>
        </w:rPr>
        <w:t xml:space="preserve">" </w:t>
      </w:r>
      <w:r w:rsidRPr="00F14EF7">
        <w:rPr>
          <w:rFonts w:cs="Guttman-Soncino"/>
          <w:b/>
          <w:bCs/>
          <w:sz w:val="28"/>
          <w:szCs w:val="28"/>
          <w:highlight w:val="yellow"/>
          <w:u w:val="single"/>
          <w:rtl/>
        </w:rPr>
        <w:t>–</w:t>
      </w:r>
      <w:r w:rsidRPr="00F14EF7">
        <w:rPr>
          <w:rFonts w:cs="Guttman-Soncino" w:hint="cs"/>
          <w:b/>
          <w:bCs/>
          <w:sz w:val="28"/>
          <w:szCs w:val="28"/>
          <w:highlight w:val="yellow"/>
          <w:u w:val="single"/>
          <w:rtl/>
        </w:rPr>
        <w:t xml:space="preserve"> </w:t>
      </w:r>
      <w:r w:rsidRPr="00F14EF7">
        <w:rPr>
          <w:rFonts w:cs="Guttman-Soncino"/>
          <w:b/>
          <w:bCs/>
          <w:sz w:val="28"/>
          <w:szCs w:val="28"/>
          <w:highlight w:val="yellow"/>
          <w:u w:val="single"/>
          <w:rtl/>
        </w:rPr>
        <w:t>סע' 8 לחוק-יסוד: חופש העיסוק</w:t>
      </w:r>
    </w:p>
    <w:p w:rsidR="005366A8" w:rsidRPr="00F14EF7" w:rsidRDefault="005366A8" w:rsidP="005366A8">
      <w:pPr>
        <w:pStyle w:val="BodyText2"/>
        <w:spacing w:after="240"/>
        <w:jc w:val="center"/>
        <w:rPr>
          <w:rFonts w:cs="Guttman-Soncino"/>
          <w:b/>
          <w:bCs/>
          <w:sz w:val="28"/>
          <w:szCs w:val="28"/>
          <w:u w:val="single"/>
          <w:rtl/>
        </w:rPr>
      </w:pPr>
      <w:r w:rsidRPr="00F14EF7">
        <w:rPr>
          <w:rFonts w:cs="Guttman-Soncino" w:hint="cs"/>
          <w:b/>
          <w:bCs/>
          <w:sz w:val="28"/>
          <w:szCs w:val="28"/>
          <w:highlight w:val="yellow"/>
          <w:u w:val="single"/>
          <w:rtl/>
        </w:rPr>
        <w:t xml:space="preserve">והסיטואציה של הוראת חוק הפוגעת בכמה זכויות יסוד חוקתיות </w:t>
      </w:r>
      <w:r w:rsidRPr="00F14EF7">
        <w:rPr>
          <w:rFonts w:cs="Guttman-Soncino"/>
          <w:b/>
          <w:bCs/>
          <w:sz w:val="28"/>
          <w:szCs w:val="28"/>
          <w:highlight w:val="yellow"/>
          <w:u w:val="single"/>
          <w:rtl/>
        </w:rPr>
        <w:t>–</w:t>
      </w:r>
      <w:r w:rsidRPr="00F14EF7">
        <w:rPr>
          <w:rFonts w:cs="Guttman-Soncino" w:hint="cs"/>
          <w:b/>
          <w:bCs/>
          <w:sz w:val="28"/>
          <w:szCs w:val="28"/>
          <w:highlight w:val="yellow"/>
          <w:u w:val="single"/>
          <w:rtl/>
        </w:rPr>
        <w:t xml:space="preserve"> פס"ד </w:t>
      </w:r>
      <w:r w:rsidRPr="00F14EF7">
        <w:rPr>
          <w:rFonts w:cs="Guttman-Soncino" w:hint="cs"/>
          <w:b/>
          <w:bCs/>
          <w:i/>
          <w:iCs/>
          <w:sz w:val="28"/>
          <w:szCs w:val="28"/>
          <w:highlight w:val="yellow"/>
          <w:u w:val="single"/>
          <w:rtl/>
        </w:rPr>
        <w:t>מיטראל</w:t>
      </w:r>
    </w:p>
    <w:p w:rsidR="005366A8" w:rsidRPr="005C1E7B" w:rsidRDefault="005366A8" w:rsidP="005366A8">
      <w:pPr>
        <w:pStyle w:val="BodyText2"/>
        <w:jc w:val="center"/>
        <w:rPr>
          <w:b/>
          <w:bCs/>
          <w:u w:val="single"/>
          <w:rtl/>
        </w:rPr>
      </w:pPr>
      <w:r w:rsidRPr="005C1E7B">
        <w:rPr>
          <w:rFonts w:hint="cs"/>
          <w:b/>
          <w:bCs/>
          <w:u w:val="single"/>
          <w:rtl/>
        </w:rPr>
        <w:t>חוק יסוד: חופש העיסוק</w:t>
      </w:r>
    </w:p>
    <w:p w:rsidR="005366A8" w:rsidRPr="005C1E7B" w:rsidRDefault="005366A8" w:rsidP="005366A8">
      <w:pPr>
        <w:pStyle w:val="BodyText2"/>
        <w:jc w:val="left"/>
        <w:rPr>
          <w:rFonts w:cs="David"/>
          <w:sz w:val="22"/>
          <w:rtl/>
        </w:rPr>
      </w:pPr>
      <w:r w:rsidRPr="005C1E7B">
        <w:rPr>
          <w:rFonts w:cs="David" w:hint="cs"/>
          <w:sz w:val="22"/>
          <w:rtl/>
        </w:rPr>
        <w:t xml:space="preserve">8. </w:t>
      </w:r>
      <w:r w:rsidRPr="005C1E7B">
        <w:rPr>
          <w:rFonts w:cs="David"/>
          <w:sz w:val="22"/>
          <w:rtl/>
        </w:rPr>
        <w:t xml:space="preserve">[תוקפו של חוק חורג:] </w:t>
      </w:r>
    </w:p>
    <w:tbl>
      <w:tblPr>
        <w:bidiVisual/>
        <w:tblW w:w="4500" w:type="pct"/>
        <w:jc w:val="center"/>
        <w:tblCellSpacing w:w="22" w:type="dxa"/>
        <w:tblCellMar>
          <w:top w:w="60" w:type="dxa"/>
          <w:left w:w="60" w:type="dxa"/>
          <w:bottom w:w="60" w:type="dxa"/>
          <w:right w:w="60" w:type="dxa"/>
        </w:tblCellMar>
        <w:tblLook w:val="0000"/>
      </w:tblPr>
      <w:tblGrid>
        <w:gridCol w:w="8766"/>
        <w:gridCol w:w="170"/>
        <w:gridCol w:w="192"/>
      </w:tblGrid>
      <w:tr w:rsidR="005366A8" w:rsidRPr="005C1E7B" w:rsidTr="001845AC">
        <w:trPr>
          <w:tblCellSpacing w:w="22" w:type="dxa"/>
          <w:jc w:val="center"/>
        </w:trPr>
        <w:tc>
          <w:tcPr>
            <w:tcW w:w="0" w:type="auto"/>
            <w:shd w:val="clear" w:color="auto" w:fill="auto"/>
          </w:tcPr>
          <w:p w:rsidR="005366A8" w:rsidRPr="005C1E7B" w:rsidRDefault="005366A8" w:rsidP="001845AC">
            <w:pPr>
              <w:pStyle w:val="BodyText2"/>
              <w:rPr>
                <w:rFonts w:cs="David"/>
              </w:rPr>
            </w:pPr>
            <w:r>
              <w:rPr>
                <w:rFonts w:cs="David" w:hint="cs"/>
                <w:rtl/>
              </w:rPr>
              <w:t xml:space="preserve">(א) </w:t>
            </w:r>
            <w:r w:rsidRPr="005C1E7B">
              <w:rPr>
                <w:rFonts w:cs="David"/>
                <w:rtl/>
              </w:rPr>
              <w:t>הוראת חוק הפוגעת בחופש העיסוק תהיה תקפה אף כשאינה בהתאם לסעיף 4, אם נכללה בחוק שנתקבל ברוב של חברי הכנסת ונאמר בו במפורש, שהוא תקף על אף האמור בחוק-יסוד זה; תוקפו של חוק כאמור יפקע בתום ארבע שנים מיום תחילתו, זולת אם נקבע בו מועד מוקדם יותר.</w:t>
            </w:r>
          </w:p>
        </w:tc>
        <w:tc>
          <w:tcPr>
            <w:tcW w:w="0" w:type="auto"/>
            <w:shd w:val="clear" w:color="auto" w:fill="auto"/>
          </w:tcPr>
          <w:p w:rsidR="005366A8" w:rsidRPr="005C1E7B" w:rsidRDefault="005366A8" w:rsidP="001845AC">
            <w:pPr>
              <w:pStyle w:val="BodyText2"/>
              <w:jc w:val="center"/>
              <w:rPr>
                <w:rFonts w:cs="FrankRuehl"/>
              </w:rPr>
            </w:pPr>
          </w:p>
        </w:tc>
        <w:tc>
          <w:tcPr>
            <w:tcW w:w="0" w:type="auto"/>
            <w:shd w:val="clear" w:color="auto" w:fill="auto"/>
          </w:tcPr>
          <w:p w:rsidR="005366A8" w:rsidRPr="005C1E7B" w:rsidRDefault="005366A8" w:rsidP="001845AC">
            <w:pPr>
              <w:pStyle w:val="BodyText2"/>
              <w:jc w:val="center"/>
              <w:rPr>
                <w:rFonts w:cs="FrankRuehl"/>
              </w:rPr>
            </w:pPr>
          </w:p>
        </w:tc>
      </w:tr>
      <w:tr w:rsidR="005366A8" w:rsidRPr="005C1E7B" w:rsidTr="001845AC">
        <w:trPr>
          <w:tblCellSpacing w:w="22" w:type="dxa"/>
          <w:jc w:val="center"/>
        </w:trPr>
        <w:tc>
          <w:tcPr>
            <w:tcW w:w="0" w:type="auto"/>
            <w:shd w:val="clear" w:color="auto" w:fill="auto"/>
          </w:tcPr>
          <w:p w:rsidR="005366A8" w:rsidRPr="005C1E7B" w:rsidRDefault="005366A8" w:rsidP="001845AC">
            <w:pPr>
              <w:pStyle w:val="BodyText2"/>
              <w:rPr>
                <w:rFonts w:cs="David"/>
              </w:rPr>
            </w:pPr>
            <w:r>
              <w:rPr>
                <w:rFonts w:cs="David" w:hint="cs"/>
                <w:rtl/>
              </w:rPr>
              <w:t xml:space="preserve">(ב) </w:t>
            </w:r>
            <w:r w:rsidRPr="005C1E7B">
              <w:rPr>
                <w:rFonts w:cs="David"/>
                <w:rtl/>
              </w:rPr>
              <w:t>ההוראה בדבר פקיעת תוקף, כאמור בסעיף קטן (א), לא תחול על חוק שהתקבל לפני תום שנה ממועד תחילתו של חוק-יסוד זה.</w:t>
            </w:r>
          </w:p>
        </w:tc>
        <w:tc>
          <w:tcPr>
            <w:tcW w:w="0" w:type="auto"/>
            <w:shd w:val="clear" w:color="auto" w:fill="auto"/>
          </w:tcPr>
          <w:p w:rsidR="005366A8" w:rsidRPr="005C1E7B" w:rsidRDefault="005366A8" w:rsidP="001845AC">
            <w:pPr>
              <w:pStyle w:val="BodyText2"/>
              <w:jc w:val="center"/>
              <w:rPr>
                <w:rFonts w:cs="FrankRuehl"/>
              </w:rPr>
            </w:pPr>
          </w:p>
        </w:tc>
        <w:tc>
          <w:tcPr>
            <w:tcW w:w="0" w:type="auto"/>
            <w:shd w:val="clear" w:color="auto" w:fill="auto"/>
          </w:tcPr>
          <w:p w:rsidR="005366A8" w:rsidRPr="005C1E7B" w:rsidRDefault="005366A8" w:rsidP="001845AC">
            <w:pPr>
              <w:pStyle w:val="BodyText2"/>
              <w:jc w:val="center"/>
              <w:rPr>
                <w:rFonts w:cs="FrankRuehl"/>
              </w:rPr>
            </w:pPr>
          </w:p>
        </w:tc>
      </w:tr>
    </w:tbl>
    <w:p w:rsidR="005366A8" w:rsidRDefault="005366A8" w:rsidP="005366A8">
      <w:pPr>
        <w:pStyle w:val="BodyText2"/>
        <w:jc w:val="center"/>
        <w:rPr>
          <w:rFonts w:cs="FrankRuehl"/>
        </w:rPr>
      </w:pPr>
      <w:r w:rsidRPr="00673D7B">
        <w:rPr>
          <w:rFonts w:cs="FrankRuehl" w:hint="cs"/>
          <w:highlight w:val="yellow"/>
          <w:rtl/>
        </w:rPr>
        <w:t xml:space="preserve">סעיף זה מעגן את מי שקרויה </w:t>
      </w:r>
      <w:r w:rsidRPr="00673D7B">
        <w:rPr>
          <w:rFonts w:cs="FrankRuehl" w:hint="cs"/>
          <w:highlight w:val="yellow"/>
          <w:u w:val="single"/>
          <w:rtl/>
        </w:rPr>
        <w:t>"פסקת ההתגברות"</w:t>
      </w:r>
      <w:r w:rsidRPr="00673D7B">
        <w:rPr>
          <w:rFonts w:cs="FrankRuehl" w:hint="cs"/>
          <w:highlight w:val="yellow"/>
          <w:rtl/>
        </w:rPr>
        <w:t xml:space="preserve"> (</w:t>
      </w:r>
      <w:r w:rsidRPr="00673D7B">
        <w:rPr>
          <w:rFonts w:cs="FrankRuehl"/>
          <w:highlight w:val="yellow"/>
        </w:rPr>
        <w:t>(notwithstanding clause</w:t>
      </w:r>
    </w:p>
    <w:p w:rsidR="005366A8" w:rsidRDefault="005366A8" w:rsidP="005366A8">
      <w:pPr>
        <w:pStyle w:val="BodyText2"/>
        <w:jc w:val="center"/>
        <w:rPr>
          <w:rFonts w:cs="FrankRuehl"/>
          <w:rtl/>
        </w:rPr>
      </w:pPr>
    </w:p>
    <w:p w:rsidR="005366A8" w:rsidRDefault="005366A8" w:rsidP="005366A8">
      <w:pPr>
        <w:pStyle w:val="BodyText2"/>
        <w:jc w:val="center"/>
        <w:rPr>
          <w:rFonts w:cs="FrankRuehl"/>
          <w:rtl/>
        </w:rPr>
      </w:pPr>
      <w:r w:rsidRPr="0064523F">
        <w:rPr>
          <w:rFonts w:cs="FrankRuehl"/>
          <w:rtl/>
        </w:rPr>
        <w:t xml:space="preserve">הוראת חוק הפוגעת בחופש העיסוק תהיה תקפה אף כשאינה בהתאם לסעיף 4, </w:t>
      </w:r>
    </w:p>
    <w:p w:rsidR="005366A8" w:rsidRDefault="005366A8" w:rsidP="005366A8">
      <w:pPr>
        <w:pStyle w:val="BodyText2"/>
        <w:jc w:val="center"/>
        <w:rPr>
          <w:rFonts w:cs="FrankRuehl"/>
          <w:rtl/>
        </w:rPr>
      </w:pPr>
      <w:r>
        <w:rPr>
          <w:rFonts w:cs="FrankRuehl" w:hint="cs"/>
          <w:rtl/>
        </w:rPr>
        <w:t xml:space="preserve">א. </w:t>
      </w:r>
      <w:r w:rsidRPr="0064523F">
        <w:rPr>
          <w:rFonts w:cs="FrankRuehl"/>
          <w:rtl/>
        </w:rPr>
        <w:t xml:space="preserve">אם נכללה בחוק שנתקבל ברוב של חברי הכנסת </w:t>
      </w:r>
    </w:p>
    <w:p w:rsidR="005366A8" w:rsidRDefault="005366A8" w:rsidP="005366A8">
      <w:pPr>
        <w:pStyle w:val="BodyText2"/>
        <w:jc w:val="center"/>
        <w:rPr>
          <w:rFonts w:cs="FrankRuehl"/>
          <w:rtl/>
        </w:rPr>
      </w:pPr>
      <w:r>
        <w:rPr>
          <w:rFonts w:cs="FrankRuehl" w:hint="cs"/>
          <w:rtl/>
        </w:rPr>
        <w:t xml:space="preserve">ב. </w:t>
      </w:r>
      <w:r w:rsidRPr="0064523F">
        <w:rPr>
          <w:rFonts w:cs="FrankRuehl"/>
          <w:rtl/>
        </w:rPr>
        <w:t xml:space="preserve">ונאמר בו במפורש, שהוא תקף על אף האמור בחוק-יסוד זה; </w:t>
      </w:r>
    </w:p>
    <w:p w:rsidR="005366A8" w:rsidRPr="0064523F" w:rsidRDefault="005366A8" w:rsidP="005366A8">
      <w:pPr>
        <w:pStyle w:val="BodyText2"/>
        <w:spacing w:after="120"/>
        <w:jc w:val="center"/>
        <w:rPr>
          <w:rFonts w:cs="FrankRuehl"/>
          <w:rtl/>
        </w:rPr>
      </w:pPr>
      <w:r>
        <w:rPr>
          <w:rFonts w:cs="FrankRuehl" w:hint="cs"/>
          <w:rtl/>
        </w:rPr>
        <w:t xml:space="preserve">ג. </w:t>
      </w:r>
      <w:r w:rsidRPr="0064523F">
        <w:rPr>
          <w:rFonts w:cs="FrankRuehl"/>
          <w:rtl/>
        </w:rPr>
        <w:t>תוקפו של חוק כאמור יפקע בתום ארבע שנים מיום תחילתו, זולת אם נקבע בו מועד מוקדם יותר.</w:t>
      </w:r>
    </w:p>
    <w:p w:rsidR="005366A8" w:rsidRPr="00F14EF7" w:rsidRDefault="005366A8" w:rsidP="005366A8">
      <w:pPr>
        <w:rPr>
          <w:sz w:val="22"/>
          <w:szCs w:val="22"/>
          <w:rtl/>
        </w:rPr>
      </w:pPr>
      <w:r w:rsidRPr="00F14EF7">
        <w:rPr>
          <w:rFonts w:hint="cs"/>
          <w:sz w:val="22"/>
          <w:szCs w:val="22"/>
          <w:highlight w:val="yellow"/>
          <w:rtl/>
        </w:rPr>
        <w:t>פסקה זו מופיעה רק בחוק יסוד: חופש העיסוק.</w:t>
      </w:r>
      <w:r w:rsidRPr="00F14EF7">
        <w:rPr>
          <w:rFonts w:hint="cs"/>
          <w:sz w:val="22"/>
          <w:szCs w:val="22"/>
          <w:rtl/>
        </w:rPr>
        <w:t xml:space="preserve"> </w:t>
      </w:r>
    </w:p>
    <w:p w:rsidR="005366A8" w:rsidRDefault="005366A8" w:rsidP="005366A8">
      <w:pPr>
        <w:rPr>
          <w:szCs w:val="22"/>
          <w:rtl/>
        </w:rPr>
      </w:pPr>
    </w:p>
    <w:p w:rsidR="005366A8" w:rsidRDefault="005366A8" w:rsidP="005366A8">
      <w:pPr>
        <w:rPr>
          <w:szCs w:val="22"/>
          <w:rtl/>
        </w:rPr>
      </w:pPr>
      <w:r w:rsidRPr="00247077">
        <w:rPr>
          <w:szCs w:val="22"/>
          <w:highlight w:val="yellow"/>
          <w:rtl/>
        </w:rPr>
        <w:t xml:space="preserve">בג"צ 4676/94 </w:t>
      </w:r>
      <w:r w:rsidRPr="00247077">
        <w:rPr>
          <w:b/>
          <w:bCs/>
          <w:szCs w:val="22"/>
          <w:highlight w:val="yellow"/>
          <w:rtl/>
        </w:rPr>
        <w:t>מיטראל בע"מ נ' כנסת ישראל</w:t>
      </w:r>
      <w:r w:rsidRPr="00247077">
        <w:rPr>
          <w:szCs w:val="22"/>
          <w:highlight w:val="yellow"/>
          <w:rtl/>
        </w:rPr>
        <w:t>, פ"ד נ(5) 15</w:t>
      </w:r>
      <w:r>
        <w:rPr>
          <w:rFonts w:hint="cs"/>
          <w:szCs w:val="22"/>
          <w:rtl/>
        </w:rPr>
        <w:t xml:space="preserve"> </w:t>
      </w:r>
      <w:r>
        <w:rPr>
          <w:szCs w:val="22"/>
          <w:rtl/>
        </w:rPr>
        <w:t>–</w:t>
      </w:r>
      <w:r>
        <w:rPr>
          <w:rFonts w:hint="cs"/>
          <w:szCs w:val="22"/>
          <w:rtl/>
        </w:rPr>
        <w:t xml:space="preserve"> "חוק חורג" </w:t>
      </w:r>
      <w:r>
        <w:rPr>
          <w:szCs w:val="22"/>
          <w:rtl/>
        </w:rPr>
        <w:t>–</w:t>
      </w:r>
      <w:r>
        <w:rPr>
          <w:rFonts w:hint="cs"/>
          <w:szCs w:val="22"/>
          <w:rtl/>
        </w:rPr>
        <w:t xml:space="preserve"> "על אף האמור בחוק יסוד זה":</w:t>
      </w:r>
    </w:p>
    <w:p w:rsidR="005366A8" w:rsidRDefault="005366A8" w:rsidP="005366A8">
      <w:pPr>
        <w:rPr>
          <w:sz w:val="20"/>
          <w:szCs w:val="20"/>
          <w:rtl/>
        </w:rPr>
      </w:pPr>
    </w:p>
    <w:p w:rsidR="005366A8" w:rsidRDefault="005366A8" w:rsidP="005366A8">
      <w:pPr>
        <w:rPr>
          <w:rFonts w:ascii="Arial" w:hAnsi="Arial" w:cs="Arial"/>
          <w:sz w:val="18"/>
          <w:szCs w:val="18"/>
          <w:rtl/>
        </w:rPr>
      </w:pPr>
      <w:r w:rsidRPr="00220449">
        <w:rPr>
          <w:rFonts w:ascii="Arial" w:hAnsi="Arial" w:cs="Arial"/>
          <w:sz w:val="18"/>
          <w:szCs w:val="18"/>
          <w:rtl/>
        </w:rPr>
        <w:t>[סוגיית תקפותו של חוק יבוא בשר קפוא, תשנ"ד-1994. מדובר בחוק שמונע ייבוא בשר שאינו כשר (זאת</w:t>
      </w:r>
      <w:r>
        <w:rPr>
          <w:rFonts w:ascii="Arial" w:hAnsi="Arial" w:cs="Arial" w:hint="cs"/>
          <w:sz w:val="18"/>
          <w:szCs w:val="18"/>
          <w:rtl/>
        </w:rPr>
        <w:t>, אגב,</w:t>
      </w:r>
      <w:r w:rsidRPr="00220449">
        <w:rPr>
          <w:rFonts w:ascii="Arial" w:hAnsi="Arial" w:cs="Arial"/>
          <w:sz w:val="18"/>
          <w:szCs w:val="18"/>
          <w:rtl/>
        </w:rPr>
        <w:t xml:space="preserve"> להבדיל משאלות של ייצור ושיווק מקומי של בשר שאינו כשר</w:t>
      </w:r>
      <w:r>
        <w:rPr>
          <w:rFonts w:ascii="Arial" w:hAnsi="Arial" w:cs="Arial" w:hint="cs"/>
          <w:sz w:val="18"/>
          <w:szCs w:val="18"/>
          <w:rtl/>
        </w:rPr>
        <w:t>, שמוסדרות חלקית באופן אחר</w:t>
      </w:r>
      <w:r w:rsidRPr="00220449">
        <w:rPr>
          <w:rFonts w:ascii="Arial" w:hAnsi="Arial" w:cs="Arial"/>
          <w:sz w:val="18"/>
          <w:szCs w:val="18"/>
          <w:rtl/>
        </w:rPr>
        <w:t xml:space="preserve">). ביחס לחוק הופעלה פסקת ההתגברות שבחוק יסוד: חופש העיסוק. </w:t>
      </w:r>
    </w:p>
    <w:p w:rsidR="005366A8" w:rsidRDefault="005366A8" w:rsidP="005366A8">
      <w:pPr>
        <w:ind w:left="720"/>
        <w:rPr>
          <w:rFonts w:ascii="Arial" w:hAnsi="Arial" w:cs="Arial"/>
          <w:sz w:val="18"/>
          <w:szCs w:val="18"/>
          <w:rtl/>
        </w:rPr>
      </w:pPr>
      <w:r w:rsidRPr="00220449">
        <w:rPr>
          <w:rFonts w:ascii="Arial" w:hAnsi="Arial" w:cs="Arial"/>
          <w:sz w:val="18"/>
          <w:szCs w:val="18"/>
          <w:rtl/>
        </w:rPr>
        <w:t>שאלת פסה"ד: מה מתרחש ביחס לחוק הפוגע במספר זכויות יסוד?</w:t>
      </w:r>
      <w:r>
        <w:rPr>
          <w:rFonts w:ascii="Arial" w:hAnsi="Arial" w:cs="Arial" w:hint="cs"/>
          <w:sz w:val="18"/>
          <w:szCs w:val="18"/>
          <w:rtl/>
        </w:rPr>
        <w:t xml:space="preserve"> </w:t>
      </w:r>
    </w:p>
    <w:p w:rsidR="005366A8" w:rsidRDefault="005366A8" w:rsidP="005366A8">
      <w:pPr>
        <w:ind w:left="720"/>
        <w:rPr>
          <w:rFonts w:ascii="Arial" w:hAnsi="Arial" w:cs="Arial"/>
          <w:sz w:val="18"/>
          <w:szCs w:val="18"/>
          <w:rtl/>
        </w:rPr>
      </w:pPr>
      <w:r>
        <w:rPr>
          <w:rFonts w:ascii="Arial" w:hAnsi="Arial" w:cs="Arial" w:hint="cs"/>
          <w:sz w:val="18"/>
          <w:szCs w:val="18"/>
          <w:rtl/>
        </w:rPr>
        <w:t>פסק הדין נוגע גם בשאלה של הביקורת המטא-טקסטואלית.</w:t>
      </w:r>
    </w:p>
    <w:p w:rsidR="005366A8" w:rsidRPr="00220449" w:rsidRDefault="005366A8" w:rsidP="005366A8">
      <w:pPr>
        <w:spacing w:after="120"/>
        <w:ind w:left="720"/>
        <w:rPr>
          <w:rFonts w:ascii="Arial" w:hAnsi="Arial" w:cs="Arial"/>
          <w:sz w:val="18"/>
          <w:szCs w:val="18"/>
          <w:rtl/>
        </w:rPr>
      </w:pPr>
      <w:r>
        <w:rPr>
          <w:rFonts w:ascii="Arial" w:hAnsi="Arial" w:cs="Arial" w:hint="cs"/>
          <w:sz w:val="18"/>
          <w:szCs w:val="18"/>
          <w:rtl/>
        </w:rPr>
        <w:t>(אגב, חוק זה לא מתחדש מידי ארבע שנים, בשל סעיף קטן (ב) של סע' 8)</w:t>
      </w:r>
      <w:r w:rsidRPr="00220449">
        <w:rPr>
          <w:rFonts w:ascii="Arial" w:hAnsi="Arial" w:cs="Arial"/>
          <w:sz w:val="18"/>
          <w:szCs w:val="18"/>
          <w:rtl/>
        </w:rPr>
        <w:t>]</w:t>
      </w:r>
    </w:p>
    <w:p w:rsidR="005366A8" w:rsidRPr="00F62266" w:rsidRDefault="005366A8" w:rsidP="005366A8">
      <w:pPr>
        <w:spacing w:after="60"/>
        <w:rPr>
          <w:rFonts w:cs="FrankRuehl"/>
          <w:sz w:val="22"/>
          <w:szCs w:val="22"/>
          <w:rtl/>
        </w:rPr>
      </w:pPr>
      <w:r w:rsidRPr="00F62266">
        <w:rPr>
          <w:rFonts w:cs="FrankRuehl"/>
          <w:sz w:val="22"/>
          <w:szCs w:val="22"/>
          <w:rtl/>
        </w:rPr>
        <w:t>16. [</w:t>
      </w:r>
      <w:r w:rsidRPr="00F62266">
        <w:rPr>
          <w:rFonts w:cs="FrankRuehl"/>
          <w:sz w:val="22"/>
          <w:szCs w:val="22"/>
        </w:rPr>
        <w:t>…</w:t>
      </w:r>
      <w:r w:rsidRPr="00F62266">
        <w:rPr>
          <w:rFonts w:cs="FrankRuehl"/>
          <w:sz w:val="22"/>
          <w:szCs w:val="22"/>
          <w:rtl/>
        </w:rPr>
        <w:t xml:space="preserve">] </w:t>
      </w:r>
      <w:r w:rsidRPr="00220449">
        <w:rPr>
          <w:rFonts w:cs="FrankRuehl"/>
          <w:sz w:val="22"/>
          <w:szCs w:val="22"/>
          <w:highlight w:val="yellow"/>
          <w:rtl/>
        </w:rPr>
        <w:t>גם אם נניח - בלא להכריע בדבר - כי קיימים עקרונות יסוד ומטרות אשר חוק חורג אינו יכול לפגוע בהם, הרי אלה הם בוודאי עקרונות יסוד ומטרות אשר כל המבנה החוקתי שלנו, לרבות חוקי היסוד עצמם, מושתתים עליהם, ואשר הפגיעה בהם היא מהותית וקשה</w:t>
      </w:r>
      <w:r w:rsidRPr="00F62266">
        <w:rPr>
          <w:rFonts w:cs="FrankRuehl"/>
          <w:sz w:val="22"/>
          <w:szCs w:val="22"/>
          <w:rtl/>
        </w:rPr>
        <w:t xml:space="preserve"> (השווה: [</w:t>
      </w:r>
      <w:r w:rsidRPr="00F62266">
        <w:rPr>
          <w:rFonts w:cs="FrankRuehl"/>
          <w:b/>
          <w:bCs/>
          <w:sz w:val="22"/>
          <w:szCs w:val="22"/>
          <w:rtl/>
        </w:rPr>
        <w:t>ירדור</w:t>
      </w:r>
      <w:r w:rsidRPr="00F62266">
        <w:rPr>
          <w:rFonts w:cs="FrankRuehl"/>
          <w:sz w:val="22"/>
          <w:szCs w:val="22"/>
          <w:rtl/>
        </w:rPr>
        <w:t>] [</w:t>
      </w:r>
      <w:r w:rsidRPr="00F62266">
        <w:rPr>
          <w:rFonts w:cs="FrankRuehl"/>
          <w:b/>
          <w:bCs/>
          <w:sz w:val="22"/>
          <w:szCs w:val="22"/>
          <w:rtl/>
        </w:rPr>
        <w:t>תנועת לאו"ר</w:t>
      </w:r>
      <w:r w:rsidRPr="00F62266">
        <w:rPr>
          <w:rFonts w:cs="FrankRuehl"/>
          <w:sz w:val="22"/>
          <w:szCs w:val="22"/>
          <w:rtl/>
        </w:rPr>
        <w:t>]). שאם לא כן, מתרוקנת פסקת ההתגברות מעיקר תוכנה. זה אינו המקרה שלפנינו.  הפגיעה בחופש העיסוק היא מוגבלת, שהרי פתוחה בפני העותרות האפשרות לעסוק ביבוא של בשר כשר, וזאת - בניגוד למצב שהיה לפני השינוי במדיניות הממשלה - בלא כל צורך ברשיונות יבוא. הפגיעה בקניין, בחופש המצפון ובשיוויון  - ככל שהיא חבויה בין קפליו של החוק - אין היא מגיעה כדי פגיעה באושיות המשטר החוקתי שלנו. מטעמים אלה דין טענתן הראשונה של העותרות להידחות.</w:t>
      </w:r>
    </w:p>
    <w:p w:rsidR="005366A8" w:rsidRDefault="005366A8" w:rsidP="005366A8">
      <w:pPr>
        <w:pStyle w:val="BodyText2"/>
        <w:spacing w:after="60"/>
        <w:rPr>
          <w:rFonts w:cs="FrankRuehl"/>
          <w:sz w:val="22"/>
          <w:rtl/>
        </w:rPr>
      </w:pPr>
      <w:r w:rsidRPr="00F62266">
        <w:rPr>
          <w:rFonts w:cs="FrankRuehl"/>
          <w:sz w:val="22"/>
          <w:rtl/>
        </w:rPr>
        <w:t>17.   פסקת התגברות מצויה בחוק-יסוד: חופש העיסוק. משמעות הדבר הינה כי חוק חורג - כלומר, חוק הפוגע בחופש העיסוק, אשר נתקבל ברוב של חברי הכנסת ונאמר בו במפורש שהוא תקף על אף האמור בחוק-יסוד: חופש העיסוק - תקף אף שאינו בהתאם לפסקת ההגבלה שבחוק-יסוד: חופש העיסוק. כידוע, חוק-יסוד: כבוד האדם וחירותו אינו כולל בחובו פסקת התגברות. מה דינו של חוק חורג הפוגע בזכות אדם המעוגנת בחוק-יסוד: כבוד האדם וחירותו, ואשר אינו מקיים את דרישותיה של פסקת ההגבלה (סעיף 8) שבחוק-יסוד זה?</w:t>
      </w:r>
    </w:p>
    <w:p w:rsidR="005366A8" w:rsidRPr="00F62266" w:rsidRDefault="005366A8" w:rsidP="005366A8">
      <w:pPr>
        <w:pStyle w:val="BodyText2"/>
        <w:spacing w:after="60"/>
        <w:rPr>
          <w:rFonts w:cs="FrankRuehl"/>
          <w:sz w:val="22"/>
          <w:rtl/>
        </w:rPr>
      </w:pPr>
      <w:r>
        <w:rPr>
          <w:rFonts w:cs="FrankRuehl" w:hint="cs"/>
          <w:sz w:val="22"/>
          <w:rtl/>
        </w:rPr>
        <w:t>[...]</w:t>
      </w:r>
    </w:p>
    <w:p w:rsidR="005366A8" w:rsidRPr="00F62266" w:rsidRDefault="005366A8" w:rsidP="005366A8">
      <w:pPr>
        <w:pStyle w:val="BodyText3"/>
        <w:spacing w:after="60"/>
        <w:rPr>
          <w:rFonts w:cs="FrankRuehl"/>
          <w:sz w:val="22"/>
          <w:rtl/>
        </w:rPr>
      </w:pPr>
      <w:r w:rsidRPr="00F62266">
        <w:rPr>
          <w:rFonts w:cs="FrankRuehl"/>
          <w:sz w:val="22"/>
          <w:rtl/>
        </w:rPr>
        <w:t>20.   [</w:t>
      </w:r>
      <w:r w:rsidRPr="00F62266">
        <w:rPr>
          <w:rFonts w:cs="FrankRuehl"/>
          <w:sz w:val="22"/>
        </w:rPr>
        <w:t>…</w:t>
      </w:r>
      <w:r w:rsidRPr="00F62266">
        <w:rPr>
          <w:rFonts w:cs="FrankRuehl"/>
          <w:sz w:val="22"/>
          <w:rtl/>
        </w:rPr>
        <w:t>] פרשנות חוקתית ראויה צריכה מחד גיסא להתחשב בכך שפסקת ההתגברות מצויה בחוק-יסוד: חופש העיסוק, ואינה מצויה בחוק-יסוד: כבוד האדם וחירותו. מאידך גיסא, היא צריכה להתחשב בכך שקיומה של פסקת ההתגברות בחוק-יסוד: חופש העיסוק - יש לה השלכות על חוק-יסוד: כבוד האדם וחירותו כחלק ממכלול הנורמות החוקתיות. עניין לנו, איפוא, בצורך לאמץ גישה פרשנית, המאזנת בצורה ראויה בין נתונים פרשניים אלה והמפלסת לעצמה דרך ראויה במתח פרשני זה. מהי גישה פרשנית זו? באלו נסיבות תינתן הגנה חוקתית לחוק חורג הפוגע לא רק בחופש העיסוק אלא גם בזכויות המעוגנות בחוק-יסוד: כבוד האדם וחירותו?</w:t>
      </w:r>
    </w:p>
    <w:p w:rsidR="005366A8" w:rsidRPr="00793816" w:rsidRDefault="005366A8" w:rsidP="005366A8">
      <w:pPr>
        <w:spacing w:after="60"/>
        <w:rPr>
          <w:rFonts w:cs="FrankRuehl"/>
          <w:sz w:val="22"/>
          <w:szCs w:val="22"/>
          <w:rtl/>
        </w:rPr>
      </w:pPr>
      <w:r w:rsidRPr="00F62266">
        <w:rPr>
          <w:rFonts w:cs="FrankRuehl"/>
          <w:sz w:val="22"/>
          <w:szCs w:val="22"/>
          <w:rtl/>
        </w:rPr>
        <w:t xml:space="preserve">21.   נראה לנו כי פרשנות ראויה צריכה להעניק הגנה חוקתית לחוק חורג, הפוגע לא רק בחופש העיסוק אלא גם בזכויות המעוגנות בחוק-יסוד: כבוד האדם וחירותו, אם מתקיימים </w:t>
      </w:r>
      <w:r w:rsidRPr="00793816">
        <w:rPr>
          <w:rFonts w:cs="FrankRuehl"/>
          <w:sz w:val="22"/>
          <w:szCs w:val="22"/>
          <w:highlight w:val="yellow"/>
          <w:rtl/>
        </w:rPr>
        <w:t>שלושה תנאים מצטברים אלה: ראשית, הפגיעה בזכויות האדם האחרות היא תוצאת לוואי המתבקשת באופן טבעי מהפגיעה בחופש העיסוק; שנית, הפגיעה בחופש העיסוק היא הפגיעה העיקרית ואילו הפגיעה בזכויות האדם האחרות היא משנית. שלישית, הפגיעה בזכויות האדם האחרות, כשלעצמה, אינה בעלת עוצמה ממשית.</w:t>
      </w:r>
      <w:r w:rsidRPr="00793816">
        <w:rPr>
          <w:rFonts w:cs="FrankRuehl"/>
          <w:sz w:val="22"/>
          <w:szCs w:val="22"/>
          <w:rtl/>
        </w:rPr>
        <w:t xml:space="preserve"> </w:t>
      </w:r>
      <w:r>
        <w:rPr>
          <w:rFonts w:cs="FrankRuehl" w:hint="cs"/>
          <w:sz w:val="22"/>
          <w:szCs w:val="22"/>
          <w:rtl/>
        </w:rPr>
        <w:t>[...]</w:t>
      </w:r>
      <w:r>
        <w:rPr>
          <w:rFonts w:cs="FrankRuehl"/>
          <w:sz w:val="22"/>
          <w:szCs w:val="22"/>
          <w:rtl/>
        </w:rPr>
        <w:t xml:space="preserve"> </w:t>
      </w:r>
    </w:p>
    <w:p w:rsidR="005366A8" w:rsidRPr="00793816" w:rsidRDefault="005366A8" w:rsidP="005366A8">
      <w:pPr>
        <w:spacing w:after="60"/>
        <w:rPr>
          <w:rFonts w:cs="FrankRuehl"/>
          <w:sz w:val="22"/>
          <w:szCs w:val="22"/>
          <w:rtl/>
        </w:rPr>
      </w:pPr>
      <w:r w:rsidRPr="00793816">
        <w:rPr>
          <w:rFonts w:cs="FrankRuehl"/>
          <w:sz w:val="22"/>
          <w:szCs w:val="22"/>
          <w:rtl/>
        </w:rPr>
        <w:t xml:space="preserve">22. התנאי הראשון קובע כי תוענק הגנה חוקתית לחוק חורג הפוגע בזכות אדם המעוגנת בחוק-יסוד: כבוד האדם וחירותו, אם פגיעה זו היא אך תוצאת לוואי המתבקשת באופן טבעי מהפגיעה בחופש העיסוק. </w:t>
      </w:r>
      <w:r w:rsidRPr="00793816">
        <w:rPr>
          <w:rFonts w:cs="FrankRuehl"/>
          <w:sz w:val="22"/>
          <w:szCs w:val="22"/>
          <w:highlight w:val="yellow"/>
          <w:rtl/>
        </w:rPr>
        <w:t>אכן, פגיעה בחופש העיסוק כורכת לעתים קרובות כתוצאת לוואי טבעית פגיעה בשוויון או בקניין. איסור על סוג אלמוני של אנשים מלשלוח ידם בעיסוק המותר לסוג פלוני של אנשים כרוך לעתים מטבעו וטיבו של העניין בפגיעה בקניינם ובזכותם לשוויון של האנשים המשתייכים לסוג אלמוני. במצב דברים זה, ההגנה החוקתית הניתנת בפיסקת ההתגברות של הפגיעה בחופש העיסוק מחייבת גם הגנה חוקתית על הפגיעה בקניין ובשוויון, שאם לא כן תרוקן פיסקת ההתגברות מכוחה הנורמאטיב</w:t>
      </w:r>
      <w:r w:rsidRPr="00793816">
        <w:rPr>
          <w:rFonts w:cs="FrankRuehl"/>
          <w:sz w:val="22"/>
          <w:szCs w:val="22"/>
          <w:rtl/>
        </w:rPr>
        <w:t>י. התנאי השני קובע כי עיקר הפגיעה צריך להתמקד בחופש העיסוק, ואילו הפגיעה בזכויות האדם האחרות צריכה להיות משנית. אין ל</w:t>
      </w:r>
      <w:r w:rsidRPr="00793816">
        <w:rPr>
          <w:rFonts w:cs="FrankRuehl" w:hint="cs"/>
          <w:sz w:val="22"/>
          <w:szCs w:val="22"/>
          <w:rtl/>
        </w:rPr>
        <w:t>ה</w:t>
      </w:r>
      <w:r w:rsidRPr="00793816">
        <w:rPr>
          <w:rFonts w:cs="FrankRuehl"/>
          <w:sz w:val="22"/>
          <w:szCs w:val="22"/>
          <w:rtl/>
        </w:rPr>
        <w:t xml:space="preserve">פוך עיקר לטפל. </w:t>
      </w:r>
      <w:r w:rsidRPr="00793816">
        <w:rPr>
          <w:rFonts w:cs="FrankRuehl"/>
          <w:sz w:val="22"/>
          <w:szCs w:val="22"/>
          <w:highlight w:val="yellow"/>
          <w:rtl/>
        </w:rPr>
        <w:t>אכן, אם תוצאתו של החוק החורג הינה כי עיקר פגיעתו אינה בחופש העיסוק אלא בזכויות אדם המעוגנות בחוק-יסוד: כבוד האדם וחירותו, אין ליתן לפגיעה זו הגנה חוקתית.</w:t>
      </w:r>
      <w:r w:rsidRPr="00793816">
        <w:rPr>
          <w:rFonts w:cs="FrankRuehl"/>
          <w:sz w:val="22"/>
          <w:szCs w:val="22"/>
          <w:rtl/>
        </w:rPr>
        <w:t xml:space="preserve"> קיומה של פיסקת התגברות בחוק-יסוד: חופש העיסוק אינו מספיק להעניק הגנה חוקית, מקום שפגיעתו העיקרית של החוק החורג היא מחוץ לגדריו של חוק-יסוד: חופש העיסוק. התנאי השלישי קובע כי הפגיעה בזכויות האחרות - כאשר היא נבחנת כשלעצמה, וללא השוואה לפגיעה בחופש העיסוק - צריכה להיות בעלת עוצמה שולית. </w:t>
      </w:r>
      <w:r w:rsidRPr="00793816">
        <w:rPr>
          <w:rFonts w:cs="FrankRuehl"/>
          <w:sz w:val="22"/>
          <w:szCs w:val="22"/>
          <w:highlight w:val="yellow"/>
          <w:rtl/>
        </w:rPr>
        <w:t>אין לאפשר פגיעה ממשית וקשה בזכות אדם המעוגנת בחוק-יסוד: כבוד האדם וחירותו אגב פגיעה בחופש העיסוק. ההשלכות ה"עקיפות" של פיסקת ההתגברות שבחוק-יסוד: חופש העיסוק, יכולות "לכסות" פגיעות שאינן ממשיות ואינן עיקריות, בזכויות אדם שבחוק-יסוד: כבוד האדם וחירותו.</w:t>
      </w:r>
      <w:r w:rsidRPr="00793816">
        <w:rPr>
          <w:rFonts w:cs="FrankRuehl"/>
          <w:sz w:val="22"/>
          <w:szCs w:val="22"/>
          <w:rtl/>
        </w:rPr>
        <w:t xml:space="preserve"> </w:t>
      </w:r>
    </w:p>
    <w:p w:rsidR="005366A8" w:rsidRPr="00F62266" w:rsidRDefault="005366A8" w:rsidP="005366A8">
      <w:pPr>
        <w:rPr>
          <w:rFonts w:cs="FrankRuehl"/>
          <w:sz w:val="22"/>
          <w:szCs w:val="22"/>
          <w:rtl/>
        </w:rPr>
      </w:pPr>
      <w:r w:rsidRPr="00793816">
        <w:rPr>
          <w:rFonts w:cs="FrankRuehl"/>
          <w:sz w:val="22"/>
          <w:szCs w:val="22"/>
          <w:rtl/>
        </w:rPr>
        <w:t>23. בהפעילנו אמות מידה פרשניות אלה על העניין שלפנינו, על-פי ההנחות שהנחנו בדיוננו, הננו סבורים כי שלושת התנאים הנדרשים למתן אפקט לפיסקת ההתגברות מחוץ לגדריו של חוק-יסוד: חופש העיסוק, מתקיימים</w:t>
      </w:r>
      <w:r w:rsidRPr="00433F52">
        <w:rPr>
          <w:rFonts w:cs="FrankRuehl"/>
          <w:sz w:val="22"/>
          <w:szCs w:val="22"/>
          <w:highlight w:val="yellow"/>
          <w:rtl/>
        </w:rPr>
        <w:t>. הפגיעות בחופש המצפון, השוויון והקניין של העותרים - בהנחה שזכויות אלה אכן נפגעות - הן תוצאות לוואי טבעיות מהפג</w:t>
      </w:r>
      <w:r w:rsidRPr="00433F52">
        <w:rPr>
          <w:rFonts w:cs="FrankRuehl" w:hint="cs"/>
          <w:sz w:val="22"/>
          <w:szCs w:val="22"/>
          <w:highlight w:val="yellow"/>
          <w:rtl/>
        </w:rPr>
        <w:t>י</w:t>
      </w:r>
      <w:r w:rsidRPr="00433F52">
        <w:rPr>
          <w:rFonts w:cs="FrankRuehl"/>
          <w:sz w:val="22"/>
          <w:szCs w:val="22"/>
          <w:highlight w:val="yellow"/>
          <w:rtl/>
        </w:rPr>
        <w:t>עה בחופש העיסוק שלהם. אין אלה תוצאות עצמאיות</w:t>
      </w:r>
      <w:r w:rsidRPr="00793816">
        <w:rPr>
          <w:rFonts w:cs="FrankRuehl"/>
          <w:sz w:val="22"/>
          <w:szCs w:val="22"/>
          <w:rtl/>
        </w:rPr>
        <w:t xml:space="preserve">, העומדות על רגליהן הן. אלה הן תוצאות נגזרות המתבקשות באופן טבעי מעצם הפגיעה בחופש העיסוק. </w:t>
      </w:r>
      <w:r w:rsidRPr="00433F52">
        <w:rPr>
          <w:rFonts w:cs="FrankRuehl"/>
          <w:sz w:val="22"/>
          <w:szCs w:val="22"/>
          <w:highlight w:val="yellow"/>
          <w:rtl/>
        </w:rPr>
        <w:t>עיקר הפגיעה הוא בחופש העיסוק.</w:t>
      </w:r>
      <w:r w:rsidRPr="00793816">
        <w:rPr>
          <w:rFonts w:cs="FrankRuehl"/>
          <w:sz w:val="22"/>
          <w:szCs w:val="22"/>
          <w:rtl/>
        </w:rPr>
        <w:t xml:space="preserve"> הפגיעות בזכויות האחרות הן משניות ואינן ממשיות. </w:t>
      </w:r>
      <w:r w:rsidRPr="00E8598D">
        <w:rPr>
          <w:rFonts w:cs="FrankRuehl"/>
          <w:sz w:val="22"/>
          <w:szCs w:val="22"/>
          <w:highlight w:val="yellow"/>
          <w:rtl/>
        </w:rPr>
        <w:t>אשר לפגיעה האפשרית בחופש המצפון, יש לזכור כי כל מי שרוצה יכול לרכוש בישראל בשר לא כשר. אין כפייה לאכול רק בשר כשר. עם זאת, אין ספק כי הפגיעה העיקרית היא בחופש העיסוק. אשר לפגיעה האפשרית בשוויון, הטענה של העותרים הינה כי השוויון נפגע בכך שנדרש הכשר של הרבנות ולא נדרש "הכשר" של רשות מוסלמית, ובכך יש פגיעה בשוויון בין יהודים למוסלמים. אפילו נראה בכך פגיעה בשוויון, זו בוודאי משנית לפגיעה בחופש העיסוק, ואין היא בעלת עוצמה ממשית. אשר לפגיעה האפשרית בחופש הקניין, היא משנית לפגיעה בחופש העיסוק, וכשלעצמה אינה בעלת עוצמה ממשית.</w:t>
      </w:r>
      <w:r w:rsidRPr="00793816">
        <w:rPr>
          <w:rFonts w:cs="FrankRuehl"/>
          <w:sz w:val="22"/>
          <w:szCs w:val="22"/>
          <w:rtl/>
        </w:rPr>
        <w:t xml:space="preserve"> בהתקיים שלושת תנאים אלה מתבקשת המסקנה הפרשנית כי יש ליתן לחוק יבוא בשר קפוא הגנה חוקתית לא רק בגדריו של חוק-יסוד: חופש העיסוק, אלא גם בגדריו של חוק-יסוד: כבוד האדם וחירותו. </w:t>
      </w:r>
    </w:p>
    <w:p w:rsidR="005366A8" w:rsidRDefault="005366A8" w:rsidP="005366A8">
      <w:pPr>
        <w:rPr>
          <w:rFonts w:ascii="Arial" w:hAnsi="Arial" w:cs="Arial"/>
          <w:sz w:val="20"/>
          <w:szCs w:val="20"/>
          <w:rtl/>
        </w:rPr>
      </w:pPr>
      <w:r w:rsidRPr="00805D15">
        <w:rPr>
          <w:rFonts w:ascii="Arial" w:hAnsi="Arial" w:cs="Arial" w:hint="cs"/>
          <w:sz w:val="20"/>
          <w:szCs w:val="20"/>
          <w:rtl/>
        </w:rPr>
        <w:t>=-=</w:t>
      </w:r>
    </w:p>
    <w:p w:rsidR="005366A8" w:rsidRDefault="005366A8" w:rsidP="005366A8">
      <w:pPr>
        <w:spacing w:after="120"/>
        <w:rPr>
          <w:rFonts w:ascii="Arial" w:hAnsi="Arial" w:cs="Arial"/>
          <w:b/>
          <w:bCs/>
          <w:sz w:val="22"/>
          <w:szCs w:val="22"/>
          <w:rtl/>
        </w:rPr>
      </w:pPr>
    </w:p>
    <w:p w:rsidR="005366A8" w:rsidRPr="005235BE" w:rsidRDefault="005366A8" w:rsidP="005366A8">
      <w:pPr>
        <w:spacing w:after="120"/>
        <w:rPr>
          <w:rFonts w:ascii="Arial" w:hAnsi="Arial" w:cs="Arial"/>
          <w:b/>
          <w:bCs/>
          <w:sz w:val="22"/>
          <w:szCs w:val="22"/>
          <w:rtl/>
        </w:rPr>
      </w:pPr>
      <w:r>
        <w:rPr>
          <w:rFonts w:ascii="Arial" w:hAnsi="Arial" w:cs="Arial" w:hint="cs"/>
          <w:b/>
          <w:bCs/>
          <w:sz w:val="22"/>
          <w:szCs w:val="22"/>
          <w:rtl/>
        </w:rPr>
        <w:t xml:space="preserve">"פסקת ההגבלה" (המשך) </w:t>
      </w:r>
      <w:r>
        <w:rPr>
          <w:rFonts w:ascii="Arial" w:hAnsi="Arial" w:cs="Arial"/>
          <w:b/>
          <w:bCs/>
          <w:sz w:val="22"/>
          <w:szCs w:val="22"/>
          <w:rtl/>
        </w:rPr>
        <w:t>–</w:t>
      </w:r>
      <w:r>
        <w:rPr>
          <w:rFonts w:ascii="Arial" w:hAnsi="Arial" w:cs="Arial" w:hint="cs"/>
          <w:b/>
          <w:bCs/>
          <w:sz w:val="22"/>
          <w:szCs w:val="22"/>
          <w:rtl/>
        </w:rPr>
        <w:t xml:space="preserve"> זיהויה של "פגיעה", התנאי של "תכלית ראויה", ותנאי "המידתיות":</w:t>
      </w:r>
    </w:p>
    <w:p w:rsidR="005366A8" w:rsidRPr="00860EB5" w:rsidRDefault="005366A8" w:rsidP="005366A8">
      <w:pPr>
        <w:spacing w:after="240"/>
        <w:rPr>
          <w:rFonts w:ascii="Arial" w:hAnsi="Arial" w:cs="Arial"/>
          <w:sz w:val="22"/>
          <w:szCs w:val="22"/>
          <w:rtl/>
        </w:rPr>
      </w:pPr>
      <w:r w:rsidRPr="00860EB5">
        <w:rPr>
          <w:rFonts w:ascii="Arial" w:hAnsi="Arial" w:cs="Arial" w:hint="cs"/>
          <w:b/>
          <w:bCs/>
          <w:highlight w:val="yellow"/>
          <w:rtl/>
        </w:rPr>
        <w:t xml:space="preserve">הפעלת פסקת ההגבלה ביחס להוראת חוק הפוגעת </w:t>
      </w:r>
      <w:r w:rsidRPr="00860EB5">
        <w:rPr>
          <w:rFonts w:ascii="Arial" w:hAnsi="Arial" w:cs="Arial" w:hint="cs"/>
          <w:b/>
          <w:bCs/>
          <w:i/>
          <w:iCs/>
          <w:highlight w:val="yellow"/>
          <w:u w:val="single"/>
          <w:rtl/>
        </w:rPr>
        <w:t>ב"חופש העיסוק"</w:t>
      </w:r>
      <w:r w:rsidRPr="00860EB5">
        <w:rPr>
          <w:rFonts w:ascii="Arial" w:hAnsi="Arial" w:cs="Arial" w:hint="cs"/>
          <w:highlight w:val="yellow"/>
          <w:rtl/>
        </w:rPr>
        <w:t xml:space="preserve"> </w:t>
      </w:r>
      <w:r w:rsidRPr="00860EB5">
        <w:rPr>
          <w:rFonts w:ascii="Arial" w:hAnsi="Arial" w:cs="Arial" w:hint="cs"/>
          <w:b/>
          <w:bCs/>
          <w:highlight w:val="yellow"/>
          <w:rtl/>
        </w:rPr>
        <w:t>ומציאת הפרתה</w:t>
      </w:r>
    </w:p>
    <w:p w:rsidR="005366A8" w:rsidRPr="009C23AC" w:rsidRDefault="005366A8" w:rsidP="005366A8">
      <w:pPr>
        <w:pStyle w:val="Heading1"/>
        <w:spacing w:after="240"/>
        <w:rPr>
          <w:b w:val="0"/>
          <w:bCs w:val="0"/>
          <w:i/>
          <w:iCs/>
          <w:rtl/>
        </w:rPr>
      </w:pPr>
      <w:r w:rsidRPr="009C23AC">
        <w:rPr>
          <w:b w:val="0"/>
          <w:bCs w:val="0"/>
          <w:highlight w:val="yellow"/>
          <w:rtl/>
        </w:rPr>
        <w:t xml:space="preserve">בג"צ 1030/99 </w:t>
      </w:r>
      <w:r w:rsidRPr="009C23AC">
        <w:rPr>
          <w:highlight w:val="yellow"/>
          <w:rtl/>
        </w:rPr>
        <w:t>ח"כ אורון נ' יו"ר הכנסת</w:t>
      </w:r>
      <w:r w:rsidRPr="009C23AC">
        <w:rPr>
          <w:b w:val="0"/>
          <w:bCs w:val="0"/>
          <w:highlight w:val="yellow"/>
          <w:rtl/>
        </w:rPr>
        <w:t>, פ"ד נו(3) 640</w:t>
      </w:r>
      <w:r w:rsidRPr="009C23AC">
        <w:rPr>
          <w:rFonts w:hint="cs"/>
          <w:b w:val="0"/>
          <w:bCs w:val="0"/>
          <w:highlight w:val="yellow"/>
          <w:rtl/>
        </w:rPr>
        <w:t xml:space="preserve"> (2002)</w:t>
      </w:r>
    </w:p>
    <w:p w:rsidR="005366A8" w:rsidRDefault="005366A8" w:rsidP="005366A8">
      <w:pPr>
        <w:rPr>
          <w:rFonts w:ascii="Arial" w:hAnsi="Arial" w:cs="Arial"/>
          <w:sz w:val="18"/>
          <w:szCs w:val="18"/>
          <w:rtl/>
        </w:rPr>
      </w:pPr>
      <w:r w:rsidRPr="00860EB5">
        <w:rPr>
          <w:rFonts w:ascii="Arial" w:hAnsi="Arial" w:cs="Arial"/>
          <w:sz w:val="18"/>
          <w:szCs w:val="18"/>
          <w:rtl/>
        </w:rPr>
        <w:t xml:space="preserve">[עתירה כנגד </w:t>
      </w:r>
      <w:r>
        <w:rPr>
          <w:rFonts w:ascii="Arial" w:hAnsi="Arial" w:cs="Arial" w:hint="cs"/>
          <w:sz w:val="18"/>
          <w:szCs w:val="18"/>
          <w:rtl/>
        </w:rPr>
        <w:t xml:space="preserve">תיקון </w:t>
      </w:r>
      <w:r w:rsidRPr="00433F52">
        <w:rPr>
          <w:rFonts w:ascii="Arial" w:hAnsi="Arial" w:cs="Arial" w:hint="cs"/>
          <w:sz w:val="18"/>
          <w:szCs w:val="18"/>
          <w:u w:val="single"/>
          <w:rtl/>
        </w:rPr>
        <w:t>ל</w:t>
      </w:r>
      <w:r w:rsidRPr="00433F52">
        <w:rPr>
          <w:rFonts w:ascii="Arial" w:hAnsi="Arial" w:cs="Arial"/>
          <w:sz w:val="18"/>
          <w:szCs w:val="18"/>
          <w:u w:val="single"/>
          <w:rtl/>
        </w:rPr>
        <w:t>חוק</w:t>
      </w:r>
      <w:r w:rsidRPr="00860EB5">
        <w:rPr>
          <w:rFonts w:ascii="Arial" w:hAnsi="Arial" w:cs="Arial"/>
          <w:sz w:val="18"/>
          <w:szCs w:val="18"/>
          <w:rtl/>
        </w:rPr>
        <w:t xml:space="preserve"> ש</w:t>
      </w:r>
      <w:r>
        <w:rPr>
          <w:rFonts w:ascii="Arial" w:hAnsi="Arial" w:cs="Arial" w:hint="cs"/>
          <w:sz w:val="18"/>
          <w:szCs w:val="18"/>
          <w:rtl/>
        </w:rPr>
        <w:t>העניק</w:t>
      </w:r>
      <w:r w:rsidRPr="00860EB5">
        <w:rPr>
          <w:rFonts w:ascii="Arial" w:hAnsi="Arial" w:cs="Arial"/>
          <w:sz w:val="18"/>
          <w:szCs w:val="18"/>
          <w:rtl/>
        </w:rPr>
        <w:t xml:space="preserve"> זיכיון להפעלת רדיו פרטי בעל טווח שידורים ארצי – העתירה התקבלה</w:t>
      </w:r>
      <w:r>
        <w:rPr>
          <w:rFonts w:ascii="Arial" w:hAnsi="Arial" w:cs="Arial" w:hint="cs"/>
          <w:sz w:val="18"/>
          <w:szCs w:val="18"/>
          <w:rtl/>
        </w:rPr>
        <w:t xml:space="preserve">. </w:t>
      </w:r>
    </w:p>
    <w:p w:rsidR="005366A8" w:rsidRPr="00860EB5" w:rsidRDefault="005366A8" w:rsidP="005366A8">
      <w:pPr>
        <w:rPr>
          <w:rFonts w:ascii="Arial" w:hAnsi="Arial" w:cs="Arial"/>
          <w:sz w:val="18"/>
          <w:szCs w:val="18"/>
          <w:rtl/>
        </w:rPr>
      </w:pPr>
      <w:r>
        <w:rPr>
          <w:rFonts w:ascii="Arial" w:hAnsi="Arial" w:cs="Arial" w:hint="cs"/>
          <w:sz w:val="18"/>
          <w:szCs w:val="18"/>
          <w:rtl/>
        </w:rPr>
        <w:t xml:space="preserve">סיפור הדברים נגע לכך שהתיקון נועד להעניק הכשר </w:t>
      </w:r>
      <w:r>
        <w:rPr>
          <w:rFonts w:ascii="Arial" w:hAnsi="Arial" w:cs="Arial"/>
          <w:sz w:val="18"/>
          <w:szCs w:val="18"/>
          <w:rtl/>
        </w:rPr>
        <w:t>–</w:t>
      </w:r>
      <w:r>
        <w:rPr>
          <w:rFonts w:ascii="Arial" w:hAnsi="Arial" w:cs="Arial" w:hint="cs"/>
          <w:sz w:val="18"/>
          <w:szCs w:val="18"/>
          <w:rtl/>
        </w:rPr>
        <w:t xml:space="preserve"> סלקטיבי </w:t>
      </w:r>
      <w:r>
        <w:rPr>
          <w:rFonts w:ascii="Arial" w:hAnsi="Arial" w:cs="Arial"/>
          <w:sz w:val="18"/>
          <w:szCs w:val="18"/>
          <w:rtl/>
        </w:rPr>
        <w:t>–</w:t>
      </w:r>
      <w:r>
        <w:rPr>
          <w:rFonts w:ascii="Arial" w:hAnsi="Arial" w:cs="Arial" w:hint="cs"/>
          <w:sz w:val="18"/>
          <w:szCs w:val="18"/>
          <w:rtl/>
        </w:rPr>
        <w:t xml:space="preserve"> לתחנת רדיו </w:t>
      </w:r>
      <w:r w:rsidRPr="00860EB5">
        <w:rPr>
          <w:rFonts w:ascii="Arial" w:hAnsi="Arial" w:cs="Arial" w:hint="cs"/>
          <w:i/>
          <w:iCs/>
          <w:sz w:val="18"/>
          <w:szCs w:val="18"/>
          <w:rtl/>
        </w:rPr>
        <w:t>מסוימת</w:t>
      </w:r>
      <w:r>
        <w:rPr>
          <w:rFonts w:ascii="Arial" w:hAnsi="Arial" w:cs="Arial" w:hint="cs"/>
          <w:sz w:val="18"/>
          <w:szCs w:val="18"/>
          <w:rtl/>
        </w:rPr>
        <w:t xml:space="preserve"> (ערוץ 7) שפעלה עד אותה עת באופן פירטית</w:t>
      </w:r>
      <w:r w:rsidRPr="00860EB5">
        <w:rPr>
          <w:rFonts w:ascii="Arial" w:hAnsi="Arial" w:cs="Arial"/>
          <w:sz w:val="18"/>
          <w:szCs w:val="18"/>
          <w:rtl/>
        </w:rPr>
        <w:t>].</w:t>
      </w:r>
    </w:p>
    <w:p w:rsidR="005366A8" w:rsidRPr="008B6E13" w:rsidRDefault="005366A8" w:rsidP="005366A8">
      <w:pPr>
        <w:rPr>
          <w:sz w:val="22"/>
          <w:szCs w:val="22"/>
          <w:rtl/>
        </w:rPr>
      </w:pPr>
    </w:p>
    <w:p w:rsidR="005366A8" w:rsidRPr="008B6E13" w:rsidRDefault="005366A8" w:rsidP="005366A8">
      <w:pPr>
        <w:rPr>
          <w:rFonts w:cs="FrankRuehl"/>
          <w:sz w:val="22"/>
          <w:szCs w:val="22"/>
          <w:rtl/>
        </w:rPr>
      </w:pPr>
      <w:r w:rsidRPr="008B6E13">
        <w:rPr>
          <w:rFonts w:cs="FrankRuehl"/>
          <w:sz w:val="22"/>
          <w:szCs w:val="22"/>
          <w:rtl/>
        </w:rPr>
        <w:t>ביום 23.2.99 התקבל בכנסת התיקון לחוק הבזק אשר הוסיף</w:t>
      </w:r>
      <w:r>
        <w:rPr>
          <w:rFonts w:cs="FrankRuehl" w:hint="cs"/>
          <w:sz w:val="22"/>
          <w:szCs w:val="22"/>
          <w:rtl/>
        </w:rPr>
        <w:t>...</w:t>
      </w:r>
      <w:r w:rsidRPr="008B6E13">
        <w:rPr>
          <w:rFonts w:cs="FrankRuehl"/>
          <w:sz w:val="22"/>
          <w:szCs w:val="22"/>
          <w:rtl/>
        </w:rPr>
        <w:t xml:space="preserve"> את סעיף משנה (7) לסעיף 3 לחוק. </w:t>
      </w:r>
      <w:r w:rsidRPr="00860EB5">
        <w:rPr>
          <w:rFonts w:cs="FrankRuehl"/>
          <w:sz w:val="22"/>
          <w:szCs w:val="22"/>
          <w:highlight w:val="yellow"/>
          <w:rtl/>
        </w:rPr>
        <w:t>סעיף 3 לחוק הבזק קובע פטורים וסייגים להוראה הקבועה בסעיף 2(ב) לחוק, המטילה חובת רישוי לפעולות ושירותי בזק. סעיף</w:t>
      </w:r>
      <w:r w:rsidRPr="00860EB5">
        <w:rPr>
          <w:rFonts w:cs="FrankRuehl" w:hint="cs"/>
          <w:sz w:val="22"/>
          <w:szCs w:val="22"/>
          <w:highlight w:val="yellow"/>
          <w:rtl/>
        </w:rPr>
        <w:t xml:space="preserve"> </w:t>
      </w:r>
      <w:r w:rsidRPr="00860EB5">
        <w:rPr>
          <w:rFonts w:cs="FrankRuehl"/>
          <w:sz w:val="22"/>
          <w:szCs w:val="22"/>
          <w:highlight w:val="yellow"/>
          <w:rtl/>
        </w:rPr>
        <w:t>3</w:t>
      </w:r>
      <w:r w:rsidRPr="00860EB5">
        <w:rPr>
          <w:rFonts w:cs="FrankRuehl" w:hint="cs"/>
          <w:sz w:val="22"/>
          <w:szCs w:val="22"/>
          <w:highlight w:val="yellow"/>
          <w:rtl/>
        </w:rPr>
        <w:t>(7)</w:t>
      </w:r>
      <w:r w:rsidRPr="00860EB5">
        <w:rPr>
          <w:rFonts w:cs="FrankRuehl"/>
          <w:sz w:val="22"/>
          <w:szCs w:val="22"/>
          <w:highlight w:val="yellow"/>
          <w:rtl/>
        </w:rPr>
        <w:t xml:space="preserve"> הוסיף פטור נוסף מחובת הרישוי</w:t>
      </w:r>
      <w:r w:rsidRPr="008B6E13">
        <w:rPr>
          <w:rFonts w:cs="FrankRuehl"/>
          <w:sz w:val="22"/>
          <w:szCs w:val="22"/>
          <w:rtl/>
        </w:rPr>
        <w:t xml:space="preserve"> וכך נאמר בו: </w:t>
      </w:r>
    </w:p>
    <w:p w:rsidR="005366A8" w:rsidRPr="008B6E13" w:rsidRDefault="005366A8" w:rsidP="005366A8">
      <w:pPr>
        <w:ind w:left="720"/>
        <w:rPr>
          <w:rFonts w:cs="FrankRuehl"/>
          <w:sz w:val="22"/>
          <w:szCs w:val="22"/>
          <w:rtl/>
        </w:rPr>
      </w:pPr>
      <w:r w:rsidRPr="008B6E13">
        <w:rPr>
          <w:rFonts w:cs="FrankRuehl"/>
          <w:sz w:val="22"/>
          <w:szCs w:val="22"/>
          <w:rtl/>
        </w:rPr>
        <w:t xml:space="preserve">"3. הוראות סעיף 2(ב) לא יחולו על - ... </w:t>
      </w:r>
    </w:p>
    <w:p w:rsidR="005366A8" w:rsidRPr="008B6E13" w:rsidRDefault="005366A8" w:rsidP="005366A8">
      <w:pPr>
        <w:ind w:left="1440"/>
        <w:rPr>
          <w:rFonts w:cs="FrankRuehl"/>
          <w:sz w:val="22"/>
          <w:szCs w:val="22"/>
          <w:rtl/>
        </w:rPr>
      </w:pPr>
      <w:r w:rsidRPr="008B6E13">
        <w:rPr>
          <w:rFonts w:cs="FrankRuehl"/>
          <w:sz w:val="22"/>
          <w:szCs w:val="22"/>
          <w:rtl/>
        </w:rPr>
        <w:t>(7) מי שהקים או שהפעיל במשך חמש שנים רצופות לפני יג' בטבת התשנ"ט (1 בינואר 1999), תחנת שידור לשידורי רדיו המיועדים בעיקרם לציבור בישראל, באופן ששידורים אלה נקלטו במרבית שטחי ישראל, והמשיך לעשות כן גם לאחר התאריך האמור, יראו אותו כמי שקיבל רשיון לפי חוק זה, לפי סעיף 5(א) לפקודת הטלגרף האלחוטי [נוסח חדש], התשל"ז-1977, וכמי שקיבל זיכיון לפי סעיף 32(א) לחוק הרשות השניה לטלוויזיה ורדיו, התש"ן-1990."</w:t>
      </w:r>
    </w:p>
    <w:p w:rsidR="005366A8" w:rsidRPr="008B6E13" w:rsidRDefault="005366A8" w:rsidP="005366A8">
      <w:pPr>
        <w:rPr>
          <w:rFonts w:cs="FrankRuehl"/>
          <w:b/>
          <w:bCs/>
          <w:sz w:val="22"/>
          <w:szCs w:val="22"/>
          <w:rtl/>
        </w:rPr>
      </w:pPr>
      <w:r w:rsidRPr="008B6E13">
        <w:rPr>
          <w:rFonts w:cs="FrankRuehl" w:hint="cs"/>
          <w:b/>
          <w:bCs/>
          <w:sz w:val="22"/>
          <w:szCs w:val="22"/>
          <w:rtl/>
        </w:rPr>
        <w:t>משמעות?</w:t>
      </w:r>
    </w:p>
    <w:p w:rsidR="005366A8" w:rsidRDefault="005366A8" w:rsidP="005366A8">
      <w:pPr>
        <w:rPr>
          <w:rFonts w:cs="FrankRuehl"/>
          <w:sz w:val="22"/>
          <w:szCs w:val="22"/>
          <w:rtl/>
        </w:rPr>
      </w:pPr>
      <w:r w:rsidRPr="008B6E13">
        <w:rPr>
          <w:rFonts w:cs="FrankRuehl" w:hint="cs"/>
          <w:sz w:val="22"/>
          <w:szCs w:val="22"/>
          <w:rtl/>
        </w:rPr>
        <w:t xml:space="preserve">[א. הזיכיון ניתן למי (ורק למי) שהפר חוק, ופעל 5 שנים כרדיו ארצי ללא היתר כדין ("רדיו פיראטי"); ב. הזיכיון לרדיו הארצי הייעודי ניתן ללא מכרז;  ג. הזיכיון </w:t>
      </w:r>
      <w:r w:rsidRPr="008B6E13">
        <w:rPr>
          <w:rFonts w:cs="FrankRuehl"/>
          <w:sz w:val="22"/>
          <w:szCs w:val="22"/>
          <w:rtl/>
        </w:rPr>
        <w:t>–</w:t>
      </w:r>
      <w:r w:rsidRPr="008B6E13">
        <w:rPr>
          <w:rFonts w:cs="FrankRuehl" w:hint="cs"/>
          <w:sz w:val="22"/>
          <w:szCs w:val="22"/>
          <w:rtl/>
        </w:rPr>
        <w:t xml:space="preserve"> שהוא פעולת הקצאה מובהקת </w:t>
      </w:r>
      <w:r w:rsidRPr="008B6E13">
        <w:rPr>
          <w:rFonts w:cs="FrankRuehl"/>
          <w:sz w:val="22"/>
          <w:szCs w:val="22"/>
          <w:rtl/>
        </w:rPr>
        <w:t>–</w:t>
      </w:r>
      <w:r w:rsidRPr="008B6E13">
        <w:rPr>
          <w:rFonts w:cs="FrankRuehl" w:hint="cs"/>
          <w:sz w:val="22"/>
          <w:szCs w:val="22"/>
          <w:rtl/>
        </w:rPr>
        <w:t xml:space="preserve"> ניתן גם ללא קריטריונים שיוויוניים וסבירים ביחס לאופן הזיהוי הן של הקבוצות שצרכיהן מצדיקים "רדיו ארצי ייעודי", והן של אופן איתור המועמדים המתאימים להפעלת תחנת רדיו שכזו.]  </w:t>
      </w:r>
    </w:p>
    <w:p w:rsidR="005366A8" w:rsidRPr="008B6E13" w:rsidRDefault="005366A8" w:rsidP="005366A8">
      <w:pPr>
        <w:rPr>
          <w:rFonts w:cs="FrankRuehl"/>
          <w:sz w:val="22"/>
          <w:szCs w:val="22"/>
          <w:rtl/>
        </w:rPr>
      </w:pPr>
    </w:p>
    <w:p w:rsidR="005366A8" w:rsidRDefault="005366A8" w:rsidP="005366A8">
      <w:pPr>
        <w:rPr>
          <w:rFonts w:cs="FrankRuehl"/>
          <w:sz w:val="22"/>
          <w:szCs w:val="22"/>
          <w:rtl/>
        </w:rPr>
      </w:pPr>
      <w:r w:rsidRPr="008B6E13">
        <w:rPr>
          <w:rFonts w:cs="FrankRuehl" w:hint="cs"/>
          <w:b/>
          <w:bCs/>
          <w:sz w:val="22"/>
          <w:szCs w:val="22"/>
          <w:rtl/>
        </w:rPr>
        <w:t>טענות העותרים:</w:t>
      </w:r>
      <w:r w:rsidRPr="008B6E13">
        <w:rPr>
          <w:rFonts w:cs="FrankRuehl" w:hint="cs"/>
          <w:sz w:val="22"/>
          <w:szCs w:val="22"/>
          <w:rtl/>
        </w:rPr>
        <w:t xml:space="preserve"> </w:t>
      </w:r>
      <w:r w:rsidRPr="008B6E13">
        <w:rPr>
          <w:rFonts w:cs="FrankRuehl"/>
          <w:sz w:val="22"/>
          <w:szCs w:val="22"/>
          <w:rtl/>
        </w:rPr>
        <w:t xml:space="preserve">התיקון לחוק נוגד את חוק יסוד: חופש העיסוק בכך שהוא פוגע בחופש העיסוק בפגעו בעקרון השוויון בין מתחרים. כמו כן, נטען כי התיקון לחוק נוגד את חוק יסוד: כבוד האדם וחירותו בכך שהוא פוגע בעקרון השוויון ובכך שהוא פוגע בזכות הקניין. לטענת העותרים, התיקון לחוק אינו עומד בדרישות פסקות ההגבלה הקבועות בחוקי יסוד אלה (סעיף </w:t>
      </w:r>
      <w:r w:rsidRPr="008B6E13">
        <w:rPr>
          <w:rFonts w:cs="FrankRuehl"/>
          <w:sz w:val="22"/>
          <w:szCs w:val="22"/>
          <w:cs/>
        </w:rPr>
        <w:t>‎</w:t>
      </w:r>
      <w:r w:rsidRPr="008B6E13">
        <w:rPr>
          <w:rFonts w:cs="FrankRuehl"/>
          <w:sz w:val="22"/>
          <w:szCs w:val="22"/>
        </w:rPr>
        <w:t>8</w:t>
      </w:r>
      <w:r w:rsidRPr="008B6E13">
        <w:rPr>
          <w:rFonts w:cs="FrankRuehl"/>
          <w:sz w:val="22"/>
          <w:szCs w:val="22"/>
          <w:rtl/>
        </w:rPr>
        <w:t xml:space="preserve"> לחוק יסוד: כבוד האדם וחירותו וסעיף </w:t>
      </w:r>
      <w:r w:rsidRPr="008B6E13">
        <w:rPr>
          <w:rFonts w:cs="FrankRuehl"/>
          <w:sz w:val="22"/>
          <w:szCs w:val="22"/>
          <w:cs/>
        </w:rPr>
        <w:t>‎</w:t>
      </w:r>
      <w:r w:rsidRPr="008B6E13">
        <w:rPr>
          <w:rFonts w:cs="FrankRuehl"/>
          <w:sz w:val="22"/>
          <w:szCs w:val="22"/>
        </w:rPr>
        <w:t>4</w:t>
      </w:r>
      <w:r w:rsidRPr="008B6E13">
        <w:rPr>
          <w:rFonts w:cs="FrankRuehl"/>
          <w:sz w:val="22"/>
          <w:szCs w:val="22"/>
          <w:rtl/>
        </w:rPr>
        <w:t xml:space="preserve"> לחוק יסוד: חופש העיסוק). </w:t>
      </w:r>
    </w:p>
    <w:p w:rsidR="005366A8" w:rsidRPr="008B6E13" w:rsidRDefault="005366A8" w:rsidP="005366A8">
      <w:pPr>
        <w:rPr>
          <w:rFonts w:cs="FrankRuehl"/>
          <w:sz w:val="22"/>
          <w:szCs w:val="22"/>
          <w:rtl/>
        </w:rPr>
      </w:pPr>
    </w:p>
    <w:p w:rsidR="005366A8" w:rsidRPr="008B6E13" w:rsidRDefault="005366A8" w:rsidP="005366A8">
      <w:pPr>
        <w:rPr>
          <w:rFonts w:cs="FrankRuehl"/>
          <w:b/>
          <w:bCs/>
          <w:sz w:val="22"/>
          <w:szCs w:val="22"/>
          <w:highlight w:val="yellow"/>
          <w:rtl/>
        </w:rPr>
      </w:pPr>
      <w:r w:rsidRPr="008B6E13">
        <w:rPr>
          <w:rFonts w:cs="FrankRuehl" w:hint="cs"/>
          <w:b/>
          <w:bCs/>
          <w:sz w:val="22"/>
          <w:szCs w:val="22"/>
          <w:highlight w:val="yellow"/>
          <w:rtl/>
        </w:rPr>
        <w:t>בית המשפט וחופש העיסוק:</w:t>
      </w:r>
    </w:p>
    <w:p w:rsidR="005366A8" w:rsidRPr="008B6E13" w:rsidRDefault="005366A8" w:rsidP="005366A8">
      <w:pPr>
        <w:rPr>
          <w:rFonts w:cs="FrankRuehl"/>
          <w:sz w:val="22"/>
          <w:szCs w:val="22"/>
          <w:rtl/>
        </w:rPr>
      </w:pPr>
      <w:r w:rsidRPr="008B6E13">
        <w:rPr>
          <w:rFonts w:cs="FrankRuehl"/>
          <w:sz w:val="22"/>
          <w:szCs w:val="22"/>
          <w:highlight w:val="yellow"/>
          <w:rtl/>
        </w:rPr>
        <w:t>בנסיבות המקרה דנן, אין כל ספק שהתיקון לחוק פוגע בחופש העיסוק. ספקטרום התדרים לשידור ערוצי רדיו מסחריים-ארציים הוא משאב מוגבל השייך לציבור בכללותו. תפקיד השלטון הוא לשמש נאמן הציבור לצורך שמירה על משאב זה, ולניצולו לתועלת הציבור. במסגרת זאת, אחראי הוא גם על הקצאתו באופן יעיל והוגן בין אלה המבקשים לנצלו. התיקון לחוק פוגע בחופש התחרות של כלל המתחרים הפוטנציאלים על השימוש במשאב התדרים לשידורי רדיו ארציים בכך שהוא מעניק זיכיון ורשיון לשידורי רדיו ארציים-פרטיים לגוף משדר העומד בתנאי התיקון לחוק, ללא מכרז וללא קריטריון חלוקה שוויוני אחר כלשהו. לשון אחרת, הרשיון והזיכיון מוקצים לגופים ספציפיים וזאת מבלי שניתנה למתחרים נוספים הפועלים בענף שידורי הרדיו כל הזדמנות להתחרות עמם על בסיס שווה. פגיעה זו מוחרפת בנסיבות העניין מעצם הדבר כי אמת המידה לקבלת הזיכיון והרשיון לפי התיקון לחוק היא קיום ותק מינימלי של שימוש לא מורשה ושלא כדין בתדרי רדיו.</w:t>
      </w:r>
    </w:p>
    <w:p w:rsidR="005366A8" w:rsidRPr="00860EB5" w:rsidRDefault="005366A8" w:rsidP="005366A8">
      <w:pPr>
        <w:rPr>
          <w:rFonts w:cs="FrankRuehl"/>
          <w:i/>
          <w:iCs/>
          <w:sz w:val="20"/>
          <w:szCs w:val="20"/>
          <w:rtl/>
        </w:rPr>
      </w:pPr>
      <w:r w:rsidRPr="00860EB5">
        <w:rPr>
          <w:rFonts w:hint="cs"/>
          <w:i/>
          <w:iCs/>
          <w:sz w:val="20"/>
          <w:szCs w:val="20"/>
          <w:rtl/>
        </w:rPr>
        <w:t xml:space="preserve">[איזה שלב נותח בפסקה לעיל? מהם שלבי הביקורת הבאים?] </w:t>
      </w:r>
    </w:p>
    <w:p w:rsidR="005366A8" w:rsidRDefault="005366A8" w:rsidP="005366A8">
      <w:pPr>
        <w:rPr>
          <w:sz w:val="20"/>
          <w:szCs w:val="20"/>
          <w:rtl/>
        </w:rPr>
      </w:pPr>
    </w:p>
    <w:p w:rsidR="005366A8" w:rsidRPr="00B544E9" w:rsidRDefault="005366A8" w:rsidP="005366A8">
      <w:pPr>
        <w:rPr>
          <w:b/>
          <w:bCs/>
          <w:sz w:val="20"/>
          <w:szCs w:val="20"/>
          <w:rtl/>
        </w:rPr>
      </w:pPr>
      <w:r w:rsidRPr="00B544E9">
        <w:rPr>
          <w:rFonts w:hint="cs"/>
          <w:b/>
          <w:bCs/>
          <w:sz w:val="20"/>
          <w:szCs w:val="20"/>
          <w:rtl/>
        </w:rPr>
        <w:t>סוגיית "התכלית הראויה":</w:t>
      </w:r>
    </w:p>
    <w:p w:rsidR="005366A8" w:rsidRPr="00DC3A05" w:rsidRDefault="005366A8" w:rsidP="005366A8">
      <w:pPr>
        <w:rPr>
          <w:sz w:val="20"/>
          <w:szCs w:val="20"/>
          <w:rtl/>
        </w:rPr>
      </w:pPr>
      <w:r w:rsidRPr="00DC3A05">
        <w:rPr>
          <w:rFonts w:hint="cs"/>
          <w:sz w:val="20"/>
          <w:szCs w:val="20"/>
          <w:rtl/>
        </w:rPr>
        <w:t>סומר וזיידמן</w:t>
      </w:r>
      <w:r>
        <w:rPr>
          <w:rFonts w:hint="cs"/>
          <w:sz w:val="20"/>
          <w:szCs w:val="20"/>
          <w:rtl/>
        </w:rPr>
        <w:t xml:space="preserve">, מתוך מאמר שלהם: </w:t>
      </w:r>
      <w:r w:rsidRPr="00DC3A05">
        <w:rPr>
          <w:sz w:val="20"/>
          <w:szCs w:val="20"/>
          <w:rtl/>
        </w:rPr>
        <w:t xml:space="preserve">נפסק </w:t>
      </w:r>
      <w:r w:rsidRPr="00DC3A05">
        <w:rPr>
          <w:rFonts w:hint="cs"/>
          <w:sz w:val="20"/>
          <w:szCs w:val="20"/>
          <w:rtl/>
        </w:rPr>
        <w:t>שם</w:t>
      </w:r>
      <w:r>
        <w:rPr>
          <w:rFonts w:hint="cs"/>
          <w:sz w:val="20"/>
          <w:szCs w:val="20"/>
          <w:rtl/>
        </w:rPr>
        <w:t xml:space="preserve"> [בפס"ד </w:t>
      </w:r>
      <w:r w:rsidRPr="008E1BB6">
        <w:rPr>
          <w:rFonts w:hint="cs"/>
          <w:b/>
          <w:bCs/>
          <w:sz w:val="20"/>
          <w:szCs w:val="20"/>
          <w:rtl/>
        </w:rPr>
        <w:t>אורון</w:t>
      </w:r>
      <w:r>
        <w:rPr>
          <w:rFonts w:hint="cs"/>
          <w:sz w:val="20"/>
          <w:szCs w:val="20"/>
          <w:rtl/>
        </w:rPr>
        <w:t>]</w:t>
      </w:r>
      <w:r w:rsidRPr="00DC3A05">
        <w:rPr>
          <w:rFonts w:hint="cs"/>
          <w:sz w:val="20"/>
          <w:szCs w:val="20"/>
          <w:rtl/>
        </w:rPr>
        <w:t xml:space="preserve">, </w:t>
      </w:r>
      <w:r w:rsidRPr="00DC3A05">
        <w:rPr>
          <w:sz w:val="20"/>
          <w:szCs w:val="20"/>
          <w:rtl/>
        </w:rPr>
        <w:t>כי הכוונה הלא</w:t>
      </w:r>
      <w:r w:rsidRPr="00DC3A05">
        <w:rPr>
          <w:rFonts w:hint="cs"/>
          <w:sz w:val="20"/>
          <w:szCs w:val="20"/>
          <w:rtl/>
        </w:rPr>
        <w:t>-</w:t>
      </w:r>
      <w:r w:rsidRPr="00DC3A05">
        <w:rPr>
          <w:sz w:val="20"/>
          <w:szCs w:val="20"/>
          <w:rtl/>
        </w:rPr>
        <w:t xml:space="preserve">מוסתרת של יוזמי החקיקה ותומכיה הייתה להכשיר את </w:t>
      </w:r>
      <w:r w:rsidRPr="00DC3A05">
        <w:rPr>
          <w:sz w:val="20"/>
          <w:szCs w:val="20"/>
          <w:highlight w:val="yellow"/>
          <w:rtl/>
        </w:rPr>
        <w:t>שידורי ערוץ 7</w:t>
      </w:r>
      <w:r w:rsidRPr="00DC3A05">
        <w:rPr>
          <w:rFonts w:hint="cs"/>
          <w:sz w:val="20"/>
          <w:szCs w:val="20"/>
          <w:rtl/>
        </w:rPr>
        <w:t>,</w:t>
      </w:r>
      <w:r w:rsidRPr="00DC3A05">
        <w:rPr>
          <w:sz w:val="20"/>
          <w:szCs w:val="20"/>
          <w:rtl/>
        </w:rPr>
        <w:t xml:space="preserve"> וכי תכלית זו של מתן רישיון וזיכיון לתחנות</w:t>
      </w:r>
      <w:r w:rsidRPr="00DC3A05">
        <w:rPr>
          <w:rFonts w:hint="cs"/>
          <w:sz w:val="20"/>
          <w:szCs w:val="20"/>
          <w:rtl/>
        </w:rPr>
        <w:t>-</w:t>
      </w:r>
      <w:r w:rsidRPr="00DC3A05">
        <w:rPr>
          <w:sz w:val="20"/>
          <w:szCs w:val="20"/>
          <w:rtl/>
        </w:rPr>
        <w:t xml:space="preserve">רדיו </w:t>
      </w:r>
      <w:r w:rsidRPr="00DC3A05">
        <w:rPr>
          <w:rFonts w:hint="cs"/>
          <w:sz w:val="20"/>
          <w:szCs w:val="20"/>
          <w:rtl/>
        </w:rPr>
        <w:t>ש</w:t>
      </w:r>
      <w:r w:rsidRPr="00DC3A05">
        <w:rPr>
          <w:sz w:val="20"/>
          <w:szCs w:val="20"/>
          <w:rtl/>
        </w:rPr>
        <w:t xml:space="preserve">פעלו </w:t>
      </w:r>
      <w:r w:rsidRPr="00DC3A05">
        <w:rPr>
          <w:rFonts w:hint="cs"/>
          <w:sz w:val="20"/>
          <w:szCs w:val="20"/>
          <w:rtl/>
        </w:rPr>
        <w:t xml:space="preserve">עד כה </w:t>
      </w:r>
      <w:r w:rsidRPr="00DC3A05">
        <w:rPr>
          <w:sz w:val="20"/>
          <w:szCs w:val="20"/>
          <w:rtl/>
        </w:rPr>
        <w:t xml:space="preserve">ללא רישיון וזיכיון כדין אינה ראויה בעליל. בית-המשפט פסק </w:t>
      </w:r>
      <w:r w:rsidRPr="00DC3A05">
        <w:rPr>
          <w:rFonts w:hint="cs"/>
          <w:sz w:val="20"/>
          <w:szCs w:val="20"/>
          <w:rtl/>
        </w:rPr>
        <w:t xml:space="preserve">אומנם </w:t>
      </w:r>
      <w:r w:rsidRPr="00DC3A05">
        <w:rPr>
          <w:sz w:val="20"/>
          <w:szCs w:val="20"/>
          <w:rtl/>
        </w:rPr>
        <w:t xml:space="preserve">כי ייתכן </w:t>
      </w:r>
      <w:r w:rsidRPr="00DC3A05">
        <w:rPr>
          <w:rFonts w:hint="cs"/>
          <w:sz w:val="20"/>
          <w:szCs w:val="20"/>
          <w:rtl/>
        </w:rPr>
        <w:t>ש</w:t>
      </w:r>
      <w:r w:rsidRPr="00DC3A05">
        <w:rPr>
          <w:sz w:val="20"/>
          <w:szCs w:val="20"/>
          <w:rtl/>
        </w:rPr>
        <w:t xml:space="preserve">לתיקון לחוק הייתה תכלית נוספת ברמת הפשטה גבוהה יותר – מתן ייצוג תקשורתי פלורליסטי – </w:t>
      </w:r>
      <w:r w:rsidRPr="008E1BB6">
        <w:rPr>
          <w:sz w:val="20"/>
          <w:szCs w:val="20"/>
          <w:highlight w:val="yellow"/>
          <w:rtl/>
        </w:rPr>
        <w:t>אולם נמנע מלדון בשאל</w:t>
      </w:r>
      <w:r w:rsidRPr="008E1BB6">
        <w:rPr>
          <w:rFonts w:hint="cs"/>
          <w:sz w:val="20"/>
          <w:szCs w:val="20"/>
          <w:highlight w:val="yellow"/>
          <w:rtl/>
        </w:rPr>
        <w:t>ת</w:t>
      </w:r>
      <w:r w:rsidRPr="008E1BB6">
        <w:rPr>
          <w:sz w:val="20"/>
          <w:szCs w:val="20"/>
          <w:highlight w:val="yellow"/>
          <w:rtl/>
        </w:rPr>
        <w:t xml:space="preserve"> דינה של חקיקה שחלק מתכליותיה ראויות וחלקן בלתי</w:t>
      </w:r>
      <w:r w:rsidRPr="008E1BB6">
        <w:rPr>
          <w:rFonts w:hint="cs"/>
          <w:sz w:val="20"/>
          <w:szCs w:val="20"/>
          <w:highlight w:val="yellow"/>
          <w:rtl/>
        </w:rPr>
        <w:t>-</w:t>
      </w:r>
      <w:r w:rsidRPr="008E1BB6">
        <w:rPr>
          <w:sz w:val="20"/>
          <w:szCs w:val="20"/>
          <w:highlight w:val="yellow"/>
          <w:rtl/>
        </w:rPr>
        <w:t>ראויות</w:t>
      </w:r>
      <w:r w:rsidRPr="008E1BB6">
        <w:rPr>
          <w:rFonts w:hint="cs"/>
          <w:sz w:val="20"/>
          <w:szCs w:val="20"/>
          <w:highlight w:val="yellow"/>
          <w:rtl/>
        </w:rPr>
        <w:t>,</w:t>
      </w:r>
      <w:r w:rsidRPr="008E1BB6">
        <w:rPr>
          <w:sz w:val="20"/>
          <w:szCs w:val="20"/>
          <w:highlight w:val="yellow"/>
          <w:rtl/>
        </w:rPr>
        <w:t xml:space="preserve"> </w:t>
      </w:r>
      <w:r w:rsidRPr="008E1BB6">
        <w:rPr>
          <w:rFonts w:hint="cs"/>
          <w:sz w:val="20"/>
          <w:szCs w:val="20"/>
          <w:highlight w:val="yellow"/>
          <w:rtl/>
        </w:rPr>
        <w:t xml:space="preserve">לנוכח </w:t>
      </w:r>
      <w:r w:rsidRPr="008E1BB6">
        <w:rPr>
          <w:sz w:val="20"/>
          <w:szCs w:val="20"/>
          <w:highlight w:val="yellow"/>
          <w:rtl/>
        </w:rPr>
        <w:t xml:space="preserve">קביעתו </w:t>
      </w:r>
      <w:r w:rsidRPr="008E1BB6">
        <w:rPr>
          <w:rFonts w:hint="cs"/>
          <w:sz w:val="20"/>
          <w:szCs w:val="20"/>
          <w:highlight w:val="yellow"/>
          <w:rtl/>
        </w:rPr>
        <w:t xml:space="preserve">כי </w:t>
      </w:r>
      <w:r w:rsidRPr="008E1BB6">
        <w:rPr>
          <w:sz w:val="20"/>
          <w:szCs w:val="20"/>
          <w:highlight w:val="yellow"/>
          <w:rtl/>
        </w:rPr>
        <w:t xml:space="preserve">דינו של התיקון לחוק להיפסל </w:t>
      </w:r>
      <w:r w:rsidRPr="008E1BB6">
        <w:rPr>
          <w:rFonts w:hint="cs"/>
          <w:sz w:val="20"/>
          <w:szCs w:val="20"/>
          <w:highlight w:val="yellow"/>
          <w:rtl/>
        </w:rPr>
        <w:t xml:space="preserve">בשל </w:t>
      </w:r>
      <w:r w:rsidRPr="008E1BB6">
        <w:rPr>
          <w:sz w:val="20"/>
          <w:szCs w:val="20"/>
          <w:highlight w:val="yellow"/>
          <w:rtl/>
        </w:rPr>
        <w:t>אי-עמידתו במבחנים האחרים של פסקת ההגבלה</w:t>
      </w:r>
      <w:r w:rsidRPr="00DC3A05">
        <w:rPr>
          <w:sz w:val="20"/>
          <w:szCs w:val="20"/>
          <w:rtl/>
        </w:rPr>
        <w:t xml:space="preserve"> בחוק-יסוד: חופש העיסוק. </w:t>
      </w:r>
    </w:p>
    <w:p w:rsidR="005366A8" w:rsidRDefault="005366A8" w:rsidP="005366A8">
      <w:pPr>
        <w:rPr>
          <w:sz w:val="20"/>
          <w:szCs w:val="20"/>
          <w:rtl/>
        </w:rPr>
      </w:pPr>
    </w:p>
    <w:p w:rsidR="005366A8" w:rsidRDefault="005366A8" w:rsidP="005366A8">
      <w:pPr>
        <w:rPr>
          <w:sz w:val="20"/>
          <w:szCs w:val="20"/>
          <w:rtl/>
        </w:rPr>
      </w:pPr>
      <w:r>
        <w:rPr>
          <w:rFonts w:hint="cs"/>
          <w:sz w:val="20"/>
          <w:szCs w:val="20"/>
          <w:rtl/>
        </w:rPr>
        <w:t>ב</w:t>
      </w:r>
      <w:r w:rsidRPr="00DC3A05">
        <w:rPr>
          <w:rFonts w:hint="cs"/>
          <w:sz w:val="20"/>
          <w:szCs w:val="20"/>
          <w:rtl/>
        </w:rPr>
        <w:t xml:space="preserve">איזה </w:t>
      </w:r>
      <w:r>
        <w:rPr>
          <w:rFonts w:hint="cs"/>
          <w:sz w:val="20"/>
          <w:szCs w:val="20"/>
          <w:rtl/>
        </w:rPr>
        <w:t>מבחן/</w:t>
      </w:r>
      <w:r w:rsidRPr="00DC3A05">
        <w:rPr>
          <w:rFonts w:hint="cs"/>
          <w:sz w:val="20"/>
          <w:szCs w:val="20"/>
          <w:rtl/>
        </w:rPr>
        <w:t xml:space="preserve">מבחנים </w:t>
      </w:r>
      <w:r>
        <w:rPr>
          <w:rFonts w:hint="cs"/>
          <w:sz w:val="20"/>
          <w:szCs w:val="20"/>
          <w:rtl/>
        </w:rPr>
        <w:t xml:space="preserve">אחרים </w:t>
      </w:r>
      <w:r w:rsidRPr="00DC3A05">
        <w:rPr>
          <w:rFonts w:hint="cs"/>
          <w:sz w:val="20"/>
          <w:szCs w:val="20"/>
          <w:rtl/>
        </w:rPr>
        <w:t xml:space="preserve">של פסקת ההגבלה </w:t>
      </w:r>
      <w:r>
        <w:rPr>
          <w:rFonts w:hint="cs"/>
          <w:sz w:val="20"/>
          <w:szCs w:val="20"/>
          <w:rtl/>
        </w:rPr>
        <w:t>לא עמד החוק</w:t>
      </w:r>
      <w:r w:rsidRPr="00DC3A05">
        <w:rPr>
          <w:rFonts w:hint="cs"/>
          <w:sz w:val="20"/>
          <w:szCs w:val="20"/>
          <w:rtl/>
        </w:rPr>
        <w:t>?</w:t>
      </w:r>
      <w:r>
        <w:rPr>
          <w:rFonts w:hint="cs"/>
          <w:sz w:val="20"/>
          <w:szCs w:val="20"/>
          <w:rtl/>
        </w:rPr>
        <w:t xml:space="preserve"> </w:t>
      </w:r>
    </w:p>
    <w:p w:rsidR="005366A8" w:rsidRDefault="005366A8" w:rsidP="005366A8">
      <w:pPr>
        <w:rPr>
          <w:sz w:val="20"/>
          <w:szCs w:val="20"/>
          <w:rtl/>
        </w:rPr>
      </w:pPr>
      <w:r w:rsidRPr="005D2F2B">
        <w:rPr>
          <w:rFonts w:hint="cs"/>
          <w:b/>
          <w:bCs/>
          <w:sz w:val="20"/>
          <w:szCs w:val="20"/>
          <w:rtl/>
        </w:rPr>
        <w:t>בדרישת המידתיות.</w:t>
      </w:r>
      <w:r>
        <w:rPr>
          <w:rFonts w:hint="cs"/>
          <w:sz w:val="20"/>
          <w:szCs w:val="20"/>
          <w:rtl/>
        </w:rPr>
        <w:t xml:space="preserve"> בית המשפט מצא כאן בעיה למול כל אחד ממבחני המשנה של דרישה זו. [סע' 41-36 לפסה"ד]</w:t>
      </w:r>
    </w:p>
    <w:p w:rsidR="005366A8" w:rsidRDefault="005366A8" w:rsidP="005366A8">
      <w:pPr>
        <w:rPr>
          <w:sz w:val="20"/>
          <w:szCs w:val="20"/>
          <w:rtl/>
        </w:rPr>
      </w:pPr>
      <w:r>
        <w:rPr>
          <w:rFonts w:hint="cs"/>
          <w:sz w:val="20"/>
          <w:szCs w:val="20"/>
          <w:rtl/>
        </w:rPr>
        <w:t xml:space="preserve">הערה: שימו לב כי כדי שהוראת חוק הפוגעת בזכות חוקתית תמצא תקפה עליה לעמוד, בין היתר, בכל מבחני המשנה של המידתיות. כלומר אם היא כושלת, </w:t>
      </w:r>
      <w:r w:rsidRPr="000B24E7">
        <w:rPr>
          <w:rFonts w:hint="cs"/>
          <w:b/>
          <w:bCs/>
          <w:sz w:val="20"/>
          <w:szCs w:val="20"/>
          <w:rtl/>
        </w:rPr>
        <w:t>ולו באחד מהם</w:t>
      </w:r>
      <w:r>
        <w:rPr>
          <w:rFonts w:hint="cs"/>
          <w:sz w:val="20"/>
          <w:szCs w:val="20"/>
          <w:rtl/>
        </w:rPr>
        <w:t>, היא צפויה להימצא בלתי תקפה. כאן מצא בית המשפט בעיה לא באחד ממבחני המשנה אלא בכולם; כלומר הוא מצא בעיה מוגברת; ואולם לצורך פסילת הוראת החוק, די אם היה מוצא בעיה ממשית באחד מאותם מבחני משנה.</w:t>
      </w:r>
    </w:p>
    <w:p w:rsidR="005366A8" w:rsidRPr="00DC3A05" w:rsidRDefault="005366A8" w:rsidP="005366A8">
      <w:pPr>
        <w:rPr>
          <w:sz w:val="20"/>
          <w:szCs w:val="20"/>
          <w:rtl/>
        </w:rPr>
      </w:pPr>
    </w:p>
    <w:p w:rsidR="005366A8" w:rsidRDefault="005366A8" w:rsidP="005366A8">
      <w:pPr>
        <w:rPr>
          <w:rtl/>
        </w:rPr>
      </w:pPr>
      <w:r>
        <w:rPr>
          <w:rFonts w:hint="cs"/>
          <w:rtl/>
        </w:rPr>
        <w:t>=-=</w:t>
      </w:r>
    </w:p>
    <w:p w:rsidR="005366A8" w:rsidRDefault="005366A8" w:rsidP="005366A8">
      <w:pPr>
        <w:rPr>
          <w:i/>
          <w:iCs/>
          <w:sz w:val="22"/>
          <w:szCs w:val="22"/>
          <w:rtl/>
        </w:rPr>
      </w:pPr>
      <w:r>
        <w:rPr>
          <w:rFonts w:hint="cs"/>
          <w:i/>
          <w:iCs/>
          <w:sz w:val="22"/>
          <w:szCs w:val="22"/>
          <w:rtl/>
        </w:rPr>
        <w:t>אנא קראו לפגישה הקרובה את הדפים שלהלן, העוסקי ב</w:t>
      </w:r>
      <w:r w:rsidRPr="003B2CBF">
        <w:rPr>
          <w:i/>
          <w:iCs/>
          <w:sz w:val="22"/>
          <w:szCs w:val="22"/>
          <w:rtl/>
        </w:rPr>
        <w:t xml:space="preserve">פס"ד </w:t>
      </w:r>
      <w:r w:rsidRPr="003B2CBF">
        <w:rPr>
          <w:b/>
          <w:bCs/>
          <w:i/>
          <w:iCs/>
          <w:sz w:val="22"/>
          <w:szCs w:val="22"/>
          <w:rtl/>
        </w:rPr>
        <w:t>יקותיאלי</w:t>
      </w:r>
      <w:r w:rsidRPr="003B2CBF">
        <w:rPr>
          <w:i/>
          <w:iCs/>
          <w:sz w:val="22"/>
          <w:szCs w:val="22"/>
          <w:rtl/>
        </w:rPr>
        <w:t xml:space="preserve">. </w:t>
      </w:r>
    </w:p>
    <w:p w:rsidR="005366A8" w:rsidRPr="003B2CBF" w:rsidRDefault="005366A8" w:rsidP="005366A8">
      <w:pPr>
        <w:rPr>
          <w:i/>
          <w:iCs/>
          <w:sz w:val="22"/>
          <w:szCs w:val="22"/>
          <w:rtl/>
        </w:rPr>
      </w:pPr>
      <w:r w:rsidRPr="003B2CBF">
        <w:rPr>
          <w:i/>
          <w:iCs/>
          <w:sz w:val="22"/>
          <w:szCs w:val="22"/>
          <w:rtl/>
        </w:rPr>
        <w:t xml:space="preserve">דפים אלו עומדים על חלקים מהויכוח המלווה את קצבאות הבטחת הכנסה לאברכים. </w:t>
      </w:r>
      <w:r>
        <w:rPr>
          <w:rFonts w:hint="cs"/>
          <w:i/>
          <w:iCs/>
          <w:sz w:val="22"/>
          <w:szCs w:val="22"/>
          <w:rtl/>
        </w:rPr>
        <w:t xml:space="preserve">כמו כן </w:t>
      </w:r>
      <w:r w:rsidRPr="003B2CBF">
        <w:rPr>
          <w:i/>
          <w:iCs/>
          <w:sz w:val="22"/>
          <w:szCs w:val="22"/>
          <w:rtl/>
        </w:rPr>
        <w:t>מופיעים בדפים גם כמה קטעים מתוך</w:t>
      </w:r>
      <w:r>
        <w:rPr>
          <w:rFonts w:hint="cs"/>
          <w:i/>
          <w:iCs/>
          <w:sz w:val="22"/>
          <w:szCs w:val="22"/>
          <w:rtl/>
        </w:rPr>
        <w:t xml:space="preserve"> פס"ד</w:t>
      </w:r>
      <w:r w:rsidRPr="003B2CBF">
        <w:rPr>
          <w:i/>
          <w:iCs/>
          <w:sz w:val="22"/>
          <w:szCs w:val="22"/>
          <w:rtl/>
        </w:rPr>
        <w:t xml:space="preserve"> </w:t>
      </w:r>
      <w:r w:rsidRPr="003B2CBF">
        <w:rPr>
          <w:b/>
          <w:bCs/>
          <w:i/>
          <w:iCs/>
          <w:sz w:val="22"/>
          <w:szCs w:val="22"/>
          <w:rtl/>
        </w:rPr>
        <w:t>יקותיאלי</w:t>
      </w:r>
      <w:r w:rsidRPr="003B2CBF">
        <w:rPr>
          <w:i/>
          <w:iCs/>
          <w:sz w:val="22"/>
          <w:szCs w:val="22"/>
          <w:rtl/>
        </w:rPr>
        <w:t>, וכן סעיפים מתוך חוק יסודות התקציב, התשמ"ה-1985</w:t>
      </w:r>
    </w:p>
    <w:p w:rsidR="005366A8" w:rsidRDefault="005366A8" w:rsidP="005366A8">
      <w:pPr>
        <w:rPr>
          <w:rtl/>
        </w:rPr>
      </w:pPr>
    </w:p>
    <w:p w:rsidR="005366A8" w:rsidRPr="00D62234" w:rsidRDefault="005366A8" w:rsidP="005366A8">
      <w:pPr>
        <w:jc w:val="center"/>
        <w:rPr>
          <w:rFonts w:ascii="Arial" w:hAnsi="Arial" w:cs="Guttman-Soncino"/>
          <w:b/>
          <w:bCs/>
          <w:u w:val="single"/>
          <w:rtl/>
        </w:rPr>
      </w:pPr>
      <w:r>
        <w:rPr>
          <w:rFonts w:ascii="Arial" w:hAnsi="Arial" w:cs="Guttman-Soncino" w:hint="cs"/>
          <w:b/>
          <w:bCs/>
          <w:highlight w:val="yellow"/>
          <w:u w:val="single"/>
          <w:rtl/>
        </w:rPr>
        <w:t xml:space="preserve">סוגיה מיוחדת: </w:t>
      </w:r>
      <w:r w:rsidRPr="00D62234">
        <w:rPr>
          <w:rFonts w:ascii="Arial" w:hAnsi="Arial" w:cs="Guttman-Soncino"/>
          <w:b/>
          <w:bCs/>
          <w:highlight w:val="yellow"/>
          <w:u w:val="single"/>
          <w:rtl/>
        </w:rPr>
        <w:t>ביקורת שיפוטית על תוקפו של חוק מכוח חוק אחר</w:t>
      </w:r>
      <w:r w:rsidRPr="00D62234">
        <w:rPr>
          <w:rFonts w:ascii="Arial" w:hAnsi="Arial" w:cs="Guttman-Soncino" w:hint="cs"/>
          <w:b/>
          <w:bCs/>
          <w:u w:val="single"/>
          <w:rtl/>
        </w:rPr>
        <w:t xml:space="preserve"> </w:t>
      </w:r>
      <w:r w:rsidRPr="00D62234">
        <w:rPr>
          <w:rFonts w:ascii="Arial" w:hAnsi="Arial" w:cs="Guttman-Soncino"/>
          <w:b/>
          <w:bCs/>
          <w:u w:val="single"/>
          <w:rtl/>
        </w:rPr>
        <w:t>–</w:t>
      </w:r>
      <w:r w:rsidRPr="00D62234">
        <w:rPr>
          <w:rFonts w:ascii="Arial" w:hAnsi="Arial" w:cs="Guttman-Soncino" w:hint="cs"/>
          <w:b/>
          <w:bCs/>
          <w:u w:val="single"/>
          <w:rtl/>
        </w:rPr>
        <w:t xml:space="preserve"> פס"ד </w:t>
      </w:r>
      <w:r w:rsidRPr="00D62234">
        <w:rPr>
          <w:rFonts w:ascii="Arial" w:hAnsi="Arial" w:cs="Guttman-Soncino" w:hint="cs"/>
          <w:b/>
          <w:bCs/>
          <w:i/>
          <w:iCs/>
          <w:u w:val="single"/>
          <w:rtl/>
        </w:rPr>
        <w:t>יקותיאלי</w:t>
      </w:r>
    </w:p>
    <w:p w:rsidR="005366A8" w:rsidRPr="00935E12" w:rsidRDefault="005D7968" w:rsidP="005366A8">
      <w:pPr>
        <w:shd w:val="clear" w:color="auto" w:fill="FFFFFF"/>
        <w:spacing w:before="180"/>
        <w:outlineLvl w:val="2"/>
        <w:rPr>
          <w:rFonts w:ascii="Arial" w:hAnsi="Arial"/>
          <w:b/>
          <w:bCs/>
          <w:color w:val="222222"/>
          <w:sz w:val="33"/>
          <w:szCs w:val="33"/>
          <w:rtl/>
        </w:rPr>
      </w:pPr>
      <w:hyperlink r:id="rId172" w:history="1">
        <w:r w:rsidR="005366A8" w:rsidRPr="00935E12">
          <w:rPr>
            <w:b/>
            <w:bCs/>
            <w:color w:val="CC6411"/>
            <w:szCs w:val="33"/>
            <w:rtl/>
          </w:rPr>
          <w:t>החוקיות של הענקת קצבאות הבטחת הכנסה ל"אברכי כוללים"</w:t>
        </w:r>
      </w:hyperlink>
      <w:r w:rsidR="005366A8" w:rsidRPr="00935E12">
        <w:rPr>
          <w:rFonts w:ascii="Arial" w:hAnsi="Arial"/>
          <w:b/>
          <w:bCs/>
          <w:color w:val="222222"/>
          <w:sz w:val="33"/>
          <w:szCs w:val="33"/>
          <w:rtl/>
        </w:rPr>
        <w:t xml:space="preserve"> </w:t>
      </w:r>
    </w:p>
    <w:p w:rsidR="005366A8" w:rsidRPr="00AB153B" w:rsidRDefault="005366A8" w:rsidP="005366A8">
      <w:pPr>
        <w:shd w:val="clear" w:color="auto" w:fill="FFFFFF"/>
        <w:rPr>
          <w:rFonts w:ascii="Arial" w:hAnsi="Arial" w:cs="Arial"/>
          <w:color w:val="222222"/>
          <w:sz w:val="18"/>
          <w:szCs w:val="18"/>
          <w:rtl/>
        </w:rPr>
      </w:pPr>
      <w:r w:rsidRPr="00935E12">
        <w:rPr>
          <w:rFonts w:ascii="Arial" w:hAnsi="Arial"/>
          <w:b/>
          <w:bCs/>
          <w:color w:val="222222"/>
          <w:rtl/>
        </w:rPr>
        <w:t>ברק מדינה</w:t>
      </w:r>
      <w:r w:rsidRPr="00935E12">
        <w:rPr>
          <w:rFonts w:ascii="Arial" w:hAnsi="Arial"/>
          <w:color w:val="222222"/>
          <w:rtl/>
        </w:rPr>
        <w:br/>
      </w:r>
      <w:r w:rsidRPr="00935E12">
        <w:rPr>
          <w:rFonts w:ascii="Arial" w:hAnsi="Arial"/>
          <w:color w:val="222222"/>
          <w:rtl/>
        </w:rPr>
        <w:br/>
      </w:r>
      <w:r w:rsidRPr="00AB153B">
        <w:rPr>
          <w:rFonts w:ascii="Arial" w:hAnsi="Arial" w:cs="Arial"/>
          <w:i/>
          <w:iCs/>
          <w:color w:val="222222"/>
          <w:sz w:val="18"/>
          <w:szCs w:val="18"/>
          <w:rtl/>
        </w:rPr>
        <w:t xml:space="preserve">כידוע, בית-המשפט הגבוה לצדק הכריע בסוגיה זו לאחרונה (בג"ץ 4124/00 בעניין </w:t>
      </w:r>
      <w:hyperlink r:id="rId173" w:history="1">
        <w:r w:rsidRPr="00AB153B">
          <w:rPr>
            <w:rFonts w:ascii="Arial" w:hAnsi="Arial" w:cs="Arial"/>
            <w:i/>
            <w:iCs/>
            <w:color w:val="CC6411"/>
            <w:sz w:val="18"/>
            <w:szCs w:val="18"/>
            <w:rtl/>
          </w:rPr>
          <w:t>יקותיאלי</w:t>
        </w:r>
      </w:hyperlink>
      <w:r w:rsidRPr="00AB153B">
        <w:rPr>
          <w:rFonts w:ascii="Arial" w:hAnsi="Arial" w:cs="Arial"/>
          <w:i/>
          <w:iCs/>
          <w:color w:val="222222"/>
          <w:sz w:val="18"/>
          <w:szCs w:val="18"/>
          <w:rtl/>
        </w:rPr>
        <w:t>), וקבע כי החל משנת התקציב 2011, "לא תעמוד עוד התמיכה באברכי כוללים מכוח הסעיף התקציבי בחוק התקציב השנתי". בעקבות פסק-הדין נדונה כעת בממשלה ובכנסת הצעת חוק, שנועדה לאפשר את המשך הענקת הקצבאות. בשורות הבאות אני מבקש לבחון באופן ביקורתי את ההכרעה של בג"ץ בנושא ולהעיר הערות לגבי החוקיות של הצעת החוק האמורה.</w:t>
      </w:r>
      <w:r w:rsidRPr="00AB153B">
        <w:rPr>
          <w:rFonts w:ascii="Arial" w:hAnsi="Arial" w:cs="Arial"/>
          <w:color w:val="222222"/>
          <w:sz w:val="18"/>
          <w:szCs w:val="18"/>
          <w:rtl/>
        </w:rPr>
        <w:br/>
      </w:r>
      <w:r w:rsidRPr="00AB153B">
        <w:rPr>
          <w:rFonts w:ascii="Arial" w:hAnsi="Arial" w:cs="Arial"/>
          <w:color w:val="222222"/>
          <w:sz w:val="18"/>
          <w:szCs w:val="18"/>
          <w:rtl/>
        </w:rPr>
        <w:br/>
        <w:t xml:space="preserve">1. </w:t>
      </w:r>
      <w:r w:rsidRPr="00AB153B">
        <w:rPr>
          <w:rFonts w:ascii="Arial" w:hAnsi="Arial" w:cs="Arial"/>
          <w:b/>
          <w:bCs/>
          <w:color w:val="222222"/>
          <w:sz w:val="18"/>
          <w:szCs w:val="18"/>
          <w:rtl/>
        </w:rPr>
        <w:t>חוק התקציב כמקור סמכות</w:t>
      </w:r>
      <w:r w:rsidRPr="00AB153B">
        <w:rPr>
          <w:rFonts w:ascii="Arial" w:hAnsi="Arial" w:cs="Arial"/>
          <w:color w:val="222222"/>
          <w:sz w:val="18"/>
          <w:szCs w:val="18"/>
          <w:rtl/>
        </w:rPr>
        <w:t xml:space="preserve">. אחת הסוגיות שהתעוררו בפרשה הנדונה היא היחס שבין ההסדר הקבוע בחוק "מהותי", כלומר החוק הקובע את סמכותה של המדינה, ולעיתים אף חובתה, לשלם קצבאות (במקרה הנדון, </w:t>
      </w:r>
      <w:r w:rsidRPr="00AB153B">
        <w:rPr>
          <w:rFonts w:ascii="Arial" w:hAnsi="Arial" w:cs="Arial"/>
          <w:color w:val="222222"/>
          <w:sz w:val="18"/>
          <w:szCs w:val="18"/>
          <w:highlight w:val="yellow"/>
          <w:rtl/>
        </w:rPr>
        <w:t>חוק הבטחת הכנסה, תשמ"א-1980</w:t>
      </w:r>
      <w:r w:rsidRPr="00AB153B">
        <w:rPr>
          <w:rFonts w:ascii="Arial" w:hAnsi="Arial" w:cs="Arial"/>
          <w:color w:val="222222"/>
          <w:sz w:val="18"/>
          <w:szCs w:val="18"/>
          <w:rtl/>
        </w:rPr>
        <w:t>), לבין הוראות בחוק התקציב. בפרט, השאלה היא באילו נסיבות יש לפרש את הוראות החוק המהותי כ"הסדר שלילי", כך שהמדינה אינה רשאית לשלם קצבאות בתחומים המוסדרים בחוק זה, שלא בהתאם לאמות-המידה הקבועות בו.</w:t>
      </w:r>
      <w:r w:rsidRPr="00AB153B">
        <w:rPr>
          <w:rFonts w:ascii="Arial" w:hAnsi="Arial" w:cs="Arial"/>
          <w:color w:val="222222"/>
          <w:sz w:val="18"/>
          <w:szCs w:val="18"/>
          <w:rtl/>
        </w:rPr>
        <w:br/>
        <w:t>בהקשר הנדון, בסעיף 2 לחוק נקבעו תנאים שונים, שמי שמתקיים בו לפחות אחד מהם זכאי לגמלת הבטחת הכנסה; אך בסעיף 3 נקבע לכך סייג, שלפיו, בין היתר, "תלמיד הלומד במוסד שקבע השר בתקנות ובתנאים שקבע" לא יהיה זכאי לגמלה, אף אם מתקיים בו אחד התנאים שבסעיף 2. מכוח התקנות שהותקנו על-פי סעיף 3, נשללת הזכאות לגמלה מסטודנטים באוניברסיטאות, במוסדות להשכלה גבוהה וללימודים על-תיכוניים, מתלמידים בישיבות ובמוסדות תורניים. למרות הוראה זו, שנקבעה בסמוך לכניסת חוק הבטחת הכנסה לתוקף, ב- 1982, שולמה גמלה, שכונתה "גמלת הבטחת הכנסת מינימום" לתלמידים הלומדים בישיבות ("אברכי כוללים"), וזאת מכוח סעיף בחוק התקציב השנתי. הסעיף הזה נכלל בכל חוקי התקציב השנתיים מאז נכנס חוק הבטחת הכנסה לתוקף, כלומר מ- 1982 ועד 2010.</w:t>
      </w:r>
      <w:r w:rsidRPr="00AB153B">
        <w:rPr>
          <w:rFonts w:ascii="Arial" w:hAnsi="Arial" w:cs="Arial"/>
          <w:color w:val="222222"/>
          <w:sz w:val="18"/>
          <w:szCs w:val="18"/>
          <w:rtl/>
        </w:rPr>
        <w:br/>
        <w:t>האם הכנסת רשאית לקבוע הוראה בחוק התקציב המרחיבה את סכום הקצבאות או את הזכאים להן, מעבר לקבוע בחוק הבטחת הכנסה? סוגיה זו נדונה כבר בעבר, ובית-המשפט נמנע עד כה מלשלול את התוקף של הרחבה כזו (דוגמא מפורסמת לכך היא בג"ץ 381/91 בעניין גרוס, שם נקבע כי "החוק קובע הסדרי מינימום לחיילים משוחררים אך אין בו כדי למנוע מן הממשלה לתת יותר לאוכלוסיה חלקית מקרב החיילים המשוחררים... . הכנסת רשאית להקציב [בחוק התקציב – ב"מ] כספים נוספים למטרה זו... מעבר למה שהעניקה בחוק החיילים המשוחררים").</w:t>
      </w:r>
      <w:r w:rsidRPr="00AB153B">
        <w:rPr>
          <w:rFonts w:ascii="Arial" w:hAnsi="Arial" w:cs="Arial"/>
          <w:color w:val="222222"/>
          <w:sz w:val="18"/>
          <w:szCs w:val="18"/>
          <w:rtl/>
        </w:rPr>
        <w:br/>
        <w:t xml:space="preserve">הסוגיה הזו לא הוכרעה בפרשת יקותיאלי (פס' 27 לפסק-הדין של הנשיאה ביניש), שכן ההוראה הנדונה בחוק התקציב נפסלה מטעם אחר, כמפורט להלן. אציין עם זאת כמה שיקולים עיקריים בהקשר זה: לכאורה, במקרה הטיפוסי החוק ה"מהותי" אינו קובע הוראות מפורשות בדבר הסדר שלילי. החוק קובע את התנאים שבהם קמה לאזרח הזכות </w:t>
      </w:r>
      <w:r>
        <w:rPr>
          <w:rFonts w:ascii="Arial" w:hAnsi="Arial" w:cs="Arial" w:hint="cs"/>
          <w:color w:val="222222"/>
          <w:sz w:val="18"/>
          <w:szCs w:val="18"/>
          <w:rtl/>
        </w:rPr>
        <w:t xml:space="preserve">.. </w:t>
      </w:r>
      <w:r w:rsidRPr="00AB153B">
        <w:rPr>
          <w:rFonts w:ascii="Arial" w:hAnsi="Arial" w:cs="Arial"/>
          <w:color w:val="222222"/>
          <w:sz w:val="18"/>
          <w:szCs w:val="18"/>
          <w:rtl/>
        </w:rPr>
        <w:t>לקבלת הגמלה. חוק התקציב אינו מקנה לאזרח זכות דומה, אלא רק מעניק לממשלה הרשאה להעניק גמלאות נוספות. קשה גם לתחום את היקף התחולה של החוק המהותי: למשל, חוק הבטחת הכנסה מקנה לזכאים לכך גמלה בסכום מסוים, שאינו תלוי בהיקף הבקשות האחרות לגמלה; בעוד שחוק התקציב קובע סכום כללי (במקרה הנדון, כ- 110 מיליון ש"ח) שיחולק בין הזכאים, כך שסכום הגמלה משתנה משנה לשנה (כפי שאכן אירע במקרה הנדון).</w:t>
      </w:r>
      <w:r w:rsidRPr="00AB153B">
        <w:rPr>
          <w:rFonts w:ascii="Arial" w:hAnsi="Arial" w:cs="Arial"/>
          <w:color w:val="222222"/>
          <w:sz w:val="18"/>
          <w:szCs w:val="18"/>
          <w:rtl/>
        </w:rPr>
        <w:br/>
        <w:t xml:space="preserve">אולם, אני סבור שראוי לצמצם במידה ניכרת את כוחה של הממשלה להקצות כספים מכוח הוראות מסוג זה בחוק התקציב. במישור העקרוני, ראוי לשאוף לכך שאמות המידה לתקצוב יקבעו על-ידי הכנסת (בחוק המהותי) או לפחות יהיו כפופות לאישורה (בתקנות הנקבעות מכוח החוק המהותי). יעד זה אינו מושג כאשר ההקצאה היא מכוח חוק התקציב. בחוק התקציב אין נקבעות אמות מידה להקצאת הגמלאות, והסמכות לקבוע את ה"מבחנים" מסורה ל"הממונה על סעיף התקציב", כלומר לשר הנוגע בדבר (סעיף 3א </w:t>
      </w:r>
      <w:r w:rsidRPr="0098360B">
        <w:rPr>
          <w:rFonts w:ascii="Arial" w:hAnsi="Arial" w:cs="Arial"/>
          <w:color w:val="222222"/>
          <w:sz w:val="18"/>
          <w:szCs w:val="18"/>
          <w:highlight w:val="yellow"/>
          <w:rtl/>
        </w:rPr>
        <w:t>לחוק יסודות התקציב, תשמ"ה-1985</w:t>
      </w:r>
      <w:r w:rsidRPr="00AB153B">
        <w:rPr>
          <w:rFonts w:ascii="Arial" w:hAnsi="Arial" w:cs="Arial"/>
          <w:color w:val="222222"/>
          <w:sz w:val="18"/>
          <w:szCs w:val="18"/>
          <w:rtl/>
        </w:rPr>
        <w:t>). המבחנים להקצאה אינם טעונים אישור הכנסת, ובמרבית המקרים הם מתפרסמים רק לאחר האישור של חוק התקציב. קושי זה קיים גם אם אין הסדר של הנושא בחוק המהותי, אך הוא מתעצם כאשר הכנסת כבר הכריעה בסוגיה בחוק מהותי.</w:t>
      </w:r>
      <w:r w:rsidRPr="00AB153B">
        <w:rPr>
          <w:rFonts w:ascii="Arial" w:hAnsi="Arial" w:cs="Arial"/>
          <w:color w:val="222222"/>
          <w:sz w:val="18"/>
          <w:szCs w:val="18"/>
          <w:rtl/>
        </w:rPr>
        <w:br/>
        <w:t xml:space="preserve">במישור הקונקרטי הנדון כאן, אני סבור שיש בסיס סביר למסקנה שהחוק המהותי קובע הסדר שלילי. </w:t>
      </w:r>
      <w:r w:rsidRPr="00AB153B">
        <w:rPr>
          <w:rFonts w:ascii="Arial" w:hAnsi="Arial" w:cs="Arial"/>
          <w:color w:val="222222"/>
          <w:sz w:val="18"/>
          <w:szCs w:val="18"/>
          <w:highlight w:val="yellow"/>
          <w:rtl/>
        </w:rPr>
        <w:t>התכלית של חוק הבטחת הכנסה היא להבטיח קיום בסיסי בכבוד למי שאינו מסוגל להתפרנס, והכנסת נדרשה לשאלה האם הקדשת זמנו של אדם ללימודים צריכה להיחשב ככזו השוללת ממנו את היכולת להתפרנס. ההכרעה בשאלה זו אינה מובנת מאליה, ויתכן שעמדת הכנסת בעניין זה היא שגויה, בין משום שראוי להכיר בלימודים ככלל כסיבה ראויה לחוסר יכולת לעבוד ולהתפרנס, ובין משום שראוי להבחין לעניין זה בין לימודים במסגרות שונות או בתחומים שונים. אך זו הכרעה ברורה של הכנסת, וההכרה באפשרות לסטות ממנה באמצעות הרשאה בחוק התקציב אינה רצויה</w:t>
      </w:r>
      <w:r w:rsidRPr="00AB153B">
        <w:rPr>
          <w:rFonts w:ascii="Arial" w:hAnsi="Arial" w:cs="Arial"/>
          <w:color w:val="222222"/>
          <w:sz w:val="18"/>
          <w:szCs w:val="18"/>
          <w:rtl/>
        </w:rPr>
        <w:t>. אין מניעה לפיכך לקבוע כי ההרשאה שבחוק התקציב אינה מתירה לממשלה לפעול בניגוד לקבוע בחוק המהותי, במקרה זה חוק הבטחת הכנסה.</w:t>
      </w:r>
      <w:r>
        <w:rPr>
          <w:rFonts w:ascii="Arial" w:hAnsi="Arial" w:cs="Arial" w:hint="cs"/>
          <w:color w:val="222222"/>
          <w:sz w:val="18"/>
          <w:szCs w:val="18"/>
          <w:rtl/>
        </w:rPr>
        <w:t xml:space="preserve"> [...]</w:t>
      </w:r>
    </w:p>
    <w:p w:rsidR="005366A8" w:rsidRDefault="005366A8" w:rsidP="005366A8">
      <w:pPr>
        <w:rPr>
          <w:rFonts w:ascii="Arial" w:hAnsi="Arial" w:cs="Arial"/>
          <w:color w:val="222222"/>
          <w:sz w:val="18"/>
          <w:szCs w:val="18"/>
          <w:rtl/>
        </w:rPr>
      </w:pPr>
      <w:r w:rsidRPr="00AB153B">
        <w:rPr>
          <w:rFonts w:ascii="Arial" w:hAnsi="Arial" w:cs="Arial"/>
          <w:color w:val="222222"/>
          <w:sz w:val="18"/>
          <w:szCs w:val="18"/>
          <w:rtl/>
        </w:rPr>
        <w:br/>
        <w:t xml:space="preserve">2. </w:t>
      </w:r>
      <w:r w:rsidRPr="00AB153B">
        <w:rPr>
          <w:rFonts w:ascii="Arial" w:hAnsi="Arial" w:cs="Arial"/>
          <w:b/>
          <w:bCs/>
          <w:color w:val="222222"/>
          <w:sz w:val="18"/>
          <w:szCs w:val="18"/>
          <w:rtl/>
        </w:rPr>
        <w:t>קביעת "מבחנים" להקצאת הגמלה</w:t>
      </w:r>
      <w:r w:rsidRPr="00AB153B">
        <w:rPr>
          <w:rFonts w:ascii="Arial" w:hAnsi="Arial" w:cs="Arial"/>
          <w:color w:val="222222"/>
          <w:sz w:val="18"/>
          <w:szCs w:val="18"/>
          <w:rtl/>
        </w:rPr>
        <w:t xml:space="preserve">. בנסיבות שבהן החוק המהותי אינו מתפרש כקובע "הסדר שלילי", כך שניתן עקרונית להקצות כספים גם מכוח הוראה בחוק התקציב, חלה מכוח סעיף 3א לחוק יסודות התקציב החובה לקבוע "מבחנים שוויוניים" שלפיהם יוענקו הגמלאות. </w:t>
      </w:r>
      <w:r w:rsidRPr="00AB153B">
        <w:rPr>
          <w:rFonts w:ascii="Arial" w:hAnsi="Arial" w:cs="Arial"/>
          <w:color w:val="222222"/>
          <w:sz w:val="18"/>
          <w:szCs w:val="18"/>
          <w:highlight w:val="yellow"/>
          <w:rtl/>
        </w:rPr>
        <w:t>בהקשר הנדון כאן, הופרה הדרישה לקבוע "מבחנים" במשך כעשרים שנים: לכל אורך השנים שבהן הוקצו הכספים שנועדו, לפי הסעיף בחוק התקציב, לשם "הבטחת הכנסת מינימום לאברכי כוללים", משנת 1982 ואילך, לא נקבעו מבחנים. סכום התמיכה, למעלה מ- 100 מיליון ש"ח בשנה, הוקצה בין האברכים בהתאם לשיקולים עלומים. בפסק-דינו בעניין יקותיאלי ציין בית-המשפט בהקשר זה כך: "רק לאחר הגשת העתירה [בשנת 2000 – ב"מ] החלה המדינה בגיבוש קריטריונים לקביעת הזכאות לקבלת גמלת הבטחת הכנסה מכוח הסעיף התקציבי. במהלך בירור העתירה ניסו העותרים מספר פעמים לקבל עדכון על ההליכים לקביעת הקריטריונים ופנו למדינה בבקשה לקבל עותק מהמלצות הוועדות השונות, אך נענו בשלילה. גם לאחר שנקבעו הקריטריונים סירבה המדינה להעביר עותק מן הקריטריונים לעיון העותרים ובית-המשפט, ורק בשנת 2005, כשני עשורים לאחר שהחל תשלום הגמלה, העבירה המדינה לעיון הצדדים את הקריטריונים". אפשר רק לתמוה מדוע לא ניתנה הכרעה שיפוטית בעניין זה כבר בסמוך להגשת העתירה, בשנת 2000, הקובעת שאין להקצות את הכספים בטרם נקבעו ופורסמו כדין המבחנים.</w:t>
      </w:r>
      <w:r w:rsidRPr="00AB153B">
        <w:rPr>
          <w:rFonts w:ascii="Arial" w:hAnsi="Arial" w:cs="Arial"/>
          <w:color w:val="222222"/>
          <w:sz w:val="18"/>
          <w:szCs w:val="18"/>
          <w:rtl/>
        </w:rPr>
        <w:br/>
        <w:t>כאמור, בשנת 2005 פורסמו המבחנים, ולפיהם זכאי לגמלה אברך, שהוא אזרח ישראל או תושב קבע, הלומד בכולל, המקיים שורה של תנאים, ובהם: יש לו שלושה ילדים לפחות, הכנסתו החודשית הכוללת אינה עולה על 60% מגובה הגמלה המשולמת מכוח ההרשאה התקציבית הנדונה, ואין בידי האברך ומשפחתו דירה נוספת, עסק או כלי רכב. מעת שנקבע בחוק התקציב כי הגמלה משולמת ל"הבטחת הכנסת מינימום לאברכי כוללים", קבוצת השוויון הרלבנטית כאן היא מצומצמת, והשאלה האם המבחנים שנקבעו הם שוויוניים היא בעלת משמעות מוגבלת למדי. השאלה העיקרית היא האם יש מגבלה על כוחה של הכנסת (והממשלה) להקצות כספי גמלה אך ורק לאברכי כוללים.</w:t>
      </w:r>
    </w:p>
    <w:p w:rsidR="005366A8" w:rsidRDefault="005366A8" w:rsidP="005366A8">
      <w:pPr>
        <w:rPr>
          <w:rFonts w:ascii="Arial" w:hAnsi="Arial" w:cs="Arial"/>
          <w:sz w:val="18"/>
          <w:szCs w:val="18"/>
          <w:rtl/>
        </w:rPr>
      </w:pPr>
      <w:r w:rsidRPr="00AB153B">
        <w:rPr>
          <w:rFonts w:ascii="Arial" w:hAnsi="Arial" w:cs="Arial"/>
          <w:color w:val="222222"/>
          <w:sz w:val="18"/>
          <w:szCs w:val="18"/>
          <w:rtl/>
        </w:rPr>
        <w:br/>
        <w:t xml:space="preserve">3. </w:t>
      </w:r>
      <w:r w:rsidRPr="00AB153B">
        <w:rPr>
          <w:rFonts w:ascii="Arial" w:hAnsi="Arial" w:cs="Arial"/>
          <w:b/>
          <w:bCs/>
          <w:color w:val="222222"/>
          <w:sz w:val="18"/>
          <w:szCs w:val="18"/>
          <w:highlight w:val="yellow"/>
          <w:rtl/>
        </w:rPr>
        <w:t>העיגון הפורמאלי לאיסור להפלות בחוק יסודות התקציב</w:t>
      </w:r>
      <w:r w:rsidRPr="00AB153B">
        <w:rPr>
          <w:rFonts w:ascii="Arial" w:hAnsi="Arial" w:cs="Arial"/>
          <w:color w:val="222222"/>
          <w:sz w:val="18"/>
          <w:szCs w:val="18"/>
          <w:highlight w:val="yellow"/>
          <w:rtl/>
        </w:rPr>
        <w:t>. בפרשת יקותיאלי קבע בית-המשפט כי הסעיף שבחוק התקציב בדבר הרשאה להעניק "הבטחת הכנסת מינימום לאברכי כוללים" אינו תקף, משום שהוא מפר את עיקרון השוויון. בית-המשפט ביסס זאת על הוראת סעיף 3א לחוק יסודות התקציב. אני סבור שזוהי אמנם גישה רצויה, אך ביסוסה על הוראה זו אינו נקי מקשיים.</w:t>
      </w:r>
      <w:r w:rsidRPr="00AB153B">
        <w:rPr>
          <w:rFonts w:ascii="Arial" w:hAnsi="Arial" w:cs="Arial"/>
          <w:color w:val="222222"/>
          <w:sz w:val="18"/>
          <w:szCs w:val="18"/>
          <w:rtl/>
        </w:rPr>
        <w:br/>
        <w:t>כפי שציין בית-המשפט, סעיף 3א, שנחקק ב- 1992, נועד למנוע את התופעה שהיתה ידועה בשם "הכספים הייחודיים", שמכוחה הוקצו מכוח חוק התקציב כספי תמיכה בגופים שונים, על יסוד שיקולים מפלגתיים. בסעיף זה נקבעו, בעיקרו של דבר, שתי הוראות עיקריות: ראשית, "הוצאות הממשלה לצורך תמיכה במוסדות ציבור ייקבעו בכל סעיף תקציב [בחוק התקציב השנתי] בסכום כולל לכל סוג של מוסדות ציבור" (סעיף 3א(ג) לחוק. ההדגשה הוספה); שנית, "הסכום שנקבע בסעיף תקציב לסוג של מוסדות ציבור יחולק בין מוסדות ציבור הנמנים עם אותו סוג לפי מבחנים שוויוניים" (סעיף 3א(ד)).</w:t>
      </w:r>
      <w:r w:rsidRPr="00AB153B">
        <w:rPr>
          <w:rFonts w:ascii="Arial" w:hAnsi="Arial" w:cs="Arial"/>
          <w:color w:val="222222"/>
          <w:sz w:val="18"/>
          <w:szCs w:val="18"/>
          <w:rtl/>
        </w:rPr>
        <w:br/>
      </w:r>
      <w:r w:rsidRPr="00AB153B">
        <w:rPr>
          <w:rFonts w:ascii="Arial" w:hAnsi="Arial" w:cs="Arial"/>
          <w:color w:val="222222"/>
          <w:sz w:val="18"/>
          <w:szCs w:val="18"/>
          <w:highlight w:val="yellow"/>
          <w:rtl/>
        </w:rPr>
        <w:t>בית-המשפט נדרש כאן להתגבר על ארבעה קשיים עיקריים: האחד, חוק יסודות התקציב אינו חוק-יסוד. חרף זאת, בית-המשפט קבע כאן, בהסתמך על אמרות-אגב בפסקי-דין קודמים, כי "חוק התקציב השנתי כפוף לחוק יסודות התקציב", כלומר, כי "הוראה בחוק התקציב השנתי העומדת בסתירה להוראה בחוק יסודות התקציב אינה יכולה לעמוד". הבסיס לקביעה זו הוא, בעיקרו של דבר, ההתייחסות אל חוק התקציב כאל נורמה בדרגה נמוכה מדבר חקיקה ראשי, לאור מהותו.</w:t>
      </w:r>
      <w:r w:rsidRPr="00AB153B">
        <w:rPr>
          <w:rFonts w:ascii="Arial" w:hAnsi="Arial" w:cs="Arial"/>
          <w:color w:val="222222"/>
          <w:sz w:val="18"/>
          <w:szCs w:val="18"/>
          <w:rtl/>
        </w:rPr>
        <w:br/>
        <w:t>השני, החובה הקבועה בסעיף 3א לחוק יסודות התקציב מתייחסת, כאמור לעיל, לתמיכה ב"מוסדות ציבור", המוגדרים שם כ"גוף שאינו מוסד ממוסדות המדינה, הפועל למטרה של חינוך, תרבות, דת, מדע" ועוד. בית-המשפט קבע כי אין מניעה להרחיב את החובה הזו גם על הענקת גמלאות לאנשים פרטיים, וזאת בהתבסס על העמדה שלפיה תכליתה של החלת חובה זו היא להסדיר גם הענקת תמיכות מסוג זה: "הסעיף התקציבי מכוחו משולמת גמלת הבטחת הכנסה לאברכי כוללים אמנם אינו מופנה למוסדות ציבור, אך הוא דוגמא למודל התמיכה שסעיף 3א מתייחס אליו, ושעקרון השוויון, המעוגן בסעיף 3א, נועד לחול עליו. ... העיקרון הקבוע בסעיף 3א חל על התמיכה באברכי כוללים, אם לא כפשוטו ובאופן ישיר, הרי כרוחו ובהתאם לרציונל העומד בבסיסו".</w:t>
      </w:r>
      <w:r w:rsidRPr="00AB153B">
        <w:rPr>
          <w:rFonts w:ascii="Arial" w:hAnsi="Arial" w:cs="Arial"/>
          <w:color w:val="222222"/>
          <w:sz w:val="18"/>
          <w:szCs w:val="18"/>
          <w:rtl/>
        </w:rPr>
        <w:br/>
        <w:t xml:space="preserve">קושי שלישי נובע מכך שסעיף 3א אינו קובע מגבלות ברורות על התחומים שלהם מותר להקצות כספים בחוק התקציב. כאמור, החובה לקבוע "מבחנים שוויוניים" מתייחסת לקביעת אופן ההקצאה של התקציב המיועד לפעילות בתחום מסוים, אך לא לעצם הקביעה לאילו תחומים יוקצו כספים. ההוראה הרלבנטית בהקשר זה היא זו המטילה חובה לקבוע בחוק התקציב תקצוב בסכום כולל לכל סוג של מוסדות ציבור, או, לצורך העניין כאן, לכל סוג של הענקת גמלה או תשלומי העברה. כאמור, סעיף 3א נועד למנוע קביעה בהוראות התקציב של מוסדות המנויים בשמם, בלא שיפורטו אמות-המידה לתמיכה בהם דווקא. כלומר, הדרישה היא שההקצבה תקבע בנורמה "כללית" ולא בנורמה "פרטית". בהקשר הנדון כאן אין מדובר כמובן בתמיכה באנשים המנויים בשמם, אלא בקבוצה שמתקיימים בה המבחנים המקובלים ל"כלליות" של נורמה, קבוצת "אברכי הכוללים". הוראות חוק התקציב כוללות הרי, כך ניתן להניח, תמיכה בקבוצת "המוסדות להשכלה גבוהה", ובנפרד תמיכה ב"כוללים", ובמוסדות אחרים המאופיינים לפי תחום העיסוק שלהם. </w:t>
      </w:r>
      <w:r w:rsidRPr="00AB153B">
        <w:rPr>
          <w:rFonts w:ascii="Arial" w:hAnsi="Arial" w:cs="Arial"/>
          <w:color w:val="222222"/>
          <w:sz w:val="18"/>
          <w:szCs w:val="18"/>
          <w:highlight w:val="yellow"/>
          <w:rtl/>
        </w:rPr>
        <w:t>הקביעה של בית-המשפט שלפיה סעיף 3א מחייב לנהוג בשוויון גם בקביעת ה"סוג" של פעילויות שיזכו בתמיכה מכוח חוק התקציב מרחיבה את הדרישה ל"כלליות" לעבר הדרישה ל"שוויון". זוהי קביעה שעשויות להיות לה משמעויות מרחיקות לכת בכל הקשור להיקף הביקורת השיפוטית על חוק התקציב השנתי.</w:t>
      </w:r>
      <w:r w:rsidRPr="00AB153B">
        <w:rPr>
          <w:rFonts w:ascii="Arial" w:hAnsi="Arial" w:cs="Arial"/>
          <w:color w:val="222222"/>
          <w:sz w:val="18"/>
          <w:szCs w:val="18"/>
          <w:rtl/>
        </w:rPr>
        <w:br/>
      </w:r>
      <w:r w:rsidRPr="00AB153B">
        <w:rPr>
          <w:rFonts w:ascii="Arial" w:hAnsi="Arial" w:cs="Arial"/>
          <w:color w:val="222222"/>
          <w:sz w:val="18"/>
          <w:szCs w:val="18"/>
          <w:highlight w:val="yellow"/>
          <w:rtl/>
        </w:rPr>
        <w:t>לבסוף, קושי רביעי נובע מכך שסעיף 3א אינו קובע הסדר מפורט באשר לשאלה באילו מקרים ניתן להכיר בתוקפה של הקצאת כספי תמיכה שאינה עולה בקנה אחד עם עקרון השוויון. בית-המשפט קבע בהקשר זה שיש להחיל כאן את פסקת ההגבלה שבחוק-יסוד: כבוד האדם וחירותו. בלשונו של בית-המשפט: "הכול יסכימו כי על אף חשיבותה ומרכזיותה של הזכות לשוויון, אין היא זכות מוחלטת. כשאר הזכויות בחברה המודרנית, גם הזכות לשוויון נסוגה, במקרים המתאימים, אל מול זכויות או אינטרסים נוגדים, ויש מצבים בהם נקבע כי ההפליה או הפגיעה בשוויון אינה בלתי חוקתית. לפיכך, נותר לנו לבחון אם הפגיעה בזכות לשוויון שיוצרת התמיכה באברכים על פי העיגון בחוק התקציב עולה בקנה אחד עם פסקת ההגבלה שבחוק יסוד: כבוד האדם וחירותו". ככל הנראה, בית-המשפט מחיל כאן את פסקת ההגבלה מכוח היקש (במסגרת מה שמכונה לעיתים "פסקת הגבלה שיפוטית").</w:t>
      </w:r>
      <w:r w:rsidRPr="00AB153B">
        <w:rPr>
          <w:rFonts w:ascii="Arial" w:hAnsi="Arial" w:cs="Arial"/>
          <w:color w:val="222222"/>
          <w:sz w:val="18"/>
          <w:szCs w:val="18"/>
          <w:rtl/>
        </w:rPr>
        <w:br/>
        <w:t xml:space="preserve">הקשיים הללו, כל אחד לעצמו ובהצטברם יחד, מעוררים ספק האם המסלול שנבחר כאן – החלת ביקורת שיפוטית על הוראה בחוק התקציב בהתבסס על סעיף 3א לחוק יסודות התקציב – הוא המיטבי. בפני בית-המשפט עמדו שתי דרכים חלופיות: האחת, שכבר הוזכרה לעיל, היא הקביעה שכוחה של הממשלה להקצות כספים כפופה בכל מקרה למגבלות שנקבעו בחוק המהותי (במקרה זה, חוק הבטחת הכנסה), ואין בהרשאה שבחוק התקציב השנתי כדי להסיר את המגבלות הללו. כלומר, ניתן היה לפרש את ההרשאה התקציבית ככפופה להסדרה חוקית של האפשרות להעניק את התמיכה, למשל בדרך של תיקון חוק הבטחת הכנסה או התקנות שקבועות בו. </w:t>
      </w:r>
      <w:r w:rsidRPr="009C3588">
        <w:rPr>
          <w:rFonts w:ascii="Arial" w:hAnsi="Arial" w:cs="Arial"/>
          <w:color w:val="222222"/>
          <w:sz w:val="18"/>
          <w:szCs w:val="18"/>
          <w:highlight w:val="yellow"/>
          <w:rtl/>
        </w:rPr>
        <w:t>הדרך השנייה היא "דרך המלך" של הביקורת השיפוטית, כלומר קביעה כי ההוראה שבחוק התקציב השנתי מהווה פגיעה בזכות היסוד לשוויון, הנכללת במסגרת הזכות לכבוד האדם המעוגנת מכוח חוק-יסוד: כבוד האדם וחירותו. אין זה ברור מדוע נמנע בית-המשפט מלפסוע בדרך סלולה זו, שכבר הוכרה, עקרונית, בפרשת עדאלה (בעניין איחוד המשפחות) ובמקרים אחרים. דרך זו תהיה בלתי נמנעת אם הכנסת אמנם תתקן כעת את חוק הבטחת הכנסה, באופן שיאפשר את הענקת הגמלה לאברכי כוללים</w:t>
      </w:r>
      <w:r w:rsidRPr="00AB153B">
        <w:rPr>
          <w:rFonts w:ascii="Arial" w:hAnsi="Arial" w:cs="Arial"/>
          <w:color w:val="222222"/>
          <w:sz w:val="18"/>
          <w:szCs w:val="18"/>
          <w:rtl/>
        </w:rPr>
        <w:t>.</w:t>
      </w:r>
    </w:p>
    <w:p w:rsidR="005366A8" w:rsidRDefault="005366A8" w:rsidP="005366A8">
      <w:pPr>
        <w:rPr>
          <w:rFonts w:ascii="Arial" w:hAnsi="Arial" w:cs="Arial"/>
          <w:sz w:val="18"/>
          <w:szCs w:val="18"/>
          <w:rtl/>
        </w:rPr>
      </w:pPr>
    </w:p>
    <w:p w:rsidR="005366A8" w:rsidRDefault="005366A8" w:rsidP="005366A8">
      <w:pPr>
        <w:rPr>
          <w:rtl/>
        </w:rPr>
      </w:pPr>
      <w:r>
        <w:rPr>
          <w:rFonts w:ascii="Arial" w:hAnsi="Arial" w:cs="Arial" w:hint="cs"/>
          <w:sz w:val="18"/>
          <w:szCs w:val="18"/>
          <w:rtl/>
        </w:rPr>
        <w:t xml:space="preserve">4. </w:t>
      </w:r>
      <w:r w:rsidRPr="009C3588">
        <w:rPr>
          <w:sz w:val="20"/>
          <w:szCs w:val="20"/>
          <w:rtl/>
        </w:rPr>
        <w:t xml:space="preserve">[ועתה אנו באים לשאלה המהותית, סוגיית התגבשותה של הפליה]... [פרופ' מדינה מטיל ספק בטענה כי גובשה טענת אפליה. אני "עונה" לחלק מטענותיו בהמשך]. לטיעוניו של פרופ' מדינה, ראו בקישורית הבאה: </w:t>
      </w:r>
      <w:hyperlink r:id="rId174" w:history="1">
        <w:r w:rsidRPr="009C3588">
          <w:rPr>
            <w:rStyle w:val="Hyperlink"/>
            <w:sz w:val="20"/>
            <w:szCs w:val="20"/>
          </w:rPr>
          <w:t>http://hebrewu-law.blogspot.com/2010/10/blog-post_28.html</w:t>
        </w:r>
      </w:hyperlink>
      <w:r w:rsidRPr="009C3588">
        <w:rPr>
          <w:sz w:val="20"/>
          <w:szCs w:val="20"/>
          <w:rtl/>
        </w:rPr>
        <w:t xml:space="preserve"> . </w:t>
      </w:r>
    </w:p>
    <w:p w:rsidR="005366A8" w:rsidRDefault="005366A8" w:rsidP="005366A8">
      <w:pPr>
        <w:spacing w:after="120"/>
        <w:rPr>
          <w:rFonts w:ascii="Arial" w:hAnsi="Arial" w:cs="Guttman-Soncino"/>
          <w:b/>
          <w:bCs/>
          <w:highlight w:val="yellow"/>
          <w:rtl/>
        </w:rPr>
      </w:pPr>
      <w:r>
        <w:rPr>
          <w:rFonts w:hint="cs"/>
          <w:rtl/>
        </w:rPr>
        <w:t>=-=</w:t>
      </w:r>
      <w:r w:rsidRPr="00C24BA0">
        <w:rPr>
          <w:rFonts w:ascii="Arial" w:hAnsi="Arial" w:cs="Guttman-Soncino"/>
          <w:b/>
          <w:bCs/>
          <w:highlight w:val="yellow"/>
          <w:rtl/>
        </w:rPr>
        <w:t xml:space="preserve"> </w:t>
      </w:r>
    </w:p>
    <w:p w:rsidR="005366A8" w:rsidRPr="00D62234" w:rsidRDefault="005366A8" w:rsidP="005366A8">
      <w:pPr>
        <w:spacing w:after="120"/>
        <w:rPr>
          <w:rFonts w:ascii="Arial" w:hAnsi="Arial" w:cs="Guttman-Soncino"/>
          <w:b/>
          <w:bCs/>
          <w:u w:val="single"/>
          <w:rtl/>
        </w:rPr>
      </w:pPr>
      <w:r w:rsidRPr="003B2CBF">
        <w:rPr>
          <w:rFonts w:ascii="Arial" w:hAnsi="Arial" w:cs="Guttman-Soncino"/>
          <w:b/>
          <w:bCs/>
          <w:highlight w:val="yellow"/>
          <w:rtl/>
        </w:rPr>
        <w:t>שוויון וביקורת שיפוטית</w:t>
      </w:r>
      <w:r w:rsidRPr="00D62234">
        <w:rPr>
          <w:rFonts w:ascii="Arial" w:hAnsi="Arial" w:cs="Guttman-Soncino"/>
          <w:b/>
          <w:bCs/>
          <w:highlight w:val="yellow"/>
          <w:u w:val="single"/>
          <w:rtl/>
        </w:rPr>
        <w:t xml:space="preserve"> </w:t>
      </w:r>
      <w:r w:rsidRPr="003B2CBF">
        <w:rPr>
          <w:rFonts w:ascii="Arial" w:hAnsi="Arial" w:cs="Guttman-Soncino"/>
          <w:b/>
          <w:bCs/>
          <w:i/>
          <w:iCs/>
          <w:highlight w:val="yellow"/>
          <w:u w:val="single"/>
          <w:rtl/>
        </w:rPr>
        <w:t>על תוקפו של חוק מכוח חוק אחר</w:t>
      </w:r>
      <w:r w:rsidRPr="00D62234">
        <w:rPr>
          <w:rFonts w:ascii="Arial" w:hAnsi="Arial" w:cs="Guttman-Soncino" w:hint="cs"/>
          <w:b/>
          <w:bCs/>
          <w:u w:val="single"/>
          <w:rtl/>
        </w:rPr>
        <w:t xml:space="preserve"> </w:t>
      </w:r>
      <w:r w:rsidRPr="003B2CBF">
        <w:rPr>
          <w:rFonts w:ascii="Arial" w:hAnsi="Arial" w:cs="Guttman-Soncino"/>
          <w:b/>
          <w:bCs/>
          <w:rtl/>
        </w:rPr>
        <w:t>–</w:t>
      </w:r>
      <w:r w:rsidRPr="003B2CBF">
        <w:rPr>
          <w:rFonts w:ascii="Arial" w:hAnsi="Arial" w:cs="Guttman-Soncino" w:hint="cs"/>
          <w:b/>
          <w:bCs/>
          <w:rtl/>
        </w:rPr>
        <w:t xml:space="preserve"> פס"ד </w:t>
      </w:r>
      <w:r w:rsidRPr="003B2CBF">
        <w:rPr>
          <w:rFonts w:ascii="Arial" w:hAnsi="Arial" w:cs="Guttman-Soncino" w:hint="cs"/>
          <w:b/>
          <w:bCs/>
          <w:i/>
          <w:iCs/>
          <w:rtl/>
        </w:rPr>
        <w:t>יקותיאלי</w:t>
      </w:r>
    </w:p>
    <w:p w:rsidR="005366A8" w:rsidRDefault="005366A8" w:rsidP="005366A8">
      <w:pPr>
        <w:rPr>
          <w:rtl/>
        </w:rPr>
      </w:pPr>
      <w:r w:rsidRPr="003B2CBF">
        <w:rPr>
          <w:highlight w:val="yellow"/>
          <w:rtl/>
        </w:rPr>
        <w:t xml:space="preserve">בג"צ 4124/00 </w:t>
      </w:r>
      <w:r w:rsidRPr="003B2CBF">
        <w:rPr>
          <w:b/>
          <w:bCs/>
          <w:highlight w:val="yellow"/>
          <w:rtl/>
        </w:rPr>
        <w:t>יקותיאלי נ' השר לענייני דתות</w:t>
      </w:r>
      <w:r w:rsidRPr="003B2CBF">
        <w:rPr>
          <w:highlight w:val="yellow"/>
          <w:rtl/>
        </w:rPr>
        <w:t xml:space="preserve"> (2010</w:t>
      </w:r>
      <w:r w:rsidRPr="003B2CBF">
        <w:rPr>
          <w:rFonts w:hint="cs"/>
          <w:highlight w:val="yellow"/>
          <w:rtl/>
        </w:rPr>
        <w:t>)</w:t>
      </w:r>
    </w:p>
    <w:p w:rsidR="005366A8" w:rsidRDefault="005366A8" w:rsidP="005366A8">
      <w:pPr>
        <w:spacing w:after="60"/>
        <w:rPr>
          <w:rFonts w:ascii="Arial" w:hAnsi="Arial" w:cs="Arial"/>
          <w:b/>
          <w:bCs/>
          <w:sz w:val="20"/>
          <w:szCs w:val="20"/>
          <w:highlight w:val="yellow"/>
          <w:rtl/>
        </w:rPr>
      </w:pPr>
    </w:p>
    <w:p w:rsidR="005366A8" w:rsidRPr="008A48B5" w:rsidRDefault="005366A8" w:rsidP="005366A8">
      <w:pPr>
        <w:spacing w:after="60"/>
        <w:rPr>
          <w:rFonts w:ascii="Arial" w:hAnsi="Arial" w:cs="Arial"/>
          <w:b/>
          <w:bCs/>
          <w:sz w:val="20"/>
          <w:szCs w:val="20"/>
          <w:highlight w:val="yellow"/>
          <w:rtl/>
        </w:rPr>
      </w:pPr>
      <w:r w:rsidRPr="008A48B5">
        <w:rPr>
          <w:rFonts w:ascii="Arial" w:hAnsi="Arial" w:cs="Arial" w:hint="cs"/>
          <w:b/>
          <w:bCs/>
          <w:sz w:val="20"/>
          <w:szCs w:val="20"/>
          <w:highlight w:val="yellow"/>
          <w:rtl/>
        </w:rPr>
        <w:t>שתי סוגיות מלובנות בפסק הדין:</w:t>
      </w:r>
    </w:p>
    <w:p w:rsidR="005366A8" w:rsidRPr="008A48B5" w:rsidRDefault="005366A8" w:rsidP="005366A8">
      <w:pPr>
        <w:spacing w:after="60"/>
        <w:ind w:left="1440" w:hanging="720"/>
        <w:rPr>
          <w:rFonts w:ascii="Arial" w:hAnsi="Arial" w:cs="Arial"/>
          <w:b/>
          <w:bCs/>
          <w:sz w:val="20"/>
          <w:szCs w:val="20"/>
          <w:highlight w:val="yellow"/>
          <w:rtl/>
        </w:rPr>
      </w:pPr>
      <w:r w:rsidRPr="008A48B5">
        <w:rPr>
          <w:rFonts w:ascii="Arial" w:hAnsi="Arial" w:cs="Arial" w:hint="cs"/>
          <w:b/>
          <w:bCs/>
          <w:sz w:val="20"/>
          <w:szCs w:val="20"/>
          <w:highlight w:val="yellow"/>
          <w:rtl/>
        </w:rPr>
        <w:t xml:space="preserve">חוקיות הוראה בחוק התקציב לאור התנגשות בדרישת השוויון הקבועה בחוק אחר, חוק יסודות התקציב, התשמ"ה-1985, </w:t>
      </w:r>
    </w:p>
    <w:p w:rsidR="005366A8" w:rsidRPr="008A48B5" w:rsidRDefault="005366A8" w:rsidP="005366A8">
      <w:pPr>
        <w:ind w:left="1440" w:hanging="720"/>
        <w:rPr>
          <w:rFonts w:ascii="Arial" w:hAnsi="Arial" w:cs="Arial"/>
          <w:b/>
          <w:bCs/>
          <w:sz w:val="20"/>
          <w:szCs w:val="20"/>
          <w:highlight w:val="yellow"/>
          <w:rtl/>
        </w:rPr>
      </w:pPr>
      <w:r w:rsidRPr="008A48B5">
        <w:rPr>
          <w:rFonts w:ascii="Arial" w:hAnsi="Arial" w:cs="Arial" w:hint="cs"/>
          <w:b/>
          <w:bCs/>
          <w:sz w:val="20"/>
          <w:szCs w:val="20"/>
          <w:highlight w:val="yellow"/>
          <w:rtl/>
        </w:rPr>
        <w:t xml:space="preserve">בירור סוגיית הפגיעה בשוויון בהקשרה של </w:t>
      </w:r>
      <w:r>
        <w:rPr>
          <w:rFonts w:ascii="Arial" w:hAnsi="Arial" w:cs="Arial" w:hint="cs"/>
          <w:b/>
          <w:bCs/>
          <w:sz w:val="20"/>
          <w:szCs w:val="20"/>
          <w:highlight w:val="yellow"/>
          <w:rtl/>
        </w:rPr>
        <w:t xml:space="preserve">הענקת </w:t>
      </w:r>
      <w:r w:rsidRPr="008A48B5">
        <w:rPr>
          <w:rFonts w:ascii="Arial" w:hAnsi="Arial" w:cs="Arial" w:hint="cs"/>
          <w:b/>
          <w:bCs/>
          <w:sz w:val="20"/>
          <w:szCs w:val="20"/>
          <w:highlight w:val="yellow"/>
          <w:rtl/>
        </w:rPr>
        <w:t>גמלת הבטחת ההכנסה לתלמידי כוללים (בנסיבות מסוימות)</w:t>
      </w:r>
      <w:r>
        <w:rPr>
          <w:rFonts w:ascii="Arial" w:hAnsi="Arial" w:cs="Arial" w:hint="cs"/>
          <w:b/>
          <w:bCs/>
          <w:sz w:val="20"/>
          <w:szCs w:val="20"/>
          <w:highlight w:val="yellow"/>
          <w:rtl/>
        </w:rPr>
        <w:t xml:space="preserve"> - </w:t>
      </w:r>
    </w:p>
    <w:p w:rsidR="005366A8" w:rsidRPr="008A48B5" w:rsidRDefault="005366A8" w:rsidP="005366A8">
      <w:pPr>
        <w:rPr>
          <w:sz w:val="20"/>
          <w:szCs w:val="20"/>
          <w:highlight w:val="yellow"/>
          <w:rtl/>
        </w:rPr>
      </w:pPr>
    </w:p>
    <w:p w:rsidR="005366A8" w:rsidRPr="002E5957" w:rsidRDefault="005366A8" w:rsidP="005366A8">
      <w:pPr>
        <w:pStyle w:val="P00"/>
        <w:ind w:left="0" w:right="1134"/>
        <w:rPr>
          <w:rStyle w:val="default"/>
          <w:rFonts w:ascii="Arial" w:hAnsi="Arial" w:cs="David"/>
          <w:szCs w:val="20"/>
          <w:rtl/>
        </w:rPr>
      </w:pPr>
      <w:r>
        <w:rPr>
          <w:rStyle w:val="default"/>
          <w:rFonts w:ascii="Arial" w:hAnsi="Arial" w:cs="David" w:hint="cs"/>
          <w:b/>
          <w:bCs/>
          <w:sz w:val="22"/>
          <w:szCs w:val="22"/>
          <w:rtl/>
        </w:rPr>
        <w:t>[</w:t>
      </w:r>
      <w:r w:rsidRPr="002E5957">
        <w:rPr>
          <w:rStyle w:val="default"/>
          <w:rFonts w:ascii="Arial" w:hAnsi="Arial" w:cs="David"/>
          <w:b/>
          <w:bCs/>
          <w:sz w:val="22"/>
          <w:szCs w:val="22"/>
          <w:rtl/>
        </w:rPr>
        <w:t>חוק יסודות התקציב</w:t>
      </w:r>
      <w:r w:rsidRPr="002E5957">
        <w:rPr>
          <w:rStyle w:val="default"/>
          <w:rFonts w:ascii="Arial" w:hAnsi="Arial" w:cs="David" w:hint="cs"/>
          <w:b/>
          <w:bCs/>
          <w:sz w:val="22"/>
          <w:szCs w:val="22"/>
          <w:rtl/>
        </w:rPr>
        <w:t>, התשמ"ה-1985</w:t>
      </w:r>
      <w:r w:rsidRPr="002E5957">
        <w:rPr>
          <w:rStyle w:val="default"/>
          <w:rFonts w:ascii="Arial" w:hAnsi="Arial" w:cs="David" w:hint="cs"/>
          <w:sz w:val="22"/>
          <w:szCs w:val="22"/>
          <w:rtl/>
        </w:rPr>
        <w:t xml:space="preserve"> </w:t>
      </w:r>
    </w:p>
    <w:p w:rsidR="005366A8" w:rsidRPr="002E5957" w:rsidRDefault="005366A8" w:rsidP="005366A8">
      <w:pPr>
        <w:pStyle w:val="P00"/>
        <w:ind w:left="0"/>
        <w:rPr>
          <w:rStyle w:val="default"/>
          <w:rFonts w:cs="David"/>
          <w:szCs w:val="20"/>
          <w:rtl/>
        </w:rPr>
      </w:pPr>
      <w:r w:rsidRPr="002E5957">
        <w:rPr>
          <w:rStyle w:val="big-number"/>
          <w:rFonts w:cs="David"/>
          <w:szCs w:val="20"/>
          <w:rtl/>
        </w:rPr>
        <w:t>3</w:t>
      </w:r>
      <w:r w:rsidRPr="002E5957">
        <w:rPr>
          <w:rStyle w:val="default"/>
          <w:rFonts w:cs="David"/>
          <w:szCs w:val="20"/>
          <w:rtl/>
        </w:rPr>
        <w:t>א.</w:t>
      </w:r>
      <w:r w:rsidRPr="002E5957">
        <w:rPr>
          <w:rStyle w:val="default"/>
          <w:rFonts w:cs="David"/>
          <w:szCs w:val="20"/>
          <w:rtl/>
        </w:rPr>
        <w:tab/>
        <w:t>(</w:t>
      </w:r>
      <w:r w:rsidRPr="002E5957">
        <w:rPr>
          <w:rStyle w:val="default"/>
          <w:rFonts w:cs="David" w:hint="cs"/>
          <w:szCs w:val="20"/>
          <w:rtl/>
        </w:rPr>
        <w:t>א)</w:t>
      </w:r>
      <w:r w:rsidRPr="002E5957">
        <w:rPr>
          <w:rStyle w:val="default"/>
          <w:rFonts w:cs="David"/>
          <w:szCs w:val="20"/>
          <w:rtl/>
        </w:rPr>
        <w:tab/>
        <w:t>ב</w:t>
      </w:r>
      <w:r w:rsidRPr="002E5957">
        <w:rPr>
          <w:rStyle w:val="default"/>
          <w:rFonts w:cs="David" w:hint="cs"/>
          <w:szCs w:val="20"/>
          <w:rtl/>
        </w:rPr>
        <w:t>סע</w:t>
      </w:r>
      <w:r w:rsidRPr="002E5957">
        <w:rPr>
          <w:rStyle w:val="default"/>
          <w:rFonts w:cs="David"/>
          <w:szCs w:val="20"/>
          <w:rtl/>
        </w:rPr>
        <w:t>יף</w:t>
      </w:r>
      <w:r w:rsidRPr="002E5957">
        <w:rPr>
          <w:rStyle w:val="default"/>
          <w:rFonts w:cs="David" w:hint="cs"/>
          <w:szCs w:val="20"/>
          <w:rtl/>
        </w:rPr>
        <w:t xml:space="preserve"> זה </w:t>
      </w:r>
      <w:r w:rsidRPr="002E5957">
        <w:rPr>
          <w:rStyle w:val="default"/>
          <w:rFonts w:cs="David"/>
          <w:szCs w:val="20"/>
          <w:rtl/>
        </w:rPr>
        <w:t>–</w:t>
      </w:r>
    </w:p>
    <w:p w:rsidR="005366A8" w:rsidRPr="002E5957" w:rsidRDefault="005366A8" w:rsidP="005366A8">
      <w:pPr>
        <w:pStyle w:val="P00"/>
        <w:ind w:left="0"/>
        <w:rPr>
          <w:rStyle w:val="default"/>
          <w:rFonts w:cs="David"/>
          <w:szCs w:val="20"/>
          <w:rtl/>
        </w:rPr>
      </w:pPr>
      <w:r w:rsidRPr="002E5957">
        <w:rPr>
          <w:rFonts w:cs="David"/>
          <w:szCs w:val="20"/>
          <w:highlight w:val="yellow"/>
          <w:rtl/>
        </w:rPr>
        <w:tab/>
      </w:r>
      <w:r w:rsidRPr="002E5957">
        <w:rPr>
          <w:rStyle w:val="default"/>
          <w:rFonts w:cs="David"/>
          <w:szCs w:val="20"/>
          <w:rtl/>
        </w:rPr>
        <w:t>"מ</w:t>
      </w:r>
      <w:r w:rsidRPr="002E5957">
        <w:rPr>
          <w:rStyle w:val="default"/>
          <w:rFonts w:cs="David" w:hint="cs"/>
          <w:szCs w:val="20"/>
          <w:rtl/>
        </w:rPr>
        <w:t>וס</w:t>
      </w:r>
      <w:r w:rsidRPr="002E5957">
        <w:rPr>
          <w:rStyle w:val="default"/>
          <w:rFonts w:cs="David"/>
          <w:szCs w:val="20"/>
          <w:rtl/>
        </w:rPr>
        <w:t xml:space="preserve">ד </w:t>
      </w:r>
      <w:r w:rsidRPr="002E5957">
        <w:rPr>
          <w:rStyle w:val="default"/>
          <w:rFonts w:cs="David" w:hint="cs"/>
          <w:szCs w:val="20"/>
          <w:rtl/>
        </w:rPr>
        <w:t xml:space="preserve">ציבור" </w:t>
      </w:r>
      <w:r w:rsidRPr="002E5957">
        <w:rPr>
          <w:rStyle w:val="default"/>
          <w:rFonts w:cs="David"/>
          <w:szCs w:val="20"/>
          <w:rtl/>
        </w:rPr>
        <w:t xml:space="preserve">– </w:t>
      </w:r>
      <w:r w:rsidRPr="002E5957">
        <w:rPr>
          <w:rStyle w:val="default"/>
          <w:rFonts w:cs="David" w:hint="cs"/>
          <w:szCs w:val="20"/>
          <w:rtl/>
        </w:rPr>
        <w:t>גו</w:t>
      </w:r>
      <w:r w:rsidRPr="002E5957">
        <w:rPr>
          <w:rStyle w:val="default"/>
          <w:rFonts w:cs="David"/>
          <w:szCs w:val="20"/>
          <w:rtl/>
        </w:rPr>
        <w:t xml:space="preserve">ף </w:t>
      </w:r>
      <w:r w:rsidRPr="002E5957">
        <w:rPr>
          <w:rStyle w:val="default"/>
          <w:rFonts w:cs="David" w:hint="cs"/>
          <w:szCs w:val="20"/>
          <w:rtl/>
        </w:rPr>
        <w:t>שאינו מוסד ממוסדות המדינה, הפועל למטרה של חינוך, תרבות, דת, מדע, אמנות, רווחה, בריאות, ספורט או מטרה דומה;</w:t>
      </w:r>
    </w:p>
    <w:p w:rsidR="005366A8" w:rsidRPr="002E5957" w:rsidRDefault="005366A8" w:rsidP="005366A8">
      <w:pPr>
        <w:pStyle w:val="P00"/>
        <w:ind w:left="0"/>
        <w:rPr>
          <w:rStyle w:val="default"/>
          <w:rFonts w:cs="David"/>
          <w:szCs w:val="20"/>
          <w:rtl/>
        </w:rPr>
      </w:pPr>
      <w:r w:rsidRPr="002E5957">
        <w:rPr>
          <w:rFonts w:cs="David"/>
          <w:szCs w:val="20"/>
          <w:highlight w:val="yellow"/>
          <w:rtl/>
        </w:rPr>
        <w:tab/>
      </w:r>
      <w:r w:rsidRPr="002E5957">
        <w:rPr>
          <w:rStyle w:val="default"/>
          <w:rFonts w:cs="David"/>
          <w:szCs w:val="20"/>
          <w:rtl/>
        </w:rPr>
        <w:t>"ס</w:t>
      </w:r>
      <w:r w:rsidRPr="002E5957">
        <w:rPr>
          <w:rStyle w:val="default"/>
          <w:rFonts w:cs="David" w:hint="cs"/>
          <w:szCs w:val="20"/>
          <w:rtl/>
        </w:rPr>
        <w:t>עי</w:t>
      </w:r>
      <w:r w:rsidRPr="002E5957">
        <w:rPr>
          <w:rStyle w:val="default"/>
          <w:rFonts w:cs="David"/>
          <w:szCs w:val="20"/>
          <w:rtl/>
        </w:rPr>
        <w:t xml:space="preserve">ף </w:t>
      </w:r>
      <w:r w:rsidRPr="002E5957">
        <w:rPr>
          <w:rStyle w:val="default"/>
          <w:rFonts w:cs="David" w:hint="cs"/>
          <w:szCs w:val="20"/>
          <w:rtl/>
        </w:rPr>
        <w:t xml:space="preserve">תקציב" </w:t>
      </w:r>
      <w:r w:rsidRPr="002E5957">
        <w:rPr>
          <w:rStyle w:val="default"/>
          <w:rFonts w:cs="David"/>
          <w:szCs w:val="20"/>
          <w:rtl/>
        </w:rPr>
        <w:t xml:space="preserve">– </w:t>
      </w:r>
      <w:r w:rsidRPr="002E5957">
        <w:rPr>
          <w:rStyle w:val="default"/>
          <w:rFonts w:cs="David" w:hint="cs"/>
          <w:szCs w:val="20"/>
          <w:rtl/>
        </w:rPr>
        <w:t>סע</w:t>
      </w:r>
      <w:r w:rsidRPr="002E5957">
        <w:rPr>
          <w:rStyle w:val="default"/>
          <w:rFonts w:cs="David"/>
          <w:szCs w:val="20"/>
          <w:rtl/>
        </w:rPr>
        <w:t>יף</w:t>
      </w:r>
      <w:r w:rsidRPr="002E5957">
        <w:rPr>
          <w:rStyle w:val="default"/>
          <w:rFonts w:cs="David" w:hint="cs"/>
          <w:szCs w:val="20"/>
          <w:rtl/>
        </w:rPr>
        <w:t xml:space="preserve"> בחוק תקצי</w:t>
      </w:r>
      <w:r w:rsidRPr="002E5957">
        <w:rPr>
          <w:rStyle w:val="default"/>
          <w:rFonts w:cs="David"/>
          <w:szCs w:val="20"/>
          <w:rtl/>
        </w:rPr>
        <w:t>ב</w:t>
      </w:r>
      <w:r w:rsidRPr="002E5957">
        <w:rPr>
          <w:rStyle w:val="default"/>
          <w:rFonts w:cs="David" w:hint="cs"/>
          <w:szCs w:val="20"/>
          <w:rtl/>
        </w:rPr>
        <w:t xml:space="preserve"> שנ</w:t>
      </w:r>
      <w:r w:rsidRPr="002E5957">
        <w:rPr>
          <w:rStyle w:val="default"/>
          <w:rFonts w:cs="David"/>
          <w:szCs w:val="20"/>
          <w:rtl/>
        </w:rPr>
        <w:t>ת</w:t>
      </w:r>
      <w:r w:rsidRPr="002E5957">
        <w:rPr>
          <w:rStyle w:val="default"/>
          <w:rFonts w:cs="David" w:hint="cs"/>
          <w:szCs w:val="20"/>
          <w:rtl/>
        </w:rPr>
        <w:t>י הקובע את ההוצאות של משרד ממשלתי.</w:t>
      </w:r>
    </w:p>
    <w:p w:rsidR="005366A8" w:rsidRPr="002E5957" w:rsidRDefault="005366A8" w:rsidP="005366A8">
      <w:pPr>
        <w:pStyle w:val="P00"/>
        <w:ind w:left="0"/>
        <w:rPr>
          <w:rStyle w:val="default"/>
          <w:rFonts w:cs="David"/>
          <w:szCs w:val="20"/>
          <w:rtl/>
        </w:rPr>
      </w:pPr>
      <w:r w:rsidRPr="002E5957">
        <w:rPr>
          <w:rFonts w:cs="David"/>
          <w:szCs w:val="20"/>
          <w:highlight w:val="yellow"/>
          <w:rtl/>
        </w:rPr>
        <w:tab/>
      </w:r>
      <w:r w:rsidRPr="002E5957">
        <w:rPr>
          <w:rStyle w:val="default"/>
          <w:rFonts w:cs="David"/>
          <w:szCs w:val="20"/>
          <w:rtl/>
        </w:rPr>
        <w:t>(ב</w:t>
      </w:r>
      <w:r w:rsidRPr="002E5957">
        <w:rPr>
          <w:rStyle w:val="default"/>
          <w:rFonts w:cs="David" w:hint="cs"/>
          <w:szCs w:val="20"/>
          <w:rtl/>
        </w:rPr>
        <w:t>)</w:t>
      </w:r>
      <w:r w:rsidRPr="002E5957">
        <w:rPr>
          <w:rStyle w:val="default"/>
          <w:rFonts w:cs="David"/>
          <w:szCs w:val="20"/>
          <w:rtl/>
        </w:rPr>
        <w:tab/>
        <w:t>ח</w:t>
      </w:r>
      <w:r w:rsidRPr="002E5957">
        <w:rPr>
          <w:rStyle w:val="default"/>
          <w:rFonts w:cs="David" w:hint="cs"/>
          <w:szCs w:val="20"/>
          <w:rtl/>
        </w:rPr>
        <w:t>וק</w:t>
      </w:r>
      <w:r w:rsidRPr="002E5957">
        <w:rPr>
          <w:rStyle w:val="default"/>
          <w:rFonts w:cs="David"/>
          <w:szCs w:val="20"/>
          <w:rtl/>
        </w:rPr>
        <w:t xml:space="preserve"> ת</w:t>
      </w:r>
      <w:r w:rsidRPr="002E5957">
        <w:rPr>
          <w:rStyle w:val="default"/>
          <w:rFonts w:cs="David" w:hint="cs"/>
          <w:szCs w:val="20"/>
          <w:rtl/>
        </w:rPr>
        <w:t xml:space="preserve">קציב שנתי </w:t>
      </w:r>
      <w:r w:rsidRPr="002E5957">
        <w:rPr>
          <w:rStyle w:val="default"/>
          <w:rFonts w:cs="David"/>
          <w:szCs w:val="20"/>
          <w:rtl/>
        </w:rPr>
        <w:t>יק</w:t>
      </w:r>
      <w:r w:rsidRPr="002E5957">
        <w:rPr>
          <w:rStyle w:val="default"/>
          <w:rFonts w:cs="David" w:hint="cs"/>
          <w:szCs w:val="20"/>
          <w:rtl/>
        </w:rPr>
        <w:t>בע</w:t>
      </w:r>
      <w:r w:rsidRPr="002E5957">
        <w:rPr>
          <w:rStyle w:val="default"/>
          <w:rFonts w:cs="David"/>
          <w:szCs w:val="20"/>
          <w:rtl/>
        </w:rPr>
        <w:t xml:space="preserve"> א</w:t>
      </w:r>
      <w:r w:rsidRPr="002E5957">
        <w:rPr>
          <w:rStyle w:val="default"/>
          <w:rFonts w:cs="David" w:hint="cs"/>
          <w:szCs w:val="20"/>
          <w:rtl/>
        </w:rPr>
        <w:t>ת הוצאות הממשלה לצורך תמיכה במוסדות ציבור.</w:t>
      </w:r>
    </w:p>
    <w:p w:rsidR="005366A8" w:rsidRPr="002E5957" w:rsidRDefault="005366A8" w:rsidP="005366A8">
      <w:pPr>
        <w:pStyle w:val="P00"/>
        <w:ind w:left="0"/>
        <w:rPr>
          <w:rStyle w:val="default"/>
          <w:rFonts w:cs="David"/>
          <w:szCs w:val="20"/>
          <w:rtl/>
        </w:rPr>
      </w:pPr>
      <w:r w:rsidRPr="002E5957">
        <w:rPr>
          <w:rFonts w:cs="David"/>
          <w:szCs w:val="20"/>
          <w:highlight w:val="yellow"/>
          <w:rtl/>
        </w:rPr>
        <w:tab/>
      </w:r>
      <w:r w:rsidRPr="002E5957">
        <w:rPr>
          <w:rStyle w:val="default"/>
          <w:rFonts w:cs="David"/>
          <w:szCs w:val="20"/>
          <w:rtl/>
        </w:rPr>
        <w:t>(ג</w:t>
      </w:r>
      <w:r w:rsidRPr="002E5957">
        <w:rPr>
          <w:rStyle w:val="default"/>
          <w:rFonts w:cs="David" w:hint="cs"/>
          <w:szCs w:val="20"/>
          <w:rtl/>
        </w:rPr>
        <w:t>)</w:t>
      </w:r>
      <w:r w:rsidRPr="002E5957">
        <w:rPr>
          <w:rStyle w:val="default"/>
          <w:rFonts w:cs="David"/>
          <w:szCs w:val="20"/>
          <w:rtl/>
        </w:rPr>
        <w:tab/>
        <w:t>ה</w:t>
      </w:r>
      <w:r w:rsidRPr="002E5957">
        <w:rPr>
          <w:rStyle w:val="default"/>
          <w:rFonts w:cs="David" w:hint="cs"/>
          <w:szCs w:val="20"/>
          <w:rtl/>
        </w:rPr>
        <w:t>וצ</w:t>
      </w:r>
      <w:r w:rsidRPr="002E5957">
        <w:rPr>
          <w:rStyle w:val="default"/>
          <w:rFonts w:cs="David"/>
          <w:szCs w:val="20"/>
          <w:rtl/>
        </w:rPr>
        <w:t>או</w:t>
      </w:r>
      <w:r w:rsidRPr="002E5957">
        <w:rPr>
          <w:rStyle w:val="default"/>
          <w:rFonts w:cs="David" w:hint="cs"/>
          <w:szCs w:val="20"/>
          <w:rtl/>
        </w:rPr>
        <w:t>ת הממשלה לצורך תמיכה במוסדות ציבור ייקבעו</w:t>
      </w:r>
      <w:r w:rsidRPr="002E5957">
        <w:rPr>
          <w:rStyle w:val="default"/>
          <w:rFonts w:cs="David"/>
          <w:szCs w:val="20"/>
          <w:rtl/>
        </w:rPr>
        <w:t xml:space="preserve"> </w:t>
      </w:r>
      <w:r w:rsidRPr="002E5957">
        <w:rPr>
          <w:rStyle w:val="default"/>
          <w:rFonts w:cs="David" w:hint="cs"/>
          <w:szCs w:val="20"/>
          <w:rtl/>
        </w:rPr>
        <w:t>בכל סעיף</w:t>
      </w:r>
      <w:r w:rsidRPr="002E5957">
        <w:rPr>
          <w:rStyle w:val="default"/>
          <w:rFonts w:cs="David"/>
          <w:szCs w:val="20"/>
          <w:rtl/>
        </w:rPr>
        <w:t xml:space="preserve"> </w:t>
      </w:r>
      <w:r w:rsidRPr="002E5957">
        <w:rPr>
          <w:rStyle w:val="default"/>
          <w:rFonts w:cs="David" w:hint="cs"/>
          <w:szCs w:val="20"/>
          <w:rtl/>
        </w:rPr>
        <w:t>ת</w:t>
      </w:r>
      <w:r w:rsidRPr="002E5957">
        <w:rPr>
          <w:rStyle w:val="default"/>
          <w:rFonts w:cs="David"/>
          <w:szCs w:val="20"/>
          <w:rtl/>
        </w:rPr>
        <w:t>ק</w:t>
      </w:r>
      <w:r w:rsidRPr="002E5957">
        <w:rPr>
          <w:rStyle w:val="default"/>
          <w:rFonts w:cs="David" w:hint="cs"/>
          <w:szCs w:val="20"/>
          <w:rtl/>
        </w:rPr>
        <w:t>ציב בסכום כולל לכל סוג של מוסדות ציבור.</w:t>
      </w:r>
    </w:p>
    <w:p w:rsidR="005366A8" w:rsidRPr="002E5957" w:rsidRDefault="005366A8" w:rsidP="005366A8">
      <w:pPr>
        <w:pStyle w:val="P00"/>
        <w:ind w:left="0"/>
        <w:rPr>
          <w:rStyle w:val="default"/>
          <w:rFonts w:cs="David"/>
          <w:szCs w:val="20"/>
          <w:rtl/>
        </w:rPr>
      </w:pPr>
      <w:r w:rsidRPr="002E5957">
        <w:rPr>
          <w:rFonts w:cs="David"/>
          <w:szCs w:val="20"/>
          <w:highlight w:val="yellow"/>
          <w:rtl/>
        </w:rPr>
        <w:tab/>
      </w:r>
      <w:r w:rsidRPr="002E5957">
        <w:rPr>
          <w:rStyle w:val="default"/>
          <w:rFonts w:cs="David"/>
          <w:szCs w:val="20"/>
          <w:rtl/>
        </w:rPr>
        <w:t>(ד</w:t>
      </w:r>
      <w:r w:rsidRPr="002E5957">
        <w:rPr>
          <w:rStyle w:val="default"/>
          <w:rFonts w:cs="David" w:hint="cs"/>
          <w:szCs w:val="20"/>
          <w:rtl/>
        </w:rPr>
        <w:t>)</w:t>
      </w:r>
      <w:r w:rsidRPr="002E5957">
        <w:rPr>
          <w:rStyle w:val="default"/>
          <w:rFonts w:cs="David"/>
          <w:szCs w:val="20"/>
          <w:rtl/>
        </w:rPr>
        <w:tab/>
        <w:t>ה</w:t>
      </w:r>
      <w:r w:rsidRPr="002E5957">
        <w:rPr>
          <w:rStyle w:val="default"/>
          <w:rFonts w:cs="David" w:hint="cs"/>
          <w:szCs w:val="20"/>
          <w:rtl/>
        </w:rPr>
        <w:t>סכ</w:t>
      </w:r>
      <w:r w:rsidRPr="002E5957">
        <w:rPr>
          <w:rStyle w:val="default"/>
          <w:rFonts w:cs="David"/>
          <w:szCs w:val="20"/>
          <w:rtl/>
        </w:rPr>
        <w:t>ום</w:t>
      </w:r>
      <w:r w:rsidRPr="002E5957">
        <w:rPr>
          <w:rStyle w:val="default"/>
          <w:rFonts w:cs="David" w:hint="cs"/>
          <w:szCs w:val="20"/>
          <w:rtl/>
        </w:rPr>
        <w:t xml:space="preserve"> שנקבע בסעיף תקציב לסוג של מוסדות ציבור יחולק בין מוסדות ציבור הנמנים עם אותו סוג לפי מבחנים ש</w:t>
      </w:r>
      <w:r w:rsidRPr="002E5957">
        <w:rPr>
          <w:rStyle w:val="default"/>
          <w:rFonts w:cs="David"/>
          <w:szCs w:val="20"/>
          <w:rtl/>
        </w:rPr>
        <w:t>וו</w:t>
      </w:r>
      <w:r w:rsidRPr="002E5957">
        <w:rPr>
          <w:rStyle w:val="default"/>
          <w:rFonts w:cs="David" w:hint="cs"/>
          <w:szCs w:val="20"/>
          <w:rtl/>
        </w:rPr>
        <w:t>יו</w:t>
      </w:r>
      <w:r w:rsidRPr="002E5957">
        <w:rPr>
          <w:rStyle w:val="default"/>
          <w:rFonts w:cs="David"/>
          <w:szCs w:val="20"/>
          <w:rtl/>
        </w:rPr>
        <w:t>ני</w:t>
      </w:r>
      <w:r w:rsidRPr="002E5957">
        <w:rPr>
          <w:rStyle w:val="default"/>
          <w:rFonts w:cs="David" w:hint="cs"/>
          <w:szCs w:val="20"/>
          <w:rtl/>
        </w:rPr>
        <w:t>ים.</w:t>
      </w:r>
    </w:p>
    <w:p w:rsidR="005366A8" w:rsidRPr="002E5957" w:rsidRDefault="005366A8" w:rsidP="005366A8">
      <w:pPr>
        <w:pStyle w:val="P00"/>
        <w:ind w:left="0"/>
        <w:rPr>
          <w:rStyle w:val="default"/>
          <w:rFonts w:cs="David"/>
          <w:szCs w:val="20"/>
          <w:rtl/>
        </w:rPr>
      </w:pPr>
      <w:r w:rsidRPr="002E5957">
        <w:rPr>
          <w:rFonts w:cs="David"/>
          <w:szCs w:val="20"/>
          <w:rtl/>
        </w:rPr>
        <w:tab/>
      </w:r>
      <w:r w:rsidRPr="002E5957">
        <w:rPr>
          <w:rStyle w:val="default"/>
          <w:rFonts w:cs="David"/>
          <w:szCs w:val="20"/>
          <w:rtl/>
        </w:rPr>
        <w:t>(ה</w:t>
      </w:r>
      <w:r w:rsidRPr="002E5957">
        <w:rPr>
          <w:rStyle w:val="default"/>
          <w:rFonts w:cs="David" w:hint="cs"/>
          <w:szCs w:val="20"/>
          <w:rtl/>
        </w:rPr>
        <w:t>)</w:t>
      </w:r>
      <w:r w:rsidRPr="002E5957">
        <w:rPr>
          <w:rStyle w:val="default"/>
          <w:rFonts w:cs="David"/>
          <w:szCs w:val="20"/>
          <w:rtl/>
        </w:rPr>
        <w:tab/>
        <w:t>ה</w:t>
      </w:r>
      <w:r w:rsidRPr="002E5957">
        <w:rPr>
          <w:rStyle w:val="default"/>
          <w:rFonts w:cs="David" w:hint="cs"/>
          <w:szCs w:val="20"/>
          <w:rtl/>
        </w:rPr>
        <w:t>ממ</w:t>
      </w:r>
      <w:r w:rsidRPr="002E5957">
        <w:rPr>
          <w:rStyle w:val="default"/>
          <w:rFonts w:cs="David"/>
          <w:szCs w:val="20"/>
          <w:rtl/>
        </w:rPr>
        <w:t>ונ</w:t>
      </w:r>
      <w:r w:rsidRPr="002E5957">
        <w:rPr>
          <w:rStyle w:val="default"/>
          <w:rFonts w:cs="David" w:hint="cs"/>
          <w:szCs w:val="20"/>
          <w:rtl/>
        </w:rPr>
        <w:t>ה על סעיף הת</w:t>
      </w:r>
      <w:r w:rsidRPr="002E5957">
        <w:rPr>
          <w:rStyle w:val="default"/>
          <w:rFonts w:cs="David"/>
          <w:szCs w:val="20"/>
          <w:rtl/>
        </w:rPr>
        <w:t>קצ</w:t>
      </w:r>
      <w:r w:rsidRPr="002E5957">
        <w:rPr>
          <w:rStyle w:val="default"/>
          <w:rFonts w:cs="David" w:hint="cs"/>
          <w:szCs w:val="20"/>
          <w:rtl/>
        </w:rPr>
        <w:t>יב יקבע, בהתייעצות עם היועץ המשפטי לממשלה, מבחנים שוו</w:t>
      </w:r>
      <w:r w:rsidRPr="002E5957">
        <w:rPr>
          <w:rStyle w:val="default"/>
          <w:rFonts w:cs="David"/>
          <w:szCs w:val="20"/>
          <w:rtl/>
        </w:rPr>
        <w:t>יוני</w:t>
      </w:r>
      <w:r w:rsidRPr="002E5957">
        <w:rPr>
          <w:rStyle w:val="default"/>
          <w:rFonts w:cs="David" w:hint="cs"/>
          <w:szCs w:val="20"/>
          <w:rtl/>
        </w:rPr>
        <w:t>ים לחלוקת</w:t>
      </w:r>
      <w:r w:rsidRPr="002E5957">
        <w:rPr>
          <w:rStyle w:val="default"/>
          <w:rFonts w:cs="David"/>
          <w:szCs w:val="20"/>
          <w:rtl/>
        </w:rPr>
        <w:t xml:space="preserve"> </w:t>
      </w:r>
      <w:r w:rsidRPr="002E5957">
        <w:rPr>
          <w:rStyle w:val="default"/>
          <w:rFonts w:cs="David" w:hint="cs"/>
          <w:szCs w:val="20"/>
          <w:rtl/>
        </w:rPr>
        <w:t xml:space="preserve">הסכום שנקבע באותו סעיף תקציב לצורך תמיכה במוסדות ציבור (להלן </w:t>
      </w:r>
      <w:r w:rsidRPr="002E5957">
        <w:rPr>
          <w:rStyle w:val="default"/>
          <w:rFonts w:cs="David"/>
          <w:szCs w:val="20"/>
          <w:rtl/>
        </w:rPr>
        <w:t xml:space="preserve">– </w:t>
      </w:r>
      <w:r w:rsidRPr="002E5957">
        <w:rPr>
          <w:rStyle w:val="default"/>
          <w:rFonts w:cs="David" w:hint="cs"/>
          <w:szCs w:val="20"/>
          <w:rtl/>
        </w:rPr>
        <w:t>מב</w:t>
      </w:r>
      <w:r w:rsidRPr="002E5957">
        <w:rPr>
          <w:rStyle w:val="default"/>
          <w:rFonts w:cs="David"/>
          <w:szCs w:val="20"/>
          <w:rtl/>
        </w:rPr>
        <w:t>חנ</w:t>
      </w:r>
      <w:r w:rsidRPr="002E5957">
        <w:rPr>
          <w:rStyle w:val="default"/>
          <w:rFonts w:cs="David" w:hint="cs"/>
          <w:szCs w:val="20"/>
          <w:rtl/>
        </w:rPr>
        <w:t>ים).</w:t>
      </w:r>
    </w:p>
    <w:p w:rsidR="005366A8" w:rsidRPr="002E5957" w:rsidRDefault="005366A8" w:rsidP="005366A8">
      <w:pPr>
        <w:pStyle w:val="P00"/>
        <w:ind w:left="0"/>
        <w:rPr>
          <w:rStyle w:val="default"/>
          <w:rFonts w:cs="David"/>
          <w:szCs w:val="20"/>
          <w:rtl/>
        </w:rPr>
      </w:pPr>
      <w:r w:rsidRPr="002E5957">
        <w:rPr>
          <w:rFonts w:cs="David"/>
          <w:szCs w:val="20"/>
          <w:rtl/>
        </w:rPr>
        <w:tab/>
      </w:r>
      <w:r w:rsidRPr="002E5957">
        <w:rPr>
          <w:rStyle w:val="default"/>
          <w:rFonts w:cs="David"/>
          <w:szCs w:val="20"/>
          <w:rtl/>
        </w:rPr>
        <w:t>(ו</w:t>
      </w:r>
      <w:r w:rsidRPr="002E5957">
        <w:rPr>
          <w:rStyle w:val="default"/>
          <w:rFonts w:cs="David" w:hint="cs"/>
          <w:szCs w:val="20"/>
          <w:rtl/>
        </w:rPr>
        <w:t>)</w:t>
      </w:r>
      <w:r w:rsidRPr="002E5957">
        <w:rPr>
          <w:rStyle w:val="default"/>
          <w:rFonts w:cs="David"/>
          <w:szCs w:val="20"/>
          <w:rtl/>
        </w:rPr>
        <w:tab/>
        <w:t>ש</w:t>
      </w:r>
      <w:r w:rsidRPr="002E5957">
        <w:rPr>
          <w:rStyle w:val="default"/>
          <w:rFonts w:cs="David" w:hint="cs"/>
          <w:szCs w:val="20"/>
          <w:rtl/>
        </w:rPr>
        <w:t xml:space="preserve">ר </w:t>
      </w:r>
      <w:r w:rsidRPr="002E5957">
        <w:rPr>
          <w:rStyle w:val="default"/>
          <w:rFonts w:cs="David"/>
          <w:szCs w:val="20"/>
          <w:rtl/>
        </w:rPr>
        <w:t>הא</w:t>
      </w:r>
      <w:r w:rsidRPr="002E5957">
        <w:rPr>
          <w:rStyle w:val="default"/>
          <w:rFonts w:cs="David" w:hint="cs"/>
          <w:szCs w:val="20"/>
          <w:rtl/>
        </w:rPr>
        <w:t>וצר יקבע בהתייעצות עם היועץ המשפטי לממשלה, נוהל שלפיו יוגשו ויידונו בקשות</w:t>
      </w:r>
      <w:r w:rsidRPr="002E5957">
        <w:rPr>
          <w:rStyle w:val="default"/>
          <w:rFonts w:cs="David"/>
          <w:szCs w:val="20"/>
          <w:rtl/>
        </w:rPr>
        <w:t xml:space="preserve"> ש</w:t>
      </w:r>
      <w:r w:rsidRPr="002E5957">
        <w:rPr>
          <w:rStyle w:val="default"/>
          <w:rFonts w:cs="David" w:hint="cs"/>
          <w:szCs w:val="20"/>
          <w:rtl/>
        </w:rPr>
        <w:t xml:space="preserve">ל </w:t>
      </w:r>
      <w:r w:rsidRPr="002E5957">
        <w:rPr>
          <w:rStyle w:val="default"/>
          <w:rFonts w:cs="David"/>
          <w:szCs w:val="20"/>
          <w:rtl/>
        </w:rPr>
        <w:t>מו</w:t>
      </w:r>
      <w:r w:rsidRPr="002E5957">
        <w:rPr>
          <w:rStyle w:val="default"/>
          <w:rFonts w:cs="David" w:hint="cs"/>
          <w:szCs w:val="20"/>
          <w:rtl/>
        </w:rPr>
        <w:t>סדות ציבור לקבלת תמיכה מתק</w:t>
      </w:r>
      <w:r w:rsidRPr="002E5957">
        <w:rPr>
          <w:rStyle w:val="default"/>
          <w:rFonts w:cs="David"/>
          <w:szCs w:val="20"/>
          <w:rtl/>
        </w:rPr>
        <w:t>צי</w:t>
      </w:r>
      <w:r w:rsidRPr="002E5957">
        <w:rPr>
          <w:rStyle w:val="default"/>
          <w:rFonts w:cs="David" w:hint="cs"/>
          <w:szCs w:val="20"/>
          <w:rtl/>
        </w:rPr>
        <w:t xml:space="preserve">ב המדינה (להלן </w:t>
      </w:r>
      <w:r w:rsidRPr="002E5957">
        <w:rPr>
          <w:rStyle w:val="default"/>
          <w:rFonts w:cs="David"/>
          <w:szCs w:val="20"/>
          <w:rtl/>
        </w:rPr>
        <w:t xml:space="preserve">– </w:t>
      </w:r>
      <w:r w:rsidRPr="002E5957">
        <w:rPr>
          <w:rStyle w:val="default"/>
          <w:rFonts w:cs="David" w:hint="cs"/>
          <w:szCs w:val="20"/>
          <w:rtl/>
        </w:rPr>
        <w:t>נו</w:t>
      </w:r>
      <w:r w:rsidRPr="002E5957">
        <w:rPr>
          <w:rStyle w:val="default"/>
          <w:rFonts w:cs="David"/>
          <w:szCs w:val="20"/>
          <w:rtl/>
        </w:rPr>
        <w:t>הל</w:t>
      </w:r>
      <w:r w:rsidRPr="002E5957">
        <w:rPr>
          <w:rStyle w:val="default"/>
          <w:rFonts w:cs="David" w:hint="cs"/>
          <w:szCs w:val="20"/>
          <w:rtl/>
        </w:rPr>
        <w:t>).</w:t>
      </w:r>
    </w:p>
    <w:p w:rsidR="005366A8" w:rsidRPr="002E5957" w:rsidRDefault="005366A8" w:rsidP="005366A8">
      <w:pPr>
        <w:pStyle w:val="P00"/>
        <w:ind w:left="0"/>
        <w:rPr>
          <w:rStyle w:val="default"/>
          <w:rFonts w:cs="David"/>
          <w:szCs w:val="20"/>
          <w:rtl/>
        </w:rPr>
      </w:pPr>
      <w:r w:rsidRPr="002E5957">
        <w:rPr>
          <w:rFonts w:cs="David"/>
          <w:szCs w:val="20"/>
          <w:rtl/>
        </w:rPr>
        <w:tab/>
      </w:r>
      <w:r w:rsidRPr="002E5957">
        <w:rPr>
          <w:rStyle w:val="default"/>
          <w:rFonts w:cs="David"/>
          <w:szCs w:val="20"/>
          <w:rtl/>
        </w:rPr>
        <w:t>(ז</w:t>
      </w:r>
      <w:r w:rsidRPr="002E5957">
        <w:rPr>
          <w:rStyle w:val="default"/>
          <w:rFonts w:cs="David" w:hint="cs"/>
          <w:szCs w:val="20"/>
          <w:rtl/>
        </w:rPr>
        <w:t>)</w:t>
      </w:r>
      <w:r w:rsidRPr="002E5957">
        <w:rPr>
          <w:rStyle w:val="default"/>
          <w:rFonts w:cs="David"/>
          <w:szCs w:val="20"/>
          <w:rtl/>
        </w:rPr>
        <w:tab/>
        <w:t>ה</w:t>
      </w:r>
      <w:r w:rsidRPr="002E5957">
        <w:rPr>
          <w:rStyle w:val="default"/>
          <w:rFonts w:cs="David" w:hint="cs"/>
          <w:szCs w:val="20"/>
          <w:rtl/>
        </w:rPr>
        <w:t>מב</w:t>
      </w:r>
      <w:r w:rsidRPr="002E5957">
        <w:rPr>
          <w:rStyle w:val="default"/>
          <w:rFonts w:cs="David"/>
          <w:szCs w:val="20"/>
          <w:rtl/>
        </w:rPr>
        <w:t>חנ</w:t>
      </w:r>
      <w:r w:rsidRPr="002E5957">
        <w:rPr>
          <w:rStyle w:val="default"/>
          <w:rFonts w:cs="David" w:hint="cs"/>
          <w:szCs w:val="20"/>
          <w:rtl/>
        </w:rPr>
        <w:t>ים והנוהל יפורסמו ב</w:t>
      </w:r>
      <w:r w:rsidRPr="002E5957">
        <w:rPr>
          <w:rStyle w:val="default"/>
          <w:rFonts w:cs="David"/>
          <w:szCs w:val="20"/>
          <w:rtl/>
        </w:rPr>
        <w:t>רשומ</w:t>
      </w:r>
      <w:r w:rsidRPr="002E5957">
        <w:rPr>
          <w:rStyle w:val="default"/>
          <w:rFonts w:cs="David" w:hint="cs"/>
          <w:szCs w:val="20"/>
          <w:rtl/>
        </w:rPr>
        <w:t>ות.</w:t>
      </w:r>
    </w:p>
    <w:p w:rsidR="005366A8" w:rsidRPr="002E5957" w:rsidRDefault="005366A8" w:rsidP="005366A8">
      <w:pPr>
        <w:pStyle w:val="P00"/>
        <w:ind w:left="0"/>
        <w:rPr>
          <w:rStyle w:val="default"/>
          <w:rFonts w:cs="David"/>
          <w:szCs w:val="20"/>
          <w:rtl/>
        </w:rPr>
      </w:pPr>
      <w:r w:rsidRPr="002E5957">
        <w:rPr>
          <w:rFonts w:cs="David"/>
          <w:szCs w:val="20"/>
          <w:rtl/>
        </w:rPr>
        <w:tab/>
      </w:r>
      <w:r w:rsidRPr="002E5957">
        <w:rPr>
          <w:rStyle w:val="default"/>
          <w:rFonts w:cs="David"/>
          <w:szCs w:val="20"/>
          <w:rtl/>
        </w:rPr>
        <w:t>(ח</w:t>
      </w:r>
      <w:r w:rsidRPr="002E5957">
        <w:rPr>
          <w:rStyle w:val="default"/>
          <w:rFonts w:cs="David" w:hint="cs"/>
          <w:szCs w:val="20"/>
          <w:rtl/>
        </w:rPr>
        <w:t>)</w:t>
      </w:r>
      <w:r w:rsidRPr="002E5957">
        <w:rPr>
          <w:rStyle w:val="default"/>
          <w:rFonts w:cs="David"/>
          <w:szCs w:val="20"/>
          <w:rtl/>
        </w:rPr>
        <w:tab/>
        <w:t>ל</w:t>
      </w:r>
      <w:r w:rsidRPr="002E5957">
        <w:rPr>
          <w:rStyle w:val="default"/>
          <w:rFonts w:cs="David" w:hint="cs"/>
          <w:szCs w:val="20"/>
          <w:rtl/>
        </w:rPr>
        <w:t xml:space="preserve">א </w:t>
      </w:r>
      <w:r w:rsidRPr="002E5957">
        <w:rPr>
          <w:rStyle w:val="default"/>
          <w:rFonts w:cs="David"/>
          <w:szCs w:val="20"/>
          <w:rtl/>
        </w:rPr>
        <w:t>יו</w:t>
      </w:r>
      <w:r w:rsidRPr="002E5957">
        <w:rPr>
          <w:rStyle w:val="default"/>
          <w:rFonts w:cs="David" w:hint="cs"/>
          <w:szCs w:val="20"/>
          <w:rtl/>
        </w:rPr>
        <w:t>צא ס</w:t>
      </w:r>
      <w:r w:rsidRPr="002E5957">
        <w:rPr>
          <w:rStyle w:val="default"/>
          <w:rFonts w:cs="David"/>
          <w:szCs w:val="20"/>
          <w:rtl/>
        </w:rPr>
        <w:t>כ</w:t>
      </w:r>
      <w:r w:rsidRPr="002E5957">
        <w:rPr>
          <w:rStyle w:val="default"/>
          <w:rFonts w:cs="David" w:hint="cs"/>
          <w:szCs w:val="20"/>
          <w:rtl/>
        </w:rPr>
        <w:t>ו</w:t>
      </w:r>
      <w:r w:rsidRPr="002E5957">
        <w:rPr>
          <w:rStyle w:val="default"/>
          <w:rFonts w:cs="David"/>
          <w:szCs w:val="20"/>
          <w:rtl/>
        </w:rPr>
        <w:t>ם</w:t>
      </w:r>
      <w:r w:rsidRPr="002E5957">
        <w:rPr>
          <w:rStyle w:val="default"/>
          <w:rFonts w:cs="David" w:hint="cs"/>
          <w:szCs w:val="20"/>
          <w:rtl/>
        </w:rPr>
        <w:t xml:space="preserve"> שנקבע בחוק תקציב שנתי לצורך תמיכה במוסד ציבור אלא אם כן הוא מואגד ומקיים את הוראות </w:t>
      </w:r>
      <w:r w:rsidRPr="002E5957">
        <w:rPr>
          <w:rStyle w:val="default"/>
          <w:rFonts w:cs="David"/>
          <w:szCs w:val="20"/>
          <w:rtl/>
        </w:rPr>
        <w:t>ה</w:t>
      </w:r>
      <w:r w:rsidRPr="002E5957">
        <w:rPr>
          <w:rStyle w:val="default"/>
          <w:rFonts w:cs="David" w:hint="cs"/>
          <w:szCs w:val="20"/>
          <w:rtl/>
        </w:rPr>
        <w:t>נוה</w:t>
      </w:r>
      <w:r w:rsidRPr="002E5957">
        <w:rPr>
          <w:rStyle w:val="default"/>
          <w:rFonts w:cs="David"/>
          <w:szCs w:val="20"/>
          <w:rtl/>
        </w:rPr>
        <w:t>ל</w:t>
      </w:r>
      <w:r w:rsidRPr="002E5957">
        <w:rPr>
          <w:rStyle w:val="default"/>
          <w:rFonts w:cs="David" w:hint="cs"/>
          <w:szCs w:val="20"/>
          <w:rtl/>
        </w:rPr>
        <w:t xml:space="preserve"> ובמידה המתיישבת עם המבחנים.</w:t>
      </w:r>
    </w:p>
    <w:p w:rsidR="005366A8" w:rsidRPr="002E5957" w:rsidRDefault="005D7968" w:rsidP="005366A8">
      <w:pPr>
        <w:pStyle w:val="P00"/>
        <w:ind w:left="1021" w:hanging="1021"/>
        <w:rPr>
          <w:rStyle w:val="default"/>
          <w:rFonts w:cs="David"/>
          <w:szCs w:val="20"/>
          <w:rtl/>
        </w:rPr>
      </w:pPr>
      <w:r w:rsidRPr="005D7968">
        <w:rPr>
          <w:rFonts w:cs="David"/>
          <w:szCs w:val="20"/>
          <w:rtl/>
          <w:lang w:val="he-IL"/>
        </w:rPr>
        <w:pict>
          <v:shapetype id="_x0000_t202" coordsize="21600,21600" o:spt="202" path="m,l,21600r21600,l21600,xe">
            <v:stroke joinstyle="miter"/>
            <v:path gradientshapeok="t" o:connecttype="rect"/>
          </v:shapetype>
          <v:shape id="_x0000_s1178" type="#_x0000_t202" style="position:absolute;left:0;text-align:left;margin-left:440pt;margin-top:13.25pt;width:1in;height:23.65pt;z-index:251822080" filled="f" stroked="f">
            <v:textbox inset="1mm,0,1mm,0">
              <w:txbxContent>
                <w:p w:rsidR="005366A8" w:rsidRDefault="005366A8" w:rsidP="005366A8">
                  <w:pPr>
                    <w:spacing w:line="160" w:lineRule="exact"/>
                    <w:rPr>
                      <w:rFonts w:cs="Miriam"/>
                      <w:sz w:val="18"/>
                      <w:szCs w:val="18"/>
                      <w:rtl/>
                    </w:rPr>
                  </w:pPr>
                  <w:r>
                    <w:rPr>
                      <w:rFonts w:cs="Miriam" w:hint="cs"/>
                      <w:sz w:val="18"/>
                      <w:szCs w:val="18"/>
                      <w:rtl/>
                    </w:rPr>
                    <w:t>(תיקון מס' 24א) תשנ"ט-1999</w:t>
                  </w:r>
                </w:p>
              </w:txbxContent>
            </v:textbox>
            <w10:anchorlock/>
          </v:shape>
        </w:pict>
      </w:r>
      <w:r w:rsidR="005366A8" w:rsidRPr="002E5957">
        <w:rPr>
          <w:rStyle w:val="default"/>
          <w:rFonts w:cs="David" w:hint="cs"/>
          <w:szCs w:val="20"/>
          <w:rtl/>
        </w:rPr>
        <w:tab/>
        <w:t>(ח1)</w:t>
      </w:r>
      <w:r w:rsidR="005366A8" w:rsidRPr="002E5957">
        <w:rPr>
          <w:rStyle w:val="default"/>
          <w:rFonts w:cs="David" w:hint="cs"/>
          <w:szCs w:val="20"/>
          <w:rtl/>
        </w:rPr>
        <w:tab/>
        <w:t>(1)</w:t>
      </w:r>
      <w:r w:rsidR="005366A8" w:rsidRPr="002E5957">
        <w:rPr>
          <w:rStyle w:val="default"/>
          <w:rFonts w:cs="David" w:hint="cs"/>
          <w:szCs w:val="20"/>
          <w:rtl/>
        </w:rPr>
        <w:tab/>
        <w:t>לא יקבל מוסד ציבור תמיכה מיותר ממשרד ממשלתי אחד, אלא אם כן נתקיימו לגביו שני אלה:</w:t>
      </w:r>
    </w:p>
    <w:p w:rsidR="005366A8" w:rsidRPr="002E5957" w:rsidRDefault="005366A8" w:rsidP="005366A8">
      <w:pPr>
        <w:pStyle w:val="P00"/>
        <w:ind w:left="1474"/>
        <w:rPr>
          <w:rStyle w:val="default"/>
          <w:rFonts w:cs="David"/>
          <w:szCs w:val="20"/>
          <w:rtl/>
        </w:rPr>
      </w:pPr>
      <w:r w:rsidRPr="002E5957">
        <w:rPr>
          <w:rStyle w:val="default"/>
          <w:rFonts w:cs="David" w:hint="cs"/>
          <w:szCs w:val="20"/>
          <w:rtl/>
        </w:rPr>
        <w:t>(א)</w:t>
      </w:r>
      <w:r w:rsidRPr="002E5957">
        <w:rPr>
          <w:rStyle w:val="default"/>
          <w:rFonts w:cs="David" w:hint="cs"/>
          <w:szCs w:val="20"/>
          <w:rtl/>
        </w:rPr>
        <w:tab/>
        <w:t>סך כל סכום התמיכה לא יעלה על 90% מעלות הפעולות שבעבורן מבקש מוסד הציבור את התמיכה;</w:t>
      </w:r>
    </w:p>
    <w:p w:rsidR="005366A8" w:rsidRPr="002E5957" w:rsidRDefault="005366A8" w:rsidP="005366A8">
      <w:pPr>
        <w:pStyle w:val="P00"/>
        <w:ind w:left="1474"/>
        <w:rPr>
          <w:rStyle w:val="default"/>
          <w:rFonts w:cs="David"/>
          <w:szCs w:val="20"/>
          <w:rtl/>
        </w:rPr>
      </w:pPr>
      <w:r w:rsidRPr="002E5957">
        <w:rPr>
          <w:rStyle w:val="default"/>
          <w:rFonts w:cs="David" w:hint="cs"/>
          <w:szCs w:val="20"/>
          <w:rtl/>
        </w:rPr>
        <w:t>(ב)</w:t>
      </w:r>
      <w:r w:rsidRPr="002E5957">
        <w:rPr>
          <w:rStyle w:val="default"/>
          <w:rFonts w:cs="David" w:hint="cs"/>
          <w:szCs w:val="20"/>
          <w:rtl/>
        </w:rPr>
        <w:tab/>
        <w:t xml:space="preserve">הממונה על סעיף התקציב שבו נקבע הסכום הגבוה ביותר של התמיכה כאמור בפסקה (א) יאשר, לפני העברת יתרת סכום התמיכה, כי מוסד הציבור מקיים את הוראות הנוהל ואת כל יתר התנאים על פי סעיף זה; לענין זה, "יתרת סכום התמיכה" </w:t>
      </w:r>
      <w:r w:rsidRPr="002E5957">
        <w:rPr>
          <w:rStyle w:val="default"/>
          <w:rFonts w:cs="David"/>
          <w:szCs w:val="20"/>
          <w:rtl/>
        </w:rPr>
        <w:t>–</w:t>
      </w:r>
      <w:r w:rsidRPr="002E5957">
        <w:rPr>
          <w:rStyle w:val="default"/>
          <w:rFonts w:cs="David" w:hint="cs"/>
          <w:szCs w:val="20"/>
          <w:rtl/>
        </w:rPr>
        <w:t xml:space="preserve"> 20% מהסכום הכולל של התמיכה כאמור בפסקה (א).</w:t>
      </w:r>
    </w:p>
    <w:p w:rsidR="005366A8" w:rsidRPr="002E5957" w:rsidRDefault="005366A8" w:rsidP="005366A8">
      <w:pPr>
        <w:pStyle w:val="P00"/>
        <w:ind w:left="1021"/>
        <w:rPr>
          <w:rStyle w:val="default"/>
          <w:rFonts w:cs="David"/>
          <w:szCs w:val="20"/>
          <w:rtl/>
        </w:rPr>
      </w:pPr>
      <w:r w:rsidRPr="002E5957">
        <w:rPr>
          <w:rStyle w:val="default"/>
          <w:rFonts w:cs="David" w:hint="cs"/>
          <w:szCs w:val="20"/>
          <w:rtl/>
        </w:rPr>
        <w:t>(2)</w:t>
      </w:r>
      <w:r w:rsidRPr="002E5957">
        <w:rPr>
          <w:rStyle w:val="default"/>
          <w:rFonts w:cs="David" w:hint="cs"/>
          <w:szCs w:val="20"/>
          <w:rtl/>
        </w:rPr>
        <w:tab/>
        <w:t>שר האוצר יקבע, בהתייעצות עם היועץ המשפטי לממשלה ובאישור הוועדה, הוראות לביצוע סעיף קטן זה.</w:t>
      </w:r>
    </w:p>
    <w:p w:rsidR="005366A8" w:rsidRPr="002E5957" w:rsidRDefault="005366A8" w:rsidP="005366A8">
      <w:pPr>
        <w:pStyle w:val="P00"/>
        <w:ind w:left="0"/>
        <w:rPr>
          <w:rStyle w:val="default"/>
          <w:rFonts w:cs="David"/>
          <w:szCs w:val="20"/>
          <w:rtl/>
        </w:rPr>
      </w:pPr>
      <w:r w:rsidRPr="002E5957">
        <w:rPr>
          <w:rFonts w:cs="David"/>
          <w:szCs w:val="20"/>
          <w:rtl/>
        </w:rPr>
        <w:tab/>
      </w:r>
      <w:r w:rsidRPr="002E5957">
        <w:rPr>
          <w:rStyle w:val="default"/>
          <w:rFonts w:cs="David"/>
          <w:szCs w:val="20"/>
          <w:rtl/>
        </w:rPr>
        <w:t>(ט</w:t>
      </w:r>
      <w:r w:rsidRPr="002E5957">
        <w:rPr>
          <w:rStyle w:val="default"/>
          <w:rFonts w:cs="David" w:hint="cs"/>
          <w:szCs w:val="20"/>
          <w:rtl/>
        </w:rPr>
        <w:t>)</w:t>
      </w:r>
      <w:r w:rsidRPr="002E5957">
        <w:rPr>
          <w:rStyle w:val="default"/>
          <w:rFonts w:cs="David"/>
          <w:szCs w:val="20"/>
          <w:rtl/>
        </w:rPr>
        <w:tab/>
        <w:t>ס</w:t>
      </w:r>
      <w:r w:rsidRPr="002E5957">
        <w:rPr>
          <w:rStyle w:val="default"/>
          <w:rFonts w:cs="David" w:hint="cs"/>
          <w:szCs w:val="20"/>
          <w:rtl/>
        </w:rPr>
        <w:t>עי</w:t>
      </w:r>
      <w:r w:rsidRPr="002E5957">
        <w:rPr>
          <w:rStyle w:val="default"/>
          <w:rFonts w:cs="David"/>
          <w:szCs w:val="20"/>
          <w:rtl/>
        </w:rPr>
        <w:t xml:space="preserve">ף </w:t>
      </w:r>
      <w:r w:rsidRPr="002E5957">
        <w:rPr>
          <w:rStyle w:val="default"/>
          <w:rFonts w:cs="David" w:hint="cs"/>
          <w:szCs w:val="20"/>
          <w:rtl/>
        </w:rPr>
        <w:t xml:space="preserve">זה לא יחול על </w:t>
      </w:r>
      <w:r w:rsidRPr="002E5957">
        <w:rPr>
          <w:rStyle w:val="default"/>
          <w:rFonts w:cs="David"/>
          <w:szCs w:val="20"/>
          <w:rtl/>
        </w:rPr>
        <w:t>–</w:t>
      </w:r>
    </w:p>
    <w:p w:rsidR="005366A8" w:rsidRPr="002E5957" w:rsidRDefault="005366A8" w:rsidP="005366A8">
      <w:pPr>
        <w:pStyle w:val="P22"/>
        <w:spacing w:before="72"/>
        <w:ind w:left="1021" w:right="0"/>
        <w:rPr>
          <w:rStyle w:val="default"/>
          <w:rFonts w:cs="David"/>
          <w:szCs w:val="20"/>
          <w:rtl/>
        </w:rPr>
      </w:pPr>
      <w:r w:rsidRPr="002E5957">
        <w:rPr>
          <w:rStyle w:val="default"/>
          <w:rFonts w:cs="David"/>
          <w:szCs w:val="20"/>
          <w:rtl/>
        </w:rPr>
        <w:t>(1)</w:t>
      </w:r>
      <w:r w:rsidRPr="002E5957">
        <w:rPr>
          <w:rStyle w:val="default"/>
          <w:rFonts w:cs="David"/>
          <w:szCs w:val="20"/>
          <w:rtl/>
        </w:rPr>
        <w:tab/>
        <w:t>ה</w:t>
      </w:r>
      <w:r w:rsidRPr="002E5957">
        <w:rPr>
          <w:rStyle w:val="default"/>
          <w:rFonts w:cs="David" w:hint="cs"/>
          <w:szCs w:val="20"/>
          <w:rtl/>
        </w:rPr>
        <w:t>וצ</w:t>
      </w:r>
      <w:r w:rsidRPr="002E5957">
        <w:rPr>
          <w:rStyle w:val="default"/>
          <w:rFonts w:cs="David"/>
          <w:szCs w:val="20"/>
          <w:rtl/>
        </w:rPr>
        <w:t>או</w:t>
      </w:r>
      <w:r w:rsidRPr="002E5957">
        <w:rPr>
          <w:rStyle w:val="default"/>
          <w:rFonts w:cs="David" w:hint="cs"/>
          <w:szCs w:val="20"/>
          <w:rtl/>
        </w:rPr>
        <w:t>ת הממשלה לצורך תמיכה בתאגיד שהוקם בחוק;</w:t>
      </w:r>
    </w:p>
    <w:p w:rsidR="005366A8" w:rsidRPr="002E5957" w:rsidRDefault="005366A8" w:rsidP="005366A8">
      <w:pPr>
        <w:pStyle w:val="P22"/>
        <w:spacing w:before="72"/>
        <w:ind w:left="1021" w:right="0"/>
        <w:rPr>
          <w:rStyle w:val="default"/>
          <w:rFonts w:cs="David"/>
          <w:szCs w:val="20"/>
          <w:rtl/>
        </w:rPr>
      </w:pPr>
      <w:r w:rsidRPr="002E5957">
        <w:rPr>
          <w:rStyle w:val="default"/>
          <w:rFonts w:cs="David" w:hint="cs"/>
          <w:szCs w:val="20"/>
          <w:rtl/>
        </w:rPr>
        <w:t>(2)</w:t>
      </w:r>
      <w:r w:rsidRPr="002E5957">
        <w:rPr>
          <w:rStyle w:val="default"/>
          <w:rFonts w:cs="David"/>
          <w:szCs w:val="20"/>
          <w:rtl/>
        </w:rPr>
        <w:tab/>
        <w:t>ה</w:t>
      </w:r>
      <w:r w:rsidRPr="002E5957">
        <w:rPr>
          <w:rStyle w:val="default"/>
          <w:rFonts w:cs="David" w:hint="cs"/>
          <w:szCs w:val="20"/>
          <w:rtl/>
        </w:rPr>
        <w:t>וצ</w:t>
      </w:r>
      <w:r w:rsidRPr="002E5957">
        <w:rPr>
          <w:rStyle w:val="default"/>
          <w:rFonts w:cs="David"/>
          <w:szCs w:val="20"/>
          <w:rtl/>
        </w:rPr>
        <w:t>או</w:t>
      </w:r>
      <w:r w:rsidRPr="002E5957">
        <w:rPr>
          <w:rStyle w:val="default"/>
          <w:rFonts w:cs="David" w:hint="cs"/>
          <w:szCs w:val="20"/>
          <w:rtl/>
        </w:rPr>
        <w:t>ת הממשלה לצורך תמיכה בתאגיד מ</w:t>
      </w:r>
      <w:r w:rsidRPr="002E5957">
        <w:rPr>
          <w:rStyle w:val="default"/>
          <w:rFonts w:cs="David"/>
          <w:szCs w:val="20"/>
          <w:rtl/>
        </w:rPr>
        <w:t xml:space="preserve">רכז </w:t>
      </w:r>
      <w:r w:rsidRPr="002E5957">
        <w:rPr>
          <w:rStyle w:val="default"/>
          <w:rFonts w:cs="David" w:hint="cs"/>
          <w:szCs w:val="20"/>
          <w:rtl/>
        </w:rPr>
        <w:t>החינוך הע</w:t>
      </w:r>
      <w:r w:rsidRPr="002E5957">
        <w:rPr>
          <w:rStyle w:val="default"/>
          <w:rFonts w:cs="David"/>
          <w:szCs w:val="20"/>
          <w:rtl/>
        </w:rPr>
        <w:t>צ</w:t>
      </w:r>
      <w:r w:rsidRPr="002E5957">
        <w:rPr>
          <w:rStyle w:val="default"/>
          <w:rFonts w:cs="David" w:hint="cs"/>
          <w:szCs w:val="20"/>
          <w:rtl/>
        </w:rPr>
        <w:t>מאי.</w:t>
      </w:r>
    </w:p>
    <w:p w:rsidR="005366A8" w:rsidRPr="002E5957" w:rsidRDefault="005366A8" w:rsidP="005366A8">
      <w:pPr>
        <w:pStyle w:val="P22"/>
        <w:spacing w:before="72"/>
        <w:ind w:left="1021" w:right="0"/>
        <w:rPr>
          <w:rStyle w:val="default"/>
          <w:rFonts w:cs="David"/>
          <w:szCs w:val="20"/>
          <w:rtl/>
        </w:rPr>
      </w:pPr>
      <w:r w:rsidRPr="002E5957">
        <w:rPr>
          <w:rStyle w:val="default"/>
          <w:rFonts w:cs="David" w:hint="cs"/>
          <w:szCs w:val="20"/>
          <w:rtl/>
        </w:rPr>
        <w:t>(3)</w:t>
      </w:r>
      <w:r w:rsidRPr="002E5957">
        <w:rPr>
          <w:rStyle w:val="default"/>
          <w:rFonts w:cs="David"/>
          <w:szCs w:val="20"/>
          <w:rtl/>
        </w:rPr>
        <w:tab/>
        <w:t>ה</w:t>
      </w:r>
      <w:r w:rsidRPr="002E5957">
        <w:rPr>
          <w:rStyle w:val="default"/>
          <w:rFonts w:cs="David" w:hint="cs"/>
          <w:szCs w:val="20"/>
          <w:rtl/>
        </w:rPr>
        <w:t>וצ</w:t>
      </w:r>
      <w:r w:rsidRPr="002E5957">
        <w:rPr>
          <w:rStyle w:val="default"/>
          <w:rFonts w:cs="David"/>
          <w:szCs w:val="20"/>
          <w:rtl/>
        </w:rPr>
        <w:t>או</w:t>
      </w:r>
      <w:r w:rsidRPr="002E5957">
        <w:rPr>
          <w:rStyle w:val="default"/>
          <w:rFonts w:cs="David" w:hint="cs"/>
          <w:szCs w:val="20"/>
          <w:rtl/>
        </w:rPr>
        <w:t>ת הממשלה לצורך תמיכה בתאגיד מרכז מעיין החינוך התורני בארץ ישראל.</w:t>
      </w:r>
    </w:p>
    <w:p w:rsidR="005366A8" w:rsidRPr="002E5957" w:rsidRDefault="005366A8" w:rsidP="005366A8">
      <w:pPr>
        <w:pStyle w:val="P02"/>
        <w:spacing w:before="72"/>
        <w:ind w:left="1021" w:right="0"/>
        <w:rPr>
          <w:rStyle w:val="default"/>
          <w:rFonts w:cs="David"/>
          <w:szCs w:val="20"/>
          <w:rtl/>
        </w:rPr>
      </w:pPr>
      <w:r w:rsidRPr="002E5957">
        <w:rPr>
          <w:rFonts w:cs="David"/>
          <w:szCs w:val="20"/>
          <w:rtl/>
        </w:rPr>
        <w:tab/>
      </w:r>
      <w:r w:rsidRPr="002E5957">
        <w:rPr>
          <w:rStyle w:val="default"/>
          <w:rFonts w:cs="David"/>
          <w:szCs w:val="20"/>
          <w:rtl/>
        </w:rPr>
        <w:t>(י</w:t>
      </w:r>
      <w:r w:rsidRPr="002E5957">
        <w:rPr>
          <w:rStyle w:val="default"/>
          <w:rFonts w:cs="David" w:hint="cs"/>
          <w:szCs w:val="20"/>
          <w:rtl/>
        </w:rPr>
        <w:t>)</w:t>
      </w:r>
      <w:r w:rsidRPr="002E5957">
        <w:rPr>
          <w:rStyle w:val="default"/>
          <w:rFonts w:cs="David"/>
          <w:szCs w:val="20"/>
          <w:rtl/>
        </w:rPr>
        <w:tab/>
        <w:t>(1)</w:t>
      </w:r>
      <w:r w:rsidRPr="002E5957">
        <w:rPr>
          <w:rStyle w:val="default"/>
          <w:rFonts w:cs="David"/>
          <w:szCs w:val="20"/>
          <w:rtl/>
        </w:rPr>
        <w:tab/>
        <w:t>ה</w:t>
      </w:r>
      <w:r w:rsidRPr="002E5957">
        <w:rPr>
          <w:rStyle w:val="default"/>
          <w:rFonts w:cs="David" w:hint="cs"/>
          <w:szCs w:val="20"/>
          <w:rtl/>
        </w:rPr>
        <w:t>תא</w:t>
      </w:r>
      <w:r w:rsidRPr="002E5957">
        <w:rPr>
          <w:rStyle w:val="default"/>
          <w:rFonts w:cs="David"/>
          <w:szCs w:val="20"/>
          <w:rtl/>
        </w:rPr>
        <w:t>גי</w:t>
      </w:r>
      <w:r w:rsidRPr="002E5957">
        <w:rPr>
          <w:rStyle w:val="default"/>
          <w:rFonts w:cs="David" w:hint="cs"/>
          <w:szCs w:val="20"/>
          <w:rtl/>
        </w:rPr>
        <w:t>די</w:t>
      </w:r>
      <w:r w:rsidRPr="002E5957">
        <w:rPr>
          <w:rStyle w:val="default"/>
          <w:rFonts w:cs="David"/>
          <w:szCs w:val="20"/>
          <w:rtl/>
        </w:rPr>
        <w:t>ם</w:t>
      </w:r>
      <w:r w:rsidRPr="002E5957">
        <w:rPr>
          <w:rStyle w:val="default"/>
          <w:rFonts w:cs="David" w:hint="cs"/>
          <w:szCs w:val="20"/>
          <w:rtl/>
        </w:rPr>
        <w:t xml:space="preserve"> הא</w:t>
      </w:r>
      <w:r w:rsidRPr="002E5957">
        <w:rPr>
          <w:rStyle w:val="default"/>
          <w:rFonts w:cs="David"/>
          <w:szCs w:val="20"/>
          <w:rtl/>
        </w:rPr>
        <w:t>מ</w:t>
      </w:r>
      <w:r w:rsidRPr="002E5957">
        <w:rPr>
          <w:rStyle w:val="default"/>
          <w:rFonts w:cs="David" w:hint="cs"/>
          <w:szCs w:val="20"/>
          <w:rtl/>
        </w:rPr>
        <w:t>ורים בסעיף קטן (ט)(2) ו-(3), יתוקצבו בתקציב משרד החינוך</w:t>
      </w:r>
      <w:r w:rsidRPr="002E5957">
        <w:rPr>
          <w:rStyle w:val="default"/>
          <w:rFonts w:cs="David"/>
          <w:szCs w:val="20"/>
          <w:rtl/>
        </w:rPr>
        <w:t xml:space="preserve"> ו</w:t>
      </w:r>
      <w:r w:rsidRPr="002E5957">
        <w:rPr>
          <w:rStyle w:val="default"/>
          <w:rFonts w:cs="David" w:hint="cs"/>
          <w:szCs w:val="20"/>
          <w:rtl/>
        </w:rPr>
        <w:t>הת</w:t>
      </w:r>
      <w:r w:rsidRPr="002E5957">
        <w:rPr>
          <w:rStyle w:val="default"/>
          <w:rFonts w:cs="David"/>
          <w:szCs w:val="20"/>
          <w:rtl/>
        </w:rPr>
        <w:t>רב</w:t>
      </w:r>
      <w:r w:rsidRPr="002E5957">
        <w:rPr>
          <w:rStyle w:val="default"/>
          <w:rFonts w:cs="David" w:hint="cs"/>
          <w:szCs w:val="20"/>
          <w:rtl/>
        </w:rPr>
        <w:t xml:space="preserve">ות למטרות חינוך בלבד, לפי </w:t>
      </w:r>
      <w:r w:rsidRPr="002E5957">
        <w:rPr>
          <w:rStyle w:val="default"/>
          <w:rFonts w:cs="David"/>
          <w:szCs w:val="20"/>
          <w:rtl/>
        </w:rPr>
        <w:t>אמ</w:t>
      </w:r>
      <w:r w:rsidRPr="002E5957">
        <w:rPr>
          <w:rStyle w:val="default"/>
          <w:rFonts w:cs="David" w:hint="cs"/>
          <w:szCs w:val="20"/>
          <w:rtl/>
        </w:rPr>
        <w:t>ות מידה שוות לשני התאגידים על פי קריטריונים עניניים א</w:t>
      </w:r>
      <w:r w:rsidRPr="002E5957">
        <w:rPr>
          <w:rStyle w:val="default"/>
          <w:rFonts w:cs="David"/>
          <w:szCs w:val="20"/>
          <w:rtl/>
        </w:rPr>
        <w:t>חידי</w:t>
      </w:r>
      <w:r w:rsidRPr="002E5957">
        <w:rPr>
          <w:rStyle w:val="default"/>
          <w:rFonts w:cs="David" w:hint="cs"/>
          <w:szCs w:val="20"/>
          <w:rtl/>
        </w:rPr>
        <w:t>ם ושוויונ</w:t>
      </w:r>
      <w:r w:rsidRPr="002E5957">
        <w:rPr>
          <w:rStyle w:val="default"/>
          <w:rFonts w:cs="David"/>
          <w:szCs w:val="20"/>
          <w:rtl/>
        </w:rPr>
        <w:t>י</w:t>
      </w:r>
      <w:r w:rsidRPr="002E5957">
        <w:rPr>
          <w:rStyle w:val="default"/>
          <w:rFonts w:cs="David" w:hint="cs"/>
          <w:szCs w:val="20"/>
          <w:rtl/>
        </w:rPr>
        <w:t>ים כמו לכלל ילדי ישראל.</w:t>
      </w:r>
    </w:p>
    <w:p w:rsidR="005366A8" w:rsidRPr="002E5957" w:rsidRDefault="005366A8" w:rsidP="005366A8">
      <w:pPr>
        <w:pStyle w:val="P22"/>
        <w:spacing w:before="72"/>
        <w:ind w:left="1021" w:right="0"/>
        <w:rPr>
          <w:rStyle w:val="default"/>
          <w:rFonts w:cs="David"/>
          <w:szCs w:val="20"/>
          <w:rtl/>
        </w:rPr>
      </w:pPr>
      <w:r w:rsidRPr="002E5957">
        <w:rPr>
          <w:rStyle w:val="default"/>
          <w:rFonts w:cs="David"/>
          <w:szCs w:val="20"/>
          <w:rtl/>
        </w:rPr>
        <w:t>(2)</w:t>
      </w:r>
      <w:r w:rsidRPr="002E5957">
        <w:rPr>
          <w:rStyle w:val="default"/>
          <w:rFonts w:cs="David"/>
          <w:szCs w:val="20"/>
          <w:rtl/>
        </w:rPr>
        <w:tab/>
        <w:t>ת</w:t>
      </w:r>
      <w:r w:rsidRPr="002E5957">
        <w:rPr>
          <w:rStyle w:val="default"/>
          <w:rFonts w:cs="David" w:hint="cs"/>
          <w:szCs w:val="20"/>
          <w:rtl/>
        </w:rPr>
        <w:t>אג</w:t>
      </w:r>
      <w:r w:rsidRPr="002E5957">
        <w:rPr>
          <w:rStyle w:val="default"/>
          <w:rFonts w:cs="David"/>
          <w:szCs w:val="20"/>
          <w:rtl/>
        </w:rPr>
        <w:t>יד</w:t>
      </w:r>
      <w:r w:rsidRPr="002E5957">
        <w:rPr>
          <w:rStyle w:val="default"/>
          <w:rFonts w:cs="David" w:hint="cs"/>
          <w:szCs w:val="20"/>
          <w:rtl/>
        </w:rPr>
        <w:t xml:space="preserve"> מרכז החינוך העצמאי יתוקצב על בסיס תקציבו האחרון לפני תחילתו ש</w:t>
      </w:r>
      <w:r w:rsidRPr="002E5957">
        <w:rPr>
          <w:rStyle w:val="default"/>
          <w:rFonts w:cs="David"/>
          <w:szCs w:val="20"/>
          <w:rtl/>
        </w:rPr>
        <w:t>ל</w:t>
      </w:r>
      <w:r w:rsidRPr="002E5957">
        <w:rPr>
          <w:rStyle w:val="default"/>
          <w:rFonts w:cs="David" w:hint="cs"/>
          <w:szCs w:val="20"/>
          <w:rtl/>
        </w:rPr>
        <w:t xml:space="preserve"> חו</w:t>
      </w:r>
      <w:r w:rsidRPr="002E5957">
        <w:rPr>
          <w:rStyle w:val="default"/>
          <w:rFonts w:cs="David"/>
          <w:szCs w:val="20"/>
          <w:rtl/>
        </w:rPr>
        <w:t>ק</w:t>
      </w:r>
      <w:r w:rsidRPr="002E5957">
        <w:rPr>
          <w:rStyle w:val="default"/>
          <w:rFonts w:cs="David" w:hint="cs"/>
          <w:szCs w:val="20"/>
          <w:rtl/>
        </w:rPr>
        <w:t xml:space="preserve"> הסדרים במשק המדינה (תיקוני חקיקה), תשנ"ב-</w:t>
      </w:r>
      <w:r w:rsidRPr="002E5957">
        <w:rPr>
          <w:rStyle w:val="default"/>
          <w:rFonts w:cs="David"/>
          <w:szCs w:val="20"/>
          <w:rtl/>
        </w:rPr>
        <w:t>1</w:t>
      </w:r>
      <w:r w:rsidRPr="002E5957">
        <w:rPr>
          <w:rStyle w:val="default"/>
          <w:rFonts w:cs="David" w:hint="cs"/>
          <w:szCs w:val="20"/>
          <w:rtl/>
        </w:rPr>
        <w:t>992.</w:t>
      </w:r>
    </w:p>
    <w:p w:rsidR="005366A8" w:rsidRDefault="005366A8" w:rsidP="005366A8">
      <w:pPr>
        <w:pStyle w:val="P22"/>
        <w:spacing w:before="72"/>
        <w:ind w:left="1021" w:right="0"/>
        <w:rPr>
          <w:rtl/>
        </w:rPr>
      </w:pPr>
      <w:r w:rsidRPr="002E5957">
        <w:rPr>
          <w:rStyle w:val="default"/>
          <w:rFonts w:cs="David"/>
          <w:szCs w:val="20"/>
          <w:rtl/>
        </w:rPr>
        <w:t>(3)</w:t>
      </w:r>
      <w:r w:rsidRPr="002E5957">
        <w:rPr>
          <w:rStyle w:val="default"/>
          <w:rFonts w:cs="David"/>
          <w:szCs w:val="20"/>
          <w:rtl/>
        </w:rPr>
        <w:tab/>
        <w:t>י</w:t>
      </w:r>
      <w:r w:rsidRPr="002E5957">
        <w:rPr>
          <w:rStyle w:val="default"/>
          <w:rFonts w:cs="David" w:hint="cs"/>
          <w:szCs w:val="20"/>
          <w:rtl/>
        </w:rPr>
        <w:t>יש</w:t>
      </w:r>
      <w:r w:rsidRPr="002E5957">
        <w:rPr>
          <w:rStyle w:val="default"/>
          <w:rFonts w:cs="David"/>
          <w:szCs w:val="20"/>
          <w:rtl/>
        </w:rPr>
        <w:t>מר</w:t>
      </w:r>
      <w:r w:rsidRPr="002E5957">
        <w:rPr>
          <w:rStyle w:val="default"/>
          <w:rFonts w:cs="David" w:hint="cs"/>
          <w:szCs w:val="20"/>
          <w:rtl/>
        </w:rPr>
        <w:t>ו א</w:t>
      </w:r>
      <w:r w:rsidRPr="002E5957">
        <w:rPr>
          <w:rStyle w:val="default"/>
          <w:rFonts w:cs="David"/>
          <w:szCs w:val="20"/>
          <w:rtl/>
        </w:rPr>
        <w:t>ופ</w:t>
      </w:r>
      <w:r w:rsidRPr="002E5957">
        <w:rPr>
          <w:rStyle w:val="default"/>
          <w:rFonts w:cs="David" w:hint="cs"/>
          <w:szCs w:val="20"/>
          <w:rtl/>
        </w:rPr>
        <w:t>יו ומעמדו של החינוך החרדי בתאגידים האמורים בסעיף קטן ט(2) ו-(3).</w:t>
      </w:r>
      <w:r>
        <w:rPr>
          <w:rStyle w:val="default"/>
          <w:rFonts w:cs="David" w:hint="cs"/>
          <w:szCs w:val="20"/>
          <w:rtl/>
        </w:rPr>
        <w:t>]</w:t>
      </w:r>
    </w:p>
    <w:p w:rsidR="005366A8" w:rsidRPr="000F28FD" w:rsidRDefault="005366A8" w:rsidP="005366A8">
      <w:pPr>
        <w:tabs>
          <w:tab w:val="left" w:pos="800"/>
        </w:tabs>
        <w:rPr>
          <w:rFonts w:ascii="Arial TUR" w:hAnsi="Arial TUR" w:cs="FrankRuehl"/>
          <w:sz w:val="22"/>
          <w:szCs w:val="22"/>
          <w:rtl/>
        </w:rPr>
      </w:pPr>
    </w:p>
    <w:p w:rsidR="005366A8" w:rsidRPr="000F28FD" w:rsidRDefault="005366A8" w:rsidP="005366A8">
      <w:pPr>
        <w:tabs>
          <w:tab w:val="left" w:pos="800"/>
        </w:tabs>
        <w:rPr>
          <w:rFonts w:cs="FrankRuehl"/>
          <w:b/>
          <w:bCs/>
          <w:spacing w:val="10"/>
          <w:sz w:val="22"/>
          <w:szCs w:val="22"/>
          <w:u w:val="single"/>
          <w:rtl/>
        </w:rPr>
      </w:pPr>
      <w:r w:rsidRPr="000F28FD">
        <w:rPr>
          <w:rFonts w:cs="FrankRuehl" w:hint="cs"/>
          <w:b/>
          <w:bCs/>
          <w:spacing w:val="10"/>
          <w:sz w:val="22"/>
          <w:szCs w:val="22"/>
          <w:u w:val="single"/>
          <w:rtl/>
        </w:rPr>
        <w:t>המסגרת הנורמטיבית החולשת על הסעיף התקציבי</w:t>
      </w:r>
    </w:p>
    <w:p w:rsidR="005366A8" w:rsidRPr="000F28FD"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0F28FD">
        <w:rPr>
          <w:rFonts w:ascii="Arial TUR" w:hAnsi="Arial TUR" w:cs="FrankRuehl" w:hint="cs"/>
          <w:spacing w:val="10"/>
          <w:sz w:val="22"/>
          <w:szCs w:val="22"/>
          <w:rtl/>
        </w:rPr>
        <w:t>15.</w:t>
      </w:r>
      <w:r w:rsidRPr="000F28FD">
        <w:rPr>
          <w:rFonts w:ascii="Arial TUR" w:hAnsi="Arial TUR" w:cs="FrankRuehl" w:hint="cs"/>
          <w:spacing w:val="10"/>
          <w:sz w:val="22"/>
          <w:szCs w:val="22"/>
          <w:rtl/>
        </w:rPr>
        <w:tab/>
        <w:t xml:space="preserve">המסגרת הנורמטיבית לחוקי התקציב השנתיים מצויה בשני דברי חקיקה מרכזיים: חוק יסוד: משק המדינה וחוק יסודות התקציב. סעיף 3 לחוק יסוד: משק המדינה מתווה את העקרון הבסיסי לפיו תקציב המדינה יהיה בחוק, לשנה אחת, ויכלול את הוצאות הממשלה הצפויות והמתוכננות (כפי שצוין לעיל, תקציב המדינה לשנים 2009 ו-2010 הוא תקציב דו-שנתי, בהתאם לאמור בחוק יסוד: תקציב המדינה לשנים 2009 ו-2010 (הוראות מיוחדות) (הוראת שעה), תשס"ט-2009). חוק יסוד: משק המדינה קובע את תוואי העבודה המרכזי, על פיו הממשלה היא האמונה על הכנת התקציב, והיא המניחה את הצעת התקציב על שולחן הכנסת במועד שקבעה הכנסת או במועד שקבעה ועדת הכנסת שהוסמכה לכך. בכל מקרה, הצעת התקציב תובא לעיון הכנסת לא יאוחר משישים ימים לפני שנת הכספים. </w:t>
      </w:r>
    </w:p>
    <w:p w:rsidR="005366A8" w:rsidRPr="000F28FD"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0F28FD">
        <w:rPr>
          <w:rFonts w:ascii="Arial TUR" w:hAnsi="Arial TUR" w:cs="FrankRuehl" w:hint="cs"/>
          <w:spacing w:val="10"/>
          <w:sz w:val="22"/>
          <w:szCs w:val="22"/>
          <w:rtl/>
        </w:rPr>
        <w:tab/>
        <w:t xml:space="preserve">בעוד שחוק יסוד: משק המדינה קובע את חלוקת העבודה בין הממשלה והכנסת, חוק יסודות התקציב מניח את המסד לחוקי התקציב השנתיים. כשמו כן הוא, חוק יסודות התקציב קובע את היסודות החיוניים לכל חוק תקציב שנתי. חוק יסודות התקציב מפורט מאוד, והוא כולל רשימה ארוכה של הוראות המסדירות עניינים שונים הנוגעים למבנה חוק התקציב השנתי, אופן קביעתו של התקציב השנתי והפעולות המותרות במסגרת התקציב. </w:t>
      </w:r>
      <w:r>
        <w:rPr>
          <w:rFonts w:ascii="Arial TUR" w:hAnsi="Arial TUR" w:cs="FrankRuehl" w:hint="cs"/>
          <w:spacing w:val="10"/>
          <w:sz w:val="22"/>
          <w:szCs w:val="22"/>
          <w:rtl/>
        </w:rPr>
        <w:t>...</w:t>
      </w:r>
      <w:r w:rsidRPr="000F28FD">
        <w:rPr>
          <w:rFonts w:ascii="Arial TUR" w:hAnsi="Arial TUR" w:cs="FrankRuehl" w:hint="cs"/>
          <w:spacing w:val="10"/>
          <w:sz w:val="22"/>
          <w:szCs w:val="22"/>
          <w:rtl/>
        </w:rPr>
        <w:t xml:space="preserve"> </w:t>
      </w:r>
    </w:p>
    <w:p w:rsidR="005366A8" w:rsidRPr="000F28FD" w:rsidRDefault="005366A8" w:rsidP="005366A8">
      <w:pPr>
        <w:tabs>
          <w:tab w:val="left" w:pos="800"/>
        </w:tabs>
        <w:rPr>
          <w:rFonts w:ascii="Arial TUR" w:hAnsi="Arial TUR" w:cs="FrankRuehl"/>
          <w:sz w:val="22"/>
          <w:szCs w:val="22"/>
          <w:rtl/>
        </w:rPr>
      </w:pPr>
    </w:p>
    <w:p w:rsidR="005366A8" w:rsidRPr="000F28FD"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0F28FD">
        <w:rPr>
          <w:rFonts w:ascii="Arial TUR" w:hAnsi="Arial TUR" w:cs="FrankRuehl" w:hint="cs"/>
          <w:spacing w:val="10"/>
          <w:sz w:val="22"/>
          <w:szCs w:val="22"/>
          <w:rtl/>
        </w:rPr>
        <w:t>19.</w:t>
      </w:r>
      <w:r w:rsidRPr="000F28FD">
        <w:rPr>
          <w:rFonts w:ascii="Arial TUR" w:hAnsi="Arial TUR" w:cs="FrankRuehl" w:hint="cs"/>
          <w:spacing w:val="10"/>
          <w:sz w:val="22"/>
          <w:szCs w:val="22"/>
          <w:rtl/>
        </w:rPr>
        <w:tab/>
        <w:t xml:space="preserve">חוק יסודות התקציב מהווה מעין הוראת שריון מהותי החלה על חוקי תקציב שנתיים, והוא נחקק במגמה להדק את הפיקוח על התקציב (ראו דפנה ברק-ארז "אכיפתו של תקציב המדינה וחוזי המינהל" </w:t>
      </w:r>
      <w:r w:rsidRPr="000F28FD">
        <w:rPr>
          <w:rFonts w:cs="FrankRuehl" w:hint="cs"/>
          <w:spacing w:val="10"/>
          <w:sz w:val="22"/>
          <w:szCs w:val="22"/>
          <w:rtl/>
        </w:rPr>
        <w:t>המשפט</w:t>
      </w:r>
      <w:r w:rsidRPr="000F28FD">
        <w:rPr>
          <w:rFonts w:ascii="Arial TUR" w:hAnsi="Arial TUR" w:cs="FrankRuehl" w:hint="cs"/>
          <w:spacing w:val="10"/>
          <w:sz w:val="22"/>
          <w:szCs w:val="22"/>
          <w:rtl/>
        </w:rPr>
        <w:t xml:space="preserve"> א' 253, 254 (1993)). הדבר נלמד הן מהוראות החוק עצמו והן מהנסיבות בהן התקבל. </w:t>
      </w:r>
      <w:r>
        <w:rPr>
          <w:rFonts w:ascii="Arial TUR" w:hAnsi="Arial TUR" w:cs="FrankRuehl" w:hint="cs"/>
          <w:spacing w:val="10"/>
          <w:sz w:val="22"/>
          <w:szCs w:val="22"/>
          <w:rtl/>
        </w:rPr>
        <w:t>...</w:t>
      </w:r>
    </w:p>
    <w:p w:rsidR="005366A8" w:rsidRPr="000F28FD" w:rsidRDefault="005366A8" w:rsidP="005366A8">
      <w:pPr>
        <w:tabs>
          <w:tab w:val="left" w:pos="800"/>
        </w:tabs>
        <w:rPr>
          <w:rFonts w:ascii="Arial TUR" w:hAnsi="Arial TUR" w:cs="FrankRuehl"/>
          <w:sz w:val="22"/>
          <w:szCs w:val="22"/>
          <w:rtl/>
        </w:rPr>
      </w:pPr>
    </w:p>
    <w:p w:rsidR="005366A8" w:rsidRPr="000F28FD"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0F28FD">
        <w:rPr>
          <w:rFonts w:ascii="Arial TUR" w:hAnsi="Arial TUR" w:cs="FrankRuehl" w:hint="cs"/>
          <w:spacing w:val="10"/>
          <w:sz w:val="22"/>
          <w:szCs w:val="22"/>
          <w:rtl/>
        </w:rPr>
        <w:t>20.</w:t>
      </w:r>
      <w:r w:rsidRPr="000F28FD">
        <w:rPr>
          <w:rFonts w:ascii="Arial TUR" w:hAnsi="Arial TUR" w:cs="FrankRuehl" w:hint="cs"/>
          <w:spacing w:val="10"/>
          <w:sz w:val="22"/>
          <w:szCs w:val="22"/>
          <w:rtl/>
        </w:rPr>
        <w:tab/>
        <w:t>חוק יסודות התקציב הוא דוגמא למה שמכונה בספרות ההשוואתית "חוק מסגרת" (</w:t>
      </w:r>
      <w:r w:rsidRPr="000F28FD">
        <w:rPr>
          <w:rFonts w:ascii="Arial TUR" w:hAnsi="Arial TUR" w:cs="FrankRuehl"/>
          <w:spacing w:val="10"/>
          <w:sz w:val="22"/>
          <w:szCs w:val="22"/>
        </w:rPr>
        <w:t>Framework Legislation</w:t>
      </w:r>
      <w:r w:rsidRPr="000F28FD">
        <w:rPr>
          <w:rFonts w:ascii="Arial TUR" w:hAnsi="Arial TUR" w:cs="FrankRuehl" w:hint="cs"/>
          <w:spacing w:val="10"/>
          <w:sz w:val="22"/>
          <w:szCs w:val="22"/>
          <w:rtl/>
        </w:rPr>
        <w:t xml:space="preserve">). חוקי מסגרת הם חוקים אשר מבנים את אופן החקיקה של חוקים בתחום העניין אותו הם מסדירים. על פי רוב, חוקי המסגרת כוללים הוראות הנוגעות לדרכי ההצבעה והדיון בבית המחוקקים בעת ההצבעה על החקיקה הרלוונטית לחוקי המסגרת ולעיתים, כמו בחוק יסודות התקציב, יש בהם גם הוראות הנוגעות לתוכן החקיקה </w:t>
      </w:r>
      <w:r>
        <w:rPr>
          <w:rFonts w:ascii="Arial TUR" w:hAnsi="Arial TUR" w:cs="FrankRuehl" w:hint="cs"/>
          <w:spacing w:val="10"/>
          <w:sz w:val="22"/>
          <w:szCs w:val="22"/>
          <w:rtl/>
        </w:rPr>
        <w:t>...</w:t>
      </w:r>
      <w:r w:rsidRPr="000F28FD">
        <w:rPr>
          <w:rFonts w:ascii="Arial TUR" w:hAnsi="Arial TUR" w:cs="FrankRuehl" w:hint="cs"/>
          <w:spacing w:val="10"/>
          <w:sz w:val="22"/>
          <w:szCs w:val="22"/>
          <w:rtl/>
        </w:rPr>
        <w:t xml:space="preserve"> </w:t>
      </w:r>
    </w:p>
    <w:p w:rsidR="005366A8" w:rsidRPr="000F28FD" w:rsidRDefault="005366A8" w:rsidP="005366A8">
      <w:pPr>
        <w:tabs>
          <w:tab w:val="left" w:pos="800"/>
        </w:tabs>
        <w:rPr>
          <w:rFonts w:ascii="Arial TUR" w:hAnsi="Arial TUR" w:cs="FrankRuehl"/>
          <w:sz w:val="22"/>
          <w:szCs w:val="22"/>
          <w:rtl/>
        </w:rPr>
      </w:pPr>
    </w:p>
    <w:p w:rsidR="005366A8" w:rsidRPr="000F28FD" w:rsidRDefault="005366A8" w:rsidP="005366A8">
      <w:pPr>
        <w:tabs>
          <w:tab w:val="left" w:pos="800"/>
        </w:tabs>
        <w:overflowPunct w:val="0"/>
        <w:autoSpaceDE w:val="0"/>
        <w:autoSpaceDN w:val="0"/>
        <w:adjustRightInd w:val="0"/>
        <w:rPr>
          <w:rFonts w:ascii="Arial TUR" w:hAnsi="Arial TUR" w:cs="FrankRuehl"/>
          <w:sz w:val="22"/>
          <w:szCs w:val="22"/>
          <w:rtl/>
        </w:rPr>
      </w:pPr>
      <w:r w:rsidRPr="000F28FD">
        <w:rPr>
          <w:rFonts w:ascii="Arial TUR" w:hAnsi="Arial TUR" w:cs="FrankRuehl" w:hint="cs"/>
          <w:spacing w:val="10"/>
          <w:sz w:val="22"/>
          <w:szCs w:val="22"/>
          <w:rtl/>
        </w:rPr>
        <w:t>21.</w:t>
      </w:r>
      <w:r w:rsidRPr="000F28FD">
        <w:rPr>
          <w:rFonts w:ascii="Arial TUR" w:hAnsi="Arial TUR" w:cs="FrankRuehl" w:hint="cs"/>
          <w:spacing w:val="10"/>
          <w:sz w:val="22"/>
          <w:szCs w:val="22"/>
          <w:rtl/>
        </w:rPr>
        <w:tab/>
        <w:t xml:space="preserve">חוק יסודות התקציב, כחוק מסגרת לחוקי התקציב השנתיים, כולל הוראות שונות שנועדו להסדיר חקיקת תקציב עתידית, הן במישור המתייחס להליך החקיקה של חוקי התקציב השנתיים והן במישור המתייחס לתוכן של חוקי התקציב השנתיים. חלק מן ההוראות בחוק יסודות התקציב נושאות אופי פרוצדוראלי ועניינן היקף הפרטים שצריכים להיכלל בחוק התקציב השנתי. </w:t>
      </w:r>
      <w:r>
        <w:rPr>
          <w:rFonts w:ascii="Arial TUR" w:hAnsi="Arial TUR" w:cs="FrankRuehl" w:hint="cs"/>
          <w:spacing w:val="10"/>
          <w:sz w:val="22"/>
          <w:szCs w:val="22"/>
          <w:rtl/>
        </w:rPr>
        <w:t>..</w:t>
      </w:r>
      <w:r w:rsidRPr="000F28FD">
        <w:rPr>
          <w:rFonts w:ascii="Arial TUR" w:hAnsi="Arial TUR" w:cs="FrankRuehl" w:hint="cs"/>
          <w:spacing w:val="10"/>
          <w:sz w:val="22"/>
          <w:szCs w:val="22"/>
          <w:rtl/>
        </w:rPr>
        <w:t xml:space="preserve">. לצד הוראות אלה קובע חוק יסודות התקציב הוראות בעלות אופי מהותי. סעיף 3א לחוק יסודות התקציב, הוא הסעיף הרלוונטי לעתירה שלפנינו ואשר נדון בו בהרחבה בהמשך, הוא דוגמא להוראה כזו, ועניינו החלה של עקרון השוויון בחלוקת תמיכות המדינה למוסדות ציבור. סעיף 3א גם מדגים את האופן שבו חוק מסגרת נותן מענה לבעיה חוזרת ונשנית שקדמה לו – במקרה זה, תופעת הכספים הייחודיים שהמחוקק ביקש למגר עם הוספת סעיף 3א לחוק יסודות התקציב. </w:t>
      </w:r>
    </w:p>
    <w:p w:rsidR="005366A8" w:rsidRPr="000F28FD" w:rsidRDefault="005366A8" w:rsidP="005366A8">
      <w:pPr>
        <w:tabs>
          <w:tab w:val="left" w:pos="800"/>
        </w:tabs>
        <w:rPr>
          <w:rFonts w:ascii="Arial TUR" w:hAnsi="Arial TUR" w:cs="FrankRuehl"/>
          <w:sz w:val="22"/>
          <w:szCs w:val="22"/>
          <w:rtl/>
        </w:rPr>
      </w:pPr>
    </w:p>
    <w:p w:rsidR="005366A8" w:rsidRPr="000F28FD" w:rsidRDefault="005366A8" w:rsidP="005366A8">
      <w:pPr>
        <w:tabs>
          <w:tab w:val="left" w:pos="800"/>
        </w:tabs>
        <w:overflowPunct w:val="0"/>
        <w:autoSpaceDE w:val="0"/>
        <w:autoSpaceDN w:val="0"/>
        <w:adjustRightInd w:val="0"/>
        <w:rPr>
          <w:rFonts w:ascii="Arial TUR" w:hAnsi="Arial TUR" w:cs="FrankRuehl"/>
          <w:sz w:val="22"/>
          <w:szCs w:val="22"/>
          <w:highlight w:val="yellow"/>
          <w:rtl/>
        </w:rPr>
      </w:pPr>
      <w:r w:rsidRPr="000F28FD">
        <w:rPr>
          <w:rFonts w:ascii="Arial TUR" w:hAnsi="Arial TUR" w:cs="FrankRuehl" w:hint="cs"/>
          <w:spacing w:val="10"/>
          <w:sz w:val="22"/>
          <w:szCs w:val="22"/>
          <w:rtl/>
        </w:rPr>
        <w:t>22.</w:t>
      </w:r>
      <w:r w:rsidRPr="000F28FD">
        <w:rPr>
          <w:rFonts w:ascii="Arial TUR" w:hAnsi="Arial TUR" w:cs="FrankRuehl" w:hint="cs"/>
          <w:spacing w:val="10"/>
          <w:sz w:val="22"/>
          <w:szCs w:val="22"/>
          <w:rtl/>
        </w:rPr>
        <w:tab/>
      </w:r>
      <w:r w:rsidRPr="000F28FD">
        <w:rPr>
          <w:rFonts w:ascii="Arial TUR" w:hAnsi="Arial TUR" w:cs="FrankRuehl" w:hint="cs"/>
          <w:spacing w:val="10"/>
          <w:sz w:val="22"/>
          <w:szCs w:val="22"/>
          <w:highlight w:val="yellow"/>
          <w:rtl/>
        </w:rPr>
        <w:t xml:space="preserve">לצד מעמדו של חוק יסודות התקציב כחוק שנועד לעמוד בבסיס חוקי התקציב השנתיים ניצב אופיו הייחודי של חוק התקציב השנתי. חוק התקציב, כפי ששמו מעיד עליו, הוא חוק המתקבל על ידי הכנסת, אם כי הדיון בו, כמו גם תוכנו, שונים מהמקובל ביחס לחקיקה ראשית אחרת. סעיף 131 לתקנון הכנסת, שכותרתו "סדרי-דיון מיוחדים", קובע כי "בדיון על תקציב המדינה, ובמקרים אחרים יוצאים מן הכלל, רשאית ועדת הכנסת לקבוע סדרי דיון מיוחדים". הצעת התקציב השנתי, אותה מחויבת הממשלה להניח על שולחן הכנסת לא יאוחר משישים ימים לפני שנת הכספים, אינה מופצת כתזכיר חוק על-ידי משרד המשפטים, היא אינה מתפרסמת ככל הצעת חוק אחרת ואינה עוברת קריאה ראשונה מלאה ... </w:t>
      </w:r>
    </w:p>
    <w:p w:rsidR="005366A8" w:rsidRPr="000F28FD"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0F28FD">
        <w:rPr>
          <w:rFonts w:ascii="Arial TUR" w:hAnsi="Arial TUR" w:cs="FrankRuehl" w:hint="cs"/>
          <w:spacing w:val="10"/>
          <w:sz w:val="22"/>
          <w:szCs w:val="22"/>
          <w:highlight w:val="yellow"/>
          <w:rtl/>
        </w:rPr>
        <w:tab/>
        <w:t xml:space="preserve">אך לא רק סדרי הדיון מייחדים את חוק התקציב השנתי מחקיקה ראשית אחרת. גם מבחינה מהותית אין ניתן לומר שחוק התקציב כמוהו ככל חוק אחר המתקבל על ידי הכנסת. ביסודו, חוק התקציב הוא חוק שנותן הרשאה לממשלה לפעולה. בחלקו העיקרי, החוק מורכב מסעיפים סעיפים המפרטים את סכום ההקצאה לפעולות שונות במשרדי הממשלה בהתאם למדיניות הכלכלית הנקבעת על ידי הממשלה. על פי רוב, חוק התקציב אינו כולל מימד נורמטיבי מהותי או נורמות הקובעות התנהגות מותרת ואסורה הניתנת לאכיפה. חוק התקציב הוא למעשה מסגרת של פעולות הממשלה, שזקוקה, במבנה המשטרי שלנו, לאישור הכנסת להוצאות הנחוצות לה לשם ביצוע פעולותיה השוטפות והגשמת מדיניותה. חוק התקציב הוא גם חוק מוגבל בהיקפו – ככלל, הוא תקף לשנה אחת בלבד (או לשנתיים, כמו בשנה זו, במקרה של חוק תקציב דו-שנתי), והוראות התקציב הקבועות בו מעניקות היתר לממשלה להוציא כספים למטרות מסוימות או להתקשר בהתחייבויות כספיות, אך אין הן מטילות חובה על הממשלה להוציא כספים אלה; על פי סעיף 3 לחוק יסודות התקציב, הממשלה </w:t>
      </w:r>
      <w:r w:rsidRPr="000F28FD">
        <w:rPr>
          <w:rFonts w:cs="FrankRuehl" w:hint="cs"/>
          <w:spacing w:val="10"/>
          <w:sz w:val="22"/>
          <w:szCs w:val="22"/>
          <w:highlight w:val="yellow"/>
          <w:rtl/>
        </w:rPr>
        <w:t>רשאית</w:t>
      </w:r>
      <w:r w:rsidRPr="000F28FD">
        <w:rPr>
          <w:rFonts w:ascii="Arial TUR" w:hAnsi="Arial TUR" w:cs="FrankRuehl" w:hint="cs"/>
          <w:spacing w:val="10"/>
          <w:sz w:val="22"/>
          <w:szCs w:val="22"/>
          <w:highlight w:val="yellow"/>
          <w:rtl/>
        </w:rPr>
        <w:t xml:space="preserve"> להוציא בשנת כספים פלונית את הסכום הנקוב כהוצאה בחוק התקציב, אך אין היא חייבת לעשות כן.</w:t>
      </w:r>
      <w:r w:rsidRPr="000F28FD">
        <w:rPr>
          <w:rFonts w:ascii="Arial TUR" w:hAnsi="Arial TUR" w:cs="FrankRuehl" w:hint="cs"/>
          <w:spacing w:val="10"/>
          <w:sz w:val="22"/>
          <w:szCs w:val="22"/>
          <w:rtl/>
        </w:rPr>
        <w:t xml:space="preserve"> </w:t>
      </w:r>
    </w:p>
    <w:p w:rsidR="005366A8" w:rsidRPr="000F28FD" w:rsidRDefault="005366A8" w:rsidP="005366A8">
      <w:pPr>
        <w:tabs>
          <w:tab w:val="left" w:pos="800"/>
        </w:tabs>
        <w:rPr>
          <w:rFonts w:ascii="Arial TUR" w:hAnsi="Arial TUR" w:cs="FrankRuehl"/>
          <w:sz w:val="22"/>
          <w:szCs w:val="22"/>
          <w:rtl/>
        </w:rPr>
      </w:pPr>
    </w:p>
    <w:p w:rsidR="005366A8" w:rsidRPr="000F28FD"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0F28FD">
        <w:rPr>
          <w:rFonts w:ascii="Arial TUR" w:hAnsi="Arial TUR" w:cs="FrankRuehl" w:hint="cs"/>
          <w:spacing w:val="10"/>
          <w:sz w:val="22"/>
          <w:szCs w:val="22"/>
          <w:rtl/>
        </w:rPr>
        <w:t>23.</w:t>
      </w:r>
      <w:r w:rsidRPr="000F28FD">
        <w:rPr>
          <w:rFonts w:ascii="Arial TUR" w:hAnsi="Arial TUR" w:cs="FrankRuehl" w:hint="cs"/>
          <w:spacing w:val="10"/>
          <w:sz w:val="22"/>
          <w:szCs w:val="22"/>
          <w:rtl/>
        </w:rPr>
        <w:tab/>
        <w:t xml:space="preserve">בתי המשפט בישראל הכירו באופיו הייחודי של חוק התקציב. כך למשל, אפיין השופט י' זוסמן את חוק התקציב השנתי בע"פ 213/56 היועץ המשפטי לממשלה נ' אלכסנדרוביץ, פ"ד יא 695, 698 (1957): </w:t>
      </w:r>
    </w:p>
    <w:p w:rsidR="005366A8" w:rsidRPr="000F28FD" w:rsidRDefault="005366A8" w:rsidP="005366A8">
      <w:pPr>
        <w:overflowPunct w:val="0"/>
        <w:autoSpaceDE w:val="0"/>
        <w:autoSpaceDN w:val="0"/>
        <w:adjustRightInd w:val="0"/>
        <w:ind w:left="1642" w:right="1282"/>
        <w:rPr>
          <w:rFonts w:ascii="Arial TUR" w:hAnsi="Arial TUR" w:cs="FrankRuehl"/>
          <w:spacing w:val="10"/>
          <w:sz w:val="22"/>
          <w:szCs w:val="22"/>
          <w:rtl/>
        </w:rPr>
      </w:pPr>
      <w:r w:rsidRPr="000F28FD">
        <w:rPr>
          <w:rFonts w:ascii="Arial TUR" w:hAnsi="Arial TUR" w:cs="FrankRuehl" w:hint="cs"/>
          <w:spacing w:val="10"/>
          <w:sz w:val="22"/>
          <w:szCs w:val="22"/>
          <w:rtl/>
        </w:rPr>
        <w:t xml:space="preserve">"...חוק כזה, אשר אינו אלא חוק בצורתו, אך לא במהותו, הוא תקציב המדינה: נורמה המופנית לאזרחי המדינה אין בו. אף-על-פי-כן, מפאת חשיבות הענין, נקבע התקציב על-ידי הכנסת, בצורת חוק ובלבד שלא תהא קביעתו בידי הרשות המבצעת. אך אין בכך כדי לשנות את מהות הדברים: המדובר הוא בדבר מינהל הנעשה על-ידי הרשות המחוקקת, ובצורת חוק נעשה". </w:t>
      </w:r>
    </w:p>
    <w:p w:rsidR="005366A8" w:rsidRPr="000F28FD"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0F28FD">
        <w:rPr>
          <w:rFonts w:ascii="Arial TUR" w:hAnsi="Arial TUR" w:cs="FrankRuehl" w:hint="cs"/>
          <w:spacing w:val="10"/>
          <w:sz w:val="22"/>
          <w:szCs w:val="22"/>
          <w:rtl/>
        </w:rPr>
        <w:tab/>
        <w:t xml:space="preserve">בדומה קבע השופט מ' חשין כי "חוק תקציב שנתי מכיל אלפים רבים של פריטים, והרי בעיקרו אין הוא אלא אוסף פריטים של הסמכה להוצאה" (פרשת התנועה המסורתית, עמ' 387). עוד נאמר כי חוקי התקציב השנתיים הם "חוקים יחידים ומיוחדים, שונים מכל שאר חוקים, ומאפייניהם הייחודיים מחייבים מאליהם דרך טיפול מיוחדת בהם" (בג"ץ 240/98 </w:t>
      </w:r>
      <w:r w:rsidRPr="000F28FD">
        <w:rPr>
          <w:rFonts w:cs="FrankRuehl" w:hint="cs"/>
          <w:spacing w:val="10"/>
          <w:sz w:val="22"/>
          <w:szCs w:val="22"/>
          <w:rtl/>
        </w:rPr>
        <w:t>עדאלה – המרכז המשפטי לזכויות המיעוט הערבי בישראל נ' השר לענייני דתות</w:t>
      </w:r>
      <w:r w:rsidRPr="000F28FD">
        <w:rPr>
          <w:rFonts w:ascii="Arial TUR" w:hAnsi="Arial TUR" w:cs="FrankRuehl" w:hint="cs"/>
          <w:spacing w:val="10"/>
          <w:sz w:val="22"/>
          <w:szCs w:val="22"/>
          <w:rtl/>
        </w:rPr>
        <w:t xml:space="preserve">, פ"ד נב(5) 167, 189 (1998); להלן: </w:t>
      </w:r>
      <w:r w:rsidRPr="000F28FD">
        <w:rPr>
          <w:rFonts w:cs="FrankRuehl" w:hint="cs"/>
          <w:spacing w:val="10"/>
          <w:sz w:val="22"/>
          <w:szCs w:val="22"/>
          <w:rtl/>
        </w:rPr>
        <w:t>פרשת עדאלה</w:t>
      </w:r>
      <w:r w:rsidRPr="000F28FD">
        <w:rPr>
          <w:rFonts w:ascii="Arial TUR" w:hAnsi="Arial TUR" w:cs="FrankRuehl" w:hint="cs"/>
          <w:spacing w:val="10"/>
          <w:sz w:val="22"/>
          <w:szCs w:val="22"/>
          <w:rtl/>
        </w:rPr>
        <w:t xml:space="preserve">). </w:t>
      </w:r>
    </w:p>
    <w:p w:rsidR="005366A8" w:rsidRPr="000F28FD" w:rsidRDefault="005366A8" w:rsidP="005366A8">
      <w:pPr>
        <w:tabs>
          <w:tab w:val="left" w:pos="800"/>
        </w:tabs>
        <w:rPr>
          <w:rFonts w:ascii="Arial TUR" w:hAnsi="Arial TUR" w:cs="FrankRuehl"/>
          <w:sz w:val="22"/>
          <w:szCs w:val="22"/>
          <w:rtl/>
        </w:rPr>
      </w:pPr>
    </w:p>
    <w:p w:rsidR="005366A8" w:rsidRPr="000F28FD" w:rsidRDefault="005366A8" w:rsidP="005366A8">
      <w:pPr>
        <w:tabs>
          <w:tab w:val="left" w:pos="800"/>
        </w:tabs>
        <w:overflowPunct w:val="0"/>
        <w:autoSpaceDE w:val="0"/>
        <w:autoSpaceDN w:val="0"/>
        <w:adjustRightInd w:val="0"/>
        <w:rPr>
          <w:rFonts w:ascii="Arial TUR" w:hAnsi="Arial TUR" w:cs="FrankRuehl"/>
          <w:sz w:val="22"/>
          <w:szCs w:val="22"/>
          <w:rtl/>
        </w:rPr>
      </w:pPr>
      <w:r w:rsidRPr="000F28FD">
        <w:rPr>
          <w:rFonts w:ascii="Arial TUR" w:hAnsi="Arial TUR" w:cs="FrankRuehl" w:hint="cs"/>
          <w:spacing w:val="10"/>
          <w:sz w:val="22"/>
          <w:szCs w:val="22"/>
          <w:rtl/>
        </w:rPr>
        <w:t>24.</w:t>
      </w:r>
      <w:r w:rsidRPr="000F28FD">
        <w:rPr>
          <w:rFonts w:ascii="Arial TUR" w:hAnsi="Arial TUR" w:cs="FrankRuehl" w:hint="cs"/>
          <w:spacing w:val="10"/>
          <w:sz w:val="22"/>
          <w:szCs w:val="22"/>
          <w:rtl/>
        </w:rPr>
        <w:tab/>
        <w:t xml:space="preserve">חוקי תקציב נושאים אופי מיוחד לא רק בשיטה הפרלמנטרית בישראל, אלא גם במדינות אחרות שלעניין זה שיטותיהן הדמוקרטיות דומות וגם בהן מהווה התקציב אישור פרלמנטרי לפעולות הרשות המבצעת. </w:t>
      </w:r>
      <w:r>
        <w:rPr>
          <w:rFonts w:ascii="Arial TUR" w:hAnsi="Arial TUR" w:cs="FrankRuehl" w:hint="cs"/>
          <w:sz w:val="22"/>
          <w:szCs w:val="22"/>
          <w:rtl/>
        </w:rPr>
        <w:t>...</w:t>
      </w:r>
    </w:p>
    <w:p w:rsidR="005366A8" w:rsidRPr="000F28FD" w:rsidRDefault="005366A8" w:rsidP="005366A8">
      <w:pPr>
        <w:tabs>
          <w:tab w:val="left" w:pos="800"/>
        </w:tabs>
        <w:rPr>
          <w:rFonts w:ascii="Arial TUR" w:hAnsi="Arial TUR" w:cs="FrankRuehl"/>
          <w:sz w:val="22"/>
          <w:szCs w:val="22"/>
          <w:rtl/>
        </w:rPr>
      </w:pPr>
    </w:p>
    <w:p w:rsidR="005366A8" w:rsidRPr="000F28FD"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0F28FD">
        <w:rPr>
          <w:rFonts w:ascii="Arial TUR" w:hAnsi="Arial TUR" w:cs="FrankRuehl" w:hint="cs"/>
          <w:spacing w:val="10"/>
          <w:sz w:val="22"/>
          <w:szCs w:val="22"/>
          <w:rtl/>
        </w:rPr>
        <w:t>25.</w:t>
      </w:r>
      <w:r w:rsidRPr="000F28FD">
        <w:rPr>
          <w:rFonts w:ascii="Arial TUR" w:hAnsi="Arial TUR" w:cs="FrankRuehl" w:hint="cs"/>
          <w:spacing w:val="10"/>
          <w:sz w:val="22"/>
          <w:szCs w:val="22"/>
          <w:rtl/>
        </w:rPr>
        <w:tab/>
      </w:r>
      <w:r w:rsidRPr="000F28FD">
        <w:rPr>
          <w:rFonts w:ascii="Arial TUR" w:hAnsi="Arial TUR" w:cs="FrankRuehl" w:hint="cs"/>
          <w:spacing w:val="10"/>
          <w:sz w:val="22"/>
          <w:szCs w:val="22"/>
          <w:highlight w:val="yellow"/>
          <w:rtl/>
        </w:rPr>
        <w:t>נראה, אפוא, כי חוק התקציב – בישראל כמו גם במדינות אחרות בעולם –</w:t>
      </w:r>
      <w:r>
        <w:rPr>
          <w:rFonts w:ascii="Arial TUR" w:hAnsi="Arial TUR" w:cs="FrankRuehl" w:hint="cs"/>
          <w:spacing w:val="10"/>
          <w:sz w:val="22"/>
          <w:szCs w:val="22"/>
          <w:highlight w:val="yellow"/>
          <w:rtl/>
        </w:rPr>
        <w:t xml:space="preserve"> </w:t>
      </w:r>
      <w:r w:rsidRPr="000F28FD">
        <w:rPr>
          <w:rFonts w:ascii="Arial TUR" w:hAnsi="Arial TUR" w:cs="FrankRuehl" w:hint="cs"/>
          <w:spacing w:val="10"/>
          <w:sz w:val="22"/>
          <w:szCs w:val="22"/>
          <w:highlight w:val="yellow"/>
          <w:rtl/>
        </w:rPr>
        <w:t xml:space="preserve">מתקבל על ידי המחוקק הראשי, אך אין לומר כי מעמדו ככל חוק אחר, במיוחד על רקע חקיקה אחרת המסדירה את העניינים המופיעים בחוקי תקציב שנתיים, כדוגמת חוק יסודות התקציב. חוק התקציב הוא חוק ייחודי, ולמאפיינים הייחודיים שלו, הן מבחינת סדרי הדין בהליכי חקיקתו והן מבחינת היקף וסוג העניינים המוסדרים בו, יש מספר השלכות. ראשית, כפי שקבענו בפרשת </w:t>
      </w:r>
      <w:r w:rsidRPr="000F28FD">
        <w:rPr>
          <w:rFonts w:cs="FrankRuehl" w:hint="cs"/>
          <w:spacing w:val="10"/>
          <w:sz w:val="22"/>
          <w:szCs w:val="22"/>
          <w:highlight w:val="yellow"/>
          <w:rtl/>
        </w:rPr>
        <w:t>התנועה המסורתית</w:t>
      </w:r>
      <w:r w:rsidRPr="000F28FD">
        <w:rPr>
          <w:rFonts w:ascii="Arial TUR" w:hAnsi="Arial TUR" w:cs="FrankRuehl" w:hint="cs"/>
          <w:spacing w:val="10"/>
          <w:sz w:val="22"/>
          <w:szCs w:val="22"/>
          <w:highlight w:val="yellow"/>
          <w:rtl/>
        </w:rPr>
        <w:t>, חוק התקציב השנתי כפוף לחוק יסודות התקציב. ברי כי במצב הדברים הרגיל, אין מתקיים יחס דומה בין שני דברי חקיקה כלשהם, שהרי ככלל, חוקים – למעט הכפיפות של חקיקה רגילה לחוקי יסוד – מצויים באותה מדרגה בפירמידת הנורמות ואין בכוחו של חוק אחד להוביל לבטלות סעיפים בחוק האחר. מכאן נובע הכלל הבסיסי בשיטת המשפט שלנו לפיו הוראת חוק מאוחרת גוברת על הוראת חוק מוקדמת, ובלבד ששתי ההוראות שוות מעמד. ביסוד כלל זה עומד עקרון ריבונות המחוקק, ומטרתו למנוע את כבילת המחוקק העתידי ומתן אפשרות לכנסת לסטות מההוראות ומדברי החקיקה של כנסות קודמות. אולם, לצד כלל חשוב זה קיימים חריגים, כדוגמת כללי ברירת הדין אשר עניינם הסדרת סתירות בין דברי חקיקה שונים. לחריגים אלה מצטרף גם היחס המיוחד המתקיים בין חוק יסודות התקציב וחוק התקציב השנתי, הנובע מן המאטריה בה עוסקים שני החוקים והאופי הייחודי של כל אחד מהם.</w:t>
      </w:r>
      <w:r w:rsidRPr="000F28FD">
        <w:rPr>
          <w:rFonts w:ascii="Arial TUR" w:hAnsi="Arial TUR" w:cs="FrankRuehl" w:hint="cs"/>
          <w:spacing w:val="10"/>
          <w:sz w:val="22"/>
          <w:szCs w:val="22"/>
          <w:rtl/>
        </w:rPr>
        <w:t xml:space="preserve"> </w:t>
      </w:r>
    </w:p>
    <w:p w:rsidR="005366A8" w:rsidRPr="000F28FD" w:rsidRDefault="005366A8" w:rsidP="005366A8">
      <w:pPr>
        <w:tabs>
          <w:tab w:val="left" w:pos="800"/>
        </w:tabs>
        <w:rPr>
          <w:rFonts w:ascii="Arial TUR" w:hAnsi="Arial TUR" w:cs="FrankRuehl"/>
          <w:sz w:val="22"/>
          <w:szCs w:val="22"/>
          <w:rtl/>
        </w:rPr>
      </w:pPr>
    </w:p>
    <w:p w:rsidR="005366A8"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0F28FD">
        <w:rPr>
          <w:rFonts w:ascii="Arial TUR" w:hAnsi="Arial TUR" w:cs="FrankRuehl" w:hint="cs"/>
          <w:spacing w:val="10"/>
          <w:sz w:val="22"/>
          <w:szCs w:val="22"/>
          <w:rtl/>
        </w:rPr>
        <w:t>26.</w:t>
      </w:r>
      <w:r w:rsidRPr="000F28FD">
        <w:rPr>
          <w:rFonts w:ascii="Arial TUR" w:hAnsi="Arial TUR" w:cs="FrankRuehl" w:hint="cs"/>
          <w:spacing w:val="10"/>
          <w:sz w:val="22"/>
          <w:szCs w:val="22"/>
          <w:rtl/>
        </w:rPr>
        <w:tab/>
      </w:r>
      <w:r w:rsidRPr="006728A7">
        <w:rPr>
          <w:rFonts w:ascii="Arial TUR" w:hAnsi="Arial TUR" w:cs="FrankRuehl" w:hint="cs"/>
          <w:spacing w:val="10"/>
          <w:sz w:val="22"/>
          <w:szCs w:val="22"/>
          <w:highlight w:val="yellow"/>
          <w:rtl/>
        </w:rPr>
        <w:t>מההירארכיה שבין חוק יסודות התקציב וחוק התקציב השנתי מתבקשת המסקנה כי על הכנסת ועל הממשלה, בהכינה את התקציב השנתי, החובה לוודא שהוראותיו תואמות את ההוראות הקבועות בחוק יסודות התקציב. התוצאה המתחייבת מכך היא שככלל, הוראה בחוק התקציב השנתי העומדת בסתירה להוראה בחוק יסודות התקציב אינה יכולה לעמוד.</w:t>
      </w:r>
      <w:r w:rsidRPr="000F28FD">
        <w:rPr>
          <w:rFonts w:ascii="Arial TUR" w:hAnsi="Arial TUR" w:cs="FrankRuehl" w:hint="cs"/>
          <w:spacing w:val="10"/>
          <w:sz w:val="22"/>
          <w:szCs w:val="22"/>
          <w:rtl/>
        </w:rPr>
        <w:t xml:space="preserve"> </w:t>
      </w:r>
    </w:p>
    <w:p w:rsidR="005366A8"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0F28FD">
        <w:rPr>
          <w:rFonts w:ascii="Arial TUR" w:hAnsi="Arial TUR" w:cs="FrankRuehl" w:hint="cs"/>
          <w:spacing w:val="10"/>
          <w:sz w:val="22"/>
          <w:szCs w:val="22"/>
          <w:rtl/>
        </w:rPr>
        <w:t xml:space="preserve">יחד עם זאת, בשל אופיו של חוק התקציב השנתי, הביקורת השיפוטית, שנועדה לבחון את חוק התקציב במישור החוקתי אל מול חוקי היסוד ובמסגרת כפיפותו לחוק יסודות התקציב, תהיה על פי טיבה מרוסנת ומצומצמת. חוק התקציב משקף את מדיניות הממשלה ואת הבחירות הערכיות והמהותיות המתקבלות על ידי הכנסת והמיושמות בדרך של הקצאת משאבים. קביעת המדיניות הכלכלית של המדינה היא אחת הסמכויות הבסיסיות והיסודיות של הממשלה והכנסת, ובית המשפט ימנע מלהתערב בה במסגרת ביקורתו אלא אם הפגיעה בזכויות יסוד – כפי שהיא באה לידי ביטוי בתקציב – היא משמעותית וקשה. </w:t>
      </w:r>
      <w:r>
        <w:rPr>
          <w:rFonts w:ascii="Arial TUR" w:hAnsi="Arial TUR" w:cs="FrankRuehl" w:hint="cs"/>
          <w:spacing w:val="10"/>
          <w:sz w:val="22"/>
          <w:szCs w:val="22"/>
          <w:rtl/>
        </w:rPr>
        <w:t>...</w:t>
      </w:r>
    </w:p>
    <w:p w:rsidR="005366A8" w:rsidRPr="000F28FD" w:rsidRDefault="005366A8" w:rsidP="005366A8">
      <w:pPr>
        <w:tabs>
          <w:tab w:val="left" w:pos="800"/>
        </w:tabs>
        <w:overflowPunct w:val="0"/>
        <w:autoSpaceDE w:val="0"/>
        <w:autoSpaceDN w:val="0"/>
        <w:adjustRightInd w:val="0"/>
        <w:rPr>
          <w:rFonts w:ascii="Arial TUR" w:hAnsi="Arial TUR" w:cs="FrankRuehl"/>
          <w:spacing w:val="10"/>
          <w:sz w:val="22"/>
          <w:szCs w:val="22"/>
          <w:rtl/>
        </w:rPr>
      </w:pPr>
    </w:p>
    <w:p w:rsidR="005366A8" w:rsidRPr="000F28FD" w:rsidRDefault="005366A8" w:rsidP="005366A8">
      <w:pPr>
        <w:tabs>
          <w:tab w:val="left" w:pos="800"/>
        </w:tabs>
        <w:overflowPunct w:val="0"/>
        <w:autoSpaceDE w:val="0"/>
        <w:autoSpaceDN w:val="0"/>
        <w:adjustRightInd w:val="0"/>
        <w:rPr>
          <w:rFonts w:ascii="Arial TUR" w:hAnsi="Arial TUR" w:cs="FrankRuehl"/>
          <w:sz w:val="22"/>
          <w:szCs w:val="22"/>
          <w:rtl/>
        </w:rPr>
      </w:pPr>
      <w:r w:rsidRPr="000F28FD">
        <w:rPr>
          <w:rFonts w:ascii="Arial TUR" w:hAnsi="Arial TUR" w:cs="FrankRuehl" w:hint="cs"/>
          <w:spacing w:val="10"/>
          <w:sz w:val="22"/>
          <w:szCs w:val="22"/>
          <w:rtl/>
        </w:rPr>
        <w:t>27.</w:t>
      </w:r>
      <w:r w:rsidRPr="000F28FD">
        <w:rPr>
          <w:rFonts w:ascii="Arial TUR" w:hAnsi="Arial TUR" w:cs="FrankRuehl" w:hint="cs"/>
          <w:spacing w:val="10"/>
          <w:sz w:val="22"/>
          <w:szCs w:val="22"/>
          <w:rtl/>
        </w:rPr>
        <w:tab/>
      </w:r>
      <w:r w:rsidRPr="006728A7">
        <w:rPr>
          <w:rFonts w:ascii="Arial TUR" w:hAnsi="Arial TUR" w:cs="FrankRuehl" w:hint="cs"/>
          <w:spacing w:val="10"/>
          <w:sz w:val="22"/>
          <w:szCs w:val="22"/>
          <w:highlight w:val="yellow"/>
          <w:rtl/>
        </w:rPr>
        <w:t>למעלה מן הצורך יצוין כי העתירה שלפנינו מעוררת שאלה נוספת הנוגעת לסתירה שבין חוק התקציב השנתי ובין חקיקה מהותית קודמת. בענייננו מתעוררת השאלה נוכח הסתירה הקיימת בין הוראות חוק הבטחת הכנסה – לפיהן קבוצות של לומדים, ובהן אברכי כוללים, אינן זכאיות לתשלומי הבטחת הכנסה – ובין הסעיף התקציבי, לפיו משולמת גמלת הבטחת הכנסה לאברכי כוללים. השאלה בהקשר זה נוגעת לאפשרות לסטות, ולמצער, לשנות חקיקה מהותית קודמת באמצעות הקצאה תקציבית בחוק התקציב השנתי.</w:t>
      </w:r>
      <w:r w:rsidRPr="000F28FD">
        <w:rPr>
          <w:rFonts w:ascii="Arial TUR" w:hAnsi="Arial TUR" w:cs="FrankRuehl" w:hint="cs"/>
          <w:spacing w:val="10"/>
          <w:sz w:val="22"/>
          <w:szCs w:val="22"/>
          <w:rtl/>
        </w:rPr>
        <w:t xml:space="preserve"> שאלות דומות נדונו בהרחבה בארצות הברית. בשורה של פסקי דין קבעו בתי המשפט האמריקאיים, ובראשם בית המשפט העליון הפדראלי, כי </w:t>
      </w:r>
      <w:r w:rsidRPr="006728A7">
        <w:rPr>
          <w:rFonts w:ascii="Arial TUR" w:hAnsi="Arial TUR" w:cs="FrankRuehl" w:hint="cs"/>
          <w:spacing w:val="10"/>
          <w:sz w:val="22"/>
          <w:szCs w:val="22"/>
          <w:highlight w:val="yellow"/>
          <w:rtl/>
        </w:rPr>
        <w:t>מקום בו חוק תקציב סותר חקיקה מהותית אחרת, ניתן לראות בכך שינוי משתמע של החוק המהותי. בית המשפט העליון קבע כי שינוי של חקיקה מהותית בחוק התקציב השנתי הינו אפשרי רק מקום בו הקונגרס הביע את רצונו באופן מפורש ובלתי משתמע לשתי פנים,</w:t>
      </w:r>
      <w:r w:rsidRPr="000F28FD">
        <w:rPr>
          <w:rFonts w:ascii="Arial TUR" w:hAnsi="Arial TUR" w:cs="FrankRuehl" w:hint="cs"/>
          <w:spacing w:val="10"/>
          <w:sz w:val="22"/>
          <w:szCs w:val="22"/>
          <w:rtl/>
        </w:rPr>
        <w:t xml:space="preserve"> וגם אז, בית המשפט יהיה נכון להכיר בחוקיות השינוי המפורש לשנה אחת בלבד. בפסק הדין המוביל בסוגיה זו, </w:t>
      </w:r>
      <w:r w:rsidRPr="000F28FD">
        <w:rPr>
          <w:rFonts w:ascii="Arial TUR" w:hAnsi="Arial TUR" w:cs="FrankRuehl"/>
          <w:i/>
          <w:iCs/>
          <w:spacing w:val="10"/>
          <w:sz w:val="22"/>
          <w:szCs w:val="22"/>
        </w:rPr>
        <w:t>Tennessee Valley Auth. v. Hill</w:t>
      </w:r>
      <w:r w:rsidRPr="000F28FD">
        <w:rPr>
          <w:rFonts w:cs="FrankRuehl"/>
          <w:spacing w:val="10"/>
          <w:sz w:val="22"/>
          <w:szCs w:val="22"/>
        </w:rPr>
        <w:t>, 437 U.S. 153 (1978)</w:t>
      </w:r>
      <w:r w:rsidRPr="000F28FD">
        <w:rPr>
          <w:rFonts w:cs="FrankRuehl" w:hint="cs"/>
          <w:spacing w:val="10"/>
          <w:sz w:val="22"/>
          <w:szCs w:val="22"/>
          <w:rtl/>
        </w:rPr>
        <w:t>, קבע בית המשפט</w:t>
      </w:r>
      <w:r>
        <w:rPr>
          <w:rFonts w:cs="FrankRuehl" w:hint="cs"/>
          <w:spacing w:val="10"/>
          <w:sz w:val="22"/>
          <w:szCs w:val="22"/>
          <w:rtl/>
        </w:rPr>
        <w:t>...</w:t>
      </w:r>
    </w:p>
    <w:p w:rsidR="005366A8" w:rsidRPr="000F28FD" w:rsidRDefault="005366A8" w:rsidP="005366A8">
      <w:pPr>
        <w:tabs>
          <w:tab w:val="left" w:pos="800"/>
        </w:tabs>
        <w:overflowPunct w:val="0"/>
        <w:autoSpaceDE w:val="0"/>
        <w:autoSpaceDN w:val="0"/>
        <w:adjustRightInd w:val="0"/>
        <w:rPr>
          <w:rFonts w:ascii="Arial TUR" w:hAnsi="Arial TUR" w:cs="FrankRuehl"/>
          <w:sz w:val="22"/>
          <w:szCs w:val="22"/>
          <w:rtl/>
        </w:rPr>
      </w:pPr>
      <w:r w:rsidRPr="000F28FD">
        <w:rPr>
          <w:rFonts w:ascii="Arial TUR" w:hAnsi="Arial TUR" w:cs="FrankRuehl" w:hint="cs"/>
          <w:spacing w:val="10"/>
          <w:sz w:val="22"/>
          <w:szCs w:val="22"/>
          <w:rtl/>
        </w:rPr>
        <w:tab/>
        <w:t>ביסוד פסיקת בית המשפט העליון האמריקאי עומדת ההנחה שההיקף הנרחב של העניינים המוסדרים בחוק תקציב שנתי ואופן ההצגה הטכני של ההרשאות התקציביות המובאות בתקציב, מקשים מאוד על הבנת העניינים המוסדרים בגדר התקציב ואינם מאפשרים למחוקקים, הלכה למעשה, לדעת באופן מלא ומקיף מהם העניינים הכלולים בתקציב. בנסיבות אלה, קשה לומר שחברי הגוף המחוקק, שעה שהם מצביעים על התקציב השנתי, מודעים לכל סעיף וסעיף בו, ונותנים הסכמתם לשינוי משתמע של חקיקה מהותית קודמת</w:t>
      </w:r>
      <w:r>
        <w:rPr>
          <w:rFonts w:ascii="Arial TUR" w:hAnsi="Arial TUR" w:cs="FrankRuehl" w:hint="cs"/>
          <w:spacing w:val="10"/>
          <w:sz w:val="22"/>
          <w:szCs w:val="22"/>
          <w:rtl/>
        </w:rPr>
        <w:t>..</w:t>
      </w:r>
      <w:r w:rsidRPr="000F28FD">
        <w:rPr>
          <w:rFonts w:ascii="Arial TUR" w:hAnsi="Arial TUR" w:cs="FrankRuehl" w:hint="cs"/>
          <w:spacing w:val="10"/>
          <w:sz w:val="22"/>
          <w:szCs w:val="22"/>
          <w:rtl/>
        </w:rPr>
        <w:t xml:space="preserve">. </w:t>
      </w:r>
    </w:p>
    <w:p w:rsidR="005366A8" w:rsidRPr="000F28FD" w:rsidRDefault="005366A8" w:rsidP="005366A8">
      <w:pPr>
        <w:tabs>
          <w:tab w:val="left" w:pos="800"/>
        </w:tabs>
        <w:overflowPunct w:val="0"/>
        <w:autoSpaceDE w:val="0"/>
        <w:autoSpaceDN w:val="0"/>
        <w:adjustRightInd w:val="0"/>
        <w:rPr>
          <w:rFonts w:ascii="Arial TUR" w:hAnsi="Arial TUR" w:cs="FrankRuehl"/>
          <w:spacing w:val="10"/>
          <w:sz w:val="22"/>
          <w:szCs w:val="22"/>
          <w:rtl/>
        </w:rPr>
      </w:pPr>
      <w:r w:rsidRPr="000F28FD">
        <w:rPr>
          <w:rFonts w:ascii="Arial TUR" w:hAnsi="Arial TUR" w:cs="FrankRuehl" w:hint="cs"/>
          <w:spacing w:val="10"/>
          <w:sz w:val="22"/>
          <w:szCs w:val="22"/>
          <w:rtl/>
        </w:rPr>
        <w:tab/>
        <w:t xml:space="preserve">גישת בית המשפט העליון האמריקאי מעוררת שאלות מעניינות לגבי היקף העניינים אותם ניתן להסדיר בחוק התקציב השנתי, ובכלל זה האפשרות לשנות – במפורש או במשתמע – חקיקה מוקדמת באמצעות הוראה בחוק התקציב השנתי. ההכרעה בשאלות אלה אינה נחוצה בעתירה שלפנינו, ולפיכך, נותירן בשעה זו בצריך עיון. </w:t>
      </w:r>
    </w:p>
    <w:p w:rsidR="005366A8" w:rsidRPr="00653324" w:rsidRDefault="005366A8" w:rsidP="005366A8">
      <w:pPr>
        <w:rPr>
          <w:rtl/>
        </w:rPr>
      </w:pPr>
      <w:r>
        <w:rPr>
          <w:rFonts w:hint="cs"/>
          <w:rtl/>
        </w:rPr>
        <w:t>=-=</w:t>
      </w:r>
    </w:p>
    <w:p w:rsidR="005366A8" w:rsidRPr="00DB5B9B" w:rsidRDefault="005366A8" w:rsidP="005366A8">
      <w:pPr>
        <w:pStyle w:val="HeadHatzaotHok"/>
        <w:spacing w:line="240" w:lineRule="auto"/>
        <w:rPr>
          <w:rFonts w:cs="David"/>
          <w:szCs w:val="20"/>
          <w:rtl/>
        </w:rPr>
      </w:pPr>
      <w:r w:rsidRPr="00DB5B9B">
        <w:rPr>
          <w:rFonts w:cs="David"/>
          <w:szCs w:val="20"/>
          <w:rtl/>
        </w:rPr>
        <w:t>הכנסת השמונה-עשרה</w:t>
      </w:r>
    </w:p>
    <w:p w:rsidR="005366A8" w:rsidRPr="00DB5B9B" w:rsidRDefault="005366A8" w:rsidP="005366A8">
      <w:pPr>
        <w:pStyle w:val="David"/>
        <w:spacing w:line="240" w:lineRule="auto"/>
        <w:ind w:left="2880" w:firstLine="720"/>
        <w:rPr>
          <w:rFonts w:cs="David"/>
          <w:b/>
          <w:bCs/>
          <w:sz w:val="20"/>
          <w:szCs w:val="20"/>
        </w:rPr>
      </w:pPr>
      <w:r w:rsidRPr="00B01B9C">
        <w:rPr>
          <w:rFonts w:cs="David" w:hint="cs"/>
          <w:sz w:val="20"/>
          <w:szCs w:val="20"/>
          <w:highlight w:val="yellow"/>
          <w:rtl/>
        </w:rPr>
        <w:t>הצעת</w:t>
      </w:r>
      <w:r w:rsidRPr="00B01B9C">
        <w:rPr>
          <w:rFonts w:cs="David"/>
          <w:sz w:val="20"/>
          <w:szCs w:val="20"/>
          <w:highlight w:val="yellow"/>
          <w:rtl/>
        </w:rPr>
        <w:t xml:space="preserve"> </w:t>
      </w:r>
      <w:r w:rsidRPr="00B01B9C">
        <w:rPr>
          <w:rFonts w:cs="David" w:hint="cs"/>
          <w:sz w:val="20"/>
          <w:szCs w:val="20"/>
          <w:highlight w:val="yellow"/>
          <w:rtl/>
        </w:rPr>
        <w:t>חוק</w:t>
      </w:r>
      <w:r w:rsidRPr="00B01B9C">
        <w:rPr>
          <w:rFonts w:cs="David"/>
          <w:sz w:val="20"/>
          <w:szCs w:val="20"/>
          <w:highlight w:val="yellow"/>
          <w:rtl/>
        </w:rPr>
        <w:t xml:space="preserve"> </w:t>
      </w:r>
      <w:r w:rsidRPr="00B01B9C">
        <w:rPr>
          <w:rFonts w:cs="David" w:hint="cs"/>
          <w:sz w:val="20"/>
          <w:szCs w:val="20"/>
          <w:highlight w:val="yellow"/>
          <w:rtl/>
        </w:rPr>
        <w:t>של</w:t>
      </w:r>
      <w:r w:rsidRPr="00B01B9C">
        <w:rPr>
          <w:rFonts w:cs="David"/>
          <w:sz w:val="20"/>
          <w:szCs w:val="20"/>
          <w:highlight w:val="yellow"/>
          <w:rtl/>
        </w:rPr>
        <w:t xml:space="preserve"> </w:t>
      </w:r>
      <w:r w:rsidRPr="00B01B9C">
        <w:rPr>
          <w:rFonts w:cs="David" w:hint="cs"/>
          <w:sz w:val="20"/>
          <w:szCs w:val="20"/>
          <w:highlight w:val="yellow"/>
          <w:rtl/>
        </w:rPr>
        <w:t>חברי</w:t>
      </w:r>
      <w:r w:rsidRPr="00B01B9C">
        <w:rPr>
          <w:rFonts w:cs="David"/>
          <w:sz w:val="20"/>
          <w:szCs w:val="20"/>
          <w:highlight w:val="yellow"/>
          <w:rtl/>
        </w:rPr>
        <w:t xml:space="preserve"> </w:t>
      </w:r>
      <w:r w:rsidRPr="00B01B9C">
        <w:rPr>
          <w:rFonts w:cs="David" w:hint="cs"/>
          <w:sz w:val="20"/>
          <w:szCs w:val="20"/>
          <w:highlight w:val="yellow"/>
          <w:rtl/>
        </w:rPr>
        <w:t>הכנסת</w:t>
      </w:r>
      <w:r w:rsidRPr="00B01B9C">
        <w:rPr>
          <w:rFonts w:cs="David"/>
          <w:sz w:val="20"/>
          <w:szCs w:val="20"/>
          <w:highlight w:val="yellow"/>
        </w:rPr>
        <w:tab/>
      </w:r>
      <w:r w:rsidRPr="00B01B9C">
        <w:rPr>
          <w:rFonts w:cs="David"/>
          <w:sz w:val="20"/>
          <w:szCs w:val="20"/>
          <w:highlight w:val="yellow"/>
        </w:rPr>
        <w:tab/>
      </w:r>
      <w:r w:rsidRPr="00B01B9C">
        <w:rPr>
          <w:rFonts w:cs="David" w:hint="cs"/>
          <w:b/>
          <w:bCs/>
          <w:sz w:val="20"/>
          <w:szCs w:val="20"/>
          <w:highlight w:val="yellow"/>
          <w:rtl/>
        </w:rPr>
        <w:t>משה</w:t>
      </w:r>
      <w:r w:rsidRPr="00B01B9C">
        <w:rPr>
          <w:rFonts w:cs="David"/>
          <w:b/>
          <w:bCs/>
          <w:sz w:val="20"/>
          <w:szCs w:val="20"/>
          <w:highlight w:val="yellow"/>
          <w:rtl/>
        </w:rPr>
        <w:t xml:space="preserve"> </w:t>
      </w:r>
      <w:r w:rsidRPr="00B01B9C">
        <w:rPr>
          <w:rFonts w:cs="David" w:hint="cs"/>
          <w:b/>
          <w:bCs/>
          <w:sz w:val="20"/>
          <w:szCs w:val="20"/>
          <w:highlight w:val="yellow"/>
          <w:rtl/>
        </w:rPr>
        <w:t>גפני</w:t>
      </w:r>
    </w:p>
    <w:p w:rsidR="005366A8" w:rsidRPr="00DB5B9B" w:rsidRDefault="005366A8" w:rsidP="005366A8">
      <w:pPr>
        <w:pStyle w:val="David"/>
        <w:spacing w:line="240" w:lineRule="auto"/>
        <w:ind w:left="2880" w:firstLine="720"/>
        <w:rPr>
          <w:rFonts w:cs="David"/>
          <w:b/>
          <w:bCs/>
          <w:sz w:val="20"/>
          <w:szCs w:val="20"/>
        </w:rPr>
      </w:pPr>
      <w:r w:rsidRPr="00DB5B9B">
        <w:rPr>
          <w:rFonts w:cs="David"/>
          <w:b/>
          <w:bCs/>
          <w:sz w:val="20"/>
          <w:szCs w:val="20"/>
        </w:rPr>
        <w:tab/>
      </w:r>
      <w:r w:rsidRPr="00DB5B9B">
        <w:rPr>
          <w:rFonts w:cs="David"/>
          <w:b/>
          <w:bCs/>
          <w:sz w:val="20"/>
          <w:szCs w:val="20"/>
        </w:rPr>
        <w:tab/>
      </w:r>
      <w:r w:rsidRPr="00DB5B9B">
        <w:rPr>
          <w:rFonts w:cs="David"/>
          <w:b/>
          <w:bCs/>
          <w:sz w:val="20"/>
          <w:szCs w:val="20"/>
        </w:rPr>
        <w:tab/>
      </w:r>
      <w:r w:rsidRPr="00DB5B9B">
        <w:rPr>
          <w:rFonts w:cs="David"/>
          <w:b/>
          <w:bCs/>
          <w:sz w:val="20"/>
          <w:szCs w:val="20"/>
        </w:rPr>
        <w:tab/>
      </w:r>
      <w:r w:rsidRPr="00DB5B9B">
        <w:rPr>
          <w:rFonts w:cs="David"/>
          <w:b/>
          <w:bCs/>
          <w:sz w:val="20"/>
          <w:szCs w:val="20"/>
        </w:rPr>
        <w:tab/>
      </w:r>
      <w:r w:rsidRPr="00DB5B9B">
        <w:rPr>
          <w:rFonts w:cs="David" w:hint="cs"/>
          <w:b/>
          <w:bCs/>
          <w:sz w:val="20"/>
          <w:szCs w:val="20"/>
          <w:rtl/>
        </w:rPr>
        <w:t>אורי</w:t>
      </w:r>
      <w:r w:rsidRPr="00DB5B9B">
        <w:rPr>
          <w:rFonts w:cs="David"/>
          <w:b/>
          <w:bCs/>
          <w:sz w:val="20"/>
          <w:szCs w:val="20"/>
          <w:rtl/>
        </w:rPr>
        <w:t xml:space="preserve"> </w:t>
      </w:r>
      <w:r w:rsidRPr="00DB5B9B">
        <w:rPr>
          <w:rFonts w:cs="David" w:hint="cs"/>
          <w:b/>
          <w:bCs/>
          <w:sz w:val="20"/>
          <w:szCs w:val="20"/>
          <w:rtl/>
        </w:rPr>
        <w:t>מקלב</w:t>
      </w:r>
    </w:p>
    <w:p w:rsidR="005366A8" w:rsidRPr="00DB5B9B" w:rsidRDefault="005366A8" w:rsidP="005366A8">
      <w:pPr>
        <w:pStyle w:val="David"/>
        <w:spacing w:line="240" w:lineRule="auto"/>
        <w:ind w:left="2880" w:firstLine="720"/>
        <w:rPr>
          <w:rFonts w:cs="David"/>
          <w:b/>
          <w:bCs/>
          <w:sz w:val="20"/>
          <w:szCs w:val="20"/>
        </w:rPr>
      </w:pPr>
      <w:r w:rsidRPr="00DB5B9B">
        <w:rPr>
          <w:rFonts w:cs="David"/>
          <w:b/>
          <w:bCs/>
          <w:sz w:val="20"/>
          <w:szCs w:val="20"/>
        </w:rPr>
        <w:tab/>
      </w:r>
      <w:r w:rsidRPr="00DB5B9B">
        <w:rPr>
          <w:rFonts w:cs="David"/>
          <w:b/>
          <w:bCs/>
          <w:sz w:val="20"/>
          <w:szCs w:val="20"/>
        </w:rPr>
        <w:tab/>
      </w:r>
      <w:r w:rsidRPr="00DB5B9B">
        <w:rPr>
          <w:rFonts w:cs="David"/>
          <w:b/>
          <w:bCs/>
          <w:sz w:val="20"/>
          <w:szCs w:val="20"/>
        </w:rPr>
        <w:tab/>
      </w:r>
      <w:r w:rsidRPr="00DB5B9B">
        <w:rPr>
          <w:rFonts w:cs="David"/>
          <w:b/>
          <w:bCs/>
          <w:sz w:val="20"/>
          <w:szCs w:val="20"/>
        </w:rPr>
        <w:tab/>
      </w:r>
      <w:r w:rsidRPr="00DB5B9B">
        <w:rPr>
          <w:rFonts w:cs="David"/>
          <w:b/>
          <w:bCs/>
          <w:sz w:val="20"/>
          <w:szCs w:val="20"/>
        </w:rPr>
        <w:tab/>
      </w:r>
      <w:r w:rsidRPr="00DB5B9B">
        <w:rPr>
          <w:rFonts w:cs="David" w:hint="cs"/>
          <w:b/>
          <w:bCs/>
          <w:sz w:val="20"/>
          <w:szCs w:val="20"/>
          <w:rtl/>
        </w:rPr>
        <w:t>אמנון</w:t>
      </w:r>
      <w:r w:rsidRPr="00DB5B9B">
        <w:rPr>
          <w:rFonts w:cs="David"/>
          <w:b/>
          <w:bCs/>
          <w:sz w:val="20"/>
          <w:szCs w:val="20"/>
          <w:rtl/>
        </w:rPr>
        <w:t xml:space="preserve"> </w:t>
      </w:r>
      <w:r w:rsidRPr="00DB5B9B">
        <w:rPr>
          <w:rFonts w:cs="David" w:hint="cs"/>
          <w:b/>
          <w:bCs/>
          <w:sz w:val="20"/>
          <w:szCs w:val="20"/>
          <w:rtl/>
        </w:rPr>
        <w:t>כהן</w:t>
      </w:r>
    </w:p>
    <w:p w:rsidR="005366A8" w:rsidRPr="00DB5B9B" w:rsidRDefault="005366A8" w:rsidP="005366A8">
      <w:pPr>
        <w:pStyle w:val="David"/>
        <w:spacing w:line="240" w:lineRule="auto"/>
        <w:ind w:left="2880" w:firstLine="720"/>
        <w:rPr>
          <w:rFonts w:cs="David"/>
          <w:b/>
          <w:bCs/>
          <w:sz w:val="20"/>
          <w:szCs w:val="20"/>
        </w:rPr>
      </w:pPr>
      <w:r w:rsidRPr="00DB5B9B">
        <w:rPr>
          <w:rFonts w:cs="David"/>
          <w:b/>
          <w:bCs/>
          <w:sz w:val="20"/>
          <w:szCs w:val="20"/>
        </w:rPr>
        <w:tab/>
      </w:r>
      <w:r w:rsidRPr="00DB5B9B">
        <w:rPr>
          <w:rFonts w:cs="David"/>
          <w:b/>
          <w:bCs/>
          <w:sz w:val="20"/>
          <w:szCs w:val="20"/>
        </w:rPr>
        <w:tab/>
      </w:r>
      <w:r w:rsidRPr="00DB5B9B">
        <w:rPr>
          <w:rFonts w:cs="David"/>
          <w:b/>
          <w:bCs/>
          <w:sz w:val="20"/>
          <w:szCs w:val="20"/>
        </w:rPr>
        <w:tab/>
      </w:r>
      <w:r w:rsidRPr="00DB5B9B">
        <w:rPr>
          <w:rFonts w:cs="David"/>
          <w:b/>
          <w:bCs/>
          <w:sz w:val="20"/>
          <w:szCs w:val="20"/>
        </w:rPr>
        <w:tab/>
      </w:r>
      <w:r w:rsidRPr="00DB5B9B">
        <w:rPr>
          <w:rFonts w:cs="David"/>
          <w:b/>
          <w:bCs/>
          <w:sz w:val="20"/>
          <w:szCs w:val="20"/>
        </w:rPr>
        <w:tab/>
      </w:r>
      <w:r w:rsidRPr="00DB5B9B">
        <w:rPr>
          <w:rFonts w:cs="David" w:hint="cs"/>
          <w:b/>
          <w:bCs/>
          <w:sz w:val="20"/>
          <w:szCs w:val="20"/>
          <w:rtl/>
        </w:rPr>
        <w:t>יצחק</w:t>
      </w:r>
      <w:r>
        <w:rPr>
          <w:rFonts w:cs="David"/>
          <w:b/>
          <w:bCs/>
          <w:sz w:val="20"/>
          <w:szCs w:val="20"/>
          <w:rtl/>
        </w:rPr>
        <w:t xml:space="preserve"> </w:t>
      </w:r>
      <w:r w:rsidRPr="00DB5B9B">
        <w:rPr>
          <w:rFonts w:cs="David" w:hint="cs"/>
          <w:b/>
          <w:bCs/>
          <w:sz w:val="20"/>
          <w:szCs w:val="20"/>
          <w:rtl/>
        </w:rPr>
        <w:t>וקנין</w:t>
      </w:r>
    </w:p>
    <w:p w:rsidR="005366A8" w:rsidRPr="00DB5B9B" w:rsidRDefault="005366A8" w:rsidP="005366A8">
      <w:pPr>
        <w:pStyle w:val="David"/>
        <w:spacing w:line="240" w:lineRule="auto"/>
        <w:ind w:left="2880" w:firstLine="720"/>
        <w:rPr>
          <w:rFonts w:cs="David"/>
          <w:b/>
          <w:bCs/>
          <w:sz w:val="20"/>
          <w:szCs w:val="20"/>
        </w:rPr>
      </w:pPr>
      <w:r w:rsidRPr="00DB5B9B">
        <w:rPr>
          <w:rFonts w:cs="David"/>
          <w:b/>
          <w:bCs/>
          <w:sz w:val="20"/>
          <w:szCs w:val="20"/>
        </w:rPr>
        <w:tab/>
      </w:r>
      <w:r w:rsidRPr="00DB5B9B">
        <w:rPr>
          <w:rFonts w:cs="David"/>
          <w:b/>
          <w:bCs/>
          <w:sz w:val="20"/>
          <w:szCs w:val="20"/>
        </w:rPr>
        <w:tab/>
      </w:r>
      <w:r w:rsidRPr="00DB5B9B">
        <w:rPr>
          <w:rFonts w:cs="David"/>
          <w:b/>
          <w:bCs/>
          <w:sz w:val="20"/>
          <w:szCs w:val="20"/>
        </w:rPr>
        <w:tab/>
      </w:r>
      <w:r w:rsidRPr="00DB5B9B">
        <w:rPr>
          <w:rFonts w:cs="David"/>
          <w:b/>
          <w:bCs/>
          <w:sz w:val="20"/>
          <w:szCs w:val="20"/>
        </w:rPr>
        <w:tab/>
      </w:r>
      <w:r w:rsidRPr="00DB5B9B">
        <w:rPr>
          <w:rFonts w:cs="David"/>
          <w:b/>
          <w:bCs/>
          <w:sz w:val="20"/>
          <w:szCs w:val="20"/>
        </w:rPr>
        <w:tab/>
      </w:r>
      <w:r w:rsidRPr="00DB5B9B">
        <w:rPr>
          <w:rFonts w:cs="David" w:hint="cs"/>
          <w:b/>
          <w:bCs/>
          <w:sz w:val="20"/>
          <w:szCs w:val="20"/>
          <w:rtl/>
        </w:rPr>
        <w:t>אברהם</w:t>
      </w:r>
      <w:r w:rsidRPr="00DB5B9B">
        <w:rPr>
          <w:rFonts w:cs="David"/>
          <w:b/>
          <w:bCs/>
          <w:sz w:val="20"/>
          <w:szCs w:val="20"/>
          <w:rtl/>
        </w:rPr>
        <w:t xml:space="preserve"> </w:t>
      </w:r>
      <w:r w:rsidRPr="00DB5B9B">
        <w:rPr>
          <w:rFonts w:cs="David" w:hint="cs"/>
          <w:b/>
          <w:bCs/>
          <w:sz w:val="20"/>
          <w:szCs w:val="20"/>
          <w:rtl/>
        </w:rPr>
        <w:t>מיכאלי</w:t>
      </w:r>
    </w:p>
    <w:p w:rsidR="005366A8" w:rsidRPr="00DB5B9B" w:rsidRDefault="005366A8" w:rsidP="005366A8">
      <w:pPr>
        <w:pStyle w:val="David"/>
        <w:spacing w:line="240" w:lineRule="auto"/>
        <w:ind w:left="2880" w:firstLine="720"/>
        <w:rPr>
          <w:rFonts w:cs="David"/>
          <w:b/>
          <w:bCs/>
          <w:sz w:val="20"/>
          <w:szCs w:val="20"/>
        </w:rPr>
      </w:pPr>
      <w:r w:rsidRPr="00DB5B9B">
        <w:rPr>
          <w:rFonts w:cs="David"/>
          <w:b/>
          <w:bCs/>
          <w:sz w:val="20"/>
          <w:szCs w:val="20"/>
        </w:rPr>
        <w:tab/>
      </w:r>
      <w:r w:rsidRPr="00DB5B9B">
        <w:rPr>
          <w:rFonts w:cs="David"/>
          <w:b/>
          <w:bCs/>
          <w:sz w:val="20"/>
          <w:szCs w:val="20"/>
        </w:rPr>
        <w:tab/>
      </w:r>
      <w:r w:rsidRPr="00DB5B9B">
        <w:rPr>
          <w:rFonts w:cs="David"/>
          <w:b/>
          <w:bCs/>
          <w:sz w:val="20"/>
          <w:szCs w:val="20"/>
        </w:rPr>
        <w:tab/>
      </w:r>
      <w:r w:rsidRPr="00DB5B9B">
        <w:rPr>
          <w:rFonts w:cs="David"/>
          <w:b/>
          <w:bCs/>
          <w:sz w:val="20"/>
          <w:szCs w:val="20"/>
        </w:rPr>
        <w:tab/>
      </w:r>
      <w:r w:rsidRPr="00DB5B9B">
        <w:rPr>
          <w:rFonts w:cs="David"/>
          <w:b/>
          <w:bCs/>
          <w:sz w:val="20"/>
          <w:szCs w:val="20"/>
        </w:rPr>
        <w:tab/>
      </w:r>
      <w:r w:rsidRPr="00DB5B9B">
        <w:rPr>
          <w:rFonts w:cs="David" w:hint="cs"/>
          <w:b/>
          <w:bCs/>
          <w:sz w:val="20"/>
          <w:szCs w:val="20"/>
          <w:rtl/>
        </w:rPr>
        <w:t>מנחם</w:t>
      </w:r>
      <w:r w:rsidRPr="00DB5B9B">
        <w:rPr>
          <w:rFonts w:cs="David"/>
          <w:b/>
          <w:bCs/>
          <w:sz w:val="20"/>
          <w:szCs w:val="20"/>
          <w:rtl/>
        </w:rPr>
        <w:t xml:space="preserve"> </w:t>
      </w:r>
      <w:r w:rsidRPr="00DB5B9B">
        <w:rPr>
          <w:rFonts w:cs="David" w:hint="cs"/>
          <w:b/>
          <w:bCs/>
          <w:sz w:val="20"/>
          <w:szCs w:val="20"/>
          <w:rtl/>
        </w:rPr>
        <w:t>אליעזר</w:t>
      </w:r>
      <w:r w:rsidRPr="00DB5B9B">
        <w:rPr>
          <w:rFonts w:cs="David"/>
          <w:b/>
          <w:bCs/>
          <w:sz w:val="20"/>
          <w:szCs w:val="20"/>
          <w:rtl/>
        </w:rPr>
        <w:t xml:space="preserve"> </w:t>
      </w:r>
      <w:r w:rsidRPr="00DB5B9B">
        <w:rPr>
          <w:rFonts w:cs="David" w:hint="cs"/>
          <w:b/>
          <w:bCs/>
          <w:sz w:val="20"/>
          <w:szCs w:val="20"/>
          <w:rtl/>
        </w:rPr>
        <w:t>מוזס</w:t>
      </w:r>
    </w:p>
    <w:p w:rsidR="005366A8" w:rsidRPr="00DB5B9B" w:rsidRDefault="005366A8" w:rsidP="005366A8">
      <w:pPr>
        <w:pStyle w:val="David"/>
        <w:spacing w:line="240" w:lineRule="auto"/>
        <w:ind w:left="2880" w:firstLine="720"/>
        <w:rPr>
          <w:rFonts w:cs="David"/>
          <w:b/>
          <w:bCs/>
          <w:sz w:val="20"/>
          <w:szCs w:val="20"/>
        </w:rPr>
      </w:pPr>
      <w:r w:rsidRPr="00DB5B9B">
        <w:rPr>
          <w:rFonts w:cs="David"/>
          <w:b/>
          <w:bCs/>
          <w:sz w:val="20"/>
          <w:szCs w:val="20"/>
        </w:rPr>
        <w:tab/>
      </w:r>
      <w:r w:rsidRPr="00DB5B9B">
        <w:rPr>
          <w:rFonts w:cs="David"/>
          <w:b/>
          <w:bCs/>
          <w:sz w:val="20"/>
          <w:szCs w:val="20"/>
        </w:rPr>
        <w:tab/>
      </w:r>
      <w:r w:rsidRPr="00DB5B9B">
        <w:rPr>
          <w:rFonts w:cs="David"/>
          <w:b/>
          <w:bCs/>
          <w:sz w:val="20"/>
          <w:szCs w:val="20"/>
        </w:rPr>
        <w:tab/>
      </w:r>
      <w:r w:rsidRPr="00DB5B9B">
        <w:rPr>
          <w:rFonts w:cs="David"/>
          <w:b/>
          <w:bCs/>
          <w:sz w:val="20"/>
          <w:szCs w:val="20"/>
        </w:rPr>
        <w:tab/>
      </w:r>
      <w:r w:rsidRPr="00DB5B9B">
        <w:rPr>
          <w:rFonts w:cs="David"/>
          <w:b/>
          <w:bCs/>
          <w:sz w:val="20"/>
          <w:szCs w:val="20"/>
        </w:rPr>
        <w:tab/>
      </w:r>
      <w:r w:rsidRPr="00DB5B9B">
        <w:rPr>
          <w:rFonts w:cs="David" w:hint="cs"/>
          <w:b/>
          <w:bCs/>
          <w:sz w:val="20"/>
          <w:szCs w:val="20"/>
          <w:rtl/>
        </w:rPr>
        <w:t>אורי</w:t>
      </w:r>
      <w:r w:rsidRPr="00DB5B9B">
        <w:rPr>
          <w:rFonts w:cs="David"/>
          <w:b/>
          <w:bCs/>
          <w:sz w:val="20"/>
          <w:szCs w:val="20"/>
          <w:rtl/>
        </w:rPr>
        <w:t xml:space="preserve"> </w:t>
      </w:r>
      <w:r w:rsidRPr="00DB5B9B">
        <w:rPr>
          <w:rFonts w:cs="David" w:hint="cs"/>
          <w:b/>
          <w:bCs/>
          <w:sz w:val="20"/>
          <w:szCs w:val="20"/>
          <w:rtl/>
        </w:rPr>
        <w:t>אריאל</w:t>
      </w:r>
    </w:p>
    <w:p w:rsidR="005366A8" w:rsidRPr="00DB5B9B" w:rsidRDefault="005366A8" w:rsidP="005366A8">
      <w:pPr>
        <w:ind w:left="2880" w:firstLine="720"/>
        <w:rPr>
          <w:rFonts w:cs="David"/>
          <w:sz w:val="20"/>
          <w:szCs w:val="20"/>
          <w:rtl/>
        </w:rPr>
      </w:pPr>
      <w:r w:rsidRPr="00DB5B9B">
        <w:rPr>
          <w:rFonts w:cs="David"/>
          <w:sz w:val="20"/>
          <w:szCs w:val="20"/>
        </w:rPr>
        <w:tab/>
      </w:r>
      <w:r w:rsidRPr="00DB5B9B">
        <w:rPr>
          <w:rFonts w:cs="David"/>
          <w:sz w:val="20"/>
          <w:szCs w:val="20"/>
        </w:rPr>
        <w:tab/>
      </w:r>
      <w:r w:rsidRPr="00DB5B9B">
        <w:rPr>
          <w:rFonts w:cs="David"/>
          <w:sz w:val="20"/>
          <w:szCs w:val="20"/>
        </w:rPr>
        <w:tab/>
      </w:r>
      <w:r w:rsidRPr="00DB5B9B">
        <w:rPr>
          <w:rFonts w:cs="David"/>
          <w:sz w:val="20"/>
          <w:szCs w:val="20"/>
        </w:rPr>
        <w:tab/>
      </w:r>
      <w:r w:rsidRPr="00DB5B9B">
        <w:rPr>
          <w:rFonts w:cs="David"/>
          <w:sz w:val="20"/>
          <w:szCs w:val="20"/>
          <w:rtl/>
        </w:rPr>
        <w:tab/>
      </w:r>
      <w:r w:rsidRPr="00DB5B9B">
        <w:rPr>
          <w:rFonts w:cs="David"/>
          <w:sz w:val="20"/>
          <w:szCs w:val="20"/>
          <w:rtl/>
        </w:rPr>
        <w:tab/>
      </w:r>
      <w:r w:rsidRPr="00DB5B9B">
        <w:rPr>
          <w:rFonts w:cs="David"/>
          <w:sz w:val="20"/>
          <w:szCs w:val="20"/>
          <w:rtl/>
        </w:rPr>
        <w:tab/>
      </w:r>
    </w:p>
    <w:p w:rsidR="005366A8" w:rsidRPr="00DB5B9B" w:rsidRDefault="005D7968" w:rsidP="005366A8">
      <w:pPr>
        <w:ind w:left="2919" w:firstLine="720"/>
        <w:rPr>
          <w:rFonts w:cs="David"/>
          <w:sz w:val="20"/>
          <w:szCs w:val="20"/>
          <w:rtl/>
        </w:rPr>
      </w:pPr>
      <w:r w:rsidRPr="005D7968">
        <w:rPr>
          <w:noProof/>
          <w:sz w:val="20"/>
          <w:szCs w:val="20"/>
          <w:rtl/>
        </w:rPr>
        <w:pict>
          <v:line id="_x0000_s1177" style="position:absolute;left:0;text-align:left;z-index:251821056" from=".1pt,5.1pt" to="300.1pt,5.1pt">
            <w10:wrap anchorx="page"/>
          </v:line>
        </w:pict>
      </w:r>
      <w:r w:rsidR="005366A8" w:rsidRPr="00DB5B9B">
        <w:rPr>
          <w:rFonts w:cs="David"/>
          <w:sz w:val="20"/>
          <w:szCs w:val="20"/>
          <w:rtl/>
        </w:rPr>
        <w:tab/>
      </w:r>
      <w:r w:rsidR="005366A8" w:rsidRPr="00DB5B9B">
        <w:rPr>
          <w:rFonts w:cs="David"/>
          <w:sz w:val="20"/>
          <w:szCs w:val="20"/>
          <w:rtl/>
        </w:rPr>
        <w:tab/>
      </w:r>
      <w:r w:rsidR="005366A8" w:rsidRPr="00DB5B9B">
        <w:rPr>
          <w:rFonts w:cs="David"/>
          <w:sz w:val="20"/>
          <w:szCs w:val="20"/>
          <w:rtl/>
        </w:rPr>
        <w:tab/>
      </w:r>
      <w:r w:rsidR="005366A8" w:rsidRPr="00DB5B9B">
        <w:rPr>
          <w:rFonts w:cs="David"/>
          <w:sz w:val="20"/>
          <w:szCs w:val="20"/>
          <w:rtl/>
        </w:rPr>
        <w:tab/>
      </w:r>
      <w:r w:rsidR="005366A8" w:rsidRPr="00DB5B9B">
        <w:rPr>
          <w:rFonts w:cs="David"/>
          <w:sz w:val="20"/>
          <w:szCs w:val="20"/>
          <w:rtl/>
        </w:rPr>
        <w:tab/>
      </w:r>
      <w:r w:rsidR="005366A8" w:rsidRPr="00DB5B9B">
        <w:rPr>
          <w:rFonts w:cs="David" w:hint="cs"/>
          <w:sz w:val="20"/>
          <w:szCs w:val="20"/>
          <w:rtl/>
        </w:rPr>
        <w:t>פ</w:t>
      </w:r>
      <w:r w:rsidR="005366A8" w:rsidRPr="00DB5B9B">
        <w:rPr>
          <w:rFonts w:cs="David"/>
          <w:sz w:val="20"/>
          <w:szCs w:val="20"/>
          <w:rtl/>
        </w:rPr>
        <w:t>/2657/18</w:t>
      </w:r>
      <w:r w:rsidR="005366A8" w:rsidRPr="00DB5B9B">
        <w:rPr>
          <w:rFonts w:cs="David"/>
          <w:sz w:val="20"/>
          <w:szCs w:val="20"/>
          <w:rtl/>
        </w:rPr>
        <w:tab/>
      </w:r>
      <w:r w:rsidR="005366A8" w:rsidRPr="00DB5B9B">
        <w:rPr>
          <w:rFonts w:cs="David"/>
          <w:sz w:val="20"/>
          <w:szCs w:val="20"/>
          <w:rtl/>
        </w:rPr>
        <w:tab/>
      </w:r>
      <w:r w:rsidR="005366A8" w:rsidRPr="00DB5B9B">
        <w:rPr>
          <w:rFonts w:cs="David"/>
          <w:sz w:val="20"/>
          <w:szCs w:val="20"/>
          <w:rtl/>
        </w:rPr>
        <w:tab/>
      </w:r>
    </w:p>
    <w:p w:rsidR="005366A8" w:rsidRPr="00DB5B9B" w:rsidRDefault="005366A8" w:rsidP="005366A8">
      <w:pPr>
        <w:ind w:left="2880" w:firstLine="720"/>
        <w:rPr>
          <w:rFonts w:cs="David"/>
          <w:sz w:val="20"/>
          <w:szCs w:val="20"/>
          <w:rtl/>
        </w:rPr>
      </w:pPr>
    </w:p>
    <w:p w:rsidR="005366A8" w:rsidRPr="00DB5B9B" w:rsidRDefault="005366A8" w:rsidP="005366A8">
      <w:pPr>
        <w:pStyle w:val="HeadHatzaotHok"/>
        <w:tabs>
          <w:tab w:val="left" w:pos="4071"/>
          <w:tab w:val="center" w:pos="4819"/>
        </w:tabs>
        <w:spacing w:before="0" w:line="240" w:lineRule="auto"/>
        <w:rPr>
          <w:rFonts w:cs="David"/>
          <w:szCs w:val="20"/>
          <w:rtl/>
        </w:rPr>
      </w:pPr>
      <w:r w:rsidRPr="00B01B9C">
        <w:rPr>
          <w:rFonts w:cs="David"/>
          <w:szCs w:val="20"/>
          <w:highlight w:val="yellow"/>
          <w:rtl/>
        </w:rPr>
        <w:t>הצעת חוק מלגת קיום לתלמידי כולל, התשע"א–2010</w:t>
      </w:r>
    </w:p>
    <w:p w:rsidR="005366A8" w:rsidRPr="00DB5B9B" w:rsidRDefault="005366A8" w:rsidP="005366A8">
      <w:pPr>
        <w:pStyle w:val="HeadHatzaotHok"/>
        <w:tabs>
          <w:tab w:val="left" w:pos="4071"/>
          <w:tab w:val="center" w:pos="4819"/>
        </w:tabs>
        <w:spacing w:before="0" w:line="240" w:lineRule="auto"/>
        <w:rPr>
          <w:rFonts w:cs="David"/>
          <w:szCs w:val="20"/>
          <w:rtl/>
        </w:rPr>
      </w:pPr>
    </w:p>
    <w:tbl>
      <w:tblPr>
        <w:bidiVisual/>
        <w:tblW w:w="9636" w:type="dxa"/>
        <w:tblInd w:w="11" w:type="dxa"/>
        <w:tblLayout w:type="fixed"/>
        <w:tblCellMar>
          <w:top w:w="57" w:type="dxa"/>
          <w:left w:w="0" w:type="dxa"/>
          <w:bottom w:w="57" w:type="dxa"/>
          <w:right w:w="0" w:type="dxa"/>
        </w:tblCellMar>
        <w:tblLook w:val="0000"/>
      </w:tblPr>
      <w:tblGrid>
        <w:gridCol w:w="1869"/>
        <w:gridCol w:w="624"/>
        <w:gridCol w:w="624"/>
        <w:gridCol w:w="624"/>
        <w:gridCol w:w="5895"/>
      </w:tblGrid>
      <w:tr w:rsidR="005366A8" w:rsidRPr="00DB5B9B" w:rsidTr="001845AC">
        <w:trPr>
          <w:cantSplit/>
        </w:trPr>
        <w:tc>
          <w:tcPr>
            <w:tcW w:w="1869" w:type="dxa"/>
            <w:tcBorders>
              <w:top w:val="nil"/>
              <w:left w:val="nil"/>
              <w:bottom w:val="nil"/>
              <w:right w:val="nil"/>
            </w:tcBorders>
          </w:tcPr>
          <w:p w:rsidR="005366A8" w:rsidRPr="00DB5B9B" w:rsidRDefault="005366A8" w:rsidP="001845AC">
            <w:pPr>
              <w:pStyle w:val="TableSideHeading"/>
              <w:spacing w:line="240" w:lineRule="auto"/>
              <w:ind w:right="0"/>
              <w:rPr>
                <w:rFonts w:cs="David"/>
                <w:szCs w:val="20"/>
                <w:rtl/>
              </w:rPr>
            </w:pPr>
            <w:r w:rsidRPr="00DB5B9B">
              <w:rPr>
                <w:rFonts w:cs="David"/>
                <w:szCs w:val="20"/>
                <w:rtl/>
              </w:rPr>
              <w:t>מטרה</w:t>
            </w:r>
          </w:p>
        </w:tc>
        <w:tc>
          <w:tcPr>
            <w:tcW w:w="624" w:type="dxa"/>
            <w:tcBorders>
              <w:top w:val="nil"/>
              <w:left w:val="nil"/>
              <w:bottom w:val="nil"/>
              <w:right w:val="nil"/>
            </w:tcBorders>
          </w:tcPr>
          <w:p w:rsidR="005366A8" w:rsidRPr="00DB5B9B" w:rsidRDefault="005366A8" w:rsidP="001845AC">
            <w:pPr>
              <w:pStyle w:val="TableText"/>
              <w:spacing w:line="240" w:lineRule="auto"/>
              <w:ind w:right="0"/>
              <w:jc w:val="both"/>
              <w:rPr>
                <w:rFonts w:cs="David"/>
                <w:szCs w:val="20"/>
                <w:rtl/>
              </w:rPr>
            </w:pPr>
            <w:r w:rsidRPr="00DB5B9B">
              <w:rPr>
                <w:rFonts w:cs="David"/>
                <w:szCs w:val="20"/>
                <w:rtl/>
              </w:rPr>
              <w:t>1.</w:t>
            </w:r>
          </w:p>
        </w:tc>
        <w:tc>
          <w:tcPr>
            <w:tcW w:w="7143" w:type="dxa"/>
            <w:gridSpan w:val="3"/>
            <w:tcBorders>
              <w:top w:val="nil"/>
              <w:left w:val="nil"/>
              <w:bottom w:val="nil"/>
              <w:right w:val="nil"/>
            </w:tcBorders>
          </w:tcPr>
          <w:p w:rsidR="005366A8" w:rsidRPr="00DB5B9B" w:rsidRDefault="005366A8" w:rsidP="001845AC">
            <w:pPr>
              <w:pStyle w:val="TableBlock"/>
              <w:spacing w:line="240" w:lineRule="auto"/>
              <w:rPr>
                <w:rFonts w:cs="David"/>
                <w:szCs w:val="20"/>
                <w:rtl/>
              </w:rPr>
            </w:pPr>
            <w:r w:rsidRPr="00DB5B9B">
              <w:rPr>
                <w:rFonts w:cs="David"/>
                <w:szCs w:val="20"/>
                <w:rtl/>
              </w:rPr>
              <w:t>מטרתו של חוק זה לעגן את זכותם של תלמידי כולל למלגת קיום ולקבוע כללים אחידים להענקתה.</w:t>
            </w:r>
          </w:p>
        </w:tc>
      </w:tr>
      <w:tr w:rsidR="005366A8" w:rsidRPr="00DB5B9B" w:rsidTr="001845AC">
        <w:trPr>
          <w:cantSplit/>
        </w:trPr>
        <w:tc>
          <w:tcPr>
            <w:tcW w:w="1869" w:type="dxa"/>
            <w:tcBorders>
              <w:top w:val="nil"/>
              <w:left w:val="nil"/>
              <w:bottom w:val="nil"/>
              <w:right w:val="nil"/>
            </w:tcBorders>
          </w:tcPr>
          <w:p w:rsidR="005366A8" w:rsidRPr="00DB5B9B" w:rsidRDefault="005366A8" w:rsidP="001845AC">
            <w:pPr>
              <w:pStyle w:val="TableSideHeading"/>
              <w:spacing w:line="240" w:lineRule="auto"/>
              <w:rPr>
                <w:rFonts w:cs="David"/>
                <w:szCs w:val="20"/>
              </w:rPr>
            </w:pPr>
            <w:r w:rsidRPr="00DB5B9B">
              <w:rPr>
                <w:rFonts w:cs="David"/>
                <w:szCs w:val="20"/>
                <w:rtl/>
              </w:rPr>
              <w:t>הגדרות</w:t>
            </w:r>
          </w:p>
        </w:tc>
        <w:tc>
          <w:tcPr>
            <w:tcW w:w="624" w:type="dxa"/>
            <w:tcBorders>
              <w:top w:val="nil"/>
              <w:left w:val="nil"/>
              <w:bottom w:val="nil"/>
              <w:right w:val="nil"/>
            </w:tcBorders>
          </w:tcPr>
          <w:p w:rsidR="005366A8" w:rsidRPr="00DB5B9B" w:rsidRDefault="005366A8" w:rsidP="001845AC">
            <w:pPr>
              <w:pStyle w:val="TableText"/>
              <w:spacing w:line="240" w:lineRule="auto"/>
              <w:rPr>
                <w:rFonts w:cs="David"/>
                <w:szCs w:val="20"/>
              </w:rPr>
            </w:pPr>
            <w:r w:rsidRPr="00DB5B9B">
              <w:rPr>
                <w:rFonts w:cs="David"/>
                <w:szCs w:val="20"/>
                <w:rtl/>
              </w:rPr>
              <w:t>2.</w:t>
            </w:r>
          </w:p>
        </w:tc>
        <w:tc>
          <w:tcPr>
            <w:tcW w:w="7143" w:type="dxa"/>
            <w:gridSpan w:val="3"/>
            <w:tcBorders>
              <w:top w:val="nil"/>
              <w:left w:val="nil"/>
              <w:bottom w:val="nil"/>
              <w:right w:val="nil"/>
            </w:tcBorders>
          </w:tcPr>
          <w:p w:rsidR="005366A8" w:rsidRPr="00DB5B9B" w:rsidRDefault="005366A8" w:rsidP="001845AC">
            <w:pPr>
              <w:pStyle w:val="TableBlock"/>
              <w:spacing w:line="240" w:lineRule="auto"/>
              <w:rPr>
                <w:rFonts w:cs="David"/>
                <w:szCs w:val="20"/>
              </w:rPr>
            </w:pPr>
            <w:r w:rsidRPr="00DB5B9B">
              <w:rPr>
                <w:rFonts w:cs="David"/>
                <w:szCs w:val="20"/>
                <w:rtl/>
              </w:rPr>
              <w:t>בחוק זה –</w:t>
            </w:r>
          </w:p>
        </w:tc>
      </w:tr>
      <w:tr w:rsidR="005366A8" w:rsidRPr="00DB5B9B" w:rsidTr="001845AC">
        <w:trPr>
          <w:cantSplit/>
        </w:trPr>
        <w:tc>
          <w:tcPr>
            <w:tcW w:w="1869" w:type="dxa"/>
            <w:tcBorders>
              <w:top w:val="nil"/>
              <w:left w:val="nil"/>
              <w:bottom w:val="nil"/>
              <w:right w:val="nil"/>
            </w:tcBorders>
          </w:tcPr>
          <w:p w:rsidR="005366A8" w:rsidRPr="00DB5B9B" w:rsidRDefault="005366A8" w:rsidP="001845AC">
            <w:pPr>
              <w:pStyle w:val="TableSideHeading"/>
              <w:spacing w:line="240" w:lineRule="auto"/>
              <w:rPr>
                <w:rFonts w:cs="David"/>
                <w:szCs w:val="20"/>
                <w:rtl/>
              </w:rPr>
            </w:pPr>
          </w:p>
        </w:tc>
        <w:tc>
          <w:tcPr>
            <w:tcW w:w="624" w:type="dxa"/>
            <w:tcBorders>
              <w:top w:val="nil"/>
              <w:left w:val="nil"/>
              <w:bottom w:val="nil"/>
              <w:right w:val="nil"/>
            </w:tcBorders>
          </w:tcPr>
          <w:p w:rsidR="005366A8" w:rsidRPr="00DB5B9B" w:rsidRDefault="005366A8" w:rsidP="001845AC">
            <w:pPr>
              <w:pStyle w:val="TableText"/>
              <w:spacing w:line="240" w:lineRule="auto"/>
              <w:rPr>
                <w:rFonts w:cs="David"/>
                <w:szCs w:val="20"/>
                <w:rtl/>
              </w:rPr>
            </w:pPr>
          </w:p>
        </w:tc>
        <w:tc>
          <w:tcPr>
            <w:tcW w:w="7143" w:type="dxa"/>
            <w:gridSpan w:val="3"/>
            <w:tcBorders>
              <w:top w:val="nil"/>
              <w:left w:val="nil"/>
              <w:bottom w:val="nil"/>
              <w:right w:val="nil"/>
            </w:tcBorders>
          </w:tcPr>
          <w:p w:rsidR="005366A8" w:rsidRPr="00DB5B9B" w:rsidRDefault="005366A8" w:rsidP="001845AC">
            <w:pPr>
              <w:pStyle w:val="TableBlockOutdent"/>
              <w:spacing w:line="240" w:lineRule="auto"/>
              <w:rPr>
                <w:szCs w:val="20"/>
                <w:rtl/>
              </w:rPr>
            </w:pPr>
            <w:r w:rsidRPr="00DB5B9B">
              <w:rPr>
                <w:szCs w:val="20"/>
                <w:rtl/>
              </w:rPr>
              <w:t>"הכנסה" – הכנסה מהמקורות המפורטים בסעיף 2 לפקודת מס הכנסה</w:t>
            </w:r>
            <w:r w:rsidRPr="00DB5B9B">
              <w:rPr>
                <w:rStyle w:val="FootnoteReference"/>
                <w:szCs w:val="20"/>
                <w:rtl/>
              </w:rPr>
              <w:footnoteReference w:id="18"/>
            </w:r>
            <w:r w:rsidRPr="00DB5B9B">
              <w:rPr>
                <w:szCs w:val="20"/>
                <w:rtl/>
              </w:rPr>
              <w:t>, אף אם לא צמחה, הופקה או נתקבלה בישראל, לרבות –</w:t>
            </w:r>
          </w:p>
        </w:tc>
      </w:tr>
      <w:tr w:rsidR="005366A8" w:rsidRPr="00DB5B9B" w:rsidTr="001845AC">
        <w:trPr>
          <w:cantSplit/>
        </w:trPr>
        <w:tc>
          <w:tcPr>
            <w:tcW w:w="1869" w:type="dxa"/>
            <w:tcBorders>
              <w:top w:val="nil"/>
              <w:left w:val="nil"/>
              <w:bottom w:val="nil"/>
              <w:right w:val="nil"/>
            </w:tcBorders>
          </w:tcPr>
          <w:p w:rsidR="005366A8" w:rsidRPr="00DB5B9B" w:rsidRDefault="005366A8" w:rsidP="001845AC">
            <w:pPr>
              <w:pStyle w:val="TableSideHeading"/>
              <w:spacing w:line="240" w:lineRule="auto"/>
              <w:rPr>
                <w:rFonts w:cs="David"/>
                <w:szCs w:val="20"/>
              </w:rPr>
            </w:pPr>
          </w:p>
        </w:tc>
        <w:tc>
          <w:tcPr>
            <w:tcW w:w="624" w:type="dxa"/>
            <w:tcBorders>
              <w:top w:val="nil"/>
              <w:left w:val="nil"/>
              <w:bottom w:val="nil"/>
              <w:right w:val="nil"/>
            </w:tcBorders>
          </w:tcPr>
          <w:p w:rsidR="005366A8" w:rsidRPr="00DB5B9B" w:rsidRDefault="005366A8" w:rsidP="001845AC">
            <w:pPr>
              <w:pStyle w:val="TableText"/>
              <w:spacing w:line="240" w:lineRule="auto"/>
              <w:rPr>
                <w:rFonts w:cs="David"/>
                <w:szCs w:val="20"/>
              </w:rPr>
            </w:pPr>
          </w:p>
        </w:tc>
        <w:tc>
          <w:tcPr>
            <w:tcW w:w="624" w:type="dxa"/>
            <w:tcBorders>
              <w:top w:val="nil"/>
              <w:left w:val="nil"/>
              <w:bottom w:val="nil"/>
              <w:right w:val="nil"/>
            </w:tcBorders>
          </w:tcPr>
          <w:p w:rsidR="005366A8" w:rsidRPr="00DB5B9B" w:rsidRDefault="005366A8" w:rsidP="001845AC">
            <w:pPr>
              <w:pStyle w:val="TableText"/>
              <w:spacing w:line="240" w:lineRule="auto"/>
              <w:ind w:right="0"/>
              <w:jc w:val="both"/>
              <w:rPr>
                <w:rFonts w:cs="David"/>
                <w:szCs w:val="20"/>
              </w:rPr>
            </w:pPr>
          </w:p>
        </w:tc>
        <w:tc>
          <w:tcPr>
            <w:tcW w:w="6519" w:type="dxa"/>
            <w:gridSpan w:val="2"/>
            <w:tcBorders>
              <w:top w:val="nil"/>
              <w:left w:val="nil"/>
              <w:bottom w:val="nil"/>
              <w:right w:val="nil"/>
            </w:tcBorders>
          </w:tcPr>
          <w:p w:rsidR="005366A8" w:rsidRPr="00DB5B9B" w:rsidRDefault="005366A8" w:rsidP="001845AC">
            <w:pPr>
              <w:pStyle w:val="TableBlock"/>
              <w:spacing w:line="240" w:lineRule="auto"/>
              <w:rPr>
                <w:rFonts w:cs="David"/>
                <w:szCs w:val="20"/>
                <w:rtl/>
              </w:rPr>
            </w:pPr>
            <w:r w:rsidRPr="00DB5B9B">
              <w:rPr>
                <w:rFonts w:cs="David"/>
                <w:szCs w:val="20"/>
                <w:rtl/>
              </w:rPr>
              <w:t>(1)</w:t>
            </w:r>
            <w:r w:rsidRPr="00DB5B9B">
              <w:rPr>
                <w:rFonts w:cs="David"/>
                <w:szCs w:val="20"/>
                <w:rtl/>
              </w:rPr>
              <w:tab/>
              <w:t>כל גמלה כמשמעותה בחוק הביטוח הלאומי [נוסח משולב], התשנ"ה–1995</w:t>
            </w:r>
            <w:r w:rsidRPr="00DB5B9B">
              <w:rPr>
                <w:rStyle w:val="FootnoteReference"/>
                <w:szCs w:val="20"/>
                <w:rtl/>
              </w:rPr>
              <w:footnoteReference w:id="19"/>
            </w:r>
            <w:r w:rsidRPr="00DB5B9B">
              <w:rPr>
                <w:rFonts w:cs="David"/>
                <w:szCs w:val="20"/>
                <w:rtl/>
              </w:rPr>
              <w:t xml:space="preserve"> (להלן – חוק הביטוח הלאומי), למעט קצבת ילדים לפי פרק ד' לחוק הביטוח הלאומי וקצבה לילד נכה לפי פרק ט' לחוק האמור;</w:t>
            </w:r>
          </w:p>
        </w:tc>
      </w:tr>
      <w:tr w:rsidR="005366A8" w:rsidRPr="00DB5B9B" w:rsidTr="001845AC">
        <w:trPr>
          <w:cantSplit/>
        </w:trPr>
        <w:tc>
          <w:tcPr>
            <w:tcW w:w="1869" w:type="dxa"/>
            <w:tcBorders>
              <w:top w:val="nil"/>
              <w:left w:val="nil"/>
              <w:bottom w:val="nil"/>
              <w:right w:val="nil"/>
            </w:tcBorders>
          </w:tcPr>
          <w:p w:rsidR="005366A8" w:rsidRPr="00DB5B9B" w:rsidRDefault="005366A8" w:rsidP="001845AC">
            <w:pPr>
              <w:pStyle w:val="TableSideHeading"/>
              <w:spacing w:line="240" w:lineRule="auto"/>
              <w:rPr>
                <w:rFonts w:cs="David"/>
                <w:szCs w:val="20"/>
              </w:rPr>
            </w:pPr>
          </w:p>
        </w:tc>
        <w:tc>
          <w:tcPr>
            <w:tcW w:w="624" w:type="dxa"/>
            <w:tcBorders>
              <w:top w:val="nil"/>
              <w:left w:val="nil"/>
              <w:bottom w:val="nil"/>
              <w:right w:val="nil"/>
            </w:tcBorders>
          </w:tcPr>
          <w:p w:rsidR="005366A8" w:rsidRPr="00DB5B9B" w:rsidRDefault="005366A8" w:rsidP="001845AC">
            <w:pPr>
              <w:pStyle w:val="TableText"/>
              <w:spacing w:line="240" w:lineRule="auto"/>
              <w:rPr>
                <w:rFonts w:cs="David"/>
                <w:szCs w:val="20"/>
              </w:rPr>
            </w:pPr>
          </w:p>
        </w:tc>
        <w:tc>
          <w:tcPr>
            <w:tcW w:w="624" w:type="dxa"/>
            <w:tcBorders>
              <w:top w:val="nil"/>
              <w:left w:val="nil"/>
              <w:bottom w:val="nil"/>
              <w:right w:val="nil"/>
            </w:tcBorders>
          </w:tcPr>
          <w:p w:rsidR="005366A8" w:rsidRPr="00DB5B9B" w:rsidRDefault="005366A8" w:rsidP="001845AC">
            <w:pPr>
              <w:pStyle w:val="TableText"/>
              <w:spacing w:line="240" w:lineRule="auto"/>
              <w:ind w:right="0"/>
              <w:jc w:val="both"/>
              <w:rPr>
                <w:rFonts w:cs="David"/>
                <w:szCs w:val="20"/>
              </w:rPr>
            </w:pPr>
          </w:p>
        </w:tc>
        <w:tc>
          <w:tcPr>
            <w:tcW w:w="6519" w:type="dxa"/>
            <w:gridSpan w:val="2"/>
            <w:tcBorders>
              <w:top w:val="nil"/>
              <w:left w:val="nil"/>
              <w:bottom w:val="nil"/>
              <w:right w:val="nil"/>
            </w:tcBorders>
          </w:tcPr>
          <w:p w:rsidR="005366A8" w:rsidRPr="00DB5B9B" w:rsidRDefault="005366A8" w:rsidP="001845AC">
            <w:pPr>
              <w:pStyle w:val="TableBlock"/>
              <w:spacing w:line="240" w:lineRule="auto"/>
              <w:rPr>
                <w:rFonts w:cs="David"/>
                <w:szCs w:val="20"/>
              </w:rPr>
            </w:pPr>
            <w:r w:rsidRPr="00DB5B9B">
              <w:rPr>
                <w:rFonts w:cs="David"/>
                <w:szCs w:val="20"/>
                <w:rtl/>
              </w:rPr>
              <w:t>(2)</w:t>
            </w:r>
            <w:r w:rsidRPr="00DB5B9B">
              <w:rPr>
                <w:rFonts w:cs="David"/>
                <w:szCs w:val="20"/>
                <w:rtl/>
              </w:rPr>
              <w:tab/>
              <w:t>תשלומים למי שמצוי בהכשרה מקצועית;</w:t>
            </w:r>
          </w:p>
        </w:tc>
      </w:tr>
      <w:tr w:rsidR="005366A8" w:rsidRPr="00DB5B9B" w:rsidTr="001845AC">
        <w:trPr>
          <w:cantSplit/>
        </w:trPr>
        <w:tc>
          <w:tcPr>
            <w:tcW w:w="1869" w:type="dxa"/>
            <w:tcBorders>
              <w:top w:val="nil"/>
              <w:left w:val="nil"/>
              <w:bottom w:val="nil"/>
              <w:right w:val="nil"/>
            </w:tcBorders>
          </w:tcPr>
          <w:p w:rsidR="005366A8" w:rsidRPr="00DB5B9B" w:rsidRDefault="005366A8" w:rsidP="001845AC">
            <w:pPr>
              <w:pStyle w:val="TableSideHeading"/>
              <w:spacing w:line="240" w:lineRule="auto"/>
              <w:rPr>
                <w:rFonts w:cs="David"/>
                <w:szCs w:val="20"/>
              </w:rPr>
            </w:pPr>
          </w:p>
        </w:tc>
        <w:tc>
          <w:tcPr>
            <w:tcW w:w="624" w:type="dxa"/>
            <w:tcBorders>
              <w:top w:val="nil"/>
              <w:left w:val="nil"/>
              <w:bottom w:val="nil"/>
              <w:right w:val="nil"/>
            </w:tcBorders>
          </w:tcPr>
          <w:p w:rsidR="005366A8" w:rsidRPr="00DB5B9B" w:rsidRDefault="005366A8" w:rsidP="001845AC">
            <w:pPr>
              <w:pStyle w:val="TableText"/>
              <w:spacing w:line="240" w:lineRule="auto"/>
              <w:rPr>
                <w:rFonts w:cs="David"/>
                <w:szCs w:val="20"/>
              </w:rPr>
            </w:pPr>
          </w:p>
        </w:tc>
        <w:tc>
          <w:tcPr>
            <w:tcW w:w="624" w:type="dxa"/>
            <w:tcBorders>
              <w:top w:val="nil"/>
              <w:left w:val="nil"/>
              <w:bottom w:val="nil"/>
              <w:right w:val="nil"/>
            </w:tcBorders>
          </w:tcPr>
          <w:p w:rsidR="005366A8" w:rsidRPr="00DB5B9B" w:rsidRDefault="005366A8" w:rsidP="001845AC">
            <w:pPr>
              <w:pStyle w:val="TableText"/>
              <w:spacing w:line="240" w:lineRule="auto"/>
              <w:ind w:right="0"/>
              <w:jc w:val="both"/>
              <w:rPr>
                <w:rFonts w:cs="David"/>
                <w:szCs w:val="20"/>
              </w:rPr>
            </w:pPr>
          </w:p>
        </w:tc>
        <w:tc>
          <w:tcPr>
            <w:tcW w:w="6519" w:type="dxa"/>
            <w:gridSpan w:val="2"/>
            <w:tcBorders>
              <w:top w:val="nil"/>
              <w:left w:val="nil"/>
              <w:bottom w:val="nil"/>
              <w:right w:val="nil"/>
            </w:tcBorders>
          </w:tcPr>
          <w:p w:rsidR="005366A8" w:rsidRPr="00DB5B9B" w:rsidRDefault="005366A8" w:rsidP="001845AC">
            <w:pPr>
              <w:pStyle w:val="TableBlock"/>
              <w:spacing w:line="240" w:lineRule="auto"/>
              <w:rPr>
                <w:rFonts w:cs="David"/>
                <w:szCs w:val="20"/>
                <w:rtl/>
              </w:rPr>
            </w:pPr>
            <w:r w:rsidRPr="00DB5B9B">
              <w:rPr>
                <w:rFonts w:cs="David"/>
                <w:szCs w:val="20"/>
                <w:rtl/>
              </w:rPr>
              <w:t>(3)</w:t>
            </w:r>
            <w:r w:rsidRPr="00DB5B9B">
              <w:rPr>
                <w:rFonts w:cs="David"/>
                <w:szCs w:val="20"/>
                <w:rtl/>
              </w:rPr>
              <w:tab/>
              <w:t>גמלה לפי חוק הבטחת הכנסה, התשמ"א–1980</w:t>
            </w:r>
            <w:r w:rsidRPr="00DB5B9B">
              <w:rPr>
                <w:rStyle w:val="FootnoteReference"/>
                <w:szCs w:val="20"/>
                <w:rtl/>
              </w:rPr>
              <w:footnoteReference w:id="20"/>
            </w:r>
            <w:r w:rsidRPr="00DB5B9B">
              <w:rPr>
                <w:rFonts w:cs="David"/>
                <w:szCs w:val="20"/>
                <w:rtl/>
              </w:rPr>
              <w:t>;</w:t>
            </w:r>
          </w:p>
        </w:tc>
      </w:tr>
      <w:tr w:rsidR="005366A8" w:rsidRPr="00DB5B9B" w:rsidTr="001845AC">
        <w:trPr>
          <w:cantSplit/>
        </w:trPr>
        <w:tc>
          <w:tcPr>
            <w:tcW w:w="1869" w:type="dxa"/>
            <w:tcBorders>
              <w:top w:val="nil"/>
              <w:left w:val="nil"/>
              <w:bottom w:val="nil"/>
              <w:right w:val="nil"/>
            </w:tcBorders>
          </w:tcPr>
          <w:p w:rsidR="005366A8" w:rsidRPr="00DB5B9B" w:rsidRDefault="005366A8" w:rsidP="001845AC">
            <w:pPr>
              <w:pStyle w:val="TableSideHeading"/>
              <w:spacing w:line="240" w:lineRule="auto"/>
              <w:rPr>
                <w:rFonts w:cs="David"/>
                <w:szCs w:val="20"/>
              </w:rPr>
            </w:pPr>
          </w:p>
        </w:tc>
        <w:tc>
          <w:tcPr>
            <w:tcW w:w="624" w:type="dxa"/>
            <w:tcBorders>
              <w:top w:val="nil"/>
              <w:left w:val="nil"/>
              <w:bottom w:val="nil"/>
              <w:right w:val="nil"/>
            </w:tcBorders>
          </w:tcPr>
          <w:p w:rsidR="005366A8" w:rsidRPr="00DB5B9B" w:rsidRDefault="005366A8" w:rsidP="001845AC">
            <w:pPr>
              <w:pStyle w:val="TableText"/>
              <w:spacing w:line="240" w:lineRule="auto"/>
              <w:rPr>
                <w:rFonts w:cs="David"/>
                <w:szCs w:val="20"/>
              </w:rPr>
            </w:pPr>
          </w:p>
        </w:tc>
        <w:tc>
          <w:tcPr>
            <w:tcW w:w="624" w:type="dxa"/>
            <w:tcBorders>
              <w:top w:val="nil"/>
              <w:left w:val="nil"/>
              <w:bottom w:val="nil"/>
              <w:right w:val="nil"/>
            </w:tcBorders>
          </w:tcPr>
          <w:p w:rsidR="005366A8" w:rsidRPr="00DB5B9B" w:rsidRDefault="005366A8" w:rsidP="001845AC">
            <w:pPr>
              <w:pStyle w:val="TableText"/>
              <w:spacing w:line="240" w:lineRule="auto"/>
              <w:ind w:right="0"/>
              <w:jc w:val="both"/>
              <w:rPr>
                <w:rFonts w:cs="David"/>
                <w:szCs w:val="20"/>
              </w:rPr>
            </w:pPr>
          </w:p>
        </w:tc>
        <w:tc>
          <w:tcPr>
            <w:tcW w:w="6519" w:type="dxa"/>
            <w:gridSpan w:val="2"/>
            <w:tcBorders>
              <w:top w:val="nil"/>
              <w:left w:val="nil"/>
              <w:bottom w:val="nil"/>
              <w:right w:val="nil"/>
            </w:tcBorders>
          </w:tcPr>
          <w:p w:rsidR="005366A8" w:rsidRPr="00DB5B9B" w:rsidRDefault="005366A8" w:rsidP="001845AC">
            <w:pPr>
              <w:pStyle w:val="TableBlock"/>
              <w:spacing w:line="240" w:lineRule="auto"/>
              <w:rPr>
                <w:rFonts w:cs="David"/>
                <w:szCs w:val="20"/>
                <w:rtl/>
              </w:rPr>
            </w:pPr>
            <w:r w:rsidRPr="00DB5B9B">
              <w:rPr>
                <w:rFonts w:cs="David"/>
                <w:szCs w:val="20"/>
                <w:rtl/>
              </w:rPr>
              <w:t>(4)</w:t>
            </w:r>
            <w:r w:rsidRPr="00DB5B9B">
              <w:rPr>
                <w:rFonts w:cs="David"/>
                <w:szCs w:val="20"/>
                <w:rtl/>
              </w:rPr>
              <w:tab/>
              <w:t>דמי מזונות שמקבל אדם לפי כל דין בעדו ובעד ילדיו, לרבות תשלום בעדו ובעד ילדיו לפי חוק המזונות (הבטחת תשלום), התשל"ב–1972</w:t>
            </w:r>
            <w:r w:rsidRPr="00DB5B9B">
              <w:rPr>
                <w:rStyle w:val="FootnoteReference"/>
                <w:szCs w:val="20"/>
                <w:rtl/>
              </w:rPr>
              <w:footnoteReference w:id="21"/>
            </w:r>
            <w:r w:rsidRPr="00DB5B9B">
              <w:rPr>
                <w:rFonts w:cs="David"/>
                <w:szCs w:val="20"/>
                <w:rtl/>
              </w:rPr>
              <w:t>;</w:t>
            </w:r>
          </w:p>
        </w:tc>
      </w:tr>
      <w:tr w:rsidR="005366A8" w:rsidRPr="00DB5B9B" w:rsidTr="001845AC">
        <w:trPr>
          <w:cantSplit/>
        </w:trPr>
        <w:tc>
          <w:tcPr>
            <w:tcW w:w="1869" w:type="dxa"/>
            <w:tcBorders>
              <w:top w:val="nil"/>
              <w:left w:val="nil"/>
              <w:bottom w:val="nil"/>
              <w:right w:val="nil"/>
            </w:tcBorders>
          </w:tcPr>
          <w:p w:rsidR="005366A8" w:rsidRPr="00DB5B9B" w:rsidRDefault="005366A8" w:rsidP="001845AC">
            <w:pPr>
              <w:pStyle w:val="TableSideHeading"/>
              <w:spacing w:line="240" w:lineRule="auto"/>
              <w:rPr>
                <w:rFonts w:cs="David"/>
                <w:szCs w:val="20"/>
              </w:rPr>
            </w:pPr>
          </w:p>
        </w:tc>
        <w:tc>
          <w:tcPr>
            <w:tcW w:w="624" w:type="dxa"/>
            <w:tcBorders>
              <w:top w:val="nil"/>
              <w:left w:val="nil"/>
              <w:bottom w:val="nil"/>
              <w:right w:val="nil"/>
            </w:tcBorders>
          </w:tcPr>
          <w:p w:rsidR="005366A8" w:rsidRPr="00DB5B9B" w:rsidRDefault="005366A8" w:rsidP="001845AC">
            <w:pPr>
              <w:pStyle w:val="TableText"/>
              <w:spacing w:line="240" w:lineRule="auto"/>
              <w:rPr>
                <w:rFonts w:cs="David"/>
                <w:szCs w:val="20"/>
              </w:rPr>
            </w:pPr>
          </w:p>
        </w:tc>
        <w:tc>
          <w:tcPr>
            <w:tcW w:w="7143" w:type="dxa"/>
            <w:gridSpan w:val="3"/>
            <w:tcBorders>
              <w:top w:val="nil"/>
              <w:left w:val="nil"/>
              <w:bottom w:val="nil"/>
              <w:right w:val="nil"/>
            </w:tcBorders>
          </w:tcPr>
          <w:p w:rsidR="005366A8" w:rsidRPr="00DB5B9B" w:rsidRDefault="005366A8" w:rsidP="001845AC">
            <w:pPr>
              <w:pStyle w:val="TableBlock"/>
              <w:spacing w:line="240" w:lineRule="auto"/>
              <w:rPr>
                <w:rFonts w:cs="David"/>
                <w:szCs w:val="20"/>
                <w:rtl/>
              </w:rPr>
            </w:pPr>
            <w:r w:rsidRPr="00DB5B9B">
              <w:rPr>
                <w:rFonts w:cs="David"/>
                <w:szCs w:val="20"/>
                <w:rtl/>
              </w:rPr>
              <w:t>ולמעט –</w:t>
            </w:r>
          </w:p>
        </w:tc>
      </w:tr>
      <w:tr w:rsidR="005366A8" w:rsidRPr="00DB5B9B" w:rsidTr="001845AC">
        <w:trPr>
          <w:cantSplit/>
          <w:trHeight w:val="60"/>
        </w:trPr>
        <w:tc>
          <w:tcPr>
            <w:tcW w:w="1869" w:type="dxa"/>
            <w:tcBorders>
              <w:top w:val="nil"/>
              <w:left w:val="nil"/>
              <w:bottom w:val="nil"/>
              <w:right w:val="nil"/>
            </w:tcBorders>
          </w:tcPr>
          <w:p w:rsidR="005366A8" w:rsidRPr="00DB5B9B" w:rsidRDefault="005366A8" w:rsidP="001845AC">
            <w:pPr>
              <w:pStyle w:val="TableSideHeading"/>
              <w:spacing w:line="240" w:lineRule="auto"/>
              <w:rPr>
                <w:rFonts w:cs="David"/>
                <w:szCs w:val="20"/>
              </w:rPr>
            </w:pPr>
          </w:p>
        </w:tc>
        <w:tc>
          <w:tcPr>
            <w:tcW w:w="624" w:type="dxa"/>
            <w:tcBorders>
              <w:top w:val="nil"/>
              <w:left w:val="nil"/>
              <w:bottom w:val="nil"/>
              <w:right w:val="nil"/>
            </w:tcBorders>
          </w:tcPr>
          <w:p w:rsidR="005366A8" w:rsidRPr="00DB5B9B" w:rsidRDefault="005366A8" w:rsidP="001845AC">
            <w:pPr>
              <w:pStyle w:val="TableText"/>
              <w:spacing w:line="240" w:lineRule="auto"/>
              <w:rPr>
                <w:rFonts w:cs="David"/>
                <w:szCs w:val="20"/>
              </w:rPr>
            </w:pPr>
          </w:p>
        </w:tc>
        <w:tc>
          <w:tcPr>
            <w:tcW w:w="624" w:type="dxa"/>
            <w:tcBorders>
              <w:top w:val="nil"/>
              <w:left w:val="nil"/>
              <w:bottom w:val="nil"/>
              <w:right w:val="nil"/>
            </w:tcBorders>
          </w:tcPr>
          <w:p w:rsidR="005366A8" w:rsidRPr="00DB5B9B" w:rsidRDefault="005366A8" w:rsidP="001845AC">
            <w:pPr>
              <w:pStyle w:val="TableText"/>
              <w:spacing w:line="240" w:lineRule="auto"/>
              <w:rPr>
                <w:rFonts w:cs="David"/>
                <w:szCs w:val="20"/>
              </w:rPr>
            </w:pPr>
          </w:p>
        </w:tc>
        <w:tc>
          <w:tcPr>
            <w:tcW w:w="624" w:type="dxa"/>
            <w:tcBorders>
              <w:top w:val="nil"/>
              <w:left w:val="nil"/>
              <w:bottom w:val="nil"/>
              <w:right w:val="nil"/>
            </w:tcBorders>
          </w:tcPr>
          <w:p w:rsidR="005366A8" w:rsidRPr="00DB5B9B" w:rsidRDefault="005366A8" w:rsidP="001845AC">
            <w:pPr>
              <w:pStyle w:val="TableText"/>
              <w:spacing w:line="240" w:lineRule="auto"/>
              <w:rPr>
                <w:rFonts w:cs="David"/>
                <w:szCs w:val="20"/>
              </w:rPr>
            </w:pPr>
            <w:r w:rsidRPr="00DB5B9B">
              <w:rPr>
                <w:rFonts w:cs="David"/>
                <w:szCs w:val="20"/>
                <w:rtl/>
              </w:rPr>
              <w:t>(1)</w:t>
            </w:r>
          </w:p>
        </w:tc>
        <w:tc>
          <w:tcPr>
            <w:tcW w:w="5895" w:type="dxa"/>
            <w:tcBorders>
              <w:top w:val="nil"/>
              <w:left w:val="nil"/>
              <w:bottom w:val="nil"/>
              <w:right w:val="nil"/>
            </w:tcBorders>
          </w:tcPr>
          <w:p w:rsidR="005366A8" w:rsidRPr="0012072D" w:rsidRDefault="005366A8" w:rsidP="001845AC">
            <w:pPr>
              <w:pStyle w:val="TableBlock"/>
              <w:spacing w:line="240" w:lineRule="auto"/>
              <w:rPr>
                <w:rFonts w:cs="David"/>
                <w:szCs w:val="20"/>
                <w:highlight w:val="yellow"/>
              </w:rPr>
            </w:pPr>
            <w:r w:rsidRPr="0012072D">
              <w:rPr>
                <w:rFonts w:cs="David"/>
                <w:szCs w:val="20"/>
                <w:highlight w:val="yellow"/>
                <w:rtl/>
              </w:rPr>
              <w:t>מלגת לימודים שתלמיד הכולל מקבל מהכולל;</w:t>
            </w:r>
          </w:p>
        </w:tc>
      </w:tr>
      <w:tr w:rsidR="005366A8" w:rsidRPr="00DB5B9B" w:rsidTr="001845AC">
        <w:trPr>
          <w:cantSplit/>
          <w:trHeight w:val="60"/>
        </w:trPr>
        <w:tc>
          <w:tcPr>
            <w:tcW w:w="1869" w:type="dxa"/>
            <w:tcBorders>
              <w:top w:val="nil"/>
              <w:left w:val="nil"/>
              <w:bottom w:val="nil"/>
              <w:right w:val="nil"/>
            </w:tcBorders>
          </w:tcPr>
          <w:p w:rsidR="005366A8" w:rsidRPr="00DB5B9B" w:rsidRDefault="005366A8" w:rsidP="001845AC">
            <w:pPr>
              <w:pStyle w:val="TableSideHeading"/>
              <w:spacing w:line="240" w:lineRule="auto"/>
              <w:rPr>
                <w:rFonts w:cs="David"/>
                <w:szCs w:val="20"/>
              </w:rPr>
            </w:pPr>
          </w:p>
        </w:tc>
        <w:tc>
          <w:tcPr>
            <w:tcW w:w="624" w:type="dxa"/>
            <w:tcBorders>
              <w:top w:val="nil"/>
              <w:left w:val="nil"/>
              <w:bottom w:val="nil"/>
              <w:right w:val="nil"/>
            </w:tcBorders>
          </w:tcPr>
          <w:p w:rsidR="005366A8" w:rsidRPr="00DB5B9B" w:rsidRDefault="005366A8" w:rsidP="001845AC">
            <w:pPr>
              <w:pStyle w:val="TableText"/>
              <w:spacing w:line="240" w:lineRule="auto"/>
              <w:rPr>
                <w:rFonts w:cs="David"/>
                <w:szCs w:val="20"/>
              </w:rPr>
            </w:pPr>
          </w:p>
        </w:tc>
        <w:tc>
          <w:tcPr>
            <w:tcW w:w="624" w:type="dxa"/>
            <w:tcBorders>
              <w:top w:val="nil"/>
              <w:left w:val="nil"/>
              <w:bottom w:val="nil"/>
              <w:right w:val="nil"/>
            </w:tcBorders>
          </w:tcPr>
          <w:p w:rsidR="005366A8" w:rsidRPr="00DB5B9B" w:rsidRDefault="005366A8" w:rsidP="001845AC">
            <w:pPr>
              <w:pStyle w:val="TableText"/>
              <w:spacing w:line="240" w:lineRule="auto"/>
              <w:rPr>
                <w:rFonts w:cs="David"/>
                <w:szCs w:val="20"/>
              </w:rPr>
            </w:pPr>
          </w:p>
        </w:tc>
        <w:tc>
          <w:tcPr>
            <w:tcW w:w="624" w:type="dxa"/>
            <w:tcBorders>
              <w:top w:val="nil"/>
              <w:left w:val="nil"/>
              <w:bottom w:val="nil"/>
              <w:right w:val="nil"/>
            </w:tcBorders>
          </w:tcPr>
          <w:p w:rsidR="005366A8" w:rsidRPr="00DB5B9B" w:rsidRDefault="005366A8" w:rsidP="001845AC">
            <w:pPr>
              <w:pStyle w:val="TableText"/>
              <w:spacing w:line="240" w:lineRule="auto"/>
              <w:rPr>
                <w:rFonts w:cs="David"/>
                <w:szCs w:val="20"/>
              </w:rPr>
            </w:pPr>
            <w:r w:rsidRPr="00DB5B9B">
              <w:rPr>
                <w:rFonts w:cs="David"/>
                <w:szCs w:val="20"/>
                <w:rtl/>
              </w:rPr>
              <w:t>(2)</w:t>
            </w:r>
          </w:p>
        </w:tc>
        <w:tc>
          <w:tcPr>
            <w:tcW w:w="5895" w:type="dxa"/>
            <w:tcBorders>
              <w:top w:val="nil"/>
              <w:left w:val="nil"/>
              <w:bottom w:val="nil"/>
              <w:right w:val="nil"/>
            </w:tcBorders>
          </w:tcPr>
          <w:p w:rsidR="005366A8" w:rsidRPr="00DB5B9B" w:rsidRDefault="005366A8" w:rsidP="001845AC">
            <w:pPr>
              <w:pStyle w:val="TableBlock"/>
              <w:spacing w:line="240" w:lineRule="auto"/>
              <w:rPr>
                <w:rFonts w:cs="David"/>
                <w:szCs w:val="20"/>
                <w:rtl/>
              </w:rPr>
            </w:pPr>
            <w:r w:rsidRPr="00DB5B9B">
              <w:rPr>
                <w:rFonts w:cs="David"/>
                <w:szCs w:val="20"/>
                <w:rtl/>
              </w:rPr>
              <w:t>הכנסה בשיעורים ובתנאים שקבע שר החינוך;</w:t>
            </w:r>
          </w:p>
        </w:tc>
      </w:tr>
      <w:tr w:rsidR="005366A8" w:rsidRPr="00DB5B9B" w:rsidTr="001845AC">
        <w:trPr>
          <w:cantSplit/>
        </w:trPr>
        <w:tc>
          <w:tcPr>
            <w:tcW w:w="1869" w:type="dxa"/>
            <w:tcBorders>
              <w:top w:val="nil"/>
              <w:left w:val="nil"/>
              <w:bottom w:val="nil"/>
              <w:right w:val="nil"/>
            </w:tcBorders>
          </w:tcPr>
          <w:p w:rsidR="005366A8" w:rsidRPr="00DB5B9B" w:rsidRDefault="005366A8" w:rsidP="001845AC">
            <w:pPr>
              <w:pStyle w:val="TableSideHeading"/>
              <w:spacing w:line="240" w:lineRule="auto"/>
              <w:rPr>
                <w:rFonts w:cs="David"/>
                <w:szCs w:val="20"/>
                <w:rtl/>
              </w:rPr>
            </w:pPr>
          </w:p>
        </w:tc>
        <w:tc>
          <w:tcPr>
            <w:tcW w:w="624" w:type="dxa"/>
            <w:tcBorders>
              <w:top w:val="nil"/>
              <w:left w:val="nil"/>
              <w:bottom w:val="nil"/>
              <w:right w:val="nil"/>
            </w:tcBorders>
          </w:tcPr>
          <w:p w:rsidR="005366A8" w:rsidRPr="00DB5B9B" w:rsidRDefault="005366A8" w:rsidP="001845AC">
            <w:pPr>
              <w:pStyle w:val="TableText"/>
              <w:spacing w:line="240" w:lineRule="auto"/>
              <w:rPr>
                <w:rFonts w:cs="David"/>
                <w:szCs w:val="20"/>
                <w:rtl/>
              </w:rPr>
            </w:pPr>
          </w:p>
        </w:tc>
        <w:tc>
          <w:tcPr>
            <w:tcW w:w="7143" w:type="dxa"/>
            <w:gridSpan w:val="3"/>
            <w:tcBorders>
              <w:top w:val="nil"/>
              <w:left w:val="nil"/>
              <w:bottom w:val="nil"/>
              <w:right w:val="nil"/>
            </w:tcBorders>
          </w:tcPr>
          <w:p w:rsidR="005366A8" w:rsidRPr="00DB5B9B" w:rsidRDefault="005366A8" w:rsidP="001845AC">
            <w:pPr>
              <w:pStyle w:val="TableBlockOutdent"/>
              <w:spacing w:line="240" w:lineRule="auto"/>
              <w:rPr>
                <w:szCs w:val="20"/>
                <w:rtl/>
              </w:rPr>
            </w:pPr>
            <w:r w:rsidRPr="00DB5B9B">
              <w:rPr>
                <w:szCs w:val="20"/>
                <w:rtl/>
              </w:rPr>
              <w:t>"הממונה" – כמשמעותו בסעיף 5;</w:t>
            </w:r>
          </w:p>
        </w:tc>
      </w:tr>
      <w:tr w:rsidR="005366A8" w:rsidRPr="00DB5B9B" w:rsidTr="001845AC">
        <w:trPr>
          <w:cantSplit/>
        </w:trPr>
        <w:tc>
          <w:tcPr>
            <w:tcW w:w="1869" w:type="dxa"/>
            <w:tcBorders>
              <w:top w:val="nil"/>
              <w:left w:val="nil"/>
              <w:bottom w:val="nil"/>
              <w:right w:val="nil"/>
            </w:tcBorders>
          </w:tcPr>
          <w:p w:rsidR="005366A8" w:rsidRPr="00DB5B9B" w:rsidRDefault="005366A8" w:rsidP="001845AC">
            <w:pPr>
              <w:pStyle w:val="TableSideHeading"/>
              <w:spacing w:line="240" w:lineRule="auto"/>
              <w:rPr>
                <w:rFonts w:cs="David"/>
                <w:szCs w:val="20"/>
                <w:rtl/>
              </w:rPr>
            </w:pPr>
          </w:p>
        </w:tc>
        <w:tc>
          <w:tcPr>
            <w:tcW w:w="624" w:type="dxa"/>
            <w:tcBorders>
              <w:top w:val="nil"/>
              <w:left w:val="nil"/>
              <w:bottom w:val="nil"/>
              <w:right w:val="nil"/>
            </w:tcBorders>
          </w:tcPr>
          <w:p w:rsidR="005366A8" w:rsidRPr="00DB5B9B" w:rsidRDefault="005366A8" w:rsidP="001845AC">
            <w:pPr>
              <w:pStyle w:val="TableText"/>
              <w:spacing w:line="240" w:lineRule="auto"/>
              <w:rPr>
                <w:rFonts w:cs="David"/>
                <w:szCs w:val="20"/>
                <w:rtl/>
              </w:rPr>
            </w:pPr>
          </w:p>
        </w:tc>
        <w:tc>
          <w:tcPr>
            <w:tcW w:w="7143" w:type="dxa"/>
            <w:gridSpan w:val="3"/>
            <w:tcBorders>
              <w:top w:val="nil"/>
              <w:left w:val="nil"/>
              <w:bottom w:val="nil"/>
              <w:right w:val="nil"/>
            </w:tcBorders>
          </w:tcPr>
          <w:p w:rsidR="005366A8" w:rsidRPr="00DB5B9B" w:rsidRDefault="005366A8" w:rsidP="001845AC">
            <w:pPr>
              <w:pStyle w:val="TableBlockOutdent"/>
              <w:spacing w:line="240" w:lineRule="auto"/>
              <w:rPr>
                <w:szCs w:val="20"/>
                <w:rtl/>
              </w:rPr>
            </w:pPr>
            <w:r w:rsidRPr="00DB5B9B">
              <w:rPr>
                <w:szCs w:val="20"/>
                <w:rtl/>
              </w:rPr>
              <w:t>"חודש לימודים מלא" – חודש של ימי לימודים מלאים בכולל או בשני כוללים;</w:t>
            </w:r>
          </w:p>
        </w:tc>
      </w:tr>
      <w:tr w:rsidR="005366A8" w:rsidRPr="00DB5B9B" w:rsidTr="001845AC">
        <w:trPr>
          <w:cantSplit/>
        </w:trPr>
        <w:tc>
          <w:tcPr>
            <w:tcW w:w="1869" w:type="dxa"/>
            <w:tcBorders>
              <w:top w:val="nil"/>
              <w:left w:val="nil"/>
              <w:bottom w:val="nil"/>
              <w:right w:val="nil"/>
            </w:tcBorders>
          </w:tcPr>
          <w:p w:rsidR="005366A8" w:rsidRPr="00DB5B9B" w:rsidRDefault="005366A8" w:rsidP="001845AC">
            <w:pPr>
              <w:pStyle w:val="TableSideHeading"/>
              <w:spacing w:line="240" w:lineRule="auto"/>
              <w:rPr>
                <w:rFonts w:cs="David"/>
                <w:szCs w:val="20"/>
                <w:rtl/>
              </w:rPr>
            </w:pPr>
          </w:p>
        </w:tc>
        <w:tc>
          <w:tcPr>
            <w:tcW w:w="624" w:type="dxa"/>
            <w:tcBorders>
              <w:top w:val="nil"/>
              <w:left w:val="nil"/>
              <w:bottom w:val="nil"/>
              <w:right w:val="nil"/>
            </w:tcBorders>
          </w:tcPr>
          <w:p w:rsidR="005366A8" w:rsidRPr="00DB5B9B" w:rsidRDefault="005366A8" w:rsidP="001845AC">
            <w:pPr>
              <w:pStyle w:val="TableText"/>
              <w:spacing w:line="240" w:lineRule="auto"/>
              <w:rPr>
                <w:rFonts w:cs="David"/>
                <w:szCs w:val="20"/>
                <w:rtl/>
              </w:rPr>
            </w:pPr>
          </w:p>
        </w:tc>
        <w:tc>
          <w:tcPr>
            <w:tcW w:w="7143" w:type="dxa"/>
            <w:gridSpan w:val="3"/>
            <w:tcBorders>
              <w:top w:val="nil"/>
              <w:left w:val="nil"/>
              <w:bottom w:val="nil"/>
              <w:right w:val="nil"/>
            </w:tcBorders>
          </w:tcPr>
          <w:p w:rsidR="005366A8" w:rsidRPr="00DB5B9B" w:rsidRDefault="005366A8" w:rsidP="001845AC">
            <w:pPr>
              <w:pStyle w:val="TableBlockOutdent"/>
              <w:spacing w:line="240" w:lineRule="auto"/>
              <w:rPr>
                <w:szCs w:val="20"/>
                <w:rtl/>
              </w:rPr>
            </w:pPr>
            <w:r w:rsidRPr="00DB5B9B">
              <w:rPr>
                <w:szCs w:val="20"/>
                <w:rtl/>
              </w:rPr>
              <w:t>"חוק התקציב השנתי", "תחום פעולה" ו"סעיף תקציב" – כמשמעותם בחוק יסודות התקציב, התשמ"ה–1985</w:t>
            </w:r>
            <w:r w:rsidRPr="00DB5B9B">
              <w:rPr>
                <w:rStyle w:val="FootnoteReference"/>
                <w:szCs w:val="20"/>
                <w:rtl/>
              </w:rPr>
              <w:footnoteReference w:id="22"/>
            </w:r>
            <w:r w:rsidRPr="00DB5B9B">
              <w:rPr>
                <w:szCs w:val="20"/>
                <w:rtl/>
              </w:rPr>
              <w:t>;</w:t>
            </w:r>
          </w:p>
        </w:tc>
      </w:tr>
      <w:tr w:rsidR="005366A8" w:rsidRPr="00DB5B9B" w:rsidTr="001845AC">
        <w:trPr>
          <w:cantSplit/>
        </w:trPr>
        <w:tc>
          <w:tcPr>
            <w:tcW w:w="1869" w:type="dxa"/>
            <w:tcBorders>
              <w:top w:val="nil"/>
              <w:left w:val="nil"/>
              <w:bottom w:val="nil"/>
              <w:right w:val="nil"/>
            </w:tcBorders>
          </w:tcPr>
          <w:p w:rsidR="005366A8" w:rsidRPr="00DB5B9B" w:rsidRDefault="005366A8" w:rsidP="001845AC">
            <w:pPr>
              <w:pStyle w:val="TableSideHeading"/>
              <w:spacing w:line="240" w:lineRule="auto"/>
              <w:rPr>
                <w:rFonts w:cs="David"/>
                <w:szCs w:val="20"/>
                <w:rtl/>
              </w:rPr>
            </w:pPr>
          </w:p>
        </w:tc>
        <w:tc>
          <w:tcPr>
            <w:tcW w:w="624" w:type="dxa"/>
            <w:tcBorders>
              <w:top w:val="nil"/>
              <w:left w:val="nil"/>
              <w:bottom w:val="nil"/>
              <w:right w:val="nil"/>
            </w:tcBorders>
          </w:tcPr>
          <w:p w:rsidR="005366A8" w:rsidRPr="00DB5B9B" w:rsidRDefault="005366A8" w:rsidP="001845AC">
            <w:pPr>
              <w:pStyle w:val="TableText"/>
              <w:spacing w:line="240" w:lineRule="auto"/>
              <w:rPr>
                <w:rFonts w:cs="David"/>
                <w:szCs w:val="20"/>
                <w:rtl/>
              </w:rPr>
            </w:pPr>
          </w:p>
        </w:tc>
        <w:tc>
          <w:tcPr>
            <w:tcW w:w="7143" w:type="dxa"/>
            <w:gridSpan w:val="3"/>
            <w:tcBorders>
              <w:top w:val="nil"/>
              <w:left w:val="nil"/>
              <w:bottom w:val="nil"/>
              <w:right w:val="nil"/>
            </w:tcBorders>
          </w:tcPr>
          <w:p w:rsidR="005366A8" w:rsidRPr="00DB5B9B" w:rsidRDefault="005366A8" w:rsidP="001845AC">
            <w:pPr>
              <w:pStyle w:val="TableBlockOutdent"/>
              <w:spacing w:line="240" w:lineRule="auto"/>
              <w:rPr>
                <w:szCs w:val="20"/>
                <w:rtl/>
              </w:rPr>
            </w:pPr>
            <w:r w:rsidRPr="00DB5B9B">
              <w:rPr>
                <w:szCs w:val="20"/>
                <w:rtl/>
              </w:rPr>
              <w:t>"ילד" – מי שטרם מלאו לו 18 שנים במהלך שנת המס שבשלה נתבעת מלגת הקיום;</w:t>
            </w:r>
          </w:p>
        </w:tc>
      </w:tr>
      <w:tr w:rsidR="005366A8" w:rsidRPr="00DB5B9B" w:rsidTr="001845AC">
        <w:trPr>
          <w:cantSplit/>
        </w:trPr>
        <w:tc>
          <w:tcPr>
            <w:tcW w:w="1869" w:type="dxa"/>
            <w:tcBorders>
              <w:top w:val="nil"/>
              <w:left w:val="nil"/>
              <w:bottom w:val="nil"/>
              <w:right w:val="nil"/>
            </w:tcBorders>
          </w:tcPr>
          <w:p w:rsidR="005366A8" w:rsidRPr="00DB5B9B" w:rsidRDefault="005366A8" w:rsidP="001845AC">
            <w:pPr>
              <w:pStyle w:val="TableSideHeading"/>
              <w:spacing w:line="240" w:lineRule="auto"/>
              <w:rPr>
                <w:rFonts w:cs="David"/>
                <w:szCs w:val="20"/>
                <w:rtl/>
              </w:rPr>
            </w:pPr>
          </w:p>
        </w:tc>
        <w:tc>
          <w:tcPr>
            <w:tcW w:w="624" w:type="dxa"/>
            <w:tcBorders>
              <w:top w:val="nil"/>
              <w:left w:val="nil"/>
              <w:bottom w:val="nil"/>
              <w:right w:val="nil"/>
            </w:tcBorders>
          </w:tcPr>
          <w:p w:rsidR="005366A8" w:rsidRPr="00DB5B9B" w:rsidRDefault="005366A8" w:rsidP="001845AC">
            <w:pPr>
              <w:pStyle w:val="TableText"/>
              <w:spacing w:line="240" w:lineRule="auto"/>
              <w:rPr>
                <w:rFonts w:cs="David"/>
                <w:szCs w:val="20"/>
                <w:rtl/>
              </w:rPr>
            </w:pPr>
          </w:p>
        </w:tc>
        <w:tc>
          <w:tcPr>
            <w:tcW w:w="7143" w:type="dxa"/>
            <w:gridSpan w:val="3"/>
            <w:tcBorders>
              <w:top w:val="nil"/>
              <w:left w:val="nil"/>
              <w:bottom w:val="nil"/>
              <w:right w:val="nil"/>
            </w:tcBorders>
          </w:tcPr>
          <w:p w:rsidR="005366A8" w:rsidRPr="00DB5B9B" w:rsidRDefault="005366A8" w:rsidP="001845AC">
            <w:pPr>
              <w:pStyle w:val="TableBlockOutdent"/>
              <w:spacing w:line="240" w:lineRule="auto"/>
              <w:rPr>
                <w:szCs w:val="20"/>
                <w:rtl/>
              </w:rPr>
            </w:pPr>
            <w:r w:rsidRPr="00DB5B9B">
              <w:rPr>
                <w:szCs w:val="20"/>
                <w:rtl/>
              </w:rPr>
              <w:t>"ילד נכה" – כהגדרתו בפרק ט' לחוק הביטוח הלאומי;</w:t>
            </w:r>
          </w:p>
        </w:tc>
      </w:tr>
      <w:tr w:rsidR="005366A8" w:rsidRPr="00DB5B9B" w:rsidTr="001845AC">
        <w:trPr>
          <w:cantSplit/>
        </w:trPr>
        <w:tc>
          <w:tcPr>
            <w:tcW w:w="1869" w:type="dxa"/>
            <w:tcBorders>
              <w:top w:val="nil"/>
              <w:left w:val="nil"/>
              <w:bottom w:val="nil"/>
              <w:right w:val="nil"/>
            </w:tcBorders>
          </w:tcPr>
          <w:p w:rsidR="005366A8" w:rsidRPr="00DB5B9B" w:rsidRDefault="005366A8" w:rsidP="001845AC">
            <w:pPr>
              <w:pStyle w:val="TableSideHeading"/>
              <w:spacing w:line="240" w:lineRule="auto"/>
              <w:rPr>
                <w:rFonts w:cs="David"/>
                <w:szCs w:val="20"/>
                <w:rtl/>
              </w:rPr>
            </w:pPr>
          </w:p>
        </w:tc>
        <w:tc>
          <w:tcPr>
            <w:tcW w:w="624" w:type="dxa"/>
            <w:tcBorders>
              <w:top w:val="nil"/>
              <w:left w:val="nil"/>
              <w:bottom w:val="nil"/>
              <w:right w:val="nil"/>
            </w:tcBorders>
          </w:tcPr>
          <w:p w:rsidR="005366A8" w:rsidRPr="00DB5B9B" w:rsidRDefault="005366A8" w:rsidP="001845AC">
            <w:pPr>
              <w:pStyle w:val="TableText"/>
              <w:spacing w:line="240" w:lineRule="auto"/>
              <w:rPr>
                <w:rFonts w:cs="David"/>
                <w:szCs w:val="20"/>
                <w:rtl/>
              </w:rPr>
            </w:pPr>
          </w:p>
        </w:tc>
        <w:tc>
          <w:tcPr>
            <w:tcW w:w="7143" w:type="dxa"/>
            <w:gridSpan w:val="3"/>
            <w:tcBorders>
              <w:top w:val="nil"/>
              <w:left w:val="nil"/>
              <w:bottom w:val="nil"/>
              <w:right w:val="nil"/>
            </w:tcBorders>
          </w:tcPr>
          <w:p w:rsidR="005366A8" w:rsidRPr="00DB5B9B" w:rsidRDefault="005366A8" w:rsidP="001845AC">
            <w:pPr>
              <w:pStyle w:val="TableBlockOutdent"/>
              <w:spacing w:line="240" w:lineRule="auto"/>
              <w:rPr>
                <w:szCs w:val="20"/>
                <w:rtl/>
              </w:rPr>
            </w:pPr>
            <w:r w:rsidRPr="00DB5B9B">
              <w:rPr>
                <w:szCs w:val="20"/>
                <w:rtl/>
              </w:rPr>
              <w:t xml:space="preserve">"כולל" </w:t>
            </w:r>
            <w:r w:rsidRPr="00DB5B9B">
              <w:rPr>
                <w:szCs w:val="20"/>
                <w:rtl/>
              </w:rPr>
              <w:softHyphen/>
              <w:t>– מוסד תורני שזכאי לתמיכה ממשרד החינוך לפי חוק התקציב השנתי;</w:t>
            </w:r>
          </w:p>
        </w:tc>
      </w:tr>
      <w:tr w:rsidR="005366A8" w:rsidRPr="00DB5B9B" w:rsidTr="001845AC">
        <w:trPr>
          <w:cantSplit/>
        </w:trPr>
        <w:tc>
          <w:tcPr>
            <w:tcW w:w="1869" w:type="dxa"/>
            <w:tcBorders>
              <w:top w:val="nil"/>
              <w:left w:val="nil"/>
              <w:bottom w:val="nil"/>
              <w:right w:val="nil"/>
            </w:tcBorders>
          </w:tcPr>
          <w:p w:rsidR="005366A8" w:rsidRPr="00DB5B9B" w:rsidRDefault="005366A8" w:rsidP="001845AC">
            <w:pPr>
              <w:pStyle w:val="TableSideHeading"/>
              <w:spacing w:line="240" w:lineRule="auto"/>
              <w:rPr>
                <w:rFonts w:cs="David"/>
                <w:szCs w:val="20"/>
                <w:rtl/>
              </w:rPr>
            </w:pPr>
          </w:p>
        </w:tc>
        <w:tc>
          <w:tcPr>
            <w:tcW w:w="624" w:type="dxa"/>
            <w:tcBorders>
              <w:top w:val="nil"/>
              <w:left w:val="nil"/>
              <w:bottom w:val="nil"/>
              <w:right w:val="nil"/>
            </w:tcBorders>
          </w:tcPr>
          <w:p w:rsidR="005366A8" w:rsidRPr="00DB5B9B" w:rsidRDefault="005366A8" w:rsidP="001845AC">
            <w:pPr>
              <w:pStyle w:val="TableText"/>
              <w:spacing w:line="240" w:lineRule="auto"/>
              <w:rPr>
                <w:rFonts w:cs="David"/>
                <w:szCs w:val="20"/>
                <w:rtl/>
              </w:rPr>
            </w:pPr>
          </w:p>
        </w:tc>
        <w:tc>
          <w:tcPr>
            <w:tcW w:w="7143" w:type="dxa"/>
            <w:gridSpan w:val="3"/>
            <w:tcBorders>
              <w:top w:val="nil"/>
              <w:left w:val="nil"/>
              <w:bottom w:val="nil"/>
              <w:right w:val="nil"/>
            </w:tcBorders>
          </w:tcPr>
          <w:p w:rsidR="005366A8" w:rsidRPr="00DB5B9B" w:rsidRDefault="005366A8" w:rsidP="001845AC">
            <w:pPr>
              <w:pStyle w:val="TableBlockOutdent"/>
              <w:spacing w:line="240" w:lineRule="auto"/>
              <w:rPr>
                <w:szCs w:val="20"/>
                <w:rtl/>
              </w:rPr>
            </w:pPr>
            <w:r w:rsidRPr="00DB5B9B">
              <w:rPr>
                <w:szCs w:val="20"/>
                <w:rtl/>
              </w:rPr>
              <w:t>"רכב" – רכב מנועי כהגדרתו בסעיף 1 לפקודת התעבורה</w:t>
            </w:r>
            <w:r w:rsidRPr="00DB5B9B">
              <w:rPr>
                <w:rStyle w:val="FootnoteReference"/>
                <w:szCs w:val="20"/>
                <w:rtl/>
              </w:rPr>
              <w:footnoteReference w:id="23"/>
            </w:r>
            <w:r w:rsidRPr="00DB5B9B">
              <w:rPr>
                <w:szCs w:val="20"/>
                <w:rtl/>
              </w:rPr>
              <w:t>, למעט קטנוע שנפחו אינו עולה על 50 סמ"ק;</w:t>
            </w:r>
          </w:p>
        </w:tc>
      </w:tr>
      <w:tr w:rsidR="005366A8" w:rsidRPr="00DB5B9B" w:rsidTr="001845AC">
        <w:trPr>
          <w:cantSplit/>
        </w:trPr>
        <w:tc>
          <w:tcPr>
            <w:tcW w:w="1869" w:type="dxa"/>
            <w:tcBorders>
              <w:top w:val="nil"/>
              <w:left w:val="nil"/>
              <w:bottom w:val="nil"/>
              <w:right w:val="nil"/>
            </w:tcBorders>
          </w:tcPr>
          <w:p w:rsidR="005366A8" w:rsidRPr="00DB5B9B" w:rsidRDefault="005366A8" w:rsidP="001845AC">
            <w:pPr>
              <w:pStyle w:val="TableSideHeading"/>
              <w:spacing w:line="240" w:lineRule="auto"/>
              <w:rPr>
                <w:rFonts w:cs="David"/>
                <w:szCs w:val="20"/>
                <w:rtl/>
              </w:rPr>
            </w:pPr>
          </w:p>
        </w:tc>
        <w:tc>
          <w:tcPr>
            <w:tcW w:w="624" w:type="dxa"/>
            <w:tcBorders>
              <w:top w:val="nil"/>
              <w:left w:val="nil"/>
              <w:bottom w:val="nil"/>
              <w:right w:val="nil"/>
            </w:tcBorders>
          </w:tcPr>
          <w:p w:rsidR="005366A8" w:rsidRPr="00DB5B9B" w:rsidRDefault="005366A8" w:rsidP="001845AC">
            <w:pPr>
              <w:pStyle w:val="TableText"/>
              <w:spacing w:line="240" w:lineRule="auto"/>
              <w:rPr>
                <w:rFonts w:cs="David"/>
                <w:szCs w:val="20"/>
                <w:rtl/>
              </w:rPr>
            </w:pPr>
          </w:p>
        </w:tc>
        <w:tc>
          <w:tcPr>
            <w:tcW w:w="7143" w:type="dxa"/>
            <w:gridSpan w:val="3"/>
            <w:tcBorders>
              <w:top w:val="nil"/>
              <w:left w:val="nil"/>
              <w:bottom w:val="nil"/>
              <w:right w:val="nil"/>
            </w:tcBorders>
          </w:tcPr>
          <w:p w:rsidR="005366A8" w:rsidRPr="00DB5B9B" w:rsidRDefault="005366A8" w:rsidP="001845AC">
            <w:pPr>
              <w:pStyle w:val="TableBlockOutdent"/>
              <w:spacing w:line="240" w:lineRule="auto"/>
              <w:rPr>
                <w:szCs w:val="20"/>
                <w:rtl/>
              </w:rPr>
            </w:pPr>
            <w:r w:rsidRPr="00DB5B9B">
              <w:rPr>
                <w:szCs w:val="20"/>
                <w:rtl/>
              </w:rPr>
              <w:t>"תלמיד כולל" – אזרח ישראל או תושב קבע הלומד בכולל חודש לימודים מלא לפי כללים שיקבע שר החינוך.</w:t>
            </w:r>
          </w:p>
        </w:tc>
      </w:tr>
      <w:tr w:rsidR="005366A8" w:rsidRPr="00DB5B9B" w:rsidTr="001845AC">
        <w:trPr>
          <w:cantSplit/>
        </w:trPr>
        <w:tc>
          <w:tcPr>
            <w:tcW w:w="1869" w:type="dxa"/>
            <w:tcBorders>
              <w:top w:val="nil"/>
              <w:left w:val="nil"/>
              <w:bottom w:val="nil"/>
              <w:right w:val="nil"/>
            </w:tcBorders>
          </w:tcPr>
          <w:p w:rsidR="005366A8" w:rsidRPr="00DB5B9B" w:rsidRDefault="005366A8" w:rsidP="001845AC">
            <w:pPr>
              <w:pStyle w:val="TableSideHeading"/>
              <w:spacing w:line="240" w:lineRule="auto"/>
              <w:rPr>
                <w:rFonts w:cs="David"/>
                <w:szCs w:val="20"/>
                <w:rtl/>
              </w:rPr>
            </w:pPr>
            <w:r w:rsidRPr="00DB5B9B">
              <w:rPr>
                <w:rFonts w:cs="David"/>
                <w:szCs w:val="20"/>
                <w:rtl/>
              </w:rPr>
              <w:t xml:space="preserve">זכאות למלגת קיום </w:t>
            </w:r>
          </w:p>
        </w:tc>
        <w:tc>
          <w:tcPr>
            <w:tcW w:w="624" w:type="dxa"/>
            <w:tcBorders>
              <w:top w:val="nil"/>
              <w:left w:val="nil"/>
              <w:bottom w:val="nil"/>
              <w:right w:val="nil"/>
            </w:tcBorders>
          </w:tcPr>
          <w:p w:rsidR="005366A8" w:rsidRPr="00DB5B9B" w:rsidRDefault="005366A8" w:rsidP="001845AC">
            <w:pPr>
              <w:pStyle w:val="TableText"/>
              <w:spacing w:line="240" w:lineRule="auto"/>
              <w:rPr>
                <w:rFonts w:cs="David"/>
                <w:szCs w:val="20"/>
                <w:rtl/>
              </w:rPr>
            </w:pPr>
            <w:r w:rsidRPr="00DB5B9B">
              <w:rPr>
                <w:rFonts w:cs="David"/>
                <w:szCs w:val="20"/>
                <w:rtl/>
              </w:rPr>
              <w:t>3.</w:t>
            </w:r>
          </w:p>
        </w:tc>
        <w:tc>
          <w:tcPr>
            <w:tcW w:w="7143" w:type="dxa"/>
            <w:gridSpan w:val="3"/>
            <w:tcBorders>
              <w:top w:val="nil"/>
              <w:left w:val="nil"/>
              <w:bottom w:val="nil"/>
              <w:right w:val="nil"/>
            </w:tcBorders>
          </w:tcPr>
          <w:p w:rsidR="005366A8" w:rsidRPr="00DB5B9B" w:rsidRDefault="005366A8" w:rsidP="001845AC">
            <w:pPr>
              <w:pStyle w:val="TableBlock"/>
              <w:spacing w:line="240" w:lineRule="auto"/>
              <w:rPr>
                <w:rFonts w:cs="David"/>
                <w:szCs w:val="20"/>
                <w:u w:val="single"/>
              </w:rPr>
            </w:pPr>
            <w:r w:rsidRPr="00DB5B9B">
              <w:rPr>
                <w:rFonts w:cs="David"/>
                <w:szCs w:val="20"/>
                <w:rtl/>
              </w:rPr>
              <w:t>(א)</w:t>
            </w:r>
            <w:r w:rsidRPr="00DB5B9B">
              <w:rPr>
                <w:rFonts w:cs="David"/>
                <w:szCs w:val="20"/>
                <w:rtl/>
              </w:rPr>
              <w:tab/>
            </w:r>
            <w:r w:rsidRPr="0012072D">
              <w:rPr>
                <w:rFonts w:cs="David"/>
                <w:szCs w:val="20"/>
                <w:highlight w:val="yellow"/>
                <w:rtl/>
              </w:rPr>
              <w:t>על אף האמור בכל דין, תלמיד כולל שהכולל בו הוא לומד דיווח לממונה על לימודיו, שלו שלושה ילדים לפחות ושאין לו או לבת זוגו הכנסה בשנת המס יהיה זכאי, בכפוף להוראות סעיף 4, למלגת קיום בעד כל חודש לימודים מלא בשנת המס, בסכומים שיקבע שר החינוך,</w:t>
            </w:r>
            <w:r w:rsidRPr="00DB5B9B">
              <w:rPr>
                <w:rFonts w:cs="David"/>
                <w:szCs w:val="20"/>
                <w:rtl/>
              </w:rPr>
              <w:t xml:space="preserve"> ועל</w:t>
            </w:r>
            <w:r>
              <w:rPr>
                <w:rFonts w:cs="David"/>
                <w:szCs w:val="20"/>
                <w:rtl/>
              </w:rPr>
              <w:t xml:space="preserve"> </w:t>
            </w:r>
            <w:r w:rsidRPr="00DB5B9B">
              <w:rPr>
                <w:rFonts w:cs="David"/>
                <w:szCs w:val="20"/>
                <w:rtl/>
              </w:rPr>
              <w:t>פי תקציב שנתי שיוקצה לכך כאמור בסעיף קטן (ב).</w:t>
            </w:r>
          </w:p>
        </w:tc>
      </w:tr>
      <w:tr w:rsidR="005366A8" w:rsidRPr="00DB5B9B" w:rsidTr="001845AC">
        <w:trPr>
          <w:cantSplit/>
        </w:trPr>
        <w:tc>
          <w:tcPr>
            <w:tcW w:w="1869" w:type="dxa"/>
            <w:tcBorders>
              <w:top w:val="nil"/>
              <w:left w:val="nil"/>
              <w:bottom w:val="nil"/>
              <w:right w:val="nil"/>
            </w:tcBorders>
          </w:tcPr>
          <w:p w:rsidR="005366A8" w:rsidRPr="00DB5B9B" w:rsidRDefault="005366A8" w:rsidP="001845AC">
            <w:pPr>
              <w:pStyle w:val="TableSideHeading"/>
              <w:spacing w:line="240" w:lineRule="auto"/>
              <w:rPr>
                <w:rFonts w:cs="David"/>
                <w:szCs w:val="20"/>
                <w:rtl/>
              </w:rPr>
            </w:pPr>
          </w:p>
        </w:tc>
        <w:tc>
          <w:tcPr>
            <w:tcW w:w="624" w:type="dxa"/>
            <w:tcBorders>
              <w:top w:val="nil"/>
              <w:left w:val="nil"/>
              <w:bottom w:val="nil"/>
              <w:right w:val="nil"/>
            </w:tcBorders>
          </w:tcPr>
          <w:p w:rsidR="005366A8" w:rsidRPr="00DB5B9B" w:rsidRDefault="005366A8" w:rsidP="001845AC">
            <w:pPr>
              <w:pStyle w:val="TableText"/>
              <w:spacing w:line="240" w:lineRule="auto"/>
              <w:rPr>
                <w:rFonts w:cs="David"/>
                <w:szCs w:val="20"/>
                <w:rtl/>
              </w:rPr>
            </w:pPr>
          </w:p>
        </w:tc>
        <w:tc>
          <w:tcPr>
            <w:tcW w:w="7143" w:type="dxa"/>
            <w:gridSpan w:val="3"/>
            <w:tcBorders>
              <w:top w:val="nil"/>
              <w:left w:val="nil"/>
              <w:bottom w:val="nil"/>
              <w:right w:val="nil"/>
            </w:tcBorders>
          </w:tcPr>
          <w:p w:rsidR="005366A8" w:rsidRPr="00DB5B9B" w:rsidRDefault="005366A8" w:rsidP="001845AC">
            <w:pPr>
              <w:pStyle w:val="TableBlock"/>
              <w:spacing w:line="240" w:lineRule="auto"/>
              <w:rPr>
                <w:rFonts w:cs="David"/>
                <w:szCs w:val="20"/>
                <w:rtl/>
              </w:rPr>
            </w:pPr>
            <w:r w:rsidRPr="00DB5B9B">
              <w:rPr>
                <w:rFonts w:cs="David"/>
                <w:szCs w:val="20"/>
                <w:rtl/>
              </w:rPr>
              <w:t>(ב)</w:t>
            </w:r>
            <w:r w:rsidRPr="00DB5B9B">
              <w:rPr>
                <w:rFonts w:cs="David"/>
                <w:szCs w:val="20"/>
                <w:rtl/>
              </w:rPr>
              <w:tab/>
              <w:t xml:space="preserve">התקציב השנתי שיוקצה ייקבע בתחום פעולה נפרד בסעיף תקציב משרד החינוך בחוק התקציב השנתי. </w:t>
            </w:r>
          </w:p>
        </w:tc>
      </w:tr>
      <w:tr w:rsidR="005366A8" w:rsidRPr="00DB5B9B" w:rsidTr="001845AC">
        <w:trPr>
          <w:cantSplit/>
        </w:trPr>
        <w:tc>
          <w:tcPr>
            <w:tcW w:w="1869" w:type="dxa"/>
            <w:tcBorders>
              <w:top w:val="nil"/>
              <w:left w:val="nil"/>
              <w:bottom w:val="nil"/>
              <w:right w:val="nil"/>
            </w:tcBorders>
          </w:tcPr>
          <w:p w:rsidR="005366A8" w:rsidRPr="00DB5B9B" w:rsidRDefault="005366A8" w:rsidP="001845AC">
            <w:pPr>
              <w:pStyle w:val="TableSideHeading"/>
              <w:spacing w:line="240" w:lineRule="auto"/>
              <w:rPr>
                <w:rFonts w:cs="David"/>
                <w:szCs w:val="20"/>
                <w:rtl/>
              </w:rPr>
            </w:pPr>
            <w:r w:rsidRPr="00DB5B9B">
              <w:rPr>
                <w:rFonts w:cs="David"/>
                <w:szCs w:val="20"/>
                <w:rtl/>
              </w:rPr>
              <w:t>סייגים לזכאות</w:t>
            </w:r>
          </w:p>
        </w:tc>
        <w:tc>
          <w:tcPr>
            <w:tcW w:w="624" w:type="dxa"/>
            <w:tcBorders>
              <w:top w:val="nil"/>
              <w:left w:val="nil"/>
              <w:bottom w:val="nil"/>
              <w:right w:val="nil"/>
            </w:tcBorders>
          </w:tcPr>
          <w:p w:rsidR="005366A8" w:rsidRPr="00DB5B9B" w:rsidRDefault="005366A8" w:rsidP="001845AC">
            <w:pPr>
              <w:pStyle w:val="TableText"/>
              <w:spacing w:line="240" w:lineRule="auto"/>
              <w:rPr>
                <w:rFonts w:cs="David"/>
                <w:szCs w:val="20"/>
                <w:rtl/>
              </w:rPr>
            </w:pPr>
            <w:r w:rsidRPr="00DB5B9B">
              <w:rPr>
                <w:rFonts w:cs="David"/>
                <w:szCs w:val="20"/>
                <w:rtl/>
              </w:rPr>
              <w:t>4.</w:t>
            </w:r>
          </w:p>
        </w:tc>
        <w:tc>
          <w:tcPr>
            <w:tcW w:w="7143" w:type="dxa"/>
            <w:gridSpan w:val="3"/>
            <w:tcBorders>
              <w:top w:val="nil"/>
              <w:left w:val="nil"/>
              <w:bottom w:val="nil"/>
              <w:right w:val="nil"/>
            </w:tcBorders>
          </w:tcPr>
          <w:p w:rsidR="005366A8" w:rsidRPr="00DB5B9B" w:rsidRDefault="005366A8" w:rsidP="001845AC">
            <w:pPr>
              <w:pStyle w:val="TableBlock"/>
              <w:spacing w:line="240" w:lineRule="auto"/>
              <w:rPr>
                <w:rFonts w:cs="David"/>
                <w:szCs w:val="20"/>
                <w:rtl/>
              </w:rPr>
            </w:pPr>
            <w:r w:rsidRPr="00DB5B9B">
              <w:rPr>
                <w:rFonts w:cs="David"/>
                <w:szCs w:val="20"/>
                <w:rtl/>
              </w:rPr>
              <w:t>הזכאות למלגת קיום לפי סעיף 2 לא תחול על תלמיד כולל שהתקיים בו במועד כלשהו בשנת המס או בשנת המס שקדמה לה אחד מאלה:</w:t>
            </w:r>
          </w:p>
        </w:tc>
      </w:tr>
      <w:tr w:rsidR="005366A8" w:rsidRPr="00DB5B9B" w:rsidTr="001845AC">
        <w:trPr>
          <w:cantSplit/>
        </w:trPr>
        <w:tc>
          <w:tcPr>
            <w:tcW w:w="1869" w:type="dxa"/>
            <w:tcBorders>
              <w:top w:val="nil"/>
              <w:left w:val="nil"/>
              <w:bottom w:val="nil"/>
              <w:right w:val="nil"/>
            </w:tcBorders>
          </w:tcPr>
          <w:p w:rsidR="005366A8" w:rsidRPr="00DB5B9B" w:rsidRDefault="005366A8" w:rsidP="001845AC">
            <w:pPr>
              <w:pStyle w:val="TableSideHeading"/>
              <w:spacing w:line="240" w:lineRule="auto"/>
              <w:rPr>
                <w:rFonts w:cs="David"/>
                <w:szCs w:val="20"/>
              </w:rPr>
            </w:pPr>
          </w:p>
        </w:tc>
        <w:tc>
          <w:tcPr>
            <w:tcW w:w="624" w:type="dxa"/>
            <w:tcBorders>
              <w:top w:val="nil"/>
              <w:left w:val="nil"/>
              <w:bottom w:val="nil"/>
              <w:right w:val="nil"/>
            </w:tcBorders>
          </w:tcPr>
          <w:p w:rsidR="005366A8" w:rsidRPr="00DB5B9B" w:rsidRDefault="005366A8" w:rsidP="001845AC">
            <w:pPr>
              <w:pStyle w:val="TableText"/>
              <w:spacing w:line="240" w:lineRule="auto"/>
              <w:rPr>
                <w:rFonts w:cs="David"/>
                <w:szCs w:val="20"/>
              </w:rPr>
            </w:pPr>
          </w:p>
        </w:tc>
        <w:tc>
          <w:tcPr>
            <w:tcW w:w="7143" w:type="dxa"/>
            <w:gridSpan w:val="3"/>
            <w:tcBorders>
              <w:top w:val="nil"/>
              <w:left w:val="nil"/>
              <w:bottom w:val="nil"/>
              <w:right w:val="nil"/>
            </w:tcBorders>
          </w:tcPr>
          <w:p w:rsidR="005366A8" w:rsidRPr="00DB5B9B" w:rsidRDefault="005366A8" w:rsidP="001845AC">
            <w:pPr>
              <w:pStyle w:val="TableBlock"/>
              <w:spacing w:line="240" w:lineRule="auto"/>
              <w:rPr>
                <w:rFonts w:cs="David"/>
                <w:szCs w:val="20"/>
              </w:rPr>
            </w:pPr>
            <w:r w:rsidRPr="00DB5B9B">
              <w:rPr>
                <w:rFonts w:cs="David"/>
                <w:szCs w:val="20"/>
                <w:rtl/>
              </w:rPr>
              <w:t>(1)</w:t>
            </w:r>
            <w:r w:rsidRPr="00DB5B9B">
              <w:rPr>
                <w:rFonts w:cs="David"/>
                <w:szCs w:val="20"/>
                <w:rtl/>
              </w:rPr>
              <w:tab/>
              <w:t>לו, לבת זוגו או לילדו הסמוך על שולחנו זכות במקרקעין, בין בישראל ובין מחוץ לישראל, שאינה דירת מגורים יחידה, ובלבד שחלקם יחד בזכות כאמור עולה על 50%; לעניין זה, "דירת מגורים" ו"זכות במקרקעין" – כהגדרתם בחוק מיסוי מקרקעין (שבח ורכישה), התשכ"ג–1963;</w:t>
            </w:r>
          </w:p>
        </w:tc>
      </w:tr>
      <w:tr w:rsidR="005366A8" w:rsidRPr="00DB5B9B" w:rsidTr="001845AC">
        <w:trPr>
          <w:cantSplit/>
        </w:trPr>
        <w:tc>
          <w:tcPr>
            <w:tcW w:w="1869" w:type="dxa"/>
            <w:tcBorders>
              <w:top w:val="nil"/>
              <w:left w:val="nil"/>
              <w:bottom w:val="nil"/>
              <w:right w:val="nil"/>
            </w:tcBorders>
          </w:tcPr>
          <w:p w:rsidR="005366A8" w:rsidRPr="00DB5B9B" w:rsidRDefault="005366A8" w:rsidP="001845AC">
            <w:pPr>
              <w:pStyle w:val="TableSideHeading"/>
              <w:spacing w:line="240" w:lineRule="auto"/>
              <w:rPr>
                <w:rFonts w:cs="David"/>
                <w:szCs w:val="20"/>
              </w:rPr>
            </w:pPr>
          </w:p>
        </w:tc>
        <w:tc>
          <w:tcPr>
            <w:tcW w:w="624" w:type="dxa"/>
            <w:tcBorders>
              <w:top w:val="nil"/>
              <w:left w:val="nil"/>
              <w:bottom w:val="nil"/>
              <w:right w:val="nil"/>
            </w:tcBorders>
          </w:tcPr>
          <w:p w:rsidR="005366A8" w:rsidRPr="00DB5B9B" w:rsidRDefault="005366A8" w:rsidP="001845AC">
            <w:pPr>
              <w:pStyle w:val="TableText"/>
              <w:spacing w:line="240" w:lineRule="auto"/>
              <w:rPr>
                <w:rFonts w:cs="David"/>
                <w:szCs w:val="20"/>
              </w:rPr>
            </w:pPr>
          </w:p>
        </w:tc>
        <w:tc>
          <w:tcPr>
            <w:tcW w:w="7143" w:type="dxa"/>
            <w:gridSpan w:val="3"/>
            <w:tcBorders>
              <w:top w:val="nil"/>
              <w:left w:val="nil"/>
              <w:bottom w:val="nil"/>
              <w:right w:val="nil"/>
            </w:tcBorders>
          </w:tcPr>
          <w:p w:rsidR="005366A8" w:rsidRPr="00DB5B9B" w:rsidRDefault="005366A8" w:rsidP="001845AC">
            <w:pPr>
              <w:pStyle w:val="TableBlock"/>
              <w:spacing w:line="240" w:lineRule="auto"/>
              <w:rPr>
                <w:rFonts w:cs="David"/>
                <w:szCs w:val="20"/>
                <w:rtl/>
              </w:rPr>
            </w:pPr>
            <w:r w:rsidRPr="00DB5B9B">
              <w:rPr>
                <w:rFonts w:cs="David"/>
                <w:szCs w:val="20"/>
                <w:rtl/>
              </w:rPr>
              <w:t>(2)</w:t>
            </w:r>
            <w:r w:rsidRPr="00DB5B9B">
              <w:rPr>
                <w:rFonts w:cs="David"/>
                <w:szCs w:val="20"/>
                <w:rtl/>
              </w:rPr>
              <w:tab/>
              <w:t>בבעלותו, בהחזקתו או בשימושו של תלמיד הכולל, בת זוגו או ילדו,</w:t>
            </w:r>
            <w:r>
              <w:rPr>
                <w:rFonts w:cs="David"/>
                <w:szCs w:val="20"/>
                <w:rtl/>
              </w:rPr>
              <w:t xml:space="preserve"> </w:t>
            </w:r>
            <w:r w:rsidRPr="00DB5B9B">
              <w:rPr>
                <w:rFonts w:cs="David"/>
                <w:szCs w:val="20"/>
                <w:rtl/>
              </w:rPr>
              <w:t>רכב;</w:t>
            </w:r>
          </w:p>
        </w:tc>
      </w:tr>
      <w:tr w:rsidR="005366A8" w:rsidRPr="00DB5B9B" w:rsidTr="001845AC">
        <w:trPr>
          <w:cantSplit/>
        </w:trPr>
        <w:tc>
          <w:tcPr>
            <w:tcW w:w="1869" w:type="dxa"/>
            <w:tcBorders>
              <w:top w:val="nil"/>
              <w:left w:val="nil"/>
              <w:bottom w:val="nil"/>
              <w:right w:val="nil"/>
            </w:tcBorders>
          </w:tcPr>
          <w:p w:rsidR="005366A8" w:rsidRPr="00DB5B9B" w:rsidRDefault="005366A8" w:rsidP="001845AC">
            <w:pPr>
              <w:pStyle w:val="TableSideHeading"/>
              <w:spacing w:line="240" w:lineRule="auto"/>
              <w:rPr>
                <w:rFonts w:cs="David"/>
                <w:szCs w:val="20"/>
              </w:rPr>
            </w:pPr>
          </w:p>
        </w:tc>
        <w:tc>
          <w:tcPr>
            <w:tcW w:w="624" w:type="dxa"/>
            <w:tcBorders>
              <w:top w:val="nil"/>
              <w:left w:val="nil"/>
              <w:bottom w:val="nil"/>
              <w:right w:val="nil"/>
            </w:tcBorders>
          </w:tcPr>
          <w:p w:rsidR="005366A8" w:rsidRPr="00DB5B9B" w:rsidRDefault="005366A8" w:rsidP="001845AC">
            <w:pPr>
              <w:pStyle w:val="TableText"/>
              <w:spacing w:line="240" w:lineRule="auto"/>
              <w:rPr>
                <w:rFonts w:cs="David"/>
                <w:szCs w:val="20"/>
              </w:rPr>
            </w:pPr>
          </w:p>
        </w:tc>
        <w:tc>
          <w:tcPr>
            <w:tcW w:w="7143" w:type="dxa"/>
            <w:gridSpan w:val="3"/>
            <w:tcBorders>
              <w:top w:val="nil"/>
              <w:left w:val="nil"/>
              <w:bottom w:val="nil"/>
              <w:right w:val="nil"/>
            </w:tcBorders>
          </w:tcPr>
          <w:p w:rsidR="005366A8" w:rsidRPr="00DB5B9B" w:rsidRDefault="005366A8" w:rsidP="001845AC">
            <w:pPr>
              <w:pStyle w:val="TableBlock"/>
              <w:spacing w:line="240" w:lineRule="auto"/>
              <w:rPr>
                <w:rFonts w:cs="David"/>
                <w:szCs w:val="20"/>
                <w:rtl/>
              </w:rPr>
            </w:pPr>
            <w:r w:rsidRPr="00DB5B9B">
              <w:rPr>
                <w:rFonts w:cs="David"/>
                <w:szCs w:val="20"/>
                <w:rtl/>
              </w:rPr>
              <w:t>(3)</w:t>
            </w:r>
            <w:r w:rsidRPr="00DB5B9B">
              <w:rPr>
                <w:rFonts w:cs="David"/>
                <w:szCs w:val="20"/>
                <w:rtl/>
              </w:rPr>
              <w:tab/>
              <w:t>בבעלותו, בהחזקתו או בשימושו העיקרי, נכס מסוג שקבע שר החינוך.</w:t>
            </w:r>
          </w:p>
        </w:tc>
      </w:tr>
      <w:tr w:rsidR="005366A8" w:rsidRPr="00DB5B9B" w:rsidTr="001845AC">
        <w:trPr>
          <w:cantSplit/>
        </w:trPr>
        <w:tc>
          <w:tcPr>
            <w:tcW w:w="1869" w:type="dxa"/>
            <w:tcBorders>
              <w:top w:val="nil"/>
              <w:left w:val="nil"/>
              <w:bottom w:val="nil"/>
              <w:right w:val="nil"/>
            </w:tcBorders>
          </w:tcPr>
          <w:p w:rsidR="005366A8" w:rsidRPr="00DB5B9B" w:rsidRDefault="005366A8" w:rsidP="001845AC">
            <w:pPr>
              <w:pStyle w:val="TableSideHeading"/>
              <w:spacing w:line="240" w:lineRule="auto"/>
              <w:rPr>
                <w:rFonts w:cs="David"/>
                <w:szCs w:val="20"/>
                <w:rtl/>
              </w:rPr>
            </w:pPr>
            <w:r w:rsidRPr="00DB5B9B">
              <w:rPr>
                <w:rFonts w:cs="David"/>
                <w:szCs w:val="20"/>
                <w:rtl/>
              </w:rPr>
              <w:t>תנאים לקבלת מלגת הקיום</w:t>
            </w:r>
          </w:p>
        </w:tc>
        <w:tc>
          <w:tcPr>
            <w:tcW w:w="624" w:type="dxa"/>
            <w:tcBorders>
              <w:top w:val="nil"/>
              <w:left w:val="nil"/>
              <w:bottom w:val="nil"/>
              <w:right w:val="nil"/>
            </w:tcBorders>
          </w:tcPr>
          <w:p w:rsidR="005366A8" w:rsidRPr="00DB5B9B" w:rsidRDefault="005366A8" w:rsidP="001845AC">
            <w:pPr>
              <w:pStyle w:val="TableText"/>
              <w:spacing w:line="240" w:lineRule="auto"/>
              <w:rPr>
                <w:rFonts w:cs="David"/>
                <w:szCs w:val="20"/>
              </w:rPr>
            </w:pPr>
            <w:r w:rsidRPr="00DB5B9B">
              <w:rPr>
                <w:rFonts w:cs="David"/>
                <w:szCs w:val="20"/>
                <w:rtl/>
              </w:rPr>
              <w:t>5.</w:t>
            </w:r>
          </w:p>
        </w:tc>
        <w:tc>
          <w:tcPr>
            <w:tcW w:w="7143" w:type="dxa"/>
            <w:gridSpan w:val="3"/>
            <w:tcBorders>
              <w:top w:val="nil"/>
              <w:left w:val="nil"/>
              <w:bottom w:val="nil"/>
              <w:right w:val="nil"/>
            </w:tcBorders>
          </w:tcPr>
          <w:p w:rsidR="005366A8" w:rsidRPr="00DB5B9B" w:rsidRDefault="005366A8" w:rsidP="001845AC">
            <w:pPr>
              <w:pStyle w:val="TableBlock"/>
              <w:spacing w:line="240" w:lineRule="auto"/>
              <w:rPr>
                <w:rFonts w:cs="David"/>
                <w:szCs w:val="20"/>
                <w:rtl/>
              </w:rPr>
            </w:pPr>
            <w:r w:rsidRPr="00DB5B9B">
              <w:rPr>
                <w:rFonts w:cs="David"/>
                <w:szCs w:val="20"/>
                <w:rtl/>
              </w:rPr>
              <w:t>תלמיד כולל אשר זכאי למלגת קיום לפי הוראות חוק זה יגיש לממונה שמינה שר החינוך לענין חוק זה תביעה לקבלת מלגת הקיום בטופס ובצירוף המידע כפי שיקבע שר החינוך ובמועד שיקבע כאמור; הממונה יברר את התביעה ויחליט על תשלום מלגת הקיום ועל תקופתה.</w:t>
            </w:r>
          </w:p>
        </w:tc>
      </w:tr>
      <w:tr w:rsidR="005366A8" w:rsidRPr="00DB5B9B" w:rsidTr="001845AC">
        <w:trPr>
          <w:cantSplit/>
        </w:trPr>
        <w:tc>
          <w:tcPr>
            <w:tcW w:w="1869" w:type="dxa"/>
            <w:tcBorders>
              <w:top w:val="nil"/>
              <w:left w:val="nil"/>
              <w:bottom w:val="nil"/>
              <w:right w:val="nil"/>
            </w:tcBorders>
          </w:tcPr>
          <w:p w:rsidR="005366A8" w:rsidRPr="00DB5B9B" w:rsidRDefault="005366A8" w:rsidP="001845AC">
            <w:pPr>
              <w:pStyle w:val="TableSideHeading"/>
              <w:spacing w:line="240" w:lineRule="auto"/>
              <w:rPr>
                <w:rFonts w:cs="David"/>
                <w:szCs w:val="20"/>
                <w:rtl/>
              </w:rPr>
            </w:pPr>
            <w:r w:rsidRPr="00DB5B9B">
              <w:rPr>
                <w:rFonts w:cs="David"/>
                <w:szCs w:val="20"/>
                <w:rtl/>
              </w:rPr>
              <w:t>ביצוע ותקנות</w:t>
            </w:r>
          </w:p>
        </w:tc>
        <w:tc>
          <w:tcPr>
            <w:tcW w:w="624" w:type="dxa"/>
            <w:tcBorders>
              <w:top w:val="nil"/>
              <w:left w:val="nil"/>
              <w:bottom w:val="nil"/>
              <w:right w:val="nil"/>
            </w:tcBorders>
          </w:tcPr>
          <w:p w:rsidR="005366A8" w:rsidRPr="00DB5B9B" w:rsidRDefault="005366A8" w:rsidP="001845AC">
            <w:pPr>
              <w:pStyle w:val="TableText"/>
              <w:spacing w:line="240" w:lineRule="auto"/>
              <w:rPr>
                <w:rFonts w:cs="David"/>
                <w:szCs w:val="20"/>
                <w:rtl/>
              </w:rPr>
            </w:pPr>
            <w:r w:rsidRPr="00DB5B9B">
              <w:rPr>
                <w:rFonts w:cs="David"/>
                <w:szCs w:val="20"/>
                <w:rtl/>
              </w:rPr>
              <w:t>6.</w:t>
            </w:r>
          </w:p>
        </w:tc>
        <w:tc>
          <w:tcPr>
            <w:tcW w:w="7143" w:type="dxa"/>
            <w:gridSpan w:val="3"/>
            <w:tcBorders>
              <w:top w:val="nil"/>
              <w:left w:val="nil"/>
              <w:bottom w:val="nil"/>
              <w:right w:val="nil"/>
            </w:tcBorders>
          </w:tcPr>
          <w:p w:rsidR="005366A8" w:rsidRPr="00DB5B9B" w:rsidRDefault="005366A8" w:rsidP="001845AC">
            <w:pPr>
              <w:pStyle w:val="TableBlock"/>
              <w:spacing w:line="240" w:lineRule="auto"/>
              <w:rPr>
                <w:rFonts w:cs="David"/>
                <w:szCs w:val="20"/>
                <w:rtl/>
              </w:rPr>
            </w:pPr>
            <w:r w:rsidRPr="00DB5B9B">
              <w:rPr>
                <w:rFonts w:cs="David"/>
                <w:szCs w:val="20"/>
                <w:rtl/>
              </w:rPr>
              <w:t>שר החינוך ממונה על ביצוע חוק זה והוא רשאי להתקין תקנות לביצועו.</w:t>
            </w:r>
          </w:p>
        </w:tc>
      </w:tr>
      <w:tr w:rsidR="005366A8" w:rsidRPr="00DB5B9B" w:rsidTr="001845AC">
        <w:trPr>
          <w:cantSplit/>
        </w:trPr>
        <w:tc>
          <w:tcPr>
            <w:tcW w:w="1869" w:type="dxa"/>
            <w:tcBorders>
              <w:top w:val="nil"/>
              <w:left w:val="nil"/>
              <w:bottom w:val="nil"/>
              <w:right w:val="nil"/>
            </w:tcBorders>
          </w:tcPr>
          <w:p w:rsidR="005366A8" w:rsidRPr="00DB5B9B" w:rsidRDefault="005366A8" w:rsidP="001845AC">
            <w:pPr>
              <w:pStyle w:val="TableSideHeading"/>
              <w:spacing w:line="240" w:lineRule="auto"/>
              <w:rPr>
                <w:rFonts w:cs="David"/>
                <w:szCs w:val="20"/>
                <w:rtl/>
              </w:rPr>
            </w:pPr>
            <w:r w:rsidRPr="00DB5B9B">
              <w:rPr>
                <w:rFonts w:cs="David"/>
                <w:szCs w:val="20"/>
                <w:rtl/>
              </w:rPr>
              <w:t>תחילה</w:t>
            </w:r>
          </w:p>
        </w:tc>
        <w:tc>
          <w:tcPr>
            <w:tcW w:w="624" w:type="dxa"/>
            <w:tcBorders>
              <w:top w:val="nil"/>
              <w:left w:val="nil"/>
              <w:bottom w:val="nil"/>
              <w:right w:val="nil"/>
            </w:tcBorders>
          </w:tcPr>
          <w:p w:rsidR="005366A8" w:rsidRPr="00DB5B9B" w:rsidRDefault="005366A8" w:rsidP="001845AC">
            <w:pPr>
              <w:pStyle w:val="TableText"/>
              <w:spacing w:line="240" w:lineRule="auto"/>
              <w:rPr>
                <w:rFonts w:cs="David"/>
                <w:szCs w:val="20"/>
                <w:rtl/>
              </w:rPr>
            </w:pPr>
            <w:r w:rsidRPr="00DB5B9B">
              <w:rPr>
                <w:rFonts w:cs="David"/>
                <w:szCs w:val="20"/>
                <w:rtl/>
              </w:rPr>
              <w:t>7.</w:t>
            </w:r>
          </w:p>
        </w:tc>
        <w:tc>
          <w:tcPr>
            <w:tcW w:w="7143" w:type="dxa"/>
            <w:gridSpan w:val="3"/>
            <w:tcBorders>
              <w:top w:val="nil"/>
              <w:left w:val="nil"/>
              <w:bottom w:val="nil"/>
              <w:right w:val="nil"/>
            </w:tcBorders>
          </w:tcPr>
          <w:p w:rsidR="005366A8" w:rsidRPr="00DB5B9B" w:rsidRDefault="005366A8" w:rsidP="001845AC">
            <w:pPr>
              <w:pStyle w:val="TableBlock"/>
              <w:spacing w:line="240" w:lineRule="auto"/>
              <w:rPr>
                <w:rFonts w:cs="David"/>
                <w:szCs w:val="20"/>
                <w:rtl/>
              </w:rPr>
            </w:pPr>
            <w:r w:rsidRPr="00DB5B9B">
              <w:rPr>
                <w:rFonts w:cs="David"/>
                <w:szCs w:val="20"/>
                <w:rtl/>
              </w:rPr>
              <w:t>תחילתו של חוק זה בשנת התקציב 2011.</w:t>
            </w:r>
          </w:p>
        </w:tc>
      </w:tr>
    </w:tbl>
    <w:p w:rsidR="005366A8" w:rsidRPr="00DB5B9B" w:rsidRDefault="005366A8" w:rsidP="005366A8">
      <w:pPr>
        <w:pStyle w:val="HeadDivreiHesber"/>
        <w:spacing w:line="240" w:lineRule="auto"/>
        <w:rPr>
          <w:rFonts w:cs="David"/>
          <w:szCs w:val="20"/>
          <w:rtl/>
        </w:rPr>
      </w:pPr>
      <w:r w:rsidRPr="00DB5B9B">
        <w:rPr>
          <w:rFonts w:cs="David"/>
          <w:szCs w:val="20"/>
          <w:rtl/>
        </w:rPr>
        <w:t>דברי הסבר</w:t>
      </w:r>
    </w:p>
    <w:p w:rsidR="005366A8" w:rsidRPr="00DB5B9B" w:rsidRDefault="005366A8" w:rsidP="005366A8">
      <w:pPr>
        <w:pStyle w:val="Hesber"/>
        <w:spacing w:line="240" w:lineRule="auto"/>
        <w:rPr>
          <w:rFonts w:cs="David"/>
          <w:szCs w:val="20"/>
          <w:rtl/>
        </w:rPr>
      </w:pPr>
      <w:r w:rsidRPr="00DB5B9B">
        <w:rPr>
          <w:rFonts w:cs="David"/>
          <w:szCs w:val="20"/>
          <w:rtl/>
        </w:rPr>
        <w:t>הצעת חוק זו מעגנת את זכותם של תלמידי כוללים שתורתם היא אומנותם למלגת קיום וקובעת כללים להענקתה.</w:t>
      </w:r>
    </w:p>
    <w:p w:rsidR="005366A8" w:rsidRPr="00DB5B9B" w:rsidRDefault="005366A8" w:rsidP="005366A8">
      <w:pPr>
        <w:pStyle w:val="Hesber"/>
        <w:spacing w:line="240" w:lineRule="auto"/>
        <w:rPr>
          <w:rFonts w:cs="David"/>
          <w:szCs w:val="20"/>
          <w:rtl/>
        </w:rPr>
      </w:pPr>
      <w:r w:rsidRPr="00DB5B9B">
        <w:rPr>
          <w:rFonts w:cs="David"/>
          <w:szCs w:val="20"/>
          <w:rtl/>
        </w:rPr>
        <w:t xml:space="preserve">להווי ידוע כי לימוד התורה מהווה ערך מרכזי עבור העם היהודי. לאורך ההיסטוריה ארוכת היומין של עם ישראל עמד לימוד התורה במרכז החיים היהודיים, כציווי מדאורייתא ומפירושם של חכמינו זיכרונם לברכה. ערך זה מתמצה בנאמר במשנה במסכת פאה "ותלמוד תורה כנגד כולם". </w:t>
      </w:r>
    </w:p>
    <w:p w:rsidR="005366A8" w:rsidRPr="00DB5B9B" w:rsidRDefault="005366A8" w:rsidP="005366A8">
      <w:pPr>
        <w:pStyle w:val="Hesber"/>
        <w:spacing w:line="240" w:lineRule="auto"/>
        <w:rPr>
          <w:rFonts w:cs="David"/>
          <w:szCs w:val="20"/>
          <w:rtl/>
        </w:rPr>
      </w:pPr>
      <w:r w:rsidRPr="0012072D">
        <w:rPr>
          <w:rFonts w:cs="David"/>
          <w:szCs w:val="20"/>
          <w:highlight w:val="yellow"/>
          <w:rtl/>
        </w:rPr>
        <w:t>יסוד מוסד באמונה היהודית הוא שבזכות לימוד התורה ע"י תלמידים חכמים המקדישים את כל עיתותיהם לתורה, מתקיים העולם וישראל, כעם עולם. קולה של התורה לא נדם גם בתקופות האפלות ביותר בהיסטוריה היהודית וציבור גדול מאוד בארץ רואה בלימוד התורה המתקיים בכוללים מקדמת דנא את תמצית הווייתו של העם היהודי וערובה להמשכיותו לנצח נצחים</w:t>
      </w:r>
      <w:r w:rsidRPr="00DB5B9B">
        <w:rPr>
          <w:rFonts w:cs="David"/>
          <w:szCs w:val="20"/>
          <w:rtl/>
        </w:rPr>
        <w:t xml:space="preserve">. </w:t>
      </w:r>
    </w:p>
    <w:p w:rsidR="005366A8" w:rsidRPr="00DB5B9B" w:rsidRDefault="005366A8" w:rsidP="005366A8">
      <w:pPr>
        <w:pStyle w:val="Hesber"/>
        <w:spacing w:line="240" w:lineRule="auto"/>
        <w:rPr>
          <w:rFonts w:cs="David"/>
          <w:szCs w:val="20"/>
          <w:rtl/>
        </w:rPr>
      </w:pPr>
      <w:r>
        <w:rPr>
          <w:rFonts w:cs="David"/>
          <w:szCs w:val="20"/>
          <w:rtl/>
        </w:rPr>
        <w:t xml:space="preserve"> </w:t>
      </w:r>
      <w:r w:rsidRPr="00DB5B9B">
        <w:rPr>
          <w:rFonts w:cs="David"/>
          <w:szCs w:val="20"/>
          <w:rtl/>
        </w:rPr>
        <w:t xml:space="preserve">משום כך, נקבע בחוקי התקציב השנתיים מחוק התקציב לשנת 1980 ואילך סעיף תקציבי אשר קבע הבטחת הכנסת מינימום לאברכים הלומדים בכוללים בהתאם לקריטריונים שנקבעו בתחילה על ידי משרד הדתות ובהמשך על ידי משרד החינוך. </w:t>
      </w:r>
    </w:p>
    <w:p w:rsidR="005366A8" w:rsidRPr="00DB5B9B" w:rsidRDefault="005366A8" w:rsidP="005366A8">
      <w:pPr>
        <w:pStyle w:val="Hesber"/>
        <w:spacing w:line="240" w:lineRule="auto"/>
        <w:rPr>
          <w:rFonts w:cs="David"/>
          <w:szCs w:val="20"/>
          <w:rtl/>
        </w:rPr>
      </w:pPr>
      <w:r w:rsidRPr="00DB5B9B">
        <w:rPr>
          <w:rFonts w:cs="David"/>
          <w:szCs w:val="20"/>
          <w:rtl/>
        </w:rPr>
        <w:t xml:space="preserve"> בעניין זה הוגשו שתי עתירות לבית המשפט העליון. בעתירה הראשונה (בג"צ 200/83 </w:t>
      </w:r>
      <w:r w:rsidRPr="00DB5B9B">
        <w:rPr>
          <w:rFonts w:cs="David"/>
          <w:b/>
          <w:bCs/>
          <w:szCs w:val="20"/>
          <w:rtl/>
        </w:rPr>
        <w:t>מוחמד וותאד נ'</w:t>
      </w:r>
      <w:r w:rsidRPr="00DB5B9B">
        <w:rPr>
          <w:rFonts w:cs="David"/>
          <w:szCs w:val="20"/>
          <w:rtl/>
        </w:rPr>
        <w:t xml:space="preserve"> </w:t>
      </w:r>
      <w:r w:rsidRPr="00DB5B9B">
        <w:rPr>
          <w:rFonts w:cs="David"/>
          <w:b/>
          <w:bCs/>
          <w:szCs w:val="20"/>
          <w:rtl/>
        </w:rPr>
        <w:t>שר האוצר</w:t>
      </w:r>
      <w:r w:rsidRPr="00DB5B9B">
        <w:rPr>
          <w:rFonts w:cs="David"/>
          <w:szCs w:val="20"/>
          <w:rtl/>
        </w:rPr>
        <w:t>) נטען כי</w:t>
      </w:r>
      <w:r>
        <w:rPr>
          <w:rFonts w:cs="David"/>
          <w:szCs w:val="20"/>
          <w:rtl/>
        </w:rPr>
        <w:t xml:space="preserve"> </w:t>
      </w:r>
      <w:r w:rsidRPr="00DB5B9B">
        <w:rPr>
          <w:rFonts w:cs="David"/>
          <w:szCs w:val="20"/>
          <w:rtl/>
        </w:rPr>
        <w:t xml:space="preserve">הקריטריונים מתאימים לתלמידי ישיבות במוסדות דת יהודיים בלבד ואינם חלים לגבי מוסדות דת לא יהודיים. בית המשפט העליון דחה את העתירה וקיבל את טענת המדינה כי ישנם טעמים לייחד הסדר ביחס לאברכים על מנת שיוכלו לעסוק בתורה. בעתירה השניה (בג"צ 4124/00 </w:t>
      </w:r>
      <w:r w:rsidRPr="00DB5B9B">
        <w:rPr>
          <w:rFonts w:cs="David"/>
          <w:b/>
          <w:bCs/>
          <w:szCs w:val="20"/>
          <w:rtl/>
        </w:rPr>
        <w:t>ארנן יקותיאלי ואח' נ' השר לענייני דתות ואח'</w:t>
      </w:r>
      <w:r w:rsidRPr="00DB5B9B">
        <w:rPr>
          <w:rFonts w:cs="David"/>
          <w:szCs w:val="20"/>
          <w:rtl/>
        </w:rPr>
        <w:t>), נטען כי הסעיף התקציבי והקריטריונים להענקת הבטחת ההכנסה לאברכים פוגעים בשוויון משום שאינם חלים על מי שלומדים במוסדות שאינם מוסדות דת. לאחר עשר שנים מהמועד שבו הוגשה העתירה פסק בית המשפט העליון ברוב דעות כי הסעיף התקציבי מפר את החובה לחלק את תמיכות המדינה בשוויון ולכן אינו יכול להמשיך ולהיכלל במתכונתו הנוכחית בחוקי התקציב החל מחוק התקציב לשנת 2011 ואילך.</w:t>
      </w:r>
    </w:p>
    <w:p w:rsidR="005366A8" w:rsidRPr="00DB5B9B" w:rsidRDefault="005366A8" w:rsidP="005366A8">
      <w:pPr>
        <w:pStyle w:val="Hesber"/>
        <w:spacing w:line="240" w:lineRule="auto"/>
        <w:rPr>
          <w:rFonts w:cs="David"/>
          <w:szCs w:val="20"/>
          <w:rtl/>
        </w:rPr>
      </w:pPr>
      <w:r w:rsidRPr="00DB5B9B">
        <w:rPr>
          <w:rFonts w:cs="David"/>
          <w:szCs w:val="20"/>
          <w:rtl/>
        </w:rPr>
        <w:t xml:space="preserve">עם זאת, בית המשפט העליון ציין שהוא מקבל באופן עקרוני את עמדת המדינה כי יש לבחון את מכלול הסדרי התמיכה הרלוונטיים לתלמידים ואת הנתונים הקיימים בענין זה. לפיכך, נקבע כי ביטול הסעיף התקציבי ייעשה רק החל מחוק התקציב השנתי לשנת 2011, וזאת על מנת להעניק למחוקק שהות לערוך בחינה מקיפה להסדר, לבחון את מכלול ההסדרים הקיים ולגבש הכרעה בסוגיה זו. </w:t>
      </w:r>
    </w:p>
    <w:p w:rsidR="005366A8" w:rsidRPr="0012072D" w:rsidRDefault="005366A8" w:rsidP="005366A8">
      <w:pPr>
        <w:pStyle w:val="Hesber"/>
        <w:spacing w:line="240" w:lineRule="auto"/>
        <w:rPr>
          <w:rFonts w:cs="David"/>
          <w:szCs w:val="20"/>
          <w:highlight w:val="yellow"/>
          <w:rtl/>
        </w:rPr>
      </w:pPr>
      <w:r w:rsidRPr="0012072D">
        <w:rPr>
          <w:rFonts w:cs="David"/>
          <w:szCs w:val="20"/>
          <w:highlight w:val="yellow"/>
          <w:rtl/>
        </w:rPr>
        <w:t>בעקבות פסיקת בית המשפט העליון כאמור קיימה ועדת הכספים של הכנסת דיון בענין זה וביקשה ממשרדי הממשלה השונים לבחון את סבסוד שכר הלימוד במוסדות להשכלה גבוהה ואת מנגנוני קרנות הסיוע והמלגות שעומדים בפני הסטודנטים.</w:t>
      </w:r>
    </w:p>
    <w:p w:rsidR="005366A8" w:rsidRPr="00DB5B9B" w:rsidRDefault="005366A8" w:rsidP="005366A8">
      <w:pPr>
        <w:pStyle w:val="Hesber"/>
        <w:spacing w:line="240" w:lineRule="auto"/>
        <w:rPr>
          <w:rFonts w:cs="David"/>
          <w:szCs w:val="20"/>
          <w:rtl/>
        </w:rPr>
      </w:pPr>
      <w:r w:rsidRPr="0012072D">
        <w:rPr>
          <w:rFonts w:cs="David"/>
          <w:szCs w:val="20"/>
          <w:highlight w:val="yellow"/>
          <w:rtl/>
        </w:rPr>
        <w:t>לאחר הדיון כאמור העבירו משרד הביטחון והחשב הכללי של משרד האוצר את סיכום הנתונים על היקף התמיכה המוענקת על ידי המדינה לסטודנטים. מהנתונים עולה כי סך התקציב שייעדה המדינה בתקציב 2010 לתמיכה בסטודנטים עומד על 450 מליון שקלים חדשים וזאת בלי קשר למלגות נוספות המוענקות על ידי המוסדות להשכלה גבוהה והיחידה להכוונת חיילים משוחררים מכספי תורמים שונים. זאת בעוד</w:t>
      </w:r>
      <w:r>
        <w:rPr>
          <w:rFonts w:cs="David"/>
          <w:szCs w:val="20"/>
          <w:highlight w:val="yellow"/>
          <w:rtl/>
        </w:rPr>
        <w:t xml:space="preserve"> </w:t>
      </w:r>
      <w:r w:rsidRPr="0012072D">
        <w:rPr>
          <w:rFonts w:cs="David"/>
          <w:szCs w:val="20"/>
          <w:highlight w:val="yellow"/>
          <w:rtl/>
        </w:rPr>
        <w:t>שהסעיף התקציבי להבטחת הכנסה לאברכים עמד בתקציב 2010 על סך של 121 מליון שקלים חדשים.</w:t>
      </w:r>
    </w:p>
    <w:p w:rsidR="005366A8" w:rsidRPr="00DB5B9B" w:rsidRDefault="005366A8" w:rsidP="005366A8">
      <w:pPr>
        <w:pStyle w:val="Hesber"/>
        <w:spacing w:line="240" w:lineRule="auto"/>
        <w:rPr>
          <w:rFonts w:cs="David"/>
          <w:szCs w:val="20"/>
          <w:rtl/>
        </w:rPr>
      </w:pPr>
      <w:r w:rsidRPr="00DB5B9B">
        <w:rPr>
          <w:rFonts w:cs="David"/>
          <w:szCs w:val="20"/>
          <w:rtl/>
        </w:rPr>
        <w:t xml:space="preserve">לאור הנתונים המלמדים על כך שביחס לסטודנטים קיים מכלול הסדרים למלגות מחיה ולמלגות לשכר לימוד בהיקפים גבוהים, שהקריטריונים לקבלתם מותאמים לאוכלוסיית הסטודנטים ולאור העובדה שתכליתו של ההסדר בדבר מלגת קיום לאברכים שונה מתכלית המלגות לסטודנטים, בהצעת חוק זו מוצע לקבוע הסדר ייחודי לגבי תלמידי הישיבות שתורתם היא אומנותם. בבסיס ההסדר ההבנה כי המדינה כאמור רואה חשיבות רבה בעידוד הלימוד התורני שכאמור מהווה ערך מרכזי בחיי העם היהודי, ולפיכך מוצע לאפשר מלגת קיום צנועה לאברכים אשר בחרו ללכת בדרך זו. </w:t>
      </w:r>
      <w:r w:rsidRPr="0012072D">
        <w:rPr>
          <w:rFonts w:cs="David"/>
          <w:szCs w:val="20"/>
          <w:highlight w:val="yellow"/>
          <w:rtl/>
        </w:rPr>
        <w:t>מטבע הדברים קיימים הבדלים רבים בין תלמיד כולל שבחר כדרך חייו לקדש את לימודי התורה לבין סטודנטים הלומדים במשך תקופה מסוימת וזמנית, מה גם שלפי הנתונים שהועברו לוועדת הכספים כאמור אוכלוסיית הסטודנטים נהנית מהסדרים אחרים ומהיקפי תמיכה לא מבוטלים. לפיכך, הצעת חוק זו קובעת הסדר ייחודי ביחס לתלמידי כולל בלבד.</w:t>
      </w:r>
      <w:r w:rsidRPr="00DB5B9B">
        <w:rPr>
          <w:rFonts w:cs="David"/>
          <w:szCs w:val="20"/>
          <w:rtl/>
        </w:rPr>
        <w:t xml:space="preserve"> </w:t>
      </w:r>
    </w:p>
    <w:p w:rsidR="005366A8" w:rsidRPr="00DB5B9B" w:rsidRDefault="005366A8" w:rsidP="005366A8">
      <w:pPr>
        <w:pStyle w:val="Hesber"/>
        <w:spacing w:line="240" w:lineRule="auto"/>
        <w:rPr>
          <w:rFonts w:cs="David"/>
          <w:szCs w:val="20"/>
        </w:rPr>
      </w:pPr>
      <w:r w:rsidRPr="00DB5B9B">
        <w:rPr>
          <w:rFonts w:cs="David"/>
          <w:szCs w:val="20"/>
          <w:rtl/>
        </w:rPr>
        <w:t>לפי הצעת החוק, תלמיד כולל שלומד חודש לימודים מלא בכולל לפי כללים שיקבע שר החינוך ושהוכיח כי הוא עומד בתנאים הקבועים בהצעת החוק: יש לו שלושה ילדים לפחות, אין לו הכנסה אחרת ואין בבעלותו רכב, יהיה זכאי למלגת</w:t>
      </w:r>
      <w:r>
        <w:rPr>
          <w:rFonts w:cs="David"/>
          <w:szCs w:val="20"/>
          <w:rtl/>
        </w:rPr>
        <w:t xml:space="preserve"> </w:t>
      </w:r>
      <w:r w:rsidRPr="00DB5B9B">
        <w:rPr>
          <w:rFonts w:cs="David"/>
          <w:szCs w:val="20"/>
          <w:rtl/>
        </w:rPr>
        <w:t>קיום בשיעורים שייקבעו בחוק התקציב השנתי.</w:t>
      </w:r>
    </w:p>
    <w:p w:rsidR="005366A8" w:rsidRPr="00DB5B9B" w:rsidRDefault="005366A8" w:rsidP="005366A8">
      <w:pPr>
        <w:pStyle w:val="Hesber"/>
        <w:spacing w:line="240" w:lineRule="auto"/>
        <w:rPr>
          <w:rFonts w:cs="David"/>
          <w:szCs w:val="20"/>
          <w:rtl/>
        </w:rPr>
      </w:pPr>
    </w:p>
    <w:p w:rsidR="005366A8" w:rsidRPr="00DB5B9B" w:rsidRDefault="005366A8" w:rsidP="005366A8">
      <w:pPr>
        <w:ind w:left="340"/>
        <w:rPr>
          <w:rFonts w:ascii="Arial" w:eastAsia="Arial Unicode MS" w:hAnsi="Arial" w:cs="David"/>
          <w:snapToGrid w:val="0"/>
          <w:sz w:val="20"/>
          <w:szCs w:val="20"/>
          <w:rtl/>
        </w:rPr>
      </w:pPr>
      <w:r w:rsidRPr="00DB5B9B">
        <w:rPr>
          <w:rFonts w:ascii="Arial" w:eastAsia="Arial Unicode MS" w:hAnsi="Arial" w:cs="David"/>
          <w:snapToGrid w:val="0"/>
          <w:sz w:val="20"/>
          <w:szCs w:val="20"/>
          <w:rtl/>
        </w:rPr>
        <w:t>---------------------------------</w:t>
      </w:r>
    </w:p>
    <w:p w:rsidR="005366A8" w:rsidRPr="00DB5B9B" w:rsidRDefault="005366A8" w:rsidP="005366A8">
      <w:pPr>
        <w:ind w:left="340"/>
        <w:rPr>
          <w:rFonts w:ascii="Arial" w:eastAsia="Arial Unicode MS" w:hAnsi="Arial" w:cs="David"/>
          <w:snapToGrid w:val="0"/>
          <w:sz w:val="20"/>
          <w:szCs w:val="20"/>
          <w:rtl/>
        </w:rPr>
      </w:pPr>
      <w:r w:rsidRPr="00DB5B9B">
        <w:rPr>
          <w:rFonts w:ascii="Arial" w:eastAsia="Arial Unicode MS" w:hAnsi="Arial" w:cs="David" w:hint="eastAsia"/>
          <w:snapToGrid w:val="0"/>
          <w:sz w:val="20"/>
          <w:szCs w:val="20"/>
          <w:rtl/>
        </w:rPr>
        <w:t>הוגשה</w:t>
      </w:r>
      <w:r w:rsidRPr="00DB5B9B">
        <w:rPr>
          <w:rFonts w:ascii="Arial" w:eastAsia="Arial Unicode MS" w:hAnsi="Arial" w:cs="David"/>
          <w:snapToGrid w:val="0"/>
          <w:sz w:val="20"/>
          <w:szCs w:val="20"/>
          <w:rtl/>
        </w:rPr>
        <w:t xml:space="preserve"> </w:t>
      </w:r>
      <w:r w:rsidRPr="00DB5B9B">
        <w:rPr>
          <w:rFonts w:ascii="Arial" w:eastAsia="Arial Unicode MS" w:hAnsi="Arial" w:cs="David" w:hint="eastAsia"/>
          <w:snapToGrid w:val="0"/>
          <w:sz w:val="20"/>
          <w:szCs w:val="20"/>
          <w:rtl/>
        </w:rPr>
        <w:t>ליו</w:t>
      </w:r>
      <w:r w:rsidRPr="00DB5B9B">
        <w:rPr>
          <w:rFonts w:ascii="Arial" w:eastAsia="Arial Unicode MS" w:hAnsi="Arial" w:cs="David"/>
          <w:snapToGrid w:val="0"/>
          <w:sz w:val="20"/>
          <w:szCs w:val="20"/>
          <w:rtl/>
        </w:rPr>
        <w:t>"</w:t>
      </w:r>
      <w:r w:rsidRPr="00DB5B9B">
        <w:rPr>
          <w:rFonts w:ascii="Arial" w:eastAsia="Arial Unicode MS" w:hAnsi="Arial" w:cs="David" w:hint="eastAsia"/>
          <w:snapToGrid w:val="0"/>
          <w:sz w:val="20"/>
          <w:szCs w:val="20"/>
          <w:rtl/>
        </w:rPr>
        <w:t>ר</w:t>
      </w:r>
      <w:r w:rsidRPr="00DB5B9B">
        <w:rPr>
          <w:rFonts w:ascii="Arial" w:eastAsia="Arial Unicode MS" w:hAnsi="Arial" w:cs="David"/>
          <w:snapToGrid w:val="0"/>
          <w:sz w:val="20"/>
          <w:szCs w:val="20"/>
          <w:rtl/>
        </w:rPr>
        <w:t xml:space="preserve"> </w:t>
      </w:r>
      <w:r w:rsidRPr="00DB5B9B">
        <w:rPr>
          <w:rFonts w:ascii="Arial" w:eastAsia="Arial Unicode MS" w:hAnsi="Arial" w:cs="David" w:hint="eastAsia"/>
          <w:snapToGrid w:val="0"/>
          <w:sz w:val="20"/>
          <w:szCs w:val="20"/>
          <w:rtl/>
        </w:rPr>
        <w:t>הכנסת</w:t>
      </w:r>
      <w:r w:rsidRPr="00DB5B9B">
        <w:rPr>
          <w:rFonts w:ascii="Arial" w:eastAsia="Arial Unicode MS" w:hAnsi="Arial" w:cs="David"/>
          <w:snapToGrid w:val="0"/>
          <w:sz w:val="20"/>
          <w:szCs w:val="20"/>
          <w:rtl/>
        </w:rPr>
        <w:t xml:space="preserve"> </w:t>
      </w:r>
      <w:r w:rsidRPr="00DB5B9B">
        <w:rPr>
          <w:rFonts w:ascii="Arial" w:eastAsia="Arial Unicode MS" w:hAnsi="Arial" w:cs="David" w:hint="eastAsia"/>
          <w:snapToGrid w:val="0"/>
          <w:sz w:val="20"/>
          <w:szCs w:val="20"/>
          <w:rtl/>
        </w:rPr>
        <w:t>והסגנים</w:t>
      </w:r>
    </w:p>
    <w:p w:rsidR="005366A8" w:rsidRPr="00DB5B9B" w:rsidRDefault="005366A8" w:rsidP="005366A8">
      <w:pPr>
        <w:ind w:left="340"/>
        <w:rPr>
          <w:rFonts w:ascii="Arial" w:eastAsia="Arial Unicode MS" w:hAnsi="Arial" w:cs="David"/>
          <w:snapToGrid w:val="0"/>
          <w:sz w:val="20"/>
          <w:szCs w:val="20"/>
          <w:rtl/>
        </w:rPr>
      </w:pPr>
      <w:r w:rsidRPr="00DB5B9B">
        <w:rPr>
          <w:rFonts w:ascii="Arial" w:eastAsia="Arial Unicode MS" w:hAnsi="Arial" w:cs="David" w:hint="eastAsia"/>
          <w:snapToGrid w:val="0"/>
          <w:sz w:val="20"/>
          <w:szCs w:val="20"/>
          <w:rtl/>
        </w:rPr>
        <w:t>והונחה</w:t>
      </w:r>
      <w:r w:rsidRPr="00DB5B9B">
        <w:rPr>
          <w:rFonts w:ascii="Arial" w:eastAsia="Arial Unicode MS" w:hAnsi="Arial" w:cs="David"/>
          <w:snapToGrid w:val="0"/>
          <w:sz w:val="20"/>
          <w:szCs w:val="20"/>
          <w:rtl/>
        </w:rPr>
        <w:t xml:space="preserve"> </w:t>
      </w:r>
      <w:r w:rsidRPr="00DB5B9B">
        <w:rPr>
          <w:rFonts w:ascii="Arial" w:eastAsia="Arial Unicode MS" w:hAnsi="Arial" w:cs="David" w:hint="eastAsia"/>
          <w:snapToGrid w:val="0"/>
          <w:sz w:val="20"/>
          <w:szCs w:val="20"/>
          <w:rtl/>
        </w:rPr>
        <w:t>על</w:t>
      </w:r>
      <w:r w:rsidRPr="00DB5B9B">
        <w:rPr>
          <w:rFonts w:ascii="Arial" w:eastAsia="Arial Unicode MS" w:hAnsi="Arial" w:cs="David"/>
          <w:snapToGrid w:val="0"/>
          <w:sz w:val="20"/>
          <w:szCs w:val="20"/>
          <w:rtl/>
        </w:rPr>
        <w:t xml:space="preserve"> </w:t>
      </w:r>
      <w:r w:rsidRPr="00DB5B9B">
        <w:rPr>
          <w:rFonts w:ascii="Arial" w:eastAsia="Arial Unicode MS" w:hAnsi="Arial" w:cs="David" w:hint="eastAsia"/>
          <w:snapToGrid w:val="0"/>
          <w:sz w:val="20"/>
          <w:szCs w:val="20"/>
          <w:rtl/>
        </w:rPr>
        <w:t>שולחן</w:t>
      </w:r>
      <w:r w:rsidRPr="00DB5B9B">
        <w:rPr>
          <w:rFonts w:ascii="Arial" w:eastAsia="Arial Unicode MS" w:hAnsi="Arial" w:cs="David"/>
          <w:snapToGrid w:val="0"/>
          <w:sz w:val="20"/>
          <w:szCs w:val="20"/>
          <w:rtl/>
        </w:rPr>
        <w:t xml:space="preserve"> </w:t>
      </w:r>
      <w:r w:rsidRPr="00DB5B9B">
        <w:rPr>
          <w:rFonts w:ascii="Arial" w:eastAsia="Arial Unicode MS" w:hAnsi="Arial" w:cs="David" w:hint="eastAsia"/>
          <w:snapToGrid w:val="0"/>
          <w:sz w:val="20"/>
          <w:szCs w:val="20"/>
          <w:rtl/>
        </w:rPr>
        <w:t>הכנסת</w:t>
      </w:r>
      <w:r w:rsidRPr="00DB5B9B">
        <w:rPr>
          <w:rFonts w:ascii="Arial" w:eastAsia="Arial Unicode MS" w:hAnsi="Arial" w:cs="David"/>
          <w:snapToGrid w:val="0"/>
          <w:sz w:val="20"/>
          <w:szCs w:val="20"/>
          <w:rtl/>
        </w:rPr>
        <w:t xml:space="preserve"> </w:t>
      </w:r>
      <w:r w:rsidRPr="00DB5B9B">
        <w:rPr>
          <w:rFonts w:ascii="Arial" w:eastAsia="Arial Unicode MS" w:hAnsi="Arial" w:cs="David" w:hint="eastAsia"/>
          <w:snapToGrid w:val="0"/>
          <w:sz w:val="20"/>
          <w:szCs w:val="20"/>
          <w:rtl/>
        </w:rPr>
        <w:t>ביום</w:t>
      </w:r>
    </w:p>
    <w:p w:rsidR="005366A8" w:rsidRDefault="005366A8" w:rsidP="005366A8">
      <w:pPr>
        <w:ind w:left="340"/>
        <w:rPr>
          <w:rFonts w:ascii="Arial" w:eastAsia="Arial Unicode MS" w:hAnsi="Arial" w:cs="David"/>
          <w:snapToGrid w:val="0"/>
          <w:sz w:val="20"/>
          <w:szCs w:val="20"/>
          <w:rtl/>
        </w:rPr>
      </w:pPr>
      <w:r w:rsidRPr="00DB5B9B">
        <w:rPr>
          <w:rFonts w:ascii="Arial" w:eastAsia="Arial Unicode MS" w:hAnsi="Arial" w:cs="David" w:hint="eastAsia"/>
          <w:snapToGrid w:val="0"/>
          <w:sz w:val="20"/>
          <w:szCs w:val="20"/>
          <w:rtl/>
        </w:rPr>
        <w:t>י</w:t>
      </w:r>
      <w:r w:rsidRPr="00DB5B9B">
        <w:rPr>
          <w:rFonts w:ascii="Arial" w:eastAsia="Arial Unicode MS" w:hAnsi="Arial" w:cs="David"/>
          <w:snapToGrid w:val="0"/>
          <w:sz w:val="20"/>
          <w:szCs w:val="20"/>
          <w:rtl/>
        </w:rPr>
        <w:t xml:space="preserve">' </w:t>
      </w:r>
      <w:r w:rsidRPr="00DB5B9B">
        <w:rPr>
          <w:rFonts w:ascii="Arial" w:eastAsia="Arial Unicode MS" w:hAnsi="Arial" w:cs="David" w:hint="eastAsia"/>
          <w:snapToGrid w:val="0"/>
          <w:sz w:val="20"/>
          <w:szCs w:val="20"/>
          <w:rtl/>
        </w:rPr>
        <w:t>בחשוון</w:t>
      </w:r>
      <w:r w:rsidRPr="00DB5B9B">
        <w:rPr>
          <w:rFonts w:ascii="Arial" w:eastAsia="Arial Unicode MS" w:hAnsi="Arial" w:cs="David"/>
          <w:snapToGrid w:val="0"/>
          <w:sz w:val="20"/>
          <w:szCs w:val="20"/>
          <w:rtl/>
        </w:rPr>
        <w:t xml:space="preserve"> </w:t>
      </w:r>
      <w:r w:rsidRPr="00DB5B9B">
        <w:rPr>
          <w:rFonts w:ascii="Arial" w:eastAsia="Arial Unicode MS" w:hAnsi="Arial" w:cs="David" w:hint="eastAsia"/>
          <w:snapToGrid w:val="0"/>
          <w:sz w:val="20"/>
          <w:szCs w:val="20"/>
          <w:rtl/>
        </w:rPr>
        <w:t>התשע</w:t>
      </w:r>
      <w:r w:rsidRPr="00DB5B9B">
        <w:rPr>
          <w:rFonts w:ascii="Arial" w:eastAsia="Arial Unicode MS" w:hAnsi="Arial" w:cs="David"/>
          <w:snapToGrid w:val="0"/>
          <w:sz w:val="20"/>
          <w:szCs w:val="20"/>
          <w:rtl/>
        </w:rPr>
        <w:t>"</w:t>
      </w:r>
      <w:r w:rsidRPr="00DB5B9B">
        <w:rPr>
          <w:rFonts w:ascii="Arial" w:eastAsia="Arial Unicode MS" w:hAnsi="Arial" w:cs="David" w:hint="eastAsia"/>
          <w:snapToGrid w:val="0"/>
          <w:sz w:val="20"/>
          <w:szCs w:val="20"/>
          <w:rtl/>
        </w:rPr>
        <w:t>א</w:t>
      </w:r>
      <w:r w:rsidRPr="00DB5B9B">
        <w:rPr>
          <w:rFonts w:ascii="Arial" w:eastAsia="Arial Unicode MS" w:hAnsi="Arial" w:cs="David"/>
          <w:snapToGrid w:val="0"/>
          <w:sz w:val="20"/>
          <w:szCs w:val="20"/>
          <w:rtl/>
        </w:rPr>
        <w:t xml:space="preserve"> – 18.10.10</w:t>
      </w:r>
    </w:p>
    <w:p w:rsidR="005366A8" w:rsidRDefault="005366A8" w:rsidP="005366A8">
      <w:pPr>
        <w:rPr>
          <w:rtl/>
        </w:rPr>
      </w:pPr>
    </w:p>
    <w:p w:rsidR="005366A8" w:rsidRPr="005944BD" w:rsidRDefault="005366A8" w:rsidP="005366A8">
      <w:pPr>
        <w:rPr>
          <w:rFonts w:ascii="Arial" w:hAnsi="Arial"/>
          <w:rtl/>
        </w:rPr>
      </w:pPr>
      <w:r w:rsidRPr="005944BD">
        <w:rPr>
          <w:rFonts w:ascii="Arial" w:hAnsi="Arial"/>
          <w:vertAlign w:val="subscript"/>
          <w:rtl/>
        </w:rPr>
        <w:t>עודכן ב- 07:01 18/11/2010</w:t>
      </w:r>
    </w:p>
    <w:p w:rsidR="005366A8" w:rsidRPr="005944BD" w:rsidRDefault="005366A8" w:rsidP="005366A8">
      <w:pPr>
        <w:outlineLvl w:val="1"/>
        <w:rPr>
          <w:rFonts w:ascii="Arial" w:hAnsi="Arial"/>
          <w:b/>
          <w:bCs/>
          <w:sz w:val="36"/>
          <w:szCs w:val="36"/>
          <w:rtl/>
        </w:rPr>
      </w:pPr>
      <w:r w:rsidRPr="005944BD">
        <w:rPr>
          <w:rFonts w:ascii="Arial" w:hAnsi="Arial"/>
          <w:b/>
          <w:bCs/>
          <w:sz w:val="36"/>
          <w:szCs w:val="36"/>
          <w:rtl/>
        </w:rPr>
        <w:t xml:space="preserve">שחר אילן | תמריצים לא לעבוד </w:t>
      </w:r>
    </w:p>
    <w:p w:rsidR="005366A8" w:rsidRDefault="005366A8" w:rsidP="005366A8">
      <w:pPr>
        <w:rPr>
          <w:rFonts w:ascii="Arial" w:hAnsi="Arial"/>
          <w:sz w:val="20"/>
          <w:szCs w:val="20"/>
          <w:rtl/>
        </w:rPr>
      </w:pPr>
      <w:r w:rsidRPr="005944BD">
        <w:rPr>
          <w:rFonts w:ascii="Arial" w:hAnsi="Arial"/>
          <w:rtl/>
        </w:rPr>
        <w:br/>
      </w:r>
      <w:r w:rsidRPr="00D226F7">
        <w:rPr>
          <w:rFonts w:ascii="Arial" w:hAnsi="Arial"/>
          <w:sz w:val="20"/>
          <w:szCs w:val="20"/>
          <w:highlight w:val="yellow"/>
          <w:rtl/>
        </w:rPr>
        <w:t>הנה כמה נתונים מעודדים: שיעור ההשתתפות החרדית בשוק העבודה נמצא בעלייה ועבר את ה-40%. יותר מאלפיים גברים חרדים הצטרפו השנה לשירות צבאי או אזרחי. כ-5,000 חרדים לומדים באוניברסיטאות. ההישגים האלה מעידים על מאמץ אמיתי שעושה הממשלה לשלב גברים ונשים מהמגזר החרדי בשוק העבודה.</w:t>
      </w:r>
      <w:r w:rsidRPr="00D226F7">
        <w:rPr>
          <w:rFonts w:ascii="Arial" w:hAnsi="Arial"/>
          <w:sz w:val="20"/>
          <w:szCs w:val="20"/>
          <w:rtl/>
        </w:rPr>
        <w:t xml:space="preserve"> </w:t>
      </w:r>
      <w:r w:rsidRPr="00D226F7">
        <w:rPr>
          <w:rFonts w:ascii="Arial" w:hAnsi="Arial"/>
          <w:sz w:val="20"/>
          <w:szCs w:val="20"/>
          <w:rtl/>
        </w:rPr>
        <w:br/>
      </w:r>
      <w:r w:rsidRPr="00D226F7">
        <w:rPr>
          <w:rFonts w:ascii="Arial" w:hAnsi="Arial"/>
          <w:sz w:val="20"/>
          <w:szCs w:val="20"/>
          <w:rtl/>
        </w:rPr>
        <w:br/>
        <w:t xml:space="preserve">אבל למרבה הצער, אלה אינם אלא עשירית הכוס המלאה. מספר האברכים (תלמידי ישיבות נשואים) שמשרד החינוך מממן גדל בשנתיים האחרונות בעשרת אלפים, </w:t>
      </w:r>
      <w:r w:rsidRPr="00D226F7">
        <w:rPr>
          <w:rFonts w:ascii="Arial" w:hAnsi="Arial"/>
          <w:sz w:val="20"/>
          <w:szCs w:val="20"/>
          <w:highlight w:val="yellow"/>
          <w:rtl/>
        </w:rPr>
        <w:t>מ-65 אלף ל-75 אלף. כלומר, כוס התעסוקה החרדית ריקה עדיין ברובה המכריע.</w:t>
      </w:r>
      <w:r w:rsidRPr="00D226F7">
        <w:rPr>
          <w:rFonts w:ascii="Arial" w:hAnsi="Arial"/>
          <w:sz w:val="20"/>
          <w:szCs w:val="20"/>
          <w:rtl/>
        </w:rPr>
        <w:t xml:space="preserve"> </w:t>
      </w:r>
      <w:r w:rsidRPr="00D226F7">
        <w:rPr>
          <w:rFonts w:ascii="Arial" w:hAnsi="Arial"/>
          <w:sz w:val="20"/>
          <w:szCs w:val="20"/>
          <w:rtl/>
        </w:rPr>
        <w:br/>
      </w:r>
      <w:r w:rsidRPr="00D226F7">
        <w:rPr>
          <w:rFonts w:ascii="Arial" w:hAnsi="Arial"/>
          <w:sz w:val="20"/>
          <w:szCs w:val="20"/>
          <w:rtl/>
        </w:rPr>
        <w:br/>
        <w:t xml:space="preserve">מאות מיליוני השקלים שהמדינה משקיעה בסיוע לחרדים לצאת לעבודה אינם מונעים את הגידול המהיר בעולם האברכים. הסיבה העיקרית לכך היא, שבכל שנה מצטרפים לכוללים (ישיבות לגברים נשואים) יותר מ-6,000 תלמידים צעירים חדשים. מספר האברכים היוצאים לעבודה אינו מתקרב למספר האברכים החדשים. הבעיה תלך ותחריף. ב-2015 צפויים כ-8,000 אברכים חדשים. ב-2020 - כ-12 אלף. </w:t>
      </w:r>
      <w:r w:rsidRPr="00D226F7">
        <w:rPr>
          <w:rFonts w:ascii="Arial" w:hAnsi="Arial"/>
          <w:sz w:val="20"/>
          <w:szCs w:val="20"/>
          <w:rtl/>
        </w:rPr>
        <w:br/>
      </w:r>
      <w:r w:rsidRPr="00D226F7">
        <w:rPr>
          <w:rFonts w:ascii="Arial" w:hAnsi="Arial"/>
          <w:sz w:val="20"/>
          <w:szCs w:val="20"/>
          <w:rtl/>
        </w:rPr>
        <w:br/>
      </w:r>
      <w:r w:rsidRPr="00D226F7">
        <w:rPr>
          <w:rFonts w:ascii="Arial" w:hAnsi="Arial"/>
          <w:sz w:val="20"/>
          <w:szCs w:val="20"/>
          <w:highlight w:val="yellow"/>
          <w:rtl/>
        </w:rPr>
        <w:t>שוב ושוב מנסים להרדים את הציבור בטענה, שהשינויים בכלכלה החרדית קורים מעצמם ואסור לנקוט דרכי כפייה. האמת היא, שהשינויים בציבור החרדי החלו בגזירות של בנימין נתניהו ב-2003 ובעיקר בקיצוץ הגדול בקצבאות הילדים. השינויים האלה אטיים מאוד, והגידול של הציבור החרדי מהיר. ישראל מתקרבת בקצב מואץ למימוש התחזיות הקודרות של בכירי הכלכלנים, ולפיהן המשק הישראלי לא יעמוד במשא עולם הישיבות.</w:t>
      </w:r>
      <w:r w:rsidRPr="00D226F7">
        <w:rPr>
          <w:rFonts w:ascii="Arial" w:hAnsi="Arial"/>
          <w:sz w:val="20"/>
          <w:szCs w:val="20"/>
          <w:rtl/>
        </w:rPr>
        <w:t xml:space="preserve"> </w:t>
      </w:r>
      <w:r w:rsidRPr="00D226F7">
        <w:rPr>
          <w:rFonts w:ascii="Arial" w:hAnsi="Arial"/>
          <w:sz w:val="20"/>
          <w:szCs w:val="20"/>
          <w:rtl/>
        </w:rPr>
        <w:br/>
      </w:r>
      <w:r w:rsidRPr="00D226F7">
        <w:rPr>
          <w:rFonts w:ascii="Arial" w:hAnsi="Arial"/>
          <w:sz w:val="20"/>
          <w:szCs w:val="20"/>
          <w:rtl/>
        </w:rPr>
        <w:br/>
        <w:t xml:space="preserve">אין ספק, שצריך להמשיך להשקיע כסף רב בהכשרה מקצועית ואקדמית לחרדים, ביצירת מקומות עבודה, בתקנים לחיילים חרדים - בכל מה שיהפוך את היציאה לשירות ולעבודה לכדאית. </w:t>
      </w:r>
      <w:r w:rsidRPr="00D226F7">
        <w:rPr>
          <w:rFonts w:ascii="Arial" w:hAnsi="Arial"/>
          <w:sz w:val="20"/>
          <w:szCs w:val="20"/>
          <w:highlight w:val="yellow"/>
          <w:rtl/>
        </w:rPr>
        <w:t>אבל לא די בכך. עולם שלם של קצבאות והנחות בשווי של אלפי שקלים הופך את היציאה מהכולל ללא כדאית. קשה מאוד לאברך למצוא עבודה בשכר שישתווה להטבות שיפסיד. בראשן כמובן קצבת הבטחת ההכנסה לאברכים, המאלצת 22 אלף בני אדם להישאר מחוץ לשוק העבודה.</w:t>
      </w:r>
      <w:r w:rsidRPr="00D226F7">
        <w:rPr>
          <w:rFonts w:ascii="Arial" w:hAnsi="Arial"/>
          <w:sz w:val="20"/>
          <w:szCs w:val="20"/>
          <w:rtl/>
        </w:rPr>
        <w:t xml:space="preserve"> </w:t>
      </w:r>
      <w:r>
        <w:rPr>
          <w:rFonts w:ascii="Arial" w:hAnsi="Arial" w:hint="cs"/>
          <w:sz w:val="20"/>
          <w:szCs w:val="20"/>
          <w:rtl/>
        </w:rPr>
        <w:t xml:space="preserve">[הסבר לנתון זה בהשוואה למספר לעיל: מדובר באברכים </w:t>
      </w:r>
      <w:r w:rsidRPr="00822BFC">
        <w:rPr>
          <w:rFonts w:ascii="Arial" w:hAnsi="Arial" w:hint="cs"/>
          <w:b/>
          <w:bCs/>
          <w:sz w:val="20"/>
          <w:szCs w:val="20"/>
          <w:rtl/>
        </w:rPr>
        <w:t>ובנות-זוגן</w:t>
      </w:r>
      <w:r>
        <w:rPr>
          <w:rFonts w:ascii="Arial" w:hAnsi="Arial" w:hint="cs"/>
          <w:sz w:val="20"/>
          <w:szCs w:val="20"/>
          <w:rtl/>
        </w:rPr>
        <w:t>, שיכולות להשתכר רק עד 1,200 ₪ בחודש].</w:t>
      </w:r>
      <w:r w:rsidRPr="00D226F7">
        <w:rPr>
          <w:rFonts w:ascii="Arial" w:hAnsi="Arial"/>
          <w:sz w:val="20"/>
          <w:szCs w:val="20"/>
          <w:rtl/>
        </w:rPr>
        <w:br/>
      </w:r>
      <w:r w:rsidRPr="00D226F7">
        <w:rPr>
          <w:rFonts w:ascii="Arial" w:hAnsi="Arial"/>
          <w:sz w:val="20"/>
          <w:szCs w:val="20"/>
          <w:rtl/>
        </w:rPr>
        <w:br/>
        <w:t xml:space="preserve">כדי להוציא את האברכים לעבודה לא די בתמריצים לעבוד. יש לבטל גם את התמריצים לא לעבוד. יש לבטל את קצבת הבטחת ההכנסה לאברכים ולהתנות כל קצבת רווחה במיצוי יכולת ההשתכרות. יש להגביל את מספר השנים שבהן המדינה מממנת לימודים בישיבה. </w:t>
      </w:r>
      <w:r w:rsidRPr="00D226F7">
        <w:rPr>
          <w:rFonts w:ascii="Arial" w:hAnsi="Arial"/>
          <w:sz w:val="20"/>
          <w:szCs w:val="20"/>
          <w:rtl/>
        </w:rPr>
        <w:br/>
      </w:r>
      <w:r w:rsidRPr="00D226F7">
        <w:rPr>
          <w:rFonts w:ascii="Arial" w:hAnsi="Arial"/>
          <w:sz w:val="20"/>
          <w:szCs w:val="20"/>
          <w:rtl/>
        </w:rPr>
        <w:br/>
        <w:t xml:space="preserve">ועדת גבאי, המגבשת את מדיניות הממשלה בנושא תעסוקת חרדים, עומדת להגיש את מסקנותיה. הוועדה צפויה לקבוע יעד של 5,000 אברכים שיצטרפו ב-2015 לשירות צבאי או אזרחי, ולכן יוכלו לצאת לשוק העבודה. היעד הדי יומרני הזה רחוק מלספק, שכן מספר המצטרפים לישיבות יהיה גדול בהרבה. אבל ספק אם גם הוא יושג, אם לא יוגבלו ההקצבות לאברכים. </w:t>
      </w:r>
      <w:r w:rsidRPr="00D226F7">
        <w:rPr>
          <w:rFonts w:ascii="Arial" w:hAnsi="Arial"/>
          <w:sz w:val="20"/>
          <w:szCs w:val="20"/>
          <w:rtl/>
        </w:rPr>
        <w:br/>
      </w:r>
      <w:r w:rsidRPr="00D226F7">
        <w:rPr>
          <w:rFonts w:ascii="Arial" w:hAnsi="Arial"/>
          <w:sz w:val="20"/>
          <w:szCs w:val="20"/>
          <w:rtl/>
        </w:rPr>
        <w:br/>
      </w:r>
      <w:r w:rsidRPr="00D226F7">
        <w:rPr>
          <w:rFonts w:ascii="Arial" w:hAnsi="Arial"/>
          <w:sz w:val="20"/>
          <w:szCs w:val="20"/>
          <w:highlight w:val="yellow"/>
          <w:rtl/>
        </w:rPr>
        <w:t>אסור לוועדת גבאי ליפול למלכודת של שינויים בדרכי נועם והידברות. יש מצבים שבהם חברה מוכרחה לקבל החלטות קשות. מי כמו נתניהו יודע זאת. כדי להוציא את החרדים לשוק העבודה מוכרחים לחתוך את צינור ההקצבות. כל מדיניות אחרת שתציע ועדת גבאי תהיה חסרת אחריות ותסכן את ישראל וכלכלתה.</w:t>
      </w:r>
      <w:r w:rsidRPr="00D226F7">
        <w:rPr>
          <w:rFonts w:ascii="Arial" w:hAnsi="Arial"/>
          <w:sz w:val="20"/>
          <w:szCs w:val="20"/>
          <w:rtl/>
        </w:rPr>
        <w:t xml:space="preserve"> </w:t>
      </w:r>
      <w:r w:rsidRPr="00D226F7">
        <w:rPr>
          <w:rFonts w:ascii="Arial" w:hAnsi="Arial"/>
          <w:sz w:val="20"/>
          <w:szCs w:val="20"/>
          <w:rtl/>
        </w:rPr>
        <w:br/>
      </w:r>
      <w:r w:rsidRPr="00D226F7">
        <w:rPr>
          <w:rFonts w:ascii="Arial" w:hAnsi="Arial"/>
          <w:sz w:val="20"/>
          <w:szCs w:val="20"/>
          <w:rtl/>
        </w:rPr>
        <w:br/>
        <w:t xml:space="preserve">הכותב הוא סמנכ"ל מחקר והסברה של עמותת חדו"ש לחופש דת ושוויון </w:t>
      </w:r>
    </w:p>
    <w:p w:rsidR="005366A8" w:rsidRDefault="005366A8" w:rsidP="005366A8">
      <w:pPr>
        <w:rPr>
          <w:rtl/>
        </w:rPr>
      </w:pPr>
      <w:r>
        <w:rPr>
          <w:rFonts w:hint="cs"/>
          <w:rtl/>
        </w:rPr>
        <w:t>=-=</w:t>
      </w:r>
    </w:p>
    <w:p w:rsidR="005366A8" w:rsidRDefault="005366A8" w:rsidP="005366A8">
      <w:pPr>
        <w:rPr>
          <w:rtl/>
        </w:rPr>
      </w:pPr>
    </w:p>
    <w:p w:rsidR="005366A8" w:rsidRDefault="005366A8" w:rsidP="005366A8">
      <w:pPr>
        <w:rPr>
          <w:rtl/>
        </w:rPr>
      </w:pPr>
      <w:r>
        <w:rPr>
          <w:rFonts w:hint="cs"/>
          <w:rtl/>
        </w:rPr>
        <w:t>23.10.2010, בלוג</w:t>
      </w:r>
    </w:p>
    <w:p w:rsidR="005366A8" w:rsidRDefault="005366A8" w:rsidP="005366A8">
      <w:pPr>
        <w:rPr>
          <w:rtl/>
        </w:rPr>
      </w:pPr>
    </w:p>
    <w:p w:rsidR="005366A8" w:rsidRDefault="005366A8" w:rsidP="005366A8">
      <w:pPr>
        <w:rPr>
          <w:rFonts w:ascii="Arial" w:hAnsi="Arial"/>
          <w:color w:val="000000"/>
          <w:sz w:val="27"/>
          <w:szCs w:val="27"/>
          <w:rtl/>
        </w:rPr>
      </w:pPr>
      <w:r>
        <w:rPr>
          <w:rFonts w:ascii="Arial" w:hAnsi="Arial" w:hint="cs"/>
          <w:color w:val="000000"/>
          <w:sz w:val="27"/>
          <w:szCs w:val="27"/>
          <w:rtl/>
        </w:rPr>
        <w:t>שחר אילן, חוק גפני לעידוד העוני</w:t>
      </w:r>
    </w:p>
    <w:p w:rsidR="005366A8" w:rsidRDefault="005366A8" w:rsidP="005366A8">
      <w:pPr>
        <w:rPr>
          <w:rFonts w:ascii="Arial" w:hAnsi="Arial"/>
          <w:color w:val="000000"/>
          <w:sz w:val="27"/>
          <w:szCs w:val="27"/>
          <w:rtl/>
        </w:rPr>
      </w:pPr>
    </w:p>
    <w:p w:rsidR="005366A8" w:rsidRDefault="005366A8" w:rsidP="005366A8">
      <w:pPr>
        <w:rPr>
          <w:sz w:val="20"/>
          <w:szCs w:val="20"/>
          <w:rtl/>
        </w:rPr>
      </w:pPr>
      <w:r w:rsidRPr="006C7A2C">
        <w:rPr>
          <w:rFonts w:ascii="Arial" w:hAnsi="Arial"/>
          <w:b/>
          <w:bCs/>
          <w:rtl/>
        </w:rPr>
        <w:t>קצבת הבטחת ההכנסה לאברכים לא מוציאה אברכים מהעוני. היא מבטיחה שישארו עניים. היא לא קצבת הבטחת הכנסה אלא קצבה עוקפת הבטחת הכנסה. בעצם מדובר בסוג של קצבת ילדים. דברים שמשה גפני לא יספר לכם. ועוד משהו: שום הטבה לסטודנטים לא תתקן את הנזק של התקציב הזה. צריך פשוט לבטל אותו</w:t>
      </w:r>
      <w:r>
        <w:rPr>
          <w:rFonts w:ascii="Arial" w:hAnsi="Arial" w:hint="cs"/>
          <w:b/>
          <w:bCs/>
          <w:rtl/>
        </w:rPr>
        <w:t xml:space="preserve">. </w:t>
      </w:r>
      <w:r>
        <w:rPr>
          <w:rFonts w:hint="cs"/>
          <w:sz w:val="20"/>
          <w:szCs w:val="20"/>
          <w:rtl/>
        </w:rPr>
        <w:t>[קטעים מתוך הבלוג]</w:t>
      </w:r>
    </w:p>
    <w:p w:rsidR="005366A8" w:rsidRPr="006C7A2C" w:rsidRDefault="005366A8" w:rsidP="005366A8">
      <w:pPr>
        <w:rPr>
          <w:sz w:val="20"/>
          <w:szCs w:val="20"/>
          <w:rtl/>
        </w:rPr>
      </w:pPr>
    </w:p>
    <w:p w:rsidR="005366A8" w:rsidRPr="006C7A2C" w:rsidRDefault="005366A8" w:rsidP="005366A8">
      <w:pPr>
        <w:rPr>
          <w:color w:val="000000"/>
          <w:sz w:val="20"/>
          <w:szCs w:val="20"/>
          <w:rtl/>
        </w:rPr>
      </w:pPr>
      <w:r w:rsidRPr="000C2FC0">
        <w:rPr>
          <w:rStyle w:val="Strong"/>
          <w:color w:val="000000"/>
          <w:sz w:val="20"/>
          <w:szCs w:val="20"/>
          <w:rtl/>
        </w:rPr>
        <w:t>קצבה מעודדת עוני</w:t>
      </w:r>
      <w:r w:rsidRPr="000C2FC0">
        <w:rPr>
          <w:rStyle w:val="Strong"/>
          <w:color w:val="000000"/>
          <w:sz w:val="20"/>
          <w:szCs w:val="20"/>
        </w:rPr>
        <w:t>.</w:t>
      </w:r>
      <w:r w:rsidRPr="000C2FC0">
        <w:rPr>
          <w:color w:val="000000"/>
          <w:sz w:val="20"/>
          <w:szCs w:val="20"/>
          <w:rtl/>
        </w:rPr>
        <w:t xml:space="preserve"> על פי דו"ח בנק ישראל שעור העוני במגזר החרדי עומד על 59% לעומת 14% בכלל האוכלוסייה. מרכז המחקר והמידע של הכנסת פרסם לאחרונה </w:t>
      </w:r>
      <w:hyperlink r:id="rId175" w:tgtFrame="_blank" w:history="1">
        <w:r w:rsidRPr="000C2FC0">
          <w:rPr>
            <w:rStyle w:val="Hyperlink"/>
            <w:sz w:val="20"/>
            <w:szCs w:val="20"/>
            <w:rtl/>
          </w:rPr>
          <w:t>מסמך נתונים על העוני</w:t>
        </w:r>
      </w:hyperlink>
      <w:r w:rsidRPr="000C2FC0">
        <w:rPr>
          <w:color w:val="000000"/>
          <w:sz w:val="20"/>
          <w:szCs w:val="20"/>
          <w:rtl/>
        </w:rPr>
        <w:t xml:space="preserve">. מתברר שבקרב המשפחות החרדיות שבהן יש מפרנס אחד תחולת העוני יורדת דרמטית ל-32.5%. בקרב המשפחות החרדיות שבהן שני מפרנסים צונחת תחולת העוני ל-6%. אבל קצבת הבטחת ההכנסה מחייבת את שני בני הזוג לא לעבוד. קשה שלא להסיק שמדובר בקצבה מעודדת עוני </w:t>
      </w:r>
      <w:hyperlink r:id="rId176" w:tgtFrame="_blank" w:history="1">
        <w:r w:rsidRPr="000C2FC0">
          <w:rPr>
            <w:rStyle w:val="Hyperlink"/>
            <w:sz w:val="20"/>
            <w:szCs w:val="20"/>
            <w:rtl/>
          </w:rPr>
          <w:t>ושחוק גפני להנצחת הקצבה</w:t>
        </w:r>
      </w:hyperlink>
      <w:r w:rsidRPr="000C2FC0">
        <w:rPr>
          <w:color w:val="000000"/>
          <w:sz w:val="20"/>
          <w:szCs w:val="20"/>
          <w:rtl/>
        </w:rPr>
        <w:t xml:space="preserve"> הוא לא רק חוק עוקף בג</w:t>
      </w:r>
      <w:r w:rsidRPr="000C2FC0">
        <w:rPr>
          <w:rFonts w:hint="cs"/>
          <w:color w:val="000000"/>
          <w:sz w:val="20"/>
          <w:szCs w:val="20"/>
          <w:rtl/>
        </w:rPr>
        <w:t>"</w:t>
      </w:r>
      <w:r w:rsidRPr="000C2FC0">
        <w:rPr>
          <w:color w:val="000000"/>
          <w:sz w:val="20"/>
          <w:szCs w:val="20"/>
          <w:rtl/>
        </w:rPr>
        <w:t>צ אלא גם חוק לעידוד העוני.</w:t>
      </w:r>
    </w:p>
    <w:p w:rsidR="005366A8" w:rsidRPr="006C7A2C" w:rsidRDefault="005366A8" w:rsidP="005366A8">
      <w:pPr>
        <w:rPr>
          <w:sz w:val="20"/>
          <w:szCs w:val="20"/>
          <w:rtl/>
        </w:rPr>
      </w:pPr>
    </w:p>
    <w:p w:rsidR="005366A8" w:rsidRPr="006C7A2C" w:rsidRDefault="005366A8" w:rsidP="005366A8">
      <w:pPr>
        <w:rPr>
          <w:color w:val="000000"/>
          <w:sz w:val="20"/>
          <w:szCs w:val="20"/>
          <w:rtl/>
        </w:rPr>
      </w:pPr>
      <w:r w:rsidRPr="006C7A2C">
        <w:rPr>
          <w:rStyle w:val="Strong"/>
          <w:color w:val="000000"/>
          <w:sz w:val="20"/>
          <w:szCs w:val="20"/>
          <w:rtl/>
        </w:rPr>
        <w:t>פיגוע כלכלי</w:t>
      </w:r>
      <w:r w:rsidRPr="006C7A2C">
        <w:rPr>
          <w:rStyle w:val="Strong"/>
          <w:color w:val="000000"/>
          <w:sz w:val="20"/>
          <w:szCs w:val="20"/>
        </w:rPr>
        <w:t>.</w:t>
      </w:r>
      <w:r w:rsidRPr="006C7A2C">
        <w:rPr>
          <w:color w:val="000000"/>
          <w:sz w:val="20"/>
          <w:szCs w:val="20"/>
          <w:rtl/>
        </w:rPr>
        <w:t xml:space="preserve"> </w:t>
      </w:r>
      <w:hyperlink r:id="rId177" w:tgtFrame="_blank" w:history="1">
        <w:r w:rsidRPr="006C7A2C">
          <w:rPr>
            <w:rStyle w:val="Hyperlink"/>
            <w:sz w:val="20"/>
            <w:szCs w:val="20"/>
            <w:rtl/>
          </w:rPr>
          <w:t xml:space="preserve">דו"ח המועצה הלאומית לכלכלה בנושא תעסוקת אברכים </w:t>
        </w:r>
      </w:hyperlink>
      <w:r w:rsidRPr="006C7A2C">
        <w:rPr>
          <w:color w:val="000000"/>
          <w:sz w:val="20"/>
          <w:szCs w:val="20"/>
          <w:highlight w:val="yellow"/>
          <w:rtl/>
        </w:rPr>
        <w:t>קובע כי אחד החסמים העיקריים ליציאת אברכים לעבודה היא אובדן תמיכות והנחות שמעניקה המדינה. על פי הדו"ח משפחת אברך שיצא לעבודה תפסיד תמיכות והנחות בסך 3000 עד 4000 שקל. אחד המרכיבים החשובים ביותר במערכת התמיכות הזאת היא קצבת הבטחת ההכנסה לאברכים. למדינת ישראל יש מדיניות מוצהרת של עידוד יציאת אברכים לעבודה והיא משקיעה בכך סכומי עתק. הנצחת קצבת הבטחת הכנסה לאברכים אינה יכולה לה</w:t>
      </w:r>
      <w:r>
        <w:rPr>
          <w:rFonts w:hint="cs"/>
          <w:color w:val="000000"/>
          <w:sz w:val="20"/>
          <w:szCs w:val="20"/>
          <w:highlight w:val="yellow"/>
          <w:rtl/>
        </w:rPr>
        <w:t>י</w:t>
      </w:r>
      <w:r w:rsidRPr="006C7A2C">
        <w:rPr>
          <w:color w:val="000000"/>
          <w:sz w:val="20"/>
          <w:szCs w:val="20"/>
          <w:highlight w:val="yellow"/>
          <w:rtl/>
        </w:rPr>
        <w:t>חשב אלא כניסיון חבלה מכוון במאמץ הלאומי הזה</w:t>
      </w:r>
      <w:r w:rsidRPr="006C7A2C">
        <w:rPr>
          <w:color w:val="000000"/>
          <w:sz w:val="20"/>
          <w:szCs w:val="20"/>
          <w:rtl/>
        </w:rPr>
        <w:t>.</w:t>
      </w:r>
    </w:p>
    <w:p w:rsidR="005366A8" w:rsidRPr="006C7A2C" w:rsidRDefault="005366A8" w:rsidP="005366A8">
      <w:pPr>
        <w:rPr>
          <w:color w:val="000000"/>
          <w:sz w:val="20"/>
          <w:szCs w:val="20"/>
          <w:rtl/>
        </w:rPr>
      </w:pPr>
    </w:p>
    <w:p w:rsidR="005366A8" w:rsidRPr="006C7A2C" w:rsidRDefault="005366A8" w:rsidP="005366A8">
      <w:pPr>
        <w:rPr>
          <w:color w:val="000000"/>
          <w:sz w:val="20"/>
          <w:szCs w:val="20"/>
          <w:rtl/>
        </w:rPr>
      </w:pPr>
      <w:r w:rsidRPr="006C7A2C">
        <w:rPr>
          <w:color w:val="000000"/>
          <w:sz w:val="20"/>
          <w:szCs w:val="20"/>
          <w:rtl/>
        </w:rPr>
        <w:t> </w:t>
      </w:r>
      <w:r w:rsidRPr="006C7A2C">
        <w:rPr>
          <w:rStyle w:val="Strong"/>
          <w:color w:val="000000"/>
          <w:sz w:val="20"/>
          <w:szCs w:val="20"/>
          <w:rtl/>
        </w:rPr>
        <w:t>הבטחת הכנסה</w:t>
      </w:r>
      <w:r w:rsidRPr="006C7A2C">
        <w:rPr>
          <w:rStyle w:val="Strong"/>
          <w:color w:val="000000"/>
          <w:sz w:val="20"/>
          <w:szCs w:val="20"/>
        </w:rPr>
        <w:t xml:space="preserve">? </w:t>
      </w:r>
      <w:r w:rsidRPr="006C7A2C">
        <w:rPr>
          <w:rStyle w:val="Strong"/>
          <w:color w:val="000000"/>
          <w:sz w:val="20"/>
          <w:szCs w:val="20"/>
          <w:rtl/>
        </w:rPr>
        <w:t>תקציב לישיבות</w:t>
      </w:r>
      <w:r w:rsidRPr="006C7A2C">
        <w:rPr>
          <w:rStyle w:val="Strong"/>
          <w:color w:val="000000"/>
          <w:sz w:val="20"/>
          <w:szCs w:val="20"/>
        </w:rPr>
        <w:t>.</w:t>
      </w:r>
      <w:r w:rsidRPr="006C7A2C">
        <w:rPr>
          <w:color w:val="000000"/>
          <w:sz w:val="20"/>
          <w:szCs w:val="20"/>
          <w:rtl/>
        </w:rPr>
        <w:t xml:space="preserve"> </w:t>
      </w:r>
      <w:r>
        <w:rPr>
          <w:rFonts w:hint="cs"/>
          <w:color w:val="000000"/>
          <w:sz w:val="20"/>
          <w:szCs w:val="20"/>
          <w:highlight w:val="yellow"/>
          <w:rtl/>
        </w:rPr>
        <w:t>..</w:t>
      </w:r>
      <w:r w:rsidRPr="006C7A2C">
        <w:rPr>
          <w:color w:val="000000"/>
          <w:sz w:val="20"/>
          <w:szCs w:val="20"/>
          <w:highlight w:val="yellow"/>
          <w:rtl/>
        </w:rPr>
        <w:t xml:space="preserve">. קצבת הבטחת ההכנסה מיועדת לאנשים שאינם יכולים להשתכר יותר (מיצו את יכולת ההשתכרות). כלומר היא מיועדת לנכים, חולים, נפגעי עבודה ומובטלים. קצבת הבטחת ההכנסה לאברכים ניתנת לאנשים שבחרו לא לעבוד כלומר להיות עניים מרצון ולחיות על חשבון משלם המיסים. קצבת הבטחת ההכנסה הרגילה לא ניתנת לתלמידים. קצבת הבטחת הכנסה לאברכים ניתנת רק לתלמידים שאינם עובדים. </w:t>
      </w:r>
      <w:r>
        <w:rPr>
          <w:rFonts w:hint="cs"/>
          <w:color w:val="000000"/>
          <w:sz w:val="20"/>
          <w:szCs w:val="20"/>
          <w:rtl/>
        </w:rPr>
        <w:t>...</w:t>
      </w:r>
    </w:p>
    <w:p w:rsidR="005366A8" w:rsidRPr="006C7A2C" w:rsidRDefault="005366A8" w:rsidP="005366A8">
      <w:pPr>
        <w:rPr>
          <w:color w:val="000000"/>
          <w:sz w:val="20"/>
          <w:szCs w:val="20"/>
          <w:rtl/>
        </w:rPr>
      </w:pPr>
    </w:p>
    <w:p w:rsidR="005366A8" w:rsidRPr="006C7A2C" w:rsidRDefault="005366A8" w:rsidP="005366A8">
      <w:pPr>
        <w:rPr>
          <w:color w:val="000000"/>
          <w:sz w:val="20"/>
          <w:szCs w:val="20"/>
          <w:rtl/>
        </w:rPr>
      </w:pPr>
      <w:r w:rsidRPr="006C7A2C">
        <w:rPr>
          <w:rStyle w:val="Strong"/>
          <w:color w:val="000000"/>
          <w:sz w:val="20"/>
          <w:szCs w:val="20"/>
          <w:rtl/>
        </w:rPr>
        <w:t>הבטחת הכנסה</w:t>
      </w:r>
      <w:r w:rsidRPr="006C7A2C">
        <w:rPr>
          <w:rStyle w:val="Strong"/>
          <w:color w:val="000000"/>
          <w:sz w:val="20"/>
          <w:szCs w:val="20"/>
        </w:rPr>
        <w:t xml:space="preserve">? </w:t>
      </w:r>
      <w:r w:rsidRPr="006C7A2C">
        <w:rPr>
          <w:rStyle w:val="Strong"/>
          <w:color w:val="000000"/>
          <w:sz w:val="20"/>
          <w:szCs w:val="20"/>
          <w:rtl/>
        </w:rPr>
        <w:t>קצבת ילדים</w:t>
      </w:r>
      <w:r w:rsidRPr="006C7A2C">
        <w:rPr>
          <w:rStyle w:val="Strong"/>
          <w:color w:val="000000"/>
          <w:sz w:val="20"/>
          <w:szCs w:val="20"/>
        </w:rPr>
        <w:t>.</w:t>
      </w:r>
      <w:r w:rsidRPr="006C7A2C">
        <w:rPr>
          <w:color w:val="000000"/>
          <w:sz w:val="20"/>
          <w:szCs w:val="20"/>
          <w:rtl/>
        </w:rPr>
        <w:t xml:space="preserve"> </w:t>
      </w:r>
      <w:r w:rsidRPr="006C7A2C">
        <w:rPr>
          <w:color w:val="000000"/>
          <w:sz w:val="20"/>
          <w:szCs w:val="20"/>
          <w:highlight w:val="yellow"/>
          <w:rtl/>
        </w:rPr>
        <w:t>קצבת הבטחת הכנסה ניתנת על פי מבחן הכנסה. קצבת הבטחת הכנסה לאברכים ניתנת בעיקר על פי מבחני ילודה ותעסוקה. מקבל אותה זוג ששני ההורים בו אינם עובדים ונולד להם ילד שלישי. כלומר, קצבת הבטחת ההכנסה לאברכים היא בעצם סוג של תוספת לקצבת הילד השלישי. אדם רגיל מקבל עבור הילד השלישי 252 שקלים. האברך מקבל</w:t>
      </w:r>
      <w:r>
        <w:rPr>
          <w:color w:val="000000"/>
          <w:sz w:val="20"/>
          <w:szCs w:val="20"/>
          <w:highlight w:val="yellow"/>
          <w:rtl/>
        </w:rPr>
        <w:t xml:space="preserve"> </w:t>
      </w:r>
      <w:r w:rsidRPr="006C7A2C">
        <w:rPr>
          <w:color w:val="000000"/>
          <w:sz w:val="20"/>
          <w:szCs w:val="20"/>
          <w:highlight w:val="yellow"/>
          <w:rtl/>
        </w:rPr>
        <w:t>עוד 1040 ובלבד שאשתו לא תעבוד או תעבוד בהיקף קטן מאד (עד 1200 שקל). האברך יקבל את הקצבה בלי שום קשר לשאלה כמה כסף יקבל מהכולל</w:t>
      </w:r>
      <w:r>
        <w:rPr>
          <w:rFonts w:hint="cs"/>
          <w:color w:val="000000"/>
          <w:sz w:val="20"/>
          <w:szCs w:val="20"/>
          <w:highlight w:val="yellow"/>
          <w:rtl/>
        </w:rPr>
        <w:t xml:space="preserve"> </w:t>
      </w:r>
      <w:r w:rsidRPr="003F1A4A">
        <w:rPr>
          <w:rFonts w:cs="David" w:hint="cs"/>
          <w:color w:val="000000"/>
          <w:sz w:val="18"/>
          <w:szCs w:val="18"/>
          <w:highlight w:val="yellow"/>
          <w:rtl/>
        </w:rPr>
        <w:t>[מלגת הלימודים]</w:t>
      </w:r>
      <w:r w:rsidRPr="006C7A2C">
        <w:rPr>
          <w:color w:val="000000"/>
          <w:sz w:val="20"/>
          <w:szCs w:val="20"/>
          <w:highlight w:val="yellow"/>
          <w:rtl/>
        </w:rPr>
        <w:t>, בין אם הכולל ישלם לו 850 שקל ובין אם יקבל 3000.</w:t>
      </w:r>
    </w:p>
    <w:p w:rsidR="005366A8" w:rsidRPr="006C7A2C" w:rsidRDefault="005366A8" w:rsidP="005366A8">
      <w:pPr>
        <w:rPr>
          <w:color w:val="000000"/>
          <w:sz w:val="20"/>
          <w:szCs w:val="20"/>
          <w:rtl/>
        </w:rPr>
      </w:pPr>
      <w:r w:rsidRPr="006C7A2C">
        <w:rPr>
          <w:color w:val="000000"/>
          <w:sz w:val="20"/>
          <w:szCs w:val="20"/>
          <w:rtl/>
        </w:rPr>
        <w:t> </w:t>
      </w:r>
    </w:p>
    <w:p w:rsidR="005366A8" w:rsidRPr="006C7A2C" w:rsidRDefault="005366A8" w:rsidP="005366A8">
      <w:pPr>
        <w:rPr>
          <w:sz w:val="20"/>
          <w:szCs w:val="20"/>
          <w:rtl/>
        </w:rPr>
      </w:pPr>
      <w:r w:rsidRPr="006C7A2C">
        <w:rPr>
          <w:rStyle w:val="Strong"/>
          <w:color w:val="000000"/>
          <w:sz w:val="20"/>
          <w:szCs w:val="20"/>
          <w:rtl/>
        </w:rPr>
        <w:t xml:space="preserve">מספר מקבלי הקצבה גדל פי </w:t>
      </w:r>
      <w:r w:rsidRPr="006C7A2C">
        <w:rPr>
          <w:rStyle w:val="Strong"/>
          <w:color w:val="000000"/>
          <w:sz w:val="20"/>
          <w:szCs w:val="20"/>
        </w:rPr>
        <w:t>4.</w:t>
      </w:r>
      <w:r w:rsidRPr="006C7A2C">
        <w:rPr>
          <w:color w:val="000000"/>
          <w:sz w:val="20"/>
          <w:szCs w:val="20"/>
          <w:rtl/>
        </w:rPr>
        <w:t xml:space="preserve"> </w:t>
      </w:r>
      <w:r w:rsidRPr="006C7A2C">
        <w:rPr>
          <w:color w:val="000000"/>
          <w:sz w:val="20"/>
          <w:szCs w:val="20"/>
          <w:highlight w:val="yellow"/>
          <w:rtl/>
        </w:rPr>
        <w:t xml:space="preserve">גובה קצבת הבטחת ההכנסה 1040 שקלים לחודש. העלות לכ-11 אלף אברכים היא כ-132 מליון שקלים לשנה. </w:t>
      </w:r>
      <w:r>
        <w:rPr>
          <w:rFonts w:hint="cs"/>
          <w:color w:val="000000"/>
          <w:sz w:val="20"/>
          <w:szCs w:val="20"/>
          <w:highlight w:val="yellow"/>
          <w:rtl/>
        </w:rPr>
        <w:t>...</w:t>
      </w:r>
      <w:r w:rsidRPr="006C7A2C">
        <w:rPr>
          <w:color w:val="000000"/>
          <w:sz w:val="20"/>
          <w:szCs w:val="20"/>
          <w:highlight w:val="yellow"/>
          <w:rtl/>
        </w:rPr>
        <w:t xml:space="preserve"> אין כל פסול בכך שמדינה יהודית תממן לימודים של אברכים. הבעיה היא שבשל ההסכמים הקואליציוניים היא נדרשת לממן ממספר בלתי מוגבל של אברכים. כך גדל מספר האברכים שמקבלים קצבת כולל (845 שקלים לחודש) מ-40 אלף בתחילת העשור ל-70 אלף בסופם. כך גדל מספר האברכים שמקבלים קצבת הבטחת הכנסה מ-2</w:t>
      </w:r>
      <w:r>
        <w:rPr>
          <w:rFonts w:hint="cs"/>
          <w:color w:val="000000"/>
          <w:sz w:val="20"/>
          <w:szCs w:val="20"/>
          <w:highlight w:val="yellow"/>
          <w:rtl/>
        </w:rPr>
        <w:t>,</w:t>
      </w:r>
      <w:r w:rsidRPr="006C7A2C">
        <w:rPr>
          <w:color w:val="000000"/>
          <w:sz w:val="20"/>
          <w:szCs w:val="20"/>
          <w:highlight w:val="yellow"/>
          <w:rtl/>
        </w:rPr>
        <w:t>650 ב-1986 ל-11 אלף בשנה שעברה, גידול של פי ארבעה תוך חצי יובל</w:t>
      </w:r>
      <w:r w:rsidRPr="006C7A2C">
        <w:rPr>
          <w:color w:val="000000"/>
          <w:sz w:val="20"/>
          <w:szCs w:val="20"/>
          <w:rtl/>
        </w:rPr>
        <w:t>.</w:t>
      </w:r>
    </w:p>
    <w:p w:rsidR="005366A8" w:rsidRDefault="005366A8" w:rsidP="005366A8"/>
    <w:p w:rsidR="005366A8" w:rsidRDefault="005366A8" w:rsidP="005366A8">
      <w:pPr>
        <w:rPr>
          <w:color w:val="000000"/>
          <w:sz w:val="20"/>
          <w:szCs w:val="20"/>
          <w:highlight w:val="yellow"/>
          <w:rtl/>
        </w:rPr>
      </w:pPr>
      <w:r>
        <w:rPr>
          <w:rStyle w:val="Strong"/>
          <w:rFonts w:hint="cs"/>
          <w:color w:val="000000"/>
          <w:sz w:val="20"/>
          <w:szCs w:val="20"/>
          <w:rtl/>
        </w:rPr>
        <w:t>מה זה שכר לימוד</w:t>
      </w:r>
      <w:r>
        <w:rPr>
          <w:rFonts w:hint="cs"/>
          <w:color w:val="000000"/>
          <w:sz w:val="20"/>
          <w:szCs w:val="20"/>
          <w:rtl/>
        </w:rPr>
        <w:t>?</w:t>
      </w:r>
      <w:r w:rsidRPr="006C7A2C">
        <w:rPr>
          <w:color w:val="000000"/>
          <w:sz w:val="20"/>
          <w:szCs w:val="20"/>
          <w:rtl/>
        </w:rPr>
        <w:t xml:space="preserve"> </w:t>
      </w:r>
      <w:r w:rsidRPr="006C7A2C">
        <w:rPr>
          <w:color w:val="000000"/>
          <w:sz w:val="20"/>
          <w:szCs w:val="20"/>
          <w:highlight w:val="yellow"/>
          <w:rtl/>
        </w:rPr>
        <w:t xml:space="preserve">דברי ההסבר להצעת חוק מלגת קיום לתלמידי כולל (חוק קצבת ההכנסה לאברכים) מציינים שעל פי נתוני האוצר סטודנטים </w:t>
      </w:r>
      <w:hyperlink r:id="rId178" w:tgtFrame="_blank" w:history="1">
        <w:r w:rsidRPr="006C7A2C">
          <w:rPr>
            <w:rStyle w:val="Hyperlink"/>
            <w:sz w:val="20"/>
            <w:szCs w:val="20"/>
            <w:rtl/>
          </w:rPr>
          <w:t>מקבלים תמיכה מהמדינה בסך 450 מליון שקלים</w:t>
        </w:r>
      </w:hyperlink>
      <w:r w:rsidRPr="006C7A2C">
        <w:rPr>
          <w:color w:val="000000"/>
          <w:sz w:val="20"/>
          <w:szCs w:val="20"/>
          <w:highlight w:val="yellow"/>
          <w:rtl/>
        </w:rPr>
        <w:t xml:space="preserve"> ולכן מוצדק לממן את קצבת הבטחת ההכנסה. מה שהצעת החוק לא מציינת הוא שסטודנטים משלמים שכר לימוד של עשרת אלפים שקלים לשנה בזמן שאברכים מקבלים מלגת כולל בסך עשרת אלפים שקלים בשנה. לכן חלק גדול מהתמיכה לסטודנטים מיועד למימון שכר הלימוד, מושג שכלל לא מוכר בכוללי האברכים. </w:t>
      </w:r>
    </w:p>
    <w:p w:rsidR="005366A8" w:rsidRPr="006C7A2C" w:rsidRDefault="005366A8" w:rsidP="005366A8">
      <w:pPr>
        <w:rPr>
          <w:sz w:val="20"/>
          <w:szCs w:val="20"/>
          <w:rtl/>
        </w:rPr>
      </w:pPr>
      <w:r w:rsidRPr="006C7A2C">
        <w:rPr>
          <w:color w:val="000000"/>
          <w:sz w:val="20"/>
          <w:szCs w:val="20"/>
          <w:highlight w:val="yellow"/>
          <w:rtl/>
        </w:rPr>
        <w:t>עוד הקפידו מגישי הצעת החוק לא לציין שחלק גדול מהתמיכות לסטודנטים</w:t>
      </w:r>
      <w:r>
        <w:rPr>
          <w:color w:val="000000"/>
          <w:sz w:val="20"/>
          <w:szCs w:val="20"/>
          <w:highlight w:val="yellow"/>
          <w:rtl/>
        </w:rPr>
        <w:t xml:space="preserve"> </w:t>
      </w:r>
      <w:r w:rsidRPr="006C7A2C">
        <w:rPr>
          <w:color w:val="000000"/>
          <w:sz w:val="20"/>
          <w:szCs w:val="20"/>
          <w:highlight w:val="yellow"/>
          <w:rtl/>
        </w:rPr>
        <w:t>ניתן תמורת התנדבות (פר"ח) או למגזרים מיוחדים (עולים), כלומר בעצם משווים פה נתונים שאין כל קשר ביניהם.</w:t>
      </w:r>
    </w:p>
    <w:p w:rsidR="005366A8" w:rsidRPr="003F1A4A" w:rsidRDefault="005366A8" w:rsidP="005366A8">
      <w:pPr>
        <w:ind w:left="720"/>
        <w:rPr>
          <w:rFonts w:cs="David"/>
          <w:sz w:val="20"/>
          <w:szCs w:val="20"/>
          <w:rtl/>
        </w:rPr>
      </w:pPr>
      <w:r w:rsidRPr="003F1A4A">
        <w:rPr>
          <w:rFonts w:cs="David" w:hint="cs"/>
          <w:sz w:val="20"/>
          <w:szCs w:val="20"/>
          <w:rtl/>
        </w:rPr>
        <w:t>[עוד נקודה בעייתית בענייני הנתונים הנמסרים על ידי מציעי החוק: הם משווים בין סך ההטבות לסטודנטים (שאגב מספרם רב ולכן תמונת התמיכה היחסית</w:t>
      </w:r>
      <w:r>
        <w:rPr>
          <w:rFonts w:cs="David" w:hint="cs"/>
          <w:sz w:val="20"/>
          <w:szCs w:val="20"/>
          <w:rtl/>
        </w:rPr>
        <w:t>/הפרופורציונאלית פר-</w:t>
      </w:r>
      <w:r w:rsidRPr="003F1A4A">
        <w:rPr>
          <w:rFonts w:cs="David" w:hint="cs"/>
          <w:sz w:val="20"/>
          <w:szCs w:val="20"/>
          <w:rtl/>
        </w:rPr>
        <w:t xml:space="preserve">סטודנט מתעוותת) לבין </w:t>
      </w:r>
      <w:r>
        <w:rPr>
          <w:rFonts w:cs="David" w:hint="cs"/>
          <w:sz w:val="20"/>
          <w:szCs w:val="20"/>
          <w:rtl/>
        </w:rPr>
        <w:t>רק חלק מה</w:t>
      </w:r>
      <w:r w:rsidRPr="003F1A4A">
        <w:rPr>
          <w:rFonts w:cs="David" w:hint="cs"/>
          <w:sz w:val="20"/>
          <w:szCs w:val="20"/>
          <w:rtl/>
        </w:rPr>
        <w:t>הטבות לתלמידי ישיבות.</w:t>
      </w:r>
      <w:r>
        <w:rPr>
          <w:rFonts w:cs="David" w:hint="cs"/>
          <w:sz w:val="20"/>
          <w:szCs w:val="20"/>
          <w:rtl/>
        </w:rPr>
        <w:t xml:space="preserve"> </w:t>
      </w:r>
      <w:r w:rsidRPr="003F1A4A">
        <w:rPr>
          <w:rFonts w:cs="David" w:hint="cs"/>
          <w:sz w:val="20"/>
          <w:szCs w:val="20"/>
          <w:rtl/>
        </w:rPr>
        <w:t>הם לא כוללים ב</w:t>
      </w:r>
      <w:r>
        <w:rPr>
          <w:rFonts w:cs="David" w:hint="cs"/>
          <w:sz w:val="20"/>
          <w:szCs w:val="20"/>
          <w:rtl/>
        </w:rPr>
        <w:t xml:space="preserve">נתונים </w:t>
      </w:r>
      <w:r w:rsidRPr="003F1A4A">
        <w:rPr>
          <w:rFonts w:cs="David" w:hint="cs"/>
          <w:sz w:val="20"/>
          <w:szCs w:val="20"/>
          <w:rtl/>
        </w:rPr>
        <w:t xml:space="preserve">את הכספים </w:t>
      </w:r>
      <w:r>
        <w:rPr>
          <w:rFonts w:cs="David" w:hint="cs"/>
          <w:sz w:val="20"/>
          <w:szCs w:val="20"/>
          <w:rtl/>
        </w:rPr>
        <w:t xml:space="preserve">המוקצים </w:t>
      </w:r>
      <w:r w:rsidRPr="003F1A4A">
        <w:rPr>
          <w:rFonts w:cs="David" w:hint="cs"/>
          <w:sz w:val="20"/>
          <w:szCs w:val="20"/>
          <w:rtl/>
        </w:rPr>
        <w:t>ל"קצבת הכולל", קרי מלגת הלימודים הניתנת על ידי הישיבה לכל אחד מתלמידיה מתוך תקציב המדינה המוקצה לכך.</w:t>
      </w:r>
      <w:r>
        <w:rPr>
          <w:rFonts w:cs="David" w:hint="cs"/>
          <w:sz w:val="20"/>
          <w:szCs w:val="20"/>
          <w:rtl/>
        </w:rPr>
        <w:t xml:space="preserve"> </w:t>
      </w:r>
      <w:r w:rsidRPr="003F1A4A">
        <w:rPr>
          <w:rFonts w:cs="David" w:hint="cs"/>
          <w:sz w:val="20"/>
          <w:szCs w:val="20"/>
          <w:rtl/>
        </w:rPr>
        <w:t xml:space="preserve">132 מיליון הם הסכום </w:t>
      </w:r>
      <w:r>
        <w:rPr>
          <w:rFonts w:cs="David" w:hint="cs"/>
          <w:sz w:val="20"/>
          <w:szCs w:val="20"/>
          <w:rtl/>
        </w:rPr>
        <w:t>המתווסף לכך, הנ</w:t>
      </w:r>
      <w:r w:rsidRPr="003F1A4A">
        <w:rPr>
          <w:rFonts w:cs="David" w:hint="cs"/>
          <w:sz w:val="20"/>
          <w:szCs w:val="20"/>
          <w:rtl/>
        </w:rPr>
        <w:t>יתן לתלמידי ישיבה בעלי משפחות בתנאים הנזכרים לעיל.]</w:t>
      </w:r>
    </w:p>
    <w:p w:rsidR="005366A8" w:rsidRDefault="005366A8" w:rsidP="005366A8">
      <w:pPr>
        <w:rPr>
          <w:rFonts w:ascii="Arial" w:hAnsi="Arial"/>
          <w:sz w:val="20"/>
          <w:szCs w:val="20"/>
          <w:rtl/>
        </w:rPr>
      </w:pPr>
    </w:p>
    <w:p w:rsidR="005366A8" w:rsidRDefault="005366A8" w:rsidP="005366A8">
      <w:pPr>
        <w:rPr>
          <w:rFonts w:ascii="Arial" w:hAnsi="Arial"/>
          <w:sz w:val="20"/>
          <w:szCs w:val="20"/>
          <w:rtl/>
        </w:rPr>
      </w:pPr>
      <w:r>
        <w:rPr>
          <w:rFonts w:ascii="Arial" w:hAnsi="Arial" w:hint="cs"/>
          <w:sz w:val="20"/>
          <w:szCs w:val="20"/>
          <w:rtl/>
        </w:rPr>
        <w:t>=-=</w:t>
      </w:r>
    </w:p>
    <w:p w:rsidR="005366A8" w:rsidRPr="003B2CBF" w:rsidRDefault="005366A8" w:rsidP="005366A8">
      <w:pPr>
        <w:rPr>
          <w:rFonts w:ascii="Arial" w:hAnsi="Arial" w:cs="Arial"/>
          <w:b/>
          <w:bCs/>
          <w:sz w:val="20"/>
          <w:szCs w:val="20"/>
          <w:highlight w:val="yellow"/>
          <w:rtl/>
        </w:rPr>
      </w:pPr>
      <w:r w:rsidRPr="003B2CBF">
        <w:rPr>
          <w:rFonts w:ascii="Arial" w:hAnsi="Arial" w:cs="Arial"/>
          <w:b/>
          <w:bCs/>
          <w:sz w:val="20"/>
          <w:szCs w:val="20"/>
          <w:highlight w:val="yellow"/>
          <w:rtl/>
        </w:rPr>
        <w:t>הויכוח המהותי ביחס לגמלאות הבטחת הכנסה לתלמידי כוללים שהם בעלי משפחות, נוגע בשני עניינים בעצם:</w:t>
      </w:r>
    </w:p>
    <w:p w:rsidR="005366A8" w:rsidRPr="003B2CBF" w:rsidRDefault="005366A8" w:rsidP="005366A8">
      <w:pPr>
        <w:rPr>
          <w:rFonts w:ascii="Arial" w:hAnsi="Arial" w:cs="Arial"/>
          <w:b/>
          <w:bCs/>
          <w:sz w:val="20"/>
          <w:szCs w:val="20"/>
          <w:highlight w:val="yellow"/>
          <w:rtl/>
        </w:rPr>
      </w:pPr>
      <w:r w:rsidRPr="003B2CBF">
        <w:rPr>
          <w:rFonts w:ascii="Arial" w:hAnsi="Arial" w:cs="Arial"/>
          <w:b/>
          <w:bCs/>
          <w:sz w:val="20"/>
          <w:szCs w:val="20"/>
          <w:highlight w:val="yellow"/>
          <w:rtl/>
        </w:rPr>
        <w:t>(1). הויכוח על ההפליה בהשוואה לסטודנטים במוסדות ההשכלה הגבוהה;</w:t>
      </w:r>
    </w:p>
    <w:p w:rsidR="005366A8" w:rsidRPr="00B33FE5" w:rsidRDefault="005366A8" w:rsidP="005366A8">
      <w:pPr>
        <w:rPr>
          <w:rFonts w:ascii="Arial" w:hAnsi="Arial" w:cs="Arial"/>
          <w:sz w:val="20"/>
          <w:szCs w:val="20"/>
          <w:rtl/>
        </w:rPr>
      </w:pPr>
      <w:r w:rsidRPr="003B2CBF">
        <w:rPr>
          <w:rFonts w:ascii="Arial" w:hAnsi="Arial" w:cs="Arial"/>
          <w:b/>
          <w:bCs/>
          <w:sz w:val="20"/>
          <w:szCs w:val="20"/>
          <w:highlight w:val="yellow"/>
          <w:rtl/>
        </w:rPr>
        <w:t>(2). הויכוח על עצם התמיכה ובעיקר היקף התמיכה בעולם הישיבות.</w:t>
      </w:r>
    </w:p>
    <w:p w:rsidR="005366A8" w:rsidRDefault="005366A8" w:rsidP="005366A8">
      <w:pPr>
        <w:rPr>
          <w:rFonts w:ascii="Arial" w:hAnsi="Arial"/>
          <w:sz w:val="20"/>
          <w:szCs w:val="20"/>
          <w:rtl/>
        </w:rPr>
      </w:pPr>
    </w:p>
    <w:p w:rsidR="005366A8" w:rsidRDefault="005366A8" w:rsidP="005366A8">
      <w:pPr>
        <w:rPr>
          <w:rFonts w:ascii="Arial" w:hAnsi="Arial"/>
          <w:sz w:val="20"/>
          <w:szCs w:val="20"/>
          <w:rtl/>
        </w:rPr>
      </w:pPr>
      <w:r>
        <w:rPr>
          <w:rFonts w:ascii="Arial" w:hAnsi="Arial" w:hint="cs"/>
          <w:sz w:val="20"/>
          <w:szCs w:val="20"/>
          <w:rtl/>
        </w:rPr>
        <w:t>ראיתם את דברי ההסבר להצעת החוק שיוזמה הוא יו"ר ועדת הכספים חבה"כ משה גפני, וראיתם מנגד את טיעוניו של שחר אילן. יש מספר נקודות שהייתי רוצה להוסיף לדיון:</w:t>
      </w:r>
    </w:p>
    <w:p w:rsidR="005366A8" w:rsidRPr="003F1A4A" w:rsidRDefault="005366A8" w:rsidP="005366A8">
      <w:pPr>
        <w:rPr>
          <w:rFonts w:ascii="Arial" w:hAnsi="Arial"/>
          <w:sz w:val="20"/>
          <w:szCs w:val="20"/>
          <w:rtl/>
        </w:rPr>
      </w:pPr>
    </w:p>
    <w:p w:rsidR="005366A8" w:rsidRDefault="005366A8" w:rsidP="005366A8">
      <w:pPr>
        <w:rPr>
          <w:sz w:val="20"/>
          <w:szCs w:val="20"/>
          <w:rtl/>
        </w:rPr>
      </w:pPr>
      <w:r>
        <w:rPr>
          <w:rFonts w:hint="cs"/>
          <w:sz w:val="20"/>
          <w:szCs w:val="20"/>
          <w:rtl/>
        </w:rPr>
        <w:t xml:space="preserve">א. הדבר המיוחד בפס"ד יקותיאלי הוא שבית המשפט </w:t>
      </w:r>
      <w:r w:rsidRPr="0098360B">
        <w:rPr>
          <w:rFonts w:hint="cs"/>
          <w:sz w:val="20"/>
          <w:szCs w:val="20"/>
          <w:highlight w:val="yellow"/>
          <w:rtl/>
        </w:rPr>
        <w:t xml:space="preserve">פוסל הוראה בחוק התקציב </w:t>
      </w:r>
      <w:r>
        <w:rPr>
          <w:rFonts w:hint="cs"/>
          <w:sz w:val="20"/>
          <w:szCs w:val="20"/>
          <w:highlight w:val="yellow"/>
          <w:rtl/>
        </w:rPr>
        <w:t xml:space="preserve">לא מכוח </w:t>
      </w:r>
      <w:r w:rsidRPr="0098360B">
        <w:rPr>
          <w:rFonts w:hint="cs"/>
          <w:sz w:val="20"/>
          <w:szCs w:val="20"/>
          <w:highlight w:val="yellow"/>
          <w:rtl/>
        </w:rPr>
        <w:t xml:space="preserve">נורמה חוקתית אלא </w:t>
      </w:r>
      <w:r>
        <w:rPr>
          <w:rFonts w:hint="cs"/>
          <w:sz w:val="20"/>
          <w:szCs w:val="20"/>
          <w:highlight w:val="yellow"/>
          <w:rtl/>
        </w:rPr>
        <w:t xml:space="preserve">מכוח </w:t>
      </w:r>
      <w:r w:rsidRPr="0098360B">
        <w:rPr>
          <w:rFonts w:hint="cs"/>
          <w:sz w:val="20"/>
          <w:szCs w:val="20"/>
          <w:highlight w:val="yellow"/>
          <w:rtl/>
        </w:rPr>
        <w:t>נורמה חוקית</w:t>
      </w:r>
      <w:r>
        <w:rPr>
          <w:rFonts w:hint="cs"/>
          <w:sz w:val="20"/>
          <w:szCs w:val="20"/>
          <w:rtl/>
        </w:rPr>
        <w:t xml:space="preserve"> (</w:t>
      </w:r>
      <w:r w:rsidRPr="0098360B">
        <w:rPr>
          <w:sz w:val="20"/>
          <w:szCs w:val="20"/>
          <w:rtl/>
        </w:rPr>
        <w:t>חוק יסודות התקציב, תשמ"ה-1985</w:t>
      </w:r>
      <w:r>
        <w:rPr>
          <w:rFonts w:hint="cs"/>
          <w:sz w:val="20"/>
          <w:szCs w:val="20"/>
          <w:rtl/>
        </w:rPr>
        <w:t>, שאינו חוק יסוד אלא "חוק מסגרת" המצוי בגדרו של רובד החקיקה בפירמידה הנורמטיבית). [דיון בכך בכיתה]</w:t>
      </w:r>
    </w:p>
    <w:p w:rsidR="005366A8" w:rsidRDefault="005366A8" w:rsidP="005366A8">
      <w:pPr>
        <w:rPr>
          <w:sz w:val="20"/>
          <w:szCs w:val="20"/>
          <w:rtl/>
        </w:rPr>
      </w:pPr>
    </w:p>
    <w:p w:rsidR="005366A8" w:rsidRDefault="005366A8" w:rsidP="005366A8">
      <w:pPr>
        <w:rPr>
          <w:sz w:val="20"/>
          <w:szCs w:val="20"/>
          <w:rtl/>
        </w:rPr>
      </w:pPr>
      <w:r>
        <w:rPr>
          <w:rFonts w:hint="cs"/>
          <w:sz w:val="20"/>
          <w:szCs w:val="20"/>
          <w:rtl/>
        </w:rPr>
        <w:t xml:space="preserve">ב. דיון חוקתי בוחן בדרך כלל האם נפגעו זכויות יסוד חוקתיות, ובוחן את התקיימות תנאי ההצדקה לפגיעה בעניינן ("בחוק או מכוח הסמכה מפורשת בחוק", "תכלית" ו"מידתיות"). זה מתאים לטיעון (1) לעיל. טיעון (2) לעיל נוגע לתבונתה/ אי-תבונתה של מדיניות הקצאת התמיכות בישיבות </w:t>
      </w:r>
      <w:r>
        <w:rPr>
          <w:sz w:val="20"/>
          <w:szCs w:val="20"/>
          <w:rtl/>
        </w:rPr>
        <w:t>–</w:t>
      </w:r>
      <w:r>
        <w:rPr>
          <w:rFonts w:hint="cs"/>
          <w:sz w:val="20"/>
          <w:szCs w:val="20"/>
          <w:rtl/>
        </w:rPr>
        <w:t xml:space="preserve"> וכדי שיוכל להשתתף בגיבושה של ביקורת שיפוטית חוקתית על חוק, הרי שהוא צריך להיות מעובד/ מנותח דרך השאלה באיזה זכויות פוגעת ההוראה הנבחנת של חוק התקציב. אם סטודנטים היו מקבלים את מה שתלמידי הישיבות מקבלים, וההפליה הייתה לכאורה מסולקת האם היו מסתממות הטענות כלפי מדיניות ההטבות לתלמידי ישיבות? האם ההפליה כלפי הסטודנטים היא הבעיה החוקתית היחידה שמעוררת המדיניות כלפי הישיבות?</w:t>
      </w:r>
    </w:p>
    <w:p w:rsidR="005366A8" w:rsidRDefault="005366A8" w:rsidP="005366A8">
      <w:pPr>
        <w:rPr>
          <w:sz w:val="20"/>
          <w:szCs w:val="20"/>
          <w:rtl/>
        </w:rPr>
      </w:pPr>
    </w:p>
    <w:p w:rsidR="005366A8" w:rsidRDefault="005366A8" w:rsidP="005366A8">
      <w:pPr>
        <w:rPr>
          <w:sz w:val="20"/>
          <w:szCs w:val="20"/>
          <w:rtl/>
        </w:rPr>
      </w:pPr>
      <w:r>
        <w:rPr>
          <w:rFonts w:hint="cs"/>
          <w:sz w:val="20"/>
          <w:szCs w:val="20"/>
          <w:rtl/>
        </w:rPr>
        <w:t xml:space="preserve">ג. ביטול גמלאות הבטחת ההכנסה לתלמידי ישיבות בעלי משפחה מעורר אכן בעיה הנוגעת לרווחת </w:t>
      </w:r>
      <w:r w:rsidRPr="003F1A4A">
        <w:rPr>
          <w:rFonts w:hint="cs"/>
          <w:sz w:val="20"/>
          <w:szCs w:val="20"/>
          <w:rtl/>
        </w:rPr>
        <w:t>משפחת האבר</w:t>
      </w:r>
      <w:r>
        <w:rPr>
          <w:rFonts w:hint="cs"/>
          <w:sz w:val="20"/>
          <w:szCs w:val="20"/>
          <w:rtl/>
        </w:rPr>
        <w:t>ך</w:t>
      </w:r>
      <w:r w:rsidRPr="003F1A4A">
        <w:rPr>
          <w:rFonts w:hint="cs"/>
          <w:sz w:val="20"/>
          <w:szCs w:val="20"/>
          <w:rtl/>
        </w:rPr>
        <w:t>.</w:t>
      </w:r>
      <w:r>
        <w:rPr>
          <w:rFonts w:hint="cs"/>
          <w:sz w:val="20"/>
          <w:szCs w:val="20"/>
          <w:rtl/>
        </w:rPr>
        <w:t xml:space="preserve"> בעיה זו מתעוררת בוודאות במצב שבו מפסיקים גמלאות לאחר פרקטיקה ארוכת שנים, כשיש ילדים ומשפחה, וכאשר היציאה לעבודה אינה פשוטה בהינתן שוק העבודה ובהינתן כישורי העבודה הנוכחיים של תלמידי הכוללים. </w:t>
      </w:r>
    </w:p>
    <w:p w:rsidR="005366A8" w:rsidRDefault="005366A8" w:rsidP="005366A8">
      <w:pPr>
        <w:rPr>
          <w:sz w:val="20"/>
          <w:szCs w:val="20"/>
          <w:rtl/>
        </w:rPr>
      </w:pPr>
      <w:r>
        <w:rPr>
          <w:rFonts w:hint="cs"/>
          <w:sz w:val="20"/>
          <w:szCs w:val="20"/>
          <w:rtl/>
        </w:rPr>
        <w:t>ואולם האם מצב דברים זה מונע כל מהלך של שינוי, משמע, האם הוא מצדיק את המשך המדיניות הנוכחית לנצח? התשובה לטעמי שלילית. הפתרון הראוי הוא יצירת "</w:t>
      </w:r>
      <w:r w:rsidRPr="003F1A4A">
        <w:rPr>
          <w:rFonts w:hint="cs"/>
          <w:sz w:val="20"/>
          <w:szCs w:val="20"/>
          <w:rtl/>
        </w:rPr>
        <w:t>הוראות מעבר"</w:t>
      </w:r>
      <w:r>
        <w:rPr>
          <w:rFonts w:hint="cs"/>
          <w:sz w:val="20"/>
          <w:szCs w:val="20"/>
          <w:rtl/>
        </w:rPr>
        <w:t xml:space="preserve">: ביטול המלגות רק לאחר כברת זמן, ויצירה מקבילה של אפיקי הכשרה מקצועית בתקופת הביניים. </w:t>
      </w:r>
    </w:p>
    <w:p w:rsidR="005366A8" w:rsidRDefault="005366A8" w:rsidP="005366A8">
      <w:pPr>
        <w:rPr>
          <w:sz w:val="20"/>
          <w:szCs w:val="20"/>
          <w:rtl/>
        </w:rPr>
      </w:pPr>
      <w:r>
        <w:rPr>
          <w:rFonts w:hint="cs"/>
          <w:sz w:val="20"/>
          <w:szCs w:val="20"/>
          <w:rtl/>
        </w:rPr>
        <w:t xml:space="preserve">יתר על כן, ברור לטעמי, כי המדינה רשאית לאפשר מלגות קיום </w:t>
      </w:r>
      <w:r w:rsidRPr="00630C0E">
        <w:rPr>
          <w:rFonts w:hint="cs"/>
          <w:i/>
          <w:iCs/>
          <w:sz w:val="20"/>
          <w:szCs w:val="20"/>
          <w:rtl/>
        </w:rPr>
        <w:t>למקצת</w:t>
      </w:r>
      <w:r>
        <w:rPr>
          <w:rFonts w:hint="cs"/>
          <w:sz w:val="20"/>
          <w:szCs w:val="20"/>
          <w:rtl/>
        </w:rPr>
        <w:t xml:space="preserve"> תלמידי הישיבות, מטעמים שקשורים לערך התרבותי שבעולם הישיבות, חיוניותו להמשכיות התרבותית של החרדים, ואולי גם לערכי קהילת הרוב בכללה. ואולם ערכים אלו אינם מצדיקים את התמיכה המקיפה בהשכלה הישיבתית של הגברים החרדים </w:t>
      </w:r>
      <w:r>
        <w:rPr>
          <w:sz w:val="20"/>
          <w:szCs w:val="20"/>
          <w:rtl/>
        </w:rPr>
        <w:t>–</w:t>
      </w:r>
      <w:r>
        <w:rPr>
          <w:rFonts w:hint="cs"/>
          <w:sz w:val="20"/>
          <w:szCs w:val="20"/>
          <w:rtl/>
        </w:rPr>
        <w:t xml:space="preserve"> כלומר לכל צעיר חרדי המעוניין בכך, על בסיס הנמשך עקרונית תקופה לא מוגבלת של שנים. </w:t>
      </w:r>
    </w:p>
    <w:p w:rsidR="005366A8" w:rsidRDefault="005366A8" w:rsidP="005366A8">
      <w:pPr>
        <w:rPr>
          <w:sz w:val="20"/>
          <w:szCs w:val="20"/>
          <w:rtl/>
        </w:rPr>
      </w:pPr>
    </w:p>
    <w:p w:rsidR="005366A8" w:rsidRDefault="005366A8" w:rsidP="005366A8">
      <w:pPr>
        <w:rPr>
          <w:sz w:val="20"/>
          <w:szCs w:val="20"/>
          <w:rtl/>
        </w:rPr>
      </w:pPr>
      <w:r>
        <w:rPr>
          <w:rFonts w:hint="cs"/>
          <w:sz w:val="20"/>
          <w:szCs w:val="20"/>
          <w:rtl/>
        </w:rPr>
        <w:t>ד. תומכי הצעת החוק החדשה/ מתנגדי הלכת הרוב ביקותיאלי טוענים טענה של העדר הפלייה בהתבסס על "השוואת העלויות". מעבר לטענה כי גם סטודנטים מקבלים תמיכות ולא רק תלמידי ישיבות (ר' לעיל את הטענה ואת התשובות לה), מושמעת טענה ביחס לעלות הגדולה של מוסדות ההשכלה הגבוהה ביחס לעולם הישיבות.</w:t>
      </w:r>
    </w:p>
    <w:p w:rsidR="005366A8" w:rsidRDefault="005366A8" w:rsidP="005366A8">
      <w:pPr>
        <w:rPr>
          <w:sz w:val="20"/>
          <w:szCs w:val="20"/>
          <w:rtl/>
        </w:rPr>
      </w:pPr>
      <w:r>
        <w:rPr>
          <w:rFonts w:hint="cs"/>
          <w:sz w:val="20"/>
          <w:szCs w:val="20"/>
          <w:rtl/>
        </w:rPr>
        <w:t>טענה זו אינה משכנעת כלל. הכרעת השוויון כאן בעניין עולם הישיבות החרדיות/ הכוללים אינה של "הכל או לא כלום", אלא בשאלה האם יש להמשיך את מצב הדברים הקיים (קרי, תמיכה מדינתית בכל צעיר חרדי המעוניין בכך, "בלימודים על-תיכוניים", לתקופה שהוא מעוניין בכך).</w:t>
      </w:r>
    </w:p>
    <w:p w:rsidR="005366A8" w:rsidRDefault="005366A8" w:rsidP="005366A8">
      <w:pPr>
        <w:rPr>
          <w:sz w:val="20"/>
          <w:szCs w:val="20"/>
          <w:rtl/>
        </w:rPr>
      </w:pPr>
      <w:r>
        <w:rPr>
          <w:rFonts w:hint="cs"/>
          <w:sz w:val="20"/>
          <w:szCs w:val="20"/>
          <w:rtl/>
        </w:rPr>
        <w:t xml:space="preserve">מוסדות ההשכלה הגבוהה מבצעים פעילות מחקרית ולימודית שתכליתה במובהק צרכי הכלל: פיתוחו והנחלתו של ידע מדעי (בתחומי מדעי הטבע, החברה והרוח) לקידומה של החברה האנושית בכללותה והחברה המדינתית הקונקרטית. ואולם גם החרדים טוענים שתכלית לימוד התורה היא טובת הכלל (ונניח לרגע בצד את השאלה, האם מדובר בטובת האנושות/ האנושיות או טובת העם היהודי); מה אז, האם מסתממות הטענות? </w:t>
      </w:r>
    </w:p>
    <w:p w:rsidR="005366A8" w:rsidRDefault="005366A8" w:rsidP="005366A8">
      <w:pPr>
        <w:rPr>
          <w:sz w:val="20"/>
          <w:szCs w:val="20"/>
          <w:rtl/>
        </w:rPr>
      </w:pPr>
      <w:r>
        <w:rPr>
          <w:rFonts w:hint="cs"/>
          <w:sz w:val="20"/>
          <w:szCs w:val="20"/>
          <w:rtl/>
        </w:rPr>
        <w:t xml:space="preserve">התשובה היא שלילית: העובדה שהטיעונים דומים אינה אומרת שהמעשים דומים. "איננו פוסט-מודרניסטיים", דומני: </w:t>
      </w:r>
      <w:r w:rsidRPr="003F1A4A">
        <w:rPr>
          <w:rFonts w:hint="cs"/>
          <w:sz w:val="20"/>
          <w:szCs w:val="20"/>
          <w:rtl/>
        </w:rPr>
        <w:t xml:space="preserve">מנקודת ראות ליברלית ומנקודת הראות של ערכי היסוד של מדינה יהודית ודמוקרטית, </w:t>
      </w:r>
      <w:r>
        <w:rPr>
          <w:rFonts w:hint="cs"/>
          <w:sz w:val="20"/>
          <w:szCs w:val="20"/>
          <w:rtl/>
        </w:rPr>
        <w:t xml:space="preserve">ערכה של הפעילות האקדמית </w:t>
      </w:r>
      <w:r w:rsidRPr="003F1A4A">
        <w:rPr>
          <w:rFonts w:hint="cs"/>
          <w:sz w:val="20"/>
          <w:szCs w:val="20"/>
          <w:rtl/>
        </w:rPr>
        <w:t>עולה הרבה מונים על פני ערכו של הלימוד ב</w:t>
      </w:r>
      <w:r>
        <w:rPr>
          <w:rFonts w:hint="cs"/>
          <w:sz w:val="20"/>
          <w:szCs w:val="20"/>
          <w:rtl/>
        </w:rPr>
        <w:t>ישיבות</w:t>
      </w:r>
      <w:r w:rsidRPr="003F1A4A">
        <w:rPr>
          <w:rFonts w:hint="cs"/>
          <w:sz w:val="20"/>
          <w:szCs w:val="20"/>
          <w:rtl/>
        </w:rPr>
        <w:t>. 1. משום שאופי אקדמי של לימוד מקדם מאד תכליות ליברליות</w:t>
      </w:r>
      <w:r>
        <w:rPr>
          <w:rFonts w:hint="cs"/>
          <w:sz w:val="20"/>
          <w:szCs w:val="20"/>
          <w:rtl/>
        </w:rPr>
        <w:t>, שעניינן האוטונומיה של בני אדם לבחון את אמונותיהם ואת הידע שלהם בתהליך המכיל ספק, ליבון, היחשפות לידע מוקדם; מיעוט של "אורתודוקסיה", קרי, של אקסיומות מקודשות וכדומה; וכן מתודולוגיה של חיפוש אחר האמת בדרך שהיא זהירה/ חותרת לביסוס רציונלי</w:t>
      </w:r>
      <w:r w:rsidRPr="003F1A4A">
        <w:rPr>
          <w:rFonts w:hint="cs"/>
          <w:sz w:val="20"/>
          <w:szCs w:val="20"/>
          <w:rtl/>
        </w:rPr>
        <w:t>;</w:t>
      </w:r>
      <w:r>
        <w:rPr>
          <w:rFonts w:hint="cs"/>
          <w:sz w:val="20"/>
          <w:szCs w:val="20"/>
          <w:rtl/>
        </w:rPr>
        <w:t xml:space="preserve"> </w:t>
      </w:r>
      <w:r w:rsidRPr="003F1A4A">
        <w:rPr>
          <w:rFonts w:hint="cs"/>
          <w:sz w:val="20"/>
          <w:szCs w:val="20"/>
          <w:rtl/>
        </w:rPr>
        <w:t xml:space="preserve">2. </w:t>
      </w:r>
      <w:r>
        <w:rPr>
          <w:rFonts w:hint="cs"/>
          <w:sz w:val="20"/>
          <w:szCs w:val="20"/>
          <w:rtl/>
        </w:rPr>
        <w:t>הלימוד האקדמי וההוראה האקדמית מקדמים א</w:t>
      </w:r>
      <w:r w:rsidRPr="003F1A4A">
        <w:rPr>
          <w:rFonts w:hint="cs"/>
          <w:sz w:val="20"/>
          <w:szCs w:val="20"/>
          <w:rtl/>
        </w:rPr>
        <w:t>ת הרווחה הכלכלית בחברה ואת מימוש הזכויות התלויות בה;</w:t>
      </w:r>
      <w:r>
        <w:rPr>
          <w:rFonts w:hint="cs"/>
          <w:sz w:val="20"/>
          <w:szCs w:val="20"/>
          <w:rtl/>
        </w:rPr>
        <w:t xml:space="preserve"> </w:t>
      </w:r>
      <w:r w:rsidRPr="003F1A4A">
        <w:rPr>
          <w:rFonts w:hint="cs"/>
          <w:sz w:val="20"/>
          <w:szCs w:val="20"/>
          <w:rtl/>
        </w:rPr>
        <w:t>3. זאת שעה שלא תכליות אלה ולא הישגים אלה הם מנת חלקם של הכוללים</w:t>
      </w:r>
      <w:r>
        <w:rPr>
          <w:rFonts w:hint="cs"/>
          <w:sz w:val="20"/>
          <w:szCs w:val="20"/>
          <w:rtl/>
        </w:rPr>
        <w:t xml:space="preserve">/הישיבות; וזאת שעה שאותן </w:t>
      </w:r>
      <w:r w:rsidRPr="003F1A4A">
        <w:rPr>
          <w:rFonts w:hint="cs"/>
          <w:sz w:val="20"/>
          <w:szCs w:val="20"/>
          <w:rtl/>
        </w:rPr>
        <w:t xml:space="preserve">תכליות והישגים </w:t>
      </w:r>
      <w:r>
        <w:rPr>
          <w:rFonts w:hint="cs"/>
          <w:sz w:val="20"/>
          <w:szCs w:val="20"/>
          <w:rtl/>
        </w:rPr>
        <w:t>שכן קיימים בעולם הישיבות</w:t>
      </w:r>
      <w:r w:rsidRPr="003F1A4A">
        <w:rPr>
          <w:rFonts w:hint="cs"/>
          <w:sz w:val="20"/>
          <w:szCs w:val="20"/>
          <w:rtl/>
        </w:rPr>
        <w:t xml:space="preserve"> יכולים ל</w:t>
      </w:r>
      <w:r>
        <w:rPr>
          <w:rFonts w:hint="cs"/>
          <w:sz w:val="20"/>
          <w:szCs w:val="20"/>
          <w:rtl/>
        </w:rPr>
        <w:t>המשיך ולהתקיים</w:t>
      </w:r>
      <w:r w:rsidRPr="003F1A4A">
        <w:rPr>
          <w:rFonts w:hint="cs"/>
          <w:sz w:val="20"/>
          <w:szCs w:val="20"/>
          <w:rtl/>
        </w:rPr>
        <w:t xml:space="preserve"> ברובם בהיקפים אחרים של השתתפות ו</w:t>
      </w:r>
      <w:r>
        <w:rPr>
          <w:rFonts w:hint="cs"/>
          <w:sz w:val="20"/>
          <w:szCs w:val="20"/>
          <w:rtl/>
        </w:rPr>
        <w:t>של משך</w:t>
      </w:r>
      <w:r w:rsidRPr="003F1A4A">
        <w:rPr>
          <w:rFonts w:hint="cs"/>
          <w:sz w:val="20"/>
          <w:szCs w:val="20"/>
          <w:rtl/>
        </w:rPr>
        <w:t>.</w:t>
      </w:r>
    </w:p>
    <w:p w:rsidR="005366A8" w:rsidRDefault="005366A8" w:rsidP="005366A8">
      <w:pPr>
        <w:rPr>
          <w:sz w:val="20"/>
          <w:szCs w:val="20"/>
          <w:rtl/>
        </w:rPr>
      </w:pPr>
    </w:p>
    <w:p w:rsidR="005366A8" w:rsidRPr="003F1A4A" w:rsidRDefault="005366A8" w:rsidP="005366A8">
      <w:pPr>
        <w:rPr>
          <w:sz w:val="20"/>
          <w:szCs w:val="20"/>
          <w:rtl/>
        </w:rPr>
      </w:pPr>
      <w:r>
        <w:rPr>
          <w:rFonts w:hint="cs"/>
          <w:sz w:val="20"/>
          <w:szCs w:val="20"/>
          <w:rtl/>
        </w:rPr>
        <w:t xml:space="preserve">ה. נקודה נוספת, מאד לא זניחה, אך כזו שמחייבת ליבון נוסף, היא הנקודה של </w:t>
      </w:r>
      <w:r w:rsidRPr="00DA2A58">
        <w:rPr>
          <w:rFonts w:hint="cs"/>
          <w:b/>
          <w:bCs/>
          <w:sz w:val="20"/>
          <w:szCs w:val="20"/>
          <w:rtl/>
        </w:rPr>
        <w:t>הפליה מגדרית</w:t>
      </w:r>
      <w:r>
        <w:rPr>
          <w:rFonts w:hint="cs"/>
          <w:sz w:val="20"/>
          <w:szCs w:val="20"/>
          <w:rtl/>
        </w:rPr>
        <w:t>. עולם הישיבות פתוח לגברים בלבד. תארו לעצמכם את האוניברסיטאות כמוסדות המוגבלים לגברים בלבד. עד כמה צריכה חברה ליברלית או מדינה יהודית ודמוקרטית לתמוך תמיכה כספית מאסיבית במצב דברים זה? האם הכלים החוקתיים אינם מורים לפחות לצמצם את היקף התמיכה בפרקטיקות הללו?</w:t>
      </w:r>
    </w:p>
    <w:p w:rsidR="005366A8" w:rsidRDefault="005366A8" w:rsidP="005366A8">
      <w:pPr>
        <w:rPr>
          <w:rFonts w:ascii="Arial" w:hAnsi="Arial"/>
          <w:sz w:val="20"/>
          <w:szCs w:val="20"/>
          <w:rtl/>
        </w:rPr>
      </w:pPr>
    </w:p>
    <w:p w:rsidR="005366A8" w:rsidRDefault="005366A8" w:rsidP="005366A8">
      <w:pPr>
        <w:rPr>
          <w:rtl/>
        </w:rPr>
      </w:pPr>
      <w:r>
        <w:rPr>
          <w:rFonts w:hint="cs"/>
          <w:rtl/>
        </w:rPr>
        <w:t>=-=</w:t>
      </w:r>
    </w:p>
    <w:p w:rsidR="005366A8" w:rsidRDefault="005366A8" w:rsidP="005366A8">
      <w:pPr>
        <w:spacing w:after="120"/>
        <w:rPr>
          <w:highlight w:val="yellow"/>
          <w:rtl/>
        </w:rPr>
      </w:pPr>
      <w:r>
        <w:rPr>
          <w:rFonts w:hint="cs"/>
          <w:highlight w:val="yellow"/>
          <w:rtl/>
        </w:rPr>
        <w:t xml:space="preserve">השתלשלות לאחר פסק דין </w:t>
      </w:r>
      <w:r w:rsidRPr="008A48B5">
        <w:rPr>
          <w:rFonts w:hint="cs"/>
          <w:b/>
          <w:bCs/>
          <w:highlight w:val="yellow"/>
          <w:rtl/>
        </w:rPr>
        <w:t>יקותיאלי</w:t>
      </w:r>
    </w:p>
    <w:p w:rsidR="005366A8" w:rsidRPr="00750DEA" w:rsidRDefault="005366A8" w:rsidP="005366A8">
      <w:pPr>
        <w:spacing w:after="120"/>
        <w:rPr>
          <w:b/>
          <w:bCs/>
        </w:rPr>
      </w:pPr>
      <w:r w:rsidRPr="00750DEA">
        <w:rPr>
          <w:b/>
          <w:bCs/>
          <w:rtl/>
        </w:rPr>
        <w:t>בג"ץ למדינה: אם לא יעבור כסף לאברכים הם יהיו מחוייבים לעבוד</w:t>
      </w:r>
    </w:p>
    <w:p w:rsidR="005366A8" w:rsidRPr="00750DEA" w:rsidRDefault="005366A8" w:rsidP="005366A8">
      <w:pPr>
        <w:rPr>
          <w:b/>
          <w:bCs/>
          <w:sz w:val="20"/>
          <w:szCs w:val="20"/>
        </w:rPr>
      </w:pPr>
      <w:r w:rsidRPr="00750DEA">
        <w:rPr>
          <w:b/>
          <w:bCs/>
          <w:sz w:val="20"/>
          <w:szCs w:val="20"/>
          <w:rtl/>
        </w:rPr>
        <w:t>בדיון בעתירה נגד החלטת הממשלה להמשיך לשלם רק לאברכים הטבה כספית, אמרה השופטת נאור: איך זה שנותנים לאדם כסף מקרב אותו לשוק העבודה</w:t>
      </w:r>
      <w:r w:rsidRPr="00750DEA">
        <w:rPr>
          <w:b/>
          <w:bCs/>
          <w:sz w:val="20"/>
          <w:szCs w:val="20"/>
        </w:rPr>
        <w:t>?</w:t>
      </w:r>
    </w:p>
    <w:p w:rsidR="005366A8" w:rsidRPr="00750DEA" w:rsidRDefault="005D7968" w:rsidP="000B7168">
      <w:pPr>
        <w:numPr>
          <w:ilvl w:val="0"/>
          <w:numId w:val="14"/>
        </w:numPr>
        <w:spacing w:after="60"/>
        <w:rPr>
          <w:sz w:val="20"/>
          <w:szCs w:val="20"/>
        </w:rPr>
      </w:pPr>
      <w:hyperlink r:id="rId179" w:history="1">
        <w:r w:rsidR="005366A8" w:rsidRPr="00750DEA">
          <w:rPr>
            <w:rStyle w:val="Hyperlink"/>
            <w:b/>
            <w:bCs/>
            <w:sz w:val="20"/>
            <w:szCs w:val="20"/>
            <w:rtl/>
          </w:rPr>
          <w:t>יאיר אטינגר</w:t>
        </w:r>
      </w:hyperlink>
      <w:r w:rsidR="005366A8" w:rsidRPr="00750DEA">
        <w:rPr>
          <w:rFonts w:hint="cs"/>
          <w:sz w:val="20"/>
          <w:szCs w:val="20"/>
          <w:rtl/>
        </w:rPr>
        <w:t xml:space="preserve"> </w:t>
      </w:r>
      <w:r w:rsidR="005366A8" w:rsidRPr="00750DEA">
        <w:rPr>
          <w:sz w:val="20"/>
          <w:szCs w:val="20"/>
        </w:rPr>
        <w:t>13.11.2012</w:t>
      </w:r>
    </w:p>
    <w:p w:rsidR="005366A8" w:rsidRPr="00750DEA" w:rsidRDefault="005366A8" w:rsidP="005366A8">
      <w:pPr>
        <w:spacing w:after="60"/>
        <w:rPr>
          <w:sz w:val="20"/>
          <w:szCs w:val="20"/>
        </w:rPr>
      </w:pPr>
      <w:r w:rsidRPr="00750DEA">
        <w:rPr>
          <w:sz w:val="20"/>
          <w:szCs w:val="20"/>
          <w:rtl/>
        </w:rPr>
        <w:t>שופטי בג"ץ מתחו היום (שלישי) ביקורת על החלטת הממשלה להמשיך לממן הטבה כספית המוענקת בלעדית לאברכים חרדים נזקקים, ולא לאזרחים נזקקים מקבוצות אחרות באוכלוסייה. נציגת המדינה, עו"ד חני אופק, טענה כי תכלית ההטבה היא לגרום לאברכים להשתלב בשוק העבודה, אך השופטת מרים נאור תהתה: "איך העובדה שנותנים לאדם כסף מקרבת את השתלבותו בשוק העבודה? ההיגיון אומר כי אם לא נותנים כסף הוא יהיה חייב לעבוד</w:t>
      </w:r>
      <w:r w:rsidRPr="00750DEA">
        <w:rPr>
          <w:sz w:val="20"/>
          <w:szCs w:val="20"/>
        </w:rPr>
        <w:t>".</w:t>
      </w:r>
    </w:p>
    <w:p w:rsidR="005366A8" w:rsidRPr="00750DEA" w:rsidRDefault="005366A8" w:rsidP="005366A8">
      <w:pPr>
        <w:spacing w:after="60"/>
        <w:rPr>
          <w:sz w:val="20"/>
          <w:szCs w:val="20"/>
        </w:rPr>
      </w:pPr>
      <w:r w:rsidRPr="00750DEA">
        <w:rPr>
          <w:sz w:val="20"/>
          <w:szCs w:val="20"/>
          <w:rtl/>
        </w:rPr>
        <w:t>הדברים נאמרו</w:t>
      </w:r>
      <w:r w:rsidRPr="00750DEA">
        <w:rPr>
          <w:sz w:val="20"/>
          <w:szCs w:val="20"/>
        </w:rPr>
        <w:t> </w:t>
      </w:r>
      <w:hyperlink r:id="rId180" w:history="1">
        <w:r w:rsidRPr="00750DEA">
          <w:rPr>
            <w:rStyle w:val="Hyperlink"/>
            <w:sz w:val="20"/>
            <w:szCs w:val="20"/>
            <w:rtl/>
          </w:rPr>
          <w:t>בדיון בעתירה נגד הסדר חדש שקבעה הממשלה</w:t>
        </w:r>
      </w:hyperlink>
      <w:r w:rsidRPr="00750DEA">
        <w:rPr>
          <w:sz w:val="20"/>
          <w:szCs w:val="20"/>
        </w:rPr>
        <w:t xml:space="preserve">, </w:t>
      </w:r>
      <w:r w:rsidRPr="00750DEA">
        <w:rPr>
          <w:sz w:val="20"/>
          <w:szCs w:val="20"/>
          <w:rtl/>
        </w:rPr>
        <w:t>המאפשר את המשך תשלום הבטחת הכנסה לאברכים – חרף פסיקת בג"ץ בעבר. מיד לאחר אותה פסיקה – שהתקבלה ב-2010 ופסלה את המשך מימון גמלת הבטחת הכנסה לאברכים – אמר שר הפנים אלי ישי כי יפעל להחלטה חדשה, עוקפת בג"ץ. וכך אמנם היה</w:t>
      </w:r>
      <w:r w:rsidRPr="00750DEA">
        <w:rPr>
          <w:sz w:val="20"/>
          <w:szCs w:val="20"/>
        </w:rPr>
        <w:t>: </w:t>
      </w:r>
      <w:hyperlink r:id="rId181" w:history="1">
        <w:r w:rsidRPr="00750DEA">
          <w:rPr>
            <w:rStyle w:val="Hyperlink"/>
            <w:sz w:val="20"/>
            <w:szCs w:val="20"/>
            <w:rtl/>
          </w:rPr>
          <w:t>בדצמבר 2010 קיבלה הממשלה</w:t>
        </w:r>
      </w:hyperlink>
      <w:r w:rsidRPr="00750DEA">
        <w:rPr>
          <w:sz w:val="20"/>
          <w:szCs w:val="20"/>
        </w:rPr>
        <w:t> </w:t>
      </w:r>
      <w:r w:rsidRPr="00750DEA">
        <w:rPr>
          <w:sz w:val="20"/>
          <w:szCs w:val="20"/>
          <w:rtl/>
        </w:rPr>
        <w:t>החלטה לשלם לאברכים "מלגה" מיוחדת המקבילה להבטחת הכנסה. היא אמנם מוגבלת לסכום של 120 מיליון שקלים בשנה, אבל מבטיחה את המשך התשלום לאברכים, כולל קבוצה שתוגדר "מתמידים" ותוכל לקבל את הבטחת ההכנסה לכל החיים, אם כי בשיעור מופחת</w:t>
      </w:r>
      <w:r w:rsidRPr="00750DEA">
        <w:rPr>
          <w:sz w:val="20"/>
          <w:szCs w:val="20"/>
        </w:rPr>
        <w:t>.</w:t>
      </w:r>
    </w:p>
    <w:p w:rsidR="005366A8" w:rsidRPr="00750DEA" w:rsidRDefault="005366A8" w:rsidP="005366A8">
      <w:pPr>
        <w:spacing w:after="60"/>
        <w:rPr>
          <w:sz w:val="20"/>
          <w:szCs w:val="20"/>
        </w:rPr>
      </w:pPr>
      <w:r w:rsidRPr="00750DEA">
        <w:rPr>
          <w:sz w:val="20"/>
          <w:szCs w:val="20"/>
          <w:rtl/>
        </w:rPr>
        <w:t>החלטת הממשלה הוגדרה "מלגת לימודים ועידוד השתלבות אברכי כוללים בתעסוקה". לפי ההחלטה, שלא הועברה בחקיקה ראשית, האברכים יוכלו להמשיך לקבל את התשלום אך תוך הסתייגויות: בשנה החמישית הוא יופחת ל-75% (והאברך יוכל לעבוד במקביל ללימודים חלקיים), והוא יופסק בתום שנה זו. עם זאת, ההגבלות הללו לא חלות על אברכים מעל גיל 29, שלפי נתוני המדינה הם 80% מכלל האברכים המקבלים קצבאות כיום</w:t>
      </w:r>
      <w:r w:rsidRPr="00750DEA">
        <w:rPr>
          <w:sz w:val="20"/>
          <w:szCs w:val="20"/>
        </w:rPr>
        <w:t>.</w:t>
      </w:r>
    </w:p>
    <w:p w:rsidR="005366A8" w:rsidRPr="00750DEA" w:rsidRDefault="005366A8" w:rsidP="005366A8">
      <w:pPr>
        <w:spacing w:after="60"/>
        <w:rPr>
          <w:sz w:val="20"/>
          <w:szCs w:val="20"/>
        </w:rPr>
      </w:pPr>
      <w:r w:rsidRPr="00750DEA">
        <w:rPr>
          <w:sz w:val="20"/>
          <w:szCs w:val="20"/>
          <w:rtl/>
        </w:rPr>
        <w:t>בעקבות החלטת הממשלה, עתרו נגדה התאחדות הסטודנטים, המרכז הרפורמי לדת ומדינה, נאמני תורה ועבודה, אומ"ץ, חדו"ש וישראל חופשית. הם טענו כי זו אותה פריווילגיה כלכלית המוקנית לאברכים חרדים בלבד שנפסלה כבר בידי בג"ץ ב-2010. שתיים מהשאלות שנדונו היום במסגרת העתירה היו אם התשלום של הבטחת הכנסה לכ-10,000 אברכים נזקקים (מתוך כ-71 אלף האברכים שנהנים גם ממלגת לימודים ממשלתית) מעודד אותם לצאת לעבוד או דווקא להישאר בכולל? והאם התשלום, שאינו מותנה בחיפוש עבודה, מקדם את השוויון בחברה או מנציח את אפלייתם לטובה של אברכים חרדים על פני אוכלוסיות אחרות</w:t>
      </w:r>
      <w:r w:rsidRPr="00750DEA">
        <w:rPr>
          <w:sz w:val="20"/>
          <w:szCs w:val="20"/>
        </w:rPr>
        <w:t>?</w:t>
      </w:r>
    </w:p>
    <w:p w:rsidR="005366A8" w:rsidRPr="00750DEA" w:rsidRDefault="005366A8" w:rsidP="005366A8">
      <w:pPr>
        <w:spacing w:after="60"/>
        <w:rPr>
          <w:sz w:val="20"/>
          <w:szCs w:val="20"/>
        </w:rPr>
      </w:pPr>
      <w:r w:rsidRPr="00750DEA">
        <w:rPr>
          <w:sz w:val="20"/>
          <w:szCs w:val="20"/>
          <w:rtl/>
        </w:rPr>
        <w:t>עו"ד אורלי ארז-לחובסקי, נציגת העותרים, הזכירה כי ההטבה נשללת מסטודנטים, מנשים ומקבוצות נוספות בחברה. המדינה טענה מנגד, כי המשך התשלום אינו סוגיה כלכלית אלא סוגיה תרבותית-חברתית, משום שהאופן המדורג שבו ניתן התשלום יגרום בסופו של דבר לרוב האברכים לצאת לעבוד. עו"ד חני אופק מהפרקליטות אף הכריזה: "אנו רואים את ההסדר כמי שתכליתו החברתית והכלכלית לקדם שוויון לטווח הארוך</w:t>
      </w:r>
      <w:r w:rsidRPr="00750DEA">
        <w:rPr>
          <w:sz w:val="20"/>
          <w:szCs w:val="20"/>
        </w:rPr>
        <w:t>".</w:t>
      </w:r>
    </w:p>
    <w:p w:rsidR="005366A8" w:rsidRPr="00750DEA" w:rsidRDefault="005366A8" w:rsidP="005366A8">
      <w:pPr>
        <w:spacing w:after="60"/>
        <w:rPr>
          <w:sz w:val="20"/>
          <w:szCs w:val="20"/>
        </w:rPr>
      </w:pPr>
      <w:r w:rsidRPr="00750DEA">
        <w:rPr>
          <w:sz w:val="20"/>
          <w:szCs w:val="20"/>
          <w:rtl/>
        </w:rPr>
        <w:t>השופטת עדנה ארבל ענתה לה: "אתם מדברים על שינוי תרבותי שצריך לקחת זמן, ובתום הארבע שנים הכוונה שיצטרפו (האברכים; י"א) לשוק התעסוקה. אך איזה תמריץ יש להם לאחר ארבע שנים של לימוד כזה להצטרף לשוק התעסוקה? אני מבינה כי הנתונים היום לא מראים זאת". "יהיה תמריץ", השיבה עו"ד אופק, "אנו צופים כי נראה את פירות השוני הזה בחלוף הזמן של תקופה מסוימת</w:t>
      </w:r>
      <w:r w:rsidRPr="00750DEA">
        <w:rPr>
          <w:sz w:val="20"/>
          <w:szCs w:val="20"/>
        </w:rPr>
        <w:t>".</w:t>
      </w:r>
    </w:p>
    <w:p w:rsidR="005366A8" w:rsidRPr="00750DEA" w:rsidRDefault="005366A8" w:rsidP="005366A8">
      <w:pPr>
        <w:spacing w:after="60"/>
        <w:rPr>
          <w:sz w:val="20"/>
          <w:szCs w:val="20"/>
        </w:rPr>
      </w:pPr>
      <w:r w:rsidRPr="00750DEA">
        <w:rPr>
          <w:sz w:val="20"/>
          <w:szCs w:val="20"/>
          <w:rtl/>
        </w:rPr>
        <w:t>המדינה הציגה נתונים ולפיהם מספר האברכים הנתמכים בהבטחת הכנסה ירד בשנתיים האחרונות בכאלף איש, ויתרה מכך – שיעור ה"מתמידים" מתוכם פחת. לטענתה, זו מגמה המעידה שכוחות שונים מדרבנים את האברכים לצאת לשוק העבודה</w:t>
      </w:r>
      <w:r w:rsidRPr="00750DEA">
        <w:rPr>
          <w:sz w:val="20"/>
          <w:szCs w:val="20"/>
        </w:rPr>
        <w:t>.</w:t>
      </w:r>
    </w:p>
    <w:p w:rsidR="005366A8" w:rsidRPr="00750DEA" w:rsidRDefault="005366A8" w:rsidP="005366A8">
      <w:pPr>
        <w:spacing w:after="60"/>
        <w:rPr>
          <w:sz w:val="20"/>
          <w:szCs w:val="20"/>
        </w:rPr>
      </w:pPr>
      <w:r w:rsidRPr="00750DEA">
        <w:rPr>
          <w:sz w:val="20"/>
          <w:szCs w:val="20"/>
          <w:rtl/>
        </w:rPr>
        <w:t>הטיעון הזה מזכיר במידה רבה את טיעוני המדינה ביחס לחוק טל, שפטר את החרדים משירות צבאי, שם היא ביקשה זמן כדי להציג בפני בית המשפט שינויי עומק שעוברת החברה החרדית - שסופם בהשתלבות. גם כאן וגם בעתירה הנוכחית, העותרים טענו כי השוויון בפני החוק וערכים אחרים נפגעים, ואין להאריך את המצב הקיים המביא לאפליה</w:t>
      </w:r>
      <w:r w:rsidRPr="00750DEA">
        <w:rPr>
          <w:sz w:val="20"/>
          <w:szCs w:val="20"/>
        </w:rPr>
        <w:t>.</w:t>
      </w:r>
    </w:p>
    <w:p w:rsidR="005366A8" w:rsidRPr="00750DEA" w:rsidRDefault="005366A8" w:rsidP="005366A8">
      <w:pPr>
        <w:spacing w:after="60"/>
        <w:rPr>
          <w:sz w:val="20"/>
          <w:szCs w:val="20"/>
        </w:rPr>
      </w:pPr>
      <w:r w:rsidRPr="00750DEA">
        <w:rPr>
          <w:sz w:val="20"/>
          <w:szCs w:val="20"/>
          <w:rtl/>
        </w:rPr>
        <w:t>ייתכן כי גם הנשיא אשר גרוניס ראה את הקשר, כשהעלה בדיון היום את האפשרות לאחד את הדיון בעתירה על חוק האברכים עם עתירה נגד המשך הפטור הניתן לחרדים משירות צבאי גם בעידן שלאחר חוק טל. דיון שכזה, בעתירה האחרונה, אמור להתקיים בהמשך השבוע. המדינה אמנם מגנה על ההסדרים הישנים, אבל כעת כולם מדברים על שילוב חרדים בשוק העבודה, גם אם האמצעים שנויים במחלוקת קשה</w:t>
      </w:r>
      <w:r w:rsidRPr="00750DEA">
        <w:rPr>
          <w:sz w:val="20"/>
          <w:szCs w:val="20"/>
        </w:rPr>
        <w:t>.</w:t>
      </w:r>
    </w:p>
    <w:p w:rsidR="005366A8" w:rsidRPr="00750DEA" w:rsidRDefault="005366A8" w:rsidP="005366A8">
      <w:pPr>
        <w:spacing w:after="60"/>
        <w:rPr>
          <w:sz w:val="20"/>
          <w:szCs w:val="20"/>
        </w:rPr>
      </w:pPr>
      <w:r w:rsidRPr="00750DEA">
        <w:rPr>
          <w:sz w:val="20"/>
          <w:szCs w:val="20"/>
          <w:rtl/>
        </w:rPr>
        <w:t>בשבוע הבא אמורה הפרקליטות למסור בכתב את עמדתה ביחס להעברת הדיון בעתירת חוק האברכים לדיון בהרכב מורחב. החלטה בעתירה תתקבל בעתיד</w:t>
      </w:r>
      <w:r w:rsidRPr="00750DEA">
        <w:rPr>
          <w:sz w:val="20"/>
          <w:szCs w:val="20"/>
        </w:rPr>
        <w:t>.</w:t>
      </w:r>
      <w:r w:rsidRPr="00750DEA">
        <w:rPr>
          <w:sz w:val="20"/>
          <w:szCs w:val="20"/>
        </w:rPr>
        <w:br/>
      </w:r>
      <w:r w:rsidRPr="00750DEA">
        <w:rPr>
          <w:sz w:val="20"/>
          <w:szCs w:val="20"/>
          <w:rtl/>
        </w:rPr>
        <w:t>אורי רשטיק, סגן יו"ר התאחדות הסטודנטים, אמר כי "אנחנו מאמינים שיש שופטים בירושלים ושהגיע הזמן לשים סוף לעוול ההיסטורי הזה. זהו הזמן ליצור שוויון אמיתי". עו"ד יזהר הס</w:t>
      </w:r>
      <w:r w:rsidRPr="00750DEA">
        <w:rPr>
          <w:sz w:val="20"/>
          <w:szCs w:val="20"/>
        </w:rPr>
        <w:t xml:space="preserve">, </w:t>
      </w:r>
      <w:r w:rsidRPr="00750DEA">
        <w:rPr>
          <w:sz w:val="20"/>
          <w:szCs w:val="20"/>
          <w:rtl/>
        </w:rPr>
        <w:t>מנכ"ל התנועה המסורתית, אמר : "המדינה מעודדת הלכה למעשה את החרדים לא לעבוד ולהמשיך למשוך תשלומים מקופת המסים, תחת זלזול בוטה באנשים הבוחרים לשרת, לתרום ולקדם את המקום שבו הם חיים</w:t>
      </w:r>
      <w:r w:rsidRPr="00750DEA">
        <w:rPr>
          <w:sz w:val="20"/>
          <w:szCs w:val="20"/>
        </w:rPr>
        <w:t>".</w:t>
      </w:r>
    </w:p>
    <w:p w:rsidR="005366A8" w:rsidRDefault="005366A8" w:rsidP="005366A8">
      <w:pPr>
        <w:rPr>
          <w:rtl/>
        </w:rPr>
      </w:pPr>
      <w:r>
        <w:rPr>
          <w:rFonts w:hint="cs"/>
          <w:rtl/>
        </w:rPr>
        <w:t>=-=</w:t>
      </w:r>
    </w:p>
    <w:p w:rsidR="005366A8" w:rsidRDefault="005366A8" w:rsidP="005366A8">
      <w:pPr>
        <w:spacing w:after="120"/>
        <w:rPr>
          <w:sz w:val="22"/>
          <w:szCs w:val="22"/>
          <w:rtl/>
        </w:rPr>
      </w:pPr>
      <w:r>
        <w:rPr>
          <w:rFonts w:hint="cs"/>
          <w:sz w:val="22"/>
          <w:szCs w:val="22"/>
          <w:rtl/>
        </w:rPr>
        <w:t xml:space="preserve">פסיקת ההמשך: </w:t>
      </w:r>
    </w:p>
    <w:p w:rsidR="005366A8" w:rsidRDefault="005366A8" w:rsidP="005366A8">
      <w:pPr>
        <w:spacing w:after="120"/>
        <w:ind w:left="720" w:hanging="720"/>
        <w:rPr>
          <w:rFonts w:ascii="Arial" w:hAnsi="Arial" w:cs="Arial"/>
          <w:b/>
          <w:bCs/>
          <w:sz w:val="22"/>
          <w:szCs w:val="22"/>
          <w:highlight w:val="green"/>
          <w:u w:val="single"/>
          <w:rtl/>
        </w:rPr>
      </w:pPr>
      <w:r w:rsidRPr="00513F54">
        <w:rPr>
          <w:rFonts w:hint="cs"/>
          <w:sz w:val="22"/>
          <w:szCs w:val="22"/>
          <w:rtl/>
        </w:rPr>
        <w:t>בג"ץ 616/11</w:t>
      </w:r>
      <w:r w:rsidRPr="00513F54">
        <w:rPr>
          <w:rFonts w:hint="cs"/>
          <w:sz w:val="22"/>
          <w:szCs w:val="22"/>
          <w:highlight w:val="yellow"/>
          <w:rtl/>
        </w:rPr>
        <w:t xml:space="preserve"> </w:t>
      </w:r>
      <w:r w:rsidRPr="00513F54">
        <w:rPr>
          <w:rFonts w:hint="cs"/>
          <w:b/>
          <w:bCs/>
          <w:sz w:val="22"/>
          <w:szCs w:val="22"/>
          <w:highlight w:val="yellow"/>
          <w:rtl/>
        </w:rPr>
        <w:t>התאחדות הסטודנטים בישראל נ' ממשלת ישראל</w:t>
      </w:r>
      <w:r w:rsidRPr="00513F54">
        <w:rPr>
          <w:rFonts w:hint="cs"/>
          <w:sz w:val="22"/>
          <w:szCs w:val="22"/>
          <w:highlight w:val="yellow"/>
          <w:rtl/>
        </w:rPr>
        <w:t xml:space="preserve"> (2014)</w:t>
      </w:r>
      <w:r>
        <w:rPr>
          <w:rFonts w:hint="cs"/>
          <w:sz w:val="22"/>
          <w:szCs w:val="22"/>
          <w:rtl/>
        </w:rPr>
        <w:t xml:space="preserve"> [המשך לפס"ד </w:t>
      </w:r>
      <w:r w:rsidRPr="00513F54">
        <w:rPr>
          <w:rFonts w:hint="cs"/>
          <w:b/>
          <w:bCs/>
          <w:sz w:val="22"/>
          <w:szCs w:val="22"/>
          <w:rtl/>
        </w:rPr>
        <w:t>יקותיאלי</w:t>
      </w:r>
      <w:r>
        <w:rPr>
          <w:rFonts w:hint="cs"/>
          <w:sz w:val="22"/>
          <w:szCs w:val="22"/>
          <w:rtl/>
        </w:rPr>
        <w:t xml:space="preserve">] </w:t>
      </w:r>
      <w:r w:rsidRPr="00513F54">
        <w:rPr>
          <w:rFonts w:hint="cs"/>
          <w:sz w:val="22"/>
          <w:szCs w:val="22"/>
          <w:rtl/>
        </w:rPr>
        <w:t>פסק דינו של השופט רובינשטיין, סעיפים א, ב; לג; לח-עד; וכן פסקי הדין הקצרים של השופטים נאור, ג'ובראן וחיות.</w:t>
      </w:r>
    </w:p>
    <w:p w:rsidR="005366A8" w:rsidRDefault="005366A8" w:rsidP="005366A8">
      <w:pPr>
        <w:rPr>
          <w:rtl/>
        </w:rPr>
      </w:pPr>
      <w:r>
        <w:rPr>
          <w:rFonts w:hint="cs"/>
          <w:rtl/>
        </w:rPr>
        <w:t>=-=</w:t>
      </w:r>
    </w:p>
    <w:p w:rsidR="005366A8" w:rsidRDefault="005366A8" w:rsidP="005366A8">
      <w:pPr>
        <w:rPr>
          <w:rtl/>
        </w:rPr>
      </w:pPr>
    </w:p>
    <w:p w:rsidR="005366A8" w:rsidRDefault="005366A8" w:rsidP="005366A8">
      <w:pPr>
        <w:spacing w:after="60"/>
        <w:rPr>
          <w:rFonts w:cs="David"/>
          <w:sz w:val="20"/>
          <w:szCs w:val="20"/>
          <w:rtl/>
        </w:rPr>
      </w:pPr>
      <w:r w:rsidRPr="00603EDA">
        <w:rPr>
          <w:rFonts w:cs="David" w:hint="cs"/>
          <w:sz w:val="20"/>
          <w:szCs w:val="20"/>
          <w:highlight w:val="green"/>
          <w:u w:val="single"/>
          <w:rtl/>
        </w:rPr>
        <w:t>לפגישה הקרובה:</w:t>
      </w:r>
      <w:r w:rsidRPr="003437BE">
        <w:rPr>
          <w:rFonts w:cs="David" w:hint="cs"/>
          <w:sz w:val="20"/>
          <w:szCs w:val="20"/>
          <w:rtl/>
        </w:rPr>
        <w:t xml:space="preserve"> </w:t>
      </w:r>
    </w:p>
    <w:p w:rsidR="005366A8" w:rsidRDefault="005366A8" w:rsidP="005366A8">
      <w:pPr>
        <w:spacing w:after="60"/>
        <w:rPr>
          <w:rFonts w:cs="David"/>
          <w:sz w:val="20"/>
          <w:szCs w:val="20"/>
          <w:rtl/>
        </w:rPr>
      </w:pPr>
      <w:r>
        <w:rPr>
          <w:rFonts w:cs="David" w:hint="cs"/>
          <w:sz w:val="20"/>
          <w:szCs w:val="20"/>
          <w:rtl/>
        </w:rPr>
        <w:t xml:space="preserve">אנא קראו את הדפים לעיל הנוגעים לפסק דין </w:t>
      </w:r>
      <w:r w:rsidRPr="001F237D">
        <w:rPr>
          <w:rFonts w:cs="David" w:hint="cs"/>
          <w:b/>
          <w:bCs/>
          <w:sz w:val="20"/>
          <w:szCs w:val="20"/>
          <w:rtl/>
        </w:rPr>
        <w:t>יקותיאלי</w:t>
      </w:r>
      <w:r>
        <w:rPr>
          <w:rFonts w:cs="David" w:hint="cs"/>
          <w:sz w:val="20"/>
          <w:szCs w:val="20"/>
          <w:rtl/>
        </w:rPr>
        <w:t>, וחשבו על הייחוד שלו. מה יוצא דופן בו, בפסק הדין והכרעתו?</w:t>
      </w:r>
    </w:p>
    <w:p w:rsidR="005366A8" w:rsidRDefault="005366A8" w:rsidP="005366A8">
      <w:pPr>
        <w:spacing w:after="60"/>
        <w:rPr>
          <w:rFonts w:cs="David"/>
          <w:sz w:val="20"/>
          <w:szCs w:val="20"/>
          <w:rtl/>
        </w:rPr>
      </w:pPr>
      <w:r>
        <w:rPr>
          <w:rFonts w:cs="David" w:hint="cs"/>
          <w:sz w:val="20"/>
          <w:szCs w:val="20"/>
          <w:rtl/>
        </w:rPr>
        <w:t xml:space="preserve">קריאת רשות: קראו את הסעיפים המבוקשים בפסק דין </w:t>
      </w:r>
      <w:r w:rsidRPr="00027C31">
        <w:rPr>
          <w:rFonts w:cs="David" w:hint="cs"/>
          <w:b/>
          <w:bCs/>
          <w:sz w:val="20"/>
          <w:szCs w:val="20"/>
          <w:rtl/>
        </w:rPr>
        <w:t>התאחדות הסטודנטים בישראל נ' ממשלת ישראל</w:t>
      </w:r>
      <w:r>
        <w:rPr>
          <w:rFonts w:cs="David" w:hint="cs"/>
          <w:sz w:val="20"/>
          <w:szCs w:val="20"/>
          <w:rtl/>
        </w:rPr>
        <w:t xml:space="preserve">. </w:t>
      </w:r>
    </w:p>
    <w:p w:rsidR="005366A8" w:rsidRPr="007B204F" w:rsidRDefault="005366A8" w:rsidP="005366A8">
      <w:pPr>
        <w:rPr>
          <w:rtl/>
        </w:rPr>
      </w:pPr>
    </w:p>
    <w:p w:rsidR="005366A8" w:rsidRDefault="005366A8">
      <w:pPr>
        <w:bidi w:val="0"/>
        <w:jc w:val="left"/>
        <w:rPr>
          <w:sz w:val="22"/>
          <w:szCs w:val="22"/>
          <w:rtl/>
        </w:rPr>
      </w:pPr>
      <w:r>
        <w:rPr>
          <w:sz w:val="22"/>
          <w:szCs w:val="22"/>
          <w:rtl/>
        </w:rPr>
        <w:br w:type="page"/>
      </w:r>
    </w:p>
    <w:p w:rsidR="005366A8" w:rsidRPr="001C6701" w:rsidRDefault="005366A8" w:rsidP="005366A8">
      <w:pPr>
        <w:spacing w:after="120"/>
        <w:jc w:val="right"/>
        <w:rPr>
          <w:sz w:val="22"/>
          <w:szCs w:val="22"/>
          <w:rtl/>
        </w:rPr>
      </w:pPr>
      <w:r w:rsidRPr="007F6E4F">
        <w:rPr>
          <w:rFonts w:hint="cs"/>
          <w:b/>
          <w:bCs/>
          <w:sz w:val="22"/>
          <w:szCs w:val="22"/>
          <w:rtl/>
        </w:rPr>
        <w:t>משפט ציבורי</w:t>
      </w:r>
      <w:r>
        <w:rPr>
          <w:rFonts w:hint="cs"/>
          <w:sz w:val="22"/>
          <w:szCs w:val="22"/>
          <w:rtl/>
        </w:rPr>
        <w:t xml:space="preserve">, </w:t>
      </w:r>
      <w:r w:rsidRPr="00C4131E">
        <w:rPr>
          <w:rFonts w:hint="cs"/>
          <w:i/>
          <w:iCs/>
          <w:sz w:val="22"/>
          <w:szCs w:val="22"/>
          <w:rtl/>
        </w:rPr>
        <w:t>תשע</w:t>
      </w:r>
      <w:r>
        <w:rPr>
          <w:rFonts w:hint="cs"/>
          <w:i/>
          <w:iCs/>
          <w:sz w:val="22"/>
          <w:szCs w:val="22"/>
          <w:rtl/>
        </w:rPr>
        <w:t>"ה</w:t>
      </w:r>
      <w:r>
        <w:rPr>
          <w:rFonts w:hint="cs"/>
          <w:sz w:val="22"/>
          <w:szCs w:val="22"/>
          <w:rtl/>
        </w:rPr>
        <w:t xml:space="preserve">, </w:t>
      </w:r>
      <w:r w:rsidRPr="007F6E4F">
        <w:rPr>
          <w:rFonts w:hint="cs"/>
          <w:b/>
          <w:bCs/>
          <w:sz w:val="22"/>
          <w:szCs w:val="22"/>
          <w:rtl/>
        </w:rPr>
        <w:t>סמסטר א',</w:t>
      </w:r>
      <w:r>
        <w:rPr>
          <w:rFonts w:hint="cs"/>
          <w:sz w:val="22"/>
          <w:szCs w:val="22"/>
          <w:rtl/>
        </w:rPr>
        <w:t xml:space="preserve"> ד"ר אילן סבן, דצמבר 2014, </w:t>
      </w:r>
      <w:r w:rsidRPr="005366A8">
        <w:rPr>
          <w:rFonts w:hint="cs"/>
          <w:b/>
          <w:bCs/>
          <w:i/>
          <w:iCs/>
          <w:sz w:val="22"/>
          <w:szCs w:val="22"/>
          <w:highlight w:val="magenta"/>
          <w:u w:val="single"/>
          <w:rtl/>
        </w:rPr>
        <w:t>פגישה 17</w:t>
      </w:r>
    </w:p>
    <w:p w:rsidR="005366A8" w:rsidRPr="006F3DC9" w:rsidRDefault="005366A8" w:rsidP="005366A8">
      <w:pPr>
        <w:jc w:val="center"/>
        <w:rPr>
          <w:rFonts w:ascii="Arial" w:hAnsi="Arial" w:cs="Guttman-Soncino"/>
          <w:b/>
          <w:bCs/>
          <w:sz w:val="32"/>
          <w:szCs w:val="32"/>
          <w:rtl/>
        </w:rPr>
      </w:pPr>
      <w:r w:rsidRPr="0015092A">
        <w:rPr>
          <w:rFonts w:ascii="Arial" w:hAnsi="Arial" w:cs="Guttman-Soncino"/>
          <w:b/>
          <w:bCs/>
          <w:sz w:val="32"/>
          <w:szCs w:val="32"/>
          <w:highlight w:val="yellow"/>
          <w:rtl/>
        </w:rPr>
        <w:t>החוקה הפורמ</w:t>
      </w:r>
      <w:r w:rsidRPr="0015092A">
        <w:rPr>
          <w:rFonts w:ascii="Arial" w:hAnsi="Arial" w:cs="Guttman-Soncino" w:hint="cs"/>
          <w:b/>
          <w:bCs/>
          <w:sz w:val="32"/>
          <w:szCs w:val="32"/>
          <w:highlight w:val="yellow"/>
          <w:rtl/>
        </w:rPr>
        <w:t>א</w:t>
      </w:r>
      <w:r w:rsidRPr="0015092A">
        <w:rPr>
          <w:rFonts w:ascii="Arial" w:hAnsi="Arial" w:cs="Guttman-Soncino"/>
          <w:b/>
          <w:bCs/>
          <w:sz w:val="32"/>
          <w:szCs w:val="32"/>
          <w:highlight w:val="yellow"/>
          <w:rtl/>
        </w:rPr>
        <w:t>לית של ישראל</w:t>
      </w:r>
      <w:r w:rsidRPr="0015092A">
        <w:rPr>
          <w:rFonts w:ascii="Arial" w:hAnsi="Arial" w:cs="Guttman-Soncino" w:hint="cs"/>
          <w:b/>
          <w:bCs/>
          <w:sz w:val="32"/>
          <w:szCs w:val="32"/>
          <w:highlight w:val="yellow"/>
          <w:rtl/>
        </w:rPr>
        <w:t xml:space="preserve"> (</w:t>
      </w:r>
      <w:r>
        <w:rPr>
          <w:rFonts w:ascii="Arial" w:hAnsi="Arial" w:cs="Guttman-Soncino" w:hint="cs"/>
          <w:b/>
          <w:bCs/>
          <w:sz w:val="32"/>
          <w:szCs w:val="32"/>
          <w:highlight w:val="yellow"/>
          <w:rtl/>
        </w:rPr>
        <w:t xml:space="preserve">לקראת </w:t>
      </w:r>
      <w:r w:rsidRPr="0015092A">
        <w:rPr>
          <w:rFonts w:ascii="Arial" w:hAnsi="Arial" w:cs="Guttman-Soncino" w:hint="cs"/>
          <w:b/>
          <w:bCs/>
          <w:sz w:val="32"/>
          <w:szCs w:val="32"/>
          <w:highlight w:val="yellow"/>
          <w:rtl/>
        </w:rPr>
        <w:t>סיום/ סיכום חלקי)</w:t>
      </w:r>
    </w:p>
    <w:p w:rsidR="005366A8" w:rsidRDefault="005366A8" w:rsidP="005366A8">
      <w:pPr>
        <w:rPr>
          <w:rtl/>
        </w:rPr>
      </w:pPr>
    </w:p>
    <w:p w:rsidR="005366A8" w:rsidRDefault="005366A8" w:rsidP="005366A8">
      <w:pPr>
        <w:rPr>
          <w:rtl/>
        </w:rPr>
      </w:pPr>
    </w:p>
    <w:p w:rsidR="005366A8" w:rsidRPr="00C538AC" w:rsidRDefault="005366A8" w:rsidP="005366A8">
      <w:pPr>
        <w:rPr>
          <w:rFonts w:ascii="Arial" w:hAnsi="Arial" w:cs="Arial"/>
          <w:b/>
          <w:bCs/>
        </w:rPr>
      </w:pPr>
      <w:r w:rsidRPr="00C538AC">
        <w:rPr>
          <w:rFonts w:ascii="Arial" w:hAnsi="Arial" w:cs="Arial"/>
          <w:b/>
          <w:bCs/>
          <w:highlight w:val="yellow"/>
          <w:rtl/>
        </w:rPr>
        <w:t>המשך קצר ל</w:t>
      </w:r>
      <w:r>
        <w:rPr>
          <w:rFonts w:ascii="Arial" w:hAnsi="Arial" w:cs="Arial" w:hint="cs"/>
          <w:b/>
          <w:bCs/>
          <w:highlight w:val="yellow"/>
          <w:rtl/>
        </w:rPr>
        <w:t xml:space="preserve">שאלת המגבלות שמטילה החוקה הפורמאלית על פעולות מסוימות של </w:t>
      </w:r>
      <w:r w:rsidRPr="00C538AC">
        <w:rPr>
          <w:rFonts w:ascii="Arial" w:hAnsi="Arial" w:cs="Arial"/>
          <w:b/>
          <w:bCs/>
          <w:highlight w:val="yellow"/>
          <w:rtl/>
        </w:rPr>
        <w:t>הפרטה</w:t>
      </w:r>
    </w:p>
    <w:p w:rsidR="005366A8" w:rsidRPr="00C538AC" w:rsidRDefault="005366A8" w:rsidP="005366A8">
      <w:pPr>
        <w:rPr>
          <w:rFonts w:ascii="Arial" w:hAnsi="Arial" w:cs="Arial"/>
          <w:b/>
          <w:bCs/>
          <w:rtl/>
        </w:rPr>
      </w:pPr>
    </w:p>
    <w:p w:rsidR="005366A8" w:rsidRDefault="005366A8" w:rsidP="005366A8">
      <w:pPr>
        <w:rPr>
          <w:sz w:val="22"/>
          <w:szCs w:val="22"/>
          <w:rtl/>
        </w:rPr>
      </w:pPr>
      <w:r>
        <w:rPr>
          <w:rFonts w:hint="cs"/>
          <w:sz w:val="22"/>
          <w:szCs w:val="22"/>
          <w:rtl/>
        </w:rPr>
        <w:t xml:space="preserve">דוגמא למחשבה. עתירה בעניינה תלויה ועומדת להכרעתו של בית המשפט. </w:t>
      </w:r>
    </w:p>
    <w:p w:rsidR="005366A8" w:rsidRPr="00B56CAB" w:rsidRDefault="005366A8" w:rsidP="005366A8">
      <w:pPr>
        <w:rPr>
          <w:sz w:val="22"/>
          <w:szCs w:val="22"/>
          <w:rtl/>
        </w:rPr>
      </w:pPr>
    </w:p>
    <w:p w:rsidR="005366A8" w:rsidRDefault="005366A8" w:rsidP="005366A8">
      <w:pPr>
        <w:rPr>
          <w:rFonts w:ascii="Arial" w:hAnsi="Arial"/>
          <w:rtl/>
        </w:rPr>
      </w:pPr>
      <w:r>
        <w:rPr>
          <w:rFonts w:ascii="Arial" w:hAnsi="Arial"/>
          <w:vertAlign w:val="subscript"/>
          <w:rtl/>
        </w:rPr>
        <w:t>עודכן ב- 14:27 07/01/2011</w:t>
      </w:r>
    </w:p>
    <w:p w:rsidR="005366A8" w:rsidRDefault="005366A8" w:rsidP="00A12318">
      <w:pPr>
        <w:pStyle w:val="Heading2"/>
        <w:jc w:val="left"/>
        <w:rPr>
          <w:i w:val="0"/>
          <w:iCs w:val="0"/>
          <w:sz w:val="28"/>
          <w:szCs w:val="28"/>
          <w:rtl/>
        </w:rPr>
      </w:pPr>
      <w:r w:rsidRPr="00C538AC">
        <w:rPr>
          <w:sz w:val="28"/>
          <w:szCs w:val="28"/>
          <w:rtl/>
        </w:rPr>
        <w:t>שר השיכון, אלי אטיאס: האבטחה במזרח ירושלים מסכנת חיי אדם</w:t>
      </w:r>
    </w:p>
    <w:p w:rsidR="005366A8" w:rsidRPr="00C538AC" w:rsidRDefault="005366A8" w:rsidP="00A12318">
      <w:pPr>
        <w:pStyle w:val="Heading2"/>
        <w:jc w:val="left"/>
        <w:rPr>
          <w:i w:val="0"/>
          <w:iCs w:val="0"/>
          <w:sz w:val="28"/>
          <w:szCs w:val="28"/>
          <w:rtl/>
        </w:rPr>
      </w:pPr>
      <w:r w:rsidRPr="00C538AC">
        <w:rPr>
          <w:sz w:val="28"/>
          <w:szCs w:val="28"/>
          <w:rtl/>
        </w:rPr>
        <w:t xml:space="preserve"> </w:t>
      </w:r>
    </w:p>
    <w:p w:rsidR="005366A8" w:rsidRDefault="005366A8" w:rsidP="00A12318">
      <w:pPr>
        <w:pStyle w:val="Heading3"/>
        <w:jc w:val="left"/>
        <w:rPr>
          <w:rtl/>
        </w:rPr>
      </w:pPr>
      <w:r>
        <w:rPr>
          <w:rtl/>
        </w:rPr>
        <w:t>גורמי ביטחון ושר השיכון התריעו בפני נתניהו כי מאבטחי המתחמים היהודיים במזרח העיר אינם עוברים הכשרה מתאימה ואינם כפופים לנוהלי המשטרה</w:t>
      </w:r>
    </w:p>
    <w:p w:rsidR="005366A8" w:rsidRDefault="005366A8" w:rsidP="00A12318">
      <w:pPr>
        <w:jc w:val="left"/>
        <w:rPr>
          <w:rFonts w:ascii="Arial" w:hAnsi="Arial"/>
          <w:rtl/>
        </w:rPr>
      </w:pPr>
      <w:r>
        <w:rPr>
          <w:rFonts w:ascii="Arial" w:hAnsi="Arial"/>
          <w:vertAlign w:val="subscript"/>
          <w:rtl/>
        </w:rPr>
        <w:t xml:space="preserve">מאת </w:t>
      </w:r>
      <w:hyperlink r:id="rId182" w:history="1">
        <w:r>
          <w:rPr>
            <w:rStyle w:val="Hyperlink"/>
            <w:rFonts w:ascii="Arial" w:hAnsi="Arial"/>
            <w:vertAlign w:val="subscript"/>
            <w:rtl/>
          </w:rPr>
          <w:t>עקיבא אלדר</w:t>
        </w:r>
      </w:hyperlink>
    </w:p>
    <w:p w:rsidR="005366A8" w:rsidRPr="00840C29" w:rsidRDefault="005366A8" w:rsidP="00A12318">
      <w:pPr>
        <w:jc w:val="left"/>
        <w:rPr>
          <w:sz w:val="20"/>
          <w:szCs w:val="20"/>
          <w:rtl/>
        </w:rPr>
      </w:pPr>
      <w:r w:rsidRPr="00840C29">
        <w:rPr>
          <w:rFonts w:ascii="Arial" w:hAnsi="Arial"/>
          <w:sz w:val="20"/>
          <w:szCs w:val="20"/>
          <w:rtl/>
        </w:rPr>
        <w:br/>
        <w:t xml:space="preserve">על אף התרעות של גורמי ביטחון ושל שר השיכון, אריאל אטיאס, מפני ההשלכות הקטלניות של </w:t>
      </w:r>
      <w:r w:rsidRPr="00840C29">
        <w:rPr>
          <w:rFonts w:ascii="Arial" w:hAnsi="Arial"/>
          <w:sz w:val="20"/>
          <w:szCs w:val="20"/>
          <w:highlight w:val="yellow"/>
          <w:rtl/>
        </w:rPr>
        <w:t>הפעלת מאבטחים פרטיים</w:t>
      </w:r>
      <w:r w:rsidRPr="00840C29">
        <w:rPr>
          <w:rFonts w:ascii="Arial" w:hAnsi="Arial"/>
          <w:sz w:val="20"/>
          <w:szCs w:val="20"/>
          <w:rtl/>
        </w:rPr>
        <w:t xml:space="preserve"> במתחמי המתנחלים במזרח ירושלים, נמנע ראש הממשלה בנימין נתניהו מלקיים דיון בסוגיה. שישה חודשים לפני שמאבטח של חברה פרטית שמועסקת על ידי המשרד ירה למוות בתושב סילוואן, דבר שעורר מהומות במזרח ירושלים, כתב הממונה על הביטחון במשרד הבינוי והשיכון, יצחק לרר, לשר אטיאס כי "מחובתי להתריע כי יחידת האבטחה האזרחית אינה ערוכה להתמודדות עם הפרות סדר רחבות היקף, הכוללות שימוש באמצעי לחימה ובקבוקי תבערה. ישנם פערים שעלולים להביא לכשל מערכתי ולסיכון חיי אדם בטווח הזמן המיידי". </w:t>
      </w:r>
      <w:r w:rsidRPr="00840C29">
        <w:rPr>
          <w:rFonts w:ascii="Arial" w:hAnsi="Arial"/>
          <w:sz w:val="20"/>
          <w:szCs w:val="20"/>
          <w:rtl/>
        </w:rPr>
        <w:br/>
        <w:t xml:space="preserve">במכתב, שהעתק ממנו הועבר על ידי אטיאס לנתניהו, הוסיף לרר בלשון של תחינה: "אני מבקש, בטרם יהיה מאוחר מדי, להתריע: אל לנו להתעלם מחומרת האירועים; חיי אדם מונחים על הכף". </w:t>
      </w:r>
      <w:r w:rsidRPr="00840C29">
        <w:rPr>
          <w:rFonts w:ascii="Arial" w:hAnsi="Arial"/>
          <w:sz w:val="20"/>
          <w:szCs w:val="20"/>
          <w:rtl/>
        </w:rPr>
        <w:br/>
      </w:r>
      <w:r w:rsidRPr="00840C29">
        <w:rPr>
          <w:rFonts w:ascii="Arial" w:hAnsi="Arial"/>
          <w:sz w:val="20"/>
          <w:szCs w:val="20"/>
          <w:rtl/>
        </w:rPr>
        <w:br/>
        <w:t xml:space="preserve">אחרי המהומות שפרצו בעקבות מותו של תושב סילוואן סאמר סרחאן (32), שנורה בידי מאבטח של משרד השיכון בספטמבר האחרון, פנה ח"כ חיים אורון ממרצ לאטיאס בבקשה שיטפל בנושא. </w:t>
      </w:r>
      <w:r w:rsidRPr="00840C29">
        <w:rPr>
          <w:rFonts w:ascii="Arial" w:hAnsi="Arial"/>
          <w:sz w:val="20"/>
          <w:szCs w:val="20"/>
          <w:rtl/>
        </w:rPr>
        <w:br/>
      </w:r>
      <w:r w:rsidRPr="00840C29">
        <w:rPr>
          <w:rFonts w:ascii="Arial" w:hAnsi="Arial"/>
          <w:sz w:val="20"/>
          <w:szCs w:val="20"/>
          <w:rtl/>
        </w:rPr>
        <w:br/>
        <w:t xml:space="preserve">אטיאס ענה לאורון כי "לאור דחיפות ורגישות הנושא, פניתי לראש הממשלה בבקשה לערוך דיון דחוף בראשותו, לגבי בחינת המשך מתכונת השמירה במזרח ירושלים". אטיאס מציין כי מאז מארס אשתקד הועברו מתפקידם כ-15 מאבטחים, לאחר שלא נמצאו מתאימים לעבוד ביחידה. הוא דיווח כי בחודש מאי שעבר נרשמו ביומן האירועים של המאבטחים 246 אירועים, לרבות שלושה שבהם השתמשו בנשקם, מאחר שנמצאו בסכנת חיים. במכתב לנתניהו כתב אטיאס "הכתובת מרוחה על הקיר ולי נותר לקרוא אותה בפניך שוב ושוב". </w:t>
      </w:r>
      <w:r w:rsidRPr="00840C29">
        <w:rPr>
          <w:rFonts w:ascii="Arial" w:hAnsi="Arial"/>
          <w:sz w:val="20"/>
          <w:szCs w:val="20"/>
          <w:rtl/>
        </w:rPr>
        <w:br/>
      </w:r>
      <w:r w:rsidRPr="00840C29">
        <w:rPr>
          <w:rFonts w:ascii="Arial" w:hAnsi="Arial"/>
          <w:sz w:val="20"/>
          <w:szCs w:val="20"/>
          <w:rtl/>
        </w:rPr>
        <w:br/>
        <w:t xml:space="preserve">עופר רוזנמן, מנהל חברת "עילית אבטחה", המאמנת את המאבטחים, אמר ל"הארץ" אחרי התקרית כי "בסילוואן יש ואקום שלטוני" וטען שבקשתו לקבל אמצעים לפיזור הפגנות נענתה בסירוב. </w:t>
      </w:r>
      <w:r w:rsidRPr="00840C29">
        <w:rPr>
          <w:rFonts w:ascii="Arial" w:hAnsi="Arial"/>
          <w:sz w:val="20"/>
          <w:szCs w:val="20"/>
          <w:rtl/>
        </w:rPr>
        <w:br/>
      </w:r>
      <w:r w:rsidRPr="00840C29">
        <w:rPr>
          <w:rFonts w:ascii="Arial" w:hAnsi="Arial"/>
          <w:sz w:val="20"/>
          <w:szCs w:val="20"/>
          <w:rtl/>
        </w:rPr>
        <w:br/>
      </w:r>
      <w:r w:rsidRPr="00840C29">
        <w:rPr>
          <w:rFonts w:ascii="Arial" w:hAnsi="Arial"/>
          <w:sz w:val="20"/>
          <w:szCs w:val="20"/>
          <w:highlight w:val="yellow"/>
          <w:rtl/>
        </w:rPr>
        <w:t>בעקבות התקרית פנתה גם האגודה לזכויות האזרח לראש הממשלה ולשר השיכון, בתביעה להעביר את סמכויות האבטחה בשכונות הפלסטיניות במזרח ירושלים לידי משטרת ישראל. המלצה דומה הגישה בשנת 2006 "הוועדה הציבורית לבדיקת השמירה ואבטחת המתחמים במזרח ירושלים", בראשותו של אלוף (במיל.) אורי אור</w:t>
      </w:r>
      <w:r w:rsidRPr="00840C29">
        <w:rPr>
          <w:rFonts w:ascii="Arial" w:hAnsi="Arial"/>
          <w:sz w:val="20"/>
          <w:szCs w:val="20"/>
          <w:rtl/>
        </w:rPr>
        <w:t xml:space="preserve">. </w:t>
      </w:r>
      <w:r w:rsidRPr="00840C29">
        <w:rPr>
          <w:rFonts w:ascii="Arial" w:hAnsi="Arial"/>
          <w:sz w:val="20"/>
          <w:szCs w:val="20"/>
          <w:rtl/>
        </w:rPr>
        <w:br/>
      </w:r>
      <w:r w:rsidRPr="00840C29">
        <w:rPr>
          <w:rFonts w:ascii="Arial" w:hAnsi="Arial"/>
          <w:sz w:val="20"/>
          <w:szCs w:val="20"/>
          <w:rtl/>
        </w:rPr>
        <w:br/>
        <w:t xml:space="preserve">הממשלה קיבלה את ההמלצה, אולם בינואר 2007 החליטה ממשלת אולמרט לבטלה והחזירה את המצב לקדמותו. בשנת 2010 הקציב משרד השיכון כ-54 מיליון שקלים למימון האבטחה הפרטית במזרח ירושלים. </w:t>
      </w:r>
      <w:r w:rsidRPr="00840C29">
        <w:rPr>
          <w:rFonts w:ascii="Arial" w:hAnsi="Arial"/>
          <w:sz w:val="20"/>
          <w:szCs w:val="20"/>
          <w:rtl/>
        </w:rPr>
        <w:br/>
      </w:r>
      <w:r w:rsidRPr="00840C29">
        <w:rPr>
          <w:rFonts w:ascii="Arial" w:hAnsi="Arial"/>
          <w:sz w:val="20"/>
          <w:szCs w:val="20"/>
          <w:rtl/>
        </w:rPr>
        <w:br/>
      </w:r>
      <w:r w:rsidRPr="00840C29">
        <w:rPr>
          <w:rFonts w:ascii="Arial" w:hAnsi="Arial"/>
          <w:sz w:val="20"/>
          <w:szCs w:val="20"/>
          <w:highlight w:val="yellow"/>
          <w:rtl/>
        </w:rPr>
        <w:t>במכתב לראש הממשלה מציינת האגודה לזכויות האזרח כי המאבטחים הפרטיים אינם כפופים לחוקים ולכללים הבסיסיים שאמורים להנחות את המשטרה, שהם אינם עוברים הכשרה מתאימה ושאינם נתונים לפיקוח ישיר של המשטרה. בחודשים האחרונים נרשמו כמה מקרים בהם השתמשו המאבטחים בנשק כלפי האוכלוסייה ואף פתחו באש חיה ללא אזהרה, וללא נקיטת הליך דומה לנוהל פתיחה באש, שבו מחויבים כוחות המשטרה והצבא</w:t>
      </w:r>
      <w:r w:rsidRPr="00840C29">
        <w:rPr>
          <w:rFonts w:ascii="Arial" w:hAnsi="Arial"/>
          <w:sz w:val="20"/>
          <w:szCs w:val="20"/>
          <w:rtl/>
        </w:rPr>
        <w:t xml:space="preserve">. </w:t>
      </w:r>
      <w:r w:rsidRPr="00840C29">
        <w:rPr>
          <w:rFonts w:ascii="Arial" w:hAnsi="Arial"/>
          <w:sz w:val="20"/>
          <w:szCs w:val="20"/>
          <w:rtl/>
        </w:rPr>
        <w:br/>
      </w:r>
      <w:r w:rsidRPr="00840C29">
        <w:rPr>
          <w:rFonts w:ascii="Arial" w:hAnsi="Arial"/>
          <w:sz w:val="20"/>
          <w:szCs w:val="20"/>
          <w:rtl/>
        </w:rPr>
        <w:br/>
        <w:t>לדברי גורמי שמאל, בין המאבטחים לבין עמותות המתנחלים, בעיקר אלע"ד, קיימים קשרים הדוקים, ולטענתם, אנשי העמותה אף מורים למאבט</w:t>
      </w:r>
      <w:r w:rsidRPr="00840C29">
        <w:rPr>
          <w:rFonts w:ascii="Arial" w:hAnsi="Arial" w:hint="cs"/>
          <w:sz w:val="20"/>
          <w:szCs w:val="20"/>
          <w:rtl/>
        </w:rPr>
        <w:t>ח</w:t>
      </w:r>
      <w:r w:rsidRPr="00840C29">
        <w:rPr>
          <w:rFonts w:ascii="Arial" w:hAnsi="Arial"/>
          <w:sz w:val="20"/>
          <w:szCs w:val="20"/>
          <w:rtl/>
        </w:rPr>
        <w:t xml:space="preserve">ים כיצד לפעול. </w:t>
      </w:r>
      <w:r w:rsidRPr="00840C29">
        <w:rPr>
          <w:rFonts w:ascii="Arial" w:hAnsi="Arial"/>
          <w:sz w:val="20"/>
          <w:szCs w:val="20"/>
          <w:rtl/>
        </w:rPr>
        <w:br/>
      </w:r>
      <w:r w:rsidRPr="00840C29">
        <w:rPr>
          <w:rFonts w:ascii="Arial" w:hAnsi="Arial"/>
          <w:sz w:val="20"/>
          <w:szCs w:val="20"/>
          <w:rtl/>
        </w:rPr>
        <w:br/>
        <w:t xml:space="preserve">מעמותת עיר עמים שפועלת לקידום דו-קיום בירושלים נמסר בתגובה כי "העובדה שהממשלה מתעקשת להמשיך ולספק למתנחלים במזרח ירושלים מערך אבטחה פרטית, בניגוד להמלצות כל הגופים המקצועיים הנוגעים בדבר, מעידה על עומק השעבוד של האינטרסים הציבוריים לטובת סדר יומם של קבוצות קצה בירושלים". </w:t>
      </w:r>
      <w:r w:rsidRPr="00840C29">
        <w:rPr>
          <w:rFonts w:ascii="Arial" w:hAnsi="Arial"/>
          <w:sz w:val="20"/>
          <w:szCs w:val="20"/>
          <w:rtl/>
        </w:rPr>
        <w:br/>
      </w:r>
      <w:r w:rsidRPr="00840C29">
        <w:rPr>
          <w:rFonts w:ascii="Arial" w:hAnsi="Arial"/>
          <w:sz w:val="20"/>
          <w:szCs w:val="20"/>
          <w:rtl/>
        </w:rPr>
        <w:br/>
        <w:t>מלשכת ראש הממשלה נמסר כי "על פי החלטת ממשלה משנת 2007 נושא אבטחת מזרח ירושלים נמצא באחריות משרד הבינוי והשיכון. מנכ"ל משרד ראש הממשלה קיים מספר דיונים בנושא עם מנכ"ל משרד הבינוי והשיכון, בסופם הוחלט כי אין סיבה המצדיקה את שינוי החלטת הממשלה".</w:t>
      </w:r>
    </w:p>
    <w:p w:rsidR="005366A8" w:rsidRDefault="005366A8" w:rsidP="005366A8">
      <w:pPr>
        <w:rPr>
          <w:rtl/>
        </w:rPr>
      </w:pPr>
    </w:p>
    <w:p w:rsidR="005366A8" w:rsidRDefault="005366A8" w:rsidP="005366A8">
      <w:pPr>
        <w:rPr>
          <w:rtl/>
        </w:rPr>
      </w:pPr>
    </w:p>
    <w:p w:rsidR="005366A8" w:rsidRPr="00C538AC" w:rsidRDefault="005366A8" w:rsidP="005366A8">
      <w:pPr>
        <w:rPr>
          <w:b/>
          <w:bCs/>
          <w:i/>
          <w:iCs/>
          <w:sz w:val="28"/>
          <w:szCs w:val="28"/>
        </w:rPr>
      </w:pPr>
      <w:r w:rsidRPr="00C538AC">
        <w:rPr>
          <w:b/>
          <w:bCs/>
          <w:i/>
          <w:iCs/>
          <w:sz w:val="28"/>
          <w:szCs w:val="28"/>
          <w:rtl/>
        </w:rPr>
        <w:t>העליון: על המדינה להסביר את מדיניות האבטחה במזרח ירושלים</w:t>
      </w:r>
    </w:p>
    <w:p w:rsidR="005366A8" w:rsidRDefault="005366A8" w:rsidP="005366A8">
      <w:pPr>
        <w:rPr>
          <w:b/>
          <w:bCs/>
          <w:rtl/>
        </w:rPr>
      </w:pPr>
    </w:p>
    <w:p w:rsidR="005366A8" w:rsidRPr="000E668B" w:rsidRDefault="005366A8" w:rsidP="005366A8">
      <w:pPr>
        <w:rPr>
          <w:b/>
          <w:bCs/>
        </w:rPr>
      </w:pPr>
      <w:r w:rsidRPr="000E668B">
        <w:rPr>
          <w:b/>
          <w:bCs/>
          <w:rtl/>
        </w:rPr>
        <w:t>תושבי מזרח העיר עתרו לבית המשפט העליון בטענה שהמאבטחים הפרטיים, המועסקים על ידי משרד הבינוי והשיכון, פועלים ככוח שיטור ללא כל סמכות</w:t>
      </w:r>
    </w:p>
    <w:p w:rsidR="005366A8" w:rsidRPr="000E668B" w:rsidRDefault="005D7968" w:rsidP="000B7168">
      <w:pPr>
        <w:numPr>
          <w:ilvl w:val="0"/>
          <w:numId w:val="18"/>
        </w:numPr>
        <w:jc w:val="left"/>
      </w:pPr>
      <w:hyperlink r:id="rId183" w:history="1">
        <w:r w:rsidR="005366A8" w:rsidRPr="00C538AC">
          <w:rPr>
            <w:rStyle w:val="Hyperlink"/>
            <w:rtl/>
          </w:rPr>
          <w:t>ניר חסון</w:t>
        </w:r>
      </w:hyperlink>
      <w:r w:rsidR="005366A8">
        <w:rPr>
          <w:rFonts w:hint="cs"/>
          <w:rtl/>
        </w:rPr>
        <w:t xml:space="preserve">, </w:t>
      </w:r>
      <w:r w:rsidR="005366A8" w:rsidRPr="000E668B">
        <w:t>13.12.2012</w:t>
      </w:r>
    </w:p>
    <w:p w:rsidR="005366A8" w:rsidRPr="000E668B" w:rsidRDefault="005366A8" w:rsidP="005366A8">
      <w:pPr>
        <w:ind w:left="720"/>
      </w:pPr>
    </w:p>
    <w:p w:rsidR="005366A8" w:rsidRPr="00C538AC" w:rsidRDefault="005366A8" w:rsidP="005366A8">
      <w:pPr>
        <w:spacing w:after="60"/>
        <w:rPr>
          <w:sz w:val="20"/>
          <w:szCs w:val="20"/>
        </w:rPr>
      </w:pPr>
      <w:r w:rsidRPr="00C538AC">
        <w:rPr>
          <w:sz w:val="20"/>
          <w:szCs w:val="20"/>
          <w:rtl/>
        </w:rPr>
        <w:t>שופטי בג"צ הורו למדינה לנמק מדוע לא תעביר את סמכויות האבטחה על המתחמים היהודים במזרח ירושלים ממשרד הבינוי והשיכון למשרד לביטחון פנים. השופטים מותחים ביקורת על מדיניות</w:t>
      </w:r>
      <w:r w:rsidRPr="00C538AC">
        <w:rPr>
          <w:sz w:val="20"/>
          <w:szCs w:val="20"/>
        </w:rPr>
        <w:t> </w:t>
      </w:r>
      <w:hyperlink r:id="rId184" w:history="1">
        <w:r w:rsidRPr="00C538AC">
          <w:rPr>
            <w:rStyle w:val="Hyperlink"/>
            <w:sz w:val="20"/>
            <w:szCs w:val="20"/>
            <w:rtl/>
          </w:rPr>
          <w:t>העסקת מאבטחים פרטיים</w:t>
        </w:r>
        <w:r w:rsidRPr="00C538AC">
          <w:rPr>
            <w:rStyle w:val="Hyperlink"/>
            <w:sz w:val="20"/>
            <w:szCs w:val="20"/>
          </w:rPr>
          <w:t> </w:t>
        </w:r>
      </w:hyperlink>
      <w:r w:rsidRPr="00C538AC">
        <w:rPr>
          <w:sz w:val="20"/>
          <w:szCs w:val="20"/>
          <w:rtl/>
        </w:rPr>
        <w:t>שמנהיג משרד השיכון בהתנחלויות היהודיות</w:t>
      </w:r>
      <w:r w:rsidRPr="00C538AC">
        <w:rPr>
          <w:sz w:val="20"/>
          <w:szCs w:val="20"/>
        </w:rPr>
        <w:t> </w:t>
      </w:r>
      <w:hyperlink r:id="rId185" w:history="1">
        <w:r w:rsidRPr="00C538AC">
          <w:rPr>
            <w:rStyle w:val="Hyperlink"/>
            <w:sz w:val="20"/>
            <w:szCs w:val="20"/>
            <w:rtl/>
          </w:rPr>
          <w:t>במזרח ירושלים</w:t>
        </w:r>
      </w:hyperlink>
      <w:r w:rsidRPr="00C538AC">
        <w:rPr>
          <w:sz w:val="20"/>
          <w:szCs w:val="20"/>
        </w:rPr>
        <w:t xml:space="preserve">. </w:t>
      </w:r>
      <w:r w:rsidRPr="00C538AC">
        <w:rPr>
          <w:sz w:val="20"/>
          <w:szCs w:val="20"/>
          <w:rtl/>
        </w:rPr>
        <w:t>אתמול (רביעי) דנו השופטים</w:t>
      </w:r>
      <w:r w:rsidRPr="00C538AC">
        <w:rPr>
          <w:sz w:val="20"/>
          <w:szCs w:val="20"/>
        </w:rPr>
        <w:t> </w:t>
      </w:r>
      <w:hyperlink r:id="rId186" w:history="1">
        <w:r w:rsidRPr="00C538AC">
          <w:rPr>
            <w:rStyle w:val="Hyperlink"/>
            <w:sz w:val="20"/>
            <w:szCs w:val="20"/>
            <w:rtl/>
          </w:rPr>
          <w:t>בעתירה שהוגשה בנושא נגד המדינה</w:t>
        </w:r>
      </w:hyperlink>
      <w:r w:rsidRPr="00C538AC">
        <w:rPr>
          <w:sz w:val="20"/>
          <w:szCs w:val="20"/>
        </w:rPr>
        <w:t> </w:t>
      </w:r>
      <w:r w:rsidRPr="00C538AC">
        <w:rPr>
          <w:sz w:val="20"/>
          <w:szCs w:val="20"/>
          <w:rtl/>
        </w:rPr>
        <w:t>על ידי תושבים פלסטינים ממזרח העיר והאגודה לזכויות האזרח</w:t>
      </w:r>
      <w:r w:rsidRPr="00C538AC">
        <w:rPr>
          <w:sz w:val="20"/>
          <w:szCs w:val="20"/>
        </w:rPr>
        <w:t>.</w:t>
      </w:r>
    </w:p>
    <w:p w:rsidR="005366A8" w:rsidRPr="00C538AC" w:rsidRDefault="005366A8" w:rsidP="005366A8">
      <w:pPr>
        <w:spacing w:after="60"/>
        <w:rPr>
          <w:sz w:val="20"/>
          <w:szCs w:val="20"/>
        </w:rPr>
      </w:pPr>
      <w:r w:rsidRPr="00C538AC">
        <w:rPr>
          <w:sz w:val="20"/>
          <w:szCs w:val="20"/>
          <w:rtl/>
        </w:rPr>
        <w:t>זה כ-20 שנה שמשרד השיכון והבינוי מעסיק מאות מאבטחים פרטיים במזרח ירושלים. פעולות האבטחה כוללות עמדות שמירה, ליווי תושבים, פטרולים ועוד. לטענת העותרים, עם השנים צברו המאבטחים הפרטיים כוח וסמכויות לא להם, וכיום הם מתפקדים כמעין כוח משטרתי מופרט</w:t>
      </w:r>
      <w:r w:rsidRPr="00C538AC">
        <w:rPr>
          <w:sz w:val="20"/>
          <w:szCs w:val="20"/>
        </w:rPr>
        <w:t>.</w:t>
      </w:r>
    </w:p>
    <w:p w:rsidR="005366A8" w:rsidRPr="00C538AC" w:rsidRDefault="005366A8" w:rsidP="005366A8">
      <w:pPr>
        <w:spacing w:after="60"/>
        <w:rPr>
          <w:sz w:val="20"/>
          <w:szCs w:val="20"/>
        </w:rPr>
      </w:pPr>
      <w:r w:rsidRPr="00C538AC">
        <w:rPr>
          <w:sz w:val="20"/>
          <w:szCs w:val="20"/>
          <w:rtl/>
        </w:rPr>
        <w:t xml:space="preserve">בהחלטה שפורסמה היום הוציאו השופטים, בראשות נשיא בית המשפט העליון, השופט אשר גרוניס, </w:t>
      </w:r>
      <w:r w:rsidRPr="00580978">
        <w:rPr>
          <w:sz w:val="20"/>
          <w:szCs w:val="20"/>
          <w:highlight w:val="yellow"/>
          <w:rtl/>
        </w:rPr>
        <w:t>צו על תנאי</w:t>
      </w:r>
      <w:r w:rsidRPr="00C538AC">
        <w:rPr>
          <w:sz w:val="20"/>
          <w:szCs w:val="20"/>
          <w:rtl/>
        </w:rPr>
        <w:t xml:space="preserve"> שמורה למדינה "לבוא ולנמק מדוע לא תבוטל החלטת הממשלה מספר 1073 מיום 21.01.2007, כך שהסמכויות לאבטחת המתחמים היהודיים במזרח ירושלים יועברו ממשרד הבינוי והשיכון למשרד לביטחון פנים; כמו כן יש לנמק מדוע המשרד הממשלתי האחראי לא ישקול שוב את הגדרת סמכויותיהם של המאבטחים". </w:t>
      </w:r>
      <w:r w:rsidRPr="00580978">
        <w:rPr>
          <w:sz w:val="20"/>
          <w:szCs w:val="20"/>
          <w:highlight w:val="yellow"/>
          <w:rtl/>
        </w:rPr>
        <w:t>על המדינה לתת את תשובתה</w:t>
      </w:r>
      <w:r w:rsidRPr="00C538AC">
        <w:rPr>
          <w:sz w:val="20"/>
          <w:szCs w:val="20"/>
          <w:rtl/>
        </w:rPr>
        <w:t xml:space="preserve"> בתוך 120 ימים</w:t>
      </w:r>
      <w:r w:rsidRPr="00C538AC">
        <w:rPr>
          <w:sz w:val="20"/>
          <w:szCs w:val="20"/>
        </w:rPr>
        <w:t>. </w:t>
      </w:r>
    </w:p>
    <w:p w:rsidR="005366A8" w:rsidRPr="00C538AC" w:rsidRDefault="005366A8" w:rsidP="005366A8">
      <w:pPr>
        <w:spacing w:after="60"/>
        <w:rPr>
          <w:sz w:val="20"/>
          <w:szCs w:val="20"/>
        </w:rPr>
      </w:pPr>
      <w:r w:rsidRPr="00C538AC">
        <w:rPr>
          <w:sz w:val="20"/>
          <w:szCs w:val="20"/>
          <w:rtl/>
        </w:rPr>
        <w:t xml:space="preserve">מעדויות שצירפה לעתירה </w:t>
      </w:r>
      <w:r w:rsidRPr="00C538AC">
        <w:rPr>
          <w:sz w:val="20"/>
          <w:szCs w:val="20"/>
          <w:highlight w:val="yellow"/>
          <w:rtl/>
        </w:rPr>
        <w:t>האגודה לזכויות האזרח</w:t>
      </w:r>
      <w:r w:rsidRPr="00C538AC">
        <w:rPr>
          <w:sz w:val="20"/>
          <w:szCs w:val="20"/>
          <w:rtl/>
        </w:rPr>
        <w:t xml:space="preserve"> עולה כי המאבטחים מבצעים "פעילות משטרתית קלאסית", כמו הפעלת כוח כלפי תושבים, חסימת כבישים, עיכוב תושבים ועוד. במקרה אחד לפחות אף נהרג פלסטיני מירי מאבטח, ובמקרים אחרים נפצעו תושבים. "משמעות הדברים המתוארים מרחיקת לכת", נכתב בעתירה שהוגשה באמצעות עו"ד קרן צפריר. "במקום שהמשטרה, שהיא בעלת המונופול על הפעלת כוח כלפי אוכלוסייה אזרחית, תהווה את הכוח המרכזי העוסק בשמירת החוק ובפתרון סכסוכים אלימים, הועבר למאבטחים הפרטיים תפקיד זה". עוד נטען בעתירה כי "כנגזרת של הגדרת תפקידם, המאבטחים מתייחסים לאוכלוסייה הערבית כולה כאויב</w:t>
      </w:r>
      <w:r w:rsidRPr="00C538AC">
        <w:rPr>
          <w:sz w:val="20"/>
          <w:szCs w:val="20"/>
        </w:rPr>
        <w:t>".</w:t>
      </w:r>
    </w:p>
    <w:p w:rsidR="005366A8" w:rsidRPr="00C538AC" w:rsidRDefault="005366A8" w:rsidP="005366A8">
      <w:pPr>
        <w:spacing w:after="60"/>
        <w:rPr>
          <w:sz w:val="20"/>
          <w:szCs w:val="20"/>
        </w:rPr>
      </w:pPr>
      <w:r w:rsidRPr="00C538AC">
        <w:rPr>
          <w:sz w:val="20"/>
          <w:szCs w:val="20"/>
          <w:rtl/>
        </w:rPr>
        <w:t>ב-2010 העסיק משרד השיכון 360 מאבטחים במזרח ירושלים בעלות של 52 מיליון שקלים. לפני כשנה נחשף ב"הארץ"  כי משרד השיכון</w:t>
      </w:r>
      <w:r w:rsidRPr="00C538AC">
        <w:rPr>
          <w:sz w:val="20"/>
          <w:szCs w:val="20"/>
        </w:rPr>
        <w:t> </w:t>
      </w:r>
      <w:hyperlink r:id="rId187" w:history="1">
        <w:r w:rsidRPr="00C538AC">
          <w:rPr>
            <w:rStyle w:val="Hyperlink"/>
            <w:sz w:val="20"/>
            <w:szCs w:val="20"/>
            <w:rtl/>
          </w:rPr>
          <w:t>אולץ להעביר עוד חמישה מיליוני שקלים</w:t>
        </w:r>
      </w:hyperlink>
      <w:r w:rsidRPr="00C538AC">
        <w:rPr>
          <w:sz w:val="20"/>
          <w:szCs w:val="20"/>
        </w:rPr>
        <w:t> </w:t>
      </w:r>
      <w:r w:rsidRPr="00C538AC">
        <w:rPr>
          <w:sz w:val="20"/>
          <w:szCs w:val="20"/>
          <w:rtl/>
        </w:rPr>
        <w:t>לטובת אבטחת המתנחלים על חשבון סעיפי תקציב אחרים שלו</w:t>
      </w:r>
      <w:r w:rsidRPr="00C538AC">
        <w:rPr>
          <w:sz w:val="20"/>
          <w:szCs w:val="20"/>
        </w:rPr>
        <w:t>.</w:t>
      </w:r>
    </w:p>
    <w:p w:rsidR="005366A8" w:rsidRPr="00C538AC" w:rsidRDefault="005366A8" w:rsidP="005366A8">
      <w:pPr>
        <w:spacing w:after="60"/>
        <w:rPr>
          <w:sz w:val="20"/>
          <w:szCs w:val="20"/>
        </w:rPr>
      </w:pPr>
      <w:r w:rsidRPr="00C538AC">
        <w:rPr>
          <w:sz w:val="20"/>
          <w:szCs w:val="20"/>
          <w:highlight w:val="yellow"/>
          <w:rtl/>
        </w:rPr>
        <w:t>בתשובת המדינה</w:t>
      </w:r>
      <w:r w:rsidRPr="00C538AC">
        <w:rPr>
          <w:sz w:val="20"/>
          <w:szCs w:val="20"/>
          <w:rtl/>
        </w:rPr>
        <w:t xml:space="preserve"> לעתירה וכן בדיון אתמול טענו באי-כוחה כי המאבטחים במזרח ירושלים מחזיקים בסמכות רק בתוך המתחם עליו הם אמונים, כמו כל מאבטח פרטי. עוד טוענת המדינה שלמשטרה אין יכולת להציב שוטרים ל"שמירה סטטית" על מתחמי המגורים של המתנחלים ומציינת כי לנוכח האיום היומיומי על היהודים החיים בתוך השכונות הפלסטיניות אין ברירה אלא להעסיק את המאבטחים. "לא חסרים מקומות בארץ שיש לנו בהם מאבטחים פרטיים, אם זה בכניסה לעיריות, למשרדים. גם מאבטחים של שרים. יש פה עולם שלם של אבטחה שהמשטרה לא מתעסקת אתו", אמר עו"ד אורי קידר מהפרקליטות, שייצג את המדינה בדיון</w:t>
      </w:r>
      <w:r w:rsidRPr="00C538AC">
        <w:rPr>
          <w:sz w:val="20"/>
          <w:szCs w:val="20"/>
        </w:rPr>
        <w:t>.</w:t>
      </w:r>
    </w:p>
    <w:p w:rsidR="005366A8" w:rsidRPr="00C538AC" w:rsidRDefault="005366A8" w:rsidP="005366A8">
      <w:pPr>
        <w:spacing w:after="60"/>
        <w:rPr>
          <w:sz w:val="20"/>
          <w:szCs w:val="20"/>
        </w:rPr>
      </w:pPr>
      <w:r w:rsidRPr="00C538AC">
        <w:rPr>
          <w:sz w:val="20"/>
          <w:szCs w:val="20"/>
        </w:rPr>
        <w:t>"</w:t>
      </w:r>
      <w:r w:rsidRPr="00C538AC">
        <w:rPr>
          <w:sz w:val="20"/>
          <w:szCs w:val="20"/>
          <w:rtl/>
        </w:rPr>
        <w:t>האם זה לא תפקיד המשטרה לאבטח את הציבור הרחב בסמטאות?", הקשה השופט עוזי פוגלמן. "מה עם הזכויות של העוברים ברחובות ירושלים המזרחית?". נציג המדינה לא ידע להשיב לשאלת השופטים מדוע משרד השיכון ולא המשרד לביטחון פנים הוא שמעסיק ומפקח על המאבטחים. "למה דבר כל כך רגיש נמצא במשרד השיכון?", שאל פוגלמן, "אין לי תשובה חדה", הודה קידר. ואילו נשיא ביהמ"ש העליון אשר גרוניס, העיר בציניות: "אז תתנו את זה למשרד להגנת הסביבה</w:t>
      </w:r>
      <w:r w:rsidRPr="00C538AC">
        <w:rPr>
          <w:sz w:val="20"/>
          <w:szCs w:val="20"/>
        </w:rPr>
        <w:t>".</w:t>
      </w:r>
    </w:p>
    <w:p w:rsidR="005366A8" w:rsidRPr="00C538AC" w:rsidRDefault="005366A8" w:rsidP="005366A8">
      <w:pPr>
        <w:spacing w:after="60"/>
        <w:rPr>
          <w:sz w:val="20"/>
          <w:szCs w:val="20"/>
        </w:rPr>
      </w:pPr>
      <w:r w:rsidRPr="00C538AC">
        <w:rPr>
          <w:sz w:val="20"/>
          <w:szCs w:val="20"/>
          <w:rtl/>
        </w:rPr>
        <w:t>לאחרונה הגישו המאבטחים המועסקים במזרח הבירה תביעה בבית הדין לעבודה בירושלים נגד משרד השיכון. מכתב התביעה עולה כי גם מנקודת מבטם הם עוסקים בפעולות שיטור. "המאבטחים מבצעים עבודת שיטור ולוחמה באזורים המוגדרים תחת איום ביטחוני גבוה", נכתב בתביעה, שהועברה ל"הארץ" על ידי התחקירן ניב חכלילי. בהמשך נכתב: "ההנחיות ה'מבצעיות' מגיעות ממשטרת ישראל וממשרד השיכון. באזורים מסוימים עושים המאבטחים שימוש ברשתות הקשר של הצבא והמשטרה ובאמצעותן מדווחים על אירועים ובעיות</w:t>
      </w:r>
      <w:r w:rsidRPr="00C538AC">
        <w:rPr>
          <w:sz w:val="20"/>
          <w:szCs w:val="20"/>
        </w:rPr>
        <w:t>".</w:t>
      </w:r>
    </w:p>
    <w:p w:rsidR="005366A8" w:rsidRDefault="005366A8" w:rsidP="005366A8">
      <w:pPr>
        <w:rPr>
          <w:rtl/>
        </w:rPr>
      </w:pPr>
    </w:p>
    <w:p w:rsidR="005366A8" w:rsidRDefault="005366A8" w:rsidP="005366A8">
      <w:pPr>
        <w:rPr>
          <w:rtl/>
        </w:rPr>
      </w:pPr>
      <w:r>
        <w:rPr>
          <w:rFonts w:hint="cs"/>
          <w:rtl/>
        </w:rPr>
        <w:t>=-=</w:t>
      </w:r>
    </w:p>
    <w:p w:rsidR="005366A8" w:rsidRDefault="005366A8" w:rsidP="005366A8">
      <w:pPr>
        <w:rPr>
          <w:rtl/>
        </w:rPr>
      </w:pPr>
      <w:r w:rsidRPr="004D12C7">
        <w:rPr>
          <w:rFonts w:hint="cs"/>
          <w:highlight w:val="yellow"/>
          <w:rtl/>
        </w:rPr>
        <w:t xml:space="preserve">פס"ד </w:t>
      </w:r>
      <w:r w:rsidRPr="004D12C7">
        <w:rPr>
          <w:rFonts w:hint="cs"/>
          <w:b/>
          <w:bCs/>
          <w:i/>
          <w:iCs/>
          <w:highlight w:val="yellow"/>
          <w:rtl/>
        </w:rPr>
        <w:t>מיטראל</w:t>
      </w:r>
      <w:r w:rsidRPr="004D12C7">
        <w:rPr>
          <w:rFonts w:hint="cs"/>
          <w:highlight w:val="yellow"/>
          <w:rtl/>
        </w:rPr>
        <w:t>, דפי הפגישה הקודמת</w:t>
      </w:r>
    </w:p>
    <w:p w:rsidR="005366A8" w:rsidRPr="004D12C7" w:rsidRDefault="005366A8" w:rsidP="005366A8">
      <w:pPr>
        <w:pStyle w:val="big-header"/>
        <w:spacing w:before="0"/>
        <w:ind w:left="0" w:right="1134"/>
        <w:rPr>
          <w:rFonts w:cs="David"/>
          <w:b/>
          <w:bCs/>
          <w:vanish/>
          <w:sz w:val="22"/>
          <w:szCs w:val="22"/>
          <w:shd w:val="clear" w:color="auto" w:fill="FFFF99"/>
          <w:rtl/>
        </w:rPr>
      </w:pPr>
      <w:r w:rsidRPr="004D12C7">
        <w:rPr>
          <w:rFonts w:cs="FrankRuehl"/>
          <w:b/>
          <w:bCs/>
          <w:sz w:val="28"/>
          <w:szCs w:val="28"/>
          <w:u w:val="single"/>
          <w:rtl/>
        </w:rPr>
        <w:t>חו</w:t>
      </w:r>
      <w:r w:rsidRPr="004D12C7">
        <w:rPr>
          <w:rFonts w:cs="FrankRuehl" w:hint="cs"/>
          <w:b/>
          <w:bCs/>
          <w:sz w:val="28"/>
          <w:szCs w:val="28"/>
          <w:u w:val="single"/>
          <w:rtl/>
        </w:rPr>
        <w:t>ק בשר ומוצריו, תשנ"ד-</w:t>
      </w:r>
      <w:r w:rsidRPr="004D12C7">
        <w:rPr>
          <w:rFonts w:cs="FrankRuehl"/>
          <w:b/>
          <w:bCs/>
          <w:sz w:val="28"/>
          <w:szCs w:val="28"/>
          <w:u w:val="single"/>
          <w:rtl/>
        </w:rPr>
        <w:t>1994</w:t>
      </w:r>
      <w:r w:rsidRPr="004D12C7">
        <w:rPr>
          <w:rStyle w:val="FootnoteReference"/>
          <w:rFonts w:cs="FrankRuehl"/>
          <w:b/>
          <w:bCs/>
          <w:sz w:val="28"/>
          <w:szCs w:val="28"/>
          <w:u w:val="single"/>
          <w:rtl/>
        </w:rPr>
        <w:footnoteReference w:customMarkFollows="1" w:id="24"/>
        <w:t>*</w:t>
      </w:r>
      <w:bookmarkStart w:id="44" w:name="Rov14"/>
      <w:r w:rsidRPr="004D12C7">
        <w:rPr>
          <w:rFonts w:cs="David" w:hint="cs"/>
          <w:vanish/>
          <w:color w:val="FF0000"/>
          <w:sz w:val="22"/>
          <w:szCs w:val="22"/>
          <w:shd w:val="clear" w:color="auto" w:fill="FFFF99"/>
          <w:rtl/>
        </w:rPr>
        <w:t>מיום 30.12.1994</w:t>
      </w:r>
    </w:p>
    <w:p w:rsidR="005366A8" w:rsidRPr="004D12C7" w:rsidRDefault="005366A8" w:rsidP="005366A8">
      <w:pPr>
        <w:pStyle w:val="P00"/>
        <w:spacing w:before="0"/>
        <w:ind w:left="0" w:right="1134"/>
        <w:rPr>
          <w:rFonts w:cs="David"/>
          <w:b/>
          <w:bCs/>
          <w:vanish/>
          <w:sz w:val="22"/>
          <w:szCs w:val="22"/>
          <w:shd w:val="clear" w:color="auto" w:fill="FFFF99"/>
          <w:rtl/>
        </w:rPr>
      </w:pPr>
      <w:r w:rsidRPr="004D12C7">
        <w:rPr>
          <w:rFonts w:cs="David" w:hint="cs"/>
          <w:b/>
          <w:bCs/>
          <w:vanish/>
          <w:sz w:val="22"/>
          <w:szCs w:val="22"/>
          <w:shd w:val="clear" w:color="auto" w:fill="FFFF99"/>
          <w:rtl/>
        </w:rPr>
        <w:t>תיקון מס' 1</w:t>
      </w:r>
    </w:p>
    <w:p w:rsidR="005366A8" w:rsidRPr="004D12C7" w:rsidRDefault="005D7968" w:rsidP="005366A8">
      <w:pPr>
        <w:pStyle w:val="P00"/>
        <w:tabs>
          <w:tab w:val="clear" w:pos="6259"/>
        </w:tabs>
        <w:spacing w:before="0"/>
        <w:ind w:left="0" w:right="1134"/>
        <w:rPr>
          <w:rFonts w:cs="David"/>
          <w:vanish/>
          <w:sz w:val="22"/>
          <w:szCs w:val="22"/>
          <w:shd w:val="clear" w:color="auto" w:fill="FFFF99"/>
          <w:rtl/>
        </w:rPr>
      </w:pPr>
      <w:hyperlink r:id="rId188" w:history="1">
        <w:r w:rsidR="005366A8" w:rsidRPr="004D12C7">
          <w:rPr>
            <w:rStyle w:val="Hyperlink"/>
            <w:rFonts w:cs="David" w:hint="cs"/>
            <w:vanish/>
            <w:sz w:val="22"/>
            <w:szCs w:val="22"/>
            <w:shd w:val="clear" w:color="auto" w:fill="FFFF99"/>
            <w:rtl/>
          </w:rPr>
          <w:t>ס"ח תשנ"ה מס' 1499</w:t>
        </w:r>
      </w:hyperlink>
      <w:r w:rsidR="005366A8" w:rsidRPr="004D12C7">
        <w:rPr>
          <w:rFonts w:cs="David" w:hint="cs"/>
          <w:vanish/>
          <w:sz w:val="22"/>
          <w:szCs w:val="22"/>
          <w:shd w:val="clear" w:color="auto" w:fill="FFFF99"/>
          <w:rtl/>
        </w:rPr>
        <w:t xml:space="preserve"> מיום 4.1.1995 עמ' 92 (</w:t>
      </w:r>
      <w:hyperlink r:id="rId189" w:history="1">
        <w:r w:rsidR="005366A8" w:rsidRPr="004D12C7">
          <w:rPr>
            <w:rStyle w:val="Hyperlink"/>
            <w:rFonts w:cs="David" w:hint="cs"/>
            <w:vanish/>
            <w:sz w:val="22"/>
            <w:szCs w:val="22"/>
            <w:shd w:val="clear" w:color="auto" w:fill="FFFF99"/>
            <w:rtl/>
          </w:rPr>
          <w:t>ה"ח 2343</w:t>
        </w:r>
      </w:hyperlink>
      <w:r w:rsidR="005366A8" w:rsidRPr="004D12C7">
        <w:rPr>
          <w:rFonts w:cs="David" w:hint="cs"/>
          <w:vanish/>
          <w:sz w:val="22"/>
          <w:szCs w:val="22"/>
          <w:shd w:val="clear" w:color="auto" w:fill="FFFF99"/>
          <w:rtl/>
        </w:rPr>
        <w:t>)</w:t>
      </w:r>
    </w:p>
    <w:p w:rsidR="005366A8" w:rsidRPr="004D12C7" w:rsidRDefault="005366A8" w:rsidP="005366A8">
      <w:pPr>
        <w:pStyle w:val="P00"/>
        <w:tabs>
          <w:tab w:val="clear" w:pos="6259"/>
        </w:tabs>
        <w:spacing w:before="0"/>
        <w:ind w:left="0" w:right="1134"/>
        <w:rPr>
          <w:rFonts w:cs="David"/>
          <w:b/>
          <w:bCs/>
          <w:vanish/>
          <w:sz w:val="22"/>
          <w:szCs w:val="22"/>
          <w:shd w:val="clear" w:color="auto" w:fill="FFFF99"/>
          <w:rtl/>
        </w:rPr>
      </w:pPr>
      <w:r w:rsidRPr="004D12C7">
        <w:rPr>
          <w:rFonts w:cs="David" w:hint="cs"/>
          <w:b/>
          <w:bCs/>
          <w:vanish/>
          <w:sz w:val="22"/>
          <w:szCs w:val="22"/>
          <w:shd w:val="clear" w:color="auto" w:fill="FFFF99"/>
          <w:rtl/>
        </w:rPr>
        <w:t>החלפת שם החוק</w:t>
      </w:r>
    </w:p>
    <w:p w:rsidR="005366A8" w:rsidRPr="004D12C7" w:rsidRDefault="005366A8" w:rsidP="005366A8">
      <w:pPr>
        <w:pStyle w:val="P00"/>
        <w:tabs>
          <w:tab w:val="clear" w:pos="6259"/>
        </w:tabs>
        <w:ind w:left="0" w:right="1134"/>
        <w:rPr>
          <w:rFonts w:cs="David"/>
          <w:vanish/>
          <w:sz w:val="22"/>
          <w:szCs w:val="22"/>
          <w:shd w:val="clear" w:color="auto" w:fill="FFFF99"/>
          <w:rtl/>
        </w:rPr>
      </w:pPr>
      <w:r w:rsidRPr="004D12C7">
        <w:rPr>
          <w:rFonts w:cs="David" w:hint="cs"/>
          <w:vanish/>
          <w:sz w:val="22"/>
          <w:szCs w:val="22"/>
          <w:shd w:val="clear" w:color="auto" w:fill="FFFF99"/>
          <w:rtl/>
        </w:rPr>
        <w:t>הנוסח הקודם:</w:t>
      </w:r>
    </w:p>
    <w:p w:rsidR="005366A8" w:rsidRPr="004D12C7" w:rsidRDefault="005366A8" w:rsidP="005366A8">
      <w:pPr>
        <w:pStyle w:val="P00"/>
        <w:tabs>
          <w:tab w:val="clear" w:pos="6259"/>
        </w:tabs>
        <w:spacing w:before="0"/>
        <w:ind w:left="0" w:right="1134"/>
        <w:rPr>
          <w:rFonts w:cs="David"/>
          <w:strike/>
          <w:sz w:val="22"/>
          <w:szCs w:val="22"/>
          <w:rtl/>
        </w:rPr>
      </w:pPr>
      <w:r w:rsidRPr="004D12C7">
        <w:rPr>
          <w:rFonts w:cs="David" w:hint="cs"/>
          <w:strike/>
          <w:vanish/>
          <w:sz w:val="22"/>
          <w:szCs w:val="22"/>
          <w:shd w:val="clear" w:color="auto" w:fill="FFFF99"/>
          <w:rtl/>
        </w:rPr>
        <w:t>חוק יבוא בשר קפוא, התשנ"ד-1994</w:t>
      </w:r>
      <w:bookmarkEnd w:id="44"/>
    </w:p>
    <w:p w:rsidR="005366A8" w:rsidRPr="004D12C7" w:rsidRDefault="005D7968" w:rsidP="005366A8">
      <w:pPr>
        <w:pStyle w:val="P00"/>
        <w:spacing w:before="0"/>
        <w:ind w:left="720" w:right="142"/>
        <w:rPr>
          <w:rStyle w:val="default"/>
          <w:rFonts w:cs="David"/>
          <w:sz w:val="22"/>
          <w:szCs w:val="22"/>
          <w:rtl/>
        </w:rPr>
      </w:pPr>
      <w:r w:rsidRPr="005D7968">
        <w:rPr>
          <w:rFonts w:cs="David"/>
          <w:sz w:val="22"/>
          <w:szCs w:val="22"/>
          <w:rtl/>
          <w:lang w:val="he-IL"/>
        </w:rPr>
        <w:pict>
          <v:rect id="_x0000_s1184" style="position:absolute;left:0;text-align:left;margin-left:464.5pt;margin-top:8.05pt;width:75.05pt;height:9pt;z-index:251829248" o:allowincell="f" filled="f" stroked="f" strokecolor="lime" strokeweight=".25pt">
            <v:textbox inset="0,0,0,0">
              <w:txbxContent>
                <w:p w:rsidR="005366A8" w:rsidRDefault="005366A8" w:rsidP="005366A8">
                  <w:pPr>
                    <w:spacing w:line="160" w:lineRule="exact"/>
                    <w:rPr>
                      <w:rFonts w:cs="Miriam"/>
                      <w:noProof/>
                      <w:sz w:val="18"/>
                      <w:szCs w:val="18"/>
                      <w:rtl/>
                    </w:rPr>
                  </w:pPr>
                  <w:r>
                    <w:rPr>
                      <w:rFonts w:cs="Miriam"/>
                      <w:sz w:val="18"/>
                      <w:szCs w:val="18"/>
                      <w:rtl/>
                    </w:rPr>
                    <w:t>הג</w:t>
                  </w:r>
                  <w:r>
                    <w:rPr>
                      <w:rFonts w:cs="Miriam" w:hint="cs"/>
                      <w:sz w:val="18"/>
                      <w:szCs w:val="18"/>
                      <w:rtl/>
                    </w:rPr>
                    <w:t>דרות</w:t>
                  </w:r>
                </w:p>
              </w:txbxContent>
            </v:textbox>
            <w10:anchorlock/>
          </v:rect>
        </w:pict>
      </w:r>
      <w:r w:rsidR="005366A8" w:rsidRPr="004D12C7">
        <w:rPr>
          <w:rStyle w:val="big-number"/>
          <w:rFonts w:cs="David"/>
          <w:sz w:val="22"/>
          <w:szCs w:val="22"/>
          <w:rtl/>
        </w:rPr>
        <w:t>1.</w:t>
      </w:r>
      <w:r w:rsidR="005366A8" w:rsidRPr="004D12C7">
        <w:rPr>
          <w:rStyle w:val="big-number"/>
          <w:rFonts w:cs="David"/>
          <w:sz w:val="22"/>
          <w:szCs w:val="22"/>
          <w:rtl/>
        </w:rPr>
        <w:tab/>
      </w:r>
      <w:r w:rsidR="005366A8" w:rsidRPr="004D12C7">
        <w:rPr>
          <w:rStyle w:val="default"/>
          <w:rFonts w:cs="David"/>
          <w:sz w:val="22"/>
          <w:szCs w:val="22"/>
          <w:rtl/>
        </w:rPr>
        <w:t>בח</w:t>
      </w:r>
      <w:r w:rsidR="005366A8" w:rsidRPr="004D12C7">
        <w:rPr>
          <w:rStyle w:val="default"/>
          <w:rFonts w:cs="David" w:hint="cs"/>
          <w:sz w:val="22"/>
          <w:szCs w:val="22"/>
          <w:rtl/>
        </w:rPr>
        <w:t xml:space="preserve">וק זה </w:t>
      </w:r>
      <w:r w:rsidR="005366A8" w:rsidRPr="004D12C7">
        <w:rPr>
          <w:rStyle w:val="default"/>
          <w:rFonts w:cs="David"/>
          <w:sz w:val="22"/>
          <w:szCs w:val="22"/>
          <w:rtl/>
        </w:rPr>
        <w:t>–</w:t>
      </w:r>
    </w:p>
    <w:p w:rsidR="005366A8" w:rsidRPr="004D12C7" w:rsidRDefault="005D7968" w:rsidP="005366A8">
      <w:pPr>
        <w:pStyle w:val="P00"/>
        <w:ind w:left="720" w:right="142"/>
        <w:rPr>
          <w:rFonts w:cs="David"/>
          <w:b/>
          <w:bCs/>
          <w:vanish/>
          <w:sz w:val="22"/>
          <w:szCs w:val="22"/>
          <w:shd w:val="clear" w:color="auto" w:fill="FFFF99"/>
          <w:rtl/>
        </w:rPr>
      </w:pPr>
      <w:r w:rsidRPr="005D7968">
        <w:rPr>
          <w:rFonts w:cs="David"/>
          <w:sz w:val="22"/>
          <w:szCs w:val="22"/>
          <w:rtl/>
          <w:lang w:eastAsia="en-US"/>
        </w:rPr>
        <w:pict>
          <v:shape id="_x0000_s1192" type="#_x0000_t202" style="position:absolute;left:0;text-align:left;margin-left:470.25pt;margin-top:7.1pt;width:1in;height:16.8pt;z-index:251837440" filled="f" stroked="f">
            <v:textbox inset="1mm,0,1mm,0">
              <w:txbxContent>
                <w:p w:rsidR="005366A8" w:rsidRDefault="005366A8" w:rsidP="005366A8">
                  <w:pPr>
                    <w:spacing w:line="160" w:lineRule="exact"/>
                    <w:rPr>
                      <w:rFonts w:cs="Miriam"/>
                      <w:noProof/>
                      <w:sz w:val="18"/>
                      <w:szCs w:val="18"/>
                      <w:rtl/>
                    </w:rPr>
                  </w:pPr>
                  <w:r>
                    <w:rPr>
                      <w:rFonts w:cs="Miriam" w:hint="cs"/>
                      <w:sz w:val="18"/>
                      <w:szCs w:val="18"/>
                      <w:rtl/>
                    </w:rPr>
                    <w:t>(תיקון מס' 1) תשנ"ה-</w:t>
                  </w:r>
                  <w:r>
                    <w:rPr>
                      <w:rFonts w:cs="Miriam"/>
                      <w:sz w:val="18"/>
                      <w:szCs w:val="18"/>
                      <w:rtl/>
                    </w:rPr>
                    <w:t>1995</w:t>
                  </w:r>
                </w:p>
              </w:txbxContent>
            </v:textbox>
          </v:shape>
        </w:pict>
      </w:r>
      <w:r w:rsidR="005366A8" w:rsidRPr="004D12C7">
        <w:rPr>
          <w:rFonts w:cs="David"/>
          <w:sz w:val="22"/>
          <w:szCs w:val="22"/>
          <w:rtl/>
        </w:rPr>
        <w:tab/>
      </w:r>
      <w:r w:rsidR="005366A8" w:rsidRPr="004D12C7">
        <w:rPr>
          <w:rStyle w:val="default"/>
          <w:rFonts w:cs="David"/>
          <w:sz w:val="22"/>
          <w:szCs w:val="22"/>
          <w:rtl/>
        </w:rPr>
        <w:t>"ב</w:t>
      </w:r>
      <w:r w:rsidR="005366A8" w:rsidRPr="004D12C7">
        <w:rPr>
          <w:rStyle w:val="default"/>
          <w:rFonts w:cs="David" w:hint="cs"/>
          <w:sz w:val="22"/>
          <w:szCs w:val="22"/>
          <w:rtl/>
        </w:rPr>
        <w:t>שר" -</w:t>
      </w:r>
      <w:r w:rsidR="005366A8" w:rsidRPr="004D12C7">
        <w:rPr>
          <w:rStyle w:val="default"/>
          <w:rFonts w:cs="David"/>
          <w:sz w:val="22"/>
          <w:szCs w:val="22"/>
          <w:rtl/>
        </w:rPr>
        <w:t xml:space="preserve"> </w:t>
      </w:r>
      <w:r w:rsidR="005366A8" w:rsidRPr="004D12C7">
        <w:rPr>
          <w:rStyle w:val="default"/>
          <w:rFonts w:cs="David" w:hint="cs"/>
          <w:sz w:val="22"/>
          <w:szCs w:val="22"/>
          <w:rtl/>
        </w:rPr>
        <w:t>כל סוגי בשר ומוצריו הראויים למאכל אדם, לרבות בשר ומוצריו של בעלי כנף לסוגיהם;</w:t>
      </w:r>
      <w:bookmarkStart w:id="45" w:name="Rov13"/>
      <w:r w:rsidR="005366A8" w:rsidRPr="004D12C7">
        <w:rPr>
          <w:rFonts w:cs="David" w:hint="cs"/>
          <w:vanish/>
          <w:color w:val="FF0000"/>
          <w:sz w:val="22"/>
          <w:szCs w:val="22"/>
          <w:shd w:val="clear" w:color="auto" w:fill="FFFF99"/>
          <w:rtl/>
        </w:rPr>
        <w:t>מיום 30.12.1994</w:t>
      </w:r>
    </w:p>
    <w:p w:rsidR="005366A8" w:rsidRPr="004D12C7" w:rsidRDefault="005366A8" w:rsidP="005366A8">
      <w:pPr>
        <w:pStyle w:val="P00"/>
        <w:spacing w:before="0"/>
        <w:ind w:left="720" w:right="142"/>
        <w:rPr>
          <w:rFonts w:cs="David"/>
          <w:b/>
          <w:bCs/>
          <w:vanish/>
          <w:sz w:val="22"/>
          <w:szCs w:val="22"/>
          <w:shd w:val="clear" w:color="auto" w:fill="FFFF99"/>
          <w:rtl/>
        </w:rPr>
      </w:pPr>
      <w:r w:rsidRPr="004D12C7">
        <w:rPr>
          <w:rFonts w:cs="David" w:hint="cs"/>
          <w:b/>
          <w:bCs/>
          <w:vanish/>
          <w:sz w:val="22"/>
          <w:szCs w:val="22"/>
          <w:shd w:val="clear" w:color="auto" w:fill="FFFF99"/>
          <w:rtl/>
        </w:rPr>
        <w:t>תיקון מס' 1</w:t>
      </w:r>
    </w:p>
    <w:p w:rsidR="005366A8" w:rsidRPr="004D12C7" w:rsidRDefault="005D7968" w:rsidP="005366A8">
      <w:pPr>
        <w:pStyle w:val="P00"/>
        <w:tabs>
          <w:tab w:val="clear" w:pos="6259"/>
        </w:tabs>
        <w:spacing w:before="0"/>
        <w:ind w:left="720" w:right="142"/>
        <w:rPr>
          <w:rFonts w:cs="David"/>
          <w:vanish/>
          <w:sz w:val="22"/>
          <w:szCs w:val="22"/>
          <w:shd w:val="clear" w:color="auto" w:fill="FFFF99"/>
          <w:rtl/>
        </w:rPr>
      </w:pPr>
      <w:hyperlink r:id="rId190" w:history="1">
        <w:r w:rsidR="005366A8" w:rsidRPr="004D12C7">
          <w:rPr>
            <w:rStyle w:val="Hyperlink"/>
            <w:rFonts w:cs="David" w:hint="cs"/>
            <w:vanish/>
            <w:sz w:val="22"/>
            <w:szCs w:val="22"/>
            <w:shd w:val="clear" w:color="auto" w:fill="FFFF99"/>
            <w:rtl/>
          </w:rPr>
          <w:t>ס"ח תשנ"ה מס' 1499</w:t>
        </w:r>
      </w:hyperlink>
      <w:r w:rsidR="005366A8" w:rsidRPr="004D12C7">
        <w:rPr>
          <w:rFonts w:cs="David" w:hint="cs"/>
          <w:vanish/>
          <w:sz w:val="22"/>
          <w:szCs w:val="22"/>
          <w:shd w:val="clear" w:color="auto" w:fill="FFFF99"/>
          <w:rtl/>
        </w:rPr>
        <w:t xml:space="preserve"> מיום 4.1.1995 עמ' 92 (</w:t>
      </w:r>
      <w:hyperlink r:id="rId191" w:history="1">
        <w:r w:rsidR="005366A8" w:rsidRPr="004D12C7">
          <w:rPr>
            <w:rStyle w:val="Hyperlink"/>
            <w:rFonts w:cs="David" w:hint="cs"/>
            <w:vanish/>
            <w:sz w:val="22"/>
            <w:szCs w:val="22"/>
            <w:shd w:val="clear" w:color="auto" w:fill="FFFF99"/>
            <w:rtl/>
          </w:rPr>
          <w:t>ה"ח 2343</w:t>
        </w:r>
      </w:hyperlink>
      <w:r w:rsidR="005366A8" w:rsidRPr="004D12C7">
        <w:rPr>
          <w:rFonts w:cs="David" w:hint="cs"/>
          <w:vanish/>
          <w:sz w:val="22"/>
          <w:szCs w:val="22"/>
          <w:shd w:val="clear" w:color="auto" w:fill="FFFF99"/>
          <w:rtl/>
        </w:rPr>
        <w:t>)</w:t>
      </w:r>
    </w:p>
    <w:p w:rsidR="005366A8" w:rsidRPr="004D12C7" w:rsidRDefault="005366A8" w:rsidP="005366A8">
      <w:pPr>
        <w:pStyle w:val="P00"/>
        <w:tabs>
          <w:tab w:val="clear" w:pos="6259"/>
        </w:tabs>
        <w:spacing w:before="0"/>
        <w:ind w:left="720" w:right="142"/>
        <w:rPr>
          <w:rFonts w:cs="David"/>
          <w:b/>
          <w:bCs/>
          <w:vanish/>
          <w:sz w:val="22"/>
          <w:szCs w:val="22"/>
          <w:shd w:val="clear" w:color="auto" w:fill="FFFF99"/>
          <w:rtl/>
        </w:rPr>
      </w:pPr>
      <w:r w:rsidRPr="004D12C7">
        <w:rPr>
          <w:rFonts w:cs="David" w:hint="cs"/>
          <w:b/>
          <w:bCs/>
          <w:vanish/>
          <w:sz w:val="22"/>
          <w:szCs w:val="22"/>
          <w:shd w:val="clear" w:color="auto" w:fill="FFFF99"/>
          <w:rtl/>
        </w:rPr>
        <w:t>החלפת הגדרת "בשר"</w:t>
      </w:r>
    </w:p>
    <w:p w:rsidR="005366A8" w:rsidRPr="004D12C7" w:rsidRDefault="005366A8" w:rsidP="005366A8">
      <w:pPr>
        <w:pStyle w:val="P00"/>
        <w:tabs>
          <w:tab w:val="clear" w:pos="6259"/>
        </w:tabs>
        <w:ind w:left="720" w:right="142"/>
        <w:rPr>
          <w:rFonts w:cs="David"/>
          <w:vanish/>
          <w:sz w:val="22"/>
          <w:szCs w:val="22"/>
          <w:shd w:val="clear" w:color="auto" w:fill="FFFF99"/>
          <w:rtl/>
        </w:rPr>
      </w:pPr>
      <w:r w:rsidRPr="004D12C7">
        <w:rPr>
          <w:rFonts w:cs="David" w:hint="cs"/>
          <w:vanish/>
          <w:sz w:val="22"/>
          <w:szCs w:val="22"/>
          <w:shd w:val="clear" w:color="auto" w:fill="FFFF99"/>
          <w:rtl/>
        </w:rPr>
        <w:t>הנוסח הקודם:</w:t>
      </w:r>
    </w:p>
    <w:p w:rsidR="005366A8" w:rsidRPr="004D12C7" w:rsidRDefault="005366A8" w:rsidP="005366A8">
      <w:pPr>
        <w:pStyle w:val="P00"/>
        <w:tabs>
          <w:tab w:val="clear" w:pos="6259"/>
        </w:tabs>
        <w:spacing w:before="0"/>
        <w:ind w:left="720" w:right="142"/>
        <w:rPr>
          <w:rFonts w:cs="David"/>
          <w:strike/>
          <w:sz w:val="22"/>
          <w:szCs w:val="22"/>
          <w:rtl/>
        </w:rPr>
      </w:pPr>
      <w:r w:rsidRPr="004D12C7">
        <w:rPr>
          <w:rFonts w:cs="David" w:hint="cs"/>
          <w:vanish/>
          <w:sz w:val="22"/>
          <w:szCs w:val="22"/>
          <w:shd w:val="clear" w:color="auto" w:fill="FFFF99"/>
          <w:rtl/>
        </w:rPr>
        <w:tab/>
      </w:r>
      <w:r w:rsidRPr="004D12C7">
        <w:rPr>
          <w:rFonts w:cs="David" w:hint="cs"/>
          <w:strike/>
          <w:vanish/>
          <w:sz w:val="22"/>
          <w:szCs w:val="22"/>
          <w:shd w:val="clear" w:color="auto" w:fill="FFFF99"/>
          <w:rtl/>
        </w:rPr>
        <w:t xml:space="preserve">"בשר" </w:t>
      </w:r>
      <w:r w:rsidRPr="004D12C7">
        <w:rPr>
          <w:rFonts w:cs="David"/>
          <w:strike/>
          <w:vanish/>
          <w:sz w:val="22"/>
          <w:szCs w:val="22"/>
          <w:shd w:val="clear" w:color="auto" w:fill="FFFF99"/>
          <w:rtl/>
        </w:rPr>
        <w:t>–</w:t>
      </w:r>
      <w:r w:rsidRPr="004D12C7">
        <w:rPr>
          <w:rFonts w:cs="David" w:hint="cs"/>
          <w:strike/>
          <w:vanish/>
          <w:sz w:val="22"/>
          <w:szCs w:val="22"/>
          <w:shd w:val="clear" w:color="auto" w:fill="FFFF99"/>
          <w:rtl/>
        </w:rPr>
        <w:t xml:space="preserve"> בשר קפוא;</w:t>
      </w:r>
      <w:bookmarkEnd w:id="45"/>
    </w:p>
    <w:p w:rsidR="005366A8" w:rsidRPr="004D12C7" w:rsidRDefault="005366A8" w:rsidP="005366A8">
      <w:pPr>
        <w:pStyle w:val="P00"/>
        <w:spacing w:after="120"/>
        <w:ind w:left="720" w:right="142"/>
        <w:rPr>
          <w:rStyle w:val="default"/>
          <w:rFonts w:cs="David"/>
          <w:sz w:val="22"/>
          <w:szCs w:val="22"/>
          <w:rtl/>
        </w:rPr>
      </w:pPr>
      <w:r w:rsidRPr="004D12C7">
        <w:rPr>
          <w:rFonts w:cs="David"/>
          <w:sz w:val="22"/>
          <w:szCs w:val="22"/>
          <w:rtl/>
        </w:rPr>
        <w:tab/>
      </w:r>
      <w:r w:rsidRPr="004D12C7">
        <w:rPr>
          <w:rStyle w:val="default"/>
          <w:rFonts w:cs="David"/>
          <w:sz w:val="22"/>
          <w:szCs w:val="22"/>
          <w:rtl/>
        </w:rPr>
        <w:t>"ת</w:t>
      </w:r>
      <w:r w:rsidRPr="004D12C7">
        <w:rPr>
          <w:rStyle w:val="default"/>
          <w:rFonts w:cs="David" w:hint="cs"/>
          <w:sz w:val="22"/>
          <w:szCs w:val="22"/>
          <w:rtl/>
        </w:rPr>
        <w:t>עודת הכשר" -</w:t>
      </w:r>
      <w:r w:rsidRPr="004D12C7">
        <w:rPr>
          <w:rStyle w:val="default"/>
          <w:rFonts w:cs="David"/>
          <w:sz w:val="22"/>
          <w:szCs w:val="22"/>
          <w:rtl/>
        </w:rPr>
        <w:t xml:space="preserve"> </w:t>
      </w:r>
      <w:r w:rsidRPr="004D12C7">
        <w:rPr>
          <w:rStyle w:val="default"/>
          <w:rFonts w:cs="David" w:hint="cs"/>
          <w:sz w:val="22"/>
          <w:szCs w:val="22"/>
          <w:rtl/>
        </w:rPr>
        <w:t>תעודת הכשר לבשר מיובא שנתנה מועצת הרבנות הראשית לישראל או מי שהיא הסמיכה לענין זה.</w:t>
      </w:r>
    </w:p>
    <w:p w:rsidR="005366A8" w:rsidRPr="004D12C7" w:rsidRDefault="005D7968" w:rsidP="005366A8">
      <w:pPr>
        <w:pStyle w:val="P00"/>
        <w:spacing w:after="120"/>
        <w:ind w:left="720" w:right="142"/>
        <w:rPr>
          <w:rStyle w:val="default"/>
          <w:rFonts w:cs="David"/>
          <w:sz w:val="22"/>
          <w:szCs w:val="22"/>
          <w:rtl/>
        </w:rPr>
      </w:pPr>
      <w:r w:rsidRPr="005D7968">
        <w:rPr>
          <w:rFonts w:cs="David"/>
          <w:sz w:val="22"/>
          <w:szCs w:val="22"/>
          <w:rtl/>
          <w:lang w:val="he-IL"/>
        </w:rPr>
        <w:pict>
          <v:rect id="_x0000_s1185" style="position:absolute;left:0;text-align:left;margin-left:464.5pt;margin-top:8.05pt;width:75.05pt;height:13.2pt;z-index:251830272" o:allowincell="f" filled="f" stroked="f" strokecolor="lime" strokeweight=".25pt">
            <v:textbox inset="0,0,0,0">
              <w:txbxContent>
                <w:p w:rsidR="005366A8" w:rsidRDefault="005366A8" w:rsidP="005366A8">
                  <w:pPr>
                    <w:spacing w:line="160" w:lineRule="exact"/>
                    <w:rPr>
                      <w:rFonts w:cs="Miriam"/>
                      <w:noProof/>
                      <w:sz w:val="18"/>
                      <w:szCs w:val="18"/>
                      <w:rtl/>
                    </w:rPr>
                  </w:pPr>
                  <w:r>
                    <w:rPr>
                      <w:rFonts w:cs="Miriam"/>
                      <w:sz w:val="18"/>
                      <w:szCs w:val="18"/>
                      <w:rtl/>
                    </w:rPr>
                    <w:t>יב</w:t>
                  </w:r>
                  <w:r>
                    <w:rPr>
                      <w:rFonts w:cs="Miriam" w:hint="cs"/>
                      <w:sz w:val="18"/>
                      <w:szCs w:val="18"/>
                      <w:rtl/>
                    </w:rPr>
                    <w:t>וא בשר</w:t>
                  </w:r>
                </w:p>
              </w:txbxContent>
            </v:textbox>
            <w10:anchorlock/>
          </v:rect>
        </w:pict>
      </w:r>
      <w:r w:rsidR="005366A8" w:rsidRPr="004D12C7">
        <w:rPr>
          <w:rStyle w:val="big-number"/>
          <w:rFonts w:cs="David"/>
          <w:sz w:val="22"/>
          <w:szCs w:val="22"/>
          <w:rtl/>
        </w:rPr>
        <w:t>2.</w:t>
      </w:r>
      <w:r w:rsidR="005366A8" w:rsidRPr="004D12C7">
        <w:rPr>
          <w:rStyle w:val="big-number"/>
          <w:rFonts w:cs="David"/>
          <w:sz w:val="22"/>
          <w:szCs w:val="22"/>
          <w:rtl/>
        </w:rPr>
        <w:tab/>
      </w:r>
      <w:r w:rsidR="005366A8" w:rsidRPr="004D12C7">
        <w:rPr>
          <w:rStyle w:val="default"/>
          <w:rFonts w:cs="David"/>
          <w:sz w:val="22"/>
          <w:szCs w:val="22"/>
          <w:rtl/>
        </w:rPr>
        <w:t>על</w:t>
      </w:r>
      <w:r w:rsidR="005366A8" w:rsidRPr="004D12C7">
        <w:rPr>
          <w:rStyle w:val="default"/>
          <w:rFonts w:cs="David" w:hint="cs"/>
          <w:sz w:val="22"/>
          <w:szCs w:val="22"/>
          <w:rtl/>
        </w:rPr>
        <w:t xml:space="preserve"> אף האמור בכל דין, ובכפוף לאמור בסעיף 3, </w:t>
      </w:r>
      <w:r w:rsidR="005366A8" w:rsidRPr="001A4B63">
        <w:rPr>
          <w:rStyle w:val="default"/>
          <w:rFonts w:cs="David" w:hint="cs"/>
          <w:sz w:val="22"/>
          <w:szCs w:val="22"/>
          <w:rtl/>
        </w:rPr>
        <w:t>לא ייבא אדם בשר אלא אם כן קיבל ל</w:t>
      </w:r>
      <w:r w:rsidR="005366A8" w:rsidRPr="001A4B63">
        <w:rPr>
          <w:rStyle w:val="default"/>
          <w:rFonts w:cs="David"/>
          <w:sz w:val="22"/>
          <w:szCs w:val="22"/>
          <w:rtl/>
        </w:rPr>
        <w:t>ג</w:t>
      </w:r>
      <w:r w:rsidR="005366A8" w:rsidRPr="001A4B63">
        <w:rPr>
          <w:rStyle w:val="default"/>
          <w:rFonts w:cs="David" w:hint="cs"/>
          <w:sz w:val="22"/>
          <w:szCs w:val="22"/>
          <w:rtl/>
        </w:rPr>
        <w:t>ביו תעודת הכשר</w:t>
      </w:r>
      <w:r w:rsidR="005366A8" w:rsidRPr="004D12C7">
        <w:rPr>
          <w:rStyle w:val="default"/>
          <w:rFonts w:cs="David" w:hint="cs"/>
          <w:sz w:val="22"/>
          <w:szCs w:val="22"/>
          <w:rtl/>
        </w:rPr>
        <w:t>.</w:t>
      </w:r>
    </w:p>
    <w:p w:rsidR="005366A8" w:rsidRPr="004D12C7" w:rsidRDefault="005D7968" w:rsidP="005366A8">
      <w:pPr>
        <w:pStyle w:val="P00"/>
        <w:spacing w:after="120"/>
        <w:ind w:left="720" w:right="142"/>
        <w:rPr>
          <w:rStyle w:val="default"/>
          <w:rFonts w:cs="David"/>
          <w:sz w:val="22"/>
          <w:szCs w:val="22"/>
          <w:rtl/>
        </w:rPr>
      </w:pPr>
      <w:r w:rsidRPr="005D7968">
        <w:rPr>
          <w:rFonts w:cs="David"/>
          <w:sz w:val="22"/>
          <w:szCs w:val="22"/>
          <w:rtl/>
          <w:lang w:val="he-IL"/>
        </w:rPr>
        <w:pict>
          <v:rect id="_x0000_s1186" style="position:absolute;left:0;text-align:left;margin-left:464.5pt;margin-top:8.05pt;width:75.05pt;height:13.9pt;z-index:251831296" o:allowincell="f" filled="f" stroked="f" strokecolor="lime" strokeweight=".25pt">
            <v:textbox inset="0,0,0,0">
              <w:txbxContent>
                <w:p w:rsidR="005366A8" w:rsidRDefault="005366A8" w:rsidP="005366A8">
                  <w:pPr>
                    <w:spacing w:line="160" w:lineRule="exact"/>
                    <w:rPr>
                      <w:rFonts w:cs="Miriam"/>
                      <w:noProof/>
                      <w:sz w:val="18"/>
                      <w:szCs w:val="18"/>
                      <w:rtl/>
                    </w:rPr>
                  </w:pPr>
                  <w:r>
                    <w:rPr>
                      <w:rFonts w:cs="Miriam"/>
                      <w:sz w:val="18"/>
                      <w:szCs w:val="18"/>
                      <w:rtl/>
                    </w:rPr>
                    <w:t>מק</w:t>
                  </w:r>
                  <w:r>
                    <w:rPr>
                      <w:rFonts w:cs="Miriam" w:hint="cs"/>
                      <w:sz w:val="18"/>
                      <w:szCs w:val="18"/>
                      <w:rtl/>
                    </w:rPr>
                    <w:t>רים מיוחדים</w:t>
                  </w:r>
                </w:p>
              </w:txbxContent>
            </v:textbox>
            <w10:anchorlock/>
          </v:rect>
        </w:pict>
      </w:r>
      <w:r w:rsidR="005366A8" w:rsidRPr="004D12C7">
        <w:rPr>
          <w:rStyle w:val="big-number"/>
          <w:rFonts w:cs="David"/>
          <w:sz w:val="22"/>
          <w:szCs w:val="22"/>
          <w:rtl/>
        </w:rPr>
        <w:t>3.</w:t>
      </w:r>
      <w:r w:rsidR="005366A8" w:rsidRPr="004D12C7">
        <w:rPr>
          <w:rStyle w:val="big-number"/>
          <w:rFonts w:cs="David"/>
          <w:sz w:val="22"/>
          <w:szCs w:val="22"/>
          <w:rtl/>
        </w:rPr>
        <w:tab/>
      </w:r>
      <w:r w:rsidR="005366A8" w:rsidRPr="004D12C7">
        <w:rPr>
          <w:rStyle w:val="default"/>
          <w:rFonts w:cs="David"/>
          <w:sz w:val="22"/>
          <w:szCs w:val="22"/>
          <w:rtl/>
        </w:rPr>
        <w:t>שר</w:t>
      </w:r>
      <w:r w:rsidR="005366A8" w:rsidRPr="004D12C7">
        <w:rPr>
          <w:rStyle w:val="default"/>
          <w:rFonts w:cs="David" w:hint="cs"/>
          <w:sz w:val="22"/>
          <w:szCs w:val="22"/>
          <w:rtl/>
        </w:rPr>
        <w:t xml:space="preserve"> התעשיה והמסחר רשאי לאשר מתן רשיונות לייבוא בשר שלא ניתנה לגביו תעודת הכשר, באותה מתכונת ובאותם מקרים כפי שהיה נהוג עד יום י"ב בתמוז תשנ"ב (13 ביולי 1992).</w:t>
      </w:r>
    </w:p>
    <w:p w:rsidR="005366A8" w:rsidRPr="004D12C7" w:rsidRDefault="005D7968" w:rsidP="005366A8">
      <w:pPr>
        <w:pStyle w:val="P00"/>
        <w:spacing w:after="120"/>
        <w:ind w:left="720" w:right="142"/>
        <w:rPr>
          <w:rFonts w:cs="David"/>
          <w:b/>
          <w:bCs/>
          <w:vanish/>
          <w:sz w:val="22"/>
          <w:szCs w:val="22"/>
          <w:shd w:val="clear" w:color="auto" w:fill="FFFF99"/>
          <w:rtl/>
        </w:rPr>
      </w:pPr>
      <w:r w:rsidRPr="005D7968">
        <w:rPr>
          <w:rFonts w:cs="David"/>
          <w:sz w:val="22"/>
          <w:szCs w:val="22"/>
          <w:rtl/>
          <w:lang w:val="he-IL"/>
        </w:rPr>
        <w:pict>
          <v:rect id="_x0000_s1187" style="position:absolute;left:0;text-align:left;margin-left:464.5pt;margin-top:8.05pt;width:75.05pt;height:31.35pt;z-index:251832320" o:allowincell="f" filled="f" stroked="f" strokecolor="lime" strokeweight=".25pt">
            <v:textbox inset="0,0,0,0">
              <w:txbxContent>
                <w:p w:rsidR="005366A8" w:rsidRDefault="005366A8" w:rsidP="005366A8">
                  <w:pPr>
                    <w:spacing w:line="160" w:lineRule="exact"/>
                    <w:rPr>
                      <w:rFonts w:cs="Miriam"/>
                      <w:noProof/>
                      <w:sz w:val="18"/>
                      <w:szCs w:val="18"/>
                      <w:rtl/>
                    </w:rPr>
                  </w:pPr>
                  <w:r>
                    <w:rPr>
                      <w:rFonts w:cs="Miriam"/>
                      <w:sz w:val="18"/>
                      <w:szCs w:val="18"/>
                      <w:rtl/>
                    </w:rPr>
                    <w:t>סמ</w:t>
                  </w:r>
                  <w:r>
                    <w:rPr>
                      <w:rFonts w:cs="Miriam" w:hint="cs"/>
                      <w:sz w:val="18"/>
                      <w:szCs w:val="18"/>
                      <w:rtl/>
                    </w:rPr>
                    <w:t>כות הממשלה</w:t>
                  </w:r>
                </w:p>
                <w:p w:rsidR="005366A8" w:rsidRDefault="005366A8" w:rsidP="005366A8">
                  <w:pPr>
                    <w:spacing w:line="160" w:lineRule="exact"/>
                    <w:rPr>
                      <w:rFonts w:cs="Miriam"/>
                      <w:noProof/>
                      <w:sz w:val="18"/>
                      <w:szCs w:val="18"/>
                      <w:rtl/>
                    </w:rPr>
                  </w:pPr>
                  <w:r>
                    <w:rPr>
                      <w:rFonts w:cs="Miriam" w:hint="cs"/>
                      <w:sz w:val="18"/>
                      <w:szCs w:val="18"/>
                      <w:rtl/>
                    </w:rPr>
                    <w:t xml:space="preserve">(תיקון מס' 1) </w:t>
                  </w:r>
                  <w:r>
                    <w:rPr>
                      <w:rFonts w:cs="Miriam"/>
                      <w:sz w:val="18"/>
                      <w:szCs w:val="18"/>
                      <w:rtl/>
                    </w:rPr>
                    <w:br/>
                  </w:r>
                  <w:r>
                    <w:rPr>
                      <w:rFonts w:cs="Miriam" w:hint="cs"/>
                      <w:sz w:val="18"/>
                      <w:szCs w:val="18"/>
                      <w:rtl/>
                    </w:rPr>
                    <w:t>תשנ"ה-</w:t>
                  </w:r>
                  <w:r>
                    <w:rPr>
                      <w:rFonts w:cs="Miriam"/>
                      <w:sz w:val="18"/>
                      <w:szCs w:val="18"/>
                      <w:rtl/>
                    </w:rPr>
                    <w:t>1995</w:t>
                  </w:r>
                </w:p>
              </w:txbxContent>
            </v:textbox>
            <w10:anchorlock/>
          </v:rect>
        </w:pict>
      </w:r>
      <w:r w:rsidR="005366A8" w:rsidRPr="004D12C7">
        <w:rPr>
          <w:rStyle w:val="big-number"/>
          <w:rFonts w:cs="David"/>
          <w:sz w:val="22"/>
          <w:szCs w:val="22"/>
          <w:rtl/>
        </w:rPr>
        <w:t>4.</w:t>
      </w:r>
      <w:r w:rsidR="005366A8" w:rsidRPr="004D12C7">
        <w:rPr>
          <w:rStyle w:val="big-number"/>
          <w:rFonts w:cs="David"/>
          <w:sz w:val="22"/>
          <w:szCs w:val="22"/>
          <w:rtl/>
        </w:rPr>
        <w:tab/>
      </w:r>
      <w:r w:rsidR="005366A8" w:rsidRPr="004D12C7">
        <w:rPr>
          <w:rStyle w:val="default"/>
          <w:rFonts w:cs="David"/>
          <w:sz w:val="22"/>
          <w:szCs w:val="22"/>
          <w:rtl/>
        </w:rPr>
        <w:t>אי</w:t>
      </w:r>
      <w:r w:rsidR="005366A8" w:rsidRPr="004D12C7">
        <w:rPr>
          <w:rStyle w:val="default"/>
          <w:rFonts w:cs="David" w:hint="cs"/>
          <w:sz w:val="22"/>
          <w:szCs w:val="22"/>
          <w:rtl/>
        </w:rPr>
        <w:t>ן באמור בחוק זה כדי לגרוע</w:t>
      </w:r>
      <w:r w:rsidR="005366A8" w:rsidRPr="004D12C7">
        <w:rPr>
          <w:rStyle w:val="default"/>
          <w:rFonts w:cs="David"/>
          <w:sz w:val="22"/>
          <w:szCs w:val="22"/>
          <w:rtl/>
        </w:rPr>
        <w:t xml:space="preserve"> </w:t>
      </w:r>
      <w:r w:rsidR="005366A8" w:rsidRPr="004D12C7">
        <w:rPr>
          <w:rStyle w:val="default"/>
          <w:rFonts w:cs="David" w:hint="cs"/>
          <w:sz w:val="22"/>
          <w:szCs w:val="22"/>
          <w:rtl/>
        </w:rPr>
        <w:t>מזכותה של הממשלה לייבא בשר בעצמה או באמצעות אחרים מטעמה, לרבות לצרכי מלאי חירום, ובלבד שניתנה לגביו תעודת הכשר.</w:t>
      </w:r>
      <w:r w:rsidR="005366A8" w:rsidRPr="004D12C7">
        <w:rPr>
          <w:rFonts w:cs="David" w:hint="cs"/>
          <w:vanish/>
          <w:color w:val="FF0000"/>
          <w:sz w:val="22"/>
          <w:szCs w:val="22"/>
          <w:shd w:val="clear" w:color="auto" w:fill="FFFF99"/>
          <w:rtl/>
        </w:rPr>
        <w:t>מיום 30.12.1994</w:t>
      </w:r>
    </w:p>
    <w:p w:rsidR="005366A8" w:rsidRPr="004D12C7" w:rsidRDefault="005366A8" w:rsidP="005366A8">
      <w:pPr>
        <w:pStyle w:val="P00"/>
        <w:spacing w:before="0" w:after="120"/>
        <w:ind w:left="720" w:right="142"/>
        <w:rPr>
          <w:rFonts w:cs="David"/>
          <w:b/>
          <w:bCs/>
          <w:vanish/>
          <w:sz w:val="22"/>
          <w:szCs w:val="22"/>
          <w:shd w:val="clear" w:color="auto" w:fill="FFFF99"/>
          <w:rtl/>
        </w:rPr>
      </w:pPr>
      <w:r w:rsidRPr="004D12C7">
        <w:rPr>
          <w:rFonts w:cs="David" w:hint="cs"/>
          <w:b/>
          <w:bCs/>
          <w:vanish/>
          <w:sz w:val="22"/>
          <w:szCs w:val="22"/>
          <w:shd w:val="clear" w:color="auto" w:fill="FFFF99"/>
          <w:rtl/>
        </w:rPr>
        <w:t>תיקון מס' 1</w:t>
      </w:r>
    </w:p>
    <w:p w:rsidR="005366A8" w:rsidRPr="004D12C7" w:rsidRDefault="005D7968" w:rsidP="005366A8">
      <w:pPr>
        <w:pStyle w:val="P00"/>
        <w:tabs>
          <w:tab w:val="clear" w:pos="6259"/>
        </w:tabs>
        <w:spacing w:before="0" w:after="120"/>
        <w:ind w:left="720" w:right="142"/>
        <w:rPr>
          <w:rFonts w:cs="David"/>
          <w:vanish/>
          <w:sz w:val="22"/>
          <w:szCs w:val="22"/>
          <w:shd w:val="clear" w:color="auto" w:fill="FFFF99"/>
          <w:rtl/>
        </w:rPr>
      </w:pPr>
      <w:hyperlink r:id="rId192" w:history="1">
        <w:r w:rsidR="005366A8" w:rsidRPr="004D12C7">
          <w:rPr>
            <w:rStyle w:val="Hyperlink"/>
            <w:rFonts w:cs="David" w:hint="cs"/>
            <w:vanish/>
            <w:sz w:val="22"/>
            <w:szCs w:val="22"/>
            <w:shd w:val="clear" w:color="auto" w:fill="FFFF99"/>
            <w:rtl/>
          </w:rPr>
          <w:t>ס"ח תשנ"ה מס' 1499</w:t>
        </w:r>
      </w:hyperlink>
      <w:r w:rsidR="005366A8" w:rsidRPr="004D12C7">
        <w:rPr>
          <w:rFonts w:cs="David" w:hint="cs"/>
          <w:vanish/>
          <w:sz w:val="22"/>
          <w:szCs w:val="22"/>
          <w:shd w:val="clear" w:color="auto" w:fill="FFFF99"/>
          <w:rtl/>
        </w:rPr>
        <w:t xml:space="preserve"> מיום 4.1.1995 עמ' 92 (</w:t>
      </w:r>
      <w:hyperlink r:id="rId193" w:history="1">
        <w:r w:rsidR="005366A8" w:rsidRPr="004D12C7">
          <w:rPr>
            <w:rStyle w:val="Hyperlink"/>
            <w:rFonts w:cs="David" w:hint="cs"/>
            <w:vanish/>
            <w:sz w:val="22"/>
            <w:szCs w:val="22"/>
            <w:shd w:val="clear" w:color="auto" w:fill="FFFF99"/>
            <w:rtl/>
          </w:rPr>
          <w:t>ה"ח 2343</w:t>
        </w:r>
      </w:hyperlink>
      <w:r w:rsidR="005366A8" w:rsidRPr="004D12C7">
        <w:rPr>
          <w:rFonts w:cs="David" w:hint="cs"/>
          <w:vanish/>
          <w:sz w:val="22"/>
          <w:szCs w:val="22"/>
          <w:shd w:val="clear" w:color="auto" w:fill="FFFF99"/>
          <w:rtl/>
        </w:rPr>
        <w:t>)</w:t>
      </w:r>
    </w:p>
    <w:p w:rsidR="005366A8" w:rsidRPr="004D12C7" w:rsidRDefault="005366A8" w:rsidP="005366A8">
      <w:pPr>
        <w:pStyle w:val="P00"/>
        <w:spacing w:after="120"/>
        <w:ind w:left="720" w:right="142"/>
        <w:rPr>
          <w:rStyle w:val="default"/>
          <w:rFonts w:cs="David"/>
          <w:sz w:val="22"/>
          <w:szCs w:val="22"/>
          <w:rtl/>
        </w:rPr>
      </w:pPr>
      <w:r w:rsidRPr="004D12C7">
        <w:rPr>
          <w:rStyle w:val="big-number"/>
          <w:rFonts w:cs="David"/>
          <w:vanish/>
          <w:sz w:val="22"/>
          <w:szCs w:val="22"/>
          <w:shd w:val="clear" w:color="auto" w:fill="FFFF99"/>
          <w:rtl/>
        </w:rPr>
        <w:t>4.</w:t>
      </w:r>
      <w:r w:rsidRPr="004D12C7">
        <w:rPr>
          <w:rStyle w:val="big-number"/>
          <w:rFonts w:cs="David"/>
          <w:vanish/>
          <w:sz w:val="22"/>
          <w:szCs w:val="22"/>
          <w:shd w:val="clear" w:color="auto" w:fill="FFFF99"/>
          <w:rtl/>
        </w:rPr>
        <w:tab/>
      </w:r>
      <w:r w:rsidRPr="004D12C7">
        <w:rPr>
          <w:rStyle w:val="default"/>
          <w:rFonts w:cs="David"/>
          <w:vanish/>
          <w:sz w:val="22"/>
          <w:szCs w:val="22"/>
          <w:shd w:val="clear" w:color="auto" w:fill="FFFF99"/>
          <w:rtl/>
        </w:rPr>
        <w:t>אי</w:t>
      </w:r>
      <w:r w:rsidRPr="004D12C7">
        <w:rPr>
          <w:rStyle w:val="default"/>
          <w:rFonts w:cs="David" w:hint="cs"/>
          <w:vanish/>
          <w:sz w:val="22"/>
          <w:szCs w:val="22"/>
          <w:shd w:val="clear" w:color="auto" w:fill="FFFF99"/>
          <w:rtl/>
        </w:rPr>
        <w:t>ן באמור בחוק זה כדי לגרוע</w:t>
      </w:r>
      <w:r w:rsidRPr="004D12C7">
        <w:rPr>
          <w:rStyle w:val="default"/>
          <w:rFonts w:cs="David"/>
          <w:vanish/>
          <w:sz w:val="22"/>
          <w:szCs w:val="22"/>
          <w:shd w:val="clear" w:color="auto" w:fill="FFFF99"/>
          <w:rtl/>
        </w:rPr>
        <w:t xml:space="preserve"> </w:t>
      </w:r>
      <w:r w:rsidRPr="004D12C7">
        <w:rPr>
          <w:rStyle w:val="default"/>
          <w:rFonts w:cs="David" w:hint="cs"/>
          <w:vanish/>
          <w:sz w:val="22"/>
          <w:szCs w:val="22"/>
          <w:shd w:val="clear" w:color="auto" w:fill="FFFF99"/>
          <w:rtl/>
        </w:rPr>
        <w:t xml:space="preserve">מזכותה של הממשלה לייבא בשר </w:t>
      </w:r>
      <w:r w:rsidRPr="004D12C7">
        <w:rPr>
          <w:rStyle w:val="default"/>
          <w:rFonts w:cs="David" w:hint="cs"/>
          <w:strike/>
          <w:vanish/>
          <w:sz w:val="22"/>
          <w:szCs w:val="22"/>
          <w:shd w:val="clear" w:color="auto" w:fill="FFFF99"/>
          <w:rtl/>
        </w:rPr>
        <w:t>קפוא</w:t>
      </w:r>
      <w:r w:rsidRPr="004D12C7">
        <w:rPr>
          <w:rStyle w:val="default"/>
          <w:rFonts w:cs="David" w:hint="cs"/>
          <w:vanish/>
          <w:sz w:val="22"/>
          <w:szCs w:val="22"/>
          <w:shd w:val="clear" w:color="auto" w:fill="FFFF99"/>
          <w:rtl/>
        </w:rPr>
        <w:t xml:space="preserve"> בעצמה או באמצעות אחרים מטעמה, לרבות לצרכי מלאי חירום, ובלבד שניתנה לגביו תעודת הכשר.</w:t>
      </w:r>
    </w:p>
    <w:p w:rsidR="005366A8" w:rsidRPr="004D12C7" w:rsidRDefault="005D7968" w:rsidP="005366A8">
      <w:pPr>
        <w:pStyle w:val="P00"/>
        <w:spacing w:after="120"/>
        <w:ind w:left="720" w:right="142"/>
        <w:rPr>
          <w:rFonts w:cs="David"/>
          <w:b/>
          <w:bCs/>
          <w:vanish/>
          <w:sz w:val="22"/>
          <w:szCs w:val="22"/>
          <w:shd w:val="clear" w:color="auto" w:fill="FFFF99"/>
          <w:rtl/>
        </w:rPr>
      </w:pPr>
      <w:r w:rsidRPr="005D7968">
        <w:rPr>
          <w:rFonts w:cs="David"/>
          <w:sz w:val="22"/>
          <w:szCs w:val="22"/>
          <w:rtl/>
          <w:lang w:val="he-IL"/>
        </w:rPr>
        <w:pict>
          <v:rect id="_x0000_s1188" style="position:absolute;left:0;text-align:left;margin-left:464.5pt;margin-top:8.05pt;width:75.05pt;height:26.5pt;z-index:251833344" o:allowincell="f" filled="f" stroked="f" strokecolor="lime" strokeweight=".25pt">
            <v:textbox inset="0,0,0,0">
              <w:txbxContent>
                <w:p w:rsidR="005366A8" w:rsidRDefault="005366A8" w:rsidP="005366A8">
                  <w:pPr>
                    <w:spacing w:line="160" w:lineRule="exact"/>
                    <w:rPr>
                      <w:rFonts w:cs="Miriam"/>
                      <w:noProof/>
                      <w:sz w:val="18"/>
                      <w:szCs w:val="18"/>
                      <w:rtl/>
                    </w:rPr>
                  </w:pPr>
                  <w:r>
                    <w:rPr>
                      <w:rFonts w:cs="Miriam"/>
                      <w:sz w:val="18"/>
                      <w:szCs w:val="18"/>
                      <w:rtl/>
                    </w:rPr>
                    <w:t>הע</w:t>
                  </w:r>
                  <w:r>
                    <w:rPr>
                      <w:rFonts w:cs="Miriam" w:hint="cs"/>
                      <w:sz w:val="18"/>
                      <w:szCs w:val="18"/>
                      <w:rtl/>
                    </w:rPr>
                    <w:t>ברת בשר</w:t>
                  </w:r>
                </w:p>
                <w:p w:rsidR="005366A8" w:rsidRDefault="005366A8" w:rsidP="005366A8">
                  <w:pPr>
                    <w:spacing w:line="160" w:lineRule="exact"/>
                    <w:rPr>
                      <w:rFonts w:cs="Miriam"/>
                      <w:sz w:val="18"/>
                      <w:szCs w:val="18"/>
                      <w:rtl/>
                    </w:rPr>
                  </w:pPr>
                  <w:r>
                    <w:rPr>
                      <w:rFonts w:cs="Miriam" w:hint="cs"/>
                      <w:sz w:val="18"/>
                      <w:szCs w:val="18"/>
                      <w:rtl/>
                    </w:rPr>
                    <w:t>(תיקון מס' 1)</w:t>
                  </w:r>
                </w:p>
                <w:p w:rsidR="005366A8" w:rsidRDefault="005366A8" w:rsidP="005366A8">
                  <w:pPr>
                    <w:spacing w:line="160" w:lineRule="exact"/>
                    <w:rPr>
                      <w:rFonts w:cs="Miriam"/>
                      <w:noProof/>
                      <w:sz w:val="18"/>
                      <w:szCs w:val="18"/>
                      <w:rtl/>
                    </w:rPr>
                  </w:pPr>
                  <w:r>
                    <w:rPr>
                      <w:rFonts w:cs="Miriam" w:hint="cs"/>
                      <w:sz w:val="18"/>
                      <w:szCs w:val="18"/>
                      <w:rtl/>
                    </w:rPr>
                    <w:t>תשנ"ה-</w:t>
                  </w:r>
                  <w:r>
                    <w:rPr>
                      <w:rFonts w:cs="Miriam"/>
                      <w:sz w:val="18"/>
                      <w:szCs w:val="18"/>
                      <w:rtl/>
                    </w:rPr>
                    <w:t>1995</w:t>
                  </w:r>
                </w:p>
              </w:txbxContent>
            </v:textbox>
            <w10:anchorlock/>
          </v:rect>
        </w:pict>
      </w:r>
      <w:r w:rsidR="005366A8" w:rsidRPr="004D12C7">
        <w:rPr>
          <w:rStyle w:val="big-number"/>
          <w:rFonts w:cs="David"/>
          <w:sz w:val="22"/>
          <w:szCs w:val="22"/>
          <w:rtl/>
        </w:rPr>
        <w:t>4</w:t>
      </w:r>
      <w:r w:rsidR="005366A8" w:rsidRPr="004D12C7">
        <w:rPr>
          <w:rStyle w:val="default"/>
          <w:rFonts w:cs="David"/>
          <w:sz w:val="22"/>
          <w:szCs w:val="22"/>
          <w:rtl/>
        </w:rPr>
        <w:t>א.</w:t>
      </w:r>
      <w:r w:rsidR="005366A8" w:rsidRPr="004D12C7">
        <w:rPr>
          <w:rStyle w:val="default"/>
          <w:rFonts w:cs="David"/>
          <w:sz w:val="22"/>
          <w:szCs w:val="22"/>
          <w:rtl/>
        </w:rPr>
        <w:tab/>
        <w:t>ח</w:t>
      </w:r>
      <w:r w:rsidR="005366A8" w:rsidRPr="004D12C7">
        <w:rPr>
          <w:rStyle w:val="default"/>
          <w:rFonts w:cs="David" w:hint="cs"/>
          <w:sz w:val="22"/>
          <w:szCs w:val="22"/>
          <w:rtl/>
        </w:rPr>
        <w:t>וק זה יחול גם על העברת בשר משטחי עזה ויריחו; לענין זה, "שטחי עזה ויריחו" -</w:t>
      </w:r>
      <w:r w:rsidR="005366A8" w:rsidRPr="004D12C7">
        <w:rPr>
          <w:rStyle w:val="default"/>
          <w:rFonts w:cs="David"/>
          <w:sz w:val="22"/>
          <w:szCs w:val="22"/>
          <w:rtl/>
        </w:rPr>
        <w:t xml:space="preserve"> </w:t>
      </w:r>
      <w:r w:rsidR="005366A8" w:rsidRPr="004D12C7">
        <w:rPr>
          <w:rStyle w:val="default"/>
          <w:rFonts w:cs="David" w:hint="cs"/>
          <w:sz w:val="22"/>
          <w:szCs w:val="22"/>
          <w:rtl/>
        </w:rPr>
        <w:t>כפי שיקבע שר התעשיה והמסחר בתקנ</w:t>
      </w:r>
      <w:r w:rsidR="005366A8" w:rsidRPr="004D12C7">
        <w:rPr>
          <w:rStyle w:val="default"/>
          <w:rFonts w:cs="David"/>
          <w:sz w:val="22"/>
          <w:szCs w:val="22"/>
          <w:rtl/>
        </w:rPr>
        <w:t>ות</w:t>
      </w:r>
      <w:r w:rsidR="005366A8" w:rsidRPr="004D12C7">
        <w:rPr>
          <w:rStyle w:val="default"/>
          <w:rFonts w:cs="David" w:hint="cs"/>
          <w:sz w:val="22"/>
          <w:szCs w:val="22"/>
          <w:rtl/>
        </w:rPr>
        <w:t>, באישור ועדת הכלכלה של הכנסת.</w:t>
      </w:r>
      <w:r w:rsidR="005366A8" w:rsidRPr="004D12C7">
        <w:rPr>
          <w:rFonts w:cs="David" w:hint="cs"/>
          <w:vanish/>
          <w:color w:val="FF0000"/>
          <w:sz w:val="22"/>
          <w:szCs w:val="22"/>
          <w:shd w:val="clear" w:color="auto" w:fill="FFFF99"/>
          <w:rtl/>
        </w:rPr>
        <w:t>מיום 30.12.1994</w:t>
      </w:r>
    </w:p>
    <w:p w:rsidR="005366A8" w:rsidRPr="004D12C7" w:rsidRDefault="005366A8" w:rsidP="005366A8">
      <w:pPr>
        <w:pStyle w:val="P00"/>
        <w:spacing w:before="0" w:after="120"/>
        <w:ind w:left="720" w:right="142"/>
        <w:rPr>
          <w:rFonts w:cs="David"/>
          <w:b/>
          <w:bCs/>
          <w:vanish/>
          <w:sz w:val="22"/>
          <w:szCs w:val="22"/>
          <w:shd w:val="clear" w:color="auto" w:fill="FFFF99"/>
          <w:rtl/>
        </w:rPr>
      </w:pPr>
      <w:r w:rsidRPr="004D12C7">
        <w:rPr>
          <w:rFonts w:cs="David" w:hint="cs"/>
          <w:b/>
          <w:bCs/>
          <w:vanish/>
          <w:sz w:val="22"/>
          <w:szCs w:val="22"/>
          <w:shd w:val="clear" w:color="auto" w:fill="FFFF99"/>
          <w:rtl/>
        </w:rPr>
        <w:t>תיקון מס' 1</w:t>
      </w:r>
    </w:p>
    <w:p w:rsidR="005366A8" w:rsidRPr="004D12C7" w:rsidRDefault="005D7968" w:rsidP="005366A8">
      <w:pPr>
        <w:pStyle w:val="P00"/>
        <w:tabs>
          <w:tab w:val="clear" w:pos="6259"/>
        </w:tabs>
        <w:spacing w:before="0" w:after="120"/>
        <w:ind w:left="720" w:right="142"/>
        <w:rPr>
          <w:rFonts w:cs="David"/>
          <w:vanish/>
          <w:sz w:val="22"/>
          <w:szCs w:val="22"/>
          <w:shd w:val="clear" w:color="auto" w:fill="FFFF99"/>
          <w:rtl/>
        </w:rPr>
      </w:pPr>
      <w:hyperlink r:id="rId194" w:history="1">
        <w:r w:rsidR="005366A8" w:rsidRPr="004D12C7">
          <w:rPr>
            <w:rStyle w:val="Hyperlink"/>
            <w:rFonts w:cs="David" w:hint="cs"/>
            <w:vanish/>
            <w:sz w:val="22"/>
            <w:szCs w:val="22"/>
            <w:shd w:val="clear" w:color="auto" w:fill="FFFF99"/>
            <w:rtl/>
          </w:rPr>
          <w:t>ס"ח תשנ"ה מס' 1499</w:t>
        </w:r>
      </w:hyperlink>
      <w:r w:rsidR="005366A8" w:rsidRPr="004D12C7">
        <w:rPr>
          <w:rFonts w:cs="David" w:hint="cs"/>
          <w:vanish/>
          <w:sz w:val="22"/>
          <w:szCs w:val="22"/>
          <w:shd w:val="clear" w:color="auto" w:fill="FFFF99"/>
          <w:rtl/>
        </w:rPr>
        <w:t xml:space="preserve"> מיום 4.1.1995 עמ' 92 (</w:t>
      </w:r>
      <w:hyperlink r:id="rId195" w:history="1">
        <w:r w:rsidR="005366A8" w:rsidRPr="004D12C7">
          <w:rPr>
            <w:rStyle w:val="Hyperlink"/>
            <w:rFonts w:cs="David" w:hint="cs"/>
            <w:vanish/>
            <w:sz w:val="22"/>
            <w:szCs w:val="22"/>
            <w:shd w:val="clear" w:color="auto" w:fill="FFFF99"/>
            <w:rtl/>
          </w:rPr>
          <w:t>ה"ח 2343</w:t>
        </w:r>
      </w:hyperlink>
      <w:r w:rsidR="005366A8" w:rsidRPr="004D12C7">
        <w:rPr>
          <w:rFonts w:cs="David" w:hint="cs"/>
          <w:vanish/>
          <w:sz w:val="22"/>
          <w:szCs w:val="22"/>
          <w:shd w:val="clear" w:color="auto" w:fill="FFFF99"/>
          <w:rtl/>
        </w:rPr>
        <w:t>)</w:t>
      </w:r>
    </w:p>
    <w:p w:rsidR="005366A8" w:rsidRPr="004D12C7" w:rsidRDefault="005366A8" w:rsidP="005366A8">
      <w:pPr>
        <w:pStyle w:val="P00"/>
        <w:tabs>
          <w:tab w:val="clear" w:pos="6259"/>
        </w:tabs>
        <w:spacing w:before="0" w:after="120"/>
        <w:ind w:left="720" w:right="142"/>
        <w:rPr>
          <w:rFonts w:cs="David"/>
          <w:b/>
          <w:bCs/>
          <w:sz w:val="22"/>
          <w:szCs w:val="22"/>
          <w:rtl/>
        </w:rPr>
      </w:pPr>
      <w:r w:rsidRPr="004D12C7">
        <w:rPr>
          <w:rFonts w:cs="David" w:hint="cs"/>
          <w:b/>
          <w:bCs/>
          <w:vanish/>
          <w:sz w:val="22"/>
          <w:szCs w:val="22"/>
          <w:shd w:val="clear" w:color="auto" w:fill="FFFF99"/>
          <w:rtl/>
        </w:rPr>
        <w:t>הוספת סעיף 4א</w:t>
      </w:r>
    </w:p>
    <w:p w:rsidR="005366A8" w:rsidRPr="004D12C7" w:rsidRDefault="005D7968" w:rsidP="005366A8">
      <w:pPr>
        <w:pStyle w:val="P00"/>
        <w:spacing w:after="120"/>
        <w:ind w:left="720" w:right="142"/>
        <w:rPr>
          <w:rStyle w:val="default"/>
          <w:rFonts w:cs="David"/>
          <w:sz w:val="22"/>
          <w:szCs w:val="22"/>
          <w:rtl/>
        </w:rPr>
      </w:pPr>
      <w:r w:rsidRPr="005D7968">
        <w:rPr>
          <w:rFonts w:cs="David"/>
          <w:sz w:val="22"/>
          <w:szCs w:val="22"/>
          <w:rtl/>
          <w:lang w:val="he-IL"/>
        </w:rPr>
        <w:pict>
          <v:rect id="_x0000_s1189" style="position:absolute;left:0;text-align:left;margin-left:464.5pt;margin-top:8.05pt;width:75.05pt;height:16.1pt;z-index:251834368" o:allowincell="f" filled="f" stroked="f" strokecolor="lime" strokeweight=".25pt">
            <v:textbox inset="0,0,0,0">
              <w:txbxContent>
                <w:p w:rsidR="005366A8" w:rsidRDefault="005366A8" w:rsidP="005366A8">
                  <w:pPr>
                    <w:spacing w:line="160" w:lineRule="exact"/>
                    <w:rPr>
                      <w:rFonts w:cs="Miriam"/>
                      <w:noProof/>
                      <w:sz w:val="18"/>
                      <w:szCs w:val="18"/>
                      <w:rtl/>
                    </w:rPr>
                  </w:pPr>
                  <w:r>
                    <w:rPr>
                      <w:rFonts w:cs="Miriam"/>
                      <w:sz w:val="18"/>
                      <w:szCs w:val="18"/>
                      <w:rtl/>
                    </w:rPr>
                    <w:t>תו</w:t>
                  </w:r>
                  <w:r>
                    <w:rPr>
                      <w:rFonts w:cs="Miriam" w:hint="cs"/>
                      <w:sz w:val="18"/>
                      <w:szCs w:val="18"/>
                      <w:rtl/>
                    </w:rPr>
                    <w:t>קף</w:t>
                  </w:r>
                </w:p>
              </w:txbxContent>
            </v:textbox>
            <w10:anchorlock/>
          </v:rect>
        </w:pict>
      </w:r>
      <w:r w:rsidR="005366A8" w:rsidRPr="004D12C7">
        <w:rPr>
          <w:rStyle w:val="big-number"/>
          <w:rFonts w:cs="David"/>
          <w:sz w:val="22"/>
          <w:szCs w:val="22"/>
          <w:rtl/>
        </w:rPr>
        <w:t>5.</w:t>
      </w:r>
      <w:r w:rsidR="005366A8" w:rsidRPr="004D12C7">
        <w:rPr>
          <w:rStyle w:val="big-number"/>
          <w:rFonts w:cs="David"/>
          <w:sz w:val="22"/>
          <w:szCs w:val="22"/>
          <w:rtl/>
        </w:rPr>
        <w:tab/>
      </w:r>
      <w:r w:rsidR="005366A8" w:rsidRPr="004D12C7">
        <w:rPr>
          <w:rStyle w:val="default"/>
          <w:rFonts w:cs="David"/>
          <w:sz w:val="22"/>
          <w:szCs w:val="22"/>
          <w:rtl/>
        </w:rPr>
        <w:t>תו</w:t>
      </w:r>
      <w:r w:rsidR="005366A8" w:rsidRPr="004D12C7">
        <w:rPr>
          <w:rStyle w:val="default"/>
          <w:rFonts w:cs="David" w:hint="cs"/>
          <w:sz w:val="22"/>
          <w:szCs w:val="22"/>
          <w:rtl/>
        </w:rPr>
        <w:t>קפו של חוק זה הוא על אף האמור בחוק-יסוד: חופש העיסוק.</w:t>
      </w:r>
    </w:p>
    <w:p w:rsidR="005366A8" w:rsidRPr="004D12C7" w:rsidRDefault="005D7968" w:rsidP="005366A8">
      <w:pPr>
        <w:pStyle w:val="P00"/>
        <w:spacing w:after="120"/>
        <w:ind w:left="720" w:right="142"/>
        <w:rPr>
          <w:rStyle w:val="default"/>
          <w:rFonts w:cs="David"/>
          <w:sz w:val="22"/>
          <w:szCs w:val="22"/>
          <w:rtl/>
        </w:rPr>
      </w:pPr>
      <w:r w:rsidRPr="005D7968">
        <w:rPr>
          <w:rFonts w:cs="David"/>
          <w:sz w:val="22"/>
          <w:szCs w:val="22"/>
          <w:rtl/>
          <w:lang w:val="he-IL"/>
        </w:rPr>
        <w:pict>
          <v:rect id="_x0000_s1190" style="position:absolute;left:0;text-align:left;margin-left:464.5pt;margin-top:8.05pt;width:75.05pt;height:18.6pt;z-index:251835392" o:allowincell="f" filled="f" stroked="f" strokecolor="lime" strokeweight=".25pt">
            <v:textbox inset="0,0,0,0">
              <w:txbxContent>
                <w:p w:rsidR="005366A8" w:rsidRDefault="005366A8" w:rsidP="005366A8">
                  <w:pPr>
                    <w:spacing w:line="160" w:lineRule="exact"/>
                    <w:rPr>
                      <w:rFonts w:cs="Miriam"/>
                      <w:noProof/>
                      <w:sz w:val="18"/>
                      <w:szCs w:val="18"/>
                      <w:rtl/>
                    </w:rPr>
                  </w:pPr>
                  <w:r>
                    <w:rPr>
                      <w:rFonts w:cs="Miriam"/>
                      <w:sz w:val="18"/>
                      <w:szCs w:val="18"/>
                      <w:rtl/>
                    </w:rPr>
                    <w:t>תו</w:t>
                  </w:r>
                  <w:r>
                    <w:rPr>
                      <w:rFonts w:cs="Miriam" w:hint="cs"/>
                      <w:sz w:val="18"/>
                      <w:szCs w:val="18"/>
                      <w:rtl/>
                    </w:rPr>
                    <w:t>ק</w:t>
                  </w:r>
                  <w:r>
                    <w:rPr>
                      <w:rFonts w:cs="Miriam"/>
                      <w:sz w:val="18"/>
                      <w:szCs w:val="18"/>
                      <w:rtl/>
                    </w:rPr>
                    <w:t>פ</w:t>
                  </w:r>
                  <w:r>
                    <w:rPr>
                      <w:rFonts w:cs="Miriam" w:hint="cs"/>
                      <w:sz w:val="18"/>
                      <w:szCs w:val="18"/>
                      <w:rtl/>
                    </w:rPr>
                    <w:t xml:space="preserve">ו של </w:t>
                  </w:r>
                  <w:r>
                    <w:rPr>
                      <w:rFonts w:cs="Miriam"/>
                      <w:sz w:val="18"/>
                      <w:szCs w:val="18"/>
                      <w:rtl/>
                    </w:rPr>
                    <w:t>רש</w:t>
                  </w:r>
                  <w:r>
                    <w:rPr>
                      <w:rFonts w:cs="Miriam" w:hint="cs"/>
                      <w:sz w:val="18"/>
                      <w:szCs w:val="18"/>
                      <w:rtl/>
                    </w:rPr>
                    <w:t>יון שניתן</w:t>
                  </w:r>
                </w:p>
              </w:txbxContent>
            </v:textbox>
            <w10:anchorlock/>
          </v:rect>
        </w:pict>
      </w:r>
      <w:r w:rsidR="005366A8" w:rsidRPr="004D12C7">
        <w:rPr>
          <w:rStyle w:val="big-number"/>
          <w:rFonts w:cs="David"/>
          <w:sz w:val="22"/>
          <w:szCs w:val="22"/>
          <w:rtl/>
        </w:rPr>
        <w:t>6.</w:t>
      </w:r>
      <w:r w:rsidR="005366A8" w:rsidRPr="004D12C7">
        <w:rPr>
          <w:rStyle w:val="big-number"/>
          <w:rFonts w:cs="David"/>
          <w:sz w:val="22"/>
          <w:szCs w:val="22"/>
          <w:rtl/>
        </w:rPr>
        <w:tab/>
      </w:r>
      <w:r w:rsidR="005366A8" w:rsidRPr="004D12C7">
        <w:rPr>
          <w:rStyle w:val="default"/>
          <w:rFonts w:cs="David"/>
          <w:sz w:val="22"/>
          <w:szCs w:val="22"/>
          <w:rtl/>
        </w:rPr>
        <w:t xml:space="preserve">אין </w:t>
      </w:r>
      <w:r w:rsidR="005366A8" w:rsidRPr="004D12C7">
        <w:rPr>
          <w:rStyle w:val="default"/>
          <w:rFonts w:cs="David" w:hint="cs"/>
          <w:sz w:val="22"/>
          <w:szCs w:val="22"/>
          <w:rtl/>
        </w:rPr>
        <w:t>בהוראות חוק זה כדי לגרוע מתוקפו של רשיון לייבוא בשר שניתן לפני קבלתו של חוק זה.</w:t>
      </w:r>
    </w:p>
    <w:p w:rsidR="005366A8" w:rsidRPr="004D12C7" w:rsidRDefault="005D7968" w:rsidP="005366A8">
      <w:pPr>
        <w:pStyle w:val="P00"/>
        <w:ind w:left="720" w:right="142"/>
        <w:rPr>
          <w:rStyle w:val="default"/>
          <w:rFonts w:cs="David"/>
          <w:sz w:val="22"/>
          <w:szCs w:val="22"/>
          <w:rtl/>
        </w:rPr>
      </w:pPr>
      <w:bookmarkStart w:id="46" w:name="Seif7"/>
      <w:bookmarkEnd w:id="46"/>
      <w:r w:rsidRPr="005D7968">
        <w:rPr>
          <w:rFonts w:cs="David"/>
          <w:sz w:val="22"/>
          <w:szCs w:val="22"/>
          <w:rtl/>
          <w:lang w:val="he-IL"/>
        </w:rPr>
        <w:pict>
          <v:rect id="_x0000_s1191" style="position:absolute;left:0;text-align:left;margin-left:464.5pt;margin-top:8.05pt;width:75.05pt;height:13.7pt;z-index:251836416" o:allowincell="f" filled="f" stroked="f" strokecolor="lime" strokeweight=".25pt">
            <v:textbox inset="0,0,0,0">
              <w:txbxContent>
                <w:p w:rsidR="005366A8" w:rsidRDefault="005366A8" w:rsidP="005366A8">
                  <w:pPr>
                    <w:spacing w:line="160" w:lineRule="exact"/>
                    <w:rPr>
                      <w:rFonts w:cs="Miriam"/>
                      <w:noProof/>
                      <w:sz w:val="18"/>
                      <w:szCs w:val="18"/>
                      <w:rtl/>
                    </w:rPr>
                  </w:pPr>
                  <w:r>
                    <w:rPr>
                      <w:rFonts w:cs="Miriam"/>
                      <w:sz w:val="18"/>
                      <w:szCs w:val="18"/>
                      <w:rtl/>
                    </w:rPr>
                    <w:t>בי</w:t>
                  </w:r>
                  <w:r>
                    <w:rPr>
                      <w:rFonts w:cs="Miriam" w:hint="cs"/>
                      <w:sz w:val="18"/>
                      <w:szCs w:val="18"/>
                      <w:rtl/>
                    </w:rPr>
                    <w:t>צוע</w:t>
                  </w:r>
                </w:p>
              </w:txbxContent>
            </v:textbox>
            <w10:anchorlock/>
          </v:rect>
        </w:pict>
      </w:r>
      <w:r w:rsidR="005366A8" w:rsidRPr="004D12C7">
        <w:rPr>
          <w:rStyle w:val="big-number"/>
          <w:rFonts w:cs="David"/>
          <w:sz w:val="22"/>
          <w:szCs w:val="22"/>
          <w:rtl/>
        </w:rPr>
        <w:t>7.</w:t>
      </w:r>
      <w:r w:rsidR="005366A8" w:rsidRPr="004D12C7">
        <w:rPr>
          <w:rStyle w:val="big-number"/>
          <w:rFonts w:cs="David"/>
          <w:sz w:val="22"/>
          <w:szCs w:val="22"/>
          <w:rtl/>
        </w:rPr>
        <w:tab/>
      </w:r>
      <w:r w:rsidR="005366A8" w:rsidRPr="004D12C7">
        <w:rPr>
          <w:rStyle w:val="default"/>
          <w:rFonts w:cs="David"/>
          <w:sz w:val="22"/>
          <w:szCs w:val="22"/>
          <w:rtl/>
        </w:rPr>
        <w:t>שר</w:t>
      </w:r>
      <w:r w:rsidR="005366A8" w:rsidRPr="004D12C7">
        <w:rPr>
          <w:rStyle w:val="default"/>
          <w:rFonts w:cs="David" w:hint="cs"/>
          <w:sz w:val="22"/>
          <w:szCs w:val="22"/>
          <w:rtl/>
        </w:rPr>
        <w:t xml:space="preserve"> התעשיה והמסחר ממונה על ביצוע חוק זה והוא רשאי להתקין תקנות בכל הנוגע לביצועו.</w:t>
      </w:r>
    </w:p>
    <w:p w:rsidR="005366A8" w:rsidRDefault="005366A8" w:rsidP="005366A8">
      <w:pPr>
        <w:pStyle w:val="P00"/>
        <w:ind w:left="0" w:right="1134"/>
        <w:rPr>
          <w:rStyle w:val="default"/>
          <w:rtl/>
        </w:rPr>
      </w:pPr>
    </w:p>
    <w:p w:rsidR="005366A8" w:rsidRPr="000E668B" w:rsidRDefault="005366A8" w:rsidP="005366A8">
      <w:pPr>
        <w:rPr>
          <w:rtl/>
        </w:rPr>
      </w:pPr>
    </w:p>
    <w:p w:rsidR="005366A8" w:rsidRDefault="005366A8" w:rsidP="005366A8">
      <w:pPr>
        <w:rPr>
          <w:rtl/>
        </w:rPr>
      </w:pPr>
      <w:r>
        <w:rPr>
          <w:rFonts w:hint="cs"/>
          <w:rtl/>
        </w:rPr>
        <w:t>=-=</w:t>
      </w:r>
    </w:p>
    <w:p w:rsidR="005366A8" w:rsidRDefault="005366A8" w:rsidP="005366A8">
      <w:pPr>
        <w:spacing w:after="120"/>
        <w:rPr>
          <w:rtl/>
        </w:rPr>
      </w:pPr>
      <w:r w:rsidRPr="00A2740D">
        <w:rPr>
          <w:rFonts w:hint="cs"/>
          <w:highlight w:val="yellow"/>
          <w:rtl/>
        </w:rPr>
        <w:t xml:space="preserve">דיון בפס"ד </w:t>
      </w:r>
      <w:r w:rsidRPr="00A2740D">
        <w:rPr>
          <w:rFonts w:hint="cs"/>
          <w:b/>
          <w:bCs/>
          <w:i/>
          <w:iCs/>
          <w:highlight w:val="yellow"/>
          <w:rtl/>
        </w:rPr>
        <w:t>יקותיאלי</w:t>
      </w:r>
      <w:r w:rsidRPr="00A2740D">
        <w:rPr>
          <w:rFonts w:hint="cs"/>
          <w:highlight w:val="yellow"/>
          <w:rtl/>
        </w:rPr>
        <w:t>, דפי הפגישה הקודמת</w:t>
      </w:r>
    </w:p>
    <w:p w:rsidR="005366A8" w:rsidRDefault="005366A8" w:rsidP="005366A8">
      <w:pPr>
        <w:ind w:left="720"/>
        <w:rPr>
          <w:rtl/>
        </w:rPr>
      </w:pPr>
      <w:r w:rsidRPr="00580978">
        <w:rPr>
          <w:rFonts w:hint="cs"/>
          <w:highlight w:val="yellow"/>
          <w:rtl/>
        </w:rPr>
        <w:t xml:space="preserve">מתקל בין </w:t>
      </w:r>
      <w:r w:rsidRPr="00580978">
        <w:rPr>
          <w:rFonts w:hint="cs"/>
          <w:b/>
          <w:bCs/>
          <w:i/>
          <w:iCs/>
          <w:highlight w:val="yellow"/>
          <w:rtl/>
        </w:rPr>
        <w:t>חוק</w:t>
      </w:r>
      <w:r w:rsidRPr="00580978">
        <w:rPr>
          <w:rFonts w:hint="cs"/>
          <w:highlight w:val="yellow"/>
          <w:rtl/>
        </w:rPr>
        <w:t xml:space="preserve"> (חוק מסוג מיוחד) (חוק התקציב) </w:t>
      </w:r>
      <w:r w:rsidRPr="00580978">
        <w:rPr>
          <w:rFonts w:hint="cs"/>
          <w:b/>
          <w:bCs/>
          <w:i/>
          <w:iCs/>
          <w:highlight w:val="yellow"/>
          <w:rtl/>
        </w:rPr>
        <w:t>לחוק אחר</w:t>
      </w:r>
      <w:r w:rsidRPr="00580978">
        <w:rPr>
          <w:rFonts w:hint="cs"/>
          <w:highlight w:val="yellow"/>
          <w:rtl/>
        </w:rPr>
        <w:t xml:space="preserve"> (חוק מסוג מיוחד אף הוא, חוק יסודות התקציב)</w:t>
      </w:r>
    </w:p>
    <w:p w:rsidR="005366A8" w:rsidRDefault="005366A8" w:rsidP="005366A8">
      <w:pPr>
        <w:rPr>
          <w:rtl/>
        </w:rPr>
      </w:pPr>
    </w:p>
    <w:p w:rsidR="005366A8" w:rsidRDefault="005366A8" w:rsidP="005366A8">
      <w:pPr>
        <w:rPr>
          <w:rtl/>
        </w:rPr>
      </w:pPr>
      <w:r w:rsidRPr="00513F54">
        <w:rPr>
          <w:rFonts w:hint="cs"/>
          <w:sz w:val="22"/>
          <w:szCs w:val="22"/>
          <w:rtl/>
        </w:rPr>
        <w:t>בג"ץ 616/11</w:t>
      </w:r>
      <w:r w:rsidRPr="00513F54">
        <w:rPr>
          <w:rFonts w:hint="cs"/>
          <w:sz w:val="22"/>
          <w:szCs w:val="22"/>
          <w:highlight w:val="yellow"/>
          <w:rtl/>
        </w:rPr>
        <w:t xml:space="preserve"> </w:t>
      </w:r>
      <w:r w:rsidRPr="00513F54">
        <w:rPr>
          <w:rFonts w:hint="cs"/>
          <w:b/>
          <w:bCs/>
          <w:sz w:val="22"/>
          <w:szCs w:val="22"/>
          <w:highlight w:val="yellow"/>
          <w:rtl/>
        </w:rPr>
        <w:t>התאחדות הסטודנטים בישראל נ' ממשלת ישראל</w:t>
      </w:r>
      <w:r w:rsidRPr="00513F54">
        <w:rPr>
          <w:rFonts w:hint="cs"/>
          <w:sz w:val="22"/>
          <w:szCs w:val="22"/>
          <w:highlight w:val="yellow"/>
          <w:rtl/>
        </w:rPr>
        <w:t xml:space="preserve"> (2014)</w:t>
      </w:r>
      <w:r>
        <w:rPr>
          <w:rFonts w:hint="cs"/>
          <w:sz w:val="22"/>
          <w:szCs w:val="22"/>
          <w:rtl/>
        </w:rPr>
        <w:t xml:space="preserve"> [המשך לפס"ד </w:t>
      </w:r>
      <w:r w:rsidRPr="00513F54">
        <w:rPr>
          <w:rFonts w:hint="cs"/>
          <w:b/>
          <w:bCs/>
          <w:sz w:val="22"/>
          <w:szCs w:val="22"/>
          <w:rtl/>
        </w:rPr>
        <w:t>יקותיאלי</w:t>
      </w:r>
      <w:r>
        <w:rPr>
          <w:rFonts w:hint="cs"/>
          <w:sz w:val="22"/>
          <w:szCs w:val="22"/>
          <w:rtl/>
        </w:rPr>
        <w:t>]</w:t>
      </w:r>
    </w:p>
    <w:p w:rsidR="005366A8" w:rsidRDefault="005366A8" w:rsidP="005366A8">
      <w:pPr>
        <w:rPr>
          <w:rtl/>
        </w:rPr>
      </w:pPr>
    </w:p>
    <w:p w:rsidR="005366A8" w:rsidRDefault="005366A8" w:rsidP="005366A8">
      <w:pPr>
        <w:rPr>
          <w:rtl/>
        </w:rPr>
      </w:pPr>
      <w:r>
        <w:rPr>
          <w:rFonts w:hint="cs"/>
          <w:rtl/>
        </w:rPr>
        <w:t>=-=</w:t>
      </w:r>
    </w:p>
    <w:p w:rsidR="005366A8" w:rsidRPr="00620694" w:rsidRDefault="005366A8" w:rsidP="005366A8">
      <w:pPr>
        <w:rPr>
          <w:b/>
          <w:bCs/>
        </w:rPr>
      </w:pPr>
      <w:r w:rsidRPr="00620694">
        <w:rPr>
          <w:b/>
          <w:bCs/>
          <w:rtl/>
        </w:rPr>
        <w:t>הגנבים חוזרים</w:t>
      </w:r>
      <w:r w:rsidRPr="00620694">
        <w:rPr>
          <w:b/>
          <w:bCs/>
        </w:rPr>
        <w:t xml:space="preserve"> // </w:t>
      </w:r>
      <w:r w:rsidRPr="00620694">
        <w:rPr>
          <w:b/>
          <w:bCs/>
          <w:rtl/>
        </w:rPr>
        <w:t>ארבעת הכשלים שמאפשרים לנבחרי ציבור לגנוב מהקופה הציבורית</w:t>
      </w:r>
    </w:p>
    <w:p w:rsidR="005366A8" w:rsidRPr="00620694" w:rsidRDefault="005366A8" w:rsidP="005366A8">
      <w:r w:rsidRPr="00620694">
        <w:rPr>
          <w:rtl/>
        </w:rPr>
        <w:t>פרשת ישראל ביתנו חמורה הרבה יותר מפרשת דרעי, מאחר שהיא מתרחשת לאחר שהמדינה כבר חשבה שנסתמו כל הפרצות</w:t>
      </w:r>
    </w:p>
    <w:p w:rsidR="005366A8" w:rsidRPr="00620694" w:rsidRDefault="005366A8" w:rsidP="000B7168">
      <w:pPr>
        <w:numPr>
          <w:ilvl w:val="0"/>
          <w:numId w:val="23"/>
        </w:numPr>
        <w:jc w:val="left"/>
      </w:pPr>
      <w:r w:rsidRPr="00620694">
        <w:t>07:11</w:t>
      </w:r>
    </w:p>
    <w:p w:rsidR="005366A8" w:rsidRPr="00620694" w:rsidRDefault="005366A8" w:rsidP="000B7168">
      <w:pPr>
        <w:numPr>
          <w:ilvl w:val="0"/>
          <w:numId w:val="23"/>
        </w:numPr>
        <w:jc w:val="left"/>
      </w:pPr>
      <w:r w:rsidRPr="00620694">
        <w:t>30.12.2014</w:t>
      </w:r>
    </w:p>
    <w:p w:rsidR="005366A8" w:rsidRPr="00620694" w:rsidRDefault="005366A8" w:rsidP="000B7168">
      <w:pPr>
        <w:numPr>
          <w:ilvl w:val="0"/>
          <w:numId w:val="23"/>
        </w:numPr>
        <w:jc w:val="left"/>
        <w:rPr>
          <w:sz w:val="20"/>
          <w:szCs w:val="20"/>
        </w:rPr>
      </w:pPr>
      <w:r w:rsidRPr="00620694">
        <w:rPr>
          <w:sz w:val="20"/>
          <w:szCs w:val="20"/>
          <w:rtl/>
        </w:rPr>
        <w:t>מאת</w:t>
      </w:r>
      <w:r w:rsidRPr="00620694">
        <w:rPr>
          <w:sz w:val="20"/>
          <w:szCs w:val="20"/>
        </w:rPr>
        <w:t>: </w:t>
      </w:r>
      <w:hyperlink r:id="rId196" w:history="1">
        <w:r w:rsidRPr="00620694">
          <w:rPr>
            <w:rStyle w:val="Hyperlink"/>
            <w:b/>
            <w:bCs/>
            <w:sz w:val="20"/>
            <w:szCs w:val="20"/>
            <w:rtl/>
          </w:rPr>
          <w:t>מירב ארלוזורוב</w:t>
        </w:r>
      </w:hyperlink>
      <w:r>
        <w:rPr>
          <w:rFonts w:hint="cs"/>
          <w:sz w:val="20"/>
          <w:szCs w:val="20"/>
          <w:rtl/>
        </w:rPr>
        <w:t>, דה-מרקר/הארץ</w:t>
      </w:r>
    </w:p>
    <w:p w:rsidR="005366A8" w:rsidRDefault="005366A8" w:rsidP="005366A8">
      <w:pPr>
        <w:rPr>
          <w:sz w:val="20"/>
          <w:szCs w:val="20"/>
          <w:rtl/>
        </w:rPr>
      </w:pPr>
    </w:p>
    <w:p w:rsidR="005366A8" w:rsidRPr="00620694" w:rsidRDefault="005366A8" w:rsidP="005366A8">
      <w:pPr>
        <w:rPr>
          <w:sz w:val="20"/>
          <w:szCs w:val="20"/>
        </w:rPr>
      </w:pPr>
      <w:r w:rsidRPr="00620694">
        <w:rPr>
          <w:sz w:val="20"/>
          <w:szCs w:val="20"/>
          <w:rtl/>
        </w:rPr>
        <w:t>החקירות הפליליות נגד</w:t>
      </w:r>
      <w:r w:rsidRPr="00620694">
        <w:rPr>
          <w:sz w:val="20"/>
          <w:szCs w:val="20"/>
        </w:rPr>
        <w:t> </w:t>
      </w:r>
      <w:hyperlink r:id="rId197" w:history="1">
        <w:r w:rsidRPr="00620694">
          <w:rPr>
            <w:rStyle w:val="Hyperlink"/>
            <w:sz w:val="20"/>
            <w:szCs w:val="20"/>
            <w:rtl/>
          </w:rPr>
          <w:t>בכירי ישראל ביתנו</w:t>
        </w:r>
      </w:hyperlink>
      <w:r w:rsidRPr="00620694">
        <w:rPr>
          <w:sz w:val="20"/>
          <w:szCs w:val="20"/>
        </w:rPr>
        <w:t> </w:t>
      </w:r>
      <w:r w:rsidRPr="00620694">
        <w:rPr>
          <w:sz w:val="20"/>
          <w:szCs w:val="20"/>
          <w:rtl/>
        </w:rPr>
        <w:t>מחזירות את ישראל לימים האפלים של החקירות נגד מנהיג ש"ס אז וכיום, אריה דרעי. שוב מתברר</w:t>
      </w:r>
      <w:r w:rsidRPr="00620694">
        <w:rPr>
          <w:sz w:val="20"/>
          <w:szCs w:val="20"/>
        </w:rPr>
        <w:t> </w:t>
      </w:r>
      <w:hyperlink r:id="rId198" w:history="1">
        <w:r w:rsidRPr="00620694">
          <w:rPr>
            <w:rStyle w:val="Hyperlink"/>
            <w:sz w:val="20"/>
            <w:szCs w:val="20"/>
            <w:rtl/>
          </w:rPr>
          <w:t>שנבחר ציבור בכיר</w:t>
        </w:r>
      </w:hyperlink>
      <w:r w:rsidRPr="00620694">
        <w:rPr>
          <w:sz w:val="20"/>
          <w:szCs w:val="20"/>
        </w:rPr>
        <w:t> </w:t>
      </w:r>
      <w:r w:rsidRPr="00620694">
        <w:rPr>
          <w:sz w:val="20"/>
          <w:szCs w:val="20"/>
          <w:rtl/>
        </w:rPr>
        <w:t>בישראל גונב כספי ציבור. דרעי הורשע בהעברת תקציב המדינה לישיבות בתמורה לשוחד אישי ששולם לו על כך, והחשדות לגבי בכירי ישראל ביתנו כמעט זהים באופיים</w:t>
      </w:r>
      <w:r w:rsidRPr="00620694">
        <w:rPr>
          <w:sz w:val="20"/>
          <w:szCs w:val="20"/>
        </w:rPr>
        <w:t>.</w:t>
      </w:r>
    </w:p>
    <w:p w:rsidR="005366A8" w:rsidRPr="00620694" w:rsidRDefault="005366A8" w:rsidP="005366A8">
      <w:pPr>
        <w:rPr>
          <w:sz w:val="20"/>
          <w:szCs w:val="20"/>
        </w:rPr>
      </w:pPr>
      <w:r w:rsidRPr="00620694">
        <w:rPr>
          <w:sz w:val="20"/>
          <w:szCs w:val="20"/>
          <w:rtl/>
        </w:rPr>
        <w:t>שוב מתברר כי תקציב המדינה פרוץ לגניבות. ואולם בהשוואה לפרשת דרעי - שצצה בתחילת שנות ה–90 - פרשת ישראל ביתנו חמורה ומדאיגה הרבה יותר, מאחר שהיא מתרחשת 20 שנים מאוחר יותר, לאחר שהמדינה חשבה שכבר הופקו כל הלקחים ונסתמו כל הפרצות. רק שעכשיו הגיעו החקירות נגד ישראל ביתנו, וטפחו למדינה על הפרצוף</w:t>
      </w:r>
      <w:r w:rsidRPr="00620694">
        <w:rPr>
          <w:sz w:val="20"/>
          <w:szCs w:val="20"/>
        </w:rPr>
        <w:t>.</w:t>
      </w:r>
    </w:p>
    <w:p w:rsidR="005366A8" w:rsidRPr="00620694" w:rsidRDefault="005366A8" w:rsidP="005366A8">
      <w:pPr>
        <w:rPr>
          <w:sz w:val="20"/>
          <w:szCs w:val="20"/>
        </w:rPr>
      </w:pPr>
      <w:r w:rsidRPr="00620694">
        <w:rPr>
          <w:sz w:val="20"/>
          <w:szCs w:val="20"/>
          <w:rtl/>
        </w:rPr>
        <w:t>בימים האחרונים עוסקים בכירים באוצר ובמשרד המשפטים בניסיונות ראשוניים להבין היכן אירעה התקלה. כלומר, מה היו הפרצות הניהוליות שאיפשרו את פרשת ישראל ביתנו - בהנחה שכל החשדות שהועלו בחקירה יתבררו כנכונים</w:t>
      </w:r>
      <w:r w:rsidRPr="00620694">
        <w:rPr>
          <w:sz w:val="20"/>
          <w:szCs w:val="20"/>
        </w:rPr>
        <w:t>.</w:t>
      </w:r>
    </w:p>
    <w:p w:rsidR="005366A8" w:rsidRPr="00620694" w:rsidRDefault="005366A8" w:rsidP="005366A8">
      <w:pPr>
        <w:rPr>
          <w:sz w:val="20"/>
          <w:szCs w:val="20"/>
        </w:rPr>
      </w:pPr>
      <w:r w:rsidRPr="00620694">
        <w:rPr>
          <w:sz w:val="20"/>
          <w:szCs w:val="20"/>
          <w:rtl/>
        </w:rPr>
        <w:t>פרטי החקירה עדיין אינם ידועים במלואם, כך שבשלב זה עוסקים בשני המשרדים בעיקר בשאילת שאלות - ועוד לא בהצבת פתרונות. אבל כבר בשלב מקדים זה, ברור שהשאלות עומדות להיות קשות וסבוכות מאוד. אחרי ששרדנו את דרעי, ועברנו גם את אהוד אולמרט והולילנד, הסברה היתה שיהיה קשה מאוד להפתיע אותנו בפרשת</w:t>
      </w:r>
      <w:r w:rsidRPr="00620694">
        <w:rPr>
          <w:sz w:val="20"/>
          <w:szCs w:val="20"/>
        </w:rPr>
        <w:t> </w:t>
      </w:r>
      <w:hyperlink r:id="rId199" w:history="1">
        <w:r w:rsidRPr="00620694">
          <w:rPr>
            <w:rStyle w:val="Hyperlink"/>
            <w:sz w:val="20"/>
            <w:szCs w:val="20"/>
            <w:rtl/>
          </w:rPr>
          <w:t>שחיתות ציבורית</w:t>
        </w:r>
      </w:hyperlink>
      <w:r>
        <w:rPr>
          <w:rFonts w:hint="cs"/>
          <w:sz w:val="20"/>
          <w:szCs w:val="20"/>
          <w:rtl/>
        </w:rPr>
        <w:t xml:space="preserve"> </w:t>
      </w:r>
      <w:r w:rsidRPr="00620694">
        <w:rPr>
          <w:sz w:val="20"/>
          <w:szCs w:val="20"/>
          <w:rtl/>
        </w:rPr>
        <w:t>ממוסדת חדשה. אבל העובדה היא שהופתענו</w:t>
      </w:r>
      <w:r w:rsidRPr="00620694">
        <w:rPr>
          <w:sz w:val="20"/>
          <w:szCs w:val="20"/>
        </w:rPr>
        <w:t>.</w:t>
      </w:r>
    </w:p>
    <w:p w:rsidR="005366A8" w:rsidRPr="00620694" w:rsidRDefault="005366A8" w:rsidP="005366A8">
      <w:pPr>
        <w:rPr>
          <w:sz w:val="20"/>
          <w:szCs w:val="20"/>
        </w:rPr>
      </w:pPr>
      <w:r w:rsidRPr="00620694">
        <w:rPr>
          <w:sz w:val="20"/>
          <w:szCs w:val="20"/>
          <w:rtl/>
        </w:rPr>
        <w:t xml:space="preserve">גודל ההפתעה נובע מכך שהמדינה סברה שזיהתה כבר את נקודות התורפה בתהליכי התקצוב, וסגרה את מרביתן. כך, </w:t>
      </w:r>
      <w:r w:rsidRPr="00620694">
        <w:rPr>
          <w:sz w:val="20"/>
          <w:szCs w:val="20"/>
          <w:highlight w:val="yellow"/>
          <w:rtl/>
        </w:rPr>
        <w:t>מסלול התמיכות הוא מסלול שבו המדינה תורמת כסף לגופים שונים שהיא חפצה ביקרם, בלי שהיא מצפה לקבל דבר בתמורה. להבדיל מהתקשרויות, שבהן המדינה עורכת מכרז לרכישת שירותים כלשהם מגוף חיצוני, הרי שבתמיכות המדינה אינה מקבלת תמורה, פרט לעצם התמיכה בגוף שהמדינה חפצה לקדם</w:t>
      </w:r>
      <w:r w:rsidRPr="00620694">
        <w:rPr>
          <w:sz w:val="20"/>
          <w:szCs w:val="20"/>
        </w:rPr>
        <w:t>.</w:t>
      </w:r>
    </w:p>
    <w:p w:rsidR="005366A8" w:rsidRDefault="005366A8" w:rsidP="005366A8">
      <w:pPr>
        <w:rPr>
          <w:sz w:val="20"/>
          <w:szCs w:val="20"/>
          <w:rtl/>
        </w:rPr>
      </w:pPr>
      <w:r w:rsidRPr="00620694">
        <w:rPr>
          <w:sz w:val="20"/>
          <w:szCs w:val="20"/>
          <w:rtl/>
        </w:rPr>
        <w:t xml:space="preserve">זה נשמע כמו מסלול בעייתי מאוד, </w:t>
      </w:r>
      <w:r w:rsidRPr="00620694">
        <w:rPr>
          <w:sz w:val="20"/>
          <w:szCs w:val="20"/>
          <w:highlight w:val="yellow"/>
          <w:rtl/>
        </w:rPr>
        <w:t>אבל כדאי לזכור כי כמעט כל תקציבי התרבות והספורט בישראל מוקצים בדרך זו - המדינה תומכת במוסדות תרבות וספורט, מאחר שחשוב לה שמוסדות אלה ימשיכו להתקיים, אף שהמוסדות הללו אינם מגישים שירות ישיר למדינה. בסך הכל מקצה המדינה יותר מ–3 מיליארד שקל באמצעות תמיכות לגופים שונים</w:t>
      </w:r>
      <w:r w:rsidRPr="00620694">
        <w:rPr>
          <w:sz w:val="20"/>
          <w:szCs w:val="20"/>
        </w:rPr>
        <w:t>.</w:t>
      </w:r>
    </w:p>
    <w:p w:rsidR="005366A8" w:rsidRPr="00620694" w:rsidRDefault="005366A8" w:rsidP="005366A8">
      <w:pPr>
        <w:rPr>
          <w:sz w:val="20"/>
          <w:szCs w:val="20"/>
        </w:rPr>
      </w:pPr>
    </w:p>
    <w:p w:rsidR="005366A8" w:rsidRPr="00620694" w:rsidRDefault="005366A8" w:rsidP="005366A8">
      <w:pPr>
        <w:rPr>
          <w:sz w:val="20"/>
          <w:szCs w:val="20"/>
        </w:rPr>
      </w:pPr>
      <w:r w:rsidRPr="00620694">
        <w:rPr>
          <w:b/>
          <w:bCs/>
          <w:sz w:val="20"/>
          <w:szCs w:val="20"/>
          <w:rtl/>
        </w:rPr>
        <w:t>שאלת שיקול הדעת</w:t>
      </w:r>
    </w:p>
    <w:p w:rsidR="005366A8" w:rsidRPr="00620694" w:rsidRDefault="005366A8" w:rsidP="005366A8">
      <w:pPr>
        <w:rPr>
          <w:sz w:val="20"/>
          <w:szCs w:val="20"/>
        </w:rPr>
      </w:pPr>
      <w:r w:rsidRPr="00620694">
        <w:rPr>
          <w:sz w:val="20"/>
          <w:szCs w:val="20"/>
          <w:rtl/>
        </w:rPr>
        <w:t>המדינה מודעת לבעייתיות של מסלול התמיכות, ולעובדה שמעורב בו שיקול דעת לא קטן בשאלה איזו עמותה ראויה לקבל תמיכה מהמדינה, ואיזו לא. לכן, נעשתה בשנים האחרונות עבודה ניהולית מקיפה בתוך המדינה להסדרת מסלול התמיכות. נוהל שר האוצר לתמיכות פורסם אך לפני כמה חודשים, והוא משתרע על פני 52 עמודים</w:t>
      </w:r>
      <w:r w:rsidRPr="00620694">
        <w:rPr>
          <w:sz w:val="20"/>
          <w:szCs w:val="20"/>
        </w:rPr>
        <w:t>.</w:t>
      </w:r>
    </w:p>
    <w:p w:rsidR="005366A8" w:rsidRPr="00620694" w:rsidRDefault="005366A8" w:rsidP="005366A8">
      <w:pPr>
        <w:rPr>
          <w:sz w:val="20"/>
          <w:szCs w:val="20"/>
        </w:rPr>
      </w:pPr>
      <w:r w:rsidRPr="00620694">
        <w:rPr>
          <w:sz w:val="20"/>
          <w:szCs w:val="20"/>
          <w:highlight w:val="yellow"/>
          <w:rtl/>
        </w:rPr>
        <w:t>הנוהל מפרט קריטריונים שמקבלי התמיכות צריכים לעמוד בהם, דו"חות שעליהם להגיש, הרשאות לחשבונות הבנק שלהם, מסמכים, חובה של המשרד הממשלתי שמקצה את הכסף לתת לכך פומבי, השיקולים של ועדת התמיכות - בה חברים נציגים של היועץ המשפטי ושל החשב של כל משרד ממשלתי, מבחני התמיכה ועוד. בחלק גדול מהמקרים נוהל התמיכה מחייב שוויוניות. כלומר, לא ניתן להקצות תמיכה רק לתיאטרון מסוים ולא לתיאטראות אחרים, למשל</w:t>
      </w:r>
      <w:r w:rsidRPr="00620694">
        <w:rPr>
          <w:sz w:val="20"/>
          <w:szCs w:val="20"/>
          <w:highlight w:val="yellow"/>
        </w:rPr>
        <w:t>.</w:t>
      </w:r>
    </w:p>
    <w:p w:rsidR="005366A8" w:rsidRPr="00620694" w:rsidRDefault="005366A8" w:rsidP="005366A8">
      <w:pPr>
        <w:rPr>
          <w:sz w:val="20"/>
          <w:szCs w:val="20"/>
          <w:highlight w:val="yellow"/>
        </w:rPr>
      </w:pPr>
      <w:r w:rsidRPr="00620694">
        <w:rPr>
          <w:sz w:val="20"/>
          <w:szCs w:val="20"/>
          <w:rtl/>
        </w:rPr>
        <w:t xml:space="preserve">הפירוט הדקדקני של נוהל התמיכות החדש אמור היה למנוע כל אפשרות להקצאת כספי תמיכות בדרך לא כשרה. בוודאי שהוא אמור למנוע את הכשל העיקרי, שעובר כנראה כחוט השני בכל החשדות כנגד בכירי ישראל ביתנו - </w:t>
      </w:r>
      <w:r w:rsidRPr="00620694">
        <w:rPr>
          <w:sz w:val="20"/>
          <w:szCs w:val="20"/>
          <w:highlight w:val="yellow"/>
          <w:rtl/>
        </w:rPr>
        <w:t>הקשר בין העברת התקציב לבין ההחלטה של נבחר ציבור מסוים</w:t>
      </w:r>
      <w:r w:rsidRPr="00620694">
        <w:rPr>
          <w:sz w:val="20"/>
          <w:szCs w:val="20"/>
          <w:highlight w:val="yellow"/>
        </w:rPr>
        <w:t>.</w:t>
      </w:r>
    </w:p>
    <w:p w:rsidR="005366A8" w:rsidRPr="00620694" w:rsidRDefault="005366A8" w:rsidP="005366A8">
      <w:pPr>
        <w:rPr>
          <w:sz w:val="20"/>
          <w:szCs w:val="20"/>
        </w:rPr>
      </w:pPr>
      <w:r w:rsidRPr="00620694">
        <w:rPr>
          <w:sz w:val="20"/>
          <w:szCs w:val="20"/>
          <w:highlight w:val="yellow"/>
          <w:rtl/>
        </w:rPr>
        <w:t>לשם הדוגמה בלבד: תיאטרון יכול לשלם שוחד לשר התרבות, אם הוא חושב שהשר יכול לסייע לו בתמורה לקבל תמיכה ממשרד התרבות. אבל אם נוהל התמיכה הוא שוויוני, וועדת התמיכות מתפקדת היטב, כך שתמיכות לתיאטראות מתקבלות רק לאחר החלטה מסודרת ולכל התיאטראות בו זמנית - כנראה התמריץ לשחד את השר יפחת מאוד</w:t>
      </w:r>
      <w:r w:rsidRPr="00620694">
        <w:rPr>
          <w:sz w:val="20"/>
          <w:szCs w:val="20"/>
          <w:highlight w:val="yellow"/>
        </w:rPr>
        <w:t>.</w:t>
      </w:r>
    </w:p>
    <w:p w:rsidR="005366A8" w:rsidRPr="00620694" w:rsidRDefault="005366A8" w:rsidP="005366A8">
      <w:pPr>
        <w:rPr>
          <w:sz w:val="20"/>
          <w:szCs w:val="20"/>
          <w:highlight w:val="yellow"/>
        </w:rPr>
      </w:pPr>
      <w:r w:rsidRPr="00620694">
        <w:rPr>
          <w:sz w:val="20"/>
          <w:szCs w:val="20"/>
          <w:rtl/>
        </w:rPr>
        <w:t xml:space="preserve">הדברים בוודאי נכונים כאשר מדובר בהעברות תקציביות. למשל, העברות תקציביות ממשרד הפנים לרשויות המקומיות. העברות תקציביות אמורות להיות מסודרות וכמעט סגורות הרמטית. </w:t>
      </w:r>
      <w:r w:rsidRPr="00620694">
        <w:rPr>
          <w:sz w:val="20"/>
          <w:szCs w:val="20"/>
          <w:highlight w:val="yellow"/>
          <w:rtl/>
        </w:rPr>
        <w:t>למרבית ההעברות התקציביות יש קריטריונים קשיחים - למשל, מענקי איזון המוקצים על פי נוסחה מתמטית. כל ההעברות התקציביות עוברות לאישור חשב המשרד. בסכומי כסף גדולים הן עוברות גם לאישורו של אגף התקציבים באוצר, ואפילו לאישור ועדת הכספים של הכנסת</w:t>
      </w:r>
      <w:r w:rsidRPr="00620694">
        <w:rPr>
          <w:sz w:val="20"/>
          <w:szCs w:val="20"/>
          <w:highlight w:val="yellow"/>
        </w:rPr>
        <w:t>.</w:t>
      </w:r>
    </w:p>
    <w:p w:rsidR="005366A8" w:rsidRPr="00620694" w:rsidRDefault="005366A8" w:rsidP="005366A8">
      <w:pPr>
        <w:rPr>
          <w:sz w:val="20"/>
          <w:szCs w:val="20"/>
        </w:rPr>
      </w:pPr>
      <w:r w:rsidRPr="00620694">
        <w:rPr>
          <w:sz w:val="20"/>
          <w:szCs w:val="20"/>
          <w:highlight w:val="yellow"/>
          <w:rtl/>
        </w:rPr>
        <w:t>לא אמורות להיות תקלות בהעברות תקציביות, ובוודאי שלא אמור להיות קשר בין שיקול הדעת של השר או סגן השר המחליט להעברה התקציבית</w:t>
      </w:r>
      <w:r w:rsidRPr="00620694">
        <w:rPr>
          <w:sz w:val="20"/>
          <w:szCs w:val="20"/>
          <w:rtl/>
        </w:rPr>
        <w:t xml:space="preserve"> - </w:t>
      </w:r>
      <w:r w:rsidRPr="00620694">
        <w:rPr>
          <w:sz w:val="20"/>
          <w:szCs w:val="20"/>
          <w:highlight w:val="green"/>
          <w:rtl/>
        </w:rPr>
        <w:t>שיקול הדעת שיוצר את התמריץ לשוחד.</w:t>
      </w:r>
      <w:r w:rsidRPr="00620694">
        <w:rPr>
          <w:sz w:val="20"/>
          <w:szCs w:val="20"/>
          <w:rtl/>
        </w:rPr>
        <w:t xml:space="preserve"> רק שעל פי החשדות הנחקרים, היה קשר כזה</w:t>
      </w:r>
      <w:r w:rsidRPr="00620694">
        <w:rPr>
          <w:sz w:val="20"/>
          <w:szCs w:val="20"/>
        </w:rPr>
        <w:t>.</w:t>
      </w:r>
    </w:p>
    <w:p w:rsidR="005366A8" w:rsidRDefault="005366A8" w:rsidP="005366A8">
      <w:pPr>
        <w:rPr>
          <w:b/>
          <w:bCs/>
          <w:sz w:val="20"/>
          <w:szCs w:val="20"/>
          <w:rtl/>
        </w:rPr>
      </w:pPr>
    </w:p>
    <w:p w:rsidR="005366A8" w:rsidRPr="00620694" w:rsidRDefault="005366A8" w:rsidP="005366A8">
      <w:pPr>
        <w:rPr>
          <w:sz w:val="20"/>
          <w:szCs w:val="20"/>
        </w:rPr>
      </w:pPr>
      <w:r w:rsidRPr="00620694">
        <w:rPr>
          <w:b/>
          <w:bCs/>
          <w:sz w:val="20"/>
          <w:szCs w:val="20"/>
          <w:rtl/>
        </w:rPr>
        <w:t>כשל ראשון: דילים פוליטיים</w:t>
      </w:r>
    </w:p>
    <w:p w:rsidR="005366A8" w:rsidRPr="00620694" w:rsidRDefault="005366A8" w:rsidP="005366A8">
      <w:pPr>
        <w:rPr>
          <w:sz w:val="20"/>
          <w:szCs w:val="20"/>
        </w:rPr>
      </w:pPr>
      <w:r w:rsidRPr="00620694">
        <w:rPr>
          <w:sz w:val="20"/>
          <w:szCs w:val="20"/>
          <w:rtl/>
        </w:rPr>
        <w:t>איך נוצר הקשר הזה? במשרדי הממשלה מתקשים עדיין לזהות את הקשר, אבל כמה חשודים מיידיים צצים ככשל אפשרי. מדובר במקרים שבהם ההעברות התקציביות או ההעברות לתמיכות אינן סגורות הרמטית באמצעות קריטריונים, וקיים מקום לשיקול דעת של השר או חבר הכנסת המקצה את הכסף</w:t>
      </w:r>
      <w:r w:rsidRPr="00620694">
        <w:rPr>
          <w:sz w:val="20"/>
          <w:szCs w:val="20"/>
        </w:rPr>
        <w:t>.</w:t>
      </w:r>
    </w:p>
    <w:p w:rsidR="005366A8" w:rsidRPr="00620694" w:rsidRDefault="005366A8" w:rsidP="005366A8">
      <w:pPr>
        <w:rPr>
          <w:sz w:val="20"/>
          <w:szCs w:val="20"/>
        </w:rPr>
      </w:pPr>
      <w:r w:rsidRPr="00620694">
        <w:rPr>
          <w:sz w:val="20"/>
          <w:szCs w:val="20"/>
          <w:rtl/>
        </w:rPr>
        <w:t xml:space="preserve">מוקד כשל בולט הוא ועדות הכנסת, והמקח והממכר הפוליטי בין חברי הכנסת לאוצר והשרים על אישור סעיפי תקציב שונים. </w:t>
      </w:r>
      <w:r w:rsidRPr="00620694">
        <w:rPr>
          <w:sz w:val="20"/>
          <w:szCs w:val="20"/>
          <w:highlight w:val="yellow"/>
          <w:rtl/>
        </w:rPr>
        <w:t>הקרקס הפוליטי הידוע, שבו יו"ר ועדה מסוים מסרב לקיים דיון בבקשה תקציבית כלשהי של האוצר, אלא אם האוצר יאשר לו בתמורה העברה כספית לתחום שקרוב אל לבו, הוא כנראה אחד הכשלים הקשים ביותר בתקצוב בישראל</w:t>
      </w:r>
      <w:r w:rsidRPr="00620694">
        <w:rPr>
          <w:sz w:val="20"/>
          <w:szCs w:val="20"/>
          <w:highlight w:val="yellow"/>
        </w:rPr>
        <w:t>.</w:t>
      </w:r>
    </w:p>
    <w:p w:rsidR="005366A8" w:rsidRPr="00620694" w:rsidRDefault="005366A8" w:rsidP="005366A8">
      <w:pPr>
        <w:rPr>
          <w:sz w:val="20"/>
          <w:szCs w:val="20"/>
        </w:rPr>
      </w:pPr>
      <w:r w:rsidRPr="00620694">
        <w:rPr>
          <w:sz w:val="20"/>
          <w:szCs w:val="20"/>
          <w:rtl/>
        </w:rPr>
        <w:t>הדיל הפוליטי הזה - גם אם הוא נעשה באישור השרים הרלוונטיים - הוא בדיוק מימוש הכשל שבו שיקול הדעת של חבר כנסת כוחני מסוים מביא לכך שהכסף הועבר למטרה מסוימת. כאן מתקיים הקשר שמעודד שוחד: ישנה כתובת שגורמת לכך שכסף מסוים עובר לידיים מסוימות, ולכן יש תמריץ לשחד אותה כתובת</w:t>
      </w:r>
      <w:r w:rsidRPr="00620694">
        <w:rPr>
          <w:sz w:val="20"/>
          <w:szCs w:val="20"/>
        </w:rPr>
        <w:t>.</w:t>
      </w:r>
    </w:p>
    <w:p w:rsidR="005366A8" w:rsidRPr="00620694" w:rsidRDefault="005366A8" w:rsidP="005366A8">
      <w:pPr>
        <w:rPr>
          <w:sz w:val="20"/>
          <w:szCs w:val="20"/>
        </w:rPr>
      </w:pPr>
      <w:r w:rsidRPr="00620694">
        <w:rPr>
          <w:sz w:val="20"/>
          <w:szCs w:val="20"/>
          <w:rtl/>
        </w:rPr>
        <w:t xml:space="preserve">מערכת היחסים המעוותת בין משרד האוצר לבין הכנסת, לצערנו, מעודדת את קיומו של הכשל הזה. דילים בוועדות הם עניין רווח, וגם העברות תקציביות חטופות שמשרד האוצר מעביר דרך הוועדות - לעתים אחרי שסגר את הפרטים עם יו"ר הוועדה - הן עניין שכיח. הפתח לשחיתות של חברי כנסת, שינצלו את כוחם בכנסת כדי להטות את תקציבי המדינה ליעדים המועדפים עליהם, הוא גלוי וגדול. </w:t>
      </w:r>
      <w:r w:rsidRPr="00620694">
        <w:rPr>
          <w:sz w:val="20"/>
          <w:szCs w:val="20"/>
          <w:highlight w:val="yellow"/>
          <w:rtl/>
        </w:rPr>
        <w:t>ניתן להניח שברוב המוחלט של המקרים, העברת הכספים נעשית למטרות פוליטיות בלבד - כשיו"ר ועדת הכספים היה חרדי, מרבית הדילים נגעו להעברות כספים לישיבות; כשיו"ר ועדת הכספים הוא איש הבית היהודי, הדילים נרקמים לגבי העברת כספים לשטחים. אבל במקום שבו יש דילים ויש אתנן, שם גם קיימת הפרצה שמאפשרת העברת כספים תמורת שוחד</w:t>
      </w:r>
      <w:r w:rsidRPr="00620694">
        <w:rPr>
          <w:sz w:val="20"/>
          <w:szCs w:val="20"/>
        </w:rPr>
        <w:t>.</w:t>
      </w:r>
    </w:p>
    <w:p w:rsidR="005366A8" w:rsidRDefault="005366A8" w:rsidP="005366A8">
      <w:pPr>
        <w:rPr>
          <w:b/>
          <w:bCs/>
          <w:sz w:val="20"/>
          <w:szCs w:val="20"/>
          <w:rtl/>
        </w:rPr>
      </w:pPr>
    </w:p>
    <w:p w:rsidR="005366A8" w:rsidRPr="00620694" w:rsidRDefault="005366A8" w:rsidP="005366A8">
      <w:pPr>
        <w:rPr>
          <w:sz w:val="20"/>
          <w:szCs w:val="20"/>
        </w:rPr>
      </w:pPr>
      <w:r w:rsidRPr="00620694">
        <w:rPr>
          <w:b/>
          <w:bCs/>
          <w:sz w:val="20"/>
          <w:szCs w:val="20"/>
          <w:rtl/>
        </w:rPr>
        <w:t>כשל שני: גופים</w:t>
      </w:r>
      <w:r>
        <w:rPr>
          <w:rFonts w:hint="cs"/>
          <w:b/>
          <w:bCs/>
          <w:sz w:val="20"/>
          <w:szCs w:val="20"/>
          <w:rtl/>
        </w:rPr>
        <w:t xml:space="preserve"> </w:t>
      </w:r>
      <w:r w:rsidRPr="00620694">
        <w:rPr>
          <w:rFonts w:hint="cs"/>
          <w:b/>
          <w:bCs/>
          <w:sz w:val="20"/>
          <w:szCs w:val="20"/>
          <w:rtl/>
        </w:rPr>
        <w:t>לא מפוקחים</w:t>
      </w:r>
    </w:p>
    <w:p w:rsidR="005366A8" w:rsidRDefault="005366A8" w:rsidP="005366A8">
      <w:pPr>
        <w:rPr>
          <w:sz w:val="20"/>
          <w:szCs w:val="20"/>
          <w:rtl/>
        </w:rPr>
      </w:pPr>
      <w:r w:rsidRPr="00620694">
        <w:rPr>
          <w:sz w:val="20"/>
          <w:szCs w:val="20"/>
          <w:rtl/>
        </w:rPr>
        <w:t xml:space="preserve">כשל בולט נוסף הוא זה של העב"מים התקציביים - </w:t>
      </w:r>
      <w:r w:rsidRPr="00620694">
        <w:rPr>
          <w:sz w:val="20"/>
          <w:szCs w:val="20"/>
          <w:highlight w:val="yellow"/>
          <w:rtl/>
        </w:rPr>
        <w:t>גופים מתוקצבים שאינם מפוקחים. החטיבה להתיישבות של ההסתדרות הציונית היא דוגמה בולטת לעב"ם כזה, והעובדה שחלק מהחשדות כנגד בכירי ישראל ביתנו נוגעים לכספים שהועברו דרך החטיבה להתיישבות אינה מפתיעה. כשיש כסף ציבורי ללא פיקוח, קיימת פרצה שקוראת לגנב</w:t>
      </w:r>
      <w:r w:rsidRPr="00620694">
        <w:rPr>
          <w:sz w:val="20"/>
          <w:szCs w:val="20"/>
          <w:rtl/>
        </w:rPr>
        <w:t>. אין מה להתפלא אחר כך אם מתברר שהגנבים אכן הגיעו</w:t>
      </w:r>
      <w:r w:rsidRPr="00620694">
        <w:rPr>
          <w:sz w:val="20"/>
          <w:szCs w:val="20"/>
        </w:rPr>
        <w:t>.</w:t>
      </w:r>
    </w:p>
    <w:p w:rsidR="005366A8" w:rsidRPr="00620694" w:rsidRDefault="005366A8" w:rsidP="005366A8">
      <w:pPr>
        <w:rPr>
          <w:sz w:val="20"/>
          <w:szCs w:val="20"/>
        </w:rPr>
      </w:pPr>
    </w:p>
    <w:p w:rsidR="005366A8" w:rsidRPr="00620694" w:rsidRDefault="005366A8" w:rsidP="005366A8">
      <w:pPr>
        <w:rPr>
          <w:sz w:val="20"/>
          <w:szCs w:val="20"/>
        </w:rPr>
      </w:pPr>
      <w:r w:rsidRPr="00620694">
        <w:rPr>
          <w:b/>
          <w:bCs/>
          <w:sz w:val="20"/>
          <w:szCs w:val="20"/>
          <w:rtl/>
        </w:rPr>
        <w:t>כשל שלישי: השלטון המקומי</w:t>
      </w:r>
    </w:p>
    <w:p w:rsidR="005366A8" w:rsidRPr="00620694" w:rsidRDefault="005366A8" w:rsidP="005366A8">
      <w:pPr>
        <w:rPr>
          <w:sz w:val="20"/>
          <w:szCs w:val="20"/>
        </w:rPr>
      </w:pPr>
      <w:r w:rsidRPr="00620694">
        <w:rPr>
          <w:sz w:val="20"/>
          <w:szCs w:val="20"/>
          <w:rtl/>
        </w:rPr>
        <w:t>כשל שלישי וחמור ביותר נוגע לפיקוח והנהלים הרופפים של השלטון המקומי בכלל, ושל משרד הפנים בפרט. העובדה שהשלטון המקומי אינו מפוקח ופרוץ לשחיתות פוליטית אינה חדשה. רק בחודשים האחרונים הורשעו שני ראשי עיר בולטים (של בת ים ורמת השרון), ונערכה חקירה ברמת גן</w:t>
      </w:r>
      <w:r w:rsidRPr="00620694">
        <w:rPr>
          <w:sz w:val="20"/>
          <w:szCs w:val="20"/>
        </w:rPr>
        <w:t>.</w:t>
      </w:r>
    </w:p>
    <w:p w:rsidR="005366A8" w:rsidRPr="00620694" w:rsidRDefault="005366A8" w:rsidP="005366A8">
      <w:pPr>
        <w:rPr>
          <w:sz w:val="20"/>
          <w:szCs w:val="20"/>
        </w:rPr>
      </w:pPr>
      <w:r w:rsidRPr="00620694">
        <w:rPr>
          <w:sz w:val="20"/>
          <w:szCs w:val="20"/>
          <w:rtl/>
        </w:rPr>
        <w:t>מה שמטריד הוא חוסר היכולת של משרד הפנים לפעול לשינוי המצב ולהידוק הפיקוח על השלטון המקומי. ניסיונות שנעשו לאורך שנים במטרה להפריד את הפיקוח והבקרה על השלטון המקומי ממשרד הפנים, באמצעות הקמת רשות פיקוח עצמאית, הוכשלו תמיד בידי המשרד. אולי פרשת ישראל ביתנו תביא סוף־סוף להסקת מסקנות ניהולית לגבי הצורך בהידוק הפיקוח על השלטון המקומי</w:t>
      </w:r>
      <w:r w:rsidRPr="00620694">
        <w:rPr>
          <w:sz w:val="20"/>
          <w:szCs w:val="20"/>
        </w:rPr>
        <w:t>.</w:t>
      </w:r>
    </w:p>
    <w:p w:rsidR="005366A8" w:rsidRDefault="005366A8" w:rsidP="005366A8">
      <w:pPr>
        <w:rPr>
          <w:sz w:val="20"/>
          <w:szCs w:val="20"/>
          <w:rtl/>
        </w:rPr>
      </w:pPr>
      <w:r w:rsidRPr="00620694">
        <w:rPr>
          <w:sz w:val="20"/>
          <w:szCs w:val="20"/>
          <w:rtl/>
        </w:rPr>
        <w:t>במקביל, ברור שגם משרד הפנים עצמו פרוץ להעברות תקציביות לא תקינות. נזכיר שלשר הפנים יש תקנה תקציבית, רזרבת השר, המאפשרת להקצות כספים לרשויות המקומיות על פי שיקול דעת השר. לא ידוע אם בפרשת ישראל ביתנו נעשה שימוש ברזרבה הזאת דווקא - אבל עצם קיומו של תקציב ממשלתי הנתון לשיקול דעת של השר הוא שוב פרצה חמורה</w:t>
      </w:r>
      <w:r w:rsidRPr="00620694">
        <w:rPr>
          <w:sz w:val="20"/>
          <w:szCs w:val="20"/>
        </w:rPr>
        <w:t>.</w:t>
      </w:r>
    </w:p>
    <w:p w:rsidR="005366A8" w:rsidRPr="00620694" w:rsidRDefault="005366A8" w:rsidP="005366A8">
      <w:pPr>
        <w:rPr>
          <w:sz w:val="20"/>
          <w:szCs w:val="20"/>
        </w:rPr>
      </w:pPr>
    </w:p>
    <w:p w:rsidR="005366A8" w:rsidRPr="00620694" w:rsidRDefault="005366A8" w:rsidP="005366A8">
      <w:pPr>
        <w:rPr>
          <w:sz w:val="20"/>
          <w:szCs w:val="20"/>
        </w:rPr>
      </w:pPr>
      <w:r w:rsidRPr="00620694">
        <w:rPr>
          <w:b/>
          <w:bCs/>
          <w:sz w:val="20"/>
          <w:szCs w:val="20"/>
          <w:rtl/>
        </w:rPr>
        <w:t>כשל רביעי: כספים קואליציוניים</w:t>
      </w:r>
    </w:p>
    <w:p w:rsidR="005366A8" w:rsidRPr="00620694" w:rsidRDefault="005366A8" w:rsidP="005366A8">
      <w:pPr>
        <w:rPr>
          <w:sz w:val="20"/>
          <w:szCs w:val="20"/>
        </w:rPr>
      </w:pPr>
      <w:r w:rsidRPr="00620694">
        <w:rPr>
          <w:sz w:val="20"/>
          <w:szCs w:val="20"/>
          <w:rtl/>
        </w:rPr>
        <w:t xml:space="preserve">ולבסוף, הפרצה הגדולה ביותר היא כמובן זו הגלויה ביותר - הכספים הקואליציוניים, שהמפלגות רשאיות לנתב אותם לפי שיקול דעתן המוחלט. </w:t>
      </w:r>
      <w:r w:rsidRPr="006343FE">
        <w:rPr>
          <w:sz w:val="20"/>
          <w:szCs w:val="20"/>
          <w:highlight w:val="yellow"/>
          <w:rtl/>
        </w:rPr>
        <w:t>לזכותו של יאיר לפיד ייאמר שהוא סתם את הפרצה הזו בתקציב האחרון, אבל ייתכן שלפחות חלק מהחשדות כלפי ישראל ביתנו נוגעים להסכמים קואליציוניים משנים קודמות. בכל מקרה, אין ספק שכספי תקציב שמוקצים באופן ישיר על פי שיקול דעת של שרים וחברי כנסת הם כספים שמועדים לשחיתות. את ההרגל של הכספים הקואליציוניים חייבים לעקור מן השורש</w:t>
      </w:r>
      <w:r w:rsidRPr="00620694">
        <w:rPr>
          <w:sz w:val="20"/>
          <w:szCs w:val="20"/>
          <w:rtl/>
        </w:rPr>
        <w:t>, ובהקדם</w:t>
      </w:r>
      <w:r w:rsidRPr="00620694">
        <w:rPr>
          <w:sz w:val="20"/>
          <w:szCs w:val="20"/>
        </w:rPr>
        <w:t>.</w:t>
      </w:r>
    </w:p>
    <w:p w:rsidR="005366A8" w:rsidRPr="00620694" w:rsidRDefault="005366A8" w:rsidP="005366A8">
      <w:pPr>
        <w:rPr>
          <w:sz w:val="20"/>
          <w:szCs w:val="20"/>
        </w:rPr>
      </w:pPr>
      <w:r w:rsidRPr="00620694">
        <w:rPr>
          <w:sz w:val="20"/>
          <w:szCs w:val="20"/>
          <w:rtl/>
        </w:rPr>
        <w:t xml:space="preserve">החשודים המיידיים הללו הם ממוקדים מאוד - צמתים שבהם עובר תקציב בלי שקיפות מספקת, ועם יותר מדי גמישות ושיקול דעת. חוסר שקיפות וגמישות הם פרצה מסוכנת. נהלים הדורשים שקיפות מלאה וקריטריונים קשיחים הם אלה שעשויים למנוע שחיתות. </w:t>
      </w:r>
      <w:r w:rsidRPr="006343FE">
        <w:rPr>
          <w:sz w:val="20"/>
          <w:szCs w:val="20"/>
          <w:highlight w:val="yellow"/>
          <w:rtl/>
        </w:rPr>
        <w:t>התוצאה היא אמנם ביורוקרטיה ומשפטיזציה, כפי שהשרים מרבים להתלונן, אבל אם החשדות בפרשת ישראל ביתנו יתבררו כנכונים - משפטיזציה תהיה המחיר שניאלץ לשלם.</w:t>
      </w:r>
      <w:r w:rsidRPr="00620694">
        <w:rPr>
          <w:sz w:val="20"/>
          <w:szCs w:val="20"/>
          <w:rtl/>
        </w:rPr>
        <w:t xml:space="preserve"> זהו, כנראה, הנזק הכבד ביותר של חזרת הגנבים הפוליטיים</w:t>
      </w:r>
      <w:r w:rsidRPr="00620694">
        <w:rPr>
          <w:sz w:val="20"/>
          <w:szCs w:val="20"/>
        </w:rPr>
        <w:t>.</w:t>
      </w:r>
    </w:p>
    <w:p w:rsidR="005366A8" w:rsidRDefault="005366A8" w:rsidP="005366A8">
      <w:pPr>
        <w:rPr>
          <w:rtl/>
        </w:rPr>
      </w:pPr>
      <w:r>
        <w:rPr>
          <w:rFonts w:hint="cs"/>
          <w:rtl/>
        </w:rPr>
        <w:t>=-=</w:t>
      </w:r>
    </w:p>
    <w:p w:rsidR="005366A8" w:rsidRDefault="005366A8" w:rsidP="005366A8">
      <w:pPr>
        <w:rPr>
          <w:rtl/>
        </w:rPr>
      </w:pPr>
    </w:p>
    <w:p w:rsidR="005366A8" w:rsidRPr="00A2740D" w:rsidRDefault="005366A8" w:rsidP="005366A8">
      <w:pPr>
        <w:overflowPunct w:val="0"/>
        <w:autoSpaceDE w:val="0"/>
        <w:autoSpaceDN w:val="0"/>
        <w:adjustRightInd w:val="0"/>
        <w:ind w:right="1282"/>
        <w:jc w:val="center"/>
        <w:rPr>
          <w:rFonts w:ascii="Arial TUR" w:hAnsi="Arial TUR" w:cs="Guttman-Soncino"/>
          <w:b/>
          <w:bCs/>
          <w:spacing w:val="10"/>
          <w:rtl/>
        </w:rPr>
      </w:pPr>
      <w:r w:rsidRPr="00A2740D">
        <w:rPr>
          <w:rFonts w:ascii="Arial TUR" w:hAnsi="Arial TUR" w:cs="Guttman-Soncino" w:hint="cs"/>
          <w:b/>
          <w:bCs/>
          <w:spacing w:val="10"/>
          <w:highlight w:val="yellow"/>
          <w:rtl/>
        </w:rPr>
        <w:t>סיכום חלקי של נושא החוקה הפורמאלית</w:t>
      </w:r>
    </w:p>
    <w:p w:rsidR="005366A8" w:rsidRDefault="005366A8" w:rsidP="005366A8">
      <w:pPr>
        <w:overflowPunct w:val="0"/>
        <w:autoSpaceDE w:val="0"/>
        <w:autoSpaceDN w:val="0"/>
        <w:adjustRightInd w:val="0"/>
        <w:ind w:right="1282"/>
        <w:rPr>
          <w:rFonts w:ascii="Arial TUR" w:hAnsi="Arial TUR" w:cs="Guttman-Soncino"/>
          <w:spacing w:val="10"/>
          <w:sz w:val="20"/>
          <w:szCs w:val="20"/>
          <w:rtl/>
        </w:rPr>
      </w:pPr>
    </w:p>
    <w:p w:rsidR="005366A8" w:rsidRDefault="005366A8" w:rsidP="005366A8">
      <w:pPr>
        <w:overflowPunct w:val="0"/>
        <w:autoSpaceDE w:val="0"/>
        <w:autoSpaceDN w:val="0"/>
        <w:adjustRightInd w:val="0"/>
        <w:ind w:right="1282"/>
        <w:rPr>
          <w:rFonts w:ascii="Arial TUR" w:hAnsi="Arial TUR" w:cs="Guttman-Soncino"/>
          <w:spacing w:val="10"/>
          <w:sz w:val="20"/>
          <w:szCs w:val="20"/>
          <w:rtl/>
        </w:rPr>
      </w:pPr>
      <w:r>
        <w:rPr>
          <w:rFonts w:ascii="Arial TUR" w:hAnsi="Arial TUR" w:cs="Guttman-Soncino" w:hint="cs"/>
          <w:spacing w:val="10"/>
          <w:sz w:val="20"/>
          <w:szCs w:val="20"/>
          <w:rtl/>
        </w:rPr>
        <w:t>יתרונותיה וחסרונותיה של חוקה/ יתרונותיה וחסרונותיה של ביקורת שיפוטית חוקתית</w:t>
      </w:r>
    </w:p>
    <w:p w:rsidR="005366A8" w:rsidRDefault="005366A8" w:rsidP="005366A8">
      <w:pPr>
        <w:overflowPunct w:val="0"/>
        <w:autoSpaceDE w:val="0"/>
        <w:autoSpaceDN w:val="0"/>
        <w:adjustRightInd w:val="0"/>
        <w:ind w:right="1282"/>
        <w:rPr>
          <w:rFonts w:ascii="Arial TUR" w:hAnsi="Arial TUR" w:cs="Guttman-Soncino"/>
          <w:spacing w:val="10"/>
          <w:sz w:val="20"/>
          <w:szCs w:val="20"/>
          <w:rtl/>
        </w:rPr>
      </w:pPr>
    </w:p>
    <w:p w:rsidR="005366A8" w:rsidRDefault="005366A8" w:rsidP="005366A8">
      <w:pPr>
        <w:overflowPunct w:val="0"/>
        <w:autoSpaceDE w:val="0"/>
        <w:autoSpaceDN w:val="0"/>
        <w:adjustRightInd w:val="0"/>
        <w:ind w:right="1282"/>
        <w:rPr>
          <w:rFonts w:ascii="Arial TUR" w:hAnsi="Arial TUR" w:cs="Guttman-Soncino"/>
          <w:spacing w:val="10"/>
          <w:sz w:val="20"/>
          <w:szCs w:val="20"/>
          <w:rtl/>
        </w:rPr>
      </w:pPr>
      <w:r>
        <w:rPr>
          <w:rFonts w:ascii="Arial TUR" w:hAnsi="Arial TUR" w:cs="Guttman-Soncino" w:hint="cs"/>
          <w:spacing w:val="10"/>
          <w:sz w:val="20"/>
          <w:szCs w:val="20"/>
          <w:rtl/>
        </w:rPr>
        <w:t>על חסרון ויתרון הטמונים בחוקה האמריקאית:</w:t>
      </w:r>
    </w:p>
    <w:p w:rsidR="005366A8" w:rsidRDefault="005366A8" w:rsidP="005366A8">
      <w:pPr>
        <w:overflowPunct w:val="0"/>
        <w:autoSpaceDE w:val="0"/>
        <w:autoSpaceDN w:val="0"/>
        <w:adjustRightInd w:val="0"/>
        <w:ind w:right="1282"/>
        <w:rPr>
          <w:rFonts w:ascii="Arial TUR" w:hAnsi="Arial TUR" w:cs="Guttman-Soncino"/>
          <w:spacing w:val="10"/>
          <w:sz w:val="20"/>
          <w:szCs w:val="20"/>
          <w:rtl/>
        </w:rPr>
      </w:pPr>
    </w:p>
    <w:p w:rsidR="005366A8" w:rsidRDefault="005366A8" w:rsidP="005366A8">
      <w:pPr>
        <w:overflowPunct w:val="0"/>
        <w:autoSpaceDE w:val="0"/>
        <w:autoSpaceDN w:val="0"/>
        <w:adjustRightInd w:val="0"/>
        <w:ind w:right="1282"/>
        <w:rPr>
          <w:rFonts w:ascii="Arial TUR" w:hAnsi="Arial TUR" w:cs="Guttman-Soncino"/>
          <w:spacing w:val="10"/>
          <w:sz w:val="20"/>
          <w:szCs w:val="20"/>
          <w:rtl/>
        </w:rPr>
      </w:pPr>
      <w:r w:rsidRPr="00D117B0">
        <w:rPr>
          <w:rFonts w:ascii="Arial TUR" w:hAnsi="Arial TUR" w:cs="Guttman-Soncino" w:hint="cs"/>
          <w:spacing w:val="10"/>
          <w:sz w:val="20"/>
          <w:szCs w:val="20"/>
          <w:highlight w:val="yellow"/>
          <w:rtl/>
        </w:rPr>
        <w:t xml:space="preserve">א. התיקון השני לחוקה </w:t>
      </w:r>
      <w:r>
        <w:rPr>
          <w:rFonts w:ascii="Arial TUR" w:hAnsi="Arial TUR" w:cs="Guttman-Soncino" w:hint="cs"/>
          <w:spacing w:val="10"/>
          <w:sz w:val="20"/>
          <w:szCs w:val="20"/>
          <w:highlight w:val="yellow"/>
          <w:rtl/>
        </w:rPr>
        <w:t xml:space="preserve">[הזכות לשאת נשק] </w:t>
      </w:r>
      <w:r w:rsidRPr="00D117B0">
        <w:rPr>
          <w:rFonts w:ascii="Arial TUR" w:hAnsi="Arial TUR" w:cs="Guttman-Soncino" w:hint="cs"/>
          <w:spacing w:val="10"/>
          <w:sz w:val="20"/>
          <w:szCs w:val="20"/>
          <w:highlight w:val="yellow"/>
          <w:rtl/>
        </w:rPr>
        <w:t>והקושי הגדול לשנותו/לבטלו - אותו או כל מרכיב אחר של החוקה האמריקאית</w:t>
      </w:r>
    </w:p>
    <w:p w:rsidR="005366A8" w:rsidRDefault="005366A8" w:rsidP="005366A8">
      <w:pPr>
        <w:overflowPunct w:val="0"/>
        <w:autoSpaceDE w:val="0"/>
        <w:autoSpaceDN w:val="0"/>
        <w:adjustRightInd w:val="0"/>
        <w:ind w:right="1282"/>
        <w:rPr>
          <w:rFonts w:ascii="Arial TUR" w:hAnsi="Arial TUR" w:cs="Guttman-Soncino"/>
          <w:spacing w:val="10"/>
          <w:sz w:val="20"/>
          <w:szCs w:val="20"/>
          <w:rtl/>
        </w:rPr>
      </w:pPr>
    </w:p>
    <w:p w:rsidR="005366A8" w:rsidRPr="00990F69" w:rsidRDefault="005366A8" w:rsidP="005366A8">
      <w:pPr>
        <w:overflowPunct w:val="0"/>
        <w:autoSpaceDE w:val="0"/>
        <w:autoSpaceDN w:val="0"/>
        <w:bidi w:val="0"/>
        <w:adjustRightInd w:val="0"/>
        <w:ind w:right="1282"/>
        <w:rPr>
          <w:b/>
          <w:bCs/>
          <w:spacing w:val="10"/>
        </w:rPr>
      </w:pPr>
      <w:r>
        <w:rPr>
          <w:rFonts w:ascii="Arial TUR" w:hAnsi="Arial TUR" w:cs="Guttman-Soncino"/>
          <w:i/>
          <w:iCs/>
          <w:spacing w:val="10"/>
          <w:sz w:val="20"/>
          <w:szCs w:val="20"/>
        </w:rPr>
        <w:t xml:space="preserve">The 2nd Amendment: </w:t>
      </w:r>
      <w:r w:rsidRPr="00990F69">
        <w:rPr>
          <w:b/>
          <w:bCs/>
          <w:i/>
          <w:iCs/>
          <w:spacing w:val="10"/>
        </w:rPr>
        <w:t>"A well regulated militia, being necessary to the security of a free State, the right of the people to keep and bear arms, shall not be infringed".</w:t>
      </w:r>
    </w:p>
    <w:p w:rsidR="005366A8" w:rsidRPr="00990F69" w:rsidRDefault="005366A8" w:rsidP="005366A8">
      <w:pPr>
        <w:overflowPunct w:val="0"/>
        <w:autoSpaceDE w:val="0"/>
        <w:autoSpaceDN w:val="0"/>
        <w:adjustRightInd w:val="0"/>
        <w:ind w:right="1282"/>
        <w:rPr>
          <w:b/>
          <w:bCs/>
          <w:spacing w:val="10"/>
          <w:rtl/>
        </w:rPr>
      </w:pPr>
    </w:p>
    <w:p w:rsidR="005366A8" w:rsidRPr="00CD3C6A" w:rsidRDefault="005366A8" w:rsidP="005366A8">
      <w:pPr>
        <w:spacing w:after="120"/>
        <w:rPr>
          <w:b/>
          <w:bCs/>
          <w:i/>
          <w:iCs/>
          <w:sz w:val="28"/>
          <w:szCs w:val="28"/>
        </w:rPr>
      </w:pPr>
      <w:r w:rsidRPr="00CD3C6A">
        <w:rPr>
          <w:b/>
          <w:bCs/>
          <w:i/>
          <w:iCs/>
          <w:sz w:val="28"/>
          <w:szCs w:val="28"/>
          <w:rtl/>
        </w:rPr>
        <w:t>ארה"ב: הדיון על חוקי הנשק מתלהט</w:t>
      </w:r>
    </w:p>
    <w:p w:rsidR="005366A8" w:rsidRPr="00AC245A" w:rsidRDefault="005366A8" w:rsidP="005366A8">
      <w:pPr>
        <w:spacing w:after="120"/>
        <w:rPr>
          <w:b/>
          <w:bCs/>
        </w:rPr>
      </w:pPr>
      <w:r w:rsidRPr="00AC245A">
        <w:rPr>
          <w:b/>
          <w:bCs/>
          <w:rtl/>
        </w:rPr>
        <w:t>בארה"ב פועלות יותר חנויות נשק מסניפי מקדונלדס. בעקבות טבח הילדים בקונטיקט, מחוקקים וראשי ערים נושאים עיניים לוושינגטון לשינוי המצב</w:t>
      </w:r>
    </w:p>
    <w:p w:rsidR="005366A8" w:rsidRPr="00AC245A" w:rsidRDefault="005366A8" w:rsidP="000B7168">
      <w:pPr>
        <w:numPr>
          <w:ilvl w:val="0"/>
          <w:numId w:val="22"/>
        </w:numPr>
        <w:spacing w:after="120"/>
        <w:jc w:val="left"/>
      </w:pPr>
      <w:r w:rsidRPr="00CD3C6A">
        <w:rPr>
          <w:b/>
          <w:bCs/>
          <w:u w:val="single"/>
          <w:rtl/>
        </w:rPr>
        <w:t>חמי שלו</w:t>
      </w:r>
      <w:r w:rsidRPr="00CD3C6A">
        <w:rPr>
          <w:b/>
          <w:bCs/>
          <w:u w:val="single"/>
        </w:rPr>
        <w:t> , </w:t>
      </w:r>
      <w:hyperlink r:id="rId200" w:history="1">
        <w:r w:rsidRPr="00CD3C6A">
          <w:rPr>
            <w:rStyle w:val="Hyperlink"/>
            <w:b/>
            <w:bCs/>
            <w:rtl/>
          </w:rPr>
          <w:t>נטשה מוזגוביה</w:t>
        </w:r>
      </w:hyperlink>
      <w:r w:rsidRPr="00CD3C6A">
        <w:rPr>
          <w:b/>
          <w:bCs/>
          <w:u w:val="single"/>
        </w:rPr>
        <w:t>, </w:t>
      </w:r>
      <w:r w:rsidRPr="00CD3C6A">
        <w:rPr>
          <w:b/>
          <w:bCs/>
          <w:u w:val="single"/>
          <w:rtl/>
        </w:rPr>
        <w:t>ארה"ב</w:t>
      </w:r>
      <w:r>
        <w:rPr>
          <w:rFonts w:hint="cs"/>
          <w:rtl/>
        </w:rPr>
        <w:t xml:space="preserve">, </w:t>
      </w:r>
      <w:r w:rsidRPr="00AC245A">
        <w:t>16.12.2012</w:t>
      </w:r>
    </w:p>
    <w:p w:rsidR="005366A8" w:rsidRPr="00CD3C6A" w:rsidRDefault="005366A8" w:rsidP="005366A8">
      <w:pPr>
        <w:spacing w:after="120"/>
        <w:rPr>
          <w:rFonts w:ascii="Arial" w:hAnsi="Arial" w:cs="Arial"/>
          <w:sz w:val="18"/>
          <w:szCs w:val="18"/>
        </w:rPr>
      </w:pPr>
      <w:r w:rsidRPr="00CD3C6A">
        <w:rPr>
          <w:rFonts w:ascii="Arial" w:hAnsi="Arial" w:cs="Arial"/>
          <w:sz w:val="18"/>
          <w:szCs w:val="18"/>
          <w:rtl/>
        </w:rPr>
        <w:t>הטבח האכזרי בבית הספר היסודי בקונטיקט, במהלכו</w:t>
      </w:r>
      <w:r w:rsidRPr="00CD3C6A">
        <w:rPr>
          <w:rFonts w:ascii="Arial" w:hAnsi="Arial" w:cs="Arial"/>
          <w:sz w:val="18"/>
          <w:szCs w:val="18"/>
        </w:rPr>
        <w:t> </w:t>
      </w:r>
      <w:hyperlink r:id="rId201" w:history="1">
        <w:r w:rsidRPr="00CD3C6A">
          <w:rPr>
            <w:rStyle w:val="Hyperlink"/>
            <w:rFonts w:ascii="Arial" w:hAnsi="Arial" w:cs="Arial"/>
            <w:sz w:val="18"/>
            <w:szCs w:val="18"/>
            <w:rtl/>
          </w:rPr>
          <w:t>רצח אדם לנזה</w:t>
        </w:r>
      </w:hyperlink>
      <w:r w:rsidRPr="00CD3C6A">
        <w:rPr>
          <w:rFonts w:ascii="Arial" w:hAnsi="Arial" w:cs="Arial"/>
          <w:sz w:val="18"/>
          <w:szCs w:val="18"/>
        </w:rPr>
        <w:t xml:space="preserve"> 20 </w:t>
      </w:r>
      <w:r w:rsidRPr="00CD3C6A">
        <w:rPr>
          <w:rFonts w:ascii="Arial" w:hAnsi="Arial" w:cs="Arial"/>
          <w:sz w:val="18"/>
          <w:szCs w:val="18"/>
          <w:rtl/>
        </w:rPr>
        <w:t>ילדים, שש מורות ואת אמו שלו, הותיר את אמריקה בהלם. "ליבנו עם המשפחות והחברים שאיבדו את יקיריהם. כמו רבים מכם, גם אנחנו שואלים את עצמנו 'למה'?", אמר לניו יורק טיימס פיטר לנזה, אביו של היורה בן ה-20, "אנחנו חשים צער גדול ומנסים לפענח מה בעצם קרה</w:t>
      </w:r>
      <w:r w:rsidRPr="00CD3C6A">
        <w:rPr>
          <w:rFonts w:ascii="Arial" w:hAnsi="Arial" w:cs="Arial"/>
          <w:sz w:val="18"/>
          <w:szCs w:val="18"/>
        </w:rPr>
        <w:t>".</w:t>
      </w:r>
    </w:p>
    <w:p w:rsidR="005366A8" w:rsidRPr="00CD3C6A" w:rsidRDefault="005366A8" w:rsidP="005366A8">
      <w:pPr>
        <w:spacing w:after="120"/>
        <w:rPr>
          <w:rFonts w:ascii="Arial" w:hAnsi="Arial" w:cs="Arial"/>
          <w:sz w:val="18"/>
          <w:szCs w:val="18"/>
        </w:rPr>
      </w:pPr>
      <w:r w:rsidRPr="00CD3C6A">
        <w:rPr>
          <w:rFonts w:ascii="Arial" w:hAnsi="Arial" w:cs="Arial"/>
          <w:sz w:val="18"/>
          <w:szCs w:val="18"/>
          <w:rtl/>
        </w:rPr>
        <w:t>הירי החיה את הדיון על</w:t>
      </w:r>
      <w:r w:rsidRPr="00CD3C6A">
        <w:rPr>
          <w:rFonts w:ascii="Arial" w:hAnsi="Arial" w:cs="Arial"/>
          <w:sz w:val="18"/>
          <w:szCs w:val="18"/>
        </w:rPr>
        <w:t> </w:t>
      </w:r>
      <w:hyperlink r:id="rId202" w:history="1">
        <w:r w:rsidRPr="00CD3C6A">
          <w:rPr>
            <w:rStyle w:val="Hyperlink"/>
            <w:rFonts w:ascii="Arial" w:hAnsi="Arial" w:cs="Arial"/>
            <w:sz w:val="18"/>
            <w:szCs w:val="18"/>
            <w:rtl/>
          </w:rPr>
          <w:t>הקלות שבה ניתן להשיג נשק חם בארצות הברית</w:t>
        </w:r>
        <w:r w:rsidRPr="00CD3C6A">
          <w:rPr>
            <w:rStyle w:val="Hyperlink"/>
            <w:rFonts w:ascii="Arial" w:hAnsi="Arial" w:cs="Arial"/>
            <w:sz w:val="18"/>
            <w:szCs w:val="18"/>
          </w:rPr>
          <w:t>.</w:t>
        </w:r>
      </w:hyperlink>
      <w:r w:rsidRPr="00CD3C6A">
        <w:rPr>
          <w:rFonts w:ascii="Arial" w:hAnsi="Arial" w:cs="Arial"/>
          <w:sz w:val="18"/>
          <w:szCs w:val="18"/>
        </w:rPr>
        <w:t> </w:t>
      </w:r>
      <w:r w:rsidRPr="00CD3C6A">
        <w:rPr>
          <w:rFonts w:ascii="Arial" w:hAnsi="Arial" w:cs="Arial"/>
          <w:sz w:val="18"/>
          <w:szCs w:val="18"/>
          <w:rtl/>
        </w:rPr>
        <w:t>מחוקקים וארגונים התומכים ביתר פיקוח על כלי נשק חזרו על קריאתם רבת השנים בבקשה להקשיח את החוקים. הסנטורית דיאן פיינשטיין, מי שהיתה בין יוזמי החוק לאיסור מכירת רובי סער ב-1994 (תוקף החוק פג עשור מאוחר יותר), קראה לטפל בבעיה במושב הקרוב של הקונגרס בינואר, "כדי למנוע אבדן נוסף</w:t>
      </w:r>
      <w:r w:rsidRPr="00CD3C6A">
        <w:rPr>
          <w:rFonts w:ascii="Arial" w:hAnsi="Arial" w:cs="Arial"/>
          <w:sz w:val="18"/>
          <w:szCs w:val="18"/>
        </w:rPr>
        <w:t>".</w:t>
      </w:r>
    </w:p>
    <w:p w:rsidR="005366A8" w:rsidRPr="00CD3C6A" w:rsidRDefault="005366A8" w:rsidP="005366A8">
      <w:pPr>
        <w:spacing w:after="120"/>
        <w:rPr>
          <w:rFonts w:ascii="Arial" w:hAnsi="Arial" w:cs="Arial"/>
          <w:sz w:val="18"/>
          <w:szCs w:val="18"/>
        </w:rPr>
      </w:pPr>
      <w:r w:rsidRPr="00CD3C6A">
        <w:rPr>
          <w:rFonts w:ascii="Arial" w:hAnsi="Arial" w:cs="Arial"/>
          <w:sz w:val="18"/>
          <w:szCs w:val="18"/>
          <w:rtl/>
        </w:rPr>
        <w:t>באמריקה יש היום כ-350 מיליון כלי ירייה, מאקדחים פשוטים ועד לרובי סער קטלניים, אחד לכל תושב; בכל שנה נוספים למאגר הזה כמעט 6 מיליון כלי נשק חדשים מתוצרת מקומית, ועוד 3 מיליון מיבוא; יש באמריקה יותר מ-5,000 יצרני נשק מורשים ו-130 אלף סוחרי נשק מוסמכים, ומתוכם 51 אלף חנויות קמעוניות, לעומת 35 אלף מכולות וחנויות לממכר מזון ו-14 אלף סניפי מקדונלדס, שלמבקרים נדמה שהם מצויים בכל פינה; ובאמריקה עדיין נרצחים בירייה 32 איש מדי יום ביומו, שיעור הגבוה פי שמונה מהממוצע במדינות דומות בעולם</w:t>
      </w:r>
      <w:r w:rsidRPr="00CD3C6A">
        <w:rPr>
          <w:rFonts w:ascii="Arial" w:hAnsi="Arial" w:cs="Arial"/>
          <w:sz w:val="18"/>
          <w:szCs w:val="18"/>
        </w:rPr>
        <w:t>. </w:t>
      </w:r>
    </w:p>
    <w:p w:rsidR="005366A8" w:rsidRPr="00CD3C6A" w:rsidRDefault="005366A8" w:rsidP="005366A8">
      <w:pPr>
        <w:spacing w:after="120"/>
        <w:rPr>
          <w:rFonts w:ascii="Arial" w:hAnsi="Arial" w:cs="Arial"/>
          <w:sz w:val="18"/>
          <w:szCs w:val="18"/>
        </w:rPr>
      </w:pPr>
      <w:r w:rsidRPr="00CD3C6A">
        <w:rPr>
          <w:rFonts w:ascii="Arial" w:hAnsi="Arial" w:cs="Arial"/>
          <w:sz w:val="18"/>
          <w:szCs w:val="18"/>
          <w:rtl/>
        </w:rPr>
        <w:t>הבית הלבן הודיע שנשיא ארצות הברית</w:t>
      </w:r>
      <w:r w:rsidRPr="00CD3C6A">
        <w:rPr>
          <w:rFonts w:ascii="Arial" w:hAnsi="Arial" w:cs="Arial"/>
          <w:sz w:val="18"/>
          <w:szCs w:val="18"/>
        </w:rPr>
        <w:t>, </w:t>
      </w:r>
      <w:hyperlink r:id="rId203" w:history="1">
        <w:r w:rsidRPr="00CD3C6A">
          <w:rPr>
            <w:rStyle w:val="Hyperlink"/>
            <w:rFonts w:ascii="Arial" w:hAnsi="Arial" w:cs="Arial"/>
            <w:sz w:val="18"/>
            <w:szCs w:val="18"/>
            <w:rtl/>
          </w:rPr>
          <w:t>ברק אובמה</w:t>
        </w:r>
        <w:r w:rsidRPr="00CD3C6A">
          <w:rPr>
            <w:rStyle w:val="Hyperlink"/>
            <w:rFonts w:ascii="Arial" w:hAnsi="Arial" w:cs="Arial"/>
            <w:sz w:val="18"/>
            <w:szCs w:val="18"/>
          </w:rPr>
          <w:t>,</w:t>
        </w:r>
      </w:hyperlink>
      <w:r w:rsidRPr="00CD3C6A">
        <w:rPr>
          <w:rFonts w:ascii="Arial" w:hAnsi="Arial" w:cs="Arial"/>
          <w:sz w:val="18"/>
          <w:szCs w:val="18"/>
        </w:rPr>
        <w:t> </w:t>
      </w:r>
      <w:r w:rsidRPr="00CD3C6A">
        <w:rPr>
          <w:rFonts w:ascii="Arial" w:hAnsi="Arial" w:cs="Arial"/>
          <w:sz w:val="18"/>
          <w:szCs w:val="18"/>
          <w:rtl/>
        </w:rPr>
        <w:t>יבקר בניוטאון ובבית הספר "סנדי הוק" ביום ראשון בערב. הוא צפוי להיפגש עם משפחות הקורבנות ולשאת דברים במקום. מאז כניסתו לתפקיד, אובמה לא יזם צעדים להגברת הפיקוח על כלי הנשק, אך בדבריו בעקבות הטבח ביום שישי הוא קרא "לנקוט בפעולה משמעותית" כדי להבטיח שטרגדיות שכאלו לא יישנו</w:t>
      </w:r>
      <w:r w:rsidRPr="00CD3C6A">
        <w:rPr>
          <w:rFonts w:ascii="Arial" w:hAnsi="Arial" w:cs="Arial"/>
          <w:sz w:val="18"/>
          <w:szCs w:val="18"/>
        </w:rPr>
        <w:t>.</w:t>
      </w:r>
    </w:p>
    <w:p w:rsidR="005366A8" w:rsidRPr="00CD3C6A" w:rsidRDefault="005366A8" w:rsidP="005366A8">
      <w:pPr>
        <w:spacing w:after="120"/>
        <w:rPr>
          <w:rFonts w:ascii="Arial" w:hAnsi="Arial" w:cs="Arial"/>
          <w:sz w:val="18"/>
          <w:szCs w:val="18"/>
        </w:rPr>
      </w:pPr>
      <w:r w:rsidRPr="00CD3C6A">
        <w:rPr>
          <w:rFonts w:ascii="Arial" w:hAnsi="Arial" w:cs="Arial"/>
          <w:sz w:val="18"/>
          <w:szCs w:val="18"/>
          <w:rtl/>
        </w:rPr>
        <w:t>שעות ספורות לפני הטרגדיה בניוטאון, בתזמון אירוני עד כאב, הרוב הרפובליקאי בבית המחוקקים של מישיגן מצא לנכון לאשר שורה של הקלות גורפות בחוקי אחזקת הנשק במדינה. הם צמצמו את היקף הבדיקות הנדרשות כדי לרכוש אקדח, קיצרו את הזמן הנדרש לקבלת היתר לשאת נשק וביטלו את האיסור על הכנסת כלי נשק מוסתרים לאצטדיונים, בתי חולים, בתי תפילה, מעונות סטודנטים, בתי ספר, גני ילדים וגם, שלא יקופחו, מעונות יום לפעוטות. "זה מגביר את הביטחון", טען אחד המחוקקים</w:t>
      </w:r>
      <w:r w:rsidRPr="00CD3C6A">
        <w:rPr>
          <w:rFonts w:ascii="Arial" w:hAnsi="Arial" w:cs="Arial"/>
          <w:sz w:val="18"/>
          <w:szCs w:val="18"/>
        </w:rPr>
        <w:t>.</w:t>
      </w:r>
    </w:p>
    <w:p w:rsidR="005366A8" w:rsidRPr="00CD3C6A" w:rsidRDefault="005366A8" w:rsidP="005366A8">
      <w:pPr>
        <w:spacing w:after="120"/>
        <w:rPr>
          <w:rFonts w:ascii="Arial" w:hAnsi="Arial" w:cs="Arial"/>
          <w:sz w:val="18"/>
          <w:szCs w:val="18"/>
        </w:rPr>
      </w:pPr>
      <w:r w:rsidRPr="00CD3C6A">
        <w:rPr>
          <w:rFonts w:ascii="Arial" w:hAnsi="Arial" w:cs="Arial"/>
          <w:sz w:val="18"/>
          <w:szCs w:val="18"/>
          <w:rtl/>
        </w:rPr>
        <w:t>עבור רפובליקאים שמרנים רבים, הזכות להחזיק נשק היא מצווה מקודשת, כמעט דתית, הצהרת זהות מתריסה ואותנטית כנגד הקדמה הליברלית הדקדנטית והמעורבות הממשלתית המגונה. הם מסתמכים על התיקון השני לחוקה האמריקאית משנת 1791, שחוקק בהקשר של מרד הקולוניות האמריקאיות נגד השלטון הבריטי, המעגן את זכות הציבור "להקים מיליציה מוסדרת היטב, להחזיק ולשאת בנשק</w:t>
      </w:r>
      <w:r w:rsidRPr="00CD3C6A">
        <w:rPr>
          <w:rFonts w:ascii="Arial" w:hAnsi="Arial" w:cs="Arial"/>
          <w:sz w:val="18"/>
          <w:szCs w:val="18"/>
        </w:rPr>
        <w:t>".</w:t>
      </w:r>
    </w:p>
    <w:p w:rsidR="005366A8" w:rsidRPr="00CD3C6A" w:rsidRDefault="005366A8" w:rsidP="005366A8">
      <w:pPr>
        <w:spacing w:after="120"/>
        <w:rPr>
          <w:rFonts w:ascii="Arial" w:hAnsi="Arial" w:cs="Arial"/>
          <w:sz w:val="18"/>
          <w:szCs w:val="18"/>
        </w:rPr>
      </w:pPr>
      <w:r w:rsidRPr="00CD3C6A">
        <w:rPr>
          <w:rFonts w:ascii="Arial" w:hAnsi="Arial" w:cs="Arial"/>
          <w:sz w:val="18"/>
          <w:szCs w:val="18"/>
          <w:rtl/>
        </w:rPr>
        <w:t>התומכים בחירות להחזיק נשק  מונעים כל ניסיון משמעותי לשינוי המצב החוקי באמצעות שליטתם בבתי המחוקקים של מדינות רבות, שהסכמתן נדרשת לתיקון החוקה, ובאמצעות לובי חזק, מאורגן ועתיר ממון הפועל לבחירתם של חסידי כלי המשחית, כולם רפובליקאים, ולתבוסתם של המתנגדים, רובם דמוקרטים</w:t>
      </w:r>
      <w:r w:rsidRPr="00CD3C6A">
        <w:rPr>
          <w:rFonts w:ascii="Arial" w:hAnsi="Arial" w:cs="Arial"/>
          <w:sz w:val="18"/>
          <w:szCs w:val="18"/>
        </w:rPr>
        <w:t>.</w:t>
      </w:r>
    </w:p>
    <w:p w:rsidR="005366A8" w:rsidRPr="00CD3C6A" w:rsidRDefault="005366A8" w:rsidP="005366A8">
      <w:pPr>
        <w:spacing w:after="120"/>
        <w:rPr>
          <w:rFonts w:ascii="Arial" w:hAnsi="Arial" w:cs="Arial"/>
          <w:sz w:val="18"/>
          <w:szCs w:val="18"/>
        </w:rPr>
      </w:pPr>
      <w:r w:rsidRPr="00CD3C6A">
        <w:rPr>
          <w:rFonts w:ascii="Arial" w:hAnsi="Arial" w:cs="Arial"/>
          <w:sz w:val="18"/>
          <w:szCs w:val="18"/>
          <w:rtl/>
        </w:rPr>
        <w:t>ראש עיריית ניו יורק, מייקל בלומברג, העומד בראש הקבוצה "ראשי ערים נגד רובים לא חוקיים" מתח אתמול ביקורת על התמהמהות הבית הלבן בטיפול בנושא. "לקרוא לפעולה משמעותית זה לא מספיק, שמענו את זה גם קודם. מה שלא ראינו זה מנהיגות, לא מהבית הלבן ולא מהקונגרס. העניין חייב להסתיים היום". רם עמנואל, ראש עיריית שיקגו, הצטרף לדברים והדגיש כי יש לשנות את חוקי הנשק בדחיפות</w:t>
      </w:r>
      <w:r w:rsidRPr="00CD3C6A">
        <w:rPr>
          <w:rFonts w:ascii="Arial" w:hAnsi="Arial" w:cs="Arial"/>
          <w:sz w:val="18"/>
          <w:szCs w:val="18"/>
        </w:rPr>
        <w:t>.</w:t>
      </w:r>
    </w:p>
    <w:p w:rsidR="005366A8" w:rsidRPr="00CD3C6A" w:rsidRDefault="005366A8" w:rsidP="005366A8">
      <w:pPr>
        <w:spacing w:after="120"/>
        <w:rPr>
          <w:rFonts w:ascii="Arial" w:hAnsi="Arial" w:cs="Arial"/>
          <w:sz w:val="18"/>
          <w:szCs w:val="18"/>
        </w:rPr>
      </w:pPr>
      <w:r w:rsidRPr="00CD3C6A">
        <w:rPr>
          <w:rFonts w:ascii="Arial" w:hAnsi="Arial" w:cs="Arial"/>
          <w:sz w:val="18"/>
          <w:szCs w:val="18"/>
          <w:rtl/>
        </w:rPr>
        <w:t>הקריאה הגיעה גם לדפי העיתונות. במאמר שפורסם תחת הכותרת "הפעם זה חייב להיות שונה", קרא ה"וושינגטון פוסט" לשים קץ להזדחלות הפוליטית בשאלת הנשק. "מספיק. הביישנות פשתה בפוליטיקה האמריקאית, והאופורטוניזם משתק אותה בכל פעם שעולה הנושא לדיון. באף מדינה אחרת בעולם לא מתרחשים מעשי טבח שכאלו באופן קבוע כל כך. באף מדינה אחרת אין לאזרחים גישה נוחה כל כך לנשק חם</w:t>
      </w:r>
      <w:r w:rsidRPr="00CD3C6A">
        <w:rPr>
          <w:rFonts w:ascii="Arial" w:hAnsi="Arial" w:cs="Arial"/>
          <w:sz w:val="18"/>
          <w:szCs w:val="18"/>
        </w:rPr>
        <w:t>".</w:t>
      </w:r>
    </w:p>
    <w:p w:rsidR="005366A8" w:rsidRPr="00CD3C6A" w:rsidRDefault="005366A8" w:rsidP="005366A8">
      <w:pPr>
        <w:spacing w:after="120"/>
        <w:rPr>
          <w:rFonts w:ascii="Arial" w:hAnsi="Arial" w:cs="Arial"/>
          <w:sz w:val="18"/>
          <w:szCs w:val="18"/>
        </w:rPr>
      </w:pPr>
      <w:r w:rsidRPr="00CD3C6A">
        <w:rPr>
          <w:rFonts w:ascii="Arial" w:hAnsi="Arial" w:cs="Arial"/>
          <w:sz w:val="18"/>
          <w:szCs w:val="18"/>
          <w:rtl/>
        </w:rPr>
        <w:t>הרפובליקאים, כהרגלם, טענו שנקודת התורפה היא גישת אנשים הסובלים מבעיות נפשיות לנשק חם, ולא כלי הנשק עצמם. השמרנים הציפו את הרשתות החבריות בסיפורי אימים על תקופות חשוכות, "היטלר תחילה לקח נשק מהאזרחים ואז התחיל לחסל יהודים ואחרים". עוד נכתב שהממשלה עלולה לנצל את הטבח כדי להחרים נשק מהאזרחים, וזו תהיה רק תחילתה של ההידרדרות להגבלת זכויות האזרח האחרות. היו גם שתהו אם הסיפור היה נגמר אחרת אם המורים בבית הספר היו חמושים ומוכנים להשיב אש</w:t>
      </w:r>
      <w:r w:rsidRPr="00CD3C6A">
        <w:rPr>
          <w:rFonts w:ascii="Arial" w:hAnsi="Arial" w:cs="Arial"/>
          <w:sz w:val="18"/>
          <w:szCs w:val="18"/>
        </w:rPr>
        <w:t>.</w:t>
      </w:r>
    </w:p>
    <w:p w:rsidR="005366A8" w:rsidRPr="00CD3C6A" w:rsidRDefault="005366A8" w:rsidP="005366A8">
      <w:pPr>
        <w:spacing w:after="120"/>
        <w:rPr>
          <w:rFonts w:ascii="Arial" w:hAnsi="Arial" w:cs="Arial"/>
          <w:sz w:val="18"/>
          <w:szCs w:val="18"/>
        </w:rPr>
      </w:pPr>
      <w:r w:rsidRPr="00CD3C6A">
        <w:rPr>
          <w:rFonts w:ascii="Arial" w:hAnsi="Arial" w:cs="Arial"/>
          <w:sz w:val="18"/>
          <w:szCs w:val="18"/>
          <w:rtl/>
        </w:rPr>
        <w:t>מתנגדי הנשק תמהים מה עוד צריך לקרות כדי לשנות את הסטטוס קוו האמריקאי. היו שקראו לקיים "מצעד ילדים" בוושינגטון, במטרה להפעיל לחץ על המחוקקים נגד שדולת הרובאים</w:t>
      </w:r>
      <w:r w:rsidRPr="00CD3C6A">
        <w:rPr>
          <w:rFonts w:ascii="Arial" w:hAnsi="Arial" w:cs="Arial"/>
          <w:sz w:val="18"/>
          <w:szCs w:val="18"/>
        </w:rPr>
        <w:t>.</w:t>
      </w:r>
    </w:p>
    <w:p w:rsidR="005366A8" w:rsidRPr="00CD3C6A" w:rsidRDefault="005366A8" w:rsidP="005366A8">
      <w:pPr>
        <w:spacing w:after="120"/>
        <w:rPr>
          <w:rFonts w:ascii="Arial" w:hAnsi="Arial" w:cs="Arial"/>
          <w:sz w:val="18"/>
          <w:szCs w:val="18"/>
        </w:rPr>
      </w:pPr>
      <w:r w:rsidRPr="00CD3C6A">
        <w:rPr>
          <w:rFonts w:ascii="Arial" w:hAnsi="Arial" w:cs="Arial"/>
          <w:sz w:val="18"/>
          <w:szCs w:val="18"/>
          <w:rtl/>
        </w:rPr>
        <w:t>הטבח בבית הספר התיכון בקולומביין ב-1999 גרם לשינוי בדעת הקהל לטובת הגבלת זכויות אחזקת הנשק, אך התמורות לא הגיעו לגבעת הקפיטול. גם ההתנקשות בחייה של חברת הקונגרס גבריאל גיפורדס לא שינתה דבר. הטבח באולם הקולנוע באורורה שבקולורדו היה קרוב מדי לבחירות, והבית הלבן הבהיר אז שהנשיא מצדד באכיפת החוקים הקיימים, לא ביוזמות חדשות. וגם אחרי רצח הילדים, חברי הקונגרס הדמוקרטים לא ממהרים להסתכן בחקיקה מהסוג הזה, מחשש לעימות עם איגוד הרובאים עתיר המשאבים וההשפעה</w:t>
      </w:r>
      <w:r w:rsidRPr="00CD3C6A">
        <w:rPr>
          <w:rFonts w:ascii="Arial" w:hAnsi="Arial" w:cs="Arial"/>
          <w:sz w:val="18"/>
          <w:szCs w:val="18"/>
        </w:rPr>
        <w:t>.</w:t>
      </w:r>
    </w:p>
    <w:p w:rsidR="005366A8" w:rsidRDefault="005366A8" w:rsidP="005366A8">
      <w:pPr>
        <w:spacing w:after="120"/>
        <w:rPr>
          <w:rtl/>
        </w:rPr>
      </w:pPr>
    </w:p>
    <w:p w:rsidR="005366A8" w:rsidRPr="00CD3C6A" w:rsidRDefault="005366A8" w:rsidP="005366A8">
      <w:pPr>
        <w:spacing w:after="120"/>
        <w:outlineLvl w:val="1"/>
        <w:rPr>
          <w:b/>
          <w:bCs/>
          <w:i/>
          <w:iCs/>
          <w:color w:val="000000"/>
          <w:kern w:val="36"/>
          <w:sz w:val="28"/>
          <w:szCs w:val="28"/>
        </w:rPr>
      </w:pPr>
      <w:r w:rsidRPr="00CD3C6A">
        <w:rPr>
          <w:b/>
          <w:bCs/>
          <w:i/>
          <w:iCs/>
          <w:color w:val="000000"/>
          <w:kern w:val="36"/>
          <w:sz w:val="28"/>
          <w:szCs w:val="28"/>
          <w:rtl/>
        </w:rPr>
        <w:t xml:space="preserve">בארה"ב תוהים כיצד ניתן היה לעצור את הרוצח מקולורדו </w:t>
      </w:r>
    </w:p>
    <w:p w:rsidR="005366A8" w:rsidRPr="00CD3C6A" w:rsidRDefault="005366A8" w:rsidP="005366A8">
      <w:pPr>
        <w:spacing w:after="120"/>
        <w:outlineLvl w:val="2"/>
        <w:rPr>
          <w:b/>
          <w:bCs/>
          <w:color w:val="000000"/>
          <w:rtl/>
        </w:rPr>
      </w:pPr>
      <w:r w:rsidRPr="00CD3C6A">
        <w:rPr>
          <w:b/>
          <w:bCs/>
          <w:color w:val="000000"/>
          <w:rtl/>
        </w:rPr>
        <w:t>הרוצח נתפס, אבל אמריקה מחפשת אשמים ובוחנת שוב את שוק כלי הנשק המתירני שלה. בימין מאשימים את הריחוק מהדת, בשמאל קוראים להחמיר החקיקה</w:t>
      </w:r>
    </w:p>
    <w:p w:rsidR="005366A8" w:rsidRPr="00CD3C6A" w:rsidRDefault="005D7968" w:rsidP="000B7168">
      <w:pPr>
        <w:numPr>
          <w:ilvl w:val="0"/>
          <w:numId w:val="19"/>
        </w:numPr>
        <w:spacing w:after="120"/>
        <w:ind w:left="-15" w:right="630"/>
        <w:jc w:val="left"/>
        <w:rPr>
          <w:color w:val="525252"/>
          <w:sz w:val="21"/>
          <w:szCs w:val="21"/>
          <w:rtl/>
        </w:rPr>
      </w:pPr>
      <w:hyperlink r:id="rId204" w:history="1">
        <w:r w:rsidR="005366A8" w:rsidRPr="00CD3C6A">
          <w:rPr>
            <w:b/>
            <w:bCs/>
            <w:color w:val="000000"/>
            <w:szCs w:val="21"/>
            <w:rtl/>
          </w:rPr>
          <w:t>ליטל לוין</w:t>
        </w:r>
      </w:hyperlink>
      <w:r w:rsidR="005366A8" w:rsidRPr="00CD3C6A">
        <w:rPr>
          <w:b/>
          <w:bCs/>
          <w:color w:val="525252"/>
          <w:sz w:val="21"/>
          <w:szCs w:val="21"/>
          <w:u w:val="single"/>
          <w:rtl/>
        </w:rPr>
        <w:t xml:space="preserve">, </w:t>
      </w:r>
      <w:r w:rsidR="005366A8" w:rsidRPr="00CD3C6A">
        <w:rPr>
          <w:color w:val="525252"/>
          <w:sz w:val="21"/>
          <w:szCs w:val="21"/>
          <w:rtl/>
        </w:rPr>
        <w:t xml:space="preserve">22.07.2012 </w:t>
      </w:r>
    </w:p>
    <w:p w:rsidR="005366A8" w:rsidRPr="001A3876" w:rsidRDefault="005D7968" w:rsidP="005366A8">
      <w:pPr>
        <w:spacing w:after="120"/>
        <w:rPr>
          <w:rFonts w:ascii="Arial" w:hAnsi="Arial" w:cs="Arial"/>
          <w:vanish/>
          <w:color w:val="000000"/>
          <w:sz w:val="18"/>
          <w:szCs w:val="18"/>
          <w:rtl/>
        </w:rPr>
      </w:pPr>
      <w:hyperlink r:id="rId205" w:history="1">
        <w:r w:rsidR="005366A8" w:rsidRPr="001A3876">
          <w:rPr>
            <w:rFonts w:ascii="Arial" w:hAnsi="Arial" w:cs="Arial"/>
            <w:vanish/>
            <w:color w:val="000000"/>
            <w:sz w:val="18"/>
            <w:szCs w:val="18"/>
            <w:rtl/>
          </w:rPr>
          <w:t xml:space="preserve">הורד עכשיו ללא תשלום </w:t>
        </w:r>
        <w:r w:rsidR="005366A8" w:rsidRPr="001A3876">
          <w:rPr>
            <w:rFonts w:ascii="Arial" w:hAnsi="Arial" w:cs="Arial"/>
            <w:b/>
            <w:bCs/>
            <w:vanish/>
            <w:color w:val="000000"/>
            <w:sz w:val="18"/>
            <w:szCs w:val="18"/>
            <w:rtl/>
          </w:rPr>
          <w:t xml:space="preserve">הארץ </w:t>
        </w:r>
        <w:r w:rsidR="005366A8" w:rsidRPr="001A3876">
          <w:rPr>
            <w:rFonts w:ascii="Arial" w:hAnsi="Arial" w:cs="Arial"/>
            <w:b/>
            <w:bCs/>
            <w:vanish/>
            <w:color w:val="000000"/>
            <w:sz w:val="18"/>
            <w:szCs w:val="18"/>
          </w:rPr>
          <w:t>iPhone</w:t>
        </w:r>
      </w:hyperlink>
      <w:r w:rsidR="005366A8" w:rsidRPr="001A3876">
        <w:rPr>
          <w:rFonts w:ascii="Arial" w:hAnsi="Arial" w:cs="Arial"/>
          <w:vanish/>
          <w:color w:val="000000"/>
          <w:sz w:val="18"/>
          <w:szCs w:val="18"/>
          <w:rtl/>
        </w:rPr>
        <w:t xml:space="preserve"> </w:t>
      </w:r>
    </w:p>
    <w:p w:rsidR="005366A8" w:rsidRPr="001A3876" w:rsidRDefault="005D7968" w:rsidP="005366A8">
      <w:pPr>
        <w:spacing w:after="120"/>
        <w:rPr>
          <w:rFonts w:ascii="Arial" w:hAnsi="Arial" w:cs="Arial"/>
          <w:vanish/>
          <w:color w:val="000000"/>
          <w:sz w:val="18"/>
          <w:szCs w:val="18"/>
          <w:rtl/>
        </w:rPr>
      </w:pPr>
      <w:hyperlink r:id="rId206" w:history="1">
        <w:r w:rsidR="005366A8" w:rsidRPr="001A3876">
          <w:rPr>
            <w:rFonts w:ascii="Arial" w:hAnsi="Arial" w:cs="Arial"/>
            <w:vanish/>
            <w:color w:val="000000"/>
            <w:sz w:val="18"/>
            <w:szCs w:val="18"/>
            <w:rtl/>
          </w:rPr>
          <w:t xml:space="preserve">הורד עכשיו ללא תשלום </w:t>
        </w:r>
        <w:r w:rsidR="005366A8" w:rsidRPr="001A3876">
          <w:rPr>
            <w:rFonts w:ascii="Arial" w:hAnsi="Arial" w:cs="Arial"/>
            <w:b/>
            <w:bCs/>
            <w:vanish/>
            <w:color w:val="000000"/>
            <w:sz w:val="18"/>
            <w:szCs w:val="18"/>
            <w:rtl/>
          </w:rPr>
          <w:t xml:space="preserve">הארץ </w:t>
        </w:r>
        <w:r w:rsidR="005366A8" w:rsidRPr="001A3876">
          <w:rPr>
            <w:rFonts w:ascii="Arial" w:hAnsi="Arial" w:cs="Arial"/>
            <w:b/>
            <w:bCs/>
            <w:vanish/>
            <w:color w:val="000000"/>
            <w:sz w:val="18"/>
            <w:szCs w:val="18"/>
          </w:rPr>
          <w:t>android</w:t>
        </w:r>
      </w:hyperlink>
      <w:r w:rsidR="005366A8" w:rsidRPr="001A3876">
        <w:rPr>
          <w:rFonts w:ascii="Arial" w:hAnsi="Arial" w:cs="Arial"/>
          <w:vanish/>
          <w:color w:val="000000"/>
          <w:sz w:val="18"/>
          <w:szCs w:val="18"/>
          <w:rtl/>
        </w:rPr>
        <w:t xml:space="preserve"> </w:t>
      </w:r>
    </w:p>
    <w:p w:rsidR="005366A8" w:rsidRPr="001A3876" w:rsidRDefault="005D7968" w:rsidP="000B7168">
      <w:pPr>
        <w:numPr>
          <w:ilvl w:val="0"/>
          <w:numId w:val="20"/>
        </w:numPr>
        <w:spacing w:after="120"/>
        <w:jc w:val="left"/>
        <w:rPr>
          <w:rFonts w:ascii="Arial" w:hAnsi="Arial" w:cs="Arial"/>
          <w:vanish/>
          <w:color w:val="000000"/>
          <w:sz w:val="18"/>
          <w:szCs w:val="18"/>
          <w:rtl/>
        </w:rPr>
      </w:pPr>
      <w:hyperlink r:id="rId207" w:anchor="commentsForm-1782574" w:history="1">
        <w:r w:rsidR="005366A8" w:rsidRPr="001A3876">
          <w:rPr>
            <w:rFonts w:ascii="Arial" w:hAnsi="Arial" w:cs="Arial"/>
            <w:vanish/>
            <w:color w:val="000000"/>
            <w:sz w:val="18"/>
            <w:szCs w:val="18"/>
            <w:rtl/>
          </w:rPr>
          <w:t xml:space="preserve">לתגובות </w:t>
        </w:r>
      </w:hyperlink>
    </w:p>
    <w:p w:rsidR="005366A8" w:rsidRPr="001A3876" w:rsidRDefault="005D7968" w:rsidP="000B7168">
      <w:pPr>
        <w:numPr>
          <w:ilvl w:val="0"/>
          <w:numId w:val="20"/>
        </w:numPr>
        <w:spacing w:after="120"/>
        <w:jc w:val="left"/>
        <w:rPr>
          <w:rFonts w:ascii="Arial" w:hAnsi="Arial" w:cs="Arial"/>
          <w:vanish/>
          <w:color w:val="000000"/>
          <w:sz w:val="18"/>
          <w:szCs w:val="18"/>
          <w:rtl/>
        </w:rPr>
      </w:pPr>
      <w:hyperlink r:id="rId208" w:tgtFrame="_blank" w:history="1">
        <w:r w:rsidR="005366A8" w:rsidRPr="001A3876">
          <w:rPr>
            <w:rFonts w:ascii="Arial" w:hAnsi="Arial" w:cs="Arial"/>
            <w:vanish/>
            <w:color w:val="000000"/>
            <w:sz w:val="18"/>
            <w:szCs w:val="18"/>
            <w:rtl/>
          </w:rPr>
          <w:t>הדפס</w:t>
        </w:r>
      </w:hyperlink>
      <w:r w:rsidR="005366A8" w:rsidRPr="001A3876">
        <w:rPr>
          <w:rFonts w:ascii="Arial" w:hAnsi="Arial" w:cs="Arial"/>
          <w:vanish/>
          <w:color w:val="000000"/>
          <w:sz w:val="18"/>
          <w:szCs w:val="18"/>
          <w:rtl/>
        </w:rPr>
        <w:t xml:space="preserve"> </w:t>
      </w:r>
    </w:p>
    <w:p w:rsidR="005366A8" w:rsidRPr="001A3876" w:rsidRDefault="005366A8" w:rsidP="000B7168">
      <w:pPr>
        <w:numPr>
          <w:ilvl w:val="0"/>
          <w:numId w:val="20"/>
        </w:numPr>
        <w:spacing w:after="120"/>
        <w:jc w:val="left"/>
        <w:rPr>
          <w:rFonts w:ascii="Arial" w:hAnsi="Arial" w:cs="Arial"/>
          <w:vanish/>
          <w:color w:val="000000"/>
          <w:sz w:val="18"/>
          <w:szCs w:val="18"/>
          <w:rtl/>
        </w:rPr>
      </w:pPr>
      <w:r>
        <w:rPr>
          <w:rFonts w:ascii="Arial" w:hAnsi="Arial" w:cs="Arial"/>
          <w:noProof/>
          <w:vanish/>
          <w:color w:val="000000"/>
          <w:sz w:val="18"/>
          <w:szCs w:val="18"/>
        </w:rPr>
        <w:drawing>
          <wp:inline distT="0" distB="0" distL="0" distR="0">
            <wp:extent cx="155575" cy="155575"/>
            <wp:effectExtent l="19050" t="0" r="0" b="0"/>
            <wp:docPr id="4" name="Picture 3" descr="http://www.haaretz.co.il/images/grey_ajax_loader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aaretz.co.il/images/grey_ajax_loader_small.gif"/>
                    <pic:cNvPicPr>
                      <a:picLocks noChangeAspect="1" noChangeArrowheads="1"/>
                    </pic:cNvPicPr>
                  </pic:nvPicPr>
                  <pic:blipFill>
                    <a:blip r:embed="rId209" cstate="print"/>
                    <a:srcRect/>
                    <a:stretch>
                      <a:fillRect/>
                    </a:stretch>
                  </pic:blipFill>
                  <pic:spPr bwMode="auto">
                    <a:xfrm>
                      <a:off x="0" y="0"/>
                      <a:ext cx="155575" cy="155575"/>
                    </a:xfrm>
                    <a:prstGeom prst="rect">
                      <a:avLst/>
                    </a:prstGeom>
                    <a:noFill/>
                    <a:ln w="9525">
                      <a:noFill/>
                      <a:miter lim="800000"/>
                      <a:headEnd/>
                      <a:tailEnd/>
                    </a:ln>
                  </pic:spPr>
                </pic:pic>
              </a:graphicData>
            </a:graphic>
          </wp:inline>
        </w:drawing>
      </w:r>
    </w:p>
    <w:p w:rsidR="005366A8" w:rsidRPr="001A3876" w:rsidRDefault="005366A8" w:rsidP="005366A8">
      <w:pPr>
        <w:spacing w:after="120"/>
        <w:ind w:left="720"/>
        <w:rPr>
          <w:rFonts w:ascii="Arial" w:hAnsi="Arial" w:cs="Arial"/>
          <w:vanish/>
          <w:color w:val="000000"/>
          <w:sz w:val="18"/>
          <w:szCs w:val="18"/>
          <w:rtl/>
        </w:rPr>
      </w:pPr>
    </w:p>
    <w:p w:rsidR="005366A8" w:rsidRPr="001A3876" w:rsidRDefault="005366A8" w:rsidP="005366A8">
      <w:pPr>
        <w:spacing w:after="120"/>
        <w:rPr>
          <w:rFonts w:ascii="Arial" w:hAnsi="Arial" w:cs="Arial"/>
          <w:color w:val="000000"/>
          <w:sz w:val="18"/>
          <w:szCs w:val="18"/>
          <w:rtl/>
        </w:rPr>
      </w:pPr>
      <w:r w:rsidRPr="001A3876">
        <w:rPr>
          <w:rFonts w:ascii="Arial" w:hAnsi="Arial" w:cs="Arial"/>
          <w:color w:val="000000"/>
          <w:sz w:val="18"/>
          <w:szCs w:val="18"/>
          <w:rtl/>
        </w:rPr>
        <w:t>פרטים מ</w:t>
      </w:r>
      <w:hyperlink r:id="rId210" w:history="1">
        <w:r w:rsidRPr="001A3876">
          <w:rPr>
            <w:rFonts w:ascii="Arial" w:hAnsi="Arial" w:cs="Arial"/>
            <w:color w:val="000000"/>
            <w:sz w:val="18"/>
            <w:szCs w:val="18"/>
            <w:rtl/>
          </w:rPr>
          <w:t>הטבח בבית הקולנוע באורורה</w:t>
        </w:r>
      </w:hyperlink>
      <w:r w:rsidRPr="001A3876">
        <w:rPr>
          <w:rFonts w:ascii="Arial" w:hAnsi="Arial" w:cs="Arial"/>
          <w:color w:val="000000"/>
          <w:sz w:val="18"/>
          <w:szCs w:val="18"/>
          <w:rtl/>
        </w:rPr>
        <w:t xml:space="preserve">, קולורדו בערב שישי הלכו והתגלו במהלך סוף השבוע. אלכס סאליוון נרצח ביום הולדתו ה-27, יומיים לפני יום השנה הראשון לנישואיו. אשלי מוזר-סאליוון פצועה אנושות, ואינה יודעת שבתה ורוניקה בת ה-6 אינה בחיים. קורבן אחר, ג'סיקה גאווי, עיתונאית ספורט בת 24, סיפרה לפני כמה שבועות </w:t>
      </w:r>
      <w:hyperlink r:id="rId211" w:history="1">
        <w:r w:rsidRPr="001A3876">
          <w:rPr>
            <w:rFonts w:ascii="Arial" w:hAnsi="Arial" w:cs="Arial"/>
            <w:color w:val="000000"/>
            <w:sz w:val="18"/>
            <w:szCs w:val="18"/>
            <w:rtl/>
          </w:rPr>
          <w:t xml:space="preserve">בבלוג </w:t>
        </w:r>
      </w:hyperlink>
      <w:r w:rsidRPr="001A3876">
        <w:rPr>
          <w:rFonts w:ascii="Arial" w:hAnsi="Arial" w:cs="Arial"/>
          <w:color w:val="000000"/>
          <w:sz w:val="18"/>
          <w:szCs w:val="18"/>
          <w:rtl/>
        </w:rPr>
        <w:t xml:space="preserve">שלה איך שרדה ירי בקניון בקנדה. </w:t>
      </w:r>
    </w:p>
    <w:p w:rsidR="005366A8" w:rsidRPr="001A3876" w:rsidRDefault="005366A8" w:rsidP="005366A8">
      <w:pPr>
        <w:spacing w:after="120"/>
        <w:rPr>
          <w:rFonts w:ascii="Arial" w:hAnsi="Arial" w:cs="Arial"/>
          <w:color w:val="000000"/>
          <w:sz w:val="18"/>
          <w:szCs w:val="18"/>
          <w:rtl/>
        </w:rPr>
      </w:pPr>
      <w:r w:rsidRPr="001A3876">
        <w:rPr>
          <w:rFonts w:ascii="Arial" w:hAnsi="Arial" w:cs="Arial"/>
          <w:color w:val="000000"/>
          <w:sz w:val="18"/>
          <w:szCs w:val="18"/>
          <w:rtl/>
        </w:rPr>
        <w:t xml:space="preserve">הרוצח עצמו נתפס, אבל החיפוש אחר אשמים רק התחיל. גורמים בימין הקיצוני מוצאים אשם בחיבור הרופף של החברה לערכי הדת. פרד ג'קסון, רכז החדשות של "איגוד המשפחה האמריקאית" השמרני, </w:t>
      </w:r>
      <w:hyperlink r:id="rId212" w:history="1">
        <w:r w:rsidRPr="001A3876">
          <w:rPr>
            <w:rFonts w:ascii="Arial" w:hAnsi="Arial" w:cs="Arial"/>
            <w:color w:val="000000"/>
            <w:sz w:val="18"/>
            <w:szCs w:val="18"/>
            <w:rtl/>
          </w:rPr>
          <w:t>אמר שהאשם בליברלים,</w:t>
        </w:r>
      </w:hyperlink>
      <w:r w:rsidRPr="001A3876">
        <w:rPr>
          <w:rFonts w:ascii="Arial" w:hAnsi="Arial" w:cs="Arial"/>
          <w:color w:val="000000"/>
          <w:sz w:val="18"/>
          <w:szCs w:val="18"/>
          <w:rtl/>
        </w:rPr>
        <w:t xml:space="preserve"> שעזרו להביא "טרנספורמציה ערכית" בקהילות אמריקאיות, שעד לפני 40 שנה היו "מבוססות על ערכי הכתובים": "אני חושב שכל זה, בין אם זה סרטים הוליוודים, בין אם זה מה שאנחנו רואים באינטרנט (...) בין אם זה ההטייה הליברלית בתקשורת, או הפוליטיקאים שלנו שמשנים את המדיניות הציבורית, אני חושב שכל אלה איכשהו חוברים יחד -- וכפי שאמרתי גם כנסיות כעת נוטשות את הסמכות של הכתובים ומאבדות את מורא האל -- כל הדברים האלה חברו יחדיו כדי לתת לנו תקריות מהסוג הזה". </w:t>
      </w:r>
    </w:p>
    <w:p w:rsidR="005366A8" w:rsidRPr="001A3876" w:rsidRDefault="005366A8" w:rsidP="005366A8">
      <w:pPr>
        <w:spacing w:after="120"/>
        <w:rPr>
          <w:rFonts w:ascii="Arial" w:hAnsi="Arial" w:cs="Arial"/>
          <w:color w:val="000000"/>
          <w:sz w:val="18"/>
          <w:szCs w:val="18"/>
          <w:rtl/>
        </w:rPr>
      </w:pPr>
      <w:r w:rsidRPr="001A3876">
        <w:rPr>
          <w:rFonts w:ascii="Arial" w:hAnsi="Arial" w:cs="Arial"/>
          <w:color w:val="000000"/>
          <w:sz w:val="18"/>
          <w:szCs w:val="18"/>
          <w:rtl/>
        </w:rPr>
        <w:t xml:space="preserve">אבל עיקר הפולמוס - כפי שהיה בעקבות הטבח בקולומביין, היכן ששני תלמידי תיכון רצחו 13 חברים לכתה ב-1999, ובווירג'יניה טק, כשסטודנט רצח 32 בני אדם בקמפוס - נסב על הקלות שבה אזרח אמריקאי יכול להיות בעליו החוקיים של אקדח, ועל תרבות שמקדשת נשיאת כלי נשק. "ניו יורק טיימס" מדווח שבחודשיים האחרונים הרוצח ג'יימס הולמס רכש בחנויות מקומיות ודרך האינטרנט ארבעה אקדחים, 6,000 מחסניות תחמושת לסוגי רובים שונים -- הכול באופן חוקי לחלוטין. </w:t>
      </w:r>
    </w:p>
    <w:p w:rsidR="005366A8" w:rsidRPr="001A3876" w:rsidRDefault="005366A8" w:rsidP="005366A8">
      <w:pPr>
        <w:spacing w:after="120"/>
        <w:rPr>
          <w:rFonts w:ascii="Arial" w:hAnsi="Arial" w:cs="Arial"/>
          <w:color w:val="000000"/>
          <w:sz w:val="18"/>
          <w:szCs w:val="18"/>
          <w:rtl/>
        </w:rPr>
      </w:pPr>
      <w:r w:rsidRPr="001A3876">
        <w:rPr>
          <w:rFonts w:ascii="Arial" w:hAnsi="Arial" w:cs="Arial"/>
          <w:color w:val="000000"/>
          <w:sz w:val="18"/>
          <w:szCs w:val="18"/>
          <w:rtl/>
        </w:rPr>
        <w:t>ארגון הנשק האמריקאי (</w:t>
      </w:r>
      <w:r w:rsidRPr="001A3876">
        <w:rPr>
          <w:rFonts w:ascii="Arial" w:hAnsi="Arial" w:cs="Arial"/>
          <w:color w:val="000000"/>
          <w:sz w:val="18"/>
          <w:szCs w:val="18"/>
        </w:rPr>
        <w:t>National Rifle Association</w:t>
      </w:r>
      <w:r w:rsidRPr="001A3876">
        <w:rPr>
          <w:rFonts w:ascii="Arial" w:hAnsi="Arial" w:cs="Arial"/>
          <w:color w:val="000000"/>
          <w:sz w:val="18"/>
          <w:szCs w:val="18"/>
          <w:rtl/>
        </w:rPr>
        <w:t xml:space="preserve">) חורת על דגלו את זכותו של כל אזרח לשאת נשק ולהגן על עצמו. תיאורטית, לפי השקפתו, היכולת להחזיק אקדח אמורה לאפשר לאזרחים להשתלט על משוגע בבית קולנוע. אבל זה לא קרה: אף אחד מהיושבים באולם לא נשא עמו אקדח - כי אסור להכניס נשק לאולם הקולנוע באורורה. קבוצה של בעלי נשק מקולורדו אמרה בתגובה לתקרית ש"פוטנציאלית, אם היה בקהל אזרח שומר-חוק שמותר היה לו לשאת נשק לתוך האולם, ייתכן שהיו פחות קורבנות". </w:t>
      </w:r>
    </w:p>
    <w:p w:rsidR="005366A8" w:rsidRPr="001A3876" w:rsidRDefault="005366A8" w:rsidP="005366A8">
      <w:pPr>
        <w:spacing w:after="120"/>
        <w:rPr>
          <w:rFonts w:ascii="Arial" w:hAnsi="Arial" w:cs="Arial"/>
          <w:vanish/>
          <w:color w:val="000000"/>
          <w:sz w:val="18"/>
          <w:szCs w:val="18"/>
          <w:rtl/>
        </w:rPr>
      </w:pPr>
      <w:r w:rsidRPr="001A3876">
        <w:rPr>
          <w:rFonts w:ascii="Arial" w:hAnsi="Arial" w:cs="Arial"/>
          <w:vanish/>
          <w:color w:val="000000"/>
          <w:sz w:val="18"/>
          <w:szCs w:val="18"/>
          <w:rtl/>
        </w:rPr>
        <w:t xml:space="preserve">עוד כתבות בנושא </w:t>
      </w:r>
    </w:p>
    <w:p w:rsidR="005366A8" w:rsidRPr="001A3876" w:rsidRDefault="005D7968" w:rsidP="000B7168">
      <w:pPr>
        <w:numPr>
          <w:ilvl w:val="0"/>
          <w:numId w:val="21"/>
        </w:numPr>
        <w:spacing w:after="120"/>
        <w:jc w:val="left"/>
        <w:rPr>
          <w:rFonts w:ascii="Arial" w:hAnsi="Arial" w:cs="Arial"/>
          <w:vanish/>
          <w:color w:val="000000"/>
          <w:sz w:val="18"/>
          <w:szCs w:val="18"/>
          <w:rtl/>
        </w:rPr>
      </w:pPr>
      <w:hyperlink r:id="rId213" w:history="1">
        <w:r w:rsidR="005366A8" w:rsidRPr="001A3876">
          <w:rPr>
            <w:rFonts w:ascii="Arial" w:hAnsi="Arial" w:cs="Arial"/>
            <w:vanish/>
            <w:color w:val="000000"/>
            <w:sz w:val="18"/>
            <w:szCs w:val="18"/>
            <w:rtl/>
          </w:rPr>
          <w:t>אלה הרובים, טיפשים 22.07.2012 | 12:15</w:t>
        </w:r>
      </w:hyperlink>
      <w:r w:rsidR="005366A8" w:rsidRPr="001A3876">
        <w:rPr>
          <w:rFonts w:ascii="Arial" w:hAnsi="Arial" w:cs="Arial"/>
          <w:vanish/>
          <w:color w:val="000000"/>
          <w:sz w:val="18"/>
          <w:szCs w:val="18"/>
          <w:rtl/>
        </w:rPr>
        <w:t xml:space="preserve"> </w:t>
      </w:r>
    </w:p>
    <w:p w:rsidR="005366A8" w:rsidRPr="001A3876" w:rsidRDefault="005366A8" w:rsidP="005366A8">
      <w:pPr>
        <w:spacing w:after="120"/>
        <w:rPr>
          <w:rFonts w:ascii="Arial" w:hAnsi="Arial" w:cs="Arial"/>
          <w:color w:val="000000"/>
          <w:sz w:val="18"/>
          <w:szCs w:val="18"/>
          <w:rtl/>
        </w:rPr>
      </w:pPr>
      <w:r w:rsidRPr="001A3876">
        <w:rPr>
          <w:rFonts w:ascii="Arial" w:hAnsi="Arial" w:cs="Arial"/>
          <w:color w:val="000000"/>
          <w:sz w:val="18"/>
          <w:szCs w:val="18"/>
          <w:rtl/>
        </w:rPr>
        <w:t xml:space="preserve">"כל מה שצריך זה אדם אחד עם אקדח. אם זה היה קורה בטקסס או באריזונה הוא היה מת מהר", אמר גרג בלוק, מאמן בטיחות בשימוש בקלי נשק, לדייוויד וייגר מ"סלייט". אבל ווייגר, אחרי שיחה עם בלוק על התנאים באולם ועל האסטרטגיה הכוללת של הרוצח ג'יימס הולמס, מטיל ספק באפשרות שמישהו בקהל הלום הגז, אפילו היה חמוש, יכול היה להתנגד. הנוכחים בקהל איבדו זמן יקר מפני שחשבו שמדובר בתרגיל יחצ"ני של הקולנוע או מפיצי הסרט. </w:t>
      </w:r>
    </w:p>
    <w:p w:rsidR="005366A8" w:rsidRPr="001A3876" w:rsidRDefault="005366A8" w:rsidP="005366A8">
      <w:pPr>
        <w:spacing w:after="120"/>
        <w:rPr>
          <w:rFonts w:ascii="Arial" w:hAnsi="Arial" w:cs="Arial"/>
          <w:color w:val="000000"/>
          <w:sz w:val="18"/>
          <w:szCs w:val="18"/>
          <w:rtl/>
        </w:rPr>
      </w:pPr>
      <w:r w:rsidRPr="001A3876">
        <w:rPr>
          <w:rFonts w:ascii="Arial" w:hAnsi="Arial" w:cs="Arial"/>
          <w:color w:val="000000"/>
          <w:sz w:val="18"/>
          <w:szCs w:val="18"/>
          <w:rtl/>
        </w:rPr>
        <w:t xml:space="preserve">מן הצד השני, ראש עיריית ניו יורק, מייקל בלומברג, הציע בתוכנית רדיו: "אולי הגיע הזמן ששני האנשים שרוצים להיות נשיאי ארה"ב יעמדו ויגידו לנו מה הם הולכים לעשות בעניין. כי ברור שזו בעיה במדינה כולה". </w:t>
      </w:r>
      <w:hyperlink r:id="rId214" w:history="1">
        <w:r w:rsidRPr="001A3876">
          <w:rPr>
            <w:rFonts w:ascii="Arial" w:hAnsi="Arial" w:cs="Arial"/>
            <w:color w:val="000000"/>
            <w:sz w:val="18"/>
            <w:szCs w:val="18"/>
            <w:rtl/>
          </w:rPr>
          <w:t>מאמר המערכת של ה"ניו יורק טיימס</w:t>
        </w:r>
      </w:hyperlink>
      <w:r w:rsidRPr="001A3876">
        <w:rPr>
          <w:rFonts w:ascii="Arial" w:hAnsi="Arial" w:cs="Arial"/>
          <w:color w:val="000000"/>
          <w:sz w:val="18"/>
          <w:szCs w:val="18"/>
          <w:rtl/>
        </w:rPr>
        <w:t xml:space="preserve">" בעקבות הרצח מציב את הדרישה הזו במרכזו: "אין תירוץ להתעלם משוק הנשק שיצא משליטה". </w:t>
      </w:r>
    </w:p>
    <w:p w:rsidR="005366A8" w:rsidRPr="001A3876" w:rsidRDefault="005366A8" w:rsidP="005366A8">
      <w:pPr>
        <w:spacing w:after="120"/>
        <w:rPr>
          <w:rFonts w:ascii="Arial" w:hAnsi="Arial" w:cs="Arial"/>
          <w:color w:val="000000"/>
          <w:sz w:val="18"/>
          <w:szCs w:val="18"/>
          <w:rtl/>
        </w:rPr>
      </w:pPr>
      <w:r w:rsidRPr="001A3876">
        <w:rPr>
          <w:rFonts w:ascii="Arial" w:hAnsi="Arial" w:cs="Arial"/>
          <w:color w:val="000000"/>
          <w:sz w:val="18"/>
          <w:szCs w:val="18"/>
          <w:rtl/>
        </w:rPr>
        <w:t xml:space="preserve">מנגד, דן באום, עיתונאי וסופר שכותב על נשק, יוצא נגד עצם התעוררותו, שוב, של הדיון בהגבלות על נשיאת נשק. "בארה"ב, כשיש ירי המוני זה סיפור על נשק: איך אדם מופרע בברור יכול לקנות נשק; כמה נורא זה שיש אקדחים בשפע; איך אנחנו מוכרחים לאסור בחוק על סוגים מסוכנים במיוחד של נשק". תשוו את זה, הוא מבקש, "עם הסיקור והשיח אחרי </w:t>
      </w:r>
      <w:hyperlink r:id="rId215" w:history="1">
        <w:r w:rsidRPr="001A3876">
          <w:rPr>
            <w:rFonts w:ascii="Arial" w:hAnsi="Arial" w:cs="Arial"/>
            <w:color w:val="000000"/>
            <w:sz w:val="18"/>
            <w:szCs w:val="18"/>
            <w:rtl/>
          </w:rPr>
          <w:t>שאנדרס ברינג ברייוויק</w:t>
        </w:r>
      </w:hyperlink>
      <w:r w:rsidRPr="001A3876">
        <w:rPr>
          <w:rFonts w:ascii="Arial" w:hAnsi="Arial" w:cs="Arial"/>
          <w:color w:val="000000"/>
          <w:sz w:val="18"/>
          <w:szCs w:val="18"/>
          <w:rtl/>
        </w:rPr>
        <w:t xml:space="preserve"> רצח שישים ותשעה אנשים באי אוטוויה בנורווגיה, לפני שנה בדיוק. אף אחד לא התמקד באקדח. בקושי הצלחתי להבין מכלי התקשורת באיזה נשק השתמש. אף אחד לא שאל 'איך הוא השיג אקדח' (...) נראה שכולם, אפילו בתקשורת האמריקאית, הבינו שזה סיפור על אדם מטורף, לא על האקדח שבו ירה. במקום להקים זעקה על האקדח שבו השתמש ברייוויק, הנורווגים ראו בטרגדיה כנקודת פתיחה בשיחה על עליית כוחו של הימין הקיצוני בארצם". לטענת באום, ההתמקדות בכלי הנשק מאפשרת לטאטא הצידה אמת כואבת: "אמריקה אלימה יותר מארצות אחרות מפני שאמריקאים אלימים יותר מבני ארצות אחרות". </w:t>
      </w:r>
    </w:p>
    <w:p w:rsidR="005366A8" w:rsidRDefault="005366A8" w:rsidP="005366A8">
      <w:pPr>
        <w:spacing w:after="120"/>
        <w:rPr>
          <w:rtl/>
        </w:rPr>
      </w:pPr>
    </w:p>
    <w:p w:rsidR="005366A8" w:rsidRPr="001A3876" w:rsidRDefault="005366A8" w:rsidP="005366A8">
      <w:pPr>
        <w:overflowPunct w:val="0"/>
        <w:autoSpaceDE w:val="0"/>
        <w:autoSpaceDN w:val="0"/>
        <w:adjustRightInd w:val="0"/>
        <w:ind w:right="1282"/>
        <w:rPr>
          <w:rFonts w:ascii="Arial TUR" w:hAnsi="Arial TUR" w:cs="Guttman-Soncino"/>
          <w:b/>
          <w:bCs/>
          <w:spacing w:val="10"/>
          <w:sz w:val="20"/>
          <w:szCs w:val="20"/>
          <w:rtl/>
        </w:rPr>
      </w:pPr>
      <w:r w:rsidRPr="00D117B0">
        <w:rPr>
          <w:rFonts w:ascii="Arial TUR" w:hAnsi="Arial TUR" w:cs="Guttman-Soncino" w:hint="cs"/>
          <w:b/>
          <w:bCs/>
          <w:spacing w:val="10"/>
          <w:sz w:val="20"/>
          <w:szCs w:val="20"/>
          <w:highlight w:val="yellow"/>
          <w:rtl/>
        </w:rPr>
        <w:t>ב. מנגד, החוקה והיכולת להסתייע בה לביטול ממדי אפליה מושרשים וקשים - מדיניות ההפרדה הגזעית במדינות הדרום של ארצות הברית עד שנות החמישים והשישים; הפרדה בחינוך, בתחבורה הציבורית ועוד</w:t>
      </w:r>
    </w:p>
    <w:p w:rsidR="005366A8" w:rsidRDefault="005366A8" w:rsidP="005366A8">
      <w:pPr>
        <w:tabs>
          <w:tab w:val="left" w:pos="10176"/>
        </w:tabs>
        <w:overflowPunct w:val="0"/>
        <w:autoSpaceDE w:val="0"/>
        <w:autoSpaceDN w:val="0"/>
        <w:adjustRightInd w:val="0"/>
        <w:ind w:right="142"/>
        <w:rPr>
          <w:rFonts w:ascii="Arial TUR" w:hAnsi="Arial TUR" w:cs="Guttman-Soncino"/>
          <w:spacing w:val="10"/>
          <w:sz w:val="20"/>
          <w:szCs w:val="20"/>
          <w:vertAlign w:val="superscript"/>
          <w:rtl/>
        </w:rPr>
      </w:pPr>
    </w:p>
    <w:p w:rsidR="005366A8" w:rsidRDefault="005366A8" w:rsidP="005366A8">
      <w:pPr>
        <w:pStyle w:val="NormalWeb"/>
        <w:shd w:val="clear" w:color="auto" w:fill="FFFFFF"/>
        <w:spacing w:before="96" w:after="120" w:line="181" w:lineRule="atLeast"/>
        <w:rPr>
          <w:b/>
          <w:bCs/>
          <w:sz w:val="20"/>
          <w:szCs w:val="20"/>
          <w:rtl/>
        </w:rPr>
      </w:pPr>
      <w:r>
        <w:rPr>
          <w:rFonts w:hint="cs"/>
          <w:b/>
          <w:bCs/>
          <w:sz w:val="20"/>
          <w:szCs w:val="20"/>
          <w:rtl/>
        </w:rPr>
        <w:t>מתוך הויקיפדיה:</w:t>
      </w:r>
    </w:p>
    <w:p w:rsidR="005366A8" w:rsidRDefault="005366A8" w:rsidP="005366A8">
      <w:pPr>
        <w:pStyle w:val="NormalWeb"/>
        <w:shd w:val="clear" w:color="auto" w:fill="FFFFFF"/>
        <w:spacing w:before="96" w:after="120" w:line="181" w:lineRule="atLeast"/>
        <w:rPr>
          <w:sz w:val="20"/>
          <w:szCs w:val="20"/>
          <w:rtl/>
        </w:rPr>
      </w:pPr>
      <w:r w:rsidRPr="00F37BFF">
        <w:rPr>
          <w:b/>
          <w:bCs/>
          <w:sz w:val="20"/>
          <w:szCs w:val="20"/>
          <w:highlight w:val="yellow"/>
          <w:rtl/>
        </w:rPr>
        <w:t>פסק דין בראון נגד מועצת החינוך של טופיקה</w:t>
      </w:r>
      <w:r w:rsidRPr="00F37BFF">
        <w:rPr>
          <w:rStyle w:val="apple-converted-space"/>
          <w:sz w:val="20"/>
          <w:szCs w:val="20"/>
        </w:rPr>
        <w:t> </w:t>
      </w:r>
      <w:r w:rsidRPr="00F37BFF">
        <w:rPr>
          <w:rFonts w:hint="cs"/>
          <w:sz w:val="20"/>
          <w:szCs w:val="20"/>
          <w:highlight w:val="yellow"/>
          <w:rtl/>
        </w:rPr>
        <w:t>(</w:t>
      </w:r>
      <w:r w:rsidRPr="00F37BFF">
        <w:rPr>
          <w:sz w:val="20"/>
          <w:szCs w:val="20"/>
          <w:highlight w:val="yellow"/>
          <w:rtl/>
        </w:rPr>
        <w:t>ב</w:t>
      </w:r>
      <w:hyperlink r:id="rId216" w:tooltip="אנגלית" w:history="1">
        <w:r w:rsidRPr="00F37BFF">
          <w:rPr>
            <w:rStyle w:val="Hyperlink"/>
            <w:sz w:val="20"/>
            <w:szCs w:val="20"/>
            <w:rtl/>
          </w:rPr>
          <w:t>אנגלית</w:t>
        </w:r>
      </w:hyperlink>
      <w:r w:rsidRPr="00F37BFF">
        <w:rPr>
          <w:sz w:val="20"/>
          <w:szCs w:val="20"/>
          <w:highlight w:val="yellow"/>
        </w:rPr>
        <w:t>:</w:t>
      </w:r>
      <w:r w:rsidRPr="00F37BFF">
        <w:rPr>
          <w:rStyle w:val="apple-converted-space"/>
          <w:sz w:val="20"/>
          <w:szCs w:val="20"/>
        </w:rPr>
        <w:t> </w:t>
      </w:r>
      <w:r w:rsidRPr="00F37BFF">
        <w:rPr>
          <w:b/>
          <w:bCs/>
          <w:sz w:val="20"/>
          <w:szCs w:val="20"/>
          <w:highlight w:val="yellow"/>
        </w:rPr>
        <w:t>(Brown v. Board of Education of Topeka</w:t>
      </w:r>
      <w:r w:rsidRPr="00990F69">
        <w:rPr>
          <w:sz w:val="20"/>
          <w:szCs w:val="20"/>
        </w:rPr>
        <w:t xml:space="preserve"> </w:t>
      </w:r>
    </w:p>
    <w:p w:rsidR="005366A8" w:rsidRDefault="005366A8" w:rsidP="005366A8">
      <w:pPr>
        <w:pStyle w:val="NormalWeb"/>
        <w:shd w:val="clear" w:color="auto" w:fill="FFFFFF"/>
        <w:spacing w:before="96" w:after="120" w:line="181" w:lineRule="atLeast"/>
        <w:rPr>
          <w:sz w:val="20"/>
          <w:szCs w:val="20"/>
          <w:rtl/>
        </w:rPr>
      </w:pPr>
      <w:r w:rsidRPr="00990F69">
        <w:rPr>
          <w:sz w:val="20"/>
          <w:szCs w:val="20"/>
          <w:rtl/>
        </w:rPr>
        <w:t>הוא</w:t>
      </w:r>
      <w:r w:rsidRPr="00990F69">
        <w:rPr>
          <w:rStyle w:val="apple-converted-space"/>
          <w:sz w:val="20"/>
          <w:szCs w:val="20"/>
        </w:rPr>
        <w:t> </w:t>
      </w:r>
      <w:hyperlink r:id="rId217" w:tooltip="פסק דין" w:history="1">
        <w:r w:rsidRPr="00990F69">
          <w:rPr>
            <w:rStyle w:val="Hyperlink"/>
            <w:sz w:val="20"/>
            <w:szCs w:val="20"/>
            <w:rtl/>
          </w:rPr>
          <w:t>פסק דין</w:t>
        </w:r>
      </w:hyperlink>
      <w:r w:rsidRPr="00990F69">
        <w:rPr>
          <w:rStyle w:val="apple-converted-space"/>
          <w:sz w:val="20"/>
          <w:szCs w:val="20"/>
        </w:rPr>
        <w:t> </w:t>
      </w:r>
      <w:hyperlink r:id="rId218" w:tooltip="תקדים" w:history="1">
        <w:r w:rsidRPr="00990F69">
          <w:rPr>
            <w:rStyle w:val="Hyperlink"/>
            <w:sz w:val="20"/>
            <w:szCs w:val="20"/>
            <w:rtl/>
          </w:rPr>
          <w:t>תקדימי</w:t>
        </w:r>
      </w:hyperlink>
      <w:r w:rsidRPr="00990F69">
        <w:rPr>
          <w:rStyle w:val="apple-converted-space"/>
          <w:sz w:val="20"/>
          <w:szCs w:val="20"/>
        </w:rPr>
        <w:t> </w:t>
      </w:r>
      <w:r w:rsidRPr="00990F69">
        <w:rPr>
          <w:sz w:val="20"/>
          <w:szCs w:val="20"/>
          <w:rtl/>
        </w:rPr>
        <w:t>של</w:t>
      </w:r>
      <w:r w:rsidRPr="00990F69">
        <w:rPr>
          <w:rStyle w:val="apple-converted-space"/>
          <w:sz w:val="20"/>
          <w:szCs w:val="20"/>
        </w:rPr>
        <w:t> </w:t>
      </w:r>
      <w:hyperlink r:id="rId219" w:tooltip="בית המשפט העליון של ארצות הברית" w:history="1">
        <w:r w:rsidRPr="00990F69">
          <w:rPr>
            <w:rStyle w:val="Hyperlink"/>
            <w:sz w:val="20"/>
            <w:szCs w:val="20"/>
            <w:rtl/>
          </w:rPr>
          <w:t>בית המשפט העליון</w:t>
        </w:r>
      </w:hyperlink>
      <w:r w:rsidRPr="00990F69">
        <w:rPr>
          <w:rStyle w:val="apple-converted-space"/>
          <w:sz w:val="20"/>
          <w:szCs w:val="20"/>
        </w:rPr>
        <w:t> </w:t>
      </w:r>
      <w:r w:rsidRPr="00990F69">
        <w:rPr>
          <w:sz w:val="20"/>
          <w:szCs w:val="20"/>
          <w:rtl/>
        </w:rPr>
        <w:t>של</w:t>
      </w:r>
      <w:r w:rsidRPr="00990F69">
        <w:rPr>
          <w:rStyle w:val="apple-converted-space"/>
          <w:sz w:val="20"/>
          <w:szCs w:val="20"/>
        </w:rPr>
        <w:t> </w:t>
      </w:r>
      <w:hyperlink r:id="rId220" w:tooltip="ארצות הברית" w:history="1">
        <w:r w:rsidRPr="00990F69">
          <w:rPr>
            <w:rStyle w:val="Hyperlink"/>
            <w:sz w:val="20"/>
            <w:szCs w:val="20"/>
            <w:rtl/>
          </w:rPr>
          <w:t>ארצות הברית</w:t>
        </w:r>
      </w:hyperlink>
      <w:r>
        <w:rPr>
          <w:sz w:val="20"/>
          <w:szCs w:val="20"/>
        </w:rPr>
        <w:t xml:space="preserve"> </w:t>
      </w:r>
      <w:r w:rsidRPr="00990F69">
        <w:rPr>
          <w:sz w:val="20"/>
          <w:szCs w:val="20"/>
          <w:rtl/>
        </w:rPr>
        <w:t>משנת</w:t>
      </w:r>
      <w:r w:rsidRPr="00990F69">
        <w:rPr>
          <w:rStyle w:val="apple-converted-space"/>
          <w:sz w:val="20"/>
          <w:szCs w:val="20"/>
        </w:rPr>
        <w:t> </w:t>
      </w:r>
      <w:hyperlink r:id="rId221" w:tooltip="1954" w:history="1">
        <w:r w:rsidRPr="00990F69">
          <w:rPr>
            <w:rStyle w:val="Hyperlink"/>
            <w:sz w:val="20"/>
            <w:szCs w:val="20"/>
          </w:rPr>
          <w:t>1954</w:t>
        </w:r>
      </w:hyperlink>
      <w:r w:rsidRPr="00990F69">
        <w:rPr>
          <w:rStyle w:val="apple-converted-space"/>
          <w:sz w:val="20"/>
          <w:szCs w:val="20"/>
        </w:rPr>
        <w:t> </w:t>
      </w:r>
      <w:r w:rsidRPr="00990F69">
        <w:rPr>
          <w:sz w:val="20"/>
          <w:szCs w:val="20"/>
          <w:rtl/>
        </w:rPr>
        <w:t>אשר קבע</w:t>
      </w:r>
      <w:r w:rsidRPr="00990F69">
        <w:rPr>
          <w:rStyle w:val="apple-converted-space"/>
          <w:sz w:val="20"/>
          <w:szCs w:val="20"/>
        </w:rPr>
        <w:t> </w:t>
      </w:r>
      <w:r w:rsidRPr="00990F69">
        <w:rPr>
          <w:sz w:val="20"/>
          <w:szCs w:val="20"/>
          <w:rtl/>
        </w:rPr>
        <w:t>כי</w:t>
      </w:r>
      <w:r w:rsidRPr="00990F69">
        <w:rPr>
          <w:rStyle w:val="apple-converted-space"/>
          <w:sz w:val="20"/>
          <w:szCs w:val="20"/>
        </w:rPr>
        <w:t> </w:t>
      </w:r>
      <w:hyperlink r:id="rId222" w:tooltip="הפרדה על רקע גזעי" w:history="1">
        <w:r w:rsidRPr="00990F69">
          <w:rPr>
            <w:rStyle w:val="Hyperlink"/>
            <w:sz w:val="20"/>
            <w:szCs w:val="20"/>
            <w:rtl/>
          </w:rPr>
          <w:t>הפרדה על רקע גזעי</w:t>
        </w:r>
      </w:hyperlink>
      <w:r w:rsidRPr="00990F69">
        <w:rPr>
          <w:rStyle w:val="apple-converted-space"/>
          <w:sz w:val="20"/>
          <w:szCs w:val="20"/>
        </w:rPr>
        <w:t> </w:t>
      </w:r>
      <w:r w:rsidRPr="00990F69">
        <w:rPr>
          <w:sz w:val="20"/>
          <w:szCs w:val="20"/>
          <w:rtl/>
        </w:rPr>
        <w:t>בחינוך הציבורי בארצות הברית הינה בלתי</w:t>
      </w:r>
      <w:r w:rsidRPr="00990F69">
        <w:rPr>
          <w:rStyle w:val="apple-converted-space"/>
          <w:sz w:val="20"/>
          <w:szCs w:val="20"/>
        </w:rPr>
        <w:t> </w:t>
      </w:r>
      <w:hyperlink r:id="rId223" w:tooltip="חוקת ארצות הברית" w:history="1">
        <w:r w:rsidRPr="00990F69">
          <w:rPr>
            <w:rStyle w:val="Hyperlink"/>
            <w:sz w:val="20"/>
            <w:szCs w:val="20"/>
            <w:rtl/>
          </w:rPr>
          <w:t>חוקתית</w:t>
        </w:r>
      </w:hyperlink>
      <w:r w:rsidRPr="00990F69">
        <w:rPr>
          <w:sz w:val="20"/>
          <w:szCs w:val="20"/>
        </w:rPr>
        <w:t xml:space="preserve">. </w:t>
      </w:r>
      <w:r w:rsidRPr="00990F69">
        <w:rPr>
          <w:sz w:val="20"/>
          <w:szCs w:val="20"/>
          <w:rtl/>
        </w:rPr>
        <w:t>פסק דין זה ביטל את דוקטרינת</w:t>
      </w:r>
      <w:r>
        <w:rPr>
          <w:rFonts w:hint="cs"/>
          <w:sz w:val="20"/>
          <w:szCs w:val="20"/>
          <w:rtl/>
        </w:rPr>
        <w:t xml:space="preserve"> </w:t>
      </w:r>
      <w:r w:rsidRPr="00990F69">
        <w:rPr>
          <w:sz w:val="20"/>
          <w:szCs w:val="20"/>
        </w:rPr>
        <w:t>"</w:t>
      </w:r>
      <w:hyperlink r:id="rId224" w:tooltip="נפרד אבל שווה" w:history="1">
        <w:r w:rsidRPr="00990F69">
          <w:rPr>
            <w:rStyle w:val="Hyperlink"/>
            <w:sz w:val="20"/>
            <w:szCs w:val="20"/>
            <w:rtl/>
          </w:rPr>
          <w:t>נפרד אבל שווה</w:t>
        </w:r>
      </w:hyperlink>
      <w:r w:rsidRPr="00990F69">
        <w:rPr>
          <w:sz w:val="20"/>
          <w:szCs w:val="20"/>
        </w:rPr>
        <w:t xml:space="preserve">" (separate but equal) </w:t>
      </w:r>
      <w:r>
        <w:rPr>
          <w:rFonts w:hint="cs"/>
          <w:sz w:val="20"/>
          <w:szCs w:val="20"/>
          <w:rtl/>
        </w:rPr>
        <w:t xml:space="preserve"> </w:t>
      </w:r>
      <w:r w:rsidRPr="00990F69">
        <w:rPr>
          <w:sz w:val="20"/>
          <w:szCs w:val="20"/>
          <w:rtl/>
        </w:rPr>
        <w:t>שהייתה קיימת בארצות הברית למעלה מ־80 שנה, וקבע כי בתי ספר נפרדים אינם שווים מאחר שבתי ספר לשחורים בלבד</w:t>
      </w:r>
      <w:r w:rsidRPr="00990F69">
        <w:rPr>
          <w:rStyle w:val="apple-converted-space"/>
          <w:sz w:val="20"/>
          <w:szCs w:val="20"/>
        </w:rPr>
        <w:t> </w:t>
      </w:r>
      <w:hyperlink r:id="rId225" w:tooltip="אפליה" w:history="1">
        <w:r w:rsidRPr="00990F69">
          <w:rPr>
            <w:rStyle w:val="Hyperlink"/>
            <w:sz w:val="20"/>
            <w:szCs w:val="20"/>
            <w:rtl/>
          </w:rPr>
          <w:t>מפלים</w:t>
        </w:r>
      </w:hyperlink>
      <w:r w:rsidRPr="00990F69">
        <w:rPr>
          <w:rStyle w:val="apple-converted-space"/>
          <w:sz w:val="20"/>
          <w:szCs w:val="20"/>
        </w:rPr>
        <w:t> </w:t>
      </w:r>
      <w:r w:rsidRPr="00990F69">
        <w:rPr>
          <w:sz w:val="20"/>
          <w:szCs w:val="20"/>
          <w:rtl/>
        </w:rPr>
        <w:t>מעצם טבעם את השחורים לרעה</w:t>
      </w:r>
      <w:r w:rsidRPr="00990F69">
        <w:rPr>
          <w:sz w:val="20"/>
          <w:szCs w:val="20"/>
        </w:rPr>
        <w:t>.</w:t>
      </w:r>
      <w:r w:rsidRPr="00990F69">
        <w:rPr>
          <w:sz w:val="20"/>
          <w:szCs w:val="20"/>
          <w:rtl/>
        </w:rPr>
        <w:t xml:space="preserve"> </w:t>
      </w:r>
    </w:p>
    <w:p w:rsidR="005366A8" w:rsidRPr="00990F69" w:rsidRDefault="005366A8" w:rsidP="005366A8">
      <w:pPr>
        <w:pStyle w:val="NormalWeb"/>
        <w:shd w:val="clear" w:color="auto" w:fill="FFFFFF"/>
        <w:spacing w:before="96" w:after="120" w:line="181" w:lineRule="atLeast"/>
        <w:rPr>
          <w:sz w:val="20"/>
          <w:szCs w:val="20"/>
        </w:rPr>
      </w:pPr>
      <w:r w:rsidRPr="00990F69">
        <w:rPr>
          <w:sz w:val="20"/>
          <w:szCs w:val="20"/>
          <w:rtl/>
        </w:rPr>
        <w:t>מאז תום</w:t>
      </w:r>
      <w:r w:rsidRPr="00990F69">
        <w:rPr>
          <w:rStyle w:val="apple-converted-space"/>
          <w:sz w:val="20"/>
          <w:szCs w:val="20"/>
        </w:rPr>
        <w:t> </w:t>
      </w:r>
      <w:hyperlink r:id="rId226" w:tooltip="מלחמת האזרחים של ארצות הברית" w:history="1">
        <w:r w:rsidRPr="00990F69">
          <w:rPr>
            <w:rStyle w:val="Hyperlink"/>
            <w:sz w:val="20"/>
            <w:szCs w:val="20"/>
            <w:rtl/>
          </w:rPr>
          <w:t>מלחמת האזרחים של ארצות הברית</w:t>
        </w:r>
      </w:hyperlink>
      <w:r w:rsidRPr="00990F69">
        <w:rPr>
          <w:rStyle w:val="apple-converted-space"/>
          <w:sz w:val="20"/>
          <w:szCs w:val="20"/>
        </w:rPr>
        <w:t> </w:t>
      </w:r>
      <w:r w:rsidRPr="00990F69">
        <w:rPr>
          <w:sz w:val="20"/>
          <w:szCs w:val="20"/>
          <w:rtl/>
        </w:rPr>
        <w:t>וחקיקת</w:t>
      </w:r>
      <w:r w:rsidRPr="00990F69">
        <w:rPr>
          <w:rStyle w:val="apple-converted-space"/>
          <w:sz w:val="20"/>
          <w:szCs w:val="20"/>
        </w:rPr>
        <w:t> </w:t>
      </w:r>
      <w:hyperlink r:id="rId227" w:tooltip="התיקון ה-14 לחוקת ארצות הברית" w:history="1">
        <w:r w:rsidRPr="00990F69">
          <w:rPr>
            <w:rStyle w:val="Hyperlink"/>
            <w:sz w:val="20"/>
            <w:szCs w:val="20"/>
            <w:rtl/>
          </w:rPr>
          <w:t>התיקון ה-14 לחוקת ארצות הברית</w:t>
        </w:r>
      </w:hyperlink>
      <w:r w:rsidRPr="00990F69">
        <w:rPr>
          <w:rStyle w:val="apple-converted-space"/>
          <w:sz w:val="20"/>
          <w:szCs w:val="20"/>
        </w:rPr>
        <w:t> </w:t>
      </w:r>
      <w:r w:rsidRPr="00990F69">
        <w:rPr>
          <w:sz w:val="20"/>
          <w:szCs w:val="20"/>
          <w:rtl/>
        </w:rPr>
        <w:t>האוסר על אפליה על רקע גזעי, בוצעה למעשה הפרדה בין גזעים באזורים שונים של ארצות הברית, בטענה כי ניתן לבני הגזע השחור יחס שווה, גם אם נפרד. משמעות יחס זה הייתה הפרדה מוחלטת במערכות החינוך, התחבורה, השירותים והרפואה בין השחורים ללבנים ב</w:t>
      </w:r>
      <w:hyperlink r:id="rId228" w:tooltip="קונפדרציית המדינות של אמריקה" w:history="1">
        <w:r w:rsidRPr="00990F69">
          <w:rPr>
            <w:rStyle w:val="Hyperlink"/>
            <w:sz w:val="20"/>
            <w:szCs w:val="20"/>
            <w:rtl/>
          </w:rPr>
          <w:t>מדינות הדרום</w:t>
        </w:r>
      </w:hyperlink>
      <w:r w:rsidRPr="00990F69">
        <w:rPr>
          <w:rStyle w:val="apple-converted-space"/>
          <w:sz w:val="20"/>
          <w:szCs w:val="20"/>
        </w:rPr>
        <w:t> </w:t>
      </w:r>
      <w:r w:rsidRPr="00990F69">
        <w:rPr>
          <w:sz w:val="20"/>
          <w:szCs w:val="20"/>
          <w:rtl/>
        </w:rPr>
        <w:t>והפרדה פחות קפדנית במדינות הסמוכות לדרום. מדיניות זאת אושרה על ידי בית-המשפט העליון של ארצות הברית בשלהי המאה ה-19. פסק דין בראון הינו הידוע בסדרה של פסקי דין (כמפורט מטה) שבהם בתי המשפט אסרו על הפרדה זו באמצעות</w:t>
      </w:r>
      <w:r w:rsidRPr="00990F69">
        <w:rPr>
          <w:rStyle w:val="apple-converted-space"/>
          <w:sz w:val="20"/>
          <w:szCs w:val="20"/>
        </w:rPr>
        <w:t> </w:t>
      </w:r>
      <w:hyperlink r:id="rId229" w:tooltip="אקטיביזם שיפוטי" w:history="1">
        <w:r w:rsidRPr="00990F69">
          <w:rPr>
            <w:rStyle w:val="Hyperlink"/>
            <w:sz w:val="20"/>
            <w:szCs w:val="20"/>
            <w:rtl/>
          </w:rPr>
          <w:t>אקטיביזם שיפוטי</w:t>
        </w:r>
      </w:hyperlink>
      <w:r w:rsidRPr="00990F69">
        <w:rPr>
          <w:sz w:val="20"/>
          <w:szCs w:val="20"/>
        </w:rPr>
        <w:t>.</w:t>
      </w:r>
    </w:p>
    <w:p w:rsidR="005366A8" w:rsidRPr="00990F69" w:rsidRDefault="005366A8" w:rsidP="005366A8">
      <w:pPr>
        <w:pStyle w:val="NormalWeb"/>
        <w:shd w:val="clear" w:color="auto" w:fill="FFFFFF"/>
        <w:spacing w:before="96" w:after="120" w:line="181" w:lineRule="atLeast"/>
        <w:rPr>
          <w:sz w:val="20"/>
          <w:szCs w:val="20"/>
          <w:rtl/>
        </w:rPr>
      </w:pPr>
      <w:r w:rsidRPr="00990F69">
        <w:rPr>
          <w:sz w:val="20"/>
          <w:szCs w:val="20"/>
          <w:rtl/>
        </w:rPr>
        <w:t>ב־</w:t>
      </w:r>
      <w:hyperlink r:id="rId230" w:tooltip="1951" w:history="1">
        <w:r w:rsidRPr="00990F69">
          <w:rPr>
            <w:rStyle w:val="Hyperlink"/>
            <w:sz w:val="20"/>
            <w:szCs w:val="20"/>
          </w:rPr>
          <w:t>1951</w:t>
        </w:r>
      </w:hyperlink>
      <w:r w:rsidRPr="00990F69">
        <w:rPr>
          <w:rStyle w:val="apple-converted-space"/>
          <w:sz w:val="20"/>
          <w:szCs w:val="20"/>
        </w:rPr>
        <w:t> </w:t>
      </w:r>
      <w:r w:rsidRPr="00990F69">
        <w:rPr>
          <w:sz w:val="20"/>
          <w:szCs w:val="20"/>
          <w:rtl/>
        </w:rPr>
        <w:t>הוגשה</w:t>
      </w:r>
      <w:r w:rsidRPr="00990F69">
        <w:rPr>
          <w:rStyle w:val="apple-converted-space"/>
          <w:sz w:val="20"/>
          <w:szCs w:val="20"/>
        </w:rPr>
        <w:t> </w:t>
      </w:r>
      <w:hyperlink r:id="rId231" w:tooltip="תובענה ייצוגית" w:history="1">
        <w:r w:rsidRPr="00990F69">
          <w:rPr>
            <w:rStyle w:val="Hyperlink"/>
            <w:sz w:val="20"/>
            <w:szCs w:val="20"/>
            <w:rtl/>
          </w:rPr>
          <w:t>תובענה ייצוגית</w:t>
        </w:r>
      </w:hyperlink>
      <w:r w:rsidRPr="00990F69">
        <w:rPr>
          <w:rStyle w:val="apple-converted-space"/>
          <w:sz w:val="20"/>
          <w:szCs w:val="20"/>
        </w:rPr>
        <w:t> </w:t>
      </w:r>
      <w:r w:rsidRPr="00990F69">
        <w:rPr>
          <w:sz w:val="20"/>
          <w:szCs w:val="20"/>
          <w:rtl/>
        </w:rPr>
        <w:t>נגד מועצת החינוך של העיר</w:t>
      </w:r>
      <w:r w:rsidRPr="00990F69">
        <w:rPr>
          <w:rStyle w:val="apple-converted-space"/>
          <w:sz w:val="20"/>
          <w:szCs w:val="20"/>
        </w:rPr>
        <w:t> </w:t>
      </w:r>
      <w:hyperlink r:id="rId232" w:tooltip="טופקה" w:history="1">
        <w:r w:rsidRPr="00990F69">
          <w:rPr>
            <w:rStyle w:val="Hyperlink"/>
            <w:sz w:val="20"/>
            <w:szCs w:val="20"/>
            <w:rtl/>
          </w:rPr>
          <w:t>טופקה</w:t>
        </w:r>
      </w:hyperlink>
      <w:r w:rsidRPr="00990F69">
        <w:rPr>
          <w:rStyle w:val="apple-converted-space"/>
          <w:sz w:val="20"/>
          <w:szCs w:val="20"/>
        </w:rPr>
        <w:t> </w:t>
      </w:r>
      <w:r w:rsidRPr="00990F69">
        <w:rPr>
          <w:sz w:val="20"/>
          <w:szCs w:val="20"/>
          <w:rtl/>
        </w:rPr>
        <w:t>ב</w:t>
      </w:r>
      <w:hyperlink r:id="rId233" w:tooltip="קנזס" w:history="1">
        <w:r w:rsidRPr="00990F69">
          <w:rPr>
            <w:rStyle w:val="Hyperlink"/>
            <w:sz w:val="20"/>
            <w:szCs w:val="20"/>
            <w:rtl/>
          </w:rPr>
          <w:t>קנזס</w:t>
        </w:r>
      </w:hyperlink>
      <w:r w:rsidRPr="00990F69">
        <w:rPr>
          <w:sz w:val="20"/>
          <w:szCs w:val="20"/>
        </w:rPr>
        <w:t xml:space="preserve">, </w:t>
      </w:r>
      <w:r w:rsidRPr="00990F69">
        <w:rPr>
          <w:sz w:val="20"/>
          <w:szCs w:val="20"/>
          <w:rtl/>
        </w:rPr>
        <w:t>בבית המשפט המחוזי הפדרלי של מחוז קנזס. התובעים היו 13 הורים לתלמידים שחורים מטופיקה. ההורים פנו לבית המשפט בדרישה שיורה על ביטולה של מדיניות ההפרדה הגזעית של מחוז טופיקה. במחוז טופיקה היו בתי ספר נפרדים לשחורים ולבנים בהתאם לחוק מדינת קנזס משנת</w:t>
      </w:r>
      <w:r w:rsidRPr="00990F69">
        <w:rPr>
          <w:rStyle w:val="apple-converted-space"/>
          <w:sz w:val="20"/>
          <w:szCs w:val="20"/>
        </w:rPr>
        <w:t> </w:t>
      </w:r>
      <w:hyperlink r:id="rId234" w:tooltip="1879" w:history="1">
        <w:r w:rsidRPr="00990F69">
          <w:rPr>
            <w:rStyle w:val="Hyperlink"/>
            <w:sz w:val="20"/>
            <w:szCs w:val="20"/>
          </w:rPr>
          <w:t>1879</w:t>
        </w:r>
      </w:hyperlink>
      <w:r w:rsidRPr="00990F69">
        <w:rPr>
          <w:rStyle w:val="apple-converted-space"/>
          <w:sz w:val="20"/>
          <w:szCs w:val="20"/>
        </w:rPr>
        <w:t> </w:t>
      </w:r>
      <w:r w:rsidRPr="00990F69">
        <w:rPr>
          <w:sz w:val="20"/>
          <w:szCs w:val="20"/>
          <w:rtl/>
        </w:rPr>
        <w:t>אשר אפשר למועצת החינוך לקיים מערכת חינוך נפרדת (אך לא חייב את מועצת החינוך לעשות כן</w:t>
      </w:r>
      <w:r>
        <w:rPr>
          <w:rFonts w:hint="cs"/>
          <w:sz w:val="20"/>
          <w:szCs w:val="20"/>
          <w:rtl/>
        </w:rPr>
        <w:t>)</w:t>
      </w:r>
      <w:r w:rsidRPr="00990F69">
        <w:rPr>
          <w:sz w:val="20"/>
          <w:szCs w:val="20"/>
        </w:rPr>
        <w:t>.</w:t>
      </w:r>
    </w:p>
    <w:p w:rsidR="005366A8" w:rsidRPr="00990F69" w:rsidRDefault="005366A8" w:rsidP="005366A8">
      <w:pPr>
        <w:pStyle w:val="NormalWeb"/>
        <w:shd w:val="clear" w:color="auto" w:fill="FFFFFF"/>
        <w:spacing w:before="96" w:after="120" w:line="181" w:lineRule="atLeast"/>
        <w:rPr>
          <w:sz w:val="20"/>
          <w:szCs w:val="20"/>
        </w:rPr>
      </w:pPr>
      <w:r w:rsidRPr="00990F69">
        <w:rPr>
          <w:sz w:val="20"/>
          <w:szCs w:val="20"/>
          <w:rtl/>
        </w:rPr>
        <w:t>ההורים שוכנעו על ידי הנהגת ה־</w:t>
      </w:r>
      <w:hyperlink r:id="rId235" w:tooltip="NAACP (הדף אינו קיים)" w:history="1">
        <w:r w:rsidRPr="00990F69">
          <w:rPr>
            <w:rStyle w:val="Hyperlink"/>
            <w:sz w:val="20"/>
            <w:szCs w:val="20"/>
          </w:rPr>
          <w:t>NAACP</w:t>
        </w:r>
      </w:hyperlink>
      <w:r w:rsidRPr="00990F69">
        <w:rPr>
          <w:rStyle w:val="apple-converted-space"/>
          <w:sz w:val="20"/>
          <w:szCs w:val="20"/>
        </w:rPr>
        <w:t> </w:t>
      </w:r>
      <w:r>
        <w:rPr>
          <w:rFonts w:hint="cs"/>
          <w:sz w:val="20"/>
          <w:szCs w:val="20"/>
          <w:rtl/>
        </w:rPr>
        <w:t xml:space="preserve"> </w:t>
      </w:r>
      <w:r w:rsidRPr="00990F69">
        <w:rPr>
          <w:sz w:val="20"/>
          <w:szCs w:val="20"/>
          <w:rtl/>
        </w:rPr>
        <w:t>של טופיקה להגיש את התביעה. בראון שוכנע להגיש את התביעה בשם בתו, לינדה בראון, הלומדת בכיתה ג', ואשר נדרשה ללכת מרחק רב ביותר על מנת לעלות על</w:t>
      </w:r>
      <w:r w:rsidRPr="00990F69">
        <w:rPr>
          <w:rStyle w:val="apple-converted-space"/>
          <w:sz w:val="20"/>
          <w:szCs w:val="20"/>
        </w:rPr>
        <w:t> </w:t>
      </w:r>
      <w:hyperlink r:id="rId236" w:tooltip="אוטובוס" w:history="1">
        <w:r w:rsidRPr="00990F69">
          <w:rPr>
            <w:rStyle w:val="Hyperlink"/>
            <w:sz w:val="20"/>
            <w:szCs w:val="20"/>
            <w:rtl/>
          </w:rPr>
          <w:t>אוטובוס</w:t>
        </w:r>
      </w:hyperlink>
      <w:r w:rsidRPr="00990F69">
        <w:rPr>
          <w:rStyle w:val="apple-converted-space"/>
          <w:sz w:val="20"/>
          <w:szCs w:val="20"/>
        </w:rPr>
        <w:t> </w:t>
      </w:r>
      <w:r w:rsidRPr="00990F69">
        <w:rPr>
          <w:sz w:val="20"/>
          <w:szCs w:val="20"/>
          <w:rtl/>
        </w:rPr>
        <w:t>אשר יקח אותה ל</w:t>
      </w:r>
      <w:hyperlink r:id="rId237" w:tooltip="האתר ההיסטורי בראון נגד מועצת החינוך (הדף אינו קיים)" w:history="1">
        <w:r w:rsidRPr="00990F69">
          <w:rPr>
            <w:rStyle w:val="Hyperlink"/>
            <w:sz w:val="20"/>
            <w:szCs w:val="20"/>
            <w:rtl/>
          </w:rPr>
          <w:t>בית הספר היסודי מונרו</w:t>
        </w:r>
      </w:hyperlink>
      <w:r w:rsidRPr="00990F69">
        <w:rPr>
          <w:rStyle w:val="apple-converted-space"/>
          <w:sz w:val="20"/>
          <w:szCs w:val="20"/>
        </w:rPr>
        <w:t> </w:t>
      </w:r>
      <w:r w:rsidRPr="00990F69">
        <w:rPr>
          <w:sz w:val="20"/>
          <w:szCs w:val="20"/>
        </w:rPr>
        <w:t xml:space="preserve">- </w:t>
      </w:r>
      <w:r w:rsidRPr="00990F69">
        <w:rPr>
          <w:sz w:val="20"/>
          <w:szCs w:val="20"/>
          <w:rtl/>
        </w:rPr>
        <w:t>בעוד שבאותו מרחק הליכה היה בית ספר יסודי (בית הספר סמנר) אשר למדו בו רק לבנים</w:t>
      </w:r>
      <w:r w:rsidRPr="00990F69">
        <w:rPr>
          <w:sz w:val="20"/>
          <w:szCs w:val="20"/>
        </w:rPr>
        <w:t>.</w:t>
      </w:r>
      <w:r>
        <w:rPr>
          <w:rFonts w:hint="cs"/>
          <w:sz w:val="20"/>
          <w:szCs w:val="20"/>
          <w:rtl/>
        </w:rPr>
        <w:t>...</w:t>
      </w:r>
    </w:p>
    <w:p w:rsidR="005366A8" w:rsidRPr="00990F69" w:rsidRDefault="005366A8" w:rsidP="005366A8">
      <w:pPr>
        <w:pStyle w:val="NormalWeb"/>
        <w:shd w:val="clear" w:color="auto" w:fill="FFFFFF"/>
        <w:spacing w:before="96" w:after="120" w:line="181" w:lineRule="atLeast"/>
        <w:rPr>
          <w:rStyle w:val="mw-headline"/>
          <w:sz w:val="20"/>
          <w:szCs w:val="20"/>
        </w:rPr>
      </w:pPr>
      <w:r w:rsidRPr="00990F69">
        <w:rPr>
          <w:sz w:val="20"/>
          <w:szCs w:val="20"/>
          <w:rtl/>
        </w:rPr>
        <w:t>בית המשפט המחוזי פסק כי מועצת החינוך פעלה כדין, בהסתמכו על</w:t>
      </w:r>
      <w:r w:rsidRPr="00990F69">
        <w:rPr>
          <w:rStyle w:val="apple-converted-space"/>
          <w:sz w:val="20"/>
          <w:szCs w:val="20"/>
        </w:rPr>
        <w:t> </w:t>
      </w:r>
      <w:hyperlink r:id="rId238" w:tooltip="פסק דין פלסי נגד פרגוסון" w:history="1">
        <w:r w:rsidRPr="00990F69">
          <w:rPr>
            <w:rStyle w:val="Hyperlink"/>
            <w:sz w:val="20"/>
            <w:szCs w:val="20"/>
            <w:rtl/>
          </w:rPr>
          <w:t>פסק דין פלסי נגד פרגוסון</w:t>
        </w:r>
      </w:hyperlink>
      <w:r w:rsidRPr="00990F69">
        <w:rPr>
          <w:rStyle w:val="apple-converted-space"/>
          <w:sz w:val="20"/>
          <w:szCs w:val="20"/>
        </w:rPr>
        <w:t> </w:t>
      </w:r>
      <w:r w:rsidRPr="00990F69">
        <w:rPr>
          <w:sz w:val="20"/>
          <w:szCs w:val="20"/>
        </w:rPr>
        <w:t xml:space="preserve">((1896) </w:t>
      </w:r>
      <w:r w:rsidRPr="00990F69">
        <w:rPr>
          <w:sz w:val="20"/>
          <w:szCs w:val="20"/>
          <w:cs/>
        </w:rPr>
        <w:t>‎</w:t>
      </w:r>
      <w:r w:rsidRPr="00990F69">
        <w:rPr>
          <w:sz w:val="20"/>
          <w:szCs w:val="20"/>
        </w:rPr>
        <w:t xml:space="preserve">163 U.S. 537) </w:t>
      </w:r>
      <w:r w:rsidRPr="00990F69">
        <w:rPr>
          <w:sz w:val="20"/>
          <w:szCs w:val="20"/>
          <w:rtl/>
        </w:rPr>
        <w:t>אשר קבע כי דוקטרינת</w:t>
      </w:r>
      <w:r w:rsidRPr="00990F69">
        <w:rPr>
          <w:sz w:val="20"/>
          <w:szCs w:val="20"/>
        </w:rPr>
        <w:t xml:space="preserve"> "</w:t>
      </w:r>
      <w:hyperlink r:id="rId239" w:tooltip="נפרד אבל שווה" w:history="1">
        <w:r w:rsidRPr="00990F69">
          <w:rPr>
            <w:rStyle w:val="Hyperlink"/>
            <w:sz w:val="20"/>
            <w:szCs w:val="20"/>
            <w:rtl/>
          </w:rPr>
          <w:t>נפרד אבל שווה</w:t>
        </w:r>
      </w:hyperlink>
      <w:r w:rsidRPr="00990F69">
        <w:rPr>
          <w:sz w:val="20"/>
          <w:szCs w:val="20"/>
        </w:rPr>
        <w:t xml:space="preserve">" </w:t>
      </w:r>
      <w:r w:rsidRPr="00990F69">
        <w:rPr>
          <w:sz w:val="20"/>
          <w:szCs w:val="20"/>
          <w:rtl/>
        </w:rPr>
        <w:t xml:space="preserve">הינה חוקתית. שלושת השופטים אכן מצאו כממצא עובדתי כי חינוך השחורים בנפרד אכן פוגע בהם, אולם קבעו כי בתי הספר שווים מבחינת בניינים, תוכנית לימודים, והדרישות מן המורים </w:t>
      </w:r>
      <w:r>
        <w:rPr>
          <w:rFonts w:hint="cs"/>
          <w:sz w:val="20"/>
          <w:szCs w:val="20"/>
          <w:rtl/>
        </w:rPr>
        <w:t>.</w:t>
      </w:r>
      <w:r w:rsidRPr="00990F69">
        <w:rPr>
          <w:rStyle w:val="mw-headline"/>
          <w:sz w:val="20"/>
          <w:szCs w:val="20"/>
        </w:rPr>
        <w:t xml:space="preserve"> </w:t>
      </w:r>
    </w:p>
    <w:p w:rsidR="005366A8" w:rsidRPr="00990F69" w:rsidRDefault="005366A8" w:rsidP="005366A8">
      <w:pPr>
        <w:pStyle w:val="Heading3"/>
        <w:shd w:val="clear" w:color="auto" w:fill="FFFFFF"/>
        <w:spacing w:after="72" w:line="181" w:lineRule="atLeast"/>
        <w:jc w:val="left"/>
        <w:rPr>
          <w:b w:val="0"/>
          <w:bCs w:val="0"/>
          <w:sz w:val="20"/>
          <w:szCs w:val="20"/>
        </w:rPr>
      </w:pPr>
      <w:r w:rsidRPr="00990F69">
        <w:rPr>
          <w:rStyle w:val="mw-headline"/>
          <w:sz w:val="20"/>
          <w:szCs w:val="20"/>
          <w:rtl/>
        </w:rPr>
        <w:t xml:space="preserve">החלטת בית המשפט העליון </w:t>
      </w:r>
    </w:p>
    <w:p w:rsidR="005366A8" w:rsidRPr="00990F69" w:rsidRDefault="005366A8" w:rsidP="005366A8">
      <w:pPr>
        <w:pStyle w:val="NormalWeb"/>
        <w:shd w:val="clear" w:color="auto" w:fill="FFFFFF"/>
        <w:spacing w:before="96" w:after="120" w:line="181" w:lineRule="atLeast"/>
        <w:rPr>
          <w:sz w:val="20"/>
          <w:szCs w:val="20"/>
        </w:rPr>
      </w:pPr>
      <w:r w:rsidRPr="00990F69">
        <w:rPr>
          <w:sz w:val="20"/>
          <w:szCs w:val="20"/>
          <w:rtl/>
        </w:rPr>
        <w:t>בית-המשפט עמד לדחות את התביעות השונות ולאשר את מדיניות ה"נפרד אבל שווה" ברוב של 5 נגד 4. ואולם, במהלך הדיונים נפטר נשיא בית-המשפט העליון דאז, ובמקומו מונה</w:t>
      </w:r>
      <w:r w:rsidRPr="00990F69">
        <w:rPr>
          <w:rStyle w:val="apple-converted-space"/>
          <w:sz w:val="20"/>
          <w:szCs w:val="20"/>
        </w:rPr>
        <w:t> </w:t>
      </w:r>
      <w:hyperlink r:id="rId240" w:tooltip="ארל וורן" w:history="1">
        <w:r w:rsidRPr="00990F69">
          <w:rPr>
            <w:rStyle w:val="Hyperlink"/>
            <w:sz w:val="20"/>
            <w:szCs w:val="20"/>
            <w:rtl/>
          </w:rPr>
          <w:t>ארל וורן</w:t>
        </w:r>
      </w:hyperlink>
      <w:r w:rsidRPr="00990F69">
        <w:rPr>
          <w:sz w:val="20"/>
          <w:szCs w:val="20"/>
        </w:rPr>
        <w:t xml:space="preserve">. </w:t>
      </w:r>
      <w:r w:rsidRPr="00990F69">
        <w:rPr>
          <w:sz w:val="20"/>
          <w:szCs w:val="20"/>
          <w:rtl/>
        </w:rPr>
        <w:t>וורן לא רק שאכזב את הפלג השמרני ובפרט את הנשיא</w:t>
      </w:r>
      <w:r w:rsidRPr="00990F69">
        <w:rPr>
          <w:rStyle w:val="apple-converted-space"/>
          <w:sz w:val="20"/>
          <w:szCs w:val="20"/>
        </w:rPr>
        <w:t> </w:t>
      </w:r>
      <w:hyperlink r:id="rId241" w:tooltip="דווייט אייזנהאואר" w:history="1">
        <w:r w:rsidRPr="00990F69">
          <w:rPr>
            <w:rStyle w:val="Hyperlink"/>
            <w:sz w:val="20"/>
            <w:szCs w:val="20"/>
            <w:rtl/>
          </w:rPr>
          <w:t>אייזנהאואר</w:t>
        </w:r>
      </w:hyperlink>
      <w:r w:rsidRPr="00990F69">
        <w:rPr>
          <w:rStyle w:val="apple-converted-space"/>
          <w:sz w:val="20"/>
          <w:szCs w:val="20"/>
        </w:rPr>
        <w:t> </w:t>
      </w:r>
      <w:r w:rsidRPr="00990F69">
        <w:rPr>
          <w:sz w:val="20"/>
          <w:szCs w:val="20"/>
          <w:rtl/>
        </w:rPr>
        <w:t>שמינה אותו, באמצו את הגישה ליברלית ו</w:t>
      </w:r>
      <w:r>
        <w:rPr>
          <w:rFonts w:hint="cs"/>
          <w:sz w:val="20"/>
          <w:szCs w:val="20"/>
          <w:rtl/>
        </w:rPr>
        <w:t>ב</w:t>
      </w:r>
      <w:r w:rsidRPr="00990F69">
        <w:rPr>
          <w:sz w:val="20"/>
          <w:szCs w:val="20"/>
          <w:rtl/>
        </w:rPr>
        <w:t>הטותו את הכף לטובת קבלת התביעה, אלא שהוא הצליח לשכנע בכך גם את ארבעת חבריו השופטים, וכך הגיע בית-המשפט להחלטה</w:t>
      </w:r>
      <w:r w:rsidRPr="00990F69">
        <w:rPr>
          <w:rStyle w:val="apple-converted-space"/>
          <w:sz w:val="20"/>
          <w:szCs w:val="20"/>
        </w:rPr>
        <w:t> </w:t>
      </w:r>
      <w:hyperlink r:id="rId242" w:tooltip="פה אחד" w:history="1">
        <w:r w:rsidRPr="00990F69">
          <w:rPr>
            <w:rStyle w:val="Hyperlink"/>
            <w:sz w:val="20"/>
            <w:szCs w:val="20"/>
            <w:rtl/>
          </w:rPr>
          <w:t>פה אחד</w:t>
        </w:r>
      </w:hyperlink>
      <w:r w:rsidRPr="00990F69">
        <w:rPr>
          <w:sz w:val="20"/>
          <w:szCs w:val="20"/>
        </w:rPr>
        <w:t xml:space="preserve">. </w:t>
      </w:r>
      <w:r>
        <w:rPr>
          <w:rFonts w:hint="cs"/>
          <w:sz w:val="20"/>
          <w:szCs w:val="20"/>
          <w:rtl/>
        </w:rPr>
        <w:t xml:space="preserve"> </w:t>
      </w:r>
      <w:r w:rsidRPr="00990F69">
        <w:rPr>
          <w:sz w:val="20"/>
          <w:szCs w:val="20"/>
          <w:rtl/>
        </w:rPr>
        <w:t>ב־</w:t>
      </w:r>
      <w:hyperlink r:id="rId243" w:tooltip="17 במאי" w:history="1">
        <w:r w:rsidRPr="00990F69">
          <w:rPr>
            <w:rStyle w:val="Hyperlink"/>
            <w:sz w:val="20"/>
            <w:szCs w:val="20"/>
          </w:rPr>
          <w:t xml:space="preserve">17 </w:t>
        </w:r>
        <w:r w:rsidRPr="00990F69">
          <w:rPr>
            <w:rStyle w:val="Hyperlink"/>
            <w:sz w:val="20"/>
            <w:szCs w:val="20"/>
            <w:rtl/>
          </w:rPr>
          <w:t>במאי</w:t>
        </w:r>
      </w:hyperlink>
      <w:r w:rsidRPr="00990F69">
        <w:rPr>
          <w:rStyle w:val="apple-converted-space"/>
          <w:sz w:val="20"/>
          <w:szCs w:val="20"/>
        </w:rPr>
        <w:t> </w:t>
      </w:r>
      <w:hyperlink r:id="rId244" w:tooltip="1954" w:history="1">
        <w:r w:rsidRPr="00990F69">
          <w:rPr>
            <w:rStyle w:val="Hyperlink"/>
            <w:sz w:val="20"/>
            <w:szCs w:val="20"/>
          </w:rPr>
          <w:t>1954</w:t>
        </w:r>
      </w:hyperlink>
      <w:r w:rsidRPr="00990F69">
        <w:rPr>
          <w:rStyle w:val="apple-converted-space"/>
          <w:sz w:val="20"/>
          <w:szCs w:val="20"/>
        </w:rPr>
        <w:t> </w:t>
      </w:r>
      <w:r w:rsidRPr="00990F69">
        <w:rPr>
          <w:sz w:val="20"/>
          <w:szCs w:val="20"/>
          <w:rtl/>
        </w:rPr>
        <w:t>קרא ארל וורן את החלטת השופטים והכריז כי</w:t>
      </w:r>
      <w:r w:rsidRPr="00990F69">
        <w:rPr>
          <w:rStyle w:val="apple-converted-space"/>
          <w:sz w:val="20"/>
          <w:szCs w:val="20"/>
        </w:rPr>
        <w:t> </w:t>
      </w:r>
      <w:r w:rsidRPr="00990F69">
        <w:rPr>
          <w:b/>
          <w:bCs/>
          <w:sz w:val="20"/>
          <w:szCs w:val="20"/>
        </w:rPr>
        <w:t>"</w:t>
      </w:r>
      <w:r w:rsidRPr="00990F69">
        <w:rPr>
          <w:b/>
          <w:bCs/>
          <w:sz w:val="20"/>
          <w:szCs w:val="20"/>
          <w:rtl/>
        </w:rPr>
        <w:t>חינוך נפרד הינו מפלה מטבעו</w:t>
      </w:r>
      <w:r w:rsidRPr="00990F69">
        <w:rPr>
          <w:b/>
          <w:bCs/>
          <w:sz w:val="20"/>
          <w:szCs w:val="20"/>
        </w:rPr>
        <w:t>"</w:t>
      </w:r>
      <w:r w:rsidRPr="00990F69">
        <w:rPr>
          <w:sz w:val="20"/>
          <w:szCs w:val="20"/>
        </w:rPr>
        <w:t xml:space="preserve">. </w:t>
      </w:r>
      <w:r w:rsidRPr="00990F69">
        <w:rPr>
          <w:sz w:val="20"/>
          <w:szCs w:val="20"/>
          <w:rtl/>
        </w:rPr>
        <w:t>מבחינה משפטית פסק הדין הקצר נדרש, באופן מהפכני, לתאוריות מתחום</w:t>
      </w:r>
      <w:r w:rsidRPr="00990F69">
        <w:rPr>
          <w:rStyle w:val="apple-converted-space"/>
          <w:sz w:val="20"/>
          <w:szCs w:val="20"/>
        </w:rPr>
        <w:t> </w:t>
      </w:r>
      <w:hyperlink r:id="rId245" w:tooltip="מדעי החברה" w:history="1">
        <w:r w:rsidRPr="00990F69">
          <w:rPr>
            <w:rStyle w:val="Hyperlink"/>
            <w:sz w:val="20"/>
            <w:szCs w:val="20"/>
            <w:rtl/>
          </w:rPr>
          <w:t>מדעי החברה</w:t>
        </w:r>
      </w:hyperlink>
      <w:r w:rsidRPr="00990F69">
        <w:rPr>
          <w:rStyle w:val="apple-converted-space"/>
          <w:sz w:val="20"/>
          <w:szCs w:val="20"/>
        </w:rPr>
        <w:t> </w:t>
      </w:r>
      <w:r w:rsidRPr="00990F69">
        <w:rPr>
          <w:sz w:val="20"/>
          <w:szCs w:val="20"/>
          <w:rtl/>
        </w:rPr>
        <w:t>וה</w:t>
      </w:r>
      <w:hyperlink r:id="rId246" w:tooltip="פסיכולוגיה" w:history="1">
        <w:r w:rsidRPr="00990F69">
          <w:rPr>
            <w:rStyle w:val="Hyperlink"/>
            <w:sz w:val="20"/>
            <w:szCs w:val="20"/>
            <w:rtl/>
          </w:rPr>
          <w:t>פסיכולוגיה</w:t>
        </w:r>
      </w:hyperlink>
      <w:r w:rsidRPr="00990F69">
        <w:rPr>
          <w:rStyle w:val="apple-converted-space"/>
          <w:sz w:val="20"/>
          <w:szCs w:val="20"/>
        </w:rPr>
        <w:t> </w:t>
      </w:r>
      <w:r w:rsidRPr="00990F69">
        <w:rPr>
          <w:sz w:val="20"/>
          <w:szCs w:val="20"/>
          <w:rtl/>
        </w:rPr>
        <w:t>כדי לקבוע כי עצם ההפרדה יוצרת נזק ממשי בתדמיתו של התלמיד השחור, ולכן היא ממהותה בלתי שיוויונית, ומפירה את</w:t>
      </w:r>
      <w:r w:rsidRPr="00990F69">
        <w:rPr>
          <w:rStyle w:val="apple-converted-space"/>
          <w:sz w:val="20"/>
          <w:szCs w:val="20"/>
        </w:rPr>
        <w:t> </w:t>
      </w:r>
      <w:hyperlink r:id="rId247" w:tooltip="התיקון ה-14 לחוקת ארצות הברית" w:history="1">
        <w:r w:rsidRPr="00990F69">
          <w:rPr>
            <w:rStyle w:val="Hyperlink"/>
            <w:sz w:val="20"/>
            <w:szCs w:val="20"/>
            <w:rtl/>
          </w:rPr>
          <w:t>התיקון ה-14 לחוקת ארצות הברית</w:t>
        </w:r>
      </w:hyperlink>
      <w:r w:rsidRPr="00990F69">
        <w:rPr>
          <w:sz w:val="20"/>
          <w:szCs w:val="20"/>
        </w:rPr>
        <w:t xml:space="preserve">. </w:t>
      </w:r>
      <w:r>
        <w:rPr>
          <w:rFonts w:hint="cs"/>
          <w:sz w:val="20"/>
          <w:szCs w:val="20"/>
          <w:rtl/>
        </w:rPr>
        <w:t xml:space="preserve"> </w:t>
      </w:r>
    </w:p>
    <w:p w:rsidR="005366A8" w:rsidRPr="00990F69" w:rsidRDefault="005366A8" w:rsidP="005366A8">
      <w:pPr>
        <w:pStyle w:val="NormalWeb"/>
        <w:shd w:val="clear" w:color="auto" w:fill="FFFFFF"/>
        <w:spacing w:before="96" w:after="120" w:line="181" w:lineRule="atLeast"/>
        <w:rPr>
          <w:sz w:val="20"/>
          <w:szCs w:val="20"/>
        </w:rPr>
      </w:pPr>
      <w:r w:rsidRPr="00990F69">
        <w:rPr>
          <w:sz w:val="20"/>
          <w:szCs w:val="20"/>
          <w:rtl/>
        </w:rPr>
        <w:t>פסק דין בראון לא הביא מיידית לביטול ההפרדה בבתי הספר, ואף לא באתרים ציבורים אחרים כגון מסעדים ושירותים, באשר אלה הוחזקו על ידי אנשים פרטיים ולא היוו מוסדות ציבוריים. מניעת אפליה במוסדות פרטיים אירעה רק לאחר חקיקת</w:t>
      </w:r>
      <w:r w:rsidRPr="00990F69">
        <w:rPr>
          <w:rStyle w:val="apple-converted-space"/>
          <w:sz w:val="20"/>
          <w:szCs w:val="20"/>
        </w:rPr>
        <w:t> </w:t>
      </w:r>
      <w:hyperlink r:id="rId248" w:tooltip="חוק זכויות האזרח של 1964" w:history="1">
        <w:r w:rsidRPr="00990F69">
          <w:rPr>
            <w:rStyle w:val="Hyperlink"/>
            <w:sz w:val="20"/>
            <w:szCs w:val="20"/>
            <w:rtl/>
          </w:rPr>
          <w:t>חוק זכויות האזרח של 1964</w:t>
        </w:r>
      </w:hyperlink>
      <w:r w:rsidRPr="00990F69">
        <w:rPr>
          <w:sz w:val="20"/>
          <w:szCs w:val="20"/>
        </w:rPr>
        <w:t>.</w:t>
      </w:r>
    </w:p>
    <w:p w:rsidR="005366A8" w:rsidRPr="00990F69" w:rsidRDefault="005366A8" w:rsidP="005366A8">
      <w:pPr>
        <w:pStyle w:val="NormalWeb"/>
        <w:shd w:val="clear" w:color="auto" w:fill="FFFFFF"/>
        <w:spacing w:before="96" w:after="120" w:line="181" w:lineRule="atLeast"/>
        <w:rPr>
          <w:sz w:val="20"/>
          <w:szCs w:val="20"/>
        </w:rPr>
      </w:pPr>
      <w:r w:rsidRPr="00990F69">
        <w:rPr>
          <w:sz w:val="20"/>
          <w:szCs w:val="20"/>
          <w:rtl/>
        </w:rPr>
        <w:t>פסק הדין מכונה</w:t>
      </w:r>
      <w:r w:rsidRPr="00990F69">
        <w:rPr>
          <w:sz w:val="20"/>
          <w:szCs w:val="20"/>
        </w:rPr>
        <w:t xml:space="preserve"> "</w:t>
      </w:r>
      <w:r w:rsidRPr="00990F69">
        <w:rPr>
          <w:b/>
          <w:bCs/>
          <w:sz w:val="20"/>
          <w:szCs w:val="20"/>
          <w:rtl/>
        </w:rPr>
        <w:t>בראון א</w:t>
      </w:r>
      <w:r w:rsidRPr="00990F69">
        <w:rPr>
          <w:b/>
          <w:bCs/>
          <w:sz w:val="20"/>
          <w:szCs w:val="20"/>
        </w:rPr>
        <w:t>'</w:t>
      </w:r>
      <w:r w:rsidRPr="00990F69">
        <w:rPr>
          <w:sz w:val="20"/>
          <w:szCs w:val="20"/>
        </w:rPr>
        <w:t xml:space="preserve">" </w:t>
      </w:r>
      <w:r w:rsidRPr="00990F69">
        <w:rPr>
          <w:sz w:val="20"/>
          <w:szCs w:val="20"/>
          <w:rtl/>
        </w:rPr>
        <w:t>משום ששנה מאוחר יותר ניתן על ידי בית המשפט העליון פסק דין שני, המכונה</w:t>
      </w:r>
      <w:r w:rsidRPr="00990F69">
        <w:rPr>
          <w:sz w:val="20"/>
          <w:szCs w:val="20"/>
        </w:rPr>
        <w:t xml:space="preserve"> "</w:t>
      </w:r>
      <w:r w:rsidRPr="00990F69">
        <w:rPr>
          <w:b/>
          <w:bCs/>
          <w:sz w:val="20"/>
          <w:szCs w:val="20"/>
          <w:rtl/>
        </w:rPr>
        <w:t>בראון ב</w:t>
      </w:r>
      <w:r w:rsidRPr="00990F69">
        <w:rPr>
          <w:b/>
          <w:bCs/>
          <w:sz w:val="20"/>
          <w:szCs w:val="20"/>
        </w:rPr>
        <w:t>'</w:t>
      </w:r>
      <w:r w:rsidRPr="00990F69">
        <w:rPr>
          <w:sz w:val="20"/>
          <w:szCs w:val="20"/>
        </w:rPr>
        <w:t xml:space="preserve">", </w:t>
      </w:r>
      <w:r w:rsidRPr="00990F69">
        <w:rPr>
          <w:sz w:val="20"/>
          <w:szCs w:val="20"/>
          <w:rtl/>
        </w:rPr>
        <w:t>שבו נקבע כי המדינות השונות חייבות לציית להחלטת פסק דין בראון "במהירות האפשרית". על אף החלטה זו לא בוטלה ההפרדה עד שנת</w:t>
      </w:r>
      <w:r w:rsidRPr="00990F69">
        <w:rPr>
          <w:rStyle w:val="apple-converted-space"/>
          <w:sz w:val="20"/>
          <w:szCs w:val="20"/>
        </w:rPr>
        <w:t> </w:t>
      </w:r>
      <w:hyperlink r:id="rId249" w:tooltip="1970" w:history="1">
        <w:r w:rsidRPr="00990F69">
          <w:rPr>
            <w:rStyle w:val="Hyperlink"/>
            <w:sz w:val="20"/>
            <w:szCs w:val="20"/>
          </w:rPr>
          <w:t>1970</w:t>
        </w:r>
      </w:hyperlink>
      <w:r w:rsidRPr="00990F69">
        <w:rPr>
          <w:rStyle w:val="apple-converted-space"/>
          <w:sz w:val="20"/>
          <w:szCs w:val="20"/>
        </w:rPr>
        <w:t> </w:t>
      </w:r>
      <w:r w:rsidRPr="00990F69">
        <w:rPr>
          <w:sz w:val="20"/>
          <w:szCs w:val="20"/>
          <w:rtl/>
        </w:rPr>
        <w:t>בחלק ממדינות הדרום, ואף בשנת</w:t>
      </w:r>
      <w:r w:rsidRPr="00990F69">
        <w:rPr>
          <w:rStyle w:val="apple-converted-space"/>
          <w:sz w:val="20"/>
          <w:szCs w:val="20"/>
        </w:rPr>
        <w:t> </w:t>
      </w:r>
      <w:hyperlink r:id="rId250" w:tooltip="1971" w:history="1">
        <w:r w:rsidRPr="00990F69">
          <w:rPr>
            <w:rStyle w:val="Hyperlink"/>
            <w:sz w:val="20"/>
            <w:szCs w:val="20"/>
          </w:rPr>
          <w:t>1971</w:t>
        </w:r>
      </w:hyperlink>
      <w:r w:rsidRPr="00990F69">
        <w:rPr>
          <w:rStyle w:val="apple-converted-space"/>
          <w:sz w:val="20"/>
          <w:szCs w:val="20"/>
        </w:rPr>
        <w:t> </w:t>
      </w:r>
      <w:r w:rsidRPr="00990F69">
        <w:rPr>
          <w:sz w:val="20"/>
          <w:szCs w:val="20"/>
        </w:rPr>
        <w:t>(</w:t>
      </w:r>
      <w:hyperlink r:id="rId251" w:tooltip="פסק דין סוואן נגד מועצת החינוך שארלוט מקלנבורג (הדף אינו קיים)" w:history="1">
        <w:r w:rsidRPr="00990F69">
          <w:rPr>
            <w:rStyle w:val="Hyperlink"/>
            <w:sz w:val="20"/>
            <w:szCs w:val="20"/>
            <w:rtl/>
          </w:rPr>
          <w:t>פסק דין סוואן נגד מועצת החינוך שארלוט מקלנבורג</w:t>
        </w:r>
      </w:hyperlink>
      <w:r w:rsidRPr="00990F69">
        <w:rPr>
          <w:rStyle w:val="apple-converted-space"/>
          <w:sz w:val="20"/>
          <w:szCs w:val="20"/>
        </w:rPr>
        <w:t> </w:t>
      </w:r>
      <w:r w:rsidRPr="00990F69">
        <w:rPr>
          <w:sz w:val="20"/>
          <w:szCs w:val="20"/>
        </w:rPr>
        <w:t xml:space="preserve">- (1971) </w:t>
      </w:r>
      <w:r w:rsidRPr="00990F69">
        <w:rPr>
          <w:sz w:val="20"/>
          <w:szCs w:val="20"/>
          <w:cs/>
        </w:rPr>
        <w:t>‎</w:t>
      </w:r>
      <w:r w:rsidRPr="00990F69">
        <w:rPr>
          <w:sz w:val="20"/>
          <w:szCs w:val="20"/>
        </w:rPr>
        <w:t xml:space="preserve">402 U.S. 1) </w:t>
      </w:r>
      <w:r w:rsidRPr="00990F69">
        <w:rPr>
          <w:sz w:val="20"/>
          <w:szCs w:val="20"/>
          <w:rtl/>
        </w:rPr>
        <w:t>ובשנת</w:t>
      </w:r>
      <w:r w:rsidRPr="00990F69">
        <w:rPr>
          <w:rStyle w:val="apple-converted-space"/>
          <w:sz w:val="20"/>
          <w:szCs w:val="20"/>
        </w:rPr>
        <w:t> </w:t>
      </w:r>
      <w:hyperlink r:id="rId252" w:tooltip="1974" w:history="1">
        <w:r w:rsidRPr="00990F69">
          <w:rPr>
            <w:rStyle w:val="Hyperlink"/>
            <w:sz w:val="20"/>
            <w:szCs w:val="20"/>
          </w:rPr>
          <w:t>1974</w:t>
        </w:r>
      </w:hyperlink>
      <w:r w:rsidRPr="00990F69">
        <w:rPr>
          <w:rStyle w:val="apple-converted-space"/>
          <w:sz w:val="20"/>
          <w:szCs w:val="20"/>
        </w:rPr>
        <w:t> </w:t>
      </w:r>
      <w:r w:rsidRPr="00990F69">
        <w:rPr>
          <w:sz w:val="20"/>
          <w:szCs w:val="20"/>
        </w:rPr>
        <w:t>(</w:t>
      </w:r>
      <w:hyperlink r:id="rId253" w:tooltip="פסק דין מיליקן נגד ברדלי (הדף אינו קיים)" w:history="1">
        <w:r w:rsidRPr="00990F69">
          <w:rPr>
            <w:rStyle w:val="Hyperlink"/>
            <w:sz w:val="20"/>
            <w:szCs w:val="20"/>
            <w:rtl/>
          </w:rPr>
          <w:t>פסק דין מיליקן נגד ברדלי</w:t>
        </w:r>
      </w:hyperlink>
      <w:r w:rsidRPr="00990F69">
        <w:rPr>
          <w:rStyle w:val="apple-converted-space"/>
          <w:sz w:val="20"/>
          <w:szCs w:val="20"/>
        </w:rPr>
        <w:t> </w:t>
      </w:r>
      <w:r w:rsidRPr="00990F69">
        <w:rPr>
          <w:sz w:val="20"/>
          <w:szCs w:val="20"/>
        </w:rPr>
        <w:t xml:space="preserve">- (1974) </w:t>
      </w:r>
      <w:r w:rsidRPr="00990F69">
        <w:rPr>
          <w:sz w:val="20"/>
          <w:szCs w:val="20"/>
          <w:cs/>
        </w:rPr>
        <w:t>‎</w:t>
      </w:r>
      <w:r w:rsidRPr="00990F69">
        <w:rPr>
          <w:sz w:val="20"/>
          <w:szCs w:val="20"/>
        </w:rPr>
        <w:t xml:space="preserve">418 U.S. 717) </w:t>
      </w:r>
      <w:r w:rsidRPr="00990F69">
        <w:rPr>
          <w:sz w:val="20"/>
          <w:szCs w:val="20"/>
          <w:rtl/>
        </w:rPr>
        <w:t>נאלץ בית המשפט העליון להתערב במקרים של הפרדה גזעית והסעת תלמידים אל מחוץ למחוזות חינוך באוטובוסים על מנת לבצע הפרדה על בסיס גזע</w:t>
      </w:r>
      <w:r w:rsidRPr="00990F69">
        <w:rPr>
          <w:sz w:val="20"/>
          <w:szCs w:val="20"/>
        </w:rPr>
        <w:t>.</w:t>
      </w:r>
    </w:p>
    <w:p w:rsidR="005366A8" w:rsidRPr="00990F69" w:rsidRDefault="005366A8" w:rsidP="005366A8">
      <w:pPr>
        <w:pStyle w:val="NormalWeb"/>
        <w:shd w:val="clear" w:color="auto" w:fill="FFFFFF"/>
        <w:spacing w:before="96" w:after="120" w:line="181" w:lineRule="atLeast"/>
        <w:rPr>
          <w:sz w:val="20"/>
          <w:szCs w:val="20"/>
        </w:rPr>
      </w:pPr>
      <w:r w:rsidRPr="00990F69">
        <w:rPr>
          <w:sz w:val="20"/>
          <w:szCs w:val="20"/>
          <w:rtl/>
        </w:rPr>
        <w:t>פסקי דין נוספים ניתנו בשנים הבאות, ביטלו את ההפרדה כאי-שיוויונית בשורה ארוכה של תחומים נוספים, כמו תחבורה ציבורית, מבני ציבור ואפילו מגרשי גולף. למעשה, מאז פסק-דין זה, בכל המקרים בהם הוחלט על הפרדה על בסיס גזעי, מלבד במקרים של</w:t>
      </w:r>
      <w:r w:rsidRPr="00990F69">
        <w:rPr>
          <w:rStyle w:val="apple-converted-space"/>
          <w:sz w:val="20"/>
          <w:szCs w:val="20"/>
        </w:rPr>
        <w:t> </w:t>
      </w:r>
      <w:hyperlink r:id="rId254" w:tooltip="אפליה מתקנת" w:history="1">
        <w:r w:rsidRPr="00990F69">
          <w:rPr>
            <w:rStyle w:val="Hyperlink"/>
            <w:sz w:val="20"/>
            <w:szCs w:val="20"/>
            <w:rtl/>
          </w:rPr>
          <w:t>אפליה מתקנת</w:t>
        </w:r>
      </w:hyperlink>
      <w:r w:rsidRPr="00990F69">
        <w:rPr>
          <w:sz w:val="20"/>
          <w:szCs w:val="20"/>
        </w:rPr>
        <w:t xml:space="preserve">, </w:t>
      </w:r>
      <w:r w:rsidRPr="00990F69">
        <w:rPr>
          <w:sz w:val="20"/>
          <w:szCs w:val="20"/>
          <w:rtl/>
        </w:rPr>
        <w:t>הפרדה זאת נקבעה כבלתי חוקתית</w:t>
      </w:r>
      <w:r w:rsidRPr="00990F69">
        <w:rPr>
          <w:sz w:val="20"/>
          <w:szCs w:val="20"/>
        </w:rPr>
        <w:t>.</w:t>
      </w:r>
    </w:p>
    <w:p w:rsidR="005366A8" w:rsidRPr="00D117B0" w:rsidRDefault="005366A8" w:rsidP="005366A8">
      <w:pPr>
        <w:pStyle w:val="Heading2"/>
        <w:pBdr>
          <w:bottom w:val="single" w:sz="4" w:space="2" w:color="AAAAAA"/>
        </w:pBdr>
        <w:shd w:val="clear" w:color="auto" w:fill="FFFFFF"/>
        <w:spacing w:after="144" w:line="181" w:lineRule="atLeast"/>
        <w:jc w:val="left"/>
        <w:rPr>
          <w:sz w:val="20"/>
          <w:szCs w:val="20"/>
        </w:rPr>
      </w:pPr>
      <w:r w:rsidRPr="00D117B0">
        <w:rPr>
          <w:rStyle w:val="mw-headline"/>
          <w:sz w:val="20"/>
          <w:szCs w:val="20"/>
          <w:rtl/>
        </w:rPr>
        <w:t>השפעות פסק הדין</w:t>
      </w:r>
    </w:p>
    <w:p w:rsidR="005366A8" w:rsidRPr="00D117B0" w:rsidRDefault="005366A8" w:rsidP="005366A8">
      <w:pPr>
        <w:pStyle w:val="NormalWeb"/>
        <w:shd w:val="clear" w:color="auto" w:fill="FFFFFF"/>
        <w:spacing w:before="96" w:after="120" w:line="181" w:lineRule="atLeast"/>
        <w:rPr>
          <w:sz w:val="20"/>
          <w:szCs w:val="20"/>
          <w:rtl/>
        </w:rPr>
      </w:pPr>
      <w:r w:rsidRPr="00990F69">
        <w:rPr>
          <w:sz w:val="20"/>
          <w:szCs w:val="20"/>
          <w:rtl/>
        </w:rPr>
        <w:t xml:space="preserve">לא כל המדינות </w:t>
      </w:r>
      <w:r>
        <w:rPr>
          <w:rFonts w:hint="cs"/>
          <w:sz w:val="20"/>
          <w:szCs w:val="20"/>
          <w:rtl/>
        </w:rPr>
        <w:t xml:space="preserve">[של ארה"ב] </w:t>
      </w:r>
      <w:r w:rsidRPr="00990F69">
        <w:rPr>
          <w:sz w:val="20"/>
          <w:szCs w:val="20"/>
          <w:rtl/>
        </w:rPr>
        <w:t>קיבלו את החלטת בית המשפט העליון במקרה בראון. ב</w:t>
      </w:r>
      <w:hyperlink r:id="rId255" w:tooltip="וירג'יניה" w:history="1">
        <w:r w:rsidRPr="00990F69">
          <w:rPr>
            <w:rStyle w:val="Hyperlink"/>
            <w:sz w:val="20"/>
            <w:szCs w:val="20"/>
            <w:rtl/>
          </w:rPr>
          <w:t>וירג'יניה</w:t>
        </w:r>
      </w:hyperlink>
      <w:r w:rsidRPr="00990F69">
        <w:rPr>
          <w:sz w:val="20"/>
          <w:szCs w:val="20"/>
        </w:rPr>
        <w:t xml:space="preserve">, </w:t>
      </w:r>
      <w:r w:rsidRPr="00990F69">
        <w:rPr>
          <w:sz w:val="20"/>
          <w:szCs w:val="20"/>
          <w:rtl/>
        </w:rPr>
        <w:t>הסנטור</w:t>
      </w:r>
      <w:r w:rsidRPr="00990F69">
        <w:rPr>
          <w:rStyle w:val="apple-converted-space"/>
          <w:sz w:val="20"/>
          <w:szCs w:val="20"/>
        </w:rPr>
        <w:t> </w:t>
      </w:r>
      <w:hyperlink r:id="rId256" w:tooltip="הארי פ. בירד האב (הדף אינו קיים)" w:history="1">
        <w:r w:rsidRPr="00990F69">
          <w:rPr>
            <w:rStyle w:val="Hyperlink"/>
            <w:sz w:val="20"/>
            <w:szCs w:val="20"/>
            <w:rtl/>
          </w:rPr>
          <w:t>הארי פ. בירד האב</w:t>
        </w:r>
      </w:hyperlink>
      <w:r w:rsidRPr="00990F69">
        <w:rPr>
          <w:rStyle w:val="apple-converted-space"/>
          <w:sz w:val="20"/>
          <w:szCs w:val="20"/>
        </w:rPr>
        <w:t> </w:t>
      </w:r>
      <w:r w:rsidRPr="00990F69">
        <w:rPr>
          <w:sz w:val="20"/>
          <w:szCs w:val="20"/>
          <w:rtl/>
        </w:rPr>
        <w:t>אירגן התנגדות להחלטה ואף סגר את בתי הספר על מנת למנוע את ה</w:t>
      </w:r>
      <w:hyperlink r:id="rId257" w:tooltip="דה סגרגציה (הדף אינו קיים)" w:history="1">
        <w:r w:rsidRPr="00990F69">
          <w:rPr>
            <w:rStyle w:val="Hyperlink"/>
            <w:sz w:val="20"/>
            <w:szCs w:val="20"/>
            <w:rtl/>
          </w:rPr>
          <w:t>דה סגרגציה</w:t>
        </w:r>
      </w:hyperlink>
      <w:r w:rsidRPr="00990F69">
        <w:rPr>
          <w:sz w:val="20"/>
          <w:szCs w:val="20"/>
        </w:rPr>
        <w:t xml:space="preserve">. </w:t>
      </w:r>
      <w:r>
        <w:rPr>
          <w:rFonts w:hint="cs"/>
          <w:sz w:val="20"/>
          <w:szCs w:val="20"/>
          <w:rtl/>
        </w:rPr>
        <w:t xml:space="preserve"> </w:t>
      </w:r>
      <w:r w:rsidRPr="00990F69">
        <w:rPr>
          <w:sz w:val="20"/>
          <w:szCs w:val="20"/>
          <w:rtl/>
        </w:rPr>
        <w:t>ב</w:t>
      </w:r>
      <w:hyperlink r:id="rId258" w:tooltip="ארקנסו" w:history="1">
        <w:r w:rsidRPr="001A4B63">
          <w:rPr>
            <w:rStyle w:val="Hyperlink"/>
            <w:sz w:val="20"/>
            <w:szCs w:val="20"/>
            <w:rtl/>
          </w:rPr>
          <w:t>ארקנסו</w:t>
        </w:r>
      </w:hyperlink>
      <w:r w:rsidRPr="001A4B63">
        <w:rPr>
          <w:rStyle w:val="apple-converted-space"/>
          <w:sz w:val="20"/>
          <w:szCs w:val="20"/>
        </w:rPr>
        <w:t> </w:t>
      </w:r>
      <w:r w:rsidRPr="001A4B63">
        <w:rPr>
          <w:sz w:val="20"/>
          <w:szCs w:val="20"/>
          <w:highlight w:val="yellow"/>
          <w:rtl/>
        </w:rPr>
        <w:t>סירב ה</w:t>
      </w:r>
      <w:hyperlink r:id="rId259" w:tooltip="מושל" w:history="1">
        <w:r w:rsidRPr="001A4B63">
          <w:rPr>
            <w:rStyle w:val="Hyperlink"/>
            <w:sz w:val="20"/>
            <w:szCs w:val="20"/>
            <w:rtl/>
          </w:rPr>
          <w:t>מושל</w:t>
        </w:r>
      </w:hyperlink>
      <w:r w:rsidRPr="001A4B63">
        <w:rPr>
          <w:rStyle w:val="apple-converted-space"/>
          <w:sz w:val="20"/>
          <w:szCs w:val="20"/>
        </w:rPr>
        <w:t> </w:t>
      </w:r>
      <w:r w:rsidRPr="001A4B63">
        <w:rPr>
          <w:sz w:val="20"/>
          <w:szCs w:val="20"/>
          <w:highlight w:val="yellow"/>
          <w:rtl/>
        </w:rPr>
        <w:t>לאפשר את ביטול ההפרדה עד שהנשיא</w:t>
      </w:r>
      <w:r w:rsidRPr="001A4B63">
        <w:rPr>
          <w:sz w:val="20"/>
          <w:szCs w:val="20"/>
          <w:highlight w:val="yellow"/>
        </w:rPr>
        <w:t>,</w:t>
      </w:r>
      <w:r w:rsidRPr="001A4B63">
        <w:rPr>
          <w:rStyle w:val="apple-converted-space"/>
          <w:sz w:val="20"/>
          <w:szCs w:val="20"/>
        </w:rPr>
        <w:t> </w:t>
      </w:r>
      <w:hyperlink r:id="rId260" w:tooltip="דווייט אייזנהאואר" w:history="1">
        <w:r w:rsidRPr="001A4B63">
          <w:rPr>
            <w:rStyle w:val="Hyperlink"/>
            <w:sz w:val="20"/>
            <w:szCs w:val="20"/>
            <w:rtl/>
          </w:rPr>
          <w:t>דווייט אייזנהאואר</w:t>
        </w:r>
      </w:hyperlink>
      <w:r w:rsidRPr="001A4B63">
        <w:rPr>
          <w:sz w:val="20"/>
          <w:szCs w:val="20"/>
          <w:highlight w:val="yellow"/>
        </w:rPr>
        <w:t xml:space="preserve">, </w:t>
      </w:r>
      <w:r w:rsidRPr="001A4B63">
        <w:rPr>
          <w:rFonts w:hint="cs"/>
          <w:sz w:val="20"/>
          <w:szCs w:val="20"/>
          <w:highlight w:val="yellow"/>
          <w:rtl/>
        </w:rPr>
        <w:t xml:space="preserve"> </w:t>
      </w:r>
      <w:r w:rsidRPr="001A4B63">
        <w:rPr>
          <w:sz w:val="20"/>
          <w:szCs w:val="20"/>
          <w:highlight w:val="yellow"/>
          <w:rtl/>
        </w:rPr>
        <w:t>אף שהתנגד לפסיקה, החליט לשלוח חיילים של הצבא הפדרלי כדי לאכוף, בכוח, את ביטול ההפרדה (ראו</w:t>
      </w:r>
      <w:r w:rsidRPr="001A4B63">
        <w:rPr>
          <w:rStyle w:val="apple-converted-space"/>
          <w:sz w:val="20"/>
          <w:szCs w:val="20"/>
        </w:rPr>
        <w:t> </w:t>
      </w:r>
      <w:hyperlink r:id="rId261" w:tooltip="משבר ליטל רוק" w:history="1">
        <w:r w:rsidRPr="001A4B63">
          <w:rPr>
            <w:rStyle w:val="Hyperlink"/>
            <w:sz w:val="20"/>
            <w:szCs w:val="20"/>
            <w:rtl/>
          </w:rPr>
          <w:t>משבר ליטל רוק</w:t>
        </w:r>
      </w:hyperlink>
      <w:r w:rsidRPr="001A4B63">
        <w:rPr>
          <w:sz w:val="20"/>
          <w:szCs w:val="20"/>
          <w:highlight w:val="yellow"/>
        </w:rPr>
        <w:t xml:space="preserve">  (</w:t>
      </w:r>
      <w:r w:rsidRPr="001A4B63">
        <w:rPr>
          <w:rFonts w:hint="cs"/>
          <w:sz w:val="20"/>
          <w:szCs w:val="20"/>
          <w:highlight w:val="yellow"/>
          <w:rtl/>
        </w:rPr>
        <w:t>.</w:t>
      </w:r>
    </w:p>
    <w:p w:rsidR="005366A8" w:rsidRPr="00990F69" w:rsidRDefault="005366A8" w:rsidP="005366A8">
      <w:pPr>
        <w:pStyle w:val="NormalWeb"/>
        <w:shd w:val="clear" w:color="auto" w:fill="FFFFFF"/>
        <w:spacing w:before="96" w:after="120" w:line="181" w:lineRule="atLeast"/>
        <w:rPr>
          <w:sz w:val="20"/>
          <w:szCs w:val="20"/>
        </w:rPr>
      </w:pPr>
      <w:r w:rsidRPr="00990F69">
        <w:rPr>
          <w:sz w:val="20"/>
          <w:szCs w:val="20"/>
          <w:rtl/>
        </w:rPr>
        <w:t>ב</w:t>
      </w:r>
      <w:r>
        <w:rPr>
          <w:rFonts w:hint="cs"/>
          <w:sz w:val="20"/>
          <w:szCs w:val="20"/>
          <w:rtl/>
        </w:rPr>
        <w:t xml:space="preserve">[עיר] </w:t>
      </w:r>
      <w:r w:rsidRPr="00990F69">
        <w:rPr>
          <w:sz w:val="20"/>
          <w:szCs w:val="20"/>
          <w:rtl/>
        </w:rPr>
        <w:t>טופיקה עצמה האקלים הפוליטי השתנה מיד לאחר ההחלטה של בית המשפט, ומועצת החינוך החליטה כבר באוגוסט</w:t>
      </w:r>
      <w:r w:rsidRPr="00990F69">
        <w:rPr>
          <w:rStyle w:val="apple-converted-space"/>
          <w:sz w:val="20"/>
          <w:szCs w:val="20"/>
        </w:rPr>
        <w:t> </w:t>
      </w:r>
      <w:hyperlink r:id="rId262" w:tooltip="1953" w:history="1">
        <w:r w:rsidRPr="00990F69">
          <w:rPr>
            <w:rStyle w:val="Hyperlink"/>
            <w:sz w:val="20"/>
            <w:szCs w:val="20"/>
          </w:rPr>
          <w:t>1953</w:t>
        </w:r>
      </w:hyperlink>
      <w:r w:rsidRPr="00990F69">
        <w:rPr>
          <w:rStyle w:val="apple-converted-space"/>
          <w:sz w:val="20"/>
          <w:szCs w:val="20"/>
        </w:rPr>
        <w:t> </w:t>
      </w:r>
      <w:r w:rsidRPr="00990F69">
        <w:rPr>
          <w:sz w:val="20"/>
          <w:szCs w:val="20"/>
          <w:rtl/>
        </w:rPr>
        <w:t>על דה סגרגציה בכל בתי הספר. בניין מנהל מערכת החינוך בטופיקה קרוי היום על שם מקילנלי בראנט, נשיא ה</w:t>
      </w:r>
      <w:r w:rsidRPr="00990F69">
        <w:rPr>
          <w:sz w:val="20"/>
          <w:szCs w:val="20"/>
        </w:rPr>
        <w:t xml:space="preserve">-NAACP </w:t>
      </w:r>
      <w:r w:rsidRPr="00990F69">
        <w:rPr>
          <w:sz w:val="20"/>
          <w:szCs w:val="20"/>
          <w:rtl/>
        </w:rPr>
        <w:t>בטופיקה אשר יזם את התביעה הייצוגית ו</w:t>
      </w:r>
      <w:hyperlink r:id="rId263" w:tooltip="האתר ההיסטורי הלאומי בראון נגד מועצת החינוך (הדף אינו קיים)" w:history="1">
        <w:r w:rsidRPr="00990F69">
          <w:rPr>
            <w:rStyle w:val="Hyperlink"/>
            <w:sz w:val="20"/>
            <w:szCs w:val="20"/>
            <w:rtl/>
          </w:rPr>
          <w:t>בית הספר היסודי מונרו</w:t>
        </w:r>
      </w:hyperlink>
      <w:r w:rsidRPr="00990F69">
        <w:rPr>
          <w:rStyle w:val="apple-converted-space"/>
          <w:sz w:val="20"/>
          <w:szCs w:val="20"/>
        </w:rPr>
        <w:t> </w:t>
      </w:r>
      <w:r w:rsidRPr="00990F69">
        <w:rPr>
          <w:sz w:val="20"/>
          <w:szCs w:val="20"/>
          <w:rtl/>
        </w:rPr>
        <w:t>הוכרז ב־</w:t>
      </w:r>
      <w:hyperlink r:id="rId264" w:tooltip="26 באוקטובר" w:history="1">
        <w:r w:rsidRPr="00990F69">
          <w:rPr>
            <w:rStyle w:val="Hyperlink"/>
            <w:sz w:val="20"/>
            <w:szCs w:val="20"/>
          </w:rPr>
          <w:t xml:space="preserve">26 </w:t>
        </w:r>
        <w:r>
          <w:rPr>
            <w:rStyle w:val="Hyperlink"/>
            <w:rFonts w:hint="cs"/>
            <w:sz w:val="20"/>
            <w:szCs w:val="20"/>
            <w:rtl/>
          </w:rPr>
          <w:t xml:space="preserve"> </w:t>
        </w:r>
        <w:r w:rsidRPr="00990F69">
          <w:rPr>
            <w:rStyle w:val="Hyperlink"/>
            <w:sz w:val="20"/>
            <w:szCs w:val="20"/>
            <w:rtl/>
          </w:rPr>
          <w:t>באוקטובר</w:t>
        </w:r>
      </w:hyperlink>
      <w:r w:rsidRPr="00990F69">
        <w:rPr>
          <w:rStyle w:val="apple-converted-space"/>
          <w:sz w:val="20"/>
          <w:szCs w:val="20"/>
        </w:rPr>
        <w:t> </w:t>
      </w:r>
      <w:hyperlink r:id="rId265" w:tooltip="1992" w:history="1">
        <w:r w:rsidRPr="00990F69">
          <w:rPr>
            <w:rStyle w:val="Hyperlink"/>
            <w:sz w:val="20"/>
            <w:szCs w:val="20"/>
          </w:rPr>
          <w:t>1992</w:t>
        </w:r>
      </w:hyperlink>
      <w:r w:rsidRPr="00990F69">
        <w:rPr>
          <w:rStyle w:val="apple-converted-space"/>
          <w:sz w:val="20"/>
          <w:szCs w:val="20"/>
        </w:rPr>
        <w:t> </w:t>
      </w:r>
      <w:r w:rsidRPr="00990F69">
        <w:rPr>
          <w:sz w:val="20"/>
          <w:szCs w:val="20"/>
          <w:rtl/>
        </w:rPr>
        <w:t>כאתר היסטורי לאומי המנוהל על ידי רשות הפארקים של ארצות הברית</w:t>
      </w:r>
      <w:r w:rsidRPr="00990F69">
        <w:rPr>
          <w:sz w:val="20"/>
          <w:szCs w:val="20"/>
        </w:rPr>
        <w:t>.</w:t>
      </w:r>
    </w:p>
    <w:p w:rsidR="005366A8" w:rsidRPr="00D117B0" w:rsidRDefault="005366A8" w:rsidP="005366A8">
      <w:pPr>
        <w:pStyle w:val="NormalWeb"/>
        <w:shd w:val="clear" w:color="auto" w:fill="FFFFFF"/>
        <w:spacing w:before="96" w:after="120" w:line="181" w:lineRule="atLeast"/>
        <w:rPr>
          <w:sz w:val="20"/>
          <w:szCs w:val="20"/>
          <w:rtl/>
        </w:rPr>
      </w:pPr>
      <w:r w:rsidRPr="00990F69">
        <w:rPr>
          <w:sz w:val="20"/>
          <w:szCs w:val="20"/>
          <w:rtl/>
        </w:rPr>
        <w:t>פרופ</w:t>
      </w:r>
      <w:r w:rsidRPr="00990F69">
        <w:rPr>
          <w:sz w:val="20"/>
          <w:szCs w:val="20"/>
        </w:rPr>
        <w:t>'</w:t>
      </w:r>
      <w:r w:rsidRPr="00990F69">
        <w:rPr>
          <w:rStyle w:val="apple-converted-space"/>
          <w:sz w:val="20"/>
          <w:szCs w:val="20"/>
        </w:rPr>
        <w:t> </w:t>
      </w:r>
      <w:hyperlink r:id="rId266" w:tooltip="אהרן ברק" w:history="1">
        <w:r w:rsidRPr="00990F69">
          <w:rPr>
            <w:rStyle w:val="Hyperlink"/>
            <w:sz w:val="20"/>
            <w:szCs w:val="20"/>
            <w:rtl/>
          </w:rPr>
          <w:t>אהרן ברק</w:t>
        </w:r>
      </w:hyperlink>
      <w:r w:rsidRPr="00990F69">
        <w:rPr>
          <w:rStyle w:val="apple-converted-space"/>
          <w:sz w:val="20"/>
          <w:szCs w:val="20"/>
        </w:rPr>
        <w:t> </w:t>
      </w:r>
      <w:r w:rsidRPr="00990F69">
        <w:rPr>
          <w:sz w:val="20"/>
          <w:szCs w:val="20"/>
          <w:rtl/>
        </w:rPr>
        <w:t>העיר על פסק דין זה: "הפסיקה החשובה ביותר של בית המשפט העליון האמריקאי במאה ה-20 היא בראון נגד מנהלת החינוך, 1954. הפסיקה הזאת סיימה את האפליה נגד שחורים בארצות הברית."‏</w:t>
      </w:r>
      <w:r>
        <w:rPr>
          <w:sz w:val="20"/>
          <w:szCs w:val="20"/>
        </w:rPr>
        <w:t>]</w:t>
      </w:r>
      <w:r w:rsidRPr="00990F69">
        <w:rPr>
          <w:sz w:val="20"/>
          <w:szCs w:val="20"/>
        </w:rPr>
        <w:t xml:space="preserve"> </w:t>
      </w:r>
      <w:r w:rsidRPr="00D117B0">
        <w:rPr>
          <w:sz w:val="20"/>
          <w:szCs w:val="20"/>
          <w:rtl/>
        </w:rPr>
        <w:t>א</w:t>
      </w:r>
      <w:r w:rsidRPr="00D117B0">
        <w:rPr>
          <w:rFonts w:hint="cs"/>
          <w:sz w:val="20"/>
          <w:szCs w:val="20"/>
          <w:rtl/>
        </w:rPr>
        <w:t>רי שביט, אהרן ברק: אזרח מודאג, הארץ, 11.4.2008]</w:t>
      </w:r>
      <w:r>
        <w:rPr>
          <w:rFonts w:hint="cs"/>
          <w:sz w:val="20"/>
          <w:szCs w:val="20"/>
          <w:rtl/>
        </w:rPr>
        <w:t>.</w:t>
      </w:r>
    </w:p>
    <w:p w:rsidR="005366A8" w:rsidRPr="00D117B0" w:rsidRDefault="005366A8" w:rsidP="005366A8">
      <w:pPr>
        <w:tabs>
          <w:tab w:val="left" w:pos="10176"/>
        </w:tabs>
        <w:overflowPunct w:val="0"/>
        <w:autoSpaceDE w:val="0"/>
        <w:autoSpaceDN w:val="0"/>
        <w:adjustRightInd w:val="0"/>
        <w:ind w:right="142"/>
        <w:rPr>
          <w:spacing w:val="10"/>
          <w:sz w:val="20"/>
          <w:szCs w:val="20"/>
          <w:vertAlign w:val="superscript"/>
          <w:rtl/>
        </w:rPr>
      </w:pPr>
    </w:p>
    <w:p w:rsidR="005366A8" w:rsidRPr="00D117B0" w:rsidRDefault="005366A8" w:rsidP="005366A8">
      <w:pPr>
        <w:tabs>
          <w:tab w:val="left" w:pos="10176"/>
        </w:tabs>
        <w:overflowPunct w:val="0"/>
        <w:autoSpaceDE w:val="0"/>
        <w:autoSpaceDN w:val="0"/>
        <w:adjustRightInd w:val="0"/>
        <w:ind w:right="142"/>
        <w:rPr>
          <w:rtl/>
        </w:rPr>
      </w:pPr>
      <w:r w:rsidRPr="00D117B0">
        <w:rPr>
          <w:spacing w:val="10"/>
          <w:sz w:val="20"/>
          <w:szCs w:val="20"/>
          <w:vertAlign w:val="superscript"/>
          <w:rtl/>
        </w:rPr>
        <w:t>=-=</w:t>
      </w:r>
      <w:hyperlink r:id="rId267" w:anchor="cite_note-1" w:history="1"/>
    </w:p>
    <w:p w:rsidR="005366A8" w:rsidRDefault="005366A8" w:rsidP="005366A8">
      <w:pPr>
        <w:spacing w:after="120"/>
        <w:rPr>
          <w:b/>
          <w:bCs/>
          <w:rtl/>
        </w:rPr>
      </w:pPr>
      <w:r w:rsidRPr="003437BE">
        <w:rPr>
          <w:rFonts w:hint="cs"/>
          <w:b/>
          <w:bCs/>
          <w:highlight w:val="yellow"/>
          <w:rtl/>
        </w:rPr>
        <w:t xml:space="preserve">חזרה </w:t>
      </w:r>
      <w:r>
        <w:rPr>
          <w:rFonts w:hint="cs"/>
          <w:b/>
          <w:bCs/>
          <w:highlight w:val="yellow"/>
          <w:rtl/>
        </w:rPr>
        <w:t xml:space="preserve">לישראל, וחזרה קצרה </w:t>
      </w:r>
      <w:r w:rsidRPr="003437BE">
        <w:rPr>
          <w:rFonts w:hint="cs"/>
          <w:b/>
          <w:bCs/>
          <w:highlight w:val="yellow"/>
          <w:rtl/>
        </w:rPr>
        <w:t xml:space="preserve">אל הויכוח על החוקה </w:t>
      </w:r>
      <w:r>
        <w:rPr>
          <w:rFonts w:hint="cs"/>
          <w:b/>
          <w:bCs/>
          <w:highlight w:val="yellow"/>
          <w:rtl/>
        </w:rPr>
        <w:t xml:space="preserve">הישראלית </w:t>
      </w:r>
      <w:r w:rsidRPr="003437BE">
        <w:rPr>
          <w:rFonts w:hint="cs"/>
          <w:b/>
          <w:bCs/>
          <w:highlight w:val="yellow"/>
          <w:rtl/>
        </w:rPr>
        <w:t>ו</w:t>
      </w:r>
      <w:r>
        <w:rPr>
          <w:rFonts w:hint="cs"/>
          <w:b/>
          <w:bCs/>
          <w:highlight w:val="yellow"/>
          <w:rtl/>
        </w:rPr>
        <w:t xml:space="preserve">בעיקר </w:t>
      </w:r>
      <w:r w:rsidRPr="003437BE">
        <w:rPr>
          <w:rFonts w:hint="cs"/>
          <w:b/>
          <w:bCs/>
          <w:highlight w:val="yellow"/>
          <w:rtl/>
        </w:rPr>
        <w:t>על הביקורת השיפוטית החוקתי</w:t>
      </w:r>
      <w:r w:rsidRPr="00DC5067">
        <w:rPr>
          <w:rFonts w:hint="cs"/>
          <w:b/>
          <w:bCs/>
          <w:highlight w:val="yellow"/>
          <w:rtl/>
        </w:rPr>
        <w:t>ת בישראל</w:t>
      </w:r>
    </w:p>
    <w:p w:rsidR="005366A8" w:rsidRPr="001A4B63" w:rsidRDefault="005366A8" w:rsidP="005366A8">
      <w:pPr>
        <w:spacing w:after="120"/>
        <w:rPr>
          <w:sz w:val="22"/>
          <w:szCs w:val="22"/>
          <w:rtl/>
        </w:rPr>
      </w:pPr>
      <w:r w:rsidRPr="001A4B63">
        <w:rPr>
          <w:rFonts w:hint="cs"/>
          <w:sz w:val="22"/>
          <w:szCs w:val="22"/>
          <w:rtl/>
        </w:rPr>
        <w:t>מה לדעתכם הדימיון ומה השוני בין מצב הדברים החוקתי בארצות הברית לבין זה שאצלנו?</w:t>
      </w:r>
    </w:p>
    <w:p w:rsidR="005366A8" w:rsidRPr="001A4B63" w:rsidRDefault="005366A8" w:rsidP="005366A8">
      <w:pPr>
        <w:spacing w:after="120"/>
        <w:rPr>
          <w:sz w:val="22"/>
          <w:szCs w:val="22"/>
          <w:rtl/>
        </w:rPr>
      </w:pPr>
      <w:r w:rsidRPr="001A4B63">
        <w:rPr>
          <w:rFonts w:hint="cs"/>
          <w:sz w:val="22"/>
          <w:szCs w:val="22"/>
          <w:rtl/>
        </w:rPr>
        <w:t>יש כתיבה מבקרת שמגיעה מהוגי דעות ושופטים שמרנים בארצות הברית על מצב הדברים הנזכר בישראל. ראו להלן דיון בכך.</w:t>
      </w:r>
    </w:p>
    <w:p w:rsidR="005366A8" w:rsidRPr="001A4B63" w:rsidRDefault="005366A8" w:rsidP="005366A8">
      <w:pPr>
        <w:spacing w:after="120"/>
        <w:ind w:left="720"/>
        <w:rPr>
          <w:sz w:val="22"/>
          <w:szCs w:val="22"/>
          <w:rtl/>
        </w:rPr>
      </w:pPr>
      <w:r w:rsidRPr="001A4B63">
        <w:rPr>
          <w:rFonts w:hint="cs"/>
          <w:sz w:val="22"/>
          <w:szCs w:val="22"/>
          <w:rtl/>
        </w:rPr>
        <w:t xml:space="preserve">הלל סומר, "ריצ'רד פוזנר על אהרן ברק: דברים שרואים משם </w:t>
      </w:r>
      <w:r w:rsidRPr="001A4B63">
        <w:rPr>
          <w:sz w:val="22"/>
          <w:szCs w:val="22"/>
          <w:rtl/>
        </w:rPr>
        <w:t>–</w:t>
      </w:r>
      <w:r w:rsidRPr="001A4B63">
        <w:rPr>
          <w:rFonts w:hint="cs"/>
          <w:sz w:val="22"/>
          <w:szCs w:val="22"/>
          <w:rtl/>
        </w:rPr>
        <w:t xml:space="preserve"> לא רואים מכאן?" </w:t>
      </w:r>
      <w:r w:rsidRPr="001A4B63">
        <w:rPr>
          <w:rFonts w:hint="cs"/>
          <w:b/>
          <w:bCs/>
          <w:sz w:val="22"/>
          <w:szCs w:val="22"/>
          <w:rtl/>
        </w:rPr>
        <w:t>הפרקליט</w:t>
      </w:r>
      <w:r w:rsidRPr="001A4B63">
        <w:rPr>
          <w:rFonts w:hint="cs"/>
          <w:sz w:val="22"/>
          <w:szCs w:val="22"/>
          <w:rtl/>
        </w:rPr>
        <w:t xml:space="preserve"> מט 523 (2007)</w:t>
      </w:r>
    </w:p>
    <w:p w:rsidR="005366A8" w:rsidRPr="001A4B63" w:rsidRDefault="005366A8" w:rsidP="005366A8">
      <w:pPr>
        <w:spacing w:after="120"/>
        <w:ind w:left="1440" w:hanging="720"/>
        <w:rPr>
          <w:sz w:val="22"/>
          <w:szCs w:val="22"/>
          <w:rtl/>
        </w:rPr>
      </w:pPr>
      <w:r w:rsidRPr="001A4B63">
        <w:rPr>
          <w:rFonts w:hint="cs"/>
          <w:sz w:val="22"/>
          <w:szCs w:val="22"/>
          <w:highlight w:val="yellow"/>
          <w:rtl/>
        </w:rPr>
        <w:t xml:space="preserve">ברק מדינה, </w:t>
      </w:r>
      <w:r w:rsidRPr="001A4B63">
        <w:rPr>
          <w:sz w:val="22"/>
          <w:szCs w:val="22"/>
          <w:highlight w:val="yellow"/>
          <w:rtl/>
        </w:rPr>
        <w:t xml:space="preserve">"ארבעה מיתוסים על ביקורת שיפוטית (בתגובה על מאמרי הביקורת של רוברט בורק וריצ'רד פוזנר על האקטיביזם השיפוטי של אהרן ברק)" </w:t>
      </w:r>
      <w:r w:rsidRPr="001A4B63">
        <w:rPr>
          <w:b/>
          <w:bCs/>
          <w:sz w:val="22"/>
          <w:szCs w:val="22"/>
          <w:highlight w:val="yellow"/>
          <w:rtl/>
        </w:rPr>
        <w:t>דין ודברים</w:t>
      </w:r>
      <w:r w:rsidRPr="001A4B63">
        <w:rPr>
          <w:sz w:val="22"/>
          <w:szCs w:val="22"/>
          <w:highlight w:val="yellow"/>
          <w:rtl/>
        </w:rPr>
        <w:t xml:space="preserve"> ג </w:t>
      </w:r>
      <w:r w:rsidRPr="001A4B63">
        <w:rPr>
          <w:rFonts w:hint="cs"/>
          <w:sz w:val="22"/>
          <w:szCs w:val="22"/>
          <w:highlight w:val="yellow"/>
          <w:rtl/>
        </w:rPr>
        <w:t xml:space="preserve">399 </w:t>
      </w:r>
      <w:r w:rsidRPr="001A4B63">
        <w:rPr>
          <w:sz w:val="22"/>
          <w:szCs w:val="22"/>
          <w:highlight w:val="yellow"/>
          <w:rtl/>
        </w:rPr>
        <w:t>(2007)</w:t>
      </w:r>
    </w:p>
    <w:p w:rsidR="005366A8" w:rsidRPr="001A4B63" w:rsidRDefault="005366A8" w:rsidP="005366A8">
      <w:pPr>
        <w:spacing w:after="80"/>
        <w:rPr>
          <w:rFonts w:asciiTheme="minorBidi" w:hAnsiTheme="minorBidi" w:cstheme="minorBidi"/>
          <w:b/>
          <w:bCs/>
          <w:sz w:val="20"/>
          <w:szCs w:val="20"/>
          <w:u w:val="single"/>
          <w:rtl/>
        </w:rPr>
      </w:pPr>
      <w:r w:rsidRPr="001A4B63">
        <w:rPr>
          <w:rFonts w:asciiTheme="minorBidi" w:hAnsiTheme="minorBidi" w:cstheme="minorBidi"/>
          <w:b/>
          <w:bCs/>
          <w:sz w:val="20"/>
          <w:szCs w:val="20"/>
          <w:u w:val="single"/>
          <w:rtl/>
        </w:rPr>
        <w:t>הקטעים להלן הם מתוך מאמרו של ברק מדינה:</w:t>
      </w:r>
    </w:p>
    <w:p w:rsidR="005366A8" w:rsidRPr="001A4B63" w:rsidRDefault="005366A8" w:rsidP="005366A8">
      <w:pPr>
        <w:spacing w:after="80"/>
        <w:rPr>
          <w:rFonts w:asciiTheme="minorBidi" w:hAnsiTheme="minorBidi" w:cstheme="minorBidi"/>
          <w:sz w:val="20"/>
          <w:szCs w:val="20"/>
          <w:rtl/>
        </w:rPr>
      </w:pPr>
      <w:r w:rsidRPr="001A4B63">
        <w:rPr>
          <w:rFonts w:asciiTheme="minorBidi" w:hAnsiTheme="minorBidi" w:cstheme="minorBidi"/>
          <w:sz w:val="20"/>
          <w:szCs w:val="20"/>
          <w:rtl/>
        </w:rPr>
        <w:t>[...]</w:t>
      </w:r>
      <w:r>
        <w:rPr>
          <w:rFonts w:asciiTheme="minorBidi" w:hAnsiTheme="minorBidi" w:cstheme="minorBidi" w:hint="cs"/>
          <w:sz w:val="20"/>
          <w:szCs w:val="20"/>
          <w:rtl/>
        </w:rPr>
        <w:t xml:space="preserve"> </w:t>
      </w:r>
      <w:r w:rsidRPr="001A4B63">
        <w:rPr>
          <w:rFonts w:asciiTheme="minorBidi" w:hAnsiTheme="minorBidi" w:cstheme="minorBidi"/>
          <w:sz w:val="20"/>
          <w:szCs w:val="20"/>
          <w:rtl/>
        </w:rPr>
        <w:t>אני מבקש להפריך ארבעה מיתוסים ביחס לביקורת שיפוטית בכלל, וביחס לעמדתו של אהרן ברק בפרט, המוצאים ביטוי בביקורות של בורק ושל פוזנר.</w:t>
      </w:r>
    </w:p>
    <w:p w:rsidR="005366A8" w:rsidRPr="001A4B63" w:rsidRDefault="005366A8" w:rsidP="005366A8">
      <w:pPr>
        <w:spacing w:after="80"/>
        <w:rPr>
          <w:rFonts w:asciiTheme="minorBidi" w:hAnsiTheme="minorBidi" w:cstheme="minorBidi"/>
          <w:sz w:val="20"/>
          <w:szCs w:val="20"/>
          <w:rtl/>
        </w:rPr>
      </w:pPr>
      <w:r w:rsidRPr="001A4B63">
        <w:rPr>
          <w:rFonts w:asciiTheme="minorBidi" w:hAnsiTheme="minorBidi" w:cstheme="minorBidi"/>
          <w:sz w:val="20"/>
          <w:szCs w:val="20"/>
          <w:rtl/>
        </w:rPr>
        <w:t xml:space="preserve">מיתוס אחד הוא כי אהרן ברק יצר חוקה למדינת ישראל, בבחינת יש מאין. יש בוודאי בסיס לסברה כי ההכרעה השיפוטית בדבר קיומה של חוקה התבססה על העמדה כי רצוי שלמדינת ישראל תהיה חוקה. אולם, בית המשפט לא קבע את תוכנה של החוקה, אלא רק הכיר בכוחה של הכנסת לעשות כן, במסגרת חקיקת חוקי יסוד. ההכרה אינה צופה פני עבר בלבד, אלא כוללת גם הכרה מפורשת בכוחה של הכנסת לשנות את חוקי היסוד. יש בוודאי מקום לוויכוח האמנם רצוי שלמדינת ישראל תהיה חוקה והאם רצוי להכיר בכוחה של הכנסת לכונן חוקה; אך הקביעה כי אהרן ברק, או בית המשפט העליון, "יצר" את החוקה היא חסרת בסיס. </w:t>
      </w:r>
    </w:p>
    <w:p w:rsidR="005366A8" w:rsidRPr="001A4B63" w:rsidRDefault="005366A8" w:rsidP="005366A8">
      <w:pPr>
        <w:spacing w:after="80"/>
        <w:rPr>
          <w:rFonts w:asciiTheme="minorBidi" w:hAnsiTheme="minorBidi" w:cstheme="minorBidi"/>
          <w:sz w:val="20"/>
          <w:szCs w:val="20"/>
          <w:rtl/>
        </w:rPr>
      </w:pPr>
      <w:r w:rsidRPr="001A4B63">
        <w:rPr>
          <w:rFonts w:asciiTheme="minorBidi" w:hAnsiTheme="minorBidi" w:cstheme="minorBidi"/>
          <w:sz w:val="20"/>
          <w:szCs w:val="20"/>
          <w:rtl/>
        </w:rPr>
        <w:t>מיתוס שני הוא בדבר "שלטון השופטים". לפיו, בתקופת כהונתו של ברק הפך בית המשפט העליון לגורם מרכזי בחיים הציבוריים בישראל, אשר מתווה את המדיניות של מדינת ישראל. המציאות שונה בתכלית. בפועל, כל ההכרעות החברתיות העיקריות בעשרים השנים האחרונות במדינת ישראל התקבלו, ללא יוצא מן הכלל, על-ידי הממשלה והכנסת, ללא מעורבות ממשית של בית-המשפט. בית-המשפט העליון אמנם מילא תפקיד חשוב מאד בשימור האתוס הדמוקרטי, בעיקר בתחום ההגנה על חירויות היסוד של הפרט וכן בהיבטים שונים של הגברת תקינות ההליכים הפוליטיים; אך מעורבותו בהכרעות הפוליטיות החשובות ובקביעת מדיניות אינה משמעותית.</w:t>
      </w:r>
    </w:p>
    <w:p w:rsidR="005366A8" w:rsidRPr="001A4B63" w:rsidRDefault="005366A8" w:rsidP="005366A8">
      <w:pPr>
        <w:spacing w:after="80"/>
        <w:rPr>
          <w:rFonts w:asciiTheme="minorBidi" w:hAnsiTheme="minorBidi" w:cstheme="minorBidi"/>
          <w:sz w:val="20"/>
          <w:szCs w:val="20"/>
          <w:rtl/>
        </w:rPr>
      </w:pPr>
      <w:r w:rsidRPr="001A4B63">
        <w:rPr>
          <w:rFonts w:asciiTheme="minorBidi" w:hAnsiTheme="minorBidi" w:cstheme="minorBidi"/>
          <w:sz w:val="20"/>
          <w:szCs w:val="20"/>
          <w:rtl/>
        </w:rPr>
        <w:t>מיתוס שלישי הוא בדבר אי הרלבנטיות של שיקולים מוסריים להכרעה השיפוטית. פוזנר טוען כי על השופט להבחין באופן ברור בין שיקולי צדק, הרלבנטיים לשם קביעה מהי התוצאה הרצויה, לבין שיקולים משפטיים, האמורים להכתיב באופן בלעדי את התוצאה הנכונה מבחינה משפטית. פוזנר טוען כי התפיסה המקובלת, לפחות בקרב השופטים בארצות-הברית, מבטאת אבחנה כאמור. כעניין אמפירי, זוהי טענה חסרת יסוד. בפועל, קיים מתאם מובהק בין עמדתם האידיאולוגית של שופטים לבין האופן בו הם מיישמים דוקטרינות משפטיות.</w:t>
      </w:r>
    </w:p>
    <w:p w:rsidR="005366A8" w:rsidRPr="001A4B63" w:rsidRDefault="005366A8" w:rsidP="005366A8">
      <w:pPr>
        <w:spacing w:after="80"/>
        <w:rPr>
          <w:rFonts w:asciiTheme="minorBidi" w:hAnsiTheme="minorBidi" w:cstheme="minorBidi"/>
          <w:sz w:val="20"/>
          <w:szCs w:val="20"/>
          <w:rtl/>
        </w:rPr>
      </w:pPr>
      <w:r w:rsidRPr="001A4B63">
        <w:rPr>
          <w:rFonts w:asciiTheme="minorBidi" w:hAnsiTheme="minorBidi" w:cstheme="minorBidi"/>
          <w:sz w:val="20"/>
          <w:szCs w:val="20"/>
          <w:rtl/>
        </w:rPr>
        <w:t>מיתוס רביעי הוא כי לאור המשקל המרכזי של שיקולי מוסר בהכרעות שיפוטיות, אקטיביזם שיפוטי הוא אנטי-דמוקרטי. בעניין זה אני מבקש לטעון, בראשי פרקים, כי טענה זו אינה מבוססת, הן ביחס להגדרת מהותה של דמוקרטיה בהתאם לבחינה מהי שיטת המשטר המקובלת במדינות אשר מקובל לאפיין אותן כדמוקרטיות; והן ביחס להגדרה המבוססת על ההערכה מהי שיטת המשטר הרצויה.</w:t>
      </w:r>
    </w:p>
    <w:p w:rsidR="005366A8" w:rsidRPr="001A4B63" w:rsidRDefault="005366A8" w:rsidP="005366A8">
      <w:pPr>
        <w:spacing w:after="80"/>
        <w:rPr>
          <w:rFonts w:asciiTheme="minorBidi" w:hAnsiTheme="minorBidi" w:cstheme="minorBidi"/>
          <w:b/>
          <w:bCs/>
          <w:sz w:val="20"/>
          <w:szCs w:val="20"/>
          <w:rtl/>
        </w:rPr>
      </w:pPr>
      <w:r w:rsidRPr="001A4B63">
        <w:rPr>
          <w:rFonts w:asciiTheme="minorBidi" w:hAnsiTheme="minorBidi" w:cstheme="minorBidi"/>
          <w:b/>
          <w:bCs/>
          <w:sz w:val="20"/>
          <w:szCs w:val="20"/>
          <w:highlight w:val="yellow"/>
          <w:rtl/>
        </w:rPr>
        <w:t>1. המיתוס שלפיו אהרן ברק "יצר" חוקה לישראל</w:t>
      </w:r>
    </w:p>
    <w:p w:rsidR="005366A8" w:rsidRPr="001A4B63" w:rsidRDefault="005366A8" w:rsidP="005366A8">
      <w:pPr>
        <w:spacing w:after="80"/>
        <w:rPr>
          <w:rFonts w:asciiTheme="minorBidi" w:hAnsiTheme="minorBidi" w:cstheme="minorBidi"/>
          <w:sz w:val="20"/>
          <w:szCs w:val="20"/>
          <w:rtl/>
        </w:rPr>
      </w:pPr>
      <w:r w:rsidRPr="001A4B63">
        <w:rPr>
          <w:rFonts w:asciiTheme="minorBidi" w:hAnsiTheme="minorBidi" w:cstheme="minorBidi"/>
          <w:sz w:val="20"/>
          <w:szCs w:val="20"/>
          <w:rtl/>
        </w:rPr>
        <w:t>חלק מרכזי בביקורות של בורק ופוזנר מכוון להכרעותיו של ברק כשופט. טענה אחת מכוונת ל"מהפכה החוקתית" – ההכרה בחוקי היסוד כבעלי מעמד חוקתי. בורק מסתפק בהקשר זה בציטוט מרשימה שפרסמה אוולין גורדון בג'רוזלם פוסט, בציינו כי "הטענה שלחוקי היסוד מעמד חוקתי המסמיך את בית המשפט הישראלי לבטל חקיקה סותרת היא 'מפוקפקת כשלעצמה, לאור העובדה שחוקי היסוד לא עברו כל הליך של אשרור חוקתי והתקבלו בידי רבע בלבד מחברי הכנסת'" וטוען כי משום כך, "'המהפכה החוקתית' של ברק אינה מתיישבת עם קביעתו [שלו] ... שלפיה 'בית המשפט מוסמך לפרש את החוקה, אך הוא אינו מוסמך לכונן חוקה'".</w:t>
      </w:r>
      <w:r w:rsidRPr="001A4B63">
        <w:rPr>
          <w:rStyle w:val="FootnoteReference"/>
          <w:rFonts w:asciiTheme="minorBidi" w:hAnsiTheme="minorBidi" w:cstheme="minorBidi"/>
          <w:sz w:val="20"/>
          <w:szCs w:val="20"/>
          <w:rtl/>
        </w:rPr>
        <w:footnoteReference w:id="25"/>
      </w:r>
      <w:r w:rsidRPr="001A4B63">
        <w:rPr>
          <w:rFonts w:asciiTheme="minorBidi" w:hAnsiTheme="minorBidi" w:cstheme="minorBidi"/>
          <w:sz w:val="20"/>
          <w:szCs w:val="20"/>
          <w:rtl/>
        </w:rPr>
        <w:t xml:space="preserve"> פוזנר מכנה את חוקי היסוד, המבטאים לפי גישתו של ברק את החוקה של מדינת ישראל, בביטוי </w:t>
      </w:r>
      <w:r w:rsidRPr="001A4B63">
        <w:rPr>
          <w:rFonts w:asciiTheme="minorBidi" w:hAnsiTheme="minorBidi" w:cstheme="minorBidi"/>
          <w:sz w:val="20"/>
          <w:szCs w:val="20"/>
        </w:rPr>
        <w:t>whole cloth</w:t>
      </w:r>
      <w:r w:rsidRPr="001A4B63">
        <w:rPr>
          <w:rFonts w:asciiTheme="minorBidi" w:hAnsiTheme="minorBidi" w:cstheme="minorBidi"/>
          <w:sz w:val="20"/>
          <w:szCs w:val="20"/>
          <w:rtl/>
        </w:rPr>
        <w:t xml:space="preserve">, שמשמעותו דבר מופרך לחלוטין, חסר כל בסיס </w:t>
      </w:r>
      <w:r w:rsidRPr="001A4B63">
        <w:rPr>
          <w:rFonts w:asciiTheme="minorBidi" w:hAnsiTheme="minorBidi" w:cstheme="minorBidi"/>
          <w:sz w:val="20"/>
          <w:szCs w:val="20"/>
        </w:rPr>
        <w:t>(pure fabrication)</w:t>
      </w:r>
      <w:r w:rsidRPr="001A4B63">
        <w:rPr>
          <w:rStyle w:val="FootnoteReference"/>
          <w:rFonts w:asciiTheme="minorBidi" w:hAnsiTheme="minorBidi" w:cstheme="minorBidi"/>
          <w:sz w:val="20"/>
          <w:szCs w:val="20"/>
          <w:rtl/>
        </w:rPr>
        <w:footnoteReference w:id="26"/>
      </w:r>
      <w:r w:rsidRPr="001A4B63">
        <w:rPr>
          <w:rFonts w:asciiTheme="minorBidi" w:hAnsiTheme="minorBidi" w:cstheme="minorBidi"/>
          <w:sz w:val="20"/>
          <w:szCs w:val="20"/>
          <w:rtl/>
        </w:rPr>
        <w:t xml:space="preserve"> ומוסיף כך:</w:t>
      </w:r>
      <w:r w:rsidRPr="001A4B63">
        <w:rPr>
          <w:rStyle w:val="FootnoteReference"/>
          <w:rFonts w:asciiTheme="minorBidi" w:hAnsiTheme="minorBidi" w:cstheme="minorBidi"/>
          <w:sz w:val="20"/>
          <w:szCs w:val="20"/>
          <w:rtl/>
        </w:rPr>
        <w:footnoteReference w:id="27"/>
      </w:r>
    </w:p>
    <w:p w:rsidR="005366A8" w:rsidRPr="001A4B63" w:rsidRDefault="005366A8" w:rsidP="005366A8">
      <w:pPr>
        <w:spacing w:after="80"/>
        <w:ind w:left="288" w:right="288"/>
        <w:rPr>
          <w:rFonts w:asciiTheme="minorBidi" w:hAnsiTheme="minorBidi" w:cstheme="minorBidi"/>
          <w:sz w:val="20"/>
          <w:szCs w:val="20"/>
          <w:rtl/>
        </w:rPr>
      </w:pPr>
      <w:r w:rsidRPr="001A4B63">
        <w:rPr>
          <w:rFonts w:asciiTheme="minorBidi" w:hAnsiTheme="minorBidi" w:cstheme="minorBidi"/>
          <w:sz w:val="20"/>
          <w:szCs w:val="20"/>
          <w:rtl/>
        </w:rPr>
        <w:t>לישראל אין חוקה. יש לה "חוקי יסוד" שמחוקקת הכנסת, ושאותם השווה ברק לחוקה, בכך שקבע שהכנסת לא יכולה לבטל אותם. מדובר ברעיון מדהים: תארו לכם, שהקונגרס שלנו יחוקק חוק המאפשר לכל אזרח לשאת נשק בהיחבא, ובית המשפט העליון יקבע שלעולם אי אפשר יהיה לבטל את החוק. ורק רבע מחברי הכנסת הצביעו בעד החוקים הללו!</w:t>
      </w:r>
    </w:p>
    <w:p w:rsidR="005366A8" w:rsidRPr="001A4B63" w:rsidRDefault="005366A8" w:rsidP="005366A8">
      <w:pPr>
        <w:spacing w:after="80"/>
        <w:rPr>
          <w:rFonts w:asciiTheme="minorBidi" w:hAnsiTheme="minorBidi" w:cstheme="minorBidi"/>
          <w:sz w:val="20"/>
          <w:szCs w:val="20"/>
          <w:rtl/>
        </w:rPr>
      </w:pPr>
      <w:r w:rsidRPr="001A4B63">
        <w:rPr>
          <w:rFonts w:asciiTheme="minorBidi" w:hAnsiTheme="minorBidi" w:cstheme="minorBidi"/>
          <w:sz w:val="20"/>
          <w:szCs w:val="20"/>
          <w:rtl/>
        </w:rPr>
        <w:t>דברים אלה רצופים טעויות. למשל, אין זה נכון כי הכנסת אינה רשאית לשנות את חוקי היסוד וביחס למרבית חוקי היסוד אין נדרש לשם כך אפילו רוב מיוחד כלשהו. גם אין זה נכון כי רק רבע מחברי הכנסת תמכו בחוקי היסוד – מרבית חוקי היסוד התקבלו ברוב מכריע.</w:t>
      </w:r>
      <w:r w:rsidRPr="001A4B63">
        <w:rPr>
          <w:rStyle w:val="FootnoteReference"/>
          <w:rFonts w:asciiTheme="minorBidi" w:hAnsiTheme="minorBidi" w:cstheme="minorBidi"/>
          <w:sz w:val="20"/>
          <w:szCs w:val="20"/>
          <w:rtl/>
        </w:rPr>
        <w:footnoteReference w:id="28"/>
      </w:r>
      <w:r w:rsidRPr="001A4B63">
        <w:rPr>
          <w:rFonts w:asciiTheme="minorBidi" w:hAnsiTheme="minorBidi" w:cstheme="minorBidi"/>
          <w:sz w:val="20"/>
          <w:szCs w:val="20"/>
          <w:rtl/>
        </w:rPr>
        <w:t xml:space="preserve"> בורק ופוזנר מתעלמים לחלוטין מן הדיון התיאורטי הנרחב – בפסיקה ובספרות האקדמית – ביחס לשאלה כיצד בכלל יש לזהות חוקה. הענקת סמכות מכוננת – הסמכות לחבר חוקה ולשנותה – לגוף המכהן גם כבית מחוקקים מקובלת בלא מעט דמוקרטיות,</w:t>
      </w:r>
      <w:r w:rsidRPr="001A4B63">
        <w:rPr>
          <w:rStyle w:val="FootnoteReference"/>
          <w:rFonts w:asciiTheme="minorBidi" w:hAnsiTheme="minorBidi" w:cstheme="minorBidi"/>
          <w:sz w:val="20"/>
          <w:szCs w:val="20"/>
          <w:rtl/>
        </w:rPr>
        <w:footnoteReference w:id="29"/>
      </w:r>
      <w:r w:rsidRPr="001A4B63">
        <w:rPr>
          <w:rFonts w:asciiTheme="minorBidi" w:hAnsiTheme="minorBidi" w:cstheme="minorBidi"/>
          <w:sz w:val="20"/>
          <w:szCs w:val="20"/>
          <w:rtl/>
        </w:rPr>
        <w:t xml:space="preserve"> והטענה כי עצם העובדה שחוקי היסוד נחקקו על-ידי הכנסת (כמו גם העובדה שהחוקה מכונה אצלנו "חוק-יסוד") שוללת, מיניה וביה, את מעמדם כחוקה, אינה נכונה. הדברים מעידים גם על בורוּת ביחס להיסטוריה החוקתית המיוחדת של ישראל, שהרי, כידוע, האסיפה המכוננת, שנבחרה לחבר חוקה, החליטה זמן קצר לאחר היבחרה לכנות עצמה "הכנסת הראשונה" ולכהן גם כבית מחוקקים, ועם סיום תקופת כהונתה קבעה במפורש כי לכנסות הבאות יהיו "כל הסמכויות" שהיו מסורות לכנסת הראשונה.</w:t>
      </w:r>
      <w:bookmarkStart w:id="47" w:name="_Ref166681754"/>
      <w:r w:rsidRPr="001A4B63">
        <w:rPr>
          <w:rStyle w:val="FootnoteReference"/>
          <w:rFonts w:asciiTheme="minorBidi" w:hAnsiTheme="minorBidi" w:cstheme="minorBidi"/>
          <w:sz w:val="20"/>
          <w:szCs w:val="20"/>
          <w:rtl/>
        </w:rPr>
        <w:footnoteReference w:id="30"/>
      </w:r>
      <w:bookmarkEnd w:id="47"/>
      <w:r w:rsidRPr="001A4B63">
        <w:rPr>
          <w:rFonts w:asciiTheme="minorBidi" w:hAnsiTheme="minorBidi" w:cstheme="minorBidi"/>
          <w:sz w:val="20"/>
          <w:szCs w:val="20"/>
          <w:rtl/>
        </w:rPr>
        <w:t xml:space="preserve"> </w:t>
      </w:r>
    </w:p>
    <w:p w:rsidR="005366A8" w:rsidRPr="001A4B63" w:rsidRDefault="005366A8" w:rsidP="005366A8">
      <w:pPr>
        <w:spacing w:after="80"/>
        <w:rPr>
          <w:rFonts w:asciiTheme="minorBidi" w:hAnsiTheme="minorBidi" w:cstheme="minorBidi"/>
          <w:sz w:val="20"/>
          <w:szCs w:val="20"/>
          <w:rtl/>
        </w:rPr>
      </w:pPr>
      <w:r w:rsidRPr="001A4B63">
        <w:rPr>
          <w:rFonts w:asciiTheme="minorBidi" w:hAnsiTheme="minorBidi" w:cstheme="minorBidi"/>
          <w:sz w:val="20"/>
          <w:szCs w:val="20"/>
          <w:rtl/>
        </w:rPr>
        <w:t>בנוסף, בורק ופוזנר מתעלמים מן המציאות הפוליטית והחברתית בישראל, בהציגם את ההכרה בסמכות המכוננת של הכנסת ואת חוקי היסוד כחוקה כתפיסתו הפרטית של ברק. קיימת הסכמה רחבה כי הכנסת היא הרשות המכוננת, המוסמכת לכונן את החוקה, כפי שמעידים הדיונים הממושכים בנושא החוקה בוועדת "חוקה(!), חוק ומשפט" של הכנסת. הכנסת לא תיקנה את חוקי היסוד בתגובה להכרעתו של בית המשפט בדבר "מהפכה חוקתית" ונמנעה מלהגביל את כוחו של בית המשפט להחיל ביקורת שיפוטית על חוקים. הפרקטיקה המקובלת בשנים האחרונות בכנסת היא כי יש לבחון את התאמתה של חקיקה מוצעת להוראות חוקי היסוד, מתוקף ההכרה בעליונות הוראות חוקי היסוד ביחס לחקיקה "רגילה".</w:t>
      </w:r>
      <w:r w:rsidRPr="001A4B63">
        <w:rPr>
          <w:rStyle w:val="FootnoteReference"/>
          <w:rFonts w:asciiTheme="minorBidi" w:hAnsiTheme="minorBidi" w:cstheme="minorBidi"/>
          <w:sz w:val="20"/>
          <w:szCs w:val="20"/>
          <w:rtl/>
        </w:rPr>
        <w:footnoteReference w:id="31"/>
      </w:r>
      <w:r w:rsidRPr="001A4B63">
        <w:rPr>
          <w:rFonts w:asciiTheme="minorBidi" w:hAnsiTheme="minorBidi" w:cstheme="minorBidi"/>
          <w:sz w:val="20"/>
          <w:szCs w:val="20"/>
          <w:rtl/>
        </w:rPr>
        <w:t xml:space="preserve"> הכנסת גם קיבלה בהסכמה ברורה את הכרעותיו של בית המשפט בהן הוכרזה בטלותן של הוראות בחקיקה מחמת הפגיעה הנובעת מהן בהוראות חוקי היסוד.</w:t>
      </w:r>
    </w:p>
    <w:p w:rsidR="005366A8" w:rsidRPr="001A4B63" w:rsidRDefault="005366A8" w:rsidP="005366A8">
      <w:pPr>
        <w:spacing w:after="80"/>
        <w:rPr>
          <w:rFonts w:asciiTheme="minorBidi" w:hAnsiTheme="minorBidi" w:cstheme="minorBidi"/>
          <w:sz w:val="20"/>
          <w:szCs w:val="20"/>
          <w:rtl/>
        </w:rPr>
      </w:pPr>
      <w:r w:rsidRPr="001A4B63">
        <w:rPr>
          <w:rFonts w:asciiTheme="minorBidi" w:hAnsiTheme="minorBidi" w:cstheme="minorBidi"/>
          <w:sz w:val="20"/>
          <w:szCs w:val="20"/>
          <w:rtl/>
        </w:rPr>
        <w:t>... ניתן להסכים כי קל יותר, לפחות מבחינת הלגיטימציה הציבורית, להכיר בעליונות ובנוקשות של חוקה המנוסחת במסמך אחד שלם, שהתקבלה בהליך חגיגי, הכולל אישור מפורש של החוקה על-ידי רוב מכריע בקרב הציבור (אף שגם אז, ההצדקה אינה מובנת מאליה, למשל בשל הכבילה של הדורות הבאים להסדרים הקבועים בחוקה, בלא שהתקבלה הסכמתם לכך, באופן המנוגד, לכאורה לפחות, לעקרון היסוד הדמוקרטי של שלטון עצמי).</w:t>
      </w:r>
      <w:r w:rsidRPr="001A4B63">
        <w:rPr>
          <w:rStyle w:val="FootnoteReference"/>
          <w:rFonts w:asciiTheme="minorBidi" w:hAnsiTheme="minorBidi" w:cstheme="minorBidi"/>
          <w:sz w:val="20"/>
          <w:szCs w:val="20"/>
          <w:rtl/>
        </w:rPr>
        <w:footnoteReference w:id="32"/>
      </w:r>
      <w:r w:rsidRPr="001A4B63">
        <w:rPr>
          <w:rFonts w:asciiTheme="minorBidi" w:hAnsiTheme="minorBidi" w:cstheme="minorBidi"/>
          <w:sz w:val="20"/>
          <w:szCs w:val="20"/>
          <w:rtl/>
        </w:rPr>
        <w:t xml:space="preserve"> אולם, השאלה היא מהי המדיניות הרצויה בנסיבות כמו אלה הקיימות בישראל, שבהן מכירים בצורך בחוקה אך אין בנמצא מסמך שלם כאמור ואין סיכוי ממשי לקבלתו בעתיד הנראה לעין. ההכרה בחוקי היסוד כחוקה אמנם אינה התוצאה היחידה האפשרית מבחינה לוגית.</w:t>
      </w:r>
      <w:bookmarkStart w:id="48" w:name="_Ref166668092"/>
      <w:r w:rsidRPr="001A4B63">
        <w:rPr>
          <w:rStyle w:val="FootnoteReference"/>
          <w:rFonts w:asciiTheme="minorBidi" w:hAnsiTheme="minorBidi" w:cstheme="minorBidi"/>
          <w:sz w:val="20"/>
          <w:szCs w:val="20"/>
          <w:rtl/>
        </w:rPr>
        <w:footnoteReference w:id="33"/>
      </w:r>
      <w:bookmarkEnd w:id="48"/>
      <w:r w:rsidRPr="001A4B63">
        <w:rPr>
          <w:rFonts w:asciiTheme="minorBidi" w:hAnsiTheme="minorBidi" w:cstheme="minorBidi"/>
          <w:sz w:val="20"/>
          <w:szCs w:val="20"/>
          <w:rtl/>
        </w:rPr>
        <w:t xml:space="preserve"> היא תוצאה של בחירה בפרשנות אחת מבין כמה חלופות שכולן אפשריות מבחינה מילולית. בחירה זו מבוססת על ההערכה כי זהו המובן הטוב ביותר בהינתן מכלול שיקולי המדיניות הרלבנטיים. </w:t>
      </w:r>
    </w:p>
    <w:p w:rsidR="005366A8" w:rsidRPr="001A4B63" w:rsidRDefault="005366A8" w:rsidP="005366A8">
      <w:pPr>
        <w:spacing w:after="80"/>
        <w:rPr>
          <w:rFonts w:asciiTheme="minorBidi" w:hAnsiTheme="minorBidi" w:cstheme="minorBidi"/>
          <w:sz w:val="20"/>
          <w:szCs w:val="20"/>
          <w:rtl/>
        </w:rPr>
      </w:pPr>
      <w:r w:rsidRPr="001A4B63">
        <w:rPr>
          <w:rFonts w:asciiTheme="minorBidi" w:hAnsiTheme="minorBidi" w:cstheme="minorBidi"/>
          <w:sz w:val="20"/>
          <w:szCs w:val="20"/>
          <w:rtl/>
        </w:rPr>
        <w:t>הערכה זו מבוססת, ראשית על ההכרה בחשיבות של החלת ביקורת שיפוטית על חקיקה לשם הבטחת כיבוד זכויות היסוד של האדם והגנה על עקרונות היסוד של מדינת ישראל כמדינה יהודית ודמוקרטית, ושנית, על ההכרה בכך שמוטב לבסס את הביקורת השיפוטית על חקיקה על הסכמה מפורשת של העם, ולו באמצעות נציגיו בכנסת. ההכרה בחוקי היסוד כחוקה מהווה פשרה ראויה בהקשר זה, בעיקר בשל שלושה מאפיינים מרכזיים של חוקי היסוד: ראשית, הם נקבעו על-ידי הכנסת, לה מסורה – לפי התפיסה המקובלת בישראל גם לפני ההכרזה השיפוטית על "המהפכה החוקתית" – הסמכות לכונן חוקה; שנית, יש בחוקי היסוד סממנים חוקתיים מובהקים (אף אם לא חד-משמעיים), בעיקר העובדה שהם מסדירים את סוגיות היסוד של המשטר, השימוש בלשון של עליונות על פני חקיקה רגילה, הכינוי "חוק-יסוד" שבכותרתם והשמטת שנת החקיקה שלהם והרוב המכריע בו התקבלו רובם; ושלישית, וזהו כאמור גורם שהוחמץ כליל על-ידי פוזנר, חוקי היסוד אינם נוקשים אלא ניתנים לשינוי, ברובם המכריע, ברוב רגיל, כך שהכבילה הנובעת מהכרה בהם כחוקה אינה כבילה חזקה.</w:t>
      </w:r>
      <w:r w:rsidRPr="001A4B63">
        <w:rPr>
          <w:rStyle w:val="FootnoteReference"/>
          <w:rFonts w:asciiTheme="minorBidi" w:hAnsiTheme="minorBidi" w:cstheme="minorBidi"/>
          <w:sz w:val="20"/>
          <w:szCs w:val="20"/>
          <w:rtl/>
        </w:rPr>
        <w:footnoteReference w:id="34"/>
      </w:r>
      <w:r w:rsidRPr="001A4B63">
        <w:rPr>
          <w:rFonts w:asciiTheme="minorBidi" w:hAnsiTheme="minorBidi" w:cstheme="minorBidi"/>
          <w:sz w:val="20"/>
          <w:szCs w:val="20"/>
          <w:rtl/>
        </w:rPr>
        <w:t xml:space="preserve"> ...</w:t>
      </w:r>
      <w:r>
        <w:rPr>
          <w:rFonts w:asciiTheme="minorBidi" w:hAnsiTheme="minorBidi" w:cstheme="minorBidi" w:hint="cs"/>
          <w:sz w:val="20"/>
          <w:szCs w:val="20"/>
          <w:rtl/>
        </w:rPr>
        <w:t xml:space="preserve"> </w:t>
      </w:r>
      <w:r w:rsidRPr="001A4B63">
        <w:rPr>
          <w:rFonts w:asciiTheme="minorBidi" w:hAnsiTheme="minorBidi" w:cstheme="minorBidi"/>
          <w:sz w:val="20"/>
          <w:szCs w:val="20"/>
          <w:rtl/>
        </w:rPr>
        <w:t>בנסיבות אלה, ההכרה השיפוטית בחוקי היסוד כחוקה ואכיפת הוראות החוקה ביחס לחקיקה של הכנסת, עמדה לה מסכימים כיום, כך נראה, כל שופטי בית המשפט העליון, היא קביעה סבירה בהחלט.</w:t>
      </w:r>
      <w:r w:rsidRPr="001A4B63">
        <w:rPr>
          <w:rStyle w:val="FootnoteReference"/>
          <w:rFonts w:asciiTheme="minorBidi" w:hAnsiTheme="minorBidi" w:cstheme="minorBidi"/>
          <w:sz w:val="20"/>
          <w:szCs w:val="20"/>
          <w:rtl/>
        </w:rPr>
        <w:footnoteReference w:id="35"/>
      </w:r>
      <w:r w:rsidRPr="001A4B63">
        <w:rPr>
          <w:rFonts w:asciiTheme="minorBidi" w:hAnsiTheme="minorBidi" w:cstheme="minorBidi"/>
          <w:sz w:val="20"/>
          <w:szCs w:val="20"/>
          <w:rtl/>
        </w:rPr>
        <w:t xml:space="preserve"> כידוע, יש החולקים על עמדה זו, ובהם השופט חשין בדעת המיעוט שלו בפרשת </w:t>
      </w:r>
      <w:r w:rsidRPr="001A4B63">
        <w:rPr>
          <w:rFonts w:asciiTheme="minorBidi" w:hAnsiTheme="minorBidi" w:cstheme="minorBidi"/>
          <w:b/>
          <w:bCs/>
          <w:sz w:val="20"/>
          <w:szCs w:val="20"/>
          <w:rtl/>
        </w:rPr>
        <w:t>בנק המזרחי נ' מגדל</w:t>
      </w:r>
      <w:r w:rsidRPr="001A4B63">
        <w:rPr>
          <w:rFonts w:asciiTheme="minorBidi" w:hAnsiTheme="minorBidi" w:cstheme="minorBidi"/>
          <w:sz w:val="20"/>
          <w:szCs w:val="20"/>
          <w:rtl/>
        </w:rPr>
        <w:t>,</w:t>
      </w:r>
      <w:r w:rsidRPr="001A4B63">
        <w:rPr>
          <w:rStyle w:val="FootnoteReference"/>
          <w:rFonts w:asciiTheme="minorBidi" w:hAnsiTheme="minorBidi" w:cstheme="minorBidi"/>
          <w:sz w:val="20"/>
          <w:szCs w:val="20"/>
          <w:rtl/>
        </w:rPr>
        <w:footnoteReference w:id="36"/>
      </w:r>
      <w:r w:rsidRPr="001A4B63">
        <w:rPr>
          <w:rFonts w:asciiTheme="minorBidi" w:hAnsiTheme="minorBidi" w:cstheme="minorBidi"/>
          <w:sz w:val="20"/>
          <w:szCs w:val="20"/>
          <w:rtl/>
        </w:rPr>
        <w:t xml:space="preserve"> וטיעוניהם עמם. אך חילוקי הדעות הללו עוסקים בשאלה האם ההכרה בחוקי היסוד כחוקה היא הפרשנות הראויה בהינתן מכלול שיקולי המדיניות הרלבנטיים. אין בחילוקי הדעות הללו כדי לשלול את הלגיטימיות שבעמדתו של הנשיא ברק, ואין בהם כדי להפוך אותה לחסרת בסיס מבחינה משפטית. בכל מקרה, בניגוד לטיעוניהם של בורק ושל פוזנר, אין מדובר כאן ביצירת חוקה על-ידי בית המשפט, אלא בהכרה בכוחה (הנמשך) של הכנסת לכונן חוקה.</w:t>
      </w:r>
    </w:p>
    <w:p w:rsidR="005366A8" w:rsidRPr="001A4B63" w:rsidRDefault="005366A8" w:rsidP="005366A8">
      <w:pPr>
        <w:spacing w:after="80"/>
        <w:rPr>
          <w:rFonts w:asciiTheme="minorBidi" w:hAnsiTheme="minorBidi" w:cstheme="minorBidi"/>
          <w:b/>
          <w:bCs/>
          <w:sz w:val="20"/>
          <w:szCs w:val="20"/>
          <w:rtl/>
        </w:rPr>
      </w:pPr>
      <w:r w:rsidRPr="001A4B63">
        <w:rPr>
          <w:rFonts w:asciiTheme="minorBidi" w:hAnsiTheme="minorBidi" w:cstheme="minorBidi"/>
          <w:b/>
          <w:bCs/>
          <w:sz w:val="20"/>
          <w:szCs w:val="20"/>
          <w:highlight w:val="yellow"/>
          <w:rtl/>
        </w:rPr>
        <w:t>2. המיתוס בדבר "שלטון השופטים"</w:t>
      </w:r>
    </w:p>
    <w:p w:rsidR="005366A8" w:rsidRPr="001A4B63" w:rsidRDefault="005366A8" w:rsidP="005366A8">
      <w:pPr>
        <w:spacing w:after="80"/>
        <w:rPr>
          <w:rFonts w:asciiTheme="minorBidi" w:hAnsiTheme="minorBidi" w:cstheme="minorBidi"/>
          <w:sz w:val="20"/>
          <w:szCs w:val="20"/>
          <w:rtl/>
        </w:rPr>
      </w:pPr>
      <w:r w:rsidRPr="001A4B63">
        <w:rPr>
          <w:rFonts w:asciiTheme="minorBidi" w:hAnsiTheme="minorBidi" w:cstheme="minorBidi"/>
          <w:sz w:val="20"/>
          <w:szCs w:val="20"/>
          <w:rtl/>
        </w:rPr>
        <w:t>אלכסיס דה-טוקוויל אפיין את הדמוקרטיה האמריקאית, כבר במאה התשע-עשרה, כחברה בה כל שאלה פוליטית מובאת, במוקדם או במאוחר, להכרעה שיפוטית.</w:t>
      </w:r>
      <w:r w:rsidRPr="001A4B63">
        <w:rPr>
          <w:rStyle w:val="FootnoteReference"/>
          <w:rFonts w:asciiTheme="minorBidi" w:hAnsiTheme="minorBidi" w:cstheme="minorBidi"/>
          <w:sz w:val="20"/>
          <w:szCs w:val="20"/>
          <w:rtl/>
        </w:rPr>
        <w:footnoteReference w:id="37"/>
      </w:r>
      <w:r w:rsidRPr="001A4B63">
        <w:rPr>
          <w:rFonts w:asciiTheme="minorBidi" w:hAnsiTheme="minorBidi" w:cstheme="minorBidi"/>
          <w:sz w:val="20"/>
          <w:szCs w:val="20"/>
          <w:rtl/>
        </w:rPr>
        <w:t xml:space="preserve"> יש הסבורים כי תיאור זה נכון גם לישראל וכי ההכרעות החברתיות המרכזיות מתקבלות, בסופו של דבר, על-ידי בית-המשפט העליון.</w:t>
      </w:r>
      <w:r w:rsidRPr="001A4B63">
        <w:rPr>
          <w:rStyle w:val="FootnoteReference"/>
          <w:rFonts w:asciiTheme="minorBidi" w:hAnsiTheme="minorBidi" w:cstheme="minorBidi"/>
          <w:sz w:val="20"/>
          <w:szCs w:val="20"/>
          <w:rtl/>
        </w:rPr>
        <w:footnoteReference w:id="38"/>
      </w:r>
      <w:r w:rsidRPr="001A4B63">
        <w:rPr>
          <w:rFonts w:asciiTheme="minorBidi" w:hAnsiTheme="minorBidi" w:cstheme="minorBidi"/>
          <w:sz w:val="20"/>
          <w:szCs w:val="20"/>
          <w:rtl/>
        </w:rPr>
        <w:t xml:space="preserve"> כאמור לעיל, זוהי טענה מרכזית של בורק ושל פוזנר כנגד ברק. בורק מאפיין את גישתו של ברק כמבטאת "שלטון [של] השופטים" ו- "רודנות שיפוטית" ומסכם בקביעה כי "בית המשפט הישראלי, ביומרתו לשלוט הן בחרב הן בארנק, עלול בהחלט להתגלות כרשות המסוכנת ביותר לזכויותיה הפוליטיות של האומה".</w:t>
      </w:r>
      <w:r w:rsidRPr="001A4B63">
        <w:rPr>
          <w:rStyle w:val="FootnoteReference"/>
          <w:rFonts w:asciiTheme="minorBidi" w:hAnsiTheme="minorBidi" w:cstheme="minorBidi"/>
          <w:sz w:val="20"/>
          <w:szCs w:val="20"/>
          <w:rtl/>
        </w:rPr>
        <w:footnoteReference w:id="39"/>
      </w:r>
      <w:r w:rsidRPr="001A4B63">
        <w:rPr>
          <w:rFonts w:asciiTheme="minorBidi" w:hAnsiTheme="minorBidi" w:cstheme="minorBidi"/>
          <w:sz w:val="20"/>
          <w:szCs w:val="20"/>
          <w:rtl/>
        </w:rPr>
        <w:t xml:space="preserve"> פוזנר מחרה מחזיק אחריו, ומתאר את ברק כמי שיצר עוצמה שיפוטית אשר אפילו מרחיקי הלכת מקרב שופטי בית המשפט העליון האמריקאי לא העזו לחלום עליה ומכנה אותו, כאמור, רודן.</w:t>
      </w:r>
    </w:p>
    <w:p w:rsidR="005366A8" w:rsidRPr="001A4B63" w:rsidRDefault="005366A8" w:rsidP="005366A8">
      <w:pPr>
        <w:spacing w:after="80"/>
        <w:rPr>
          <w:rFonts w:asciiTheme="minorBidi" w:hAnsiTheme="minorBidi" w:cstheme="minorBidi"/>
          <w:sz w:val="20"/>
          <w:szCs w:val="20"/>
          <w:rtl/>
        </w:rPr>
      </w:pPr>
      <w:r w:rsidRPr="001A4B63">
        <w:rPr>
          <w:rFonts w:asciiTheme="minorBidi" w:hAnsiTheme="minorBidi" w:cstheme="minorBidi"/>
          <w:sz w:val="20"/>
          <w:szCs w:val="20"/>
          <w:highlight w:val="yellow"/>
          <w:rtl/>
        </w:rPr>
        <w:t>אני מבקש לכפור בטענה זו בדבר "שלטון השופטים". דרך פשוטה לבחון זאת היא באמצעות הערכה מה היה חלקו של בית-המשפט העליון בכל אחת מן ההכרעות החברתיות העיקריות שהתקבלו בישראל מאז שנות השמונים ועד ימינו, תקופת כהונתו של ברק</w:t>
      </w:r>
      <w:r w:rsidRPr="001A4B63">
        <w:rPr>
          <w:rFonts w:asciiTheme="minorBidi" w:hAnsiTheme="minorBidi" w:cstheme="minorBidi"/>
          <w:sz w:val="20"/>
          <w:szCs w:val="20"/>
          <w:rtl/>
        </w:rPr>
        <w:t xml:space="preserve">. ברשימת ההכרעות הללו יכללו, למשל, התכנית הכלכלית של 1985, הרחבת ההתנחלויות, הפלישה ללבנון והנסיגה מלבנון, הסכמי אוסלו, מדיניות ההפרטה, הגדלת קצבאות הילדים והקיצוץ שלהן, תכנית ההתנתקות, מבצע חומת מגן, הקמת גדר ההפרדה, החלת מס רווחי הון, שינויים במדיניות ההגירה לישראל, המדיניות שננקטה במלחמת לבנון השנייה ועוד. </w:t>
      </w:r>
      <w:r w:rsidRPr="001A4B63">
        <w:rPr>
          <w:rFonts w:asciiTheme="minorBidi" w:hAnsiTheme="minorBidi" w:cstheme="minorBidi"/>
          <w:sz w:val="20"/>
          <w:szCs w:val="20"/>
          <w:highlight w:val="yellow"/>
          <w:rtl/>
        </w:rPr>
        <w:t>כל ההחלטות הללו, ללא יוצא מן הכלל, התקבלו על-ידי הממשלה והכנסת, ללא מעורבות ממשית של בית-המשפט. בית המשפט לא יזם אף לא אחת מן ההחלטות הללו, הן לא התקבלו בעקבות החלטות שלו ואף לא בעקבות עתירות שהוגשו לבית המשפט. חלק מן ההחלטות אמנם נדון בבית המשפט לאחר שהתקבלו על-ידי המערכת הפוליטית, אך בכל המקרים (מלבד היבטים מסוימים ביחס לתוואי גדר ההפרדה וביחס למלחמה בטרור, כמפורט בהמשך) החליט בית המשפט שלא להתערב</w:t>
      </w:r>
      <w:r w:rsidRPr="001A4B63">
        <w:rPr>
          <w:rFonts w:asciiTheme="minorBidi" w:hAnsiTheme="minorBidi" w:cstheme="minorBidi"/>
          <w:sz w:val="20"/>
          <w:szCs w:val="20"/>
          <w:rtl/>
        </w:rPr>
        <w:t>.</w:t>
      </w:r>
    </w:p>
    <w:p w:rsidR="005366A8" w:rsidRPr="001A4B63" w:rsidRDefault="005366A8" w:rsidP="005366A8">
      <w:pPr>
        <w:spacing w:after="80"/>
        <w:rPr>
          <w:rFonts w:asciiTheme="minorBidi" w:hAnsiTheme="minorBidi" w:cstheme="minorBidi"/>
          <w:sz w:val="20"/>
          <w:szCs w:val="20"/>
          <w:rtl/>
        </w:rPr>
      </w:pPr>
      <w:r w:rsidRPr="001A4B63">
        <w:rPr>
          <w:rFonts w:asciiTheme="minorBidi" w:hAnsiTheme="minorBidi" w:cstheme="minorBidi"/>
          <w:sz w:val="20"/>
          <w:szCs w:val="20"/>
          <w:highlight w:val="yellow"/>
          <w:rtl/>
        </w:rPr>
        <w:t>הדברים דומים ביחס למחדלים של ממשלות ישראל לדורותיהן, כגון: אי מניעת התרחבות הפערים בחברה והעמקת העוני, הימנעות מנקיטת צעדים למניעת הפליה על-ידי גורמים פרטיים כנגד אזרחים ערבים, עיכובים בהחלטות בדבר התפלת מים ומחזור אשפה, ועוד. גם כאן, התרומה של בית-המשפט (לטוב או לרע) לשינוי חברתי אינה ניכרת</w:t>
      </w:r>
      <w:r w:rsidRPr="001A4B63">
        <w:rPr>
          <w:rFonts w:asciiTheme="minorBidi" w:hAnsiTheme="minorBidi" w:cstheme="minorBidi"/>
          <w:sz w:val="20"/>
          <w:szCs w:val="20"/>
          <w:rtl/>
        </w:rPr>
        <w:t>. כך, למשל, בית המשפט לא הורה לממשלה לנקוט במדיניות של העדפה מתקנת לשם התמודדות עם אי שוויון והיעדר ייצוג הולם למגזרים שונים בחברה (אלא הסתפק באכיפה של הסדרים של העדפה מתקנת שקבעו הכנסת והממשלה); בית המשפט לא הורה למדינה להקים בתי תמחוי או לממן תרופות מצילות חיים; הוא לא מנע הפליה בבידוק של אזרחים ערבים בשדה התעופה; והוא אף לא בחן כלל את החוקיות של אי גיוס ערבים לשירות בצה"ל.</w:t>
      </w:r>
    </w:p>
    <w:p w:rsidR="005366A8" w:rsidRPr="001A4B63" w:rsidRDefault="005366A8" w:rsidP="005366A8">
      <w:pPr>
        <w:spacing w:after="80"/>
        <w:rPr>
          <w:rFonts w:asciiTheme="minorBidi" w:hAnsiTheme="minorBidi" w:cstheme="minorBidi"/>
          <w:sz w:val="20"/>
          <w:szCs w:val="20"/>
          <w:rtl/>
        </w:rPr>
      </w:pPr>
      <w:r w:rsidRPr="001A4B63">
        <w:rPr>
          <w:rFonts w:asciiTheme="minorBidi" w:hAnsiTheme="minorBidi" w:cstheme="minorBidi"/>
          <w:sz w:val="20"/>
          <w:szCs w:val="20"/>
          <w:rtl/>
        </w:rPr>
        <w:t xml:space="preserve">דוגמא מובהקת למגמה זו היא </w:t>
      </w:r>
      <w:r w:rsidRPr="001A4B63">
        <w:rPr>
          <w:rFonts w:asciiTheme="minorBidi" w:hAnsiTheme="minorBidi" w:cstheme="minorBidi"/>
          <w:sz w:val="20"/>
          <w:szCs w:val="20"/>
          <w:highlight w:val="yellow"/>
          <w:rtl/>
        </w:rPr>
        <w:t xml:space="preserve">הקמת ההתנחלויות. </w:t>
      </w:r>
      <w:r w:rsidRPr="001A4B63">
        <w:rPr>
          <w:rFonts w:asciiTheme="minorBidi" w:hAnsiTheme="minorBidi" w:cstheme="minorBidi"/>
          <w:sz w:val="20"/>
          <w:szCs w:val="20"/>
          <w:rtl/>
        </w:rPr>
        <w:t>אף שקיימת הסכמה גורפת בקרב משפטנים כי הקמת ההתנחלויות בשטחים אינה חוקית (שכן אינה משרתת צורך צבאי, ולפיכך היא אסורה לפי הדין הבינלאומי החל בשטחים), בית-המשפט נמנע מלהכריז על כך.</w:t>
      </w:r>
      <w:r w:rsidRPr="001A4B63">
        <w:rPr>
          <w:rStyle w:val="FootnoteReference"/>
          <w:rFonts w:asciiTheme="minorBidi" w:hAnsiTheme="minorBidi" w:cstheme="minorBidi"/>
          <w:position w:val="-3"/>
          <w:sz w:val="20"/>
          <w:szCs w:val="20"/>
          <w:rtl/>
        </w:rPr>
        <w:footnoteReference w:id="40"/>
      </w:r>
      <w:r w:rsidRPr="001A4B63">
        <w:rPr>
          <w:rFonts w:asciiTheme="minorBidi" w:hAnsiTheme="minorBidi" w:cstheme="minorBidi"/>
          <w:sz w:val="20"/>
          <w:szCs w:val="20"/>
          <w:rtl/>
        </w:rPr>
        <w:t xml:space="preserve"> אפילו כאשר ההכרעה בסוגיה זו היתה נחוצה לשם בחינת הלגיטימיות של הקמת גדר ההפרדה בתוך השטח הכבוש, מחוץ לשטחה של מדינת ישראל, לאור העובדה שתוואי הגדר נקבע לשם הגנה על תושבי ההתנחלויות, בחר בית המשפט להימנע מלהכריע בשאלת החוקיות של הקמת ההתנחלויות והמשך ההתיישבות בהן על-ידי אזרחים ישראלים.</w:t>
      </w:r>
      <w:r w:rsidRPr="001A4B63">
        <w:rPr>
          <w:rStyle w:val="FootnoteReference"/>
          <w:rFonts w:asciiTheme="minorBidi" w:hAnsiTheme="minorBidi" w:cstheme="minorBidi"/>
          <w:sz w:val="20"/>
          <w:szCs w:val="20"/>
          <w:rtl/>
        </w:rPr>
        <w:footnoteReference w:id="41"/>
      </w:r>
      <w:r w:rsidRPr="001A4B63">
        <w:rPr>
          <w:rFonts w:asciiTheme="minorBidi" w:hAnsiTheme="minorBidi" w:cstheme="minorBidi"/>
          <w:sz w:val="20"/>
          <w:szCs w:val="20"/>
          <w:rtl/>
        </w:rPr>
        <w:t xml:space="preserve"> דוגמא שנייה היא </w:t>
      </w:r>
      <w:r w:rsidRPr="001A4B63">
        <w:rPr>
          <w:rFonts w:asciiTheme="minorBidi" w:hAnsiTheme="minorBidi" w:cstheme="minorBidi"/>
          <w:sz w:val="20"/>
          <w:szCs w:val="20"/>
          <w:highlight w:val="yellow"/>
          <w:rtl/>
        </w:rPr>
        <w:t>מדיניות ההפרטה וצמצום הקצבאות.</w:t>
      </w:r>
      <w:r w:rsidRPr="001A4B63">
        <w:rPr>
          <w:rFonts w:asciiTheme="minorBidi" w:hAnsiTheme="minorBidi" w:cstheme="minorBidi"/>
          <w:sz w:val="20"/>
          <w:szCs w:val="20"/>
          <w:rtl/>
        </w:rPr>
        <w:t xml:space="preserve"> בית המשפט אמנם נכון היה לדון לגופן בעתירות הרבות שהוגשו בנושאים אלה, אך נמנע כמעט כליל מלהתערב, ולמעשה הותיר את ההכרעה בהן לזירה הפוליטית.</w:t>
      </w:r>
      <w:r w:rsidRPr="001A4B63">
        <w:rPr>
          <w:rStyle w:val="FootnoteReference"/>
          <w:rFonts w:asciiTheme="minorBidi" w:hAnsiTheme="minorBidi" w:cstheme="minorBidi"/>
          <w:sz w:val="20"/>
          <w:szCs w:val="20"/>
          <w:rtl/>
        </w:rPr>
        <w:footnoteReference w:id="42"/>
      </w:r>
      <w:r w:rsidRPr="001A4B63">
        <w:rPr>
          <w:rFonts w:asciiTheme="minorBidi" w:hAnsiTheme="minorBidi" w:cstheme="minorBidi"/>
          <w:sz w:val="20"/>
          <w:szCs w:val="20"/>
          <w:rtl/>
        </w:rPr>
        <w:t xml:space="preserve">* דוגמא שלישית, אמנם פחות מובהקת, היא זו של </w:t>
      </w:r>
      <w:r w:rsidRPr="001A4B63">
        <w:rPr>
          <w:rFonts w:asciiTheme="minorBidi" w:hAnsiTheme="minorBidi" w:cstheme="minorBidi"/>
          <w:sz w:val="20"/>
          <w:szCs w:val="20"/>
          <w:highlight w:val="yellow"/>
          <w:rtl/>
        </w:rPr>
        <w:t>דיני המשפחה בישראל</w:t>
      </w:r>
      <w:r w:rsidRPr="001A4B63">
        <w:rPr>
          <w:rFonts w:asciiTheme="minorBidi" w:hAnsiTheme="minorBidi" w:cstheme="minorBidi"/>
          <w:sz w:val="20"/>
          <w:szCs w:val="20"/>
          <w:rtl/>
        </w:rPr>
        <w:t>. החלת דין הדתי בענייני נישואין וגירושין (דין תורה ביחס ליהודים), המבטא גישה פטריאכלית מובהקת, גורמת לאפליה חמורה נגד נשים, שאף אינן שותפות להליך קביעת הנורמות הדתיות ויישומן.</w:t>
      </w:r>
      <w:r w:rsidRPr="001A4B63">
        <w:rPr>
          <w:rFonts w:asciiTheme="minorBidi" w:hAnsiTheme="minorBidi" w:cstheme="minorBidi"/>
          <w:sz w:val="20"/>
          <w:szCs w:val="20"/>
          <w:vertAlign w:val="superscript"/>
          <w:rtl/>
        </w:rPr>
        <w:footnoteReference w:id="43"/>
      </w:r>
      <w:r w:rsidRPr="001A4B63">
        <w:rPr>
          <w:rFonts w:asciiTheme="minorBidi" w:hAnsiTheme="minorBidi" w:cstheme="minorBidi"/>
          <w:sz w:val="20"/>
          <w:szCs w:val="20"/>
          <w:rtl/>
        </w:rPr>
        <w:t xml:space="preserve"> בנוסף, עקב החלתם של האיסורים הקבועים בהלכה על האפשרות של אנשים מסוימים להינשא זה לזה (האיסור על נישואין של אדם יהודי עם מי שאינו נחשב יהודי לפי ההלכה ובאיסור המוטל על יהודים להינשא זה לזה בנסיבות שונות, ובכלל זה איסורים שונים המוטלים על כוהנים), נשללת מאזרחים רבים הזכות לנישואין מטעמים של איסורים דתיים, בניגוד לאמנות בינלאומיות בנושא.</w:t>
      </w:r>
      <w:r w:rsidRPr="001A4B63">
        <w:rPr>
          <w:rFonts w:asciiTheme="minorBidi" w:hAnsiTheme="minorBidi" w:cstheme="minorBidi"/>
          <w:sz w:val="20"/>
          <w:szCs w:val="20"/>
          <w:vertAlign w:val="superscript"/>
          <w:rtl/>
        </w:rPr>
        <w:footnoteReference w:id="44"/>
      </w:r>
      <w:r w:rsidRPr="001A4B63">
        <w:rPr>
          <w:rFonts w:asciiTheme="minorBidi" w:hAnsiTheme="minorBidi" w:cstheme="minorBidi"/>
          <w:sz w:val="20"/>
          <w:szCs w:val="20"/>
          <w:rtl/>
        </w:rPr>
        <w:t xml:space="preserve"> בית המשפט אמנם תרם רבות להכשרת דרכים עוקפות להסדר בלתי מוסרי זה (בעיקר, מכוח ההכרה בתוקפם של נישואין של ישראלים הנערכים בחו"ל, ובכלל זה בני זוג מאותו המין, ובזכויותיהם של "ידועים בציבור", וכן מכוח החלת סייגים שונים לתחולת הדין הדתי) ובכך הקהה במידה מסוימת את החומרה שבהחלת הדין הדתי. אולם לאורך השנים בחר בית המשפט להימנע מלהכריז על אי החוקיות של משטר זה והעדיף להותירה להכרעת הכנסת.</w:t>
      </w:r>
      <w:r w:rsidRPr="001A4B63">
        <w:rPr>
          <w:rStyle w:val="FootnoteReference"/>
          <w:rFonts w:asciiTheme="minorBidi" w:hAnsiTheme="minorBidi" w:cstheme="minorBidi"/>
          <w:position w:val="-3"/>
          <w:sz w:val="20"/>
          <w:szCs w:val="20"/>
          <w:rtl/>
        </w:rPr>
        <w:footnoteReference w:id="45"/>
      </w:r>
      <w:r w:rsidRPr="001A4B63">
        <w:rPr>
          <w:rFonts w:asciiTheme="minorBidi" w:hAnsiTheme="minorBidi" w:cstheme="minorBidi"/>
          <w:sz w:val="20"/>
          <w:szCs w:val="20"/>
          <w:rtl/>
        </w:rPr>
        <w:t xml:space="preserve">  </w:t>
      </w:r>
    </w:p>
    <w:p w:rsidR="005366A8" w:rsidRPr="001A4B63" w:rsidRDefault="005366A8" w:rsidP="005366A8">
      <w:pPr>
        <w:spacing w:after="80"/>
        <w:rPr>
          <w:rFonts w:asciiTheme="minorBidi" w:hAnsiTheme="minorBidi" w:cstheme="minorBidi"/>
          <w:sz w:val="20"/>
          <w:szCs w:val="20"/>
          <w:rtl/>
        </w:rPr>
      </w:pPr>
      <w:r w:rsidRPr="001A4B63">
        <w:rPr>
          <w:rFonts w:asciiTheme="minorBidi" w:hAnsiTheme="minorBidi" w:cstheme="minorBidi"/>
          <w:sz w:val="20"/>
          <w:szCs w:val="20"/>
          <w:highlight w:val="yellow"/>
          <w:rtl/>
        </w:rPr>
        <w:t>מיתוס האקטיביזם השיפוטי מבוסס על גרעין עובדתי, אך זהו גרעין מצומצם למדי.</w:t>
      </w:r>
      <w:r w:rsidRPr="001A4B63">
        <w:rPr>
          <w:rFonts w:asciiTheme="minorBidi" w:hAnsiTheme="minorBidi" w:cstheme="minorBidi"/>
          <w:sz w:val="20"/>
          <w:szCs w:val="20"/>
          <w:rtl/>
        </w:rPr>
        <w:t xml:space="preserve"> הוא כולל, בעיקר, מעורבות רבה יחסית בתחום תקינות ההליכים הפוליטיים (בעיקר הגבלות על כהונה בתפקידים ציבוריים של מי שחשודים כי עברו על החוק, איסור על כהונה תוך ניגוד עניינים, הטלת חובת פרסום של מידע המצוי בידי רשויות השלטון, החלת חובת הענקת זכות טיעון, הטלת חובת הנמקה וכדומה); והגנה על זכויות היסוד של האדם (למשל, ביטול ההחלטה למנוע את ההשתתפות בבחירות של רשימות ומועמדים מסוימים,</w:t>
      </w:r>
      <w:r w:rsidRPr="001A4B63">
        <w:rPr>
          <w:rStyle w:val="FootnoteReference"/>
          <w:rFonts w:asciiTheme="minorBidi" w:hAnsiTheme="minorBidi" w:cstheme="minorBidi"/>
          <w:sz w:val="20"/>
          <w:szCs w:val="20"/>
          <w:rtl/>
        </w:rPr>
        <w:footnoteReference w:id="46"/>
      </w:r>
      <w:r w:rsidRPr="001A4B63">
        <w:rPr>
          <w:rFonts w:asciiTheme="minorBidi" w:hAnsiTheme="minorBidi" w:cstheme="minorBidi"/>
          <w:sz w:val="20"/>
          <w:szCs w:val="20"/>
          <w:rtl/>
        </w:rPr>
        <w:t xml:space="preserve"> אכיפת האיסור להפלות אזרחים ערבים בהקצאת קרקעות המדינה ואכיפת האיסור להפלות נשים בהקשרים מגוונים, הגנה רחבה על חופש הביטוי, איסור על שימוש באמצעים פוגעניים – לרבות עינויים – בחקירות של חשודים במעשי טרור, איסור לנקוט באמצעים צבאיים הגורמים לפגיעה "שאינה מידתית" באזרחים, ועוד). </w:t>
      </w:r>
      <w:r w:rsidRPr="001A4B63">
        <w:rPr>
          <w:rFonts w:asciiTheme="minorBidi" w:hAnsiTheme="minorBidi" w:cstheme="minorBidi"/>
          <w:sz w:val="20"/>
          <w:szCs w:val="20"/>
          <w:highlight w:val="yellow"/>
          <w:rtl/>
        </w:rPr>
        <w:t>ההשפעה של פסיקתו של בית המשפט בתחומים אלה היא רבה יחסית, והיא מתבטאת לא אחת (אם כי לא באופן מלא) בריסון עצמי ניכר של רשויות השלטון, בהנחיית היועצים המשפטיים.</w:t>
      </w:r>
      <w:r w:rsidRPr="001A4B63">
        <w:rPr>
          <w:rStyle w:val="FootnoteReference"/>
          <w:rFonts w:asciiTheme="minorBidi" w:hAnsiTheme="minorBidi" w:cstheme="minorBidi"/>
          <w:position w:val="-3"/>
          <w:sz w:val="20"/>
          <w:szCs w:val="20"/>
          <w:rtl/>
        </w:rPr>
        <w:footnoteReference w:id="47"/>
      </w:r>
      <w:r w:rsidRPr="001A4B63">
        <w:rPr>
          <w:rFonts w:asciiTheme="minorBidi" w:hAnsiTheme="minorBidi" w:cstheme="minorBidi"/>
          <w:sz w:val="20"/>
          <w:szCs w:val="20"/>
          <w:highlight w:val="yellow"/>
          <w:rtl/>
        </w:rPr>
        <w:t xml:space="preserve"> אך הכרעות אלה רחוקות מן הייחוס של היומרה "לשלוט הן בחרב והן בארנק". </w:t>
      </w:r>
      <w:r w:rsidRPr="001A4B63">
        <w:rPr>
          <w:rFonts w:asciiTheme="minorBidi" w:hAnsiTheme="minorBidi" w:cstheme="minorBidi"/>
          <w:sz w:val="20"/>
          <w:szCs w:val="20"/>
          <w:rtl/>
        </w:rPr>
        <w:t>בית המשפט נמנע באופן כמעט מוחלט מהתווית מדיניות, כך שההכרעות החברתיות העיקריות מתקבלות בישראל במסגרת הפוליטית, ולא על-ידי בית-המשפט.</w:t>
      </w:r>
    </w:p>
    <w:p w:rsidR="005366A8" w:rsidRPr="001A4B63" w:rsidRDefault="005366A8" w:rsidP="005366A8">
      <w:pPr>
        <w:spacing w:after="80"/>
        <w:rPr>
          <w:rFonts w:asciiTheme="minorBidi" w:hAnsiTheme="minorBidi" w:cstheme="minorBidi"/>
          <w:sz w:val="20"/>
          <w:szCs w:val="20"/>
          <w:rtl/>
        </w:rPr>
      </w:pPr>
      <w:r w:rsidRPr="001A4B63">
        <w:rPr>
          <w:rFonts w:asciiTheme="minorBidi" w:hAnsiTheme="minorBidi" w:cstheme="minorBidi"/>
          <w:sz w:val="20"/>
          <w:szCs w:val="20"/>
          <w:highlight w:val="yellow"/>
          <w:rtl/>
        </w:rPr>
        <w:t>חשוב להדגיש כי לבית-המשפט, ואהרן ברק בראשו, תפקיד מרכזי בטיפוח מיתוס האקטיביזם השיפוטי.</w:t>
      </w:r>
      <w:r w:rsidRPr="001A4B63">
        <w:rPr>
          <w:rFonts w:asciiTheme="minorBidi" w:hAnsiTheme="minorBidi" w:cstheme="minorBidi"/>
          <w:sz w:val="20"/>
          <w:szCs w:val="20"/>
          <w:rtl/>
        </w:rPr>
        <w:t xml:space="preserve"> ביטול הדרישה ל"זכות עמידה" והנכונות לבחון כל הכרעה שלטונית ולהעריך האם היא "סבירה" ו"מידתית" יוצרת רושם כאילו בית-המשפט הוא גורם מרכזי בפוליטיקה הישראלית. אך בפועל, הנטייה המובהקת של בג"ץ היא להימנע מלהתערב בהכרעות השלטוניות. בורק ופוזנר מבקרים את הנכונות של ברק לבחון כל סוגיה לגופה, בהתבסס על אמות המידה של "סבירות" ו"מידתיות", למשל ביחס לקביעת גובה הקצבאות שמשלמת המדינה לתושביה, ביחס להחלטה על שחרור אסירים לשם פדיון שבוים ואפילו ביחס לסבירות ההחלטה לפתוח במלחמה. אולם הם מתעלמים מן העובדה שהיקף הביקורת השיפוטית נקבע לא רק בהתאם לעצם הנכונות להחיל את מבחן הסבירות, אלא גם לפי האופן בו מוחל מבחן זה. בפועל, בכל המקרים האמורים הכיר ברק במתחם רחב מאד של סבירות, באופן שהותיר בידי רשויות השלטון מרחב בלתי מוגבל כמעט של שיקול דעת.</w:t>
      </w:r>
      <w:r w:rsidRPr="001A4B63">
        <w:rPr>
          <w:rStyle w:val="FootnoteReference"/>
          <w:rFonts w:asciiTheme="minorBidi" w:hAnsiTheme="minorBidi" w:cstheme="minorBidi"/>
          <w:sz w:val="20"/>
          <w:szCs w:val="20"/>
          <w:rtl/>
        </w:rPr>
        <w:footnoteReference w:id="48"/>
      </w:r>
      <w:r w:rsidRPr="001A4B63">
        <w:rPr>
          <w:rFonts w:asciiTheme="minorBidi" w:hAnsiTheme="minorBidi" w:cstheme="minorBidi"/>
          <w:sz w:val="20"/>
          <w:szCs w:val="20"/>
          <w:rtl/>
        </w:rPr>
        <w:t xml:space="preserve"> יתר על כן, אף במקרים בהם בחר בית המשפט להתערב נותר בידי הכנסת הכוח להגיב לפסיקתו של בית המשפט, כמעט תמיד ללא צורך ברוב מיוחס לשם כך. הכרעותיו של בית המשפט אמנם נתפסות לעיתים כמבטאות הכרעה ביחס למכלול ההיבטים של החלטה שלטונית מסוימת, כך שדחייה של עתירה כנגד החוקיות של ההחלטה מתפרשת בציבור כקביעה כי מדובר במדיניות "נכונה" ו-"צודקת". אולם, תפיסה זו היא מוטעית, ומבטאת התעלמות מן ההכרה השיפוטית בקיומו של מתחם רחב של החלטות חלופיות שכולן סבירות (ולכן חוקיות).</w:t>
      </w:r>
    </w:p>
    <w:p w:rsidR="005366A8" w:rsidRPr="001A4B63" w:rsidRDefault="005366A8" w:rsidP="005366A8">
      <w:pPr>
        <w:spacing w:after="80"/>
        <w:rPr>
          <w:rFonts w:asciiTheme="minorBidi" w:hAnsiTheme="minorBidi" w:cstheme="minorBidi"/>
          <w:sz w:val="20"/>
          <w:szCs w:val="20"/>
          <w:rtl/>
        </w:rPr>
      </w:pPr>
      <w:r w:rsidRPr="001A4B63">
        <w:rPr>
          <w:rFonts w:asciiTheme="minorBidi" w:hAnsiTheme="minorBidi" w:cstheme="minorBidi"/>
          <w:sz w:val="20"/>
          <w:szCs w:val="20"/>
          <w:highlight w:val="yellow"/>
          <w:rtl/>
        </w:rPr>
        <w:t>דוגמא לפער בין מיתוס האקטיביזם השיפוטי לבין המצב בפועל היא הביקורת השיפוטית על פעילות צה"ל בשטחים. בג"ץ נכון היה לדון לגופן בכמעט כל העתירות שהוגשו כנגד פעילות צה"ל בשטחים, תוך בחינת הסמכות לנקוט באמצעים שונים והערכה האם הפעלת האמצעים היא "מידתית". אולם, בפועל הכשיר בית המשפט כמעט כל אמצעי שננקט על-ידי צה"ל במסגרת המאבק בטרור, תוך מתן פירוש מרחיב מאד (ושנוי במחלוקת) להוראות המשפט הבינלאומי. כך, למשל, בורק ופוזנר מזכירים את התערבות בג"ץ בקביעת התוואי של גדר ההפרדה, אך שוכחים לציין כי בג"ץ הכשיר את עצם הקמת הגדר בשטחים, מחוץ לשטח המדינה, בניגוד לעמדת בית הדין הבינלאומי,</w:t>
      </w:r>
      <w:r w:rsidRPr="001A4B63">
        <w:rPr>
          <w:rStyle w:val="FootnoteReference"/>
          <w:rFonts w:asciiTheme="minorBidi" w:hAnsiTheme="minorBidi" w:cstheme="minorBidi"/>
          <w:sz w:val="20"/>
          <w:szCs w:val="20"/>
          <w:rtl/>
        </w:rPr>
        <w:footnoteReference w:id="49"/>
      </w:r>
      <w:r w:rsidRPr="001A4B63">
        <w:rPr>
          <w:rFonts w:asciiTheme="minorBidi" w:hAnsiTheme="minorBidi" w:cstheme="minorBidi"/>
          <w:sz w:val="20"/>
          <w:szCs w:val="20"/>
          <w:highlight w:val="yellow"/>
          <w:rtl/>
        </w:rPr>
        <w:t xml:space="preserve"> חרף הפגיעה הקשה הנגרמת עקב כך לאוכלוסיה הפלסטינית. באופן דומה, מרבים להזכיר את שלילת החוקיות של הנקיטה ב"נוהל שכן", אך אין מזכירים את ההכשר שניתן לאמצעים כגון הריסת בתים, הטלת עוצר, מעצר מינהלי, שלילת חופש התנועה, ועוד.</w:t>
      </w:r>
      <w:r w:rsidRPr="001A4B63">
        <w:rPr>
          <w:rFonts w:asciiTheme="minorBidi" w:hAnsiTheme="minorBidi" w:cstheme="minorBidi"/>
          <w:sz w:val="20"/>
          <w:szCs w:val="20"/>
          <w:rtl/>
        </w:rPr>
        <w:t xml:space="preserve"> </w:t>
      </w:r>
    </w:p>
    <w:p w:rsidR="005366A8" w:rsidRPr="001A4B63" w:rsidRDefault="005366A8" w:rsidP="005366A8">
      <w:pPr>
        <w:spacing w:after="80"/>
        <w:rPr>
          <w:rFonts w:asciiTheme="minorBidi" w:hAnsiTheme="minorBidi" w:cstheme="minorBidi"/>
          <w:sz w:val="20"/>
          <w:szCs w:val="20"/>
          <w:rtl/>
        </w:rPr>
      </w:pPr>
      <w:r w:rsidRPr="001A4B63">
        <w:rPr>
          <w:rFonts w:asciiTheme="minorBidi" w:hAnsiTheme="minorBidi" w:cstheme="minorBidi"/>
          <w:sz w:val="20"/>
          <w:szCs w:val="20"/>
          <w:rtl/>
        </w:rPr>
        <w:t>אני סבור כי בית-המשפט העליון בישראל ממלא תפקיד משמעותי מאד בעיצוב אופייה ודמותה של החברה בישראל כחברה דמוקרטית. אני מסכים גם כי המעורבות של בית המשפט בתחום המינויים למשרות ציבוריות היא רבה יחסית למקובל בדמוקרטיות אחרות. אולם, המעורבות של בית המשפט בקביעת מדיניות, בהכרעות חברתיות מרכזיות, היא מוגבלת מאד. זוהי בוודאי שאלה מעניינת, האם בית-המשפט יכול היה להוביל שינוי חברתי, למשל לכינון נישואין אזרחיים בישראל או לפינוי ההתנחלויות, והאם ראוי שיעשה זאת. אך בכל מקרה, התיאורים של בית המשפט הישראלי כמי שמתיימר לשלוט "הן בחרב הן בארנק" ושל ברק כרודן הם חסרי בסיס.</w:t>
      </w:r>
    </w:p>
    <w:p w:rsidR="005366A8" w:rsidRPr="00BF75E8" w:rsidRDefault="005366A8" w:rsidP="005366A8">
      <w:pPr>
        <w:spacing w:after="120"/>
        <w:rPr>
          <w:sz w:val="20"/>
          <w:szCs w:val="20"/>
          <w:rtl/>
        </w:rPr>
      </w:pPr>
      <w:r>
        <w:rPr>
          <w:rFonts w:hint="cs"/>
          <w:sz w:val="20"/>
          <w:szCs w:val="20"/>
          <w:rtl/>
        </w:rPr>
        <w:t>[... (המאמר ממשיך לדון בשני המיתוסים האחרים הנזכרים בתחילת הדברים)].</w:t>
      </w:r>
    </w:p>
    <w:p w:rsidR="005366A8" w:rsidRDefault="005366A8" w:rsidP="005366A8">
      <w:pPr>
        <w:spacing w:after="120"/>
        <w:rPr>
          <w:i/>
          <w:iCs/>
          <w:sz w:val="20"/>
          <w:szCs w:val="20"/>
          <w:rtl/>
        </w:rPr>
      </w:pPr>
      <w:r>
        <w:rPr>
          <w:rFonts w:hint="cs"/>
          <w:sz w:val="22"/>
          <w:szCs w:val="22"/>
          <w:rtl/>
        </w:rPr>
        <w:t>=-=</w:t>
      </w:r>
    </w:p>
    <w:p w:rsidR="005366A8" w:rsidRPr="0014532C" w:rsidRDefault="005366A8" w:rsidP="005366A8">
      <w:pPr>
        <w:spacing w:after="120"/>
        <w:rPr>
          <w:i/>
          <w:iCs/>
          <w:sz w:val="20"/>
          <w:szCs w:val="20"/>
          <w:rtl/>
        </w:rPr>
      </w:pPr>
      <w:r w:rsidRPr="0014532C">
        <w:rPr>
          <w:rFonts w:hint="cs"/>
          <w:i/>
          <w:iCs/>
          <w:sz w:val="20"/>
          <w:szCs w:val="20"/>
          <w:rtl/>
        </w:rPr>
        <w:t>אנא חשבו, לקראת הפגישה הבאה, על השאלה ש</w:t>
      </w:r>
      <w:r>
        <w:rPr>
          <w:rFonts w:hint="cs"/>
          <w:i/>
          <w:iCs/>
          <w:sz w:val="20"/>
          <w:szCs w:val="20"/>
          <w:rtl/>
        </w:rPr>
        <w:t>להלן</w:t>
      </w:r>
      <w:r w:rsidRPr="0014532C">
        <w:rPr>
          <w:rFonts w:hint="cs"/>
          <w:i/>
          <w:iCs/>
          <w:sz w:val="20"/>
          <w:szCs w:val="20"/>
          <w:rtl/>
        </w:rPr>
        <w:t>.</w:t>
      </w:r>
    </w:p>
    <w:p w:rsidR="005366A8" w:rsidRPr="003F2817" w:rsidRDefault="005366A8" w:rsidP="005366A8">
      <w:pPr>
        <w:spacing w:after="120"/>
        <w:jc w:val="center"/>
        <w:rPr>
          <w:b/>
          <w:bCs/>
          <w:rtl/>
        </w:rPr>
      </w:pPr>
      <w:r w:rsidRPr="003437BE">
        <w:rPr>
          <w:rFonts w:hint="cs"/>
          <w:b/>
          <w:bCs/>
          <w:highlight w:val="yellow"/>
          <w:rtl/>
        </w:rPr>
        <w:t>יוזמ</w:t>
      </w:r>
      <w:r>
        <w:rPr>
          <w:rFonts w:hint="cs"/>
          <w:b/>
          <w:bCs/>
          <w:highlight w:val="yellow"/>
          <w:rtl/>
        </w:rPr>
        <w:t>ה</w:t>
      </w:r>
      <w:r w:rsidRPr="003437BE">
        <w:rPr>
          <w:rFonts w:hint="cs"/>
          <w:b/>
          <w:bCs/>
          <w:highlight w:val="yellow"/>
          <w:rtl/>
        </w:rPr>
        <w:t xml:space="preserve"> לשינוי המסגרת החוקתית של ישראל</w:t>
      </w:r>
      <w:r>
        <w:rPr>
          <w:rFonts w:hint="cs"/>
          <w:b/>
          <w:bCs/>
          <w:rtl/>
        </w:rPr>
        <w:t>; יוזמה זו לא נתקבלה</w:t>
      </w:r>
    </w:p>
    <w:p w:rsidR="005366A8" w:rsidRPr="003437BE" w:rsidRDefault="005366A8" w:rsidP="005366A8">
      <w:pPr>
        <w:pStyle w:val="T-body"/>
        <w:spacing w:after="240" w:line="240" w:lineRule="auto"/>
        <w:rPr>
          <w:sz w:val="22"/>
          <w:szCs w:val="22"/>
          <w:rtl/>
        </w:rPr>
      </w:pPr>
      <w:r w:rsidRPr="003437BE">
        <w:rPr>
          <w:rFonts w:hint="cs"/>
          <w:sz w:val="22"/>
          <w:szCs w:val="22"/>
          <w:rtl/>
        </w:rPr>
        <w:t xml:space="preserve">שר המשפטים לשעבר, פרופ' דניאל פרידמן, יזם </w:t>
      </w:r>
      <w:r>
        <w:rPr>
          <w:rFonts w:hint="cs"/>
          <w:sz w:val="22"/>
          <w:szCs w:val="22"/>
          <w:rtl/>
        </w:rPr>
        <w:t xml:space="preserve">בעת כהונתו </w:t>
      </w:r>
      <w:r w:rsidRPr="003437BE">
        <w:rPr>
          <w:rFonts w:hint="cs"/>
          <w:sz w:val="22"/>
          <w:szCs w:val="22"/>
          <w:rtl/>
        </w:rPr>
        <w:t xml:space="preserve">את </w:t>
      </w:r>
      <w:r w:rsidRPr="003437BE">
        <w:rPr>
          <w:rFonts w:hint="cs"/>
          <w:sz w:val="22"/>
          <w:szCs w:val="22"/>
          <w:u w:val="single"/>
          <w:rtl/>
        </w:rPr>
        <w:t>הצעת</w:t>
      </w:r>
      <w:r w:rsidRPr="003437BE">
        <w:rPr>
          <w:rFonts w:hint="cs"/>
          <w:sz w:val="22"/>
          <w:szCs w:val="22"/>
          <w:rtl/>
        </w:rPr>
        <w:t xml:space="preserve"> התיקון הבאה: </w:t>
      </w:r>
      <w:r w:rsidRPr="003437BE">
        <w:rPr>
          <w:rFonts w:cs="David" w:hint="cs"/>
          <w:b/>
          <w:bCs/>
          <w:sz w:val="22"/>
          <w:szCs w:val="22"/>
          <w:rtl/>
        </w:rPr>
        <w:t xml:space="preserve">תזכיר חוק יסוד: השפיטה (תיקון </w:t>
      </w:r>
      <w:r w:rsidRPr="003437BE">
        <w:rPr>
          <w:rFonts w:cs="David"/>
          <w:b/>
          <w:bCs/>
          <w:sz w:val="22"/>
          <w:szCs w:val="22"/>
          <w:rtl/>
        </w:rPr>
        <w:t>–</w:t>
      </w:r>
      <w:r w:rsidRPr="003437BE">
        <w:rPr>
          <w:rFonts w:cs="David" w:hint="cs"/>
          <w:b/>
          <w:bCs/>
          <w:sz w:val="22"/>
          <w:szCs w:val="22"/>
          <w:rtl/>
        </w:rPr>
        <w:t xml:space="preserve"> ביקורת שיפוטית על תוקפם של חוקים).</w:t>
      </w:r>
      <w:r w:rsidRPr="003437BE">
        <w:rPr>
          <w:rFonts w:hint="cs"/>
          <w:sz w:val="22"/>
          <w:szCs w:val="22"/>
          <w:rtl/>
        </w:rPr>
        <w:t xml:space="preserve"> חלק מההוראות העיקריות המוצעות כת</w:t>
      </w:r>
      <w:r>
        <w:rPr>
          <w:rFonts w:hint="cs"/>
          <w:sz w:val="22"/>
          <w:szCs w:val="22"/>
          <w:rtl/>
        </w:rPr>
        <w:t xml:space="preserve">יקון לחוק היסוד מושמעות להלן.  </w:t>
      </w:r>
      <w:r w:rsidRPr="003437BE">
        <w:rPr>
          <w:rFonts w:hint="cs"/>
          <w:sz w:val="22"/>
          <w:szCs w:val="22"/>
          <w:rtl/>
        </w:rPr>
        <w:t>יוזמה</w:t>
      </w:r>
      <w:r>
        <w:rPr>
          <w:rFonts w:hint="cs"/>
          <w:sz w:val="22"/>
          <w:szCs w:val="22"/>
          <w:rtl/>
        </w:rPr>
        <w:t xml:space="preserve"> זו</w:t>
      </w:r>
      <w:r w:rsidRPr="003437BE">
        <w:rPr>
          <w:rFonts w:hint="cs"/>
          <w:sz w:val="22"/>
          <w:szCs w:val="22"/>
          <w:rtl/>
        </w:rPr>
        <w:t xml:space="preserve"> </w:t>
      </w:r>
      <w:r w:rsidRPr="003437BE">
        <w:rPr>
          <w:rFonts w:hint="cs"/>
          <w:sz w:val="22"/>
          <w:szCs w:val="22"/>
          <w:u w:val="single"/>
          <w:rtl/>
        </w:rPr>
        <w:t>לא</w:t>
      </w:r>
      <w:r w:rsidRPr="003437BE">
        <w:rPr>
          <w:rFonts w:hint="cs"/>
          <w:sz w:val="22"/>
          <w:szCs w:val="22"/>
          <w:rtl/>
        </w:rPr>
        <w:t xml:space="preserve"> התקבלה</w:t>
      </w:r>
      <w:r>
        <w:rPr>
          <w:rFonts w:hint="cs"/>
          <w:sz w:val="22"/>
          <w:szCs w:val="22"/>
          <w:rtl/>
        </w:rPr>
        <w:t>.</w:t>
      </w:r>
    </w:p>
    <w:p w:rsidR="005366A8" w:rsidRPr="00F35CD3" w:rsidRDefault="005366A8" w:rsidP="005366A8">
      <w:pPr>
        <w:pStyle w:val="T-body"/>
        <w:spacing w:after="120" w:line="240" w:lineRule="auto"/>
        <w:ind w:right="426"/>
        <w:rPr>
          <w:rFonts w:cs="David"/>
          <w:b/>
          <w:bCs/>
          <w:sz w:val="20"/>
          <w:szCs w:val="20"/>
          <w:rtl/>
        </w:rPr>
      </w:pPr>
      <w:r w:rsidRPr="003437BE">
        <w:rPr>
          <w:rFonts w:cs="David" w:hint="cs"/>
          <w:b/>
          <w:bCs/>
          <w:sz w:val="20"/>
          <w:szCs w:val="20"/>
          <w:rtl/>
        </w:rPr>
        <w:t>15</w:t>
      </w:r>
      <w:r w:rsidRPr="00F35CD3">
        <w:rPr>
          <w:rFonts w:cs="David" w:hint="cs"/>
          <w:b/>
          <w:bCs/>
          <w:sz w:val="20"/>
          <w:szCs w:val="20"/>
          <w:rtl/>
        </w:rPr>
        <w:t>א. [ביקורת שיפוטית על תוקפם של חוקים]</w:t>
      </w:r>
    </w:p>
    <w:p w:rsidR="005366A8" w:rsidRPr="00F35CD3" w:rsidRDefault="005366A8" w:rsidP="000B7168">
      <w:pPr>
        <w:pStyle w:val="T-body"/>
        <w:numPr>
          <w:ilvl w:val="0"/>
          <w:numId w:val="15"/>
        </w:numPr>
        <w:spacing w:line="240" w:lineRule="auto"/>
        <w:ind w:right="426"/>
        <w:rPr>
          <w:rFonts w:cs="David"/>
          <w:sz w:val="20"/>
          <w:szCs w:val="20"/>
        </w:rPr>
      </w:pPr>
      <w:r w:rsidRPr="00F35CD3">
        <w:rPr>
          <w:rFonts w:cs="David" w:hint="cs"/>
          <w:sz w:val="20"/>
          <w:szCs w:val="20"/>
          <w:rtl/>
        </w:rPr>
        <w:t>רשות שיפוטית לא תקבע כי חוק אינו תקף, זולת בית המשפט העליון, ובשל אחת מעילות אלה בלבד:</w:t>
      </w:r>
    </w:p>
    <w:p w:rsidR="005366A8" w:rsidRPr="00F35CD3" w:rsidRDefault="005366A8" w:rsidP="000B7168">
      <w:pPr>
        <w:pStyle w:val="T-body"/>
        <w:numPr>
          <w:ilvl w:val="0"/>
          <w:numId w:val="16"/>
        </w:numPr>
        <w:spacing w:line="240" w:lineRule="auto"/>
        <w:ind w:right="426"/>
        <w:rPr>
          <w:rFonts w:cs="David"/>
          <w:sz w:val="20"/>
          <w:szCs w:val="20"/>
        </w:rPr>
      </w:pPr>
      <w:r w:rsidRPr="00F35CD3">
        <w:rPr>
          <w:rFonts w:cs="David" w:hint="cs"/>
          <w:sz w:val="20"/>
          <w:szCs w:val="20"/>
          <w:rtl/>
        </w:rPr>
        <w:t>החוק פוגע בזכות שלפי חוק יסוד: כבוד האדם וחירותו, והוא אינו עומד בתנאים הקבועים בסעיף 8 לחוק היסוד האמור;</w:t>
      </w:r>
    </w:p>
    <w:p w:rsidR="005366A8" w:rsidRPr="00F35CD3" w:rsidRDefault="005366A8" w:rsidP="000B7168">
      <w:pPr>
        <w:pStyle w:val="T-body"/>
        <w:numPr>
          <w:ilvl w:val="0"/>
          <w:numId w:val="16"/>
        </w:numPr>
        <w:spacing w:line="240" w:lineRule="auto"/>
        <w:ind w:right="426"/>
        <w:rPr>
          <w:rFonts w:cs="David"/>
          <w:sz w:val="20"/>
          <w:szCs w:val="20"/>
        </w:rPr>
      </w:pPr>
      <w:r w:rsidRPr="00F35CD3">
        <w:rPr>
          <w:rFonts w:cs="David" w:hint="cs"/>
          <w:sz w:val="20"/>
          <w:szCs w:val="20"/>
          <w:rtl/>
        </w:rPr>
        <w:t>החוק פוגע בזכות שלפי חוק יסוד: חופש העיסוק, והוא איננו עומד בתנאים הקבועים בסעיף 4 לחוק היסוד האמור;</w:t>
      </w:r>
    </w:p>
    <w:p w:rsidR="005366A8" w:rsidRPr="00F35CD3" w:rsidRDefault="005366A8" w:rsidP="000B7168">
      <w:pPr>
        <w:pStyle w:val="T-body"/>
        <w:numPr>
          <w:ilvl w:val="0"/>
          <w:numId w:val="16"/>
        </w:numPr>
        <w:spacing w:line="240" w:lineRule="auto"/>
        <w:ind w:right="426"/>
        <w:rPr>
          <w:rFonts w:cs="David"/>
          <w:sz w:val="20"/>
          <w:szCs w:val="20"/>
        </w:rPr>
      </w:pPr>
      <w:r w:rsidRPr="00F35CD3">
        <w:rPr>
          <w:rFonts w:cs="David" w:hint="cs"/>
          <w:sz w:val="20"/>
          <w:szCs w:val="20"/>
          <w:rtl/>
        </w:rPr>
        <w:t>החוק מאריך את תקופת כהונתה של הכנסת, שלא בהתאם לתנאים הקבועים בסעיף 9א לחוק יסוד הכנסת;</w:t>
      </w:r>
    </w:p>
    <w:p w:rsidR="005366A8" w:rsidRPr="00F35CD3" w:rsidRDefault="005366A8" w:rsidP="000B7168">
      <w:pPr>
        <w:pStyle w:val="T-body"/>
        <w:numPr>
          <w:ilvl w:val="0"/>
          <w:numId w:val="16"/>
        </w:numPr>
        <w:spacing w:after="120" w:line="240" w:lineRule="auto"/>
        <w:ind w:right="426" w:hanging="357"/>
        <w:rPr>
          <w:rFonts w:cs="David"/>
          <w:sz w:val="20"/>
          <w:szCs w:val="20"/>
        </w:rPr>
      </w:pPr>
      <w:r w:rsidRPr="00F35CD3">
        <w:rPr>
          <w:rFonts w:cs="David" w:hint="cs"/>
          <w:sz w:val="20"/>
          <w:szCs w:val="20"/>
          <w:rtl/>
        </w:rPr>
        <w:t>החוק לא נתקבל ברוב הדרוש לקבלתו, שנקבע בחוק היסוד.</w:t>
      </w:r>
    </w:p>
    <w:p w:rsidR="005366A8" w:rsidRPr="00F35CD3" w:rsidRDefault="005366A8" w:rsidP="000B7168">
      <w:pPr>
        <w:pStyle w:val="T-body"/>
        <w:numPr>
          <w:ilvl w:val="0"/>
          <w:numId w:val="15"/>
        </w:numPr>
        <w:spacing w:after="120" w:line="240" w:lineRule="auto"/>
        <w:ind w:right="426" w:hanging="357"/>
        <w:rPr>
          <w:rFonts w:cs="David"/>
          <w:sz w:val="20"/>
          <w:szCs w:val="20"/>
          <w:rtl/>
        </w:rPr>
      </w:pPr>
      <w:r w:rsidRPr="00F35CD3">
        <w:rPr>
          <w:rFonts w:cs="David" w:hint="cs"/>
          <w:sz w:val="20"/>
          <w:szCs w:val="20"/>
          <w:rtl/>
        </w:rPr>
        <w:t xml:space="preserve">קביעת בית המשפט העליון לפי סעיף קטן (א) תהיה בפסק דין שניתן בהרכב של תשעה שופטים, או בהרכב רחב יותר </w:t>
      </w:r>
      <w:r w:rsidRPr="00F35CD3">
        <w:rPr>
          <w:rFonts w:cs="David"/>
          <w:sz w:val="20"/>
          <w:szCs w:val="20"/>
          <w:rtl/>
        </w:rPr>
        <w:t>–</w:t>
      </w:r>
      <w:r w:rsidRPr="00F35CD3">
        <w:rPr>
          <w:rFonts w:cs="David" w:hint="cs"/>
          <w:sz w:val="20"/>
          <w:szCs w:val="20"/>
          <w:rtl/>
        </w:rPr>
        <w:t xml:space="preserve"> אם קבע זאת נשיא בית המשפט העליון, ברוב של שני שלישים לפחות משופטי ההרכב. </w:t>
      </w:r>
    </w:p>
    <w:p w:rsidR="005366A8" w:rsidRPr="00F35CD3" w:rsidRDefault="005366A8" w:rsidP="005366A8">
      <w:pPr>
        <w:pStyle w:val="T-body"/>
        <w:spacing w:line="240" w:lineRule="auto"/>
        <w:ind w:right="426"/>
        <w:rPr>
          <w:rFonts w:cs="David"/>
          <w:b/>
          <w:bCs/>
          <w:sz w:val="20"/>
          <w:szCs w:val="20"/>
          <w:rtl/>
        </w:rPr>
      </w:pPr>
      <w:r w:rsidRPr="00F35CD3">
        <w:rPr>
          <w:rFonts w:cs="David" w:hint="cs"/>
          <w:b/>
          <w:bCs/>
          <w:sz w:val="20"/>
          <w:szCs w:val="20"/>
          <w:rtl/>
        </w:rPr>
        <w:t xml:space="preserve">      ....</w:t>
      </w:r>
    </w:p>
    <w:p w:rsidR="005366A8" w:rsidRPr="00F35CD3" w:rsidRDefault="005366A8" w:rsidP="005366A8">
      <w:pPr>
        <w:pStyle w:val="T-body"/>
        <w:spacing w:after="120" w:line="240" w:lineRule="auto"/>
        <w:ind w:left="567" w:right="426" w:hanging="567"/>
        <w:rPr>
          <w:rFonts w:cs="David"/>
          <w:sz w:val="20"/>
          <w:szCs w:val="20"/>
          <w:rtl/>
        </w:rPr>
      </w:pPr>
      <w:r w:rsidRPr="00F35CD3">
        <w:rPr>
          <w:rFonts w:cs="David" w:hint="cs"/>
          <w:sz w:val="20"/>
          <w:szCs w:val="20"/>
          <w:rtl/>
        </w:rPr>
        <w:t xml:space="preserve">    (ז)  בית המשפט העליון, בהרכב וברוב הקבועים בסעיף קטן (ב), מוסמך לקבוע כי חוק יסוד אינו תקף משום שלא התקבל ברוב הדרוש לקבלתו, והוראות סעיף זה יחולו; רשות שיפוטית לא תדון בטענה נגד תוקפו של חוק יסוד מכל טעם אחר. </w:t>
      </w:r>
    </w:p>
    <w:p w:rsidR="005366A8" w:rsidRPr="00F35CD3" w:rsidRDefault="005366A8" w:rsidP="005366A8">
      <w:pPr>
        <w:pStyle w:val="T-body"/>
        <w:spacing w:line="240" w:lineRule="auto"/>
        <w:ind w:left="567" w:right="426" w:hanging="567"/>
        <w:rPr>
          <w:rFonts w:cs="David"/>
          <w:sz w:val="20"/>
          <w:szCs w:val="20"/>
          <w:rtl/>
        </w:rPr>
      </w:pPr>
      <w:r w:rsidRPr="00F35CD3">
        <w:rPr>
          <w:rFonts w:cs="David" w:hint="cs"/>
          <w:sz w:val="20"/>
          <w:szCs w:val="20"/>
          <w:rtl/>
        </w:rPr>
        <w:t xml:space="preserve">   (ט)  "חוק יסוד" ו-"חוק" </w:t>
      </w:r>
      <w:r w:rsidRPr="00F35CD3">
        <w:rPr>
          <w:rFonts w:cs="David"/>
          <w:sz w:val="20"/>
          <w:szCs w:val="20"/>
          <w:rtl/>
        </w:rPr>
        <w:t>–</w:t>
      </w:r>
      <w:r w:rsidRPr="00F35CD3">
        <w:rPr>
          <w:rFonts w:cs="David" w:hint="cs"/>
          <w:sz w:val="20"/>
          <w:szCs w:val="20"/>
          <w:rtl/>
        </w:rPr>
        <w:t xml:space="preserve"> לרבות הוראה בחוק יסוד</w:t>
      </w:r>
    </w:p>
    <w:p w:rsidR="005366A8" w:rsidRPr="00F35CD3" w:rsidRDefault="005366A8" w:rsidP="005366A8">
      <w:pPr>
        <w:pStyle w:val="T-body"/>
        <w:spacing w:line="240" w:lineRule="auto"/>
        <w:ind w:left="565" w:right="426" w:hanging="565"/>
        <w:rPr>
          <w:rFonts w:cs="David"/>
          <w:sz w:val="20"/>
          <w:szCs w:val="20"/>
          <w:rtl/>
        </w:rPr>
      </w:pPr>
      <w:r w:rsidRPr="00F35CD3">
        <w:rPr>
          <w:rFonts w:cs="David" w:hint="cs"/>
          <w:sz w:val="20"/>
          <w:szCs w:val="20"/>
          <w:rtl/>
        </w:rPr>
        <w:t xml:space="preserve">         "רשות שיפוטית" </w:t>
      </w:r>
      <w:r w:rsidRPr="00F35CD3">
        <w:rPr>
          <w:rFonts w:cs="David"/>
          <w:sz w:val="20"/>
          <w:szCs w:val="20"/>
          <w:rtl/>
        </w:rPr>
        <w:t>–</w:t>
      </w:r>
      <w:r w:rsidRPr="00F35CD3">
        <w:rPr>
          <w:rFonts w:cs="David" w:hint="cs"/>
          <w:sz w:val="20"/>
          <w:szCs w:val="20"/>
          <w:rtl/>
        </w:rPr>
        <w:t xml:space="preserve"> בית משפט או בית דין שיש להם סמכות שפיטה על-פי דין."</w:t>
      </w:r>
    </w:p>
    <w:p w:rsidR="005366A8" w:rsidRPr="00F35CD3" w:rsidRDefault="005366A8" w:rsidP="005366A8">
      <w:pPr>
        <w:pStyle w:val="T-body"/>
        <w:spacing w:line="240" w:lineRule="auto"/>
        <w:ind w:right="426"/>
        <w:rPr>
          <w:rFonts w:cs="David"/>
          <w:sz w:val="20"/>
          <w:szCs w:val="20"/>
          <w:rtl/>
        </w:rPr>
      </w:pPr>
    </w:p>
    <w:p w:rsidR="005366A8" w:rsidRPr="00F35CD3" w:rsidRDefault="005366A8" w:rsidP="005366A8">
      <w:pPr>
        <w:pStyle w:val="T-body"/>
        <w:spacing w:line="240" w:lineRule="auto"/>
        <w:ind w:right="426"/>
        <w:rPr>
          <w:rFonts w:cs="David"/>
          <w:b/>
          <w:bCs/>
          <w:sz w:val="20"/>
          <w:szCs w:val="20"/>
          <w:rtl/>
        </w:rPr>
      </w:pPr>
      <w:r w:rsidRPr="00F35CD3">
        <w:rPr>
          <w:rFonts w:cs="David" w:hint="cs"/>
          <w:b/>
          <w:bCs/>
          <w:sz w:val="20"/>
          <w:szCs w:val="20"/>
          <w:rtl/>
        </w:rPr>
        <w:t>15ב [תוקפו של חוק סותר]</w:t>
      </w:r>
    </w:p>
    <w:p w:rsidR="005366A8" w:rsidRPr="00F35CD3" w:rsidRDefault="005366A8" w:rsidP="000B7168">
      <w:pPr>
        <w:pStyle w:val="T-body"/>
        <w:numPr>
          <w:ilvl w:val="0"/>
          <w:numId w:val="17"/>
        </w:numPr>
        <w:spacing w:line="240" w:lineRule="auto"/>
        <w:ind w:right="426"/>
        <w:rPr>
          <w:rFonts w:cs="David"/>
          <w:sz w:val="20"/>
          <w:szCs w:val="20"/>
        </w:rPr>
      </w:pPr>
      <w:r w:rsidRPr="00F35CD3">
        <w:rPr>
          <w:rFonts w:cs="David" w:hint="cs"/>
          <w:sz w:val="20"/>
          <w:szCs w:val="20"/>
          <w:rtl/>
        </w:rPr>
        <w:t xml:space="preserve">קבע בית המשפט העליון, לפי סעיף 15א כי חוק אינו תקף משום שהוא סותר הוראה בחוק יסוד כאמור באותו סעיף (בסעיף זה </w:t>
      </w:r>
      <w:r w:rsidRPr="00F35CD3">
        <w:rPr>
          <w:rFonts w:cs="David"/>
          <w:sz w:val="20"/>
          <w:szCs w:val="20"/>
          <w:rtl/>
        </w:rPr>
        <w:t>–</w:t>
      </w:r>
      <w:r w:rsidRPr="00F35CD3">
        <w:rPr>
          <w:rFonts w:cs="David" w:hint="cs"/>
          <w:sz w:val="20"/>
          <w:szCs w:val="20"/>
          <w:rtl/>
        </w:rPr>
        <w:t xml:space="preserve"> חוק סותר), יעמוד החוק הסותר בתוקפו חרף הסתירה, אם קבעה הכנסת במפורש, בחוק שהתקבל בקריאה השלישית ברוב של חברי הכנסת, לאחר שהונח בפניה פסק דינו של בית המשפט העליון, כי החוק הסותר, יהיה תקף על אף האמור בפסק הדין, בשינויים או ללא שינויים. </w:t>
      </w:r>
    </w:p>
    <w:p w:rsidR="005366A8" w:rsidRPr="00F35CD3" w:rsidRDefault="005366A8" w:rsidP="005366A8">
      <w:pPr>
        <w:pStyle w:val="T-body"/>
        <w:spacing w:line="240" w:lineRule="auto"/>
        <w:ind w:left="720" w:right="426"/>
        <w:rPr>
          <w:rFonts w:cs="David"/>
          <w:b/>
          <w:bCs/>
          <w:sz w:val="20"/>
          <w:szCs w:val="20"/>
          <w:rtl/>
        </w:rPr>
      </w:pPr>
      <w:r w:rsidRPr="00F35CD3">
        <w:rPr>
          <w:rFonts w:cs="David" w:hint="cs"/>
          <w:b/>
          <w:bCs/>
          <w:sz w:val="20"/>
          <w:szCs w:val="20"/>
          <w:rtl/>
        </w:rPr>
        <w:t>....</w:t>
      </w:r>
    </w:p>
    <w:p w:rsidR="005366A8" w:rsidRDefault="005366A8" w:rsidP="005366A8">
      <w:pPr>
        <w:pStyle w:val="T-body"/>
        <w:spacing w:line="240" w:lineRule="auto"/>
        <w:ind w:left="565" w:right="426" w:hanging="565"/>
        <w:rPr>
          <w:rFonts w:cs="David"/>
          <w:sz w:val="20"/>
          <w:szCs w:val="20"/>
          <w:rtl/>
        </w:rPr>
      </w:pPr>
      <w:r w:rsidRPr="00F35CD3">
        <w:rPr>
          <w:rFonts w:cs="David" w:hint="cs"/>
          <w:sz w:val="20"/>
          <w:szCs w:val="20"/>
          <w:rtl/>
        </w:rPr>
        <w:t xml:space="preserve">     (ג) קבעה הכנסת כאמור בסעיף קטן (א), יעמוד החוק הסותר בתוקפו, על אף החלטת בית המשפט העליון,  ואולם אין בכך כדי למנוע מבית המשפט העליון לשוב ולהחליט בדבר תוקפו של החוק, לפי סעיף 15א לחוק יסוד: השפיטה, אחרי תום חמש שנים ממועד קביעת הכנסת.</w:t>
      </w:r>
    </w:p>
    <w:p w:rsidR="005366A8" w:rsidRPr="00F35CD3" w:rsidRDefault="005366A8" w:rsidP="005366A8">
      <w:pPr>
        <w:pStyle w:val="T-body"/>
        <w:spacing w:line="240" w:lineRule="auto"/>
        <w:ind w:left="565" w:right="426" w:hanging="565"/>
        <w:rPr>
          <w:sz w:val="20"/>
          <w:szCs w:val="20"/>
          <w:rtl/>
        </w:rPr>
      </w:pPr>
    </w:p>
    <w:p w:rsidR="005366A8" w:rsidRPr="003F2817" w:rsidRDefault="005366A8" w:rsidP="005366A8">
      <w:pPr>
        <w:spacing w:after="120"/>
        <w:rPr>
          <w:rtl/>
        </w:rPr>
      </w:pPr>
      <w:r w:rsidRPr="003F2817">
        <w:rPr>
          <w:rFonts w:hint="cs"/>
          <w:highlight w:val="yellow"/>
          <w:rtl/>
        </w:rPr>
        <w:t xml:space="preserve">לו הייתה מתקבלת יוזמתו של שר המשפטים </w:t>
      </w:r>
      <w:r>
        <w:rPr>
          <w:rFonts w:hint="cs"/>
          <w:highlight w:val="yellow"/>
          <w:rtl/>
        </w:rPr>
        <w:t>פרידמן</w:t>
      </w:r>
      <w:r w:rsidRPr="003F2817">
        <w:rPr>
          <w:rFonts w:hint="cs"/>
          <w:highlight w:val="yellow"/>
          <w:rtl/>
        </w:rPr>
        <w:t>, מה היה משתנה במסגרת החוקתית של ישראל?</w:t>
      </w:r>
    </w:p>
    <w:p w:rsidR="005366A8" w:rsidRDefault="005366A8" w:rsidP="005366A8">
      <w:pPr>
        <w:rPr>
          <w:sz w:val="22"/>
          <w:szCs w:val="22"/>
          <w:rtl/>
        </w:rPr>
      </w:pPr>
      <w:r>
        <w:rPr>
          <w:rFonts w:hint="cs"/>
          <w:sz w:val="22"/>
          <w:szCs w:val="22"/>
          <w:rtl/>
        </w:rPr>
        <w:t>=-=</w:t>
      </w:r>
    </w:p>
    <w:p w:rsidR="005366A8" w:rsidRDefault="005366A8" w:rsidP="005366A8">
      <w:pPr>
        <w:rPr>
          <w:rFonts w:cs="David"/>
          <w:sz w:val="20"/>
          <w:szCs w:val="20"/>
          <w:rtl/>
        </w:rPr>
      </w:pPr>
      <w:r w:rsidRPr="00D73D07">
        <w:rPr>
          <w:rFonts w:cs="David" w:hint="cs"/>
          <w:sz w:val="20"/>
          <w:szCs w:val="20"/>
          <w:highlight w:val="green"/>
          <w:u w:val="single"/>
          <w:rtl/>
        </w:rPr>
        <w:t>לפגישה הקרובה</w:t>
      </w:r>
      <w:r>
        <w:rPr>
          <w:rFonts w:cs="David" w:hint="cs"/>
          <w:sz w:val="20"/>
          <w:szCs w:val="20"/>
          <w:u w:val="single"/>
          <w:rtl/>
        </w:rPr>
        <w:t>:</w:t>
      </w:r>
      <w:r>
        <w:rPr>
          <w:rFonts w:cs="David" w:hint="cs"/>
          <w:sz w:val="20"/>
          <w:szCs w:val="20"/>
          <w:rtl/>
        </w:rPr>
        <w:t xml:space="preserve"> </w:t>
      </w:r>
    </w:p>
    <w:p w:rsidR="005366A8" w:rsidRPr="0014532C" w:rsidRDefault="005366A8" w:rsidP="005366A8">
      <w:pPr>
        <w:spacing w:after="120"/>
        <w:rPr>
          <w:rFonts w:ascii="Arial" w:hAnsi="Arial" w:cs="Arial"/>
          <w:sz w:val="20"/>
          <w:szCs w:val="20"/>
          <w:rtl/>
        </w:rPr>
      </w:pPr>
      <w:r w:rsidRPr="0014532C">
        <w:rPr>
          <w:rFonts w:ascii="Arial" w:hAnsi="Arial" w:cs="Arial"/>
          <w:sz w:val="20"/>
          <w:szCs w:val="20"/>
          <w:rtl/>
        </w:rPr>
        <w:t>אנא קראו את העמודים שלעיל וחשבו על השאלות המופיעות ב</w:t>
      </w:r>
      <w:r>
        <w:rPr>
          <w:rFonts w:ascii="Arial" w:hAnsi="Arial" w:cs="Arial" w:hint="cs"/>
          <w:sz w:val="20"/>
          <w:szCs w:val="20"/>
          <w:rtl/>
        </w:rPr>
        <w:t>הם</w:t>
      </w:r>
      <w:r w:rsidRPr="0014532C">
        <w:rPr>
          <w:rFonts w:ascii="Arial" w:hAnsi="Arial" w:cs="Arial"/>
          <w:sz w:val="20"/>
          <w:szCs w:val="20"/>
          <w:rtl/>
        </w:rPr>
        <w:t>. השמטתי מקריאת החובה את מאמרו של ברק מדינה, המופיע בסילבוס. הבאתי בדפים שלעיל דברים מרכזיים משם.</w:t>
      </w:r>
      <w:r>
        <w:rPr>
          <w:rFonts w:ascii="Arial" w:hAnsi="Arial" w:cs="Arial" w:hint="cs"/>
          <w:sz w:val="20"/>
          <w:szCs w:val="20"/>
          <w:rtl/>
        </w:rPr>
        <w:t xml:space="preserve"> </w:t>
      </w:r>
      <w:r w:rsidRPr="0014532C">
        <w:rPr>
          <w:rFonts w:ascii="Arial" w:hAnsi="Arial" w:cs="Arial"/>
          <w:sz w:val="20"/>
          <w:szCs w:val="20"/>
          <w:rtl/>
        </w:rPr>
        <w:t xml:space="preserve">קראו את פס"ד </w:t>
      </w:r>
      <w:r w:rsidRPr="0014532C">
        <w:rPr>
          <w:rFonts w:ascii="Arial" w:hAnsi="Arial" w:cs="Arial"/>
          <w:b/>
          <w:bCs/>
          <w:sz w:val="20"/>
          <w:szCs w:val="20"/>
          <w:rtl/>
        </w:rPr>
        <w:t xml:space="preserve">איתנית </w:t>
      </w:r>
      <w:r w:rsidRPr="0014532C">
        <w:rPr>
          <w:rFonts w:ascii="Arial" w:hAnsi="Arial" w:cs="Arial"/>
          <w:sz w:val="20"/>
          <w:szCs w:val="20"/>
          <w:rtl/>
        </w:rPr>
        <w:t>המופיע בסילבוס. חשבו על השאלות העיקריות שנדונות בו. בתוך כך התמקדו בשאלה כיצד מופעלת "פסקת ההגבלה"?</w:t>
      </w:r>
    </w:p>
    <w:p w:rsidR="005366A8" w:rsidRDefault="005366A8">
      <w:pPr>
        <w:bidi w:val="0"/>
        <w:jc w:val="left"/>
        <w:rPr>
          <w:sz w:val="22"/>
          <w:szCs w:val="22"/>
        </w:rPr>
      </w:pPr>
      <w:r>
        <w:rPr>
          <w:sz w:val="22"/>
          <w:szCs w:val="22"/>
          <w:rtl/>
        </w:rPr>
        <w:br w:type="page"/>
      </w:r>
    </w:p>
    <w:p w:rsidR="005366A8" w:rsidRPr="001C6701" w:rsidRDefault="005366A8" w:rsidP="005366A8">
      <w:pPr>
        <w:spacing w:after="120"/>
        <w:jc w:val="right"/>
        <w:rPr>
          <w:sz w:val="22"/>
          <w:szCs w:val="22"/>
          <w:rtl/>
        </w:rPr>
      </w:pPr>
      <w:r w:rsidRPr="007F6E4F">
        <w:rPr>
          <w:rFonts w:hint="cs"/>
          <w:b/>
          <w:bCs/>
          <w:sz w:val="22"/>
          <w:szCs w:val="22"/>
          <w:rtl/>
        </w:rPr>
        <w:t>משפט ציבורי</w:t>
      </w:r>
      <w:r>
        <w:rPr>
          <w:rFonts w:hint="cs"/>
          <w:sz w:val="22"/>
          <w:szCs w:val="22"/>
          <w:rtl/>
        </w:rPr>
        <w:t xml:space="preserve">, </w:t>
      </w:r>
      <w:r w:rsidRPr="00C4131E">
        <w:rPr>
          <w:rFonts w:hint="cs"/>
          <w:i/>
          <w:iCs/>
          <w:sz w:val="22"/>
          <w:szCs w:val="22"/>
          <w:rtl/>
        </w:rPr>
        <w:t>תשע</w:t>
      </w:r>
      <w:r>
        <w:rPr>
          <w:rFonts w:hint="cs"/>
          <w:i/>
          <w:iCs/>
          <w:sz w:val="22"/>
          <w:szCs w:val="22"/>
          <w:rtl/>
        </w:rPr>
        <w:t>"ה</w:t>
      </w:r>
      <w:r>
        <w:rPr>
          <w:rFonts w:hint="cs"/>
          <w:sz w:val="22"/>
          <w:szCs w:val="22"/>
          <w:rtl/>
        </w:rPr>
        <w:t xml:space="preserve">, </w:t>
      </w:r>
      <w:r w:rsidRPr="007F6E4F">
        <w:rPr>
          <w:rFonts w:hint="cs"/>
          <w:b/>
          <w:bCs/>
          <w:sz w:val="22"/>
          <w:szCs w:val="22"/>
          <w:rtl/>
        </w:rPr>
        <w:t>סמסטר א',</w:t>
      </w:r>
      <w:r>
        <w:rPr>
          <w:rFonts w:hint="cs"/>
          <w:sz w:val="22"/>
          <w:szCs w:val="22"/>
          <w:rtl/>
        </w:rPr>
        <w:t xml:space="preserve"> ד"ר אילן סבן, ינואר 2015, </w:t>
      </w:r>
      <w:r w:rsidRPr="005366A8">
        <w:rPr>
          <w:rFonts w:hint="cs"/>
          <w:b/>
          <w:bCs/>
          <w:i/>
          <w:iCs/>
          <w:sz w:val="22"/>
          <w:szCs w:val="22"/>
          <w:highlight w:val="magenta"/>
          <w:u w:val="single"/>
          <w:rtl/>
        </w:rPr>
        <w:t>פגישה 18</w:t>
      </w:r>
    </w:p>
    <w:p w:rsidR="005366A8" w:rsidRPr="006F3DC9" w:rsidRDefault="005366A8" w:rsidP="005366A8">
      <w:pPr>
        <w:jc w:val="center"/>
        <w:rPr>
          <w:rFonts w:ascii="Arial" w:hAnsi="Arial" w:cs="Guttman-Soncino"/>
          <w:b/>
          <w:bCs/>
          <w:sz w:val="32"/>
          <w:szCs w:val="32"/>
          <w:rtl/>
        </w:rPr>
      </w:pPr>
      <w:r w:rsidRPr="0015092A">
        <w:rPr>
          <w:rFonts w:ascii="Arial" w:hAnsi="Arial" w:cs="Guttman-Soncino"/>
          <w:b/>
          <w:bCs/>
          <w:sz w:val="32"/>
          <w:szCs w:val="32"/>
          <w:highlight w:val="yellow"/>
          <w:rtl/>
        </w:rPr>
        <w:t>החוקה הפורמ</w:t>
      </w:r>
      <w:r w:rsidRPr="0015092A">
        <w:rPr>
          <w:rFonts w:ascii="Arial" w:hAnsi="Arial" w:cs="Guttman-Soncino" w:hint="cs"/>
          <w:b/>
          <w:bCs/>
          <w:sz w:val="32"/>
          <w:szCs w:val="32"/>
          <w:highlight w:val="yellow"/>
          <w:rtl/>
        </w:rPr>
        <w:t>א</w:t>
      </w:r>
      <w:r w:rsidRPr="0015092A">
        <w:rPr>
          <w:rFonts w:ascii="Arial" w:hAnsi="Arial" w:cs="Guttman-Soncino"/>
          <w:b/>
          <w:bCs/>
          <w:sz w:val="32"/>
          <w:szCs w:val="32"/>
          <w:highlight w:val="yellow"/>
          <w:rtl/>
        </w:rPr>
        <w:t>לית של ישראל</w:t>
      </w:r>
      <w:r w:rsidRPr="0015092A">
        <w:rPr>
          <w:rFonts w:ascii="Arial" w:hAnsi="Arial" w:cs="Guttman-Soncino" w:hint="cs"/>
          <w:b/>
          <w:bCs/>
          <w:sz w:val="32"/>
          <w:szCs w:val="32"/>
          <w:highlight w:val="yellow"/>
          <w:rtl/>
        </w:rPr>
        <w:t xml:space="preserve"> (סיום</w:t>
      </w:r>
      <w:r>
        <w:rPr>
          <w:rFonts w:ascii="Arial" w:hAnsi="Arial" w:cs="Guttman-Soncino" w:hint="cs"/>
          <w:b/>
          <w:bCs/>
          <w:sz w:val="32"/>
          <w:szCs w:val="32"/>
          <w:highlight w:val="yellow"/>
          <w:rtl/>
        </w:rPr>
        <w:t xml:space="preserve"> הדיון</w:t>
      </w:r>
      <w:r w:rsidRPr="0015092A">
        <w:rPr>
          <w:rFonts w:ascii="Arial" w:hAnsi="Arial" w:cs="Guttman-Soncino" w:hint="cs"/>
          <w:b/>
          <w:bCs/>
          <w:sz w:val="32"/>
          <w:szCs w:val="32"/>
          <w:highlight w:val="yellow"/>
          <w:rtl/>
        </w:rPr>
        <w:t>)</w:t>
      </w:r>
    </w:p>
    <w:p w:rsidR="005366A8" w:rsidRDefault="005366A8" w:rsidP="005366A8">
      <w:pPr>
        <w:rPr>
          <w:rtl/>
        </w:rPr>
      </w:pPr>
    </w:p>
    <w:p w:rsidR="005366A8" w:rsidRDefault="005366A8" w:rsidP="005366A8">
      <w:pPr>
        <w:rPr>
          <w:rtl/>
        </w:rPr>
      </w:pPr>
      <w:r>
        <w:rPr>
          <w:rFonts w:hint="cs"/>
          <w:rtl/>
        </w:rPr>
        <w:t>פסק דין מעניין וחשוב</w:t>
      </w:r>
    </w:p>
    <w:p w:rsidR="005366A8" w:rsidRPr="00A35F74" w:rsidRDefault="005366A8" w:rsidP="005366A8">
      <w:pPr>
        <w:jc w:val="center"/>
        <w:rPr>
          <w:rtl/>
        </w:rPr>
      </w:pPr>
      <w:r w:rsidRPr="00A35F74">
        <w:rPr>
          <w:highlight w:val="yellow"/>
          <w:rtl/>
        </w:rPr>
        <w:t>בג"ץ</w:t>
      </w:r>
      <w:r w:rsidRPr="00A35F74">
        <w:rPr>
          <w:highlight w:val="yellow"/>
        </w:rPr>
        <w:t xml:space="preserve">  6971/11 </w:t>
      </w:r>
      <w:r w:rsidRPr="00A35F74">
        <w:rPr>
          <w:b/>
          <w:bCs/>
          <w:highlight w:val="yellow"/>
          <w:rtl/>
        </w:rPr>
        <w:t>איתנית מוצרי בניה בע"מ נ</w:t>
      </w:r>
      <w:r w:rsidRPr="00A35F74">
        <w:rPr>
          <w:b/>
          <w:bCs/>
          <w:highlight w:val="yellow"/>
        </w:rPr>
        <w:t>' </w:t>
      </w:r>
      <w:r w:rsidRPr="00A35F74">
        <w:rPr>
          <w:b/>
          <w:bCs/>
          <w:highlight w:val="yellow"/>
          <w:rtl/>
        </w:rPr>
        <w:t>מדינת ישראל</w:t>
      </w:r>
      <w:r w:rsidRPr="00A35F74">
        <w:rPr>
          <w:rFonts w:hint="cs"/>
          <w:highlight w:val="yellow"/>
          <w:rtl/>
        </w:rPr>
        <w:t xml:space="preserve"> (2013)</w:t>
      </w:r>
    </w:p>
    <w:p w:rsidR="005366A8" w:rsidRPr="004B3806" w:rsidRDefault="005366A8" w:rsidP="005366A8">
      <w:pPr>
        <w:rPr>
          <w:rFonts w:cs="FrankRuehl"/>
          <w:sz w:val="22"/>
          <w:szCs w:val="22"/>
          <w:u w:val="single"/>
        </w:rPr>
      </w:pPr>
      <w:r w:rsidRPr="004B3806">
        <w:rPr>
          <w:rFonts w:cs="FrankRuehl" w:hint="cs"/>
          <w:sz w:val="22"/>
          <w:szCs w:val="22"/>
          <w:u w:val="single"/>
          <w:rtl/>
        </w:rPr>
        <w:t>השופט נ' הנדל:</w:t>
      </w:r>
    </w:p>
    <w:p w:rsidR="005366A8" w:rsidRPr="004B3806" w:rsidRDefault="005366A8" w:rsidP="000B7168">
      <w:pPr>
        <w:numPr>
          <w:ilvl w:val="0"/>
          <w:numId w:val="24"/>
        </w:numPr>
        <w:spacing w:after="60"/>
        <w:rPr>
          <w:rFonts w:cs="FrankRuehl"/>
          <w:sz w:val="22"/>
          <w:szCs w:val="22"/>
          <w:rtl/>
        </w:rPr>
      </w:pPr>
      <w:r w:rsidRPr="004B3806">
        <w:rPr>
          <w:rFonts w:cs="FrankRuehl" w:hint="cs"/>
          <w:sz w:val="22"/>
          <w:szCs w:val="22"/>
          <w:rtl/>
        </w:rPr>
        <w:t xml:space="preserve">מונחת לפנינו עתירה </w:t>
      </w:r>
      <w:r w:rsidRPr="00425083">
        <w:rPr>
          <w:rFonts w:cs="FrankRuehl" w:hint="cs"/>
          <w:sz w:val="22"/>
          <w:szCs w:val="22"/>
          <w:highlight w:val="yellow"/>
          <w:rtl/>
        </w:rPr>
        <w:t>נגד חוקתיותו של סעיף 74 לחוק למניעת מפגעי אסבסט ואבק מזיק, התשע"א-2011</w:t>
      </w:r>
      <w:r w:rsidRPr="004B3806">
        <w:rPr>
          <w:rFonts w:cs="FrankRuehl" w:hint="cs"/>
          <w:sz w:val="22"/>
          <w:szCs w:val="22"/>
          <w:rtl/>
        </w:rPr>
        <w:t xml:space="preserve"> (להלן: חוק האסבסט). סעיף זה מכריז על השקת פרויקט לסילוק פסולת אסבסט מהגליל המערבי (להלן: הפרויקט). העתירה מופנית בעיקר כנגד חיובה של העותרת, חברת איתנית מוצרי בנייה בע"מ (להלן: איתנית), לשאת במחצית מעלויות הפרויקט, עד לסכום של 150 מיליון ₪. </w:t>
      </w:r>
    </w:p>
    <w:p w:rsidR="005366A8" w:rsidRPr="004B3806" w:rsidRDefault="005366A8" w:rsidP="005366A8">
      <w:pPr>
        <w:spacing w:after="60"/>
        <w:rPr>
          <w:rFonts w:cs="FrankRuehl"/>
          <w:sz w:val="22"/>
          <w:szCs w:val="22"/>
          <w:rtl/>
        </w:rPr>
      </w:pPr>
      <w:r w:rsidRPr="004B3806">
        <w:rPr>
          <w:rFonts w:cs="FrankRuehl" w:hint="cs"/>
          <w:sz w:val="22"/>
          <w:szCs w:val="22"/>
          <w:rtl/>
        </w:rPr>
        <w:t xml:space="preserve">2. </w:t>
      </w:r>
      <w:r w:rsidRPr="004B3806">
        <w:rPr>
          <w:rFonts w:cs="FrankRuehl" w:hint="cs"/>
          <w:sz w:val="22"/>
          <w:szCs w:val="22"/>
          <w:rtl/>
        </w:rPr>
        <w:tab/>
        <w:t>[...] המוּדעות למסוכנותו של האסבסט הלכה והתפתחה עם השנים. כבר בראשית המאה ה-20 הצטבר מידע אודות שכיחותה של מחלת האסבסטוזיס בקרב עובדים שנחשפו לאסבסט. בהמשך דווח על ריבוי מחלות סרטן אצל עובדי אסבסט. בשנת 1976, לאחר בדיקה מקיפה של החומר המדעי, הכירה הסוכנות הבינלאומית לחקר הסרטן (</w:t>
      </w:r>
      <w:r w:rsidRPr="004B3806">
        <w:rPr>
          <w:rFonts w:cs="FrankRuehl"/>
          <w:sz w:val="22"/>
          <w:szCs w:val="22"/>
        </w:rPr>
        <w:t>IARC</w:t>
      </w:r>
      <w:r w:rsidRPr="004B3806">
        <w:rPr>
          <w:rFonts w:cs="FrankRuehl" w:hint="cs"/>
          <w:sz w:val="22"/>
          <w:szCs w:val="22"/>
          <w:rtl/>
        </w:rPr>
        <w:t>) באסבסט כחומר מסרטן לאדם באופן ודאי (</w:t>
      </w:r>
      <w:r w:rsidRPr="004B3806">
        <w:rPr>
          <w:rFonts w:cs="FrankRuehl"/>
          <w:sz w:val="22"/>
          <w:szCs w:val="22"/>
        </w:rPr>
        <w:t>Class I</w:t>
      </w:r>
      <w:r w:rsidRPr="004B3806">
        <w:rPr>
          <w:rFonts w:cs="FrankRuehl" w:hint="cs"/>
          <w:sz w:val="22"/>
          <w:szCs w:val="22"/>
          <w:rtl/>
        </w:rPr>
        <w:t>). מחקרים נוספים הצביעו על היווצרות סיכונים בריאותיים לא רק אצל עובדי אסבסט, אלא גם בקרב אלו המתגוררים בסמיכות למכרות אסבסט, וכן אצל קרובי משפחה של עובדי אסבסט...</w:t>
      </w:r>
    </w:p>
    <w:p w:rsidR="005366A8" w:rsidRPr="004B3806" w:rsidRDefault="005366A8" w:rsidP="005366A8">
      <w:pPr>
        <w:spacing w:after="60"/>
        <w:rPr>
          <w:rFonts w:cs="FrankRuehl"/>
          <w:sz w:val="22"/>
          <w:szCs w:val="22"/>
          <w:rtl/>
        </w:rPr>
      </w:pPr>
      <w:r w:rsidRPr="004B3806">
        <w:rPr>
          <w:rFonts w:cs="FrankRuehl" w:hint="cs"/>
          <w:sz w:val="22"/>
          <w:szCs w:val="22"/>
          <w:rtl/>
        </w:rPr>
        <w:t xml:space="preserve">4. </w:t>
      </w:r>
      <w:r w:rsidRPr="004B3806">
        <w:rPr>
          <w:rFonts w:cs="FrankRuehl" w:hint="cs"/>
          <w:sz w:val="22"/>
          <w:szCs w:val="22"/>
          <w:rtl/>
        </w:rPr>
        <w:tab/>
        <w:t>[...] בדצמבר 2008 הופץ תזכיר חוק האסבסט. החוק ביקש לתת מענה למכלול ההיבטים הסביבתיים של מפגעי האסבסט בארץ. בין היתר כלל החוק סעיף מיוחד, שעסק בפרויקט לניקוי הגליל המערבי מפסולת אסבסט. זהו סעיף 59 להצעת החוק, אשר התגלגל בסופו של דבר לסעיף 74 בחוק המוגמר - הוא הסעיף שעומד בלב העתירה שלפנינו. להלן נעמוד ביתר הרחבה על החוק ועל הסעיף. בתמצית נאמר כי הסעיף הטיל על איתנית לממן מחצית מהפרויקט לסילוק פסולת האסבסט מהגליל המערבי. בנובמבר 2009 התקבל החוק בקריאה ראשונה, והועבר לטיפול ועדת הפנים והגנת הסביבה. נציגי איתנית נכחו אף הם בדיוני הוועדה, ושטחו את טענותיהם נגד ההסדר המוצע. במרץ 2011 אושרה הצעת החוק בקריאה שנייה ושלישית. [...]</w:t>
      </w:r>
    </w:p>
    <w:p w:rsidR="005366A8" w:rsidRPr="004B3806" w:rsidRDefault="005366A8" w:rsidP="005366A8">
      <w:pPr>
        <w:spacing w:after="60"/>
        <w:rPr>
          <w:rFonts w:cs="David"/>
          <w:sz w:val="22"/>
          <w:szCs w:val="22"/>
          <w:rtl/>
        </w:rPr>
      </w:pPr>
      <w:r w:rsidRPr="004B3806">
        <w:rPr>
          <w:rFonts w:cs="FrankRuehl" w:hint="cs"/>
          <w:sz w:val="22"/>
          <w:szCs w:val="22"/>
          <w:rtl/>
        </w:rPr>
        <w:t xml:space="preserve">5. </w:t>
      </w:r>
      <w:r w:rsidRPr="004B3806">
        <w:rPr>
          <w:rFonts w:cs="FrankRuehl" w:hint="cs"/>
          <w:sz w:val="22"/>
          <w:szCs w:val="22"/>
          <w:rtl/>
        </w:rPr>
        <w:tab/>
        <w:t xml:space="preserve">...סעיף 74 יוחד לטיפול במפגעי האסבסט שבגליל המערבי. זהו הסעיף בו מתמקדת, כאמור, העתירה שלפנינו. נביא כאן את לשון הסעיף: </w:t>
      </w:r>
    </w:p>
    <w:p w:rsidR="005366A8" w:rsidRPr="004B3806" w:rsidRDefault="005366A8" w:rsidP="005366A8">
      <w:pPr>
        <w:spacing w:after="60"/>
        <w:ind w:left="720"/>
        <w:rPr>
          <w:rFonts w:cs="David"/>
          <w:sz w:val="22"/>
          <w:szCs w:val="22"/>
          <w:rtl/>
        </w:rPr>
      </w:pPr>
      <w:r w:rsidRPr="004B3806">
        <w:rPr>
          <w:rFonts w:cs="David" w:hint="cs"/>
          <w:sz w:val="22"/>
          <w:szCs w:val="22"/>
          <w:rtl/>
        </w:rPr>
        <w:t>(א)</w:t>
      </w:r>
      <w:r w:rsidRPr="004B3806">
        <w:rPr>
          <w:rFonts w:cs="David" w:hint="cs"/>
          <w:sz w:val="22"/>
          <w:szCs w:val="22"/>
          <w:rtl/>
        </w:rPr>
        <w:tab/>
        <w:t>בסעיף זה -</w:t>
      </w:r>
    </w:p>
    <w:p w:rsidR="005366A8" w:rsidRPr="004B3806" w:rsidRDefault="005366A8" w:rsidP="005366A8">
      <w:pPr>
        <w:spacing w:after="60"/>
        <w:ind w:left="720"/>
        <w:rPr>
          <w:rFonts w:cs="David"/>
          <w:sz w:val="22"/>
          <w:szCs w:val="22"/>
          <w:rtl/>
        </w:rPr>
      </w:pPr>
      <w:r w:rsidRPr="004B3806">
        <w:rPr>
          <w:rFonts w:cs="David" w:hint="cs"/>
          <w:sz w:val="22"/>
          <w:szCs w:val="22"/>
          <w:rtl/>
        </w:rPr>
        <w:tab/>
      </w:r>
      <w:r w:rsidRPr="002823E1">
        <w:rPr>
          <w:rFonts w:cs="David" w:hint="cs"/>
          <w:sz w:val="22"/>
          <w:szCs w:val="22"/>
          <w:highlight w:val="yellow"/>
          <w:rtl/>
        </w:rPr>
        <w:t xml:space="preserve">"הפרויקט לפינוי אסבסט מהגליל המערבי" - פרויקט לאיתור, לסילוק ולהטמנה של פסולת אסבסט שמקורה במפעל לייצור אסבסט בגליל המערבי, שהוטמנה או פוזרה ברדיוס שאינו עולה על </w:t>
      </w:r>
      <w:smartTag w:uri="urn:schemas-microsoft-com:office:smarttags" w:element="metricconverter">
        <w:smartTagPr>
          <w:attr w:name="ProductID" w:val="15 ק&quot;מ"/>
        </w:smartTagPr>
        <w:r w:rsidRPr="002823E1">
          <w:rPr>
            <w:rFonts w:cs="David" w:hint="cs"/>
            <w:sz w:val="22"/>
            <w:szCs w:val="22"/>
            <w:highlight w:val="yellow"/>
            <w:rtl/>
          </w:rPr>
          <w:t>15 ק"מ</w:t>
        </w:r>
      </w:smartTag>
      <w:r w:rsidRPr="002823E1">
        <w:rPr>
          <w:rFonts w:cs="David" w:hint="cs"/>
          <w:sz w:val="22"/>
          <w:szCs w:val="22"/>
          <w:highlight w:val="yellow"/>
          <w:rtl/>
        </w:rPr>
        <w:t xml:space="preserve"> מהמפעל, למעט בקרקעות שבבעלות חברות אסבסט, בהיקף ובמתכונת שהורה עליהם השר בהתייעצות עם שר האוצר, ולעניין ההיבט התקציבי של הפרויקט - בהסכמת שר האוצר</w:t>
      </w:r>
      <w:r w:rsidRPr="004B3806">
        <w:rPr>
          <w:rFonts w:cs="David" w:hint="cs"/>
          <w:sz w:val="22"/>
          <w:szCs w:val="22"/>
          <w:rtl/>
        </w:rPr>
        <w:t>;</w:t>
      </w:r>
    </w:p>
    <w:p w:rsidR="005366A8" w:rsidRPr="004B3806" w:rsidRDefault="005366A8" w:rsidP="005366A8">
      <w:pPr>
        <w:spacing w:after="60"/>
        <w:ind w:left="720"/>
        <w:rPr>
          <w:rFonts w:cs="David"/>
          <w:sz w:val="22"/>
          <w:szCs w:val="22"/>
          <w:rtl/>
        </w:rPr>
      </w:pPr>
      <w:r w:rsidRPr="004B3806">
        <w:rPr>
          <w:rFonts w:cs="David" w:hint="cs"/>
          <w:sz w:val="22"/>
          <w:szCs w:val="22"/>
          <w:rtl/>
        </w:rPr>
        <w:tab/>
        <w:t>"חברות אסבסט" - חברות שעסקו במועד שקדם ליום התחילה בייצור אסבסט בגליל המערבי.</w:t>
      </w:r>
    </w:p>
    <w:p w:rsidR="005366A8" w:rsidRPr="004B3806" w:rsidRDefault="005366A8" w:rsidP="005366A8">
      <w:pPr>
        <w:spacing w:after="60"/>
        <w:ind w:left="720"/>
        <w:rPr>
          <w:rFonts w:cs="David"/>
          <w:sz w:val="22"/>
          <w:szCs w:val="22"/>
          <w:rtl/>
        </w:rPr>
      </w:pPr>
      <w:r w:rsidRPr="004B3806">
        <w:rPr>
          <w:rFonts w:cs="David" w:hint="cs"/>
          <w:sz w:val="22"/>
          <w:szCs w:val="22"/>
          <w:rtl/>
        </w:rPr>
        <w:t>(ב)</w:t>
      </w:r>
      <w:r w:rsidRPr="004B3806">
        <w:rPr>
          <w:rFonts w:cs="David" w:hint="cs"/>
          <w:sz w:val="22"/>
          <w:szCs w:val="22"/>
          <w:rtl/>
        </w:rPr>
        <w:tab/>
        <w:t>הפרויקט לפינוי אסבסט מהגליל המערבי ימומן מתקציב המדינה ומתשלומים שיעבירו חברות האסבסט, וכן מתשלומים שיעבירו רשויות מקומיות שבתחומן מתבצע הפרויקט (בסעיף זה - הרשויות המקומיות).</w:t>
      </w:r>
    </w:p>
    <w:p w:rsidR="005366A8" w:rsidRPr="004B3806" w:rsidRDefault="005366A8" w:rsidP="005366A8">
      <w:pPr>
        <w:spacing w:after="60"/>
        <w:ind w:left="720"/>
        <w:rPr>
          <w:rFonts w:cs="David"/>
          <w:sz w:val="22"/>
          <w:szCs w:val="22"/>
          <w:rtl/>
        </w:rPr>
      </w:pPr>
      <w:r w:rsidRPr="004B3806">
        <w:rPr>
          <w:rFonts w:cs="David" w:hint="cs"/>
          <w:sz w:val="22"/>
          <w:szCs w:val="22"/>
          <w:rtl/>
        </w:rPr>
        <w:t>(ג)</w:t>
      </w:r>
      <w:r w:rsidRPr="004B3806">
        <w:rPr>
          <w:rFonts w:cs="David" w:hint="cs"/>
          <w:sz w:val="22"/>
          <w:szCs w:val="22"/>
          <w:rtl/>
        </w:rPr>
        <w:tab/>
        <w:t>בקרן לשמירת הניקיון ינוהל חשבון נפרד שישמש למימון עלויות, ישירות או עקיפות, של הפרויקט לפינוי אסבסט מהגליל המערבי (בסעיף זה - החשבון הנפרד).</w:t>
      </w:r>
    </w:p>
    <w:p w:rsidR="005366A8" w:rsidRPr="004B3806" w:rsidRDefault="005366A8" w:rsidP="005366A8">
      <w:pPr>
        <w:spacing w:after="60"/>
        <w:ind w:left="720"/>
        <w:rPr>
          <w:rFonts w:cs="David"/>
          <w:sz w:val="22"/>
          <w:szCs w:val="22"/>
          <w:rtl/>
        </w:rPr>
      </w:pPr>
      <w:r w:rsidRPr="004B3806">
        <w:rPr>
          <w:rFonts w:cs="David" w:hint="cs"/>
          <w:sz w:val="22"/>
          <w:szCs w:val="22"/>
          <w:rtl/>
        </w:rPr>
        <w:t>(ד)</w:t>
      </w:r>
      <w:r w:rsidRPr="004B3806">
        <w:rPr>
          <w:rFonts w:cs="David" w:hint="cs"/>
          <w:sz w:val="22"/>
          <w:szCs w:val="22"/>
          <w:rtl/>
        </w:rPr>
        <w:tab/>
      </w:r>
      <w:r w:rsidRPr="00425083">
        <w:rPr>
          <w:rFonts w:cs="David" w:hint="cs"/>
          <w:sz w:val="22"/>
          <w:szCs w:val="22"/>
          <w:highlight w:val="yellow"/>
          <w:rtl/>
        </w:rPr>
        <w:t>השר, בהסכמת שר האוצר, לאחר שנתן לרשויות המקומיות ולחברות האסבסט הזדמנות לטעון את טענותיהן, יורה על גובה הסכומים שיעבירו הרשויות המקומיות וחברות האסבסט לחשבון הנפרד, ועל מועדי תשלומם, ובלבד שהסכום הכולל שיעבירו חברות האסבסט יהיה שווה לסכום התשלומים הכולל שיועברו מתקציב המדינה ומהרשויות המקומיות יחד; ואולם הסכום הכולל שיעבירו חברות האסבסט כאמור לא יעלה על 150 מיליון שקלים חדשים</w:t>
      </w:r>
      <w:r w:rsidRPr="004B3806">
        <w:rPr>
          <w:rFonts w:cs="David" w:hint="cs"/>
          <w:sz w:val="22"/>
          <w:szCs w:val="22"/>
          <w:rtl/>
        </w:rPr>
        <w:t>.</w:t>
      </w:r>
    </w:p>
    <w:p w:rsidR="005366A8" w:rsidRPr="004B3806" w:rsidRDefault="005366A8" w:rsidP="005366A8">
      <w:pPr>
        <w:spacing w:after="60"/>
        <w:ind w:left="720"/>
        <w:rPr>
          <w:rFonts w:cs="FrankRuehl"/>
          <w:sz w:val="22"/>
          <w:szCs w:val="22"/>
          <w:rtl/>
        </w:rPr>
      </w:pPr>
      <w:r w:rsidRPr="004B3806">
        <w:rPr>
          <w:rFonts w:cs="David" w:hint="cs"/>
          <w:sz w:val="22"/>
          <w:szCs w:val="22"/>
          <w:rtl/>
        </w:rPr>
        <w:t>(ה)</w:t>
      </w:r>
      <w:r w:rsidRPr="004B3806">
        <w:rPr>
          <w:rFonts w:cs="David" w:hint="cs"/>
          <w:sz w:val="22"/>
          <w:szCs w:val="22"/>
          <w:rtl/>
        </w:rPr>
        <w:tab/>
        <w:t>בקביעת סכום התשלום ומועדיו לפי סעיף קטן (ד) ישקול השר בין השאר את היקף תקציב המדינה המיועד למימון כלל עלויות הפרויקט, את התקציב שהוצא בפועל, ולגבי הרשויות המקומיות - את זהות בעלי הזכויות בקרקעות שבהן קיים האסבסט, את השימושים הנעשים בקרקעות האמורות ואת היקף אחריותן של הרשויות לגביהן, וכן את מצבן הכלכלי של הרשויות המקומיות.</w:t>
      </w:r>
    </w:p>
    <w:p w:rsidR="005366A8" w:rsidRPr="004B3806" w:rsidRDefault="005366A8" w:rsidP="005366A8">
      <w:pPr>
        <w:spacing w:after="60"/>
        <w:rPr>
          <w:rFonts w:cs="FrankRuehl"/>
          <w:sz w:val="22"/>
          <w:szCs w:val="22"/>
          <w:rtl/>
        </w:rPr>
      </w:pPr>
      <w:r w:rsidRPr="002823E1">
        <w:rPr>
          <w:rFonts w:cs="FrankRuehl" w:hint="cs"/>
          <w:sz w:val="22"/>
          <w:szCs w:val="22"/>
          <w:highlight w:val="yellow"/>
          <w:rtl/>
        </w:rPr>
        <w:t xml:space="preserve">במילים אחרות, יוקם פרויקט לפינוי פסולת אסבסט שמקורה במפעל של איתנית, ואשר הוטמנה או פוזרה ברדיוס של עד </w:t>
      </w:r>
      <w:smartTag w:uri="urn:schemas-microsoft-com:office:smarttags" w:element="metricconverter">
        <w:smartTagPr>
          <w:attr w:name="ProductID" w:val="15 ק&quot;מ"/>
        </w:smartTagPr>
        <w:r w:rsidRPr="002823E1">
          <w:rPr>
            <w:rFonts w:cs="FrankRuehl" w:hint="cs"/>
            <w:sz w:val="22"/>
            <w:szCs w:val="22"/>
            <w:highlight w:val="yellow"/>
            <w:rtl/>
          </w:rPr>
          <w:t>15 ק"מ</w:t>
        </w:r>
      </w:smartTag>
      <w:r w:rsidRPr="002823E1">
        <w:rPr>
          <w:rFonts w:cs="FrankRuehl" w:hint="cs"/>
          <w:sz w:val="22"/>
          <w:szCs w:val="22"/>
          <w:highlight w:val="yellow"/>
          <w:rtl/>
        </w:rPr>
        <w:t xml:space="preserve"> מהמפעל. לעניין זה "פסולת אסבסט" כוללת אסבסט שפורק, נפגע או נשבר, וכן אסבסט שאינו בשימוש (הגדרות בסעיף 2). יצוין כי החוק אמנם לא נוקב בשמה המפורש של איתנית, אלא נוקט בניסוח כוללני - "חברות אסבסט" ו"מפעל לייצור אסבסט". ברם, כפי שיובהר להלן, אין מחלוקת כי החוק מכוון הלכה למעשה רק אל איתנית ואל המפעל שבבעלותה - היא החברה היחידה באזור הגליל המערבי שעסקה בייצור אסבסט</w:t>
      </w:r>
      <w:r w:rsidRPr="004B3806">
        <w:rPr>
          <w:rFonts w:cs="FrankRuehl" w:hint="cs"/>
          <w:sz w:val="22"/>
          <w:szCs w:val="22"/>
          <w:rtl/>
        </w:rPr>
        <w:t>. [...]</w:t>
      </w:r>
    </w:p>
    <w:p w:rsidR="005366A8" w:rsidRPr="004B3806" w:rsidRDefault="005366A8" w:rsidP="005366A8">
      <w:pPr>
        <w:pStyle w:val="Ruller41"/>
        <w:spacing w:line="240" w:lineRule="auto"/>
        <w:rPr>
          <w:rFonts w:ascii="Times New Roman" w:hAnsi="Times New Roman"/>
          <w:szCs w:val="22"/>
          <w:rtl/>
        </w:rPr>
      </w:pPr>
      <w:r w:rsidRPr="004B3806">
        <w:rPr>
          <w:rFonts w:ascii="Times New Roman" w:hAnsi="Times New Roman" w:cs="Miriam" w:hint="cs"/>
          <w:szCs w:val="22"/>
          <w:rtl/>
        </w:rPr>
        <w:t xml:space="preserve">טענות הצדדים </w:t>
      </w:r>
    </w:p>
    <w:p w:rsidR="005366A8" w:rsidRPr="004B3806" w:rsidRDefault="005366A8" w:rsidP="005366A8">
      <w:pPr>
        <w:pStyle w:val="Ruller41"/>
        <w:spacing w:after="60" w:line="240" w:lineRule="auto"/>
        <w:rPr>
          <w:rFonts w:ascii="Times New Roman" w:hAnsi="Times New Roman"/>
          <w:szCs w:val="22"/>
          <w:rtl/>
        </w:rPr>
      </w:pPr>
      <w:r w:rsidRPr="004B3806">
        <w:rPr>
          <w:rFonts w:ascii="Times New Roman" w:hAnsi="Times New Roman" w:hint="cs"/>
          <w:szCs w:val="22"/>
          <w:rtl/>
        </w:rPr>
        <w:t>6.</w:t>
      </w:r>
      <w:r w:rsidRPr="004B3806">
        <w:rPr>
          <w:rFonts w:ascii="Times New Roman" w:hAnsi="Times New Roman" w:hint="cs"/>
          <w:szCs w:val="22"/>
          <w:rtl/>
        </w:rPr>
        <w:tab/>
        <w:t xml:space="preserve">איתנית טוענת, בתמצית, כי סעיף 74 פוגע בקניינה ובזכותה לשוויון, מבלי שיתקיימו תנאיה של פסקת ההגבלה. </w:t>
      </w:r>
    </w:p>
    <w:p w:rsidR="005366A8" w:rsidRPr="004B3806" w:rsidRDefault="005366A8" w:rsidP="005366A8">
      <w:pPr>
        <w:pStyle w:val="Ruller41"/>
        <w:spacing w:after="60" w:line="240" w:lineRule="auto"/>
        <w:rPr>
          <w:rFonts w:ascii="Times New Roman" w:hAnsi="Times New Roman"/>
          <w:szCs w:val="22"/>
          <w:rtl/>
        </w:rPr>
      </w:pPr>
      <w:r w:rsidRPr="004B3806">
        <w:rPr>
          <w:rFonts w:ascii="Times New Roman" w:hAnsi="Times New Roman" w:hint="cs"/>
          <w:szCs w:val="22"/>
          <w:rtl/>
        </w:rPr>
        <w:tab/>
        <w:t xml:space="preserve">הפגיעה בקניין מתבטאת בעצם השתת החיוב הכספי, ומתעצמת לנוכח זאת שמדובר באחריות רטרואקטיבית וחמורה ללא הוכחת אשם. הפגיעה בשוויון נוצרת משום שהעותרת הופלתה לרעה בהשוואה לגורמים אחרים - יבואני אסבסט, משתמשי הקצה ומזהמים עתידיים - אשר הופטרו באופן חלקי או מלא מאחריות לפסולת האסבסט. </w:t>
      </w:r>
    </w:p>
    <w:p w:rsidR="005366A8" w:rsidRPr="004B3806" w:rsidRDefault="005366A8" w:rsidP="005366A8">
      <w:pPr>
        <w:pStyle w:val="Ruller41"/>
        <w:spacing w:after="60" w:line="240" w:lineRule="auto"/>
        <w:rPr>
          <w:rFonts w:ascii="Times New Roman" w:hAnsi="Times New Roman"/>
          <w:szCs w:val="22"/>
          <w:rtl/>
        </w:rPr>
      </w:pPr>
      <w:r w:rsidRPr="004B3806">
        <w:rPr>
          <w:rFonts w:ascii="Times New Roman" w:hAnsi="Times New Roman" w:hint="cs"/>
          <w:szCs w:val="22"/>
          <w:rtl/>
        </w:rPr>
        <w:tab/>
        <w:t>הפגיעה בקניין ובשוויון איננה עומדת, כך נטען, במבחני פסקת ההגבלה. זו איננה פגיעה על פי חוק, משום שמדובר בחקיקה פרסונאלית. היא איננה לתכלית ראויה ההולמת את ערכי מדינת ישראל, משום שאיתנית נצבעה רטרואקטיבית בצבע של מפרת חוק, מבלי שהוכח כי היא זו שזיהמה בפועל את הקרקעות. ולבסוף, הפגיעה איננה מידתית: החוק איננו מקדם את התכלית של</w:t>
      </w:r>
      <w:r w:rsidRPr="004B3806">
        <w:rPr>
          <w:rFonts w:ascii="Times New Roman" w:hAnsi="Times New Roman" w:hint="cs"/>
          <w:b/>
          <w:bCs/>
          <w:szCs w:val="22"/>
          <w:rtl/>
        </w:rPr>
        <w:t xml:space="preserve"> </w:t>
      </w:r>
      <w:r w:rsidRPr="004B3806">
        <w:rPr>
          <w:rFonts w:ascii="Times New Roman" w:hAnsi="Times New Roman" w:hint="cs"/>
          <w:szCs w:val="22"/>
          <w:rtl/>
        </w:rPr>
        <w:t>הכוונת התנהגות והרתעת עבריינים, כך שאין קשר רציונאלי בין התכלית לבין האמצעי שנבחר. כמו כן ניתן היה לבחור באמצעים פוגעניים פחות, לדוגמא: לאפשר לאיתנית לבצע את הפרויקט בעצמה, או לקבוע את שיעור ההשתתפות במימון על פי מידת אחריותה. בין כה ובין כה, התועלת שיש בסעיף מתגמדת לנוכח הפגיעה שתיגרם לאיתנית. [...]</w:t>
      </w:r>
    </w:p>
    <w:p w:rsidR="005366A8" w:rsidRPr="004B3806" w:rsidRDefault="005366A8" w:rsidP="005366A8">
      <w:pPr>
        <w:pStyle w:val="Ruller41"/>
        <w:spacing w:line="240" w:lineRule="auto"/>
        <w:rPr>
          <w:rFonts w:ascii="Times New Roman" w:hAnsi="Times New Roman"/>
          <w:szCs w:val="22"/>
          <w:rtl/>
        </w:rPr>
      </w:pPr>
      <w:r w:rsidRPr="004B3806">
        <w:rPr>
          <w:rFonts w:ascii="Times New Roman" w:hAnsi="Times New Roman" w:hint="cs"/>
          <w:szCs w:val="22"/>
          <w:rtl/>
        </w:rPr>
        <w:t xml:space="preserve">7. </w:t>
      </w:r>
      <w:r w:rsidRPr="004B3806">
        <w:rPr>
          <w:rFonts w:ascii="Times New Roman" w:hAnsi="Times New Roman" w:hint="cs"/>
          <w:szCs w:val="22"/>
          <w:rtl/>
        </w:rPr>
        <w:tab/>
        <w:t>המדינה מדגישה כי סעיף 74 נועד לחול אך ורק על פסולת תעשייתית שמקורה בתהליכי העבודה במפעל של איתנית. אין מדובר במוצרי אסבסט-צמנט מוגמרים, שנרכשו על ידי משתמשי הקצה ולאחר זמן פורקו והושלכו, אלא רק בפסולת אשר יוצרה על ידי איתנית.</w:t>
      </w:r>
      <w:r w:rsidRPr="004B3806">
        <w:rPr>
          <w:rFonts w:ascii="Times New Roman" w:hAnsi="Times New Roman" w:hint="cs"/>
          <w:szCs w:val="22"/>
          <w:rtl/>
        </w:rPr>
        <w:tab/>
      </w:r>
    </w:p>
    <w:p w:rsidR="005366A8" w:rsidRPr="004B3806" w:rsidRDefault="005366A8" w:rsidP="005366A8">
      <w:pPr>
        <w:pStyle w:val="Ruller41"/>
        <w:spacing w:line="240" w:lineRule="auto"/>
        <w:rPr>
          <w:rFonts w:ascii="Times New Roman" w:hAnsi="Times New Roman"/>
          <w:szCs w:val="22"/>
          <w:rtl/>
        </w:rPr>
      </w:pPr>
      <w:r w:rsidRPr="004B3806">
        <w:rPr>
          <w:rFonts w:ascii="Times New Roman" w:hAnsi="Times New Roman" w:hint="cs"/>
          <w:szCs w:val="22"/>
          <w:rtl/>
        </w:rPr>
        <w:tab/>
        <w:t xml:space="preserve">המדינה מוכנה להניח כי החוק פוגע בקניינה של איתנית. ברם לא כך הוא באשר לפגיעה בשוויון: ספק אם יש מקום להחיל את זכות השוויון החוקתית על תאגידים, ובכל מקרה לא נפגעה כאן זכותה של איתנית לשוויון, שכן קיים שוני רלבנטי בינה לבין כל אחד מהגורמים האחרים שעליהם היא הצביעה. </w:t>
      </w:r>
    </w:p>
    <w:p w:rsidR="005366A8" w:rsidRPr="004B3806" w:rsidRDefault="005366A8" w:rsidP="005366A8">
      <w:pPr>
        <w:pStyle w:val="Ruller41"/>
        <w:spacing w:after="60" w:line="240" w:lineRule="auto"/>
        <w:rPr>
          <w:rFonts w:ascii="Times New Roman" w:hAnsi="Times New Roman"/>
          <w:szCs w:val="22"/>
          <w:rtl/>
        </w:rPr>
      </w:pPr>
      <w:r w:rsidRPr="004B3806">
        <w:rPr>
          <w:rFonts w:ascii="Times New Roman" w:hAnsi="Times New Roman" w:hint="cs"/>
          <w:szCs w:val="22"/>
          <w:rtl/>
        </w:rPr>
        <w:tab/>
        <w:t>על בסיס זה ממשיכה המדינה את הניתוח החוקתי. הפגיעה היא על פי חוק, אף אם מדובר בחוק פרסונאלי. הפגיעה היא לתכלית ראויה - הסרת מפגע סביבתי חמור בגליל המערבי. החוק מבוסס על עיקרון "</w:t>
      </w:r>
      <w:r w:rsidRPr="002823E1">
        <w:rPr>
          <w:rFonts w:ascii="Times New Roman" w:hAnsi="Times New Roman" w:hint="cs"/>
          <w:szCs w:val="22"/>
          <w:rtl/>
        </w:rPr>
        <w:t>המזהם משלם</w:t>
      </w:r>
      <w:r w:rsidRPr="004B3806">
        <w:rPr>
          <w:rFonts w:ascii="Times New Roman" w:hAnsi="Times New Roman" w:hint="cs"/>
          <w:szCs w:val="22"/>
          <w:rtl/>
        </w:rPr>
        <w:t>", אשר שואב את כוחו משיקולי יעילות, הרתעה וצדק. באשר לשאלת המידתיות, ישנו קשר ברור בין המטרה - ניקוי הגליל מפסולת אסבסט, לבין האמצעי - הקמת הפרויקט. האמצעי שנבחר הוא מתון, שהרי איתנית נושאת רק במחצית העלות ובכל מקרה עד לסכום של 150 מיליון ₪. ההצעה לפיה איתנית תפנה את השטח בעצמה נדונה זמן רב בין הצדדים, אך התבררה כלא יעילה ולא מעשית. ולבסוף, התועלת שיביא החוק (הסרת סיכונים בריאותיים מוכחים) עולה בהרבה על הנזק שייגרם, ככל שייגרם, לאיתנית.</w:t>
      </w:r>
    </w:p>
    <w:p w:rsidR="005366A8" w:rsidRPr="004B3806" w:rsidRDefault="005366A8" w:rsidP="005366A8">
      <w:pPr>
        <w:pStyle w:val="Ruller41"/>
        <w:rPr>
          <w:rFonts w:ascii="Times New Roman" w:hAnsi="Times New Roman" w:cs="Miriam"/>
          <w:szCs w:val="22"/>
        </w:rPr>
      </w:pPr>
      <w:r w:rsidRPr="004B3806">
        <w:rPr>
          <w:rFonts w:ascii="Times New Roman" w:hAnsi="Times New Roman" w:cs="Miriam" w:hint="cs"/>
          <w:szCs w:val="22"/>
          <w:rtl/>
        </w:rPr>
        <w:t xml:space="preserve">דיון והכרעה </w:t>
      </w:r>
    </w:p>
    <w:p w:rsidR="005366A8" w:rsidRPr="004B3806" w:rsidRDefault="005366A8" w:rsidP="005366A8">
      <w:pPr>
        <w:pStyle w:val="Ruller41"/>
        <w:spacing w:after="60" w:line="240" w:lineRule="auto"/>
        <w:rPr>
          <w:rFonts w:ascii="Times New Roman" w:hAnsi="Times New Roman"/>
          <w:szCs w:val="22"/>
          <w:rtl/>
        </w:rPr>
      </w:pPr>
      <w:r w:rsidRPr="004B3806">
        <w:rPr>
          <w:rFonts w:ascii="Times New Roman" w:hAnsi="Times New Roman" w:cs="Miriam" w:hint="cs"/>
          <w:szCs w:val="22"/>
          <w:rtl/>
        </w:rPr>
        <w:t>1. המשפט המשווה</w:t>
      </w:r>
    </w:p>
    <w:p w:rsidR="005366A8" w:rsidRPr="004B3806" w:rsidRDefault="005366A8" w:rsidP="005366A8">
      <w:pPr>
        <w:spacing w:after="60"/>
        <w:rPr>
          <w:rFonts w:cs="FrankRuehl"/>
          <w:sz w:val="22"/>
          <w:szCs w:val="22"/>
          <w:rtl/>
        </w:rPr>
      </w:pPr>
      <w:r w:rsidRPr="004B3806">
        <w:rPr>
          <w:rFonts w:cs="FrankRuehl" w:hint="cs"/>
          <w:sz w:val="22"/>
          <w:szCs w:val="22"/>
          <w:rtl/>
        </w:rPr>
        <w:t xml:space="preserve">[...] 11. [...] </w:t>
      </w:r>
      <w:r w:rsidRPr="004B3806">
        <w:rPr>
          <w:rFonts w:cs="FrankRuehl" w:hint="cs"/>
          <w:sz w:val="22"/>
          <w:szCs w:val="22"/>
          <w:rtl/>
        </w:rPr>
        <w:tab/>
        <w:t xml:space="preserve">הפסיקה קבעה כי </w:t>
      </w:r>
      <w:r w:rsidRPr="004B3806">
        <w:rPr>
          <w:rFonts w:cs="FrankRuehl"/>
          <w:sz w:val="22"/>
          <w:szCs w:val="22"/>
        </w:rPr>
        <w:t>CERCLA</w:t>
      </w:r>
      <w:r w:rsidRPr="004B3806">
        <w:rPr>
          <w:rFonts w:cs="FrankRuehl" w:hint="cs"/>
          <w:sz w:val="22"/>
          <w:szCs w:val="22"/>
          <w:rtl/>
        </w:rPr>
        <w:t xml:space="preserve"> מכונן משטר של אחריות קשיחה, או – בתרגום המקובל – אחריות חמורה (</w:t>
      </w:r>
      <w:r w:rsidRPr="004B3806">
        <w:rPr>
          <w:rFonts w:cs="FrankRuehl"/>
          <w:sz w:val="22"/>
          <w:szCs w:val="22"/>
        </w:rPr>
        <w:t>strict liability</w:t>
      </w:r>
      <w:r w:rsidRPr="004B3806">
        <w:rPr>
          <w:rFonts w:cs="FrankRuehl" w:hint="cs"/>
          <w:sz w:val="22"/>
          <w:szCs w:val="22"/>
          <w:rtl/>
        </w:rPr>
        <w:t>): אין נפקות לשאלה האם, ובאיזו מידה, יוצר המפגע הפר את חובתו לנהוג בזהירות סבירה או נשא באשמה כלשהי ביחס לסיכון שנוצר. דהיינו, במצב זה, יוצר המפגע יישא באחריות אף מבלי שהוכחה הפרה של חובת זהירות...</w:t>
      </w:r>
    </w:p>
    <w:p w:rsidR="005366A8" w:rsidRPr="004B3806" w:rsidRDefault="005366A8" w:rsidP="005366A8">
      <w:pPr>
        <w:spacing w:after="60"/>
        <w:rPr>
          <w:rFonts w:cs="FrankRuehl"/>
          <w:sz w:val="22"/>
          <w:szCs w:val="22"/>
          <w:rtl/>
        </w:rPr>
      </w:pPr>
      <w:r w:rsidRPr="004B3806">
        <w:rPr>
          <w:rFonts w:cs="FrankRuehl" w:hint="cs"/>
          <w:sz w:val="22"/>
          <w:szCs w:val="22"/>
          <w:rtl/>
        </w:rPr>
        <w:t>סטנדרט האחריות החמורה לא צמח על קרקע בתולה. במשפט המקובל, אחריות חמורה היא סטנדרט נזיקי נפוץ ביחס לפעילויות מסוכנות במיוחד...</w:t>
      </w:r>
    </w:p>
    <w:p w:rsidR="005366A8" w:rsidRPr="004B3806" w:rsidRDefault="005366A8" w:rsidP="005366A8">
      <w:pPr>
        <w:spacing w:after="60"/>
        <w:rPr>
          <w:rFonts w:cs="FrankRuehl"/>
          <w:sz w:val="22"/>
          <w:szCs w:val="22"/>
          <w:rtl/>
        </w:rPr>
      </w:pPr>
      <w:r w:rsidRPr="004B3806">
        <w:rPr>
          <w:rFonts w:cs="FrankRuehl" w:hint="cs"/>
          <w:sz w:val="22"/>
          <w:szCs w:val="22"/>
          <w:rtl/>
        </w:rPr>
        <w:t xml:space="preserve">... </w:t>
      </w:r>
      <w:r w:rsidRPr="00C13566">
        <w:rPr>
          <w:rFonts w:cs="FrankRuehl" w:hint="cs"/>
          <w:sz w:val="22"/>
          <w:szCs w:val="22"/>
          <w:highlight w:val="yellow"/>
          <w:rtl/>
        </w:rPr>
        <w:t>אמנם היו כאלו שתקפו את החקיקה בשל הטלת אחריות ללא אשם. אך התקבלה העמדה לפיה בבחירה בין פיזור העלות על כל החברה לבין פיזור העלות על הגורם המזהם - ידה של האפשרות השנייה על העליונה. זאת גם בשל הזיקה של הגורם המזהם לנזק שנגרם, כאמור, הן מבחינת יצירת הנזק והן מבחינת הרווח שהפיק</w:t>
      </w:r>
      <w:r w:rsidRPr="004B3806">
        <w:rPr>
          <w:rFonts w:cs="FrankRuehl" w:hint="cs"/>
          <w:sz w:val="22"/>
          <w:szCs w:val="22"/>
          <w:rtl/>
        </w:rPr>
        <w:t xml:space="preserve"> ממנו.</w:t>
      </w:r>
    </w:p>
    <w:p w:rsidR="005366A8" w:rsidRPr="004B3806" w:rsidRDefault="005366A8" w:rsidP="005366A8">
      <w:pPr>
        <w:spacing w:after="60"/>
        <w:rPr>
          <w:rFonts w:cs="FrankRuehl"/>
          <w:sz w:val="22"/>
          <w:szCs w:val="22"/>
          <w:rtl/>
        </w:rPr>
      </w:pPr>
      <w:r w:rsidRPr="002823E1">
        <w:rPr>
          <w:rFonts w:cs="FrankRuehl" w:hint="cs"/>
          <w:sz w:val="22"/>
          <w:szCs w:val="22"/>
          <w:highlight w:val="yellow"/>
          <w:rtl/>
        </w:rPr>
        <w:t>מנקודת מבט אחרת, נשאלת השאלה מה התועלת הכלכלית בהטלת אחריות ללא אשם? היכן ההרתעה? תשובה לכך מצויה בהבחנה בין הפנמת עלויות לבין החצנת עלויות (</w:t>
      </w:r>
      <w:r w:rsidRPr="002823E1">
        <w:rPr>
          <w:rFonts w:cs="FrankRuehl"/>
          <w:sz w:val="22"/>
          <w:szCs w:val="22"/>
          <w:highlight w:val="yellow"/>
        </w:rPr>
        <w:t>cost internalization vs. cost externalization</w:t>
      </w:r>
      <w:r w:rsidRPr="002823E1">
        <w:rPr>
          <w:rFonts w:cs="FrankRuehl" w:hint="cs"/>
          <w:sz w:val="22"/>
          <w:szCs w:val="22"/>
          <w:highlight w:val="yellow"/>
          <w:rtl/>
        </w:rPr>
        <w:t>). לפי תיאוריה זו, מי שעוסק בחומר מזהם או שעלול לזהם - ייקח בחשבון את האפשרות שיחויב על פי אחריות חמורה. כדי לחסוך בעלויות עתידיות הוא ייזום מלכתחילה פעולות מחקר ופיתוח ניסיוניות כדי לייצר מוצר חסכוני וידידותי לסביבה, או לכל הפחות בעל פוטנציאל נזק קטן יותר. הגורם המזהם, שהוא בעל הידע והיכולת, מצוי בעמדה הטובה ביותר לנקוט צעדי מנע כאלו.</w:t>
      </w:r>
      <w:r w:rsidRPr="004B3806">
        <w:rPr>
          <w:rFonts w:cs="FrankRuehl" w:hint="cs"/>
          <w:sz w:val="22"/>
          <w:szCs w:val="22"/>
          <w:rtl/>
        </w:rPr>
        <w:t xml:space="preserve"> על פי תפישה זו, דווקא אחריות חמורה עשויה לעודד הרתעה...</w:t>
      </w:r>
    </w:p>
    <w:p w:rsidR="005366A8" w:rsidRPr="004B3806" w:rsidRDefault="005366A8" w:rsidP="005366A8">
      <w:pPr>
        <w:spacing w:after="60"/>
        <w:rPr>
          <w:rFonts w:cs="FrankRuehl"/>
          <w:sz w:val="22"/>
          <w:szCs w:val="22"/>
          <w:rtl/>
        </w:rPr>
      </w:pPr>
      <w:r w:rsidRPr="004B3806">
        <w:rPr>
          <w:rFonts w:cs="FrankRuehl" w:hint="cs"/>
          <w:sz w:val="22"/>
          <w:szCs w:val="22"/>
          <w:rtl/>
        </w:rPr>
        <w:t>כפי שהוזכר, ה-</w:t>
      </w:r>
      <w:r w:rsidRPr="004B3806">
        <w:rPr>
          <w:rFonts w:cs="FrankRuehl"/>
          <w:sz w:val="22"/>
          <w:szCs w:val="22"/>
        </w:rPr>
        <w:t>CERCLA</w:t>
      </w:r>
      <w:r w:rsidRPr="004B3806">
        <w:rPr>
          <w:rFonts w:cs="FrankRuehl" w:hint="cs"/>
          <w:sz w:val="22"/>
          <w:szCs w:val="22"/>
          <w:rtl/>
        </w:rPr>
        <w:t xml:space="preserve"> מטיל אחריות גם על מי שפיזר חומרים מסוכנים לפני כניסת החוק לתוקפו, על אף שפעולות כאלו היו מותרות בשעת עשייתן. החוק נאלץ להתמודד עם עובדות שכבר מצויות בשטח. גם בהקשר זה החוק האמריקאי לא ציין במפורש את האחריות הרטרואקטיבית. יוזכר גם כי בדין האמריקאי ישנה חזקה הניתנת לסתירה שדבר חקיקה איננו חל רטרואקטיבית, אלא אם ברור שכוונת המחוקק הייתה אחרת (</w:t>
      </w:r>
      <w:r w:rsidRPr="004B3806">
        <w:rPr>
          <w:rFonts w:cs="FrankRuehl"/>
          <w:i/>
          <w:sz w:val="22"/>
          <w:szCs w:val="22"/>
        </w:rPr>
        <w:t>Landsgraf v. Usi Film Prods.</w:t>
      </w:r>
      <w:r w:rsidRPr="004B3806">
        <w:rPr>
          <w:rFonts w:cs="FrankRuehl"/>
          <w:sz w:val="22"/>
          <w:szCs w:val="22"/>
        </w:rPr>
        <w:t xml:space="preserve">, 511 U.S. 244 (1994); </w:t>
      </w:r>
      <w:r w:rsidRPr="004B3806">
        <w:rPr>
          <w:rFonts w:cs="FrankRuehl"/>
          <w:i/>
          <w:iCs/>
          <w:sz w:val="22"/>
          <w:szCs w:val="22"/>
        </w:rPr>
        <w:t>Eastern Enterprises v. Apfel</w:t>
      </w:r>
      <w:r w:rsidRPr="004B3806">
        <w:rPr>
          <w:rFonts w:cs="FrankRuehl"/>
          <w:sz w:val="22"/>
          <w:szCs w:val="22"/>
        </w:rPr>
        <w:t>, 524 U.S. 498 (1998)</w:t>
      </w:r>
      <w:r w:rsidRPr="004B3806">
        <w:rPr>
          <w:rFonts w:cs="FrankRuehl" w:hint="cs"/>
          <w:sz w:val="22"/>
          <w:szCs w:val="22"/>
          <w:rtl/>
        </w:rPr>
        <w:t>). אלא שהפסיקה הכירה בתחולתו הרטרואקטיבית של ה-</w:t>
      </w:r>
      <w:r w:rsidRPr="004B3806">
        <w:rPr>
          <w:rFonts w:cs="FrankRuehl"/>
          <w:sz w:val="22"/>
          <w:szCs w:val="22"/>
        </w:rPr>
        <w:t>CERCLA</w:t>
      </w:r>
      <w:r w:rsidRPr="004B3806">
        <w:rPr>
          <w:rFonts w:cs="FrankRuehl" w:hint="cs"/>
          <w:sz w:val="22"/>
          <w:szCs w:val="22"/>
          <w:rtl/>
        </w:rPr>
        <w:t>, מתוך הבנה שזו הייתה כוונתו הברורה של המחוקק. כך נלמד מלשון החוק, מההיסטוריה שלו ומאופיים של מנגנוני התשלום שנקבעו בו [...]</w:t>
      </w:r>
    </w:p>
    <w:p w:rsidR="005366A8" w:rsidRPr="004B3806" w:rsidRDefault="005366A8" w:rsidP="005366A8">
      <w:pPr>
        <w:spacing w:after="60"/>
        <w:rPr>
          <w:sz w:val="22"/>
          <w:szCs w:val="22"/>
          <w:rtl/>
        </w:rPr>
      </w:pPr>
      <w:r w:rsidRPr="004B3806">
        <w:rPr>
          <w:rFonts w:cs="FrankRuehl" w:hint="cs"/>
          <w:sz w:val="22"/>
          <w:szCs w:val="22"/>
          <w:rtl/>
        </w:rPr>
        <w:t>14.</w:t>
      </w:r>
      <w:r w:rsidRPr="004B3806">
        <w:rPr>
          <w:rFonts w:cs="FrankRuehl" w:hint="cs"/>
          <w:sz w:val="22"/>
          <w:szCs w:val="22"/>
          <w:rtl/>
        </w:rPr>
        <w:tab/>
        <w:t>לסיכום, הסקירה שהוצגה מצביעה על מרכיבים משותפים ושונים. בכל הקשור לאחריות החמורה שמוטלת על המזהם, נראה כי קיים סוג של קונצנזוס, ודאי בכל הקשור לחומרים מסוכנים מטבעם כגון אסבסט. אמנם יש מדינות שהבחינו במידת האחריות החמורה על פי מידת האשם. באשר לתחולה הרטרואקטיבית, עולה כי יש גישות שונות - אלה התומכות בתחולה רטרואקטיבית ואלו שמסתייגות ממנה. הנפקות של סקירה זו לענייננו תובהר בהמשך.</w:t>
      </w:r>
    </w:p>
    <w:p w:rsidR="005366A8" w:rsidRPr="004B3806" w:rsidRDefault="005366A8" w:rsidP="005366A8">
      <w:pPr>
        <w:pStyle w:val="Ruller41"/>
        <w:spacing w:after="60" w:line="240" w:lineRule="auto"/>
        <w:rPr>
          <w:rFonts w:ascii="Times New Roman" w:hAnsi="Times New Roman" w:cs="Miriam"/>
          <w:szCs w:val="22"/>
          <w:rtl/>
        </w:rPr>
      </w:pPr>
      <w:r w:rsidRPr="004B3806">
        <w:rPr>
          <w:rFonts w:ascii="Times New Roman" w:hAnsi="Times New Roman" w:cs="Miriam" w:hint="cs"/>
          <w:szCs w:val="22"/>
          <w:rtl/>
        </w:rPr>
        <w:t xml:space="preserve">2. </w:t>
      </w:r>
      <w:r w:rsidRPr="00221AC3">
        <w:rPr>
          <w:rFonts w:ascii="Times New Roman" w:hAnsi="Times New Roman" w:cs="Miriam" w:hint="cs"/>
          <w:szCs w:val="22"/>
          <w:highlight w:val="yellow"/>
          <w:rtl/>
        </w:rPr>
        <w:t>הניתוח החוקתי</w:t>
      </w:r>
      <w:r w:rsidRPr="004B3806">
        <w:rPr>
          <w:rFonts w:ascii="Times New Roman" w:hAnsi="Times New Roman" w:cs="Miriam" w:hint="cs"/>
          <w:szCs w:val="22"/>
          <w:rtl/>
        </w:rPr>
        <w:t xml:space="preserve"> </w:t>
      </w:r>
    </w:p>
    <w:p w:rsidR="005366A8" w:rsidRPr="004B3806" w:rsidRDefault="005366A8" w:rsidP="005366A8">
      <w:pPr>
        <w:pStyle w:val="Ruller41"/>
        <w:spacing w:after="60" w:line="240" w:lineRule="auto"/>
        <w:rPr>
          <w:rFonts w:ascii="Times New Roman" w:hAnsi="Times New Roman"/>
          <w:szCs w:val="22"/>
          <w:rtl/>
        </w:rPr>
      </w:pPr>
      <w:r w:rsidRPr="004B3806">
        <w:rPr>
          <w:rFonts w:ascii="Times New Roman" w:hAnsi="Times New Roman" w:hint="cs"/>
          <w:szCs w:val="22"/>
          <w:rtl/>
        </w:rPr>
        <w:t>15.</w:t>
      </w:r>
      <w:r w:rsidRPr="004B3806">
        <w:rPr>
          <w:rFonts w:ascii="Times New Roman" w:hAnsi="Times New Roman" w:hint="cs"/>
          <w:szCs w:val="22"/>
          <w:rtl/>
        </w:rPr>
        <w:tab/>
        <w:t>עתה נפנה לבחינת חוקתיותו של סעיף 74 על פי הדין הישראלי. תחילה יש לעמוד על הזכויות שנפגעו לשיטת איתנית. לאחר מכן ניתן לדון בשאלה האם פגיעה זו, ככל שנגרמה ובהיקף שנגרמה, עומדת במבחני פיסקת ההגבלה של סעיף 8 ל</w:t>
      </w:r>
      <w:r w:rsidRPr="004B3806">
        <w:rPr>
          <w:rFonts w:ascii="Times New Roman" w:hAnsi="Times New Roman"/>
          <w:szCs w:val="22"/>
          <w:rtl/>
        </w:rPr>
        <w:t>חוק יסוד: כבוד האדם וחירותו</w:t>
      </w:r>
      <w:r w:rsidRPr="004B3806">
        <w:rPr>
          <w:rFonts w:ascii="Times New Roman" w:hAnsi="Times New Roman" w:hint="cs"/>
          <w:szCs w:val="22"/>
          <w:rtl/>
        </w:rPr>
        <w:t xml:space="preserve">. </w:t>
      </w:r>
    </w:p>
    <w:p w:rsidR="005366A8" w:rsidRPr="004B3806" w:rsidRDefault="005366A8" w:rsidP="005366A8">
      <w:pPr>
        <w:pStyle w:val="Ruller41"/>
        <w:rPr>
          <w:rFonts w:ascii="Times New Roman" w:hAnsi="Times New Roman" w:cs="Miriam"/>
          <w:szCs w:val="22"/>
          <w:rtl/>
        </w:rPr>
      </w:pPr>
      <w:r w:rsidRPr="00221AC3">
        <w:rPr>
          <w:rFonts w:ascii="Times New Roman" w:hAnsi="Times New Roman" w:cs="Miriam" w:hint="cs"/>
          <w:szCs w:val="22"/>
          <w:highlight w:val="yellow"/>
          <w:rtl/>
        </w:rPr>
        <w:t>א. הזכויות הנפגעות</w:t>
      </w:r>
      <w:r w:rsidRPr="004B3806">
        <w:rPr>
          <w:rFonts w:ascii="Times New Roman" w:hAnsi="Times New Roman" w:cs="Miriam" w:hint="cs"/>
          <w:szCs w:val="22"/>
          <w:rtl/>
        </w:rPr>
        <w:t xml:space="preserve"> </w:t>
      </w:r>
    </w:p>
    <w:p w:rsidR="005366A8" w:rsidRPr="004B3806" w:rsidRDefault="005366A8" w:rsidP="005366A8">
      <w:pPr>
        <w:pStyle w:val="Ruller41"/>
        <w:spacing w:after="60" w:line="240" w:lineRule="auto"/>
        <w:rPr>
          <w:rFonts w:ascii="Times New Roman" w:hAnsi="Times New Roman"/>
          <w:szCs w:val="22"/>
          <w:rtl/>
        </w:rPr>
      </w:pPr>
      <w:r w:rsidRPr="004B3806">
        <w:rPr>
          <w:rFonts w:ascii="Times New Roman" w:hAnsi="Times New Roman" w:cs="Miriam" w:hint="cs"/>
          <w:szCs w:val="22"/>
          <w:rtl/>
        </w:rPr>
        <w:t>    (1) הזכות לקניין</w:t>
      </w:r>
      <w:r w:rsidRPr="004B3806">
        <w:rPr>
          <w:rFonts w:ascii="Times New Roman" w:hAnsi="Times New Roman" w:hint="cs"/>
          <w:szCs w:val="22"/>
          <w:rtl/>
        </w:rPr>
        <w:t xml:space="preserve"> </w:t>
      </w:r>
    </w:p>
    <w:p w:rsidR="005366A8" w:rsidRPr="004B3806" w:rsidRDefault="005366A8" w:rsidP="005366A8">
      <w:pPr>
        <w:pStyle w:val="Ruller41"/>
        <w:spacing w:after="60" w:line="240" w:lineRule="auto"/>
        <w:rPr>
          <w:rFonts w:ascii="Times New Roman" w:hAnsi="Times New Roman"/>
          <w:szCs w:val="22"/>
        </w:rPr>
      </w:pPr>
      <w:r w:rsidRPr="004B3806">
        <w:rPr>
          <w:rFonts w:ascii="Times New Roman" w:hAnsi="Times New Roman" w:hint="cs"/>
          <w:szCs w:val="22"/>
          <w:rtl/>
        </w:rPr>
        <w:t>16.</w:t>
      </w:r>
      <w:r w:rsidRPr="004B3806">
        <w:rPr>
          <w:rFonts w:ascii="Times New Roman" w:hAnsi="Times New Roman" w:hint="cs"/>
          <w:szCs w:val="22"/>
          <w:rtl/>
        </w:rPr>
        <w:tab/>
        <w:t>הזכות לקניין מעוגנת במשפטנו בסעיף 3 ל</w:t>
      </w:r>
      <w:hyperlink r:id="rId268" w:history="1">
        <w:r w:rsidRPr="004B3806">
          <w:rPr>
            <w:rFonts w:ascii="Times New Roman" w:hAnsi="Times New Roman"/>
            <w:color w:val="0000FF"/>
            <w:szCs w:val="22"/>
            <w:u w:val="single"/>
            <w:rtl/>
          </w:rPr>
          <w:t>חוק יסוד: כבוד האדם וחירותו</w:t>
        </w:r>
      </w:hyperlink>
      <w:r w:rsidRPr="004B3806">
        <w:rPr>
          <w:rFonts w:ascii="Times New Roman" w:hAnsi="Times New Roman" w:hint="cs"/>
          <w:szCs w:val="22"/>
          <w:rtl/>
        </w:rPr>
        <w:t xml:space="preserve">. </w:t>
      </w:r>
      <w:r w:rsidRPr="00C13566">
        <w:rPr>
          <w:rFonts w:ascii="Times New Roman" w:hAnsi="Times New Roman" w:hint="cs"/>
          <w:szCs w:val="22"/>
          <w:highlight w:val="yellow"/>
          <w:rtl/>
        </w:rPr>
        <w:t>זכות זו מוענקת אף לתאגיד</w:t>
      </w:r>
      <w:r w:rsidRPr="004B3806">
        <w:rPr>
          <w:rFonts w:ascii="Times New Roman" w:hAnsi="Times New Roman" w:hint="cs"/>
          <w:szCs w:val="22"/>
          <w:rtl/>
        </w:rPr>
        <w:t xml:space="preserve"> (ראו: </w:t>
      </w:r>
      <w:hyperlink r:id="rId269" w:history="1">
        <w:r w:rsidRPr="004B3806">
          <w:rPr>
            <w:rStyle w:val="Hyperlink"/>
            <w:rFonts w:ascii="Times New Roman" w:hAnsi="Times New Roman"/>
            <w:szCs w:val="22"/>
            <w:rtl/>
          </w:rPr>
          <w:t>בג"ץ 4885/03</w:t>
        </w:r>
        <w:r w:rsidRPr="004B3806">
          <w:rPr>
            <w:rStyle w:val="Hyperlink"/>
            <w:rFonts w:ascii="Times New Roman" w:hAnsi="Times New Roman" w:hint="cs"/>
            <w:szCs w:val="22"/>
            <w:rtl/>
          </w:rPr>
          <w:t xml:space="preserve"> </w:t>
        </w:r>
        <w:r w:rsidRPr="004B3806">
          <w:rPr>
            <w:rStyle w:val="Hyperlink"/>
            <w:rFonts w:ascii="Times New Roman" w:hAnsi="Times New Roman" w:cs="Miriam" w:hint="cs"/>
            <w:szCs w:val="22"/>
            <w:rtl/>
          </w:rPr>
          <w:t>ארגון מגדלי העופות בישראל אגודה חקלאית שיתופית בע"מ נ' ממשלת ישראל</w:t>
        </w:r>
        <w:r w:rsidRPr="004B3806">
          <w:rPr>
            <w:rStyle w:val="Hyperlink"/>
            <w:rFonts w:ascii="Times New Roman" w:hAnsi="Times New Roman" w:hint="cs"/>
            <w:szCs w:val="22"/>
            <w:rtl/>
          </w:rPr>
          <w:t>, פ"ד נט</w:t>
        </w:r>
      </w:hyperlink>
      <w:r w:rsidRPr="004B3806">
        <w:rPr>
          <w:rFonts w:ascii="Times New Roman" w:hAnsi="Times New Roman" w:hint="cs"/>
          <w:szCs w:val="22"/>
          <w:rtl/>
        </w:rPr>
        <w:t>(2) 14, בפסקה 41 לפסק דינה של השופטת בייניש ובהפניות לפסיקה ולמאמרים שם (2004)).</w:t>
      </w:r>
    </w:p>
    <w:p w:rsidR="005366A8" w:rsidRPr="004B3806" w:rsidRDefault="005366A8" w:rsidP="005366A8">
      <w:pPr>
        <w:pStyle w:val="Ruller41"/>
        <w:spacing w:after="60" w:line="240" w:lineRule="auto"/>
        <w:rPr>
          <w:rFonts w:ascii="Times New Roman" w:hAnsi="Times New Roman"/>
          <w:szCs w:val="22"/>
          <w:rtl/>
        </w:rPr>
      </w:pPr>
      <w:r w:rsidRPr="004B3806">
        <w:rPr>
          <w:rFonts w:ascii="Times New Roman" w:hAnsi="Times New Roman" w:hint="cs"/>
          <w:szCs w:val="22"/>
          <w:rtl/>
        </w:rPr>
        <w:tab/>
        <w:t xml:space="preserve">מוסכם על המדינה כי סעיף 74 פוגע בזכותה של איתנית לקניין. ממילא, אין צורך להרחיב בנקודה זו. </w:t>
      </w:r>
      <w:r w:rsidRPr="00C13566">
        <w:rPr>
          <w:rFonts w:ascii="Times New Roman" w:hAnsi="Times New Roman" w:hint="cs"/>
          <w:szCs w:val="22"/>
          <w:highlight w:val="yellow"/>
          <w:rtl/>
        </w:rPr>
        <w:t>אציין רק כי לשיטת איתנית הפגיעה בקניין מתבטאת לא רק בעצם החיוב הכספי שהוטל עליה, אלא גם בכך שמדובר לכאורה בחיוב רטרואקטיבי וללא בחינת האשם שדבק בה</w:t>
      </w:r>
      <w:r w:rsidRPr="004B3806">
        <w:rPr>
          <w:rFonts w:ascii="Times New Roman" w:hAnsi="Times New Roman" w:hint="cs"/>
          <w:szCs w:val="22"/>
          <w:rtl/>
        </w:rPr>
        <w:t xml:space="preserve">. לשני היבטים אלו של סעיף 74 אתייחס בהרחבה בהמשך. </w:t>
      </w:r>
    </w:p>
    <w:p w:rsidR="005366A8" w:rsidRPr="004B3806" w:rsidRDefault="005366A8" w:rsidP="005366A8">
      <w:pPr>
        <w:pStyle w:val="Ruller41"/>
        <w:spacing w:after="60" w:line="240" w:lineRule="auto"/>
        <w:rPr>
          <w:rFonts w:ascii="Times New Roman" w:hAnsi="Times New Roman"/>
          <w:szCs w:val="22"/>
        </w:rPr>
      </w:pPr>
      <w:r w:rsidRPr="004B3806">
        <w:rPr>
          <w:rFonts w:ascii="Times New Roman" w:hAnsi="Times New Roman" w:cs="Miriam" w:hint="cs"/>
          <w:szCs w:val="22"/>
          <w:rtl/>
        </w:rPr>
        <w:t>    (2) הזכות לשוויון</w:t>
      </w:r>
      <w:r w:rsidRPr="004B3806">
        <w:rPr>
          <w:rFonts w:ascii="Times New Roman" w:hAnsi="Times New Roman" w:hint="cs"/>
          <w:szCs w:val="22"/>
          <w:rtl/>
        </w:rPr>
        <w:t xml:space="preserve"> </w:t>
      </w:r>
    </w:p>
    <w:p w:rsidR="005366A8" w:rsidRPr="004B3806" w:rsidRDefault="005366A8" w:rsidP="005366A8">
      <w:pPr>
        <w:pStyle w:val="Ruller41"/>
        <w:spacing w:after="60" w:line="240" w:lineRule="auto"/>
        <w:rPr>
          <w:rFonts w:ascii="Times New Roman" w:hAnsi="Times New Roman" w:cs="Miriam"/>
          <w:szCs w:val="22"/>
          <w:u w:val="single"/>
        </w:rPr>
      </w:pPr>
      <w:r>
        <w:rPr>
          <w:rFonts w:ascii="Times New Roman" w:hAnsi="Times New Roman" w:hint="cs"/>
          <w:szCs w:val="22"/>
          <w:rtl/>
        </w:rPr>
        <w:t>17.</w:t>
      </w:r>
      <w:r>
        <w:rPr>
          <w:rFonts w:ascii="Times New Roman" w:hAnsi="Times New Roman" w:hint="cs"/>
          <w:szCs w:val="22"/>
          <w:rtl/>
        </w:rPr>
        <w:tab/>
      </w:r>
      <w:r w:rsidRPr="004B3806">
        <w:rPr>
          <w:rFonts w:ascii="Times New Roman" w:hAnsi="Times New Roman" w:hint="cs"/>
          <w:szCs w:val="22"/>
          <w:highlight w:val="yellow"/>
          <w:rtl/>
        </w:rPr>
        <w:t>טיעונה של איתנית מורכב משני נדבכים: האחד, שהיא נהנית מהגנה חוקתית על זכותה לשוויון. השני, שזכות זו נפגעה</w:t>
      </w:r>
      <w:r w:rsidRPr="004B3806">
        <w:rPr>
          <w:rFonts w:ascii="Times New Roman" w:hAnsi="Times New Roman" w:hint="cs"/>
          <w:szCs w:val="22"/>
          <w:rtl/>
        </w:rPr>
        <w:t xml:space="preserve">. </w:t>
      </w:r>
    </w:p>
    <w:p w:rsidR="005366A8" w:rsidRPr="004B3806" w:rsidRDefault="005366A8" w:rsidP="005366A8">
      <w:pPr>
        <w:pStyle w:val="Ruller41"/>
        <w:spacing w:after="60" w:line="240" w:lineRule="auto"/>
        <w:rPr>
          <w:rFonts w:ascii="Times New Roman" w:hAnsi="Times New Roman"/>
          <w:color w:val="000000"/>
          <w:szCs w:val="22"/>
          <w:rtl/>
        </w:rPr>
      </w:pPr>
      <w:r w:rsidRPr="004B3806">
        <w:rPr>
          <w:rFonts w:ascii="Times New Roman" w:hAnsi="Times New Roman" w:cs="Miriam" w:hint="cs"/>
          <w:szCs w:val="22"/>
          <w:rtl/>
        </w:rPr>
        <w:tab/>
      </w:r>
      <w:r w:rsidRPr="004B3806">
        <w:rPr>
          <w:rFonts w:ascii="Times New Roman" w:hAnsi="Times New Roman" w:hint="cs"/>
          <w:szCs w:val="22"/>
          <w:highlight w:val="yellow"/>
          <w:rtl/>
        </w:rPr>
        <w:t>דא עקא, שהנדבך הראשון איננו פשוט כלל ועיקר. בישראל, ההגנה החוקתית על הזכות לשוויון נגזרת מן ההגנה החוקתית על כבוד האדם</w:t>
      </w:r>
      <w:r w:rsidRPr="004B3806">
        <w:rPr>
          <w:rFonts w:ascii="Times New Roman" w:hAnsi="Times New Roman" w:hint="cs"/>
          <w:szCs w:val="22"/>
          <w:rtl/>
        </w:rPr>
        <w:t>. זאת משום שהזכות לשוויון איננה מפורשת בחוקי היסוד. זהו סוג של מודל ביניים, במובן זה שיש הכרה בפגיעה בשוויון רק בהקשר - שאמנם רחב הוא - של פגיעה בכבוד האדם. ביחס לאחרון אימצה הפסיקה מודל ביניים: ההגנה החוקתית מתפרשת לא רק על השפלה וביזוי, אלא גם על היבטים נוספים הקשורים בקשר ענייני הדוּק לכבוד האדם. ההשלכה לענייננו היא שההגנה החוקתית על השוויון נפרשת רק על אפליה שמביאה להשפלה ולביזוי, או על אפליה שקשורה לכבוד האדם בקשר ענייני הדוק (</w:t>
      </w:r>
      <w:hyperlink r:id="rId270" w:history="1">
        <w:r w:rsidRPr="004B3806">
          <w:rPr>
            <w:rFonts w:ascii="Times New Roman" w:hAnsi="Times New Roman"/>
            <w:color w:val="0000FF"/>
            <w:szCs w:val="22"/>
            <w:u w:val="single"/>
            <w:rtl/>
          </w:rPr>
          <w:t>בג"ץ 5427/02 התנועה לאיכות השלטון נ' הכנסת, פ"ד סא</w:t>
        </w:r>
      </w:hyperlink>
      <w:r w:rsidRPr="004B3806">
        <w:rPr>
          <w:rFonts w:ascii="Times New Roman" w:hAnsi="Times New Roman" w:hint="cs"/>
          <w:szCs w:val="22"/>
          <w:rtl/>
        </w:rPr>
        <w:t xml:space="preserve">(1) 619, פסקה 38 לפסק דינו של הנשיא ברק (2006); </w:t>
      </w:r>
      <w:hyperlink r:id="rId271" w:history="1">
        <w:r w:rsidRPr="004B3806">
          <w:rPr>
            <w:rFonts w:ascii="Times New Roman" w:hAnsi="Times New Roman"/>
            <w:color w:val="0000FF"/>
            <w:szCs w:val="22"/>
            <w:u w:val="single"/>
            <w:rtl/>
          </w:rPr>
          <w:t>בג"ץ 6304/09</w:t>
        </w:r>
      </w:hyperlink>
      <w:r w:rsidRPr="004B3806">
        <w:rPr>
          <w:rFonts w:ascii="Times New Roman" w:hAnsi="Times New Roman" w:hint="cs"/>
          <w:szCs w:val="22"/>
          <w:rtl/>
        </w:rPr>
        <w:t xml:space="preserve"> </w:t>
      </w:r>
      <w:r w:rsidRPr="004B3806">
        <w:rPr>
          <w:rFonts w:ascii="Times New Roman" w:hAnsi="Times New Roman" w:cs="Miriam" w:hint="cs"/>
          <w:szCs w:val="22"/>
          <w:rtl/>
        </w:rPr>
        <w:t>לה"ב נ' היועץ המשפטי לממשלה</w:t>
      </w:r>
      <w:r w:rsidRPr="004B3806">
        <w:rPr>
          <w:rFonts w:ascii="Times New Roman" w:hAnsi="Times New Roman" w:hint="cs"/>
          <w:szCs w:val="22"/>
          <w:rtl/>
        </w:rPr>
        <w:t xml:space="preserve">, פסקה 76 לפסק דינה של השופטת פרוקצ'יה </w:t>
      </w:r>
      <w:r w:rsidRPr="004B3806">
        <w:rPr>
          <w:rFonts w:ascii="Times New Roman" w:hAnsi="Times New Roman" w:cs="David"/>
          <w:spacing w:val="0"/>
          <w:szCs w:val="22"/>
          <w:rtl/>
        </w:rPr>
        <w:t xml:space="preserve">[פורסם בנבו] </w:t>
      </w:r>
      <w:r w:rsidRPr="004B3806">
        <w:rPr>
          <w:rFonts w:ascii="Times New Roman" w:hAnsi="Times New Roman" w:hint="cs"/>
          <w:szCs w:val="22"/>
          <w:rtl/>
        </w:rPr>
        <w:t xml:space="preserve">(2.9.2010)). </w:t>
      </w:r>
      <w:r w:rsidRPr="004B3806">
        <w:rPr>
          <w:rFonts w:ascii="Times New Roman" w:hAnsi="Times New Roman" w:hint="cs"/>
          <w:szCs w:val="22"/>
          <w:highlight w:val="yellow"/>
          <w:rtl/>
        </w:rPr>
        <w:t xml:space="preserve">בראייה זו, ניתן לומר כי קיים ספק בדבר הרחבת </w:t>
      </w:r>
      <w:r w:rsidRPr="004B3806">
        <w:rPr>
          <w:rFonts w:ascii="Times New Roman" w:hAnsi="Times New Roman" w:hint="cs"/>
          <w:color w:val="000000"/>
          <w:szCs w:val="22"/>
          <w:highlight w:val="yellow"/>
          <w:rtl/>
        </w:rPr>
        <w:t>הזכות החוקתית לשוויון גם לאישיות משפטית שאיננה בשר ודם</w:t>
      </w:r>
      <w:r w:rsidRPr="004B3806">
        <w:rPr>
          <w:rFonts w:ascii="Times New Roman" w:hAnsi="Times New Roman" w:hint="cs"/>
          <w:color w:val="000000"/>
          <w:szCs w:val="22"/>
          <w:rtl/>
        </w:rPr>
        <w:t xml:space="preserve"> (השוו: </w:t>
      </w:r>
      <w:hyperlink r:id="rId272" w:history="1">
        <w:r w:rsidRPr="004B3806">
          <w:rPr>
            <w:rFonts w:ascii="Times New Roman" w:hAnsi="Times New Roman"/>
            <w:color w:val="0000FF"/>
            <w:szCs w:val="22"/>
            <w:u w:val="single"/>
            <w:rtl/>
          </w:rPr>
          <w:t>בג"ץ 4593/05</w:t>
        </w:r>
      </w:hyperlink>
      <w:r w:rsidRPr="004B3806">
        <w:rPr>
          <w:rFonts w:ascii="Times New Roman" w:hAnsi="Times New Roman" w:hint="cs"/>
          <w:color w:val="000000"/>
          <w:szCs w:val="22"/>
          <w:rtl/>
        </w:rPr>
        <w:t xml:space="preserve"> </w:t>
      </w:r>
      <w:r w:rsidRPr="004B3806">
        <w:rPr>
          <w:rFonts w:ascii="Times New Roman" w:hAnsi="Times New Roman" w:cs="Miriam" w:hint="cs"/>
          <w:color w:val="000000"/>
          <w:szCs w:val="22"/>
          <w:rtl/>
        </w:rPr>
        <w:t>בנק המזרחי המאוחד בע"מ נ' ראש הממשלה</w:t>
      </w:r>
      <w:r w:rsidRPr="004B3806">
        <w:rPr>
          <w:rFonts w:ascii="Times New Roman" w:hAnsi="Times New Roman" w:hint="cs"/>
          <w:color w:val="000000"/>
          <w:szCs w:val="22"/>
          <w:rtl/>
        </w:rPr>
        <w:t xml:space="preserve">, פסקה 10 לפסק דינו של הנשיא ברק </w:t>
      </w:r>
      <w:r w:rsidRPr="004B3806">
        <w:rPr>
          <w:rFonts w:ascii="Times New Roman" w:hAnsi="Times New Roman" w:cs="David"/>
          <w:spacing w:val="0"/>
          <w:szCs w:val="22"/>
          <w:rtl/>
        </w:rPr>
        <w:t xml:space="preserve">[פורסם בנבו] </w:t>
      </w:r>
      <w:r w:rsidRPr="004B3806">
        <w:rPr>
          <w:rFonts w:ascii="Times New Roman" w:hAnsi="Times New Roman" w:hint="cs"/>
          <w:color w:val="000000"/>
          <w:szCs w:val="22"/>
          <w:rtl/>
        </w:rPr>
        <w:t xml:space="preserve">(20.9.2006); </w:t>
      </w:r>
      <w:hyperlink r:id="rId273" w:history="1">
        <w:r w:rsidRPr="004B3806">
          <w:rPr>
            <w:rFonts w:ascii="Times New Roman" w:hAnsi="Times New Roman"/>
            <w:color w:val="0000FF"/>
            <w:szCs w:val="22"/>
            <w:u w:val="single"/>
            <w:rtl/>
          </w:rPr>
          <w:t>בג"ץ 956/06</w:t>
        </w:r>
      </w:hyperlink>
      <w:r w:rsidRPr="004B3806">
        <w:rPr>
          <w:rFonts w:ascii="Times New Roman" w:hAnsi="Times New Roman" w:hint="cs"/>
          <w:color w:val="000000"/>
          <w:szCs w:val="22"/>
          <w:rtl/>
        </w:rPr>
        <w:t xml:space="preserve"> </w:t>
      </w:r>
      <w:r w:rsidRPr="004B3806">
        <w:rPr>
          <w:rFonts w:ascii="Times New Roman" w:hAnsi="Times New Roman" w:cs="Miriam" w:hint="cs"/>
          <w:color w:val="000000"/>
          <w:szCs w:val="22"/>
          <w:rtl/>
        </w:rPr>
        <w:t>איגוד הבנקים בישראל נ' שר התקשורת</w:t>
      </w:r>
      <w:r w:rsidRPr="004B3806">
        <w:rPr>
          <w:rFonts w:ascii="Times New Roman" w:hAnsi="Times New Roman" w:hint="cs"/>
          <w:color w:val="000000"/>
          <w:szCs w:val="22"/>
          <w:rtl/>
        </w:rPr>
        <w:t xml:space="preserve">, עמ' 12 לפסק דינה של השופטת חיות </w:t>
      </w:r>
      <w:r w:rsidRPr="004B3806">
        <w:rPr>
          <w:rFonts w:ascii="Times New Roman" w:hAnsi="Times New Roman" w:cs="David"/>
          <w:spacing w:val="0"/>
          <w:szCs w:val="22"/>
          <w:rtl/>
        </w:rPr>
        <w:t xml:space="preserve">[פורסם בנבו] </w:t>
      </w:r>
      <w:r w:rsidRPr="004B3806">
        <w:rPr>
          <w:rFonts w:ascii="Times New Roman" w:hAnsi="Times New Roman" w:hint="cs"/>
          <w:color w:val="000000"/>
          <w:szCs w:val="22"/>
          <w:rtl/>
        </w:rPr>
        <w:t xml:space="preserve">(25.3.2007); עופר </w:t>
      </w:r>
      <w:hyperlink r:id="rId274" w:history="1">
        <w:r w:rsidRPr="004B3806">
          <w:rPr>
            <w:rFonts w:ascii="Times New Roman" w:hAnsi="Times New Roman"/>
            <w:color w:val="0000FF"/>
            <w:szCs w:val="22"/>
            <w:u w:val="single"/>
            <w:rtl/>
          </w:rPr>
          <w:t xml:space="preserve">סיטבון "על בני אדם, תאגידים </w:t>
        </w:r>
      </w:hyperlink>
      <w:r w:rsidRPr="004B3806">
        <w:rPr>
          <w:rFonts w:ascii="Times New Roman" w:hAnsi="Times New Roman" w:hint="cs"/>
          <w:color w:val="000000"/>
          <w:szCs w:val="22"/>
          <w:rtl/>
        </w:rPr>
        <w:t xml:space="preserve"> ומה שביניהם" </w:t>
      </w:r>
      <w:r w:rsidRPr="004B3806">
        <w:rPr>
          <w:rFonts w:ascii="Times New Roman" w:hAnsi="Times New Roman" w:cs="Miriam" w:hint="cs"/>
          <w:color w:val="000000"/>
          <w:szCs w:val="22"/>
          <w:rtl/>
        </w:rPr>
        <w:t xml:space="preserve">קרית המשפט </w:t>
      </w:r>
      <w:r w:rsidRPr="004B3806">
        <w:rPr>
          <w:rFonts w:ascii="Times New Roman" w:hAnsi="Times New Roman" w:hint="cs"/>
          <w:color w:val="000000"/>
          <w:szCs w:val="22"/>
          <w:rtl/>
        </w:rPr>
        <w:t xml:space="preserve">ח 107 (2009)). </w:t>
      </w:r>
    </w:p>
    <w:p w:rsidR="005366A8" w:rsidRPr="00B75187" w:rsidRDefault="005366A8" w:rsidP="005366A8">
      <w:pPr>
        <w:pStyle w:val="Ruller41"/>
        <w:spacing w:after="60" w:line="240" w:lineRule="auto"/>
        <w:rPr>
          <w:rFonts w:ascii="Times New Roman" w:hAnsi="Times New Roman"/>
          <w:szCs w:val="22"/>
          <w:rtl/>
        </w:rPr>
      </w:pPr>
      <w:r w:rsidRPr="004B3806">
        <w:rPr>
          <w:rFonts w:ascii="Times New Roman" w:hAnsi="Times New Roman" w:hint="cs"/>
          <w:szCs w:val="22"/>
          <w:rtl/>
        </w:rPr>
        <w:tab/>
      </w:r>
      <w:r w:rsidRPr="004B3806">
        <w:rPr>
          <w:rFonts w:ascii="Times New Roman" w:hAnsi="Times New Roman" w:hint="cs"/>
          <w:szCs w:val="22"/>
          <w:highlight w:val="yellow"/>
          <w:rtl/>
        </w:rPr>
        <w:t xml:space="preserve">במקרה שלפנינו אין צורך להכריע בסוגיה העקרונית של היקף ההגנה החוקתית על הזכות לשוויון של תאגידים. הטעם לכך הוא שלפי השקפתי, אותה אפרט להלן, אין כאן כלל אפליה לרעה של איתנית. אגב, נדמה כי ניתן להציג מקרים בהם מימד האפליה או היעדר השוויון ביחס לתאגיד עשוי לדרוש דיון. אסתפק בשתי דוגמאות: האחת, </w:t>
      </w:r>
      <w:r w:rsidRPr="004B3806">
        <w:rPr>
          <w:rFonts w:ascii="Times New Roman" w:hAnsi="Times New Roman" w:hint="cs"/>
          <w:color w:val="000000"/>
          <w:szCs w:val="22"/>
          <w:highlight w:val="yellow"/>
          <w:rtl/>
        </w:rPr>
        <w:t xml:space="preserve">חוק שמטיל מיסוי שונה על חברה בבעלות ערבים לעומת חברה בבעלות יהודים. גם אם המדינה תטען שהמיסוי יחול על התאגיד ולא על היחיד, עדיין אין להימנע מדיון בסוגיה. מקרה כזה קל יותר משום שהגם והאפליה מכוונת לתאגידים - היא מבוססת על יסודות שקשורים לבשר ודם. הדוגמא השנייה, והיא הרלבנטית לענייננו, היא לגבי תאגיד שטוען שמס מסוים מוטל רק עליו ולא על אף תאגיד אחר בארץ. הטענה ברורה ובולטת, ועשויה לגרור דיון. </w:t>
      </w:r>
      <w:r w:rsidRPr="00C13566">
        <w:rPr>
          <w:rFonts w:ascii="Times New Roman" w:hAnsi="Times New Roman" w:hint="cs"/>
          <w:color w:val="000000"/>
          <w:szCs w:val="22"/>
          <w:rtl/>
        </w:rPr>
        <w:t>ברם הפגיעה, ככל שהיא קיימת, איננה בכבוד האדם בדמות החברה אלא בזכות הקניין</w:t>
      </w:r>
      <w:r w:rsidRPr="004B3806">
        <w:rPr>
          <w:rFonts w:ascii="Times New Roman" w:hAnsi="Times New Roman" w:hint="cs"/>
          <w:color w:val="000000"/>
          <w:szCs w:val="22"/>
          <w:highlight w:val="yellow"/>
          <w:rtl/>
        </w:rPr>
        <w:t>. העמדה לפיה פגיעה בכבוד האדם איננה תופסת לגבי תאגיד, איננה פוטרת את המדינה מחובתה להתמודד עם הטענה שהחוק פוגע בקניין, גם אם הפגיעה הנטענת נובעת מטענת אפליה. ברי כי דיון בפגיעה בקניין הינו דיון בעל אופי אחר מדיון אודות פגיעה ישירה בשוויון.</w:t>
      </w:r>
      <w:r w:rsidRPr="004B3806">
        <w:rPr>
          <w:rFonts w:ascii="Times New Roman" w:hAnsi="Times New Roman" w:hint="cs"/>
          <w:color w:val="000000"/>
          <w:szCs w:val="22"/>
          <w:rtl/>
        </w:rPr>
        <w:t xml:space="preserve"> להשלמת התמונה יובהר כי המדינה רשאית לצלוח את הטענה בדבר פגיעה בקניין בשני אופנים לפחות: האחד - שאין כלל פגיעה, והשני - שהפגיעה עומדת בתנאי פסקת ההגבלה. באשר לענייננו, </w:t>
      </w:r>
      <w:r w:rsidRPr="004B3806">
        <w:rPr>
          <w:rFonts w:ascii="Times New Roman" w:hAnsi="Times New Roman" w:hint="cs"/>
          <w:szCs w:val="22"/>
          <w:rtl/>
        </w:rPr>
        <w:t>דעתי היא כי תשובת המדינה בנקודה זו היא מספקת אפילו אם נניח שיש לתאגיד זכות חוקתית לשוויון, והוא המצב גם אם נבחן את חוסר השוויוניות תחת המטרייה של פגיעה בקניין.</w:t>
      </w:r>
    </w:p>
    <w:p w:rsidR="005366A8" w:rsidRPr="00B75187" w:rsidRDefault="005366A8" w:rsidP="005366A8">
      <w:pPr>
        <w:pStyle w:val="Ruller41"/>
        <w:spacing w:after="60" w:line="240" w:lineRule="auto"/>
        <w:rPr>
          <w:rFonts w:ascii="Times New Roman" w:hAnsi="Times New Roman"/>
          <w:szCs w:val="22"/>
          <w:rtl/>
        </w:rPr>
      </w:pPr>
      <w:r>
        <w:rPr>
          <w:rFonts w:ascii="Times New Roman" w:hAnsi="Times New Roman" w:hint="cs"/>
          <w:szCs w:val="22"/>
          <w:rtl/>
        </w:rPr>
        <w:t>18.</w:t>
      </w:r>
      <w:r>
        <w:rPr>
          <w:rFonts w:ascii="Times New Roman" w:hAnsi="Times New Roman" w:hint="cs"/>
          <w:szCs w:val="22"/>
          <w:rtl/>
        </w:rPr>
        <w:tab/>
      </w:r>
      <w:r w:rsidRPr="00B75187">
        <w:rPr>
          <w:rFonts w:ascii="Times New Roman" w:hAnsi="Times New Roman" w:hint="cs"/>
          <w:szCs w:val="22"/>
          <w:rtl/>
        </w:rPr>
        <w:t xml:space="preserve">בהיבט אחד, איתנית טוענת לאפליה משום שיהיה עליה לשאת בעלויות הסילוק של פסולת שמקורה ביבואני אסבסט שהשליכו פסולת אסבסט. כן יהיה עליה לשאת בעלויות סילוק במקום גורמים שרכשו ממנה במשך השנים מוצרי אסבסט-צמנט מוגמרים, השתמשו בהם ולבסוף השליכו אותם. כמובן יש לכך השלכות כלכליות. </w:t>
      </w:r>
    </w:p>
    <w:p w:rsidR="005366A8" w:rsidRPr="00B75187" w:rsidRDefault="005366A8" w:rsidP="005366A8">
      <w:pPr>
        <w:pStyle w:val="Ruller41"/>
        <w:spacing w:after="60" w:line="240" w:lineRule="auto"/>
        <w:rPr>
          <w:rFonts w:ascii="Times New Roman" w:hAnsi="Times New Roman"/>
          <w:szCs w:val="22"/>
          <w:rtl/>
        </w:rPr>
      </w:pPr>
      <w:r w:rsidRPr="00B75187">
        <w:rPr>
          <w:rFonts w:ascii="Times New Roman" w:hAnsi="Times New Roman" w:hint="cs"/>
          <w:szCs w:val="22"/>
          <w:rtl/>
        </w:rPr>
        <w:tab/>
        <w:t xml:space="preserve">אלא שדין טענות אלו להידחות, לאור עיון בלשון החוק. "אוכלוסיית הפסולת" שעליה חל סעיף 74 היא פסולת תעשייתית שמקורה בתהליכי העבודה במפעל של איתנית. הגדרה זו ממעטת שני סוגי פסולת: </w:t>
      </w:r>
      <w:r w:rsidRPr="00B75187">
        <w:rPr>
          <w:rFonts w:ascii="Times New Roman" w:hAnsi="Times New Roman" w:cs="Miriam" w:hint="cs"/>
          <w:szCs w:val="22"/>
          <w:rtl/>
        </w:rPr>
        <w:t>(1)</w:t>
      </w:r>
      <w:r w:rsidRPr="00B75187">
        <w:rPr>
          <w:rFonts w:ascii="Times New Roman" w:hAnsi="Times New Roman" w:hint="cs"/>
          <w:szCs w:val="22"/>
          <w:rtl/>
        </w:rPr>
        <w:t xml:space="preserve"> מוצרי אסבסט-צמנט מוגמרים - כגון צינורות ולוחות - שהועברו למשתמשי קצה ולאחר זמן פורקו, הושלכו ונהפכו בהדרגה לפסולת ("החריג הראשון"). </w:t>
      </w:r>
      <w:r w:rsidRPr="00B75187">
        <w:rPr>
          <w:rFonts w:ascii="Times New Roman" w:hAnsi="Times New Roman" w:cs="Miriam" w:hint="cs"/>
          <w:szCs w:val="22"/>
          <w:rtl/>
        </w:rPr>
        <w:t xml:space="preserve">(2) </w:t>
      </w:r>
      <w:r w:rsidRPr="00B75187">
        <w:rPr>
          <w:rFonts w:ascii="Times New Roman" w:hAnsi="Times New Roman" w:hint="cs"/>
          <w:szCs w:val="22"/>
          <w:rtl/>
        </w:rPr>
        <w:t xml:space="preserve">פסולת אסבסט שמקורה בתהליכי ייצור של גורמים אחרים, שאינם איתנית ("החריג השני"). שני חריגים אלו אינם נכנסים ל"אוכלוסיית הפסולת" שעליה חל סעיף 74. </w:t>
      </w:r>
    </w:p>
    <w:p w:rsidR="005366A8" w:rsidRPr="00B75187" w:rsidRDefault="005366A8" w:rsidP="005366A8">
      <w:pPr>
        <w:pStyle w:val="Ruller41"/>
        <w:spacing w:after="60" w:line="240" w:lineRule="auto"/>
        <w:rPr>
          <w:rFonts w:ascii="Times New Roman" w:hAnsi="Times New Roman" w:cs="Miriam"/>
          <w:szCs w:val="22"/>
          <w:rtl/>
        </w:rPr>
      </w:pPr>
      <w:r w:rsidRPr="00B75187">
        <w:rPr>
          <w:rFonts w:ascii="Times New Roman" w:hAnsi="Times New Roman" w:hint="cs"/>
          <w:szCs w:val="22"/>
          <w:rtl/>
        </w:rPr>
        <w:tab/>
        <w:t xml:space="preserve">ויובהר: מהחומר עולה כי גורמי המקצוע יכולים להבחין בנקל בין פסולת אסבסט שמקורה בתהליכי ייצור, לבין מוצרי אסבסט-צמנט מוגמרים שהושלכו לאחר שימוש (זהו החריג הראשון). </w:t>
      </w:r>
      <w:r>
        <w:rPr>
          <w:rFonts w:ascii="Times New Roman" w:hAnsi="Times New Roman" w:hint="cs"/>
          <w:szCs w:val="22"/>
          <w:rtl/>
        </w:rPr>
        <w:t>[...]</w:t>
      </w:r>
    </w:p>
    <w:p w:rsidR="005366A8" w:rsidRPr="00B75187" w:rsidRDefault="005366A8" w:rsidP="005366A8">
      <w:pPr>
        <w:pStyle w:val="Ruller41"/>
        <w:spacing w:after="60" w:line="240" w:lineRule="auto"/>
        <w:rPr>
          <w:rFonts w:ascii="Times New Roman" w:hAnsi="Times New Roman"/>
          <w:szCs w:val="22"/>
          <w:rtl/>
        </w:rPr>
      </w:pPr>
      <w:r w:rsidRPr="00B75187">
        <w:rPr>
          <w:rFonts w:ascii="Times New Roman" w:hAnsi="Times New Roman" w:cs="Miriam" w:hint="cs"/>
          <w:szCs w:val="22"/>
          <w:rtl/>
        </w:rPr>
        <w:tab/>
      </w:r>
      <w:r w:rsidRPr="00C13566">
        <w:rPr>
          <w:rFonts w:ascii="Times New Roman" w:hAnsi="Times New Roman" w:hint="cs"/>
          <w:szCs w:val="22"/>
          <w:highlight w:val="yellow"/>
          <w:rtl/>
        </w:rPr>
        <w:t>הצטברות האינדיקציות הללו, יחד עם האמור לעיל אודות טיב הפסולת ושיטתיות הסילוק - מלמדים, להשקפתי, כי קמה מעין "חזקת הטמנה" נגד איתנית בהקשר של סעיף 74: חזקה שפסולת אסבסט בעלת סימני היכר אופייניים, שהוטמנה בטכניקות שיטתיות ובאופן מסודר, והכל בשטח מצומצם ומוגדר הסמוך למפעל - יצאה ממפעלה של איתנית</w:t>
      </w:r>
      <w:r w:rsidRPr="00B75187">
        <w:rPr>
          <w:rFonts w:ascii="Times New Roman" w:hAnsi="Times New Roman" w:hint="cs"/>
          <w:szCs w:val="22"/>
          <w:rtl/>
        </w:rPr>
        <w:t xml:space="preserve">. בל נשכח: </w:t>
      </w:r>
      <w:r w:rsidRPr="00C13566">
        <w:rPr>
          <w:rFonts w:ascii="Times New Roman" w:hAnsi="Times New Roman" w:hint="cs"/>
          <w:szCs w:val="22"/>
          <w:highlight w:val="yellow"/>
          <w:rtl/>
        </w:rPr>
        <w:t>זו איננה חזקה חלוטה, והיא ניתנת לסתירה. הלוא המחוקק קבע כי לאיתנית שמורה הזכות לטעון לפני השר, לגבי אזורים קונקרטיים, שהפסולת שם לא הגיעה ממפעלה (לפי ההסמכה שבסעיף 74(ד) לחוק</w:t>
      </w:r>
      <w:r w:rsidRPr="00B75187">
        <w:rPr>
          <w:rFonts w:ascii="Times New Roman" w:hAnsi="Times New Roman" w:hint="cs"/>
          <w:szCs w:val="22"/>
          <w:rtl/>
        </w:rPr>
        <w:t>, ובהתאם להוראות שהוציא השר - ראו לעיל בסעיף 5, והצהרת בא כוח המדינה בדבר תוכן ההשגה ופרשנות ההוראה הרלבנטית - עמ' 9 שורה 28 לפרוטוקול).</w:t>
      </w:r>
    </w:p>
    <w:p w:rsidR="005366A8" w:rsidRPr="004B0D72" w:rsidRDefault="005366A8" w:rsidP="005366A8">
      <w:pPr>
        <w:spacing w:after="60"/>
        <w:rPr>
          <w:rFonts w:cs="FrankRuehl"/>
          <w:sz w:val="22"/>
          <w:szCs w:val="22"/>
          <w:rtl/>
        </w:rPr>
      </w:pPr>
      <w:r w:rsidRPr="00B75187">
        <w:rPr>
          <w:rFonts w:cs="FrankRuehl" w:hint="cs"/>
          <w:sz w:val="22"/>
          <w:szCs w:val="22"/>
          <w:rtl/>
        </w:rPr>
        <w:tab/>
      </w:r>
      <w:r w:rsidRPr="00C13566">
        <w:rPr>
          <w:rFonts w:cs="FrankRuehl" w:hint="cs"/>
          <w:sz w:val="22"/>
          <w:szCs w:val="22"/>
          <w:highlight w:val="yellow"/>
          <w:rtl/>
        </w:rPr>
        <w:t>סיכומו של דבר, החוק מחייב את איתנית לשאת רק בעלויות הסילוק של פסולת תעשייתית שמקורה בתהליכי העבודה במפעל שלה. טענותיה של איתנית במישור זה לא יכולות להיות מופנות כלפי המחוקק, אשר קבע במפורש כי האחריות של איתנית מוגבלת רק לפסולת שלה. הטענות יהיו רלבנטיות לכל היותר במישור המנהלי, אם וכאשר יתעוררו ספקות בהפעלת החוק, כאמור לעיל, ולא במישור החוקתי המובהק שבו עסקינן כאן</w:t>
      </w:r>
      <w:r w:rsidRPr="00B75187">
        <w:rPr>
          <w:rFonts w:cs="FrankRuehl" w:hint="cs"/>
          <w:sz w:val="22"/>
          <w:szCs w:val="22"/>
          <w:rtl/>
        </w:rPr>
        <w:t>.</w:t>
      </w:r>
    </w:p>
    <w:p w:rsidR="005366A8" w:rsidRPr="004B0D72" w:rsidRDefault="005366A8" w:rsidP="005366A8">
      <w:pPr>
        <w:pStyle w:val="Ruller41"/>
        <w:spacing w:after="60" w:line="240" w:lineRule="auto"/>
        <w:rPr>
          <w:rFonts w:ascii="Times New Roman" w:hAnsi="Times New Roman"/>
          <w:szCs w:val="22"/>
          <w:rtl/>
        </w:rPr>
      </w:pPr>
      <w:r>
        <w:rPr>
          <w:rFonts w:ascii="Times New Roman" w:hAnsi="Times New Roman" w:hint="cs"/>
          <w:szCs w:val="22"/>
          <w:rtl/>
        </w:rPr>
        <w:t>19.</w:t>
      </w:r>
      <w:r>
        <w:rPr>
          <w:rFonts w:ascii="Times New Roman" w:hAnsi="Times New Roman" w:hint="cs"/>
          <w:szCs w:val="22"/>
          <w:rtl/>
        </w:rPr>
        <w:tab/>
      </w:r>
      <w:r w:rsidRPr="004B0D72">
        <w:rPr>
          <w:rFonts w:ascii="Times New Roman" w:hAnsi="Times New Roman" w:hint="cs"/>
          <w:szCs w:val="22"/>
          <w:rtl/>
        </w:rPr>
        <w:t xml:space="preserve">טענה מורכבת יותר היא ביחס למשתמשי הקצה, שקיבלו מאיתנית פסולת אסבסט והשתמשו בה לחיפוי קרקע. מבחינה אנליטית, טענתה של איתנית היא כפולה: ברובד אחד, היא צריכה לשלם בעוד שמשתמשי הקצה הופטרו מתשלום ישיר. ברובד נוסף, היא צריכה לשלם על פסולת שממנה נהנו גם משתמשי הקצה. בעיניי, התשובות לשאלה הראשונה פותרות למעשה גם את הקושי שמציבה השאלה השנייה. </w:t>
      </w:r>
      <w:r w:rsidRPr="004B0D72">
        <w:rPr>
          <w:rFonts w:ascii="Times New Roman" w:hAnsi="Times New Roman" w:hint="cs"/>
          <w:szCs w:val="22"/>
          <w:highlight w:val="yellow"/>
          <w:rtl/>
        </w:rPr>
        <w:t xml:space="preserve">הנקודה העיקרית היא שיש שוני רלבנטי אשר מצדיק הבחנה בין משתמשי הקצה, שלא חויבו ישירות לשאת בעלות, לבין איתנית. יש לזכור כי </w:t>
      </w:r>
      <w:r w:rsidRPr="004B0D72">
        <w:rPr>
          <w:rFonts w:ascii="Times New Roman" w:hAnsi="Times New Roman" w:hint="cs"/>
          <w:color w:val="000000"/>
          <w:szCs w:val="22"/>
          <w:highlight w:val="yellow"/>
          <w:rtl/>
        </w:rPr>
        <w:t>לא כל הבחנה מהווה הפליה אסורה; הבחנה מוצדקת, שמתבססת על שוני רלבנטי, בדרך כלל לא תיחשב להפליה אסורה</w:t>
      </w:r>
      <w:r w:rsidRPr="004B0D72">
        <w:rPr>
          <w:rFonts w:ascii="Times New Roman" w:hAnsi="Times New Roman" w:hint="cs"/>
          <w:color w:val="000000"/>
          <w:szCs w:val="22"/>
          <w:rtl/>
        </w:rPr>
        <w:t xml:space="preserve"> (ראו למשל עניין </w:t>
      </w:r>
      <w:r w:rsidRPr="004B0D72">
        <w:rPr>
          <w:rFonts w:ascii="Times New Roman" w:hAnsi="Times New Roman" w:cs="Miriam" w:hint="cs"/>
          <w:color w:val="000000"/>
          <w:szCs w:val="22"/>
          <w:rtl/>
        </w:rPr>
        <w:t>לה"ב</w:t>
      </w:r>
      <w:r w:rsidRPr="004B0D72">
        <w:rPr>
          <w:rFonts w:ascii="Times New Roman" w:hAnsi="Times New Roman" w:hint="cs"/>
          <w:color w:val="000000"/>
          <w:szCs w:val="22"/>
          <w:rtl/>
        </w:rPr>
        <w:t xml:space="preserve">, פסקה 77; </w:t>
      </w:r>
      <w:hyperlink r:id="rId275" w:history="1">
        <w:r w:rsidRPr="004B0D72">
          <w:rPr>
            <w:rFonts w:ascii="Times New Roman" w:hAnsi="Times New Roman"/>
            <w:color w:val="0000FF"/>
            <w:szCs w:val="22"/>
            <w:u w:val="single"/>
            <w:rtl/>
          </w:rPr>
          <w:t>בג"ץ 10203/03</w:t>
        </w:r>
      </w:hyperlink>
      <w:r w:rsidRPr="004B0D72">
        <w:rPr>
          <w:rFonts w:ascii="Times New Roman" w:hAnsi="Times New Roman" w:hint="cs"/>
          <w:color w:val="000000"/>
          <w:szCs w:val="22"/>
          <w:rtl/>
        </w:rPr>
        <w:t xml:space="preserve"> </w:t>
      </w:r>
      <w:r w:rsidRPr="004B0D72">
        <w:rPr>
          <w:rFonts w:ascii="Times New Roman" w:hAnsi="Times New Roman" w:cs="Miriam" w:hint="cs"/>
          <w:color w:val="000000"/>
          <w:szCs w:val="22"/>
          <w:rtl/>
        </w:rPr>
        <w:t>המפקד הלאומי בע"מ נ' היועץ המשפטי לממשלה</w:t>
      </w:r>
      <w:r w:rsidRPr="004B0D72">
        <w:rPr>
          <w:rFonts w:ascii="Times New Roman" w:hAnsi="Times New Roman" w:hint="cs"/>
          <w:color w:val="000000"/>
          <w:szCs w:val="22"/>
          <w:rtl/>
        </w:rPr>
        <w:t xml:space="preserve">, פסקה 53 לפסק דינה של השופטת פרוקצ'יה </w:t>
      </w:r>
      <w:r w:rsidRPr="004B0D72">
        <w:rPr>
          <w:rFonts w:ascii="Times New Roman" w:hAnsi="Times New Roman" w:cs="David"/>
          <w:spacing w:val="0"/>
          <w:szCs w:val="22"/>
          <w:rtl/>
        </w:rPr>
        <w:t xml:space="preserve">[פורסם בנבו] </w:t>
      </w:r>
      <w:r w:rsidRPr="004B0D72">
        <w:rPr>
          <w:rFonts w:ascii="Times New Roman" w:hAnsi="Times New Roman" w:hint="cs"/>
          <w:color w:val="000000"/>
          <w:szCs w:val="22"/>
          <w:rtl/>
        </w:rPr>
        <w:t xml:space="preserve">(20.8.2008)). </w:t>
      </w:r>
      <w:r w:rsidRPr="004B0D72">
        <w:rPr>
          <w:rFonts w:ascii="Times New Roman" w:hAnsi="Times New Roman" w:hint="cs"/>
          <w:szCs w:val="22"/>
          <w:highlight w:val="yellow"/>
          <w:rtl/>
        </w:rPr>
        <w:t xml:space="preserve">לטעמי, יש שלושה הבדלים בין איתנית לבין משתמשי הקצה: מבחן הידע, מבחן השליטה ומבחן הרווח. כל אחד מהם כשלעצמו, לא כל שכן הצטברותם יחד, יוצרים </w:t>
      </w:r>
      <w:r w:rsidRPr="004B0D72">
        <w:rPr>
          <w:rFonts w:ascii="Times New Roman" w:hAnsi="Times New Roman" w:hint="cs"/>
          <w:color w:val="000000"/>
          <w:szCs w:val="22"/>
          <w:highlight w:val="yellow"/>
          <w:rtl/>
        </w:rPr>
        <w:t>שוני רלבנטי שמייחד את איתנית לעומת משתמשי הקצה, שמצדיק את ההבחנה ביניהם – על שני רבדיה.</w:t>
      </w:r>
      <w:r w:rsidRPr="004B0D72">
        <w:rPr>
          <w:rFonts w:ascii="Times New Roman" w:hAnsi="Times New Roman" w:hint="cs"/>
          <w:color w:val="000000"/>
          <w:szCs w:val="22"/>
          <w:rtl/>
        </w:rPr>
        <w:t xml:space="preserve"> </w:t>
      </w:r>
    </w:p>
    <w:p w:rsidR="005366A8" w:rsidRDefault="005366A8" w:rsidP="005366A8">
      <w:pPr>
        <w:pStyle w:val="Ruller41"/>
        <w:spacing w:after="60" w:line="240" w:lineRule="auto"/>
        <w:rPr>
          <w:rFonts w:ascii="Times New Roman" w:hAnsi="Times New Roman"/>
          <w:szCs w:val="22"/>
          <w:rtl/>
        </w:rPr>
      </w:pPr>
      <w:r w:rsidRPr="004B0D72">
        <w:rPr>
          <w:rFonts w:ascii="Times New Roman" w:hAnsi="Times New Roman" w:hint="cs"/>
          <w:szCs w:val="22"/>
          <w:rtl/>
        </w:rPr>
        <w:tab/>
        <w:t xml:space="preserve">ראשית, מהחומר עולה כי בתקופה הרלבנטית היה לאיתנית </w:t>
      </w:r>
      <w:r w:rsidRPr="004B0D72">
        <w:rPr>
          <w:rFonts w:ascii="Times New Roman" w:hAnsi="Times New Roman" w:hint="cs"/>
          <w:szCs w:val="22"/>
          <w:highlight w:val="yellow"/>
          <w:rtl/>
        </w:rPr>
        <w:t>יתרון מידע בולט על פני משתמשי הקצה</w:t>
      </w:r>
      <w:r w:rsidRPr="004B0D72">
        <w:rPr>
          <w:rFonts w:ascii="Times New Roman" w:hAnsi="Times New Roman" w:hint="cs"/>
          <w:szCs w:val="22"/>
          <w:rtl/>
        </w:rPr>
        <w:t xml:space="preserve">. יתרון זה בא לידי ביטוי, בעיקר, בהבנה המדעית שהייתה מצויה - או צריכה הייתה להיות מצויה - אצל איתנית כבר באותה עת, בדבר פוטנציאל הסיכון הבריאותי שיש בפסולת האסבסט. ודוק: אין הכוונה להטיל אשמה על איתנית, במישור הנזיקי או הפלילי. אדרבה, ההנחה הינה שהיא חייבת לשלם מכוח אחריות חמורה ולא על בסיס קביעה שהיא הפרה חובת זהירות. ואולם המיקוד הוא במודעות איתנית לפוטנציאל של הסיכון הטמון באסבסט, וזאת ביחס לגורמים אחרים - משתמשי הקצה, שאליהם היא מבקשת להידמות. הרלבנטיות של נושא המודעות תידון גם בהמשך. </w:t>
      </w:r>
      <w:r>
        <w:rPr>
          <w:rFonts w:ascii="Times New Roman" w:hAnsi="Times New Roman" w:hint="cs"/>
          <w:szCs w:val="22"/>
          <w:rtl/>
        </w:rPr>
        <w:t>[...]</w:t>
      </w:r>
    </w:p>
    <w:p w:rsidR="005366A8" w:rsidRPr="004B0D72" w:rsidRDefault="005366A8" w:rsidP="005366A8">
      <w:pPr>
        <w:pStyle w:val="Ruller41"/>
        <w:spacing w:after="60" w:line="240" w:lineRule="auto"/>
        <w:rPr>
          <w:szCs w:val="22"/>
          <w:rtl/>
        </w:rPr>
      </w:pPr>
      <w:r>
        <w:rPr>
          <w:rFonts w:hint="cs"/>
          <w:szCs w:val="22"/>
          <w:rtl/>
        </w:rPr>
        <w:tab/>
      </w:r>
      <w:r w:rsidRPr="004B0D72">
        <w:rPr>
          <w:rFonts w:hint="cs"/>
          <w:szCs w:val="22"/>
          <w:rtl/>
        </w:rPr>
        <w:t xml:space="preserve">על דרך ההיקש, בדיני נזיקין יש משקל לא מבוטל לקיומם של פערי מידע בין צדדים. כך, למשל, חובת הגילוי של רופא למטופל יונקת את שורשיה מן ההנחה שבין הצדדים קיימים פערי מידע מובהקים, הגם שעומקם ורוחבם משתנים ממקרה למקרה (ראו לעניין זה: </w:t>
      </w:r>
      <w:hyperlink r:id="rId276" w:history="1">
        <w:r w:rsidRPr="004B0D72">
          <w:rPr>
            <w:rStyle w:val="Hyperlink"/>
            <w:szCs w:val="22"/>
            <w:rtl/>
          </w:rPr>
          <w:t>ע"א 2342/09</w:t>
        </w:r>
      </w:hyperlink>
      <w:r w:rsidRPr="004B0D72">
        <w:rPr>
          <w:rFonts w:hint="cs"/>
          <w:szCs w:val="22"/>
          <w:rtl/>
        </w:rPr>
        <w:t xml:space="preserve"> ג'ובראן נ' בית החולים משגב לדך </w:t>
      </w:r>
      <w:r w:rsidRPr="004B0D72">
        <w:rPr>
          <w:szCs w:val="22"/>
          <w:rtl/>
        </w:rPr>
        <w:t xml:space="preserve">[פורסם בנבו] </w:t>
      </w:r>
      <w:r w:rsidRPr="004B0D72">
        <w:rPr>
          <w:rFonts w:hint="cs"/>
          <w:szCs w:val="22"/>
          <w:rtl/>
        </w:rPr>
        <w:t>(6.4.2011)). באופן דומה, היקף חובת הזהירות של סוכן הביטוח למול הלקוח תלוי, בין היתר, בשאלה האם מדובר בעניין שיש בו פערי מידע בין הלקוח לבין סוכן הביטוח או המבטח (</w:t>
      </w:r>
      <w:hyperlink r:id="rId277" w:history="1">
        <w:r w:rsidRPr="004B0D72">
          <w:rPr>
            <w:rStyle w:val="Hyperlink"/>
            <w:szCs w:val="22"/>
            <w:rtl/>
          </w:rPr>
          <w:t>רע"א 5695/06</w:t>
        </w:r>
      </w:hyperlink>
      <w:r w:rsidRPr="004B0D72">
        <w:rPr>
          <w:rFonts w:hint="cs"/>
          <w:szCs w:val="22"/>
          <w:rtl/>
        </w:rPr>
        <w:t xml:space="preserve"> סייף נ' מרעי, פסקה 14 </w:t>
      </w:r>
      <w:r w:rsidRPr="004B0D72">
        <w:rPr>
          <w:szCs w:val="22"/>
          <w:rtl/>
        </w:rPr>
        <w:t xml:space="preserve">[פורסם בנבו] </w:t>
      </w:r>
      <w:r w:rsidRPr="004B0D72">
        <w:rPr>
          <w:rFonts w:hint="cs"/>
          <w:szCs w:val="22"/>
          <w:rtl/>
        </w:rPr>
        <w:t xml:space="preserve">(21.9.2009)). </w:t>
      </w:r>
    </w:p>
    <w:p w:rsidR="005366A8" w:rsidRDefault="005366A8" w:rsidP="005366A8">
      <w:pPr>
        <w:pStyle w:val="Ruller41"/>
        <w:spacing w:after="60" w:line="240" w:lineRule="auto"/>
        <w:rPr>
          <w:rFonts w:ascii="Times New Roman" w:hAnsi="Times New Roman"/>
          <w:szCs w:val="22"/>
          <w:rtl/>
        </w:rPr>
      </w:pPr>
      <w:r w:rsidRPr="004B0D72">
        <w:rPr>
          <w:rFonts w:ascii="Times New Roman" w:hAnsi="Times New Roman" w:hint="cs"/>
          <w:szCs w:val="22"/>
          <w:rtl/>
        </w:rPr>
        <w:tab/>
        <w:t xml:space="preserve">לאמיתו של דבר, השיקול בדבר פערי המידע בין איתנית למשתמשי הקצה איננו אלא חלק ממכלול רחב יותר. </w:t>
      </w:r>
      <w:r w:rsidRPr="0016291D">
        <w:rPr>
          <w:rFonts w:ascii="Times New Roman" w:hAnsi="Times New Roman" w:hint="cs"/>
          <w:szCs w:val="22"/>
          <w:highlight w:val="yellow"/>
          <w:rtl/>
        </w:rPr>
        <w:t>איתנית נבדלת ממשתמשי הקצה בכך שהמוצרים והפסולת יצאו מן המפעל שבבעלותה. עובדה זו מצביעה על השוני המהותי בינה לבין אותם משתמשי קצה: איתנית היא היצרנית של הפסולת. משתמשי הקצה היו לקוחותיה</w:t>
      </w:r>
      <w:r w:rsidRPr="004B0D72">
        <w:rPr>
          <w:rFonts w:ascii="Times New Roman" w:hAnsi="Times New Roman" w:hint="cs"/>
          <w:szCs w:val="22"/>
          <w:rtl/>
        </w:rPr>
        <w:t>. מדובר בשתי קבוצות אוכלוסיה שונות, שההבחנה ביניהן מתבקשת.</w:t>
      </w:r>
      <w:r>
        <w:rPr>
          <w:rFonts w:ascii="Times New Roman" w:hAnsi="Times New Roman" w:hint="cs"/>
          <w:szCs w:val="22"/>
          <w:rtl/>
        </w:rPr>
        <w:t xml:space="preserve"> [...]</w:t>
      </w:r>
    </w:p>
    <w:p w:rsidR="005366A8" w:rsidRPr="004B0D72" w:rsidRDefault="005366A8" w:rsidP="005366A8">
      <w:pPr>
        <w:pStyle w:val="Ruller41"/>
        <w:spacing w:after="60" w:line="240" w:lineRule="auto"/>
        <w:rPr>
          <w:szCs w:val="22"/>
          <w:rtl/>
        </w:rPr>
      </w:pPr>
      <w:r>
        <w:rPr>
          <w:rFonts w:hint="cs"/>
          <w:szCs w:val="22"/>
          <w:rtl/>
        </w:rPr>
        <w:tab/>
      </w:r>
      <w:r w:rsidRPr="004B0D72">
        <w:rPr>
          <w:rFonts w:hint="cs"/>
          <w:szCs w:val="22"/>
          <w:rtl/>
        </w:rPr>
        <w:t xml:space="preserve">על פי הגישה הכלכלית למשפט, ברי כי איתנית ומשתמשי הקצה אינם באותו מעמד. זאת כנגזרת </w:t>
      </w:r>
      <w:r w:rsidRPr="004B0D72">
        <w:rPr>
          <w:rFonts w:hint="cs"/>
          <w:szCs w:val="22"/>
          <w:highlight w:val="yellow"/>
          <w:rtl/>
        </w:rPr>
        <w:t>ממבחן הרווח</w:t>
      </w:r>
      <w:r w:rsidRPr="004B0D72">
        <w:rPr>
          <w:rFonts w:hint="cs"/>
          <w:szCs w:val="22"/>
          <w:rtl/>
        </w:rPr>
        <w:t>. כפי שעולה מהפסיקה בחוץ לארץ, ובמיוחד מהפסיקה האמריקאית, נמצא צידוק לחיוב החברה המייצרת אסבסט לשאת בעלויות סילוק הפסולת בשל היותה יצרנית. היא, יותר מכל גורם אחר, הרוויחה מהפעולות שהביאו ליצירת המפגע המזהם. שיקול זה איננו רלבנטי רק מנקודת מבט כלכלית, אשר עשויה להצדיק את העברת הנטל הכספי להסרת המפגע אל כתפי היצרן, אלא גם מטעמי צדק והגינות. בראייה זו, לא מדובר באפליה נגד העותרת אלא דווקא בהשגת תכלית החוק - "המזהם משלם". לנקודה זו נחזור כאשר נבחן את שאלת התכלית הראויה שהינה, כידוע, אחר מהמבחנים של סעיף 8 ל</w:t>
      </w:r>
      <w:hyperlink r:id="rId278" w:history="1">
        <w:r w:rsidRPr="004B0D72">
          <w:rPr>
            <w:rStyle w:val="Hyperlink"/>
            <w:szCs w:val="22"/>
            <w:rtl/>
          </w:rPr>
          <w:t>חוק יסוד: כבוד האדם וחירותו</w:t>
        </w:r>
      </w:hyperlink>
      <w:r w:rsidRPr="004B0D72">
        <w:rPr>
          <w:rFonts w:hint="cs"/>
          <w:szCs w:val="22"/>
          <w:rtl/>
        </w:rPr>
        <w:t>.</w:t>
      </w:r>
    </w:p>
    <w:p w:rsidR="005366A8" w:rsidRPr="00221AC3" w:rsidRDefault="005366A8" w:rsidP="005366A8">
      <w:pPr>
        <w:pStyle w:val="Ruller41"/>
        <w:spacing w:after="60" w:line="240" w:lineRule="auto"/>
        <w:rPr>
          <w:rFonts w:ascii="Times New Roman" w:hAnsi="Times New Roman"/>
          <w:szCs w:val="22"/>
          <w:rtl/>
        </w:rPr>
      </w:pPr>
      <w:r w:rsidRPr="004B0D72">
        <w:rPr>
          <w:rFonts w:ascii="Times New Roman" w:hAnsi="Times New Roman" w:hint="cs"/>
          <w:szCs w:val="22"/>
          <w:rtl/>
        </w:rPr>
        <w:tab/>
      </w:r>
      <w:r w:rsidRPr="004B0D72">
        <w:rPr>
          <w:rFonts w:ascii="Times New Roman" w:hAnsi="Times New Roman" w:hint="cs"/>
          <w:szCs w:val="22"/>
          <w:highlight w:val="yellow"/>
          <w:rtl/>
        </w:rPr>
        <w:t>סיכומה של נקודה זו: בין איתנית לבין משתמשי הקצה היו קיימים פערי מידע, הן בפועל והן בכוח. יתירה מזאת, יש הבחנה ברורה בין איתנית - שהיא היצרן, לבין משתמשי הקצה. שוני זה משקף את ההבדל בין שני הגורמים במבחן השליטה, כמו גם במבחן הרווח. השילוב של כל אלו - ידע, שליטה ורווח - מקים, להשקפתי, שוני רלבנטי בין איתנית לבין משתמשי הקצה. מכיוון שכך, אינני סבור כי איתנית הופלתה לרעה לעומת משתמשי הקצה, כאשר הוטל עליה להשתתף במימון עד למחצית מהפרויקט לסילוק הפסולת</w:t>
      </w:r>
      <w:r w:rsidRPr="004B0D72">
        <w:rPr>
          <w:rFonts w:ascii="Times New Roman" w:hAnsi="Times New Roman" w:hint="cs"/>
          <w:szCs w:val="22"/>
          <w:rtl/>
        </w:rPr>
        <w:t>.</w:t>
      </w:r>
      <w:r>
        <w:rPr>
          <w:rFonts w:ascii="Times New Roman" w:hAnsi="Times New Roman" w:hint="cs"/>
          <w:szCs w:val="22"/>
          <w:rtl/>
        </w:rPr>
        <w:t xml:space="preserve"> [...]</w:t>
      </w:r>
    </w:p>
    <w:p w:rsidR="005366A8" w:rsidRPr="00221AC3" w:rsidRDefault="005366A8" w:rsidP="005366A8">
      <w:pPr>
        <w:pStyle w:val="Ruller41"/>
        <w:spacing w:after="60" w:line="240" w:lineRule="auto"/>
        <w:rPr>
          <w:rFonts w:ascii="Times New Roman" w:hAnsi="Times New Roman"/>
          <w:szCs w:val="22"/>
          <w:rtl/>
        </w:rPr>
      </w:pPr>
      <w:r>
        <w:rPr>
          <w:rFonts w:ascii="Times New Roman" w:hAnsi="Times New Roman" w:hint="cs"/>
          <w:szCs w:val="22"/>
          <w:rtl/>
        </w:rPr>
        <w:t>22.</w:t>
      </w:r>
      <w:r>
        <w:rPr>
          <w:rFonts w:ascii="Times New Roman" w:hAnsi="Times New Roman" w:hint="cs"/>
          <w:szCs w:val="22"/>
          <w:rtl/>
        </w:rPr>
        <w:tab/>
      </w:r>
      <w:r w:rsidRPr="00221AC3">
        <w:rPr>
          <w:rFonts w:ascii="Times New Roman" w:hAnsi="Times New Roman" w:hint="cs"/>
          <w:szCs w:val="22"/>
          <w:rtl/>
        </w:rPr>
        <w:t>לסיכום חלק זה, מקובלת עלי טענת איתנית כי סעיף 74 פוגע בזכות הקניין שלה. אולם לדעתי יש לדחות את טענת איתנית לפגיעה בזכותה לשוויון, כזכות עצמאית או כחלק מהזכות לקניין, וזאת מן הטעמים שפירטתי לעיל. על בסיס מסקנות אלו אעבור לבחון את השאלה האם הפגיעה בזכות הקניין של איתנית עומדת בתנאי פסקת ההגבלה לפי סעיף 8 ל</w:t>
      </w:r>
      <w:hyperlink r:id="rId279" w:history="1">
        <w:r w:rsidRPr="00221AC3">
          <w:rPr>
            <w:rFonts w:ascii="Times New Roman" w:hAnsi="Times New Roman"/>
            <w:color w:val="0000FF"/>
            <w:szCs w:val="22"/>
            <w:u w:val="single"/>
            <w:rtl/>
          </w:rPr>
          <w:t>חוק יסוד: כבוד האדם וחירותו</w:t>
        </w:r>
      </w:hyperlink>
      <w:r w:rsidRPr="00221AC3">
        <w:rPr>
          <w:rFonts w:ascii="Times New Roman" w:hAnsi="Times New Roman" w:hint="cs"/>
          <w:szCs w:val="22"/>
          <w:rtl/>
        </w:rPr>
        <w:t xml:space="preserve">, שכותרתו "פגיעה בזכויות": </w:t>
      </w:r>
    </w:p>
    <w:p w:rsidR="005366A8" w:rsidRPr="00221AC3" w:rsidRDefault="005366A8" w:rsidP="005366A8">
      <w:pPr>
        <w:pStyle w:val="Ruller41"/>
        <w:spacing w:after="60" w:line="240" w:lineRule="auto"/>
        <w:ind w:left="720" w:right="567"/>
        <w:rPr>
          <w:rFonts w:ascii="Times New Roman" w:hAnsi="Times New Roman" w:cs="David"/>
          <w:sz w:val="20"/>
          <w:szCs w:val="20"/>
          <w:rtl/>
        </w:rPr>
      </w:pPr>
      <w:r w:rsidRPr="00221AC3">
        <w:rPr>
          <w:rFonts w:cs="David" w:hint="cs"/>
          <w:sz w:val="20"/>
          <w:szCs w:val="20"/>
          <w:rtl/>
        </w:rPr>
        <w:t>אין פוגעים בזכויות שלפי חוק-יסוד זה אלא בחוק ההולם את ערכיה של מדינת ישראל, שנועד לתכלית ראויה, ובמידה שאינה עולה על הנדרש, או לפי חוק כאמור מכוח הסמכה מפורשת בו.</w:t>
      </w:r>
      <w:r w:rsidRPr="00221AC3">
        <w:rPr>
          <w:rFonts w:ascii="Times New Roman" w:hAnsi="Times New Roman" w:cs="David" w:hint="cs"/>
          <w:sz w:val="20"/>
          <w:szCs w:val="20"/>
          <w:rtl/>
        </w:rPr>
        <w:t xml:space="preserve"> </w:t>
      </w:r>
    </w:p>
    <w:p w:rsidR="005366A8" w:rsidRPr="00221AC3" w:rsidRDefault="005366A8" w:rsidP="005366A8">
      <w:pPr>
        <w:pStyle w:val="Ruller41"/>
        <w:spacing w:after="60" w:line="240" w:lineRule="auto"/>
        <w:rPr>
          <w:rFonts w:ascii="Times New Roman" w:hAnsi="Times New Roman"/>
          <w:szCs w:val="22"/>
          <w:rtl/>
        </w:rPr>
      </w:pPr>
      <w:r w:rsidRPr="00221AC3">
        <w:rPr>
          <w:rFonts w:ascii="Times New Roman" w:hAnsi="Times New Roman" w:cs="Miriam" w:hint="cs"/>
          <w:szCs w:val="22"/>
          <w:highlight w:val="yellow"/>
          <w:rtl/>
        </w:rPr>
        <w:t>ב. פגיעה בזכויות בחוק או לפי חוק</w:t>
      </w:r>
    </w:p>
    <w:p w:rsidR="005366A8" w:rsidRPr="00221AC3" w:rsidRDefault="005366A8" w:rsidP="005366A8">
      <w:pPr>
        <w:pStyle w:val="Ruller41"/>
        <w:spacing w:after="60" w:line="240" w:lineRule="auto"/>
        <w:rPr>
          <w:rFonts w:ascii="Times New Roman" w:hAnsi="Times New Roman"/>
          <w:szCs w:val="22"/>
        </w:rPr>
      </w:pPr>
      <w:r>
        <w:rPr>
          <w:rFonts w:ascii="Times New Roman" w:hAnsi="Times New Roman" w:hint="cs"/>
          <w:szCs w:val="22"/>
          <w:highlight w:val="yellow"/>
          <w:rtl/>
        </w:rPr>
        <w:t>23.</w:t>
      </w:r>
      <w:r>
        <w:rPr>
          <w:rFonts w:ascii="Times New Roman" w:hAnsi="Times New Roman" w:hint="cs"/>
          <w:szCs w:val="22"/>
          <w:highlight w:val="yellow"/>
          <w:rtl/>
        </w:rPr>
        <w:tab/>
      </w:r>
      <w:r w:rsidRPr="00221AC3">
        <w:rPr>
          <w:rFonts w:ascii="Times New Roman" w:hAnsi="Times New Roman" w:hint="cs"/>
          <w:szCs w:val="22"/>
          <w:highlight w:val="yellow"/>
          <w:rtl/>
        </w:rPr>
        <w:t xml:space="preserve">עמדת איתנית היא שהפגיעה האמורה בקניין (ובשוויון לשיטתה) איננה פגיעה בחוק או על פי חוק. זאת משום שאין מדובר בחוק כללי אלא חוק פרסונאלי, אשר מכוון כנגד נמענת ספציפית - היינו איתנית. לשיטתה, חוק שאיננו כללי – לא יכול להיחשב לחוק לעניין פסקת ההגבלה. </w:t>
      </w:r>
    </w:p>
    <w:p w:rsidR="005366A8" w:rsidRPr="00221AC3" w:rsidRDefault="005366A8" w:rsidP="005366A8">
      <w:pPr>
        <w:pStyle w:val="Ruller41"/>
        <w:spacing w:after="60" w:line="240" w:lineRule="auto"/>
        <w:rPr>
          <w:rFonts w:ascii="Times New Roman" w:hAnsi="Times New Roman"/>
          <w:szCs w:val="22"/>
          <w:rtl/>
        </w:rPr>
      </w:pPr>
      <w:r w:rsidRPr="00221AC3">
        <w:rPr>
          <w:rFonts w:ascii="Times New Roman" w:hAnsi="Times New Roman" w:hint="cs"/>
          <w:szCs w:val="22"/>
          <w:rtl/>
        </w:rPr>
        <w:tab/>
      </w:r>
      <w:r w:rsidRPr="00221AC3">
        <w:rPr>
          <w:rFonts w:ascii="Times New Roman" w:hAnsi="Times New Roman" w:hint="cs"/>
          <w:szCs w:val="22"/>
          <w:highlight w:val="yellow"/>
          <w:rtl/>
        </w:rPr>
        <w:t>אין בידי לקבל את גישת איתנית. יוזכר כי על פי הפסיקה התיבה "בחוק... או לפי חוק" מבטאת מבחן פורמאלי, שעיקרו - האם הפגיעה בזכויות היסוד נעשתה בחקיקה ראשית או מכוח הסמכה בחקיקה ראשית</w:t>
      </w:r>
      <w:r w:rsidRPr="00221AC3">
        <w:rPr>
          <w:rFonts w:ascii="Times New Roman" w:hAnsi="Times New Roman" w:hint="cs"/>
          <w:szCs w:val="22"/>
          <w:rtl/>
        </w:rPr>
        <w:t xml:space="preserve"> </w:t>
      </w:r>
      <w:r>
        <w:rPr>
          <w:rFonts w:ascii="Times New Roman" w:hAnsi="Times New Roman" w:hint="cs"/>
          <w:szCs w:val="22"/>
          <w:rtl/>
        </w:rPr>
        <w:t>...</w:t>
      </w:r>
    </w:p>
    <w:p w:rsidR="005366A8" w:rsidRPr="00221AC3" w:rsidRDefault="005366A8" w:rsidP="005366A8">
      <w:pPr>
        <w:spacing w:after="60"/>
        <w:rPr>
          <w:rFonts w:cs="FrankRuehl"/>
          <w:sz w:val="22"/>
          <w:szCs w:val="22"/>
          <w:rtl/>
        </w:rPr>
      </w:pPr>
      <w:r w:rsidRPr="00221AC3">
        <w:rPr>
          <w:rFonts w:cs="FrankRuehl" w:hint="cs"/>
          <w:sz w:val="22"/>
          <w:szCs w:val="22"/>
          <w:rtl/>
        </w:rPr>
        <w:tab/>
        <w:t xml:space="preserve">דבר החקיקה שעומד לדיון כאן הוא פרי עבודת הכנה ממושכת. לאחר שהתקבל בקריאה ראשונה עבר החוק לטיפול ועדת הפנים והגנת הסביבה של הכנסת. הוועדה ישבה על המדוכה, והקדישה למעלה מעשר ישיבות לדיון בפרטי החוק. במהלך הדיונים נבחנה גם הסוגיה החוקתית, ואיתנית השמיעה ברמה את עמדתה - אך טיעוניה נדחו. משסיימה הוועדה את עבודתה אושר החוק בקריאה שנייה ושלישית ופורסם ברשומות. בראיה זו, לא ניתן לטעון שהתוצר שהתקבל איננו חוק. נראה כי טענותיה של איתנית כנגד אי-כלליותו של החוק - הן במובן מסוים חזרה על הטענות בדבר אפלייתה לרעה, טענות אליהן התייחסתי בהרחבה לעיל, ובמובן אחר טענות כנגד תכליתו הפסולה של החוק - טענות שאליהן אתייחס להלן. ושוב יוזכר: החוק לא נוקב בשמה של איתנית או בשם המפעל. תחת זאת מופיעים המונחים "חברות אסבסט" ו"מפעל לייצור אסבסט". אמנם נכון הוא, ועל כך אין מחלוקת, כי רק איתנית עונה על ההגדרות שבסעיף 74. </w:t>
      </w:r>
      <w:r w:rsidRPr="00221AC3">
        <w:rPr>
          <w:rFonts w:cs="FrankRuehl" w:hint="cs"/>
          <w:sz w:val="22"/>
          <w:szCs w:val="22"/>
          <w:highlight w:val="yellow"/>
          <w:rtl/>
        </w:rPr>
        <w:t>עניין זה עשוי להגביר את הצורך לוודא שהחוק מידתי, ואיננו פוגע יתר על המידה בזכויות הקנייניות של איתנית</w:t>
      </w:r>
      <w:r w:rsidRPr="00221AC3">
        <w:rPr>
          <w:rFonts w:cs="FrankRuehl" w:hint="cs"/>
          <w:sz w:val="22"/>
          <w:szCs w:val="22"/>
          <w:rtl/>
        </w:rPr>
        <w:t xml:space="preserve">. עם זאת, </w:t>
      </w:r>
      <w:r w:rsidRPr="00221AC3">
        <w:rPr>
          <w:rFonts w:cs="FrankRuehl" w:hint="cs"/>
          <w:sz w:val="22"/>
          <w:szCs w:val="22"/>
          <w:highlight w:val="yellow"/>
          <w:rtl/>
        </w:rPr>
        <w:t>אין בנתון לפיו החוק בפועל מתייחס לאיתנית בלבד כדי להביא לכך שהחקיקה איננה "בחוק".</w:t>
      </w:r>
    </w:p>
    <w:p w:rsidR="005366A8" w:rsidRPr="001A53FD" w:rsidRDefault="005366A8" w:rsidP="005366A8">
      <w:pPr>
        <w:pStyle w:val="Ruller41"/>
        <w:spacing w:after="60" w:line="240" w:lineRule="auto"/>
        <w:rPr>
          <w:rFonts w:ascii="Times New Roman" w:hAnsi="Times New Roman"/>
          <w:szCs w:val="22"/>
        </w:rPr>
      </w:pPr>
      <w:r w:rsidRPr="001A53FD">
        <w:rPr>
          <w:rFonts w:ascii="Times New Roman" w:hAnsi="Times New Roman" w:cs="Miriam" w:hint="cs"/>
          <w:szCs w:val="22"/>
          <w:highlight w:val="yellow"/>
          <w:rtl/>
        </w:rPr>
        <w:t>ג. לתכלית ראויה ההולמת את ערכי מדינת ישראל</w:t>
      </w:r>
      <w:r w:rsidRPr="001A53FD">
        <w:rPr>
          <w:rFonts w:ascii="Times New Roman" w:hAnsi="Times New Roman" w:cs="Miriam" w:hint="cs"/>
          <w:szCs w:val="22"/>
          <w:rtl/>
        </w:rPr>
        <w:t xml:space="preserve"> </w:t>
      </w:r>
    </w:p>
    <w:p w:rsidR="005366A8" w:rsidRPr="001A53FD" w:rsidRDefault="005366A8" w:rsidP="005366A8">
      <w:pPr>
        <w:pStyle w:val="Ruller41"/>
        <w:spacing w:after="60" w:line="240" w:lineRule="auto"/>
        <w:rPr>
          <w:rFonts w:ascii="Times New Roman" w:hAnsi="Times New Roman"/>
          <w:szCs w:val="22"/>
        </w:rPr>
      </w:pPr>
      <w:r>
        <w:rPr>
          <w:rFonts w:ascii="Times New Roman" w:hAnsi="Times New Roman" w:hint="cs"/>
          <w:szCs w:val="22"/>
          <w:rtl/>
        </w:rPr>
        <w:t>24.</w:t>
      </w:r>
      <w:r>
        <w:rPr>
          <w:rFonts w:ascii="Times New Roman" w:hAnsi="Times New Roman" w:hint="cs"/>
          <w:szCs w:val="22"/>
          <w:rtl/>
        </w:rPr>
        <w:tab/>
      </w:r>
      <w:r w:rsidRPr="001A53FD">
        <w:rPr>
          <w:rFonts w:ascii="Times New Roman" w:hAnsi="Times New Roman" w:hint="cs"/>
          <w:szCs w:val="22"/>
          <w:rtl/>
        </w:rPr>
        <w:t xml:space="preserve">מהי תכליתו של סעיף 74 לחוק, והאם תכלית זו הינה ראויה והולמת? </w:t>
      </w:r>
    </w:p>
    <w:p w:rsidR="005366A8" w:rsidRPr="001A53FD" w:rsidRDefault="005366A8" w:rsidP="005366A8">
      <w:pPr>
        <w:pStyle w:val="Ruller41"/>
        <w:spacing w:after="60" w:line="240" w:lineRule="auto"/>
        <w:rPr>
          <w:rFonts w:ascii="Times New Roman" w:hAnsi="Times New Roman"/>
          <w:szCs w:val="22"/>
          <w:rtl/>
        </w:rPr>
      </w:pPr>
      <w:r w:rsidRPr="001A53FD">
        <w:rPr>
          <w:rFonts w:ascii="Times New Roman" w:hAnsi="Times New Roman" w:hint="cs"/>
          <w:szCs w:val="22"/>
          <w:rtl/>
        </w:rPr>
        <w:tab/>
        <w:t xml:space="preserve">סעיף 1 מבהיר מהי תכליתו הכללית של החוק: לצמצם את מפגעי האסבסט בישראל. מכאן גם נגזרת התכלית הקונקרטית של סעיף 74: להקים פרויקט לסילוק פסולת האסבסט מן הגליל המערבי. בדברי ההסבר להצעת החוק, כמו גם בתשובת המדינה לעתירה זו, מתואר כיצד נוצר בגליל המערבי מפגע סביבתי חמור ובעל מאפיינים ייחודיים. כמות גדולה מאוד של פסולת אסבסט פוזרה או הוטמנה בעשרות רבות של אתרים. הפסולת בחלקה מוטמנת במעבה האדמה, ובחלקה משמשת כמצע לשבילים, לגינות פרטיות, לשטחים חקלאיים ועוד - והכל כאמור בעשרות אתרים שונים. על הסכנה שנשקפת מפסולת זו עמדתי בהרחבה לעיל, ואין צורך לחזור כאן על הדברים. תכליתו של סעיף 74, אפוא, היא להסיר או לצמצם ככל הניתן סכנה זו, אשר מבחינה מסוימת מהווה "פצצת זמן מתקתקת" שמאיימת על שלומם ובריאותם של רבים מתושבי האזור. אין ספק אפוא כי מדובר בתכלית ראויה וחשובה, ויפה שעה אחת קודם. </w:t>
      </w:r>
    </w:p>
    <w:p w:rsidR="005366A8" w:rsidRPr="001A53FD" w:rsidRDefault="005366A8" w:rsidP="005366A8">
      <w:pPr>
        <w:pStyle w:val="Ruller41"/>
        <w:spacing w:after="60" w:line="240" w:lineRule="auto"/>
        <w:rPr>
          <w:rFonts w:ascii="Times New Roman" w:hAnsi="Times New Roman"/>
          <w:szCs w:val="22"/>
          <w:rtl/>
        </w:rPr>
      </w:pPr>
      <w:r w:rsidRPr="001A53FD">
        <w:rPr>
          <w:rFonts w:ascii="Times New Roman" w:hAnsi="Times New Roman" w:hint="cs"/>
          <w:szCs w:val="22"/>
          <w:rtl/>
        </w:rPr>
        <w:tab/>
        <w:t xml:space="preserve">תכלית זו לא רק ראויה, אלא אף הולמת את ערכי מדינת ישראל כמדינה יהודית ודמוקרטית. </w:t>
      </w:r>
      <w:r>
        <w:rPr>
          <w:rFonts w:ascii="Times New Roman" w:hAnsi="Times New Roman" w:hint="cs"/>
          <w:szCs w:val="22"/>
          <w:rtl/>
        </w:rPr>
        <w:t>...</w:t>
      </w:r>
    </w:p>
    <w:p w:rsidR="005366A8" w:rsidRPr="001A53FD" w:rsidRDefault="005366A8" w:rsidP="005366A8">
      <w:pPr>
        <w:spacing w:after="60"/>
        <w:rPr>
          <w:rFonts w:cs="FrankRuehl"/>
          <w:sz w:val="22"/>
          <w:szCs w:val="22"/>
          <w:rtl/>
        </w:rPr>
      </w:pPr>
      <w:r w:rsidRPr="001A53FD">
        <w:rPr>
          <w:rFonts w:cs="FrankRuehl" w:hint="cs"/>
          <w:sz w:val="22"/>
          <w:szCs w:val="22"/>
          <w:rtl/>
        </w:rPr>
        <w:tab/>
        <w:t>בהיבט נוסף, תכליתו של סעיף 74 היא ראויה גם משום שהיא מגשימה את הזכות לבריאות והזכות לאיכות סביבה של תושבי האזור.</w:t>
      </w:r>
      <w:r>
        <w:rPr>
          <w:rFonts w:cs="FrankRuehl" w:hint="cs"/>
          <w:sz w:val="22"/>
          <w:szCs w:val="22"/>
          <w:rtl/>
        </w:rPr>
        <w:t xml:space="preserve"> ...</w:t>
      </w:r>
    </w:p>
    <w:p w:rsidR="005366A8" w:rsidRPr="001A53FD" w:rsidRDefault="005366A8" w:rsidP="005366A8">
      <w:pPr>
        <w:pStyle w:val="Ruller41"/>
        <w:spacing w:after="60" w:line="240" w:lineRule="auto"/>
        <w:rPr>
          <w:rFonts w:ascii="Times New Roman" w:hAnsi="Times New Roman"/>
          <w:szCs w:val="22"/>
          <w:highlight w:val="yellow"/>
        </w:rPr>
      </w:pPr>
      <w:r>
        <w:rPr>
          <w:rFonts w:ascii="Times New Roman" w:hAnsi="Times New Roman" w:hint="cs"/>
          <w:szCs w:val="22"/>
          <w:highlight w:val="yellow"/>
          <w:rtl/>
        </w:rPr>
        <w:t xml:space="preserve">25. </w:t>
      </w:r>
      <w:r>
        <w:rPr>
          <w:rFonts w:ascii="Times New Roman" w:hAnsi="Times New Roman" w:hint="cs"/>
          <w:szCs w:val="22"/>
          <w:highlight w:val="yellow"/>
          <w:rtl/>
        </w:rPr>
        <w:tab/>
      </w:r>
      <w:r w:rsidRPr="001A53FD">
        <w:rPr>
          <w:rFonts w:ascii="Times New Roman" w:hAnsi="Times New Roman" w:hint="cs"/>
          <w:szCs w:val="22"/>
          <w:highlight w:val="yellow"/>
          <w:rtl/>
        </w:rPr>
        <w:t xml:space="preserve">לטענת המדינה, תכלית נוספת מונחת בבסיס מנגנון המימון שנקבע בסעיף 74: עיקרון "המזהם - משלם". לאמיתו של דבר, אינני משוכנע כי עיקרון זה הוא אכן תכלית החוק, במובן של פסקת ההגבלה. ניתן לטעון כי מדובר בהצדקה למנגנון המימון שנבחר, ולא בתכלית של דבר החקיקה. לאמור: זו ההצדקה לאמצעי שנבחר להשיג את המטרה. על פי קו זה, עיקרון המזהם משלם חייב לעמוד תחת הביקורת של פסקת ההגבלה, אך זאת ביחס לסוגית המידתיות ולא לסוגית התכלית. אולם המדינה טוענת בצורה מפורשת כי לחוק יש גם תכלית של הגשמת עיקרון "המזהם משלם" (עמ' 9 לפרוטוקול). יוער כי אף לפי גישה זו התכלית של עיקרון "המזהם משלם" איננה עומדת לבדה, אלא משולבת עם התכלית הדומיננטית שהיא ניקוי הגליל המערבי מפסולת אסבסט. </w:t>
      </w:r>
    </w:p>
    <w:p w:rsidR="005366A8" w:rsidRPr="001A53FD" w:rsidRDefault="005366A8" w:rsidP="005366A8">
      <w:pPr>
        <w:pStyle w:val="Ruller41"/>
        <w:spacing w:after="60" w:line="240" w:lineRule="auto"/>
        <w:rPr>
          <w:rFonts w:ascii="Times New Roman" w:hAnsi="Times New Roman"/>
          <w:szCs w:val="22"/>
          <w:highlight w:val="yellow"/>
        </w:rPr>
      </w:pPr>
      <w:r w:rsidRPr="001A53FD">
        <w:rPr>
          <w:rFonts w:ascii="Times New Roman" w:hAnsi="Times New Roman" w:hint="cs"/>
          <w:szCs w:val="22"/>
          <w:highlight w:val="yellow"/>
          <w:rtl/>
        </w:rPr>
        <w:tab/>
        <w:t xml:space="preserve">כאמור, מסופקני אם עיקרון "המזהם משלם" הוא תכלית - ולוּ משנית - של החוק. ייתכן כי עמדה כזו, אשר משדרגת את האמצעי למעלה של תכלית, נועדה להעצים את הלגיטימיות של מנגנון התשלום שנבחר. אפשרות נוספת היא שהמדינה תפסה את השור בקרניו. דהיינו: מתוך מודעות לכך שהקושי מצוי במיוחד בעיקרון "המזהם משלם" ויישומו, סיווגה המדינה את העיקרון כתכלית משנית, תוך נכונות שהעניין יזכה לביקורת החוקתית הראויה. </w:t>
      </w:r>
      <w:r w:rsidRPr="0016291D">
        <w:rPr>
          <w:rFonts w:ascii="Times New Roman" w:hAnsi="Times New Roman" w:hint="cs"/>
          <w:szCs w:val="22"/>
          <w:rtl/>
        </w:rPr>
        <w:t>אך כפי שיובהר, אינני מוכן לקבל כי סיווג העיקרון כתכלית יפגע באיתנית וימנע ממנה את הבדיקה המידתית לגבי מנגנון התשלום שנקבע בסעיף 74</w:t>
      </w:r>
      <w:r w:rsidRPr="001A53FD">
        <w:rPr>
          <w:rFonts w:ascii="Times New Roman" w:hAnsi="Times New Roman" w:hint="cs"/>
          <w:szCs w:val="22"/>
          <w:highlight w:val="yellow"/>
          <w:rtl/>
        </w:rPr>
        <w:t xml:space="preserve">. לצורך ההכרעה בעתירה זו, מוכן אני להניח - לשם שלמות הדיון - כי עיקרון "המזהם משלם" מהווה תכלית משנית של החוק במובן של פסקת ההגבלה. גישה זו תדרוש שהעניין ייבדק גם בביקורת הדוקה של מבחן המידתיות. בל נשכח כי מבחן התכלית הראויה איננו אלא דרישת סף (אהרן ברק מידתיות במשפט 297 (2010)). דהיינו: בהעדר קיומה של תכלית ראויה - החוק נכשל בבחינה החוקתית. דווקא בשל כך מבחן התכלית איננו מבחן ממצה. מבחן התכלית איננו בהכרח סוף פסוק אלא תחילת פסוק. המלאכה הקשה של הביקורת החוקתית עודה לפנינו. כפי שכתב הנשיא לשעבר ברק: "תהא זו טעות לעסוק בחוקתיות האמצעים במסגרת הבחינה של חוקתיות המטרה. יהא זה עיסוק 'מוקדם' מדי" (שם, בעמ' 299). אשר על כן, נדרשת תחילה התייחסות לשאלה האם עיקרון "המזהם משלם" הוא בגדר תכלית ראויה ההולמת את ערכי מדינת ישראל. דיון זה יתקיים בנפרד מהסוגיה האם עיקרון המזהם משלם ויישומו במקרה שלפנינו הינו מידתי, מאחר והוא מטיל חבות בלא אשם ובאופן רטרואקטיבי. </w:t>
      </w:r>
      <w:r w:rsidRPr="001A53FD">
        <w:rPr>
          <w:rFonts w:ascii="Times New Roman" w:hAnsi="Times New Roman" w:hint="cs"/>
          <w:szCs w:val="22"/>
          <w:highlight w:val="yellow"/>
          <w:rtl/>
        </w:rPr>
        <w:tab/>
      </w:r>
    </w:p>
    <w:p w:rsidR="005366A8" w:rsidRDefault="005366A8" w:rsidP="005366A8">
      <w:pPr>
        <w:spacing w:after="60"/>
        <w:rPr>
          <w:rFonts w:cs="FrankRuehl"/>
          <w:sz w:val="22"/>
          <w:szCs w:val="22"/>
          <w:rtl/>
        </w:rPr>
      </w:pPr>
      <w:r w:rsidRPr="001A53FD">
        <w:rPr>
          <w:rFonts w:cs="FrankRuehl" w:hint="cs"/>
          <w:sz w:val="22"/>
          <w:szCs w:val="22"/>
          <w:highlight w:val="yellow"/>
          <w:rtl/>
        </w:rPr>
        <w:tab/>
        <w:t>עיקרון "המזהם משלם" הוא פשוט: מי שיצר את הזיהום - יממן את סילוקו ויישא באחריות לנזקים שנגרמו ושייגרמו. עיקרון זה נובע גם משיקולי יעילות, מתוך הנחה שחיוב הגורם המזהם להפנים את עלויות הזיהום יביא אותו להפחית את היקף הזיהום למינימום ההכרחי. המטרה היא להפחית את כמות הפסולת המיועדת לסילוק, ולעודד את המזהם לנקוט אמצעי זהירות ולפתח טכנולוגיה "ירוקה". תפיסה כלכלית זו מוצאת עיגון כאמור ברעיון של הפנמת עלויות. לכך מצטרף גם שיקול של צדק, לפיו אין זה צודק שהגורם המזהם שהרוויח מפעולת הזיהום אך יסיט את העלויות אל כתפי הציבור</w:t>
      </w:r>
      <w:r>
        <w:rPr>
          <w:rFonts w:cs="FrankRuehl" w:hint="cs"/>
          <w:sz w:val="22"/>
          <w:szCs w:val="22"/>
          <w:rtl/>
        </w:rPr>
        <w:t xml:space="preserve"> ...</w:t>
      </w:r>
    </w:p>
    <w:p w:rsidR="005366A8" w:rsidRPr="001D1BAE" w:rsidRDefault="005366A8" w:rsidP="005366A8">
      <w:pPr>
        <w:spacing w:after="60"/>
        <w:rPr>
          <w:rFonts w:cs="FrankRuehl"/>
          <w:sz w:val="22"/>
          <w:szCs w:val="22"/>
          <w:rtl/>
        </w:rPr>
      </w:pPr>
      <w:r w:rsidRPr="001A53FD">
        <w:rPr>
          <w:rFonts w:cs="FrankRuehl" w:hint="cs"/>
          <w:sz w:val="22"/>
          <w:szCs w:val="22"/>
          <w:rtl/>
        </w:rPr>
        <w:t xml:space="preserve">לסיכום, איתנית איננה חולקת על תכלית החוק ככל שמדובר בניקוי פסולת האסבסט בגליל המערבי: "זוהי מטרה חברתית ראויה" (ראו סעיף 107 לעתירה). הטענה המרכזית של העותרת היא נגד עיקרון "המזהם - משלם", ובעיקר בהיבט של חבות ללא אשם וחיוב רטרואקטיבי. בהקשר זה, איתנית מסתייגת מיעילות יישום הכלי של "המזהם משלם" ומחוסר הצדק שביישומו. </w:t>
      </w:r>
      <w:r w:rsidRPr="001A53FD">
        <w:rPr>
          <w:rFonts w:cs="FrankRuehl" w:hint="cs"/>
          <w:sz w:val="22"/>
          <w:szCs w:val="22"/>
          <w:highlight w:val="yellow"/>
          <w:rtl/>
        </w:rPr>
        <w:t>אם כן, מתוך הנחה שהמזהם משלם הינה תכלית ראויה בשל תרומתה למאבק האקולוגי - עדיין יש לשאול האם מנגנון התשלום הוא מידתי. שאלה זו תכוון אותנו אל העיקר, והוא: הקביעה של אחריות חמורה ורטרואקטיבית.</w:t>
      </w:r>
    </w:p>
    <w:p w:rsidR="005366A8" w:rsidRPr="001D1BAE" w:rsidRDefault="005366A8" w:rsidP="005366A8">
      <w:pPr>
        <w:pStyle w:val="Ruller41"/>
        <w:spacing w:after="60" w:line="240" w:lineRule="auto"/>
        <w:rPr>
          <w:rFonts w:ascii="Times New Roman" w:hAnsi="Times New Roman"/>
          <w:szCs w:val="22"/>
          <w:rtl/>
        </w:rPr>
      </w:pPr>
      <w:r w:rsidRPr="001D1BAE">
        <w:rPr>
          <w:rFonts w:ascii="Times New Roman" w:hAnsi="Times New Roman" w:cs="Miriam" w:hint="cs"/>
          <w:szCs w:val="22"/>
          <w:highlight w:val="yellow"/>
          <w:rtl/>
        </w:rPr>
        <w:t>ד. מידתיות</w:t>
      </w:r>
      <w:r w:rsidRPr="001D1BAE">
        <w:rPr>
          <w:rFonts w:ascii="Times New Roman" w:hAnsi="Times New Roman" w:cs="Miriam" w:hint="cs"/>
          <w:szCs w:val="22"/>
          <w:rtl/>
        </w:rPr>
        <w:t xml:space="preserve"> </w:t>
      </w:r>
    </w:p>
    <w:p w:rsidR="005366A8" w:rsidRPr="001D1BAE" w:rsidRDefault="005366A8" w:rsidP="005366A8">
      <w:pPr>
        <w:pStyle w:val="Ruller41"/>
        <w:spacing w:after="60" w:line="240" w:lineRule="auto"/>
        <w:rPr>
          <w:rFonts w:ascii="Times New Roman" w:hAnsi="Times New Roman"/>
          <w:szCs w:val="22"/>
        </w:rPr>
      </w:pPr>
      <w:r>
        <w:rPr>
          <w:rFonts w:ascii="Times New Roman" w:hAnsi="Times New Roman" w:hint="cs"/>
          <w:szCs w:val="22"/>
          <w:rtl/>
        </w:rPr>
        <w:t>26.</w:t>
      </w:r>
      <w:r>
        <w:rPr>
          <w:rFonts w:ascii="Times New Roman" w:hAnsi="Times New Roman" w:hint="cs"/>
          <w:szCs w:val="22"/>
          <w:rtl/>
        </w:rPr>
        <w:tab/>
      </w:r>
      <w:r w:rsidRPr="001D1BAE">
        <w:rPr>
          <w:rFonts w:ascii="Times New Roman" w:hAnsi="Times New Roman" w:hint="cs"/>
          <w:szCs w:val="22"/>
          <w:rtl/>
        </w:rPr>
        <w:t>התנאי האחרון הקבוע בפסקת ההגבלה הוא שהפגיעה בזכות החוקתית המוגנת תהיה "במידה שאינה עולה על הנדרש". זהו תנאי המידתיות. הפסיקה הכירה בשלושה מבחני משנה, שבאמצעותם נבחנת מידתיות הפגיעה בזכות החוקתית: מבחן הקשר הרציונאלי, מבחן האמצעי שפגיעתו פחותה, ומבחן התועלת מול הנזק (מידתיות במובן הצר).</w:t>
      </w:r>
    </w:p>
    <w:p w:rsidR="005366A8" w:rsidRPr="00872F90" w:rsidRDefault="005366A8" w:rsidP="005366A8">
      <w:pPr>
        <w:spacing w:after="60"/>
        <w:rPr>
          <w:rFonts w:cs="FrankRuehl"/>
          <w:sz w:val="22"/>
          <w:szCs w:val="22"/>
          <w:rtl/>
        </w:rPr>
      </w:pPr>
      <w:r w:rsidRPr="001D1BAE">
        <w:rPr>
          <w:rFonts w:cs="FrankRuehl" w:hint="cs"/>
          <w:sz w:val="22"/>
          <w:szCs w:val="22"/>
          <w:rtl/>
        </w:rPr>
        <w:tab/>
        <w:t xml:space="preserve">בטרם ניגש למלאכה, </w:t>
      </w:r>
      <w:r w:rsidRPr="00A44018">
        <w:rPr>
          <w:rFonts w:cs="FrankRuehl" w:hint="cs"/>
          <w:sz w:val="22"/>
          <w:szCs w:val="22"/>
          <w:highlight w:val="yellow"/>
          <w:rtl/>
        </w:rPr>
        <w:t>יוזכר כי קריטריון המידתיות איננו מכתיב בחירה באמצעי אחד בלבד להגשמת תכלית החקיקה. ישנה קבוצה, אולי אפילו גדולה, של אמצעים, אשר כל אחד מהם כשלעצמו עשוי לעמוד במבחן המידתיות. האמצעים נבדלים זה מזה בכל הנוגע להיקף הפגיעה בזכות החוקתית, וכן באשר לאופן שבו הם מגשימים את תכלית החקיקה. כך נוצר מתחם מידתיות שבתוכו פועל המחוקק</w:t>
      </w:r>
      <w:r w:rsidRPr="001D1BAE">
        <w:rPr>
          <w:rFonts w:cs="FrankRuehl" w:hint="cs"/>
          <w:sz w:val="22"/>
          <w:szCs w:val="22"/>
          <w:rtl/>
        </w:rPr>
        <w:t xml:space="preserve">. יש למחוקק מרחב תמרון, והוא רשאי לבחור בין האמצעים השונים כל עוד הם מצויים בתוך מתחם המידתיות (השוו: </w:t>
      </w:r>
      <w:hyperlink r:id="rId280" w:history="1">
        <w:r w:rsidRPr="001D1BAE">
          <w:rPr>
            <w:rFonts w:cs="FrankRuehl"/>
            <w:color w:val="0000FF"/>
            <w:sz w:val="22"/>
            <w:szCs w:val="22"/>
            <w:u w:val="single"/>
            <w:rtl/>
          </w:rPr>
          <w:t>בג"ץ 2605/05</w:t>
        </w:r>
      </w:hyperlink>
      <w:r w:rsidRPr="001D1BAE">
        <w:rPr>
          <w:rFonts w:cs="FrankRuehl" w:hint="cs"/>
          <w:sz w:val="22"/>
          <w:szCs w:val="22"/>
          <w:rtl/>
        </w:rPr>
        <w:t xml:space="preserve"> המרכז האקדמי למשפט ולעסקים נ' שר האוצר, פסקה 46 לפסק דינה של הנשיאה בייניש </w:t>
      </w:r>
      <w:r w:rsidRPr="001D1BAE">
        <w:rPr>
          <w:rFonts w:cs="FrankRuehl"/>
          <w:sz w:val="22"/>
          <w:szCs w:val="22"/>
          <w:rtl/>
        </w:rPr>
        <w:t xml:space="preserve">[פורסם בנבו] </w:t>
      </w:r>
      <w:r w:rsidRPr="001D1BAE">
        <w:rPr>
          <w:rFonts w:cs="FrankRuehl" w:hint="cs"/>
          <w:sz w:val="22"/>
          <w:szCs w:val="22"/>
          <w:rtl/>
        </w:rPr>
        <w:t>(19.11.2009)).</w:t>
      </w:r>
    </w:p>
    <w:p w:rsidR="005366A8" w:rsidRPr="00872F90" w:rsidRDefault="005366A8" w:rsidP="005366A8">
      <w:pPr>
        <w:pStyle w:val="Ruller41"/>
        <w:spacing w:after="60" w:line="240" w:lineRule="auto"/>
        <w:rPr>
          <w:rFonts w:ascii="Times New Roman" w:hAnsi="Times New Roman"/>
          <w:szCs w:val="22"/>
          <w:rtl/>
        </w:rPr>
      </w:pPr>
      <w:r w:rsidRPr="00872F90">
        <w:rPr>
          <w:rFonts w:ascii="Times New Roman" w:hAnsi="Times New Roman" w:cs="Miriam" w:hint="cs"/>
          <w:szCs w:val="22"/>
          <w:rtl/>
        </w:rPr>
        <w:t xml:space="preserve">    </w:t>
      </w:r>
      <w:r w:rsidRPr="00872F90">
        <w:rPr>
          <w:rFonts w:ascii="Times New Roman" w:hAnsi="Times New Roman" w:cs="Miriam" w:hint="cs"/>
          <w:szCs w:val="22"/>
          <w:highlight w:val="yellow"/>
          <w:rtl/>
        </w:rPr>
        <w:t>(1) קשר רציונאלי</w:t>
      </w:r>
      <w:r w:rsidRPr="00872F90">
        <w:rPr>
          <w:rFonts w:ascii="Times New Roman" w:hAnsi="Times New Roman" w:cs="Miriam" w:hint="cs"/>
          <w:szCs w:val="22"/>
          <w:rtl/>
        </w:rPr>
        <w:t xml:space="preserve"> </w:t>
      </w:r>
    </w:p>
    <w:p w:rsidR="005366A8" w:rsidRDefault="005366A8" w:rsidP="005366A8">
      <w:pPr>
        <w:pStyle w:val="Ruller41"/>
        <w:spacing w:after="60" w:line="240" w:lineRule="auto"/>
        <w:rPr>
          <w:rFonts w:ascii="Times New Roman" w:hAnsi="Times New Roman"/>
          <w:szCs w:val="22"/>
          <w:rtl/>
        </w:rPr>
      </w:pPr>
      <w:r>
        <w:rPr>
          <w:rFonts w:ascii="Times New Roman" w:hAnsi="Times New Roman" w:hint="cs"/>
          <w:szCs w:val="22"/>
          <w:rtl/>
        </w:rPr>
        <w:t>27.</w:t>
      </w:r>
      <w:r>
        <w:rPr>
          <w:rFonts w:ascii="Times New Roman" w:hAnsi="Times New Roman" w:hint="cs"/>
          <w:szCs w:val="22"/>
          <w:rtl/>
        </w:rPr>
        <w:tab/>
      </w:r>
      <w:r w:rsidRPr="00872F90">
        <w:rPr>
          <w:rFonts w:ascii="Times New Roman" w:hAnsi="Times New Roman" w:hint="cs"/>
          <w:szCs w:val="22"/>
          <w:rtl/>
        </w:rPr>
        <w:t xml:space="preserve">על פי מבחן המשנה הראשון של המידתיות, יש לבדוק האם מתקיימת זיקה הגיונית בין תכלית החוק לבין האמצעי שנבחר להגשמתה. לעיל עמדתי על כך שלצורך הדיון יש לחוק שתי תכליות: ניקוי הגליל המערבי מפסולת אסבסט, והגשמת עיקרון "המזהם משלם". אלו הן התכליות. האמצעי שנבחר על ידי המחוקק הוא המנגנון של סעיף 74, ובפרט ההיבט המימוני שבו (אשר עומד בלב העתירה). נבחן את הקשר בין האמצעי שנבחר לבין כל אחת מהתכליות. </w:t>
      </w:r>
      <w:r>
        <w:rPr>
          <w:rFonts w:ascii="Times New Roman" w:hAnsi="Times New Roman" w:hint="cs"/>
          <w:szCs w:val="22"/>
          <w:rtl/>
        </w:rPr>
        <w:t xml:space="preserve"> [...]</w:t>
      </w:r>
    </w:p>
    <w:p w:rsidR="005366A8" w:rsidRPr="00C34D2B" w:rsidRDefault="005366A8" w:rsidP="005366A8">
      <w:pPr>
        <w:pStyle w:val="Ruller41"/>
        <w:spacing w:after="60" w:line="240" w:lineRule="auto"/>
        <w:rPr>
          <w:rFonts w:ascii="Times New Roman" w:hAnsi="Times New Roman"/>
          <w:szCs w:val="22"/>
          <w:rtl/>
        </w:rPr>
      </w:pPr>
      <w:r w:rsidRPr="00872F90">
        <w:rPr>
          <w:rFonts w:ascii="Times New Roman" w:hAnsi="Times New Roman" w:cs="Miriam" w:hint="cs"/>
          <w:szCs w:val="22"/>
          <w:highlight w:val="yellow"/>
          <w:rtl/>
        </w:rPr>
        <w:t>(2) האמצעי שפגיעתו פחותה</w:t>
      </w:r>
      <w:r>
        <w:rPr>
          <w:rFonts w:ascii="Times New Roman" w:hAnsi="Times New Roman" w:cs="Miriam" w:hint="cs"/>
          <w:szCs w:val="24"/>
          <w:rtl/>
        </w:rPr>
        <w:t xml:space="preserve"> </w:t>
      </w:r>
    </w:p>
    <w:p w:rsidR="005366A8" w:rsidRPr="00C34D2B" w:rsidRDefault="005366A8" w:rsidP="005366A8">
      <w:pPr>
        <w:pStyle w:val="Ruller41"/>
        <w:spacing w:after="60" w:line="240" w:lineRule="auto"/>
        <w:rPr>
          <w:rFonts w:ascii="Times New Roman" w:hAnsi="Times New Roman"/>
          <w:szCs w:val="22"/>
        </w:rPr>
      </w:pPr>
      <w:r>
        <w:rPr>
          <w:rFonts w:ascii="Times New Roman" w:hAnsi="Times New Roman" w:hint="cs"/>
          <w:szCs w:val="22"/>
          <w:rtl/>
        </w:rPr>
        <w:t>30.</w:t>
      </w:r>
      <w:r>
        <w:rPr>
          <w:rFonts w:ascii="Times New Roman" w:hAnsi="Times New Roman" w:hint="cs"/>
          <w:szCs w:val="22"/>
          <w:rtl/>
        </w:rPr>
        <w:tab/>
      </w:r>
      <w:r w:rsidRPr="00C34D2B">
        <w:rPr>
          <w:rFonts w:ascii="Times New Roman" w:hAnsi="Times New Roman" w:hint="cs"/>
          <w:szCs w:val="22"/>
          <w:rtl/>
        </w:rPr>
        <w:t xml:space="preserve">באנו כעת בשערי מבחן המשנה השני של המידתיות. השאלה שעומדת לפנינו היא האם, מבין האמצעים שמגשימים את תכלית החוק, נבחר אותו אמצעי שפגיעתו בזכות הקניין של איתנית היא הפחותה ביותר. בניסוח אחר, נשאל: האם יש חלופה פוגענית פחות, שתגשים את תכלית החוק במידה דומה (השוו: </w:t>
      </w:r>
      <w:hyperlink r:id="rId281" w:history="1">
        <w:r w:rsidRPr="00C34D2B">
          <w:rPr>
            <w:rFonts w:ascii="Times New Roman" w:hAnsi="Times New Roman"/>
            <w:color w:val="0000FF"/>
            <w:szCs w:val="22"/>
            <w:u w:val="single"/>
            <w:rtl/>
          </w:rPr>
          <w:t>בג"ץ 10202/06</w:t>
        </w:r>
      </w:hyperlink>
      <w:r w:rsidRPr="00C34D2B">
        <w:rPr>
          <w:rFonts w:ascii="Times New Roman" w:hAnsi="Times New Roman" w:hint="cs"/>
          <w:szCs w:val="22"/>
          <w:rtl/>
        </w:rPr>
        <w:t xml:space="preserve"> עיריית דאהריה נ' המפקד הצבאי בגדה המערבית, עמ' 12 </w:t>
      </w:r>
      <w:r w:rsidRPr="00C34D2B">
        <w:rPr>
          <w:rFonts w:ascii="Times New Roman" w:hAnsi="Times New Roman"/>
          <w:spacing w:val="0"/>
          <w:szCs w:val="22"/>
          <w:rtl/>
        </w:rPr>
        <w:t xml:space="preserve">[פורסם בנבו] </w:t>
      </w:r>
      <w:r w:rsidRPr="00C34D2B">
        <w:rPr>
          <w:rFonts w:ascii="Times New Roman" w:hAnsi="Times New Roman" w:hint="cs"/>
          <w:szCs w:val="22"/>
          <w:rtl/>
        </w:rPr>
        <w:t xml:space="preserve">(12.11.2012)). </w:t>
      </w:r>
    </w:p>
    <w:p w:rsidR="005366A8" w:rsidRPr="00872F90" w:rsidRDefault="005366A8" w:rsidP="005366A8">
      <w:pPr>
        <w:spacing w:after="60"/>
        <w:rPr>
          <w:rFonts w:cs="FrankRuehl"/>
          <w:sz w:val="22"/>
          <w:szCs w:val="22"/>
          <w:rtl/>
        </w:rPr>
      </w:pPr>
      <w:r w:rsidRPr="00C34D2B">
        <w:rPr>
          <w:rFonts w:cs="FrankRuehl" w:hint="cs"/>
          <w:sz w:val="22"/>
          <w:szCs w:val="22"/>
          <w:rtl/>
        </w:rPr>
        <w:tab/>
      </w:r>
      <w:r w:rsidRPr="00C34D2B">
        <w:rPr>
          <w:rFonts w:cs="FrankRuehl" w:hint="cs"/>
          <w:sz w:val="22"/>
          <w:szCs w:val="22"/>
          <w:highlight w:val="yellow"/>
          <w:rtl/>
        </w:rPr>
        <w:t>בהקשר זה, איתנית מצביעה על שתי חלופות למנגנון שנקבע בחוק: האחת, "שיפוץ" האתרים בהם הפסולת משמשת כחיפוי לקרקע. השנייה, מתן אפשרות לאיתנית לבצע את פרויקט סילוק הפסולת בעצמה. נבחן כל אחת מהאופציות.</w:t>
      </w:r>
      <w:r>
        <w:rPr>
          <w:rFonts w:cs="FrankRuehl" w:hint="cs"/>
          <w:sz w:val="22"/>
          <w:szCs w:val="22"/>
          <w:rtl/>
        </w:rPr>
        <w:t xml:space="preserve"> [...]</w:t>
      </w:r>
    </w:p>
    <w:p w:rsidR="005366A8" w:rsidRPr="00C34D2B" w:rsidRDefault="005366A8" w:rsidP="005366A8">
      <w:pPr>
        <w:pStyle w:val="Ruller41"/>
        <w:spacing w:after="60" w:line="240" w:lineRule="auto"/>
        <w:rPr>
          <w:rFonts w:ascii="Times New Roman" w:hAnsi="Times New Roman"/>
          <w:szCs w:val="22"/>
        </w:rPr>
      </w:pPr>
      <w:r>
        <w:rPr>
          <w:rFonts w:ascii="Times New Roman" w:hAnsi="Times New Roman" w:hint="cs"/>
          <w:szCs w:val="22"/>
          <w:rtl/>
        </w:rPr>
        <w:t>32.</w:t>
      </w:r>
      <w:r>
        <w:rPr>
          <w:rFonts w:ascii="Times New Roman" w:hAnsi="Times New Roman" w:hint="cs"/>
          <w:szCs w:val="22"/>
          <w:rtl/>
        </w:rPr>
        <w:tab/>
      </w:r>
      <w:r w:rsidRPr="00C34D2B">
        <w:rPr>
          <w:rFonts w:ascii="Times New Roman" w:hAnsi="Times New Roman" w:hint="cs"/>
          <w:szCs w:val="22"/>
          <w:rtl/>
        </w:rPr>
        <w:t xml:space="preserve">נותרנו עם האפשרות השנייה: הסמכת איתנית לסלק את הפסולת בעצמה, במקום לשלם עבור הסילוק (אופציית "הביצוע העצמי"). דא עקא, העותרת לא עמדה ברף להוכיח כי אפשרות זו תשרת את תכלית החוק במידה נאותה. </w:t>
      </w:r>
    </w:p>
    <w:p w:rsidR="005366A8" w:rsidRPr="00C34D2B" w:rsidRDefault="005366A8" w:rsidP="005366A8">
      <w:pPr>
        <w:pStyle w:val="Ruller41"/>
        <w:spacing w:after="60" w:line="240" w:lineRule="auto"/>
        <w:rPr>
          <w:rFonts w:ascii="Times New Roman" w:hAnsi="Times New Roman"/>
          <w:szCs w:val="22"/>
          <w:rtl/>
        </w:rPr>
      </w:pPr>
      <w:r w:rsidRPr="00C34D2B">
        <w:rPr>
          <w:rFonts w:ascii="Times New Roman" w:hAnsi="Times New Roman" w:hint="cs"/>
          <w:szCs w:val="22"/>
          <w:rtl/>
        </w:rPr>
        <w:tab/>
      </w:r>
      <w:r w:rsidRPr="00A44018">
        <w:rPr>
          <w:rFonts w:ascii="Times New Roman" w:hAnsi="Times New Roman" w:hint="cs"/>
          <w:szCs w:val="22"/>
          <w:highlight w:val="yellow"/>
          <w:rtl/>
        </w:rPr>
        <w:t>משימת סילוק פסולת האסבסט נדונה בין הצדדים במשך תקופה ארוכה. הצעתה של איתנית לפנות בעצמה את הפסולת, באמצעות קבלן משנה מטעמה, עלתה אף היא על שולחן הדיונים. בתום כמה סבבים של משא ומתן - נדחתה ההצעה. בהקשר זה אפנה למכתב מפורט ומנומק שנשלח לאיתנית בנובמבר 2010 על ידי מר אושיק בן-עטר, סגן בכיר לחשב הכללי, ובו הודיעה המדינה לאיתנית כי הצעתה בדבר ביצוע עצמי של הפרויקט אינה בת ביצוע. מהמסמך עולה כי איתנית העריכה את עלות פרויקט הסילוק בכ-66 מיליון ₪, בעוד שהמדינה העריכה את הפרויקט בסכומים שנעו בין 166 ל-300 מיליון ₪ ואף למעלה מזה (ראו גם סעיף 120 לעתירה). מדובר בפערים משמעותיים, אשר מעוררים חשש שמא האומדן הנמוך שסיפקה איתנית יביא לכך שהיא לא תבצע את הפרויקט באופן מלא ומוצלח. לכך מצטרף גם הספק שמא יש לאיתנית, על פני הדברים, תמריץ נמוך לביצוע מיטבי של הפרויקט. זאת משום שאין לה כל ציפייה לרווח מעצם ביצוע הפרויקט, ואין לה כל תמריץ לבצע סקרים יסודיים ואיתור של כל האתרים המזוהמים</w:t>
      </w:r>
      <w:r w:rsidRPr="00C34D2B">
        <w:rPr>
          <w:rFonts w:ascii="Times New Roman" w:hAnsi="Times New Roman" w:hint="cs"/>
          <w:szCs w:val="22"/>
          <w:rtl/>
        </w:rPr>
        <w:t xml:space="preserve">. </w:t>
      </w:r>
    </w:p>
    <w:p w:rsidR="005366A8" w:rsidRPr="00C34D2B" w:rsidRDefault="005366A8" w:rsidP="005366A8">
      <w:pPr>
        <w:pStyle w:val="Ruller41"/>
        <w:spacing w:after="60" w:line="240" w:lineRule="auto"/>
        <w:rPr>
          <w:rFonts w:ascii="Times New Roman" w:hAnsi="Times New Roman"/>
          <w:szCs w:val="22"/>
          <w:rtl/>
        </w:rPr>
      </w:pPr>
      <w:r w:rsidRPr="00C34D2B">
        <w:rPr>
          <w:rFonts w:ascii="Times New Roman" w:hAnsi="Times New Roman" w:hint="cs"/>
          <w:szCs w:val="22"/>
          <w:rtl/>
        </w:rPr>
        <w:tab/>
        <w:t xml:space="preserve">איתנית טוענת כי לאחרונה היא השלימה פינוי של שטח מאסבסט בפיקוח המדינה, וכי עלות הסילוק הייתה נמוכה בכ-65% מהעלות המוערכת על ידי המדינה. המדינה, מאידך, טוענת כי הניסיון המצטבר עם איתנית בתחום זה איננו חיובי: המדינה מפקחת על עבודות של איתנית לשיקום אתרי הפסולת בשייח' דנון ובשלומי שנזכרו לעיל, וכן עבודות לפינוי פסולת אסבסט בשטחים נוספים. בעבודות אלה נתגלו ליקויים מקצועיים, אשר הובילו לעיכובים משמעותיים בביצוע. </w:t>
      </w:r>
    </w:p>
    <w:p w:rsidR="005366A8" w:rsidRPr="00C34D2B" w:rsidRDefault="005366A8" w:rsidP="005366A8">
      <w:pPr>
        <w:pStyle w:val="Ruller41"/>
        <w:spacing w:after="60" w:line="240" w:lineRule="auto"/>
        <w:rPr>
          <w:rFonts w:ascii="Times New Roman" w:hAnsi="Times New Roman"/>
          <w:szCs w:val="22"/>
          <w:rtl/>
        </w:rPr>
      </w:pPr>
      <w:r w:rsidRPr="00C34D2B">
        <w:rPr>
          <w:rFonts w:ascii="Times New Roman" w:hAnsi="Times New Roman" w:hint="cs"/>
          <w:szCs w:val="22"/>
          <w:rtl/>
        </w:rPr>
        <w:tab/>
        <w:t xml:space="preserve">אין בידי או בכוונתי להכריע במחלוקות העובדתיות הללו שהתגלו בין הצדדים, כאילו מדובר בסכסוך אזרחי או בעתירה מנהלית. הכרעה כזו איננה נדרשת למסגרת הנוכחית. </w:t>
      </w:r>
      <w:r w:rsidRPr="00C34D2B">
        <w:rPr>
          <w:rFonts w:ascii="Times New Roman" w:hAnsi="Times New Roman" w:hint="cs"/>
          <w:szCs w:val="22"/>
          <w:highlight w:val="yellow"/>
          <w:rtl/>
        </w:rPr>
        <w:t>עסקינן כזכור בביקורת חוקתית על סעיף 74 לחוק, לא בביקורת מנהלית או ערעורית. השאלה שלפנינו היא האם ישנו אמצעי חלופי, אשר יפגע פחות באיתנית תוך שהוא מגשים בבירור את התכלית שלשמה נחקק סעיף 74. בראייה זו, איתנית לא הרימה את הנטל המוטל עליה. לא שוכנעתי כי אופציית הביצוע העצמי - דהיינו, שאיתנית תבצע את העבודות לסילוק הפסולת - תביא להשגת המטרה שלשמה נחקק סעיף 74: ניקוי הגליל המערבי מפסולת האסבסט. אף הובא חומר שתומך בעמדת המדינה, או לפחות מראה את ההיגיון שבה.</w:t>
      </w:r>
      <w:r w:rsidRPr="00C34D2B">
        <w:rPr>
          <w:rFonts w:ascii="Times New Roman" w:hAnsi="Times New Roman" w:hint="cs"/>
          <w:szCs w:val="22"/>
          <w:rtl/>
        </w:rPr>
        <w:t xml:space="preserve"> </w:t>
      </w:r>
    </w:p>
    <w:p w:rsidR="005366A8" w:rsidRPr="00C34D2B" w:rsidRDefault="005366A8" w:rsidP="005366A8">
      <w:pPr>
        <w:pStyle w:val="Ruller41"/>
        <w:spacing w:after="60" w:line="240" w:lineRule="auto"/>
        <w:rPr>
          <w:rFonts w:ascii="Times New Roman" w:hAnsi="Times New Roman"/>
          <w:szCs w:val="22"/>
        </w:rPr>
      </w:pPr>
      <w:r w:rsidRPr="00C34D2B">
        <w:rPr>
          <w:rFonts w:ascii="Times New Roman" w:hAnsi="Times New Roman" w:hint="cs"/>
          <w:szCs w:val="22"/>
          <w:rtl/>
        </w:rPr>
        <w:t>33.</w:t>
      </w:r>
      <w:r w:rsidRPr="00C34D2B">
        <w:rPr>
          <w:rFonts w:ascii="Times New Roman" w:hAnsi="Times New Roman" w:hint="cs"/>
          <w:szCs w:val="22"/>
          <w:rtl/>
        </w:rPr>
        <w:tab/>
      </w:r>
      <w:r w:rsidRPr="00C34D2B">
        <w:rPr>
          <w:rFonts w:ascii="Times New Roman" w:hAnsi="Times New Roman" w:hint="cs"/>
          <w:szCs w:val="22"/>
          <w:highlight w:val="yellow"/>
          <w:rtl/>
        </w:rPr>
        <w:t xml:space="preserve">נקודת המבט ששימשה אותנו עד כה היא על דרך השלילה: האם יש חלופות שיגשימו את תכלית החקיקה תוך פגיעה פחותה בזכויותיה של איתנית. האחרונה שמה דגש על כיוון זה. ברם ניתן לבחון את הסוגיה, במקביל, גם על דרך החיוב. מנקודת מבט זו, המנגנון שבחר המחוקק </w:t>
      </w:r>
      <w:r w:rsidRPr="00A44018">
        <w:rPr>
          <w:rFonts w:ascii="Times New Roman" w:hAnsi="Times New Roman" w:hint="cs"/>
          <w:szCs w:val="22"/>
          <w:rtl/>
        </w:rPr>
        <w:t>כולל בתוכו איזונים ובלמים אשר מצמצמים את הפגיעה שנגרמת לאיתנית</w:t>
      </w:r>
      <w:r w:rsidRPr="00C34D2B">
        <w:rPr>
          <w:rFonts w:ascii="Times New Roman" w:hAnsi="Times New Roman" w:hint="cs"/>
          <w:szCs w:val="22"/>
          <w:highlight w:val="yellow"/>
          <w:rtl/>
        </w:rPr>
        <w:t xml:space="preserve">. בהקשר זה יוזכרו </w:t>
      </w:r>
      <w:r w:rsidRPr="00A44018">
        <w:rPr>
          <w:rFonts w:ascii="Times New Roman" w:hAnsi="Times New Roman" w:hint="cs"/>
          <w:szCs w:val="22"/>
          <w:rtl/>
        </w:rPr>
        <w:t>חמישה אלמנטים</w:t>
      </w:r>
      <w:r w:rsidRPr="00C34D2B">
        <w:rPr>
          <w:rFonts w:ascii="Times New Roman" w:hAnsi="Times New Roman" w:hint="cs"/>
          <w:szCs w:val="22"/>
          <w:highlight w:val="yellow"/>
          <w:rtl/>
        </w:rPr>
        <w:t xml:space="preserve">: </w:t>
      </w:r>
      <w:r w:rsidRPr="00A44018">
        <w:rPr>
          <w:rFonts w:ascii="Times New Roman" w:hAnsi="Times New Roman" w:hint="cs"/>
          <w:szCs w:val="22"/>
          <w:rtl/>
        </w:rPr>
        <w:t>ראשית</w:t>
      </w:r>
      <w:r w:rsidRPr="00C34D2B">
        <w:rPr>
          <w:rFonts w:ascii="Times New Roman" w:hAnsi="Times New Roman" w:hint="cs"/>
          <w:szCs w:val="22"/>
          <w:highlight w:val="yellow"/>
          <w:rtl/>
        </w:rPr>
        <w:t xml:space="preserve">, איתנית תחויב לשלם לא יותר ממחצית מעלותו המשוערת של פרויקט הסילוק. מחצית, ואולי אף פחות, אך ודאי לא יותר. </w:t>
      </w:r>
      <w:r w:rsidRPr="00A44018">
        <w:rPr>
          <w:rFonts w:ascii="Times New Roman" w:hAnsi="Times New Roman" w:hint="cs"/>
          <w:szCs w:val="22"/>
          <w:rtl/>
        </w:rPr>
        <w:t>שנית</w:t>
      </w:r>
      <w:r w:rsidRPr="00C34D2B">
        <w:rPr>
          <w:rFonts w:ascii="Times New Roman" w:hAnsi="Times New Roman" w:hint="cs"/>
          <w:szCs w:val="22"/>
          <w:highlight w:val="yellow"/>
          <w:rtl/>
        </w:rPr>
        <w:t xml:space="preserve">, חיובה הכספי של איתנית לא יעלה בכל מקרה על 150 מיליון ₪. </w:t>
      </w:r>
      <w:r w:rsidRPr="00A44018">
        <w:rPr>
          <w:rFonts w:ascii="Times New Roman" w:hAnsi="Times New Roman" w:hint="cs"/>
          <w:szCs w:val="22"/>
          <w:rtl/>
        </w:rPr>
        <w:t>שלישית</w:t>
      </w:r>
      <w:r w:rsidRPr="00C34D2B">
        <w:rPr>
          <w:rFonts w:ascii="Times New Roman" w:hAnsi="Times New Roman" w:hint="cs"/>
          <w:szCs w:val="22"/>
          <w:highlight w:val="yellow"/>
          <w:rtl/>
        </w:rPr>
        <w:t xml:space="preserve">, מנגנון המימון שקבע המחוקק, יחד עם ההוראות המשלימות שפרסם השר, מבטיחים כי אין מדובר בקנס או בפיצוי. החיוב הכספי שהושת על איתנית ישמש לכיסוי (חלקי) של עלויות סילוק הפסולת בלבד. </w:t>
      </w:r>
      <w:r w:rsidRPr="00A44018">
        <w:rPr>
          <w:rFonts w:ascii="Times New Roman" w:hAnsi="Times New Roman" w:hint="cs"/>
          <w:szCs w:val="22"/>
          <w:rtl/>
        </w:rPr>
        <w:t>רביעית</w:t>
      </w:r>
      <w:r w:rsidRPr="00C34D2B">
        <w:rPr>
          <w:rFonts w:ascii="Times New Roman" w:hAnsi="Times New Roman" w:hint="cs"/>
          <w:szCs w:val="22"/>
          <w:highlight w:val="yellow"/>
          <w:rtl/>
        </w:rPr>
        <w:t xml:space="preserve">, פרויקט הסילוק בו עסקינן מוגבל לרדיוס של </w:t>
      </w:r>
      <w:smartTag w:uri="urn:schemas-microsoft-com:office:smarttags" w:element="metricconverter">
        <w:smartTagPr>
          <w:attr w:name="ProductID" w:val="15 ק&quot;מ"/>
        </w:smartTagPr>
        <w:r w:rsidRPr="00C34D2B">
          <w:rPr>
            <w:rFonts w:ascii="Times New Roman" w:hAnsi="Times New Roman" w:hint="cs"/>
            <w:szCs w:val="22"/>
            <w:highlight w:val="yellow"/>
            <w:rtl/>
          </w:rPr>
          <w:t>15 ק"מ</w:t>
        </w:r>
      </w:smartTag>
      <w:r w:rsidRPr="00C34D2B">
        <w:rPr>
          <w:rFonts w:ascii="Times New Roman" w:hAnsi="Times New Roman" w:hint="cs"/>
          <w:szCs w:val="22"/>
          <w:highlight w:val="yellow"/>
          <w:rtl/>
        </w:rPr>
        <w:t xml:space="preserve"> סביב המפעל. סעיף 74 איננו מחייב את איתנית להשתתף במימון סילוק פסולת אסבסט אם היא מצויה מחוץ לטווח זה. </w:t>
      </w:r>
      <w:r w:rsidRPr="00A44018">
        <w:rPr>
          <w:rFonts w:ascii="Times New Roman" w:hAnsi="Times New Roman" w:hint="cs"/>
          <w:szCs w:val="22"/>
          <w:rtl/>
        </w:rPr>
        <w:t>ולבסוף</w:t>
      </w:r>
      <w:r w:rsidRPr="00C34D2B">
        <w:rPr>
          <w:rFonts w:ascii="Times New Roman" w:hAnsi="Times New Roman" w:hint="cs"/>
          <w:szCs w:val="22"/>
          <w:highlight w:val="yellow"/>
          <w:rtl/>
        </w:rPr>
        <w:t xml:space="preserve">, ההוראות שפרסם השר יוצרות מנגנון בדיקה ובקרה, אשר יאפשר לאיתנית להשיג באופן פרטני על חיובה לשלם בגין מצבורי פסולת ספציפיים. </w:t>
      </w:r>
    </w:p>
    <w:p w:rsidR="005366A8" w:rsidRPr="00D371F0" w:rsidRDefault="005366A8" w:rsidP="005366A8">
      <w:pPr>
        <w:spacing w:after="60"/>
        <w:rPr>
          <w:rFonts w:cs="FrankRuehl"/>
          <w:sz w:val="22"/>
          <w:szCs w:val="22"/>
          <w:rtl/>
        </w:rPr>
      </w:pPr>
      <w:r w:rsidRPr="00C34D2B">
        <w:rPr>
          <w:rFonts w:cs="FrankRuehl" w:hint="cs"/>
          <w:sz w:val="22"/>
          <w:szCs w:val="22"/>
          <w:rtl/>
        </w:rPr>
        <w:tab/>
      </w:r>
      <w:r w:rsidRPr="00C34D2B">
        <w:rPr>
          <w:rFonts w:cs="FrankRuehl" w:hint="cs"/>
          <w:sz w:val="22"/>
          <w:szCs w:val="22"/>
          <w:highlight w:val="yellow"/>
          <w:rtl/>
        </w:rPr>
        <w:t>חמשת האלמנטים הנזכרים אינם בגדר השערה או פרשנות יצירתית. מדובר באיזונים ובלמים המובנים בתוך לשונו המפורשת של סעיף 74 וההוראות המשלימות אותו. הם מפחיתים את הפגיעה שתיגרם לקניינה של איתנית, תוך הגשמת התכלית הדומיננטית של ניקוי הגליל המערבי מפסולת אסבסט והתכלית המשנית של "המזהם משלם" (ככל שיש כזו).</w:t>
      </w:r>
    </w:p>
    <w:p w:rsidR="005366A8" w:rsidRPr="00D371F0" w:rsidRDefault="005366A8" w:rsidP="005366A8">
      <w:pPr>
        <w:pStyle w:val="Ruller41"/>
        <w:spacing w:after="60" w:line="240" w:lineRule="auto"/>
        <w:rPr>
          <w:rFonts w:ascii="Times New Roman" w:hAnsi="Times New Roman"/>
          <w:szCs w:val="22"/>
          <w:rtl/>
        </w:rPr>
      </w:pPr>
      <w:r w:rsidRPr="00D371F0">
        <w:rPr>
          <w:rFonts w:ascii="Times New Roman" w:hAnsi="Times New Roman" w:cs="Miriam" w:hint="cs"/>
          <w:szCs w:val="22"/>
          <w:highlight w:val="yellow"/>
          <w:rtl/>
        </w:rPr>
        <w:t>(3) מידתיות במובן הצר</w:t>
      </w:r>
      <w:r w:rsidRPr="00D371F0">
        <w:rPr>
          <w:rFonts w:ascii="Times New Roman" w:hAnsi="Times New Roman" w:cs="Miriam" w:hint="cs"/>
          <w:szCs w:val="22"/>
          <w:rtl/>
        </w:rPr>
        <w:t xml:space="preserve"> </w:t>
      </w:r>
    </w:p>
    <w:p w:rsidR="005366A8" w:rsidRPr="00D371F0" w:rsidRDefault="005366A8" w:rsidP="005366A8">
      <w:pPr>
        <w:pStyle w:val="Ruller41"/>
        <w:spacing w:after="60" w:line="240" w:lineRule="auto"/>
        <w:rPr>
          <w:szCs w:val="22"/>
          <w:rtl/>
        </w:rPr>
      </w:pPr>
      <w:r>
        <w:rPr>
          <w:rFonts w:ascii="Times New Roman" w:hAnsi="Times New Roman" w:hint="cs"/>
          <w:szCs w:val="22"/>
          <w:rtl/>
        </w:rPr>
        <w:t>34.</w:t>
      </w:r>
      <w:r>
        <w:rPr>
          <w:rFonts w:ascii="Times New Roman" w:hAnsi="Times New Roman" w:hint="cs"/>
          <w:szCs w:val="22"/>
          <w:rtl/>
        </w:rPr>
        <w:tab/>
      </w:r>
      <w:r w:rsidRPr="00D371F0">
        <w:rPr>
          <w:rFonts w:ascii="Times New Roman" w:hAnsi="Times New Roman" w:hint="cs"/>
          <w:szCs w:val="22"/>
          <w:rtl/>
        </w:rPr>
        <w:t xml:space="preserve">נותרנו, אפוא, עם מבחן המשנה השלישי והאחרון בביקורת החוקתית: </w:t>
      </w:r>
      <w:r w:rsidRPr="00A44018">
        <w:rPr>
          <w:rFonts w:ascii="Times New Roman" w:hAnsi="Times New Roman" w:hint="cs"/>
          <w:szCs w:val="22"/>
          <w:highlight w:val="yellow"/>
          <w:rtl/>
        </w:rPr>
        <w:t>מבחן המידתיות במובן הצר</w:t>
      </w:r>
      <w:r w:rsidRPr="00D371F0">
        <w:rPr>
          <w:rFonts w:ascii="Times New Roman" w:hAnsi="Times New Roman" w:hint="cs"/>
          <w:szCs w:val="22"/>
          <w:rtl/>
        </w:rPr>
        <w:t xml:space="preserve">. מבחן זה </w:t>
      </w:r>
      <w:r w:rsidRPr="00A44018">
        <w:rPr>
          <w:rFonts w:ascii="Times New Roman" w:hAnsi="Times New Roman" w:hint="cs"/>
          <w:szCs w:val="22"/>
          <w:highlight w:val="yellow"/>
          <w:rtl/>
        </w:rPr>
        <w:t xml:space="preserve">בודק את היחס הראוי "בין התועלת הציבורית </w:t>
      </w:r>
      <w:r w:rsidRPr="00A44018">
        <w:rPr>
          <w:rFonts w:hint="cs"/>
          <w:szCs w:val="22"/>
          <w:highlight w:val="yellow"/>
          <w:rtl/>
        </w:rPr>
        <w:t xml:space="preserve">הצומחת מדבר החקיקה שחוקתיותו עומדת על הפרק, לבין הנזק לזכות החוקתית הנגרם על ידי אותו דבר החקיקה" </w:t>
      </w:r>
      <w:r w:rsidRPr="00A44018">
        <w:rPr>
          <w:rFonts w:ascii="Times New Roman" w:hAnsi="Times New Roman" w:hint="cs"/>
          <w:szCs w:val="22"/>
          <w:highlight w:val="yellow"/>
          <w:rtl/>
        </w:rPr>
        <w:t>... זהו מבחן של נזק מול תועלת במישור החוקתי – תועלת חברתית מול פגיעה בזכות</w:t>
      </w:r>
      <w:r w:rsidRPr="00D371F0">
        <w:rPr>
          <w:rFonts w:ascii="Times New Roman" w:hAnsi="Times New Roman" w:hint="cs"/>
          <w:szCs w:val="22"/>
          <w:rtl/>
        </w:rPr>
        <w:t xml:space="preserve">. </w:t>
      </w:r>
    </w:p>
    <w:p w:rsidR="005366A8" w:rsidRPr="00D371F0" w:rsidRDefault="005366A8" w:rsidP="005366A8">
      <w:pPr>
        <w:pStyle w:val="Ruller41"/>
        <w:spacing w:after="60" w:line="240" w:lineRule="auto"/>
        <w:rPr>
          <w:szCs w:val="22"/>
          <w:rtl/>
        </w:rPr>
      </w:pPr>
      <w:r w:rsidRPr="00D371F0">
        <w:rPr>
          <w:rFonts w:hint="cs"/>
          <w:szCs w:val="22"/>
          <w:rtl/>
        </w:rPr>
        <w:tab/>
        <w:t xml:space="preserve">בפסיקה הובעה הדעה לפיה: "זהו מבחן החשוב ביותר מבין שלושת מבחני המשנה" </w:t>
      </w:r>
      <w:r>
        <w:rPr>
          <w:rFonts w:hint="cs"/>
          <w:szCs w:val="22"/>
          <w:rtl/>
        </w:rPr>
        <w:t xml:space="preserve">... </w:t>
      </w:r>
      <w:r w:rsidRPr="00D371F0">
        <w:rPr>
          <w:rFonts w:hint="cs"/>
          <w:szCs w:val="22"/>
          <w:rtl/>
        </w:rPr>
        <w:t xml:space="preserve">כך או כך, אין זה מבחן סף. מקומו כמשוכה האחרונה במסע החוקתי מכוון אליו את הזרקור. על אף שכותרתו של מבחן משנה זה היא "מידתיות במובן הצר", אין הוא צר כלל ועיקר. הוא מהווה אתגר מיוחד לשופט. לתפיסתי, ודווקא בשל כך, מבחן זה עשוי להתפתח עם הזמן - לרבות קביעת כללים להבניית יישומו - יותר ממבחני משנה אחרים. </w:t>
      </w:r>
    </w:p>
    <w:p w:rsidR="005366A8" w:rsidRPr="00D371F0" w:rsidRDefault="005366A8" w:rsidP="005366A8">
      <w:pPr>
        <w:pStyle w:val="Ruller41"/>
        <w:spacing w:after="60" w:line="240" w:lineRule="auto"/>
        <w:rPr>
          <w:szCs w:val="22"/>
          <w:rtl/>
        </w:rPr>
      </w:pPr>
      <w:r w:rsidRPr="00D371F0">
        <w:rPr>
          <w:rFonts w:hint="cs"/>
          <w:szCs w:val="22"/>
          <w:rtl/>
        </w:rPr>
        <w:tab/>
        <w:t xml:space="preserve">בכל מצב, במקרנו, ברי כי התועלת המופקת מן החוק רבה מאוד. לכן, יהיה ניתן לקבוע שסעיף 74 איננו חוקתי רק אם יימצא שהפגיעה בזכות הקניין של איתנית - הצד השני של המשוואה – היא בעוצמה כה גדולה, עד שתאפיל על התועלת. </w:t>
      </w:r>
    </w:p>
    <w:p w:rsidR="005366A8" w:rsidRPr="00D371F0" w:rsidRDefault="005366A8" w:rsidP="005366A8">
      <w:pPr>
        <w:spacing w:after="60"/>
        <w:rPr>
          <w:rFonts w:cs="FrankRuehl"/>
          <w:sz w:val="22"/>
          <w:szCs w:val="22"/>
          <w:rtl/>
        </w:rPr>
      </w:pPr>
      <w:r w:rsidRPr="00D371F0">
        <w:rPr>
          <w:rFonts w:cs="FrankRuehl" w:hint="cs"/>
          <w:sz w:val="22"/>
          <w:szCs w:val="22"/>
          <w:rtl/>
        </w:rPr>
        <w:tab/>
        <w:t xml:space="preserve">סעיף 74, על החיוב הכספי שבו, פוגע בזכות הקניין של איתנית. </w:t>
      </w:r>
      <w:r w:rsidRPr="00D371F0">
        <w:rPr>
          <w:rFonts w:cs="FrankRuehl" w:hint="cs"/>
          <w:sz w:val="22"/>
          <w:szCs w:val="22"/>
          <w:highlight w:val="yellow"/>
          <w:rtl/>
        </w:rPr>
        <w:t>מטיעוני איתנית עולה כי שלושה נדבכים מעצימים את הפגיעה: (1) החוק הוא פרסונאלי. (2) החוק מטיל אחריות חמורה. (3) החוק הוא רטרואקטיבי. ביחס לכל נדבך אציג תחילה את אופי הפגיעה הנטען, ואז אבחן את מימדיה האמיתיים: האם החוק חצה את הקו האדום החוקתי, ועל כן יש לעשות שימוש בנשק הלא-קונבנציונאלי של ביטול החוק; האם "הפגיעה היא כצעקתה" או שמא יש מרכיבים בחוק שממתנים אותה.</w:t>
      </w:r>
      <w:r w:rsidRPr="00D371F0">
        <w:rPr>
          <w:rFonts w:cs="FrankRuehl" w:hint="cs"/>
          <w:sz w:val="22"/>
          <w:szCs w:val="22"/>
          <w:rtl/>
        </w:rPr>
        <w:t xml:space="preserve"> באמצעות בחינה זו תתבצע ההשוואה החוקתית בין הנזק לתועלת.</w:t>
      </w:r>
    </w:p>
    <w:p w:rsidR="005366A8" w:rsidRDefault="005366A8" w:rsidP="005366A8">
      <w:pPr>
        <w:pStyle w:val="Ruller41"/>
        <w:rPr>
          <w:rFonts w:ascii="Times New Roman" w:hAnsi="Times New Roman" w:cs="Miriam"/>
          <w:szCs w:val="22"/>
          <w:rtl/>
        </w:rPr>
      </w:pPr>
      <w:r w:rsidRPr="00D371F0">
        <w:rPr>
          <w:rFonts w:ascii="Times New Roman" w:hAnsi="Times New Roman" w:cs="Miriam" w:hint="cs"/>
          <w:szCs w:val="22"/>
          <w:highlight w:val="yellow"/>
          <w:rtl/>
        </w:rPr>
        <w:t>חוק פרסונאלי</w:t>
      </w:r>
      <w:r w:rsidRPr="00D371F0">
        <w:rPr>
          <w:rFonts w:ascii="Times New Roman" w:hAnsi="Times New Roman" w:cs="Miriam" w:hint="cs"/>
          <w:szCs w:val="22"/>
          <w:rtl/>
        </w:rPr>
        <w:t xml:space="preserve"> </w:t>
      </w:r>
      <w:r>
        <w:rPr>
          <w:rFonts w:ascii="Times New Roman" w:hAnsi="Times New Roman" w:cs="Miriam" w:hint="cs"/>
          <w:szCs w:val="22"/>
          <w:rtl/>
        </w:rPr>
        <w:t>[...]</w:t>
      </w:r>
    </w:p>
    <w:p w:rsidR="005366A8" w:rsidRPr="00245D75" w:rsidRDefault="005366A8" w:rsidP="005366A8">
      <w:pPr>
        <w:pStyle w:val="Ruller41"/>
        <w:spacing w:after="60" w:line="240" w:lineRule="auto"/>
        <w:rPr>
          <w:rFonts w:ascii="Times New Roman" w:hAnsi="Times New Roman"/>
          <w:szCs w:val="22"/>
          <w:rtl/>
        </w:rPr>
      </w:pPr>
      <w:r w:rsidRPr="00245D75">
        <w:rPr>
          <w:rFonts w:ascii="Times New Roman" w:hAnsi="Times New Roman" w:cs="Miriam" w:hint="cs"/>
          <w:szCs w:val="22"/>
          <w:highlight w:val="yellow"/>
          <w:rtl/>
        </w:rPr>
        <w:t>אחריות חמורה</w:t>
      </w:r>
      <w:r w:rsidRPr="00245D75">
        <w:rPr>
          <w:rFonts w:ascii="Times New Roman" w:hAnsi="Times New Roman" w:cs="Miriam" w:hint="cs"/>
          <w:szCs w:val="22"/>
          <w:rtl/>
        </w:rPr>
        <w:t xml:space="preserve"> </w:t>
      </w:r>
    </w:p>
    <w:p w:rsidR="005366A8" w:rsidRPr="00245D75" w:rsidRDefault="005366A8" w:rsidP="005366A8">
      <w:pPr>
        <w:pStyle w:val="Ruller41"/>
        <w:spacing w:after="60" w:line="240" w:lineRule="auto"/>
        <w:rPr>
          <w:rFonts w:ascii="Times New Roman" w:hAnsi="Times New Roman"/>
          <w:szCs w:val="22"/>
        </w:rPr>
      </w:pPr>
      <w:r>
        <w:rPr>
          <w:rFonts w:ascii="Times New Roman" w:hAnsi="Times New Roman" w:hint="cs"/>
          <w:szCs w:val="22"/>
          <w:rtl/>
        </w:rPr>
        <w:t>36.</w:t>
      </w:r>
      <w:r>
        <w:rPr>
          <w:rFonts w:ascii="Times New Roman" w:hAnsi="Times New Roman" w:hint="cs"/>
          <w:szCs w:val="22"/>
          <w:rtl/>
        </w:rPr>
        <w:tab/>
      </w:r>
      <w:r w:rsidRPr="00245D75">
        <w:rPr>
          <w:rFonts w:ascii="Times New Roman" w:hAnsi="Times New Roman" w:hint="cs"/>
          <w:szCs w:val="22"/>
          <w:rtl/>
        </w:rPr>
        <w:t xml:space="preserve">העותרת מצביעה על נדבך נוסף שמעצים את הפגיעה בקניינה: משטר של אחריות חמורה דה-פקטו. במילים אחרות, המחוקק הטיל על איתנית לשאת באחריות בגין פעולות הזיהום שביצעה בעבר, וזאת על אף שפעולות אלו על פני הדברים לא היו כרוכות באותה שעה בהפרה של חובת זהירות, ובכל מקרה לא התנהל לפני בית משפט הליך אזרחי בעניין אשר קבע אחרת. איתנית טוענת כי יסוד זה מחמיר את הפגיעה בזכותה הקניינית. </w:t>
      </w:r>
    </w:p>
    <w:p w:rsidR="005366A8" w:rsidRPr="00245D75" w:rsidRDefault="005366A8" w:rsidP="005366A8">
      <w:pPr>
        <w:pStyle w:val="Ruller41"/>
        <w:spacing w:after="60" w:line="240" w:lineRule="auto"/>
        <w:rPr>
          <w:rFonts w:ascii="Times New Roman" w:hAnsi="Times New Roman"/>
          <w:szCs w:val="22"/>
          <w:rtl/>
        </w:rPr>
      </w:pPr>
      <w:r w:rsidRPr="00245D75">
        <w:rPr>
          <w:rFonts w:ascii="Times New Roman" w:hAnsi="Times New Roman" w:hint="cs"/>
          <w:szCs w:val="22"/>
          <w:rtl/>
        </w:rPr>
        <w:tab/>
        <w:t>נכון הוא שעל פני הדברים אחריות חמורה מעוררת סימני שאלה ומזמינה עיון ובדיקה. אך במקרה דנן, להשקפתי, שלושה שיקולים מצמצמים - או מאזנים - את הקושי החוקתי הכרוך בהטלת אחריות חמורה.</w:t>
      </w:r>
      <w:r>
        <w:rPr>
          <w:rFonts w:ascii="Times New Roman" w:hAnsi="Times New Roman" w:hint="cs"/>
          <w:szCs w:val="22"/>
          <w:rtl/>
        </w:rPr>
        <w:t xml:space="preserve"> [...]</w:t>
      </w:r>
    </w:p>
    <w:p w:rsidR="005366A8" w:rsidRPr="00245D75" w:rsidRDefault="005366A8" w:rsidP="005366A8">
      <w:pPr>
        <w:spacing w:after="60"/>
        <w:rPr>
          <w:rFonts w:cs="FrankRuehl"/>
          <w:sz w:val="22"/>
          <w:szCs w:val="22"/>
          <w:rtl/>
        </w:rPr>
      </w:pPr>
      <w:r w:rsidRPr="00245D75">
        <w:rPr>
          <w:rFonts w:cs="Miriam" w:hint="cs"/>
          <w:sz w:val="22"/>
          <w:szCs w:val="22"/>
          <w:highlight w:val="yellow"/>
          <w:rtl/>
        </w:rPr>
        <w:t>חוק רטרואקטיבי</w:t>
      </w:r>
    </w:p>
    <w:p w:rsidR="005366A8" w:rsidRDefault="005366A8" w:rsidP="005366A8">
      <w:pPr>
        <w:spacing w:after="60"/>
        <w:rPr>
          <w:rFonts w:cs="FrankRuehl"/>
          <w:sz w:val="22"/>
          <w:szCs w:val="22"/>
          <w:rtl/>
        </w:rPr>
      </w:pPr>
      <w:r>
        <w:rPr>
          <w:rFonts w:cs="FrankRuehl" w:hint="cs"/>
          <w:sz w:val="22"/>
          <w:szCs w:val="22"/>
          <w:rtl/>
        </w:rPr>
        <w:t>[...]</w:t>
      </w:r>
      <w:r>
        <w:rPr>
          <w:rFonts w:cs="FrankRuehl" w:hint="cs"/>
          <w:sz w:val="22"/>
          <w:szCs w:val="22"/>
          <w:rtl/>
        </w:rPr>
        <w:tab/>
      </w:r>
      <w:r w:rsidRPr="00245D75">
        <w:rPr>
          <w:rFonts w:cs="FrankRuehl" w:hint="cs"/>
          <w:sz w:val="22"/>
          <w:szCs w:val="22"/>
          <w:highlight w:val="lightGray"/>
          <w:rtl/>
        </w:rPr>
        <w:t xml:space="preserve">{כאן יש דיון חשוב מאד של השופט הנדל </w:t>
      </w:r>
      <w:r w:rsidRPr="00245D75">
        <w:rPr>
          <w:rFonts w:cs="FrankRuehl"/>
          <w:sz w:val="22"/>
          <w:szCs w:val="22"/>
          <w:highlight w:val="lightGray"/>
          <w:rtl/>
        </w:rPr>
        <w:t>–</w:t>
      </w:r>
      <w:r w:rsidRPr="00245D75">
        <w:rPr>
          <w:rFonts w:cs="FrankRuehl" w:hint="cs"/>
          <w:sz w:val="22"/>
          <w:szCs w:val="22"/>
          <w:highlight w:val="lightGray"/>
          <w:rtl/>
        </w:rPr>
        <w:t xml:space="preserve"> נשוב לכאן בהמשך הקורס}</w:t>
      </w:r>
    </w:p>
    <w:p w:rsidR="005366A8" w:rsidRPr="00245D75" w:rsidRDefault="005366A8" w:rsidP="005366A8">
      <w:pPr>
        <w:spacing w:after="60"/>
        <w:rPr>
          <w:rFonts w:cs="FrankRuehl"/>
          <w:sz w:val="22"/>
          <w:szCs w:val="22"/>
          <w:rtl/>
        </w:rPr>
      </w:pPr>
      <w:r w:rsidRPr="00245D75">
        <w:rPr>
          <w:rFonts w:cs="Miriam" w:hint="cs"/>
          <w:sz w:val="22"/>
          <w:szCs w:val="22"/>
          <w:rtl/>
        </w:rPr>
        <w:t>סיכום</w:t>
      </w:r>
    </w:p>
    <w:p w:rsidR="005366A8" w:rsidRPr="00245D75" w:rsidRDefault="005366A8" w:rsidP="005366A8">
      <w:pPr>
        <w:spacing w:after="60"/>
        <w:rPr>
          <w:rFonts w:cs="FrankRuehl"/>
          <w:sz w:val="22"/>
          <w:szCs w:val="22"/>
          <w:rtl/>
        </w:rPr>
      </w:pPr>
      <w:r>
        <w:rPr>
          <w:rFonts w:cs="FrankRuehl" w:hint="cs"/>
          <w:sz w:val="22"/>
          <w:szCs w:val="22"/>
          <w:rtl/>
        </w:rPr>
        <w:t>[...]</w:t>
      </w:r>
    </w:p>
    <w:p w:rsidR="005366A8" w:rsidRPr="00245D75" w:rsidRDefault="005366A8" w:rsidP="005366A8">
      <w:pPr>
        <w:pStyle w:val="Ruller41"/>
        <w:spacing w:after="60" w:line="240" w:lineRule="auto"/>
        <w:rPr>
          <w:rFonts w:ascii="Times New Roman" w:hAnsi="Times New Roman"/>
          <w:szCs w:val="22"/>
          <w:highlight w:val="yellow"/>
          <w:rtl/>
        </w:rPr>
      </w:pPr>
      <w:r>
        <w:rPr>
          <w:rFonts w:ascii="Times New Roman" w:hAnsi="Times New Roman" w:hint="cs"/>
          <w:szCs w:val="22"/>
          <w:rtl/>
        </w:rPr>
        <w:tab/>
      </w:r>
      <w:r w:rsidRPr="00245D75">
        <w:rPr>
          <w:rFonts w:ascii="Times New Roman" w:hAnsi="Times New Roman" w:hint="cs"/>
          <w:szCs w:val="22"/>
          <w:highlight w:val="yellow"/>
          <w:rtl/>
        </w:rPr>
        <w:t xml:space="preserve">התחנה האחרונה היא מבחן המידתיות במובן הצר. בהקשר זה חידדתי שלוש נקודות שעמדו בלב טענותיה של איתנית. בסוגית </w:t>
      </w:r>
      <w:r w:rsidRPr="00A44018">
        <w:rPr>
          <w:rFonts w:ascii="Times New Roman" w:hAnsi="Times New Roman" w:hint="cs"/>
          <w:szCs w:val="22"/>
          <w:rtl/>
        </w:rPr>
        <w:t>הכלליות,</w:t>
      </w:r>
      <w:r w:rsidRPr="00245D75">
        <w:rPr>
          <w:rFonts w:ascii="Times New Roman" w:hAnsi="Times New Roman" w:hint="cs"/>
          <w:szCs w:val="22"/>
          <w:highlight w:val="yellow"/>
          <w:rtl/>
        </w:rPr>
        <w:t xml:space="preserve"> אין מחלוקת על כך שסעיף 74 לחוק מכוון באופן ספציפי כלפי איתנית לבדה (מלבד המדינה והרשויות המקומיות). אלא </w:t>
      </w:r>
      <w:r w:rsidRPr="00A44018">
        <w:rPr>
          <w:rFonts w:ascii="Times New Roman" w:hAnsi="Times New Roman" w:hint="cs"/>
          <w:szCs w:val="22"/>
          <w:rtl/>
        </w:rPr>
        <w:t xml:space="preserve">שההתמקדות באיתנית איננה רוח-עועים שתקפה את המחוקק, אלא פרי המציאות שנוצרה על ידי איתנית עצמה. </w:t>
      </w:r>
      <w:r w:rsidRPr="00A44018">
        <w:rPr>
          <w:rFonts w:ascii="Times New Roman" w:hAnsi="Times New Roman" w:hint="cs"/>
          <w:szCs w:val="22"/>
          <w:highlight w:val="yellow"/>
          <w:rtl/>
        </w:rPr>
        <w:t>הסעיף נועד לתת מענה למצב הייחודי שנוצר: מצבורי פסולת אסבסט בהיקף גדול, באזור גיאוגרפי מוגדר,</w:t>
      </w:r>
      <w:r w:rsidRPr="00A44018">
        <w:rPr>
          <w:rFonts w:ascii="Times New Roman" w:hAnsi="Times New Roman" w:hint="cs"/>
          <w:szCs w:val="22"/>
          <w:rtl/>
        </w:rPr>
        <w:t xml:space="preserve"> שנוצרו באופן שיטתי על ידי גורם אחד דומיננטי </w:t>
      </w:r>
      <w:r w:rsidRPr="00245D75">
        <w:rPr>
          <w:rFonts w:ascii="Times New Roman" w:hAnsi="Times New Roman" w:hint="cs"/>
          <w:szCs w:val="22"/>
          <w:highlight w:val="yellow"/>
          <w:rtl/>
        </w:rPr>
        <w:t xml:space="preserve">- הוא איתנית. </w:t>
      </w:r>
    </w:p>
    <w:p w:rsidR="005366A8" w:rsidRPr="00245D75" w:rsidRDefault="005366A8" w:rsidP="005366A8">
      <w:pPr>
        <w:pStyle w:val="Ruller41"/>
        <w:spacing w:after="60" w:line="240" w:lineRule="auto"/>
        <w:rPr>
          <w:rFonts w:ascii="Times New Roman" w:hAnsi="Times New Roman"/>
          <w:szCs w:val="22"/>
          <w:highlight w:val="yellow"/>
          <w:rtl/>
        </w:rPr>
      </w:pPr>
      <w:r w:rsidRPr="00245D75">
        <w:rPr>
          <w:rFonts w:ascii="Times New Roman" w:hAnsi="Times New Roman" w:hint="cs"/>
          <w:szCs w:val="22"/>
          <w:highlight w:val="yellow"/>
          <w:rtl/>
        </w:rPr>
        <w:tab/>
        <w:t xml:space="preserve">בסוגיית </w:t>
      </w:r>
      <w:r w:rsidRPr="00A44018">
        <w:rPr>
          <w:rFonts w:ascii="Times New Roman" w:hAnsi="Times New Roman" w:hint="cs"/>
          <w:szCs w:val="22"/>
          <w:rtl/>
        </w:rPr>
        <w:t>האחריות החמורה</w:t>
      </w:r>
      <w:r w:rsidRPr="00245D75">
        <w:rPr>
          <w:rFonts w:ascii="Times New Roman" w:hAnsi="Times New Roman" w:hint="cs"/>
          <w:szCs w:val="22"/>
          <w:highlight w:val="yellow"/>
          <w:rtl/>
        </w:rPr>
        <w:t xml:space="preserve">, נכון הוא שעל פני הדברים מדובר במשטר נוקשה שמעורר סימני שאלה. אלא ששלושה שיקולים מצמצמים את הקושי. </w:t>
      </w:r>
      <w:r w:rsidRPr="00A44018">
        <w:rPr>
          <w:rFonts w:ascii="Times New Roman" w:hAnsi="Times New Roman" w:hint="cs"/>
          <w:szCs w:val="22"/>
          <w:rtl/>
        </w:rPr>
        <w:t>ראשית</w:t>
      </w:r>
      <w:r w:rsidRPr="00245D75">
        <w:rPr>
          <w:rFonts w:ascii="Times New Roman" w:hAnsi="Times New Roman" w:hint="cs"/>
          <w:szCs w:val="22"/>
          <w:highlight w:val="yellow"/>
          <w:rtl/>
        </w:rPr>
        <w:t xml:space="preserve">, טעמים כבדי משקל למשטר אחריות חמורה ובראשם שיקולי צדק והגינות, הרתעה והפנמת עלויות, כמו גם הקושי הראייתי במשטר של אחריות מבוססת-אשם. </w:t>
      </w:r>
      <w:r w:rsidRPr="00A44018">
        <w:rPr>
          <w:rFonts w:ascii="Times New Roman" w:hAnsi="Times New Roman" w:hint="cs"/>
          <w:szCs w:val="22"/>
          <w:rtl/>
        </w:rPr>
        <w:t>שנית</w:t>
      </w:r>
      <w:r w:rsidRPr="00245D75">
        <w:rPr>
          <w:rFonts w:ascii="Times New Roman" w:hAnsi="Times New Roman" w:hint="cs"/>
          <w:szCs w:val="22"/>
          <w:highlight w:val="yellow"/>
          <w:rtl/>
        </w:rPr>
        <w:t xml:space="preserve">, התמיכה בהטלת אחריות חמורה במדינות רבות באירופה, בארצות הברית ובמדינות נוספות. </w:t>
      </w:r>
      <w:r w:rsidRPr="0002565C">
        <w:rPr>
          <w:rFonts w:ascii="Times New Roman" w:hAnsi="Times New Roman" w:hint="cs"/>
          <w:szCs w:val="22"/>
          <w:rtl/>
        </w:rPr>
        <w:t>שלישית</w:t>
      </w:r>
      <w:r w:rsidRPr="00245D75">
        <w:rPr>
          <w:rFonts w:ascii="Times New Roman" w:hAnsi="Times New Roman" w:hint="cs"/>
          <w:szCs w:val="22"/>
          <w:highlight w:val="yellow"/>
          <w:rtl/>
        </w:rPr>
        <w:t xml:space="preserve">, מימד מסוים של צפיוּת עובדתית או ידיעה של איתנית אודות נזקי האסבסט (כמובן לא ברף נזיקי או פלילי). </w:t>
      </w:r>
    </w:p>
    <w:p w:rsidR="005366A8" w:rsidRPr="00245D75" w:rsidRDefault="005366A8" w:rsidP="005366A8">
      <w:pPr>
        <w:pStyle w:val="Ruller41"/>
        <w:spacing w:after="60" w:line="240" w:lineRule="auto"/>
        <w:rPr>
          <w:rFonts w:ascii="Times New Roman" w:hAnsi="Times New Roman"/>
          <w:szCs w:val="22"/>
          <w:highlight w:val="yellow"/>
          <w:rtl/>
        </w:rPr>
      </w:pPr>
      <w:r w:rsidRPr="00245D75">
        <w:rPr>
          <w:rFonts w:ascii="Times New Roman" w:hAnsi="Times New Roman" w:hint="cs"/>
          <w:szCs w:val="22"/>
          <w:highlight w:val="yellow"/>
          <w:rtl/>
        </w:rPr>
        <w:tab/>
        <w:t xml:space="preserve">ולסיום, בסוגיית תחולתו בזמן של החוק, מסקנתי היא כי החוק הוא בעל תחולה אקטיבית במובן הצר. הוא אמנם חל על מצב דברים קיים, אך אין זו תחולה אקטיבית במובן הרגיל: </w:t>
      </w:r>
      <w:r w:rsidRPr="0002565C">
        <w:rPr>
          <w:rFonts w:ascii="Times New Roman" w:hAnsi="Times New Roman" w:hint="cs"/>
          <w:szCs w:val="22"/>
          <w:rtl/>
        </w:rPr>
        <w:t>כל היסודות העובדתיים התגבשו במלואם בעבר, וסעיף 74 איננו מופנה כלל כלפי עתיד</w:t>
      </w:r>
      <w:r w:rsidRPr="00245D75">
        <w:rPr>
          <w:rFonts w:ascii="Times New Roman" w:hAnsi="Times New Roman" w:hint="cs"/>
          <w:szCs w:val="22"/>
          <w:highlight w:val="yellow"/>
          <w:rtl/>
        </w:rPr>
        <w:t xml:space="preserve">. בכל מקרה, אפילו אם מדובר היה בחוק רטרואקטיבי לגמרי - אין זה שיקול מכריע, אלא רק שיקול נוסף במאזן החוקתי. בנקודה זו עמדתי על שלושה אלמנטים שממתיקים את "רוע הגזירה": </w:t>
      </w:r>
      <w:r w:rsidRPr="0002565C">
        <w:rPr>
          <w:rFonts w:ascii="Times New Roman" w:hAnsi="Times New Roman" w:hint="cs"/>
          <w:szCs w:val="22"/>
          <w:rtl/>
        </w:rPr>
        <w:t>ראשית</w:t>
      </w:r>
      <w:r w:rsidRPr="00245D75">
        <w:rPr>
          <w:rFonts w:ascii="Times New Roman" w:hAnsi="Times New Roman" w:hint="cs"/>
          <w:szCs w:val="22"/>
          <w:highlight w:val="yellow"/>
          <w:rtl/>
        </w:rPr>
        <w:t xml:space="preserve">, אלמנט הצפיוּת או הידיעה של הסיכון. </w:t>
      </w:r>
      <w:r w:rsidRPr="0002565C">
        <w:rPr>
          <w:rFonts w:ascii="Times New Roman" w:hAnsi="Times New Roman" w:hint="cs"/>
          <w:szCs w:val="22"/>
          <w:rtl/>
        </w:rPr>
        <w:t>שנית</w:t>
      </w:r>
      <w:r w:rsidRPr="00245D75">
        <w:rPr>
          <w:rFonts w:ascii="Times New Roman" w:hAnsi="Times New Roman" w:hint="cs"/>
          <w:szCs w:val="22"/>
          <w:highlight w:val="yellow"/>
          <w:rtl/>
        </w:rPr>
        <w:t xml:space="preserve">, היקף הסיכון. הנתון לפיו העדר טיפול בפסולת האסבסט - יותיר אזרחים רבים חשופים לפצצת בריאות מתקתקת. לא ניתן להשאיר את המצב על כנו. בתחרות בין הטלת התשלום על כתפי איתנית, לבין הטלת התשלום על כתפי הציבור - זיקתה של איתנית לפסולת בגדר היוצר והמרוויח מטה את הכף, או לכל הפחות מאפשרת זאת. </w:t>
      </w:r>
      <w:r w:rsidRPr="0002565C">
        <w:rPr>
          <w:rFonts w:ascii="Times New Roman" w:hAnsi="Times New Roman" w:hint="cs"/>
          <w:szCs w:val="22"/>
          <w:rtl/>
        </w:rPr>
        <w:t>ושלישית</w:t>
      </w:r>
      <w:r w:rsidRPr="00245D75">
        <w:rPr>
          <w:rFonts w:ascii="Times New Roman" w:hAnsi="Times New Roman" w:hint="cs"/>
          <w:szCs w:val="22"/>
          <w:highlight w:val="yellow"/>
          <w:rtl/>
        </w:rPr>
        <w:t xml:space="preserve">, התמיכה בהטלת אחריות רטרואקטיבית בארצות הברית ובמדינות נוספות (דוגמת ספרד ובריטניה). </w:t>
      </w:r>
    </w:p>
    <w:p w:rsidR="005366A8" w:rsidRDefault="005366A8" w:rsidP="005366A8">
      <w:pPr>
        <w:spacing w:after="60"/>
        <w:rPr>
          <w:rFonts w:cs="FrankRuehl"/>
          <w:sz w:val="22"/>
          <w:szCs w:val="22"/>
          <w:rtl/>
        </w:rPr>
      </w:pPr>
      <w:r w:rsidRPr="00245D75">
        <w:rPr>
          <w:rFonts w:cs="FrankRuehl" w:hint="cs"/>
          <w:sz w:val="22"/>
          <w:szCs w:val="22"/>
          <w:highlight w:val="yellow"/>
          <w:rtl/>
        </w:rPr>
        <w:tab/>
        <w:t>אין להתעלם מהפגיעה בזכויותיה של איתנית, ומכך שהמחוקק יצר מתווה חדש. ברם, דעתי היא כי הפגיעה בזכויות החוקתיות של איתנית - כתוצאה מסעיף 74 - עומדת במבחני פסקת ההגבלה.</w:t>
      </w:r>
    </w:p>
    <w:p w:rsidR="005366A8" w:rsidRDefault="005366A8" w:rsidP="005366A8">
      <w:pPr>
        <w:pStyle w:val="Ruller41"/>
        <w:spacing w:after="60" w:line="240" w:lineRule="auto"/>
        <w:rPr>
          <w:rFonts w:ascii="Times New Roman" w:hAnsi="Times New Roman"/>
          <w:szCs w:val="22"/>
          <w:rtl/>
        </w:rPr>
      </w:pPr>
      <w:r w:rsidRPr="00245D75">
        <w:rPr>
          <w:rFonts w:ascii="Times New Roman" w:hAnsi="Times New Roman" w:cs="Miriam" w:hint="cs"/>
          <w:szCs w:val="22"/>
          <w:rtl/>
        </w:rPr>
        <w:t xml:space="preserve">אחרית </w:t>
      </w:r>
      <w:r w:rsidRPr="00245D75">
        <w:rPr>
          <w:rFonts w:ascii="Times New Roman" w:hAnsi="Times New Roman" w:hint="cs"/>
          <w:szCs w:val="22"/>
          <w:rtl/>
        </w:rPr>
        <w:t xml:space="preserve">דבר </w:t>
      </w:r>
    </w:p>
    <w:p w:rsidR="005366A8" w:rsidRPr="00245D75" w:rsidRDefault="005366A8" w:rsidP="005366A8">
      <w:pPr>
        <w:pStyle w:val="Ruller41"/>
        <w:spacing w:after="60" w:line="240" w:lineRule="auto"/>
        <w:rPr>
          <w:rFonts w:ascii="Times New Roman" w:hAnsi="Times New Roman"/>
          <w:szCs w:val="22"/>
        </w:rPr>
      </w:pPr>
      <w:r>
        <w:rPr>
          <w:rFonts w:ascii="Times New Roman" w:hAnsi="Times New Roman" w:hint="cs"/>
          <w:szCs w:val="22"/>
          <w:rtl/>
        </w:rPr>
        <w:t>42.</w:t>
      </w:r>
      <w:r>
        <w:rPr>
          <w:rFonts w:ascii="Times New Roman" w:hAnsi="Times New Roman" w:hint="cs"/>
          <w:szCs w:val="22"/>
          <w:rtl/>
        </w:rPr>
        <w:tab/>
      </w:r>
      <w:r w:rsidRPr="00245D75">
        <w:rPr>
          <w:rFonts w:ascii="Times New Roman" w:hAnsi="Times New Roman" w:hint="cs"/>
          <w:szCs w:val="22"/>
          <w:rtl/>
        </w:rPr>
        <w:t xml:space="preserve">כך מנהגו של הדין. הוא מאותגר על ידי המציאות המשתנה, אשר דורשת מהמחוקק למצוא פיתרון לסוגיות שמאיימות בדרך כזו או אחרת על החברה. כדי להשיג מטרה זו, לעיתים יש צורך לעצב חקיקה שנשענת על ראיה חדשה של עקרונות המשפט. כך היה גם בעבר, ונביא לכך מספר דוגמאות. </w:t>
      </w:r>
    </w:p>
    <w:p w:rsidR="005366A8" w:rsidRPr="00245D75" w:rsidRDefault="005366A8" w:rsidP="005366A8">
      <w:pPr>
        <w:pStyle w:val="Ruller41"/>
        <w:spacing w:after="60" w:line="240" w:lineRule="auto"/>
        <w:rPr>
          <w:rFonts w:ascii="Times New Roman" w:hAnsi="Times New Roman"/>
          <w:szCs w:val="22"/>
          <w:rtl/>
        </w:rPr>
      </w:pPr>
      <w:r w:rsidRPr="00245D75">
        <w:rPr>
          <w:rFonts w:ascii="Times New Roman" w:hAnsi="Times New Roman" w:hint="cs"/>
          <w:szCs w:val="22"/>
          <w:rtl/>
        </w:rPr>
        <w:tab/>
        <w:t xml:space="preserve">המשפט המקובל התקשה למצוא צידוק משפטי </w:t>
      </w:r>
      <w:r w:rsidRPr="0002565C">
        <w:rPr>
          <w:rFonts w:ascii="Times New Roman" w:hAnsi="Times New Roman" w:hint="cs"/>
          <w:szCs w:val="22"/>
          <w:highlight w:val="yellow"/>
          <w:rtl/>
        </w:rPr>
        <w:t>להטיל על אדם זר חובה לסייע לאדם אחר המצוי במצוקה</w:t>
      </w:r>
      <w:r w:rsidRPr="00245D75">
        <w:rPr>
          <w:rFonts w:ascii="Times New Roman" w:hAnsi="Times New Roman" w:hint="cs"/>
          <w:szCs w:val="22"/>
          <w:rtl/>
        </w:rPr>
        <w:t xml:space="preserve">. חרף זאת, בנסיבות מסוימות בהן גורמי ההצלה הרשמיים רחוקים מן השטח - חִייב הדין את הזר להציל. כך למשל בחובה להצלת חיים בים, שהוטלה על אוניות שעברו בסמוך </w:t>
      </w:r>
      <w:r>
        <w:rPr>
          <w:rFonts w:ascii="Times New Roman" w:hAnsi="Times New Roman" w:hint="cs"/>
          <w:szCs w:val="22"/>
          <w:rtl/>
        </w:rPr>
        <w:t xml:space="preserve">... </w:t>
      </w:r>
      <w:r w:rsidRPr="00245D75">
        <w:rPr>
          <w:rFonts w:ascii="Times New Roman" w:hAnsi="Times New Roman" w:hint="cs"/>
          <w:szCs w:val="22"/>
          <w:rtl/>
        </w:rPr>
        <w:t xml:space="preserve">דוגמא נוספת היא </w:t>
      </w:r>
      <w:r w:rsidRPr="0002565C">
        <w:rPr>
          <w:rFonts w:ascii="Times New Roman" w:hAnsi="Times New Roman" w:hint="cs"/>
          <w:szCs w:val="22"/>
          <w:highlight w:val="yellow"/>
          <w:rtl/>
        </w:rPr>
        <w:t>האפשרות להגיש תביעה ייצוגית</w:t>
      </w:r>
      <w:r w:rsidRPr="00245D75">
        <w:rPr>
          <w:rFonts w:ascii="Times New Roman" w:hAnsi="Times New Roman" w:hint="cs"/>
          <w:szCs w:val="22"/>
          <w:rtl/>
        </w:rPr>
        <w:t xml:space="preserve">: לנוכח החשש כי בהיעדר ניזוק עיקרי בסכומים של ממש ימשיכו מעוולים בהתנהגותם המזיקה עיצב המשפט את המכשיר הדיוני האמור, והוכרה האפשרות להגיש תובענה בשם קבוצת נפגעים גדולה. החידוש הוא הן מבחינת האפשרות המשפטית ליצור קבוצת תובעים, אשר חלקם המכריע כלל לא הביע עמדה בנושא, והן מבחינת ההשלכות הכלכליות גם על נתבע בעל מעמד איתן (ראו </w:t>
      </w:r>
      <w:hyperlink r:id="rId282" w:history="1">
        <w:r w:rsidRPr="00245D75">
          <w:rPr>
            <w:rFonts w:ascii="Times New Roman" w:hAnsi="Times New Roman"/>
            <w:color w:val="0000FF"/>
            <w:szCs w:val="22"/>
            <w:u w:val="single"/>
            <w:rtl/>
          </w:rPr>
          <w:t>חוק תובענות ייצוגיות</w:t>
        </w:r>
      </w:hyperlink>
      <w:r w:rsidRPr="00245D75">
        <w:rPr>
          <w:rFonts w:ascii="Times New Roman" w:hAnsi="Times New Roman" w:hint="cs"/>
          <w:szCs w:val="22"/>
          <w:rtl/>
        </w:rPr>
        <w:t xml:space="preserve">, התשס"ו-2006). </w:t>
      </w:r>
      <w:r>
        <w:rPr>
          <w:rFonts w:ascii="Times New Roman" w:hAnsi="Times New Roman" w:hint="cs"/>
          <w:szCs w:val="22"/>
          <w:rtl/>
        </w:rPr>
        <w:t>...</w:t>
      </w:r>
    </w:p>
    <w:p w:rsidR="005366A8" w:rsidRPr="00245D75" w:rsidRDefault="005366A8" w:rsidP="005366A8">
      <w:pPr>
        <w:pStyle w:val="Ruller41"/>
        <w:spacing w:after="60" w:line="240" w:lineRule="auto"/>
        <w:rPr>
          <w:rFonts w:ascii="Times New Roman" w:hAnsi="Times New Roman"/>
          <w:szCs w:val="22"/>
          <w:rtl/>
        </w:rPr>
      </w:pPr>
      <w:r w:rsidRPr="00245D75">
        <w:rPr>
          <w:rFonts w:ascii="Times New Roman" w:hAnsi="Times New Roman" w:hint="cs"/>
          <w:szCs w:val="22"/>
          <w:rtl/>
        </w:rPr>
        <w:tab/>
        <w:t xml:space="preserve">רואים אנו כי החוק עבר תהליכים אבולוציוניים. כדי להתאים את הדין למציאות נחקקו חוקים, שעל פני הדברים סטו מכללי המשפט שהיו מוכרים ומושרשים עד אז. </w:t>
      </w:r>
      <w:r w:rsidRPr="00245D75">
        <w:rPr>
          <w:rFonts w:ascii="Times New Roman" w:hAnsi="Times New Roman" w:hint="cs"/>
          <w:szCs w:val="22"/>
          <w:highlight w:val="yellow"/>
          <w:rtl/>
        </w:rPr>
        <w:t>נדמה כי אף ענייננו, כחלק מהחקיקה הסביבתית החדשה בישראל, מצטרף לרשימה זו. פוטנציאל הנזק הגדול שטמון בפסולת האסבסט, על מורכבות העניין - מחייבים פיתרון שאיננו נע על הציר המקובל של אחריות נזיקית.</w:t>
      </w:r>
      <w:r w:rsidRPr="00245D75">
        <w:rPr>
          <w:rFonts w:ascii="Times New Roman" w:hAnsi="Times New Roman" w:hint="cs"/>
          <w:szCs w:val="22"/>
          <w:rtl/>
        </w:rPr>
        <w:t xml:space="preserve"> ככלל, מציאת פיתרון לבעיה סבוכה איננה בהכרח פשרה משפטית במובן של ויתור. זו הדרך בה מתקדם המשפט. בד בבד, בתקופה חוקתית של הכרה בזכויות, </w:t>
      </w:r>
      <w:r w:rsidRPr="00245D75">
        <w:rPr>
          <w:rFonts w:ascii="Times New Roman" w:hAnsi="Times New Roman" w:hint="cs"/>
          <w:szCs w:val="22"/>
          <w:highlight w:val="yellow"/>
          <w:rtl/>
        </w:rPr>
        <w:t>תפקידו של בית המשפט לוודא כי הפיתרון שנבחר על ידי המחוקק עומד בסטנדרטים החוקתיים של פסקת ההגבלה. לא די בקיומה של בעיה כדי לפתוח את השער לכל פיתרון. המלאכה השיפוטית היא עדינה, אך חיונית</w:t>
      </w:r>
      <w:r w:rsidRPr="00245D75">
        <w:rPr>
          <w:rFonts w:ascii="Times New Roman" w:hAnsi="Times New Roman" w:hint="cs"/>
          <w:szCs w:val="22"/>
          <w:rtl/>
        </w:rPr>
        <w:t xml:space="preserve">. במשטר חוקתי, התקווה </w:t>
      </w:r>
      <w:r w:rsidRPr="00245D75">
        <w:rPr>
          <w:rFonts w:ascii="Times New Roman" w:hAnsi="Times New Roman" w:hint="cs"/>
          <w:szCs w:val="22"/>
          <w:highlight w:val="yellow"/>
          <w:rtl/>
        </w:rPr>
        <w:t xml:space="preserve">היא שאף המחוקק ינהג יותר בזהירות. </w:t>
      </w:r>
      <w:r w:rsidRPr="0002565C">
        <w:rPr>
          <w:rFonts w:ascii="Times New Roman" w:hAnsi="Times New Roman" w:hint="cs"/>
          <w:szCs w:val="22"/>
          <w:rtl/>
        </w:rPr>
        <w:t>הוא יהיה מודע לכך שחוקי היסוד מתבוננים מעבר לכתפו</w:t>
      </w:r>
      <w:r w:rsidRPr="00245D75">
        <w:rPr>
          <w:rFonts w:ascii="Times New Roman" w:hAnsi="Times New Roman" w:hint="cs"/>
          <w:szCs w:val="22"/>
          <w:highlight w:val="yellow"/>
          <w:rtl/>
        </w:rPr>
        <w:t>, "משגיח מן החלונות מציץ מן החרכים" (שיר השירים ב, ט). הוא יתאמץ לעמוד בביקורת החוקתית. תקווה זו איננה תמיד מתממשת. בענייננו, יש מרכיבים בסעיף 74 שמשקפים ניסיון של המחוקק לעמוד בדרישות החוקתיות. ניסיון זה צלח</w:t>
      </w:r>
      <w:r w:rsidRPr="00245D75">
        <w:rPr>
          <w:rFonts w:ascii="Times New Roman" w:hAnsi="Times New Roman" w:hint="cs"/>
          <w:szCs w:val="22"/>
          <w:rtl/>
        </w:rPr>
        <w:t xml:space="preserve">. </w:t>
      </w:r>
    </w:p>
    <w:p w:rsidR="005366A8" w:rsidRPr="00245D75" w:rsidRDefault="005366A8" w:rsidP="005366A8">
      <w:pPr>
        <w:spacing w:after="60"/>
        <w:rPr>
          <w:rFonts w:cs="FrankRuehl"/>
          <w:rtl/>
        </w:rPr>
      </w:pPr>
      <w:r w:rsidRPr="00245D75">
        <w:rPr>
          <w:rFonts w:cs="FrankRuehl" w:hint="cs"/>
          <w:rtl/>
        </w:rPr>
        <w:t>=-=</w:t>
      </w:r>
    </w:p>
    <w:p w:rsidR="005366A8" w:rsidRPr="0014560F" w:rsidRDefault="005366A8" w:rsidP="005366A8">
      <w:pPr>
        <w:overflowPunct w:val="0"/>
        <w:autoSpaceDE w:val="0"/>
        <w:autoSpaceDN w:val="0"/>
        <w:adjustRightInd w:val="0"/>
        <w:ind w:right="1282"/>
        <w:jc w:val="center"/>
        <w:rPr>
          <w:rFonts w:ascii="Arial TUR" w:hAnsi="Arial TUR" w:cs="Guttman-Soncino"/>
          <w:b/>
          <w:bCs/>
          <w:spacing w:val="10"/>
          <w:sz w:val="28"/>
          <w:szCs w:val="28"/>
          <w:u w:val="single"/>
          <w:rtl/>
        </w:rPr>
      </w:pPr>
      <w:r w:rsidRPr="0014560F">
        <w:rPr>
          <w:rFonts w:ascii="Arial TUR" w:hAnsi="Arial TUR" w:cs="Guttman-Soncino" w:hint="cs"/>
          <w:b/>
          <w:bCs/>
          <w:spacing w:val="10"/>
          <w:sz w:val="28"/>
          <w:szCs w:val="28"/>
          <w:highlight w:val="yellow"/>
          <w:u w:val="single"/>
          <w:rtl/>
        </w:rPr>
        <w:t>סיכום חלקי של נושא החוקה הפורמאלית</w:t>
      </w:r>
    </w:p>
    <w:p w:rsidR="005366A8" w:rsidRDefault="005366A8" w:rsidP="005366A8">
      <w:pPr>
        <w:overflowPunct w:val="0"/>
        <w:autoSpaceDE w:val="0"/>
        <w:autoSpaceDN w:val="0"/>
        <w:adjustRightInd w:val="0"/>
        <w:ind w:right="1282"/>
        <w:rPr>
          <w:rFonts w:ascii="Arial TUR" w:hAnsi="Arial TUR" w:cs="Guttman-Soncino"/>
          <w:spacing w:val="10"/>
          <w:sz w:val="20"/>
          <w:szCs w:val="20"/>
          <w:rtl/>
        </w:rPr>
      </w:pPr>
    </w:p>
    <w:p w:rsidR="005366A8" w:rsidRPr="00442EA1" w:rsidRDefault="005366A8" w:rsidP="005366A8">
      <w:pPr>
        <w:overflowPunct w:val="0"/>
        <w:autoSpaceDE w:val="0"/>
        <w:autoSpaceDN w:val="0"/>
        <w:adjustRightInd w:val="0"/>
        <w:ind w:right="1282"/>
        <w:jc w:val="center"/>
        <w:rPr>
          <w:rFonts w:ascii="Arial TUR" w:hAnsi="Arial TUR" w:cs="Guttman-Soncino"/>
          <w:b/>
          <w:bCs/>
          <w:spacing w:val="10"/>
          <w:sz w:val="20"/>
          <w:szCs w:val="20"/>
          <w:rtl/>
        </w:rPr>
      </w:pPr>
      <w:r w:rsidRPr="00442EA1">
        <w:rPr>
          <w:rFonts w:ascii="Arial TUR" w:hAnsi="Arial TUR" w:cs="Guttman-Soncino" w:hint="cs"/>
          <w:b/>
          <w:bCs/>
          <w:spacing w:val="10"/>
          <w:sz w:val="20"/>
          <w:szCs w:val="20"/>
          <w:rtl/>
        </w:rPr>
        <w:t>יתרונותיה וחסרונותיה של חוקה/ יתרונותיה וחסרונותיה של ביקורת שיפוטית חוקתית</w:t>
      </w:r>
      <w:r>
        <w:rPr>
          <w:rFonts w:ascii="Arial TUR" w:hAnsi="Arial TUR" w:cs="Guttman-Soncino" w:hint="cs"/>
          <w:b/>
          <w:bCs/>
          <w:spacing w:val="10"/>
          <w:sz w:val="20"/>
          <w:szCs w:val="20"/>
          <w:rtl/>
        </w:rPr>
        <w:t xml:space="preserve"> </w:t>
      </w:r>
      <w:r w:rsidRPr="00C078E1">
        <w:rPr>
          <w:rFonts w:asciiTheme="majorBidi" w:hAnsiTheme="majorBidi" w:cstheme="majorBidi"/>
          <w:spacing w:val="10"/>
          <w:sz w:val="20"/>
          <w:szCs w:val="20"/>
          <w:rtl/>
        </w:rPr>
        <w:t>[דפי הפגישה הקודמת]</w:t>
      </w:r>
    </w:p>
    <w:p w:rsidR="005366A8" w:rsidRDefault="005366A8" w:rsidP="005366A8">
      <w:pPr>
        <w:overflowPunct w:val="0"/>
        <w:autoSpaceDE w:val="0"/>
        <w:autoSpaceDN w:val="0"/>
        <w:adjustRightInd w:val="0"/>
        <w:ind w:right="1282"/>
        <w:rPr>
          <w:rFonts w:ascii="Arial TUR" w:hAnsi="Arial TUR" w:cs="Guttman-Soncino"/>
          <w:spacing w:val="10"/>
          <w:sz w:val="20"/>
          <w:szCs w:val="20"/>
          <w:rtl/>
        </w:rPr>
      </w:pPr>
    </w:p>
    <w:p w:rsidR="005366A8" w:rsidRDefault="005366A8" w:rsidP="005366A8">
      <w:pPr>
        <w:overflowPunct w:val="0"/>
        <w:autoSpaceDE w:val="0"/>
        <w:autoSpaceDN w:val="0"/>
        <w:adjustRightInd w:val="0"/>
        <w:ind w:right="1282"/>
        <w:rPr>
          <w:rFonts w:ascii="Arial TUR" w:hAnsi="Arial TUR" w:cs="Guttman-Soncino"/>
          <w:spacing w:val="10"/>
          <w:sz w:val="20"/>
          <w:szCs w:val="20"/>
          <w:rtl/>
        </w:rPr>
      </w:pPr>
      <w:r>
        <w:rPr>
          <w:rFonts w:ascii="Arial TUR" w:hAnsi="Arial TUR" w:cs="Guttman-Soncino" w:hint="cs"/>
          <w:spacing w:val="10"/>
          <w:sz w:val="20"/>
          <w:szCs w:val="20"/>
          <w:rtl/>
        </w:rPr>
        <w:t xml:space="preserve">על חסרון ויתרון הטמונים </w:t>
      </w:r>
      <w:r w:rsidRPr="00F22AF1">
        <w:rPr>
          <w:rFonts w:ascii="Arial TUR" w:hAnsi="Arial TUR" w:cs="Guttman-Soncino" w:hint="cs"/>
          <w:b/>
          <w:bCs/>
          <w:spacing w:val="10"/>
          <w:sz w:val="20"/>
          <w:szCs w:val="20"/>
          <w:rtl/>
        </w:rPr>
        <w:t>בחוקה האמריקאית</w:t>
      </w:r>
      <w:r>
        <w:rPr>
          <w:rFonts w:ascii="Arial TUR" w:hAnsi="Arial TUR" w:cs="Guttman-Soncino" w:hint="cs"/>
          <w:spacing w:val="10"/>
          <w:sz w:val="20"/>
          <w:szCs w:val="20"/>
          <w:rtl/>
        </w:rPr>
        <w:t>:</w:t>
      </w:r>
    </w:p>
    <w:p w:rsidR="005366A8" w:rsidRPr="00442EA1" w:rsidRDefault="005366A8" w:rsidP="005366A8">
      <w:pPr>
        <w:overflowPunct w:val="0"/>
        <w:autoSpaceDE w:val="0"/>
        <w:autoSpaceDN w:val="0"/>
        <w:adjustRightInd w:val="0"/>
        <w:ind w:left="720" w:right="1282"/>
        <w:rPr>
          <w:rFonts w:ascii="Arial TUR" w:hAnsi="Arial TUR" w:cs="Guttman-Soncino"/>
          <w:b/>
          <w:bCs/>
          <w:spacing w:val="10"/>
          <w:sz w:val="20"/>
          <w:szCs w:val="20"/>
          <w:rtl/>
        </w:rPr>
      </w:pPr>
      <w:r w:rsidRPr="00442EA1">
        <w:rPr>
          <w:rFonts w:ascii="Arial TUR" w:hAnsi="Arial TUR" w:cs="Guttman-Soncino" w:hint="cs"/>
          <w:b/>
          <w:bCs/>
          <w:spacing w:val="10"/>
          <w:sz w:val="20"/>
          <w:szCs w:val="20"/>
          <w:highlight w:val="yellow"/>
          <w:rtl/>
        </w:rPr>
        <w:t xml:space="preserve">א. התיקון השני לחוקה </w:t>
      </w:r>
    </w:p>
    <w:p w:rsidR="005366A8" w:rsidRDefault="005366A8" w:rsidP="005366A8">
      <w:pPr>
        <w:overflowPunct w:val="0"/>
        <w:autoSpaceDE w:val="0"/>
        <w:autoSpaceDN w:val="0"/>
        <w:adjustRightInd w:val="0"/>
        <w:ind w:left="720" w:right="1282"/>
        <w:rPr>
          <w:rFonts w:ascii="Arial TUR" w:hAnsi="Arial TUR" w:cs="Guttman-Soncino"/>
          <w:b/>
          <w:bCs/>
          <w:spacing w:val="10"/>
          <w:sz w:val="20"/>
          <w:szCs w:val="20"/>
          <w:rtl/>
        </w:rPr>
      </w:pPr>
      <w:r w:rsidRPr="00442EA1">
        <w:rPr>
          <w:rFonts w:ascii="Arial TUR" w:hAnsi="Arial TUR" w:cs="Guttman-Soncino" w:hint="cs"/>
          <w:b/>
          <w:bCs/>
          <w:spacing w:val="10"/>
          <w:sz w:val="20"/>
          <w:szCs w:val="20"/>
          <w:highlight w:val="yellow"/>
          <w:rtl/>
        </w:rPr>
        <w:t>ב. ההתמודדות עם האפליה הגזעית במדינות הדרום של ארצות הברית (מדיניות ההפרדה)</w:t>
      </w:r>
    </w:p>
    <w:p w:rsidR="005366A8" w:rsidRPr="00EE20E2" w:rsidRDefault="005366A8" w:rsidP="005366A8">
      <w:pPr>
        <w:overflowPunct w:val="0"/>
        <w:autoSpaceDE w:val="0"/>
        <w:autoSpaceDN w:val="0"/>
        <w:adjustRightInd w:val="0"/>
        <w:ind w:left="720" w:right="1282"/>
        <w:rPr>
          <w:rFonts w:ascii="Arial TUR" w:hAnsi="Arial TUR"/>
          <w:b/>
          <w:bCs/>
          <w:spacing w:val="10"/>
          <w:sz w:val="20"/>
          <w:szCs w:val="20"/>
          <w:rtl/>
        </w:rPr>
      </w:pPr>
      <w:r>
        <w:rPr>
          <w:rFonts w:ascii="Arial TUR" w:hAnsi="Arial TUR" w:cs="Guttman-Soncino" w:hint="cs"/>
          <w:b/>
          <w:bCs/>
          <w:spacing w:val="10"/>
          <w:sz w:val="20"/>
          <w:szCs w:val="20"/>
          <w:rtl/>
        </w:rPr>
        <w:t>ג. פרשת מחנות המעצר לאמריקאים ממוצא יפני בחוף המערבי של ארה"ב במלחמת העולם ה</w:t>
      </w:r>
      <w:r>
        <w:rPr>
          <w:rFonts w:ascii="Arial TUR" w:hAnsi="Arial TUR" w:hint="cs"/>
          <w:b/>
          <w:bCs/>
          <w:spacing w:val="10"/>
          <w:sz w:val="20"/>
          <w:szCs w:val="20"/>
          <w:rtl/>
        </w:rPr>
        <w:t>שנייה</w:t>
      </w:r>
    </w:p>
    <w:p w:rsidR="005366A8" w:rsidRPr="00D117B0" w:rsidRDefault="005366A8" w:rsidP="005366A8">
      <w:pPr>
        <w:tabs>
          <w:tab w:val="left" w:pos="10176"/>
        </w:tabs>
        <w:overflowPunct w:val="0"/>
        <w:autoSpaceDE w:val="0"/>
        <w:autoSpaceDN w:val="0"/>
        <w:adjustRightInd w:val="0"/>
        <w:ind w:right="142"/>
        <w:rPr>
          <w:spacing w:val="10"/>
          <w:sz w:val="20"/>
          <w:szCs w:val="20"/>
          <w:vertAlign w:val="superscript"/>
          <w:rtl/>
        </w:rPr>
      </w:pPr>
      <w:r w:rsidRPr="00D117B0">
        <w:rPr>
          <w:spacing w:val="10"/>
          <w:sz w:val="20"/>
          <w:szCs w:val="20"/>
          <w:vertAlign w:val="superscript"/>
          <w:rtl/>
        </w:rPr>
        <w:t>=-=</w:t>
      </w:r>
    </w:p>
    <w:p w:rsidR="005366A8" w:rsidRPr="00D117B0" w:rsidRDefault="005D7968" w:rsidP="005366A8">
      <w:pPr>
        <w:tabs>
          <w:tab w:val="left" w:pos="10176"/>
        </w:tabs>
        <w:overflowPunct w:val="0"/>
        <w:autoSpaceDE w:val="0"/>
        <w:autoSpaceDN w:val="0"/>
        <w:adjustRightInd w:val="0"/>
        <w:ind w:right="142"/>
        <w:rPr>
          <w:rtl/>
        </w:rPr>
      </w:pPr>
      <w:hyperlink r:id="rId283" w:anchor="cite_note-1" w:history="1"/>
    </w:p>
    <w:p w:rsidR="005366A8" w:rsidRPr="003F2817" w:rsidRDefault="005366A8" w:rsidP="005366A8">
      <w:pPr>
        <w:spacing w:after="120"/>
        <w:rPr>
          <w:b/>
          <w:bCs/>
          <w:rtl/>
        </w:rPr>
      </w:pPr>
      <w:r w:rsidRPr="003437BE">
        <w:rPr>
          <w:rFonts w:hint="cs"/>
          <w:b/>
          <w:bCs/>
          <w:highlight w:val="yellow"/>
          <w:rtl/>
        </w:rPr>
        <w:t xml:space="preserve">חזרה </w:t>
      </w:r>
      <w:r>
        <w:rPr>
          <w:rFonts w:hint="cs"/>
          <w:b/>
          <w:bCs/>
          <w:highlight w:val="yellow"/>
          <w:rtl/>
        </w:rPr>
        <w:t xml:space="preserve">לישראל, וחזרה קצרה </w:t>
      </w:r>
      <w:r w:rsidRPr="003437BE">
        <w:rPr>
          <w:rFonts w:hint="cs"/>
          <w:b/>
          <w:bCs/>
          <w:highlight w:val="yellow"/>
          <w:rtl/>
        </w:rPr>
        <w:t xml:space="preserve">אל הויכוח על החוקה </w:t>
      </w:r>
      <w:r>
        <w:rPr>
          <w:rFonts w:hint="cs"/>
          <w:b/>
          <w:bCs/>
          <w:highlight w:val="yellow"/>
          <w:rtl/>
        </w:rPr>
        <w:t xml:space="preserve">הישראלית </w:t>
      </w:r>
      <w:r w:rsidRPr="003437BE">
        <w:rPr>
          <w:rFonts w:hint="cs"/>
          <w:b/>
          <w:bCs/>
          <w:highlight w:val="yellow"/>
          <w:rtl/>
        </w:rPr>
        <w:t>ו</w:t>
      </w:r>
      <w:r>
        <w:rPr>
          <w:rFonts w:hint="cs"/>
          <w:b/>
          <w:bCs/>
          <w:highlight w:val="yellow"/>
          <w:rtl/>
        </w:rPr>
        <w:t xml:space="preserve">בעיקר </w:t>
      </w:r>
      <w:r w:rsidRPr="003437BE">
        <w:rPr>
          <w:rFonts w:hint="cs"/>
          <w:b/>
          <w:bCs/>
          <w:highlight w:val="yellow"/>
          <w:rtl/>
        </w:rPr>
        <w:t>על הביקורת השיפוטית החוקתי</w:t>
      </w:r>
      <w:r w:rsidRPr="00DC5067">
        <w:rPr>
          <w:rFonts w:hint="cs"/>
          <w:b/>
          <w:bCs/>
          <w:highlight w:val="yellow"/>
          <w:rtl/>
        </w:rPr>
        <w:t>ת בישראל</w:t>
      </w:r>
    </w:p>
    <w:p w:rsidR="005366A8" w:rsidRPr="003F2817" w:rsidRDefault="005366A8" w:rsidP="005366A8">
      <w:pPr>
        <w:spacing w:after="120"/>
        <w:ind w:left="720"/>
        <w:rPr>
          <w:rtl/>
        </w:rPr>
      </w:pPr>
      <w:r w:rsidRPr="003F2817">
        <w:rPr>
          <w:rFonts w:hint="cs"/>
          <w:rtl/>
        </w:rPr>
        <w:t xml:space="preserve">הלל סומר, "ריצ'רד פוזנר על אהרן ברק: דברים שרואים משם </w:t>
      </w:r>
      <w:r w:rsidRPr="003F2817">
        <w:rPr>
          <w:rtl/>
        </w:rPr>
        <w:t>–</w:t>
      </w:r>
      <w:r w:rsidRPr="003F2817">
        <w:rPr>
          <w:rFonts w:hint="cs"/>
          <w:rtl/>
        </w:rPr>
        <w:t xml:space="preserve"> לא רואים מכאן?" </w:t>
      </w:r>
      <w:r w:rsidRPr="003F2817">
        <w:rPr>
          <w:rFonts w:hint="cs"/>
          <w:b/>
          <w:bCs/>
          <w:rtl/>
        </w:rPr>
        <w:t>הפרקליט</w:t>
      </w:r>
      <w:r w:rsidRPr="003F2817">
        <w:rPr>
          <w:rFonts w:hint="cs"/>
          <w:rtl/>
        </w:rPr>
        <w:t xml:space="preserve"> מט 523 (2007)</w:t>
      </w:r>
    </w:p>
    <w:p w:rsidR="005366A8" w:rsidRDefault="005366A8" w:rsidP="005366A8">
      <w:pPr>
        <w:spacing w:after="120"/>
        <w:ind w:left="1440" w:hanging="720"/>
        <w:rPr>
          <w:rFonts w:cs="David"/>
          <w:sz w:val="20"/>
          <w:szCs w:val="20"/>
          <w:rtl/>
        </w:rPr>
      </w:pPr>
      <w:r w:rsidRPr="00DE3181">
        <w:rPr>
          <w:rFonts w:hint="cs"/>
          <w:highlight w:val="yellow"/>
          <w:rtl/>
        </w:rPr>
        <w:t xml:space="preserve">ברק מדינה, </w:t>
      </w:r>
      <w:r w:rsidRPr="00DE3181">
        <w:rPr>
          <w:highlight w:val="yellow"/>
          <w:rtl/>
        </w:rPr>
        <w:t xml:space="preserve">"ארבעה מיתוסים על ביקורת שיפוטית (בתגובה על מאמרי הביקורת של רוברט בורק וריצ'רד פוזנר על האקטיביזם השיפוטי של אהרן ברק)" </w:t>
      </w:r>
      <w:r w:rsidRPr="00DE3181">
        <w:rPr>
          <w:b/>
          <w:bCs/>
          <w:highlight w:val="yellow"/>
          <w:rtl/>
        </w:rPr>
        <w:t>דין ודברים</w:t>
      </w:r>
      <w:r w:rsidRPr="00DE3181">
        <w:rPr>
          <w:highlight w:val="yellow"/>
          <w:rtl/>
        </w:rPr>
        <w:t xml:space="preserve"> ג </w:t>
      </w:r>
      <w:r w:rsidRPr="00DE3181">
        <w:rPr>
          <w:rFonts w:hint="cs"/>
          <w:highlight w:val="yellow"/>
          <w:rtl/>
        </w:rPr>
        <w:t xml:space="preserve">399 </w:t>
      </w:r>
      <w:r w:rsidRPr="00DE3181">
        <w:rPr>
          <w:highlight w:val="yellow"/>
          <w:rtl/>
        </w:rPr>
        <w:t>(2007)</w:t>
      </w:r>
    </w:p>
    <w:p w:rsidR="005366A8" w:rsidRDefault="005366A8" w:rsidP="005366A8">
      <w:pPr>
        <w:spacing w:after="80"/>
        <w:rPr>
          <w:rFonts w:cs="David"/>
          <w:sz w:val="20"/>
          <w:szCs w:val="20"/>
          <w:rtl/>
        </w:rPr>
      </w:pPr>
      <w:r>
        <w:rPr>
          <w:rFonts w:cs="David" w:hint="cs"/>
          <w:sz w:val="20"/>
          <w:szCs w:val="20"/>
          <w:rtl/>
        </w:rPr>
        <w:t>=-=</w:t>
      </w:r>
    </w:p>
    <w:p w:rsidR="005366A8" w:rsidRPr="003F2817" w:rsidRDefault="005366A8" w:rsidP="005366A8">
      <w:pPr>
        <w:spacing w:after="120"/>
        <w:jc w:val="center"/>
        <w:rPr>
          <w:b/>
          <w:bCs/>
          <w:rtl/>
        </w:rPr>
      </w:pPr>
      <w:r w:rsidRPr="003437BE">
        <w:rPr>
          <w:rFonts w:hint="cs"/>
          <w:b/>
          <w:bCs/>
          <w:highlight w:val="yellow"/>
          <w:rtl/>
        </w:rPr>
        <w:t>יוזמ</w:t>
      </w:r>
      <w:r>
        <w:rPr>
          <w:rFonts w:hint="cs"/>
          <w:b/>
          <w:bCs/>
          <w:highlight w:val="yellow"/>
          <w:rtl/>
        </w:rPr>
        <w:t>ה</w:t>
      </w:r>
      <w:r w:rsidRPr="003437BE">
        <w:rPr>
          <w:rFonts w:hint="cs"/>
          <w:b/>
          <w:bCs/>
          <w:highlight w:val="yellow"/>
          <w:rtl/>
        </w:rPr>
        <w:t xml:space="preserve"> לשינוי המסגרת החוקתית של ישראל</w:t>
      </w:r>
      <w:r>
        <w:rPr>
          <w:rFonts w:hint="cs"/>
          <w:b/>
          <w:bCs/>
          <w:rtl/>
        </w:rPr>
        <w:t xml:space="preserve">; </w:t>
      </w:r>
      <w:r w:rsidRPr="007B3EAE">
        <w:rPr>
          <w:rFonts w:hint="cs"/>
          <w:b/>
          <w:bCs/>
          <w:i/>
          <w:iCs/>
          <w:rtl/>
        </w:rPr>
        <w:t>יוזמה זו לא נתקבלה</w:t>
      </w:r>
      <w:r>
        <w:rPr>
          <w:rFonts w:hint="cs"/>
          <w:b/>
          <w:bCs/>
          <w:i/>
          <w:iCs/>
          <w:rtl/>
        </w:rPr>
        <w:t>/ לא מקודמת בשלב זה</w:t>
      </w:r>
    </w:p>
    <w:p w:rsidR="005366A8" w:rsidRPr="003437BE" w:rsidRDefault="005366A8" w:rsidP="005366A8">
      <w:pPr>
        <w:pStyle w:val="T-body"/>
        <w:spacing w:after="240" w:line="240" w:lineRule="auto"/>
        <w:rPr>
          <w:sz w:val="22"/>
          <w:szCs w:val="22"/>
          <w:rtl/>
        </w:rPr>
      </w:pPr>
      <w:r w:rsidRPr="003437BE">
        <w:rPr>
          <w:rFonts w:hint="cs"/>
          <w:sz w:val="22"/>
          <w:szCs w:val="22"/>
          <w:rtl/>
        </w:rPr>
        <w:t xml:space="preserve">שר המשפטים לשעבר, פרופ' דניאל פרידמן, יזם </w:t>
      </w:r>
      <w:r>
        <w:rPr>
          <w:rFonts w:hint="cs"/>
          <w:sz w:val="22"/>
          <w:szCs w:val="22"/>
          <w:rtl/>
        </w:rPr>
        <w:t xml:space="preserve">בעת כהונתו </w:t>
      </w:r>
      <w:r w:rsidRPr="003437BE">
        <w:rPr>
          <w:rFonts w:hint="cs"/>
          <w:sz w:val="22"/>
          <w:szCs w:val="22"/>
          <w:rtl/>
        </w:rPr>
        <w:t xml:space="preserve">את </w:t>
      </w:r>
      <w:r w:rsidRPr="003437BE">
        <w:rPr>
          <w:rFonts w:hint="cs"/>
          <w:sz w:val="22"/>
          <w:szCs w:val="22"/>
          <w:u w:val="single"/>
          <w:rtl/>
        </w:rPr>
        <w:t>הצעת</w:t>
      </w:r>
      <w:r w:rsidRPr="003437BE">
        <w:rPr>
          <w:rFonts w:hint="cs"/>
          <w:sz w:val="22"/>
          <w:szCs w:val="22"/>
          <w:rtl/>
        </w:rPr>
        <w:t xml:space="preserve"> התיקון הבאה: </w:t>
      </w:r>
      <w:r w:rsidRPr="003437BE">
        <w:rPr>
          <w:rFonts w:cs="David" w:hint="cs"/>
          <w:b/>
          <w:bCs/>
          <w:sz w:val="22"/>
          <w:szCs w:val="22"/>
          <w:rtl/>
        </w:rPr>
        <w:t xml:space="preserve">תזכיר חוק יסוד: השפיטה (תיקון </w:t>
      </w:r>
      <w:r w:rsidRPr="003437BE">
        <w:rPr>
          <w:rFonts w:cs="David"/>
          <w:b/>
          <w:bCs/>
          <w:sz w:val="22"/>
          <w:szCs w:val="22"/>
          <w:rtl/>
        </w:rPr>
        <w:t>–</w:t>
      </w:r>
      <w:r w:rsidRPr="003437BE">
        <w:rPr>
          <w:rFonts w:cs="David" w:hint="cs"/>
          <w:b/>
          <w:bCs/>
          <w:sz w:val="22"/>
          <w:szCs w:val="22"/>
          <w:rtl/>
        </w:rPr>
        <w:t xml:space="preserve"> ביקורת שיפוטית על תוקפם של חוקים).</w:t>
      </w:r>
      <w:r w:rsidRPr="003437BE">
        <w:rPr>
          <w:rFonts w:hint="cs"/>
          <w:sz w:val="22"/>
          <w:szCs w:val="22"/>
          <w:rtl/>
        </w:rPr>
        <w:t xml:space="preserve"> חלק מההוראות העיקריות המוצעות כת</w:t>
      </w:r>
      <w:r>
        <w:rPr>
          <w:rFonts w:hint="cs"/>
          <w:sz w:val="22"/>
          <w:szCs w:val="22"/>
          <w:rtl/>
        </w:rPr>
        <w:t xml:space="preserve">יקון לחוק היסוד מושמעות להלן.  </w:t>
      </w:r>
      <w:r w:rsidRPr="003437BE">
        <w:rPr>
          <w:rFonts w:hint="cs"/>
          <w:sz w:val="22"/>
          <w:szCs w:val="22"/>
          <w:rtl/>
        </w:rPr>
        <w:t>יוזמה</w:t>
      </w:r>
      <w:r>
        <w:rPr>
          <w:rFonts w:hint="cs"/>
          <w:sz w:val="22"/>
          <w:szCs w:val="22"/>
          <w:rtl/>
        </w:rPr>
        <w:t xml:space="preserve"> זו</w:t>
      </w:r>
      <w:r w:rsidRPr="003437BE">
        <w:rPr>
          <w:rFonts w:hint="cs"/>
          <w:sz w:val="22"/>
          <w:szCs w:val="22"/>
          <w:rtl/>
        </w:rPr>
        <w:t xml:space="preserve"> </w:t>
      </w:r>
      <w:r w:rsidRPr="003437BE">
        <w:rPr>
          <w:rFonts w:hint="cs"/>
          <w:sz w:val="22"/>
          <w:szCs w:val="22"/>
          <w:u w:val="single"/>
          <w:rtl/>
        </w:rPr>
        <w:t>לא</w:t>
      </w:r>
      <w:r w:rsidRPr="003437BE">
        <w:rPr>
          <w:rFonts w:hint="cs"/>
          <w:sz w:val="22"/>
          <w:szCs w:val="22"/>
          <w:rtl/>
        </w:rPr>
        <w:t xml:space="preserve"> התקבלה</w:t>
      </w:r>
      <w:r>
        <w:rPr>
          <w:rFonts w:hint="cs"/>
          <w:sz w:val="22"/>
          <w:szCs w:val="22"/>
          <w:rtl/>
        </w:rPr>
        <w:t>.</w:t>
      </w:r>
    </w:p>
    <w:p w:rsidR="005366A8" w:rsidRPr="00F35CD3" w:rsidRDefault="005366A8" w:rsidP="005366A8">
      <w:pPr>
        <w:pStyle w:val="T-body"/>
        <w:spacing w:after="120" w:line="240" w:lineRule="auto"/>
        <w:ind w:right="426"/>
        <w:rPr>
          <w:rFonts w:cs="David"/>
          <w:b/>
          <w:bCs/>
          <w:sz w:val="20"/>
          <w:szCs w:val="20"/>
          <w:rtl/>
        </w:rPr>
      </w:pPr>
      <w:r w:rsidRPr="003437BE">
        <w:rPr>
          <w:rFonts w:cs="David" w:hint="cs"/>
          <w:b/>
          <w:bCs/>
          <w:sz w:val="20"/>
          <w:szCs w:val="20"/>
          <w:rtl/>
        </w:rPr>
        <w:t>15</w:t>
      </w:r>
      <w:r w:rsidRPr="00F35CD3">
        <w:rPr>
          <w:rFonts w:cs="David" w:hint="cs"/>
          <w:b/>
          <w:bCs/>
          <w:sz w:val="20"/>
          <w:szCs w:val="20"/>
          <w:rtl/>
        </w:rPr>
        <w:t>א. [ביקורת שיפוטית על תוקפם של חוקים]</w:t>
      </w:r>
    </w:p>
    <w:p w:rsidR="005366A8" w:rsidRPr="00F35CD3" w:rsidRDefault="005366A8" w:rsidP="000B7168">
      <w:pPr>
        <w:pStyle w:val="T-body"/>
        <w:numPr>
          <w:ilvl w:val="0"/>
          <w:numId w:val="15"/>
        </w:numPr>
        <w:spacing w:line="240" w:lineRule="auto"/>
        <w:ind w:right="426"/>
        <w:rPr>
          <w:rFonts w:cs="David"/>
          <w:sz w:val="20"/>
          <w:szCs w:val="20"/>
        </w:rPr>
      </w:pPr>
      <w:r w:rsidRPr="00F35CD3">
        <w:rPr>
          <w:rFonts w:cs="David" w:hint="cs"/>
          <w:sz w:val="20"/>
          <w:szCs w:val="20"/>
          <w:rtl/>
        </w:rPr>
        <w:t>רשות שיפוטית לא תקבע כי חוק אינו תקף, זולת בית המשפט העליון, ובשל אחת מעילות אלה בלבד:</w:t>
      </w:r>
    </w:p>
    <w:p w:rsidR="005366A8" w:rsidRPr="00F35CD3" w:rsidRDefault="005366A8" w:rsidP="000B7168">
      <w:pPr>
        <w:pStyle w:val="T-body"/>
        <w:numPr>
          <w:ilvl w:val="0"/>
          <w:numId w:val="16"/>
        </w:numPr>
        <w:spacing w:line="240" w:lineRule="auto"/>
        <w:ind w:right="426"/>
        <w:rPr>
          <w:rFonts w:cs="David"/>
          <w:sz w:val="20"/>
          <w:szCs w:val="20"/>
        </w:rPr>
      </w:pPr>
      <w:r w:rsidRPr="00F35CD3">
        <w:rPr>
          <w:rFonts w:cs="David" w:hint="cs"/>
          <w:sz w:val="20"/>
          <w:szCs w:val="20"/>
          <w:rtl/>
        </w:rPr>
        <w:t>החוק פוגע בזכות שלפי חוק יסוד: כבוד האדם וחירותו, והוא אינו עומד בתנאים הקבועים בסעיף 8 לחוק היסוד האמור;</w:t>
      </w:r>
    </w:p>
    <w:p w:rsidR="005366A8" w:rsidRPr="00F35CD3" w:rsidRDefault="005366A8" w:rsidP="000B7168">
      <w:pPr>
        <w:pStyle w:val="T-body"/>
        <w:numPr>
          <w:ilvl w:val="0"/>
          <w:numId w:val="16"/>
        </w:numPr>
        <w:spacing w:line="240" w:lineRule="auto"/>
        <w:ind w:right="426"/>
        <w:rPr>
          <w:rFonts w:cs="David"/>
          <w:sz w:val="20"/>
          <w:szCs w:val="20"/>
        </w:rPr>
      </w:pPr>
      <w:r w:rsidRPr="00F35CD3">
        <w:rPr>
          <w:rFonts w:cs="David" w:hint="cs"/>
          <w:sz w:val="20"/>
          <w:szCs w:val="20"/>
          <w:rtl/>
        </w:rPr>
        <w:t>החוק פוגע בזכות שלפי חוק יסוד: חופש העיסוק, והוא איננו עומד בתנאים הקבועים בסעיף 4 לחוק היסוד האמור;</w:t>
      </w:r>
    </w:p>
    <w:p w:rsidR="005366A8" w:rsidRPr="00F35CD3" w:rsidRDefault="005366A8" w:rsidP="000B7168">
      <w:pPr>
        <w:pStyle w:val="T-body"/>
        <w:numPr>
          <w:ilvl w:val="0"/>
          <w:numId w:val="16"/>
        </w:numPr>
        <w:spacing w:line="240" w:lineRule="auto"/>
        <w:ind w:right="426"/>
        <w:rPr>
          <w:rFonts w:cs="David"/>
          <w:sz w:val="20"/>
          <w:szCs w:val="20"/>
        </w:rPr>
      </w:pPr>
      <w:r w:rsidRPr="00F35CD3">
        <w:rPr>
          <w:rFonts w:cs="David" w:hint="cs"/>
          <w:sz w:val="20"/>
          <w:szCs w:val="20"/>
          <w:rtl/>
        </w:rPr>
        <w:t>החוק מאריך את תקופת כהונתה של הכנסת, שלא בהתאם לתנאים הקבועים בסעיף 9א לחוק יסוד הכנסת;</w:t>
      </w:r>
    </w:p>
    <w:p w:rsidR="005366A8" w:rsidRPr="00F35CD3" w:rsidRDefault="005366A8" w:rsidP="000B7168">
      <w:pPr>
        <w:pStyle w:val="T-body"/>
        <w:numPr>
          <w:ilvl w:val="0"/>
          <w:numId w:val="16"/>
        </w:numPr>
        <w:spacing w:after="120" w:line="240" w:lineRule="auto"/>
        <w:ind w:right="426" w:hanging="357"/>
        <w:rPr>
          <w:rFonts w:cs="David"/>
          <w:sz w:val="20"/>
          <w:szCs w:val="20"/>
        </w:rPr>
      </w:pPr>
      <w:r w:rsidRPr="00F35CD3">
        <w:rPr>
          <w:rFonts w:cs="David" w:hint="cs"/>
          <w:sz w:val="20"/>
          <w:szCs w:val="20"/>
          <w:rtl/>
        </w:rPr>
        <w:t>החוק לא נתקבל ברוב הדרוש לקבלתו, שנקבע בחוק היסוד.</w:t>
      </w:r>
    </w:p>
    <w:p w:rsidR="005366A8" w:rsidRPr="00F35CD3" w:rsidRDefault="005366A8" w:rsidP="000B7168">
      <w:pPr>
        <w:pStyle w:val="T-body"/>
        <w:numPr>
          <w:ilvl w:val="0"/>
          <w:numId w:val="15"/>
        </w:numPr>
        <w:spacing w:after="120" w:line="240" w:lineRule="auto"/>
        <w:ind w:right="426" w:hanging="357"/>
        <w:rPr>
          <w:rFonts w:cs="David"/>
          <w:sz w:val="20"/>
          <w:szCs w:val="20"/>
          <w:rtl/>
        </w:rPr>
      </w:pPr>
      <w:r w:rsidRPr="00F35CD3">
        <w:rPr>
          <w:rFonts w:cs="David" w:hint="cs"/>
          <w:sz w:val="20"/>
          <w:szCs w:val="20"/>
          <w:rtl/>
        </w:rPr>
        <w:t xml:space="preserve">קביעת בית המשפט העליון לפי סעיף קטן (א) תהיה בפסק דין שניתן בהרכב של תשעה שופטים, או בהרכב רחב יותר </w:t>
      </w:r>
      <w:r w:rsidRPr="00F35CD3">
        <w:rPr>
          <w:rFonts w:cs="David"/>
          <w:sz w:val="20"/>
          <w:szCs w:val="20"/>
          <w:rtl/>
        </w:rPr>
        <w:t>–</w:t>
      </w:r>
      <w:r w:rsidRPr="00F35CD3">
        <w:rPr>
          <w:rFonts w:cs="David" w:hint="cs"/>
          <w:sz w:val="20"/>
          <w:szCs w:val="20"/>
          <w:rtl/>
        </w:rPr>
        <w:t xml:space="preserve"> אם קבע זאת נשיא בית המשפט העליון, ברוב של שני שלישים לפחות משופטי ההרכב. </w:t>
      </w:r>
    </w:p>
    <w:p w:rsidR="005366A8" w:rsidRPr="00F35CD3" w:rsidRDefault="005366A8" w:rsidP="005366A8">
      <w:pPr>
        <w:pStyle w:val="T-body"/>
        <w:spacing w:line="240" w:lineRule="auto"/>
        <w:ind w:right="426"/>
        <w:rPr>
          <w:rFonts w:cs="David"/>
          <w:b/>
          <w:bCs/>
          <w:sz w:val="20"/>
          <w:szCs w:val="20"/>
          <w:rtl/>
        </w:rPr>
      </w:pPr>
      <w:r w:rsidRPr="00F35CD3">
        <w:rPr>
          <w:rFonts w:cs="David" w:hint="cs"/>
          <w:b/>
          <w:bCs/>
          <w:sz w:val="20"/>
          <w:szCs w:val="20"/>
          <w:rtl/>
        </w:rPr>
        <w:t xml:space="preserve">      ....</w:t>
      </w:r>
    </w:p>
    <w:p w:rsidR="005366A8" w:rsidRPr="00F35CD3" w:rsidRDefault="005366A8" w:rsidP="005366A8">
      <w:pPr>
        <w:pStyle w:val="T-body"/>
        <w:spacing w:after="120" w:line="240" w:lineRule="auto"/>
        <w:ind w:left="567" w:right="426" w:hanging="567"/>
        <w:rPr>
          <w:rFonts w:cs="David"/>
          <w:sz w:val="20"/>
          <w:szCs w:val="20"/>
          <w:rtl/>
        </w:rPr>
      </w:pPr>
      <w:r w:rsidRPr="00F35CD3">
        <w:rPr>
          <w:rFonts w:cs="David" w:hint="cs"/>
          <w:sz w:val="20"/>
          <w:szCs w:val="20"/>
          <w:rtl/>
        </w:rPr>
        <w:t xml:space="preserve">    (ז)  בית המשפט העליון, בהרכב וברוב הקבועים בסעיף קטן (ב), מוסמך לקבוע כי חוק יסוד אינו תקף משום שלא התקבל ברוב הדרוש לקבלתו, והוראות סעיף זה יחולו; רשות שיפוטית לא תדון בטענה נגד תוקפו של חוק יסוד מכל טעם אחר. </w:t>
      </w:r>
    </w:p>
    <w:p w:rsidR="005366A8" w:rsidRPr="00F35CD3" w:rsidRDefault="005366A8" w:rsidP="005366A8">
      <w:pPr>
        <w:pStyle w:val="T-body"/>
        <w:spacing w:line="240" w:lineRule="auto"/>
        <w:ind w:left="567" w:right="426" w:hanging="567"/>
        <w:rPr>
          <w:rFonts w:cs="David"/>
          <w:sz w:val="20"/>
          <w:szCs w:val="20"/>
          <w:rtl/>
        </w:rPr>
      </w:pPr>
      <w:r w:rsidRPr="00F35CD3">
        <w:rPr>
          <w:rFonts w:cs="David" w:hint="cs"/>
          <w:sz w:val="20"/>
          <w:szCs w:val="20"/>
          <w:rtl/>
        </w:rPr>
        <w:t xml:space="preserve">   (ט)  "חוק יסוד" ו-"חוק" </w:t>
      </w:r>
      <w:r w:rsidRPr="00F35CD3">
        <w:rPr>
          <w:rFonts w:cs="David"/>
          <w:sz w:val="20"/>
          <w:szCs w:val="20"/>
          <w:rtl/>
        </w:rPr>
        <w:t>–</w:t>
      </w:r>
      <w:r w:rsidRPr="00F35CD3">
        <w:rPr>
          <w:rFonts w:cs="David" w:hint="cs"/>
          <w:sz w:val="20"/>
          <w:szCs w:val="20"/>
          <w:rtl/>
        </w:rPr>
        <w:t xml:space="preserve"> לרבות הוראה בחוק יסוד</w:t>
      </w:r>
    </w:p>
    <w:p w:rsidR="005366A8" w:rsidRPr="00F35CD3" w:rsidRDefault="005366A8" w:rsidP="005366A8">
      <w:pPr>
        <w:pStyle w:val="T-body"/>
        <w:spacing w:line="240" w:lineRule="auto"/>
        <w:ind w:left="565" w:right="426" w:hanging="565"/>
        <w:rPr>
          <w:rFonts w:cs="David"/>
          <w:sz w:val="20"/>
          <w:szCs w:val="20"/>
          <w:rtl/>
        </w:rPr>
      </w:pPr>
      <w:r w:rsidRPr="00F35CD3">
        <w:rPr>
          <w:rFonts w:cs="David" w:hint="cs"/>
          <w:sz w:val="20"/>
          <w:szCs w:val="20"/>
          <w:rtl/>
        </w:rPr>
        <w:t xml:space="preserve">         "רשות שיפוטית" </w:t>
      </w:r>
      <w:r w:rsidRPr="00F35CD3">
        <w:rPr>
          <w:rFonts w:cs="David"/>
          <w:sz w:val="20"/>
          <w:szCs w:val="20"/>
          <w:rtl/>
        </w:rPr>
        <w:t>–</w:t>
      </w:r>
      <w:r w:rsidRPr="00F35CD3">
        <w:rPr>
          <w:rFonts w:cs="David" w:hint="cs"/>
          <w:sz w:val="20"/>
          <w:szCs w:val="20"/>
          <w:rtl/>
        </w:rPr>
        <w:t xml:space="preserve"> בית משפט או בית דין שיש להם סמכות שפיטה על-פי דין."</w:t>
      </w:r>
    </w:p>
    <w:p w:rsidR="005366A8" w:rsidRPr="00F35CD3" w:rsidRDefault="005366A8" w:rsidP="005366A8">
      <w:pPr>
        <w:pStyle w:val="T-body"/>
        <w:spacing w:line="240" w:lineRule="auto"/>
        <w:ind w:right="426"/>
        <w:rPr>
          <w:rFonts w:cs="David"/>
          <w:sz w:val="20"/>
          <w:szCs w:val="20"/>
          <w:rtl/>
        </w:rPr>
      </w:pPr>
    </w:p>
    <w:p w:rsidR="005366A8" w:rsidRPr="00F35CD3" w:rsidRDefault="005366A8" w:rsidP="005366A8">
      <w:pPr>
        <w:pStyle w:val="T-body"/>
        <w:spacing w:line="240" w:lineRule="auto"/>
        <w:ind w:right="426"/>
        <w:rPr>
          <w:rFonts w:cs="David"/>
          <w:b/>
          <w:bCs/>
          <w:sz w:val="20"/>
          <w:szCs w:val="20"/>
          <w:rtl/>
        </w:rPr>
      </w:pPr>
      <w:r w:rsidRPr="00F35CD3">
        <w:rPr>
          <w:rFonts w:cs="David" w:hint="cs"/>
          <w:b/>
          <w:bCs/>
          <w:sz w:val="20"/>
          <w:szCs w:val="20"/>
          <w:rtl/>
        </w:rPr>
        <w:t>15ב [תוקפו של חוק סותר]</w:t>
      </w:r>
    </w:p>
    <w:p w:rsidR="005366A8" w:rsidRPr="00F35CD3" w:rsidRDefault="005366A8" w:rsidP="000B7168">
      <w:pPr>
        <w:pStyle w:val="T-body"/>
        <w:numPr>
          <w:ilvl w:val="0"/>
          <w:numId w:val="17"/>
        </w:numPr>
        <w:spacing w:line="240" w:lineRule="auto"/>
        <w:ind w:right="426"/>
        <w:rPr>
          <w:rFonts w:cs="David"/>
          <w:sz w:val="20"/>
          <w:szCs w:val="20"/>
        </w:rPr>
      </w:pPr>
      <w:r w:rsidRPr="00F35CD3">
        <w:rPr>
          <w:rFonts w:cs="David" w:hint="cs"/>
          <w:sz w:val="20"/>
          <w:szCs w:val="20"/>
          <w:rtl/>
        </w:rPr>
        <w:t xml:space="preserve">קבע בית המשפט העליון, לפי סעיף 15א כי חוק אינו תקף משום שהוא סותר הוראה בחוק יסוד כאמור באותו סעיף (בסעיף זה </w:t>
      </w:r>
      <w:r w:rsidRPr="00F35CD3">
        <w:rPr>
          <w:rFonts w:cs="David"/>
          <w:sz w:val="20"/>
          <w:szCs w:val="20"/>
          <w:rtl/>
        </w:rPr>
        <w:t>–</w:t>
      </w:r>
      <w:r w:rsidRPr="00F35CD3">
        <w:rPr>
          <w:rFonts w:cs="David" w:hint="cs"/>
          <w:sz w:val="20"/>
          <w:szCs w:val="20"/>
          <w:rtl/>
        </w:rPr>
        <w:t xml:space="preserve"> חוק סותר), יעמוד החוק הסותר בתוקפו חרף הסתירה, אם קבעה הכנסת במפורש, בחוק שהתקבל בקריאה השלישית ברוב של חברי הכנסת, לאחר שהונח בפניה פסק דינו של בית המשפט העליון, כי החוק הסותר, יהיה תקף על אף האמור בפסק הדין, בשינויים או ללא שינויים. </w:t>
      </w:r>
    </w:p>
    <w:p w:rsidR="005366A8" w:rsidRPr="00F35CD3" w:rsidRDefault="005366A8" w:rsidP="005366A8">
      <w:pPr>
        <w:pStyle w:val="T-body"/>
        <w:spacing w:line="240" w:lineRule="auto"/>
        <w:ind w:left="720" w:right="426"/>
        <w:rPr>
          <w:rFonts w:cs="David"/>
          <w:b/>
          <w:bCs/>
          <w:sz w:val="20"/>
          <w:szCs w:val="20"/>
          <w:rtl/>
        </w:rPr>
      </w:pPr>
      <w:r w:rsidRPr="00F35CD3">
        <w:rPr>
          <w:rFonts w:cs="David" w:hint="cs"/>
          <w:b/>
          <w:bCs/>
          <w:sz w:val="20"/>
          <w:szCs w:val="20"/>
          <w:rtl/>
        </w:rPr>
        <w:t>....</w:t>
      </w:r>
    </w:p>
    <w:p w:rsidR="005366A8" w:rsidRDefault="005366A8" w:rsidP="005366A8">
      <w:pPr>
        <w:pStyle w:val="T-body"/>
        <w:spacing w:line="240" w:lineRule="auto"/>
        <w:ind w:left="565" w:right="426" w:hanging="565"/>
        <w:rPr>
          <w:rFonts w:cs="David"/>
          <w:sz w:val="20"/>
          <w:szCs w:val="20"/>
          <w:rtl/>
        </w:rPr>
      </w:pPr>
      <w:r w:rsidRPr="00F35CD3">
        <w:rPr>
          <w:rFonts w:cs="David" w:hint="cs"/>
          <w:sz w:val="20"/>
          <w:szCs w:val="20"/>
          <w:rtl/>
        </w:rPr>
        <w:t xml:space="preserve">     (ג) קבעה הכנסת כאמור בסעיף קטן (א), יעמוד החוק הסותר בתוקפו, על אף החלטת בית המשפט העליון,  ואולם אין בכך כדי למנוע מבית המשפט העליון לשוב ולהחליט בדבר תוקפו של החוק, לפי סעיף 15א לחוק יסוד: השפיטה, אחרי תום חמש שנים ממועד קביעת הכנסת.</w:t>
      </w:r>
    </w:p>
    <w:p w:rsidR="005366A8" w:rsidRPr="00F35CD3" w:rsidRDefault="005366A8" w:rsidP="005366A8">
      <w:pPr>
        <w:pStyle w:val="T-body"/>
        <w:spacing w:line="240" w:lineRule="auto"/>
        <w:ind w:left="565" w:right="426" w:hanging="565"/>
        <w:rPr>
          <w:sz w:val="20"/>
          <w:szCs w:val="20"/>
          <w:rtl/>
        </w:rPr>
      </w:pPr>
    </w:p>
    <w:p w:rsidR="005366A8" w:rsidRPr="003F2817" w:rsidRDefault="005366A8" w:rsidP="005366A8">
      <w:pPr>
        <w:spacing w:after="120"/>
        <w:rPr>
          <w:rtl/>
        </w:rPr>
      </w:pPr>
      <w:r w:rsidRPr="003F2817">
        <w:rPr>
          <w:rFonts w:hint="cs"/>
          <w:highlight w:val="yellow"/>
          <w:rtl/>
        </w:rPr>
        <w:t xml:space="preserve">לו הייתה מתקבלת יוזמתו של שר המשפטים </w:t>
      </w:r>
      <w:r>
        <w:rPr>
          <w:rFonts w:hint="cs"/>
          <w:highlight w:val="yellow"/>
          <w:rtl/>
        </w:rPr>
        <w:t>פרידמן</w:t>
      </w:r>
      <w:r w:rsidRPr="003F2817">
        <w:rPr>
          <w:rFonts w:hint="cs"/>
          <w:highlight w:val="yellow"/>
          <w:rtl/>
        </w:rPr>
        <w:t>, מה היה משתנה במסגרת החוקתית של ישראל?</w:t>
      </w:r>
    </w:p>
    <w:p w:rsidR="005366A8" w:rsidRDefault="005366A8" w:rsidP="005366A8">
      <w:pPr>
        <w:spacing w:after="120"/>
        <w:rPr>
          <w:sz w:val="22"/>
          <w:szCs w:val="22"/>
          <w:rtl/>
        </w:rPr>
      </w:pPr>
      <w:r>
        <w:rPr>
          <w:rFonts w:hint="cs"/>
          <w:sz w:val="22"/>
          <w:szCs w:val="22"/>
          <w:rtl/>
        </w:rPr>
        <w:t>=-=</w:t>
      </w:r>
    </w:p>
    <w:p w:rsidR="005366A8" w:rsidRDefault="005366A8" w:rsidP="005366A8">
      <w:pPr>
        <w:spacing w:after="120"/>
        <w:rPr>
          <w:sz w:val="22"/>
          <w:szCs w:val="22"/>
          <w:rtl/>
        </w:rPr>
      </w:pPr>
      <w:r>
        <w:rPr>
          <w:rFonts w:hint="cs"/>
          <w:sz w:val="22"/>
          <w:szCs w:val="22"/>
          <w:rtl/>
        </w:rPr>
        <w:t xml:space="preserve">המשך לדפי הפגישה הקודמת שנגעו להפרטה: סוגיית המאבטחים הפרטיים ופעילותם בירושלים המזרחית; </w:t>
      </w:r>
    </w:p>
    <w:p w:rsidR="005366A8" w:rsidRDefault="005366A8" w:rsidP="005366A8">
      <w:pPr>
        <w:spacing w:after="120"/>
        <w:rPr>
          <w:sz w:val="22"/>
          <w:szCs w:val="22"/>
          <w:rtl/>
        </w:rPr>
      </w:pPr>
      <w:r>
        <w:rPr>
          <w:rFonts w:hint="cs"/>
          <w:sz w:val="22"/>
          <w:szCs w:val="22"/>
          <w:rtl/>
        </w:rPr>
        <w:t xml:space="preserve">וכן המשך לדפים שעסקו בזכות החוקתית בארצות הברית לאחוז בנשק. מה ניתן ללמוד מתוך ההשוואה לארצות הברית? </w:t>
      </w:r>
    </w:p>
    <w:p w:rsidR="005366A8" w:rsidRDefault="005366A8" w:rsidP="005366A8">
      <w:pPr>
        <w:spacing w:after="120"/>
        <w:rPr>
          <w:sz w:val="22"/>
          <w:szCs w:val="22"/>
          <w:rtl/>
        </w:rPr>
      </w:pPr>
    </w:p>
    <w:p w:rsidR="005366A8" w:rsidRPr="003444BD" w:rsidRDefault="005366A8" w:rsidP="005366A8">
      <w:pPr>
        <w:rPr>
          <w:sz w:val="22"/>
          <w:szCs w:val="22"/>
          <w:rtl/>
        </w:rPr>
      </w:pPr>
      <w:r w:rsidRPr="003444BD">
        <w:rPr>
          <w:rFonts w:hint="cs"/>
          <w:sz w:val="22"/>
          <w:szCs w:val="22"/>
          <w:rtl/>
        </w:rPr>
        <w:t>מתוך אתר האגודה לזכויות האזרח</w:t>
      </w:r>
    </w:p>
    <w:p w:rsidR="005366A8" w:rsidRDefault="005366A8" w:rsidP="005366A8">
      <w:pPr>
        <w:rPr>
          <w:rtl/>
        </w:rPr>
      </w:pPr>
    </w:p>
    <w:p w:rsidR="005366A8" w:rsidRPr="00E22D93" w:rsidRDefault="005366A8" w:rsidP="005366A8">
      <w:pPr>
        <w:rPr>
          <w:b/>
          <w:bCs/>
        </w:rPr>
      </w:pPr>
      <w:r>
        <w:rPr>
          <w:rFonts w:hint="cs"/>
          <w:b/>
          <w:bCs/>
          <w:rtl/>
        </w:rPr>
        <w:t xml:space="preserve">[תוצאת ה] </w:t>
      </w:r>
      <w:r w:rsidRPr="00E22D93">
        <w:rPr>
          <w:b/>
          <w:bCs/>
          <w:rtl/>
        </w:rPr>
        <w:t>עתירה נגד הפעלת מאבטחים פרטיים בירושלים המזרחית</w:t>
      </w:r>
    </w:p>
    <w:p w:rsidR="005366A8" w:rsidRPr="00E22D93" w:rsidRDefault="005366A8" w:rsidP="005366A8">
      <w:r w:rsidRPr="00E22D93">
        <w:rPr>
          <w:rtl/>
        </w:rPr>
        <w:t>עודכן בתאריך:9 בינואר 2014</w:t>
      </w:r>
    </w:p>
    <w:p w:rsidR="005366A8" w:rsidRPr="00E22D93" w:rsidRDefault="005366A8" w:rsidP="005366A8">
      <w:pPr>
        <w:rPr>
          <w:i/>
          <w:iCs/>
        </w:rPr>
      </w:pPr>
      <w:r>
        <w:rPr>
          <w:i/>
          <w:iCs/>
          <w:noProof/>
        </w:rPr>
        <w:drawing>
          <wp:inline distT="0" distB="0" distL="0" distR="0">
            <wp:extent cx="1506220" cy="1524000"/>
            <wp:effectExtent l="19050" t="0" r="0" b="0"/>
            <wp:docPr id="15" name="Picture 15" descr="מאבטחים בירושלים המזרח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מאבטחים בירושלים המזרחית"/>
                    <pic:cNvPicPr>
                      <a:picLocks noChangeAspect="1" noChangeArrowheads="1"/>
                    </pic:cNvPicPr>
                  </pic:nvPicPr>
                  <pic:blipFill>
                    <a:blip r:embed="rId284" cstate="print"/>
                    <a:srcRect/>
                    <a:stretch>
                      <a:fillRect/>
                    </a:stretch>
                  </pic:blipFill>
                  <pic:spPr bwMode="auto">
                    <a:xfrm>
                      <a:off x="0" y="0"/>
                      <a:ext cx="1506220" cy="1524000"/>
                    </a:xfrm>
                    <a:prstGeom prst="rect">
                      <a:avLst/>
                    </a:prstGeom>
                    <a:noFill/>
                    <a:ln w="9525">
                      <a:noFill/>
                      <a:miter lim="800000"/>
                      <a:headEnd/>
                      <a:tailEnd/>
                    </a:ln>
                  </pic:spPr>
                </pic:pic>
              </a:graphicData>
            </a:graphic>
          </wp:inline>
        </w:drawing>
      </w:r>
      <w:r w:rsidRPr="00E22D93">
        <w:rPr>
          <w:i/>
          <w:iCs/>
          <w:rtl/>
        </w:rPr>
        <w:t>מאבטחים בירושלים המזרחית</w:t>
      </w:r>
    </w:p>
    <w:p w:rsidR="005366A8" w:rsidRPr="00E22D93" w:rsidRDefault="005366A8" w:rsidP="005366A8">
      <w:r w:rsidRPr="00E22D93">
        <w:rPr>
          <w:b/>
          <w:bCs/>
          <w:rtl/>
        </w:rPr>
        <w:t>בג"ץ 8001/11 סיאם נ' ממשלת ישראל</w:t>
      </w:r>
    </w:p>
    <w:p w:rsidR="005366A8" w:rsidRPr="00E22D93" w:rsidRDefault="005366A8" w:rsidP="005366A8">
      <w:r w:rsidRPr="00E22D93">
        <w:rPr>
          <w:rtl/>
        </w:rPr>
        <w:t>עו"ד: קרן צפריר</w:t>
      </w:r>
    </w:p>
    <w:p w:rsidR="005366A8" w:rsidRPr="00E22D93" w:rsidRDefault="005366A8" w:rsidP="005366A8">
      <w:r w:rsidRPr="00E22D93">
        <w:t> </w:t>
      </w:r>
    </w:p>
    <w:p w:rsidR="005366A8" w:rsidRPr="00F3485C" w:rsidRDefault="005366A8" w:rsidP="005366A8">
      <w:pPr>
        <w:spacing w:after="120"/>
        <w:rPr>
          <w:sz w:val="20"/>
          <w:szCs w:val="20"/>
        </w:rPr>
      </w:pPr>
      <w:r w:rsidRPr="00F3485C">
        <w:rPr>
          <w:sz w:val="20"/>
          <w:szCs w:val="20"/>
          <w:rtl/>
        </w:rPr>
        <w:t>האגודה לזכויות האזרח ותושבים פלסטינים מירושלים עתרו לבג"ץ ב-31.10.11 בדרישה לשים קץ להפעלתם של מאבטחים פרטיים במימון משרד הבינוי והשיכון בירושלים המזרחית</w:t>
      </w:r>
      <w:r w:rsidRPr="00F3485C">
        <w:rPr>
          <w:sz w:val="20"/>
          <w:szCs w:val="20"/>
        </w:rPr>
        <w:t>.</w:t>
      </w:r>
    </w:p>
    <w:p w:rsidR="005366A8" w:rsidRPr="00F3485C" w:rsidRDefault="005366A8" w:rsidP="005366A8">
      <w:pPr>
        <w:spacing w:after="120"/>
        <w:rPr>
          <w:sz w:val="20"/>
          <w:szCs w:val="20"/>
        </w:rPr>
      </w:pPr>
      <w:r w:rsidRPr="00F3485C">
        <w:rPr>
          <w:sz w:val="20"/>
          <w:szCs w:val="20"/>
          <w:rtl/>
        </w:rPr>
        <w:t xml:space="preserve">כ-350 מאבטחים שומרים כיום על כ-2,000 תושבים יהודים המתגוררים בעשרות מתחמים בלב שכונות פלסטיניות בירושלים המזרחית. </w:t>
      </w:r>
      <w:r w:rsidRPr="00F3485C">
        <w:rPr>
          <w:sz w:val="20"/>
          <w:szCs w:val="20"/>
          <w:highlight w:val="yellow"/>
          <w:rtl/>
        </w:rPr>
        <w:t>משרד השיכון מתקצב את המערך בכ-76 מיליון ש"ח בשנה, על אף שאבטחה אינה אחד מתחומי סמכויות המשרד</w:t>
      </w:r>
      <w:r w:rsidRPr="00F3485C">
        <w:rPr>
          <w:sz w:val="20"/>
          <w:szCs w:val="20"/>
          <w:rtl/>
        </w:rPr>
        <w:t>. המאבטחים, המוצבים בסילוואן, בעיר העתיקה ובשכונות נוספות ברחבי ירושלים המזרחית, פועלים ללא פיקוח הולם, מתוך תפיסת כלל התושבים הפלסטינים כאיום ביטחוני. ועדת בדיקה בראשות האלוף (במיל.) אורי אור המליצה כבר בשנת 2006 להפסיק את פעולתם של המאבטחים בירושלים המזרחית, אלא שהמלצה זו לא אומצה</w:t>
      </w:r>
      <w:r w:rsidRPr="00F3485C">
        <w:rPr>
          <w:sz w:val="20"/>
          <w:szCs w:val="20"/>
        </w:rPr>
        <w:t>.</w:t>
      </w:r>
    </w:p>
    <w:p w:rsidR="005366A8" w:rsidRDefault="005366A8" w:rsidP="005366A8">
      <w:pPr>
        <w:spacing w:after="120"/>
        <w:rPr>
          <w:sz w:val="20"/>
          <w:szCs w:val="20"/>
          <w:rtl/>
        </w:rPr>
      </w:pPr>
      <w:r w:rsidRPr="00F3485C">
        <w:rPr>
          <w:sz w:val="20"/>
          <w:szCs w:val="20"/>
          <w:highlight w:val="yellow"/>
          <w:rtl/>
        </w:rPr>
        <w:t>בעתירה נטען כי הפעלת חברת שמירה פרטית באמצעות משרד השיכון מהווה הפרטה לא חוקית של סמכויות המשטרה והתפרקות של המדינה מחובתה להגן על כלל התושבים ללא אפליה. התוצאות של מדיניות לא סבירה ומפלה זו הן פגיעה בלתי מידתית בזכויות האדם של התושבים הפלסטינים, עד כדי סיכון חיים</w:t>
      </w:r>
      <w:r w:rsidRPr="00F3485C">
        <w:rPr>
          <w:sz w:val="20"/>
          <w:szCs w:val="20"/>
          <w:rtl/>
        </w:rPr>
        <w:t>. מירי חי של מאבטחים נהרג עד היום תושב פלסטיני אחד, וכמה תושבים נפצעו</w:t>
      </w:r>
      <w:r w:rsidRPr="00F3485C">
        <w:rPr>
          <w:sz w:val="20"/>
          <w:szCs w:val="20"/>
        </w:rPr>
        <w:t>.</w:t>
      </w:r>
    </w:p>
    <w:p w:rsidR="005366A8" w:rsidRPr="00926586" w:rsidRDefault="005366A8" w:rsidP="005366A8">
      <w:pPr>
        <w:spacing w:after="120"/>
        <w:ind w:left="720"/>
        <w:rPr>
          <w:sz w:val="20"/>
          <w:szCs w:val="20"/>
        </w:rPr>
      </w:pPr>
      <w:r w:rsidRPr="00926586">
        <w:rPr>
          <w:b/>
          <w:bCs/>
          <w:sz w:val="20"/>
          <w:szCs w:val="20"/>
          <w:rtl/>
        </w:rPr>
        <w:t>עו"ד קרן צפריר מהאגודה לזכויות האזרח</w:t>
      </w:r>
      <w:r w:rsidRPr="00926586">
        <w:rPr>
          <w:sz w:val="20"/>
          <w:szCs w:val="20"/>
        </w:rPr>
        <w:t>: "</w:t>
      </w:r>
      <w:r w:rsidRPr="00926586">
        <w:rPr>
          <w:sz w:val="20"/>
          <w:szCs w:val="20"/>
          <w:rtl/>
        </w:rPr>
        <w:t xml:space="preserve">התושבים היהודים זכאים להגנה, אבל כך גם שכניהם הפלסטינים. </w:t>
      </w:r>
      <w:r w:rsidRPr="00926586">
        <w:rPr>
          <w:sz w:val="20"/>
          <w:szCs w:val="20"/>
          <w:highlight w:val="yellow"/>
          <w:rtl/>
        </w:rPr>
        <w:t>להבדיל ממשטרה, שאחראית על שמירת הסדר הציבורי ואמורה לפעול לטובת כלל התושבים וללא אפליה, המאבטחים החמושים של המתנחלים בירושלים המזרחית, הממומנים מכספי משלמי המסים, מחויבים אך ורק להגנתו של צד אחד</w:t>
      </w:r>
      <w:r w:rsidRPr="00926586">
        <w:rPr>
          <w:sz w:val="20"/>
          <w:szCs w:val="20"/>
          <w:rtl/>
        </w:rPr>
        <w:t xml:space="preserve"> במציאות המתוחה הזו</w:t>
      </w:r>
      <w:r w:rsidRPr="00926586">
        <w:rPr>
          <w:sz w:val="20"/>
          <w:szCs w:val="20"/>
        </w:rPr>
        <w:t>."</w:t>
      </w:r>
    </w:p>
    <w:p w:rsidR="005366A8" w:rsidRPr="00F3485C" w:rsidRDefault="005366A8" w:rsidP="005366A8">
      <w:pPr>
        <w:spacing w:after="120"/>
        <w:rPr>
          <w:sz w:val="20"/>
          <w:szCs w:val="20"/>
        </w:rPr>
      </w:pPr>
      <w:r w:rsidRPr="00F3485C">
        <w:rPr>
          <w:sz w:val="20"/>
          <w:szCs w:val="20"/>
          <w:rtl/>
        </w:rPr>
        <w:t xml:space="preserve">בתגובתה לעתירה טענה המדינה כי יש להותיר את המצב על כנו. שבעה תושבים יהודים המתגוררים בשכונות ירושלים המזרחית ביקשו להצטרף כצד להליך. בחודש דצמבר 2012 התקיים הדיון הראשון בעתירה, ובעקבותיו הוציא בג"ץ </w:t>
      </w:r>
      <w:r w:rsidRPr="00F3485C">
        <w:rPr>
          <w:sz w:val="20"/>
          <w:szCs w:val="20"/>
          <w:highlight w:val="yellow"/>
          <w:rtl/>
        </w:rPr>
        <w:t>צו על תנאי, המורה למדינה לנמק מדוע משרד הבינוי והשיכון הוא האחראי להפעלת המאבטחים, ולא המשרד לביטחון פנים. כמו כן התבקשה המדינה לשקול שוב את הגדרת סמכויותיהם של המאבטחים</w:t>
      </w:r>
      <w:r w:rsidRPr="00F3485C">
        <w:rPr>
          <w:sz w:val="20"/>
          <w:szCs w:val="20"/>
        </w:rPr>
        <w:t>.</w:t>
      </w:r>
    </w:p>
    <w:p w:rsidR="005366A8" w:rsidRPr="00F3485C" w:rsidRDefault="005366A8" w:rsidP="005366A8">
      <w:pPr>
        <w:rPr>
          <w:sz w:val="20"/>
          <w:szCs w:val="20"/>
        </w:rPr>
      </w:pPr>
      <w:r w:rsidRPr="00F3485C">
        <w:rPr>
          <w:sz w:val="20"/>
          <w:szCs w:val="20"/>
          <w:highlight w:val="yellow"/>
          <w:rtl/>
        </w:rPr>
        <w:t xml:space="preserve">בדיון שהתקיים ביום 7.1.2014 </w:t>
      </w:r>
      <w:r w:rsidRPr="00926586">
        <w:rPr>
          <w:sz w:val="20"/>
          <w:szCs w:val="20"/>
          <w:highlight w:val="yellow"/>
          <w:u w:val="single"/>
          <w:rtl/>
        </w:rPr>
        <w:t>הבהירו שופטי בג"ץ כי אין בכוונתם להביא לביטול העסקת המאבטחים בירושלים המזרחית, והמליצו לעותרים למשוך את העתירה</w:t>
      </w:r>
      <w:r w:rsidRPr="00F3485C">
        <w:rPr>
          <w:sz w:val="20"/>
          <w:szCs w:val="20"/>
          <w:highlight w:val="yellow"/>
          <w:rtl/>
        </w:rPr>
        <w:t>. בעקבות זאת הגישו העותרים בקשה למחיקת העתירה</w:t>
      </w:r>
      <w:r w:rsidRPr="00F3485C">
        <w:rPr>
          <w:sz w:val="20"/>
          <w:szCs w:val="20"/>
          <w:highlight w:val="yellow"/>
        </w:rPr>
        <w:t>.</w:t>
      </w:r>
    </w:p>
    <w:p w:rsidR="005366A8" w:rsidRDefault="005366A8" w:rsidP="005366A8">
      <w:pPr>
        <w:spacing w:after="120"/>
        <w:rPr>
          <w:sz w:val="22"/>
          <w:szCs w:val="22"/>
          <w:rtl/>
        </w:rPr>
      </w:pPr>
    </w:p>
    <w:p w:rsidR="005366A8" w:rsidRDefault="005366A8" w:rsidP="005366A8">
      <w:pPr>
        <w:spacing w:after="120"/>
        <w:rPr>
          <w:sz w:val="22"/>
          <w:szCs w:val="22"/>
          <w:rtl/>
        </w:rPr>
      </w:pPr>
      <w:r>
        <w:rPr>
          <w:rFonts w:hint="cs"/>
          <w:sz w:val="22"/>
          <w:szCs w:val="22"/>
          <w:rtl/>
        </w:rPr>
        <w:t>=-=</w:t>
      </w:r>
    </w:p>
    <w:p w:rsidR="005366A8" w:rsidRPr="00E22D93" w:rsidRDefault="005366A8" w:rsidP="005366A8">
      <w:pPr>
        <w:rPr>
          <w:b/>
          <w:bCs/>
        </w:rPr>
      </w:pPr>
      <w:r w:rsidRPr="00E22D93">
        <w:rPr>
          <w:b/>
          <w:bCs/>
          <w:rtl/>
        </w:rPr>
        <w:t xml:space="preserve">מחר נכנסות לתוקף </w:t>
      </w:r>
      <w:r>
        <w:rPr>
          <w:rFonts w:hint="cs"/>
          <w:b/>
          <w:bCs/>
          <w:rtl/>
        </w:rPr>
        <w:t xml:space="preserve">[הנחיות] </w:t>
      </w:r>
      <w:r w:rsidRPr="00E22D93">
        <w:rPr>
          <w:b/>
          <w:bCs/>
          <w:rtl/>
        </w:rPr>
        <w:t>חדשות; האם המאבטחים יפקידו את הנשק בתום המשמרת</w:t>
      </w:r>
      <w:r w:rsidRPr="00E22D93">
        <w:rPr>
          <w:b/>
          <w:bCs/>
        </w:rPr>
        <w:t>?</w:t>
      </w:r>
    </w:p>
    <w:p w:rsidR="005366A8" w:rsidRPr="00E22D93" w:rsidRDefault="005366A8" w:rsidP="005366A8">
      <w:r w:rsidRPr="00E22D93">
        <w:rPr>
          <w:rtl/>
        </w:rPr>
        <w:t>עודכן בתאריך:26 באוגוסט 2013</w:t>
      </w:r>
    </w:p>
    <w:p w:rsidR="005366A8" w:rsidRPr="00E22D93" w:rsidRDefault="005366A8" w:rsidP="005366A8">
      <w:pPr>
        <w:rPr>
          <w:i/>
          <w:iCs/>
        </w:rPr>
      </w:pPr>
    </w:p>
    <w:p w:rsidR="005366A8" w:rsidRPr="00EB38E9" w:rsidRDefault="005366A8" w:rsidP="005366A8">
      <w:pPr>
        <w:rPr>
          <w:sz w:val="20"/>
          <w:szCs w:val="20"/>
        </w:rPr>
      </w:pPr>
      <w:r w:rsidRPr="00EB38E9">
        <w:rPr>
          <w:sz w:val="20"/>
          <w:szCs w:val="20"/>
          <w:rtl/>
        </w:rPr>
        <w:t xml:space="preserve"> לאחר מאבק ציבורי, מחר (27.8.2013) ייכנסו לתוקף </w:t>
      </w:r>
      <w:r>
        <w:rPr>
          <w:rFonts w:hint="cs"/>
          <w:sz w:val="20"/>
          <w:szCs w:val="20"/>
          <w:rtl/>
        </w:rPr>
        <w:t>[ההנחיות]</w:t>
      </w:r>
      <w:r w:rsidRPr="00EB38E9">
        <w:rPr>
          <w:sz w:val="20"/>
          <w:szCs w:val="20"/>
          <w:rtl/>
        </w:rPr>
        <w:t xml:space="preserve"> החדשות של המשרד לביטחון פנים, המחייבות מאבטחים נושאי נשק להפקיד אותו בסיום המשמרת. בעשור האחרון נרצחו למעלה מ-30 בני אדם מירי בנשק ששימש לאבטחה.</w:t>
      </w:r>
    </w:p>
    <w:p w:rsidR="005366A8" w:rsidRPr="00EB38E9" w:rsidRDefault="005366A8" w:rsidP="005366A8">
      <w:pPr>
        <w:rPr>
          <w:sz w:val="20"/>
          <w:szCs w:val="20"/>
          <w:rtl/>
        </w:rPr>
      </w:pPr>
      <w:r w:rsidRPr="00EB38E9">
        <w:rPr>
          <w:sz w:val="20"/>
          <w:szCs w:val="20"/>
          <w:rtl/>
        </w:rPr>
        <w:t>לאחר מאבק ציבורי מתמשך של קואליציית "</w:t>
      </w:r>
      <w:hyperlink r:id="rId285" w:tgtFrame="_blank" w:history="1">
        <w:r w:rsidRPr="00EB38E9">
          <w:rPr>
            <w:rStyle w:val="Hyperlink"/>
            <w:b/>
            <w:bCs/>
            <w:sz w:val="20"/>
            <w:szCs w:val="20"/>
            <w:rtl/>
          </w:rPr>
          <w:t>האקדח על שולחן המטבח</w:t>
        </w:r>
      </w:hyperlink>
      <w:r w:rsidRPr="00EB38E9">
        <w:rPr>
          <w:sz w:val="20"/>
          <w:szCs w:val="20"/>
          <w:rtl/>
        </w:rPr>
        <w:t xml:space="preserve">", ובעקבות ריבוי מקרי הרצח מידי אנשים שהועסקו כמאבטחים ועשו שימוש בנשק שניתן להם ממקום עבודתם, נוסחו מחדש הנחיות המשרד לביטחון פנים בנוגע לנשק חברות אבטחה. </w:t>
      </w:r>
      <w:r w:rsidRPr="00EB38E9">
        <w:rPr>
          <w:sz w:val="20"/>
          <w:szCs w:val="20"/>
          <w:highlight w:val="yellow"/>
          <w:rtl/>
        </w:rPr>
        <w:t>בסוף יולי 2013 הודיע המשרד לביטחון פנים כי החל מה-27.8.2013 ייכנסו לתוקפן הנחיות המחייבות את אפסון הנשק בתום המשמרת בבתי עסק דוגמת בתי מלון, בנקים או קניונים</w:t>
      </w:r>
      <w:r w:rsidRPr="00EB38E9">
        <w:rPr>
          <w:sz w:val="20"/>
          <w:szCs w:val="20"/>
          <w:rtl/>
        </w:rPr>
        <w:t>.</w:t>
      </w:r>
    </w:p>
    <w:p w:rsidR="005366A8" w:rsidRPr="00EB38E9" w:rsidRDefault="005366A8" w:rsidP="005366A8">
      <w:pPr>
        <w:rPr>
          <w:sz w:val="20"/>
          <w:szCs w:val="20"/>
          <w:rtl/>
        </w:rPr>
      </w:pPr>
      <w:r w:rsidRPr="00EB38E9">
        <w:rPr>
          <w:sz w:val="20"/>
          <w:szCs w:val="20"/>
          <w:rtl/>
        </w:rPr>
        <w:t> אף כי החוק מחייב מאז שנת 2008 את חברות האבטחה להגביל את הימצאות הנשק לאזור המאובטח ולצורך האבטחה בלבד, בפועל החוק לא נאכף. בעקבות הלחץ הציבורי ושרשרת מקרים של רצח בנשק אבטחה, האחרון שבהם הוא רצח עוה"ד נתן ז'ורנו ובתו ימית ז'ורנו, קיימה ועדת הפנים והגנת הסביבה של הכנסת בראשות ח"כ מירי רגב סדרה של דיונים בנושא, ואילו המשרד לביטחון פנים קיים עבודת מטה שהובילה להנחיות החדשות.</w:t>
      </w:r>
    </w:p>
    <w:p w:rsidR="005366A8" w:rsidRPr="00EB38E9" w:rsidRDefault="005366A8" w:rsidP="005366A8">
      <w:pPr>
        <w:rPr>
          <w:sz w:val="20"/>
          <w:szCs w:val="20"/>
          <w:rtl/>
        </w:rPr>
      </w:pPr>
      <w:r w:rsidRPr="00EB38E9">
        <w:rPr>
          <w:sz w:val="20"/>
          <w:szCs w:val="20"/>
          <w:rtl/>
        </w:rPr>
        <w:t>על אף הסמיכות לפתיחת שנת הלימודים, </w:t>
      </w:r>
      <w:r w:rsidRPr="00EB38E9">
        <w:rPr>
          <w:b/>
          <w:bCs/>
          <w:sz w:val="20"/>
          <w:szCs w:val="20"/>
          <w:rtl/>
        </w:rPr>
        <w:t>ההנחיות אינן נוגעות למוסדות חינוך</w:t>
      </w:r>
      <w:r w:rsidRPr="00EB38E9">
        <w:rPr>
          <w:sz w:val="20"/>
          <w:szCs w:val="20"/>
          <w:rtl/>
        </w:rPr>
        <w:t xml:space="preserve"> בשל המאפיינים המיוחדים להם, שאינם מאפשרים הפקדת כלי נשק בתחומם. בנושא זה, מסר המשרד לביטחון פנים, נערכת עבודת מטה שמטרתה למצוא פיתרון הולם. </w:t>
      </w:r>
      <w:r w:rsidRPr="00EB38E9">
        <w:rPr>
          <w:sz w:val="20"/>
          <w:szCs w:val="20"/>
          <w:highlight w:val="yellow"/>
          <w:rtl/>
        </w:rPr>
        <w:t>על פי הערכות, מדובר בכ-5,000 מאבטחים שימשיכו לקחת הביתה את כלי הנשק שניתנים להם לצורך העבודה.</w:t>
      </w:r>
    </w:p>
    <w:p w:rsidR="005366A8" w:rsidRPr="00EB38E9" w:rsidRDefault="005366A8" w:rsidP="005366A8">
      <w:pPr>
        <w:rPr>
          <w:sz w:val="20"/>
          <w:szCs w:val="20"/>
          <w:rtl/>
        </w:rPr>
      </w:pPr>
      <w:r w:rsidRPr="00EB38E9">
        <w:rPr>
          <w:sz w:val="20"/>
          <w:szCs w:val="20"/>
          <w:rtl/>
        </w:rPr>
        <w:t>לקראת כניסת ההנחיות לתוקף, פנה ארגון חברות האבטחה אל המשרד לביטחון פנים בבקשה לדחות את מועד כניסת ההנחיות לתוקף, בטענה שהחברות אינן ערוכות. מנכ"ל ארגון חברות האבטחה, </w:t>
      </w:r>
      <w:r w:rsidRPr="00EB38E9">
        <w:rPr>
          <w:b/>
          <w:bCs/>
          <w:sz w:val="20"/>
          <w:szCs w:val="20"/>
          <w:rtl/>
        </w:rPr>
        <w:t>פיני שיף</w:t>
      </w:r>
      <w:r w:rsidRPr="00EB38E9">
        <w:rPr>
          <w:sz w:val="20"/>
          <w:szCs w:val="20"/>
          <w:rtl/>
        </w:rPr>
        <w:t>, אף</w:t>
      </w:r>
      <w:r w:rsidRPr="00EB38E9">
        <w:rPr>
          <w:rFonts w:hint="cs"/>
          <w:sz w:val="20"/>
          <w:szCs w:val="20"/>
          <w:rtl/>
        </w:rPr>
        <w:t xml:space="preserve"> </w:t>
      </w:r>
      <w:hyperlink r:id="rId286" w:tgtFrame="_blank" w:history="1">
        <w:r w:rsidRPr="00EB38E9">
          <w:rPr>
            <w:rStyle w:val="Hyperlink"/>
            <w:sz w:val="20"/>
            <w:szCs w:val="20"/>
            <w:rtl/>
          </w:rPr>
          <w:t>הזהיר</w:t>
        </w:r>
      </w:hyperlink>
      <w:r w:rsidRPr="00EB38E9">
        <w:rPr>
          <w:sz w:val="20"/>
          <w:szCs w:val="20"/>
          <w:rtl/>
        </w:rPr>
        <w:t> כי אם הדחייה לא תתאפשר, המאבטחים יעבדו ללא נשק.</w:t>
      </w:r>
    </w:p>
    <w:p w:rsidR="005366A8" w:rsidRPr="00EB38E9" w:rsidRDefault="005366A8" w:rsidP="005366A8">
      <w:pPr>
        <w:rPr>
          <w:sz w:val="20"/>
          <w:szCs w:val="20"/>
          <w:rtl/>
        </w:rPr>
      </w:pPr>
      <w:r w:rsidRPr="00EB38E9">
        <w:rPr>
          <w:sz w:val="20"/>
          <w:szCs w:val="20"/>
          <w:highlight w:val="yellow"/>
          <w:rtl/>
        </w:rPr>
        <w:t>בישראל רשומים כ-290 אלף כלי נשק אזרחיים. מתוכם כ-160 אלף כלי נשק פרטיים מוחזקים בידי הציבור ועוד 130 אלף שייכים לארגונים כמו חברות שמירה, סוחרי נשק, מטווחים ויישובים. כ-43 אלף כלי נשק נמצאים בידי חברות השמירה המעסיקות 34 אלף מאבטחים</w:t>
      </w:r>
      <w:r w:rsidRPr="00EB38E9">
        <w:rPr>
          <w:sz w:val="20"/>
          <w:szCs w:val="20"/>
          <w:rtl/>
        </w:rPr>
        <w:t>.</w:t>
      </w:r>
      <w:r>
        <w:rPr>
          <w:rFonts w:hint="cs"/>
          <w:sz w:val="20"/>
          <w:szCs w:val="20"/>
          <w:rtl/>
        </w:rPr>
        <w:t xml:space="preserve"> [...]</w:t>
      </w:r>
    </w:p>
    <w:p w:rsidR="005366A8" w:rsidRDefault="005366A8" w:rsidP="005366A8">
      <w:pPr>
        <w:rPr>
          <w:sz w:val="20"/>
          <w:szCs w:val="20"/>
          <w:rtl/>
        </w:rPr>
      </w:pPr>
    </w:p>
    <w:p w:rsidR="005366A8" w:rsidRPr="00EB38E9" w:rsidRDefault="005366A8" w:rsidP="005366A8">
      <w:pPr>
        <w:rPr>
          <w:sz w:val="20"/>
          <w:szCs w:val="20"/>
          <w:rtl/>
        </w:rPr>
      </w:pPr>
    </w:p>
    <w:p w:rsidR="005366A8" w:rsidRDefault="005366A8" w:rsidP="005366A8">
      <w:pPr>
        <w:spacing w:after="120"/>
        <w:rPr>
          <w:sz w:val="20"/>
          <w:szCs w:val="20"/>
        </w:rPr>
      </w:pPr>
      <w:r w:rsidRPr="00437F4B">
        <w:rPr>
          <w:sz w:val="20"/>
          <w:szCs w:val="20"/>
        </w:rPr>
        <w:t>http://mops.gov.il/fire_arms/pages/depositingfainworkingplace.aspx</w:t>
      </w:r>
    </w:p>
    <w:p w:rsidR="005366A8" w:rsidRDefault="005366A8" w:rsidP="005366A8">
      <w:pPr>
        <w:spacing w:after="120"/>
        <w:rPr>
          <w:sz w:val="20"/>
          <w:szCs w:val="20"/>
          <w:rtl/>
        </w:rPr>
      </w:pPr>
      <w:r>
        <w:rPr>
          <w:rFonts w:hint="cs"/>
          <w:sz w:val="20"/>
          <w:szCs w:val="20"/>
          <w:rtl/>
        </w:rPr>
        <w:t>מתוך אתר המשרד לבטחון-פנים:</w:t>
      </w:r>
    </w:p>
    <w:p w:rsidR="005366A8" w:rsidRPr="00437F4B" w:rsidRDefault="005366A8" w:rsidP="005366A8">
      <w:pPr>
        <w:rPr>
          <w:rFonts w:ascii="Arial" w:hAnsi="Arial" w:cs="Arial"/>
          <w:b/>
          <w:bCs/>
          <w:color w:val="000000"/>
          <w:sz w:val="20"/>
          <w:szCs w:val="20"/>
        </w:rPr>
      </w:pPr>
      <w:r w:rsidRPr="00437F4B">
        <w:rPr>
          <w:rFonts w:ascii="Arial" w:hAnsi="Arial" w:cs="Arial"/>
          <w:b/>
          <w:bCs/>
          <w:color w:val="000000"/>
          <w:sz w:val="20"/>
          <w:szCs w:val="20"/>
          <w:rtl/>
        </w:rPr>
        <w:t>יישום מדיניות השר לביטחון הפנים לעניין הפקדת כלי היריה במקום העיסוק</w:t>
      </w:r>
    </w:p>
    <w:p w:rsidR="005366A8" w:rsidRPr="00437F4B" w:rsidRDefault="005366A8" w:rsidP="005366A8">
      <w:pPr>
        <w:rPr>
          <w:rFonts w:ascii="Arial" w:hAnsi="Arial" w:cs="Arial"/>
          <w:color w:val="000000"/>
          <w:sz w:val="20"/>
          <w:szCs w:val="20"/>
        </w:rPr>
      </w:pPr>
      <w:r w:rsidRPr="00437F4B">
        <w:rPr>
          <w:rFonts w:ascii="Arial" w:hAnsi="Arial" w:cs="Arial"/>
          <w:color w:val="000000"/>
          <w:sz w:val="20"/>
          <w:szCs w:val="20"/>
        </w:rPr>
        <w:t> </w:t>
      </w:r>
    </w:p>
    <w:p w:rsidR="005366A8" w:rsidRPr="00437F4B" w:rsidRDefault="005366A8" w:rsidP="005366A8">
      <w:pPr>
        <w:rPr>
          <w:rFonts w:ascii="Arial" w:hAnsi="Arial" w:cs="Arial"/>
          <w:color w:val="5D5D5D"/>
          <w:sz w:val="20"/>
          <w:szCs w:val="20"/>
        </w:rPr>
      </w:pPr>
      <w:r w:rsidRPr="00437F4B">
        <w:rPr>
          <w:rFonts w:ascii="Arial" w:hAnsi="Arial" w:cs="Arial"/>
          <w:color w:val="5D5D5D"/>
          <w:sz w:val="20"/>
          <w:szCs w:val="20"/>
        </w:rPr>
        <w:t>06/06/2013</w:t>
      </w:r>
    </w:p>
    <w:p w:rsidR="005366A8" w:rsidRPr="00437F4B" w:rsidRDefault="005366A8" w:rsidP="005366A8">
      <w:pPr>
        <w:rPr>
          <w:rFonts w:ascii="Arial" w:hAnsi="Arial" w:cs="Arial"/>
          <w:b/>
          <w:bCs/>
          <w:color w:val="000000"/>
          <w:sz w:val="20"/>
          <w:szCs w:val="20"/>
        </w:rPr>
      </w:pPr>
      <w:r w:rsidRPr="00437F4B">
        <w:rPr>
          <w:rFonts w:ascii="Arial" w:hAnsi="Arial" w:cs="Arial"/>
          <w:b/>
          <w:bCs/>
          <w:color w:val="000000"/>
          <w:sz w:val="20"/>
          <w:szCs w:val="20"/>
          <w:rtl/>
        </w:rPr>
        <w:t>הוראת השר לביטחון הפנים, יצחק אהרונוביץ' - על הגורמים המוסמכים לפעול להפקדת כלי יריה המוחזקים בידי מאבטחים ושומרים בחברות שמירה ובארגונים אחרים, במקום העיסוק</w:t>
      </w:r>
    </w:p>
    <w:p w:rsidR="005366A8" w:rsidRPr="00437F4B" w:rsidRDefault="005366A8" w:rsidP="005366A8">
      <w:pPr>
        <w:rPr>
          <w:rFonts w:ascii="Arial" w:hAnsi="Arial" w:cs="Arial"/>
          <w:color w:val="000000"/>
          <w:sz w:val="20"/>
          <w:szCs w:val="20"/>
        </w:rPr>
      </w:pPr>
    </w:p>
    <w:p w:rsidR="005366A8" w:rsidRPr="00437F4B" w:rsidRDefault="005366A8" w:rsidP="005366A8">
      <w:pPr>
        <w:textAlignment w:val="top"/>
        <w:rPr>
          <w:rFonts w:ascii="Arial" w:hAnsi="Arial" w:cs="Arial"/>
          <w:color w:val="000000"/>
          <w:sz w:val="20"/>
          <w:szCs w:val="20"/>
        </w:rPr>
      </w:pPr>
      <w:r w:rsidRPr="00437F4B">
        <w:rPr>
          <w:rFonts w:ascii="Arial" w:hAnsi="Arial" w:cs="Arial"/>
          <w:color w:val="000000"/>
          <w:sz w:val="20"/>
          <w:szCs w:val="20"/>
          <w:rtl/>
        </w:rPr>
        <w:t>במסגרת מדיניות השר והמשרד לביטחון הפנים בנושא כלי יריה ולנוכח אירועי ירי חריגים בעת האחרונה, בהם קיפחו את חייהם אזרחים חפים מפשע, הורה באחרונה השר לביטחון הפנים, יצחק אהרונוביץ' על הגורמים המוסמכים לפעול להפקדת כלי יריה המוחזקים בידי מאבטחים ושומרים בחברות שמירה ובארגונים אחרים, במקום העיסוק</w:t>
      </w:r>
      <w:r w:rsidRPr="00437F4B">
        <w:rPr>
          <w:rFonts w:ascii="Arial" w:hAnsi="Arial" w:cs="Arial"/>
          <w:color w:val="000000"/>
          <w:sz w:val="20"/>
          <w:szCs w:val="20"/>
        </w:rPr>
        <w:t>.</w:t>
      </w:r>
    </w:p>
    <w:p w:rsidR="005366A8" w:rsidRPr="00437F4B" w:rsidRDefault="005366A8" w:rsidP="005366A8">
      <w:pPr>
        <w:textAlignment w:val="top"/>
        <w:rPr>
          <w:rFonts w:ascii="Arial" w:hAnsi="Arial" w:cs="Arial"/>
          <w:color w:val="000000"/>
          <w:sz w:val="20"/>
          <w:szCs w:val="20"/>
        </w:rPr>
      </w:pPr>
      <w:r w:rsidRPr="00437F4B">
        <w:rPr>
          <w:rFonts w:ascii="Arial" w:hAnsi="Arial" w:cs="Arial"/>
          <w:color w:val="000000"/>
          <w:sz w:val="20"/>
          <w:szCs w:val="20"/>
        </w:rPr>
        <w:t> </w:t>
      </w:r>
    </w:p>
    <w:p w:rsidR="005366A8" w:rsidRPr="00437F4B" w:rsidRDefault="005366A8" w:rsidP="005366A8">
      <w:pPr>
        <w:textAlignment w:val="top"/>
        <w:rPr>
          <w:rFonts w:ascii="Arial" w:hAnsi="Arial" w:cs="Arial"/>
          <w:color w:val="000000"/>
          <w:sz w:val="20"/>
          <w:szCs w:val="20"/>
          <w:rtl/>
        </w:rPr>
      </w:pPr>
      <w:r w:rsidRPr="00437F4B">
        <w:rPr>
          <w:rFonts w:ascii="Arial" w:hAnsi="Arial" w:cs="Arial"/>
          <w:color w:val="000000"/>
          <w:sz w:val="20"/>
          <w:szCs w:val="20"/>
          <w:rtl/>
        </w:rPr>
        <w:t>מנכ"ל המשרד לביטחון הפנים, מר רותם פלג קיים היום, יום ה' ה-06/06/13, כנס בהשתתפות נציגי הרשות המוסמכת - האגף לרישוי כלי יריה, בראשות יעקב עמית; נציגי חטיבת אבטחה במשטרת ישראל, ראש חטיבת אבטחה, תת-ניצב אמיתי לוי, ובהשתתפות נציגי חברות האבטחה וענפי המשק בהם קיימת אבטחה חמושה. הכנס התקיים בהמשך לכנסים מקצועיים שמתקיימים בהובלת חטיבת האבטחה במשטרת ישראל</w:t>
      </w:r>
      <w:r w:rsidRPr="00437F4B">
        <w:rPr>
          <w:rFonts w:ascii="Arial" w:hAnsi="Arial" w:cs="Arial"/>
          <w:color w:val="000000"/>
          <w:sz w:val="20"/>
          <w:szCs w:val="20"/>
        </w:rPr>
        <w:t>.</w:t>
      </w:r>
    </w:p>
    <w:p w:rsidR="005366A8" w:rsidRPr="00437F4B" w:rsidRDefault="005366A8" w:rsidP="005366A8">
      <w:pPr>
        <w:textAlignment w:val="top"/>
        <w:rPr>
          <w:rFonts w:ascii="Arial" w:hAnsi="Arial" w:cs="Arial"/>
          <w:color w:val="000000"/>
          <w:sz w:val="20"/>
          <w:szCs w:val="20"/>
        </w:rPr>
      </w:pPr>
      <w:r w:rsidRPr="00437F4B">
        <w:rPr>
          <w:rFonts w:ascii="Arial" w:hAnsi="Arial" w:cs="Arial"/>
          <w:color w:val="000000"/>
          <w:sz w:val="20"/>
          <w:szCs w:val="20"/>
          <w:rtl/>
        </w:rPr>
        <w:t>בכנס הועברו למשתתפים המלצות והנחיות של הרשות המוסמכת - האגף לרישוי כלי יריה ומשטרת ישראל -  בנושא ומידע הנחוץ לצורך היערכותם ליישום מדיניות השר</w:t>
      </w:r>
      <w:r w:rsidRPr="00437F4B">
        <w:rPr>
          <w:rFonts w:ascii="Arial" w:hAnsi="Arial" w:cs="Arial"/>
          <w:color w:val="000000"/>
          <w:sz w:val="20"/>
          <w:szCs w:val="20"/>
        </w:rPr>
        <w:t>.</w:t>
      </w:r>
    </w:p>
    <w:p w:rsidR="005366A8" w:rsidRPr="00437F4B" w:rsidRDefault="005366A8" w:rsidP="005366A8">
      <w:pPr>
        <w:textAlignment w:val="top"/>
        <w:rPr>
          <w:rFonts w:ascii="Arial" w:hAnsi="Arial" w:cs="Arial"/>
          <w:color w:val="000000"/>
          <w:sz w:val="20"/>
          <w:szCs w:val="20"/>
        </w:rPr>
      </w:pPr>
      <w:r w:rsidRPr="00437F4B">
        <w:rPr>
          <w:rFonts w:ascii="Arial" w:hAnsi="Arial" w:cs="Arial"/>
          <w:color w:val="000000"/>
          <w:sz w:val="20"/>
          <w:szCs w:val="20"/>
          <w:rtl/>
        </w:rPr>
        <w:t>להלן עיקרי ההנחיות</w:t>
      </w:r>
      <w:r w:rsidRPr="00437F4B">
        <w:rPr>
          <w:rFonts w:ascii="Arial" w:hAnsi="Arial" w:cs="Arial"/>
          <w:color w:val="000000"/>
          <w:sz w:val="20"/>
          <w:szCs w:val="20"/>
        </w:rPr>
        <w:t>:</w:t>
      </w:r>
    </w:p>
    <w:p w:rsidR="005366A8" w:rsidRPr="00437F4B" w:rsidRDefault="005366A8" w:rsidP="005366A8">
      <w:pPr>
        <w:textAlignment w:val="top"/>
        <w:rPr>
          <w:rFonts w:ascii="Arial" w:hAnsi="Arial" w:cs="Arial"/>
          <w:color w:val="000000"/>
          <w:sz w:val="20"/>
          <w:szCs w:val="20"/>
        </w:rPr>
      </w:pPr>
      <w:r w:rsidRPr="00437F4B">
        <w:rPr>
          <w:rFonts w:ascii="Arial" w:hAnsi="Arial" w:cs="Arial"/>
          <w:color w:val="000000"/>
          <w:sz w:val="20"/>
          <w:szCs w:val="20"/>
        </w:rPr>
        <w:t> </w:t>
      </w:r>
    </w:p>
    <w:p w:rsidR="005366A8" w:rsidRPr="00437F4B" w:rsidRDefault="005366A8" w:rsidP="000B7168">
      <w:pPr>
        <w:numPr>
          <w:ilvl w:val="0"/>
          <w:numId w:val="26"/>
        </w:numPr>
        <w:ind w:left="0"/>
        <w:jc w:val="left"/>
        <w:textAlignment w:val="top"/>
        <w:rPr>
          <w:rFonts w:ascii="Arial" w:hAnsi="Arial" w:cs="Arial"/>
          <w:color w:val="000000"/>
          <w:sz w:val="20"/>
          <w:szCs w:val="20"/>
        </w:rPr>
      </w:pPr>
      <w:r w:rsidRPr="00437F4B">
        <w:rPr>
          <w:rFonts w:ascii="Arial" w:hAnsi="Arial" w:cs="Arial"/>
          <w:color w:val="000000"/>
          <w:sz w:val="20"/>
          <w:szCs w:val="20"/>
          <w:rtl/>
        </w:rPr>
        <w:t>איסור הוצאת כלי יריה על-ידי מאבטחים או שומרים אל מחוץ למקום העבודה, למעט מקרים חריגים, באישור הרשות המוסמכת, ורק במקרים שבהם תותקן בבית המאבטח/שומר כספת בהתאם למפרט הטכני המאושר</w:t>
      </w:r>
      <w:r w:rsidRPr="00437F4B">
        <w:rPr>
          <w:rFonts w:ascii="Arial" w:hAnsi="Arial" w:cs="Arial"/>
          <w:color w:val="000000"/>
          <w:sz w:val="20"/>
          <w:szCs w:val="20"/>
        </w:rPr>
        <w:t> </w:t>
      </w:r>
    </w:p>
    <w:p w:rsidR="005366A8" w:rsidRPr="00437F4B" w:rsidRDefault="005366A8" w:rsidP="000B7168">
      <w:pPr>
        <w:numPr>
          <w:ilvl w:val="0"/>
          <w:numId w:val="26"/>
        </w:numPr>
        <w:ind w:left="0"/>
        <w:jc w:val="left"/>
        <w:textAlignment w:val="top"/>
        <w:rPr>
          <w:rFonts w:ascii="Arial" w:hAnsi="Arial" w:cs="Arial"/>
          <w:color w:val="000000"/>
          <w:sz w:val="20"/>
          <w:szCs w:val="20"/>
        </w:rPr>
      </w:pPr>
      <w:r w:rsidRPr="00437F4B">
        <w:rPr>
          <w:rFonts w:ascii="Arial" w:hAnsi="Arial" w:cs="Arial"/>
          <w:color w:val="000000"/>
          <w:sz w:val="20"/>
          <w:szCs w:val="20"/>
          <w:rtl/>
        </w:rPr>
        <w:t>קביעת סידורי אחסון ממוגנים לכלי היריה המצויים בידי מאבטחים, באתרים המאובטחים, או במחסני חברות האבטחה/שמירה בהתאם להנחיות המשטרה</w:t>
      </w:r>
      <w:r w:rsidRPr="00437F4B">
        <w:rPr>
          <w:rFonts w:ascii="Arial" w:hAnsi="Arial" w:cs="Arial"/>
          <w:color w:val="000000"/>
          <w:sz w:val="20"/>
          <w:szCs w:val="20"/>
        </w:rPr>
        <w:t>  </w:t>
      </w:r>
    </w:p>
    <w:p w:rsidR="005366A8" w:rsidRPr="00437F4B" w:rsidRDefault="005366A8" w:rsidP="000B7168">
      <w:pPr>
        <w:numPr>
          <w:ilvl w:val="0"/>
          <w:numId w:val="26"/>
        </w:numPr>
        <w:ind w:left="0"/>
        <w:jc w:val="left"/>
        <w:textAlignment w:val="top"/>
        <w:rPr>
          <w:rFonts w:ascii="Arial" w:hAnsi="Arial" w:cs="Arial"/>
          <w:color w:val="000000"/>
          <w:sz w:val="20"/>
          <w:szCs w:val="20"/>
        </w:rPr>
      </w:pPr>
      <w:r w:rsidRPr="00437F4B">
        <w:rPr>
          <w:rFonts w:ascii="Arial" w:hAnsi="Arial" w:cs="Arial"/>
          <w:color w:val="000000"/>
          <w:sz w:val="20"/>
          <w:szCs w:val="20"/>
          <w:rtl/>
        </w:rPr>
        <w:t>צמצום סוגי המשימות/יעדי האבטחה, אשר יחייבו אבטחה חמושה</w:t>
      </w:r>
      <w:r w:rsidRPr="00437F4B">
        <w:rPr>
          <w:rFonts w:ascii="Arial" w:hAnsi="Arial" w:cs="Arial"/>
          <w:color w:val="000000"/>
          <w:sz w:val="20"/>
          <w:szCs w:val="20"/>
        </w:rPr>
        <w:t>. </w:t>
      </w:r>
      <w:r w:rsidRPr="00437F4B">
        <w:rPr>
          <w:rFonts w:ascii="Arial" w:hAnsi="Arial" w:cs="Arial"/>
          <w:color w:val="000000"/>
          <w:sz w:val="20"/>
          <w:szCs w:val="20"/>
        </w:rPr>
        <w:br/>
      </w:r>
      <w:r w:rsidRPr="00437F4B">
        <w:rPr>
          <w:rFonts w:ascii="Arial" w:hAnsi="Arial" w:cs="Arial"/>
          <w:color w:val="000000"/>
          <w:sz w:val="20"/>
          <w:szCs w:val="20"/>
          <w:rtl/>
        </w:rPr>
        <w:t>בימים אלה משטרת ישראל נמצאת בשלבי גיבוש אחרונים של תפיסת האבטחה החמושה</w:t>
      </w:r>
      <w:r w:rsidRPr="00437F4B">
        <w:rPr>
          <w:rFonts w:ascii="Arial" w:hAnsi="Arial" w:cs="Arial"/>
          <w:color w:val="000000"/>
          <w:sz w:val="20"/>
          <w:szCs w:val="20"/>
        </w:rPr>
        <w:t>.</w:t>
      </w:r>
    </w:p>
    <w:p w:rsidR="005366A8" w:rsidRPr="00437F4B" w:rsidRDefault="005366A8" w:rsidP="005366A8">
      <w:pPr>
        <w:textAlignment w:val="top"/>
        <w:rPr>
          <w:rFonts w:ascii="Arial" w:hAnsi="Arial" w:cs="Arial"/>
          <w:color w:val="000000"/>
          <w:sz w:val="20"/>
          <w:szCs w:val="20"/>
        </w:rPr>
      </w:pPr>
      <w:r w:rsidRPr="00437F4B">
        <w:rPr>
          <w:rFonts w:ascii="Arial" w:hAnsi="Arial" w:cs="Arial"/>
          <w:color w:val="000000"/>
          <w:sz w:val="20"/>
          <w:szCs w:val="20"/>
        </w:rPr>
        <w:t> </w:t>
      </w:r>
    </w:p>
    <w:p w:rsidR="005366A8" w:rsidRPr="00437F4B" w:rsidRDefault="005366A8" w:rsidP="005366A8">
      <w:pPr>
        <w:textAlignment w:val="top"/>
        <w:rPr>
          <w:rFonts w:ascii="Arial" w:hAnsi="Arial" w:cs="Arial"/>
          <w:color w:val="000000"/>
          <w:sz w:val="20"/>
          <w:szCs w:val="20"/>
        </w:rPr>
      </w:pPr>
      <w:r w:rsidRPr="00437F4B">
        <w:rPr>
          <w:rFonts w:ascii="Arial" w:hAnsi="Arial" w:cs="Arial"/>
          <w:b/>
          <w:bCs/>
          <w:color w:val="000000"/>
          <w:sz w:val="20"/>
          <w:szCs w:val="20"/>
          <w:rtl/>
        </w:rPr>
        <w:t>בהתאם להוראת השר, יכנסו ההנחיות שפורטו לעיל לתוקף החל מתאריך – 27 אוגוסט 2013</w:t>
      </w:r>
      <w:r w:rsidRPr="00437F4B">
        <w:rPr>
          <w:rFonts w:ascii="Arial" w:hAnsi="Arial" w:cs="Arial"/>
          <w:b/>
          <w:bCs/>
          <w:color w:val="000000"/>
          <w:sz w:val="20"/>
          <w:szCs w:val="20"/>
        </w:rPr>
        <w:t>.</w:t>
      </w:r>
      <w:r>
        <w:rPr>
          <w:rFonts w:ascii="Arial" w:hAnsi="Arial" w:cs="Arial" w:hint="cs"/>
          <w:color w:val="000000"/>
          <w:sz w:val="20"/>
          <w:szCs w:val="20"/>
          <w:rtl/>
        </w:rPr>
        <w:t xml:space="preserve"> [...]</w:t>
      </w:r>
    </w:p>
    <w:p w:rsidR="005366A8" w:rsidRPr="00EB38E9" w:rsidRDefault="005366A8" w:rsidP="005366A8">
      <w:pPr>
        <w:spacing w:after="120"/>
        <w:rPr>
          <w:sz w:val="20"/>
          <w:szCs w:val="20"/>
          <w:rtl/>
        </w:rPr>
      </w:pPr>
      <w:r w:rsidRPr="00EB38E9">
        <w:rPr>
          <w:rFonts w:hint="cs"/>
          <w:sz w:val="20"/>
          <w:szCs w:val="20"/>
          <w:rtl/>
        </w:rPr>
        <w:t>=-=</w:t>
      </w:r>
    </w:p>
    <w:p w:rsidR="005366A8" w:rsidRPr="00057E7B" w:rsidRDefault="005366A8" w:rsidP="005366A8">
      <w:pPr>
        <w:spacing w:after="120"/>
        <w:rPr>
          <w:rFonts w:asciiTheme="minorBidi" w:hAnsiTheme="minorBidi" w:cs="Guttman-Soncino"/>
          <w:b/>
          <w:bCs/>
          <w:sz w:val="22"/>
          <w:szCs w:val="22"/>
          <w:rtl/>
        </w:rPr>
      </w:pPr>
      <w:r w:rsidRPr="00057E7B">
        <w:rPr>
          <w:rFonts w:asciiTheme="minorBidi" w:hAnsiTheme="minorBidi" w:cs="Guttman-Soncino"/>
          <w:b/>
          <w:bCs/>
          <w:sz w:val="22"/>
          <w:szCs w:val="22"/>
          <w:rtl/>
        </w:rPr>
        <w:t xml:space="preserve">המשך לדיון </w:t>
      </w:r>
      <w:r>
        <w:rPr>
          <w:rFonts w:asciiTheme="minorBidi" w:hAnsiTheme="minorBidi" w:cs="Guttman-Soncino" w:hint="cs"/>
          <w:b/>
          <w:bCs/>
          <w:sz w:val="22"/>
          <w:szCs w:val="22"/>
          <w:rtl/>
        </w:rPr>
        <w:t>כיתה בפגישה הקודמת</w:t>
      </w:r>
      <w:r w:rsidRPr="00057E7B">
        <w:rPr>
          <w:rFonts w:asciiTheme="minorBidi" w:hAnsiTheme="minorBidi" w:cs="Guttman-Soncino"/>
          <w:b/>
          <w:bCs/>
          <w:sz w:val="22"/>
          <w:szCs w:val="22"/>
          <w:rtl/>
        </w:rPr>
        <w:t xml:space="preserve"> ומבוא לדיון בפגישה הבאה בכנסת ובתפקידיה</w:t>
      </w:r>
    </w:p>
    <w:p w:rsidR="005366A8" w:rsidRDefault="005366A8" w:rsidP="005366A8">
      <w:pPr>
        <w:spacing w:after="120"/>
        <w:rPr>
          <w:rFonts w:asciiTheme="minorBidi" w:hAnsiTheme="minorBidi" w:cstheme="minorBidi"/>
          <w:b/>
          <w:bCs/>
          <w:sz w:val="20"/>
          <w:szCs w:val="20"/>
          <w:rtl/>
        </w:rPr>
      </w:pPr>
      <w:r w:rsidRPr="00057E7B">
        <w:rPr>
          <w:rFonts w:asciiTheme="minorBidi" w:hAnsiTheme="minorBidi" w:cstheme="minorBidi" w:hint="cs"/>
          <w:b/>
          <w:bCs/>
          <w:sz w:val="20"/>
          <w:szCs w:val="20"/>
          <w:rtl/>
        </w:rPr>
        <w:t xml:space="preserve">[אנא שימו לב כי </w:t>
      </w:r>
      <w:r>
        <w:rPr>
          <w:rFonts w:asciiTheme="minorBidi" w:hAnsiTheme="minorBidi" w:cstheme="minorBidi" w:hint="cs"/>
          <w:b/>
          <w:bCs/>
          <w:sz w:val="20"/>
          <w:szCs w:val="20"/>
          <w:rtl/>
        </w:rPr>
        <w:t>הקטע להלן, כמו גם הקטע שחולק בפגישה הקודמת, הם סקירה ו</w:t>
      </w:r>
      <w:r w:rsidRPr="00057E7B">
        <w:rPr>
          <w:rFonts w:asciiTheme="minorBidi" w:hAnsiTheme="minorBidi" w:cstheme="minorBidi" w:hint="cs"/>
          <w:b/>
          <w:bCs/>
          <w:sz w:val="20"/>
          <w:szCs w:val="20"/>
          <w:rtl/>
        </w:rPr>
        <w:t>פרשנות עיתונאית</w:t>
      </w:r>
      <w:r>
        <w:rPr>
          <w:rFonts w:asciiTheme="minorBidi" w:hAnsiTheme="minorBidi" w:cstheme="minorBidi" w:hint="cs"/>
          <w:b/>
          <w:bCs/>
          <w:sz w:val="20"/>
          <w:szCs w:val="20"/>
          <w:rtl/>
        </w:rPr>
        <w:t>. זאת להבדיל מ</w:t>
      </w:r>
      <w:r w:rsidRPr="00057E7B">
        <w:rPr>
          <w:rFonts w:asciiTheme="minorBidi" w:hAnsiTheme="minorBidi" w:cstheme="minorBidi" w:hint="cs"/>
          <w:b/>
          <w:bCs/>
          <w:sz w:val="20"/>
          <w:szCs w:val="20"/>
          <w:rtl/>
        </w:rPr>
        <w:t xml:space="preserve">ניתוח המופיע בפסק דין </w:t>
      </w:r>
      <w:r>
        <w:rPr>
          <w:rFonts w:asciiTheme="minorBidi" w:hAnsiTheme="minorBidi" w:cstheme="minorBidi" w:hint="cs"/>
          <w:b/>
          <w:bCs/>
          <w:sz w:val="20"/>
          <w:szCs w:val="20"/>
          <w:rtl/>
        </w:rPr>
        <w:t xml:space="preserve">(לאחר חקירה מדוקדקת של הראיות) </w:t>
      </w:r>
      <w:r w:rsidRPr="00057E7B">
        <w:rPr>
          <w:rFonts w:asciiTheme="minorBidi" w:hAnsiTheme="minorBidi" w:cstheme="minorBidi" w:hint="cs"/>
          <w:b/>
          <w:bCs/>
          <w:sz w:val="20"/>
          <w:szCs w:val="20"/>
          <w:rtl/>
        </w:rPr>
        <w:t>או בספרות אקדמית</w:t>
      </w:r>
      <w:r>
        <w:rPr>
          <w:rFonts w:asciiTheme="minorBidi" w:hAnsiTheme="minorBidi" w:cstheme="minorBidi" w:hint="cs"/>
          <w:b/>
          <w:bCs/>
          <w:sz w:val="20"/>
          <w:szCs w:val="20"/>
          <w:rtl/>
        </w:rPr>
        <w:t>. קונקרטית,</w:t>
      </w:r>
      <w:r w:rsidRPr="00057E7B">
        <w:rPr>
          <w:rFonts w:asciiTheme="minorBidi" w:hAnsiTheme="minorBidi" w:cstheme="minorBidi" w:hint="cs"/>
          <w:b/>
          <w:bCs/>
          <w:sz w:val="20"/>
          <w:szCs w:val="20"/>
          <w:rtl/>
        </w:rPr>
        <w:t xml:space="preserve"> שימו לב כי המדובר </w:t>
      </w:r>
      <w:r w:rsidRPr="00057E7B">
        <w:rPr>
          <w:rFonts w:asciiTheme="minorBidi" w:hAnsiTheme="minorBidi" w:cstheme="minorBidi" w:hint="cs"/>
          <w:b/>
          <w:bCs/>
          <w:sz w:val="20"/>
          <w:szCs w:val="20"/>
          <w:u w:val="single"/>
          <w:rtl/>
        </w:rPr>
        <w:t>בחשדות</w:t>
      </w:r>
      <w:r w:rsidRPr="00057E7B">
        <w:rPr>
          <w:rFonts w:asciiTheme="minorBidi" w:hAnsiTheme="minorBidi" w:cstheme="minorBidi" w:hint="cs"/>
          <w:b/>
          <w:bCs/>
          <w:sz w:val="20"/>
          <w:szCs w:val="20"/>
          <w:rtl/>
        </w:rPr>
        <w:t xml:space="preserve"> בלבד. </w:t>
      </w:r>
    </w:p>
    <w:p w:rsidR="005366A8" w:rsidRPr="00057E7B" w:rsidRDefault="005366A8" w:rsidP="005366A8">
      <w:pPr>
        <w:spacing w:after="120"/>
        <w:rPr>
          <w:rFonts w:asciiTheme="minorBidi" w:hAnsiTheme="minorBidi" w:cstheme="minorBidi"/>
          <w:b/>
          <w:bCs/>
          <w:sz w:val="20"/>
          <w:szCs w:val="20"/>
          <w:rtl/>
        </w:rPr>
      </w:pPr>
      <w:r w:rsidRPr="00057E7B">
        <w:rPr>
          <w:rFonts w:asciiTheme="minorBidi" w:hAnsiTheme="minorBidi" w:cstheme="minorBidi" w:hint="cs"/>
          <w:b/>
          <w:bCs/>
          <w:sz w:val="20"/>
          <w:szCs w:val="20"/>
          <w:rtl/>
        </w:rPr>
        <w:t xml:space="preserve">תכלית </w:t>
      </w:r>
      <w:r>
        <w:rPr>
          <w:rFonts w:asciiTheme="minorBidi" w:hAnsiTheme="minorBidi" w:cstheme="minorBidi" w:hint="cs"/>
          <w:b/>
          <w:bCs/>
          <w:sz w:val="20"/>
          <w:szCs w:val="20"/>
          <w:rtl/>
        </w:rPr>
        <w:t xml:space="preserve">חומר </w:t>
      </w:r>
      <w:r w:rsidRPr="00057E7B">
        <w:rPr>
          <w:rFonts w:asciiTheme="minorBidi" w:hAnsiTheme="minorBidi" w:cstheme="minorBidi" w:hint="cs"/>
          <w:b/>
          <w:bCs/>
          <w:sz w:val="20"/>
          <w:szCs w:val="20"/>
          <w:rtl/>
        </w:rPr>
        <w:t xml:space="preserve">הקריאה היא להבין </w:t>
      </w:r>
      <w:r>
        <w:rPr>
          <w:rFonts w:asciiTheme="minorBidi" w:hAnsiTheme="minorBidi" w:cstheme="minorBidi" w:hint="cs"/>
          <w:b/>
          <w:bCs/>
          <w:sz w:val="20"/>
          <w:szCs w:val="20"/>
          <w:rtl/>
        </w:rPr>
        <w:t xml:space="preserve">מעט טוב יותר </w:t>
      </w:r>
      <w:r w:rsidRPr="00057E7B">
        <w:rPr>
          <w:rFonts w:asciiTheme="minorBidi" w:hAnsiTheme="minorBidi" w:cstheme="minorBidi" w:hint="cs"/>
          <w:b/>
          <w:bCs/>
          <w:sz w:val="20"/>
          <w:szCs w:val="20"/>
          <w:rtl/>
        </w:rPr>
        <w:t>את תפקידו של המשפט הציבורי בהתמודדות עם חששות כאלה ואחרים</w:t>
      </w:r>
      <w:r>
        <w:rPr>
          <w:rFonts w:asciiTheme="minorBidi" w:hAnsiTheme="minorBidi" w:cstheme="minorBidi" w:hint="cs"/>
          <w:b/>
          <w:bCs/>
          <w:sz w:val="20"/>
          <w:szCs w:val="20"/>
          <w:rtl/>
        </w:rPr>
        <w:t xml:space="preserve">, בין היתר </w:t>
      </w:r>
      <w:r w:rsidRPr="00057E7B">
        <w:rPr>
          <w:rFonts w:asciiTheme="minorBidi" w:hAnsiTheme="minorBidi" w:cstheme="minorBidi" w:hint="cs"/>
          <w:b/>
          <w:bCs/>
          <w:sz w:val="20"/>
          <w:szCs w:val="20"/>
          <w:rtl/>
        </w:rPr>
        <w:t>בנושאים של שוויון, הקצאת כספי ציבור, ומנגנוני פיקוח</w:t>
      </w:r>
      <w:r>
        <w:rPr>
          <w:rFonts w:asciiTheme="minorBidi" w:hAnsiTheme="minorBidi" w:cstheme="minorBidi" w:hint="cs"/>
          <w:b/>
          <w:bCs/>
          <w:sz w:val="20"/>
          <w:szCs w:val="20"/>
          <w:rtl/>
        </w:rPr>
        <w:t>/בקרה</w:t>
      </w:r>
      <w:r w:rsidRPr="00057E7B">
        <w:rPr>
          <w:rFonts w:asciiTheme="minorBidi" w:hAnsiTheme="minorBidi" w:cstheme="minorBidi" w:hint="cs"/>
          <w:b/>
          <w:bCs/>
          <w:sz w:val="20"/>
          <w:szCs w:val="20"/>
          <w:rtl/>
        </w:rPr>
        <w:t xml:space="preserve"> שונים: פיקוח </w:t>
      </w:r>
      <w:r w:rsidRPr="00B25C08">
        <w:rPr>
          <w:rFonts w:asciiTheme="minorBidi" w:hAnsiTheme="minorBidi" w:cstheme="minorBidi" w:hint="cs"/>
          <w:b/>
          <w:bCs/>
          <w:sz w:val="20"/>
          <w:szCs w:val="20"/>
          <w:u w:val="single"/>
          <w:rtl/>
        </w:rPr>
        <w:t>פרלמנטרי</w:t>
      </w:r>
      <w:r w:rsidRPr="00057E7B">
        <w:rPr>
          <w:rFonts w:asciiTheme="minorBidi" w:hAnsiTheme="minorBidi" w:cstheme="minorBidi" w:hint="cs"/>
          <w:b/>
          <w:bCs/>
          <w:sz w:val="20"/>
          <w:szCs w:val="20"/>
          <w:rtl/>
        </w:rPr>
        <w:t xml:space="preserve">, פיקוח </w:t>
      </w:r>
      <w:r w:rsidRPr="00B25C08">
        <w:rPr>
          <w:rFonts w:asciiTheme="minorBidi" w:hAnsiTheme="minorBidi" w:cstheme="minorBidi" w:hint="cs"/>
          <w:b/>
          <w:bCs/>
          <w:sz w:val="20"/>
          <w:szCs w:val="20"/>
          <w:u w:val="single"/>
          <w:rtl/>
        </w:rPr>
        <w:t>פנים-ממשלתי</w:t>
      </w:r>
      <w:r w:rsidRPr="00057E7B">
        <w:rPr>
          <w:rFonts w:asciiTheme="minorBidi" w:hAnsiTheme="minorBidi" w:cstheme="minorBidi" w:hint="cs"/>
          <w:b/>
          <w:bCs/>
          <w:sz w:val="20"/>
          <w:szCs w:val="20"/>
          <w:rtl/>
        </w:rPr>
        <w:t xml:space="preserve"> (בירוקרטי</w:t>
      </w:r>
      <w:r>
        <w:rPr>
          <w:rFonts w:asciiTheme="minorBidi" w:hAnsiTheme="minorBidi" w:cstheme="minorBidi" w:hint="cs"/>
          <w:b/>
          <w:bCs/>
          <w:sz w:val="20"/>
          <w:szCs w:val="20"/>
          <w:rtl/>
        </w:rPr>
        <w:t>:</w:t>
      </w:r>
      <w:r w:rsidRPr="00057E7B">
        <w:rPr>
          <w:rFonts w:asciiTheme="minorBidi" w:hAnsiTheme="minorBidi" w:cstheme="minorBidi" w:hint="cs"/>
          <w:b/>
          <w:bCs/>
          <w:sz w:val="20"/>
          <w:szCs w:val="20"/>
          <w:rtl/>
        </w:rPr>
        <w:t xml:space="preserve"> בדמות חשבים ויועצים משפטיים</w:t>
      </w:r>
      <w:r>
        <w:rPr>
          <w:rFonts w:asciiTheme="minorBidi" w:hAnsiTheme="minorBidi" w:cstheme="minorBidi" w:hint="cs"/>
          <w:b/>
          <w:bCs/>
          <w:sz w:val="20"/>
          <w:szCs w:val="20"/>
          <w:rtl/>
        </w:rPr>
        <w:t xml:space="preserve"> של משרדי הממשלה הבוחנים כי נקבעו קריטריונים וכי הם ענייניים ושוויוניים, ושקופים</w:t>
      </w:r>
      <w:r w:rsidRPr="00057E7B">
        <w:rPr>
          <w:rFonts w:asciiTheme="minorBidi" w:hAnsiTheme="minorBidi" w:cstheme="minorBidi" w:hint="cs"/>
          <w:b/>
          <w:bCs/>
          <w:sz w:val="20"/>
          <w:szCs w:val="20"/>
          <w:rtl/>
        </w:rPr>
        <w:t>)</w:t>
      </w:r>
      <w:r>
        <w:rPr>
          <w:rFonts w:asciiTheme="minorBidi" w:hAnsiTheme="minorBidi" w:cstheme="minorBidi" w:hint="cs"/>
          <w:b/>
          <w:bCs/>
          <w:sz w:val="20"/>
          <w:szCs w:val="20"/>
          <w:rtl/>
        </w:rPr>
        <w:t>,</w:t>
      </w:r>
      <w:r w:rsidRPr="00057E7B">
        <w:rPr>
          <w:rFonts w:asciiTheme="minorBidi" w:hAnsiTheme="minorBidi" w:cstheme="minorBidi" w:hint="cs"/>
          <w:b/>
          <w:bCs/>
          <w:sz w:val="20"/>
          <w:szCs w:val="20"/>
          <w:rtl/>
        </w:rPr>
        <w:t xml:space="preserve"> ו</w:t>
      </w:r>
      <w:r>
        <w:rPr>
          <w:rFonts w:asciiTheme="minorBidi" w:hAnsiTheme="minorBidi" w:cstheme="minorBidi" w:hint="cs"/>
          <w:b/>
          <w:bCs/>
          <w:sz w:val="20"/>
          <w:szCs w:val="20"/>
          <w:rtl/>
        </w:rPr>
        <w:t xml:space="preserve">כן </w:t>
      </w:r>
      <w:r w:rsidRPr="00057E7B">
        <w:rPr>
          <w:rFonts w:asciiTheme="minorBidi" w:hAnsiTheme="minorBidi" w:cstheme="minorBidi" w:hint="cs"/>
          <w:b/>
          <w:bCs/>
          <w:sz w:val="20"/>
          <w:szCs w:val="20"/>
          <w:rtl/>
        </w:rPr>
        <w:t xml:space="preserve">פיקוח </w:t>
      </w:r>
      <w:r w:rsidRPr="00B25C08">
        <w:rPr>
          <w:rFonts w:asciiTheme="minorBidi" w:hAnsiTheme="minorBidi" w:cstheme="minorBidi" w:hint="cs"/>
          <w:b/>
          <w:bCs/>
          <w:sz w:val="20"/>
          <w:szCs w:val="20"/>
          <w:u w:val="single"/>
          <w:rtl/>
        </w:rPr>
        <w:t>משפטי</w:t>
      </w:r>
      <w:r w:rsidRPr="00057E7B">
        <w:rPr>
          <w:rFonts w:asciiTheme="minorBidi" w:hAnsiTheme="minorBidi" w:cstheme="minorBidi" w:hint="cs"/>
          <w:b/>
          <w:bCs/>
          <w:sz w:val="20"/>
          <w:szCs w:val="20"/>
          <w:rtl/>
        </w:rPr>
        <w:t xml:space="preserve"> (היועמ"ש ובתי המשפט).] </w:t>
      </w:r>
    </w:p>
    <w:p w:rsidR="005366A8" w:rsidRPr="00057E7B" w:rsidRDefault="005366A8" w:rsidP="005366A8">
      <w:pPr>
        <w:tabs>
          <w:tab w:val="left" w:pos="5215"/>
        </w:tabs>
        <w:spacing w:after="120"/>
        <w:rPr>
          <w:sz w:val="20"/>
          <w:szCs w:val="20"/>
          <w:rtl/>
        </w:rPr>
      </w:pPr>
    </w:p>
    <w:p w:rsidR="005366A8" w:rsidRPr="00C078E1" w:rsidRDefault="005366A8" w:rsidP="005366A8">
      <w:pPr>
        <w:tabs>
          <w:tab w:val="left" w:pos="5215"/>
        </w:tabs>
        <w:spacing w:after="120"/>
        <w:rPr>
          <w:b/>
          <w:bCs/>
        </w:rPr>
      </w:pPr>
      <w:r w:rsidRPr="00C078E1">
        <w:rPr>
          <w:b/>
          <w:bCs/>
          <w:rtl/>
        </w:rPr>
        <w:t>חצי מיליארד שקל הועברו במחשכים</w:t>
      </w:r>
    </w:p>
    <w:p w:rsidR="005366A8" w:rsidRPr="00C078E1" w:rsidRDefault="005366A8" w:rsidP="005366A8">
      <w:pPr>
        <w:tabs>
          <w:tab w:val="left" w:pos="5215"/>
        </w:tabs>
        <w:spacing w:after="120"/>
      </w:pPr>
      <w:r w:rsidRPr="00C078E1">
        <w:rPr>
          <w:rtl/>
        </w:rPr>
        <w:t>הממשלה העבירה כחצי מיליארד שקל - בלי דיווח שקוף וברור על יעד הכספים</w:t>
      </w:r>
    </w:p>
    <w:p w:rsidR="005366A8" w:rsidRPr="00057E7B" w:rsidRDefault="005366A8" w:rsidP="000B7168">
      <w:pPr>
        <w:numPr>
          <w:ilvl w:val="0"/>
          <w:numId w:val="25"/>
        </w:numPr>
        <w:tabs>
          <w:tab w:val="left" w:pos="5215"/>
        </w:tabs>
        <w:spacing w:after="120"/>
        <w:rPr>
          <w:sz w:val="20"/>
          <w:szCs w:val="20"/>
        </w:rPr>
      </w:pPr>
      <w:r w:rsidRPr="00057E7B">
        <w:rPr>
          <w:sz w:val="20"/>
          <w:szCs w:val="20"/>
        </w:rPr>
        <w:t>07:14</w:t>
      </w:r>
    </w:p>
    <w:p w:rsidR="005366A8" w:rsidRPr="00057E7B" w:rsidRDefault="005366A8" w:rsidP="000B7168">
      <w:pPr>
        <w:numPr>
          <w:ilvl w:val="0"/>
          <w:numId w:val="25"/>
        </w:numPr>
        <w:tabs>
          <w:tab w:val="left" w:pos="5215"/>
        </w:tabs>
        <w:spacing w:after="120"/>
        <w:rPr>
          <w:sz w:val="20"/>
          <w:szCs w:val="20"/>
        </w:rPr>
      </w:pPr>
      <w:r w:rsidRPr="00057E7B">
        <w:rPr>
          <w:sz w:val="20"/>
          <w:szCs w:val="20"/>
        </w:rPr>
        <w:t>31.12.2014</w:t>
      </w:r>
    </w:p>
    <w:p w:rsidR="005366A8" w:rsidRPr="00057E7B" w:rsidRDefault="005366A8" w:rsidP="000B7168">
      <w:pPr>
        <w:numPr>
          <w:ilvl w:val="0"/>
          <w:numId w:val="25"/>
        </w:numPr>
        <w:tabs>
          <w:tab w:val="left" w:pos="5215"/>
        </w:tabs>
        <w:spacing w:after="120"/>
        <w:rPr>
          <w:sz w:val="20"/>
          <w:szCs w:val="20"/>
        </w:rPr>
      </w:pPr>
      <w:r w:rsidRPr="00057E7B">
        <w:rPr>
          <w:sz w:val="20"/>
          <w:szCs w:val="20"/>
          <w:rtl/>
        </w:rPr>
        <w:t>מאת</w:t>
      </w:r>
      <w:r w:rsidRPr="00057E7B">
        <w:rPr>
          <w:sz w:val="20"/>
          <w:szCs w:val="20"/>
        </w:rPr>
        <w:t>: </w:t>
      </w:r>
      <w:hyperlink r:id="rId287" w:history="1">
        <w:r w:rsidRPr="00057E7B">
          <w:rPr>
            <w:rStyle w:val="Hyperlink"/>
            <w:b/>
            <w:bCs/>
            <w:sz w:val="20"/>
            <w:szCs w:val="20"/>
            <w:rtl/>
          </w:rPr>
          <w:t>מירב ארלוזורוב</w:t>
        </w:r>
      </w:hyperlink>
      <w:r>
        <w:rPr>
          <w:rFonts w:hint="cs"/>
          <w:sz w:val="20"/>
          <w:szCs w:val="20"/>
          <w:rtl/>
        </w:rPr>
        <w:t>, דה-מרקר/הארץ</w:t>
      </w:r>
    </w:p>
    <w:p w:rsidR="005366A8" w:rsidRPr="00057E7B" w:rsidRDefault="005366A8" w:rsidP="005366A8">
      <w:pPr>
        <w:tabs>
          <w:tab w:val="left" w:pos="5215"/>
        </w:tabs>
        <w:spacing w:after="120"/>
        <w:rPr>
          <w:sz w:val="20"/>
          <w:szCs w:val="20"/>
        </w:rPr>
      </w:pPr>
      <w:r w:rsidRPr="00057E7B">
        <w:rPr>
          <w:sz w:val="20"/>
          <w:szCs w:val="20"/>
          <w:rtl/>
        </w:rPr>
        <w:t>לפני שבוע, זמן קצר לפני שנודע על החקירה נגד ראשי מפלגת ישראל ביתנו</w:t>
      </w:r>
      <w:r w:rsidRPr="00057E7B">
        <w:rPr>
          <w:sz w:val="20"/>
          <w:szCs w:val="20"/>
        </w:rPr>
        <w:t>, </w:t>
      </w:r>
      <w:hyperlink r:id="rId288" w:history="1">
        <w:r w:rsidRPr="00057E7B">
          <w:rPr>
            <w:rStyle w:val="Hyperlink"/>
            <w:sz w:val="20"/>
            <w:szCs w:val="20"/>
            <w:rtl/>
          </w:rPr>
          <w:t>התחוללה סער</w:t>
        </w:r>
      </w:hyperlink>
      <w:r w:rsidRPr="00057E7B">
        <w:rPr>
          <w:sz w:val="20"/>
          <w:szCs w:val="20"/>
          <w:rtl/>
        </w:rPr>
        <w:t>ה בישיבת ועדת הכספים של הכנסת. מחוללת המהומה היתה שוב</w:t>
      </w:r>
      <w:r w:rsidRPr="00057E7B">
        <w:rPr>
          <w:sz w:val="20"/>
          <w:szCs w:val="20"/>
        </w:rPr>
        <w:t> </w:t>
      </w:r>
      <w:hyperlink r:id="rId289" w:history="1">
        <w:r w:rsidRPr="00057E7B">
          <w:rPr>
            <w:rStyle w:val="Hyperlink"/>
            <w:sz w:val="20"/>
            <w:szCs w:val="20"/>
            <w:rtl/>
          </w:rPr>
          <w:t>ח"כ סתיו שפיר ממפלגת העבודה</w:t>
        </w:r>
      </w:hyperlink>
      <w:r w:rsidRPr="00057E7B">
        <w:rPr>
          <w:sz w:val="20"/>
          <w:szCs w:val="20"/>
        </w:rPr>
        <w:t xml:space="preserve">, </w:t>
      </w:r>
      <w:r w:rsidRPr="00057E7B">
        <w:rPr>
          <w:sz w:val="20"/>
          <w:szCs w:val="20"/>
          <w:rtl/>
        </w:rPr>
        <w:t>וחצי הביקורת שלה כוונו שוב נגד שניים — יו"ר ועדת הכספים, ח"כ ניסן סלומינסקי מסיעת הבית היהודי, ונציגי אגף התקציבים במשרד האוצר. סיבת המהומה הפעם היתה ההעברות התקציביות הרבות של סוף השנה. לבעייתיות הרגילה של ריבוי ההעברות האלה בשבועות האחרונים של השנה נוספה הפעם הרגישות המיוחדת של תקופת בחירות</w:t>
      </w:r>
      <w:r w:rsidRPr="00057E7B">
        <w:rPr>
          <w:sz w:val="20"/>
          <w:szCs w:val="20"/>
        </w:rPr>
        <w:t>.</w:t>
      </w:r>
    </w:p>
    <w:p w:rsidR="005366A8" w:rsidRPr="00057E7B" w:rsidRDefault="005366A8" w:rsidP="005366A8">
      <w:pPr>
        <w:tabs>
          <w:tab w:val="left" w:pos="5215"/>
        </w:tabs>
        <w:spacing w:after="120"/>
        <w:rPr>
          <w:sz w:val="20"/>
          <w:szCs w:val="20"/>
        </w:rPr>
      </w:pPr>
      <w:r w:rsidRPr="00057E7B">
        <w:rPr>
          <w:sz w:val="20"/>
          <w:szCs w:val="20"/>
          <w:highlight w:val="yellow"/>
          <w:rtl/>
        </w:rPr>
        <w:t>החשד של חברי הכנסת מהאופוזיציה שמא הממשלה מנצלת את העברות סוף השנה לקניית קולות פוליטיים, זכה לאישור לכאורה לנוכח הבקשה החריגה לאשר</w:t>
      </w:r>
      <w:r w:rsidRPr="00057E7B">
        <w:rPr>
          <w:sz w:val="20"/>
          <w:szCs w:val="20"/>
          <w:highlight w:val="yellow"/>
        </w:rPr>
        <w:t> </w:t>
      </w:r>
      <w:hyperlink r:id="rId290" w:history="1">
        <w:r w:rsidRPr="00057E7B">
          <w:rPr>
            <w:rStyle w:val="Hyperlink"/>
            <w:sz w:val="20"/>
            <w:szCs w:val="20"/>
            <w:rtl/>
          </w:rPr>
          <w:t>העברה של 13 מיליון שקל</w:t>
        </w:r>
      </w:hyperlink>
      <w:r w:rsidRPr="00057E7B">
        <w:rPr>
          <w:sz w:val="20"/>
          <w:szCs w:val="20"/>
          <w:highlight w:val="yellow"/>
        </w:rPr>
        <w:t> </w:t>
      </w:r>
      <w:r w:rsidRPr="00057E7B">
        <w:rPr>
          <w:sz w:val="20"/>
          <w:szCs w:val="20"/>
          <w:highlight w:val="yellow"/>
          <w:rtl/>
        </w:rPr>
        <w:t>לבניית מרכז מבקרים באזור התעשייה ברקן שבשטחים</w:t>
      </w:r>
      <w:r w:rsidRPr="00057E7B">
        <w:rPr>
          <w:sz w:val="20"/>
          <w:szCs w:val="20"/>
        </w:rPr>
        <w:t>.</w:t>
      </w:r>
    </w:p>
    <w:p w:rsidR="005366A8" w:rsidRPr="00057E7B" w:rsidRDefault="005366A8" w:rsidP="005366A8">
      <w:pPr>
        <w:tabs>
          <w:tab w:val="left" w:pos="5215"/>
        </w:tabs>
        <w:spacing w:after="120"/>
        <w:rPr>
          <w:sz w:val="20"/>
          <w:szCs w:val="20"/>
        </w:rPr>
      </w:pPr>
      <w:r w:rsidRPr="00057E7B">
        <w:rPr>
          <w:sz w:val="20"/>
          <w:szCs w:val="20"/>
          <w:highlight w:val="yellow"/>
          <w:rtl/>
        </w:rPr>
        <w:t>שפיר, בדרכה הלא דיפלומטית, הטיחה בסלומינסקי כי הוא שיקר כשאמר כי היועץ המשפטי לממשלה אישר את העברת הכסף בתקופת בחירות (סלומינסקי הודה בהמשך שטעה, והתנצל על כך) — ואמרה כי מדובר בהעברה תקציבית ש"מטרתה לסייע לחבריך בפריימריס". יו"ר ועדת הבחירות המרכזית, השופט סלים ג'ובראן, עצר</w:t>
      </w:r>
      <w:r w:rsidRPr="00057E7B">
        <w:rPr>
          <w:rFonts w:ascii="MS Mincho" w:eastAsia="MS Mincho" w:hAnsi="MS Mincho" w:cs="MS Mincho" w:hint="eastAsia"/>
          <w:sz w:val="20"/>
          <w:szCs w:val="20"/>
          <w:highlight w:val="yellow"/>
          <w:rtl/>
        </w:rPr>
        <w:t> </w:t>
      </w:r>
      <w:r w:rsidRPr="00057E7B">
        <w:rPr>
          <w:rFonts w:hint="cs"/>
          <w:sz w:val="20"/>
          <w:szCs w:val="20"/>
          <w:highlight w:val="yellow"/>
          <w:rtl/>
        </w:rPr>
        <w:t>בהמשך את העברת הכספים ודרש תשובות אישיות על כך מסלומינסקי ומראש הממשלה, בנימין נתניהו</w:t>
      </w:r>
      <w:r w:rsidRPr="00057E7B">
        <w:rPr>
          <w:sz w:val="20"/>
          <w:szCs w:val="20"/>
        </w:rPr>
        <w:t>.</w:t>
      </w:r>
    </w:p>
    <w:p w:rsidR="005366A8" w:rsidRPr="00057E7B" w:rsidRDefault="005366A8" w:rsidP="005366A8">
      <w:pPr>
        <w:tabs>
          <w:tab w:val="left" w:pos="5215"/>
        </w:tabs>
        <w:spacing w:after="120"/>
        <w:rPr>
          <w:sz w:val="20"/>
          <w:szCs w:val="20"/>
          <w:rtl/>
        </w:rPr>
      </w:pPr>
      <w:r w:rsidRPr="00057E7B">
        <w:rPr>
          <w:b/>
          <w:bCs/>
          <w:sz w:val="20"/>
          <w:szCs w:val="20"/>
          <w:rtl/>
        </w:rPr>
        <w:t xml:space="preserve">הפתח המושחת </w:t>
      </w:r>
      <w:r w:rsidRPr="00057E7B">
        <w:rPr>
          <w:rFonts w:hint="cs"/>
          <w:b/>
          <w:bCs/>
          <w:sz w:val="20"/>
          <w:szCs w:val="20"/>
          <w:rtl/>
        </w:rPr>
        <w:t>היה אמור להיסגר</w:t>
      </w:r>
    </w:p>
    <w:p w:rsidR="005366A8" w:rsidRPr="00057E7B" w:rsidRDefault="005366A8" w:rsidP="005366A8">
      <w:pPr>
        <w:tabs>
          <w:tab w:val="left" w:pos="5215"/>
        </w:tabs>
        <w:spacing w:after="120"/>
        <w:rPr>
          <w:sz w:val="20"/>
          <w:szCs w:val="20"/>
        </w:rPr>
      </w:pPr>
      <w:r w:rsidRPr="00057E7B">
        <w:rPr>
          <w:sz w:val="20"/>
          <w:szCs w:val="20"/>
          <w:rtl/>
        </w:rPr>
        <w:t>האירוע של מרכז המבקרים בברקן אינו קשור, ככל הידוע</w:t>
      </w:r>
      <w:r w:rsidRPr="00057E7B">
        <w:rPr>
          <w:sz w:val="20"/>
          <w:szCs w:val="20"/>
        </w:rPr>
        <w:t>, </w:t>
      </w:r>
      <w:hyperlink r:id="rId291" w:history="1">
        <w:r w:rsidRPr="00057E7B">
          <w:rPr>
            <w:rStyle w:val="Hyperlink"/>
            <w:sz w:val="20"/>
            <w:szCs w:val="20"/>
            <w:rtl/>
          </w:rPr>
          <w:t>לחקירות נגד ישראל ביתנו</w:t>
        </w:r>
      </w:hyperlink>
      <w:r w:rsidRPr="00057E7B">
        <w:rPr>
          <w:sz w:val="20"/>
          <w:szCs w:val="20"/>
        </w:rPr>
        <w:t xml:space="preserve"> — </w:t>
      </w:r>
      <w:r w:rsidRPr="00057E7B">
        <w:rPr>
          <w:sz w:val="20"/>
          <w:szCs w:val="20"/>
          <w:rtl/>
        </w:rPr>
        <w:t>אבל ייתכן בהחלט שהוא קצה חוט בולט לפרשה. הכסף שהיה אמור לעבור למרכז המבקרים מעלה חשד לכסף קואליציוני — והכספים הקואליציוניים משחקים, כנראה, חלק מרכזי בחשדות נגד בכירי ישראל ביתנו</w:t>
      </w:r>
      <w:r w:rsidRPr="00057E7B">
        <w:rPr>
          <w:sz w:val="20"/>
          <w:szCs w:val="20"/>
        </w:rPr>
        <w:t>.</w:t>
      </w:r>
    </w:p>
    <w:p w:rsidR="005366A8" w:rsidRPr="00057E7B" w:rsidRDefault="005366A8" w:rsidP="005366A8">
      <w:pPr>
        <w:tabs>
          <w:tab w:val="left" w:pos="5215"/>
        </w:tabs>
        <w:spacing w:after="120"/>
        <w:rPr>
          <w:sz w:val="20"/>
          <w:szCs w:val="20"/>
        </w:rPr>
      </w:pPr>
      <w:r w:rsidRPr="00057E7B">
        <w:rPr>
          <w:sz w:val="20"/>
          <w:szCs w:val="20"/>
          <w:highlight w:val="yellow"/>
          <w:rtl/>
        </w:rPr>
        <w:t>רק שיש כאן בעיה אחת: לכאורה לא אמורים להיות יותר כספים קואליציוניים, לפחות לא בצורה כזאת של העברה פרטנית לגוף מסוים. הפתח המושחת של כספים אלה לא היה אמור להתקיים יותר. במשרד האוצר, אגב, טוענים שההעברה לברקן אינה העברה קואליציונית, אלא כסף שמשרד התיירות (שנמצא בשליטת ישראל ביתנו) ביקש להעביר במסגרת תקצוב רגיל</w:t>
      </w:r>
      <w:r w:rsidRPr="00057E7B">
        <w:rPr>
          <w:sz w:val="20"/>
          <w:szCs w:val="20"/>
        </w:rPr>
        <w:t>.</w:t>
      </w:r>
    </w:p>
    <w:p w:rsidR="005366A8" w:rsidRPr="00057E7B" w:rsidRDefault="005366A8" w:rsidP="005366A8">
      <w:pPr>
        <w:tabs>
          <w:tab w:val="left" w:pos="5215"/>
        </w:tabs>
        <w:spacing w:after="120"/>
        <w:rPr>
          <w:sz w:val="20"/>
          <w:szCs w:val="20"/>
        </w:rPr>
      </w:pPr>
      <w:r w:rsidRPr="00057E7B">
        <w:rPr>
          <w:sz w:val="20"/>
          <w:szCs w:val="20"/>
          <w:rtl/>
        </w:rPr>
        <w:t>באוצר לפחות גאים בחסימת הפתח של ההסכמים הקואליציוניים השנה, בעקבות החלטה היסטורית של שר האוצר לשעבר, יאיר לפיד, להכשיר את הכספים הקואליציוניים. לפיד בחר להלבין את השרץ — להכניס את הכספים הקואליציוניים באופן רשמי לתקציב המדינה, במסגרת החלטת הממשלה על אישור תקציב 2015. בכך, לכאורה, הכספים הקואליציוניים אמורים להיהפך שקופים, גלויים ופתוחים לביקורת ציבורית</w:t>
      </w:r>
      <w:r w:rsidRPr="00057E7B">
        <w:rPr>
          <w:sz w:val="20"/>
          <w:szCs w:val="20"/>
        </w:rPr>
        <w:t>.</w:t>
      </w:r>
    </w:p>
    <w:p w:rsidR="005366A8" w:rsidRPr="00057E7B" w:rsidRDefault="005366A8" w:rsidP="005366A8">
      <w:pPr>
        <w:tabs>
          <w:tab w:val="left" w:pos="5215"/>
        </w:tabs>
        <w:spacing w:after="120"/>
        <w:rPr>
          <w:sz w:val="20"/>
          <w:szCs w:val="20"/>
        </w:rPr>
      </w:pPr>
      <w:r>
        <w:rPr>
          <w:noProof/>
          <w:sz w:val="20"/>
          <w:szCs w:val="20"/>
        </w:rPr>
        <w:drawing>
          <wp:inline distT="0" distB="0" distL="0" distR="0">
            <wp:extent cx="4458335" cy="5486400"/>
            <wp:effectExtent l="19050" t="0" r="0" b="0"/>
            <wp:docPr id="16" name="Picture 16" descr="http://www.themarker.com/polopoly_fs/1.2526180.1420002982!/image/2737274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hemarker.com/polopoly_fs/1.2526180.1420002982!/image/2737274333.jpg"/>
                    <pic:cNvPicPr>
                      <a:picLocks noChangeAspect="1" noChangeArrowheads="1"/>
                    </pic:cNvPicPr>
                  </pic:nvPicPr>
                  <pic:blipFill>
                    <a:blip r:embed="rId292" cstate="print"/>
                    <a:srcRect/>
                    <a:stretch>
                      <a:fillRect/>
                    </a:stretch>
                  </pic:blipFill>
                  <pic:spPr bwMode="auto">
                    <a:xfrm>
                      <a:off x="0" y="0"/>
                      <a:ext cx="4458335" cy="5486400"/>
                    </a:xfrm>
                    <a:prstGeom prst="rect">
                      <a:avLst/>
                    </a:prstGeom>
                    <a:noFill/>
                    <a:ln w="9525">
                      <a:noFill/>
                      <a:miter lim="800000"/>
                      <a:headEnd/>
                      <a:tailEnd/>
                    </a:ln>
                  </pic:spPr>
                </pic:pic>
              </a:graphicData>
            </a:graphic>
          </wp:inline>
        </w:drawing>
      </w:r>
    </w:p>
    <w:p w:rsidR="005366A8" w:rsidRPr="00057E7B" w:rsidRDefault="005366A8" w:rsidP="005366A8">
      <w:pPr>
        <w:tabs>
          <w:tab w:val="left" w:pos="5215"/>
        </w:tabs>
        <w:spacing w:after="120"/>
        <w:rPr>
          <w:sz w:val="20"/>
          <w:szCs w:val="20"/>
        </w:rPr>
      </w:pPr>
      <w:r w:rsidRPr="00057E7B">
        <w:rPr>
          <w:b/>
          <w:bCs/>
          <w:sz w:val="20"/>
          <w:szCs w:val="20"/>
          <w:rtl/>
        </w:rPr>
        <w:t>לקח מפרשת דרעי</w:t>
      </w:r>
    </w:p>
    <w:p w:rsidR="005366A8" w:rsidRPr="00057E7B" w:rsidRDefault="005366A8" w:rsidP="005366A8">
      <w:pPr>
        <w:tabs>
          <w:tab w:val="left" w:pos="5215"/>
        </w:tabs>
        <w:spacing w:after="120"/>
        <w:rPr>
          <w:sz w:val="20"/>
          <w:szCs w:val="20"/>
        </w:rPr>
      </w:pPr>
      <w:r w:rsidRPr="00057E7B">
        <w:rPr>
          <w:sz w:val="20"/>
          <w:szCs w:val="20"/>
          <w:rtl/>
        </w:rPr>
        <w:t xml:space="preserve">אך לטענה כי הכספים הקואליציוניים הולבנו באמצעות שקיפות תקציבית אין אחיזה של ממש. </w:t>
      </w:r>
      <w:r w:rsidRPr="00057E7B">
        <w:rPr>
          <w:sz w:val="20"/>
          <w:szCs w:val="20"/>
          <w:highlight w:val="yellow"/>
          <w:rtl/>
        </w:rPr>
        <w:t>החלטת הממשלה האמורה, אחת מעשרות החלטות שהתקבלו בערב אישור התקציב, מסתתרת תחת השם המטעה של "תגבור משרדי הממשלה</w:t>
      </w:r>
      <w:r w:rsidRPr="00057E7B">
        <w:rPr>
          <w:sz w:val="20"/>
          <w:szCs w:val="20"/>
          <w:highlight w:val="yellow"/>
        </w:rPr>
        <w:t>".</w:t>
      </w:r>
    </w:p>
    <w:p w:rsidR="005366A8" w:rsidRPr="00057E7B" w:rsidRDefault="005366A8" w:rsidP="005366A8">
      <w:pPr>
        <w:tabs>
          <w:tab w:val="left" w:pos="5215"/>
        </w:tabs>
        <w:spacing w:after="120"/>
        <w:rPr>
          <w:sz w:val="20"/>
          <w:szCs w:val="20"/>
        </w:rPr>
      </w:pPr>
      <w:r w:rsidRPr="00057E7B">
        <w:rPr>
          <w:sz w:val="20"/>
          <w:szCs w:val="20"/>
          <w:rtl/>
        </w:rPr>
        <w:t xml:space="preserve">מי שיפתח את ההחלטה (החלטה 2088), יגלה שורה של הקצאות תקציביות שהתקבלו במסגרת סיכום בין המפלגות החברות בקואליציה — למשל, 25 מיליון שקל לנושאי שנת שמיטה ושירותי דת; 25 מיליון שקל לחיזוק הזהות היהודית; </w:t>
      </w:r>
      <w:r w:rsidRPr="00057E7B">
        <w:rPr>
          <w:sz w:val="20"/>
          <w:szCs w:val="20"/>
          <w:highlight w:val="yellow"/>
          <w:rtl/>
        </w:rPr>
        <w:t>30 מיליון שקל לרשויות מקומיות ביהודה ושומרון</w:t>
      </w:r>
      <w:r w:rsidRPr="00057E7B">
        <w:rPr>
          <w:sz w:val="20"/>
          <w:szCs w:val="20"/>
          <w:rtl/>
        </w:rPr>
        <w:t>; 125 מיליון שקל למיזמים בתחומי הציונות ותחומים נוספים; 40 מיליון שקל לחיזוק השלטון</w:t>
      </w:r>
      <w:r w:rsidRPr="00057E7B">
        <w:rPr>
          <w:rFonts w:hint="cs"/>
          <w:sz w:val="20"/>
          <w:szCs w:val="20"/>
          <w:rtl/>
        </w:rPr>
        <w:t xml:space="preserve"> המקומי ועוד</w:t>
      </w:r>
      <w:r w:rsidRPr="00057E7B">
        <w:rPr>
          <w:sz w:val="20"/>
          <w:szCs w:val="20"/>
        </w:rPr>
        <w:t>.</w:t>
      </w:r>
    </w:p>
    <w:p w:rsidR="005366A8" w:rsidRPr="00057E7B" w:rsidRDefault="005366A8" w:rsidP="005366A8">
      <w:pPr>
        <w:tabs>
          <w:tab w:val="left" w:pos="5215"/>
        </w:tabs>
        <w:spacing w:after="120"/>
        <w:rPr>
          <w:sz w:val="20"/>
          <w:szCs w:val="20"/>
        </w:rPr>
      </w:pPr>
      <w:r w:rsidRPr="00057E7B">
        <w:rPr>
          <w:sz w:val="20"/>
          <w:szCs w:val="20"/>
          <w:rtl/>
        </w:rPr>
        <w:t xml:space="preserve">בסך הכל, כוללת ההחלטה העברות בסך 530 מיליון שקל, המוקצים תחת סעיפים כלליים מאוד, שכלל לא ברור לאילו פעולות ממשלה הם מיוחסים. ההחלטה אינה כוללת גם אזכור של המפלגה שתבעה את הסעיף התקציבי והמשרד שהכסף עומד לעבור אליו. </w:t>
      </w:r>
      <w:r w:rsidRPr="00057E7B">
        <w:rPr>
          <w:sz w:val="20"/>
          <w:szCs w:val="20"/>
          <w:highlight w:val="yellow"/>
          <w:rtl/>
        </w:rPr>
        <w:t>במלים אחרות, בהחלטה כולה רב הנסתר על הגלוי. שקיפות ציבורית של ממש אין כאן.</w:t>
      </w:r>
      <w:r w:rsidRPr="00057E7B">
        <w:rPr>
          <w:sz w:val="20"/>
          <w:szCs w:val="20"/>
          <w:rtl/>
        </w:rPr>
        <w:t xml:space="preserve"> ובהיעדר שקיפות, הפרצה של הכספים הקואליציוניים נראית כמכשול לפני עיוור. לפי חשדות המשטרה, העיוורים — בכירים בישראל ביתנו — אכן כשלו בה</w:t>
      </w:r>
      <w:r w:rsidRPr="00057E7B">
        <w:rPr>
          <w:sz w:val="20"/>
          <w:szCs w:val="20"/>
        </w:rPr>
        <w:t>.</w:t>
      </w:r>
    </w:p>
    <w:p w:rsidR="005366A8" w:rsidRPr="00057E7B" w:rsidRDefault="005366A8" w:rsidP="005366A8">
      <w:pPr>
        <w:tabs>
          <w:tab w:val="left" w:pos="5215"/>
        </w:tabs>
        <w:spacing w:after="120"/>
        <w:rPr>
          <w:sz w:val="20"/>
          <w:szCs w:val="20"/>
        </w:rPr>
      </w:pPr>
      <w:r w:rsidRPr="00057E7B">
        <w:rPr>
          <w:sz w:val="20"/>
          <w:szCs w:val="20"/>
          <w:rtl/>
        </w:rPr>
        <w:t>יתרה מכך, בשום מקום אין הסבר כיצד נקבעים הכספים הקואליציוניים, אם יש להם מסגרת כלשהי (אין להם), ואיך הם מוקצים בין המפלגות. אלה סכומי כסף שנקבעים במשא ומתן בין המפלגות, לפי רצונן הטוב ולפי כישורי המשא ומתן שלהן — וללא כל</w:t>
      </w:r>
      <w:r w:rsidRPr="00057E7B">
        <w:rPr>
          <w:rFonts w:ascii="MS Mincho" w:eastAsia="MS Mincho" w:hAnsi="MS Mincho" w:cs="MS Mincho" w:hint="eastAsia"/>
          <w:sz w:val="20"/>
          <w:szCs w:val="20"/>
          <w:rtl/>
        </w:rPr>
        <w:t> </w:t>
      </w:r>
      <w:r w:rsidRPr="00057E7B">
        <w:rPr>
          <w:rFonts w:hint="cs"/>
          <w:sz w:val="20"/>
          <w:szCs w:val="20"/>
          <w:rtl/>
        </w:rPr>
        <w:t>שקיפות ציבורית</w:t>
      </w:r>
      <w:r w:rsidRPr="00057E7B">
        <w:rPr>
          <w:sz w:val="20"/>
          <w:szCs w:val="20"/>
        </w:rPr>
        <w:t>.</w:t>
      </w:r>
    </w:p>
    <w:p w:rsidR="005366A8" w:rsidRPr="00057E7B" w:rsidRDefault="005366A8" w:rsidP="005366A8">
      <w:pPr>
        <w:tabs>
          <w:tab w:val="left" w:pos="5215"/>
        </w:tabs>
        <w:spacing w:after="120"/>
        <w:rPr>
          <w:sz w:val="20"/>
          <w:szCs w:val="20"/>
        </w:rPr>
      </w:pPr>
      <w:r w:rsidRPr="00057E7B">
        <w:rPr>
          <w:sz w:val="20"/>
          <w:szCs w:val="20"/>
          <w:highlight w:val="yellow"/>
          <w:rtl/>
        </w:rPr>
        <w:t>המגבלה היחידה היא זו של תקציב המדינה — כל כסף שמוקצה בתקציב לסעיפים קואליציוניים, יצטרכו למצוא לו מקור כספי בתקציב. המעט שידוע שנעשה כדי להסדיר את הנושא הוא האיסור שכספים קואליציוניים יופנו לכתובת ספציפית. מותר להפנות כסף קואליציוני לתחום מסוים — אבל לא לעסק ספציפי</w:t>
      </w:r>
      <w:r w:rsidRPr="00057E7B">
        <w:rPr>
          <w:sz w:val="20"/>
          <w:szCs w:val="20"/>
          <w:highlight w:val="yellow"/>
        </w:rPr>
        <w:t>.</w:t>
      </w:r>
    </w:p>
    <w:p w:rsidR="005366A8" w:rsidRPr="00057E7B" w:rsidRDefault="005366A8" w:rsidP="005366A8">
      <w:pPr>
        <w:tabs>
          <w:tab w:val="left" w:pos="5215"/>
        </w:tabs>
        <w:spacing w:after="120"/>
        <w:rPr>
          <w:sz w:val="20"/>
          <w:szCs w:val="20"/>
          <w:highlight w:val="yellow"/>
        </w:rPr>
      </w:pPr>
      <w:r w:rsidRPr="00057E7B">
        <w:rPr>
          <w:sz w:val="20"/>
          <w:szCs w:val="20"/>
          <w:highlight w:val="yellow"/>
          <w:rtl/>
        </w:rPr>
        <w:t>כך, המפלגות החרדיות יכולות להפנות כספים קואליציוניים למוסדות תורניים. במקרה כזה, התקציב יופנה למשרד החינוך, ו־ועדת התמיכות של המשרד תקצה את הכסף למוסדות תורניים שונים לפי מבחני התמיכה המקובלים של המשרד. זאת, להבדיל מהמצב שבו הכסף מוקצה מראש לישיבה מסוימת אחת — הקצאה כזאת היא אסורה</w:t>
      </w:r>
      <w:r w:rsidRPr="00057E7B">
        <w:rPr>
          <w:sz w:val="20"/>
          <w:szCs w:val="20"/>
          <w:highlight w:val="yellow"/>
        </w:rPr>
        <w:t>.</w:t>
      </w:r>
    </w:p>
    <w:p w:rsidR="005366A8" w:rsidRPr="00057E7B" w:rsidRDefault="005366A8" w:rsidP="005366A8">
      <w:pPr>
        <w:tabs>
          <w:tab w:val="left" w:pos="5215"/>
        </w:tabs>
        <w:spacing w:after="120"/>
        <w:rPr>
          <w:sz w:val="20"/>
          <w:szCs w:val="20"/>
        </w:rPr>
      </w:pPr>
      <w:r w:rsidRPr="00057E7B">
        <w:rPr>
          <w:sz w:val="20"/>
          <w:szCs w:val="20"/>
          <w:highlight w:val="yellow"/>
          <w:rtl/>
        </w:rPr>
        <w:t xml:space="preserve">הכלל הזה הוא לקח מפרשת דרעי, והוא נועד למנוע את התמריץ לשחד את נבחר הציבור: אם הכסף עובר לישיבות כולן אבל לא לישיבה מסוימת אחת, אין תמריץ לאף ישיבה לשחד את השר לשם כך. </w:t>
      </w:r>
      <w:r w:rsidRPr="00057E7B">
        <w:rPr>
          <w:sz w:val="20"/>
          <w:szCs w:val="20"/>
          <w:rtl/>
        </w:rPr>
        <w:t xml:space="preserve">עם זאת, </w:t>
      </w:r>
      <w:r w:rsidRPr="00057E7B">
        <w:rPr>
          <w:sz w:val="20"/>
          <w:szCs w:val="20"/>
          <w:highlight w:val="yellow"/>
          <w:rtl/>
        </w:rPr>
        <w:t>החשדות בנוגע לבכירי ישראל ביתנו מלמדים שייתכן כי הכלל הזה לא נשמר, והמקרה של מרכז המבקרים בברקן (אם אכן יש לו קשר לכספים קואליציוניים; הדבר מצוי בבדיקה כעת) מחזק את החשד הזה</w:t>
      </w:r>
      <w:r w:rsidRPr="00057E7B">
        <w:rPr>
          <w:sz w:val="20"/>
          <w:szCs w:val="20"/>
        </w:rPr>
        <w:t>.</w:t>
      </w:r>
    </w:p>
    <w:p w:rsidR="005366A8" w:rsidRPr="00057E7B" w:rsidRDefault="005366A8" w:rsidP="005366A8">
      <w:pPr>
        <w:tabs>
          <w:tab w:val="left" w:pos="5215"/>
        </w:tabs>
        <w:spacing w:after="120"/>
        <w:rPr>
          <w:sz w:val="20"/>
          <w:szCs w:val="20"/>
        </w:rPr>
      </w:pPr>
      <w:r w:rsidRPr="00057E7B">
        <w:rPr>
          <w:b/>
          <w:bCs/>
          <w:sz w:val="20"/>
          <w:szCs w:val="20"/>
          <w:rtl/>
        </w:rPr>
        <w:t>עבודה פגומה של משרד האוצר</w:t>
      </w:r>
    </w:p>
    <w:p w:rsidR="005366A8" w:rsidRPr="00057E7B" w:rsidRDefault="005366A8" w:rsidP="005366A8">
      <w:pPr>
        <w:tabs>
          <w:tab w:val="left" w:pos="5215"/>
        </w:tabs>
        <w:spacing w:after="120"/>
        <w:rPr>
          <w:sz w:val="20"/>
          <w:szCs w:val="20"/>
        </w:rPr>
      </w:pPr>
      <w:r w:rsidRPr="00057E7B">
        <w:rPr>
          <w:sz w:val="20"/>
          <w:szCs w:val="20"/>
          <w:rtl/>
        </w:rPr>
        <w:t>שאלת הכספים הקואליציוניים נמצאת כעת בבחינה על ידי המדינה — שמנסה להבין אם התופעה ממשיכה להתקיים ואיך. נדבך מרכזי באי־בהירות נובע מעבודה פגומה של משרד האוצר, שאינו טורח ליידע באופן ברור לגבי העברות תקציב קואליציוניות</w:t>
      </w:r>
      <w:r w:rsidRPr="00057E7B">
        <w:rPr>
          <w:sz w:val="20"/>
          <w:szCs w:val="20"/>
        </w:rPr>
        <w:t>.</w:t>
      </w:r>
    </w:p>
    <w:p w:rsidR="005366A8" w:rsidRPr="00057E7B" w:rsidRDefault="005366A8" w:rsidP="005366A8">
      <w:pPr>
        <w:tabs>
          <w:tab w:val="left" w:pos="5215"/>
        </w:tabs>
        <w:spacing w:after="120"/>
        <w:rPr>
          <w:sz w:val="20"/>
          <w:szCs w:val="20"/>
          <w:highlight w:val="yellow"/>
        </w:rPr>
      </w:pPr>
      <w:r w:rsidRPr="00057E7B">
        <w:rPr>
          <w:sz w:val="20"/>
          <w:szCs w:val="20"/>
          <w:highlight w:val="yellow"/>
          <w:rtl/>
        </w:rPr>
        <w:t xml:space="preserve">אם העברת הכספים לברקן היא אכן חלק מהסכם קואליציוני, הרי שלמשרד האוצר אין ברירה אלא לאשרה בכנסת. </w:t>
      </w:r>
      <w:r w:rsidRPr="00057E7B">
        <w:rPr>
          <w:sz w:val="20"/>
          <w:szCs w:val="20"/>
          <w:rtl/>
        </w:rPr>
        <w:t xml:space="preserve">המעט </w:t>
      </w:r>
      <w:r w:rsidRPr="00057E7B">
        <w:rPr>
          <w:sz w:val="20"/>
          <w:szCs w:val="20"/>
          <w:highlight w:val="yellow"/>
          <w:rtl/>
        </w:rPr>
        <w:t>שמשרד האוצר עושה הוא לדאוג להביא את סעיפי התקציב האלה לאישור ספציפי של ועדת הכספים — בין השאר כדי שעינה הפקוחה של חברת כנסת זריזה כמו שפיר תצוד את הסעיפים האלה, ואולי תביא לטרפודם</w:t>
      </w:r>
      <w:r w:rsidRPr="00057E7B">
        <w:rPr>
          <w:sz w:val="20"/>
          <w:szCs w:val="20"/>
          <w:highlight w:val="yellow"/>
        </w:rPr>
        <w:t>.</w:t>
      </w:r>
    </w:p>
    <w:p w:rsidR="005366A8" w:rsidRPr="00057E7B" w:rsidRDefault="005366A8" w:rsidP="005366A8">
      <w:pPr>
        <w:tabs>
          <w:tab w:val="left" w:pos="5215"/>
        </w:tabs>
        <w:spacing w:after="120"/>
        <w:rPr>
          <w:sz w:val="20"/>
          <w:szCs w:val="20"/>
        </w:rPr>
      </w:pPr>
      <w:r w:rsidRPr="00057E7B">
        <w:rPr>
          <w:sz w:val="20"/>
          <w:szCs w:val="20"/>
          <w:highlight w:val="yellow"/>
          <w:rtl/>
        </w:rPr>
        <w:t>רק שזה ממש המעט שמשרד האוצר עושה. נתונים לגבי סכומי הכספים הקואליציוניים והשימושים שיועדו להם אינם מתפרסמים באופן שקוף (אלא אם כן יש ידע מוקדם שהכותרת "תגבור משרדי הממשלה" אכן מתייחסת להסכמים קואליציוניים). למעשה, משרד האוצר גם אינו מבהיר — כשהוא מביא את הסעיפים הקואליציוניים לאישור ועדת הכספים — שמדובר בסעיפים כאלה</w:t>
      </w:r>
      <w:r w:rsidRPr="00057E7B">
        <w:rPr>
          <w:sz w:val="20"/>
          <w:szCs w:val="20"/>
          <w:highlight w:val="yellow"/>
        </w:rPr>
        <w:t>.</w:t>
      </w:r>
    </w:p>
    <w:p w:rsidR="005366A8" w:rsidRPr="00057E7B" w:rsidRDefault="005366A8" w:rsidP="005366A8">
      <w:pPr>
        <w:tabs>
          <w:tab w:val="left" w:pos="5215"/>
        </w:tabs>
        <w:spacing w:after="120"/>
        <w:rPr>
          <w:sz w:val="20"/>
          <w:szCs w:val="20"/>
        </w:rPr>
      </w:pPr>
      <w:r w:rsidRPr="00057E7B">
        <w:rPr>
          <w:sz w:val="20"/>
          <w:szCs w:val="20"/>
          <w:rtl/>
        </w:rPr>
        <w:t xml:space="preserve">זהו כשל חמור, משום שפרשת ישראל ביתנו חידדה את החשד כי הכספים הקואליציוניים הם פרצה בעייתית ביותר. משרד האוצר אומנם אינו יכול למנוע את העברת הכספים — הממשלה היא זאת שהחליטה עליהם; </w:t>
      </w:r>
      <w:r w:rsidRPr="00057E7B">
        <w:rPr>
          <w:sz w:val="20"/>
          <w:szCs w:val="20"/>
          <w:highlight w:val="yellow"/>
          <w:rtl/>
        </w:rPr>
        <w:t>אבל הוא יכול להפנות תשומת לב אליהם</w:t>
      </w:r>
      <w:r w:rsidRPr="00057E7B">
        <w:rPr>
          <w:sz w:val="20"/>
          <w:szCs w:val="20"/>
          <w:rtl/>
        </w:rPr>
        <w:t xml:space="preserve"> — גם כדי שחברי הכנסת בוועדת הכספים יהיו ערניים יותר, ובעיקר כדי שמערכי הבקרה של הממשלה יידעו לבדוק זאת בקפדנות רבה יותר</w:t>
      </w:r>
      <w:r w:rsidRPr="00057E7B">
        <w:rPr>
          <w:sz w:val="20"/>
          <w:szCs w:val="20"/>
        </w:rPr>
        <w:t>.</w:t>
      </w:r>
    </w:p>
    <w:p w:rsidR="005366A8" w:rsidRPr="00057E7B" w:rsidRDefault="005366A8" w:rsidP="005366A8">
      <w:pPr>
        <w:tabs>
          <w:tab w:val="left" w:pos="5215"/>
        </w:tabs>
        <w:spacing w:after="120"/>
        <w:rPr>
          <w:sz w:val="20"/>
          <w:szCs w:val="20"/>
        </w:rPr>
      </w:pPr>
      <w:r w:rsidRPr="00057E7B">
        <w:rPr>
          <w:sz w:val="20"/>
          <w:szCs w:val="20"/>
        </w:rPr>
        <w:t xml:space="preserve">13 </w:t>
      </w:r>
      <w:r w:rsidRPr="00057E7B">
        <w:rPr>
          <w:rFonts w:hint="cs"/>
          <w:sz w:val="20"/>
          <w:szCs w:val="20"/>
          <w:rtl/>
        </w:rPr>
        <w:t xml:space="preserve"> </w:t>
      </w:r>
      <w:r w:rsidRPr="00057E7B">
        <w:rPr>
          <w:sz w:val="20"/>
          <w:szCs w:val="20"/>
          <w:rtl/>
        </w:rPr>
        <w:t xml:space="preserve">מיליון שקל שהועברו לברקן חשודים פחות אם מדובר בהקצאה תקציבית שגרתית של משרד התיירות, וחשודים יותר אם אלה כספים קואליציוניים — כאלה שמפלגות ספציפיות ונבחרי ציבור ספציפיים יכולים להיות משויכים להם. </w:t>
      </w:r>
      <w:r w:rsidRPr="00057E7B">
        <w:rPr>
          <w:sz w:val="20"/>
          <w:szCs w:val="20"/>
          <w:highlight w:val="yellow"/>
          <w:rtl/>
        </w:rPr>
        <w:t>נזכיר שמוקד החשדות בפרשת ישראל ביתנו היה יכולתם של פוליטיקאים מסוימים להטות כספי תקציב לעמותות או גופים מסוימים — דבר שיצר תמריץ לעמותות הספציפיות לשחד את אותם פוליטיקאים. חוסר השקיפות של הכספים הקואליציוניים והקשר הישיר שלהם למפלגות מסוימות, הופכים אותם פרוצים בדיוק</w:t>
      </w:r>
      <w:r w:rsidRPr="00057E7B">
        <w:rPr>
          <w:sz w:val="20"/>
          <w:szCs w:val="20"/>
          <w:rtl/>
        </w:rPr>
        <w:t xml:space="preserve"> לכשל מזמין שוחד שכזה</w:t>
      </w:r>
      <w:r w:rsidRPr="00057E7B">
        <w:rPr>
          <w:sz w:val="20"/>
          <w:szCs w:val="20"/>
        </w:rPr>
        <w:t>.</w:t>
      </w:r>
    </w:p>
    <w:p w:rsidR="005366A8" w:rsidRPr="00057E7B" w:rsidRDefault="005366A8" w:rsidP="005366A8">
      <w:pPr>
        <w:tabs>
          <w:tab w:val="left" w:pos="5215"/>
        </w:tabs>
        <w:spacing w:after="120"/>
        <w:rPr>
          <w:sz w:val="20"/>
          <w:szCs w:val="20"/>
          <w:rtl/>
        </w:rPr>
      </w:pPr>
    </w:p>
    <w:p w:rsidR="005366A8" w:rsidRPr="00EF67AE" w:rsidRDefault="005366A8" w:rsidP="005366A8">
      <w:pPr>
        <w:spacing w:after="120"/>
        <w:rPr>
          <w:sz w:val="20"/>
          <w:szCs w:val="20"/>
          <w:rtl/>
        </w:rPr>
      </w:pPr>
      <w:r>
        <w:rPr>
          <w:rFonts w:hint="cs"/>
          <w:sz w:val="22"/>
          <w:szCs w:val="22"/>
          <w:rtl/>
        </w:rPr>
        <w:t>=-=</w:t>
      </w:r>
    </w:p>
    <w:p w:rsidR="005366A8" w:rsidRPr="00C078E1" w:rsidRDefault="005366A8" w:rsidP="005366A8">
      <w:pPr>
        <w:spacing w:after="120"/>
        <w:rPr>
          <w:rFonts w:ascii="Arial" w:hAnsi="Arial" w:cs="Guttman-Soncino"/>
          <w:sz w:val="20"/>
          <w:szCs w:val="20"/>
          <w:highlight w:val="yellow"/>
          <w:rtl/>
        </w:rPr>
      </w:pPr>
      <w:r w:rsidRPr="00C078E1">
        <w:rPr>
          <w:rFonts w:ascii="Arial" w:hAnsi="Arial" w:cs="Guttman-Soncino"/>
          <w:sz w:val="20"/>
          <w:szCs w:val="20"/>
          <w:highlight w:val="yellow"/>
          <w:rtl/>
        </w:rPr>
        <w:t xml:space="preserve">עד עתה דנו </w:t>
      </w:r>
      <w:r w:rsidRPr="00C078E1">
        <w:rPr>
          <w:rFonts w:ascii="Arial" w:hAnsi="Arial" w:cs="Guttman-Soncino"/>
          <w:sz w:val="20"/>
          <w:szCs w:val="20"/>
          <w:highlight w:val="yellow"/>
          <w:u w:val="single"/>
          <w:rtl/>
        </w:rPr>
        <w:t>בחוקתה המהותית של ישראל</w:t>
      </w:r>
      <w:r w:rsidRPr="00C078E1">
        <w:rPr>
          <w:rFonts w:ascii="Arial" w:hAnsi="Arial" w:cs="Guttman-Soncino"/>
          <w:sz w:val="20"/>
          <w:szCs w:val="20"/>
          <w:highlight w:val="yellow"/>
          <w:rtl/>
        </w:rPr>
        <w:t xml:space="preserve"> (עקרונות היסוד: ערכי היסוד ומוסדות היסוד המשטריים שלה)</w:t>
      </w:r>
      <w:r w:rsidRPr="00C078E1">
        <w:rPr>
          <w:rFonts w:ascii="Arial" w:hAnsi="Arial" w:cs="Guttman-Soncino" w:hint="cs"/>
          <w:sz w:val="20"/>
          <w:szCs w:val="20"/>
          <w:highlight w:val="yellow"/>
          <w:rtl/>
        </w:rPr>
        <w:t>;</w:t>
      </w:r>
      <w:r w:rsidRPr="00C078E1">
        <w:rPr>
          <w:rFonts w:ascii="Arial" w:hAnsi="Arial" w:cs="Guttman-Soncino"/>
          <w:sz w:val="20"/>
          <w:szCs w:val="20"/>
          <w:highlight w:val="yellow"/>
          <w:rtl/>
        </w:rPr>
        <w:t xml:space="preserve"> </w:t>
      </w:r>
    </w:p>
    <w:p w:rsidR="005366A8" w:rsidRPr="00C078E1" w:rsidRDefault="005366A8" w:rsidP="005366A8">
      <w:pPr>
        <w:spacing w:after="120"/>
        <w:rPr>
          <w:rFonts w:ascii="Arial" w:hAnsi="Arial" w:cs="Guttman-Soncino"/>
          <w:sz w:val="20"/>
          <w:szCs w:val="20"/>
          <w:highlight w:val="yellow"/>
          <w:rtl/>
        </w:rPr>
      </w:pPr>
      <w:r w:rsidRPr="00C078E1">
        <w:rPr>
          <w:rFonts w:ascii="Arial" w:hAnsi="Arial" w:cs="Guttman-Soncino"/>
          <w:sz w:val="20"/>
          <w:szCs w:val="20"/>
          <w:highlight w:val="yellow"/>
          <w:rtl/>
        </w:rPr>
        <w:t xml:space="preserve">ודנו יחסית ארוכות </w:t>
      </w:r>
      <w:r w:rsidRPr="00C078E1">
        <w:rPr>
          <w:rFonts w:ascii="Arial" w:hAnsi="Arial" w:cs="Guttman-Soncino"/>
          <w:sz w:val="20"/>
          <w:szCs w:val="20"/>
          <w:highlight w:val="yellow"/>
          <w:u w:val="single"/>
          <w:rtl/>
        </w:rPr>
        <w:t>בחוקתה הפורמאלית</w:t>
      </w:r>
      <w:r w:rsidRPr="00C078E1">
        <w:rPr>
          <w:rFonts w:ascii="Arial" w:hAnsi="Arial" w:cs="Guttman-Soncino"/>
          <w:sz w:val="20"/>
          <w:szCs w:val="20"/>
          <w:highlight w:val="yellow"/>
          <w:rtl/>
        </w:rPr>
        <w:t xml:space="preserve"> (חוקי היסוד שלה, המגבשים מוסדות יסוד, פרוצדורות בסיסיות לקבלות החלטות, ומגוננים חוקתית על חלק מזכויות היסוד). </w:t>
      </w:r>
    </w:p>
    <w:p w:rsidR="005366A8" w:rsidRPr="00C078E1" w:rsidRDefault="005366A8" w:rsidP="005366A8">
      <w:pPr>
        <w:spacing w:after="120"/>
        <w:rPr>
          <w:rFonts w:ascii="Arial" w:hAnsi="Arial" w:cs="Guttman-Soncino"/>
          <w:sz w:val="20"/>
          <w:szCs w:val="20"/>
          <w:highlight w:val="yellow"/>
          <w:rtl/>
        </w:rPr>
      </w:pPr>
      <w:r w:rsidRPr="00C078E1">
        <w:rPr>
          <w:rFonts w:ascii="Arial" w:hAnsi="Arial" w:cs="Guttman-Soncino"/>
          <w:sz w:val="20"/>
          <w:szCs w:val="20"/>
          <w:highlight w:val="yellow"/>
          <w:rtl/>
        </w:rPr>
        <w:t xml:space="preserve">במקביל דנו </w:t>
      </w:r>
      <w:r w:rsidRPr="00C078E1">
        <w:rPr>
          <w:rFonts w:ascii="Arial" w:hAnsi="Arial" w:cs="Guttman-Soncino"/>
          <w:sz w:val="20"/>
          <w:szCs w:val="20"/>
          <w:highlight w:val="yellow"/>
          <w:u w:val="single"/>
          <w:rtl/>
        </w:rPr>
        <w:t>בביקורת השיפוטית לצורותיה השונות</w:t>
      </w:r>
      <w:r w:rsidRPr="00C078E1">
        <w:rPr>
          <w:rFonts w:ascii="Arial" w:hAnsi="Arial" w:cs="Guttman-Soncino"/>
          <w:sz w:val="20"/>
          <w:szCs w:val="20"/>
          <w:highlight w:val="yellow"/>
          <w:rtl/>
        </w:rPr>
        <w:t>: הן על הכנסת כמחוקק (ביקורת שיפוטית חוקתית, מכוח החוקה הפורמאלית), הן על שאלת האפשרות לבקר את הכנסת בכובעה המכונן (ביקורת מטא-טקסטואלית, או דוקטרינת "התיקון החוקתי הלא-חוקתי", מכוח החוקה המהותית/המטריאלית שלנו), והן הביקורת השיפוטית 'הרגילה' המינהלית, הביקורת על רשויות המינהל</w:t>
      </w:r>
      <w:r w:rsidRPr="00C078E1">
        <w:rPr>
          <w:rFonts w:ascii="Arial" w:hAnsi="Arial" w:cs="Guttman-Soncino" w:hint="cs"/>
          <w:sz w:val="20"/>
          <w:szCs w:val="20"/>
          <w:highlight w:val="yellow"/>
          <w:rtl/>
        </w:rPr>
        <w:t xml:space="preserve"> (</w:t>
      </w:r>
      <w:r w:rsidRPr="00C078E1">
        <w:rPr>
          <w:rFonts w:ascii="Arial" w:hAnsi="Arial" w:cs="Guttman-Soncino" w:hint="cs"/>
          <w:i/>
          <w:iCs/>
          <w:sz w:val="20"/>
          <w:szCs w:val="20"/>
          <w:highlight w:val="yellow"/>
          <w:rtl/>
        </w:rPr>
        <w:t>קול העם, פרץ נ' כפר שמריהו</w:t>
      </w:r>
      <w:r w:rsidRPr="00C078E1">
        <w:rPr>
          <w:rFonts w:ascii="Arial" w:hAnsi="Arial" w:cs="Guttman-Soncino" w:hint="cs"/>
          <w:sz w:val="20"/>
          <w:szCs w:val="20"/>
          <w:highlight w:val="yellow"/>
          <w:rtl/>
        </w:rPr>
        <w:t>, וכדומה)</w:t>
      </w:r>
      <w:r w:rsidRPr="00C078E1">
        <w:rPr>
          <w:rFonts w:ascii="Arial" w:hAnsi="Arial" w:cs="Guttman-Soncino"/>
          <w:sz w:val="20"/>
          <w:szCs w:val="20"/>
          <w:highlight w:val="yellow"/>
          <w:rtl/>
        </w:rPr>
        <w:t xml:space="preserve">.  </w:t>
      </w:r>
    </w:p>
    <w:p w:rsidR="005366A8" w:rsidRPr="00C078E1" w:rsidRDefault="005366A8" w:rsidP="005366A8">
      <w:pPr>
        <w:spacing w:after="120"/>
        <w:rPr>
          <w:rFonts w:cs="Guttman-Soncino"/>
          <w:sz w:val="20"/>
          <w:szCs w:val="20"/>
          <w:rtl/>
        </w:rPr>
      </w:pPr>
      <w:r w:rsidRPr="00C078E1">
        <w:rPr>
          <w:rFonts w:ascii="Arial" w:hAnsi="Arial" w:cs="Guttman-Soncino" w:hint="cs"/>
          <w:sz w:val="20"/>
          <w:szCs w:val="20"/>
          <w:highlight w:val="yellow"/>
          <w:rtl/>
        </w:rPr>
        <w:t xml:space="preserve">בפגישות הקרובות </w:t>
      </w:r>
      <w:r w:rsidRPr="00C078E1">
        <w:rPr>
          <w:rFonts w:ascii="Arial" w:hAnsi="Arial" w:cs="Guttman-Soncino"/>
          <w:sz w:val="20"/>
          <w:szCs w:val="20"/>
          <w:highlight w:val="yellow"/>
          <w:rtl/>
        </w:rPr>
        <w:t xml:space="preserve">אנו עוברים לדיון באופן מפורט בכמה </w:t>
      </w:r>
      <w:r w:rsidRPr="00F316BA">
        <w:rPr>
          <w:rFonts w:ascii="Arial" w:hAnsi="Arial" w:cs="Guttman-Soncino"/>
          <w:sz w:val="20"/>
          <w:szCs w:val="20"/>
          <w:highlight w:val="yellow"/>
          <w:u w:val="single"/>
          <w:rtl/>
        </w:rPr>
        <w:t>ממוסדות היסוד – רשויותיה של ישראל</w:t>
      </w:r>
      <w:r w:rsidRPr="00C078E1">
        <w:rPr>
          <w:rFonts w:ascii="Arial" w:hAnsi="Arial" w:cs="Guttman-Soncino" w:hint="cs"/>
          <w:sz w:val="20"/>
          <w:szCs w:val="20"/>
          <w:highlight w:val="yellow"/>
          <w:rtl/>
        </w:rPr>
        <w:t>. גם הם מוסדרים ברובם, אך לא כולם, בחוקי היסוד</w:t>
      </w:r>
      <w:r w:rsidRPr="00C078E1">
        <w:rPr>
          <w:rFonts w:ascii="Arial" w:hAnsi="Arial" w:cs="Guttman-Soncino"/>
          <w:sz w:val="20"/>
          <w:szCs w:val="20"/>
          <w:highlight w:val="yellow"/>
          <w:rtl/>
        </w:rPr>
        <w:t>.</w:t>
      </w:r>
    </w:p>
    <w:p w:rsidR="005366A8" w:rsidRPr="00C078E1" w:rsidRDefault="005366A8" w:rsidP="005366A8">
      <w:pPr>
        <w:spacing w:after="120"/>
        <w:rPr>
          <w:sz w:val="22"/>
          <w:szCs w:val="22"/>
          <w:rtl/>
        </w:rPr>
      </w:pPr>
    </w:p>
    <w:p w:rsidR="005366A8" w:rsidRDefault="005366A8" w:rsidP="005366A8">
      <w:pPr>
        <w:spacing w:after="120"/>
        <w:rPr>
          <w:sz w:val="22"/>
          <w:szCs w:val="22"/>
          <w:rtl/>
        </w:rPr>
      </w:pPr>
      <w:r>
        <w:rPr>
          <w:rFonts w:hint="cs"/>
          <w:sz w:val="22"/>
          <w:szCs w:val="22"/>
          <w:rtl/>
        </w:rPr>
        <w:t>=-=</w:t>
      </w:r>
    </w:p>
    <w:p w:rsidR="005366A8" w:rsidRPr="007B3EAE" w:rsidRDefault="005366A8" w:rsidP="005366A8">
      <w:pPr>
        <w:rPr>
          <w:rFonts w:ascii="Arial" w:hAnsi="Arial" w:cs="Arial"/>
          <w:sz w:val="20"/>
          <w:szCs w:val="20"/>
          <w:u w:val="single"/>
          <w:rtl/>
        </w:rPr>
      </w:pPr>
      <w:r w:rsidRPr="007B3EAE">
        <w:rPr>
          <w:rFonts w:ascii="Arial" w:hAnsi="Arial" w:cs="Arial"/>
          <w:sz w:val="20"/>
          <w:szCs w:val="20"/>
          <w:highlight w:val="green"/>
          <w:u w:val="single"/>
          <w:rtl/>
        </w:rPr>
        <w:t>לפגישה הקרובה</w:t>
      </w:r>
      <w:r w:rsidRPr="007B3EAE">
        <w:rPr>
          <w:rFonts w:ascii="Arial" w:hAnsi="Arial" w:cs="Arial"/>
          <w:sz w:val="20"/>
          <w:szCs w:val="20"/>
          <w:u w:val="single"/>
          <w:rtl/>
        </w:rPr>
        <w:t>:</w:t>
      </w:r>
    </w:p>
    <w:p w:rsidR="005366A8" w:rsidRDefault="005366A8" w:rsidP="005366A8">
      <w:pPr>
        <w:spacing w:after="120"/>
        <w:rPr>
          <w:rFonts w:ascii="Arial" w:hAnsi="Arial" w:cs="Arial"/>
          <w:sz w:val="20"/>
          <w:szCs w:val="20"/>
          <w:rtl/>
        </w:rPr>
      </w:pPr>
      <w:r>
        <w:rPr>
          <w:rFonts w:ascii="Arial" w:hAnsi="Arial" w:cs="Arial" w:hint="cs"/>
          <w:sz w:val="20"/>
          <w:szCs w:val="20"/>
          <w:rtl/>
        </w:rPr>
        <w:t xml:space="preserve">אנא </w:t>
      </w:r>
      <w:r w:rsidRPr="007B3EAE">
        <w:rPr>
          <w:rFonts w:ascii="Arial" w:hAnsi="Arial" w:cs="Arial"/>
          <w:sz w:val="20"/>
          <w:szCs w:val="20"/>
          <w:rtl/>
        </w:rPr>
        <w:t>קראו את</w:t>
      </w:r>
      <w:r>
        <w:rPr>
          <w:rFonts w:ascii="Arial" w:hAnsi="Arial" w:cs="Arial" w:hint="cs"/>
          <w:sz w:val="20"/>
          <w:szCs w:val="20"/>
          <w:rtl/>
        </w:rPr>
        <w:t xml:space="preserve"> קטע העיתונות שלעיל, וכן את </w:t>
      </w:r>
      <w:r w:rsidRPr="007B3EAE">
        <w:rPr>
          <w:rFonts w:ascii="Arial" w:hAnsi="Arial" w:cs="Arial"/>
          <w:sz w:val="20"/>
          <w:szCs w:val="20"/>
          <w:rtl/>
        </w:rPr>
        <w:t xml:space="preserve">חומר </w:t>
      </w:r>
      <w:r>
        <w:rPr>
          <w:rFonts w:ascii="Arial" w:hAnsi="Arial" w:cs="Arial" w:hint="cs"/>
          <w:sz w:val="20"/>
          <w:szCs w:val="20"/>
          <w:rtl/>
        </w:rPr>
        <w:t xml:space="preserve">הקריאה בסילבוס </w:t>
      </w:r>
      <w:r w:rsidRPr="007B3EAE">
        <w:rPr>
          <w:rFonts w:ascii="Arial" w:hAnsi="Arial" w:cs="Arial"/>
          <w:sz w:val="20"/>
          <w:szCs w:val="20"/>
          <w:rtl/>
        </w:rPr>
        <w:t xml:space="preserve">הנוגע לסדרי עבודת הכנסת וביקורת שיפוטית עליהם – </w:t>
      </w:r>
      <w:r>
        <w:rPr>
          <w:rFonts w:ascii="Arial" w:hAnsi="Arial" w:cs="Arial" w:hint="cs"/>
          <w:sz w:val="20"/>
          <w:szCs w:val="20"/>
          <w:rtl/>
        </w:rPr>
        <w:t>קונקרטית,</w:t>
      </w:r>
      <w:r w:rsidRPr="007B3EAE">
        <w:rPr>
          <w:rFonts w:ascii="Arial" w:hAnsi="Arial" w:cs="Arial"/>
          <w:sz w:val="20"/>
          <w:szCs w:val="20"/>
          <w:rtl/>
        </w:rPr>
        <w:t xml:space="preserve"> פס"ד </w:t>
      </w:r>
      <w:r w:rsidRPr="00892FE5">
        <w:rPr>
          <w:rFonts w:ascii="Arial" w:hAnsi="Arial" w:cs="Arial"/>
          <w:b/>
          <w:bCs/>
          <w:sz w:val="20"/>
          <w:szCs w:val="20"/>
          <w:u w:val="single"/>
          <w:rtl/>
        </w:rPr>
        <w:t>לבנת</w:t>
      </w:r>
      <w:r w:rsidRPr="007B3EAE">
        <w:rPr>
          <w:rFonts w:ascii="Arial" w:hAnsi="Arial" w:cs="Arial"/>
          <w:sz w:val="20"/>
          <w:szCs w:val="20"/>
          <w:rtl/>
        </w:rPr>
        <w:t xml:space="preserve"> ופס"ד </w:t>
      </w:r>
      <w:r w:rsidRPr="00892FE5">
        <w:rPr>
          <w:rFonts w:ascii="Arial" w:hAnsi="Arial" w:cs="Arial"/>
          <w:b/>
          <w:bCs/>
          <w:sz w:val="20"/>
          <w:szCs w:val="20"/>
          <w:u w:val="single"/>
          <w:rtl/>
        </w:rPr>
        <w:t>ארגון מגדלי העופות</w:t>
      </w:r>
      <w:r w:rsidRPr="007B3EAE">
        <w:rPr>
          <w:rFonts w:ascii="Arial" w:hAnsi="Arial" w:cs="Arial"/>
          <w:sz w:val="20"/>
          <w:szCs w:val="20"/>
          <w:rtl/>
        </w:rPr>
        <w:t xml:space="preserve">. </w:t>
      </w:r>
    </w:p>
    <w:p w:rsidR="005366A8" w:rsidRDefault="005366A8" w:rsidP="005366A8">
      <w:pPr>
        <w:spacing w:after="120"/>
        <w:rPr>
          <w:rFonts w:cs="David"/>
          <w:sz w:val="20"/>
          <w:szCs w:val="20"/>
          <w:rtl/>
        </w:rPr>
      </w:pPr>
      <w:r w:rsidRPr="007B3EAE">
        <w:rPr>
          <w:rFonts w:ascii="Arial" w:hAnsi="Arial" w:cs="Arial"/>
          <w:sz w:val="20"/>
          <w:szCs w:val="20"/>
          <w:rtl/>
        </w:rPr>
        <w:t xml:space="preserve">ביחס </w:t>
      </w:r>
      <w:r w:rsidRPr="007B3EAE">
        <w:rPr>
          <w:rFonts w:ascii="Arial" w:hAnsi="Arial" w:cs="Arial"/>
          <w:b/>
          <w:bCs/>
          <w:sz w:val="20"/>
          <w:szCs w:val="20"/>
          <w:rtl/>
        </w:rPr>
        <w:t>ללבנת</w:t>
      </w:r>
      <w:r w:rsidRPr="007B3EAE">
        <w:rPr>
          <w:rFonts w:ascii="Arial" w:hAnsi="Arial" w:cs="Arial"/>
          <w:sz w:val="20"/>
          <w:szCs w:val="20"/>
          <w:rtl/>
        </w:rPr>
        <w:t xml:space="preserve"> אנא נסו להבין את </w:t>
      </w:r>
      <w:r w:rsidRPr="007B3EAE">
        <w:rPr>
          <w:rFonts w:ascii="Arial" w:hAnsi="Arial" w:cs="Arial"/>
          <w:b/>
          <w:bCs/>
          <w:sz w:val="20"/>
          <w:szCs w:val="20"/>
          <w:rtl/>
        </w:rPr>
        <w:t>המבחן שדרכו בוחן בית המשפט את ההצדקה להתערבותו "בהליכים פנימיים" של הכנסת</w:t>
      </w:r>
      <w:r w:rsidRPr="007B3EAE">
        <w:rPr>
          <w:rFonts w:ascii="Arial" w:hAnsi="Arial" w:cs="Arial"/>
          <w:sz w:val="20"/>
          <w:szCs w:val="20"/>
          <w:rtl/>
        </w:rPr>
        <w:t xml:space="preserve">. באמצעות פס"ד </w:t>
      </w:r>
      <w:r w:rsidRPr="007B3EAE">
        <w:rPr>
          <w:rFonts w:ascii="Arial" w:hAnsi="Arial" w:cs="Arial"/>
          <w:b/>
          <w:bCs/>
          <w:sz w:val="20"/>
          <w:szCs w:val="20"/>
          <w:rtl/>
        </w:rPr>
        <w:t>ארגון מגדלי העופות</w:t>
      </w:r>
      <w:r w:rsidRPr="007B3EAE">
        <w:rPr>
          <w:rFonts w:ascii="Arial" w:hAnsi="Arial" w:cs="Arial"/>
          <w:sz w:val="20"/>
          <w:szCs w:val="20"/>
          <w:rtl/>
        </w:rPr>
        <w:t xml:space="preserve"> חשבו על השאלה </w:t>
      </w:r>
      <w:r w:rsidRPr="007B3EAE">
        <w:rPr>
          <w:rFonts w:ascii="Arial" w:hAnsi="Arial" w:cs="Arial"/>
          <w:b/>
          <w:bCs/>
          <w:sz w:val="20"/>
          <w:szCs w:val="20"/>
          <w:rtl/>
        </w:rPr>
        <w:t xml:space="preserve">מתי ייפסל </w:t>
      </w:r>
      <w:r w:rsidRPr="007B3EAE">
        <w:rPr>
          <w:rFonts w:ascii="Arial" w:hAnsi="Arial" w:cs="Arial"/>
          <w:b/>
          <w:bCs/>
          <w:i/>
          <w:iCs/>
          <w:sz w:val="20"/>
          <w:szCs w:val="20"/>
          <w:rtl/>
        </w:rPr>
        <w:t xml:space="preserve">חוק </w:t>
      </w:r>
      <w:r w:rsidRPr="007B3EAE">
        <w:rPr>
          <w:rFonts w:ascii="Arial" w:hAnsi="Arial" w:cs="Arial"/>
          <w:b/>
          <w:bCs/>
          <w:sz w:val="20"/>
          <w:szCs w:val="20"/>
          <w:rtl/>
        </w:rPr>
        <w:t xml:space="preserve">מחמת פגמים </w:t>
      </w:r>
      <w:r w:rsidRPr="00CC10F7">
        <w:rPr>
          <w:rFonts w:ascii="Arial" w:hAnsi="Arial" w:cs="Arial"/>
          <w:b/>
          <w:bCs/>
          <w:i/>
          <w:iCs/>
          <w:sz w:val="20"/>
          <w:szCs w:val="20"/>
          <w:rtl/>
        </w:rPr>
        <w:t>בפרוצדורה שבה התקבל</w:t>
      </w:r>
      <w:r>
        <w:rPr>
          <w:rFonts w:ascii="Arial" w:hAnsi="Arial" w:cs="Arial" w:hint="cs"/>
          <w:b/>
          <w:bCs/>
          <w:sz w:val="20"/>
          <w:szCs w:val="20"/>
          <w:rtl/>
        </w:rPr>
        <w:t>?</w:t>
      </w:r>
    </w:p>
    <w:p w:rsidR="005366A8" w:rsidRDefault="005366A8" w:rsidP="005366A8">
      <w:pPr>
        <w:rPr>
          <w:rFonts w:cs="David"/>
          <w:sz w:val="20"/>
          <w:szCs w:val="20"/>
          <w:rtl/>
        </w:rPr>
      </w:pPr>
    </w:p>
    <w:p w:rsidR="005366A8" w:rsidRDefault="005366A8">
      <w:pPr>
        <w:bidi w:val="0"/>
        <w:jc w:val="left"/>
        <w:rPr>
          <w:sz w:val="22"/>
          <w:szCs w:val="22"/>
          <w:rtl/>
        </w:rPr>
      </w:pPr>
      <w:r>
        <w:rPr>
          <w:sz w:val="22"/>
          <w:szCs w:val="22"/>
          <w:rtl/>
        </w:rPr>
        <w:br w:type="page"/>
      </w:r>
    </w:p>
    <w:p w:rsidR="005366A8" w:rsidRPr="00CA4835" w:rsidRDefault="005366A8" w:rsidP="005366A8">
      <w:pPr>
        <w:spacing w:after="240"/>
        <w:jc w:val="right"/>
        <w:rPr>
          <w:rFonts w:ascii="Arial" w:hAnsi="Arial" w:cs="Arial"/>
          <w:b/>
          <w:bCs/>
          <w:sz w:val="22"/>
          <w:szCs w:val="22"/>
          <w:rtl/>
        </w:rPr>
      </w:pPr>
      <w:r w:rsidRPr="00CA4835">
        <w:rPr>
          <w:rFonts w:hint="cs"/>
          <w:b/>
          <w:bCs/>
          <w:sz w:val="22"/>
          <w:szCs w:val="22"/>
          <w:rtl/>
        </w:rPr>
        <w:t>משפט ציבורי</w:t>
      </w:r>
      <w:r w:rsidRPr="00CA4835">
        <w:rPr>
          <w:rFonts w:hint="cs"/>
          <w:sz w:val="22"/>
          <w:szCs w:val="22"/>
          <w:rtl/>
        </w:rPr>
        <w:t xml:space="preserve">, </w:t>
      </w:r>
      <w:r w:rsidRPr="00CA4835">
        <w:rPr>
          <w:rFonts w:hint="cs"/>
          <w:i/>
          <w:iCs/>
          <w:sz w:val="22"/>
          <w:szCs w:val="22"/>
          <w:rtl/>
        </w:rPr>
        <w:t>תשע</w:t>
      </w:r>
      <w:r>
        <w:rPr>
          <w:rFonts w:hint="cs"/>
          <w:i/>
          <w:iCs/>
          <w:sz w:val="22"/>
          <w:szCs w:val="22"/>
          <w:rtl/>
        </w:rPr>
        <w:t>"ה</w:t>
      </w:r>
      <w:r w:rsidRPr="00CA4835">
        <w:rPr>
          <w:rFonts w:hint="cs"/>
          <w:sz w:val="22"/>
          <w:szCs w:val="22"/>
          <w:rtl/>
        </w:rPr>
        <w:t xml:space="preserve">, </w:t>
      </w:r>
      <w:r w:rsidRPr="00CA4835">
        <w:rPr>
          <w:rFonts w:hint="cs"/>
          <w:b/>
          <w:bCs/>
          <w:sz w:val="22"/>
          <w:szCs w:val="22"/>
          <w:rtl/>
        </w:rPr>
        <w:t>סמסטר א',</w:t>
      </w:r>
      <w:r w:rsidRPr="00CA4835">
        <w:rPr>
          <w:rFonts w:hint="cs"/>
          <w:sz w:val="22"/>
          <w:szCs w:val="22"/>
          <w:rtl/>
        </w:rPr>
        <w:t xml:space="preserve"> ד"ר אילן סבן, </w:t>
      </w:r>
      <w:r>
        <w:rPr>
          <w:rFonts w:hint="cs"/>
          <w:sz w:val="22"/>
          <w:szCs w:val="22"/>
          <w:rtl/>
        </w:rPr>
        <w:t>ינואר</w:t>
      </w:r>
      <w:r w:rsidRPr="00CA4835">
        <w:rPr>
          <w:rFonts w:hint="cs"/>
          <w:sz w:val="22"/>
          <w:szCs w:val="22"/>
          <w:rtl/>
        </w:rPr>
        <w:t xml:space="preserve"> 201</w:t>
      </w:r>
      <w:r>
        <w:rPr>
          <w:rFonts w:hint="cs"/>
          <w:sz w:val="22"/>
          <w:szCs w:val="22"/>
          <w:rtl/>
        </w:rPr>
        <w:t>5</w:t>
      </w:r>
      <w:r w:rsidRPr="00CA4835">
        <w:rPr>
          <w:rFonts w:hint="cs"/>
          <w:sz w:val="22"/>
          <w:szCs w:val="22"/>
          <w:rtl/>
        </w:rPr>
        <w:t xml:space="preserve">, </w:t>
      </w:r>
      <w:r w:rsidRPr="005366A8">
        <w:rPr>
          <w:rFonts w:hint="cs"/>
          <w:b/>
          <w:bCs/>
          <w:i/>
          <w:iCs/>
          <w:sz w:val="22"/>
          <w:szCs w:val="22"/>
          <w:highlight w:val="magenta"/>
          <w:u w:val="single"/>
          <w:rtl/>
        </w:rPr>
        <w:t>פגישה 19</w:t>
      </w:r>
    </w:p>
    <w:p w:rsidR="005366A8" w:rsidRPr="0029160C" w:rsidRDefault="005366A8" w:rsidP="005366A8">
      <w:pPr>
        <w:spacing w:after="120"/>
        <w:jc w:val="center"/>
        <w:rPr>
          <w:rFonts w:cs="Guttman-Soncino"/>
          <w:b/>
          <w:bCs/>
          <w:sz w:val="28"/>
          <w:szCs w:val="28"/>
          <w:rtl/>
        </w:rPr>
      </w:pPr>
      <w:r w:rsidRPr="0029160C">
        <w:rPr>
          <w:rFonts w:cs="Guttman-Soncino" w:hint="cs"/>
          <w:b/>
          <w:bCs/>
          <w:sz w:val="28"/>
          <w:szCs w:val="28"/>
          <w:highlight w:val="yellow"/>
          <w:rtl/>
        </w:rPr>
        <w:t>סיכום ביניים קצר של מה שעשינו עד עתה</w:t>
      </w:r>
      <w:r>
        <w:rPr>
          <w:rFonts w:cs="Guttman-Soncino" w:hint="cs"/>
          <w:b/>
          <w:bCs/>
          <w:sz w:val="28"/>
          <w:szCs w:val="28"/>
          <w:highlight w:val="yellow"/>
          <w:rtl/>
        </w:rPr>
        <w:t>,</w:t>
      </w:r>
      <w:r w:rsidRPr="0029160C">
        <w:rPr>
          <w:rFonts w:cs="Guttman-Soncino" w:hint="cs"/>
          <w:b/>
          <w:bCs/>
          <w:sz w:val="28"/>
          <w:szCs w:val="28"/>
          <w:highlight w:val="yellow"/>
          <w:rtl/>
        </w:rPr>
        <w:t xml:space="preserve"> ו</w:t>
      </w:r>
      <w:r>
        <w:rPr>
          <w:rFonts w:cs="Guttman-Soncino" w:hint="cs"/>
          <w:b/>
          <w:bCs/>
          <w:sz w:val="28"/>
          <w:szCs w:val="28"/>
          <w:highlight w:val="yellow"/>
          <w:rtl/>
        </w:rPr>
        <w:t>של היסודות המשפטיים המרכזיים ש</w:t>
      </w:r>
      <w:r w:rsidRPr="0029160C">
        <w:rPr>
          <w:rFonts w:cs="Guttman-Soncino" w:hint="cs"/>
          <w:b/>
          <w:bCs/>
          <w:sz w:val="28"/>
          <w:szCs w:val="28"/>
          <w:highlight w:val="yellow"/>
          <w:rtl/>
        </w:rPr>
        <w:t>פגשנו</w:t>
      </w:r>
    </w:p>
    <w:p w:rsidR="005366A8" w:rsidRDefault="005366A8" w:rsidP="005366A8">
      <w:pPr>
        <w:spacing w:after="120"/>
        <w:rPr>
          <w:sz w:val="22"/>
          <w:szCs w:val="22"/>
          <w:rtl/>
        </w:rPr>
      </w:pPr>
      <w:r>
        <w:rPr>
          <w:rFonts w:hint="cs"/>
          <w:sz w:val="22"/>
          <w:szCs w:val="22"/>
          <w:rtl/>
        </w:rPr>
        <w:t xml:space="preserve">בתחילת הקורס עסקנו במימדים משפטיים ובמימדים ערכיים הנלווים לזיהוי העצמי של החברה הישראלית: זיהויה </w:t>
      </w:r>
      <w:r w:rsidRPr="00B17931">
        <w:rPr>
          <w:rFonts w:hint="cs"/>
          <w:b/>
          <w:bCs/>
          <w:sz w:val="22"/>
          <w:szCs w:val="22"/>
          <w:rtl/>
        </w:rPr>
        <w:t>כדמוקרטיה</w:t>
      </w:r>
      <w:r>
        <w:rPr>
          <w:rFonts w:hint="cs"/>
          <w:b/>
          <w:bCs/>
          <w:sz w:val="22"/>
          <w:szCs w:val="22"/>
          <w:rtl/>
        </w:rPr>
        <w:t xml:space="preserve"> וכמדינה יהודית:</w:t>
      </w:r>
      <w:r w:rsidRPr="00B17931">
        <w:rPr>
          <w:rFonts w:hint="cs"/>
          <w:b/>
          <w:bCs/>
          <w:sz w:val="22"/>
          <w:szCs w:val="22"/>
          <w:rtl/>
        </w:rPr>
        <w:t xml:space="preserve"> </w:t>
      </w:r>
      <w:r>
        <w:rPr>
          <w:rFonts w:hint="cs"/>
          <w:b/>
          <w:bCs/>
          <w:sz w:val="22"/>
          <w:szCs w:val="22"/>
          <w:rtl/>
        </w:rPr>
        <w:t>"</w:t>
      </w:r>
      <w:r w:rsidRPr="00B17931">
        <w:rPr>
          <w:rFonts w:hint="cs"/>
          <w:b/>
          <w:bCs/>
          <w:sz w:val="22"/>
          <w:szCs w:val="22"/>
          <w:rtl/>
        </w:rPr>
        <w:t>מדינה יהודית ודמוקרטית</w:t>
      </w:r>
      <w:r>
        <w:rPr>
          <w:rFonts w:hint="cs"/>
          <w:sz w:val="22"/>
          <w:szCs w:val="22"/>
          <w:rtl/>
        </w:rPr>
        <w:t xml:space="preserve">". </w:t>
      </w:r>
    </w:p>
    <w:p w:rsidR="005366A8" w:rsidRDefault="005366A8" w:rsidP="005366A8">
      <w:pPr>
        <w:spacing w:after="60"/>
        <w:rPr>
          <w:sz w:val="22"/>
          <w:szCs w:val="22"/>
          <w:rtl/>
        </w:rPr>
      </w:pPr>
      <w:r>
        <w:rPr>
          <w:rFonts w:hint="cs"/>
          <w:sz w:val="22"/>
          <w:szCs w:val="22"/>
          <w:rtl/>
        </w:rPr>
        <w:t>עסקנו בצירים המרכזיים האלו של מהותה של ישראל דרך התפתחותם ההיסטורית. טיפלנו באופן שהם מוצאים ביטוי ב</w:t>
      </w:r>
      <w:r w:rsidRPr="00386ADF">
        <w:rPr>
          <w:rFonts w:hint="cs"/>
          <w:b/>
          <w:bCs/>
          <w:sz w:val="22"/>
          <w:szCs w:val="22"/>
          <w:highlight w:val="yellow"/>
          <w:rtl/>
        </w:rPr>
        <w:t>"חוקה המהותית"</w:t>
      </w:r>
      <w:r w:rsidRPr="00386ADF">
        <w:rPr>
          <w:rFonts w:hint="cs"/>
          <w:sz w:val="22"/>
          <w:szCs w:val="22"/>
          <w:highlight w:val="yellow"/>
          <w:rtl/>
        </w:rPr>
        <w:t xml:space="preserve"> של ישראל</w:t>
      </w:r>
      <w:r>
        <w:rPr>
          <w:rFonts w:hint="cs"/>
          <w:sz w:val="22"/>
          <w:szCs w:val="22"/>
          <w:rtl/>
        </w:rPr>
        <w:t>.</w:t>
      </w:r>
    </w:p>
    <w:p w:rsidR="005366A8" w:rsidRDefault="005366A8" w:rsidP="005366A8">
      <w:pPr>
        <w:spacing w:after="60"/>
        <w:ind w:left="720"/>
        <w:rPr>
          <w:sz w:val="22"/>
          <w:szCs w:val="22"/>
          <w:rtl/>
        </w:rPr>
      </w:pPr>
      <w:r>
        <w:rPr>
          <w:rFonts w:hint="cs"/>
          <w:sz w:val="22"/>
          <w:szCs w:val="22"/>
          <w:rtl/>
        </w:rPr>
        <w:t xml:space="preserve">^ מקור מרכזי (אך בהחלט לא בלעדי) לזיהוי תכניה של החוקה המהותית הוא </w:t>
      </w:r>
      <w:r w:rsidRPr="00B05223">
        <w:rPr>
          <w:rFonts w:hint="cs"/>
          <w:b/>
          <w:bCs/>
          <w:sz w:val="22"/>
          <w:szCs w:val="22"/>
          <w:rtl/>
        </w:rPr>
        <w:t>מגילת העצמאות</w:t>
      </w:r>
      <w:r>
        <w:rPr>
          <w:rFonts w:hint="cs"/>
          <w:sz w:val="22"/>
          <w:szCs w:val="22"/>
          <w:rtl/>
        </w:rPr>
        <w:t>.</w:t>
      </w:r>
    </w:p>
    <w:p w:rsidR="005366A8" w:rsidRDefault="005366A8" w:rsidP="005366A8">
      <w:pPr>
        <w:spacing w:after="60"/>
        <w:ind w:left="720"/>
        <w:rPr>
          <w:sz w:val="22"/>
          <w:szCs w:val="22"/>
          <w:rtl/>
        </w:rPr>
      </w:pPr>
      <w:r>
        <w:rPr>
          <w:rFonts w:hint="cs"/>
          <w:b/>
          <w:bCs/>
          <w:sz w:val="22"/>
          <w:szCs w:val="22"/>
          <w:rtl/>
        </w:rPr>
        <w:t xml:space="preserve">^ </w:t>
      </w:r>
      <w:r w:rsidRPr="00B05223">
        <w:rPr>
          <w:rFonts w:hint="cs"/>
          <w:b/>
          <w:bCs/>
          <w:sz w:val="22"/>
          <w:szCs w:val="22"/>
          <w:rtl/>
        </w:rPr>
        <w:t>החוקה המהותית</w:t>
      </w:r>
      <w:r>
        <w:rPr>
          <w:rFonts w:hint="cs"/>
          <w:sz w:val="22"/>
          <w:szCs w:val="22"/>
          <w:rtl/>
        </w:rPr>
        <w:t xml:space="preserve"> היא זו שמזינה את </w:t>
      </w:r>
      <w:r w:rsidRPr="00B05223">
        <w:rPr>
          <w:rFonts w:hint="cs"/>
          <w:b/>
          <w:bCs/>
          <w:sz w:val="22"/>
          <w:szCs w:val="22"/>
          <w:rtl/>
        </w:rPr>
        <w:t>"המשפט המקובל נוסח ישראל"</w:t>
      </w:r>
      <w:r>
        <w:rPr>
          <w:rFonts w:hint="cs"/>
          <w:sz w:val="22"/>
          <w:szCs w:val="22"/>
          <w:rtl/>
        </w:rPr>
        <w:t xml:space="preserve"> (נורמות תוצרי פסיקתו של בית המשפט); משפיעה עמוקות על </w:t>
      </w:r>
      <w:r w:rsidRPr="00B05223">
        <w:rPr>
          <w:rFonts w:hint="cs"/>
          <w:b/>
          <w:bCs/>
          <w:sz w:val="22"/>
          <w:szCs w:val="22"/>
          <w:rtl/>
        </w:rPr>
        <w:t>"הפרשנות התכליתית"</w:t>
      </w:r>
      <w:r>
        <w:rPr>
          <w:rFonts w:hint="cs"/>
          <w:sz w:val="22"/>
          <w:szCs w:val="22"/>
          <w:rtl/>
        </w:rPr>
        <w:t xml:space="preserve"> הנוהגת במשפטנו; מהווה בסיס אפשרית </w:t>
      </w:r>
      <w:r w:rsidRPr="00B05223">
        <w:rPr>
          <w:rFonts w:hint="cs"/>
          <w:b/>
          <w:bCs/>
          <w:sz w:val="22"/>
          <w:szCs w:val="22"/>
          <w:rtl/>
        </w:rPr>
        <w:t>ל"ביקורת שיפוטית מטא-טקסטואלית"</w:t>
      </w:r>
      <w:r>
        <w:rPr>
          <w:rFonts w:hint="cs"/>
          <w:sz w:val="22"/>
          <w:szCs w:val="22"/>
          <w:rtl/>
        </w:rPr>
        <w:t xml:space="preserve"> (ובתוך כך, דוקטרינת </w:t>
      </w:r>
      <w:r w:rsidRPr="00B05223">
        <w:rPr>
          <w:rFonts w:hint="cs"/>
          <w:b/>
          <w:bCs/>
          <w:sz w:val="22"/>
          <w:szCs w:val="22"/>
          <w:rtl/>
        </w:rPr>
        <w:t>"התיקון החוקתי שאינו חוקתי"</w:t>
      </w:r>
      <w:r>
        <w:rPr>
          <w:rFonts w:hint="cs"/>
          <w:sz w:val="22"/>
          <w:szCs w:val="22"/>
          <w:rtl/>
        </w:rPr>
        <w:t xml:space="preserve">) ועוד. </w:t>
      </w:r>
    </w:p>
    <w:p w:rsidR="005366A8" w:rsidRDefault="005366A8" w:rsidP="005366A8">
      <w:pPr>
        <w:spacing w:after="120"/>
        <w:ind w:left="720"/>
        <w:rPr>
          <w:sz w:val="22"/>
          <w:szCs w:val="22"/>
          <w:rtl/>
        </w:rPr>
      </w:pPr>
      <w:r>
        <w:rPr>
          <w:rFonts w:hint="cs"/>
          <w:sz w:val="22"/>
          <w:szCs w:val="22"/>
          <w:rtl/>
        </w:rPr>
        <w:t xml:space="preserve">^ פגשנו כאן את </w:t>
      </w:r>
      <w:r w:rsidRPr="00B05223">
        <w:rPr>
          <w:rFonts w:hint="cs"/>
          <w:b/>
          <w:bCs/>
          <w:sz w:val="22"/>
          <w:szCs w:val="22"/>
          <w:rtl/>
        </w:rPr>
        <w:t>זכויות האדם, את שלטון החוק, את הפרדת הרשויות, את הרשות כ"נאמן של הציבור"</w:t>
      </w:r>
      <w:r>
        <w:rPr>
          <w:rFonts w:hint="cs"/>
          <w:sz w:val="22"/>
          <w:szCs w:val="22"/>
          <w:rtl/>
        </w:rPr>
        <w:t xml:space="preserve"> ועוד.</w:t>
      </w:r>
    </w:p>
    <w:p w:rsidR="005366A8" w:rsidRDefault="005366A8" w:rsidP="005366A8">
      <w:pPr>
        <w:spacing w:after="60"/>
        <w:rPr>
          <w:sz w:val="22"/>
          <w:szCs w:val="22"/>
          <w:rtl/>
        </w:rPr>
      </w:pPr>
      <w:r>
        <w:rPr>
          <w:rFonts w:hint="cs"/>
          <w:sz w:val="22"/>
          <w:szCs w:val="22"/>
          <w:rtl/>
        </w:rPr>
        <w:t xml:space="preserve">חלק חשוב מהחוקה המהותית שלנו קרם עור וגידים לכלל </w:t>
      </w:r>
      <w:r w:rsidRPr="00386ADF">
        <w:rPr>
          <w:rFonts w:hint="cs"/>
          <w:b/>
          <w:bCs/>
          <w:sz w:val="22"/>
          <w:szCs w:val="22"/>
          <w:highlight w:val="yellow"/>
          <w:rtl/>
        </w:rPr>
        <w:t>"חוקה פורמאלית"</w:t>
      </w:r>
      <w:r>
        <w:rPr>
          <w:rFonts w:hint="cs"/>
          <w:sz w:val="22"/>
          <w:szCs w:val="22"/>
          <w:rtl/>
        </w:rPr>
        <w:t xml:space="preserve"> </w:t>
      </w:r>
      <w:r w:rsidRPr="00386ADF">
        <w:rPr>
          <w:rFonts w:hint="cs"/>
          <w:sz w:val="22"/>
          <w:szCs w:val="22"/>
          <w:highlight w:val="yellow"/>
          <w:rtl/>
        </w:rPr>
        <w:t>(גם אם זו חוקה חלקית, וחוקה המוגנת באופן חלש בלבד)</w:t>
      </w:r>
      <w:r>
        <w:rPr>
          <w:rFonts w:hint="cs"/>
          <w:sz w:val="22"/>
          <w:szCs w:val="22"/>
          <w:rtl/>
        </w:rPr>
        <w:t xml:space="preserve">, זו ההתפתחות המכונה "המהפכה החוקתית" והמתרחשת בשנות ה-90. </w:t>
      </w:r>
    </w:p>
    <w:p w:rsidR="005366A8" w:rsidRDefault="005366A8" w:rsidP="005366A8">
      <w:pPr>
        <w:spacing w:after="60"/>
        <w:ind w:left="720"/>
        <w:rPr>
          <w:sz w:val="22"/>
          <w:szCs w:val="22"/>
          <w:rtl/>
        </w:rPr>
      </w:pPr>
      <w:r>
        <w:rPr>
          <w:rFonts w:hint="cs"/>
          <w:sz w:val="22"/>
          <w:szCs w:val="22"/>
          <w:rtl/>
        </w:rPr>
        <w:t xml:space="preserve">החוקה הפורמאלית היא </w:t>
      </w:r>
      <w:r w:rsidRPr="00B05223">
        <w:rPr>
          <w:rFonts w:hint="cs"/>
          <w:b/>
          <w:bCs/>
          <w:sz w:val="22"/>
          <w:szCs w:val="22"/>
          <w:rtl/>
        </w:rPr>
        <w:t>חוקי היסוד</w:t>
      </w:r>
      <w:r>
        <w:rPr>
          <w:rFonts w:hint="cs"/>
          <w:sz w:val="22"/>
          <w:szCs w:val="22"/>
          <w:rtl/>
        </w:rPr>
        <w:t xml:space="preserve"> שלנו, המכוננים (ועוברים תיקונים) על ידי הכנסת בלובשה את "כובעה המכונן". </w:t>
      </w:r>
    </w:p>
    <w:p w:rsidR="005366A8" w:rsidRDefault="005366A8" w:rsidP="005366A8">
      <w:pPr>
        <w:spacing w:after="60"/>
        <w:ind w:left="720"/>
        <w:rPr>
          <w:sz w:val="22"/>
          <w:szCs w:val="22"/>
          <w:rtl/>
        </w:rPr>
      </w:pPr>
      <w:r>
        <w:rPr>
          <w:rFonts w:hint="cs"/>
          <w:sz w:val="22"/>
          <w:szCs w:val="22"/>
          <w:rtl/>
        </w:rPr>
        <w:t xml:space="preserve">עסקנו בויכוח (שהוכרע) בדבר קיומה של </w:t>
      </w:r>
      <w:r w:rsidRPr="00CB3E86">
        <w:rPr>
          <w:rFonts w:hint="cs"/>
          <w:b/>
          <w:bCs/>
          <w:sz w:val="22"/>
          <w:szCs w:val="22"/>
          <w:rtl/>
        </w:rPr>
        <w:t>סמכות לכונן חוקה (עליונות + אפשרות שיריון);</w:t>
      </w:r>
      <w:r>
        <w:rPr>
          <w:rFonts w:hint="cs"/>
          <w:sz w:val="22"/>
          <w:szCs w:val="22"/>
          <w:rtl/>
        </w:rPr>
        <w:t xml:space="preserve"> </w:t>
      </w:r>
    </w:p>
    <w:p w:rsidR="005366A8" w:rsidRDefault="005366A8" w:rsidP="005366A8">
      <w:pPr>
        <w:spacing w:after="60"/>
        <w:ind w:left="720"/>
        <w:rPr>
          <w:sz w:val="22"/>
          <w:szCs w:val="22"/>
          <w:rtl/>
        </w:rPr>
      </w:pPr>
      <w:r>
        <w:rPr>
          <w:rFonts w:hint="cs"/>
          <w:sz w:val="22"/>
          <w:szCs w:val="22"/>
          <w:rtl/>
        </w:rPr>
        <w:t xml:space="preserve">דנו </w:t>
      </w:r>
      <w:r w:rsidRPr="00CB3E86">
        <w:rPr>
          <w:rFonts w:hint="cs"/>
          <w:b/>
          <w:bCs/>
          <w:sz w:val="22"/>
          <w:szCs w:val="22"/>
          <w:rtl/>
        </w:rPr>
        <w:t>במתקלים</w:t>
      </w:r>
      <w:r>
        <w:rPr>
          <w:rFonts w:hint="cs"/>
          <w:sz w:val="22"/>
          <w:szCs w:val="22"/>
          <w:rtl/>
        </w:rPr>
        <w:t xml:space="preserve"> שונים בין נורמות שונות, במיקומים שונים בפירמידה הנורמטיבית;</w:t>
      </w:r>
    </w:p>
    <w:p w:rsidR="005366A8" w:rsidRDefault="005366A8" w:rsidP="005366A8">
      <w:pPr>
        <w:spacing w:after="60"/>
        <w:ind w:left="720"/>
        <w:rPr>
          <w:sz w:val="22"/>
          <w:szCs w:val="22"/>
          <w:rtl/>
        </w:rPr>
      </w:pPr>
      <w:r>
        <w:rPr>
          <w:rFonts w:hint="cs"/>
          <w:sz w:val="22"/>
          <w:szCs w:val="22"/>
          <w:rtl/>
        </w:rPr>
        <w:t xml:space="preserve">דנו במרכיב מרכזי של חוקי היסוד: </w:t>
      </w:r>
      <w:r w:rsidRPr="00B05223">
        <w:rPr>
          <w:rFonts w:hint="cs"/>
          <w:b/>
          <w:bCs/>
          <w:sz w:val="22"/>
          <w:szCs w:val="22"/>
          <w:rtl/>
        </w:rPr>
        <w:t>"פסקת ההגבלה"</w:t>
      </w:r>
      <w:r>
        <w:rPr>
          <w:rFonts w:hint="cs"/>
          <w:sz w:val="22"/>
          <w:szCs w:val="22"/>
          <w:rtl/>
        </w:rPr>
        <w:t xml:space="preserve">, על מרכיביה השונים (וכן "בפסקת ההגבלה השיפוטית"/ האנלוגית); </w:t>
      </w:r>
    </w:p>
    <w:p w:rsidR="005366A8" w:rsidRDefault="005366A8" w:rsidP="005366A8">
      <w:pPr>
        <w:spacing w:after="60"/>
        <w:ind w:left="720"/>
        <w:rPr>
          <w:sz w:val="22"/>
          <w:szCs w:val="22"/>
          <w:rtl/>
        </w:rPr>
      </w:pPr>
      <w:r>
        <w:rPr>
          <w:rFonts w:hint="cs"/>
          <w:sz w:val="22"/>
          <w:szCs w:val="22"/>
          <w:rtl/>
        </w:rPr>
        <w:t xml:space="preserve">דנו </w:t>
      </w:r>
      <w:r w:rsidRPr="00CB3E86">
        <w:rPr>
          <w:rFonts w:hint="cs"/>
          <w:b/>
          <w:bCs/>
          <w:sz w:val="22"/>
          <w:szCs w:val="22"/>
          <w:rtl/>
        </w:rPr>
        <w:t>ב"פסקת ההתגברות"</w:t>
      </w:r>
      <w:r>
        <w:rPr>
          <w:rFonts w:hint="cs"/>
          <w:sz w:val="22"/>
          <w:szCs w:val="22"/>
          <w:rtl/>
        </w:rPr>
        <w:t xml:space="preserve"> שבחוק יסוד: חופש העיסוק ונגענו קצת גם </w:t>
      </w:r>
      <w:r w:rsidRPr="00CB3E86">
        <w:rPr>
          <w:rFonts w:hint="cs"/>
          <w:b/>
          <w:bCs/>
          <w:sz w:val="22"/>
          <w:szCs w:val="22"/>
          <w:rtl/>
        </w:rPr>
        <w:t>ב"פסקת שמירת הדינים"</w:t>
      </w:r>
      <w:r>
        <w:rPr>
          <w:rFonts w:hint="cs"/>
          <w:sz w:val="22"/>
          <w:szCs w:val="22"/>
          <w:rtl/>
        </w:rPr>
        <w:t xml:space="preserve"> שבחוק יסוד: כבוד האדם וחירותו;</w:t>
      </w:r>
    </w:p>
    <w:p w:rsidR="005366A8" w:rsidRDefault="005366A8" w:rsidP="005366A8">
      <w:pPr>
        <w:spacing w:after="60"/>
        <w:ind w:left="1440" w:hanging="720"/>
        <w:rPr>
          <w:sz w:val="22"/>
          <w:szCs w:val="22"/>
          <w:rtl/>
        </w:rPr>
      </w:pPr>
      <w:r>
        <w:rPr>
          <w:rFonts w:hint="cs"/>
          <w:sz w:val="22"/>
          <w:szCs w:val="22"/>
          <w:rtl/>
        </w:rPr>
        <w:t xml:space="preserve">ועסקנו בדוגמאות שונות להפעלת "ביקורת שיפוטית חוקתית" על תוקפו של חוק, ובהפעלת ביקורת שיפוטית על נורמות הפחותות מחוק. </w:t>
      </w:r>
    </w:p>
    <w:p w:rsidR="005366A8" w:rsidRDefault="005366A8" w:rsidP="005366A8">
      <w:pPr>
        <w:spacing w:after="60"/>
        <w:ind w:left="1440" w:hanging="720"/>
        <w:rPr>
          <w:sz w:val="22"/>
          <w:szCs w:val="22"/>
          <w:rtl/>
        </w:rPr>
      </w:pPr>
      <w:r>
        <w:rPr>
          <w:rFonts w:hint="cs"/>
          <w:sz w:val="22"/>
          <w:szCs w:val="22"/>
          <w:rtl/>
        </w:rPr>
        <w:t>דיברנו גם ביתרונות ובחסרונות של חוקה – פעם בהקשר כללי-עקרוני ופעם בהקשרה הקונקרטי של ישראל (והמשטר החוקתי הספציפי שהתגבש בה בהווה).</w:t>
      </w:r>
    </w:p>
    <w:p w:rsidR="005366A8" w:rsidRDefault="005366A8" w:rsidP="005366A8">
      <w:pPr>
        <w:spacing w:after="120"/>
        <w:ind w:left="720"/>
        <w:rPr>
          <w:sz w:val="22"/>
          <w:szCs w:val="22"/>
          <w:rtl/>
        </w:rPr>
      </w:pPr>
      <w:r>
        <w:rPr>
          <w:rFonts w:hint="cs"/>
          <w:sz w:val="22"/>
          <w:szCs w:val="22"/>
          <w:rtl/>
        </w:rPr>
        <w:t xml:space="preserve">בכך עסקנו במימדים שונים שלנו </w:t>
      </w:r>
      <w:r w:rsidRPr="00386ADF">
        <w:rPr>
          <w:rFonts w:hint="cs"/>
          <w:sz w:val="22"/>
          <w:szCs w:val="22"/>
          <w:highlight w:val="yellow"/>
          <w:rtl/>
        </w:rPr>
        <w:t>כ</w:t>
      </w:r>
      <w:r w:rsidRPr="00386ADF">
        <w:rPr>
          <w:rFonts w:hint="cs"/>
          <w:b/>
          <w:bCs/>
          <w:sz w:val="22"/>
          <w:szCs w:val="22"/>
          <w:highlight w:val="yellow"/>
          <w:rtl/>
        </w:rPr>
        <w:t>"דמוקרטיה חוקתית"</w:t>
      </w:r>
      <w:r w:rsidRPr="00386ADF">
        <w:rPr>
          <w:rFonts w:hint="cs"/>
          <w:sz w:val="22"/>
          <w:szCs w:val="22"/>
          <w:highlight w:val="yellow"/>
          <w:rtl/>
        </w:rPr>
        <w:t>.</w:t>
      </w:r>
    </w:p>
    <w:p w:rsidR="005366A8" w:rsidRDefault="005366A8" w:rsidP="005366A8">
      <w:pPr>
        <w:spacing w:after="60"/>
        <w:rPr>
          <w:sz w:val="22"/>
          <w:szCs w:val="22"/>
          <w:rtl/>
        </w:rPr>
      </w:pPr>
      <w:r>
        <w:rPr>
          <w:rFonts w:hint="cs"/>
          <w:sz w:val="22"/>
          <w:szCs w:val="22"/>
          <w:rtl/>
        </w:rPr>
        <w:t xml:space="preserve">עתה אנו עוברים לדון באופן מסודר ומפורט יותר </w:t>
      </w:r>
      <w:r w:rsidRPr="00386ADF">
        <w:rPr>
          <w:rFonts w:hint="cs"/>
          <w:sz w:val="22"/>
          <w:szCs w:val="22"/>
          <w:highlight w:val="yellow"/>
          <w:rtl/>
        </w:rPr>
        <w:t xml:space="preserve">במימדים </w:t>
      </w:r>
      <w:r>
        <w:rPr>
          <w:rFonts w:hint="cs"/>
          <w:sz w:val="22"/>
          <w:szCs w:val="22"/>
          <w:highlight w:val="yellow"/>
          <w:rtl/>
        </w:rPr>
        <w:t>נוספים של המשטר והמשפט שלנו. נתבונן מקרוב ב</w:t>
      </w:r>
      <w:r w:rsidRPr="00386ADF">
        <w:rPr>
          <w:rFonts w:hint="cs"/>
          <w:b/>
          <w:bCs/>
          <w:sz w:val="22"/>
          <w:szCs w:val="22"/>
          <w:highlight w:val="yellow"/>
          <w:rtl/>
        </w:rPr>
        <w:t>מוסדות השלטון המרכזיים</w:t>
      </w:r>
      <w:r>
        <w:rPr>
          <w:rFonts w:hint="cs"/>
          <w:sz w:val="22"/>
          <w:szCs w:val="22"/>
          <w:rtl/>
        </w:rPr>
        <w:t xml:space="preserve">. </w:t>
      </w:r>
    </w:p>
    <w:p w:rsidR="005366A8" w:rsidRDefault="005366A8" w:rsidP="005366A8">
      <w:pPr>
        <w:spacing w:after="60"/>
        <w:ind w:left="720"/>
        <w:rPr>
          <w:sz w:val="22"/>
          <w:szCs w:val="22"/>
          <w:rtl/>
        </w:rPr>
      </w:pPr>
      <w:r>
        <w:rPr>
          <w:rFonts w:hint="cs"/>
          <w:sz w:val="22"/>
          <w:szCs w:val="22"/>
          <w:rtl/>
        </w:rPr>
        <w:t>עסקנו ונמשיך לעסוק ב</w:t>
      </w:r>
      <w:r w:rsidRPr="00CB3E86">
        <w:rPr>
          <w:rFonts w:hint="cs"/>
          <w:b/>
          <w:bCs/>
          <w:sz w:val="22"/>
          <w:szCs w:val="22"/>
          <w:rtl/>
        </w:rPr>
        <w:t>רשות השופטת</w:t>
      </w:r>
      <w:r>
        <w:rPr>
          <w:rFonts w:hint="cs"/>
          <w:sz w:val="22"/>
          <w:szCs w:val="22"/>
          <w:rtl/>
        </w:rPr>
        <w:t>;</w:t>
      </w:r>
    </w:p>
    <w:p w:rsidR="005366A8" w:rsidRDefault="005366A8" w:rsidP="005366A8">
      <w:pPr>
        <w:spacing w:after="60"/>
        <w:ind w:left="720"/>
        <w:rPr>
          <w:sz w:val="22"/>
          <w:szCs w:val="22"/>
          <w:rtl/>
        </w:rPr>
      </w:pPr>
      <w:r>
        <w:rPr>
          <w:rFonts w:hint="cs"/>
          <w:sz w:val="22"/>
          <w:szCs w:val="22"/>
          <w:rtl/>
        </w:rPr>
        <w:t xml:space="preserve">בהמשך תהיה לכם פגישה עם המתרגלת מאיסאנה ביחס למוסד </w:t>
      </w:r>
      <w:r w:rsidRPr="00C05BC1">
        <w:rPr>
          <w:rFonts w:hint="cs"/>
          <w:b/>
          <w:bCs/>
          <w:sz w:val="22"/>
          <w:szCs w:val="22"/>
          <w:rtl/>
        </w:rPr>
        <w:t>היועץ המשפטי לממשלה</w:t>
      </w:r>
      <w:r>
        <w:rPr>
          <w:rFonts w:hint="cs"/>
          <w:sz w:val="22"/>
          <w:szCs w:val="22"/>
          <w:rtl/>
        </w:rPr>
        <w:t xml:space="preserve"> ואת מוסד היועץ המשפטי לכנסת.</w:t>
      </w:r>
    </w:p>
    <w:p w:rsidR="005366A8" w:rsidRDefault="005366A8" w:rsidP="005366A8">
      <w:pPr>
        <w:spacing w:after="60"/>
        <w:ind w:left="720"/>
        <w:rPr>
          <w:sz w:val="22"/>
          <w:szCs w:val="22"/>
          <w:rtl/>
        </w:rPr>
      </w:pPr>
      <w:r>
        <w:rPr>
          <w:rFonts w:hint="cs"/>
          <w:sz w:val="22"/>
          <w:szCs w:val="22"/>
          <w:rtl/>
        </w:rPr>
        <w:t xml:space="preserve">בפגישה הבאה נעסוק </w:t>
      </w:r>
      <w:r w:rsidRPr="00CB3E86">
        <w:rPr>
          <w:rFonts w:hint="cs"/>
          <w:b/>
          <w:bCs/>
          <w:sz w:val="22"/>
          <w:szCs w:val="22"/>
          <w:rtl/>
        </w:rPr>
        <w:t>בשלטון המרכזי</w:t>
      </w:r>
      <w:r>
        <w:rPr>
          <w:rFonts w:hint="cs"/>
          <w:sz w:val="22"/>
          <w:szCs w:val="22"/>
          <w:rtl/>
        </w:rPr>
        <w:t xml:space="preserve">, משמע, </w:t>
      </w:r>
      <w:r w:rsidRPr="00CB3E86">
        <w:rPr>
          <w:rFonts w:hint="cs"/>
          <w:b/>
          <w:bCs/>
          <w:sz w:val="22"/>
          <w:szCs w:val="22"/>
          <w:rtl/>
        </w:rPr>
        <w:t>בממשלה ובגופים הנלווים לה</w:t>
      </w:r>
      <w:r>
        <w:rPr>
          <w:rFonts w:hint="cs"/>
          <w:sz w:val="22"/>
          <w:szCs w:val="22"/>
          <w:rtl/>
        </w:rPr>
        <w:t>;</w:t>
      </w:r>
    </w:p>
    <w:p w:rsidR="005366A8" w:rsidRDefault="005366A8" w:rsidP="005366A8">
      <w:pPr>
        <w:spacing w:after="60"/>
        <w:ind w:left="720"/>
        <w:rPr>
          <w:sz w:val="22"/>
          <w:szCs w:val="22"/>
          <w:rtl/>
        </w:rPr>
      </w:pPr>
      <w:r>
        <w:rPr>
          <w:rFonts w:hint="cs"/>
          <w:sz w:val="22"/>
          <w:szCs w:val="22"/>
          <w:rtl/>
        </w:rPr>
        <w:t xml:space="preserve">ואחר כך (בתחילת סמסטר ב') נעסוק </w:t>
      </w:r>
      <w:r w:rsidRPr="00CB3E86">
        <w:rPr>
          <w:rFonts w:hint="cs"/>
          <w:b/>
          <w:bCs/>
          <w:sz w:val="22"/>
          <w:szCs w:val="22"/>
          <w:rtl/>
        </w:rPr>
        <w:t xml:space="preserve">בשלטון המקומי - </w:t>
      </w:r>
      <w:r>
        <w:rPr>
          <w:rFonts w:hint="cs"/>
          <w:b/>
          <w:bCs/>
          <w:sz w:val="22"/>
          <w:szCs w:val="22"/>
          <w:rtl/>
        </w:rPr>
        <w:t>משמע, ב</w:t>
      </w:r>
      <w:r w:rsidRPr="00CB3E86">
        <w:rPr>
          <w:rFonts w:hint="cs"/>
          <w:b/>
          <w:bCs/>
          <w:sz w:val="22"/>
          <w:szCs w:val="22"/>
          <w:rtl/>
        </w:rPr>
        <w:t>רשויות המוניציפליות</w:t>
      </w:r>
      <w:r>
        <w:rPr>
          <w:rFonts w:hint="cs"/>
          <w:sz w:val="22"/>
          <w:szCs w:val="22"/>
          <w:rtl/>
        </w:rPr>
        <w:t>;</w:t>
      </w:r>
    </w:p>
    <w:p w:rsidR="005366A8" w:rsidRDefault="005366A8" w:rsidP="005366A8">
      <w:pPr>
        <w:spacing w:after="60"/>
        <w:ind w:left="720"/>
        <w:rPr>
          <w:sz w:val="22"/>
          <w:szCs w:val="22"/>
          <w:rtl/>
        </w:rPr>
      </w:pPr>
      <w:r>
        <w:rPr>
          <w:rFonts w:hint="cs"/>
          <w:sz w:val="22"/>
          <w:szCs w:val="22"/>
          <w:rtl/>
        </w:rPr>
        <w:t xml:space="preserve">בפגישה זו נדון </w:t>
      </w:r>
      <w:r w:rsidRPr="00C05BC1">
        <w:rPr>
          <w:rFonts w:hint="cs"/>
          <w:b/>
          <w:bCs/>
          <w:sz w:val="22"/>
          <w:szCs w:val="22"/>
          <w:rtl/>
        </w:rPr>
        <w:t>בכנסת</w:t>
      </w:r>
      <w:r>
        <w:rPr>
          <w:rFonts w:hint="cs"/>
          <w:sz w:val="22"/>
          <w:szCs w:val="22"/>
          <w:rtl/>
        </w:rPr>
        <w:t xml:space="preserve">. </w:t>
      </w:r>
    </w:p>
    <w:p w:rsidR="005366A8" w:rsidRDefault="005366A8" w:rsidP="005366A8">
      <w:pPr>
        <w:spacing w:after="60"/>
        <w:ind w:left="1440"/>
        <w:rPr>
          <w:sz w:val="22"/>
          <w:szCs w:val="22"/>
          <w:rtl/>
        </w:rPr>
      </w:pPr>
      <w:r>
        <w:rPr>
          <w:rFonts w:hint="cs"/>
          <w:sz w:val="22"/>
          <w:szCs w:val="22"/>
          <w:rtl/>
        </w:rPr>
        <w:t>בכך אנחנו מתחילים לעסוק בהיבטים נוספים של המשטר שלנו.</w:t>
      </w:r>
    </w:p>
    <w:p w:rsidR="005366A8" w:rsidRDefault="005366A8" w:rsidP="005366A8">
      <w:pPr>
        <w:spacing w:after="60"/>
        <w:ind w:left="1440"/>
        <w:rPr>
          <w:sz w:val="22"/>
          <w:szCs w:val="22"/>
          <w:rtl/>
        </w:rPr>
      </w:pPr>
      <w:r>
        <w:rPr>
          <w:rFonts w:hint="cs"/>
          <w:sz w:val="22"/>
          <w:szCs w:val="22"/>
          <w:rtl/>
        </w:rPr>
        <w:t xml:space="preserve">א. פגשנו בחלק הקודם של הקורס את השינוי שעברה ישראל בכיוון של </w:t>
      </w:r>
      <w:r w:rsidRPr="00DB1426">
        <w:rPr>
          <w:rFonts w:hint="cs"/>
          <w:b/>
          <w:bCs/>
          <w:sz w:val="22"/>
          <w:szCs w:val="22"/>
          <w:highlight w:val="yellow"/>
          <w:rtl/>
        </w:rPr>
        <w:t>דמוקרטיה חוקתית</w:t>
      </w:r>
      <w:r>
        <w:rPr>
          <w:rFonts w:hint="cs"/>
          <w:sz w:val="22"/>
          <w:szCs w:val="22"/>
          <w:rtl/>
        </w:rPr>
        <w:t>;</w:t>
      </w:r>
    </w:p>
    <w:p w:rsidR="005366A8" w:rsidRDefault="005366A8" w:rsidP="005366A8">
      <w:pPr>
        <w:spacing w:after="60"/>
        <w:ind w:left="2160" w:hanging="720"/>
        <w:rPr>
          <w:sz w:val="22"/>
          <w:szCs w:val="22"/>
          <w:rtl/>
        </w:rPr>
      </w:pPr>
      <w:r>
        <w:rPr>
          <w:rFonts w:hint="cs"/>
          <w:sz w:val="22"/>
          <w:szCs w:val="22"/>
          <w:rtl/>
        </w:rPr>
        <w:t xml:space="preserve">ב. דיברנו על היותה </w:t>
      </w:r>
      <w:r w:rsidRPr="00386ADF">
        <w:rPr>
          <w:rFonts w:hint="cs"/>
          <w:sz w:val="22"/>
          <w:szCs w:val="22"/>
          <w:highlight w:val="yellow"/>
          <w:rtl/>
        </w:rPr>
        <w:t>"</w:t>
      </w:r>
      <w:r w:rsidRPr="00386ADF">
        <w:rPr>
          <w:rFonts w:hint="cs"/>
          <w:b/>
          <w:bCs/>
          <w:sz w:val="22"/>
          <w:szCs w:val="22"/>
          <w:highlight w:val="yellow"/>
          <w:rtl/>
        </w:rPr>
        <w:t>דמוקרטית ייצוגית"</w:t>
      </w:r>
      <w:r>
        <w:rPr>
          <w:rFonts w:hint="cs"/>
          <w:sz w:val="22"/>
          <w:szCs w:val="22"/>
          <w:rtl/>
        </w:rPr>
        <w:t xml:space="preserve"> (להבדיל מדמוקרטיה שבה מרכיבים משמעותיים של "דמוקרטיה ישירה", דוגמת משאלי-עם); </w:t>
      </w:r>
    </w:p>
    <w:p w:rsidR="005366A8" w:rsidRDefault="005366A8" w:rsidP="005366A8">
      <w:pPr>
        <w:spacing w:after="60"/>
        <w:ind w:left="2160" w:hanging="720"/>
        <w:rPr>
          <w:rFonts w:ascii="Arial" w:hAnsi="Arial" w:cs="Arial"/>
          <w:sz w:val="22"/>
          <w:szCs w:val="22"/>
          <w:rtl/>
        </w:rPr>
      </w:pPr>
      <w:r>
        <w:rPr>
          <w:rFonts w:hint="cs"/>
          <w:sz w:val="22"/>
          <w:szCs w:val="22"/>
          <w:rtl/>
        </w:rPr>
        <w:t xml:space="preserve">ג. עתה נתמקד בהיותה דמוקרטיה ייצוגית מהסוג של </w:t>
      </w:r>
      <w:r w:rsidRPr="00386ADF">
        <w:rPr>
          <w:rFonts w:hint="cs"/>
          <w:sz w:val="22"/>
          <w:szCs w:val="22"/>
          <w:highlight w:val="yellow"/>
          <w:rtl/>
        </w:rPr>
        <w:t>"</w:t>
      </w:r>
      <w:r w:rsidRPr="00386ADF">
        <w:rPr>
          <w:rFonts w:hint="cs"/>
          <w:b/>
          <w:bCs/>
          <w:sz w:val="22"/>
          <w:szCs w:val="22"/>
          <w:highlight w:val="yellow"/>
          <w:rtl/>
        </w:rPr>
        <w:t>דמוקרטיה פרלמנטרית"</w:t>
      </w:r>
      <w:r>
        <w:rPr>
          <w:rFonts w:hint="cs"/>
          <w:b/>
          <w:bCs/>
          <w:sz w:val="22"/>
          <w:szCs w:val="22"/>
          <w:rtl/>
        </w:rPr>
        <w:t xml:space="preserve"> </w:t>
      </w:r>
      <w:r w:rsidRPr="00386ADF">
        <w:rPr>
          <w:rFonts w:hint="cs"/>
          <w:sz w:val="22"/>
          <w:szCs w:val="22"/>
          <w:rtl/>
        </w:rPr>
        <w:t>(</w:t>
      </w:r>
      <w:r>
        <w:rPr>
          <w:rFonts w:hint="cs"/>
          <w:sz w:val="22"/>
          <w:szCs w:val="22"/>
          <w:rtl/>
        </w:rPr>
        <w:t>להבדיל מ"משטר נשיאותי" כמו בארה"ב, למשל). הפרלמנט/הכנסת: ראש פירמידת המוסדות של ישראל.</w:t>
      </w:r>
      <w:r>
        <w:rPr>
          <w:rFonts w:ascii="Arial" w:hAnsi="Arial" w:cs="Arial" w:hint="cs"/>
          <w:sz w:val="22"/>
          <w:szCs w:val="22"/>
          <w:rtl/>
        </w:rPr>
        <w:t xml:space="preserve"> </w:t>
      </w:r>
    </w:p>
    <w:p w:rsidR="005366A8" w:rsidRDefault="005366A8" w:rsidP="005366A8">
      <w:pPr>
        <w:spacing w:after="180"/>
        <w:rPr>
          <w:rFonts w:ascii="Arial" w:hAnsi="Arial" w:cs="Guttman-Soncino"/>
          <w:b/>
          <w:bCs/>
          <w:sz w:val="28"/>
          <w:szCs w:val="28"/>
          <w:highlight w:val="yellow"/>
          <w:rtl/>
        </w:rPr>
      </w:pPr>
      <w:r>
        <w:rPr>
          <w:rFonts w:hint="cs"/>
          <w:sz w:val="22"/>
          <w:szCs w:val="22"/>
          <w:rtl/>
        </w:rPr>
        <w:t>=-=</w:t>
      </w:r>
    </w:p>
    <w:p w:rsidR="005366A8" w:rsidRDefault="005366A8" w:rsidP="005366A8">
      <w:pPr>
        <w:spacing w:after="240"/>
        <w:jc w:val="center"/>
        <w:rPr>
          <w:rFonts w:ascii="Arial" w:hAnsi="Arial" w:cs="Guttman-Soncino"/>
          <w:b/>
          <w:bCs/>
          <w:sz w:val="28"/>
          <w:szCs w:val="28"/>
          <w:highlight w:val="yellow"/>
          <w:rtl/>
        </w:rPr>
      </w:pPr>
      <w:r w:rsidRPr="00135854">
        <w:rPr>
          <w:rFonts w:ascii="Arial" w:hAnsi="Arial" w:cs="Guttman-Soncino" w:hint="cs"/>
          <w:b/>
          <w:bCs/>
          <w:sz w:val="28"/>
          <w:szCs w:val="28"/>
          <w:highlight w:val="yellow"/>
          <w:rtl/>
        </w:rPr>
        <w:t xml:space="preserve">המבנה השלטוני של ישראל </w:t>
      </w:r>
      <w:r w:rsidRPr="00135854">
        <w:rPr>
          <w:rFonts w:ascii="Arial" w:hAnsi="Arial" w:cs="Guttman-Soncino"/>
          <w:b/>
          <w:bCs/>
          <w:sz w:val="28"/>
          <w:szCs w:val="28"/>
          <w:highlight w:val="yellow"/>
          <w:rtl/>
        </w:rPr>
        <w:t>–</w:t>
      </w:r>
      <w:r w:rsidRPr="00135854">
        <w:rPr>
          <w:rFonts w:ascii="Arial" w:hAnsi="Arial" w:cs="Guttman-Soncino" w:hint="cs"/>
          <w:b/>
          <w:bCs/>
          <w:sz w:val="28"/>
          <w:szCs w:val="28"/>
          <w:highlight w:val="yellow"/>
          <w:rtl/>
        </w:rPr>
        <w:t xml:space="preserve"> </w:t>
      </w:r>
    </w:p>
    <w:p w:rsidR="005366A8" w:rsidRPr="00135854" w:rsidRDefault="005366A8" w:rsidP="005366A8">
      <w:pPr>
        <w:spacing w:after="240"/>
        <w:jc w:val="center"/>
        <w:rPr>
          <w:rFonts w:ascii="Arial" w:hAnsi="Arial" w:cs="Guttman-Soncino"/>
          <w:b/>
          <w:bCs/>
          <w:sz w:val="28"/>
          <w:szCs w:val="28"/>
          <w:rtl/>
        </w:rPr>
      </w:pPr>
      <w:r>
        <w:rPr>
          <w:rFonts w:ascii="Arial" w:hAnsi="Arial" w:cs="Guttman-Soncino" w:hint="cs"/>
          <w:b/>
          <w:bCs/>
          <w:sz w:val="28"/>
          <w:szCs w:val="28"/>
          <w:highlight w:val="yellow"/>
          <w:rtl/>
        </w:rPr>
        <w:t xml:space="preserve">דמוקרטיה חוקתית שהיא גם </w:t>
      </w:r>
      <w:r w:rsidRPr="00135854">
        <w:rPr>
          <w:rFonts w:ascii="Arial" w:hAnsi="Arial" w:cs="Guttman-Soncino" w:hint="cs"/>
          <w:b/>
          <w:bCs/>
          <w:sz w:val="28"/>
          <w:szCs w:val="28"/>
          <w:highlight w:val="yellow"/>
          <w:rtl/>
        </w:rPr>
        <w:t>דמוקרטיה פרלמנטרית</w:t>
      </w:r>
      <w:r>
        <w:rPr>
          <w:rFonts w:ascii="Arial" w:hAnsi="Arial" w:cs="Guttman-Soncino" w:hint="cs"/>
          <w:b/>
          <w:bCs/>
          <w:sz w:val="28"/>
          <w:szCs w:val="28"/>
          <w:rtl/>
        </w:rPr>
        <w:t>, להבדיל מנשיאותית</w:t>
      </w:r>
    </w:p>
    <w:p w:rsidR="005366A8" w:rsidRDefault="005366A8" w:rsidP="005366A8">
      <w:pPr>
        <w:rPr>
          <w:sz w:val="22"/>
          <w:szCs w:val="22"/>
          <w:rtl/>
        </w:rPr>
      </w:pPr>
      <w:r w:rsidRPr="0016784A">
        <w:rPr>
          <w:rFonts w:hint="cs"/>
          <w:b/>
          <w:bCs/>
          <w:sz w:val="22"/>
          <w:szCs w:val="22"/>
          <w:highlight w:val="yellow"/>
          <w:rtl/>
        </w:rPr>
        <w:t>נשיא המדינה</w:t>
      </w:r>
      <w:r>
        <w:rPr>
          <w:rFonts w:hint="cs"/>
          <w:sz w:val="22"/>
          <w:szCs w:val="22"/>
          <w:rtl/>
        </w:rPr>
        <w:t xml:space="preserve"> </w:t>
      </w:r>
    </w:p>
    <w:p w:rsidR="005366A8" w:rsidRDefault="005366A8" w:rsidP="005366A8">
      <w:pPr>
        <w:spacing w:after="240"/>
        <w:ind w:left="720"/>
        <w:rPr>
          <w:sz w:val="22"/>
          <w:szCs w:val="22"/>
          <w:rtl/>
        </w:rPr>
      </w:pPr>
      <w:r>
        <w:rPr>
          <w:rFonts w:hint="cs"/>
          <w:sz w:val="22"/>
          <w:szCs w:val="22"/>
          <w:rtl/>
        </w:rPr>
        <w:t xml:space="preserve">(תפקיד סימבולי בעיקרו, אך עדיין בלוויית סמכויות משמעותיות שונות) </w:t>
      </w:r>
    </w:p>
    <w:p w:rsidR="005366A8" w:rsidRPr="007C3581" w:rsidRDefault="005366A8" w:rsidP="005366A8">
      <w:pPr>
        <w:spacing w:after="60"/>
        <w:rPr>
          <w:rFonts w:ascii="Arial" w:hAnsi="Arial" w:cs="Arial"/>
          <w:b/>
          <w:bCs/>
          <w:sz w:val="22"/>
          <w:szCs w:val="22"/>
          <w:rtl/>
        </w:rPr>
      </w:pPr>
      <w:r w:rsidRPr="007C3581">
        <w:rPr>
          <w:rFonts w:ascii="Arial" w:hAnsi="Arial" w:cs="Arial" w:hint="cs"/>
          <w:b/>
          <w:bCs/>
          <w:sz w:val="22"/>
          <w:szCs w:val="22"/>
          <w:highlight w:val="yellow"/>
          <w:rtl/>
        </w:rPr>
        <w:t xml:space="preserve">"הרשויות הפוליטיות" </w:t>
      </w:r>
      <w:r w:rsidRPr="007C3581">
        <w:rPr>
          <w:rFonts w:ascii="Arial" w:hAnsi="Arial" w:cs="Arial"/>
          <w:b/>
          <w:bCs/>
          <w:sz w:val="22"/>
          <w:szCs w:val="22"/>
          <w:highlight w:val="yellow"/>
          <w:rtl/>
        </w:rPr>
        <w:t>–</w:t>
      </w:r>
      <w:r w:rsidRPr="007C3581">
        <w:rPr>
          <w:rFonts w:ascii="Arial" w:hAnsi="Arial" w:cs="Arial" w:hint="cs"/>
          <w:b/>
          <w:bCs/>
          <w:sz w:val="22"/>
          <w:szCs w:val="22"/>
          <w:highlight w:val="yellow"/>
          <w:rtl/>
        </w:rPr>
        <w:t xml:space="preserve"> רשויות ההכרעה המרכזיות</w:t>
      </w:r>
    </w:p>
    <w:p w:rsidR="005366A8" w:rsidRDefault="005366A8" w:rsidP="005366A8">
      <w:pPr>
        <w:spacing w:after="60"/>
        <w:ind w:left="720"/>
        <w:rPr>
          <w:b/>
          <w:bCs/>
          <w:sz w:val="22"/>
          <w:szCs w:val="22"/>
          <w:rtl/>
        </w:rPr>
      </w:pPr>
      <w:r>
        <w:rPr>
          <w:rFonts w:hint="cs"/>
          <w:b/>
          <w:bCs/>
          <w:sz w:val="22"/>
          <w:szCs w:val="22"/>
          <w:rtl/>
        </w:rPr>
        <w:t>הכנסת</w:t>
      </w:r>
    </w:p>
    <w:p w:rsidR="005366A8" w:rsidRDefault="005366A8" w:rsidP="005366A8">
      <w:pPr>
        <w:spacing w:after="60"/>
        <w:ind w:left="1440"/>
        <w:rPr>
          <w:sz w:val="22"/>
          <w:szCs w:val="22"/>
          <w:rtl/>
        </w:rPr>
      </w:pPr>
      <w:r w:rsidRPr="00176D9E">
        <w:rPr>
          <w:rFonts w:hint="cs"/>
          <w:sz w:val="22"/>
          <w:szCs w:val="22"/>
          <w:rtl/>
        </w:rPr>
        <w:t xml:space="preserve">הרשות המכוננת </w:t>
      </w:r>
    </w:p>
    <w:p w:rsidR="005366A8" w:rsidRDefault="005366A8" w:rsidP="005366A8">
      <w:pPr>
        <w:spacing w:after="60"/>
        <w:ind w:left="1440"/>
        <w:rPr>
          <w:sz w:val="22"/>
          <w:szCs w:val="22"/>
          <w:rtl/>
        </w:rPr>
      </w:pPr>
      <w:r>
        <w:rPr>
          <w:rFonts w:hint="cs"/>
          <w:sz w:val="22"/>
          <w:szCs w:val="22"/>
          <w:rtl/>
        </w:rPr>
        <w:t xml:space="preserve">הרשות </w:t>
      </w:r>
      <w:r w:rsidRPr="00176D9E">
        <w:rPr>
          <w:rFonts w:hint="cs"/>
          <w:sz w:val="22"/>
          <w:szCs w:val="22"/>
          <w:rtl/>
        </w:rPr>
        <w:t>המחוקקת</w:t>
      </w:r>
    </w:p>
    <w:p w:rsidR="005366A8" w:rsidRPr="00176D9E" w:rsidRDefault="005366A8" w:rsidP="005366A8">
      <w:pPr>
        <w:spacing w:after="120"/>
        <w:ind w:left="1440"/>
        <w:rPr>
          <w:sz w:val="22"/>
          <w:szCs w:val="22"/>
          <w:rtl/>
        </w:rPr>
      </w:pPr>
      <w:r>
        <w:rPr>
          <w:rFonts w:hint="cs"/>
          <w:sz w:val="22"/>
          <w:szCs w:val="22"/>
          <w:rtl/>
        </w:rPr>
        <w:t>רשות מפקחת</w:t>
      </w:r>
    </w:p>
    <w:p w:rsidR="005366A8" w:rsidRDefault="005366A8" w:rsidP="005366A8">
      <w:pPr>
        <w:spacing w:after="60"/>
        <w:ind w:left="720"/>
        <w:rPr>
          <w:sz w:val="22"/>
          <w:szCs w:val="22"/>
          <w:rtl/>
        </w:rPr>
      </w:pPr>
      <w:r w:rsidRPr="00FE540D">
        <w:rPr>
          <w:rFonts w:hint="cs"/>
          <w:b/>
          <w:bCs/>
          <w:sz w:val="22"/>
          <w:szCs w:val="22"/>
          <w:rtl/>
        </w:rPr>
        <w:t>"הרשות המבצעת"</w:t>
      </w:r>
      <w:r>
        <w:rPr>
          <w:rFonts w:hint="cs"/>
          <w:b/>
          <w:bCs/>
          <w:sz w:val="22"/>
          <w:szCs w:val="22"/>
          <w:rtl/>
        </w:rPr>
        <w:t xml:space="preserve"> =</w:t>
      </w:r>
      <w:r>
        <w:rPr>
          <w:rFonts w:hint="cs"/>
          <w:sz w:val="22"/>
          <w:szCs w:val="22"/>
          <w:rtl/>
        </w:rPr>
        <w:t xml:space="preserve"> </w:t>
      </w:r>
      <w:r w:rsidRPr="00FE540D">
        <w:rPr>
          <w:rFonts w:hint="cs"/>
          <w:sz w:val="22"/>
          <w:szCs w:val="22"/>
          <w:u w:val="single"/>
          <w:rtl/>
        </w:rPr>
        <w:t>המינהל הציבורי</w:t>
      </w:r>
      <w:r>
        <w:rPr>
          <w:rFonts w:hint="cs"/>
          <w:sz w:val="22"/>
          <w:szCs w:val="22"/>
          <w:rtl/>
        </w:rPr>
        <w:t xml:space="preserve">: </w:t>
      </w:r>
    </w:p>
    <w:p w:rsidR="005366A8" w:rsidRPr="00F12CD2" w:rsidRDefault="005366A8" w:rsidP="005366A8">
      <w:pPr>
        <w:spacing w:after="120"/>
        <w:ind w:left="1440"/>
        <w:rPr>
          <w:sz w:val="20"/>
          <w:szCs w:val="20"/>
          <w:u w:val="single"/>
          <w:rtl/>
        </w:rPr>
      </w:pPr>
      <w:r w:rsidRPr="00F12CD2">
        <w:rPr>
          <w:rFonts w:hint="cs"/>
          <w:sz w:val="20"/>
          <w:szCs w:val="20"/>
          <w:u w:val="single"/>
          <w:rtl/>
        </w:rPr>
        <w:t>המינהל השלטוני המרכזי</w:t>
      </w:r>
      <w:r>
        <w:rPr>
          <w:rFonts w:hint="cs"/>
          <w:sz w:val="20"/>
          <w:szCs w:val="20"/>
          <w:u w:val="single"/>
          <w:rtl/>
        </w:rPr>
        <w:t xml:space="preserve">/ </w:t>
      </w:r>
      <w:r w:rsidRPr="00ED2BA6">
        <w:rPr>
          <w:rFonts w:hint="cs"/>
          <w:b/>
          <w:bCs/>
          <w:sz w:val="22"/>
          <w:szCs w:val="22"/>
          <w:u w:val="single"/>
          <w:rtl/>
        </w:rPr>
        <w:t>השלטון המרכזי</w:t>
      </w:r>
    </w:p>
    <w:p w:rsidR="005366A8" w:rsidRPr="00D4740A" w:rsidRDefault="005366A8" w:rsidP="005366A8">
      <w:pPr>
        <w:ind w:left="2160"/>
        <w:rPr>
          <w:b/>
          <w:bCs/>
          <w:sz w:val="22"/>
          <w:szCs w:val="22"/>
          <w:rtl/>
        </w:rPr>
      </w:pPr>
      <w:r w:rsidRPr="00D4740A">
        <w:rPr>
          <w:rFonts w:hint="cs"/>
          <w:b/>
          <w:bCs/>
          <w:sz w:val="22"/>
          <w:szCs w:val="22"/>
          <w:rtl/>
        </w:rPr>
        <w:t>הממשלה:</w:t>
      </w:r>
    </w:p>
    <w:p w:rsidR="005366A8" w:rsidRPr="00F12CD2" w:rsidRDefault="005366A8" w:rsidP="005366A8">
      <w:pPr>
        <w:ind w:left="2880"/>
        <w:rPr>
          <w:sz w:val="20"/>
          <w:szCs w:val="20"/>
          <w:rtl/>
        </w:rPr>
      </w:pPr>
      <w:r w:rsidRPr="00F12CD2">
        <w:rPr>
          <w:rFonts w:hint="cs"/>
          <w:sz w:val="20"/>
          <w:szCs w:val="20"/>
          <w:rtl/>
        </w:rPr>
        <w:t>הממשלה כגוף ו</w:t>
      </w:r>
      <w:r>
        <w:rPr>
          <w:rFonts w:hint="cs"/>
          <w:sz w:val="20"/>
          <w:szCs w:val="20"/>
          <w:rtl/>
        </w:rPr>
        <w:t xml:space="preserve">הממשלה במובן של </w:t>
      </w:r>
      <w:r w:rsidRPr="00F12CD2">
        <w:rPr>
          <w:rFonts w:hint="cs"/>
          <w:sz w:val="20"/>
          <w:szCs w:val="20"/>
          <w:rtl/>
        </w:rPr>
        <w:t>משרדי הממשלה</w:t>
      </w:r>
      <w:r>
        <w:rPr>
          <w:rFonts w:hint="cs"/>
          <w:sz w:val="20"/>
          <w:szCs w:val="20"/>
          <w:rtl/>
        </w:rPr>
        <w:t xml:space="preserve"> השונים, על סמכויותיהם;</w:t>
      </w:r>
    </w:p>
    <w:p w:rsidR="005366A8" w:rsidRPr="00F12CD2" w:rsidRDefault="005366A8" w:rsidP="005366A8">
      <w:pPr>
        <w:spacing w:after="120"/>
        <w:ind w:left="2880"/>
        <w:rPr>
          <w:sz w:val="20"/>
          <w:szCs w:val="20"/>
          <w:rtl/>
        </w:rPr>
      </w:pPr>
      <w:r w:rsidRPr="00F12CD2">
        <w:rPr>
          <w:rFonts w:hint="cs"/>
          <w:sz w:val="20"/>
          <w:szCs w:val="20"/>
          <w:rtl/>
        </w:rPr>
        <w:t>סמכויות מוגדרות שמעניק הדין לראש הממשלה, לשר</w:t>
      </w:r>
      <w:r>
        <w:rPr>
          <w:rFonts w:hint="cs"/>
          <w:sz w:val="20"/>
          <w:szCs w:val="20"/>
          <w:rtl/>
        </w:rPr>
        <w:t xml:space="preserve"> כזה או אחר, </w:t>
      </w:r>
      <w:r w:rsidRPr="00F12CD2">
        <w:rPr>
          <w:rFonts w:hint="cs"/>
          <w:sz w:val="20"/>
          <w:szCs w:val="20"/>
          <w:rtl/>
        </w:rPr>
        <w:t>ולבעלי תפקידים מסוימים במשרדי הממשלה</w:t>
      </w:r>
    </w:p>
    <w:p w:rsidR="005366A8" w:rsidRPr="00F12CD2" w:rsidRDefault="005366A8" w:rsidP="005366A8">
      <w:pPr>
        <w:spacing w:after="120"/>
        <w:ind w:left="2160"/>
        <w:rPr>
          <w:sz w:val="20"/>
          <w:szCs w:val="20"/>
          <w:rtl/>
        </w:rPr>
      </w:pPr>
      <w:r w:rsidRPr="00D4740A">
        <w:rPr>
          <w:rFonts w:hint="cs"/>
          <w:b/>
          <w:bCs/>
          <w:sz w:val="20"/>
          <w:szCs w:val="20"/>
          <w:rtl/>
        </w:rPr>
        <w:t>תאגידים ציבוריים</w:t>
      </w:r>
      <w:r w:rsidRPr="00F12CD2">
        <w:rPr>
          <w:rFonts w:hint="cs"/>
          <w:sz w:val="20"/>
          <w:szCs w:val="20"/>
          <w:rtl/>
        </w:rPr>
        <w:t xml:space="preserve"> (=תאגידים מכוח דין, תאגידים סטטוטוריים)</w:t>
      </w:r>
    </w:p>
    <w:p w:rsidR="005366A8" w:rsidRPr="00D4740A" w:rsidRDefault="005366A8" w:rsidP="005366A8">
      <w:pPr>
        <w:spacing w:after="120"/>
        <w:ind w:left="2160"/>
        <w:rPr>
          <w:b/>
          <w:bCs/>
          <w:sz w:val="20"/>
          <w:szCs w:val="20"/>
          <w:rtl/>
        </w:rPr>
      </w:pPr>
      <w:r w:rsidRPr="00D4740A">
        <w:rPr>
          <w:rFonts w:hint="cs"/>
          <w:b/>
          <w:bCs/>
          <w:sz w:val="20"/>
          <w:szCs w:val="20"/>
          <w:rtl/>
        </w:rPr>
        <w:t>"גופים לווייניים"</w:t>
      </w:r>
    </w:p>
    <w:p w:rsidR="005366A8" w:rsidRPr="00F12CD2" w:rsidRDefault="005366A8" w:rsidP="005366A8">
      <w:pPr>
        <w:spacing w:after="120"/>
        <w:ind w:left="2160"/>
        <w:rPr>
          <w:sz w:val="20"/>
          <w:szCs w:val="20"/>
          <w:rtl/>
        </w:rPr>
      </w:pPr>
      <w:r w:rsidRPr="00F12CD2">
        <w:rPr>
          <w:rFonts w:hint="cs"/>
          <w:sz w:val="20"/>
          <w:szCs w:val="20"/>
          <w:rtl/>
        </w:rPr>
        <w:t>[</w:t>
      </w:r>
      <w:r>
        <w:rPr>
          <w:rFonts w:hint="cs"/>
          <w:sz w:val="20"/>
          <w:szCs w:val="20"/>
          <w:rtl/>
        </w:rPr>
        <w:t xml:space="preserve">וכן </w:t>
      </w:r>
      <w:r w:rsidRPr="00D4740A">
        <w:rPr>
          <w:rFonts w:hint="cs"/>
          <w:b/>
          <w:bCs/>
          <w:sz w:val="20"/>
          <w:szCs w:val="20"/>
          <w:rtl/>
        </w:rPr>
        <w:t>חברות ממשלתיות</w:t>
      </w:r>
      <w:r w:rsidRPr="00F12CD2">
        <w:rPr>
          <w:rFonts w:hint="cs"/>
          <w:sz w:val="20"/>
          <w:szCs w:val="20"/>
          <w:rtl/>
        </w:rPr>
        <w:t>]</w:t>
      </w:r>
    </w:p>
    <w:p w:rsidR="005366A8" w:rsidRPr="00F12CD2" w:rsidRDefault="005366A8" w:rsidP="005366A8">
      <w:pPr>
        <w:spacing w:after="120"/>
        <w:ind w:left="1440"/>
        <w:rPr>
          <w:sz w:val="20"/>
          <w:szCs w:val="20"/>
          <w:rtl/>
        </w:rPr>
      </w:pPr>
      <w:r w:rsidRPr="00F12CD2">
        <w:rPr>
          <w:rFonts w:hint="cs"/>
          <w:sz w:val="20"/>
          <w:szCs w:val="20"/>
          <w:u w:val="single"/>
          <w:rtl/>
        </w:rPr>
        <w:t xml:space="preserve">המינהל </w:t>
      </w:r>
      <w:r>
        <w:rPr>
          <w:rFonts w:hint="cs"/>
          <w:sz w:val="20"/>
          <w:szCs w:val="20"/>
          <w:u w:val="single"/>
          <w:rtl/>
        </w:rPr>
        <w:t xml:space="preserve">המוניציפאלי, </w:t>
      </w:r>
      <w:r w:rsidRPr="00F12CD2">
        <w:rPr>
          <w:rFonts w:hint="cs"/>
          <w:sz w:val="20"/>
          <w:szCs w:val="20"/>
          <w:u w:val="single"/>
          <w:rtl/>
        </w:rPr>
        <w:t>המקומי</w:t>
      </w:r>
      <w:r w:rsidRPr="0052405F">
        <w:rPr>
          <w:rFonts w:hint="cs"/>
          <w:sz w:val="20"/>
          <w:szCs w:val="20"/>
          <w:u w:val="single"/>
          <w:rtl/>
        </w:rPr>
        <w:t xml:space="preserve">/ </w:t>
      </w:r>
      <w:r w:rsidRPr="0052405F">
        <w:rPr>
          <w:rFonts w:hint="cs"/>
          <w:b/>
          <w:bCs/>
          <w:sz w:val="22"/>
          <w:szCs w:val="22"/>
          <w:u w:val="single"/>
          <w:rtl/>
        </w:rPr>
        <w:t>השלטון המקומי</w:t>
      </w:r>
    </w:p>
    <w:p w:rsidR="005366A8" w:rsidRDefault="005366A8" w:rsidP="005366A8">
      <w:pPr>
        <w:ind w:left="2160"/>
        <w:rPr>
          <w:sz w:val="20"/>
          <w:szCs w:val="20"/>
          <w:rtl/>
        </w:rPr>
      </w:pPr>
      <w:r w:rsidRPr="00145A6C">
        <w:rPr>
          <w:rFonts w:hint="cs"/>
          <w:b/>
          <w:bCs/>
          <w:sz w:val="20"/>
          <w:szCs w:val="20"/>
          <w:rtl/>
        </w:rPr>
        <w:t>הרשויות המקומיות</w:t>
      </w:r>
      <w:r w:rsidRPr="00F12CD2">
        <w:rPr>
          <w:rFonts w:hint="cs"/>
          <w:sz w:val="20"/>
          <w:szCs w:val="20"/>
          <w:rtl/>
        </w:rPr>
        <w:t xml:space="preserve"> למיניהן: עיריות, מועצות מקומיות, מועצות אזוריות (וכן ועדים מקומיים ואיגודי ערים)</w:t>
      </w:r>
    </w:p>
    <w:p w:rsidR="005366A8" w:rsidRPr="00F12CD2" w:rsidRDefault="005366A8" w:rsidP="005366A8">
      <w:pPr>
        <w:spacing w:after="240"/>
        <w:ind w:left="2160"/>
        <w:rPr>
          <w:sz w:val="20"/>
          <w:szCs w:val="20"/>
          <w:rtl/>
        </w:rPr>
      </w:pPr>
      <w:r>
        <w:rPr>
          <w:rFonts w:hint="cs"/>
          <w:sz w:val="20"/>
          <w:szCs w:val="20"/>
          <w:rtl/>
        </w:rPr>
        <w:t>[וכן חברות עירוניות]</w:t>
      </w:r>
      <w:r w:rsidRPr="00F12CD2">
        <w:rPr>
          <w:rFonts w:hint="cs"/>
          <w:sz w:val="20"/>
          <w:szCs w:val="20"/>
          <w:rtl/>
        </w:rPr>
        <w:t xml:space="preserve"> </w:t>
      </w:r>
    </w:p>
    <w:p w:rsidR="005366A8" w:rsidRPr="002C0151" w:rsidRDefault="005366A8" w:rsidP="005366A8">
      <w:pPr>
        <w:spacing w:after="120"/>
        <w:rPr>
          <w:rFonts w:ascii="Arial" w:hAnsi="Arial" w:cs="Arial"/>
          <w:b/>
          <w:bCs/>
          <w:sz w:val="22"/>
          <w:szCs w:val="22"/>
          <w:rtl/>
        </w:rPr>
      </w:pPr>
      <w:r w:rsidRPr="005776EC">
        <w:rPr>
          <w:rFonts w:ascii="Arial" w:hAnsi="Arial" w:cs="Arial"/>
          <w:b/>
          <w:bCs/>
          <w:sz w:val="22"/>
          <w:szCs w:val="22"/>
          <w:highlight w:val="yellow"/>
          <w:rtl/>
        </w:rPr>
        <w:t xml:space="preserve">רשויות </w:t>
      </w:r>
      <w:r>
        <w:rPr>
          <w:rFonts w:ascii="Arial" w:hAnsi="Arial" w:cs="Arial" w:hint="cs"/>
          <w:b/>
          <w:bCs/>
          <w:sz w:val="22"/>
          <w:szCs w:val="22"/>
          <w:highlight w:val="yellow"/>
          <w:rtl/>
        </w:rPr>
        <w:t>ה</w:t>
      </w:r>
      <w:r w:rsidRPr="005776EC">
        <w:rPr>
          <w:rFonts w:ascii="Arial" w:hAnsi="Arial" w:cs="Arial"/>
          <w:b/>
          <w:bCs/>
          <w:sz w:val="22"/>
          <w:szCs w:val="22"/>
          <w:highlight w:val="yellow"/>
          <w:rtl/>
        </w:rPr>
        <w:t xml:space="preserve">בקרה </w:t>
      </w:r>
      <w:r>
        <w:rPr>
          <w:rFonts w:ascii="Arial" w:hAnsi="Arial" w:cs="Arial" w:hint="cs"/>
          <w:b/>
          <w:bCs/>
          <w:sz w:val="22"/>
          <w:szCs w:val="22"/>
          <w:highlight w:val="yellow"/>
          <w:rtl/>
        </w:rPr>
        <w:t>ה</w:t>
      </w:r>
      <w:r w:rsidRPr="005776EC">
        <w:rPr>
          <w:rFonts w:ascii="Arial" w:hAnsi="Arial" w:cs="Arial"/>
          <w:b/>
          <w:bCs/>
          <w:sz w:val="22"/>
          <w:szCs w:val="22"/>
          <w:highlight w:val="yellow"/>
          <w:rtl/>
        </w:rPr>
        <w:t>מרכזיות</w:t>
      </w:r>
    </w:p>
    <w:p w:rsidR="005366A8" w:rsidRDefault="005366A8" w:rsidP="005366A8">
      <w:pPr>
        <w:spacing w:after="40"/>
        <w:ind w:left="720"/>
        <w:rPr>
          <w:b/>
          <w:bCs/>
          <w:sz w:val="22"/>
          <w:szCs w:val="22"/>
          <w:rtl/>
        </w:rPr>
      </w:pPr>
      <w:r w:rsidRPr="00FE540D">
        <w:rPr>
          <w:rFonts w:hint="cs"/>
          <w:b/>
          <w:bCs/>
          <w:sz w:val="22"/>
          <w:szCs w:val="22"/>
          <w:rtl/>
        </w:rPr>
        <w:t>הרשות השופטת</w:t>
      </w:r>
      <w:r>
        <w:rPr>
          <w:rFonts w:hint="cs"/>
          <w:b/>
          <w:bCs/>
          <w:sz w:val="22"/>
          <w:szCs w:val="22"/>
          <w:rtl/>
        </w:rPr>
        <w:t xml:space="preserve"> </w:t>
      </w:r>
      <w:r w:rsidRPr="0016784A">
        <w:rPr>
          <w:rFonts w:hint="cs"/>
          <w:sz w:val="22"/>
          <w:szCs w:val="22"/>
          <w:rtl/>
        </w:rPr>
        <w:t xml:space="preserve">(שלה יש </w:t>
      </w:r>
      <w:r>
        <w:rPr>
          <w:rFonts w:hint="cs"/>
          <w:sz w:val="22"/>
          <w:szCs w:val="22"/>
          <w:rtl/>
        </w:rPr>
        <w:t>שני תפקידים – גם ת</w:t>
      </w:r>
      <w:r w:rsidRPr="0016784A">
        <w:rPr>
          <w:rFonts w:hint="cs"/>
          <w:sz w:val="22"/>
          <w:szCs w:val="22"/>
          <w:rtl/>
        </w:rPr>
        <w:t xml:space="preserve">פקיד בקרה </w:t>
      </w:r>
      <w:r>
        <w:rPr>
          <w:rFonts w:hint="cs"/>
          <w:sz w:val="22"/>
          <w:szCs w:val="22"/>
          <w:rtl/>
        </w:rPr>
        <w:t>ו</w:t>
      </w:r>
      <w:r w:rsidRPr="0016784A">
        <w:rPr>
          <w:rFonts w:hint="cs"/>
          <w:sz w:val="22"/>
          <w:szCs w:val="22"/>
          <w:rtl/>
        </w:rPr>
        <w:t>גם תפקיד הכרעה בהקשרים שונים)</w:t>
      </w:r>
    </w:p>
    <w:p w:rsidR="005366A8" w:rsidRDefault="005366A8" w:rsidP="005366A8">
      <w:pPr>
        <w:spacing w:after="40"/>
        <w:ind w:left="720"/>
        <w:rPr>
          <w:b/>
          <w:bCs/>
          <w:sz w:val="22"/>
          <w:szCs w:val="22"/>
          <w:rtl/>
        </w:rPr>
      </w:pPr>
      <w:r>
        <w:rPr>
          <w:rFonts w:hint="cs"/>
          <w:b/>
          <w:bCs/>
          <w:sz w:val="22"/>
          <w:szCs w:val="22"/>
          <w:rtl/>
        </w:rPr>
        <w:t>היועץ המשפטי לממשלה</w:t>
      </w:r>
    </w:p>
    <w:p w:rsidR="005366A8" w:rsidRDefault="005366A8" w:rsidP="005366A8">
      <w:pPr>
        <w:spacing w:after="40"/>
        <w:ind w:left="720"/>
        <w:rPr>
          <w:b/>
          <w:bCs/>
          <w:sz w:val="22"/>
          <w:szCs w:val="22"/>
          <w:rtl/>
        </w:rPr>
      </w:pPr>
      <w:r>
        <w:rPr>
          <w:rFonts w:hint="cs"/>
          <w:b/>
          <w:bCs/>
          <w:sz w:val="22"/>
          <w:szCs w:val="22"/>
          <w:rtl/>
        </w:rPr>
        <w:t>מבקר המדינה ונציב תלונות הציבור</w:t>
      </w:r>
    </w:p>
    <w:p w:rsidR="005366A8" w:rsidRPr="00145A6C" w:rsidRDefault="005366A8" w:rsidP="005366A8">
      <w:pPr>
        <w:spacing w:after="40"/>
        <w:ind w:left="720"/>
        <w:rPr>
          <w:sz w:val="22"/>
          <w:szCs w:val="22"/>
          <w:rtl/>
        </w:rPr>
      </w:pPr>
      <w:r>
        <w:rPr>
          <w:rFonts w:hint="cs"/>
          <w:b/>
          <w:bCs/>
          <w:sz w:val="22"/>
          <w:szCs w:val="22"/>
          <w:rtl/>
        </w:rPr>
        <w:t xml:space="preserve">ועדות חקירה </w:t>
      </w:r>
      <w:r>
        <w:rPr>
          <w:rFonts w:hint="cs"/>
          <w:sz w:val="22"/>
          <w:szCs w:val="22"/>
          <w:rtl/>
        </w:rPr>
        <w:t>(יש סוגים שונים, עם סמכויות שונות)</w:t>
      </w:r>
    </w:p>
    <w:p w:rsidR="005366A8" w:rsidRDefault="005366A8" w:rsidP="005366A8">
      <w:pPr>
        <w:spacing w:after="40"/>
        <w:ind w:left="720"/>
        <w:rPr>
          <w:b/>
          <w:bCs/>
          <w:sz w:val="22"/>
          <w:szCs w:val="22"/>
          <w:rtl/>
        </w:rPr>
      </w:pPr>
      <w:r>
        <w:rPr>
          <w:rFonts w:hint="cs"/>
          <w:b/>
          <w:bCs/>
          <w:sz w:val="22"/>
          <w:szCs w:val="22"/>
          <w:rtl/>
        </w:rPr>
        <w:t>הכנסת, בתפקידי הפיקוח שלה</w:t>
      </w:r>
    </w:p>
    <w:p w:rsidR="005366A8" w:rsidRDefault="005366A8" w:rsidP="005366A8">
      <w:pPr>
        <w:spacing w:after="40"/>
        <w:ind w:left="720"/>
        <w:rPr>
          <w:b/>
          <w:bCs/>
          <w:sz w:val="22"/>
          <w:szCs w:val="22"/>
          <w:rtl/>
        </w:rPr>
      </w:pPr>
      <w:r>
        <w:rPr>
          <w:rFonts w:hint="cs"/>
          <w:b/>
          <w:bCs/>
          <w:sz w:val="22"/>
          <w:szCs w:val="22"/>
          <w:rtl/>
        </w:rPr>
        <w:t xml:space="preserve">יש רשויות שלטוניות שהן בקרה </w:t>
      </w:r>
      <w:r w:rsidRPr="006461D5">
        <w:rPr>
          <w:rFonts w:hint="cs"/>
          <w:b/>
          <w:bCs/>
          <w:i/>
          <w:iCs/>
          <w:sz w:val="22"/>
          <w:szCs w:val="22"/>
          <w:rtl/>
        </w:rPr>
        <w:t>על גורמים פרטיים בכלכלה ובחברה</w:t>
      </w:r>
      <w:r>
        <w:rPr>
          <w:rFonts w:hint="cs"/>
          <w:b/>
          <w:bCs/>
          <w:sz w:val="22"/>
          <w:szCs w:val="22"/>
          <w:rtl/>
        </w:rPr>
        <w:t>:</w:t>
      </w:r>
    </w:p>
    <w:p w:rsidR="005366A8" w:rsidRPr="006461D5" w:rsidRDefault="005366A8" w:rsidP="005366A8">
      <w:pPr>
        <w:spacing w:after="40"/>
        <w:ind w:left="1440"/>
        <w:rPr>
          <w:sz w:val="22"/>
          <w:szCs w:val="22"/>
          <w:rtl/>
        </w:rPr>
      </w:pPr>
      <w:r>
        <w:rPr>
          <w:rFonts w:hint="cs"/>
          <w:sz w:val="22"/>
          <w:szCs w:val="22"/>
          <w:rtl/>
        </w:rPr>
        <w:t>בנק ישראל; הממונה על הבנקים; הממונה על הביטוח; הממונה על ההגבלים העיסקיים; רשם החברות; רשם העמותות; מועצת הרשות השנייה; מועצת הכבלים והלוויין; רשות העתיקות; נציבות שוויון הזדמנויות בעבודה; וכדומה</w:t>
      </w:r>
    </w:p>
    <w:p w:rsidR="005366A8" w:rsidRDefault="005366A8" w:rsidP="005366A8">
      <w:pPr>
        <w:spacing w:after="40"/>
        <w:ind w:left="720"/>
        <w:rPr>
          <w:sz w:val="22"/>
          <w:szCs w:val="22"/>
          <w:rtl/>
        </w:rPr>
      </w:pPr>
      <w:r w:rsidRPr="004311F9">
        <w:rPr>
          <w:rFonts w:hint="cs"/>
          <w:sz w:val="22"/>
          <w:szCs w:val="22"/>
          <w:rtl/>
        </w:rPr>
        <w:t xml:space="preserve">[מופיעה כמובן גם בקרה </w:t>
      </w:r>
      <w:r>
        <w:rPr>
          <w:rFonts w:hint="cs"/>
          <w:sz w:val="22"/>
          <w:szCs w:val="22"/>
          <w:rtl/>
        </w:rPr>
        <w:t xml:space="preserve">מהכיוון ההפוך: </w:t>
      </w:r>
      <w:r w:rsidRPr="0080239D">
        <w:rPr>
          <w:rFonts w:hint="cs"/>
          <w:b/>
          <w:bCs/>
          <w:i/>
          <w:iCs/>
          <w:sz w:val="22"/>
          <w:szCs w:val="22"/>
          <w:rtl/>
        </w:rPr>
        <w:t>מכיוונם של גורמים פרטיים על רשויות השלטון בישראל</w:t>
      </w:r>
      <w:r>
        <w:rPr>
          <w:rFonts w:hint="cs"/>
          <w:sz w:val="22"/>
          <w:szCs w:val="22"/>
          <w:rtl/>
        </w:rPr>
        <w:t xml:space="preserve">; </w:t>
      </w:r>
    </w:p>
    <w:p w:rsidR="005366A8" w:rsidRDefault="005366A8" w:rsidP="005366A8">
      <w:pPr>
        <w:spacing w:after="40"/>
        <w:ind w:left="720"/>
        <w:rPr>
          <w:sz w:val="22"/>
          <w:szCs w:val="22"/>
          <w:rtl/>
        </w:rPr>
      </w:pPr>
      <w:r>
        <w:rPr>
          <w:rFonts w:hint="cs"/>
          <w:sz w:val="22"/>
          <w:szCs w:val="22"/>
          <w:rtl/>
        </w:rPr>
        <w:t xml:space="preserve">מדובר בגורמי </w:t>
      </w:r>
      <w:r w:rsidRPr="004311F9">
        <w:rPr>
          <w:rFonts w:hint="cs"/>
          <w:sz w:val="22"/>
          <w:szCs w:val="22"/>
          <w:rtl/>
        </w:rPr>
        <w:t xml:space="preserve">"החברה האזרחית", המקומית והבינלאומית: </w:t>
      </w:r>
    </w:p>
    <w:p w:rsidR="005366A8" w:rsidRPr="004311F9" w:rsidRDefault="005366A8" w:rsidP="005366A8">
      <w:pPr>
        <w:spacing w:after="40"/>
        <w:ind w:left="1440"/>
        <w:rPr>
          <w:sz w:val="22"/>
          <w:szCs w:val="22"/>
          <w:rtl/>
        </w:rPr>
      </w:pPr>
      <w:r>
        <w:rPr>
          <w:rFonts w:hint="cs"/>
          <w:sz w:val="22"/>
          <w:szCs w:val="22"/>
          <w:rtl/>
        </w:rPr>
        <w:t>כלי ה</w:t>
      </w:r>
      <w:r w:rsidRPr="004311F9">
        <w:rPr>
          <w:rFonts w:hint="cs"/>
          <w:sz w:val="22"/>
          <w:szCs w:val="22"/>
          <w:rtl/>
        </w:rPr>
        <w:t>תקשורת, ארגוני זכויות אדם</w:t>
      </w:r>
      <w:r>
        <w:rPr>
          <w:rFonts w:hint="cs"/>
          <w:sz w:val="22"/>
          <w:szCs w:val="22"/>
          <w:rtl/>
        </w:rPr>
        <w:t xml:space="preserve"> וארגוני שינוי חברתי אחרים, ועוד.</w:t>
      </w:r>
      <w:r w:rsidRPr="004311F9">
        <w:rPr>
          <w:rFonts w:hint="cs"/>
          <w:sz w:val="22"/>
          <w:szCs w:val="22"/>
          <w:rtl/>
        </w:rPr>
        <w:t>]</w:t>
      </w:r>
    </w:p>
    <w:p w:rsidR="005366A8" w:rsidRDefault="005366A8" w:rsidP="005366A8">
      <w:pPr>
        <w:spacing w:after="120"/>
        <w:rPr>
          <w:rFonts w:ascii="Arial" w:hAnsi="Arial" w:cs="Arial"/>
          <w:b/>
          <w:bCs/>
          <w:sz w:val="28"/>
          <w:szCs w:val="28"/>
          <w:u w:val="single"/>
          <w:rtl/>
        </w:rPr>
      </w:pPr>
    </w:p>
    <w:p w:rsidR="005366A8" w:rsidRPr="00ED62F3" w:rsidRDefault="005366A8" w:rsidP="005366A8">
      <w:pPr>
        <w:spacing w:after="120"/>
        <w:jc w:val="center"/>
        <w:rPr>
          <w:rFonts w:ascii="Arial" w:hAnsi="Arial" w:cs="Arial"/>
          <w:b/>
          <w:bCs/>
          <w:sz w:val="28"/>
          <w:szCs w:val="28"/>
          <w:u w:val="single"/>
          <w:rtl/>
        </w:rPr>
      </w:pPr>
      <w:r w:rsidRPr="005776EC">
        <w:rPr>
          <w:rFonts w:ascii="Arial" w:hAnsi="Arial" w:cs="Arial"/>
          <w:b/>
          <w:bCs/>
          <w:sz w:val="28"/>
          <w:szCs w:val="28"/>
          <w:highlight w:val="yellow"/>
          <w:u w:val="single"/>
          <w:rtl/>
        </w:rPr>
        <w:t>מוסדות היסוד של ישראל: הכנסת</w:t>
      </w:r>
    </w:p>
    <w:p w:rsidR="005366A8" w:rsidRPr="007145DA" w:rsidRDefault="005366A8" w:rsidP="005366A8">
      <w:pPr>
        <w:ind w:left="720"/>
        <w:rPr>
          <w:b/>
          <w:bCs/>
          <w:sz w:val="22"/>
          <w:szCs w:val="22"/>
          <w:u w:val="single"/>
          <w:rtl/>
        </w:rPr>
      </w:pPr>
      <w:r w:rsidRPr="007145DA">
        <w:rPr>
          <w:rFonts w:hint="cs"/>
          <w:b/>
          <w:bCs/>
          <w:sz w:val="22"/>
          <w:szCs w:val="22"/>
          <w:u w:val="single"/>
          <w:rtl/>
        </w:rPr>
        <w:t xml:space="preserve">כוח שלטוני של הכנסת: </w:t>
      </w:r>
      <w:r w:rsidRPr="007145DA">
        <w:rPr>
          <w:rFonts w:hint="cs"/>
          <w:b/>
          <w:bCs/>
          <w:i/>
          <w:iCs/>
          <w:sz w:val="22"/>
          <w:szCs w:val="22"/>
          <w:u w:val="single"/>
          <w:rtl/>
        </w:rPr>
        <w:t>כוח מורה (כוח מצווה)/ כוח מסמיך</w:t>
      </w:r>
    </w:p>
    <w:p w:rsidR="005366A8" w:rsidRPr="007145DA" w:rsidRDefault="005366A8" w:rsidP="005366A8">
      <w:pPr>
        <w:ind w:left="1440"/>
        <w:rPr>
          <w:b/>
          <w:bCs/>
          <w:sz w:val="22"/>
          <w:szCs w:val="22"/>
          <w:rtl/>
        </w:rPr>
      </w:pPr>
      <w:r w:rsidRPr="007145DA">
        <w:rPr>
          <w:rFonts w:hint="cs"/>
          <w:b/>
          <w:bCs/>
          <w:sz w:val="22"/>
          <w:szCs w:val="22"/>
          <w:rtl/>
        </w:rPr>
        <w:t>רשות מכוננת</w:t>
      </w:r>
    </w:p>
    <w:p w:rsidR="005366A8" w:rsidRPr="007145DA" w:rsidRDefault="005366A8" w:rsidP="005366A8">
      <w:pPr>
        <w:spacing w:after="120"/>
        <w:ind w:left="1440"/>
        <w:rPr>
          <w:b/>
          <w:bCs/>
          <w:sz w:val="22"/>
          <w:szCs w:val="22"/>
          <w:rtl/>
        </w:rPr>
      </w:pPr>
      <w:r w:rsidRPr="007145DA">
        <w:rPr>
          <w:rFonts w:hint="cs"/>
          <w:b/>
          <w:bCs/>
          <w:sz w:val="22"/>
          <w:szCs w:val="22"/>
          <w:rtl/>
        </w:rPr>
        <w:t>רשות מחוקקת</w:t>
      </w:r>
    </w:p>
    <w:p w:rsidR="005366A8" w:rsidRPr="007145DA" w:rsidRDefault="005366A8" w:rsidP="005366A8">
      <w:pPr>
        <w:ind w:left="720"/>
        <w:rPr>
          <w:b/>
          <w:bCs/>
          <w:sz w:val="22"/>
          <w:szCs w:val="22"/>
          <w:rtl/>
        </w:rPr>
      </w:pPr>
      <w:r w:rsidRPr="007145DA">
        <w:rPr>
          <w:rFonts w:hint="cs"/>
          <w:b/>
          <w:bCs/>
          <w:sz w:val="22"/>
          <w:szCs w:val="22"/>
          <w:u w:val="single"/>
          <w:rtl/>
        </w:rPr>
        <w:t xml:space="preserve">כוח שלטוני של הכנסת </w:t>
      </w:r>
      <w:r w:rsidRPr="007145DA">
        <w:rPr>
          <w:rFonts w:hint="cs"/>
          <w:b/>
          <w:bCs/>
          <w:i/>
          <w:iCs/>
          <w:sz w:val="22"/>
          <w:szCs w:val="22"/>
          <w:u w:val="single"/>
          <w:rtl/>
        </w:rPr>
        <w:t>בתחום הבקרה</w:t>
      </w:r>
      <w:r w:rsidRPr="007145DA">
        <w:rPr>
          <w:rFonts w:hint="cs"/>
          <w:b/>
          <w:bCs/>
          <w:sz w:val="22"/>
          <w:szCs w:val="22"/>
          <w:u w:val="single"/>
          <w:rtl/>
        </w:rPr>
        <w:t xml:space="preserve"> על הרשויות האחרות</w:t>
      </w:r>
      <w:r w:rsidRPr="007145DA">
        <w:rPr>
          <w:rFonts w:hint="cs"/>
          <w:b/>
          <w:bCs/>
          <w:sz w:val="22"/>
          <w:szCs w:val="22"/>
          <w:rtl/>
        </w:rPr>
        <w:t xml:space="preserve">: </w:t>
      </w:r>
    </w:p>
    <w:p w:rsidR="005366A8" w:rsidRPr="007145DA" w:rsidRDefault="005366A8" w:rsidP="005366A8">
      <w:pPr>
        <w:ind w:left="720"/>
        <w:rPr>
          <w:sz w:val="22"/>
          <w:szCs w:val="22"/>
          <w:rtl/>
        </w:rPr>
      </w:pPr>
      <w:r w:rsidRPr="007145DA">
        <w:rPr>
          <w:rFonts w:hint="cs"/>
          <w:b/>
          <w:bCs/>
          <w:sz w:val="22"/>
          <w:szCs w:val="22"/>
          <w:rtl/>
        </w:rPr>
        <w:t xml:space="preserve">הכנסת כמפקחת על פעולות </w:t>
      </w:r>
      <w:r w:rsidRPr="007145DA">
        <w:rPr>
          <w:rFonts w:hint="cs"/>
          <w:b/>
          <w:bCs/>
          <w:i/>
          <w:iCs/>
          <w:sz w:val="22"/>
          <w:szCs w:val="22"/>
          <w:rtl/>
        </w:rPr>
        <w:t>הממשלה</w:t>
      </w:r>
      <w:r w:rsidRPr="007145DA">
        <w:rPr>
          <w:rFonts w:hint="cs"/>
          <w:sz w:val="22"/>
          <w:szCs w:val="22"/>
          <w:rtl/>
        </w:rPr>
        <w:t xml:space="preserve"> </w:t>
      </w:r>
    </w:p>
    <w:p w:rsidR="005366A8" w:rsidRPr="007145DA" w:rsidRDefault="005366A8" w:rsidP="005366A8">
      <w:pPr>
        <w:ind w:left="1440"/>
        <w:rPr>
          <w:b/>
          <w:bCs/>
          <w:sz w:val="22"/>
          <w:szCs w:val="22"/>
          <w:rtl/>
        </w:rPr>
      </w:pPr>
      <w:r w:rsidRPr="007145DA">
        <w:rPr>
          <w:rFonts w:hint="cs"/>
          <w:b/>
          <w:bCs/>
          <w:sz w:val="22"/>
          <w:szCs w:val="22"/>
          <w:rtl/>
        </w:rPr>
        <w:t>הצורך באמון הכנסת בממשלה</w:t>
      </w:r>
    </w:p>
    <w:p w:rsidR="005366A8" w:rsidRPr="007145DA" w:rsidRDefault="005366A8" w:rsidP="005366A8">
      <w:pPr>
        <w:ind w:left="1440"/>
        <w:rPr>
          <w:sz w:val="22"/>
          <w:szCs w:val="22"/>
          <w:rtl/>
        </w:rPr>
      </w:pPr>
      <w:r w:rsidRPr="007145DA">
        <w:rPr>
          <w:rFonts w:hint="cs"/>
          <w:b/>
          <w:bCs/>
          <w:sz w:val="22"/>
          <w:szCs w:val="22"/>
          <w:rtl/>
        </w:rPr>
        <w:t>הפיקוח על תקציב המדינה</w:t>
      </w:r>
      <w:r w:rsidRPr="007145DA">
        <w:rPr>
          <w:rFonts w:hint="cs"/>
          <w:sz w:val="22"/>
          <w:szCs w:val="22"/>
          <w:rtl/>
        </w:rPr>
        <w:t>: הצורך בחוק לשם מיסוי; והצורך בחוק שיקבע את תקציב המדינה</w:t>
      </w:r>
    </w:p>
    <w:p w:rsidR="005366A8" w:rsidRPr="007145DA" w:rsidRDefault="005366A8" w:rsidP="005366A8">
      <w:pPr>
        <w:ind w:left="1440"/>
        <w:rPr>
          <w:b/>
          <w:bCs/>
          <w:sz w:val="22"/>
          <w:szCs w:val="22"/>
          <w:rtl/>
        </w:rPr>
      </w:pPr>
      <w:r w:rsidRPr="007145DA">
        <w:rPr>
          <w:rFonts w:hint="cs"/>
          <w:b/>
          <w:bCs/>
          <w:sz w:val="22"/>
          <w:szCs w:val="22"/>
          <w:rtl/>
        </w:rPr>
        <w:t>דרישת מידע מהממשלה והעלאת נושאים לדיון</w:t>
      </w:r>
    </w:p>
    <w:p w:rsidR="005366A8" w:rsidRPr="007145DA" w:rsidRDefault="005366A8" w:rsidP="005366A8">
      <w:pPr>
        <w:ind w:left="2160"/>
        <w:rPr>
          <w:sz w:val="22"/>
          <w:szCs w:val="22"/>
          <w:rtl/>
        </w:rPr>
      </w:pPr>
      <w:r w:rsidRPr="007145DA">
        <w:rPr>
          <w:rFonts w:hint="cs"/>
          <w:sz w:val="22"/>
          <w:szCs w:val="22"/>
          <w:rtl/>
        </w:rPr>
        <w:t>שאילתות; הצעות לסדר היום; ועדות חקירה פרלמנטריות; יחסי הגומלין ההדוקים בין הכנסת לבין מוסד מבקר המדינה</w:t>
      </w:r>
    </w:p>
    <w:p w:rsidR="005366A8" w:rsidRPr="007145DA" w:rsidRDefault="005366A8" w:rsidP="005366A8">
      <w:pPr>
        <w:ind w:left="720"/>
        <w:rPr>
          <w:b/>
          <w:bCs/>
          <w:sz w:val="22"/>
          <w:szCs w:val="22"/>
          <w:rtl/>
        </w:rPr>
      </w:pPr>
      <w:r w:rsidRPr="007145DA">
        <w:rPr>
          <w:rFonts w:hint="cs"/>
          <w:b/>
          <w:bCs/>
          <w:sz w:val="22"/>
          <w:szCs w:val="22"/>
          <w:rtl/>
        </w:rPr>
        <w:t xml:space="preserve">הכנסת לעיתים כמכריעה, לעיתים כמשפיעה, על </w:t>
      </w:r>
      <w:r w:rsidRPr="007145DA">
        <w:rPr>
          <w:rFonts w:hint="cs"/>
          <w:b/>
          <w:bCs/>
          <w:i/>
          <w:iCs/>
          <w:sz w:val="22"/>
          <w:szCs w:val="22"/>
          <w:rtl/>
        </w:rPr>
        <w:t>הרשות השופטת</w:t>
      </w:r>
    </w:p>
    <w:p w:rsidR="005366A8" w:rsidRPr="007145DA" w:rsidRDefault="005366A8" w:rsidP="005366A8">
      <w:pPr>
        <w:ind w:left="1440"/>
        <w:rPr>
          <w:sz w:val="22"/>
          <w:szCs w:val="22"/>
          <w:rtl/>
        </w:rPr>
      </w:pPr>
      <w:r w:rsidRPr="007145DA">
        <w:rPr>
          <w:rFonts w:hint="cs"/>
          <w:sz w:val="22"/>
          <w:szCs w:val="22"/>
          <w:rtl/>
        </w:rPr>
        <w:t>חוק יסוד: השפיטה, חוק בתי המשפט, התשי"ז-1957, וכמובן חקיקה נוספת - בתחום הראיות, סדרי הדין וכדומה;</w:t>
      </w:r>
    </w:p>
    <w:p w:rsidR="005366A8" w:rsidRPr="007145DA" w:rsidRDefault="005366A8" w:rsidP="005366A8">
      <w:pPr>
        <w:ind w:left="1440"/>
        <w:rPr>
          <w:sz w:val="22"/>
          <w:szCs w:val="22"/>
          <w:rtl/>
        </w:rPr>
      </w:pPr>
      <w:r w:rsidRPr="007145DA">
        <w:rPr>
          <w:rFonts w:hint="cs"/>
          <w:sz w:val="22"/>
          <w:szCs w:val="22"/>
          <w:rtl/>
        </w:rPr>
        <w:t>מעורבות הכנסת בוועדה לבחירת שופטים;</w:t>
      </w:r>
    </w:p>
    <w:p w:rsidR="005366A8" w:rsidRPr="007145DA" w:rsidRDefault="005366A8" w:rsidP="005366A8">
      <w:pPr>
        <w:ind w:left="1440"/>
        <w:rPr>
          <w:sz w:val="22"/>
          <w:szCs w:val="22"/>
          <w:rtl/>
        </w:rPr>
      </w:pPr>
      <w:r w:rsidRPr="007145DA">
        <w:rPr>
          <w:rFonts w:hint="cs"/>
          <w:sz w:val="22"/>
          <w:szCs w:val="22"/>
          <w:rtl/>
        </w:rPr>
        <w:t>תקציב הרשות השופטת, ועוד.</w:t>
      </w:r>
    </w:p>
    <w:p w:rsidR="005366A8" w:rsidRPr="00DF6EDD" w:rsidRDefault="005366A8" w:rsidP="005366A8">
      <w:pPr>
        <w:spacing w:after="120"/>
        <w:ind w:left="720"/>
        <w:rPr>
          <w:rFonts w:cs="Guttman-Soncino"/>
          <w:b/>
          <w:bCs/>
          <w:sz w:val="22"/>
          <w:szCs w:val="22"/>
          <w:rtl/>
        </w:rPr>
      </w:pPr>
      <w:r w:rsidRPr="00DF6EDD">
        <w:rPr>
          <w:rFonts w:cs="Guttman-Soncino" w:hint="cs"/>
          <w:b/>
          <w:bCs/>
          <w:sz w:val="22"/>
          <w:szCs w:val="22"/>
          <w:rtl/>
        </w:rPr>
        <w:t>נורמות שמייצרת הכנסת</w:t>
      </w:r>
      <w:r>
        <w:rPr>
          <w:rFonts w:cs="Guttman-Soncino" w:hint="cs"/>
          <w:b/>
          <w:bCs/>
          <w:sz w:val="22"/>
          <w:szCs w:val="22"/>
          <w:rtl/>
        </w:rPr>
        <w:t>:</w:t>
      </w:r>
    </w:p>
    <w:p w:rsidR="005366A8" w:rsidRPr="00480324" w:rsidRDefault="005366A8" w:rsidP="005366A8">
      <w:pPr>
        <w:spacing w:after="120"/>
        <w:ind w:left="1440"/>
        <w:rPr>
          <w:b/>
          <w:bCs/>
          <w:sz w:val="22"/>
          <w:szCs w:val="22"/>
          <w:rtl/>
        </w:rPr>
      </w:pPr>
      <w:r>
        <w:rPr>
          <w:rFonts w:hint="cs"/>
          <w:b/>
          <w:bCs/>
          <w:sz w:val="22"/>
          <w:szCs w:val="22"/>
          <w:rtl/>
        </w:rPr>
        <w:t>^</w:t>
      </w:r>
      <w:r w:rsidRPr="00480324">
        <w:rPr>
          <w:rFonts w:hint="cs"/>
          <w:b/>
          <w:bCs/>
          <w:sz w:val="22"/>
          <w:szCs w:val="22"/>
          <w:rtl/>
        </w:rPr>
        <w:t>חוקי יסוד</w:t>
      </w:r>
    </w:p>
    <w:p w:rsidR="005366A8" w:rsidRPr="00480324" w:rsidRDefault="005366A8" w:rsidP="005366A8">
      <w:pPr>
        <w:spacing w:after="120"/>
        <w:ind w:left="1440"/>
        <w:rPr>
          <w:b/>
          <w:bCs/>
          <w:sz w:val="22"/>
          <w:szCs w:val="22"/>
          <w:rtl/>
        </w:rPr>
      </w:pPr>
      <w:r>
        <w:rPr>
          <w:rFonts w:hint="cs"/>
          <w:b/>
          <w:bCs/>
          <w:sz w:val="22"/>
          <w:szCs w:val="22"/>
          <w:rtl/>
        </w:rPr>
        <w:t>^</w:t>
      </w:r>
      <w:r w:rsidRPr="00480324">
        <w:rPr>
          <w:rFonts w:hint="cs"/>
          <w:b/>
          <w:bCs/>
          <w:sz w:val="22"/>
          <w:szCs w:val="22"/>
          <w:rtl/>
        </w:rPr>
        <w:t>חקיקה</w:t>
      </w:r>
    </w:p>
    <w:p w:rsidR="005366A8" w:rsidRPr="00480324" w:rsidRDefault="005366A8" w:rsidP="005366A8">
      <w:pPr>
        <w:spacing w:after="120"/>
        <w:ind w:left="2160" w:hanging="720"/>
        <w:rPr>
          <w:sz w:val="22"/>
          <w:szCs w:val="22"/>
          <w:rtl/>
        </w:rPr>
      </w:pPr>
      <w:r>
        <w:rPr>
          <w:rFonts w:hint="cs"/>
          <w:b/>
          <w:bCs/>
          <w:sz w:val="22"/>
          <w:szCs w:val="22"/>
          <w:rtl/>
        </w:rPr>
        <w:t>^</w:t>
      </w:r>
      <w:r w:rsidRPr="00135854">
        <w:rPr>
          <w:rFonts w:hint="cs"/>
          <w:b/>
          <w:bCs/>
          <w:sz w:val="22"/>
          <w:szCs w:val="22"/>
          <w:rtl/>
        </w:rPr>
        <w:t>תקנון הכנסת</w:t>
      </w:r>
      <w:r w:rsidRPr="00480324">
        <w:rPr>
          <w:rFonts w:hint="cs"/>
          <w:sz w:val="22"/>
          <w:szCs w:val="22"/>
          <w:rtl/>
        </w:rPr>
        <w:t xml:space="preserve"> </w:t>
      </w:r>
      <w:r w:rsidRPr="00480324">
        <w:rPr>
          <w:sz w:val="22"/>
          <w:szCs w:val="22"/>
          <w:rtl/>
        </w:rPr>
        <w:t>–</w:t>
      </w:r>
      <w:r w:rsidRPr="00480324">
        <w:rPr>
          <w:rFonts w:hint="cs"/>
          <w:sz w:val="22"/>
          <w:szCs w:val="22"/>
          <w:rtl/>
        </w:rPr>
        <w:t xml:space="preserve"> הסדרת "החיים הפנימיים" בכנסת </w:t>
      </w:r>
      <w:r w:rsidRPr="00480324">
        <w:rPr>
          <w:sz w:val="22"/>
          <w:szCs w:val="22"/>
          <w:rtl/>
        </w:rPr>
        <w:t>–</w:t>
      </w:r>
      <w:r w:rsidRPr="00480324">
        <w:rPr>
          <w:rFonts w:hint="cs"/>
          <w:sz w:val="22"/>
          <w:szCs w:val="22"/>
          <w:rtl/>
        </w:rPr>
        <w:t xml:space="preserve"> חלק גדול מכללי המשחק הפרלמנטריים</w:t>
      </w:r>
      <w:r>
        <w:rPr>
          <w:rFonts w:hint="cs"/>
          <w:sz w:val="22"/>
          <w:szCs w:val="22"/>
          <w:rtl/>
        </w:rPr>
        <w:t xml:space="preserve"> מצויים שם</w:t>
      </w:r>
    </w:p>
    <w:p w:rsidR="005366A8" w:rsidRPr="00480324" w:rsidRDefault="005366A8" w:rsidP="005366A8">
      <w:pPr>
        <w:spacing w:after="120"/>
        <w:ind w:left="1440"/>
        <w:rPr>
          <w:b/>
          <w:bCs/>
          <w:sz w:val="22"/>
          <w:szCs w:val="22"/>
          <w:rtl/>
        </w:rPr>
      </w:pPr>
      <w:r>
        <w:rPr>
          <w:rFonts w:hint="cs"/>
          <w:b/>
          <w:bCs/>
          <w:sz w:val="22"/>
          <w:szCs w:val="22"/>
          <w:rtl/>
        </w:rPr>
        <w:t>^</w:t>
      </w:r>
      <w:r w:rsidRPr="00480324">
        <w:rPr>
          <w:rFonts w:hint="cs"/>
          <w:b/>
          <w:bCs/>
          <w:sz w:val="22"/>
          <w:szCs w:val="22"/>
          <w:rtl/>
        </w:rPr>
        <w:t xml:space="preserve">החלטות הכנסת </w:t>
      </w:r>
      <w:r w:rsidRPr="00480324">
        <w:rPr>
          <w:b/>
          <w:bCs/>
          <w:sz w:val="22"/>
          <w:szCs w:val="22"/>
          <w:rtl/>
        </w:rPr>
        <w:t>–</w:t>
      </w:r>
      <w:r w:rsidRPr="00480324">
        <w:rPr>
          <w:rFonts w:hint="cs"/>
          <w:b/>
          <w:bCs/>
          <w:sz w:val="22"/>
          <w:szCs w:val="22"/>
          <w:rtl/>
        </w:rPr>
        <w:t xml:space="preserve"> </w:t>
      </w:r>
    </w:p>
    <w:p w:rsidR="005366A8" w:rsidRPr="00480324" w:rsidRDefault="005366A8" w:rsidP="005366A8">
      <w:pPr>
        <w:spacing w:after="120"/>
        <w:ind w:left="2160"/>
        <w:rPr>
          <w:b/>
          <w:bCs/>
          <w:sz w:val="22"/>
          <w:szCs w:val="22"/>
          <w:rtl/>
        </w:rPr>
      </w:pPr>
      <w:r>
        <w:rPr>
          <w:rFonts w:hint="cs"/>
          <w:b/>
          <w:bCs/>
          <w:sz w:val="22"/>
          <w:szCs w:val="22"/>
          <w:rtl/>
        </w:rPr>
        <w:t>יש להבחין ב</w:t>
      </w:r>
      <w:r w:rsidRPr="00480324">
        <w:rPr>
          <w:rFonts w:hint="cs"/>
          <w:b/>
          <w:bCs/>
          <w:sz w:val="22"/>
          <w:szCs w:val="22"/>
          <w:rtl/>
        </w:rPr>
        <w:t xml:space="preserve">ין החלטות </w:t>
      </w:r>
      <w:r>
        <w:rPr>
          <w:rFonts w:hint="cs"/>
          <w:b/>
          <w:bCs/>
          <w:sz w:val="22"/>
          <w:szCs w:val="22"/>
          <w:rtl/>
        </w:rPr>
        <w:t xml:space="preserve">כנסת שהן </w:t>
      </w:r>
      <w:r w:rsidRPr="00480324">
        <w:rPr>
          <w:rFonts w:hint="cs"/>
          <w:b/>
          <w:bCs/>
          <w:sz w:val="22"/>
          <w:szCs w:val="22"/>
          <w:rtl/>
        </w:rPr>
        <w:t xml:space="preserve">בעלות תוקף נורמטיבי </w:t>
      </w:r>
      <w:r>
        <w:rPr>
          <w:rFonts w:hint="cs"/>
          <w:b/>
          <w:bCs/>
          <w:sz w:val="22"/>
          <w:szCs w:val="22"/>
          <w:rtl/>
        </w:rPr>
        <w:t xml:space="preserve">(משמע, שהן מגבשות או נדרשות לצורך התגבשותה של נורמה משפטית) לבין החלטות כנסת </w:t>
      </w:r>
      <w:r w:rsidRPr="00480324">
        <w:rPr>
          <w:rFonts w:hint="cs"/>
          <w:b/>
          <w:bCs/>
          <w:sz w:val="22"/>
          <w:szCs w:val="22"/>
          <w:rtl/>
        </w:rPr>
        <w:t>שאין להן תוקף נורמטיבי</w:t>
      </w:r>
    </w:p>
    <w:p w:rsidR="005366A8" w:rsidRPr="00480324" w:rsidRDefault="005366A8" w:rsidP="005366A8">
      <w:pPr>
        <w:spacing w:after="120"/>
        <w:ind w:left="2160"/>
        <w:rPr>
          <w:rFonts w:cs="David"/>
          <w:sz w:val="22"/>
          <w:szCs w:val="22"/>
          <w:rtl/>
        </w:rPr>
      </w:pPr>
      <w:r w:rsidRPr="00480324">
        <w:rPr>
          <w:rFonts w:hint="cs"/>
          <w:sz w:val="22"/>
          <w:szCs w:val="22"/>
          <w:rtl/>
        </w:rPr>
        <w:t xml:space="preserve">כדוגמא לסוג הראשון, ראו, למשל, </w:t>
      </w:r>
      <w:r>
        <w:rPr>
          <w:rFonts w:cs="David" w:hint="cs"/>
          <w:sz w:val="22"/>
          <w:szCs w:val="22"/>
          <w:rtl/>
        </w:rPr>
        <w:t xml:space="preserve">תפקידה של הכנסת במסגרתו של </w:t>
      </w:r>
      <w:r w:rsidRPr="00480324">
        <w:rPr>
          <w:rFonts w:cs="David"/>
          <w:sz w:val="22"/>
          <w:szCs w:val="22"/>
          <w:rtl/>
        </w:rPr>
        <w:t>חוק סדרי השלטון והמשפט (ביטול החלת המשפט, השיפוט והמינהל), התשנ"ט-1999</w:t>
      </w:r>
      <w:r w:rsidRPr="00480324">
        <w:rPr>
          <w:rFonts w:cs="David" w:hint="cs"/>
          <w:sz w:val="22"/>
          <w:szCs w:val="22"/>
          <w:rtl/>
        </w:rPr>
        <w:t>:</w:t>
      </w:r>
    </w:p>
    <w:p w:rsidR="005366A8" w:rsidRDefault="005366A8" w:rsidP="005366A8">
      <w:pPr>
        <w:spacing w:after="120"/>
        <w:ind w:left="2880"/>
        <w:rPr>
          <w:rFonts w:cs="David"/>
          <w:sz w:val="20"/>
          <w:szCs w:val="20"/>
          <w:rtl/>
        </w:rPr>
      </w:pPr>
      <w:r>
        <w:rPr>
          <w:rFonts w:cs="David" w:hint="cs"/>
          <w:sz w:val="20"/>
          <w:szCs w:val="20"/>
          <w:rtl/>
        </w:rPr>
        <w:t xml:space="preserve">1א (ב). </w:t>
      </w:r>
      <w:r w:rsidRPr="00E549C7">
        <w:rPr>
          <w:rFonts w:cs="David"/>
          <w:sz w:val="20"/>
          <w:szCs w:val="20"/>
          <w:rtl/>
        </w:rPr>
        <w:t xml:space="preserve">החלטת הממשלה שלפיה המשפט, השיפוט והמינהל של מדינת ישראל לא יחולו עוד על שטח שלא בדרך של הסכם כאמור בסעיף קטן (א), טעונה </w:t>
      </w:r>
      <w:r w:rsidRPr="00E549C7">
        <w:rPr>
          <w:rFonts w:cs="David"/>
          <w:sz w:val="20"/>
          <w:szCs w:val="20"/>
          <w:highlight w:val="yellow"/>
          <w:rtl/>
        </w:rPr>
        <w:t>אישור על ידי הכנסת</w:t>
      </w:r>
      <w:r w:rsidRPr="00E549C7">
        <w:rPr>
          <w:rFonts w:cs="David"/>
          <w:sz w:val="20"/>
          <w:szCs w:val="20"/>
          <w:rtl/>
        </w:rPr>
        <w:t xml:space="preserve"> ובמשאל עם, </w:t>
      </w:r>
      <w:r>
        <w:rPr>
          <w:rFonts w:cs="David" w:hint="cs"/>
          <w:sz w:val="20"/>
          <w:szCs w:val="20"/>
          <w:rtl/>
        </w:rPr>
        <w:t>..</w:t>
      </w:r>
      <w:r w:rsidRPr="00E549C7">
        <w:rPr>
          <w:rFonts w:cs="David"/>
          <w:sz w:val="20"/>
          <w:szCs w:val="20"/>
          <w:rtl/>
        </w:rPr>
        <w:t>.</w:t>
      </w:r>
    </w:p>
    <w:p w:rsidR="005366A8" w:rsidRPr="00F12CD2" w:rsidRDefault="005366A8" w:rsidP="005366A8">
      <w:pPr>
        <w:spacing w:after="120"/>
        <w:ind w:left="2880"/>
        <w:rPr>
          <w:rFonts w:cs="David"/>
          <w:sz w:val="20"/>
          <w:szCs w:val="20"/>
          <w:rtl/>
        </w:rPr>
      </w:pPr>
      <w:r>
        <w:rPr>
          <w:rFonts w:cs="David" w:hint="cs"/>
          <w:sz w:val="20"/>
          <w:szCs w:val="20"/>
          <w:rtl/>
        </w:rPr>
        <w:t xml:space="preserve">2 (ג). </w:t>
      </w:r>
      <w:r w:rsidRPr="00E549C7">
        <w:rPr>
          <w:rFonts w:cs="David"/>
          <w:sz w:val="20"/>
          <w:szCs w:val="20"/>
          <w:highlight w:val="yellow"/>
          <w:rtl/>
        </w:rPr>
        <w:t>אישור הכנסת לפי סעיף זה יהיה ברוב חבריה</w:t>
      </w:r>
      <w:r w:rsidRPr="00E549C7">
        <w:rPr>
          <w:rFonts w:cs="David"/>
          <w:sz w:val="20"/>
          <w:szCs w:val="20"/>
          <w:rtl/>
        </w:rPr>
        <w:t>.</w:t>
      </w:r>
    </w:p>
    <w:p w:rsidR="005366A8" w:rsidRPr="00480324" w:rsidRDefault="005366A8" w:rsidP="005366A8">
      <w:pPr>
        <w:spacing w:after="120"/>
        <w:ind w:left="1440"/>
        <w:rPr>
          <w:sz w:val="22"/>
          <w:szCs w:val="22"/>
          <w:rtl/>
        </w:rPr>
      </w:pPr>
      <w:r>
        <w:rPr>
          <w:rFonts w:hint="cs"/>
          <w:b/>
          <w:bCs/>
          <w:sz w:val="22"/>
          <w:szCs w:val="22"/>
          <w:rtl/>
        </w:rPr>
        <w:t>^</w:t>
      </w:r>
      <w:r w:rsidRPr="00480324">
        <w:rPr>
          <w:rFonts w:hint="cs"/>
          <w:b/>
          <w:bCs/>
          <w:sz w:val="22"/>
          <w:szCs w:val="22"/>
          <w:rtl/>
        </w:rPr>
        <w:t xml:space="preserve">מעורבות הכנסת בקבלת חלק מחקיקת המשנה: </w:t>
      </w:r>
      <w:r>
        <w:rPr>
          <w:rFonts w:hint="cs"/>
          <w:b/>
          <w:bCs/>
          <w:sz w:val="22"/>
          <w:szCs w:val="22"/>
          <w:rtl/>
        </w:rPr>
        <w:t>משמע, "</w:t>
      </w:r>
      <w:r w:rsidRPr="00480324">
        <w:rPr>
          <w:rFonts w:hint="cs"/>
          <w:b/>
          <w:bCs/>
          <w:sz w:val="22"/>
          <w:szCs w:val="22"/>
          <w:rtl/>
        </w:rPr>
        <w:t>תקנות</w:t>
      </w:r>
      <w:r>
        <w:rPr>
          <w:rFonts w:hint="cs"/>
          <w:b/>
          <w:bCs/>
          <w:sz w:val="22"/>
          <w:szCs w:val="22"/>
          <w:rtl/>
        </w:rPr>
        <w:t xml:space="preserve">" (או "כללים") שמתקינות </w:t>
      </w:r>
      <w:r w:rsidRPr="00480324">
        <w:rPr>
          <w:rFonts w:hint="cs"/>
          <w:b/>
          <w:bCs/>
          <w:sz w:val="22"/>
          <w:szCs w:val="22"/>
          <w:rtl/>
        </w:rPr>
        <w:t xml:space="preserve">רשויות המינהל </w:t>
      </w:r>
      <w:r w:rsidRPr="00480324">
        <w:rPr>
          <w:rFonts w:hint="cs"/>
          <w:sz w:val="22"/>
          <w:szCs w:val="22"/>
          <w:rtl/>
        </w:rPr>
        <w:t xml:space="preserve"> </w:t>
      </w:r>
    </w:p>
    <w:p w:rsidR="005366A8" w:rsidRPr="00480324" w:rsidRDefault="005366A8" w:rsidP="005366A8">
      <w:pPr>
        <w:spacing w:after="120"/>
        <w:ind w:left="2160"/>
        <w:rPr>
          <w:b/>
          <w:bCs/>
          <w:sz w:val="22"/>
          <w:szCs w:val="22"/>
          <w:rtl/>
        </w:rPr>
      </w:pPr>
      <w:r>
        <w:rPr>
          <w:rFonts w:hint="cs"/>
          <w:sz w:val="22"/>
          <w:szCs w:val="22"/>
          <w:rtl/>
        </w:rPr>
        <w:t xml:space="preserve">המעורבות מופיעה </w:t>
      </w:r>
      <w:r w:rsidRPr="00480324">
        <w:rPr>
          <w:rFonts w:hint="cs"/>
          <w:sz w:val="22"/>
          <w:szCs w:val="22"/>
          <w:rtl/>
        </w:rPr>
        <w:t xml:space="preserve">בדרך של </w:t>
      </w:r>
      <w:r w:rsidRPr="006C6B8F">
        <w:rPr>
          <w:rFonts w:hint="cs"/>
          <w:sz w:val="22"/>
          <w:szCs w:val="22"/>
          <w:u w:val="single"/>
          <w:rtl/>
        </w:rPr>
        <w:t>צורך ב</w:t>
      </w:r>
      <w:r w:rsidRPr="00B41942">
        <w:rPr>
          <w:rFonts w:hint="cs"/>
          <w:sz w:val="22"/>
          <w:szCs w:val="22"/>
          <w:u w:val="single"/>
          <w:rtl/>
        </w:rPr>
        <w:t>קבלת הסכמתה ("אישור")</w:t>
      </w:r>
      <w:r>
        <w:rPr>
          <w:rFonts w:hint="cs"/>
          <w:sz w:val="22"/>
          <w:szCs w:val="22"/>
          <w:rtl/>
        </w:rPr>
        <w:t xml:space="preserve"> </w:t>
      </w:r>
      <w:r w:rsidRPr="00480324">
        <w:rPr>
          <w:rFonts w:hint="cs"/>
          <w:sz w:val="22"/>
          <w:szCs w:val="22"/>
          <w:rtl/>
        </w:rPr>
        <w:t xml:space="preserve">של ועדת כנסת כזו או אחרת, </w:t>
      </w:r>
      <w:r w:rsidRPr="007145DA">
        <w:rPr>
          <w:rFonts w:hint="cs"/>
          <w:sz w:val="22"/>
          <w:szCs w:val="22"/>
          <w:u w:val="single"/>
          <w:rtl/>
        </w:rPr>
        <w:t>או</w:t>
      </w:r>
      <w:r w:rsidRPr="00480324">
        <w:rPr>
          <w:rFonts w:hint="cs"/>
          <w:sz w:val="22"/>
          <w:szCs w:val="22"/>
          <w:rtl/>
        </w:rPr>
        <w:t xml:space="preserve"> בדרך של </w:t>
      </w:r>
      <w:r w:rsidRPr="007145DA">
        <w:rPr>
          <w:rFonts w:hint="cs"/>
          <w:sz w:val="22"/>
          <w:szCs w:val="22"/>
          <w:u w:val="single"/>
          <w:rtl/>
        </w:rPr>
        <w:t>חובת היוועצות</w:t>
      </w:r>
      <w:r w:rsidRPr="00480324">
        <w:rPr>
          <w:rFonts w:hint="cs"/>
          <w:sz w:val="22"/>
          <w:szCs w:val="22"/>
          <w:rtl/>
        </w:rPr>
        <w:t xml:space="preserve"> עמה</w:t>
      </w:r>
      <w:r>
        <w:rPr>
          <w:rFonts w:hint="cs"/>
          <w:b/>
          <w:bCs/>
          <w:sz w:val="22"/>
          <w:szCs w:val="22"/>
          <w:rtl/>
        </w:rPr>
        <w:t xml:space="preserve"> </w:t>
      </w:r>
      <w:r>
        <w:rPr>
          <w:rFonts w:hint="cs"/>
          <w:sz w:val="22"/>
          <w:szCs w:val="22"/>
          <w:rtl/>
        </w:rPr>
        <w:t>[יש כמובן הבדל חשוב בין השתיים]</w:t>
      </w:r>
      <w:r>
        <w:rPr>
          <w:rFonts w:hint="cs"/>
          <w:b/>
          <w:bCs/>
          <w:sz w:val="22"/>
          <w:szCs w:val="22"/>
          <w:rtl/>
        </w:rPr>
        <w:t>:</w:t>
      </w:r>
    </w:p>
    <w:p w:rsidR="005366A8" w:rsidRPr="00480324" w:rsidRDefault="005366A8" w:rsidP="005366A8">
      <w:pPr>
        <w:spacing w:after="120"/>
        <w:ind w:left="2880"/>
        <w:rPr>
          <w:rFonts w:cs="David"/>
          <w:sz w:val="22"/>
          <w:szCs w:val="22"/>
          <w:rtl/>
        </w:rPr>
      </w:pPr>
      <w:r w:rsidRPr="00480324">
        <w:rPr>
          <w:rFonts w:hint="cs"/>
          <w:sz w:val="22"/>
          <w:szCs w:val="22"/>
          <w:rtl/>
        </w:rPr>
        <w:t xml:space="preserve">ראו למשל, </w:t>
      </w:r>
      <w:r w:rsidRPr="00480324">
        <w:rPr>
          <w:rFonts w:cs="David"/>
          <w:sz w:val="22"/>
          <w:szCs w:val="22"/>
          <w:rtl/>
        </w:rPr>
        <w:t>חוק העונשין, תשל"ז-1977</w:t>
      </w:r>
      <w:r w:rsidRPr="00480324">
        <w:rPr>
          <w:rFonts w:cs="David" w:hint="cs"/>
          <w:sz w:val="22"/>
          <w:szCs w:val="22"/>
          <w:rtl/>
        </w:rPr>
        <w:t>, סע'</w:t>
      </w:r>
      <w:r w:rsidRPr="00480324">
        <w:rPr>
          <w:rFonts w:cs="David"/>
          <w:sz w:val="22"/>
          <w:szCs w:val="22"/>
          <w:rtl/>
        </w:rPr>
        <w:t xml:space="preserve"> 2 </w:t>
      </w:r>
      <w:r w:rsidRPr="00480324">
        <w:rPr>
          <w:rFonts w:cs="David" w:hint="cs"/>
          <w:sz w:val="22"/>
          <w:szCs w:val="22"/>
          <w:rtl/>
        </w:rPr>
        <w:t>[</w:t>
      </w:r>
      <w:r w:rsidRPr="00480324">
        <w:rPr>
          <w:rFonts w:cs="David"/>
          <w:sz w:val="22"/>
          <w:szCs w:val="22"/>
          <w:rtl/>
        </w:rPr>
        <w:t>ענישה לפי חקיקת משנה</w:t>
      </w:r>
      <w:r w:rsidRPr="00480324">
        <w:rPr>
          <w:rFonts w:cs="David" w:hint="cs"/>
          <w:sz w:val="22"/>
          <w:szCs w:val="22"/>
          <w:rtl/>
        </w:rPr>
        <w:t>]</w:t>
      </w:r>
    </w:p>
    <w:p w:rsidR="005366A8" w:rsidRPr="00F12CD2" w:rsidRDefault="005366A8" w:rsidP="005366A8">
      <w:pPr>
        <w:spacing w:after="120"/>
        <w:ind w:left="3088"/>
        <w:rPr>
          <w:rFonts w:cs="David"/>
          <w:sz w:val="20"/>
          <w:szCs w:val="20"/>
          <w:rtl/>
        </w:rPr>
      </w:pPr>
      <w:r w:rsidRPr="00F12CD2">
        <w:rPr>
          <w:rFonts w:cs="David"/>
          <w:sz w:val="20"/>
          <w:szCs w:val="20"/>
          <w:rtl/>
        </w:rPr>
        <w:t xml:space="preserve">(א) הסמכות להתקין תקנות לביצוע חוק, כוללת אף את הסמכות לקבוע עבירות על התקנות ועונשים על עשייתן; ואולם, עונש מאסר שנקבע בתקנה, תקופתו לא תעלה על ששה חודשים, ואם נקבע עונש קנס - לא יעלה שיעורו על הקנס שניתן להטיל בשל עבירה שעונשה הוא קנס שלא נקבע לו סכום. </w:t>
      </w:r>
      <w:r w:rsidRPr="00F12CD2">
        <w:rPr>
          <w:rFonts w:cs="David"/>
          <w:sz w:val="20"/>
          <w:szCs w:val="20"/>
          <w:rtl/>
        </w:rPr>
        <w:cr/>
        <w:t xml:space="preserve">(ב) תקנות שבהן נקבעו עבירות ועונשים </w:t>
      </w:r>
      <w:r w:rsidRPr="007145DA">
        <w:rPr>
          <w:rFonts w:cs="David"/>
          <w:sz w:val="20"/>
          <w:szCs w:val="20"/>
          <w:highlight w:val="yellow"/>
          <w:rtl/>
        </w:rPr>
        <w:t>טעונות אישור</w:t>
      </w:r>
      <w:r w:rsidRPr="00F12CD2">
        <w:rPr>
          <w:rFonts w:cs="David"/>
          <w:sz w:val="20"/>
          <w:szCs w:val="20"/>
          <w:rtl/>
        </w:rPr>
        <w:t xml:space="preserve"> ועדה של הכנסת.</w:t>
      </w:r>
    </w:p>
    <w:p w:rsidR="005366A8" w:rsidRPr="00480324" w:rsidRDefault="005366A8" w:rsidP="005366A8">
      <w:pPr>
        <w:spacing w:after="120"/>
        <w:ind w:left="1440"/>
        <w:rPr>
          <w:b/>
          <w:bCs/>
          <w:sz w:val="22"/>
          <w:szCs w:val="22"/>
          <w:rtl/>
        </w:rPr>
      </w:pPr>
      <w:r>
        <w:rPr>
          <w:rFonts w:hint="cs"/>
          <w:b/>
          <w:bCs/>
          <w:sz w:val="22"/>
          <w:szCs w:val="22"/>
          <w:rtl/>
        </w:rPr>
        <w:t>^</w:t>
      </w:r>
      <w:r w:rsidRPr="00480324">
        <w:rPr>
          <w:rFonts w:hint="cs"/>
          <w:b/>
          <w:bCs/>
          <w:sz w:val="22"/>
          <w:szCs w:val="22"/>
          <w:rtl/>
        </w:rPr>
        <w:t>סמכויות מעין-שיפוטיות של הכנסת</w:t>
      </w:r>
    </w:p>
    <w:p w:rsidR="005366A8" w:rsidRPr="00480324" w:rsidRDefault="005366A8" w:rsidP="005366A8">
      <w:pPr>
        <w:spacing w:after="120"/>
        <w:ind w:left="2160"/>
        <w:rPr>
          <w:sz w:val="22"/>
          <w:szCs w:val="22"/>
          <w:rtl/>
        </w:rPr>
      </w:pPr>
      <w:r>
        <w:rPr>
          <w:rFonts w:hint="cs"/>
          <w:sz w:val="22"/>
          <w:szCs w:val="22"/>
          <w:rtl/>
        </w:rPr>
        <w:t>למשל, הסרת חסינות חברי כנסת (נראה זאת בפגישה הבאה);  השעי</w:t>
      </w:r>
      <w:r w:rsidRPr="00480324">
        <w:rPr>
          <w:rFonts w:hint="cs"/>
          <w:sz w:val="22"/>
          <w:szCs w:val="22"/>
          <w:rtl/>
        </w:rPr>
        <w:t>ה של חברי</w:t>
      </w:r>
      <w:r>
        <w:rPr>
          <w:rFonts w:hint="cs"/>
          <w:sz w:val="22"/>
          <w:szCs w:val="22"/>
          <w:rtl/>
        </w:rPr>
        <w:t xml:space="preserve"> כנסת</w:t>
      </w:r>
      <w:r w:rsidRPr="00480324">
        <w:rPr>
          <w:rFonts w:hint="cs"/>
          <w:sz w:val="22"/>
          <w:szCs w:val="22"/>
          <w:rtl/>
        </w:rPr>
        <w:t xml:space="preserve"> מכהונתם</w:t>
      </w:r>
      <w:r>
        <w:rPr>
          <w:rFonts w:hint="cs"/>
          <w:sz w:val="22"/>
          <w:szCs w:val="22"/>
          <w:rtl/>
        </w:rPr>
        <w:t xml:space="preserve"> או מתפקידיהם</w:t>
      </w:r>
      <w:r w:rsidRPr="00480324">
        <w:rPr>
          <w:rFonts w:hint="cs"/>
          <w:sz w:val="22"/>
          <w:szCs w:val="22"/>
          <w:rtl/>
        </w:rPr>
        <w:t>;  והסמכות להעביר מכהונתם את נשיא המדינה ומבקר המדינה</w:t>
      </w:r>
      <w:r>
        <w:rPr>
          <w:rFonts w:hint="cs"/>
          <w:sz w:val="22"/>
          <w:szCs w:val="22"/>
          <w:rtl/>
        </w:rPr>
        <w:t>.</w:t>
      </w:r>
    </w:p>
    <w:p w:rsidR="005366A8" w:rsidRDefault="005366A8" w:rsidP="005366A8">
      <w:pPr>
        <w:ind w:left="720"/>
        <w:rPr>
          <w:sz w:val="22"/>
          <w:szCs w:val="22"/>
          <w:rtl/>
        </w:rPr>
      </w:pPr>
      <w:r w:rsidRPr="00480324">
        <w:rPr>
          <w:rFonts w:hint="cs"/>
          <w:sz w:val="22"/>
          <w:szCs w:val="22"/>
          <w:rtl/>
        </w:rPr>
        <w:t>=-=</w:t>
      </w:r>
    </w:p>
    <w:p w:rsidR="005366A8" w:rsidRPr="00E07B0F" w:rsidRDefault="005366A8" w:rsidP="005366A8">
      <w:pPr>
        <w:spacing w:after="120"/>
        <w:jc w:val="center"/>
        <w:rPr>
          <w:rFonts w:ascii="Arial" w:hAnsi="Arial" w:cs="Arial"/>
          <w:b/>
          <w:bCs/>
        </w:rPr>
      </w:pPr>
      <w:r w:rsidRPr="005776EC">
        <w:rPr>
          <w:rFonts w:ascii="Arial" w:hAnsi="Arial" w:cs="Arial"/>
          <w:b/>
          <w:bCs/>
          <w:highlight w:val="yellow"/>
          <w:rtl/>
        </w:rPr>
        <w:t>אמצעים המסורים לכנסת לפיקוח על פעולות הממשלה</w:t>
      </w:r>
    </w:p>
    <w:p w:rsidR="005366A8" w:rsidRDefault="005366A8" w:rsidP="005366A8">
      <w:pPr>
        <w:rPr>
          <w:b/>
          <w:bCs/>
          <w:sz w:val="20"/>
          <w:szCs w:val="20"/>
          <w:rtl/>
        </w:rPr>
      </w:pPr>
      <w:r>
        <w:rPr>
          <w:rFonts w:hint="cs"/>
          <w:b/>
          <w:bCs/>
          <w:sz w:val="20"/>
          <w:szCs w:val="20"/>
          <w:rtl/>
        </w:rPr>
        <w:t>[רובינשטיין ומדינה:]</w:t>
      </w:r>
    </w:p>
    <w:p w:rsidR="005366A8" w:rsidRDefault="005366A8" w:rsidP="005366A8">
      <w:pPr>
        <w:rPr>
          <w:b/>
          <w:bCs/>
          <w:sz w:val="20"/>
          <w:szCs w:val="20"/>
          <w:rtl/>
        </w:rPr>
      </w:pPr>
    </w:p>
    <w:p w:rsidR="005366A8" w:rsidRPr="006D3CCB" w:rsidRDefault="005366A8" w:rsidP="005366A8">
      <w:pPr>
        <w:rPr>
          <w:sz w:val="20"/>
          <w:szCs w:val="20"/>
        </w:rPr>
      </w:pPr>
      <w:r w:rsidRPr="006D3CCB">
        <w:rPr>
          <w:b/>
          <w:bCs/>
          <w:sz w:val="20"/>
          <w:szCs w:val="20"/>
          <w:rtl/>
        </w:rPr>
        <w:t xml:space="preserve">במשטר הפרלמנטארי הנהוג בישראל הכנסת היא לא רק בית-מחוקקים, אלא אף המוסד המפקח על הרשות המבצעת </w:t>
      </w:r>
      <w:r w:rsidRPr="006D3CCB">
        <w:rPr>
          <w:b/>
          <w:bCs/>
          <w:sz w:val="20"/>
          <w:szCs w:val="20"/>
        </w:rPr>
        <w:sym w:font="Symbol" w:char="F02D"/>
      </w:r>
      <w:r w:rsidRPr="006D3CCB">
        <w:rPr>
          <w:b/>
          <w:bCs/>
          <w:sz w:val="20"/>
          <w:szCs w:val="20"/>
          <w:rtl/>
        </w:rPr>
        <w:t xml:space="preserve"> הממשלה. האמצעי העיקרי בהקשר זה הוא כוחה של הכנסת להביע אי-אמון בממשלה</w:t>
      </w:r>
      <w:r w:rsidRPr="006D3CCB">
        <w:rPr>
          <w:sz w:val="20"/>
          <w:szCs w:val="20"/>
          <w:rtl/>
        </w:rPr>
        <w:t xml:space="preserve">: "הממשלה מכהנת מכוח אמון הכנסת" (סעיף 3 לחוק-יסוד: הממשלה). מכאן גם התפיסה לפיה "הממשלה אחראית בפני הכנסת" (סעיף 4 לחוק היסוד). במהלך כהונתן של הכנסות הקודמות, החל בכנסת האחת-עשרה ואילך, ניכר שימוש-יתר בזכות להציע אי-אמון בממשלה, והצעות אי-האמון הפכו לעניין שגרתי בסדר היום של הכנסת. למעשה, פרט למקרה אחד, בחודש מרס 1990, בו נפלה ממשלה בהצבעת אי-אמון, שימש אמצעי זה רק ככלי ביטוי למחאה של סיעות האופוזיציה על מחדלים שונים של הממשלה. </w:t>
      </w:r>
    </w:p>
    <w:p w:rsidR="005366A8" w:rsidRDefault="005366A8" w:rsidP="005366A8">
      <w:pPr>
        <w:rPr>
          <w:sz w:val="20"/>
          <w:szCs w:val="20"/>
          <w:rtl/>
        </w:rPr>
      </w:pPr>
      <w:r w:rsidRPr="006D3CCB">
        <w:rPr>
          <w:sz w:val="20"/>
          <w:szCs w:val="20"/>
          <w:rtl/>
        </w:rPr>
        <w:t>במסגרת ההסדר שנקבע בחוק-יסוד: הממשלה הוגבל השימוש באמצעי זה בשני מישורים: ראשית, על-פי סעיף 28(ב) לחוק היסוד, הבעת האי-אמון חייבת להיעשות בקולותיהם של רוב חברי-הכנסת, היינו, לפחות 61 חברי-כנסת; שנית, הבעת אי-אמון נעשית בהחלטה של הכנסת לבקש מנשיא המדינה להטיל את הרכבת הממשלה על חבר כנסת מסוים, ואם לאחר קבלת ההצעה להביע אי-אמון חבר הכנסת האמור אינו מצליח להרכיב ממשלה בתוך התקופה שנקבעה בחוק רואים את הכנסת כאילו החליטה על התפזרותה לפני תום כהונתה</w:t>
      </w:r>
      <w:r w:rsidRPr="006D3CCB">
        <w:rPr>
          <w:rFonts w:hint="cs"/>
          <w:sz w:val="20"/>
          <w:szCs w:val="20"/>
          <w:rtl/>
        </w:rPr>
        <w:t>.</w:t>
      </w:r>
      <w:r w:rsidRPr="006D3CCB">
        <w:rPr>
          <w:sz w:val="20"/>
          <w:szCs w:val="20"/>
          <w:rtl/>
        </w:rPr>
        <w:t xml:space="preserve"> </w:t>
      </w:r>
    </w:p>
    <w:p w:rsidR="005366A8" w:rsidRPr="006D3CCB" w:rsidRDefault="005366A8" w:rsidP="005366A8">
      <w:pPr>
        <w:rPr>
          <w:sz w:val="20"/>
          <w:szCs w:val="20"/>
        </w:rPr>
      </w:pPr>
    </w:p>
    <w:p w:rsidR="005366A8" w:rsidRDefault="005366A8" w:rsidP="005366A8">
      <w:pPr>
        <w:rPr>
          <w:sz w:val="20"/>
          <w:szCs w:val="20"/>
          <w:rtl/>
        </w:rPr>
      </w:pPr>
      <w:r w:rsidRPr="006D3CCB">
        <w:rPr>
          <w:b/>
          <w:bCs/>
          <w:sz w:val="20"/>
          <w:szCs w:val="20"/>
          <w:rtl/>
        </w:rPr>
        <w:t>מבחינה מעשית, העובדה שהממשלה מכהנת מכוח אמון הכנסת אינה מספקת אמצעי נאות לפיקוח של הכנסת על הממשלה.</w:t>
      </w:r>
      <w:r w:rsidRPr="006D3CCB">
        <w:rPr>
          <w:sz w:val="20"/>
          <w:szCs w:val="20"/>
          <w:rtl/>
        </w:rPr>
        <w:t xml:space="preserve"> עם כינון הקואליציה, ומכוח </w:t>
      </w:r>
      <w:r w:rsidRPr="006D3CCB">
        <w:rPr>
          <w:b/>
          <w:bCs/>
          <w:sz w:val="20"/>
          <w:szCs w:val="20"/>
          <w:rtl/>
        </w:rPr>
        <w:t>המשמעת הסיעתית,</w:t>
      </w:r>
      <w:r w:rsidRPr="006D3CCB">
        <w:rPr>
          <w:sz w:val="20"/>
          <w:szCs w:val="20"/>
          <w:rtl/>
        </w:rPr>
        <w:t xml:space="preserve"> לפיה הצבעה שלא לפי עמדת הסיעה בעניין הבעת אמון לממשלה או אי אמון בה כמוה כפרישה מן הסיעה, על כל המשתמע מכך</w:t>
      </w:r>
      <w:r w:rsidRPr="006D3CCB">
        <w:rPr>
          <w:rFonts w:hint="cs"/>
          <w:sz w:val="20"/>
          <w:szCs w:val="20"/>
          <w:rtl/>
        </w:rPr>
        <w:t>,</w:t>
      </w:r>
      <w:r w:rsidRPr="006D3CCB">
        <w:rPr>
          <w:sz w:val="20"/>
          <w:szCs w:val="20"/>
          <w:rtl/>
        </w:rPr>
        <w:t xml:space="preserve"> זוכה הממשלה לתמיכה אוטומטית-כמעט של הרוב בכנסת לפעולותיה. </w:t>
      </w:r>
      <w:r w:rsidRPr="006D3CCB">
        <w:rPr>
          <w:b/>
          <w:bCs/>
          <w:sz w:val="20"/>
          <w:szCs w:val="20"/>
          <w:rtl/>
        </w:rPr>
        <w:t>הממשלה רשאית להודיע ליושב ראש הכנסת כי היא רואה בהצבעת הכנסת בנושא העומד על סדר היום "עניין של הבעת אמון" (סעיף 36א לתקנון), ובדרך זו להבטיח לעצמה את תמיכת הקואליציה בנושאים העומדים לדיון ולסכל את יכולתה של הכנסת לפקח באופן יעיל על פעולת הממשלה.</w:t>
      </w:r>
      <w:r w:rsidRPr="006D3CCB">
        <w:rPr>
          <w:sz w:val="20"/>
          <w:szCs w:val="20"/>
          <w:rtl/>
        </w:rPr>
        <w:t xml:space="preserve"> לכך נוספת העובדה שרבים מחברי הכנסת – לעיתים כשליש מהם – מכהנים בממשלה, כשרים וכסגני שרים, באופן המגביל מאד את יעילות הפיקוח של הכנסת על הממשלה באמצעות כוחה של הכנסת להביע אי אמון בממשלה. </w:t>
      </w:r>
    </w:p>
    <w:p w:rsidR="005366A8" w:rsidRPr="006D3CCB" w:rsidRDefault="005366A8" w:rsidP="005366A8">
      <w:pPr>
        <w:rPr>
          <w:sz w:val="20"/>
          <w:szCs w:val="20"/>
          <w:rtl/>
        </w:rPr>
      </w:pPr>
    </w:p>
    <w:p w:rsidR="005366A8" w:rsidRDefault="005366A8" w:rsidP="005366A8">
      <w:pPr>
        <w:rPr>
          <w:b/>
          <w:bCs/>
          <w:sz w:val="20"/>
          <w:szCs w:val="20"/>
          <w:rtl/>
        </w:rPr>
      </w:pPr>
      <w:r w:rsidRPr="006D3CCB">
        <w:rPr>
          <w:b/>
          <w:bCs/>
          <w:sz w:val="20"/>
          <w:szCs w:val="20"/>
          <w:rtl/>
        </w:rPr>
        <w:t>אמצעי פיקוח מרכזי של הכנסת על פעילות הממשלה הוא כמובן סמכות החקיקה.</w:t>
      </w:r>
      <w:r w:rsidRPr="006D3CCB">
        <w:rPr>
          <w:sz w:val="20"/>
          <w:szCs w:val="20"/>
          <w:rtl/>
        </w:rPr>
        <w:t xml:space="preserve"> מכוח עקרון הפרדת הרשויות, הכנסת אמונה על קביעת אופייה של החברה, הכרעות בסוגיות החברתיות המרכזיות</w:t>
      </w:r>
      <w:r>
        <w:rPr>
          <w:rFonts w:hint="cs"/>
          <w:sz w:val="20"/>
          <w:szCs w:val="20"/>
          <w:rtl/>
        </w:rPr>
        <w:t>,</w:t>
      </w:r>
      <w:r w:rsidRPr="006D3CCB">
        <w:rPr>
          <w:sz w:val="20"/>
          <w:szCs w:val="20"/>
          <w:rtl/>
        </w:rPr>
        <w:t xml:space="preserve"> והיא המוסמכת באופן בלעדי לקבוע את "ההסדרים הראשוניים" בסוגיות השונות</w:t>
      </w:r>
      <w:r w:rsidRPr="006D3CCB">
        <w:rPr>
          <w:rFonts w:hint="cs"/>
          <w:sz w:val="20"/>
          <w:szCs w:val="20"/>
          <w:rtl/>
        </w:rPr>
        <w:t>.</w:t>
      </w:r>
      <w:r w:rsidRPr="006D3CCB">
        <w:rPr>
          <w:sz w:val="20"/>
          <w:szCs w:val="20"/>
          <w:rtl/>
        </w:rPr>
        <w:t xml:space="preserve"> עם זאת, האפשרות להחיל אמצעי פיקוח זה על פעילות הממשלה מוגבלת מאד אף היא, מכוח המשמעת הסיעתית והקואליציונית. דחייה של הצעות חוק שמגישה הממשלה או קבלת הצעות חוק "פרטיות" בניגוד לעמדת הממשלה הן תופעות נדירות יחסית, </w:t>
      </w:r>
      <w:r w:rsidRPr="007F462A">
        <w:rPr>
          <w:sz w:val="20"/>
          <w:szCs w:val="20"/>
          <w:highlight w:val="yellow"/>
          <w:rtl/>
        </w:rPr>
        <w:t>כך שלמעשה, אף אם לא להלכה, הממשלה היא השולטת על הליך החקיקה בכנסת.</w:t>
      </w:r>
      <w:r w:rsidRPr="006D3CCB">
        <w:rPr>
          <w:sz w:val="20"/>
          <w:szCs w:val="20"/>
          <w:rtl/>
        </w:rPr>
        <w:t xml:space="preserve"> </w:t>
      </w:r>
    </w:p>
    <w:p w:rsidR="005366A8" w:rsidRDefault="005366A8" w:rsidP="005366A8">
      <w:pPr>
        <w:rPr>
          <w:b/>
          <w:bCs/>
          <w:sz w:val="20"/>
          <w:szCs w:val="20"/>
          <w:rtl/>
        </w:rPr>
      </w:pPr>
    </w:p>
    <w:p w:rsidR="005366A8" w:rsidRDefault="005366A8" w:rsidP="005366A8">
      <w:pPr>
        <w:rPr>
          <w:sz w:val="20"/>
          <w:szCs w:val="20"/>
          <w:rtl/>
        </w:rPr>
      </w:pPr>
      <w:r w:rsidRPr="006D3CCB">
        <w:rPr>
          <w:b/>
          <w:bCs/>
          <w:sz w:val="20"/>
          <w:szCs w:val="20"/>
          <w:rtl/>
        </w:rPr>
        <w:t>אמצעי פיקוח נוספים הם אלה הנובעים מהוראות החוק בתחום קביעת מקורות המימון של תקציב המדינה והשימושים בכספי התקציב.</w:t>
      </w:r>
    </w:p>
    <w:p w:rsidR="005366A8" w:rsidRDefault="005366A8" w:rsidP="005366A8">
      <w:pPr>
        <w:rPr>
          <w:sz w:val="20"/>
          <w:szCs w:val="20"/>
          <w:rtl/>
        </w:rPr>
      </w:pPr>
    </w:p>
    <w:p w:rsidR="005366A8" w:rsidRPr="00B26A60" w:rsidRDefault="005366A8" w:rsidP="005366A8">
      <w:pPr>
        <w:rPr>
          <w:b/>
          <w:bCs/>
          <w:sz w:val="20"/>
          <w:szCs w:val="20"/>
          <w:rtl/>
        </w:rPr>
      </w:pPr>
      <w:r w:rsidRPr="00B26A60">
        <w:rPr>
          <w:rFonts w:hint="cs"/>
          <w:b/>
          <w:bCs/>
          <w:sz w:val="20"/>
          <w:szCs w:val="20"/>
          <w:rtl/>
        </w:rPr>
        <w:t xml:space="preserve">הקשר שבין הכנסת לבין </w:t>
      </w:r>
      <w:r w:rsidRPr="00C66430">
        <w:rPr>
          <w:rFonts w:hint="cs"/>
          <w:b/>
          <w:bCs/>
          <w:sz w:val="20"/>
          <w:szCs w:val="20"/>
          <w:highlight w:val="yellow"/>
          <w:rtl/>
        </w:rPr>
        <w:t>מבקר המדינה</w:t>
      </w:r>
    </w:p>
    <w:p w:rsidR="005366A8" w:rsidRDefault="005366A8" w:rsidP="005366A8">
      <w:pPr>
        <w:rPr>
          <w:sz w:val="20"/>
          <w:szCs w:val="20"/>
          <w:rtl/>
        </w:rPr>
      </w:pPr>
      <w:r w:rsidRPr="00B26A60">
        <w:rPr>
          <w:sz w:val="20"/>
          <w:szCs w:val="20"/>
          <w:rtl/>
        </w:rPr>
        <w:t>אמצעי פיקוח חשוב שמפעילה הכנסת הוא זה של ביקורת המדינה, הנתונה בידי מבקר המדינה, הפועל בשמה של הכנסת: "במילוי תפקידו יהיה המבקר אחראי בפני הכנסת בלבד ולא יהיה תלוי בממשלה" (סעיף 6 לחוק-יסוד: מבקר המדינה). הכנסת היא הבוחרת את מבקר המדינה (סעיפים 8-7 לחוק היסוד וסעיפים 4-1, 8 ו- 8א לחוק מבקר המדינה, תשי"ח-1958), לה מוגשים דו"חות הביקורת והיא מוסמכת (כמו גם הממשלה) לדרוש מן המבקר להכין חוות דעת "בכל עניין שבתחום תפקידיו" (סעיף 21 לחוק מבקר המדינה).</w:t>
      </w:r>
    </w:p>
    <w:p w:rsidR="005366A8" w:rsidRDefault="005366A8" w:rsidP="005366A8">
      <w:pPr>
        <w:rPr>
          <w:sz w:val="20"/>
          <w:szCs w:val="20"/>
          <w:rtl/>
        </w:rPr>
      </w:pPr>
      <w:r>
        <w:rPr>
          <w:rFonts w:hint="cs"/>
          <w:sz w:val="20"/>
          <w:szCs w:val="20"/>
          <w:rtl/>
        </w:rPr>
        <w:t>=-=</w:t>
      </w:r>
    </w:p>
    <w:p w:rsidR="005366A8" w:rsidRDefault="005366A8" w:rsidP="005366A8">
      <w:pPr>
        <w:rPr>
          <w:sz w:val="20"/>
          <w:szCs w:val="20"/>
          <w:rtl/>
        </w:rPr>
      </w:pPr>
    </w:p>
    <w:p w:rsidR="005366A8" w:rsidRPr="00480324" w:rsidRDefault="005366A8" w:rsidP="005366A8">
      <w:pPr>
        <w:spacing w:after="120"/>
        <w:jc w:val="center"/>
        <w:rPr>
          <w:sz w:val="28"/>
          <w:szCs w:val="28"/>
          <w:rtl/>
        </w:rPr>
      </w:pPr>
      <w:r w:rsidRPr="005776EC">
        <w:rPr>
          <w:rFonts w:cs="Arial" w:hint="cs"/>
          <w:b/>
          <w:bCs/>
          <w:sz w:val="28"/>
          <w:szCs w:val="28"/>
          <w:highlight w:val="yellow"/>
          <w:rtl/>
        </w:rPr>
        <w:t>הבחירות לכנסת</w:t>
      </w:r>
    </w:p>
    <w:p w:rsidR="005366A8" w:rsidRPr="003E65BB" w:rsidRDefault="005366A8" w:rsidP="005366A8">
      <w:pPr>
        <w:spacing w:after="60"/>
        <w:jc w:val="center"/>
        <w:rPr>
          <w:rFonts w:cs="FrankRuehl"/>
          <w:sz w:val="26"/>
          <w:szCs w:val="26"/>
          <w:rtl/>
        </w:rPr>
      </w:pPr>
      <w:r w:rsidRPr="00362E41">
        <w:rPr>
          <w:rFonts w:hint="cs"/>
          <w:b/>
          <w:bCs/>
          <w:sz w:val="22"/>
          <w:szCs w:val="22"/>
          <w:highlight w:val="yellow"/>
          <w:u w:val="single"/>
          <w:rtl/>
        </w:rPr>
        <w:t xml:space="preserve">חוק יסוד: הכנסת </w:t>
      </w:r>
      <w:r w:rsidRPr="00362E41">
        <w:rPr>
          <w:b/>
          <w:bCs/>
          <w:sz w:val="22"/>
          <w:szCs w:val="22"/>
          <w:highlight w:val="yellow"/>
          <w:u w:val="single"/>
          <w:rtl/>
        </w:rPr>
        <w:t>–</w:t>
      </w:r>
      <w:r w:rsidRPr="00362E41">
        <w:rPr>
          <w:rFonts w:hint="cs"/>
          <w:b/>
          <w:bCs/>
          <w:sz w:val="22"/>
          <w:szCs w:val="22"/>
          <w:highlight w:val="yellow"/>
          <w:u w:val="single"/>
          <w:rtl/>
        </w:rPr>
        <w:t xml:space="preserve"> סע' 4</w:t>
      </w:r>
      <w:r w:rsidRPr="00362E41">
        <w:rPr>
          <w:rFonts w:hint="cs"/>
          <w:sz w:val="22"/>
          <w:szCs w:val="22"/>
          <w:highlight w:val="yellow"/>
          <w:u w:val="single"/>
          <w:rtl/>
        </w:rPr>
        <w:t xml:space="preserve"> [שיטת הבחירות]</w:t>
      </w:r>
      <w:r w:rsidRPr="00362E41">
        <w:rPr>
          <w:rFonts w:hint="cs"/>
          <w:sz w:val="22"/>
          <w:szCs w:val="22"/>
          <w:highlight w:val="yellow"/>
          <w:rtl/>
        </w:rPr>
        <w:t>:</w:t>
      </w:r>
      <w:r w:rsidRPr="00362E41">
        <w:rPr>
          <w:rFonts w:cs="FrankRuehl" w:hint="cs"/>
          <w:sz w:val="22"/>
          <w:szCs w:val="22"/>
          <w:highlight w:val="yellow"/>
          <w:rtl/>
        </w:rPr>
        <w:t xml:space="preserve"> </w:t>
      </w:r>
      <w:r w:rsidRPr="00362E41">
        <w:rPr>
          <w:rFonts w:cs="FrankRuehl" w:hint="cs"/>
          <w:sz w:val="26"/>
          <w:szCs w:val="26"/>
          <w:highlight w:val="yellow"/>
          <w:rtl/>
        </w:rPr>
        <w:t xml:space="preserve">"הכנסת תיבחר בבחירות </w:t>
      </w:r>
      <w:r w:rsidRPr="00362E41">
        <w:rPr>
          <w:rFonts w:cs="FrankRuehl" w:hint="cs"/>
          <w:b/>
          <w:bCs/>
          <w:sz w:val="26"/>
          <w:szCs w:val="26"/>
          <w:highlight w:val="yellow"/>
          <w:rtl/>
        </w:rPr>
        <w:t>כלליות, ארציות, ישירות, שוות, חשאיות ויחסיות,</w:t>
      </w:r>
      <w:r w:rsidRPr="00362E41">
        <w:rPr>
          <w:rFonts w:cs="FrankRuehl" w:hint="cs"/>
          <w:sz w:val="26"/>
          <w:szCs w:val="26"/>
          <w:highlight w:val="yellow"/>
          <w:rtl/>
        </w:rPr>
        <w:t xml:space="preserve"> </w:t>
      </w:r>
      <w:r w:rsidRPr="00362E41">
        <w:rPr>
          <w:rFonts w:cs="FrankRuehl"/>
          <w:sz w:val="26"/>
          <w:szCs w:val="26"/>
          <w:highlight w:val="yellow"/>
          <w:rtl/>
        </w:rPr>
        <w:br/>
      </w:r>
      <w:r w:rsidRPr="00362E41">
        <w:rPr>
          <w:rFonts w:cs="FrankRuehl" w:hint="cs"/>
          <w:sz w:val="26"/>
          <w:szCs w:val="26"/>
          <w:highlight w:val="yellow"/>
          <w:rtl/>
        </w:rPr>
        <w:t>לפי חוק הבחירות לכנסת; אין לשנות סעיף זה, אלא ברוב של חברי הכנסת".</w:t>
      </w:r>
    </w:p>
    <w:p w:rsidR="005366A8" w:rsidRPr="00480324" w:rsidRDefault="005366A8" w:rsidP="005366A8">
      <w:pPr>
        <w:rPr>
          <w:sz w:val="22"/>
          <w:szCs w:val="22"/>
          <w:rtl/>
        </w:rPr>
      </w:pPr>
    </w:p>
    <w:p w:rsidR="005366A8" w:rsidRPr="00CF5059" w:rsidRDefault="005366A8" w:rsidP="005366A8">
      <w:pPr>
        <w:rPr>
          <w:sz w:val="20"/>
          <w:szCs w:val="20"/>
          <w:rtl/>
        </w:rPr>
      </w:pPr>
      <w:r w:rsidRPr="00CF5059">
        <w:rPr>
          <w:sz w:val="20"/>
          <w:szCs w:val="20"/>
          <w:rtl/>
        </w:rPr>
        <w:t xml:space="preserve">היסוד המעורפל יותר הוא היסוד הראשון: בחירות </w:t>
      </w:r>
      <w:r w:rsidRPr="00CF5059">
        <w:rPr>
          <w:b/>
          <w:bCs/>
          <w:sz w:val="20"/>
          <w:szCs w:val="20"/>
          <w:rtl/>
        </w:rPr>
        <w:t>כלליות</w:t>
      </w:r>
      <w:r w:rsidRPr="00CF5059">
        <w:rPr>
          <w:sz w:val="20"/>
          <w:szCs w:val="20"/>
          <w:rtl/>
        </w:rPr>
        <w:t xml:space="preserve">. הכוונה </w:t>
      </w:r>
      <w:r w:rsidRPr="00CF5059">
        <w:rPr>
          <w:rFonts w:hint="cs"/>
          <w:sz w:val="20"/>
          <w:szCs w:val="20"/>
          <w:rtl/>
        </w:rPr>
        <w:t xml:space="preserve">היא </w:t>
      </w:r>
      <w:r w:rsidRPr="00CF5059">
        <w:rPr>
          <w:sz w:val="20"/>
          <w:szCs w:val="20"/>
          <w:rtl/>
        </w:rPr>
        <w:t xml:space="preserve">לכך </w:t>
      </w:r>
      <w:r w:rsidRPr="00CF5059">
        <w:rPr>
          <w:rFonts w:hint="cs"/>
          <w:sz w:val="20"/>
          <w:szCs w:val="20"/>
          <w:rtl/>
        </w:rPr>
        <w:t>שמדובר ב</w:t>
      </w:r>
      <w:r w:rsidRPr="00CF5059">
        <w:rPr>
          <w:sz w:val="20"/>
          <w:szCs w:val="20"/>
          <w:rtl/>
        </w:rPr>
        <w:t xml:space="preserve">בחירות בהן יכולים להשתתף כל אזרחי המדינה. </w:t>
      </w:r>
    </w:p>
    <w:p w:rsidR="005366A8" w:rsidRPr="00CF5059" w:rsidRDefault="005366A8" w:rsidP="005366A8">
      <w:pPr>
        <w:rPr>
          <w:sz w:val="20"/>
          <w:szCs w:val="20"/>
          <w:rtl/>
        </w:rPr>
      </w:pPr>
    </w:p>
    <w:p w:rsidR="005366A8" w:rsidRPr="00CF5059" w:rsidRDefault="005366A8" w:rsidP="005366A8">
      <w:pPr>
        <w:rPr>
          <w:sz w:val="20"/>
          <w:szCs w:val="20"/>
          <w:rtl/>
        </w:rPr>
      </w:pPr>
      <w:r w:rsidRPr="00CF5059">
        <w:rPr>
          <w:sz w:val="20"/>
          <w:szCs w:val="20"/>
          <w:rtl/>
        </w:rPr>
        <w:t xml:space="preserve">הבחירות הן בחירות </w:t>
      </w:r>
      <w:r w:rsidRPr="00CF5059">
        <w:rPr>
          <w:b/>
          <w:bCs/>
          <w:sz w:val="20"/>
          <w:szCs w:val="20"/>
          <w:rtl/>
        </w:rPr>
        <w:t>ארציות</w:t>
      </w:r>
      <w:r w:rsidRPr="00CF5059">
        <w:rPr>
          <w:sz w:val="20"/>
          <w:szCs w:val="20"/>
          <w:rtl/>
        </w:rPr>
        <w:t xml:space="preserve">. הכוונה היא שכל מדינת ישראל היא אזור בחירה אחד. </w:t>
      </w:r>
    </w:p>
    <w:p w:rsidR="005366A8" w:rsidRPr="00CF5059" w:rsidRDefault="005366A8" w:rsidP="005366A8">
      <w:pPr>
        <w:rPr>
          <w:sz w:val="20"/>
          <w:szCs w:val="20"/>
          <w:rtl/>
        </w:rPr>
      </w:pPr>
    </w:p>
    <w:p w:rsidR="005366A8" w:rsidRPr="00CF5059" w:rsidRDefault="005366A8" w:rsidP="005366A8">
      <w:pPr>
        <w:rPr>
          <w:sz w:val="20"/>
          <w:szCs w:val="20"/>
          <w:rtl/>
        </w:rPr>
      </w:pPr>
      <w:r w:rsidRPr="00CF5059">
        <w:rPr>
          <w:sz w:val="20"/>
          <w:szCs w:val="20"/>
          <w:rtl/>
        </w:rPr>
        <w:t xml:space="preserve">הבחירות הן </w:t>
      </w:r>
      <w:r w:rsidRPr="00CF5059">
        <w:rPr>
          <w:b/>
          <w:bCs/>
          <w:sz w:val="20"/>
          <w:szCs w:val="20"/>
          <w:rtl/>
        </w:rPr>
        <w:t>יחסיות</w:t>
      </w:r>
      <w:r w:rsidRPr="00CF5059">
        <w:rPr>
          <w:sz w:val="20"/>
          <w:szCs w:val="20"/>
          <w:rtl/>
        </w:rPr>
        <w:t>, המשמעות של היחסיות היא שיש זהות כעקרון בין אחוז הקולות שרשימה מקבלת בבחירות לבין אחוז או מס</w:t>
      </w:r>
      <w:r>
        <w:rPr>
          <w:rFonts w:hint="cs"/>
          <w:sz w:val="20"/>
          <w:szCs w:val="20"/>
          <w:rtl/>
        </w:rPr>
        <w:t>פר</w:t>
      </w:r>
      <w:r w:rsidRPr="00CF5059">
        <w:rPr>
          <w:sz w:val="20"/>
          <w:szCs w:val="20"/>
          <w:rtl/>
        </w:rPr>
        <w:t xml:space="preserve"> המושבים שהיא מקבלת בכנסת. זה שונה משיטות </w:t>
      </w:r>
      <w:r w:rsidRPr="00CF5059">
        <w:rPr>
          <w:rFonts w:hint="cs"/>
          <w:sz w:val="20"/>
          <w:szCs w:val="20"/>
          <w:rtl/>
        </w:rPr>
        <w:t>אזוריות</w:t>
      </w:r>
      <w:r w:rsidRPr="00CF5059">
        <w:rPr>
          <w:sz w:val="20"/>
          <w:szCs w:val="20"/>
          <w:rtl/>
        </w:rPr>
        <w:t xml:space="preserve"> (כמו השיטה של ארה"ב</w:t>
      </w:r>
      <w:r w:rsidRPr="00CF5059">
        <w:rPr>
          <w:rFonts w:hint="cs"/>
          <w:sz w:val="20"/>
          <w:szCs w:val="20"/>
          <w:rtl/>
        </w:rPr>
        <w:t xml:space="preserve"> ובריטניה</w:t>
      </w:r>
      <w:r w:rsidRPr="00CF5059">
        <w:rPr>
          <w:sz w:val="20"/>
          <w:szCs w:val="20"/>
          <w:rtl/>
        </w:rPr>
        <w:t xml:space="preserve">). </w:t>
      </w:r>
    </w:p>
    <w:p w:rsidR="005366A8" w:rsidRPr="00CF5059" w:rsidRDefault="005366A8" w:rsidP="005366A8">
      <w:pPr>
        <w:ind w:left="720"/>
        <w:rPr>
          <w:sz w:val="20"/>
          <w:szCs w:val="20"/>
          <w:rtl/>
        </w:rPr>
      </w:pPr>
      <w:r>
        <w:rPr>
          <w:rFonts w:hint="cs"/>
          <w:sz w:val="20"/>
          <w:szCs w:val="20"/>
          <w:rtl/>
        </w:rPr>
        <w:t xml:space="preserve">הגבלת "היחסיות" </w:t>
      </w:r>
      <w:r>
        <w:rPr>
          <w:sz w:val="20"/>
          <w:szCs w:val="20"/>
          <w:rtl/>
        </w:rPr>
        <w:t>–</w:t>
      </w:r>
      <w:r>
        <w:rPr>
          <w:rFonts w:hint="cs"/>
          <w:sz w:val="20"/>
          <w:szCs w:val="20"/>
          <w:rtl/>
        </w:rPr>
        <w:t xml:space="preserve"> </w:t>
      </w:r>
      <w:r w:rsidRPr="00CF5059">
        <w:rPr>
          <w:sz w:val="20"/>
          <w:szCs w:val="20"/>
          <w:u w:val="single"/>
          <w:rtl/>
        </w:rPr>
        <w:t>אחוז</w:t>
      </w:r>
      <w:r w:rsidRPr="00CF5059">
        <w:rPr>
          <w:sz w:val="20"/>
          <w:szCs w:val="20"/>
          <w:rtl/>
        </w:rPr>
        <w:t xml:space="preserve"> </w:t>
      </w:r>
      <w:r w:rsidRPr="00CF5059">
        <w:rPr>
          <w:sz w:val="20"/>
          <w:szCs w:val="20"/>
          <w:u w:val="single"/>
          <w:rtl/>
        </w:rPr>
        <w:t>החסימה</w:t>
      </w:r>
      <w:r w:rsidRPr="00CF5059">
        <w:rPr>
          <w:sz w:val="20"/>
          <w:szCs w:val="20"/>
          <w:rtl/>
        </w:rPr>
        <w:t xml:space="preserve">: כדי שמפלגה תוכל לזכות בנציג היא צריכה לקבל לפחות </w:t>
      </w:r>
      <w:r>
        <w:rPr>
          <w:rFonts w:hint="cs"/>
          <w:sz w:val="20"/>
          <w:szCs w:val="20"/>
          <w:rtl/>
        </w:rPr>
        <w:t>שני אחוזים [2%]</w:t>
      </w:r>
      <w:r w:rsidRPr="00CF5059">
        <w:rPr>
          <w:sz w:val="20"/>
          <w:szCs w:val="20"/>
          <w:rtl/>
        </w:rPr>
        <w:t xml:space="preserve"> מן הקולות. זה פוגע ביחסיות הבחירות</w:t>
      </w:r>
      <w:r w:rsidRPr="00CF5059">
        <w:rPr>
          <w:rFonts w:hint="cs"/>
          <w:sz w:val="20"/>
          <w:szCs w:val="20"/>
          <w:rtl/>
        </w:rPr>
        <w:t xml:space="preserve">, שכן </w:t>
      </w:r>
      <w:r w:rsidRPr="00CF5059">
        <w:rPr>
          <w:sz w:val="20"/>
          <w:szCs w:val="20"/>
          <w:rtl/>
        </w:rPr>
        <w:t xml:space="preserve">יש מינימום שנדרש, והוא </w:t>
      </w:r>
      <w:r w:rsidRPr="00CF5059">
        <w:rPr>
          <w:rFonts w:hint="cs"/>
          <w:sz w:val="20"/>
          <w:szCs w:val="20"/>
          <w:rtl/>
        </w:rPr>
        <w:t xml:space="preserve">גבוה מאותו חלק </w:t>
      </w:r>
      <w:r>
        <w:rPr>
          <w:rFonts w:hint="cs"/>
          <w:sz w:val="20"/>
          <w:szCs w:val="20"/>
          <w:rtl/>
        </w:rPr>
        <w:t>מ</w:t>
      </w:r>
      <w:r w:rsidRPr="00CF5059">
        <w:rPr>
          <w:rFonts w:hint="cs"/>
          <w:sz w:val="20"/>
          <w:szCs w:val="20"/>
          <w:rtl/>
        </w:rPr>
        <w:t>אחוז אחד שנדרש לצורך השגת ייצוג של חבר כנסת אח</w:t>
      </w:r>
      <w:r>
        <w:rPr>
          <w:rFonts w:hint="cs"/>
          <w:sz w:val="20"/>
          <w:szCs w:val="20"/>
          <w:rtl/>
        </w:rPr>
        <w:t>ד</w:t>
      </w:r>
      <w:r w:rsidRPr="00CF5059">
        <w:rPr>
          <w:rFonts w:hint="cs"/>
          <w:sz w:val="20"/>
          <w:szCs w:val="20"/>
          <w:rtl/>
        </w:rPr>
        <w:t xml:space="preserve"> (בכנסת של 120 חברים)</w:t>
      </w:r>
      <w:r w:rsidRPr="00CF5059">
        <w:rPr>
          <w:sz w:val="20"/>
          <w:szCs w:val="20"/>
          <w:rtl/>
        </w:rPr>
        <w:t xml:space="preserve">. </w:t>
      </w:r>
    </w:p>
    <w:p w:rsidR="005366A8" w:rsidRPr="00CF5059" w:rsidRDefault="005366A8" w:rsidP="005366A8">
      <w:pPr>
        <w:rPr>
          <w:sz w:val="20"/>
          <w:szCs w:val="20"/>
          <w:rtl/>
        </w:rPr>
      </w:pPr>
    </w:p>
    <w:p w:rsidR="005366A8" w:rsidRPr="00CF5059" w:rsidRDefault="005366A8" w:rsidP="005366A8">
      <w:pPr>
        <w:rPr>
          <w:sz w:val="20"/>
          <w:szCs w:val="20"/>
          <w:rtl/>
        </w:rPr>
      </w:pPr>
      <w:r w:rsidRPr="00CF5059">
        <w:rPr>
          <w:sz w:val="20"/>
          <w:szCs w:val="20"/>
          <w:rtl/>
        </w:rPr>
        <w:t xml:space="preserve">הבחירות הן </w:t>
      </w:r>
      <w:r w:rsidRPr="00CF5059">
        <w:rPr>
          <w:b/>
          <w:bCs/>
          <w:sz w:val="20"/>
          <w:szCs w:val="20"/>
          <w:rtl/>
        </w:rPr>
        <w:t>ישירות</w:t>
      </w:r>
      <w:r w:rsidRPr="00CF5059">
        <w:rPr>
          <w:sz w:val="20"/>
          <w:szCs w:val="20"/>
          <w:rtl/>
        </w:rPr>
        <w:t>, להבדיל משיטה של אלקטורים</w:t>
      </w:r>
      <w:r w:rsidRPr="00CF5059">
        <w:rPr>
          <w:rFonts w:hint="cs"/>
          <w:sz w:val="20"/>
          <w:szCs w:val="20"/>
          <w:rtl/>
        </w:rPr>
        <w:t xml:space="preserve"> (שבאמצעותה נבחר הנשיא בארה"ב)</w:t>
      </w:r>
      <w:r w:rsidRPr="00CF5059">
        <w:rPr>
          <w:sz w:val="20"/>
          <w:szCs w:val="20"/>
          <w:rtl/>
        </w:rPr>
        <w:t xml:space="preserve">. בוחרים ישירות את הכנסת ולא </w:t>
      </w:r>
      <w:r w:rsidRPr="00CF5059">
        <w:rPr>
          <w:rFonts w:hint="cs"/>
          <w:sz w:val="20"/>
          <w:szCs w:val="20"/>
          <w:rtl/>
        </w:rPr>
        <w:t>נציגים מיוחדים שבוחרים הלאה</w:t>
      </w:r>
      <w:r w:rsidRPr="00CF5059">
        <w:rPr>
          <w:sz w:val="20"/>
          <w:szCs w:val="20"/>
          <w:rtl/>
        </w:rPr>
        <w:t xml:space="preserve">. </w:t>
      </w:r>
    </w:p>
    <w:p w:rsidR="005366A8" w:rsidRPr="00CF5059" w:rsidRDefault="005366A8" w:rsidP="005366A8">
      <w:pPr>
        <w:rPr>
          <w:sz w:val="20"/>
          <w:szCs w:val="20"/>
          <w:rtl/>
        </w:rPr>
      </w:pPr>
    </w:p>
    <w:p w:rsidR="005366A8" w:rsidRPr="00CF5059" w:rsidRDefault="005366A8" w:rsidP="005366A8">
      <w:pPr>
        <w:rPr>
          <w:sz w:val="20"/>
          <w:szCs w:val="20"/>
          <w:rtl/>
        </w:rPr>
      </w:pPr>
      <w:r w:rsidRPr="00CF5059">
        <w:rPr>
          <w:sz w:val="20"/>
          <w:szCs w:val="20"/>
          <w:rtl/>
        </w:rPr>
        <w:t xml:space="preserve">הבחירות הן </w:t>
      </w:r>
      <w:r w:rsidRPr="00CF5059">
        <w:rPr>
          <w:b/>
          <w:bCs/>
          <w:sz w:val="20"/>
          <w:szCs w:val="20"/>
          <w:rtl/>
        </w:rPr>
        <w:t>חשאיות</w:t>
      </w:r>
      <w:r w:rsidRPr="00CF5059">
        <w:rPr>
          <w:sz w:val="20"/>
          <w:szCs w:val="20"/>
          <w:rtl/>
        </w:rPr>
        <w:t xml:space="preserve">, כל מצביע מצביע בצורה חשאית. כדי להבטיח את חופש הבחירות. </w:t>
      </w:r>
    </w:p>
    <w:p w:rsidR="005366A8" w:rsidRPr="00CF5059" w:rsidRDefault="005366A8" w:rsidP="005366A8">
      <w:pPr>
        <w:rPr>
          <w:sz w:val="20"/>
          <w:szCs w:val="20"/>
          <w:rtl/>
        </w:rPr>
      </w:pPr>
    </w:p>
    <w:p w:rsidR="005366A8" w:rsidRDefault="005366A8" w:rsidP="005366A8">
      <w:pPr>
        <w:spacing w:after="240"/>
        <w:rPr>
          <w:b/>
          <w:bCs/>
          <w:rtl/>
        </w:rPr>
      </w:pPr>
      <w:r w:rsidRPr="00CF5059">
        <w:rPr>
          <w:rFonts w:hint="cs"/>
          <w:sz w:val="20"/>
          <w:szCs w:val="20"/>
          <w:rtl/>
        </w:rPr>
        <w:t xml:space="preserve">בחירות </w:t>
      </w:r>
      <w:r w:rsidRPr="00CF5059">
        <w:rPr>
          <w:rFonts w:hint="cs"/>
          <w:b/>
          <w:bCs/>
          <w:sz w:val="20"/>
          <w:szCs w:val="20"/>
          <w:rtl/>
        </w:rPr>
        <w:t>שוות</w:t>
      </w:r>
      <w:r w:rsidRPr="00CF5059">
        <w:rPr>
          <w:rFonts w:hint="cs"/>
          <w:sz w:val="20"/>
          <w:szCs w:val="20"/>
          <w:rtl/>
        </w:rPr>
        <w:t xml:space="preserve"> </w:t>
      </w:r>
      <w:r w:rsidRPr="00CF5059">
        <w:rPr>
          <w:sz w:val="20"/>
          <w:szCs w:val="20"/>
          <w:rtl/>
        </w:rPr>
        <w:t>–</w:t>
      </w:r>
      <w:r w:rsidRPr="00CF5059">
        <w:rPr>
          <w:rFonts w:hint="cs"/>
          <w:sz w:val="20"/>
          <w:szCs w:val="20"/>
          <w:rtl/>
        </w:rPr>
        <w:t xml:space="preserve"> פסקי הדין </w:t>
      </w:r>
      <w:r w:rsidRPr="00CF5059">
        <w:rPr>
          <w:rFonts w:hint="cs"/>
          <w:b/>
          <w:bCs/>
          <w:sz w:val="20"/>
          <w:szCs w:val="20"/>
          <w:rtl/>
        </w:rPr>
        <w:t xml:space="preserve">ברגמן; </w:t>
      </w:r>
      <w:r>
        <w:rPr>
          <w:rFonts w:hint="cs"/>
          <w:b/>
          <w:bCs/>
          <w:sz w:val="20"/>
          <w:szCs w:val="20"/>
          <w:rtl/>
        </w:rPr>
        <w:t xml:space="preserve">תנועת לאו"ר; </w:t>
      </w:r>
      <w:r w:rsidRPr="00CF5059">
        <w:rPr>
          <w:rFonts w:hint="cs"/>
          <w:b/>
          <w:bCs/>
          <w:sz w:val="20"/>
          <w:szCs w:val="20"/>
          <w:rtl/>
        </w:rPr>
        <w:t>הופנונג</w:t>
      </w:r>
      <w:r>
        <w:rPr>
          <w:rFonts w:hint="cs"/>
          <w:b/>
          <w:bCs/>
          <w:sz w:val="20"/>
          <w:szCs w:val="20"/>
          <w:rtl/>
        </w:rPr>
        <w:t>, מופז</w:t>
      </w:r>
      <w:r>
        <w:rPr>
          <w:rFonts w:hint="cs"/>
          <w:sz w:val="20"/>
          <w:szCs w:val="20"/>
          <w:rtl/>
        </w:rPr>
        <w:t xml:space="preserve">, אותם פגשנו, וראו עתה גם את פס"ד </w:t>
      </w:r>
      <w:r w:rsidRPr="00362E41">
        <w:rPr>
          <w:rFonts w:hint="cs"/>
          <w:b/>
          <w:bCs/>
          <w:sz w:val="20"/>
          <w:szCs w:val="20"/>
          <w:rtl/>
        </w:rPr>
        <w:t>מרכז השלטון המקומי</w:t>
      </w:r>
      <w:r>
        <w:rPr>
          <w:rFonts w:hint="cs"/>
          <w:sz w:val="20"/>
          <w:szCs w:val="20"/>
          <w:rtl/>
        </w:rPr>
        <w:t>:</w:t>
      </w:r>
      <w:r>
        <w:rPr>
          <w:rFonts w:ascii="Arial" w:hAnsi="Arial" w:cs="Arial" w:hint="cs"/>
          <w:sz w:val="20"/>
          <w:szCs w:val="20"/>
          <w:rtl/>
        </w:rPr>
        <w:tab/>
      </w:r>
    </w:p>
    <w:p w:rsidR="005366A8" w:rsidRPr="00CC58B3" w:rsidRDefault="005366A8" w:rsidP="005366A8">
      <w:pPr>
        <w:spacing w:after="120"/>
        <w:jc w:val="center"/>
        <w:rPr>
          <w:rFonts w:ascii="Arial" w:hAnsi="Arial" w:cs="Arial"/>
          <w:sz w:val="20"/>
          <w:szCs w:val="20"/>
          <w:rtl/>
        </w:rPr>
      </w:pPr>
      <w:r w:rsidRPr="00CC58B3">
        <w:rPr>
          <w:rFonts w:ascii="Arial" w:hAnsi="Arial" w:cs="Arial"/>
          <w:sz w:val="20"/>
          <w:szCs w:val="20"/>
          <w:rtl/>
        </w:rPr>
        <w:t xml:space="preserve">בג"צ 7111/95 </w:t>
      </w:r>
      <w:r w:rsidRPr="00CC58B3">
        <w:rPr>
          <w:rFonts w:ascii="Arial" w:hAnsi="Arial" w:cs="Arial"/>
          <w:b/>
          <w:bCs/>
          <w:sz w:val="20"/>
          <w:szCs w:val="20"/>
          <w:rtl/>
        </w:rPr>
        <w:t>מרכז השלטון המקומי נ' הכנסת</w:t>
      </w:r>
      <w:r w:rsidRPr="00CC58B3">
        <w:rPr>
          <w:rFonts w:ascii="Arial" w:hAnsi="Arial" w:cs="Arial"/>
          <w:sz w:val="20"/>
          <w:szCs w:val="20"/>
          <w:rtl/>
        </w:rPr>
        <w:t>, פ"ד נ(3) 485</w:t>
      </w:r>
      <w:r>
        <w:rPr>
          <w:rFonts w:ascii="Arial" w:hAnsi="Arial" w:cs="Arial" w:hint="cs"/>
          <w:sz w:val="20"/>
          <w:szCs w:val="20"/>
          <w:rtl/>
        </w:rPr>
        <w:t xml:space="preserve"> </w:t>
      </w:r>
      <w:r>
        <w:rPr>
          <w:rFonts w:ascii="Arial" w:hAnsi="Arial" w:cs="Arial"/>
          <w:sz w:val="20"/>
          <w:szCs w:val="20"/>
          <w:rtl/>
        </w:rPr>
        <w:t>–</w:t>
      </w:r>
      <w:r>
        <w:rPr>
          <w:rFonts w:ascii="Arial" w:hAnsi="Arial" w:cs="Arial" w:hint="cs"/>
          <w:sz w:val="20"/>
          <w:szCs w:val="20"/>
          <w:rtl/>
        </w:rPr>
        <w:t xml:space="preserve"> מחלוקת מסוימת ביחס לפרשנות התיבה "שוות"</w:t>
      </w:r>
    </w:p>
    <w:p w:rsidR="005366A8" w:rsidRPr="006A242C" w:rsidRDefault="005366A8" w:rsidP="005366A8">
      <w:pPr>
        <w:rPr>
          <w:b/>
          <w:bCs/>
          <w:sz w:val="20"/>
          <w:szCs w:val="20"/>
          <w:rtl/>
        </w:rPr>
      </w:pPr>
      <w:r w:rsidRPr="006A242C">
        <w:rPr>
          <w:rFonts w:hint="cs"/>
          <w:b/>
          <w:bCs/>
          <w:sz w:val="20"/>
          <w:szCs w:val="20"/>
          <w:rtl/>
        </w:rPr>
        <w:t>השופט גולדברג</w:t>
      </w:r>
    </w:p>
    <w:p w:rsidR="005366A8" w:rsidRPr="001705B3" w:rsidRDefault="005366A8" w:rsidP="005366A8">
      <w:pPr>
        <w:ind w:left="720"/>
        <w:rPr>
          <w:rFonts w:cs="FrankRuehl"/>
          <w:sz w:val="20"/>
          <w:szCs w:val="20"/>
          <w:rtl/>
        </w:rPr>
      </w:pPr>
      <w:r w:rsidRPr="001705B3">
        <w:rPr>
          <w:rFonts w:cs="FrankRuehl" w:hint="cs"/>
          <w:sz w:val="20"/>
          <w:szCs w:val="20"/>
          <w:rtl/>
        </w:rPr>
        <w:t>"... לעקרון השוויון [בבחירות] שתי פנים: ביטויו האחד של השוויון עניינו בזכות לבחור, ויסוד זה איננו אלא תרגומו התמציתי של הכלל, לפיו 'קול אחד לכל אחד'.  מצד שני, מתייחס יסוד השוויון גם לזכות להיבחר, וביטויו המוחשי בזכות לשוויון הסיכויים של רשימות המועמדים השונות, המתחרות ביניהן בבחירות לכנסת". (…).</w:t>
      </w:r>
      <w:r>
        <w:rPr>
          <w:rFonts w:cs="FrankRuehl" w:hint="cs"/>
          <w:sz w:val="20"/>
          <w:szCs w:val="20"/>
          <w:rtl/>
        </w:rPr>
        <w:t xml:space="preserve"> </w:t>
      </w:r>
      <w:r w:rsidRPr="001705B3">
        <w:rPr>
          <w:rFonts w:cs="David" w:hint="cs"/>
          <w:sz w:val="20"/>
          <w:szCs w:val="20"/>
          <w:rtl/>
        </w:rPr>
        <w:t xml:space="preserve">[ציטוט מתוך דבריו של השופט לנדוי בפס"ד </w:t>
      </w:r>
      <w:r w:rsidRPr="001705B3">
        <w:rPr>
          <w:rFonts w:cs="David" w:hint="cs"/>
          <w:b/>
          <w:bCs/>
          <w:sz w:val="20"/>
          <w:szCs w:val="20"/>
          <w:rtl/>
        </w:rPr>
        <w:t>ברגמן</w:t>
      </w:r>
      <w:r w:rsidRPr="001705B3">
        <w:rPr>
          <w:rFonts w:cs="David" w:hint="cs"/>
          <w:sz w:val="20"/>
          <w:szCs w:val="20"/>
          <w:rtl/>
        </w:rPr>
        <w:t>]</w:t>
      </w:r>
    </w:p>
    <w:p w:rsidR="005366A8" w:rsidRDefault="005366A8" w:rsidP="005366A8">
      <w:pPr>
        <w:spacing w:after="120"/>
        <w:rPr>
          <w:sz w:val="20"/>
          <w:szCs w:val="20"/>
          <w:rtl/>
        </w:rPr>
      </w:pPr>
      <w:r w:rsidRPr="001705B3">
        <w:rPr>
          <w:rFonts w:cs="FrankRuehl" w:hint="cs"/>
          <w:sz w:val="22"/>
          <w:szCs w:val="22"/>
          <w:rtl/>
        </w:rPr>
        <w:t xml:space="preserve">הנה כי כן, שוויון התחרות בין המבקשים להיבחר כמועמדים לרשימה לכנסת, אינו נכנס לגדרו של סעיף 4 לחוק-יסוד: הכנסת, ועל כן חוק הפוגע בשוויון זה אינו חייב להתקבל ברוב של חברי הכנסת.  המסגרת הנורמטיבית לבירור נושא אי-השוויון האישי […] צריכה היא להיות נדונה במסגרת הזכות להיבחר [סע' 6 לחוק יסוד: הכנסת </w:t>
      </w:r>
      <w:r w:rsidRPr="001705B3">
        <w:rPr>
          <w:rFonts w:cs="FrankRuehl"/>
          <w:sz w:val="22"/>
          <w:szCs w:val="22"/>
          <w:rtl/>
        </w:rPr>
        <w:t>–</w:t>
      </w:r>
      <w:r w:rsidRPr="001705B3">
        <w:rPr>
          <w:rFonts w:cs="FrankRuehl" w:hint="cs"/>
          <w:sz w:val="22"/>
          <w:szCs w:val="22"/>
          <w:rtl/>
        </w:rPr>
        <w:t xml:space="preserve"> </w:t>
      </w:r>
      <w:r w:rsidRPr="002F2ADB">
        <w:rPr>
          <w:rFonts w:cs="FrankRuehl" w:hint="cs"/>
          <w:sz w:val="22"/>
          <w:szCs w:val="22"/>
          <w:highlight w:val="yellow"/>
          <w:rtl/>
        </w:rPr>
        <w:t>שאיננו הוראה משוריינת הדורשת קבלת החוק ב"רוב של חברי הכנסת"</w:t>
      </w:r>
      <w:r w:rsidRPr="001705B3">
        <w:rPr>
          <w:rFonts w:cs="FrankRuehl" w:hint="cs"/>
          <w:sz w:val="22"/>
          <w:szCs w:val="22"/>
          <w:rtl/>
        </w:rPr>
        <w:t>].</w:t>
      </w:r>
    </w:p>
    <w:p w:rsidR="005366A8" w:rsidRPr="006A242C" w:rsidRDefault="005366A8" w:rsidP="005366A8">
      <w:pPr>
        <w:rPr>
          <w:b/>
          <w:bCs/>
          <w:sz w:val="20"/>
          <w:szCs w:val="20"/>
          <w:rtl/>
        </w:rPr>
      </w:pPr>
      <w:r>
        <w:rPr>
          <w:rFonts w:hint="cs"/>
          <w:b/>
          <w:bCs/>
          <w:sz w:val="20"/>
          <w:szCs w:val="20"/>
          <w:rtl/>
        </w:rPr>
        <w:t xml:space="preserve">מנגד, </w:t>
      </w:r>
      <w:r w:rsidRPr="006A242C">
        <w:rPr>
          <w:rFonts w:hint="cs"/>
          <w:b/>
          <w:bCs/>
          <w:sz w:val="20"/>
          <w:szCs w:val="20"/>
          <w:rtl/>
        </w:rPr>
        <w:t xml:space="preserve">השופט </w:t>
      </w:r>
      <w:r>
        <w:rPr>
          <w:rFonts w:hint="cs"/>
          <w:b/>
          <w:bCs/>
          <w:sz w:val="20"/>
          <w:szCs w:val="20"/>
          <w:rtl/>
        </w:rPr>
        <w:t>חשין</w:t>
      </w:r>
    </w:p>
    <w:p w:rsidR="005366A8" w:rsidRDefault="005366A8" w:rsidP="005366A8">
      <w:pPr>
        <w:rPr>
          <w:sz w:val="20"/>
          <w:szCs w:val="20"/>
          <w:rtl/>
        </w:rPr>
      </w:pPr>
      <w:r w:rsidRPr="001705B3">
        <w:rPr>
          <w:rFonts w:cs="FrankRuehl"/>
          <w:sz w:val="22"/>
          <w:szCs w:val="22"/>
          <w:rtl/>
        </w:rPr>
        <w:t xml:space="preserve">אם הבינותי נכונה את דברי השופט לנדוי, אומר הוא לנו כך: בראשית ובתחילה הוא עקרון השוויון, ועיקרון זה חל על הזכות להיבחר כשם שהוא חל על הזכות לבחור. הזכות להיבחר עניינה הוא במועמד הבודד דווקא - בו, ולא ברשימות מועמדים. אך הואיל ולפי שיטת הבחירות במקומנו מתחרות בבחירות רשימות מועמדים - רשימות ולא מועמדים בודדים - "חייב [עקרון השוויון] להתבטא גם בשוויון הסיכויים של רשימות המועמדים השונות המתחרות בבחירות לכנסת." </w:t>
      </w:r>
      <w:r w:rsidRPr="001705B3">
        <w:rPr>
          <w:rFonts w:cs="FrankRuehl" w:hint="cs"/>
          <w:sz w:val="22"/>
          <w:szCs w:val="22"/>
          <w:rtl/>
        </w:rPr>
        <w:t xml:space="preserve"> </w:t>
      </w:r>
      <w:r w:rsidRPr="001705B3">
        <w:rPr>
          <w:rFonts w:cs="FrankRuehl"/>
          <w:sz w:val="22"/>
          <w:szCs w:val="22"/>
          <w:rtl/>
        </w:rPr>
        <w:t>לשון אחר: השופט לנדוי לומד על הצורך בקיומו של שוויון בין רשימות מועמדים, מצורך-היסוד לקיים שוויון בין מועמדים בודדים. דרכו היא מן המועמד הבודד אל הרשימה. ואם זו הדרך, ממילא לא נוכל לומר כי עקרון השוויון שבסעיף 4 לחוק יסוד: הכנסת מצמצם עצמו רק לרשימות המועמדים. נהפוך הוא: עקרון-היסוד בא בסעיף 4 לחוק יסוד: הכנסת, ודיגלו הוא "בחירות שוות". עקרון-יסוד זה מוליד עקרון-מישנה ועניינו של זה קיומו של שוויון בין מועמדים; ועקרון-מישנה זה מוליד אף הוא בן, ושמו שוויון בין רשימות מועמדים</w:t>
      </w:r>
      <w:r>
        <w:rPr>
          <w:rFonts w:hint="cs"/>
          <w:sz w:val="20"/>
          <w:szCs w:val="20"/>
          <w:rtl/>
        </w:rPr>
        <w:t>.</w:t>
      </w:r>
    </w:p>
    <w:p w:rsidR="005366A8" w:rsidRDefault="005366A8" w:rsidP="005366A8">
      <w:pPr>
        <w:spacing w:after="60"/>
        <w:rPr>
          <w:b/>
          <w:bCs/>
          <w:rtl/>
        </w:rPr>
      </w:pPr>
    </w:p>
    <w:p w:rsidR="005366A8" w:rsidRPr="00B63975" w:rsidRDefault="005366A8" w:rsidP="005366A8">
      <w:pPr>
        <w:spacing w:line="276" w:lineRule="auto"/>
        <w:ind w:left="720" w:firstLine="720"/>
        <w:rPr>
          <w:rFonts w:cs="David"/>
          <w:b/>
          <w:bCs/>
          <w:sz w:val="22"/>
          <w:szCs w:val="22"/>
          <w:rtl/>
        </w:rPr>
      </w:pPr>
      <w:r w:rsidRPr="00A877CB">
        <w:rPr>
          <w:b/>
          <w:bCs/>
          <w:sz w:val="22"/>
          <w:szCs w:val="22"/>
          <w:rtl/>
        </w:rPr>
        <w:t>6</w:t>
      </w:r>
      <w:r w:rsidRPr="00B63975">
        <w:rPr>
          <w:rFonts w:cs="David"/>
          <w:b/>
          <w:bCs/>
          <w:sz w:val="22"/>
          <w:szCs w:val="22"/>
          <w:rtl/>
        </w:rPr>
        <w:t xml:space="preserve">. </w:t>
      </w:r>
      <w:r w:rsidRPr="00B63975">
        <w:rPr>
          <w:rFonts w:cs="David" w:hint="cs"/>
          <w:b/>
          <w:bCs/>
          <w:sz w:val="22"/>
          <w:szCs w:val="22"/>
          <w:rtl/>
        </w:rPr>
        <w:t>[</w:t>
      </w:r>
      <w:r w:rsidRPr="00B63975">
        <w:rPr>
          <w:rFonts w:cs="David"/>
          <w:b/>
          <w:bCs/>
          <w:sz w:val="22"/>
          <w:szCs w:val="22"/>
          <w:rtl/>
        </w:rPr>
        <w:t>הזכות להיבחר</w:t>
      </w:r>
      <w:r w:rsidRPr="00B63975">
        <w:rPr>
          <w:rFonts w:cs="David" w:hint="cs"/>
          <w:b/>
          <w:bCs/>
          <w:sz w:val="22"/>
          <w:szCs w:val="22"/>
          <w:rtl/>
        </w:rPr>
        <w:t>]</w:t>
      </w:r>
      <w:r w:rsidRPr="00B63975">
        <w:rPr>
          <w:rFonts w:cs="David"/>
          <w:b/>
          <w:bCs/>
          <w:sz w:val="22"/>
          <w:szCs w:val="22"/>
          <w:rtl/>
        </w:rPr>
        <w:t xml:space="preserve"> </w:t>
      </w:r>
    </w:p>
    <w:p w:rsidR="005366A8" w:rsidRPr="007C3581" w:rsidRDefault="005366A8" w:rsidP="005366A8">
      <w:pPr>
        <w:spacing w:after="120"/>
        <w:ind w:left="720"/>
        <w:rPr>
          <w:sz w:val="20"/>
          <w:szCs w:val="20"/>
          <w:rtl/>
        </w:rPr>
      </w:pPr>
      <w:r w:rsidRPr="00B63975">
        <w:rPr>
          <w:rFonts w:cs="David"/>
          <w:sz w:val="22"/>
          <w:szCs w:val="22"/>
          <w:rtl/>
        </w:rPr>
        <w:t>(א) כל אזרח ישראלי שביום הגשת רשימת המועמדים הכוללת את שמו הוא בן עשרים ואחת שנה ומעלה, זכאי להיבחר לכנסת, זולת אם בית משפט שלל ממנו זכות זו על פי חוק או שנידון, בפסק דין סופי, לעונש מאסר בפועל לתקופה העולה על שלושה חודשים וביום הגשת רשימת המועמדים טרם עברו שבע שנים מהיום שגמר לרצות את עונש המאסר בפועל, אלא אם כן קבע יושב ראש ועדת הבחירות המרכזית כי אין עם העבירה שבה הורשע, בנסיבות הענין, משום קלון;</w:t>
      </w:r>
      <w:r w:rsidRPr="00B63975">
        <w:rPr>
          <w:rFonts w:cs="David" w:hint="cs"/>
          <w:sz w:val="22"/>
          <w:szCs w:val="22"/>
          <w:rtl/>
        </w:rPr>
        <w:t xml:space="preserve"> [...].</w:t>
      </w:r>
    </w:p>
    <w:p w:rsidR="005366A8" w:rsidRDefault="005366A8" w:rsidP="005366A8">
      <w:pPr>
        <w:spacing w:after="120"/>
        <w:rPr>
          <w:b/>
          <w:bCs/>
          <w:sz w:val="20"/>
          <w:szCs w:val="20"/>
          <w:rtl/>
        </w:rPr>
      </w:pPr>
      <w:r>
        <w:rPr>
          <w:rFonts w:hint="cs"/>
          <w:b/>
          <w:bCs/>
          <w:sz w:val="20"/>
          <w:szCs w:val="20"/>
          <w:rtl/>
        </w:rPr>
        <w:t>הזכות מוגבלת לאזרחים, והיא מוגבלת בגיל מינימום.</w:t>
      </w:r>
    </w:p>
    <w:p w:rsidR="005366A8" w:rsidRDefault="005366A8" w:rsidP="005366A8">
      <w:pPr>
        <w:spacing w:after="120"/>
        <w:rPr>
          <w:rFonts w:ascii="Arial" w:hAnsi="Arial" w:cs="Arial"/>
          <w:sz w:val="22"/>
          <w:szCs w:val="22"/>
          <w:highlight w:val="yellow"/>
          <w:rtl/>
        </w:rPr>
      </w:pPr>
      <w:r w:rsidRPr="007C3581">
        <w:rPr>
          <w:rFonts w:hint="cs"/>
          <w:b/>
          <w:bCs/>
          <w:sz w:val="20"/>
          <w:szCs w:val="20"/>
          <w:rtl/>
        </w:rPr>
        <w:t xml:space="preserve">הגבלה מרכזית </w:t>
      </w:r>
      <w:r>
        <w:rPr>
          <w:rFonts w:hint="cs"/>
          <w:b/>
          <w:bCs/>
          <w:sz w:val="20"/>
          <w:szCs w:val="20"/>
          <w:rtl/>
        </w:rPr>
        <w:t xml:space="preserve">מאד </w:t>
      </w:r>
      <w:r w:rsidRPr="007C3581">
        <w:rPr>
          <w:rFonts w:hint="cs"/>
          <w:b/>
          <w:bCs/>
          <w:sz w:val="20"/>
          <w:szCs w:val="20"/>
          <w:rtl/>
        </w:rPr>
        <w:t>על הזכות להיבחר ועל השוויון בבחירות</w:t>
      </w:r>
      <w:r>
        <w:rPr>
          <w:rFonts w:hint="cs"/>
          <w:sz w:val="20"/>
          <w:szCs w:val="20"/>
          <w:rtl/>
        </w:rPr>
        <w:t xml:space="preserve"> </w:t>
      </w:r>
      <w:r w:rsidRPr="00226DEA">
        <w:rPr>
          <w:rFonts w:hint="cs"/>
          <w:sz w:val="20"/>
          <w:szCs w:val="20"/>
          <w:u w:val="single"/>
          <w:rtl/>
        </w:rPr>
        <w:t>תטופל בסמסטר הבא</w:t>
      </w:r>
      <w:r>
        <w:rPr>
          <w:rFonts w:hint="cs"/>
          <w:sz w:val="20"/>
          <w:szCs w:val="20"/>
          <w:rtl/>
        </w:rPr>
        <w:t xml:space="preserve"> </w:t>
      </w:r>
      <w:r>
        <w:rPr>
          <w:sz w:val="20"/>
          <w:szCs w:val="20"/>
          <w:rtl/>
        </w:rPr>
        <w:t>–</w:t>
      </w:r>
      <w:r>
        <w:rPr>
          <w:rFonts w:hint="cs"/>
          <w:sz w:val="20"/>
          <w:szCs w:val="20"/>
          <w:rtl/>
        </w:rPr>
        <w:t xml:space="preserve"> ראו את ההוראה הבאה בחוק יסוד: הכנסת:</w:t>
      </w:r>
    </w:p>
    <w:p w:rsidR="005366A8" w:rsidRPr="00B63975" w:rsidRDefault="005366A8" w:rsidP="005366A8">
      <w:pPr>
        <w:ind w:left="720"/>
        <w:rPr>
          <w:rFonts w:cs="David"/>
          <w:b/>
          <w:bCs/>
          <w:sz w:val="22"/>
          <w:szCs w:val="22"/>
          <w:highlight w:val="yellow"/>
          <w:rtl/>
        </w:rPr>
      </w:pPr>
      <w:r w:rsidRPr="00B63975">
        <w:rPr>
          <w:rFonts w:cs="David" w:hint="cs"/>
          <w:b/>
          <w:bCs/>
          <w:sz w:val="22"/>
          <w:szCs w:val="22"/>
          <w:highlight w:val="yellow"/>
          <w:rtl/>
        </w:rPr>
        <w:t>סע' 7א לחוק יסוד: הכנסת</w:t>
      </w:r>
    </w:p>
    <w:p w:rsidR="005366A8" w:rsidRPr="00B63975" w:rsidRDefault="005366A8" w:rsidP="005366A8">
      <w:pPr>
        <w:pStyle w:val="P00"/>
        <w:ind w:left="1440"/>
        <w:rPr>
          <w:rStyle w:val="default"/>
          <w:rFonts w:cs="David"/>
          <w:sz w:val="22"/>
          <w:szCs w:val="22"/>
          <w:rtl/>
        </w:rPr>
      </w:pPr>
      <w:r w:rsidRPr="00B63975">
        <w:rPr>
          <w:rStyle w:val="default"/>
          <w:rFonts w:cs="David"/>
          <w:sz w:val="22"/>
          <w:szCs w:val="22"/>
          <w:rtl/>
        </w:rPr>
        <w:t>7א</w:t>
      </w:r>
      <w:r w:rsidRPr="00B63975">
        <w:rPr>
          <w:rStyle w:val="default"/>
          <w:rFonts w:cs="David" w:hint="cs"/>
          <w:sz w:val="22"/>
          <w:szCs w:val="22"/>
          <w:rtl/>
        </w:rPr>
        <w:t>.</w:t>
      </w:r>
      <w:r w:rsidRPr="00B63975">
        <w:rPr>
          <w:rStyle w:val="default"/>
          <w:rFonts w:cs="David"/>
          <w:sz w:val="22"/>
          <w:szCs w:val="22"/>
          <w:rtl/>
        </w:rPr>
        <w:tab/>
      </w:r>
      <w:r w:rsidRPr="00B63975">
        <w:rPr>
          <w:rStyle w:val="default"/>
          <w:rFonts w:cs="David" w:hint="cs"/>
          <w:sz w:val="22"/>
          <w:szCs w:val="22"/>
          <w:rtl/>
        </w:rPr>
        <w:t>(א)</w:t>
      </w:r>
      <w:r w:rsidRPr="00B63975">
        <w:rPr>
          <w:rStyle w:val="default"/>
          <w:rFonts w:cs="David" w:hint="cs"/>
          <w:sz w:val="22"/>
          <w:szCs w:val="22"/>
          <w:rtl/>
        </w:rPr>
        <w:tab/>
      </w:r>
      <w:r w:rsidRPr="00B63975">
        <w:rPr>
          <w:rStyle w:val="default"/>
          <w:rFonts w:cs="David"/>
          <w:sz w:val="22"/>
          <w:szCs w:val="22"/>
          <w:rtl/>
        </w:rPr>
        <w:t>רשימת מועמדים לא תשתתף בבחירות לכנסת ולא יהיה אדם מועמד בבחירות לכנסת, אם יש במטרותיה או במעשיה של הרשימה או במעשיו של האדם, לפי הענין, במפורש או במשתמע, אחד מאלה:</w:t>
      </w:r>
    </w:p>
    <w:p w:rsidR="005366A8" w:rsidRPr="00B63975" w:rsidRDefault="005366A8" w:rsidP="005366A8">
      <w:pPr>
        <w:pStyle w:val="P00"/>
        <w:ind w:left="2461"/>
        <w:rPr>
          <w:rStyle w:val="default"/>
          <w:rFonts w:cs="David"/>
          <w:sz w:val="22"/>
          <w:szCs w:val="22"/>
          <w:rtl/>
        </w:rPr>
      </w:pPr>
      <w:r w:rsidRPr="00B63975">
        <w:rPr>
          <w:rStyle w:val="default"/>
          <w:rFonts w:cs="David"/>
          <w:sz w:val="22"/>
          <w:szCs w:val="22"/>
          <w:rtl/>
        </w:rPr>
        <w:t>(1)</w:t>
      </w:r>
      <w:r w:rsidRPr="00B63975">
        <w:rPr>
          <w:rStyle w:val="default"/>
          <w:rFonts w:cs="David" w:hint="cs"/>
          <w:sz w:val="22"/>
          <w:szCs w:val="22"/>
          <w:rtl/>
        </w:rPr>
        <w:tab/>
      </w:r>
      <w:r w:rsidRPr="00B63975">
        <w:rPr>
          <w:rStyle w:val="default"/>
          <w:rFonts w:cs="David"/>
          <w:sz w:val="22"/>
          <w:szCs w:val="22"/>
          <w:rtl/>
        </w:rPr>
        <w:t>שלילת קיומה של מדינת ישראל כמדינה יהודית ודמוקרטית;</w:t>
      </w:r>
    </w:p>
    <w:p w:rsidR="005366A8" w:rsidRPr="00B63975" w:rsidRDefault="005366A8" w:rsidP="005366A8">
      <w:pPr>
        <w:pStyle w:val="P00"/>
        <w:ind w:left="2461"/>
        <w:rPr>
          <w:rStyle w:val="default"/>
          <w:rFonts w:cs="David"/>
          <w:sz w:val="22"/>
          <w:szCs w:val="22"/>
          <w:rtl/>
        </w:rPr>
      </w:pPr>
      <w:r w:rsidRPr="00B63975">
        <w:rPr>
          <w:rStyle w:val="default"/>
          <w:rFonts w:cs="David"/>
          <w:sz w:val="22"/>
          <w:szCs w:val="22"/>
          <w:rtl/>
        </w:rPr>
        <w:t>(2)</w:t>
      </w:r>
      <w:r w:rsidRPr="00B63975">
        <w:rPr>
          <w:rStyle w:val="default"/>
          <w:rFonts w:cs="David" w:hint="cs"/>
          <w:sz w:val="22"/>
          <w:szCs w:val="22"/>
          <w:rtl/>
        </w:rPr>
        <w:tab/>
      </w:r>
      <w:r w:rsidRPr="00B63975">
        <w:rPr>
          <w:rStyle w:val="default"/>
          <w:rFonts w:cs="David"/>
          <w:sz w:val="22"/>
          <w:szCs w:val="22"/>
          <w:rtl/>
        </w:rPr>
        <w:t>הסתה לגזענות;</w:t>
      </w:r>
    </w:p>
    <w:p w:rsidR="005366A8" w:rsidRPr="00B63975" w:rsidRDefault="005366A8" w:rsidP="005366A8">
      <w:pPr>
        <w:pStyle w:val="P00"/>
        <w:ind w:left="2461"/>
        <w:rPr>
          <w:rStyle w:val="default"/>
          <w:rFonts w:cs="David"/>
          <w:sz w:val="22"/>
          <w:szCs w:val="22"/>
          <w:rtl/>
        </w:rPr>
      </w:pPr>
      <w:r w:rsidRPr="00B63975">
        <w:rPr>
          <w:rStyle w:val="default"/>
          <w:rFonts w:cs="David"/>
          <w:sz w:val="22"/>
          <w:szCs w:val="22"/>
          <w:rtl/>
        </w:rPr>
        <w:t>(3)</w:t>
      </w:r>
      <w:r w:rsidRPr="00B63975">
        <w:rPr>
          <w:rStyle w:val="default"/>
          <w:rFonts w:cs="David" w:hint="cs"/>
          <w:sz w:val="22"/>
          <w:szCs w:val="22"/>
          <w:rtl/>
        </w:rPr>
        <w:tab/>
      </w:r>
      <w:r w:rsidRPr="00B63975">
        <w:rPr>
          <w:rStyle w:val="default"/>
          <w:rFonts w:cs="David"/>
          <w:sz w:val="22"/>
          <w:szCs w:val="22"/>
          <w:rtl/>
        </w:rPr>
        <w:t>תמיכה במאבק מזוין, של מדינת אויב או של ארגון טרור, נגד מדינת ישראל.</w:t>
      </w:r>
    </w:p>
    <w:p w:rsidR="005366A8" w:rsidRPr="00B63975" w:rsidRDefault="005D7968" w:rsidP="005366A8">
      <w:pPr>
        <w:pStyle w:val="P00"/>
        <w:ind w:left="1440"/>
        <w:rPr>
          <w:rStyle w:val="default"/>
          <w:rFonts w:cs="David"/>
          <w:sz w:val="22"/>
          <w:szCs w:val="22"/>
          <w:rtl/>
        </w:rPr>
      </w:pPr>
      <w:r w:rsidRPr="005D7968">
        <w:rPr>
          <w:rFonts w:cs="David"/>
          <w:sz w:val="22"/>
          <w:szCs w:val="22"/>
          <w:highlight w:val="yellow"/>
          <w:rtl/>
          <w:lang w:eastAsia="en-US"/>
        </w:rPr>
        <w:pict>
          <v:shape id="_x0000_s1193" type="#_x0000_t202" style="position:absolute;left:0;text-align:left;margin-left:455.2pt;margin-top:7.1pt;width:87.05pt;height:25.95pt;z-index:251839488" filled="f" stroked="f">
            <v:textbox style="mso-next-textbox:#_x0000_s1193" inset="1mm,0,1mm,0">
              <w:txbxContent>
                <w:p w:rsidR="005366A8" w:rsidRPr="005C3AF5" w:rsidRDefault="005366A8" w:rsidP="005366A8">
                  <w:pPr>
                    <w:rPr>
                      <w:rtl/>
                    </w:rPr>
                  </w:pPr>
                </w:p>
              </w:txbxContent>
            </v:textbox>
          </v:shape>
        </w:pict>
      </w:r>
      <w:r w:rsidR="005366A8" w:rsidRPr="00B63975">
        <w:rPr>
          <w:rStyle w:val="default"/>
          <w:rFonts w:cs="David" w:hint="cs"/>
          <w:sz w:val="22"/>
          <w:szCs w:val="22"/>
          <w:rtl/>
        </w:rPr>
        <w:tab/>
        <w:t>(א1)</w:t>
      </w:r>
      <w:r w:rsidR="005366A8" w:rsidRPr="00B63975">
        <w:rPr>
          <w:rStyle w:val="default"/>
          <w:rFonts w:cs="David" w:hint="cs"/>
          <w:sz w:val="22"/>
          <w:szCs w:val="22"/>
          <w:rtl/>
        </w:rPr>
        <w:tab/>
        <w:t>לעניין סעיף זה, יראו מועמד ששהה במדינת אויב שלא כדין בשבע השנים שקדמו למועד הגשת רשימת המועמדים כמי שיש במעשיו משום תמיכה במאבק מזוין נגד מדינת ישראל, כל עוד לא הוכיח אחרת.</w:t>
      </w:r>
    </w:p>
    <w:p w:rsidR="005366A8" w:rsidRPr="00B63975" w:rsidRDefault="005366A8" w:rsidP="005366A8">
      <w:pPr>
        <w:pStyle w:val="P00"/>
        <w:ind w:left="1440"/>
        <w:rPr>
          <w:rStyle w:val="default"/>
          <w:rFonts w:cs="David"/>
          <w:sz w:val="22"/>
          <w:szCs w:val="22"/>
          <w:rtl/>
        </w:rPr>
      </w:pPr>
      <w:r w:rsidRPr="00B63975">
        <w:rPr>
          <w:rStyle w:val="default"/>
          <w:rFonts w:cs="David" w:hint="cs"/>
          <w:sz w:val="22"/>
          <w:szCs w:val="22"/>
          <w:rtl/>
        </w:rPr>
        <w:tab/>
      </w:r>
      <w:r w:rsidRPr="00B63975">
        <w:rPr>
          <w:rStyle w:val="default"/>
          <w:rFonts w:cs="David"/>
          <w:sz w:val="22"/>
          <w:szCs w:val="22"/>
          <w:rtl/>
        </w:rPr>
        <w:t>(ב)</w:t>
      </w:r>
      <w:r w:rsidRPr="00B63975">
        <w:rPr>
          <w:rStyle w:val="default"/>
          <w:rFonts w:cs="David" w:hint="cs"/>
          <w:sz w:val="22"/>
          <w:szCs w:val="22"/>
          <w:rtl/>
        </w:rPr>
        <w:tab/>
      </w:r>
      <w:r w:rsidRPr="00B63975">
        <w:rPr>
          <w:rStyle w:val="default"/>
          <w:rFonts w:cs="David"/>
          <w:sz w:val="22"/>
          <w:szCs w:val="22"/>
          <w:rtl/>
        </w:rPr>
        <w:t>החלטת ועדת הבחירות המרכזית כי מועמד מנוע מלהשתתף בבחירות טעונה אישור בית המשפט העליון.</w:t>
      </w:r>
    </w:p>
    <w:p w:rsidR="005366A8" w:rsidRPr="00B63975" w:rsidRDefault="005366A8" w:rsidP="005366A8">
      <w:pPr>
        <w:pStyle w:val="P00"/>
        <w:ind w:left="1440"/>
        <w:rPr>
          <w:rStyle w:val="default"/>
          <w:rFonts w:cs="David"/>
          <w:sz w:val="22"/>
          <w:szCs w:val="22"/>
          <w:rtl/>
        </w:rPr>
      </w:pPr>
      <w:r w:rsidRPr="00B63975">
        <w:rPr>
          <w:rStyle w:val="default"/>
          <w:rFonts w:cs="David" w:hint="cs"/>
          <w:sz w:val="22"/>
          <w:szCs w:val="22"/>
          <w:rtl/>
        </w:rPr>
        <w:tab/>
      </w:r>
      <w:r w:rsidRPr="00B63975">
        <w:rPr>
          <w:rStyle w:val="default"/>
          <w:rFonts w:cs="David"/>
          <w:sz w:val="22"/>
          <w:szCs w:val="22"/>
          <w:rtl/>
        </w:rPr>
        <w:t>(ג)</w:t>
      </w:r>
      <w:r w:rsidRPr="00B63975">
        <w:rPr>
          <w:rStyle w:val="default"/>
          <w:rFonts w:cs="David" w:hint="cs"/>
          <w:sz w:val="22"/>
          <w:szCs w:val="22"/>
          <w:rtl/>
        </w:rPr>
        <w:tab/>
      </w:r>
      <w:r w:rsidRPr="00B63975">
        <w:rPr>
          <w:rStyle w:val="default"/>
          <w:rFonts w:cs="David"/>
          <w:sz w:val="22"/>
          <w:szCs w:val="22"/>
          <w:rtl/>
        </w:rPr>
        <w:t>מועמד יצהיר הצהרה לענין סעיף זה.</w:t>
      </w:r>
    </w:p>
    <w:p w:rsidR="005366A8" w:rsidRPr="002733AF" w:rsidRDefault="005366A8" w:rsidP="005366A8">
      <w:pPr>
        <w:pStyle w:val="P00"/>
        <w:ind w:left="1440"/>
        <w:rPr>
          <w:rStyle w:val="default"/>
          <w:sz w:val="22"/>
          <w:szCs w:val="22"/>
          <w:rtl/>
        </w:rPr>
      </w:pPr>
      <w:r w:rsidRPr="00B63975">
        <w:rPr>
          <w:rStyle w:val="default"/>
          <w:rFonts w:cs="David" w:hint="cs"/>
          <w:sz w:val="22"/>
          <w:szCs w:val="22"/>
          <w:rtl/>
        </w:rPr>
        <w:tab/>
      </w:r>
      <w:r w:rsidRPr="00B63975">
        <w:rPr>
          <w:rStyle w:val="default"/>
          <w:rFonts w:cs="David"/>
          <w:sz w:val="22"/>
          <w:szCs w:val="22"/>
          <w:rtl/>
        </w:rPr>
        <w:t>(ד)</w:t>
      </w:r>
      <w:r w:rsidRPr="00B63975">
        <w:rPr>
          <w:rStyle w:val="default"/>
          <w:rFonts w:cs="David" w:hint="cs"/>
          <w:sz w:val="22"/>
          <w:szCs w:val="22"/>
          <w:rtl/>
        </w:rPr>
        <w:tab/>
      </w:r>
      <w:r w:rsidRPr="00B63975">
        <w:rPr>
          <w:rStyle w:val="default"/>
          <w:rFonts w:cs="David"/>
          <w:sz w:val="22"/>
          <w:szCs w:val="22"/>
          <w:rtl/>
        </w:rPr>
        <w:t>פרטים לענין הדיון בועדת הבחירות המרכזית ובבית המשפט העליון ולענין הצהרה לפי סעיף קטן</w:t>
      </w:r>
      <w:r w:rsidRPr="00B63975">
        <w:rPr>
          <w:rStyle w:val="default"/>
          <w:rFonts w:cs="David" w:hint="cs"/>
          <w:sz w:val="22"/>
          <w:szCs w:val="22"/>
          <w:rtl/>
        </w:rPr>
        <w:t xml:space="preserve"> </w:t>
      </w:r>
      <w:r w:rsidRPr="00B63975">
        <w:rPr>
          <w:rStyle w:val="default"/>
          <w:rFonts w:cs="David"/>
          <w:sz w:val="22"/>
          <w:szCs w:val="22"/>
          <w:rtl/>
        </w:rPr>
        <w:t xml:space="preserve">ג), ייקבעו </w:t>
      </w:r>
      <w:r w:rsidRPr="00B63975">
        <w:rPr>
          <w:rStyle w:val="default"/>
          <w:rFonts w:cs="David" w:hint="cs"/>
          <w:sz w:val="22"/>
          <w:szCs w:val="22"/>
          <w:rtl/>
        </w:rPr>
        <w:t>בחוק.</w:t>
      </w:r>
    </w:p>
    <w:p w:rsidR="005366A8" w:rsidRDefault="005366A8" w:rsidP="005366A8">
      <w:pPr>
        <w:spacing w:after="120"/>
        <w:rPr>
          <w:b/>
          <w:bCs/>
        </w:rPr>
      </w:pPr>
      <w:r>
        <w:rPr>
          <w:rFonts w:ascii="Arial" w:hAnsi="Arial" w:cs="Arial" w:hint="cs"/>
          <w:sz w:val="22"/>
          <w:szCs w:val="22"/>
          <w:highlight w:val="yellow"/>
          <w:rtl/>
        </w:rPr>
        <w:t xml:space="preserve"> =-=</w:t>
      </w:r>
    </w:p>
    <w:p w:rsidR="005366A8" w:rsidRDefault="005366A8" w:rsidP="005366A8">
      <w:pPr>
        <w:spacing w:after="60"/>
        <w:rPr>
          <w:b/>
          <w:bCs/>
          <w:rtl/>
        </w:rPr>
      </w:pPr>
    </w:p>
    <w:p w:rsidR="005366A8" w:rsidRPr="00056F30" w:rsidRDefault="005366A8" w:rsidP="005366A8">
      <w:pPr>
        <w:spacing w:after="120"/>
        <w:jc w:val="center"/>
        <w:rPr>
          <w:rFonts w:ascii="Arial" w:hAnsi="Arial" w:cs="Guttman-Soncino"/>
          <w:b/>
          <w:bCs/>
          <w:sz w:val="28"/>
          <w:szCs w:val="28"/>
          <w:rtl/>
        </w:rPr>
      </w:pPr>
      <w:r w:rsidRPr="00056F30">
        <w:rPr>
          <w:rFonts w:ascii="Arial" w:hAnsi="Arial" w:cs="Guttman-Soncino" w:hint="cs"/>
          <w:b/>
          <w:bCs/>
          <w:sz w:val="28"/>
          <w:szCs w:val="28"/>
          <w:highlight w:val="yellow"/>
          <w:rtl/>
        </w:rPr>
        <w:t>הכנסת: סדרי עבודתה והביקורת השיפוטית עליהם</w:t>
      </w:r>
    </w:p>
    <w:p w:rsidR="005366A8" w:rsidRPr="007145DA" w:rsidRDefault="005366A8" w:rsidP="005366A8">
      <w:pPr>
        <w:rPr>
          <w:rFonts w:cs="David"/>
          <w:b/>
          <w:bCs/>
          <w:sz w:val="22"/>
          <w:szCs w:val="22"/>
          <w:highlight w:val="yellow"/>
          <w:rtl/>
        </w:rPr>
      </w:pPr>
      <w:r w:rsidRPr="007145DA">
        <w:rPr>
          <w:rFonts w:cs="David" w:hint="cs"/>
          <w:b/>
          <w:bCs/>
          <w:sz w:val="22"/>
          <w:szCs w:val="22"/>
          <w:highlight w:val="yellow"/>
          <w:rtl/>
        </w:rPr>
        <w:t>חוק יסוד: הכנסת</w:t>
      </w:r>
    </w:p>
    <w:p w:rsidR="005366A8" w:rsidRPr="007145DA" w:rsidRDefault="005366A8" w:rsidP="005366A8">
      <w:pPr>
        <w:rPr>
          <w:rFonts w:cs="David"/>
          <w:b/>
          <w:bCs/>
          <w:sz w:val="22"/>
          <w:szCs w:val="22"/>
          <w:highlight w:val="yellow"/>
          <w:rtl/>
        </w:rPr>
      </w:pPr>
      <w:r w:rsidRPr="007145DA">
        <w:rPr>
          <w:rFonts w:cs="David" w:hint="cs"/>
          <w:b/>
          <w:bCs/>
          <w:sz w:val="22"/>
          <w:szCs w:val="22"/>
          <w:highlight w:val="yellow"/>
          <w:rtl/>
        </w:rPr>
        <w:t>חוק הכנסת, תשנ"ד-1994</w:t>
      </w:r>
    </w:p>
    <w:p w:rsidR="005366A8" w:rsidRPr="007145DA" w:rsidRDefault="005366A8" w:rsidP="005366A8">
      <w:pPr>
        <w:spacing w:after="120"/>
        <w:rPr>
          <w:rFonts w:cs="David"/>
          <w:sz w:val="22"/>
          <w:szCs w:val="22"/>
          <w:highlight w:val="yellow"/>
          <w:rtl/>
        </w:rPr>
      </w:pPr>
      <w:r w:rsidRPr="007145DA">
        <w:rPr>
          <w:rFonts w:cs="David" w:hint="cs"/>
          <w:b/>
          <w:bCs/>
          <w:sz w:val="22"/>
          <w:szCs w:val="22"/>
          <w:highlight w:val="yellow"/>
          <w:rtl/>
        </w:rPr>
        <w:t>תקנון הכנסת</w:t>
      </w:r>
    </w:p>
    <w:p w:rsidR="005366A8" w:rsidRPr="007145DA" w:rsidRDefault="005366A8" w:rsidP="005366A8">
      <w:pPr>
        <w:ind w:left="720"/>
        <w:rPr>
          <w:rFonts w:cs="David"/>
          <w:sz w:val="22"/>
          <w:szCs w:val="22"/>
          <w:highlight w:val="yellow"/>
          <w:rtl/>
        </w:rPr>
      </w:pPr>
      <w:r w:rsidRPr="007145DA">
        <w:rPr>
          <w:rFonts w:cs="David" w:hint="cs"/>
          <w:b/>
          <w:bCs/>
          <w:sz w:val="22"/>
          <w:szCs w:val="22"/>
          <w:highlight w:val="yellow"/>
          <w:rtl/>
        </w:rPr>
        <w:t>סע' 19 לחוק יסוד: הכנסת</w:t>
      </w:r>
      <w:r w:rsidRPr="007145DA">
        <w:rPr>
          <w:rFonts w:cs="David" w:hint="cs"/>
          <w:sz w:val="22"/>
          <w:szCs w:val="22"/>
          <w:highlight w:val="yellow"/>
          <w:rtl/>
        </w:rPr>
        <w:t xml:space="preserve"> [סדרי העבודה והתקנון]  </w:t>
      </w:r>
    </w:p>
    <w:p w:rsidR="005366A8" w:rsidRPr="007145DA" w:rsidRDefault="005366A8" w:rsidP="005366A8">
      <w:pPr>
        <w:spacing w:after="120"/>
        <w:ind w:left="1440"/>
        <w:rPr>
          <w:rFonts w:cs="David"/>
          <w:sz w:val="22"/>
          <w:szCs w:val="22"/>
          <w:highlight w:val="yellow"/>
          <w:rtl/>
        </w:rPr>
      </w:pPr>
      <w:r w:rsidRPr="007145DA">
        <w:rPr>
          <w:rFonts w:cs="David" w:hint="cs"/>
          <w:sz w:val="22"/>
          <w:szCs w:val="22"/>
          <w:highlight w:val="yellow"/>
          <w:rtl/>
        </w:rPr>
        <w:t>הכנסת תקבע סדרי-עבודתה; במידה שסדרי-העבודה לא נקבעו בחוק תקבעם הכנסת בתקנון; כל עוד לא נקבעו סדרי-העבודה כאמור, תנהג הכנסת לפי הנוהג והנוהל המקובלים בה.</w:t>
      </w:r>
    </w:p>
    <w:p w:rsidR="005366A8" w:rsidRPr="007145DA" w:rsidRDefault="005366A8" w:rsidP="005366A8">
      <w:pPr>
        <w:ind w:left="720"/>
        <w:rPr>
          <w:rFonts w:cs="David"/>
          <w:b/>
          <w:bCs/>
          <w:sz w:val="22"/>
          <w:szCs w:val="22"/>
          <w:highlight w:val="yellow"/>
          <w:rtl/>
        </w:rPr>
      </w:pPr>
      <w:r w:rsidRPr="007145DA">
        <w:rPr>
          <w:rFonts w:cs="David" w:hint="cs"/>
          <w:b/>
          <w:bCs/>
          <w:sz w:val="22"/>
          <w:szCs w:val="22"/>
          <w:highlight w:val="yellow"/>
          <w:rtl/>
        </w:rPr>
        <w:t xml:space="preserve">סע' </w:t>
      </w:r>
      <w:r w:rsidRPr="007145DA">
        <w:rPr>
          <w:rFonts w:cs="David"/>
          <w:b/>
          <w:bCs/>
          <w:sz w:val="22"/>
          <w:szCs w:val="22"/>
          <w:highlight w:val="yellow"/>
          <w:rtl/>
        </w:rPr>
        <w:t>25</w:t>
      </w:r>
      <w:r w:rsidRPr="007145DA">
        <w:rPr>
          <w:rFonts w:cs="David" w:hint="cs"/>
          <w:b/>
          <w:bCs/>
          <w:sz w:val="22"/>
          <w:szCs w:val="22"/>
          <w:highlight w:val="yellow"/>
          <w:rtl/>
        </w:rPr>
        <w:t xml:space="preserve"> לחוק היסוד </w:t>
      </w:r>
      <w:r w:rsidRPr="007145DA">
        <w:rPr>
          <w:rFonts w:cs="David" w:hint="cs"/>
          <w:sz w:val="22"/>
          <w:szCs w:val="22"/>
          <w:highlight w:val="yellow"/>
          <w:rtl/>
        </w:rPr>
        <w:t>[</w:t>
      </w:r>
      <w:r w:rsidRPr="007145DA">
        <w:rPr>
          <w:rFonts w:cs="David"/>
          <w:sz w:val="22"/>
          <w:szCs w:val="22"/>
          <w:highlight w:val="yellow"/>
          <w:rtl/>
        </w:rPr>
        <w:t>רוב</w:t>
      </w:r>
      <w:r w:rsidRPr="007145DA">
        <w:rPr>
          <w:rFonts w:cs="David" w:hint="cs"/>
          <w:sz w:val="22"/>
          <w:szCs w:val="22"/>
          <w:highlight w:val="yellow"/>
          <w:rtl/>
        </w:rPr>
        <w:t>]</w:t>
      </w:r>
    </w:p>
    <w:p w:rsidR="005366A8" w:rsidRPr="007145DA" w:rsidRDefault="005366A8" w:rsidP="005366A8">
      <w:pPr>
        <w:ind w:left="1440"/>
        <w:rPr>
          <w:rFonts w:cs="David"/>
          <w:sz w:val="22"/>
          <w:szCs w:val="22"/>
          <w:highlight w:val="yellow"/>
          <w:rtl/>
        </w:rPr>
      </w:pPr>
      <w:r w:rsidRPr="007145DA">
        <w:rPr>
          <w:rFonts w:cs="David"/>
          <w:sz w:val="22"/>
          <w:szCs w:val="22"/>
          <w:highlight w:val="yellow"/>
          <w:rtl/>
        </w:rPr>
        <w:t>הכנסת תחליט ברוב דעות של המשתתפים בהצבעה, כשהנמנעים אינם באים במנין המשתתפים בהצבעה;</w:t>
      </w:r>
    </w:p>
    <w:p w:rsidR="005366A8" w:rsidRPr="007145DA" w:rsidRDefault="005366A8" w:rsidP="005366A8">
      <w:pPr>
        <w:ind w:left="1440"/>
        <w:rPr>
          <w:rFonts w:cs="David"/>
          <w:sz w:val="22"/>
          <w:szCs w:val="22"/>
          <w:rtl/>
        </w:rPr>
      </w:pPr>
      <w:r w:rsidRPr="007145DA">
        <w:rPr>
          <w:rFonts w:cs="David"/>
          <w:sz w:val="22"/>
          <w:szCs w:val="22"/>
          <w:highlight w:val="yellow"/>
          <w:rtl/>
        </w:rPr>
        <w:t>סדרי ההצבעה ייקבעו בתקנון; והכל כשאין בחוק הוראה אחרת לענין זה.</w:t>
      </w:r>
      <w:r w:rsidRPr="007145DA">
        <w:rPr>
          <w:rFonts w:cs="David"/>
          <w:sz w:val="22"/>
          <w:szCs w:val="22"/>
          <w:rtl/>
        </w:rPr>
        <w:t xml:space="preserve"> </w:t>
      </w:r>
    </w:p>
    <w:p w:rsidR="005366A8" w:rsidRDefault="005366A8" w:rsidP="005366A8">
      <w:pPr>
        <w:ind w:left="1440"/>
        <w:rPr>
          <w:rFonts w:cs="David"/>
          <w:sz w:val="20"/>
          <w:szCs w:val="20"/>
          <w:rtl/>
        </w:rPr>
      </w:pPr>
    </w:p>
    <w:p w:rsidR="005366A8" w:rsidRPr="002C1C1E" w:rsidRDefault="005366A8" w:rsidP="005366A8">
      <w:pPr>
        <w:ind w:left="1440"/>
        <w:rPr>
          <w:rFonts w:cs="David"/>
          <w:sz w:val="20"/>
          <w:szCs w:val="20"/>
          <w:rtl/>
        </w:rPr>
      </w:pPr>
    </w:p>
    <w:p w:rsidR="005366A8" w:rsidRDefault="005366A8" w:rsidP="005366A8">
      <w:pPr>
        <w:pStyle w:val="4"/>
        <w:spacing w:after="120" w:line="240" w:lineRule="auto"/>
        <w:jc w:val="center"/>
        <w:rPr>
          <w:rFonts w:cs="Arial"/>
          <w:b/>
          <w:bCs/>
          <w:szCs w:val="22"/>
          <w:rtl/>
        </w:rPr>
      </w:pPr>
      <w:r w:rsidRPr="007145DA">
        <w:rPr>
          <w:rFonts w:cs="Arial" w:hint="cs"/>
          <w:b/>
          <w:bCs/>
          <w:sz w:val="28"/>
          <w:szCs w:val="28"/>
          <w:highlight w:val="yellow"/>
          <w:u w:val="single"/>
          <w:rtl/>
        </w:rPr>
        <w:t>א. הליכי החקיקה וביקורת שיפוטית עליהם</w:t>
      </w:r>
      <w:r w:rsidRPr="006D3CCB">
        <w:rPr>
          <w:rStyle w:val="FootnoteReference"/>
          <w:b/>
          <w:bCs/>
          <w:szCs w:val="22"/>
          <w:rtl/>
        </w:rPr>
        <w:footnoteReference w:id="50"/>
      </w:r>
    </w:p>
    <w:p w:rsidR="005366A8" w:rsidRPr="006D3CCB" w:rsidRDefault="005366A8" w:rsidP="005366A8">
      <w:pPr>
        <w:pStyle w:val="4"/>
        <w:spacing w:line="240" w:lineRule="auto"/>
        <w:rPr>
          <w:rFonts w:ascii="Times New Roman"/>
          <w:sz w:val="20"/>
          <w:rtl/>
        </w:rPr>
      </w:pPr>
      <w:r w:rsidRPr="006D3CCB">
        <w:rPr>
          <w:rFonts w:ascii="Times New Roman"/>
          <w:sz w:val="20"/>
          <w:rtl/>
        </w:rPr>
        <w:t>תפקידה העיקרי של הכנסת הוא החקיקה</w:t>
      </w:r>
      <w:r w:rsidRPr="006D3CCB">
        <w:rPr>
          <w:rFonts w:ascii="Times New Roman" w:hint="cs"/>
          <w:sz w:val="20"/>
          <w:rtl/>
        </w:rPr>
        <w:t>.</w:t>
      </w:r>
      <w:r w:rsidRPr="006D3CCB">
        <w:rPr>
          <w:rFonts w:ascii="Times New Roman"/>
          <w:sz w:val="20"/>
          <w:rtl/>
        </w:rPr>
        <w:t xml:space="preserve"> הליך החקיקה הוא מורכב, וכולל דיונים ממושכים בהצעת החוק. חלוקת ההליך למספר שלבים נועדה לאפשר לחברי הכנסת לשוב ולשקול את עמדתם בנושא, להביא את הצעת החוק לידיעת הציבור, כדי שיוכל להביע עמדתו בעניין, ולהבטיח זמן מספיק לבירור הסוגיות הרלבנטיות.</w:t>
      </w:r>
    </w:p>
    <w:p w:rsidR="005366A8" w:rsidRPr="001705B3" w:rsidRDefault="005366A8" w:rsidP="005366A8">
      <w:pPr>
        <w:pStyle w:val="a8"/>
        <w:tabs>
          <w:tab w:val="left" w:pos="567"/>
        </w:tabs>
        <w:spacing w:after="0" w:line="240" w:lineRule="auto"/>
        <w:rPr>
          <w:rFonts w:cs="Times New Roman"/>
          <w:sz w:val="20"/>
          <w:szCs w:val="20"/>
          <w:rtl/>
        </w:rPr>
      </w:pPr>
      <w:r w:rsidRPr="001705B3">
        <w:rPr>
          <w:rFonts w:cs="Times New Roman"/>
          <w:sz w:val="20"/>
          <w:szCs w:val="20"/>
          <w:rtl/>
        </w:rPr>
        <w:t>האכיפה של קיום הליכי החקיקה היא מוגבלת: בית המשפט אינו נוהג להורות לכנסת להימנע – ולו באופן זמני – מהמשך הליך החקיקה בעניין כלשהו</w:t>
      </w:r>
      <w:r w:rsidRPr="001705B3">
        <w:rPr>
          <w:rFonts w:cs="Times New Roman" w:hint="cs"/>
          <w:sz w:val="20"/>
          <w:szCs w:val="20"/>
          <w:rtl/>
        </w:rPr>
        <w:t>,</w:t>
      </w:r>
      <w:r w:rsidRPr="001705B3">
        <w:rPr>
          <w:rFonts w:cs="Times New Roman"/>
          <w:sz w:val="20"/>
          <w:szCs w:val="20"/>
          <w:rtl/>
        </w:rPr>
        <w:t xml:space="preserve"> ואינו נוהג להחיל ביקורת שיפוטית על חקיקה, בטרם הושלם תהליך החקיקה. </w:t>
      </w:r>
    </w:p>
    <w:p w:rsidR="005366A8" w:rsidRDefault="005366A8" w:rsidP="005366A8">
      <w:pPr>
        <w:pStyle w:val="a8"/>
        <w:tabs>
          <w:tab w:val="left" w:pos="567"/>
        </w:tabs>
        <w:spacing w:after="0" w:line="240" w:lineRule="auto"/>
        <w:rPr>
          <w:rFonts w:cs="Times New Roman"/>
          <w:sz w:val="20"/>
          <w:szCs w:val="20"/>
          <w:rtl/>
        </w:rPr>
      </w:pPr>
      <w:r w:rsidRPr="001705B3">
        <w:rPr>
          <w:rFonts w:cs="Times New Roman"/>
          <w:sz w:val="20"/>
          <w:szCs w:val="20"/>
          <w:rtl/>
        </w:rPr>
        <w:t xml:space="preserve">הליכי החקיקה אינם מוסדרים בחוק, אלא בתקנון הכנסת. עקרונית, ההלכה היא כי "משקבעה הכנסת את הליכי החקיקה... חייבת היא ללכת בדרך שכבשה לעצמה, עד אם תבטל במפורש את דיני ההליכים ותוסיף ותקבע דיני הליכים חדשים". בהתאם לכך, חוק שלא התקבל בהתאם לפרוצדורה הקבועה בתקנון הכנסת באשר להליכי חקיקה </w:t>
      </w:r>
      <w:r w:rsidRPr="00BF3BE6">
        <w:rPr>
          <w:rFonts w:cs="Times New Roman"/>
          <w:b/>
          <w:bCs/>
          <w:sz w:val="20"/>
          <w:szCs w:val="20"/>
          <w:rtl/>
        </w:rPr>
        <w:t>אינו תקף</w:t>
      </w:r>
      <w:r w:rsidRPr="001705B3">
        <w:rPr>
          <w:rFonts w:cs="Times New Roman"/>
          <w:sz w:val="20"/>
          <w:szCs w:val="20"/>
          <w:rtl/>
        </w:rPr>
        <w:t xml:space="preserve">: </w:t>
      </w:r>
      <w:r w:rsidRPr="0016784A">
        <w:rPr>
          <w:rFonts w:cs="Times New Roman"/>
          <w:sz w:val="20"/>
          <w:szCs w:val="20"/>
          <w:highlight w:val="yellow"/>
          <w:rtl/>
        </w:rPr>
        <w:t>"על מנת שיתקבל 'חוק' יש לקיים את הוראות התקנון באשר להליכי החקיקה. ... אם אחד השלבים האלה נעדר, כגון שלא קוימה אחת הקריאות או שבהצבעה לא קיבלו בהן רוב או שלא התקיים דיון בוועדה או שנפל באחד ההליכים הללו פגם היורד לשורש ההליך, ההצעה לא מתגבשת לכדי דבר חקיקה, ובית המשפט מוסמך... להכריז על בטלות 'החוק'"</w:t>
      </w:r>
      <w:bookmarkStart w:id="49" w:name="_Ref80966594"/>
      <w:r w:rsidRPr="001705B3">
        <w:rPr>
          <w:rFonts w:cs="Times New Roman"/>
          <w:sz w:val="20"/>
          <w:szCs w:val="20"/>
          <w:rtl/>
        </w:rPr>
        <w:t>.</w:t>
      </w:r>
      <w:r w:rsidRPr="001705B3">
        <w:rPr>
          <w:rStyle w:val="FootnoteReference"/>
          <w:rFonts w:cs="Times New Roman"/>
          <w:sz w:val="20"/>
          <w:szCs w:val="20"/>
          <w:rtl/>
        </w:rPr>
        <w:footnoteReference w:id="51"/>
      </w:r>
      <w:bookmarkEnd w:id="49"/>
      <w:r w:rsidRPr="001705B3">
        <w:rPr>
          <w:rFonts w:cs="Times New Roman"/>
          <w:sz w:val="20"/>
          <w:szCs w:val="20"/>
          <w:rtl/>
        </w:rPr>
        <w:t xml:space="preserve"> </w:t>
      </w:r>
    </w:p>
    <w:p w:rsidR="005366A8" w:rsidRDefault="005366A8" w:rsidP="005366A8">
      <w:pPr>
        <w:pStyle w:val="a8"/>
        <w:tabs>
          <w:tab w:val="left" w:pos="567"/>
        </w:tabs>
        <w:spacing w:after="0" w:line="240" w:lineRule="auto"/>
        <w:rPr>
          <w:rFonts w:cs="Times New Roman"/>
          <w:sz w:val="20"/>
          <w:szCs w:val="20"/>
          <w:highlight w:val="yellow"/>
          <w:rtl/>
        </w:rPr>
      </w:pPr>
      <w:r w:rsidRPr="00583AB8">
        <w:rPr>
          <w:rFonts w:cs="Times New Roman"/>
          <w:sz w:val="20"/>
          <w:szCs w:val="20"/>
          <w:highlight w:val="yellow"/>
          <w:rtl/>
        </w:rPr>
        <w:t xml:space="preserve">בפסק הדין בעניין </w:t>
      </w:r>
      <w:r w:rsidRPr="00583AB8">
        <w:rPr>
          <w:rFonts w:cs="Times New Roman"/>
          <w:b/>
          <w:bCs/>
          <w:sz w:val="20"/>
          <w:szCs w:val="20"/>
          <w:highlight w:val="yellow"/>
          <w:rtl/>
        </w:rPr>
        <w:t>ארגון מגדלי העופות</w:t>
      </w:r>
      <w:r w:rsidRPr="00583AB8">
        <w:rPr>
          <w:rFonts w:cs="Times New Roman"/>
          <w:sz w:val="20"/>
          <w:szCs w:val="20"/>
          <w:highlight w:val="yellow"/>
          <w:rtl/>
        </w:rPr>
        <w:t xml:space="preserve">, בו נדונו הליכי חקיקה מזורזים של חוק ההסדרים, נמנו </w:t>
      </w:r>
      <w:r w:rsidRPr="00583AB8">
        <w:rPr>
          <w:rFonts w:cs="Times New Roman"/>
          <w:b/>
          <w:bCs/>
          <w:sz w:val="20"/>
          <w:szCs w:val="20"/>
          <w:highlight w:val="yellow"/>
          <w:rtl/>
        </w:rPr>
        <w:t>ארבעה עקרונות יסוד של הליך החקיקה, אשר פגיעה קשה בהם עשויה להוות "פגם היורד</w:t>
      </w:r>
      <w:r w:rsidRPr="00583AB8">
        <w:rPr>
          <w:rFonts w:cs="Times New Roman"/>
          <w:b/>
          <w:bCs/>
          <w:sz w:val="20"/>
          <w:szCs w:val="20"/>
          <w:highlight w:val="yellow"/>
        </w:rPr>
        <w:t xml:space="preserve"> </w:t>
      </w:r>
      <w:r w:rsidRPr="00583AB8">
        <w:rPr>
          <w:rFonts w:cs="Times New Roman"/>
          <w:b/>
          <w:bCs/>
          <w:sz w:val="20"/>
          <w:szCs w:val="20"/>
          <w:highlight w:val="yellow"/>
          <w:rtl/>
        </w:rPr>
        <w:t>לשורש ההליך" ולהוליך להכרזה על בטלות החוק (בכפוף לדוקטרינת הבטלות היחסית</w:t>
      </w:r>
      <w:r w:rsidRPr="00583AB8">
        <w:rPr>
          <w:rFonts w:cs="Times New Roman"/>
          <w:sz w:val="20"/>
          <w:szCs w:val="20"/>
          <w:highlight w:val="yellow"/>
          <w:rtl/>
        </w:rPr>
        <w:t>):</w:t>
      </w:r>
      <w:r w:rsidRPr="00583AB8">
        <w:rPr>
          <w:rFonts w:cs="Times New Roman" w:hint="cs"/>
          <w:sz w:val="20"/>
          <w:szCs w:val="20"/>
          <w:highlight w:val="yellow"/>
          <w:rtl/>
        </w:rPr>
        <w:t xml:space="preserve"> </w:t>
      </w:r>
    </w:p>
    <w:p w:rsidR="005366A8" w:rsidRDefault="005366A8" w:rsidP="005366A8">
      <w:pPr>
        <w:pStyle w:val="a8"/>
        <w:tabs>
          <w:tab w:val="left" w:pos="567"/>
        </w:tabs>
        <w:spacing w:after="0" w:line="240" w:lineRule="auto"/>
        <w:ind w:left="567"/>
        <w:rPr>
          <w:rFonts w:cs="Times New Roman"/>
          <w:sz w:val="20"/>
          <w:szCs w:val="20"/>
          <w:highlight w:val="yellow"/>
          <w:rtl/>
        </w:rPr>
      </w:pPr>
      <w:r w:rsidRPr="00583AB8">
        <w:rPr>
          <w:rFonts w:cs="Times New Roman"/>
          <w:b/>
          <w:bCs/>
          <w:sz w:val="20"/>
          <w:szCs w:val="20"/>
          <w:highlight w:val="yellow"/>
          <w:rtl/>
        </w:rPr>
        <w:t>עקרון הכרעת הרוב</w:t>
      </w:r>
      <w:r w:rsidRPr="00583AB8">
        <w:rPr>
          <w:rFonts w:cs="Times New Roman"/>
          <w:sz w:val="20"/>
          <w:szCs w:val="20"/>
          <w:highlight w:val="yellow"/>
          <w:rtl/>
        </w:rPr>
        <w:t xml:space="preserve">, לפיו הצעת חוק הופכת לחוק רק אם זכתה לתמיכת הרוב; </w:t>
      </w:r>
    </w:p>
    <w:p w:rsidR="005366A8" w:rsidRDefault="005366A8" w:rsidP="005366A8">
      <w:pPr>
        <w:pStyle w:val="a8"/>
        <w:tabs>
          <w:tab w:val="left" w:pos="567"/>
        </w:tabs>
        <w:spacing w:after="0" w:line="240" w:lineRule="auto"/>
        <w:ind w:left="567"/>
        <w:rPr>
          <w:rFonts w:cs="Times New Roman"/>
          <w:sz w:val="20"/>
          <w:szCs w:val="20"/>
          <w:highlight w:val="yellow"/>
          <w:rtl/>
        </w:rPr>
      </w:pPr>
      <w:r w:rsidRPr="00583AB8">
        <w:rPr>
          <w:rFonts w:cs="Times New Roman"/>
          <w:b/>
          <w:bCs/>
          <w:sz w:val="20"/>
          <w:szCs w:val="20"/>
          <w:highlight w:val="yellow"/>
          <w:rtl/>
        </w:rPr>
        <w:t>עקרון השוויון הפורמאלי,</w:t>
      </w:r>
      <w:r w:rsidRPr="00583AB8">
        <w:rPr>
          <w:rFonts w:cs="Times New Roman"/>
          <w:sz w:val="20"/>
          <w:szCs w:val="20"/>
          <w:highlight w:val="yellow"/>
          <w:rtl/>
        </w:rPr>
        <w:t xml:space="preserve"> לפיו לכל אחד מחברי הכנסת קול אחד; </w:t>
      </w:r>
    </w:p>
    <w:p w:rsidR="005366A8" w:rsidRDefault="005366A8" w:rsidP="005366A8">
      <w:pPr>
        <w:pStyle w:val="a8"/>
        <w:tabs>
          <w:tab w:val="left" w:pos="567"/>
        </w:tabs>
        <w:spacing w:after="0" w:line="240" w:lineRule="auto"/>
        <w:ind w:left="567"/>
        <w:rPr>
          <w:rFonts w:cs="Times New Roman"/>
          <w:sz w:val="20"/>
          <w:szCs w:val="20"/>
          <w:highlight w:val="yellow"/>
          <w:rtl/>
        </w:rPr>
      </w:pPr>
      <w:r w:rsidRPr="00583AB8">
        <w:rPr>
          <w:rFonts w:cs="Times New Roman"/>
          <w:b/>
          <w:bCs/>
          <w:sz w:val="20"/>
          <w:szCs w:val="20"/>
          <w:highlight w:val="yellow"/>
          <w:rtl/>
        </w:rPr>
        <w:t>עקרון הפומביות</w:t>
      </w:r>
      <w:r w:rsidRPr="00583AB8">
        <w:rPr>
          <w:rFonts w:cs="Times New Roman"/>
          <w:sz w:val="20"/>
          <w:szCs w:val="20"/>
          <w:highlight w:val="yellow"/>
          <w:rtl/>
        </w:rPr>
        <w:t xml:space="preserve">, לפיו הליך החקיקה יהיה פומבי; </w:t>
      </w:r>
    </w:p>
    <w:p w:rsidR="005366A8" w:rsidRDefault="005366A8" w:rsidP="005366A8">
      <w:pPr>
        <w:pStyle w:val="a8"/>
        <w:tabs>
          <w:tab w:val="left" w:pos="567"/>
        </w:tabs>
        <w:spacing w:after="0" w:line="240" w:lineRule="auto"/>
        <w:ind w:left="567"/>
        <w:rPr>
          <w:rFonts w:cs="Times New Roman"/>
          <w:sz w:val="20"/>
          <w:szCs w:val="20"/>
          <w:highlight w:val="yellow"/>
          <w:rtl/>
        </w:rPr>
      </w:pPr>
      <w:r w:rsidRPr="00583AB8">
        <w:rPr>
          <w:rFonts w:cs="Times New Roman"/>
          <w:b/>
          <w:bCs/>
          <w:sz w:val="20"/>
          <w:szCs w:val="20"/>
          <w:highlight w:val="yellow"/>
          <w:rtl/>
        </w:rPr>
        <w:t>ועקרון ההשתתפות</w:t>
      </w:r>
      <w:r w:rsidRPr="00583AB8">
        <w:rPr>
          <w:rFonts w:cs="Times New Roman"/>
          <w:sz w:val="20"/>
          <w:szCs w:val="20"/>
          <w:highlight w:val="yellow"/>
          <w:rtl/>
        </w:rPr>
        <w:t>, לפיו לכל חבר כנסת יש זכות להשתתף בהליך החקיקה.</w:t>
      </w:r>
      <w:bookmarkStart w:id="50" w:name="_Ref84648129"/>
      <w:r w:rsidRPr="00583AB8">
        <w:rPr>
          <w:rStyle w:val="FootnoteReference"/>
          <w:rFonts w:cs="Times New Roman"/>
          <w:sz w:val="20"/>
          <w:szCs w:val="20"/>
          <w:rtl/>
        </w:rPr>
        <w:footnoteReference w:id="52"/>
      </w:r>
      <w:bookmarkEnd w:id="50"/>
      <w:r w:rsidRPr="00583AB8">
        <w:rPr>
          <w:rFonts w:cs="Times New Roman"/>
          <w:sz w:val="20"/>
          <w:szCs w:val="20"/>
          <w:highlight w:val="yellow"/>
          <w:rtl/>
        </w:rPr>
        <w:t xml:space="preserve"> </w:t>
      </w:r>
    </w:p>
    <w:p w:rsidR="005366A8" w:rsidRPr="001705B3" w:rsidRDefault="005366A8" w:rsidP="005366A8">
      <w:pPr>
        <w:pStyle w:val="a8"/>
        <w:tabs>
          <w:tab w:val="left" w:pos="567"/>
        </w:tabs>
        <w:spacing w:after="0" w:line="240" w:lineRule="auto"/>
        <w:ind w:left="567"/>
        <w:rPr>
          <w:rFonts w:cs="Times New Roman"/>
          <w:sz w:val="20"/>
          <w:szCs w:val="20"/>
          <w:rtl/>
        </w:rPr>
      </w:pPr>
      <w:r w:rsidRPr="00583AB8">
        <w:rPr>
          <w:rFonts w:cs="Times New Roman"/>
          <w:sz w:val="20"/>
          <w:szCs w:val="20"/>
          <w:highlight w:val="yellow"/>
          <w:rtl/>
        </w:rPr>
        <w:t>כך, למשל, נקבע שם כי "מקום בו תישלל, שלא כדין, האפשרות מחבר הכנסת להשתתף בהליכים הפרלמנטרים ולמלא את תפקידו כחבר כנסת, לא יהיה מנוס מהתערבות שיפוטית".</w:t>
      </w:r>
      <w:r w:rsidRPr="00583AB8">
        <w:rPr>
          <w:rStyle w:val="FootnoteReference"/>
          <w:rFonts w:cs="Times New Roman"/>
          <w:sz w:val="20"/>
          <w:szCs w:val="20"/>
          <w:rtl/>
        </w:rPr>
        <w:footnoteReference w:id="53"/>
      </w:r>
      <w:r w:rsidRPr="001705B3">
        <w:rPr>
          <w:rFonts w:cs="Times New Roman"/>
          <w:sz w:val="20"/>
          <w:szCs w:val="20"/>
          <w:rtl/>
        </w:rPr>
        <w:t xml:space="preserve"> </w:t>
      </w:r>
    </w:p>
    <w:p w:rsidR="005366A8" w:rsidRDefault="005366A8" w:rsidP="005366A8">
      <w:pPr>
        <w:pStyle w:val="a0"/>
        <w:adjustRightInd w:val="0"/>
        <w:spacing w:line="240" w:lineRule="auto"/>
        <w:textAlignment w:val="baseline"/>
        <w:rPr>
          <w:rFonts w:cs="Times New Roman"/>
          <w:rtl/>
        </w:rPr>
      </w:pPr>
      <w:r w:rsidRPr="006D3CCB">
        <w:rPr>
          <w:rFonts w:cs="Times New Roman"/>
          <w:rtl/>
        </w:rPr>
        <w:t>עם זאת, נכונות מרחיקת לכת זו לבחון את תקינות הליכי החקיקה בכנסת לא באה עד כה לידי ביטוי מעשי. בית המשפט שב ומדגיש כי "על מנת להביא להתערבות שיפוטית בהליך החקיקה אין די בהוכחת פגיעה בעקרון יסוד של הליך החקיקה... אלא יש להצביע על פגיעה קשה וניכרת באותו עקרון. ... רק במקרים קיצוניים ונדירים..., אשר נקווה כי במציאות הפרלמנטארית שלנו אינם צפויים" עשוי בית המשפט להכריז על בטלותו של חוק מחמת פגמים בהליך החקיקה.</w:t>
      </w:r>
      <w:r>
        <w:rPr>
          <w:rFonts w:cs="Times New Roman" w:hint="cs"/>
          <w:rtl/>
        </w:rPr>
        <w:t xml:space="preserve"> [שם, בפס"ד ארגון מגדלי העופות].</w:t>
      </w:r>
      <w:r w:rsidRPr="006D3CCB">
        <w:rPr>
          <w:rFonts w:cs="Times New Roman"/>
          <w:rtl/>
        </w:rPr>
        <w:t xml:space="preserve">  </w:t>
      </w:r>
    </w:p>
    <w:p w:rsidR="005366A8" w:rsidRPr="006D3CCB" w:rsidRDefault="005366A8" w:rsidP="005366A8">
      <w:pPr>
        <w:pStyle w:val="a0"/>
        <w:adjustRightInd w:val="0"/>
        <w:spacing w:line="240" w:lineRule="auto"/>
        <w:textAlignment w:val="baseline"/>
        <w:rPr>
          <w:rFonts w:cs="Times New Roman"/>
          <w:rtl/>
        </w:rPr>
      </w:pPr>
      <w:r w:rsidRPr="006D3CCB">
        <w:rPr>
          <w:rFonts w:cs="Times New Roman"/>
          <w:rtl/>
        </w:rPr>
        <w:t>כך, למשל, נדחו עתירות כנגד נקיטת הליכי חקיקה מזורזים, בהם אין ניתנת לחברי הכנסת ולציבור הרחב שהות לעיין בהצעת החוק בין הקריאה הראשונה לבין הקריאות השנייה והשלישית, לאור הסמכות המוקנית בתקנון הכנסת לוועדת הכנסת להורות כך. בית המשפט נמנע מלבחון את סבירותה של הפעלת סמכות זו. נדחו גם טענות כנגד תוקפו של חוק שהתקבל תוך הפרת כללי הדיון בכנסת (ובכלל זה הצבעה בשמו של חבר כנסת, אם לא היה לכך השפעה על תוצאות ההצבעה)</w:t>
      </w:r>
      <w:bookmarkStart w:id="51" w:name="_Ref80966758"/>
      <w:r w:rsidRPr="006D3CCB">
        <w:rPr>
          <w:rFonts w:cs="Times New Roman"/>
          <w:rtl/>
        </w:rPr>
        <w:t>;</w:t>
      </w:r>
      <w:r w:rsidRPr="006D3CCB">
        <w:rPr>
          <w:rStyle w:val="FootnoteReference"/>
          <w:rFonts w:cs="Times New Roman"/>
          <w:rtl/>
        </w:rPr>
        <w:footnoteReference w:id="54"/>
      </w:r>
      <w:bookmarkEnd w:id="51"/>
      <w:r w:rsidRPr="006D3CCB">
        <w:rPr>
          <w:rFonts w:cs="Times New Roman"/>
          <w:rtl/>
        </w:rPr>
        <w:t xml:space="preserve"> כנגד הכללה בחוק של נושאים שלא נזכרו בהצעת החוק שאושרה בקריאה ראשונה</w:t>
      </w:r>
      <w:bookmarkStart w:id="52" w:name="_Ref48013413"/>
      <w:r w:rsidRPr="006D3CCB">
        <w:rPr>
          <w:rFonts w:cs="Times New Roman"/>
          <w:rtl/>
        </w:rPr>
        <w:t>;</w:t>
      </w:r>
      <w:bookmarkEnd w:id="52"/>
      <w:r w:rsidRPr="006D3CCB">
        <w:rPr>
          <w:rFonts w:cs="Times New Roman"/>
          <w:rtl/>
        </w:rPr>
        <w:t xml:space="preserve"> כנגד התקינות של פעולות הכנה שקדמו להליך החקיקה</w:t>
      </w:r>
      <w:r>
        <w:rPr>
          <w:rFonts w:cs="Times New Roman" w:hint="cs"/>
          <w:rtl/>
        </w:rPr>
        <w:t>,</w:t>
      </w:r>
      <w:r w:rsidRPr="006D3CCB">
        <w:rPr>
          <w:rFonts w:cs="Times New Roman"/>
          <w:rtl/>
        </w:rPr>
        <w:t xml:space="preserve"> וכנגד אי ציון מקור תקציבי למימון החלתו של חוק</w:t>
      </w:r>
      <w:bookmarkStart w:id="53" w:name="_Ref47686016"/>
      <w:r w:rsidRPr="006D3CCB">
        <w:rPr>
          <w:rFonts w:cs="Times New Roman"/>
          <w:rtl/>
        </w:rPr>
        <w:t>.</w:t>
      </w:r>
      <w:bookmarkEnd w:id="53"/>
    </w:p>
    <w:p w:rsidR="005366A8" w:rsidRPr="006D3CCB" w:rsidRDefault="005366A8" w:rsidP="005366A8">
      <w:pPr>
        <w:pStyle w:val="4"/>
        <w:spacing w:line="240" w:lineRule="auto"/>
        <w:rPr>
          <w:rFonts w:ascii="Times New Roman"/>
          <w:sz w:val="20"/>
          <w:rtl/>
        </w:rPr>
      </w:pPr>
      <w:r w:rsidRPr="006D3CCB">
        <w:rPr>
          <w:rFonts w:ascii="Times New Roman"/>
          <w:sz w:val="20"/>
          <w:rtl/>
        </w:rPr>
        <w:t>תכלית מרכזית של הליך החקיקה היא שאיפה להבטיח כי הכרעותיה של הכנסת מבוססות על תשתית עובדתית נאותה. לשם כך הוקנתה לוועדות הכנסת סמכותה רחבה להזמין מומחים ובעלי עניין להביע עמדתם באשר להצעות חוק הנדונות בוועדה; ולשם כך פועלים בכנסת שירותי ייעוץ ומחקר שונים, המספקים לחברי הכנסת מידע בתחומים מגוונים. בית המשפט לא שלל את האפשרות כי יורה לממשלה למסור לחברי הכנסת את מלוא המידע הרלבנטי לצורך דיון בהצעות חוק והצעות החלטה שמגישה הממשלה לכנסת</w:t>
      </w:r>
      <w:r>
        <w:rPr>
          <w:rFonts w:ascii="Times New Roman" w:hint="cs"/>
          <w:sz w:val="20"/>
          <w:rtl/>
        </w:rPr>
        <w:t>.</w:t>
      </w:r>
      <w:r w:rsidRPr="006D3CCB">
        <w:rPr>
          <w:rStyle w:val="FootnoteReference"/>
          <w:rFonts w:ascii="Times New Roman"/>
          <w:sz w:val="20"/>
          <w:rtl/>
        </w:rPr>
        <w:footnoteReference w:id="55"/>
      </w:r>
      <w:r w:rsidRPr="006D3CCB">
        <w:rPr>
          <w:rFonts w:ascii="Times New Roman"/>
          <w:sz w:val="20"/>
          <w:rtl/>
        </w:rPr>
        <w:t xml:space="preserve"> </w:t>
      </w:r>
      <w:r>
        <w:rPr>
          <w:rFonts w:ascii="Times New Roman" w:hint="cs"/>
          <w:sz w:val="20"/>
          <w:rtl/>
        </w:rPr>
        <w:t xml:space="preserve"> </w:t>
      </w:r>
      <w:r w:rsidRPr="00583AB8">
        <w:rPr>
          <w:rFonts w:ascii="Times New Roman"/>
          <w:sz w:val="20"/>
          <w:highlight w:val="yellow"/>
          <w:rtl/>
        </w:rPr>
        <w:t>אולם, בית המשפט נמנע מלהטיל על הכנסת חובה לקיים "הליך נאות" לקבלת החלטות, מן הסוג המוטל על רשויות מינהליות.</w:t>
      </w:r>
      <w:r w:rsidRPr="00583AB8">
        <w:rPr>
          <w:rStyle w:val="FootnoteReference"/>
          <w:rFonts w:ascii="Times New Roman"/>
          <w:sz w:val="20"/>
          <w:rtl/>
        </w:rPr>
        <w:footnoteReference w:id="56"/>
      </w:r>
      <w:r w:rsidRPr="00583AB8">
        <w:rPr>
          <w:rFonts w:ascii="Times New Roman"/>
          <w:sz w:val="20"/>
          <w:highlight w:val="yellow"/>
          <w:rtl/>
        </w:rPr>
        <w:t xml:space="preserve"> לפיכך, בית המשפט אינו אוכף את החובה העקרונית המוטלת על הכנסת, לבסס את הכרעותיה על תשתית עובדתית נאותה, להימנע מניגוד עניינים וכדומה.</w:t>
      </w:r>
      <w:r w:rsidRPr="00583AB8">
        <w:rPr>
          <w:rFonts w:ascii="Times New Roman"/>
          <w:sz w:val="20"/>
          <w:rtl/>
        </w:rPr>
        <w:t xml:space="preserve"> </w:t>
      </w:r>
    </w:p>
    <w:p w:rsidR="005366A8" w:rsidRDefault="005366A8" w:rsidP="005366A8">
      <w:pPr>
        <w:rPr>
          <w:sz w:val="20"/>
          <w:szCs w:val="20"/>
          <w:rtl/>
        </w:rPr>
      </w:pPr>
      <w:r>
        <w:rPr>
          <w:rFonts w:hint="cs"/>
          <w:sz w:val="20"/>
          <w:szCs w:val="20"/>
          <w:rtl/>
        </w:rPr>
        <w:t>=-=</w:t>
      </w:r>
    </w:p>
    <w:p w:rsidR="005366A8" w:rsidRDefault="005366A8" w:rsidP="005366A8">
      <w:pPr>
        <w:jc w:val="center"/>
        <w:rPr>
          <w:sz w:val="20"/>
          <w:szCs w:val="20"/>
          <w:rtl/>
        </w:rPr>
      </w:pPr>
      <w:r w:rsidRPr="00D079F4">
        <w:rPr>
          <w:rFonts w:hint="cs"/>
          <w:highlight w:val="yellow"/>
          <w:rtl/>
        </w:rPr>
        <w:t xml:space="preserve">בג"צ 4885/03 </w:t>
      </w:r>
      <w:r w:rsidRPr="00D079F4">
        <w:rPr>
          <w:rFonts w:hint="cs"/>
          <w:b/>
          <w:bCs/>
          <w:highlight w:val="yellow"/>
          <w:rtl/>
        </w:rPr>
        <w:t>ארגון מגדלי העופות נ' ממשלת ישראל</w:t>
      </w:r>
      <w:r w:rsidRPr="00D079F4">
        <w:rPr>
          <w:rFonts w:hint="cs"/>
          <w:highlight w:val="yellow"/>
          <w:rtl/>
        </w:rPr>
        <w:t>, פ"ד נט(2) 14 (2004)</w:t>
      </w:r>
    </w:p>
    <w:p w:rsidR="005366A8" w:rsidRDefault="005366A8" w:rsidP="005366A8">
      <w:pPr>
        <w:rPr>
          <w:sz w:val="20"/>
          <w:szCs w:val="20"/>
          <w:rtl/>
        </w:rPr>
      </w:pPr>
    </w:p>
    <w:p w:rsidR="005366A8" w:rsidRDefault="005366A8" w:rsidP="005366A8">
      <w:pPr>
        <w:pStyle w:val="ac"/>
        <w:ind w:firstLine="0"/>
        <w:rPr>
          <w:rtl/>
        </w:rPr>
      </w:pPr>
      <w:r>
        <w:rPr>
          <w:rFonts w:hint="cs"/>
          <w:rtl/>
        </w:rPr>
        <w:t>העותרים תוקפים את חוקתיותו של פרק י"א ב'חוק ההסדרים' משנת 2003 -  חוק התכנית להבראת כלכלת ישראל (תיקוני חקיקה להשגת יעדי התקציב והמדיניות הכלכלית לשנות הכספים 2003 ו</w:t>
      </w:r>
      <w:r>
        <w:rPr>
          <w:rFonts w:hint="cs"/>
          <w:position w:val="3"/>
          <w:sz w:val="22"/>
          <w:rtl/>
        </w:rPr>
        <w:t>-</w:t>
      </w:r>
      <w:r>
        <w:rPr>
          <w:rFonts w:hint="cs"/>
          <w:rtl/>
        </w:rPr>
        <w:t xml:space="preserve">2004), תשס"ג-2003 (להלן </w:t>
      </w:r>
      <w:r>
        <w:rPr>
          <w:rtl/>
        </w:rPr>
        <w:t>–</w:t>
      </w:r>
      <w:r>
        <w:rPr>
          <w:rFonts w:hint="cs"/>
          <w:rtl/>
        </w:rPr>
        <w:t xml:space="preserve"> פרק החקלאות). פרק זה מנהיג רפורמות מבניות בהסדרתם של כמה ענפי חקלאות. בעיקר צומצמו סמכויותיה הרגולטיביות של מועצת הייצור החקלאית, ומועצות הייצור הצמחיות השונות אוחדו למועצה אחת. טענותיהם של העותרים נוגעות הן להליך חקיקתו של הפרק – שנעשה בחקיקת חירום כלכלית מזורזת – הן לתוכנו של החוק, הפוגע לטענתם בזכויות יסוד</w:t>
      </w:r>
      <w:r>
        <w:rPr>
          <w:rtl/>
        </w:rPr>
        <w:t>.</w:t>
      </w:r>
    </w:p>
    <w:p w:rsidR="005366A8" w:rsidRPr="00D079F4" w:rsidRDefault="005366A8" w:rsidP="005366A8">
      <w:pPr>
        <w:pStyle w:val="a6"/>
        <w:spacing w:after="0" w:line="240" w:lineRule="auto"/>
        <w:rPr>
          <w:sz w:val="22"/>
          <w:szCs w:val="22"/>
          <w:rtl/>
        </w:rPr>
      </w:pPr>
    </w:p>
    <w:p w:rsidR="005366A8" w:rsidRDefault="005366A8" w:rsidP="005366A8">
      <w:pPr>
        <w:pStyle w:val="a6"/>
        <w:spacing w:after="120" w:line="240" w:lineRule="auto"/>
        <w:rPr>
          <w:sz w:val="22"/>
          <w:szCs w:val="22"/>
          <w:rtl/>
        </w:rPr>
      </w:pPr>
      <w:r w:rsidRPr="00D079F4">
        <w:rPr>
          <w:rFonts w:hint="cs"/>
          <w:sz w:val="22"/>
          <w:szCs w:val="22"/>
          <w:rtl/>
        </w:rPr>
        <w:t>30.</w:t>
      </w:r>
      <w:r w:rsidRPr="00D079F4">
        <w:rPr>
          <w:rFonts w:hint="cs"/>
          <w:sz w:val="22"/>
          <w:szCs w:val="22"/>
          <w:rtl/>
        </w:rPr>
        <w:tab/>
      </w:r>
      <w:r w:rsidRPr="00D079F4">
        <w:rPr>
          <w:rFonts w:hint="cs"/>
          <w:sz w:val="22"/>
          <w:szCs w:val="22"/>
          <w:highlight w:val="yellow"/>
          <w:rtl/>
        </w:rPr>
        <w:t>אכן, הליך חקיקתו של החוק נושא עתירות אלו ובייחוד של פרק החקלאות, הוא דוגמה מובהקת לשימוש המופרז והבלתי תקין שהכנסת עושה במנגנון חקיקה מסוגו של חוק ההסדרים בשנים האחרונות. כזכור, הצעת החוק דנן הייתה נרחבת בהיקפה ובמגוון נושאיה, והיא התקבלה בהליך חקיקה מזורז ביותר, תוך כמה חריגות מכללי החקיקה הרגילים. זאת ועוד, השינויים המבניים שפרק החקלאות עורך במועצות החקלאיות הם מסוג השינויים המהותיים מרחיקי הלכת שאין מקומם בהליך חקיקה מסוגו של חוק ההסדרים. על כך יש להוסיף כי לא מצאנו בדברי המשיבים הסבר משכנע מדוע רפורמה זו הייתה דחופה דייה עד כי הייתה הצדקה לכלול אותה במסגרת חקיקת חירום כלכלית, וכי לפחות חלק מהשינויים שפרק החקלאות עורך, כגון העברת סמכויות מהמועצות לשר ושינוי שיטת מינוים של חברי המועצות, אינם בעלי זיקה ישירה והכרחית לתקציב. אולם בכל אלה אין כדי להביא להכרזה על בטלותו של פרק החקלאות</w:t>
      </w:r>
      <w:r w:rsidRPr="00D079F4">
        <w:rPr>
          <w:rFonts w:hint="cs"/>
          <w:sz w:val="22"/>
          <w:szCs w:val="22"/>
          <w:rtl/>
        </w:rPr>
        <w:t>.</w:t>
      </w:r>
    </w:p>
    <w:p w:rsidR="005366A8" w:rsidRPr="00D079F4" w:rsidRDefault="005366A8" w:rsidP="005366A8">
      <w:pPr>
        <w:pStyle w:val="a6"/>
        <w:spacing w:after="120" w:line="240" w:lineRule="auto"/>
        <w:rPr>
          <w:sz w:val="22"/>
          <w:szCs w:val="22"/>
          <w:rtl/>
        </w:rPr>
      </w:pPr>
      <w:r w:rsidRPr="00D079F4">
        <w:rPr>
          <w:rFonts w:hint="cs"/>
          <w:sz w:val="22"/>
          <w:szCs w:val="22"/>
          <w:highlight w:val="yellow"/>
          <w:rtl/>
        </w:rPr>
        <w:t>כפי שראינו לעיל, על</w:t>
      </w:r>
      <w:r w:rsidRPr="00D079F4">
        <w:rPr>
          <w:rFonts w:hint="cs"/>
          <w:position w:val="4"/>
          <w:sz w:val="22"/>
          <w:szCs w:val="22"/>
          <w:highlight w:val="yellow"/>
          <w:rtl/>
        </w:rPr>
        <w:t>-</w:t>
      </w:r>
      <w:r w:rsidRPr="00D079F4">
        <w:rPr>
          <w:rFonts w:hint="cs"/>
          <w:sz w:val="22"/>
          <w:szCs w:val="22"/>
          <w:highlight w:val="yellow"/>
          <w:rtl/>
        </w:rPr>
        <w:t>פי המצב החוקי הקיים, ובהתחשב בסמכותה של ועדת הכנסת לאשר חריגות מהליכי החקיקה הקבועים בתקנון, אין כל מגבלה פורמאלית על סמכותה של הכנסת לעשות שימוש בהליכי חקיקה מזורזים שבמסגרתם נדונים נושאים רבים ומגוונים כמיקשה אחת, ושבמסגרתם נדונה הצעת החוק במלואה בוועדת הכספים. כמו כן על</w:t>
      </w:r>
      <w:r w:rsidRPr="00D079F4">
        <w:rPr>
          <w:rFonts w:hint="cs"/>
          <w:position w:val="4"/>
          <w:sz w:val="22"/>
          <w:szCs w:val="22"/>
          <w:highlight w:val="yellow"/>
          <w:rtl/>
        </w:rPr>
        <w:t>-</w:t>
      </w:r>
      <w:r w:rsidRPr="00D079F4">
        <w:rPr>
          <w:rFonts w:hint="cs"/>
          <w:sz w:val="22"/>
          <w:szCs w:val="22"/>
          <w:highlight w:val="yellow"/>
          <w:rtl/>
        </w:rPr>
        <w:t>פי המצב החוקי הקיים, אין הגבלה פורמאלית על סוג הנושאים שניתן לכלול בחוק מסוגו של חוק ההסדרים, לפיכך עצם העובדה שמדובר בהליך חקיקה מזורז מסוגו של חוק ההסדרים אין בה כשלעצמה להביא למסקנה כי יש מקום להתערבות שיפוטית בהליכי החקיקה. כך גם עצם הטענה כי לא היה ראוי לעשות שימוש במנגנון החקיקה של חוק ההסדרים לחקיקתו של נושא מסוים, מוצדקת ככל שתהיה, אינה מביאה כשלעצמה למסקנה כי יש מקום להתערבות שיפוטית בהליכי החקיקה</w:t>
      </w:r>
      <w:r w:rsidRPr="00D079F4">
        <w:rPr>
          <w:rFonts w:hint="cs"/>
          <w:sz w:val="22"/>
          <w:szCs w:val="22"/>
          <w:rtl/>
        </w:rPr>
        <w:t xml:space="preserve">. השאלה העומדת בפנינו הינה אפוא אם נפל בהליכי חקיקתו של פרק החקלאות </w:t>
      </w:r>
      <w:r w:rsidRPr="00D079F4">
        <w:rPr>
          <w:rFonts w:hint="cs"/>
          <w:sz w:val="22"/>
          <w:szCs w:val="22"/>
          <w:highlight w:val="green"/>
          <w:rtl/>
        </w:rPr>
        <w:t>"</w:t>
      </w:r>
      <w:r w:rsidRPr="00D079F4">
        <w:rPr>
          <w:sz w:val="22"/>
          <w:szCs w:val="22"/>
          <w:highlight w:val="green"/>
          <w:rtl/>
        </w:rPr>
        <w:t>פגם היורד</w:t>
      </w:r>
      <w:r w:rsidRPr="00D079F4">
        <w:rPr>
          <w:sz w:val="22"/>
          <w:szCs w:val="22"/>
          <w:highlight w:val="green"/>
        </w:rPr>
        <w:t xml:space="preserve"> </w:t>
      </w:r>
      <w:r w:rsidRPr="00D079F4">
        <w:rPr>
          <w:sz w:val="22"/>
          <w:szCs w:val="22"/>
          <w:highlight w:val="green"/>
          <w:rtl/>
        </w:rPr>
        <w:t>לשורש ההליך</w:t>
      </w:r>
      <w:r w:rsidRPr="00D079F4">
        <w:rPr>
          <w:rFonts w:hint="cs"/>
          <w:sz w:val="22"/>
          <w:szCs w:val="22"/>
          <w:highlight w:val="green"/>
          <w:rtl/>
        </w:rPr>
        <w:t xml:space="preserve">", כלומר פגם שיש בו פגיעה קשה וניכרת </w:t>
      </w:r>
      <w:r w:rsidRPr="00D079F4">
        <w:rPr>
          <w:sz w:val="22"/>
          <w:szCs w:val="22"/>
          <w:highlight w:val="green"/>
          <w:rtl/>
        </w:rPr>
        <w:t xml:space="preserve">בעקרונות </w:t>
      </w:r>
      <w:r w:rsidRPr="00D079F4">
        <w:rPr>
          <w:rFonts w:hint="cs"/>
          <w:sz w:val="22"/>
          <w:szCs w:val="22"/>
          <w:highlight w:val="green"/>
          <w:rtl/>
        </w:rPr>
        <w:t>ה</w:t>
      </w:r>
      <w:r w:rsidRPr="00D079F4">
        <w:rPr>
          <w:sz w:val="22"/>
          <w:szCs w:val="22"/>
          <w:highlight w:val="green"/>
          <w:rtl/>
        </w:rPr>
        <w:t xml:space="preserve">יסוד </w:t>
      </w:r>
      <w:r w:rsidRPr="00D079F4">
        <w:rPr>
          <w:rFonts w:hint="cs"/>
          <w:sz w:val="22"/>
          <w:szCs w:val="22"/>
          <w:highlight w:val="green"/>
          <w:rtl/>
        </w:rPr>
        <w:t>של הליך החקיקה במשטרנו הפרלמנטרי והחוקתי.</w:t>
      </w:r>
    </w:p>
    <w:p w:rsidR="005366A8" w:rsidRPr="00D079F4" w:rsidRDefault="005366A8" w:rsidP="005366A8">
      <w:pPr>
        <w:pStyle w:val="a6"/>
        <w:spacing w:after="120" w:line="240" w:lineRule="auto"/>
        <w:rPr>
          <w:sz w:val="22"/>
          <w:szCs w:val="22"/>
          <w:highlight w:val="yellow"/>
          <w:rtl/>
        </w:rPr>
      </w:pPr>
      <w:r w:rsidRPr="00D079F4">
        <w:rPr>
          <w:rFonts w:hint="cs"/>
          <w:sz w:val="22"/>
          <w:szCs w:val="22"/>
          <w:highlight w:val="yellow"/>
          <w:rtl/>
        </w:rPr>
        <w:t>מקובלת עלינו טענת העותרים כי הליך החקיקה במקרה דנן הקשה על קיומו של דיון מעמיק וממצה ופגע ביכולתם של חברי</w:t>
      </w:r>
      <w:r w:rsidRPr="00D079F4">
        <w:rPr>
          <w:rFonts w:hint="cs"/>
          <w:position w:val="4"/>
          <w:sz w:val="22"/>
          <w:szCs w:val="22"/>
          <w:highlight w:val="yellow"/>
          <w:rtl/>
        </w:rPr>
        <w:t>-</w:t>
      </w:r>
      <w:r w:rsidRPr="00D079F4">
        <w:rPr>
          <w:rFonts w:hint="cs"/>
          <w:sz w:val="22"/>
          <w:szCs w:val="22"/>
          <w:highlight w:val="yellow"/>
          <w:rtl/>
        </w:rPr>
        <w:t>הכנסת לגבש עמדה מבוססת לגבי כל אחד מהנושאים המופיעים בהצעת החוק. עם זאת מהטעמים שהבהרנו לעיל אין די בכך כדי לומר כי נפל בהליכי החקיקה פגם המצדיק את התערבותנו. במקרה דנן, נוכח הדיון שהתקיים בוועדת הכספים, מצומצם ככל שיהיה, ונוכח ההסברים שניתנו שם מטעם הממשלה לחברי</w:t>
      </w:r>
      <w:r w:rsidRPr="00D079F4">
        <w:rPr>
          <w:rFonts w:hint="cs"/>
          <w:position w:val="4"/>
          <w:sz w:val="22"/>
          <w:szCs w:val="22"/>
          <w:highlight w:val="yellow"/>
          <w:rtl/>
        </w:rPr>
        <w:t>-</w:t>
      </w:r>
      <w:r w:rsidRPr="00D079F4">
        <w:rPr>
          <w:rFonts w:hint="cs"/>
          <w:sz w:val="22"/>
          <w:szCs w:val="22"/>
          <w:highlight w:val="yellow"/>
          <w:rtl/>
        </w:rPr>
        <w:t>הכנסת, אין לומר כי לא ניתנה לחברי</w:t>
      </w:r>
      <w:r w:rsidRPr="00D079F4">
        <w:rPr>
          <w:rFonts w:hint="cs"/>
          <w:position w:val="4"/>
          <w:sz w:val="22"/>
          <w:szCs w:val="22"/>
          <w:highlight w:val="yellow"/>
          <w:rtl/>
        </w:rPr>
        <w:t>-</w:t>
      </w:r>
      <w:r w:rsidRPr="00D079F4">
        <w:rPr>
          <w:rFonts w:hint="cs"/>
          <w:sz w:val="22"/>
          <w:szCs w:val="22"/>
          <w:highlight w:val="yellow"/>
          <w:rtl/>
        </w:rPr>
        <w:t>הכנסת כל אפשרות מעשית לדעת על מה הם מצביעים, וכי נשללה מהם כל אפשרות מעשית לגבש עמדה בקשר לפרק החקלאות. לפיכך, ומשאמרנו כי על</w:t>
      </w:r>
      <w:r w:rsidRPr="00D079F4">
        <w:rPr>
          <w:rFonts w:hint="cs"/>
          <w:position w:val="4"/>
          <w:sz w:val="22"/>
          <w:szCs w:val="22"/>
          <w:highlight w:val="yellow"/>
          <w:rtl/>
        </w:rPr>
        <w:t>-</w:t>
      </w:r>
      <w:r w:rsidRPr="00D079F4">
        <w:rPr>
          <w:rFonts w:hint="cs"/>
          <w:sz w:val="22"/>
          <w:szCs w:val="22"/>
          <w:highlight w:val="yellow"/>
          <w:rtl/>
        </w:rPr>
        <w:t>פי שיטתנו לא יקיים בית</w:t>
      </w:r>
      <w:r w:rsidRPr="00D079F4">
        <w:rPr>
          <w:rFonts w:hint="cs"/>
          <w:position w:val="4"/>
          <w:sz w:val="22"/>
          <w:szCs w:val="22"/>
          <w:highlight w:val="yellow"/>
          <w:rtl/>
        </w:rPr>
        <w:t>-</w:t>
      </w:r>
      <w:r w:rsidRPr="00D079F4">
        <w:rPr>
          <w:rFonts w:hint="cs"/>
          <w:sz w:val="22"/>
          <w:szCs w:val="22"/>
          <w:highlight w:val="yellow"/>
          <w:rtl/>
        </w:rPr>
        <w:t xml:space="preserve">משפט זה ביקורת על קיומו של "הליך חקיקה נאות", לא נתקיימה עילה להתערבותנו בהליך החקיקה. </w:t>
      </w:r>
    </w:p>
    <w:p w:rsidR="005366A8" w:rsidRPr="00D079F4" w:rsidRDefault="005366A8" w:rsidP="005366A8">
      <w:pPr>
        <w:pStyle w:val="a6"/>
        <w:spacing w:after="120" w:line="240" w:lineRule="auto"/>
        <w:rPr>
          <w:sz w:val="22"/>
          <w:szCs w:val="22"/>
          <w:rtl/>
        </w:rPr>
      </w:pPr>
      <w:r w:rsidRPr="00D079F4">
        <w:rPr>
          <w:rFonts w:hint="cs"/>
          <w:sz w:val="22"/>
          <w:szCs w:val="22"/>
          <w:highlight w:val="yellow"/>
          <w:rtl/>
        </w:rPr>
        <w:t>התוצאה היא אפוא כי אף שהליך החקיקה שהתקיים במקרה זה לשם עריכת הרפורמות במועצות החקלאיות היה בלתי ראוי, לא מצאנו בהליך זה "פגם היורד לשורשו של ההליך" אשר עשוי להצדיק הכרזה על בטלותו של הפרק</w:t>
      </w:r>
      <w:r w:rsidRPr="00D079F4">
        <w:rPr>
          <w:rFonts w:hint="cs"/>
          <w:sz w:val="22"/>
          <w:szCs w:val="22"/>
          <w:rtl/>
        </w:rPr>
        <w:t>.</w:t>
      </w:r>
    </w:p>
    <w:p w:rsidR="005366A8" w:rsidRPr="00D079F4" w:rsidRDefault="005366A8" w:rsidP="005366A8">
      <w:pPr>
        <w:pStyle w:val="a6"/>
        <w:spacing w:after="120" w:line="240" w:lineRule="auto"/>
        <w:rPr>
          <w:sz w:val="22"/>
          <w:szCs w:val="22"/>
          <w:rtl/>
        </w:rPr>
      </w:pPr>
      <w:r w:rsidRPr="00D079F4">
        <w:rPr>
          <w:rFonts w:hint="cs"/>
          <w:sz w:val="22"/>
          <w:szCs w:val="22"/>
          <w:rtl/>
        </w:rPr>
        <w:t>31.</w:t>
      </w:r>
      <w:r w:rsidRPr="00D079F4">
        <w:rPr>
          <w:rFonts w:hint="cs"/>
          <w:sz w:val="22"/>
          <w:szCs w:val="22"/>
          <w:rtl/>
        </w:rPr>
        <w:tab/>
        <w:t xml:space="preserve">סיכומם של דברים; עמדנו בהרחבה על הבעייתיות הרבה הכרוכה במנגנון חקיקה מסוגו של חוק ההסדרים מבחינת ההליך הדמוקרטי התקין, מבחינת עקרון הפרדת הרשויות ומבחינת אופיו </w:t>
      </w:r>
      <w:r w:rsidRPr="00D079F4">
        <w:rPr>
          <w:sz w:val="22"/>
          <w:szCs w:val="22"/>
          <w:rtl/>
        </w:rPr>
        <w:t>הדמוקרטי</w:t>
      </w:r>
      <w:r w:rsidRPr="00D079F4">
        <w:rPr>
          <w:position w:val="4"/>
          <w:sz w:val="22"/>
          <w:szCs w:val="22"/>
          <w:rtl/>
        </w:rPr>
        <w:t>-</w:t>
      </w:r>
      <w:r w:rsidRPr="00D079F4">
        <w:rPr>
          <w:sz w:val="22"/>
          <w:szCs w:val="22"/>
          <w:rtl/>
        </w:rPr>
        <w:t>ייצוגי של המשטר</w:t>
      </w:r>
      <w:r w:rsidRPr="00D079F4">
        <w:rPr>
          <w:rFonts w:hint="cs"/>
          <w:sz w:val="22"/>
          <w:szCs w:val="22"/>
          <w:rtl/>
        </w:rPr>
        <w:t xml:space="preserve"> בישראל. מן הראוי אפוא כי הכנסת תיתן דעתה על הבעייתיות הרבה הכרוכה במנגנון חקיקתי זה ותבטיח כי השימוש במנגנון זה, אם בכלל, ייעשה באופן מושכל ומוגבל. על</w:t>
      </w:r>
      <w:r w:rsidRPr="00D079F4">
        <w:rPr>
          <w:rFonts w:hint="cs"/>
          <w:position w:val="4"/>
          <w:sz w:val="22"/>
          <w:szCs w:val="22"/>
          <w:rtl/>
        </w:rPr>
        <w:t>-</w:t>
      </w:r>
      <w:r w:rsidRPr="00D079F4">
        <w:rPr>
          <w:rFonts w:hint="cs"/>
          <w:sz w:val="22"/>
          <w:szCs w:val="22"/>
          <w:rtl/>
        </w:rPr>
        <w:t>פי גישתנו אשר פורטה לעיל, הפתרון למצב שנוצר עקב השימוש המופרז שנעשה במנגנון חקיקה זה אינו בידיו של בית</w:t>
      </w:r>
      <w:r w:rsidRPr="00D079F4">
        <w:rPr>
          <w:rFonts w:hint="cs"/>
          <w:position w:val="4"/>
          <w:sz w:val="22"/>
          <w:szCs w:val="22"/>
          <w:rtl/>
        </w:rPr>
        <w:t>-</w:t>
      </w:r>
      <w:r w:rsidRPr="00D079F4">
        <w:rPr>
          <w:rFonts w:hint="cs"/>
          <w:sz w:val="22"/>
          <w:szCs w:val="22"/>
          <w:rtl/>
        </w:rPr>
        <w:t>המשפט, אלא בראש ובראשונה בידיו של המחוקק. אכן, מנגנון החקיקה מסוגו של חוק ההסדרים פוגע במעמדה של הכנסת כבית המחוקקים של המדינה, ותפקידו של בית</w:t>
      </w:r>
      <w:r w:rsidRPr="00D079F4">
        <w:rPr>
          <w:rFonts w:hint="cs"/>
          <w:position w:val="4"/>
          <w:sz w:val="22"/>
          <w:szCs w:val="22"/>
          <w:rtl/>
        </w:rPr>
        <w:t>-</w:t>
      </w:r>
      <w:r w:rsidRPr="00D079F4">
        <w:rPr>
          <w:rFonts w:hint="cs"/>
          <w:sz w:val="22"/>
          <w:szCs w:val="22"/>
          <w:rtl/>
        </w:rPr>
        <w:t xml:space="preserve">משפט זה להתריע על כך (ראו והשוו: בג"ץ 6971/98 פריצקי, עו"ד נ' ממשלת ישראל [28], בעמ' 778; פרשת </w:t>
      </w:r>
      <w:r w:rsidRPr="00D079F4">
        <w:rPr>
          <w:sz w:val="22"/>
          <w:szCs w:val="22"/>
          <w:rtl/>
        </w:rPr>
        <w:t>רובינשטיין</w:t>
      </w:r>
      <w:r w:rsidRPr="00D079F4">
        <w:rPr>
          <w:rFonts w:hint="cs"/>
          <w:sz w:val="22"/>
          <w:szCs w:val="22"/>
          <w:rtl/>
        </w:rPr>
        <w:t xml:space="preserve"> [2], בעמ' 511; בג"ץ 266/68 עירית פתח תקוה נ' שר החקלאות [29], בעמ' 833), אולם תפקיד השמירה על מעמדה של הכנסת מפני מנגנוני חקיקה המאפשרים את הסגת גבולה על</w:t>
      </w:r>
      <w:r w:rsidRPr="00D079F4">
        <w:rPr>
          <w:rFonts w:hint="cs"/>
          <w:position w:val="4"/>
          <w:sz w:val="22"/>
          <w:szCs w:val="22"/>
          <w:rtl/>
        </w:rPr>
        <w:t>-</w:t>
      </w:r>
      <w:r w:rsidRPr="00D079F4">
        <w:rPr>
          <w:rFonts w:hint="cs"/>
          <w:sz w:val="22"/>
          <w:szCs w:val="22"/>
          <w:rtl/>
        </w:rPr>
        <w:t>ידי הרשות המבצעת, נתון בראש ובראשונה בידיה של הכנסת עצמה. אכן:</w:t>
      </w:r>
    </w:p>
    <w:p w:rsidR="005366A8" w:rsidRPr="00D079F4" w:rsidRDefault="005366A8" w:rsidP="005366A8">
      <w:pPr>
        <w:pStyle w:val="a7"/>
        <w:rPr>
          <w:sz w:val="22"/>
          <w:szCs w:val="22"/>
          <w:rtl/>
        </w:rPr>
      </w:pPr>
      <w:r w:rsidRPr="00D079F4">
        <w:rPr>
          <w:rFonts w:hint="cs"/>
          <w:sz w:val="22"/>
          <w:szCs w:val="22"/>
          <w:rtl/>
        </w:rPr>
        <w:t>"הכנסת – ורק היא – יכולה לשנות את כללי המשחק. הסמכות שמוענקת לרשות המבצעת ולרשות השופטת, היא הסמכות שהכנסת – בכובע של הרשות המכוננת (חוקי היסוד) או בכובע של הרשות המחוקקת (חוקים רגילים) – מעניקה להם... להיבט זה משמעות מיוחדת ביחסים בין הכנסת לממשלה... אך מעבר לכך: מעליונותה של הכנסת מתבקש שההכרעות החשובות והעקרוניות למהות המשטר ייעשו על</w:t>
      </w:r>
      <w:r w:rsidRPr="00D079F4">
        <w:rPr>
          <w:rFonts w:hint="cs"/>
          <w:position w:val="4"/>
          <w:sz w:val="22"/>
          <w:szCs w:val="22"/>
          <w:rtl/>
        </w:rPr>
        <w:t>-</w:t>
      </w:r>
      <w:r w:rsidRPr="00D079F4">
        <w:rPr>
          <w:rFonts w:hint="cs"/>
          <w:sz w:val="22"/>
          <w:szCs w:val="22"/>
          <w:rtl/>
        </w:rPr>
        <w:t>ידי הכנסת ולא על</w:t>
      </w:r>
      <w:r w:rsidRPr="00D079F4">
        <w:rPr>
          <w:rFonts w:hint="cs"/>
          <w:position w:val="4"/>
          <w:sz w:val="22"/>
          <w:szCs w:val="22"/>
          <w:rtl/>
        </w:rPr>
        <w:t>-</w:t>
      </w:r>
      <w:r w:rsidRPr="00D079F4">
        <w:rPr>
          <w:rFonts w:hint="cs"/>
          <w:sz w:val="22"/>
          <w:szCs w:val="22"/>
          <w:rtl/>
        </w:rPr>
        <w:t>ידי הרשויות האחרות. זאת סמכות המיוחדת לכנסת. סמכות זו – חובה בצדה. על הכנסת להגשים סמכות זו בעצמה, ואין היא יכולה... להעביר סמכות זו לזולתה" (ברק "הפרלמנט ובית</w:t>
      </w:r>
      <w:r w:rsidRPr="00D079F4">
        <w:rPr>
          <w:rFonts w:hint="cs"/>
          <w:position w:val="4"/>
          <w:sz w:val="22"/>
          <w:szCs w:val="22"/>
          <w:rtl/>
        </w:rPr>
        <w:t>-</w:t>
      </w:r>
      <w:r w:rsidRPr="00D079F4">
        <w:rPr>
          <w:rFonts w:hint="cs"/>
          <w:sz w:val="22"/>
          <w:szCs w:val="22"/>
          <w:rtl/>
        </w:rPr>
        <w:t>המשפט" [62], בעמ' 7).</w:t>
      </w:r>
    </w:p>
    <w:p w:rsidR="005366A8" w:rsidRDefault="005366A8" w:rsidP="005366A8">
      <w:pPr>
        <w:pStyle w:val="a6"/>
        <w:spacing w:after="120" w:line="240" w:lineRule="auto"/>
        <w:rPr>
          <w:szCs w:val="20"/>
          <w:rtl/>
        </w:rPr>
      </w:pPr>
      <w:r w:rsidRPr="00D079F4">
        <w:rPr>
          <w:rFonts w:hint="cs"/>
          <w:sz w:val="22"/>
          <w:szCs w:val="22"/>
          <w:rtl/>
        </w:rPr>
        <w:t xml:space="preserve"> לפיכך חוזרים אנו על ההמלצה לכנסת לשקול את היקף השימוש במנגנון החקיקה הבעייתי של חוק ההסדרים ולהסדיר את הנושא בחקיקה. בהקשר זה אף נזכיר בשולי הדברים כי בשנים האחרונות נשמעה ביקורת לא מעטה גם מקרב חברי</w:t>
      </w:r>
      <w:r w:rsidRPr="00D079F4">
        <w:rPr>
          <w:rFonts w:hint="cs"/>
          <w:position w:val="4"/>
          <w:sz w:val="22"/>
          <w:szCs w:val="22"/>
          <w:rtl/>
        </w:rPr>
        <w:t>-</w:t>
      </w:r>
      <w:r w:rsidRPr="00D079F4">
        <w:rPr>
          <w:rFonts w:hint="cs"/>
          <w:sz w:val="22"/>
          <w:szCs w:val="22"/>
          <w:rtl/>
        </w:rPr>
        <w:t>הכנסת עצמם על השימוש המופרז במנגנון החקיקה של חוק ההסדרים, וביקורת זו באה לידי ביטוי, בין היתר, בהצעות קונקרטיות לשינוי תקנון הכנסת [85] ובהצעות לחקיקה שתגביל באופנים שונים את השימוש במנגנון חקיקה זה. כיוון שההחלטה בדבר אופן הגבלתו של השימוש במנגנון החקיקה של חוק ההסדרים נתונה כאמור למחוקק, לא ראינו להביע עמדה בעניינן הפרטני של ההצעות.</w:t>
      </w:r>
    </w:p>
    <w:p w:rsidR="005366A8" w:rsidRDefault="005366A8" w:rsidP="005366A8">
      <w:pPr>
        <w:rPr>
          <w:sz w:val="20"/>
          <w:szCs w:val="20"/>
          <w:rtl/>
        </w:rPr>
      </w:pPr>
      <w:r>
        <w:rPr>
          <w:rFonts w:hint="cs"/>
          <w:sz w:val="20"/>
          <w:szCs w:val="20"/>
          <w:rtl/>
        </w:rPr>
        <w:t>=-=</w:t>
      </w:r>
    </w:p>
    <w:p w:rsidR="005366A8" w:rsidRDefault="005366A8" w:rsidP="005366A8">
      <w:pPr>
        <w:rPr>
          <w:sz w:val="20"/>
          <w:szCs w:val="20"/>
          <w:rtl/>
        </w:rPr>
      </w:pPr>
    </w:p>
    <w:p w:rsidR="005366A8" w:rsidRPr="003F66EA" w:rsidRDefault="005366A8" w:rsidP="005366A8">
      <w:pPr>
        <w:rPr>
          <w:i/>
          <w:iCs/>
          <w:sz w:val="20"/>
          <w:szCs w:val="20"/>
          <w:rtl/>
        </w:rPr>
      </w:pPr>
      <w:r w:rsidRPr="003F66EA">
        <w:rPr>
          <w:rFonts w:hint="cs"/>
          <w:i/>
          <w:iCs/>
          <w:sz w:val="20"/>
          <w:szCs w:val="20"/>
          <w:rtl/>
        </w:rPr>
        <w:t>האם וכיצד ניתן להסביר את השוני במגמת</w:t>
      </w:r>
      <w:r>
        <w:rPr>
          <w:rFonts w:hint="cs"/>
          <w:i/>
          <w:iCs/>
          <w:sz w:val="20"/>
          <w:szCs w:val="20"/>
          <w:rtl/>
        </w:rPr>
        <w:t xml:space="preserve">ם של </w:t>
      </w:r>
      <w:r w:rsidRPr="003F66EA">
        <w:rPr>
          <w:rFonts w:hint="cs"/>
          <w:i/>
          <w:iCs/>
          <w:sz w:val="20"/>
          <w:szCs w:val="20"/>
          <w:rtl/>
        </w:rPr>
        <w:t xml:space="preserve">רוב </w:t>
      </w:r>
      <w:r>
        <w:rPr>
          <w:rFonts w:hint="cs"/>
          <w:i/>
          <w:iCs/>
          <w:sz w:val="20"/>
          <w:szCs w:val="20"/>
          <w:rtl/>
        </w:rPr>
        <w:t xml:space="preserve">השופטים </w:t>
      </w:r>
      <w:r w:rsidRPr="003F66EA">
        <w:rPr>
          <w:rFonts w:hint="cs"/>
          <w:i/>
          <w:iCs/>
          <w:sz w:val="20"/>
          <w:szCs w:val="20"/>
          <w:rtl/>
        </w:rPr>
        <w:t xml:space="preserve">בבית המשפט, בויכוח למול השופט גרוניס </w:t>
      </w:r>
      <w:r w:rsidRPr="004E09A3">
        <w:rPr>
          <w:rFonts w:hint="cs"/>
          <w:b/>
          <w:bCs/>
          <w:i/>
          <w:iCs/>
          <w:sz w:val="20"/>
          <w:szCs w:val="20"/>
          <w:rtl/>
        </w:rPr>
        <w:t>בפסקי הדין בעניין חוק טל</w:t>
      </w:r>
      <w:r w:rsidRPr="003F66EA">
        <w:rPr>
          <w:rFonts w:hint="cs"/>
          <w:i/>
          <w:iCs/>
          <w:sz w:val="20"/>
          <w:szCs w:val="20"/>
          <w:rtl/>
        </w:rPr>
        <w:t xml:space="preserve">, למול גישתו </w:t>
      </w:r>
      <w:r>
        <w:rPr>
          <w:rFonts w:hint="cs"/>
          <w:i/>
          <w:iCs/>
          <w:sz w:val="20"/>
          <w:szCs w:val="20"/>
          <w:rtl/>
        </w:rPr>
        <w:t xml:space="preserve">של בית המשפט </w:t>
      </w:r>
      <w:r w:rsidRPr="003F66EA">
        <w:rPr>
          <w:rFonts w:hint="cs"/>
          <w:i/>
          <w:iCs/>
          <w:sz w:val="20"/>
          <w:szCs w:val="20"/>
          <w:rtl/>
        </w:rPr>
        <w:t>כאן</w:t>
      </w:r>
      <w:r>
        <w:rPr>
          <w:rFonts w:hint="cs"/>
          <w:i/>
          <w:iCs/>
          <w:sz w:val="20"/>
          <w:szCs w:val="20"/>
          <w:rtl/>
        </w:rPr>
        <w:t xml:space="preserve"> ב</w:t>
      </w:r>
      <w:r w:rsidRPr="003F66EA">
        <w:rPr>
          <w:rFonts w:hint="cs"/>
          <w:b/>
          <w:bCs/>
          <w:i/>
          <w:iCs/>
          <w:sz w:val="20"/>
          <w:szCs w:val="20"/>
          <w:rtl/>
        </w:rPr>
        <w:t>מגדלי העופות</w:t>
      </w:r>
      <w:r w:rsidRPr="003F66EA">
        <w:rPr>
          <w:rFonts w:hint="cs"/>
          <w:i/>
          <w:iCs/>
          <w:sz w:val="20"/>
          <w:szCs w:val="20"/>
          <w:rtl/>
        </w:rPr>
        <w:t>?</w:t>
      </w:r>
    </w:p>
    <w:p w:rsidR="005366A8" w:rsidRDefault="005366A8" w:rsidP="005366A8">
      <w:pPr>
        <w:rPr>
          <w:sz w:val="20"/>
          <w:szCs w:val="20"/>
          <w:rtl/>
        </w:rPr>
      </w:pPr>
      <w:r>
        <w:rPr>
          <w:rFonts w:hint="cs"/>
          <w:sz w:val="20"/>
          <w:szCs w:val="20"/>
          <w:rtl/>
        </w:rPr>
        <w:t>=-=</w:t>
      </w:r>
    </w:p>
    <w:p w:rsidR="005366A8" w:rsidRDefault="005366A8" w:rsidP="005366A8">
      <w:pPr>
        <w:rPr>
          <w:sz w:val="20"/>
          <w:szCs w:val="20"/>
          <w:rtl/>
        </w:rPr>
      </w:pPr>
    </w:p>
    <w:p w:rsidR="005366A8" w:rsidRPr="00CC5A97" w:rsidRDefault="005366A8" w:rsidP="005366A8">
      <w:pPr>
        <w:rPr>
          <w:sz w:val="20"/>
          <w:szCs w:val="20"/>
          <w:rtl/>
        </w:rPr>
      </w:pPr>
    </w:p>
    <w:p w:rsidR="005366A8" w:rsidRPr="007145DA" w:rsidRDefault="005366A8" w:rsidP="005366A8">
      <w:pPr>
        <w:pStyle w:val="4"/>
        <w:spacing w:after="120" w:line="240" w:lineRule="auto"/>
        <w:jc w:val="center"/>
        <w:rPr>
          <w:rFonts w:cs="Arial"/>
          <w:b/>
          <w:bCs/>
          <w:sz w:val="28"/>
          <w:szCs w:val="28"/>
          <w:u w:val="single"/>
          <w:rtl/>
        </w:rPr>
      </w:pPr>
      <w:r w:rsidRPr="007145DA">
        <w:rPr>
          <w:rFonts w:cs="Arial" w:hint="cs"/>
          <w:b/>
          <w:bCs/>
          <w:sz w:val="28"/>
          <w:szCs w:val="28"/>
          <w:highlight w:val="yellow"/>
          <w:u w:val="single"/>
          <w:rtl/>
        </w:rPr>
        <w:t>ב. הביקורת השיפוטית על הליכיה הפנימיים של הכנסת</w:t>
      </w:r>
    </w:p>
    <w:p w:rsidR="005366A8" w:rsidRPr="00B7687A" w:rsidRDefault="005366A8" w:rsidP="005366A8">
      <w:pPr>
        <w:pStyle w:val="4"/>
        <w:spacing w:after="120" w:line="240" w:lineRule="auto"/>
        <w:jc w:val="center"/>
        <w:rPr>
          <w:rFonts w:cs="Arial"/>
          <w:sz w:val="20"/>
          <w:rtl/>
        </w:rPr>
      </w:pPr>
      <w:r w:rsidRPr="00B7687A">
        <w:rPr>
          <w:rFonts w:cs="Arial"/>
          <w:sz w:val="20"/>
          <w:rtl/>
        </w:rPr>
        <w:t xml:space="preserve">בג"צ 9070/00 </w:t>
      </w:r>
      <w:r w:rsidRPr="00B7687A">
        <w:rPr>
          <w:rFonts w:cs="Arial"/>
          <w:b/>
          <w:bCs/>
          <w:sz w:val="20"/>
          <w:rtl/>
        </w:rPr>
        <w:t>לבנת נ' יו"ר ועדת החוקה, חוק ומשפט</w:t>
      </w:r>
      <w:r w:rsidRPr="00B7687A">
        <w:rPr>
          <w:rFonts w:cs="Arial"/>
          <w:sz w:val="20"/>
          <w:rtl/>
        </w:rPr>
        <w:t xml:space="preserve"> [בהשמטת חלק מהאסמכתאות; ההדגשות הוספו]</w:t>
      </w:r>
    </w:p>
    <w:p w:rsidR="005366A8" w:rsidRDefault="005366A8" w:rsidP="005366A8">
      <w:pPr>
        <w:pStyle w:val="4"/>
        <w:spacing w:line="240" w:lineRule="auto"/>
        <w:rPr>
          <w:sz w:val="18"/>
          <w:szCs w:val="18"/>
          <w:rtl/>
        </w:rPr>
      </w:pPr>
      <w:r w:rsidRPr="00EF2C7D">
        <w:rPr>
          <w:sz w:val="18"/>
          <w:szCs w:val="18"/>
          <w:rtl/>
        </w:rPr>
        <w:t>הכנסת קיבלה בקריאה ראשונה כמה הצעות חוק לפיזור הכנסת החמש</w:t>
      </w:r>
      <w:r w:rsidRPr="00EF2C7D">
        <w:rPr>
          <w:position w:val="3"/>
          <w:sz w:val="18"/>
          <w:szCs w:val="18"/>
          <w:rtl/>
        </w:rPr>
        <w:t>-</w:t>
      </w:r>
      <w:r w:rsidRPr="00EF2C7D">
        <w:rPr>
          <w:sz w:val="18"/>
          <w:szCs w:val="18"/>
          <w:rtl/>
        </w:rPr>
        <w:t>עשרה ולעריכת בחירות כלליות לכנסת ולראשות</w:t>
      </w:r>
      <w:r w:rsidRPr="00EF2C7D">
        <w:rPr>
          <w:position w:val="3"/>
          <w:sz w:val="18"/>
          <w:szCs w:val="18"/>
          <w:rtl/>
        </w:rPr>
        <w:t>-</w:t>
      </w:r>
      <w:r w:rsidRPr="00EF2C7D">
        <w:rPr>
          <w:sz w:val="18"/>
          <w:szCs w:val="18"/>
          <w:rtl/>
        </w:rPr>
        <w:t>הממשלה. הצעות החוק הועברו לוועדת החוקה, חוק ומשפט לדיון ולהכנה לקריאה שנייה ושלישית. יושב</w:t>
      </w:r>
      <w:r w:rsidRPr="00EF2C7D">
        <w:rPr>
          <w:position w:val="3"/>
          <w:sz w:val="18"/>
          <w:szCs w:val="18"/>
          <w:rtl/>
        </w:rPr>
        <w:t>-</w:t>
      </w:r>
      <w:r w:rsidRPr="00EF2C7D">
        <w:rPr>
          <w:sz w:val="18"/>
          <w:szCs w:val="18"/>
          <w:rtl/>
        </w:rPr>
        <w:t xml:space="preserve">ראש הוועדה (המשיב 1) קבע מועד לדיון בהצעות. </w:t>
      </w:r>
    </w:p>
    <w:p w:rsidR="005366A8" w:rsidRDefault="005366A8" w:rsidP="005366A8">
      <w:pPr>
        <w:pStyle w:val="4"/>
        <w:spacing w:line="240" w:lineRule="auto"/>
        <w:rPr>
          <w:sz w:val="18"/>
          <w:szCs w:val="18"/>
          <w:rtl/>
        </w:rPr>
      </w:pPr>
      <w:r w:rsidRPr="00EF2C7D">
        <w:rPr>
          <w:sz w:val="18"/>
          <w:szCs w:val="18"/>
          <w:rtl/>
        </w:rPr>
        <w:t>לטענת העותרת – לאור צפיפות לוח הזמנים שנוצר עם התפטרותו של ראש</w:t>
      </w:r>
      <w:r w:rsidRPr="00EF2C7D">
        <w:rPr>
          <w:position w:val="3"/>
          <w:sz w:val="18"/>
          <w:szCs w:val="18"/>
          <w:rtl/>
        </w:rPr>
        <w:t>-</w:t>
      </w:r>
      <w:r w:rsidRPr="00EF2C7D">
        <w:rPr>
          <w:sz w:val="18"/>
          <w:szCs w:val="18"/>
          <w:rtl/>
        </w:rPr>
        <w:t>הממשלה אהוד ברק – יש להקדים את מועד הדיון ולקיימו לאלתר על</w:t>
      </w:r>
      <w:r w:rsidRPr="00EF2C7D">
        <w:rPr>
          <w:position w:val="3"/>
          <w:sz w:val="18"/>
          <w:szCs w:val="18"/>
          <w:rtl/>
        </w:rPr>
        <w:t>-</w:t>
      </w:r>
      <w:r w:rsidRPr="00EF2C7D">
        <w:rPr>
          <w:sz w:val="18"/>
          <w:szCs w:val="18"/>
          <w:rtl/>
        </w:rPr>
        <w:t>מנת לאפשר למפלגתה (מפלגת הליכוד) לקבוע את מועמדיה לבחירות ולאפשר לה להתמודד בהן. זאת, לאור העובדה שאחד המועמדים שהציבו את מועמדותו לראשות</w:t>
      </w:r>
      <w:r w:rsidRPr="00EF2C7D">
        <w:rPr>
          <w:position w:val="3"/>
          <w:sz w:val="18"/>
          <w:szCs w:val="18"/>
          <w:rtl/>
        </w:rPr>
        <w:t>-</w:t>
      </w:r>
      <w:r w:rsidRPr="00EF2C7D">
        <w:rPr>
          <w:sz w:val="18"/>
          <w:szCs w:val="18"/>
          <w:rtl/>
        </w:rPr>
        <w:t>הממשלה (בנימין נתניהו) יהא כשיר להגיש את מועמדותו (על</w:t>
      </w:r>
      <w:r w:rsidRPr="00EF2C7D">
        <w:rPr>
          <w:position w:val="3"/>
          <w:sz w:val="18"/>
          <w:szCs w:val="18"/>
          <w:rtl/>
        </w:rPr>
        <w:t>-</w:t>
      </w:r>
      <w:r w:rsidRPr="00EF2C7D">
        <w:rPr>
          <w:sz w:val="18"/>
          <w:szCs w:val="18"/>
          <w:rtl/>
        </w:rPr>
        <w:t xml:space="preserve">פי המצב החוקי ששרר בעת הגשת העתירה) רק אם הצעת החוק לפיזור הכנסת תתקבל. </w:t>
      </w:r>
    </w:p>
    <w:p w:rsidR="005366A8" w:rsidRPr="00EF2C7D" w:rsidRDefault="005366A8" w:rsidP="005366A8">
      <w:pPr>
        <w:pStyle w:val="4"/>
        <w:spacing w:line="240" w:lineRule="auto"/>
        <w:rPr>
          <w:rFonts w:ascii="Times New Roman" w:cs="FrankRuehl"/>
          <w:sz w:val="18"/>
          <w:szCs w:val="18"/>
          <w:u w:val="single"/>
          <w:rtl/>
        </w:rPr>
      </w:pPr>
      <w:r w:rsidRPr="00EF2C7D">
        <w:rPr>
          <w:sz w:val="18"/>
          <w:szCs w:val="18"/>
          <w:rtl/>
        </w:rPr>
        <w:t>המשיב טוען כי קביעת המועד נעשתה בהתאם להוראות התקנון ועוד לפני הודעת ראש</w:t>
      </w:r>
      <w:r w:rsidRPr="00EF2C7D">
        <w:rPr>
          <w:position w:val="3"/>
          <w:sz w:val="18"/>
          <w:szCs w:val="18"/>
          <w:rtl/>
        </w:rPr>
        <w:t>-</w:t>
      </w:r>
      <w:r w:rsidRPr="00EF2C7D">
        <w:rPr>
          <w:sz w:val="18"/>
          <w:szCs w:val="18"/>
          <w:rtl/>
        </w:rPr>
        <w:t>הממשלה על התפטרותו. לטענת העותרת, ביסוד סירובו של יושב</w:t>
      </w:r>
      <w:r w:rsidRPr="00EF2C7D">
        <w:rPr>
          <w:position w:val="3"/>
          <w:sz w:val="18"/>
          <w:szCs w:val="18"/>
          <w:rtl/>
        </w:rPr>
        <w:t>-</w:t>
      </w:r>
      <w:r w:rsidRPr="00EF2C7D">
        <w:rPr>
          <w:sz w:val="18"/>
          <w:szCs w:val="18"/>
          <w:rtl/>
        </w:rPr>
        <w:t>ראש הוועדה  להקדים את מועד הדיון מונח רצונו להשפיע על תוצאות ההתמודדות במפלגתה של העותרת. מכאן העתירה.</w:t>
      </w:r>
    </w:p>
    <w:p w:rsidR="005366A8" w:rsidRDefault="005366A8" w:rsidP="005366A8">
      <w:pPr>
        <w:pStyle w:val="4"/>
        <w:spacing w:line="240" w:lineRule="auto"/>
        <w:rPr>
          <w:rFonts w:ascii="Times New Roman" w:cs="FrankRuehl"/>
          <w:szCs w:val="22"/>
          <w:u w:val="single"/>
          <w:rtl/>
        </w:rPr>
      </w:pPr>
    </w:p>
    <w:p w:rsidR="005366A8" w:rsidRPr="007F462A" w:rsidRDefault="005366A8" w:rsidP="005366A8">
      <w:pPr>
        <w:pStyle w:val="4"/>
        <w:spacing w:line="240" w:lineRule="auto"/>
        <w:rPr>
          <w:rFonts w:ascii="Times New Roman" w:cs="FrankRuehl"/>
          <w:szCs w:val="22"/>
          <w:rtl/>
        </w:rPr>
      </w:pPr>
      <w:r w:rsidRPr="007F462A">
        <w:rPr>
          <w:rFonts w:ascii="Times New Roman" w:cs="FrankRuehl"/>
          <w:szCs w:val="22"/>
          <w:u w:val="single"/>
          <w:rtl/>
        </w:rPr>
        <w:t xml:space="preserve">הביקורת השיפוטית על פעולות הכנסת: </w:t>
      </w:r>
      <w:r w:rsidRPr="00F07602">
        <w:rPr>
          <w:rFonts w:ascii="Times New Roman" w:cs="FrankRuehl"/>
          <w:szCs w:val="22"/>
          <w:highlight w:val="yellow"/>
          <w:u w:val="single"/>
          <w:rtl/>
        </w:rPr>
        <w:t>סמכות</w:t>
      </w:r>
    </w:p>
    <w:p w:rsidR="005366A8" w:rsidRDefault="005366A8" w:rsidP="005366A8">
      <w:pPr>
        <w:pStyle w:val="4"/>
        <w:spacing w:line="240" w:lineRule="auto"/>
        <w:rPr>
          <w:rFonts w:ascii="Times New Roman" w:cs="FrankRuehl"/>
          <w:szCs w:val="22"/>
          <w:u w:val="single"/>
          <w:rtl/>
        </w:rPr>
      </w:pPr>
      <w:r w:rsidRPr="007F462A">
        <w:rPr>
          <w:rFonts w:ascii="Times New Roman" w:cs="FrankRuehl"/>
          <w:szCs w:val="22"/>
          <w:rtl/>
        </w:rPr>
        <w:t>7.</w:t>
      </w:r>
      <w:r w:rsidRPr="007F462A">
        <w:rPr>
          <w:rFonts w:ascii="Times New Roman" w:cs="FrankRuehl"/>
          <w:szCs w:val="22"/>
          <w:rtl/>
        </w:rPr>
        <w:tab/>
        <w:t xml:space="preserve">מהו בסיס סמכותו של בית המשפט להפעיל ביקורת שיפוטית על פעולות הכנסת? התשובה לשאלה זו מבוססת בראש ובראשונה על העובדה כי מדינת ישראל היא דמוקרטיה חוקתית. חוקי-היסוד - המהווים נורמה חוקתית על-חוקית - קובעים מהן רשויות השלטון ומהם היחסים בינן ובין עצמו; הם מעגנים את זכויות האדם ויחסי הפרט עם השלטון. כל אחת מרשויות השלטון - המחוקקת, המבצעת והשופטת - היא יציר חוקי היסוד וכפופה להוראותיהם של חוקי היסוד והחקיקה על פיהם. </w:t>
      </w:r>
      <w:r w:rsidRPr="007F462A">
        <w:rPr>
          <w:rFonts w:ascii="Times New Roman" w:cs="FrankRuehl" w:hint="cs"/>
          <w:szCs w:val="22"/>
          <w:rtl/>
        </w:rPr>
        <w:t xml:space="preserve">[...] </w:t>
      </w:r>
      <w:r w:rsidRPr="007F462A">
        <w:rPr>
          <w:rFonts w:ascii="Times New Roman" w:cs="FrankRuehl"/>
          <w:szCs w:val="22"/>
          <w:rtl/>
        </w:rPr>
        <w:t xml:space="preserve">חוקי היסוד עצמם הם המעגנים את סמכותו של בית המשפט לבחון אם פעולותיהן של רשויות השלטון האחרות, עולות בקנה אחד עם הוראות החוקה. כך נובע, למשל, מעצם עיגונה של סמכותו של בית המשפט הגבוה לצדק, בחוק יסוד: השפיטה (סעיף 15(ג) ו-(ד)). כך נובע גם, מהוראות שבחוקי היסוד עצמם (סעיף 8 לחוק-יסוד: כבוד האדם וחירותו; סעיף 4 לחוק יסוד: חופש העיסוק). בנוסף, מבוססת סמכותו של בית המשפט להפעיל ביקורת שיפוטית על פעולות הכנסת מעצם היותו הערכאה המוסמכת לפרש את הוראות הדין - החוקה והחוק (הראשי והמשני), במדינה. </w:t>
      </w:r>
    </w:p>
    <w:p w:rsidR="005366A8" w:rsidRPr="007F462A" w:rsidRDefault="005366A8" w:rsidP="005366A8">
      <w:pPr>
        <w:pStyle w:val="4"/>
        <w:spacing w:line="240" w:lineRule="auto"/>
        <w:rPr>
          <w:rFonts w:ascii="Times New Roman" w:cs="FrankRuehl"/>
          <w:szCs w:val="22"/>
          <w:u w:val="single"/>
          <w:rtl/>
        </w:rPr>
      </w:pPr>
    </w:p>
    <w:p w:rsidR="005366A8" w:rsidRPr="007F462A" w:rsidRDefault="005366A8" w:rsidP="005366A8">
      <w:pPr>
        <w:pStyle w:val="4"/>
        <w:spacing w:line="240" w:lineRule="auto"/>
        <w:rPr>
          <w:rFonts w:ascii="Times New Roman" w:cs="FrankRuehl"/>
          <w:szCs w:val="22"/>
          <w:rtl/>
        </w:rPr>
      </w:pPr>
      <w:r w:rsidRPr="007F462A">
        <w:rPr>
          <w:rFonts w:ascii="Times New Roman" w:cs="FrankRuehl"/>
          <w:szCs w:val="22"/>
          <w:u w:val="single"/>
          <w:rtl/>
        </w:rPr>
        <w:t xml:space="preserve">הביקורת השיפוטית על פעולות הכנסת: </w:t>
      </w:r>
      <w:r w:rsidRPr="00F07602">
        <w:rPr>
          <w:rFonts w:ascii="Times New Roman" w:cs="FrankRuehl"/>
          <w:szCs w:val="22"/>
          <w:highlight w:val="yellow"/>
          <w:u w:val="single"/>
          <w:rtl/>
        </w:rPr>
        <w:t>שיקול הדעת</w:t>
      </w:r>
    </w:p>
    <w:p w:rsidR="005366A8" w:rsidRPr="007F462A" w:rsidRDefault="005366A8" w:rsidP="005366A8">
      <w:pPr>
        <w:pStyle w:val="4"/>
        <w:spacing w:line="240" w:lineRule="auto"/>
        <w:rPr>
          <w:rFonts w:ascii="Times New Roman" w:cs="FrankRuehl"/>
          <w:szCs w:val="22"/>
          <w:rtl/>
        </w:rPr>
      </w:pPr>
      <w:r w:rsidRPr="007F462A">
        <w:rPr>
          <w:rFonts w:ascii="Times New Roman" w:cs="FrankRuehl"/>
          <w:szCs w:val="22"/>
          <w:rtl/>
        </w:rPr>
        <w:t>10.</w:t>
      </w:r>
      <w:r w:rsidRPr="007F462A">
        <w:rPr>
          <w:rFonts w:ascii="Times New Roman" w:cs="FrankRuehl"/>
          <w:szCs w:val="22"/>
          <w:rtl/>
        </w:rPr>
        <w:tab/>
        <w:t xml:space="preserve">עד כאן לעניין סמכותו של בית המשפט לקיים ביקורת שיפוטית על פעולות הכנסת. עם זאת, סמכות לחוד ושיקול דעת לחוד. "יש להבחין בין עצם קיומה של הסמכות של בית המשפט הגבוה לצדק לבין דרך הפעלתה". אכן, שאלת היקפו של שיקול הדעת בקיום ביקורת שיפוטית שונה משאלת הסמכות. שיקול דעת זה מבוסס, בין היתר, על בחינה עקרונית של הרשות השלטונית בה מדובר. בהקשר זה, ובנסיבות המקרה שבפנינו, שאלת קיום הביקורת השיפוטית על פעולותיה של הכנסת </w:t>
      </w:r>
      <w:r w:rsidRPr="008C7E66">
        <w:rPr>
          <w:rFonts w:ascii="Times New Roman" w:cs="FrankRuehl"/>
          <w:szCs w:val="22"/>
          <w:highlight w:val="yellow"/>
          <w:rtl/>
        </w:rPr>
        <w:t>כרוכה במעמדה המיוחד של הכנסת</w:t>
      </w:r>
      <w:r w:rsidRPr="007F462A">
        <w:rPr>
          <w:rFonts w:ascii="Times New Roman" w:cs="FrankRuehl"/>
          <w:szCs w:val="22"/>
          <w:rtl/>
        </w:rPr>
        <w:t xml:space="preserve"> </w:t>
      </w:r>
      <w:r w:rsidRPr="007F462A">
        <w:rPr>
          <w:rFonts w:ascii="Times New Roman" w:cs="FrankRuehl" w:hint="cs"/>
          <w:szCs w:val="22"/>
          <w:rtl/>
        </w:rPr>
        <w:t xml:space="preserve">[...] </w:t>
      </w:r>
      <w:r w:rsidRPr="007F462A">
        <w:rPr>
          <w:rFonts w:ascii="Times New Roman" w:cs="FrankRuehl"/>
          <w:szCs w:val="22"/>
          <w:rtl/>
        </w:rPr>
        <w:t xml:space="preserve">היא המוסד הנבחר על ידי הריבון, שהוא העם. בידה מצוי כוח החקיקה (ואף הסמכות המכוננת לחקיקת חוקי היסוד עצמם). הממשלה, שהיא הרשות המבצעת, מכהנת מכוח אמונה של הכנסת (סעיף 3 לחוק-יסוד: הממשלה). על רקע זה נקבע, כי הגם שלבית המשפט הסמכות לבטל חוק של הכנסת - העומד בניגוד לפסקת ההגבלה שבחוקי היסוד - לא על נקל יעשה כן </w:t>
      </w:r>
      <w:r w:rsidRPr="007F462A">
        <w:rPr>
          <w:rFonts w:ascii="Times New Roman" w:cs="FrankRuehl" w:hint="cs"/>
          <w:szCs w:val="22"/>
          <w:rtl/>
        </w:rPr>
        <w:t>(</w:t>
      </w:r>
      <w:r w:rsidRPr="00DA1B15">
        <w:rPr>
          <w:rFonts w:ascii="Times New Roman" w:cs="FrankRuehl" w:hint="cs"/>
          <w:szCs w:val="22"/>
          <w:u w:val="single"/>
          <w:rtl/>
        </w:rPr>
        <w:t>הופנונג; מרכז השלטון המקומי</w:t>
      </w:r>
      <w:r w:rsidRPr="007F462A">
        <w:rPr>
          <w:rFonts w:ascii="Times New Roman" w:cs="FrankRuehl" w:hint="cs"/>
          <w:szCs w:val="22"/>
          <w:rtl/>
        </w:rPr>
        <w:t>)</w:t>
      </w:r>
      <w:r w:rsidRPr="007F462A">
        <w:rPr>
          <w:rFonts w:ascii="Times New Roman" w:cs="FrankRuehl"/>
          <w:szCs w:val="22"/>
          <w:rtl/>
        </w:rPr>
        <w:t>. אכן, מעמדה המיוחד של הכנסת, כפי שהוא מעוגן בחוקי היסוד ובמבנה הדמוקרטיה שלנו, מחייב כי בית המשפט יפעיל את שיקול דעתו לקיים ביקורת שיפוטית על פעולותיה, בזהירות ובריסון.</w:t>
      </w:r>
    </w:p>
    <w:p w:rsidR="005366A8" w:rsidRPr="007F462A" w:rsidRDefault="005366A8" w:rsidP="005366A8">
      <w:pPr>
        <w:pStyle w:val="4"/>
        <w:spacing w:line="240" w:lineRule="auto"/>
        <w:rPr>
          <w:rFonts w:ascii="Times New Roman" w:cs="FrankRuehl"/>
          <w:szCs w:val="22"/>
          <w:rtl/>
        </w:rPr>
      </w:pPr>
      <w:r w:rsidRPr="007F462A">
        <w:rPr>
          <w:rFonts w:ascii="Times New Roman" w:cs="FrankRuehl"/>
          <w:szCs w:val="22"/>
          <w:rtl/>
        </w:rPr>
        <w:t>11.</w:t>
      </w:r>
      <w:r w:rsidRPr="007F462A">
        <w:rPr>
          <w:rFonts w:ascii="Times New Roman" w:cs="FrankRuehl"/>
          <w:szCs w:val="22"/>
          <w:rtl/>
        </w:rPr>
        <w:tab/>
      </w:r>
      <w:r w:rsidRPr="00E53F1E">
        <w:rPr>
          <w:rFonts w:ascii="Times New Roman" w:cs="FrankRuehl"/>
          <w:szCs w:val="22"/>
          <w:highlight w:val="yellow"/>
          <w:rtl/>
        </w:rPr>
        <w:t xml:space="preserve">היקפה של הביקורת השיפוטית קשור לא רק </w:t>
      </w:r>
      <w:r w:rsidRPr="00E53F1E">
        <w:rPr>
          <w:rFonts w:ascii="Times New Roman" w:cs="FrankRuehl"/>
          <w:b/>
          <w:bCs/>
          <w:szCs w:val="22"/>
          <w:highlight w:val="yellow"/>
          <w:rtl/>
        </w:rPr>
        <w:t>לרשות בה המדובר</w:t>
      </w:r>
      <w:r w:rsidRPr="00E53F1E">
        <w:rPr>
          <w:rFonts w:ascii="Times New Roman" w:cs="FrankRuehl"/>
          <w:szCs w:val="22"/>
          <w:highlight w:val="yellow"/>
          <w:rtl/>
        </w:rPr>
        <w:t xml:space="preserve"> (ובענייננו, הכנסת) אלא גם </w:t>
      </w:r>
      <w:r w:rsidRPr="00E53F1E">
        <w:rPr>
          <w:rFonts w:ascii="Times New Roman" w:cs="FrankRuehl"/>
          <w:b/>
          <w:bCs/>
          <w:szCs w:val="22"/>
          <w:highlight w:val="yellow"/>
          <w:rtl/>
        </w:rPr>
        <w:t xml:space="preserve">לסוג הפעילות </w:t>
      </w:r>
      <w:r w:rsidRPr="00E53F1E">
        <w:rPr>
          <w:rFonts w:ascii="Times New Roman" w:cs="FrankRuehl"/>
          <w:szCs w:val="22"/>
          <w:highlight w:val="yellow"/>
          <w:rtl/>
        </w:rPr>
        <w:t xml:space="preserve">העומדת לבחינה. אכן, כחוט השני עוברת בפסיקתו של בית המשפט הגבוה לצדק התפישה, כי היקף הביקורת השיפוטית משתנה על פי מהותה של פעולת הכנסת. "בעניין הפעלת הסמכות לקיים ביקורת שיפוטית נוהג בית משפט זה לתת דעתו לאופיה המשפטי של הסוגיה מבחינת סיווגה המהותי". בית המשפט מגלה ריסון עצמי רב, תוך שהוא נמנע מהפעלת מלוא היקף הביקורת השיפוטית על מלוא היקף פעולות הכנסת. בית המשפט עושה הבחנה בין סוגים שונים של פעולות הכנסת (ראו </w:t>
      </w:r>
      <w:r w:rsidRPr="00E53F1E">
        <w:rPr>
          <w:rFonts w:ascii="Times New Roman" w:cs="FrankRuehl"/>
          <w:szCs w:val="22"/>
          <w:highlight w:val="yellow"/>
          <w:u w:val="single"/>
          <w:rtl/>
        </w:rPr>
        <w:t>פרשת שריד</w:t>
      </w:r>
      <w:r w:rsidRPr="00E53F1E">
        <w:rPr>
          <w:rFonts w:ascii="Times New Roman" w:cs="FrankRuehl"/>
          <w:szCs w:val="22"/>
          <w:highlight w:val="yellow"/>
          <w:rtl/>
        </w:rPr>
        <w:t xml:space="preserve"> הנ"ל). כך, למשל, לא הרי היקף הביקורת השיפוטית על </w:t>
      </w:r>
      <w:r w:rsidRPr="00E53F1E">
        <w:rPr>
          <w:rFonts w:ascii="Times New Roman" w:cs="FrankRuehl"/>
          <w:b/>
          <w:bCs/>
          <w:szCs w:val="22"/>
          <w:highlight w:val="yellow"/>
          <w:rtl/>
        </w:rPr>
        <w:t>מעשה החקיקה הסופי של הכנסת</w:t>
      </w:r>
      <w:r w:rsidRPr="00E53F1E">
        <w:rPr>
          <w:rFonts w:ascii="Times New Roman" w:cs="FrankRuehl"/>
          <w:szCs w:val="22"/>
          <w:highlight w:val="yellow"/>
          <w:rtl/>
        </w:rPr>
        <w:t xml:space="preserve"> כהרי היקף הביקורת השיפוטית על </w:t>
      </w:r>
      <w:r w:rsidRPr="00E53F1E">
        <w:rPr>
          <w:rFonts w:ascii="Times New Roman" w:cs="FrankRuehl"/>
          <w:b/>
          <w:bCs/>
          <w:szCs w:val="22"/>
          <w:highlight w:val="yellow"/>
          <w:rtl/>
        </w:rPr>
        <w:t>הליכי החקיקה עצמם</w:t>
      </w:r>
      <w:r w:rsidRPr="00E53F1E">
        <w:rPr>
          <w:rFonts w:ascii="Times New Roman" w:cs="FrankRuehl"/>
          <w:szCs w:val="22"/>
          <w:highlight w:val="yellow"/>
          <w:rtl/>
        </w:rPr>
        <w:t xml:space="preserve">; לא הרי היקף הביקורת השיפוטית על </w:t>
      </w:r>
      <w:r w:rsidRPr="00E53F1E">
        <w:rPr>
          <w:rFonts w:ascii="Times New Roman" w:cs="FrankRuehl"/>
          <w:b/>
          <w:bCs/>
          <w:szCs w:val="22"/>
          <w:highlight w:val="yellow"/>
          <w:rtl/>
        </w:rPr>
        <w:t>החלטות כעין שיפוטיות של הכנסת</w:t>
      </w:r>
      <w:r w:rsidRPr="00E53F1E">
        <w:rPr>
          <w:rFonts w:ascii="Times New Roman" w:cs="FrankRuehl"/>
          <w:szCs w:val="22"/>
          <w:highlight w:val="yellow"/>
          <w:rtl/>
        </w:rPr>
        <w:t xml:space="preserve"> (כגון נטילת חסינות), כהרי היקף הביקורת השיפוטית על </w:t>
      </w:r>
      <w:r w:rsidRPr="00E53F1E">
        <w:rPr>
          <w:rFonts w:ascii="Times New Roman" w:cs="FrankRuehl"/>
          <w:b/>
          <w:bCs/>
          <w:szCs w:val="22"/>
          <w:highlight w:val="yellow"/>
          <w:rtl/>
        </w:rPr>
        <w:t>החלטות מינהליות המהוות עניין של ניהול פנימי של ענייני הכנסת</w:t>
      </w:r>
      <w:r w:rsidRPr="00E53F1E">
        <w:rPr>
          <w:rFonts w:ascii="Times New Roman" w:cs="FrankRuehl"/>
          <w:szCs w:val="22"/>
          <w:highlight w:val="yellow"/>
          <w:rtl/>
        </w:rPr>
        <w:t xml:space="preserve"> (כגון קביעת סדר יומה של המליאה או ועדה); לא הרי </w:t>
      </w:r>
      <w:r w:rsidRPr="00E53F1E">
        <w:rPr>
          <w:rFonts w:ascii="Times New Roman" w:cs="FrankRuehl"/>
          <w:b/>
          <w:bCs/>
          <w:szCs w:val="22"/>
          <w:highlight w:val="yellow"/>
          <w:rtl/>
        </w:rPr>
        <w:t>החלטה (חקיקתית, כעין שיפוטית או מינהלית) סופית</w:t>
      </w:r>
      <w:r w:rsidRPr="00E53F1E">
        <w:rPr>
          <w:rFonts w:ascii="Times New Roman" w:cs="FrankRuehl"/>
          <w:szCs w:val="22"/>
          <w:highlight w:val="yellow"/>
          <w:rtl/>
        </w:rPr>
        <w:t xml:space="preserve"> כהרי </w:t>
      </w:r>
      <w:r w:rsidRPr="00E53F1E">
        <w:rPr>
          <w:rFonts w:ascii="Times New Roman" w:cs="FrankRuehl"/>
          <w:b/>
          <w:bCs/>
          <w:szCs w:val="22"/>
          <w:highlight w:val="yellow"/>
          <w:rtl/>
        </w:rPr>
        <w:t>החלטת ביניים</w:t>
      </w:r>
      <w:r w:rsidRPr="00E53F1E">
        <w:rPr>
          <w:rFonts w:ascii="Times New Roman" w:cs="FrankRuehl"/>
          <w:szCs w:val="22"/>
          <w:highlight w:val="yellow"/>
          <w:rtl/>
        </w:rPr>
        <w:t xml:space="preserve">; לא הרי </w:t>
      </w:r>
      <w:r w:rsidRPr="00E53F1E">
        <w:rPr>
          <w:rFonts w:ascii="Times New Roman" w:cs="FrankRuehl"/>
          <w:b/>
          <w:bCs/>
          <w:szCs w:val="22"/>
          <w:highlight w:val="yellow"/>
          <w:rtl/>
        </w:rPr>
        <w:t>פעולה בכנסת הפוגעת בזכות המעוגנת בחוק-יסוד, כהרי פעולה הפוגעת בהוראות תקנון הכנסת או בסדרי מינהל</w:t>
      </w:r>
      <w:r w:rsidRPr="00E53F1E">
        <w:rPr>
          <w:rFonts w:ascii="Times New Roman" w:cs="FrankRuehl"/>
          <w:szCs w:val="22"/>
          <w:highlight w:val="yellow"/>
          <w:rtl/>
        </w:rPr>
        <w:t>.</w:t>
      </w:r>
      <w:r w:rsidRPr="007F462A">
        <w:rPr>
          <w:rFonts w:ascii="Times New Roman" w:cs="FrankRuehl"/>
          <w:szCs w:val="22"/>
          <w:rtl/>
        </w:rPr>
        <w:t xml:space="preserve">  </w:t>
      </w:r>
    </w:p>
    <w:p w:rsidR="005366A8" w:rsidRPr="007F462A" w:rsidRDefault="005366A8" w:rsidP="005366A8">
      <w:pPr>
        <w:pStyle w:val="4"/>
        <w:spacing w:line="240" w:lineRule="auto"/>
        <w:rPr>
          <w:rFonts w:ascii="Times New Roman" w:cs="FrankRuehl"/>
          <w:szCs w:val="22"/>
          <w:rtl/>
        </w:rPr>
      </w:pPr>
      <w:r w:rsidRPr="007F462A">
        <w:rPr>
          <w:rFonts w:ascii="Times New Roman" w:cs="FrankRuehl"/>
          <w:szCs w:val="22"/>
          <w:rtl/>
        </w:rPr>
        <w:t xml:space="preserve">12. […] האם ריסון עצמי זה אינו נוגד את תפישות היסוד החוקתיות? שאלה זו עלתה בפסיקה בעבר. באחת הפרשות ציינתי: </w:t>
      </w:r>
    </w:p>
    <w:p w:rsidR="005366A8" w:rsidRDefault="005366A8" w:rsidP="005366A8">
      <w:pPr>
        <w:pStyle w:val="5"/>
        <w:ind w:left="720" w:right="0"/>
        <w:rPr>
          <w:rFonts w:ascii="Times New Roman" w:cs="FrankRuehl"/>
          <w:rtl/>
        </w:rPr>
      </w:pPr>
      <w:r w:rsidRPr="007F462A">
        <w:rPr>
          <w:rFonts w:ascii="Times New Roman" w:cs="FrankRuehl"/>
          <w:rtl/>
        </w:rPr>
        <w:t xml:space="preserve">"ריסון עצמי זה... אינו מובן מאליו. הוא מניח פעולה בלתי חוקית של הכנסת, בלי שתוקפה נפגם בשל אי-חוקיותה. ריסון עצמי זה מניח איפוא פגיעה בחוק הכנסת על ידי הכנסת. שאלה לא קלה היא, מה הצידוק לריסון עצמי זה של בית המשפט, שתוצאתו השארת פעולה בלתי חוקית על כנה" (בג"ץ 1843/93 </w:t>
      </w:r>
      <w:r w:rsidRPr="007F462A">
        <w:rPr>
          <w:rFonts w:ascii="Times New Roman" w:cs="FrankRuehl"/>
          <w:u w:val="single"/>
          <w:rtl/>
        </w:rPr>
        <w:t>פנחסי נ' כנסת ישראל</w:t>
      </w:r>
      <w:r w:rsidRPr="007F462A">
        <w:rPr>
          <w:rFonts w:ascii="Times New Roman" w:cs="FrankRuehl"/>
          <w:rtl/>
        </w:rPr>
        <w:t xml:space="preserve">, פ"ד מט(1) 661, 700). </w:t>
      </w:r>
    </w:p>
    <w:p w:rsidR="005366A8" w:rsidRPr="007F462A" w:rsidRDefault="005366A8" w:rsidP="005366A8">
      <w:pPr>
        <w:pStyle w:val="5"/>
        <w:ind w:left="720" w:right="0"/>
        <w:rPr>
          <w:rFonts w:ascii="Times New Roman" w:cs="FrankRuehl"/>
          <w:rtl/>
        </w:rPr>
      </w:pPr>
    </w:p>
    <w:p w:rsidR="005366A8" w:rsidRPr="007F462A" w:rsidRDefault="005366A8" w:rsidP="005366A8">
      <w:pPr>
        <w:pStyle w:val="4"/>
        <w:spacing w:line="240" w:lineRule="auto"/>
        <w:rPr>
          <w:rFonts w:ascii="Times New Roman" w:cs="FrankRuehl"/>
          <w:szCs w:val="22"/>
          <w:rtl/>
        </w:rPr>
      </w:pPr>
      <w:r w:rsidRPr="007F462A">
        <w:rPr>
          <w:rFonts w:ascii="Times New Roman" w:cs="FrankRuehl"/>
          <w:szCs w:val="22"/>
          <w:u w:val="single"/>
          <w:rtl/>
        </w:rPr>
        <w:t>מן הכלל אל הפרט</w:t>
      </w:r>
    </w:p>
    <w:p w:rsidR="005366A8" w:rsidRPr="007F462A" w:rsidRDefault="005366A8" w:rsidP="005366A8">
      <w:pPr>
        <w:rPr>
          <w:rFonts w:cs="FrankRuehl"/>
          <w:sz w:val="22"/>
          <w:szCs w:val="22"/>
          <w:rtl/>
        </w:rPr>
      </w:pPr>
      <w:r w:rsidRPr="007F462A">
        <w:rPr>
          <w:rFonts w:cs="FrankRuehl"/>
          <w:sz w:val="22"/>
          <w:szCs w:val="22"/>
          <w:rtl/>
        </w:rPr>
        <w:t>16.</w:t>
      </w:r>
      <w:r w:rsidRPr="007F462A">
        <w:rPr>
          <w:rFonts w:cs="FrankRuehl"/>
          <w:sz w:val="22"/>
          <w:szCs w:val="22"/>
          <w:rtl/>
        </w:rPr>
        <w:tab/>
      </w:r>
      <w:r w:rsidRPr="00E53F1E">
        <w:rPr>
          <w:rFonts w:cs="FrankRuehl"/>
          <w:sz w:val="22"/>
          <w:szCs w:val="22"/>
          <w:highlight w:val="yellow"/>
          <w:rtl/>
        </w:rPr>
        <w:t xml:space="preserve">האם העתירה שלפנינו נופלת לגדר כלל אי-השפיטות המוסדית של הליכים פנים-פרלמנטריים או שמא נופלת היא לגדר החריג באשר </w:t>
      </w:r>
      <w:r w:rsidRPr="00E53F1E">
        <w:rPr>
          <w:rFonts w:cs="FrankRuehl"/>
          <w:b/>
          <w:bCs/>
          <w:sz w:val="22"/>
          <w:szCs w:val="22"/>
          <w:highlight w:val="yellow"/>
          <w:rtl/>
        </w:rPr>
        <w:t>לשפיטות</w:t>
      </w:r>
      <w:r w:rsidRPr="00E53F1E">
        <w:rPr>
          <w:rFonts w:cs="FrankRuehl"/>
          <w:sz w:val="22"/>
          <w:szCs w:val="22"/>
          <w:highlight w:val="yellow"/>
          <w:rtl/>
        </w:rPr>
        <w:t xml:space="preserve"> </w:t>
      </w:r>
      <w:r w:rsidRPr="00E53F1E">
        <w:rPr>
          <w:rFonts w:cs="FrankRuehl"/>
          <w:b/>
          <w:bCs/>
          <w:sz w:val="22"/>
          <w:szCs w:val="22"/>
          <w:highlight w:val="yellow"/>
          <w:rtl/>
        </w:rPr>
        <w:t>החלטות הפוגעות פגיעה ממשית במירקם החיים הפרלמנטריים וביסודות המבנה של המשטר החוקתי</w:t>
      </w:r>
      <w:r>
        <w:rPr>
          <w:rFonts w:cs="FrankRuehl" w:hint="cs"/>
          <w:sz w:val="22"/>
          <w:szCs w:val="22"/>
          <w:highlight w:val="yellow"/>
          <w:rtl/>
        </w:rPr>
        <w:t xml:space="preserve"> {מבחן </w:t>
      </w:r>
      <w:r w:rsidRPr="00E53F1E">
        <w:rPr>
          <w:rFonts w:cs="FrankRuehl" w:hint="cs"/>
          <w:b/>
          <w:bCs/>
          <w:sz w:val="22"/>
          <w:szCs w:val="22"/>
          <w:highlight w:val="yellow"/>
          <w:rtl/>
        </w:rPr>
        <w:t>שריד</w:t>
      </w:r>
      <w:r>
        <w:rPr>
          <w:rFonts w:cs="FrankRuehl" w:hint="cs"/>
          <w:sz w:val="22"/>
          <w:szCs w:val="22"/>
          <w:highlight w:val="yellow"/>
          <w:rtl/>
        </w:rPr>
        <w:t>}</w:t>
      </w:r>
      <w:r w:rsidRPr="00E53F1E">
        <w:rPr>
          <w:rFonts w:cs="FrankRuehl"/>
          <w:sz w:val="22"/>
          <w:szCs w:val="22"/>
          <w:highlight w:val="yellow"/>
          <w:rtl/>
        </w:rPr>
        <w:t>?</w:t>
      </w:r>
      <w:r w:rsidRPr="007F462A">
        <w:rPr>
          <w:rFonts w:cs="FrankRuehl"/>
          <w:sz w:val="22"/>
          <w:szCs w:val="22"/>
          <w:rtl/>
        </w:rPr>
        <w:t xml:space="preserve"> לעניין זה עלינו לצאת מתוך ההנחה כי אילו נבחנה העתירה לגופה יתכן והיינו מגיעים למסקנה כי המשיב מס' 1 (יושב-ראש ועדת החוקה, חוק ומשפט) פעל שלא כדין. ודוק: אין אנו קובעים כי המשיב מס' 1 פעל שלא כדין. לצרכי הבחינה של אי-השפיטות המוסדית אנו מניחים אפשרות כזו, בלא שאנו מכריעים בדבר על יסוד הנחה זו.</w:t>
      </w:r>
    </w:p>
    <w:p w:rsidR="005366A8" w:rsidRPr="007F462A" w:rsidRDefault="005366A8" w:rsidP="005366A8">
      <w:pPr>
        <w:rPr>
          <w:rFonts w:cs="FrankRuehl"/>
          <w:b/>
          <w:bCs/>
          <w:sz w:val="22"/>
          <w:szCs w:val="22"/>
          <w:rtl/>
        </w:rPr>
      </w:pPr>
      <w:r w:rsidRPr="007F462A">
        <w:rPr>
          <w:rFonts w:cs="FrankRuehl" w:hint="cs"/>
          <w:sz w:val="22"/>
          <w:szCs w:val="22"/>
          <w:rtl/>
        </w:rPr>
        <w:t>18</w:t>
      </w:r>
      <w:r w:rsidRPr="007F462A">
        <w:rPr>
          <w:rFonts w:cs="FrankRuehl"/>
          <w:sz w:val="22"/>
          <w:szCs w:val="22"/>
          <w:rtl/>
        </w:rPr>
        <w:t>.</w:t>
      </w:r>
      <w:r w:rsidRPr="007F462A">
        <w:rPr>
          <w:rFonts w:cs="FrankRuehl"/>
          <w:sz w:val="22"/>
          <w:szCs w:val="22"/>
          <w:rtl/>
        </w:rPr>
        <w:tab/>
        <w:t>האם תוצאת החלטתו של יושב-ראש ועדת החוקה, חוק ומשפט באשר למועד דיוניה של הוועדה יש בה - אם נניח כי ההחלטה אינה כדין - כדי לפגוע באופן ממשי במירקם החיים הדמוקרטיים וביסודות המבנה של המשטר? התשובה היא בשלילה. דחייה במספר ימים בדיוני הוועדה אינה פוגעת במירקם החיים הדמוקרטיים ואינה פוגעת ביסודות המבנה של המשטר. כל פגיעתה היא ביצירת אי התאמה בין דיוני הכנסת לבין המועד שנקבע לדיונים בליכוד. פתרונה של אי התאמה זו אינו במעורבות שיפוטית בהחלטות יושב-ראש ועדת החוקה חוק ומשפט אלא בפעולות שונות בליכוד.</w:t>
      </w:r>
    </w:p>
    <w:p w:rsidR="005366A8" w:rsidRDefault="005366A8" w:rsidP="005366A8">
      <w:pPr>
        <w:rPr>
          <w:rFonts w:cs="FrankRuehl"/>
          <w:b/>
          <w:bCs/>
          <w:sz w:val="22"/>
          <w:szCs w:val="22"/>
          <w:rtl/>
        </w:rPr>
      </w:pPr>
      <w:r w:rsidRPr="007F462A">
        <w:rPr>
          <w:rFonts w:cs="FrankRuehl" w:hint="cs"/>
          <w:b/>
          <w:bCs/>
          <w:sz w:val="22"/>
          <w:szCs w:val="22"/>
          <w:rtl/>
        </w:rPr>
        <w:t>=-=</w:t>
      </w:r>
    </w:p>
    <w:p w:rsidR="005366A8" w:rsidRDefault="005366A8" w:rsidP="005366A8">
      <w:pPr>
        <w:rPr>
          <w:rFonts w:cs="FrankRuehl"/>
          <w:b/>
          <w:bCs/>
          <w:sz w:val="22"/>
          <w:szCs w:val="22"/>
          <w:rtl/>
        </w:rPr>
      </w:pPr>
    </w:p>
    <w:p w:rsidR="005366A8" w:rsidRPr="001D16AF" w:rsidRDefault="005366A8" w:rsidP="005366A8">
      <w:pPr>
        <w:spacing w:after="120"/>
        <w:jc w:val="center"/>
        <w:rPr>
          <w:rFonts w:cs="FrankRuehl"/>
          <w:b/>
          <w:bCs/>
          <w:sz w:val="20"/>
          <w:szCs w:val="20"/>
          <w:rtl/>
        </w:rPr>
      </w:pPr>
      <w:r w:rsidRPr="00056F30">
        <w:rPr>
          <w:rFonts w:ascii="Arial" w:hAnsi="Arial" w:cs="Arial" w:hint="cs"/>
          <w:b/>
          <w:bCs/>
          <w:sz w:val="20"/>
          <w:szCs w:val="20"/>
          <w:highlight w:val="yellow"/>
          <w:u w:val="single"/>
          <w:rtl/>
        </w:rPr>
        <w:t>"מבחן שריד" (ר' פס"ד לבנת, לעיל)</w:t>
      </w:r>
      <w:r w:rsidRPr="00056F30">
        <w:rPr>
          <w:rFonts w:ascii="Arial" w:hAnsi="Arial" w:cs="Arial"/>
          <w:b/>
          <w:bCs/>
          <w:sz w:val="20"/>
          <w:szCs w:val="20"/>
          <w:highlight w:val="yellow"/>
          <w:u w:val="single"/>
          <w:rtl/>
        </w:rPr>
        <w:t>–</w:t>
      </w:r>
      <w:r w:rsidRPr="00056F30">
        <w:rPr>
          <w:rFonts w:ascii="Arial" w:hAnsi="Arial" w:cs="Arial" w:hint="cs"/>
          <w:b/>
          <w:bCs/>
          <w:sz w:val="20"/>
          <w:szCs w:val="20"/>
          <w:highlight w:val="yellow"/>
          <w:u w:val="single"/>
          <w:rtl/>
        </w:rPr>
        <w:t xml:space="preserve"> המחלוקת בעניינו</w:t>
      </w:r>
      <w:r w:rsidRPr="001D16AF">
        <w:rPr>
          <w:rFonts w:ascii="Arial" w:hAnsi="Arial" w:cs="Arial" w:hint="cs"/>
          <w:b/>
          <w:bCs/>
          <w:sz w:val="20"/>
          <w:szCs w:val="20"/>
          <w:rtl/>
        </w:rPr>
        <w:t>:</w:t>
      </w:r>
    </w:p>
    <w:p w:rsidR="005366A8" w:rsidRPr="00E44936" w:rsidRDefault="005366A8" w:rsidP="005366A8">
      <w:pPr>
        <w:spacing w:after="120"/>
        <w:ind w:left="720"/>
        <w:rPr>
          <w:sz w:val="20"/>
          <w:szCs w:val="20"/>
          <w:rtl/>
        </w:rPr>
      </w:pPr>
      <w:r w:rsidRPr="00E57B06">
        <w:rPr>
          <w:rFonts w:ascii="Arial" w:hAnsi="Arial" w:cs="Arial"/>
          <w:sz w:val="20"/>
          <w:szCs w:val="20"/>
          <w:highlight w:val="yellow"/>
          <w:rtl/>
        </w:rPr>
        <w:t xml:space="preserve">בג"צ 73/85 </w:t>
      </w:r>
      <w:r w:rsidRPr="00E57B06">
        <w:rPr>
          <w:rFonts w:ascii="Arial" w:hAnsi="Arial" w:cs="Arial"/>
          <w:b/>
          <w:bCs/>
          <w:sz w:val="20"/>
          <w:szCs w:val="20"/>
          <w:highlight w:val="yellow"/>
          <w:rtl/>
        </w:rPr>
        <w:t>סיעת כך נ' יושב ראש הכנסת</w:t>
      </w:r>
      <w:r w:rsidRPr="00E57B06">
        <w:rPr>
          <w:rFonts w:ascii="Arial" w:hAnsi="Arial" w:cs="Arial"/>
          <w:sz w:val="20"/>
          <w:szCs w:val="20"/>
          <w:highlight w:val="yellow"/>
          <w:rtl/>
        </w:rPr>
        <w:t>, פ"ד לט(3) 141, סע' 22</w:t>
      </w:r>
      <w:r w:rsidRPr="00E44936">
        <w:rPr>
          <w:rFonts w:hint="cs"/>
          <w:sz w:val="20"/>
          <w:szCs w:val="20"/>
          <w:rtl/>
        </w:rPr>
        <w:t xml:space="preserve"> לפסק דינו של </w:t>
      </w:r>
      <w:r w:rsidRPr="00E53F1E">
        <w:rPr>
          <w:rFonts w:hint="cs"/>
          <w:sz w:val="20"/>
          <w:szCs w:val="20"/>
          <w:highlight w:val="yellow"/>
          <w:rtl/>
        </w:rPr>
        <w:t>השופט ברק</w:t>
      </w:r>
      <w:r w:rsidRPr="00E44936">
        <w:rPr>
          <w:rFonts w:hint="cs"/>
          <w:sz w:val="20"/>
          <w:szCs w:val="20"/>
          <w:rtl/>
        </w:rPr>
        <w:t>:</w:t>
      </w:r>
    </w:p>
    <w:p w:rsidR="005366A8" w:rsidRPr="007F462A" w:rsidRDefault="005366A8" w:rsidP="005366A8">
      <w:pPr>
        <w:spacing w:after="120"/>
        <w:rPr>
          <w:rFonts w:cs="FrankRuehl"/>
          <w:sz w:val="22"/>
          <w:szCs w:val="22"/>
          <w:rtl/>
        </w:rPr>
      </w:pPr>
      <w:r w:rsidRPr="007F462A">
        <w:rPr>
          <w:rFonts w:cs="FrankRuehl" w:hint="cs"/>
          <w:sz w:val="22"/>
          <w:szCs w:val="22"/>
          <w:rtl/>
        </w:rPr>
        <w:t xml:space="preserve">המבחן </w:t>
      </w:r>
      <w:r>
        <w:rPr>
          <w:rFonts w:cs="FrankRuehl" w:hint="cs"/>
          <w:sz w:val="22"/>
          <w:szCs w:val="22"/>
          <w:rtl/>
        </w:rPr>
        <w:t>[</w:t>
      </w:r>
      <w:r w:rsidRPr="00E53F1E">
        <w:rPr>
          <w:rFonts w:cs="FrankRuehl" w:hint="cs"/>
          <w:b/>
          <w:bCs/>
          <w:sz w:val="22"/>
          <w:szCs w:val="22"/>
          <w:rtl/>
        </w:rPr>
        <w:t>שריד</w:t>
      </w:r>
      <w:r>
        <w:rPr>
          <w:rFonts w:cs="FrankRuehl" w:hint="cs"/>
          <w:sz w:val="22"/>
          <w:szCs w:val="22"/>
          <w:rtl/>
        </w:rPr>
        <w:t xml:space="preserve">] </w:t>
      </w:r>
      <w:r w:rsidRPr="007F462A">
        <w:rPr>
          <w:rFonts w:cs="FrankRuehl" w:hint="cs"/>
          <w:sz w:val="22"/>
          <w:szCs w:val="22"/>
          <w:rtl/>
        </w:rPr>
        <w:t>אינו מדוייק, הוא מעניק שיקול דעת נרחב לבית המשפט העליון, והוא קשה הפעלה במקרים הקשים.  אך הניתן לגבש מבחן טוב יותר, שיהא מדוייק, מכני וקל הפעלה? והאם מבחן כזה רצוי הוא? כשלעצמי, רואה אני יתרון בכך שהמבחן הוא גמיש, ומעניק שיקול דעת לבית המשפט. […].  ענין לנו בסוגיה דינמית, ובמערכת יחסים רגילה בין רשויות המדינה. במצב דברים זה אין לשאוף למבחנים נוקשים. אך יש לפתח מבחנים גמישים שיאפשרו לבית המשפט לבחון את השפעתה של ההחלטה על מרקם החיים הפרלמנטריים ועל יסודות המשטר שלנו. מבחן כזה, מעצם טבעו אינו מכני, ומעצם טבעו אינו מחייב שיקול דעת שיפוטי. אמת הדבר, גישה זו יוצרת חוסר בהירות וחוסר בטחון במקרי הגבול, אך זו תוצאת לואי הכרחית, ומחיר שכדאי לשלמו, אם מבקשים לקובע אמת מידה שתתחשב במורכבותה ועדינותה של הבעיה.</w:t>
      </w:r>
    </w:p>
    <w:p w:rsidR="005366A8" w:rsidRPr="00E44936" w:rsidRDefault="005366A8" w:rsidP="005366A8">
      <w:pPr>
        <w:spacing w:after="120"/>
        <w:rPr>
          <w:sz w:val="20"/>
          <w:szCs w:val="20"/>
          <w:rtl/>
        </w:rPr>
      </w:pPr>
      <w:r>
        <w:rPr>
          <w:rFonts w:ascii="Arial" w:hAnsi="Arial" w:cs="Arial" w:hint="cs"/>
          <w:b/>
          <w:bCs/>
          <w:sz w:val="22"/>
          <w:szCs w:val="22"/>
          <w:rtl/>
        </w:rPr>
        <w:t xml:space="preserve">גישתו החולקת של השופט אלון </w:t>
      </w:r>
      <w:r w:rsidRPr="00E44936">
        <w:rPr>
          <w:rFonts w:hint="cs"/>
          <w:sz w:val="20"/>
          <w:szCs w:val="20"/>
          <w:rtl/>
        </w:rPr>
        <w:t>סע'</w:t>
      </w:r>
      <w:r>
        <w:rPr>
          <w:rFonts w:hint="cs"/>
          <w:sz w:val="20"/>
          <w:szCs w:val="20"/>
          <w:rtl/>
        </w:rPr>
        <w:t xml:space="preserve"> 10 ו-</w:t>
      </w:r>
      <w:r w:rsidRPr="00E44936">
        <w:rPr>
          <w:rFonts w:hint="cs"/>
          <w:sz w:val="20"/>
          <w:szCs w:val="20"/>
          <w:rtl/>
        </w:rPr>
        <w:t>11 לפסק דינו</w:t>
      </w:r>
      <w:r>
        <w:rPr>
          <w:rFonts w:hint="cs"/>
          <w:sz w:val="20"/>
          <w:szCs w:val="20"/>
          <w:rtl/>
        </w:rPr>
        <w:t xml:space="preserve"> [ההדגשות הוספו]</w:t>
      </w:r>
      <w:r w:rsidRPr="00E44936">
        <w:rPr>
          <w:rFonts w:hint="cs"/>
          <w:sz w:val="20"/>
          <w:szCs w:val="20"/>
          <w:rtl/>
        </w:rPr>
        <w:t>:</w:t>
      </w:r>
    </w:p>
    <w:p w:rsidR="005366A8" w:rsidRPr="007F462A" w:rsidRDefault="005366A8" w:rsidP="005366A8">
      <w:pPr>
        <w:rPr>
          <w:rFonts w:cs="FrankRuehl"/>
          <w:sz w:val="22"/>
          <w:szCs w:val="22"/>
          <w:rtl/>
        </w:rPr>
      </w:pPr>
      <w:r w:rsidRPr="007F462A">
        <w:rPr>
          <w:rFonts w:cs="FrankRuehl"/>
          <w:sz w:val="22"/>
          <w:szCs w:val="22"/>
          <w:rtl/>
        </w:rPr>
        <w:t>כידוע, הפרלמנט האנגלי מבוצר הוא מאחורי חומותיו מכל התערבות שיפוטית שהיא. לכך יש רקע היסטורי מיוחד, ואין הוא יפה לנו, לא לכנסת ולא לדרך פעולתנו כבית-משפט גבוה לצדק. אך גם בארצות אחרות, שבהן מצויה מידה מסוימת של ביקורת שיפוטית על מעשי הרשות המחוקקת</w:t>
      </w:r>
      <w:r w:rsidRPr="007F462A">
        <w:rPr>
          <w:rFonts w:cs="FrankRuehl"/>
          <w:b/>
          <w:bCs/>
          <w:sz w:val="22"/>
          <w:szCs w:val="22"/>
          <w:rtl/>
        </w:rPr>
        <w:t>, לא מצאתי אח ורע</w:t>
      </w:r>
      <w:r w:rsidRPr="007F462A">
        <w:rPr>
          <w:rFonts w:cs="FrankRuehl"/>
          <w:sz w:val="22"/>
          <w:szCs w:val="22"/>
          <w:rtl/>
        </w:rPr>
        <w:t xml:space="preserve"> - אף לא באחת מהן - למידה יתרה ומופלגת זו של ביקורת הרשות השיפוטית על הליכי בית המהוקקים, כפי שנקבעה בבג"צ 652/81</w:t>
      </w:r>
      <w:r w:rsidRPr="007F462A">
        <w:rPr>
          <w:rFonts w:cs="FrankRuehl" w:hint="cs"/>
          <w:sz w:val="22"/>
          <w:szCs w:val="22"/>
          <w:rtl/>
        </w:rPr>
        <w:t xml:space="preserve"> [שריד] […] הדעת נותנת והמציאות מחייבת, כי יחסים אלה יושתתו, לפחות במידה מסוימת, על אמת מדה אובייקטיבית שתאפשר לרשות המחוקקת לכלכל את הליכותיה מבלי להיות צפויה להתערבות בלתי צפויה ובלתי רצויה במרקם החיים הפרלמנטריים. דומה עלי, עם כל הכבוד, כי לפי מבחן "גודל הפגיעה" האמור מועמדים יחסים אלה שבין שתי הרשויות על </w:t>
      </w:r>
      <w:r w:rsidRPr="007F462A">
        <w:rPr>
          <w:rFonts w:cs="FrankRuehl" w:hint="cs"/>
          <w:b/>
          <w:bCs/>
          <w:sz w:val="22"/>
          <w:szCs w:val="22"/>
          <w:rtl/>
        </w:rPr>
        <w:t>בסיס מעורפל, שהוא חסר בהירות ונעדר יציבות, והיוצר חוסר בטחון וחוסר ודאות</w:t>
      </w:r>
      <w:r w:rsidRPr="007F462A">
        <w:rPr>
          <w:rFonts w:cs="FrankRuehl" w:hint="cs"/>
          <w:sz w:val="22"/>
          <w:szCs w:val="22"/>
          <w:rtl/>
        </w:rPr>
        <w:t xml:space="preserve"> באופן שמושו ודרך הפעלתו. </w:t>
      </w:r>
    </w:p>
    <w:p w:rsidR="005366A8" w:rsidRDefault="005366A8" w:rsidP="005366A8">
      <w:pPr>
        <w:rPr>
          <w:sz w:val="20"/>
          <w:szCs w:val="20"/>
          <w:rtl/>
        </w:rPr>
      </w:pPr>
    </w:p>
    <w:p w:rsidR="005366A8" w:rsidRPr="00B7687A" w:rsidRDefault="005366A8" w:rsidP="005366A8">
      <w:pPr>
        <w:spacing w:after="120"/>
        <w:ind w:left="720"/>
        <w:rPr>
          <w:rFonts w:ascii="Arial" w:hAnsi="Arial" w:cs="Arial"/>
          <w:sz w:val="18"/>
          <w:szCs w:val="18"/>
          <w:rtl/>
        </w:rPr>
      </w:pPr>
      <w:r w:rsidRPr="008C7E66">
        <w:rPr>
          <w:rFonts w:ascii="Arial" w:hAnsi="Arial" w:cs="Arial"/>
          <w:sz w:val="18"/>
          <w:szCs w:val="18"/>
          <w:highlight w:val="yellow"/>
          <w:rtl/>
        </w:rPr>
        <w:t xml:space="preserve">סוזי נבות, "עשרים שנה למבחן 'שריד': עיון מחודש בפיקוח השיפוטי על הליכים פרלמנטריים", </w:t>
      </w:r>
      <w:r w:rsidRPr="008C7E66">
        <w:rPr>
          <w:rFonts w:ascii="Arial" w:hAnsi="Arial" w:cs="Arial"/>
          <w:b/>
          <w:bCs/>
          <w:sz w:val="18"/>
          <w:szCs w:val="18"/>
          <w:highlight w:val="yellow"/>
          <w:rtl/>
        </w:rPr>
        <w:t>מחקרי משפט</w:t>
      </w:r>
      <w:r w:rsidRPr="008C7E66">
        <w:rPr>
          <w:rFonts w:ascii="Arial" w:hAnsi="Arial" w:cs="Arial"/>
          <w:sz w:val="18"/>
          <w:szCs w:val="18"/>
          <w:highlight w:val="yellow"/>
          <w:rtl/>
        </w:rPr>
        <w:t xml:space="preserve"> יט (תשס"ג), 721, 727:</w:t>
      </w:r>
    </w:p>
    <w:p w:rsidR="005366A8" w:rsidRDefault="005366A8" w:rsidP="005366A8">
      <w:pPr>
        <w:rPr>
          <w:rFonts w:ascii="Arial" w:hAnsi="Arial" w:cs="Arial"/>
          <w:sz w:val="18"/>
          <w:szCs w:val="18"/>
          <w:rtl/>
        </w:rPr>
      </w:pPr>
      <w:r w:rsidRPr="00B7687A">
        <w:rPr>
          <w:rFonts w:ascii="Arial" w:hAnsi="Arial" w:cs="Arial"/>
          <w:sz w:val="18"/>
          <w:szCs w:val="18"/>
          <w:rtl/>
        </w:rPr>
        <w:t xml:space="preserve">הדעה המודגמת באמירות לעיל </w:t>
      </w:r>
      <w:r>
        <w:rPr>
          <w:rFonts w:ascii="Arial" w:hAnsi="Arial" w:cs="Arial" w:hint="cs"/>
          <w:sz w:val="18"/>
          <w:szCs w:val="18"/>
          <w:rtl/>
        </w:rPr>
        <w:t xml:space="preserve">[עמדתו של השופט אלון] </w:t>
      </w:r>
      <w:r w:rsidRPr="00B7687A">
        <w:rPr>
          <w:rFonts w:ascii="Arial" w:hAnsi="Arial" w:cs="Arial"/>
          <w:sz w:val="18"/>
          <w:szCs w:val="18"/>
          <w:rtl/>
        </w:rPr>
        <w:t>אינה מבוססת דיה, והיא נובעת מבחינה שיטתית של הדין הישראלי לאור המשפט הנוהג במדינות ה-</w:t>
      </w:r>
      <w:r w:rsidRPr="00B7687A">
        <w:rPr>
          <w:rFonts w:ascii="Arial" w:hAnsi="Arial" w:cs="Arial"/>
          <w:sz w:val="18"/>
          <w:szCs w:val="18"/>
        </w:rPr>
        <w:t>Common Law</w:t>
      </w:r>
      <w:r w:rsidRPr="00B7687A">
        <w:rPr>
          <w:rFonts w:ascii="Arial" w:hAnsi="Arial" w:cs="Arial"/>
          <w:sz w:val="18"/>
          <w:szCs w:val="18"/>
          <w:rtl/>
        </w:rPr>
        <w:t>. היא מבטאת נטייה של הדוקטרינה [ספרות המחקר המשפטי] בישראל להגדיר את המושג "מדינות דמוקרטיות בעולם המערבי" כך שיתאים למדינות אנגלו-אמריקאיות דוברות אנגלית.  באף אחד מן המאמרים שעסקו במאטריה זו אין התייחסות לנעשה בתחום זה באירופה...</w:t>
      </w:r>
      <w:r>
        <w:rPr>
          <w:rFonts w:ascii="Arial" w:hAnsi="Arial" w:cs="Arial" w:hint="cs"/>
          <w:sz w:val="18"/>
          <w:szCs w:val="18"/>
          <w:rtl/>
        </w:rPr>
        <w:t xml:space="preserve"> </w:t>
      </w:r>
    </w:p>
    <w:p w:rsidR="005366A8" w:rsidRPr="00B7687A" w:rsidRDefault="005366A8" w:rsidP="005366A8">
      <w:pPr>
        <w:rPr>
          <w:rFonts w:ascii="Arial" w:hAnsi="Arial" w:cs="Arial"/>
          <w:sz w:val="18"/>
          <w:szCs w:val="18"/>
          <w:rtl/>
        </w:rPr>
      </w:pPr>
      <w:r w:rsidRPr="00B7687A">
        <w:rPr>
          <w:rFonts w:ascii="Arial" w:hAnsi="Arial" w:cs="Arial"/>
          <w:sz w:val="18"/>
          <w:szCs w:val="18"/>
          <w:rtl/>
        </w:rPr>
        <w:t>[המחברת מבצעת מחקר השוואתי בדמוקרטיה החוקתית החדשה של ספרד, ובוחנת גם את גרמניה ואיטליה</w:t>
      </w:r>
      <w:r>
        <w:rPr>
          <w:rFonts w:ascii="Arial" w:hAnsi="Arial" w:cs="Arial" w:hint="cs"/>
          <w:sz w:val="18"/>
          <w:szCs w:val="18"/>
          <w:rtl/>
        </w:rPr>
        <w:t>, ומכוח ההשוואה היא תמכה בהלכת שריד</w:t>
      </w:r>
      <w:r w:rsidRPr="00B7687A">
        <w:rPr>
          <w:rFonts w:ascii="Arial" w:hAnsi="Arial" w:cs="Arial"/>
          <w:sz w:val="18"/>
          <w:szCs w:val="18"/>
          <w:rtl/>
        </w:rPr>
        <w:t>].</w:t>
      </w:r>
    </w:p>
    <w:p w:rsidR="005366A8" w:rsidRDefault="005366A8" w:rsidP="005366A8">
      <w:pPr>
        <w:rPr>
          <w:rFonts w:cs="FrankRuehl"/>
          <w:b/>
          <w:bCs/>
          <w:sz w:val="22"/>
          <w:szCs w:val="22"/>
          <w:rtl/>
        </w:rPr>
      </w:pPr>
      <w:r w:rsidRPr="00E44936">
        <w:rPr>
          <w:rFonts w:hint="cs"/>
          <w:sz w:val="20"/>
          <w:szCs w:val="20"/>
          <w:rtl/>
        </w:rPr>
        <w:t xml:space="preserve"> </w:t>
      </w:r>
      <w:r>
        <w:rPr>
          <w:rFonts w:cs="FrankRuehl" w:hint="cs"/>
          <w:b/>
          <w:bCs/>
          <w:sz w:val="22"/>
          <w:szCs w:val="22"/>
          <w:rtl/>
        </w:rPr>
        <w:t>=-=</w:t>
      </w:r>
    </w:p>
    <w:p w:rsidR="005366A8" w:rsidRDefault="005366A8" w:rsidP="005366A8">
      <w:pPr>
        <w:rPr>
          <w:rFonts w:cs="FrankRuehl"/>
          <w:b/>
          <w:bCs/>
          <w:sz w:val="22"/>
          <w:szCs w:val="22"/>
          <w:rtl/>
        </w:rPr>
      </w:pPr>
    </w:p>
    <w:p w:rsidR="005366A8" w:rsidRPr="001D16AF" w:rsidRDefault="005366A8" w:rsidP="005366A8">
      <w:pPr>
        <w:spacing w:after="120"/>
        <w:jc w:val="center"/>
        <w:rPr>
          <w:rFonts w:ascii="Arial" w:hAnsi="Arial" w:cs="Arial"/>
          <w:sz w:val="20"/>
          <w:szCs w:val="20"/>
          <w:highlight w:val="yellow"/>
          <w:rtl/>
        </w:rPr>
      </w:pPr>
      <w:r w:rsidRPr="001D16AF">
        <w:rPr>
          <w:rFonts w:ascii="Arial" w:hAnsi="Arial" w:cs="Arial"/>
          <w:b/>
          <w:bCs/>
          <w:sz w:val="20"/>
          <w:szCs w:val="20"/>
          <w:highlight w:val="yellow"/>
          <w:u w:val="single"/>
          <w:rtl/>
        </w:rPr>
        <w:t>דוגמא להתערבות, להפעלה בכל זאת של הביקורת השיפוטית – חשש ל"עושק מיעוט" בכנסת</w:t>
      </w:r>
    </w:p>
    <w:p w:rsidR="005366A8" w:rsidRPr="00CC5A97" w:rsidRDefault="005366A8" w:rsidP="005366A8">
      <w:pPr>
        <w:spacing w:after="120"/>
        <w:rPr>
          <w:sz w:val="20"/>
          <w:szCs w:val="20"/>
          <w:rtl/>
        </w:rPr>
      </w:pPr>
      <w:r w:rsidRPr="00E57B06">
        <w:rPr>
          <w:rFonts w:ascii="Arial" w:hAnsi="Arial" w:cs="Arial"/>
          <w:sz w:val="20"/>
          <w:szCs w:val="20"/>
          <w:highlight w:val="yellow"/>
          <w:rtl/>
        </w:rPr>
        <w:t xml:space="preserve">בג"צ 742/84 </w:t>
      </w:r>
      <w:r w:rsidRPr="00E57B06">
        <w:rPr>
          <w:rFonts w:ascii="Arial" w:hAnsi="Arial" w:cs="Arial"/>
          <w:b/>
          <w:bCs/>
          <w:sz w:val="20"/>
          <w:szCs w:val="20"/>
          <w:highlight w:val="yellow"/>
          <w:rtl/>
        </w:rPr>
        <w:t>כהנא נ' יו"ר הכנסת</w:t>
      </w:r>
      <w:r w:rsidRPr="00E57B06">
        <w:rPr>
          <w:rFonts w:ascii="Arial" w:hAnsi="Arial" w:cs="Arial"/>
          <w:sz w:val="20"/>
          <w:szCs w:val="20"/>
          <w:highlight w:val="yellow"/>
          <w:rtl/>
        </w:rPr>
        <w:t>, פ"ד לט(4) 85</w:t>
      </w:r>
      <w:r>
        <w:rPr>
          <w:rFonts w:ascii="Arial" w:hAnsi="Arial" w:cs="Arial" w:hint="cs"/>
          <w:sz w:val="20"/>
          <w:szCs w:val="20"/>
          <w:highlight w:val="yellow"/>
          <w:rtl/>
        </w:rPr>
        <w:t xml:space="preserve"> (1985)</w:t>
      </w:r>
    </w:p>
    <w:p w:rsidR="005366A8" w:rsidRPr="00F741A5" w:rsidRDefault="005366A8" w:rsidP="005366A8">
      <w:pPr>
        <w:spacing w:after="120"/>
        <w:ind w:left="720"/>
        <w:rPr>
          <w:rFonts w:ascii="Arial" w:hAnsi="Arial" w:cs="Arial"/>
          <w:sz w:val="20"/>
          <w:szCs w:val="20"/>
          <w:rtl/>
        </w:rPr>
      </w:pPr>
      <w:r w:rsidRPr="00F741A5">
        <w:rPr>
          <w:rFonts w:ascii="Arial" w:hAnsi="Arial" w:cs="Arial"/>
          <w:sz w:val="20"/>
          <w:szCs w:val="20"/>
          <w:rtl/>
        </w:rPr>
        <w:t xml:space="preserve">קבלת עתירה של חבר הכנסת </w:t>
      </w:r>
      <w:r w:rsidRPr="00F741A5">
        <w:rPr>
          <w:rFonts w:ascii="Arial" w:hAnsi="Arial" w:cs="Arial" w:hint="cs"/>
          <w:sz w:val="20"/>
          <w:szCs w:val="20"/>
          <w:rtl/>
        </w:rPr>
        <w:t xml:space="preserve">מאיר </w:t>
      </w:r>
      <w:r w:rsidRPr="00F741A5">
        <w:rPr>
          <w:rFonts w:ascii="Arial" w:hAnsi="Arial" w:cs="Arial"/>
          <w:sz w:val="20"/>
          <w:szCs w:val="20"/>
          <w:rtl/>
        </w:rPr>
        <w:t xml:space="preserve">כהנא נגד נשיאות הכנסת בגין החלטתם שלא להניח על שולחן הכנסת שתי הצעות חוק פרטיות של העותר. </w:t>
      </w:r>
      <w:r w:rsidRPr="00F741A5">
        <w:rPr>
          <w:rFonts w:ascii="Arial" w:hAnsi="Arial" w:cs="Arial" w:hint="cs"/>
          <w:sz w:val="20"/>
          <w:szCs w:val="20"/>
          <w:rtl/>
        </w:rPr>
        <w:t xml:space="preserve"> להלן שתי ההצעות כפי שהן מתוארות בקצרה בתוך פסק הדין:</w:t>
      </w:r>
    </w:p>
    <w:p w:rsidR="005366A8" w:rsidRDefault="005366A8" w:rsidP="005366A8">
      <w:pPr>
        <w:tabs>
          <w:tab w:val="left" w:pos="432"/>
          <w:tab w:val="left" w:pos="576"/>
          <w:tab w:val="left" w:pos="1296"/>
        </w:tabs>
        <w:autoSpaceDE w:val="0"/>
        <w:autoSpaceDN w:val="0"/>
        <w:adjustRightInd w:val="0"/>
        <w:spacing w:after="80"/>
        <w:rPr>
          <w:rFonts w:cs="FrankRuehl"/>
          <w:sz w:val="22"/>
          <w:szCs w:val="22"/>
        </w:rPr>
      </w:pPr>
      <w:r w:rsidRPr="003309D4">
        <w:rPr>
          <w:rFonts w:cs="FrankRuehl"/>
          <w:sz w:val="22"/>
          <w:szCs w:val="22"/>
          <w:rtl/>
        </w:rPr>
        <w:t>הצעת החוק הראשונה עניינה, על-פי שמה, "חוק האזרחות</w:t>
      </w:r>
      <w:r w:rsidRPr="003309D4">
        <w:rPr>
          <w:rFonts w:cs="FrankRuehl"/>
          <w:sz w:val="22"/>
          <w:szCs w:val="22"/>
        </w:rPr>
        <w:t xml:space="preserve"> </w:t>
      </w:r>
      <w:r w:rsidRPr="003309D4">
        <w:rPr>
          <w:rFonts w:cs="FrankRuehl"/>
          <w:sz w:val="22"/>
          <w:szCs w:val="22"/>
          <w:rtl/>
        </w:rPr>
        <w:t>הישראלית וחילופי אוכלוסין יהודים וערבים". עיקרה של הצעה זו בכך, כי רק בן העם היהודי יוכל להיות אזרח מדינת ישראל. לא-יהודי יהא במעמד של "גר תושב". ויוטלו עליו החובות של "מסים ועבדות". לכל גר תושב יובטחו זכויות אישיות. גר תושב לא יגור בתוך תחומי שטח השיפוט של העיר ירושלים. לא תהא לו זכות לאומית, והוא לא ישתתף בתהליכים פוליטיים במדינת ישראל. הוא לא יוכל להתמנות לתפקיד של שררה ולא יוכל להצביע בבחירות לכנסת או לכל</w:t>
      </w:r>
      <w:r w:rsidRPr="003309D4">
        <w:rPr>
          <w:rFonts w:cs="FrankRuehl" w:hint="cs"/>
          <w:sz w:val="22"/>
          <w:szCs w:val="22"/>
          <w:rtl/>
        </w:rPr>
        <w:t xml:space="preserve"> </w:t>
      </w:r>
      <w:r w:rsidRPr="003309D4">
        <w:rPr>
          <w:rFonts w:cs="FrankRuehl"/>
          <w:sz w:val="22"/>
          <w:szCs w:val="22"/>
          <w:rtl/>
        </w:rPr>
        <w:t>גוף ממלכתי וציבורי אחר. לא</w:t>
      </w:r>
      <w:r w:rsidRPr="003309D4">
        <w:rPr>
          <w:rFonts w:cs="FrankRuehl"/>
          <w:sz w:val="22"/>
          <w:szCs w:val="22"/>
          <w:rtl/>
        </w:rPr>
        <w:softHyphen/>
      </w:r>
      <w:r w:rsidRPr="003309D4">
        <w:rPr>
          <w:rFonts w:cs="FrankRuehl" w:hint="cs"/>
          <w:sz w:val="22"/>
          <w:szCs w:val="22"/>
          <w:rtl/>
        </w:rPr>
        <w:t xml:space="preserve"> </w:t>
      </w:r>
      <w:r w:rsidRPr="003309D4">
        <w:rPr>
          <w:rFonts w:cs="FrankRuehl"/>
          <w:sz w:val="22"/>
          <w:szCs w:val="22"/>
          <w:rtl/>
        </w:rPr>
        <w:t>יהודי, שלא הסכים לקבל על עצמו את המעמד ההלכתי של "גר תושב", יוצא מהמדינה מרצונו או שלא מרצונו. תוקם קרן כספית לפיצוי העוזבים. כן קובעת הצעת החוק מספר הוראות ביניים.</w:t>
      </w:r>
    </w:p>
    <w:p w:rsidR="005366A8" w:rsidRPr="003309D4" w:rsidRDefault="005366A8" w:rsidP="005366A8">
      <w:pPr>
        <w:tabs>
          <w:tab w:val="left" w:pos="432"/>
          <w:tab w:val="left" w:pos="576"/>
          <w:tab w:val="left" w:pos="1296"/>
        </w:tabs>
        <w:autoSpaceDE w:val="0"/>
        <w:autoSpaceDN w:val="0"/>
        <w:adjustRightInd w:val="0"/>
        <w:spacing w:after="80"/>
        <w:rPr>
          <w:rFonts w:ascii="Arial" w:hAnsi="Arial" w:cs="FrankRuehl"/>
          <w:sz w:val="22"/>
          <w:szCs w:val="22"/>
          <w:rtl/>
        </w:rPr>
      </w:pPr>
      <w:r w:rsidRPr="003309D4">
        <w:rPr>
          <w:rFonts w:cs="FrankRuehl"/>
          <w:sz w:val="22"/>
          <w:szCs w:val="22"/>
          <w:rtl/>
        </w:rPr>
        <w:t>הצעת החוק השנייה מכונה "חוק למניעת ההתבוללות בין יהודים ללא-יהודים ולקדושת עם ישראל". נקבע בהצעה זו, בין השאר, כי יבוטלו כל תכניות משרדי הממשלה, שיש בהן כדי ליצור קשר בין יהודים וערבים</w:t>
      </w:r>
      <w:r w:rsidRPr="003309D4">
        <w:rPr>
          <w:rFonts w:cs="FrankRuehl"/>
          <w:sz w:val="22"/>
          <w:szCs w:val="22"/>
        </w:rPr>
        <w:t xml:space="preserve">. </w:t>
      </w:r>
      <w:r w:rsidRPr="003309D4">
        <w:rPr>
          <w:rFonts w:cs="FrankRuehl"/>
          <w:sz w:val="22"/>
          <w:szCs w:val="22"/>
          <w:rtl/>
        </w:rPr>
        <w:t>יוקמו חופי-ים נפרדים ליהודים וללא-יהודים. לא יינתן ללא-יהודים לגור בשכונה יהודית בלא הסכמת רוב הדיירים היהודיים. אסור ליהודי אזרח ותושב המדינה להינשא ללא-יהודי. אסור ליהודי אזרח המדינה לקיים יחסי אישות עם לא-יהודי; בנישואי "התבוללות" שכבר נערכו יוכרחו בני הזוג להיפרד לאלתר.</w:t>
      </w:r>
    </w:p>
    <w:p w:rsidR="005366A8" w:rsidRPr="00F741A5" w:rsidRDefault="005366A8" w:rsidP="005366A8">
      <w:pPr>
        <w:spacing w:after="120"/>
        <w:ind w:left="720"/>
        <w:rPr>
          <w:rFonts w:ascii="Arial" w:hAnsi="Arial" w:cs="Arial"/>
          <w:sz w:val="20"/>
          <w:szCs w:val="20"/>
          <w:rtl/>
        </w:rPr>
      </w:pPr>
      <w:r w:rsidRPr="00F741A5">
        <w:rPr>
          <w:rFonts w:ascii="Arial" w:hAnsi="Arial" w:cs="Arial" w:hint="cs"/>
          <w:sz w:val="20"/>
          <w:szCs w:val="20"/>
          <w:highlight w:val="yellow"/>
          <w:rtl/>
        </w:rPr>
        <w:t>להלן החלטת בית המשפט ביחס להחלטת יו"ר הכנסת</w:t>
      </w:r>
      <w:r w:rsidRPr="00F741A5">
        <w:rPr>
          <w:rFonts w:ascii="Arial" w:hAnsi="Arial" w:cs="Arial"/>
          <w:sz w:val="20"/>
          <w:szCs w:val="20"/>
          <w:highlight w:val="yellow"/>
          <w:rtl/>
        </w:rPr>
        <w:t xml:space="preserve"> </w:t>
      </w:r>
      <w:r w:rsidRPr="00F741A5">
        <w:rPr>
          <w:rFonts w:ascii="Arial" w:hAnsi="Arial" w:cs="Arial" w:hint="cs"/>
          <w:sz w:val="20"/>
          <w:szCs w:val="20"/>
          <w:highlight w:val="yellow"/>
          <w:rtl/>
        </w:rPr>
        <w:t>שלא לאפשר להניח על שולחן הכנסת את הצעות החוק הללו. (</w:t>
      </w:r>
      <w:r w:rsidRPr="00F741A5">
        <w:rPr>
          <w:rFonts w:ascii="Arial" w:hAnsi="Arial" w:cs="Arial"/>
          <w:sz w:val="20"/>
          <w:szCs w:val="20"/>
          <w:highlight w:val="yellow"/>
          <w:rtl/>
        </w:rPr>
        <w:t>מדובר בתקופה שקדמה ל"מהפכה החוקתית"</w:t>
      </w:r>
      <w:r w:rsidRPr="00F741A5">
        <w:rPr>
          <w:rFonts w:ascii="Arial" w:hAnsi="Arial" w:cs="Arial" w:hint="cs"/>
          <w:sz w:val="20"/>
          <w:szCs w:val="20"/>
          <w:highlight w:val="yellow"/>
          <w:rtl/>
        </w:rPr>
        <w:t>, ולכן ההתייחסות להעדרה של חוקה):</w:t>
      </w:r>
    </w:p>
    <w:p w:rsidR="005366A8" w:rsidRPr="00CC5A97" w:rsidRDefault="005366A8" w:rsidP="005366A8">
      <w:pPr>
        <w:ind w:left="720"/>
        <w:rPr>
          <w:sz w:val="20"/>
          <w:szCs w:val="20"/>
          <w:rtl/>
        </w:rPr>
      </w:pPr>
      <w:r w:rsidRPr="003309D4">
        <w:rPr>
          <w:rFonts w:cs="FrankRuehl" w:hint="cs"/>
          <w:sz w:val="22"/>
          <w:szCs w:val="22"/>
          <w:highlight w:val="yellow"/>
          <w:rtl/>
        </w:rPr>
        <w:t>"החלטה זו יש בה פגיעה עמוקה במרקם החיים הפרלמנטריים, והיא פוגעת באופן מהותי ביסודות המבנה של משטרנו החוקתי.  היא יוצרת מעין "חוקה חיה" במקום שטרם קיימת "חוקה נוקשה". היא פוגעת באחד מתפקידיה העיקריים של הכנסת, החקיקה. היא שוללת באופן מהותי את כוחו של חבר כנסת מלפעול באופן מלא באחת המסגרות העיקריות שהתקנון (בנוסחו הנוכחי) מעמיד לרשותו. בנסיבות חריגות אלה, אין בית המשפט רשאי להמנע מהפעלת סמכותו."</w:t>
      </w:r>
    </w:p>
    <w:p w:rsidR="005366A8" w:rsidRDefault="005366A8" w:rsidP="005366A8">
      <w:pPr>
        <w:rPr>
          <w:sz w:val="20"/>
          <w:szCs w:val="20"/>
          <w:highlight w:val="yellow"/>
          <w:rtl/>
        </w:rPr>
      </w:pPr>
    </w:p>
    <w:p w:rsidR="005366A8" w:rsidRPr="00E53F1E" w:rsidRDefault="005366A8" w:rsidP="005366A8">
      <w:pPr>
        <w:rPr>
          <w:rFonts w:cs="David"/>
          <w:sz w:val="20"/>
          <w:szCs w:val="20"/>
          <w:highlight w:val="yellow"/>
          <w:rtl/>
        </w:rPr>
      </w:pPr>
      <w:r w:rsidRPr="00E53F1E">
        <w:rPr>
          <w:sz w:val="20"/>
          <w:szCs w:val="20"/>
          <w:highlight w:val="yellow"/>
          <w:rtl/>
        </w:rPr>
        <w:t>בעקבות פסק הדין, ק</w:t>
      </w:r>
      <w:r>
        <w:rPr>
          <w:rFonts w:hint="cs"/>
          <w:sz w:val="20"/>
          <w:szCs w:val="20"/>
          <w:highlight w:val="yellow"/>
          <w:rtl/>
        </w:rPr>
        <w:t>י</w:t>
      </w:r>
      <w:r w:rsidRPr="00E53F1E">
        <w:rPr>
          <w:sz w:val="20"/>
          <w:szCs w:val="20"/>
          <w:highlight w:val="yellow"/>
          <w:rtl/>
        </w:rPr>
        <w:t>בל</w:t>
      </w:r>
      <w:r>
        <w:rPr>
          <w:rFonts w:hint="cs"/>
          <w:sz w:val="20"/>
          <w:szCs w:val="20"/>
          <w:highlight w:val="yellow"/>
          <w:rtl/>
        </w:rPr>
        <w:t>ה הכנס</w:t>
      </w:r>
      <w:r w:rsidRPr="00E53F1E">
        <w:rPr>
          <w:sz w:val="20"/>
          <w:szCs w:val="20"/>
          <w:highlight w:val="yellow"/>
          <w:rtl/>
        </w:rPr>
        <w:t>ת</w:t>
      </w:r>
      <w:r>
        <w:rPr>
          <w:rFonts w:hint="cs"/>
          <w:sz w:val="20"/>
          <w:szCs w:val="20"/>
          <w:highlight w:val="yellow"/>
          <w:rtl/>
        </w:rPr>
        <w:t xml:space="preserve"> את</w:t>
      </w:r>
      <w:r w:rsidRPr="00E53F1E">
        <w:rPr>
          <w:rFonts w:cs="David" w:hint="cs"/>
          <w:sz w:val="20"/>
          <w:szCs w:val="20"/>
          <w:highlight w:val="yellow"/>
          <w:rtl/>
        </w:rPr>
        <w:t xml:space="preserve"> </w:t>
      </w:r>
      <w:r w:rsidRPr="00E53F1E">
        <w:rPr>
          <w:rFonts w:cs="David" w:hint="cs"/>
          <w:b/>
          <w:bCs/>
          <w:sz w:val="20"/>
          <w:szCs w:val="20"/>
          <w:highlight w:val="yellow"/>
          <w:rtl/>
        </w:rPr>
        <w:t>סע' 134 (ג) לתקנון הכנסת:</w:t>
      </w:r>
    </w:p>
    <w:p w:rsidR="005366A8" w:rsidRPr="00E53F1E" w:rsidRDefault="005366A8" w:rsidP="005366A8">
      <w:pPr>
        <w:ind w:left="720"/>
        <w:rPr>
          <w:rFonts w:cs="David"/>
          <w:sz w:val="20"/>
          <w:szCs w:val="20"/>
          <w:highlight w:val="yellow"/>
          <w:rtl/>
        </w:rPr>
      </w:pPr>
      <w:r w:rsidRPr="00E53F1E">
        <w:rPr>
          <w:rFonts w:cs="David" w:hint="cs"/>
          <w:sz w:val="20"/>
          <w:szCs w:val="20"/>
          <w:highlight w:val="yellow"/>
          <w:rtl/>
        </w:rPr>
        <w:t>(א)  כל חבר הכנסת, למעט שר או סגן שר, רשאי להציע הצעת-חוק. […]</w:t>
      </w:r>
    </w:p>
    <w:p w:rsidR="005366A8" w:rsidRPr="00CC5A97" w:rsidRDefault="005366A8" w:rsidP="005366A8">
      <w:pPr>
        <w:ind w:left="720"/>
        <w:rPr>
          <w:rFonts w:cs="David"/>
          <w:sz w:val="20"/>
          <w:szCs w:val="20"/>
          <w:rtl/>
        </w:rPr>
      </w:pPr>
      <w:r w:rsidRPr="00E53F1E">
        <w:rPr>
          <w:rFonts w:cs="David" w:hint="cs"/>
          <w:sz w:val="20"/>
          <w:szCs w:val="20"/>
          <w:highlight w:val="yellow"/>
          <w:rtl/>
        </w:rPr>
        <w:t>(ג)  יושב ראש הכנסת והסגנים לא יאשרו הצעת חוק שהיא, לדעתם,</w:t>
      </w:r>
      <w:r>
        <w:rPr>
          <w:rFonts w:cs="David" w:hint="cs"/>
          <w:sz w:val="20"/>
          <w:szCs w:val="20"/>
          <w:highlight w:val="yellow"/>
          <w:rtl/>
        </w:rPr>
        <w:t xml:space="preserve"> </w:t>
      </w:r>
      <w:r w:rsidRPr="004371A6">
        <w:rPr>
          <w:rFonts w:cs="David" w:hint="cs"/>
          <w:sz w:val="20"/>
          <w:szCs w:val="20"/>
          <w:highlight w:val="green"/>
          <w:rtl/>
        </w:rPr>
        <w:t>גזענית במהותה או שוללת את קיומה של מדינת ישראל כמדינתו של העם  היהודי</w:t>
      </w:r>
      <w:r w:rsidRPr="00E53F1E">
        <w:rPr>
          <w:rFonts w:cs="David" w:hint="cs"/>
          <w:sz w:val="20"/>
          <w:szCs w:val="20"/>
          <w:highlight w:val="yellow"/>
          <w:rtl/>
        </w:rPr>
        <w:t>.</w:t>
      </w:r>
    </w:p>
    <w:p w:rsidR="005366A8" w:rsidRDefault="005366A8" w:rsidP="005366A8">
      <w:pPr>
        <w:rPr>
          <w:sz w:val="20"/>
          <w:szCs w:val="20"/>
          <w:rtl/>
        </w:rPr>
      </w:pPr>
    </w:p>
    <w:p w:rsidR="005366A8" w:rsidRPr="001D16AF" w:rsidRDefault="005366A8" w:rsidP="005366A8">
      <w:pPr>
        <w:spacing w:after="120"/>
        <w:rPr>
          <w:b/>
          <w:bCs/>
          <w:sz w:val="20"/>
          <w:szCs w:val="20"/>
          <w:rtl/>
        </w:rPr>
      </w:pPr>
      <w:r w:rsidRPr="001D16AF">
        <w:rPr>
          <w:rFonts w:hint="cs"/>
          <w:b/>
          <w:bCs/>
          <w:sz w:val="20"/>
          <w:szCs w:val="20"/>
          <w:rtl/>
        </w:rPr>
        <w:t>בעקבות תיקון תקנון הכנסת</w:t>
      </w:r>
      <w:r>
        <w:rPr>
          <w:rFonts w:hint="cs"/>
          <w:b/>
          <w:bCs/>
          <w:sz w:val="20"/>
          <w:szCs w:val="20"/>
          <w:rtl/>
        </w:rPr>
        <w:t xml:space="preserve"> הוגשה</w:t>
      </w:r>
      <w:r w:rsidRPr="001D16AF">
        <w:rPr>
          <w:rFonts w:hint="cs"/>
          <w:b/>
          <w:bCs/>
          <w:sz w:val="20"/>
          <w:szCs w:val="20"/>
          <w:rtl/>
        </w:rPr>
        <w:t xml:space="preserve"> עתירה נוספת</w:t>
      </w:r>
      <w:r>
        <w:rPr>
          <w:rFonts w:hint="cs"/>
          <w:b/>
          <w:bCs/>
          <w:sz w:val="20"/>
          <w:szCs w:val="20"/>
          <w:rtl/>
        </w:rPr>
        <w:t>. היא נדחתה</w:t>
      </w:r>
      <w:r w:rsidRPr="001D16AF">
        <w:rPr>
          <w:rFonts w:hint="cs"/>
          <w:b/>
          <w:bCs/>
          <w:sz w:val="20"/>
          <w:szCs w:val="20"/>
          <w:rtl/>
        </w:rPr>
        <w:t>:</w:t>
      </w:r>
    </w:p>
    <w:p w:rsidR="005366A8" w:rsidRPr="00CC5A97" w:rsidRDefault="005366A8" w:rsidP="005366A8">
      <w:pPr>
        <w:spacing w:after="120"/>
        <w:ind w:left="720"/>
        <w:rPr>
          <w:sz w:val="20"/>
          <w:szCs w:val="20"/>
          <w:rtl/>
        </w:rPr>
      </w:pPr>
      <w:r w:rsidRPr="00E57B06">
        <w:rPr>
          <w:rFonts w:ascii="Arial" w:hAnsi="Arial" w:cs="Arial"/>
          <w:sz w:val="20"/>
          <w:szCs w:val="20"/>
          <w:highlight w:val="yellow"/>
          <w:rtl/>
        </w:rPr>
        <w:t xml:space="preserve">בג"צ 669/85 </w:t>
      </w:r>
      <w:r w:rsidRPr="00E57B06">
        <w:rPr>
          <w:rFonts w:ascii="Arial" w:hAnsi="Arial" w:cs="Arial"/>
          <w:b/>
          <w:bCs/>
          <w:sz w:val="20"/>
          <w:szCs w:val="20"/>
          <w:highlight w:val="yellow"/>
          <w:rtl/>
        </w:rPr>
        <w:t>כהנא נ' יו"ר הכנסת</w:t>
      </w:r>
      <w:r w:rsidRPr="00E57B06">
        <w:rPr>
          <w:rFonts w:ascii="Arial" w:hAnsi="Arial" w:cs="Arial"/>
          <w:sz w:val="20"/>
          <w:szCs w:val="20"/>
          <w:highlight w:val="yellow"/>
          <w:rtl/>
        </w:rPr>
        <w:t>, פ"ד מ(4) 393, 398</w:t>
      </w:r>
      <w:r w:rsidRPr="00CC5A97">
        <w:rPr>
          <w:rFonts w:hint="cs"/>
          <w:sz w:val="20"/>
          <w:szCs w:val="20"/>
          <w:rtl/>
        </w:rPr>
        <w:t xml:space="preserve"> </w:t>
      </w:r>
      <w:r w:rsidRPr="00CC5A97">
        <w:rPr>
          <w:sz w:val="20"/>
          <w:szCs w:val="20"/>
          <w:rtl/>
        </w:rPr>
        <w:t>–</w:t>
      </w:r>
      <w:r w:rsidRPr="00CC5A97">
        <w:rPr>
          <w:rFonts w:hint="cs"/>
          <w:sz w:val="20"/>
          <w:szCs w:val="20"/>
          <w:rtl/>
        </w:rPr>
        <w:t xml:space="preserve"> תקיפת הוראת התקנון</w:t>
      </w:r>
      <w:r>
        <w:rPr>
          <w:rFonts w:hint="cs"/>
          <w:sz w:val="20"/>
          <w:szCs w:val="20"/>
          <w:rtl/>
        </w:rPr>
        <w:t xml:space="preserve"> הנזכרת</w:t>
      </w:r>
    </w:p>
    <w:p w:rsidR="005366A8" w:rsidRDefault="005366A8" w:rsidP="005366A8">
      <w:pPr>
        <w:spacing w:after="60"/>
        <w:rPr>
          <w:b/>
          <w:bCs/>
          <w:rtl/>
        </w:rPr>
      </w:pPr>
      <w:r>
        <w:rPr>
          <w:rFonts w:cs="FrankRuehl" w:hint="cs"/>
          <w:sz w:val="22"/>
          <w:szCs w:val="22"/>
          <w:rtl/>
        </w:rPr>
        <w:t xml:space="preserve">בית המשפט: </w:t>
      </w:r>
      <w:r w:rsidRPr="003309D4">
        <w:rPr>
          <w:rFonts w:cs="FrankRuehl" w:hint="cs"/>
          <w:sz w:val="22"/>
          <w:szCs w:val="22"/>
          <w:highlight w:val="yellow"/>
          <w:rtl/>
        </w:rPr>
        <w:t>"רק בנסיבות קיצוניות באופיין, עת מתגלה בהוראת התקנון שנתקבלה במליאת הכנסת פגם מהותי היורד לשורש עקרונות היסוד של משטרנו החוקתי ותפיסותינו הדמוקרטיות, תתכן הפעלת בקורת שפוטית על הוראה של התקנון שנתקבלה כדין במליאת הכנסת."</w:t>
      </w:r>
    </w:p>
    <w:p w:rsidR="005366A8" w:rsidRDefault="005366A8" w:rsidP="005366A8">
      <w:pPr>
        <w:rPr>
          <w:sz w:val="20"/>
          <w:szCs w:val="20"/>
          <w:rtl/>
        </w:rPr>
      </w:pPr>
      <w:r>
        <w:rPr>
          <w:rFonts w:hint="cs"/>
          <w:sz w:val="20"/>
          <w:szCs w:val="20"/>
          <w:rtl/>
        </w:rPr>
        <w:t>=-=</w:t>
      </w:r>
    </w:p>
    <w:p w:rsidR="005366A8" w:rsidRDefault="005366A8" w:rsidP="005366A8">
      <w:pPr>
        <w:rPr>
          <w:sz w:val="20"/>
          <w:szCs w:val="20"/>
          <w:rtl/>
        </w:rPr>
      </w:pPr>
      <w:r>
        <w:rPr>
          <w:rFonts w:hint="cs"/>
          <w:sz w:val="20"/>
          <w:szCs w:val="20"/>
          <w:rtl/>
        </w:rPr>
        <w:t xml:space="preserve">לאחרונה השתנה מעט תקנון הכנסת בהקשר זה, של סינון מהותי של הצעות חוק </w:t>
      </w:r>
      <w:r>
        <w:rPr>
          <w:sz w:val="20"/>
          <w:szCs w:val="20"/>
          <w:rtl/>
        </w:rPr>
        <w:t>–</w:t>
      </w:r>
      <w:r>
        <w:rPr>
          <w:rFonts w:hint="cs"/>
          <w:sz w:val="20"/>
          <w:szCs w:val="20"/>
          <w:rtl/>
        </w:rPr>
        <w:t xml:space="preserve"> סעיף 134(ג) הוחלף בסעיף משנה בתוך ההוראה העוסקת בחקיקה פרטית </w:t>
      </w:r>
      <w:r>
        <w:rPr>
          <w:sz w:val="20"/>
          <w:szCs w:val="20"/>
          <w:rtl/>
        </w:rPr>
        <w:t>–</w:t>
      </w:r>
      <w:r>
        <w:rPr>
          <w:rFonts w:hint="cs"/>
          <w:sz w:val="20"/>
          <w:szCs w:val="20"/>
          <w:rtl/>
        </w:rPr>
        <w:t xml:space="preserve"> </w:t>
      </w:r>
      <w:r w:rsidRPr="00C3722E">
        <w:rPr>
          <w:rFonts w:hint="cs"/>
          <w:b/>
          <w:bCs/>
          <w:sz w:val="20"/>
          <w:szCs w:val="20"/>
          <w:highlight w:val="yellow"/>
          <w:rtl/>
        </w:rPr>
        <w:t>סע' 75</w:t>
      </w:r>
      <w:r>
        <w:rPr>
          <w:rFonts w:hint="cs"/>
          <w:b/>
          <w:bCs/>
          <w:sz w:val="20"/>
          <w:szCs w:val="20"/>
          <w:highlight w:val="yellow"/>
          <w:rtl/>
        </w:rPr>
        <w:t>(ה)</w:t>
      </w:r>
      <w:r w:rsidRPr="00C3722E">
        <w:rPr>
          <w:rFonts w:hint="cs"/>
          <w:b/>
          <w:bCs/>
          <w:sz w:val="20"/>
          <w:szCs w:val="20"/>
          <w:highlight w:val="yellow"/>
          <w:rtl/>
        </w:rPr>
        <w:t xml:space="preserve"> לתקנון הכנסת</w:t>
      </w:r>
      <w:r>
        <w:rPr>
          <w:rFonts w:hint="cs"/>
          <w:sz w:val="20"/>
          <w:szCs w:val="20"/>
          <w:rtl/>
        </w:rPr>
        <w:t xml:space="preserve">. [השינוי המסוים שהופיע הוא שינוי סדר בין שתי עילות הסינון/ החסימה של הצעות חוק; שינוי סדר שיש בו מעין "שדר סימבולי", של מה חשוב יותר/ בכיר יותר:]  </w:t>
      </w:r>
    </w:p>
    <w:p w:rsidR="005366A8" w:rsidRDefault="005366A8" w:rsidP="005366A8">
      <w:pPr>
        <w:rPr>
          <w:sz w:val="20"/>
          <w:szCs w:val="20"/>
          <w:rtl/>
        </w:rPr>
      </w:pPr>
    </w:p>
    <w:p w:rsidR="005366A8" w:rsidRPr="00C3722E" w:rsidRDefault="005366A8" w:rsidP="005366A8">
      <w:pPr>
        <w:pStyle w:val="medium2-header"/>
        <w:keepLines w:val="0"/>
        <w:spacing w:before="72"/>
        <w:ind w:left="624" w:right="1134"/>
        <w:rPr>
          <w:rFonts w:cs="David"/>
          <w:noProof/>
          <w:sz w:val="20"/>
          <w:szCs w:val="20"/>
          <w:rtl/>
        </w:rPr>
      </w:pPr>
      <w:r w:rsidRPr="00C3722E">
        <w:rPr>
          <w:rFonts w:cs="David"/>
          <w:noProof/>
          <w:sz w:val="20"/>
          <w:szCs w:val="20"/>
          <w:rtl/>
        </w:rPr>
        <w:t>פ</w:t>
      </w:r>
      <w:r w:rsidRPr="00C3722E">
        <w:rPr>
          <w:rFonts w:cs="David" w:hint="cs"/>
          <w:noProof/>
          <w:sz w:val="20"/>
          <w:szCs w:val="20"/>
          <w:rtl/>
        </w:rPr>
        <w:t xml:space="preserve">רק שני: הצעות חוק פרטיות </w:t>
      </w:r>
      <w:r w:rsidRPr="00C3722E">
        <w:rPr>
          <w:rFonts w:cs="David"/>
          <w:noProof/>
          <w:sz w:val="20"/>
          <w:szCs w:val="20"/>
          <w:rtl/>
        </w:rPr>
        <w:t>–</w:t>
      </w:r>
      <w:r w:rsidRPr="00C3722E">
        <w:rPr>
          <w:rFonts w:cs="David" w:hint="cs"/>
          <w:noProof/>
          <w:sz w:val="20"/>
          <w:szCs w:val="20"/>
          <w:rtl/>
        </w:rPr>
        <w:t xml:space="preserve"> הדיון המוקדם</w:t>
      </w:r>
    </w:p>
    <w:p w:rsidR="005366A8" w:rsidRPr="00C3722E" w:rsidRDefault="005366A8" w:rsidP="005366A8">
      <w:pPr>
        <w:pStyle w:val="P00"/>
        <w:spacing w:before="0"/>
        <w:ind w:left="624" w:right="1134"/>
        <w:rPr>
          <w:rStyle w:val="default"/>
          <w:rFonts w:cs="David"/>
          <w:vanish/>
          <w:color w:val="FF0000"/>
          <w:szCs w:val="20"/>
          <w:shd w:val="clear" w:color="auto" w:fill="FFFF99"/>
          <w:rtl/>
        </w:rPr>
      </w:pPr>
      <w:bookmarkStart w:id="54" w:name="Rov663"/>
      <w:r w:rsidRPr="00C3722E">
        <w:rPr>
          <w:rStyle w:val="default"/>
          <w:rFonts w:cs="David" w:hint="cs"/>
          <w:vanish/>
          <w:color w:val="FF0000"/>
          <w:szCs w:val="20"/>
          <w:shd w:val="clear" w:color="auto" w:fill="FFFF99"/>
          <w:rtl/>
        </w:rPr>
        <w:t>מיום 31.10.2011</w:t>
      </w:r>
    </w:p>
    <w:p w:rsidR="005366A8" w:rsidRPr="00C3722E" w:rsidRDefault="005366A8" w:rsidP="005366A8">
      <w:pPr>
        <w:pStyle w:val="P00"/>
        <w:spacing w:before="0"/>
        <w:ind w:left="624" w:right="1134"/>
        <w:rPr>
          <w:rStyle w:val="default"/>
          <w:rFonts w:cs="David"/>
          <w:vanish/>
          <w:szCs w:val="20"/>
          <w:shd w:val="clear" w:color="auto" w:fill="FFFF99"/>
          <w:rtl/>
        </w:rPr>
      </w:pPr>
      <w:r w:rsidRPr="00C3722E">
        <w:rPr>
          <w:rStyle w:val="default"/>
          <w:rFonts w:cs="David" w:hint="cs"/>
          <w:b/>
          <w:bCs/>
          <w:vanish/>
          <w:szCs w:val="20"/>
          <w:shd w:val="clear" w:color="auto" w:fill="FFFF99"/>
          <w:rtl/>
        </w:rPr>
        <w:t>י"פ (מס' 5) תשע"א-2011</w:t>
      </w:r>
    </w:p>
    <w:p w:rsidR="005366A8" w:rsidRPr="00C3722E" w:rsidRDefault="005D7968" w:rsidP="005366A8">
      <w:pPr>
        <w:pStyle w:val="P00"/>
        <w:spacing w:before="0"/>
        <w:ind w:left="624" w:right="1134"/>
        <w:rPr>
          <w:rStyle w:val="default"/>
          <w:rFonts w:cs="David"/>
          <w:vanish/>
          <w:szCs w:val="20"/>
          <w:shd w:val="clear" w:color="auto" w:fill="FFFF99"/>
          <w:rtl/>
        </w:rPr>
      </w:pPr>
      <w:hyperlink r:id="rId293" w:history="1">
        <w:r w:rsidR="005366A8" w:rsidRPr="00C3722E">
          <w:rPr>
            <w:rStyle w:val="Hyperlink"/>
            <w:rFonts w:cs="David" w:hint="cs"/>
            <w:vanish/>
            <w:szCs w:val="20"/>
            <w:shd w:val="clear" w:color="auto" w:fill="FFFF99"/>
            <w:rtl/>
          </w:rPr>
          <w:t>י"פ תשע"א מס' 6285</w:t>
        </w:r>
      </w:hyperlink>
      <w:r w:rsidR="005366A8" w:rsidRPr="00C3722E">
        <w:rPr>
          <w:rStyle w:val="default"/>
          <w:rFonts w:cs="David" w:hint="cs"/>
          <w:vanish/>
          <w:szCs w:val="20"/>
          <w:shd w:val="clear" w:color="auto" w:fill="FFFF99"/>
          <w:rtl/>
        </w:rPr>
        <w:t xml:space="preserve"> מיום 22.8.2011 עמ' 6142</w:t>
      </w:r>
    </w:p>
    <w:p w:rsidR="005366A8" w:rsidRPr="00C3722E" w:rsidRDefault="005366A8" w:rsidP="005366A8">
      <w:pPr>
        <w:pStyle w:val="P00"/>
        <w:spacing w:before="0"/>
        <w:ind w:left="624" w:right="1134"/>
        <w:rPr>
          <w:rStyle w:val="default"/>
          <w:rFonts w:cs="David"/>
          <w:szCs w:val="20"/>
          <w:shd w:val="clear" w:color="auto" w:fill="FFFF99"/>
          <w:rtl/>
        </w:rPr>
      </w:pPr>
      <w:r w:rsidRPr="00C3722E">
        <w:rPr>
          <w:rStyle w:val="default"/>
          <w:rFonts w:cs="David" w:hint="cs"/>
          <w:b/>
          <w:bCs/>
          <w:vanish/>
          <w:szCs w:val="20"/>
          <w:shd w:val="clear" w:color="auto" w:fill="FFFF99"/>
          <w:rtl/>
        </w:rPr>
        <w:t>הוספת פרק שני</w:t>
      </w:r>
      <w:bookmarkEnd w:id="54"/>
    </w:p>
    <w:p w:rsidR="005366A8" w:rsidRPr="00C3722E" w:rsidRDefault="005366A8" w:rsidP="005366A8">
      <w:pPr>
        <w:pStyle w:val="P00"/>
        <w:spacing w:before="72"/>
        <w:ind w:left="624" w:right="1134"/>
        <w:rPr>
          <w:rStyle w:val="default"/>
          <w:rFonts w:cs="David"/>
          <w:szCs w:val="20"/>
          <w:rtl/>
        </w:rPr>
      </w:pPr>
      <w:bookmarkStart w:id="55" w:name="Seif57"/>
      <w:bookmarkEnd w:id="55"/>
      <w:r w:rsidRPr="00C3722E">
        <w:rPr>
          <w:rStyle w:val="big-number"/>
          <w:rFonts w:cs="David"/>
          <w:szCs w:val="20"/>
          <w:rtl/>
        </w:rPr>
        <w:t>75.</w:t>
      </w:r>
      <w:r w:rsidRPr="00C3722E">
        <w:rPr>
          <w:rStyle w:val="big-number"/>
          <w:rFonts w:cs="David"/>
          <w:szCs w:val="20"/>
          <w:rtl/>
        </w:rPr>
        <w:tab/>
      </w:r>
      <w:r w:rsidRPr="00C3722E">
        <w:rPr>
          <w:rStyle w:val="default"/>
          <w:rFonts w:cs="David" w:hint="cs"/>
          <w:szCs w:val="20"/>
          <w:rtl/>
        </w:rPr>
        <w:t>(א)</w:t>
      </w:r>
      <w:r w:rsidRPr="00C3722E">
        <w:rPr>
          <w:rStyle w:val="default"/>
          <w:rFonts w:cs="David" w:hint="cs"/>
          <w:szCs w:val="20"/>
          <w:rtl/>
        </w:rPr>
        <w:tab/>
        <w:t>חבר הכנסת שאינו שר או סגן שר רשאי להגיש הצעת חוק פרטית; ההצעה תנוסח כחוק ויצורפו לה דברי הסבר.</w:t>
      </w:r>
    </w:p>
    <w:p w:rsidR="005366A8" w:rsidRPr="00C3722E" w:rsidRDefault="005366A8" w:rsidP="005366A8">
      <w:pPr>
        <w:pStyle w:val="P00"/>
        <w:spacing w:before="72"/>
        <w:ind w:left="1645" w:right="1134" w:hanging="1021"/>
        <w:rPr>
          <w:rStyle w:val="default"/>
          <w:rFonts w:cs="David"/>
          <w:szCs w:val="20"/>
          <w:rtl/>
        </w:rPr>
      </w:pPr>
      <w:r w:rsidRPr="00C3722E">
        <w:rPr>
          <w:rStyle w:val="default"/>
          <w:rFonts w:cs="David" w:hint="cs"/>
          <w:szCs w:val="20"/>
          <w:rtl/>
        </w:rPr>
        <w:tab/>
        <w:t>(ב)</w:t>
      </w:r>
      <w:r w:rsidRPr="00C3722E">
        <w:rPr>
          <w:rStyle w:val="default"/>
          <w:rFonts w:cs="David" w:hint="cs"/>
          <w:szCs w:val="20"/>
          <w:rtl/>
        </w:rPr>
        <w:tab/>
        <w:t>(1)</w:t>
      </w:r>
      <w:r w:rsidRPr="00C3722E">
        <w:rPr>
          <w:rStyle w:val="default"/>
          <w:rFonts w:cs="David" w:hint="cs"/>
          <w:szCs w:val="20"/>
          <w:rtl/>
        </w:rPr>
        <w:tab/>
        <w:t>הצעת חוק יכול שתהיה ביוזמת כמה חברי כנסת, והם יקבעו את סדר שמותיהם על גבי הצעת החוק;</w:t>
      </w:r>
    </w:p>
    <w:p w:rsidR="005366A8" w:rsidRPr="00C3722E" w:rsidRDefault="005366A8" w:rsidP="005366A8">
      <w:pPr>
        <w:pStyle w:val="P00"/>
        <w:spacing w:before="72"/>
        <w:ind w:left="1645" w:right="1134"/>
        <w:rPr>
          <w:rStyle w:val="default"/>
          <w:rFonts w:cs="David"/>
          <w:szCs w:val="20"/>
          <w:rtl/>
        </w:rPr>
      </w:pPr>
      <w:r w:rsidRPr="00C3722E">
        <w:rPr>
          <w:rStyle w:val="default"/>
          <w:rFonts w:cs="David" w:hint="cs"/>
          <w:szCs w:val="20"/>
          <w:rtl/>
        </w:rPr>
        <w:t>(2)</w:t>
      </w:r>
      <w:r w:rsidRPr="00C3722E">
        <w:rPr>
          <w:rStyle w:val="default"/>
          <w:rFonts w:cs="David" w:hint="cs"/>
          <w:szCs w:val="20"/>
          <w:rtl/>
        </w:rPr>
        <w:tab/>
        <w:t>יוזם הצעת חוק רשאי לצרף להצעתו חברי כנסת נוספים, והוא יקבע את סדר שמותיהם על גבי הצעת החוק; שמות המצטרפים יצוינו בנפרד משמות היוזמים;</w:t>
      </w:r>
    </w:p>
    <w:p w:rsidR="005366A8" w:rsidRPr="00C3722E" w:rsidRDefault="005366A8" w:rsidP="005366A8">
      <w:pPr>
        <w:pStyle w:val="P00"/>
        <w:spacing w:before="72"/>
        <w:ind w:left="1645" w:right="1134"/>
        <w:rPr>
          <w:rStyle w:val="default"/>
          <w:rFonts w:cs="David"/>
          <w:szCs w:val="20"/>
          <w:rtl/>
        </w:rPr>
      </w:pPr>
      <w:r w:rsidRPr="00C3722E">
        <w:rPr>
          <w:rStyle w:val="default"/>
          <w:rFonts w:cs="David" w:hint="cs"/>
          <w:szCs w:val="20"/>
          <w:rtl/>
        </w:rPr>
        <w:t>(3)</w:t>
      </w:r>
      <w:r w:rsidRPr="00C3722E">
        <w:rPr>
          <w:rStyle w:val="default"/>
          <w:rFonts w:cs="David" w:hint="cs"/>
          <w:szCs w:val="20"/>
          <w:rtl/>
        </w:rPr>
        <w:tab/>
        <w:t xml:space="preserve">הונחה הצעת החוק על שולחן הכנסת, לא ישונה סדר שמות היוזמים והמצטרפים אליה (בחלק זה </w:t>
      </w:r>
      <w:r w:rsidRPr="00C3722E">
        <w:rPr>
          <w:rStyle w:val="default"/>
          <w:rFonts w:cs="David"/>
          <w:szCs w:val="20"/>
          <w:rtl/>
        </w:rPr>
        <w:t>–</w:t>
      </w:r>
      <w:r w:rsidRPr="00C3722E">
        <w:rPr>
          <w:rStyle w:val="default"/>
          <w:rFonts w:cs="David" w:hint="cs"/>
          <w:szCs w:val="20"/>
          <w:rtl/>
        </w:rPr>
        <w:t xml:space="preserve"> מציעי הצעת החוק).</w:t>
      </w:r>
    </w:p>
    <w:p w:rsidR="005366A8" w:rsidRPr="00C3722E" w:rsidRDefault="005366A8" w:rsidP="005366A8">
      <w:pPr>
        <w:pStyle w:val="P00"/>
        <w:spacing w:before="72"/>
        <w:ind w:left="624" w:right="1134"/>
        <w:rPr>
          <w:rStyle w:val="default"/>
          <w:rFonts w:cs="David"/>
          <w:szCs w:val="20"/>
          <w:rtl/>
        </w:rPr>
      </w:pPr>
      <w:r w:rsidRPr="00C3722E">
        <w:rPr>
          <w:rStyle w:val="default"/>
          <w:rFonts w:cs="David" w:hint="cs"/>
          <w:szCs w:val="20"/>
          <w:rtl/>
        </w:rPr>
        <w:tab/>
        <w:t>(ג)</w:t>
      </w:r>
      <w:r w:rsidRPr="00C3722E">
        <w:rPr>
          <w:rStyle w:val="default"/>
          <w:rFonts w:cs="David" w:hint="cs"/>
          <w:szCs w:val="20"/>
          <w:rtl/>
        </w:rPr>
        <w:tab/>
        <w:t>כל בקשה או הודעה בנוגע להצעת חוק פרטית תימסר על ידי אחד היוזמים.</w:t>
      </w:r>
    </w:p>
    <w:p w:rsidR="005366A8" w:rsidRPr="00C3722E" w:rsidRDefault="005366A8" w:rsidP="005366A8">
      <w:pPr>
        <w:pStyle w:val="P00"/>
        <w:spacing w:before="72"/>
        <w:ind w:left="624" w:right="1134"/>
        <w:rPr>
          <w:rStyle w:val="default"/>
          <w:rFonts w:cs="David"/>
          <w:szCs w:val="20"/>
          <w:rtl/>
        </w:rPr>
      </w:pPr>
      <w:r w:rsidRPr="00C3722E">
        <w:rPr>
          <w:rStyle w:val="default"/>
          <w:rFonts w:cs="David" w:hint="cs"/>
          <w:szCs w:val="20"/>
          <w:rtl/>
        </w:rPr>
        <w:tab/>
        <w:t>(ד)</w:t>
      </w:r>
      <w:r w:rsidRPr="00C3722E">
        <w:rPr>
          <w:rStyle w:val="default"/>
          <w:rFonts w:cs="David" w:hint="cs"/>
          <w:szCs w:val="20"/>
          <w:rtl/>
        </w:rPr>
        <w:tab/>
        <w:t>חבר הכנסת שהגיש הצעת חוק ביודעו כי הוגשה כבר באותו עניין הצעת חוק זהה או דומה בעיקרה, בין באותה כנסת ובין בכנסת קודמת, יציין זאת בדברי ההסבר להצעת החוק.</w:t>
      </w:r>
    </w:p>
    <w:p w:rsidR="005366A8" w:rsidRPr="0045060F" w:rsidRDefault="005366A8" w:rsidP="005366A8">
      <w:pPr>
        <w:pStyle w:val="P00"/>
        <w:spacing w:before="72"/>
        <w:ind w:left="624" w:right="1134"/>
        <w:rPr>
          <w:rStyle w:val="default"/>
          <w:rFonts w:cs="David"/>
          <w:b/>
          <w:bCs/>
          <w:szCs w:val="20"/>
          <w:rtl/>
        </w:rPr>
      </w:pPr>
      <w:r w:rsidRPr="00C3722E">
        <w:rPr>
          <w:rStyle w:val="default"/>
          <w:rFonts w:cs="David" w:hint="cs"/>
          <w:szCs w:val="20"/>
          <w:rtl/>
        </w:rPr>
        <w:tab/>
      </w:r>
      <w:r w:rsidRPr="0045060F">
        <w:rPr>
          <w:rStyle w:val="default"/>
          <w:rFonts w:cs="David" w:hint="cs"/>
          <w:b/>
          <w:bCs/>
          <w:szCs w:val="20"/>
          <w:rtl/>
        </w:rPr>
        <w:t>(ה)</w:t>
      </w:r>
      <w:r w:rsidRPr="0045060F">
        <w:rPr>
          <w:rStyle w:val="default"/>
          <w:rFonts w:cs="David" w:hint="cs"/>
          <w:b/>
          <w:bCs/>
          <w:szCs w:val="20"/>
          <w:rtl/>
        </w:rPr>
        <w:tab/>
        <w:t xml:space="preserve">הצעת חוק פרטית תובא לאישור נשיאות הכנסת; נשיאות הכנסת לא תאשר הצעת חוק שלדעתה </w:t>
      </w:r>
      <w:r w:rsidRPr="004371A6">
        <w:rPr>
          <w:rStyle w:val="default"/>
          <w:rFonts w:cs="David" w:hint="cs"/>
          <w:b/>
          <w:bCs/>
          <w:szCs w:val="20"/>
          <w:rtl/>
        </w:rPr>
        <w:t>שוללת את קיומה של מדינת ישראל כמדינתו של העם היהודי או שהיא גזענית במהותה</w:t>
      </w:r>
      <w:r w:rsidRPr="0045060F">
        <w:rPr>
          <w:rStyle w:val="default"/>
          <w:rFonts w:cs="David" w:hint="cs"/>
          <w:b/>
          <w:bCs/>
          <w:szCs w:val="20"/>
          <w:rtl/>
        </w:rPr>
        <w:t>.</w:t>
      </w:r>
    </w:p>
    <w:p w:rsidR="005366A8" w:rsidRPr="00C3722E" w:rsidRDefault="005366A8" w:rsidP="005366A8">
      <w:pPr>
        <w:pStyle w:val="P00"/>
        <w:spacing w:before="72"/>
        <w:ind w:left="624" w:right="1134"/>
        <w:rPr>
          <w:rStyle w:val="default"/>
          <w:rFonts w:cs="David"/>
          <w:szCs w:val="20"/>
          <w:rtl/>
        </w:rPr>
      </w:pPr>
      <w:r w:rsidRPr="00C3722E">
        <w:rPr>
          <w:rStyle w:val="default"/>
          <w:rFonts w:cs="David" w:hint="cs"/>
          <w:szCs w:val="20"/>
          <w:rtl/>
        </w:rPr>
        <w:tab/>
        <w:t>(ו)</w:t>
      </w:r>
      <w:r w:rsidRPr="00C3722E">
        <w:rPr>
          <w:rStyle w:val="default"/>
          <w:rFonts w:cs="David" w:hint="cs"/>
          <w:szCs w:val="20"/>
          <w:rtl/>
        </w:rPr>
        <w:tab/>
        <w:t>אישרה נשיאות הכנסת הצעת חוק, יצוינו על גביה מספר סידורי ומספר הכנסת וכן היותה הצעת חוק פרטית, והיא תונח על שולחן הכנסת.</w:t>
      </w:r>
    </w:p>
    <w:p w:rsidR="005366A8" w:rsidRDefault="005366A8" w:rsidP="005366A8">
      <w:pPr>
        <w:rPr>
          <w:sz w:val="20"/>
          <w:szCs w:val="20"/>
          <w:rtl/>
        </w:rPr>
      </w:pPr>
      <w:r>
        <w:rPr>
          <w:rFonts w:hint="cs"/>
          <w:sz w:val="20"/>
          <w:szCs w:val="20"/>
          <w:rtl/>
        </w:rPr>
        <w:t>=-=</w:t>
      </w:r>
    </w:p>
    <w:p w:rsidR="005366A8" w:rsidRDefault="005366A8" w:rsidP="005366A8">
      <w:pPr>
        <w:rPr>
          <w:sz w:val="20"/>
          <w:szCs w:val="20"/>
          <w:rtl/>
        </w:rPr>
      </w:pPr>
    </w:p>
    <w:p w:rsidR="005366A8" w:rsidRPr="003327A1" w:rsidRDefault="005366A8" w:rsidP="005366A8">
      <w:pPr>
        <w:spacing w:after="120"/>
        <w:rPr>
          <w:b/>
          <w:bCs/>
          <w:sz w:val="20"/>
          <w:szCs w:val="20"/>
          <w:u w:val="single"/>
          <w:rtl/>
        </w:rPr>
      </w:pPr>
      <w:r w:rsidRPr="003327A1">
        <w:rPr>
          <w:rFonts w:hint="cs"/>
          <w:b/>
          <w:bCs/>
          <w:sz w:val="20"/>
          <w:szCs w:val="20"/>
          <w:highlight w:val="yellow"/>
          <w:u w:val="single"/>
          <w:rtl/>
        </w:rPr>
        <w:t>דוגמא נוספת להתערבות: -&gt;</w:t>
      </w:r>
      <w:r>
        <w:rPr>
          <w:rFonts w:hint="cs"/>
          <w:b/>
          <w:bCs/>
          <w:sz w:val="20"/>
          <w:szCs w:val="20"/>
          <w:u w:val="single"/>
          <w:rtl/>
        </w:rPr>
        <w:t xml:space="preserve"> "כנסת המחוקקת לעצמה"</w:t>
      </w:r>
    </w:p>
    <w:p w:rsidR="005366A8" w:rsidRDefault="005366A8" w:rsidP="005366A8">
      <w:pPr>
        <w:spacing w:after="120"/>
        <w:jc w:val="center"/>
        <w:rPr>
          <w:sz w:val="20"/>
          <w:szCs w:val="20"/>
          <w:rtl/>
        </w:rPr>
      </w:pPr>
      <w:r w:rsidRPr="00E53F1E">
        <w:rPr>
          <w:rFonts w:ascii="Arial" w:hAnsi="Arial" w:cs="Arial"/>
          <w:b/>
          <w:bCs/>
          <w:sz w:val="22"/>
          <w:szCs w:val="22"/>
          <w:highlight w:val="yellow"/>
          <w:rtl/>
        </w:rPr>
        <w:t>חריגה של הכנסת ממתחם הסבירות</w:t>
      </w:r>
      <w:r w:rsidRPr="00E53F1E">
        <w:rPr>
          <w:rFonts w:hint="cs"/>
          <w:sz w:val="22"/>
          <w:szCs w:val="22"/>
          <w:highlight w:val="yellow"/>
          <w:rtl/>
        </w:rPr>
        <w:t xml:space="preserve"> </w:t>
      </w:r>
      <w:r w:rsidRPr="00E53F1E">
        <w:rPr>
          <w:rFonts w:ascii="Arial" w:hAnsi="Arial" w:cs="Arial"/>
          <w:b/>
          <w:bCs/>
          <w:sz w:val="22"/>
          <w:szCs w:val="22"/>
          <w:highlight w:val="yellow"/>
          <w:rtl/>
        </w:rPr>
        <w:t>ב</w:t>
      </w:r>
      <w:r w:rsidRPr="00E53F1E">
        <w:rPr>
          <w:rFonts w:ascii="Arial" w:hAnsi="Arial" w:cs="Arial" w:hint="cs"/>
          <w:b/>
          <w:bCs/>
          <w:sz w:val="22"/>
          <w:szCs w:val="22"/>
          <w:highlight w:val="yellow"/>
          <w:rtl/>
        </w:rPr>
        <w:t xml:space="preserve">עת </w:t>
      </w:r>
      <w:r w:rsidRPr="00E53F1E">
        <w:rPr>
          <w:rFonts w:ascii="Arial" w:hAnsi="Arial" w:cs="Arial"/>
          <w:b/>
          <w:bCs/>
          <w:sz w:val="22"/>
          <w:szCs w:val="22"/>
          <w:highlight w:val="yellow"/>
          <w:rtl/>
        </w:rPr>
        <w:t>ניהול ענייניה הפנימיים</w:t>
      </w:r>
    </w:p>
    <w:p w:rsidR="005366A8" w:rsidRPr="00420C19" w:rsidRDefault="005366A8" w:rsidP="005366A8">
      <w:pPr>
        <w:spacing w:after="120"/>
        <w:ind w:left="720"/>
        <w:rPr>
          <w:sz w:val="20"/>
          <w:szCs w:val="20"/>
          <w:rtl/>
        </w:rPr>
      </w:pPr>
      <w:r>
        <w:rPr>
          <w:sz w:val="20"/>
          <w:szCs w:val="20"/>
          <w:rtl/>
        </w:rPr>
        <w:t>–</w:t>
      </w:r>
      <w:r>
        <w:rPr>
          <w:rFonts w:hint="cs"/>
          <w:sz w:val="20"/>
          <w:szCs w:val="20"/>
          <w:rtl/>
        </w:rPr>
        <w:t xml:space="preserve"> </w:t>
      </w:r>
      <w:r w:rsidRPr="00420C19">
        <w:rPr>
          <w:sz w:val="20"/>
          <w:szCs w:val="20"/>
          <w:rtl/>
        </w:rPr>
        <w:t xml:space="preserve">בג"צ 971/99 </w:t>
      </w:r>
      <w:r w:rsidRPr="00420C19">
        <w:rPr>
          <w:b/>
          <w:bCs/>
          <w:sz w:val="20"/>
          <w:szCs w:val="20"/>
          <w:rtl/>
        </w:rPr>
        <w:t>התנועה למען איכות השלטון</w:t>
      </w:r>
      <w:r w:rsidRPr="00420C19">
        <w:rPr>
          <w:sz w:val="20"/>
          <w:szCs w:val="20"/>
          <w:rtl/>
        </w:rPr>
        <w:t xml:space="preserve"> </w:t>
      </w:r>
      <w:r w:rsidRPr="00420C19">
        <w:rPr>
          <w:b/>
          <w:bCs/>
          <w:sz w:val="20"/>
          <w:szCs w:val="20"/>
          <w:rtl/>
        </w:rPr>
        <w:t>נ' ועדת הכנסת</w:t>
      </w:r>
      <w:r w:rsidRPr="00420C19">
        <w:rPr>
          <w:sz w:val="20"/>
          <w:szCs w:val="20"/>
          <w:rtl/>
        </w:rPr>
        <w:t xml:space="preserve"> </w:t>
      </w:r>
    </w:p>
    <w:p w:rsidR="005366A8" w:rsidRPr="00056F30" w:rsidRDefault="005366A8" w:rsidP="005366A8">
      <w:pPr>
        <w:rPr>
          <w:rFonts w:cs="FrankRuehl"/>
          <w:sz w:val="22"/>
          <w:szCs w:val="22"/>
          <w:rtl/>
        </w:rPr>
      </w:pPr>
      <w:r w:rsidRPr="00056F30">
        <w:rPr>
          <w:rFonts w:cs="FrankRuehl"/>
          <w:sz w:val="22"/>
          <w:szCs w:val="22"/>
          <w:rtl/>
        </w:rPr>
        <w:t>הכנסת הארבע-עשרה התפזרה בתום שלוש שנות כהונה. ועדת הכנסת החליטה כי מי שכיהן בכנסת הארבע-עשרה ולא שב ונבחר לכנסת החמש-עשרה, יזכה בגימלה כאילו כיהן בכנסת הארבע-עשרה במשך ארבע שנים. בכך עשתה ה</w:t>
      </w:r>
      <w:r w:rsidRPr="00056F30">
        <w:rPr>
          <w:rFonts w:cs="FrankRuehl" w:hint="cs"/>
          <w:sz w:val="22"/>
          <w:szCs w:val="22"/>
          <w:rtl/>
        </w:rPr>
        <w:t>ו</w:t>
      </w:r>
      <w:r w:rsidRPr="00056F30">
        <w:rPr>
          <w:rFonts w:cs="FrankRuehl"/>
          <w:sz w:val="22"/>
          <w:szCs w:val="22"/>
          <w:rtl/>
        </w:rPr>
        <w:t xml:space="preserve">ועדה שתיים: חבר הכנסת שלא כיהן בכנסת קודמת זכה לקצבה כאילו כיהן ארבע שנים (אלמלא החלטת הועדה לא היה זוכה בקצבה כלל כי אם במענק חד פעמי בלבד, בנוסף למענק "הסתגלות"); חבר כנסת שכיהן גם בכנסת קודמת - זכה וקצבתו חושבה כאילו כיהן (בנוסף לכהונתו הקודמת) ארבע שנים תמימות בכנסת הארבע-עשרה, אף שזו הוציאה ימיה במלאת לה שלוש. את החלטתה קיבלה ועדת הכנסת עוד בימי חייה של הכנסת הארבע-עשרה (והיא חזרה ואישרה את ההחלטה לאחר שנתקיימו הבחירות לכנסת החמש-עשרה), ובעת שההחלטה עשויה היתה להשפיע על חבריה היא. ועדה ציבורית שהוקמה, מאוחר יותר, כדי לדון בשאלת התשלומים לנושאי משרה ברשויות השלטון, ובכללם חברי הכנסת, הלא היא ועדת אלוני, המליצה בפני ועדת הכנסת להשיב את המצב לקדמותו. המלצותיה של ועדת אלוני </w:t>
      </w:r>
      <w:r w:rsidRPr="00056F30">
        <w:rPr>
          <w:rFonts w:cs="FrankRuehl" w:hint="cs"/>
          <w:sz w:val="22"/>
          <w:szCs w:val="22"/>
          <w:rtl/>
        </w:rPr>
        <w:t>נדחו</w:t>
      </w:r>
      <w:r w:rsidRPr="00056F30">
        <w:rPr>
          <w:rFonts w:cs="FrankRuehl"/>
          <w:sz w:val="22"/>
          <w:szCs w:val="22"/>
          <w:rtl/>
        </w:rPr>
        <w:t xml:space="preserve">. </w:t>
      </w:r>
    </w:p>
    <w:p w:rsidR="005366A8" w:rsidRPr="00056F30" w:rsidRDefault="005366A8" w:rsidP="005366A8">
      <w:pPr>
        <w:rPr>
          <w:rFonts w:cs="FrankRuehl"/>
          <w:sz w:val="22"/>
          <w:szCs w:val="22"/>
          <w:rtl/>
        </w:rPr>
      </w:pPr>
      <w:r w:rsidRPr="00056F30">
        <w:rPr>
          <w:rFonts w:cs="FrankRuehl" w:hint="cs"/>
          <w:b/>
          <w:bCs/>
          <w:sz w:val="22"/>
          <w:szCs w:val="22"/>
          <w:highlight w:val="yellow"/>
          <w:rtl/>
        </w:rPr>
        <w:t>["כנסת המחוקקת לעצמה"]</w:t>
      </w:r>
      <w:r w:rsidRPr="00056F30">
        <w:rPr>
          <w:rFonts w:cs="FrankRuehl" w:hint="cs"/>
          <w:sz w:val="22"/>
          <w:szCs w:val="22"/>
          <w:rtl/>
        </w:rPr>
        <w:t xml:space="preserve"> השופט ריבלין: </w:t>
      </w:r>
      <w:r w:rsidRPr="00056F30">
        <w:rPr>
          <w:rFonts w:cs="FrankRuehl"/>
          <w:sz w:val="22"/>
          <w:szCs w:val="22"/>
          <w:rtl/>
        </w:rPr>
        <w:t>חרף ניגוד העניינים המובנה בתפקיד שמילאה כאן ועדת הכנסת לא השכילו חברי הוועדה להתעלות מעל עניינם הצר. הם נמנעו מלהביא בחשבון ה</w:t>
      </w:r>
      <w:r w:rsidRPr="00056F30">
        <w:rPr>
          <w:rFonts w:cs="FrankRuehl" w:hint="cs"/>
          <w:sz w:val="22"/>
          <w:szCs w:val="22"/>
          <w:rtl/>
        </w:rPr>
        <w:t>ה</w:t>
      </w:r>
      <w:r w:rsidRPr="00056F30">
        <w:rPr>
          <w:rFonts w:cs="FrankRuehl"/>
          <w:sz w:val="22"/>
          <w:szCs w:val="22"/>
          <w:rtl/>
        </w:rPr>
        <w:t>חלטה את העניין הציבורי הכרוך בעצם הפגיעה בקופה הציבורית ואת הפגיעה האפשרית באמון הציבור. נבחר ציבור הנדרש על</w:t>
      </w:r>
      <w:r w:rsidRPr="00056F30">
        <w:rPr>
          <w:rFonts w:cs="FrankRuehl" w:hint="cs"/>
          <w:sz w:val="22"/>
          <w:szCs w:val="22"/>
          <w:rtl/>
        </w:rPr>
        <w:t>-</w:t>
      </w:r>
      <w:r w:rsidRPr="00056F30">
        <w:rPr>
          <w:rFonts w:cs="FrankRuehl"/>
          <w:sz w:val="22"/>
          <w:szCs w:val="22"/>
          <w:rtl/>
        </w:rPr>
        <w:t>פי דין לקבוע בעניינו שלו</w:t>
      </w:r>
      <w:r w:rsidRPr="00056F30">
        <w:rPr>
          <w:rFonts w:cs="FrankRuehl" w:hint="cs"/>
          <w:sz w:val="22"/>
          <w:szCs w:val="22"/>
          <w:rtl/>
        </w:rPr>
        <w:t>,</w:t>
      </w:r>
      <w:r w:rsidRPr="00056F30">
        <w:rPr>
          <w:rFonts w:cs="FrankRuehl"/>
          <w:sz w:val="22"/>
          <w:szCs w:val="22"/>
          <w:rtl/>
        </w:rPr>
        <w:t xml:space="preserve"> צריך שגם עניינו של הכלל יעמוד לנגד עיניו. בבואם לפסוק בשאלות שעשויה להיות להן נפקות בעניינם שלהם או בעניינם של עמיתיהם</w:t>
      </w:r>
      <w:r w:rsidRPr="00056F30">
        <w:rPr>
          <w:rFonts w:cs="FrankRuehl" w:hint="cs"/>
          <w:sz w:val="22"/>
          <w:szCs w:val="22"/>
          <w:rtl/>
        </w:rPr>
        <w:t>,</w:t>
      </w:r>
      <w:r w:rsidRPr="00056F30">
        <w:rPr>
          <w:rFonts w:cs="FrankRuehl"/>
          <w:sz w:val="22"/>
          <w:szCs w:val="22"/>
          <w:rtl/>
        </w:rPr>
        <w:t xml:space="preserve"> היה על חברי</w:t>
      </w:r>
      <w:r w:rsidRPr="00056F30">
        <w:rPr>
          <w:rFonts w:cs="FrankRuehl" w:hint="cs"/>
          <w:sz w:val="22"/>
          <w:szCs w:val="22"/>
          <w:rtl/>
        </w:rPr>
        <w:t>-</w:t>
      </w:r>
      <w:r w:rsidRPr="00056F30">
        <w:rPr>
          <w:rFonts w:cs="FrankRuehl"/>
          <w:sz w:val="22"/>
          <w:szCs w:val="22"/>
          <w:rtl/>
        </w:rPr>
        <w:t xml:space="preserve">הכנסת להביא בחשבון את עניין הציבור בהחלטתם, את ההשלכות שיש במתן טובות ההנאה המוקשות בהגיונן על קופת הציבור ואת מידת הפגיעה האפשרית באמון הציבור ברשות </w:t>
      </w:r>
      <w:r w:rsidRPr="00056F30">
        <w:rPr>
          <w:rFonts w:cs="FrankRuehl" w:hint="cs"/>
          <w:sz w:val="22"/>
          <w:szCs w:val="22"/>
          <w:rtl/>
        </w:rPr>
        <w:t>ש</w:t>
      </w:r>
      <w:r w:rsidRPr="00056F30">
        <w:rPr>
          <w:rFonts w:cs="FrankRuehl"/>
          <w:sz w:val="22"/>
          <w:szCs w:val="22"/>
          <w:rtl/>
        </w:rPr>
        <w:t>הם מייצגים</w:t>
      </w:r>
      <w:r w:rsidRPr="00056F30">
        <w:rPr>
          <w:rFonts w:cs="FrankRuehl" w:hint="cs"/>
          <w:sz w:val="22"/>
          <w:szCs w:val="22"/>
          <w:rtl/>
        </w:rPr>
        <w:t>..</w:t>
      </w:r>
      <w:r w:rsidRPr="00056F30">
        <w:rPr>
          <w:rFonts w:cs="FrankRuehl"/>
          <w:sz w:val="22"/>
          <w:szCs w:val="22"/>
          <w:rtl/>
        </w:rPr>
        <w:t xml:space="preserve">. </w:t>
      </w:r>
      <w:r w:rsidRPr="00056F30">
        <w:rPr>
          <w:rFonts w:cs="FrankRuehl" w:hint="cs"/>
          <w:sz w:val="22"/>
          <w:szCs w:val="22"/>
          <w:rtl/>
        </w:rPr>
        <w:t xml:space="preserve"> </w:t>
      </w:r>
      <w:r w:rsidRPr="00056F30">
        <w:rPr>
          <w:rFonts w:cs="FrankRuehl"/>
          <w:sz w:val="22"/>
          <w:szCs w:val="22"/>
          <w:rtl/>
        </w:rPr>
        <w:tab/>
        <w:t>חברי</w:t>
      </w:r>
      <w:r w:rsidRPr="00056F30">
        <w:rPr>
          <w:rFonts w:cs="FrankRuehl" w:hint="cs"/>
          <w:sz w:val="22"/>
          <w:szCs w:val="22"/>
          <w:rtl/>
        </w:rPr>
        <w:t>-</w:t>
      </w:r>
      <w:r w:rsidRPr="00056F30">
        <w:rPr>
          <w:rFonts w:cs="FrankRuehl"/>
          <w:sz w:val="22"/>
          <w:szCs w:val="22"/>
          <w:rtl/>
        </w:rPr>
        <w:t>הכנסת בחרו שלא לעצב את ההטבה שנטלו לעצמם או לחבריהם במסגרת שיש עמה שימור יחס ראוי או מ</w:t>
      </w:r>
      <w:r w:rsidRPr="00056F30">
        <w:rPr>
          <w:rFonts w:cs="FrankRuehl" w:hint="cs"/>
          <w:sz w:val="22"/>
          <w:szCs w:val="22"/>
          <w:rtl/>
        </w:rPr>
        <w:t>י</w:t>
      </w:r>
      <w:r w:rsidRPr="00056F30">
        <w:rPr>
          <w:rFonts w:cs="FrankRuehl"/>
          <w:sz w:val="22"/>
          <w:szCs w:val="22"/>
          <w:rtl/>
        </w:rPr>
        <w:t>תאם בין אורך תקופת הכהונה לבין מידת השיפור בתנאים. ההחלטה הקובעת כי לעניין הק</w:t>
      </w:r>
      <w:r w:rsidRPr="00056F30">
        <w:rPr>
          <w:rFonts w:cs="FrankRuehl" w:hint="cs"/>
          <w:sz w:val="22"/>
          <w:szCs w:val="22"/>
          <w:rtl/>
        </w:rPr>
        <w:t>י</w:t>
      </w:r>
      <w:r w:rsidRPr="00056F30">
        <w:rPr>
          <w:rFonts w:cs="FrankRuehl"/>
          <w:sz w:val="22"/>
          <w:szCs w:val="22"/>
          <w:rtl/>
        </w:rPr>
        <w:t xml:space="preserve">צבה </w:t>
      </w:r>
      <w:r w:rsidRPr="00056F30">
        <w:rPr>
          <w:rFonts w:cs="FrankRuehl" w:hint="cs"/>
          <w:sz w:val="22"/>
          <w:szCs w:val="22"/>
          <w:rtl/>
        </w:rPr>
        <w:t>י</w:t>
      </w:r>
      <w:r w:rsidRPr="00056F30">
        <w:rPr>
          <w:rFonts w:cs="FrankRuehl"/>
          <w:sz w:val="22"/>
          <w:szCs w:val="22"/>
          <w:rtl/>
        </w:rPr>
        <w:t>יחשב חבר-כנסת שסיים את תפקידו בשל פיזור הכנסת הארבע-עשרה לאחר שלוש שנות כהונה (ושלא ייבחר לכנסת החמש-עשרה) – כמי שכיהן ארבע שנים, מעוררת מבוכה. ההחלטה מתעלמת מתקופת הכהונה בפועל ומביאה בחשבון תקופת כהונה מדומה. כל אלה מוציאים את ההחלטה אל מחוץ למ</w:t>
      </w:r>
      <w:r w:rsidRPr="00056F30">
        <w:rPr>
          <w:rFonts w:cs="FrankRuehl" w:hint="cs"/>
          <w:sz w:val="22"/>
          <w:szCs w:val="22"/>
          <w:rtl/>
        </w:rPr>
        <w:t>י</w:t>
      </w:r>
      <w:r w:rsidRPr="00056F30">
        <w:rPr>
          <w:rFonts w:cs="FrankRuehl"/>
          <w:sz w:val="22"/>
          <w:szCs w:val="22"/>
          <w:rtl/>
        </w:rPr>
        <w:t>תחם הסבירות.</w:t>
      </w:r>
    </w:p>
    <w:p w:rsidR="005366A8" w:rsidRDefault="005366A8" w:rsidP="005366A8">
      <w:pPr>
        <w:rPr>
          <w:sz w:val="22"/>
          <w:szCs w:val="22"/>
          <w:rtl/>
        </w:rPr>
      </w:pPr>
      <w:r>
        <w:rPr>
          <w:rFonts w:hint="cs"/>
          <w:sz w:val="22"/>
          <w:szCs w:val="22"/>
          <w:rtl/>
        </w:rPr>
        <w:t>=-=</w:t>
      </w:r>
    </w:p>
    <w:p w:rsidR="005366A8" w:rsidRPr="00BD5459" w:rsidRDefault="005366A8" w:rsidP="005366A8">
      <w:pPr>
        <w:jc w:val="center"/>
        <w:rPr>
          <w:rFonts w:ascii="Arial" w:hAnsi="Arial" w:cs="Arial"/>
          <w:b/>
          <w:bCs/>
          <w:sz w:val="22"/>
          <w:szCs w:val="22"/>
          <w:rtl/>
        </w:rPr>
      </w:pPr>
      <w:r w:rsidRPr="00BD5459">
        <w:rPr>
          <w:rFonts w:ascii="Arial" w:hAnsi="Arial" w:cs="Arial"/>
          <w:b/>
          <w:bCs/>
          <w:sz w:val="22"/>
          <w:szCs w:val="22"/>
          <w:highlight w:val="yellow"/>
          <w:rtl/>
        </w:rPr>
        <w:t>מגבלות המוטלות על הצעות חוק פרטיות</w:t>
      </w:r>
    </w:p>
    <w:p w:rsidR="005366A8" w:rsidRPr="00E57B06" w:rsidRDefault="005366A8" w:rsidP="005366A8">
      <w:pPr>
        <w:rPr>
          <w:sz w:val="20"/>
          <w:szCs w:val="20"/>
          <w:rtl/>
        </w:rPr>
      </w:pPr>
    </w:p>
    <w:p w:rsidR="005366A8" w:rsidRPr="00E57B06" w:rsidRDefault="005366A8" w:rsidP="005366A8">
      <w:pPr>
        <w:rPr>
          <w:sz w:val="20"/>
          <w:szCs w:val="20"/>
          <w:rtl/>
        </w:rPr>
      </w:pPr>
      <w:r w:rsidRPr="00E57B06">
        <w:rPr>
          <w:rFonts w:hint="cs"/>
          <w:sz w:val="20"/>
          <w:szCs w:val="20"/>
          <w:rtl/>
        </w:rPr>
        <w:t xml:space="preserve">פגשנו לעיל את </w:t>
      </w:r>
      <w:r>
        <w:rPr>
          <w:rFonts w:hint="cs"/>
          <w:sz w:val="20"/>
          <w:szCs w:val="20"/>
          <w:rtl/>
        </w:rPr>
        <w:t xml:space="preserve">הוראת </w:t>
      </w:r>
      <w:r w:rsidRPr="00E57B06">
        <w:rPr>
          <w:rFonts w:hint="cs"/>
          <w:sz w:val="20"/>
          <w:szCs w:val="20"/>
          <w:rtl/>
        </w:rPr>
        <w:t xml:space="preserve">סע' 134(ג) </w:t>
      </w:r>
      <w:r>
        <w:rPr>
          <w:sz w:val="20"/>
          <w:szCs w:val="20"/>
          <w:rtl/>
        </w:rPr>
        <w:t>–</w:t>
      </w:r>
      <w:r>
        <w:rPr>
          <w:rFonts w:hint="cs"/>
          <w:sz w:val="20"/>
          <w:szCs w:val="20"/>
          <w:rtl/>
        </w:rPr>
        <w:t xml:space="preserve"> ועתה סע' 75(ה) </w:t>
      </w:r>
      <w:r>
        <w:rPr>
          <w:sz w:val="20"/>
          <w:szCs w:val="20"/>
          <w:rtl/>
        </w:rPr>
        <w:t>–</w:t>
      </w:r>
      <w:r>
        <w:rPr>
          <w:rFonts w:hint="cs"/>
          <w:sz w:val="20"/>
          <w:szCs w:val="20"/>
          <w:rtl/>
        </w:rPr>
        <w:t xml:space="preserve"> </w:t>
      </w:r>
      <w:r w:rsidRPr="00E57B06">
        <w:rPr>
          <w:rFonts w:hint="cs"/>
          <w:sz w:val="20"/>
          <w:szCs w:val="20"/>
          <w:rtl/>
        </w:rPr>
        <w:t>לתקנון הכנסת</w:t>
      </w:r>
      <w:r>
        <w:rPr>
          <w:rFonts w:hint="cs"/>
          <w:sz w:val="20"/>
          <w:szCs w:val="20"/>
          <w:rtl/>
        </w:rPr>
        <w:t xml:space="preserve">. הוראה זו מגבשת </w:t>
      </w:r>
      <w:r w:rsidRPr="00E57B06">
        <w:rPr>
          <w:rFonts w:hint="cs"/>
          <w:sz w:val="20"/>
          <w:szCs w:val="20"/>
          <w:rtl/>
        </w:rPr>
        <w:t>"מסננת תוכנית"/ מהותית להצעות החוק שניתן להגישן.  רובינשטיין ומדינה גורסים כי "</w:t>
      </w:r>
      <w:r w:rsidRPr="00E57B06">
        <w:rPr>
          <w:sz w:val="20"/>
          <w:szCs w:val="20"/>
          <w:rtl/>
        </w:rPr>
        <w:t xml:space="preserve">יש לנהוג ריסון ניכר </w:t>
      </w:r>
      <w:r>
        <w:rPr>
          <w:rFonts w:hint="cs"/>
          <w:sz w:val="20"/>
          <w:szCs w:val="20"/>
          <w:rtl/>
        </w:rPr>
        <w:t xml:space="preserve">.. </w:t>
      </w:r>
      <w:r w:rsidRPr="00E57B06">
        <w:rPr>
          <w:sz w:val="20"/>
          <w:szCs w:val="20"/>
          <w:rtl/>
        </w:rPr>
        <w:t>בהפעלת סמכותה של נשיאות הכנסת שלא לאשר הצעות חוק מחמת תוכנן</w:t>
      </w:r>
      <w:r w:rsidRPr="00E57B06">
        <w:rPr>
          <w:rFonts w:hint="cs"/>
          <w:sz w:val="20"/>
          <w:szCs w:val="20"/>
          <w:rtl/>
        </w:rPr>
        <w:t>"</w:t>
      </w:r>
      <w:r w:rsidRPr="00E57B06">
        <w:rPr>
          <w:sz w:val="20"/>
          <w:szCs w:val="20"/>
          <w:rtl/>
        </w:rPr>
        <w:t>.</w:t>
      </w:r>
      <w:r w:rsidRPr="00E57B06">
        <w:rPr>
          <w:rFonts w:hint="cs"/>
          <w:sz w:val="20"/>
          <w:szCs w:val="20"/>
          <w:rtl/>
        </w:rPr>
        <w:t xml:space="preserve">  אני מסכים עימם.</w:t>
      </w:r>
    </w:p>
    <w:p w:rsidR="005366A8" w:rsidRPr="00E57B06" w:rsidRDefault="005366A8" w:rsidP="005366A8">
      <w:pPr>
        <w:rPr>
          <w:sz w:val="20"/>
          <w:szCs w:val="20"/>
          <w:rtl/>
        </w:rPr>
      </w:pPr>
    </w:p>
    <w:p w:rsidR="005366A8" w:rsidRPr="00E57B06" w:rsidRDefault="005366A8" w:rsidP="005366A8">
      <w:pPr>
        <w:spacing w:after="120"/>
        <w:rPr>
          <w:sz w:val="20"/>
          <w:szCs w:val="20"/>
          <w:rtl/>
        </w:rPr>
      </w:pPr>
      <w:r w:rsidRPr="00E57B06">
        <w:rPr>
          <w:rFonts w:hint="cs"/>
          <w:sz w:val="20"/>
          <w:szCs w:val="20"/>
          <w:rtl/>
        </w:rPr>
        <w:t xml:space="preserve">מעבר לכך מופיעה מסננת נוספת. ראו את ניתוחה בספרם של רובינשטיין ומדינה (בהשמטת אסמכתאות): </w:t>
      </w:r>
    </w:p>
    <w:p w:rsidR="005366A8" w:rsidRPr="00E57B06" w:rsidRDefault="005366A8" w:rsidP="005366A8">
      <w:pPr>
        <w:rPr>
          <w:sz w:val="20"/>
          <w:szCs w:val="20"/>
        </w:rPr>
      </w:pPr>
      <w:r w:rsidRPr="00E57B06">
        <w:rPr>
          <w:sz w:val="20"/>
          <w:szCs w:val="20"/>
          <w:rtl/>
        </w:rPr>
        <w:t>מגבלות נוספות חלות על הצעות חוק "פרטיות" שיישומן כרוך בהוצאה מתקציב המדינה. ביסודן של מגבלות אלה השאיפה להתגבר על החשש – שהתממש לא אחת, בעיקר מאז תחילת שנות התשעים – כי חברי הכנסת יפעילו את סמכות החקיקה שלהם לשם חקיקת חוקים המיטיבים עם מגזרים שונים באוכלוסיה, בלא להתחשב במגבלות התקציב הציבורי שאושר על-ידי הכנסת עצמה</w:t>
      </w:r>
      <w:r w:rsidRPr="00E57B06">
        <w:rPr>
          <w:rFonts w:hint="cs"/>
          <w:sz w:val="20"/>
          <w:szCs w:val="20"/>
          <w:rtl/>
        </w:rPr>
        <w:t>.</w:t>
      </w:r>
      <w:r w:rsidRPr="00E57B06">
        <w:rPr>
          <w:sz w:val="20"/>
          <w:szCs w:val="20"/>
          <w:rtl/>
        </w:rPr>
        <w:t xml:space="preserve"> </w:t>
      </w:r>
      <w:r w:rsidRPr="00E57B06">
        <w:rPr>
          <w:rFonts w:hint="cs"/>
          <w:sz w:val="20"/>
          <w:szCs w:val="20"/>
          <w:rtl/>
        </w:rPr>
        <w:t>...</w:t>
      </w:r>
    </w:p>
    <w:p w:rsidR="005366A8" w:rsidRPr="00E57B06" w:rsidRDefault="005366A8" w:rsidP="005366A8">
      <w:pPr>
        <w:rPr>
          <w:sz w:val="20"/>
          <w:szCs w:val="20"/>
          <w:rtl/>
        </w:rPr>
      </w:pPr>
      <w:r w:rsidRPr="00E57B06">
        <w:rPr>
          <w:sz w:val="20"/>
          <w:szCs w:val="20"/>
          <w:rtl/>
        </w:rPr>
        <w:t xml:space="preserve">מגבלה אחת שהוטלה על חקיקה כאמור נועדה להבטיח כי בפני הכנסת והציבור יהיה מידע מלא באשר למשמעויות התקציביות של הצעות חוק ולהגביר את המודעות להכרח לקבוע סדרי עדיפויות בתקציב, כך שכל הגדלה של הוצאה מסוימת חייבת להתבטא בהקטנת הוצאות אחרות או בהגדלת נטל המס. לצורך כך </w:t>
      </w:r>
      <w:r w:rsidRPr="00E57B06">
        <w:rPr>
          <w:sz w:val="20"/>
          <w:szCs w:val="20"/>
          <w:highlight w:val="yellow"/>
          <w:rtl/>
        </w:rPr>
        <w:t>נקבע כי "הצעת חוק המוגשת לכנסת שבביצועה כרוכה הוצאה או התחייבות להוצאה מתקציב המדינה או שבביצועה כרוכה הפחתה של הכנסות המדינה, תצוין, בנוסח החוק המוצע או בדברי ההסבר לו, דרך המימון להוצאה או להפחתה" (סעיף 39א לחוק יסודות התקציב, תשמ"ה-1985).</w:t>
      </w:r>
      <w:r w:rsidRPr="00E57B06">
        <w:rPr>
          <w:sz w:val="20"/>
          <w:szCs w:val="20"/>
          <w:rtl/>
        </w:rPr>
        <w:t xml:space="preserve"> לצורך יישומה של הוראה זו נקבע בתקנון כי על הוועדה המכינה הצעת חוק "פרטית" לקריאה ראשונה לזמן לדיוניה את נציגו של שר האוצר, כדי לברר אם חלות לגבי הצעת החוק הוראות סעיף 39א לחוק יסודות התקציב. אם מתברר כי בביצועה של הצעת החוק כרוכה הוצאה או הפחתת הכנסות, על הוועדה לציין בנוסח החוק או בדברי ההסבר את דרך המימון, ואת הערכת עלותו של החוק (סעיפים 138א-139ג לתקנון). </w:t>
      </w:r>
    </w:p>
    <w:p w:rsidR="005366A8" w:rsidRPr="00E57B06" w:rsidRDefault="005366A8" w:rsidP="005366A8">
      <w:pPr>
        <w:rPr>
          <w:sz w:val="20"/>
          <w:szCs w:val="20"/>
          <w:rtl/>
        </w:rPr>
      </w:pPr>
      <w:r w:rsidRPr="00E57B06">
        <w:rPr>
          <w:sz w:val="20"/>
          <w:szCs w:val="20"/>
          <w:rtl/>
        </w:rPr>
        <w:t xml:space="preserve">עם זאת, יישומה של מגבלה זו נתקל בקשיים, בין היתר לאור ההלכה שחריגה ממנה </w:t>
      </w:r>
      <w:r>
        <w:rPr>
          <w:rFonts w:hint="cs"/>
          <w:sz w:val="20"/>
          <w:szCs w:val="20"/>
          <w:rtl/>
        </w:rPr>
        <w:t xml:space="preserve">[כלומר חריגה ממגבלה זו] </w:t>
      </w:r>
      <w:r w:rsidRPr="00E57B06">
        <w:rPr>
          <w:sz w:val="20"/>
          <w:szCs w:val="20"/>
          <w:rtl/>
        </w:rPr>
        <w:t>אינה מונעת את השלמת הליך החקיקה ואינה פוגעת בתוקפו של חוק שזכה לתמיכת הרוב בכנסת</w:t>
      </w:r>
      <w:r w:rsidRPr="00E57B06">
        <w:rPr>
          <w:rFonts w:hint="cs"/>
          <w:sz w:val="20"/>
          <w:szCs w:val="20"/>
          <w:rtl/>
        </w:rPr>
        <w:t>,</w:t>
      </w:r>
      <w:r w:rsidRPr="00E57B06">
        <w:rPr>
          <w:sz w:val="20"/>
          <w:szCs w:val="20"/>
          <w:rtl/>
        </w:rPr>
        <w:t xml:space="preserve"> ובאמצעות הקביעה בהצעת החוק כי מימונה יבוא מן הרזרבה שבחוק התקציב. לאור זאת נקבעה בשנת 2003 מגבלה נוספת, </w:t>
      </w:r>
      <w:r w:rsidRPr="00E57B06">
        <w:rPr>
          <w:sz w:val="20"/>
          <w:szCs w:val="20"/>
          <w:highlight w:val="yellow"/>
          <w:rtl/>
        </w:rPr>
        <w:t xml:space="preserve">בסעיף 3ג לחוק-יסוד: משק המדינה. </w:t>
      </w:r>
      <w:r w:rsidRPr="000C384E">
        <w:rPr>
          <w:sz w:val="20"/>
          <w:szCs w:val="20"/>
          <w:rtl/>
        </w:rPr>
        <w:t xml:space="preserve">מכוחו של הסדר זה, </w:t>
      </w:r>
      <w:r w:rsidRPr="00E57B06">
        <w:rPr>
          <w:sz w:val="20"/>
          <w:szCs w:val="20"/>
          <w:highlight w:val="yellow"/>
          <w:rtl/>
        </w:rPr>
        <w:t xml:space="preserve">הצעת חוק שבביצועה כרוכה עלות תקציבית העולה על 5 מיליון ש"ח בשנה (ובכלל זה הפחתה מהכנסות המדינה בסכום כאמור), ואשר הממשלה לא נתנה לה את הסכמתה, </w:t>
      </w:r>
      <w:r w:rsidRPr="003E0290">
        <w:rPr>
          <w:b/>
          <w:bCs/>
          <w:sz w:val="20"/>
          <w:szCs w:val="20"/>
          <w:highlight w:val="yellow"/>
          <w:rtl/>
        </w:rPr>
        <w:t>לא תתקבל בכנסת אלא בקולותיהם של חמישים חברי כנסת לפחות</w:t>
      </w:r>
      <w:r w:rsidRPr="00E57B06">
        <w:rPr>
          <w:rFonts w:hint="cs"/>
          <w:sz w:val="20"/>
          <w:szCs w:val="20"/>
          <w:highlight w:val="yellow"/>
          <w:rtl/>
        </w:rPr>
        <w:t>.</w:t>
      </w:r>
      <w:r w:rsidRPr="00E57B06">
        <w:rPr>
          <w:sz w:val="20"/>
          <w:szCs w:val="20"/>
          <w:highlight w:val="yellow"/>
          <w:rtl/>
        </w:rPr>
        <w:t xml:space="preserve"> ההערכה של העלות התקציבית היא על-פי קביעת שר האוצר, אלא אם הוועדה בכנסת הדנה בהצעת החוק השתכנעה, לפי נתונים ואומדנים שהוגשו לה, כי העלות התקציבית היא שונה מזו שקבע שר האוצר.</w:t>
      </w:r>
      <w:r w:rsidRPr="00E57B06">
        <w:rPr>
          <w:sz w:val="20"/>
          <w:szCs w:val="20"/>
          <w:rtl/>
        </w:rPr>
        <w:t xml:space="preserve"> </w:t>
      </w:r>
      <w:r w:rsidRPr="00E57B06">
        <w:rPr>
          <w:rFonts w:hint="cs"/>
          <w:sz w:val="20"/>
          <w:szCs w:val="20"/>
          <w:rtl/>
        </w:rPr>
        <w:t>..</w:t>
      </w:r>
      <w:r w:rsidRPr="00E57B06">
        <w:rPr>
          <w:sz w:val="20"/>
          <w:szCs w:val="20"/>
          <w:rtl/>
        </w:rPr>
        <w:t>. נראה כי מגבלה זו חלה גם ביחס להצעות חוק שיוזמת ועדה של הכנסת.</w:t>
      </w:r>
    </w:p>
    <w:p w:rsidR="005366A8" w:rsidRDefault="005366A8" w:rsidP="005366A8">
      <w:pPr>
        <w:rPr>
          <w:sz w:val="22"/>
          <w:szCs w:val="22"/>
          <w:rtl/>
        </w:rPr>
      </w:pPr>
      <w:r>
        <w:rPr>
          <w:rFonts w:hint="cs"/>
          <w:sz w:val="22"/>
          <w:szCs w:val="22"/>
          <w:rtl/>
        </w:rPr>
        <w:t xml:space="preserve">=-= </w:t>
      </w:r>
    </w:p>
    <w:p w:rsidR="005366A8" w:rsidRDefault="005366A8" w:rsidP="005366A8">
      <w:pPr>
        <w:rPr>
          <w:sz w:val="22"/>
          <w:szCs w:val="22"/>
          <w:rtl/>
        </w:rPr>
      </w:pPr>
    </w:p>
    <w:p w:rsidR="005366A8" w:rsidRPr="00D35800" w:rsidRDefault="005366A8" w:rsidP="005366A8">
      <w:pPr>
        <w:spacing w:after="120"/>
        <w:rPr>
          <w:rFonts w:ascii="Arial" w:hAnsi="Arial" w:cs="Arial"/>
          <w:b/>
          <w:bCs/>
          <w:sz w:val="22"/>
          <w:szCs w:val="22"/>
          <w:rtl/>
        </w:rPr>
      </w:pPr>
      <w:r>
        <w:rPr>
          <w:rFonts w:ascii="Arial" w:hAnsi="Arial" w:cs="Arial" w:hint="cs"/>
          <w:b/>
          <w:bCs/>
          <w:sz w:val="22"/>
          <w:szCs w:val="22"/>
          <w:highlight w:val="yellow"/>
          <w:rtl/>
        </w:rPr>
        <w:t xml:space="preserve">סיכום קצר </w:t>
      </w:r>
      <w:r w:rsidRPr="00D35800">
        <w:rPr>
          <w:rFonts w:ascii="Arial" w:hAnsi="Arial" w:cs="Arial"/>
          <w:b/>
          <w:bCs/>
          <w:sz w:val="22"/>
          <w:szCs w:val="22"/>
          <w:highlight w:val="yellow"/>
          <w:rtl/>
        </w:rPr>
        <w:t>לסוגיית הביקורת השיפוטית על ההליכים הפנים-פרלמנטריים</w:t>
      </w:r>
      <w:r>
        <w:rPr>
          <w:rFonts w:ascii="Arial" w:hAnsi="Arial" w:cs="Arial" w:hint="cs"/>
          <w:b/>
          <w:bCs/>
          <w:sz w:val="22"/>
          <w:szCs w:val="22"/>
          <w:highlight w:val="yellow"/>
          <w:rtl/>
        </w:rPr>
        <w:t>,</w:t>
      </w:r>
      <w:r w:rsidRPr="00956056">
        <w:rPr>
          <w:rFonts w:ascii="Arial" w:hAnsi="Arial" w:cs="Arial" w:hint="cs"/>
          <w:b/>
          <w:bCs/>
          <w:sz w:val="22"/>
          <w:szCs w:val="22"/>
          <w:highlight w:val="yellow"/>
          <w:rtl/>
        </w:rPr>
        <w:t xml:space="preserve"> ההליכים הפנימיים בכנסת</w:t>
      </w:r>
      <w:r>
        <w:rPr>
          <w:rFonts w:ascii="Arial" w:hAnsi="Arial" w:cs="Arial" w:hint="cs"/>
          <w:b/>
          <w:bCs/>
          <w:sz w:val="22"/>
          <w:szCs w:val="22"/>
          <w:rtl/>
        </w:rPr>
        <w:t>:</w:t>
      </w:r>
    </w:p>
    <w:p w:rsidR="005366A8" w:rsidRDefault="005366A8" w:rsidP="005366A8">
      <w:pPr>
        <w:spacing w:after="60"/>
        <w:rPr>
          <w:sz w:val="22"/>
          <w:szCs w:val="22"/>
          <w:rtl/>
        </w:rPr>
      </w:pPr>
      <w:r w:rsidRPr="00D35800">
        <w:rPr>
          <w:sz w:val="22"/>
          <w:szCs w:val="22"/>
          <w:rtl/>
        </w:rPr>
        <w:t xml:space="preserve">הכלל הוא הלכת </w:t>
      </w:r>
      <w:r w:rsidRPr="00D35800">
        <w:rPr>
          <w:b/>
          <w:bCs/>
          <w:sz w:val="22"/>
          <w:szCs w:val="22"/>
          <w:rtl/>
        </w:rPr>
        <w:t>שריד</w:t>
      </w:r>
      <w:r w:rsidRPr="00D35800">
        <w:rPr>
          <w:sz w:val="22"/>
          <w:szCs w:val="22"/>
          <w:rtl/>
        </w:rPr>
        <w:t xml:space="preserve">, </w:t>
      </w:r>
      <w:r>
        <w:rPr>
          <w:rFonts w:hint="cs"/>
          <w:sz w:val="22"/>
          <w:szCs w:val="22"/>
          <w:rtl/>
        </w:rPr>
        <w:t xml:space="preserve">אותה פגשנו לעיל בפס"ד </w:t>
      </w:r>
      <w:r w:rsidRPr="00D35800">
        <w:rPr>
          <w:b/>
          <w:bCs/>
          <w:sz w:val="22"/>
          <w:szCs w:val="22"/>
          <w:rtl/>
        </w:rPr>
        <w:t>לבנת</w:t>
      </w:r>
      <w:r>
        <w:rPr>
          <w:rFonts w:hint="cs"/>
          <w:sz w:val="22"/>
          <w:szCs w:val="22"/>
          <w:rtl/>
        </w:rPr>
        <w:t>:</w:t>
      </w:r>
    </w:p>
    <w:p w:rsidR="005366A8" w:rsidRDefault="005366A8" w:rsidP="005366A8">
      <w:pPr>
        <w:spacing w:after="60"/>
        <w:ind w:left="1440" w:hanging="720"/>
        <w:rPr>
          <w:sz w:val="22"/>
          <w:szCs w:val="22"/>
          <w:rtl/>
        </w:rPr>
      </w:pPr>
      <w:r w:rsidRPr="004E09A3">
        <w:rPr>
          <w:rFonts w:hint="cs"/>
          <w:sz w:val="22"/>
          <w:szCs w:val="22"/>
          <w:highlight w:val="yellow"/>
          <w:rtl/>
        </w:rPr>
        <w:t>התערבות שיפוטית (משמע, חציית מעטה החסינות של "אי-שפיטות") תהא רק באותן החלטות של הכנסת שיש בהן</w:t>
      </w:r>
      <w:r w:rsidRPr="004E09A3">
        <w:rPr>
          <w:rFonts w:hint="cs"/>
          <w:b/>
          <w:bCs/>
          <w:sz w:val="22"/>
          <w:szCs w:val="22"/>
          <w:highlight w:val="yellow"/>
          <w:rtl/>
        </w:rPr>
        <w:t xml:space="preserve"> "</w:t>
      </w:r>
      <w:r w:rsidRPr="004E09A3">
        <w:rPr>
          <w:b/>
          <w:bCs/>
          <w:sz w:val="22"/>
          <w:szCs w:val="22"/>
          <w:highlight w:val="yellow"/>
          <w:rtl/>
        </w:rPr>
        <w:t>פגיעה ממשית במירקם החיים הפרלמנטריים וביסודות המבנה של המשטר החוקתי</w:t>
      </w:r>
      <w:r w:rsidRPr="004E09A3">
        <w:rPr>
          <w:rFonts w:hint="cs"/>
          <w:b/>
          <w:bCs/>
          <w:sz w:val="22"/>
          <w:szCs w:val="22"/>
          <w:highlight w:val="yellow"/>
          <w:rtl/>
        </w:rPr>
        <w:t>"</w:t>
      </w:r>
    </w:p>
    <w:p w:rsidR="005366A8" w:rsidRPr="00956056" w:rsidRDefault="005366A8" w:rsidP="005366A8">
      <w:pPr>
        <w:ind w:left="720"/>
        <w:rPr>
          <w:i/>
          <w:iCs/>
          <w:sz w:val="22"/>
          <w:szCs w:val="22"/>
          <w:rtl/>
        </w:rPr>
      </w:pPr>
      <w:r w:rsidRPr="00956056">
        <w:rPr>
          <w:rFonts w:hint="cs"/>
          <w:i/>
          <w:iCs/>
          <w:sz w:val="22"/>
          <w:szCs w:val="22"/>
          <w:rtl/>
        </w:rPr>
        <w:t xml:space="preserve">מה הרציונאליים </w:t>
      </w:r>
      <w:r>
        <w:rPr>
          <w:rFonts w:hint="cs"/>
          <w:i/>
          <w:iCs/>
          <w:sz w:val="22"/>
          <w:szCs w:val="22"/>
          <w:rtl/>
        </w:rPr>
        <w:t>להתערבות הזהירה ממש</w:t>
      </w:r>
      <w:r w:rsidRPr="00956056">
        <w:rPr>
          <w:rFonts w:hint="cs"/>
          <w:i/>
          <w:iCs/>
          <w:sz w:val="22"/>
          <w:szCs w:val="22"/>
          <w:rtl/>
        </w:rPr>
        <w:t>?</w:t>
      </w:r>
    </w:p>
    <w:p w:rsidR="005366A8" w:rsidRDefault="005366A8" w:rsidP="005366A8">
      <w:pPr>
        <w:ind w:left="1440"/>
        <w:rPr>
          <w:sz w:val="22"/>
          <w:szCs w:val="22"/>
          <w:rtl/>
        </w:rPr>
      </w:pPr>
      <w:r>
        <w:rPr>
          <w:rFonts w:hint="cs"/>
          <w:sz w:val="22"/>
          <w:szCs w:val="22"/>
          <w:rtl/>
        </w:rPr>
        <w:t xml:space="preserve">מעמדה של הכנסת </w:t>
      </w:r>
      <w:r>
        <w:rPr>
          <w:sz w:val="22"/>
          <w:szCs w:val="22"/>
          <w:rtl/>
        </w:rPr>
        <w:t>–</w:t>
      </w:r>
      <w:r>
        <w:rPr>
          <w:rFonts w:hint="cs"/>
          <w:sz w:val="22"/>
          <w:szCs w:val="22"/>
          <w:rtl/>
        </w:rPr>
        <w:t xml:space="preserve"> מעמדו המיוחד של הפרלמנט בדמוקרטיה;</w:t>
      </w:r>
    </w:p>
    <w:p w:rsidR="005366A8" w:rsidRDefault="005366A8" w:rsidP="005366A8">
      <w:pPr>
        <w:ind w:left="1440"/>
        <w:rPr>
          <w:sz w:val="22"/>
          <w:szCs w:val="22"/>
          <w:rtl/>
        </w:rPr>
      </w:pPr>
      <w:r>
        <w:rPr>
          <w:rFonts w:hint="cs"/>
          <w:sz w:val="22"/>
          <w:szCs w:val="22"/>
          <w:rtl/>
        </w:rPr>
        <w:t>יכולת התיקון/ הבקרה העצמית של הכנסת;</w:t>
      </w:r>
    </w:p>
    <w:p w:rsidR="005366A8" w:rsidRDefault="005366A8" w:rsidP="005366A8">
      <w:pPr>
        <w:ind w:left="1440"/>
        <w:rPr>
          <w:sz w:val="22"/>
          <w:szCs w:val="22"/>
          <w:rtl/>
        </w:rPr>
      </w:pPr>
      <w:r>
        <w:rPr>
          <w:rFonts w:hint="cs"/>
          <w:sz w:val="22"/>
          <w:szCs w:val="22"/>
          <w:rtl/>
        </w:rPr>
        <w:t>"אופי הביניים" של חלק מההחלטות המתקבלות בהליכים הפנים-פרלמנטריים;</w:t>
      </w:r>
    </w:p>
    <w:p w:rsidR="005366A8" w:rsidRDefault="005366A8" w:rsidP="005366A8">
      <w:pPr>
        <w:spacing w:after="60"/>
        <w:ind w:left="1440"/>
        <w:rPr>
          <w:sz w:val="22"/>
          <w:szCs w:val="22"/>
          <w:rtl/>
        </w:rPr>
      </w:pPr>
      <w:r>
        <w:rPr>
          <w:rFonts w:hint="cs"/>
          <w:sz w:val="22"/>
          <w:szCs w:val="22"/>
          <w:rtl/>
        </w:rPr>
        <w:t>ובית המשפט מוסיף גם את הנקודות גלויות-הלב הבאות:</w:t>
      </w:r>
    </w:p>
    <w:p w:rsidR="005366A8" w:rsidRDefault="005366A8" w:rsidP="005366A8">
      <w:pPr>
        <w:spacing w:after="60"/>
        <w:ind w:left="2160"/>
        <w:rPr>
          <w:rFonts w:cs="FrankRuehl"/>
          <w:sz w:val="22"/>
          <w:szCs w:val="22"/>
          <w:rtl/>
        </w:rPr>
      </w:pPr>
      <w:r w:rsidRPr="00A32893">
        <w:rPr>
          <w:rFonts w:cs="FrankRuehl"/>
          <w:sz w:val="22"/>
          <w:szCs w:val="22"/>
          <w:rtl/>
        </w:rPr>
        <w:t>רצון טבעי הוא של הרשות השופטת לאפשר לבית הנבחרים של המדינה לנהל את ענייניו הפנימיים בלא התערבות שיפוטית, וזאת הן בשל חוסר הרצון לשפוט את הפוליטיקה והן בשל חוסר הרצון לפוליטיזציה של השפיטה</w:t>
      </w:r>
      <w:r>
        <w:rPr>
          <w:rFonts w:cs="FrankRuehl" w:hint="cs"/>
          <w:sz w:val="22"/>
          <w:szCs w:val="22"/>
          <w:rtl/>
        </w:rPr>
        <w:t xml:space="preserve">. </w:t>
      </w:r>
    </w:p>
    <w:p w:rsidR="005366A8" w:rsidRDefault="005366A8" w:rsidP="005366A8">
      <w:pPr>
        <w:spacing w:after="60"/>
        <w:ind w:left="2880"/>
        <w:rPr>
          <w:rFonts w:cs="FrankRuehl"/>
          <w:sz w:val="22"/>
          <w:szCs w:val="22"/>
          <w:rtl/>
        </w:rPr>
      </w:pPr>
      <w:r>
        <w:rPr>
          <w:rFonts w:cs="FrankRuehl" w:hint="cs"/>
          <w:sz w:val="22"/>
          <w:szCs w:val="22"/>
          <w:rtl/>
        </w:rPr>
        <w:t>[</w:t>
      </w:r>
      <w:r w:rsidRPr="00A32893">
        <w:rPr>
          <w:rFonts w:cs="FrankRuehl"/>
          <w:sz w:val="22"/>
          <w:szCs w:val="22"/>
          <w:rtl/>
        </w:rPr>
        <w:t xml:space="preserve">בג"צ 73/85 </w:t>
      </w:r>
      <w:r w:rsidRPr="00A32893">
        <w:rPr>
          <w:rFonts w:cs="FrankRuehl"/>
          <w:b/>
          <w:bCs/>
          <w:sz w:val="22"/>
          <w:szCs w:val="22"/>
          <w:rtl/>
        </w:rPr>
        <w:t xml:space="preserve">סיעת כך נ' יושב-ראש הכנסת, </w:t>
      </w:r>
      <w:r w:rsidRPr="00A32893">
        <w:rPr>
          <w:rFonts w:cs="FrankRuehl"/>
          <w:sz w:val="22"/>
          <w:szCs w:val="22"/>
          <w:rtl/>
        </w:rPr>
        <w:t>פ"ד לט(3) 141, בעמ' 157</w:t>
      </w:r>
      <w:r>
        <w:rPr>
          <w:rFonts w:cs="FrankRuehl" w:hint="cs"/>
          <w:sz w:val="22"/>
          <w:szCs w:val="22"/>
          <w:rtl/>
        </w:rPr>
        <w:t>]</w:t>
      </w:r>
    </w:p>
    <w:p w:rsidR="005366A8" w:rsidRDefault="005366A8" w:rsidP="005366A8">
      <w:pPr>
        <w:spacing w:after="60"/>
        <w:ind w:left="2160"/>
        <w:rPr>
          <w:rFonts w:cs="FrankRuehl"/>
          <w:sz w:val="22"/>
          <w:szCs w:val="22"/>
          <w:rtl/>
        </w:rPr>
      </w:pPr>
      <w:r w:rsidRPr="00A32893">
        <w:rPr>
          <w:rFonts w:cs="FrankRuehl"/>
          <w:sz w:val="22"/>
          <w:szCs w:val="22"/>
          <w:rtl/>
        </w:rPr>
        <w:t>חוסר רצונו של בית המשפט להיות צד למחלוקות פוליטיות המפלגות את הציבור; ההכרה במורכבות פעולתו של גוף פוליטי נבחר וחוסר הנכונות לכפות עליו אמות מידה נוקשות מקום שאין הכרח לעשות כן מבחינת חוקיו-הוא.</w:t>
      </w:r>
      <w:r>
        <w:rPr>
          <w:rFonts w:cs="FrankRuehl" w:hint="cs"/>
          <w:sz w:val="22"/>
          <w:szCs w:val="22"/>
          <w:rtl/>
        </w:rPr>
        <w:t xml:space="preserve"> </w:t>
      </w:r>
    </w:p>
    <w:p w:rsidR="005366A8" w:rsidRPr="00A32893" w:rsidRDefault="005366A8" w:rsidP="005366A8">
      <w:pPr>
        <w:ind w:left="2880"/>
        <w:rPr>
          <w:rFonts w:cs="FrankRuehl"/>
          <w:sz w:val="22"/>
          <w:szCs w:val="22"/>
          <w:rtl/>
        </w:rPr>
      </w:pPr>
      <w:r>
        <w:rPr>
          <w:rFonts w:cs="FrankRuehl" w:hint="cs"/>
          <w:sz w:val="22"/>
          <w:szCs w:val="22"/>
          <w:rtl/>
        </w:rPr>
        <w:t>[</w:t>
      </w:r>
      <w:r w:rsidRPr="00A32893">
        <w:rPr>
          <w:rFonts w:cs="FrankRuehl"/>
          <w:sz w:val="22"/>
          <w:szCs w:val="22"/>
          <w:rtl/>
        </w:rPr>
        <w:t xml:space="preserve">בג"צ 620/85 </w:t>
      </w:r>
      <w:r w:rsidRPr="00A32893">
        <w:rPr>
          <w:rFonts w:cs="FrankRuehl"/>
          <w:b/>
          <w:bCs/>
          <w:sz w:val="22"/>
          <w:szCs w:val="22"/>
          <w:rtl/>
        </w:rPr>
        <w:t>מיעארי נ' יושב ראש הכנסת</w:t>
      </w:r>
      <w:r w:rsidRPr="00A32893">
        <w:rPr>
          <w:rFonts w:cs="FrankRuehl"/>
          <w:sz w:val="22"/>
          <w:szCs w:val="22"/>
          <w:rtl/>
        </w:rPr>
        <w:t>, פ"ד מא(4) 169</w:t>
      </w:r>
      <w:r>
        <w:rPr>
          <w:rFonts w:cs="FrankRuehl" w:hint="cs"/>
          <w:sz w:val="22"/>
          <w:szCs w:val="22"/>
          <w:rtl/>
        </w:rPr>
        <w:t>, 196]</w:t>
      </w:r>
    </w:p>
    <w:p w:rsidR="005366A8" w:rsidRPr="00D35800" w:rsidRDefault="005366A8" w:rsidP="005366A8">
      <w:pPr>
        <w:ind w:left="1440"/>
        <w:rPr>
          <w:sz w:val="22"/>
          <w:szCs w:val="22"/>
          <w:rtl/>
        </w:rPr>
      </w:pPr>
    </w:p>
    <w:p w:rsidR="005366A8" w:rsidRDefault="005366A8" w:rsidP="005366A8">
      <w:pPr>
        <w:rPr>
          <w:sz w:val="22"/>
          <w:szCs w:val="22"/>
          <w:rtl/>
        </w:rPr>
      </w:pPr>
      <w:r>
        <w:rPr>
          <w:rFonts w:hint="cs"/>
          <w:sz w:val="22"/>
          <w:szCs w:val="22"/>
          <w:rtl/>
        </w:rPr>
        <w:t xml:space="preserve">בית המשפט מצא לעיתים את אותה "פגיעה ממשית במרקם החיים הפרלמנטריים" או "ביסודות המבנה של המשטר החוקתי" </w:t>
      </w:r>
      <w:r>
        <w:rPr>
          <w:sz w:val="22"/>
          <w:szCs w:val="22"/>
          <w:rtl/>
        </w:rPr>
        <w:t>–</w:t>
      </w:r>
      <w:r>
        <w:rPr>
          <w:rFonts w:hint="cs"/>
          <w:sz w:val="22"/>
          <w:szCs w:val="22"/>
          <w:rtl/>
        </w:rPr>
        <w:t xml:space="preserve"> </w:t>
      </w:r>
    </w:p>
    <w:p w:rsidR="005366A8" w:rsidRDefault="005366A8" w:rsidP="005366A8">
      <w:pPr>
        <w:rPr>
          <w:sz w:val="22"/>
          <w:szCs w:val="22"/>
          <w:rtl/>
        </w:rPr>
      </w:pPr>
      <w:r>
        <w:rPr>
          <w:rFonts w:hint="cs"/>
          <w:sz w:val="22"/>
          <w:szCs w:val="22"/>
          <w:rtl/>
        </w:rPr>
        <w:t>ראו אותם מצבים ש</w:t>
      </w:r>
      <w:r w:rsidRPr="00D35800">
        <w:rPr>
          <w:sz w:val="22"/>
          <w:szCs w:val="22"/>
          <w:rtl/>
        </w:rPr>
        <w:t xml:space="preserve">פגשנו </w:t>
      </w:r>
      <w:r>
        <w:rPr>
          <w:rFonts w:hint="cs"/>
          <w:sz w:val="22"/>
          <w:szCs w:val="22"/>
          <w:rtl/>
        </w:rPr>
        <w:t xml:space="preserve">לעיל, </w:t>
      </w:r>
      <w:r w:rsidRPr="004E09A3">
        <w:rPr>
          <w:rFonts w:hint="cs"/>
          <w:sz w:val="22"/>
          <w:szCs w:val="22"/>
          <w:highlight w:val="yellow"/>
          <w:rtl/>
        </w:rPr>
        <w:t>ו</w:t>
      </w:r>
      <w:r w:rsidRPr="004E09A3">
        <w:rPr>
          <w:sz w:val="22"/>
          <w:szCs w:val="22"/>
          <w:highlight w:val="yellow"/>
          <w:rtl/>
        </w:rPr>
        <w:t>הם משני סוגים</w:t>
      </w:r>
      <w:r w:rsidRPr="00D35800">
        <w:rPr>
          <w:sz w:val="22"/>
          <w:szCs w:val="22"/>
          <w:rtl/>
        </w:rPr>
        <w:t>:</w:t>
      </w:r>
    </w:p>
    <w:p w:rsidR="005366A8" w:rsidRPr="00D35800" w:rsidRDefault="005366A8" w:rsidP="005366A8">
      <w:pPr>
        <w:rPr>
          <w:sz w:val="22"/>
          <w:szCs w:val="22"/>
          <w:rtl/>
        </w:rPr>
      </w:pPr>
    </w:p>
    <w:p w:rsidR="005366A8" w:rsidRPr="00956056" w:rsidRDefault="005366A8" w:rsidP="005366A8">
      <w:pPr>
        <w:spacing w:after="60"/>
        <w:ind w:left="720"/>
        <w:rPr>
          <w:b/>
          <w:bCs/>
          <w:sz w:val="22"/>
          <w:szCs w:val="22"/>
          <w:rtl/>
        </w:rPr>
      </w:pPr>
      <w:r w:rsidRPr="00956056">
        <w:rPr>
          <w:b/>
          <w:bCs/>
          <w:sz w:val="22"/>
          <w:szCs w:val="22"/>
          <w:highlight w:val="yellow"/>
          <w:rtl/>
        </w:rPr>
        <w:t xml:space="preserve">א. </w:t>
      </w:r>
      <w:r w:rsidRPr="00956056">
        <w:rPr>
          <w:b/>
          <w:bCs/>
          <w:i/>
          <w:iCs/>
          <w:sz w:val="22"/>
          <w:szCs w:val="22"/>
          <w:highlight w:val="yellow"/>
          <w:rtl/>
        </w:rPr>
        <w:t>הגנה על המיעוט בכנסת מפני עריצות הרוב</w:t>
      </w:r>
      <w:r w:rsidRPr="00956056">
        <w:rPr>
          <w:b/>
          <w:bCs/>
          <w:sz w:val="22"/>
          <w:szCs w:val="22"/>
          <w:highlight w:val="yellow"/>
          <w:rtl/>
        </w:rPr>
        <w:t>:</w:t>
      </w:r>
      <w:r w:rsidRPr="00956056">
        <w:rPr>
          <w:b/>
          <w:bCs/>
          <w:sz w:val="22"/>
          <w:szCs w:val="22"/>
          <w:rtl/>
        </w:rPr>
        <w:t xml:space="preserve"> </w:t>
      </w:r>
    </w:p>
    <w:p w:rsidR="005366A8" w:rsidRPr="00D35800" w:rsidRDefault="005366A8" w:rsidP="005366A8">
      <w:pPr>
        <w:spacing w:after="60"/>
        <w:ind w:left="1440"/>
        <w:rPr>
          <w:sz w:val="22"/>
          <w:szCs w:val="22"/>
          <w:rtl/>
        </w:rPr>
      </w:pPr>
      <w:r>
        <w:rPr>
          <w:rFonts w:hint="cs"/>
          <w:b/>
          <w:bCs/>
          <w:sz w:val="22"/>
          <w:szCs w:val="22"/>
          <w:rtl/>
        </w:rPr>
        <w:t xml:space="preserve">1. </w:t>
      </w:r>
      <w:r w:rsidRPr="00D35800">
        <w:rPr>
          <w:b/>
          <w:bCs/>
          <w:sz w:val="22"/>
          <w:szCs w:val="22"/>
          <w:rtl/>
        </w:rPr>
        <w:t>כהנא</w:t>
      </w:r>
      <w:r w:rsidRPr="00D35800">
        <w:rPr>
          <w:sz w:val="22"/>
          <w:szCs w:val="22"/>
          <w:rtl/>
        </w:rPr>
        <w:t xml:space="preserve"> (פסה"ד הראשון</w:t>
      </w:r>
      <w:r>
        <w:rPr>
          <w:rFonts w:hint="cs"/>
          <w:sz w:val="22"/>
          <w:szCs w:val="22"/>
          <w:rtl/>
        </w:rPr>
        <w:t xml:space="preserve"> </w:t>
      </w:r>
      <w:r>
        <w:rPr>
          <w:sz w:val="22"/>
          <w:szCs w:val="22"/>
          <w:rtl/>
        </w:rPr>
        <w:t>–</w:t>
      </w:r>
      <w:r>
        <w:rPr>
          <w:rFonts w:hint="cs"/>
          <w:sz w:val="22"/>
          <w:szCs w:val="22"/>
          <w:rtl/>
        </w:rPr>
        <w:t xml:space="preserve"> חסימת הצעות החוק</w:t>
      </w:r>
      <w:r w:rsidRPr="00D35800">
        <w:rPr>
          <w:sz w:val="22"/>
          <w:szCs w:val="22"/>
          <w:rtl/>
        </w:rPr>
        <w:t>)</w:t>
      </w:r>
    </w:p>
    <w:p w:rsidR="005366A8" w:rsidRDefault="005366A8" w:rsidP="005366A8">
      <w:pPr>
        <w:ind w:left="1440"/>
        <w:rPr>
          <w:sz w:val="22"/>
          <w:szCs w:val="22"/>
          <w:rtl/>
        </w:rPr>
      </w:pPr>
      <w:r>
        <w:rPr>
          <w:rFonts w:hint="cs"/>
          <w:sz w:val="22"/>
          <w:szCs w:val="22"/>
          <w:rtl/>
        </w:rPr>
        <w:t xml:space="preserve">ודוגמא נוספת, </w:t>
      </w:r>
      <w:r w:rsidRPr="003F0D7C">
        <w:rPr>
          <w:sz w:val="22"/>
          <w:szCs w:val="22"/>
          <w:rtl/>
        </w:rPr>
        <w:t>בג"צ 73/85</w:t>
      </w:r>
      <w:r w:rsidRPr="003F0D7C">
        <w:rPr>
          <w:b/>
          <w:bCs/>
          <w:sz w:val="22"/>
          <w:szCs w:val="22"/>
          <w:rtl/>
        </w:rPr>
        <w:t xml:space="preserve"> סיעת כך נ' יושב-ראש הכנסת, </w:t>
      </w:r>
      <w:r w:rsidRPr="003F0D7C">
        <w:rPr>
          <w:sz w:val="22"/>
          <w:szCs w:val="22"/>
          <w:rtl/>
        </w:rPr>
        <w:t>פ"ד לט(3) 141</w:t>
      </w:r>
      <w:r w:rsidRPr="003F0D7C">
        <w:rPr>
          <w:rFonts w:hint="cs"/>
          <w:b/>
          <w:bCs/>
          <w:sz w:val="22"/>
          <w:szCs w:val="22"/>
          <w:rtl/>
        </w:rPr>
        <w:t xml:space="preserve"> </w:t>
      </w:r>
      <w:r>
        <w:rPr>
          <w:rFonts w:hint="cs"/>
          <w:sz w:val="22"/>
          <w:szCs w:val="22"/>
          <w:rtl/>
        </w:rPr>
        <w:t>(סיעת היחיד של כהנא, לאחר בחירות 1984)</w:t>
      </w:r>
    </w:p>
    <w:p w:rsidR="005366A8" w:rsidRDefault="005366A8" w:rsidP="005366A8">
      <w:pPr>
        <w:ind w:left="2160"/>
        <w:rPr>
          <w:sz w:val="22"/>
          <w:szCs w:val="22"/>
          <w:rtl/>
        </w:rPr>
      </w:pPr>
      <w:r>
        <w:rPr>
          <w:rFonts w:hint="cs"/>
          <w:sz w:val="22"/>
          <w:szCs w:val="22"/>
          <w:rtl/>
        </w:rPr>
        <w:t>שם</w:t>
      </w:r>
      <w:r w:rsidRPr="003F0D7C">
        <w:rPr>
          <w:sz w:val="22"/>
          <w:szCs w:val="22"/>
          <w:rtl/>
        </w:rPr>
        <w:t xml:space="preserve"> נפסק כי שלילת זכותה של "סיעת יחיד" (סיעה ובה חבר-כנסת אחד) להציע הצעת אי אמון בממשלה מהווה פגיעה מהותית </w:t>
      </w:r>
      <w:r>
        <w:rPr>
          <w:rFonts w:hint="cs"/>
          <w:sz w:val="22"/>
          <w:szCs w:val="22"/>
          <w:rtl/>
        </w:rPr>
        <w:t>במירקם החיים הפרלמנטריים</w:t>
      </w:r>
      <w:r w:rsidRPr="003F0D7C">
        <w:rPr>
          <w:rFonts w:hint="cs"/>
          <w:sz w:val="22"/>
          <w:szCs w:val="22"/>
          <w:rtl/>
        </w:rPr>
        <w:t>.</w:t>
      </w:r>
      <w:r w:rsidRPr="003F0D7C">
        <w:rPr>
          <w:sz w:val="22"/>
          <w:szCs w:val="22"/>
          <w:rtl/>
        </w:rPr>
        <w:t xml:space="preserve"> לפיכך, ולאור קביעתו של בית המשפט כי יש לפרש את המונח "סיעה" בסעיף 36 לתקנון הכנסת (שם נקבע כי לכל "סיעה" זכות להגיש הצעת אי אמון בממשלה) ככולל גם "סיעת יחיד", בוטלה החלטת יושב ראש הכנסת בעניין</w:t>
      </w:r>
      <w:r w:rsidRPr="003F0D7C">
        <w:rPr>
          <w:rFonts w:hint="cs"/>
          <w:sz w:val="22"/>
          <w:szCs w:val="22"/>
          <w:rtl/>
        </w:rPr>
        <w:t>.</w:t>
      </w:r>
    </w:p>
    <w:p w:rsidR="005366A8" w:rsidRDefault="005366A8" w:rsidP="005366A8">
      <w:pPr>
        <w:ind w:left="2880"/>
        <w:rPr>
          <w:rFonts w:cs="FrankRuehl"/>
          <w:sz w:val="22"/>
          <w:szCs w:val="22"/>
          <w:rtl/>
        </w:rPr>
      </w:pPr>
      <w:r w:rsidRPr="003F0D7C">
        <w:rPr>
          <w:rFonts w:cs="FrankRuehl"/>
          <w:sz w:val="22"/>
          <w:szCs w:val="22"/>
          <w:rtl/>
        </w:rPr>
        <w:t>שלילת כוחה של סיעה פרלמנטארית ליזום מהלך מכריע זה [של הצעת אי אמון בממשלה] פוגעת</w:t>
      </w:r>
      <w:r w:rsidRPr="003F0D7C">
        <w:rPr>
          <w:rFonts w:cs="FrankRuehl" w:hint="cs"/>
          <w:sz w:val="22"/>
          <w:szCs w:val="22"/>
          <w:rtl/>
        </w:rPr>
        <w:t>...</w:t>
      </w:r>
      <w:r w:rsidRPr="003F0D7C">
        <w:rPr>
          <w:rFonts w:cs="FrankRuehl"/>
          <w:sz w:val="22"/>
          <w:szCs w:val="22"/>
          <w:rtl/>
        </w:rPr>
        <w:t xml:space="preserve"> באמצעי הפרלמנטרי החריף ביותר, שעומד לרשותה של סיעה אופוזיציונית, </w:t>
      </w:r>
      <w:r w:rsidRPr="003F0D7C">
        <w:rPr>
          <w:rFonts w:cs="FrankRuehl" w:hint="cs"/>
          <w:sz w:val="22"/>
          <w:szCs w:val="22"/>
          <w:rtl/>
        </w:rPr>
        <w:t xml:space="preserve">... </w:t>
      </w:r>
      <w:r w:rsidRPr="003F0D7C">
        <w:rPr>
          <w:rFonts w:cs="FrankRuehl"/>
          <w:sz w:val="22"/>
          <w:szCs w:val="22"/>
          <w:rtl/>
        </w:rPr>
        <w:t>וביקורת ובפיקוח של הרשות המחוקקת כולה על הרשות המבצעת.</w:t>
      </w:r>
    </w:p>
    <w:p w:rsidR="005366A8" w:rsidRPr="003F0D7C" w:rsidRDefault="005366A8" w:rsidP="005366A8">
      <w:pPr>
        <w:ind w:left="2880"/>
        <w:rPr>
          <w:rFonts w:cs="FrankRuehl"/>
          <w:sz w:val="22"/>
          <w:szCs w:val="22"/>
          <w:rtl/>
        </w:rPr>
      </w:pPr>
    </w:p>
    <w:p w:rsidR="005366A8" w:rsidRPr="00956056" w:rsidRDefault="005366A8" w:rsidP="005366A8">
      <w:pPr>
        <w:ind w:left="1440" w:hanging="720"/>
        <w:rPr>
          <w:b/>
          <w:bCs/>
          <w:sz w:val="22"/>
          <w:szCs w:val="22"/>
          <w:rtl/>
        </w:rPr>
      </w:pPr>
      <w:r w:rsidRPr="00956056">
        <w:rPr>
          <w:b/>
          <w:bCs/>
          <w:sz w:val="22"/>
          <w:szCs w:val="22"/>
          <w:highlight w:val="yellow"/>
          <w:rtl/>
        </w:rPr>
        <w:t xml:space="preserve">ב. </w:t>
      </w:r>
      <w:r w:rsidRPr="00956056">
        <w:rPr>
          <w:b/>
          <w:bCs/>
          <w:i/>
          <w:iCs/>
          <w:sz w:val="22"/>
          <w:szCs w:val="22"/>
          <w:highlight w:val="yellow"/>
          <w:rtl/>
        </w:rPr>
        <w:t>סיטואציה של "כנסת שמחוקקת לעצמה"</w:t>
      </w:r>
      <w:r>
        <w:rPr>
          <w:rFonts w:hint="cs"/>
          <w:b/>
          <w:bCs/>
          <w:i/>
          <w:iCs/>
          <w:sz w:val="22"/>
          <w:szCs w:val="22"/>
          <w:highlight w:val="yellow"/>
          <w:rtl/>
        </w:rPr>
        <w:t xml:space="preserve"> - ניצול לרעה ממשי של כוחה כדי להטיב עם חבריה</w:t>
      </w:r>
      <w:r w:rsidRPr="00956056">
        <w:rPr>
          <w:rFonts w:hint="cs"/>
          <w:b/>
          <w:bCs/>
          <w:i/>
          <w:iCs/>
          <w:sz w:val="22"/>
          <w:szCs w:val="22"/>
          <w:highlight w:val="yellow"/>
          <w:rtl/>
        </w:rPr>
        <w:t>:</w:t>
      </w:r>
      <w:r w:rsidRPr="00956056">
        <w:rPr>
          <w:b/>
          <w:bCs/>
          <w:sz w:val="22"/>
          <w:szCs w:val="22"/>
          <w:rtl/>
        </w:rPr>
        <w:t xml:space="preserve"> </w:t>
      </w:r>
    </w:p>
    <w:p w:rsidR="005366A8" w:rsidRPr="00D35800" w:rsidRDefault="005366A8" w:rsidP="005366A8">
      <w:pPr>
        <w:ind w:left="2160" w:hanging="720"/>
        <w:rPr>
          <w:sz w:val="22"/>
          <w:szCs w:val="22"/>
          <w:rtl/>
        </w:rPr>
      </w:pPr>
      <w:r>
        <w:rPr>
          <w:rFonts w:hint="cs"/>
          <w:sz w:val="22"/>
          <w:szCs w:val="22"/>
          <w:rtl/>
        </w:rPr>
        <w:t xml:space="preserve">לעיל, </w:t>
      </w:r>
      <w:r w:rsidRPr="00D35800">
        <w:rPr>
          <w:sz w:val="22"/>
          <w:szCs w:val="22"/>
          <w:rtl/>
        </w:rPr>
        <w:t xml:space="preserve">בג"צ 971/99 </w:t>
      </w:r>
      <w:r w:rsidRPr="00D35800">
        <w:rPr>
          <w:b/>
          <w:bCs/>
          <w:sz w:val="22"/>
          <w:szCs w:val="22"/>
          <w:rtl/>
        </w:rPr>
        <w:t>התנועה למען איכות השלטון</w:t>
      </w:r>
      <w:r w:rsidRPr="00D35800">
        <w:rPr>
          <w:sz w:val="22"/>
          <w:szCs w:val="22"/>
          <w:rtl/>
        </w:rPr>
        <w:t xml:space="preserve"> </w:t>
      </w:r>
      <w:r w:rsidRPr="00D35800">
        <w:rPr>
          <w:b/>
          <w:bCs/>
          <w:sz w:val="22"/>
          <w:szCs w:val="22"/>
          <w:rtl/>
        </w:rPr>
        <w:t>נ' ועדת הכנסת</w:t>
      </w:r>
    </w:p>
    <w:p w:rsidR="005366A8" w:rsidRDefault="005366A8" w:rsidP="005366A8">
      <w:pPr>
        <w:rPr>
          <w:sz w:val="22"/>
          <w:szCs w:val="22"/>
          <w:rtl/>
        </w:rPr>
      </w:pPr>
    </w:p>
    <w:p w:rsidR="005366A8" w:rsidRDefault="005366A8" w:rsidP="005366A8">
      <w:pPr>
        <w:spacing w:after="120"/>
        <w:rPr>
          <w:rFonts w:ascii="Arial" w:hAnsi="Arial" w:cs="Arial"/>
          <w:sz w:val="22"/>
          <w:szCs w:val="22"/>
          <w:highlight w:val="yellow"/>
          <w:rtl/>
        </w:rPr>
      </w:pPr>
      <w:r>
        <w:rPr>
          <w:rFonts w:ascii="Arial" w:hAnsi="Arial" w:cs="Arial" w:hint="cs"/>
          <w:sz w:val="22"/>
          <w:szCs w:val="22"/>
          <w:highlight w:val="yellow"/>
          <w:rtl/>
        </w:rPr>
        <w:t>=-=</w:t>
      </w:r>
    </w:p>
    <w:p w:rsidR="005366A8" w:rsidRPr="003F66EA" w:rsidRDefault="005366A8" w:rsidP="005366A8">
      <w:pPr>
        <w:spacing w:after="240"/>
        <w:rPr>
          <w:rFonts w:ascii="Arial" w:hAnsi="Arial" w:cs="Arial"/>
          <w:sz w:val="20"/>
          <w:szCs w:val="20"/>
          <w:highlight w:val="yellow"/>
          <w:rtl/>
        </w:rPr>
      </w:pPr>
      <w:r w:rsidRPr="003F66EA">
        <w:rPr>
          <w:rFonts w:ascii="Arial" w:hAnsi="Arial" w:cs="Arial" w:hint="cs"/>
          <w:sz w:val="20"/>
          <w:szCs w:val="20"/>
          <w:highlight w:val="yellow"/>
          <w:rtl/>
        </w:rPr>
        <w:t xml:space="preserve">עוד נקודות המחברות אותנו לסוגיה </w:t>
      </w:r>
      <w:r>
        <w:rPr>
          <w:rFonts w:ascii="Arial" w:hAnsi="Arial" w:cs="Arial" w:hint="cs"/>
          <w:sz w:val="20"/>
          <w:szCs w:val="20"/>
          <w:highlight w:val="yellow"/>
          <w:rtl/>
        </w:rPr>
        <w:t>נוספת</w:t>
      </w:r>
      <w:r w:rsidRPr="003F66EA">
        <w:rPr>
          <w:rFonts w:ascii="Arial" w:hAnsi="Arial" w:cs="Arial" w:hint="cs"/>
          <w:sz w:val="20"/>
          <w:szCs w:val="20"/>
          <w:highlight w:val="yellow"/>
          <w:rtl/>
        </w:rPr>
        <w:t>: מעמדם המשפטי של חברי הכנסת והיקף ההגנה עליהם</w:t>
      </w:r>
      <w:r>
        <w:rPr>
          <w:rFonts w:ascii="Arial" w:hAnsi="Arial" w:cs="Arial" w:hint="cs"/>
          <w:sz w:val="20"/>
          <w:szCs w:val="20"/>
          <w:highlight w:val="yellow"/>
          <w:rtl/>
        </w:rPr>
        <w:t>.</w:t>
      </w:r>
    </w:p>
    <w:p w:rsidR="005366A8" w:rsidRPr="003755D7" w:rsidRDefault="005366A8" w:rsidP="005366A8">
      <w:pPr>
        <w:tabs>
          <w:tab w:val="center" w:pos="5159"/>
        </w:tabs>
        <w:spacing w:after="120"/>
        <w:jc w:val="center"/>
        <w:rPr>
          <w:rFonts w:ascii="Arial" w:hAnsi="Arial" w:cs="Guttman-Soncino"/>
          <w:b/>
          <w:bCs/>
          <w:u w:val="single"/>
          <w:rtl/>
        </w:rPr>
      </w:pPr>
      <w:r w:rsidRPr="003755D7">
        <w:rPr>
          <w:rFonts w:ascii="Arial" w:hAnsi="Arial" w:cs="Guttman-Soncino"/>
          <w:b/>
          <w:bCs/>
          <w:highlight w:val="yellow"/>
          <w:u w:val="single"/>
          <w:rtl/>
        </w:rPr>
        <w:t>דמוקרטיה</w:t>
      </w:r>
      <w:r w:rsidRPr="003755D7">
        <w:rPr>
          <w:rFonts w:ascii="Arial" w:hAnsi="Arial" w:cs="Guttman-Soncino" w:hint="cs"/>
          <w:b/>
          <w:bCs/>
          <w:highlight w:val="yellow"/>
          <w:u w:val="single"/>
          <w:rtl/>
        </w:rPr>
        <w:t xml:space="preserve"> פרלמנטרית: דמוקרטיה</w:t>
      </w:r>
      <w:r w:rsidRPr="003755D7">
        <w:rPr>
          <w:rFonts w:ascii="Arial" w:hAnsi="Arial" w:cs="Guttman-Soncino"/>
          <w:b/>
          <w:bCs/>
          <w:highlight w:val="yellow"/>
          <w:u w:val="single"/>
          <w:rtl/>
        </w:rPr>
        <w:t xml:space="preserve"> ייצוגית</w:t>
      </w:r>
    </w:p>
    <w:p w:rsidR="005366A8" w:rsidRDefault="005366A8" w:rsidP="005366A8">
      <w:pPr>
        <w:spacing w:after="60"/>
        <w:rPr>
          <w:b/>
          <w:bCs/>
          <w:sz w:val="20"/>
          <w:szCs w:val="20"/>
          <w:rtl/>
        </w:rPr>
      </w:pPr>
      <w:r>
        <w:rPr>
          <w:rFonts w:hint="cs"/>
          <w:b/>
          <w:bCs/>
          <w:sz w:val="20"/>
          <w:szCs w:val="20"/>
          <w:rtl/>
        </w:rPr>
        <w:t xml:space="preserve">הדמוקרטיה בנויה במידה של ממש על </w:t>
      </w:r>
      <w:r w:rsidRPr="00BD36C5">
        <w:rPr>
          <w:rFonts w:hint="cs"/>
          <w:b/>
          <w:bCs/>
          <w:sz w:val="20"/>
          <w:szCs w:val="20"/>
          <w:rtl/>
        </w:rPr>
        <w:t>מפלגות</w:t>
      </w:r>
      <w:r>
        <w:rPr>
          <w:rFonts w:hint="cs"/>
          <w:b/>
          <w:bCs/>
          <w:sz w:val="20"/>
          <w:szCs w:val="20"/>
          <w:rtl/>
        </w:rPr>
        <w:t>, שחלקן זוכות להקים</w:t>
      </w:r>
      <w:r w:rsidRPr="00BD36C5">
        <w:rPr>
          <w:rFonts w:hint="cs"/>
          <w:b/>
          <w:bCs/>
          <w:sz w:val="20"/>
          <w:szCs w:val="20"/>
          <w:rtl/>
        </w:rPr>
        <w:t xml:space="preserve"> סיעות</w:t>
      </w:r>
      <w:r>
        <w:rPr>
          <w:rFonts w:hint="cs"/>
          <w:b/>
          <w:bCs/>
          <w:sz w:val="20"/>
          <w:szCs w:val="20"/>
          <w:rtl/>
        </w:rPr>
        <w:t xml:space="preserve"> המשתתפות בכנסת, והיא בנויה במידה של ממש על חברי אותן סיעות, קרי, </w:t>
      </w:r>
      <w:r w:rsidRPr="00BD36C5">
        <w:rPr>
          <w:rFonts w:hint="cs"/>
          <w:b/>
          <w:bCs/>
          <w:sz w:val="20"/>
          <w:szCs w:val="20"/>
          <w:rtl/>
        </w:rPr>
        <w:t>חברי-כנסת</w:t>
      </w:r>
      <w:r>
        <w:rPr>
          <w:rFonts w:hint="cs"/>
          <w:b/>
          <w:bCs/>
          <w:sz w:val="20"/>
          <w:szCs w:val="20"/>
          <w:rtl/>
        </w:rPr>
        <w:t xml:space="preserve">. </w:t>
      </w:r>
    </w:p>
    <w:p w:rsidR="005366A8" w:rsidRPr="00BD36C5" w:rsidRDefault="005366A8" w:rsidP="005366A8">
      <w:pPr>
        <w:spacing w:after="60"/>
        <w:rPr>
          <w:b/>
          <w:bCs/>
          <w:sz w:val="20"/>
          <w:szCs w:val="20"/>
          <w:rtl/>
        </w:rPr>
      </w:pPr>
      <w:r>
        <w:rPr>
          <w:rFonts w:hint="cs"/>
          <w:b/>
          <w:bCs/>
          <w:sz w:val="20"/>
          <w:szCs w:val="20"/>
          <w:rtl/>
        </w:rPr>
        <w:t xml:space="preserve">הסיעות וחברי הכנסת פועלים </w:t>
      </w:r>
      <w:r w:rsidRPr="00BD36C5">
        <w:rPr>
          <w:rFonts w:hint="cs"/>
          <w:b/>
          <w:bCs/>
          <w:sz w:val="20"/>
          <w:szCs w:val="20"/>
          <w:rtl/>
        </w:rPr>
        <w:t>לקידומ</w:t>
      </w:r>
      <w:r>
        <w:rPr>
          <w:rFonts w:hint="cs"/>
          <w:b/>
          <w:bCs/>
          <w:sz w:val="20"/>
          <w:szCs w:val="20"/>
          <w:rtl/>
        </w:rPr>
        <w:t xml:space="preserve">ו של </w:t>
      </w:r>
      <w:r w:rsidRPr="00BD36C5">
        <w:rPr>
          <w:rFonts w:hint="cs"/>
          <w:b/>
          <w:bCs/>
          <w:sz w:val="20"/>
          <w:szCs w:val="20"/>
          <w:rtl/>
        </w:rPr>
        <w:t>סדר יום חברתי-פוליטי לחברה הישראלית</w:t>
      </w:r>
      <w:r>
        <w:rPr>
          <w:rFonts w:hint="cs"/>
          <w:b/>
          <w:bCs/>
          <w:sz w:val="20"/>
          <w:szCs w:val="20"/>
          <w:rtl/>
        </w:rPr>
        <w:t>, על פי התפיסה הערכית שאותה הם מייצגים.</w:t>
      </w:r>
    </w:p>
    <w:p w:rsidR="005366A8" w:rsidRPr="00BD36C5" w:rsidRDefault="005366A8" w:rsidP="005366A8">
      <w:pPr>
        <w:spacing w:after="60"/>
        <w:ind w:left="720"/>
        <w:rPr>
          <w:sz w:val="20"/>
          <w:szCs w:val="20"/>
          <w:rtl/>
        </w:rPr>
      </w:pPr>
      <w:r w:rsidRPr="00BD36C5">
        <w:rPr>
          <w:rFonts w:hint="cs"/>
          <w:sz w:val="20"/>
          <w:szCs w:val="20"/>
          <w:rtl/>
        </w:rPr>
        <w:t xml:space="preserve">זאת בעיקר באמצעות הפעילויות השונות בכנסת: כינון חוקה; חקיקה; </w:t>
      </w:r>
      <w:r>
        <w:rPr>
          <w:rFonts w:hint="cs"/>
          <w:sz w:val="20"/>
          <w:szCs w:val="20"/>
          <w:rtl/>
        </w:rPr>
        <w:t xml:space="preserve">תמיכה בממשלה כזו או אחרת, או התנגדות לה; </w:t>
      </w:r>
      <w:r w:rsidRPr="00BD36C5">
        <w:rPr>
          <w:rFonts w:hint="cs"/>
          <w:sz w:val="20"/>
          <w:szCs w:val="20"/>
          <w:rtl/>
        </w:rPr>
        <w:t xml:space="preserve">בקרה </w:t>
      </w:r>
      <w:r>
        <w:rPr>
          <w:rFonts w:hint="cs"/>
          <w:sz w:val="20"/>
          <w:szCs w:val="20"/>
          <w:rtl/>
        </w:rPr>
        <w:t xml:space="preserve">על הרשות המבצעת </w:t>
      </w:r>
      <w:r w:rsidRPr="00BD36C5">
        <w:rPr>
          <w:rFonts w:hint="cs"/>
          <w:sz w:val="20"/>
          <w:szCs w:val="20"/>
          <w:rtl/>
        </w:rPr>
        <w:t>והשתתפות בהכרעות שלטוניות: תקציב, ועדות הכנסת, וכדומה; דיוני הכנסת</w:t>
      </w:r>
      <w:r w:rsidRPr="00BD36C5">
        <w:rPr>
          <w:rFonts w:hint="cs"/>
          <w:sz w:val="20"/>
          <w:szCs w:val="20"/>
          <w:rtl/>
        </w:rPr>
        <w:tab/>
      </w:r>
    </w:p>
    <w:p w:rsidR="005366A8" w:rsidRPr="00BD36C5" w:rsidRDefault="005366A8" w:rsidP="005366A8">
      <w:pPr>
        <w:spacing w:after="60"/>
        <w:ind w:left="1440"/>
        <w:rPr>
          <w:sz w:val="20"/>
          <w:szCs w:val="20"/>
          <w:rtl/>
        </w:rPr>
      </w:pPr>
      <w:r w:rsidRPr="00BD36C5">
        <w:rPr>
          <w:rFonts w:hint="cs"/>
          <w:sz w:val="20"/>
          <w:szCs w:val="20"/>
          <w:rtl/>
        </w:rPr>
        <w:t>אך האם פעילותו של חבר הכנסת, כחבר כנסת, מתמצת בפעילות המתקיימת בתוך הכנסת?</w:t>
      </w:r>
    </w:p>
    <w:p w:rsidR="005366A8" w:rsidRPr="00BD36C5" w:rsidRDefault="005366A8" w:rsidP="005366A8">
      <w:pPr>
        <w:spacing w:after="60"/>
        <w:rPr>
          <w:sz w:val="20"/>
          <w:szCs w:val="20"/>
          <w:rtl/>
        </w:rPr>
      </w:pPr>
      <w:r w:rsidRPr="00BD36C5">
        <w:rPr>
          <w:rFonts w:hint="cs"/>
          <w:sz w:val="20"/>
          <w:szCs w:val="20"/>
          <w:rtl/>
        </w:rPr>
        <w:tab/>
      </w:r>
      <w:r>
        <w:rPr>
          <w:rFonts w:hint="cs"/>
          <w:sz w:val="20"/>
          <w:szCs w:val="20"/>
          <w:rtl/>
        </w:rPr>
        <w:t xml:space="preserve">התשובה לכך היא שלילית. יש לחברת הכנסת/ חבר הכנסת </w:t>
      </w:r>
      <w:r w:rsidRPr="00BD36C5">
        <w:rPr>
          <w:rFonts w:hint="cs"/>
          <w:sz w:val="20"/>
          <w:szCs w:val="20"/>
          <w:rtl/>
        </w:rPr>
        <w:t>פעילויות ביטוי</w:t>
      </w:r>
      <w:r>
        <w:rPr>
          <w:rFonts w:hint="cs"/>
          <w:sz w:val="20"/>
          <w:szCs w:val="20"/>
          <w:rtl/>
        </w:rPr>
        <w:t xml:space="preserve"> ומעשי התארגנות ופעולה אחרים:</w:t>
      </w:r>
    </w:p>
    <w:p w:rsidR="005366A8" w:rsidRPr="00BD36C5" w:rsidRDefault="005366A8" w:rsidP="005366A8">
      <w:pPr>
        <w:spacing w:after="60"/>
        <w:ind w:left="1440"/>
        <w:rPr>
          <w:sz w:val="20"/>
          <w:szCs w:val="20"/>
          <w:rtl/>
        </w:rPr>
      </w:pPr>
      <w:r>
        <w:rPr>
          <w:rFonts w:hint="cs"/>
          <w:sz w:val="20"/>
          <w:szCs w:val="20"/>
          <w:rtl/>
        </w:rPr>
        <w:t xml:space="preserve">למשל, </w:t>
      </w:r>
      <w:r w:rsidRPr="00BD36C5">
        <w:rPr>
          <w:rFonts w:hint="cs"/>
          <w:sz w:val="20"/>
          <w:szCs w:val="20"/>
          <w:rtl/>
        </w:rPr>
        <w:t>השתתפות בהפגנה, ונשיאת דברים בה;</w:t>
      </w:r>
      <w:r>
        <w:rPr>
          <w:rFonts w:hint="cs"/>
          <w:sz w:val="20"/>
          <w:szCs w:val="20"/>
          <w:rtl/>
        </w:rPr>
        <w:t xml:space="preserve"> </w:t>
      </w:r>
      <w:r w:rsidRPr="00BD36C5">
        <w:rPr>
          <w:rFonts w:hint="cs"/>
          <w:sz w:val="20"/>
          <w:szCs w:val="20"/>
          <w:rtl/>
        </w:rPr>
        <w:t xml:space="preserve">השתתפות בכנס ציבורי/ אקדמי; התראיינות </w:t>
      </w:r>
      <w:r>
        <w:rPr>
          <w:rFonts w:hint="cs"/>
          <w:sz w:val="20"/>
          <w:szCs w:val="20"/>
          <w:rtl/>
        </w:rPr>
        <w:t xml:space="preserve">וכתיבה </w:t>
      </w:r>
      <w:r w:rsidRPr="00BD36C5">
        <w:rPr>
          <w:rFonts w:hint="cs"/>
          <w:sz w:val="20"/>
          <w:szCs w:val="20"/>
          <w:rtl/>
        </w:rPr>
        <w:t>בכלי תקשורת</w:t>
      </w:r>
      <w:r>
        <w:rPr>
          <w:rFonts w:hint="cs"/>
          <w:sz w:val="20"/>
          <w:szCs w:val="20"/>
          <w:rtl/>
        </w:rPr>
        <w:t>;</w:t>
      </w:r>
    </w:p>
    <w:p w:rsidR="005366A8" w:rsidRPr="00BD36C5" w:rsidRDefault="005366A8" w:rsidP="005366A8">
      <w:pPr>
        <w:spacing w:after="60"/>
        <w:ind w:left="1440"/>
        <w:rPr>
          <w:sz w:val="20"/>
          <w:szCs w:val="20"/>
          <w:rtl/>
        </w:rPr>
      </w:pPr>
      <w:r w:rsidRPr="00BD36C5">
        <w:rPr>
          <w:rFonts w:hint="cs"/>
          <w:sz w:val="20"/>
          <w:szCs w:val="20"/>
          <w:rtl/>
        </w:rPr>
        <w:t xml:space="preserve">ייזום פעילויות שונות של העצמה </w:t>
      </w:r>
      <w:r w:rsidRPr="00BD36C5">
        <w:rPr>
          <w:sz w:val="20"/>
          <w:szCs w:val="20"/>
        </w:rPr>
        <w:t>empowerment</w:t>
      </w:r>
      <w:r w:rsidRPr="00BD36C5">
        <w:rPr>
          <w:rFonts w:hint="cs"/>
          <w:sz w:val="20"/>
          <w:szCs w:val="20"/>
          <w:rtl/>
        </w:rPr>
        <w:t xml:space="preserve"> בתוך קהילות חלשות. למשל, </w:t>
      </w:r>
      <w:r>
        <w:rPr>
          <w:rFonts w:hint="cs"/>
          <w:sz w:val="20"/>
          <w:szCs w:val="20"/>
          <w:rtl/>
        </w:rPr>
        <w:t>סיוע ל</w:t>
      </w:r>
      <w:r w:rsidRPr="00BD36C5">
        <w:rPr>
          <w:rFonts w:hint="cs"/>
          <w:sz w:val="20"/>
          <w:szCs w:val="20"/>
          <w:rtl/>
        </w:rPr>
        <w:t>עמותות</w:t>
      </w:r>
      <w:r>
        <w:rPr>
          <w:rFonts w:hint="cs"/>
          <w:sz w:val="20"/>
          <w:szCs w:val="20"/>
          <w:rtl/>
        </w:rPr>
        <w:t xml:space="preserve"> שונות, וכדומה.</w:t>
      </w:r>
    </w:p>
    <w:p w:rsidR="005366A8" w:rsidRPr="00BD36C5" w:rsidRDefault="005366A8" w:rsidP="005366A8">
      <w:pPr>
        <w:spacing w:after="60"/>
        <w:ind w:left="720"/>
        <w:rPr>
          <w:b/>
          <w:bCs/>
          <w:sz w:val="20"/>
          <w:szCs w:val="20"/>
          <w:rtl/>
        </w:rPr>
      </w:pPr>
      <w:r w:rsidRPr="00BD36C5">
        <w:rPr>
          <w:rFonts w:hint="cs"/>
          <w:b/>
          <w:bCs/>
          <w:sz w:val="20"/>
          <w:szCs w:val="20"/>
          <w:rtl/>
        </w:rPr>
        <w:t xml:space="preserve">אחד התפקידים החשובים </w:t>
      </w:r>
      <w:r w:rsidRPr="00BD36C5">
        <w:rPr>
          <w:b/>
          <w:bCs/>
          <w:sz w:val="20"/>
          <w:szCs w:val="20"/>
          <w:rtl/>
        </w:rPr>
        <w:t>–</w:t>
      </w:r>
      <w:r w:rsidRPr="00BD36C5">
        <w:rPr>
          <w:rFonts w:hint="cs"/>
          <w:b/>
          <w:bCs/>
          <w:sz w:val="20"/>
          <w:szCs w:val="20"/>
          <w:rtl/>
        </w:rPr>
        <w:t xml:space="preserve"> במיוחד של האופוזיציה </w:t>
      </w:r>
      <w:r w:rsidRPr="00BD36C5">
        <w:rPr>
          <w:b/>
          <w:bCs/>
          <w:sz w:val="20"/>
          <w:szCs w:val="20"/>
          <w:rtl/>
        </w:rPr>
        <w:t>–</w:t>
      </w:r>
      <w:r w:rsidRPr="00BD36C5">
        <w:rPr>
          <w:rFonts w:hint="cs"/>
          <w:b/>
          <w:bCs/>
          <w:sz w:val="20"/>
          <w:szCs w:val="20"/>
          <w:rtl/>
        </w:rPr>
        <w:t xml:space="preserve"> </w:t>
      </w:r>
      <w:r>
        <w:rPr>
          <w:rFonts w:hint="cs"/>
          <w:b/>
          <w:bCs/>
          <w:sz w:val="20"/>
          <w:szCs w:val="20"/>
          <w:rtl/>
        </w:rPr>
        <w:t xml:space="preserve">הוא </w:t>
      </w:r>
      <w:r w:rsidRPr="00BD36C5">
        <w:rPr>
          <w:rFonts w:hint="cs"/>
          <w:b/>
          <w:bCs/>
          <w:sz w:val="20"/>
          <w:szCs w:val="20"/>
          <w:rtl/>
        </w:rPr>
        <w:t>תפקיד הפיקוח על הרשות המבצעת</w:t>
      </w:r>
    </w:p>
    <w:p w:rsidR="005366A8" w:rsidRPr="00BD36C5" w:rsidRDefault="005366A8" w:rsidP="005366A8">
      <w:pPr>
        <w:spacing w:after="60"/>
        <w:ind w:left="1440"/>
        <w:rPr>
          <w:sz w:val="20"/>
          <w:szCs w:val="20"/>
          <w:rtl/>
        </w:rPr>
      </w:pPr>
      <w:r w:rsidRPr="00BD36C5">
        <w:rPr>
          <w:rFonts w:hint="cs"/>
          <w:sz w:val="20"/>
          <w:szCs w:val="20"/>
          <w:rtl/>
        </w:rPr>
        <w:t>דרישת מידע מהממשלה והעלאת נושאים לדיון ולביקורת</w:t>
      </w:r>
      <w:r>
        <w:rPr>
          <w:rFonts w:hint="cs"/>
          <w:sz w:val="20"/>
          <w:szCs w:val="20"/>
          <w:rtl/>
        </w:rPr>
        <w:t>:</w:t>
      </w:r>
    </w:p>
    <w:p w:rsidR="005366A8" w:rsidRPr="00BD36C5" w:rsidRDefault="005366A8" w:rsidP="005366A8">
      <w:pPr>
        <w:spacing w:after="60"/>
        <w:ind w:left="1440"/>
        <w:rPr>
          <w:sz w:val="20"/>
          <w:szCs w:val="20"/>
          <w:rtl/>
        </w:rPr>
      </w:pPr>
      <w:r w:rsidRPr="00BD36C5">
        <w:rPr>
          <w:rFonts w:hint="cs"/>
          <w:sz w:val="20"/>
          <w:szCs w:val="20"/>
          <w:rtl/>
        </w:rPr>
        <w:tab/>
        <w:t>שאילתות; ועדות חקירה פרלמנטריות; הצעות לסדר היום</w:t>
      </w:r>
      <w:r>
        <w:rPr>
          <w:rFonts w:hint="cs"/>
          <w:sz w:val="20"/>
          <w:szCs w:val="20"/>
          <w:rtl/>
        </w:rPr>
        <w:t>;</w:t>
      </w:r>
    </w:p>
    <w:p w:rsidR="005366A8" w:rsidRDefault="005366A8" w:rsidP="005366A8">
      <w:pPr>
        <w:spacing w:after="60"/>
        <w:ind w:left="1440"/>
        <w:rPr>
          <w:sz w:val="20"/>
          <w:szCs w:val="20"/>
          <w:rtl/>
        </w:rPr>
      </w:pPr>
      <w:r w:rsidRPr="00BD36C5">
        <w:rPr>
          <w:rFonts w:hint="cs"/>
          <w:sz w:val="20"/>
          <w:szCs w:val="20"/>
          <w:rtl/>
        </w:rPr>
        <w:t>השגת מידע ממקורות נוספים/ עצמאיים/ בלתי תלויים</w:t>
      </w:r>
      <w:r>
        <w:rPr>
          <w:rFonts w:hint="cs"/>
          <w:sz w:val="20"/>
          <w:szCs w:val="20"/>
          <w:rtl/>
        </w:rPr>
        <w:t>;</w:t>
      </w:r>
    </w:p>
    <w:p w:rsidR="005366A8" w:rsidRDefault="005366A8" w:rsidP="005366A8">
      <w:pPr>
        <w:spacing w:after="60"/>
        <w:ind w:left="1440"/>
        <w:rPr>
          <w:sz w:val="20"/>
          <w:szCs w:val="20"/>
          <w:rtl/>
        </w:rPr>
      </w:pPr>
      <w:r>
        <w:rPr>
          <w:rFonts w:hint="cs"/>
          <w:sz w:val="20"/>
          <w:szCs w:val="20"/>
          <w:rtl/>
        </w:rPr>
        <w:t>תפקיד "ראש האופזיציה" על פי חוק הכנסת, התשנ"ד-1994, והתפקידים המוקצים לו.</w:t>
      </w:r>
    </w:p>
    <w:p w:rsidR="005366A8" w:rsidRDefault="005366A8" w:rsidP="005366A8">
      <w:pPr>
        <w:ind w:left="720"/>
        <w:rPr>
          <w:sz w:val="20"/>
          <w:szCs w:val="20"/>
          <w:rtl/>
        </w:rPr>
      </w:pPr>
      <w:r>
        <w:rPr>
          <w:rFonts w:hint="cs"/>
          <w:sz w:val="20"/>
          <w:szCs w:val="20"/>
          <w:rtl/>
        </w:rPr>
        <w:t>תפקיד לאופוזיציה יש גם במישור הרשות השופטת: שניים מחברי הוועדה לבחירת שופטים הם מהכנסת; אחד מהם על פי הנוהג הוא מהאופוזיציה; כמו כן, נתונים לחברי כנסת תפקידי בקרה שהם פנים-כנסת: למשל, חברות בועדת הכנסת, בוועדת האתיקה של הכנסת ועוד.</w:t>
      </w:r>
    </w:p>
    <w:p w:rsidR="005366A8" w:rsidRDefault="005366A8" w:rsidP="005366A8">
      <w:pPr>
        <w:rPr>
          <w:sz w:val="20"/>
          <w:szCs w:val="20"/>
          <w:rtl/>
        </w:rPr>
      </w:pPr>
      <w:r>
        <w:rPr>
          <w:rFonts w:hint="cs"/>
          <w:sz w:val="20"/>
          <w:szCs w:val="20"/>
          <w:rtl/>
        </w:rPr>
        <w:t>=-=</w:t>
      </w:r>
    </w:p>
    <w:p w:rsidR="005366A8" w:rsidRPr="002E170A" w:rsidRDefault="005366A8" w:rsidP="005366A8">
      <w:pPr>
        <w:spacing w:after="120"/>
        <w:jc w:val="center"/>
        <w:rPr>
          <w:rFonts w:ascii="Arial" w:hAnsi="Arial" w:cs="Arial"/>
          <w:b/>
          <w:bCs/>
          <w:sz w:val="22"/>
          <w:szCs w:val="22"/>
          <w:rtl/>
        </w:rPr>
      </w:pPr>
      <w:r w:rsidRPr="005776EC">
        <w:rPr>
          <w:rFonts w:ascii="Arial" w:hAnsi="Arial" w:cs="Arial"/>
          <w:b/>
          <w:bCs/>
          <w:sz w:val="22"/>
          <w:szCs w:val="22"/>
          <w:highlight w:val="yellow"/>
          <w:rtl/>
        </w:rPr>
        <w:t>למי נתונה חובת הנאמנות של חבר-הכנסת?</w:t>
      </w:r>
    </w:p>
    <w:p w:rsidR="005366A8" w:rsidRDefault="005366A8" w:rsidP="005366A8">
      <w:pPr>
        <w:rPr>
          <w:sz w:val="20"/>
          <w:szCs w:val="20"/>
          <w:rtl/>
        </w:rPr>
      </w:pPr>
      <w:r w:rsidRPr="0067570C">
        <w:rPr>
          <w:rFonts w:hint="cs"/>
          <w:b/>
          <w:bCs/>
          <w:sz w:val="20"/>
          <w:szCs w:val="20"/>
          <w:highlight w:val="yellow"/>
          <w:u w:val="single"/>
          <w:rtl/>
        </w:rPr>
        <w:t>רובינשטיין ומדינה:</w:t>
      </w:r>
      <w:r>
        <w:rPr>
          <w:rFonts w:hint="cs"/>
          <w:b/>
          <w:bCs/>
          <w:sz w:val="20"/>
          <w:szCs w:val="20"/>
          <w:rtl/>
        </w:rPr>
        <w:t xml:space="preserve"> </w:t>
      </w:r>
      <w:r w:rsidRPr="007E3C06">
        <w:rPr>
          <w:sz w:val="20"/>
          <w:szCs w:val="20"/>
          <w:rtl/>
        </w:rPr>
        <w:t xml:space="preserve">שיטת המשטר </w:t>
      </w:r>
      <w:r w:rsidRPr="007E3C06">
        <w:rPr>
          <w:rFonts w:hint="cs"/>
          <w:sz w:val="20"/>
          <w:szCs w:val="20"/>
          <w:rtl/>
        </w:rPr>
        <w:t>הפרלמנטארי</w:t>
      </w:r>
      <w:r w:rsidRPr="007E3C06">
        <w:rPr>
          <w:rFonts w:hint="eastAsia"/>
          <w:sz w:val="20"/>
          <w:szCs w:val="20"/>
          <w:rtl/>
        </w:rPr>
        <w:t>ת</w:t>
      </w:r>
      <w:r w:rsidRPr="007E3C06">
        <w:rPr>
          <w:sz w:val="20"/>
          <w:szCs w:val="20"/>
          <w:rtl/>
        </w:rPr>
        <w:t xml:space="preserve"> המקובלת בישראל, בה נבחרת הכנסת בבחירות ארציות יחסיות, מעניקה משקל ניכר למפלגה, וממילא לסיעה המייצגת את המפלגה בכנסת, שהיא קבוצת חברי הכנסת שנבחרה ברשימת מועמדים מסוימת. ממילא, כפי שציינה </w:t>
      </w:r>
      <w:r>
        <w:rPr>
          <w:rFonts w:hint="cs"/>
          <w:sz w:val="20"/>
          <w:szCs w:val="20"/>
          <w:rtl/>
        </w:rPr>
        <w:t xml:space="preserve">ד"ר סוזי </w:t>
      </w:r>
      <w:r w:rsidRPr="007E3C06">
        <w:rPr>
          <w:sz w:val="20"/>
          <w:szCs w:val="20"/>
          <w:rtl/>
        </w:rPr>
        <w:t>נבות, "מודל הייצוג בישראל מחייב התייחסות למערכת [יחסים] משולשת: ציבור – מפלגה – חבר-כנסת"</w:t>
      </w:r>
      <w:r w:rsidRPr="007E3C06">
        <w:rPr>
          <w:rFonts w:hint="cs"/>
          <w:sz w:val="20"/>
          <w:szCs w:val="20"/>
          <w:rtl/>
        </w:rPr>
        <w:t>.</w:t>
      </w:r>
      <w:r w:rsidRPr="007E3C06">
        <w:rPr>
          <w:sz w:val="20"/>
          <w:szCs w:val="20"/>
          <w:rtl/>
        </w:rPr>
        <w:t xml:space="preserve"> </w:t>
      </w:r>
    </w:p>
    <w:p w:rsidR="005366A8" w:rsidRDefault="005366A8" w:rsidP="005366A8">
      <w:pPr>
        <w:rPr>
          <w:sz w:val="20"/>
          <w:szCs w:val="20"/>
          <w:rtl/>
        </w:rPr>
      </w:pPr>
      <w:r w:rsidRPr="007E3C06">
        <w:rPr>
          <w:sz w:val="20"/>
          <w:szCs w:val="20"/>
          <w:rtl/>
        </w:rPr>
        <w:t>מערכות היחסים "ציבור – מפלגה" ו- "ציבור – חבר-כנסת" מאופיינות במודל של "ייצוג חופשי", לפיו המפלגה וחבר הכנסת מקבלים מן הציבור מנדט "חופשי", המחייב</w:t>
      </w:r>
      <w:r w:rsidRPr="007E3C06">
        <w:rPr>
          <w:rFonts w:hint="cs"/>
          <w:sz w:val="20"/>
          <w:szCs w:val="20"/>
          <w:rtl/>
        </w:rPr>
        <w:t xml:space="preserve"> אות</w:t>
      </w:r>
      <w:r w:rsidRPr="007E3C06">
        <w:rPr>
          <w:sz w:val="20"/>
          <w:szCs w:val="20"/>
          <w:rtl/>
        </w:rPr>
        <w:t>ם, לפחות להלכה, לפעול ככל שמתחייב לקידום טובת הציבור כולו</w:t>
      </w:r>
      <w:r w:rsidRPr="007E3C06">
        <w:rPr>
          <w:rFonts w:hint="cs"/>
          <w:sz w:val="20"/>
          <w:szCs w:val="20"/>
          <w:rtl/>
        </w:rPr>
        <w:t>.</w:t>
      </w:r>
      <w:r w:rsidRPr="007E3C06">
        <w:rPr>
          <w:sz w:val="20"/>
          <w:szCs w:val="20"/>
          <w:rtl/>
        </w:rPr>
        <w:t xml:space="preserve"> לעומת זאת, מערכת היחסים שבין חבר הכנסת לבין מפלגתו וסיעתו היא מורכבת יותר. </w:t>
      </w:r>
    </w:p>
    <w:p w:rsidR="005366A8" w:rsidRPr="007E3C06" w:rsidRDefault="005366A8" w:rsidP="005366A8">
      <w:pPr>
        <w:rPr>
          <w:sz w:val="20"/>
          <w:szCs w:val="20"/>
        </w:rPr>
      </w:pPr>
      <w:r w:rsidRPr="007E3C06">
        <w:rPr>
          <w:sz w:val="20"/>
          <w:szCs w:val="20"/>
          <w:rtl/>
        </w:rPr>
        <w:t xml:space="preserve">חברי הכנסת אינם נבחרים באופן עצמאי, אלא כחברים ברשימת מועמדים המוגשת מטעמה של מפלגה (סעיף 5א לחוק-יסוד: הכנסת). משום כך, חברי הכנסת הם </w:t>
      </w:r>
      <w:r>
        <w:rPr>
          <w:rFonts w:hint="cs"/>
          <w:sz w:val="20"/>
          <w:szCs w:val="20"/>
          <w:rtl/>
        </w:rPr>
        <w:t xml:space="preserve">[גם] </w:t>
      </w:r>
      <w:r w:rsidRPr="007E3C06">
        <w:rPr>
          <w:sz w:val="20"/>
          <w:szCs w:val="20"/>
          <w:rtl/>
        </w:rPr>
        <w:t>"נאמנים ושליחים של מפלגתם ושל ציבור בוחריהם"</w:t>
      </w:r>
      <w:r w:rsidRPr="007E3C06">
        <w:rPr>
          <w:rFonts w:hint="cs"/>
          <w:sz w:val="20"/>
          <w:szCs w:val="20"/>
          <w:rtl/>
        </w:rPr>
        <w:t>.</w:t>
      </w:r>
      <w:r w:rsidRPr="007E3C06">
        <w:rPr>
          <w:sz w:val="20"/>
          <w:szCs w:val="20"/>
          <w:rtl/>
        </w:rPr>
        <w:t xml:space="preserve"> משמעות הדבר כי על חבר הכנסת מוטלת </w:t>
      </w:r>
      <w:r w:rsidRPr="00B06435">
        <w:rPr>
          <w:b/>
          <w:bCs/>
          <w:sz w:val="20"/>
          <w:szCs w:val="20"/>
          <w:rtl/>
        </w:rPr>
        <w:t>חובת נאמנות כפולה</w:t>
      </w:r>
      <w:r w:rsidRPr="007E3C06">
        <w:rPr>
          <w:sz w:val="20"/>
          <w:szCs w:val="20"/>
          <w:rtl/>
        </w:rPr>
        <w:t xml:space="preserve">: לציבור (דהיינו, </w:t>
      </w:r>
      <w:r w:rsidRPr="00B06435">
        <w:rPr>
          <w:b/>
          <w:bCs/>
          <w:sz w:val="20"/>
          <w:szCs w:val="20"/>
          <w:rtl/>
        </w:rPr>
        <w:t>לאינטרס הציבורי הכללי</w:t>
      </w:r>
      <w:r w:rsidRPr="007E3C06">
        <w:rPr>
          <w:sz w:val="20"/>
          <w:szCs w:val="20"/>
          <w:rtl/>
        </w:rPr>
        <w:t xml:space="preserve">) ולמפלגתו וסיעתו (ובעקיפין, </w:t>
      </w:r>
      <w:r w:rsidRPr="00B06435">
        <w:rPr>
          <w:b/>
          <w:bCs/>
          <w:sz w:val="20"/>
          <w:szCs w:val="20"/>
          <w:rtl/>
        </w:rPr>
        <w:t>לציבור בוחריו</w:t>
      </w:r>
      <w:r w:rsidRPr="007E3C06">
        <w:rPr>
          <w:sz w:val="20"/>
          <w:szCs w:val="20"/>
          <w:rtl/>
        </w:rPr>
        <w:t>). תוצאת</w:t>
      </w:r>
      <w:r>
        <w:rPr>
          <w:rFonts w:hint="cs"/>
          <w:sz w:val="20"/>
          <w:szCs w:val="20"/>
          <w:rtl/>
        </w:rPr>
        <w:t xml:space="preserve"> </w:t>
      </w:r>
      <w:r w:rsidRPr="007E3C06">
        <w:rPr>
          <w:sz w:val="20"/>
          <w:szCs w:val="20"/>
          <w:rtl/>
        </w:rPr>
        <w:t>ה</w:t>
      </w:r>
      <w:r>
        <w:rPr>
          <w:rFonts w:hint="cs"/>
          <w:sz w:val="20"/>
          <w:szCs w:val="20"/>
          <w:rtl/>
        </w:rPr>
        <w:t>דברים</w:t>
      </w:r>
      <w:r w:rsidRPr="007E3C06">
        <w:rPr>
          <w:sz w:val="20"/>
          <w:szCs w:val="20"/>
          <w:rtl/>
        </w:rPr>
        <w:t xml:space="preserve"> היא הגבלה ניכרת של חופש הפעולה של חבר הכנסת</w:t>
      </w:r>
      <w:r w:rsidRPr="007E3C06">
        <w:rPr>
          <w:rFonts w:hint="cs"/>
          <w:sz w:val="20"/>
          <w:szCs w:val="20"/>
          <w:rtl/>
        </w:rPr>
        <w:t>.</w:t>
      </w:r>
    </w:p>
    <w:p w:rsidR="005366A8" w:rsidRDefault="005366A8" w:rsidP="005366A8">
      <w:pPr>
        <w:rPr>
          <w:sz w:val="20"/>
          <w:szCs w:val="20"/>
          <w:rtl/>
        </w:rPr>
      </w:pPr>
      <w:r>
        <w:rPr>
          <w:rFonts w:hint="cs"/>
          <w:sz w:val="20"/>
          <w:szCs w:val="20"/>
          <w:rtl/>
        </w:rPr>
        <w:t xml:space="preserve">הכיצד? </w:t>
      </w:r>
      <w:r w:rsidRPr="007E3C06">
        <w:rPr>
          <w:sz w:val="20"/>
          <w:szCs w:val="20"/>
          <w:rtl/>
        </w:rPr>
        <w:t>נדמה כי אין מחלוקת שחבר-הכנסת הוא איש ציבור, הכפוף לחובות המוטלות על מי שפועל למען הציבור</w:t>
      </w:r>
      <w:r>
        <w:rPr>
          <w:rFonts w:hint="cs"/>
          <w:sz w:val="20"/>
          <w:szCs w:val="20"/>
          <w:rtl/>
        </w:rPr>
        <w:t>[...]</w:t>
      </w:r>
      <w:r w:rsidRPr="007E3C06">
        <w:rPr>
          <w:sz w:val="20"/>
          <w:szCs w:val="20"/>
          <w:rtl/>
        </w:rPr>
        <w:t xml:space="preserve">. חבר-הכנסת כפוף לחובה לנהוג בהגינות, ביושר, בתום-לב וכדומה. מאידך גיסא, ספק בעינינו אם רשאי חבר-כנסת להפר את המשמעת הסיעתית, ולפעול בניגוד לטובתה של סיעתו ומפלגתו, תוך הסתמכות על טיעונים דוגמת טובת הכלל והמדינה. בסופו-של-דבר, הדמוקרטיה הפרלמנטארית מתבססת על המפלגות, ויציבותן היא ערובה חשובה ליציבותו של המשטר הדמוקרטי. המשמעת המפלגתית – בתנאי שהיא מופעלת באופן זהיר וסביר </w:t>
      </w:r>
      <w:r w:rsidRPr="007E3C06">
        <w:rPr>
          <w:sz w:val="20"/>
          <w:szCs w:val="20"/>
        </w:rPr>
        <w:sym w:font="Symbol" w:char="F02D"/>
      </w:r>
      <w:r w:rsidRPr="007E3C06">
        <w:rPr>
          <w:sz w:val="20"/>
          <w:szCs w:val="20"/>
          <w:rtl/>
        </w:rPr>
        <w:t xml:space="preserve"> היא סממן חשוב באורח חיים פרלמנט</w:t>
      </w:r>
      <w:r w:rsidRPr="007E3C06">
        <w:rPr>
          <w:rFonts w:hint="cs"/>
          <w:sz w:val="20"/>
          <w:szCs w:val="20"/>
          <w:rtl/>
        </w:rPr>
        <w:t>א</w:t>
      </w:r>
      <w:r w:rsidRPr="007E3C06">
        <w:rPr>
          <w:sz w:val="20"/>
          <w:szCs w:val="20"/>
          <w:rtl/>
        </w:rPr>
        <w:t>רי תקין, המקובל ונהוג בכל הדמוקרטיות הפרלמנט</w:t>
      </w:r>
      <w:r w:rsidRPr="007E3C06">
        <w:rPr>
          <w:rFonts w:hint="cs"/>
          <w:sz w:val="20"/>
          <w:szCs w:val="20"/>
          <w:rtl/>
        </w:rPr>
        <w:t>א</w:t>
      </w:r>
      <w:r w:rsidRPr="007E3C06">
        <w:rPr>
          <w:sz w:val="20"/>
          <w:szCs w:val="20"/>
          <w:rtl/>
        </w:rPr>
        <w:t>ריות.</w:t>
      </w:r>
    </w:p>
    <w:p w:rsidR="005366A8" w:rsidRDefault="005366A8" w:rsidP="005366A8">
      <w:pPr>
        <w:rPr>
          <w:rFonts w:cs="FrankRuehl"/>
          <w:sz w:val="22"/>
          <w:szCs w:val="22"/>
          <w:rtl/>
        </w:rPr>
      </w:pPr>
      <w:r>
        <w:rPr>
          <w:rFonts w:hint="cs"/>
          <w:b/>
          <w:bCs/>
          <w:rtl/>
        </w:rPr>
        <w:t>=-=</w:t>
      </w:r>
    </w:p>
    <w:p w:rsidR="005366A8" w:rsidRDefault="005366A8" w:rsidP="005366A8">
      <w:pPr>
        <w:rPr>
          <w:rFonts w:cs="FrankRuehl"/>
          <w:sz w:val="22"/>
          <w:szCs w:val="22"/>
          <w:rtl/>
        </w:rPr>
      </w:pPr>
    </w:p>
    <w:p w:rsidR="005366A8" w:rsidRDefault="005366A8" w:rsidP="005366A8">
      <w:pPr>
        <w:rPr>
          <w:rFonts w:cs="FrankRuehl"/>
          <w:sz w:val="22"/>
          <w:szCs w:val="22"/>
          <w:rtl/>
        </w:rPr>
      </w:pPr>
      <w:r>
        <w:rPr>
          <w:rFonts w:hAnsi="Arial" w:cs="Arial" w:hint="cs"/>
          <w:b/>
          <w:bCs/>
          <w:sz w:val="28"/>
          <w:szCs w:val="28"/>
          <w:highlight w:val="yellow"/>
          <w:u w:val="single"/>
          <w:rtl/>
        </w:rPr>
        <w:t>ג</w:t>
      </w:r>
      <w:r w:rsidRPr="007145DA">
        <w:rPr>
          <w:rFonts w:hAnsi="Arial" w:cs="Arial" w:hint="cs"/>
          <w:b/>
          <w:bCs/>
          <w:sz w:val="28"/>
          <w:szCs w:val="28"/>
          <w:highlight w:val="yellow"/>
          <w:u w:val="single"/>
          <w:rtl/>
        </w:rPr>
        <w:t>. הביקורת השיפוטית על הליכי</w:t>
      </w:r>
      <w:r>
        <w:rPr>
          <w:rFonts w:hAnsi="Arial" w:cs="Arial" w:hint="cs"/>
          <w:b/>
          <w:bCs/>
          <w:sz w:val="28"/>
          <w:szCs w:val="28"/>
          <w:highlight w:val="yellow"/>
          <w:u w:val="single"/>
          <w:rtl/>
        </w:rPr>
        <w:t>ם "מעין-שיפוטיים" של ה</w:t>
      </w:r>
      <w:r w:rsidRPr="007145DA">
        <w:rPr>
          <w:rFonts w:hAnsi="Arial" w:cs="Arial" w:hint="cs"/>
          <w:b/>
          <w:bCs/>
          <w:sz w:val="28"/>
          <w:szCs w:val="28"/>
          <w:highlight w:val="yellow"/>
          <w:u w:val="single"/>
          <w:rtl/>
        </w:rPr>
        <w:t>כנסת</w:t>
      </w:r>
    </w:p>
    <w:p w:rsidR="005366A8" w:rsidRDefault="005366A8" w:rsidP="005366A8">
      <w:pPr>
        <w:rPr>
          <w:rFonts w:cs="FrankRuehl"/>
          <w:sz w:val="22"/>
          <w:szCs w:val="22"/>
          <w:rtl/>
        </w:rPr>
      </w:pPr>
    </w:p>
    <w:p w:rsidR="005366A8" w:rsidRPr="00226B6D" w:rsidRDefault="005366A8" w:rsidP="005366A8">
      <w:pPr>
        <w:jc w:val="center"/>
        <w:rPr>
          <w:rFonts w:ascii="Arial" w:hAnsi="Arial" w:cs="Guttman-Soncino"/>
          <w:b/>
          <w:bCs/>
          <w:sz w:val="28"/>
          <w:szCs w:val="28"/>
          <w:highlight w:val="yellow"/>
          <w:u w:val="single"/>
          <w:rtl/>
        </w:rPr>
      </w:pPr>
      <w:r w:rsidRPr="00226B6D">
        <w:rPr>
          <w:rFonts w:ascii="Arial" w:hAnsi="Arial" w:cs="Guttman-Soncino" w:hint="cs"/>
          <w:b/>
          <w:bCs/>
          <w:sz w:val="28"/>
          <w:szCs w:val="28"/>
          <w:highlight w:val="yellow"/>
          <w:u w:val="single"/>
          <w:rtl/>
        </w:rPr>
        <w:t xml:space="preserve">הכנסת: חסינות חברי הכנסת וזכויות-היתר שלהם </w:t>
      </w:r>
    </w:p>
    <w:p w:rsidR="005366A8" w:rsidRPr="00226B6D" w:rsidRDefault="005366A8" w:rsidP="005366A8">
      <w:pPr>
        <w:spacing w:after="240"/>
        <w:jc w:val="center"/>
        <w:rPr>
          <w:rFonts w:ascii="Arial" w:hAnsi="Arial" w:cs="Guttman-Soncino"/>
          <w:b/>
          <w:bCs/>
          <w:sz w:val="28"/>
          <w:szCs w:val="28"/>
          <w:u w:val="single"/>
          <w:rtl/>
        </w:rPr>
      </w:pPr>
      <w:r w:rsidRPr="00226B6D">
        <w:rPr>
          <w:rFonts w:ascii="Arial" w:hAnsi="Arial" w:cs="Guttman-Soncino"/>
          <w:b/>
          <w:bCs/>
          <w:sz w:val="28"/>
          <w:szCs w:val="28"/>
          <w:highlight w:val="yellow"/>
          <w:u w:val="single"/>
          <w:rtl/>
        </w:rPr>
        <w:t>–</w:t>
      </w:r>
      <w:r w:rsidRPr="00226B6D">
        <w:rPr>
          <w:rFonts w:ascii="Arial" w:hAnsi="Arial" w:cs="Guttman-Soncino" w:hint="cs"/>
          <w:b/>
          <w:bCs/>
          <w:sz w:val="28"/>
          <w:szCs w:val="28"/>
          <w:highlight w:val="yellow"/>
          <w:u w:val="single"/>
          <w:rtl/>
        </w:rPr>
        <w:t xml:space="preserve"> והביקורת השיפוטית על הסרת החסינות או פגיעה בזכויות היתר</w:t>
      </w:r>
    </w:p>
    <w:p w:rsidR="005366A8" w:rsidRPr="007145DA" w:rsidRDefault="005366A8" w:rsidP="005366A8">
      <w:pPr>
        <w:spacing w:after="60"/>
        <w:rPr>
          <w:rFonts w:ascii="Arial" w:hAnsi="Arial" w:cs="Arial"/>
          <w:b/>
          <w:bCs/>
          <w:sz w:val="20"/>
          <w:szCs w:val="20"/>
          <w:highlight w:val="yellow"/>
          <w:rtl/>
        </w:rPr>
      </w:pPr>
      <w:r w:rsidRPr="007145DA">
        <w:rPr>
          <w:rFonts w:ascii="Arial" w:hAnsi="Arial" w:cs="Arial" w:hint="cs"/>
          <w:b/>
          <w:bCs/>
          <w:sz w:val="20"/>
          <w:szCs w:val="20"/>
          <w:highlight w:val="yellow"/>
          <w:rtl/>
        </w:rPr>
        <w:t>מהי "חסינות"?</w:t>
      </w:r>
      <w:r>
        <w:rPr>
          <w:rFonts w:ascii="Arial" w:hAnsi="Arial" w:cs="Arial" w:hint="cs"/>
          <w:b/>
          <w:bCs/>
          <w:sz w:val="20"/>
          <w:szCs w:val="20"/>
          <w:highlight w:val="yellow"/>
          <w:rtl/>
        </w:rPr>
        <w:t xml:space="preserve"> </w:t>
      </w:r>
      <w:r w:rsidRPr="007145DA">
        <w:rPr>
          <w:rFonts w:ascii="Arial" w:hAnsi="Arial" w:cs="Arial" w:hint="cs"/>
          <w:b/>
          <w:bCs/>
          <w:sz w:val="20"/>
          <w:szCs w:val="20"/>
          <w:highlight w:val="yellow"/>
          <w:rtl/>
        </w:rPr>
        <w:t>מהן החסינות וזכויות-היתר (הפריבילגיות) הנוספות הניתנות לחברי הכנסת? מדוע היא ניתנת/ מהם הרציונלים שביסודה?</w:t>
      </w:r>
      <w:r>
        <w:rPr>
          <w:rFonts w:ascii="Arial" w:hAnsi="Arial" w:cs="Arial" w:hint="cs"/>
          <w:b/>
          <w:bCs/>
          <w:sz w:val="20"/>
          <w:szCs w:val="20"/>
          <w:highlight w:val="yellow"/>
          <w:rtl/>
        </w:rPr>
        <w:t xml:space="preserve"> </w:t>
      </w:r>
      <w:r w:rsidRPr="007145DA">
        <w:rPr>
          <w:rFonts w:ascii="Arial" w:hAnsi="Arial" w:cs="Arial" w:hint="cs"/>
          <w:b/>
          <w:bCs/>
          <w:sz w:val="20"/>
          <w:szCs w:val="20"/>
          <w:highlight w:val="yellow"/>
          <w:rtl/>
        </w:rPr>
        <w:t>עם אלו אינטרסים ציבוריים חשובים היא מצויה במתח או בעימות?</w:t>
      </w:r>
    </w:p>
    <w:p w:rsidR="005366A8" w:rsidRPr="007145DA" w:rsidRDefault="005366A8" w:rsidP="005366A8">
      <w:pPr>
        <w:spacing w:after="60"/>
        <w:rPr>
          <w:rFonts w:ascii="Arial" w:hAnsi="Arial" w:cs="Arial"/>
          <w:b/>
          <w:bCs/>
          <w:sz w:val="20"/>
          <w:szCs w:val="20"/>
          <w:rtl/>
        </w:rPr>
      </w:pPr>
      <w:r w:rsidRPr="007145DA">
        <w:rPr>
          <w:rFonts w:ascii="Arial" w:hAnsi="Arial" w:cs="Arial" w:hint="cs"/>
          <w:b/>
          <w:bCs/>
          <w:sz w:val="20"/>
          <w:szCs w:val="20"/>
          <w:highlight w:val="yellow"/>
          <w:rtl/>
        </w:rPr>
        <w:t>=&gt; מהי היקפה ומהן גבולותיה של "החסינות המהותית" ["חסינות במילוי התפקיד"]?</w:t>
      </w:r>
    </w:p>
    <w:p w:rsidR="005366A8" w:rsidRDefault="005366A8" w:rsidP="005366A8">
      <w:pPr>
        <w:rPr>
          <w:rFonts w:ascii="Arial" w:hAnsi="Arial" w:cs="Arial"/>
          <w:b/>
          <w:bCs/>
          <w:szCs w:val="22"/>
          <w:rtl/>
        </w:rPr>
      </w:pPr>
    </w:p>
    <w:p w:rsidR="005366A8" w:rsidRPr="00C83670" w:rsidRDefault="005366A8" w:rsidP="005366A8">
      <w:pPr>
        <w:rPr>
          <w:rFonts w:ascii="Arial" w:hAnsi="Arial" w:cs="Arial"/>
          <w:b/>
          <w:bCs/>
          <w:szCs w:val="22"/>
          <w:rtl/>
        </w:rPr>
      </w:pPr>
      <w:r w:rsidRPr="007145DA">
        <w:rPr>
          <w:rFonts w:ascii="Arial" w:hAnsi="Arial" w:cs="Arial"/>
          <w:b/>
          <w:bCs/>
          <w:szCs w:val="22"/>
          <w:highlight w:val="green"/>
          <w:rtl/>
        </w:rPr>
        <w:t>חוק-יסוד: הכנסת</w:t>
      </w:r>
      <w:r w:rsidRPr="007145DA">
        <w:rPr>
          <w:rFonts w:ascii="Arial" w:hAnsi="Arial" w:cs="Arial"/>
          <w:szCs w:val="22"/>
          <w:highlight w:val="green"/>
          <w:rtl/>
        </w:rPr>
        <w:t>, סע' 17</w:t>
      </w:r>
      <w:r w:rsidRPr="007145DA">
        <w:rPr>
          <w:rFonts w:ascii="Arial" w:hAnsi="Arial" w:cs="Arial"/>
          <w:b/>
          <w:bCs/>
          <w:szCs w:val="22"/>
          <w:highlight w:val="green"/>
          <w:rtl/>
        </w:rPr>
        <w:t>:</w:t>
      </w:r>
      <w:r w:rsidRPr="00C83670">
        <w:rPr>
          <w:rFonts w:ascii="Arial" w:hAnsi="Arial" w:cs="Arial"/>
          <w:b/>
          <w:bCs/>
          <w:szCs w:val="22"/>
          <w:rtl/>
        </w:rPr>
        <w:t xml:space="preserve">  </w:t>
      </w:r>
    </w:p>
    <w:p w:rsidR="005366A8" w:rsidRPr="003755D7" w:rsidRDefault="005366A8" w:rsidP="005366A8">
      <w:pPr>
        <w:ind w:left="720"/>
        <w:rPr>
          <w:rFonts w:cs="David"/>
          <w:sz w:val="22"/>
          <w:szCs w:val="22"/>
          <w:rtl/>
        </w:rPr>
      </w:pPr>
      <w:r w:rsidRPr="003755D7">
        <w:rPr>
          <w:rFonts w:cs="David"/>
          <w:sz w:val="22"/>
          <w:szCs w:val="22"/>
          <w:rtl/>
        </w:rPr>
        <w:t xml:space="preserve">לחברי הכנסת תהיה חסינות; פרטים ייקבעו בחוק. </w:t>
      </w:r>
    </w:p>
    <w:p w:rsidR="005366A8" w:rsidRDefault="005366A8" w:rsidP="005366A8">
      <w:pPr>
        <w:rPr>
          <w:szCs w:val="22"/>
          <w:rtl/>
        </w:rPr>
      </w:pPr>
    </w:p>
    <w:p w:rsidR="005366A8" w:rsidRDefault="005366A8" w:rsidP="005366A8">
      <w:pPr>
        <w:spacing w:after="120"/>
        <w:rPr>
          <w:rFonts w:ascii="Arial" w:hAnsi="Arial" w:cs="Arial"/>
          <w:b/>
          <w:bCs/>
          <w:szCs w:val="22"/>
          <w:rtl/>
        </w:rPr>
      </w:pPr>
      <w:r w:rsidRPr="007145DA">
        <w:rPr>
          <w:rFonts w:ascii="Arial" w:hAnsi="Arial" w:cs="Arial"/>
          <w:b/>
          <w:bCs/>
          <w:szCs w:val="22"/>
          <w:highlight w:val="green"/>
          <w:rtl/>
        </w:rPr>
        <w:t>חוק חסינות חברי הכנסת, זכויותיהם וחובותיהם, תשי"א-1951</w:t>
      </w:r>
      <w:r w:rsidRPr="00C83670">
        <w:rPr>
          <w:rFonts w:ascii="Arial" w:hAnsi="Arial" w:cs="Arial"/>
          <w:b/>
          <w:bCs/>
          <w:szCs w:val="22"/>
          <w:rtl/>
        </w:rPr>
        <w:t xml:space="preserve"> </w:t>
      </w:r>
    </w:p>
    <w:p w:rsidR="005366A8" w:rsidRDefault="005366A8" w:rsidP="005366A8">
      <w:pPr>
        <w:spacing w:after="120"/>
        <w:rPr>
          <w:rFonts w:ascii="Arial" w:hAnsi="Arial" w:cs="Arial"/>
          <w:b/>
          <w:bCs/>
          <w:szCs w:val="22"/>
          <w:rtl/>
        </w:rPr>
      </w:pPr>
      <w:r>
        <w:rPr>
          <w:rFonts w:ascii="Arial" w:hAnsi="Arial" w:cs="Arial" w:hint="cs"/>
          <w:b/>
          <w:bCs/>
          <w:szCs w:val="22"/>
          <w:rtl/>
        </w:rPr>
        <w:t>[...]</w:t>
      </w:r>
    </w:p>
    <w:p w:rsidR="005366A8" w:rsidRDefault="005366A8" w:rsidP="005366A8">
      <w:pPr>
        <w:spacing w:after="120"/>
        <w:rPr>
          <w:rFonts w:ascii="Arial" w:hAnsi="Arial" w:cs="Arial"/>
          <w:b/>
          <w:bCs/>
          <w:szCs w:val="22"/>
          <w:rtl/>
        </w:rPr>
      </w:pPr>
    </w:p>
    <w:p w:rsidR="005366A8" w:rsidRDefault="005366A8" w:rsidP="005366A8">
      <w:pPr>
        <w:rPr>
          <w:rFonts w:cs="FrankRuehl"/>
          <w:sz w:val="22"/>
          <w:szCs w:val="22"/>
          <w:rtl/>
        </w:rPr>
      </w:pPr>
      <w:r>
        <w:rPr>
          <w:rFonts w:hAnsi="Arial" w:cs="Arial" w:hint="cs"/>
          <w:b/>
          <w:bCs/>
          <w:sz w:val="28"/>
          <w:szCs w:val="28"/>
          <w:highlight w:val="yellow"/>
          <w:u w:val="single"/>
          <w:rtl/>
        </w:rPr>
        <w:t>ג</w:t>
      </w:r>
      <w:r w:rsidRPr="007145DA">
        <w:rPr>
          <w:rFonts w:hAnsi="Arial" w:cs="Arial" w:hint="cs"/>
          <w:b/>
          <w:bCs/>
          <w:sz w:val="28"/>
          <w:szCs w:val="28"/>
          <w:highlight w:val="yellow"/>
          <w:u w:val="single"/>
          <w:rtl/>
        </w:rPr>
        <w:t>. הביקורת השיפוטית על הליכי</w:t>
      </w:r>
      <w:r>
        <w:rPr>
          <w:rFonts w:hAnsi="Arial" w:cs="Arial" w:hint="cs"/>
          <w:b/>
          <w:bCs/>
          <w:sz w:val="28"/>
          <w:szCs w:val="28"/>
          <w:highlight w:val="yellow"/>
          <w:u w:val="single"/>
          <w:rtl/>
        </w:rPr>
        <w:t>ם "מעין-שיפוטיים" של ה</w:t>
      </w:r>
      <w:r w:rsidRPr="007145DA">
        <w:rPr>
          <w:rFonts w:hAnsi="Arial" w:cs="Arial" w:hint="cs"/>
          <w:b/>
          <w:bCs/>
          <w:sz w:val="28"/>
          <w:szCs w:val="28"/>
          <w:highlight w:val="yellow"/>
          <w:u w:val="single"/>
          <w:rtl/>
        </w:rPr>
        <w:t>כנסת</w:t>
      </w:r>
    </w:p>
    <w:p w:rsidR="005366A8" w:rsidRDefault="005366A8" w:rsidP="005366A8">
      <w:pPr>
        <w:rPr>
          <w:rFonts w:cs="FrankRuehl"/>
          <w:sz w:val="22"/>
          <w:szCs w:val="22"/>
          <w:rtl/>
        </w:rPr>
      </w:pPr>
    </w:p>
    <w:p w:rsidR="005366A8" w:rsidRPr="007A6778" w:rsidRDefault="005366A8" w:rsidP="005366A8">
      <w:pPr>
        <w:spacing w:after="120"/>
        <w:rPr>
          <w:b/>
          <w:bCs/>
          <w:rtl/>
        </w:rPr>
      </w:pPr>
      <w:r w:rsidRPr="007A6778">
        <w:rPr>
          <w:rFonts w:hint="cs"/>
          <w:b/>
          <w:bCs/>
          <w:highlight w:val="yellow"/>
          <w:rtl/>
        </w:rPr>
        <w:t>הביקורת השיפוטית על החלטות "מעין-שיפוטיות" המתקבלות בכנסת</w:t>
      </w:r>
    </w:p>
    <w:p w:rsidR="005366A8" w:rsidRDefault="005366A8" w:rsidP="005366A8">
      <w:pPr>
        <w:spacing w:after="120"/>
        <w:rPr>
          <w:sz w:val="22"/>
          <w:szCs w:val="22"/>
          <w:rtl/>
        </w:rPr>
      </w:pPr>
      <w:r>
        <w:rPr>
          <w:rFonts w:hint="cs"/>
          <w:sz w:val="22"/>
          <w:szCs w:val="22"/>
          <w:rtl/>
        </w:rPr>
        <w:t>רובינשטיין ומדינה:</w:t>
      </w:r>
    </w:p>
    <w:p w:rsidR="005366A8" w:rsidRDefault="005366A8" w:rsidP="005366A8">
      <w:pPr>
        <w:rPr>
          <w:sz w:val="20"/>
          <w:szCs w:val="20"/>
          <w:rtl/>
        </w:rPr>
      </w:pPr>
      <w:r w:rsidRPr="007A6778">
        <w:rPr>
          <w:sz w:val="20"/>
          <w:szCs w:val="20"/>
          <w:rtl/>
        </w:rPr>
        <w:t>החלטות של הכנסת המסווגות כ"מעין שיפוטיות" הן החלטות שעניינן שלילת זכויות המוקנות לחבר כנסת מסוים, ובכלל זה, הסרת חסינותו מפני העמדה לדין, מפני חיפוש, מעצר והגבלת חופש התנועה, והחלטות בדבר השעיה זמנית של חבר כנסת והעברתו מתפקידו</w:t>
      </w:r>
      <w:bookmarkStart w:id="56" w:name="_Ref35098565"/>
      <w:r w:rsidRPr="007A6778">
        <w:rPr>
          <w:sz w:val="20"/>
          <w:szCs w:val="20"/>
          <w:rtl/>
        </w:rPr>
        <w:t>.</w:t>
      </w:r>
      <w:r w:rsidRPr="007A6778">
        <w:rPr>
          <w:rStyle w:val="FootnoteReference"/>
          <w:sz w:val="20"/>
          <w:szCs w:val="20"/>
          <w:rtl/>
        </w:rPr>
        <w:footnoteReference w:id="57"/>
      </w:r>
      <w:bookmarkEnd w:id="56"/>
      <w:r w:rsidRPr="007A6778">
        <w:rPr>
          <w:sz w:val="20"/>
          <w:szCs w:val="20"/>
          <w:rtl/>
        </w:rPr>
        <w:t xml:space="preserve"> חשיבותו של סיווג זה בנכונות להחיל ביקורת שיפוטית רחבה ביחס להחלטות אלה. התפיסה המנחה בהקשר זה היא כי "שעה שהכנסת מחליטה בסוגיות מעין-שיפוטיות, בין בוועדה ובין במליאתה, אין היא שונה במעמדה, מבחינה עקרונית, מרשות מעין-שיפוטית אחרת".</w:t>
      </w:r>
      <w:r w:rsidRPr="007A6778">
        <w:rPr>
          <w:rStyle w:val="FootnoteReference"/>
          <w:sz w:val="20"/>
          <w:szCs w:val="20"/>
          <w:rtl/>
        </w:rPr>
        <w:footnoteReference w:id="58"/>
      </w:r>
      <w:r w:rsidRPr="007A6778">
        <w:rPr>
          <w:sz w:val="20"/>
          <w:szCs w:val="20"/>
          <w:rtl/>
        </w:rPr>
        <w:t xml:space="preserve"> למעשה, המדובר ביישום של ההלכה הכללית שתוארה </w:t>
      </w:r>
      <w:r>
        <w:rPr>
          <w:rFonts w:hint="cs"/>
          <w:sz w:val="20"/>
          <w:szCs w:val="20"/>
          <w:rtl/>
        </w:rPr>
        <w:t>...</w:t>
      </w:r>
      <w:r w:rsidRPr="007A6778">
        <w:rPr>
          <w:sz w:val="20"/>
          <w:szCs w:val="20"/>
          <w:rtl/>
        </w:rPr>
        <w:t xml:space="preserve"> בדבר היקף הביקורת השיפוטית על החלטות הכנסת, שכן העברת חבר כנסת מכהונתו, השעייתו ואף הסרת חסינותו מפני העמדה לדין, מהווה פגיעה קשה במרקם החיים הפרלמנטאריים. הפגיעה היא לא רק בחבר הכנסת עצמו אלא בציבור אותו הוא אמור לייצג בכנסת. </w:t>
      </w:r>
    </w:p>
    <w:p w:rsidR="005366A8" w:rsidRPr="007A6778" w:rsidRDefault="005366A8" w:rsidP="005366A8">
      <w:pPr>
        <w:rPr>
          <w:sz w:val="20"/>
          <w:szCs w:val="20"/>
          <w:rtl/>
        </w:rPr>
      </w:pPr>
      <w:r w:rsidRPr="007A6778">
        <w:rPr>
          <w:sz w:val="20"/>
          <w:szCs w:val="20"/>
          <w:rtl/>
        </w:rPr>
        <w:t>לפי גישה זו, בעת שהכנסת מפעילה סמכויות "מעין שיפוטיות" כאמור, עליה "לעמוד באמות המידה המשפטיות המתחייבות מהפעלת הסמכות".</w:t>
      </w:r>
      <w:r w:rsidRPr="007A6778">
        <w:rPr>
          <w:rStyle w:val="FootnoteReference"/>
          <w:sz w:val="20"/>
          <w:szCs w:val="20"/>
          <w:rtl/>
        </w:rPr>
        <w:footnoteReference w:id="59"/>
      </w:r>
      <w:r w:rsidRPr="007A6778">
        <w:rPr>
          <w:sz w:val="20"/>
          <w:szCs w:val="20"/>
          <w:rtl/>
        </w:rPr>
        <w:t xml:space="preserve"> מכאן הנכונות להחיל ביקורת שיפוטית, המבוססת על אמות מידה אלה.</w:t>
      </w:r>
    </w:p>
    <w:p w:rsidR="005366A8" w:rsidRDefault="005366A8" w:rsidP="005366A8">
      <w:pPr>
        <w:spacing w:after="120"/>
        <w:rPr>
          <w:rFonts w:cs="FrankRuehl"/>
          <w:sz w:val="22"/>
          <w:szCs w:val="22"/>
          <w:rtl/>
        </w:rPr>
      </w:pPr>
    </w:p>
    <w:p w:rsidR="005366A8" w:rsidRPr="00C44580" w:rsidRDefault="005366A8" w:rsidP="005366A8">
      <w:pPr>
        <w:spacing w:after="120"/>
        <w:rPr>
          <w:rFonts w:asciiTheme="minorBidi" w:hAnsiTheme="minorBidi" w:cstheme="minorBidi"/>
          <w:sz w:val="22"/>
          <w:szCs w:val="22"/>
          <w:rtl/>
        </w:rPr>
      </w:pPr>
      <w:r>
        <w:rPr>
          <w:rFonts w:cs="FrankRuehl" w:hint="cs"/>
          <w:sz w:val="22"/>
          <w:szCs w:val="22"/>
          <w:rtl/>
        </w:rPr>
        <w:t>=-=</w:t>
      </w:r>
    </w:p>
    <w:p w:rsidR="005366A8" w:rsidRDefault="005366A8" w:rsidP="005366A8">
      <w:pPr>
        <w:spacing w:after="120"/>
        <w:rPr>
          <w:rFonts w:asciiTheme="minorBidi" w:hAnsiTheme="minorBidi" w:cstheme="minorBidi"/>
          <w:sz w:val="22"/>
          <w:szCs w:val="22"/>
          <w:rtl/>
        </w:rPr>
      </w:pPr>
      <w:r w:rsidRPr="00C44580">
        <w:rPr>
          <w:rFonts w:asciiTheme="minorBidi" w:hAnsiTheme="minorBidi" w:cstheme="minorBidi"/>
          <w:sz w:val="22"/>
          <w:szCs w:val="22"/>
          <w:rtl/>
        </w:rPr>
        <w:t>בשל לחץ הזמן</w:t>
      </w:r>
      <w:r>
        <w:rPr>
          <w:rFonts w:asciiTheme="minorBidi" w:hAnsiTheme="minorBidi" w:cstheme="minorBidi" w:hint="cs"/>
          <w:sz w:val="22"/>
          <w:szCs w:val="22"/>
          <w:rtl/>
        </w:rPr>
        <w:t xml:space="preserve">, והרצון להתאים בין החומר לבין תרגיל מספר 2 שיחולק לכם בקרוב, הרי שנדלג בשלב זה על הדיון </w:t>
      </w:r>
      <w:r w:rsidRPr="00C44580">
        <w:rPr>
          <w:rFonts w:asciiTheme="minorBidi" w:hAnsiTheme="minorBidi" w:cstheme="minorBidi" w:hint="cs"/>
          <w:b/>
          <w:bCs/>
          <w:sz w:val="22"/>
          <w:szCs w:val="22"/>
          <w:u w:val="single"/>
          <w:rtl/>
        </w:rPr>
        <w:t>בחסינות חברי הכנסת</w:t>
      </w:r>
      <w:r w:rsidRPr="00C44580">
        <w:rPr>
          <w:rFonts w:asciiTheme="minorBidi" w:hAnsiTheme="minorBidi" w:cstheme="minorBidi" w:hint="cs"/>
          <w:b/>
          <w:bCs/>
          <w:sz w:val="22"/>
          <w:szCs w:val="22"/>
          <w:rtl/>
        </w:rPr>
        <w:t>.</w:t>
      </w:r>
      <w:r>
        <w:rPr>
          <w:rFonts w:asciiTheme="minorBidi" w:hAnsiTheme="minorBidi" w:cstheme="minorBidi" w:hint="cs"/>
          <w:sz w:val="22"/>
          <w:szCs w:val="22"/>
          <w:rtl/>
        </w:rPr>
        <w:t xml:space="preserve"> אני מקווה להחזיר אותו בתחילת סמסטר ב.</w:t>
      </w:r>
    </w:p>
    <w:p w:rsidR="005366A8" w:rsidRDefault="005366A8" w:rsidP="005366A8">
      <w:pPr>
        <w:spacing w:after="120"/>
        <w:rPr>
          <w:rFonts w:asciiTheme="minorBidi" w:hAnsiTheme="minorBidi" w:cstheme="minorBidi"/>
          <w:sz w:val="22"/>
          <w:szCs w:val="22"/>
          <w:rtl/>
        </w:rPr>
      </w:pPr>
      <w:r>
        <w:rPr>
          <w:rFonts w:asciiTheme="minorBidi" w:hAnsiTheme="minorBidi" w:cstheme="minorBidi" w:hint="cs"/>
          <w:sz w:val="22"/>
          <w:szCs w:val="22"/>
          <w:rtl/>
        </w:rPr>
        <w:t xml:space="preserve">גם הדיון </w:t>
      </w:r>
      <w:r w:rsidRPr="00C44580">
        <w:rPr>
          <w:rFonts w:asciiTheme="minorBidi" w:hAnsiTheme="minorBidi" w:cstheme="minorBidi" w:hint="cs"/>
          <w:b/>
          <w:bCs/>
          <w:sz w:val="22"/>
          <w:szCs w:val="22"/>
          <w:u w:val="single"/>
          <w:rtl/>
        </w:rPr>
        <w:t>בשלטון המקומי</w:t>
      </w:r>
      <w:r>
        <w:rPr>
          <w:rFonts w:asciiTheme="minorBidi" w:hAnsiTheme="minorBidi" w:cstheme="minorBidi" w:hint="cs"/>
          <w:sz w:val="22"/>
          <w:szCs w:val="22"/>
          <w:rtl/>
        </w:rPr>
        <w:t xml:space="preserve"> יידחה לתחילת סמסטר ב.</w:t>
      </w:r>
    </w:p>
    <w:p w:rsidR="005366A8" w:rsidRDefault="005366A8" w:rsidP="005366A8">
      <w:pPr>
        <w:spacing w:after="120"/>
        <w:rPr>
          <w:rFonts w:cs="FrankRuehl"/>
          <w:sz w:val="22"/>
          <w:szCs w:val="22"/>
          <w:rtl/>
        </w:rPr>
      </w:pPr>
      <w:r>
        <w:rPr>
          <w:rFonts w:asciiTheme="minorBidi" w:hAnsiTheme="minorBidi" w:cstheme="minorBidi" w:hint="cs"/>
          <w:sz w:val="22"/>
          <w:szCs w:val="22"/>
          <w:rtl/>
        </w:rPr>
        <w:t xml:space="preserve">בפגישה הקרובה נעסוק </w:t>
      </w:r>
      <w:r w:rsidRPr="00C44580">
        <w:rPr>
          <w:rFonts w:asciiTheme="minorBidi" w:hAnsiTheme="minorBidi" w:cstheme="minorBidi" w:hint="cs"/>
          <w:b/>
          <w:bCs/>
          <w:sz w:val="22"/>
          <w:szCs w:val="22"/>
          <w:u w:val="single"/>
          <w:rtl/>
        </w:rPr>
        <w:t>בממשלה</w:t>
      </w:r>
      <w:r>
        <w:rPr>
          <w:rFonts w:asciiTheme="minorBidi" w:hAnsiTheme="minorBidi" w:cstheme="minorBidi" w:hint="cs"/>
          <w:sz w:val="22"/>
          <w:szCs w:val="22"/>
          <w:rtl/>
        </w:rPr>
        <w:t xml:space="preserve"> ובחלוקת הסמכויות בינה לבין הכנסת. קראו את הדפים שלהלן ואת החומר הנוסף המבוקש לקריאה.</w:t>
      </w:r>
      <w:r>
        <w:rPr>
          <w:rFonts w:cs="FrankRuehl" w:hint="cs"/>
          <w:sz w:val="22"/>
          <w:szCs w:val="22"/>
          <w:rtl/>
        </w:rPr>
        <w:t xml:space="preserve"> </w:t>
      </w:r>
    </w:p>
    <w:p w:rsidR="005366A8" w:rsidRDefault="005366A8" w:rsidP="005366A8">
      <w:pPr>
        <w:spacing w:after="120"/>
        <w:rPr>
          <w:rFonts w:cs="FrankRuehl"/>
          <w:sz w:val="22"/>
          <w:szCs w:val="22"/>
          <w:rtl/>
        </w:rPr>
      </w:pPr>
    </w:p>
    <w:p w:rsidR="005366A8" w:rsidRPr="001D532B" w:rsidRDefault="005366A8" w:rsidP="005366A8">
      <w:pPr>
        <w:pStyle w:val="ListParagraph"/>
        <w:autoSpaceDE w:val="0"/>
        <w:autoSpaceDN w:val="0"/>
        <w:adjustRightInd w:val="0"/>
        <w:spacing w:after="0" w:line="240" w:lineRule="auto"/>
        <w:ind w:right="-142"/>
        <w:rPr>
          <w:rFonts w:cs="David"/>
          <w:sz w:val="20"/>
          <w:szCs w:val="20"/>
          <w:rtl/>
        </w:rPr>
      </w:pPr>
      <w:r>
        <w:rPr>
          <w:rFonts w:cs="David"/>
          <w:sz w:val="20"/>
          <w:szCs w:val="20"/>
          <w:rtl/>
        </w:rPr>
        <w:br w:type="page"/>
      </w:r>
    </w:p>
    <w:p w:rsidR="005366A8" w:rsidRPr="008E605A" w:rsidRDefault="005366A8" w:rsidP="005366A8">
      <w:pPr>
        <w:spacing w:after="240"/>
        <w:jc w:val="center"/>
        <w:rPr>
          <w:rFonts w:ascii="Arial" w:hAnsi="Arial" w:cs="Guttman-Soncino"/>
          <w:b/>
          <w:bCs/>
          <w:sz w:val="36"/>
          <w:szCs w:val="36"/>
          <w:highlight w:val="yellow"/>
          <w:rtl/>
        </w:rPr>
      </w:pPr>
      <w:r>
        <w:rPr>
          <w:rFonts w:ascii="Arial" w:hAnsi="Arial" w:cs="Guttman-Soncino" w:hint="cs"/>
          <w:b/>
          <w:bCs/>
          <w:sz w:val="36"/>
          <w:szCs w:val="36"/>
          <w:highlight w:val="yellow"/>
          <w:rtl/>
        </w:rPr>
        <w:t>המ</w:t>
      </w:r>
      <w:r w:rsidRPr="008E605A">
        <w:rPr>
          <w:rFonts w:ascii="Arial" w:hAnsi="Arial" w:cs="Guttman-Soncino" w:hint="cs"/>
          <w:b/>
          <w:bCs/>
          <w:sz w:val="36"/>
          <w:szCs w:val="36"/>
          <w:highlight w:val="yellow"/>
          <w:rtl/>
        </w:rPr>
        <w:t xml:space="preserve">משלה: </w:t>
      </w:r>
      <w:r>
        <w:rPr>
          <w:rFonts w:ascii="Arial" w:hAnsi="Arial" w:cs="Guttman-Soncino" w:hint="cs"/>
          <w:b/>
          <w:bCs/>
          <w:sz w:val="36"/>
          <w:szCs w:val="36"/>
          <w:highlight w:val="yellow"/>
          <w:rtl/>
        </w:rPr>
        <w:t>סמכויות הממשלה ו</w:t>
      </w:r>
      <w:r w:rsidRPr="008E605A">
        <w:rPr>
          <w:rFonts w:ascii="Arial" w:hAnsi="Arial" w:cs="Guttman-Soncino" w:hint="cs"/>
          <w:b/>
          <w:bCs/>
          <w:sz w:val="36"/>
          <w:szCs w:val="36"/>
          <w:highlight w:val="yellow"/>
          <w:rtl/>
        </w:rPr>
        <w:t>חלוקת הסמכויות בין הכנסת לבי</w:t>
      </w:r>
      <w:r>
        <w:rPr>
          <w:rFonts w:ascii="Arial" w:hAnsi="Arial" w:cs="Guttman-Soncino" w:hint="cs"/>
          <w:b/>
          <w:bCs/>
          <w:sz w:val="36"/>
          <w:szCs w:val="36"/>
          <w:highlight w:val="yellow"/>
          <w:rtl/>
        </w:rPr>
        <w:t>נה</w:t>
      </w:r>
      <w:r w:rsidRPr="008E605A">
        <w:rPr>
          <w:rFonts w:ascii="Arial" w:hAnsi="Arial" w:cs="Guttman-Soncino" w:hint="cs"/>
          <w:b/>
          <w:bCs/>
          <w:sz w:val="36"/>
          <w:szCs w:val="36"/>
          <w:highlight w:val="yellow"/>
          <w:rtl/>
        </w:rPr>
        <w:t xml:space="preserve"> </w:t>
      </w:r>
      <w:r w:rsidRPr="008E605A">
        <w:rPr>
          <w:rFonts w:ascii="Arial" w:hAnsi="Arial" w:cs="Guttman-Soncino"/>
          <w:b/>
          <w:bCs/>
          <w:sz w:val="36"/>
          <w:szCs w:val="36"/>
          <w:highlight w:val="yellow"/>
          <w:rtl/>
        </w:rPr>
        <w:t>–</w:t>
      </w:r>
    </w:p>
    <w:p w:rsidR="005366A8" w:rsidRPr="004B14FA" w:rsidRDefault="005366A8" w:rsidP="005366A8">
      <w:pPr>
        <w:spacing w:after="240"/>
        <w:jc w:val="center"/>
        <w:rPr>
          <w:rFonts w:ascii="Arial" w:hAnsi="Arial" w:cs="Arial"/>
          <w:b/>
          <w:bCs/>
          <w:sz w:val="26"/>
          <w:szCs w:val="26"/>
          <w:highlight w:val="yellow"/>
          <w:u w:val="single"/>
          <w:rtl/>
        </w:rPr>
      </w:pPr>
      <w:r w:rsidRPr="007B47A4">
        <w:rPr>
          <w:rFonts w:ascii="Arial" w:hAnsi="Arial" w:cs="Arial" w:hint="cs"/>
          <w:b/>
          <w:bCs/>
          <w:sz w:val="26"/>
          <w:szCs w:val="26"/>
          <w:highlight w:val="yellow"/>
          <w:u w:val="single"/>
          <w:rtl/>
        </w:rPr>
        <w:t>א.</w:t>
      </w:r>
      <w:r>
        <w:rPr>
          <w:rFonts w:ascii="Arial" w:hAnsi="Arial" w:cs="Arial" w:hint="cs"/>
          <w:b/>
          <w:bCs/>
          <w:sz w:val="26"/>
          <w:szCs w:val="26"/>
          <w:highlight w:val="yellow"/>
          <w:u w:val="single"/>
          <w:rtl/>
        </w:rPr>
        <w:t xml:space="preserve"> </w:t>
      </w:r>
      <w:r w:rsidRPr="004B14FA">
        <w:rPr>
          <w:rFonts w:ascii="Arial" w:hAnsi="Arial" w:cs="Arial" w:hint="cs"/>
          <w:b/>
          <w:bCs/>
          <w:sz w:val="26"/>
          <w:szCs w:val="26"/>
          <w:highlight w:val="yellow"/>
          <w:u w:val="single"/>
          <w:rtl/>
        </w:rPr>
        <w:t xml:space="preserve">"כלל ההסדרים הראשוניים" </w:t>
      </w:r>
    </w:p>
    <w:p w:rsidR="005366A8" w:rsidRDefault="005366A8" w:rsidP="005366A8">
      <w:pPr>
        <w:rPr>
          <w:sz w:val="22"/>
          <w:szCs w:val="22"/>
          <w:highlight w:val="yellow"/>
          <w:rtl/>
        </w:rPr>
      </w:pPr>
      <w:r w:rsidRPr="007327CC">
        <w:rPr>
          <w:rFonts w:hint="cs"/>
          <w:b/>
          <w:bCs/>
          <w:sz w:val="22"/>
          <w:szCs w:val="22"/>
          <w:highlight w:val="yellow"/>
          <w:rtl/>
        </w:rPr>
        <w:t xml:space="preserve">"כלל ההסדרים הראשוניים" </w:t>
      </w:r>
      <w:r>
        <w:rPr>
          <w:rFonts w:hint="cs"/>
          <w:sz w:val="22"/>
          <w:szCs w:val="22"/>
          <w:highlight w:val="yellow"/>
          <w:rtl/>
        </w:rPr>
        <w:t>התחזק בעקבות "פסקת ההגבלה" המלווה את חוקי היסוד בתחום זכויות האדם: "</w:t>
      </w:r>
      <w:r w:rsidRPr="004B14FA">
        <w:rPr>
          <w:sz w:val="22"/>
          <w:szCs w:val="22"/>
          <w:highlight w:val="yellow"/>
          <w:rtl/>
        </w:rPr>
        <w:t xml:space="preserve">אין פוגעים בזכויות שלפי חוק-יסוד זה </w:t>
      </w:r>
      <w:r w:rsidRPr="004B14FA">
        <w:rPr>
          <w:b/>
          <w:bCs/>
          <w:sz w:val="22"/>
          <w:szCs w:val="22"/>
          <w:highlight w:val="yellow"/>
          <w:rtl/>
        </w:rPr>
        <w:t>אלא בחוק</w:t>
      </w:r>
      <w:r w:rsidRPr="004B14FA">
        <w:rPr>
          <w:rFonts w:hint="cs"/>
          <w:b/>
          <w:bCs/>
          <w:sz w:val="22"/>
          <w:szCs w:val="22"/>
          <w:highlight w:val="yellow"/>
          <w:rtl/>
        </w:rPr>
        <w:t>...</w:t>
      </w:r>
      <w:r w:rsidRPr="004B14FA">
        <w:rPr>
          <w:b/>
          <w:bCs/>
          <w:sz w:val="22"/>
          <w:szCs w:val="22"/>
          <w:highlight w:val="yellow"/>
          <w:rtl/>
        </w:rPr>
        <w:t xml:space="preserve"> או לפי חוק</w:t>
      </w:r>
      <w:r w:rsidRPr="004B14FA">
        <w:rPr>
          <w:sz w:val="22"/>
          <w:szCs w:val="22"/>
          <w:highlight w:val="yellow"/>
          <w:rtl/>
        </w:rPr>
        <w:t xml:space="preserve"> כאמור מכוח הסמכה מפורשת בו</w:t>
      </w:r>
      <w:r>
        <w:rPr>
          <w:rFonts w:hint="cs"/>
          <w:sz w:val="22"/>
          <w:szCs w:val="22"/>
          <w:highlight w:val="yellow"/>
          <w:rtl/>
        </w:rPr>
        <w:t>"</w:t>
      </w:r>
      <w:r w:rsidRPr="004B14FA">
        <w:rPr>
          <w:sz w:val="22"/>
          <w:szCs w:val="22"/>
          <w:highlight w:val="yellow"/>
          <w:rtl/>
        </w:rPr>
        <w:t>.</w:t>
      </w:r>
      <w:r>
        <w:rPr>
          <w:rFonts w:hint="cs"/>
          <w:sz w:val="22"/>
          <w:szCs w:val="22"/>
          <w:highlight w:val="yellow"/>
          <w:rtl/>
        </w:rPr>
        <w:t xml:space="preserve">  </w:t>
      </w:r>
    </w:p>
    <w:p w:rsidR="005366A8" w:rsidRPr="005A25BD" w:rsidRDefault="005366A8" w:rsidP="005366A8">
      <w:pPr>
        <w:rPr>
          <w:sz w:val="22"/>
          <w:szCs w:val="22"/>
          <w:rtl/>
        </w:rPr>
      </w:pPr>
      <w:r>
        <w:rPr>
          <w:rFonts w:hint="cs"/>
          <w:sz w:val="22"/>
          <w:szCs w:val="22"/>
          <w:highlight w:val="yellow"/>
          <w:rtl/>
        </w:rPr>
        <w:t>עם זאת, כלל זה</w:t>
      </w:r>
      <w:r w:rsidRPr="007327CC">
        <w:rPr>
          <w:rFonts w:hint="cs"/>
          <w:i/>
          <w:iCs/>
          <w:sz w:val="22"/>
          <w:szCs w:val="22"/>
          <w:highlight w:val="yellow"/>
          <w:rtl/>
        </w:rPr>
        <w:t xml:space="preserve"> אינו חל רק ביחס לפגיעה בזכויות חוקתיות או פגיעה בזכויות-יסוד באופן כללי</w:t>
      </w:r>
      <w:r>
        <w:rPr>
          <w:rFonts w:hint="cs"/>
          <w:sz w:val="22"/>
          <w:szCs w:val="22"/>
          <w:highlight w:val="yellow"/>
          <w:rtl/>
        </w:rPr>
        <w:t xml:space="preserve"> (בז'רנו) אלא גם ביחס להסדרה/רגולציה של תחומי חיים חשובים ופעולות חשובות שמבצעות רשויות השלטון. </w:t>
      </w:r>
      <w:r w:rsidRPr="005A25BD">
        <w:rPr>
          <w:rFonts w:hint="cs"/>
          <w:sz w:val="22"/>
          <w:szCs w:val="22"/>
          <w:rtl/>
        </w:rPr>
        <w:t>ראו:</w:t>
      </w:r>
    </w:p>
    <w:p w:rsidR="005366A8" w:rsidRDefault="005366A8" w:rsidP="005366A8">
      <w:pPr>
        <w:rPr>
          <w:rFonts w:ascii="Arial" w:hAnsi="Arial" w:cs="Arial"/>
          <w:sz w:val="22"/>
          <w:szCs w:val="22"/>
          <w:highlight w:val="yellow"/>
          <w:rtl/>
        </w:rPr>
      </w:pPr>
    </w:p>
    <w:p w:rsidR="005366A8" w:rsidRPr="00A23B49" w:rsidRDefault="005366A8" w:rsidP="005366A8">
      <w:pPr>
        <w:jc w:val="center"/>
        <w:rPr>
          <w:rtl/>
        </w:rPr>
      </w:pPr>
      <w:r w:rsidRPr="0015092A">
        <w:rPr>
          <w:highlight w:val="yellow"/>
          <w:rtl/>
        </w:rPr>
        <w:t xml:space="preserve">בג"צ 6824/07 </w:t>
      </w:r>
      <w:r w:rsidRPr="0015092A">
        <w:rPr>
          <w:b/>
          <w:bCs/>
          <w:highlight w:val="yellow"/>
          <w:rtl/>
        </w:rPr>
        <w:t>מנאע נ' רשות המיסים</w:t>
      </w:r>
      <w:r w:rsidRPr="0015092A">
        <w:rPr>
          <w:highlight w:val="yellow"/>
          <w:rtl/>
        </w:rPr>
        <w:t xml:space="preserve"> (2010)</w:t>
      </w:r>
    </w:p>
    <w:p w:rsidR="005366A8" w:rsidRDefault="005366A8" w:rsidP="005366A8">
      <w:pPr>
        <w:rPr>
          <w:rFonts w:ascii="Arial" w:hAnsi="Arial" w:cs="Arial"/>
          <w:sz w:val="20"/>
          <w:szCs w:val="20"/>
          <w:rtl/>
        </w:rPr>
      </w:pPr>
    </w:p>
    <w:p w:rsidR="005366A8" w:rsidRDefault="005366A8" w:rsidP="005366A8">
      <w:pPr>
        <w:rPr>
          <w:rFonts w:ascii="Arial TUR" w:hAnsi="Arial TUR" w:cs="FrankRuehl"/>
          <w:spacing w:val="10"/>
          <w:sz w:val="22"/>
          <w:szCs w:val="22"/>
          <w:rtl/>
        </w:rPr>
      </w:pPr>
      <w:r w:rsidRPr="007722D0">
        <w:rPr>
          <w:rFonts w:ascii="Arial TUR" w:hAnsi="Arial TUR" w:cs="FrankRuehl" w:hint="cs"/>
          <w:spacing w:val="10"/>
          <w:sz w:val="22"/>
          <w:szCs w:val="22"/>
          <w:rtl/>
        </w:rPr>
        <w:t>14.</w:t>
      </w:r>
      <w:r w:rsidRPr="007722D0">
        <w:rPr>
          <w:rFonts w:ascii="Arial TUR" w:hAnsi="Arial TUR" w:cs="FrankRuehl" w:hint="cs"/>
          <w:spacing w:val="10"/>
          <w:sz w:val="22"/>
          <w:szCs w:val="22"/>
          <w:rtl/>
        </w:rPr>
        <w:tab/>
      </w:r>
      <w:r w:rsidRPr="007722D0">
        <w:rPr>
          <w:rFonts w:ascii="Arial TUR" w:hAnsi="Arial TUR" w:cs="FrankRuehl" w:hint="cs"/>
          <w:spacing w:val="10"/>
          <w:sz w:val="22"/>
          <w:szCs w:val="22"/>
          <w:highlight w:val="yellow"/>
          <w:rtl/>
        </w:rPr>
        <w:t>תחולתו של עיקרון חוקיות המינהל אינה מצטמצמת למצבים שבהם פוגעת הרשות בפעולתה בזכויות יסוד של הפרט. אכן, פרט המבקש לטעון כי בפעולתה חרגה הרשות מן הסמכות המוקנה לה בדין, אינו חייב להצביע על כך שפעולתה של הרשות גרמה לפגיעה בזכויות יסוד או בזכות חוקתית, ובמקרים שונים נתקפה פעולת הרשות בבית המשפט בהתבסס על עיקרון זה, הגם שלא היו לה השלכות על זכויות אדם מוכרות, והשפעתה התמצתה בפגיעה באינטרסים</w:t>
      </w:r>
      <w:r w:rsidRPr="007722D0">
        <w:rPr>
          <w:rFonts w:ascii="Arial TUR" w:hAnsi="Arial TUR" w:cs="FrankRuehl" w:hint="cs"/>
          <w:spacing w:val="10"/>
          <w:sz w:val="22"/>
          <w:szCs w:val="22"/>
          <w:rtl/>
        </w:rPr>
        <w:t xml:space="preserve"> (ראו למשל בג"צ 3424/90 </w:t>
      </w:r>
      <w:r w:rsidRPr="007722D0">
        <w:rPr>
          <w:rFonts w:ascii="Arial TUR" w:hAnsi="Arial TUR" w:cs="Miriam" w:hint="cs"/>
          <w:sz w:val="22"/>
          <w:szCs w:val="22"/>
          <w:rtl/>
        </w:rPr>
        <w:t>איגוד העיתונים היומיים בישראל נ' שר החינוך והתרבות</w:t>
      </w:r>
      <w:r w:rsidRPr="007722D0">
        <w:rPr>
          <w:rFonts w:ascii="Arial TUR" w:hAnsi="Arial TUR" w:cs="FrankRuehl" w:hint="cs"/>
          <w:spacing w:val="10"/>
          <w:sz w:val="22"/>
          <w:szCs w:val="22"/>
          <w:rtl/>
        </w:rPr>
        <w:t xml:space="preserve">, פ"ד מה(2) 24 (1991); בג"צ 6446/96 </w:t>
      </w:r>
      <w:r w:rsidRPr="007722D0">
        <w:rPr>
          <w:rFonts w:ascii="Arial TUR" w:hAnsi="Arial TUR" w:cs="Miriam" w:hint="cs"/>
          <w:sz w:val="22"/>
          <w:szCs w:val="22"/>
          <w:rtl/>
        </w:rPr>
        <w:t>העמותה למען החתול נ' עיריית ערד</w:t>
      </w:r>
      <w:r w:rsidRPr="007722D0">
        <w:rPr>
          <w:rFonts w:ascii="Arial TUR" w:hAnsi="Arial TUR" w:cs="FrankRuehl" w:hint="cs"/>
          <w:spacing w:val="10"/>
          <w:sz w:val="22"/>
          <w:szCs w:val="22"/>
          <w:rtl/>
        </w:rPr>
        <w:t xml:space="preserve">, פ"ד נה(1) 769 (1998)). </w:t>
      </w:r>
    </w:p>
    <w:p w:rsidR="005366A8" w:rsidRDefault="005366A8" w:rsidP="005366A8">
      <w:pPr>
        <w:rPr>
          <w:rFonts w:ascii="Arial" w:hAnsi="Arial" w:cs="Arial"/>
          <w:sz w:val="22"/>
          <w:szCs w:val="22"/>
          <w:highlight w:val="yellow"/>
          <w:rtl/>
        </w:rPr>
      </w:pPr>
      <w:r w:rsidRPr="007722D0">
        <w:rPr>
          <w:rFonts w:ascii="Arial TUR" w:hAnsi="Arial TUR" w:cs="FrankRuehl" w:hint="cs"/>
          <w:spacing w:val="10"/>
          <w:sz w:val="22"/>
          <w:szCs w:val="22"/>
          <w:rtl/>
        </w:rPr>
        <w:t xml:space="preserve">עם זאת, כשפעולתה של הרשות עלולה להביא לפגיעה בזכות יסוד מוכרת, מקבלת ההקפדה על עיקרון זה משנה חשיבות. לפיכך, </w:t>
      </w:r>
      <w:r w:rsidRPr="007722D0">
        <w:rPr>
          <w:rFonts w:ascii="Arial TUR" w:hAnsi="Arial TUR" w:cs="FrankRuehl" w:hint="cs"/>
          <w:spacing w:val="10"/>
          <w:sz w:val="22"/>
          <w:szCs w:val="22"/>
          <w:highlight w:val="yellow"/>
          <w:rtl/>
        </w:rPr>
        <w:t>נקבע כי כאשר הפעולה המינהלית שבנדון עלולה להביא לפגיעה בזכויות הפרט, אין הרשות יוצאת ידי חובתה בהצבעה על הוראת חוק כללית שיכולה להתפרש כמקור הסמכה לפעולתה</w:t>
      </w:r>
      <w:r w:rsidRPr="007722D0">
        <w:rPr>
          <w:rFonts w:ascii="Arial TUR" w:hAnsi="Arial TUR" w:cs="FrankRuehl" w:hint="cs"/>
          <w:spacing w:val="10"/>
          <w:sz w:val="22"/>
          <w:szCs w:val="22"/>
          <w:rtl/>
        </w:rPr>
        <w:t xml:space="preserve"> (בג"צ 5100/94 </w:t>
      </w:r>
      <w:r w:rsidRPr="007722D0">
        <w:rPr>
          <w:rFonts w:ascii="Arial TUR" w:hAnsi="Arial TUR" w:cs="Miriam" w:hint="cs"/>
          <w:sz w:val="22"/>
          <w:szCs w:val="22"/>
          <w:rtl/>
        </w:rPr>
        <w:t>הועד הציבורי נ' עינויים בישראל נ' ממשלת ישראל</w:t>
      </w:r>
      <w:r w:rsidRPr="007722D0">
        <w:rPr>
          <w:rFonts w:ascii="Arial TUR" w:hAnsi="Arial TUR" w:cs="FrankRuehl" w:hint="cs"/>
          <w:spacing w:val="10"/>
          <w:sz w:val="22"/>
          <w:szCs w:val="22"/>
          <w:rtl/>
        </w:rPr>
        <w:t xml:space="preserve">, פ"ד נג(4) 817 (1999)). </w:t>
      </w:r>
      <w:r w:rsidRPr="007722D0">
        <w:rPr>
          <w:rFonts w:ascii="Arial TUR" w:hAnsi="Arial TUR" w:cs="FrankRuehl" w:hint="cs"/>
          <w:spacing w:val="10"/>
          <w:sz w:val="22"/>
          <w:szCs w:val="22"/>
          <w:highlight w:val="yellow"/>
          <w:rtl/>
        </w:rPr>
        <w:t xml:space="preserve">במקרה שכזה, על ההסמכה לפעולה להיות </w:t>
      </w:r>
      <w:r w:rsidRPr="007722D0">
        <w:rPr>
          <w:rFonts w:ascii="Arial TUR" w:hAnsi="Arial TUR" w:cs="Miriam" w:hint="cs"/>
          <w:sz w:val="22"/>
          <w:szCs w:val="22"/>
          <w:highlight w:val="yellow"/>
          <w:rtl/>
        </w:rPr>
        <w:t>ברורה, מפורטת ומפורשת</w:t>
      </w:r>
      <w:r w:rsidRPr="007722D0">
        <w:rPr>
          <w:rFonts w:ascii="Arial TUR" w:hAnsi="Arial TUR" w:cs="FrankRuehl" w:hint="cs"/>
          <w:spacing w:val="10"/>
          <w:sz w:val="22"/>
          <w:szCs w:val="22"/>
          <w:highlight w:val="yellow"/>
          <w:rtl/>
        </w:rPr>
        <w:t xml:space="preserve"> בחקיקה ראשית</w:t>
      </w:r>
      <w:r w:rsidRPr="007722D0">
        <w:rPr>
          <w:rFonts w:ascii="Arial TUR" w:hAnsi="Arial TUR" w:cs="FrankRuehl" w:hint="cs"/>
          <w:spacing w:val="10"/>
          <w:sz w:val="22"/>
          <w:szCs w:val="22"/>
          <w:rtl/>
        </w:rPr>
        <w:t xml:space="preserve"> (בג"צ 3355/79 </w:t>
      </w:r>
      <w:r w:rsidRPr="007722D0">
        <w:rPr>
          <w:rFonts w:ascii="Arial TUR" w:hAnsi="Arial TUR" w:cs="Miriam" w:hint="cs"/>
          <w:sz w:val="22"/>
          <w:szCs w:val="22"/>
          <w:rtl/>
        </w:rPr>
        <w:t>קטלן נ' שירות בתי הסוהר</w:t>
      </w:r>
      <w:r w:rsidRPr="007722D0">
        <w:rPr>
          <w:rFonts w:ascii="Arial TUR" w:hAnsi="Arial TUR" w:cs="FrankRuehl" w:hint="cs"/>
          <w:spacing w:val="10"/>
          <w:sz w:val="22"/>
          <w:szCs w:val="22"/>
          <w:rtl/>
        </w:rPr>
        <w:t xml:space="preserve">, פ"ד לד(3) 294 (1980); בג"צ 1437/02 </w:t>
      </w:r>
      <w:r w:rsidRPr="007722D0">
        <w:rPr>
          <w:rFonts w:ascii="Arial TUR" w:hAnsi="Arial TUR" w:cs="Miriam" w:hint="cs"/>
          <w:sz w:val="22"/>
          <w:szCs w:val="22"/>
          <w:rtl/>
        </w:rPr>
        <w:t>האגודה לזכויות האזרח בישראל נ' השר לביטחון פנים</w:t>
      </w:r>
      <w:r w:rsidRPr="007722D0">
        <w:rPr>
          <w:rFonts w:ascii="Arial TUR" w:hAnsi="Arial TUR" w:cs="FrankRuehl" w:hint="cs"/>
          <w:spacing w:val="10"/>
          <w:sz w:val="22"/>
          <w:szCs w:val="22"/>
          <w:rtl/>
        </w:rPr>
        <w:t>, פ"ד נח(2) 746, 762 (2004)).</w:t>
      </w:r>
    </w:p>
    <w:p w:rsidR="005366A8" w:rsidRDefault="005366A8" w:rsidP="005366A8">
      <w:pPr>
        <w:rPr>
          <w:rFonts w:ascii="Arial" w:hAnsi="Arial" w:cs="Arial"/>
          <w:sz w:val="22"/>
          <w:szCs w:val="22"/>
          <w:highlight w:val="yellow"/>
          <w:rtl/>
        </w:rPr>
      </w:pPr>
    </w:p>
    <w:p w:rsidR="005366A8" w:rsidRPr="005F2902" w:rsidRDefault="005366A8" w:rsidP="005366A8">
      <w:pPr>
        <w:rPr>
          <w:rFonts w:ascii="Arial" w:hAnsi="Arial" w:cs="Arial"/>
          <w:b/>
          <w:bCs/>
          <w:sz w:val="22"/>
          <w:szCs w:val="22"/>
          <w:highlight w:val="yellow"/>
          <w:u w:val="single"/>
          <w:rtl/>
        </w:rPr>
      </w:pPr>
      <w:r w:rsidRPr="005F2902">
        <w:rPr>
          <w:rFonts w:ascii="Arial" w:hAnsi="Arial" w:cs="Arial" w:hint="cs"/>
          <w:b/>
          <w:bCs/>
          <w:sz w:val="22"/>
          <w:szCs w:val="22"/>
          <w:highlight w:val="yellow"/>
          <w:u w:val="single"/>
          <w:rtl/>
        </w:rPr>
        <w:t>"כלל ההסדרים הראשוניים" והחריגים לו</w:t>
      </w:r>
    </w:p>
    <w:p w:rsidR="005366A8" w:rsidRDefault="005366A8" w:rsidP="005366A8">
      <w:pPr>
        <w:rPr>
          <w:rFonts w:ascii="Arial" w:hAnsi="Arial" w:cs="Arial"/>
          <w:sz w:val="22"/>
          <w:szCs w:val="22"/>
          <w:highlight w:val="yellow"/>
          <w:rtl/>
        </w:rPr>
      </w:pPr>
    </w:p>
    <w:p w:rsidR="005366A8" w:rsidRPr="004B14FA" w:rsidRDefault="005366A8" w:rsidP="005366A8">
      <w:pPr>
        <w:spacing w:after="240"/>
        <w:rPr>
          <w:sz w:val="22"/>
          <w:szCs w:val="22"/>
          <w:rtl/>
        </w:rPr>
      </w:pPr>
      <w:r w:rsidRPr="004B14FA">
        <w:rPr>
          <w:rFonts w:ascii="Arial" w:hAnsi="Arial" w:cs="Arial"/>
          <w:sz w:val="22"/>
          <w:szCs w:val="22"/>
          <w:highlight w:val="yellow"/>
          <w:rtl/>
        </w:rPr>
        <w:t xml:space="preserve">בג"צ 3267/97 </w:t>
      </w:r>
      <w:r w:rsidRPr="004B14FA">
        <w:rPr>
          <w:rFonts w:ascii="Arial" w:hAnsi="Arial" w:cs="Arial"/>
          <w:b/>
          <w:bCs/>
          <w:sz w:val="22"/>
          <w:szCs w:val="22"/>
          <w:highlight w:val="yellow"/>
          <w:rtl/>
        </w:rPr>
        <w:t>רובינשטיין נ' שר הביטחון</w:t>
      </w:r>
      <w:r w:rsidRPr="004B14FA">
        <w:rPr>
          <w:rFonts w:ascii="Arial" w:hAnsi="Arial" w:cs="Arial"/>
          <w:sz w:val="22"/>
          <w:szCs w:val="22"/>
          <w:highlight w:val="yellow"/>
          <w:rtl/>
        </w:rPr>
        <w:t>, פ"ד נב(5) 481</w:t>
      </w:r>
      <w:r w:rsidRPr="004B14FA">
        <w:rPr>
          <w:rFonts w:hint="cs"/>
          <w:sz w:val="22"/>
          <w:szCs w:val="22"/>
          <w:rtl/>
        </w:rPr>
        <w:t xml:space="preserve"> </w:t>
      </w:r>
    </w:p>
    <w:p w:rsidR="005366A8" w:rsidRDefault="005366A8" w:rsidP="005366A8">
      <w:pPr>
        <w:rPr>
          <w:sz w:val="20"/>
          <w:szCs w:val="20"/>
          <w:rtl/>
        </w:rPr>
      </w:pPr>
      <w:r>
        <w:rPr>
          <w:rFonts w:hint="cs"/>
          <w:sz w:val="20"/>
          <w:szCs w:val="20"/>
          <w:rtl/>
        </w:rPr>
        <w:t>[פסק דין זה הוביל ל"חוק טל" (</w:t>
      </w:r>
      <w:r w:rsidRPr="001E5655">
        <w:rPr>
          <w:rFonts w:hint="cs"/>
          <w:b/>
          <w:bCs/>
          <w:sz w:val="20"/>
          <w:szCs w:val="20"/>
          <w:rtl/>
        </w:rPr>
        <w:t>חוק דחיית שירות לתלמידי ישיבות שתורתם אומנותם, התשס"ב-2002</w:t>
      </w:r>
      <w:r>
        <w:rPr>
          <w:rFonts w:hint="cs"/>
          <w:sz w:val="20"/>
          <w:szCs w:val="20"/>
          <w:rtl/>
        </w:rPr>
        <w:t>),</w:t>
      </w:r>
      <w:r>
        <w:rPr>
          <w:rFonts w:hint="cs"/>
          <w:b/>
          <w:bCs/>
          <w:sz w:val="20"/>
          <w:szCs w:val="20"/>
          <w:rtl/>
        </w:rPr>
        <w:t xml:space="preserve"> </w:t>
      </w:r>
      <w:r>
        <w:rPr>
          <w:rFonts w:hint="cs"/>
          <w:sz w:val="20"/>
          <w:szCs w:val="20"/>
          <w:rtl/>
        </w:rPr>
        <w:t xml:space="preserve">שאותו כבר פגשנו, ושבוטל בפסק דין </w:t>
      </w:r>
      <w:r w:rsidRPr="005A25BD">
        <w:rPr>
          <w:rFonts w:hint="cs"/>
          <w:b/>
          <w:bCs/>
          <w:sz w:val="20"/>
          <w:szCs w:val="20"/>
          <w:rtl/>
        </w:rPr>
        <w:t>חוק טל 2</w:t>
      </w:r>
      <w:r>
        <w:rPr>
          <w:rFonts w:hint="cs"/>
          <w:sz w:val="20"/>
          <w:szCs w:val="20"/>
          <w:rtl/>
        </w:rPr>
        <w:t xml:space="preserve">.  בפס"ד </w:t>
      </w:r>
      <w:r w:rsidRPr="001E5655">
        <w:rPr>
          <w:rFonts w:hint="cs"/>
          <w:b/>
          <w:bCs/>
          <w:sz w:val="20"/>
          <w:szCs w:val="20"/>
          <w:rtl/>
        </w:rPr>
        <w:t xml:space="preserve">רובינשטיין </w:t>
      </w:r>
      <w:r>
        <w:rPr>
          <w:rFonts w:hint="cs"/>
          <w:sz w:val="20"/>
          <w:szCs w:val="20"/>
          <w:rtl/>
        </w:rPr>
        <w:t xml:space="preserve">נתקפה הסתמכותו של שר הביטחון על </w:t>
      </w:r>
      <w:r w:rsidRPr="005D7D97">
        <w:rPr>
          <w:rFonts w:hint="cs"/>
          <w:b/>
          <w:bCs/>
          <w:sz w:val="20"/>
          <w:szCs w:val="20"/>
          <w:rtl/>
        </w:rPr>
        <w:t>סע' 36 לחוק שירות ביטחון [נוסח משולב], התשמ"ו-1986</w:t>
      </w:r>
      <w:r>
        <w:rPr>
          <w:rFonts w:hint="cs"/>
          <w:sz w:val="20"/>
          <w:szCs w:val="20"/>
          <w:rtl/>
        </w:rPr>
        <w:t xml:space="preserve"> כבסיס לפטור משירות צבאי שניתן לתלמידי ישיבות.]</w:t>
      </w:r>
    </w:p>
    <w:p w:rsidR="005366A8" w:rsidRDefault="005366A8" w:rsidP="005366A8">
      <w:pPr>
        <w:rPr>
          <w:b/>
          <w:bCs/>
          <w:sz w:val="20"/>
          <w:szCs w:val="20"/>
          <w:rtl/>
        </w:rPr>
      </w:pPr>
    </w:p>
    <w:p w:rsidR="005366A8" w:rsidRPr="000561C7" w:rsidRDefault="005366A8" w:rsidP="005366A8">
      <w:pPr>
        <w:rPr>
          <w:b/>
          <w:bCs/>
          <w:sz w:val="20"/>
          <w:szCs w:val="20"/>
          <w:rtl/>
        </w:rPr>
      </w:pPr>
      <w:r w:rsidRPr="000561C7">
        <w:rPr>
          <w:rFonts w:hint="cs"/>
          <w:b/>
          <w:bCs/>
          <w:sz w:val="20"/>
          <w:szCs w:val="20"/>
          <w:rtl/>
        </w:rPr>
        <w:t>סע' 36 לחוק שירות ביטחון [נוסח משולב], תשמ"ו-1986:</w:t>
      </w:r>
    </w:p>
    <w:p w:rsidR="005366A8" w:rsidRPr="006E44C1" w:rsidRDefault="005366A8" w:rsidP="005366A8">
      <w:pPr>
        <w:ind w:left="720"/>
        <w:rPr>
          <w:rFonts w:cs="David"/>
          <w:b/>
          <w:bCs/>
          <w:sz w:val="20"/>
          <w:szCs w:val="20"/>
          <w:rtl/>
        </w:rPr>
      </w:pPr>
      <w:r w:rsidRPr="006E44C1">
        <w:rPr>
          <w:rFonts w:cs="David"/>
          <w:b/>
          <w:bCs/>
          <w:sz w:val="20"/>
          <w:szCs w:val="20"/>
          <w:rtl/>
        </w:rPr>
        <w:t>ש</w:t>
      </w:r>
      <w:r w:rsidRPr="006E44C1">
        <w:rPr>
          <w:rFonts w:cs="David" w:hint="cs"/>
          <w:b/>
          <w:bCs/>
          <w:sz w:val="20"/>
          <w:szCs w:val="20"/>
          <w:rtl/>
        </w:rPr>
        <w:t>ר</w:t>
      </w:r>
      <w:r w:rsidRPr="006E44C1">
        <w:rPr>
          <w:rFonts w:cs="David"/>
          <w:b/>
          <w:bCs/>
          <w:sz w:val="20"/>
          <w:szCs w:val="20"/>
          <w:rtl/>
        </w:rPr>
        <w:t xml:space="preserve"> </w:t>
      </w:r>
      <w:r w:rsidRPr="006E44C1">
        <w:rPr>
          <w:rFonts w:cs="David" w:hint="cs"/>
          <w:b/>
          <w:bCs/>
          <w:sz w:val="20"/>
          <w:szCs w:val="20"/>
          <w:rtl/>
        </w:rPr>
        <w:t>הבטחון רשאי בצו, אם ראה לעשות כן מטעמים הקשורים בהיקף הכוחות הסדירים או כוחות המילואים של צבא- הגנה לישראל, או מטעמים הקשורים בצרכי החינוך, הה</w:t>
      </w:r>
      <w:r w:rsidRPr="006E44C1">
        <w:rPr>
          <w:rFonts w:cs="David"/>
          <w:b/>
          <w:bCs/>
          <w:sz w:val="20"/>
          <w:szCs w:val="20"/>
          <w:rtl/>
        </w:rPr>
        <w:t>ת</w:t>
      </w:r>
      <w:r w:rsidRPr="006E44C1">
        <w:rPr>
          <w:rFonts w:cs="David" w:hint="cs"/>
          <w:b/>
          <w:bCs/>
          <w:sz w:val="20"/>
          <w:szCs w:val="20"/>
          <w:rtl/>
        </w:rPr>
        <w:t>י</w:t>
      </w:r>
      <w:r w:rsidRPr="006E44C1">
        <w:rPr>
          <w:rFonts w:cs="David"/>
          <w:b/>
          <w:bCs/>
          <w:sz w:val="20"/>
          <w:szCs w:val="20"/>
          <w:rtl/>
        </w:rPr>
        <w:t>י</w:t>
      </w:r>
      <w:r w:rsidRPr="006E44C1">
        <w:rPr>
          <w:rFonts w:cs="David" w:hint="cs"/>
          <w:b/>
          <w:bCs/>
          <w:sz w:val="20"/>
          <w:szCs w:val="20"/>
          <w:rtl/>
        </w:rPr>
        <w:t xml:space="preserve">שבות הבטחונית או המשק הלאומי, או מטעמי משפחה או מטעמים אחרים - </w:t>
      </w:r>
    </w:p>
    <w:p w:rsidR="005366A8" w:rsidRDefault="005366A8" w:rsidP="005366A8">
      <w:pPr>
        <w:ind w:left="720"/>
        <w:rPr>
          <w:sz w:val="20"/>
          <w:szCs w:val="20"/>
          <w:rtl/>
        </w:rPr>
      </w:pPr>
      <w:r w:rsidRPr="006E44C1">
        <w:rPr>
          <w:rFonts w:cs="David"/>
          <w:b/>
          <w:bCs/>
          <w:sz w:val="20"/>
          <w:szCs w:val="20"/>
          <w:rtl/>
        </w:rPr>
        <w:t>(1)</w:t>
      </w:r>
      <w:r w:rsidRPr="006E44C1">
        <w:rPr>
          <w:rFonts w:cs="David"/>
          <w:b/>
          <w:bCs/>
          <w:sz w:val="20"/>
          <w:szCs w:val="20"/>
          <w:rtl/>
        </w:rPr>
        <w:tab/>
      </w:r>
      <w:r w:rsidRPr="006E44C1">
        <w:rPr>
          <w:rFonts w:cs="David" w:hint="cs"/>
          <w:b/>
          <w:bCs/>
          <w:sz w:val="20"/>
          <w:szCs w:val="20"/>
          <w:rtl/>
        </w:rPr>
        <w:t>ל</w:t>
      </w:r>
      <w:r w:rsidRPr="006E44C1">
        <w:rPr>
          <w:rFonts w:cs="David"/>
          <w:b/>
          <w:bCs/>
          <w:sz w:val="20"/>
          <w:szCs w:val="20"/>
          <w:rtl/>
        </w:rPr>
        <w:t>פ</w:t>
      </w:r>
      <w:r w:rsidRPr="006E44C1">
        <w:rPr>
          <w:rFonts w:cs="David" w:hint="cs"/>
          <w:b/>
          <w:bCs/>
          <w:sz w:val="20"/>
          <w:szCs w:val="20"/>
          <w:rtl/>
        </w:rPr>
        <w:t>טור יוצא-צבא מחובת שירות סדיר, או להפחית את תקופת שירותו;</w:t>
      </w:r>
    </w:p>
    <w:p w:rsidR="005366A8" w:rsidRPr="003D53BC" w:rsidRDefault="005366A8" w:rsidP="005366A8">
      <w:pPr>
        <w:ind w:left="720"/>
        <w:rPr>
          <w:sz w:val="20"/>
          <w:szCs w:val="20"/>
          <w:rtl/>
        </w:rPr>
      </w:pPr>
    </w:p>
    <w:p w:rsidR="005366A8" w:rsidRDefault="005366A8" w:rsidP="005366A8">
      <w:pPr>
        <w:rPr>
          <w:sz w:val="20"/>
          <w:szCs w:val="20"/>
          <w:rtl/>
        </w:rPr>
      </w:pPr>
      <w:r>
        <w:rPr>
          <w:rFonts w:hint="cs"/>
          <w:sz w:val="20"/>
          <w:szCs w:val="20"/>
          <w:rtl/>
        </w:rPr>
        <w:t>19</w:t>
      </w:r>
      <w:r w:rsidRPr="00915591">
        <w:rPr>
          <w:sz w:val="20"/>
          <w:szCs w:val="20"/>
          <w:rtl/>
        </w:rPr>
        <w:t>. כלל בסיסי של המשפט הציבורי בישראל קובע, כי מקום שפעולת שלטון מעוגנת בתקנה או בהוראת מינהל, מן הראוי הוא כי המדיניות הכללית ואמות המידה העקרוניות המונחות ביסוד הפעולה יעוגנו בחקיקה ראשית שמכוחה הותקנה התקנה או נעשתה הוראת המינהל. בלשון "טכנית" יותר קובע הכלל הבסיסי, כי "הסדרים ראשוניים" הקובעים את המדיניות הכללית ואת העקרונות המנחים - צריכים להיקבע בחוק של הכנסת, ואילו התקנות או הוראות המינהל צריכות לקבוע אך "הסדרים משניים"</w:t>
      </w:r>
      <w:r w:rsidRPr="00915591">
        <w:rPr>
          <w:rFonts w:hint="cs"/>
          <w:sz w:val="20"/>
          <w:szCs w:val="20"/>
          <w:rtl/>
        </w:rPr>
        <w:t xml:space="preserve"> […].  </w:t>
      </w:r>
      <w:r w:rsidRPr="00915591">
        <w:rPr>
          <w:sz w:val="20"/>
          <w:szCs w:val="20"/>
          <w:rtl/>
        </w:rPr>
        <w:t>נכנה זאת הכלל הבסיסי בדבר ההסדרים הראשוניים.</w:t>
      </w:r>
    </w:p>
    <w:p w:rsidR="005366A8" w:rsidRPr="00915591" w:rsidRDefault="005366A8" w:rsidP="005366A8">
      <w:pPr>
        <w:rPr>
          <w:sz w:val="20"/>
          <w:szCs w:val="20"/>
          <w:rtl/>
        </w:rPr>
      </w:pPr>
    </w:p>
    <w:p w:rsidR="005366A8" w:rsidRPr="00D91C37" w:rsidRDefault="005366A8" w:rsidP="005366A8">
      <w:pPr>
        <w:rPr>
          <w:rFonts w:cs="David"/>
          <w:b/>
          <w:bCs/>
          <w:sz w:val="20"/>
          <w:szCs w:val="20"/>
          <w:rtl/>
        </w:rPr>
      </w:pPr>
      <w:r w:rsidRPr="00D91C37">
        <w:rPr>
          <w:rFonts w:cs="David"/>
          <w:b/>
          <w:bCs/>
          <w:sz w:val="20"/>
          <w:szCs w:val="20"/>
          <w:highlight w:val="yellow"/>
          <w:rtl/>
        </w:rPr>
        <w:t>הסדרים ראשוניים - מהם?</w:t>
      </w:r>
      <w:r w:rsidRPr="00D91C37">
        <w:rPr>
          <w:rFonts w:cs="David"/>
          <w:b/>
          <w:bCs/>
          <w:sz w:val="20"/>
          <w:szCs w:val="20"/>
          <w:rtl/>
        </w:rPr>
        <w:t xml:space="preserve"> </w:t>
      </w:r>
    </w:p>
    <w:p w:rsidR="005366A8" w:rsidRDefault="005366A8" w:rsidP="005366A8">
      <w:pPr>
        <w:rPr>
          <w:sz w:val="20"/>
          <w:szCs w:val="20"/>
          <w:rtl/>
        </w:rPr>
      </w:pPr>
      <w:r w:rsidRPr="00915591">
        <w:rPr>
          <w:sz w:val="20"/>
          <w:szCs w:val="20"/>
          <w:rtl/>
        </w:rPr>
        <w:t xml:space="preserve">24. </w:t>
      </w:r>
      <w:r w:rsidRPr="00915591">
        <w:rPr>
          <w:rFonts w:hint="cs"/>
          <w:sz w:val="20"/>
          <w:szCs w:val="20"/>
          <w:rtl/>
        </w:rPr>
        <w:t>[…]</w:t>
      </w:r>
      <w:r w:rsidRPr="00915591">
        <w:rPr>
          <w:sz w:val="20"/>
          <w:szCs w:val="20"/>
          <w:rtl/>
        </w:rPr>
        <w:t xml:space="preserve"> מן הראוי שדבר החקיקה הראשי - המסמיך את הרשות המבצעת לקבוע חקיקת משנה או הוראות מינהל - יקבע את התכנית הכללית, כך שחקיקת המשנה והוראות הביצוע יגשימו את שהוסדר באופן עקרוני בחקיקה הראשית. החוק הוא זה שאמור לקבוע אמות מידה לפתרונן של הכרעות גורליות, עקרוניות ומהותיות לחיי הפרט. אכן, הסדר ראשוני קיים מקום שמתוך החוק עצמו - על פי פרשנותו בדרכי הפרשנות המקובלות - ניתן להסיק את</w:t>
      </w:r>
      <w:r w:rsidRPr="000935A9">
        <w:rPr>
          <w:b/>
          <w:bCs/>
          <w:sz w:val="20"/>
          <w:szCs w:val="20"/>
          <w:rtl/>
        </w:rPr>
        <w:t xml:space="preserve"> המיתחם שבגדריו פועלת הרשות המבצעת, ואת הכיוון, העיקרים או התכלית שאמורים להנחות את הרשות המבצעת בפעולתה. </w:t>
      </w:r>
      <w:r w:rsidRPr="000935A9">
        <w:rPr>
          <w:rFonts w:hint="cs"/>
          <w:b/>
          <w:bCs/>
          <w:sz w:val="20"/>
          <w:szCs w:val="20"/>
          <w:rtl/>
        </w:rPr>
        <w:t>[…]</w:t>
      </w:r>
      <w:r w:rsidRPr="000935A9">
        <w:rPr>
          <w:b/>
          <w:bCs/>
          <w:sz w:val="20"/>
          <w:szCs w:val="20"/>
          <w:rtl/>
        </w:rPr>
        <w:t>אכן, הסדר ראשוני קיים, מקום שהחוק עצמו קובע עקרונות או אמות מידה (סטנדרטים)</w:t>
      </w:r>
      <w:r w:rsidRPr="00915591">
        <w:rPr>
          <w:sz w:val="20"/>
          <w:szCs w:val="20"/>
          <w:rtl/>
        </w:rPr>
        <w:t xml:space="preserve"> </w:t>
      </w:r>
      <w:r w:rsidRPr="00301777">
        <w:rPr>
          <w:b/>
          <w:bCs/>
          <w:sz w:val="20"/>
          <w:szCs w:val="20"/>
          <w:rtl/>
        </w:rPr>
        <w:t>ברמה הגבוהה אותם צריך להגשים ברמה נמוכה יותר.</w:t>
      </w:r>
      <w:r w:rsidRPr="00915591">
        <w:rPr>
          <w:sz w:val="20"/>
          <w:szCs w:val="20"/>
          <w:rtl/>
        </w:rPr>
        <w:t xml:space="preserve"> רמת ההפשטה של ההסדר הראשוני משתנה מעניין לעניין. </w:t>
      </w:r>
      <w:r w:rsidRPr="00301777">
        <w:rPr>
          <w:b/>
          <w:bCs/>
          <w:sz w:val="20"/>
          <w:szCs w:val="20"/>
          <w:rtl/>
        </w:rPr>
        <w:t xml:space="preserve">ככל שהפגיעה בחירותו של הפרט גדולה יותר, כן אין להסתפק ברמת הפשטה גבוהה מדי, ונדרש הסדר בחקיקה הראשית הקובע, ולו רק באופן כללי, את מהות הפגיעה או היקף הפגיעה בחירות. </w:t>
      </w:r>
      <w:r>
        <w:rPr>
          <w:rFonts w:hint="cs"/>
          <w:b/>
          <w:bCs/>
          <w:sz w:val="20"/>
          <w:szCs w:val="20"/>
          <w:rtl/>
        </w:rPr>
        <w:t xml:space="preserve">[ואילו] </w:t>
      </w:r>
      <w:r w:rsidRPr="00301777">
        <w:rPr>
          <w:b/>
          <w:bCs/>
          <w:sz w:val="20"/>
          <w:szCs w:val="20"/>
          <w:rtl/>
        </w:rPr>
        <w:t xml:space="preserve">כאשר אובייקט ההסדר הוא נושא מורכב, הדורש מומחיות רבה, ניתן לא פעם להסתפק </w:t>
      </w:r>
      <w:r>
        <w:rPr>
          <w:rFonts w:hint="cs"/>
          <w:b/>
          <w:bCs/>
          <w:sz w:val="20"/>
          <w:szCs w:val="20"/>
          <w:rtl/>
        </w:rPr>
        <w:t xml:space="preserve">[בכך שהחוק ינוסח] </w:t>
      </w:r>
      <w:r w:rsidRPr="00301777">
        <w:rPr>
          <w:b/>
          <w:bCs/>
          <w:sz w:val="20"/>
          <w:szCs w:val="20"/>
          <w:rtl/>
        </w:rPr>
        <w:t>ברמת הפשטה גבוהה</w:t>
      </w:r>
      <w:r w:rsidRPr="00301777">
        <w:rPr>
          <w:rFonts w:hint="cs"/>
          <w:b/>
          <w:bCs/>
          <w:sz w:val="20"/>
          <w:szCs w:val="20"/>
          <w:rtl/>
        </w:rPr>
        <w:t xml:space="preserve"> </w:t>
      </w:r>
      <w:r w:rsidRPr="00915591">
        <w:rPr>
          <w:rFonts w:hint="cs"/>
          <w:sz w:val="20"/>
          <w:szCs w:val="20"/>
          <w:rtl/>
        </w:rPr>
        <w:t>[…].</w:t>
      </w:r>
    </w:p>
    <w:p w:rsidR="005366A8" w:rsidRDefault="005366A8" w:rsidP="005366A8">
      <w:pPr>
        <w:rPr>
          <w:sz w:val="20"/>
          <w:szCs w:val="20"/>
          <w:rtl/>
        </w:rPr>
      </w:pPr>
    </w:p>
    <w:p w:rsidR="005366A8" w:rsidRPr="00D91C37" w:rsidRDefault="005366A8" w:rsidP="005366A8">
      <w:pPr>
        <w:rPr>
          <w:rFonts w:cs="David"/>
          <w:b/>
          <w:bCs/>
          <w:sz w:val="20"/>
          <w:szCs w:val="20"/>
          <w:rtl/>
        </w:rPr>
      </w:pPr>
      <w:r w:rsidRPr="00D91C37">
        <w:rPr>
          <w:rFonts w:cs="David" w:hint="cs"/>
          <w:b/>
          <w:bCs/>
          <w:sz w:val="20"/>
          <w:szCs w:val="20"/>
          <w:highlight w:val="yellow"/>
          <w:rtl/>
        </w:rPr>
        <w:t>ההבחנה בין הסדר ראשוני למשני:</w:t>
      </w:r>
      <w:r w:rsidRPr="00D91C37">
        <w:rPr>
          <w:rFonts w:cs="David" w:hint="cs"/>
          <w:b/>
          <w:bCs/>
          <w:sz w:val="20"/>
          <w:szCs w:val="20"/>
          <w:rtl/>
        </w:rPr>
        <w:t xml:space="preserve"> </w:t>
      </w:r>
    </w:p>
    <w:p w:rsidR="005366A8" w:rsidRDefault="005366A8" w:rsidP="005366A8">
      <w:pPr>
        <w:rPr>
          <w:sz w:val="20"/>
          <w:szCs w:val="20"/>
          <w:rtl/>
        </w:rPr>
      </w:pPr>
      <w:r w:rsidRPr="00915591">
        <w:rPr>
          <w:sz w:val="20"/>
          <w:szCs w:val="20"/>
          <w:rtl/>
        </w:rPr>
        <w:t xml:space="preserve">.25 בהקשר זה, מן הראוי הוא להעיר שתי הערות: ראשית, </w:t>
      </w:r>
      <w:r w:rsidRPr="00915591">
        <w:rPr>
          <w:b/>
          <w:bCs/>
          <w:sz w:val="20"/>
          <w:szCs w:val="20"/>
          <w:rtl/>
        </w:rPr>
        <w:t>ההבחנה בין הסדר ראשוני למשני אינה חדה</w:t>
      </w:r>
      <w:r w:rsidRPr="00915591">
        <w:rPr>
          <w:sz w:val="20"/>
          <w:szCs w:val="20"/>
          <w:rtl/>
        </w:rPr>
        <w:t xml:space="preserve">. קיימת אי בהירות רבה בקביעת הגבול המבחין בין שני סוגי ההסדרים. </w:t>
      </w:r>
      <w:r w:rsidRPr="00915591">
        <w:rPr>
          <w:rFonts w:hint="cs"/>
          <w:sz w:val="20"/>
          <w:szCs w:val="20"/>
          <w:rtl/>
        </w:rPr>
        <w:t xml:space="preserve">[…] </w:t>
      </w:r>
      <w:r w:rsidRPr="00915591">
        <w:rPr>
          <w:sz w:val="20"/>
          <w:szCs w:val="20"/>
          <w:rtl/>
        </w:rPr>
        <w:t>"שאלה קשה היא מה ההבדל, או מה הגבול, בין הסדרים ראשוניים לבין הסדרים משניים. במידת מה התחומים מעורבים זה בזה. הקפדת יתר על החלוקה בין התחומים עלולה לשבש את הפעילות המינהלית ולפגוע בטובת הציבור. לכן, במקרי גבול צריך יהיה להשיב על השאלה בעיקר על יסוד איזון בין המשקל של צורכי המינהל וטובת הציבור לבין מידת הפגיעה בעקרון של שלטון החוק"</w:t>
      </w:r>
      <w:r w:rsidRPr="00915591">
        <w:rPr>
          <w:rFonts w:hint="cs"/>
          <w:sz w:val="20"/>
          <w:szCs w:val="20"/>
          <w:rtl/>
        </w:rPr>
        <w:t>.</w:t>
      </w:r>
      <w:r w:rsidRPr="00915591">
        <w:rPr>
          <w:sz w:val="20"/>
          <w:szCs w:val="20"/>
          <w:rtl/>
        </w:rPr>
        <w:t xml:space="preserve"> </w:t>
      </w:r>
      <w:r w:rsidRPr="00915591">
        <w:rPr>
          <w:b/>
          <w:bCs/>
          <w:sz w:val="20"/>
          <w:szCs w:val="20"/>
          <w:rtl/>
        </w:rPr>
        <w:t>אכן, מהות ההסדר, השלכותיו החברתיות, מידת פגיעתו בחירות הפרט - כל אלה משפיעים על היקפו של ההסדר הראשוני ומידת הפירוט הנדרשת ממנו</w:t>
      </w:r>
      <w:r w:rsidRPr="00915591">
        <w:rPr>
          <w:sz w:val="20"/>
          <w:szCs w:val="20"/>
          <w:rtl/>
        </w:rPr>
        <w:t xml:space="preserve">. זאת ועוד: </w:t>
      </w:r>
      <w:r w:rsidRPr="00915591">
        <w:rPr>
          <w:b/>
          <w:bCs/>
          <w:sz w:val="20"/>
          <w:szCs w:val="20"/>
          <w:rtl/>
        </w:rPr>
        <w:t>צרכי המציאות מחייבים פשרה בין העקרונות לבין חיי היומיום</w:t>
      </w:r>
      <w:r w:rsidRPr="00915591">
        <w:rPr>
          <w:sz w:val="20"/>
          <w:szCs w:val="20"/>
          <w:rtl/>
        </w:rPr>
        <w:t xml:space="preserve">. </w:t>
      </w:r>
      <w:r w:rsidRPr="00301777">
        <w:rPr>
          <w:b/>
          <w:bCs/>
          <w:sz w:val="20"/>
          <w:szCs w:val="20"/>
          <w:rtl/>
        </w:rPr>
        <w:t>קשה, במשטר דמוקרטי מודרני, לקיים את תורת ההסדרים הראשוניים במלוא היקפה. לא פעם מתפשרים בשל דרישות היעילות המינהלית, וזאת כדי להבטיח את טובת הציבור</w:t>
      </w:r>
      <w:r w:rsidRPr="00915591">
        <w:rPr>
          <w:sz w:val="20"/>
          <w:szCs w:val="20"/>
          <w:rtl/>
        </w:rPr>
        <w:t>. עם זאת, מבחינה עקרונית אין בכך לגרוע מכוחו ותוקפו של הכלל הבסיסי, וגם מבחינה מעשית יש גבול לפשרה, ובמקרים מיוחדים וקיצוניים אפשר שהכלל הבסיסי יגבר על שיקולי יעילות, וראוי יהיה לבטל הסדרים משניים מן הטעם שאין להם יסוד בהסדרים ראשוניים.</w:t>
      </w:r>
    </w:p>
    <w:p w:rsidR="005366A8" w:rsidRDefault="005366A8" w:rsidP="005366A8">
      <w:pPr>
        <w:rPr>
          <w:sz w:val="20"/>
          <w:szCs w:val="20"/>
          <w:rtl/>
        </w:rPr>
      </w:pPr>
    </w:p>
    <w:p w:rsidR="005366A8" w:rsidRPr="00D91C37" w:rsidRDefault="005366A8" w:rsidP="005366A8">
      <w:pPr>
        <w:rPr>
          <w:rFonts w:cs="David"/>
          <w:b/>
          <w:bCs/>
          <w:sz w:val="20"/>
          <w:szCs w:val="20"/>
          <w:rtl/>
        </w:rPr>
      </w:pPr>
      <w:r w:rsidRPr="00D91C37">
        <w:rPr>
          <w:rFonts w:cs="David" w:hint="cs"/>
          <w:b/>
          <w:bCs/>
          <w:sz w:val="20"/>
          <w:szCs w:val="20"/>
          <w:highlight w:val="yellow"/>
          <w:rtl/>
        </w:rPr>
        <w:t>השפעת חוקי היסוד על החזקה הפרשנית:</w:t>
      </w:r>
      <w:r w:rsidRPr="00D91C37">
        <w:rPr>
          <w:rFonts w:cs="David" w:hint="cs"/>
          <w:b/>
          <w:bCs/>
          <w:sz w:val="20"/>
          <w:szCs w:val="20"/>
          <w:rtl/>
        </w:rPr>
        <w:t xml:space="preserve"> </w:t>
      </w:r>
    </w:p>
    <w:p w:rsidR="005366A8" w:rsidRPr="008026DE" w:rsidRDefault="005366A8" w:rsidP="005366A8">
      <w:pPr>
        <w:rPr>
          <w:sz w:val="20"/>
          <w:szCs w:val="20"/>
          <w:rtl/>
        </w:rPr>
      </w:pPr>
      <w:r w:rsidRPr="008026DE">
        <w:rPr>
          <w:rFonts w:hint="cs"/>
          <w:sz w:val="20"/>
          <w:szCs w:val="20"/>
          <w:rtl/>
        </w:rPr>
        <w:t>31. […]</w:t>
      </w:r>
      <w:r w:rsidRPr="008026DE">
        <w:rPr>
          <w:sz w:val="20"/>
          <w:szCs w:val="20"/>
          <w:rtl/>
        </w:rPr>
        <w:t xml:space="preserve">"התרחשה קונסטיטוציונליזציה של המשפט הישראלי, זכויות האדם החוקתיות מקרינות עצמן לכל ענפי המשפט (הציבורי והפרטי) ומשפיעות על מהותם. אם בעבר נגזרו זכויות האדם מההסדרים בענפי המשפט השונים, הרי מעתה יגזרו ענפי המשפט השונים מזכויות האדם החוקתיות". </w:t>
      </w:r>
    </w:p>
    <w:p w:rsidR="005366A8" w:rsidRPr="008026DE" w:rsidRDefault="005366A8" w:rsidP="005366A8">
      <w:pPr>
        <w:rPr>
          <w:sz w:val="20"/>
          <w:szCs w:val="20"/>
          <w:rtl/>
        </w:rPr>
      </w:pPr>
      <w:r w:rsidRPr="008026DE">
        <w:rPr>
          <w:sz w:val="20"/>
          <w:szCs w:val="20"/>
          <w:rtl/>
        </w:rPr>
        <w:t xml:space="preserve">שינויים אלה משפיעים על "מעמדו" המשפטי של הכלל הבסיסי, לפיו ההסדרים הראשוניים צריכים להיקבע בחקיקה ראשית. על מלוא היקפם של שינויים אלה אין לנו צורך לעמוד בפסק דיננו זה, שהרי סמכותו של שר הביטחון מעוגנת בדבר החקיקה שקדם לשינויים החוקתיים, </w:t>
      </w:r>
      <w:r w:rsidRPr="008026DE">
        <w:rPr>
          <w:b/>
          <w:bCs/>
          <w:sz w:val="20"/>
          <w:szCs w:val="20"/>
          <w:rtl/>
        </w:rPr>
        <w:t>ואשר</w:t>
      </w:r>
      <w:r w:rsidRPr="008026DE">
        <w:rPr>
          <w:sz w:val="20"/>
          <w:szCs w:val="20"/>
          <w:rtl/>
        </w:rPr>
        <w:t xml:space="preserve"> </w:t>
      </w:r>
      <w:r w:rsidRPr="008026DE">
        <w:rPr>
          <w:b/>
          <w:bCs/>
          <w:sz w:val="20"/>
          <w:szCs w:val="20"/>
          <w:rtl/>
        </w:rPr>
        <w:t>תוקפו נשמר כחלק מהדין הישן</w:t>
      </w:r>
      <w:r w:rsidRPr="008026DE">
        <w:rPr>
          <w:sz w:val="20"/>
          <w:szCs w:val="20"/>
          <w:rtl/>
        </w:rPr>
        <w:t xml:space="preserve">. </w:t>
      </w:r>
    </w:p>
    <w:p w:rsidR="005366A8" w:rsidRPr="008026DE" w:rsidRDefault="005366A8" w:rsidP="005366A8">
      <w:pPr>
        <w:rPr>
          <w:sz w:val="20"/>
          <w:szCs w:val="20"/>
          <w:rtl/>
        </w:rPr>
      </w:pPr>
      <w:r w:rsidRPr="008026DE">
        <w:rPr>
          <w:sz w:val="20"/>
          <w:szCs w:val="20"/>
          <w:rtl/>
        </w:rPr>
        <w:t xml:space="preserve">על כן, אין לנו צורך לנקוט עמדה באשר ליחס שבין הפעלת סמכותו של שר הבטחון לבין הזכויות המעוגנות בחוקי היסוד. </w:t>
      </w:r>
      <w:r w:rsidRPr="002700C6">
        <w:rPr>
          <w:b/>
          <w:bCs/>
          <w:sz w:val="20"/>
          <w:szCs w:val="20"/>
          <w:rtl/>
        </w:rPr>
        <w:t>די אם נציין כי יש בחוקי היסוד על דבר זכויות האדם כדי לחזק את הכלל הבסיסי. חיזוק זה מתבטא בכך כי החזקה הפרשנית, לפיה ההנחה הינה שתכליתו של החוק לא היתה להעניק לרשות המבצעת סמכות לקבוע הסדרים ראשוניים מקבלת עוצמה נוספת</w:t>
      </w:r>
      <w:r w:rsidRPr="008026DE">
        <w:rPr>
          <w:sz w:val="20"/>
          <w:szCs w:val="20"/>
          <w:rtl/>
        </w:rPr>
        <w:t xml:space="preserve">. </w:t>
      </w:r>
      <w:r w:rsidRPr="002700C6">
        <w:rPr>
          <w:sz w:val="20"/>
          <w:szCs w:val="20"/>
          <w:rtl/>
        </w:rPr>
        <w:t>אכן,</w:t>
      </w:r>
      <w:r w:rsidRPr="008026DE">
        <w:rPr>
          <w:b/>
          <w:bCs/>
          <w:sz w:val="20"/>
          <w:szCs w:val="20"/>
          <w:rtl/>
        </w:rPr>
        <w:t xml:space="preserve"> הסמכה שבחוק לקביעתם של הסדרים ראשוניים בחקיקת משנה עומדת בעינה. תוקפה לא נפגע. חוקי היסוד החדשים, על פי פירושם בפרשת בנק המזרחי המאוחד, אין בכוחם לפגוע בתקפותה של ההסמכה הישנה. </w:t>
      </w:r>
      <w:r w:rsidRPr="002700C6">
        <w:rPr>
          <w:sz w:val="20"/>
          <w:szCs w:val="20"/>
          <w:rtl/>
        </w:rPr>
        <w:t>עם זאת</w:t>
      </w:r>
      <w:r w:rsidRPr="008026DE">
        <w:rPr>
          <w:b/>
          <w:bCs/>
          <w:sz w:val="20"/>
          <w:szCs w:val="20"/>
          <w:rtl/>
        </w:rPr>
        <w:t xml:space="preserve"> - בהיעדר הוראה מפורשת לסתור - יש לעשות מאמץ פרשני - במקום שהוא אפשרי - על מנת לתת להסמכה זאת פרשנות מצמצמת, באופן שהיא תופעל, ככל שניתן, ברוח הכלל הבסיסי בדבר הסדרים ראשוניים.</w:t>
      </w:r>
      <w:r w:rsidRPr="008026DE">
        <w:rPr>
          <w:sz w:val="20"/>
          <w:szCs w:val="20"/>
          <w:rtl/>
        </w:rPr>
        <w:t xml:space="preserve"> ברוח זאת, יש מקרים בהם הרשות המבצעת צריכה להימנע מהכרעות עקרוניות בסוגיות חברתיות בסיסיות, השנויות במחלוקת ציבורית קשה, ולהניח את ההכרעה לרשות המחוקקת. </w:t>
      </w:r>
      <w:r w:rsidRPr="00B4086B">
        <w:rPr>
          <w:sz w:val="20"/>
          <w:szCs w:val="20"/>
          <w:highlight w:val="yellow"/>
          <w:rtl/>
        </w:rPr>
        <w:t xml:space="preserve">טול למשל, דחיית שירות לנשים אשר שירותן </w:t>
      </w:r>
      <w:r w:rsidRPr="00B4086B">
        <w:rPr>
          <w:b/>
          <w:bCs/>
          <w:sz w:val="20"/>
          <w:szCs w:val="20"/>
          <w:highlight w:val="yellow"/>
          <w:rtl/>
        </w:rPr>
        <w:t>בשנה פלונית</w:t>
      </w:r>
      <w:r w:rsidRPr="00B4086B">
        <w:rPr>
          <w:sz w:val="20"/>
          <w:szCs w:val="20"/>
          <w:highlight w:val="yellow"/>
          <w:rtl/>
        </w:rPr>
        <w:t xml:space="preserve"> אינו דרוש. דבר זה נתון הוא לשיקול של שר הבטחון. תהא זו החלטה בעלת אופי פרגמטי, המעוגנת בצרכים של שנה פלונית, ולא החלטה שנועדה לפתור באופן עקרוני וכללי את הסוגיה החברתית הקשה והשנויה במחלוקת בדבר השירות של נשים בצבא. אכן, השר אינו רשאי לקבל הכרעה כוללת לפיה נשים בכלל, או נשים נשואות, או נשים שטעמים שבהכרה דתית מונעים מהן מלשרת שירות בטחון, לא תשרתנה בצבא. עניין זה הוא לכנסת, אשר צריכה לקבוע, כחלק מההכרעות החברתיות המוטלות עליה את עמדת המדינה בעניין זה.</w:t>
      </w:r>
      <w:r w:rsidRPr="008026DE">
        <w:rPr>
          <w:sz w:val="20"/>
          <w:szCs w:val="20"/>
          <w:rtl/>
        </w:rPr>
        <w:t xml:space="preserve"> </w:t>
      </w:r>
    </w:p>
    <w:p w:rsidR="005366A8" w:rsidRDefault="005366A8" w:rsidP="005366A8">
      <w:pPr>
        <w:rPr>
          <w:sz w:val="20"/>
          <w:szCs w:val="20"/>
          <w:rtl/>
        </w:rPr>
      </w:pPr>
      <w:r w:rsidRPr="008026DE">
        <w:rPr>
          <w:sz w:val="20"/>
          <w:szCs w:val="20"/>
          <w:rtl/>
        </w:rPr>
        <w:t xml:space="preserve">אכן, בדרך זו נקטה הכנסת לעניין פטור משירות של נשים נשואות (סעיף 39 לחוק שירות בטחון) או של נשים המבקשות פטור מטעמים של הכרה דתית (סעיף 40). הוא הדין לעניין דחיית שירותם של גברים. </w:t>
      </w:r>
      <w:r w:rsidRPr="002700C6">
        <w:rPr>
          <w:b/>
          <w:bCs/>
          <w:sz w:val="20"/>
          <w:szCs w:val="20"/>
          <w:rtl/>
        </w:rPr>
        <w:t>עד כמה שהשיקול הוא בעל אופי פרגמטי - שעשוי להשתנות מעת לעת - הוא יוכל להתקבל על ידי שר הבטחון.</w:t>
      </w:r>
      <w:r w:rsidRPr="008026DE">
        <w:rPr>
          <w:sz w:val="20"/>
          <w:szCs w:val="20"/>
          <w:rtl/>
        </w:rPr>
        <w:t xml:space="preserve"> </w:t>
      </w:r>
      <w:r w:rsidRPr="002700C6">
        <w:rPr>
          <w:sz w:val="20"/>
          <w:szCs w:val="20"/>
          <w:rtl/>
        </w:rPr>
        <w:t>אך</w:t>
      </w:r>
      <w:r w:rsidRPr="000561C7">
        <w:rPr>
          <w:b/>
          <w:bCs/>
          <w:sz w:val="20"/>
          <w:szCs w:val="20"/>
          <w:rtl/>
        </w:rPr>
        <w:t xml:space="preserve"> עד כמה שהשיקול נועד לפתור בעיה חברתית כללית השנויה במחלוקת ציבורית קשה, הוא צריך להיות מעוגן בהסדר ראשוני שבחקיקה הראשית</w:t>
      </w:r>
      <w:r w:rsidRPr="008026DE">
        <w:rPr>
          <w:sz w:val="20"/>
          <w:szCs w:val="20"/>
          <w:rtl/>
        </w:rPr>
        <w:t xml:space="preserve">. ודוק: גישתנו זו אין משמעותה שהרשות המבצעת אינה רשאית לקבוע מדיניות כללית להפעלת סמכותה. בדרך כלל קביעתה של מדיניות כללית על ידי הרשות המבצעת מותרת היא וראויה. גישתנו הינה, כי יש עניינים, מיוחדים במינם, בהם לא קנתה הרשות המבצעת סמכות לקבל הכרעות עקרוניות בשאלות יסוד המפלגות את החברה הישראלית. יש עניינים כאלה, בהם ההכרעות צריכות להתקבל בכנסת, תוך שהרשות המבצעת צריכה להסתפק במדיניות לביצוען. </w:t>
      </w:r>
      <w:r>
        <w:rPr>
          <w:rFonts w:hint="cs"/>
          <w:sz w:val="20"/>
          <w:szCs w:val="20"/>
          <w:rtl/>
        </w:rPr>
        <w:t>[...]</w:t>
      </w:r>
    </w:p>
    <w:p w:rsidR="005366A8" w:rsidRDefault="005366A8" w:rsidP="005366A8">
      <w:pPr>
        <w:rPr>
          <w:sz w:val="20"/>
          <w:szCs w:val="20"/>
          <w:rtl/>
        </w:rPr>
      </w:pPr>
    </w:p>
    <w:p w:rsidR="005366A8" w:rsidRPr="00467897" w:rsidRDefault="005366A8" w:rsidP="005366A8">
      <w:pPr>
        <w:rPr>
          <w:b/>
          <w:bCs/>
          <w:sz w:val="20"/>
          <w:szCs w:val="20"/>
          <w:rtl/>
        </w:rPr>
      </w:pPr>
      <w:r w:rsidRPr="00467897">
        <w:rPr>
          <w:b/>
          <w:bCs/>
          <w:sz w:val="20"/>
          <w:szCs w:val="20"/>
          <w:rtl/>
        </w:rPr>
        <w:t xml:space="preserve">מן הכלל אל הפרט </w:t>
      </w:r>
    </w:p>
    <w:p w:rsidR="005366A8" w:rsidRDefault="005366A8" w:rsidP="005366A8">
      <w:pPr>
        <w:rPr>
          <w:sz w:val="20"/>
          <w:szCs w:val="20"/>
          <w:rtl/>
        </w:rPr>
      </w:pPr>
      <w:r w:rsidRPr="008026DE">
        <w:rPr>
          <w:sz w:val="20"/>
          <w:szCs w:val="20"/>
          <w:rtl/>
        </w:rPr>
        <w:t xml:space="preserve">.32 חוק שירות בטחון קובע את חובת שירות הבטחון (שירות סדיר או שירות מילואים). הוא קובע את היקף החובה ודרכי הגשמתה. בצד הוראות אלה קבועה סמכותו של שר הבטחון לדחות שירות בטחון או לפטור ממנו. </w:t>
      </w:r>
      <w:r>
        <w:rPr>
          <w:rFonts w:hint="cs"/>
          <w:sz w:val="20"/>
          <w:szCs w:val="20"/>
          <w:rtl/>
        </w:rPr>
        <w:t>[</w:t>
      </w:r>
      <w:r w:rsidRPr="008026DE">
        <w:rPr>
          <w:sz w:val="20"/>
          <w:szCs w:val="20"/>
          <w:rtl/>
        </w:rPr>
        <w:t>סעיף 36</w:t>
      </w:r>
      <w:r>
        <w:rPr>
          <w:sz w:val="20"/>
          <w:szCs w:val="20"/>
          <w:rtl/>
        </w:rPr>
        <w:t xml:space="preserve"> לחוק שירות בטחון</w:t>
      </w:r>
      <w:r>
        <w:rPr>
          <w:rFonts w:hint="cs"/>
          <w:sz w:val="20"/>
          <w:szCs w:val="20"/>
          <w:rtl/>
        </w:rPr>
        <w:t>]</w:t>
      </w:r>
      <w:r w:rsidRPr="008026DE">
        <w:rPr>
          <w:sz w:val="20"/>
          <w:szCs w:val="20"/>
          <w:rtl/>
        </w:rPr>
        <w:t xml:space="preserve">. האם רשאי שר הבטחון לעשות שימוש בסמכותו זו, ולדחות את שירות הבטחון של תלמידי הישיבה ש"תורתם אומנותם" בהיקף ובמידה אליה הגענו כיום? </w:t>
      </w:r>
      <w:r w:rsidRPr="008026DE">
        <w:rPr>
          <w:rFonts w:hint="cs"/>
          <w:sz w:val="20"/>
          <w:szCs w:val="20"/>
          <w:rtl/>
        </w:rPr>
        <w:t>[…]</w:t>
      </w:r>
      <w:r w:rsidRPr="008026DE">
        <w:rPr>
          <w:sz w:val="20"/>
          <w:szCs w:val="20"/>
          <w:rtl/>
        </w:rPr>
        <w:t xml:space="preserve">. </w:t>
      </w:r>
      <w:r w:rsidRPr="00B0316E">
        <w:rPr>
          <w:rFonts w:ascii="Arial" w:hAnsi="Arial" w:cs="Arial"/>
          <w:sz w:val="20"/>
          <w:szCs w:val="20"/>
          <w:rtl/>
        </w:rPr>
        <w:t xml:space="preserve">[התשובה הניתנת היא </w:t>
      </w:r>
      <w:r>
        <w:rPr>
          <w:rFonts w:ascii="Arial" w:hAnsi="Arial" w:cs="Arial" w:hint="cs"/>
          <w:sz w:val="20"/>
          <w:szCs w:val="20"/>
          <w:rtl/>
        </w:rPr>
        <w:t xml:space="preserve">כזכור </w:t>
      </w:r>
      <w:r w:rsidRPr="00B0316E">
        <w:rPr>
          <w:rFonts w:ascii="Arial" w:hAnsi="Arial" w:cs="Arial"/>
          <w:sz w:val="20"/>
          <w:szCs w:val="20"/>
          <w:rtl/>
        </w:rPr>
        <w:t>שלילית].</w:t>
      </w:r>
    </w:p>
    <w:p w:rsidR="005366A8" w:rsidRPr="008026DE" w:rsidRDefault="005366A8" w:rsidP="005366A8">
      <w:pPr>
        <w:ind w:left="720"/>
        <w:rPr>
          <w:sz w:val="20"/>
          <w:szCs w:val="20"/>
          <w:rtl/>
        </w:rPr>
      </w:pPr>
      <w:r>
        <w:rPr>
          <w:rFonts w:hint="cs"/>
          <w:sz w:val="20"/>
          <w:szCs w:val="20"/>
          <w:rtl/>
        </w:rPr>
        <w:t>[</w:t>
      </w:r>
      <w:r w:rsidRPr="008026DE">
        <w:rPr>
          <w:rFonts w:hint="cs"/>
          <w:sz w:val="20"/>
          <w:szCs w:val="20"/>
          <w:rtl/>
        </w:rPr>
        <w:t>מתוך עמדתו של השופט חשין</w:t>
      </w:r>
      <w:r>
        <w:rPr>
          <w:rFonts w:hint="cs"/>
          <w:sz w:val="20"/>
          <w:szCs w:val="20"/>
          <w:rtl/>
        </w:rPr>
        <w:t>]</w:t>
      </w:r>
    </w:p>
    <w:p w:rsidR="005366A8" w:rsidRDefault="005366A8" w:rsidP="005366A8">
      <w:pPr>
        <w:rPr>
          <w:sz w:val="20"/>
          <w:szCs w:val="20"/>
          <w:rtl/>
        </w:rPr>
      </w:pPr>
      <w:r w:rsidRPr="008026DE">
        <w:rPr>
          <w:rFonts w:hint="cs"/>
          <w:sz w:val="20"/>
          <w:szCs w:val="20"/>
          <w:rtl/>
        </w:rPr>
        <w:t>8</w:t>
      </w:r>
      <w:r w:rsidRPr="008026DE">
        <w:rPr>
          <w:sz w:val="20"/>
          <w:szCs w:val="20"/>
          <w:rtl/>
        </w:rPr>
        <w:t xml:space="preserve">. </w:t>
      </w:r>
      <w:r w:rsidRPr="008026DE">
        <w:rPr>
          <w:rFonts w:hint="cs"/>
          <w:sz w:val="20"/>
          <w:szCs w:val="20"/>
          <w:rtl/>
        </w:rPr>
        <w:t>[…]</w:t>
      </w:r>
      <w:r>
        <w:rPr>
          <w:rFonts w:hint="cs"/>
          <w:sz w:val="20"/>
          <w:szCs w:val="20"/>
          <w:rtl/>
        </w:rPr>
        <w:t xml:space="preserve"> </w:t>
      </w:r>
      <w:r w:rsidRPr="00837C2B">
        <w:rPr>
          <w:sz w:val="20"/>
          <w:szCs w:val="20"/>
          <w:highlight w:val="yellow"/>
          <w:rtl/>
        </w:rPr>
        <w:t xml:space="preserve">כשאני לעצמי, לא מצאתי הבחנה בת-פועל בין חיוב עקרוני וכללי לשירות בצבא לבין פטור עקרוני וכללי משירות בצבא. ומה חיוב עקרוני וכללי לשרת בצבא יכול שיבוא אך-ורק בחוק, כך יהא דינו של פטור עקרוני וכללי משירות בצבא, שאף הוא חייב שימצא מקומו בחוק. דוגמה לדבר תימצא לנו בהוראת סעיף 40 לחוק שירות ביטחון, ולפיה מיועדת לשירות ביטחון המצהירה בכתב כי טעמים שבהכרה דתית מונעים אותה משרת בשירות ביטחון; כי שומרת היא על כשרות בבית ומחוצה לו; וכי אין היא נוסעת בשבת; פטורה מחובת שירות ביטחון. וכך בענייננו: הסמכות הניתנת </w:t>
      </w:r>
      <w:r w:rsidRPr="00837C2B">
        <w:rPr>
          <w:rFonts w:hint="cs"/>
          <w:sz w:val="20"/>
          <w:szCs w:val="20"/>
          <w:highlight w:val="yellow"/>
          <w:rtl/>
        </w:rPr>
        <w:t xml:space="preserve">[לשר הביטחון] </w:t>
      </w:r>
      <w:r w:rsidRPr="00837C2B">
        <w:rPr>
          <w:sz w:val="20"/>
          <w:szCs w:val="20"/>
          <w:highlight w:val="yellow"/>
          <w:rtl/>
        </w:rPr>
        <w:t>בהוראת סעי</w:t>
      </w:r>
      <w:r w:rsidRPr="00837C2B">
        <w:rPr>
          <w:rFonts w:hint="cs"/>
          <w:sz w:val="20"/>
          <w:szCs w:val="20"/>
          <w:highlight w:val="yellow"/>
          <w:rtl/>
        </w:rPr>
        <w:t>ף 36(1)</w:t>
      </w:r>
      <w:r w:rsidRPr="00837C2B">
        <w:rPr>
          <w:sz w:val="20"/>
          <w:szCs w:val="20"/>
          <w:highlight w:val="yellow"/>
          <w:rtl/>
        </w:rPr>
        <w:t xml:space="preserve"> לחוק שירות ביטחון "לפטור יוצא צבא מחובת שירות סדיר, או להפחית את תקופת שירותו", </w:t>
      </w:r>
      <w:r w:rsidRPr="00837C2B">
        <w:rPr>
          <w:b/>
          <w:bCs/>
          <w:sz w:val="20"/>
          <w:szCs w:val="20"/>
          <w:highlight w:val="yellow"/>
          <w:rtl/>
        </w:rPr>
        <w:t>אינה אלא סמכות להוצאת צווים אינדיווידואליים: לראובן, לשמעון, ללוי, ליהודה. שר הביטחון לא קנה סמכות להוציא צו פטור כללי.</w:t>
      </w:r>
      <w:r w:rsidRPr="008026DE">
        <w:rPr>
          <w:sz w:val="20"/>
          <w:szCs w:val="20"/>
          <w:rtl/>
        </w:rPr>
        <w:t xml:space="preserve"> </w:t>
      </w:r>
    </w:p>
    <w:p w:rsidR="005366A8" w:rsidRDefault="005366A8" w:rsidP="005366A8">
      <w:pPr>
        <w:pStyle w:val="T-body"/>
        <w:spacing w:line="240" w:lineRule="auto"/>
        <w:ind w:hanging="28"/>
        <w:jc w:val="left"/>
        <w:rPr>
          <w:rFonts w:ascii="Arial" w:hAnsi="Arial" w:cs="Arial"/>
          <w:b/>
          <w:bCs/>
          <w:sz w:val="22"/>
          <w:szCs w:val="22"/>
          <w:highlight w:val="yellow"/>
          <w:rtl/>
        </w:rPr>
      </w:pPr>
    </w:p>
    <w:p w:rsidR="005366A8" w:rsidRDefault="005366A8" w:rsidP="005366A8">
      <w:pPr>
        <w:pStyle w:val="T-body"/>
        <w:spacing w:line="240" w:lineRule="auto"/>
        <w:ind w:hanging="28"/>
        <w:jc w:val="left"/>
        <w:rPr>
          <w:rFonts w:ascii="Arial" w:hAnsi="Arial" w:cs="Arial"/>
          <w:b/>
          <w:bCs/>
          <w:sz w:val="22"/>
          <w:szCs w:val="22"/>
          <w:highlight w:val="yellow"/>
          <w:rtl/>
        </w:rPr>
      </w:pPr>
      <w:r>
        <w:rPr>
          <w:rFonts w:ascii="Arial" w:hAnsi="Arial" w:cs="Arial" w:hint="cs"/>
          <w:b/>
          <w:bCs/>
          <w:sz w:val="22"/>
          <w:szCs w:val="22"/>
          <w:highlight w:val="yellow"/>
          <w:rtl/>
        </w:rPr>
        <w:t>=-=</w:t>
      </w:r>
    </w:p>
    <w:p w:rsidR="005366A8" w:rsidRDefault="005366A8" w:rsidP="005366A8">
      <w:pPr>
        <w:spacing w:after="120"/>
        <w:rPr>
          <w:sz w:val="20"/>
          <w:szCs w:val="20"/>
          <w:rtl/>
        </w:rPr>
      </w:pPr>
      <w:r>
        <w:rPr>
          <w:rFonts w:hint="cs"/>
          <w:b/>
          <w:bCs/>
          <w:sz w:val="20"/>
          <w:szCs w:val="20"/>
          <w:rtl/>
        </w:rPr>
        <w:t xml:space="preserve">בעקבות פסק הדין -&gt; </w:t>
      </w:r>
      <w:r w:rsidRPr="00F27EDF">
        <w:rPr>
          <w:rFonts w:hint="cs"/>
          <w:sz w:val="20"/>
          <w:szCs w:val="20"/>
          <w:rtl/>
        </w:rPr>
        <w:t>ועדה ציבורית בראשותו של שופט בית המשפט בדימוס צבי טל</w:t>
      </w:r>
      <w:r>
        <w:rPr>
          <w:rFonts w:hint="cs"/>
          <w:b/>
          <w:bCs/>
          <w:sz w:val="20"/>
          <w:szCs w:val="20"/>
          <w:rtl/>
        </w:rPr>
        <w:t xml:space="preserve"> -&gt; קבלת </w:t>
      </w:r>
      <w:r w:rsidRPr="001E5655">
        <w:rPr>
          <w:rFonts w:hint="cs"/>
          <w:b/>
          <w:bCs/>
          <w:sz w:val="20"/>
          <w:szCs w:val="20"/>
          <w:rtl/>
        </w:rPr>
        <w:t xml:space="preserve">חוק דחיית שירות לתלמידי ישיבות שתורתם אומנותם, התשס"ב-2002 </w:t>
      </w:r>
      <w:r>
        <w:rPr>
          <w:rFonts w:hint="cs"/>
          <w:b/>
          <w:bCs/>
          <w:sz w:val="20"/>
          <w:szCs w:val="20"/>
          <w:rtl/>
        </w:rPr>
        <w:t>["חוק טל"]</w:t>
      </w:r>
      <w:r>
        <w:rPr>
          <w:rFonts w:hint="cs"/>
          <w:sz w:val="20"/>
          <w:szCs w:val="20"/>
          <w:rtl/>
        </w:rPr>
        <w:t xml:space="preserve"> -&gt; פס"ד </w:t>
      </w:r>
      <w:r w:rsidRPr="00F27EDF">
        <w:rPr>
          <w:rFonts w:hint="cs"/>
          <w:b/>
          <w:bCs/>
          <w:sz w:val="20"/>
          <w:szCs w:val="20"/>
          <w:rtl/>
        </w:rPr>
        <w:t>התנועה לאיכות השלטון</w:t>
      </w:r>
      <w:r>
        <w:rPr>
          <w:rFonts w:hint="cs"/>
          <w:sz w:val="20"/>
          <w:szCs w:val="20"/>
          <w:rtl/>
        </w:rPr>
        <w:t xml:space="preserve"> משנת 2006 (פס"ד </w:t>
      </w:r>
      <w:r w:rsidRPr="00467897">
        <w:rPr>
          <w:rFonts w:hint="cs"/>
          <w:b/>
          <w:bCs/>
          <w:sz w:val="20"/>
          <w:szCs w:val="20"/>
          <w:rtl/>
        </w:rPr>
        <w:t>חוק טל 1</w:t>
      </w:r>
      <w:r>
        <w:rPr>
          <w:rFonts w:hint="cs"/>
          <w:sz w:val="20"/>
          <w:szCs w:val="20"/>
          <w:rtl/>
        </w:rPr>
        <w:t xml:space="preserve">) -&gt; פס"ד </w:t>
      </w:r>
      <w:r w:rsidRPr="00467897">
        <w:rPr>
          <w:rFonts w:hint="cs"/>
          <w:b/>
          <w:bCs/>
          <w:sz w:val="20"/>
          <w:szCs w:val="20"/>
          <w:rtl/>
        </w:rPr>
        <w:t>רסלר</w:t>
      </w:r>
      <w:r>
        <w:rPr>
          <w:rFonts w:hint="cs"/>
          <w:sz w:val="20"/>
          <w:szCs w:val="20"/>
          <w:rtl/>
        </w:rPr>
        <w:t xml:space="preserve">, שניתן ב-2012 (פס"ד </w:t>
      </w:r>
      <w:r w:rsidRPr="00467897">
        <w:rPr>
          <w:rFonts w:hint="cs"/>
          <w:b/>
          <w:bCs/>
          <w:sz w:val="20"/>
          <w:szCs w:val="20"/>
          <w:rtl/>
        </w:rPr>
        <w:t>חוק טל 2</w:t>
      </w:r>
      <w:r>
        <w:rPr>
          <w:rFonts w:hint="cs"/>
          <w:sz w:val="20"/>
          <w:szCs w:val="20"/>
          <w:rtl/>
        </w:rPr>
        <w:t>): פסילת החוק. -&gt; ועדת שקד (חברת הכנסת שקד מ"הבית הלאומי") יושבת על מדוכת הצעה לחקיקה חדשה.</w:t>
      </w:r>
    </w:p>
    <w:p w:rsidR="005366A8" w:rsidRDefault="005366A8" w:rsidP="005366A8">
      <w:pPr>
        <w:spacing w:after="120"/>
        <w:rPr>
          <w:sz w:val="20"/>
          <w:szCs w:val="20"/>
          <w:rtl/>
        </w:rPr>
      </w:pPr>
      <w:r>
        <w:rPr>
          <w:rFonts w:hint="cs"/>
          <w:sz w:val="20"/>
          <w:szCs w:val="20"/>
          <w:rtl/>
        </w:rPr>
        <w:t xml:space="preserve">חוק טל ענה ל"כלל ההסדרים הראשוניים" שנתבע בענייננו בפס"ד </w:t>
      </w:r>
      <w:r w:rsidRPr="00467897">
        <w:rPr>
          <w:rFonts w:hint="cs"/>
          <w:b/>
          <w:bCs/>
          <w:sz w:val="20"/>
          <w:szCs w:val="20"/>
          <w:rtl/>
        </w:rPr>
        <w:t>רובינשטיין</w:t>
      </w:r>
      <w:r>
        <w:rPr>
          <w:rFonts w:hint="cs"/>
          <w:sz w:val="20"/>
          <w:szCs w:val="20"/>
          <w:rtl/>
        </w:rPr>
        <w:t xml:space="preserve">. מהם ההסדרים שנקבעו בחוק האמור? אכן הסדרים מפורטים, מקיפים למדי, אך כאלו שהתגלו – במישור התנהלותה של החברה הישראלית והחברה החרדית: </w:t>
      </w:r>
    </w:p>
    <w:p w:rsidR="005366A8" w:rsidRPr="00B0316E" w:rsidRDefault="005366A8" w:rsidP="005366A8">
      <w:pPr>
        <w:rPr>
          <w:rFonts w:cs="David"/>
          <w:sz w:val="20"/>
          <w:szCs w:val="20"/>
          <w:rtl/>
        </w:rPr>
      </w:pPr>
      <w:r w:rsidRPr="00B0316E">
        <w:rPr>
          <w:rFonts w:cs="David" w:hint="cs"/>
          <w:sz w:val="20"/>
          <w:szCs w:val="20"/>
          <w:rtl/>
        </w:rPr>
        <w:t xml:space="preserve">חוק </w:t>
      </w:r>
      <w:r>
        <w:rPr>
          <w:rFonts w:cs="David" w:hint="cs"/>
          <w:sz w:val="20"/>
          <w:szCs w:val="20"/>
          <w:rtl/>
        </w:rPr>
        <w:t>טל ק</w:t>
      </w:r>
      <w:r w:rsidRPr="00B0316E">
        <w:rPr>
          <w:rFonts w:cs="David" w:hint="cs"/>
          <w:sz w:val="20"/>
          <w:szCs w:val="20"/>
          <w:rtl/>
        </w:rPr>
        <w:t xml:space="preserve">בע שבהתקיים תנאים מסוימים, שר הביטחון רשאי להעניק צו דחיית שירות, למשך שנה, לתלמידי ישיבות (סעיפים 2 ו-3 לחוק). </w:t>
      </w:r>
    </w:p>
    <w:p w:rsidR="005366A8" w:rsidRPr="00B0316E" w:rsidRDefault="005366A8" w:rsidP="005366A8">
      <w:pPr>
        <w:ind w:left="720"/>
        <w:rPr>
          <w:rFonts w:cs="David"/>
          <w:sz w:val="20"/>
          <w:szCs w:val="20"/>
          <w:rtl/>
        </w:rPr>
      </w:pPr>
      <w:r w:rsidRPr="00B0316E">
        <w:rPr>
          <w:rFonts w:cs="David" w:hint="cs"/>
          <w:sz w:val="20"/>
          <w:szCs w:val="20"/>
          <w:rtl/>
        </w:rPr>
        <w:t xml:space="preserve">עם תנאים אלו נמנים, בין היתר, מכסה מינימאלית של שעות לימוד לתלמיד ישיבה, איסור עבודה בשעות הלימוד בישיבה, תצהיר של תלמיד הישיבה ואישור מראש הישיבה. </w:t>
      </w:r>
    </w:p>
    <w:p w:rsidR="005366A8" w:rsidRPr="00B0316E" w:rsidRDefault="005366A8" w:rsidP="005366A8">
      <w:pPr>
        <w:rPr>
          <w:rFonts w:cs="David"/>
          <w:sz w:val="20"/>
          <w:szCs w:val="20"/>
          <w:rtl/>
        </w:rPr>
      </w:pPr>
      <w:r w:rsidRPr="00B0316E">
        <w:rPr>
          <w:rFonts w:cs="David" w:hint="cs"/>
          <w:sz w:val="20"/>
          <w:szCs w:val="20"/>
          <w:rtl/>
        </w:rPr>
        <w:t>החידוש העיקרי בחוק</w:t>
      </w:r>
      <w:r>
        <w:rPr>
          <w:rFonts w:cs="David" w:hint="cs"/>
          <w:sz w:val="20"/>
          <w:szCs w:val="20"/>
          <w:rtl/>
        </w:rPr>
        <w:t xml:space="preserve"> טל</w:t>
      </w:r>
      <w:r w:rsidRPr="00B0316E">
        <w:rPr>
          <w:rFonts w:cs="David" w:hint="cs"/>
          <w:sz w:val="20"/>
          <w:szCs w:val="20"/>
          <w:rtl/>
        </w:rPr>
        <w:t xml:space="preserve">, לעומת המצב שקדם לו, הוא קיומה של "שנת הכרעה" (סעיף 5 לחוק). לפי הסדר זה יכול תלמיד ישיבה שגיוסו נדחה במשך ארבע שנים והוא הגיע לגיל 22, לקבל צו לדחיית גיוס למשך שנה אחת, אפילו לא מתקיימים בו התנאים הרגילים לשם דחיית השירות. לאחר "שנת ההכרעה" יוכל תלמיד הישיבה לבחור האם לשוב למסלול הקודם של לימודים בישיבה – תוך המשך דחיית השירות הצבאי – או שמא להתגייס למסלול של שירות ביטחון. האפשרות לקבל "שנת הכרעה" נתונה לכל תלמיד ישיבה פעם אחת בלבד. </w:t>
      </w:r>
    </w:p>
    <w:p w:rsidR="005366A8" w:rsidRDefault="005366A8" w:rsidP="005366A8">
      <w:pPr>
        <w:rPr>
          <w:rFonts w:cs="David"/>
          <w:sz w:val="20"/>
          <w:szCs w:val="20"/>
          <w:rtl/>
        </w:rPr>
      </w:pPr>
      <w:r>
        <w:rPr>
          <w:rFonts w:cs="David" w:hint="cs"/>
          <w:sz w:val="20"/>
          <w:szCs w:val="20"/>
          <w:rtl/>
        </w:rPr>
        <w:t xml:space="preserve">בד בבד, קובע </w:t>
      </w:r>
      <w:r w:rsidRPr="00B0316E">
        <w:rPr>
          <w:rFonts w:cs="David" w:hint="cs"/>
          <w:sz w:val="20"/>
          <w:szCs w:val="20"/>
          <w:rtl/>
        </w:rPr>
        <w:t xml:space="preserve">חוק </w:t>
      </w:r>
      <w:r>
        <w:rPr>
          <w:rFonts w:cs="David" w:hint="cs"/>
          <w:sz w:val="20"/>
          <w:szCs w:val="20"/>
          <w:rtl/>
        </w:rPr>
        <w:t xml:space="preserve">טל </w:t>
      </w:r>
      <w:r w:rsidRPr="00B0316E">
        <w:rPr>
          <w:rFonts w:cs="David" w:hint="cs"/>
          <w:sz w:val="20"/>
          <w:szCs w:val="20"/>
          <w:rtl/>
        </w:rPr>
        <w:t>מסלול חלופי המיועד לבחורי הישיבה, הוא מסלול של שירות אזרחי (סעיף 6 לחוק). שירות זה הינו חלופי לשירות הצבאי. האפשרות לבחור בו נתונה רק למי ששירותו נדחה במשך ארבע שנים והוא בן 22, והוא עומד ממילא גם לרשות אותם תלמידי ישיבות ששירותם נדחה למשך שנת ההכרעה ובסופה מבקשים הם לשרת שירות אזרחי.</w:t>
      </w:r>
      <w:r>
        <w:rPr>
          <w:rFonts w:cs="David" w:hint="cs"/>
          <w:sz w:val="20"/>
          <w:szCs w:val="20"/>
          <w:rtl/>
        </w:rPr>
        <w:t xml:space="preserve"> [אחד הקשיים הגדולים שהתגלעו ביישום החוק נוגע לתקציבים וליצירת אפיקים לשירות אזרחי].</w:t>
      </w:r>
    </w:p>
    <w:p w:rsidR="005366A8" w:rsidRDefault="005366A8" w:rsidP="005366A8">
      <w:pPr>
        <w:spacing w:after="120"/>
        <w:rPr>
          <w:rFonts w:cs="David"/>
          <w:sz w:val="20"/>
          <w:szCs w:val="20"/>
          <w:rtl/>
        </w:rPr>
      </w:pPr>
      <w:r>
        <w:rPr>
          <w:rFonts w:cs="David" w:hint="cs"/>
          <w:sz w:val="20"/>
          <w:szCs w:val="20"/>
          <w:rtl/>
        </w:rPr>
        <w:t>הבעיה המרכזית שהתגלעה היא שבחלוף עשר שנים ויותר לפעולתו הוא גרם למעט מדי השתתפות של תלמידי ישיבות בשירות צבאי או בשירות אזרחי.</w:t>
      </w:r>
    </w:p>
    <w:p w:rsidR="005366A8" w:rsidRPr="00B0316E" w:rsidRDefault="005366A8" w:rsidP="005366A8">
      <w:pPr>
        <w:rPr>
          <w:rFonts w:cs="David"/>
          <w:sz w:val="20"/>
          <w:szCs w:val="20"/>
          <w:rtl/>
        </w:rPr>
      </w:pPr>
      <w:r>
        <w:rPr>
          <w:rFonts w:hint="cs"/>
          <w:sz w:val="20"/>
          <w:szCs w:val="20"/>
          <w:rtl/>
        </w:rPr>
        <w:t xml:space="preserve">במילים אחרות, חוק טל ענה לדרישה הראשונית, לפיה הסדר בסדר הגודל שלו </w:t>
      </w:r>
      <w:r>
        <w:rPr>
          <w:sz w:val="20"/>
          <w:szCs w:val="20"/>
          <w:rtl/>
        </w:rPr>
        <w:t>–</w:t>
      </w:r>
      <w:r>
        <w:rPr>
          <w:rFonts w:hint="cs"/>
          <w:sz w:val="20"/>
          <w:szCs w:val="20"/>
          <w:rtl/>
        </w:rPr>
        <w:t xml:space="preserve"> מתן פטור כללי משירות צבאי לקבוצה חברתית מסוימת </w:t>
      </w:r>
      <w:r>
        <w:rPr>
          <w:sz w:val="20"/>
          <w:szCs w:val="20"/>
          <w:rtl/>
        </w:rPr>
        <w:t>–</w:t>
      </w:r>
      <w:r>
        <w:rPr>
          <w:rFonts w:hint="cs"/>
          <w:sz w:val="20"/>
          <w:szCs w:val="20"/>
          <w:rtl/>
        </w:rPr>
        <w:t xml:space="preserve"> יתגבש בחוק. משמע, יוכרע על ידי הכנסת ברמה הבסיסית. "כלל ההסדרים הראשוניים" נענה לפיכך באמצעותו. ואולם הוא כשל משום שזוהתה בו פגיעה בזכות יסוד חוקתית (הזכות לכבוד האדם, וליתר דיוק הזכות לשוויון שהיבטים מסוימים שלה כלולים בזכות לכבוד האדם) </w:t>
      </w:r>
      <w:r>
        <w:rPr>
          <w:sz w:val="20"/>
          <w:szCs w:val="20"/>
          <w:rtl/>
        </w:rPr>
        <w:t>–</w:t>
      </w:r>
      <w:r>
        <w:rPr>
          <w:rFonts w:hint="cs"/>
          <w:sz w:val="20"/>
          <w:szCs w:val="20"/>
          <w:rtl/>
        </w:rPr>
        <w:t xml:space="preserve"> פגיעה שלא עמדה באחת מדרישותיה של פסקת ההגבלה: דרישת המידתיות.</w:t>
      </w:r>
    </w:p>
    <w:p w:rsidR="005366A8" w:rsidRDefault="005366A8" w:rsidP="005366A8">
      <w:pPr>
        <w:pStyle w:val="T-body"/>
        <w:spacing w:after="120" w:line="240" w:lineRule="auto"/>
        <w:ind w:hanging="28"/>
        <w:jc w:val="center"/>
        <w:rPr>
          <w:rFonts w:ascii="Arial" w:hAnsi="Arial" w:cs="Arial"/>
          <w:b/>
          <w:bCs/>
          <w:sz w:val="22"/>
          <w:szCs w:val="22"/>
          <w:highlight w:val="yellow"/>
          <w:u w:val="single"/>
          <w:rtl/>
        </w:rPr>
      </w:pPr>
    </w:p>
    <w:p w:rsidR="005366A8" w:rsidRDefault="005366A8" w:rsidP="005366A8">
      <w:pPr>
        <w:pStyle w:val="T-body"/>
        <w:spacing w:after="120" w:line="240" w:lineRule="auto"/>
        <w:ind w:hanging="28"/>
        <w:jc w:val="center"/>
        <w:rPr>
          <w:rFonts w:ascii="Arial" w:hAnsi="Arial" w:cs="Arial"/>
          <w:b/>
          <w:bCs/>
          <w:sz w:val="22"/>
          <w:szCs w:val="22"/>
          <w:highlight w:val="yellow"/>
          <w:u w:val="single"/>
          <w:rtl/>
        </w:rPr>
      </w:pPr>
      <w:r w:rsidRPr="001C4D4A">
        <w:rPr>
          <w:rFonts w:ascii="Arial" w:hAnsi="Arial" w:cs="Arial" w:hint="cs"/>
          <w:b/>
          <w:bCs/>
          <w:sz w:val="22"/>
          <w:szCs w:val="22"/>
          <w:highlight w:val="yellow"/>
          <w:u w:val="single"/>
          <w:rtl/>
        </w:rPr>
        <w:t>כלל "</w:t>
      </w:r>
      <w:r>
        <w:rPr>
          <w:rFonts w:ascii="Arial" w:hAnsi="Arial" w:cs="Arial" w:hint="cs"/>
          <w:b/>
          <w:bCs/>
          <w:sz w:val="22"/>
          <w:szCs w:val="22"/>
          <w:highlight w:val="yellow"/>
          <w:u w:val="single"/>
          <w:rtl/>
        </w:rPr>
        <w:t>ה</w:t>
      </w:r>
      <w:r w:rsidRPr="001C4D4A">
        <w:rPr>
          <w:rFonts w:ascii="Arial" w:hAnsi="Arial" w:cs="Arial" w:hint="cs"/>
          <w:b/>
          <w:bCs/>
          <w:sz w:val="22"/>
          <w:szCs w:val="22"/>
          <w:highlight w:val="yellow"/>
          <w:u w:val="single"/>
          <w:rtl/>
        </w:rPr>
        <w:t xml:space="preserve">הסדרים </w:t>
      </w:r>
      <w:r>
        <w:rPr>
          <w:rFonts w:ascii="Arial" w:hAnsi="Arial" w:cs="Arial" w:hint="cs"/>
          <w:b/>
          <w:bCs/>
          <w:sz w:val="22"/>
          <w:szCs w:val="22"/>
          <w:highlight w:val="yellow"/>
          <w:u w:val="single"/>
          <w:rtl/>
        </w:rPr>
        <w:t>ה</w:t>
      </w:r>
      <w:r w:rsidRPr="001C4D4A">
        <w:rPr>
          <w:rFonts w:ascii="Arial" w:hAnsi="Arial" w:cs="Arial" w:hint="cs"/>
          <w:b/>
          <w:bCs/>
          <w:sz w:val="22"/>
          <w:szCs w:val="22"/>
          <w:highlight w:val="yellow"/>
          <w:u w:val="single"/>
          <w:rtl/>
        </w:rPr>
        <w:t xml:space="preserve">ראשוניים" (המשך) </w:t>
      </w:r>
      <w:r w:rsidRPr="001C4D4A">
        <w:rPr>
          <w:rFonts w:ascii="Arial" w:hAnsi="Arial" w:cs="Arial"/>
          <w:b/>
          <w:bCs/>
          <w:sz w:val="22"/>
          <w:szCs w:val="22"/>
          <w:highlight w:val="yellow"/>
          <w:u w:val="single"/>
          <w:rtl/>
        </w:rPr>
        <w:t>–</w:t>
      </w:r>
      <w:r w:rsidRPr="001C4D4A">
        <w:rPr>
          <w:rFonts w:ascii="Arial" w:hAnsi="Arial" w:cs="Arial" w:hint="cs"/>
          <w:b/>
          <w:bCs/>
          <w:sz w:val="22"/>
          <w:szCs w:val="22"/>
          <w:highlight w:val="yellow"/>
          <w:u w:val="single"/>
          <w:rtl/>
        </w:rPr>
        <w:t xml:space="preserve"> </w:t>
      </w:r>
    </w:p>
    <w:p w:rsidR="005366A8" w:rsidRDefault="005366A8" w:rsidP="005366A8">
      <w:pPr>
        <w:pStyle w:val="T-body"/>
        <w:spacing w:line="240" w:lineRule="auto"/>
        <w:ind w:right="-142" w:hanging="28"/>
        <w:jc w:val="left"/>
        <w:rPr>
          <w:rFonts w:ascii="Arial" w:hAnsi="Arial" w:cs="Arial"/>
          <w:sz w:val="20"/>
          <w:szCs w:val="20"/>
          <w:rtl/>
        </w:rPr>
      </w:pPr>
      <w:r w:rsidRPr="001C4D4A">
        <w:rPr>
          <w:rFonts w:ascii="Arial" w:hAnsi="Arial" w:cs="Arial"/>
          <w:b/>
          <w:bCs/>
          <w:sz w:val="22"/>
          <w:szCs w:val="22"/>
          <w:highlight w:val="yellow"/>
          <w:u w:val="single"/>
          <w:rtl/>
        </w:rPr>
        <w:t>בג"צ 3939/99 שדה נחום נ' מינהל מקרקעי ישראל</w:t>
      </w:r>
      <w:r w:rsidRPr="001C4D4A">
        <w:rPr>
          <w:rFonts w:ascii="Arial" w:hAnsi="Arial" w:cs="Arial"/>
          <w:b/>
          <w:bCs/>
          <w:sz w:val="22"/>
          <w:szCs w:val="22"/>
          <w:highlight w:val="yellow"/>
          <w:rtl/>
        </w:rPr>
        <w:t xml:space="preserve"> </w:t>
      </w:r>
      <w:r>
        <w:rPr>
          <w:rFonts w:ascii="Arial" w:hAnsi="Arial" w:cs="Arial" w:hint="cs"/>
          <w:sz w:val="20"/>
          <w:szCs w:val="20"/>
          <w:rtl/>
        </w:rPr>
        <w:t xml:space="preserve">[הוא קרוי גם פס"ד </w:t>
      </w:r>
      <w:r w:rsidRPr="00AC707B">
        <w:rPr>
          <w:rFonts w:ascii="Arial" w:hAnsi="Arial" w:cs="Arial" w:hint="cs"/>
          <w:b/>
          <w:bCs/>
          <w:sz w:val="20"/>
          <w:szCs w:val="20"/>
          <w:rtl/>
        </w:rPr>
        <w:t>הקשת הדמוקרטית המזרחית</w:t>
      </w:r>
      <w:r>
        <w:rPr>
          <w:rFonts w:ascii="Arial" w:hAnsi="Arial" w:cs="Arial" w:hint="cs"/>
          <w:sz w:val="20"/>
          <w:szCs w:val="20"/>
          <w:rtl/>
        </w:rPr>
        <w:t>, להלן הושמטו אסמכתאות]</w:t>
      </w:r>
    </w:p>
    <w:p w:rsidR="005366A8" w:rsidRDefault="005366A8" w:rsidP="005366A8">
      <w:pPr>
        <w:pStyle w:val="T-body"/>
        <w:spacing w:line="240" w:lineRule="auto"/>
        <w:ind w:hanging="28"/>
        <w:rPr>
          <w:rFonts w:cs="David"/>
          <w:b/>
          <w:bCs/>
          <w:sz w:val="20"/>
          <w:szCs w:val="20"/>
          <w:u w:val="single"/>
          <w:rtl/>
        </w:rPr>
      </w:pPr>
    </w:p>
    <w:p w:rsidR="005366A8" w:rsidRPr="00DC1C45" w:rsidRDefault="005366A8" w:rsidP="005366A8">
      <w:pPr>
        <w:ind w:left="720"/>
        <w:rPr>
          <w:rFonts w:cs="David"/>
          <w:b/>
          <w:bCs/>
          <w:sz w:val="22"/>
          <w:szCs w:val="22"/>
          <w:rtl/>
        </w:rPr>
      </w:pPr>
      <w:r>
        <w:rPr>
          <w:rFonts w:cs="David" w:hint="cs"/>
          <w:b/>
          <w:bCs/>
          <w:sz w:val="22"/>
          <w:szCs w:val="22"/>
          <w:highlight w:val="yellow"/>
          <w:rtl/>
        </w:rPr>
        <w:t xml:space="preserve">^ </w:t>
      </w:r>
      <w:r w:rsidRPr="00D91C37">
        <w:rPr>
          <w:rFonts w:cs="David"/>
          <w:b/>
          <w:bCs/>
          <w:sz w:val="22"/>
          <w:szCs w:val="22"/>
          <w:highlight w:val="yellow"/>
          <w:u w:val="single"/>
          <w:rtl/>
        </w:rPr>
        <w:t>חוק יסוד : מקרקעי ישראל</w:t>
      </w:r>
      <w:r w:rsidRPr="00DC1C45">
        <w:rPr>
          <w:rFonts w:cs="David"/>
          <w:b/>
          <w:bCs/>
          <w:sz w:val="22"/>
          <w:szCs w:val="22"/>
          <w:rtl/>
        </w:rPr>
        <w:t xml:space="preserve"> </w:t>
      </w:r>
    </w:p>
    <w:p w:rsidR="005366A8" w:rsidRPr="00DC1C45" w:rsidRDefault="005366A8" w:rsidP="005366A8">
      <w:pPr>
        <w:ind w:left="720"/>
        <w:rPr>
          <w:rFonts w:cs="David"/>
          <w:sz w:val="22"/>
          <w:szCs w:val="22"/>
          <w:rtl/>
        </w:rPr>
      </w:pPr>
      <w:r w:rsidRPr="00DC1C45">
        <w:rPr>
          <w:rFonts w:cs="David"/>
          <w:sz w:val="22"/>
          <w:szCs w:val="22"/>
          <w:rtl/>
        </w:rPr>
        <w:t xml:space="preserve"> 1. </w:t>
      </w:r>
      <w:r w:rsidRPr="00DC1C45">
        <w:rPr>
          <w:rFonts w:cs="David" w:hint="cs"/>
          <w:sz w:val="22"/>
          <w:szCs w:val="22"/>
          <w:rtl/>
        </w:rPr>
        <w:t>[</w:t>
      </w:r>
      <w:r w:rsidRPr="00DC1C45">
        <w:rPr>
          <w:rFonts w:cs="David"/>
          <w:sz w:val="22"/>
          <w:szCs w:val="22"/>
          <w:rtl/>
        </w:rPr>
        <w:t>איסור העברת בעלות</w:t>
      </w:r>
      <w:r w:rsidRPr="00DC1C45">
        <w:rPr>
          <w:rFonts w:cs="David" w:hint="cs"/>
          <w:sz w:val="22"/>
          <w:szCs w:val="22"/>
          <w:rtl/>
        </w:rPr>
        <w:t>]</w:t>
      </w:r>
      <w:r w:rsidRPr="00DC1C45">
        <w:rPr>
          <w:rFonts w:cs="David"/>
          <w:sz w:val="22"/>
          <w:szCs w:val="22"/>
          <w:rtl/>
        </w:rPr>
        <w:t xml:space="preserve"> </w:t>
      </w:r>
    </w:p>
    <w:p w:rsidR="005366A8" w:rsidRPr="00DC1C45" w:rsidRDefault="005366A8" w:rsidP="005366A8">
      <w:pPr>
        <w:ind w:left="720"/>
        <w:rPr>
          <w:rFonts w:cs="David"/>
          <w:sz w:val="22"/>
          <w:szCs w:val="22"/>
          <w:rtl/>
        </w:rPr>
      </w:pPr>
      <w:r w:rsidRPr="001C4D4A">
        <w:rPr>
          <w:rFonts w:cs="David"/>
          <w:sz w:val="22"/>
          <w:szCs w:val="22"/>
          <w:highlight w:val="yellow"/>
          <w:rtl/>
        </w:rPr>
        <w:t>מקרקעי ישראל, והם המקרקעין בישראל של המדינה, של רשות הפיתוח או של הקרן הקימת לישראל, הבעלות בהם לא תועבר, אם במכר ואם בדרך אחרת.</w:t>
      </w:r>
      <w:r w:rsidRPr="00DC1C45">
        <w:rPr>
          <w:rFonts w:cs="David"/>
          <w:sz w:val="22"/>
          <w:szCs w:val="22"/>
          <w:rtl/>
        </w:rPr>
        <w:t xml:space="preserve"> </w:t>
      </w:r>
    </w:p>
    <w:p w:rsidR="005366A8" w:rsidRPr="00DC1C45" w:rsidRDefault="005366A8" w:rsidP="005366A8">
      <w:pPr>
        <w:ind w:left="720"/>
        <w:rPr>
          <w:rFonts w:cs="David"/>
          <w:sz w:val="22"/>
          <w:szCs w:val="22"/>
          <w:rtl/>
        </w:rPr>
      </w:pPr>
    </w:p>
    <w:p w:rsidR="005366A8" w:rsidRPr="00DC1C45" w:rsidRDefault="005366A8" w:rsidP="005366A8">
      <w:pPr>
        <w:ind w:left="720"/>
        <w:rPr>
          <w:rFonts w:cs="David"/>
          <w:sz w:val="22"/>
          <w:szCs w:val="22"/>
          <w:rtl/>
        </w:rPr>
      </w:pPr>
      <w:r w:rsidRPr="00DC1C45">
        <w:rPr>
          <w:rFonts w:cs="David"/>
          <w:sz w:val="22"/>
          <w:szCs w:val="22"/>
          <w:rtl/>
        </w:rPr>
        <w:t xml:space="preserve"> 2. </w:t>
      </w:r>
      <w:r w:rsidRPr="00DC1C45">
        <w:rPr>
          <w:rFonts w:cs="David" w:hint="cs"/>
          <w:sz w:val="22"/>
          <w:szCs w:val="22"/>
          <w:rtl/>
        </w:rPr>
        <w:t>[</w:t>
      </w:r>
      <w:r w:rsidRPr="00DC1C45">
        <w:rPr>
          <w:rFonts w:cs="David"/>
          <w:sz w:val="22"/>
          <w:szCs w:val="22"/>
          <w:rtl/>
        </w:rPr>
        <w:t>היתר על פי חוק</w:t>
      </w:r>
      <w:r w:rsidRPr="00DC1C45">
        <w:rPr>
          <w:rFonts w:cs="David" w:hint="cs"/>
          <w:sz w:val="22"/>
          <w:szCs w:val="22"/>
          <w:rtl/>
        </w:rPr>
        <w:t>]</w:t>
      </w:r>
    </w:p>
    <w:p w:rsidR="005366A8" w:rsidRPr="00DC1C45" w:rsidRDefault="005366A8" w:rsidP="005366A8">
      <w:pPr>
        <w:ind w:left="720"/>
        <w:rPr>
          <w:rFonts w:cs="David"/>
          <w:sz w:val="22"/>
          <w:szCs w:val="22"/>
          <w:rtl/>
        </w:rPr>
      </w:pPr>
      <w:r w:rsidRPr="001C4D4A">
        <w:rPr>
          <w:rFonts w:cs="David"/>
          <w:sz w:val="22"/>
          <w:szCs w:val="22"/>
          <w:highlight w:val="yellow"/>
          <w:rtl/>
        </w:rPr>
        <w:t>סעיף 1 לא יחול על סוגי מקרקעין וסוגי עסקאות שנקבעו לענין זה בחוק.</w:t>
      </w:r>
      <w:r w:rsidRPr="00DC1C45">
        <w:rPr>
          <w:rFonts w:cs="David"/>
          <w:sz w:val="22"/>
          <w:szCs w:val="22"/>
          <w:rtl/>
        </w:rPr>
        <w:t xml:space="preserve"> </w:t>
      </w:r>
    </w:p>
    <w:p w:rsidR="005366A8" w:rsidRDefault="005366A8" w:rsidP="005366A8">
      <w:pPr>
        <w:ind w:left="720"/>
        <w:jc w:val="center"/>
        <w:rPr>
          <w:sz w:val="22"/>
          <w:szCs w:val="22"/>
          <w:rtl/>
        </w:rPr>
      </w:pPr>
    </w:p>
    <w:p w:rsidR="005366A8" w:rsidRPr="00560F4B" w:rsidRDefault="005366A8" w:rsidP="005366A8">
      <w:pPr>
        <w:spacing w:after="120"/>
        <w:ind w:left="720"/>
        <w:rPr>
          <w:b/>
          <w:bCs/>
          <w:sz w:val="22"/>
          <w:szCs w:val="22"/>
          <w:rtl/>
        </w:rPr>
      </w:pPr>
      <w:r>
        <w:rPr>
          <w:rFonts w:cs="David" w:hint="cs"/>
          <w:b/>
          <w:bCs/>
          <w:sz w:val="22"/>
          <w:szCs w:val="22"/>
          <w:highlight w:val="yellow"/>
          <w:rtl/>
        </w:rPr>
        <w:t xml:space="preserve">^ </w:t>
      </w:r>
      <w:r w:rsidRPr="00D91C37">
        <w:rPr>
          <w:rFonts w:cs="David"/>
          <w:b/>
          <w:bCs/>
          <w:sz w:val="22"/>
          <w:szCs w:val="22"/>
          <w:highlight w:val="yellow"/>
          <w:u w:val="single"/>
          <w:rtl/>
        </w:rPr>
        <w:t>חוק מינהל מקרקעי ישראל, התש"ך-1960</w:t>
      </w:r>
    </w:p>
    <w:p w:rsidR="005366A8" w:rsidRPr="00DC1C45" w:rsidRDefault="005366A8" w:rsidP="005366A8">
      <w:pPr>
        <w:ind w:left="720"/>
        <w:rPr>
          <w:sz w:val="22"/>
          <w:szCs w:val="22"/>
          <w:rtl/>
        </w:rPr>
      </w:pPr>
      <w:r w:rsidRPr="00560F4B">
        <w:rPr>
          <w:rFonts w:cs="David"/>
          <w:sz w:val="22"/>
          <w:szCs w:val="22"/>
          <w:rtl/>
        </w:rPr>
        <w:t>סעיף 2(א) לחוק מינהל מקרקעי ישראל, התש"ך-1960 (להלן: חוק המינהל)</w:t>
      </w:r>
      <w:r w:rsidRPr="00DC1C45">
        <w:rPr>
          <w:sz w:val="22"/>
          <w:szCs w:val="22"/>
          <w:rtl/>
        </w:rPr>
        <w:t xml:space="preserve"> קובע: </w:t>
      </w:r>
    </w:p>
    <w:p w:rsidR="005366A8" w:rsidRPr="00560F4B" w:rsidRDefault="005366A8" w:rsidP="005366A8">
      <w:pPr>
        <w:spacing w:after="120"/>
        <w:ind w:left="1440"/>
        <w:rPr>
          <w:rFonts w:cs="David"/>
          <w:sz w:val="22"/>
          <w:szCs w:val="22"/>
          <w:rtl/>
        </w:rPr>
      </w:pPr>
      <w:r w:rsidRPr="001C4D4A">
        <w:rPr>
          <w:rFonts w:cs="David"/>
          <w:sz w:val="22"/>
          <w:szCs w:val="22"/>
          <w:highlight w:val="yellow"/>
          <w:rtl/>
        </w:rPr>
        <w:t>"הממשלה תקים מינהל מקרקעי ישראל (להלן: המינהל) שינהל את מקרקעי ישראל".</w:t>
      </w:r>
      <w:r w:rsidRPr="00560F4B">
        <w:rPr>
          <w:rFonts w:cs="David"/>
          <w:sz w:val="22"/>
          <w:szCs w:val="22"/>
          <w:rtl/>
        </w:rPr>
        <w:t xml:space="preserve"> </w:t>
      </w:r>
    </w:p>
    <w:p w:rsidR="005366A8" w:rsidRPr="00DC1C45" w:rsidRDefault="005366A8" w:rsidP="005366A8">
      <w:pPr>
        <w:ind w:left="720"/>
        <w:rPr>
          <w:sz w:val="22"/>
          <w:szCs w:val="22"/>
          <w:rtl/>
        </w:rPr>
      </w:pPr>
      <w:r w:rsidRPr="00DC1C45">
        <w:rPr>
          <w:sz w:val="22"/>
          <w:szCs w:val="22"/>
          <w:rtl/>
        </w:rPr>
        <w:t xml:space="preserve">סעיף 3 לחוק המינהל מסדיר את הקמת מועצת מקרקעי ישראל וקובע את סמכויותיה: </w:t>
      </w:r>
    </w:p>
    <w:p w:rsidR="005366A8" w:rsidRPr="00560F4B" w:rsidRDefault="005366A8" w:rsidP="005366A8">
      <w:pPr>
        <w:ind w:left="720"/>
        <w:rPr>
          <w:rFonts w:cs="David"/>
          <w:sz w:val="22"/>
          <w:szCs w:val="22"/>
          <w:rtl/>
        </w:rPr>
      </w:pPr>
      <w:r w:rsidRPr="00560F4B">
        <w:rPr>
          <w:rFonts w:cs="David"/>
          <w:sz w:val="22"/>
          <w:szCs w:val="22"/>
          <w:rtl/>
        </w:rPr>
        <w:t xml:space="preserve">"3. מועצת מקרקעי ישראל </w:t>
      </w:r>
    </w:p>
    <w:p w:rsidR="005366A8" w:rsidRPr="00560F4B" w:rsidRDefault="005366A8" w:rsidP="005366A8">
      <w:pPr>
        <w:ind w:left="1440"/>
        <w:rPr>
          <w:rFonts w:cs="David"/>
          <w:sz w:val="22"/>
          <w:szCs w:val="22"/>
          <w:rtl/>
        </w:rPr>
      </w:pPr>
      <w:r w:rsidRPr="001C4D4A">
        <w:rPr>
          <w:rFonts w:cs="David"/>
          <w:sz w:val="22"/>
          <w:szCs w:val="22"/>
          <w:highlight w:val="yellow"/>
          <w:rtl/>
        </w:rPr>
        <w:t>הממשלה תמנה מועצת מקרקעי ישראל שתקבע את המדיניות הקרקעית שלפיה יפעל המינהל, תפקח על פעולות המינהל ותאשר הצעת תקציבו שייקבע בחוק".</w:t>
      </w:r>
      <w:r w:rsidRPr="00560F4B">
        <w:rPr>
          <w:rFonts w:cs="David"/>
          <w:sz w:val="22"/>
          <w:szCs w:val="22"/>
          <w:rtl/>
        </w:rPr>
        <w:t xml:space="preserve"> </w:t>
      </w:r>
    </w:p>
    <w:p w:rsidR="005366A8" w:rsidRPr="00B96C51" w:rsidRDefault="005366A8" w:rsidP="005366A8">
      <w:pPr>
        <w:pStyle w:val="ac"/>
        <w:widowControl w:val="0"/>
        <w:spacing w:before="240"/>
        <w:ind w:firstLine="0"/>
        <w:rPr>
          <w:sz w:val="22"/>
          <w:rtl/>
        </w:rPr>
      </w:pPr>
      <w:r>
        <w:rPr>
          <w:rFonts w:hint="cs"/>
          <w:sz w:val="22"/>
          <w:rtl/>
        </w:rPr>
        <w:t>[</w:t>
      </w:r>
      <w:r w:rsidRPr="00B96C51">
        <w:rPr>
          <w:sz w:val="22"/>
          <w:rtl/>
        </w:rPr>
        <w:t xml:space="preserve">מועצת מקרקעי ישראל (להלן </w:t>
      </w:r>
      <w:r w:rsidRPr="00B96C51">
        <w:rPr>
          <w:rFonts w:hint="cs"/>
          <w:sz w:val="22"/>
          <w:rtl/>
        </w:rPr>
        <w:t>גם</w:t>
      </w:r>
      <w:r w:rsidRPr="00B96C51">
        <w:rPr>
          <w:sz w:val="22"/>
          <w:rtl/>
        </w:rPr>
        <w:t xml:space="preserve"> </w:t>
      </w:r>
      <w:r w:rsidRPr="00B96C51">
        <w:rPr>
          <w:rFonts w:hint="cs"/>
          <w:sz w:val="22"/>
          <w:rtl/>
        </w:rPr>
        <w:t xml:space="preserve">– </w:t>
      </w:r>
      <w:r w:rsidRPr="00B96C51">
        <w:rPr>
          <w:sz w:val="22"/>
          <w:rtl/>
        </w:rPr>
        <w:t>המועצה) קיבלה החלטות</w:t>
      </w:r>
      <w:r w:rsidRPr="00B96C51">
        <w:rPr>
          <w:rFonts w:hint="cs"/>
          <w:sz w:val="22"/>
          <w:rtl/>
        </w:rPr>
        <w:t xml:space="preserve"> </w:t>
      </w:r>
      <w:r w:rsidRPr="00B96C51">
        <w:rPr>
          <w:sz w:val="22"/>
          <w:rtl/>
        </w:rPr>
        <w:t xml:space="preserve">מספר </w:t>
      </w:r>
      <w:r w:rsidRPr="00B96C51">
        <w:rPr>
          <w:rFonts w:hint="cs"/>
          <w:sz w:val="22"/>
          <w:rtl/>
        </w:rPr>
        <w:t>ה</w:t>
      </w:r>
      <w:r w:rsidRPr="00B96C51">
        <w:rPr>
          <w:sz w:val="22"/>
          <w:rtl/>
        </w:rPr>
        <w:t xml:space="preserve">עוסקות בשינוי הייעוד בקרקעות מדינה אשר ייעודן חקלאי, </w:t>
      </w:r>
      <w:r w:rsidRPr="00B96C51">
        <w:rPr>
          <w:rFonts w:hint="cs"/>
          <w:sz w:val="22"/>
          <w:rtl/>
        </w:rPr>
        <w:t>ו</w:t>
      </w:r>
      <w:r w:rsidRPr="00B96C51">
        <w:rPr>
          <w:sz w:val="22"/>
          <w:rtl/>
        </w:rPr>
        <w:t xml:space="preserve">שהוחכרו ליישובים חקלאיים. החלטה </w:t>
      </w:r>
      <w:r w:rsidRPr="00B96C51">
        <w:rPr>
          <w:sz w:val="22"/>
          <w:rtl/>
          <w:cs/>
        </w:rPr>
        <w:t>‎</w:t>
      </w:r>
      <w:r w:rsidRPr="00B96C51">
        <w:rPr>
          <w:rFonts w:hint="cs"/>
          <w:sz w:val="22"/>
          <w:rtl/>
        </w:rPr>
        <w:t>717</w:t>
      </w:r>
      <w:r w:rsidRPr="00B96C51">
        <w:rPr>
          <w:sz w:val="22"/>
          <w:rtl/>
        </w:rPr>
        <w:t xml:space="preserve"> עניינה בפיתוח אזורי תעשייה ביישובים כמקור תעסוקה נוסף להם.</w:t>
      </w:r>
      <w:r w:rsidRPr="00B96C51">
        <w:rPr>
          <w:rFonts w:hint="cs"/>
          <w:sz w:val="22"/>
          <w:rtl/>
        </w:rPr>
        <w:t xml:space="preserve"> </w:t>
      </w:r>
      <w:r w:rsidRPr="00B96C51">
        <w:rPr>
          <w:sz w:val="22"/>
          <w:rtl/>
        </w:rPr>
        <w:t>ההחלטה מאפשרת ליישובים החקלא</w:t>
      </w:r>
      <w:r w:rsidRPr="00B96C51">
        <w:rPr>
          <w:rFonts w:hint="cs"/>
          <w:sz w:val="22"/>
          <w:rtl/>
        </w:rPr>
        <w:t>י</w:t>
      </w:r>
      <w:r w:rsidRPr="00B96C51">
        <w:rPr>
          <w:sz w:val="22"/>
          <w:rtl/>
        </w:rPr>
        <w:t xml:space="preserve">ים המעוניינים בכך, לפתח אזורי תעשייה בחלקים מן הקרקע שחכרו </w:t>
      </w:r>
      <w:r w:rsidRPr="00B96C51">
        <w:rPr>
          <w:rFonts w:hint="cs"/>
          <w:sz w:val="22"/>
          <w:rtl/>
        </w:rPr>
        <w:t>ממינהל מקרקעי ישראל (להלן גם – המינהל)</w:t>
      </w:r>
      <w:r w:rsidRPr="00B96C51">
        <w:rPr>
          <w:sz w:val="22"/>
          <w:rtl/>
        </w:rPr>
        <w:t>.</w:t>
      </w:r>
      <w:r w:rsidRPr="00B96C51">
        <w:rPr>
          <w:rFonts w:hint="cs"/>
          <w:sz w:val="22"/>
          <w:rtl/>
        </w:rPr>
        <w:t xml:space="preserve"> </w:t>
      </w:r>
      <w:r w:rsidRPr="00B96C51">
        <w:rPr>
          <w:sz w:val="22"/>
          <w:rtl/>
        </w:rPr>
        <w:t xml:space="preserve">החלטה </w:t>
      </w:r>
      <w:r w:rsidRPr="00B96C51">
        <w:rPr>
          <w:sz w:val="22"/>
          <w:rtl/>
          <w:cs/>
        </w:rPr>
        <w:t>‎</w:t>
      </w:r>
      <w:r w:rsidRPr="00B96C51">
        <w:rPr>
          <w:rFonts w:hint="cs"/>
          <w:sz w:val="22"/>
          <w:rtl/>
        </w:rPr>
        <w:t>727</w:t>
      </w:r>
      <w:r w:rsidRPr="00B96C51">
        <w:rPr>
          <w:sz w:val="22"/>
          <w:rtl/>
        </w:rPr>
        <w:t xml:space="preserve"> עניינה שינוי הייעוד לבנייה למגורים, לתעשי</w:t>
      </w:r>
      <w:r w:rsidRPr="00B96C51">
        <w:rPr>
          <w:rFonts w:hint="cs"/>
          <w:sz w:val="22"/>
          <w:rtl/>
        </w:rPr>
        <w:t>י</w:t>
      </w:r>
      <w:r w:rsidRPr="00B96C51">
        <w:rPr>
          <w:sz w:val="22"/>
          <w:rtl/>
        </w:rPr>
        <w:t xml:space="preserve">ה, </w:t>
      </w:r>
      <w:r w:rsidRPr="00B96C51">
        <w:rPr>
          <w:rFonts w:hint="cs"/>
          <w:sz w:val="22"/>
          <w:rtl/>
        </w:rPr>
        <w:t>ל</w:t>
      </w:r>
      <w:r w:rsidRPr="00B96C51">
        <w:rPr>
          <w:sz w:val="22"/>
          <w:rtl/>
        </w:rPr>
        <w:t xml:space="preserve">מסחר, </w:t>
      </w:r>
      <w:r w:rsidRPr="00B96C51">
        <w:rPr>
          <w:rFonts w:hint="cs"/>
          <w:sz w:val="22"/>
          <w:rtl/>
        </w:rPr>
        <w:t>ל</w:t>
      </w:r>
      <w:r w:rsidRPr="00B96C51">
        <w:rPr>
          <w:sz w:val="22"/>
          <w:rtl/>
        </w:rPr>
        <w:t xml:space="preserve">תיירות או </w:t>
      </w:r>
      <w:r w:rsidRPr="00B96C51">
        <w:rPr>
          <w:rFonts w:hint="cs"/>
          <w:sz w:val="22"/>
          <w:rtl/>
        </w:rPr>
        <w:t>ל</w:t>
      </w:r>
      <w:r w:rsidRPr="00B96C51">
        <w:rPr>
          <w:sz w:val="22"/>
          <w:rtl/>
        </w:rPr>
        <w:t>קיט</w:t>
      </w:r>
      <w:r w:rsidRPr="00B96C51">
        <w:rPr>
          <w:rFonts w:hint="cs"/>
          <w:sz w:val="22"/>
          <w:rtl/>
        </w:rPr>
        <w:t>. על</w:t>
      </w:r>
      <w:r w:rsidRPr="00B96C51">
        <w:rPr>
          <w:rFonts w:hint="cs"/>
          <w:position w:val="3"/>
          <w:sz w:val="22"/>
          <w:rtl/>
        </w:rPr>
        <w:t>-</w:t>
      </w:r>
      <w:r w:rsidRPr="00B96C51">
        <w:rPr>
          <w:rFonts w:hint="cs"/>
          <w:sz w:val="22"/>
          <w:rtl/>
        </w:rPr>
        <w:t>פי ההחלטה יינתנו לחוכרים חקלאיים פיצויים בגין השבת קרקע שייעודה שונה, כאשר גובה הפיצוי ייקבע על</w:t>
      </w:r>
      <w:r w:rsidRPr="00B96C51">
        <w:rPr>
          <w:rFonts w:hint="cs"/>
          <w:position w:val="3"/>
          <w:sz w:val="22"/>
          <w:rtl/>
        </w:rPr>
        <w:t>-</w:t>
      </w:r>
      <w:r w:rsidRPr="00B96C51">
        <w:rPr>
          <w:rFonts w:hint="cs"/>
          <w:sz w:val="22"/>
          <w:rtl/>
        </w:rPr>
        <w:t>פי שווי הקרקע לאחר שינוי הייעוד (ובשיעור הנע בין 27% ל</w:t>
      </w:r>
      <w:r w:rsidRPr="00B96C51">
        <w:rPr>
          <w:rFonts w:hint="cs"/>
          <w:position w:val="3"/>
          <w:sz w:val="22"/>
          <w:rtl/>
        </w:rPr>
        <w:t>-</w:t>
      </w:r>
      <w:r w:rsidRPr="00B96C51">
        <w:rPr>
          <w:rFonts w:hint="cs"/>
          <w:sz w:val="22"/>
          <w:rtl/>
        </w:rPr>
        <w:t>29% משווי הקרקע לאחר שינוי הייעוד)</w:t>
      </w:r>
      <w:r w:rsidRPr="00B96C51">
        <w:rPr>
          <w:sz w:val="22"/>
          <w:rtl/>
        </w:rPr>
        <w:t xml:space="preserve">. </w:t>
      </w:r>
      <w:r w:rsidRPr="00B96C51">
        <w:rPr>
          <w:rFonts w:hint="cs"/>
          <w:sz w:val="22"/>
          <w:rtl/>
        </w:rPr>
        <w:t>מטרת ההחלטה הייתה</w:t>
      </w:r>
      <w:r w:rsidRPr="00B96C51">
        <w:rPr>
          <w:sz w:val="22"/>
          <w:rtl/>
        </w:rPr>
        <w:t xml:space="preserve"> להעמיד קרקעות זמינות לצ</w:t>
      </w:r>
      <w:r w:rsidRPr="00B96C51">
        <w:rPr>
          <w:rFonts w:hint="cs"/>
          <w:sz w:val="22"/>
          <w:rtl/>
        </w:rPr>
        <w:t>ו</w:t>
      </w:r>
      <w:r w:rsidRPr="00B96C51">
        <w:rPr>
          <w:sz w:val="22"/>
          <w:rtl/>
        </w:rPr>
        <w:t>רכי בניית יחידות דיור עליהן</w:t>
      </w:r>
      <w:r w:rsidRPr="00B96C51">
        <w:rPr>
          <w:rFonts w:hint="cs"/>
          <w:sz w:val="22"/>
          <w:rtl/>
        </w:rPr>
        <w:t xml:space="preserve"> ולתמרץ את החוכרים להשיב את הקרקע למינהל</w:t>
      </w:r>
      <w:r w:rsidRPr="00B96C51">
        <w:rPr>
          <w:sz w:val="22"/>
          <w:rtl/>
        </w:rPr>
        <w:t>. החלטה</w:t>
      </w:r>
      <w:r w:rsidRPr="00B96C51">
        <w:rPr>
          <w:rFonts w:hint="cs"/>
          <w:sz w:val="22"/>
          <w:rtl/>
        </w:rPr>
        <w:t xml:space="preserve"> 737 </w:t>
      </w:r>
      <w:r w:rsidRPr="00B96C51">
        <w:rPr>
          <w:sz w:val="22"/>
          <w:rtl/>
        </w:rPr>
        <w:t>עוסקת בשינוי ייעוד לצורך הרחבת שטחי המגורים ביישובים חקלאיים במגמה להגדיל ולהצעיר את האוכלוסיה בכל אחד מהיישובים.</w:t>
      </w:r>
      <w:r w:rsidRPr="00B96C51">
        <w:rPr>
          <w:rFonts w:hint="cs"/>
          <w:sz w:val="22"/>
          <w:rtl/>
        </w:rPr>
        <w:t xml:space="preserve"> ההחלטה מעניקה </w:t>
      </w:r>
      <w:r w:rsidRPr="00B96C51">
        <w:rPr>
          <w:sz w:val="22"/>
          <w:rtl/>
        </w:rPr>
        <w:t>ליישובים החקלאי</w:t>
      </w:r>
      <w:r w:rsidRPr="00B96C51">
        <w:rPr>
          <w:rFonts w:hint="cs"/>
          <w:sz w:val="22"/>
          <w:rtl/>
        </w:rPr>
        <w:t>י</w:t>
      </w:r>
      <w:r w:rsidRPr="00B96C51">
        <w:rPr>
          <w:sz w:val="22"/>
          <w:rtl/>
        </w:rPr>
        <w:t>ם הטבה כלכלית בדמות הפחתת דמי החכירה ומאפשרת לבני המקום, או למומלצים אחרים שנבחרו ע</w:t>
      </w:r>
      <w:r w:rsidRPr="00B96C51">
        <w:rPr>
          <w:rFonts w:hint="cs"/>
          <w:sz w:val="22"/>
          <w:rtl/>
        </w:rPr>
        <w:t>ל</w:t>
      </w:r>
      <w:r w:rsidRPr="00B96C51">
        <w:rPr>
          <w:rFonts w:hint="cs"/>
          <w:position w:val="3"/>
          <w:sz w:val="22"/>
          <w:rtl/>
        </w:rPr>
        <w:t>-</w:t>
      </w:r>
      <w:r w:rsidRPr="00B96C51">
        <w:rPr>
          <w:sz w:val="22"/>
          <w:rtl/>
        </w:rPr>
        <w:t>י</w:t>
      </w:r>
      <w:r w:rsidRPr="00B96C51">
        <w:rPr>
          <w:rFonts w:hint="cs"/>
          <w:sz w:val="22"/>
          <w:rtl/>
        </w:rPr>
        <w:t>די</w:t>
      </w:r>
      <w:r w:rsidRPr="00B96C51">
        <w:rPr>
          <w:sz w:val="22"/>
          <w:rtl/>
        </w:rPr>
        <w:t xml:space="preserve"> האגודה</w:t>
      </w:r>
      <w:r w:rsidRPr="00B96C51">
        <w:rPr>
          <w:rFonts w:hint="cs"/>
          <w:sz w:val="22"/>
          <w:rtl/>
        </w:rPr>
        <w:t xml:space="preserve"> החקלאית</w:t>
      </w:r>
      <w:r w:rsidRPr="00B96C51">
        <w:rPr>
          <w:sz w:val="22"/>
          <w:rtl/>
        </w:rPr>
        <w:t>, בהתאם לצרכיה, לחכור את המגרשים שהורחבו ללא מכרז.</w:t>
      </w:r>
    </w:p>
    <w:p w:rsidR="005366A8" w:rsidRPr="0002109C" w:rsidRDefault="005366A8" w:rsidP="005366A8">
      <w:pPr>
        <w:rPr>
          <w:rFonts w:cs="FrankRuehl"/>
          <w:sz w:val="22"/>
          <w:szCs w:val="22"/>
          <w:rtl/>
        </w:rPr>
      </w:pPr>
      <w:r w:rsidRPr="00A95F6D">
        <w:rPr>
          <w:rFonts w:cs="FrankRuehl" w:hint="cs"/>
          <w:sz w:val="22"/>
          <w:szCs w:val="22"/>
          <w:highlight w:val="yellow"/>
          <w:rtl/>
        </w:rPr>
        <w:t>העותרים תוקפים את חוקיות ההחלטות בטענה שהן "הסדרים ראשוניים" אשר היו צריכים להתקבל בחקיקה ראשית, וכן בטענה שהן בלתי חוקיות בהיותן בלתי סבירות משום שהן מעניקות טובות הנאה יקרות ערך לחוכרי הקרקעות על חשבון קופת הציבור. כן נטען כי ההחלטות מעניקות משקל בלתי מידתי לשיקול של העמדת קרקע זמינה לצורכי בנייה ומזניחות שיקולים של צדק חברתי ושל שמירה על איכות הסביבה.</w:t>
      </w:r>
      <w:r>
        <w:rPr>
          <w:rFonts w:cs="FrankRuehl" w:hint="cs"/>
          <w:sz w:val="22"/>
          <w:szCs w:val="22"/>
          <w:rtl/>
        </w:rPr>
        <w:t>]</w:t>
      </w:r>
    </w:p>
    <w:p w:rsidR="005366A8" w:rsidRPr="0002109C" w:rsidRDefault="005366A8" w:rsidP="005366A8">
      <w:pPr>
        <w:rPr>
          <w:rFonts w:cs="FrankRuehl"/>
          <w:sz w:val="22"/>
          <w:szCs w:val="22"/>
          <w:rtl/>
        </w:rPr>
      </w:pPr>
    </w:p>
    <w:p w:rsidR="005366A8" w:rsidRPr="0002109C" w:rsidRDefault="005366A8" w:rsidP="005366A8">
      <w:pPr>
        <w:rPr>
          <w:rFonts w:cs="FrankRuehl"/>
          <w:sz w:val="22"/>
          <w:szCs w:val="22"/>
          <w:rtl/>
        </w:rPr>
      </w:pPr>
      <w:r w:rsidRPr="0002109C">
        <w:rPr>
          <w:rFonts w:cs="FrankRuehl"/>
          <w:sz w:val="22"/>
          <w:szCs w:val="22"/>
          <w:rtl/>
        </w:rPr>
        <w:t xml:space="preserve">.30 הלכה היא, שמשיקולים של הפרדת רשויות, שלטון החוק והדמוקרטיה (במובנה הפורמלי-ייצוגי ובמובנה המהותי), ראוי שהתוויית המדיניות הכללית והעקרונית - זו המהווה את ההסדר הראשוני - אשר השפעתה על חיי הפרטים בחברה הנה גדולה - תיעשה בחקיקה ראשית; בעוד שדרכי הגשמתה ויישומה של המדיניות יכולים להיקבע בדרך של חקיקת משנה על ידי הרשויות. </w:t>
      </w:r>
      <w:r w:rsidRPr="0002109C">
        <w:rPr>
          <w:rFonts w:cs="FrankRuehl" w:hint="cs"/>
          <w:sz w:val="22"/>
          <w:szCs w:val="22"/>
          <w:rtl/>
        </w:rPr>
        <w:t>[...]</w:t>
      </w:r>
    </w:p>
    <w:p w:rsidR="005366A8" w:rsidRPr="0002109C" w:rsidRDefault="005366A8" w:rsidP="005366A8">
      <w:pPr>
        <w:rPr>
          <w:rFonts w:cs="FrankRuehl"/>
          <w:sz w:val="22"/>
          <w:szCs w:val="22"/>
          <w:rtl/>
        </w:rPr>
      </w:pPr>
    </w:p>
    <w:p w:rsidR="005366A8" w:rsidRDefault="005366A8" w:rsidP="005366A8">
      <w:pPr>
        <w:rPr>
          <w:rFonts w:cs="FrankRuehl"/>
          <w:sz w:val="22"/>
          <w:szCs w:val="22"/>
          <w:rtl/>
        </w:rPr>
      </w:pPr>
      <w:r w:rsidRPr="0002109C">
        <w:rPr>
          <w:rFonts w:cs="FrankRuehl"/>
          <w:sz w:val="22"/>
          <w:szCs w:val="22"/>
          <w:highlight w:val="yellow"/>
          <w:rtl/>
        </w:rPr>
        <w:t xml:space="preserve">על רקע זה, חזקה על המחוקק כי בחר להותיר בידיו את הסמכויות הכלליות לקבוע הסדרים ומדיניות, והועיד למחוקק המשנה להסדיר את ההיבטים היישומיים. </w:t>
      </w:r>
      <w:r w:rsidRPr="0002109C">
        <w:rPr>
          <w:rFonts w:cs="FrankRuehl"/>
          <w:sz w:val="22"/>
          <w:szCs w:val="22"/>
          <w:rtl/>
        </w:rPr>
        <w:t xml:space="preserve">אך חזקה זו ניתנת לסתירה. </w:t>
      </w:r>
      <w:r w:rsidRPr="0002109C">
        <w:rPr>
          <w:rFonts w:cs="FrankRuehl"/>
          <w:sz w:val="22"/>
          <w:szCs w:val="22"/>
          <w:highlight w:val="yellow"/>
          <w:rtl/>
        </w:rPr>
        <w:t>המחוקק רשאי, בדברו המפורש, להטיל על גוף מינהלי הנזכר בחוק תפקיד להסדיר נושא אשר ברגיל, ועל פי הראוי בדרך כלל, על הגוף המחוקק עצמו להסדירו. באותם המקרים בהם עולה מלשונו המפורשת של החוק כי כוונתו של המחוקק היתה להסמיך את מחוקק המשנה להסדיר עניינים שהם, על פי תוכנם, בגדר "הסדרים ראשוניים" - יש לכבד את דבר המחוקק.</w:t>
      </w:r>
      <w:r w:rsidRPr="0002109C">
        <w:rPr>
          <w:rFonts w:cs="FrankRuehl"/>
          <w:sz w:val="22"/>
          <w:szCs w:val="22"/>
          <w:rtl/>
        </w:rPr>
        <w:t xml:space="preserve"> </w:t>
      </w:r>
    </w:p>
    <w:p w:rsidR="005366A8" w:rsidRPr="0002109C" w:rsidRDefault="005366A8" w:rsidP="005366A8">
      <w:pPr>
        <w:rPr>
          <w:rFonts w:cs="FrankRuehl"/>
          <w:sz w:val="22"/>
          <w:szCs w:val="22"/>
          <w:rtl/>
        </w:rPr>
      </w:pPr>
    </w:p>
    <w:p w:rsidR="005366A8" w:rsidRPr="0002109C" w:rsidRDefault="005366A8" w:rsidP="005366A8">
      <w:pPr>
        <w:ind w:left="720"/>
        <w:rPr>
          <w:rFonts w:cs="FrankRuehl"/>
          <w:sz w:val="22"/>
          <w:szCs w:val="22"/>
          <w:rtl/>
        </w:rPr>
      </w:pPr>
      <w:r w:rsidRPr="0002109C">
        <w:rPr>
          <w:rFonts w:cs="FrankRuehl" w:hint="cs"/>
          <w:sz w:val="22"/>
          <w:szCs w:val="22"/>
          <w:rtl/>
        </w:rPr>
        <w:t xml:space="preserve">[פס"ד </w:t>
      </w:r>
      <w:r w:rsidRPr="0002109C">
        <w:rPr>
          <w:rFonts w:cs="FrankRuehl" w:hint="cs"/>
          <w:b/>
          <w:bCs/>
          <w:sz w:val="22"/>
          <w:szCs w:val="22"/>
          <w:rtl/>
        </w:rPr>
        <w:t>רובינשטיין</w:t>
      </w:r>
      <w:r w:rsidRPr="0002109C">
        <w:rPr>
          <w:rFonts w:cs="FrankRuehl" w:hint="cs"/>
          <w:sz w:val="22"/>
          <w:szCs w:val="22"/>
          <w:rtl/>
        </w:rPr>
        <w:t xml:space="preserve">] </w:t>
      </w:r>
      <w:r w:rsidRPr="0002109C">
        <w:rPr>
          <w:rFonts w:cs="FrankRuehl"/>
          <w:sz w:val="22"/>
          <w:szCs w:val="22"/>
          <w:rtl/>
        </w:rPr>
        <w:t xml:space="preserve">"המחוקק רשאי היה, איפוא, להתעלם מהכלל הבסיסי. הוא היה רשאי להסמיך את הרשות המבצעית לקבוע בחקיקת משנה או בהוראות מינהל הסדרים ראשוניים. אכן, עיון בספר החוקים מלמד, כי רבות הן ההסמכות שהמחוקק הראשי הסמיך את הרשות המבצעת לקבוע הסדרים ראשוניים" (בעמ' 522). </w:t>
      </w:r>
    </w:p>
    <w:p w:rsidR="005366A8" w:rsidRPr="0002109C" w:rsidRDefault="005366A8" w:rsidP="005366A8">
      <w:pPr>
        <w:rPr>
          <w:rFonts w:cs="FrankRuehl"/>
          <w:sz w:val="22"/>
          <w:szCs w:val="22"/>
          <w:rtl/>
        </w:rPr>
      </w:pPr>
    </w:p>
    <w:p w:rsidR="005366A8" w:rsidRPr="0002109C" w:rsidRDefault="005366A8" w:rsidP="005366A8">
      <w:pPr>
        <w:rPr>
          <w:rFonts w:cs="FrankRuehl"/>
          <w:sz w:val="22"/>
          <w:szCs w:val="22"/>
          <w:rtl/>
        </w:rPr>
      </w:pPr>
      <w:r w:rsidRPr="0002109C">
        <w:rPr>
          <w:rFonts w:cs="FrankRuehl"/>
          <w:sz w:val="22"/>
          <w:szCs w:val="22"/>
          <w:highlight w:val="yellow"/>
          <w:rtl/>
        </w:rPr>
        <w:t>אך כדי שתסתור את החזקה האמורה, צריכה לשון החוק להיות "מפורשת, ברורה וחד משמעית". רק אז תפורש לשון החוק כבאה להעניק לרשות המבצעת סמכויות לקבוע הסדרים ראשוניים אשר לא נקבעו בחוק.</w:t>
      </w:r>
      <w:r w:rsidRPr="0002109C">
        <w:rPr>
          <w:rFonts w:cs="FrankRuehl"/>
          <w:sz w:val="22"/>
          <w:szCs w:val="22"/>
          <w:rtl/>
        </w:rPr>
        <w:t xml:space="preserve"> </w:t>
      </w:r>
    </w:p>
    <w:p w:rsidR="005366A8" w:rsidRPr="0002109C" w:rsidRDefault="005366A8" w:rsidP="005366A8">
      <w:pPr>
        <w:rPr>
          <w:rFonts w:cs="FrankRuehl"/>
          <w:sz w:val="22"/>
          <w:szCs w:val="22"/>
          <w:rtl/>
        </w:rPr>
      </w:pPr>
    </w:p>
    <w:p w:rsidR="005366A8" w:rsidRPr="0002109C" w:rsidRDefault="005366A8" w:rsidP="005366A8">
      <w:pPr>
        <w:pStyle w:val="T-body"/>
        <w:spacing w:line="240" w:lineRule="auto"/>
        <w:ind w:hanging="28"/>
        <w:rPr>
          <w:rFonts w:cs="FrankRuehl"/>
          <w:sz w:val="22"/>
          <w:szCs w:val="22"/>
          <w:rtl/>
        </w:rPr>
      </w:pPr>
      <w:r w:rsidRPr="0002109C">
        <w:rPr>
          <w:rFonts w:cs="FrankRuehl"/>
          <w:sz w:val="22"/>
          <w:szCs w:val="22"/>
          <w:highlight w:val="yellow"/>
          <w:rtl/>
        </w:rPr>
        <w:t>דוגמה להסמכת המינהל להסדיר עניינים שהם בגדר "הסדרים ראשוניים" מצויה בחוק הסעד (שירותים למפגרים) התשכ"ט-1969, הקובע כי שר הסעד "מופקד על שירותים למפגרים על פי החוק" ומסמיך אותו, לאחר היוועצות עם שר האוצר ועם שר הפנים, להורות לרשות בצו להקים שירותים למפגרים. אך, הסעיף אינו קובע מה יהיה תוכנם של השירותים למפגרים או מה הם הקריטריונים להתווית מדיניות הטיפול במפגרים.</w:t>
      </w:r>
      <w:r w:rsidRPr="0002109C">
        <w:rPr>
          <w:rFonts w:cs="FrankRuehl"/>
          <w:sz w:val="22"/>
          <w:szCs w:val="22"/>
          <w:rtl/>
        </w:rPr>
        <w:t xml:space="preserve"> דוגמה נוספת </w:t>
      </w:r>
      <w:r w:rsidRPr="0002109C">
        <w:rPr>
          <w:rFonts w:cs="FrankRuehl"/>
          <w:sz w:val="22"/>
          <w:szCs w:val="22"/>
          <w:highlight w:val="yellow"/>
          <w:rtl/>
        </w:rPr>
        <w:t>להסמכה רחבה להסדיר הסדרים ראשוניים מצויה בסעיף 18 לפקודת סדרי השילטון והמשפט, התש"ח-1948. הסעיף מסמיך את הממשלה הזמנית להקים כוחות מזויינים ביבשה, בים ובאויר, אשר יהיו מוסמכים להגן על המדינה,</w:t>
      </w:r>
      <w:r w:rsidRPr="0002109C">
        <w:rPr>
          <w:rFonts w:cs="FrankRuehl"/>
          <w:sz w:val="22"/>
          <w:szCs w:val="22"/>
          <w:rtl/>
        </w:rPr>
        <w:t xml:space="preserve"> והוא מהווה את המקור הראשי לסמכויות הצבא בארץ גם כיום</w:t>
      </w:r>
      <w:r w:rsidRPr="0002109C">
        <w:rPr>
          <w:rFonts w:cs="FrankRuehl" w:hint="cs"/>
          <w:sz w:val="22"/>
          <w:szCs w:val="22"/>
          <w:rtl/>
        </w:rPr>
        <w:t>.</w:t>
      </w:r>
      <w:r w:rsidRPr="0002109C">
        <w:rPr>
          <w:rFonts w:cs="FrankRuehl"/>
          <w:sz w:val="22"/>
          <w:szCs w:val="22"/>
          <w:rtl/>
        </w:rPr>
        <w:t xml:space="preserve"> </w:t>
      </w:r>
      <w:r w:rsidRPr="0002109C">
        <w:rPr>
          <w:rFonts w:cs="FrankRuehl" w:hint="cs"/>
          <w:sz w:val="22"/>
          <w:szCs w:val="22"/>
          <w:rtl/>
        </w:rPr>
        <w:t>[...]</w:t>
      </w:r>
    </w:p>
    <w:p w:rsidR="005366A8" w:rsidRPr="0002109C" w:rsidRDefault="005366A8" w:rsidP="005366A8">
      <w:pPr>
        <w:pStyle w:val="T-body"/>
        <w:spacing w:line="240" w:lineRule="auto"/>
        <w:ind w:hanging="28"/>
        <w:rPr>
          <w:rFonts w:cs="FrankRuehl"/>
          <w:sz w:val="22"/>
          <w:szCs w:val="22"/>
          <w:rtl/>
        </w:rPr>
      </w:pPr>
    </w:p>
    <w:p w:rsidR="005366A8" w:rsidRPr="0002109C" w:rsidRDefault="005366A8" w:rsidP="005366A8">
      <w:pPr>
        <w:pStyle w:val="a6"/>
        <w:spacing w:after="0" w:line="240" w:lineRule="auto"/>
        <w:ind w:firstLine="0"/>
        <w:rPr>
          <w:sz w:val="22"/>
          <w:szCs w:val="22"/>
          <w:rtl/>
        </w:rPr>
      </w:pPr>
      <w:r w:rsidRPr="0002109C">
        <w:rPr>
          <w:sz w:val="22"/>
          <w:szCs w:val="22"/>
          <w:rtl/>
        </w:rPr>
        <w:t>32.</w:t>
      </w:r>
      <w:r w:rsidRPr="0002109C">
        <w:rPr>
          <w:sz w:val="22"/>
          <w:szCs w:val="22"/>
          <w:rtl/>
        </w:rPr>
        <w:tab/>
        <w:t>אם נחזור לענייננו, דומה שלא יכול להיות ספק שלשון החוק ברורה היא ומפורשת</w:t>
      </w:r>
      <w:r w:rsidRPr="0002109C">
        <w:rPr>
          <w:rFonts w:hint="cs"/>
          <w:sz w:val="22"/>
          <w:szCs w:val="22"/>
          <w:rtl/>
        </w:rPr>
        <w:t>,</w:t>
      </w:r>
      <w:r w:rsidRPr="0002109C">
        <w:rPr>
          <w:sz w:val="22"/>
          <w:szCs w:val="22"/>
          <w:rtl/>
        </w:rPr>
        <w:t xml:space="preserve"> ויש בה להקנות למועצת מקרקעי ישראל את הסמכות לקבוע הסדרים ראשוניים. אין בחוק כל הוראות לעניין הסדרים ראשוניים. החוק בעניין זה הו</w:t>
      </w:r>
      <w:r w:rsidRPr="0002109C">
        <w:rPr>
          <w:rFonts w:hint="cs"/>
          <w:sz w:val="22"/>
          <w:szCs w:val="22"/>
          <w:rtl/>
        </w:rPr>
        <w:t>א</w:t>
      </w:r>
      <w:r w:rsidRPr="0002109C">
        <w:rPr>
          <w:sz w:val="22"/>
          <w:szCs w:val="22"/>
          <w:rtl/>
        </w:rPr>
        <w:t xml:space="preserve"> </w:t>
      </w:r>
      <w:r w:rsidRPr="0002109C">
        <w:rPr>
          <w:sz w:val="22"/>
          <w:szCs w:val="22"/>
          <w:highlight w:val="yellow"/>
          <w:rtl/>
        </w:rPr>
        <w:t>"חקיקה עצלנית".</w:t>
      </w:r>
      <w:r w:rsidRPr="0002109C">
        <w:rPr>
          <w:sz w:val="22"/>
          <w:szCs w:val="22"/>
          <w:rtl/>
        </w:rPr>
        <w:t xml:space="preserve"> המסגרת הנורמטיבית שנקבעה בו היא דלה וחסרה. פרט לעיקרון בדבר איסור על העברת הבעלות במקרקעין המוגדרים בחוק "מקרקעי ישראל" והחריגים לאיסור זה, </w:t>
      </w:r>
      <w:r w:rsidRPr="005F2902">
        <w:rPr>
          <w:sz w:val="22"/>
          <w:szCs w:val="22"/>
          <w:highlight w:val="yellow"/>
          <w:rtl/>
        </w:rPr>
        <w:t>אין החקיקה קובעת דבר לגבי הדרך שיש לנהוג במקרקעין. החוק אינו מתייחס לא ליעדים שצריכים להיות למינהל, לא לסדרי עדיפויות ולא לכללים ו</w:t>
      </w:r>
      <w:r w:rsidRPr="005F2902">
        <w:rPr>
          <w:rFonts w:hint="cs"/>
          <w:sz w:val="22"/>
          <w:szCs w:val="22"/>
          <w:highlight w:val="yellow"/>
          <w:rtl/>
        </w:rPr>
        <w:t>ל</w:t>
      </w:r>
      <w:r w:rsidRPr="005F2902">
        <w:rPr>
          <w:sz w:val="22"/>
          <w:szCs w:val="22"/>
          <w:highlight w:val="yellow"/>
          <w:rtl/>
        </w:rPr>
        <w:t>עקרונות שצריכים להנחות את המינהל בניהול מקרקעי ישראל. ברי אפוא שהמחוקק לא פ</w:t>
      </w:r>
      <w:r w:rsidRPr="005F2902">
        <w:rPr>
          <w:rFonts w:hint="cs"/>
          <w:sz w:val="22"/>
          <w:szCs w:val="22"/>
          <w:highlight w:val="yellow"/>
          <w:rtl/>
        </w:rPr>
        <w:t>י</w:t>
      </w:r>
      <w:r w:rsidRPr="005F2902">
        <w:rPr>
          <w:sz w:val="22"/>
          <w:szCs w:val="22"/>
          <w:highlight w:val="yellow"/>
          <w:rtl/>
        </w:rPr>
        <w:t xml:space="preserve">רט את המדיניות הקרקעית </w:t>
      </w:r>
      <w:r w:rsidRPr="005F2902">
        <w:rPr>
          <w:rFonts w:hint="cs"/>
          <w:sz w:val="22"/>
          <w:szCs w:val="22"/>
          <w:highlight w:val="yellow"/>
          <w:rtl/>
        </w:rPr>
        <w:t>ש</w:t>
      </w:r>
      <w:r w:rsidRPr="005F2902">
        <w:rPr>
          <w:sz w:val="22"/>
          <w:szCs w:val="22"/>
          <w:highlight w:val="yellow"/>
          <w:rtl/>
        </w:rPr>
        <w:t>על המינהל לנקוט.</w:t>
      </w:r>
    </w:p>
    <w:p w:rsidR="005366A8" w:rsidRPr="0002109C" w:rsidRDefault="005366A8" w:rsidP="005366A8">
      <w:pPr>
        <w:pStyle w:val="a6"/>
        <w:spacing w:after="0" w:line="240" w:lineRule="auto"/>
        <w:ind w:firstLine="0"/>
        <w:rPr>
          <w:sz w:val="22"/>
          <w:szCs w:val="22"/>
          <w:rtl/>
        </w:rPr>
      </w:pPr>
      <w:r w:rsidRPr="0002109C">
        <w:rPr>
          <w:sz w:val="22"/>
          <w:szCs w:val="22"/>
          <w:rtl/>
        </w:rPr>
        <w:t>בצד "ה</w:t>
      </w:r>
      <w:r w:rsidRPr="0002109C">
        <w:rPr>
          <w:rFonts w:hint="cs"/>
          <w:sz w:val="22"/>
          <w:szCs w:val="22"/>
          <w:rtl/>
        </w:rPr>
        <w:t>י</w:t>
      </w:r>
      <w:r w:rsidRPr="0002109C">
        <w:rPr>
          <w:sz w:val="22"/>
          <w:szCs w:val="22"/>
          <w:rtl/>
        </w:rPr>
        <w:t>עדר רועם" זה של עקרונות והנחיות כלליות ראשוניים, בולט הנוסח הרחב המעניק את הסמכות לקבוע את אלה למועצת מקרקעי ישראל. בסעיף 3 של חוק המינהל, אשר צוטט לעיל, נאמר בין היתר</w:t>
      </w:r>
      <w:r w:rsidRPr="0002109C">
        <w:rPr>
          <w:rFonts w:hint="cs"/>
          <w:sz w:val="22"/>
          <w:szCs w:val="22"/>
          <w:rtl/>
        </w:rPr>
        <w:t>,</w:t>
      </w:r>
      <w:r w:rsidRPr="0002109C">
        <w:rPr>
          <w:sz w:val="22"/>
          <w:szCs w:val="22"/>
          <w:rtl/>
        </w:rPr>
        <w:t xml:space="preserve"> כי:</w:t>
      </w:r>
    </w:p>
    <w:p w:rsidR="005366A8" w:rsidRPr="005D503A" w:rsidRDefault="005366A8" w:rsidP="005366A8">
      <w:pPr>
        <w:pStyle w:val="a7"/>
        <w:spacing w:after="0"/>
        <w:rPr>
          <w:sz w:val="22"/>
          <w:szCs w:val="22"/>
        </w:rPr>
      </w:pPr>
      <w:r w:rsidRPr="0002109C">
        <w:rPr>
          <w:sz w:val="22"/>
          <w:szCs w:val="22"/>
          <w:rtl/>
        </w:rPr>
        <w:t xml:space="preserve">"הממשלה תמנה מועצת מקרקעי ישראל </w:t>
      </w:r>
      <w:r w:rsidRPr="005F2902">
        <w:rPr>
          <w:b/>
          <w:bCs/>
          <w:sz w:val="22"/>
          <w:szCs w:val="22"/>
          <w:rtl/>
        </w:rPr>
        <w:t>שתקבע את המדיניות הקרקעית שלפיה יפעל המינהל</w:t>
      </w:r>
      <w:r w:rsidRPr="0002109C">
        <w:rPr>
          <w:sz w:val="22"/>
          <w:szCs w:val="22"/>
          <w:rtl/>
        </w:rPr>
        <w:t xml:space="preserve">..." </w:t>
      </w:r>
    </w:p>
    <w:p w:rsidR="005366A8" w:rsidRPr="0002109C" w:rsidRDefault="005366A8" w:rsidP="005366A8">
      <w:pPr>
        <w:pStyle w:val="a6"/>
        <w:spacing w:after="0" w:line="240" w:lineRule="auto"/>
        <w:ind w:firstLine="0"/>
        <w:rPr>
          <w:sz w:val="22"/>
          <w:szCs w:val="22"/>
          <w:rtl/>
        </w:rPr>
      </w:pPr>
      <w:r w:rsidRPr="0002109C">
        <w:rPr>
          <w:sz w:val="22"/>
          <w:szCs w:val="22"/>
          <w:highlight w:val="yellow"/>
          <w:rtl/>
        </w:rPr>
        <w:t>לשון החוק בעניין זה היא "מפורשת וחד</w:t>
      </w:r>
      <w:r w:rsidRPr="0002109C">
        <w:rPr>
          <w:rFonts w:hint="cs"/>
          <w:position w:val="4"/>
          <w:sz w:val="22"/>
          <w:szCs w:val="22"/>
          <w:highlight w:val="yellow"/>
          <w:rtl/>
        </w:rPr>
        <w:t>-</w:t>
      </w:r>
      <w:r w:rsidRPr="0002109C">
        <w:rPr>
          <w:sz w:val="22"/>
          <w:szCs w:val="22"/>
          <w:highlight w:val="yellow"/>
          <w:rtl/>
        </w:rPr>
        <w:t>משמעית". על רקע זה, על</w:t>
      </w:r>
      <w:r w:rsidRPr="0002109C">
        <w:rPr>
          <w:rFonts w:hint="cs"/>
          <w:position w:val="4"/>
          <w:sz w:val="22"/>
          <w:szCs w:val="22"/>
          <w:highlight w:val="yellow"/>
          <w:rtl/>
        </w:rPr>
        <w:t>-</w:t>
      </w:r>
      <w:r w:rsidRPr="0002109C">
        <w:rPr>
          <w:sz w:val="22"/>
          <w:szCs w:val="22"/>
          <w:highlight w:val="yellow"/>
          <w:rtl/>
        </w:rPr>
        <w:t>אף הביקורת הרבה שבפי מחברים מלומדים על המצב של ה</w:t>
      </w:r>
      <w:r w:rsidRPr="0002109C">
        <w:rPr>
          <w:rFonts w:hint="cs"/>
          <w:sz w:val="22"/>
          <w:szCs w:val="22"/>
          <w:highlight w:val="yellow"/>
          <w:rtl/>
        </w:rPr>
        <w:t>י</w:t>
      </w:r>
      <w:r w:rsidRPr="0002109C">
        <w:rPr>
          <w:sz w:val="22"/>
          <w:szCs w:val="22"/>
          <w:highlight w:val="yellow"/>
          <w:rtl/>
        </w:rPr>
        <w:t>עדר "הסדרים ראשוניים" בחוק בכל הנוגע לניהול מקרקעי ישראל, אף לא אחד מהמבקרים העלה את האפשרות שאין למועצת מקרקעי ישראל סמכות לקבוע הסדרים כאלה</w:t>
      </w:r>
      <w:r w:rsidRPr="0002109C">
        <w:rPr>
          <w:sz w:val="22"/>
          <w:szCs w:val="22"/>
          <w:rtl/>
        </w:rPr>
        <w:t xml:space="preserve"> </w:t>
      </w:r>
      <w:r w:rsidRPr="0002109C">
        <w:rPr>
          <w:rFonts w:hint="cs"/>
          <w:sz w:val="22"/>
          <w:szCs w:val="22"/>
          <w:rtl/>
        </w:rPr>
        <w:t>...</w:t>
      </w:r>
    </w:p>
    <w:p w:rsidR="005366A8" w:rsidRDefault="005366A8" w:rsidP="005366A8">
      <w:pPr>
        <w:pStyle w:val="a6"/>
        <w:spacing w:after="0" w:line="240" w:lineRule="auto"/>
        <w:ind w:firstLine="0"/>
        <w:rPr>
          <w:sz w:val="22"/>
          <w:szCs w:val="22"/>
          <w:rtl/>
        </w:rPr>
      </w:pPr>
      <w:r w:rsidRPr="0002109C">
        <w:rPr>
          <w:sz w:val="22"/>
          <w:szCs w:val="22"/>
          <w:highlight w:val="yellow"/>
          <w:rtl/>
        </w:rPr>
        <w:t>על רקע כל אלה המסקנה המתבקשת היא שאין מקום לפסול את החלטות 717, 727 ו</w:t>
      </w:r>
      <w:r w:rsidRPr="0002109C">
        <w:rPr>
          <w:rFonts w:hint="cs"/>
          <w:position w:val="4"/>
          <w:sz w:val="22"/>
          <w:szCs w:val="22"/>
          <w:highlight w:val="yellow"/>
          <w:rtl/>
        </w:rPr>
        <w:t>-</w:t>
      </w:r>
      <w:r w:rsidRPr="0002109C">
        <w:rPr>
          <w:sz w:val="22"/>
          <w:szCs w:val="22"/>
          <w:highlight w:val="yellow"/>
          <w:rtl/>
        </w:rPr>
        <w:t>737 על יסוד הטענה שמועצת מקרקעי ישראל לא הייתה מוסמכת לקבלן בהיותן כוללות הסדרים בעלי אופי ראשוני.</w:t>
      </w:r>
    </w:p>
    <w:p w:rsidR="005366A8" w:rsidRPr="0002109C" w:rsidRDefault="005366A8" w:rsidP="005366A8">
      <w:pPr>
        <w:pStyle w:val="a6"/>
        <w:spacing w:after="0" w:line="240" w:lineRule="auto"/>
        <w:ind w:firstLine="0"/>
        <w:rPr>
          <w:sz w:val="22"/>
          <w:szCs w:val="22"/>
          <w:rtl/>
        </w:rPr>
      </w:pPr>
    </w:p>
    <w:p w:rsidR="005366A8" w:rsidRPr="00A95F6D" w:rsidRDefault="005366A8" w:rsidP="005366A8">
      <w:pPr>
        <w:pStyle w:val="T-body"/>
        <w:spacing w:after="120" w:line="240" w:lineRule="auto"/>
        <w:ind w:hanging="28"/>
        <w:rPr>
          <w:rFonts w:ascii="Arial" w:hAnsi="Arial" w:cs="Arial"/>
          <w:i/>
          <w:iCs/>
          <w:sz w:val="18"/>
          <w:szCs w:val="18"/>
          <w:rtl/>
        </w:rPr>
      </w:pPr>
      <w:r w:rsidRPr="00A95F6D">
        <w:rPr>
          <w:rFonts w:ascii="Arial" w:hAnsi="Arial" w:cs="Arial"/>
          <w:i/>
          <w:iCs/>
          <w:sz w:val="18"/>
          <w:szCs w:val="18"/>
          <w:rtl/>
        </w:rPr>
        <w:t>[</w:t>
      </w:r>
      <w:r w:rsidRPr="00A95F6D">
        <w:rPr>
          <w:rFonts w:ascii="Arial" w:hAnsi="Arial" w:cs="Arial" w:hint="cs"/>
          <w:i/>
          <w:iCs/>
          <w:sz w:val="18"/>
          <w:szCs w:val="18"/>
          <w:rtl/>
        </w:rPr>
        <w:t xml:space="preserve">עם זאת, </w:t>
      </w:r>
      <w:r w:rsidRPr="00A95F6D">
        <w:rPr>
          <w:rFonts w:ascii="Arial" w:hAnsi="Arial" w:cs="Arial"/>
          <w:i/>
          <w:iCs/>
          <w:sz w:val="18"/>
          <w:szCs w:val="18"/>
          <w:rtl/>
        </w:rPr>
        <w:t>העתירה התקבלה על בסיס טיעו</w:t>
      </w:r>
      <w:r w:rsidRPr="00A95F6D">
        <w:rPr>
          <w:rFonts w:ascii="Arial" w:hAnsi="Arial" w:cs="Arial" w:hint="cs"/>
          <w:i/>
          <w:iCs/>
          <w:sz w:val="18"/>
          <w:szCs w:val="18"/>
          <w:rtl/>
        </w:rPr>
        <w:t xml:space="preserve">ן אחר </w:t>
      </w:r>
      <w:r w:rsidRPr="00A95F6D">
        <w:rPr>
          <w:rFonts w:ascii="Arial" w:hAnsi="Arial" w:cs="Arial"/>
          <w:i/>
          <w:iCs/>
          <w:sz w:val="18"/>
          <w:szCs w:val="18"/>
          <w:rtl/>
        </w:rPr>
        <w:t xml:space="preserve">של העותרים. </w:t>
      </w:r>
      <w:r w:rsidRPr="00A95F6D">
        <w:rPr>
          <w:rFonts w:ascii="Arial" w:hAnsi="Arial" w:cs="Arial" w:hint="cs"/>
          <w:i/>
          <w:iCs/>
          <w:sz w:val="18"/>
          <w:szCs w:val="18"/>
          <w:rtl/>
        </w:rPr>
        <w:t xml:space="preserve">הטיעון לפיו החלטותיה של מועצת מינהל ישראל בהקשר זה אינן חוקיות בהיותן בלתי סבירות משום שהן מעניקות טובות הנאה יקרות ערך לחוכרי הקרקעות על חשבון קופת </w:t>
      </w:r>
      <w:r w:rsidRPr="000D545C">
        <w:rPr>
          <w:rFonts w:ascii="Arial" w:hAnsi="Arial" w:cs="Arial" w:hint="cs"/>
          <w:i/>
          <w:iCs/>
          <w:sz w:val="18"/>
          <w:szCs w:val="18"/>
          <w:highlight w:val="yellow"/>
          <w:rtl/>
        </w:rPr>
        <w:t>הציבור וללא מתן משקל ממשי ל</w:t>
      </w:r>
      <w:r>
        <w:rPr>
          <w:rFonts w:ascii="Arial" w:hAnsi="Arial" w:cs="Arial" w:hint="cs"/>
          <w:i/>
          <w:iCs/>
          <w:sz w:val="18"/>
          <w:szCs w:val="18"/>
          <w:highlight w:val="yellow"/>
          <w:rtl/>
        </w:rPr>
        <w:t xml:space="preserve">שיקול </w:t>
      </w:r>
      <w:r w:rsidRPr="000D545C">
        <w:rPr>
          <w:rFonts w:ascii="Arial" w:hAnsi="Arial" w:cs="Arial" w:hint="cs"/>
          <w:i/>
          <w:iCs/>
          <w:sz w:val="18"/>
          <w:szCs w:val="18"/>
          <w:highlight w:val="yellow"/>
          <w:rtl/>
        </w:rPr>
        <w:t>של "צדק חלוקתי".</w:t>
      </w:r>
      <w:r w:rsidRPr="000D545C">
        <w:rPr>
          <w:rFonts w:ascii="Arial" w:hAnsi="Arial" w:cs="Arial"/>
          <w:i/>
          <w:iCs/>
          <w:sz w:val="18"/>
          <w:szCs w:val="18"/>
          <w:highlight w:val="yellow"/>
          <w:rtl/>
        </w:rPr>
        <w:t>]</w:t>
      </w:r>
    </w:p>
    <w:p w:rsidR="005366A8" w:rsidRDefault="005366A8" w:rsidP="005366A8">
      <w:pPr>
        <w:pStyle w:val="T-body"/>
        <w:spacing w:after="120" w:line="240" w:lineRule="auto"/>
        <w:ind w:hanging="28"/>
        <w:rPr>
          <w:sz w:val="22"/>
          <w:szCs w:val="22"/>
          <w:rtl/>
        </w:rPr>
      </w:pPr>
      <w:r>
        <w:rPr>
          <w:rFonts w:hint="cs"/>
          <w:sz w:val="22"/>
          <w:szCs w:val="22"/>
          <w:rtl/>
        </w:rPr>
        <w:t>=-=</w:t>
      </w:r>
    </w:p>
    <w:p w:rsidR="005366A8" w:rsidRPr="001C4D4A" w:rsidRDefault="005366A8" w:rsidP="005366A8">
      <w:pPr>
        <w:pStyle w:val="T-body"/>
        <w:spacing w:after="120" w:line="240" w:lineRule="auto"/>
        <w:jc w:val="center"/>
        <w:rPr>
          <w:rFonts w:ascii="Arial" w:hAnsi="Arial" w:cs="Arial"/>
          <w:b/>
          <w:bCs/>
          <w:sz w:val="28"/>
          <w:szCs w:val="28"/>
          <w:u w:val="single"/>
          <w:rtl/>
        </w:rPr>
      </w:pPr>
      <w:r>
        <w:rPr>
          <w:rFonts w:ascii="Arial" w:hAnsi="Arial" w:cs="Arial" w:hint="cs"/>
          <w:b/>
          <w:bCs/>
          <w:sz w:val="28"/>
          <w:szCs w:val="28"/>
          <w:highlight w:val="yellow"/>
          <w:u w:val="single"/>
          <w:rtl/>
        </w:rPr>
        <w:t xml:space="preserve">ב. </w:t>
      </w:r>
      <w:r w:rsidRPr="00892774">
        <w:rPr>
          <w:rFonts w:ascii="Arial" w:hAnsi="Arial" w:cs="Arial" w:hint="cs"/>
          <w:b/>
          <w:bCs/>
          <w:sz w:val="28"/>
          <w:szCs w:val="28"/>
          <w:highlight w:val="yellow"/>
          <w:u w:val="single"/>
          <w:rtl/>
        </w:rPr>
        <w:t xml:space="preserve">הסמכויות הכלליות של הממשלה </w:t>
      </w:r>
      <w:r w:rsidRPr="00892774">
        <w:rPr>
          <w:rFonts w:ascii="Arial" w:hAnsi="Arial" w:cs="Arial"/>
          <w:b/>
          <w:bCs/>
          <w:sz w:val="28"/>
          <w:szCs w:val="28"/>
          <w:highlight w:val="yellow"/>
          <w:u w:val="single"/>
          <w:rtl/>
        </w:rPr>
        <w:t>–</w:t>
      </w:r>
      <w:r w:rsidRPr="00892774">
        <w:rPr>
          <w:rFonts w:ascii="Arial" w:hAnsi="Arial" w:cs="Arial" w:hint="cs"/>
          <w:b/>
          <w:bCs/>
          <w:sz w:val="28"/>
          <w:szCs w:val="28"/>
          <w:highlight w:val="yellow"/>
          <w:u w:val="single"/>
          <w:rtl/>
        </w:rPr>
        <w:t xml:space="preserve"> "הסמכות השיורית"</w:t>
      </w:r>
      <w:r w:rsidRPr="00892774">
        <w:rPr>
          <w:rStyle w:val="FootnoteReference"/>
          <w:rFonts w:ascii="Arial" w:hAnsi="Arial"/>
          <w:b/>
          <w:bCs/>
          <w:sz w:val="28"/>
          <w:szCs w:val="28"/>
          <w:u w:val="single"/>
          <w:rtl/>
        </w:rPr>
        <w:footnoteReference w:id="60"/>
      </w:r>
    </w:p>
    <w:p w:rsidR="005366A8" w:rsidRDefault="005366A8" w:rsidP="005366A8">
      <w:pPr>
        <w:ind w:left="30" w:hanging="30"/>
        <w:rPr>
          <w:rFonts w:cs="David"/>
          <w:sz w:val="22"/>
          <w:szCs w:val="22"/>
          <w:rtl/>
        </w:rPr>
      </w:pPr>
      <w:r w:rsidRPr="004452A7">
        <w:rPr>
          <w:rFonts w:cs="David" w:hint="cs"/>
          <w:b/>
          <w:bCs/>
          <w:sz w:val="22"/>
          <w:szCs w:val="22"/>
          <w:rtl/>
        </w:rPr>
        <w:t>חוק יסוד: הממשלה</w:t>
      </w:r>
      <w:r w:rsidRPr="004452A7">
        <w:rPr>
          <w:rFonts w:cs="David" w:hint="cs"/>
          <w:sz w:val="22"/>
          <w:szCs w:val="22"/>
          <w:rtl/>
        </w:rPr>
        <w:t xml:space="preserve"> </w:t>
      </w:r>
    </w:p>
    <w:p w:rsidR="005366A8" w:rsidRPr="004452A7" w:rsidRDefault="005366A8" w:rsidP="005366A8">
      <w:pPr>
        <w:ind w:left="597"/>
        <w:rPr>
          <w:rFonts w:cs="David"/>
          <w:sz w:val="22"/>
          <w:szCs w:val="22"/>
          <w:rtl/>
        </w:rPr>
      </w:pPr>
      <w:r w:rsidRPr="004452A7">
        <w:rPr>
          <w:rFonts w:cs="David"/>
          <w:sz w:val="22"/>
          <w:szCs w:val="22"/>
          <w:rtl/>
        </w:rPr>
        <w:t xml:space="preserve">32. </w:t>
      </w:r>
      <w:r w:rsidRPr="004452A7">
        <w:rPr>
          <w:rFonts w:cs="David" w:hint="cs"/>
          <w:sz w:val="22"/>
          <w:szCs w:val="22"/>
          <w:rtl/>
        </w:rPr>
        <w:t>[</w:t>
      </w:r>
      <w:r w:rsidRPr="004452A7">
        <w:rPr>
          <w:rFonts w:cs="David"/>
          <w:sz w:val="22"/>
          <w:szCs w:val="22"/>
          <w:rtl/>
        </w:rPr>
        <w:t>הסמכויות השיוריות של הממשלה</w:t>
      </w:r>
      <w:r w:rsidRPr="004452A7">
        <w:rPr>
          <w:rFonts w:cs="David" w:hint="cs"/>
          <w:sz w:val="22"/>
          <w:szCs w:val="22"/>
          <w:rtl/>
        </w:rPr>
        <w:t>]</w:t>
      </w:r>
    </w:p>
    <w:p w:rsidR="005366A8" w:rsidRPr="004452A7" w:rsidRDefault="005366A8" w:rsidP="005366A8">
      <w:pPr>
        <w:spacing w:after="120"/>
        <w:ind w:left="313"/>
        <w:rPr>
          <w:rFonts w:cs="David"/>
          <w:b/>
          <w:bCs/>
          <w:sz w:val="22"/>
          <w:szCs w:val="22"/>
          <w:rtl/>
        </w:rPr>
      </w:pPr>
      <w:r w:rsidRPr="004452A7">
        <w:rPr>
          <w:rFonts w:cs="David"/>
          <w:b/>
          <w:bCs/>
          <w:sz w:val="22"/>
          <w:szCs w:val="22"/>
          <w:highlight w:val="yellow"/>
          <w:rtl/>
        </w:rPr>
        <w:t>הממשלה מוסמכת לעשות בשם המדינה, בכפוף לכל דין, כל פעולה שעשייתה אינה מוטלת בדין על רשות אחרת.</w:t>
      </w:r>
    </w:p>
    <w:p w:rsidR="005366A8" w:rsidRPr="004452A7" w:rsidRDefault="005366A8" w:rsidP="005366A8">
      <w:pPr>
        <w:spacing w:after="120"/>
        <w:rPr>
          <w:sz w:val="22"/>
          <w:szCs w:val="22"/>
          <w:rtl/>
        </w:rPr>
      </w:pPr>
      <w:r w:rsidRPr="004452A7">
        <w:rPr>
          <w:rFonts w:hint="cs"/>
          <w:sz w:val="22"/>
          <w:szCs w:val="22"/>
          <w:rtl/>
        </w:rPr>
        <w:t>הממשלה היא האמונה על ניהול ענייני המדינה.  הממשלה ושריה שואבים סמכויותיהם מחיקוקים שונים. עם זאת, אין אפשרות לפרט בחוק את כלל התחומים וכלל הסמכויות הנדרשות לממשלה כרשות המבצעת על מנת לעמוד בתפקידה כמנהלת המדינה. חובותיה וסמכויותיה של הממשלה חובקות הרבה תחומי פעולה בהם נדרשת פעולתה. חלק מסמכויותיה וחובותיה אלה אינן מוענקות לה בדבר חקיקה.  כאלה הן, לדוגמא, כמעט כל הפעולות של משרד החוץ, משרד הבינוי והשיכון, משרד הקליטה, משרד המדע והפיתוח.  אך נקודה זו נכונה גם ביחס למשרדים הממשלתיים האחרים, שחלק מסמכויותיהם מעוגנות מפורשות בדין.  אין כמעט משרד שהפעילות שלו אינה נעשית בחלקה בלי אסמכתא מפורשת בחוק.  להלן דוגמאות מעטות: מע"ץ (מחלקת עבודות ציבוריות</w:t>
      </w:r>
      <w:r>
        <w:rPr>
          <w:rFonts w:hint="cs"/>
          <w:sz w:val="22"/>
          <w:szCs w:val="22"/>
          <w:rtl/>
        </w:rPr>
        <w:t>, שהיום היא החברה הממשלתית לדרכים</w:t>
      </w:r>
      <w:r w:rsidRPr="004452A7">
        <w:rPr>
          <w:rFonts w:hint="cs"/>
          <w:sz w:val="22"/>
          <w:szCs w:val="22"/>
          <w:rtl/>
        </w:rPr>
        <w:t>), לשכת הע</w:t>
      </w:r>
      <w:r>
        <w:rPr>
          <w:rFonts w:hint="cs"/>
          <w:sz w:val="22"/>
          <w:szCs w:val="22"/>
          <w:rtl/>
        </w:rPr>
        <w:t>י</w:t>
      </w:r>
      <w:r w:rsidRPr="004452A7">
        <w:rPr>
          <w:rFonts w:hint="cs"/>
          <w:sz w:val="22"/>
          <w:szCs w:val="22"/>
          <w:rtl/>
        </w:rPr>
        <w:t>תונות הממשלתית, מוסדות להכשרה מקצועית, לשכות מודיעין לתיירים.  כיצד מתיישב מצב זה עם העקרון של חוקיות המינהל?  התשובה המסוימת: הוראת "הסמכות השיורית".</w:t>
      </w:r>
    </w:p>
    <w:p w:rsidR="005366A8" w:rsidRPr="004452A7" w:rsidRDefault="005366A8" w:rsidP="005366A8">
      <w:pPr>
        <w:spacing w:after="60"/>
        <w:rPr>
          <w:rFonts w:ascii="Arial" w:hAnsi="Arial" w:cs="Arial"/>
          <w:b/>
          <w:bCs/>
          <w:sz w:val="22"/>
          <w:szCs w:val="22"/>
          <w:rtl/>
        </w:rPr>
      </w:pPr>
      <w:r w:rsidRPr="004452A7">
        <w:rPr>
          <w:rFonts w:ascii="Arial" w:hAnsi="Arial" w:cs="Arial"/>
          <w:b/>
          <w:bCs/>
          <w:sz w:val="22"/>
          <w:szCs w:val="22"/>
          <w:highlight w:val="yellow"/>
          <w:rtl/>
        </w:rPr>
        <w:t>סייגי הסמכות השיורית?</w:t>
      </w:r>
    </w:p>
    <w:p w:rsidR="005366A8" w:rsidRDefault="005366A8" w:rsidP="005366A8">
      <w:pPr>
        <w:spacing w:after="60"/>
        <w:rPr>
          <w:sz w:val="22"/>
          <w:szCs w:val="22"/>
          <w:rtl/>
        </w:rPr>
      </w:pPr>
      <w:r>
        <w:rPr>
          <w:rFonts w:hint="cs"/>
          <w:sz w:val="22"/>
          <w:szCs w:val="22"/>
          <w:rtl/>
        </w:rPr>
        <w:t>השופט חשין בפס"ד ועדת המעקב (כפי שנראה בהמשך בהרחבה) מבחין בין "סייגים חיצוניים" לבין "סייגים פנימיים" לסמכות השיורית. הסייגים הפנימיים הם אלה המופיעים במפורש בתוך הסעיף בחוק היסוד המקנה את הסמכות השיורית. הסייגים החיצוניים נגזרים מהחוקה המהותית, מתפיסת הפרדת הרשויות שבתוכה, וקונקרטית מהאופן שבו אנחנו מבינים את "כלל ההסדרים הראשוניים".</w:t>
      </w:r>
    </w:p>
    <w:p w:rsidR="005366A8" w:rsidRPr="004452A7" w:rsidRDefault="005366A8" w:rsidP="005366A8">
      <w:pPr>
        <w:spacing w:after="60"/>
        <w:rPr>
          <w:sz w:val="22"/>
          <w:szCs w:val="22"/>
          <w:rtl/>
        </w:rPr>
      </w:pPr>
      <w:r w:rsidRPr="004452A7">
        <w:rPr>
          <w:rFonts w:hint="cs"/>
          <w:sz w:val="22"/>
          <w:szCs w:val="22"/>
          <w:rtl/>
        </w:rPr>
        <w:t>ההוראה העוסקת ב"סמכות השיורית" [</w:t>
      </w:r>
      <w:r w:rsidRPr="00F41CE4">
        <w:rPr>
          <w:rFonts w:hint="cs"/>
          <w:sz w:val="22"/>
          <w:szCs w:val="22"/>
          <w:highlight w:val="yellow"/>
          <w:rtl/>
        </w:rPr>
        <w:t>סע' 29 בחוק יסוד הממשלה מ-1968; סע' 40 בחוק היסוד מ-1992; וסע' 32 בחוק היסוד מ-2001</w:t>
      </w:r>
      <w:r w:rsidRPr="004452A7">
        <w:rPr>
          <w:rFonts w:hint="cs"/>
          <w:sz w:val="22"/>
          <w:szCs w:val="22"/>
          <w:rtl/>
        </w:rPr>
        <w:t xml:space="preserve">] עונה לעקרון חוקיות המינהל.  ואולם הוא לא עונה לעקרונות של שלטון החוק ודמוקרטיה שמהם נובעים הן </w:t>
      </w:r>
      <w:r w:rsidRPr="004452A7">
        <w:rPr>
          <w:rFonts w:hint="cs"/>
          <w:b/>
          <w:bCs/>
          <w:sz w:val="22"/>
          <w:szCs w:val="22"/>
          <w:rtl/>
        </w:rPr>
        <w:t>הכלל בדבר "ההסדרים הראשוניים"</w:t>
      </w:r>
      <w:r w:rsidRPr="004452A7">
        <w:rPr>
          <w:rFonts w:hint="cs"/>
          <w:sz w:val="22"/>
          <w:szCs w:val="22"/>
          <w:rtl/>
        </w:rPr>
        <w:t>, והן</w:t>
      </w:r>
      <w:r w:rsidRPr="004452A7">
        <w:rPr>
          <w:rFonts w:hint="cs"/>
          <w:b/>
          <w:bCs/>
          <w:sz w:val="22"/>
          <w:szCs w:val="22"/>
          <w:rtl/>
        </w:rPr>
        <w:t xml:space="preserve"> "דרישת החוקיות המיוחדת"</w:t>
      </w:r>
      <w:r w:rsidRPr="004452A7">
        <w:rPr>
          <w:rFonts w:hint="cs"/>
          <w:sz w:val="22"/>
          <w:szCs w:val="22"/>
          <w:rtl/>
        </w:rPr>
        <w:t xml:space="preserve"> (ביחס להגבלת זכויות אדם).  בין היתר, </w:t>
      </w:r>
      <w:r w:rsidRPr="00F41CE4">
        <w:rPr>
          <w:rFonts w:hint="cs"/>
          <w:sz w:val="22"/>
          <w:szCs w:val="22"/>
          <w:highlight w:val="yellow"/>
          <w:rtl/>
        </w:rPr>
        <w:t>לא ראוי להסתפק בסמכות השיורית ביחס לעניינים בעלי חשיבות חברתית רבה, כאשר יש מקום לחשוש שללא הסדר פרטני בחוק ייעשה בסמכויות הכלליות שימוש שאינו ראוי.</w:t>
      </w:r>
      <w:r w:rsidRPr="004452A7">
        <w:rPr>
          <w:rFonts w:hint="cs"/>
          <w:sz w:val="22"/>
          <w:szCs w:val="22"/>
          <w:rtl/>
        </w:rPr>
        <w:t xml:space="preserve">  צריך לזכור שבהעדר חוק גם אין תקנות, ואזי התחום כולו מוסדר על ידי החלטות מינהליות בלבד.  פרופ' זמיר נותן כדוגמא מובהקת את תחום המענקים הממשלתיים ("הכספים הייחודיים") </w:t>
      </w:r>
      <w:r w:rsidRPr="004452A7">
        <w:rPr>
          <w:sz w:val="22"/>
          <w:szCs w:val="22"/>
          <w:rtl/>
        </w:rPr>
        <w:t>–</w:t>
      </w:r>
      <w:r w:rsidRPr="004452A7">
        <w:rPr>
          <w:rFonts w:hint="cs"/>
          <w:sz w:val="22"/>
          <w:szCs w:val="22"/>
          <w:rtl/>
        </w:rPr>
        <w:t xml:space="preserve"> שהיה תחום פרוץ שהזמין שיקולים פסולים, מפלגתיים ואישיים. חוק יסודות התקציב, התשמ"ה-1985, על תיקוניו המאוחרים, סגר חלק מהפרצוֹת (אך רק</w:t>
      </w:r>
      <w:r>
        <w:rPr>
          <w:rFonts w:hint="cs"/>
          <w:sz w:val="22"/>
          <w:szCs w:val="22"/>
          <w:rtl/>
        </w:rPr>
        <w:t xml:space="preserve"> את חלקן; דנו בכך בעבר, בעניין </w:t>
      </w:r>
      <w:r w:rsidRPr="007839C7">
        <w:rPr>
          <w:rFonts w:hint="cs"/>
          <w:b/>
          <w:bCs/>
          <w:sz w:val="22"/>
          <w:szCs w:val="22"/>
          <w:rtl/>
        </w:rPr>
        <w:t>יקותיאלי</w:t>
      </w:r>
      <w:r>
        <w:rPr>
          <w:rFonts w:hint="cs"/>
          <w:sz w:val="22"/>
          <w:szCs w:val="22"/>
          <w:rtl/>
        </w:rPr>
        <w:t>)</w:t>
      </w:r>
      <w:r w:rsidRPr="004452A7">
        <w:rPr>
          <w:rFonts w:hint="cs"/>
          <w:sz w:val="22"/>
          <w:szCs w:val="22"/>
          <w:rtl/>
        </w:rPr>
        <w:t>.</w:t>
      </w:r>
    </w:p>
    <w:p w:rsidR="005366A8" w:rsidRPr="00F41CE4" w:rsidRDefault="005366A8" w:rsidP="005366A8">
      <w:pPr>
        <w:spacing w:after="60"/>
        <w:rPr>
          <w:sz w:val="22"/>
          <w:szCs w:val="22"/>
          <w:highlight w:val="yellow"/>
          <w:rtl/>
        </w:rPr>
      </w:pPr>
      <w:r w:rsidRPr="00F41CE4">
        <w:rPr>
          <w:rFonts w:hint="cs"/>
          <w:b/>
          <w:bCs/>
          <w:sz w:val="22"/>
          <w:szCs w:val="22"/>
          <w:highlight w:val="yellow"/>
          <w:rtl/>
        </w:rPr>
        <w:t>כמו כן</w:t>
      </w:r>
      <w:r>
        <w:rPr>
          <w:rFonts w:hint="cs"/>
          <w:b/>
          <w:bCs/>
          <w:sz w:val="22"/>
          <w:szCs w:val="22"/>
          <w:highlight w:val="yellow"/>
          <w:rtl/>
        </w:rPr>
        <w:t>,</w:t>
      </w:r>
      <w:r w:rsidRPr="00F41CE4">
        <w:rPr>
          <w:rFonts w:hint="cs"/>
          <w:b/>
          <w:bCs/>
          <w:sz w:val="22"/>
          <w:szCs w:val="22"/>
          <w:highlight w:val="yellow"/>
          <w:rtl/>
        </w:rPr>
        <w:t xml:space="preserve"> שתי מגבלות מצטברות קבועות במפורש בסעיף הסמכות השיורית עצמה</w:t>
      </w:r>
      <w:r>
        <w:rPr>
          <w:rFonts w:hint="cs"/>
          <w:b/>
          <w:bCs/>
          <w:sz w:val="22"/>
          <w:szCs w:val="22"/>
          <w:highlight w:val="yellow"/>
          <w:rtl/>
        </w:rPr>
        <w:t xml:space="preserve"> </w:t>
      </w:r>
      <w:r>
        <w:rPr>
          <w:b/>
          <w:bCs/>
          <w:sz w:val="22"/>
          <w:szCs w:val="22"/>
          <w:highlight w:val="yellow"/>
          <w:rtl/>
        </w:rPr>
        <w:t>–</w:t>
      </w:r>
      <w:r>
        <w:rPr>
          <w:rFonts w:hint="cs"/>
          <w:b/>
          <w:bCs/>
          <w:sz w:val="22"/>
          <w:szCs w:val="22"/>
          <w:highlight w:val="yellow"/>
          <w:rtl/>
        </w:rPr>
        <w:t xml:space="preserve"> "הסייגים הפנימיים"</w:t>
      </w:r>
      <w:r w:rsidRPr="00F41CE4">
        <w:rPr>
          <w:rFonts w:hint="cs"/>
          <w:sz w:val="22"/>
          <w:szCs w:val="22"/>
          <w:highlight w:val="yellow"/>
          <w:rtl/>
        </w:rPr>
        <w:t xml:space="preserve">: </w:t>
      </w:r>
    </w:p>
    <w:p w:rsidR="005366A8" w:rsidRPr="00F41CE4" w:rsidRDefault="005366A8" w:rsidP="005366A8">
      <w:pPr>
        <w:spacing w:after="60"/>
        <w:ind w:left="720"/>
        <w:rPr>
          <w:sz w:val="22"/>
          <w:szCs w:val="22"/>
          <w:highlight w:val="yellow"/>
          <w:rtl/>
        </w:rPr>
      </w:pPr>
      <w:r w:rsidRPr="00F41CE4">
        <w:rPr>
          <w:rFonts w:hint="cs"/>
          <w:b/>
          <w:bCs/>
          <w:sz w:val="22"/>
          <w:szCs w:val="22"/>
          <w:highlight w:val="yellow"/>
          <w:rtl/>
        </w:rPr>
        <w:t>ראשית</w:t>
      </w:r>
      <w:r w:rsidRPr="00F41CE4">
        <w:rPr>
          <w:rFonts w:hint="cs"/>
          <w:sz w:val="22"/>
          <w:szCs w:val="22"/>
          <w:highlight w:val="yellow"/>
          <w:rtl/>
        </w:rPr>
        <w:t xml:space="preserve">, הסמכות </w:t>
      </w:r>
      <w:r>
        <w:rPr>
          <w:rFonts w:hint="cs"/>
          <w:sz w:val="22"/>
          <w:szCs w:val="22"/>
          <w:highlight w:val="yellow"/>
          <w:rtl/>
        </w:rPr>
        <w:t xml:space="preserve">השיורית של הממשלה </w:t>
      </w:r>
      <w:r w:rsidRPr="00F41CE4">
        <w:rPr>
          <w:rFonts w:hint="cs"/>
          <w:sz w:val="22"/>
          <w:szCs w:val="22"/>
          <w:highlight w:val="yellow"/>
          <w:rtl/>
        </w:rPr>
        <w:t>לפעול היא "</w:t>
      </w:r>
      <w:r w:rsidRPr="00D91C37">
        <w:rPr>
          <w:rFonts w:hint="cs"/>
          <w:sz w:val="22"/>
          <w:szCs w:val="22"/>
          <w:highlight w:val="yellow"/>
          <w:u w:val="single"/>
          <w:rtl/>
        </w:rPr>
        <w:t>בכפוף לכל דין</w:t>
      </w:r>
      <w:r w:rsidRPr="00F41CE4">
        <w:rPr>
          <w:rFonts w:hint="cs"/>
          <w:sz w:val="22"/>
          <w:szCs w:val="22"/>
          <w:highlight w:val="yellow"/>
          <w:rtl/>
        </w:rPr>
        <w:t xml:space="preserve">".  </w:t>
      </w:r>
    </w:p>
    <w:p w:rsidR="005366A8" w:rsidRPr="004452A7" w:rsidRDefault="005366A8" w:rsidP="005366A8">
      <w:pPr>
        <w:ind w:left="720"/>
        <w:rPr>
          <w:sz w:val="22"/>
          <w:szCs w:val="22"/>
          <w:rtl/>
        </w:rPr>
      </w:pPr>
      <w:r w:rsidRPr="00F41CE4">
        <w:rPr>
          <w:rFonts w:hint="cs"/>
          <w:b/>
          <w:bCs/>
          <w:sz w:val="22"/>
          <w:szCs w:val="22"/>
          <w:highlight w:val="yellow"/>
          <w:rtl/>
        </w:rPr>
        <w:t>שנית,</w:t>
      </w:r>
      <w:r w:rsidRPr="00F41CE4">
        <w:rPr>
          <w:rFonts w:hint="cs"/>
          <w:sz w:val="22"/>
          <w:szCs w:val="22"/>
          <w:highlight w:val="yellow"/>
          <w:rtl/>
        </w:rPr>
        <w:t xml:space="preserve"> הסמכות מוגבלת לפעולות אשר עשייתן "</w:t>
      </w:r>
      <w:r w:rsidRPr="00D91C37">
        <w:rPr>
          <w:rFonts w:hint="cs"/>
          <w:sz w:val="22"/>
          <w:szCs w:val="22"/>
          <w:highlight w:val="yellow"/>
          <w:u w:val="single"/>
          <w:rtl/>
        </w:rPr>
        <w:t>אינה מוטלת בדין על רשות אחרת</w:t>
      </w:r>
      <w:r w:rsidRPr="00F41CE4">
        <w:rPr>
          <w:rFonts w:hint="cs"/>
          <w:sz w:val="22"/>
          <w:szCs w:val="22"/>
          <w:highlight w:val="yellow"/>
          <w:rtl/>
        </w:rPr>
        <w:t>".</w:t>
      </w:r>
      <w:r w:rsidRPr="004452A7">
        <w:rPr>
          <w:rFonts w:hint="cs"/>
          <w:sz w:val="22"/>
          <w:szCs w:val="22"/>
          <w:rtl/>
        </w:rPr>
        <w:t xml:space="preserve">  </w:t>
      </w:r>
    </w:p>
    <w:p w:rsidR="005366A8" w:rsidRPr="004452A7" w:rsidRDefault="005366A8" w:rsidP="005366A8">
      <w:pPr>
        <w:rPr>
          <w:sz w:val="22"/>
          <w:szCs w:val="22"/>
          <w:rtl/>
        </w:rPr>
      </w:pPr>
    </w:p>
    <w:p w:rsidR="005366A8" w:rsidRPr="004452A7" w:rsidRDefault="005366A8" w:rsidP="005366A8">
      <w:pPr>
        <w:pStyle w:val="4"/>
        <w:spacing w:after="120" w:line="240" w:lineRule="auto"/>
        <w:rPr>
          <w:rFonts w:ascii="Times New Roman"/>
          <w:b/>
          <w:bCs/>
          <w:szCs w:val="22"/>
          <w:rtl/>
          <w:lang w:eastAsia="en-US"/>
        </w:rPr>
      </w:pPr>
      <w:r w:rsidRPr="004452A7">
        <w:rPr>
          <w:rFonts w:hint="cs"/>
          <w:b/>
          <w:bCs/>
          <w:szCs w:val="22"/>
          <w:highlight w:val="yellow"/>
          <w:rtl/>
        </w:rPr>
        <w:t>הסמכות השיורית מוגבלת לפעולה "בכפוף לכל דין"</w:t>
      </w:r>
      <w:r w:rsidRPr="004452A7">
        <w:rPr>
          <w:rFonts w:hint="cs"/>
          <w:szCs w:val="22"/>
          <w:highlight w:val="yellow"/>
          <w:rtl/>
        </w:rPr>
        <w:t>:</w:t>
      </w:r>
    </w:p>
    <w:p w:rsidR="005366A8" w:rsidRPr="007839C7" w:rsidRDefault="005366A8" w:rsidP="005366A8">
      <w:pPr>
        <w:pStyle w:val="4"/>
        <w:spacing w:after="120" w:line="240" w:lineRule="auto"/>
        <w:ind w:left="720"/>
        <w:rPr>
          <w:rFonts w:ascii="Times New Roman" w:cs="FrankRuehl"/>
          <w:b/>
          <w:bCs/>
          <w:szCs w:val="22"/>
          <w:rtl/>
          <w:lang w:eastAsia="en-US"/>
        </w:rPr>
      </w:pPr>
      <w:r w:rsidRPr="009603A1">
        <w:rPr>
          <w:rFonts w:ascii="Times New Roman"/>
          <w:b/>
          <w:bCs/>
          <w:szCs w:val="22"/>
          <w:u w:val="single"/>
          <w:rtl/>
        </w:rPr>
        <w:t>דוגמא</w:t>
      </w:r>
      <w:r w:rsidRPr="009603A1">
        <w:rPr>
          <w:rFonts w:ascii="Times New Roman"/>
          <w:b/>
          <w:bCs/>
          <w:szCs w:val="22"/>
          <w:rtl/>
        </w:rPr>
        <w:t>:</w:t>
      </w:r>
      <w:r>
        <w:rPr>
          <w:rFonts w:hint="cs"/>
          <w:szCs w:val="22"/>
          <w:rtl/>
        </w:rPr>
        <w:t xml:space="preserve"> </w:t>
      </w:r>
      <w:r w:rsidRPr="00AF4ECB">
        <w:rPr>
          <w:rFonts w:ascii="Times New Roman" w:cs="FrankRuehl" w:hint="cs"/>
          <w:b/>
          <w:bCs/>
          <w:sz w:val="24"/>
          <w:szCs w:val="24"/>
          <w:rtl/>
          <w:lang w:eastAsia="en-US"/>
        </w:rPr>
        <w:t>הועד הציבורי נ</w:t>
      </w:r>
      <w:r>
        <w:rPr>
          <w:rFonts w:ascii="Times New Roman" w:cs="FrankRuehl" w:hint="cs"/>
          <w:b/>
          <w:bCs/>
          <w:sz w:val="24"/>
          <w:szCs w:val="24"/>
          <w:rtl/>
          <w:lang w:eastAsia="en-US"/>
        </w:rPr>
        <w:t>גד</w:t>
      </w:r>
      <w:r w:rsidRPr="00AF4ECB">
        <w:rPr>
          <w:rFonts w:ascii="Times New Roman" w:cs="FrankRuehl" w:hint="cs"/>
          <w:b/>
          <w:bCs/>
          <w:sz w:val="24"/>
          <w:szCs w:val="24"/>
          <w:rtl/>
          <w:lang w:eastAsia="en-US"/>
        </w:rPr>
        <w:t xml:space="preserve"> עינויים</w:t>
      </w:r>
      <w:r>
        <w:rPr>
          <w:rFonts w:ascii="Times New Roman" w:cs="FrankRuehl" w:hint="cs"/>
          <w:b/>
          <w:bCs/>
          <w:sz w:val="24"/>
          <w:szCs w:val="24"/>
          <w:rtl/>
          <w:lang w:eastAsia="en-US"/>
        </w:rPr>
        <w:t xml:space="preserve"> נ' ממשלת ישראל </w:t>
      </w:r>
      <w:r w:rsidRPr="00D91C37">
        <w:rPr>
          <w:rFonts w:ascii="Times New Roman" w:cs="FrankRuehl" w:hint="cs"/>
          <w:sz w:val="24"/>
          <w:szCs w:val="24"/>
          <w:rtl/>
          <w:lang w:eastAsia="en-US"/>
        </w:rPr>
        <w:t>(אותו פגשנו בפגישות הראשונות של השנה)</w:t>
      </w:r>
    </w:p>
    <w:p w:rsidR="005366A8" w:rsidRDefault="005366A8" w:rsidP="005366A8">
      <w:pPr>
        <w:pStyle w:val="4"/>
        <w:spacing w:line="240" w:lineRule="auto"/>
        <w:rPr>
          <w:rFonts w:ascii="Times New Roman" w:cs="FrankRuehl"/>
          <w:szCs w:val="22"/>
          <w:rtl/>
          <w:lang w:eastAsia="en-US"/>
        </w:rPr>
      </w:pPr>
      <w:r w:rsidRPr="007839C7">
        <w:rPr>
          <w:rFonts w:ascii="Times New Roman" w:cs="FrankRuehl"/>
          <w:szCs w:val="22"/>
          <w:rtl/>
          <w:lang w:eastAsia="en-US"/>
        </w:rPr>
        <w:t>19.</w:t>
      </w:r>
      <w:r w:rsidRPr="007839C7">
        <w:rPr>
          <w:rFonts w:ascii="Times New Roman" w:cs="FrankRuehl"/>
          <w:szCs w:val="22"/>
          <w:rtl/>
          <w:lang w:eastAsia="en-US"/>
        </w:rPr>
        <w:tab/>
      </w:r>
      <w:r w:rsidRPr="007839C7">
        <w:rPr>
          <w:rFonts w:ascii="Times New Roman" w:cs="FrankRuehl" w:hint="cs"/>
          <w:szCs w:val="22"/>
          <w:rtl/>
          <w:lang w:eastAsia="en-US"/>
        </w:rPr>
        <w:t>הקיימת הוראת חוק המסמיכה את חוקרי השב"כ לבצע חקירות במובן עליו עמדנו? הוראה מיוחדת, העוסקת בחקירה על ידי אנשי השב"כ בתור שכאלה, אינה בנמצא. "מעמדו של השירות, תפקידיו וסמכויותיו אינם מעוגנים במעשה חקיקה חרות (סטטוטורי) שיוחד לנושא זה". שירות הביטחון מהווה חלק מהרשות המבצעת. שיוך זה, כשלעצמו, אינו מעניק לו סמכויות חקירה. אמת, לממשלה "סמכות שיורית". זו הסמכות "לעשות בשם המדינה, בכפוף לכל דין, כל פעולה שעשייתה אינה מוטלת בדין על רשות אחרת" (סעיף 40 לחוק יסוד: הממשלה</w:t>
      </w:r>
      <w:r w:rsidRPr="007839C7">
        <w:rPr>
          <w:rFonts w:ascii="Times New Roman" w:cs="FrankRuehl"/>
          <w:szCs w:val="22"/>
          <w:rtl/>
          <w:lang w:eastAsia="en-US"/>
        </w:rPr>
        <w:t xml:space="preserve">). </w:t>
      </w:r>
      <w:r w:rsidRPr="007839C7">
        <w:rPr>
          <w:rFonts w:ascii="Times New Roman" w:cs="FrankRuehl" w:hint="cs"/>
          <w:szCs w:val="22"/>
          <w:rtl/>
          <w:lang w:eastAsia="en-US"/>
        </w:rPr>
        <w:t xml:space="preserve">אין להסיק מהוראה זו סמכות לחקירה במובן בו אנו עוסקים בעתירות אלה. סמכות החקירה פוגעת בחירותו של הפרט. סמכותה ה"שיורית" של הממשלה אינה מקור לסמכות הפוגעת בחירותו של הפרט.  הסמכות ה"שיורית" של הממשלה מעניקה לה כוח לפעול במקום שקיים "חלל מנהלי" (ראו בג"ץ </w:t>
      </w:r>
      <w:r w:rsidRPr="007839C7">
        <w:rPr>
          <w:rFonts w:ascii="Times New Roman" w:cs="FrankRuehl"/>
          <w:szCs w:val="22"/>
          <w:rtl/>
          <w:lang w:eastAsia="en-US"/>
        </w:rPr>
        <w:t xml:space="preserve">2918/93 </w:t>
      </w:r>
      <w:r w:rsidRPr="007839C7">
        <w:rPr>
          <w:rFonts w:ascii="Times New Roman" w:cs="FrankRuehl"/>
          <w:szCs w:val="22"/>
          <w:u w:val="single"/>
          <w:rtl/>
          <w:lang w:eastAsia="en-US"/>
        </w:rPr>
        <w:t>ע</w:t>
      </w:r>
      <w:r w:rsidRPr="007839C7">
        <w:rPr>
          <w:rFonts w:ascii="Times New Roman" w:cs="FrankRuehl" w:hint="cs"/>
          <w:szCs w:val="22"/>
          <w:u w:val="single"/>
          <w:rtl/>
          <w:lang w:eastAsia="en-US"/>
        </w:rPr>
        <w:t>יריית קרית גת נ' מדינת ישראל ואח'</w:t>
      </w:r>
      <w:r w:rsidRPr="007839C7">
        <w:rPr>
          <w:rFonts w:ascii="Times New Roman" w:cs="FrankRuehl"/>
          <w:szCs w:val="22"/>
          <w:rtl/>
          <w:lang w:eastAsia="en-US"/>
        </w:rPr>
        <w:t xml:space="preserve">, </w:t>
      </w:r>
      <w:r w:rsidRPr="007839C7">
        <w:rPr>
          <w:rFonts w:ascii="Times New Roman" w:cs="FrankRuehl" w:hint="cs"/>
          <w:szCs w:val="22"/>
          <w:rtl/>
          <w:lang w:eastAsia="en-US"/>
        </w:rPr>
        <w:t>פ"ד מז(5) 832, 843). "חלל מנהלי" כזה אינו קיים בעניין שלפנינו, שכן הוא "מולא" בעיקרון הכללי בדבר חירות הפרט. פגיעה בחירות זו מצריכה הוראה מיוחדת. עמד על כך הנשיא שמגר, בציינו:</w:t>
      </w:r>
    </w:p>
    <w:p w:rsidR="005366A8" w:rsidRPr="007839C7" w:rsidRDefault="005366A8" w:rsidP="005366A8">
      <w:pPr>
        <w:pStyle w:val="4"/>
        <w:spacing w:line="240" w:lineRule="auto"/>
        <w:rPr>
          <w:rFonts w:ascii="Times New Roman" w:cs="FrankRuehl"/>
          <w:szCs w:val="22"/>
          <w:rtl/>
          <w:lang w:eastAsia="en-US"/>
        </w:rPr>
      </w:pPr>
    </w:p>
    <w:p w:rsidR="005366A8" w:rsidRPr="00BA2BEA" w:rsidRDefault="005366A8" w:rsidP="005366A8">
      <w:pPr>
        <w:pStyle w:val="5"/>
        <w:ind w:left="679" w:right="709"/>
        <w:rPr>
          <w:rFonts w:ascii="Times New Roman" w:cs="FrankRuehl"/>
          <w:rtl/>
        </w:rPr>
      </w:pPr>
      <w:r w:rsidRPr="00BA2BEA">
        <w:rPr>
          <w:rFonts w:ascii="Times New Roman" w:cs="FrankRuehl"/>
          <w:rtl/>
        </w:rPr>
        <w:t>"</w:t>
      </w:r>
      <w:r w:rsidRPr="00BA2BEA">
        <w:rPr>
          <w:rFonts w:ascii="Times New Roman" w:cs="FrankRuehl" w:hint="cs"/>
          <w:rtl/>
        </w:rPr>
        <w:t>יש פעולות שאינן בתחומה ובכוחה של המ</w:t>
      </w:r>
      <w:r w:rsidRPr="00BA2BEA">
        <w:rPr>
          <w:rFonts w:ascii="Times New Roman" w:cs="FrankRuehl"/>
          <w:rtl/>
        </w:rPr>
        <w:t>מ</w:t>
      </w:r>
      <w:r w:rsidRPr="00BA2BEA">
        <w:rPr>
          <w:rFonts w:ascii="Times New Roman" w:cs="FrankRuehl" w:hint="cs"/>
          <w:rtl/>
        </w:rPr>
        <w:t>שלה, מאחר שהפעלתן ללא הסמכה חוקית נוגדת תפיסות יסוד נורמאטיביות הנובעות מאופי המשטר שלנו. כך הדבר לגבי זכויות יסוד שהן חלק מן המשפט הפוזיטיבי שלנו, בין שהוכללו בחוק יסוד ובין שטרם נעשה כן. כך, לא תהיה, לדוגמה, בידי הממשלה סמכות לסגור עתון על יסוד החלטת ב</w:t>
      </w:r>
      <w:r w:rsidRPr="00BA2BEA">
        <w:rPr>
          <w:rFonts w:ascii="Times New Roman" w:cs="FrankRuehl"/>
          <w:rtl/>
        </w:rPr>
        <w:t>י</w:t>
      </w:r>
      <w:r w:rsidRPr="00BA2BEA">
        <w:rPr>
          <w:rFonts w:ascii="Times New Roman" w:cs="FrankRuehl" w:hint="cs"/>
          <w:rtl/>
        </w:rPr>
        <w:t>צוע מנהלית, אם לא תהיה הוראת חוק מפורשת המסדירה נושא כגון דא, ואף אם טרם הוחק חוק יסוד המגדיר את חופש הדיבור; מעשה כאמור ינגוד תפיסות היסוד שלנו בדבר חירויות האדם הטבועות במשטרנו, ואשר ניתן להגבילן רק בחוק חרוט... משמע, זכות היסוד של חופש הדיבור, שהיא חל</w:t>
      </w:r>
      <w:r w:rsidRPr="00BA2BEA">
        <w:rPr>
          <w:rFonts w:ascii="Times New Roman" w:cs="FrankRuehl"/>
          <w:rtl/>
        </w:rPr>
        <w:t>ק</w:t>
      </w:r>
      <w:r w:rsidRPr="00BA2BEA">
        <w:rPr>
          <w:rFonts w:ascii="Times New Roman" w:cs="FrankRuehl" w:hint="cs"/>
          <w:rtl/>
        </w:rPr>
        <w:t xml:space="preserve"> </w:t>
      </w:r>
      <w:r w:rsidRPr="00BA2BEA">
        <w:rPr>
          <w:rFonts w:ascii="Times New Roman" w:cs="FrankRuehl"/>
          <w:rtl/>
        </w:rPr>
        <w:t>מ</w:t>
      </w:r>
      <w:r w:rsidRPr="00BA2BEA">
        <w:rPr>
          <w:rFonts w:ascii="Times New Roman" w:cs="FrankRuehl" w:hint="cs"/>
          <w:rtl/>
        </w:rPr>
        <w:t xml:space="preserve">ן המשפט הפוזיטיבי שלנו, יוצרת סייג הכובל את ידיה של הרשות המבצעת ואינו מתיר לה לחרוג, ללא הסמכה שבדין, מן האיסור לפגוע בחירות המוקנית על פיו" (בג"ץ 5128/94 </w:t>
      </w:r>
      <w:r w:rsidRPr="00BA2BEA">
        <w:rPr>
          <w:rFonts w:ascii="Times New Roman" w:cs="FrankRuehl"/>
          <w:u w:val="single"/>
          <w:rtl/>
        </w:rPr>
        <w:t>פ</w:t>
      </w:r>
      <w:r w:rsidRPr="00BA2BEA">
        <w:rPr>
          <w:rFonts w:ascii="Times New Roman" w:cs="FrankRuehl" w:hint="cs"/>
          <w:u w:val="single"/>
          <w:rtl/>
        </w:rPr>
        <w:t>דרמן נ' שר המשטרה</w:t>
      </w:r>
      <w:r w:rsidRPr="00BA2BEA">
        <w:rPr>
          <w:rFonts w:ascii="Times New Roman" w:cs="FrankRuehl"/>
          <w:rtl/>
        </w:rPr>
        <w:t xml:space="preserve">, </w:t>
      </w:r>
      <w:r w:rsidRPr="00BA2BEA">
        <w:rPr>
          <w:rFonts w:ascii="Times New Roman" w:cs="FrankRuehl" w:hint="cs"/>
          <w:rtl/>
        </w:rPr>
        <w:t>פ"ד מח(5) 647, 652).</w:t>
      </w:r>
    </w:p>
    <w:p w:rsidR="005366A8" w:rsidRPr="004452A7" w:rsidRDefault="005366A8" w:rsidP="005366A8">
      <w:pPr>
        <w:spacing w:after="120"/>
        <w:rPr>
          <w:rFonts w:ascii="Arial" w:hAnsi="Arial" w:cs="Arial"/>
          <w:b/>
          <w:bCs/>
          <w:sz w:val="22"/>
          <w:szCs w:val="22"/>
          <w:rtl/>
        </w:rPr>
      </w:pPr>
    </w:p>
    <w:p w:rsidR="005366A8" w:rsidRPr="004452A7" w:rsidRDefault="005366A8" w:rsidP="005366A8">
      <w:pPr>
        <w:spacing w:after="120"/>
        <w:rPr>
          <w:rFonts w:ascii="Arial" w:hAnsi="Arial" w:cs="Arial"/>
          <w:b/>
          <w:bCs/>
          <w:sz w:val="22"/>
          <w:szCs w:val="22"/>
          <w:rtl/>
        </w:rPr>
      </w:pPr>
      <w:r w:rsidRPr="004452A7">
        <w:rPr>
          <w:rFonts w:ascii="Arial" w:hAnsi="Arial" w:cs="Arial"/>
          <w:b/>
          <w:bCs/>
          <w:sz w:val="22"/>
          <w:szCs w:val="22"/>
          <w:highlight w:val="yellow"/>
          <w:rtl/>
        </w:rPr>
        <w:t>הסמכות מוגבלת לפעולות אשר עשייתן "אינה מוטלת בדין על רשות אחרת":</w:t>
      </w:r>
    </w:p>
    <w:p w:rsidR="005366A8" w:rsidRPr="004452A7" w:rsidRDefault="005366A8" w:rsidP="005366A8">
      <w:pPr>
        <w:ind w:left="720"/>
        <w:rPr>
          <w:sz w:val="22"/>
          <w:szCs w:val="22"/>
          <w:rtl/>
        </w:rPr>
      </w:pPr>
      <w:r w:rsidRPr="009603A1">
        <w:rPr>
          <w:rFonts w:hint="cs"/>
          <w:b/>
          <w:bCs/>
          <w:sz w:val="22"/>
          <w:szCs w:val="22"/>
          <w:u w:val="single"/>
          <w:rtl/>
        </w:rPr>
        <w:t>דוגמאות:</w:t>
      </w:r>
      <w:r>
        <w:rPr>
          <w:rFonts w:hint="cs"/>
          <w:sz w:val="22"/>
          <w:szCs w:val="22"/>
          <w:rtl/>
        </w:rPr>
        <w:t xml:space="preserve"> </w:t>
      </w:r>
      <w:r w:rsidRPr="004452A7">
        <w:rPr>
          <w:rFonts w:hint="cs"/>
          <w:sz w:val="22"/>
          <w:szCs w:val="22"/>
          <w:rtl/>
        </w:rPr>
        <w:t>אין הממשלה רשאית להפקיע מקרקעין לצורכי ציבור, משום שפקודת הקרקעות (רכישה לצרכי הציבור), 1943, מקנה סמכות זו לשר האוצר;</w:t>
      </w:r>
    </w:p>
    <w:p w:rsidR="005366A8" w:rsidRPr="004452A7" w:rsidRDefault="005366A8" w:rsidP="005366A8">
      <w:pPr>
        <w:spacing w:after="120"/>
        <w:ind w:left="720"/>
        <w:rPr>
          <w:sz w:val="22"/>
          <w:szCs w:val="22"/>
          <w:rtl/>
        </w:rPr>
      </w:pPr>
      <w:r w:rsidRPr="004452A7">
        <w:rPr>
          <w:rFonts w:hint="cs"/>
          <w:sz w:val="22"/>
          <w:szCs w:val="22"/>
          <w:rtl/>
        </w:rPr>
        <w:t xml:space="preserve">האזנת סתר </w:t>
      </w:r>
      <w:r w:rsidRPr="004452A7">
        <w:rPr>
          <w:sz w:val="22"/>
          <w:szCs w:val="22"/>
          <w:rtl/>
        </w:rPr>
        <w:t>–</w:t>
      </w:r>
      <w:r w:rsidRPr="004452A7">
        <w:rPr>
          <w:rFonts w:hint="cs"/>
          <w:sz w:val="22"/>
          <w:szCs w:val="22"/>
          <w:rtl/>
        </w:rPr>
        <w:t xml:space="preserve"> החוק מסמיך את ראש הממשלה או שר הביטחון ואת בית המשפט, לא את הממשלה;</w:t>
      </w:r>
    </w:p>
    <w:p w:rsidR="005366A8" w:rsidRPr="004452A7" w:rsidRDefault="005366A8" w:rsidP="005366A8">
      <w:pPr>
        <w:spacing w:after="120"/>
        <w:rPr>
          <w:sz w:val="22"/>
          <w:szCs w:val="22"/>
          <w:rtl/>
        </w:rPr>
      </w:pPr>
      <w:r w:rsidRPr="009603A1">
        <w:rPr>
          <w:rFonts w:hint="cs"/>
          <w:b/>
          <w:bCs/>
          <w:sz w:val="22"/>
          <w:szCs w:val="22"/>
          <w:u w:val="single"/>
          <w:rtl/>
        </w:rPr>
        <w:t>דוגמא נוספת</w:t>
      </w:r>
      <w:r>
        <w:rPr>
          <w:rFonts w:hint="cs"/>
          <w:sz w:val="22"/>
          <w:szCs w:val="22"/>
          <w:rtl/>
        </w:rPr>
        <w:t xml:space="preserve">: </w:t>
      </w:r>
      <w:r w:rsidRPr="009603A1">
        <w:rPr>
          <w:rFonts w:hint="cs"/>
          <w:sz w:val="22"/>
          <w:szCs w:val="22"/>
          <w:rtl/>
        </w:rPr>
        <w:t>פס"ד</w:t>
      </w:r>
      <w:r>
        <w:rPr>
          <w:rFonts w:hint="cs"/>
          <w:b/>
          <w:bCs/>
          <w:sz w:val="22"/>
          <w:szCs w:val="22"/>
          <w:rtl/>
        </w:rPr>
        <w:t xml:space="preserve"> </w:t>
      </w:r>
      <w:r w:rsidRPr="004452A7">
        <w:rPr>
          <w:rFonts w:hint="cs"/>
          <w:b/>
          <w:bCs/>
          <w:sz w:val="22"/>
          <w:szCs w:val="22"/>
          <w:rtl/>
        </w:rPr>
        <w:t>עירית קרית גת</w:t>
      </w:r>
      <w:r>
        <w:rPr>
          <w:rFonts w:hint="cs"/>
          <w:sz w:val="22"/>
          <w:szCs w:val="22"/>
          <w:rtl/>
        </w:rPr>
        <w:t xml:space="preserve"> </w:t>
      </w:r>
      <w:r>
        <w:rPr>
          <w:sz w:val="22"/>
          <w:szCs w:val="22"/>
          <w:rtl/>
        </w:rPr>
        <w:t>–</w:t>
      </w:r>
      <w:r>
        <w:rPr>
          <w:rFonts w:hint="cs"/>
          <w:sz w:val="22"/>
          <w:szCs w:val="22"/>
          <w:rtl/>
        </w:rPr>
        <w:t xml:space="preserve"> פס"ד שקדם לפס"ד </w:t>
      </w:r>
      <w:r w:rsidRPr="00775B4A">
        <w:rPr>
          <w:rFonts w:hint="cs"/>
          <w:b/>
          <w:bCs/>
          <w:sz w:val="22"/>
          <w:szCs w:val="22"/>
          <w:rtl/>
        </w:rPr>
        <w:t>ועדת המעקב</w:t>
      </w:r>
      <w:r w:rsidRPr="004452A7">
        <w:rPr>
          <w:rFonts w:hint="cs"/>
          <w:sz w:val="22"/>
          <w:szCs w:val="22"/>
          <w:rtl/>
        </w:rPr>
        <w:t xml:space="preserve">: הממשלה קיבלה החלטה בדבר סיווג מחדש של ערי פיתוח ואזורי פיתוח לצורך מתן הטבות על ידי משרדי הממשלה.  הממשלה סמכה החלטה זאת על </w:t>
      </w:r>
      <w:r>
        <w:rPr>
          <w:rFonts w:hint="cs"/>
          <w:sz w:val="22"/>
          <w:szCs w:val="22"/>
          <w:rtl/>
        </w:rPr>
        <w:t>"</w:t>
      </w:r>
      <w:r w:rsidRPr="004452A7">
        <w:rPr>
          <w:rFonts w:hint="cs"/>
          <w:sz w:val="22"/>
          <w:szCs w:val="22"/>
          <w:rtl/>
        </w:rPr>
        <w:t>הסמכות השיורית</w:t>
      </w:r>
      <w:r>
        <w:rPr>
          <w:rFonts w:hint="cs"/>
          <w:sz w:val="22"/>
          <w:szCs w:val="22"/>
          <w:rtl/>
        </w:rPr>
        <w:t>"</w:t>
      </w:r>
      <w:r w:rsidRPr="004452A7">
        <w:rPr>
          <w:rFonts w:hint="cs"/>
          <w:sz w:val="22"/>
          <w:szCs w:val="22"/>
          <w:rtl/>
        </w:rPr>
        <w:t xml:space="preserve">.  ואולם הסמכות הוקנתה כבר לועדת שרים על פי חוק ערי ואזורי פיתוח, תשמ"ח-1988.  </w:t>
      </w:r>
    </w:p>
    <w:p w:rsidR="005366A8" w:rsidRPr="004452A7" w:rsidRDefault="005366A8" w:rsidP="005366A8">
      <w:pPr>
        <w:spacing w:after="120"/>
        <w:ind w:left="1440"/>
        <w:rPr>
          <w:sz w:val="22"/>
          <w:szCs w:val="22"/>
          <w:rtl/>
        </w:rPr>
      </w:pPr>
      <w:r w:rsidRPr="004452A7">
        <w:rPr>
          <w:rFonts w:hint="cs"/>
          <w:sz w:val="22"/>
          <w:szCs w:val="22"/>
          <w:rtl/>
        </w:rPr>
        <w:t xml:space="preserve">סעיף 14 לפסק הדין של השופט גולדברג, בפס"ד </w:t>
      </w:r>
      <w:r w:rsidRPr="004452A7">
        <w:rPr>
          <w:rFonts w:hint="cs"/>
          <w:b/>
          <w:bCs/>
          <w:sz w:val="22"/>
          <w:szCs w:val="22"/>
          <w:rtl/>
        </w:rPr>
        <w:t>עירית קרית גת</w:t>
      </w:r>
      <w:r w:rsidRPr="004452A7">
        <w:rPr>
          <w:rFonts w:hint="cs"/>
          <w:sz w:val="22"/>
          <w:szCs w:val="22"/>
          <w:rtl/>
        </w:rPr>
        <w:t>:</w:t>
      </w:r>
    </w:p>
    <w:p w:rsidR="005366A8" w:rsidRPr="00AF4ECB" w:rsidRDefault="005366A8" w:rsidP="005366A8">
      <w:pPr>
        <w:ind w:left="720"/>
        <w:rPr>
          <w:rFonts w:cs="FrankRuehl"/>
          <w:sz w:val="22"/>
          <w:szCs w:val="22"/>
          <w:rtl/>
        </w:rPr>
      </w:pPr>
      <w:r w:rsidRPr="00AF4ECB">
        <w:rPr>
          <w:rFonts w:cs="FrankRuehl" w:hint="cs"/>
          <w:sz w:val="22"/>
          <w:szCs w:val="22"/>
          <w:rtl/>
        </w:rPr>
        <w:t>הדואליות האמורה של חוק והחלטת ממשלה [מכוח הסמכות השיורית], אינה יכולה להתיישב עם ל</w:t>
      </w:r>
      <w:r>
        <w:rPr>
          <w:rFonts w:cs="FrankRuehl" w:hint="cs"/>
          <w:sz w:val="22"/>
          <w:szCs w:val="22"/>
          <w:rtl/>
        </w:rPr>
        <w:t>שונו ומטרתו התחיקתית של סעיף 29 [סע' הסמכות השיורית בחוק יסוד: הממשלה, דאז].</w:t>
      </w:r>
      <w:r w:rsidRPr="00AF4ECB">
        <w:rPr>
          <w:rFonts w:cs="FrankRuehl" w:hint="cs"/>
          <w:sz w:val="22"/>
          <w:szCs w:val="22"/>
          <w:rtl/>
        </w:rPr>
        <w:t xml:space="preserve">  הרחבת סמכותה של הממשלה שתאפשר מצב כזה, מטשטשת את הגבולות בין הרשות המבצעת והרשות המחוקקת, ופוגעת בעצם מהותו של המשטר החוקתי במדינה, המבוסס על חלוקת הסמכויות בין הרשויות. הסייג שבסעיף 29 כי הממשלה מוסמכת לפעול "בכפוף לכל דין", אינו מורה [רק] כי אסור למעשי הממשלה כי יסתרו או יפרו כל דין, אלא גם זאת כי משקיים דין אשר יוצר הסדר, נסוגה מפניו סמכות הממשלה, ואין בידה ליצור הסדר אלטרנטיבי. אם היה חלל ריק משפטי הרי שהוא היה קיים עד לחקיקת החוק שיצר את ההסדר. מכאן ואילך התמלא החלל בחוק ולא נותרה עוד סמכות שיורית לממשלה באותו עניין עצמו.</w:t>
      </w:r>
    </w:p>
    <w:p w:rsidR="005366A8" w:rsidRPr="004452A7" w:rsidRDefault="005366A8" w:rsidP="005366A8">
      <w:pPr>
        <w:ind w:left="720"/>
        <w:rPr>
          <w:sz w:val="22"/>
          <w:szCs w:val="22"/>
          <w:rtl/>
        </w:rPr>
      </w:pPr>
      <w:r w:rsidRPr="004452A7">
        <w:rPr>
          <w:rFonts w:hint="cs"/>
          <w:sz w:val="22"/>
          <w:szCs w:val="22"/>
          <w:rtl/>
        </w:rPr>
        <w:t>=-=</w:t>
      </w:r>
    </w:p>
    <w:p w:rsidR="005366A8" w:rsidRDefault="005366A8" w:rsidP="005366A8">
      <w:pPr>
        <w:rPr>
          <w:sz w:val="22"/>
          <w:szCs w:val="22"/>
          <w:rtl/>
        </w:rPr>
      </w:pPr>
      <w:r>
        <w:rPr>
          <w:rFonts w:hint="cs"/>
          <w:sz w:val="22"/>
          <w:szCs w:val="22"/>
          <w:rtl/>
        </w:rPr>
        <w:t xml:space="preserve">מנגד, </w:t>
      </w:r>
      <w:r w:rsidRPr="009603A1">
        <w:rPr>
          <w:rFonts w:hint="cs"/>
          <w:b/>
          <w:bCs/>
          <w:sz w:val="22"/>
          <w:szCs w:val="22"/>
          <w:u w:val="single"/>
          <w:rtl/>
        </w:rPr>
        <w:t>דוגמא אחרת, לא פשוטה</w:t>
      </w:r>
      <w:r>
        <w:rPr>
          <w:rFonts w:hint="cs"/>
          <w:sz w:val="22"/>
          <w:szCs w:val="22"/>
          <w:rtl/>
        </w:rPr>
        <w:t xml:space="preserve">. </w:t>
      </w:r>
      <w:r w:rsidRPr="009603A1">
        <w:rPr>
          <w:rFonts w:hint="cs"/>
          <w:sz w:val="22"/>
          <w:szCs w:val="22"/>
          <w:rtl/>
        </w:rPr>
        <w:t>פס"ד</w:t>
      </w:r>
      <w:r w:rsidRPr="004452A7">
        <w:rPr>
          <w:rFonts w:hint="cs"/>
          <w:b/>
          <w:bCs/>
          <w:sz w:val="22"/>
          <w:szCs w:val="22"/>
          <w:rtl/>
        </w:rPr>
        <w:t xml:space="preserve"> פדרמן:</w:t>
      </w:r>
      <w:r w:rsidRPr="004452A7">
        <w:rPr>
          <w:rFonts w:hint="cs"/>
          <w:sz w:val="22"/>
          <w:szCs w:val="22"/>
          <w:rtl/>
        </w:rPr>
        <w:t xml:space="preserve"> </w:t>
      </w:r>
      <w:r w:rsidRPr="004452A7">
        <w:rPr>
          <w:sz w:val="22"/>
          <w:szCs w:val="22"/>
          <w:rtl/>
        </w:rPr>
        <w:t>שיגור משלחת של אנשי משטרה מישראל כדי שיצטרפו לכוח הפיקוח הרב לאומי המופעל במדינת האיטי בעקבות החלטה של מועצת הבטחון של האו"מ, וביוזמת ממשלת ארה"ב. בכוח האמור משתתפים נציגים של כעשרים מדינות. העותר טוען כי יש להימנע משיגור המשלחת. תמצית נימוקיו לעניין זה, כמובא בעתירתו, הם אלה: "מדינת ישראל איננה צריכה להתערב בסכסוכים לא לה, ולא לשם כך הוקמה המדינה. כמו כן על פי פקודת המשטרה לא הוסמך שר המשטרה או המפכ"ל לערב כוחות משטרה מחוץ לגבולות המדינה שלא לצורך ענייני המדינה הישירים"</w:t>
      </w:r>
      <w:r w:rsidRPr="004452A7">
        <w:rPr>
          <w:rFonts w:hint="cs"/>
          <w:sz w:val="22"/>
          <w:szCs w:val="22"/>
          <w:rtl/>
        </w:rPr>
        <w:t>.</w:t>
      </w:r>
    </w:p>
    <w:p w:rsidR="005366A8" w:rsidRDefault="005366A8" w:rsidP="005366A8">
      <w:pPr>
        <w:spacing w:after="120"/>
        <w:rPr>
          <w:sz w:val="22"/>
          <w:szCs w:val="22"/>
          <w:rtl/>
        </w:rPr>
      </w:pPr>
      <w:r>
        <w:rPr>
          <w:rFonts w:hint="cs"/>
          <w:sz w:val="22"/>
          <w:szCs w:val="22"/>
          <w:rtl/>
        </w:rPr>
        <w:t>בית המשפט דוחה את העתירה:</w:t>
      </w:r>
    </w:p>
    <w:p w:rsidR="005366A8" w:rsidRPr="007D7E43" w:rsidRDefault="005366A8" w:rsidP="005366A8">
      <w:pPr>
        <w:tabs>
          <w:tab w:val="left" w:pos="288"/>
          <w:tab w:val="left" w:pos="720"/>
          <w:tab w:val="left" w:pos="1296"/>
          <w:tab w:val="left" w:pos="4176"/>
        </w:tabs>
        <w:autoSpaceDE w:val="0"/>
        <w:autoSpaceDN w:val="0"/>
        <w:adjustRightInd w:val="0"/>
        <w:ind w:left="568" w:firstLine="284"/>
        <w:rPr>
          <w:rFonts w:cs="FrankRuehl"/>
          <w:sz w:val="22"/>
          <w:szCs w:val="22"/>
          <w:rtl/>
        </w:rPr>
      </w:pPr>
      <w:r w:rsidRPr="007D7E43">
        <w:rPr>
          <w:rFonts w:cs="FrankRuehl"/>
          <w:sz w:val="22"/>
          <w:szCs w:val="22"/>
          <w:rtl/>
        </w:rPr>
        <w:t>אין המדובר בפעולות של רשויות שלטון ישראליות המרחיבות כביכול את תחום פעולתן ואת סמכות שליחיהן, אלא בפעולה מחוץ לתחום תחולת המשפט הישראלי, הנובעת מהסכמה במישור הבינלאומי בין ישראל למדינות אחרות, להעמיד לרשות אותן מדינות מומחים בתחום המשטרה שהתנדבו לכך</w:t>
      </w:r>
      <w:r w:rsidRPr="007D7E43">
        <w:rPr>
          <w:rFonts w:cs="FrankRuehl"/>
          <w:sz w:val="22"/>
          <w:szCs w:val="22"/>
        </w:rPr>
        <w:t>.</w:t>
      </w:r>
    </w:p>
    <w:p w:rsidR="005366A8" w:rsidRPr="007D7E43" w:rsidRDefault="005366A8" w:rsidP="005366A8">
      <w:pPr>
        <w:tabs>
          <w:tab w:val="left" w:pos="288"/>
          <w:tab w:val="left" w:pos="720"/>
          <w:tab w:val="left" w:pos="1296"/>
          <w:tab w:val="left" w:pos="4176"/>
        </w:tabs>
        <w:autoSpaceDE w:val="0"/>
        <w:autoSpaceDN w:val="0"/>
        <w:adjustRightInd w:val="0"/>
        <w:ind w:left="568" w:firstLine="284"/>
        <w:rPr>
          <w:rFonts w:cs="FrankRuehl"/>
          <w:sz w:val="22"/>
          <w:szCs w:val="22"/>
          <w:rtl/>
        </w:rPr>
      </w:pPr>
      <w:r w:rsidRPr="007D7E43">
        <w:rPr>
          <w:rFonts w:cs="FrankRuehl"/>
          <w:sz w:val="22"/>
          <w:szCs w:val="22"/>
          <w:rtl/>
        </w:rPr>
        <w:t>העובדה כי ממשלת ישראל נתבקשה והחליטה על משלוח אנשי משטרה דווקא כנציגיה בכוח המשקיפים הרב-לאומי יסודה במהות התפקיד שעל המשלחת למלא בתוך הכוח הרב-לאומי במסגרת מומחיות חברי, כשם שלטיפול בפליטי רואנדה נשלחו צוותי רפואה צבאיים ואזרחיים, לארמניה נשלח צוות חילוץ הריסות, ולמדינות אחרות נשלחו מדריכים חקלאיים ממשרד החקלאות, איש איש במסגרת הצרכים והמיומנויות הנדרשים למשימה שבה מדובר.</w:t>
      </w:r>
    </w:p>
    <w:p w:rsidR="005366A8" w:rsidRPr="007D7E43" w:rsidRDefault="005366A8" w:rsidP="005366A8">
      <w:pPr>
        <w:tabs>
          <w:tab w:val="left" w:pos="288"/>
          <w:tab w:val="left" w:pos="720"/>
          <w:tab w:val="left" w:pos="1296"/>
          <w:tab w:val="left" w:pos="4176"/>
        </w:tabs>
        <w:autoSpaceDE w:val="0"/>
        <w:autoSpaceDN w:val="0"/>
        <w:adjustRightInd w:val="0"/>
        <w:ind w:left="568" w:firstLine="284"/>
        <w:rPr>
          <w:rFonts w:cs="FrankRuehl"/>
          <w:sz w:val="22"/>
          <w:szCs w:val="22"/>
          <w:rtl/>
        </w:rPr>
      </w:pPr>
      <w:r w:rsidRPr="007D7E43">
        <w:rPr>
          <w:rFonts w:cs="FrankRuehl"/>
          <w:sz w:val="22"/>
          <w:szCs w:val="22"/>
          <w:rtl/>
        </w:rPr>
        <w:t>המשלחות לא מילאו במקום שאליו נשלחו את תפקידם הסטטוטורי הרגיל בהתאם לדין בישראל, אלא שליחות ממלכתית במסגרת יחסי החוץ של המדינה</w:t>
      </w:r>
      <w:r w:rsidRPr="007D7E43">
        <w:rPr>
          <w:rFonts w:cs="FrankRuehl"/>
          <w:sz w:val="22"/>
          <w:szCs w:val="22"/>
        </w:rPr>
        <w:t>.</w:t>
      </w:r>
    </w:p>
    <w:p w:rsidR="005366A8" w:rsidRPr="004452A7" w:rsidRDefault="005366A8" w:rsidP="005366A8">
      <w:pPr>
        <w:rPr>
          <w:sz w:val="22"/>
          <w:szCs w:val="22"/>
          <w:rtl/>
        </w:rPr>
      </w:pPr>
    </w:p>
    <w:p w:rsidR="005366A8" w:rsidRDefault="005366A8" w:rsidP="005366A8">
      <w:pPr>
        <w:pStyle w:val="T-body"/>
        <w:spacing w:line="240" w:lineRule="auto"/>
        <w:rPr>
          <w:rFonts w:cs="David"/>
          <w:sz w:val="22"/>
          <w:szCs w:val="22"/>
          <w:rtl/>
        </w:rPr>
      </w:pPr>
      <w:r>
        <w:rPr>
          <w:rFonts w:cs="David" w:hint="cs"/>
          <w:sz w:val="22"/>
          <w:szCs w:val="22"/>
          <w:rtl/>
        </w:rPr>
        <w:t>=-=</w:t>
      </w:r>
    </w:p>
    <w:p w:rsidR="005366A8" w:rsidRPr="00BA2BEA" w:rsidRDefault="005366A8" w:rsidP="005366A8">
      <w:pPr>
        <w:pStyle w:val="T-body"/>
        <w:spacing w:after="120"/>
        <w:jc w:val="center"/>
        <w:rPr>
          <w:rFonts w:cs="David"/>
          <w:sz w:val="22"/>
          <w:szCs w:val="22"/>
          <w:rtl/>
        </w:rPr>
      </w:pPr>
      <w:r w:rsidRPr="0093330A">
        <w:rPr>
          <w:rFonts w:cs="David" w:hint="cs"/>
          <w:sz w:val="22"/>
          <w:szCs w:val="22"/>
          <w:highlight w:val="yellow"/>
          <w:rtl/>
        </w:rPr>
        <w:t xml:space="preserve">בג"ץ 5062/97 </w:t>
      </w:r>
      <w:r w:rsidRPr="0093330A">
        <w:rPr>
          <w:rFonts w:cs="David" w:hint="cs"/>
          <w:b/>
          <w:bCs/>
          <w:sz w:val="22"/>
          <w:szCs w:val="22"/>
          <w:highlight w:val="yellow"/>
          <w:rtl/>
        </w:rPr>
        <w:t>איגוד שמאי הביטוח נ' מדינת ישראל</w:t>
      </w:r>
      <w:r w:rsidRPr="0093330A">
        <w:rPr>
          <w:rFonts w:cs="David" w:hint="cs"/>
          <w:sz w:val="22"/>
          <w:szCs w:val="22"/>
          <w:highlight w:val="yellow"/>
          <w:rtl/>
        </w:rPr>
        <w:t>, פ"ד נה(1) 181 (1999)</w:t>
      </w:r>
    </w:p>
    <w:p w:rsidR="005366A8" w:rsidRDefault="005366A8" w:rsidP="005366A8">
      <w:pPr>
        <w:pStyle w:val="T-body"/>
        <w:spacing w:line="240" w:lineRule="auto"/>
        <w:ind w:left="280" w:hanging="28"/>
        <w:rPr>
          <w:rFonts w:cs="FrankRuehl"/>
          <w:sz w:val="22"/>
          <w:szCs w:val="22"/>
          <w:rtl/>
        </w:rPr>
      </w:pPr>
      <w:r>
        <w:rPr>
          <w:rFonts w:cs="FrankRuehl" w:hint="cs"/>
          <w:sz w:val="22"/>
          <w:szCs w:val="22"/>
          <w:rtl/>
        </w:rPr>
        <w:t>[</w:t>
      </w:r>
      <w:r w:rsidRPr="007D7E43">
        <w:rPr>
          <w:rFonts w:cs="FrankRuehl"/>
          <w:sz w:val="22"/>
          <w:szCs w:val="22"/>
          <w:rtl/>
        </w:rPr>
        <w:t xml:space="preserve">עניינן של העתירות הוא בהחלטת הממשלה מיום 3.8.1997, למתן תמיכה בסכום של 40 מיליון ש"ח למגדלי הפירות בגין נזקי טבע אשר נגרמו בחורף 1997-1996. החלטה זו הייתה שלא במסגרת </w:t>
      </w:r>
      <w:r w:rsidRPr="00483E76">
        <w:rPr>
          <w:rFonts w:cs="FrankRuehl"/>
          <w:b/>
          <w:bCs/>
          <w:sz w:val="22"/>
          <w:szCs w:val="22"/>
          <w:rtl/>
        </w:rPr>
        <w:t>חוק פיצוי נפגעי אסון טבע, תשמ"ט1989-</w:t>
      </w:r>
      <w:r w:rsidRPr="007D7E43">
        <w:rPr>
          <w:rFonts w:cs="FrankRuehl"/>
          <w:sz w:val="22"/>
          <w:szCs w:val="22"/>
          <w:rtl/>
        </w:rPr>
        <w:t xml:space="preserve">. </w:t>
      </w:r>
    </w:p>
    <w:p w:rsidR="005366A8" w:rsidRDefault="005366A8" w:rsidP="005366A8">
      <w:pPr>
        <w:pStyle w:val="T-body"/>
        <w:spacing w:after="120" w:line="240" w:lineRule="auto"/>
        <w:ind w:left="280" w:hanging="28"/>
        <w:rPr>
          <w:rFonts w:cs="FrankRuehl"/>
          <w:sz w:val="22"/>
          <w:szCs w:val="22"/>
          <w:rtl/>
        </w:rPr>
      </w:pPr>
      <w:r w:rsidRPr="007D7E43">
        <w:rPr>
          <w:rFonts w:cs="FrankRuehl"/>
          <w:sz w:val="22"/>
          <w:szCs w:val="22"/>
          <w:rtl/>
        </w:rPr>
        <w:t>טענתם של העותרים היא כי בנסיבות המקרה היה על הממשלה להחליט כי יש להפעיל את הוראות החוק, אך אפילו סברה הממשלה שאין להפעילן, היא לא הייתה רשאית, לטענתם, להחליט על מתן תמיכה שלא על</w:t>
      </w:r>
      <w:r w:rsidRPr="007D7E43">
        <w:rPr>
          <w:rFonts w:cs="FrankRuehl"/>
          <w:position w:val="3"/>
          <w:sz w:val="22"/>
          <w:szCs w:val="22"/>
          <w:rtl/>
        </w:rPr>
        <w:t>-</w:t>
      </w:r>
      <w:r w:rsidRPr="007D7E43">
        <w:rPr>
          <w:rFonts w:cs="FrankRuehl"/>
          <w:sz w:val="22"/>
          <w:szCs w:val="22"/>
          <w:rtl/>
        </w:rPr>
        <w:t>פי החוק, כפי שעשתה.</w:t>
      </w:r>
      <w:r>
        <w:rPr>
          <w:rFonts w:cs="FrankRuehl" w:hint="cs"/>
          <w:sz w:val="22"/>
          <w:szCs w:val="22"/>
          <w:rtl/>
        </w:rPr>
        <w:t xml:space="preserve">]  </w:t>
      </w:r>
    </w:p>
    <w:p w:rsidR="005366A8" w:rsidRPr="007D7E43" w:rsidRDefault="005366A8" w:rsidP="005366A8">
      <w:pPr>
        <w:pStyle w:val="T-body"/>
        <w:spacing w:after="120" w:line="240" w:lineRule="auto"/>
        <w:ind w:hanging="28"/>
        <w:rPr>
          <w:rFonts w:cs="FrankRuehl"/>
          <w:sz w:val="22"/>
          <w:szCs w:val="22"/>
          <w:rtl/>
        </w:rPr>
      </w:pPr>
      <w:r>
        <w:rPr>
          <w:rFonts w:cs="FrankRuehl" w:hint="cs"/>
          <w:sz w:val="22"/>
          <w:szCs w:val="22"/>
          <w:rtl/>
        </w:rPr>
        <w:t xml:space="preserve">העתירה נדחתה </w:t>
      </w:r>
      <w:r>
        <w:rPr>
          <w:rFonts w:cs="FrankRuehl"/>
          <w:sz w:val="22"/>
          <w:szCs w:val="22"/>
          <w:rtl/>
        </w:rPr>
        <w:t>–</w:t>
      </w:r>
      <w:r>
        <w:rPr>
          <w:rFonts w:cs="FrankRuehl" w:hint="cs"/>
          <w:sz w:val="22"/>
          <w:szCs w:val="22"/>
          <w:rtl/>
        </w:rPr>
        <w:t xml:space="preserve"> </w:t>
      </w:r>
      <w:r w:rsidRPr="00B361EF">
        <w:rPr>
          <w:rFonts w:cs="FrankRuehl" w:hint="cs"/>
          <w:b/>
          <w:bCs/>
          <w:sz w:val="22"/>
          <w:szCs w:val="22"/>
          <w:rtl/>
        </w:rPr>
        <w:t>מדוע?</w:t>
      </w:r>
    </w:p>
    <w:p w:rsidR="005366A8" w:rsidRPr="0002109C" w:rsidRDefault="005366A8" w:rsidP="005366A8">
      <w:pPr>
        <w:pStyle w:val="T-body"/>
        <w:spacing w:after="120" w:line="240" w:lineRule="auto"/>
        <w:ind w:hanging="28"/>
        <w:rPr>
          <w:sz w:val="22"/>
          <w:szCs w:val="22"/>
          <w:rtl/>
        </w:rPr>
      </w:pPr>
      <w:r>
        <w:rPr>
          <w:rFonts w:hint="cs"/>
          <w:sz w:val="22"/>
          <w:szCs w:val="22"/>
          <w:rtl/>
        </w:rPr>
        <w:t>=-=</w:t>
      </w:r>
    </w:p>
    <w:p w:rsidR="005366A8" w:rsidRDefault="005366A8" w:rsidP="005366A8">
      <w:pPr>
        <w:pStyle w:val="T-body"/>
        <w:spacing w:after="120" w:line="240" w:lineRule="auto"/>
        <w:ind w:hanging="28"/>
        <w:jc w:val="center"/>
        <w:rPr>
          <w:sz w:val="22"/>
          <w:szCs w:val="22"/>
          <w:rtl/>
        </w:rPr>
      </w:pPr>
      <w:r w:rsidRPr="005F2902">
        <w:rPr>
          <w:rFonts w:hint="cs"/>
          <w:highlight w:val="yellow"/>
          <w:rtl/>
        </w:rPr>
        <w:t xml:space="preserve">בג"צ 11163/03 </w:t>
      </w:r>
      <w:r w:rsidRPr="005F2902">
        <w:rPr>
          <w:rFonts w:hint="cs"/>
          <w:b/>
          <w:bCs/>
          <w:highlight w:val="yellow"/>
          <w:rtl/>
        </w:rPr>
        <w:t xml:space="preserve">ועדת המעקב העליונה נ' ראש ממשלת ישראל </w:t>
      </w:r>
      <w:r w:rsidRPr="005F2902">
        <w:rPr>
          <w:rFonts w:hint="cs"/>
          <w:highlight w:val="yellow"/>
          <w:rtl/>
        </w:rPr>
        <w:t>(2006)</w:t>
      </w:r>
    </w:p>
    <w:p w:rsidR="005366A8" w:rsidRDefault="005366A8" w:rsidP="005366A8">
      <w:pPr>
        <w:pStyle w:val="T-body"/>
        <w:spacing w:line="240" w:lineRule="auto"/>
        <w:ind w:hanging="28"/>
        <w:rPr>
          <w:sz w:val="20"/>
          <w:szCs w:val="20"/>
          <w:rtl/>
        </w:rPr>
      </w:pPr>
      <w:r w:rsidRPr="0093330A">
        <w:rPr>
          <w:sz w:val="20"/>
          <w:szCs w:val="20"/>
          <w:rtl/>
        </w:rPr>
        <w:t xml:space="preserve">[העתירה הופנה כנגד החלטת הממשלה לסווג אזורי עדיפות לאומית ובמסגרתם להעניק הטבות </w:t>
      </w:r>
      <w:r>
        <w:rPr>
          <w:rFonts w:hint="cs"/>
          <w:sz w:val="20"/>
          <w:szCs w:val="20"/>
          <w:rtl/>
        </w:rPr>
        <w:t xml:space="preserve">כלכליות משמעותיות </w:t>
      </w:r>
      <w:r w:rsidRPr="0093330A">
        <w:rPr>
          <w:sz w:val="20"/>
          <w:szCs w:val="20"/>
          <w:rtl/>
        </w:rPr>
        <w:t>בתחומים שונים, ובהם בתחום החינוך</w:t>
      </w:r>
      <w:r>
        <w:rPr>
          <w:rFonts w:hint="cs"/>
          <w:sz w:val="20"/>
          <w:szCs w:val="20"/>
          <w:rtl/>
        </w:rPr>
        <w:t>, לישובים ולתושביהם אם הם מצויים באיזורים אלה</w:t>
      </w:r>
      <w:r w:rsidRPr="0093330A">
        <w:rPr>
          <w:sz w:val="20"/>
          <w:szCs w:val="20"/>
          <w:rtl/>
        </w:rPr>
        <w:t xml:space="preserve">. </w:t>
      </w:r>
    </w:p>
    <w:p w:rsidR="005366A8" w:rsidRPr="0093330A" w:rsidRDefault="005366A8" w:rsidP="005366A8">
      <w:pPr>
        <w:pStyle w:val="T-body"/>
        <w:spacing w:line="240" w:lineRule="auto"/>
        <w:ind w:hanging="28"/>
        <w:rPr>
          <w:sz w:val="20"/>
          <w:szCs w:val="20"/>
          <w:rtl/>
        </w:rPr>
      </w:pPr>
      <w:r w:rsidRPr="0093330A">
        <w:rPr>
          <w:sz w:val="20"/>
          <w:szCs w:val="20"/>
          <w:rtl/>
        </w:rPr>
        <w:t xml:space="preserve">הדיון נסב, בין היתר, אודות שתי שאלות: </w:t>
      </w:r>
      <w:r w:rsidRPr="007729AC">
        <w:rPr>
          <w:b/>
          <w:bCs/>
          <w:sz w:val="20"/>
          <w:szCs w:val="20"/>
          <w:rtl/>
        </w:rPr>
        <w:t>האם מוסמכת הממשלה לקבוע הסדר של אזורי עדיפות לאומית, מכוח סעיף 32 לחוק-יסוד: הממשלה</w:t>
      </w:r>
      <w:r w:rsidRPr="0093330A">
        <w:rPr>
          <w:sz w:val="20"/>
          <w:szCs w:val="20"/>
          <w:rtl/>
        </w:rPr>
        <w:t xml:space="preserve">; </w:t>
      </w:r>
      <w:r>
        <w:rPr>
          <w:rFonts w:hint="cs"/>
          <w:sz w:val="20"/>
          <w:szCs w:val="20"/>
          <w:rtl/>
        </w:rPr>
        <w:t xml:space="preserve">וכן </w:t>
      </w:r>
      <w:r w:rsidRPr="007729AC">
        <w:rPr>
          <w:b/>
          <w:bCs/>
          <w:sz w:val="20"/>
          <w:szCs w:val="20"/>
          <w:rtl/>
        </w:rPr>
        <w:t>"האם דינה של החלטת ממשלה זו – בכל הנוגע להטבות בתחום החינוך – להתבטל בהיותה מפלה את תושביה הערבים של מדינת ישראל"</w:t>
      </w:r>
      <w:r>
        <w:rPr>
          <w:sz w:val="20"/>
          <w:szCs w:val="20"/>
          <w:rtl/>
        </w:rPr>
        <w:t>.</w:t>
      </w:r>
    </w:p>
    <w:p w:rsidR="005366A8" w:rsidRPr="0093330A" w:rsidRDefault="005366A8" w:rsidP="005366A8">
      <w:pPr>
        <w:pStyle w:val="T-body"/>
        <w:spacing w:after="120" w:line="240" w:lineRule="auto"/>
        <w:ind w:hanging="28"/>
        <w:rPr>
          <w:sz w:val="20"/>
          <w:szCs w:val="20"/>
          <w:rtl/>
        </w:rPr>
      </w:pPr>
      <w:r w:rsidRPr="0093330A">
        <w:rPr>
          <w:rFonts w:hint="cs"/>
          <w:sz w:val="20"/>
          <w:szCs w:val="20"/>
          <w:rtl/>
        </w:rPr>
        <w:t>פסק דינו של הנשיא ברק מתמקד בעיקר בשאלה השנייה, שאלת ההפליה, שלא תידון עתה</w:t>
      </w:r>
      <w:r>
        <w:rPr>
          <w:rFonts w:hint="cs"/>
          <w:sz w:val="20"/>
          <w:szCs w:val="20"/>
          <w:rtl/>
        </w:rPr>
        <w:t>.</w:t>
      </w:r>
      <w:r w:rsidRPr="0093330A">
        <w:rPr>
          <w:rFonts w:hint="cs"/>
          <w:sz w:val="20"/>
          <w:szCs w:val="20"/>
          <w:rtl/>
        </w:rPr>
        <w:t xml:space="preserve"> </w:t>
      </w:r>
      <w:r>
        <w:rPr>
          <w:rFonts w:hint="cs"/>
          <w:sz w:val="20"/>
          <w:szCs w:val="20"/>
          <w:rtl/>
        </w:rPr>
        <w:t xml:space="preserve"> </w:t>
      </w:r>
      <w:r w:rsidRPr="0093330A">
        <w:rPr>
          <w:rFonts w:hint="cs"/>
          <w:sz w:val="20"/>
          <w:szCs w:val="20"/>
          <w:rtl/>
        </w:rPr>
        <w:t xml:space="preserve">השופט חשין עוסק בשאלה הראשונה </w:t>
      </w:r>
      <w:r w:rsidRPr="0093330A">
        <w:rPr>
          <w:sz w:val="20"/>
          <w:szCs w:val="20"/>
          <w:rtl/>
        </w:rPr>
        <w:t>–</w:t>
      </w:r>
      <w:r w:rsidRPr="0093330A">
        <w:rPr>
          <w:rFonts w:hint="cs"/>
          <w:sz w:val="20"/>
          <w:szCs w:val="20"/>
          <w:rtl/>
        </w:rPr>
        <w:t xml:space="preserve"> שאלת סמכות הממשלה להסדיר את נושא אזורי עדיפות לאומית מכוח "סמכותה השיורית". הוא התמקד בעיקר </w:t>
      </w:r>
      <w:r w:rsidRPr="0093330A">
        <w:rPr>
          <w:rFonts w:hint="cs"/>
          <w:sz w:val="20"/>
          <w:szCs w:val="20"/>
          <w:highlight w:val="yellow"/>
          <w:rtl/>
        </w:rPr>
        <w:t>בממשק בין "כלל ההסדרים הראשוניים" לבין "הסמכות השיורית" של הממשלה</w:t>
      </w:r>
      <w:r w:rsidRPr="0093330A">
        <w:rPr>
          <w:rFonts w:hint="cs"/>
          <w:sz w:val="20"/>
          <w:szCs w:val="20"/>
          <w:rtl/>
        </w:rPr>
        <w:t>]</w:t>
      </w:r>
    </w:p>
    <w:p w:rsidR="005366A8" w:rsidRPr="007729AC" w:rsidRDefault="005366A8" w:rsidP="005366A8">
      <w:pPr>
        <w:pStyle w:val="T-body"/>
        <w:spacing w:after="120" w:line="240" w:lineRule="auto"/>
        <w:ind w:hanging="28"/>
        <w:rPr>
          <w:b/>
          <w:bCs/>
          <w:sz w:val="22"/>
          <w:szCs w:val="22"/>
          <w:rtl/>
        </w:rPr>
      </w:pPr>
      <w:r w:rsidRPr="007729AC">
        <w:rPr>
          <w:rFonts w:hint="cs"/>
          <w:b/>
          <w:bCs/>
          <w:sz w:val="22"/>
          <w:szCs w:val="22"/>
          <w:rtl/>
        </w:rPr>
        <w:t xml:space="preserve">פסק דינו של השופט חשין.  </w:t>
      </w:r>
    </w:p>
    <w:p w:rsidR="005366A8" w:rsidRPr="00F41CE4" w:rsidRDefault="005366A8" w:rsidP="005366A8">
      <w:pPr>
        <w:pStyle w:val="T-body"/>
        <w:spacing w:line="240" w:lineRule="auto"/>
        <w:ind w:hanging="28"/>
        <w:rPr>
          <w:rFonts w:cs="FrankRuehl"/>
          <w:sz w:val="22"/>
          <w:szCs w:val="22"/>
          <w:rtl/>
        </w:rPr>
      </w:pPr>
      <w:r w:rsidRPr="00F41CE4">
        <w:rPr>
          <w:rFonts w:cs="FrankRuehl" w:hint="cs"/>
          <w:sz w:val="22"/>
          <w:szCs w:val="22"/>
          <w:rtl/>
        </w:rPr>
        <w:t>19.</w:t>
      </w:r>
      <w:r w:rsidRPr="00F41CE4">
        <w:rPr>
          <w:rFonts w:cs="FrankRuehl" w:hint="cs"/>
          <w:sz w:val="22"/>
          <w:szCs w:val="22"/>
          <w:rtl/>
        </w:rPr>
        <w:tab/>
        <w:t xml:space="preserve">סמכותה השיורית של הממשלה כהוראת סעיף 32 לחוק-יסוד: הממשלה (תשס"א) לא ביקשה לשחרר עצמה מכבליהם של עיקרי היסוד. נהפוך הוא: בהעדר הוראת אחרת </w:t>
      </w:r>
      <w:r w:rsidRPr="00F41CE4">
        <w:rPr>
          <w:rFonts w:cs="FrankRuehl"/>
          <w:sz w:val="22"/>
          <w:szCs w:val="22"/>
          <w:rtl/>
        </w:rPr>
        <w:t>–</w:t>
      </w:r>
      <w:r w:rsidRPr="00F41CE4">
        <w:rPr>
          <w:rFonts w:cs="FrankRuehl" w:hint="cs"/>
          <w:sz w:val="22"/>
          <w:szCs w:val="22"/>
          <w:rtl/>
        </w:rPr>
        <w:t xml:space="preserve"> והוראת אחרת אין בנמצא </w:t>
      </w:r>
      <w:r w:rsidRPr="00F41CE4">
        <w:rPr>
          <w:rFonts w:cs="FrankRuehl"/>
          <w:sz w:val="22"/>
          <w:szCs w:val="22"/>
          <w:rtl/>
        </w:rPr>
        <w:t>–</w:t>
      </w:r>
      <w:r w:rsidRPr="00F41CE4">
        <w:rPr>
          <w:rFonts w:cs="FrankRuehl" w:hint="cs"/>
          <w:sz w:val="22"/>
          <w:szCs w:val="22"/>
          <w:rtl/>
        </w:rPr>
        <w:t xml:space="preserve"> נפרש את סמכותה השיורית של הממשלה כסמכות הנותנת עצמה בעול עיקרי היסוד של שיטת המשפט. הוראת סעיף 32 רואה עצמה כבולה בעיקרי היסוד של שיטת המשפט, ונוח לה בכך. יתר-על-כן: נועדה היא לשרת עיקרים אלה וייעודה מקובל עליה. כנדרש מכך, יימצאו מעשים ופעילויות שהממשלה לא תהא מוסמכת לעשותם אך בהיותם נוגדים את עקרונות היסוד של שיטת המשפט, בהם תפישות היסוד החוקתיות ששיטת המשפט שלנו מושתתת עליהן. וכפי שהורנו הנשיא שמגר בפרשת פדרמן (שם, 652):</w:t>
      </w:r>
    </w:p>
    <w:p w:rsidR="005366A8" w:rsidRPr="00F41CE4" w:rsidRDefault="005366A8" w:rsidP="005366A8">
      <w:pPr>
        <w:pStyle w:val="T-body"/>
        <w:spacing w:line="240" w:lineRule="auto"/>
        <w:ind w:left="748" w:hanging="28"/>
        <w:rPr>
          <w:rFonts w:cs="FrankRuehl"/>
          <w:sz w:val="22"/>
          <w:szCs w:val="22"/>
          <w:rtl/>
        </w:rPr>
      </w:pPr>
      <w:r w:rsidRPr="007729AC">
        <w:rPr>
          <w:rFonts w:cs="FrankRuehl" w:hint="cs"/>
          <w:sz w:val="22"/>
          <w:szCs w:val="22"/>
          <w:highlight w:val="yellow"/>
          <w:rtl/>
        </w:rPr>
        <w:t>יש פעולות שאינן בתחומה ובכוחה של הממשלה, מאחר והפעלתן ללא הסמכה חוקית נוגדת תפיסות יסוד נורמטיביות הנובעות מאופי המשטר שלנו.</w:t>
      </w:r>
      <w:r w:rsidRPr="00F41CE4">
        <w:rPr>
          <w:rFonts w:cs="FrankRuehl" w:hint="cs"/>
          <w:sz w:val="22"/>
          <w:szCs w:val="22"/>
          <w:rtl/>
        </w:rPr>
        <w:t xml:space="preserve"> </w:t>
      </w:r>
    </w:p>
    <w:p w:rsidR="005366A8" w:rsidRPr="00F41CE4" w:rsidRDefault="005366A8" w:rsidP="005366A8">
      <w:pPr>
        <w:pStyle w:val="T-body"/>
        <w:spacing w:after="120" w:line="240" w:lineRule="auto"/>
        <w:ind w:hanging="28"/>
        <w:rPr>
          <w:rFonts w:cs="FrankRuehl"/>
          <w:sz w:val="22"/>
          <w:szCs w:val="22"/>
          <w:rtl/>
        </w:rPr>
      </w:pPr>
      <w:r w:rsidRPr="00F41CE4">
        <w:rPr>
          <w:rFonts w:cs="FrankRuehl" w:hint="cs"/>
          <w:sz w:val="22"/>
          <w:szCs w:val="22"/>
          <w:rtl/>
        </w:rPr>
        <w:t>אכן, בבואה אלינו .. חזקה על הוראת סעיף 32 כי ביקשה לשלב עצמה בתפישות היסוד החוקתיות של ישראל, כי ראתה תפישות-יסוד אלו תשתית לקיומה וחלק מן הצופן הגנטי המקיים אותה במקומה.</w:t>
      </w:r>
    </w:p>
    <w:p w:rsidR="005366A8" w:rsidRPr="00F41CE4" w:rsidRDefault="005366A8" w:rsidP="005366A8">
      <w:pPr>
        <w:pStyle w:val="T-body"/>
        <w:spacing w:after="120" w:line="240" w:lineRule="auto"/>
        <w:ind w:hanging="28"/>
        <w:rPr>
          <w:rFonts w:cs="FrankRuehl"/>
          <w:sz w:val="22"/>
          <w:szCs w:val="22"/>
          <w:rtl/>
        </w:rPr>
      </w:pPr>
      <w:r w:rsidRPr="00F41CE4">
        <w:rPr>
          <w:rFonts w:cs="FrankRuehl" w:hint="cs"/>
          <w:sz w:val="22"/>
          <w:szCs w:val="22"/>
          <w:rtl/>
        </w:rPr>
        <w:t>20.</w:t>
      </w:r>
      <w:r w:rsidRPr="00F41CE4">
        <w:rPr>
          <w:rFonts w:cs="FrankRuehl" w:hint="cs"/>
          <w:sz w:val="22"/>
          <w:szCs w:val="22"/>
          <w:rtl/>
        </w:rPr>
        <w:tab/>
      </w:r>
      <w:r w:rsidRPr="007729AC">
        <w:rPr>
          <w:rFonts w:cs="FrankRuehl" w:hint="eastAsia"/>
          <w:sz w:val="22"/>
          <w:szCs w:val="22"/>
          <w:highlight w:val="yellow"/>
          <w:rtl/>
        </w:rPr>
        <w:t>בהקשר</w:t>
      </w:r>
      <w:r w:rsidRPr="007729AC">
        <w:rPr>
          <w:rFonts w:cs="FrankRuehl"/>
          <w:sz w:val="22"/>
          <w:szCs w:val="22"/>
          <w:highlight w:val="yellow"/>
          <w:rtl/>
        </w:rPr>
        <w:t xml:space="preserve"> </w:t>
      </w:r>
      <w:r w:rsidRPr="007729AC">
        <w:rPr>
          <w:rFonts w:cs="FrankRuehl" w:hint="eastAsia"/>
          <w:sz w:val="22"/>
          <w:szCs w:val="22"/>
          <w:highlight w:val="yellow"/>
          <w:rtl/>
        </w:rPr>
        <w:t>ענייננו</w:t>
      </w:r>
      <w:r w:rsidRPr="007729AC">
        <w:rPr>
          <w:rFonts w:cs="FrankRuehl"/>
          <w:sz w:val="22"/>
          <w:szCs w:val="22"/>
          <w:highlight w:val="yellow"/>
          <w:rtl/>
        </w:rPr>
        <w:t xml:space="preserve"> </w:t>
      </w:r>
      <w:r w:rsidRPr="007729AC">
        <w:rPr>
          <w:rFonts w:cs="FrankRuehl" w:hint="eastAsia"/>
          <w:sz w:val="22"/>
          <w:szCs w:val="22"/>
          <w:highlight w:val="yellow"/>
          <w:rtl/>
        </w:rPr>
        <w:t>עתה</w:t>
      </w:r>
      <w:r w:rsidRPr="007729AC">
        <w:rPr>
          <w:rFonts w:cs="FrankRuehl"/>
          <w:sz w:val="22"/>
          <w:szCs w:val="22"/>
          <w:highlight w:val="yellow"/>
          <w:rtl/>
        </w:rPr>
        <w:t xml:space="preserve"> </w:t>
      </w:r>
      <w:r w:rsidRPr="007729AC">
        <w:rPr>
          <w:rFonts w:cs="FrankRuehl" w:hint="eastAsia"/>
          <w:sz w:val="22"/>
          <w:szCs w:val="22"/>
          <w:highlight w:val="yellow"/>
          <w:rtl/>
        </w:rPr>
        <w:t>נפסק</w:t>
      </w:r>
      <w:r w:rsidRPr="007729AC">
        <w:rPr>
          <w:rFonts w:cs="FrankRuehl"/>
          <w:sz w:val="22"/>
          <w:szCs w:val="22"/>
          <w:highlight w:val="yellow"/>
          <w:rtl/>
        </w:rPr>
        <w:t xml:space="preserve"> – </w:t>
      </w:r>
      <w:r w:rsidRPr="007729AC">
        <w:rPr>
          <w:rFonts w:cs="FrankRuehl" w:hint="eastAsia"/>
          <w:sz w:val="22"/>
          <w:szCs w:val="22"/>
          <w:highlight w:val="yellow"/>
          <w:rtl/>
        </w:rPr>
        <w:t>והלכה</w:t>
      </w:r>
      <w:r w:rsidRPr="007729AC">
        <w:rPr>
          <w:rFonts w:cs="FrankRuehl"/>
          <w:sz w:val="22"/>
          <w:szCs w:val="22"/>
          <w:highlight w:val="yellow"/>
          <w:rtl/>
        </w:rPr>
        <w:t xml:space="preserve"> </w:t>
      </w:r>
      <w:r w:rsidRPr="007729AC">
        <w:rPr>
          <w:rFonts w:cs="FrankRuehl" w:hint="eastAsia"/>
          <w:sz w:val="22"/>
          <w:szCs w:val="22"/>
          <w:highlight w:val="yellow"/>
          <w:rtl/>
        </w:rPr>
        <w:t>זו</w:t>
      </w:r>
      <w:r w:rsidRPr="007729AC">
        <w:rPr>
          <w:rFonts w:cs="FrankRuehl"/>
          <w:sz w:val="22"/>
          <w:szCs w:val="22"/>
          <w:highlight w:val="yellow"/>
          <w:rtl/>
        </w:rPr>
        <w:t xml:space="preserve"> </w:t>
      </w:r>
      <w:r w:rsidRPr="007729AC">
        <w:rPr>
          <w:rFonts w:cs="FrankRuehl" w:hint="eastAsia"/>
          <w:sz w:val="22"/>
          <w:szCs w:val="22"/>
          <w:highlight w:val="yellow"/>
          <w:rtl/>
        </w:rPr>
        <w:t>מקובלת</w:t>
      </w:r>
      <w:r w:rsidRPr="007729AC">
        <w:rPr>
          <w:rFonts w:cs="FrankRuehl"/>
          <w:sz w:val="22"/>
          <w:szCs w:val="22"/>
          <w:highlight w:val="yellow"/>
          <w:rtl/>
        </w:rPr>
        <w:t xml:space="preserve"> </w:t>
      </w:r>
      <w:r w:rsidRPr="007729AC">
        <w:rPr>
          <w:rFonts w:cs="FrankRuehl" w:hint="eastAsia"/>
          <w:sz w:val="22"/>
          <w:szCs w:val="22"/>
          <w:highlight w:val="yellow"/>
          <w:rtl/>
        </w:rPr>
        <w:t>על</w:t>
      </w:r>
      <w:r w:rsidRPr="007729AC">
        <w:rPr>
          <w:rFonts w:cs="FrankRuehl"/>
          <w:sz w:val="22"/>
          <w:szCs w:val="22"/>
          <w:highlight w:val="yellow"/>
          <w:rtl/>
        </w:rPr>
        <w:t xml:space="preserve"> </w:t>
      </w:r>
      <w:r w:rsidRPr="007729AC">
        <w:rPr>
          <w:rFonts w:cs="FrankRuehl" w:hint="eastAsia"/>
          <w:sz w:val="22"/>
          <w:szCs w:val="22"/>
          <w:highlight w:val="yellow"/>
          <w:rtl/>
        </w:rPr>
        <w:t>הכל</w:t>
      </w:r>
      <w:r w:rsidRPr="007729AC">
        <w:rPr>
          <w:rFonts w:cs="FrankRuehl"/>
          <w:sz w:val="22"/>
          <w:szCs w:val="22"/>
          <w:highlight w:val="yellow"/>
          <w:rtl/>
        </w:rPr>
        <w:t xml:space="preserve"> – </w:t>
      </w:r>
      <w:r w:rsidRPr="007729AC">
        <w:rPr>
          <w:rFonts w:cs="FrankRuehl" w:hint="eastAsia"/>
          <w:sz w:val="22"/>
          <w:szCs w:val="22"/>
          <w:highlight w:val="yellow"/>
          <w:rtl/>
        </w:rPr>
        <w:t>כי</w:t>
      </w:r>
      <w:r w:rsidRPr="007729AC">
        <w:rPr>
          <w:rFonts w:cs="FrankRuehl"/>
          <w:sz w:val="22"/>
          <w:szCs w:val="22"/>
          <w:highlight w:val="yellow"/>
          <w:rtl/>
        </w:rPr>
        <w:t xml:space="preserve"> </w:t>
      </w:r>
      <w:r w:rsidRPr="007729AC">
        <w:rPr>
          <w:rFonts w:cs="FrankRuehl" w:hint="eastAsia"/>
          <w:sz w:val="22"/>
          <w:szCs w:val="22"/>
          <w:highlight w:val="yellow"/>
          <w:rtl/>
        </w:rPr>
        <w:t>מכוח</w:t>
      </w:r>
      <w:r w:rsidRPr="007729AC">
        <w:rPr>
          <w:rFonts w:cs="FrankRuehl"/>
          <w:sz w:val="22"/>
          <w:szCs w:val="22"/>
          <w:highlight w:val="yellow"/>
          <w:rtl/>
        </w:rPr>
        <w:t xml:space="preserve"> </w:t>
      </w:r>
      <w:r w:rsidRPr="007729AC">
        <w:rPr>
          <w:rFonts w:cs="FrankRuehl" w:hint="eastAsia"/>
          <w:sz w:val="22"/>
          <w:szCs w:val="22"/>
          <w:highlight w:val="yellow"/>
          <w:rtl/>
        </w:rPr>
        <w:t>סמכותה</w:t>
      </w:r>
      <w:r w:rsidRPr="007729AC">
        <w:rPr>
          <w:rFonts w:cs="FrankRuehl"/>
          <w:sz w:val="22"/>
          <w:szCs w:val="22"/>
          <w:highlight w:val="yellow"/>
          <w:rtl/>
        </w:rPr>
        <w:t xml:space="preserve"> </w:t>
      </w:r>
      <w:r w:rsidRPr="007729AC">
        <w:rPr>
          <w:rFonts w:cs="FrankRuehl" w:hint="eastAsia"/>
          <w:sz w:val="22"/>
          <w:szCs w:val="22"/>
          <w:highlight w:val="yellow"/>
          <w:rtl/>
        </w:rPr>
        <w:t>השיורית</w:t>
      </w:r>
      <w:r w:rsidRPr="007729AC">
        <w:rPr>
          <w:rFonts w:cs="FrankRuehl"/>
          <w:sz w:val="22"/>
          <w:szCs w:val="22"/>
          <w:highlight w:val="yellow"/>
          <w:rtl/>
        </w:rPr>
        <w:t xml:space="preserve"> </w:t>
      </w:r>
      <w:r w:rsidRPr="007729AC">
        <w:rPr>
          <w:rFonts w:cs="FrankRuehl" w:hint="eastAsia"/>
          <w:sz w:val="22"/>
          <w:szCs w:val="22"/>
          <w:highlight w:val="yellow"/>
          <w:rtl/>
        </w:rPr>
        <w:t>כהוראת</w:t>
      </w:r>
      <w:r w:rsidRPr="007729AC">
        <w:rPr>
          <w:rFonts w:cs="FrankRuehl"/>
          <w:sz w:val="22"/>
          <w:szCs w:val="22"/>
          <w:highlight w:val="yellow"/>
          <w:rtl/>
        </w:rPr>
        <w:t xml:space="preserve"> </w:t>
      </w:r>
      <w:r w:rsidRPr="007729AC">
        <w:rPr>
          <w:rFonts w:cs="FrankRuehl" w:hint="eastAsia"/>
          <w:sz w:val="22"/>
          <w:szCs w:val="22"/>
          <w:highlight w:val="yellow"/>
          <w:rtl/>
        </w:rPr>
        <w:t>סעיף</w:t>
      </w:r>
      <w:r w:rsidRPr="007729AC">
        <w:rPr>
          <w:rFonts w:cs="FrankRuehl"/>
          <w:sz w:val="22"/>
          <w:szCs w:val="22"/>
          <w:highlight w:val="yellow"/>
          <w:rtl/>
        </w:rPr>
        <w:t xml:space="preserve"> 32, </w:t>
      </w:r>
      <w:r w:rsidRPr="007729AC">
        <w:rPr>
          <w:rFonts w:cs="FrankRuehl" w:hint="eastAsia"/>
          <w:sz w:val="22"/>
          <w:szCs w:val="22"/>
          <w:highlight w:val="yellow"/>
          <w:rtl/>
        </w:rPr>
        <w:t>אין</w:t>
      </w:r>
      <w:r w:rsidRPr="007729AC">
        <w:rPr>
          <w:rFonts w:cs="FrankRuehl"/>
          <w:sz w:val="22"/>
          <w:szCs w:val="22"/>
          <w:highlight w:val="yellow"/>
          <w:rtl/>
        </w:rPr>
        <w:t xml:space="preserve"> </w:t>
      </w:r>
      <w:r w:rsidRPr="007729AC">
        <w:rPr>
          <w:rFonts w:cs="FrankRuehl" w:hint="eastAsia"/>
          <w:sz w:val="22"/>
          <w:szCs w:val="22"/>
          <w:highlight w:val="yellow"/>
          <w:rtl/>
        </w:rPr>
        <w:t>הממשלה</w:t>
      </w:r>
      <w:r w:rsidRPr="007729AC">
        <w:rPr>
          <w:rFonts w:cs="FrankRuehl"/>
          <w:sz w:val="22"/>
          <w:szCs w:val="22"/>
          <w:highlight w:val="yellow"/>
          <w:rtl/>
        </w:rPr>
        <w:t xml:space="preserve"> </w:t>
      </w:r>
      <w:r w:rsidRPr="007729AC">
        <w:rPr>
          <w:rFonts w:cs="FrankRuehl" w:hint="eastAsia"/>
          <w:sz w:val="22"/>
          <w:szCs w:val="22"/>
          <w:highlight w:val="yellow"/>
          <w:rtl/>
        </w:rPr>
        <w:t>מוסמכת</w:t>
      </w:r>
      <w:r w:rsidRPr="007729AC">
        <w:rPr>
          <w:rFonts w:cs="FrankRuehl"/>
          <w:sz w:val="22"/>
          <w:szCs w:val="22"/>
          <w:highlight w:val="yellow"/>
          <w:rtl/>
        </w:rPr>
        <w:t xml:space="preserve"> </w:t>
      </w:r>
      <w:r w:rsidRPr="007729AC">
        <w:rPr>
          <w:rFonts w:cs="FrankRuehl" w:hint="eastAsia"/>
          <w:sz w:val="22"/>
          <w:szCs w:val="22"/>
          <w:highlight w:val="yellow"/>
          <w:rtl/>
        </w:rPr>
        <w:t>לפגוע</w:t>
      </w:r>
      <w:r w:rsidRPr="007729AC">
        <w:rPr>
          <w:rFonts w:cs="FrankRuehl"/>
          <w:sz w:val="22"/>
          <w:szCs w:val="22"/>
          <w:highlight w:val="yellow"/>
          <w:rtl/>
        </w:rPr>
        <w:t xml:space="preserve"> </w:t>
      </w:r>
      <w:r w:rsidRPr="007729AC">
        <w:rPr>
          <w:rFonts w:cs="FrankRuehl" w:hint="eastAsia"/>
          <w:sz w:val="22"/>
          <w:szCs w:val="22"/>
          <w:highlight w:val="yellow"/>
          <w:rtl/>
        </w:rPr>
        <w:t>בזכויות</w:t>
      </w:r>
      <w:r w:rsidRPr="007729AC">
        <w:rPr>
          <w:rFonts w:cs="FrankRuehl"/>
          <w:sz w:val="22"/>
          <w:szCs w:val="22"/>
          <w:highlight w:val="yellow"/>
          <w:rtl/>
        </w:rPr>
        <w:t xml:space="preserve"> </w:t>
      </w:r>
      <w:r w:rsidRPr="007729AC">
        <w:rPr>
          <w:rFonts w:cs="FrankRuehl" w:hint="eastAsia"/>
          <w:sz w:val="22"/>
          <w:szCs w:val="22"/>
          <w:highlight w:val="yellow"/>
          <w:rtl/>
        </w:rPr>
        <w:t>היסוד</w:t>
      </w:r>
      <w:r w:rsidRPr="007729AC">
        <w:rPr>
          <w:rFonts w:cs="FrankRuehl"/>
          <w:sz w:val="22"/>
          <w:szCs w:val="22"/>
          <w:highlight w:val="yellow"/>
          <w:rtl/>
        </w:rPr>
        <w:t xml:space="preserve"> </w:t>
      </w:r>
      <w:r w:rsidRPr="007729AC">
        <w:rPr>
          <w:rFonts w:cs="FrankRuehl" w:hint="eastAsia"/>
          <w:sz w:val="22"/>
          <w:szCs w:val="22"/>
          <w:highlight w:val="yellow"/>
          <w:rtl/>
        </w:rPr>
        <w:t>של</w:t>
      </w:r>
      <w:r w:rsidRPr="007729AC">
        <w:rPr>
          <w:rFonts w:cs="FrankRuehl"/>
          <w:sz w:val="22"/>
          <w:szCs w:val="22"/>
          <w:highlight w:val="yellow"/>
          <w:rtl/>
        </w:rPr>
        <w:t xml:space="preserve"> </w:t>
      </w:r>
      <w:r w:rsidRPr="007729AC">
        <w:rPr>
          <w:rFonts w:cs="FrankRuehl" w:hint="eastAsia"/>
          <w:sz w:val="22"/>
          <w:szCs w:val="22"/>
          <w:highlight w:val="yellow"/>
          <w:rtl/>
        </w:rPr>
        <w:t>היחיד</w:t>
      </w:r>
      <w:r w:rsidRPr="007729AC">
        <w:rPr>
          <w:rFonts w:cs="FrankRuehl"/>
          <w:sz w:val="22"/>
          <w:szCs w:val="22"/>
          <w:highlight w:val="yellow"/>
          <w:rtl/>
        </w:rPr>
        <w:t xml:space="preserve">. </w:t>
      </w:r>
      <w:r w:rsidRPr="007729AC">
        <w:rPr>
          <w:rFonts w:cs="FrankRuehl" w:hint="eastAsia"/>
          <w:sz w:val="22"/>
          <w:szCs w:val="22"/>
          <w:highlight w:val="yellow"/>
          <w:rtl/>
        </w:rPr>
        <w:t>זכויות</w:t>
      </w:r>
      <w:r w:rsidRPr="007729AC">
        <w:rPr>
          <w:rFonts w:cs="FrankRuehl"/>
          <w:sz w:val="22"/>
          <w:szCs w:val="22"/>
          <w:highlight w:val="yellow"/>
          <w:rtl/>
        </w:rPr>
        <w:t xml:space="preserve"> </w:t>
      </w:r>
      <w:r w:rsidRPr="007729AC">
        <w:rPr>
          <w:rFonts w:cs="FrankRuehl" w:hint="eastAsia"/>
          <w:sz w:val="22"/>
          <w:szCs w:val="22"/>
          <w:highlight w:val="yellow"/>
          <w:rtl/>
        </w:rPr>
        <w:t>אלו</w:t>
      </w:r>
      <w:r w:rsidRPr="007729AC">
        <w:rPr>
          <w:rFonts w:cs="FrankRuehl"/>
          <w:sz w:val="22"/>
          <w:szCs w:val="22"/>
          <w:highlight w:val="yellow"/>
          <w:rtl/>
        </w:rPr>
        <w:t xml:space="preserve"> </w:t>
      </w:r>
      <w:r w:rsidRPr="007729AC">
        <w:rPr>
          <w:rFonts w:cs="FrankRuehl" w:hint="eastAsia"/>
          <w:sz w:val="22"/>
          <w:szCs w:val="22"/>
          <w:highlight w:val="yellow"/>
          <w:rtl/>
        </w:rPr>
        <w:t>מהוות</w:t>
      </w:r>
      <w:r w:rsidRPr="007729AC">
        <w:rPr>
          <w:rFonts w:cs="FrankRuehl"/>
          <w:sz w:val="22"/>
          <w:szCs w:val="22"/>
          <w:highlight w:val="yellow"/>
          <w:rtl/>
        </w:rPr>
        <w:t xml:space="preserve"> </w:t>
      </w:r>
      <w:r w:rsidRPr="007729AC">
        <w:rPr>
          <w:rFonts w:cs="FrankRuehl" w:hint="eastAsia"/>
          <w:sz w:val="22"/>
          <w:szCs w:val="22"/>
          <w:highlight w:val="yellow"/>
          <w:rtl/>
        </w:rPr>
        <w:t>חלק</w:t>
      </w:r>
      <w:r w:rsidRPr="007729AC">
        <w:rPr>
          <w:rFonts w:cs="FrankRuehl"/>
          <w:sz w:val="22"/>
          <w:szCs w:val="22"/>
          <w:highlight w:val="yellow"/>
          <w:rtl/>
        </w:rPr>
        <w:t xml:space="preserve"> </w:t>
      </w:r>
      <w:r w:rsidRPr="007729AC">
        <w:rPr>
          <w:rFonts w:cs="FrankRuehl" w:hint="eastAsia"/>
          <w:sz w:val="22"/>
          <w:szCs w:val="22"/>
          <w:highlight w:val="yellow"/>
          <w:rtl/>
        </w:rPr>
        <w:t>אינטגרלי</w:t>
      </w:r>
      <w:r w:rsidRPr="007729AC">
        <w:rPr>
          <w:rFonts w:cs="FrankRuehl"/>
          <w:sz w:val="22"/>
          <w:szCs w:val="22"/>
          <w:highlight w:val="yellow"/>
          <w:rtl/>
        </w:rPr>
        <w:t xml:space="preserve"> </w:t>
      </w:r>
      <w:r w:rsidRPr="007729AC">
        <w:rPr>
          <w:rFonts w:cs="FrankRuehl" w:hint="eastAsia"/>
          <w:sz w:val="22"/>
          <w:szCs w:val="22"/>
          <w:highlight w:val="yellow"/>
          <w:rtl/>
        </w:rPr>
        <w:t>במשפט</w:t>
      </w:r>
      <w:r w:rsidRPr="007729AC">
        <w:rPr>
          <w:rFonts w:cs="FrankRuehl"/>
          <w:sz w:val="22"/>
          <w:szCs w:val="22"/>
          <w:highlight w:val="yellow"/>
          <w:rtl/>
        </w:rPr>
        <w:t xml:space="preserve"> </w:t>
      </w:r>
      <w:r w:rsidRPr="007729AC">
        <w:rPr>
          <w:rFonts w:cs="FrankRuehl" w:hint="eastAsia"/>
          <w:sz w:val="22"/>
          <w:szCs w:val="22"/>
          <w:highlight w:val="yellow"/>
          <w:rtl/>
        </w:rPr>
        <w:t>ופגיעה</w:t>
      </w:r>
      <w:r w:rsidRPr="007729AC">
        <w:rPr>
          <w:rFonts w:cs="FrankRuehl"/>
          <w:sz w:val="22"/>
          <w:szCs w:val="22"/>
          <w:highlight w:val="yellow"/>
          <w:rtl/>
        </w:rPr>
        <w:t xml:space="preserve"> </w:t>
      </w:r>
      <w:r w:rsidRPr="007729AC">
        <w:rPr>
          <w:rFonts w:cs="FrankRuehl" w:hint="eastAsia"/>
          <w:sz w:val="22"/>
          <w:szCs w:val="22"/>
          <w:highlight w:val="yellow"/>
          <w:rtl/>
        </w:rPr>
        <w:t>בהן</w:t>
      </w:r>
      <w:r w:rsidRPr="007729AC">
        <w:rPr>
          <w:rFonts w:cs="FrankRuehl"/>
          <w:sz w:val="22"/>
          <w:szCs w:val="22"/>
          <w:highlight w:val="yellow"/>
          <w:rtl/>
        </w:rPr>
        <w:t xml:space="preserve"> </w:t>
      </w:r>
      <w:r w:rsidRPr="007729AC">
        <w:rPr>
          <w:rFonts w:cs="FrankRuehl" w:hint="eastAsia"/>
          <w:sz w:val="22"/>
          <w:szCs w:val="22"/>
          <w:highlight w:val="yellow"/>
          <w:rtl/>
        </w:rPr>
        <w:t>יכול</w:t>
      </w:r>
      <w:r w:rsidRPr="007729AC">
        <w:rPr>
          <w:rFonts w:cs="FrankRuehl"/>
          <w:sz w:val="22"/>
          <w:szCs w:val="22"/>
          <w:highlight w:val="yellow"/>
          <w:rtl/>
        </w:rPr>
        <w:t xml:space="preserve"> </w:t>
      </w:r>
      <w:r w:rsidRPr="007729AC">
        <w:rPr>
          <w:rFonts w:cs="FrankRuehl" w:hint="eastAsia"/>
          <w:sz w:val="22"/>
          <w:szCs w:val="22"/>
          <w:highlight w:val="yellow"/>
          <w:rtl/>
        </w:rPr>
        <w:t>שתיעשה</w:t>
      </w:r>
      <w:r w:rsidRPr="007729AC">
        <w:rPr>
          <w:rFonts w:cs="FrankRuehl"/>
          <w:sz w:val="22"/>
          <w:szCs w:val="22"/>
          <w:highlight w:val="yellow"/>
          <w:rtl/>
        </w:rPr>
        <w:t xml:space="preserve"> </w:t>
      </w:r>
      <w:r w:rsidRPr="007729AC">
        <w:rPr>
          <w:rFonts w:cs="FrankRuehl" w:hint="eastAsia"/>
          <w:sz w:val="22"/>
          <w:szCs w:val="22"/>
          <w:highlight w:val="yellow"/>
          <w:rtl/>
        </w:rPr>
        <w:t>רק</w:t>
      </w:r>
      <w:r w:rsidRPr="007729AC">
        <w:rPr>
          <w:rFonts w:cs="FrankRuehl"/>
          <w:sz w:val="22"/>
          <w:szCs w:val="22"/>
          <w:highlight w:val="yellow"/>
          <w:rtl/>
        </w:rPr>
        <w:t xml:space="preserve"> </w:t>
      </w:r>
      <w:r w:rsidRPr="007729AC">
        <w:rPr>
          <w:rFonts w:cs="FrankRuehl" w:hint="eastAsia"/>
          <w:sz w:val="22"/>
          <w:szCs w:val="22"/>
          <w:highlight w:val="yellow"/>
          <w:rtl/>
        </w:rPr>
        <w:t>בחוק</w:t>
      </w:r>
      <w:r w:rsidRPr="007729AC">
        <w:rPr>
          <w:rFonts w:cs="FrankRuehl"/>
          <w:sz w:val="22"/>
          <w:szCs w:val="22"/>
          <w:highlight w:val="yellow"/>
          <w:rtl/>
        </w:rPr>
        <w:t xml:space="preserve"> </w:t>
      </w:r>
      <w:r w:rsidRPr="007729AC">
        <w:rPr>
          <w:rFonts w:cs="FrankRuehl" w:hint="eastAsia"/>
          <w:sz w:val="22"/>
          <w:szCs w:val="22"/>
          <w:highlight w:val="yellow"/>
          <w:rtl/>
        </w:rPr>
        <w:t>הכנסת</w:t>
      </w:r>
      <w:r w:rsidRPr="007729AC">
        <w:rPr>
          <w:rFonts w:cs="FrankRuehl"/>
          <w:sz w:val="22"/>
          <w:szCs w:val="22"/>
          <w:highlight w:val="yellow"/>
          <w:rtl/>
        </w:rPr>
        <w:t xml:space="preserve"> </w:t>
      </w:r>
      <w:r w:rsidRPr="007729AC">
        <w:rPr>
          <w:rFonts w:cs="FrankRuehl" w:hint="eastAsia"/>
          <w:sz w:val="22"/>
          <w:szCs w:val="22"/>
          <w:highlight w:val="yellow"/>
          <w:rtl/>
        </w:rPr>
        <w:t>לבדו</w:t>
      </w:r>
      <w:r w:rsidRPr="00F41CE4">
        <w:rPr>
          <w:rFonts w:cs="FrankRuehl"/>
          <w:sz w:val="22"/>
          <w:szCs w:val="22"/>
          <w:rtl/>
        </w:rPr>
        <w:t xml:space="preserve">. </w:t>
      </w:r>
      <w:r w:rsidRPr="00F41CE4">
        <w:rPr>
          <w:rFonts w:cs="FrankRuehl" w:hint="eastAsia"/>
          <w:sz w:val="22"/>
          <w:szCs w:val="22"/>
          <w:rtl/>
        </w:rPr>
        <w:t>כל</w:t>
      </w:r>
      <w:r w:rsidRPr="00F41CE4">
        <w:rPr>
          <w:rFonts w:cs="FrankRuehl"/>
          <w:sz w:val="22"/>
          <w:szCs w:val="22"/>
          <w:rtl/>
        </w:rPr>
        <w:t xml:space="preserve"> </w:t>
      </w:r>
      <w:r w:rsidRPr="00F41CE4">
        <w:rPr>
          <w:rFonts w:cs="FrankRuehl" w:hint="eastAsia"/>
          <w:sz w:val="22"/>
          <w:szCs w:val="22"/>
          <w:rtl/>
        </w:rPr>
        <w:t>זכות</w:t>
      </w:r>
      <w:r w:rsidRPr="00F41CE4">
        <w:rPr>
          <w:rFonts w:cs="FrankRuehl"/>
          <w:sz w:val="22"/>
          <w:szCs w:val="22"/>
          <w:rtl/>
        </w:rPr>
        <w:t xml:space="preserve"> </w:t>
      </w:r>
      <w:r w:rsidRPr="00F41CE4">
        <w:rPr>
          <w:rFonts w:cs="FrankRuehl" w:hint="eastAsia"/>
          <w:sz w:val="22"/>
          <w:szCs w:val="22"/>
          <w:rtl/>
        </w:rPr>
        <w:t>מזכויות</w:t>
      </w:r>
      <w:r w:rsidRPr="00F41CE4">
        <w:rPr>
          <w:rFonts w:cs="FrankRuehl"/>
          <w:sz w:val="22"/>
          <w:szCs w:val="22"/>
          <w:rtl/>
        </w:rPr>
        <w:t xml:space="preserve"> </w:t>
      </w:r>
      <w:r w:rsidRPr="00F41CE4">
        <w:rPr>
          <w:rFonts w:cs="FrankRuehl" w:hint="eastAsia"/>
          <w:sz w:val="22"/>
          <w:szCs w:val="22"/>
          <w:rtl/>
        </w:rPr>
        <w:t>היסוד</w:t>
      </w:r>
      <w:r w:rsidRPr="00F41CE4">
        <w:rPr>
          <w:rFonts w:cs="FrankRuehl"/>
          <w:sz w:val="22"/>
          <w:szCs w:val="22"/>
          <w:rtl/>
        </w:rPr>
        <w:t xml:space="preserve"> </w:t>
      </w:r>
      <w:r w:rsidRPr="00F41CE4">
        <w:rPr>
          <w:rFonts w:cs="FrankRuehl" w:hint="cs"/>
          <w:sz w:val="22"/>
          <w:szCs w:val="22"/>
          <w:rtl/>
        </w:rPr>
        <w:t>'</w:t>
      </w:r>
      <w:r w:rsidRPr="00F41CE4">
        <w:rPr>
          <w:rFonts w:cs="FrankRuehl" w:hint="eastAsia"/>
          <w:sz w:val="22"/>
          <w:szCs w:val="22"/>
          <w:rtl/>
        </w:rPr>
        <w:t>את</w:t>
      </w:r>
      <w:r w:rsidRPr="00F41CE4">
        <w:rPr>
          <w:rFonts w:cs="FrankRuehl"/>
          <w:sz w:val="22"/>
          <w:szCs w:val="22"/>
          <w:rtl/>
        </w:rPr>
        <w:t xml:space="preserve"> </w:t>
      </w:r>
      <w:r w:rsidRPr="00F41CE4">
        <w:rPr>
          <w:rFonts w:cs="FrankRuehl" w:hint="eastAsia"/>
          <w:sz w:val="22"/>
          <w:szCs w:val="22"/>
          <w:rtl/>
        </w:rPr>
        <w:t>חוקים</w:t>
      </w:r>
      <w:r w:rsidRPr="00F41CE4">
        <w:rPr>
          <w:rFonts w:cs="FrankRuehl"/>
          <w:sz w:val="22"/>
          <w:szCs w:val="22"/>
          <w:rtl/>
        </w:rPr>
        <w:t xml:space="preserve"> </w:t>
      </w:r>
      <w:r w:rsidRPr="00F41CE4">
        <w:rPr>
          <w:rFonts w:cs="FrankRuehl" w:hint="eastAsia"/>
          <w:sz w:val="22"/>
          <w:szCs w:val="22"/>
          <w:rtl/>
        </w:rPr>
        <w:t>תתהלך</w:t>
      </w:r>
      <w:r w:rsidRPr="00F41CE4">
        <w:rPr>
          <w:rFonts w:cs="FrankRuehl" w:hint="cs"/>
          <w:sz w:val="22"/>
          <w:szCs w:val="22"/>
          <w:rtl/>
        </w:rPr>
        <w:t>'</w:t>
      </w:r>
      <w:r w:rsidRPr="00F41CE4">
        <w:rPr>
          <w:rFonts w:cs="FrankRuehl"/>
          <w:sz w:val="22"/>
          <w:szCs w:val="22"/>
          <w:rtl/>
        </w:rPr>
        <w:t xml:space="preserve"> </w:t>
      </w:r>
      <w:r w:rsidRPr="00F41CE4">
        <w:rPr>
          <w:rFonts w:cs="FrankRuehl" w:hint="cs"/>
          <w:sz w:val="22"/>
          <w:szCs w:val="22"/>
          <w:rtl/>
        </w:rPr>
        <w:t>...</w:t>
      </w:r>
      <w:r w:rsidRPr="00F41CE4">
        <w:rPr>
          <w:rFonts w:cs="FrankRuehl"/>
          <w:sz w:val="22"/>
          <w:szCs w:val="22"/>
          <w:rtl/>
        </w:rPr>
        <w:t xml:space="preserve">; </w:t>
      </w:r>
      <w:r w:rsidRPr="00F41CE4">
        <w:rPr>
          <w:rFonts w:cs="FrankRuehl" w:hint="cs"/>
          <w:sz w:val="22"/>
          <w:szCs w:val="22"/>
          <w:rtl/>
        </w:rPr>
        <w:t>'</w:t>
      </w:r>
      <w:r w:rsidRPr="00F41CE4">
        <w:rPr>
          <w:rFonts w:cs="FrankRuehl" w:hint="eastAsia"/>
          <w:sz w:val="22"/>
          <w:szCs w:val="22"/>
          <w:rtl/>
        </w:rPr>
        <w:t>עוצמתה</w:t>
      </w:r>
      <w:r w:rsidRPr="00F41CE4">
        <w:rPr>
          <w:rFonts w:cs="FrankRuehl"/>
          <w:sz w:val="22"/>
          <w:szCs w:val="22"/>
          <w:rtl/>
        </w:rPr>
        <w:t xml:space="preserve"> </w:t>
      </w:r>
      <w:r w:rsidRPr="00F41CE4">
        <w:rPr>
          <w:rFonts w:cs="FrankRuehl" w:hint="eastAsia"/>
          <w:sz w:val="22"/>
          <w:szCs w:val="22"/>
          <w:rtl/>
        </w:rPr>
        <w:t>ורמתה</w:t>
      </w:r>
      <w:r w:rsidRPr="00F41CE4">
        <w:rPr>
          <w:rFonts w:cs="FrankRuehl"/>
          <w:sz w:val="22"/>
          <w:szCs w:val="22"/>
          <w:rtl/>
        </w:rPr>
        <w:t xml:space="preserve"> </w:t>
      </w:r>
      <w:r w:rsidRPr="00F41CE4">
        <w:rPr>
          <w:rFonts w:cs="FrankRuehl" w:hint="eastAsia"/>
          <w:sz w:val="22"/>
          <w:szCs w:val="22"/>
          <w:rtl/>
        </w:rPr>
        <w:t>כעוצמתו</w:t>
      </w:r>
      <w:r w:rsidRPr="00F41CE4">
        <w:rPr>
          <w:rFonts w:cs="FrankRuehl"/>
          <w:sz w:val="22"/>
          <w:szCs w:val="22"/>
          <w:rtl/>
        </w:rPr>
        <w:t xml:space="preserve"> </w:t>
      </w:r>
      <w:r w:rsidRPr="00F41CE4">
        <w:rPr>
          <w:rFonts w:cs="FrankRuehl" w:hint="eastAsia"/>
          <w:sz w:val="22"/>
          <w:szCs w:val="22"/>
          <w:rtl/>
        </w:rPr>
        <w:t>וכרמתו</w:t>
      </w:r>
      <w:r w:rsidRPr="00F41CE4">
        <w:rPr>
          <w:rFonts w:cs="FrankRuehl"/>
          <w:sz w:val="22"/>
          <w:szCs w:val="22"/>
          <w:rtl/>
        </w:rPr>
        <w:t xml:space="preserve"> </w:t>
      </w:r>
      <w:r w:rsidRPr="00F41CE4">
        <w:rPr>
          <w:rFonts w:cs="FrankRuehl" w:hint="eastAsia"/>
          <w:sz w:val="22"/>
          <w:szCs w:val="22"/>
          <w:rtl/>
        </w:rPr>
        <w:t>של</w:t>
      </w:r>
      <w:r w:rsidRPr="00F41CE4">
        <w:rPr>
          <w:rFonts w:cs="FrankRuehl"/>
          <w:sz w:val="22"/>
          <w:szCs w:val="22"/>
          <w:rtl/>
        </w:rPr>
        <w:t xml:space="preserve"> </w:t>
      </w:r>
      <w:r w:rsidRPr="00F41CE4">
        <w:rPr>
          <w:rFonts w:cs="FrankRuehl" w:hint="eastAsia"/>
          <w:sz w:val="22"/>
          <w:szCs w:val="22"/>
          <w:rtl/>
        </w:rPr>
        <w:t>חוק</w:t>
      </w:r>
      <w:r w:rsidRPr="00F41CE4">
        <w:rPr>
          <w:rFonts w:cs="FrankRuehl" w:hint="cs"/>
          <w:sz w:val="22"/>
          <w:szCs w:val="22"/>
          <w:rtl/>
        </w:rPr>
        <w:t>'</w:t>
      </w:r>
      <w:r w:rsidRPr="00F41CE4">
        <w:rPr>
          <w:rFonts w:cs="FrankRuehl"/>
          <w:sz w:val="22"/>
          <w:szCs w:val="22"/>
          <w:rtl/>
        </w:rPr>
        <w:t xml:space="preserve">, </w:t>
      </w:r>
      <w:r w:rsidRPr="00F41CE4">
        <w:rPr>
          <w:rFonts w:cs="FrankRuehl" w:hint="eastAsia"/>
          <w:sz w:val="22"/>
          <w:szCs w:val="22"/>
          <w:rtl/>
        </w:rPr>
        <w:t>ו</w:t>
      </w:r>
      <w:r w:rsidRPr="00F41CE4">
        <w:rPr>
          <w:rFonts w:cs="FrankRuehl" w:hint="cs"/>
          <w:sz w:val="22"/>
          <w:szCs w:val="22"/>
          <w:rtl/>
        </w:rPr>
        <w:t>'</w:t>
      </w:r>
      <w:r w:rsidRPr="00F41CE4">
        <w:rPr>
          <w:rFonts w:cs="FrankRuehl" w:hint="eastAsia"/>
          <w:sz w:val="22"/>
          <w:szCs w:val="22"/>
          <w:rtl/>
        </w:rPr>
        <w:t>רק</w:t>
      </w:r>
      <w:r w:rsidRPr="00F41CE4">
        <w:rPr>
          <w:rFonts w:cs="FrankRuehl"/>
          <w:sz w:val="22"/>
          <w:szCs w:val="22"/>
          <w:rtl/>
        </w:rPr>
        <w:t xml:space="preserve"> </w:t>
      </w:r>
      <w:r w:rsidRPr="00F41CE4">
        <w:rPr>
          <w:rFonts w:cs="FrankRuehl" w:hint="eastAsia"/>
          <w:sz w:val="22"/>
          <w:szCs w:val="22"/>
          <w:rtl/>
        </w:rPr>
        <w:t>לשון</w:t>
      </w:r>
      <w:r w:rsidRPr="00F41CE4">
        <w:rPr>
          <w:rFonts w:cs="FrankRuehl"/>
          <w:sz w:val="22"/>
          <w:szCs w:val="22"/>
          <w:rtl/>
        </w:rPr>
        <w:t xml:space="preserve"> </w:t>
      </w:r>
      <w:r w:rsidRPr="00F41CE4">
        <w:rPr>
          <w:rFonts w:cs="FrankRuehl" w:hint="eastAsia"/>
          <w:sz w:val="22"/>
          <w:szCs w:val="22"/>
          <w:rtl/>
        </w:rPr>
        <w:t>מפורשת</w:t>
      </w:r>
      <w:r w:rsidRPr="00F41CE4">
        <w:rPr>
          <w:rFonts w:cs="FrankRuehl"/>
          <w:sz w:val="22"/>
          <w:szCs w:val="22"/>
          <w:rtl/>
        </w:rPr>
        <w:t xml:space="preserve"> </w:t>
      </w:r>
      <w:r w:rsidRPr="00F41CE4">
        <w:rPr>
          <w:rFonts w:cs="FrankRuehl" w:hint="eastAsia"/>
          <w:sz w:val="22"/>
          <w:szCs w:val="22"/>
          <w:rtl/>
        </w:rPr>
        <w:t>וחד</w:t>
      </w:r>
      <w:r w:rsidRPr="00F41CE4">
        <w:rPr>
          <w:rFonts w:cs="FrankRuehl"/>
          <w:sz w:val="22"/>
          <w:szCs w:val="22"/>
          <w:rtl/>
        </w:rPr>
        <w:t>-</w:t>
      </w:r>
      <w:r w:rsidRPr="00F41CE4">
        <w:rPr>
          <w:rFonts w:cs="FrankRuehl" w:hint="eastAsia"/>
          <w:sz w:val="22"/>
          <w:szCs w:val="22"/>
          <w:rtl/>
        </w:rPr>
        <w:t>משמעית</w:t>
      </w:r>
      <w:r w:rsidRPr="00F41CE4">
        <w:rPr>
          <w:rFonts w:cs="FrankRuehl"/>
          <w:sz w:val="22"/>
          <w:szCs w:val="22"/>
          <w:rtl/>
        </w:rPr>
        <w:t xml:space="preserve"> </w:t>
      </w:r>
      <w:r w:rsidRPr="00F41CE4">
        <w:rPr>
          <w:rFonts w:cs="FrankRuehl" w:hint="eastAsia"/>
          <w:sz w:val="22"/>
          <w:szCs w:val="22"/>
          <w:rtl/>
        </w:rPr>
        <w:t>בחוק</w:t>
      </w:r>
      <w:r w:rsidRPr="00F41CE4">
        <w:rPr>
          <w:rFonts w:cs="FrankRuehl"/>
          <w:sz w:val="22"/>
          <w:szCs w:val="22"/>
          <w:rtl/>
        </w:rPr>
        <w:t xml:space="preserve"> </w:t>
      </w:r>
      <w:r w:rsidRPr="00F41CE4">
        <w:rPr>
          <w:rFonts w:cs="FrankRuehl" w:hint="eastAsia"/>
          <w:sz w:val="22"/>
          <w:szCs w:val="22"/>
          <w:rtl/>
        </w:rPr>
        <w:t>יש</w:t>
      </w:r>
      <w:r w:rsidRPr="00F41CE4">
        <w:rPr>
          <w:rFonts w:cs="FrankRuehl"/>
          <w:sz w:val="22"/>
          <w:szCs w:val="22"/>
          <w:rtl/>
        </w:rPr>
        <w:t xml:space="preserve"> </w:t>
      </w:r>
      <w:r w:rsidRPr="00F41CE4">
        <w:rPr>
          <w:rFonts w:cs="FrankRuehl" w:hint="eastAsia"/>
          <w:sz w:val="22"/>
          <w:szCs w:val="22"/>
          <w:rtl/>
        </w:rPr>
        <w:t>בכוחה</w:t>
      </w:r>
      <w:r w:rsidRPr="00F41CE4">
        <w:rPr>
          <w:rFonts w:cs="FrankRuehl"/>
          <w:sz w:val="22"/>
          <w:szCs w:val="22"/>
          <w:rtl/>
        </w:rPr>
        <w:t xml:space="preserve"> </w:t>
      </w:r>
      <w:r w:rsidRPr="00F41CE4">
        <w:rPr>
          <w:rFonts w:cs="FrankRuehl" w:hint="eastAsia"/>
          <w:sz w:val="22"/>
          <w:szCs w:val="22"/>
          <w:rtl/>
        </w:rPr>
        <w:t>להגביל</w:t>
      </w:r>
      <w:r w:rsidRPr="00F41CE4">
        <w:rPr>
          <w:rFonts w:cs="FrankRuehl"/>
          <w:sz w:val="22"/>
          <w:szCs w:val="22"/>
          <w:rtl/>
        </w:rPr>
        <w:t xml:space="preserve"> </w:t>
      </w:r>
      <w:r w:rsidRPr="00F41CE4">
        <w:rPr>
          <w:rFonts w:cs="FrankRuehl" w:hint="eastAsia"/>
          <w:sz w:val="22"/>
          <w:szCs w:val="22"/>
          <w:rtl/>
        </w:rPr>
        <w:t>או</w:t>
      </w:r>
      <w:r w:rsidRPr="00F41CE4">
        <w:rPr>
          <w:rFonts w:cs="FrankRuehl"/>
          <w:sz w:val="22"/>
          <w:szCs w:val="22"/>
          <w:rtl/>
        </w:rPr>
        <w:t xml:space="preserve"> </w:t>
      </w:r>
      <w:r w:rsidRPr="00F41CE4">
        <w:rPr>
          <w:rFonts w:cs="FrankRuehl" w:hint="eastAsia"/>
          <w:sz w:val="22"/>
          <w:szCs w:val="22"/>
          <w:rtl/>
        </w:rPr>
        <w:t>להצר</w:t>
      </w:r>
      <w:r w:rsidRPr="00F41CE4">
        <w:rPr>
          <w:rFonts w:cs="FrankRuehl"/>
          <w:sz w:val="22"/>
          <w:szCs w:val="22"/>
          <w:rtl/>
        </w:rPr>
        <w:t xml:space="preserve"> ...</w:t>
      </w:r>
      <w:r w:rsidRPr="00F41CE4">
        <w:rPr>
          <w:rFonts w:cs="FrankRuehl" w:hint="cs"/>
          <w:sz w:val="22"/>
          <w:szCs w:val="22"/>
          <w:rtl/>
        </w:rPr>
        <w:t>'</w:t>
      </w:r>
      <w:r w:rsidRPr="00F41CE4">
        <w:rPr>
          <w:rFonts w:cs="FrankRuehl"/>
          <w:sz w:val="22"/>
          <w:szCs w:val="22"/>
          <w:rtl/>
        </w:rPr>
        <w:t xml:space="preserve"> </w:t>
      </w:r>
      <w:r w:rsidRPr="00F41CE4">
        <w:rPr>
          <w:rFonts w:cs="FrankRuehl" w:hint="eastAsia"/>
          <w:sz w:val="22"/>
          <w:szCs w:val="22"/>
          <w:rtl/>
        </w:rPr>
        <w:t>זכות</w:t>
      </w:r>
      <w:r w:rsidRPr="00F41CE4">
        <w:rPr>
          <w:rFonts w:cs="FrankRuehl"/>
          <w:sz w:val="22"/>
          <w:szCs w:val="22"/>
          <w:rtl/>
        </w:rPr>
        <w:t xml:space="preserve"> </w:t>
      </w:r>
      <w:r w:rsidRPr="00F41CE4">
        <w:rPr>
          <w:rFonts w:cs="FrankRuehl" w:hint="eastAsia"/>
          <w:sz w:val="22"/>
          <w:szCs w:val="22"/>
          <w:rtl/>
        </w:rPr>
        <w:t>מעין</w:t>
      </w:r>
      <w:r w:rsidRPr="00F41CE4">
        <w:rPr>
          <w:rFonts w:cs="FrankRuehl"/>
          <w:sz w:val="22"/>
          <w:szCs w:val="22"/>
          <w:rtl/>
        </w:rPr>
        <w:t>-</w:t>
      </w:r>
      <w:r w:rsidRPr="00F41CE4">
        <w:rPr>
          <w:rFonts w:cs="FrankRuehl" w:hint="eastAsia"/>
          <w:sz w:val="22"/>
          <w:szCs w:val="22"/>
          <w:rtl/>
        </w:rPr>
        <w:t>זו</w:t>
      </w:r>
      <w:r w:rsidRPr="00F41CE4">
        <w:rPr>
          <w:rFonts w:cs="FrankRuehl"/>
          <w:sz w:val="22"/>
          <w:szCs w:val="22"/>
          <w:rtl/>
        </w:rPr>
        <w:t xml:space="preserve">. </w:t>
      </w:r>
      <w:r w:rsidRPr="00F41CE4">
        <w:rPr>
          <w:rFonts w:cs="FrankRuehl" w:hint="eastAsia"/>
          <w:sz w:val="22"/>
          <w:szCs w:val="22"/>
          <w:rtl/>
        </w:rPr>
        <w:t>ועוד</w:t>
      </w:r>
      <w:r w:rsidRPr="00F41CE4">
        <w:rPr>
          <w:rFonts w:cs="FrankRuehl"/>
          <w:sz w:val="22"/>
          <w:szCs w:val="22"/>
          <w:rtl/>
        </w:rPr>
        <w:t xml:space="preserve">: </w:t>
      </w:r>
      <w:r w:rsidRPr="00F41CE4">
        <w:rPr>
          <w:rFonts w:cs="FrankRuehl" w:hint="cs"/>
          <w:sz w:val="22"/>
          <w:szCs w:val="22"/>
          <w:rtl/>
        </w:rPr>
        <w:t>'</w:t>
      </w:r>
      <w:r w:rsidRPr="00F41CE4">
        <w:rPr>
          <w:rFonts w:cs="FrankRuehl" w:hint="eastAsia"/>
          <w:sz w:val="22"/>
          <w:szCs w:val="22"/>
          <w:rtl/>
        </w:rPr>
        <w:t>סמכותה</w:t>
      </w:r>
      <w:r w:rsidRPr="00F41CE4">
        <w:rPr>
          <w:rFonts w:cs="FrankRuehl"/>
          <w:sz w:val="22"/>
          <w:szCs w:val="22"/>
          <w:rtl/>
        </w:rPr>
        <w:t xml:space="preserve"> </w:t>
      </w:r>
      <w:r w:rsidRPr="00F41CE4">
        <w:rPr>
          <w:rFonts w:cs="FrankRuehl" w:hint="eastAsia"/>
          <w:sz w:val="22"/>
          <w:szCs w:val="22"/>
          <w:rtl/>
        </w:rPr>
        <w:t>ה</w:t>
      </w:r>
      <w:r w:rsidRPr="00F41CE4">
        <w:rPr>
          <w:rFonts w:cs="FrankRuehl"/>
          <w:sz w:val="22"/>
          <w:szCs w:val="22"/>
          <w:rtl/>
        </w:rPr>
        <w:t>'</w:t>
      </w:r>
      <w:r w:rsidRPr="00F41CE4">
        <w:rPr>
          <w:rFonts w:cs="FrankRuehl" w:hint="eastAsia"/>
          <w:sz w:val="22"/>
          <w:szCs w:val="22"/>
          <w:rtl/>
        </w:rPr>
        <w:t>שיורית</w:t>
      </w:r>
      <w:r w:rsidRPr="00F41CE4">
        <w:rPr>
          <w:rFonts w:cs="FrankRuehl"/>
          <w:sz w:val="22"/>
          <w:szCs w:val="22"/>
          <w:rtl/>
        </w:rPr>
        <w:t xml:space="preserve">' </w:t>
      </w:r>
      <w:r w:rsidRPr="00F41CE4">
        <w:rPr>
          <w:rFonts w:cs="FrankRuehl" w:hint="eastAsia"/>
          <w:sz w:val="22"/>
          <w:szCs w:val="22"/>
          <w:rtl/>
        </w:rPr>
        <w:t>של</w:t>
      </w:r>
      <w:r w:rsidRPr="00F41CE4">
        <w:rPr>
          <w:rFonts w:cs="FrankRuehl"/>
          <w:sz w:val="22"/>
          <w:szCs w:val="22"/>
          <w:rtl/>
        </w:rPr>
        <w:t xml:space="preserve"> </w:t>
      </w:r>
      <w:r w:rsidRPr="00F41CE4">
        <w:rPr>
          <w:rFonts w:cs="FrankRuehl" w:hint="eastAsia"/>
          <w:sz w:val="22"/>
          <w:szCs w:val="22"/>
          <w:rtl/>
        </w:rPr>
        <w:t>הממשלה</w:t>
      </w:r>
      <w:r w:rsidRPr="00F41CE4">
        <w:rPr>
          <w:rFonts w:cs="FrankRuehl"/>
          <w:sz w:val="22"/>
          <w:szCs w:val="22"/>
          <w:rtl/>
        </w:rPr>
        <w:t xml:space="preserve"> </w:t>
      </w:r>
      <w:r w:rsidRPr="00F41CE4">
        <w:rPr>
          <w:rFonts w:cs="FrankRuehl" w:hint="eastAsia"/>
          <w:sz w:val="22"/>
          <w:szCs w:val="22"/>
          <w:rtl/>
        </w:rPr>
        <w:t>אינה</w:t>
      </w:r>
      <w:r w:rsidRPr="00F41CE4">
        <w:rPr>
          <w:rFonts w:cs="FrankRuehl"/>
          <w:sz w:val="22"/>
          <w:szCs w:val="22"/>
          <w:rtl/>
        </w:rPr>
        <w:t xml:space="preserve"> </w:t>
      </w:r>
      <w:r w:rsidRPr="00F41CE4">
        <w:rPr>
          <w:rFonts w:cs="FrankRuehl" w:hint="eastAsia"/>
          <w:sz w:val="22"/>
          <w:szCs w:val="22"/>
          <w:rtl/>
        </w:rPr>
        <w:t>מקור</w:t>
      </w:r>
      <w:r w:rsidRPr="00F41CE4">
        <w:rPr>
          <w:rFonts w:cs="FrankRuehl"/>
          <w:sz w:val="22"/>
          <w:szCs w:val="22"/>
          <w:rtl/>
        </w:rPr>
        <w:t xml:space="preserve"> </w:t>
      </w:r>
      <w:r w:rsidRPr="00F41CE4">
        <w:rPr>
          <w:rFonts w:cs="FrankRuehl" w:hint="eastAsia"/>
          <w:sz w:val="22"/>
          <w:szCs w:val="22"/>
          <w:rtl/>
        </w:rPr>
        <w:t>לסמכות</w:t>
      </w:r>
      <w:r w:rsidRPr="00F41CE4">
        <w:rPr>
          <w:rFonts w:cs="FrankRuehl"/>
          <w:sz w:val="22"/>
          <w:szCs w:val="22"/>
          <w:rtl/>
        </w:rPr>
        <w:t xml:space="preserve"> </w:t>
      </w:r>
      <w:r w:rsidRPr="00F41CE4">
        <w:rPr>
          <w:rFonts w:cs="FrankRuehl" w:hint="eastAsia"/>
          <w:sz w:val="22"/>
          <w:szCs w:val="22"/>
          <w:rtl/>
        </w:rPr>
        <w:t>הפוגעת</w:t>
      </w:r>
      <w:r w:rsidRPr="00F41CE4">
        <w:rPr>
          <w:rFonts w:cs="FrankRuehl"/>
          <w:sz w:val="22"/>
          <w:szCs w:val="22"/>
          <w:rtl/>
        </w:rPr>
        <w:t xml:space="preserve"> </w:t>
      </w:r>
      <w:r w:rsidRPr="00F41CE4">
        <w:rPr>
          <w:rFonts w:cs="FrankRuehl" w:hint="eastAsia"/>
          <w:sz w:val="22"/>
          <w:szCs w:val="22"/>
          <w:rtl/>
        </w:rPr>
        <w:t>בחירותו</w:t>
      </w:r>
      <w:r w:rsidRPr="00F41CE4">
        <w:rPr>
          <w:rFonts w:cs="FrankRuehl"/>
          <w:sz w:val="22"/>
          <w:szCs w:val="22"/>
          <w:rtl/>
        </w:rPr>
        <w:t xml:space="preserve"> </w:t>
      </w:r>
      <w:r w:rsidRPr="00F41CE4">
        <w:rPr>
          <w:rFonts w:cs="FrankRuehl" w:hint="eastAsia"/>
          <w:sz w:val="22"/>
          <w:szCs w:val="22"/>
          <w:rtl/>
        </w:rPr>
        <w:t>של</w:t>
      </w:r>
      <w:r w:rsidRPr="00F41CE4">
        <w:rPr>
          <w:rFonts w:cs="FrankRuehl"/>
          <w:sz w:val="22"/>
          <w:szCs w:val="22"/>
          <w:rtl/>
        </w:rPr>
        <w:t xml:space="preserve"> </w:t>
      </w:r>
      <w:r w:rsidRPr="00F41CE4">
        <w:rPr>
          <w:rFonts w:cs="FrankRuehl" w:hint="eastAsia"/>
          <w:sz w:val="22"/>
          <w:szCs w:val="22"/>
          <w:rtl/>
        </w:rPr>
        <w:t>הפרט</w:t>
      </w:r>
      <w:r w:rsidRPr="00F41CE4">
        <w:rPr>
          <w:rFonts w:cs="FrankRuehl"/>
          <w:sz w:val="22"/>
          <w:szCs w:val="22"/>
          <w:rtl/>
        </w:rPr>
        <w:t xml:space="preserve">. </w:t>
      </w:r>
      <w:r w:rsidRPr="00F41CE4">
        <w:rPr>
          <w:rFonts w:cs="FrankRuehl" w:hint="eastAsia"/>
          <w:sz w:val="22"/>
          <w:szCs w:val="22"/>
          <w:rtl/>
        </w:rPr>
        <w:t>הסמכות</w:t>
      </w:r>
      <w:r w:rsidRPr="00F41CE4">
        <w:rPr>
          <w:rFonts w:cs="FrankRuehl"/>
          <w:sz w:val="22"/>
          <w:szCs w:val="22"/>
          <w:rtl/>
        </w:rPr>
        <w:t xml:space="preserve"> </w:t>
      </w:r>
      <w:r w:rsidRPr="00F41CE4">
        <w:rPr>
          <w:rFonts w:cs="FrankRuehl" w:hint="eastAsia"/>
          <w:sz w:val="22"/>
          <w:szCs w:val="22"/>
          <w:rtl/>
        </w:rPr>
        <w:t>ה</w:t>
      </w:r>
      <w:r w:rsidRPr="00F41CE4">
        <w:rPr>
          <w:rFonts w:cs="FrankRuehl"/>
          <w:sz w:val="22"/>
          <w:szCs w:val="22"/>
          <w:rtl/>
        </w:rPr>
        <w:t>'</w:t>
      </w:r>
      <w:r w:rsidRPr="00F41CE4">
        <w:rPr>
          <w:rFonts w:cs="FrankRuehl" w:hint="eastAsia"/>
          <w:sz w:val="22"/>
          <w:szCs w:val="22"/>
          <w:rtl/>
        </w:rPr>
        <w:t>שיורית</w:t>
      </w:r>
      <w:r w:rsidRPr="00F41CE4">
        <w:rPr>
          <w:rFonts w:cs="FrankRuehl"/>
          <w:sz w:val="22"/>
          <w:szCs w:val="22"/>
          <w:rtl/>
        </w:rPr>
        <w:t xml:space="preserve">' </w:t>
      </w:r>
      <w:r w:rsidRPr="00F41CE4">
        <w:rPr>
          <w:rFonts w:cs="FrankRuehl" w:hint="eastAsia"/>
          <w:sz w:val="22"/>
          <w:szCs w:val="22"/>
          <w:rtl/>
        </w:rPr>
        <w:t>של</w:t>
      </w:r>
      <w:r w:rsidRPr="00F41CE4">
        <w:rPr>
          <w:rFonts w:cs="FrankRuehl"/>
          <w:sz w:val="22"/>
          <w:szCs w:val="22"/>
          <w:rtl/>
        </w:rPr>
        <w:t xml:space="preserve"> </w:t>
      </w:r>
      <w:r w:rsidRPr="00F41CE4">
        <w:rPr>
          <w:rFonts w:cs="FrankRuehl" w:hint="eastAsia"/>
          <w:sz w:val="22"/>
          <w:szCs w:val="22"/>
          <w:rtl/>
        </w:rPr>
        <w:t>הממשלה</w:t>
      </w:r>
      <w:r w:rsidRPr="00F41CE4">
        <w:rPr>
          <w:rFonts w:cs="FrankRuehl"/>
          <w:sz w:val="22"/>
          <w:szCs w:val="22"/>
          <w:rtl/>
        </w:rPr>
        <w:t xml:space="preserve"> </w:t>
      </w:r>
      <w:r w:rsidRPr="00F41CE4">
        <w:rPr>
          <w:rFonts w:cs="FrankRuehl" w:hint="eastAsia"/>
          <w:sz w:val="22"/>
          <w:szCs w:val="22"/>
          <w:rtl/>
        </w:rPr>
        <w:t>מעניקה</w:t>
      </w:r>
      <w:r w:rsidRPr="00F41CE4">
        <w:rPr>
          <w:rFonts w:cs="FrankRuehl"/>
          <w:sz w:val="22"/>
          <w:szCs w:val="22"/>
          <w:rtl/>
        </w:rPr>
        <w:t xml:space="preserve"> </w:t>
      </w:r>
      <w:r w:rsidRPr="00F41CE4">
        <w:rPr>
          <w:rFonts w:cs="FrankRuehl" w:hint="eastAsia"/>
          <w:sz w:val="22"/>
          <w:szCs w:val="22"/>
          <w:rtl/>
        </w:rPr>
        <w:t>לה</w:t>
      </w:r>
      <w:r w:rsidRPr="00F41CE4">
        <w:rPr>
          <w:rFonts w:cs="FrankRuehl"/>
          <w:sz w:val="22"/>
          <w:szCs w:val="22"/>
          <w:rtl/>
        </w:rPr>
        <w:t xml:space="preserve"> </w:t>
      </w:r>
      <w:r w:rsidRPr="00F41CE4">
        <w:rPr>
          <w:rFonts w:cs="FrankRuehl" w:hint="eastAsia"/>
          <w:sz w:val="22"/>
          <w:szCs w:val="22"/>
          <w:rtl/>
        </w:rPr>
        <w:t>כוח</w:t>
      </w:r>
      <w:r w:rsidRPr="00F41CE4">
        <w:rPr>
          <w:rFonts w:cs="FrankRuehl"/>
          <w:sz w:val="22"/>
          <w:szCs w:val="22"/>
          <w:rtl/>
        </w:rPr>
        <w:t xml:space="preserve"> </w:t>
      </w:r>
      <w:r w:rsidRPr="00F41CE4">
        <w:rPr>
          <w:rFonts w:cs="FrankRuehl" w:hint="eastAsia"/>
          <w:sz w:val="22"/>
          <w:szCs w:val="22"/>
          <w:rtl/>
        </w:rPr>
        <w:t>לפעול</w:t>
      </w:r>
      <w:r w:rsidRPr="00F41CE4">
        <w:rPr>
          <w:rFonts w:cs="FrankRuehl"/>
          <w:sz w:val="22"/>
          <w:szCs w:val="22"/>
          <w:rtl/>
        </w:rPr>
        <w:t xml:space="preserve"> </w:t>
      </w:r>
      <w:r w:rsidRPr="00F41CE4">
        <w:rPr>
          <w:rFonts w:cs="FrankRuehl" w:hint="eastAsia"/>
          <w:sz w:val="22"/>
          <w:szCs w:val="22"/>
          <w:rtl/>
        </w:rPr>
        <w:t>במקום</w:t>
      </w:r>
      <w:r w:rsidRPr="00F41CE4">
        <w:rPr>
          <w:rFonts w:cs="FrankRuehl"/>
          <w:sz w:val="22"/>
          <w:szCs w:val="22"/>
          <w:rtl/>
        </w:rPr>
        <w:t xml:space="preserve"> </w:t>
      </w:r>
      <w:r w:rsidRPr="00F41CE4">
        <w:rPr>
          <w:rFonts w:cs="FrankRuehl" w:hint="eastAsia"/>
          <w:sz w:val="22"/>
          <w:szCs w:val="22"/>
          <w:rtl/>
        </w:rPr>
        <w:t>שקיים</w:t>
      </w:r>
      <w:r w:rsidRPr="00F41CE4">
        <w:rPr>
          <w:rFonts w:cs="FrankRuehl"/>
          <w:sz w:val="22"/>
          <w:szCs w:val="22"/>
          <w:rtl/>
        </w:rPr>
        <w:t xml:space="preserve"> '</w:t>
      </w:r>
      <w:r w:rsidRPr="00F41CE4">
        <w:rPr>
          <w:rFonts w:cs="FrankRuehl" w:hint="eastAsia"/>
          <w:sz w:val="22"/>
          <w:szCs w:val="22"/>
          <w:rtl/>
        </w:rPr>
        <w:t>חלל</w:t>
      </w:r>
      <w:r w:rsidRPr="00F41CE4">
        <w:rPr>
          <w:rFonts w:cs="FrankRuehl"/>
          <w:sz w:val="22"/>
          <w:szCs w:val="22"/>
          <w:rtl/>
        </w:rPr>
        <w:t xml:space="preserve"> </w:t>
      </w:r>
      <w:r w:rsidRPr="00F41CE4">
        <w:rPr>
          <w:rFonts w:cs="FrankRuehl" w:hint="eastAsia"/>
          <w:sz w:val="22"/>
          <w:szCs w:val="22"/>
          <w:rtl/>
        </w:rPr>
        <w:t>מ</w:t>
      </w:r>
      <w:r w:rsidRPr="00F41CE4">
        <w:rPr>
          <w:rFonts w:cs="FrankRuehl" w:hint="cs"/>
          <w:sz w:val="22"/>
          <w:szCs w:val="22"/>
          <w:rtl/>
        </w:rPr>
        <w:t>י</w:t>
      </w:r>
      <w:r w:rsidRPr="00F41CE4">
        <w:rPr>
          <w:rFonts w:cs="FrankRuehl" w:hint="eastAsia"/>
          <w:sz w:val="22"/>
          <w:szCs w:val="22"/>
          <w:rtl/>
        </w:rPr>
        <w:t>נהלי</w:t>
      </w:r>
      <w:r w:rsidRPr="00F41CE4">
        <w:rPr>
          <w:rFonts w:cs="FrankRuehl"/>
          <w:sz w:val="22"/>
          <w:szCs w:val="22"/>
          <w:rtl/>
        </w:rPr>
        <w:t>'... '</w:t>
      </w:r>
      <w:r w:rsidRPr="00F41CE4">
        <w:rPr>
          <w:rFonts w:cs="FrankRuehl" w:hint="eastAsia"/>
          <w:sz w:val="22"/>
          <w:szCs w:val="22"/>
          <w:rtl/>
        </w:rPr>
        <w:t>חלל</w:t>
      </w:r>
      <w:r w:rsidRPr="00F41CE4">
        <w:rPr>
          <w:rFonts w:cs="FrankRuehl"/>
          <w:sz w:val="22"/>
          <w:szCs w:val="22"/>
          <w:rtl/>
        </w:rPr>
        <w:t xml:space="preserve"> </w:t>
      </w:r>
      <w:r w:rsidRPr="00F41CE4">
        <w:rPr>
          <w:rFonts w:cs="FrankRuehl" w:hint="eastAsia"/>
          <w:sz w:val="22"/>
          <w:szCs w:val="22"/>
          <w:rtl/>
        </w:rPr>
        <w:t>מ</w:t>
      </w:r>
      <w:r w:rsidRPr="00F41CE4">
        <w:rPr>
          <w:rFonts w:cs="FrankRuehl" w:hint="cs"/>
          <w:sz w:val="22"/>
          <w:szCs w:val="22"/>
          <w:rtl/>
        </w:rPr>
        <w:t>י</w:t>
      </w:r>
      <w:r w:rsidRPr="00F41CE4">
        <w:rPr>
          <w:rFonts w:cs="FrankRuehl" w:hint="eastAsia"/>
          <w:sz w:val="22"/>
          <w:szCs w:val="22"/>
          <w:rtl/>
        </w:rPr>
        <w:t>נהלי</w:t>
      </w:r>
      <w:r w:rsidRPr="00F41CE4">
        <w:rPr>
          <w:rFonts w:cs="FrankRuehl"/>
          <w:sz w:val="22"/>
          <w:szCs w:val="22"/>
          <w:rtl/>
        </w:rPr>
        <w:t xml:space="preserve">' </w:t>
      </w:r>
      <w:r w:rsidRPr="00F41CE4">
        <w:rPr>
          <w:rFonts w:cs="FrankRuehl" w:hint="eastAsia"/>
          <w:sz w:val="22"/>
          <w:szCs w:val="22"/>
          <w:rtl/>
        </w:rPr>
        <w:t>כזה</w:t>
      </w:r>
      <w:r w:rsidRPr="00F41CE4">
        <w:rPr>
          <w:rFonts w:cs="FrankRuehl"/>
          <w:sz w:val="22"/>
          <w:szCs w:val="22"/>
          <w:rtl/>
        </w:rPr>
        <w:t xml:space="preserve"> </w:t>
      </w:r>
      <w:r w:rsidRPr="00F41CE4">
        <w:rPr>
          <w:rFonts w:cs="FrankRuehl" w:hint="eastAsia"/>
          <w:sz w:val="22"/>
          <w:szCs w:val="22"/>
          <w:rtl/>
        </w:rPr>
        <w:t>אינו</w:t>
      </w:r>
      <w:r w:rsidRPr="00F41CE4">
        <w:rPr>
          <w:rFonts w:cs="FrankRuehl"/>
          <w:sz w:val="22"/>
          <w:szCs w:val="22"/>
          <w:rtl/>
        </w:rPr>
        <w:t xml:space="preserve"> </w:t>
      </w:r>
      <w:r w:rsidRPr="00F41CE4">
        <w:rPr>
          <w:rFonts w:cs="FrankRuehl" w:hint="eastAsia"/>
          <w:sz w:val="22"/>
          <w:szCs w:val="22"/>
          <w:rtl/>
        </w:rPr>
        <w:t>קיים</w:t>
      </w:r>
      <w:r w:rsidRPr="00F41CE4">
        <w:rPr>
          <w:rFonts w:cs="FrankRuehl"/>
          <w:sz w:val="22"/>
          <w:szCs w:val="22"/>
          <w:rtl/>
        </w:rPr>
        <w:t xml:space="preserve"> </w:t>
      </w:r>
      <w:r w:rsidRPr="00F41CE4">
        <w:rPr>
          <w:rFonts w:cs="FrankRuehl" w:hint="eastAsia"/>
          <w:sz w:val="22"/>
          <w:szCs w:val="22"/>
          <w:rtl/>
        </w:rPr>
        <w:t>בעניין</w:t>
      </w:r>
      <w:r w:rsidRPr="00F41CE4">
        <w:rPr>
          <w:rFonts w:cs="FrankRuehl"/>
          <w:sz w:val="22"/>
          <w:szCs w:val="22"/>
          <w:rtl/>
        </w:rPr>
        <w:t xml:space="preserve"> </w:t>
      </w:r>
      <w:r w:rsidRPr="00F41CE4">
        <w:rPr>
          <w:rFonts w:cs="FrankRuehl" w:hint="eastAsia"/>
          <w:sz w:val="22"/>
          <w:szCs w:val="22"/>
          <w:rtl/>
        </w:rPr>
        <w:t>שלפנינו</w:t>
      </w:r>
      <w:r w:rsidRPr="00F41CE4">
        <w:rPr>
          <w:rFonts w:cs="FrankRuehl"/>
          <w:sz w:val="22"/>
          <w:szCs w:val="22"/>
          <w:rtl/>
        </w:rPr>
        <w:t xml:space="preserve">, </w:t>
      </w:r>
      <w:r w:rsidRPr="00F41CE4">
        <w:rPr>
          <w:rFonts w:cs="FrankRuehl" w:hint="eastAsia"/>
          <w:sz w:val="22"/>
          <w:szCs w:val="22"/>
          <w:rtl/>
        </w:rPr>
        <w:t>שכן</w:t>
      </w:r>
      <w:r w:rsidRPr="00F41CE4">
        <w:rPr>
          <w:rFonts w:cs="FrankRuehl"/>
          <w:sz w:val="22"/>
          <w:szCs w:val="22"/>
          <w:rtl/>
        </w:rPr>
        <w:t xml:space="preserve"> </w:t>
      </w:r>
      <w:r w:rsidRPr="00F41CE4">
        <w:rPr>
          <w:rFonts w:cs="FrankRuehl" w:hint="eastAsia"/>
          <w:sz w:val="22"/>
          <w:szCs w:val="22"/>
          <w:rtl/>
        </w:rPr>
        <w:t>הוא</w:t>
      </w:r>
      <w:r w:rsidRPr="00F41CE4">
        <w:rPr>
          <w:rFonts w:cs="FrankRuehl"/>
          <w:sz w:val="22"/>
          <w:szCs w:val="22"/>
          <w:rtl/>
        </w:rPr>
        <w:t xml:space="preserve"> '</w:t>
      </w:r>
      <w:r w:rsidRPr="00F41CE4">
        <w:rPr>
          <w:rFonts w:cs="FrankRuehl" w:hint="eastAsia"/>
          <w:sz w:val="22"/>
          <w:szCs w:val="22"/>
          <w:rtl/>
        </w:rPr>
        <w:t>מולא</w:t>
      </w:r>
      <w:r w:rsidRPr="00F41CE4">
        <w:rPr>
          <w:rFonts w:cs="FrankRuehl"/>
          <w:sz w:val="22"/>
          <w:szCs w:val="22"/>
          <w:rtl/>
        </w:rPr>
        <w:t xml:space="preserve">' </w:t>
      </w:r>
      <w:r w:rsidRPr="00F41CE4">
        <w:rPr>
          <w:rFonts w:cs="FrankRuehl" w:hint="eastAsia"/>
          <w:sz w:val="22"/>
          <w:szCs w:val="22"/>
          <w:rtl/>
        </w:rPr>
        <w:t>בעיקרון</w:t>
      </w:r>
      <w:r w:rsidRPr="00F41CE4">
        <w:rPr>
          <w:rFonts w:cs="FrankRuehl"/>
          <w:sz w:val="22"/>
          <w:szCs w:val="22"/>
          <w:rtl/>
        </w:rPr>
        <w:t xml:space="preserve"> </w:t>
      </w:r>
      <w:r w:rsidRPr="00F41CE4">
        <w:rPr>
          <w:rFonts w:cs="FrankRuehl" w:hint="eastAsia"/>
          <w:sz w:val="22"/>
          <w:szCs w:val="22"/>
          <w:rtl/>
        </w:rPr>
        <w:t>הכללי</w:t>
      </w:r>
      <w:r w:rsidRPr="00F41CE4">
        <w:rPr>
          <w:rFonts w:cs="FrankRuehl"/>
          <w:sz w:val="22"/>
          <w:szCs w:val="22"/>
          <w:rtl/>
        </w:rPr>
        <w:t xml:space="preserve"> </w:t>
      </w:r>
      <w:r w:rsidRPr="00F41CE4">
        <w:rPr>
          <w:rFonts w:cs="FrankRuehl" w:hint="eastAsia"/>
          <w:sz w:val="22"/>
          <w:szCs w:val="22"/>
          <w:rtl/>
        </w:rPr>
        <w:t>בדבר</w:t>
      </w:r>
      <w:r w:rsidRPr="00F41CE4">
        <w:rPr>
          <w:rFonts w:cs="FrankRuehl"/>
          <w:sz w:val="22"/>
          <w:szCs w:val="22"/>
          <w:rtl/>
        </w:rPr>
        <w:t xml:space="preserve"> </w:t>
      </w:r>
      <w:r w:rsidRPr="00F41CE4">
        <w:rPr>
          <w:rFonts w:cs="FrankRuehl" w:hint="eastAsia"/>
          <w:sz w:val="22"/>
          <w:szCs w:val="22"/>
          <w:rtl/>
        </w:rPr>
        <w:t>חירות</w:t>
      </w:r>
      <w:r w:rsidRPr="00F41CE4">
        <w:rPr>
          <w:rFonts w:cs="FrankRuehl"/>
          <w:sz w:val="22"/>
          <w:szCs w:val="22"/>
          <w:rtl/>
        </w:rPr>
        <w:t xml:space="preserve"> </w:t>
      </w:r>
      <w:r w:rsidRPr="00F41CE4">
        <w:rPr>
          <w:rFonts w:cs="FrankRuehl" w:hint="eastAsia"/>
          <w:sz w:val="22"/>
          <w:szCs w:val="22"/>
          <w:rtl/>
        </w:rPr>
        <w:t>הפרט</w:t>
      </w:r>
      <w:r w:rsidRPr="00F41CE4">
        <w:rPr>
          <w:rFonts w:cs="FrankRuehl"/>
          <w:sz w:val="22"/>
          <w:szCs w:val="22"/>
          <w:rtl/>
        </w:rPr>
        <w:t xml:space="preserve">. </w:t>
      </w:r>
      <w:r w:rsidRPr="00F41CE4">
        <w:rPr>
          <w:rFonts w:cs="FrankRuehl" w:hint="eastAsia"/>
          <w:sz w:val="22"/>
          <w:szCs w:val="22"/>
          <w:rtl/>
        </w:rPr>
        <w:t>פגיעה</w:t>
      </w:r>
      <w:r w:rsidRPr="00F41CE4">
        <w:rPr>
          <w:rFonts w:cs="FrankRuehl"/>
          <w:sz w:val="22"/>
          <w:szCs w:val="22"/>
          <w:rtl/>
        </w:rPr>
        <w:t xml:space="preserve"> </w:t>
      </w:r>
      <w:r w:rsidRPr="00F41CE4">
        <w:rPr>
          <w:rFonts w:cs="FrankRuehl" w:hint="eastAsia"/>
          <w:sz w:val="22"/>
          <w:szCs w:val="22"/>
          <w:rtl/>
        </w:rPr>
        <w:t>בחירות</w:t>
      </w:r>
      <w:r w:rsidRPr="00F41CE4">
        <w:rPr>
          <w:rFonts w:cs="FrankRuehl"/>
          <w:sz w:val="22"/>
          <w:szCs w:val="22"/>
          <w:rtl/>
        </w:rPr>
        <w:t xml:space="preserve"> </w:t>
      </w:r>
      <w:r w:rsidRPr="00F41CE4">
        <w:rPr>
          <w:rFonts w:cs="FrankRuehl" w:hint="eastAsia"/>
          <w:sz w:val="22"/>
          <w:szCs w:val="22"/>
          <w:rtl/>
        </w:rPr>
        <w:t>זו</w:t>
      </w:r>
      <w:r w:rsidRPr="00F41CE4">
        <w:rPr>
          <w:rFonts w:cs="FrankRuehl"/>
          <w:sz w:val="22"/>
          <w:szCs w:val="22"/>
          <w:rtl/>
        </w:rPr>
        <w:t xml:space="preserve"> </w:t>
      </w:r>
      <w:r w:rsidRPr="00F41CE4">
        <w:rPr>
          <w:rFonts w:cs="FrankRuehl" w:hint="eastAsia"/>
          <w:sz w:val="22"/>
          <w:szCs w:val="22"/>
          <w:rtl/>
        </w:rPr>
        <w:t>מצריכה</w:t>
      </w:r>
      <w:r w:rsidRPr="00F41CE4">
        <w:rPr>
          <w:rFonts w:cs="FrankRuehl"/>
          <w:sz w:val="22"/>
          <w:szCs w:val="22"/>
          <w:rtl/>
        </w:rPr>
        <w:t xml:space="preserve"> </w:t>
      </w:r>
      <w:r w:rsidRPr="00F41CE4">
        <w:rPr>
          <w:rFonts w:cs="FrankRuehl" w:hint="eastAsia"/>
          <w:sz w:val="22"/>
          <w:szCs w:val="22"/>
          <w:rtl/>
        </w:rPr>
        <w:t>הוראה</w:t>
      </w:r>
      <w:r w:rsidRPr="00F41CE4">
        <w:rPr>
          <w:rFonts w:cs="FrankRuehl"/>
          <w:sz w:val="22"/>
          <w:szCs w:val="22"/>
          <w:rtl/>
        </w:rPr>
        <w:t xml:space="preserve"> </w:t>
      </w:r>
      <w:r w:rsidRPr="00F41CE4">
        <w:rPr>
          <w:rFonts w:cs="FrankRuehl" w:hint="eastAsia"/>
          <w:sz w:val="22"/>
          <w:szCs w:val="22"/>
          <w:rtl/>
        </w:rPr>
        <w:t>מיוחדת</w:t>
      </w:r>
      <w:r w:rsidRPr="00F41CE4">
        <w:rPr>
          <w:rFonts w:cs="FrankRuehl" w:hint="cs"/>
          <w:sz w:val="22"/>
          <w:szCs w:val="22"/>
          <w:rtl/>
        </w:rPr>
        <w:t>'</w:t>
      </w:r>
      <w:r w:rsidRPr="00F41CE4">
        <w:rPr>
          <w:rFonts w:cs="FrankRuehl"/>
          <w:sz w:val="22"/>
          <w:szCs w:val="22"/>
          <w:rtl/>
        </w:rPr>
        <w:t xml:space="preserve"> (</w:t>
      </w:r>
      <w:r w:rsidRPr="00F41CE4">
        <w:rPr>
          <w:rFonts w:cs="FrankRuehl" w:hint="eastAsia"/>
          <w:sz w:val="22"/>
          <w:szCs w:val="22"/>
          <w:rtl/>
        </w:rPr>
        <w:t>הנשיא</w:t>
      </w:r>
      <w:r w:rsidRPr="00F41CE4">
        <w:rPr>
          <w:rFonts w:cs="FrankRuehl"/>
          <w:sz w:val="22"/>
          <w:szCs w:val="22"/>
          <w:rtl/>
        </w:rPr>
        <w:t xml:space="preserve"> </w:t>
      </w:r>
      <w:r w:rsidRPr="00F41CE4">
        <w:rPr>
          <w:rFonts w:cs="FrankRuehl" w:hint="eastAsia"/>
          <w:sz w:val="22"/>
          <w:szCs w:val="22"/>
          <w:rtl/>
        </w:rPr>
        <w:t>ברק</w:t>
      </w:r>
      <w:r w:rsidRPr="00F41CE4">
        <w:rPr>
          <w:rFonts w:cs="FrankRuehl"/>
          <w:sz w:val="22"/>
          <w:szCs w:val="22"/>
          <w:rtl/>
        </w:rPr>
        <w:t xml:space="preserve"> </w:t>
      </w:r>
      <w:r w:rsidRPr="00F41CE4">
        <w:rPr>
          <w:rFonts w:cs="FrankRuehl" w:hint="eastAsia"/>
          <w:sz w:val="22"/>
          <w:szCs w:val="22"/>
          <w:rtl/>
        </w:rPr>
        <w:t>בפרשת</w:t>
      </w:r>
      <w:r w:rsidRPr="00F41CE4">
        <w:rPr>
          <w:rFonts w:cs="FrankRuehl"/>
          <w:sz w:val="22"/>
          <w:szCs w:val="22"/>
          <w:rtl/>
        </w:rPr>
        <w:t xml:space="preserve"> </w:t>
      </w:r>
      <w:r w:rsidRPr="00F41CE4">
        <w:rPr>
          <w:rFonts w:cs="FrankRuehl" w:hint="eastAsia"/>
          <w:sz w:val="22"/>
          <w:szCs w:val="22"/>
          <w:rtl/>
        </w:rPr>
        <w:t>הוועד</w:t>
      </w:r>
      <w:r w:rsidRPr="00F41CE4">
        <w:rPr>
          <w:rFonts w:cs="FrankRuehl"/>
          <w:sz w:val="22"/>
          <w:szCs w:val="22"/>
          <w:rtl/>
        </w:rPr>
        <w:t xml:space="preserve"> </w:t>
      </w:r>
      <w:r w:rsidRPr="00F41CE4">
        <w:rPr>
          <w:rFonts w:cs="FrankRuehl" w:hint="eastAsia"/>
          <w:sz w:val="22"/>
          <w:szCs w:val="22"/>
          <w:rtl/>
        </w:rPr>
        <w:t>הציבורי</w:t>
      </w:r>
      <w:r w:rsidRPr="00F41CE4">
        <w:rPr>
          <w:rFonts w:cs="FrankRuehl" w:hint="cs"/>
          <w:sz w:val="22"/>
          <w:szCs w:val="22"/>
          <w:rtl/>
        </w:rPr>
        <w:t xml:space="preserve"> נגד עינויים</w:t>
      </w:r>
      <w:r w:rsidRPr="00F41CE4">
        <w:rPr>
          <w:rFonts w:cs="FrankRuehl"/>
          <w:sz w:val="22"/>
          <w:szCs w:val="22"/>
          <w:rtl/>
        </w:rPr>
        <w:t xml:space="preserve">, 832). </w:t>
      </w:r>
      <w:r w:rsidRPr="00F41CE4">
        <w:rPr>
          <w:rFonts w:cs="FrankRuehl" w:hint="eastAsia"/>
          <w:sz w:val="22"/>
          <w:szCs w:val="22"/>
          <w:rtl/>
        </w:rPr>
        <w:t>אכן</w:t>
      </w:r>
      <w:r w:rsidRPr="00F41CE4">
        <w:rPr>
          <w:rFonts w:cs="FrankRuehl"/>
          <w:sz w:val="22"/>
          <w:szCs w:val="22"/>
          <w:rtl/>
        </w:rPr>
        <w:t xml:space="preserve">, </w:t>
      </w:r>
      <w:r w:rsidRPr="00F41CE4">
        <w:rPr>
          <w:rFonts w:cs="FrankRuehl" w:hint="eastAsia"/>
          <w:sz w:val="22"/>
          <w:szCs w:val="22"/>
          <w:rtl/>
        </w:rPr>
        <w:t>חירויות</w:t>
      </w:r>
      <w:r w:rsidRPr="00F41CE4">
        <w:rPr>
          <w:rFonts w:cs="FrankRuehl"/>
          <w:sz w:val="22"/>
          <w:szCs w:val="22"/>
          <w:rtl/>
        </w:rPr>
        <w:t xml:space="preserve"> </w:t>
      </w:r>
      <w:r w:rsidRPr="00F41CE4">
        <w:rPr>
          <w:rFonts w:cs="FrankRuehl" w:hint="eastAsia"/>
          <w:sz w:val="22"/>
          <w:szCs w:val="22"/>
          <w:rtl/>
        </w:rPr>
        <w:t>היסוד</w:t>
      </w:r>
      <w:r w:rsidRPr="00F41CE4">
        <w:rPr>
          <w:rFonts w:cs="FrankRuehl"/>
          <w:sz w:val="22"/>
          <w:szCs w:val="22"/>
          <w:rtl/>
        </w:rPr>
        <w:t xml:space="preserve"> </w:t>
      </w:r>
      <w:r w:rsidRPr="00F41CE4">
        <w:rPr>
          <w:rFonts w:cs="FrankRuehl" w:hint="eastAsia"/>
          <w:sz w:val="22"/>
          <w:szCs w:val="22"/>
          <w:rtl/>
        </w:rPr>
        <w:t>שהן</w:t>
      </w:r>
      <w:r w:rsidRPr="00F41CE4">
        <w:rPr>
          <w:rFonts w:cs="FrankRuehl"/>
          <w:sz w:val="22"/>
          <w:szCs w:val="22"/>
          <w:rtl/>
        </w:rPr>
        <w:t xml:space="preserve"> </w:t>
      </w:r>
      <w:r w:rsidRPr="00F41CE4">
        <w:rPr>
          <w:rFonts w:cs="FrankRuehl" w:hint="eastAsia"/>
          <w:sz w:val="22"/>
          <w:szCs w:val="22"/>
          <w:rtl/>
        </w:rPr>
        <w:t>חלק</w:t>
      </w:r>
      <w:r w:rsidRPr="00F41CE4">
        <w:rPr>
          <w:rFonts w:cs="FrankRuehl"/>
          <w:sz w:val="22"/>
          <w:szCs w:val="22"/>
          <w:rtl/>
        </w:rPr>
        <w:t xml:space="preserve"> </w:t>
      </w:r>
      <w:r w:rsidRPr="00F41CE4">
        <w:rPr>
          <w:rFonts w:cs="FrankRuehl" w:hint="eastAsia"/>
          <w:sz w:val="22"/>
          <w:szCs w:val="22"/>
          <w:rtl/>
        </w:rPr>
        <w:t>מן</w:t>
      </w:r>
      <w:r w:rsidRPr="00F41CE4">
        <w:rPr>
          <w:rFonts w:cs="FrankRuehl"/>
          <w:sz w:val="22"/>
          <w:szCs w:val="22"/>
          <w:rtl/>
        </w:rPr>
        <w:t xml:space="preserve"> </w:t>
      </w:r>
      <w:r w:rsidRPr="00F41CE4">
        <w:rPr>
          <w:rFonts w:cs="FrankRuehl" w:hint="eastAsia"/>
          <w:sz w:val="22"/>
          <w:szCs w:val="22"/>
          <w:rtl/>
        </w:rPr>
        <w:t>המערך</w:t>
      </w:r>
      <w:r w:rsidRPr="00F41CE4">
        <w:rPr>
          <w:rFonts w:cs="FrankRuehl"/>
          <w:sz w:val="22"/>
          <w:szCs w:val="22"/>
          <w:rtl/>
        </w:rPr>
        <w:t xml:space="preserve"> </w:t>
      </w:r>
      <w:r w:rsidRPr="00F41CE4">
        <w:rPr>
          <w:rFonts w:cs="FrankRuehl" w:hint="eastAsia"/>
          <w:sz w:val="22"/>
          <w:szCs w:val="22"/>
          <w:rtl/>
        </w:rPr>
        <w:t>הגנטי</w:t>
      </w:r>
      <w:r w:rsidRPr="00F41CE4">
        <w:rPr>
          <w:rFonts w:cs="FrankRuehl"/>
          <w:sz w:val="22"/>
          <w:szCs w:val="22"/>
          <w:rtl/>
        </w:rPr>
        <w:t xml:space="preserve"> </w:t>
      </w:r>
      <w:r w:rsidRPr="00F41CE4">
        <w:rPr>
          <w:rFonts w:cs="FrankRuehl" w:hint="eastAsia"/>
          <w:sz w:val="22"/>
          <w:szCs w:val="22"/>
          <w:rtl/>
        </w:rPr>
        <w:t>של</w:t>
      </w:r>
      <w:r w:rsidRPr="00F41CE4">
        <w:rPr>
          <w:rFonts w:cs="FrankRuehl"/>
          <w:sz w:val="22"/>
          <w:szCs w:val="22"/>
          <w:rtl/>
        </w:rPr>
        <w:t xml:space="preserve"> </w:t>
      </w:r>
      <w:r w:rsidRPr="00F41CE4">
        <w:rPr>
          <w:rFonts w:cs="FrankRuehl" w:hint="eastAsia"/>
          <w:sz w:val="22"/>
          <w:szCs w:val="22"/>
          <w:rtl/>
        </w:rPr>
        <w:t>המשפט</w:t>
      </w:r>
      <w:r w:rsidRPr="00F41CE4">
        <w:rPr>
          <w:rFonts w:cs="FrankRuehl"/>
          <w:sz w:val="22"/>
          <w:szCs w:val="22"/>
          <w:rtl/>
        </w:rPr>
        <w:t xml:space="preserve"> </w:t>
      </w:r>
      <w:r w:rsidRPr="00F41CE4">
        <w:rPr>
          <w:rFonts w:cs="FrankRuehl" w:hint="eastAsia"/>
          <w:sz w:val="22"/>
          <w:szCs w:val="22"/>
          <w:rtl/>
        </w:rPr>
        <w:t>נמצאות</w:t>
      </w:r>
      <w:r w:rsidRPr="00F41CE4">
        <w:rPr>
          <w:rFonts w:cs="FrankRuehl"/>
          <w:sz w:val="22"/>
          <w:szCs w:val="22"/>
          <w:rtl/>
        </w:rPr>
        <w:t xml:space="preserve"> </w:t>
      </w:r>
      <w:r w:rsidRPr="00F41CE4">
        <w:rPr>
          <w:rFonts w:cs="FrankRuehl" w:hint="eastAsia"/>
          <w:sz w:val="22"/>
          <w:szCs w:val="22"/>
          <w:rtl/>
        </w:rPr>
        <w:t>בכל</w:t>
      </w:r>
      <w:r w:rsidRPr="00F41CE4">
        <w:rPr>
          <w:rFonts w:cs="FrankRuehl"/>
          <w:sz w:val="22"/>
          <w:szCs w:val="22"/>
          <w:rtl/>
        </w:rPr>
        <w:t xml:space="preserve"> </w:t>
      </w:r>
      <w:r w:rsidRPr="00F41CE4">
        <w:rPr>
          <w:rFonts w:cs="FrankRuehl" w:hint="eastAsia"/>
          <w:sz w:val="22"/>
          <w:szCs w:val="22"/>
          <w:rtl/>
        </w:rPr>
        <w:t>נורמה</w:t>
      </w:r>
      <w:r w:rsidRPr="00F41CE4">
        <w:rPr>
          <w:rFonts w:cs="FrankRuehl"/>
          <w:sz w:val="22"/>
          <w:szCs w:val="22"/>
          <w:rtl/>
        </w:rPr>
        <w:t xml:space="preserve"> </w:t>
      </w:r>
      <w:r w:rsidRPr="00F41CE4">
        <w:rPr>
          <w:rFonts w:cs="FrankRuehl" w:hint="eastAsia"/>
          <w:sz w:val="22"/>
          <w:szCs w:val="22"/>
          <w:rtl/>
        </w:rPr>
        <w:t>ונורמה</w:t>
      </w:r>
      <w:r w:rsidRPr="00F41CE4">
        <w:rPr>
          <w:rFonts w:cs="FrankRuehl"/>
          <w:sz w:val="22"/>
          <w:szCs w:val="22"/>
          <w:rtl/>
        </w:rPr>
        <w:t xml:space="preserve"> </w:t>
      </w:r>
      <w:r w:rsidRPr="00F41CE4">
        <w:rPr>
          <w:rFonts w:cs="FrankRuehl" w:hint="eastAsia"/>
          <w:sz w:val="22"/>
          <w:szCs w:val="22"/>
          <w:rtl/>
        </w:rPr>
        <w:t>במשפט</w:t>
      </w:r>
      <w:r w:rsidRPr="00F41CE4">
        <w:rPr>
          <w:rFonts w:cs="FrankRuehl"/>
          <w:sz w:val="22"/>
          <w:szCs w:val="22"/>
          <w:rtl/>
        </w:rPr>
        <w:t xml:space="preserve"> </w:t>
      </w:r>
      <w:r w:rsidRPr="00F41CE4">
        <w:rPr>
          <w:rFonts w:cs="FrankRuehl" w:hint="eastAsia"/>
          <w:sz w:val="22"/>
          <w:szCs w:val="22"/>
          <w:rtl/>
        </w:rPr>
        <w:t>אף</w:t>
      </w:r>
      <w:r w:rsidRPr="00F41CE4">
        <w:rPr>
          <w:rFonts w:cs="FrankRuehl"/>
          <w:sz w:val="22"/>
          <w:szCs w:val="22"/>
          <w:rtl/>
        </w:rPr>
        <w:t xml:space="preserve"> </w:t>
      </w:r>
      <w:r w:rsidRPr="00F41CE4">
        <w:rPr>
          <w:rFonts w:cs="FrankRuehl" w:hint="eastAsia"/>
          <w:sz w:val="22"/>
          <w:szCs w:val="22"/>
          <w:rtl/>
        </w:rPr>
        <w:t>בלא</w:t>
      </w:r>
      <w:r w:rsidRPr="00F41CE4">
        <w:rPr>
          <w:rFonts w:cs="FrankRuehl"/>
          <w:sz w:val="22"/>
          <w:szCs w:val="22"/>
          <w:rtl/>
        </w:rPr>
        <w:t xml:space="preserve"> </w:t>
      </w:r>
      <w:r w:rsidRPr="00F41CE4">
        <w:rPr>
          <w:rFonts w:cs="FrankRuehl" w:hint="eastAsia"/>
          <w:sz w:val="22"/>
          <w:szCs w:val="22"/>
          <w:rtl/>
        </w:rPr>
        <w:t>שנחקקו</w:t>
      </w:r>
      <w:r w:rsidRPr="00F41CE4">
        <w:rPr>
          <w:rFonts w:cs="FrankRuehl"/>
          <w:sz w:val="22"/>
          <w:szCs w:val="22"/>
          <w:rtl/>
        </w:rPr>
        <w:t xml:space="preserve"> </w:t>
      </w:r>
      <w:r w:rsidRPr="00F41CE4">
        <w:rPr>
          <w:rFonts w:cs="FrankRuehl" w:hint="eastAsia"/>
          <w:sz w:val="22"/>
          <w:szCs w:val="22"/>
          <w:rtl/>
        </w:rPr>
        <w:t>בחוק</w:t>
      </w:r>
      <w:r w:rsidRPr="00F41CE4">
        <w:rPr>
          <w:rFonts w:cs="FrankRuehl"/>
          <w:sz w:val="22"/>
          <w:szCs w:val="22"/>
          <w:rtl/>
        </w:rPr>
        <w:t xml:space="preserve">, </w:t>
      </w:r>
      <w:r w:rsidRPr="00F41CE4">
        <w:rPr>
          <w:rFonts w:cs="FrankRuehl" w:hint="eastAsia"/>
          <w:sz w:val="22"/>
          <w:szCs w:val="22"/>
          <w:rtl/>
        </w:rPr>
        <w:t>ופועל</w:t>
      </w:r>
      <w:r w:rsidRPr="00F41CE4">
        <w:rPr>
          <w:rFonts w:cs="FrankRuehl"/>
          <w:sz w:val="22"/>
          <w:szCs w:val="22"/>
          <w:rtl/>
        </w:rPr>
        <w:t xml:space="preserve"> </w:t>
      </w:r>
      <w:r w:rsidRPr="00F41CE4">
        <w:rPr>
          <w:rFonts w:cs="FrankRuehl" w:hint="eastAsia"/>
          <w:sz w:val="22"/>
          <w:szCs w:val="22"/>
          <w:rtl/>
        </w:rPr>
        <w:t>יוצא</w:t>
      </w:r>
      <w:r w:rsidRPr="00F41CE4">
        <w:rPr>
          <w:rFonts w:cs="FrankRuehl"/>
          <w:sz w:val="22"/>
          <w:szCs w:val="22"/>
          <w:rtl/>
        </w:rPr>
        <w:t xml:space="preserve"> </w:t>
      </w:r>
      <w:r w:rsidRPr="00F41CE4">
        <w:rPr>
          <w:rFonts w:cs="FrankRuehl" w:hint="eastAsia"/>
          <w:sz w:val="22"/>
          <w:szCs w:val="22"/>
          <w:rtl/>
        </w:rPr>
        <w:t>מכך</w:t>
      </w:r>
      <w:r w:rsidRPr="00F41CE4">
        <w:rPr>
          <w:rFonts w:cs="FrankRuehl"/>
          <w:sz w:val="22"/>
          <w:szCs w:val="22"/>
          <w:rtl/>
        </w:rPr>
        <w:t xml:space="preserve"> </w:t>
      </w:r>
      <w:r w:rsidRPr="00F41CE4">
        <w:rPr>
          <w:rFonts w:cs="FrankRuehl" w:hint="eastAsia"/>
          <w:sz w:val="22"/>
          <w:szCs w:val="22"/>
          <w:rtl/>
        </w:rPr>
        <w:t>הוא</w:t>
      </w:r>
      <w:r w:rsidRPr="00F41CE4">
        <w:rPr>
          <w:rFonts w:cs="FrankRuehl"/>
          <w:sz w:val="22"/>
          <w:szCs w:val="22"/>
          <w:rtl/>
        </w:rPr>
        <w:t xml:space="preserve">, </w:t>
      </w:r>
      <w:r w:rsidRPr="00F41CE4">
        <w:rPr>
          <w:rFonts w:cs="FrankRuehl" w:hint="eastAsia"/>
          <w:sz w:val="22"/>
          <w:szCs w:val="22"/>
          <w:rtl/>
        </w:rPr>
        <w:t>כי</w:t>
      </w:r>
      <w:r w:rsidRPr="00F41CE4">
        <w:rPr>
          <w:rFonts w:cs="FrankRuehl"/>
          <w:sz w:val="22"/>
          <w:szCs w:val="22"/>
          <w:rtl/>
        </w:rPr>
        <w:t xml:space="preserve"> </w:t>
      </w:r>
      <w:r w:rsidRPr="00F41CE4">
        <w:rPr>
          <w:rFonts w:cs="FrankRuehl" w:hint="eastAsia"/>
          <w:sz w:val="22"/>
          <w:szCs w:val="22"/>
          <w:rtl/>
        </w:rPr>
        <w:t>הממשלה</w:t>
      </w:r>
      <w:r w:rsidRPr="00F41CE4">
        <w:rPr>
          <w:rFonts w:cs="FrankRuehl"/>
          <w:sz w:val="22"/>
          <w:szCs w:val="22"/>
          <w:rtl/>
        </w:rPr>
        <w:t xml:space="preserve"> </w:t>
      </w:r>
      <w:r w:rsidRPr="00F41CE4">
        <w:rPr>
          <w:rFonts w:cs="FrankRuehl" w:hint="eastAsia"/>
          <w:sz w:val="22"/>
          <w:szCs w:val="22"/>
          <w:rtl/>
        </w:rPr>
        <w:t>אינה</w:t>
      </w:r>
      <w:r w:rsidRPr="00F41CE4">
        <w:rPr>
          <w:rFonts w:cs="FrankRuehl"/>
          <w:sz w:val="22"/>
          <w:szCs w:val="22"/>
          <w:rtl/>
        </w:rPr>
        <w:t xml:space="preserve"> </w:t>
      </w:r>
      <w:r w:rsidRPr="00F41CE4">
        <w:rPr>
          <w:rFonts w:cs="FrankRuehl" w:hint="eastAsia"/>
          <w:sz w:val="22"/>
          <w:szCs w:val="22"/>
          <w:rtl/>
        </w:rPr>
        <w:t>מוסמכת</w:t>
      </w:r>
      <w:r w:rsidRPr="00F41CE4">
        <w:rPr>
          <w:rFonts w:cs="FrankRuehl"/>
          <w:sz w:val="22"/>
          <w:szCs w:val="22"/>
          <w:rtl/>
        </w:rPr>
        <w:t xml:space="preserve"> </w:t>
      </w:r>
      <w:r w:rsidRPr="00F41CE4">
        <w:rPr>
          <w:rFonts w:cs="FrankRuehl" w:hint="eastAsia"/>
          <w:sz w:val="22"/>
          <w:szCs w:val="22"/>
          <w:rtl/>
        </w:rPr>
        <w:t>לפגוע</w:t>
      </w:r>
      <w:r w:rsidRPr="00F41CE4">
        <w:rPr>
          <w:rFonts w:cs="FrankRuehl"/>
          <w:sz w:val="22"/>
          <w:szCs w:val="22"/>
          <w:rtl/>
        </w:rPr>
        <w:t xml:space="preserve"> </w:t>
      </w:r>
      <w:r w:rsidRPr="00F41CE4">
        <w:rPr>
          <w:rFonts w:cs="FrankRuehl" w:hint="eastAsia"/>
          <w:sz w:val="22"/>
          <w:szCs w:val="22"/>
          <w:rtl/>
        </w:rPr>
        <w:t>בהן</w:t>
      </w:r>
      <w:r w:rsidRPr="00F41CE4">
        <w:rPr>
          <w:rFonts w:cs="FrankRuehl"/>
          <w:sz w:val="22"/>
          <w:szCs w:val="22"/>
          <w:rtl/>
        </w:rPr>
        <w:t xml:space="preserve"> </w:t>
      </w:r>
      <w:r w:rsidRPr="00F41CE4">
        <w:rPr>
          <w:rFonts w:cs="FrankRuehl" w:hint="eastAsia"/>
          <w:sz w:val="22"/>
          <w:szCs w:val="22"/>
          <w:rtl/>
        </w:rPr>
        <w:t>אלא</w:t>
      </w:r>
      <w:r w:rsidRPr="00F41CE4">
        <w:rPr>
          <w:rFonts w:cs="FrankRuehl"/>
          <w:sz w:val="22"/>
          <w:szCs w:val="22"/>
          <w:rtl/>
        </w:rPr>
        <w:t xml:space="preserve"> </w:t>
      </w:r>
      <w:r w:rsidRPr="00F41CE4">
        <w:rPr>
          <w:rFonts w:cs="FrankRuehl" w:hint="eastAsia"/>
          <w:sz w:val="22"/>
          <w:szCs w:val="22"/>
          <w:rtl/>
        </w:rPr>
        <w:t>אם</w:t>
      </w:r>
      <w:r w:rsidRPr="00F41CE4">
        <w:rPr>
          <w:rFonts w:cs="FrankRuehl"/>
          <w:sz w:val="22"/>
          <w:szCs w:val="22"/>
          <w:rtl/>
        </w:rPr>
        <w:t xml:space="preserve"> </w:t>
      </w:r>
      <w:r w:rsidRPr="00F41CE4">
        <w:rPr>
          <w:rFonts w:cs="FrankRuehl" w:hint="eastAsia"/>
          <w:sz w:val="22"/>
          <w:szCs w:val="22"/>
          <w:rtl/>
        </w:rPr>
        <w:t>הוסמכה</w:t>
      </w:r>
      <w:r w:rsidRPr="00F41CE4">
        <w:rPr>
          <w:rFonts w:cs="FrankRuehl"/>
          <w:sz w:val="22"/>
          <w:szCs w:val="22"/>
          <w:rtl/>
        </w:rPr>
        <w:t xml:space="preserve"> </w:t>
      </w:r>
      <w:r w:rsidRPr="00F41CE4">
        <w:rPr>
          <w:rFonts w:cs="FrankRuehl" w:hint="eastAsia"/>
          <w:sz w:val="22"/>
          <w:szCs w:val="22"/>
          <w:rtl/>
        </w:rPr>
        <w:t>לכך</w:t>
      </w:r>
      <w:r w:rsidRPr="00F41CE4">
        <w:rPr>
          <w:rFonts w:cs="FrankRuehl"/>
          <w:sz w:val="22"/>
          <w:szCs w:val="22"/>
          <w:rtl/>
        </w:rPr>
        <w:t xml:space="preserve"> </w:t>
      </w:r>
      <w:r w:rsidRPr="00F41CE4">
        <w:rPr>
          <w:rFonts w:cs="FrankRuehl" w:hint="eastAsia"/>
          <w:sz w:val="22"/>
          <w:szCs w:val="22"/>
          <w:rtl/>
        </w:rPr>
        <w:t>במפורש</w:t>
      </w:r>
      <w:r w:rsidRPr="00F41CE4">
        <w:rPr>
          <w:rFonts w:cs="FrankRuehl"/>
          <w:sz w:val="22"/>
          <w:szCs w:val="22"/>
          <w:rtl/>
        </w:rPr>
        <w:t xml:space="preserve"> </w:t>
      </w:r>
      <w:r w:rsidRPr="00F41CE4">
        <w:rPr>
          <w:rFonts w:cs="FrankRuehl" w:hint="eastAsia"/>
          <w:sz w:val="22"/>
          <w:szCs w:val="22"/>
          <w:rtl/>
        </w:rPr>
        <w:t>בידי</w:t>
      </w:r>
      <w:r w:rsidRPr="00F41CE4">
        <w:rPr>
          <w:rFonts w:cs="FrankRuehl"/>
          <w:sz w:val="22"/>
          <w:szCs w:val="22"/>
          <w:rtl/>
        </w:rPr>
        <w:t xml:space="preserve"> </w:t>
      </w:r>
      <w:r w:rsidRPr="00F41CE4">
        <w:rPr>
          <w:rFonts w:cs="FrankRuehl" w:hint="eastAsia"/>
          <w:sz w:val="22"/>
          <w:szCs w:val="22"/>
          <w:rtl/>
        </w:rPr>
        <w:t>הכנסת</w:t>
      </w:r>
      <w:r w:rsidRPr="00F41CE4">
        <w:rPr>
          <w:rFonts w:cs="FrankRuehl" w:hint="cs"/>
          <w:sz w:val="22"/>
          <w:szCs w:val="22"/>
          <w:rtl/>
        </w:rPr>
        <w:t>.</w:t>
      </w:r>
    </w:p>
    <w:p w:rsidR="005366A8" w:rsidRPr="00F41CE4" w:rsidRDefault="005366A8" w:rsidP="005366A8">
      <w:pPr>
        <w:pStyle w:val="T-body"/>
        <w:spacing w:after="120" w:line="240" w:lineRule="auto"/>
        <w:ind w:hanging="28"/>
        <w:rPr>
          <w:rFonts w:cs="FrankRuehl"/>
          <w:sz w:val="22"/>
          <w:szCs w:val="22"/>
          <w:rtl/>
        </w:rPr>
      </w:pPr>
      <w:r w:rsidRPr="00F41CE4">
        <w:rPr>
          <w:rFonts w:cs="FrankRuehl" w:hint="cs"/>
          <w:sz w:val="22"/>
          <w:szCs w:val="22"/>
          <w:rtl/>
        </w:rPr>
        <w:t>28</w:t>
      </w:r>
      <w:r w:rsidRPr="007729AC">
        <w:rPr>
          <w:rFonts w:cs="FrankRuehl" w:hint="cs"/>
          <w:sz w:val="22"/>
          <w:szCs w:val="22"/>
          <w:rtl/>
        </w:rPr>
        <w:t xml:space="preserve">.      תפישת-היסוד המפעמת בגופה של שיטת המשטר החוקתית בישראל מורה אותנו, כי הרשות המחוקקת - הכנסת - היא הרשות הניצבת בפיסגת הפירמידה של הרשויות הקובעות את הנורמות אשר תנהגנה במדינה, וכי הממשלה ושלוחותיה נועדו להן תפקידי ביצוע הנורמות שקבעה הכנסת. בלשון אנשי המשפט ייאמר: הכנסת היא המוסמכת לקבוע, בחוקים, </w:t>
      </w:r>
      <w:r w:rsidRPr="00F41CE4">
        <w:rPr>
          <w:rFonts w:cs="FrankRuehl" w:hint="cs"/>
          <w:sz w:val="22"/>
          <w:szCs w:val="22"/>
          <w:highlight w:val="yellow"/>
          <w:rtl/>
        </w:rPr>
        <w:t xml:space="preserve">"הסדרים ראשוניים" </w:t>
      </w:r>
      <w:r w:rsidRPr="007729AC">
        <w:rPr>
          <w:rFonts w:cs="FrankRuehl" w:hint="cs"/>
          <w:sz w:val="22"/>
          <w:szCs w:val="22"/>
          <w:rtl/>
        </w:rPr>
        <w:t xml:space="preserve">- הסדרים הקובעים את הנורמות העיקריות ואת אמות-המידה להפעלתן - בעוד אשר הממשלה מוסמכת, על דרך העיקרון, לקבוע - בתקנות למיניהן ובמעשים - </w:t>
      </w:r>
      <w:r w:rsidRPr="00F41CE4">
        <w:rPr>
          <w:rFonts w:cs="FrankRuehl" w:hint="cs"/>
          <w:sz w:val="22"/>
          <w:szCs w:val="22"/>
          <w:highlight w:val="yellow"/>
          <w:rtl/>
        </w:rPr>
        <w:t>"הסדרים מישניים" בלבד</w:t>
      </w:r>
      <w:r w:rsidRPr="00F41CE4">
        <w:rPr>
          <w:rFonts w:cs="FrankRuehl" w:hint="cs"/>
          <w:sz w:val="22"/>
          <w:szCs w:val="22"/>
          <w:rtl/>
        </w:rPr>
        <w:t>. ובלשון אחר: אין הממשלה ובנותיה מוסמכות לקבוע "הסדרים ראשוניים" אלא על-פי המחוקק, מכוחו של חוק הכנסת.</w:t>
      </w:r>
    </w:p>
    <w:p w:rsidR="005366A8" w:rsidRPr="00F41CE4" w:rsidRDefault="005366A8" w:rsidP="005366A8">
      <w:pPr>
        <w:pStyle w:val="T-body"/>
        <w:spacing w:after="120" w:line="240" w:lineRule="auto"/>
        <w:ind w:hanging="28"/>
        <w:rPr>
          <w:rFonts w:cs="FrankRuehl"/>
          <w:sz w:val="22"/>
          <w:szCs w:val="22"/>
          <w:rtl/>
        </w:rPr>
      </w:pPr>
      <w:r w:rsidRPr="00F41CE4">
        <w:rPr>
          <w:rFonts w:cs="FrankRuehl" w:hint="cs"/>
          <w:sz w:val="22"/>
          <w:szCs w:val="22"/>
          <w:rtl/>
        </w:rPr>
        <w:t>30.</w:t>
      </w:r>
      <w:r w:rsidRPr="00F41CE4">
        <w:rPr>
          <w:rFonts w:cs="FrankRuehl" w:hint="cs"/>
          <w:sz w:val="22"/>
          <w:szCs w:val="22"/>
          <w:rtl/>
        </w:rPr>
        <w:tab/>
        <w:t xml:space="preserve">[...] </w:t>
      </w:r>
      <w:r w:rsidRPr="00F41CE4">
        <w:rPr>
          <w:rFonts w:cs="FrankRuehl" w:hint="cs"/>
          <w:sz w:val="22"/>
          <w:szCs w:val="22"/>
          <w:highlight w:val="yellow"/>
          <w:rtl/>
        </w:rPr>
        <w:t>אלא שהפרדה מוחלטת מעין-זו בין מחוקק - המחוקק הסדרים ראשוניים - לבין מבצע - המבצע והמיישם - אינה מתקיימת אלא במדינת אוטופיה, שכן "סביכותם של החיים בחברה המודרנית אינם מותירים ברירה למחוקק אלא להעביר מיקצת מסמכויותיו למבצע, וזאת - בעיקר - על דרך של הסמכתה של הממשלה ושל הפועלים מטעמה להתקין תקנות הנושאות עימהן הסדרים ראשוניים</w:t>
      </w:r>
      <w:r w:rsidRPr="00F41CE4">
        <w:rPr>
          <w:rFonts w:cs="FrankRuehl" w:hint="cs"/>
          <w:sz w:val="22"/>
          <w:szCs w:val="22"/>
          <w:rtl/>
        </w:rPr>
        <w:t xml:space="preserve"> (תקנות </w:t>
      </w:r>
      <w:r w:rsidRPr="00F41CE4">
        <w:rPr>
          <w:rFonts w:cs="FrankRuehl"/>
          <w:sz w:val="22"/>
          <w:szCs w:val="22"/>
        </w:rPr>
        <w:t>praeter legem</w:t>
      </w:r>
      <w:r w:rsidRPr="00F41CE4">
        <w:rPr>
          <w:rFonts w:cs="FrankRuehl" w:hint="cs"/>
          <w:sz w:val="22"/>
          <w:szCs w:val="22"/>
          <w:rtl/>
        </w:rPr>
        <w:t xml:space="preserve">)" (פרשת פריצקי, 790; ראו גם: פרשת רובינשטיין, 505-504). עדים אנו אפוא לתופעה - הידועה לכל - כי הכנסת מסמיכה את הרשות המבצעת חדשות לבקרים לקבוע הסדרים ראשוניים בנושאים אלה ואחרים. וככל שחיינו נעשים סבוכים עוד ועוד כן מתרבה אצילת סמכויות של הסדרים ראשוניים ממחוקק לרשות מבצעת. </w:t>
      </w:r>
      <w:r w:rsidRPr="007729AC">
        <w:rPr>
          <w:rFonts w:cs="FrankRuehl" w:hint="cs"/>
          <w:sz w:val="22"/>
          <w:szCs w:val="22"/>
          <w:rtl/>
        </w:rPr>
        <w:t xml:space="preserve">ואולם, גם אם היסכַּנּוּ, בעל-כורחנו, לתופעה בלתי רצויה זו  - "בלתי רצויה" באשר חותרת היא תחת העיקרון החשוב של הפרדת הרשויות וביזור הסמכויות - </w:t>
      </w:r>
      <w:r w:rsidRPr="00F41CE4">
        <w:rPr>
          <w:rFonts w:cs="FrankRuehl" w:hint="cs"/>
          <w:sz w:val="22"/>
          <w:szCs w:val="22"/>
          <w:highlight w:val="yellow"/>
          <w:rtl/>
        </w:rPr>
        <w:t>הנה סמכותה של הרשות המבצעת בכל מקרים אלה מוצאת לה עיגון בחוק הכנסת</w:t>
      </w:r>
      <w:r w:rsidRPr="00F41CE4">
        <w:rPr>
          <w:rFonts w:cs="FrankRuehl" w:hint="cs"/>
          <w:sz w:val="22"/>
          <w:szCs w:val="22"/>
          <w:rtl/>
        </w:rPr>
        <w:t xml:space="preserve"> [...]</w:t>
      </w:r>
    </w:p>
    <w:p w:rsidR="005366A8" w:rsidRPr="00F41CE4" w:rsidRDefault="005366A8" w:rsidP="005366A8">
      <w:pPr>
        <w:pStyle w:val="T-body"/>
        <w:spacing w:after="120" w:line="240" w:lineRule="auto"/>
        <w:ind w:hanging="28"/>
        <w:rPr>
          <w:rFonts w:cs="FrankRuehl"/>
          <w:b/>
          <w:bCs/>
          <w:sz w:val="22"/>
          <w:szCs w:val="22"/>
          <w:rtl/>
        </w:rPr>
      </w:pPr>
      <w:r w:rsidRPr="00F41CE4">
        <w:rPr>
          <w:rFonts w:cs="FrankRuehl" w:hint="cs"/>
          <w:b/>
          <w:bCs/>
          <w:sz w:val="22"/>
          <w:szCs w:val="22"/>
          <w:rtl/>
        </w:rPr>
        <w:t>בין הסדר ראשוני לבין הסדר מישני</w:t>
      </w:r>
    </w:p>
    <w:p w:rsidR="005366A8" w:rsidRPr="00F41CE4" w:rsidRDefault="005366A8" w:rsidP="005366A8">
      <w:pPr>
        <w:pStyle w:val="T-body"/>
        <w:spacing w:after="120" w:line="240" w:lineRule="auto"/>
        <w:ind w:hanging="28"/>
        <w:rPr>
          <w:rFonts w:cs="FrankRuehl"/>
          <w:sz w:val="22"/>
          <w:szCs w:val="22"/>
          <w:rtl/>
        </w:rPr>
      </w:pPr>
      <w:r w:rsidRPr="00F41CE4">
        <w:rPr>
          <w:rFonts w:cs="FrankRuehl" w:hint="cs"/>
          <w:sz w:val="22"/>
          <w:szCs w:val="22"/>
          <w:rtl/>
        </w:rPr>
        <w:t xml:space="preserve">37.      משידענו כי סמכותה השיורית של הממשלה כהוראת סעיף 32 לחוק-יסוד: הממשלה (תשס"א) אינה כוללת סמכות לקביעתם של הסדרים ראשוניים; כי קביעתם של הסדרים ראשוניים יוחדו ויועדו לכנסת ואילו הממשלה לא קנתה אלא סמכות להסדרים מישניים, להסדרי ביצוע; עדיין שאלה היא, מה אמת-מידה ניעזר בה לידע הסדר ראשוני - מהו? מהי אבן בוחן נחזיק בידנו להבחין בין הסדר ראשוני לבין הסדר מישני? התשובה לשאלה אינה פשוטה כל-עיקר, וקו הגבול בין הסדרים אלה לבין הסדרים אלה יכול שיהיה לעיתים מטושטש משהו. אכן, יימצאו הסדרים שהכל יסכימו כי הסדרים ראשוניים או הסדרים מישניים הם. </w:t>
      </w:r>
      <w:r w:rsidRPr="00F41CE4">
        <w:rPr>
          <w:rFonts w:cs="FrankRuehl" w:hint="cs"/>
          <w:sz w:val="22"/>
          <w:szCs w:val="22"/>
          <w:highlight w:val="yellow"/>
          <w:rtl/>
        </w:rPr>
        <w:t>כולנו נסכים, למשל, כי חיובים שהמדינה מטילה על היחיד - חיוב בתשלום מס, חיוב לשרת בצבא ועוד כיוצא באלה חיובים - חיובים אלה כולם חיובים של הסדרים ראשוניים הם. ומנגד: קביעת טפסים שעל היחיד למלא בביצועו של חוק פלוני, פעולה של הסדר מישני היא. אלא שעיקר הוא בתחום האפור שבין שני קצוות אלה, והתחום האפור, למרבה הצער, תחום רחב הוא ביותר.</w:t>
      </w:r>
      <w:r w:rsidRPr="00F41CE4">
        <w:rPr>
          <w:rFonts w:cs="FrankRuehl" w:hint="cs"/>
          <w:sz w:val="22"/>
          <w:szCs w:val="22"/>
          <w:rtl/>
        </w:rPr>
        <w:t xml:space="preserve"> על תחום זה ניתן לומר, כי ההכרעה בשאלת ההבחנה תיעשה בכל מקרה ומקרה תוך שניתן דעתנו לטיבו ולמהותו של הנושא שבדיון, לרקע עיקרי היסוד ששיטת המשפט בנויה עליהם, ותוך שנפעיל את השכל הישר ואת חוש ההיגיון. אכן, באומרנו כי הסדרים ראשוניים הם אותם הסדרים שעל-פי עצם טיבם ראוי להם שהכנסת תקבעם, וכי גופם של ההסדרים ונסיבות הענין יכריעו, נקלעים אנו לטאוטולוגיה-משהו. וכפי שנאמר בפרשת פריצקי (שם, 790):  </w:t>
      </w:r>
    </w:p>
    <w:p w:rsidR="005366A8" w:rsidRPr="00F41CE4" w:rsidRDefault="005366A8" w:rsidP="005366A8">
      <w:pPr>
        <w:pStyle w:val="T-body"/>
        <w:spacing w:after="120" w:line="240" w:lineRule="auto"/>
        <w:ind w:left="748" w:hanging="28"/>
        <w:rPr>
          <w:rFonts w:cs="FrankRuehl"/>
          <w:sz w:val="22"/>
          <w:szCs w:val="22"/>
          <w:rtl/>
        </w:rPr>
      </w:pPr>
      <w:r w:rsidRPr="00F41CE4">
        <w:rPr>
          <w:rFonts w:cs="FrankRuehl" w:hint="cs"/>
          <w:sz w:val="22"/>
          <w:szCs w:val="22"/>
          <w:rtl/>
        </w:rPr>
        <w:t>הסדרים ראשוניים הינם אותם הסדרים שבהיותם נוגעים לנורמות התנהגות החלות על כלל הציבור או לשאלות-יסוד בחיינו, נְצַפֶּה כי המחוקק הראשי יקבע אותם בחוק ... הגדרה זו להסדרים ראשוניים הינה הגדרה מעגלית-משהו, ואיתורם של אותם הסדרים ראשוניים ייעשה מעת-לעת ומעניין לעניין. </w:t>
      </w:r>
    </w:p>
    <w:p w:rsidR="005366A8" w:rsidRPr="00F41CE4" w:rsidRDefault="005366A8" w:rsidP="005366A8">
      <w:pPr>
        <w:pStyle w:val="T-body"/>
        <w:spacing w:after="120" w:line="240" w:lineRule="auto"/>
        <w:ind w:hanging="28"/>
        <w:rPr>
          <w:rFonts w:cs="FrankRuehl"/>
          <w:sz w:val="22"/>
          <w:szCs w:val="22"/>
          <w:rtl/>
        </w:rPr>
      </w:pPr>
      <w:r w:rsidRPr="00F41CE4">
        <w:rPr>
          <w:rFonts w:cs="FrankRuehl" w:hint="cs"/>
          <w:sz w:val="22"/>
          <w:szCs w:val="22"/>
          <w:rtl/>
        </w:rPr>
        <w:t xml:space="preserve">בה-בעת, ביודענו כי תחנת המוצא למסע הפרשנות והתהייה תימצא באותם עיקרי-יסוד המנהיגים את שיטת המשפט בישראל - שילטון החוק (במובנו המהותי), עקרון הפרדת הרשויות וביזור הסמכויות, זכויות היחיד וכו' - נוסיף ונדע כי נוכל להיאחז במהויות לפיתרון הקושיה. על כך נאמר, כי </w:t>
      </w:r>
      <w:r w:rsidRPr="005A6986">
        <w:rPr>
          <w:rFonts w:cs="FrankRuehl" w:hint="cs"/>
          <w:sz w:val="22"/>
          <w:szCs w:val="22"/>
          <w:highlight w:val="yellow"/>
          <w:rtl/>
        </w:rPr>
        <w:t>מהות ההסדר, השלכותיו החברתיות ומידת פגיעתו בחירות הפרט כל אלה ישפיעו על ההכרעה אם המדובר הוא בהסדר ראשוני או בהסדר מישני</w:t>
      </w:r>
      <w:r w:rsidRPr="00F41CE4">
        <w:rPr>
          <w:rFonts w:cs="FrankRuehl" w:hint="cs"/>
          <w:sz w:val="22"/>
          <w:szCs w:val="22"/>
          <w:rtl/>
        </w:rPr>
        <w:t>. ובלשונה של השופטת נאור בבג"ץ 1437/02 האגודה לזכויות האזרח נ' השר לביטחון פנים, פ"ד נח (2) 746, באומרה דברים אלה (שם, 760): </w:t>
      </w:r>
    </w:p>
    <w:p w:rsidR="005366A8" w:rsidRPr="00F41CE4" w:rsidRDefault="005366A8" w:rsidP="005366A8">
      <w:pPr>
        <w:pStyle w:val="T-body"/>
        <w:spacing w:after="120" w:line="240" w:lineRule="auto"/>
        <w:ind w:left="748" w:hanging="28"/>
        <w:rPr>
          <w:rFonts w:cs="FrankRuehl"/>
          <w:sz w:val="22"/>
          <w:szCs w:val="22"/>
          <w:rtl/>
        </w:rPr>
      </w:pPr>
      <w:r w:rsidRPr="00F41CE4">
        <w:rPr>
          <w:rFonts w:cs="FrankRuehl" w:hint="cs"/>
          <w:sz w:val="22"/>
          <w:szCs w:val="22"/>
          <w:rtl/>
        </w:rPr>
        <w:t>ההבחנה בין הסדר ראשוני למשני אינה חדה. מהות ההסדר, השלכותיו החברתיות, מידת פגיעתו בחירות הפרט – כל אלה משפיעות על היקפו של ההסדר הראשוני ועל מידת הפירוט הנדרשת ממנו; גם במשטר דמוקרטי מודרני קשה לקיים את תורת ההסדרים הראשוניים במלוא היקפה.</w:t>
      </w:r>
    </w:p>
    <w:p w:rsidR="005366A8" w:rsidRPr="00F41CE4" w:rsidRDefault="005366A8" w:rsidP="005366A8">
      <w:pPr>
        <w:pStyle w:val="T-body"/>
        <w:spacing w:after="120" w:line="240" w:lineRule="auto"/>
        <w:ind w:hanging="28"/>
        <w:rPr>
          <w:rFonts w:cs="FrankRuehl"/>
          <w:sz w:val="22"/>
          <w:szCs w:val="22"/>
          <w:rtl/>
        </w:rPr>
      </w:pPr>
      <w:r w:rsidRPr="00F41CE4">
        <w:rPr>
          <w:rFonts w:cs="FrankRuehl" w:hint="cs"/>
          <w:sz w:val="22"/>
          <w:szCs w:val="22"/>
          <w:rtl/>
        </w:rPr>
        <w:t xml:space="preserve"> הניסוחים לקביעת גדריו של הסדר ראשוני ניסוחים שונים הם, ואין מקום כי נאריך בהם. על כל אלה, ועוד, עמד חברנו הנשיא ברק בפרשת רובינשטיין, והמעיין יעיין וישכיל. ראו: שם, 517-515. </w:t>
      </w:r>
    </w:p>
    <w:p w:rsidR="005366A8" w:rsidRDefault="005366A8" w:rsidP="005366A8">
      <w:pPr>
        <w:pStyle w:val="T-body"/>
        <w:spacing w:after="120" w:line="240" w:lineRule="auto"/>
        <w:ind w:hanging="28"/>
        <w:rPr>
          <w:rFonts w:cs="FrankRuehl"/>
          <w:sz w:val="22"/>
          <w:szCs w:val="22"/>
          <w:rtl/>
        </w:rPr>
      </w:pPr>
      <w:r w:rsidRPr="00F41CE4">
        <w:rPr>
          <w:rFonts w:cs="FrankRuehl"/>
          <w:sz w:val="22"/>
          <w:szCs w:val="22"/>
        </w:rPr>
        <w:t> </w:t>
      </w:r>
      <w:r w:rsidRPr="00F41CE4">
        <w:rPr>
          <w:rFonts w:cs="FrankRuehl" w:hint="cs"/>
          <w:sz w:val="22"/>
          <w:szCs w:val="22"/>
          <w:rtl/>
        </w:rPr>
        <w:t xml:space="preserve">38.      התשובה לשאלה אם פעילות פלונית של הממשלה מהווה הסדר ראשוני, אם לאו, תימצא לנו - אפוא - </w:t>
      </w:r>
      <w:r w:rsidRPr="00F41CE4">
        <w:rPr>
          <w:rFonts w:cs="FrankRuehl" w:hint="cs"/>
          <w:sz w:val="22"/>
          <w:szCs w:val="22"/>
          <w:highlight w:val="yellow"/>
          <w:rtl/>
        </w:rPr>
        <w:t xml:space="preserve">בנסיבותיו של כל מקרה ומקרה, בשים לב לטיבו ולמהותו של העניין, ותוך שניעזר, כמובן, בשכל הישר והטוב ובהיגיון. כך, בין השאר, נבחן את מידת השפעתו של ההסדר על הציבור בישראל, וברי כי אין דין פעולה שנועדה לתכלית מצומצמת ונקודתית - וקרובה היא על-פי טיבה לסמכויות ביצוע - כדין פעולה שיש בה כדי להשפיע על מיגזר שלם - אפשר על החברה כולה - ומקרבת היא עצמה כך להסדר ראשוני על-פי הגדרתו </w:t>
      </w:r>
      <w:r w:rsidRPr="00A15059">
        <w:rPr>
          <w:rFonts w:cs="FrankRuehl" w:hint="cs"/>
          <w:sz w:val="22"/>
          <w:szCs w:val="22"/>
          <w:rtl/>
        </w:rPr>
        <w:t>(השוו: פרשת רובינשטיין, 523, 529; בג"ץ 910/86 רסלר נ' שר הביטחון, פ"ד מב(2) 337, 505).</w:t>
      </w:r>
      <w:r w:rsidRPr="00F41CE4">
        <w:rPr>
          <w:rFonts w:cs="FrankRuehl" w:hint="cs"/>
          <w:sz w:val="22"/>
          <w:szCs w:val="22"/>
          <w:highlight w:val="yellow"/>
          <w:rtl/>
        </w:rPr>
        <w:t xml:space="preserve"> נבחן, למשל, את תכלית הפעולה, אם נועדה היא לתכלית שנויה במחלוקת בציבור - תכלית העלולה לעורר זעם ומירמור בקרב חלקים בעם - או שמא זוכה היא להסכמה ציבורית רחבה </w:t>
      </w:r>
      <w:r w:rsidRPr="00A15059">
        <w:rPr>
          <w:rFonts w:cs="FrankRuehl" w:hint="cs"/>
          <w:sz w:val="22"/>
          <w:szCs w:val="22"/>
          <w:rtl/>
        </w:rPr>
        <w:t>(פרשת רובינשטיין, 528-527)</w:t>
      </w:r>
      <w:r w:rsidRPr="00F41CE4">
        <w:rPr>
          <w:rFonts w:cs="FrankRuehl" w:hint="cs"/>
          <w:sz w:val="22"/>
          <w:szCs w:val="22"/>
          <w:highlight w:val="yellow"/>
          <w:rtl/>
        </w:rPr>
        <w:t>; עלותה של הפעולה אף היא תשפיע על מהותה, וברי כי אין דין פעולה שהשלכותיה הכספיות מיזעריות כדין העברתם של עשרות מיליוני שקלים מקופת הציבור למיגזר פלוני</w:t>
      </w:r>
      <w:r w:rsidRPr="00F41CE4">
        <w:rPr>
          <w:rFonts w:cs="FrankRuehl" w:hint="cs"/>
          <w:sz w:val="22"/>
          <w:szCs w:val="22"/>
          <w:rtl/>
        </w:rPr>
        <w:t xml:space="preserve"> (השוו: סעיף 40(א) לחוק-יסודות התקציב, תשמ"ה-1985).</w:t>
      </w:r>
      <w:r>
        <w:rPr>
          <w:rFonts w:cs="FrankRuehl" w:hint="cs"/>
          <w:sz w:val="22"/>
          <w:szCs w:val="22"/>
          <w:rtl/>
        </w:rPr>
        <w:t xml:space="preserve"> [...]</w:t>
      </w:r>
      <w:r w:rsidRPr="007D7DA3">
        <w:rPr>
          <w:rFonts w:cs="FrankRuehl" w:hint="cs"/>
          <w:sz w:val="22"/>
          <w:szCs w:val="22"/>
          <w:rtl/>
        </w:rPr>
        <w:t> </w:t>
      </w:r>
    </w:p>
    <w:p w:rsidR="005366A8" w:rsidRPr="00B2464D" w:rsidRDefault="005366A8" w:rsidP="005366A8">
      <w:pPr>
        <w:pStyle w:val="T-body"/>
        <w:spacing w:after="120" w:line="240" w:lineRule="auto"/>
        <w:ind w:hanging="28"/>
        <w:rPr>
          <w:rFonts w:cs="FrankRuehl"/>
          <w:sz w:val="22"/>
          <w:szCs w:val="22"/>
          <w:rtl/>
        </w:rPr>
      </w:pPr>
      <w:r w:rsidRPr="00B2464D">
        <w:rPr>
          <w:rFonts w:cs="FrankRuehl" w:hint="cs"/>
          <w:sz w:val="22"/>
          <w:szCs w:val="22"/>
          <w:rtl/>
        </w:rPr>
        <w:t> </w:t>
      </w:r>
      <w:r w:rsidRPr="00B2464D">
        <w:rPr>
          <w:rFonts w:cs="FrankRuehl" w:hint="cs"/>
          <w:b/>
          <w:bCs/>
          <w:sz w:val="22"/>
          <w:szCs w:val="22"/>
          <w:rtl/>
        </w:rPr>
        <w:t xml:space="preserve">ומן הכלל אל הפרט </w:t>
      </w:r>
      <w:r>
        <w:rPr>
          <w:rFonts w:cs="FrankRuehl"/>
          <w:b/>
          <w:bCs/>
          <w:sz w:val="22"/>
          <w:szCs w:val="22"/>
          <w:rtl/>
        </w:rPr>
        <w:t>–</w:t>
      </w:r>
      <w:r w:rsidRPr="00B2464D">
        <w:rPr>
          <w:rFonts w:cs="FrankRuehl" w:hint="cs"/>
          <w:b/>
          <w:bCs/>
          <w:sz w:val="22"/>
          <w:szCs w:val="22"/>
          <w:rtl/>
        </w:rPr>
        <w:t xml:space="preserve"> הקדמה</w:t>
      </w:r>
      <w:r>
        <w:rPr>
          <w:rFonts w:cs="FrankRuehl" w:hint="cs"/>
          <w:b/>
          <w:bCs/>
          <w:sz w:val="22"/>
          <w:szCs w:val="22"/>
          <w:rtl/>
        </w:rPr>
        <w:t xml:space="preserve"> </w:t>
      </w:r>
      <w:r w:rsidRPr="00B2464D">
        <w:rPr>
          <w:rFonts w:cs="FrankRuehl" w:hint="cs"/>
          <w:sz w:val="22"/>
          <w:szCs w:val="22"/>
          <w:rtl/>
        </w:rPr>
        <w:t>[...]</w:t>
      </w:r>
    </w:p>
    <w:p w:rsidR="005366A8" w:rsidRPr="007D7DA3" w:rsidRDefault="005366A8" w:rsidP="005366A8">
      <w:pPr>
        <w:pStyle w:val="T-body"/>
        <w:spacing w:after="120" w:line="240" w:lineRule="auto"/>
        <w:ind w:hanging="28"/>
        <w:rPr>
          <w:rFonts w:cs="FrankRuehl"/>
          <w:sz w:val="22"/>
          <w:szCs w:val="22"/>
          <w:rtl/>
        </w:rPr>
      </w:pPr>
      <w:r w:rsidRPr="00B2464D">
        <w:rPr>
          <w:rFonts w:cs="FrankRuehl" w:hint="cs"/>
          <w:sz w:val="22"/>
          <w:szCs w:val="22"/>
          <w:rtl/>
        </w:rPr>
        <w:t> </w:t>
      </w:r>
      <w:r w:rsidRPr="007D7DA3">
        <w:rPr>
          <w:rFonts w:cs="FrankRuehl" w:hint="cs"/>
          <w:sz w:val="22"/>
          <w:szCs w:val="22"/>
          <w:rtl/>
        </w:rPr>
        <w:t>45.</w:t>
      </w:r>
      <w:r w:rsidRPr="007D7DA3">
        <w:rPr>
          <w:rFonts w:cs="FrankRuehl"/>
          <w:sz w:val="22"/>
          <w:szCs w:val="22"/>
        </w:rPr>
        <w:t xml:space="preserve">      </w:t>
      </w:r>
      <w:r w:rsidRPr="002C63AE">
        <w:rPr>
          <w:rFonts w:cs="FrankRuehl" w:hint="cs"/>
          <w:sz w:val="22"/>
          <w:szCs w:val="22"/>
          <w:highlight w:val="yellow"/>
          <w:rtl/>
        </w:rPr>
        <w:t>עיון בכתובים ילמדנו, כי ההחלטה על כינונו של אזור פלוני כאזור עדיפות לאומית, החלטה רבת-משמעות היא, שכן נגזרות ממנה הטבות רבות ושונות - ובמיגזרי חיים רבים ושונים - לתושבים וליישובים שבתחומי אותם אזורים. כך, בין השאר, זוכים תושביו של אזור עדיפות לאומית להטבות בשיכון ובדיור - בכללן סיוע והנחות ברכישת קרקעות ומגרשים; מערכת החינוך באזור זוכה להטבות ולתמריצים, בכללם הקלות בתשלום שכר לימוד בגני הילדים, השתתפות בהסעות לבתי הספר, תקציבים ייחודיים לבתי-ספר, מתן תמריצים מיוחדים למורים המלמדים בהם, ואפילו חלוקת מלגות לסטודנטים המתגוררים והלומדים באזור; התושבים זוכים להטבות בתחום הרווחה, בכללן תמריצים ומענקים לבעלי מקצועות מסוימים הבוחרים להעתיק את מגוריהם לאזור; בעלי עסקים הבוחרים לפעול באזור, וכמותם תושבי האזור, זוכים להקלות-מיסוי (הקלות המקנות להם, כמובן, יתרון על-פני בתי עסק אחרים שאינם זוכים לאותם הקלות); כן זוכים בעלי העסקים והתושבים באזור להטבות בתחום התעסוקה ולהעדפה ברכש הממשלתי; רשויות מקומיות זוכות לתקציבי פיתוח ולסיוע מן הממשלה; ועוד כהנה וכהנה הטבות.</w:t>
      </w:r>
      <w:r w:rsidRPr="007D7DA3">
        <w:rPr>
          <w:rFonts w:cs="FrankRuehl" w:hint="cs"/>
          <w:sz w:val="22"/>
          <w:szCs w:val="22"/>
          <w:rtl/>
        </w:rPr>
        <w:t xml:space="preserve"> </w:t>
      </w:r>
      <w:r>
        <w:rPr>
          <w:rFonts w:cs="FrankRuehl" w:hint="cs"/>
          <w:sz w:val="22"/>
          <w:szCs w:val="22"/>
          <w:rtl/>
        </w:rPr>
        <w:t>[...]</w:t>
      </w:r>
    </w:p>
    <w:p w:rsidR="005366A8" w:rsidRPr="007D7DA3" w:rsidRDefault="005366A8" w:rsidP="005366A8">
      <w:pPr>
        <w:pStyle w:val="ruller40"/>
        <w:spacing w:after="120" w:line="240" w:lineRule="auto"/>
        <w:rPr>
          <w:rFonts w:cs="FrankRuehl"/>
          <w:rtl/>
        </w:rPr>
      </w:pPr>
      <w:r w:rsidRPr="007D7DA3">
        <w:rPr>
          <w:rFonts w:cs="FrankRuehl" w:hint="cs"/>
          <w:rtl/>
        </w:rPr>
        <w:t xml:space="preserve">           נעיין בהחלטת הממשלה על כינונם של אזורי עדיפות לאומית ועל ההטבות שהתושבים והיישובים באותם אזורים אמורים לזכות בהן, וגם מי שלא ניחן בדמיון מפליג יידע כי </w:t>
      </w:r>
      <w:r w:rsidRPr="00D934E3">
        <w:rPr>
          <w:rFonts w:cs="FrankRuehl" w:hint="cs"/>
          <w:highlight w:val="yellow"/>
          <w:rtl/>
        </w:rPr>
        <w:t>המדובר בהחלטה הפורשת עצמה על פני מרחבים אדירים. החלטה היא שקשה להגזים בחשיבותה</w:t>
      </w:r>
      <w:r w:rsidRPr="007D7DA3">
        <w:rPr>
          <w:rFonts w:cs="FrankRuehl" w:hint="cs"/>
          <w:rtl/>
        </w:rPr>
        <w:t>.  עלוותה סבוכה ושולחת היא פארותיה אל-למרחוק.</w:t>
      </w:r>
    </w:p>
    <w:p w:rsidR="005366A8" w:rsidRPr="007D7DA3" w:rsidRDefault="005366A8" w:rsidP="005366A8">
      <w:pPr>
        <w:pStyle w:val="ruller40"/>
        <w:spacing w:line="240" w:lineRule="auto"/>
        <w:rPr>
          <w:rFonts w:cs="FrankRuehl"/>
          <w:rtl/>
        </w:rPr>
      </w:pPr>
      <w:r w:rsidRPr="007D7DA3">
        <w:rPr>
          <w:rFonts w:cs="FrankRuehl" w:hint="cs"/>
          <w:rtl/>
        </w:rPr>
        <w:t> 46.      במקביל להחלטת הממשלה, נעיין בספר החוקים ונדע כי לא יימצא לנו חוק מהותי מפורש שההחלטות נעשו מכוח סמכות שבו. והשאלה שאלה: מכוח סמכותה השיורית שבסעיף 32 לחוק-יסוד: הממשלה (תשס"א)), ההיתה הממשלה מוסמכת להחליט אותן החלטות שהחליטה? להזכירנו, כך מורה אותנו סעיף 32 האמור:</w:t>
      </w:r>
    </w:p>
    <w:p w:rsidR="005366A8" w:rsidRPr="007D7DA3" w:rsidRDefault="005366A8" w:rsidP="005366A8">
      <w:pPr>
        <w:pStyle w:val="ruller40"/>
        <w:spacing w:line="240" w:lineRule="auto"/>
        <w:rPr>
          <w:rFonts w:cs="FrankRuehl"/>
          <w:rtl/>
        </w:rPr>
      </w:pPr>
      <w:r w:rsidRPr="007D7DA3">
        <w:rPr>
          <w:rFonts w:cs="FrankRuehl" w:hint="cs"/>
          <w:rtl/>
        </w:rPr>
        <w:t> </w:t>
      </w:r>
    </w:p>
    <w:tbl>
      <w:tblPr>
        <w:bidiVisual/>
        <w:tblW w:w="0" w:type="auto"/>
        <w:jc w:val="right"/>
        <w:tblInd w:w="1757" w:type="dxa"/>
        <w:tblCellMar>
          <w:left w:w="0" w:type="dxa"/>
          <w:right w:w="0" w:type="dxa"/>
        </w:tblCellMar>
        <w:tblLook w:val="0000"/>
      </w:tblPr>
      <w:tblGrid>
        <w:gridCol w:w="1103"/>
        <w:gridCol w:w="4142"/>
      </w:tblGrid>
      <w:tr w:rsidR="005366A8" w:rsidRPr="007D7DA3" w:rsidTr="001845AC">
        <w:trPr>
          <w:jc w:val="right"/>
        </w:trPr>
        <w:tc>
          <w:tcPr>
            <w:tcW w:w="1103" w:type="dxa"/>
            <w:tcMar>
              <w:top w:w="0" w:type="dxa"/>
              <w:left w:w="108" w:type="dxa"/>
              <w:bottom w:w="0" w:type="dxa"/>
              <w:right w:w="108" w:type="dxa"/>
            </w:tcMar>
          </w:tcPr>
          <w:p w:rsidR="005366A8" w:rsidRPr="007D7DA3" w:rsidRDefault="005366A8" w:rsidP="001845AC">
            <w:pPr>
              <w:rPr>
                <w:rFonts w:cs="FrankRuehl"/>
                <w:sz w:val="22"/>
                <w:szCs w:val="22"/>
              </w:rPr>
            </w:pPr>
            <w:r w:rsidRPr="007D7DA3">
              <w:rPr>
                <w:rFonts w:cs="FrankRuehl" w:hint="cs"/>
                <w:sz w:val="22"/>
                <w:szCs w:val="22"/>
                <w:rtl/>
              </w:rPr>
              <w:t>הסמכויות השיוריות של הממשלה</w:t>
            </w:r>
          </w:p>
        </w:tc>
        <w:tc>
          <w:tcPr>
            <w:tcW w:w="4142" w:type="dxa"/>
            <w:tcMar>
              <w:top w:w="0" w:type="dxa"/>
              <w:left w:w="108" w:type="dxa"/>
              <w:bottom w:w="0" w:type="dxa"/>
              <w:right w:w="108" w:type="dxa"/>
            </w:tcMar>
          </w:tcPr>
          <w:p w:rsidR="005366A8" w:rsidRPr="007D7DA3" w:rsidRDefault="005366A8" w:rsidP="001845AC">
            <w:pPr>
              <w:rPr>
                <w:rFonts w:cs="FrankRuehl"/>
                <w:sz w:val="22"/>
                <w:szCs w:val="22"/>
              </w:rPr>
            </w:pPr>
            <w:r w:rsidRPr="007D7DA3">
              <w:rPr>
                <w:rFonts w:cs="FrankRuehl" w:hint="cs"/>
                <w:spacing w:val="10"/>
                <w:sz w:val="22"/>
                <w:szCs w:val="22"/>
                <w:rtl/>
              </w:rPr>
              <w:t>32. הממשלה מוסמכת לעשות בשם המדינה, בכפוף לכל דין, כל פעולה שעשייתה אינה מוטלת בדין על רשות אחרת.</w:t>
            </w:r>
          </w:p>
        </w:tc>
      </w:tr>
    </w:tbl>
    <w:p w:rsidR="005366A8" w:rsidRPr="007D7DA3" w:rsidRDefault="005366A8" w:rsidP="005366A8">
      <w:pPr>
        <w:pStyle w:val="ruller40"/>
        <w:spacing w:line="240" w:lineRule="auto"/>
        <w:rPr>
          <w:rFonts w:cs="FrankRuehl"/>
          <w:rtl/>
        </w:rPr>
      </w:pPr>
      <w:r w:rsidRPr="007D7DA3">
        <w:rPr>
          <w:rFonts w:cs="FrankRuehl" w:hint="cs"/>
          <w:rtl/>
        </w:rPr>
        <w:t> </w:t>
      </w:r>
    </w:p>
    <w:p w:rsidR="005366A8" w:rsidRPr="007D7DA3" w:rsidRDefault="005366A8" w:rsidP="005366A8">
      <w:pPr>
        <w:pStyle w:val="ruller40"/>
        <w:spacing w:after="120" w:line="240" w:lineRule="auto"/>
        <w:rPr>
          <w:rFonts w:cs="FrankRuehl"/>
          <w:rtl/>
        </w:rPr>
      </w:pPr>
      <w:r w:rsidRPr="007D7DA3">
        <w:rPr>
          <w:rFonts w:cs="FrankRuehl" w:hint="cs"/>
          <w:rtl/>
        </w:rPr>
        <w:t xml:space="preserve">            </w:t>
      </w:r>
      <w:r w:rsidRPr="00B2464D">
        <w:rPr>
          <w:rFonts w:cs="FrankRuehl" w:hint="cs"/>
          <w:highlight w:val="yellow"/>
          <w:rtl/>
        </w:rPr>
        <w:t>לבחינתה של השאלה הבה נלך בדרך שהתווינו בחוות דעתנו. נבחן בתחילה את "המיגבלות הפנימיות" ליצירתה של סמכות שיורית - אלו מיגבלות הקבועות בגופה של הוראת סעיף 32 - ולאחר מכן נעבור ונדון באותן "מיגבלות  חיצוניות" שעיקרי-יסוד ודוקטרינות בשיטת המשפט מלפפים יצירתה של סמכות שיורית.</w:t>
      </w:r>
    </w:p>
    <w:p w:rsidR="005366A8" w:rsidRPr="007D7DA3" w:rsidRDefault="005366A8" w:rsidP="005366A8">
      <w:pPr>
        <w:pStyle w:val="ruller40"/>
        <w:spacing w:after="120" w:line="240" w:lineRule="auto"/>
        <w:rPr>
          <w:rFonts w:cs="FrankRuehl"/>
          <w:b/>
          <w:bCs/>
          <w:rtl/>
        </w:rPr>
      </w:pPr>
      <w:r w:rsidRPr="007D7DA3">
        <w:rPr>
          <w:rFonts w:cs="FrankRuehl" w:hint="cs"/>
          <w:rtl/>
        </w:rPr>
        <w:t>  </w:t>
      </w:r>
      <w:r w:rsidRPr="007D7DA3">
        <w:rPr>
          <w:rFonts w:cs="FrankRuehl" w:hint="cs"/>
          <w:b/>
          <w:bCs/>
          <w:spacing w:val="0"/>
          <w:rtl/>
        </w:rPr>
        <w:t>ומן הכלל אל הפרט - "המיגבלות הפנימיות"</w:t>
      </w:r>
    </w:p>
    <w:p w:rsidR="005366A8" w:rsidRPr="007D7DA3" w:rsidRDefault="005366A8" w:rsidP="005366A8">
      <w:pPr>
        <w:pStyle w:val="ruller40"/>
        <w:spacing w:after="120" w:line="240" w:lineRule="auto"/>
        <w:rPr>
          <w:rFonts w:cs="FrankRuehl"/>
          <w:rtl/>
        </w:rPr>
      </w:pPr>
      <w:r w:rsidRPr="007D7DA3">
        <w:rPr>
          <w:rFonts w:cs="FrankRuehl" w:hint="cs"/>
          <w:rtl/>
        </w:rPr>
        <w:t> 47</w:t>
      </w:r>
      <w:r w:rsidRPr="004516F8">
        <w:rPr>
          <w:rFonts w:cs="FrankRuehl" w:hint="cs"/>
          <w:highlight w:val="yellow"/>
          <w:rtl/>
        </w:rPr>
        <w:t>.</w:t>
      </w:r>
      <w:r w:rsidRPr="004516F8">
        <w:rPr>
          <w:rFonts w:cs="FrankRuehl"/>
          <w:highlight w:val="yellow"/>
        </w:rPr>
        <w:t xml:space="preserve">      </w:t>
      </w:r>
      <w:r w:rsidRPr="004516F8">
        <w:rPr>
          <w:rFonts w:cs="FrankRuehl" w:hint="cs"/>
          <w:highlight w:val="yellow"/>
          <w:rtl/>
        </w:rPr>
        <w:t xml:space="preserve">כהוראת סעיף 32 לחוק-יסוד: הממשלה (תשס"א), קונה הממשלה סמכות (שיורית) לעשות בשם המדינה כל פעולה - ופעולה, כך מוסכם על הכל, כוללת עשיית הסדרים נורמטיוויים למיניהם - בשתי מיגבלות אלו: </w:t>
      </w:r>
      <w:r w:rsidRPr="004516F8">
        <w:rPr>
          <w:rFonts w:cs="FrankRuehl" w:hint="cs"/>
          <w:spacing w:val="0"/>
          <w:highlight w:val="yellow"/>
          <w:rtl/>
        </w:rPr>
        <w:t>אחת</w:t>
      </w:r>
      <w:r w:rsidRPr="004516F8">
        <w:rPr>
          <w:rFonts w:cs="FrankRuehl" w:hint="cs"/>
          <w:highlight w:val="yellow"/>
          <w:rtl/>
        </w:rPr>
        <w:t xml:space="preserve">, "בכפוף לכל דין", </w:t>
      </w:r>
      <w:r w:rsidRPr="004516F8">
        <w:rPr>
          <w:rFonts w:cs="FrankRuehl" w:hint="cs"/>
          <w:spacing w:val="0"/>
          <w:highlight w:val="yellow"/>
          <w:rtl/>
        </w:rPr>
        <w:t>ושתיים</w:t>
      </w:r>
      <w:r w:rsidRPr="004516F8">
        <w:rPr>
          <w:rFonts w:cs="FrankRuehl" w:hint="cs"/>
          <w:highlight w:val="yellow"/>
          <w:rtl/>
        </w:rPr>
        <w:t>, במקום שעשיית הפעולה "אינה מוטלת בדין על רשות אחרת". "מיגבלות פנימיות" כינינו מיגבלות אלו. פירוש הדברים הוא,  כפי שראינו, שבמקום שיש בו "דין" המסדיר פעילות מסויימת או גיזרת חיים מסויימת, כי-אז אותן פעילות או גיזרת חיים הן, לכאורה, "מחוץ לתחום" הסמכות השיורית שקנתה הממשלה. כך הוא גם לעניינו של הסדר שלילי העוטף אותו דין.</w:t>
      </w:r>
      <w:r w:rsidRPr="007D7DA3">
        <w:rPr>
          <w:rFonts w:cs="FrankRuehl" w:hint="cs"/>
          <w:rtl/>
        </w:rPr>
        <w:t xml:space="preserve"> והנה, בענייננו-שלנו נמצא לנו חוק שלענין, הלא הוא </w:t>
      </w:r>
      <w:hyperlink r:id="rId294" w:history="1">
        <w:r w:rsidRPr="004516F8">
          <w:rPr>
            <w:rStyle w:val="Hyperlink"/>
            <w:rFonts w:cs="FrankRuehl" w:hint="eastAsia"/>
            <w:rtl/>
          </w:rPr>
          <w:t>חוק</w:t>
        </w:r>
        <w:r w:rsidRPr="004516F8">
          <w:rPr>
            <w:rStyle w:val="Hyperlink"/>
            <w:rFonts w:cs="FrankRuehl"/>
            <w:rtl/>
          </w:rPr>
          <w:t xml:space="preserve"> ערי ואזורי פיתוח</w:t>
        </w:r>
      </w:hyperlink>
      <w:r w:rsidRPr="004516F8">
        <w:rPr>
          <w:rFonts w:cs="FrankRuehl" w:hint="cs"/>
          <w:highlight w:val="yellow"/>
          <w:rtl/>
        </w:rPr>
        <w:t>, תשמ"ח-1988</w:t>
      </w:r>
      <w:r w:rsidRPr="007D7DA3">
        <w:rPr>
          <w:rFonts w:cs="FrankRuehl" w:hint="cs"/>
          <w:rtl/>
        </w:rPr>
        <w:t xml:space="preserve"> (</w:t>
      </w:r>
      <w:r w:rsidRPr="007D7DA3">
        <w:rPr>
          <w:rFonts w:cs="FrankRuehl" w:hint="cs"/>
          <w:spacing w:val="0"/>
          <w:rtl/>
        </w:rPr>
        <w:t>חוק ערי פיתוח</w:t>
      </w:r>
      <w:r w:rsidRPr="007D7DA3">
        <w:rPr>
          <w:rFonts w:cs="FrankRuehl" w:hint="cs"/>
          <w:rtl/>
        </w:rPr>
        <w:t>), והשאלה הנשאלת היא, אם הפעילות שהחלטות הממשלה מעסיקות עצמן בה - כינונם של אזורי עדיפות לאומית ומתן הטבות אלו ואחרות לתושבים ולישובים באותם אזורים - זהה או דומה היא לפעולות שלפי חוק ערי פיתוח. שאם הפעילות כאן וכאן אותה פעילות היא, או פעילות דומה, כי-אז ניתן יהיה לומר שיש "דין" המסדיר את הנושא, וכנדרש מכך אין הממשלה קונה סמכות (שיורית) לעשות אותה פעילות בשל המיגבלה של "בכפוף לכל דין" (ובשל המיגבלה הנוספת של קיום רשות אחרת בת-סמכות). לבחינה זו שומה עלינו לבחון את ההסדרים שקבעה הממשלה בהחלטותיה; את ההסדרים שנקבעו בחוק ערי פיתוח; להשוות בין אלה לאלה, ולהסיק אם אמנם הסדרים שקבעה הממשלה אינם עולים בקנה אחד עם הסדרים שקבע החוק. </w:t>
      </w:r>
    </w:p>
    <w:p w:rsidR="005366A8" w:rsidRPr="007D7DA3" w:rsidRDefault="005366A8" w:rsidP="005366A8">
      <w:pPr>
        <w:pStyle w:val="ruller40"/>
        <w:spacing w:after="120" w:line="240" w:lineRule="auto"/>
        <w:rPr>
          <w:rFonts w:cs="FrankRuehl"/>
          <w:rtl/>
        </w:rPr>
      </w:pPr>
      <w:r w:rsidRPr="007D7DA3">
        <w:rPr>
          <w:rFonts w:cs="FrankRuehl" w:hint="cs"/>
          <w:rtl/>
        </w:rPr>
        <w:t xml:space="preserve">48 .     את החלטות הממשלה סקרנו בדברינו למעלה, ועתה נעבור ונעיין בחוק ערי פיתוח. חוק ערי פיתוח חקקה אותו הכנסת בשנת תשמ"ח-1988, ומחזיק הוא עשרים וארבעה סעיפים. מטרת החוק, כהוראת סעיף 1 בו, היא "לעודד התיישבות, פיתוח וקידום חברתי וכלכלי של ערי ואזורי הפיתוח ושל תושביהן", ועיקרו הוא בקביעת הסדרים מפורטים למתן הטבות לערי פיתוח. ... </w:t>
      </w:r>
    </w:p>
    <w:p w:rsidR="005366A8" w:rsidRPr="007D7DA3" w:rsidRDefault="005366A8" w:rsidP="005366A8">
      <w:pPr>
        <w:pStyle w:val="ruller40"/>
        <w:spacing w:after="120" w:line="240" w:lineRule="auto"/>
        <w:rPr>
          <w:rFonts w:cs="FrankRuehl"/>
          <w:rtl/>
        </w:rPr>
      </w:pPr>
      <w:r w:rsidRPr="007D7DA3">
        <w:rPr>
          <w:rFonts w:cs="FrankRuehl" w:hint="cs"/>
          <w:rtl/>
        </w:rPr>
        <w:t> 49.</w:t>
      </w:r>
      <w:r w:rsidRPr="007D7DA3">
        <w:rPr>
          <w:rFonts w:cs="FrankRuehl"/>
        </w:rPr>
        <w:t xml:space="preserve">      </w:t>
      </w:r>
      <w:r w:rsidRPr="007D7DA3">
        <w:rPr>
          <w:rFonts w:cs="FrankRuehl" w:hint="cs"/>
          <w:rtl/>
        </w:rPr>
        <w:t>אין צורך במחקר מעמיק עד שנבין ונדע כי ההסדרים הקבועים בחוק ערי פיתוח, מכאן, וההסדרים שקבעה הממשלה בהחלטתה על כינונם על אזורי עדיפות לאומית, מכאן, אלה ואלה קרובים הם במאוד, קרובים הם עד-כדי-זהות. בבחינת ההלכה והמעשה, שני ההסדרים הסדרים חלופיים הם זה-לזה, שכן מבקשים הם לכסות אותו מיגזר חיים של אזורים יחודיים בישראל. בהחלטת הממשלה מכונים אותם אזורים יחודיים אזורי עדיפות לאומית ואילו בחוק ערי פיתוח כינויים הוא "ערי ואזורי פיתוח". אלא שֶאַל לחילופי השמות להוליכנו שולל. האדרת שונה אך הגברת אותה גברת היא.</w:t>
      </w:r>
    </w:p>
    <w:p w:rsidR="005366A8" w:rsidRPr="007D7DA3" w:rsidRDefault="005366A8" w:rsidP="005366A8">
      <w:pPr>
        <w:pStyle w:val="ruller40"/>
        <w:spacing w:after="120" w:line="240" w:lineRule="auto"/>
        <w:rPr>
          <w:rFonts w:cs="FrankRuehl"/>
          <w:rtl/>
        </w:rPr>
      </w:pPr>
      <w:r w:rsidRPr="007D7DA3">
        <w:rPr>
          <w:rFonts w:cs="FrankRuehl" w:hint="cs"/>
          <w:rtl/>
        </w:rPr>
        <w:t> 50.</w:t>
      </w:r>
      <w:r w:rsidRPr="007D7DA3">
        <w:rPr>
          <w:rFonts w:cs="FrankRuehl"/>
        </w:rPr>
        <w:t xml:space="preserve">      </w:t>
      </w:r>
      <w:r w:rsidRPr="004516F8">
        <w:rPr>
          <w:rFonts w:cs="FrankRuehl" w:hint="cs"/>
          <w:highlight w:val="yellow"/>
          <w:rtl/>
        </w:rPr>
        <w:t>לו היה חוק ערי פיתוח חוק חי ונושם; לו היה החוק מוצָא אל הפועל, ולו בחלקו; לא היתה הממשלה מוסמכת - כסמכותה השיורית - להחליט החלטות שהחליטה בכינונם של אזורי עדיפות לאומית. לשון אחר: מתוך שההסדרים שבחוק וההסדרים שבאזורי עדיפות לאומית מבקשים לכסות אותו שטח חיים עצמו, כי-אז נוכח ההסדרים שבחוק לא היתה נולדת כלל סמכותה השיורית של הממשלה בתחום חיים זה. אלא שחוק ערי פיתוח נותר, למיום היוולדו, כהלכה ואין מורין כן. למרות קיומו של החוק בספר החוקים כחוק מן-המנין, לא טרחה הממשלה לבצעו, ובסוללהּ מסלול-עוקף-חוק - בסמכותה, כביכול, בסעיף 29 לחוק-יסוד: הממשלה (תשכ"ח), הלוא הוא סעיף 32 שלענייננו - ראתה להתעלם מקיומו מכל-וכל. המסלול העוקף היה בהחלטות ממשלה או ועדות שרים להעניק הטבות אלו ואחרות לערים שסווגו כערי פיתוח על-פי אותן החלטות, כך שמאות יישובים קיבלו הטבות שונות מכוחן של החלטות אשר נתקבלו מעת לעת.</w:t>
      </w:r>
      <w:r w:rsidRPr="007D7DA3">
        <w:rPr>
          <w:rFonts w:cs="FrankRuehl" w:hint="cs"/>
          <w:rtl/>
        </w:rPr>
        <w:t xml:space="preserve"> לאחר שנתברר כי נשתרר אי-סדר בתחום זה של הטבות - דבר שהביא לחוסר שוויון ולבזבוז משאבי המדינה - החליטה הממשלה, שוב מכוח סמכותה השיורית, כביכול, לתקון למצב שנוצר, וכוננה אזורי עדיפות לאומית - אזור עדיפות לאומית א' ואזור עדיפות לאומית ב' - שתושביהם והיישובים שבהם אמורים היו לזכות בהטבות שיינתנו בידי משרדי הממשלה למיניהם. אזורי עדיפות לאומית אלה - הם אזורי העדיפות הלאומית שלפנינו - כינונם נועד לבוא תחת ההסדר שקבעה הכנסת בחוק ערי פיתוח.</w:t>
      </w:r>
    </w:p>
    <w:p w:rsidR="005366A8" w:rsidRPr="007D7DA3" w:rsidRDefault="005366A8" w:rsidP="005366A8">
      <w:pPr>
        <w:pStyle w:val="ruller40"/>
        <w:spacing w:after="120" w:line="240" w:lineRule="auto"/>
        <w:rPr>
          <w:rFonts w:cs="FrankRuehl"/>
          <w:rtl/>
        </w:rPr>
      </w:pPr>
      <w:r w:rsidRPr="007D7DA3">
        <w:rPr>
          <w:rFonts w:cs="FrankRuehl" w:hint="cs"/>
          <w:rtl/>
        </w:rPr>
        <w:t xml:space="preserve"> 51.      על רקע זה באה עתירתה של עיריית קרית גת, וטענתה של העיריה בפיה כי משנחקק חוק ערי פיתוח שוב לא קנתה הממשלה סמכות "שיורית" לקבוע הסדר חלופי להסדר שנקבע בחוק. בית המשפט נעתר לעתירה, וכך נולדה ההלכה שבפרשת </w:t>
      </w:r>
      <w:r w:rsidRPr="007D7DA3">
        <w:rPr>
          <w:rFonts w:cs="FrankRuehl" w:hint="cs"/>
          <w:spacing w:val="0"/>
          <w:rtl/>
        </w:rPr>
        <w:t>עיריית קרית גת</w:t>
      </w:r>
      <w:r w:rsidRPr="007D7DA3">
        <w:rPr>
          <w:rFonts w:cs="FrankRuehl" w:hint="cs"/>
          <w:rtl/>
        </w:rPr>
        <w:t>, הלכה שנדרשנו לה לא מעט בדברינו למעלה. ...</w:t>
      </w:r>
    </w:p>
    <w:p w:rsidR="005366A8" w:rsidRPr="007D7DA3" w:rsidRDefault="005366A8" w:rsidP="005366A8">
      <w:pPr>
        <w:pStyle w:val="ruller40"/>
        <w:spacing w:after="120" w:line="240" w:lineRule="auto"/>
        <w:rPr>
          <w:rFonts w:cs="FrankRuehl"/>
          <w:rtl/>
        </w:rPr>
      </w:pPr>
      <w:r w:rsidRPr="007D7DA3">
        <w:rPr>
          <w:rFonts w:cs="FrankRuehl" w:hint="cs"/>
          <w:rtl/>
        </w:rPr>
        <w:t xml:space="preserve"> 52.      ההלכה </w:t>
      </w:r>
      <w:r w:rsidRPr="004516F8">
        <w:rPr>
          <w:rFonts w:cs="FrankRuehl" w:hint="cs"/>
          <w:b/>
          <w:bCs/>
          <w:rtl/>
        </w:rPr>
        <w:t xml:space="preserve">בפרשת </w:t>
      </w:r>
      <w:r w:rsidRPr="004516F8">
        <w:rPr>
          <w:rFonts w:cs="FrankRuehl" w:hint="cs"/>
          <w:b/>
          <w:bCs/>
          <w:spacing w:val="0"/>
          <w:rtl/>
        </w:rPr>
        <w:t>עיריית קרית גת</w:t>
      </w:r>
      <w:r w:rsidRPr="007D7DA3">
        <w:rPr>
          <w:rFonts w:cs="FrankRuehl" w:hint="cs"/>
          <w:rtl/>
        </w:rPr>
        <w:t xml:space="preserve"> נקבעה לעת שחוק ערי פיתוח היה בתוקף, ושעה שהממשלה ניסתה לעוקפו - ושלא לבצעו - על דרך סלילת מסלול עוקף של כינון אזורי עדיפות לאומית. נמצא לו לבית המשפט כי מעשה הממשלה נָגַד את מעשה הכנסת ואת עקרון הפרדת הרשויות וביזור הסמכויות, ועל-כן פסל את החלטת הממשלה (הגם שקבע, ברוב דעות, כי החלטת הפסילה תושעה עד לאחר עבור ארבעת חודשים מיום הכרעת הדין). </w:t>
      </w:r>
      <w:r w:rsidRPr="004516F8">
        <w:rPr>
          <w:rFonts w:cs="FrankRuehl" w:hint="cs"/>
          <w:highlight w:val="yellow"/>
          <w:rtl/>
        </w:rPr>
        <w:t>זו הפעם נזדרזה הממשלה בעשייה. וכך, לאחר הגשת העתירה וכחודש לפני מתן פסק הדין, ביקשה המדינה מן הכנסת כי תחליט - נוכח קשיים שנתגלו ביישום ובשים לב לנטל שהביצוע יטיל על תקציב המדינה - על דחיית תחילתו של החוק בשלוש שנים.</w:t>
      </w:r>
      <w:r>
        <w:rPr>
          <w:rFonts w:cs="FrankRuehl" w:hint="cs"/>
          <w:rtl/>
        </w:rPr>
        <w:t xml:space="preserve"> </w:t>
      </w:r>
      <w:r w:rsidRPr="007D7DA3">
        <w:rPr>
          <w:rFonts w:cs="FrankRuehl" w:hint="cs"/>
          <w:rtl/>
        </w:rPr>
        <w:t>... </w:t>
      </w:r>
    </w:p>
    <w:p w:rsidR="005366A8" w:rsidRPr="007D7DA3" w:rsidRDefault="005366A8" w:rsidP="005366A8">
      <w:pPr>
        <w:pStyle w:val="ruller40"/>
        <w:spacing w:after="120" w:line="240" w:lineRule="auto"/>
        <w:rPr>
          <w:rFonts w:cs="FrankRuehl"/>
          <w:rtl/>
        </w:rPr>
      </w:pPr>
      <w:r w:rsidRPr="007D7DA3">
        <w:rPr>
          <w:rFonts w:cs="FrankRuehl" w:hint="cs"/>
          <w:rtl/>
        </w:rPr>
        <w:t xml:space="preserve">55.      משחלפו חמש השנים - שנים שבמהלכן החליטה הממשלה את החלטתה 2288 לכונן אזורי עדיפות לאומית, זו החלטה המותקפת בעתירה שלפנינו - החליטה הממשלה להסיר מעל דרכה, אחת-ולתמיד, את חוק ערי פיתוח. עמדה אפוא וביקשה את הכנסת כי תבטל את החוק כליל, וכי תתיר לה, לממשלה,  לחלק את משאבי המדינה כראות עיניה. </w:t>
      </w:r>
      <w:r>
        <w:rPr>
          <w:rFonts w:cs="FrankRuehl" w:hint="cs"/>
          <w:rtl/>
        </w:rPr>
        <w:t>...</w:t>
      </w:r>
    </w:p>
    <w:p w:rsidR="005366A8" w:rsidRPr="007D7DA3" w:rsidRDefault="005366A8" w:rsidP="005366A8">
      <w:pPr>
        <w:pStyle w:val="ruller40"/>
        <w:spacing w:after="120" w:line="240" w:lineRule="auto"/>
        <w:rPr>
          <w:rFonts w:cs="FrankRuehl"/>
          <w:rtl/>
        </w:rPr>
      </w:pPr>
      <w:r w:rsidRPr="007D7DA3">
        <w:rPr>
          <w:rFonts w:cs="FrankRuehl" w:hint="cs"/>
          <w:rtl/>
        </w:rPr>
        <w:t>אלא שזו הפעם לא נעתרה הכנסת לבקשת הממשלה, ותחת אשר תבטל את חוק ערי פיתוח הורתה בחוק על דחיית תחילתו בשלוש שנים, עד לשנת 2007. וזה הוא החוק כהיום הזה.</w:t>
      </w:r>
      <w:r>
        <w:rPr>
          <w:rFonts w:cs="FrankRuehl" w:hint="cs"/>
          <w:rtl/>
        </w:rPr>
        <w:t xml:space="preserve"> ...</w:t>
      </w:r>
      <w:r w:rsidRPr="007D7DA3">
        <w:rPr>
          <w:rFonts w:cs="FrankRuehl" w:hint="cs"/>
          <w:rtl/>
        </w:rPr>
        <w:t xml:space="preserve"> </w:t>
      </w:r>
    </w:p>
    <w:p w:rsidR="005366A8" w:rsidRPr="007D7DA3" w:rsidRDefault="005366A8" w:rsidP="005366A8">
      <w:pPr>
        <w:pStyle w:val="ruller40"/>
        <w:spacing w:after="120" w:line="240" w:lineRule="auto"/>
        <w:rPr>
          <w:rFonts w:cs="FrankRuehl"/>
          <w:rtl/>
        </w:rPr>
      </w:pPr>
      <w:r w:rsidRPr="007D7DA3">
        <w:rPr>
          <w:rFonts w:cs="FrankRuehl" w:hint="cs"/>
          <w:rtl/>
        </w:rPr>
        <w:t xml:space="preserve"> 57.      </w:t>
      </w:r>
      <w:r>
        <w:rPr>
          <w:rFonts w:cs="FrankRuehl" w:hint="cs"/>
          <w:rtl/>
        </w:rPr>
        <w:t>...</w:t>
      </w:r>
      <w:r w:rsidRPr="007D7DA3">
        <w:rPr>
          <w:rFonts w:cs="FrankRuehl" w:hint="cs"/>
          <w:rtl/>
        </w:rPr>
        <w:t xml:space="preserve"> מחד גיסא, כך יטען הטוען, מצביעה חקיקתו של חוק ערי פיתוח ועימה השתלשלות האירועים שהיתה מאז נחקק, בשנת 1988, ועד לימינו אלה - תקופה בת 17 שנים - על היווצרותה של מעין חגורת הסדר שלילי סביב החוק, הסדר שלילי החוסם קיומה של סמכות שיורית לממשלה להעניק מענקי-כסף שהיא מבקשת להעניק לאזורי עדיפות לאומית. נזכור, בהקשר זה, כי הכנסת דחתה מפורשות את בקשת הממשלה לבטל מכל-וכל את חוק ערי פיתוח - ביטול שהיה עשוי, לסברת הממשלה (ועל כך נוסיף דברים עוד להלן), לשחרר את סמכותה השיורית מן הכבלים שליפפו אותה סביב-סביב, ולאפשר לה להעניק מענקי-כסף על-פי מדיניות שתקבע מעת לעת בלא שתהא קשורה בחוק של הכנסת. פירוש הדברים הוא, כך נותנת הדעת, שהכנסת סירבה כי בתחום זה של מענקים לאזורים מסויימים בארץ תיעור משנתהּ סמכותה השיורית של הממשלה, כי הממשלה תעניק מענקי-כסף כמדיניותה מעת לעת. בסירובה להיעתר לממשלה, כמו הביעה הכנסת דעתה כי ראוי שהחוק דווקא ישרור, לא חלקים בו ולא מיקצתו. ובדחיית תחילתו של החוק כמו הביעה הכנסת דעתה כי לעת הזו אין לבצע את החוק, כולו או מיקצתו. אכן, לו ביקשה הממשלה את הכנסת כי תקצץ בכנפי החוק, תוך התאמתו למדיניותה הנוהגת באזורי עדיפות לאומית, אפשר היתה הכנסת נעתרת לה ואפשר היתה מסרבת לה. ואולם בדרך זו היה עליה ללכת ולא בעקיפת החוק על דרך של דחיית תחילתו וקביעתו של הסדר אחר תחתיו. </w:t>
      </w:r>
    </w:p>
    <w:p w:rsidR="005366A8" w:rsidRPr="007D7DA3" w:rsidRDefault="005366A8" w:rsidP="005366A8">
      <w:pPr>
        <w:pStyle w:val="ruller40"/>
        <w:spacing w:after="120" w:line="240" w:lineRule="auto"/>
        <w:rPr>
          <w:rFonts w:cs="FrankRuehl"/>
          <w:rtl/>
        </w:rPr>
      </w:pPr>
      <w:r w:rsidRPr="007D7DA3">
        <w:rPr>
          <w:rFonts w:cs="FrankRuehl" w:hint="cs"/>
          <w:rtl/>
        </w:rPr>
        <w:t xml:space="preserve">            ואולם, מאידך גיסא, לא נוכל לומר בלב שלם כי הכנסת ביקשה במודע ובכוונת מכוון למנוע את הממשלה מהעניק מענקים והטבות לאזורי עדיפות לאומית; נהפוך הוא: הרי הכנסת ידעה לכל אורך הדרך כי חרף השעיית תוקפו של החוק ממשיכה הממשלה להעניק מענקים לאזורי עדיפות לאומית. על רקע זה יכול הטוען לטעון, כי הכנסת לא ביקשה כלל ליצור חגורת הסדר שלילי העוטפת את החוק; כל כוונתה של הכנסת לא היתה אלא להסיר מעצמה אחריות לחלוקתן של הטבות - ביתר דיוק: לקביעתם של הסדרים ראשוניים לחלוקתן של הטבות - ובה-בעת להניח לפיתחה של הממשלה ביצועה של משימה זו. בקשתה של הכנסת היתה, אפוא - אליבא דטענה זו - להפקיד את קביעתו של ההסדר הראשוני לחלוקה בידי הממשלה לבדה, תוך פיקוחה הכללי של הכנסת.  </w:t>
      </w:r>
    </w:p>
    <w:p w:rsidR="005366A8" w:rsidRPr="007D7DA3" w:rsidRDefault="005366A8" w:rsidP="005366A8">
      <w:pPr>
        <w:pStyle w:val="ruller40"/>
        <w:spacing w:after="120" w:line="240" w:lineRule="auto"/>
        <w:rPr>
          <w:rFonts w:cs="FrankRuehl"/>
          <w:rtl/>
        </w:rPr>
      </w:pPr>
      <w:r w:rsidRPr="007D7DA3">
        <w:rPr>
          <w:rFonts w:cs="FrankRuehl" w:hint="cs"/>
          <w:rtl/>
        </w:rPr>
        <w:t xml:space="preserve"> 58.      </w:t>
      </w:r>
      <w:r w:rsidRPr="004516F8">
        <w:rPr>
          <w:rFonts w:cs="FrankRuehl" w:hint="cs"/>
          <w:highlight w:val="yellow"/>
          <w:rtl/>
        </w:rPr>
        <w:t xml:space="preserve">שתי הגירסאות - גירסאות סבירות הן, ולא נוכל לשלול אף אחת מהן על פניה. ואולם, משהוצבו שתיהן לפנינו זו בצידה של זו, נסתבר לנו כי אין אנו נדרשים כלל להכריע ביניהן, ולהוסיף ולקבוע אם מתקיימים בענייננו, אם לאו, הסייגים </w:t>
      </w:r>
      <w:r w:rsidRPr="004516F8">
        <w:rPr>
          <w:rFonts w:cs="FrankRuehl" w:hint="cs"/>
          <w:spacing w:val="0"/>
          <w:highlight w:val="yellow"/>
          <w:rtl/>
        </w:rPr>
        <w:t>הפנימיים</w:t>
      </w:r>
      <w:r w:rsidRPr="004516F8">
        <w:rPr>
          <w:rFonts w:cs="FrankRuehl" w:hint="cs"/>
          <w:highlight w:val="yellow"/>
          <w:rtl/>
        </w:rPr>
        <w:t xml:space="preserve"> לסמכותה השיורית של הממשלה. טעם הדבר: משחוקקה חוק ברור ומפורש שעניינו חלוקת ההטבות שלפנינו, הביעה הכנסת, היא עצמה, דעתה המפורשת כי הסדר חלוקתן של הטבות כבענייננו הסדר ראשוני הוא ומקומו ב</w:t>
      </w:r>
      <w:r w:rsidRPr="004516F8">
        <w:rPr>
          <w:rFonts w:cs="FrankRuehl" w:hint="eastAsia"/>
          <w:highlight w:val="yellow"/>
          <w:rtl/>
        </w:rPr>
        <w:t>חוק</w:t>
      </w:r>
      <w:r w:rsidRPr="004516F8">
        <w:rPr>
          <w:rFonts w:cs="FrankRuehl"/>
          <w:highlight w:val="yellow"/>
          <w:rtl/>
        </w:rPr>
        <w:t xml:space="preserve"> הכנסת</w:t>
      </w:r>
      <w:r w:rsidRPr="004516F8">
        <w:rPr>
          <w:rFonts w:cs="FrankRuehl" w:hint="cs"/>
          <w:highlight w:val="yellow"/>
          <w:rtl/>
        </w:rPr>
        <w:t xml:space="preserve"> ולא בחקיקת מישנה או בהחלטת ממשלה. כנדרש מכאן, מתקיימים ממילא הסייגים </w:t>
      </w:r>
      <w:r w:rsidRPr="004516F8">
        <w:rPr>
          <w:rFonts w:cs="FrankRuehl" w:hint="cs"/>
          <w:spacing w:val="0"/>
          <w:highlight w:val="yellow"/>
          <w:rtl/>
        </w:rPr>
        <w:t>החיצוניים</w:t>
      </w:r>
      <w:r w:rsidRPr="004516F8">
        <w:rPr>
          <w:rFonts w:cs="FrankRuehl" w:hint="cs"/>
          <w:highlight w:val="yellow"/>
          <w:rtl/>
        </w:rPr>
        <w:t xml:space="preserve"> לסמכותה השיורית של הממשלה.</w:t>
      </w:r>
      <w:r w:rsidRPr="007D7DA3">
        <w:rPr>
          <w:rFonts w:cs="FrankRuehl" w:hint="cs"/>
          <w:rtl/>
        </w:rPr>
        <w:t xml:space="preserve"> לשאלה זו נוסיף ונידרש בהמשך דברינו להלן, וכפי שנראה קיימים טעמים נוספים - טעמים כיבדי מישקל - לקביעה כי מכוח הסייגים החיצוניים לסמכותה השיורית, אסורה היתה הממשלה להורות על קביעתם של אזורי עדיפות לאומית כפי שקבעה.   </w:t>
      </w:r>
      <w:r w:rsidRPr="007D7DA3">
        <w:rPr>
          <w:rFonts w:cs="FrankRuehl" w:hint="cs"/>
          <w:spacing w:val="0"/>
          <w:rtl/>
        </w:rPr>
        <w:t> </w:t>
      </w:r>
    </w:p>
    <w:p w:rsidR="005366A8" w:rsidRPr="007D7DA3" w:rsidRDefault="005366A8" w:rsidP="005366A8">
      <w:pPr>
        <w:pStyle w:val="ruller40"/>
        <w:spacing w:after="120" w:line="240" w:lineRule="auto"/>
        <w:rPr>
          <w:rFonts w:cs="FrankRuehl"/>
          <w:b/>
          <w:bCs/>
          <w:rtl/>
        </w:rPr>
      </w:pPr>
      <w:r w:rsidRPr="007D7DA3">
        <w:rPr>
          <w:rFonts w:cs="FrankRuehl" w:hint="cs"/>
          <w:b/>
          <w:bCs/>
          <w:spacing w:val="0"/>
          <w:rtl/>
        </w:rPr>
        <w:t xml:space="preserve">ומן הכלל אל הפרט - "המיגבלות החיצוניות" - הסמכות לקביעתם של הסדרים ראשוניים; הפגיעה בזכויות יסוד של היחיד </w:t>
      </w:r>
    </w:p>
    <w:p w:rsidR="005366A8" w:rsidRPr="004516F8" w:rsidRDefault="005366A8" w:rsidP="005366A8">
      <w:pPr>
        <w:pStyle w:val="ruller40"/>
        <w:spacing w:after="120" w:line="240" w:lineRule="auto"/>
        <w:rPr>
          <w:rFonts w:cs="FrankRuehl"/>
          <w:highlight w:val="yellow"/>
          <w:rtl/>
        </w:rPr>
      </w:pPr>
      <w:r w:rsidRPr="007D7DA3">
        <w:rPr>
          <w:rFonts w:cs="FrankRuehl" w:hint="cs"/>
          <w:rtl/>
        </w:rPr>
        <w:t xml:space="preserve"> 59.      </w:t>
      </w:r>
      <w:r w:rsidRPr="004516F8">
        <w:rPr>
          <w:rFonts w:cs="FrankRuehl" w:hint="cs"/>
          <w:highlight w:val="yellow"/>
          <w:rtl/>
        </w:rPr>
        <w:t>עמדנו על המיגבלות הפנימיות שבהוראת סעיף 32 לחוק יסוד: הממשלה (תשס"א), וחיווינו דעתנו כי החלטות הממשלה שכוננו אזורי עדיפות לאומית, החלטות הן שנעשו שלא בסמכות. טעם הדבר: אותן החלטות לא נעשו על-פי הסמכה בחוק מהותי, והואיל ואין הן עולות בקנה אחד עם המיגבלה של "בכפוף לכל דין"</w:t>
      </w:r>
      <w:r>
        <w:rPr>
          <w:rFonts w:cs="FrankRuehl" w:hint="cs"/>
          <w:highlight w:val="yellow"/>
          <w:rtl/>
        </w:rPr>
        <w:t xml:space="preserve"> ...</w:t>
      </w:r>
      <w:r w:rsidRPr="004516F8">
        <w:rPr>
          <w:rFonts w:cs="FrankRuehl" w:hint="cs"/>
          <w:highlight w:val="yellow"/>
          <w:rtl/>
        </w:rPr>
        <w:t xml:space="preserve"> אין הן נופלות בגידרי סמכותה השיורית של הממשלה. יש דין - הלא הוא חוק ערי פיתוח;</w:t>
      </w:r>
      <w:r w:rsidRPr="007D7DA3">
        <w:rPr>
          <w:rFonts w:cs="FrankRuehl" w:hint="cs"/>
          <w:rtl/>
        </w:rPr>
        <w:t xml:space="preserve"> ההסדר שנקבע בהחלטות "הסדר מקביל" הוא להסדר שבחוק ערי פיתוח; ועל-כן לא נולדה כלל לממשלה סמכות שיורית להחליט אותן החלטות שהחליטה. </w:t>
      </w:r>
      <w:r w:rsidRPr="004516F8">
        <w:rPr>
          <w:rFonts w:cs="FrankRuehl" w:hint="cs"/>
          <w:highlight w:val="yellow"/>
          <w:rtl/>
        </w:rPr>
        <w:t>אלא שבכך לא סגי. דעתנו היא, כי החלטות הממשלה בעניינם של אזורי עדיפות לאומית אינן עומדות אף במיגבלות החיצוניות העוטפות את הוראת סעיף 32, אותן מיגבלות המורות אותנו כי בהיעדר חוק-מהות מפורש ומפורט אין הממשלה קונה סמכות שיורית לעשות הסדרים ראשוניים. </w:t>
      </w:r>
    </w:p>
    <w:p w:rsidR="005366A8" w:rsidRPr="007D7DA3" w:rsidRDefault="005366A8" w:rsidP="005366A8">
      <w:pPr>
        <w:pStyle w:val="ruller40"/>
        <w:spacing w:after="120" w:line="240" w:lineRule="auto"/>
        <w:rPr>
          <w:rFonts w:cs="FrankRuehl"/>
          <w:rtl/>
        </w:rPr>
      </w:pPr>
      <w:r w:rsidRPr="004516F8">
        <w:rPr>
          <w:rFonts w:cs="FrankRuehl" w:hint="cs"/>
          <w:highlight w:val="yellow"/>
          <w:rtl/>
        </w:rPr>
        <w:t>60.      המעיין בהחלטות הממשלה יסיק בנקל כי מעשה כינונם של אזורי עדיפות לאומית שקול כנגד הכרזה על מדיניות ממעלה עליונה, מדיניות כל-כוללת המעניקה העדפה ניכרת ובת-משמעות במיגזרי חיים רבים ושונים לאזורים נרחבים במדינה. והחלטה להיטיב, ובאורח ניכר, עם יישובים ותושבים באזורים מסוימים בארץ, למותר לומר, נודעת לה ממילא השפעה של-ממש גם על תושבי הארץ באזורים אחרים בה</w:t>
      </w:r>
      <w:r w:rsidRPr="007D7DA3">
        <w:rPr>
          <w:rFonts w:cs="FrankRuehl" w:hint="cs"/>
          <w:rtl/>
        </w:rPr>
        <w:t>. השפעה זו ניכרת בכל אחת ואחת מן ההטבות שההחלטה אומרת להעניק: במגורים, בחקלאות, בתשלום מיסים, בחינוך ובשאר ההטבות אף-הן. יתר-על-כן: הטבות שתינתנה לתושביהם של אזורי עדיפות לאומית בהכרח שתהיה להן השפעה על תקציב המדינה, קרא, על התושבים האחרים במדינה. נקרא אפוא את החלטת הממשלה וכך נאמר: אם החלטה זו אין היא הסדר ראשוני, יתר-על-כן: אם אין הוא הסדר ראשוני-שבראשוני, הסדר ראשוני מהו - לא ידענו. לאחר ביצועה של החלטה מעין-זו, מה נותר לכנסת עוד לעשות? וכמשל הברווז נאמר כך: מפאת פרישתה הרחבה וריבוי ההטבות שבה, ההחלטה על כינונם של אזורי עדיפות לאומית נראית על פניה כהסדר ראשוני; תוכנה הוא תוכן של הסדר ראשוני; משמיעה היא קול של הסדר ראשוני; ומתנועעת היא כהסדר ראשוני. נדע מכל אלה כי ההחלטה עניינה הוא הסדר ראשוני.  </w:t>
      </w:r>
    </w:p>
    <w:p w:rsidR="005366A8" w:rsidRPr="007D7DA3" w:rsidRDefault="005366A8" w:rsidP="005366A8">
      <w:pPr>
        <w:pStyle w:val="ruller40"/>
        <w:spacing w:after="120" w:line="240" w:lineRule="auto"/>
        <w:rPr>
          <w:rFonts w:cs="FrankRuehl"/>
          <w:rtl/>
        </w:rPr>
      </w:pPr>
      <w:r w:rsidRPr="007D7DA3">
        <w:rPr>
          <w:rFonts w:cs="FrankRuehl" w:hint="cs"/>
          <w:rtl/>
        </w:rPr>
        <w:t>61.      ואם נותר ספק בלב מי אם החלטת הממשלה החלטה היא של הסדר ראשוני - ובליבנו לא נותר ספק בדבר - יבוא חוק ערי פיתוח הוא-עצמו ויעיד על ההחלטה כי החלטת הסדר ראשוני היא. הנה-כי-כן, הכנסת בכבודה ובעצמה סברה - ובצדק כך סברה - כי הענקת הטבות בתחומי-חיים רבים ושונים לתושבי אזורים ספציפיים בארץ, מצריכה הסדר ראשוני ב</w:t>
      </w:r>
      <w:hyperlink r:id="rId295" w:history="1">
        <w:r w:rsidRPr="007D7DA3">
          <w:rPr>
            <w:rStyle w:val="Hyperlink"/>
            <w:rFonts w:cs="FrankRuehl" w:hint="eastAsia"/>
            <w:rtl/>
          </w:rPr>
          <w:t>חוק</w:t>
        </w:r>
        <w:r w:rsidRPr="007D7DA3">
          <w:rPr>
            <w:rStyle w:val="Hyperlink"/>
            <w:rFonts w:cs="FrankRuehl"/>
            <w:rtl/>
          </w:rPr>
          <w:t xml:space="preserve"> הכנסת</w:t>
        </w:r>
      </w:hyperlink>
      <w:r w:rsidRPr="007D7DA3">
        <w:rPr>
          <w:rFonts w:cs="FrankRuehl" w:hint="cs"/>
          <w:rtl/>
        </w:rPr>
        <w:t>, ומטעם זה עצמו חוקקה את חוק ערי פיתוח. וכך, עצם חקיקתו של החוק מלמדת על היותו הסדר ראשוני. החוק, באשר הוא, מהווה מניפסטציה להשקפתה של הכנסת - הגוף העליון במדינה - כי מטריחה היא עצמה לחוקקו אך באשר המדובר הוא - לדעתה - בהסדר מן המעלה הראשונה.  עתה, משידענו כי החלטת הממשלה - בתוכנה - דומה היא, דומה-במאוד, לתוכנו של חוק ערי פיתוח, היסק הגיוני ופשוט הוא שהחלטת הממשלה מכילה הסדר ראשוני, כי הסדר ראשוני למהדרין היא. המסקנה הנובעת מאליה היא, כמובן, שהממשלה לא היתה מוסמכת כלל - בגידרי סמכותה השיורית - להחליט החלטות שהחליטה על כינונם של אזורי עדיפות לאומית.</w:t>
      </w:r>
    </w:p>
    <w:p w:rsidR="005366A8" w:rsidRPr="007D7DA3" w:rsidRDefault="005366A8" w:rsidP="005366A8">
      <w:pPr>
        <w:pStyle w:val="ruller40"/>
        <w:spacing w:after="120" w:line="240" w:lineRule="auto"/>
        <w:rPr>
          <w:rFonts w:cs="FrankRuehl"/>
          <w:rtl/>
        </w:rPr>
      </w:pPr>
      <w:r w:rsidRPr="007D7DA3">
        <w:rPr>
          <w:rFonts w:cs="FrankRuehl" w:hint="cs"/>
          <w:rtl/>
        </w:rPr>
        <w:t xml:space="preserve"> 62.      </w:t>
      </w:r>
      <w:r>
        <w:rPr>
          <w:rFonts w:cs="FrankRuehl" w:hint="cs"/>
          <w:rtl/>
        </w:rPr>
        <w:t xml:space="preserve">... </w:t>
      </w:r>
      <w:r w:rsidRPr="007D7DA3">
        <w:rPr>
          <w:rFonts w:cs="FrankRuehl" w:hint="cs"/>
          <w:rtl/>
        </w:rPr>
        <w:t xml:space="preserve">הכנסת נוהגת מעשה-שיגרה לחוקק חוקים מפורטים ולקבוע הסדרים - הסדרים ראשוניים על-פי טיבם - לחלוקתן של הטבות כהטבות שמבקשת החלטת הממשלה להעניק. </w:t>
      </w:r>
      <w:r w:rsidRPr="00B2464D">
        <w:rPr>
          <w:rFonts w:cs="FrankRuehl" w:hint="cs"/>
          <w:highlight w:val="yellow"/>
          <w:rtl/>
        </w:rPr>
        <w:t>נוכל להסיק מכאן, כי חקיקת כנסת בהליך מסודר היא-היא דרך המלך להענקתם של הטבות ומענקים למיגזרים מסוימים בחברה, וממילא - לענייננו - בקביעתם של אזורי עדיפות לאומית</w:t>
      </w:r>
      <w:r w:rsidRPr="007D7DA3">
        <w:rPr>
          <w:rFonts w:cs="FrankRuehl" w:hint="cs"/>
          <w:rtl/>
        </w:rPr>
        <w:t xml:space="preserve">. </w:t>
      </w:r>
      <w:r>
        <w:rPr>
          <w:rFonts w:cs="FrankRuehl" w:hint="cs"/>
          <w:rtl/>
        </w:rPr>
        <w:t>..</w:t>
      </w:r>
      <w:r w:rsidRPr="007D7DA3">
        <w:rPr>
          <w:rFonts w:cs="FrankRuehl" w:hint="cs"/>
          <w:rtl/>
        </w:rPr>
        <w:t xml:space="preserve">. הממשלה בענייננו לא צעדה בדרך המלך אלא בחרה בקפנדריה, בקיצור-דרך, בקובעה הסדרים ראשוניים - משל היתה מחוקק, אך באין </w:t>
      </w:r>
      <w:r w:rsidRPr="004516F8">
        <w:rPr>
          <w:rFonts w:cs="FrankRuehl" w:hint="eastAsia"/>
          <w:color w:val="0000FF"/>
          <w:u w:val="single"/>
          <w:rtl/>
        </w:rPr>
        <w:t>חוק</w:t>
      </w:r>
      <w:r w:rsidRPr="004516F8">
        <w:rPr>
          <w:rFonts w:cs="FrankRuehl"/>
          <w:color w:val="0000FF"/>
          <w:u w:val="single"/>
          <w:rtl/>
        </w:rPr>
        <w:t xml:space="preserve"> כנסת</w:t>
      </w:r>
      <w:r w:rsidRPr="007D7DA3">
        <w:rPr>
          <w:rFonts w:cs="FrankRuehl" w:hint="cs"/>
          <w:rtl/>
        </w:rPr>
        <w:t xml:space="preserve"> מהותי המסמיך אותה לדבר - ובה-בעת עשתה עצמה, כתפקידה המקובל, מבצע של אותם הסדרים. מסקנה נדרשת מכל אלה היא זו, שבעשותה עצמה - מכוח הסמכות השיורית - מחוקק של הסדרים ראשוניים, חרגה הממשלה מגדר סמכותה כרשות מבצעת, והחלטתה בעניינם של אזורי עדיפות לאומית החלטה פגומה היא מעיקרה.</w:t>
      </w:r>
    </w:p>
    <w:p w:rsidR="005366A8" w:rsidRPr="007D7DA3" w:rsidRDefault="005366A8" w:rsidP="005366A8">
      <w:pPr>
        <w:pStyle w:val="ruller40"/>
        <w:spacing w:after="120" w:line="240" w:lineRule="auto"/>
        <w:rPr>
          <w:rFonts w:cs="FrankRuehl"/>
          <w:rtl/>
        </w:rPr>
      </w:pPr>
      <w:r w:rsidRPr="007D7DA3">
        <w:rPr>
          <w:rFonts w:cs="FrankRuehl" w:hint="cs"/>
          <w:rtl/>
        </w:rPr>
        <w:t xml:space="preserve"> 63.      </w:t>
      </w:r>
      <w:r w:rsidRPr="00493CFE">
        <w:rPr>
          <w:rFonts w:cs="FrankRuehl" w:hint="cs"/>
          <w:highlight w:val="yellow"/>
          <w:rtl/>
        </w:rPr>
        <w:t xml:space="preserve">מסקנתנו מדברינו אינה אלא זו, שהממשלה אסורה היתה להורות על כינונם של אזורי עדיפות לאומית. החלטה זו החלטת הסדר ראשוני היא ובתורת שכזו נתונה היא להכרעתה של הכנסת ולהכרעת הכנסת לבדה. לשון אחר: לגירסתנו מתקיימים בענייננו הסייגים </w:t>
      </w:r>
      <w:r w:rsidRPr="00493CFE">
        <w:rPr>
          <w:rFonts w:cs="FrankRuehl" w:hint="cs"/>
          <w:spacing w:val="0"/>
          <w:highlight w:val="yellow"/>
          <w:rtl/>
        </w:rPr>
        <w:t>החיצוניים</w:t>
      </w:r>
      <w:r w:rsidRPr="00493CFE">
        <w:rPr>
          <w:rFonts w:cs="FrankRuehl" w:hint="cs"/>
          <w:highlight w:val="yellow"/>
          <w:rtl/>
        </w:rPr>
        <w:t> לסמכותה השיורית של הממשלה</w:t>
      </w:r>
      <w:r w:rsidRPr="007D7DA3">
        <w:rPr>
          <w:rFonts w:cs="FrankRuehl" w:hint="cs"/>
          <w:rtl/>
        </w:rPr>
        <w:t xml:space="preserve">, ועל כך הרחבנו בדברינו לעיל. </w:t>
      </w:r>
    </w:p>
    <w:p w:rsidR="005366A8" w:rsidRDefault="005366A8" w:rsidP="005366A8">
      <w:pPr>
        <w:pStyle w:val="ruller40"/>
        <w:spacing w:after="120" w:line="240" w:lineRule="auto"/>
        <w:rPr>
          <w:rFonts w:cs="FrankRuehl"/>
          <w:rtl/>
        </w:rPr>
      </w:pPr>
      <w:r w:rsidRPr="007D7DA3">
        <w:rPr>
          <w:rFonts w:cs="FrankRuehl" w:hint="cs"/>
          <w:rtl/>
        </w:rPr>
        <w:t> 64</w:t>
      </w:r>
      <w:r w:rsidRPr="00493CFE">
        <w:rPr>
          <w:rFonts w:cs="FrankRuehl" w:hint="cs"/>
          <w:highlight w:val="yellow"/>
          <w:rtl/>
        </w:rPr>
        <w:t xml:space="preserve">.      יתר-על-כן: כפי שהסברנו בדברינו למעלה, עם המיגבלות החיצוניות המוטלות על סמכותה השיורית של הממשלה כהוראת סעיף 32 לחוק-יסוד: הממשלה, נמנית המיגבלה שלפיה אסורה היא לפגוע בזכויות יסוד של היחיד. </w:t>
      </w:r>
      <w:r w:rsidRPr="00954AD0">
        <w:rPr>
          <w:rFonts w:cs="FrankRuehl" w:hint="cs"/>
          <w:rtl/>
        </w:rPr>
        <w:t xml:space="preserve">חברי הנשיא הראה בחוות דעתו, ובהרחבה, </w:t>
      </w:r>
      <w:r w:rsidRPr="00493CFE">
        <w:rPr>
          <w:rFonts w:cs="FrankRuehl" w:hint="cs"/>
          <w:highlight w:val="yellow"/>
          <w:rtl/>
        </w:rPr>
        <w:t xml:space="preserve">כי החלטה שקיבלה הממשלה בענייננו החלטה מפלה היא, לא עוד אלא שהחלטה היא הפוגעת בזכויות היסוד של היחיד. נסיק מכאן ממילא, כי הממשלה לא הותרה ולא הוסמכה להחליט החלטה שהחליטה ולו מן הטעם שהחלטתה זו פוגעת בזכויות היסוד של היחיד מכאן: </w:t>
      </w:r>
      <w:r w:rsidRPr="00E93C0E">
        <w:rPr>
          <w:rFonts w:cs="FrankRuehl" w:hint="cs"/>
          <w:rtl/>
        </w:rPr>
        <w:t xml:space="preserve">גם לו אמרנו שרשאית היתה הממשלה, על דרך העיקרון, להחליט על כינונם של אזורי עדיפות לאומית כפי שהחליטה - ואין אנו סבורים כן </w:t>
      </w:r>
      <w:r w:rsidRPr="00493CFE">
        <w:rPr>
          <w:rFonts w:cs="FrankRuehl" w:hint="cs"/>
          <w:highlight w:val="yellow"/>
          <w:rtl/>
        </w:rPr>
        <w:t>- מכל מקום, בהיותה של אותה החלטה - החלטה הפוגעת בזכויות יסוד של היחיד, לא היתה הממשלה מוסמכת להחליטה כסמכותה השיורית. גם מטעם זה אפוא סבורים אנו כי בהחליטה החלטה שהחליטה חרגה הממשלה מסמכותה השיורית.</w:t>
      </w:r>
    </w:p>
    <w:p w:rsidR="005366A8" w:rsidRDefault="005366A8" w:rsidP="005366A8">
      <w:pPr>
        <w:spacing w:after="120"/>
        <w:rPr>
          <w:rFonts w:cs="FrankRuehl"/>
          <w:sz w:val="22"/>
          <w:szCs w:val="22"/>
          <w:rtl/>
        </w:rPr>
      </w:pPr>
      <w:r>
        <w:rPr>
          <w:rFonts w:cs="FrankRuehl" w:hint="cs"/>
          <w:sz w:val="22"/>
          <w:szCs w:val="22"/>
          <w:rtl/>
        </w:rPr>
        <w:t>=-=</w:t>
      </w:r>
    </w:p>
    <w:p w:rsidR="005366A8" w:rsidRDefault="005366A8" w:rsidP="005366A8">
      <w:pPr>
        <w:spacing w:after="120"/>
        <w:rPr>
          <w:rFonts w:cs="FrankRuehl"/>
          <w:sz w:val="22"/>
          <w:szCs w:val="22"/>
          <w:rtl/>
        </w:rPr>
      </w:pPr>
      <w:r w:rsidRPr="005D503A">
        <w:rPr>
          <w:rFonts w:cs="FrankRuehl" w:hint="cs"/>
          <w:sz w:val="22"/>
          <w:szCs w:val="22"/>
          <w:highlight w:val="green"/>
          <w:rtl/>
        </w:rPr>
        <w:t>קריאה לפגישה הקרובה:</w:t>
      </w:r>
    </w:p>
    <w:p w:rsidR="005366A8" w:rsidRPr="005D503A" w:rsidRDefault="005366A8" w:rsidP="005366A8">
      <w:pPr>
        <w:pStyle w:val="T-body"/>
        <w:spacing w:after="120" w:line="240" w:lineRule="auto"/>
        <w:ind w:left="720" w:hanging="720"/>
        <w:rPr>
          <w:sz w:val="20"/>
          <w:szCs w:val="20"/>
          <w:rtl/>
        </w:rPr>
      </w:pPr>
      <w:r w:rsidRPr="005D503A">
        <w:rPr>
          <w:sz w:val="20"/>
          <w:szCs w:val="20"/>
          <w:rtl/>
        </w:rPr>
        <w:t xml:space="preserve">בג"ץ 4491/13 </w:t>
      </w:r>
      <w:r w:rsidRPr="005D503A">
        <w:rPr>
          <w:b/>
          <w:bCs/>
          <w:sz w:val="20"/>
          <w:szCs w:val="20"/>
          <w:rtl/>
        </w:rPr>
        <w:t>המרכז האקדמי למשפט ולעסקים נ' ממשלת ישראל</w:t>
      </w:r>
      <w:r w:rsidRPr="005D503A">
        <w:rPr>
          <w:sz w:val="20"/>
          <w:szCs w:val="20"/>
          <w:rtl/>
        </w:rPr>
        <w:t xml:space="preserve"> (</w:t>
      </w:r>
      <w:r w:rsidRPr="005D503A">
        <w:rPr>
          <w:rFonts w:hint="cs"/>
          <w:sz w:val="20"/>
          <w:szCs w:val="20"/>
          <w:rtl/>
        </w:rPr>
        <w:t>2014) (סע' 45-1 לפסק דינו של הנשיא גרוניס; סע' 102-19 לפסק דינו של השופט ג'ובראן) - מה מחדש, אם בכלל, פסק הדין ביחס ל"כלל ההסדרים הראשוניים"?; מה עמדתכם שלכם בויכוח בין השופטים?</w:t>
      </w:r>
    </w:p>
    <w:p w:rsidR="005366A8" w:rsidRDefault="005366A8" w:rsidP="005366A8">
      <w:pPr>
        <w:pStyle w:val="T-body"/>
        <w:spacing w:after="120" w:line="240" w:lineRule="auto"/>
        <w:ind w:left="720" w:hanging="720"/>
        <w:rPr>
          <w:rFonts w:ascii="Arial" w:hAnsi="Arial" w:cs="Arial"/>
          <w:b/>
          <w:bCs/>
          <w:sz w:val="22"/>
          <w:szCs w:val="22"/>
          <w:highlight w:val="cyan"/>
          <w:rtl/>
        </w:rPr>
      </w:pPr>
      <w:r w:rsidRPr="005D503A">
        <w:rPr>
          <w:rFonts w:hint="cs"/>
          <w:sz w:val="20"/>
          <w:szCs w:val="20"/>
          <w:rtl/>
        </w:rPr>
        <w:t xml:space="preserve">בג"ץ 5062/97 </w:t>
      </w:r>
      <w:r w:rsidRPr="005D503A">
        <w:rPr>
          <w:rFonts w:hint="cs"/>
          <w:b/>
          <w:bCs/>
          <w:sz w:val="20"/>
          <w:szCs w:val="20"/>
          <w:rtl/>
        </w:rPr>
        <w:t>איגוד שמאי הביטוח נ' מדינת ישראל</w:t>
      </w:r>
      <w:r w:rsidRPr="005D503A">
        <w:rPr>
          <w:rFonts w:hint="cs"/>
          <w:sz w:val="20"/>
          <w:szCs w:val="20"/>
          <w:rtl/>
        </w:rPr>
        <w:t>, פ"ד נה(1) 181 (1999)</w:t>
      </w:r>
      <w:r>
        <w:rPr>
          <w:rFonts w:cs="FrankRuehl" w:hint="cs"/>
          <w:sz w:val="22"/>
          <w:szCs w:val="22"/>
          <w:rtl/>
        </w:rPr>
        <w:t xml:space="preserve"> - מה תשובתכם לשאלה הנזכרת בדפים לעיל.</w:t>
      </w:r>
    </w:p>
    <w:p w:rsidR="005366A8" w:rsidRDefault="005366A8">
      <w:pPr>
        <w:bidi w:val="0"/>
        <w:jc w:val="left"/>
        <w:rPr>
          <w:sz w:val="22"/>
          <w:szCs w:val="22"/>
          <w:rtl/>
        </w:rPr>
      </w:pPr>
      <w:r>
        <w:rPr>
          <w:sz w:val="22"/>
          <w:szCs w:val="22"/>
          <w:rtl/>
        </w:rPr>
        <w:br w:type="page"/>
      </w:r>
    </w:p>
    <w:p w:rsidR="005366A8" w:rsidRPr="00CA4835" w:rsidRDefault="005366A8" w:rsidP="005366A8">
      <w:pPr>
        <w:spacing w:after="240"/>
        <w:jc w:val="right"/>
        <w:rPr>
          <w:rFonts w:ascii="Arial" w:hAnsi="Arial" w:cs="Arial"/>
          <w:b/>
          <w:bCs/>
          <w:sz w:val="22"/>
          <w:szCs w:val="22"/>
          <w:rtl/>
        </w:rPr>
      </w:pPr>
      <w:r w:rsidRPr="00CA4835">
        <w:rPr>
          <w:rFonts w:hint="cs"/>
          <w:b/>
          <w:bCs/>
          <w:sz w:val="22"/>
          <w:szCs w:val="22"/>
          <w:rtl/>
        </w:rPr>
        <w:t>משפט ציבורי</w:t>
      </w:r>
      <w:r w:rsidRPr="00CA4835">
        <w:rPr>
          <w:rFonts w:hint="cs"/>
          <w:sz w:val="22"/>
          <w:szCs w:val="22"/>
          <w:rtl/>
        </w:rPr>
        <w:t xml:space="preserve">, </w:t>
      </w:r>
      <w:r w:rsidRPr="00CA4835">
        <w:rPr>
          <w:rFonts w:hint="cs"/>
          <w:i/>
          <w:iCs/>
          <w:sz w:val="22"/>
          <w:szCs w:val="22"/>
          <w:rtl/>
        </w:rPr>
        <w:t>תשע</w:t>
      </w:r>
      <w:r>
        <w:rPr>
          <w:rFonts w:hint="cs"/>
          <w:i/>
          <w:iCs/>
          <w:sz w:val="22"/>
          <w:szCs w:val="22"/>
          <w:rtl/>
        </w:rPr>
        <w:t>"ה</w:t>
      </w:r>
      <w:r w:rsidRPr="00CA4835">
        <w:rPr>
          <w:rFonts w:hint="cs"/>
          <w:b/>
          <w:bCs/>
          <w:sz w:val="22"/>
          <w:szCs w:val="22"/>
          <w:rtl/>
        </w:rPr>
        <w:t>,</w:t>
      </w:r>
      <w:r w:rsidRPr="00CA4835">
        <w:rPr>
          <w:rFonts w:hint="cs"/>
          <w:sz w:val="22"/>
          <w:szCs w:val="22"/>
          <w:rtl/>
        </w:rPr>
        <w:t xml:space="preserve"> ד"ר אילן סבן, </w:t>
      </w:r>
      <w:r>
        <w:rPr>
          <w:rFonts w:hint="cs"/>
          <w:sz w:val="22"/>
          <w:szCs w:val="22"/>
          <w:rtl/>
        </w:rPr>
        <w:t>ינואר</w:t>
      </w:r>
      <w:r w:rsidRPr="00CA4835">
        <w:rPr>
          <w:rFonts w:hint="cs"/>
          <w:sz w:val="22"/>
          <w:szCs w:val="22"/>
          <w:rtl/>
        </w:rPr>
        <w:t xml:space="preserve"> 201</w:t>
      </w:r>
      <w:r>
        <w:rPr>
          <w:rFonts w:hint="cs"/>
          <w:sz w:val="22"/>
          <w:szCs w:val="22"/>
          <w:rtl/>
        </w:rPr>
        <w:t>5</w:t>
      </w:r>
      <w:r w:rsidRPr="00CA4835">
        <w:rPr>
          <w:rFonts w:hint="cs"/>
          <w:sz w:val="22"/>
          <w:szCs w:val="22"/>
          <w:rtl/>
        </w:rPr>
        <w:t>,</w:t>
      </w:r>
      <w:r>
        <w:rPr>
          <w:rFonts w:hint="cs"/>
          <w:sz w:val="22"/>
          <w:szCs w:val="22"/>
          <w:rtl/>
        </w:rPr>
        <w:t xml:space="preserve"> </w:t>
      </w:r>
      <w:r w:rsidRPr="005366A8">
        <w:rPr>
          <w:rFonts w:hint="cs"/>
          <w:b/>
          <w:bCs/>
          <w:i/>
          <w:iCs/>
          <w:sz w:val="22"/>
          <w:szCs w:val="22"/>
          <w:highlight w:val="magenta"/>
          <w:u w:val="single"/>
          <w:rtl/>
        </w:rPr>
        <w:t>פגישה 20</w:t>
      </w:r>
    </w:p>
    <w:p w:rsidR="005366A8" w:rsidRDefault="005366A8" w:rsidP="005366A8">
      <w:pPr>
        <w:pStyle w:val="T-body"/>
        <w:spacing w:line="240" w:lineRule="auto"/>
        <w:ind w:hanging="28"/>
        <w:jc w:val="center"/>
        <w:rPr>
          <w:rFonts w:cs="David"/>
          <w:sz w:val="20"/>
          <w:szCs w:val="20"/>
          <w:rtl/>
        </w:rPr>
      </w:pPr>
      <w:r>
        <w:rPr>
          <w:rFonts w:ascii="Arial" w:hAnsi="Arial" w:cs="Guttman-Soncino" w:hint="cs"/>
          <w:b/>
          <w:bCs/>
          <w:sz w:val="36"/>
          <w:szCs w:val="36"/>
          <w:highlight w:val="yellow"/>
          <w:rtl/>
        </w:rPr>
        <w:t>המ</w:t>
      </w:r>
      <w:r w:rsidRPr="008E605A">
        <w:rPr>
          <w:rFonts w:ascii="Arial" w:hAnsi="Arial" w:cs="Guttman-Soncino" w:hint="cs"/>
          <w:b/>
          <w:bCs/>
          <w:sz w:val="36"/>
          <w:szCs w:val="36"/>
          <w:highlight w:val="yellow"/>
          <w:rtl/>
        </w:rPr>
        <w:t xml:space="preserve">משלה: </w:t>
      </w:r>
      <w:r>
        <w:rPr>
          <w:rFonts w:ascii="Arial" w:hAnsi="Arial" w:cs="Guttman-Soncino" w:hint="cs"/>
          <w:b/>
          <w:bCs/>
          <w:sz w:val="36"/>
          <w:szCs w:val="36"/>
          <w:highlight w:val="yellow"/>
          <w:rtl/>
        </w:rPr>
        <w:t>סמכויות הממשלה ו</w:t>
      </w:r>
      <w:r w:rsidRPr="008E605A">
        <w:rPr>
          <w:rFonts w:ascii="Arial" w:hAnsi="Arial" w:cs="Guttman-Soncino" w:hint="cs"/>
          <w:b/>
          <w:bCs/>
          <w:sz w:val="36"/>
          <w:szCs w:val="36"/>
          <w:highlight w:val="yellow"/>
          <w:rtl/>
        </w:rPr>
        <w:t>חלוקת הסמכויות בין הכנסת לבי</w:t>
      </w:r>
      <w:r>
        <w:rPr>
          <w:rFonts w:ascii="Arial" w:hAnsi="Arial" w:cs="Guttman-Soncino" w:hint="cs"/>
          <w:b/>
          <w:bCs/>
          <w:sz w:val="36"/>
          <w:szCs w:val="36"/>
          <w:highlight w:val="yellow"/>
          <w:rtl/>
        </w:rPr>
        <w:t>נה</w:t>
      </w:r>
      <w:r w:rsidRPr="008E605A">
        <w:rPr>
          <w:rFonts w:ascii="Arial" w:hAnsi="Arial" w:cs="Guttman-Soncino" w:hint="cs"/>
          <w:b/>
          <w:bCs/>
          <w:sz w:val="36"/>
          <w:szCs w:val="36"/>
          <w:highlight w:val="yellow"/>
          <w:rtl/>
        </w:rPr>
        <w:t xml:space="preserve"> </w:t>
      </w:r>
      <w:r w:rsidRPr="008E605A">
        <w:rPr>
          <w:rFonts w:ascii="Arial" w:hAnsi="Arial" w:cs="Guttman-Soncino"/>
          <w:b/>
          <w:bCs/>
          <w:sz w:val="36"/>
          <w:szCs w:val="36"/>
          <w:highlight w:val="yellow"/>
          <w:rtl/>
        </w:rPr>
        <w:t>–</w:t>
      </w:r>
    </w:p>
    <w:p w:rsidR="005366A8" w:rsidRDefault="005366A8" w:rsidP="005366A8">
      <w:pPr>
        <w:pStyle w:val="T-body"/>
        <w:spacing w:line="240" w:lineRule="auto"/>
        <w:ind w:hanging="28"/>
        <w:rPr>
          <w:rFonts w:asciiTheme="minorBidi" w:hAnsiTheme="minorBidi" w:cstheme="minorBidi"/>
          <w:sz w:val="20"/>
          <w:szCs w:val="20"/>
          <w:rtl/>
        </w:rPr>
      </w:pPr>
    </w:p>
    <w:p w:rsidR="005366A8" w:rsidRPr="00BA6284" w:rsidRDefault="005366A8" w:rsidP="005366A8">
      <w:pPr>
        <w:pStyle w:val="T-body"/>
        <w:spacing w:line="240" w:lineRule="auto"/>
        <w:ind w:hanging="28"/>
        <w:rPr>
          <w:rFonts w:asciiTheme="minorBidi" w:hAnsiTheme="minorBidi" w:cstheme="minorBidi"/>
          <w:i/>
          <w:iCs/>
          <w:sz w:val="20"/>
          <w:szCs w:val="20"/>
          <w:rtl/>
        </w:rPr>
      </w:pPr>
      <w:r w:rsidRPr="00BA6284">
        <w:rPr>
          <w:rFonts w:asciiTheme="minorBidi" w:hAnsiTheme="minorBidi" w:cstheme="minorBidi" w:hint="cs"/>
          <w:i/>
          <w:iCs/>
          <w:sz w:val="20"/>
          <w:szCs w:val="20"/>
          <w:rtl/>
        </w:rPr>
        <w:t>[המשך לדפי הפגישה הקודמת]</w:t>
      </w:r>
    </w:p>
    <w:p w:rsidR="005366A8" w:rsidRDefault="005366A8" w:rsidP="005366A8">
      <w:pPr>
        <w:pStyle w:val="T-body"/>
        <w:spacing w:line="240" w:lineRule="auto"/>
        <w:ind w:hanging="28"/>
        <w:rPr>
          <w:rFonts w:asciiTheme="minorBidi" w:hAnsiTheme="minorBidi" w:cstheme="minorBidi"/>
          <w:sz w:val="20"/>
          <w:szCs w:val="20"/>
          <w:rtl/>
        </w:rPr>
      </w:pPr>
    </w:p>
    <w:p w:rsidR="005366A8" w:rsidRPr="00F056DD" w:rsidRDefault="005366A8" w:rsidP="005366A8">
      <w:pPr>
        <w:pStyle w:val="T-body"/>
        <w:spacing w:after="120" w:line="240" w:lineRule="auto"/>
        <w:ind w:hanging="28"/>
        <w:rPr>
          <w:rFonts w:asciiTheme="minorBidi" w:hAnsiTheme="minorBidi" w:cstheme="minorBidi"/>
          <w:b/>
          <w:bCs/>
          <w:i/>
          <w:iCs/>
          <w:u w:val="single"/>
          <w:rtl/>
        </w:rPr>
      </w:pPr>
      <w:r w:rsidRPr="00F056DD">
        <w:rPr>
          <w:rFonts w:asciiTheme="minorBidi" w:hAnsiTheme="minorBidi" w:cstheme="minorBidi" w:hint="cs"/>
          <w:b/>
          <w:bCs/>
          <w:i/>
          <w:iCs/>
          <w:u w:val="single"/>
          <w:rtl/>
        </w:rPr>
        <w:t>"כלל ההסדרים הראשוניים"</w:t>
      </w:r>
    </w:p>
    <w:p w:rsidR="005366A8" w:rsidRPr="00F056DD" w:rsidRDefault="005366A8" w:rsidP="005366A8">
      <w:pPr>
        <w:pStyle w:val="T-body"/>
        <w:spacing w:line="240" w:lineRule="auto"/>
        <w:ind w:left="748" w:hanging="28"/>
        <w:rPr>
          <w:rFonts w:asciiTheme="minorBidi" w:hAnsiTheme="minorBidi" w:cstheme="minorBidi"/>
          <w:rtl/>
        </w:rPr>
      </w:pPr>
      <w:r w:rsidRPr="00F056DD">
        <w:rPr>
          <w:highlight w:val="yellow"/>
          <w:rtl/>
        </w:rPr>
        <w:t xml:space="preserve">בג"ץ 4491/13 </w:t>
      </w:r>
      <w:r w:rsidRPr="00F056DD">
        <w:rPr>
          <w:b/>
          <w:bCs/>
          <w:highlight w:val="yellow"/>
          <w:rtl/>
        </w:rPr>
        <w:t>המרכז האקדמי למשפט ולעסקים נ' ממשלת ישראל</w:t>
      </w:r>
      <w:r w:rsidRPr="00F056DD">
        <w:rPr>
          <w:highlight w:val="yellow"/>
          <w:rtl/>
        </w:rPr>
        <w:t xml:space="preserve"> (</w:t>
      </w:r>
      <w:r w:rsidRPr="00F056DD">
        <w:rPr>
          <w:rFonts w:hint="cs"/>
          <w:highlight w:val="yellow"/>
          <w:rtl/>
        </w:rPr>
        <w:t>2014)</w:t>
      </w:r>
      <w:r>
        <w:rPr>
          <w:rFonts w:asciiTheme="minorBidi" w:hAnsiTheme="minorBidi" w:cstheme="minorBidi" w:hint="cs"/>
          <w:rtl/>
        </w:rPr>
        <w:t xml:space="preserve"> </w:t>
      </w:r>
      <w:r w:rsidRPr="0033401B">
        <w:rPr>
          <w:rFonts w:asciiTheme="majorBidi" w:hAnsiTheme="majorBidi" w:cstheme="majorBidi"/>
          <w:rtl/>
        </w:rPr>
        <w:t>- מכסות הייצוא של גז טבעי</w:t>
      </w:r>
    </w:p>
    <w:p w:rsidR="005366A8" w:rsidRDefault="005366A8" w:rsidP="005366A8">
      <w:pPr>
        <w:pStyle w:val="T-body"/>
        <w:spacing w:line="240" w:lineRule="auto"/>
        <w:ind w:hanging="28"/>
        <w:rPr>
          <w:rFonts w:asciiTheme="minorBidi" w:hAnsiTheme="minorBidi" w:cstheme="minorBidi"/>
          <w:sz w:val="20"/>
          <w:szCs w:val="20"/>
          <w:rtl/>
        </w:rPr>
      </w:pPr>
    </w:p>
    <w:p w:rsidR="005366A8" w:rsidRDefault="005366A8" w:rsidP="005366A8">
      <w:pPr>
        <w:pStyle w:val="PlainText"/>
        <w:bidi/>
        <w:spacing w:before="0" w:beforeAutospacing="0" w:after="0" w:afterAutospacing="0"/>
        <w:jc w:val="both"/>
        <w:rPr>
          <w:rFonts w:asciiTheme="majorBidi" w:hAnsiTheme="majorBidi" w:cstheme="majorBidi"/>
          <w:sz w:val="23"/>
          <w:szCs w:val="23"/>
          <w:rtl/>
        </w:rPr>
      </w:pPr>
      <w:r w:rsidRPr="00F056DD">
        <w:rPr>
          <w:rFonts w:asciiTheme="majorBidi" w:hAnsiTheme="majorBidi" w:cstheme="majorBidi"/>
          <w:sz w:val="23"/>
          <w:szCs w:val="23"/>
          <w:rtl/>
        </w:rPr>
        <w:t xml:space="preserve">ביום 2.7.2014 פרסם בג"צ את נימוקיו </w:t>
      </w:r>
      <w:r w:rsidRPr="00F056DD">
        <w:rPr>
          <w:rFonts w:asciiTheme="majorBidi" w:hAnsiTheme="majorBidi" w:cstheme="majorBidi"/>
          <w:sz w:val="23"/>
          <w:szCs w:val="23"/>
          <w:u w:val="single"/>
          <w:rtl/>
        </w:rPr>
        <w:t>לדחיית העתירה נגד החלטת הממשלה לאמץ את מסקנות ועדת צמח בנושא מכסות הייצוא של גז טבעי</w:t>
      </w:r>
      <w:r w:rsidRPr="00F056DD">
        <w:rPr>
          <w:rFonts w:asciiTheme="majorBidi" w:hAnsiTheme="majorBidi" w:cstheme="majorBidi"/>
          <w:sz w:val="23"/>
          <w:szCs w:val="23"/>
          <w:rtl/>
        </w:rPr>
        <w:t xml:space="preserve">. </w:t>
      </w:r>
    </w:p>
    <w:p w:rsidR="005366A8" w:rsidRDefault="005366A8" w:rsidP="005366A8">
      <w:pPr>
        <w:pStyle w:val="PlainText"/>
        <w:bidi/>
        <w:spacing w:before="0" w:beforeAutospacing="0" w:after="0" w:afterAutospacing="0"/>
        <w:jc w:val="both"/>
        <w:rPr>
          <w:rFonts w:asciiTheme="majorBidi" w:hAnsiTheme="majorBidi" w:cstheme="majorBidi"/>
          <w:sz w:val="23"/>
          <w:szCs w:val="23"/>
          <w:rtl/>
        </w:rPr>
      </w:pPr>
      <w:r w:rsidRPr="00F056DD">
        <w:rPr>
          <w:rFonts w:asciiTheme="majorBidi" w:hAnsiTheme="majorBidi" w:cstheme="majorBidi"/>
          <w:sz w:val="23"/>
          <w:szCs w:val="23"/>
          <w:rtl/>
        </w:rPr>
        <w:t xml:space="preserve">עיקר הדיון התמקד בטענה שלפיה </w:t>
      </w:r>
      <w:r w:rsidRPr="00F056DD">
        <w:rPr>
          <w:rFonts w:asciiTheme="majorBidi" w:hAnsiTheme="majorBidi" w:cstheme="majorBidi"/>
          <w:b/>
          <w:bCs/>
          <w:sz w:val="23"/>
          <w:szCs w:val="23"/>
          <w:rtl/>
        </w:rPr>
        <w:t>ההחלטה מהווה הסדר ראשוני אשר חייב להיות מוסדר בחקיקה ראשית</w:t>
      </w:r>
      <w:r w:rsidRPr="00F056DD">
        <w:rPr>
          <w:rFonts w:asciiTheme="majorBidi" w:hAnsiTheme="majorBidi" w:cstheme="majorBidi"/>
          <w:sz w:val="23"/>
          <w:szCs w:val="23"/>
          <w:rtl/>
        </w:rPr>
        <w:t xml:space="preserve">, ושחוק הנפט, שמכוחו פעלה הממשלה, אינו מסמיך אותה לקבל החלטה מעין זו. </w:t>
      </w:r>
    </w:p>
    <w:p w:rsidR="005366A8" w:rsidRDefault="005366A8" w:rsidP="005366A8">
      <w:pPr>
        <w:pStyle w:val="PlainText"/>
        <w:bidi/>
        <w:spacing w:before="0" w:beforeAutospacing="0" w:after="0" w:afterAutospacing="0"/>
        <w:jc w:val="both"/>
        <w:rPr>
          <w:rFonts w:asciiTheme="majorBidi" w:hAnsiTheme="majorBidi" w:cstheme="majorBidi"/>
          <w:sz w:val="23"/>
          <w:szCs w:val="23"/>
          <w:rtl/>
        </w:rPr>
      </w:pPr>
      <w:r w:rsidRPr="00F056DD">
        <w:rPr>
          <w:rFonts w:asciiTheme="majorBidi" w:hAnsiTheme="majorBidi" w:cstheme="majorBidi"/>
          <w:sz w:val="23"/>
          <w:szCs w:val="23"/>
          <w:rtl/>
        </w:rPr>
        <w:t xml:space="preserve">המשיבים לא חלקו על ההנחה, שהחלטת הממשלה אכן מהווה הסדר ראשוני, ובכך נחסך הדיון, הסבוך כשלעצמו, בזיהוי ותיוג הסדר כהסדר ראשוני. </w:t>
      </w:r>
    </w:p>
    <w:p w:rsidR="005366A8" w:rsidRPr="00F056DD" w:rsidRDefault="005366A8" w:rsidP="005366A8">
      <w:pPr>
        <w:pStyle w:val="PlainText"/>
        <w:bidi/>
        <w:spacing w:before="0" w:beforeAutospacing="0" w:after="0" w:afterAutospacing="0"/>
        <w:jc w:val="both"/>
        <w:rPr>
          <w:rFonts w:asciiTheme="majorBidi" w:hAnsiTheme="majorBidi" w:cstheme="majorBidi"/>
          <w:sz w:val="20"/>
          <w:szCs w:val="20"/>
          <w:rtl/>
        </w:rPr>
      </w:pPr>
      <w:r w:rsidRPr="00F056DD">
        <w:rPr>
          <w:rFonts w:asciiTheme="majorBidi" w:hAnsiTheme="majorBidi" w:cstheme="majorBidi"/>
          <w:sz w:val="23"/>
          <w:szCs w:val="23"/>
          <w:rtl/>
        </w:rPr>
        <w:t xml:space="preserve">דעת הרוב (הנשיא </w:t>
      </w:r>
      <w:r w:rsidRPr="00F056DD">
        <w:rPr>
          <w:rStyle w:val="spelle"/>
          <w:rFonts w:asciiTheme="majorBidi" w:hAnsiTheme="majorBidi" w:cstheme="majorBidi"/>
          <w:sz w:val="23"/>
          <w:szCs w:val="23"/>
          <w:rtl/>
        </w:rPr>
        <w:t>גרוניס</w:t>
      </w:r>
      <w:r w:rsidRPr="00F056DD">
        <w:rPr>
          <w:rFonts w:asciiTheme="majorBidi" w:hAnsiTheme="majorBidi" w:cstheme="majorBidi"/>
          <w:sz w:val="23"/>
          <w:szCs w:val="23"/>
          <w:rtl/>
        </w:rPr>
        <w:t xml:space="preserve">, ואיתו השופטות נאור, חיות וארבל והשופט </w:t>
      </w:r>
      <w:r w:rsidRPr="00F056DD">
        <w:rPr>
          <w:rStyle w:val="spelle"/>
          <w:rFonts w:asciiTheme="majorBidi" w:hAnsiTheme="majorBidi" w:cstheme="majorBidi"/>
          <w:sz w:val="23"/>
          <w:szCs w:val="23"/>
          <w:rtl/>
        </w:rPr>
        <w:t>סולברג; דעת מיעוט: השופטים רובינשטיין וג'ובראן</w:t>
      </w:r>
      <w:r w:rsidRPr="00F056DD">
        <w:rPr>
          <w:rFonts w:asciiTheme="majorBidi" w:hAnsiTheme="majorBidi" w:cstheme="majorBidi"/>
          <w:sz w:val="23"/>
          <w:szCs w:val="23"/>
          <w:rtl/>
        </w:rPr>
        <w:t xml:space="preserve">) סברה </w:t>
      </w:r>
      <w:r w:rsidRPr="00F056DD">
        <w:rPr>
          <w:rFonts w:asciiTheme="majorBidi" w:hAnsiTheme="majorBidi" w:cstheme="majorBidi"/>
          <w:b/>
          <w:bCs/>
          <w:sz w:val="23"/>
          <w:szCs w:val="23"/>
          <w:rtl/>
        </w:rPr>
        <w:t>שהכלל בדבר הסדרים ראשוניים הוא בבחינת דין רצוי, לפחות כל עוד אין פגיעה בזכויות אדם המוגנות בחוקי היסוד</w:t>
      </w:r>
      <w:r w:rsidRPr="00F056DD">
        <w:rPr>
          <w:rFonts w:asciiTheme="majorBidi" w:hAnsiTheme="majorBidi" w:cstheme="majorBidi"/>
          <w:sz w:val="23"/>
          <w:szCs w:val="23"/>
          <w:rtl/>
        </w:rPr>
        <w:t xml:space="preserve">. </w:t>
      </w:r>
    </w:p>
    <w:p w:rsidR="005366A8" w:rsidRPr="00F056DD" w:rsidRDefault="005366A8" w:rsidP="005366A8">
      <w:pPr>
        <w:pStyle w:val="PlainText"/>
        <w:bidi/>
        <w:spacing w:before="0" w:beforeAutospacing="0" w:after="0" w:afterAutospacing="0"/>
        <w:rPr>
          <w:rFonts w:asciiTheme="majorBidi" w:hAnsiTheme="majorBidi" w:cstheme="majorBidi"/>
          <w:rtl/>
        </w:rPr>
      </w:pPr>
      <w:r w:rsidRPr="00F056DD">
        <w:rPr>
          <w:rFonts w:asciiTheme="majorBidi" w:hAnsiTheme="majorBidi" w:cstheme="majorBidi"/>
          <w:rtl/>
        </w:rPr>
        <w:t> </w:t>
      </w:r>
    </w:p>
    <w:p w:rsidR="005366A8" w:rsidRDefault="005366A8" w:rsidP="005366A8">
      <w:pPr>
        <w:pStyle w:val="PlainText"/>
        <w:bidi/>
        <w:spacing w:before="0" w:beforeAutospacing="0" w:after="0" w:afterAutospacing="0"/>
        <w:jc w:val="both"/>
        <w:rPr>
          <w:rFonts w:asciiTheme="majorBidi" w:hAnsiTheme="majorBidi" w:cs="FrankRuehl"/>
          <w:rtl/>
        </w:rPr>
      </w:pPr>
      <w:r w:rsidRPr="00F056DD">
        <w:rPr>
          <w:rFonts w:asciiTheme="majorBidi" w:hAnsiTheme="majorBidi" w:cstheme="majorBidi"/>
          <w:sz w:val="23"/>
          <w:szCs w:val="23"/>
          <w:rtl/>
        </w:rPr>
        <w:t xml:space="preserve">הנשיא </w:t>
      </w:r>
      <w:r w:rsidRPr="00F056DD">
        <w:rPr>
          <w:rStyle w:val="spelle"/>
          <w:rFonts w:asciiTheme="majorBidi" w:hAnsiTheme="majorBidi" w:cstheme="majorBidi"/>
          <w:b/>
          <w:bCs/>
          <w:sz w:val="23"/>
          <w:szCs w:val="23"/>
          <w:rtl/>
        </w:rPr>
        <w:t>גרוניס:</w:t>
      </w:r>
      <w:r w:rsidRPr="00F056DD">
        <w:rPr>
          <w:rFonts w:asciiTheme="majorBidi" w:hAnsiTheme="majorBidi" w:cstheme="majorBidi"/>
          <w:sz w:val="23"/>
          <w:szCs w:val="23"/>
          <w:rtl/>
        </w:rPr>
        <w:t xml:space="preserve"> </w:t>
      </w:r>
    </w:p>
    <w:p w:rsidR="005366A8" w:rsidRDefault="005366A8" w:rsidP="005366A8">
      <w:pPr>
        <w:pStyle w:val="PlainText"/>
        <w:bidi/>
        <w:spacing w:before="0" w:beforeAutospacing="0" w:after="0" w:afterAutospacing="0"/>
        <w:ind w:left="720"/>
        <w:jc w:val="both"/>
        <w:rPr>
          <w:rFonts w:asciiTheme="majorBidi" w:hAnsiTheme="majorBidi" w:cs="FrankRuehl"/>
          <w:rtl/>
        </w:rPr>
      </w:pPr>
      <w:r w:rsidRPr="00266D6A">
        <w:rPr>
          <w:rFonts w:asciiTheme="majorBidi" w:hAnsiTheme="majorBidi" w:cs="FrankRuehl" w:hint="cs"/>
          <w:highlight w:val="yellow"/>
          <w:rtl/>
        </w:rPr>
        <w:t>ממשלת ישראל ביקשה להסדיר את סוגיית ייצוא הגז הטבעי מישראל. האם הכנסת הסמיכה את הממשלה לפעול בעניין? האם ההסמכה לה זכתה הממשלה הינה אף לקביעה של הסדרים ראשוניים בנושא ייצוא הגז הטבעי? אלו הן השאלות המרכזיות הטעונות הכרעה בהליכים דנא.</w:t>
      </w:r>
    </w:p>
    <w:p w:rsidR="005366A8" w:rsidRDefault="005366A8" w:rsidP="005366A8">
      <w:pPr>
        <w:pStyle w:val="PlainText"/>
        <w:bidi/>
        <w:spacing w:before="0" w:beforeAutospacing="0" w:after="0" w:afterAutospacing="0"/>
        <w:ind w:left="720"/>
        <w:jc w:val="both"/>
        <w:rPr>
          <w:rFonts w:asciiTheme="majorBidi" w:hAnsiTheme="majorBidi" w:cs="FrankRuehl"/>
          <w:rtl/>
        </w:rPr>
      </w:pPr>
    </w:p>
    <w:p w:rsidR="005366A8" w:rsidRPr="000D5B82" w:rsidRDefault="005366A8" w:rsidP="005366A8">
      <w:pPr>
        <w:ind w:left="720"/>
        <w:rPr>
          <w:rFonts w:ascii="Arial TUR" w:hAnsi="Arial TUR" w:cs="Arial TUR"/>
          <w:color w:val="000000"/>
          <w:spacing w:val="10"/>
          <w:rtl/>
        </w:rPr>
      </w:pPr>
      <w:r w:rsidRPr="000D5B82">
        <w:rPr>
          <w:rFonts w:ascii="Arial TUR" w:hAnsi="Arial TUR" w:cs="FrankRuehl" w:hint="cs"/>
          <w:color w:val="000000"/>
          <w:spacing w:val="10"/>
          <w:rtl/>
        </w:rPr>
        <w:t xml:space="preserve">ההוראה המרכזית אליה היפנתה המדינה, המהווה לגישתה את מקור הסמכות לקבלתה של החלטת הממשלה, הינה זו הקבועה </w:t>
      </w:r>
      <w:r w:rsidRPr="000D5B82">
        <w:rPr>
          <w:rFonts w:ascii="Arial TUR" w:hAnsi="Arial TUR" w:cs="FrankRuehl" w:hint="cs"/>
          <w:color w:val="000000"/>
          <w:spacing w:val="10"/>
          <w:highlight w:val="yellow"/>
          <w:rtl/>
        </w:rPr>
        <w:t>בסעיף 33 לחוק הנפט</w:t>
      </w:r>
      <w:r w:rsidRPr="000D5B82">
        <w:rPr>
          <w:rFonts w:ascii="Arial TUR" w:hAnsi="Arial TUR" w:cs="FrankRuehl" w:hint="cs"/>
          <w:color w:val="000000"/>
          <w:spacing w:val="10"/>
          <w:rtl/>
        </w:rPr>
        <w:t>. הסעיף האמור קובע כי - </w:t>
      </w:r>
    </w:p>
    <w:p w:rsidR="005366A8" w:rsidRPr="000D5B82" w:rsidRDefault="005366A8" w:rsidP="005366A8">
      <w:pPr>
        <w:ind w:left="2362" w:right="1282"/>
        <w:rPr>
          <w:rFonts w:ascii="Arial TUR" w:hAnsi="Arial TUR" w:cs="Arial TUR"/>
          <w:color w:val="000000"/>
          <w:spacing w:val="10"/>
          <w:rtl/>
        </w:rPr>
      </w:pPr>
      <w:r w:rsidRPr="000D5B82">
        <w:rPr>
          <w:rFonts w:ascii="Arial TUR" w:hAnsi="Arial TUR" w:cs="FrankRuehl" w:hint="cs"/>
          <w:color w:val="000000"/>
          <w:spacing w:val="10"/>
          <w:rtl/>
        </w:rPr>
        <w:t>"(א) השר רשאי, לאחר התיעצות עם המועצה, </w:t>
      </w:r>
      <w:r w:rsidRPr="000D5B82">
        <w:rPr>
          <w:rFonts w:ascii="Arial TUR" w:hAnsi="Arial TUR" w:cs="Miriam" w:hint="cs"/>
          <w:color w:val="000000"/>
          <w:rtl/>
        </w:rPr>
        <w:t>לחייב בעלי חזקות לספק תחילה, במחיר השוק, מן הנפט שהם מפיקים בישראל וממוצרי הנפט שהפיקו ממנו, אותה כמות נפט ומוצרי נפט הדרושים לדעת השר לתצרוכת ישראל</w:t>
      </w:r>
      <w:r w:rsidRPr="000D5B82">
        <w:rPr>
          <w:rFonts w:ascii="Arial TUR" w:hAnsi="Arial TUR" w:cs="FrankRuehl" w:hint="cs"/>
          <w:color w:val="000000"/>
          <w:spacing w:val="10"/>
          <w:rtl/>
        </w:rPr>
        <w:t>, </w:t>
      </w:r>
      <w:r w:rsidRPr="000D5B82">
        <w:rPr>
          <w:rFonts w:ascii="Arial TUR" w:hAnsi="Arial TUR" w:cs="Miriam" w:hint="cs"/>
          <w:color w:val="000000"/>
          <w:rtl/>
        </w:rPr>
        <w:t>לזקק אותה בישראל,</w:t>
      </w:r>
      <w:r w:rsidRPr="000D5B82">
        <w:rPr>
          <w:rFonts w:ascii="Arial TUR" w:hAnsi="Arial TUR" w:cs="FrankRuehl" w:hint="cs"/>
          <w:color w:val="000000"/>
          <w:spacing w:val="10"/>
          <w:rtl/>
        </w:rPr>
        <w:t> במידה שיש להם אמצעי זיקוק, </w:t>
      </w:r>
      <w:r w:rsidRPr="000D5B82">
        <w:rPr>
          <w:rFonts w:ascii="Arial TUR" w:hAnsi="Arial TUR" w:cs="Miriam" w:hint="cs"/>
          <w:color w:val="000000"/>
          <w:rtl/>
        </w:rPr>
        <w:t>ולמכרה בישראל</w:t>
      </w:r>
      <w:r w:rsidRPr="000D5B82">
        <w:rPr>
          <w:rFonts w:ascii="Arial TUR" w:hAnsi="Arial TUR" w:cs="FrankRuehl" w:hint="cs"/>
          <w:color w:val="000000"/>
          <w:spacing w:val="10"/>
          <w:rtl/>
        </w:rPr>
        <w:t>; ולשם כך רשאי הוא לחייב בעלי חזקות להפיק נפט מבארותיהם הקיימות בשיעור שיספיק למטרות האמורות, ואולם שום בעל חזקה לא יהא נדרש –</w:t>
      </w:r>
      <w:r>
        <w:rPr>
          <w:rFonts w:ascii="Arial TUR" w:hAnsi="Arial TUR" w:cs="Arial TUR" w:hint="cs"/>
          <w:color w:val="000000"/>
          <w:spacing w:val="10"/>
          <w:rtl/>
        </w:rPr>
        <w:t xml:space="preserve"> [...]</w:t>
      </w:r>
    </w:p>
    <w:p w:rsidR="005366A8" w:rsidRPr="00F056DD" w:rsidRDefault="005366A8" w:rsidP="005366A8">
      <w:pPr>
        <w:pStyle w:val="PlainText"/>
        <w:bidi/>
        <w:spacing w:before="0" w:beforeAutospacing="0" w:after="0" w:afterAutospacing="0"/>
        <w:ind w:left="720"/>
        <w:jc w:val="both"/>
        <w:rPr>
          <w:rFonts w:asciiTheme="majorBidi" w:hAnsiTheme="majorBidi" w:cs="FrankRuehl"/>
          <w:rtl/>
        </w:rPr>
      </w:pPr>
    </w:p>
    <w:p w:rsidR="005366A8" w:rsidRDefault="005366A8" w:rsidP="005366A8">
      <w:pPr>
        <w:pStyle w:val="PlainText"/>
        <w:bidi/>
        <w:spacing w:before="0" w:beforeAutospacing="0" w:after="60" w:afterAutospacing="0"/>
        <w:ind w:left="720"/>
        <w:jc w:val="both"/>
        <w:rPr>
          <w:rFonts w:ascii="Arial TUR" w:eastAsia="Times New Roman" w:hAnsi="Arial TUR" w:cs="FrankRuehl"/>
          <w:color w:val="000000"/>
          <w:spacing w:val="10"/>
          <w:rtl/>
        </w:rPr>
      </w:pPr>
      <w:r w:rsidRPr="00271A96">
        <w:rPr>
          <w:rFonts w:ascii="Arial TUR" w:eastAsia="Times New Roman" w:hAnsi="Arial TUR" w:cs="FrankRuehl" w:hint="cs"/>
          <w:color w:val="000000"/>
          <w:spacing w:val="10"/>
          <w:rtl/>
        </w:rPr>
        <w:t>עניינו של כלל ההסדרים הראשוניים הוא בהיקף שיקול הדעת אשר הכנסת הותירה בידי הרשות המבצעת. ההתייחסות לכלל מתמקדת בשאלה האם במקרה מסוים ניתנה לרשות המבצעת </w:t>
      </w:r>
      <w:r w:rsidRPr="00271A96">
        <w:rPr>
          <w:rFonts w:ascii="Arial TUR" w:eastAsia="Times New Roman" w:hAnsi="Arial TUR" w:cs="Miriam" w:hint="cs"/>
          <w:color w:val="000000"/>
          <w:rtl/>
        </w:rPr>
        <w:t>הסמכה מפורשת</w:t>
      </w:r>
      <w:r w:rsidRPr="00271A96">
        <w:rPr>
          <w:rFonts w:ascii="Arial TUR" w:eastAsia="Times New Roman" w:hAnsi="Arial TUR" w:cs="FrankRuehl" w:hint="cs"/>
          <w:color w:val="000000"/>
          <w:spacing w:val="10"/>
          <w:rtl/>
        </w:rPr>
        <w:t> לקבוע הסדר ראשוני. על בית המשפט מוטל לפעול לפי חזקה פרשנית הגורסת כי אין בכוונתו של המחוקק להסמיך את הרשות המבצעת לקבוע בעצמה הסדרים ראשוניים. ואכן, "חזקה על המחוקק כי בחר להותיר בידיו את הסמכויות הכלליות לקבוע הסדרים ומדיניות והועיד למחוקק המשנה להסדיר את ההיבטים היישומיים..." (פרשת</w:t>
      </w:r>
      <w:r w:rsidRPr="00271A96">
        <w:rPr>
          <w:rFonts w:ascii="Arial TUR" w:eastAsia="Times New Roman" w:hAnsi="Arial TUR" w:cs="Miriam" w:hint="cs"/>
          <w:color w:val="000000"/>
          <w:rtl/>
        </w:rPr>
        <w:t>שיח חדש</w:t>
      </w:r>
      <w:r w:rsidRPr="00271A96">
        <w:rPr>
          <w:rFonts w:ascii="Arial TUR" w:eastAsia="Times New Roman" w:hAnsi="Arial TUR" w:cs="FrankRuehl" w:hint="cs"/>
          <w:color w:val="000000"/>
          <w:spacing w:val="10"/>
          <w:rtl/>
        </w:rPr>
        <w:t>, בעמ' 56). יחד עם זאת, חזקה זו ניתנת לסתירה (ראו גם </w:t>
      </w:r>
      <w:r w:rsidRPr="00271A96">
        <w:rPr>
          <w:rFonts w:ascii="Arial TUR" w:eastAsia="Times New Roman" w:hAnsi="Arial TUR" w:cs="Miriam" w:hint="cs"/>
          <w:color w:val="000000"/>
          <w:rtl/>
        </w:rPr>
        <w:t>שם</w:t>
      </w:r>
      <w:r w:rsidRPr="00271A96">
        <w:rPr>
          <w:rFonts w:ascii="Arial TUR" w:eastAsia="Times New Roman" w:hAnsi="Arial TUR" w:cs="FrankRuehl" w:hint="cs"/>
          <w:color w:val="000000"/>
          <w:spacing w:val="10"/>
          <w:rtl/>
        </w:rPr>
        <w:t>, בעמ' 57-56). על מנת להפריך את החזקה, יש להצביע על הסמכה של המחוקק המאפשרת לרשות המבצעת לקבוע הסדר ראשוני בנושא מסוים. בעקבות חקיקת חוקי היסוד בדבר זכויות האדם, נדרשת פרשנות קפדנית לגבי דרישת ההסמכה, שעה שמדובר בהסמכה לקביעת הסדר הפוגע בזכויות יסוד. ככל שעוצמת הפגיעה בזכות רבה יותר, וככל שמצויים אנו קרוב יותר לליבתה של הזכות החוקתית, כך יש לבחון באופן מדוקדק וקפדני את דרישת ההסמכה המפורשת. ודוקו, כפי שיפורט בהמשך, גם כאשר לא נטענת פגיעה בזכויות אדם עדיין קיימת נפקות לכלל ההסדרים הראשוניים. אלא שבמקרה בו לא נטענת פגיעה בזכויות אדם המוגנות בחוקי היסוד, ניתן לבחון את תנאי ההסמכה המפורשת באופן מרוכך יותר.</w:t>
      </w:r>
      <w:r>
        <w:rPr>
          <w:rFonts w:ascii="Arial TUR" w:eastAsia="Times New Roman" w:hAnsi="Arial TUR" w:cs="FrankRuehl" w:hint="cs"/>
          <w:color w:val="000000"/>
          <w:spacing w:val="10"/>
          <w:rtl/>
        </w:rPr>
        <w:t xml:space="preserve"> ...</w:t>
      </w:r>
    </w:p>
    <w:p w:rsidR="005366A8" w:rsidRDefault="005366A8" w:rsidP="005366A8">
      <w:pPr>
        <w:pStyle w:val="PlainText"/>
        <w:bidi/>
        <w:spacing w:before="0" w:beforeAutospacing="0" w:after="60" w:afterAutospacing="0"/>
        <w:ind w:left="720"/>
        <w:jc w:val="both"/>
        <w:rPr>
          <w:rFonts w:ascii="Arial TUR" w:eastAsia="Times New Roman" w:hAnsi="Arial TUR" w:cs="FrankRuehl"/>
          <w:color w:val="000000"/>
          <w:spacing w:val="10"/>
          <w:rtl/>
        </w:rPr>
      </w:pPr>
    </w:p>
    <w:p w:rsidR="005366A8" w:rsidRPr="00F056DD" w:rsidRDefault="005366A8" w:rsidP="005366A8">
      <w:pPr>
        <w:pStyle w:val="PlainText"/>
        <w:bidi/>
        <w:spacing w:before="0" w:beforeAutospacing="0" w:after="60" w:afterAutospacing="0"/>
        <w:ind w:left="720"/>
        <w:jc w:val="both"/>
        <w:rPr>
          <w:rFonts w:asciiTheme="majorBidi" w:hAnsiTheme="majorBidi" w:cs="FrankRuehl"/>
          <w:rtl/>
        </w:rPr>
      </w:pPr>
      <w:r w:rsidRPr="00F056DD">
        <w:rPr>
          <w:rFonts w:asciiTheme="majorBidi" w:hAnsiTheme="majorBidi" w:cs="FrankRuehl"/>
          <w:rtl/>
        </w:rPr>
        <w:t xml:space="preserve">…בעוד שעקרון החוקיות עוסק, במובנו הרחב, בשאלת עצם ההסמכה של הרשות, הרי כלל ההסדרים הראשוניים מתמקד באופייה של ההסמכה ובהיקפה, … ראוי כי בית המחוקקים הוא שיקבע את שיקולי המדיניות אשר ינחו את הרשות השלטונית לצורך הפעלת סמכות מסוימת…  הנשיאה ביניש נותרה בדעת מיעוט בפרשת </w:t>
      </w:r>
      <w:r w:rsidRPr="00945E12">
        <w:rPr>
          <w:rFonts w:asciiTheme="majorBidi" w:hAnsiTheme="majorBidi" w:cs="FrankRuehl"/>
          <w:b/>
          <w:bCs/>
          <w:rtl/>
        </w:rPr>
        <w:t>המפקד הלאומי</w:t>
      </w:r>
      <w:r w:rsidRPr="00F056DD">
        <w:rPr>
          <w:rFonts w:asciiTheme="majorBidi" w:hAnsiTheme="majorBidi" w:cs="FrankRuehl"/>
          <w:rtl/>
        </w:rPr>
        <w:t>. אלא שבפסיקה מאוחרת יותר אומצה על ידי בית משפט זה, כהלכה מחייבת, העמדה הקושרת בין טיב ועוצמת הזכות הנפגעת לבין מידת הקפדנות בנוגע לדרישת ההסמכה המפורשת…</w:t>
      </w:r>
    </w:p>
    <w:p w:rsidR="005366A8" w:rsidRDefault="005366A8" w:rsidP="005366A8">
      <w:pPr>
        <w:pStyle w:val="PlainText"/>
        <w:bidi/>
        <w:spacing w:before="0" w:beforeAutospacing="0" w:after="60" w:afterAutospacing="0"/>
        <w:ind w:left="720"/>
        <w:jc w:val="both"/>
        <w:rPr>
          <w:rFonts w:asciiTheme="majorBidi" w:hAnsiTheme="majorBidi" w:cs="FrankRuehl"/>
          <w:rtl/>
        </w:rPr>
      </w:pPr>
      <w:r w:rsidRPr="00F056DD">
        <w:rPr>
          <w:rFonts w:asciiTheme="majorBidi" w:hAnsiTheme="majorBidi" w:cs="FrankRuehl"/>
          <w:rtl/>
        </w:rPr>
        <w:t>מלבד שיקולים [של צדק חלוקתי] המתמקדים באינטרסים של הציבור בכללותו, לא הוצגה לפנינו טענה כי החלטת הממשלה עשויה להוביל לפגיעה מסוימת וקונקרטית בזכויות יסוד כלשהן המוגנות בחוקי היסוד בדבר זכויות האדם.…  [ובמצב כזה] מתערערות לפחות חלק מן ההצדקות (אך לא כולן כמובן), המחייבות את הרשות להצביע על הסמכה מפורשת לקביעת הסדרים ראשוניים… עמדה זו מתיישבת עם פסיקתו של בית משפט זה…</w:t>
      </w:r>
    </w:p>
    <w:p w:rsidR="005366A8" w:rsidRDefault="005366A8" w:rsidP="005366A8">
      <w:pPr>
        <w:pStyle w:val="PlainText"/>
        <w:bidi/>
        <w:spacing w:before="0" w:beforeAutospacing="0" w:after="60" w:afterAutospacing="0"/>
        <w:ind w:left="720"/>
        <w:jc w:val="both"/>
        <w:rPr>
          <w:rFonts w:ascii="Arial TUR" w:eastAsia="Times New Roman" w:hAnsi="Arial TUR" w:cs="FrankRuehl"/>
          <w:color w:val="000000"/>
          <w:spacing w:val="10"/>
          <w:rtl/>
        </w:rPr>
      </w:pPr>
    </w:p>
    <w:p w:rsidR="005366A8" w:rsidRPr="00130D25" w:rsidRDefault="005366A8" w:rsidP="005366A8">
      <w:pPr>
        <w:ind w:left="720"/>
        <w:rPr>
          <w:rFonts w:ascii="Arial TUR" w:hAnsi="Arial TUR" w:cs="Arial TUR"/>
          <w:color w:val="000000"/>
          <w:spacing w:val="10"/>
          <w:rtl/>
        </w:rPr>
      </w:pPr>
      <w:r w:rsidRPr="00130D25">
        <w:rPr>
          <w:rFonts w:ascii="Arial TUR" w:hAnsi="Arial TUR" w:cs="FrankRuehl" w:hint="cs"/>
          <w:color w:val="000000"/>
          <w:spacing w:val="10"/>
          <w:highlight w:val="yellow"/>
          <w:rtl/>
        </w:rPr>
        <w:t>טענתם המרכזית של העותרים הינה, כי יש לפרש את סעיף 33(א) לחוק הנפט כהוראת דין צרת מימדים, המתייחסת אך ורק לסמכותו של השר לקבוע הוראות ביחס למאגר </w:t>
      </w:r>
      <w:r w:rsidRPr="00130D25">
        <w:rPr>
          <w:rFonts w:ascii="Arial TUR" w:hAnsi="Arial TUR" w:cs="Miriam" w:hint="cs"/>
          <w:color w:val="000000"/>
          <w:highlight w:val="yellow"/>
          <w:rtl/>
        </w:rPr>
        <w:t>ספציפי</w:t>
      </w:r>
      <w:r w:rsidRPr="00130D25">
        <w:rPr>
          <w:rFonts w:ascii="Arial TUR" w:hAnsi="Arial TUR" w:cs="FrankRuehl" w:hint="cs"/>
          <w:color w:val="000000"/>
          <w:spacing w:val="10"/>
          <w:highlight w:val="yellow"/>
          <w:rtl/>
        </w:rPr>
        <w:t> ולבעל חזקה </w:t>
      </w:r>
      <w:r w:rsidRPr="00130D25">
        <w:rPr>
          <w:rFonts w:ascii="Arial TUR" w:hAnsi="Arial TUR" w:cs="Miriam" w:hint="cs"/>
          <w:color w:val="000000"/>
          <w:highlight w:val="yellow"/>
          <w:rtl/>
        </w:rPr>
        <w:t>קונקרטי</w:t>
      </w:r>
      <w:r w:rsidRPr="00130D25">
        <w:rPr>
          <w:rFonts w:ascii="Arial TUR" w:hAnsi="Arial TUR" w:cs="FrankRuehl" w:hint="cs"/>
          <w:color w:val="000000"/>
          <w:spacing w:val="10"/>
          <w:highlight w:val="yellow"/>
          <w:rtl/>
        </w:rPr>
        <w:t>, בעניין היקף הגז שיהיה עליהם לספק לצרכי המשק הישראלי. במילים אחרות, לטענת העותרים הוראת דין זו אינה מסמיכה את השר, ובוודאי שלא את הממשלה, לקבוע הוראה </w:t>
      </w:r>
      <w:r w:rsidRPr="00130D25">
        <w:rPr>
          <w:rFonts w:ascii="Arial TUR" w:hAnsi="Arial TUR" w:cs="Miriam" w:hint="cs"/>
          <w:color w:val="000000"/>
          <w:highlight w:val="yellow"/>
          <w:rtl/>
        </w:rPr>
        <w:t>גורפת</w:t>
      </w:r>
      <w:r w:rsidRPr="00130D25">
        <w:rPr>
          <w:rFonts w:ascii="Arial TUR" w:hAnsi="Arial TUR" w:cs="FrankRuehl" w:hint="cs"/>
          <w:color w:val="000000"/>
          <w:spacing w:val="10"/>
          <w:highlight w:val="yellow"/>
          <w:rtl/>
        </w:rPr>
        <w:t> המתייחסת למשק הגז </w:t>
      </w:r>
      <w:r w:rsidRPr="00130D25">
        <w:rPr>
          <w:rFonts w:ascii="Arial TUR" w:hAnsi="Arial TUR" w:cs="Miriam" w:hint="cs"/>
          <w:color w:val="000000"/>
          <w:highlight w:val="yellow"/>
          <w:rtl/>
        </w:rPr>
        <w:t>בכללותו</w:t>
      </w:r>
      <w:r w:rsidRPr="00130D25">
        <w:rPr>
          <w:rFonts w:ascii="Arial TUR" w:hAnsi="Arial TUR" w:cs="FrankRuehl" w:hint="cs"/>
          <w:color w:val="000000"/>
          <w:spacing w:val="10"/>
          <w:highlight w:val="yellow"/>
          <w:rtl/>
        </w:rPr>
        <w:t> ולעניין היקף הגז </w:t>
      </w:r>
      <w:r w:rsidRPr="00130D25">
        <w:rPr>
          <w:rFonts w:ascii="Arial TUR" w:hAnsi="Arial TUR" w:cs="Miriam" w:hint="cs"/>
          <w:color w:val="000000"/>
          <w:highlight w:val="yellow"/>
          <w:rtl/>
        </w:rPr>
        <w:t>הכולל</w:t>
      </w:r>
      <w:r w:rsidRPr="00130D25">
        <w:rPr>
          <w:rFonts w:ascii="Arial TUR" w:hAnsi="Arial TUR" w:cs="FrankRuehl" w:hint="cs"/>
          <w:color w:val="000000"/>
          <w:spacing w:val="10"/>
          <w:highlight w:val="yellow"/>
          <w:rtl/>
        </w:rPr>
        <w:t> המותר בייצוא מחוץ לישראל. אין בהוראה, לגישתם, כדי לאפשר קביעת מדיניות כללית בשורה של נושאים הקשורים למשק הגז הטבעי ואין היא יכולה להוות מקור סמכות להתוויית מדיניות ועקרונות יסוד לסוגיית יצוא הגז, בגדר הסדר ראשוני.</w:t>
      </w:r>
      <w:r w:rsidRPr="00130D25">
        <w:rPr>
          <w:rFonts w:ascii="Arial TUR" w:hAnsi="Arial TUR" w:cs="Arial TUR" w:hint="cs"/>
          <w:color w:val="000000"/>
          <w:spacing w:val="10"/>
          <w:highlight w:val="yellow"/>
          <w:rtl/>
        </w:rPr>
        <w:t xml:space="preserve"> ...</w:t>
      </w:r>
      <w:r w:rsidRPr="00130D25">
        <w:rPr>
          <w:rFonts w:ascii="Arial TUR" w:hAnsi="Arial TUR" w:cs="FrankRuehl" w:hint="cs"/>
          <w:color w:val="000000"/>
          <w:spacing w:val="10"/>
          <w:rtl/>
        </w:rPr>
        <w:t> </w:t>
      </w:r>
    </w:p>
    <w:p w:rsidR="005366A8" w:rsidRPr="00130D25" w:rsidRDefault="005366A8" w:rsidP="005366A8">
      <w:pPr>
        <w:pStyle w:val="PlainText"/>
        <w:bidi/>
        <w:spacing w:before="0" w:beforeAutospacing="0" w:after="60" w:afterAutospacing="0"/>
        <w:ind w:left="720"/>
        <w:jc w:val="both"/>
        <w:rPr>
          <w:rFonts w:asciiTheme="majorBidi" w:hAnsiTheme="majorBidi" w:cs="FrankRuehl"/>
          <w:rtl/>
        </w:rPr>
      </w:pPr>
      <w:r w:rsidRPr="00130D25">
        <w:rPr>
          <w:rFonts w:ascii="Arial TUR" w:eastAsia="Times New Roman" w:hAnsi="Arial TUR" w:cs="FrankRuehl" w:hint="cs"/>
          <w:color w:val="000000"/>
          <w:spacing w:val="10"/>
          <w:rtl/>
        </w:rPr>
        <w:t>אין בידי לקבל טענה זו. ייתכן שקריאה של סעיף החוק כפשוטו עשויה להוביל למסקנה כי הלשון תומכת, במידת מה, בטענות העותרים (הגם שניתן להגיע למסקנה הפוכה מקריאת לשון החוק). עם זאת, סבורני כי את הוראות האסדרה השונות שבחוק הנפט, כולל לעניין סעיף 33(א) לחוק, יש לפרש, ככלל, באופן המקנה סמכות רחבה לבעלי התפקידים המופקדים על ביצועו. זאת, בשל מאפייניו המיוחדים של משק האנרגיה, ובפרט משק הגז הטבעי; בשל כך שמדובר במשאב טבע מוגבל; נוכח הריכוזיות הרבה המאפיינת את תחום הפקת משאבי הטבע, במיוחד במשק הישראלי שהינו מוגבל בהיקפו; ועל רקע חולשתו היחסית של צרכן הקצה אל מול ספקי הגז הטבעי. בצדק ציין השופט </w:t>
      </w:r>
      <w:r w:rsidRPr="00130D25">
        <w:rPr>
          <w:rFonts w:ascii="Arial TUR" w:eastAsia="Times New Roman" w:hAnsi="Arial TUR" w:cs="Miriam" w:hint="cs"/>
          <w:color w:val="000000"/>
          <w:rtl/>
        </w:rPr>
        <w:t>מ' חשין</w:t>
      </w:r>
      <w:r w:rsidRPr="00130D25">
        <w:rPr>
          <w:rFonts w:ascii="Arial TUR" w:eastAsia="Times New Roman" w:hAnsi="Arial TUR" w:cs="FrankRuehl" w:hint="cs"/>
          <w:color w:val="000000"/>
          <w:spacing w:val="10"/>
          <w:rtl/>
        </w:rPr>
        <w:t> בעניין </w:t>
      </w:r>
      <w:r w:rsidRPr="00130D25">
        <w:rPr>
          <w:rFonts w:eastAsia="Times New Roman"/>
          <w:i/>
          <w:iCs/>
          <w:color w:val="000000"/>
        </w:rPr>
        <w:t>Samedan</w:t>
      </w:r>
      <w:r w:rsidRPr="00130D25">
        <w:rPr>
          <w:rFonts w:ascii="Arial TUR" w:eastAsia="Times New Roman" w:hAnsi="Arial TUR" w:cs="FrankRuehl" w:hint="cs"/>
          <w:color w:val="000000"/>
          <w:spacing w:val="10"/>
          <w:rtl/>
        </w:rPr>
        <w:t>, כי על רקע שיקולים אלה התגבשה ההכרה, גם במדינות רבות בעולם, "... כי יש להסדיר ולהכווין את משק הגז, וכי נטל הוא המוטל על השלטון המרכזי לעשות כן לטובת היחיד ולטובת המשק בכללו" (</w:t>
      </w:r>
      <w:r w:rsidRPr="00130D25">
        <w:rPr>
          <w:rFonts w:ascii="Arial TUR" w:eastAsia="Times New Roman" w:hAnsi="Arial TUR" w:cs="Miriam" w:hint="cs"/>
          <w:color w:val="000000"/>
          <w:rtl/>
        </w:rPr>
        <w:t>שם</w:t>
      </w:r>
      <w:r w:rsidRPr="00130D25">
        <w:rPr>
          <w:rFonts w:ascii="Arial TUR" w:eastAsia="Times New Roman" w:hAnsi="Arial TUR" w:cs="FrankRuehl" w:hint="cs"/>
          <w:color w:val="000000"/>
          <w:spacing w:val="10"/>
          <w:rtl/>
        </w:rPr>
        <w:t>, בעמ' 319). דומני, כי כל אלה מצדיקים מתן פרשנות רחבה לסמכויותיהם של הגורמים השלטוניים האמונים על ביצוע החוק, על מנת שיוכלו לפעול לצורך אסדרת משק הגז באופן התורם לרווחת המדינה והמשק הישראלי, תוך שמירה על כללים של תחרות חופשית. ודוקו, ברור כי גישה פרשנית מרחיבה לבחינת היקף הסמכויות שהוקנו מכוח החוק, אין משמעה כי נתון בידי בעלי הסמכות שיקול דעת בלתי מוגבל. ובמילים אחרות, אפילו מוכנים אנו לצאת מנקודת מוצא פרשנית לפיה חוק הנפט אמור להעניק סמכויות רחבות לרשות המוסמכת, הרי אין בכך כדי ללמד כי ניתן לעשות שימוש שרירותי ולא סביר בסמכויות הרגולטוריות השונות.</w:t>
      </w:r>
    </w:p>
    <w:p w:rsidR="005366A8" w:rsidRDefault="005366A8" w:rsidP="005366A8">
      <w:pPr>
        <w:pStyle w:val="PlainText"/>
        <w:bidi/>
        <w:spacing w:before="0" w:beforeAutospacing="0" w:after="60" w:afterAutospacing="0"/>
        <w:ind w:left="720"/>
        <w:jc w:val="both"/>
        <w:rPr>
          <w:rFonts w:asciiTheme="majorBidi" w:hAnsiTheme="majorBidi" w:cs="FrankRuehl"/>
          <w:rtl/>
        </w:rPr>
      </w:pPr>
      <w:r>
        <w:rPr>
          <w:rFonts w:asciiTheme="majorBidi" w:hAnsiTheme="majorBidi" w:cs="FrankRuehl" w:hint="cs"/>
          <w:rtl/>
        </w:rPr>
        <w:t>...</w:t>
      </w:r>
    </w:p>
    <w:p w:rsidR="005366A8" w:rsidRDefault="005366A8" w:rsidP="005366A8">
      <w:pPr>
        <w:pStyle w:val="PlainText"/>
        <w:bidi/>
        <w:spacing w:before="0" w:beforeAutospacing="0" w:after="60" w:afterAutospacing="0"/>
        <w:ind w:left="720"/>
        <w:jc w:val="both"/>
        <w:rPr>
          <w:rFonts w:asciiTheme="majorBidi" w:hAnsiTheme="majorBidi" w:cs="FrankRuehl"/>
          <w:rtl/>
        </w:rPr>
      </w:pPr>
      <w:r w:rsidRPr="00F056DD">
        <w:rPr>
          <w:rFonts w:asciiTheme="majorBidi" w:hAnsiTheme="majorBidi" w:cs="FrankRuehl"/>
          <w:rtl/>
        </w:rPr>
        <w:t xml:space="preserve">מובן, עם זאת, כי </w:t>
      </w:r>
      <w:r w:rsidRPr="00F056DD">
        <w:rPr>
          <w:rFonts w:asciiTheme="majorBidi" w:hAnsiTheme="majorBidi" w:cs="FrankRuehl"/>
          <w:u w:val="single"/>
          <w:rtl/>
        </w:rPr>
        <w:t>אין בכך כדי ללמד כי יש לוותר כליל על דרישת ההסמכה המפורשת</w:t>
      </w:r>
      <w:r w:rsidRPr="00F056DD">
        <w:rPr>
          <w:rFonts w:asciiTheme="majorBidi" w:hAnsiTheme="majorBidi" w:cs="FrankRuehl"/>
          <w:rtl/>
        </w:rPr>
        <w:t xml:space="preserve"> כל אימת שלא מושמעת טענה כי החלטה של רשות שלטונית, הקובעת הסדר ראשוני, פוגעת בזכויות יסוד… אין זה אפשרי להתוות בגדר הדיון הנוכחי קו גבול מדויק לגבי השאלה מתי ההסמכה בחוק תהא מפורשת דיה באופן המאפשר לרשות המבצעת לקבוע הסדר ראשוני אשר אין בו פגיעה בזכויות יסוד [אבל] ניתן להסתפק בדרישה מרוככת יותר … </w:t>
      </w:r>
    </w:p>
    <w:p w:rsidR="005366A8" w:rsidRPr="00F056DD" w:rsidRDefault="005366A8" w:rsidP="005366A8">
      <w:pPr>
        <w:pStyle w:val="PlainText"/>
        <w:bidi/>
        <w:spacing w:before="0" w:beforeAutospacing="0" w:after="0" w:afterAutospacing="0"/>
        <w:ind w:left="720"/>
        <w:jc w:val="both"/>
        <w:rPr>
          <w:rFonts w:asciiTheme="majorBidi" w:hAnsiTheme="majorBidi" w:cs="FrankRuehl"/>
          <w:rtl/>
        </w:rPr>
      </w:pPr>
      <w:r w:rsidRPr="00F056DD">
        <w:rPr>
          <w:rFonts w:asciiTheme="majorBidi" w:hAnsiTheme="majorBidi" w:cs="FrankRuehl"/>
          <w:rtl/>
        </w:rPr>
        <w:t xml:space="preserve">להסתייע בתבחין מסוים לצורך קביעת מידת ההקפדה על דרישת ההסמכה המפורשת… </w:t>
      </w:r>
      <w:r w:rsidRPr="00945E12">
        <w:rPr>
          <w:rFonts w:asciiTheme="majorBidi" w:hAnsiTheme="majorBidi" w:cs="FrankRuehl"/>
          <w:highlight w:val="yellow"/>
          <w:rtl/>
        </w:rPr>
        <w:t xml:space="preserve">ככל שההחלטה מובילה לצריכה מוגבלת יחסית והדרגתית של המשאב, </w:t>
      </w:r>
      <w:r w:rsidRPr="00945E12">
        <w:rPr>
          <w:rFonts w:asciiTheme="majorBidi" w:hAnsiTheme="majorBidi" w:cs="FrankRuehl"/>
          <w:highlight w:val="yellow"/>
          <w:u w:val="single"/>
          <w:rtl/>
        </w:rPr>
        <w:t>בלא שזו גוררת אחריה מיצוי מיידי ומלא של המשאב</w:t>
      </w:r>
      <w:r w:rsidRPr="00945E12">
        <w:rPr>
          <w:rFonts w:asciiTheme="majorBidi" w:hAnsiTheme="majorBidi" w:cs="FrankRuehl"/>
          <w:highlight w:val="yellow"/>
          <w:rtl/>
        </w:rPr>
        <w:t xml:space="preserve">, הרי ניתן להניח כי ההחלטה תהא </w:t>
      </w:r>
      <w:r w:rsidRPr="00945E12">
        <w:rPr>
          <w:rFonts w:asciiTheme="majorBidi" w:hAnsiTheme="majorBidi" w:cs="FrankRuehl"/>
          <w:highlight w:val="yellow"/>
          <w:u w:val="single"/>
          <w:rtl/>
        </w:rPr>
        <w:t>ניתנת לשינוי בעתיד</w:t>
      </w:r>
      <w:r w:rsidRPr="00945E12">
        <w:rPr>
          <w:rFonts w:asciiTheme="majorBidi" w:hAnsiTheme="majorBidi" w:cs="FrankRuehl"/>
          <w:highlight w:val="yellow"/>
          <w:rtl/>
        </w:rPr>
        <w:t xml:space="preserve"> בשל סיבות מסיבות שונות…</w:t>
      </w:r>
    </w:p>
    <w:p w:rsidR="005366A8" w:rsidRPr="00F056DD" w:rsidRDefault="005366A8" w:rsidP="005366A8">
      <w:pPr>
        <w:pStyle w:val="PlainText"/>
        <w:bidi/>
        <w:spacing w:before="0" w:beforeAutospacing="0" w:after="0" w:afterAutospacing="0"/>
        <w:jc w:val="both"/>
        <w:rPr>
          <w:rFonts w:asciiTheme="majorBidi" w:hAnsiTheme="majorBidi" w:cs="FrankRuehl"/>
          <w:rtl/>
        </w:rPr>
      </w:pPr>
      <w:r w:rsidRPr="00F056DD">
        <w:rPr>
          <w:rFonts w:asciiTheme="majorBidi" w:hAnsiTheme="majorBidi" w:cs="FrankRuehl"/>
          <w:rtl/>
        </w:rPr>
        <w:t> </w:t>
      </w:r>
    </w:p>
    <w:p w:rsidR="005366A8" w:rsidRPr="00F056DD" w:rsidRDefault="005366A8" w:rsidP="005366A8">
      <w:pPr>
        <w:pStyle w:val="PlainText"/>
        <w:bidi/>
        <w:spacing w:before="0" w:beforeAutospacing="0" w:after="0" w:afterAutospacing="0"/>
        <w:ind w:left="720"/>
        <w:jc w:val="both"/>
        <w:rPr>
          <w:rFonts w:asciiTheme="majorBidi" w:hAnsiTheme="majorBidi" w:cs="FrankRuehl"/>
          <w:rtl/>
        </w:rPr>
      </w:pPr>
      <w:r w:rsidRPr="00F056DD">
        <w:rPr>
          <w:rFonts w:asciiTheme="majorBidi" w:hAnsiTheme="majorBidi" w:cs="FrankRuehl"/>
          <w:rtl/>
        </w:rPr>
        <w:t xml:space="preserve">"טעם נוסף המצדיק את דחיית העתירה … </w:t>
      </w:r>
      <w:r w:rsidRPr="00F056DD">
        <w:rPr>
          <w:rFonts w:asciiTheme="majorBidi" w:hAnsiTheme="majorBidi" w:cs="FrankRuehl"/>
          <w:u w:val="single"/>
          <w:rtl/>
        </w:rPr>
        <w:t>סוג הסעד</w:t>
      </w:r>
      <w:r w:rsidRPr="00F056DD">
        <w:rPr>
          <w:rFonts w:asciiTheme="majorBidi" w:hAnsiTheme="majorBidi" w:cs="FrankRuehl"/>
          <w:rtl/>
        </w:rPr>
        <w:t xml:space="preserve"> שנתבקש בה… לא ביקשו סעד המורה על ביטול החלטת הממשלה [אלא] לפעול לחקיקת חוק המסדיר את משק הגז, הא ותו לא. סעד זה אינו ממין הסעדים שבית משפט זה נוהג ליתן, והוא מצדיק כשלעצמו את דחיית העתירה. </w:t>
      </w:r>
      <w:r w:rsidRPr="00F056DD">
        <w:rPr>
          <w:rFonts w:asciiTheme="majorBidi" w:hAnsiTheme="majorBidi" w:cs="FrankRuehl"/>
          <w:u w:val="single"/>
          <w:rtl/>
        </w:rPr>
        <w:t>אין זה מתפקידו של בית המשפט הגבוה לצדק להורות לממשלה או לכנסת לפעול לצורך חקיקתה</w:t>
      </w:r>
      <w:r w:rsidRPr="00F056DD">
        <w:rPr>
          <w:rFonts w:asciiTheme="majorBidi" w:hAnsiTheme="majorBidi" w:cs="FrankRuehl"/>
          <w:rtl/>
        </w:rPr>
        <w:t xml:space="preserve"> של חקיקה ראשית של הכנסת.</w:t>
      </w:r>
    </w:p>
    <w:p w:rsidR="005366A8" w:rsidRPr="00F056DD" w:rsidRDefault="005366A8" w:rsidP="005366A8">
      <w:pPr>
        <w:pStyle w:val="PlainText"/>
        <w:bidi/>
        <w:spacing w:before="0" w:beforeAutospacing="0" w:after="0" w:afterAutospacing="0"/>
        <w:rPr>
          <w:rFonts w:asciiTheme="majorBidi" w:hAnsiTheme="majorBidi" w:cstheme="majorBidi"/>
          <w:rtl/>
        </w:rPr>
      </w:pPr>
      <w:r w:rsidRPr="00F056DD">
        <w:rPr>
          <w:rFonts w:asciiTheme="majorBidi" w:hAnsiTheme="majorBidi" w:cstheme="majorBidi"/>
          <w:rtl/>
        </w:rPr>
        <w:t> </w:t>
      </w:r>
    </w:p>
    <w:p w:rsidR="005366A8" w:rsidRDefault="005366A8" w:rsidP="005366A8">
      <w:pPr>
        <w:pStyle w:val="PlainText"/>
        <w:bidi/>
        <w:spacing w:before="0" w:beforeAutospacing="0" w:after="0" w:afterAutospacing="0"/>
        <w:rPr>
          <w:rFonts w:asciiTheme="majorBidi" w:hAnsiTheme="majorBidi" w:cstheme="majorBidi"/>
          <w:sz w:val="23"/>
          <w:szCs w:val="23"/>
          <w:rtl/>
        </w:rPr>
      </w:pPr>
      <w:r w:rsidRPr="00F056DD">
        <w:rPr>
          <w:rFonts w:asciiTheme="majorBidi" w:hAnsiTheme="majorBidi" w:cstheme="majorBidi"/>
          <w:sz w:val="23"/>
          <w:szCs w:val="23"/>
          <w:rtl/>
        </w:rPr>
        <w:t xml:space="preserve">לבסוף הביע </w:t>
      </w:r>
      <w:r w:rsidRPr="00F056DD">
        <w:rPr>
          <w:rFonts w:asciiTheme="majorBidi" w:hAnsiTheme="majorBidi" w:cstheme="majorBidi"/>
          <w:b/>
          <w:bCs/>
          <w:sz w:val="23"/>
          <w:szCs w:val="23"/>
          <w:rtl/>
        </w:rPr>
        <w:t>הנשיא</w:t>
      </w:r>
      <w:r w:rsidRPr="00F056DD">
        <w:rPr>
          <w:rFonts w:asciiTheme="majorBidi" w:hAnsiTheme="majorBidi" w:cstheme="majorBidi"/>
          <w:sz w:val="23"/>
          <w:szCs w:val="23"/>
          <w:rtl/>
        </w:rPr>
        <w:t xml:space="preserve"> </w:t>
      </w:r>
      <w:r w:rsidRPr="00945E12">
        <w:rPr>
          <w:rFonts w:asciiTheme="majorBidi" w:hAnsiTheme="majorBidi" w:cstheme="majorBidi"/>
          <w:sz w:val="23"/>
          <w:szCs w:val="23"/>
          <w:u w:val="single"/>
          <w:rtl/>
        </w:rPr>
        <w:t>דאגה</w:t>
      </w:r>
      <w:r w:rsidRPr="00F056DD">
        <w:rPr>
          <w:rFonts w:asciiTheme="majorBidi" w:hAnsiTheme="majorBidi" w:cstheme="majorBidi"/>
          <w:sz w:val="23"/>
          <w:szCs w:val="23"/>
          <w:rtl/>
        </w:rPr>
        <w:t xml:space="preserve"> לנוכח</w:t>
      </w:r>
      <w:r>
        <w:rPr>
          <w:rFonts w:asciiTheme="majorBidi" w:hAnsiTheme="majorBidi" w:cstheme="majorBidi" w:hint="cs"/>
          <w:sz w:val="23"/>
          <w:szCs w:val="23"/>
          <w:rtl/>
        </w:rPr>
        <w:t>:</w:t>
      </w:r>
      <w:r w:rsidRPr="00F056DD">
        <w:rPr>
          <w:rFonts w:asciiTheme="majorBidi" w:hAnsiTheme="majorBidi" w:cstheme="majorBidi"/>
          <w:sz w:val="23"/>
          <w:szCs w:val="23"/>
          <w:rtl/>
        </w:rPr>
        <w:t xml:space="preserve"> </w:t>
      </w:r>
    </w:p>
    <w:p w:rsidR="005366A8" w:rsidRPr="00F056DD" w:rsidRDefault="005366A8" w:rsidP="005366A8">
      <w:pPr>
        <w:pStyle w:val="PlainText"/>
        <w:bidi/>
        <w:spacing w:before="0" w:beforeAutospacing="0" w:after="0" w:afterAutospacing="0"/>
        <w:ind w:left="720"/>
        <w:jc w:val="both"/>
        <w:rPr>
          <w:rFonts w:asciiTheme="majorBidi" w:hAnsiTheme="majorBidi" w:cs="FrankRuehl"/>
          <w:rtl/>
        </w:rPr>
      </w:pPr>
      <w:r w:rsidRPr="00F056DD">
        <w:rPr>
          <w:rFonts w:asciiTheme="majorBidi" w:hAnsiTheme="majorBidi" w:cs="FrankRuehl"/>
          <w:rtl/>
        </w:rPr>
        <w:t>"</w:t>
      </w:r>
      <w:r w:rsidRPr="00F056DD">
        <w:rPr>
          <w:rFonts w:asciiTheme="majorBidi" w:hAnsiTheme="majorBidi" w:cs="FrankRuehl"/>
          <w:u w:val="single"/>
          <w:rtl/>
        </w:rPr>
        <w:t>עלייה משמעותית בהיקף העתירות המוגשות לבית המשפט על ידי סיעות</w:t>
      </w:r>
      <w:r w:rsidRPr="00F056DD">
        <w:rPr>
          <w:rFonts w:asciiTheme="majorBidi" w:hAnsiTheme="majorBidi" w:cs="FrankRuehl"/>
          <w:rtl/>
        </w:rPr>
        <w:t xml:space="preserve"> של הכנסת ועל ידי חברי כנסת… ברור, כי קיים קשר בין תופעה זו להרחבתה הכללית של זכות העמידה בבית המשפט הגבוה לצדק… עתירות ציבוריות של חברי כנסת מוגשות לעתים על חשבון דיון ציבורי מקיף בהליכים הפנים-</w:t>
      </w:r>
      <w:r w:rsidRPr="00F056DD">
        <w:rPr>
          <w:rStyle w:val="spelle"/>
          <w:rFonts w:asciiTheme="majorBidi" w:hAnsiTheme="majorBidi" w:cs="FrankRuehl"/>
          <w:rtl/>
        </w:rPr>
        <w:t>פרלמנטריים</w:t>
      </w:r>
      <w:r w:rsidRPr="00F056DD">
        <w:rPr>
          <w:rFonts w:asciiTheme="majorBidi" w:hAnsiTheme="majorBidi" w:cs="FrankRuehl"/>
          <w:rtl/>
        </w:rPr>
        <w:t xml:space="preserve">, מה שגורר אחריו, לא אחת, פגיעה במעמדה של הכנסת. </w:t>
      </w:r>
    </w:p>
    <w:p w:rsidR="005366A8" w:rsidRPr="00F056DD" w:rsidRDefault="005366A8" w:rsidP="005366A8">
      <w:pPr>
        <w:pStyle w:val="PlainText"/>
        <w:bidi/>
        <w:spacing w:before="0" w:beforeAutospacing="0" w:after="0" w:afterAutospacing="0"/>
        <w:rPr>
          <w:rFonts w:asciiTheme="majorBidi" w:hAnsiTheme="majorBidi" w:cstheme="majorBidi"/>
          <w:rtl/>
        </w:rPr>
      </w:pPr>
      <w:r w:rsidRPr="00F056DD">
        <w:rPr>
          <w:rFonts w:asciiTheme="majorBidi" w:hAnsiTheme="majorBidi" w:cstheme="majorBidi"/>
          <w:rtl/>
        </w:rPr>
        <w:t> </w:t>
      </w:r>
    </w:p>
    <w:p w:rsidR="005366A8" w:rsidRPr="00F056DD" w:rsidRDefault="005366A8" w:rsidP="005366A8">
      <w:pPr>
        <w:pStyle w:val="PlainText"/>
        <w:bidi/>
        <w:spacing w:before="0" w:beforeAutospacing="0" w:after="0" w:afterAutospacing="0"/>
        <w:rPr>
          <w:rFonts w:asciiTheme="majorBidi" w:hAnsiTheme="majorBidi" w:cstheme="majorBidi"/>
          <w:rtl/>
        </w:rPr>
      </w:pPr>
      <w:r w:rsidRPr="00F056DD">
        <w:rPr>
          <w:rFonts w:asciiTheme="majorBidi" w:hAnsiTheme="majorBidi" w:cstheme="majorBidi"/>
          <w:sz w:val="23"/>
          <w:szCs w:val="23"/>
          <w:rtl/>
        </w:rPr>
        <w:t xml:space="preserve">השופט </w:t>
      </w:r>
      <w:r w:rsidRPr="00F056DD">
        <w:rPr>
          <w:rStyle w:val="spelle"/>
          <w:rFonts w:asciiTheme="majorBidi" w:hAnsiTheme="majorBidi" w:cstheme="majorBidi"/>
          <w:b/>
          <w:bCs/>
          <w:sz w:val="23"/>
          <w:szCs w:val="23"/>
          <w:rtl/>
        </w:rPr>
        <w:t>סולברג</w:t>
      </w:r>
      <w:r w:rsidRPr="00F056DD">
        <w:rPr>
          <w:rFonts w:asciiTheme="majorBidi" w:hAnsiTheme="majorBidi" w:cstheme="majorBidi"/>
          <w:sz w:val="23"/>
          <w:szCs w:val="23"/>
          <w:rtl/>
        </w:rPr>
        <w:t xml:space="preserve"> הוסיף טעמים פרשניים הנסמכים על דברים שנאמרו בכנסת במהלך הדיונים על חקיקתו של חוק הנפט, בשנת 1952. השופט רובינשטיין עמד על שינוי הנסיבות המשמעותי שחל מאז החקיקה ושמקשה על מתן משקל לדברים אלו</w:t>
      </w:r>
      <w:r w:rsidRPr="00F056DD">
        <w:rPr>
          <w:rFonts w:asciiTheme="majorBidi" w:hAnsiTheme="majorBidi" w:cstheme="majorBidi"/>
          <w:rtl/>
        </w:rPr>
        <w:t>.</w:t>
      </w:r>
    </w:p>
    <w:p w:rsidR="005366A8" w:rsidRPr="00F056DD" w:rsidRDefault="005366A8" w:rsidP="005366A8">
      <w:pPr>
        <w:pStyle w:val="PlainText"/>
        <w:bidi/>
        <w:spacing w:before="0" w:beforeAutospacing="0" w:after="0" w:afterAutospacing="0"/>
        <w:rPr>
          <w:rFonts w:asciiTheme="majorBidi" w:hAnsiTheme="majorBidi" w:cstheme="majorBidi"/>
          <w:rtl/>
        </w:rPr>
      </w:pPr>
      <w:r w:rsidRPr="00F056DD">
        <w:rPr>
          <w:rFonts w:asciiTheme="majorBidi" w:hAnsiTheme="majorBidi" w:cstheme="majorBidi"/>
          <w:rtl/>
        </w:rPr>
        <w:t> </w:t>
      </w:r>
    </w:p>
    <w:p w:rsidR="005366A8" w:rsidRDefault="005366A8" w:rsidP="005366A8">
      <w:pPr>
        <w:pStyle w:val="PlainText"/>
        <w:bidi/>
        <w:spacing w:before="0" w:beforeAutospacing="0" w:after="0" w:afterAutospacing="0"/>
        <w:rPr>
          <w:rFonts w:asciiTheme="majorBidi" w:hAnsiTheme="majorBidi" w:cstheme="majorBidi"/>
          <w:sz w:val="23"/>
          <w:szCs w:val="23"/>
          <w:rtl/>
        </w:rPr>
      </w:pPr>
      <w:r w:rsidRPr="00F056DD">
        <w:rPr>
          <w:rFonts w:asciiTheme="majorBidi" w:hAnsiTheme="majorBidi" w:cstheme="majorBidi"/>
          <w:sz w:val="23"/>
          <w:szCs w:val="23"/>
          <w:rtl/>
        </w:rPr>
        <w:t xml:space="preserve">דעת מיעוט, השופט </w:t>
      </w:r>
      <w:r w:rsidRPr="00F056DD">
        <w:rPr>
          <w:rFonts w:asciiTheme="majorBidi" w:hAnsiTheme="majorBidi" w:cstheme="majorBidi"/>
          <w:b/>
          <w:bCs/>
          <w:sz w:val="23"/>
          <w:szCs w:val="23"/>
          <w:rtl/>
        </w:rPr>
        <w:t>ג'ובראן</w:t>
      </w:r>
      <w:r w:rsidRPr="00F056DD">
        <w:rPr>
          <w:rFonts w:asciiTheme="majorBidi" w:hAnsiTheme="majorBidi" w:cstheme="majorBidi"/>
          <w:sz w:val="23"/>
          <w:szCs w:val="23"/>
          <w:rtl/>
        </w:rPr>
        <w:t xml:space="preserve">: </w:t>
      </w:r>
    </w:p>
    <w:p w:rsidR="005366A8" w:rsidRDefault="005366A8" w:rsidP="005366A8">
      <w:pPr>
        <w:pStyle w:val="PlainText"/>
        <w:bidi/>
        <w:spacing w:before="0" w:beforeAutospacing="0" w:after="0" w:afterAutospacing="0"/>
        <w:rPr>
          <w:rFonts w:asciiTheme="majorBidi" w:hAnsiTheme="majorBidi" w:cstheme="majorBidi"/>
          <w:sz w:val="23"/>
          <w:szCs w:val="23"/>
          <w:rtl/>
        </w:rPr>
      </w:pPr>
      <w:r w:rsidRPr="00F056DD">
        <w:rPr>
          <w:rFonts w:asciiTheme="majorBidi" w:hAnsiTheme="majorBidi" w:cstheme="majorBidi"/>
          <w:sz w:val="23"/>
          <w:szCs w:val="23"/>
          <w:rtl/>
        </w:rPr>
        <w:t xml:space="preserve">בעניין </w:t>
      </w:r>
      <w:r w:rsidRPr="00F056DD">
        <w:rPr>
          <w:rStyle w:val="spelle"/>
          <w:rFonts w:asciiTheme="majorBidi" w:hAnsiTheme="majorBidi" w:cstheme="majorBidi"/>
          <w:sz w:val="23"/>
          <w:szCs w:val="23"/>
          <w:rtl/>
        </w:rPr>
        <w:t>עד</w:t>
      </w:r>
      <w:r>
        <w:rPr>
          <w:rStyle w:val="spelle"/>
          <w:rFonts w:asciiTheme="majorBidi" w:hAnsiTheme="majorBidi" w:cstheme="majorBidi" w:hint="cs"/>
          <w:sz w:val="23"/>
          <w:szCs w:val="23"/>
          <w:rtl/>
        </w:rPr>
        <w:t>א</w:t>
      </w:r>
      <w:r w:rsidRPr="00F056DD">
        <w:rPr>
          <w:rStyle w:val="spelle"/>
          <w:rFonts w:asciiTheme="majorBidi" w:hAnsiTheme="majorBidi" w:cstheme="majorBidi"/>
          <w:sz w:val="23"/>
          <w:szCs w:val="23"/>
          <w:rtl/>
        </w:rPr>
        <w:t>ל</w:t>
      </w:r>
      <w:r w:rsidRPr="00F056DD">
        <w:rPr>
          <w:rFonts w:asciiTheme="majorBidi" w:hAnsiTheme="majorBidi" w:cstheme="majorBidi"/>
          <w:sz w:val="23"/>
          <w:szCs w:val="23"/>
          <w:rtl/>
        </w:rPr>
        <w:t xml:space="preserve"> </w:t>
      </w:r>
      <w:r w:rsidRPr="00F056DD">
        <w:rPr>
          <w:rStyle w:val="spelle"/>
          <w:rFonts w:asciiTheme="majorBidi" w:hAnsiTheme="majorBidi" w:cstheme="majorBidi"/>
          <w:sz w:val="23"/>
          <w:szCs w:val="23"/>
          <w:rtl/>
        </w:rPr>
        <w:t>מנ</w:t>
      </w:r>
      <w:r>
        <w:rPr>
          <w:rStyle w:val="spelle"/>
          <w:rFonts w:asciiTheme="majorBidi" w:hAnsiTheme="majorBidi" w:cstheme="majorBidi" w:hint="cs"/>
          <w:sz w:val="23"/>
          <w:szCs w:val="23"/>
          <w:rtl/>
        </w:rPr>
        <w:t>א</w:t>
      </w:r>
      <w:r w:rsidRPr="00F056DD">
        <w:rPr>
          <w:rStyle w:val="spelle"/>
          <w:rFonts w:asciiTheme="majorBidi" w:hAnsiTheme="majorBidi" w:cstheme="majorBidi"/>
          <w:sz w:val="23"/>
          <w:szCs w:val="23"/>
          <w:rtl/>
        </w:rPr>
        <w:t>ע</w:t>
      </w:r>
      <w:r w:rsidRPr="00F056DD">
        <w:rPr>
          <w:rFonts w:asciiTheme="majorBidi" w:hAnsiTheme="majorBidi" w:cstheme="majorBidi"/>
          <w:sz w:val="23"/>
          <w:szCs w:val="23"/>
          <w:rtl/>
        </w:rPr>
        <w:t xml:space="preserve"> כבר נקבע כי דרישה להסמכה מפורשת חלה גם כאשר נפגעת זכות אדם שאינה מעוגנת בחוקי היסוד</w:t>
      </w:r>
      <w:r>
        <w:rPr>
          <w:rFonts w:asciiTheme="majorBidi" w:hAnsiTheme="majorBidi" w:cstheme="majorBidi" w:hint="cs"/>
          <w:sz w:val="23"/>
          <w:szCs w:val="23"/>
          <w:rtl/>
        </w:rPr>
        <w:t>:</w:t>
      </w:r>
      <w:r w:rsidRPr="00F056DD">
        <w:rPr>
          <w:rFonts w:asciiTheme="majorBidi" w:hAnsiTheme="majorBidi" w:cstheme="majorBidi"/>
          <w:sz w:val="23"/>
          <w:szCs w:val="23"/>
          <w:rtl/>
        </w:rPr>
        <w:t xml:space="preserve"> </w:t>
      </w:r>
    </w:p>
    <w:p w:rsidR="005366A8" w:rsidRPr="00F056DD" w:rsidRDefault="005366A8" w:rsidP="005366A8">
      <w:pPr>
        <w:pStyle w:val="PlainText"/>
        <w:bidi/>
        <w:spacing w:before="0" w:beforeAutospacing="0" w:after="0" w:afterAutospacing="0"/>
        <w:ind w:left="720"/>
        <w:jc w:val="both"/>
        <w:rPr>
          <w:rFonts w:asciiTheme="majorBidi" w:hAnsiTheme="majorBidi" w:cs="FrankRuehl"/>
          <w:rtl/>
        </w:rPr>
      </w:pPr>
      <w:r w:rsidRPr="00F056DD">
        <w:rPr>
          <w:rFonts w:asciiTheme="majorBidi" w:hAnsiTheme="majorBidi" w:cs="FrankRuehl"/>
          <w:rtl/>
        </w:rPr>
        <w:t xml:space="preserve">באופן דומה, אני סבור כי גישה זו מתחייבת לא רק מקום שנפגעת זכות יסוד, אלא ככלל, כאשר העניין הנדון הוא במהותו במעמד של הסדר </w:t>
      </w:r>
      <w:r w:rsidRPr="00F056DD">
        <w:rPr>
          <w:rStyle w:val="spelle"/>
          <w:rFonts w:asciiTheme="majorBidi" w:hAnsiTheme="majorBidi" w:cs="FrankRuehl"/>
          <w:rtl/>
        </w:rPr>
        <w:t>ראשוני…</w:t>
      </w:r>
      <w:r w:rsidRPr="00F056DD">
        <w:rPr>
          <w:rStyle w:val="spelle"/>
          <w:rFonts w:asciiTheme="majorBidi" w:hAnsiTheme="majorBidi" w:cs="FrankRuehl" w:hint="cs"/>
          <w:rtl/>
        </w:rPr>
        <w:t xml:space="preserve"> </w:t>
      </w:r>
      <w:r w:rsidRPr="00F056DD">
        <w:rPr>
          <w:rStyle w:val="spelle"/>
          <w:rFonts w:asciiTheme="majorBidi" w:hAnsiTheme="majorBidi" w:cs="FrankRuehl"/>
          <w:rtl/>
        </w:rPr>
        <w:t>ככל</w:t>
      </w:r>
      <w:r w:rsidRPr="00F056DD">
        <w:rPr>
          <w:rFonts w:asciiTheme="majorBidi" w:hAnsiTheme="majorBidi" w:cs="FrankRuehl"/>
          <w:rtl/>
        </w:rPr>
        <w:t xml:space="preserve"> שעניין הוא ראשוני יותר, נדרשת רמת פירוט רבה יותר להסמכה המפורשת.</w:t>
      </w:r>
    </w:p>
    <w:p w:rsidR="005366A8" w:rsidRPr="00F056DD" w:rsidRDefault="005366A8" w:rsidP="005366A8">
      <w:pPr>
        <w:pStyle w:val="PlainText"/>
        <w:bidi/>
        <w:spacing w:before="0" w:beforeAutospacing="0" w:after="0" w:afterAutospacing="0"/>
        <w:rPr>
          <w:rFonts w:asciiTheme="majorBidi" w:hAnsiTheme="majorBidi" w:cstheme="majorBidi"/>
          <w:rtl/>
        </w:rPr>
      </w:pPr>
      <w:r w:rsidRPr="00F056DD">
        <w:rPr>
          <w:rFonts w:asciiTheme="majorBidi" w:hAnsiTheme="majorBidi" w:cstheme="majorBidi"/>
          <w:rtl/>
        </w:rPr>
        <w:t> </w:t>
      </w:r>
    </w:p>
    <w:p w:rsidR="005366A8" w:rsidRDefault="005366A8" w:rsidP="005366A8">
      <w:pPr>
        <w:pStyle w:val="PlainText"/>
        <w:bidi/>
        <w:spacing w:before="0" w:beforeAutospacing="0" w:after="0" w:afterAutospacing="0"/>
        <w:rPr>
          <w:rFonts w:asciiTheme="majorBidi" w:hAnsiTheme="majorBidi" w:cstheme="majorBidi"/>
          <w:sz w:val="23"/>
          <w:szCs w:val="23"/>
          <w:rtl/>
        </w:rPr>
      </w:pPr>
      <w:r w:rsidRPr="00F056DD">
        <w:rPr>
          <w:rFonts w:asciiTheme="majorBidi" w:hAnsiTheme="majorBidi" w:cstheme="majorBidi"/>
          <w:sz w:val="23"/>
          <w:szCs w:val="23"/>
          <w:rtl/>
        </w:rPr>
        <w:t xml:space="preserve">דעת מיעוט, השופט </w:t>
      </w:r>
      <w:r w:rsidRPr="00F056DD">
        <w:rPr>
          <w:rFonts w:asciiTheme="majorBidi" w:hAnsiTheme="majorBidi" w:cstheme="majorBidi"/>
          <w:b/>
          <w:bCs/>
          <w:sz w:val="23"/>
          <w:szCs w:val="23"/>
          <w:rtl/>
        </w:rPr>
        <w:t>רובינשטיין</w:t>
      </w:r>
      <w:r w:rsidRPr="00F056DD">
        <w:rPr>
          <w:rFonts w:asciiTheme="majorBidi" w:hAnsiTheme="majorBidi" w:cstheme="majorBidi"/>
          <w:sz w:val="23"/>
          <w:szCs w:val="23"/>
          <w:rtl/>
        </w:rPr>
        <w:t xml:space="preserve">: </w:t>
      </w:r>
    </w:p>
    <w:p w:rsidR="005366A8" w:rsidRPr="00F056DD" w:rsidRDefault="005366A8" w:rsidP="005366A8">
      <w:pPr>
        <w:pStyle w:val="PlainText"/>
        <w:bidi/>
        <w:spacing w:before="0" w:beforeAutospacing="0" w:after="0" w:afterAutospacing="0"/>
        <w:ind w:left="720"/>
        <w:jc w:val="both"/>
        <w:rPr>
          <w:rFonts w:asciiTheme="majorBidi" w:hAnsiTheme="majorBidi" w:cs="FrankRuehl"/>
          <w:rtl/>
        </w:rPr>
      </w:pPr>
      <w:r w:rsidRPr="00F056DD">
        <w:rPr>
          <w:rFonts w:asciiTheme="majorBidi" w:hAnsiTheme="majorBidi" w:cs="FrankRuehl"/>
          <w:rtl/>
        </w:rPr>
        <w:t>שאלת ריכוכה של הדרישה להסמכה מפורשת תלוי גם – אך לא רק – בזכות הנפגעת הנטענת. הוא תלוי גם בחשיבותו ובמהותיותו של ההסדר הנדון, כמו גם בשאלת היותו שנוי במחלוקת ציבורית… בענייננו עומדת על הפרק החלטה הנוגעת ל"אינטרסים של הציבור בכללותו" … אשר לה השלכה על הדורות הבאים, ועל-כן דעתי היא כי הוא בא – במובהק – בקהלם של אותם עניינים, המחייבים עמידה דווקנית על דרישת ההסמכה המפורשת… </w:t>
      </w:r>
    </w:p>
    <w:p w:rsidR="005366A8" w:rsidRPr="00F056DD" w:rsidRDefault="005366A8" w:rsidP="005366A8">
      <w:pPr>
        <w:pStyle w:val="PlainText"/>
        <w:bidi/>
        <w:spacing w:before="0" w:beforeAutospacing="0" w:after="0" w:afterAutospacing="0"/>
        <w:rPr>
          <w:rFonts w:asciiTheme="majorBidi" w:hAnsiTheme="majorBidi" w:cstheme="majorBidi"/>
          <w:sz w:val="23"/>
          <w:szCs w:val="23"/>
          <w:rtl/>
        </w:rPr>
      </w:pPr>
      <w:r w:rsidRPr="00F056DD">
        <w:rPr>
          <w:rFonts w:asciiTheme="majorBidi" w:hAnsiTheme="majorBidi" w:cstheme="majorBidi"/>
          <w:sz w:val="23"/>
          <w:szCs w:val="23"/>
          <w:rtl/>
        </w:rPr>
        <w:t xml:space="preserve">השופט </w:t>
      </w:r>
      <w:r w:rsidRPr="00F056DD">
        <w:rPr>
          <w:rFonts w:asciiTheme="majorBidi" w:hAnsiTheme="majorBidi" w:cstheme="majorBidi"/>
          <w:b/>
          <w:bCs/>
          <w:sz w:val="23"/>
          <w:szCs w:val="23"/>
          <w:rtl/>
        </w:rPr>
        <w:t>רובינשטיין</w:t>
      </w:r>
      <w:r w:rsidRPr="00F056DD">
        <w:rPr>
          <w:rFonts w:asciiTheme="majorBidi" w:hAnsiTheme="majorBidi" w:cstheme="majorBidi"/>
          <w:sz w:val="23"/>
          <w:szCs w:val="23"/>
          <w:rtl/>
        </w:rPr>
        <w:t xml:space="preserve"> הוסיף דברים על הצורך לאזן את הכוח העודף שיש לרשות המבצעת על פני הכנסת: </w:t>
      </w:r>
    </w:p>
    <w:p w:rsidR="005366A8" w:rsidRPr="00F056DD" w:rsidRDefault="005366A8" w:rsidP="005366A8">
      <w:pPr>
        <w:pStyle w:val="PlainText"/>
        <w:bidi/>
        <w:spacing w:before="0" w:beforeAutospacing="0" w:after="0" w:afterAutospacing="0"/>
        <w:ind w:left="720"/>
        <w:jc w:val="both"/>
        <w:rPr>
          <w:rFonts w:asciiTheme="majorBidi" w:hAnsiTheme="majorBidi" w:cs="FrankRuehl"/>
          <w:rtl/>
        </w:rPr>
      </w:pPr>
      <w:r w:rsidRPr="00F056DD">
        <w:rPr>
          <w:rFonts w:asciiTheme="majorBidi" w:hAnsiTheme="majorBidi" w:cs="FrankRuehl"/>
          <w:rtl/>
        </w:rPr>
        <w:t xml:space="preserve">החלטת הממשלה אינה היוצא מן הכלל שאינו מעיד על הכלל; בעיניי הטיפול בסוגית ייצוא הגז הוא ביטוי נוסף, חלק ממגמה מתמשכת שאינה ראויה, של הקלת ראש בת שנים מצד הממשלה בתפקיד הכנסת, משל היה כמעט מטרד, ורק כאשר בא הכרח – הכרח ממש – מביאים לכנסת. דוגמאות, למרבה הצער, לא חסרות: חוק ההסדרים מדגים זאת… צריך לטעמי – כעניין שבמדיניות שיפוטית – לכבד את הכנסת במקום שאלה סמכויותיה. במלים אחרות, מקום בו מדובר בהסדר ראשוני, אין להלום </w:t>
      </w:r>
      <w:r w:rsidRPr="00F056DD">
        <w:rPr>
          <w:rStyle w:val="spelle"/>
          <w:rFonts w:asciiTheme="majorBidi" w:hAnsiTheme="majorBidi" w:cs="FrankRuehl"/>
          <w:rtl/>
        </w:rPr>
        <w:t>נסיונות</w:t>
      </w:r>
      <w:r w:rsidRPr="00F056DD">
        <w:rPr>
          <w:rFonts w:asciiTheme="majorBidi" w:hAnsiTheme="majorBidi" w:cs="FrankRuehl"/>
          <w:rtl/>
        </w:rPr>
        <w:t xml:space="preserve"> לתור אחר הוראה המסמיכה את הממשלה "לחוקק", משהוראה ברורה כזו אינה בנמצא. מתן גושפנקה לממשלה לקביעת הסדרים ראשוניים – במקום בו אין זה נהיר כלל ועיקר כי זוהי כוונת המחוקק – מחליש את הכנסת מול הממשלה; הוא פוגע ביכולת הפיקוח </w:t>
      </w:r>
      <w:r w:rsidRPr="00F056DD">
        <w:rPr>
          <w:rStyle w:val="spelle"/>
          <w:rFonts w:asciiTheme="majorBidi" w:hAnsiTheme="majorBidi" w:cs="FrankRuehl"/>
          <w:rtl/>
        </w:rPr>
        <w:t>הפרלמנטרית</w:t>
      </w:r>
      <w:r w:rsidRPr="00F056DD">
        <w:rPr>
          <w:rFonts w:asciiTheme="majorBidi" w:hAnsiTheme="majorBidi" w:cs="FrankRuehl"/>
          <w:rtl/>
        </w:rPr>
        <w:t xml:space="preserve"> על עבודת הממשלה. גישה זו נגזרת ממהותה של הדמוקרטיה. ואוסיף: כמי שאינו נרתע מ"אקטיביזם שיפוטי" במקומות ראויים, סבורני כי בית משפט זה צריך שיכבד משנה כיבוד את עבודתה של הכנסת כמחוקקת וכמפקחת, בלא לגרוע מיכולת הביקורת השיפוטית.</w:t>
      </w:r>
    </w:p>
    <w:p w:rsidR="005366A8" w:rsidRPr="00F056DD" w:rsidRDefault="005366A8" w:rsidP="005366A8">
      <w:pPr>
        <w:pStyle w:val="PlainText"/>
        <w:bidi/>
        <w:spacing w:before="0" w:beforeAutospacing="0" w:after="0" w:afterAutospacing="0"/>
        <w:rPr>
          <w:rFonts w:asciiTheme="majorBidi" w:hAnsiTheme="majorBidi" w:cstheme="majorBidi"/>
          <w:sz w:val="20"/>
          <w:szCs w:val="20"/>
          <w:rtl/>
        </w:rPr>
      </w:pPr>
    </w:p>
    <w:p w:rsidR="005366A8" w:rsidRPr="00214824" w:rsidRDefault="005366A8" w:rsidP="005366A8">
      <w:pPr>
        <w:pStyle w:val="T-body"/>
        <w:spacing w:line="240" w:lineRule="auto"/>
        <w:ind w:hanging="28"/>
        <w:rPr>
          <w:rFonts w:asciiTheme="minorBidi" w:hAnsiTheme="minorBidi" w:cstheme="minorBidi"/>
          <w:sz w:val="20"/>
          <w:szCs w:val="20"/>
          <w:rtl/>
        </w:rPr>
      </w:pPr>
      <w:r>
        <w:rPr>
          <w:rFonts w:asciiTheme="minorBidi" w:hAnsiTheme="minorBidi" w:cstheme="minorBidi" w:hint="cs"/>
          <w:sz w:val="20"/>
          <w:szCs w:val="20"/>
          <w:rtl/>
        </w:rPr>
        <w:t>=-=</w:t>
      </w:r>
    </w:p>
    <w:p w:rsidR="005366A8" w:rsidRDefault="005366A8" w:rsidP="005366A8">
      <w:pPr>
        <w:pStyle w:val="T-body"/>
        <w:spacing w:after="120" w:line="240" w:lineRule="auto"/>
        <w:ind w:hanging="28"/>
        <w:jc w:val="center"/>
        <w:rPr>
          <w:rFonts w:ascii="Arial" w:hAnsi="Arial" w:cs="Arial"/>
          <w:b/>
          <w:bCs/>
          <w:sz w:val="22"/>
          <w:szCs w:val="22"/>
          <w:u w:val="single"/>
          <w:rtl/>
        </w:rPr>
      </w:pPr>
      <w:r>
        <w:rPr>
          <w:rFonts w:ascii="Arial" w:hAnsi="Arial" w:cs="Arial" w:hint="cs"/>
          <w:b/>
          <w:bCs/>
          <w:sz w:val="22"/>
          <w:szCs w:val="22"/>
          <w:u w:val="single"/>
          <w:rtl/>
        </w:rPr>
        <w:t>ציות הרשות המבצעת לצווי בית המשפט</w:t>
      </w:r>
    </w:p>
    <w:p w:rsidR="005366A8" w:rsidRPr="007D48EA" w:rsidRDefault="005366A8" w:rsidP="005366A8">
      <w:pPr>
        <w:pStyle w:val="T-body"/>
        <w:spacing w:after="120" w:line="240" w:lineRule="auto"/>
        <w:ind w:hanging="28"/>
        <w:jc w:val="center"/>
        <w:rPr>
          <w:rFonts w:ascii="Arial" w:hAnsi="Arial" w:cs="Arial"/>
          <w:b/>
          <w:bCs/>
          <w:sz w:val="22"/>
          <w:szCs w:val="22"/>
          <w:u w:val="single"/>
          <w:rtl/>
        </w:rPr>
      </w:pPr>
      <w:r w:rsidRPr="007D48EA">
        <w:rPr>
          <w:rFonts w:ascii="Arial" w:hAnsi="Arial" w:cs="Arial"/>
          <w:b/>
          <w:bCs/>
          <w:sz w:val="22"/>
          <w:szCs w:val="22"/>
          <w:u w:val="single"/>
          <w:rtl/>
        </w:rPr>
        <w:t xml:space="preserve">הביקורת השיפוטית על </w:t>
      </w:r>
      <w:r w:rsidRPr="007D48EA">
        <w:rPr>
          <w:rFonts w:ascii="Arial" w:hAnsi="Arial" w:cs="Arial" w:hint="cs"/>
          <w:b/>
          <w:bCs/>
          <w:sz w:val="22"/>
          <w:szCs w:val="22"/>
          <w:u w:val="single"/>
          <w:rtl/>
        </w:rPr>
        <w:t>"</w:t>
      </w:r>
      <w:r w:rsidRPr="007D48EA">
        <w:rPr>
          <w:rFonts w:ascii="Arial" w:hAnsi="Arial" w:cs="Arial"/>
          <w:b/>
          <w:bCs/>
          <w:sz w:val="22"/>
          <w:szCs w:val="22"/>
          <w:u w:val="single"/>
          <w:rtl/>
        </w:rPr>
        <w:t>הרשות המינהלית</w:t>
      </w:r>
      <w:r w:rsidRPr="007D48EA">
        <w:rPr>
          <w:rFonts w:ascii="Arial" w:hAnsi="Arial" w:cs="Arial" w:hint="cs"/>
          <w:b/>
          <w:bCs/>
          <w:sz w:val="22"/>
          <w:szCs w:val="22"/>
          <w:u w:val="single"/>
          <w:rtl/>
        </w:rPr>
        <w:t>"</w:t>
      </w:r>
    </w:p>
    <w:p w:rsidR="005366A8" w:rsidRDefault="005366A8" w:rsidP="005366A8">
      <w:pPr>
        <w:pStyle w:val="T-body"/>
        <w:spacing w:line="240" w:lineRule="auto"/>
        <w:ind w:left="28" w:hanging="28"/>
        <w:rPr>
          <w:sz w:val="22"/>
          <w:szCs w:val="22"/>
          <w:rtl/>
        </w:rPr>
      </w:pPr>
      <w:r w:rsidRPr="00D316D3">
        <w:rPr>
          <w:sz w:val="22"/>
          <w:szCs w:val="22"/>
          <w:rtl/>
        </w:rPr>
        <w:t>"הרשות המינהלית"</w:t>
      </w:r>
      <w:r>
        <w:rPr>
          <w:rFonts w:hint="cs"/>
          <w:sz w:val="22"/>
          <w:szCs w:val="22"/>
          <w:rtl/>
        </w:rPr>
        <w:t xml:space="preserve"> היא</w:t>
      </w:r>
      <w:r w:rsidRPr="00D316D3">
        <w:rPr>
          <w:sz w:val="22"/>
          <w:szCs w:val="22"/>
          <w:rtl/>
        </w:rPr>
        <w:t xml:space="preserve"> מי "שממלא תפקיד ציבורי על פי דין"</w:t>
      </w:r>
      <w:r>
        <w:rPr>
          <w:rFonts w:hint="cs"/>
          <w:sz w:val="22"/>
          <w:szCs w:val="22"/>
          <w:rtl/>
        </w:rPr>
        <w:t>:</w:t>
      </w:r>
      <w:r w:rsidRPr="00D316D3">
        <w:rPr>
          <w:sz w:val="22"/>
          <w:szCs w:val="22"/>
          <w:rtl/>
        </w:rPr>
        <w:t xml:space="preserve"> </w:t>
      </w:r>
    </w:p>
    <w:p w:rsidR="005366A8" w:rsidRDefault="005366A8" w:rsidP="005366A8">
      <w:pPr>
        <w:pStyle w:val="T-body"/>
        <w:spacing w:line="240" w:lineRule="auto"/>
        <w:ind w:left="748" w:hanging="28"/>
        <w:rPr>
          <w:sz w:val="22"/>
          <w:szCs w:val="22"/>
          <w:rtl/>
        </w:rPr>
      </w:pPr>
      <w:r>
        <w:rPr>
          <w:rFonts w:hint="cs"/>
          <w:sz w:val="22"/>
          <w:szCs w:val="22"/>
          <w:rtl/>
        </w:rPr>
        <w:t xml:space="preserve">השלטון המרכזי </w:t>
      </w:r>
      <w:r>
        <w:rPr>
          <w:sz w:val="22"/>
          <w:szCs w:val="22"/>
          <w:rtl/>
        </w:rPr>
        <w:t>–</w:t>
      </w:r>
      <w:r>
        <w:rPr>
          <w:rFonts w:hint="cs"/>
          <w:sz w:val="22"/>
          <w:szCs w:val="22"/>
          <w:rtl/>
        </w:rPr>
        <w:t xml:space="preserve"> קרי, </w:t>
      </w:r>
      <w:r w:rsidRPr="00D316D3">
        <w:rPr>
          <w:sz w:val="22"/>
          <w:szCs w:val="22"/>
          <w:rtl/>
        </w:rPr>
        <w:t>הממשלה, זרועותיה, כגון הצבא</w:t>
      </w:r>
      <w:r>
        <w:rPr>
          <w:rFonts w:hint="cs"/>
          <w:sz w:val="22"/>
          <w:szCs w:val="22"/>
          <w:rtl/>
        </w:rPr>
        <w:t>, המשטרה, משרד החינוך, רשויות המס וכדומה;</w:t>
      </w:r>
      <w:r w:rsidRPr="00D316D3">
        <w:rPr>
          <w:sz w:val="22"/>
          <w:szCs w:val="22"/>
          <w:rtl/>
        </w:rPr>
        <w:t xml:space="preserve"> </w:t>
      </w:r>
    </w:p>
    <w:p w:rsidR="005366A8" w:rsidRDefault="005366A8" w:rsidP="005366A8">
      <w:pPr>
        <w:pStyle w:val="T-body"/>
        <w:spacing w:line="240" w:lineRule="auto"/>
        <w:ind w:left="748" w:hanging="28"/>
        <w:rPr>
          <w:sz w:val="22"/>
          <w:szCs w:val="22"/>
          <w:rtl/>
        </w:rPr>
      </w:pPr>
      <w:r>
        <w:rPr>
          <w:rFonts w:hint="cs"/>
          <w:sz w:val="22"/>
          <w:szCs w:val="22"/>
          <w:rtl/>
        </w:rPr>
        <w:t>וכן "</w:t>
      </w:r>
      <w:r w:rsidRPr="00D316D3">
        <w:rPr>
          <w:sz w:val="22"/>
          <w:szCs w:val="22"/>
          <w:rtl/>
        </w:rPr>
        <w:t>תאגידים סטטוטוריים</w:t>
      </w:r>
      <w:r>
        <w:rPr>
          <w:rFonts w:hint="cs"/>
          <w:sz w:val="22"/>
          <w:szCs w:val="22"/>
          <w:rtl/>
        </w:rPr>
        <w:t>" ו"גופים לוויניים", עליהם נלמד בהמשך;</w:t>
      </w:r>
      <w:r w:rsidRPr="00D316D3">
        <w:rPr>
          <w:sz w:val="22"/>
          <w:szCs w:val="22"/>
          <w:rtl/>
        </w:rPr>
        <w:t xml:space="preserve"> </w:t>
      </w:r>
    </w:p>
    <w:p w:rsidR="005366A8" w:rsidRPr="00D316D3" w:rsidRDefault="005366A8" w:rsidP="005366A8">
      <w:pPr>
        <w:pStyle w:val="T-body"/>
        <w:spacing w:line="240" w:lineRule="auto"/>
        <w:ind w:left="748" w:hanging="28"/>
        <w:rPr>
          <w:sz w:val="22"/>
          <w:szCs w:val="22"/>
          <w:rtl/>
        </w:rPr>
      </w:pPr>
      <w:r>
        <w:rPr>
          <w:rFonts w:hint="cs"/>
          <w:sz w:val="22"/>
          <w:szCs w:val="22"/>
          <w:rtl/>
        </w:rPr>
        <w:t xml:space="preserve">וכמובן גם </w:t>
      </w:r>
      <w:r w:rsidRPr="00D316D3">
        <w:rPr>
          <w:sz w:val="22"/>
          <w:szCs w:val="22"/>
          <w:rtl/>
        </w:rPr>
        <w:t>השלטון המקומי</w:t>
      </w:r>
      <w:r>
        <w:rPr>
          <w:rFonts w:hint="cs"/>
          <w:sz w:val="22"/>
          <w:szCs w:val="22"/>
          <w:rtl/>
        </w:rPr>
        <w:t xml:space="preserve"> (הרשויות המקומיות) - שאותו נפגוש בפגישה הקרובה.</w:t>
      </w:r>
    </w:p>
    <w:p w:rsidR="005366A8" w:rsidRPr="00D316D3" w:rsidRDefault="005366A8" w:rsidP="005366A8">
      <w:pPr>
        <w:pStyle w:val="T-body"/>
        <w:spacing w:line="240" w:lineRule="auto"/>
        <w:ind w:hanging="28"/>
        <w:rPr>
          <w:sz w:val="22"/>
          <w:szCs w:val="22"/>
          <w:rtl/>
        </w:rPr>
      </w:pPr>
    </w:p>
    <w:p w:rsidR="005366A8" w:rsidRPr="00D316D3" w:rsidRDefault="005366A8" w:rsidP="005366A8">
      <w:pPr>
        <w:pStyle w:val="T-body"/>
        <w:spacing w:line="240" w:lineRule="auto"/>
        <w:ind w:hanging="28"/>
        <w:rPr>
          <w:b/>
          <w:bCs/>
          <w:sz w:val="22"/>
          <w:szCs w:val="22"/>
          <w:rtl/>
        </w:rPr>
      </w:pPr>
      <w:r>
        <w:rPr>
          <w:rFonts w:hint="cs"/>
          <w:b/>
          <w:bCs/>
          <w:sz w:val="22"/>
          <w:szCs w:val="22"/>
          <w:rtl/>
        </w:rPr>
        <w:t xml:space="preserve">א. שלב מרכזי בביקורת השיפוטית הוא כמובן השאלה: </w:t>
      </w:r>
      <w:r w:rsidRPr="00E71AE0">
        <w:rPr>
          <w:b/>
          <w:bCs/>
          <w:sz w:val="22"/>
          <w:szCs w:val="22"/>
          <w:u w:val="single"/>
          <w:rtl/>
        </w:rPr>
        <w:t xml:space="preserve">האם הרשות </w:t>
      </w:r>
      <w:r>
        <w:rPr>
          <w:rFonts w:hint="cs"/>
          <w:b/>
          <w:bCs/>
          <w:sz w:val="22"/>
          <w:szCs w:val="22"/>
          <w:u w:val="single"/>
          <w:rtl/>
        </w:rPr>
        <w:t xml:space="preserve">המינהלית </w:t>
      </w:r>
      <w:r w:rsidRPr="00E71AE0">
        <w:rPr>
          <w:b/>
          <w:bCs/>
          <w:sz w:val="22"/>
          <w:szCs w:val="22"/>
          <w:u w:val="single"/>
          <w:rtl/>
        </w:rPr>
        <w:t>הפרה את הדין</w:t>
      </w:r>
      <w:r w:rsidRPr="00D316D3">
        <w:rPr>
          <w:b/>
          <w:bCs/>
          <w:sz w:val="22"/>
          <w:szCs w:val="22"/>
          <w:rtl/>
        </w:rPr>
        <w:t xml:space="preserve">? </w:t>
      </w:r>
    </w:p>
    <w:p w:rsidR="005366A8" w:rsidRPr="00D316D3" w:rsidRDefault="005366A8" w:rsidP="005366A8">
      <w:pPr>
        <w:pStyle w:val="T-body"/>
        <w:spacing w:line="240" w:lineRule="auto"/>
        <w:ind w:left="748" w:right="-142" w:hanging="28"/>
        <w:rPr>
          <w:sz w:val="22"/>
          <w:szCs w:val="22"/>
          <w:rtl/>
        </w:rPr>
      </w:pPr>
      <w:r w:rsidRPr="00D316D3">
        <w:rPr>
          <w:sz w:val="22"/>
          <w:szCs w:val="22"/>
          <w:rtl/>
        </w:rPr>
        <w:t xml:space="preserve">משמע, </w:t>
      </w:r>
      <w:r>
        <w:rPr>
          <w:rFonts w:hint="cs"/>
          <w:sz w:val="22"/>
          <w:szCs w:val="22"/>
          <w:rtl/>
        </w:rPr>
        <w:t xml:space="preserve">האם </w:t>
      </w:r>
      <w:r w:rsidRPr="00D316D3">
        <w:rPr>
          <w:sz w:val="22"/>
          <w:szCs w:val="22"/>
          <w:rtl/>
        </w:rPr>
        <w:t>הפרה את החובות החלות עליה (פעלה ללא סמכות או תוך חריגה מסמכות, נפלו פגמים באופן הפעלת הסמכות וכדומה</w:t>
      </w:r>
      <w:r>
        <w:rPr>
          <w:rFonts w:hint="cs"/>
          <w:sz w:val="22"/>
          <w:szCs w:val="22"/>
          <w:rtl/>
        </w:rPr>
        <w:t>)?</w:t>
      </w:r>
      <w:r w:rsidRPr="00D316D3">
        <w:rPr>
          <w:sz w:val="22"/>
          <w:szCs w:val="22"/>
          <w:rtl/>
        </w:rPr>
        <w:t xml:space="preserve"> </w:t>
      </w:r>
    </w:p>
    <w:p w:rsidR="005366A8" w:rsidRPr="00D316D3" w:rsidRDefault="005366A8" w:rsidP="005366A8">
      <w:pPr>
        <w:pStyle w:val="T-body"/>
        <w:spacing w:line="240" w:lineRule="auto"/>
        <w:ind w:hanging="28"/>
        <w:rPr>
          <w:sz w:val="22"/>
          <w:szCs w:val="22"/>
          <w:rtl/>
        </w:rPr>
      </w:pPr>
    </w:p>
    <w:p w:rsidR="005366A8" w:rsidRPr="00D316D3" w:rsidRDefault="005366A8" w:rsidP="005366A8">
      <w:pPr>
        <w:pStyle w:val="T-body"/>
        <w:spacing w:line="240" w:lineRule="auto"/>
        <w:ind w:hanging="28"/>
        <w:rPr>
          <w:b/>
          <w:bCs/>
          <w:sz w:val="22"/>
          <w:szCs w:val="22"/>
          <w:rtl/>
        </w:rPr>
      </w:pPr>
      <w:r>
        <w:rPr>
          <w:rFonts w:hint="cs"/>
          <w:b/>
          <w:bCs/>
          <w:sz w:val="22"/>
          <w:szCs w:val="22"/>
          <w:rtl/>
        </w:rPr>
        <w:t xml:space="preserve">ב. השלב הבא הוא התשובה לשאלה: </w:t>
      </w:r>
      <w:r w:rsidRPr="00D316D3">
        <w:rPr>
          <w:b/>
          <w:bCs/>
          <w:sz w:val="22"/>
          <w:szCs w:val="22"/>
          <w:rtl/>
        </w:rPr>
        <w:t xml:space="preserve">מה </w:t>
      </w:r>
      <w:r w:rsidRPr="00E71AE0">
        <w:rPr>
          <w:b/>
          <w:bCs/>
          <w:sz w:val="22"/>
          <w:szCs w:val="22"/>
          <w:u w:val="single"/>
          <w:rtl/>
        </w:rPr>
        <w:t>הסעד</w:t>
      </w:r>
      <w:r w:rsidRPr="00E71AE0">
        <w:rPr>
          <w:rFonts w:hint="cs"/>
          <w:b/>
          <w:bCs/>
          <w:sz w:val="22"/>
          <w:szCs w:val="22"/>
          <w:u w:val="single"/>
          <w:rtl/>
        </w:rPr>
        <w:t>/התרופה/התגובה השיפוטית</w:t>
      </w:r>
      <w:r w:rsidRPr="00D316D3">
        <w:rPr>
          <w:b/>
          <w:bCs/>
          <w:sz w:val="22"/>
          <w:szCs w:val="22"/>
          <w:rtl/>
        </w:rPr>
        <w:t xml:space="preserve"> שיש לתת כנגדה בגין הפרה</w:t>
      </w:r>
      <w:r>
        <w:rPr>
          <w:rFonts w:hint="cs"/>
          <w:b/>
          <w:bCs/>
          <w:sz w:val="22"/>
          <w:szCs w:val="22"/>
          <w:rtl/>
        </w:rPr>
        <w:t xml:space="preserve"> זו</w:t>
      </w:r>
      <w:r w:rsidRPr="00D316D3">
        <w:rPr>
          <w:b/>
          <w:bCs/>
          <w:sz w:val="22"/>
          <w:szCs w:val="22"/>
          <w:rtl/>
        </w:rPr>
        <w:t>?</w:t>
      </w:r>
    </w:p>
    <w:p w:rsidR="005366A8" w:rsidRPr="00D316D3" w:rsidRDefault="005366A8" w:rsidP="005366A8">
      <w:pPr>
        <w:pStyle w:val="T-body"/>
        <w:spacing w:line="240" w:lineRule="auto"/>
        <w:ind w:left="1400" w:hanging="680"/>
        <w:rPr>
          <w:sz w:val="22"/>
          <w:szCs w:val="22"/>
          <w:rtl/>
        </w:rPr>
      </w:pPr>
      <w:r>
        <w:rPr>
          <w:rFonts w:hint="cs"/>
          <w:sz w:val="22"/>
          <w:szCs w:val="22"/>
          <w:rtl/>
        </w:rPr>
        <w:t xml:space="preserve">יש דוקטרינה שאנו פוגשים מידי פעם בפסקי הדין, הקרויה דוקטרינת </w:t>
      </w:r>
      <w:r w:rsidRPr="00E71AE0">
        <w:rPr>
          <w:rFonts w:hint="cs"/>
          <w:b/>
          <w:bCs/>
          <w:sz w:val="22"/>
          <w:szCs w:val="22"/>
          <w:rtl/>
        </w:rPr>
        <w:t>"הבטלות היחסית",</w:t>
      </w:r>
      <w:r>
        <w:rPr>
          <w:rFonts w:hint="cs"/>
          <w:sz w:val="22"/>
          <w:szCs w:val="22"/>
          <w:rtl/>
        </w:rPr>
        <w:t xml:space="preserve"> ועניינה </w:t>
      </w:r>
      <w:r w:rsidRPr="00D316D3">
        <w:rPr>
          <w:sz w:val="22"/>
          <w:szCs w:val="22"/>
          <w:rtl/>
        </w:rPr>
        <w:t xml:space="preserve">השאלה של </w:t>
      </w:r>
      <w:r w:rsidRPr="00D316D3">
        <w:rPr>
          <w:b/>
          <w:bCs/>
          <w:sz w:val="22"/>
          <w:szCs w:val="22"/>
          <w:rtl/>
        </w:rPr>
        <w:t>"האם לתת סעד"</w:t>
      </w:r>
      <w:r w:rsidRPr="00D316D3">
        <w:rPr>
          <w:sz w:val="22"/>
          <w:szCs w:val="22"/>
          <w:rtl/>
        </w:rPr>
        <w:t xml:space="preserve"> אפילו הוכחה הפרה של הדין</w:t>
      </w:r>
      <w:r>
        <w:rPr>
          <w:rFonts w:hint="cs"/>
          <w:sz w:val="22"/>
          <w:szCs w:val="22"/>
          <w:rtl/>
        </w:rPr>
        <w:t>. נעסוק בה באופן מפורט יותר לקראת סוף הקורס.</w:t>
      </w:r>
      <w:r w:rsidRPr="00D316D3">
        <w:rPr>
          <w:sz w:val="22"/>
          <w:szCs w:val="22"/>
          <w:rtl/>
        </w:rPr>
        <w:t xml:space="preserve"> </w:t>
      </w:r>
    </w:p>
    <w:p w:rsidR="005366A8" w:rsidRPr="00D316D3" w:rsidRDefault="005366A8" w:rsidP="005366A8">
      <w:pPr>
        <w:pStyle w:val="T-body"/>
        <w:spacing w:line="240" w:lineRule="auto"/>
        <w:ind w:left="1457" w:hanging="737"/>
        <w:rPr>
          <w:sz w:val="22"/>
          <w:szCs w:val="22"/>
          <w:rtl/>
        </w:rPr>
      </w:pPr>
      <w:r w:rsidRPr="00D316D3">
        <w:rPr>
          <w:sz w:val="22"/>
          <w:szCs w:val="22"/>
          <w:rtl/>
        </w:rPr>
        <w:t xml:space="preserve">וסוגיית </w:t>
      </w:r>
      <w:r w:rsidRPr="00D316D3">
        <w:rPr>
          <w:b/>
          <w:bCs/>
          <w:sz w:val="22"/>
          <w:szCs w:val="22"/>
          <w:rtl/>
        </w:rPr>
        <w:t>הצו השיפוטי: הסעד הקונקרטי שיש לתיתו</w:t>
      </w:r>
      <w:r w:rsidRPr="00D316D3">
        <w:rPr>
          <w:sz w:val="22"/>
          <w:szCs w:val="22"/>
          <w:rtl/>
        </w:rPr>
        <w:t xml:space="preserve"> – </w:t>
      </w:r>
      <w:r>
        <w:rPr>
          <w:rFonts w:hint="cs"/>
          <w:sz w:val="22"/>
          <w:szCs w:val="22"/>
          <w:rtl/>
        </w:rPr>
        <w:t xml:space="preserve">האם סעד הצהרתי בלבד או צו עשה (כמו במרבית המקרים)? וממתי מועד ביצועו, האם להשהות את </w:t>
      </w:r>
      <w:r w:rsidRPr="00D316D3">
        <w:rPr>
          <w:sz w:val="22"/>
          <w:szCs w:val="22"/>
          <w:rtl/>
        </w:rPr>
        <w:t>מועד ביצועו</w:t>
      </w:r>
      <w:r>
        <w:rPr>
          <w:rFonts w:hint="cs"/>
          <w:sz w:val="22"/>
          <w:szCs w:val="22"/>
          <w:rtl/>
        </w:rPr>
        <w:t>?</w:t>
      </w:r>
    </w:p>
    <w:p w:rsidR="005366A8" w:rsidRPr="00D316D3" w:rsidRDefault="005366A8" w:rsidP="005366A8">
      <w:pPr>
        <w:pStyle w:val="T-body"/>
        <w:spacing w:line="240" w:lineRule="auto"/>
        <w:ind w:hanging="28"/>
        <w:rPr>
          <w:sz w:val="22"/>
          <w:szCs w:val="22"/>
          <w:rtl/>
        </w:rPr>
      </w:pPr>
    </w:p>
    <w:p w:rsidR="005366A8" w:rsidRPr="007D48EA" w:rsidRDefault="005366A8" w:rsidP="005366A8">
      <w:pPr>
        <w:pStyle w:val="T-body"/>
        <w:spacing w:line="240" w:lineRule="auto"/>
        <w:ind w:hanging="28"/>
        <w:rPr>
          <w:b/>
          <w:bCs/>
          <w:sz w:val="22"/>
          <w:szCs w:val="22"/>
          <w:highlight w:val="yellow"/>
          <w:rtl/>
        </w:rPr>
      </w:pPr>
      <w:r w:rsidRPr="00F056DD">
        <w:rPr>
          <w:rFonts w:hint="cs"/>
          <w:b/>
          <w:bCs/>
          <w:sz w:val="22"/>
          <w:szCs w:val="22"/>
          <w:highlight w:val="yellow"/>
          <w:rtl/>
        </w:rPr>
        <w:t>משניתן צו עשה כנגד הרשות השלטונית,</w:t>
      </w:r>
      <w:r w:rsidRPr="00F056DD">
        <w:rPr>
          <w:rFonts w:hint="cs"/>
          <w:sz w:val="22"/>
          <w:szCs w:val="22"/>
          <w:highlight w:val="yellow"/>
          <w:rtl/>
        </w:rPr>
        <w:t xml:space="preserve"> </w:t>
      </w:r>
      <w:r w:rsidRPr="007D48EA">
        <w:rPr>
          <w:b/>
          <w:bCs/>
          <w:sz w:val="22"/>
          <w:szCs w:val="22"/>
          <w:highlight w:val="yellow"/>
          <w:rtl/>
        </w:rPr>
        <w:t xml:space="preserve">הציפייה המובהקת כמובן היא </w:t>
      </w:r>
      <w:r w:rsidRPr="007D48EA">
        <w:rPr>
          <w:rFonts w:hint="cs"/>
          <w:b/>
          <w:bCs/>
          <w:sz w:val="22"/>
          <w:szCs w:val="22"/>
          <w:highlight w:val="yellow"/>
          <w:rtl/>
        </w:rPr>
        <w:t xml:space="preserve">לכך </w:t>
      </w:r>
      <w:r w:rsidRPr="007D48EA">
        <w:rPr>
          <w:b/>
          <w:bCs/>
          <w:sz w:val="22"/>
          <w:szCs w:val="22"/>
          <w:highlight w:val="yellow"/>
          <w:rtl/>
        </w:rPr>
        <w:t>שהרשות תבצע את הצו שבית המשפט של המדינה נתן כנגדה</w:t>
      </w:r>
      <w:r w:rsidRPr="007D48EA">
        <w:rPr>
          <w:rFonts w:hint="cs"/>
          <w:b/>
          <w:bCs/>
          <w:sz w:val="22"/>
          <w:szCs w:val="22"/>
          <w:highlight w:val="yellow"/>
          <w:rtl/>
        </w:rPr>
        <w:t xml:space="preserve"> </w:t>
      </w:r>
      <w:r w:rsidRPr="007D48EA">
        <w:rPr>
          <w:b/>
          <w:bCs/>
          <w:sz w:val="22"/>
          <w:szCs w:val="22"/>
          <w:highlight w:val="yellow"/>
          <w:rtl/>
        </w:rPr>
        <w:t>–</w:t>
      </w:r>
      <w:r w:rsidRPr="007D48EA">
        <w:rPr>
          <w:rFonts w:hint="cs"/>
          <w:b/>
          <w:bCs/>
          <w:sz w:val="22"/>
          <w:szCs w:val="22"/>
          <w:highlight w:val="yellow"/>
          <w:rtl/>
        </w:rPr>
        <w:t xml:space="preserve"> שהרי אם לא תעשה כן היא גם מפרה את החוק וגם מבזה את בית המשפט</w:t>
      </w:r>
      <w:r w:rsidRPr="007D48EA">
        <w:rPr>
          <w:b/>
          <w:bCs/>
          <w:sz w:val="22"/>
          <w:szCs w:val="22"/>
          <w:highlight w:val="yellow"/>
          <w:rtl/>
        </w:rPr>
        <w:t>.</w:t>
      </w:r>
    </w:p>
    <w:p w:rsidR="005366A8" w:rsidRPr="00D316D3" w:rsidRDefault="005366A8" w:rsidP="005366A8">
      <w:pPr>
        <w:pStyle w:val="T-body"/>
        <w:spacing w:line="240" w:lineRule="auto"/>
        <w:ind w:left="748" w:hanging="28"/>
        <w:rPr>
          <w:sz w:val="22"/>
          <w:szCs w:val="22"/>
          <w:rtl/>
        </w:rPr>
      </w:pPr>
      <w:r w:rsidRPr="00F056DD">
        <w:rPr>
          <w:rFonts w:hint="cs"/>
          <w:sz w:val="22"/>
          <w:szCs w:val="22"/>
          <w:highlight w:val="yellow"/>
          <w:rtl/>
        </w:rPr>
        <w:t xml:space="preserve">שימו לב, כי </w:t>
      </w:r>
      <w:r w:rsidRPr="00F056DD">
        <w:rPr>
          <w:sz w:val="22"/>
          <w:szCs w:val="22"/>
          <w:highlight w:val="yellow"/>
          <w:rtl/>
        </w:rPr>
        <w:t>לבית המשפט כלים מוגבלים מאד של אכיפת הסעד (הלבטים ביחס לסעד של "בזיון בית משפט")</w:t>
      </w:r>
      <w:r w:rsidRPr="00F056DD">
        <w:rPr>
          <w:rFonts w:hint="cs"/>
          <w:sz w:val="22"/>
          <w:szCs w:val="22"/>
          <w:highlight w:val="yellow"/>
          <w:rtl/>
        </w:rPr>
        <w:t xml:space="preserve">; </w:t>
      </w:r>
      <w:r w:rsidRPr="00F056DD">
        <w:rPr>
          <w:sz w:val="22"/>
          <w:szCs w:val="22"/>
          <w:highlight w:val="yellow"/>
          <w:rtl/>
        </w:rPr>
        <w:t>וגם באשר לאותם כלים</w:t>
      </w:r>
      <w:r w:rsidRPr="00F056DD">
        <w:rPr>
          <w:rFonts w:hint="cs"/>
          <w:sz w:val="22"/>
          <w:szCs w:val="22"/>
          <w:highlight w:val="yellow"/>
          <w:rtl/>
        </w:rPr>
        <w:t xml:space="preserve"> (למשל של "בזיון")</w:t>
      </w:r>
      <w:r w:rsidRPr="00F056DD">
        <w:rPr>
          <w:sz w:val="22"/>
          <w:szCs w:val="22"/>
          <w:highlight w:val="yellow"/>
          <w:rtl/>
        </w:rPr>
        <w:t>, אכיפת צווים מכוחם מותנית, שוב, ב</w:t>
      </w:r>
      <w:r w:rsidRPr="00F056DD">
        <w:rPr>
          <w:rFonts w:hint="cs"/>
          <w:sz w:val="22"/>
          <w:szCs w:val="22"/>
          <w:highlight w:val="yellow"/>
          <w:rtl/>
        </w:rPr>
        <w:t xml:space="preserve">נכונות לבצע מצד </w:t>
      </w:r>
      <w:r w:rsidRPr="00F056DD">
        <w:rPr>
          <w:sz w:val="22"/>
          <w:szCs w:val="22"/>
          <w:highlight w:val="yellow"/>
          <w:rtl/>
        </w:rPr>
        <w:t>גורמים של הרשות המבצעת</w:t>
      </w:r>
      <w:r w:rsidRPr="00F056DD">
        <w:rPr>
          <w:rFonts w:hint="cs"/>
          <w:sz w:val="22"/>
          <w:szCs w:val="22"/>
          <w:highlight w:val="yellow"/>
          <w:rtl/>
        </w:rPr>
        <w:t xml:space="preserve"> </w:t>
      </w:r>
      <w:r w:rsidRPr="00F056DD">
        <w:rPr>
          <w:sz w:val="22"/>
          <w:szCs w:val="22"/>
          <w:highlight w:val="yellow"/>
          <w:rtl/>
        </w:rPr>
        <w:t>–</w:t>
      </w:r>
      <w:r w:rsidRPr="00F056DD">
        <w:rPr>
          <w:rFonts w:hint="cs"/>
          <w:sz w:val="22"/>
          <w:szCs w:val="22"/>
          <w:highlight w:val="yellow"/>
          <w:rtl/>
        </w:rPr>
        <w:t xml:space="preserve"> המשטרה, למשל</w:t>
      </w:r>
      <w:r w:rsidRPr="00F056DD">
        <w:rPr>
          <w:sz w:val="22"/>
          <w:szCs w:val="22"/>
          <w:highlight w:val="yellow"/>
          <w:rtl/>
        </w:rPr>
        <w:t>.</w:t>
      </w:r>
    </w:p>
    <w:p w:rsidR="005366A8" w:rsidRDefault="005366A8" w:rsidP="005366A8">
      <w:pPr>
        <w:pStyle w:val="T-body"/>
        <w:spacing w:line="240" w:lineRule="auto"/>
        <w:ind w:hanging="28"/>
        <w:rPr>
          <w:sz w:val="22"/>
          <w:szCs w:val="22"/>
          <w:rtl/>
        </w:rPr>
      </w:pPr>
    </w:p>
    <w:p w:rsidR="005366A8" w:rsidRPr="00214824" w:rsidRDefault="005366A8" w:rsidP="005366A8">
      <w:pPr>
        <w:pStyle w:val="T-body"/>
        <w:spacing w:line="240" w:lineRule="auto"/>
        <w:ind w:hanging="28"/>
        <w:rPr>
          <w:b/>
          <w:bCs/>
          <w:sz w:val="22"/>
          <w:szCs w:val="22"/>
          <w:rtl/>
        </w:rPr>
      </w:pPr>
      <w:r w:rsidRPr="00214824">
        <w:rPr>
          <w:rFonts w:hint="cs"/>
          <w:b/>
          <w:bCs/>
          <w:sz w:val="22"/>
          <w:szCs w:val="22"/>
          <w:highlight w:val="yellow"/>
          <w:rtl/>
        </w:rPr>
        <w:t>ראו לפיכך את התכתובת הבאה. היא מטרידה מאד.</w:t>
      </w:r>
      <w:r>
        <w:rPr>
          <w:rFonts w:hint="cs"/>
          <w:b/>
          <w:bCs/>
          <w:sz w:val="22"/>
          <w:szCs w:val="22"/>
          <w:rtl/>
        </w:rPr>
        <w:t xml:space="preserve"> היא עוסקת רבות בפסק דין </w:t>
      </w:r>
      <w:r w:rsidRPr="007D48EA">
        <w:rPr>
          <w:rFonts w:hint="cs"/>
          <w:b/>
          <w:bCs/>
          <w:sz w:val="22"/>
          <w:szCs w:val="22"/>
          <w:u w:val="single"/>
          <w:rtl/>
        </w:rPr>
        <w:t>ועדת המעקב</w:t>
      </w:r>
      <w:r>
        <w:rPr>
          <w:rFonts w:hint="cs"/>
          <w:b/>
          <w:bCs/>
          <w:sz w:val="22"/>
          <w:szCs w:val="22"/>
          <w:rtl/>
        </w:rPr>
        <w:t xml:space="preserve"> (אזורי עדיפות לאומית) אותו פגשנו היום.</w:t>
      </w:r>
    </w:p>
    <w:p w:rsidR="005366A8" w:rsidRPr="00D316D3" w:rsidRDefault="005366A8" w:rsidP="005366A8">
      <w:pPr>
        <w:pStyle w:val="T-body"/>
        <w:spacing w:line="240" w:lineRule="auto"/>
        <w:ind w:hanging="28"/>
        <w:rPr>
          <w:sz w:val="22"/>
          <w:szCs w:val="22"/>
          <w:rtl/>
        </w:rPr>
      </w:pPr>
    </w:p>
    <w:p w:rsidR="005366A8" w:rsidRPr="00F056DD" w:rsidRDefault="005366A8" w:rsidP="005366A8">
      <w:pPr>
        <w:pStyle w:val="T-body"/>
        <w:spacing w:line="240" w:lineRule="auto"/>
        <w:ind w:hanging="28"/>
        <w:jc w:val="center"/>
        <w:rPr>
          <w:rFonts w:asciiTheme="minorBidi" w:hAnsiTheme="minorBidi" w:cstheme="minorBidi"/>
          <w:b/>
          <w:bCs/>
          <w:sz w:val="20"/>
          <w:szCs w:val="20"/>
          <w:rtl/>
        </w:rPr>
      </w:pPr>
      <w:r w:rsidRPr="00F056DD">
        <w:rPr>
          <w:rFonts w:asciiTheme="minorBidi" w:hAnsiTheme="minorBidi" w:cstheme="minorBidi"/>
          <w:b/>
          <w:bCs/>
          <w:sz w:val="20"/>
          <w:szCs w:val="20"/>
          <w:highlight w:val="yellow"/>
          <w:rtl/>
        </w:rPr>
        <w:t>ההתכתבות בין עוה"ד יהודית קרפ, לשעבר המשנה ליועץ המשפטי לממשלה, לבין היועץ המשפטי לממשלה</w:t>
      </w:r>
    </w:p>
    <w:p w:rsidR="005366A8" w:rsidRPr="00DD0014" w:rsidRDefault="005366A8" w:rsidP="005366A8">
      <w:pPr>
        <w:pStyle w:val="T-body"/>
        <w:spacing w:line="240" w:lineRule="auto"/>
        <w:ind w:hanging="28"/>
        <w:rPr>
          <w:rFonts w:cs="David"/>
          <w:sz w:val="20"/>
          <w:szCs w:val="20"/>
          <w:rtl/>
        </w:rPr>
      </w:pPr>
    </w:p>
    <w:p w:rsidR="005366A8" w:rsidRPr="00DD0014" w:rsidRDefault="005366A8" w:rsidP="005366A8">
      <w:pPr>
        <w:pStyle w:val="NoSpacing"/>
        <w:rPr>
          <w:rFonts w:cs="Times New Roman"/>
          <w:sz w:val="20"/>
          <w:szCs w:val="20"/>
          <w:rtl/>
        </w:rPr>
      </w:pPr>
      <w:r>
        <w:rPr>
          <w:rFonts w:cs="Times New Roman" w:hint="cs"/>
          <w:sz w:val="20"/>
          <w:szCs w:val="20"/>
          <w:rtl/>
        </w:rPr>
        <w:t xml:space="preserve">המכתב הראשון מציג </w:t>
      </w:r>
      <w:r w:rsidRPr="00DD0014">
        <w:rPr>
          <w:rFonts w:cs="Times New Roman"/>
          <w:sz w:val="20"/>
          <w:szCs w:val="20"/>
          <w:rtl/>
        </w:rPr>
        <w:t>רשימה של מקרים שבהם בית המשפט נתן צו כנגד המדינה והמדינה לא בצעה אותו. 9 פסקי דין של בית המשפט העליון ועוד רשימה חלקית של 3 פסקי דין מבית המשפט המחוזי בשבתו כבית משפט לעניינים מינהליים.</w:t>
      </w:r>
    </w:p>
    <w:p w:rsidR="005366A8" w:rsidRDefault="005366A8" w:rsidP="005366A8">
      <w:pPr>
        <w:pStyle w:val="NoSpacing"/>
        <w:rPr>
          <w:rFonts w:cs="Times New Roman"/>
          <w:sz w:val="20"/>
          <w:szCs w:val="20"/>
          <w:rtl/>
        </w:rPr>
      </w:pPr>
    </w:p>
    <w:p w:rsidR="005366A8" w:rsidRDefault="005366A8" w:rsidP="005366A8">
      <w:pPr>
        <w:pStyle w:val="NoSpacing"/>
        <w:rPr>
          <w:rFonts w:cs="Times New Roman"/>
          <w:sz w:val="20"/>
          <w:szCs w:val="20"/>
          <w:rtl/>
        </w:rPr>
      </w:pPr>
      <w:r w:rsidRPr="00DD0014">
        <w:rPr>
          <w:rFonts w:cs="Times New Roman"/>
          <w:sz w:val="20"/>
          <w:szCs w:val="20"/>
          <w:rtl/>
        </w:rPr>
        <w:t>ה</w:t>
      </w:r>
      <w:r>
        <w:rPr>
          <w:rFonts w:cs="Times New Roman" w:hint="cs"/>
          <w:sz w:val="20"/>
          <w:szCs w:val="20"/>
          <w:rtl/>
        </w:rPr>
        <w:t xml:space="preserve">מקרה שבו נתמקד הוא פס"ד </w:t>
      </w:r>
      <w:r w:rsidRPr="00DD0014">
        <w:rPr>
          <w:rFonts w:cs="Times New Roman" w:hint="cs"/>
          <w:b/>
          <w:bCs/>
          <w:sz w:val="20"/>
          <w:szCs w:val="20"/>
          <w:rtl/>
        </w:rPr>
        <w:t>ועדת המעקב</w:t>
      </w:r>
      <w:r>
        <w:rPr>
          <w:rFonts w:cs="Times New Roman" w:hint="cs"/>
          <w:sz w:val="20"/>
          <w:szCs w:val="20"/>
          <w:rtl/>
        </w:rPr>
        <w:t xml:space="preserve"> (המכונה לעיתים, פס"ד</w:t>
      </w:r>
      <w:r w:rsidRPr="00DD0014">
        <w:rPr>
          <w:rFonts w:cs="Times New Roman"/>
          <w:sz w:val="20"/>
          <w:szCs w:val="20"/>
          <w:rtl/>
        </w:rPr>
        <w:t xml:space="preserve"> </w:t>
      </w:r>
      <w:r w:rsidRPr="00DD0014">
        <w:rPr>
          <w:rFonts w:cs="Times New Roman"/>
          <w:b/>
          <w:bCs/>
          <w:sz w:val="20"/>
          <w:szCs w:val="20"/>
          <w:rtl/>
        </w:rPr>
        <w:t>אזורי עדיפות לאומית</w:t>
      </w:r>
      <w:r>
        <w:rPr>
          <w:rFonts w:cs="Times New Roman" w:hint="cs"/>
          <w:sz w:val="20"/>
          <w:szCs w:val="20"/>
          <w:rtl/>
        </w:rPr>
        <w:t xml:space="preserve">) </w:t>
      </w:r>
      <w:r>
        <w:rPr>
          <w:rFonts w:cs="Times New Roman"/>
          <w:sz w:val="20"/>
          <w:szCs w:val="20"/>
          <w:rtl/>
        </w:rPr>
        <w:t>–</w:t>
      </w:r>
      <w:r>
        <w:rPr>
          <w:rFonts w:cs="Times New Roman" w:hint="cs"/>
          <w:sz w:val="20"/>
          <w:szCs w:val="20"/>
          <w:rtl/>
        </w:rPr>
        <w:t xml:space="preserve"> פסה"ד שפגשנו לעיל</w:t>
      </w:r>
      <w:r w:rsidRPr="00DD0014">
        <w:rPr>
          <w:rFonts w:cs="Times New Roman"/>
          <w:sz w:val="20"/>
          <w:szCs w:val="20"/>
          <w:rtl/>
        </w:rPr>
        <w:t xml:space="preserve">. </w:t>
      </w:r>
      <w:r w:rsidRPr="00DD0014">
        <w:rPr>
          <w:rFonts w:cs="Times New Roman"/>
          <w:sz w:val="20"/>
          <w:szCs w:val="20"/>
          <w:rtl/>
        </w:rPr>
        <w:br/>
        <w:t xml:space="preserve">העתירה של ועדת המעקב העליונה לענייני הערבים בישראל הוגשה על ידי עדאלה </w:t>
      </w:r>
      <w:r w:rsidRPr="00DD0014">
        <w:rPr>
          <w:rFonts w:cs="Times New Roman"/>
          <w:sz w:val="20"/>
          <w:szCs w:val="20"/>
          <w:u w:val="single"/>
          <w:rtl/>
        </w:rPr>
        <w:t>ב-1998</w:t>
      </w:r>
      <w:r w:rsidRPr="00DD0014">
        <w:rPr>
          <w:rFonts w:cs="Times New Roman"/>
          <w:sz w:val="20"/>
          <w:szCs w:val="20"/>
          <w:rtl/>
        </w:rPr>
        <w:t xml:space="preserve">.  </w:t>
      </w:r>
    </w:p>
    <w:p w:rsidR="005366A8" w:rsidRPr="00DD0014" w:rsidRDefault="005366A8" w:rsidP="005366A8">
      <w:pPr>
        <w:pStyle w:val="NoSpacing"/>
        <w:rPr>
          <w:rFonts w:cs="Times New Roman"/>
          <w:sz w:val="20"/>
          <w:szCs w:val="20"/>
          <w:rtl/>
        </w:rPr>
      </w:pPr>
      <w:r>
        <w:rPr>
          <w:rFonts w:cs="Times New Roman" w:hint="cs"/>
          <w:sz w:val="20"/>
          <w:szCs w:val="20"/>
          <w:rtl/>
        </w:rPr>
        <w:t>פסק הדין מוכר לכם עתה.  הוא</w:t>
      </w:r>
      <w:r w:rsidRPr="00DD0014">
        <w:rPr>
          <w:rFonts w:cs="Times New Roman"/>
          <w:sz w:val="20"/>
          <w:szCs w:val="20"/>
          <w:rtl/>
        </w:rPr>
        <w:t xml:space="preserve"> עסק בהחלטת הממשלה לסווג אזורי עדיפות לאומית באופן שמוציא ממסגרתם ישובים ערבים. היו לה גבולות מיוחדים למפה הזו: נצרת עלית כן, אבל נצרת לא; חריש/עירון כן, אך שום יישוב אחר בואדי ערה; כרמיאל כן, אך אף ישוב אחר בבקעת בית הכרם; ישובי המועצה האזורית בני-שמעון בנגב ואף ישוב בדואי בסביבתם וכדומה. התמקדות העתירה הייתה בהטבות בתחום החינוך. </w:t>
      </w:r>
    </w:p>
    <w:p w:rsidR="005366A8" w:rsidRPr="00DD0014" w:rsidRDefault="005366A8" w:rsidP="005366A8">
      <w:pPr>
        <w:pStyle w:val="NoSpacing"/>
        <w:rPr>
          <w:rFonts w:cs="Times New Roman"/>
          <w:sz w:val="20"/>
          <w:szCs w:val="20"/>
          <w:rtl/>
        </w:rPr>
      </w:pPr>
      <w:r w:rsidRPr="00DD0014">
        <w:rPr>
          <w:rFonts w:cs="Times New Roman"/>
          <w:sz w:val="20"/>
          <w:szCs w:val="20"/>
          <w:rtl/>
        </w:rPr>
        <w:t xml:space="preserve">הדיונים התמשכו. בית המשפט מאד לא מיהר לקבל החלטה. </w:t>
      </w:r>
      <w:r w:rsidRPr="00DD0014">
        <w:rPr>
          <w:rFonts w:cs="Times New Roman"/>
          <w:sz w:val="20"/>
          <w:szCs w:val="20"/>
          <w:u w:val="single"/>
          <w:rtl/>
        </w:rPr>
        <w:t>ב-2003</w:t>
      </w:r>
      <w:r>
        <w:rPr>
          <w:rFonts w:cs="Times New Roman" w:hint="cs"/>
          <w:sz w:val="20"/>
          <w:szCs w:val="20"/>
          <w:rtl/>
        </w:rPr>
        <w:t xml:space="preserve"> </w:t>
      </w:r>
      <w:r w:rsidRPr="00DD0014">
        <w:rPr>
          <w:rFonts w:cs="Times New Roman"/>
          <w:sz w:val="20"/>
          <w:szCs w:val="20"/>
          <w:rtl/>
        </w:rPr>
        <w:t>הוא ביקש מעדאלה להגיש לו עתירה מחודשת/ מתוקנת</w:t>
      </w:r>
      <w:r>
        <w:rPr>
          <w:rFonts w:cs="Times New Roman" w:hint="cs"/>
          <w:sz w:val="20"/>
          <w:szCs w:val="20"/>
          <w:rtl/>
        </w:rPr>
        <w:t xml:space="preserve"> בעקבות תיקון מסוים להחלטת הממשלה</w:t>
      </w:r>
      <w:r w:rsidRPr="00DD0014">
        <w:rPr>
          <w:rFonts w:cs="Times New Roman"/>
          <w:sz w:val="20"/>
          <w:szCs w:val="20"/>
          <w:rtl/>
        </w:rPr>
        <w:t xml:space="preserve">. </w:t>
      </w:r>
    </w:p>
    <w:p w:rsidR="005366A8" w:rsidRDefault="005366A8" w:rsidP="005366A8">
      <w:pPr>
        <w:pStyle w:val="NoSpacing"/>
        <w:rPr>
          <w:rFonts w:cs="Times New Roman"/>
          <w:sz w:val="20"/>
          <w:szCs w:val="20"/>
          <w:rtl/>
        </w:rPr>
      </w:pPr>
      <w:r w:rsidRPr="00DD0014">
        <w:rPr>
          <w:rFonts w:cs="Times New Roman"/>
          <w:sz w:val="20"/>
          <w:szCs w:val="20"/>
          <w:rtl/>
        </w:rPr>
        <w:t xml:space="preserve">בעתירה המתוקנת התמשכו שוב הדיונים, אך לבסוף, </w:t>
      </w:r>
      <w:r w:rsidRPr="00DD0014">
        <w:rPr>
          <w:rFonts w:cs="Times New Roman"/>
          <w:sz w:val="20"/>
          <w:szCs w:val="20"/>
          <w:u w:val="single"/>
          <w:rtl/>
        </w:rPr>
        <w:t>בפברואר 2006</w:t>
      </w:r>
      <w:r w:rsidRPr="00DD0014">
        <w:rPr>
          <w:rFonts w:cs="Times New Roman"/>
          <w:sz w:val="20"/>
          <w:szCs w:val="20"/>
          <w:rtl/>
        </w:rPr>
        <w:t xml:space="preserve"> ניתן פסק דין בהרכב של שבעה שופטים, ובו נקבע</w:t>
      </w:r>
      <w:r>
        <w:rPr>
          <w:rFonts w:cs="Times New Roman" w:hint="cs"/>
          <w:sz w:val="20"/>
          <w:szCs w:val="20"/>
          <w:rtl/>
        </w:rPr>
        <w:t>, כזכור,</w:t>
      </w:r>
      <w:r w:rsidRPr="00DD0014">
        <w:rPr>
          <w:rFonts w:cs="Times New Roman"/>
          <w:sz w:val="20"/>
          <w:szCs w:val="20"/>
          <w:rtl/>
        </w:rPr>
        <w:t xml:space="preserve"> כי דין החלטת הממשלה להתבטל עקב חוסר סמכות ולאור העובדה כי אינה מתיישבת עם עקרון השוויון ופוגעת במימוש זכותם לחינוך של ערביי המדינה. </w:t>
      </w:r>
      <w:r w:rsidRPr="00DD0014">
        <w:rPr>
          <w:rFonts w:cs="Times New Roman"/>
          <w:sz w:val="20"/>
          <w:szCs w:val="20"/>
          <w:rtl/>
        </w:rPr>
        <w:br/>
        <w:t xml:space="preserve">ארכות שביקשה המדינה למימוש פסק הדין התקבלו, אך המדינה לא עמדה באורכות שביקשה וקיבלה. עדאלה הגישה בתיק </w:t>
      </w:r>
      <w:r w:rsidRPr="002A3CFD">
        <w:rPr>
          <w:rFonts w:cs="Times New Roman"/>
          <w:sz w:val="20"/>
          <w:szCs w:val="20"/>
          <w:rtl/>
        </w:rPr>
        <w:t xml:space="preserve">בקשה לפי פקודת בזיון בית המשפט </w:t>
      </w:r>
      <w:r>
        <w:rPr>
          <w:rFonts w:cs="Times New Roman" w:hint="cs"/>
          <w:sz w:val="20"/>
          <w:szCs w:val="20"/>
          <w:rtl/>
        </w:rPr>
        <w:t>בגין</w:t>
      </w:r>
      <w:r w:rsidRPr="002A3CFD">
        <w:rPr>
          <w:rFonts w:cs="Times New Roman"/>
          <w:sz w:val="20"/>
          <w:szCs w:val="20"/>
          <w:rtl/>
        </w:rPr>
        <w:t xml:space="preserve"> אי כיבוד פסק הדין. </w:t>
      </w:r>
      <w:r w:rsidRPr="002A3CFD">
        <w:rPr>
          <w:rFonts w:cs="Times New Roman"/>
          <w:sz w:val="20"/>
          <w:szCs w:val="20"/>
          <w:rtl/>
        </w:rPr>
        <w:br/>
      </w:r>
      <w:r w:rsidRPr="002A3CFD">
        <w:rPr>
          <w:rFonts w:cs="Times New Roman"/>
          <w:sz w:val="20"/>
          <w:szCs w:val="20"/>
          <w:u w:val="single"/>
          <w:rtl/>
        </w:rPr>
        <w:t>בנובמבר 2008</w:t>
      </w:r>
      <w:r w:rsidRPr="002A3CFD">
        <w:rPr>
          <w:rFonts w:cs="Times New Roman"/>
          <w:sz w:val="20"/>
          <w:szCs w:val="20"/>
          <w:rtl/>
        </w:rPr>
        <w:t xml:space="preserve"> ניתנה החלטה של בית המשפט בבקשה לביזיון – היא לא אושרה, אבל השופטים קבעו, </w:t>
      </w:r>
      <w:r w:rsidRPr="002A3CFD">
        <w:rPr>
          <w:rFonts w:cs="Times New Roman"/>
          <w:sz w:val="20"/>
          <w:szCs w:val="20"/>
          <w:highlight w:val="yellow"/>
          <w:rtl/>
        </w:rPr>
        <w:t>כי "לא נותר לנו אלא לציין כי העניין שלפנינו הוא ביטוי חמור לחירות שנוטלים לעצמם המשיבים [כלומר המדינה] שלא לקיים את פסק דינו של בית משפט זה".</w:t>
      </w:r>
      <w:r w:rsidRPr="002A3CFD">
        <w:rPr>
          <w:rFonts w:cs="Times New Roman"/>
          <w:sz w:val="20"/>
          <w:szCs w:val="20"/>
          <w:rtl/>
        </w:rPr>
        <w:t xml:space="preserve"> </w:t>
      </w:r>
      <w:r w:rsidRPr="002A3CFD">
        <w:rPr>
          <w:rFonts w:cs="Times New Roman"/>
          <w:sz w:val="20"/>
          <w:szCs w:val="20"/>
          <w:rtl/>
        </w:rPr>
        <w:br/>
        <w:t>מה עשתה ה</w:t>
      </w:r>
      <w:r>
        <w:rPr>
          <w:rFonts w:cs="Times New Roman" w:hint="cs"/>
          <w:sz w:val="20"/>
          <w:szCs w:val="20"/>
          <w:rtl/>
        </w:rPr>
        <w:t>ממשלה</w:t>
      </w:r>
      <w:r w:rsidRPr="002A3CFD">
        <w:rPr>
          <w:rFonts w:cs="Times New Roman"/>
          <w:sz w:val="20"/>
          <w:szCs w:val="20"/>
          <w:rtl/>
        </w:rPr>
        <w:t xml:space="preserve">? </w:t>
      </w:r>
      <w:r>
        <w:rPr>
          <w:rFonts w:cs="Times New Roman" w:hint="cs"/>
          <w:sz w:val="20"/>
          <w:szCs w:val="20"/>
          <w:rtl/>
        </w:rPr>
        <w:t>המהלך הבא הוא בכנסת.  הקטע הבא מצוטט ממכתבה של עו"ד קרפ:</w:t>
      </w:r>
    </w:p>
    <w:p w:rsidR="005366A8" w:rsidRPr="002A3CFD" w:rsidRDefault="005366A8" w:rsidP="005366A8">
      <w:pPr>
        <w:pStyle w:val="NoSpacing"/>
        <w:rPr>
          <w:rFonts w:cs="Times New Roman"/>
          <w:sz w:val="20"/>
          <w:szCs w:val="20"/>
          <w:rtl/>
        </w:rPr>
      </w:pPr>
      <w:r w:rsidRPr="002A3CFD">
        <w:rPr>
          <w:rFonts w:cs="Times New Roman"/>
          <w:sz w:val="20"/>
          <w:szCs w:val="20"/>
          <w:u w:val="single"/>
          <w:rtl/>
        </w:rPr>
        <w:t xml:space="preserve">ביום 23.7.09 </w:t>
      </w:r>
      <w:r w:rsidRPr="002A3CFD">
        <w:rPr>
          <w:rFonts w:cs="Times New Roman"/>
          <w:sz w:val="20"/>
          <w:szCs w:val="20"/>
          <w:rtl/>
        </w:rPr>
        <w:t xml:space="preserve">התקבל בכנסת </w:t>
      </w:r>
      <w:r w:rsidRPr="002A3CFD">
        <w:rPr>
          <w:rFonts w:cs="Times New Roman"/>
          <w:b/>
          <w:bCs/>
          <w:sz w:val="20"/>
          <w:szCs w:val="20"/>
          <w:rtl/>
        </w:rPr>
        <w:t>חוק ההתייעלות הכלכלית (תיקוני חקיקה ליישום התכנית הכלכלית לשנים 2009-2010)</w:t>
      </w:r>
      <w:r w:rsidRPr="002A3CFD">
        <w:rPr>
          <w:rFonts w:cs="Times New Roman"/>
          <w:sz w:val="20"/>
          <w:szCs w:val="20"/>
          <w:rtl/>
        </w:rPr>
        <w:t xml:space="preserve"> הידוע בשמו כ"חוק ההסדרים במשק". החוק כולל פרק כ"ו, שכותרתו "איזורי עדיפות לאומית". החוק מסדיר הסדר ראשוני את סמכות הממשלה להחליט כי אזור מסוים או ישוב מסוים הוא בעל עדיפות לאומית ואת סמכותה להחליט על מתן הטבות לאזור עדיפות לאומית, בתחומים מסוימים הקבועים בחוק, את סוג ההטבות שיינתנו לאותו אזור, את הדרכים והאמצעים למתן ההטבות וכן את התקופות ואמות המידה לנתינתן. עוד מסמיך החוק את הממשלה להחליט כי החלטות כאמור יתקבלו בידי שר משרי הממשלה בשטח הפעולה של משרדו.  בסעיף 162 לחוק נאמר:</w:t>
      </w:r>
    </w:p>
    <w:p w:rsidR="005366A8" w:rsidRPr="002A3CFD" w:rsidRDefault="005366A8" w:rsidP="005366A8">
      <w:pPr>
        <w:pStyle w:val="NoSpacing"/>
        <w:ind w:left="720"/>
        <w:rPr>
          <w:rFonts w:cs="Times New Roman"/>
          <w:sz w:val="20"/>
          <w:szCs w:val="20"/>
          <w:rtl/>
        </w:rPr>
      </w:pPr>
      <w:r w:rsidRPr="002A3CFD">
        <w:rPr>
          <w:rFonts w:cs="Times New Roman"/>
          <w:sz w:val="20"/>
          <w:szCs w:val="20"/>
          <w:rtl/>
        </w:rPr>
        <w:t xml:space="preserve">"החלטת ממשלה שניתנה ערב תחילתו של פרק זה, שלא לפי הוראות חיקוק, ומקנה הטבות לאזור או ליישוב על בסיס עדיפות לאומית, </w:t>
      </w:r>
      <w:r w:rsidRPr="002A3CFD">
        <w:rPr>
          <w:rFonts w:cs="Times New Roman"/>
          <w:sz w:val="20"/>
          <w:szCs w:val="20"/>
          <w:u w:val="single"/>
          <w:rtl/>
        </w:rPr>
        <w:t>תתבטל בתום שנתיים וחצי מיום</w:t>
      </w:r>
      <w:r w:rsidRPr="002A3CFD">
        <w:rPr>
          <w:rFonts w:cs="Times New Roman"/>
          <w:sz w:val="20"/>
          <w:szCs w:val="20"/>
          <w:rtl/>
        </w:rPr>
        <w:t xml:space="preserve"> תחילתו של פרק זה או עד המועד הקבוע בה, לפי המוקדם..."</w:t>
      </w:r>
    </w:p>
    <w:p w:rsidR="005366A8" w:rsidRDefault="005366A8" w:rsidP="005366A8">
      <w:pPr>
        <w:pStyle w:val="NoSpacing"/>
        <w:rPr>
          <w:rFonts w:cs="Times New Roman"/>
          <w:sz w:val="20"/>
          <w:szCs w:val="20"/>
          <w:rtl/>
        </w:rPr>
      </w:pPr>
      <w:r w:rsidRPr="00BA2BEA">
        <w:rPr>
          <w:rFonts w:cs="Times New Roman"/>
          <w:sz w:val="20"/>
          <w:szCs w:val="20"/>
          <w:highlight w:val="yellow"/>
          <w:rtl/>
        </w:rPr>
        <w:t>בכך נתן החוק באופן עקיף ומשתמע תוקף עד לתחילת שנת 2013</w:t>
      </w:r>
      <w:r w:rsidRPr="00BA2BEA">
        <w:rPr>
          <w:rFonts w:cs="Times New Roman" w:hint="cs"/>
          <w:sz w:val="20"/>
          <w:szCs w:val="20"/>
          <w:highlight w:val="yellow"/>
          <w:rtl/>
        </w:rPr>
        <w:t xml:space="preserve"> </w:t>
      </w:r>
      <w:r w:rsidRPr="00BA2BEA">
        <w:rPr>
          <w:rFonts w:cs="Times New Roman"/>
          <w:sz w:val="20"/>
          <w:szCs w:val="20"/>
          <w:highlight w:val="yellow"/>
          <w:rtl/>
        </w:rPr>
        <w:t>להחלטות הממשלה, שבית המשפט בטלן בשל היותן החלטות מפלות</w:t>
      </w:r>
      <w:r w:rsidRPr="002A3CFD">
        <w:rPr>
          <w:rFonts w:cs="Times New Roman"/>
          <w:sz w:val="20"/>
          <w:szCs w:val="20"/>
          <w:rtl/>
        </w:rPr>
        <w:t>.</w:t>
      </w:r>
    </w:p>
    <w:p w:rsidR="005366A8" w:rsidRPr="002A3CFD" w:rsidRDefault="005366A8" w:rsidP="005366A8">
      <w:pPr>
        <w:pStyle w:val="NoSpacing"/>
        <w:rPr>
          <w:rFonts w:cs="Times New Roman"/>
          <w:sz w:val="20"/>
          <w:szCs w:val="20"/>
          <w:rtl/>
        </w:rPr>
      </w:pPr>
      <w:r w:rsidRPr="002A3CFD">
        <w:rPr>
          <w:rFonts w:cs="Times New Roman"/>
          <w:sz w:val="20"/>
          <w:szCs w:val="20"/>
          <w:rtl/>
        </w:rPr>
        <w:t xml:space="preserve">בהחלטת ממשלה מיום 13.12.09 (מס' 1060) נקבעו הישובים והאזורים בעלי העדיפות הלאומית, שיוכלו ליהנות מהטבות של אזורי עדיפות. סעיף 5 להחלטה הסמיך את השרים הרלבנטיים, תוך יידוע שר האוצר, לקבוע קריטריונים, על פי שיקולים מקצועיים, לעניין הטבות ותמריצים לישובים הנכללים במפת אזורי העדיפות הלאומית והכל במסגרת תקציבם המאושר. </w:t>
      </w:r>
    </w:p>
    <w:p w:rsidR="005366A8" w:rsidRPr="002A3CFD" w:rsidRDefault="005366A8" w:rsidP="005366A8">
      <w:pPr>
        <w:pStyle w:val="NoSpacing"/>
        <w:rPr>
          <w:rFonts w:cs="Times New Roman"/>
          <w:sz w:val="20"/>
          <w:szCs w:val="20"/>
          <w:rtl/>
        </w:rPr>
      </w:pPr>
      <w:r w:rsidRPr="002A3CFD">
        <w:rPr>
          <w:rFonts w:cs="Times New Roman"/>
          <w:sz w:val="20"/>
          <w:szCs w:val="20"/>
          <w:rtl/>
        </w:rPr>
        <w:t>סעיף 6 להחלטה קובע:</w:t>
      </w:r>
    </w:p>
    <w:p w:rsidR="005366A8" w:rsidRPr="00756046" w:rsidRDefault="005366A8" w:rsidP="005366A8">
      <w:pPr>
        <w:pStyle w:val="NoSpacing"/>
        <w:ind w:left="720"/>
        <w:rPr>
          <w:rFonts w:cs="Times New Roman"/>
          <w:sz w:val="20"/>
          <w:szCs w:val="20"/>
          <w:rtl/>
        </w:rPr>
      </w:pPr>
      <w:r w:rsidRPr="00756046">
        <w:rPr>
          <w:rFonts w:cs="Times New Roman"/>
          <w:sz w:val="20"/>
          <w:szCs w:val="20"/>
          <w:rtl/>
        </w:rPr>
        <w:t>"א. הקריטריונים המקצועיים שיקבע כל שר לשם מתן ההטבות והתמריצים לאזורי העדיפות הלאומית, כאמור לעיל, לא ייכנסו לתוקף בטרם יבוטלו או יתוקנו (לפי העניין) החלטות ממשלה קודמות הקיימות בנושא, בתחום משרדו.</w:t>
      </w:r>
    </w:p>
    <w:p w:rsidR="005366A8" w:rsidRPr="00756046" w:rsidRDefault="005366A8" w:rsidP="005366A8">
      <w:pPr>
        <w:pStyle w:val="NoSpacing"/>
        <w:ind w:left="720"/>
        <w:rPr>
          <w:rFonts w:cs="Times New Roman"/>
          <w:sz w:val="20"/>
          <w:szCs w:val="20"/>
          <w:rtl/>
        </w:rPr>
      </w:pPr>
      <w:r w:rsidRPr="00756046">
        <w:rPr>
          <w:rFonts w:cs="Times New Roman"/>
          <w:sz w:val="20"/>
          <w:szCs w:val="20"/>
          <w:rtl/>
        </w:rPr>
        <w:t>"ב. הובאו הקריטריונים המקצועיים החדשים, שנקבעו לשם מתן הטבות ותמריצים לפי החלטה זו, לדיון בקבינט החברתי- כלכלי, בהתאם לסעיף 5 (ב) לעיל, יידון מעמד החלטות הממשלה הקודמות בנושא ותיקונן או ביטולן, לפי העניין."</w:t>
      </w:r>
    </w:p>
    <w:p w:rsidR="005366A8" w:rsidRPr="002A3CFD" w:rsidRDefault="005366A8" w:rsidP="005366A8">
      <w:pPr>
        <w:pStyle w:val="NoSpacing"/>
        <w:rPr>
          <w:rFonts w:cs="Times New Roman"/>
          <w:sz w:val="20"/>
          <w:szCs w:val="20"/>
          <w:rtl/>
        </w:rPr>
      </w:pPr>
      <w:r w:rsidRPr="002A3CFD">
        <w:rPr>
          <w:rFonts w:cs="Times New Roman"/>
          <w:sz w:val="20"/>
          <w:szCs w:val="20"/>
          <w:rtl/>
        </w:rPr>
        <w:t>סעיף 8 להחלטה קובע כי תוקף ההחלטה הוא עד ליום 1.4.2013.</w:t>
      </w:r>
    </w:p>
    <w:p w:rsidR="005366A8" w:rsidRPr="002A3CFD" w:rsidRDefault="005366A8" w:rsidP="005366A8">
      <w:pPr>
        <w:pStyle w:val="NoSpacing"/>
        <w:rPr>
          <w:rFonts w:cs="Times New Roman"/>
          <w:sz w:val="20"/>
          <w:szCs w:val="20"/>
          <w:rtl/>
        </w:rPr>
      </w:pPr>
    </w:p>
    <w:p w:rsidR="005366A8" w:rsidRPr="002A3CFD" w:rsidRDefault="005366A8" w:rsidP="005366A8">
      <w:pPr>
        <w:pStyle w:val="NoSpacing"/>
        <w:rPr>
          <w:rFonts w:cs="Times New Roman"/>
          <w:sz w:val="20"/>
          <w:szCs w:val="20"/>
          <w:rtl/>
        </w:rPr>
      </w:pPr>
      <w:r w:rsidRPr="002A3CFD">
        <w:rPr>
          <w:rFonts w:cs="Times New Roman"/>
          <w:sz w:val="20"/>
          <w:szCs w:val="20"/>
          <w:rtl/>
        </w:rPr>
        <w:t xml:space="preserve">משמעותה הכוללת של ההחלטה היא שחלוקת ההטבות המפלה, שנפסלה בידי בית המשפט, </w:t>
      </w:r>
      <w:r w:rsidRPr="002A3CFD">
        <w:rPr>
          <w:rFonts w:cs="Times New Roman"/>
          <w:sz w:val="20"/>
          <w:szCs w:val="20"/>
          <w:u w:val="single"/>
          <w:rtl/>
        </w:rPr>
        <w:t>עומדת בתקפה מכוח החוק ועל פי החלטת הממשלה עד לשנת 2013,</w:t>
      </w:r>
      <w:r w:rsidRPr="002A3CFD">
        <w:rPr>
          <w:rFonts w:cs="Times New Roman"/>
          <w:sz w:val="20"/>
          <w:szCs w:val="20"/>
          <w:rtl/>
        </w:rPr>
        <w:t xml:space="preserve"> אם לא תשונה לפני כן.</w:t>
      </w:r>
    </w:p>
    <w:p w:rsidR="005366A8" w:rsidRPr="002A3CFD" w:rsidRDefault="005366A8" w:rsidP="005366A8">
      <w:pPr>
        <w:pStyle w:val="NoSpacing"/>
        <w:rPr>
          <w:rFonts w:cs="Times New Roman"/>
          <w:sz w:val="20"/>
          <w:szCs w:val="20"/>
          <w:rtl/>
        </w:rPr>
      </w:pPr>
      <w:r w:rsidRPr="002A3CFD">
        <w:rPr>
          <w:rFonts w:cs="Times New Roman"/>
          <w:sz w:val="20"/>
          <w:szCs w:val="20"/>
          <w:rtl/>
        </w:rPr>
        <w:t xml:space="preserve">כך עקפה הממשלה את חובתה לקיים את פסק הדין על העקרונות שנקבעו בו, עשתה דין לעצמה ונטלה את הארכה, שבית המשפט סרב לתת לה, בתתה תוקף להסדר המפלה עד לתחילת שנת 2013. </w:t>
      </w:r>
    </w:p>
    <w:p w:rsidR="005366A8" w:rsidRPr="002A3CFD" w:rsidRDefault="005366A8" w:rsidP="005366A8">
      <w:pPr>
        <w:pStyle w:val="NoSpacing"/>
        <w:rPr>
          <w:rFonts w:cs="Times New Roman"/>
          <w:sz w:val="20"/>
          <w:szCs w:val="20"/>
          <w:rtl/>
        </w:rPr>
      </w:pPr>
      <w:r w:rsidRPr="002A3CFD">
        <w:rPr>
          <w:rFonts w:cs="Times New Roman"/>
          <w:sz w:val="20"/>
          <w:szCs w:val="20"/>
          <w:rtl/>
        </w:rPr>
        <w:t>מכאן שגם היום נמשכת בפועל הפלייתם של בני המגזר הערבי  וחלוקת ההטבות מתנהלת לפי מתכונת העבר, שבית המשפט קבע כי היא מפלה ופוגעת בשוויון. יש להדגיש כי מדיניות מפלה זו נמשכת כבר כשתים עשרה שנים מאז החלטות הממשלה,  שבגינן הוגשה העתירה המקורית, ושלוש שנים לאחר המועד שקבע בית המשפט כהסדר המדורג הראוי לביטולה של הפליה זו.</w:t>
      </w:r>
      <w:r>
        <w:rPr>
          <w:rFonts w:cs="Times New Roman" w:hint="cs"/>
          <w:sz w:val="20"/>
          <w:szCs w:val="20"/>
          <w:rtl/>
        </w:rPr>
        <w:t xml:space="preserve"> </w:t>
      </w:r>
      <w:r w:rsidRPr="002A3CFD">
        <w:rPr>
          <w:rFonts w:cs="Times New Roman"/>
          <w:sz w:val="20"/>
          <w:szCs w:val="20"/>
          <w:rtl/>
        </w:rPr>
        <w:t xml:space="preserve">המשכו של מצב דברים מפלה בתחום הזכות לחינוך וחומרתה של ההפליה במימושה של זכות זו במגזר הערבי פורטים על העצבים הרגישים ביותר של החברה בישראל ונזקם לא ישוער. </w:t>
      </w:r>
      <w:r>
        <w:rPr>
          <w:rFonts w:cs="Times New Roman" w:hint="cs"/>
          <w:b/>
          <w:bCs/>
          <w:sz w:val="20"/>
          <w:szCs w:val="20"/>
          <w:rtl/>
        </w:rPr>
        <w:t>[</w:t>
      </w:r>
      <w:r w:rsidRPr="00BA2BEA">
        <w:rPr>
          <w:rFonts w:cs="Times New Roman" w:hint="cs"/>
          <w:b/>
          <w:bCs/>
          <w:sz w:val="20"/>
          <w:szCs w:val="20"/>
          <w:rtl/>
        </w:rPr>
        <w:t>סוף ציטוט</w:t>
      </w:r>
      <w:r>
        <w:rPr>
          <w:rFonts w:cs="Times New Roman" w:hint="cs"/>
          <w:b/>
          <w:bCs/>
          <w:sz w:val="20"/>
          <w:szCs w:val="20"/>
          <w:rtl/>
        </w:rPr>
        <w:t>]</w:t>
      </w:r>
      <w:r>
        <w:rPr>
          <w:rFonts w:cs="Times New Roman" w:hint="cs"/>
          <w:sz w:val="20"/>
          <w:szCs w:val="20"/>
          <w:rtl/>
        </w:rPr>
        <w:t xml:space="preserve">.  </w:t>
      </w:r>
    </w:p>
    <w:p w:rsidR="005366A8" w:rsidRPr="00DD0014" w:rsidRDefault="005366A8" w:rsidP="005366A8">
      <w:pPr>
        <w:pStyle w:val="NoSpacing"/>
        <w:rPr>
          <w:rFonts w:cs="Times New Roman"/>
          <w:sz w:val="20"/>
          <w:szCs w:val="20"/>
          <w:rtl/>
        </w:rPr>
      </w:pPr>
      <w:r w:rsidRPr="00DD0014">
        <w:rPr>
          <w:rFonts w:cs="Times New Roman"/>
          <w:sz w:val="20"/>
          <w:szCs w:val="20"/>
          <w:rtl/>
        </w:rPr>
        <w:t xml:space="preserve"> </w:t>
      </w:r>
    </w:p>
    <w:p w:rsidR="005366A8" w:rsidRDefault="005366A8" w:rsidP="005366A8">
      <w:pPr>
        <w:pStyle w:val="NoSpacing"/>
        <w:rPr>
          <w:rFonts w:cs="Times New Roman"/>
          <w:sz w:val="20"/>
          <w:szCs w:val="20"/>
          <w:rtl/>
        </w:rPr>
      </w:pPr>
      <w:r w:rsidRPr="00DD0014">
        <w:rPr>
          <w:rFonts w:cs="Times New Roman"/>
          <w:sz w:val="20"/>
          <w:szCs w:val="20"/>
          <w:rtl/>
        </w:rPr>
        <w:t>1998 עד 201</w:t>
      </w:r>
      <w:r>
        <w:rPr>
          <w:rFonts w:cs="Times New Roman" w:hint="cs"/>
          <w:sz w:val="20"/>
          <w:szCs w:val="20"/>
          <w:rtl/>
        </w:rPr>
        <w:t>3</w:t>
      </w:r>
      <w:r w:rsidRPr="00DD0014">
        <w:rPr>
          <w:rFonts w:cs="Times New Roman"/>
          <w:sz w:val="20"/>
          <w:szCs w:val="20"/>
          <w:rtl/>
        </w:rPr>
        <w:t>, זה פחות או יותר 1</w:t>
      </w:r>
      <w:r>
        <w:rPr>
          <w:rFonts w:cs="Times New Roman" w:hint="cs"/>
          <w:sz w:val="20"/>
          <w:szCs w:val="20"/>
          <w:rtl/>
        </w:rPr>
        <w:t>5</w:t>
      </w:r>
      <w:r w:rsidRPr="00DD0014">
        <w:rPr>
          <w:rFonts w:cs="Times New Roman"/>
          <w:sz w:val="20"/>
          <w:szCs w:val="20"/>
          <w:rtl/>
        </w:rPr>
        <w:t xml:space="preserve"> שנים. [ואנחנו מדברים על עתירה שתקפה את המציאות מקום המדינה עד אליה – מ-48 עד 98 – יובל שנים]. המקרה הזה מעורר כמה מחשבות.  </w:t>
      </w:r>
    </w:p>
    <w:p w:rsidR="005366A8" w:rsidRPr="00DD0014" w:rsidRDefault="005366A8" w:rsidP="005366A8">
      <w:pPr>
        <w:pStyle w:val="NoSpacing"/>
        <w:rPr>
          <w:rFonts w:cs="Times New Roman"/>
          <w:sz w:val="20"/>
          <w:szCs w:val="20"/>
          <w:rtl/>
        </w:rPr>
      </w:pPr>
    </w:p>
    <w:p w:rsidR="005366A8" w:rsidRPr="00DD0014" w:rsidRDefault="005366A8" w:rsidP="005366A8">
      <w:pPr>
        <w:pStyle w:val="NoSpacing"/>
        <w:rPr>
          <w:rFonts w:cs="Times New Roman"/>
          <w:sz w:val="20"/>
          <w:szCs w:val="20"/>
          <w:rtl/>
        </w:rPr>
      </w:pPr>
      <w:r w:rsidRPr="00DD0014">
        <w:rPr>
          <w:rFonts w:cs="Times New Roman"/>
          <w:sz w:val="20"/>
          <w:szCs w:val="20"/>
          <w:rtl/>
        </w:rPr>
        <w:t>ראשית, כל ההשתלשלות הזו מתרחשת מבלי ש</w:t>
      </w:r>
      <w:r>
        <w:rPr>
          <w:rFonts w:cs="Times New Roman" w:hint="cs"/>
          <w:sz w:val="20"/>
          <w:szCs w:val="20"/>
          <w:rtl/>
        </w:rPr>
        <w:t>המדינה משמיעה טעמים ביטחוניים, טעמי דחיפות מיוחדים וכדומה. מדובר ב</w:t>
      </w:r>
      <w:r w:rsidRPr="00DD0014">
        <w:rPr>
          <w:rFonts w:cs="Times New Roman"/>
          <w:sz w:val="20"/>
          <w:szCs w:val="20"/>
          <w:rtl/>
        </w:rPr>
        <w:t xml:space="preserve">אפליה תקציבית 'פשוטה' על בסיס לאומי. </w:t>
      </w:r>
    </w:p>
    <w:p w:rsidR="005366A8" w:rsidRPr="00756046" w:rsidRDefault="005366A8" w:rsidP="005366A8">
      <w:pPr>
        <w:pStyle w:val="NoSpacing"/>
        <w:rPr>
          <w:rFonts w:cs="Times New Roman"/>
          <w:sz w:val="20"/>
          <w:szCs w:val="20"/>
          <w:highlight w:val="yellow"/>
          <w:rtl/>
        </w:rPr>
      </w:pPr>
      <w:r>
        <w:rPr>
          <w:rFonts w:cs="Times New Roman" w:hint="cs"/>
          <w:sz w:val="20"/>
          <w:szCs w:val="20"/>
          <w:rtl/>
        </w:rPr>
        <w:t xml:space="preserve">שנית, </w:t>
      </w:r>
      <w:r w:rsidRPr="00DD0014">
        <w:rPr>
          <w:rFonts w:cs="Times New Roman"/>
          <w:sz w:val="20"/>
          <w:szCs w:val="20"/>
          <w:rtl/>
        </w:rPr>
        <w:t xml:space="preserve">האם </w:t>
      </w:r>
      <w:r>
        <w:rPr>
          <w:rFonts w:cs="Times New Roman" w:hint="cs"/>
          <w:sz w:val="20"/>
          <w:szCs w:val="20"/>
          <w:rtl/>
        </w:rPr>
        <w:t xml:space="preserve">התנהלות הממשלה כאן היא </w:t>
      </w:r>
      <w:r w:rsidRPr="00DD0014">
        <w:rPr>
          <w:rFonts w:cs="Times New Roman"/>
          <w:sz w:val="20"/>
          <w:szCs w:val="20"/>
          <w:rtl/>
        </w:rPr>
        <w:t xml:space="preserve">מקרה בודד?  </w:t>
      </w:r>
      <w:r>
        <w:rPr>
          <w:rFonts w:cs="Times New Roman" w:hint="cs"/>
          <w:sz w:val="20"/>
          <w:szCs w:val="20"/>
          <w:rtl/>
        </w:rPr>
        <w:t>אם לקבל את דבריה של עו"ד קרפ, הרי שהתשובה היא "</w:t>
      </w:r>
      <w:r w:rsidRPr="00DD0014">
        <w:rPr>
          <w:rFonts w:cs="Times New Roman"/>
          <w:sz w:val="20"/>
          <w:szCs w:val="20"/>
          <w:rtl/>
        </w:rPr>
        <w:t>ממש לא</w:t>
      </w:r>
      <w:r>
        <w:rPr>
          <w:rFonts w:cs="Times New Roman" w:hint="cs"/>
          <w:sz w:val="20"/>
          <w:szCs w:val="20"/>
          <w:rtl/>
        </w:rPr>
        <w:t>"</w:t>
      </w:r>
      <w:r w:rsidRPr="00DD0014">
        <w:rPr>
          <w:rFonts w:cs="Times New Roman"/>
          <w:sz w:val="20"/>
          <w:szCs w:val="20"/>
          <w:rtl/>
        </w:rPr>
        <w:t xml:space="preserve">. </w:t>
      </w:r>
      <w:r w:rsidRPr="00DD0014">
        <w:rPr>
          <w:rFonts w:cs="Times New Roman"/>
          <w:sz w:val="20"/>
          <w:szCs w:val="20"/>
          <w:rtl/>
        </w:rPr>
        <w:br/>
      </w:r>
      <w:r w:rsidRPr="00756046">
        <w:rPr>
          <w:rFonts w:cs="Times New Roman" w:hint="cs"/>
          <w:sz w:val="20"/>
          <w:szCs w:val="20"/>
          <w:highlight w:val="yellow"/>
          <w:rtl/>
        </w:rPr>
        <w:t xml:space="preserve">שלישית, </w:t>
      </w:r>
      <w:r w:rsidRPr="00756046">
        <w:rPr>
          <w:rFonts w:cs="Times New Roman"/>
          <w:sz w:val="20"/>
          <w:szCs w:val="20"/>
          <w:highlight w:val="yellow"/>
          <w:rtl/>
        </w:rPr>
        <w:t>מה זה מלמד אותנו על כוחו של בית המשפט? ומה זה מלמד אותנו על מעורבותו?</w:t>
      </w:r>
      <w:r w:rsidRPr="00756046">
        <w:rPr>
          <w:rFonts w:cs="Times New Roman" w:hint="cs"/>
          <w:sz w:val="20"/>
          <w:szCs w:val="20"/>
          <w:highlight w:val="yellow"/>
          <w:rtl/>
        </w:rPr>
        <w:t xml:space="preserve">  נטען תכופות כי בית המשפט הוא אקטיביסט מדי, שש אלי הדק. </w:t>
      </w:r>
    </w:p>
    <w:p w:rsidR="005366A8" w:rsidRPr="00DD0014" w:rsidRDefault="005366A8" w:rsidP="005366A8">
      <w:pPr>
        <w:pStyle w:val="NoSpacing"/>
        <w:rPr>
          <w:rFonts w:cs="Times New Roman"/>
          <w:sz w:val="20"/>
          <w:szCs w:val="20"/>
          <w:rtl/>
        </w:rPr>
      </w:pPr>
      <w:r w:rsidRPr="00756046">
        <w:rPr>
          <w:rFonts w:cs="Times New Roman"/>
          <w:sz w:val="20"/>
          <w:szCs w:val="20"/>
          <w:highlight w:val="yellow"/>
          <w:rtl/>
        </w:rPr>
        <w:t>בית משפט ששש אלי הדק לא היה מחכה 8 שנים כדי להגיע לפסק דין</w:t>
      </w:r>
      <w:r w:rsidRPr="00756046">
        <w:rPr>
          <w:rFonts w:cs="Times New Roman" w:hint="cs"/>
          <w:sz w:val="20"/>
          <w:szCs w:val="20"/>
          <w:highlight w:val="yellow"/>
          <w:rtl/>
        </w:rPr>
        <w:t xml:space="preserve">; </w:t>
      </w:r>
      <w:r w:rsidRPr="00756046">
        <w:rPr>
          <w:rFonts w:cs="Times New Roman"/>
          <w:sz w:val="20"/>
          <w:szCs w:val="20"/>
          <w:highlight w:val="yellow"/>
          <w:rtl/>
        </w:rPr>
        <w:t xml:space="preserve">לא היה ממתין ובשלב מסוים </w:t>
      </w:r>
      <w:r w:rsidRPr="00756046">
        <w:rPr>
          <w:rFonts w:cs="Times New Roman" w:hint="cs"/>
          <w:sz w:val="20"/>
          <w:szCs w:val="20"/>
          <w:highlight w:val="yellow"/>
          <w:rtl/>
        </w:rPr>
        <w:t xml:space="preserve">כמעט </w:t>
      </w:r>
      <w:r w:rsidRPr="00756046">
        <w:rPr>
          <w:rFonts w:cs="Times New Roman"/>
          <w:sz w:val="20"/>
          <w:szCs w:val="20"/>
          <w:highlight w:val="yellow"/>
          <w:rtl/>
        </w:rPr>
        <w:t>מתחנן לממשלה שתכבד את הצו שלו</w:t>
      </w:r>
      <w:r w:rsidRPr="00756046">
        <w:rPr>
          <w:rFonts w:cs="Times New Roman" w:hint="cs"/>
          <w:sz w:val="20"/>
          <w:szCs w:val="20"/>
          <w:highlight w:val="yellow"/>
          <w:rtl/>
        </w:rPr>
        <w:t xml:space="preserve">; </w:t>
      </w:r>
      <w:r w:rsidRPr="00756046">
        <w:rPr>
          <w:rFonts w:cs="Times New Roman"/>
          <w:sz w:val="20"/>
          <w:szCs w:val="20"/>
          <w:highlight w:val="yellow"/>
          <w:rtl/>
        </w:rPr>
        <w:t>לא היה נעקף בחקיקה פשוטה של הכנסת שמעניקה למדינה זמן ארכה ממושך.</w:t>
      </w:r>
    </w:p>
    <w:p w:rsidR="005366A8" w:rsidRPr="00DD0014" w:rsidRDefault="005366A8" w:rsidP="005366A8">
      <w:pPr>
        <w:pStyle w:val="NoSpacing"/>
        <w:rPr>
          <w:rFonts w:cs="Times New Roman"/>
          <w:sz w:val="20"/>
          <w:szCs w:val="20"/>
          <w:rtl/>
        </w:rPr>
      </w:pPr>
      <w:r w:rsidRPr="00DD0014">
        <w:rPr>
          <w:rFonts w:cs="Times New Roman"/>
          <w:sz w:val="20"/>
          <w:szCs w:val="20"/>
          <w:rtl/>
        </w:rPr>
        <w:br/>
      </w:r>
      <w:r>
        <w:rPr>
          <w:rFonts w:cs="Times New Roman" w:hint="cs"/>
          <w:sz w:val="20"/>
          <w:szCs w:val="20"/>
          <w:rtl/>
        </w:rPr>
        <w:t>[</w:t>
      </w:r>
      <w:r w:rsidRPr="00DD0014">
        <w:rPr>
          <w:rFonts w:cs="Times New Roman"/>
          <w:sz w:val="20"/>
          <w:szCs w:val="20"/>
          <w:rtl/>
        </w:rPr>
        <w:t xml:space="preserve">אמשיך לנקודה נוספת שעניינה אותי סביב ההתרחשות הזו של מכתבה של קרפ.  </w:t>
      </w:r>
      <w:r>
        <w:rPr>
          <w:rFonts w:cs="Times New Roman" w:hint="cs"/>
          <w:sz w:val="20"/>
          <w:szCs w:val="20"/>
          <w:rtl/>
        </w:rPr>
        <w:t xml:space="preserve">מופיע </w:t>
      </w:r>
      <w:r w:rsidRPr="00DD0014">
        <w:rPr>
          <w:rFonts w:cs="Times New Roman"/>
          <w:sz w:val="20"/>
          <w:szCs w:val="20"/>
          <w:rtl/>
        </w:rPr>
        <w:t>משהו מעניין – אך ממש לא יוצא דופן – ברטוריקה שליוותה אותו.</w:t>
      </w:r>
    </w:p>
    <w:p w:rsidR="005366A8" w:rsidRPr="00DD0014" w:rsidRDefault="005366A8" w:rsidP="005366A8">
      <w:pPr>
        <w:pStyle w:val="NoSpacing"/>
        <w:rPr>
          <w:rFonts w:cs="Times New Roman"/>
          <w:sz w:val="20"/>
          <w:szCs w:val="20"/>
          <w:rtl/>
        </w:rPr>
      </w:pPr>
      <w:r w:rsidRPr="00DD0014">
        <w:rPr>
          <w:rFonts w:cs="Times New Roman"/>
          <w:sz w:val="20"/>
          <w:szCs w:val="20"/>
          <w:rtl/>
        </w:rPr>
        <w:t>לכאורה המצב ברור וחמור: יש זכות, בית המשפט קובע שהזכות הופרה וממשיכה להיות מופרת, הוא נותן סעד</w:t>
      </w:r>
      <w:r>
        <w:rPr>
          <w:rFonts w:cs="Times New Roman" w:hint="cs"/>
          <w:sz w:val="20"/>
          <w:szCs w:val="20"/>
          <w:rtl/>
        </w:rPr>
        <w:t xml:space="preserve"> (צו עשה)</w:t>
      </w:r>
      <w:r w:rsidRPr="00DD0014">
        <w:rPr>
          <w:rFonts w:cs="Times New Roman"/>
          <w:sz w:val="20"/>
          <w:szCs w:val="20"/>
          <w:rtl/>
        </w:rPr>
        <w:t xml:space="preserve">, והנה המדינה לא נענית. </w:t>
      </w:r>
    </w:p>
    <w:p w:rsidR="005366A8" w:rsidRPr="00DD0014" w:rsidRDefault="005366A8" w:rsidP="005366A8">
      <w:pPr>
        <w:pStyle w:val="NoSpacing"/>
        <w:rPr>
          <w:rFonts w:cs="Times New Roman"/>
          <w:sz w:val="20"/>
          <w:szCs w:val="20"/>
          <w:rtl/>
        </w:rPr>
      </w:pPr>
      <w:r>
        <w:rPr>
          <w:rFonts w:cs="Times New Roman"/>
          <w:sz w:val="20"/>
          <w:szCs w:val="20"/>
          <w:rtl/>
        </w:rPr>
        <w:t xml:space="preserve">מה הטענות </w:t>
      </w:r>
      <w:r>
        <w:rPr>
          <w:rFonts w:cs="Times New Roman" w:hint="cs"/>
          <w:sz w:val="20"/>
          <w:szCs w:val="20"/>
          <w:rtl/>
        </w:rPr>
        <w:t>שנצפה להם בשיח הציבורי?</w:t>
      </w:r>
      <w:r w:rsidRPr="00DD0014">
        <w:rPr>
          <w:rFonts w:cs="Times New Roman"/>
          <w:sz w:val="20"/>
          <w:szCs w:val="20"/>
          <w:rtl/>
        </w:rPr>
        <w:t xml:space="preserve"> א. </w:t>
      </w:r>
      <w:r>
        <w:rPr>
          <w:rFonts w:cs="Times New Roman" w:hint="cs"/>
          <w:sz w:val="20"/>
          <w:szCs w:val="20"/>
          <w:rtl/>
        </w:rPr>
        <w:t>ש</w:t>
      </w:r>
      <w:r w:rsidRPr="00DD0014">
        <w:rPr>
          <w:rFonts w:cs="Times New Roman"/>
          <w:sz w:val="20"/>
          <w:szCs w:val="20"/>
          <w:rtl/>
        </w:rPr>
        <w:t>נגרם כאן עוול</w:t>
      </w:r>
      <w:r>
        <w:rPr>
          <w:rFonts w:cs="Times New Roman" w:hint="cs"/>
          <w:sz w:val="20"/>
          <w:szCs w:val="20"/>
          <w:rtl/>
        </w:rPr>
        <w:t>,</w:t>
      </w:r>
      <w:r w:rsidRPr="00DD0014">
        <w:rPr>
          <w:rFonts w:cs="Times New Roman"/>
          <w:sz w:val="20"/>
          <w:szCs w:val="20"/>
          <w:rtl/>
        </w:rPr>
        <w:t xml:space="preserve"> כי זכות הופרה והנה היא לא </w:t>
      </w:r>
      <w:r>
        <w:rPr>
          <w:rFonts w:cs="Times New Roman" w:hint="cs"/>
          <w:sz w:val="20"/>
          <w:szCs w:val="20"/>
          <w:rtl/>
        </w:rPr>
        <w:t>זוכה לתיקון על אף הכרעה ביחס לעוול</w:t>
      </w:r>
      <w:r w:rsidRPr="00DD0014">
        <w:rPr>
          <w:rFonts w:cs="Times New Roman"/>
          <w:sz w:val="20"/>
          <w:szCs w:val="20"/>
          <w:rtl/>
        </w:rPr>
        <w:t xml:space="preserve">.  ו-ב. </w:t>
      </w:r>
      <w:r>
        <w:rPr>
          <w:rFonts w:cs="Times New Roman" w:hint="cs"/>
          <w:sz w:val="20"/>
          <w:szCs w:val="20"/>
          <w:rtl/>
        </w:rPr>
        <w:t xml:space="preserve">כי מדובר במצב חמור מאד עבור דמוקרטיה, כאשר </w:t>
      </w:r>
      <w:r w:rsidRPr="00DD0014">
        <w:rPr>
          <w:rFonts w:cs="Times New Roman"/>
          <w:sz w:val="20"/>
          <w:szCs w:val="20"/>
          <w:rtl/>
        </w:rPr>
        <w:t xml:space="preserve">הממשלה מפרה צו של רשות שלטונית אחרת. </w:t>
      </w:r>
    </w:p>
    <w:p w:rsidR="005366A8" w:rsidRPr="00DD0014" w:rsidRDefault="005366A8" w:rsidP="005366A8">
      <w:pPr>
        <w:pStyle w:val="NoSpacing"/>
        <w:rPr>
          <w:rFonts w:cs="Times New Roman"/>
          <w:sz w:val="20"/>
          <w:szCs w:val="20"/>
          <w:rtl/>
        </w:rPr>
      </w:pPr>
      <w:r w:rsidRPr="00DD0014">
        <w:rPr>
          <w:rFonts w:cs="Times New Roman"/>
          <w:sz w:val="20"/>
          <w:szCs w:val="20"/>
          <w:rtl/>
        </w:rPr>
        <w:t xml:space="preserve">אבל, הרטוריקה שליוותה את המכתב של קרפ </w:t>
      </w:r>
      <w:r>
        <w:rPr>
          <w:rFonts w:cs="Times New Roman"/>
          <w:sz w:val="20"/>
          <w:szCs w:val="20"/>
          <w:rtl/>
        </w:rPr>
        <w:t>–</w:t>
      </w:r>
      <w:r>
        <w:rPr>
          <w:rFonts w:cs="Times New Roman" w:hint="cs"/>
          <w:sz w:val="20"/>
          <w:szCs w:val="20"/>
          <w:rtl/>
        </w:rPr>
        <w:t xml:space="preserve"> ואני מסתמך כאן על קטע עיתונות </w:t>
      </w:r>
      <w:r>
        <w:rPr>
          <w:rFonts w:cs="Times New Roman"/>
          <w:sz w:val="20"/>
          <w:szCs w:val="20"/>
          <w:rtl/>
        </w:rPr>
        <w:t>–</w:t>
      </w:r>
      <w:r>
        <w:rPr>
          <w:rFonts w:cs="Times New Roman" w:hint="cs"/>
          <w:sz w:val="20"/>
          <w:szCs w:val="20"/>
          <w:rtl/>
        </w:rPr>
        <w:t xml:space="preserve"> </w:t>
      </w:r>
      <w:r w:rsidRPr="00DD0014">
        <w:rPr>
          <w:rFonts w:cs="Times New Roman"/>
          <w:sz w:val="20"/>
          <w:szCs w:val="20"/>
          <w:rtl/>
        </w:rPr>
        <w:t xml:space="preserve">מנסה לשכנע בדרך נוספת – נימוק ג'. </w:t>
      </w:r>
    </w:p>
    <w:p w:rsidR="005366A8" w:rsidRPr="00DD0014" w:rsidRDefault="005366A8" w:rsidP="005366A8">
      <w:pPr>
        <w:pStyle w:val="NoSpacing"/>
        <w:rPr>
          <w:rFonts w:cs="Times New Roman"/>
          <w:sz w:val="20"/>
          <w:szCs w:val="20"/>
          <w:rtl/>
        </w:rPr>
      </w:pPr>
      <w:r w:rsidRPr="00DD0014">
        <w:rPr>
          <w:rFonts w:cs="Times New Roman"/>
          <w:sz w:val="20"/>
          <w:szCs w:val="20"/>
          <w:rtl/>
        </w:rPr>
        <w:t xml:space="preserve">זו רטוריקה של "שכנוע בדבר התועלת". לא די בטענות יפות-נפש על תיקון עוול ועל </w:t>
      </w:r>
      <w:r>
        <w:rPr>
          <w:rFonts w:cs="Times New Roman" w:hint="cs"/>
          <w:sz w:val="20"/>
          <w:szCs w:val="20"/>
          <w:rtl/>
        </w:rPr>
        <w:t>הסכנה לאופייה הדמוקרטי של ישראל</w:t>
      </w:r>
      <w:r w:rsidRPr="00DD0014">
        <w:rPr>
          <w:rFonts w:cs="Times New Roman"/>
          <w:sz w:val="20"/>
          <w:szCs w:val="20"/>
          <w:rtl/>
        </w:rPr>
        <w:t xml:space="preserve">. אנחנו </w:t>
      </w:r>
      <w:r>
        <w:rPr>
          <w:rFonts w:cs="Times New Roman" w:hint="cs"/>
          <w:sz w:val="20"/>
          <w:szCs w:val="20"/>
          <w:rtl/>
        </w:rPr>
        <w:t>'</w:t>
      </w:r>
      <w:r w:rsidRPr="00DD0014">
        <w:rPr>
          <w:rFonts w:cs="Times New Roman"/>
          <w:sz w:val="20"/>
          <w:szCs w:val="20"/>
          <w:rtl/>
        </w:rPr>
        <w:t>חייבים</w:t>
      </w:r>
      <w:r>
        <w:rPr>
          <w:rFonts w:cs="Times New Roman" w:hint="cs"/>
          <w:sz w:val="20"/>
          <w:szCs w:val="20"/>
          <w:rtl/>
        </w:rPr>
        <w:t>' (במסגרת השיח)</w:t>
      </w:r>
      <w:r w:rsidRPr="00DD0014">
        <w:rPr>
          <w:rFonts w:cs="Times New Roman"/>
          <w:sz w:val="20"/>
          <w:szCs w:val="20"/>
          <w:rtl/>
        </w:rPr>
        <w:t xml:space="preserve"> להראות שציות לסעד יהיה מועיל</w:t>
      </w:r>
      <w:r>
        <w:rPr>
          <w:rFonts w:cs="Times New Roman" w:hint="cs"/>
          <w:sz w:val="20"/>
          <w:szCs w:val="20"/>
          <w:rtl/>
        </w:rPr>
        <w:t>;</w:t>
      </w:r>
      <w:r w:rsidRPr="00DD0014">
        <w:rPr>
          <w:rFonts w:cs="Times New Roman"/>
          <w:sz w:val="20"/>
          <w:szCs w:val="20"/>
          <w:rtl/>
        </w:rPr>
        <w:t xml:space="preserve"> ולא סתם מועיל, אלא "טוב ליהודים".  </w:t>
      </w:r>
    </w:p>
    <w:p w:rsidR="005366A8" w:rsidRPr="00DD0014" w:rsidRDefault="005366A8" w:rsidP="005366A8">
      <w:pPr>
        <w:pStyle w:val="NoSpacing"/>
        <w:rPr>
          <w:rFonts w:cs="Times New Roman"/>
          <w:sz w:val="20"/>
          <w:szCs w:val="20"/>
          <w:rtl/>
        </w:rPr>
      </w:pPr>
      <w:r w:rsidRPr="00DD0014">
        <w:rPr>
          <w:rFonts w:cs="Times New Roman"/>
          <w:sz w:val="20"/>
          <w:szCs w:val="20"/>
          <w:rtl/>
        </w:rPr>
        <w:t>זו פוליטיזציה חזקה של הזכויות, שכן ממהותה של זכות היא שהיא אינה מצדיקה את ההגנה שהיא מספקת לפעולה של אדם בכך שהפעולה היא מועילה, קל וחומר מועילה דווקא לקהילת הרוב. אם יש לי זכות לחופש ביטוי, אז יש לי זכות להגיד דברים שגויים ואפילו מסוכנים. חופש הביטוי שלי לא מותנה בכך שאומר דברים טובים, קל וחומר דברים שנועמים לאוזניה של קהילת הרוב. ואותו דבר אם יש לי זכות לשוויון</w:t>
      </w:r>
      <w:r>
        <w:rPr>
          <w:rFonts w:cs="Times New Roman" w:hint="cs"/>
          <w:sz w:val="20"/>
          <w:szCs w:val="20"/>
          <w:rtl/>
        </w:rPr>
        <w:t>:</w:t>
      </w:r>
      <w:r w:rsidRPr="00DD0014">
        <w:rPr>
          <w:rFonts w:cs="Times New Roman"/>
          <w:sz w:val="20"/>
          <w:szCs w:val="20"/>
          <w:rtl/>
        </w:rPr>
        <w:t xml:space="preserve"> אני לא צריך להוכיח שהשוויון שלי כערבי טוב ליהודים.</w:t>
      </w:r>
    </w:p>
    <w:p w:rsidR="005366A8" w:rsidRPr="00DD0014" w:rsidRDefault="005366A8" w:rsidP="005366A8">
      <w:pPr>
        <w:pStyle w:val="NoSpacing"/>
        <w:rPr>
          <w:rFonts w:cs="Times New Roman"/>
          <w:sz w:val="20"/>
          <w:szCs w:val="20"/>
          <w:rtl/>
        </w:rPr>
      </w:pPr>
      <w:r w:rsidRPr="00DD0014">
        <w:rPr>
          <w:rFonts w:cs="Times New Roman"/>
          <w:sz w:val="20"/>
          <w:szCs w:val="20"/>
          <w:rtl/>
        </w:rPr>
        <w:t>אבל בני אדם מעשיים שמכירים את</w:t>
      </w:r>
      <w:r>
        <w:rPr>
          <w:rFonts w:cs="Times New Roman"/>
          <w:sz w:val="20"/>
          <w:szCs w:val="20"/>
          <w:rtl/>
        </w:rPr>
        <w:t xml:space="preserve"> החברה הישראלית טוב </w:t>
      </w:r>
      <w:r w:rsidRPr="00DD0014">
        <w:rPr>
          <w:rFonts w:cs="Times New Roman"/>
          <w:sz w:val="20"/>
          <w:szCs w:val="20"/>
          <w:rtl/>
        </w:rPr>
        <w:t xml:space="preserve">נוקטים ברטוריקה אחרת. הם מתמקדים בתועלת של קהילת הרוב והם לפחות לא שוכחים להדגיש אותה. </w:t>
      </w:r>
    </w:p>
    <w:p w:rsidR="005366A8" w:rsidRPr="00DD0014" w:rsidRDefault="005366A8" w:rsidP="005366A8">
      <w:pPr>
        <w:pStyle w:val="NoSpacing"/>
        <w:rPr>
          <w:rFonts w:cs="Times New Roman"/>
          <w:sz w:val="20"/>
          <w:szCs w:val="20"/>
          <w:rtl/>
        </w:rPr>
      </w:pPr>
      <w:r w:rsidRPr="00DD0014">
        <w:rPr>
          <w:rFonts w:cs="Times New Roman"/>
          <w:sz w:val="20"/>
          <w:szCs w:val="20"/>
          <w:rtl/>
        </w:rPr>
        <w:t>כך אומר יו"ר ועד ההורים של מזרח ירושלים – שגם פסק הדין שניתן בעניינם הופר על ידי המדינה – פסק הדין הטיל חובה להקים 400 כיתות לימוד, השלמה למחסור ולקיפוח ארוך שנים. פסק הדין הוזכר במכתבה של קרפ</w:t>
      </w:r>
      <w:r>
        <w:rPr>
          <w:rFonts w:cs="Times New Roman" w:hint="cs"/>
          <w:sz w:val="20"/>
          <w:szCs w:val="20"/>
          <w:rtl/>
        </w:rPr>
        <w:t>.</w:t>
      </w:r>
      <w:r w:rsidRPr="00DD0014">
        <w:rPr>
          <w:rFonts w:cs="Times New Roman"/>
          <w:sz w:val="20"/>
          <w:szCs w:val="20"/>
          <w:rtl/>
        </w:rPr>
        <w:t xml:space="preserve"> </w:t>
      </w:r>
      <w:r>
        <w:rPr>
          <w:rFonts w:cs="Times New Roman" w:hint="cs"/>
          <w:sz w:val="20"/>
          <w:szCs w:val="20"/>
          <w:rtl/>
        </w:rPr>
        <w:t>יו"ר ועד ההורים</w:t>
      </w:r>
      <w:r w:rsidRPr="00DD0014">
        <w:rPr>
          <w:rFonts w:cs="Times New Roman"/>
          <w:sz w:val="20"/>
          <w:szCs w:val="20"/>
          <w:rtl/>
        </w:rPr>
        <w:t xml:space="preserve"> רואיין לעיתון. הוא לא מדבר בשם הצדק שמגיע לילדים ולהורים שהוא מייצג. הוא בוחר דווקא את המילים הבאות: </w:t>
      </w:r>
      <w:r w:rsidRPr="00DD0014">
        <w:rPr>
          <w:rFonts w:cs="Times New Roman"/>
          <w:sz w:val="20"/>
          <w:szCs w:val="20"/>
          <w:highlight w:val="yellow"/>
          <w:rtl/>
        </w:rPr>
        <w:t>"היום הממשלה מתעלמת מפסקי דין לטובת ערבים, אבל בהמשך היא תפסיק לכבד גם פסקי דין לטובת האזרחים היהודים".</w:t>
      </w:r>
    </w:p>
    <w:p w:rsidR="005366A8" w:rsidRPr="00DD0014" w:rsidRDefault="005366A8" w:rsidP="005366A8">
      <w:pPr>
        <w:pStyle w:val="NoSpacing"/>
        <w:rPr>
          <w:rFonts w:cs="Times New Roman"/>
          <w:sz w:val="20"/>
          <w:szCs w:val="20"/>
          <w:rtl/>
        </w:rPr>
      </w:pPr>
      <w:r w:rsidRPr="00DD0014">
        <w:rPr>
          <w:rFonts w:cs="Times New Roman"/>
          <w:sz w:val="20"/>
          <w:szCs w:val="20"/>
          <w:rtl/>
        </w:rPr>
        <w:t xml:space="preserve">וגם </w:t>
      </w:r>
      <w:r>
        <w:rPr>
          <w:rFonts w:cs="Times New Roman" w:hint="cs"/>
          <w:sz w:val="20"/>
          <w:szCs w:val="20"/>
          <w:rtl/>
        </w:rPr>
        <w:t>עו"ד קרפ לא מצליחה במציאות הקיימת להימנע מגיוס ה</w:t>
      </w:r>
      <w:r w:rsidRPr="00DD0014">
        <w:rPr>
          <w:rFonts w:cs="Times New Roman"/>
          <w:sz w:val="20"/>
          <w:szCs w:val="20"/>
          <w:rtl/>
        </w:rPr>
        <w:t xml:space="preserve">טיעון התועלתני – במובן של תועלתה של קהילת הרוב: </w:t>
      </w:r>
    </w:p>
    <w:p w:rsidR="005366A8" w:rsidRPr="00DD0014" w:rsidRDefault="005366A8" w:rsidP="005366A8">
      <w:pPr>
        <w:pStyle w:val="NoSpacing"/>
        <w:rPr>
          <w:rFonts w:cs="Times New Roman"/>
          <w:sz w:val="20"/>
          <w:szCs w:val="20"/>
          <w:rtl/>
        </w:rPr>
      </w:pPr>
      <w:r w:rsidRPr="00DD0014">
        <w:rPr>
          <w:rFonts w:cs="Times New Roman"/>
          <w:sz w:val="20"/>
          <w:szCs w:val="20"/>
          <w:rtl/>
        </w:rPr>
        <w:t xml:space="preserve">היא מצביעה אמנם גם על הפגיעה בצדק כלפי האזרחים החלשים שזכותם הופרה והסעד שקיבלו לא יושם. היא רומזת גם לחשש מאנרכיה, אך היא </w:t>
      </w:r>
      <w:r>
        <w:rPr>
          <w:rFonts w:cs="Times New Roman" w:hint="cs"/>
          <w:sz w:val="20"/>
          <w:szCs w:val="20"/>
          <w:rtl/>
        </w:rPr>
        <w:t>מוסיפה</w:t>
      </w:r>
      <w:r w:rsidRPr="00DD0014">
        <w:rPr>
          <w:rFonts w:cs="Times New Roman"/>
          <w:sz w:val="20"/>
          <w:szCs w:val="20"/>
          <w:rtl/>
        </w:rPr>
        <w:t>: "</w:t>
      </w:r>
      <w:r w:rsidRPr="00DD0014">
        <w:rPr>
          <w:rFonts w:cs="Times New Roman"/>
          <w:sz w:val="20"/>
          <w:szCs w:val="20"/>
          <w:highlight w:val="yellow"/>
          <w:rtl/>
        </w:rPr>
        <w:t>אני נרעשת מההשלכות הקונקרטיות של אי הציות. למשל: שעשרות אלפי תלמידים תושבי מזרח ירושלים לומדים במוסדות של הוואקף. מערכת החינוך של המדינה מפרה את זכותם לחינוך חינם ומתעלמת מההשלכות של חינוך במוסדות הללו על אופייה העתידי של אוכלוסיית ירושלים ה'מאוחדת'".</w:t>
      </w:r>
      <w:r>
        <w:rPr>
          <w:rFonts w:cs="Times New Roman" w:hint="cs"/>
          <w:sz w:val="20"/>
          <w:szCs w:val="20"/>
          <w:rtl/>
        </w:rPr>
        <w:t>]</w:t>
      </w:r>
      <w:r w:rsidRPr="00DD0014">
        <w:rPr>
          <w:rFonts w:cs="Times New Roman"/>
          <w:sz w:val="20"/>
          <w:szCs w:val="20"/>
          <w:rtl/>
        </w:rPr>
        <w:t xml:space="preserve"> </w:t>
      </w:r>
    </w:p>
    <w:p w:rsidR="005366A8" w:rsidRDefault="005366A8" w:rsidP="005366A8">
      <w:pPr>
        <w:pStyle w:val="T-body"/>
        <w:spacing w:line="240" w:lineRule="auto"/>
        <w:ind w:hanging="28"/>
        <w:rPr>
          <w:sz w:val="20"/>
          <w:szCs w:val="20"/>
          <w:rtl/>
        </w:rPr>
      </w:pPr>
    </w:p>
    <w:p w:rsidR="005366A8" w:rsidRPr="00BA6284" w:rsidRDefault="005366A8" w:rsidP="005366A8">
      <w:pPr>
        <w:pStyle w:val="T-body"/>
        <w:spacing w:line="240" w:lineRule="auto"/>
        <w:ind w:hanging="28"/>
        <w:rPr>
          <w:rFonts w:cs="David"/>
          <w:i/>
          <w:iCs/>
          <w:sz w:val="20"/>
          <w:szCs w:val="20"/>
          <w:rtl/>
        </w:rPr>
      </w:pPr>
      <w:r>
        <w:rPr>
          <w:rFonts w:hint="cs"/>
          <w:sz w:val="20"/>
          <w:szCs w:val="20"/>
          <w:rtl/>
        </w:rPr>
        <w:t>=-=</w:t>
      </w:r>
      <w:r w:rsidRPr="00DD0014">
        <w:rPr>
          <w:sz w:val="20"/>
          <w:szCs w:val="20"/>
          <w:rtl/>
        </w:rPr>
        <w:br/>
      </w:r>
      <w:r w:rsidRPr="00756046">
        <w:rPr>
          <w:rFonts w:cs="David" w:hint="cs"/>
          <w:b/>
          <w:bCs/>
          <w:sz w:val="20"/>
          <w:szCs w:val="20"/>
          <w:highlight w:val="yellow"/>
          <w:rtl/>
        </w:rPr>
        <w:t>תשובת עו"ד קרן דהרי-בן נון בשם היועץ המשפטי לממשלה למכתבה של עו"ד קרפ</w:t>
      </w:r>
      <w:r>
        <w:rPr>
          <w:rFonts w:cs="David" w:hint="cs"/>
          <w:i/>
          <w:iCs/>
          <w:sz w:val="20"/>
          <w:szCs w:val="20"/>
          <w:rtl/>
        </w:rPr>
        <w:t xml:space="preserve"> [התכתובת המלאה מצויה במודל; היא קריאת רשות]</w:t>
      </w:r>
    </w:p>
    <w:p w:rsidR="005366A8" w:rsidRPr="00D316D3" w:rsidRDefault="005366A8" w:rsidP="005366A8">
      <w:pPr>
        <w:pStyle w:val="T-body"/>
        <w:spacing w:line="240" w:lineRule="auto"/>
        <w:ind w:hanging="28"/>
        <w:rPr>
          <w:rFonts w:cs="David"/>
          <w:sz w:val="20"/>
          <w:szCs w:val="20"/>
          <w:rtl/>
        </w:rPr>
      </w:pPr>
    </w:p>
    <w:p w:rsidR="005366A8" w:rsidRDefault="005366A8" w:rsidP="005366A8">
      <w:pPr>
        <w:pStyle w:val="T-body"/>
        <w:spacing w:after="120" w:line="240" w:lineRule="auto"/>
        <w:ind w:hanging="28"/>
        <w:rPr>
          <w:rFonts w:cs="David"/>
          <w:b/>
          <w:bCs/>
          <w:sz w:val="20"/>
          <w:szCs w:val="20"/>
          <w:rtl/>
        </w:rPr>
      </w:pPr>
      <w:r w:rsidRPr="00756046">
        <w:rPr>
          <w:rFonts w:cs="David" w:hint="cs"/>
          <w:b/>
          <w:bCs/>
          <w:sz w:val="20"/>
          <w:szCs w:val="20"/>
          <w:u w:val="single"/>
          <w:rtl/>
        </w:rPr>
        <w:t>1)</w:t>
      </w:r>
      <w:r>
        <w:rPr>
          <w:rFonts w:cs="David" w:hint="cs"/>
          <w:b/>
          <w:bCs/>
          <w:sz w:val="20"/>
          <w:szCs w:val="20"/>
          <w:u w:val="single"/>
          <w:rtl/>
        </w:rPr>
        <w:t xml:space="preserve"> </w:t>
      </w:r>
      <w:r w:rsidRPr="00D316D3">
        <w:rPr>
          <w:rFonts w:cs="David" w:hint="cs"/>
          <w:b/>
          <w:bCs/>
          <w:sz w:val="20"/>
          <w:szCs w:val="20"/>
          <w:u w:val="single"/>
          <w:rtl/>
        </w:rPr>
        <w:t>בג"ץ 11163/03 ועדת המעקב העליונה לענייני הערבים בישראל נ' ראש הממשלה (עתירה נגד החלטות ממשלה בנוגע לאזורי עדיפות לאומית בנימוק שהן מפלות ישובים ערבים)</w:t>
      </w:r>
      <w:r w:rsidRPr="00D316D3">
        <w:rPr>
          <w:rFonts w:cs="David" w:hint="cs"/>
          <w:b/>
          <w:bCs/>
          <w:sz w:val="20"/>
          <w:szCs w:val="20"/>
          <w:rtl/>
        </w:rPr>
        <w:t xml:space="preserve"> </w:t>
      </w:r>
      <w:r w:rsidRPr="00D316D3">
        <w:rPr>
          <w:rFonts w:cs="David"/>
          <w:b/>
          <w:bCs/>
          <w:sz w:val="20"/>
          <w:szCs w:val="20"/>
          <w:rtl/>
        </w:rPr>
        <w:t>–</w:t>
      </w:r>
      <w:r w:rsidRPr="00D316D3">
        <w:rPr>
          <w:rFonts w:cs="David" w:hint="cs"/>
          <w:b/>
          <w:bCs/>
          <w:sz w:val="20"/>
          <w:szCs w:val="20"/>
          <w:rtl/>
        </w:rPr>
        <w:t xml:space="preserve"> </w:t>
      </w:r>
    </w:p>
    <w:p w:rsidR="005366A8" w:rsidRPr="00D316D3" w:rsidRDefault="005366A8" w:rsidP="005366A8">
      <w:pPr>
        <w:pStyle w:val="T-body"/>
        <w:spacing w:line="240" w:lineRule="auto"/>
        <w:ind w:hanging="28"/>
        <w:jc w:val="left"/>
        <w:rPr>
          <w:rFonts w:cs="David"/>
          <w:sz w:val="20"/>
          <w:szCs w:val="20"/>
          <w:rtl/>
        </w:rPr>
      </w:pPr>
      <w:r w:rsidRPr="00D316D3">
        <w:rPr>
          <w:rFonts w:cs="David" w:hint="cs"/>
          <w:sz w:val="20"/>
          <w:szCs w:val="20"/>
          <w:rtl/>
        </w:rPr>
        <w:t>פסק הדין משנת 2006 קבע כי החלטת הממשלה שאימצה את מפת אזורי העדיפות הלאומית בחינוך הינה בלתי חוקית. פסק הדין נשען על שני נדבכים: החלטת הממשלה בוטלה הן משום שהביאה לתוצאה המפלה לרעה יישובים ערביים לעומת יישובים יהודיים, והן משום שנתקבלה בחוסר סמכות, שכן קביעת אזורי עדיפות לאומית היא בבחינת הסדר ראשוני שצריך להיעשות בחקיקת הכנסת. בית המשפט קצב שנה להשלמת יישום פסק הדין.</w:t>
      </w:r>
    </w:p>
    <w:p w:rsidR="005366A8" w:rsidRPr="00D316D3" w:rsidRDefault="005366A8" w:rsidP="005366A8">
      <w:pPr>
        <w:pStyle w:val="T-body"/>
        <w:spacing w:line="240" w:lineRule="auto"/>
        <w:ind w:hanging="28"/>
        <w:jc w:val="left"/>
        <w:rPr>
          <w:rFonts w:cs="David"/>
          <w:sz w:val="20"/>
          <w:szCs w:val="20"/>
          <w:rtl/>
        </w:rPr>
      </w:pPr>
      <w:r w:rsidRPr="00D316D3">
        <w:rPr>
          <w:rFonts w:cs="David" w:hint="cs"/>
          <w:sz w:val="20"/>
          <w:szCs w:val="20"/>
          <w:rtl/>
        </w:rPr>
        <w:t xml:space="preserve">לעניין הסמכות, הוחלט להסדיר את הנושא באמצעות חקיקה ראשית. לצורך זה גובשה הצעת חוק אזורי עדיפות לאומית, המסמיכה את הממשלה להחליט על מתן הטבות לאזורי עדיפות לאומית. הכנסת אישרה את ההצעה במסגרת </w:t>
      </w:r>
      <w:r w:rsidRPr="00D316D3">
        <w:rPr>
          <w:rFonts w:cs="David"/>
          <w:sz w:val="20"/>
          <w:szCs w:val="20"/>
          <w:rtl/>
        </w:rPr>
        <w:t xml:space="preserve">חוק ההתייעלות הכלכלית (תיקוני חקיקה ליישום התכנית הכלכלית </w:t>
      </w:r>
      <w:r w:rsidRPr="00D316D3">
        <w:rPr>
          <w:rFonts w:cs="David" w:hint="cs"/>
          <w:sz w:val="20"/>
          <w:szCs w:val="20"/>
          <w:rtl/>
        </w:rPr>
        <w:t xml:space="preserve"> </w:t>
      </w:r>
      <w:r w:rsidRPr="00D316D3">
        <w:rPr>
          <w:rFonts w:cs="David"/>
          <w:sz w:val="20"/>
          <w:szCs w:val="20"/>
          <w:rtl/>
        </w:rPr>
        <w:t xml:space="preserve">לשנים </w:t>
      </w:r>
      <w:r w:rsidRPr="00D316D3">
        <w:rPr>
          <w:sz w:val="20"/>
          <w:szCs w:val="20"/>
          <w:cs/>
        </w:rPr>
        <w:t>‎</w:t>
      </w:r>
      <w:r w:rsidRPr="00D316D3">
        <w:rPr>
          <w:rFonts w:cs="David"/>
          <w:sz w:val="20"/>
          <w:szCs w:val="20"/>
          <w:rtl/>
          <w:cs/>
        </w:rPr>
        <w:t>2009</w:t>
      </w:r>
      <w:r w:rsidRPr="00D316D3">
        <w:rPr>
          <w:rFonts w:cs="David"/>
          <w:sz w:val="20"/>
          <w:szCs w:val="20"/>
          <w:rtl/>
        </w:rPr>
        <w:t xml:space="preserve"> ו-</w:t>
      </w:r>
      <w:r w:rsidRPr="00D316D3">
        <w:rPr>
          <w:sz w:val="20"/>
          <w:szCs w:val="20"/>
          <w:cs/>
        </w:rPr>
        <w:t>‎</w:t>
      </w:r>
      <w:r w:rsidRPr="00D316D3">
        <w:rPr>
          <w:rFonts w:cs="David"/>
          <w:sz w:val="20"/>
          <w:szCs w:val="20"/>
          <w:rtl/>
          <w:cs/>
        </w:rPr>
        <w:t>2010</w:t>
      </w:r>
      <w:r w:rsidRPr="00D316D3">
        <w:rPr>
          <w:rFonts w:cs="David"/>
          <w:sz w:val="20"/>
          <w:szCs w:val="20"/>
          <w:rtl/>
        </w:rPr>
        <w:t>), התשס"ט-</w:t>
      </w:r>
      <w:r w:rsidRPr="00D316D3">
        <w:rPr>
          <w:sz w:val="20"/>
          <w:szCs w:val="20"/>
          <w:cs/>
        </w:rPr>
        <w:t>‎</w:t>
      </w:r>
      <w:r w:rsidRPr="00D316D3">
        <w:rPr>
          <w:rFonts w:cs="David"/>
          <w:sz w:val="20"/>
          <w:szCs w:val="20"/>
          <w:rtl/>
          <w:cs/>
        </w:rPr>
        <w:t>2009</w:t>
      </w:r>
      <w:r w:rsidRPr="00D316D3">
        <w:rPr>
          <w:rFonts w:cs="David" w:hint="cs"/>
          <w:sz w:val="20"/>
          <w:szCs w:val="20"/>
          <w:rtl/>
        </w:rPr>
        <w:t xml:space="preserve">. </w:t>
      </w:r>
      <w:r w:rsidRPr="00D316D3">
        <w:rPr>
          <w:rFonts w:cs="David"/>
          <w:sz w:val="20"/>
          <w:szCs w:val="20"/>
          <w:rtl/>
        </w:rPr>
        <w:t xml:space="preserve"> </w:t>
      </w:r>
      <w:r w:rsidRPr="00D316D3">
        <w:rPr>
          <w:rFonts w:cs="David" w:hint="cs"/>
          <w:sz w:val="20"/>
          <w:szCs w:val="20"/>
          <w:rtl/>
        </w:rPr>
        <w:t xml:space="preserve">  </w:t>
      </w:r>
    </w:p>
    <w:p w:rsidR="005366A8" w:rsidRPr="00DD0014" w:rsidRDefault="005366A8" w:rsidP="005366A8">
      <w:pPr>
        <w:pStyle w:val="T-body"/>
        <w:spacing w:line="240" w:lineRule="auto"/>
        <w:ind w:hanging="28"/>
        <w:jc w:val="left"/>
        <w:rPr>
          <w:rFonts w:cs="David"/>
          <w:sz w:val="20"/>
          <w:szCs w:val="20"/>
          <w:rtl/>
        </w:rPr>
      </w:pPr>
      <w:r w:rsidRPr="00D316D3">
        <w:rPr>
          <w:rFonts w:cs="David" w:hint="cs"/>
          <w:sz w:val="20"/>
          <w:szCs w:val="20"/>
          <w:highlight w:val="yellow"/>
          <w:rtl/>
        </w:rPr>
        <w:t>באשר לביטול מפת אזורי העדיפות הלאומית בחינוך הנגועה באפליה, הוגשו מטעם משרד החינוך בקשות לדחיית מועד יישום פסק הדין. הבקשות הוגשו בשל הקשיים הרבים בהיערכות לקיום פסק הדין, כולל הצורך בפיטורין נרחבים של מורים ופגיעה בישובים שנהנו מההסדר הקודם. בשל חשיבות הנושא למשרד החינוך, הופיעה מנכ"לית משרד החינוך באופן אישי בפני בית המשפט, על מנת להסביר את צורכי המשרד והקשיים עמם הוא מתמודד ביישומם המיידי של הקריטריונים החלופיים למתן תמיכות תקציביות.</w:t>
      </w:r>
      <w:r w:rsidRPr="00D316D3">
        <w:rPr>
          <w:rFonts w:cs="David" w:hint="cs"/>
          <w:sz w:val="20"/>
          <w:szCs w:val="20"/>
          <w:rtl/>
        </w:rPr>
        <w:t xml:space="preserve"> בהקשר זה יצוין עוד כי </w:t>
      </w:r>
      <w:r w:rsidRPr="00D316D3">
        <w:rPr>
          <w:rFonts w:cs="David"/>
          <w:sz w:val="20"/>
          <w:szCs w:val="20"/>
          <w:rtl/>
        </w:rPr>
        <w:t>הקריטריונים החלופיים</w:t>
      </w:r>
      <w:r w:rsidRPr="00D316D3">
        <w:rPr>
          <w:rFonts w:cs="David" w:hint="cs"/>
          <w:sz w:val="20"/>
          <w:szCs w:val="20"/>
          <w:rtl/>
        </w:rPr>
        <w:t xml:space="preserve"> </w:t>
      </w:r>
      <w:r w:rsidRPr="00D316D3">
        <w:rPr>
          <w:rFonts w:cs="David"/>
          <w:sz w:val="20"/>
          <w:szCs w:val="20"/>
          <w:rtl/>
        </w:rPr>
        <w:t>שנקבעו הינם קריטריונים ענייניים ומקצועיים</w:t>
      </w:r>
      <w:r w:rsidRPr="00D316D3">
        <w:rPr>
          <w:rFonts w:cs="David" w:hint="cs"/>
          <w:sz w:val="20"/>
          <w:szCs w:val="20"/>
          <w:rtl/>
        </w:rPr>
        <w:t>,</w:t>
      </w:r>
      <w:r w:rsidRPr="00D316D3">
        <w:rPr>
          <w:rFonts w:cs="David"/>
          <w:sz w:val="20"/>
          <w:szCs w:val="20"/>
          <w:rtl/>
        </w:rPr>
        <w:t xml:space="preserve"> המתייחסים לכל רכיב בהטבות בנפרד, ולא על בסיס מפ</w:t>
      </w:r>
      <w:r w:rsidRPr="00D316D3">
        <w:rPr>
          <w:rFonts w:cs="David" w:hint="cs"/>
          <w:sz w:val="20"/>
          <w:szCs w:val="20"/>
          <w:rtl/>
        </w:rPr>
        <w:t xml:space="preserve">ת אזורי עדיפות לאומית </w:t>
      </w:r>
      <w:r w:rsidRPr="00D316D3">
        <w:rPr>
          <w:rFonts w:cs="David"/>
          <w:sz w:val="20"/>
          <w:szCs w:val="20"/>
          <w:rtl/>
        </w:rPr>
        <w:t>כזו או אחרת.</w:t>
      </w:r>
      <w:r w:rsidRPr="00D316D3">
        <w:rPr>
          <w:rFonts w:cs="David" w:hint="cs"/>
          <w:sz w:val="20"/>
          <w:szCs w:val="20"/>
          <w:rtl/>
        </w:rPr>
        <w:t xml:space="preserve"> מכל מקום, תחילה התבקשה ארכה למשך שנת הלימודים תשס"ח, ובהמשך הציג משרד החינוך תכנית ליישום פסק הדין באופן הדרגתי במשך חמש שנים.</w:t>
      </w:r>
      <w:r>
        <w:rPr>
          <w:rFonts w:cs="David" w:hint="cs"/>
          <w:sz w:val="20"/>
          <w:szCs w:val="20"/>
          <w:rtl/>
        </w:rPr>
        <w:t xml:space="preserve"> [...]</w:t>
      </w:r>
    </w:p>
    <w:p w:rsidR="005366A8" w:rsidRDefault="005366A8" w:rsidP="005366A8">
      <w:pPr>
        <w:pStyle w:val="T-body"/>
        <w:spacing w:line="240" w:lineRule="auto"/>
        <w:ind w:hanging="28"/>
        <w:rPr>
          <w:rFonts w:cs="David"/>
          <w:sz w:val="20"/>
          <w:szCs w:val="20"/>
          <w:rtl/>
        </w:rPr>
      </w:pPr>
      <w:r>
        <w:rPr>
          <w:rFonts w:cs="David" w:hint="cs"/>
          <w:sz w:val="20"/>
          <w:szCs w:val="20"/>
          <w:rtl/>
        </w:rPr>
        <w:t>=-=</w:t>
      </w:r>
    </w:p>
    <w:p w:rsidR="005366A8" w:rsidRDefault="005366A8" w:rsidP="005366A8">
      <w:pPr>
        <w:pStyle w:val="T-body"/>
        <w:spacing w:line="240" w:lineRule="auto"/>
        <w:ind w:hanging="28"/>
        <w:rPr>
          <w:rFonts w:cs="David"/>
          <w:sz w:val="20"/>
          <w:szCs w:val="20"/>
          <w:rtl/>
        </w:rPr>
      </w:pPr>
    </w:p>
    <w:p w:rsidR="005366A8" w:rsidRDefault="005366A8" w:rsidP="005366A8">
      <w:pPr>
        <w:pStyle w:val="T-body"/>
        <w:spacing w:line="240" w:lineRule="auto"/>
        <w:ind w:hanging="28"/>
        <w:rPr>
          <w:rFonts w:cs="David"/>
          <w:sz w:val="20"/>
          <w:szCs w:val="20"/>
          <w:rtl/>
        </w:rPr>
      </w:pPr>
    </w:p>
    <w:p w:rsidR="005366A8" w:rsidRDefault="005366A8" w:rsidP="005366A8">
      <w:pPr>
        <w:rPr>
          <w:rFonts w:cs="FrankRuehl"/>
          <w:highlight w:val="yellow"/>
          <w:rtl/>
        </w:rPr>
      </w:pPr>
      <w:r>
        <w:rPr>
          <w:rFonts w:cs="FrankRuehl" w:hint="cs"/>
          <w:highlight w:val="yellow"/>
          <w:rtl/>
        </w:rPr>
        <w:t xml:space="preserve">בסופו של דבר החלטתי ללמד </w:t>
      </w:r>
      <w:r w:rsidRPr="001852F1">
        <w:rPr>
          <w:rFonts w:cs="FrankRuehl" w:hint="cs"/>
          <w:highlight w:val="yellow"/>
          <w:rtl/>
        </w:rPr>
        <w:t xml:space="preserve">בפגישה </w:t>
      </w:r>
      <w:r>
        <w:rPr>
          <w:rFonts w:cs="FrankRuehl" w:hint="cs"/>
          <w:highlight w:val="yellow"/>
          <w:rtl/>
        </w:rPr>
        <w:t xml:space="preserve">הבאה את הנושא של </w:t>
      </w:r>
      <w:r w:rsidRPr="001852F1">
        <w:rPr>
          <w:rFonts w:cs="FrankRuehl" w:hint="cs"/>
          <w:highlight w:val="yellow"/>
          <w:rtl/>
        </w:rPr>
        <w:t>"</w:t>
      </w:r>
      <w:r>
        <w:rPr>
          <w:rFonts w:cs="FrankRuehl" w:hint="cs"/>
          <w:highlight w:val="yellow"/>
          <w:rtl/>
        </w:rPr>
        <w:t>ה</w:t>
      </w:r>
      <w:r w:rsidRPr="001852F1">
        <w:rPr>
          <w:rFonts w:cs="FrankRuehl" w:hint="cs"/>
          <w:highlight w:val="yellow"/>
          <w:rtl/>
        </w:rPr>
        <w:t xml:space="preserve">שלטון המקומי", כלומר </w:t>
      </w:r>
      <w:r>
        <w:rPr>
          <w:rFonts w:cs="FrankRuehl" w:hint="cs"/>
          <w:highlight w:val="yellow"/>
          <w:rtl/>
        </w:rPr>
        <w:t>ה</w:t>
      </w:r>
      <w:r w:rsidRPr="001852F1">
        <w:rPr>
          <w:rFonts w:cs="FrankRuehl" w:hint="cs"/>
          <w:highlight w:val="yellow"/>
          <w:rtl/>
        </w:rPr>
        <w:t>רשויות המקומיות.</w:t>
      </w:r>
      <w:r>
        <w:rPr>
          <w:rFonts w:cs="FrankRuehl" w:hint="cs"/>
          <w:highlight w:val="yellow"/>
          <w:rtl/>
        </w:rPr>
        <w:t xml:space="preserve"> הנושא של היועץ המשפטי (שיועבר על ידי המתרגלת מאיסאנה) הוא שיידחה לסמסטר ב'. </w:t>
      </w:r>
    </w:p>
    <w:p w:rsidR="005366A8" w:rsidRPr="001852F1" w:rsidRDefault="005366A8" w:rsidP="005366A8">
      <w:pPr>
        <w:rPr>
          <w:rFonts w:cs="FrankRuehl"/>
          <w:rtl/>
        </w:rPr>
      </w:pPr>
      <w:r w:rsidRPr="0082093F">
        <w:rPr>
          <w:rFonts w:cs="FrankRuehl" w:hint="cs"/>
          <w:rtl/>
        </w:rPr>
        <w:t>אנא קראו את הדפים שלהלן וכן את חומר הקריאה שאליו אני מפנה בסוף.</w:t>
      </w:r>
    </w:p>
    <w:p w:rsidR="005366A8" w:rsidRDefault="005366A8" w:rsidP="005366A8">
      <w:pPr>
        <w:rPr>
          <w:rFonts w:cs="FrankRuehl"/>
          <w:sz w:val="22"/>
          <w:szCs w:val="22"/>
          <w:rtl/>
        </w:rPr>
      </w:pPr>
    </w:p>
    <w:p w:rsidR="005366A8" w:rsidRPr="0082093F" w:rsidRDefault="005366A8" w:rsidP="005366A8">
      <w:pPr>
        <w:pStyle w:val="T-body"/>
        <w:spacing w:line="240" w:lineRule="auto"/>
        <w:ind w:hanging="28"/>
        <w:jc w:val="center"/>
        <w:rPr>
          <w:rFonts w:ascii="Arial" w:hAnsi="Arial" w:cs="Guttman-Soncino"/>
          <w:b/>
          <w:bCs/>
          <w:sz w:val="32"/>
          <w:szCs w:val="32"/>
          <w:highlight w:val="yellow"/>
          <w:rtl/>
        </w:rPr>
      </w:pPr>
      <w:r w:rsidRPr="0082093F">
        <w:rPr>
          <w:rFonts w:ascii="Arial" w:hAnsi="Arial" w:cs="Guttman-Soncino" w:hint="cs"/>
          <w:b/>
          <w:bCs/>
          <w:sz w:val="32"/>
          <w:szCs w:val="32"/>
          <w:highlight w:val="yellow"/>
          <w:rtl/>
        </w:rPr>
        <w:t xml:space="preserve">השלטון המקומי בישראל: </w:t>
      </w:r>
    </w:p>
    <w:p w:rsidR="005366A8" w:rsidRPr="001852F1" w:rsidRDefault="005366A8" w:rsidP="005366A8">
      <w:pPr>
        <w:pStyle w:val="T-body"/>
        <w:spacing w:line="240" w:lineRule="auto"/>
        <w:ind w:hanging="28"/>
        <w:jc w:val="center"/>
        <w:rPr>
          <w:rFonts w:ascii="Arial" w:hAnsi="Arial" w:cs="Guttman-Soncino"/>
          <w:b/>
          <w:bCs/>
          <w:sz w:val="28"/>
          <w:szCs w:val="28"/>
          <w:rtl/>
        </w:rPr>
      </w:pPr>
      <w:r w:rsidRPr="0082093F">
        <w:rPr>
          <w:rFonts w:ascii="Arial" w:hAnsi="Arial" w:cs="Guttman-Soncino" w:hint="cs"/>
          <w:b/>
          <w:bCs/>
          <w:sz w:val="32"/>
          <w:szCs w:val="32"/>
          <w:highlight w:val="yellow"/>
          <w:rtl/>
        </w:rPr>
        <w:t>רשויות מקומיות (עיר, מועצה מקומית, מועצה אזורית)</w:t>
      </w:r>
    </w:p>
    <w:p w:rsidR="005366A8" w:rsidRPr="0026534E" w:rsidRDefault="005366A8" w:rsidP="005366A8">
      <w:pPr>
        <w:pStyle w:val="T-body"/>
        <w:spacing w:line="240" w:lineRule="auto"/>
        <w:ind w:hanging="28"/>
        <w:rPr>
          <w:sz w:val="22"/>
          <w:szCs w:val="22"/>
          <w:rtl/>
        </w:rPr>
      </w:pPr>
    </w:p>
    <w:p w:rsidR="005366A8" w:rsidRPr="0038123F" w:rsidRDefault="005366A8" w:rsidP="005366A8">
      <w:pPr>
        <w:pStyle w:val="T-body"/>
        <w:spacing w:line="240" w:lineRule="auto"/>
        <w:ind w:hanging="28"/>
        <w:rPr>
          <w:i/>
          <w:iCs/>
          <w:sz w:val="22"/>
          <w:szCs w:val="22"/>
          <w:rtl/>
        </w:rPr>
      </w:pPr>
      <w:r w:rsidRPr="0082093F">
        <w:rPr>
          <w:rFonts w:hint="cs"/>
          <w:i/>
          <w:iCs/>
          <w:sz w:val="22"/>
          <w:szCs w:val="22"/>
          <w:rtl/>
        </w:rPr>
        <w:t>הדיון בפסקאות הקרובות לקוח מנוסח הרצאתו של ד"ר ישי בלנק בכנס סיכום שנת המשפט (אונ' חיפה, אוקטובר 2010).</w:t>
      </w:r>
    </w:p>
    <w:p w:rsidR="005366A8" w:rsidRDefault="005366A8" w:rsidP="005366A8">
      <w:pPr>
        <w:pStyle w:val="T-body"/>
        <w:spacing w:line="240" w:lineRule="auto"/>
        <w:ind w:hanging="28"/>
        <w:rPr>
          <w:sz w:val="22"/>
          <w:szCs w:val="22"/>
          <w:rtl/>
        </w:rPr>
      </w:pPr>
    </w:p>
    <w:p w:rsidR="005366A8" w:rsidRDefault="005366A8" w:rsidP="005366A8">
      <w:pPr>
        <w:pStyle w:val="T-body"/>
        <w:spacing w:line="240" w:lineRule="auto"/>
        <w:ind w:hanging="28"/>
        <w:rPr>
          <w:sz w:val="22"/>
          <w:szCs w:val="22"/>
          <w:rtl/>
        </w:rPr>
      </w:pPr>
      <w:r w:rsidRPr="0038123F">
        <w:rPr>
          <w:rFonts w:hint="cs"/>
          <w:sz w:val="22"/>
          <w:szCs w:val="22"/>
          <w:rtl/>
        </w:rPr>
        <w:t xml:space="preserve">לפי </w:t>
      </w:r>
      <w:r w:rsidRPr="0038123F">
        <w:rPr>
          <w:rFonts w:hint="cs"/>
          <w:b/>
          <w:bCs/>
          <w:sz w:val="22"/>
          <w:szCs w:val="22"/>
          <w:rtl/>
        </w:rPr>
        <w:t>התפיסה הבירוקרטית</w:t>
      </w:r>
      <w:r w:rsidRPr="0038123F">
        <w:rPr>
          <w:rFonts w:hint="cs"/>
          <w:sz w:val="22"/>
          <w:szCs w:val="22"/>
          <w:rtl/>
        </w:rPr>
        <w:t xml:space="preserve">, רשויות מקומיות אינן אלא זרועו הארוכה של השלטון המרכזי, שהוקמו לשם "נוחות אדמיניסטרטיבית-ניהולית." לפי תפיסה זו, הן מהוות מעין "סניפים" של משרדי הממשלה הפזורים בכל רחבי הארץ. הדגש הוא על היותן של הרשויות המקומיות "רשויות" מנהל </w:t>
      </w:r>
      <w:r w:rsidRPr="0038123F">
        <w:rPr>
          <w:sz w:val="22"/>
          <w:szCs w:val="22"/>
          <w:rtl/>
        </w:rPr>
        <w:t>–</w:t>
      </w:r>
      <w:r w:rsidRPr="0038123F">
        <w:rPr>
          <w:rFonts w:hint="cs"/>
          <w:sz w:val="22"/>
          <w:szCs w:val="22"/>
          <w:rtl/>
        </w:rPr>
        <w:t xml:space="preserve"> ולא שלטון </w:t>
      </w:r>
      <w:r w:rsidRPr="0038123F">
        <w:rPr>
          <w:sz w:val="22"/>
          <w:szCs w:val="22"/>
          <w:rtl/>
        </w:rPr>
        <w:t>–</w:t>
      </w:r>
      <w:r w:rsidRPr="0038123F">
        <w:rPr>
          <w:rFonts w:hint="cs"/>
          <w:sz w:val="22"/>
          <w:szCs w:val="22"/>
          <w:rtl/>
        </w:rPr>
        <w:t xml:space="preserve"> וספקיות שירותים עבור תושביהן. לפי תפיסה זו, הרשויות המקומיות הן יצור "מלאכותי" במובן זה שגבולותיהן יכולים להשתנות בהחלטה מנהלית והן נתפסות כיצור שהוא משפטי בעיקרו ולא חברתי.</w:t>
      </w:r>
    </w:p>
    <w:p w:rsidR="005366A8" w:rsidRDefault="005366A8" w:rsidP="005366A8">
      <w:pPr>
        <w:pStyle w:val="T-body"/>
        <w:spacing w:line="240" w:lineRule="auto"/>
        <w:ind w:hanging="28"/>
        <w:rPr>
          <w:sz w:val="22"/>
          <w:szCs w:val="22"/>
          <w:rtl/>
        </w:rPr>
      </w:pPr>
    </w:p>
    <w:p w:rsidR="005366A8" w:rsidRPr="00C702A3" w:rsidRDefault="005366A8" w:rsidP="005366A8">
      <w:pPr>
        <w:pStyle w:val="T-body"/>
        <w:spacing w:line="240" w:lineRule="auto"/>
        <w:ind w:hanging="28"/>
        <w:rPr>
          <w:sz w:val="22"/>
          <w:szCs w:val="22"/>
          <w:rtl/>
        </w:rPr>
      </w:pPr>
      <w:r w:rsidRPr="00C702A3">
        <w:rPr>
          <w:rFonts w:hint="cs"/>
          <w:sz w:val="22"/>
          <w:szCs w:val="22"/>
          <w:rtl/>
        </w:rPr>
        <w:t xml:space="preserve">לפי </w:t>
      </w:r>
      <w:r w:rsidRPr="005667EA">
        <w:rPr>
          <w:rFonts w:hint="cs"/>
          <w:b/>
          <w:bCs/>
          <w:sz w:val="22"/>
          <w:szCs w:val="22"/>
          <w:rtl/>
        </w:rPr>
        <w:t>התפיסה הדמוקרטית</w:t>
      </w:r>
      <w:r w:rsidRPr="00C702A3">
        <w:rPr>
          <w:rFonts w:hint="cs"/>
          <w:sz w:val="22"/>
          <w:szCs w:val="22"/>
          <w:rtl/>
        </w:rPr>
        <w:t>, הרשות המקומית היא הרבה יותר מספקית שירותים "מקומיים" עבור השלטון המרכזי. היא ביטוי לערך העליון של שליטה-עצמית, המונח בבסיס הדמוקרטיה, והיא מבטאת את תרבותן של קהילות שונות. הגבולות המקומיים מבטאים לא חלוקה שרירותית-מנהלתית של הטריטוריה הלאומית, אלא את ההתארגנות המרחבית העצמאית של אותן קהילות. גם לגישה זו ישנם ביטויים משפטיים, הפוכים לגישה הבירוקרטית: לפי גישה זו, הסמכת השלטון המקומי תהיה רחבה ותותיר לרשויות מרחב פעולה בתחום הרשות המקומית, גם בתחומים שאינם קבועים מראש; לרשות המקומית יינתן שיקול דעת רחב יותר משל רשויות מנהליות אחרות, שכן הוא מבטא לא רק בירוקרטיה אלא גם את רצונה של הקהילה המקומית.</w:t>
      </w:r>
    </w:p>
    <w:p w:rsidR="005366A8" w:rsidRDefault="005366A8" w:rsidP="005366A8">
      <w:pPr>
        <w:pStyle w:val="T-body"/>
        <w:spacing w:line="240" w:lineRule="auto"/>
        <w:ind w:hanging="28"/>
        <w:rPr>
          <w:sz w:val="22"/>
          <w:szCs w:val="22"/>
          <w:rtl/>
        </w:rPr>
      </w:pPr>
    </w:p>
    <w:p w:rsidR="005366A8" w:rsidRDefault="005366A8" w:rsidP="005366A8">
      <w:pPr>
        <w:pStyle w:val="T-body"/>
        <w:spacing w:line="240" w:lineRule="auto"/>
        <w:ind w:hanging="28"/>
        <w:rPr>
          <w:sz w:val="22"/>
          <w:szCs w:val="22"/>
          <w:rtl/>
        </w:rPr>
      </w:pPr>
      <w:r w:rsidRPr="005667EA">
        <w:rPr>
          <w:rFonts w:hint="cs"/>
          <w:sz w:val="22"/>
          <w:szCs w:val="22"/>
          <w:rtl/>
        </w:rPr>
        <w:t xml:space="preserve">חסידי התפיסה הבירוקרטית נסמכים על אופן ההסמכה המפורט בפקודת העיריות, על הצורך בקבלת אישורים ממשרד הפנים על פעולות רבות של השלטון המקומי (חקיקת חוקי עזר, תקציב, כריתת חוזים שונים ועוד), על היעדר הגנה חוקתית לזכות לשלטון עצמי מקומי, ועל מסורת ארוכת שנים בבית המשפט העליון שהחלה כבר בפסק הדין הנודע בעניין </w:t>
      </w:r>
      <w:r w:rsidRPr="005667EA">
        <w:rPr>
          <w:rFonts w:hint="cs"/>
          <w:sz w:val="22"/>
          <w:szCs w:val="22"/>
          <w:u w:val="single"/>
          <w:rtl/>
        </w:rPr>
        <w:t>חת נ' עיריית חיפה</w:t>
      </w:r>
      <w:r w:rsidRPr="005667EA">
        <w:rPr>
          <w:rFonts w:hint="cs"/>
          <w:sz w:val="22"/>
          <w:szCs w:val="22"/>
          <w:rtl/>
        </w:rPr>
        <w:t xml:space="preserve">, לפיה רשויות מקומיות אינן אלא "יציר המחוקק" ואין להן כל סמכות אלא מה שנתן להן המחוקק. </w:t>
      </w:r>
    </w:p>
    <w:p w:rsidR="005366A8" w:rsidRDefault="005366A8" w:rsidP="005366A8">
      <w:pPr>
        <w:pStyle w:val="T-body"/>
        <w:spacing w:line="240" w:lineRule="auto"/>
        <w:ind w:hanging="28"/>
        <w:rPr>
          <w:sz w:val="22"/>
          <w:szCs w:val="22"/>
          <w:rtl/>
        </w:rPr>
      </w:pPr>
      <w:r w:rsidRPr="005667EA">
        <w:rPr>
          <w:rFonts w:hint="cs"/>
          <w:sz w:val="22"/>
          <w:szCs w:val="22"/>
          <w:rtl/>
        </w:rPr>
        <w:t>מאידך, גם לתומכי הגישה הדמוקרטית יש על מה לסמוך: למרות שהחקיקה מסמיכה את הרשויות באופן פרטני, היא כוללת גם הסמכה כללית לעשות "</w:t>
      </w:r>
      <w:r w:rsidRPr="005667EA">
        <w:rPr>
          <w:rFonts w:cs="David" w:hint="cs"/>
          <w:sz w:val="22"/>
          <w:szCs w:val="22"/>
          <w:rtl/>
        </w:rPr>
        <w:t>לעשות בדרך כלל, כל מעשה הדרוש לשם שמירה על תחום העירייה, בריאות הציבור והביטחון בו (ס' 249(29) לפק' העיריות)</w:t>
      </w:r>
      <w:r w:rsidRPr="005667EA">
        <w:rPr>
          <w:rFonts w:hint="cs"/>
          <w:sz w:val="22"/>
          <w:szCs w:val="22"/>
          <w:rtl/>
        </w:rPr>
        <w:t>"; הרשויות המקומיות עוסקות, כבשגרה, בסוגיות מורכבות של דת ומדינה, הקצאות, חינוך, סעד ורווחה, טיפול במהגרים ועוד סוגיות הרחוקות מאוד מהדימוי הטכני והלוקאלי של העמדה הבירוקרטית; אחרון, ואולי חשוב מכל: הרשויות המקומיות אינן גופי מנהל רגילים: הם הגוף השלטוני היחיד, למעט הכנסת, אשר נבחר בבחירות ישירות על ידי כלל התושבים.</w:t>
      </w:r>
    </w:p>
    <w:p w:rsidR="005366A8" w:rsidRPr="0026534E" w:rsidRDefault="005366A8" w:rsidP="005366A8">
      <w:pPr>
        <w:pStyle w:val="T-body"/>
        <w:spacing w:line="240" w:lineRule="auto"/>
        <w:ind w:hanging="28"/>
        <w:rPr>
          <w:sz w:val="22"/>
          <w:szCs w:val="22"/>
          <w:rtl/>
        </w:rPr>
      </w:pPr>
    </w:p>
    <w:p w:rsidR="005366A8" w:rsidRDefault="005366A8" w:rsidP="005366A8">
      <w:pPr>
        <w:pStyle w:val="T-body"/>
        <w:spacing w:line="240" w:lineRule="auto"/>
        <w:ind w:hanging="28"/>
        <w:rPr>
          <w:sz w:val="22"/>
          <w:szCs w:val="22"/>
          <w:rtl/>
        </w:rPr>
      </w:pPr>
      <w:r>
        <w:rPr>
          <w:rFonts w:hint="cs"/>
          <w:sz w:val="22"/>
          <w:szCs w:val="22"/>
          <w:rtl/>
        </w:rPr>
        <w:t xml:space="preserve">בעקבות המשבר הכלכלי הגדול של הרשויות המקומיות, בשנת 2004, </w:t>
      </w:r>
      <w:r w:rsidRPr="00163E5A">
        <w:rPr>
          <w:rFonts w:hint="cs"/>
          <w:sz w:val="22"/>
          <w:szCs w:val="22"/>
          <w:rtl/>
        </w:rPr>
        <w:t xml:space="preserve">ניתנו יותר ויותר כוחות פיקוח מרכזיים על פעולות רשויות מקומיות, לרבות אפשרות למנות חשב מלווה וגזבר מלווה, ולפזר מועצה נבחרת ושל ראש רשות נבחר והחלפתם בגורמים ממונים בשל עילות נוספות. סמכויות אלה לא נותרו אות מתה, להיפך: בעוד שמאז קום המדינה ועד 2004 הוקמו 36 </w:t>
      </w:r>
      <w:r>
        <w:rPr>
          <w:rFonts w:hint="cs"/>
          <w:sz w:val="22"/>
          <w:szCs w:val="22"/>
          <w:rtl/>
        </w:rPr>
        <w:t>"</w:t>
      </w:r>
      <w:r w:rsidRPr="00163E5A">
        <w:rPr>
          <w:rFonts w:hint="cs"/>
          <w:sz w:val="22"/>
          <w:szCs w:val="22"/>
          <w:rtl/>
        </w:rPr>
        <w:t>ועדות קרואות</w:t>
      </w:r>
      <w:r>
        <w:rPr>
          <w:rFonts w:hint="cs"/>
          <w:sz w:val="22"/>
          <w:szCs w:val="22"/>
          <w:rtl/>
        </w:rPr>
        <w:t>"</w:t>
      </w:r>
      <w:r w:rsidRPr="00163E5A">
        <w:rPr>
          <w:rFonts w:hint="cs"/>
          <w:sz w:val="22"/>
          <w:szCs w:val="22"/>
          <w:rtl/>
        </w:rPr>
        <w:t xml:space="preserve"> (כוועדה אחת בכל שנה וחצי בממוצע), הרי שמאז 2004 </w:t>
      </w:r>
      <w:r w:rsidRPr="00163E5A">
        <w:rPr>
          <w:sz w:val="22"/>
          <w:szCs w:val="22"/>
          <w:rtl/>
        </w:rPr>
        <w:t>–</w:t>
      </w:r>
      <w:r w:rsidRPr="00163E5A">
        <w:rPr>
          <w:rFonts w:hint="cs"/>
          <w:sz w:val="22"/>
          <w:szCs w:val="22"/>
          <w:rtl/>
        </w:rPr>
        <w:t xml:space="preserve"> במהלך שש שנים בלבד </w:t>
      </w:r>
      <w:r w:rsidRPr="00163E5A">
        <w:rPr>
          <w:sz w:val="22"/>
          <w:szCs w:val="22"/>
          <w:rtl/>
        </w:rPr>
        <w:t>–</w:t>
      </w:r>
      <w:r w:rsidRPr="00163E5A">
        <w:rPr>
          <w:rFonts w:hint="cs"/>
          <w:sz w:val="22"/>
          <w:szCs w:val="22"/>
          <w:rtl/>
        </w:rPr>
        <w:t xml:space="preserve"> הוקם אותו מספר של ועדות קרואות! </w:t>
      </w:r>
    </w:p>
    <w:p w:rsidR="005366A8" w:rsidRPr="0026534E" w:rsidRDefault="005366A8" w:rsidP="005366A8">
      <w:pPr>
        <w:pStyle w:val="T-body"/>
        <w:spacing w:line="240" w:lineRule="auto"/>
        <w:ind w:hanging="28"/>
        <w:rPr>
          <w:sz w:val="22"/>
          <w:szCs w:val="22"/>
          <w:rtl/>
        </w:rPr>
      </w:pPr>
      <w:r w:rsidRPr="00163E5A">
        <w:rPr>
          <w:rFonts w:hint="cs"/>
          <w:sz w:val="22"/>
          <w:szCs w:val="22"/>
          <w:rtl/>
        </w:rPr>
        <w:t>השינוי החוקי בשנת 2004 היה דרמטי: לשר הפנים נוספה סמכות מפורשת (ס' 143א(ב)) למנות ועדה קרואה במקרים של גירעונות תקציביים גדולים ושיעורי גביית ארנונה נמוכים בהתאם לשיעורים אותם קבעו שרי האוצר והפנים בתקנות, בשלושה מדרגים: הראשון הוא שיעור גרעון או גביה בו חובה על שר הפנים למנות ועדה, שיעור בו רשאי שר הפנים למנות ועדה ושיעור בו הוא אינו יכול למנות ועדה קרואה כאמור.</w:t>
      </w:r>
    </w:p>
    <w:p w:rsidR="005366A8" w:rsidRDefault="005366A8" w:rsidP="005366A8">
      <w:pPr>
        <w:pStyle w:val="T-body"/>
        <w:spacing w:line="240" w:lineRule="auto"/>
        <w:ind w:hanging="28"/>
        <w:rPr>
          <w:sz w:val="22"/>
          <w:szCs w:val="22"/>
          <w:rtl/>
        </w:rPr>
      </w:pPr>
      <w:r>
        <w:rPr>
          <w:rFonts w:hint="cs"/>
          <w:sz w:val="22"/>
          <w:szCs w:val="22"/>
          <w:rtl/>
        </w:rPr>
        <w:t xml:space="preserve">[פסיקה </w:t>
      </w:r>
      <w:r>
        <w:rPr>
          <w:sz w:val="22"/>
          <w:szCs w:val="22"/>
          <w:rtl/>
        </w:rPr>
        <w:t>–</w:t>
      </w:r>
      <w:r>
        <w:rPr>
          <w:rFonts w:hint="cs"/>
          <w:sz w:val="22"/>
          <w:szCs w:val="22"/>
          <w:rtl/>
        </w:rPr>
        <w:t xml:space="preserve"> אמביוולנטית </w:t>
      </w:r>
      <w:r>
        <w:rPr>
          <w:sz w:val="22"/>
          <w:szCs w:val="22"/>
          <w:rtl/>
        </w:rPr>
        <w:t>–</w:t>
      </w:r>
      <w:r>
        <w:rPr>
          <w:rFonts w:hint="cs"/>
          <w:sz w:val="22"/>
          <w:szCs w:val="22"/>
          <w:rtl/>
        </w:rPr>
        <w:t xml:space="preserve"> עוסקת בהפעלת סמכות זו.  עיינו בה בתוך רשימתו של בלנק]</w:t>
      </w:r>
    </w:p>
    <w:p w:rsidR="005366A8" w:rsidRDefault="005366A8" w:rsidP="005366A8">
      <w:pPr>
        <w:pStyle w:val="T-body"/>
        <w:spacing w:line="240" w:lineRule="auto"/>
        <w:ind w:hanging="28"/>
        <w:rPr>
          <w:sz w:val="22"/>
          <w:szCs w:val="22"/>
          <w:rtl/>
        </w:rPr>
      </w:pPr>
      <w:r>
        <w:rPr>
          <w:rFonts w:hint="cs"/>
          <w:sz w:val="22"/>
          <w:szCs w:val="22"/>
          <w:rtl/>
        </w:rPr>
        <w:t>אחד מפסקי הדין מייצג את הגישה הזהירה יותר, המתחשבת יותר בתפיסה הדמוקרטית:</w:t>
      </w:r>
    </w:p>
    <w:p w:rsidR="005366A8" w:rsidRPr="0026534E" w:rsidRDefault="005366A8" w:rsidP="005366A8">
      <w:pPr>
        <w:pStyle w:val="T-body"/>
        <w:spacing w:line="240" w:lineRule="auto"/>
        <w:ind w:hanging="28"/>
        <w:rPr>
          <w:sz w:val="22"/>
          <w:szCs w:val="22"/>
          <w:rtl/>
        </w:rPr>
      </w:pPr>
      <w:r w:rsidRPr="002E0B83">
        <w:rPr>
          <w:rFonts w:hint="cs"/>
          <w:sz w:val="22"/>
          <w:szCs w:val="22"/>
          <w:rtl/>
        </w:rPr>
        <w:t xml:space="preserve">בעניין </w:t>
      </w:r>
      <w:r w:rsidRPr="002E0B83">
        <w:rPr>
          <w:rFonts w:hint="cs"/>
          <w:sz w:val="22"/>
          <w:szCs w:val="22"/>
          <w:u w:val="single"/>
          <w:rtl/>
        </w:rPr>
        <w:t>סלאמה נ' שר הפנים</w:t>
      </w:r>
      <w:r w:rsidRPr="002E0B83">
        <w:rPr>
          <w:rFonts w:hint="cs"/>
          <w:sz w:val="22"/>
          <w:szCs w:val="22"/>
          <w:rtl/>
        </w:rPr>
        <w:t xml:space="preserve"> נדונה שוב הסמכות החדשה של שר הפנים. בפרשה זו, בה נדון עניינה של עירית ירכא, שפוזרה אף היא מכוח ס' 143א לפקודת העיריות, הזדקק בית המשפט לבחון לא רק את יישומם של החוק ושל התקנות אלא גם להתמודד עם הטענה שהתקנות כלל אינן חוקתיות בשל פגיעתן הרבה בדמוקרטיה המקומית. בית המשפט שולל טענה זו ומבהיר כי אין לטעון שהפגיעה בדמוקרטיה המקומית אינה מידתית, שכן גם סמכות החובה כרוכה בשיקול דעת והיא מאזנת כראוי בין הזכות לדמוקרטיה מקומית (לבחור ולהיבחר) לבין האינטרסים השונים האחרים: קבלת שירותים, קבלת משכורת (לעובדי העירייה) ועוד. השופט מלצר מסביר כי למעשה יש לפרש סמכות זו </w:t>
      </w:r>
      <w:r w:rsidRPr="002E0B83">
        <w:rPr>
          <w:rFonts w:hint="cs"/>
          <w:b/>
          <w:bCs/>
          <w:sz w:val="22"/>
          <w:szCs w:val="22"/>
          <w:rtl/>
        </w:rPr>
        <w:t>רק באותם מקרים בהם ה"רשויות אינן מתפקדות ובהעדר שינוי יסודי, מבני וניהולי – אין צפי להשתקמותן."</w:t>
      </w:r>
      <w:r w:rsidRPr="002E0B83">
        <w:rPr>
          <w:rFonts w:cs="FrankRuehl" w:hint="cs"/>
          <w:sz w:val="28"/>
          <w:szCs w:val="28"/>
          <w:rtl/>
        </w:rPr>
        <w:t xml:space="preserve"> </w:t>
      </w:r>
      <w:r>
        <w:rPr>
          <w:rFonts w:hint="cs"/>
          <w:sz w:val="22"/>
          <w:szCs w:val="22"/>
          <w:rtl/>
        </w:rPr>
        <w:t xml:space="preserve">זאת </w:t>
      </w:r>
      <w:r w:rsidRPr="002E0B83">
        <w:rPr>
          <w:rFonts w:hint="cs"/>
          <w:sz w:val="22"/>
          <w:szCs w:val="22"/>
          <w:rtl/>
        </w:rPr>
        <w:t>כיוון שבמצבים אלה נפגעים הן תושבי הרשות, הן עובדי הרשות והן כלל תושבי המדינה שנאלצים לסבסד את גירעונות הרשות.</w:t>
      </w:r>
    </w:p>
    <w:p w:rsidR="005366A8" w:rsidRDefault="005366A8" w:rsidP="005366A8">
      <w:pPr>
        <w:rPr>
          <w:sz w:val="22"/>
          <w:szCs w:val="22"/>
          <w:rtl/>
        </w:rPr>
      </w:pPr>
    </w:p>
    <w:p w:rsidR="005366A8" w:rsidRDefault="005366A8" w:rsidP="005366A8">
      <w:pPr>
        <w:rPr>
          <w:sz w:val="22"/>
          <w:szCs w:val="22"/>
          <w:rtl/>
        </w:rPr>
      </w:pPr>
      <w:r w:rsidRPr="001A2EC8">
        <w:rPr>
          <w:rFonts w:hint="cs"/>
          <w:sz w:val="22"/>
          <w:szCs w:val="22"/>
          <w:rtl/>
        </w:rPr>
        <w:t xml:space="preserve">תחום נוסף בו ניתן לראות את האמביוולנטיות של בית המשפט לשלטון המקומי הוא תחום ההסמכה של הרשויות לעסוק בנושאים שונים. כאמור, שיטת ההסמכה של שלטון המקומי בישראל מורכבת מרשימה ארוכה ופרטנית של סמכויות (רשות וחובה) אליה מצטרפת גם הסמכה כללית, בסעף 249(29) לפקודת העיריות. בשנים האחרונות עלה נושא ההסמכה וגבולות סמכויות השלטון המקומי שוב ושוב, בהקשרים שונים. שני נושאים ידועים במיוחד שהגיעו לבית המשפט העליון בשנים האחרונות היו פרשת שלום עכשיו ופרשת סולודקין. לא ארחיב עליהן את הדיבור שכן שתיהן נדונו כבר בפורומים רבים והן לא היו בשנה שחלפה. רק אזכיר, כי בראשונה התעוררה שאלת סמכותן של רשויות מקומיות לממן תעמולה כנגד תוכנית ההתנתקות מחבל עזה ואילו בשניה </w:t>
      </w:r>
      <w:r w:rsidRPr="001A2EC8">
        <w:rPr>
          <w:sz w:val="22"/>
          <w:szCs w:val="22"/>
          <w:rtl/>
        </w:rPr>
        <w:t>–</w:t>
      </w:r>
      <w:r w:rsidRPr="001A2EC8">
        <w:rPr>
          <w:rFonts w:hint="cs"/>
          <w:sz w:val="22"/>
          <w:szCs w:val="22"/>
          <w:rtl/>
        </w:rPr>
        <w:t xml:space="preserve"> היקף סמכותן של רשויות מקומיות לאסור/לצמצם מכירת חזיר בתחומן. בשתי פרשות אלה הלך בית המשפט העליון מרחק רב בהכירו במעמד המיוחד של השלטון המקומי כמוסמך לעסוק בסוגיות החורגות מההיבט הצר של שירותים "מקומיים". בפרשת </w:t>
      </w:r>
      <w:r w:rsidRPr="001A2EC8">
        <w:rPr>
          <w:rFonts w:hint="cs"/>
          <w:sz w:val="22"/>
          <w:szCs w:val="22"/>
          <w:u w:val="single"/>
          <w:rtl/>
        </w:rPr>
        <w:t>שלום עכשיו</w:t>
      </w:r>
      <w:r w:rsidRPr="001A2EC8">
        <w:rPr>
          <w:rFonts w:hint="cs"/>
          <w:sz w:val="22"/>
          <w:szCs w:val="22"/>
          <w:rtl/>
        </w:rPr>
        <w:t xml:space="preserve"> התיר בית המשפט לרשויות מקומיות לעשות שימוש בכספי ציבור כדי לממן תעמולה כנגד תוכנית ההתנתקות, למרות שזו לא נגעה ישירות להן: גם רשויות ביהודה ושומרון הורשו לממן תעמולה זו, למרות שקיומן לא מצוי היה בסכנה בעקבות התוכנית. </w:t>
      </w:r>
      <w:r>
        <w:rPr>
          <w:rFonts w:hint="cs"/>
          <w:sz w:val="22"/>
          <w:szCs w:val="22"/>
          <w:rtl/>
        </w:rPr>
        <w:t>[* ראו התייחסות מפורטת בהמשך].</w:t>
      </w:r>
    </w:p>
    <w:p w:rsidR="005366A8" w:rsidRDefault="005366A8" w:rsidP="005366A8">
      <w:pPr>
        <w:rPr>
          <w:sz w:val="22"/>
          <w:szCs w:val="22"/>
          <w:rtl/>
        </w:rPr>
      </w:pPr>
      <w:r w:rsidRPr="001A2EC8">
        <w:rPr>
          <w:rFonts w:hint="cs"/>
          <w:sz w:val="22"/>
          <w:szCs w:val="22"/>
          <w:rtl/>
        </w:rPr>
        <w:t xml:space="preserve">ואילו בעניין </w:t>
      </w:r>
      <w:r w:rsidRPr="001A2EC8">
        <w:rPr>
          <w:rFonts w:hint="cs"/>
          <w:sz w:val="22"/>
          <w:szCs w:val="22"/>
          <w:u w:val="single"/>
          <w:rtl/>
        </w:rPr>
        <w:t>סולודקין</w:t>
      </w:r>
      <w:r w:rsidRPr="001A2EC8">
        <w:rPr>
          <w:rFonts w:hint="cs"/>
          <w:sz w:val="22"/>
          <w:szCs w:val="22"/>
          <w:rtl/>
        </w:rPr>
        <w:t xml:space="preserve"> התיר בית המשפט לרשויות מקומיות לפעול בהתאם להסמכה המיוחדת שלהן להתיר ולאסור ממכר חזיר בתחומן תוך התחשבות בדמוגרפיה הפרטנית שלהן ולא רק בהתאם לאיזון "כללי" בין חופש העיסוק וחופש הדת. </w:t>
      </w:r>
    </w:p>
    <w:p w:rsidR="005366A8" w:rsidRPr="001A2EC8" w:rsidRDefault="005366A8" w:rsidP="005366A8">
      <w:pPr>
        <w:rPr>
          <w:sz w:val="22"/>
          <w:szCs w:val="22"/>
          <w:rtl/>
        </w:rPr>
      </w:pPr>
      <w:r w:rsidRPr="001A2EC8">
        <w:rPr>
          <w:rFonts w:hint="cs"/>
          <w:sz w:val="22"/>
          <w:szCs w:val="22"/>
          <w:rtl/>
        </w:rPr>
        <w:t>שני פסקי דין אלה מהווים ביטוי מובהק לתפיסה הדמוקרטית של השלטון המקומי, כזו הרואה בו ביטוי לקהילה מקומית ולזכותה לקבוע עבור עצמה סדרי עדיפות וערכים, כמובן, תחת מעטה חוקתי של זכויות הפרט.</w:t>
      </w:r>
    </w:p>
    <w:p w:rsidR="005366A8" w:rsidRDefault="005366A8" w:rsidP="005366A8">
      <w:pPr>
        <w:rPr>
          <w:sz w:val="22"/>
          <w:szCs w:val="22"/>
          <w:rtl/>
        </w:rPr>
      </w:pPr>
    </w:p>
    <w:p w:rsidR="005366A8" w:rsidRPr="007830C4" w:rsidRDefault="005366A8" w:rsidP="005366A8">
      <w:pPr>
        <w:spacing w:after="120"/>
        <w:ind w:left="720"/>
        <w:rPr>
          <w:rFonts w:ascii="Arial" w:hAnsi="Arial" w:cs="Arial"/>
          <w:sz w:val="20"/>
          <w:szCs w:val="20"/>
          <w:rtl/>
        </w:rPr>
      </w:pPr>
      <w:r w:rsidRPr="007830C4">
        <w:rPr>
          <w:rFonts w:ascii="Arial" w:hAnsi="Arial" w:cs="Arial"/>
          <w:sz w:val="20"/>
          <w:szCs w:val="20"/>
          <w:rtl/>
        </w:rPr>
        <w:t xml:space="preserve">שאלות של דמוגרפיה ומרחב עירוני.  בג"צ 953/01 </w:t>
      </w:r>
      <w:r w:rsidRPr="007830C4">
        <w:rPr>
          <w:rFonts w:ascii="Arial" w:hAnsi="Arial" w:cs="Arial"/>
          <w:b/>
          <w:bCs/>
          <w:sz w:val="20"/>
          <w:szCs w:val="20"/>
          <w:rtl/>
        </w:rPr>
        <w:t>סולודקין נ' עיריית בית-שמש,</w:t>
      </w:r>
      <w:r w:rsidRPr="007830C4">
        <w:rPr>
          <w:rFonts w:ascii="Arial" w:hAnsi="Arial" w:cs="Arial"/>
          <w:sz w:val="20"/>
          <w:szCs w:val="20"/>
          <w:rtl/>
        </w:rPr>
        <w:t xml:space="preserve"> פ"ד נח(5) 595 (2004)</w:t>
      </w:r>
    </w:p>
    <w:p w:rsidR="005366A8" w:rsidRPr="007830C4" w:rsidRDefault="005366A8" w:rsidP="005366A8">
      <w:pPr>
        <w:ind w:left="720"/>
        <w:rPr>
          <w:rFonts w:ascii="Arial" w:hAnsi="Arial" w:cs="Arial"/>
          <w:sz w:val="20"/>
          <w:szCs w:val="20"/>
          <w:rtl/>
        </w:rPr>
      </w:pPr>
      <w:r w:rsidRPr="007830C4">
        <w:rPr>
          <w:rFonts w:ascii="Arial" w:hAnsi="Arial" w:cs="Arial"/>
          <w:sz w:val="20"/>
          <w:szCs w:val="20"/>
          <w:rtl/>
        </w:rPr>
        <w:t xml:space="preserve">הכרעת בית המשפט:  להשעות את חוקי העזר העירוניים בטבריה, בכרמיאל ובבית שמש </w:t>
      </w:r>
      <w:r w:rsidRPr="007830C4">
        <w:rPr>
          <w:rFonts w:ascii="Arial" w:hAnsi="Arial" w:cs="Arial"/>
          <w:b/>
          <w:bCs/>
          <w:sz w:val="20"/>
          <w:szCs w:val="20"/>
          <w:rtl/>
        </w:rPr>
        <w:t>המגבילים או האוסרים מכירת בשר חזיר בתחומן</w:t>
      </w:r>
      <w:r w:rsidRPr="007830C4">
        <w:rPr>
          <w:rFonts w:ascii="Arial" w:hAnsi="Arial" w:cs="Arial"/>
          <w:sz w:val="20"/>
          <w:szCs w:val="20"/>
          <w:rtl/>
        </w:rPr>
        <w:t>. הוא הורה לרשויות המקומיות הללו לגבש הסדרים חדשים על פי קריטריונים "מידתיים": בפסק הדין נקבע כי יש לחלק את המרחב המוניציפלי לשכונות, ולאסור או להתיר מכירת בשר חזיר בכל אחת מהן בהתאם לצביון האוכלוסייה באותה שכונה.</w:t>
      </w:r>
    </w:p>
    <w:p w:rsidR="005366A8" w:rsidRPr="0026534E" w:rsidRDefault="005366A8" w:rsidP="005366A8">
      <w:pPr>
        <w:ind w:left="720"/>
        <w:rPr>
          <w:sz w:val="22"/>
          <w:szCs w:val="22"/>
          <w:rtl/>
        </w:rPr>
      </w:pPr>
      <w:r w:rsidRPr="007830C4">
        <w:rPr>
          <w:rFonts w:ascii="Arial" w:hAnsi="Arial" w:cs="Arial"/>
          <w:sz w:val="20"/>
          <w:szCs w:val="20"/>
          <w:rtl/>
        </w:rPr>
        <w:t>בג"ץ קבע, כי "בשכונה המורכבת כולה, למעט מיעוט מזערי, מתושבים המתנגדים למכירת בשר חזיר ומוצריו, ניתן לאסור את המכירה. בשכונה המורכבת כולה, למעט מיעוט זעיר, מתושבים המבקשים לצרוך בשר חזיר או אינם מתנגדים לכך, לא ניתן לאסור מכירה זו".  הבעיה מתעוררת בשכונות מעורבות, שצביון האוכלוסייה בהן אינו מובהק. בית המשפט קבע כי ניתן לאסור על מכירת בשר חזיר בשכונה כזאת, רק אם "הפגיעה בחירות תהיה מידתית", כלומר - אם יובטח שבקרבת מקום, בפאתי השכונה או בקרבתה, יהיה מקום קרוב ונגיש שבו ניתן יהיה לרכוש מוצרי בשר חזיר.</w:t>
      </w:r>
    </w:p>
    <w:p w:rsidR="005366A8" w:rsidRDefault="005366A8" w:rsidP="005366A8">
      <w:pPr>
        <w:tabs>
          <w:tab w:val="left" w:pos="2197"/>
        </w:tabs>
        <w:rPr>
          <w:sz w:val="22"/>
          <w:szCs w:val="22"/>
          <w:rtl/>
        </w:rPr>
      </w:pPr>
    </w:p>
    <w:p w:rsidR="005366A8" w:rsidRDefault="005366A8" w:rsidP="005366A8">
      <w:pPr>
        <w:spacing w:after="120"/>
        <w:rPr>
          <w:sz w:val="22"/>
          <w:szCs w:val="22"/>
          <w:rtl/>
        </w:rPr>
      </w:pPr>
      <w:r w:rsidRPr="007830C4">
        <w:rPr>
          <w:rFonts w:hint="cs"/>
          <w:sz w:val="22"/>
          <w:szCs w:val="22"/>
          <w:rtl/>
        </w:rPr>
        <w:t xml:space="preserve">בשנת </w:t>
      </w:r>
      <w:r>
        <w:rPr>
          <w:rFonts w:hint="cs"/>
          <w:sz w:val="22"/>
          <w:szCs w:val="22"/>
          <w:rtl/>
        </w:rPr>
        <w:t>החולפת</w:t>
      </w:r>
      <w:r w:rsidRPr="007830C4">
        <w:rPr>
          <w:rFonts w:hint="cs"/>
          <w:sz w:val="22"/>
          <w:szCs w:val="22"/>
          <w:rtl/>
        </w:rPr>
        <w:t xml:space="preserve"> התעוררו שתי סוגיות נוספות שהעלו את שאלת היקף סמכותן של רשויות מקומיות: הראשונה, סוגיית סוגית הסיורים החמושים בעיריית חולון (או המשטרה המקומית); והשנייה, פרשיית הבית הפתוח בירושלים. בשתי סוגיות אלה ניתן אמנם לטעון כי חלה נסיגה מהעמדה מרחיבת הסמכות בפרשיות הקודמות אותן ציינתי, אולם ברצוני לטעון כי שני מקרים אלה מבטאים את החריגים לכלל, ולא את הכלל: בשתי פרשיות אלה מדובר בסוגיות בהן ראוי היה לצמצם את סמכות השלטון המקומי ולהגביל את פעולתו, גם לפי הגישה המרחיבה, הדמוקרטית.</w:t>
      </w:r>
    </w:p>
    <w:p w:rsidR="005366A8" w:rsidRDefault="005366A8" w:rsidP="005366A8">
      <w:pPr>
        <w:spacing w:after="120"/>
        <w:rPr>
          <w:sz w:val="22"/>
          <w:szCs w:val="22"/>
          <w:rtl/>
        </w:rPr>
      </w:pPr>
      <w:r>
        <w:rPr>
          <w:rFonts w:hint="cs"/>
          <w:sz w:val="22"/>
          <w:szCs w:val="22"/>
          <w:rtl/>
        </w:rPr>
        <w:t xml:space="preserve">[א] </w:t>
      </w:r>
      <w:r w:rsidRPr="001A2EC8">
        <w:rPr>
          <w:rFonts w:hint="cs"/>
          <w:sz w:val="22"/>
          <w:szCs w:val="22"/>
          <w:rtl/>
        </w:rPr>
        <w:t xml:space="preserve">בעניין </w:t>
      </w:r>
      <w:r w:rsidRPr="001A2EC8">
        <w:rPr>
          <w:rFonts w:hint="cs"/>
          <w:sz w:val="22"/>
          <w:szCs w:val="22"/>
          <w:u w:val="single"/>
          <w:rtl/>
        </w:rPr>
        <w:t>מלינובסקי נ' עיריית חולון</w:t>
      </w:r>
      <w:r w:rsidRPr="001A2EC8">
        <w:rPr>
          <w:rFonts w:hint="cs"/>
          <w:sz w:val="22"/>
          <w:szCs w:val="22"/>
          <w:rtl/>
        </w:rPr>
        <w:t xml:space="preserve"> (בג"צ 7186/06) </w:t>
      </w:r>
      <w:r w:rsidRPr="00AA397B">
        <w:rPr>
          <w:rFonts w:hint="cs"/>
          <w:sz w:val="22"/>
          <w:szCs w:val="22"/>
          <w:highlight w:val="yellow"/>
          <w:rtl/>
        </w:rPr>
        <w:t>נדון חוק עזר עירוני אותו העבירה עיריית חולון, מכוחו הוקם כוח סיור חמוש הממומן מכספי היטל מיוחד שהוטל לשם כך.</w:t>
      </w:r>
      <w:r w:rsidRPr="001A2EC8">
        <w:rPr>
          <w:rFonts w:hint="cs"/>
          <w:sz w:val="22"/>
          <w:szCs w:val="22"/>
          <w:rtl/>
        </w:rPr>
        <w:t xml:space="preserve"> בית המשפט העליון (הש' רובינשטיין) סוקר בהרחבה את סוגיית ההיטל המיוחד ומגיע למסקנה כי מדובר באגרה הקשורה לפעילות הממומנת (ולא במס) אולם בסופו של יום פוסל את הסיירת בשל העובדה שהיא ממומנת באופן בלתי סביר. זאת, לפי שאין התחשבות בצורך בתיאום של השלטון המרכזי של נושאים הקשורים לפעילות חבלנית שהיא "לאומית" בעיקרה. במילים אחרות, הש' רובינשטיין חומק מלדון בסוגיית הסיירות החמושות העירוניות ומשאיר זאת בצריך עיון (ומעיר כי ספק רב בעיניו אם ראוי שהללו יוקמו על ידי רשויות מקומיות), ופוסל את חוק העזר שכן הלה אינו עוסק באמת בביטחון "מקומי" אלא בנושאים שהם בעצם לאומיים - לוחמה בטרור - ועל כן דורשים תיאום ושליטה מרכזיים וזאת חסר בחוק העזר האמור. ההבחנות אותן עושה בית המשפט בעניין זה הן חשובות: אין ספק כי גם לגישה הדמוקרטית, נושאים אשר דורשים קואורדינציה, תיאום, ראוי שיוותרו בידי השלטון המרכזי, וגם אם לרשויות המקומיות ניתן בהן תפקיד, ראוי שסוגיית התיאום תילקח בחשבון כשמבזרים סמכויות כאלה. נושאים של ביטחון לאומי הם בוודאי כאלה, ועל כן גם אם חפץ השלטון המרכזי להעניק לרשויות המקומיות סמכויות בתחומים אלה, ראוי שנושא התיאום וההכוונה המרכזי יטופל באופן ממצה.</w:t>
      </w:r>
    </w:p>
    <w:p w:rsidR="005366A8" w:rsidRDefault="005366A8" w:rsidP="005366A8">
      <w:pPr>
        <w:rPr>
          <w:sz w:val="22"/>
          <w:szCs w:val="22"/>
          <w:rtl/>
        </w:rPr>
      </w:pPr>
      <w:r>
        <w:rPr>
          <w:rFonts w:hint="cs"/>
          <w:sz w:val="22"/>
          <w:szCs w:val="22"/>
          <w:rtl/>
        </w:rPr>
        <w:t>=-=</w:t>
      </w:r>
    </w:p>
    <w:p w:rsidR="005366A8" w:rsidRDefault="005366A8" w:rsidP="005366A8">
      <w:pPr>
        <w:rPr>
          <w:sz w:val="22"/>
          <w:szCs w:val="22"/>
          <w:rtl/>
        </w:rPr>
      </w:pPr>
      <w:r>
        <w:rPr>
          <w:rFonts w:hint="cs"/>
          <w:sz w:val="22"/>
          <w:szCs w:val="22"/>
          <w:rtl/>
        </w:rPr>
        <w:t xml:space="preserve">חשבו על הדוגמא הבאה.  מדובר בחלק מכתבה עיתונאית.  </w:t>
      </w:r>
    </w:p>
    <w:p w:rsidR="005366A8" w:rsidRDefault="005366A8" w:rsidP="005366A8">
      <w:pPr>
        <w:rPr>
          <w:sz w:val="22"/>
          <w:szCs w:val="22"/>
          <w:rtl/>
        </w:rPr>
      </w:pPr>
      <w:r>
        <w:rPr>
          <w:rFonts w:hint="cs"/>
          <w:sz w:val="22"/>
          <w:szCs w:val="22"/>
          <w:rtl/>
        </w:rPr>
        <w:t>בעקבות התרחשויות שונות, שקשורות לדברים המופיעים כאן, הדיח ראש עיריית כרמיאל (אלדר) את סגנו מילשטיין.</w:t>
      </w:r>
    </w:p>
    <w:p w:rsidR="005366A8" w:rsidRDefault="005366A8" w:rsidP="005366A8">
      <w:pPr>
        <w:rPr>
          <w:sz w:val="22"/>
          <w:szCs w:val="22"/>
          <w:rtl/>
        </w:rPr>
      </w:pPr>
    </w:p>
    <w:p w:rsidR="005366A8" w:rsidRPr="002F7EC5" w:rsidRDefault="005366A8" w:rsidP="005366A8">
      <w:pPr>
        <w:textAlignment w:val="top"/>
        <w:rPr>
          <w:rFonts w:ascii="Arial" w:hAnsi="Arial" w:cs="Arial"/>
          <w:b/>
          <w:bCs/>
          <w:color w:val="000000"/>
          <w:sz w:val="36"/>
          <w:szCs w:val="36"/>
        </w:rPr>
      </w:pPr>
      <w:r w:rsidRPr="002F7EC5">
        <w:rPr>
          <w:rFonts w:ascii="Arial" w:hAnsi="Arial" w:cs="Arial"/>
          <w:b/>
          <w:bCs/>
          <w:color w:val="000000"/>
          <w:sz w:val="36"/>
          <w:szCs w:val="36"/>
          <w:rtl/>
        </w:rPr>
        <w:t>לא צפונבוני. צפוני</w:t>
      </w:r>
    </w:p>
    <w:p w:rsidR="005366A8" w:rsidRPr="0060241A" w:rsidRDefault="005366A8" w:rsidP="005366A8">
      <w:pPr>
        <w:textAlignment w:val="top"/>
        <w:rPr>
          <w:rFonts w:ascii="Arial" w:hAnsi="Arial" w:cs="Arial"/>
          <w:rtl/>
        </w:rPr>
      </w:pPr>
    </w:p>
    <w:p w:rsidR="005366A8" w:rsidRPr="002F7EC5" w:rsidRDefault="005366A8" w:rsidP="005366A8">
      <w:pPr>
        <w:spacing w:after="120"/>
        <w:textAlignment w:val="top"/>
        <w:rPr>
          <w:rFonts w:ascii="Arial" w:hAnsi="Arial" w:cs="Arial"/>
          <w:b/>
          <w:bCs/>
          <w:color w:val="A1A1A1"/>
          <w:rtl/>
        </w:rPr>
      </w:pPr>
      <w:r w:rsidRPr="0060241A">
        <w:rPr>
          <w:rFonts w:ascii="Arial" w:hAnsi="Arial" w:cs="Arial"/>
          <w:b/>
          <w:bCs/>
          <w:rtl/>
        </w:rPr>
        <w:t>אורן מילשטיין, סגן ראש עיריית כרמיאל, נאבק בניסיונות ההשתלטות הערבית על עירו ולא מפחד ממשטרת הפוליטיקלי-קורקט.</w:t>
      </w:r>
      <w:r w:rsidRPr="002F7EC5">
        <w:rPr>
          <w:rFonts w:ascii="Arial" w:hAnsi="Arial" w:cs="Arial"/>
          <w:b/>
          <w:bCs/>
          <w:color w:val="A1A1A1"/>
          <w:rtl/>
        </w:rPr>
        <w:t xml:space="preserve"> </w:t>
      </w:r>
    </w:p>
    <w:p w:rsidR="005366A8" w:rsidRPr="00235C1F" w:rsidRDefault="005366A8" w:rsidP="005366A8">
      <w:pPr>
        <w:textAlignment w:val="top"/>
        <w:rPr>
          <w:rFonts w:ascii="Arial" w:hAnsi="Arial" w:cs="Arial"/>
          <w:sz w:val="18"/>
          <w:szCs w:val="18"/>
          <w:rtl/>
        </w:rPr>
      </w:pPr>
      <w:r w:rsidRPr="00235C1F">
        <w:rPr>
          <w:rFonts w:ascii="Arial" w:hAnsi="Arial" w:cs="Arial"/>
          <w:sz w:val="18"/>
          <w:szCs w:val="18"/>
          <w:rtl/>
        </w:rPr>
        <w:t xml:space="preserve">מאת רבקי גולדפינגר </w:t>
      </w:r>
    </w:p>
    <w:p w:rsidR="005366A8" w:rsidRPr="00235C1F" w:rsidRDefault="005366A8" w:rsidP="005366A8">
      <w:pPr>
        <w:rPr>
          <w:rFonts w:ascii="Arial" w:hAnsi="Arial" w:cs="Arial"/>
          <w:color w:val="000000"/>
          <w:sz w:val="18"/>
          <w:szCs w:val="18"/>
          <w:rtl/>
        </w:rPr>
      </w:pPr>
      <w:r w:rsidRPr="00235C1F">
        <w:rPr>
          <w:rFonts w:ascii="Arial" w:hAnsi="Arial" w:cs="Arial" w:hint="cs"/>
          <w:sz w:val="18"/>
          <w:szCs w:val="18"/>
          <w:rtl/>
        </w:rPr>
        <w:t>"</w:t>
      </w:r>
      <w:r w:rsidRPr="00235C1F">
        <w:rPr>
          <w:rFonts w:ascii="Arial" w:hAnsi="Arial" w:cs="Arial" w:hint="cs"/>
          <w:color w:val="000000"/>
          <w:sz w:val="18"/>
          <w:szCs w:val="18"/>
          <w:rtl/>
        </w:rPr>
        <w:t xml:space="preserve">בשבע" </w:t>
      </w:r>
      <w:r w:rsidRPr="00235C1F">
        <w:rPr>
          <w:rFonts w:ascii="Arial" w:hAnsi="Arial" w:cs="Arial"/>
          <w:color w:val="000000"/>
          <w:sz w:val="18"/>
          <w:szCs w:val="18"/>
          <w:rtl/>
        </w:rPr>
        <w:t>–</w:t>
      </w:r>
      <w:r w:rsidRPr="00235C1F">
        <w:rPr>
          <w:rFonts w:ascii="Arial" w:hAnsi="Arial" w:cs="Arial" w:hint="cs"/>
          <w:color w:val="000000"/>
          <w:sz w:val="18"/>
          <w:szCs w:val="18"/>
          <w:rtl/>
        </w:rPr>
        <w:t xml:space="preserve"> 16.9.2010</w:t>
      </w:r>
    </w:p>
    <w:p w:rsidR="005366A8" w:rsidRPr="00235C1F" w:rsidRDefault="005366A8" w:rsidP="005366A8">
      <w:pPr>
        <w:rPr>
          <w:rFonts w:ascii="Arial" w:hAnsi="Arial" w:cs="Arial"/>
          <w:color w:val="000000"/>
          <w:sz w:val="18"/>
          <w:szCs w:val="18"/>
          <w:rtl/>
        </w:rPr>
      </w:pPr>
    </w:p>
    <w:p w:rsidR="005366A8" w:rsidRPr="00235C1F" w:rsidRDefault="005366A8" w:rsidP="005366A8">
      <w:pPr>
        <w:spacing w:before="120" w:after="120"/>
        <w:rPr>
          <w:rFonts w:ascii="Arial" w:hAnsi="Arial" w:cs="Arial"/>
          <w:color w:val="000000"/>
          <w:sz w:val="18"/>
          <w:szCs w:val="18"/>
          <w:rtl/>
        </w:rPr>
      </w:pPr>
      <w:r w:rsidRPr="00235C1F">
        <w:rPr>
          <w:rFonts w:ascii="Arial" w:hAnsi="Arial" w:cs="Arial"/>
          <w:color w:val="000000"/>
          <w:sz w:val="18"/>
          <w:szCs w:val="18"/>
          <w:rtl/>
        </w:rPr>
        <w:t xml:space="preserve">אורן מילשטיין, סגן ראש עיריית כרמיאל, הוא איש ציבור צעיר (39), רהוט ואומר דברים שאחרים במעמדו לא היו מעזים להעלות על דל שפתיהם, אפילו אם בתוך תוכם היו משוכנעים בכך. הוא סרן במיל' ובוגר מינהל עסקים, העומד בראש רשימת 'הבית שלי' בעירייה, אשר חרתה על דגלה את שמירת צביונה היהודי של העיר כרמיאל. </w:t>
      </w:r>
    </w:p>
    <w:p w:rsidR="005366A8" w:rsidRPr="00235C1F" w:rsidRDefault="005366A8" w:rsidP="005366A8">
      <w:pPr>
        <w:spacing w:before="120" w:after="120"/>
        <w:rPr>
          <w:rFonts w:ascii="Arial" w:hAnsi="Arial" w:cs="Arial"/>
          <w:color w:val="000000"/>
          <w:sz w:val="18"/>
          <w:szCs w:val="18"/>
          <w:rtl/>
        </w:rPr>
      </w:pPr>
      <w:r w:rsidRPr="00235C1F">
        <w:rPr>
          <w:rFonts w:ascii="Arial" w:hAnsi="Arial" w:cs="Arial"/>
          <w:color w:val="000000"/>
          <w:sz w:val="18"/>
          <w:szCs w:val="18"/>
          <w:rtl/>
        </w:rPr>
        <w:t xml:space="preserve">כבר בראשית שיחתנו במשרדו בבניין העירייה, הוא קובע כי "כרמיאל היא עיר יהודית, חד וחלק. היא נוסדה למען ייהוד הגליל וזה לא תקין, בעיניי, שמשפחות ערביות יעברו לגור בה. בשנים האחרונות ישנו ניסיון בלתי פוסק של שכנינו מהכפרים בגליל המערבי להגר אל תוך כרמיאל, ואסור לנו להתעלם מהתופעה הזו". </w:t>
      </w:r>
    </w:p>
    <w:p w:rsidR="005366A8" w:rsidRPr="00235C1F" w:rsidRDefault="005366A8" w:rsidP="005366A8">
      <w:pPr>
        <w:spacing w:before="120" w:after="120"/>
        <w:rPr>
          <w:rFonts w:ascii="Arial" w:hAnsi="Arial" w:cs="Arial"/>
          <w:color w:val="000000"/>
          <w:sz w:val="18"/>
          <w:szCs w:val="18"/>
          <w:rtl/>
        </w:rPr>
      </w:pPr>
      <w:r w:rsidRPr="00235C1F">
        <w:rPr>
          <w:rFonts w:ascii="Arial" w:hAnsi="Arial" w:cs="Arial"/>
          <w:b/>
          <w:bCs/>
          <w:color w:val="000000"/>
          <w:sz w:val="18"/>
          <w:szCs w:val="18"/>
          <w:rtl/>
        </w:rPr>
        <w:t>אתה לא חושש שדבריך יתפרשו כגזענות?</w:t>
      </w:r>
    </w:p>
    <w:p w:rsidR="005366A8" w:rsidRPr="00235C1F" w:rsidRDefault="005366A8" w:rsidP="005366A8">
      <w:pPr>
        <w:spacing w:before="120" w:after="120"/>
        <w:rPr>
          <w:rFonts w:ascii="Arial" w:hAnsi="Arial" w:cs="Arial"/>
          <w:color w:val="000000"/>
          <w:sz w:val="18"/>
          <w:szCs w:val="18"/>
          <w:rtl/>
        </w:rPr>
      </w:pPr>
      <w:r w:rsidRPr="00235C1F">
        <w:rPr>
          <w:rFonts w:ascii="Arial" w:hAnsi="Arial" w:cs="Arial"/>
          <w:color w:val="000000"/>
          <w:sz w:val="18"/>
          <w:szCs w:val="18"/>
          <w:rtl/>
        </w:rPr>
        <w:t>"חד משמעית לא מדובר בגזענות. אני בסך הכול מבטא בקול את מה שתשעים אחוז מהתושבים חושבים בליבם. אני לא רואה בדבריי שום אלמנט של גזענות. אני מאמין בחיים של דו-קיום זה לצד זה ולא זה בתוך זה. חייבים להיות כנים ולומר את האמת - אף אחד כאן לא רוצה מסגד בתוך הבית שלו", הוא אומר בנחרצות ומסביר: "כל בוקר בשעה חמש אנחנו שומעים את המואזין מהכפר הסמוך ואין לי שום בעיה עם זה כי זו זכותם המלאה לחופש דת. אבל בתוך הבית שלי אני רוצה בתי כנסת ולא מסגדים. הגיע הזמן שיבינו שזו דרישה לגיטימית. מישהו, אי פעם, היה מאפשר לי לגור עם המשפחה שלי בתוך כפר ערבי?! שני הצדדים רוצים לשמור על הזהות הייחודית שלהם. חשוב שכל צד ישמר את המורשת שלו ואת התרבות שלו גם למען הדורות הבאים. עדיף שנחיה כשכנים אחד סמוך לשני וכך נחסוך מעצמנו חיכוך מיותר", פוסק מילשטיין.</w:t>
      </w:r>
    </w:p>
    <w:p w:rsidR="005366A8" w:rsidRPr="00235C1F" w:rsidRDefault="005366A8" w:rsidP="005366A8">
      <w:pPr>
        <w:spacing w:before="120" w:after="120"/>
        <w:rPr>
          <w:rFonts w:ascii="Arial" w:hAnsi="Arial" w:cs="Arial"/>
          <w:color w:val="000000"/>
          <w:sz w:val="18"/>
          <w:szCs w:val="18"/>
          <w:rtl/>
        </w:rPr>
      </w:pPr>
      <w:r w:rsidRPr="00235C1F">
        <w:rPr>
          <w:rFonts w:ascii="Arial" w:hAnsi="Arial" w:cs="Arial"/>
          <w:b/>
          <w:bCs/>
          <w:color w:val="000000"/>
          <w:sz w:val="18"/>
          <w:szCs w:val="18"/>
          <w:rtl/>
        </w:rPr>
        <w:t xml:space="preserve">סכסוך חמולות לעיני הילדים </w:t>
      </w:r>
    </w:p>
    <w:p w:rsidR="005366A8" w:rsidRPr="00235C1F" w:rsidRDefault="005366A8" w:rsidP="005366A8">
      <w:pPr>
        <w:spacing w:before="120" w:after="120"/>
        <w:rPr>
          <w:rFonts w:ascii="Arial" w:hAnsi="Arial" w:cs="Arial"/>
          <w:color w:val="000000"/>
          <w:sz w:val="18"/>
          <w:szCs w:val="18"/>
          <w:rtl/>
        </w:rPr>
      </w:pPr>
      <w:r w:rsidRPr="00235C1F">
        <w:rPr>
          <w:rFonts w:ascii="Arial" w:hAnsi="Arial" w:cs="Arial"/>
          <w:color w:val="000000"/>
          <w:sz w:val="18"/>
          <w:szCs w:val="18"/>
          <w:rtl/>
        </w:rPr>
        <w:t>את הזרז לתחילת פעילותו הציבורית תולה מילשטיין, יהודי שומר מסורת, באירוע שהתרחש לפני כשלוש שנים, כשצעד בליל שבת בדרכו חזרה מבית הכנסת. "זה היה כנראה, הקש ששבר את גב הגמל. חזרתי לאיטי מבית הכנסת לכיוון הבית, כשלפתע שמתי לב להתרחשות יוצאת דופן. כמה אנשים השתוללו באלימות. היו יריות וצעקות וראיתי כמה ניידות משטרה שמנסות להשתלט על המתפרעים. מסתבר שאותו בלאגן היה סכסוך אלים בין שתי חמולות מאחד הכפרים באזור. באותו הערב התחדדה בתוכי התובנה שמדובר במציאות שאסור לקבל. למה, למען ה', סכסוך בין חמולות אמור להיות בלב השכונה שלי, ליד הבית שלי? למה הילדים הקטנים שלי צריכים להיות חשופים לסכנה כזו? איפה הביטחון האישי שלנו?".</w:t>
      </w:r>
    </w:p>
    <w:p w:rsidR="005366A8" w:rsidRPr="00235C1F" w:rsidRDefault="005366A8" w:rsidP="005366A8">
      <w:pPr>
        <w:spacing w:before="120" w:after="120"/>
        <w:rPr>
          <w:rFonts w:ascii="Arial" w:hAnsi="Arial" w:cs="Arial"/>
          <w:color w:val="000000"/>
          <w:sz w:val="18"/>
          <w:szCs w:val="18"/>
          <w:rtl/>
        </w:rPr>
      </w:pPr>
      <w:r w:rsidRPr="00235C1F">
        <w:rPr>
          <w:rFonts w:ascii="Arial" w:hAnsi="Arial" w:cs="Arial"/>
          <w:color w:val="000000"/>
          <w:sz w:val="18"/>
          <w:szCs w:val="18"/>
          <w:rtl/>
        </w:rPr>
        <w:t xml:space="preserve">כבר בתחילת אותו שבוע פנה האזרח המודאג מילשטיין במכתב לראש העיר, עדי אלדר, בדרישה להצגת תוכנית מעשית להגברת תחושת הביטחון של תושבי העיר. אבל להפתעתו לא זכה לכל תגובה. "לא קיבלתי תשובה, למרות שבעיניי היה מדובר באירוע בלתי נסבל. הבנתי שאסור לשתוק כי מדובר בכדור שלג שאם לא נטפל בו באופן מיידי וכמו שצריך, הוא רק יילך ויתגבר. ניסחתי עצומה שהכותרת שלה היתה 'שמירת צביונה היהודי של כרמיאל' והפצתי אותה באלפי עותקים בכל רחבי העיר". </w:t>
      </w:r>
      <w:r w:rsidRPr="00235C1F">
        <w:rPr>
          <w:rFonts w:ascii="Arial" w:hAnsi="Arial" w:cs="Arial" w:hint="cs"/>
          <w:color w:val="000000"/>
          <w:sz w:val="18"/>
          <w:szCs w:val="18"/>
          <w:rtl/>
        </w:rPr>
        <w:t>[...]</w:t>
      </w:r>
    </w:p>
    <w:p w:rsidR="005366A8" w:rsidRPr="00235C1F" w:rsidRDefault="005366A8" w:rsidP="005366A8">
      <w:pPr>
        <w:spacing w:before="120" w:after="120"/>
        <w:rPr>
          <w:rFonts w:ascii="Arial" w:hAnsi="Arial" w:cs="Arial"/>
          <w:color w:val="000000"/>
          <w:sz w:val="18"/>
          <w:szCs w:val="18"/>
          <w:rtl/>
        </w:rPr>
      </w:pPr>
      <w:r w:rsidRPr="00235C1F">
        <w:rPr>
          <w:rFonts w:ascii="Arial" w:hAnsi="Arial" w:cs="Arial"/>
          <w:color w:val="000000"/>
          <w:sz w:val="18"/>
          <w:szCs w:val="18"/>
          <w:rtl/>
        </w:rPr>
        <w:t xml:space="preserve">בסופו של יום, בבחירות המקומיות הרשימה הערבית לא עברה את אחוז החסימה ואילו רשימתו של מילשטיין הפתיעה עם לא פחות מארבעה מנדטים. ראש העיר המיתולוגי של כרמיאל, עדי אלדר, זכה רק במנדט אחד יותר. </w:t>
      </w:r>
      <w:r w:rsidRPr="00235C1F">
        <w:rPr>
          <w:rFonts w:ascii="Arial" w:hAnsi="Arial" w:cs="Arial" w:hint="cs"/>
          <w:color w:val="000000"/>
          <w:sz w:val="18"/>
          <w:szCs w:val="18"/>
          <w:rtl/>
        </w:rPr>
        <w:t>[...]</w:t>
      </w:r>
    </w:p>
    <w:p w:rsidR="005366A8" w:rsidRPr="00235C1F" w:rsidRDefault="005366A8" w:rsidP="005366A8">
      <w:pPr>
        <w:spacing w:before="120" w:after="120"/>
        <w:rPr>
          <w:rFonts w:ascii="Arial" w:hAnsi="Arial" w:cs="Arial"/>
          <w:color w:val="000000"/>
          <w:sz w:val="18"/>
          <w:szCs w:val="18"/>
          <w:rtl/>
        </w:rPr>
      </w:pPr>
      <w:r w:rsidRPr="00235C1F">
        <w:rPr>
          <w:rFonts w:ascii="Arial" w:hAnsi="Arial" w:cs="Arial"/>
          <w:color w:val="000000"/>
          <w:sz w:val="18"/>
          <w:szCs w:val="18"/>
          <w:highlight w:val="yellow"/>
          <w:rtl/>
        </w:rPr>
        <w:t>במסגרת תפקידו בשנתיים האחרונות כסגן ראש העיר, פעל מילשטיין באופן מעשי לשינוי המצב. בראש ובראשונה שם דגש על העלאת רמת הביטחון האישי של התושבים באמצעות שיתוף פעולה עם משטרת כרמיאל, הסיור העירוני ויחידת מתנדבים שהוקמה במיוחד למען מטרה זו. "הקמנו בעיר יחידה של מתנדבים המכונה 'משמר העיר'", הוא מספר "הם ניצבים מדי ערב בכניסות לעיר ומבקשים תעודה מזהה מכל אדם המבקש להיכנס לעיר. בכך הם מקטינים את כמות השכנים המבקשים להיכנס לעיר סתם כך ללא סיבה. העיר לא אמורה להיות פרוצה ובהחלט מגיע לתושבים שחיים בה את הביטחון הבסיסי הזה".</w:t>
      </w:r>
    </w:p>
    <w:p w:rsidR="005366A8" w:rsidRPr="00235C1F" w:rsidRDefault="005366A8" w:rsidP="005366A8">
      <w:pPr>
        <w:spacing w:before="120" w:after="120"/>
        <w:rPr>
          <w:sz w:val="18"/>
          <w:szCs w:val="18"/>
          <w:rtl/>
        </w:rPr>
      </w:pPr>
      <w:r w:rsidRPr="00235C1F">
        <w:rPr>
          <w:rFonts w:ascii="Arial" w:hAnsi="Arial" w:cs="Arial"/>
          <w:color w:val="000000"/>
          <w:sz w:val="18"/>
          <w:szCs w:val="18"/>
          <w:rtl/>
        </w:rPr>
        <w:t>כמו כן, מתפרסם מדי שבוע בעיתונות המקומית 'האימייל-הסגול' האמור להוות כתובת עבור תושבים שיש בידם מידע על דירה בעיר המתוכננת להימכר לאדם שאיננו יהודי. "תושבי העיר מוזמנים לכתוב אלינו ברגע שהם יודעים על דירה בכרמיאל שאמורה להימכר לתושב מאחד הכפרים. ברגע שמשפחה ערבית רוכשת בית בעיר, זו קביעת עובדה לדורי דורות. בשנה האחרונה נמנעו מכירתן של כמעט שלושים דירות כאלו", הוא מציין. מילשטיין פועל בימים אלו גם לשינוי תקנון הבית המשותף. "על ידי עמותת 'תעצומות ישראל' אנחנו נפנה לכל ועדי הבתים בעיר כדי שדיירי הבניין יחתמו אחד כלפי השני כי במקרה של מכירת דירתם, יקפידו על שמירת הצביון היהודי של הבניין. במילים אחרות, הבית שלי הוא למכירה ליהודים בלבד. זה נכון שבכרמיאל יש כ-1,500 תושבים ערבים והם תושבים שווי זכויות, שומרי חוק ומשלמי מיסים, אבל למען שמירתה של העיר כרמיאל כיהודית וציונית, ראוי שהעיר תישמר במתכונת האמיתית שלשמה הוקמה", הוא מסכם.</w:t>
      </w:r>
      <w:r w:rsidRPr="00235C1F">
        <w:rPr>
          <w:rFonts w:hint="cs"/>
          <w:sz w:val="18"/>
          <w:szCs w:val="18"/>
          <w:rtl/>
        </w:rPr>
        <w:t xml:space="preserve"> [...]</w:t>
      </w:r>
    </w:p>
    <w:p w:rsidR="005366A8" w:rsidRPr="00235C1F" w:rsidRDefault="005366A8" w:rsidP="005366A8">
      <w:pPr>
        <w:spacing w:before="120" w:after="120"/>
        <w:rPr>
          <w:sz w:val="18"/>
          <w:szCs w:val="18"/>
          <w:rtl/>
        </w:rPr>
      </w:pPr>
    </w:p>
    <w:p w:rsidR="005366A8" w:rsidRDefault="005366A8" w:rsidP="005366A8">
      <w:pPr>
        <w:rPr>
          <w:sz w:val="22"/>
          <w:szCs w:val="22"/>
          <w:rtl/>
        </w:rPr>
      </w:pPr>
      <w:r>
        <w:rPr>
          <w:rFonts w:hint="cs"/>
          <w:sz w:val="22"/>
          <w:szCs w:val="22"/>
          <w:rtl/>
        </w:rPr>
        <w:t>=-=</w:t>
      </w:r>
    </w:p>
    <w:p w:rsidR="005366A8" w:rsidRDefault="005366A8" w:rsidP="005366A8">
      <w:pPr>
        <w:spacing w:after="120"/>
        <w:rPr>
          <w:sz w:val="22"/>
          <w:szCs w:val="22"/>
          <w:rtl/>
        </w:rPr>
      </w:pPr>
      <w:r>
        <w:rPr>
          <w:rFonts w:hint="cs"/>
          <w:sz w:val="22"/>
          <w:szCs w:val="22"/>
          <w:rtl/>
        </w:rPr>
        <w:t xml:space="preserve">[ב].  </w:t>
      </w:r>
      <w:r w:rsidRPr="007830C4">
        <w:rPr>
          <w:rFonts w:hint="cs"/>
          <w:sz w:val="22"/>
          <w:szCs w:val="22"/>
          <w:rtl/>
        </w:rPr>
        <w:t xml:space="preserve">בפרשת </w:t>
      </w:r>
      <w:r w:rsidRPr="007830C4">
        <w:rPr>
          <w:rFonts w:hint="cs"/>
          <w:sz w:val="22"/>
          <w:szCs w:val="22"/>
          <w:u w:val="single"/>
          <w:rtl/>
        </w:rPr>
        <w:t>הבית הפתוח בירושלים נ' עיריית ירושלים</w:t>
      </w:r>
      <w:r w:rsidRPr="007830C4">
        <w:rPr>
          <w:rFonts w:hint="cs"/>
          <w:sz w:val="22"/>
          <w:szCs w:val="22"/>
          <w:rtl/>
        </w:rPr>
        <w:t xml:space="preserve"> (עע"מ 343/09) נדון סירובה של עיריית י-ם לממן את פעילויותיו השונות של המרכז ההומו-לסבי בירושלים במהלך שלוש שנים. בערעור על פסק דינו של ביה"מ המנהלי בירושלים, שעבר גלגולים שונים, קבע בית המשפט העליון כי עיריית ירושלים הפרה את עיקרון השוויון ופסל את סירובה.</w:t>
      </w:r>
      <w:r>
        <w:rPr>
          <w:rFonts w:hint="cs"/>
          <w:sz w:val="22"/>
          <w:szCs w:val="22"/>
          <w:rtl/>
        </w:rPr>
        <w:t xml:space="preserve"> [נדון בפסק הדין בהמשך הקורס].</w:t>
      </w:r>
    </w:p>
    <w:p w:rsidR="005366A8" w:rsidRPr="007C60AC" w:rsidRDefault="005366A8" w:rsidP="005366A8">
      <w:pPr>
        <w:rPr>
          <w:sz w:val="22"/>
          <w:szCs w:val="22"/>
          <w:rtl/>
        </w:rPr>
      </w:pPr>
      <w:r w:rsidRPr="007C60AC">
        <w:rPr>
          <w:rFonts w:hint="cs"/>
          <w:sz w:val="22"/>
          <w:szCs w:val="22"/>
          <w:rtl/>
        </w:rPr>
        <w:t xml:space="preserve">עיקר פסק הדין </w:t>
      </w:r>
      <w:r w:rsidRPr="007C60AC">
        <w:rPr>
          <w:sz w:val="22"/>
          <w:szCs w:val="22"/>
          <w:rtl/>
        </w:rPr>
        <w:t>–</w:t>
      </w:r>
      <w:r w:rsidRPr="007C60AC">
        <w:rPr>
          <w:rFonts w:hint="cs"/>
          <w:sz w:val="22"/>
          <w:szCs w:val="22"/>
          <w:rtl/>
        </w:rPr>
        <w:t xml:space="preserve"> וחשיבותו העצומה למשפט הישראלי </w:t>
      </w:r>
      <w:r w:rsidRPr="007C60AC">
        <w:rPr>
          <w:sz w:val="22"/>
          <w:szCs w:val="22"/>
          <w:rtl/>
        </w:rPr>
        <w:t>–</w:t>
      </w:r>
      <w:r w:rsidRPr="007C60AC">
        <w:rPr>
          <w:rFonts w:hint="cs"/>
          <w:sz w:val="22"/>
          <w:szCs w:val="22"/>
          <w:rtl/>
        </w:rPr>
        <w:t xml:space="preserve"> הוא בסוגיית השוויון. לא ארחיב על כך את הדיבור משום שזהו לא מוקד ההרצאה שלי, אולם רק אומר שהש' עמית פורש משנה סדורה וחדשנית בדבר הגנה על מיעוטים "חשודים", כלומר, כאלה אשר יש לפרוש עליהם הגנה מיוחדת מפני פעולות של רשויות המנהל. מכאן גם הטענה שלי שאין לראות את פסק הדין האמור כשולל את יכולתה של עירייה לקבוע סדרי עדיפויות באמצעות תמיכות ותקציבים. אכן, אחת הסכנות היא שפסק דין יפורש כשולל מהרשות המקומית את אחת מסמכויותיה החשובות ביותר ואשר מבטאות באופן העמוק ביותר את היותה של רשות מקומית ביטוי לרצונה החופשי של קהילה דמוקרטית מקומית. חלוקת תמיכות ותקציבים היא דרך לגיטימית במשטר דמוקרטי לבטא את רצון הבוחרים. במילים אחרות: כשם שלכנסת מותר לחוקק בחוק התקציב העדפות לסוגי פעילות מסוימים, כך גם לרשות המקומית. ואכן, מה שאוסר בית המשפט הוא הפליה לא של פעילות אלא של קבוצה, וקובע כי משניתנו תקציבים לפעילות לקידום ולהעצמת נשים, לדוגמה, הרי שמניעת תקציבים מהעצמת נשים דווקא בבית הפתוח מהווה הפליה אסורה.</w:t>
      </w:r>
    </w:p>
    <w:p w:rsidR="005366A8" w:rsidRPr="007C60AC" w:rsidRDefault="005366A8" w:rsidP="005366A8">
      <w:pPr>
        <w:rPr>
          <w:sz w:val="22"/>
          <w:szCs w:val="22"/>
          <w:rtl/>
        </w:rPr>
      </w:pPr>
      <w:r w:rsidRPr="007C60AC">
        <w:rPr>
          <w:rFonts w:hint="cs"/>
          <w:sz w:val="22"/>
          <w:szCs w:val="22"/>
          <w:highlight w:val="yellow"/>
          <w:rtl/>
        </w:rPr>
        <w:t xml:space="preserve">ואמנם, ככל שמדובר בקבוצה מוחלשת ו"חשודה" (מבחינת חולשה פוליטית, חוסר יכולת להתארגן ועוד), קיימת סכנה ממשית שרשויות מקומיות ידכאו קבוצות אלה עוד יותר מהדיכוי הרגיל לו הן חשופות בכלל האוכלוסייה. ברשויות מקומיות יכולות עמדות קיצוניות </w:t>
      </w:r>
      <w:r w:rsidRPr="007C60AC">
        <w:rPr>
          <w:sz w:val="22"/>
          <w:szCs w:val="22"/>
          <w:highlight w:val="yellow"/>
          <w:rtl/>
        </w:rPr>
        <w:t>–</w:t>
      </w:r>
      <w:r w:rsidRPr="007C60AC">
        <w:rPr>
          <w:rFonts w:hint="cs"/>
          <w:sz w:val="22"/>
          <w:szCs w:val="22"/>
          <w:highlight w:val="yellow"/>
          <w:rtl/>
        </w:rPr>
        <w:t xml:space="preserve"> דתיות, אידיאולוגיות, פוליטיות וכיו"ב </w:t>
      </w:r>
      <w:r w:rsidRPr="007C60AC">
        <w:rPr>
          <w:sz w:val="22"/>
          <w:szCs w:val="22"/>
          <w:highlight w:val="yellow"/>
          <w:rtl/>
        </w:rPr>
        <w:t>–</w:t>
      </w:r>
      <w:r w:rsidRPr="007C60AC">
        <w:rPr>
          <w:rFonts w:hint="cs"/>
          <w:sz w:val="22"/>
          <w:szCs w:val="22"/>
          <w:highlight w:val="yellow"/>
          <w:rtl/>
        </w:rPr>
        <w:t xml:space="preserve"> לבוא לידי ביטוי ביתר קלות בשל היכולת להשפיע על המערכת בקלות רבה יותר ובמספרים קטנים יותר, ובשל חוסר המיתון </w:t>
      </w:r>
      <w:r>
        <w:rPr>
          <w:rFonts w:hint="cs"/>
          <w:sz w:val="22"/>
          <w:szCs w:val="22"/>
          <w:highlight w:val="yellow"/>
          <w:rtl/>
        </w:rPr>
        <w:t xml:space="preserve">[הנלווה לעיתים להקשרים] </w:t>
      </w:r>
      <w:r w:rsidRPr="007C60AC">
        <w:rPr>
          <w:rFonts w:hint="cs"/>
          <w:sz w:val="22"/>
          <w:szCs w:val="22"/>
          <w:highlight w:val="yellow"/>
          <w:rtl/>
        </w:rPr>
        <w:t>של המספרים הגדולים. לכך יש להוסיף את הפריסה הלא-הומוגנית של קהילות ברחבי המדינה, דבר אשר יכול להוביל לכך שברשות מקומית מסוימת יהיה מיעוט מסוים קטן עוד יותר ולכן חשוף עוד יותר לדיכוי ולהדרה. לפיכך, פוליטיקה מקומית היא רדיקאלית וקיצונית יותר, פעמים רבות</w:t>
      </w:r>
      <w:r w:rsidRPr="007C60AC">
        <w:rPr>
          <w:rFonts w:hint="cs"/>
          <w:sz w:val="22"/>
          <w:szCs w:val="22"/>
          <w:rtl/>
        </w:rPr>
        <w:t xml:space="preserve"> (כפי שהתריע מדיסון עוד בימיה הראשונים של הרפובליקה האמריקנית). מכאן גם הצורך להקפיד ביתר שאת על הגנת מיעוטים מפני פעולתן של הרשויות המקומיות. </w:t>
      </w:r>
      <w:r w:rsidRPr="007C60AC">
        <w:rPr>
          <w:rFonts w:hint="cs"/>
          <w:sz w:val="22"/>
          <w:szCs w:val="22"/>
          <w:highlight w:val="yellow"/>
          <w:rtl/>
        </w:rPr>
        <w:t>במילים אחרות, גם לפי התפיסה הדמוקרטית של השלטון המקומי, אין להעניק לרשויות מקומיות אוטונומיה וחופש פעולה מלא כאשר יש חשש כי פעולתן מדכאת מיעוטים מוחלשים בשטחה</w:t>
      </w:r>
      <w:r w:rsidRPr="007C60AC">
        <w:rPr>
          <w:rFonts w:hint="cs"/>
          <w:sz w:val="22"/>
          <w:szCs w:val="22"/>
          <w:rtl/>
        </w:rPr>
        <w:t>.</w:t>
      </w:r>
    </w:p>
    <w:p w:rsidR="005366A8" w:rsidRPr="007C60AC" w:rsidRDefault="005366A8" w:rsidP="005366A8">
      <w:pPr>
        <w:spacing w:after="120"/>
        <w:rPr>
          <w:sz w:val="22"/>
          <w:szCs w:val="22"/>
          <w:rtl/>
        </w:rPr>
      </w:pPr>
      <w:r w:rsidRPr="007C60AC">
        <w:rPr>
          <w:rFonts w:hint="cs"/>
          <w:sz w:val="22"/>
          <w:szCs w:val="22"/>
          <w:rtl/>
        </w:rPr>
        <w:t>אולם פרשיית הבית הפתוח מעוררת בעוצמה רבה את השאלה של תפקידן של הרשויות המקומיות בישראל כמתווכות בין קהילות דתיות, לאומיות ותרבותיות. במידה רבה, מפת הרשויות המקומיות בישראל חופפת לשסעים העמוקים של החברה הישראלית: רשויות מקומיות מאופיינות לא פעם כ"ערביות", "חרדיות", "מזרחיות", "ימניות" וכן הלאה. וגם אם הרשויות אינן הומוגניות לגמרי, הרי שהשלטון המקומי מוצא עצמו מתמודד עם המתחים הללו בעוצמה רבה: בשאלות של דת ומדינה (פתיחת בתי עסק בשבת, איסור חמץ וחזיר), חלוקת תקציבים (ראו הבית הפתוח), חופש ביטוי (מצעדי גאווה, לוחות מודעות עירוניים), זכויות קהילתיות (שפת השילוט ברחובות) ועוד. ולמרות הקביעה הכללית לפיה סוגיות של דת ומדינה הם עניינים "לאומיים" בהם השלטון המרכזי מכריע (קביעה עליה חוזר בית המשפט העליון מאז פרשות החזיר המוקדמות בשנות ה-50), רשויות מקומיות מתמודדות עם שאלות אלה השכם והערב, הן בגלל שבמקרים מסוימים הן הוסמכו לכך מפורשות (שבת, חזיר ועוד) והן משום שכוחה של המציאות גדול ועניינים אלה מתעוררים בהקשרים שונים ורבים.</w:t>
      </w:r>
    </w:p>
    <w:p w:rsidR="005366A8" w:rsidRPr="007C60AC" w:rsidRDefault="005366A8" w:rsidP="005366A8">
      <w:pPr>
        <w:rPr>
          <w:sz w:val="22"/>
          <w:szCs w:val="22"/>
          <w:rtl/>
        </w:rPr>
      </w:pPr>
      <w:r w:rsidRPr="007C60AC">
        <w:rPr>
          <w:rFonts w:hint="cs"/>
          <w:sz w:val="22"/>
          <w:szCs w:val="22"/>
          <w:rtl/>
        </w:rPr>
        <w:t xml:space="preserve">דוגמה לכך מן השנה שחלפה הוא פסק הדין שניתן בעניין </w:t>
      </w:r>
      <w:r w:rsidRPr="008A7E7B">
        <w:rPr>
          <w:rFonts w:hint="cs"/>
          <w:sz w:val="22"/>
          <w:szCs w:val="22"/>
          <w:highlight w:val="yellow"/>
          <w:u w:val="single"/>
          <w:rtl/>
        </w:rPr>
        <w:t>סולודוך נ' עיריית רחובות</w:t>
      </w:r>
      <w:r w:rsidRPr="007C60AC">
        <w:rPr>
          <w:rFonts w:hint="cs"/>
          <w:sz w:val="22"/>
          <w:szCs w:val="22"/>
          <w:rtl/>
        </w:rPr>
        <w:t xml:space="preserve"> (בג"צ 10907/04) בו נדונה החלטת עיריית רחובות להקצות (בתמורה נמוכה ביותר) מגרש לשם הקמת בית מדרש תורני בשכונה שאופייה חילוני בעיקרו (למרות שנטען בפני בית המשפט שהשכונה מעורבת יותר וכוללת גם מסורתיים ואף דתיים). בית המשפט העליון דחה את עתירתם של תושבי השכונה החילוניים וקובע כי אין להתיר מדיניות של הפרדה הרמטית בין חילונים לדתיים. את עיקר הדיון מקדישה השופטת פרוקצ'יה לשאלה האם החלטת הרשות המקומית עומדת בתנאיה של פסקת ההגבלה, מאחר ונוצרת התנגשות בין החופש לדת של הציבור הדתי (החפץ בבית המדרש) ובין החופש מדת של הציבור החילוני (הטוען שבית המדרש יפגע בו בכל מיני דרכים). המשגת פעולותיה במסגרת פסקת ההגבלה היא מעניינת, בעיקר מפני שבסופו של דבר לדעתה אין פגיעה ממשית בזכויות של החילונים, כך שלמעשה לא צריך כלל לבדוק את פסקת ההגבלה (אלא לכל היותר את סבירות ההחלטה המנהלית של הרשות המקומית). ובכל זאת, בית המשפט סבור שישנה התנגשות פוטנציאלית (ואולי ממשית) בין זכותם של הדתיים לדת ובין זכותם של החילונים לחופש מדת ועל כן, במסגרת פסקת ההגבלה הוא בוחן, בסופו של דבר, את מידתיות הפגיעה ומגיע למסקנה שגם לו הייתה פגיעה בחילונים, הרי שזוהי פגיעה מידתית לאור חשיבותו של הדו-קיום בין חילונים לדתיים והצורך להימנע ממדיניות של הפרדה מרחבית בין אותם אלה אשר "הגורל הועיד אותם להשתייך לאותו עם, ולחיות יחדיו באותה פיסת קרקע ותחת אותם שמיים" (פסקה 87 לפסה"ד). </w:t>
      </w:r>
    </w:p>
    <w:p w:rsidR="005366A8" w:rsidRPr="007C60AC" w:rsidRDefault="005366A8" w:rsidP="005366A8">
      <w:pPr>
        <w:rPr>
          <w:sz w:val="22"/>
          <w:szCs w:val="22"/>
          <w:rtl/>
        </w:rPr>
      </w:pPr>
      <w:r w:rsidRPr="007C60AC">
        <w:rPr>
          <w:rFonts w:hint="cs"/>
          <w:sz w:val="22"/>
          <w:szCs w:val="22"/>
          <w:rtl/>
        </w:rPr>
        <w:t xml:space="preserve">עניין זה דורש תשומת לב מיוחדת מאחר וזהו אחד מפסקי הדין היחידים בהם בית המשפט העליון מתייחס באופן כה ישיר לאחד מנתוני הרקע של הארגון המרחבי של החברה הישראלית: היפרדות מרחבית קשה, במסגרתה קבוצות לאום, דת ואתניות מתגוררות באזורים נפרדים ופעמים רבות ברשויות מקומיות נפרדות. פעמים רבות, היפרדות זו היא תוצאה של מדיניות ממשלתית (כגון מדיניות פיזור האוכלוסין הידועה של שנות ה-50 וה-60 במסגרתה שוכנו עולי צפון-אפריקה בערי הפיתוח) או של היתר חוקי שניתן לקבוצות להדיר ולהפלות קבוצות אחרות (כגון מדיניות מניעת מכירת קרקע לערבים שנדונה בפרשת </w:t>
      </w:r>
      <w:r w:rsidRPr="007C60AC">
        <w:rPr>
          <w:rFonts w:hint="cs"/>
          <w:sz w:val="22"/>
          <w:szCs w:val="22"/>
          <w:u w:val="single"/>
          <w:rtl/>
        </w:rPr>
        <w:t>קעדאן</w:t>
      </w:r>
      <w:r w:rsidRPr="007C60AC">
        <w:rPr>
          <w:rFonts w:hint="cs"/>
          <w:sz w:val="22"/>
          <w:szCs w:val="22"/>
          <w:rtl/>
        </w:rPr>
        <w:t xml:space="preserve">, ופעולתן של ועדות קבלה בישובים קהילתיים גם כיום, שבגינן מודרים בני קבוצות מיעוט שונות, מדיניות שנתקפת כיום בפני בית המשפט העליון). פעמים אחרות, היפרדות זו אינה מוכתבת על ידי המדינה אלא על-ידי מחירי הנדל"ן ועל-פי בחירות של פרטים. אולם, גם לבית המשפט העליון יש יד וחלק בהיפרדות זו, לאור פסיקה מפורשת הן בעניין </w:t>
      </w:r>
      <w:r w:rsidRPr="007C60AC">
        <w:rPr>
          <w:rFonts w:hint="cs"/>
          <w:sz w:val="22"/>
          <w:szCs w:val="22"/>
          <w:u w:val="single"/>
          <w:rtl/>
        </w:rPr>
        <w:t>אביטן נ' ממ"י</w:t>
      </w:r>
      <w:r w:rsidRPr="007C60AC">
        <w:rPr>
          <w:rFonts w:hint="cs"/>
          <w:sz w:val="22"/>
          <w:szCs w:val="22"/>
          <w:rtl/>
        </w:rPr>
        <w:t xml:space="preserve"> והן בעניין </w:t>
      </w:r>
      <w:r w:rsidRPr="007C60AC">
        <w:rPr>
          <w:rFonts w:hint="cs"/>
          <w:sz w:val="22"/>
          <w:szCs w:val="22"/>
          <w:u w:val="single"/>
          <w:rtl/>
        </w:rPr>
        <w:t>עמותת עם חופשי נ' שר השיכון</w:t>
      </w:r>
      <w:r w:rsidRPr="007C60AC">
        <w:rPr>
          <w:rFonts w:hint="cs"/>
          <w:sz w:val="22"/>
          <w:szCs w:val="22"/>
          <w:rtl/>
        </w:rPr>
        <w:t xml:space="preserve">. בשתי פרשיות אלה--בראשונה ביקש יהודי לרכוש קרקע בישוב שנועד לבדואים ובשניה ביקשו חילונים לרכוש דירות בישוב שהועד לחרדים--נתן בית המשפט הכשר למדיניות ממשלתית של הפרדה מרחבית הרמטית בין קבוצות לאום ודת שונות. אמנם באותן פרשיות עשה זאת בית המשפט בתור "חריגים" לפי שמדובר ב"קבוצות מיעוט בעלות אורחות חיים ייחודיים וראויים להגנה" (הבדואים והחרדים), אולם השופטת פרוקצ'יה אינה מאבחנת את עניין </w:t>
      </w:r>
      <w:r w:rsidRPr="007C60AC">
        <w:rPr>
          <w:rFonts w:hint="cs"/>
          <w:sz w:val="22"/>
          <w:szCs w:val="22"/>
          <w:u w:val="single"/>
          <w:rtl/>
        </w:rPr>
        <w:t>סולודוך</w:t>
      </w:r>
      <w:r w:rsidRPr="007C60AC">
        <w:rPr>
          <w:rFonts w:hint="cs"/>
          <w:sz w:val="22"/>
          <w:szCs w:val="22"/>
          <w:rtl/>
        </w:rPr>
        <w:t xml:space="preserve"> משתי פרשיות אלה. </w:t>
      </w:r>
    </w:p>
    <w:p w:rsidR="005366A8" w:rsidRPr="007C60AC" w:rsidRDefault="005366A8" w:rsidP="005366A8">
      <w:pPr>
        <w:rPr>
          <w:sz w:val="22"/>
          <w:szCs w:val="22"/>
          <w:rtl/>
        </w:rPr>
      </w:pPr>
      <w:r w:rsidRPr="007C60AC">
        <w:rPr>
          <w:rFonts w:hint="cs"/>
          <w:sz w:val="22"/>
          <w:szCs w:val="22"/>
          <w:rtl/>
        </w:rPr>
        <w:t xml:space="preserve">מה ניתן ללמוד מכך? ראשית, אפשר וביה"מ סבור שאין כל מניעה לצוות על "הרוב החילוני" להתפשר ולגלות סובלנות כלפי המיעוט הדתי ולא להסתגר, אולם להתיר למיעוט החרדי להסתגר, מאחר ואין סימטריה בין מצב הרוב ומצב המיעוט; </w:t>
      </w:r>
      <w:r>
        <w:rPr>
          <w:rFonts w:hint="cs"/>
          <w:sz w:val="22"/>
          <w:szCs w:val="22"/>
          <w:rtl/>
        </w:rPr>
        <w:t>...</w:t>
      </w:r>
      <w:r w:rsidRPr="007C60AC">
        <w:rPr>
          <w:rFonts w:hint="cs"/>
          <w:sz w:val="22"/>
          <w:szCs w:val="22"/>
          <w:rtl/>
        </w:rPr>
        <w:t xml:space="preserve"> שלישית, אפשר ובית המשפט זורע את הזרעים של פסיקה עתידית אשר תסטה מהלכות אביטן ועם חופשי. במילים אחרות, יתכן וביה"מ ישתמש בעתיד בהלכה זו כדי לבסס תורת משפט שתסטה, לראשונה, מהמדיניות הסגרגטיבית המאפיינת את המרחב הישראלי. הדגש אותו שם ביה"מ על הסכנות שבהיפרדות המרחבית ללכידות הלאומית וחזרתו על הצורך בחיים ביחד יכולים להעיד שמדובר, אולי, במפנה חשוב בתורת המשפט של ביה"מ בסוגיות אלה. מפנה כזה הוא קריטי במיוחד לאור העובדה שדומה שהחברה הישראלית הולכת ומתפוררת לקבוצות שכל אחת מהן היא מיעוט בפני ובעיני עצמה, ולא עוד ברור מיהו הרוב ומיהו המיעוט, במיוחד בהקשר של חילונים ודתיים. </w:t>
      </w:r>
      <w:r>
        <w:rPr>
          <w:rFonts w:hint="cs"/>
          <w:sz w:val="22"/>
          <w:szCs w:val="22"/>
          <w:rtl/>
        </w:rPr>
        <w:t>...</w:t>
      </w:r>
      <w:r w:rsidRPr="007C60AC">
        <w:rPr>
          <w:rFonts w:hint="cs"/>
          <w:sz w:val="22"/>
          <w:szCs w:val="22"/>
          <w:rtl/>
        </w:rPr>
        <w:t xml:space="preserve"> </w:t>
      </w:r>
    </w:p>
    <w:p w:rsidR="005366A8" w:rsidRPr="007C60AC" w:rsidRDefault="005366A8" w:rsidP="005366A8">
      <w:pPr>
        <w:rPr>
          <w:sz w:val="22"/>
          <w:szCs w:val="22"/>
          <w:rtl/>
        </w:rPr>
      </w:pPr>
      <w:r w:rsidRPr="007C60AC">
        <w:rPr>
          <w:rFonts w:hint="cs"/>
          <w:sz w:val="22"/>
          <w:szCs w:val="22"/>
          <w:rtl/>
        </w:rPr>
        <w:t xml:space="preserve">עניין נוסף ממנו התעלם ביה"מ הוא האופן בו הוא עצמו מקדם את ההיפרדות בין חילונים ודתיים באמצעות פסיקותיו, אשר נותנות תוקף נורמטיבי לדפוסי מגורים פוזיטיביים: כאשר בית המשפט קבע בפרשת </w:t>
      </w:r>
      <w:r w:rsidRPr="007C60AC">
        <w:rPr>
          <w:rFonts w:hint="cs"/>
          <w:sz w:val="22"/>
          <w:szCs w:val="22"/>
          <w:u w:val="single"/>
          <w:rtl/>
        </w:rPr>
        <w:t>סולודקין נ' בית שמש</w:t>
      </w:r>
      <w:r w:rsidRPr="007C60AC">
        <w:rPr>
          <w:rFonts w:hint="cs"/>
          <w:sz w:val="22"/>
          <w:szCs w:val="22"/>
          <w:rtl/>
        </w:rPr>
        <w:t xml:space="preserve"> שבשכונות בעלות אופי דתי מובהק ניתן לאסור כליל מכירת חזיר, הוא מעודד, למעשה, הדרה של חילונים מאותו אזור. כדי לקדם באופן עקבי את ערך האינטגרציה בדפוסי מגורים, קיימת חשיבות רבה, אפוא, לכך שביה"מ יעמוד על סובלנות הדדית, הן של חילונים כלפי דתיים והן של דתיים כלפי חילונים. ואם אין להתחשב בפגיעה אותה חשים חילונים למראה סמלים דתיים ואתרים דתיים כגון בתי מדרש, אין לקבל באופן מקודש את הפגיעה שחשים דתיים למראה "סמלים" חילוניים כגון אטליזי חזיר. במילים אחרות, במבנה חברתי מורכב ועדין כמו יחסי דתיים וחילוניים בישראל, שהם משתנים ללא הרף, אין לדבוק במבנה הא-סימטרי אותו יצרו בתי המשפט, לפיו הסובלנות וההכלה מוטלים על "הרוב החיוני" ואילו ה"מיעוט הדתי" יכול להדיר ולתבוע סילוק של סמלים חילוניים. </w:t>
      </w:r>
      <w:r>
        <w:rPr>
          <w:rFonts w:hint="cs"/>
          <w:sz w:val="22"/>
          <w:szCs w:val="22"/>
          <w:rtl/>
        </w:rPr>
        <w:t>[...]</w:t>
      </w:r>
    </w:p>
    <w:p w:rsidR="005366A8" w:rsidRDefault="005366A8" w:rsidP="005366A8">
      <w:pPr>
        <w:rPr>
          <w:sz w:val="22"/>
          <w:szCs w:val="22"/>
          <w:rtl/>
        </w:rPr>
      </w:pPr>
    </w:p>
    <w:p w:rsidR="005366A8" w:rsidRDefault="005366A8" w:rsidP="005366A8">
      <w:pPr>
        <w:rPr>
          <w:sz w:val="22"/>
          <w:szCs w:val="22"/>
          <w:rtl/>
        </w:rPr>
      </w:pPr>
      <w:r>
        <w:rPr>
          <w:rFonts w:hint="cs"/>
          <w:sz w:val="22"/>
          <w:szCs w:val="22"/>
          <w:rtl/>
        </w:rPr>
        <w:t>=-=</w:t>
      </w:r>
    </w:p>
    <w:p w:rsidR="005366A8" w:rsidRPr="00AA32EC" w:rsidRDefault="005366A8" w:rsidP="005366A8">
      <w:pPr>
        <w:spacing w:after="120"/>
        <w:rPr>
          <w:sz w:val="22"/>
          <w:szCs w:val="22"/>
          <w:highlight w:val="yellow"/>
          <w:rtl/>
        </w:rPr>
      </w:pPr>
      <w:r w:rsidRPr="00D52059">
        <w:rPr>
          <w:rFonts w:hint="cs"/>
          <w:sz w:val="22"/>
          <w:szCs w:val="22"/>
          <w:highlight w:val="yellow"/>
          <w:rtl/>
        </w:rPr>
        <w:t>*</w:t>
      </w:r>
      <w:r>
        <w:rPr>
          <w:sz w:val="22"/>
          <w:szCs w:val="22"/>
          <w:highlight w:val="yellow"/>
          <w:rtl/>
        </w:rPr>
        <w:t xml:space="preserve"> </w:t>
      </w:r>
      <w:r w:rsidRPr="00AA32EC">
        <w:rPr>
          <w:sz w:val="22"/>
          <w:szCs w:val="22"/>
          <w:highlight w:val="yellow"/>
          <w:rtl/>
        </w:rPr>
        <w:t xml:space="preserve">בג"ץ 10104/04 </w:t>
      </w:r>
      <w:r w:rsidRPr="00AA32EC">
        <w:rPr>
          <w:b/>
          <w:bCs/>
          <w:sz w:val="22"/>
          <w:szCs w:val="22"/>
          <w:highlight w:val="yellow"/>
          <w:rtl/>
        </w:rPr>
        <w:t>שלום עכשיו נ' רות יוסף, הממונה על היישובים היהודיים ביהודה ושומרון</w:t>
      </w:r>
      <w:r w:rsidRPr="00AA32EC">
        <w:rPr>
          <w:sz w:val="22"/>
          <w:szCs w:val="22"/>
          <w:highlight w:val="yellow"/>
          <w:rtl/>
        </w:rPr>
        <w:t xml:space="preserve"> (לא פורסם, 14.5.2006)</w:t>
      </w:r>
    </w:p>
    <w:p w:rsidR="005366A8" w:rsidRDefault="005366A8" w:rsidP="005366A8">
      <w:pPr>
        <w:rPr>
          <w:sz w:val="22"/>
          <w:szCs w:val="22"/>
          <w:rtl/>
        </w:rPr>
      </w:pPr>
      <w:r w:rsidRPr="00AA32EC">
        <w:rPr>
          <w:rFonts w:hint="cs"/>
          <w:sz w:val="22"/>
          <w:szCs w:val="22"/>
          <w:highlight w:val="yellow"/>
          <w:rtl/>
        </w:rPr>
        <w:t xml:space="preserve">ראו </w:t>
      </w:r>
      <w:r>
        <w:rPr>
          <w:rFonts w:hint="cs"/>
          <w:sz w:val="22"/>
          <w:szCs w:val="22"/>
          <w:highlight w:val="yellow"/>
          <w:rtl/>
        </w:rPr>
        <w:t xml:space="preserve">להלן </w:t>
      </w:r>
      <w:r w:rsidRPr="00AA32EC">
        <w:rPr>
          <w:rFonts w:hint="cs"/>
          <w:sz w:val="22"/>
          <w:szCs w:val="22"/>
          <w:highlight w:val="yellow"/>
          <w:rtl/>
        </w:rPr>
        <w:t xml:space="preserve">את ניתוחו של פסק הדין במאמרו של ד"ר יששכר (איסי) רוזן צבי, "מהותו של ה'מקומי': </w:t>
      </w:r>
      <w:r w:rsidRPr="00AA32EC">
        <w:rPr>
          <w:sz w:val="22"/>
          <w:szCs w:val="22"/>
          <w:highlight w:val="yellow"/>
          <w:rtl/>
        </w:rPr>
        <w:t>הרהורים על מקומיו</w:t>
      </w:r>
      <w:r w:rsidRPr="00AA32EC">
        <w:rPr>
          <w:rFonts w:hint="cs"/>
          <w:sz w:val="22"/>
          <w:szCs w:val="22"/>
          <w:highlight w:val="yellow"/>
          <w:rtl/>
        </w:rPr>
        <w:t>ּ</w:t>
      </w:r>
      <w:r w:rsidRPr="00AA32EC">
        <w:rPr>
          <w:sz w:val="22"/>
          <w:szCs w:val="22"/>
          <w:highlight w:val="yellow"/>
          <w:rtl/>
        </w:rPr>
        <w:t>ת בעקבות בג"ץ</w:t>
      </w:r>
      <w:r w:rsidRPr="00AA32EC">
        <w:rPr>
          <w:rFonts w:hint="cs"/>
          <w:sz w:val="22"/>
          <w:szCs w:val="22"/>
          <w:highlight w:val="yellow"/>
          <w:rtl/>
        </w:rPr>
        <w:t xml:space="preserve"> 10104/04 </w:t>
      </w:r>
      <w:r w:rsidRPr="00AA32EC">
        <w:rPr>
          <w:sz w:val="22"/>
          <w:szCs w:val="22"/>
          <w:highlight w:val="yellow"/>
          <w:rtl/>
        </w:rPr>
        <w:t>שלום עכשיו נ' יוסף</w:t>
      </w:r>
      <w:r w:rsidRPr="00AA32EC">
        <w:rPr>
          <w:rFonts w:hint="cs"/>
          <w:sz w:val="22"/>
          <w:szCs w:val="22"/>
          <w:highlight w:val="yellow"/>
          <w:rtl/>
        </w:rPr>
        <w:t xml:space="preserve">", </w:t>
      </w:r>
      <w:r w:rsidRPr="00AA32EC">
        <w:rPr>
          <w:rFonts w:hint="cs"/>
          <w:b/>
          <w:bCs/>
          <w:sz w:val="22"/>
          <w:szCs w:val="22"/>
          <w:highlight w:val="yellow"/>
          <w:rtl/>
        </w:rPr>
        <w:t>משפט וממשל</w:t>
      </w:r>
      <w:r w:rsidRPr="00AA32EC">
        <w:rPr>
          <w:rFonts w:hint="cs"/>
          <w:sz w:val="22"/>
          <w:szCs w:val="22"/>
          <w:highlight w:val="yellow"/>
          <w:rtl/>
        </w:rPr>
        <w:t xml:space="preserve"> יב (2009) 333 [בהשמטת </w:t>
      </w:r>
      <w:r>
        <w:rPr>
          <w:rFonts w:hint="cs"/>
          <w:sz w:val="22"/>
          <w:szCs w:val="22"/>
          <w:highlight w:val="yellow"/>
          <w:rtl/>
        </w:rPr>
        <w:t>חלק מ</w:t>
      </w:r>
      <w:r w:rsidRPr="00AA32EC">
        <w:rPr>
          <w:rFonts w:hint="cs"/>
          <w:sz w:val="22"/>
          <w:szCs w:val="22"/>
          <w:highlight w:val="yellow"/>
          <w:rtl/>
        </w:rPr>
        <w:t>הסימוכין]:</w:t>
      </w:r>
    </w:p>
    <w:p w:rsidR="005366A8" w:rsidRDefault="005366A8" w:rsidP="005366A8">
      <w:pPr>
        <w:rPr>
          <w:sz w:val="22"/>
          <w:szCs w:val="22"/>
          <w:rtl/>
        </w:rPr>
      </w:pPr>
    </w:p>
    <w:p w:rsidR="005366A8" w:rsidRPr="001A2EC8" w:rsidRDefault="005366A8" w:rsidP="005366A8">
      <w:pPr>
        <w:rPr>
          <w:sz w:val="22"/>
          <w:szCs w:val="22"/>
          <w:rtl/>
        </w:rPr>
      </w:pPr>
      <w:r w:rsidRPr="001A2EC8">
        <w:rPr>
          <w:sz w:val="22"/>
          <w:szCs w:val="22"/>
          <w:rtl/>
        </w:rPr>
        <w:t>בלב פסק</w:t>
      </w:r>
      <w:r w:rsidRPr="001A2EC8">
        <w:rPr>
          <w:rFonts w:hint="cs"/>
          <w:sz w:val="22"/>
          <w:szCs w:val="22"/>
          <w:rtl/>
        </w:rPr>
        <w:t>-</w:t>
      </w:r>
      <w:r w:rsidRPr="001A2EC8">
        <w:rPr>
          <w:sz w:val="22"/>
          <w:szCs w:val="22"/>
          <w:rtl/>
        </w:rPr>
        <w:t xml:space="preserve">הדין בעניין </w:t>
      </w:r>
      <w:r w:rsidRPr="001A2EC8">
        <w:rPr>
          <w:b/>
          <w:bCs/>
          <w:sz w:val="22"/>
          <w:szCs w:val="22"/>
          <w:rtl/>
        </w:rPr>
        <w:t>שלום עכשיו נ' יוסף</w:t>
      </w:r>
      <w:r w:rsidRPr="001A2EC8">
        <w:rPr>
          <w:sz w:val="22"/>
          <w:szCs w:val="22"/>
          <w:rtl/>
        </w:rPr>
        <w:t xml:space="preserve"> עמדה השאלה הבאה: האם רשויות מקומיות בשטחים הכבושים ביהודה ושומרון מוסמכות לעשות שימוש בכספים מתקציביהן לשם מאבק בת</w:t>
      </w:r>
      <w:r w:rsidRPr="001A2EC8">
        <w:rPr>
          <w:rFonts w:hint="cs"/>
          <w:sz w:val="22"/>
          <w:szCs w:val="22"/>
          <w:rtl/>
        </w:rPr>
        <w:t>ו</w:t>
      </w:r>
      <w:r w:rsidRPr="001A2EC8">
        <w:rPr>
          <w:sz w:val="22"/>
          <w:szCs w:val="22"/>
          <w:rtl/>
        </w:rPr>
        <w:t>כנית מדינית-</w:t>
      </w:r>
      <w:r w:rsidRPr="001A2EC8">
        <w:rPr>
          <w:rFonts w:hint="cs"/>
          <w:sz w:val="22"/>
          <w:szCs w:val="22"/>
          <w:rtl/>
        </w:rPr>
        <w:t>ב</w:t>
      </w:r>
      <w:r w:rsidRPr="001A2EC8">
        <w:rPr>
          <w:sz w:val="22"/>
          <w:szCs w:val="22"/>
          <w:rtl/>
        </w:rPr>
        <w:t xml:space="preserve">טחונית-לאומית </w:t>
      </w:r>
      <w:r w:rsidRPr="001A2EC8">
        <w:rPr>
          <w:rFonts w:hint="cs"/>
          <w:sz w:val="22"/>
          <w:szCs w:val="22"/>
          <w:rtl/>
        </w:rPr>
        <w:t>ש</w:t>
      </w:r>
      <w:r w:rsidRPr="001A2EC8">
        <w:rPr>
          <w:sz w:val="22"/>
          <w:szCs w:val="22"/>
          <w:rtl/>
        </w:rPr>
        <w:t>עליה החליטה ממשלת ישראל – שכונתה "תוכנית ההתנתקות" – אשר במסגרתה נסוגה ישראל מרצועת עזה ומשטחים בצפון השומרון ופינתה אזרחים ישראלים שהתגוררו בשטחים אלה</w:t>
      </w:r>
      <w:r w:rsidRPr="001A2EC8">
        <w:rPr>
          <w:rFonts w:hint="cs"/>
          <w:sz w:val="22"/>
          <w:szCs w:val="22"/>
          <w:rtl/>
        </w:rPr>
        <w:t>?</w:t>
      </w:r>
    </w:p>
    <w:p w:rsidR="005366A8" w:rsidRPr="001A2EC8" w:rsidRDefault="005366A8" w:rsidP="005366A8">
      <w:pPr>
        <w:rPr>
          <w:sz w:val="22"/>
          <w:szCs w:val="22"/>
          <w:rtl/>
        </w:rPr>
      </w:pPr>
      <w:r w:rsidRPr="001A2EC8">
        <w:rPr>
          <w:sz w:val="22"/>
          <w:szCs w:val="22"/>
          <w:rtl/>
        </w:rPr>
        <w:t>לפסק</w:t>
      </w:r>
      <w:r w:rsidRPr="001A2EC8">
        <w:rPr>
          <w:rFonts w:hint="cs"/>
          <w:sz w:val="22"/>
          <w:szCs w:val="22"/>
          <w:rtl/>
        </w:rPr>
        <w:t>-</w:t>
      </w:r>
      <w:r w:rsidRPr="001A2EC8">
        <w:rPr>
          <w:sz w:val="22"/>
          <w:szCs w:val="22"/>
          <w:rtl/>
        </w:rPr>
        <w:t xml:space="preserve">הדין בעניין </w:t>
      </w:r>
      <w:r w:rsidRPr="001A2EC8">
        <w:rPr>
          <w:b/>
          <w:bCs/>
          <w:sz w:val="22"/>
          <w:szCs w:val="22"/>
          <w:rtl/>
        </w:rPr>
        <w:t>שלום עכשיו</w:t>
      </w:r>
      <w:r w:rsidRPr="001A2EC8">
        <w:rPr>
          <w:sz w:val="22"/>
          <w:szCs w:val="22"/>
          <w:rtl/>
        </w:rPr>
        <w:t xml:space="preserve"> קדם פסק</w:t>
      </w:r>
      <w:r w:rsidRPr="001A2EC8">
        <w:rPr>
          <w:rFonts w:hint="cs"/>
          <w:sz w:val="22"/>
          <w:szCs w:val="22"/>
          <w:rtl/>
        </w:rPr>
        <w:t>-ה</w:t>
      </w:r>
      <w:r w:rsidRPr="001A2EC8">
        <w:rPr>
          <w:sz w:val="22"/>
          <w:szCs w:val="22"/>
          <w:rtl/>
        </w:rPr>
        <w:t xml:space="preserve">דין </w:t>
      </w:r>
      <w:r w:rsidRPr="001A2EC8">
        <w:rPr>
          <w:rFonts w:hint="cs"/>
          <w:sz w:val="22"/>
          <w:szCs w:val="22"/>
          <w:rtl/>
        </w:rPr>
        <w:t xml:space="preserve">משנת 1997 בעניין </w:t>
      </w:r>
      <w:r w:rsidRPr="001A2EC8">
        <w:rPr>
          <w:b/>
          <w:bCs/>
          <w:sz w:val="22"/>
          <w:szCs w:val="22"/>
          <w:rtl/>
        </w:rPr>
        <w:t>גרינברג נ' המועצה המקומית קצרין</w:t>
      </w:r>
      <w:r w:rsidRPr="001A2EC8">
        <w:rPr>
          <w:sz w:val="22"/>
          <w:szCs w:val="22"/>
          <w:rtl/>
        </w:rPr>
        <w:t xml:space="preserve">, ששימש תשתית משפטית ומושגית לדיון בפרשת </w:t>
      </w:r>
      <w:r w:rsidRPr="001A2EC8">
        <w:rPr>
          <w:b/>
          <w:bCs/>
          <w:sz w:val="22"/>
          <w:szCs w:val="22"/>
          <w:rtl/>
        </w:rPr>
        <w:t>שלום עכשיו</w:t>
      </w:r>
      <w:r w:rsidRPr="001A2EC8">
        <w:rPr>
          <w:sz w:val="22"/>
          <w:szCs w:val="22"/>
          <w:rtl/>
        </w:rPr>
        <w:t>, ועל</w:t>
      </w:r>
      <w:r w:rsidRPr="001A2EC8">
        <w:rPr>
          <w:rFonts w:hint="cs"/>
          <w:sz w:val="22"/>
          <w:szCs w:val="22"/>
          <w:rtl/>
        </w:rPr>
        <w:t>-</w:t>
      </w:r>
      <w:r w:rsidRPr="001A2EC8">
        <w:rPr>
          <w:sz w:val="22"/>
          <w:szCs w:val="22"/>
          <w:rtl/>
        </w:rPr>
        <w:t xml:space="preserve">כן יש מקום לדון בו תחילה. בפרשת </w:t>
      </w:r>
      <w:r w:rsidRPr="001A2EC8">
        <w:rPr>
          <w:b/>
          <w:bCs/>
          <w:sz w:val="22"/>
          <w:szCs w:val="22"/>
          <w:rtl/>
        </w:rPr>
        <w:t>גרינברג</w:t>
      </w:r>
      <w:r w:rsidRPr="001A2EC8">
        <w:rPr>
          <w:sz w:val="22"/>
          <w:szCs w:val="22"/>
          <w:rtl/>
        </w:rPr>
        <w:t xml:space="preserve"> עתרו </w:t>
      </w:r>
      <w:r w:rsidRPr="001A2EC8">
        <w:rPr>
          <w:rFonts w:hint="cs"/>
          <w:sz w:val="22"/>
          <w:szCs w:val="22"/>
          <w:rtl/>
        </w:rPr>
        <w:t xml:space="preserve">כמה </w:t>
      </w:r>
      <w:r w:rsidRPr="001A2EC8">
        <w:rPr>
          <w:sz w:val="22"/>
          <w:szCs w:val="22"/>
          <w:rtl/>
        </w:rPr>
        <w:t>תושבים מן המועצה המקומית קצרין ו</w:t>
      </w:r>
      <w:r w:rsidRPr="001A2EC8">
        <w:rPr>
          <w:rFonts w:hint="cs"/>
          <w:sz w:val="22"/>
          <w:szCs w:val="22"/>
          <w:rtl/>
        </w:rPr>
        <w:t xml:space="preserve">מן </w:t>
      </w:r>
      <w:r w:rsidRPr="001A2EC8">
        <w:rPr>
          <w:sz w:val="22"/>
          <w:szCs w:val="22"/>
          <w:rtl/>
        </w:rPr>
        <w:t>המועצה האזורית גולן (להלן: המועצות) נגד הרשויות המקומיות שבהן התגוררו בטענה כי אלה הוציאו מתקציבן, לא כדין, כספים למימון קמפיין נגד כוונת ממשלת ישראל לסגת מרמת-הגולן במסגרת הסכם שלום כולל עם סוריה.</w:t>
      </w:r>
      <w:r w:rsidRPr="001A2EC8">
        <w:rPr>
          <w:sz w:val="22"/>
          <w:szCs w:val="22"/>
          <w:vertAlign w:val="superscript"/>
          <w:rtl/>
        </w:rPr>
        <w:footnoteReference w:id="61"/>
      </w:r>
      <w:r w:rsidRPr="001A2EC8">
        <w:rPr>
          <w:sz w:val="22"/>
          <w:szCs w:val="22"/>
          <w:rtl/>
        </w:rPr>
        <w:t xml:space="preserve"> טענת העותרים הייתה כי המועצות חרגו מסמכותן, שכן בדינים המכוננים אות</w:t>
      </w:r>
      <w:r w:rsidRPr="001A2EC8">
        <w:rPr>
          <w:rFonts w:hint="cs"/>
          <w:sz w:val="22"/>
          <w:szCs w:val="22"/>
          <w:rtl/>
        </w:rPr>
        <w:t>ן</w:t>
      </w:r>
      <w:r w:rsidRPr="001A2EC8">
        <w:rPr>
          <w:sz w:val="22"/>
          <w:szCs w:val="22"/>
          <w:rtl/>
        </w:rPr>
        <w:t xml:space="preserve"> הן הוסמכו אך ורק לדאוג לרווחת תושביהן בתחומים הכלכלי, הסוציאלי, החברתי והתרבותי, ולא לטפל בעניינים בעלי משמעות פוליטית ומדינית כלל-ארצית כמו שאלת הנסיגה מרמת-הגולן. היועץ המשפטי צירף חוות</w:t>
      </w:r>
      <w:r w:rsidRPr="001A2EC8">
        <w:rPr>
          <w:rFonts w:hint="cs"/>
          <w:sz w:val="22"/>
          <w:szCs w:val="22"/>
          <w:rtl/>
        </w:rPr>
        <w:t>-</w:t>
      </w:r>
      <w:r w:rsidRPr="001A2EC8">
        <w:rPr>
          <w:sz w:val="22"/>
          <w:szCs w:val="22"/>
          <w:rtl/>
        </w:rPr>
        <w:t xml:space="preserve">דעת שתמכה בעמדת העותרים. </w:t>
      </w:r>
      <w:r w:rsidRPr="001A2EC8">
        <w:rPr>
          <w:rFonts w:hint="cs"/>
          <w:sz w:val="22"/>
          <w:szCs w:val="22"/>
          <w:rtl/>
        </w:rPr>
        <w:t>כ</w:t>
      </w:r>
      <w:r w:rsidRPr="001A2EC8">
        <w:rPr>
          <w:sz w:val="22"/>
          <w:szCs w:val="22"/>
          <w:rtl/>
        </w:rPr>
        <w:t xml:space="preserve">נגד </w:t>
      </w:r>
      <w:r w:rsidRPr="001A2EC8">
        <w:rPr>
          <w:rFonts w:hint="cs"/>
          <w:sz w:val="22"/>
          <w:szCs w:val="22"/>
          <w:rtl/>
        </w:rPr>
        <w:t xml:space="preserve">זה </w:t>
      </w:r>
      <w:r w:rsidRPr="001A2EC8">
        <w:rPr>
          <w:sz w:val="22"/>
          <w:szCs w:val="22"/>
          <w:rtl/>
        </w:rPr>
        <w:t>טענו המועצות כי הקצאת הכספים נעשתה כדין</w:t>
      </w:r>
      <w:r w:rsidRPr="001A2EC8">
        <w:rPr>
          <w:rFonts w:hint="cs"/>
          <w:sz w:val="22"/>
          <w:szCs w:val="22"/>
          <w:rtl/>
        </w:rPr>
        <w:t>,</w:t>
      </w:r>
      <w:r w:rsidRPr="001A2EC8">
        <w:rPr>
          <w:sz w:val="22"/>
          <w:szCs w:val="22"/>
          <w:rtl/>
        </w:rPr>
        <w:t xml:space="preserve"> שכן פיתוח רמת-הגולן ואכלוסה, כמו</w:t>
      </w:r>
      <w:r w:rsidRPr="001A2EC8">
        <w:rPr>
          <w:rFonts w:hint="cs"/>
          <w:sz w:val="22"/>
          <w:szCs w:val="22"/>
          <w:rtl/>
        </w:rPr>
        <w:t>-</w:t>
      </w:r>
      <w:r w:rsidRPr="001A2EC8">
        <w:rPr>
          <w:sz w:val="22"/>
          <w:szCs w:val="22"/>
          <w:rtl/>
        </w:rPr>
        <w:t xml:space="preserve">גם כל מטרה אחרת המיועדת לשמירת הריבונות הישראלית על רמת-הגולן, הן מטרות לגיטימיות שעל יסודן נבחרו ראשי המועצות לתפקידם. </w:t>
      </w:r>
      <w:r w:rsidRPr="001A2EC8">
        <w:rPr>
          <w:rFonts w:hint="cs"/>
          <w:sz w:val="22"/>
          <w:szCs w:val="22"/>
          <w:rtl/>
        </w:rPr>
        <w:t xml:space="preserve">המועצות </w:t>
      </w:r>
      <w:r w:rsidRPr="001A2EC8">
        <w:rPr>
          <w:sz w:val="22"/>
          <w:szCs w:val="22"/>
          <w:rtl/>
        </w:rPr>
        <w:t>הודו כי סוגיית הריבונות הישראלית על רמת-הגולן היא סוגיה כלל</w:t>
      </w:r>
      <w:r w:rsidRPr="001A2EC8">
        <w:rPr>
          <w:rFonts w:hint="cs"/>
          <w:sz w:val="22"/>
          <w:szCs w:val="22"/>
          <w:rtl/>
        </w:rPr>
        <w:t>-</w:t>
      </w:r>
      <w:r w:rsidRPr="001A2EC8">
        <w:rPr>
          <w:sz w:val="22"/>
          <w:szCs w:val="22"/>
          <w:rtl/>
        </w:rPr>
        <w:t>ארצית, אך טענו כי קיים בצידה גם היבט מקומי ייחודי</w:t>
      </w:r>
      <w:r w:rsidRPr="001A2EC8">
        <w:rPr>
          <w:rFonts w:hint="cs"/>
          <w:sz w:val="22"/>
          <w:szCs w:val="22"/>
          <w:rtl/>
        </w:rPr>
        <w:t>,</w:t>
      </w:r>
      <w:r w:rsidRPr="001A2EC8">
        <w:rPr>
          <w:sz w:val="22"/>
          <w:szCs w:val="22"/>
          <w:rtl/>
        </w:rPr>
        <w:t xml:space="preserve"> שכן גורל</w:t>
      </w:r>
      <w:r w:rsidRPr="001A2EC8">
        <w:rPr>
          <w:rFonts w:hint="cs"/>
          <w:sz w:val="22"/>
          <w:szCs w:val="22"/>
          <w:rtl/>
        </w:rPr>
        <w:t>ם של</w:t>
      </w:r>
      <w:r w:rsidRPr="001A2EC8">
        <w:rPr>
          <w:sz w:val="22"/>
          <w:szCs w:val="22"/>
          <w:rtl/>
        </w:rPr>
        <w:t xml:space="preserve"> תושבי רמת-הגולן קשור לגורל המועצות ולהמשך קיומ</w:t>
      </w:r>
      <w:r w:rsidRPr="001A2EC8">
        <w:rPr>
          <w:rFonts w:hint="cs"/>
          <w:sz w:val="22"/>
          <w:szCs w:val="22"/>
          <w:rtl/>
        </w:rPr>
        <w:t>ן</w:t>
      </w:r>
      <w:r w:rsidRPr="001A2EC8">
        <w:rPr>
          <w:sz w:val="22"/>
          <w:szCs w:val="22"/>
          <w:rtl/>
        </w:rPr>
        <w:t>.</w:t>
      </w:r>
    </w:p>
    <w:p w:rsidR="005366A8" w:rsidRPr="001A2EC8" w:rsidRDefault="005366A8" w:rsidP="005366A8">
      <w:pPr>
        <w:rPr>
          <w:sz w:val="22"/>
          <w:szCs w:val="22"/>
          <w:rtl/>
        </w:rPr>
      </w:pPr>
      <w:r w:rsidRPr="001A2EC8">
        <w:rPr>
          <w:sz w:val="22"/>
          <w:szCs w:val="22"/>
          <w:rtl/>
        </w:rPr>
        <w:t>שופטי בית</w:t>
      </w:r>
      <w:r w:rsidRPr="001A2EC8">
        <w:rPr>
          <w:rFonts w:hint="cs"/>
          <w:sz w:val="22"/>
          <w:szCs w:val="22"/>
          <w:rtl/>
        </w:rPr>
        <w:t>-</w:t>
      </w:r>
      <w:r w:rsidRPr="001A2EC8">
        <w:rPr>
          <w:sz w:val="22"/>
          <w:szCs w:val="22"/>
          <w:rtl/>
        </w:rPr>
        <w:t xml:space="preserve">המשפט העליון </w:t>
      </w:r>
      <w:r>
        <w:rPr>
          <w:rFonts w:hint="cs"/>
          <w:sz w:val="22"/>
          <w:szCs w:val="22"/>
          <w:rtl/>
        </w:rPr>
        <w:t xml:space="preserve">[בגרינברג] </w:t>
      </w:r>
      <w:r w:rsidRPr="001A2EC8">
        <w:rPr>
          <w:sz w:val="22"/>
          <w:szCs w:val="22"/>
          <w:rtl/>
        </w:rPr>
        <w:t>נחלקו בעמדותיהם. לכל השופטים לא היה ספק כי לשו</w:t>
      </w:r>
      <w:r w:rsidRPr="001A2EC8">
        <w:rPr>
          <w:rFonts w:hint="cs"/>
          <w:sz w:val="22"/>
          <w:szCs w:val="22"/>
          <w:rtl/>
        </w:rPr>
        <w:t>נם</w:t>
      </w:r>
      <w:r w:rsidRPr="001A2EC8">
        <w:rPr>
          <w:sz w:val="22"/>
          <w:szCs w:val="22"/>
          <w:rtl/>
        </w:rPr>
        <w:t xml:space="preserve"> </w:t>
      </w:r>
      <w:r w:rsidRPr="001A2EC8">
        <w:rPr>
          <w:rFonts w:hint="cs"/>
          <w:sz w:val="22"/>
          <w:szCs w:val="22"/>
          <w:rtl/>
        </w:rPr>
        <w:t xml:space="preserve">של </w:t>
      </w:r>
      <w:r w:rsidRPr="001A2EC8">
        <w:rPr>
          <w:sz w:val="22"/>
          <w:szCs w:val="22"/>
          <w:rtl/>
        </w:rPr>
        <w:t xml:space="preserve">סעיפי ההסמכה הכללית החלים על המועצות, </w:t>
      </w:r>
      <w:r w:rsidRPr="001A2EC8">
        <w:rPr>
          <w:rFonts w:hint="cs"/>
          <w:sz w:val="22"/>
          <w:szCs w:val="22"/>
          <w:rtl/>
        </w:rPr>
        <w:t xml:space="preserve">אשר </w:t>
      </w:r>
      <w:r w:rsidRPr="001A2EC8">
        <w:rPr>
          <w:sz w:val="22"/>
          <w:szCs w:val="22"/>
          <w:rtl/>
        </w:rPr>
        <w:t>מסמיכים אותן "לפעול בכל עניין הנוגע לציבור בתחום המועצה"</w:t>
      </w:r>
      <w:r w:rsidRPr="001A2EC8">
        <w:rPr>
          <w:rFonts w:hint="cs"/>
          <w:sz w:val="22"/>
          <w:szCs w:val="22"/>
          <w:rtl/>
        </w:rPr>
        <w:t>,</w:t>
      </w:r>
      <w:r w:rsidRPr="001A2EC8">
        <w:rPr>
          <w:sz w:val="22"/>
          <w:szCs w:val="22"/>
          <w:vertAlign w:val="superscript"/>
          <w:rtl/>
        </w:rPr>
        <w:footnoteReference w:id="62"/>
      </w:r>
      <w:r w:rsidRPr="001A2EC8">
        <w:rPr>
          <w:sz w:val="22"/>
          <w:szCs w:val="22"/>
          <w:rtl/>
        </w:rPr>
        <w:t xml:space="preserve"> יכולה </w:t>
      </w:r>
      <w:r w:rsidRPr="001A2EC8">
        <w:rPr>
          <w:rFonts w:hint="cs"/>
          <w:sz w:val="22"/>
          <w:szCs w:val="22"/>
          <w:rtl/>
        </w:rPr>
        <w:t xml:space="preserve">לשאת </w:t>
      </w:r>
      <w:r w:rsidRPr="001A2EC8">
        <w:rPr>
          <w:sz w:val="22"/>
          <w:szCs w:val="22"/>
          <w:rtl/>
        </w:rPr>
        <w:t xml:space="preserve">בקלות רבה פרשנות </w:t>
      </w:r>
      <w:r w:rsidRPr="001A2EC8">
        <w:rPr>
          <w:rFonts w:hint="cs"/>
          <w:sz w:val="22"/>
          <w:szCs w:val="22"/>
          <w:rtl/>
        </w:rPr>
        <w:t>ש</w:t>
      </w:r>
      <w:r w:rsidRPr="001A2EC8">
        <w:rPr>
          <w:sz w:val="22"/>
          <w:szCs w:val="22"/>
          <w:rtl/>
        </w:rPr>
        <w:t>לפיה הקצאת כספים למימון קמפיין מחאה נגד נסיגה מרמת</w:t>
      </w:r>
      <w:r w:rsidRPr="001A2EC8">
        <w:rPr>
          <w:rFonts w:hint="cs"/>
          <w:sz w:val="22"/>
          <w:szCs w:val="22"/>
          <w:rtl/>
        </w:rPr>
        <w:t>-</w:t>
      </w:r>
      <w:r w:rsidRPr="001A2EC8">
        <w:rPr>
          <w:sz w:val="22"/>
          <w:szCs w:val="22"/>
          <w:rtl/>
        </w:rPr>
        <w:t>הגולן כלולה בגדר הסמכות. משכך, השאלה הרלוונטית שעמדה לדיון הייתה מהי הפרשנות הפונקציונלית הראויה של סעיפי ההסמכה</w:t>
      </w:r>
      <w:r w:rsidRPr="001A2EC8">
        <w:rPr>
          <w:rFonts w:hint="cs"/>
          <w:sz w:val="22"/>
          <w:szCs w:val="22"/>
          <w:rtl/>
        </w:rPr>
        <w:t>,</w:t>
      </w:r>
      <w:r w:rsidRPr="001A2EC8">
        <w:rPr>
          <w:sz w:val="22"/>
          <w:szCs w:val="22"/>
          <w:rtl/>
        </w:rPr>
        <w:t xml:space="preserve"> או במילים אחרות </w:t>
      </w:r>
      <w:r w:rsidRPr="001A2EC8">
        <w:rPr>
          <w:rFonts w:hint="cs"/>
          <w:sz w:val="22"/>
          <w:szCs w:val="22"/>
          <w:rtl/>
        </w:rPr>
        <w:t xml:space="preserve">– </w:t>
      </w:r>
      <w:r w:rsidRPr="001A2EC8">
        <w:rPr>
          <w:sz w:val="22"/>
          <w:szCs w:val="22"/>
          <w:rtl/>
        </w:rPr>
        <w:t xml:space="preserve">מהו המבחן שבאמצעותו יש לבחון אם עניין מסוים הוא "עניין בעל אופי לוקאלי" </w:t>
      </w:r>
      <w:r w:rsidRPr="001A2EC8">
        <w:rPr>
          <w:rFonts w:hint="cs"/>
          <w:sz w:val="22"/>
          <w:szCs w:val="22"/>
          <w:rtl/>
        </w:rPr>
        <w:t xml:space="preserve">אשר </w:t>
      </w:r>
      <w:r w:rsidRPr="001A2EC8">
        <w:rPr>
          <w:sz w:val="22"/>
          <w:szCs w:val="22"/>
          <w:rtl/>
        </w:rPr>
        <w:t>רשויות מקומיות מוסמכות לטפל</w:t>
      </w:r>
      <w:r w:rsidRPr="001A2EC8">
        <w:rPr>
          <w:rFonts w:hint="cs"/>
          <w:sz w:val="22"/>
          <w:szCs w:val="22"/>
          <w:rtl/>
        </w:rPr>
        <w:t xml:space="preserve"> בו</w:t>
      </w:r>
      <w:r w:rsidRPr="001A2EC8">
        <w:rPr>
          <w:sz w:val="22"/>
          <w:szCs w:val="22"/>
          <w:rtl/>
        </w:rPr>
        <w:t xml:space="preserve">. השופטת דורנר סברה, בדעת מיעוט, כי בהקצאת הכספים </w:t>
      </w:r>
      <w:r w:rsidRPr="001A2EC8">
        <w:rPr>
          <w:rFonts w:hint="cs"/>
          <w:sz w:val="22"/>
          <w:szCs w:val="22"/>
          <w:rtl/>
        </w:rPr>
        <w:t xml:space="preserve">הנידונה חרגו </w:t>
      </w:r>
      <w:r w:rsidRPr="001A2EC8">
        <w:rPr>
          <w:sz w:val="22"/>
          <w:szCs w:val="22"/>
          <w:rtl/>
        </w:rPr>
        <w:t xml:space="preserve">המועצות מסמכותן. לשיטתה, דברי החקיקה החלים על הרשויות המקומיות קובעים להן "מיתחם מוגבל למדיי של אוטונומיה, ומכפיפות אותן במידה רבה לשלטון המרכזי". מהבנה זו של השלטון המקומי </w:t>
      </w:r>
      <w:r w:rsidRPr="001A2EC8">
        <w:rPr>
          <w:rFonts w:hint="cs"/>
          <w:sz w:val="22"/>
          <w:szCs w:val="22"/>
          <w:rtl/>
        </w:rPr>
        <w:t xml:space="preserve">גזרה </w:t>
      </w:r>
      <w:r w:rsidRPr="001A2EC8">
        <w:rPr>
          <w:sz w:val="22"/>
          <w:szCs w:val="22"/>
          <w:rtl/>
        </w:rPr>
        <w:t>השופטת דורנר את תכלית החקיקה המסמיכה, והיא לדאוג לכך שלציבור בתחום הרשויות המקומיות יסופקו שירותים מוניציפ</w:t>
      </w:r>
      <w:r w:rsidRPr="001A2EC8">
        <w:rPr>
          <w:rFonts w:hint="cs"/>
          <w:sz w:val="22"/>
          <w:szCs w:val="22"/>
          <w:rtl/>
        </w:rPr>
        <w:t>ליים</w:t>
      </w:r>
      <w:r w:rsidRPr="001A2EC8">
        <w:rPr>
          <w:sz w:val="22"/>
          <w:szCs w:val="22"/>
          <w:rtl/>
        </w:rPr>
        <w:t>. הא ותו לא. על</w:t>
      </w:r>
      <w:r w:rsidRPr="001A2EC8">
        <w:rPr>
          <w:rFonts w:hint="cs"/>
          <w:sz w:val="22"/>
          <w:szCs w:val="22"/>
          <w:rtl/>
        </w:rPr>
        <w:t>-</w:t>
      </w:r>
      <w:r w:rsidRPr="001A2EC8">
        <w:rPr>
          <w:sz w:val="22"/>
          <w:szCs w:val="22"/>
          <w:rtl/>
        </w:rPr>
        <w:t xml:space="preserve">כן </w:t>
      </w:r>
      <w:r w:rsidRPr="001A2EC8">
        <w:rPr>
          <w:rFonts w:hint="cs"/>
          <w:sz w:val="22"/>
          <w:szCs w:val="22"/>
          <w:rtl/>
        </w:rPr>
        <w:t>ה</w:t>
      </w:r>
      <w:r w:rsidRPr="001A2EC8">
        <w:rPr>
          <w:sz w:val="22"/>
          <w:szCs w:val="22"/>
          <w:rtl/>
        </w:rPr>
        <w:t xml:space="preserve">כריעה </w:t>
      </w:r>
      <w:r w:rsidRPr="001A2EC8">
        <w:rPr>
          <w:rFonts w:hint="cs"/>
          <w:sz w:val="22"/>
          <w:szCs w:val="22"/>
          <w:rtl/>
        </w:rPr>
        <w:t xml:space="preserve">השופטת כי </w:t>
      </w:r>
      <w:r w:rsidRPr="001A2EC8">
        <w:rPr>
          <w:sz w:val="22"/>
          <w:szCs w:val="22"/>
          <w:rtl/>
        </w:rPr>
        <w:t xml:space="preserve">סמכויותיהן של הרשויות המקומיות מצומצמות לעניינים מקומיים טהורים בלבד, ואין להעניק לרשויות מקומיות סמכות </w:t>
      </w:r>
      <w:r w:rsidRPr="001A2EC8">
        <w:rPr>
          <w:rFonts w:hint="cs"/>
          <w:sz w:val="22"/>
          <w:szCs w:val="22"/>
          <w:rtl/>
        </w:rPr>
        <w:t>"</w:t>
      </w:r>
      <w:r w:rsidRPr="001A2EC8">
        <w:rPr>
          <w:sz w:val="22"/>
          <w:szCs w:val="22"/>
          <w:rtl/>
        </w:rPr>
        <w:t>מקבילה</w:t>
      </w:r>
      <w:r w:rsidRPr="001A2EC8">
        <w:rPr>
          <w:rFonts w:hint="cs"/>
          <w:sz w:val="22"/>
          <w:szCs w:val="22"/>
          <w:rtl/>
        </w:rPr>
        <w:t>"</w:t>
      </w:r>
      <w:r w:rsidRPr="001A2EC8">
        <w:rPr>
          <w:sz w:val="22"/>
          <w:szCs w:val="22"/>
          <w:rtl/>
        </w:rPr>
        <w:t xml:space="preserve"> לסמכויותיהן של רשויות המדינה בעניינים כלל-ארציים, גם כאשר אלה נוגעים </w:t>
      </w:r>
      <w:r w:rsidRPr="001A2EC8">
        <w:rPr>
          <w:rFonts w:hint="cs"/>
          <w:sz w:val="22"/>
          <w:szCs w:val="22"/>
          <w:rtl/>
        </w:rPr>
        <w:t>ב</w:t>
      </w:r>
      <w:r w:rsidRPr="001A2EC8">
        <w:rPr>
          <w:sz w:val="22"/>
          <w:szCs w:val="22"/>
          <w:rtl/>
        </w:rPr>
        <w:t>מקום מסוים.</w:t>
      </w:r>
    </w:p>
    <w:p w:rsidR="005366A8" w:rsidRPr="001A2EC8" w:rsidRDefault="005366A8" w:rsidP="005366A8">
      <w:pPr>
        <w:spacing w:after="120"/>
        <w:rPr>
          <w:sz w:val="22"/>
          <w:szCs w:val="22"/>
          <w:rtl/>
        </w:rPr>
      </w:pPr>
      <w:r w:rsidRPr="001A2EC8">
        <w:rPr>
          <w:sz w:val="22"/>
          <w:szCs w:val="22"/>
          <w:rtl/>
        </w:rPr>
        <w:t xml:space="preserve">לעומתה, שופטי הרוב לוין וגולדברג הכריעו כי המועצות פעלו בגדר סמכותן, אולם אף הם נחלקו באשר למבחן הראוי לקביעת סמכויותיהן של רשויות מקומיות. המשנה לנשיא, השופט שלמה לוין, </w:t>
      </w:r>
      <w:r w:rsidRPr="001A2EC8">
        <w:rPr>
          <w:rFonts w:hint="cs"/>
          <w:sz w:val="22"/>
          <w:szCs w:val="22"/>
          <w:rtl/>
        </w:rPr>
        <w:t>ה</w:t>
      </w:r>
      <w:r w:rsidRPr="001A2EC8">
        <w:rPr>
          <w:sz w:val="22"/>
          <w:szCs w:val="22"/>
          <w:rtl/>
        </w:rPr>
        <w:t xml:space="preserve">צביע על כך </w:t>
      </w:r>
      <w:r w:rsidRPr="001A2EC8">
        <w:rPr>
          <w:rFonts w:hint="cs"/>
          <w:sz w:val="22"/>
          <w:szCs w:val="22"/>
          <w:rtl/>
        </w:rPr>
        <w:t>ש</w:t>
      </w:r>
      <w:r w:rsidRPr="001A2EC8">
        <w:rPr>
          <w:sz w:val="22"/>
          <w:szCs w:val="22"/>
          <w:rtl/>
        </w:rPr>
        <w:t>אף</w:t>
      </w:r>
      <w:r w:rsidRPr="001A2EC8">
        <w:rPr>
          <w:rFonts w:hint="cs"/>
          <w:sz w:val="22"/>
          <w:szCs w:val="22"/>
          <w:rtl/>
        </w:rPr>
        <w:t>-על-פי</w:t>
      </w:r>
      <w:r w:rsidRPr="001A2EC8">
        <w:rPr>
          <w:sz w:val="22"/>
          <w:szCs w:val="22"/>
          <w:rtl/>
        </w:rPr>
        <w:t xml:space="preserve"> שהעיקרון </w:t>
      </w:r>
      <w:r w:rsidRPr="001A2EC8">
        <w:rPr>
          <w:rFonts w:hint="cs"/>
          <w:sz w:val="22"/>
          <w:szCs w:val="22"/>
          <w:rtl/>
        </w:rPr>
        <w:t>ש</w:t>
      </w:r>
      <w:r w:rsidRPr="001A2EC8">
        <w:rPr>
          <w:sz w:val="22"/>
          <w:szCs w:val="22"/>
          <w:rtl/>
        </w:rPr>
        <w:t xml:space="preserve">לפיו על רשויות מקומיות לעסוק אך ורק בעניינים בעלי אופי </w:t>
      </w:r>
      <w:r w:rsidRPr="001A2EC8">
        <w:rPr>
          <w:rFonts w:hint="cs"/>
          <w:sz w:val="22"/>
          <w:szCs w:val="22"/>
          <w:rtl/>
        </w:rPr>
        <w:t xml:space="preserve">מקומי </w:t>
      </w:r>
      <w:r w:rsidRPr="001A2EC8">
        <w:rPr>
          <w:sz w:val="22"/>
          <w:szCs w:val="22"/>
          <w:rtl/>
        </w:rPr>
        <w:t>הוא ברור, החלתו במקרים קונקרטיים מעוררת קשיים לע</w:t>
      </w:r>
      <w:r w:rsidRPr="001A2EC8">
        <w:rPr>
          <w:rFonts w:hint="cs"/>
          <w:sz w:val="22"/>
          <w:szCs w:val="22"/>
          <w:rtl/>
        </w:rPr>
        <w:t>י</w:t>
      </w:r>
      <w:r w:rsidRPr="001A2EC8">
        <w:rPr>
          <w:sz w:val="22"/>
          <w:szCs w:val="22"/>
          <w:rtl/>
        </w:rPr>
        <w:t xml:space="preserve">תים קרובות, משום "שאין כמעט פעילות בתחום הציבורי שאינה משלבת אינטרסים לוקליים ולאומיים". מכאן </w:t>
      </w:r>
      <w:r w:rsidRPr="001A2EC8">
        <w:rPr>
          <w:rFonts w:hint="cs"/>
          <w:sz w:val="22"/>
          <w:szCs w:val="22"/>
          <w:rtl/>
        </w:rPr>
        <w:t>ה</w:t>
      </w:r>
      <w:r w:rsidRPr="001A2EC8">
        <w:rPr>
          <w:sz w:val="22"/>
          <w:szCs w:val="22"/>
          <w:rtl/>
        </w:rPr>
        <w:t xml:space="preserve">משיך השופט לוין </w:t>
      </w:r>
      <w:r w:rsidRPr="001A2EC8">
        <w:rPr>
          <w:rFonts w:hint="cs"/>
          <w:sz w:val="22"/>
          <w:szCs w:val="22"/>
          <w:rtl/>
        </w:rPr>
        <w:t>וא</w:t>
      </w:r>
      <w:r w:rsidRPr="001A2EC8">
        <w:rPr>
          <w:sz w:val="22"/>
          <w:szCs w:val="22"/>
          <w:rtl/>
        </w:rPr>
        <w:t>מר כי את אמות</w:t>
      </w:r>
      <w:r w:rsidRPr="001A2EC8">
        <w:rPr>
          <w:rFonts w:hint="cs"/>
          <w:sz w:val="22"/>
          <w:szCs w:val="22"/>
          <w:rtl/>
        </w:rPr>
        <w:t>-</w:t>
      </w:r>
      <w:r w:rsidRPr="001A2EC8">
        <w:rPr>
          <w:sz w:val="22"/>
          <w:szCs w:val="22"/>
          <w:rtl/>
        </w:rPr>
        <w:t>המידה לקביעת סמכויותיהן של הרשויות המקומיות יש לגזור מן האופן שבו אנו מבינים את מהותו של השלטון המקומי ואת יחסי</w:t>
      </w:r>
      <w:r w:rsidRPr="001A2EC8">
        <w:rPr>
          <w:rFonts w:hint="cs"/>
          <w:sz w:val="22"/>
          <w:szCs w:val="22"/>
          <w:rtl/>
        </w:rPr>
        <w:t>-</w:t>
      </w:r>
      <w:r w:rsidRPr="001A2EC8">
        <w:rPr>
          <w:sz w:val="22"/>
          <w:szCs w:val="22"/>
          <w:rtl/>
        </w:rPr>
        <w:t xml:space="preserve">הגומלין בינו לבין השלטון המרכזי. הוא </w:t>
      </w:r>
      <w:r w:rsidRPr="001A2EC8">
        <w:rPr>
          <w:rFonts w:hint="cs"/>
          <w:sz w:val="22"/>
          <w:szCs w:val="22"/>
          <w:rtl/>
        </w:rPr>
        <w:t>ד</w:t>
      </w:r>
      <w:r w:rsidRPr="001A2EC8">
        <w:rPr>
          <w:sz w:val="22"/>
          <w:szCs w:val="22"/>
          <w:rtl/>
        </w:rPr>
        <w:t xml:space="preserve">חה את המבחן שהציעו העותרים ונציגי המדינה, </w:t>
      </w:r>
      <w:r w:rsidRPr="001A2EC8">
        <w:rPr>
          <w:rFonts w:hint="cs"/>
          <w:sz w:val="22"/>
          <w:szCs w:val="22"/>
          <w:rtl/>
        </w:rPr>
        <w:t>ש</w:t>
      </w:r>
      <w:r w:rsidRPr="001A2EC8">
        <w:rPr>
          <w:sz w:val="22"/>
          <w:szCs w:val="22"/>
          <w:rtl/>
        </w:rPr>
        <w:t xml:space="preserve">לפיו הרשויות המקומיות מנועות מלטפל בכל עניין </w:t>
      </w:r>
      <w:r w:rsidRPr="001A2EC8">
        <w:rPr>
          <w:rFonts w:hint="cs"/>
          <w:sz w:val="22"/>
          <w:szCs w:val="22"/>
          <w:rtl/>
        </w:rPr>
        <w:t xml:space="preserve">שיש לו </w:t>
      </w:r>
      <w:r w:rsidRPr="001A2EC8">
        <w:rPr>
          <w:sz w:val="22"/>
          <w:szCs w:val="22"/>
          <w:rtl/>
        </w:rPr>
        <w:t>השלכות לאומיות או כלל-ארציות</w:t>
      </w:r>
      <w:r w:rsidRPr="001A2EC8">
        <w:rPr>
          <w:rFonts w:hint="cs"/>
          <w:sz w:val="22"/>
          <w:szCs w:val="22"/>
          <w:rtl/>
        </w:rPr>
        <w:t xml:space="preserve"> –</w:t>
      </w:r>
      <w:r w:rsidRPr="001A2EC8">
        <w:rPr>
          <w:sz w:val="22"/>
          <w:szCs w:val="22"/>
          <w:rtl/>
        </w:rPr>
        <w:t xml:space="preserve"> מבחן </w:t>
      </w:r>
      <w:r w:rsidRPr="001A2EC8">
        <w:rPr>
          <w:rFonts w:hint="cs"/>
          <w:sz w:val="22"/>
          <w:szCs w:val="22"/>
          <w:rtl/>
        </w:rPr>
        <w:t xml:space="preserve">אשר </w:t>
      </w:r>
      <w:r w:rsidRPr="001A2EC8">
        <w:rPr>
          <w:sz w:val="22"/>
          <w:szCs w:val="22"/>
          <w:rtl/>
        </w:rPr>
        <w:t xml:space="preserve">מבוסס לטענתו על מודל </w:t>
      </w:r>
      <w:r w:rsidRPr="001A2EC8">
        <w:rPr>
          <w:rFonts w:hint="cs"/>
          <w:sz w:val="22"/>
          <w:szCs w:val="22"/>
          <w:rtl/>
        </w:rPr>
        <w:t>היררכי ש</w:t>
      </w:r>
      <w:r w:rsidRPr="001A2EC8">
        <w:rPr>
          <w:sz w:val="22"/>
          <w:szCs w:val="22"/>
          <w:rtl/>
        </w:rPr>
        <w:t>לפיו הרשויות המקומיות אינן אלא זרוע ביצועית של השלטון המרכזי ושואבות ממנו את כל סמכויותיהן. מאידך</w:t>
      </w:r>
      <w:r w:rsidRPr="001A2EC8">
        <w:rPr>
          <w:rFonts w:hint="cs"/>
          <w:sz w:val="22"/>
          <w:szCs w:val="22"/>
          <w:rtl/>
        </w:rPr>
        <w:t xml:space="preserve"> גיסא</w:t>
      </w:r>
      <w:r w:rsidRPr="001A2EC8">
        <w:rPr>
          <w:sz w:val="22"/>
          <w:szCs w:val="22"/>
          <w:rtl/>
        </w:rPr>
        <w:t xml:space="preserve">, הוא </w:t>
      </w:r>
      <w:r w:rsidRPr="001A2EC8">
        <w:rPr>
          <w:rFonts w:hint="cs"/>
          <w:sz w:val="22"/>
          <w:szCs w:val="22"/>
          <w:rtl/>
        </w:rPr>
        <w:t xml:space="preserve">לא קיבל גם </w:t>
      </w:r>
      <w:r w:rsidRPr="001A2EC8">
        <w:rPr>
          <w:sz w:val="22"/>
          <w:szCs w:val="22"/>
          <w:rtl/>
        </w:rPr>
        <w:t xml:space="preserve">את המבחן שהציעו המועצות-המשיבות, המבוסס על מודל אוטונומי-ביזורי של השלטון המקומי, </w:t>
      </w:r>
      <w:r w:rsidRPr="001A2EC8">
        <w:rPr>
          <w:rFonts w:hint="cs"/>
          <w:sz w:val="22"/>
          <w:szCs w:val="22"/>
          <w:rtl/>
        </w:rPr>
        <w:t>ש</w:t>
      </w:r>
      <w:r w:rsidRPr="001A2EC8">
        <w:rPr>
          <w:sz w:val="22"/>
          <w:szCs w:val="22"/>
          <w:rtl/>
        </w:rPr>
        <w:t xml:space="preserve">לפיו רשות מקומית רשאית לפעול בכל עניין, אף אם </w:t>
      </w:r>
      <w:r w:rsidRPr="001A2EC8">
        <w:rPr>
          <w:rFonts w:hint="cs"/>
          <w:sz w:val="22"/>
          <w:szCs w:val="22"/>
          <w:rtl/>
        </w:rPr>
        <w:t xml:space="preserve">יש לו </w:t>
      </w:r>
      <w:r w:rsidRPr="001A2EC8">
        <w:rPr>
          <w:sz w:val="22"/>
          <w:szCs w:val="22"/>
          <w:rtl/>
        </w:rPr>
        <w:t xml:space="preserve">משמעות לאומית או כלל-ארצית, כל עוד יש לאותו עניין נגיעה ממשית וספציפית </w:t>
      </w:r>
      <w:r w:rsidRPr="001A2EC8">
        <w:rPr>
          <w:rFonts w:hint="cs"/>
          <w:sz w:val="22"/>
          <w:szCs w:val="22"/>
          <w:rtl/>
        </w:rPr>
        <w:t>ב</w:t>
      </w:r>
      <w:r w:rsidRPr="001A2EC8">
        <w:rPr>
          <w:sz w:val="22"/>
          <w:szCs w:val="22"/>
          <w:rtl/>
        </w:rPr>
        <w:t xml:space="preserve">ציבור </w:t>
      </w:r>
      <w:r w:rsidRPr="001A2EC8">
        <w:rPr>
          <w:rFonts w:hint="cs"/>
          <w:sz w:val="22"/>
          <w:szCs w:val="22"/>
          <w:rtl/>
        </w:rPr>
        <w:t xml:space="preserve">המתגורר </w:t>
      </w:r>
      <w:r w:rsidRPr="001A2EC8">
        <w:rPr>
          <w:sz w:val="22"/>
          <w:szCs w:val="22"/>
          <w:rtl/>
        </w:rPr>
        <w:t xml:space="preserve">בתחום הרשות המקומית. במקום שני המבחנים האלה </w:t>
      </w:r>
      <w:r w:rsidRPr="001A2EC8">
        <w:rPr>
          <w:rFonts w:hint="cs"/>
          <w:sz w:val="22"/>
          <w:szCs w:val="22"/>
          <w:rtl/>
        </w:rPr>
        <w:t>ה</w:t>
      </w:r>
      <w:r w:rsidRPr="001A2EC8">
        <w:rPr>
          <w:sz w:val="22"/>
          <w:szCs w:val="22"/>
          <w:rtl/>
        </w:rPr>
        <w:t xml:space="preserve">ציע השופט לוין מבחן המבוסס על מודל </w:t>
      </w:r>
      <w:r w:rsidRPr="001A2EC8">
        <w:rPr>
          <w:rFonts w:hint="cs"/>
          <w:sz w:val="22"/>
          <w:szCs w:val="22"/>
          <w:rtl/>
        </w:rPr>
        <w:t xml:space="preserve">שאותו </w:t>
      </w:r>
      <w:r w:rsidRPr="001A2EC8">
        <w:rPr>
          <w:sz w:val="22"/>
          <w:szCs w:val="22"/>
          <w:rtl/>
        </w:rPr>
        <w:t>כ</w:t>
      </w:r>
      <w:r w:rsidRPr="001A2EC8">
        <w:rPr>
          <w:rFonts w:hint="cs"/>
          <w:sz w:val="22"/>
          <w:szCs w:val="22"/>
          <w:rtl/>
        </w:rPr>
        <w:t>י</w:t>
      </w:r>
      <w:r w:rsidRPr="001A2EC8">
        <w:rPr>
          <w:sz w:val="22"/>
          <w:szCs w:val="22"/>
          <w:rtl/>
        </w:rPr>
        <w:t>נה "מודל</w:t>
      </w:r>
      <w:r w:rsidRPr="001A2EC8">
        <w:rPr>
          <w:rFonts w:hint="cs"/>
          <w:sz w:val="22"/>
          <w:szCs w:val="22"/>
          <w:rtl/>
        </w:rPr>
        <w:t>-</w:t>
      </w:r>
      <w:r w:rsidRPr="001A2EC8">
        <w:rPr>
          <w:sz w:val="22"/>
          <w:szCs w:val="22"/>
          <w:rtl/>
        </w:rPr>
        <w:t>ביניים", הרואה את שתי המערכות – המקומית והארצית – כתלויות זו בזו באופן הדדי. על</w:t>
      </w:r>
      <w:r w:rsidRPr="001A2EC8">
        <w:rPr>
          <w:rFonts w:hint="cs"/>
          <w:sz w:val="22"/>
          <w:szCs w:val="22"/>
          <w:rtl/>
        </w:rPr>
        <w:t>-</w:t>
      </w:r>
      <w:r w:rsidRPr="001A2EC8">
        <w:rPr>
          <w:sz w:val="22"/>
          <w:szCs w:val="22"/>
          <w:rtl/>
        </w:rPr>
        <w:t>פי המבחן המוצע, לרשויות המקומיות מסורה הסמכות לטפל בעניין כלשהו, אף אם יש לו משמעות ארצית או לאומית, אם</w:t>
      </w:r>
      <w:r w:rsidRPr="001A2EC8">
        <w:rPr>
          <w:rFonts w:hint="cs"/>
          <w:sz w:val="22"/>
          <w:szCs w:val="22"/>
          <w:rtl/>
        </w:rPr>
        <w:t>,</w:t>
      </w:r>
      <w:r w:rsidRPr="001A2EC8">
        <w:rPr>
          <w:sz w:val="22"/>
          <w:szCs w:val="22"/>
          <w:rtl/>
        </w:rPr>
        <w:t xml:space="preserve"> ורק אם</w:t>
      </w:r>
      <w:r w:rsidRPr="001A2EC8">
        <w:rPr>
          <w:rFonts w:hint="cs"/>
          <w:sz w:val="22"/>
          <w:szCs w:val="22"/>
          <w:rtl/>
        </w:rPr>
        <w:t>,</w:t>
      </w:r>
      <w:r w:rsidRPr="001A2EC8">
        <w:rPr>
          <w:sz w:val="22"/>
          <w:szCs w:val="22"/>
          <w:rtl/>
        </w:rPr>
        <w:t xml:space="preserve"> יש לאותו עניין </w:t>
      </w:r>
      <w:r w:rsidRPr="001A2EC8">
        <w:rPr>
          <w:b/>
          <w:bCs/>
          <w:sz w:val="22"/>
          <w:szCs w:val="22"/>
          <w:rtl/>
        </w:rPr>
        <w:t>השפעה מיוחדת ונפרדת</w:t>
      </w:r>
      <w:r w:rsidRPr="001A2EC8">
        <w:rPr>
          <w:sz w:val="22"/>
          <w:szCs w:val="22"/>
          <w:rtl/>
        </w:rPr>
        <w:t xml:space="preserve"> על הציבור שבתחומיהן</w:t>
      </w:r>
      <w:r w:rsidRPr="001A2EC8">
        <w:rPr>
          <w:rFonts w:hint="cs"/>
          <w:sz w:val="22"/>
          <w:szCs w:val="22"/>
          <w:rtl/>
        </w:rPr>
        <w:t>,</w:t>
      </w:r>
      <w:r w:rsidRPr="001A2EC8">
        <w:rPr>
          <w:sz w:val="22"/>
          <w:szCs w:val="22"/>
          <w:rtl/>
        </w:rPr>
        <w:t xml:space="preserve"> מעבר למשמעות הלאומית או הארצית. באשר למקרה הנ</w:t>
      </w:r>
      <w:r w:rsidRPr="001A2EC8">
        <w:rPr>
          <w:rFonts w:hint="cs"/>
          <w:sz w:val="22"/>
          <w:szCs w:val="22"/>
          <w:rtl/>
        </w:rPr>
        <w:t>י</w:t>
      </w:r>
      <w:r w:rsidRPr="001A2EC8">
        <w:rPr>
          <w:sz w:val="22"/>
          <w:szCs w:val="22"/>
          <w:rtl/>
        </w:rPr>
        <w:t xml:space="preserve">דון </w:t>
      </w:r>
      <w:r w:rsidRPr="001A2EC8">
        <w:rPr>
          <w:rFonts w:hint="cs"/>
          <w:sz w:val="22"/>
          <w:szCs w:val="22"/>
          <w:rtl/>
        </w:rPr>
        <w:t>ק</w:t>
      </w:r>
      <w:r w:rsidRPr="001A2EC8">
        <w:rPr>
          <w:sz w:val="22"/>
          <w:szCs w:val="22"/>
          <w:rtl/>
        </w:rPr>
        <w:t>בע השופט לוין כי לשאלת ריבונותה של ישראל על רמת</w:t>
      </w:r>
      <w:r w:rsidRPr="001A2EC8">
        <w:rPr>
          <w:rFonts w:hint="cs"/>
          <w:sz w:val="22"/>
          <w:szCs w:val="22"/>
          <w:rtl/>
        </w:rPr>
        <w:t>-</w:t>
      </w:r>
      <w:r w:rsidRPr="001A2EC8">
        <w:rPr>
          <w:sz w:val="22"/>
          <w:szCs w:val="22"/>
          <w:rtl/>
        </w:rPr>
        <w:t>הגולן, הגם שהיא כרוכה במדיניות לאומית המצויה בתחומי פעילותו של השלטון המרכזי, יש השפעה מיוחדת ונפרדת על תושבי המועצות</w:t>
      </w:r>
      <w:r w:rsidRPr="001A2EC8">
        <w:rPr>
          <w:rFonts w:hint="cs"/>
          <w:sz w:val="22"/>
          <w:szCs w:val="22"/>
          <w:rtl/>
        </w:rPr>
        <w:t>,</w:t>
      </w:r>
      <w:r w:rsidRPr="001A2EC8">
        <w:rPr>
          <w:sz w:val="22"/>
          <w:szCs w:val="22"/>
          <w:rtl/>
        </w:rPr>
        <w:t xml:space="preserve"> </w:t>
      </w:r>
      <w:r w:rsidRPr="001A2EC8">
        <w:rPr>
          <w:rFonts w:hint="cs"/>
          <w:sz w:val="22"/>
          <w:szCs w:val="22"/>
          <w:rtl/>
        </w:rPr>
        <w:t xml:space="preserve">שכן </w:t>
      </w:r>
      <w:r w:rsidRPr="001A2EC8">
        <w:rPr>
          <w:sz w:val="22"/>
          <w:szCs w:val="22"/>
          <w:rtl/>
        </w:rPr>
        <w:t xml:space="preserve">מועצות </w:t>
      </w:r>
      <w:r w:rsidRPr="001A2EC8">
        <w:rPr>
          <w:rFonts w:hint="cs"/>
          <w:sz w:val="22"/>
          <w:szCs w:val="22"/>
          <w:rtl/>
        </w:rPr>
        <w:t xml:space="preserve">אלה </w:t>
      </w:r>
      <w:r w:rsidRPr="001A2EC8">
        <w:rPr>
          <w:sz w:val="22"/>
          <w:szCs w:val="22"/>
          <w:rtl/>
        </w:rPr>
        <w:t>יחדלו להתקיים אם תצא המדיניות הממשלתית מן הכוח אל הפועל. מכאן שמדובר ב"עניין מקומי"</w:t>
      </w:r>
      <w:r w:rsidRPr="001A2EC8">
        <w:rPr>
          <w:rFonts w:hint="cs"/>
          <w:sz w:val="22"/>
          <w:szCs w:val="22"/>
          <w:rtl/>
        </w:rPr>
        <w:t>,</w:t>
      </w:r>
      <w:r w:rsidRPr="001A2EC8">
        <w:rPr>
          <w:sz w:val="22"/>
          <w:szCs w:val="22"/>
          <w:rtl/>
        </w:rPr>
        <w:t xml:space="preserve"> אשר למועצות </w:t>
      </w:r>
      <w:r w:rsidRPr="001A2EC8">
        <w:rPr>
          <w:rFonts w:hint="cs"/>
          <w:sz w:val="22"/>
          <w:szCs w:val="22"/>
          <w:rtl/>
        </w:rPr>
        <w:t xml:space="preserve">יש </w:t>
      </w:r>
      <w:r w:rsidRPr="001A2EC8">
        <w:rPr>
          <w:sz w:val="22"/>
          <w:szCs w:val="22"/>
          <w:rtl/>
        </w:rPr>
        <w:t xml:space="preserve">הסמכות לממנו מתקציבן. לעומת השופט שלמה לוין, </w:t>
      </w:r>
      <w:r w:rsidRPr="001A2EC8">
        <w:rPr>
          <w:rFonts w:hint="cs"/>
          <w:sz w:val="22"/>
          <w:szCs w:val="22"/>
          <w:rtl/>
        </w:rPr>
        <w:t>ה</w:t>
      </w:r>
      <w:r w:rsidRPr="001A2EC8">
        <w:rPr>
          <w:sz w:val="22"/>
          <w:szCs w:val="22"/>
          <w:rtl/>
        </w:rPr>
        <w:t xml:space="preserve">סתפק השופט גולדברג בעיצובו של מבחן צר </w:t>
      </w:r>
      <w:r w:rsidRPr="001A2EC8">
        <w:rPr>
          <w:rFonts w:hint="cs"/>
          <w:sz w:val="22"/>
          <w:szCs w:val="22"/>
          <w:rtl/>
        </w:rPr>
        <w:t>ב</w:t>
      </w:r>
      <w:r w:rsidRPr="001A2EC8">
        <w:rPr>
          <w:sz w:val="22"/>
          <w:szCs w:val="22"/>
          <w:rtl/>
        </w:rPr>
        <w:t>הרבה</w:t>
      </w:r>
      <w:r w:rsidRPr="001A2EC8">
        <w:rPr>
          <w:rFonts w:hint="cs"/>
          <w:sz w:val="22"/>
          <w:szCs w:val="22"/>
          <w:rtl/>
        </w:rPr>
        <w:t>,</w:t>
      </w:r>
      <w:r w:rsidRPr="001A2EC8">
        <w:rPr>
          <w:sz w:val="22"/>
          <w:szCs w:val="22"/>
          <w:rtl/>
        </w:rPr>
        <w:t xml:space="preserve"> התפור למידותיו של המקרה הקונקרטי. הוא א</w:t>
      </w:r>
      <w:r w:rsidRPr="001A2EC8">
        <w:rPr>
          <w:rFonts w:hint="cs"/>
          <w:sz w:val="22"/>
          <w:szCs w:val="22"/>
          <w:rtl/>
        </w:rPr>
        <w:t>י</w:t>
      </w:r>
      <w:r w:rsidRPr="001A2EC8">
        <w:rPr>
          <w:sz w:val="22"/>
          <w:szCs w:val="22"/>
          <w:rtl/>
        </w:rPr>
        <w:t>שר את סמכות</w:t>
      </w:r>
      <w:r w:rsidRPr="001A2EC8">
        <w:rPr>
          <w:rFonts w:hint="cs"/>
          <w:sz w:val="22"/>
          <w:szCs w:val="22"/>
          <w:rtl/>
        </w:rPr>
        <w:t>ה של</w:t>
      </w:r>
      <w:r w:rsidRPr="001A2EC8">
        <w:rPr>
          <w:sz w:val="22"/>
          <w:szCs w:val="22"/>
          <w:rtl/>
        </w:rPr>
        <w:t xml:space="preserve"> הרשות המקומית להשתתף במימון קמפיין ציבורי נגד מדיניות הממשלה רק כאשר הרשות המקומית עומדת בסכנת כליה, שכן לדבריו "נושא קיומה או חדלונה של מועצה מקומית הינו 'עניין הנוגע לציבור בתחום המועצה', וכי בפעולותיה בנדון זה, שהוא עניין ציבורי, משמשת המועצה 'נאמן או אפוטרופוס' לתושביה".</w:t>
      </w:r>
    </w:p>
    <w:p w:rsidR="005366A8" w:rsidRPr="001A2EC8" w:rsidRDefault="005366A8" w:rsidP="005366A8">
      <w:pPr>
        <w:rPr>
          <w:sz w:val="22"/>
          <w:szCs w:val="22"/>
          <w:rtl/>
        </w:rPr>
      </w:pPr>
      <w:r w:rsidRPr="001A2EC8">
        <w:rPr>
          <w:sz w:val="22"/>
          <w:szCs w:val="22"/>
          <w:rtl/>
        </w:rPr>
        <w:t xml:space="preserve">בפרשת </w:t>
      </w:r>
      <w:r w:rsidRPr="001A2EC8">
        <w:rPr>
          <w:b/>
          <w:bCs/>
          <w:sz w:val="22"/>
          <w:szCs w:val="22"/>
          <w:rtl/>
        </w:rPr>
        <w:t>שלום עכשיו</w:t>
      </w:r>
      <w:r w:rsidRPr="001A2EC8">
        <w:rPr>
          <w:sz w:val="22"/>
          <w:szCs w:val="22"/>
          <w:rtl/>
        </w:rPr>
        <w:t xml:space="preserve"> עלתה לדיון פעם נוספת השאלה אם רשות מקומית רשאית לממן מתקציבה פעילות הסברתית נגד מדיניות ממשלתית הנוגעת </w:t>
      </w:r>
      <w:r w:rsidRPr="001A2EC8">
        <w:rPr>
          <w:rFonts w:hint="cs"/>
          <w:sz w:val="22"/>
          <w:szCs w:val="22"/>
          <w:rtl/>
        </w:rPr>
        <w:t>ב</w:t>
      </w:r>
      <w:r w:rsidRPr="001A2EC8">
        <w:rPr>
          <w:sz w:val="22"/>
          <w:szCs w:val="22"/>
          <w:rtl/>
        </w:rPr>
        <w:t>סדר</w:t>
      </w:r>
      <w:r w:rsidRPr="001A2EC8">
        <w:rPr>
          <w:rFonts w:hint="cs"/>
          <w:sz w:val="22"/>
          <w:szCs w:val="22"/>
          <w:rtl/>
        </w:rPr>
        <w:t>-</w:t>
      </w:r>
      <w:r w:rsidRPr="001A2EC8">
        <w:rPr>
          <w:sz w:val="22"/>
          <w:szCs w:val="22"/>
          <w:rtl/>
        </w:rPr>
        <w:t>היום הלאומי. עובדות פסק</w:t>
      </w:r>
      <w:r w:rsidRPr="001A2EC8">
        <w:rPr>
          <w:rFonts w:hint="cs"/>
          <w:sz w:val="22"/>
          <w:szCs w:val="22"/>
          <w:rtl/>
        </w:rPr>
        <w:t>-</w:t>
      </w:r>
      <w:r w:rsidRPr="001A2EC8">
        <w:rPr>
          <w:sz w:val="22"/>
          <w:szCs w:val="22"/>
          <w:rtl/>
        </w:rPr>
        <w:t xml:space="preserve">הדין היו כדלהלן: רשויות מקומיות בשטחים הכבושים ביהודה </w:t>
      </w:r>
      <w:r w:rsidRPr="001A2EC8">
        <w:rPr>
          <w:rFonts w:hint="cs"/>
          <w:sz w:val="22"/>
          <w:szCs w:val="22"/>
          <w:rtl/>
        </w:rPr>
        <w:t>ו</w:t>
      </w:r>
      <w:r w:rsidRPr="001A2EC8">
        <w:rPr>
          <w:sz w:val="22"/>
          <w:szCs w:val="22"/>
          <w:rtl/>
        </w:rPr>
        <w:t>שומרון ו</w:t>
      </w:r>
      <w:r w:rsidRPr="001A2EC8">
        <w:rPr>
          <w:rFonts w:hint="cs"/>
          <w:sz w:val="22"/>
          <w:szCs w:val="22"/>
          <w:rtl/>
        </w:rPr>
        <w:t>ב</w:t>
      </w:r>
      <w:r w:rsidRPr="001A2EC8">
        <w:rPr>
          <w:sz w:val="22"/>
          <w:szCs w:val="22"/>
          <w:rtl/>
        </w:rPr>
        <w:t>חבל עזה העבירו למועצת יש"ע</w:t>
      </w:r>
      <w:r w:rsidRPr="001A2EC8">
        <w:rPr>
          <w:sz w:val="22"/>
          <w:szCs w:val="22"/>
          <w:vertAlign w:val="superscript"/>
          <w:rtl/>
        </w:rPr>
        <w:footnoteReference w:id="63"/>
      </w:r>
      <w:r w:rsidRPr="001A2EC8">
        <w:rPr>
          <w:sz w:val="22"/>
          <w:szCs w:val="22"/>
          <w:rtl/>
        </w:rPr>
        <w:t xml:space="preserve"> כספים למימון מסע פרסום נגד ת</w:t>
      </w:r>
      <w:r w:rsidRPr="001A2EC8">
        <w:rPr>
          <w:rFonts w:hint="cs"/>
          <w:sz w:val="22"/>
          <w:szCs w:val="22"/>
          <w:rtl/>
        </w:rPr>
        <w:t>ו</w:t>
      </w:r>
      <w:r w:rsidRPr="001A2EC8">
        <w:rPr>
          <w:sz w:val="22"/>
          <w:szCs w:val="22"/>
          <w:rtl/>
        </w:rPr>
        <w:t>כנית ההתנתקות. העותרת, תנועת שלום עכשיו (</w:t>
      </w:r>
      <w:r w:rsidRPr="001A2EC8">
        <w:rPr>
          <w:rFonts w:hint="cs"/>
          <w:sz w:val="22"/>
          <w:szCs w:val="22"/>
          <w:rtl/>
        </w:rPr>
        <w:t>ש</w:t>
      </w:r>
      <w:r w:rsidRPr="001A2EC8">
        <w:rPr>
          <w:sz w:val="22"/>
          <w:szCs w:val="22"/>
          <w:rtl/>
        </w:rPr>
        <w:t>אליה הצטרפה המדינה), טענה כי העברת הכספים למועצת יש"ע על</w:t>
      </w:r>
      <w:r w:rsidRPr="001A2EC8">
        <w:rPr>
          <w:rFonts w:hint="cs"/>
          <w:sz w:val="22"/>
          <w:szCs w:val="22"/>
          <w:rtl/>
        </w:rPr>
        <w:t>-</w:t>
      </w:r>
      <w:r w:rsidRPr="001A2EC8">
        <w:rPr>
          <w:sz w:val="22"/>
          <w:szCs w:val="22"/>
          <w:rtl/>
        </w:rPr>
        <w:t>ידי הרשויות המקומיות מהווה חריגה מסמכות</w:t>
      </w:r>
      <w:r w:rsidRPr="001A2EC8">
        <w:rPr>
          <w:rFonts w:hint="cs"/>
          <w:sz w:val="22"/>
          <w:szCs w:val="22"/>
          <w:rtl/>
        </w:rPr>
        <w:t>,</w:t>
      </w:r>
      <w:r w:rsidRPr="001A2EC8">
        <w:rPr>
          <w:sz w:val="22"/>
          <w:szCs w:val="22"/>
          <w:rtl/>
        </w:rPr>
        <w:t xml:space="preserve"> שכן "על פי ההסדר החקיקתי הקיים במדינת</w:t>
      </w:r>
      <w:r w:rsidRPr="001A2EC8">
        <w:rPr>
          <w:rFonts w:hint="cs"/>
          <w:sz w:val="22"/>
          <w:szCs w:val="22"/>
          <w:rtl/>
        </w:rPr>
        <w:t xml:space="preserve"> </w:t>
      </w:r>
      <w:r w:rsidRPr="001A2EC8">
        <w:rPr>
          <w:sz w:val="22"/>
          <w:szCs w:val="22"/>
          <w:rtl/>
        </w:rPr>
        <w:t xml:space="preserve">ישראל והדינים המכוננים את הרשויות המקומיות בתחומה – בכלל, </w:t>
      </w:r>
      <w:r w:rsidRPr="001A2EC8">
        <w:rPr>
          <w:b/>
          <w:bCs/>
          <w:sz w:val="22"/>
          <w:szCs w:val="22"/>
          <w:rtl/>
        </w:rPr>
        <w:t>וההסדר החקיקתי הקיים ביהודה ושומרון והדינים המכוננים את הרשויות המקומיות שם – בפרט</w:t>
      </w:r>
      <w:r w:rsidRPr="001A2EC8">
        <w:rPr>
          <w:rFonts w:hint="cs"/>
          <w:sz w:val="22"/>
          <w:szCs w:val="22"/>
          <w:rtl/>
        </w:rPr>
        <w:t>...</w:t>
      </w:r>
      <w:r w:rsidRPr="001A2EC8">
        <w:rPr>
          <w:sz w:val="22"/>
          <w:szCs w:val="22"/>
          <w:rtl/>
        </w:rPr>
        <w:t xml:space="preserve"> נתונות סמכויות העיסוק בנושאי חוץ ובטחון לממשלה ולכנסת, ואילו הרשויות המקומיות אינן מוסמכות אלא לדאוג לרווחת התושבים בתחום הכלכלי, הסוציאלי, החברתי והתרבותי"</w:t>
      </w:r>
      <w:r w:rsidRPr="001A2EC8">
        <w:rPr>
          <w:rFonts w:hint="cs"/>
          <w:sz w:val="22"/>
          <w:szCs w:val="22"/>
          <w:rtl/>
        </w:rPr>
        <w:t>.</w:t>
      </w:r>
      <w:r w:rsidRPr="001A2EC8">
        <w:rPr>
          <w:sz w:val="22"/>
          <w:szCs w:val="22"/>
          <w:rtl/>
        </w:rPr>
        <w:t xml:space="preserve"> העותרת הכירה כמובן את הלכת </w:t>
      </w:r>
      <w:r w:rsidRPr="001A2EC8">
        <w:rPr>
          <w:b/>
          <w:bCs/>
          <w:sz w:val="22"/>
          <w:szCs w:val="22"/>
          <w:rtl/>
        </w:rPr>
        <w:t>גרינברג</w:t>
      </w:r>
      <w:r w:rsidRPr="001A2EC8">
        <w:rPr>
          <w:sz w:val="22"/>
          <w:szCs w:val="22"/>
          <w:rtl/>
        </w:rPr>
        <w:t>, שניתנה שנים מספר קודם לכן, אך טענה כי יש לבטלה או לכל</w:t>
      </w:r>
      <w:r w:rsidRPr="001A2EC8">
        <w:rPr>
          <w:rFonts w:hint="cs"/>
          <w:sz w:val="22"/>
          <w:szCs w:val="22"/>
          <w:rtl/>
        </w:rPr>
        <w:t>-</w:t>
      </w:r>
      <w:r w:rsidRPr="001A2EC8">
        <w:rPr>
          <w:sz w:val="22"/>
          <w:szCs w:val="22"/>
          <w:rtl/>
        </w:rPr>
        <w:t xml:space="preserve">הפחות לצמצמה אך ורק למקרים </w:t>
      </w:r>
      <w:r w:rsidRPr="001A2EC8">
        <w:rPr>
          <w:rFonts w:hint="cs"/>
          <w:sz w:val="22"/>
          <w:szCs w:val="22"/>
          <w:rtl/>
        </w:rPr>
        <w:t>ש</w:t>
      </w:r>
      <w:r w:rsidRPr="001A2EC8">
        <w:rPr>
          <w:sz w:val="22"/>
          <w:szCs w:val="22"/>
          <w:rtl/>
        </w:rPr>
        <w:t>בהם הרשות המקומית עומדת בסכנת כליה. לטענת העותרת, הרשויות המקומיות ביהודה ושומרון אינן עומדות בתנאי ההלכה</w:t>
      </w:r>
      <w:r w:rsidRPr="001A2EC8">
        <w:rPr>
          <w:rFonts w:hint="cs"/>
          <w:sz w:val="22"/>
          <w:szCs w:val="22"/>
          <w:rtl/>
        </w:rPr>
        <w:t>,</w:t>
      </w:r>
      <w:r w:rsidRPr="001A2EC8">
        <w:rPr>
          <w:sz w:val="22"/>
          <w:szCs w:val="22"/>
          <w:rtl/>
        </w:rPr>
        <w:t xml:space="preserve"> שכן ת</w:t>
      </w:r>
      <w:r w:rsidRPr="001A2EC8">
        <w:rPr>
          <w:rFonts w:hint="cs"/>
          <w:sz w:val="22"/>
          <w:szCs w:val="22"/>
          <w:rtl/>
        </w:rPr>
        <w:t>ו</w:t>
      </w:r>
      <w:r w:rsidRPr="001A2EC8">
        <w:rPr>
          <w:sz w:val="22"/>
          <w:szCs w:val="22"/>
          <w:rtl/>
        </w:rPr>
        <w:t>כנית ההתנתקות אינה מאיימת על קיומן ועל</w:t>
      </w:r>
      <w:r w:rsidRPr="001A2EC8">
        <w:rPr>
          <w:rFonts w:hint="cs"/>
          <w:sz w:val="22"/>
          <w:szCs w:val="22"/>
          <w:rtl/>
        </w:rPr>
        <w:t>-</w:t>
      </w:r>
      <w:r w:rsidRPr="001A2EC8">
        <w:rPr>
          <w:sz w:val="22"/>
          <w:szCs w:val="22"/>
          <w:rtl/>
        </w:rPr>
        <w:t xml:space="preserve">כן אין </w:t>
      </w:r>
      <w:r w:rsidRPr="001A2EC8">
        <w:rPr>
          <w:rFonts w:hint="cs"/>
          <w:sz w:val="22"/>
          <w:szCs w:val="22"/>
          <w:rtl/>
        </w:rPr>
        <w:t xml:space="preserve">לה </w:t>
      </w:r>
      <w:r w:rsidRPr="001A2EC8">
        <w:rPr>
          <w:sz w:val="22"/>
          <w:szCs w:val="22"/>
          <w:rtl/>
        </w:rPr>
        <w:t xml:space="preserve">השפעה </w:t>
      </w:r>
      <w:r w:rsidRPr="001A2EC8">
        <w:rPr>
          <w:rFonts w:hint="cs"/>
          <w:sz w:val="22"/>
          <w:szCs w:val="22"/>
          <w:rtl/>
        </w:rPr>
        <w:t xml:space="preserve">מקומית </w:t>
      </w:r>
      <w:r w:rsidRPr="001A2EC8">
        <w:rPr>
          <w:sz w:val="22"/>
          <w:szCs w:val="22"/>
          <w:rtl/>
        </w:rPr>
        <w:t>ייחודית על תושביהן. במ</w:t>
      </w:r>
      <w:r w:rsidRPr="001A2EC8">
        <w:rPr>
          <w:rFonts w:hint="cs"/>
          <w:sz w:val="22"/>
          <w:szCs w:val="22"/>
          <w:rtl/>
        </w:rPr>
        <w:t>י</w:t>
      </w:r>
      <w:r w:rsidRPr="001A2EC8">
        <w:rPr>
          <w:sz w:val="22"/>
          <w:szCs w:val="22"/>
          <w:rtl/>
        </w:rPr>
        <w:t>לים אחרות, העתירה מנסה לערוך בחינה מחודשת של השאלה מהו "עניין מקומי".</w:t>
      </w:r>
    </w:p>
    <w:p w:rsidR="005366A8" w:rsidRDefault="005366A8" w:rsidP="005366A8">
      <w:pPr>
        <w:rPr>
          <w:sz w:val="22"/>
          <w:szCs w:val="22"/>
          <w:rtl/>
        </w:rPr>
      </w:pPr>
      <w:r w:rsidRPr="001A2EC8">
        <w:rPr>
          <w:sz w:val="22"/>
          <w:szCs w:val="22"/>
          <w:rtl/>
        </w:rPr>
        <w:t>התוצאה של פסק</w:t>
      </w:r>
      <w:r w:rsidRPr="001A2EC8">
        <w:rPr>
          <w:rFonts w:hint="cs"/>
          <w:sz w:val="22"/>
          <w:szCs w:val="22"/>
          <w:rtl/>
        </w:rPr>
        <w:t>-</w:t>
      </w:r>
      <w:r w:rsidRPr="001A2EC8">
        <w:rPr>
          <w:sz w:val="22"/>
          <w:szCs w:val="22"/>
          <w:rtl/>
        </w:rPr>
        <w:t xml:space="preserve">הדין מורכבת: </w:t>
      </w:r>
    </w:p>
    <w:p w:rsidR="005366A8" w:rsidRDefault="005366A8" w:rsidP="005366A8">
      <w:pPr>
        <w:rPr>
          <w:sz w:val="22"/>
          <w:szCs w:val="22"/>
          <w:highlight w:val="yellow"/>
          <w:rtl/>
        </w:rPr>
      </w:pPr>
      <w:r w:rsidRPr="001A2EC8">
        <w:rPr>
          <w:sz w:val="22"/>
          <w:szCs w:val="22"/>
          <w:rtl/>
        </w:rPr>
        <w:t xml:space="preserve">מצד אחד נדחתה </w:t>
      </w:r>
      <w:r w:rsidRPr="001A2EC8">
        <w:rPr>
          <w:rFonts w:hint="cs"/>
          <w:sz w:val="22"/>
          <w:szCs w:val="22"/>
          <w:rtl/>
        </w:rPr>
        <w:t xml:space="preserve">העתירה </w:t>
      </w:r>
      <w:r w:rsidRPr="001A2EC8">
        <w:rPr>
          <w:sz w:val="22"/>
          <w:szCs w:val="22"/>
          <w:rtl/>
        </w:rPr>
        <w:t>ברוב דעות,</w:t>
      </w:r>
      <w:r w:rsidRPr="001A2EC8">
        <w:rPr>
          <w:sz w:val="22"/>
          <w:szCs w:val="22"/>
          <w:vertAlign w:val="superscript"/>
          <w:rtl/>
        </w:rPr>
        <w:footnoteReference w:id="64"/>
      </w:r>
      <w:r w:rsidRPr="001A2EC8">
        <w:rPr>
          <w:sz w:val="22"/>
          <w:szCs w:val="22"/>
          <w:rtl/>
        </w:rPr>
        <w:t xml:space="preserve"> ונקבע כי בנסיבות העניין היו הרשויות המקומיות ביהודה ושומרון רשאיות להעביר כספים למימון הקמפיין נגד ת</w:t>
      </w:r>
      <w:r w:rsidRPr="001A2EC8">
        <w:rPr>
          <w:rFonts w:hint="cs"/>
          <w:sz w:val="22"/>
          <w:szCs w:val="22"/>
          <w:rtl/>
        </w:rPr>
        <w:t>ו</w:t>
      </w:r>
      <w:r w:rsidRPr="001A2EC8">
        <w:rPr>
          <w:sz w:val="22"/>
          <w:szCs w:val="22"/>
          <w:rtl/>
        </w:rPr>
        <w:t xml:space="preserve">כנית ההתנתקות. </w:t>
      </w:r>
      <w:r w:rsidRPr="001A2EC8">
        <w:rPr>
          <w:sz w:val="22"/>
          <w:szCs w:val="22"/>
          <w:highlight w:val="yellow"/>
          <w:rtl/>
        </w:rPr>
        <w:t xml:space="preserve">במסגרת זו אישרה דעת הרוב את הלכת </w:t>
      </w:r>
      <w:r w:rsidRPr="001A2EC8">
        <w:rPr>
          <w:b/>
          <w:bCs/>
          <w:sz w:val="22"/>
          <w:szCs w:val="22"/>
          <w:highlight w:val="yellow"/>
          <w:rtl/>
        </w:rPr>
        <w:t>גרינברג</w:t>
      </w:r>
      <w:r w:rsidRPr="001A2EC8">
        <w:rPr>
          <w:sz w:val="22"/>
          <w:szCs w:val="22"/>
          <w:highlight w:val="yellow"/>
          <w:rtl/>
        </w:rPr>
        <w:t xml:space="preserve">, ואף הרחיבה אותה בקובעה כי גם במצבים </w:t>
      </w:r>
      <w:r w:rsidRPr="001A2EC8">
        <w:rPr>
          <w:rFonts w:hint="cs"/>
          <w:sz w:val="22"/>
          <w:szCs w:val="22"/>
          <w:highlight w:val="yellow"/>
          <w:rtl/>
        </w:rPr>
        <w:t>ש</w:t>
      </w:r>
      <w:r w:rsidRPr="001A2EC8">
        <w:rPr>
          <w:sz w:val="22"/>
          <w:szCs w:val="22"/>
          <w:highlight w:val="yellow"/>
          <w:rtl/>
        </w:rPr>
        <w:t xml:space="preserve">בהם הרשויות המקומיות שמימנו את פעולת ההסברה אינן עומדות תחת איום קיומי מיידי כתוצאה ממדיניות הממשלה, עשוי להתקיים אינטרס </w:t>
      </w:r>
      <w:r w:rsidRPr="001A2EC8">
        <w:rPr>
          <w:rFonts w:hint="cs"/>
          <w:sz w:val="22"/>
          <w:szCs w:val="22"/>
          <w:highlight w:val="yellow"/>
          <w:rtl/>
        </w:rPr>
        <w:t xml:space="preserve">מקומי </w:t>
      </w:r>
      <w:r w:rsidRPr="001A2EC8">
        <w:rPr>
          <w:sz w:val="22"/>
          <w:szCs w:val="22"/>
          <w:highlight w:val="yellow"/>
          <w:rtl/>
        </w:rPr>
        <w:t xml:space="preserve">נפרד מן האינטרס הלאומי, וזאת במקרה </w:t>
      </w:r>
      <w:r w:rsidRPr="001A2EC8">
        <w:rPr>
          <w:rFonts w:hint="cs"/>
          <w:sz w:val="22"/>
          <w:szCs w:val="22"/>
          <w:highlight w:val="yellow"/>
          <w:rtl/>
        </w:rPr>
        <w:t>ש</w:t>
      </w:r>
      <w:r w:rsidRPr="001A2EC8">
        <w:rPr>
          <w:sz w:val="22"/>
          <w:szCs w:val="22"/>
          <w:highlight w:val="yellow"/>
          <w:rtl/>
        </w:rPr>
        <w:t xml:space="preserve">בו הן עשויות להיות "הבאות בתור". </w:t>
      </w:r>
    </w:p>
    <w:p w:rsidR="005366A8" w:rsidRPr="001A2EC8" w:rsidRDefault="005366A8" w:rsidP="005366A8">
      <w:pPr>
        <w:spacing w:after="120"/>
        <w:rPr>
          <w:sz w:val="22"/>
          <w:szCs w:val="22"/>
          <w:rtl/>
        </w:rPr>
      </w:pPr>
      <w:r w:rsidRPr="001A2EC8">
        <w:rPr>
          <w:sz w:val="22"/>
          <w:szCs w:val="22"/>
          <w:highlight w:val="yellow"/>
          <w:rtl/>
        </w:rPr>
        <w:t>עם זאת, קבע בית</w:t>
      </w:r>
      <w:r w:rsidRPr="001A2EC8">
        <w:rPr>
          <w:rFonts w:hint="cs"/>
          <w:sz w:val="22"/>
          <w:szCs w:val="22"/>
          <w:highlight w:val="yellow"/>
          <w:rtl/>
        </w:rPr>
        <w:t>-</w:t>
      </w:r>
      <w:r w:rsidRPr="001A2EC8">
        <w:rPr>
          <w:sz w:val="22"/>
          <w:szCs w:val="22"/>
          <w:highlight w:val="yellow"/>
          <w:rtl/>
        </w:rPr>
        <w:t>המשפט</w:t>
      </w:r>
      <w:r w:rsidRPr="001A2EC8">
        <w:rPr>
          <w:rFonts w:hint="cs"/>
          <w:sz w:val="22"/>
          <w:szCs w:val="22"/>
          <w:highlight w:val="yellow"/>
          <w:rtl/>
        </w:rPr>
        <w:t xml:space="preserve"> –</w:t>
      </w:r>
      <w:r w:rsidRPr="001A2EC8">
        <w:rPr>
          <w:sz w:val="22"/>
          <w:szCs w:val="22"/>
          <w:highlight w:val="yellow"/>
          <w:rtl/>
        </w:rPr>
        <w:t xml:space="preserve"> גם כאן ברוב דעות</w:t>
      </w:r>
      <w:r w:rsidRPr="001A2EC8">
        <w:rPr>
          <w:rFonts w:hint="cs"/>
          <w:sz w:val="22"/>
          <w:szCs w:val="22"/>
          <w:highlight w:val="yellow"/>
          <w:rtl/>
        </w:rPr>
        <w:t>,</w:t>
      </w:r>
      <w:r w:rsidRPr="001A2EC8">
        <w:rPr>
          <w:sz w:val="22"/>
          <w:szCs w:val="22"/>
          <w:highlight w:val="yellow"/>
          <w:rtl/>
        </w:rPr>
        <w:t xml:space="preserve"> אם כי רוב אחר</w:t>
      </w:r>
      <w:r w:rsidRPr="001A2EC8">
        <w:rPr>
          <w:sz w:val="22"/>
          <w:szCs w:val="22"/>
          <w:highlight w:val="yellow"/>
          <w:vertAlign w:val="superscript"/>
          <w:rtl/>
        </w:rPr>
        <w:footnoteReference w:id="65"/>
      </w:r>
      <w:r w:rsidRPr="001A2EC8">
        <w:rPr>
          <w:sz w:val="22"/>
          <w:szCs w:val="22"/>
          <w:highlight w:val="yellow"/>
          <w:rtl/>
        </w:rPr>
        <w:t xml:space="preserve"> </w:t>
      </w:r>
      <w:r w:rsidRPr="001A2EC8">
        <w:rPr>
          <w:rFonts w:hint="cs"/>
          <w:sz w:val="22"/>
          <w:szCs w:val="22"/>
          <w:highlight w:val="yellow"/>
          <w:rtl/>
        </w:rPr>
        <w:t xml:space="preserve">– </w:t>
      </w:r>
      <w:r w:rsidRPr="001A2EC8">
        <w:rPr>
          <w:sz w:val="22"/>
          <w:szCs w:val="22"/>
          <w:highlight w:val="yellow"/>
          <w:rtl/>
        </w:rPr>
        <w:t xml:space="preserve">כי במקרים </w:t>
      </w:r>
      <w:r w:rsidRPr="001A2EC8">
        <w:rPr>
          <w:rFonts w:hint="cs"/>
          <w:sz w:val="22"/>
          <w:szCs w:val="22"/>
          <w:highlight w:val="yellow"/>
          <w:rtl/>
        </w:rPr>
        <w:t>ש</w:t>
      </w:r>
      <w:r w:rsidRPr="001A2EC8">
        <w:rPr>
          <w:sz w:val="22"/>
          <w:szCs w:val="22"/>
          <w:highlight w:val="yellow"/>
          <w:rtl/>
        </w:rPr>
        <w:t xml:space="preserve">בהם רשות מקומית מממנת מתקציבה מאבק </w:t>
      </w:r>
      <w:r w:rsidRPr="001A2EC8">
        <w:rPr>
          <w:rFonts w:hint="cs"/>
          <w:sz w:val="22"/>
          <w:szCs w:val="22"/>
          <w:highlight w:val="yellow"/>
          <w:rtl/>
        </w:rPr>
        <w:t xml:space="preserve">נגד </w:t>
      </w:r>
      <w:r w:rsidRPr="001A2EC8">
        <w:rPr>
          <w:sz w:val="22"/>
          <w:szCs w:val="22"/>
          <w:highlight w:val="yellow"/>
          <w:rtl/>
        </w:rPr>
        <w:t>יישום ת</w:t>
      </w:r>
      <w:r w:rsidRPr="001A2EC8">
        <w:rPr>
          <w:rFonts w:hint="cs"/>
          <w:sz w:val="22"/>
          <w:szCs w:val="22"/>
          <w:highlight w:val="yellow"/>
          <w:rtl/>
        </w:rPr>
        <w:t>ו</w:t>
      </w:r>
      <w:r w:rsidRPr="001A2EC8">
        <w:rPr>
          <w:sz w:val="22"/>
          <w:szCs w:val="22"/>
          <w:highlight w:val="yellow"/>
          <w:rtl/>
        </w:rPr>
        <w:t xml:space="preserve">כנית </w:t>
      </w:r>
      <w:r w:rsidRPr="001A2EC8">
        <w:rPr>
          <w:rFonts w:hint="cs"/>
          <w:sz w:val="22"/>
          <w:szCs w:val="22"/>
          <w:highlight w:val="yellow"/>
          <w:rtl/>
        </w:rPr>
        <w:t xml:space="preserve">שיש לה </w:t>
      </w:r>
      <w:r w:rsidRPr="001A2EC8">
        <w:rPr>
          <w:sz w:val="22"/>
          <w:szCs w:val="22"/>
          <w:highlight w:val="yellow"/>
          <w:rtl/>
        </w:rPr>
        <w:t xml:space="preserve">אופי לאומי כלל-ארצי, המדינה רשאית לקזז מתמיכתה באותה רשות (באמצעות מענקי האיזון) סכום כסף השווה לסכום </w:t>
      </w:r>
      <w:r w:rsidRPr="001A2EC8">
        <w:rPr>
          <w:rFonts w:hint="cs"/>
          <w:sz w:val="22"/>
          <w:szCs w:val="22"/>
          <w:highlight w:val="yellow"/>
          <w:rtl/>
        </w:rPr>
        <w:t>ש</w:t>
      </w:r>
      <w:r w:rsidRPr="001A2EC8">
        <w:rPr>
          <w:sz w:val="22"/>
          <w:szCs w:val="22"/>
          <w:highlight w:val="yellow"/>
          <w:rtl/>
        </w:rPr>
        <w:t>אותו העבירה הרשות למימון המאבק, שכן רשות מקומית רשאית לממן פעילות כזו ממקורותיה העצמיים בלבד. בסוגיית המימון נדון בחלקו השני של המאמר.</w:t>
      </w:r>
      <w:r w:rsidRPr="001A2EC8">
        <w:rPr>
          <w:sz w:val="22"/>
          <w:szCs w:val="22"/>
          <w:rtl/>
        </w:rPr>
        <w:t xml:space="preserve"> עתה נעבור לבחינה מעמיקה ומדוקדקת של עמדות השופטים באשר לשאלה מהו "עניין מקומי".</w:t>
      </w:r>
    </w:p>
    <w:p w:rsidR="005366A8" w:rsidRPr="001A2EC8" w:rsidRDefault="005366A8" w:rsidP="005366A8">
      <w:pPr>
        <w:rPr>
          <w:sz w:val="22"/>
          <w:szCs w:val="22"/>
          <w:rtl/>
        </w:rPr>
      </w:pPr>
      <w:r w:rsidRPr="001A2EC8">
        <w:rPr>
          <w:sz w:val="22"/>
          <w:szCs w:val="22"/>
          <w:rtl/>
        </w:rPr>
        <w:t>המדינה, שהצטרפה לעמדת העותרת, ביקשה מבית</w:t>
      </w:r>
      <w:r w:rsidRPr="001A2EC8">
        <w:rPr>
          <w:rFonts w:hint="cs"/>
          <w:sz w:val="22"/>
          <w:szCs w:val="22"/>
          <w:rtl/>
        </w:rPr>
        <w:t>-</w:t>
      </w:r>
      <w:r w:rsidRPr="001A2EC8">
        <w:rPr>
          <w:sz w:val="22"/>
          <w:szCs w:val="22"/>
          <w:rtl/>
        </w:rPr>
        <w:t xml:space="preserve">המשפט לבטל את הלכת </w:t>
      </w:r>
      <w:r w:rsidRPr="001A2EC8">
        <w:rPr>
          <w:b/>
          <w:bCs/>
          <w:sz w:val="22"/>
          <w:szCs w:val="22"/>
          <w:rtl/>
        </w:rPr>
        <w:t>גרינברג</w:t>
      </w:r>
      <w:r w:rsidRPr="001A2EC8">
        <w:rPr>
          <w:sz w:val="22"/>
          <w:szCs w:val="22"/>
          <w:rtl/>
        </w:rPr>
        <w:t xml:space="preserve"> ולקבוע במקומו מבחן כפול ומצטבר לתיחום סמכויותיה של רשות מקומית: האחד טריטוריאלי </w:t>
      </w:r>
      <w:r w:rsidRPr="001A2EC8">
        <w:rPr>
          <w:rFonts w:hint="cs"/>
          <w:sz w:val="22"/>
          <w:szCs w:val="22"/>
          <w:rtl/>
        </w:rPr>
        <w:t xml:space="preserve">והאחר </w:t>
      </w:r>
      <w:r w:rsidRPr="001A2EC8">
        <w:rPr>
          <w:sz w:val="22"/>
          <w:szCs w:val="22"/>
          <w:rtl/>
        </w:rPr>
        <w:t>ענייני-מהותי. התיחום הטריטוריאלי, טענה המדינה, מגביל את סמכויותיה של הרשות המקומית לפעילות בתחום השיפוט המוניציפ</w:t>
      </w:r>
      <w:r w:rsidRPr="001A2EC8">
        <w:rPr>
          <w:rFonts w:hint="cs"/>
          <w:sz w:val="22"/>
          <w:szCs w:val="22"/>
          <w:rtl/>
        </w:rPr>
        <w:t>לי</w:t>
      </w:r>
      <w:r w:rsidRPr="001A2EC8">
        <w:rPr>
          <w:sz w:val="22"/>
          <w:szCs w:val="22"/>
          <w:rtl/>
        </w:rPr>
        <w:t xml:space="preserve"> שלה,</w:t>
      </w:r>
      <w:r w:rsidRPr="001A2EC8">
        <w:rPr>
          <w:sz w:val="22"/>
          <w:szCs w:val="22"/>
          <w:vertAlign w:val="superscript"/>
          <w:rtl/>
        </w:rPr>
        <w:footnoteReference w:id="66"/>
      </w:r>
      <w:r w:rsidRPr="001A2EC8">
        <w:rPr>
          <w:sz w:val="22"/>
          <w:szCs w:val="22"/>
          <w:rtl/>
        </w:rPr>
        <w:t xml:space="preserve"> ואילו התיחום המהותי מגביל את הרשות לעיסוק בעניינים "בעלי אופי מוניציפ</w:t>
      </w:r>
      <w:r w:rsidRPr="001A2EC8">
        <w:rPr>
          <w:rFonts w:hint="cs"/>
          <w:sz w:val="22"/>
          <w:szCs w:val="22"/>
          <w:rtl/>
        </w:rPr>
        <w:t>לי</w:t>
      </w:r>
      <w:r w:rsidRPr="001A2EC8">
        <w:rPr>
          <w:sz w:val="22"/>
          <w:szCs w:val="22"/>
          <w:rtl/>
        </w:rPr>
        <w:t>".</w:t>
      </w:r>
      <w:r w:rsidRPr="001A2EC8">
        <w:rPr>
          <w:sz w:val="22"/>
          <w:szCs w:val="22"/>
          <w:vertAlign w:val="superscript"/>
          <w:rtl/>
        </w:rPr>
        <w:footnoteReference w:id="67"/>
      </w:r>
      <w:r w:rsidRPr="001A2EC8">
        <w:rPr>
          <w:sz w:val="22"/>
          <w:szCs w:val="22"/>
          <w:rtl/>
        </w:rPr>
        <w:t xml:space="preserve"> לטענת המדינה</w:t>
      </w:r>
      <w:r w:rsidRPr="001A2EC8">
        <w:rPr>
          <w:rFonts w:hint="cs"/>
          <w:sz w:val="22"/>
          <w:szCs w:val="22"/>
          <w:rtl/>
        </w:rPr>
        <w:t>,</w:t>
      </w:r>
      <w:r w:rsidRPr="001A2EC8">
        <w:rPr>
          <w:sz w:val="22"/>
          <w:szCs w:val="22"/>
          <w:rtl/>
        </w:rPr>
        <w:t xml:space="preserve"> "שייכות טריטוריאלית וזיקה לאוכלוסי</w:t>
      </w:r>
      <w:r w:rsidRPr="001A2EC8">
        <w:rPr>
          <w:rFonts w:hint="cs"/>
          <w:sz w:val="22"/>
          <w:szCs w:val="22"/>
          <w:rtl/>
        </w:rPr>
        <w:t>י</w:t>
      </w:r>
      <w:r w:rsidRPr="001A2EC8">
        <w:rPr>
          <w:sz w:val="22"/>
          <w:szCs w:val="22"/>
          <w:rtl/>
        </w:rPr>
        <w:t>ה המקומית אין בהם די כדי להקנות סמכות לרשות המקומית. על</w:t>
      </w:r>
      <w:r w:rsidRPr="001A2EC8">
        <w:rPr>
          <w:rFonts w:hint="cs"/>
          <w:sz w:val="22"/>
          <w:szCs w:val="22"/>
          <w:rtl/>
        </w:rPr>
        <w:t xml:space="preserve"> </w:t>
      </w:r>
      <w:r w:rsidRPr="001A2EC8">
        <w:rPr>
          <w:sz w:val="22"/>
          <w:szCs w:val="22"/>
          <w:rtl/>
        </w:rPr>
        <w:t xml:space="preserve">מנת להקנות סמכות לרשות המקומית לפעול פעולות מסוימות, יש צורך בקיומו של תנאי נוסף ומצטבר והוא, </w:t>
      </w:r>
      <w:r w:rsidRPr="001A2EC8">
        <w:rPr>
          <w:b/>
          <w:bCs/>
          <w:sz w:val="22"/>
          <w:szCs w:val="22"/>
          <w:rtl/>
        </w:rPr>
        <w:t>שאין מדובר בעניין לאומי כלל-ארצי</w:t>
      </w:r>
      <w:r w:rsidRPr="001A2EC8">
        <w:rPr>
          <w:sz w:val="22"/>
          <w:szCs w:val="22"/>
          <w:rtl/>
        </w:rPr>
        <w:t xml:space="preserve">, אפילו אם אותו עניין מתייחס לתחומה". עוד טענה העותרת כי גם אם היה מקום לפעולות מחאה מצד הרשויות המקומיות המשיבות, אחרי חודש מאי </w:t>
      </w:r>
      <w:r w:rsidRPr="001A2EC8">
        <w:rPr>
          <w:rFonts w:hint="cs"/>
          <w:sz w:val="22"/>
          <w:szCs w:val="22"/>
          <w:rtl/>
        </w:rPr>
        <w:t>2004</w:t>
      </w:r>
      <w:r w:rsidRPr="001A2EC8">
        <w:rPr>
          <w:sz w:val="22"/>
          <w:szCs w:val="22"/>
          <w:rtl/>
        </w:rPr>
        <w:t xml:space="preserve"> (מועד ההכרזה של ראש הממשלה על כוונתו לקדם את ת</w:t>
      </w:r>
      <w:r w:rsidRPr="001A2EC8">
        <w:rPr>
          <w:rFonts w:hint="cs"/>
          <w:sz w:val="22"/>
          <w:szCs w:val="22"/>
          <w:rtl/>
        </w:rPr>
        <w:t>ו</w:t>
      </w:r>
      <w:r w:rsidRPr="001A2EC8">
        <w:rPr>
          <w:sz w:val="22"/>
          <w:szCs w:val="22"/>
          <w:rtl/>
        </w:rPr>
        <w:t>כנית ההתנתקות)</w:t>
      </w:r>
      <w:r w:rsidRPr="001A2EC8">
        <w:rPr>
          <w:rFonts w:hint="cs"/>
          <w:sz w:val="22"/>
          <w:szCs w:val="22"/>
          <w:rtl/>
        </w:rPr>
        <w:t>,</w:t>
      </w:r>
      <w:r w:rsidRPr="001A2EC8">
        <w:rPr>
          <w:sz w:val="22"/>
          <w:szCs w:val="22"/>
          <w:rtl/>
        </w:rPr>
        <w:t xml:space="preserve"> ולכל</w:t>
      </w:r>
      <w:r w:rsidRPr="001A2EC8">
        <w:rPr>
          <w:rFonts w:hint="cs"/>
          <w:sz w:val="22"/>
          <w:szCs w:val="22"/>
          <w:rtl/>
        </w:rPr>
        <w:t>-</w:t>
      </w:r>
      <w:r w:rsidRPr="001A2EC8">
        <w:rPr>
          <w:sz w:val="22"/>
          <w:szCs w:val="22"/>
          <w:rtl/>
        </w:rPr>
        <w:t xml:space="preserve">המאוחר </w:t>
      </w:r>
      <w:r w:rsidRPr="001A2EC8">
        <w:rPr>
          <w:rFonts w:hint="cs"/>
          <w:sz w:val="22"/>
          <w:szCs w:val="22"/>
          <w:rtl/>
        </w:rPr>
        <w:t>ב</w:t>
      </w:r>
      <w:r w:rsidRPr="001A2EC8">
        <w:rPr>
          <w:sz w:val="22"/>
          <w:szCs w:val="22"/>
          <w:rtl/>
        </w:rPr>
        <w:t xml:space="preserve">אוקטובר </w:t>
      </w:r>
      <w:r w:rsidRPr="001A2EC8">
        <w:rPr>
          <w:rFonts w:hint="cs"/>
          <w:sz w:val="22"/>
          <w:szCs w:val="22"/>
          <w:rtl/>
        </w:rPr>
        <w:t>2004</w:t>
      </w:r>
      <w:r w:rsidRPr="001A2EC8">
        <w:rPr>
          <w:sz w:val="22"/>
          <w:szCs w:val="22"/>
          <w:rtl/>
        </w:rPr>
        <w:t xml:space="preserve"> (היום </w:t>
      </w:r>
      <w:r w:rsidRPr="001A2EC8">
        <w:rPr>
          <w:rFonts w:hint="cs"/>
          <w:sz w:val="22"/>
          <w:szCs w:val="22"/>
          <w:rtl/>
        </w:rPr>
        <w:t>ש</w:t>
      </w:r>
      <w:r w:rsidRPr="001A2EC8">
        <w:rPr>
          <w:sz w:val="22"/>
          <w:szCs w:val="22"/>
          <w:rtl/>
        </w:rPr>
        <w:t>בו אישרה הכנסת את ת</w:t>
      </w:r>
      <w:r w:rsidRPr="001A2EC8">
        <w:rPr>
          <w:rFonts w:hint="cs"/>
          <w:sz w:val="22"/>
          <w:szCs w:val="22"/>
          <w:rtl/>
        </w:rPr>
        <w:t>ו</w:t>
      </w:r>
      <w:r w:rsidRPr="001A2EC8">
        <w:rPr>
          <w:sz w:val="22"/>
          <w:szCs w:val="22"/>
          <w:rtl/>
        </w:rPr>
        <w:t xml:space="preserve">כנית ההתנתקות), היה עליהן </w:t>
      </w:r>
      <w:r w:rsidRPr="001A2EC8">
        <w:rPr>
          <w:rFonts w:hint="cs"/>
          <w:sz w:val="22"/>
          <w:szCs w:val="22"/>
          <w:rtl/>
        </w:rPr>
        <w:t xml:space="preserve">לחדול </w:t>
      </w:r>
      <w:r w:rsidRPr="001A2EC8">
        <w:rPr>
          <w:sz w:val="22"/>
          <w:szCs w:val="22"/>
          <w:rtl/>
        </w:rPr>
        <w:t>מפעילות הנוגדת את מדיניותה המוצהרת של הממשלה.</w:t>
      </w:r>
    </w:p>
    <w:p w:rsidR="005366A8" w:rsidRPr="001A2EC8" w:rsidRDefault="005366A8" w:rsidP="005366A8">
      <w:pPr>
        <w:rPr>
          <w:sz w:val="22"/>
          <w:szCs w:val="22"/>
          <w:rtl/>
        </w:rPr>
      </w:pPr>
      <w:r w:rsidRPr="001A2EC8">
        <w:rPr>
          <w:sz w:val="22"/>
          <w:szCs w:val="22"/>
          <w:rtl/>
        </w:rPr>
        <w:t>בית</w:t>
      </w:r>
      <w:r w:rsidRPr="001A2EC8">
        <w:rPr>
          <w:rFonts w:hint="cs"/>
          <w:sz w:val="22"/>
          <w:szCs w:val="22"/>
          <w:rtl/>
        </w:rPr>
        <w:t>-</w:t>
      </w:r>
      <w:r w:rsidRPr="001A2EC8">
        <w:rPr>
          <w:sz w:val="22"/>
          <w:szCs w:val="22"/>
          <w:rtl/>
        </w:rPr>
        <w:t>המשפט דוחה את המבחן הכפול שהציעה המדינה. השופט רובינשטיין, שכתב את פסק</w:t>
      </w:r>
      <w:r w:rsidRPr="001A2EC8">
        <w:rPr>
          <w:rFonts w:hint="cs"/>
          <w:sz w:val="22"/>
          <w:szCs w:val="22"/>
          <w:rtl/>
        </w:rPr>
        <w:t>-</w:t>
      </w:r>
      <w:r w:rsidRPr="001A2EC8">
        <w:rPr>
          <w:sz w:val="22"/>
          <w:szCs w:val="22"/>
          <w:rtl/>
        </w:rPr>
        <w:t>הדין העיקרי בשם שופטי הרוב, קובע כי המבחן הכפול שהציעה המדינה, על</w:t>
      </w:r>
      <w:r w:rsidRPr="001A2EC8">
        <w:rPr>
          <w:rFonts w:hint="cs"/>
          <w:sz w:val="22"/>
          <w:szCs w:val="22"/>
          <w:rtl/>
        </w:rPr>
        <w:t>-</w:t>
      </w:r>
      <w:r w:rsidRPr="001A2EC8">
        <w:rPr>
          <w:sz w:val="22"/>
          <w:szCs w:val="22"/>
          <w:rtl/>
        </w:rPr>
        <w:t>אף היותו שובה</w:t>
      </w:r>
      <w:r w:rsidRPr="001A2EC8">
        <w:rPr>
          <w:rFonts w:hint="cs"/>
          <w:sz w:val="22"/>
          <w:szCs w:val="22"/>
          <w:rtl/>
        </w:rPr>
        <w:t>-</w:t>
      </w:r>
      <w:r w:rsidRPr="001A2EC8">
        <w:rPr>
          <w:sz w:val="22"/>
          <w:szCs w:val="22"/>
          <w:rtl/>
        </w:rPr>
        <w:t xml:space="preserve">לב, שגוי על שני פניו: מבחינה טריטוריאלית, יש עניינים שבהם לרשות המקומית </w:t>
      </w:r>
      <w:r w:rsidRPr="001A2EC8">
        <w:rPr>
          <w:rFonts w:hint="cs"/>
          <w:sz w:val="22"/>
          <w:szCs w:val="22"/>
          <w:rtl/>
        </w:rPr>
        <w:t xml:space="preserve">יש </w:t>
      </w:r>
      <w:r w:rsidRPr="001A2EC8">
        <w:rPr>
          <w:sz w:val="22"/>
          <w:szCs w:val="22"/>
          <w:rtl/>
        </w:rPr>
        <w:t>אינטרס צודק ולגיטימי גם כאשר הם קורים מחוץ לתחומה הגיאוגרפי; ומבחינה עניינית, לא יהא זה צודק שלרשות לא יהיה כל פתחון</w:t>
      </w:r>
      <w:r w:rsidRPr="001A2EC8">
        <w:rPr>
          <w:rFonts w:hint="cs"/>
          <w:sz w:val="22"/>
          <w:szCs w:val="22"/>
          <w:rtl/>
        </w:rPr>
        <w:t>-</w:t>
      </w:r>
      <w:r w:rsidRPr="001A2EC8">
        <w:rPr>
          <w:sz w:val="22"/>
          <w:szCs w:val="22"/>
          <w:rtl/>
        </w:rPr>
        <w:t xml:space="preserve">פה בנושאים </w:t>
      </w:r>
      <w:r w:rsidRPr="001A2EC8">
        <w:rPr>
          <w:rFonts w:hint="cs"/>
          <w:sz w:val="22"/>
          <w:szCs w:val="22"/>
          <w:rtl/>
        </w:rPr>
        <w:t xml:space="preserve">אשר </w:t>
      </w:r>
      <w:r w:rsidRPr="001A2EC8">
        <w:rPr>
          <w:sz w:val="22"/>
          <w:szCs w:val="22"/>
          <w:rtl/>
        </w:rPr>
        <w:t xml:space="preserve">נוגעים </w:t>
      </w:r>
      <w:r w:rsidRPr="001A2EC8">
        <w:rPr>
          <w:rFonts w:hint="cs"/>
          <w:sz w:val="22"/>
          <w:szCs w:val="22"/>
          <w:rtl/>
        </w:rPr>
        <w:t>ב</w:t>
      </w:r>
      <w:r w:rsidRPr="001A2EC8">
        <w:rPr>
          <w:sz w:val="22"/>
          <w:szCs w:val="22"/>
          <w:rtl/>
        </w:rPr>
        <w:t xml:space="preserve">ה </w:t>
      </w:r>
      <w:r w:rsidRPr="001A2EC8">
        <w:rPr>
          <w:rFonts w:hint="cs"/>
          <w:sz w:val="22"/>
          <w:szCs w:val="22"/>
          <w:rtl/>
        </w:rPr>
        <w:t>ו</w:t>
      </w:r>
      <w:r w:rsidRPr="001A2EC8">
        <w:rPr>
          <w:sz w:val="22"/>
          <w:szCs w:val="22"/>
          <w:rtl/>
        </w:rPr>
        <w:t>משפיעים השפעה מכרעת על תושביה אך ורק מכיוון שמדובר בנושאים שבמוקד העניין הלאומי.</w:t>
      </w:r>
      <w:r w:rsidRPr="001A2EC8">
        <w:rPr>
          <w:sz w:val="22"/>
          <w:szCs w:val="22"/>
          <w:vertAlign w:val="superscript"/>
          <w:rtl/>
        </w:rPr>
        <w:footnoteReference w:id="68"/>
      </w:r>
    </w:p>
    <w:p w:rsidR="005366A8" w:rsidRPr="001A2EC8" w:rsidRDefault="005366A8" w:rsidP="005366A8">
      <w:pPr>
        <w:spacing w:after="120"/>
        <w:rPr>
          <w:sz w:val="22"/>
          <w:szCs w:val="22"/>
          <w:rtl/>
        </w:rPr>
      </w:pPr>
      <w:r w:rsidRPr="00AA32EC">
        <w:rPr>
          <w:sz w:val="22"/>
          <w:szCs w:val="22"/>
          <w:highlight w:val="yellow"/>
          <w:rtl/>
        </w:rPr>
        <w:t xml:space="preserve">השופט רובינשטיין </w:t>
      </w:r>
      <w:r>
        <w:rPr>
          <w:rFonts w:hint="cs"/>
          <w:sz w:val="22"/>
          <w:szCs w:val="22"/>
          <w:highlight w:val="yellow"/>
          <w:rtl/>
        </w:rPr>
        <w:t xml:space="preserve">[המבטא בהקשר זה את עמדת הרוב בפסק הדין] </w:t>
      </w:r>
      <w:r w:rsidRPr="00AA32EC">
        <w:rPr>
          <w:sz w:val="22"/>
          <w:szCs w:val="22"/>
          <w:highlight w:val="yellow"/>
          <w:rtl/>
        </w:rPr>
        <w:t xml:space="preserve">קובע כי המבחן לתיחום סמכויותיהן של רשויות מקומיות הוא זה שנקבע בפרשת </w:t>
      </w:r>
      <w:r w:rsidRPr="00AA32EC">
        <w:rPr>
          <w:b/>
          <w:bCs/>
          <w:sz w:val="22"/>
          <w:szCs w:val="22"/>
          <w:highlight w:val="yellow"/>
          <w:rtl/>
        </w:rPr>
        <w:t>גרינברג</w:t>
      </w:r>
      <w:r w:rsidRPr="00AA32EC">
        <w:rPr>
          <w:sz w:val="22"/>
          <w:szCs w:val="22"/>
          <w:highlight w:val="yellow"/>
          <w:rtl/>
        </w:rPr>
        <w:t xml:space="preserve">: "העובדה שנושא מסוים הוא בעל חשיבות לאומית, ואפילו הוא נתון במחלוקת ציבורית, אין בה כשלעצמה כדי למנוע מרשות מקומית לפעול </w:t>
      </w:r>
      <w:r w:rsidRPr="00AA32EC">
        <w:rPr>
          <w:rFonts w:hint="cs"/>
          <w:sz w:val="22"/>
          <w:szCs w:val="22"/>
          <w:highlight w:val="yellow"/>
          <w:rtl/>
        </w:rPr>
        <w:t xml:space="preserve">בעניין </w:t>
      </w:r>
      <w:r w:rsidRPr="00AA32EC">
        <w:rPr>
          <w:sz w:val="22"/>
          <w:szCs w:val="22"/>
          <w:highlight w:val="yellow"/>
          <w:rtl/>
        </w:rPr>
        <w:t>לטובת תושביה, ככל שהללו עתידים להינזק ממנו נזק מקומי וייחודי</w:t>
      </w:r>
      <w:r w:rsidRPr="00AA32EC">
        <w:rPr>
          <w:rFonts w:hint="cs"/>
          <w:sz w:val="22"/>
          <w:szCs w:val="22"/>
          <w:highlight w:val="yellow"/>
          <w:rtl/>
        </w:rPr>
        <w:t>.</w:t>
      </w:r>
      <w:r w:rsidRPr="00AA32EC">
        <w:rPr>
          <w:sz w:val="22"/>
          <w:szCs w:val="22"/>
          <w:highlight w:val="yellow"/>
          <w:rtl/>
        </w:rPr>
        <w:t>" עוד הוא מכריע כי מבחן זה מתקיים במקרה דנא</w:t>
      </w:r>
      <w:r w:rsidRPr="00AA32EC">
        <w:rPr>
          <w:rFonts w:hint="cs"/>
          <w:sz w:val="22"/>
          <w:szCs w:val="22"/>
          <w:highlight w:val="yellow"/>
          <w:rtl/>
        </w:rPr>
        <w:t>,</w:t>
      </w:r>
      <w:r w:rsidRPr="00AA32EC">
        <w:rPr>
          <w:sz w:val="22"/>
          <w:szCs w:val="22"/>
          <w:highlight w:val="yellow"/>
          <w:rtl/>
        </w:rPr>
        <w:t xml:space="preserve"> שכן ניתן לזהות "קיומו של אינטרס לוקלי נפרד מהמשמעות הארצית והלאומית". האינטרס </w:t>
      </w:r>
      <w:r w:rsidRPr="00AA32EC">
        <w:rPr>
          <w:rFonts w:hint="cs"/>
          <w:sz w:val="22"/>
          <w:szCs w:val="22"/>
          <w:highlight w:val="yellow"/>
          <w:rtl/>
        </w:rPr>
        <w:t xml:space="preserve">המקומי </w:t>
      </w:r>
      <w:r w:rsidRPr="00AA32EC">
        <w:rPr>
          <w:sz w:val="22"/>
          <w:szCs w:val="22"/>
          <w:highlight w:val="yellow"/>
          <w:rtl/>
        </w:rPr>
        <w:t>הנפרד הוא שת</w:t>
      </w:r>
      <w:r w:rsidRPr="00AA32EC">
        <w:rPr>
          <w:rFonts w:hint="cs"/>
          <w:sz w:val="22"/>
          <w:szCs w:val="22"/>
          <w:highlight w:val="yellow"/>
          <w:rtl/>
        </w:rPr>
        <w:t>ו</w:t>
      </w:r>
      <w:r w:rsidRPr="00AA32EC">
        <w:rPr>
          <w:sz w:val="22"/>
          <w:szCs w:val="22"/>
          <w:highlight w:val="yellow"/>
          <w:rtl/>
        </w:rPr>
        <w:t>כנית ההתנתקות מעזה, אף שהיא אינה מאיימת ישירות על קיומן הפיזי של הרשויות המקומיות ביהודה ושומרון, מהווה לא רק תקדים</w:t>
      </w:r>
      <w:r w:rsidRPr="00AA32EC">
        <w:rPr>
          <w:rFonts w:hint="cs"/>
          <w:sz w:val="22"/>
          <w:szCs w:val="22"/>
          <w:highlight w:val="yellow"/>
          <w:rtl/>
        </w:rPr>
        <w:t>,</w:t>
      </w:r>
      <w:r w:rsidRPr="00AA32EC">
        <w:rPr>
          <w:sz w:val="22"/>
          <w:szCs w:val="22"/>
          <w:highlight w:val="yellow"/>
          <w:rtl/>
        </w:rPr>
        <w:t xml:space="preserve"> אלא צעד ראשון בסדרה של נסיגות נוספות. עם זאת, קובע השופט רובינשטיין, "אילו היו המשיבות משתתפות במימון מסע </w:t>
      </w:r>
      <w:r w:rsidRPr="00AA32EC">
        <w:rPr>
          <w:rFonts w:hint="cs"/>
          <w:sz w:val="22"/>
          <w:szCs w:val="22"/>
          <w:highlight w:val="yellow"/>
          <w:rtl/>
        </w:rPr>
        <w:t>ה</w:t>
      </w:r>
      <w:r w:rsidRPr="00AA32EC">
        <w:rPr>
          <w:sz w:val="22"/>
          <w:szCs w:val="22"/>
          <w:highlight w:val="yellow"/>
          <w:rtl/>
        </w:rPr>
        <w:t>הסברה על</w:t>
      </w:r>
      <w:r w:rsidRPr="00AA32EC">
        <w:rPr>
          <w:rFonts w:hint="cs"/>
          <w:sz w:val="22"/>
          <w:szCs w:val="22"/>
          <w:highlight w:val="yellow"/>
          <w:rtl/>
        </w:rPr>
        <w:t xml:space="preserve"> </w:t>
      </w:r>
      <w:r w:rsidRPr="00AA32EC">
        <w:rPr>
          <w:sz w:val="22"/>
          <w:szCs w:val="22"/>
          <w:highlight w:val="yellow"/>
          <w:rtl/>
        </w:rPr>
        <w:t xml:space="preserve">מנת לסייע למועצות שהושפעו ישירות מתכנית ההתנתקות בלא השלכה עליהן עצמן, לא היה הדבר בא בגדרי הלכת </w:t>
      </w:r>
      <w:r w:rsidRPr="00AA32EC">
        <w:rPr>
          <w:b/>
          <w:bCs/>
          <w:sz w:val="22"/>
          <w:szCs w:val="22"/>
          <w:highlight w:val="yellow"/>
          <w:rtl/>
        </w:rPr>
        <w:t>גרינברג</w:t>
      </w:r>
      <w:r w:rsidRPr="00AA32EC">
        <w:rPr>
          <w:sz w:val="22"/>
          <w:szCs w:val="22"/>
          <w:highlight w:val="yellow"/>
          <w:rtl/>
        </w:rPr>
        <w:t>, שהרי 'רשות מקומית אמורה לדאוג לקהילתה – לא לכלל קהילת המדינה'".</w:t>
      </w:r>
    </w:p>
    <w:p w:rsidR="005366A8" w:rsidRPr="001A2EC8" w:rsidRDefault="005366A8" w:rsidP="005366A8">
      <w:pPr>
        <w:rPr>
          <w:sz w:val="22"/>
          <w:szCs w:val="22"/>
          <w:rtl/>
        </w:rPr>
      </w:pPr>
      <w:r w:rsidRPr="00AA32EC">
        <w:rPr>
          <w:sz w:val="22"/>
          <w:szCs w:val="22"/>
          <w:highlight w:val="yellow"/>
          <w:rtl/>
        </w:rPr>
        <w:t xml:space="preserve">דעת </w:t>
      </w:r>
      <w:r w:rsidRPr="00AA32EC">
        <w:rPr>
          <w:rFonts w:hint="cs"/>
          <w:sz w:val="22"/>
          <w:szCs w:val="22"/>
          <w:highlight w:val="yellow"/>
          <w:rtl/>
        </w:rPr>
        <w:t>ה</w:t>
      </w:r>
      <w:r w:rsidRPr="00AA32EC">
        <w:rPr>
          <w:sz w:val="22"/>
          <w:szCs w:val="22"/>
          <w:highlight w:val="yellow"/>
          <w:rtl/>
        </w:rPr>
        <w:t>מיעוט של השופט חשין</w:t>
      </w:r>
      <w:r w:rsidRPr="001A2EC8">
        <w:rPr>
          <w:sz w:val="22"/>
          <w:szCs w:val="22"/>
          <w:rtl/>
        </w:rPr>
        <w:t xml:space="preserve"> (</w:t>
      </w:r>
      <w:r w:rsidRPr="001A2EC8">
        <w:rPr>
          <w:rFonts w:hint="cs"/>
          <w:sz w:val="22"/>
          <w:szCs w:val="22"/>
          <w:rtl/>
        </w:rPr>
        <w:t>ש</w:t>
      </w:r>
      <w:r w:rsidRPr="001A2EC8">
        <w:rPr>
          <w:sz w:val="22"/>
          <w:szCs w:val="22"/>
          <w:rtl/>
        </w:rPr>
        <w:t xml:space="preserve">אליו הצטרפה השופטת </w:t>
      </w:r>
      <w:r w:rsidRPr="001A2EC8">
        <w:rPr>
          <w:rFonts w:hint="cs"/>
          <w:sz w:val="22"/>
          <w:szCs w:val="22"/>
          <w:rtl/>
        </w:rPr>
        <w:t>ב</w:t>
      </w:r>
      <w:r w:rsidRPr="001A2EC8">
        <w:rPr>
          <w:sz w:val="22"/>
          <w:szCs w:val="22"/>
          <w:rtl/>
        </w:rPr>
        <w:t>יניש) סברה כי במימון הקמפיין נגד ת</w:t>
      </w:r>
      <w:r w:rsidRPr="001A2EC8">
        <w:rPr>
          <w:rFonts w:hint="cs"/>
          <w:sz w:val="22"/>
          <w:szCs w:val="22"/>
          <w:rtl/>
        </w:rPr>
        <w:t>ו</w:t>
      </w:r>
      <w:r w:rsidRPr="001A2EC8">
        <w:rPr>
          <w:sz w:val="22"/>
          <w:szCs w:val="22"/>
          <w:rtl/>
        </w:rPr>
        <w:t>כנית ההתנתקות חרגו הרשויות המקומיות ביהודה ושומרון מסמכותן. השופט חשין חולק בפסק</w:t>
      </w:r>
      <w:r w:rsidRPr="001A2EC8">
        <w:rPr>
          <w:rFonts w:hint="cs"/>
          <w:sz w:val="22"/>
          <w:szCs w:val="22"/>
          <w:rtl/>
        </w:rPr>
        <w:t>-</w:t>
      </w:r>
      <w:r w:rsidRPr="001A2EC8">
        <w:rPr>
          <w:sz w:val="22"/>
          <w:szCs w:val="22"/>
          <w:rtl/>
        </w:rPr>
        <w:t xml:space="preserve">דינו על דעת הרוב הן בעניין הפרשנות הראויה שיש לתת להלכת </w:t>
      </w:r>
      <w:r w:rsidRPr="001A2EC8">
        <w:rPr>
          <w:b/>
          <w:bCs/>
          <w:sz w:val="22"/>
          <w:szCs w:val="22"/>
          <w:rtl/>
        </w:rPr>
        <w:t>גרינברג</w:t>
      </w:r>
      <w:r w:rsidRPr="001A2EC8">
        <w:rPr>
          <w:sz w:val="22"/>
          <w:szCs w:val="22"/>
          <w:rtl/>
        </w:rPr>
        <w:t xml:space="preserve"> והן בשאלת חלותה של הלכה זו על העניין הנ</w:t>
      </w:r>
      <w:r w:rsidRPr="001A2EC8">
        <w:rPr>
          <w:rFonts w:hint="cs"/>
          <w:sz w:val="22"/>
          <w:szCs w:val="22"/>
          <w:rtl/>
        </w:rPr>
        <w:t>י</w:t>
      </w:r>
      <w:r w:rsidRPr="001A2EC8">
        <w:rPr>
          <w:sz w:val="22"/>
          <w:szCs w:val="22"/>
          <w:rtl/>
        </w:rPr>
        <w:t>דון. לגישתו, הרשויות המקומיות מהוות זרוע ארוכה של השלטון המרכזי, שתפקידן הבלעדי הוא מתן שירותים מוניציפ</w:t>
      </w:r>
      <w:r w:rsidRPr="001A2EC8">
        <w:rPr>
          <w:rFonts w:hint="cs"/>
          <w:sz w:val="22"/>
          <w:szCs w:val="22"/>
          <w:rtl/>
        </w:rPr>
        <w:t>ליים</w:t>
      </w:r>
      <w:r w:rsidRPr="001A2EC8">
        <w:rPr>
          <w:sz w:val="22"/>
          <w:szCs w:val="22"/>
          <w:rtl/>
        </w:rPr>
        <w:t xml:space="preserve"> לתושביהן. על</w:t>
      </w:r>
      <w:r w:rsidRPr="001A2EC8">
        <w:rPr>
          <w:rFonts w:hint="cs"/>
          <w:sz w:val="22"/>
          <w:szCs w:val="22"/>
          <w:rtl/>
        </w:rPr>
        <w:t>-</w:t>
      </w:r>
      <w:r w:rsidRPr="001A2EC8">
        <w:rPr>
          <w:sz w:val="22"/>
          <w:szCs w:val="22"/>
          <w:rtl/>
        </w:rPr>
        <w:t xml:space="preserve">כן, </w:t>
      </w:r>
      <w:r w:rsidRPr="001A2EC8">
        <w:rPr>
          <w:rFonts w:hint="cs"/>
          <w:sz w:val="22"/>
          <w:szCs w:val="22"/>
          <w:rtl/>
        </w:rPr>
        <w:t>בה</w:t>
      </w:r>
      <w:r w:rsidRPr="001A2EC8">
        <w:rPr>
          <w:sz w:val="22"/>
          <w:szCs w:val="22"/>
          <w:rtl/>
        </w:rPr>
        <w:t>עדר הוראת-דין מפורשת, אין הרשויות המקומיות מוסמכות לעסוק בעניינים לבר-מוניציפ</w:t>
      </w:r>
      <w:r w:rsidRPr="001A2EC8">
        <w:rPr>
          <w:rFonts w:hint="cs"/>
          <w:sz w:val="22"/>
          <w:szCs w:val="22"/>
          <w:rtl/>
        </w:rPr>
        <w:t>ליים</w:t>
      </w:r>
      <w:r w:rsidRPr="001A2EC8">
        <w:rPr>
          <w:sz w:val="22"/>
          <w:szCs w:val="22"/>
          <w:rtl/>
        </w:rPr>
        <w:t xml:space="preserve"> או לממנם מתקציביהן. משכך, מאמץ השופט חשין את המבחן הכפול שהציעה המדינה לבחינת המקומיו</w:t>
      </w:r>
      <w:r w:rsidRPr="001A2EC8">
        <w:rPr>
          <w:rFonts w:hint="cs"/>
          <w:sz w:val="22"/>
          <w:szCs w:val="22"/>
          <w:rtl/>
        </w:rPr>
        <w:t>ּ</w:t>
      </w:r>
      <w:r w:rsidRPr="001A2EC8">
        <w:rPr>
          <w:sz w:val="22"/>
          <w:szCs w:val="22"/>
          <w:rtl/>
        </w:rPr>
        <w:t>ת</w:t>
      </w:r>
      <w:r w:rsidRPr="001A2EC8">
        <w:rPr>
          <w:rFonts w:hint="cs"/>
          <w:sz w:val="22"/>
          <w:szCs w:val="22"/>
          <w:rtl/>
        </w:rPr>
        <w:t>,</w:t>
      </w:r>
      <w:r w:rsidRPr="001A2EC8">
        <w:rPr>
          <w:sz w:val="22"/>
          <w:szCs w:val="22"/>
          <w:rtl/>
        </w:rPr>
        <w:t xml:space="preserve"> וקובע כי הרשות המקומית מוגבלת הן מבחינה טריטוריאלית</w:t>
      </w:r>
      <w:r w:rsidRPr="001A2EC8">
        <w:rPr>
          <w:rFonts w:hint="cs"/>
          <w:sz w:val="22"/>
          <w:szCs w:val="22"/>
          <w:rtl/>
        </w:rPr>
        <w:t>,</w:t>
      </w:r>
      <w:r w:rsidRPr="001A2EC8">
        <w:rPr>
          <w:sz w:val="22"/>
          <w:szCs w:val="22"/>
          <w:rtl/>
        </w:rPr>
        <w:t xml:space="preserve"> לשטח השיפוט הגיאוגרפי שלה (</w:t>
      </w:r>
      <w:r w:rsidRPr="001A2EC8">
        <w:rPr>
          <w:sz w:val="22"/>
          <w:szCs w:val="22"/>
        </w:rPr>
        <w:t>ratione loci</w:t>
      </w:r>
      <w:r w:rsidRPr="001A2EC8">
        <w:rPr>
          <w:sz w:val="22"/>
          <w:szCs w:val="22"/>
          <w:rtl/>
        </w:rPr>
        <w:t>)</w:t>
      </w:r>
      <w:r w:rsidRPr="001A2EC8">
        <w:rPr>
          <w:rFonts w:hint="cs"/>
          <w:sz w:val="22"/>
          <w:szCs w:val="22"/>
          <w:rtl/>
        </w:rPr>
        <w:t>,</w:t>
      </w:r>
      <w:r w:rsidRPr="001A2EC8">
        <w:rPr>
          <w:sz w:val="22"/>
          <w:szCs w:val="22"/>
          <w:rtl/>
        </w:rPr>
        <w:t xml:space="preserve"> והן מבחינת תחומי עיסוקה</w:t>
      </w:r>
      <w:r w:rsidRPr="001A2EC8">
        <w:rPr>
          <w:rFonts w:hint="cs"/>
          <w:sz w:val="22"/>
          <w:szCs w:val="22"/>
          <w:rtl/>
        </w:rPr>
        <w:t>,</w:t>
      </w:r>
      <w:r w:rsidRPr="001A2EC8">
        <w:rPr>
          <w:sz w:val="22"/>
          <w:szCs w:val="22"/>
          <w:rtl/>
        </w:rPr>
        <w:t xml:space="preserve"> לתחומים שנקבעו מראש ובאופן מפורש בחקיקה המסמיכה (</w:t>
      </w:r>
      <w:r w:rsidRPr="001A2EC8">
        <w:rPr>
          <w:sz w:val="22"/>
          <w:szCs w:val="22"/>
        </w:rPr>
        <w:t>ratione materiae</w:t>
      </w:r>
      <w:r w:rsidRPr="001A2EC8">
        <w:rPr>
          <w:sz w:val="22"/>
          <w:szCs w:val="22"/>
          <w:rtl/>
        </w:rPr>
        <w:t>). "לעת בחינת גבולות מעטפת סמכויות</w:t>
      </w:r>
      <w:r w:rsidRPr="001A2EC8">
        <w:rPr>
          <w:rFonts w:hint="cs"/>
          <w:sz w:val="22"/>
          <w:szCs w:val="22"/>
          <w:rtl/>
        </w:rPr>
        <w:t>יה</w:t>
      </w:r>
      <w:r w:rsidRPr="001A2EC8">
        <w:rPr>
          <w:sz w:val="22"/>
          <w:szCs w:val="22"/>
          <w:rtl/>
        </w:rPr>
        <w:t xml:space="preserve"> של רשות מקומית, עיקר </w:t>
      </w:r>
      <w:r w:rsidRPr="001A2EC8">
        <w:rPr>
          <w:rFonts w:hint="cs"/>
          <w:sz w:val="22"/>
          <w:szCs w:val="22"/>
          <w:rtl/>
        </w:rPr>
        <w:t>ה</w:t>
      </w:r>
      <w:r w:rsidRPr="001A2EC8">
        <w:rPr>
          <w:sz w:val="22"/>
          <w:szCs w:val="22"/>
          <w:rtl/>
        </w:rPr>
        <w:t xml:space="preserve">עיקרים הוא </w:t>
      </w:r>
      <w:r w:rsidRPr="001A2EC8">
        <w:rPr>
          <w:rFonts w:hint="cs"/>
          <w:sz w:val="22"/>
          <w:szCs w:val="22"/>
          <w:rtl/>
        </w:rPr>
        <w:t>בע</w:t>
      </w:r>
      <w:r w:rsidRPr="001A2EC8">
        <w:rPr>
          <w:sz w:val="22"/>
          <w:szCs w:val="22"/>
          <w:rtl/>
        </w:rPr>
        <w:t>קרון המקומיו</w:t>
      </w:r>
      <w:r w:rsidRPr="001A2EC8">
        <w:rPr>
          <w:rFonts w:hint="cs"/>
          <w:sz w:val="22"/>
          <w:szCs w:val="22"/>
          <w:rtl/>
        </w:rPr>
        <w:t>ּ</w:t>
      </w:r>
      <w:r w:rsidRPr="001A2EC8">
        <w:rPr>
          <w:sz w:val="22"/>
          <w:szCs w:val="22"/>
          <w:rtl/>
        </w:rPr>
        <w:t>ת ובחובתה של הרשות להתמקד בענייני המקום. הכלל-ארצי – לשלטון המרכזי ניתן, המוניציפאלי-מקומי – בידי הרשות המקומית הופקד, ועל דרך הכלל אין לה לרשות המקומית היתר לפעול בסוגיות כלל-ארציות שהסמכות לעסוק בהן ניתנה לשלטון המרכזי</w:t>
      </w:r>
      <w:r w:rsidRPr="001A2EC8">
        <w:rPr>
          <w:rFonts w:hint="cs"/>
          <w:sz w:val="22"/>
          <w:szCs w:val="22"/>
          <w:rtl/>
        </w:rPr>
        <w:t>.</w:t>
      </w:r>
      <w:r w:rsidRPr="001A2EC8">
        <w:rPr>
          <w:sz w:val="22"/>
          <w:szCs w:val="22"/>
          <w:rtl/>
        </w:rPr>
        <w:t>" זאת</w:t>
      </w:r>
      <w:r w:rsidRPr="001A2EC8">
        <w:rPr>
          <w:rFonts w:hint="cs"/>
          <w:sz w:val="22"/>
          <w:szCs w:val="22"/>
          <w:rtl/>
        </w:rPr>
        <w:t>,</w:t>
      </w:r>
      <w:r w:rsidRPr="001A2EC8">
        <w:rPr>
          <w:sz w:val="22"/>
          <w:szCs w:val="22"/>
          <w:rtl/>
        </w:rPr>
        <w:t xml:space="preserve"> אף אם יש לה</w:t>
      </w:r>
      <w:r w:rsidRPr="001A2EC8">
        <w:rPr>
          <w:rFonts w:hint="cs"/>
          <w:sz w:val="22"/>
          <w:szCs w:val="22"/>
          <w:rtl/>
        </w:rPr>
        <w:t>ן</w:t>
      </w:r>
      <w:r w:rsidRPr="001A2EC8">
        <w:rPr>
          <w:sz w:val="22"/>
          <w:szCs w:val="22"/>
          <w:rtl/>
        </w:rPr>
        <w:t xml:space="preserve"> "נגיעה" </w:t>
      </w:r>
      <w:r w:rsidRPr="001A2EC8">
        <w:rPr>
          <w:rFonts w:hint="cs"/>
          <w:sz w:val="22"/>
          <w:szCs w:val="22"/>
          <w:rtl/>
        </w:rPr>
        <w:t>ב</w:t>
      </w:r>
      <w:r w:rsidRPr="001A2EC8">
        <w:rPr>
          <w:sz w:val="22"/>
          <w:szCs w:val="22"/>
          <w:rtl/>
        </w:rPr>
        <w:t>רשות המקומית.</w:t>
      </w:r>
    </w:p>
    <w:p w:rsidR="005366A8" w:rsidRPr="001A2EC8" w:rsidRDefault="005366A8" w:rsidP="005366A8">
      <w:pPr>
        <w:rPr>
          <w:sz w:val="22"/>
          <w:szCs w:val="22"/>
          <w:rtl/>
        </w:rPr>
      </w:pPr>
      <w:r w:rsidRPr="001A2EC8">
        <w:rPr>
          <w:sz w:val="22"/>
          <w:szCs w:val="22"/>
          <w:rtl/>
        </w:rPr>
        <w:t>עם זאת, השופט חשין מודה כי לא תמיד ניתן להבחין בבירור בין ה"מקומי" לבין ה"כלל-ארצי"</w:t>
      </w:r>
      <w:r w:rsidRPr="001A2EC8">
        <w:rPr>
          <w:rFonts w:hint="cs"/>
          <w:sz w:val="22"/>
          <w:szCs w:val="22"/>
          <w:rtl/>
        </w:rPr>
        <w:t>,</w:t>
      </w:r>
      <w:r w:rsidRPr="001A2EC8">
        <w:rPr>
          <w:sz w:val="22"/>
          <w:szCs w:val="22"/>
          <w:rtl/>
        </w:rPr>
        <w:t xml:space="preserve"> ולא אחת מתקיימת ביניהם חפיפה. </w:t>
      </w:r>
      <w:r w:rsidRPr="001A2EC8">
        <w:rPr>
          <w:rFonts w:hint="cs"/>
          <w:sz w:val="22"/>
          <w:szCs w:val="22"/>
          <w:rtl/>
        </w:rPr>
        <w:t xml:space="preserve">אם כך, </w:t>
      </w:r>
      <w:r w:rsidRPr="001A2EC8">
        <w:rPr>
          <w:sz w:val="22"/>
          <w:szCs w:val="22"/>
          <w:rtl/>
        </w:rPr>
        <w:t>השאלה הנשאלת היא אם רשות מקומית מוסמכת לפעול ברמה המוניציפ</w:t>
      </w:r>
      <w:r w:rsidRPr="001A2EC8">
        <w:rPr>
          <w:rFonts w:hint="cs"/>
          <w:sz w:val="22"/>
          <w:szCs w:val="22"/>
          <w:rtl/>
        </w:rPr>
        <w:t>לית</w:t>
      </w:r>
      <w:r w:rsidRPr="001A2EC8">
        <w:rPr>
          <w:sz w:val="22"/>
          <w:szCs w:val="22"/>
          <w:rtl/>
        </w:rPr>
        <w:t xml:space="preserve"> מקום שפעילותה חופפת מדיניות כלל-ארצית</w:t>
      </w:r>
      <w:r w:rsidRPr="001A2EC8">
        <w:rPr>
          <w:rFonts w:hint="cs"/>
          <w:sz w:val="22"/>
          <w:szCs w:val="22"/>
          <w:rtl/>
        </w:rPr>
        <w:t>.</w:t>
      </w:r>
      <w:r w:rsidRPr="001A2EC8">
        <w:rPr>
          <w:sz w:val="22"/>
          <w:szCs w:val="22"/>
          <w:rtl/>
        </w:rPr>
        <w:t xml:space="preserve"> וכך הוא עונה:</w:t>
      </w:r>
    </w:p>
    <w:p w:rsidR="005366A8" w:rsidRPr="001A2EC8" w:rsidRDefault="005366A8" w:rsidP="005366A8">
      <w:pPr>
        <w:ind w:left="720"/>
        <w:rPr>
          <w:sz w:val="22"/>
          <w:szCs w:val="22"/>
          <w:rtl/>
        </w:rPr>
      </w:pPr>
      <w:r w:rsidRPr="001A2EC8">
        <w:rPr>
          <w:sz w:val="22"/>
          <w:szCs w:val="22"/>
          <w:rtl/>
        </w:rPr>
        <w:t>במקום שבו חודרת החלטת הש</w:t>
      </w:r>
      <w:r w:rsidRPr="001A2EC8">
        <w:rPr>
          <w:rFonts w:hint="cs"/>
          <w:sz w:val="22"/>
          <w:szCs w:val="22"/>
          <w:rtl/>
        </w:rPr>
        <w:t>י</w:t>
      </w:r>
      <w:r w:rsidRPr="001A2EC8">
        <w:rPr>
          <w:sz w:val="22"/>
          <w:szCs w:val="22"/>
          <w:rtl/>
        </w:rPr>
        <w:t>לטון המרכזי אל תוך מעטפת סמכויותיה של הרשות המקומית – קרא: במקום שבו מחילה עצמה מדיניות כלל-ארצית על תחומי</w:t>
      </w:r>
      <w:r w:rsidRPr="001A2EC8">
        <w:rPr>
          <w:rFonts w:hint="cs"/>
          <w:sz w:val="22"/>
          <w:szCs w:val="22"/>
          <w:rtl/>
        </w:rPr>
        <w:t>-</w:t>
      </w:r>
      <w:r w:rsidRPr="001A2EC8">
        <w:rPr>
          <w:sz w:val="22"/>
          <w:szCs w:val="22"/>
          <w:rtl/>
        </w:rPr>
        <w:t>שיפוט שרשות מקומית מופקדת עליהם, ועניינה של אותה מדיניות הוא בתחומי</w:t>
      </w:r>
      <w:r w:rsidRPr="001A2EC8">
        <w:rPr>
          <w:rFonts w:hint="cs"/>
          <w:sz w:val="22"/>
          <w:szCs w:val="22"/>
          <w:rtl/>
        </w:rPr>
        <w:t>-</w:t>
      </w:r>
      <w:r w:rsidRPr="001A2EC8">
        <w:rPr>
          <w:sz w:val="22"/>
          <w:szCs w:val="22"/>
          <w:rtl/>
        </w:rPr>
        <w:t xml:space="preserve">חיים שהרשות המקומית גם-היא הוסמכה לפעול בהם – רשאית </w:t>
      </w:r>
      <w:r w:rsidRPr="001A2EC8">
        <w:rPr>
          <w:rFonts w:hint="cs"/>
          <w:sz w:val="22"/>
          <w:szCs w:val="22"/>
          <w:rtl/>
        </w:rPr>
        <w:t xml:space="preserve">היא </w:t>
      </w:r>
      <w:r w:rsidRPr="001A2EC8">
        <w:rPr>
          <w:sz w:val="22"/>
          <w:szCs w:val="22"/>
          <w:rtl/>
        </w:rPr>
        <w:t>הרשות המקומית לפעול כסמכויותיה על</w:t>
      </w:r>
      <w:r w:rsidRPr="001A2EC8">
        <w:rPr>
          <w:rFonts w:hint="cs"/>
          <w:sz w:val="22"/>
          <w:szCs w:val="22"/>
          <w:rtl/>
        </w:rPr>
        <w:t>-</w:t>
      </w:r>
      <w:r w:rsidRPr="001A2EC8">
        <w:rPr>
          <w:sz w:val="22"/>
          <w:szCs w:val="22"/>
          <w:rtl/>
        </w:rPr>
        <w:t>פי דין. לשון אחר: שעה שמדיניות כלל-ארצית של הש</w:t>
      </w:r>
      <w:r w:rsidRPr="001A2EC8">
        <w:rPr>
          <w:rFonts w:hint="cs"/>
          <w:sz w:val="22"/>
          <w:szCs w:val="22"/>
          <w:rtl/>
        </w:rPr>
        <w:t>י</w:t>
      </w:r>
      <w:r w:rsidRPr="001A2EC8">
        <w:rPr>
          <w:sz w:val="22"/>
          <w:szCs w:val="22"/>
          <w:rtl/>
        </w:rPr>
        <w:t>לטון המרכזי משפיעה במישרין על רווחתם המוניציפאלית של תושבי רשות מקומית – באשר תושבי רשות מקומית הם – מוסמכת היא הרשות המקומית לפעול באותו נושא.</w:t>
      </w:r>
    </w:p>
    <w:p w:rsidR="005366A8" w:rsidRPr="001A2EC8" w:rsidRDefault="005366A8" w:rsidP="005366A8">
      <w:pPr>
        <w:rPr>
          <w:sz w:val="22"/>
          <w:szCs w:val="22"/>
          <w:rtl/>
        </w:rPr>
      </w:pPr>
      <w:r w:rsidRPr="001A2EC8">
        <w:rPr>
          <w:sz w:val="22"/>
          <w:szCs w:val="22"/>
          <w:rtl/>
        </w:rPr>
        <w:t>כדוגמ</w:t>
      </w:r>
      <w:r w:rsidRPr="001A2EC8">
        <w:rPr>
          <w:rFonts w:hint="cs"/>
          <w:sz w:val="22"/>
          <w:szCs w:val="22"/>
          <w:rtl/>
        </w:rPr>
        <w:t>ה</w:t>
      </w:r>
      <w:r w:rsidRPr="001A2EC8">
        <w:rPr>
          <w:sz w:val="22"/>
          <w:szCs w:val="22"/>
          <w:rtl/>
        </w:rPr>
        <w:t xml:space="preserve"> למצבים </w:t>
      </w:r>
      <w:r w:rsidRPr="001A2EC8">
        <w:rPr>
          <w:rFonts w:hint="cs"/>
          <w:sz w:val="22"/>
          <w:szCs w:val="22"/>
          <w:rtl/>
        </w:rPr>
        <w:t>ש</w:t>
      </w:r>
      <w:r w:rsidRPr="001A2EC8">
        <w:rPr>
          <w:sz w:val="22"/>
          <w:szCs w:val="22"/>
          <w:rtl/>
        </w:rPr>
        <w:t xml:space="preserve">בהם החלטת השלטון המרכזי חודרת </w:t>
      </w:r>
      <w:r w:rsidRPr="001A2EC8">
        <w:rPr>
          <w:rFonts w:hint="cs"/>
          <w:sz w:val="22"/>
          <w:szCs w:val="22"/>
          <w:rtl/>
        </w:rPr>
        <w:t xml:space="preserve">אל תוך מעטפת </w:t>
      </w:r>
      <w:r w:rsidRPr="001A2EC8">
        <w:rPr>
          <w:sz w:val="22"/>
          <w:szCs w:val="22"/>
          <w:rtl/>
        </w:rPr>
        <w:t>סמכויות</w:t>
      </w:r>
      <w:r w:rsidRPr="001A2EC8">
        <w:rPr>
          <w:rFonts w:hint="cs"/>
          <w:sz w:val="22"/>
          <w:szCs w:val="22"/>
          <w:rtl/>
        </w:rPr>
        <w:t>יו</w:t>
      </w:r>
      <w:r w:rsidRPr="001A2EC8">
        <w:rPr>
          <w:sz w:val="22"/>
          <w:szCs w:val="22"/>
          <w:rtl/>
        </w:rPr>
        <w:t xml:space="preserve"> של השלטון המקומי, מביא השופט חשין מקרים </w:t>
      </w:r>
      <w:r w:rsidRPr="001A2EC8">
        <w:rPr>
          <w:rFonts w:hint="cs"/>
          <w:sz w:val="22"/>
          <w:szCs w:val="22"/>
          <w:rtl/>
        </w:rPr>
        <w:t>ש</w:t>
      </w:r>
      <w:r w:rsidRPr="001A2EC8">
        <w:rPr>
          <w:sz w:val="22"/>
          <w:szCs w:val="22"/>
          <w:rtl/>
        </w:rPr>
        <w:t>בהם המדינה מתכננת להקים בתחומיה של רשות מקומית כלשהי אתר פסולת מרכזי, מיכלי</w:t>
      </w:r>
      <w:r w:rsidRPr="001A2EC8">
        <w:rPr>
          <w:rFonts w:hint="cs"/>
          <w:sz w:val="22"/>
          <w:szCs w:val="22"/>
          <w:rtl/>
        </w:rPr>
        <w:t>ם של</w:t>
      </w:r>
      <w:r w:rsidRPr="001A2EC8">
        <w:rPr>
          <w:sz w:val="22"/>
          <w:szCs w:val="22"/>
          <w:rtl/>
        </w:rPr>
        <w:t xml:space="preserve"> גז מסוכן, תחנת ממסר רבת</w:t>
      </w:r>
      <w:r w:rsidRPr="001A2EC8">
        <w:rPr>
          <w:rFonts w:hint="cs"/>
          <w:sz w:val="22"/>
          <w:szCs w:val="22"/>
          <w:rtl/>
        </w:rPr>
        <w:t>-</w:t>
      </w:r>
      <w:r w:rsidRPr="001A2EC8">
        <w:rPr>
          <w:sz w:val="22"/>
          <w:szCs w:val="22"/>
          <w:rtl/>
        </w:rPr>
        <w:t>עוצמה או שדה</w:t>
      </w:r>
      <w:r w:rsidRPr="001A2EC8">
        <w:rPr>
          <w:rFonts w:hint="cs"/>
          <w:sz w:val="22"/>
          <w:szCs w:val="22"/>
          <w:rtl/>
        </w:rPr>
        <w:t>-</w:t>
      </w:r>
      <w:r w:rsidRPr="001A2EC8">
        <w:rPr>
          <w:sz w:val="22"/>
          <w:szCs w:val="22"/>
          <w:rtl/>
        </w:rPr>
        <w:t xml:space="preserve">תעופה. במקרים אלה הקמתם והפעלתם של המתקנים בתחום שיפוטה של הרשות </w:t>
      </w:r>
      <w:r w:rsidRPr="001A2EC8">
        <w:rPr>
          <w:rFonts w:hint="cs"/>
          <w:sz w:val="22"/>
          <w:szCs w:val="22"/>
          <w:rtl/>
        </w:rPr>
        <w:t xml:space="preserve">איימו </w:t>
      </w:r>
      <w:r w:rsidRPr="001A2EC8">
        <w:rPr>
          <w:sz w:val="22"/>
          <w:szCs w:val="22"/>
          <w:rtl/>
        </w:rPr>
        <w:t>לפגוע ברווחת חייהם ה"מוניציפ</w:t>
      </w:r>
      <w:r w:rsidRPr="001A2EC8">
        <w:rPr>
          <w:rFonts w:hint="cs"/>
          <w:sz w:val="22"/>
          <w:szCs w:val="22"/>
          <w:rtl/>
        </w:rPr>
        <w:t>ליים</w:t>
      </w:r>
      <w:r w:rsidRPr="001A2EC8">
        <w:rPr>
          <w:sz w:val="22"/>
          <w:szCs w:val="22"/>
          <w:rtl/>
        </w:rPr>
        <w:t>" של התושבים ולהשפיע על מגוון תחומי חיים שהרשות הוסמכה לעסוק בהם</w:t>
      </w:r>
      <w:r w:rsidRPr="001A2EC8">
        <w:rPr>
          <w:rFonts w:hint="cs"/>
          <w:sz w:val="22"/>
          <w:szCs w:val="22"/>
          <w:rtl/>
        </w:rPr>
        <w:t>,</w:t>
      </w:r>
      <w:r w:rsidRPr="001A2EC8">
        <w:rPr>
          <w:sz w:val="22"/>
          <w:szCs w:val="22"/>
          <w:rtl/>
        </w:rPr>
        <w:t xml:space="preserve"> כגון תברואה, תחבורה, ניקיון, בטיחות ועוד. במקרים אלה, קובע השופט חשין, הרשות המקומית מוסמכת לפעול נגד אותה החלטה כלל-ארצית המשפיעה על האוטונומיה שניתנה לה בתחומיה, שכן ההחלטה נוגעת במישרין בתוכה של מעטפת הסמכויות שניתנו לה.</w:t>
      </w:r>
    </w:p>
    <w:p w:rsidR="005366A8" w:rsidRPr="001A2EC8" w:rsidRDefault="005366A8" w:rsidP="005366A8">
      <w:pPr>
        <w:rPr>
          <w:sz w:val="22"/>
          <w:szCs w:val="22"/>
          <w:rtl/>
        </w:rPr>
      </w:pPr>
      <w:r w:rsidRPr="001A2EC8">
        <w:rPr>
          <w:sz w:val="22"/>
          <w:szCs w:val="22"/>
          <w:rtl/>
        </w:rPr>
        <w:t xml:space="preserve">באשר להלכת </w:t>
      </w:r>
      <w:r w:rsidRPr="001A2EC8">
        <w:rPr>
          <w:b/>
          <w:bCs/>
          <w:sz w:val="22"/>
          <w:szCs w:val="22"/>
          <w:rtl/>
        </w:rPr>
        <w:t>גרינברג</w:t>
      </w:r>
      <w:r w:rsidRPr="001A2EC8">
        <w:rPr>
          <w:sz w:val="22"/>
          <w:szCs w:val="22"/>
          <w:rtl/>
        </w:rPr>
        <w:t>, השופט חשין מפרש את ההלכה בצורה מצמצמת</w:t>
      </w:r>
      <w:r w:rsidRPr="001A2EC8">
        <w:rPr>
          <w:rFonts w:hint="cs"/>
          <w:sz w:val="22"/>
          <w:szCs w:val="22"/>
          <w:rtl/>
        </w:rPr>
        <w:t>,</w:t>
      </w:r>
      <w:r w:rsidRPr="001A2EC8">
        <w:rPr>
          <w:sz w:val="22"/>
          <w:szCs w:val="22"/>
          <w:rtl/>
        </w:rPr>
        <w:t xml:space="preserve"> כחלה אך ורק על מצב שבו עצם קיומה של הרשות המקומית מוטל בסכנה. רק במקרה כזה, </w:t>
      </w:r>
      <w:r w:rsidRPr="001A2EC8">
        <w:rPr>
          <w:rFonts w:hint="cs"/>
          <w:sz w:val="22"/>
          <w:szCs w:val="22"/>
          <w:rtl/>
        </w:rPr>
        <w:t>א</w:t>
      </w:r>
      <w:r w:rsidRPr="001A2EC8">
        <w:rPr>
          <w:sz w:val="22"/>
          <w:szCs w:val="22"/>
          <w:rtl/>
        </w:rPr>
        <w:t>ש</w:t>
      </w:r>
      <w:r w:rsidRPr="001A2EC8">
        <w:rPr>
          <w:rFonts w:hint="cs"/>
          <w:sz w:val="22"/>
          <w:szCs w:val="22"/>
          <w:rtl/>
        </w:rPr>
        <w:t xml:space="preserve">ר </w:t>
      </w:r>
      <w:r w:rsidRPr="001A2EC8">
        <w:rPr>
          <w:sz w:val="22"/>
          <w:szCs w:val="22"/>
          <w:rtl/>
        </w:rPr>
        <w:t xml:space="preserve">חשין מכנה "דוקטרינת ההגנה העצמית", מותר </w:t>
      </w:r>
      <w:r w:rsidRPr="001A2EC8">
        <w:rPr>
          <w:rFonts w:hint="cs"/>
          <w:sz w:val="22"/>
          <w:szCs w:val="22"/>
          <w:rtl/>
        </w:rPr>
        <w:t>ל</w:t>
      </w:r>
      <w:r w:rsidRPr="001A2EC8">
        <w:rPr>
          <w:sz w:val="22"/>
          <w:szCs w:val="22"/>
          <w:rtl/>
        </w:rPr>
        <w:t>רשות המקומית להיאבק ולהקצות כספים למאבק בת</w:t>
      </w:r>
      <w:r w:rsidRPr="001A2EC8">
        <w:rPr>
          <w:rFonts w:hint="cs"/>
          <w:sz w:val="22"/>
          <w:szCs w:val="22"/>
          <w:rtl/>
        </w:rPr>
        <w:t>ו</w:t>
      </w:r>
      <w:r w:rsidRPr="001A2EC8">
        <w:rPr>
          <w:sz w:val="22"/>
          <w:szCs w:val="22"/>
          <w:rtl/>
        </w:rPr>
        <w:t>כנית מדינית כלל-ארצית של השלטון המרכזי. מדוע? שכן "מאבקה של רשות מקומית לעצם קיומה מאבק הוא גם להמשך מתן שירותים מוניציפאליים לתושביה; מאבק הוא לעצם קיומ</w:t>
      </w:r>
      <w:r w:rsidRPr="001A2EC8">
        <w:rPr>
          <w:rFonts w:hint="cs"/>
          <w:sz w:val="22"/>
          <w:szCs w:val="22"/>
          <w:rtl/>
        </w:rPr>
        <w:t>ו</w:t>
      </w:r>
      <w:r w:rsidRPr="001A2EC8">
        <w:rPr>
          <w:sz w:val="22"/>
          <w:szCs w:val="22"/>
          <w:rtl/>
        </w:rPr>
        <w:t xml:space="preserve"> </w:t>
      </w:r>
      <w:r w:rsidRPr="001A2EC8">
        <w:rPr>
          <w:rFonts w:hint="cs"/>
          <w:sz w:val="22"/>
          <w:szCs w:val="22"/>
          <w:rtl/>
        </w:rPr>
        <w:t xml:space="preserve">של </w:t>
      </w:r>
      <w:r w:rsidRPr="001A2EC8">
        <w:rPr>
          <w:sz w:val="22"/>
          <w:szCs w:val="22"/>
          <w:rtl/>
        </w:rPr>
        <w:t>המוניציפאלי ולהמשך קיומה של הקהילה המקומית; וכך שוכן הוא המאבק בתוככי המעטפת של סמכויות הרשות המקומית להעניק שירותים מוניציפאליים לתושביה"</w:t>
      </w:r>
      <w:r w:rsidRPr="001A2EC8">
        <w:rPr>
          <w:rFonts w:hint="cs"/>
          <w:sz w:val="22"/>
          <w:szCs w:val="22"/>
          <w:rtl/>
        </w:rPr>
        <w:t>.</w:t>
      </w:r>
      <w:r w:rsidRPr="001A2EC8">
        <w:rPr>
          <w:sz w:val="22"/>
          <w:szCs w:val="22"/>
          <w:rtl/>
        </w:rPr>
        <w:t xml:space="preserve"> במקרה כזה "החפיפה בין ה'ארצי' לבין ה'מקומי' אין בה כדי להבליע ולהטמיע את ה'מקומי' ב'ארצי', כל עוד יש לו ל'מקומי' ייחוד </w:t>
      </w:r>
      <w:r w:rsidRPr="001A2EC8">
        <w:rPr>
          <w:rFonts w:hint="cs"/>
          <w:sz w:val="22"/>
          <w:szCs w:val="22"/>
          <w:rtl/>
        </w:rPr>
        <w:t xml:space="preserve">משל </w:t>
      </w:r>
      <w:r w:rsidRPr="001A2EC8">
        <w:rPr>
          <w:sz w:val="22"/>
          <w:szCs w:val="22"/>
          <w:rtl/>
        </w:rPr>
        <w:t>עצמו, להבדילו ממקומות אחרים בארץ". לעומת זאת, במקרה הנ</w:t>
      </w:r>
      <w:r w:rsidRPr="001A2EC8">
        <w:rPr>
          <w:rFonts w:hint="cs"/>
          <w:sz w:val="22"/>
          <w:szCs w:val="22"/>
          <w:rtl/>
        </w:rPr>
        <w:t>י</w:t>
      </w:r>
      <w:r w:rsidRPr="001A2EC8">
        <w:rPr>
          <w:sz w:val="22"/>
          <w:szCs w:val="22"/>
          <w:rtl/>
        </w:rPr>
        <w:t xml:space="preserve">דון בפרשת </w:t>
      </w:r>
      <w:r w:rsidRPr="001A2EC8">
        <w:rPr>
          <w:b/>
          <w:bCs/>
          <w:sz w:val="22"/>
          <w:szCs w:val="22"/>
          <w:rtl/>
        </w:rPr>
        <w:t>שלום עכשיו</w:t>
      </w:r>
      <w:r w:rsidRPr="001A2EC8">
        <w:rPr>
          <w:sz w:val="22"/>
          <w:szCs w:val="22"/>
          <w:rtl/>
        </w:rPr>
        <w:t>, ממשיך השופט חשין, הרשויות המקומיות ביהודה ושומרון אינן מבקשות להגן על קיומן שלהן, אלא על קיומה של רשות מקומית אחרת שביטולה לא יהיה בו כדי להשפיע על רווחתם המוניציפ</w:t>
      </w:r>
      <w:r w:rsidRPr="001A2EC8">
        <w:rPr>
          <w:rFonts w:hint="cs"/>
          <w:sz w:val="22"/>
          <w:szCs w:val="22"/>
          <w:rtl/>
        </w:rPr>
        <w:t>לית</w:t>
      </w:r>
      <w:r w:rsidRPr="001A2EC8">
        <w:rPr>
          <w:sz w:val="22"/>
          <w:szCs w:val="22"/>
          <w:rtl/>
        </w:rPr>
        <w:t xml:space="preserve"> של תושביהן. העובדה שקיימת כוונה ערטילאית ולא</w:t>
      </w:r>
      <w:r w:rsidRPr="001A2EC8">
        <w:rPr>
          <w:rFonts w:hint="cs"/>
          <w:sz w:val="22"/>
          <w:szCs w:val="22"/>
          <w:rtl/>
        </w:rPr>
        <w:t>-</w:t>
      </w:r>
      <w:r w:rsidRPr="001A2EC8">
        <w:rPr>
          <w:sz w:val="22"/>
          <w:szCs w:val="22"/>
          <w:rtl/>
        </w:rPr>
        <w:t xml:space="preserve">ודאית לפנות בעתיד יישובים נוספים ביהודה ושומרון אינה מעלה ואינה מורידה, ומכאן שהלכת </w:t>
      </w:r>
      <w:r w:rsidRPr="001A2EC8">
        <w:rPr>
          <w:b/>
          <w:bCs/>
          <w:sz w:val="22"/>
          <w:szCs w:val="22"/>
          <w:rtl/>
        </w:rPr>
        <w:t>גרינברג</w:t>
      </w:r>
      <w:r w:rsidRPr="001A2EC8">
        <w:rPr>
          <w:sz w:val="22"/>
          <w:szCs w:val="22"/>
          <w:rtl/>
        </w:rPr>
        <w:t xml:space="preserve"> אינה חלה כלל.</w:t>
      </w:r>
    </w:p>
    <w:p w:rsidR="005366A8" w:rsidRDefault="005366A8" w:rsidP="005366A8">
      <w:pPr>
        <w:rPr>
          <w:sz w:val="22"/>
          <w:szCs w:val="22"/>
          <w:rtl/>
        </w:rPr>
      </w:pPr>
    </w:p>
    <w:p w:rsidR="005366A8" w:rsidRDefault="005366A8" w:rsidP="005366A8">
      <w:pPr>
        <w:rPr>
          <w:sz w:val="22"/>
          <w:szCs w:val="22"/>
          <w:rtl/>
        </w:rPr>
      </w:pPr>
      <w:r>
        <w:rPr>
          <w:rFonts w:hint="cs"/>
          <w:sz w:val="22"/>
          <w:szCs w:val="22"/>
          <w:rtl/>
        </w:rPr>
        <w:t>=-=</w:t>
      </w:r>
    </w:p>
    <w:p w:rsidR="005366A8" w:rsidRPr="002B570D" w:rsidRDefault="005366A8" w:rsidP="005366A8">
      <w:pPr>
        <w:rPr>
          <w:b/>
          <w:bCs/>
          <w:sz w:val="22"/>
          <w:szCs w:val="22"/>
          <w:rtl/>
        </w:rPr>
      </w:pPr>
      <w:r w:rsidRPr="002B570D">
        <w:rPr>
          <w:rFonts w:hint="cs"/>
          <w:b/>
          <w:bCs/>
          <w:sz w:val="22"/>
          <w:szCs w:val="22"/>
          <w:highlight w:val="yellow"/>
          <w:rtl/>
        </w:rPr>
        <w:t>על בסיס דפי הקריאה שלעיל וחומר הקריאה של השיעור (המפורט להלן) אנא חשבו על השאלה הבאה. זו שאלה מאחת מבחינות העבר.</w:t>
      </w:r>
    </w:p>
    <w:p w:rsidR="005366A8" w:rsidRDefault="005366A8" w:rsidP="005366A8">
      <w:pPr>
        <w:spacing w:after="120"/>
        <w:rPr>
          <w:sz w:val="22"/>
          <w:szCs w:val="22"/>
          <w:rtl/>
        </w:rPr>
      </w:pPr>
    </w:p>
    <w:p w:rsidR="005366A8" w:rsidRPr="00B156DA" w:rsidRDefault="005366A8" w:rsidP="005366A8">
      <w:pPr>
        <w:spacing w:after="120"/>
        <w:rPr>
          <w:rFonts w:ascii="Arial" w:hAnsi="Arial" w:cs="Arial"/>
          <w:color w:val="000000"/>
          <w:sz w:val="22"/>
          <w:szCs w:val="22"/>
          <w:rtl/>
        </w:rPr>
      </w:pPr>
      <w:r w:rsidRPr="00B156DA">
        <w:rPr>
          <w:sz w:val="22"/>
          <w:szCs w:val="22"/>
          <w:rtl/>
        </w:rPr>
        <w:t>מר ארז ברוש נבחר כראש עיריית גפן</w:t>
      </w:r>
      <w:r w:rsidRPr="00B156DA">
        <w:rPr>
          <w:rFonts w:hint="cs"/>
          <w:sz w:val="22"/>
          <w:szCs w:val="22"/>
          <w:rtl/>
        </w:rPr>
        <w:t xml:space="preserve"> השוכנת בגליל</w:t>
      </w:r>
      <w:r w:rsidRPr="00B156DA">
        <w:rPr>
          <w:sz w:val="22"/>
          <w:szCs w:val="22"/>
          <w:rtl/>
        </w:rPr>
        <w:t xml:space="preserve">. </w:t>
      </w:r>
      <w:r w:rsidRPr="00B156DA">
        <w:rPr>
          <w:rFonts w:hint="cs"/>
          <w:sz w:val="22"/>
          <w:szCs w:val="22"/>
          <w:rtl/>
        </w:rPr>
        <w:t xml:space="preserve"> </w:t>
      </w:r>
      <w:r w:rsidRPr="00B156DA">
        <w:rPr>
          <w:sz w:val="22"/>
          <w:szCs w:val="22"/>
          <w:rtl/>
        </w:rPr>
        <w:t xml:space="preserve">עם היבחרו הוא יוזם </w:t>
      </w:r>
      <w:r w:rsidRPr="00B156DA">
        <w:rPr>
          <w:rFonts w:hint="cs"/>
          <w:sz w:val="22"/>
          <w:szCs w:val="22"/>
          <w:rtl/>
        </w:rPr>
        <w:t xml:space="preserve">שורה של </w:t>
      </w:r>
      <w:r w:rsidRPr="00B156DA">
        <w:rPr>
          <w:sz w:val="22"/>
          <w:szCs w:val="22"/>
          <w:rtl/>
        </w:rPr>
        <w:t>פעולות</w:t>
      </w:r>
      <w:r w:rsidRPr="00B156DA">
        <w:rPr>
          <w:rFonts w:hint="cs"/>
          <w:sz w:val="22"/>
          <w:szCs w:val="22"/>
          <w:rtl/>
        </w:rPr>
        <w:t>.  בראיון לעיתון הוא מסביר את גישתו.  להלן קטע מאותו ראיון:</w:t>
      </w:r>
    </w:p>
    <w:p w:rsidR="005366A8" w:rsidRPr="00AE2005" w:rsidRDefault="005366A8" w:rsidP="005366A8">
      <w:pPr>
        <w:spacing w:before="120" w:after="120"/>
        <w:ind w:left="720"/>
        <w:rPr>
          <w:rFonts w:ascii="Arial" w:hAnsi="Arial" w:cs="Arial"/>
          <w:color w:val="000000"/>
          <w:sz w:val="20"/>
          <w:szCs w:val="20"/>
          <w:rtl/>
        </w:rPr>
      </w:pPr>
      <w:r w:rsidRPr="00AE2005">
        <w:rPr>
          <w:rFonts w:ascii="Arial" w:hAnsi="Arial" w:cs="Arial"/>
          <w:color w:val="000000"/>
          <w:sz w:val="20"/>
          <w:szCs w:val="20"/>
          <w:rtl/>
        </w:rPr>
        <w:t>"חד משמעית לא מדובר בגזענות. אני בסך הכול מבטא בקול את מה שתשעים אחוז מהתושבים חושבים בליבם. אני לא רואה בדבריי שום אלמנט של גזענות. אני מאמין בחיים של דו-קיום זה לצד זה ולא זה בתוך זה. חייבים להיות כנים ולומר את האמת - אף אחד כאן לא רוצה מסגד בתוך הבית שלו", הוא אומר בנחרצות ומסביר: "כל בוקר בשעה חמש אנחנו שומעים את המואזין מהכפר הסמוך ואין לי שום בעיה עם זה כי זו זכותם המלאה לחופש דת. אבל בתוך הבית שלי אני רוצה בתי כנסת ולא מסגדים. הגיע הזמן שיבינו שזו דרישה לגיטימית. מישהו, אי פעם, היה מאפשר לי לגור עם המשפחה שלי בתוך כפר ערבי?! שני הצדדים רוצים לשמור על הזהות הייחודית שלהם. חשוב שכל צד ישמר את המורשת שלו ואת התרבות שלו גם למען הדורות הבאים. עדיף שנחיה כשכנים אחד סמוך לשני וכך נחסוך מעצמנו חיכוך מיותר".</w:t>
      </w:r>
    </w:p>
    <w:p w:rsidR="005366A8" w:rsidRPr="00B156DA" w:rsidRDefault="005366A8" w:rsidP="005366A8">
      <w:pPr>
        <w:spacing w:after="120"/>
        <w:rPr>
          <w:sz w:val="22"/>
          <w:szCs w:val="22"/>
          <w:rtl/>
        </w:rPr>
      </w:pPr>
      <w:r w:rsidRPr="00B156DA">
        <w:rPr>
          <w:rFonts w:hint="cs"/>
          <w:sz w:val="22"/>
          <w:szCs w:val="22"/>
          <w:rtl/>
        </w:rPr>
        <w:t>להלן התרחשויות מרכזיות שנבקש לבוחנן משפטית.</w:t>
      </w:r>
    </w:p>
    <w:p w:rsidR="005366A8" w:rsidRPr="00B156DA" w:rsidRDefault="005366A8" w:rsidP="005366A8">
      <w:pPr>
        <w:spacing w:after="120"/>
        <w:rPr>
          <w:sz w:val="22"/>
          <w:szCs w:val="22"/>
          <w:highlight w:val="yellow"/>
          <w:rtl/>
        </w:rPr>
      </w:pPr>
      <w:r w:rsidRPr="00B156DA">
        <w:rPr>
          <w:rFonts w:hint="cs"/>
          <w:sz w:val="22"/>
          <w:szCs w:val="22"/>
          <w:highlight w:val="yellow"/>
          <w:rtl/>
        </w:rPr>
        <w:t xml:space="preserve">א. </w:t>
      </w:r>
      <w:r w:rsidRPr="00B156DA">
        <w:rPr>
          <w:sz w:val="22"/>
          <w:szCs w:val="22"/>
          <w:highlight w:val="yellow"/>
          <w:rtl/>
        </w:rPr>
        <w:t xml:space="preserve">מועצת העיר </w:t>
      </w:r>
      <w:r w:rsidRPr="00B156DA">
        <w:rPr>
          <w:rFonts w:hint="cs"/>
          <w:sz w:val="22"/>
          <w:szCs w:val="22"/>
          <w:highlight w:val="yellow"/>
          <w:rtl/>
        </w:rPr>
        <w:t>אוצלת לראש העיר</w:t>
      </w:r>
      <w:r w:rsidRPr="00B156DA">
        <w:rPr>
          <w:sz w:val="22"/>
          <w:szCs w:val="22"/>
          <w:highlight w:val="yellow"/>
          <w:rtl/>
        </w:rPr>
        <w:t xml:space="preserve"> את סמכות התחיקה שלה ביחס ל"נושאים רגישים של יחסים בין-קהילתיים בעיר"</w:t>
      </w:r>
      <w:r w:rsidRPr="00B156DA">
        <w:rPr>
          <w:rFonts w:hint="cs"/>
          <w:sz w:val="22"/>
          <w:szCs w:val="22"/>
          <w:highlight w:val="yellow"/>
          <w:rtl/>
        </w:rPr>
        <w:t>, והוא מתקין את</w:t>
      </w:r>
      <w:r w:rsidRPr="00B156DA">
        <w:rPr>
          <w:sz w:val="22"/>
          <w:szCs w:val="22"/>
          <w:highlight w:val="yellow"/>
          <w:rtl/>
        </w:rPr>
        <w:t xml:space="preserve"> </w:t>
      </w:r>
      <w:r w:rsidRPr="00B156DA">
        <w:rPr>
          <w:rFonts w:cs="David"/>
          <w:b/>
          <w:bCs/>
          <w:sz w:val="22"/>
          <w:szCs w:val="22"/>
          <w:highlight w:val="yellow"/>
          <w:rtl/>
        </w:rPr>
        <w:t xml:space="preserve">חוק עזר גפן: </w:t>
      </w:r>
      <w:r w:rsidRPr="00B156DA">
        <w:rPr>
          <w:rFonts w:cs="David" w:hint="cs"/>
          <w:b/>
          <w:bCs/>
          <w:sz w:val="22"/>
          <w:szCs w:val="22"/>
          <w:highlight w:val="yellow"/>
          <w:rtl/>
        </w:rPr>
        <w:t>סיירת</w:t>
      </w:r>
      <w:r w:rsidRPr="00B156DA">
        <w:rPr>
          <w:rFonts w:cs="David"/>
          <w:b/>
          <w:bCs/>
          <w:sz w:val="22"/>
          <w:szCs w:val="22"/>
          <w:highlight w:val="yellow"/>
          <w:rtl/>
        </w:rPr>
        <w:t xml:space="preserve"> מתנדבים עירונים</w:t>
      </w:r>
      <w:r w:rsidRPr="00B156DA">
        <w:rPr>
          <w:rFonts w:cs="David" w:hint="cs"/>
          <w:b/>
          <w:bCs/>
          <w:sz w:val="22"/>
          <w:szCs w:val="22"/>
          <w:highlight w:val="yellow"/>
          <w:rtl/>
        </w:rPr>
        <w:t xml:space="preserve"> ושמירת אופייה הקהילתי של העיר וביטחון תושביה, התשע"א-2011</w:t>
      </w:r>
      <w:r w:rsidRPr="00B156DA">
        <w:rPr>
          <w:rFonts w:cs="David" w:hint="cs"/>
          <w:sz w:val="22"/>
          <w:szCs w:val="22"/>
          <w:highlight w:val="yellow"/>
          <w:rtl/>
        </w:rPr>
        <w:t xml:space="preserve"> [להלן: חוק עזר: סיירת מתנדבים]</w:t>
      </w:r>
      <w:r w:rsidRPr="00B156DA">
        <w:rPr>
          <w:rFonts w:cs="David"/>
          <w:sz w:val="22"/>
          <w:szCs w:val="22"/>
          <w:highlight w:val="yellow"/>
          <w:rtl/>
        </w:rPr>
        <w:t>.</w:t>
      </w:r>
      <w:r w:rsidRPr="00B156DA">
        <w:rPr>
          <w:sz w:val="22"/>
          <w:szCs w:val="22"/>
          <w:highlight w:val="yellow"/>
          <w:rtl/>
        </w:rPr>
        <w:t xml:space="preserve">  אחד מסעיפי חוק העזר קובע לאמור:</w:t>
      </w:r>
    </w:p>
    <w:p w:rsidR="005366A8" w:rsidRPr="00B156DA" w:rsidRDefault="005366A8" w:rsidP="005366A8">
      <w:pPr>
        <w:spacing w:after="120"/>
        <w:ind w:left="720"/>
        <w:rPr>
          <w:rFonts w:cs="David"/>
          <w:sz w:val="22"/>
          <w:szCs w:val="22"/>
          <w:highlight w:val="yellow"/>
          <w:rtl/>
        </w:rPr>
      </w:pPr>
      <w:r w:rsidRPr="00B156DA">
        <w:rPr>
          <w:rFonts w:cs="David"/>
          <w:sz w:val="22"/>
          <w:szCs w:val="22"/>
          <w:highlight w:val="yellow"/>
          <w:rtl/>
        </w:rPr>
        <w:t xml:space="preserve">בסמכותם של </w:t>
      </w:r>
      <w:r w:rsidRPr="00B156DA">
        <w:rPr>
          <w:rFonts w:cs="David" w:hint="cs"/>
          <w:sz w:val="22"/>
          <w:szCs w:val="22"/>
          <w:highlight w:val="yellow"/>
          <w:rtl/>
        </w:rPr>
        <w:t>הסיירים</w:t>
      </w:r>
      <w:r w:rsidRPr="00B156DA">
        <w:rPr>
          <w:rFonts w:cs="David"/>
          <w:sz w:val="22"/>
          <w:szCs w:val="22"/>
          <w:highlight w:val="yellow"/>
          <w:rtl/>
        </w:rPr>
        <w:t xml:space="preserve"> המתנדבים ל</w:t>
      </w:r>
      <w:r w:rsidRPr="00B156DA">
        <w:rPr>
          <w:rFonts w:cs="David" w:hint="cs"/>
          <w:sz w:val="22"/>
          <w:szCs w:val="22"/>
          <w:highlight w:val="yellow"/>
          <w:rtl/>
        </w:rPr>
        <w:t>בדוק את זהותם של הנכנסים, ולמנוע כניסתם לעיר של מי שאינם תושביה, בין חצות הליל והשעה חמש לפנות בוקר.</w:t>
      </w:r>
      <w:r w:rsidRPr="00B156DA">
        <w:rPr>
          <w:rFonts w:cs="David"/>
          <w:sz w:val="22"/>
          <w:szCs w:val="22"/>
          <w:highlight w:val="yellow"/>
          <w:rtl/>
        </w:rPr>
        <w:t xml:space="preserve"> </w:t>
      </w:r>
    </w:p>
    <w:p w:rsidR="005366A8" w:rsidRPr="00B156DA" w:rsidRDefault="005366A8" w:rsidP="005366A8">
      <w:pPr>
        <w:spacing w:after="120"/>
        <w:rPr>
          <w:sz w:val="22"/>
          <w:szCs w:val="22"/>
          <w:rtl/>
        </w:rPr>
      </w:pPr>
      <w:r w:rsidRPr="00B156DA">
        <w:rPr>
          <w:rFonts w:hint="cs"/>
          <w:sz w:val="22"/>
          <w:szCs w:val="22"/>
          <w:highlight w:val="yellow"/>
          <w:rtl/>
        </w:rPr>
        <w:t>ב. ראש העיר גם מסרב</w:t>
      </w:r>
      <w:r w:rsidRPr="00B156DA">
        <w:rPr>
          <w:sz w:val="22"/>
          <w:szCs w:val="22"/>
          <w:highlight w:val="yellow"/>
          <w:rtl/>
        </w:rPr>
        <w:t xml:space="preserve"> לאפשר לחברות לבנייה ולהשכרה למגורים לפרסם על לוחות המודעות </w:t>
      </w:r>
      <w:r w:rsidRPr="00B156DA">
        <w:rPr>
          <w:rFonts w:hint="cs"/>
          <w:sz w:val="22"/>
          <w:szCs w:val="22"/>
          <w:highlight w:val="yellow"/>
          <w:rtl/>
        </w:rPr>
        <w:t>הפזורים ברחבי העיר</w:t>
      </w:r>
      <w:r w:rsidRPr="00B156DA">
        <w:rPr>
          <w:sz w:val="22"/>
          <w:szCs w:val="22"/>
          <w:highlight w:val="yellow"/>
          <w:rtl/>
        </w:rPr>
        <w:t xml:space="preserve"> מודעות </w:t>
      </w:r>
      <w:r w:rsidRPr="00B156DA">
        <w:rPr>
          <w:rFonts w:hint="cs"/>
          <w:sz w:val="22"/>
          <w:szCs w:val="22"/>
          <w:highlight w:val="yellow"/>
          <w:rtl/>
        </w:rPr>
        <w:t>מסחריות-פרטיות</w:t>
      </w:r>
      <w:r w:rsidRPr="00B156DA">
        <w:rPr>
          <w:sz w:val="22"/>
          <w:szCs w:val="22"/>
          <w:highlight w:val="yellow"/>
          <w:rtl/>
        </w:rPr>
        <w:t xml:space="preserve"> ב</w:t>
      </w:r>
      <w:r w:rsidRPr="00B156DA">
        <w:rPr>
          <w:rFonts w:hint="cs"/>
          <w:sz w:val="22"/>
          <w:szCs w:val="22"/>
          <w:highlight w:val="yellow"/>
          <w:rtl/>
        </w:rPr>
        <w:t>שפה ה</w:t>
      </w:r>
      <w:r w:rsidRPr="00B156DA">
        <w:rPr>
          <w:sz w:val="22"/>
          <w:szCs w:val="22"/>
          <w:highlight w:val="yellow"/>
          <w:rtl/>
        </w:rPr>
        <w:t xml:space="preserve">ערבית </w:t>
      </w:r>
      <w:r w:rsidRPr="00B156DA">
        <w:rPr>
          <w:rFonts w:hint="cs"/>
          <w:sz w:val="22"/>
          <w:szCs w:val="22"/>
          <w:highlight w:val="yellow"/>
          <w:rtl/>
        </w:rPr>
        <w:t xml:space="preserve">לבדה </w:t>
      </w:r>
      <w:r w:rsidRPr="00B156DA">
        <w:rPr>
          <w:sz w:val="22"/>
          <w:szCs w:val="22"/>
          <w:highlight w:val="yellow"/>
          <w:rtl/>
        </w:rPr>
        <w:t>ביחס לדירות למכירה או להשכרה ב</w:t>
      </w:r>
      <w:r w:rsidRPr="00B156DA">
        <w:rPr>
          <w:rFonts w:hint="cs"/>
          <w:sz w:val="22"/>
          <w:szCs w:val="22"/>
          <w:highlight w:val="yellow"/>
          <w:rtl/>
        </w:rPr>
        <w:t>עיר</w:t>
      </w:r>
      <w:r w:rsidRPr="00B156DA">
        <w:rPr>
          <w:sz w:val="22"/>
          <w:szCs w:val="22"/>
          <w:highlight w:val="yellow"/>
          <w:rtl/>
        </w:rPr>
        <w:t xml:space="preserve">. </w:t>
      </w:r>
      <w:r w:rsidRPr="00B156DA">
        <w:rPr>
          <w:rFonts w:hint="cs"/>
          <w:sz w:val="22"/>
          <w:szCs w:val="22"/>
          <w:highlight w:val="yellow"/>
          <w:rtl/>
        </w:rPr>
        <w:t xml:space="preserve"> הוא מצביע על </w:t>
      </w:r>
      <w:r w:rsidRPr="00B156DA">
        <w:rPr>
          <w:rFonts w:hint="cs"/>
          <w:b/>
          <w:bCs/>
          <w:sz w:val="22"/>
          <w:szCs w:val="22"/>
          <w:highlight w:val="yellow"/>
          <w:rtl/>
        </w:rPr>
        <w:t>ח</w:t>
      </w:r>
      <w:r w:rsidRPr="00B156DA">
        <w:rPr>
          <w:b/>
          <w:bCs/>
          <w:sz w:val="22"/>
          <w:szCs w:val="22"/>
          <w:highlight w:val="yellow"/>
          <w:rtl/>
        </w:rPr>
        <w:t xml:space="preserve">וק עזר </w:t>
      </w:r>
      <w:r w:rsidRPr="00B156DA">
        <w:rPr>
          <w:rFonts w:hint="cs"/>
          <w:b/>
          <w:bCs/>
          <w:sz w:val="22"/>
          <w:szCs w:val="22"/>
          <w:highlight w:val="yellow"/>
          <w:rtl/>
        </w:rPr>
        <w:t xml:space="preserve">גפן: </w:t>
      </w:r>
      <w:r w:rsidRPr="00B156DA">
        <w:rPr>
          <w:b/>
          <w:bCs/>
          <w:sz w:val="22"/>
          <w:szCs w:val="22"/>
          <w:highlight w:val="yellow"/>
          <w:rtl/>
        </w:rPr>
        <w:t>מודעות ושלטים, תש</w:t>
      </w:r>
      <w:r w:rsidRPr="00B156DA">
        <w:rPr>
          <w:rFonts w:hint="cs"/>
          <w:b/>
          <w:bCs/>
          <w:sz w:val="22"/>
          <w:szCs w:val="22"/>
          <w:highlight w:val="yellow"/>
          <w:rtl/>
        </w:rPr>
        <w:t>כ"א-1961</w:t>
      </w:r>
      <w:r w:rsidRPr="00B156DA">
        <w:rPr>
          <w:rFonts w:hint="cs"/>
          <w:sz w:val="22"/>
          <w:szCs w:val="22"/>
          <w:highlight w:val="yellow"/>
          <w:rtl/>
        </w:rPr>
        <w:t xml:space="preserve"> [להלן: חוק עזר מודעות]</w:t>
      </w:r>
      <w:r w:rsidRPr="00B156DA">
        <w:rPr>
          <w:rFonts w:hint="cs"/>
          <w:b/>
          <w:bCs/>
          <w:sz w:val="22"/>
          <w:szCs w:val="22"/>
          <w:highlight w:val="yellow"/>
          <w:rtl/>
        </w:rPr>
        <w:t xml:space="preserve">, </w:t>
      </w:r>
      <w:r w:rsidRPr="00B156DA">
        <w:rPr>
          <w:rFonts w:hint="cs"/>
          <w:sz w:val="22"/>
          <w:szCs w:val="22"/>
          <w:highlight w:val="yellow"/>
          <w:rtl/>
        </w:rPr>
        <w:t>הקובע בסע' 2(א) כי</w:t>
      </w:r>
      <w:r w:rsidRPr="00B156DA">
        <w:rPr>
          <w:sz w:val="22"/>
          <w:szCs w:val="22"/>
          <w:highlight w:val="yellow"/>
          <w:rtl/>
        </w:rPr>
        <w:t>:</w:t>
      </w:r>
    </w:p>
    <w:p w:rsidR="005366A8" w:rsidRPr="00B156DA" w:rsidRDefault="005366A8" w:rsidP="005366A8">
      <w:pPr>
        <w:spacing w:after="120"/>
        <w:ind w:left="720"/>
        <w:rPr>
          <w:rFonts w:cs="David"/>
          <w:sz w:val="22"/>
          <w:szCs w:val="22"/>
          <w:highlight w:val="yellow"/>
          <w:rtl/>
        </w:rPr>
      </w:pPr>
      <w:r w:rsidRPr="00B156DA">
        <w:rPr>
          <w:rFonts w:cs="David" w:hint="cs"/>
          <w:sz w:val="22"/>
          <w:szCs w:val="22"/>
          <w:highlight w:val="yellow"/>
          <w:rtl/>
        </w:rPr>
        <w:t>"</w:t>
      </w:r>
      <w:r w:rsidRPr="00B156DA">
        <w:rPr>
          <w:rFonts w:cs="David"/>
          <w:sz w:val="22"/>
          <w:szCs w:val="22"/>
          <w:highlight w:val="yellow"/>
          <w:rtl/>
        </w:rPr>
        <w:t xml:space="preserve">לא יפרסם אדם מודעה ולא יציג שלט, אלא לפי רשיון מאת ראש </w:t>
      </w:r>
      <w:r w:rsidRPr="00B156DA">
        <w:rPr>
          <w:rFonts w:cs="David" w:hint="cs"/>
          <w:sz w:val="22"/>
          <w:szCs w:val="22"/>
          <w:highlight w:val="yellow"/>
          <w:rtl/>
        </w:rPr>
        <w:t>העיר</w:t>
      </w:r>
      <w:r w:rsidRPr="00B156DA">
        <w:rPr>
          <w:rFonts w:cs="David"/>
          <w:sz w:val="22"/>
          <w:szCs w:val="22"/>
          <w:highlight w:val="yellow"/>
          <w:rtl/>
        </w:rPr>
        <w:t xml:space="preserve"> ובהתאם לתנאי הרשיון ואלא אם המודעה או השלט </w:t>
      </w:r>
      <w:r w:rsidRPr="00B156DA">
        <w:rPr>
          <w:rFonts w:cs="David"/>
          <w:sz w:val="22"/>
          <w:szCs w:val="22"/>
          <w:highlight w:val="yellow"/>
        </w:rPr>
        <w:t>–</w:t>
      </w:r>
    </w:p>
    <w:p w:rsidR="005366A8" w:rsidRPr="00B156DA" w:rsidRDefault="005366A8" w:rsidP="005366A8">
      <w:pPr>
        <w:spacing w:after="120"/>
        <w:ind w:left="1440"/>
        <w:rPr>
          <w:rFonts w:cs="David"/>
          <w:sz w:val="22"/>
          <w:szCs w:val="22"/>
          <w:highlight w:val="yellow"/>
          <w:rtl/>
        </w:rPr>
      </w:pPr>
      <w:r w:rsidRPr="00B156DA">
        <w:rPr>
          <w:rFonts w:cs="David"/>
          <w:sz w:val="22"/>
          <w:szCs w:val="22"/>
          <w:highlight w:val="yellow"/>
          <w:rtl/>
        </w:rPr>
        <w:t>(1) כתובים עברית; או</w:t>
      </w:r>
    </w:p>
    <w:p w:rsidR="005366A8" w:rsidRPr="00B156DA" w:rsidRDefault="005366A8" w:rsidP="005366A8">
      <w:pPr>
        <w:spacing w:after="120"/>
        <w:ind w:left="1440"/>
        <w:rPr>
          <w:sz w:val="22"/>
          <w:szCs w:val="22"/>
          <w:highlight w:val="yellow"/>
          <w:rtl/>
        </w:rPr>
      </w:pPr>
      <w:r w:rsidRPr="00B156DA">
        <w:rPr>
          <w:rFonts w:cs="David"/>
          <w:sz w:val="22"/>
          <w:szCs w:val="22"/>
          <w:highlight w:val="yellow"/>
          <w:rtl/>
        </w:rPr>
        <w:t xml:space="preserve">(2) כתובים בחלקם עברית ובחלקם לועזית והעברית תופסת לא פחות משני שלישים משטחם ואת החלק העליון </w:t>
      </w:r>
      <w:r w:rsidRPr="00B156DA">
        <w:rPr>
          <w:rFonts w:cs="David" w:hint="cs"/>
          <w:sz w:val="22"/>
          <w:szCs w:val="22"/>
          <w:highlight w:val="yellow"/>
          <w:rtl/>
        </w:rPr>
        <w:t>מ</w:t>
      </w:r>
      <w:r w:rsidRPr="00B156DA">
        <w:rPr>
          <w:rFonts w:cs="David"/>
          <w:sz w:val="22"/>
          <w:szCs w:val="22"/>
          <w:highlight w:val="yellow"/>
          <w:rtl/>
        </w:rPr>
        <w:t>השטח והאותיות העבריות גדולות מהאותיות הלועזיות.</w:t>
      </w:r>
      <w:r w:rsidRPr="00B156DA">
        <w:rPr>
          <w:rFonts w:cs="David" w:hint="cs"/>
          <w:sz w:val="22"/>
          <w:szCs w:val="22"/>
          <w:highlight w:val="yellow"/>
          <w:rtl/>
        </w:rPr>
        <w:t>"</w:t>
      </w:r>
    </w:p>
    <w:p w:rsidR="005366A8" w:rsidRPr="00B156DA" w:rsidRDefault="005366A8" w:rsidP="005366A8">
      <w:pPr>
        <w:spacing w:after="120"/>
        <w:rPr>
          <w:b/>
          <w:bCs/>
          <w:sz w:val="22"/>
          <w:szCs w:val="22"/>
          <w:rtl/>
        </w:rPr>
      </w:pPr>
      <w:r w:rsidRPr="00B156DA">
        <w:rPr>
          <w:rFonts w:hint="cs"/>
          <w:sz w:val="22"/>
          <w:szCs w:val="22"/>
          <w:highlight w:val="yellow"/>
          <w:rtl/>
        </w:rPr>
        <w:t xml:space="preserve">ג. מועצת העיר גם מחליטה לתמוך כספית בקמפיין ציבורי ארצי המנוהל על ידי עמותת "גדר גבוהה </w:t>
      </w:r>
      <w:r w:rsidRPr="00B156DA">
        <w:rPr>
          <w:sz w:val="22"/>
          <w:szCs w:val="22"/>
          <w:highlight w:val="yellow"/>
          <w:rtl/>
        </w:rPr>
        <w:t>–</w:t>
      </w:r>
      <w:r w:rsidRPr="00B156DA">
        <w:rPr>
          <w:rFonts w:hint="cs"/>
          <w:sz w:val="22"/>
          <w:szCs w:val="22"/>
          <w:highlight w:val="yellow"/>
          <w:rtl/>
        </w:rPr>
        <w:t xml:space="preserve"> שכנים טובים", המקדמת, בין היתר, את עקרון ההפרדה הבין-קהילתית.</w:t>
      </w:r>
    </w:p>
    <w:p w:rsidR="005366A8" w:rsidRPr="00B156DA" w:rsidRDefault="005366A8" w:rsidP="005366A8">
      <w:pPr>
        <w:spacing w:after="120"/>
        <w:rPr>
          <w:b/>
          <w:bCs/>
          <w:sz w:val="22"/>
          <w:szCs w:val="22"/>
          <w:rtl/>
        </w:rPr>
      </w:pPr>
      <w:r w:rsidRPr="00B156DA">
        <w:rPr>
          <w:rFonts w:hint="cs"/>
          <w:b/>
          <w:bCs/>
          <w:sz w:val="22"/>
          <w:szCs w:val="22"/>
          <w:rtl/>
        </w:rPr>
        <w:t xml:space="preserve">האם נפלו פגמים בחוק-עזר: סיירת עירונית?  </w:t>
      </w:r>
    </w:p>
    <w:p w:rsidR="005366A8" w:rsidRPr="00B156DA" w:rsidRDefault="005366A8" w:rsidP="005366A8">
      <w:pPr>
        <w:spacing w:after="120"/>
        <w:rPr>
          <w:b/>
          <w:bCs/>
          <w:sz w:val="22"/>
          <w:szCs w:val="22"/>
          <w:rtl/>
        </w:rPr>
      </w:pPr>
      <w:r w:rsidRPr="00B156DA">
        <w:rPr>
          <w:rFonts w:hint="cs"/>
          <w:b/>
          <w:bCs/>
          <w:sz w:val="22"/>
          <w:szCs w:val="22"/>
          <w:rtl/>
        </w:rPr>
        <w:t>מה ביחס לחוק-עזר: מודעות?  מה תאמר הביקורת השיפוטית עליו?</w:t>
      </w:r>
    </w:p>
    <w:p w:rsidR="005366A8" w:rsidRDefault="005366A8" w:rsidP="005366A8">
      <w:pPr>
        <w:spacing w:after="120"/>
        <w:rPr>
          <w:sz w:val="22"/>
          <w:szCs w:val="22"/>
          <w:rtl/>
        </w:rPr>
      </w:pPr>
      <w:r w:rsidRPr="00B156DA">
        <w:rPr>
          <w:rFonts w:hint="cs"/>
          <w:b/>
          <w:bCs/>
          <w:sz w:val="22"/>
          <w:szCs w:val="22"/>
          <w:rtl/>
        </w:rPr>
        <w:t xml:space="preserve">האם נפלו פגמים אחרים/ נוספים בפעולותיה של מועצת העיר? </w:t>
      </w:r>
      <w:r w:rsidRPr="00B156DA">
        <w:rPr>
          <w:rFonts w:hint="cs"/>
          <w:sz w:val="22"/>
          <w:szCs w:val="22"/>
          <w:rtl/>
        </w:rPr>
        <w:t xml:space="preserve"> </w:t>
      </w:r>
      <w:r>
        <w:rPr>
          <w:rFonts w:hint="cs"/>
          <w:sz w:val="22"/>
          <w:szCs w:val="22"/>
          <w:rtl/>
        </w:rPr>
        <w:t>בין היתר, האם היא מוסמכת לתמוך כספית בקמפיין הנזכר?</w:t>
      </w:r>
    </w:p>
    <w:p w:rsidR="005366A8" w:rsidRPr="00B156DA" w:rsidRDefault="005366A8" w:rsidP="005366A8">
      <w:pPr>
        <w:spacing w:after="120"/>
        <w:ind w:left="720"/>
        <w:rPr>
          <w:sz w:val="22"/>
          <w:szCs w:val="22"/>
          <w:rtl/>
        </w:rPr>
      </w:pPr>
      <w:r>
        <w:rPr>
          <w:rFonts w:hint="cs"/>
          <w:sz w:val="22"/>
          <w:szCs w:val="22"/>
          <w:rtl/>
        </w:rPr>
        <w:t>[</w:t>
      </w:r>
      <w:r w:rsidRPr="00B156DA">
        <w:rPr>
          <w:rFonts w:hint="cs"/>
          <w:sz w:val="22"/>
          <w:szCs w:val="22"/>
          <w:rtl/>
        </w:rPr>
        <w:t xml:space="preserve">בשל היקף השאלה </w:t>
      </w:r>
      <w:r w:rsidRPr="00B156DA">
        <w:rPr>
          <w:rFonts w:hint="cs"/>
          <w:sz w:val="22"/>
          <w:szCs w:val="22"/>
          <w:u w:val="single"/>
          <w:rtl/>
        </w:rPr>
        <w:t>אל</w:t>
      </w:r>
      <w:r w:rsidRPr="00B156DA">
        <w:rPr>
          <w:rFonts w:hint="cs"/>
          <w:sz w:val="22"/>
          <w:szCs w:val="22"/>
          <w:rtl/>
        </w:rPr>
        <w:t xml:space="preserve"> תדונו בסוגיות הקשורות </w:t>
      </w:r>
      <w:r w:rsidRPr="00B156DA">
        <w:rPr>
          <w:rFonts w:hint="cs"/>
          <w:sz w:val="22"/>
          <w:szCs w:val="22"/>
          <w:u w:val="single"/>
          <w:rtl/>
        </w:rPr>
        <w:t>למידתיות</w:t>
      </w:r>
      <w:r w:rsidRPr="00B156DA">
        <w:rPr>
          <w:rFonts w:hint="cs"/>
          <w:sz w:val="22"/>
          <w:szCs w:val="22"/>
          <w:rtl/>
        </w:rPr>
        <w:t xml:space="preserve">.  </w:t>
      </w:r>
    </w:p>
    <w:p w:rsidR="005366A8" w:rsidRPr="00B156DA" w:rsidRDefault="005366A8" w:rsidP="005366A8">
      <w:pPr>
        <w:spacing w:after="120"/>
        <w:ind w:left="720"/>
        <w:rPr>
          <w:sz w:val="22"/>
          <w:szCs w:val="22"/>
          <w:rtl/>
        </w:rPr>
      </w:pPr>
      <w:r w:rsidRPr="00B156DA">
        <w:rPr>
          <w:rFonts w:hint="cs"/>
          <w:sz w:val="22"/>
          <w:szCs w:val="22"/>
          <w:rtl/>
        </w:rPr>
        <w:t>במקביל, אל תסתפקו בטענה 'ניצחת' כזו או אחרת אלא לבנו גם נקודות מרכזיות אחרות, ככל שיש כאלו שיש להן איזשהו עיגון במפגש בין טקסט השאלה לבין חומר הלימוד.</w:t>
      </w:r>
      <w:r>
        <w:rPr>
          <w:rFonts w:hint="cs"/>
          <w:sz w:val="22"/>
          <w:szCs w:val="22"/>
          <w:rtl/>
        </w:rPr>
        <w:t>]</w:t>
      </w:r>
    </w:p>
    <w:p w:rsidR="005366A8" w:rsidRDefault="005366A8" w:rsidP="005366A8">
      <w:pPr>
        <w:rPr>
          <w:sz w:val="22"/>
          <w:szCs w:val="22"/>
          <w:rtl/>
        </w:rPr>
      </w:pPr>
    </w:p>
    <w:p w:rsidR="005366A8" w:rsidRDefault="005366A8" w:rsidP="005366A8">
      <w:pPr>
        <w:rPr>
          <w:sz w:val="22"/>
          <w:szCs w:val="22"/>
          <w:rtl/>
        </w:rPr>
      </w:pPr>
      <w:r>
        <w:rPr>
          <w:rFonts w:hint="cs"/>
          <w:sz w:val="22"/>
          <w:szCs w:val="22"/>
          <w:rtl/>
        </w:rPr>
        <w:t>=-=</w:t>
      </w:r>
    </w:p>
    <w:p w:rsidR="005366A8" w:rsidRPr="002B570D" w:rsidRDefault="005366A8" w:rsidP="005366A8">
      <w:pPr>
        <w:rPr>
          <w:b/>
          <w:bCs/>
          <w:sz w:val="22"/>
          <w:szCs w:val="22"/>
          <w:highlight w:val="yellow"/>
          <w:rtl/>
        </w:rPr>
      </w:pPr>
      <w:r w:rsidRPr="00BA6284">
        <w:rPr>
          <w:rFonts w:hint="cs"/>
          <w:b/>
          <w:bCs/>
          <w:sz w:val="22"/>
          <w:szCs w:val="22"/>
          <w:highlight w:val="green"/>
          <w:rtl/>
        </w:rPr>
        <w:t>חומר הקריאה לפגישה הקרובה:</w:t>
      </w:r>
    </w:p>
    <w:p w:rsidR="005366A8" w:rsidRDefault="005366A8" w:rsidP="005366A8">
      <w:pPr>
        <w:rPr>
          <w:sz w:val="22"/>
          <w:szCs w:val="22"/>
          <w:highlight w:val="yellow"/>
          <w:rtl/>
        </w:rPr>
      </w:pPr>
      <w:r w:rsidRPr="002B570D">
        <w:rPr>
          <w:rFonts w:hint="cs"/>
          <w:b/>
          <w:bCs/>
          <w:sz w:val="22"/>
          <w:szCs w:val="22"/>
          <w:highlight w:val="yellow"/>
          <w:rtl/>
        </w:rPr>
        <w:t>הדפים שלעיל על השלטון המקומי, ו</w:t>
      </w:r>
      <w:r>
        <w:rPr>
          <w:rFonts w:hint="cs"/>
          <w:b/>
          <w:bCs/>
          <w:sz w:val="22"/>
          <w:szCs w:val="22"/>
          <w:highlight w:val="yellow"/>
          <w:rtl/>
        </w:rPr>
        <w:t xml:space="preserve">כן </w:t>
      </w:r>
      <w:r w:rsidRPr="002B570D">
        <w:rPr>
          <w:rFonts w:hint="cs"/>
          <w:b/>
          <w:bCs/>
          <w:sz w:val="22"/>
          <w:szCs w:val="22"/>
          <w:highlight w:val="yellow"/>
          <w:rtl/>
        </w:rPr>
        <w:t>השאלה שהתבקשתם לחשוב עליה</w:t>
      </w:r>
      <w:r w:rsidRPr="002B570D">
        <w:rPr>
          <w:rFonts w:hint="cs"/>
          <w:sz w:val="22"/>
          <w:szCs w:val="22"/>
          <w:highlight w:val="yellow"/>
          <w:rtl/>
        </w:rPr>
        <w:t xml:space="preserve">. </w:t>
      </w:r>
    </w:p>
    <w:p w:rsidR="005366A8" w:rsidRPr="005E5139" w:rsidRDefault="005366A8" w:rsidP="005366A8">
      <w:pPr>
        <w:pStyle w:val="a7"/>
        <w:spacing w:after="120"/>
        <w:ind w:left="0"/>
        <w:rPr>
          <w:sz w:val="24"/>
          <w:highlight w:val="yellow"/>
          <w:rtl/>
        </w:rPr>
      </w:pPr>
      <w:r w:rsidRPr="005E5139">
        <w:rPr>
          <w:sz w:val="24"/>
          <w:highlight w:val="yellow"/>
          <w:rtl/>
        </w:rPr>
        <w:t xml:space="preserve">קראו </w:t>
      </w:r>
      <w:r>
        <w:rPr>
          <w:rFonts w:hint="cs"/>
          <w:sz w:val="24"/>
          <w:highlight w:val="yellow"/>
          <w:rtl/>
        </w:rPr>
        <w:t xml:space="preserve">כמו כן </w:t>
      </w:r>
      <w:r w:rsidRPr="005E5139">
        <w:rPr>
          <w:sz w:val="24"/>
          <w:highlight w:val="yellow"/>
          <w:rtl/>
        </w:rPr>
        <w:t xml:space="preserve">את פסק הדין הקצר של </w:t>
      </w:r>
      <w:r w:rsidRPr="005E5139">
        <w:rPr>
          <w:b/>
          <w:bCs/>
          <w:sz w:val="24"/>
          <w:highlight w:val="yellow"/>
          <w:rtl/>
        </w:rPr>
        <w:t>וחידי</w:t>
      </w:r>
      <w:r w:rsidRPr="005E5139">
        <w:rPr>
          <w:rFonts w:hint="cs"/>
          <w:sz w:val="24"/>
          <w:highlight w:val="yellow"/>
          <w:rtl/>
        </w:rPr>
        <w:t xml:space="preserve"> ואת פסק דינה של השופטת ברק-ארז</w:t>
      </w:r>
      <w:r w:rsidRPr="005E5139">
        <w:rPr>
          <w:sz w:val="24"/>
          <w:highlight w:val="yellow"/>
          <w:rtl/>
        </w:rPr>
        <w:t xml:space="preserve"> </w:t>
      </w:r>
      <w:r w:rsidRPr="005E5139">
        <w:rPr>
          <w:rFonts w:hint="cs"/>
          <w:sz w:val="24"/>
          <w:highlight w:val="yellow"/>
          <w:rtl/>
        </w:rPr>
        <w:t>ב</w:t>
      </w:r>
      <w:r w:rsidRPr="005E5139">
        <w:rPr>
          <w:b/>
          <w:bCs/>
          <w:sz w:val="24"/>
          <w:highlight w:val="yellow"/>
          <w:rtl/>
        </w:rPr>
        <w:t>עיריית חולון נ</w:t>
      </w:r>
      <w:r>
        <w:rPr>
          <w:rFonts w:hint="cs"/>
          <w:b/>
          <w:bCs/>
          <w:sz w:val="24"/>
          <w:highlight w:val="yellow"/>
          <w:rtl/>
        </w:rPr>
        <w:t>' ש</w:t>
      </w:r>
      <w:r w:rsidRPr="005E5139">
        <w:rPr>
          <w:b/>
          <w:bCs/>
          <w:sz w:val="24"/>
          <w:highlight w:val="yellow"/>
          <w:rtl/>
        </w:rPr>
        <w:t>ר הפנים</w:t>
      </w:r>
      <w:r w:rsidRPr="005E5139">
        <w:rPr>
          <w:sz w:val="24"/>
          <w:highlight w:val="yellow"/>
          <w:rtl/>
        </w:rPr>
        <w:t xml:space="preserve">. </w:t>
      </w:r>
    </w:p>
    <w:p w:rsidR="005366A8" w:rsidRDefault="005366A8">
      <w:pPr>
        <w:bidi w:val="0"/>
        <w:jc w:val="left"/>
        <w:rPr>
          <w:sz w:val="22"/>
          <w:szCs w:val="22"/>
          <w:rtl/>
        </w:rPr>
      </w:pPr>
      <w:r>
        <w:rPr>
          <w:sz w:val="22"/>
          <w:szCs w:val="22"/>
          <w:rtl/>
        </w:rPr>
        <w:br w:type="page"/>
      </w:r>
    </w:p>
    <w:p w:rsidR="005366A8" w:rsidRDefault="005366A8" w:rsidP="005366A8">
      <w:pPr>
        <w:spacing w:after="60"/>
        <w:jc w:val="right"/>
        <w:rPr>
          <w:b/>
          <w:bCs/>
          <w:i/>
          <w:iCs/>
          <w:sz w:val="22"/>
          <w:szCs w:val="22"/>
          <w:u w:val="single"/>
          <w:rtl/>
        </w:rPr>
      </w:pPr>
      <w:r w:rsidRPr="00917C23">
        <w:rPr>
          <w:rFonts w:hint="cs"/>
          <w:b/>
          <w:bCs/>
          <w:sz w:val="22"/>
          <w:szCs w:val="22"/>
          <w:rtl/>
        </w:rPr>
        <w:t>משפט ציבורי</w:t>
      </w:r>
      <w:r w:rsidRPr="00917C23">
        <w:rPr>
          <w:rFonts w:hint="cs"/>
          <w:sz w:val="22"/>
          <w:szCs w:val="22"/>
          <w:rtl/>
        </w:rPr>
        <w:t xml:space="preserve">, </w:t>
      </w:r>
      <w:r w:rsidRPr="00917C23">
        <w:rPr>
          <w:rFonts w:hint="cs"/>
          <w:i/>
          <w:iCs/>
          <w:sz w:val="22"/>
          <w:szCs w:val="22"/>
          <w:rtl/>
        </w:rPr>
        <w:t>תשע</w:t>
      </w:r>
      <w:r>
        <w:rPr>
          <w:rFonts w:hint="cs"/>
          <w:i/>
          <w:iCs/>
          <w:sz w:val="22"/>
          <w:szCs w:val="22"/>
          <w:rtl/>
        </w:rPr>
        <w:t>"ה</w:t>
      </w:r>
      <w:r w:rsidRPr="00917C23">
        <w:rPr>
          <w:rFonts w:hint="cs"/>
          <w:sz w:val="22"/>
          <w:szCs w:val="22"/>
          <w:rtl/>
        </w:rPr>
        <w:t xml:space="preserve">, ד"ר אילן סבן, </w:t>
      </w:r>
      <w:r>
        <w:rPr>
          <w:rFonts w:hint="cs"/>
          <w:sz w:val="22"/>
          <w:szCs w:val="22"/>
          <w:rtl/>
        </w:rPr>
        <w:t>ינואר</w:t>
      </w:r>
      <w:r w:rsidRPr="00917C23">
        <w:rPr>
          <w:rFonts w:hint="cs"/>
          <w:sz w:val="22"/>
          <w:szCs w:val="22"/>
          <w:rtl/>
        </w:rPr>
        <w:t xml:space="preserve"> 201</w:t>
      </w:r>
      <w:r>
        <w:rPr>
          <w:rFonts w:hint="cs"/>
          <w:sz w:val="22"/>
          <w:szCs w:val="22"/>
          <w:rtl/>
        </w:rPr>
        <w:t>5</w:t>
      </w:r>
      <w:r w:rsidRPr="00917C23">
        <w:rPr>
          <w:rFonts w:hint="cs"/>
          <w:sz w:val="22"/>
          <w:szCs w:val="22"/>
          <w:rtl/>
        </w:rPr>
        <w:t xml:space="preserve">, </w:t>
      </w:r>
      <w:r w:rsidRPr="005366A8">
        <w:rPr>
          <w:b/>
          <w:bCs/>
          <w:i/>
          <w:iCs/>
          <w:sz w:val="22"/>
          <w:szCs w:val="22"/>
          <w:highlight w:val="magenta"/>
          <w:u w:val="single"/>
          <w:rtl/>
        </w:rPr>
        <w:t xml:space="preserve">פגישה </w:t>
      </w:r>
      <w:r w:rsidRPr="005366A8">
        <w:rPr>
          <w:rFonts w:hint="cs"/>
          <w:b/>
          <w:bCs/>
          <w:i/>
          <w:iCs/>
          <w:sz w:val="22"/>
          <w:szCs w:val="22"/>
          <w:highlight w:val="magenta"/>
          <w:u w:val="single"/>
          <w:rtl/>
        </w:rPr>
        <w:t>21</w:t>
      </w:r>
    </w:p>
    <w:p w:rsidR="005366A8" w:rsidRPr="00002FA8" w:rsidRDefault="005366A8" w:rsidP="005366A8">
      <w:pPr>
        <w:pStyle w:val="T-body"/>
        <w:spacing w:after="60" w:line="240" w:lineRule="auto"/>
        <w:ind w:hanging="28"/>
        <w:jc w:val="center"/>
        <w:rPr>
          <w:rFonts w:cs="Guttman-Soncino"/>
          <w:sz w:val="22"/>
          <w:szCs w:val="22"/>
          <w:rtl/>
        </w:rPr>
      </w:pPr>
      <w:r>
        <w:rPr>
          <w:rFonts w:ascii="Arial" w:hAnsi="Arial" w:cs="Guttman-Soncino" w:hint="cs"/>
          <w:b/>
          <w:bCs/>
          <w:sz w:val="36"/>
          <w:szCs w:val="36"/>
          <w:highlight w:val="yellow"/>
          <w:rtl/>
        </w:rPr>
        <w:t>המ</w:t>
      </w:r>
      <w:r w:rsidRPr="008E605A">
        <w:rPr>
          <w:rFonts w:ascii="Arial" w:hAnsi="Arial" w:cs="Guttman-Soncino" w:hint="cs"/>
          <w:b/>
          <w:bCs/>
          <w:sz w:val="36"/>
          <w:szCs w:val="36"/>
          <w:highlight w:val="yellow"/>
          <w:rtl/>
        </w:rPr>
        <w:t xml:space="preserve">משלה: </w:t>
      </w:r>
      <w:r>
        <w:rPr>
          <w:rFonts w:ascii="Arial" w:hAnsi="Arial" w:cs="Guttman-Soncino" w:hint="cs"/>
          <w:b/>
          <w:bCs/>
          <w:sz w:val="36"/>
          <w:szCs w:val="36"/>
          <w:highlight w:val="yellow"/>
          <w:rtl/>
        </w:rPr>
        <w:t>סמכויות הממשלה ו</w:t>
      </w:r>
      <w:r w:rsidRPr="008E605A">
        <w:rPr>
          <w:rFonts w:ascii="Arial" w:hAnsi="Arial" w:cs="Guttman-Soncino" w:hint="cs"/>
          <w:b/>
          <w:bCs/>
          <w:sz w:val="36"/>
          <w:szCs w:val="36"/>
          <w:highlight w:val="yellow"/>
          <w:rtl/>
        </w:rPr>
        <w:t>חלוקת הסמכויות בין הכנסת לבי</w:t>
      </w:r>
      <w:r>
        <w:rPr>
          <w:rFonts w:ascii="Arial" w:hAnsi="Arial" w:cs="Guttman-Soncino" w:hint="cs"/>
          <w:b/>
          <w:bCs/>
          <w:sz w:val="36"/>
          <w:szCs w:val="36"/>
          <w:highlight w:val="yellow"/>
          <w:rtl/>
        </w:rPr>
        <w:t>נה</w:t>
      </w:r>
      <w:r w:rsidRPr="008E605A">
        <w:rPr>
          <w:rFonts w:ascii="Arial" w:hAnsi="Arial" w:cs="Guttman-Soncino" w:hint="cs"/>
          <w:b/>
          <w:bCs/>
          <w:sz w:val="36"/>
          <w:szCs w:val="36"/>
          <w:highlight w:val="yellow"/>
          <w:rtl/>
        </w:rPr>
        <w:t xml:space="preserve"> </w:t>
      </w:r>
      <w:r w:rsidRPr="008E605A">
        <w:rPr>
          <w:rFonts w:ascii="Arial" w:hAnsi="Arial" w:cs="Guttman-Soncino"/>
          <w:b/>
          <w:bCs/>
          <w:sz w:val="36"/>
          <w:szCs w:val="36"/>
          <w:highlight w:val="yellow"/>
          <w:rtl/>
        </w:rPr>
        <w:t>–</w:t>
      </w:r>
      <w:r>
        <w:rPr>
          <w:rFonts w:cs="Guttman-Soncino" w:hint="cs"/>
          <w:sz w:val="22"/>
          <w:szCs w:val="22"/>
          <w:rtl/>
        </w:rPr>
        <w:t xml:space="preserve"> </w:t>
      </w:r>
      <w:r w:rsidRPr="00C72B22">
        <w:rPr>
          <w:rFonts w:cs="Guttman-Soncino" w:hint="cs"/>
          <w:sz w:val="22"/>
          <w:szCs w:val="22"/>
          <w:highlight w:val="green"/>
          <w:rtl/>
        </w:rPr>
        <w:t>המשך 2</w:t>
      </w:r>
    </w:p>
    <w:p w:rsidR="005366A8" w:rsidRDefault="005366A8" w:rsidP="005366A8">
      <w:pPr>
        <w:pStyle w:val="T-body"/>
        <w:spacing w:after="60" w:line="240" w:lineRule="auto"/>
        <w:ind w:hanging="28"/>
        <w:rPr>
          <w:rFonts w:asciiTheme="minorBidi" w:hAnsiTheme="minorBidi" w:cstheme="minorBidi"/>
          <w:sz w:val="20"/>
          <w:szCs w:val="20"/>
          <w:rtl/>
        </w:rPr>
      </w:pPr>
    </w:p>
    <w:p w:rsidR="005366A8" w:rsidRPr="00F056DD" w:rsidRDefault="005366A8" w:rsidP="005366A8">
      <w:pPr>
        <w:pStyle w:val="T-body"/>
        <w:spacing w:after="60" w:line="240" w:lineRule="auto"/>
        <w:ind w:hanging="28"/>
        <w:rPr>
          <w:rFonts w:asciiTheme="minorBidi" w:hAnsiTheme="minorBidi" w:cstheme="minorBidi"/>
          <w:b/>
          <w:bCs/>
          <w:i/>
          <w:iCs/>
          <w:u w:val="single"/>
          <w:rtl/>
        </w:rPr>
      </w:pPr>
      <w:r w:rsidRPr="00F056DD">
        <w:rPr>
          <w:rFonts w:asciiTheme="minorBidi" w:hAnsiTheme="minorBidi" w:cstheme="minorBidi" w:hint="cs"/>
          <w:b/>
          <w:bCs/>
          <w:i/>
          <w:iCs/>
          <w:u w:val="single"/>
          <w:rtl/>
        </w:rPr>
        <w:t>"כלל ההסדרים הראשוניים"</w:t>
      </w:r>
    </w:p>
    <w:p w:rsidR="005366A8" w:rsidRPr="00F056DD" w:rsidRDefault="005366A8" w:rsidP="005366A8">
      <w:pPr>
        <w:pStyle w:val="T-body"/>
        <w:spacing w:after="60" w:line="240" w:lineRule="auto"/>
        <w:ind w:left="748" w:hanging="28"/>
        <w:rPr>
          <w:rFonts w:asciiTheme="minorBidi" w:hAnsiTheme="minorBidi" w:cstheme="minorBidi"/>
          <w:rtl/>
        </w:rPr>
      </w:pPr>
      <w:r w:rsidRPr="00F056DD">
        <w:rPr>
          <w:highlight w:val="yellow"/>
          <w:rtl/>
        </w:rPr>
        <w:t xml:space="preserve">בג"ץ 4491/13 </w:t>
      </w:r>
      <w:r w:rsidRPr="00F056DD">
        <w:rPr>
          <w:b/>
          <w:bCs/>
          <w:highlight w:val="yellow"/>
          <w:rtl/>
        </w:rPr>
        <w:t>המרכז האקדמי למשפט ולעסקים נ' ממשלת ישראל</w:t>
      </w:r>
      <w:r w:rsidRPr="00F056DD">
        <w:rPr>
          <w:highlight w:val="yellow"/>
          <w:rtl/>
        </w:rPr>
        <w:t xml:space="preserve"> (</w:t>
      </w:r>
      <w:r w:rsidRPr="00F056DD">
        <w:rPr>
          <w:rFonts w:hint="cs"/>
          <w:highlight w:val="yellow"/>
          <w:rtl/>
        </w:rPr>
        <w:t>2014)</w:t>
      </w:r>
      <w:r>
        <w:rPr>
          <w:rFonts w:asciiTheme="minorBidi" w:hAnsiTheme="minorBidi" w:cstheme="minorBidi" w:hint="cs"/>
          <w:rtl/>
        </w:rPr>
        <w:t xml:space="preserve"> </w:t>
      </w:r>
      <w:r>
        <w:rPr>
          <w:rFonts w:asciiTheme="majorBidi" w:hAnsiTheme="majorBidi" w:cstheme="majorBidi"/>
          <w:rtl/>
        </w:rPr>
        <w:t>–</w:t>
      </w:r>
      <w:r w:rsidRPr="0033401B">
        <w:rPr>
          <w:rFonts w:asciiTheme="majorBidi" w:hAnsiTheme="majorBidi" w:cstheme="majorBidi"/>
          <w:rtl/>
        </w:rPr>
        <w:t xml:space="preserve"> </w:t>
      </w:r>
      <w:r>
        <w:rPr>
          <w:rFonts w:asciiTheme="majorBidi" w:hAnsiTheme="majorBidi" w:cstheme="majorBidi" w:hint="cs"/>
          <w:u w:val="single"/>
          <w:rtl/>
        </w:rPr>
        <w:t xml:space="preserve">קביעת </w:t>
      </w:r>
      <w:r w:rsidRPr="00EA0619">
        <w:rPr>
          <w:rFonts w:asciiTheme="majorBidi" w:hAnsiTheme="majorBidi" w:cstheme="majorBidi"/>
          <w:u w:val="single"/>
          <w:rtl/>
        </w:rPr>
        <w:t>מכסות הייצוא של גז טבעי</w:t>
      </w:r>
    </w:p>
    <w:p w:rsidR="005366A8" w:rsidRDefault="005366A8" w:rsidP="005366A8">
      <w:pPr>
        <w:pStyle w:val="T-body"/>
        <w:spacing w:after="60" w:line="240" w:lineRule="auto"/>
        <w:ind w:hanging="28"/>
        <w:rPr>
          <w:rFonts w:asciiTheme="minorBidi" w:hAnsiTheme="minorBidi" w:cstheme="minorBidi"/>
          <w:sz w:val="20"/>
          <w:szCs w:val="20"/>
          <w:rtl/>
        </w:rPr>
      </w:pPr>
    </w:p>
    <w:p w:rsidR="005366A8" w:rsidRPr="00EA0619" w:rsidRDefault="005366A8" w:rsidP="005366A8">
      <w:pPr>
        <w:pStyle w:val="PlainText"/>
        <w:bidi/>
        <w:spacing w:before="0" w:beforeAutospacing="0" w:after="60" w:afterAutospacing="0"/>
        <w:jc w:val="both"/>
        <w:rPr>
          <w:rFonts w:asciiTheme="majorBidi" w:hAnsiTheme="majorBidi" w:cstheme="majorBidi"/>
          <w:sz w:val="22"/>
          <w:szCs w:val="22"/>
          <w:rtl/>
        </w:rPr>
      </w:pPr>
      <w:r w:rsidRPr="00EA0619">
        <w:rPr>
          <w:rFonts w:asciiTheme="majorBidi" w:hAnsiTheme="majorBidi" w:cstheme="majorBidi"/>
          <w:sz w:val="22"/>
          <w:szCs w:val="22"/>
          <w:rtl/>
        </w:rPr>
        <w:t xml:space="preserve">ביום 2.7.2014 פרסם בג"צ את נימוקיו </w:t>
      </w:r>
      <w:r w:rsidRPr="00EA0619">
        <w:rPr>
          <w:rFonts w:asciiTheme="majorBidi" w:hAnsiTheme="majorBidi" w:cstheme="majorBidi"/>
          <w:sz w:val="22"/>
          <w:szCs w:val="22"/>
          <w:u w:val="single"/>
          <w:rtl/>
        </w:rPr>
        <w:t>לדחיית העתירה נגד החלטת הממשלה לאמץ את מסקנות ועדת צמח בנושא מכסות הייצוא של גז טבעי</w:t>
      </w:r>
      <w:r w:rsidRPr="00EA0619">
        <w:rPr>
          <w:rFonts w:asciiTheme="majorBidi" w:hAnsiTheme="majorBidi" w:cstheme="majorBidi"/>
          <w:sz w:val="22"/>
          <w:szCs w:val="22"/>
          <w:rtl/>
        </w:rPr>
        <w:t xml:space="preserve">. </w:t>
      </w:r>
    </w:p>
    <w:p w:rsidR="005366A8" w:rsidRPr="00EA0619" w:rsidRDefault="005366A8" w:rsidP="005366A8">
      <w:pPr>
        <w:pStyle w:val="PlainText"/>
        <w:bidi/>
        <w:spacing w:before="0" w:beforeAutospacing="0" w:after="60" w:afterAutospacing="0"/>
        <w:jc w:val="both"/>
        <w:rPr>
          <w:rFonts w:asciiTheme="majorBidi" w:hAnsiTheme="majorBidi" w:cstheme="majorBidi"/>
          <w:sz w:val="22"/>
          <w:szCs w:val="22"/>
          <w:rtl/>
        </w:rPr>
      </w:pPr>
      <w:r w:rsidRPr="00EA0619">
        <w:rPr>
          <w:rFonts w:asciiTheme="majorBidi" w:hAnsiTheme="majorBidi" w:cstheme="majorBidi"/>
          <w:sz w:val="22"/>
          <w:szCs w:val="22"/>
          <w:rtl/>
        </w:rPr>
        <w:t xml:space="preserve">עיקר הדיון התמקד בטענה שלפיה </w:t>
      </w:r>
      <w:r w:rsidRPr="00EA0619">
        <w:rPr>
          <w:rFonts w:asciiTheme="majorBidi" w:hAnsiTheme="majorBidi" w:cstheme="majorBidi"/>
          <w:b/>
          <w:bCs/>
          <w:sz w:val="22"/>
          <w:szCs w:val="22"/>
          <w:rtl/>
        </w:rPr>
        <w:t>ההחלטה מהווה הסדר ראשוני אשר חייב להיות מוסדר בחקיקה ראשית</w:t>
      </w:r>
      <w:r w:rsidRPr="00EA0619">
        <w:rPr>
          <w:rFonts w:asciiTheme="majorBidi" w:hAnsiTheme="majorBidi" w:cstheme="majorBidi"/>
          <w:sz w:val="22"/>
          <w:szCs w:val="22"/>
          <w:rtl/>
        </w:rPr>
        <w:t xml:space="preserve">, ושחוק הנפט, שמכוחו פעלה הממשלה, אינו מסמיך אותה לקבל החלטה מעין זו. </w:t>
      </w:r>
    </w:p>
    <w:p w:rsidR="005366A8" w:rsidRPr="00EA0619" w:rsidRDefault="005366A8" w:rsidP="005366A8">
      <w:pPr>
        <w:pStyle w:val="PlainText"/>
        <w:bidi/>
        <w:spacing w:before="0" w:beforeAutospacing="0" w:after="60" w:afterAutospacing="0"/>
        <w:jc w:val="both"/>
        <w:rPr>
          <w:rFonts w:asciiTheme="majorBidi" w:hAnsiTheme="majorBidi" w:cstheme="majorBidi"/>
          <w:sz w:val="22"/>
          <w:szCs w:val="22"/>
          <w:rtl/>
        </w:rPr>
      </w:pPr>
      <w:r w:rsidRPr="00EA0619">
        <w:rPr>
          <w:rFonts w:asciiTheme="majorBidi" w:hAnsiTheme="majorBidi" w:cstheme="majorBidi"/>
          <w:sz w:val="22"/>
          <w:szCs w:val="22"/>
          <w:rtl/>
        </w:rPr>
        <w:t xml:space="preserve">המשיבים לא חלקו על ההנחה, שהחלטת הממשלה אכן מהווה הסדר ראשוני, ובכך נחסך הדיון, הסבוך כשלעצמו, בזיהוי ותיוג הסדר כהסדר ראשוני. </w:t>
      </w:r>
    </w:p>
    <w:p w:rsidR="005366A8" w:rsidRPr="00EA0619" w:rsidRDefault="005366A8" w:rsidP="005366A8">
      <w:pPr>
        <w:pStyle w:val="PlainText"/>
        <w:bidi/>
        <w:spacing w:before="0" w:beforeAutospacing="0" w:after="60" w:afterAutospacing="0"/>
        <w:jc w:val="both"/>
        <w:rPr>
          <w:rFonts w:asciiTheme="majorBidi" w:hAnsiTheme="majorBidi" w:cstheme="majorBidi"/>
          <w:sz w:val="22"/>
          <w:szCs w:val="22"/>
          <w:rtl/>
        </w:rPr>
      </w:pPr>
      <w:r w:rsidRPr="00EA0619">
        <w:rPr>
          <w:rFonts w:asciiTheme="majorBidi" w:hAnsiTheme="majorBidi" w:cstheme="majorBidi"/>
          <w:sz w:val="22"/>
          <w:szCs w:val="22"/>
          <w:rtl/>
        </w:rPr>
        <w:t xml:space="preserve">דעת הרוב (הנשיא </w:t>
      </w:r>
      <w:r w:rsidRPr="00EA0619">
        <w:rPr>
          <w:rStyle w:val="spelle"/>
          <w:rFonts w:asciiTheme="majorBidi" w:hAnsiTheme="majorBidi" w:cstheme="majorBidi"/>
          <w:sz w:val="22"/>
          <w:szCs w:val="22"/>
          <w:rtl/>
        </w:rPr>
        <w:t>גרוניס</w:t>
      </w:r>
      <w:r w:rsidRPr="00EA0619">
        <w:rPr>
          <w:rFonts w:asciiTheme="majorBidi" w:hAnsiTheme="majorBidi" w:cstheme="majorBidi"/>
          <w:sz w:val="22"/>
          <w:szCs w:val="22"/>
          <w:rtl/>
        </w:rPr>
        <w:t xml:space="preserve">, ואיתו השופטות נאור, חיות וארבל והשופט </w:t>
      </w:r>
      <w:r w:rsidRPr="00EA0619">
        <w:rPr>
          <w:rStyle w:val="spelle"/>
          <w:rFonts w:asciiTheme="majorBidi" w:hAnsiTheme="majorBidi" w:cstheme="majorBidi"/>
          <w:sz w:val="22"/>
          <w:szCs w:val="22"/>
          <w:rtl/>
        </w:rPr>
        <w:t>סולברג</w:t>
      </w:r>
      <w:r>
        <w:rPr>
          <w:rStyle w:val="spelle"/>
          <w:rFonts w:asciiTheme="majorBidi" w:hAnsiTheme="majorBidi" w:cstheme="majorBidi" w:hint="cs"/>
          <w:sz w:val="22"/>
          <w:szCs w:val="22"/>
          <w:rtl/>
        </w:rPr>
        <w:t>) קבעה כי כלל ההסדרים הראשוניים התקיים בענייננו, מכוח הוראות שונות בחוק הנפט.</w:t>
      </w:r>
      <w:r w:rsidRPr="00EA0619">
        <w:rPr>
          <w:rStyle w:val="spelle"/>
          <w:rFonts w:asciiTheme="majorBidi" w:hAnsiTheme="majorBidi" w:cstheme="majorBidi"/>
          <w:sz w:val="22"/>
          <w:szCs w:val="22"/>
          <w:rtl/>
        </w:rPr>
        <w:t xml:space="preserve"> דעת מיעוט</w:t>
      </w:r>
      <w:r>
        <w:rPr>
          <w:rStyle w:val="spelle"/>
          <w:rFonts w:asciiTheme="majorBidi" w:hAnsiTheme="majorBidi" w:cstheme="majorBidi" w:hint="cs"/>
          <w:sz w:val="22"/>
          <w:szCs w:val="22"/>
          <w:rtl/>
        </w:rPr>
        <w:t xml:space="preserve"> (</w:t>
      </w:r>
      <w:r w:rsidRPr="00EA0619">
        <w:rPr>
          <w:rStyle w:val="spelle"/>
          <w:rFonts w:asciiTheme="majorBidi" w:hAnsiTheme="majorBidi" w:cstheme="majorBidi"/>
          <w:sz w:val="22"/>
          <w:szCs w:val="22"/>
          <w:rtl/>
        </w:rPr>
        <w:t>השופטים רובינשטיין וג'ובראן</w:t>
      </w:r>
      <w:r w:rsidRPr="00EA0619">
        <w:rPr>
          <w:rFonts w:asciiTheme="majorBidi" w:hAnsiTheme="majorBidi" w:cstheme="majorBidi"/>
          <w:sz w:val="22"/>
          <w:szCs w:val="22"/>
          <w:rtl/>
        </w:rPr>
        <w:t>) סברה</w:t>
      </w:r>
      <w:r>
        <w:rPr>
          <w:rFonts w:asciiTheme="majorBidi" w:hAnsiTheme="majorBidi" w:cstheme="majorBidi" w:hint="cs"/>
          <w:sz w:val="22"/>
          <w:szCs w:val="22"/>
          <w:rtl/>
        </w:rPr>
        <w:t xml:space="preserve"> אחרת.</w:t>
      </w:r>
      <w:r w:rsidRPr="00EA0619">
        <w:rPr>
          <w:rFonts w:asciiTheme="majorBidi" w:hAnsiTheme="majorBidi" w:cstheme="majorBidi"/>
          <w:sz w:val="22"/>
          <w:szCs w:val="22"/>
          <w:rtl/>
        </w:rPr>
        <w:t xml:space="preserve"> </w:t>
      </w:r>
    </w:p>
    <w:p w:rsidR="005366A8" w:rsidRPr="00F056DD" w:rsidRDefault="005366A8" w:rsidP="005366A8">
      <w:pPr>
        <w:pStyle w:val="PlainText"/>
        <w:bidi/>
        <w:spacing w:before="0" w:beforeAutospacing="0" w:after="60" w:afterAutospacing="0"/>
        <w:rPr>
          <w:rFonts w:asciiTheme="majorBidi" w:hAnsiTheme="majorBidi" w:cstheme="majorBidi"/>
          <w:rtl/>
        </w:rPr>
      </w:pPr>
      <w:r w:rsidRPr="00F056DD">
        <w:rPr>
          <w:rFonts w:asciiTheme="majorBidi" w:hAnsiTheme="majorBidi" w:cstheme="majorBidi"/>
          <w:rtl/>
        </w:rPr>
        <w:t> </w:t>
      </w:r>
    </w:p>
    <w:p w:rsidR="005366A8" w:rsidRPr="00EA0619" w:rsidRDefault="005366A8" w:rsidP="005366A8">
      <w:pPr>
        <w:pStyle w:val="PlainText"/>
        <w:bidi/>
        <w:spacing w:before="0" w:beforeAutospacing="0" w:after="60" w:afterAutospacing="0"/>
        <w:jc w:val="both"/>
        <w:rPr>
          <w:rFonts w:asciiTheme="majorBidi" w:hAnsiTheme="majorBidi" w:cs="FrankRuehl"/>
          <w:sz w:val="22"/>
          <w:szCs w:val="22"/>
          <w:rtl/>
        </w:rPr>
      </w:pPr>
      <w:r w:rsidRPr="00341D39">
        <w:rPr>
          <w:rFonts w:asciiTheme="majorBidi" w:hAnsiTheme="majorBidi" w:cstheme="majorBidi"/>
          <w:sz w:val="22"/>
          <w:szCs w:val="22"/>
          <w:u w:val="single"/>
          <w:rtl/>
        </w:rPr>
        <w:t xml:space="preserve">הנשיא </w:t>
      </w:r>
      <w:r w:rsidRPr="00341D39">
        <w:rPr>
          <w:rStyle w:val="spelle"/>
          <w:rFonts w:asciiTheme="majorBidi" w:hAnsiTheme="majorBidi" w:cstheme="majorBidi"/>
          <w:b/>
          <w:bCs/>
          <w:sz w:val="22"/>
          <w:szCs w:val="22"/>
          <w:u w:val="single"/>
          <w:rtl/>
        </w:rPr>
        <w:t>גרוניס</w:t>
      </w:r>
      <w:r w:rsidRPr="00F056DD">
        <w:rPr>
          <w:rStyle w:val="spelle"/>
          <w:rFonts w:asciiTheme="majorBidi" w:hAnsiTheme="majorBidi" w:cstheme="majorBidi"/>
          <w:b/>
          <w:bCs/>
          <w:sz w:val="23"/>
          <w:szCs w:val="23"/>
          <w:rtl/>
        </w:rPr>
        <w:t>:</w:t>
      </w:r>
      <w:r w:rsidRPr="00F056DD">
        <w:rPr>
          <w:rFonts w:asciiTheme="majorBidi" w:hAnsiTheme="majorBidi" w:cstheme="majorBidi"/>
          <w:sz w:val="23"/>
          <w:szCs w:val="23"/>
          <w:rtl/>
        </w:rPr>
        <w:t xml:space="preserve"> </w:t>
      </w:r>
    </w:p>
    <w:p w:rsidR="005366A8" w:rsidRPr="00EA0619" w:rsidRDefault="005366A8" w:rsidP="005366A8">
      <w:pPr>
        <w:pStyle w:val="PlainText"/>
        <w:bidi/>
        <w:spacing w:before="0" w:beforeAutospacing="0" w:after="60" w:afterAutospacing="0"/>
        <w:jc w:val="both"/>
        <w:rPr>
          <w:rFonts w:asciiTheme="majorBidi" w:hAnsiTheme="majorBidi" w:cs="FrankRuehl"/>
          <w:sz w:val="22"/>
          <w:szCs w:val="22"/>
          <w:rtl/>
        </w:rPr>
      </w:pPr>
      <w:r w:rsidRPr="00EA0619">
        <w:rPr>
          <w:rFonts w:asciiTheme="majorBidi" w:hAnsiTheme="majorBidi" w:cs="FrankRuehl" w:hint="cs"/>
          <w:sz w:val="22"/>
          <w:szCs w:val="22"/>
          <w:highlight w:val="yellow"/>
          <w:rtl/>
        </w:rPr>
        <w:t>ממשלת ישראל ביקשה להסדיר את סוגיית ייצוא הגז הטבעי מישראל. האם הכנסת הסמיכה את הממשלה לפעול בעניין? האם ההסמכה לה זכתה הממשלה הינה אף לקביעה של הסדרים ראשוניים בנושא ייצוא הגז הטבעי? אלו הן השאלות המרכזיות הטעונות הכרעה בהליכים דנא.</w:t>
      </w:r>
    </w:p>
    <w:p w:rsidR="005366A8" w:rsidRDefault="005366A8" w:rsidP="005366A8">
      <w:pPr>
        <w:pStyle w:val="PlainText"/>
        <w:bidi/>
        <w:spacing w:before="0" w:beforeAutospacing="0" w:after="60" w:afterAutospacing="0"/>
        <w:jc w:val="both"/>
        <w:rPr>
          <w:rFonts w:asciiTheme="majorBidi" w:hAnsiTheme="majorBidi" w:cs="FrankRuehl"/>
          <w:sz w:val="22"/>
          <w:szCs w:val="22"/>
          <w:rtl/>
        </w:rPr>
      </w:pPr>
    </w:p>
    <w:p w:rsidR="005366A8" w:rsidRPr="00EA0619" w:rsidRDefault="005366A8" w:rsidP="005366A8">
      <w:pPr>
        <w:pStyle w:val="PlainText"/>
        <w:bidi/>
        <w:spacing w:before="0" w:beforeAutospacing="0" w:after="60" w:afterAutospacing="0"/>
        <w:jc w:val="both"/>
        <w:rPr>
          <w:rFonts w:ascii="Arial TUR" w:eastAsia="Times New Roman" w:hAnsi="Arial TUR" w:cs="FrankRuehl"/>
          <w:color w:val="000000"/>
          <w:spacing w:val="10"/>
          <w:sz w:val="22"/>
          <w:szCs w:val="22"/>
          <w:rtl/>
        </w:rPr>
      </w:pPr>
      <w:r>
        <w:rPr>
          <w:rFonts w:asciiTheme="majorBidi" w:hAnsiTheme="majorBidi" w:cs="FrankRuehl" w:hint="cs"/>
          <w:sz w:val="22"/>
          <w:szCs w:val="22"/>
          <w:rtl/>
        </w:rPr>
        <w:t xml:space="preserve">[שאלה חשובה, שנדונה חלקית ואגב אורחה:] </w:t>
      </w:r>
      <w:r w:rsidRPr="006701F0">
        <w:rPr>
          <w:rFonts w:ascii="Arial TUR" w:eastAsia="Times New Roman" w:hAnsi="Arial TUR" w:cs="Miriam" w:hint="cs"/>
          <w:color w:val="000000"/>
          <w:sz w:val="22"/>
          <w:szCs w:val="22"/>
          <w:highlight w:val="yellow"/>
          <w:rtl/>
        </w:rPr>
        <w:t>כלל ההסדרים הראשוניים – האם בעל מעמד חוקתי?</w:t>
      </w:r>
    </w:p>
    <w:p w:rsidR="005366A8" w:rsidRPr="00EA0619" w:rsidRDefault="005366A8" w:rsidP="005366A8">
      <w:pPr>
        <w:spacing w:after="120"/>
        <w:rPr>
          <w:rFonts w:ascii="Arial TUR" w:hAnsi="Arial TUR" w:cs="FrankRuehl"/>
          <w:color w:val="000000"/>
          <w:spacing w:val="10"/>
          <w:sz w:val="22"/>
          <w:szCs w:val="22"/>
          <w:rtl/>
        </w:rPr>
      </w:pPr>
      <w:r w:rsidRPr="00EA0619">
        <w:rPr>
          <w:rFonts w:ascii="Arial TUR" w:hAnsi="Arial TUR" w:cs="FrankRuehl" w:hint="cs"/>
          <w:color w:val="000000"/>
          <w:sz w:val="22"/>
          <w:szCs w:val="22"/>
          <w:rtl/>
        </w:rPr>
        <w:t> </w:t>
      </w:r>
      <w:r w:rsidRPr="00EA0619">
        <w:rPr>
          <w:rFonts w:ascii="Arial TUR" w:hAnsi="Arial TUR" w:cs="FrankRuehl" w:hint="cs"/>
          <w:color w:val="000000"/>
          <w:spacing w:val="10"/>
          <w:sz w:val="22"/>
          <w:szCs w:val="22"/>
          <w:rtl/>
        </w:rPr>
        <w:t>22.      </w:t>
      </w:r>
      <w:r w:rsidRPr="00EA0619">
        <w:rPr>
          <w:rFonts w:ascii="Arial TUR" w:hAnsi="Arial TUR" w:cs="FrankRuehl" w:hint="cs"/>
          <w:color w:val="000000"/>
          <w:spacing w:val="10"/>
          <w:sz w:val="22"/>
          <w:szCs w:val="22"/>
          <w:highlight w:val="yellow"/>
          <w:rtl/>
        </w:rPr>
        <w:t>בנקודה זו רואה אני להתייחס בקצרה לסוגיה אשר טרם הוכרעה בפסיקתנו, הנוגעת לקיומו או להיעדר קיומו של מעמד </w:t>
      </w:r>
      <w:r w:rsidRPr="00EA0619">
        <w:rPr>
          <w:rFonts w:ascii="Arial TUR" w:hAnsi="Arial TUR" w:cs="FrankRuehl" w:hint="cs"/>
          <w:color w:val="000000"/>
          <w:sz w:val="22"/>
          <w:szCs w:val="22"/>
          <w:highlight w:val="yellow"/>
          <w:rtl/>
        </w:rPr>
        <w:t>חוקתי</w:t>
      </w:r>
      <w:r w:rsidRPr="00EA0619">
        <w:rPr>
          <w:rFonts w:ascii="Arial TUR" w:hAnsi="Arial TUR" w:cs="FrankRuehl" w:hint="cs"/>
          <w:color w:val="000000"/>
          <w:spacing w:val="10"/>
          <w:sz w:val="22"/>
          <w:szCs w:val="22"/>
          <w:highlight w:val="yellow"/>
          <w:rtl/>
        </w:rPr>
        <w:t> לכלל ההסדרים הראשוניים. באומרי מעמד חוקתי, כוונתי היא לשאלה, מה </w:t>
      </w:r>
      <w:r w:rsidRPr="00EA0619">
        <w:rPr>
          <w:rFonts w:ascii="Arial TUR" w:hAnsi="Arial TUR" w:cs="FrankRuehl" w:hint="cs"/>
          <w:color w:val="000000"/>
          <w:sz w:val="22"/>
          <w:szCs w:val="22"/>
          <w:highlight w:val="yellow"/>
          <w:rtl/>
        </w:rPr>
        <w:t>דינה של חקיקה</w:t>
      </w:r>
      <w:r w:rsidRPr="00EA0619">
        <w:rPr>
          <w:rFonts w:ascii="Arial TUR" w:hAnsi="Arial TUR" w:cs="FrankRuehl" w:hint="cs"/>
          <w:color w:val="000000"/>
          <w:spacing w:val="10"/>
          <w:sz w:val="22"/>
          <w:szCs w:val="22"/>
          <w:highlight w:val="yellow"/>
          <w:rtl/>
        </w:rPr>
        <w:t> האוצלת לרשות המבצעת את הסמכות לקבוע הסדרים ראשוניים. דהיינו, האם ניתן לגזור מכלל ההסדרים הראשוניים במובנו המתואר לעיל מסקנה במישור החוקתי, לפיה אסור לה לרשות המחוקקת להתפרק מסמכויות החקיקה שלה במקרים מסוימים. שאלת משנה הנלווית לכך הינה האם רשאי בית המשפט להכריז על חקיקה כזו כבטלה בהיותה בלתי חוקתית.</w:t>
      </w:r>
      <w:r w:rsidRPr="00EA0619">
        <w:rPr>
          <w:rFonts w:ascii="Arial TUR" w:hAnsi="Arial TUR" w:cs="FrankRuehl" w:hint="cs"/>
          <w:color w:val="000000"/>
          <w:spacing w:val="10"/>
          <w:sz w:val="22"/>
          <w:szCs w:val="22"/>
          <w:rtl/>
        </w:rPr>
        <w:t xml:space="preserve"> </w:t>
      </w:r>
      <w:r>
        <w:rPr>
          <w:rFonts w:ascii="Arial TUR" w:hAnsi="Arial TUR" w:cs="FrankRuehl" w:hint="cs"/>
          <w:color w:val="000000"/>
          <w:spacing w:val="10"/>
          <w:sz w:val="22"/>
          <w:szCs w:val="22"/>
          <w:rtl/>
        </w:rPr>
        <w:t xml:space="preserve"> [...]</w:t>
      </w:r>
    </w:p>
    <w:p w:rsidR="005366A8" w:rsidRPr="00EA0619" w:rsidRDefault="005366A8" w:rsidP="005366A8">
      <w:pPr>
        <w:spacing w:after="120"/>
        <w:rPr>
          <w:rFonts w:ascii="Arial TUR" w:hAnsi="Arial TUR" w:cs="FrankRuehl"/>
          <w:color w:val="000000"/>
          <w:spacing w:val="10"/>
          <w:sz w:val="22"/>
          <w:szCs w:val="22"/>
          <w:rtl/>
        </w:rPr>
      </w:pPr>
      <w:r w:rsidRPr="00EA0619">
        <w:rPr>
          <w:rFonts w:ascii="Arial TUR" w:hAnsi="Arial TUR" w:cs="FrankRuehl" w:hint="cs"/>
          <w:color w:val="000000"/>
          <w:spacing w:val="10"/>
          <w:sz w:val="22"/>
          <w:szCs w:val="22"/>
          <w:rtl/>
        </w:rPr>
        <w:t>23.      </w:t>
      </w:r>
      <w:r w:rsidRPr="00EA0619">
        <w:rPr>
          <w:rFonts w:ascii="Arial TUR" w:hAnsi="Arial TUR" w:cs="FrankRuehl" w:hint="cs"/>
          <w:color w:val="000000"/>
          <w:spacing w:val="10"/>
          <w:sz w:val="22"/>
          <w:szCs w:val="22"/>
          <w:highlight w:val="yellow"/>
          <w:rtl/>
        </w:rPr>
        <w:t xml:space="preserve">שאלה מעניינת היא, האם יש בסיס לטענה, כי בעקבות חקיקת חוק-יסוד: כבוד האדם וחירותו וחוק-יסוד: חופש העיסוק, רשאי בית המשפט להורות על ביטול חקיקה ראשית, אם נמצא על ידו כי זו מתיימרת להעביר לרשויות המינהל את הסמכות לקבוע הסדרים ראשוניים בנושא מסוים הפוגע בזכויות המוגנות בחוקי היסוד הללו. במילים אחרות, האם חוקי היסוד טומנים בחובם אף את הכלל של "איסור דלגציה". לכאורה ניתן לטעון, כי כלל של "איסור דלגציה" עשוי להילמד לא רק מחוקי היסוד העוסקים בזכויות אדם אלא אף מהוראת סעיף 1 לחוק-יסוד: הכנסת, לפיה "הכנסת היא בית הנבחרים של המדינה". </w:t>
      </w:r>
      <w:r w:rsidRPr="00EA0619">
        <w:rPr>
          <w:rFonts w:ascii="Arial TUR" w:hAnsi="Arial TUR" w:cs="FrankRuehl" w:hint="cs"/>
          <w:color w:val="000000"/>
          <w:spacing w:val="10"/>
          <w:sz w:val="22"/>
          <w:szCs w:val="22"/>
          <w:rtl/>
        </w:rPr>
        <w:t>במאמר מוסגר נציין</w:t>
      </w:r>
      <w:r w:rsidRPr="00EA0619">
        <w:rPr>
          <w:rFonts w:ascii="Arial TUR" w:hAnsi="Arial TUR" w:cs="FrankRuehl" w:hint="cs"/>
          <w:color w:val="000000"/>
          <w:spacing w:val="10"/>
          <w:sz w:val="22"/>
          <w:szCs w:val="22"/>
          <w:highlight w:val="yellow"/>
          <w:rtl/>
        </w:rPr>
        <w:t>, כי שאלה דומה במהותה, מזווית שונה, התעוררה בעבר לגבי דינה של חקיקה שעסקה בהפרטה. כוונתי היא לפרשת הפרטת בתי הסוהר</w:t>
      </w:r>
      <w:r w:rsidRPr="00EA0619">
        <w:rPr>
          <w:rFonts w:ascii="Arial TUR" w:hAnsi="Arial TUR" w:cs="FrankRuehl" w:hint="cs"/>
          <w:color w:val="000000"/>
          <w:spacing w:val="10"/>
          <w:sz w:val="22"/>
          <w:szCs w:val="22"/>
          <w:rtl/>
        </w:rPr>
        <w:t xml:space="preserve"> (בג"ץ 2605/05 </w:t>
      </w:r>
      <w:r w:rsidRPr="00EA0619">
        <w:rPr>
          <w:rFonts w:ascii="Arial TUR" w:hAnsi="Arial TUR" w:cs="FrankRuehl" w:hint="cs"/>
          <w:color w:val="000000"/>
          <w:sz w:val="22"/>
          <w:szCs w:val="22"/>
          <w:rtl/>
        </w:rPr>
        <w:t>המרכז האקדמי למשפט ולעסקים נ' שר האוצר</w:t>
      </w:r>
      <w:r w:rsidRPr="00EA0619">
        <w:rPr>
          <w:rFonts w:ascii="Arial TUR" w:hAnsi="Arial TUR" w:cs="FrankRuehl" w:hint="cs"/>
          <w:color w:val="000000"/>
          <w:spacing w:val="10"/>
          <w:sz w:val="22"/>
          <w:szCs w:val="22"/>
          <w:rtl/>
        </w:rPr>
        <w:t>, פ"ד סג(2) 545 (2009) (להלן – </w:t>
      </w:r>
      <w:r w:rsidRPr="00EA0619">
        <w:rPr>
          <w:rFonts w:ascii="Arial TUR" w:hAnsi="Arial TUR" w:cs="FrankRuehl" w:hint="cs"/>
          <w:color w:val="000000"/>
          <w:sz w:val="22"/>
          <w:szCs w:val="22"/>
          <w:rtl/>
        </w:rPr>
        <w:t>פרשת הפרטת בתי הסוהר</w:t>
      </w:r>
      <w:r w:rsidRPr="00EA0619">
        <w:rPr>
          <w:rFonts w:ascii="Arial TUR" w:hAnsi="Arial TUR" w:cs="FrankRuehl" w:hint="cs"/>
          <w:color w:val="000000"/>
          <w:spacing w:val="10"/>
          <w:sz w:val="22"/>
          <w:szCs w:val="22"/>
          <w:rtl/>
        </w:rPr>
        <w:t>)). באותו עניין התעוררה השאלה האם החקיקה שעמדה שם על הפרק אינה חוקתית בהיותה סותרת את סעיף 1 לחוק-יסוד: הממשלה, המורה כי "הממשלה היא הרשות המבצעת של המדינה". בפרשת </w:t>
      </w:r>
      <w:r w:rsidRPr="00EA0619">
        <w:rPr>
          <w:rFonts w:ascii="Arial TUR" w:hAnsi="Arial TUR" w:cs="FrankRuehl" w:hint="cs"/>
          <w:color w:val="000000"/>
          <w:sz w:val="22"/>
          <w:szCs w:val="22"/>
          <w:rtl/>
        </w:rPr>
        <w:t>הפרטת בתי הסוהר </w:t>
      </w:r>
      <w:r w:rsidRPr="00EA0619">
        <w:rPr>
          <w:rFonts w:ascii="Arial TUR" w:hAnsi="Arial TUR" w:cs="FrankRuehl" w:hint="cs"/>
          <w:color w:val="000000"/>
          <w:spacing w:val="10"/>
          <w:sz w:val="22"/>
          <w:szCs w:val="22"/>
          <w:rtl/>
        </w:rPr>
        <w:t>נפסלה החקיקה הרלוונטית, בסופו של דבר, בשל הפגיעה הלא מידתית בזכויות החוקתיות לחירות ולכבוד הקבועות בחוק-יסוד: כבוד האדם וחירותו. על כן, לא הוכרעה השאלה אם ניתן להורות על ביטול של חקיקה של הכנסת אם נמצא כי זו סותרת את סעיף 1 לחוק-יסוד: הממשלה. לצד זאת ציינה </w:t>
      </w:r>
      <w:r w:rsidRPr="00EA0619">
        <w:rPr>
          <w:rFonts w:ascii="Arial TUR" w:hAnsi="Arial TUR" w:cs="FrankRuehl" w:hint="cs"/>
          <w:color w:val="000000"/>
          <w:sz w:val="22"/>
          <w:szCs w:val="22"/>
          <w:rtl/>
        </w:rPr>
        <w:t>שם</w:t>
      </w:r>
      <w:r w:rsidRPr="00EA0619">
        <w:rPr>
          <w:rFonts w:ascii="Arial TUR" w:hAnsi="Arial TUR" w:cs="FrankRuehl" w:hint="cs"/>
          <w:color w:val="000000"/>
          <w:spacing w:val="10"/>
          <w:sz w:val="22"/>
          <w:szCs w:val="22"/>
          <w:rtl/>
        </w:rPr>
        <w:t> הנשיאה </w:t>
      </w:r>
      <w:r w:rsidRPr="00EA0619">
        <w:rPr>
          <w:rFonts w:ascii="Arial TUR" w:hAnsi="Arial TUR" w:cs="FrankRuehl" w:hint="cs"/>
          <w:color w:val="000000"/>
          <w:sz w:val="22"/>
          <w:szCs w:val="22"/>
          <w:rtl/>
        </w:rPr>
        <w:t>ד' ביניש</w:t>
      </w:r>
      <w:r w:rsidRPr="00EA0619">
        <w:rPr>
          <w:rFonts w:ascii="Arial TUR" w:hAnsi="Arial TUR" w:cs="FrankRuehl" w:hint="cs"/>
          <w:color w:val="000000"/>
          <w:spacing w:val="10"/>
          <w:sz w:val="22"/>
          <w:szCs w:val="22"/>
          <w:rtl/>
        </w:rPr>
        <w:t>, בלא לטעת מסמרות, כי היא נוטה "... לפרש את הוראת סעיף 1 לחוק-יסוד: הממשלה באופן המעגן ברמה החוקתית את קיומו של 'גרעין קשה' של סמכויות שלטוניות שאותן חייבת הממשלה, כרשות המבצעת של המדינה, לבצע בעצמה ושאסור לה להעבירן או להאצילן לידי גורמים פרטיים" (</w:t>
      </w:r>
      <w:r w:rsidRPr="00EA0619">
        <w:rPr>
          <w:rFonts w:ascii="Arial TUR" w:hAnsi="Arial TUR" w:cs="FrankRuehl" w:hint="cs"/>
          <w:color w:val="000000"/>
          <w:sz w:val="22"/>
          <w:szCs w:val="22"/>
          <w:rtl/>
        </w:rPr>
        <w:t>שם</w:t>
      </w:r>
      <w:r w:rsidRPr="00EA0619">
        <w:rPr>
          <w:rFonts w:ascii="Arial TUR" w:hAnsi="Arial TUR" w:cs="FrankRuehl" w:hint="cs"/>
          <w:color w:val="000000"/>
          <w:spacing w:val="10"/>
          <w:sz w:val="22"/>
          <w:szCs w:val="22"/>
          <w:rtl/>
        </w:rPr>
        <w:t>, בעמ' 637; וראו גם את חוות דעתה של חברתי, השופטת </w:t>
      </w:r>
      <w:r w:rsidRPr="00EA0619">
        <w:rPr>
          <w:rFonts w:ascii="Arial TUR" w:hAnsi="Arial TUR" w:cs="FrankRuehl" w:hint="cs"/>
          <w:color w:val="000000"/>
          <w:sz w:val="22"/>
          <w:szCs w:val="22"/>
          <w:rtl/>
        </w:rPr>
        <w:t>א' חיות</w:t>
      </w:r>
      <w:r w:rsidRPr="00EA0619">
        <w:rPr>
          <w:rFonts w:ascii="Arial TUR" w:hAnsi="Arial TUR" w:cs="FrankRuehl" w:hint="cs"/>
          <w:color w:val="000000"/>
          <w:spacing w:val="10"/>
          <w:sz w:val="22"/>
          <w:szCs w:val="22"/>
          <w:rtl/>
        </w:rPr>
        <w:t>, </w:t>
      </w:r>
      <w:r w:rsidRPr="00EA0619">
        <w:rPr>
          <w:rFonts w:ascii="Arial TUR" w:hAnsi="Arial TUR" w:cs="FrankRuehl" w:hint="cs"/>
          <w:color w:val="000000"/>
          <w:sz w:val="22"/>
          <w:szCs w:val="22"/>
          <w:rtl/>
        </w:rPr>
        <w:t>שם</w:t>
      </w:r>
      <w:r w:rsidRPr="00EA0619">
        <w:rPr>
          <w:rFonts w:ascii="Arial TUR" w:hAnsi="Arial TUR" w:cs="FrankRuehl" w:hint="cs"/>
          <w:color w:val="000000"/>
          <w:spacing w:val="10"/>
          <w:sz w:val="22"/>
          <w:szCs w:val="22"/>
          <w:rtl/>
        </w:rPr>
        <w:t xml:space="preserve"> בעמ' 681-678)). </w:t>
      </w:r>
      <w:r w:rsidRPr="00EA0619">
        <w:rPr>
          <w:rFonts w:ascii="Arial TUR" w:hAnsi="Arial TUR" w:cs="FrankRuehl" w:hint="cs"/>
          <w:color w:val="000000"/>
          <w:spacing w:val="10"/>
          <w:sz w:val="22"/>
          <w:szCs w:val="22"/>
          <w:highlight w:val="yellow"/>
          <w:rtl/>
        </w:rPr>
        <w:t>כאמור, לכאורה ניתן לטעון, באופן דומה, כי גם לכלל ההסדרים הראשוניים יש ליתן מעמד חוקתי, היינו כי קיים "גרעין קשה" של סוגיות אשר הכנסת, כרשות המחוקקת של המדינה, חייבת להסדיר בעצמה בחקיקה ראשית ואין היא רשאית להאציל את הסמכות לקביעתן לממשלה. זאת, בין אם מכוח חוקי היסוד בדבר זכויות האדם, בין אם מכוח סעיף 1 לחוק-יסוד: הכנסת.</w:t>
      </w:r>
    </w:p>
    <w:p w:rsidR="005366A8" w:rsidRPr="00EA0619" w:rsidRDefault="005366A8" w:rsidP="005366A8">
      <w:pPr>
        <w:spacing w:after="120"/>
        <w:rPr>
          <w:rFonts w:ascii="Arial TUR" w:hAnsi="Arial TUR" w:cs="FrankRuehl"/>
          <w:color w:val="000000"/>
          <w:spacing w:val="10"/>
          <w:sz w:val="22"/>
          <w:szCs w:val="22"/>
          <w:rtl/>
        </w:rPr>
      </w:pPr>
      <w:r w:rsidRPr="00EA0619">
        <w:rPr>
          <w:rFonts w:ascii="Arial TUR" w:hAnsi="Arial TUR" w:cs="FrankRuehl" w:hint="cs"/>
          <w:color w:val="000000"/>
          <w:spacing w:val="10"/>
          <w:sz w:val="22"/>
          <w:szCs w:val="22"/>
          <w:rtl/>
        </w:rPr>
        <w:t xml:space="preserve"> 24.      כאמור, שאלת מעמדו החוקתי של כלל ההסדרים הראשוניים לא הוכרעה על ידי בית המשפט בעבר ונותרה בצריך עיון </w:t>
      </w:r>
      <w:r>
        <w:rPr>
          <w:rFonts w:ascii="Arial TUR" w:hAnsi="Arial TUR" w:cs="FrankRuehl" w:hint="cs"/>
          <w:color w:val="000000"/>
          <w:spacing w:val="10"/>
          <w:sz w:val="22"/>
          <w:szCs w:val="22"/>
          <w:rtl/>
        </w:rPr>
        <w:t>..</w:t>
      </w:r>
      <w:r w:rsidRPr="00EA0619">
        <w:rPr>
          <w:rFonts w:ascii="Arial TUR" w:hAnsi="Arial TUR" w:cs="FrankRuehl" w:hint="cs"/>
          <w:color w:val="000000"/>
          <w:spacing w:val="10"/>
          <w:sz w:val="22"/>
          <w:szCs w:val="22"/>
          <w:rtl/>
        </w:rPr>
        <w:t xml:space="preserve">. </w:t>
      </w:r>
      <w:r w:rsidRPr="00EA0619">
        <w:rPr>
          <w:rFonts w:ascii="Arial TUR" w:hAnsi="Arial TUR" w:cs="FrankRuehl" w:hint="cs"/>
          <w:color w:val="000000"/>
          <w:spacing w:val="10"/>
          <w:sz w:val="22"/>
          <w:szCs w:val="22"/>
          <w:highlight w:val="yellow"/>
          <w:rtl/>
        </w:rPr>
        <w:t xml:space="preserve">אף ההליכים דנא אינם מהווים אכסניה ראויה להיכנס בעובי הקורה בסוגיה זו, אשר כלל לא נתלבנה לפנינו. </w:t>
      </w:r>
      <w:r w:rsidRPr="006701F0">
        <w:rPr>
          <w:rFonts w:ascii="Arial TUR" w:hAnsi="Arial TUR" w:cs="FrankRuehl" w:hint="cs"/>
          <w:color w:val="000000"/>
          <w:spacing w:val="10"/>
          <w:sz w:val="22"/>
          <w:szCs w:val="22"/>
          <w:highlight w:val="green"/>
          <w:rtl/>
        </w:rPr>
        <w:t>העותרים לא העלו טענות </w:t>
      </w:r>
      <w:r w:rsidRPr="006701F0">
        <w:rPr>
          <w:rFonts w:ascii="Arial TUR" w:hAnsi="Arial TUR" w:cs="FrankRuehl" w:hint="cs"/>
          <w:color w:val="000000"/>
          <w:sz w:val="22"/>
          <w:szCs w:val="22"/>
          <w:highlight w:val="green"/>
          <w:rtl/>
        </w:rPr>
        <w:t>חוקתיות</w:t>
      </w:r>
      <w:r w:rsidRPr="006701F0">
        <w:rPr>
          <w:rFonts w:ascii="Arial TUR" w:hAnsi="Arial TUR" w:cs="FrankRuehl" w:hint="cs"/>
          <w:color w:val="000000"/>
          <w:spacing w:val="10"/>
          <w:sz w:val="22"/>
          <w:szCs w:val="22"/>
          <w:highlight w:val="green"/>
          <w:rtl/>
        </w:rPr>
        <w:t> הכופרות בסמכותה של הכנסת להעביר לרשות המבצעת (בגדר חוק הנפט) את הסמכות לקבוע הסדרים ראשוניים בנושא משק הגז, וביתר פירוט בנוגע לכללים הנוגעים לייצוא גז טבעי מחוץ לישראל.</w:t>
      </w:r>
      <w:r w:rsidRPr="00EA0619">
        <w:rPr>
          <w:rFonts w:ascii="Arial TUR" w:hAnsi="Arial TUR" w:cs="FrankRuehl" w:hint="cs"/>
          <w:color w:val="000000"/>
          <w:spacing w:val="10"/>
          <w:sz w:val="22"/>
          <w:szCs w:val="22"/>
          <w:rtl/>
        </w:rPr>
        <w:t xml:space="preserve"> טענותיהם היו, כזכור, כי הרשות המבצעת לא הוסמכה, בנסיבות המקרה דנא, לקבל את ההכרעה בעניין מדיניות ייצוא הגז הטבעי. </w:t>
      </w:r>
      <w:r w:rsidRPr="006701F0">
        <w:rPr>
          <w:rFonts w:ascii="Arial TUR" w:hAnsi="Arial TUR" w:cs="FrankRuehl" w:hint="cs"/>
          <w:color w:val="000000"/>
          <w:spacing w:val="10"/>
          <w:sz w:val="22"/>
          <w:szCs w:val="22"/>
          <w:highlight w:val="green"/>
          <w:rtl/>
        </w:rPr>
        <w:t>היינו, טענות העותרים, התמקדו במעמד </w:t>
      </w:r>
      <w:r w:rsidRPr="006701F0">
        <w:rPr>
          <w:rFonts w:ascii="Arial TUR" w:hAnsi="Arial TUR" w:cs="FrankRuehl" w:hint="cs"/>
          <w:color w:val="000000"/>
          <w:sz w:val="22"/>
          <w:szCs w:val="22"/>
          <w:highlight w:val="green"/>
          <w:rtl/>
        </w:rPr>
        <w:t>המינהלי</w:t>
      </w:r>
      <w:r w:rsidRPr="006701F0">
        <w:rPr>
          <w:rFonts w:ascii="Arial TUR" w:hAnsi="Arial TUR" w:cs="FrankRuehl" w:hint="cs"/>
          <w:color w:val="000000"/>
          <w:spacing w:val="10"/>
          <w:sz w:val="22"/>
          <w:szCs w:val="22"/>
          <w:highlight w:val="green"/>
          <w:rtl/>
        </w:rPr>
        <w:t> המוכר של כלל ההסדרים הראשוניים, ולא במעמדו </w:t>
      </w:r>
      <w:r w:rsidRPr="006701F0">
        <w:rPr>
          <w:rFonts w:ascii="Arial TUR" w:hAnsi="Arial TUR" w:cs="FrankRuehl" w:hint="cs"/>
          <w:color w:val="000000"/>
          <w:sz w:val="22"/>
          <w:szCs w:val="22"/>
          <w:highlight w:val="green"/>
          <w:rtl/>
        </w:rPr>
        <w:t>החוקתי</w:t>
      </w:r>
      <w:r w:rsidRPr="006701F0">
        <w:rPr>
          <w:rFonts w:ascii="Arial TUR" w:hAnsi="Arial TUR" w:cs="FrankRuehl" w:hint="cs"/>
          <w:color w:val="000000"/>
          <w:spacing w:val="10"/>
          <w:sz w:val="22"/>
          <w:szCs w:val="22"/>
          <w:highlight w:val="green"/>
          <w:rtl/>
        </w:rPr>
        <w:t> (ככל שקיים)</w:t>
      </w:r>
      <w:r w:rsidRPr="00EA0619">
        <w:rPr>
          <w:rFonts w:ascii="Arial TUR" w:hAnsi="Arial TUR" w:cs="FrankRuehl" w:hint="cs"/>
          <w:color w:val="000000"/>
          <w:spacing w:val="10"/>
          <w:sz w:val="22"/>
          <w:szCs w:val="22"/>
          <w:rtl/>
        </w:rPr>
        <w:t xml:space="preserve">. </w:t>
      </w:r>
      <w:r w:rsidRPr="00EA0619">
        <w:rPr>
          <w:rFonts w:ascii="Arial TUR" w:hAnsi="Arial TUR" w:cs="Arial TUR" w:hint="cs"/>
          <w:color w:val="000000"/>
          <w:spacing w:val="10"/>
          <w:sz w:val="22"/>
          <w:szCs w:val="22"/>
          <w:rtl/>
        </w:rPr>
        <w:t>...</w:t>
      </w:r>
      <w:r w:rsidRPr="00EA0619">
        <w:rPr>
          <w:rFonts w:ascii="Arial TUR" w:hAnsi="Arial TUR" w:cs="FrankRuehl" w:hint="cs"/>
          <w:color w:val="000000"/>
          <w:spacing w:val="10"/>
          <w:sz w:val="22"/>
          <w:szCs w:val="22"/>
          <w:rtl/>
        </w:rPr>
        <w:t>           </w:t>
      </w:r>
      <w:r w:rsidRPr="00EA0619">
        <w:rPr>
          <w:rFonts w:ascii="Arial TUR" w:hAnsi="Arial TUR" w:cs="FrankRuehl" w:hint="cs"/>
          <w:color w:val="000000"/>
          <w:spacing w:val="10"/>
          <w:sz w:val="22"/>
          <w:szCs w:val="22"/>
          <w:highlight w:val="yellow"/>
          <w:rtl/>
        </w:rPr>
        <w:t>מכל מקום, בנסיבות העניין אין צורך להכריע בשאלת עצם קיומו או היעדר קיומו של מעמד חוקתי לכלל ההסדרים הראשוניים, במשפט החוקתי הישראלי. על כן אבהיר שוב, כי אין לראות בדבריי משום הבעת עמדה בסוגיה</w:t>
      </w:r>
      <w:r w:rsidRPr="00EA0619">
        <w:rPr>
          <w:rFonts w:ascii="Arial TUR" w:hAnsi="Arial TUR" w:cs="FrankRuehl" w:hint="cs"/>
          <w:color w:val="000000"/>
          <w:spacing w:val="10"/>
          <w:sz w:val="22"/>
          <w:szCs w:val="22"/>
          <w:rtl/>
        </w:rPr>
        <w:t>.</w:t>
      </w:r>
    </w:p>
    <w:p w:rsidR="005366A8" w:rsidRDefault="005366A8" w:rsidP="005366A8">
      <w:pPr>
        <w:pStyle w:val="PlainText"/>
        <w:bidi/>
        <w:spacing w:before="0" w:beforeAutospacing="0" w:after="60" w:afterAutospacing="0"/>
        <w:jc w:val="both"/>
        <w:rPr>
          <w:rFonts w:ascii="Arial TUR" w:eastAsia="Times New Roman" w:hAnsi="Arial TUR" w:cs="FrankRuehl"/>
          <w:color w:val="000000"/>
          <w:spacing w:val="10"/>
          <w:sz w:val="22"/>
          <w:szCs w:val="22"/>
          <w:rtl/>
        </w:rPr>
      </w:pPr>
      <w:r w:rsidRPr="00EA0619">
        <w:rPr>
          <w:rFonts w:ascii="Arial TUR" w:eastAsia="Times New Roman" w:hAnsi="Arial TUR" w:cs="FrankRuehl" w:hint="cs"/>
          <w:color w:val="000000"/>
          <w:spacing w:val="10"/>
          <w:sz w:val="22"/>
          <w:szCs w:val="22"/>
          <w:rtl/>
        </w:rPr>
        <w:t>26.      סיכומו של הדיון עד עתה: עניינו של כלל ההסדרים הראשוניים הוא בהיקף שיקול הדעת אשר הכנסת הותירה בידי הרשות המבצעת. ההתייחסות לכלל מתמקדת בשאלה האם במקרה מסוים ניתנה לרשות המבצעת </w:t>
      </w:r>
      <w:r w:rsidRPr="00EA0619">
        <w:rPr>
          <w:rFonts w:ascii="Arial TUR" w:eastAsia="Times New Roman" w:hAnsi="Arial TUR" w:cs="Miriam" w:hint="cs"/>
          <w:color w:val="000000"/>
          <w:sz w:val="22"/>
          <w:szCs w:val="22"/>
          <w:rtl/>
        </w:rPr>
        <w:t>הסמכה מפורשת</w:t>
      </w:r>
      <w:r w:rsidRPr="00EA0619">
        <w:rPr>
          <w:rFonts w:ascii="Arial TUR" w:eastAsia="Times New Roman" w:hAnsi="Arial TUR" w:cs="FrankRuehl" w:hint="cs"/>
          <w:color w:val="000000"/>
          <w:spacing w:val="10"/>
          <w:sz w:val="22"/>
          <w:szCs w:val="22"/>
          <w:rtl/>
        </w:rPr>
        <w:t xml:space="preserve"> לקבוע הסדר ראשוני. על בית המשפט מוטל לפעול לפי חזקה פרשנית הגורסת כי אין בכוונתו של המחוקק להסמיך את הרשות המבצעת לקבוע בעצמה הסדרים ראשוניים. ואכן, "חזקה על המחוקק כי בחר להותיר בידיו את הסמכויות הכלליות לקבוע הסדרים ומדיניות והועיד למחוקק המשנה להסדיר את ההיבטים היישומיים..." (פרשת </w:t>
      </w:r>
      <w:r w:rsidRPr="00EA0619">
        <w:rPr>
          <w:rFonts w:ascii="Arial TUR" w:eastAsia="Times New Roman" w:hAnsi="Arial TUR" w:cs="Miriam" w:hint="cs"/>
          <w:color w:val="000000"/>
          <w:sz w:val="22"/>
          <w:szCs w:val="22"/>
          <w:rtl/>
        </w:rPr>
        <w:t>שיח חדש</w:t>
      </w:r>
      <w:r w:rsidRPr="00EA0619">
        <w:rPr>
          <w:rFonts w:ascii="Arial TUR" w:eastAsia="Times New Roman" w:hAnsi="Arial TUR" w:cs="FrankRuehl" w:hint="cs"/>
          <w:color w:val="000000"/>
          <w:spacing w:val="10"/>
          <w:sz w:val="22"/>
          <w:szCs w:val="22"/>
          <w:rtl/>
        </w:rPr>
        <w:t xml:space="preserve"> </w:t>
      </w:r>
      <w:r w:rsidRPr="00EA0619">
        <w:rPr>
          <w:rFonts w:ascii="Arial TUR" w:eastAsia="Times New Roman" w:hAnsi="Arial TUR" w:cs="FrankRuehl" w:hint="cs"/>
          <w:i/>
          <w:iCs/>
          <w:color w:val="000000"/>
          <w:spacing w:val="10"/>
          <w:sz w:val="22"/>
          <w:szCs w:val="22"/>
          <w:rtl/>
        </w:rPr>
        <w:t>(הקשת הדמוקרטית המזרחית)</w:t>
      </w:r>
      <w:r w:rsidRPr="00EA0619">
        <w:rPr>
          <w:rFonts w:ascii="Arial TUR" w:eastAsia="Times New Roman" w:hAnsi="Arial TUR" w:cs="FrankRuehl" w:hint="cs"/>
          <w:color w:val="000000"/>
          <w:spacing w:val="10"/>
          <w:sz w:val="22"/>
          <w:szCs w:val="22"/>
          <w:rtl/>
        </w:rPr>
        <w:t>, בעמ' 56). יחד עם זאת, חזקה זו ניתנת לסתירה (ראו גם </w:t>
      </w:r>
      <w:r w:rsidRPr="00EA0619">
        <w:rPr>
          <w:rFonts w:ascii="Arial TUR" w:eastAsia="Times New Roman" w:hAnsi="Arial TUR" w:cs="Miriam" w:hint="cs"/>
          <w:color w:val="000000"/>
          <w:sz w:val="22"/>
          <w:szCs w:val="22"/>
          <w:rtl/>
        </w:rPr>
        <w:t>שם</w:t>
      </w:r>
      <w:r w:rsidRPr="00EA0619">
        <w:rPr>
          <w:rFonts w:ascii="Arial TUR" w:eastAsia="Times New Roman" w:hAnsi="Arial TUR" w:cs="FrankRuehl" w:hint="cs"/>
          <w:color w:val="000000"/>
          <w:spacing w:val="10"/>
          <w:sz w:val="22"/>
          <w:szCs w:val="22"/>
          <w:rtl/>
        </w:rPr>
        <w:t>, בעמ' 57-56). על מנת להפריך את החזקה, יש להצביע על הסמכה של המחוקק המאפשרת לרשות המבצעת לקבוע הסדר ראשוני בנושא מסוים. בעקבות חקיקת חוקי היסוד בדבר זכויות האדם, נדרשת פרשנות קפדנית לגבי דרישת ההסמכה, שעה שמדובר בהסמכה לקביעת הסדר הפוגע בזכויות יסוד. ככל שעוצמת הפגיעה בזכות רבה יותר, וככל שמצויים אנו קרוב יותר לליבתה של הזכות החוקתית, כך יש לבחון באופן מדוקדק וקפדני את דרישת ההסמכה המפורשת. ודוקו, כפי שיפורט בהמשך, גם כאשר לא נטענת פגיעה בזכויות אדם עדיין קיימת נפקות לכלל ההסדרים הראשוניים. אלא שבמקרה בו לא נטענת פגיעה בזכויות אדם המוגנות בחוקי היסוד, ניתן לבחון את תנאי ההסמכה המפורשת באופן מרוכך יותר. ...</w:t>
      </w:r>
    </w:p>
    <w:p w:rsidR="005366A8" w:rsidRPr="00EA0619" w:rsidRDefault="005366A8" w:rsidP="005366A8">
      <w:pPr>
        <w:pStyle w:val="PlainText"/>
        <w:bidi/>
        <w:spacing w:before="0" w:beforeAutospacing="0" w:after="60" w:afterAutospacing="0"/>
        <w:jc w:val="both"/>
        <w:rPr>
          <w:rFonts w:ascii="Arial TUR" w:eastAsia="Times New Roman" w:hAnsi="Arial TUR" w:cs="FrankRuehl"/>
          <w:color w:val="000000"/>
          <w:spacing w:val="10"/>
          <w:sz w:val="22"/>
          <w:szCs w:val="22"/>
          <w:rtl/>
        </w:rPr>
      </w:pPr>
    </w:p>
    <w:p w:rsidR="005366A8" w:rsidRPr="00F7631E" w:rsidRDefault="005366A8" w:rsidP="005366A8">
      <w:pPr>
        <w:pStyle w:val="PlainText"/>
        <w:bidi/>
        <w:spacing w:before="0" w:beforeAutospacing="0" w:after="60" w:afterAutospacing="0"/>
        <w:jc w:val="both"/>
        <w:rPr>
          <w:rFonts w:ascii="Arial TUR" w:eastAsia="Times New Roman" w:hAnsi="Arial TUR" w:cs="FrankRuehl"/>
          <w:color w:val="000000"/>
          <w:spacing w:val="10"/>
          <w:sz w:val="22"/>
          <w:szCs w:val="22"/>
          <w:rtl/>
        </w:rPr>
      </w:pPr>
      <w:r w:rsidRPr="00F7631E">
        <w:rPr>
          <w:rFonts w:ascii="Arial TUR" w:eastAsia="Times New Roman" w:hAnsi="Arial TUR" w:cs="Miriam" w:hint="cs"/>
          <w:color w:val="000000"/>
          <w:sz w:val="22"/>
          <w:szCs w:val="22"/>
          <w:rtl/>
        </w:rPr>
        <w:t>דרישת ההסמכה המפורשת במקרה דנא</w:t>
      </w:r>
    </w:p>
    <w:p w:rsidR="005366A8" w:rsidRPr="00EA0619" w:rsidRDefault="005366A8" w:rsidP="005366A8">
      <w:pPr>
        <w:spacing w:after="60"/>
        <w:rPr>
          <w:rFonts w:ascii="Arial TUR" w:hAnsi="Arial TUR" w:cs="Arial TUR"/>
          <w:color w:val="000000"/>
          <w:spacing w:val="10"/>
          <w:sz w:val="22"/>
          <w:szCs w:val="22"/>
          <w:rtl/>
        </w:rPr>
      </w:pPr>
      <w:r>
        <w:rPr>
          <w:rFonts w:ascii="Arial TUR" w:hAnsi="Arial TUR" w:cs="FrankRuehl" w:hint="cs"/>
          <w:color w:val="000000"/>
          <w:spacing w:val="10"/>
          <w:sz w:val="22"/>
          <w:szCs w:val="22"/>
          <w:rtl/>
        </w:rPr>
        <w:t>[</w:t>
      </w:r>
      <w:r w:rsidRPr="00EA0619">
        <w:rPr>
          <w:rFonts w:ascii="Arial TUR" w:hAnsi="Arial TUR" w:cs="FrankRuehl" w:hint="cs"/>
          <w:color w:val="000000"/>
          <w:spacing w:val="10"/>
          <w:sz w:val="22"/>
          <w:szCs w:val="22"/>
          <w:rtl/>
        </w:rPr>
        <w:t xml:space="preserve">ההוראה המרכזית אליה היפנתה המדינה, המהווה לגישתה את מקור הסמכות לקבלתה של החלטת הממשלה, הינה זו הקבועה </w:t>
      </w:r>
      <w:r w:rsidRPr="00EA0619">
        <w:rPr>
          <w:rFonts w:ascii="Arial TUR" w:hAnsi="Arial TUR" w:cs="FrankRuehl" w:hint="cs"/>
          <w:color w:val="000000"/>
          <w:spacing w:val="10"/>
          <w:sz w:val="22"/>
          <w:szCs w:val="22"/>
          <w:highlight w:val="yellow"/>
          <w:rtl/>
        </w:rPr>
        <w:t>בסעיף 33 לחוק הנפט</w:t>
      </w:r>
      <w:r w:rsidRPr="00EA0619">
        <w:rPr>
          <w:rFonts w:ascii="Arial TUR" w:hAnsi="Arial TUR" w:cs="FrankRuehl" w:hint="cs"/>
          <w:color w:val="000000"/>
          <w:spacing w:val="10"/>
          <w:sz w:val="22"/>
          <w:szCs w:val="22"/>
          <w:rtl/>
        </w:rPr>
        <w:t>. הסעיף האמור קובע כי - </w:t>
      </w:r>
    </w:p>
    <w:p w:rsidR="005366A8" w:rsidRDefault="005366A8" w:rsidP="005366A8">
      <w:pPr>
        <w:spacing w:after="60"/>
        <w:ind w:left="1642" w:right="1282"/>
        <w:rPr>
          <w:rFonts w:ascii="Arial TUR" w:hAnsi="Arial TUR" w:cs="FrankRuehl"/>
          <w:color w:val="000000"/>
          <w:spacing w:val="10"/>
          <w:sz w:val="22"/>
          <w:szCs w:val="22"/>
          <w:highlight w:val="yellow"/>
          <w:rtl/>
        </w:rPr>
      </w:pPr>
      <w:r w:rsidRPr="00EA0619">
        <w:rPr>
          <w:rFonts w:ascii="Arial TUR" w:hAnsi="Arial TUR" w:cs="FrankRuehl" w:hint="cs"/>
          <w:color w:val="000000"/>
          <w:spacing w:val="10"/>
          <w:sz w:val="22"/>
          <w:szCs w:val="22"/>
          <w:rtl/>
        </w:rPr>
        <w:t>"(א) השר רשאי, לאחר התיעצות עם המועצה, </w:t>
      </w:r>
      <w:r w:rsidRPr="00EA0619">
        <w:rPr>
          <w:rFonts w:ascii="Arial TUR" w:hAnsi="Arial TUR" w:cs="Miriam" w:hint="cs"/>
          <w:color w:val="000000"/>
          <w:sz w:val="22"/>
          <w:szCs w:val="22"/>
          <w:rtl/>
        </w:rPr>
        <w:t>לחייב בעלי חזקות לספק תחילה, במחיר השוק, מן הנפט שהם מפיקים בישראל וממוצרי הנפט שהפיקו ממנו, אותה כמות נפט ומוצרי נפט הדרושים לדעת השר לתצרוכת ישראל</w:t>
      </w:r>
      <w:r w:rsidRPr="00EA0619">
        <w:rPr>
          <w:rFonts w:ascii="Arial TUR" w:hAnsi="Arial TUR" w:cs="FrankRuehl" w:hint="cs"/>
          <w:color w:val="000000"/>
          <w:spacing w:val="10"/>
          <w:sz w:val="22"/>
          <w:szCs w:val="22"/>
          <w:rtl/>
        </w:rPr>
        <w:t>, </w:t>
      </w:r>
      <w:r w:rsidRPr="00EA0619">
        <w:rPr>
          <w:rFonts w:ascii="Arial TUR" w:hAnsi="Arial TUR" w:cs="Miriam" w:hint="cs"/>
          <w:color w:val="000000"/>
          <w:sz w:val="22"/>
          <w:szCs w:val="22"/>
          <w:rtl/>
        </w:rPr>
        <w:t>לזקק אותה בישראל,</w:t>
      </w:r>
      <w:r w:rsidRPr="00EA0619">
        <w:rPr>
          <w:rFonts w:ascii="Arial TUR" w:hAnsi="Arial TUR" w:cs="FrankRuehl" w:hint="cs"/>
          <w:color w:val="000000"/>
          <w:spacing w:val="10"/>
          <w:sz w:val="22"/>
          <w:szCs w:val="22"/>
          <w:rtl/>
        </w:rPr>
        <w:t> במידה שיש להם אמצעי זיקוק, </w:t>
      </w:r>
      <w:r w:rsidRPr="00EA0619">
        <w:rPr>
          <w:rFonts w:ascii="Arial TUR" w:hAnsi="Arial TUR" w:cs="Miriam" w:hint="cs"/>
          <w:color w:val="000000"/>
          <w:sz w:val="22"/>
          <w:szCs w:val="22"/>
          <w:rtl/>
        </w:rPr>
        <w:t>ולמכרה בישראל</w:t>
      </w:r>
      <w:r w:rsidRPr="00EA0619">
        <w:rPr>
          <w:rFonts w:ascii="Arial TUR" w:hAnsi="Arial TUR" w:cs="FrankRuehl" w:hint="cs"/>
          <w:color w:val="000000"/>
          <w:spacing w:val="10"/>
          <w:sz w:val="22"/>
          <w:szCs w:val="22"/>
          <w:rtl/>
        </w:rPr>
        <w:t>; ולשם כך רשאי הוא לחייב בעלי חזקות להפיק נפט מבארותיהם הקיימות בשיעור שיספיק למטרות האמורות, ואולם שום בעל חזקה לא יהא נדרש –</w:t>
      </w:r>
      <w:r w:rsidRPr="00EA0619">
        <w:rPr>
          <w:rFonts w:ascii="Arial TUR" w:hAnsi="Arial TUR" w:cs="Arial TUR" w:hint="cs"/>
          <w:color w:val="000000"/>
          <w:spacing w:val="10"/>
          <w:sz w:val="22"/>
          <w:szCs w:val="22"/>
          <w:rtl/>
        </w:rPr>
        <w:t xml:space="preserve"> [...]</w:t>
      </w:r>
      <w:r>
        <w:rPr>
          <w:rFonts w:ascii="Arial TUR" w:hAnsi="Arial TUR" w:cs="FrankRuehl" w:hint="cs"/>
          <w:color w:val="000000"/>
          <w:spacing w:val="10"/>
          <w:sz w:val="22"/>
          <w:szCs w:val="22"/>
          <w:highlight w:val="yellow"/>
          <w:rtl/>
        </w:rPr>
        <w:t>]</w:t>
      </w:r>
    </w:p>
    <w:p w:rsidR="005366A8" w:rsidRDefault="005366A8" w:rsidP="005366A8">
      <w:pPr>
        <w:spacing w:after="60"/>
        <w:rPr>
          <w:rFonts w:ascii="Arial TUR" w:hAnsi="Arial TUR" w:cs="FrankRuehl"/>
          <w:color w:val="000000"/>
          <w:spacing w:val="10"/>
          <w:sz w:val="22"/>
          <w:szCs w:val="22"/>
          <w:rtl/>
        </w:rPr>
      </w:pPr>
      <w:r>
        <w:rPr>
          <w:rFonts w:ascii="Arial TUR" w:hAnsi="Arial TUR" w:cs="FrankRuehl" w:hint="cs"/>
          <w:color w:val="000000"/>
          <w:spacing w:val="10"/>
          <w:sz w:val="22"/>
          <w:szCs w:val="22"/>
          <w:highlight w:val="yellow"/>
          <w:rtl/>
        </w:rPr>
        <w:t>38.</w:t>
      </w:r>
      <w:r>
        <w:rPr>
          <w:rFonts w:ascii="Arial TUR" w:hAnsi="Arial TUR" w:cs="FrankRuehl" w:hint="cs"/>
          <w:color w:val="000000"/>
          <w:spacing w:val="10"/>
          <w:sz w:val="22"/>
          <w:szCs w:val="22"/>
          <w:highlight w:val="yellow"/>
          <w:rtl/>
        </w:rPr>
        <w:tab/>
        <w:t xml:space="preserve"> </w:t>
      </w:r>
      <w:r w:rsidRPr="00EA0619">
        <w:rPr>
          <w:rFonts w:ascii="Arial TUR" w:hAnsi="Arial TUR" w:cs="FrankRuehl" w:hint="cs"/>
          <w:color w:val="000000"/>
          <w:spacing w:val="10"/>
          <w:sz w:val="22"/>
          <w:szCs w:val="22"/>
          <w:highlight w:val="yellow"/>
          <w:rtl/>
        </w:rPr>
        <w:t>טענתם המרכזית של העותרים הינה, כי יש לפרש את סעיף 33(א) לחוק הנפט כהוראת דין צרת מימדים, המתייחסת אך ורק לסמכותו של השר לקבוע הוראות ביחס למאגר </w:t>
      </w:r>
      <w:r w:rsidRPr="00EA0619">
        <w:rPr>
          <w:rFonts w:ascii="Arial TUR" w:hAnsi="Arial TUR" w:cs="Miriam" w:hint="cs"/>
          <w:color w:val="000000"/>
          <w:sz w:val="22"/>
          <w:szCs w:val="22"/>
          <w:highlight w:val="yellow"/>
          <w:rtl/>
        </w:rPr>
        <w:t>ספציפי</w:t>
      </w:r>
      <w:r w:rsidRPr="00EA0619">
        <w:rPr>
          <w:rFonts w:ascii="Arial TUR" w:hAnsi="Arial TUR" w:cs="FrankRuehl" w:hint="cs"/>
          <w:color w:val="000000"/>
          <w:spacing w:val="10"/>
          <w:sz w:val="22"/>
          <w:szCs w:val="22"/>
          <w:highlight w:val="yellow"/>
          <w:rtl/>
        </w:rPr>
        <w:t> ולבעל חזקה </w:t>
      </w:r>
      <w:r w:rsidRPr="00EA0619">
        <w:rPr>
          <w:rFonts w:ascii="Arial TUR" w:hAnsi="Arial TUR" w:cs="Miriam" w:hint="cs"/>
          <w:color w:val="000000"/>
          <w:sz w:val="22"/>
          <w:szCs w:val="22"/>
          <w:highlight w:val="yellow"/>
          <w:rtl/>
        </w:rPr>
        <w:t>קונקרטי</w:t>
      </w:r>
      <w:r w:rsidRPr="00EA0619">
        <w:rPr>
          <w:rFonts w:ascii="Arial TUR" w:hAnsi="Arial TUR" w:cs="FrankRuehl" w:hint="cs"/>
          <w:color w:val="000000"/>
          <w:spacing w:val="10"/>
          <w:sz w:val="22"/>
          <w:szCs w:val="22"/>
          <w:highlight w:val="yellow"/>
          <w:rtl/>
        </w:rPr>
        <w:t>, בעניין היקף הגז שיהיה עליהם לספק לצרכי המשק הישראלי. במילים אחרות, לטענת העותרים הוראת דין זו אינה מסמיכה את השר, ובוודאי שלא את הממשלה, לקבוע הוראה </w:t>
      </w:r>
      <w:r w:rsidRPr="00EA0619">
        <w:rPr>
          <w:rFonts w:ascii="Arial TUR" w:hAnsi="Arial TUR" w:cs="Miriam" w:hint="cs"/>
          <w:color w:val="000000"/>
          <w:sz w:val="22"/>
          <w:szCs w:val="22"/>
          <w:highlight w:val="yellow"/>
          <w:rtl/>
        </w:rPr>
        <w:t>גורפת</w:t>
      </w:r>
      <w:r w:rsidRPr="00EA0619">
        <w:rPr>
          <w:rFonts w:ascii="Arial TUR" w:hAnsi="Arial TUR" w:cs="FrankRuehl" w:hint="cs"/>
          <w:color w:val="000000"/>
          <w:spacing w:val="10"/>
          <w:sz w:val="22"/>
          <w:szCs w:val="22"/>
          <w:highlight w:val="yellow"/>
          <w:rtl/>
        </w:rPr>
        <w:t> המתייחסת למשק הגז </w:t>
      </w:r>
      <w:r w:rsidRPr="00EA0619">
        <w:rPr>
          <w:rFonts w:ascii="Arial TUR" w:hAnsi="Arial TUR" w:cs="Miriam" w:hint="cs"/>
          <w:color w:val="000000"/>
          <w:sz w:val="22"/>
          <w:szCs w:val="22"/>
          <w:highlight w:val="yellow"/>
          <w:rtl/>
        </w:rPr>
        <w:t>בכללותו</w:t>
      </w:r>
      <w:r w:rsidRPr="00EA0619">
        <w:rPr>
          <w:rFonts w:ascii="Arial TUR" w:hAnsi="Arial TUR" w:cs="FrankRuehl" w:hint="cs"/>
          <w:color w:val="000000"/>
          <w:spacing w:val="10"/>
          <w:sz w:val="22"/>
          <w:szCs w:val="22"/>
          <w:highlight w:val="yellow"/>
          <w:rtl/>
        </w:rPr>
        <w:t> ולעניין היקף הגז </w:t>
      </w:r>
      <w:r w:rsidRPr="00EA0619">
        <w:rPr>
          <w:rFonts w:ascii="Arial TUR" w:hAnsi="Arial TUR" w:cs="Miriam" w:hint="cs"/>
          <w:color w:val="000000"/>
          <w:sz w:val="22"/>
          <w:szCs w:val="22"/>
          <w:highlight w:val="yellow"/>
          <w:rtl/>
        </w:rPr>
        <w:t>הכולל</w:t>
      </w:r>
      <w:r w:rsidRPr="00EA0619">
        <w:rPr>
          <w:rFonts w:ascii="Arial TUR" w:hAnsi="Arial TUR" w:cs="FrankRuehl" w:hint="cs"/>
          <w:color w:val="000000"/>
          <w:spacing w:val="10"/>
          <w:sz w:val="22"/>
          <w:szCs w:val="22"/>
          <w:highlight w:val="yellow"/>
          <w:rtl/>
        </w:rPr>
        <w:t> המותר בייצוא מחוץ לישראל. אין בהוראה, לגישתם, כדי לאפשר קביעת מדיניות כללית בשורה של נושאים הקשורים למשק הגז הטבעי ואין היא יכולה להוות מקור סמכות להתוויית מדיניות ועקרונות יסוד לסוגיית יצוא הגז, בגדר הסדר ראשוני.</w:t>
      </w:r>
      <w:r w:rsidRPr="00EA0619">
        <w:rPr>
          <w:rFonts w:ascii="Arial TUR" w:hAnsi="Arial TUR" w:cs="Arial TUR" w:hint="cs"/>
          <w:color w:val="000000"/>
          <w:spacing w:val="10"/>
          <w:sz w:val="22"/>
          <w:szCs w:val="22"/>
          <w:highlight w:val="yellow"/>
          <w:rtl/>
        </w:rPr>
        <w:t xml:space="preserve"> ...</w:t>
      </w:r>
      <w:r w:rsidRPr="00EA0619">
        <w:rPr>
          <w:rFonts w:ascii="Arial TUR" w:hAnsi="Arial TUR" w:cs="FrankRuehl" w:hint="cs"/>
          <w:color w:val="000000"/>
          <w:spacing w:val="10"/>
          <w:sz w:val="22"/>
          <w:szCs w:val="22"/>
          <w:rtl/>
        </w:rPr>
        <w:t> </w:t>
      </w:r>
    </w:p>
    <w:p w:rsidR="005366A8" w:rsidRDefault="005366A8" w:rsidP="005366A8">
      <w:pPr>
        <w:pStyle w:val="PlainText"/>
        <w:bidi/>
        <w:spacing w:before="0" w:beforeAutospacing="0" w:after="60" w:afterAutospacing="0"/>
        <w:jc w:val="both"/>
        <w:rPr>
          <w:rFonts w:ascii="Arial TUR" w:eastAsia="Times New Roman" w:hAnsi="Arial TUR" w:cs="FrankRuehl"/>
          <w:color w:val="000000"/>
          <w:spacing w:val="10"/>
          <w:sz w:val="22"/>
          <w:szCs w:val="22"/>
          <w:rtl/>
        </w:rPr>
      </w:pPr>
      <w:r>
        <w:rPr>
          <w:rFonts w:ascii="Arial TUR" w:eastAsia="Times New Roman" w:hAnsi="Arial TUR" w:cs="FrankRuehl" w:hint="cs"/>
          <w:color w:val="000000"/>
          <w:spacing w:val="10"/>
          <w:sz w:val="22"/>
          <w:szCs w:val="22"/>
          <w:rtl/>
        </w:rPr>
        <w:t>39.</w:t>
      </w:r>
      <w:r>
        <w:rPr>
          <w:rFonts w:ascii="Arial TUR" w:eastAsia="Times New Roman" w:hAnsi="Arial TUR" w:cs="FrankRuehl" w:hint="cs"/>
          <w:color w:val="000000"/>
          <w:spacing w:val="10"/>
          <w:sz w:val="22"/>
          <w:szCs w:val="22"/>
          <w:rtl/>
        </w:rPr>
        <w:tab/>
      </w:r>
      <w:r w:rsidRPr="00EA0619">
        <w:rPr>
          <w:rFonts w:ascii="Arial TUR" w:eastAsia="Times New Roman" w:hAnsi="Arial TUR" w:cs="FrankRuehl" w:hint="cs"/>
          <w:color w:val="000000"/>
          <w:spacing w:val="10"/>
          <w:sz w:val="22"/>
          <w:szCs w:val="22"/>
          <w:rtl/>
        </w:rPr>
        <w:t>אין בידי לקבל טענה זו. ייתכן שקריאה של סעיף החוק כפשוטו עשויה להוביל למסקנה כי הלשון תומכת, במידת מה, בטענות העותרים (הגם שניתן להגיע למסקנה הפוכה מקריאת לשון החוק). עם זאת, סבורני כי את הוראות האסדרה השונות שבחוק הנפט, כולל לעניין סעיף 33(א) לחוק, יש לפרש, ככלל, באופן המקנה סמכות רחבה לבעלי התפקידים המופקדים על ביצועו. זאת, בשל מאפייניו המיוחדים של משק האנרגיה, ובפרט משק הגז הטבעי; בשל כך שמדובר במשאב טבע מוגבל; נוכח הריכוזיות הרבה המאפיינת את תחום הפקת משאבי הטבע, במיוחד במשק הישראלי שהינו מוגבל בהיקפו; ועל רקע חולשתו היחסית של צרכן הקצה אל מול ספקי הגז הטבעי. בצדק ציין השופט </w:t>
      </w:r>
      <w:r w:rsidRPr="00EA0619">
        <w:rPr>
          <w:rFonts w:ascii="Arial TUR" w:eastAsia="Times New Roman" w:hAnsi="Arial TUR" w:cs="Miriam" w:hint="cs"/>
          <w:color w:val="000000"/>
          <w:sz w:val="22"/>
          <w:szCs w:val="22"/>
          <w:rtl/>
        </w:rPr>
        <w:t>מ' חשין</w:t>
      </w:r>
      <w:r w:rsidRPr="00EA0619">
        <w:rPr>
          <w:rFonts w:ascii="Arial TUR" w:eastAsia="Times New Roman" w:hAnsi="Arial TUR" w:cs="FrankRuehl" w:hint="cs"/>
          <w:color w:val="000000"/>
          <w:spacing w:val="10"/>
          <w:sz w:val="22"/>
          <w:szCs w:val="22"/>
          <w:rtl/>
        </w:rPr>
        <w:t> בעניין </w:t>
      </w:r>
      <w:r w:rsidRPr="00EA0619">
        <w:rPr>
          <w:rFonts w:eastAsia="Times New Roman"/>
          <w:i/>
          <w:iCs/>
          <w:color w:val="000000"/>
          <w:sz w:val="22"/>
          <w:szCs w:val="22"/>
        </w:rPr>
        <w:t>Samedan</w:t>
      </w:r>
      <w:r w:rsidRPr="00EA0619">
        <w:rPr>
          <w:rFonts w:ascii="Arial TUR" w:eastAsia="Times New Roman" w:hAnsi="Arial TUR" w:cs="FrankRuehl" w:hint="cs"/>
          <w:color w:val="000000"/>
          <w:spacing w:val="10"/>
          <w:sz w:val="22"/>
          <w:szCs w:val="22"/>
          <w:rtl/>
        </w:rPr>
        <w:t>, כי על רקע שיקולים אלה התגבשה ההכרה, גם במדינות רבות בעולם, "... כי יש להסדיר ולהכווין את משק הגז, וכי נטל הוא המוטל על השלטון המרכזי לעשות כן לטובת היחיד ולטובת המשק בכללו" (</w:t>
      </w:r>
      <w:r w:rsidRPr="00EA0619">
        <w:rPr>
          <w:rFonts w:ascii="Arial TUR" w:eastAsia="Times New Roman" w:hAnsi="Arial TUR" w:cs="Miriam" w:hint="cs"/>
          <w:color w:val="000000"/>
          <w:sz w:val="22"/>
          <w:szCs w:val="22"/>
          <w:rtl/>
        </w:rPr>
        <w:t>שם</w:t>
      </w:r>
      <w:r w:rsidRPr="00EA0619">
        <w:rPr>
          <w:rFonts w:ascii="Arial TUR" w:eastAsia="Times New Roman" w:hAnsi="Arial TUR" w:cs="FrankRuehl" w:hint="cs"/>
          <w:color w:val="000000"/>
          <w:spacing w:val="10"/>
          <w:sz w:val="22"/>
          <w:szCs w:val="22"/>
          <w:rtl/>
        </w:rPr>
        <w:t>, בעמ' 319). דומני, כי כל אלה מצדיקים מתן פרשנות רחבה לסמכויותיהם של הגורמים השלטוניים האמונים על ביצוע החוק, על מנת שיוכלו לפעול לצורך אסדרת משק הגז באופן התורם לרווחת המדינה והמשק הישראלי, תוך שמירה על כללים של תחרות חופשית. ודוקו, ברור כי גישה פרשנית מרחיבה לבחינת היקף הסמכויות שהוקנו מכוח החוק, אין משמעה כי נתון בידי בעלי הסמכות שיקול דעת בלתי מוגבל. ובמילים אחרות, אפילו מוכנים אנו לצאת מנקודת מוצא פרשנית לפיה חוק הנפט אמור להעניק סמכויות רחבות לרשות המוסמכת, הרי אין בכך כדי ללמד כי ניתן לעשות שימוש שרירותי ולא סביר בסמכויות הרגולטוריות השונות.</w:t>
      </w:r>
    </w:p>
    <w:p w:rsidR="005366A8" w:rsidRPr="005A3D1F" w:rsidRDefault="005366A8" w:rsidP="005366A8">
      <w:pPr>
        <w:pStyle w:val="PlainText"/>
        <w:bidi/>
        <w:spacing w:before="0" w:beforeAutospacing="0" w:after="60" w:afterAutospacing="0"/>
        <w:jc w:val="both"/>
        <w:rPr>
          <w:rFonts w:asciiTheme="majorBidi" w:hAnsiTheme="majorBidi" w:cs="FrankRuehl"/>
          <w:sz w:val="22"/>
          <w:szCs w:val="22"/>
          <w:rtl/>
        </w:rPr>
      </w:pPr>
      <w:r>
        <w:rPr>
          <w:rFonts w:ascii="Arial TUR" w:eastAsia="Times New Roman" w:hAnsi="Arial TUR" w:cs="FrankRuehl" w:hint="cs"/>
          <w:color w:val="000000"/>
          <w:spacing w:val="10"/>
          <w:sz w:val="22"/>
          <w:szCs w:val="22"/>
          <w:rtl/>
        </w:rPr>
        <w:t>[...]</w:t>
      </w:r>
    </w:p>
    <w:p w:rsidR="005366A8" w:rsidRPr="005A3D1F" w:rsidRDefault="005366A8" w:rsidP="005366A8">
      <w:pPr>
        <w:spacing w:after="120"/>
        <w:rPr>
          <w:rFonts w:ascii="Arial TUR" w:hAnsi="Arial TUR" w:cs="Arial TUR"/>
          <w:color w:val="000000"/>
          <w:spacing w:val="10"/>
          <w:sz w:val="22"/>
          <w:szCs w:val="22"/>
          <w:rtl/>
        </w:rPr>
      </w:pPr>
      <w:r w:rsidRPr="005A3D1F">
        <w:rPr>
          <w:rFonts w:ascii="Arial TUR" w:hAnsi="Arial TUR" w:cs="FrankRuehl" w:hint="cs"/>
          <w:color w:val="000000"/>
          <w:spacing w:val="10"/>
          <w:sz w:val="22"/>
          <w:szCs w:val="22"/>
          <w:rtl/>
        </w:rPr>
        <w:t xml:space="preserve">43.      כפי שציינתי, הוראות דין נוספות שנקבעו בחוק הנפט מלמדות אף הן כי הממשלה הוסמכה לקבל את ההחלטה העומדת לביקורת. הוראת דין מרכזית אליה היפנו בעלי הדין בטיעוניהם היא זו הקבועה </w:t>
      </w:r>
      <w:r w:rsidRPr="005A3D1F">
        <w:rPr>
          <w:rFonts w:ascii="Arial TUR" w:hAnsi="Arial TUR" w:cs="FrankRuehl" w:hint="cs"/>
          <w:color w:val="000000"/>
          <w:spacing w:val="10"/>
          <w:sz w:val="22"/>
          <w:szCs w:val="22"/>
          <w:highlight w:val="yellow"/>
          <w:rtl/>
        </w:rPr>
        <w:t>בסעיף 34 לחוק הנפט</w:t>
      </w:r>
      <w:r w:rsidRPr="005A3D1F">
        <w:rPr>
          <w:rFonts w:ascii="Arial TUR" w:hAnsi="Arial TUR" w:cs="FrankRuehl" w:hint="cs"/>
          <w:color w:val="000000"/>
          <w:spacing w:val="10"/>
          <w:sz w:val="22"/>
          <w:szCs w:val="22"/>
          <w:rtl/>
        </w:rPr>
        <w:t>, לפיה: </w:t>
      </w:r>
    </w:p>
    <w:p w:rsidR="005366A8" w:rsidRPr="005A3D1F" w:rsidRDefault="005366A8" w:rsidP="005366A8">
      <w:pPr>
        <w:spacing w:after="120"/>
        <w:ind w:left="1642" w:right="1282"/>
        <w:rPr>
          <w:rFonts w:ascii="Arial TUR" w:hAnsi="Arial TUR" w:cs="Arial TUR"/>
          <w:color w:val="000000"/>
          <w:spacing w:val="10"/>
          <w:sz w:val="22"/>
          <w:szCs w:val="22"/>
          <w:rtl/>
        </w:rPr>
      </w:pPr>
      <w:r w:rsidRPr="005A3D1F">
        <w:rPr>
          <w:rFonts w:ascii="Arial TUR" w:hAnsi="Arial TUR" w:cs="FrankRuehl" w:hint="cs"/>
          <w:color w:val="000000"/>
          <w:spacing w:val="10"/>
          <w:sz w:val="22"/>
          <w:szCs w:val="22"/>
          <w:rtl/>
        </w:rPr>
        <w:t>"בעל חזקה רשאי, בכפוף לתקנות, </w:t>
      </w:r>
      <w:r w:rsidRPr="005A3D1F">
        <w:rPr>
          <w:rFonts w:ascii="Arial TUR" w:hAnsi="Arial TUR" w:cs="Miriam" w:hint="cs"/>
          <w:color w:val="000000"/>
          <w:sz w:val="22"/>
          <w:szCs w:val="22"/>
          <w:rtl/>
        </w:rPr>
        <w:t>לייבא</w:t>
      </w:r>
      <w:r w:rsidRPr="005A3D1F">
        <w:rPr>
          <w:rFonts w:ascii="Arial TUR" w:hAnsi="Arial TUR" w:cs="FrankRuehl" w:hint="cs"/>
          <w:color w:val="000000"/>
          <w:spacing w:val="10"/>
          <w:sz w:val="22"/>
          <w:szCs w:val="22"/>
          <w:rtl/>
        </w:rPr>
        <w:t> נפט ומוצרי נפט לישראל, ורשאי הוא לזקק נפט, בין שהופק בישראל ובין שהובא מחוצה לה, לעבד נפט ומוצרי נפט כאמור, להובילם, </w:t>
      </w:r>
      <w:r w:rsidRPr="005A3D1F">
        <w:rPr>
          <w:rFonts w:ascii="Arial TUR" w:hAnsi="Arial TUR" w:cs="Miriam" w:hint="cs"/>
          <w:color w:val="000000"/>
          <w:sz w:val="22"/>
          <w:szCs w:val="22"/>
          <w:rtl/>
        </w:rPr>
        <w:t>לייצאם</w:t>
      </w:r>
      <w:r w:rsidRPr="005A3D1F">
        <w:rPr>
          <w:rFonts w:ascii="Arial TUR" w:hAnsi="Arial TUR" w:cs="FrankRuehl" w:hint="cs"/>
          <w:color w:val="000000"/>
          <w:spacing w:val="10"/>
          <w:sz w:val="22"/>
          <w:szCs w:val="22"/>
          <w:rtl/>
        </w:rPr>
        <w:t>, ולסחור בהם; ולמטרות אלה רשאי הוא להקים מיתקנים ולעשות שאר סידורים הדרושים לכך". [ההדגשות הוספו – א' ג'] </w:t>
      </w:r>
    </w:p>
    <w:p w:rsidR="005366A8" w:rsidRPr="005A3D1F" w:rsidRDefault="005366A8" w:rsidP="005366A8">
      <w:pPr>
        <w:spacing w:after="120"/>
        <w:rPr>
          <w:rFonts w:ascii="Arial TUR" w:hAnsi="Arial TUR" w:cs="Arial TUR"/>
          <w:color w:val="000000"/>
          <w:spacing w:val="10"/>
          <w:sz w:val="22"/>
          <w:szCs w:val="22"/>
          <w:rtl/>
        </w:rPr>
      </w:pPr>
      <w:r w:rsidRPr="005A3D1F">
        <w:rPr>
          <w:rFonts w:ascii="Arial TUR" w:hAnsi="Arial TUR" w:cs="FrankRuehl" w:hint="cs"/>
          <w:color w:val="000000"/>
          <w:spacing w:val="10"/>
          <w:sz w:val="22"/>
          <w:szCs w:val="22"/>
          <w:rtl/>
        </w:rPr>
        <w:t>           הנה כי כן, בעוד שסעיף 33 לחוק הנפט עניינו בסמכויות מסוימות המאפשרות לחייב בעלי חזקות למכור למשק הישראלי חלק מהנפט המופק על ידם, הרי סעיף 34 לחוק מונה רשימה של זכויות המוקנות לבעל שטר החזקה, בהן האפשרות לייבא נפט ולייצאו. חברות הגז טענו, בהקשר זה, כי סעיף 34 לחוק הנפט, קובע ברירת מחדל של אפשרות לייצוא בלתי מוגבל של נפט ומוצריו, על ידי מי שמחזיק בשטר חזקה. מטעם זה נטען על ידן כי החלטת הממשלה מושא העתירות אינה המקור </w:t>
      </w:r>
      <w:r w:rsidRPr="005A3D1F">
        <w:rPr>
          <w:rFonts w:ascii="Arial TUR" w:hAnsi="Arial TUR" w:cs="Miriam" w:hint="cs"/>
          <w:color w:val="000000"/>
          <w:sz w:val="22"/>
          <w:szCs w:val="22"/>
          <w:rtl/>
        </w:rPr>
        <w:t>המאפשר</w:t>
      </w:r>
      <w:r w:rsidRPr="005A3D1F">
        <w:rPr>
          <w:rFonts w:ascii="Arial TUR" w:hAnsi="Arial TUR" w:cs="FrankRuehl" w:hint="cs"/>
          <w:color w:val="000000"/>
          <w:spacing w:val="10"/>
          <w:sz w:val="22"/>
          <w:szCs w:val="22"/>
          <w:rtl/>
        </w:rPr>
        <w:t> ייצוא של הגז, אלא זה </w:t>
      </w:r>
      <w:r w:rsidRPr="005A3D1F">
        <w:rPr>
          <w:rFonts w:ascii="Arial TUR" w:hAnsi="Arial TUR" w:cs="Miriam" w:hint="cs"/>
          <w:color w:val="000000"/>
          <w:sz w:val="22"/>
          <w:szCs w:val="22"/>
          <w:rtl/>
        </w:rPr>
        <w:t>המגביל</w:t>
      </w:r>
      <w:r w:rsidRPr="005A3D1F">
        <w:rPr>
          <w:rFonts w:ascii="Arial TUR" w:hAnsi="Arial TUR" w:cs="FrankRuehl" w:hint="cs"/>
          <w:color w:val="000000"/>
          <w:spacing w:val="10"/>
          <w:sz w:val="22"/>
          <w:szCs w:val="22"/>
          <w:rtl/>
        </w:rPr>
        <w:t> את אפשרות הייצוא. במילים אחרות, חברות הגז טענו, כי אם בית המשפט יקבע שיש לבטל את החלטת הממשלה מחמת פגם של חוסר סמכות, יוצא מכך שלא תחול עליהן כל מגבלה בנוגע להיקפי הגז המותרים לייצוא. מנגד טענה המדינה, כי גם את סעיף 34 לחוק הנפט יש לקרוא על רקע מכלול הוראות החוק ותכליתו. לגישתה, אגד הזכויות המוקנה לחברות הנפט אינו בלתי מוגבל בהיקפו והוא כפוף לסמכויות רגולציה שהוקנו לגורמים שלטוניים שונים מכוח הוראות החוק. יצוין, כי בניגוד למדינה וחברות הגז, העותרים סבורים כי אין ללמוד מסעיף 34 לחוק הנפט על כך שהממשלה הוסמכה לקבוע הסדרים ראשוניים בנושא משק הגז הטבעי.</w:t>
      </w:r>
    </w:p>
    <w:p w:rsidR="005366A8" w:rsidRDefault="005366A8" w:rsidP="005366A8">
      <w:pPr>
        <w:pStyle w:val="PlainText"/>
        <w:bidi/>
        <w:spacing w:before="0" w:beforeAutospacing="0" w:after="60" w:afterAutospacing="0"/>
        <w:jc w:val="both"/>
        <w:rPr>
          <w:rFonts w:ascii="Arial TUR" w:eastAsia="Times New Roman" w:hAnsi="Arial TUR" w:cs="FrankRuehl"/>
          <w:color w:val="000000"/>
          <w:spacing w:val="10"/>
          <w:rtl/>
        </w:rPr>
      </w:pPr>
      <w:r>
        <w:rPr>
          <w:rFonts w:asciiTheme="majorBidi" w:hAnsiTheme="majorBidi" w:cs="FrankRuehl" w:hint="cs"/>
          <w:sz w:val="22"/>
          <w:szCs w:val="22"/>
          <w:rtl/>
        </w:rPr>
        <w:t>[...]</w:t>
      </w:r>
    </w:p>
    <w:p w:rsidR="005366A8" w:rsidRPr="00EA0619" w:rsidRDefault="005366A8" w:rsidP="005366A8">
      <w:pPr>
        <w:pStyle w:val="PlainText"/>
        <w:bidi/>
        <w:spacing w:before="0" w:beforeAutospacing="0" w:after="60" w:afterAutospacing="0"/>
        <w:jc w:val="both"/>
        <w:rPr>
          <w:rFonts w:asciiTheme="majorBidi" w:hAnsiTheme="majorBidi" w:cs="FrankRuehl"/>
          <w:sz w:val="22"/>
          <w:szCs w:val="22"/>
          <w:rtl/>
        </w:rPr>
      </w:pPr>
      <w:r w:rsidRPr="00EA0619">
        <w:rPr>
          <w:rFonts w:asciiTheme="majorBidi" w:hAnsiTheme="majorBidi" w:cs="FrankRuehl"/>
          <w:sz w:val="22"/>
          <w:szCs w:val="22"/>
          <w:rtl/>
        </w:rPr>
        <w:t xml:space="preserve">…בעוד שעקרון החוקיות עוסק, במובנו הרחב, בשאלת עצם ההסמכה של הרשות, הרי כלל ההסדרים הראשוניים מתמקד באופייה של ההסמכה ובהיקפה, … ראוי כי בית המחוקקים הוא שיקבע את שיקולי המדיניות אשר ינחו את הרשות השלטונית לצורך הפעלת סמכות מסוימת…  הנשיאה ביניש נותרה בדעת מיעוט בפרשת </w:t>
      </w:r>
      <w:r w:rsidRPr="00EA0619">
        <w:rPr>
          <w:rFonts w:asciiTheme="majorBidi" w:hAnsiTheme="majorBidi" w:cs="FrankRuehl"/>
          <w:b/>
          <w:bCs/>
          <w:sz w:val="22"/>
          <w:szCs w:val="22"/>
          <w:rtl/>
        </w:rPr>
        <w:t>המפקד הלאומי</w:t>
      </w:r>
      <w:r w:rsidRPr="00EA0619">
        <w:rPr>
          <w:rFonts w:asciiTheme="majorBidi" w:hAnsiTheme="majorBidi" w:cs="FrankRuehl"/>
          <w:sz w:val="22"/>
          <w:szCs w:val="22"/>
          <w:rtl/>
        </w:rPr>
        <w:t>. אלא שבפסיקה מאוחרת יותר אומצה על ידי בית משפט זה, כהלכה מחייבת, העמדה הקושרת בין טיב ועוצמת הזכות הנפגעת לבין מידת הקפדנות בנוגע לדרישת ההסמכה המפורשת…</w:t>
      </w:r>
    </w:p>
    <w:p w:rsidR="005366A8" w:rsidRPr="00EA0619" w:rsidRDefault="005366A8" w:rsidP="005366A8">
      <w:pPr>
        <w:pStyle w:val="PlainText"/>
        <w:bidi/>
        <w:spacing w:before="0" w:beforeAutospacing="0" w:after="60" w:afterAutospacing="0"/>
        <w:jc w:val="both"/>
        <w:rPr>
          <w:rFonts w:asciiTheme="majorBidi" w:hAnsiTheme="majorBidi" w:cs="FrankRuehl"/>
          <w:sz w:val="22"/>
          <w:szCs w:val="22"/>
          <w:rtl/>
        </w:rPr>
      </w:pPr>
      <w:r w:rsidRPr="00EA0619">
        <w:rPr>
          <w:rFonts w:asciiTheme="majorBidi" w:hAnsiTheme="majorBidi" w:cs="FrankRuehl"/>
          <w:sz w:val="22"/>
          <w:szCs w:val="22"/>
          <w:rtl/>
        </w:rPr>
        <w:t>מלבד שיקולים [של צדק חלוקתי] המתמקדים באינטרסים של הציבור בכללותו, לא הוצגה לפנינו טענה כי החלטת הממשלה עשויה להוביל לפגיעה מסוימת וקונקרטית בזכויות יסוד כלשהן המוגנות בחוקי היסוד בדבר זכויות האדם.…  [ובמצב כזה] מתערערות לפחות חלק מן ההצדקות (אך לא כולן כמובן), המחייבות את הרשות להצביע על הסמכה מפורשת לקביעת הסדרים ראשוניים… עמדה זו מתיישבת עם פסיקתו של בית משפט זה…</w:t>
      </w:r>
    </w:p>
    <w:p w:rsidR="005366A8" w:rsidRPr="00EA0619" w:rsidRDefault="005366A8" w:rsidP="005366A8">
      <w:pPr>
        <w:pStyle w:val="PlainText"/>
        <w:bidi/>
        <w:spacing w:before="0" w:beforeAutospacing="0" w:after="60" w:afterAutospacing="0"/>
        <w:jc w:val="both"/>
        <w:rPr>
          <w:rFonts w:asciiTheme="majorBidi" w:hAnsiTheme="majorBidi" w:cs="FrankRuehl"/>
          <w:sz w:val="22"/>
          <w:szCs w:val="22"/>
          <w:rtl/>
        </w:rPr>
      </w:pPr>
      <w:r w:rsidRPr="00EA0619">
        <w:rPr>
          <w:rFonts w:asciiTheme="majorBidi" w:hAnsiTheme="majorBidi" w:cs="FrankRuehl" w:hint="cs"/>
          <w:sz w:val="22"/>
          <w:szCs w:val="22"/>
          <w:rtl/>
        </w:rPr>
        <w:t>...</w:t>
      </w:r>
    </w:p>
    <w:p w:rsidR="005366A8" w:rsidRPr="00EA0619" w:rsidRDefault="005366A8" w:rsidP="005366A8">
      <w:pPr>
        <w:pStyle w:val="PlainText"/>
        <w:bidi/>
        <w:spacing w:before="0" w:beforeAutospacing="0" w:after="60" w:afterAutospacing="0"/>
        <w:jc w:val="both"/>
        <w:rPr>
          <w:rFonts w:asciiTheme="majorBidi" w:hAnsiTheme="majorBidi" w:cs="FrankRuehl"/>
          <w:sz w:val="22"/>
          <w:szCs w:val="22"/>
          <w:rtl/>
        </w:rPr>
      </w:pPr>
      <w:r w:rsidRPr="00EA0619">
        <w:rPr>
          <w:rFonts w:asciiTheme="majorBidi" w:hAnsiTheme="majorBidi" w:cs="FrankRuehl"/>
          <w:sz w:val="22"/>
          <w:szCs w:val="22"/>
          <w:rtl/>
        </w:rPr>
        <w:t xml:space="preserve">מובן, עם זאת, כי </w:t>
      </w:r>
      <w:r w:rsidRPr="00EA0619">
        <w:rPr>
          <w:rFonts w:asciiTheme="majorBidi" w:hAnsiTheme="majorBidi" w:cs="FrankRuehl"/>
          <w:sz w:val="22"/>
          <w:szCs w:val="22"/>
          <w:u w:val="single"/>
          <w:rtl/>
        </w:rPr>
        <w:t>אין בכך כדי ללמד כי יש לוותר כליל על דרישת ההסמכה המפורשת</w:t>
      </w:r>
      <w:r w:rsidRPr="00EA0619">
        <w:rPr>
          <w:rFonts w:asciiTheme="majorBidi" w:hAnsiTheme="majorBidi" w:cs="FrankRuehl"/>
          <w:sz w:val="22"/>
          <w:szCs w:val="22"/>
          <w:rtl/>
        </w:rPr>
        <w:t xml:space="preserve"> כל אימת שלא מושמעת טענה כי החלטה של רשות שלטונית, הקובעת הסדר ראשוני, פוגעת בזכויות יסוד… אין זה אפשרי להתוות בגדר הדיון הנוכחי קו גבול מדויק לגבי השאלה מתי ההסמכה בחוק תהא מפורשת דיה באופן המאפשר לרשות המבצעת לקבוע הסדר ראשוני אשר אין בו פגיעה בזכויות יסוד [אבל] ניתן להסתפק בדרישה מרוככת יותר … </w:t>
      </w:r>
    </w:p>
    <w:p w:rsidR="005366A8" w:rsidRPr="00EA0619" w:rsidRDefault="005366A8" w:rsidP="005366A8">
      <w:pPr>
        <w:pStyle w:val="PlainText"/>
        <w:bidi/>
        <w:spacing w:before="0" w:beforeAutospacing="0" w:after="60" w:afterAutospacing="0"/>
        <w:jc w:val="both"/>
        <w:rPr>
          <w:rFonts w:asciiTheme="majorBidi" w:hAnsiTheme="majorBidi" w:cs="FrankRuehl"/>
          <w:sz w:val="22"/>
          <w:szCs w:val="22"/>
          <w:rtl/>
        </w:rPr>
      </w:pPr>
      <w:r w:rsidRPr="00EA0619">
        <w:rPr>
          <w:rFonts w:asciiTheme="majorBidi" w:hAnsiTheme="majorBidi" w:cs="FrankRuehl"/>
          <w:sz w:val="22"/>
          <w:szCs w:val="22"/>
          <w:rtl/>
        </w:rPr>
        <w:t xml:space="preserve">להסתייע בתבחין מסוים לצורך קביעת מידת ההקפדה על דרישת ההסמכה המפורשת… </w:t>
      </w:r>
      <w:r w:rsidRPr="00EA0619">
        <w:rPr>
          <w:rFonts w:asciiTheme="majorBidi" w:hAnsiTheme="majorBidi" w:cs="FrankRuehl"/>
          <w:sz w:val="22"/>
          <w:szCs w:val="22"/>
          <w:highlight w:val="yellow"/>
          <w:rtl/>
        </w:rPr>
        <w:t xml:space="preserve">ככל שההחלטה מובילה לצריכה מוגבלת יחסית והדרגתית של המשאב, </w:t>
      </w:r>
      <w:r w:rsidRPr="00EA0619">
        <w:rPr>
          <w:rFonts w:asciiTheme="majorBidi" w:hAnsiTheme="majorBidi" w:cs="FrankRuehl"/>
          <w:sz w:val="22"/>
          <w:szCs w:val="22"/>
          <w:highlight w:val="yellow"/>
          <w:u w:val="single"/>
          <w:rtl/>
        </w:rPr>
        <w:t>בלא שזו גוררת אחריה מיצוי מיידי ומלא של המשאב</w:t>
      </w:r>
      <w:r w:rsidRPr="00EA0619">
        <w:rPr>
          <w:rFonts w:asciiTheme="majorBidi" w:hAnsiTheme="majorBidi" w:cs="FrankRuehl"/>
          <w:sz w:val="22"/>
          <w:szCs w:val="22"/>
          <w:highlight w:val="yellow"/>
          <w:rtl/>
        </w:rPr>
        <w:t xml:space="preserve">, הרי ניתן להניח כי ההחלטה תהא </w:t>
      </w:r>
      <w:r w:rsidRPr="00EA0619">
        <w:rPr>
          <w:rFonts w:asciiTheme="majorBidi" w:hAnsiTheme="majorBidi" w:cs="FrankRuehl"/>
          <w:sz w:val="22"/>
          <w:szCs w:val="22"/>
          <w:highlight w:val="yellow"/>
          <w:u w:val="single"/>
          <w:rtl/>
        </w:rPr>
        <w:t>ניתנת לשינוי בעתיד</w:t>
      </w:r>
      <w:r w:rsidRPr="00EA0619">
        <w:rPr>
          <w:rFonts w:asciiTheme="majorBidi" w:hAnsiTheme="majorBidi" w:cs="FrankRuehl"/>
          <w:sz w:val="22"/>
          <w:szCs w:val="22"/>
          <w:highlight w:val="yellow"/>
          <w:rtl/>
        </w:rPr>
        <w:t xml:space="preserve"> בשל סיבות מסיבות שונות…</w:t>
      </w:r>
    </w:p>
    <w:p w:rsidR="005366A8" w:rsidRPr="00EA0619" w:rsidRDefault="005366A8" w:rsidP="005366A8">
      <w:pPr>
        <w:pStyle w:val="PlainText"/>
        <w:bidi/>
        <w:spacing w:before="0" w:beforeAutospacing="0" w:after="60" w:afterAutospacing="0"/>
        <w:jc w:val="both"/>
        <w:rPr>
          <w:rFonts w:asciiTheme="majorBidi" w:hAnsiTheme="majorBidi" w:cs="FrankRuehl"/>
          <w:sz w:val="22"/>
          <w:szCs w:val="22"/>
          <w:rtl/>
        </w:rPr>
      </w:pPr>
      <w:r w:rsidRPr="00EA0619">
        <w:rPr>
          <w:rFonts w:asciiTheme="majorBidi" w:hAnsiTheme="majorBidi" w:cs="FrankRuehl"/>
          <w:sz w:val="22"/>
          <w:szCs w:val="22"/>
          <w:rtl/>
        </w:rPr>
        <w:t xml:space="preserve">"טעם נוסף המצדיק את דחיית העתירה … </w:t>
      </w:r>
      <w:r w:rsidRPr="00EA0619">
        <w:rPr>
          <w:rFonts w:asciiTheme="majorBidi" w:hAnsiTheme="majorBidi" w:cs="FrankRuehl"/>
          <w:sz w:val="22"/>
          <w:szCs w:val="22"/>
          <w:u w:val="single"/>
          <w:rtl/>
        </w:rPr>
        <w:t>סוג הסעד</w:t>
      </w:r>
      <w:r w:rsidRPr="00EA0619">
        <w:rPr>
          <w:rFonts w:asciiTheme="majorBidi" w:hAnsiTheme="majorBidi" w:cs="FrankRuehl"/>
          <w:sz w:val="22"/>
          <w:szCs w:val="22"/>
          <w:rtl/>
        </w:rPr>
        <w:t xml:space="preserve"> שנתבקש בה… לא ביקשו סעד המורה על ביטול החלטת הממשלה [אלא] לפעול לחקיקת חוק המסדיר את משק הגז, הא ותו לא. סעד זה אינו ממין הסעדים שבית משפט זה נוהג ליתן, והוא מצדיק כשלעצמו את דחיית העתירה. </w:t>
      </w:r>
      <w:r w:rsidRPr="00EA0619">
        <w:rPr>
          <w:rFonts w:asciiTheme="majorBidi" w:hAnsiTheme="majorBidi" w:cs="FrankRuehl"/>
          <w:sz w:val="22"/>
          <w:szCs w:val="22"/>
          <w:u w:val="single"/>
          <w:rtl/>
        </w:rPr>
        <w:t>אין זה מתפקידו של בית המשפט הגבוה לצדק להורות לממשלה או לכנסת לפעול לצורך חקיקתה</w:t>
      </w:r>
      <w:r w:rsidRPr="00EA0619">
        <w:rPr>
          <w:rFonts w:asciiTheme="majorBidi" w:hAnsiTheme="majorBidi" w:cs="FrankRuehl"/>
          <w:sz w:val="22"/>
          <w:szCs w:val="22"/>
          <w:rtl/>
        </w:rPr>
        <w:t xml:space="preserve"> של חקיקה ראשית של הכנסת.</w:t>
      </w:r>
    </w:p>
    <w:p w:rsidR="005366A8" w:rsidRPr="00EA0619" w:rsidRDefault="005366A8" w:rsidP="005366A8">
      <w:pPr>
        <w:pStyle w:val="PlainText"/>
        <w:bidi/>
        <w:spacing w:before="0" w:beforeAutospacing="0" w:after="60" w:afterAutospacing="0"/>
        <w:rPr>
          <w:rFonts w:asciiTheme="majorBidi" w:hAnsiTheme="majorBidi" w:cstheme="majorBidi"/>
          <w:sz w:val="22"/>
          <w:szCs w:val="22"/>
          <w:rtl/>
        </w:rPr>
      </w:pPr>
      <w:r w:rsidRPr="00EA0619">
        <w:rPr>
          <w:rFonts w:asciiTheme="majorBidi" w:hAnsiTheme="majorBidi" w:cstheme="majorBidi"/>
          <w:sz w:val="22"/>
          <w:szCs w:val="22"/>
          <w:rtl/>
        </w:rPr>
        <w:t> </w:t>
      </w:r>
    </w:p>
    <w:p w:rsidR="005366A8" w:rsidRDefault="005366A8" w:rsidP="005366A8">
      <w:pPr>
        <w:pStyle w:val="PlainText"/>
        <w:bidi/>
        <w:spacing w:before="0" w:beforeAutospacing="0" w:after="60" w:afterAutospacing="0"/>
        <w:rPr>
          <w:rFonts w:asciiTheme="majorBidi" w:hAnsiTheme="majorBidi" w:cstheme="majorBidi"/>
          <w:sz w:val="23"/>
          <w:szCs w:val="23"/>
          <w:rtl/>
        </w:rPr>
      </w:pPr>
      <w:r w:rsidRPr="00F056DD">
        <w:rPr>
          <w:rFonts w:asciiTheme="majorBidi" w:hAnsiTheme="majorBidi" w:cstheme="majorBidi"/>
          <w:sz w:val="23"/>
          <w:szCs w:val="23"/>
          <w:rtl/>
        </w:rPr>
        <w:t xml:space="preserve">לבסוף הביע </w:t>
      </w:r>
      <w:r w:rsidRPr="00F056DD">
        <w:rPr>
          <w:rFonts w:asciiTheme="majorBidi" w:hAnsiTheme="majorBidi" w:cstheme="majorBidi"/>
          <w:b/>
          <w:bCs/>
          <w:sz w:val="23"/>
          <w:szCs w:val="23"/>
          <w:rtl/>
        </w:rPr>
        <w:t>הנשיא</w:t>
      </w:r>
      <w:r w:rsidRPr="00F056DD">
        <w:rPr>
          <w:rFonts w:asciiTheme="majorBidi" w:hAnsiTheme="majorBidi" w:cstheme="majorBidi"/>
          <w:sz w:val="23"/>
          <w:szCs w:val="23"/>
          <w:rtl/>
        </w:rPr>
        <w:t xml:space="preserve"> </w:t>
      </w:r>
      <w:r w:rsidRPr="00945E12">
        <w:rPr>
          <w:rFonts w:asciiTheme="majorBidi" w:hAnsiTheme="majorBidi" w:cstheme="majorBidi"/>
          <w:sz w:val="23"/>
          <w:szCs w:val="23"/>
          <w:u w:val="single"/>
          <w:rtl/>
        </w:rPr>
        <w:t>דאגה</w:t>
      </w:r>
      <w:r w:rsidRPr="00F056DD">
        <w:rPr>
          <w:rFonts w:asciiTheme="majorBidi" w:hAnsiTheme="majorBidi" w:cstheme="majorBidi"/>
          <w:sz w:val="23"/>
          <w:szCs w:val="23"/>
          <w:rtl/>
        </w:rPr>
        <w:t xml:space="preserve"> לנוכח</w:t>
      </w:r>
      <w:r>
        <w:rPr>
          <w:rFonts w:asciiTheme="majorBidi" w:hAnsiTheme="majorBidi" w:cstheme="majorBidi" w:hint="cs"/>
          <w:sz w:val="23"/>
          <w:szCs w:val="23"/>
          <w:rtl/>
        </w:rPr>
        <w:t>:</w:t>
      </w:r>
      <w:r w:rsidRPr="00F056DD">
        <w:rPr>
          <w:rFonts w:asciiTheme="majorBidi" w:hAnsiTheme="majorBidi" w:cstheme="majorBidi"/>
          <w:sz w:val="23"/>
          <w:szCs w:val="23"/>
          <w:rtl/>
        </w:rPr>
        <w:t xml:space="preserve"> </w:t>
      </w:r>
    </w:p>
    <w:p w:rsidR="005366A8" w:rsidRPr="00EA0619" w:rsidRDefault="005366A8" w:rsidP="005366A8">
      <w:pPr>
        <w:pStyle w:val="PlainText"/>
        <w:bidi/>
        <w:spacing w:before="0" w:beforeAutospacing="0" w:after="60" w:afterAutospacing="0"/>
        <w:jc w:val="both"/>
        <w:rPr>
          <w:rFonts w:asciiTheme="majorBidi" w:hAnsiTheme="majorBidi" w:cs="FrankRuehl"/>
          <w:sz w:val="22"/>
          <w:szCs w:val="22"/>
          <w:rtl/>
        </w:rPr>
      </w:pPr>
      <w:r w:rsidRPr="00EA0619">
        <w:rPr>
          <w:rFonts w:asciiTheme="majorBidi" w:hAnsiTheme="majorBidi" w:cs="FrankRuehl"/>
          <w:sz w:val="22"/>
          <w:szCs w:val="22"/>
          <w:rtl/>
        </w:rPr>
        <w:t>"</w:t>
      </w:r>
      <w:r w:rsidRPr="00EA0619">
        <w:rPr>
          <w:rFonts w:asciiTheme="majorBidi" w:hAnsiTheme="majorBidi" w:cs="FrankRuehl"/>
          <w:sz w:val="22"/>
          <w:szCs w:val="22"/>
          <w:u w:val="single"/>
          <w:rtl/>
        </w:rPr>
        <w:t>עלייה משמעותית בהיקף העתירות המוגשות לבית המשפט על ידי סיעות</w:t>
      </w:r>
      <w:r w:rsidRPr="00EA0619">
        <w:rPr>
          <w:rFonts w:asciiTheme="majorBidi" w:hAnsiTheme="majorBidi" w:cs="FrankRuehl"/>
          <w:sz w:val="22"/>
          <w:szCs w:val="22"/>
          <w:rtl/>
        </w:rPr>
        <w:t xml:space="preserve"> של הכנסת ועל ידי חברי כנסת… ברור, כי קיים קשר בין תופעה זו להרחבתה הכללית של זכות העמידה בבית המשפט הגבוה לצדק… עתירות ציבוריות של חברי כנסת מוגשות לעתים על חשבון דיון ציבורי מקיף בהליכים הפנים-</w:t>
      </w:r>
      <w:r w:rsidRPr="00EA0619">
        <w:rPr>
          <w:rStyle w:val="spelle"/>
          <w:rFonts w:asciiTheme="majorBidi" w:hAnsiTheme="majorBidi" w:cs="FrankRuehl"/>
          <w:sz w:val="22"/>
          <w:szCs w:val="22"/>
          <w:rtl/>
        </w:rPr>
        <w:t>פרלמנטריים</w:t>
      </w:r>
      <w:r w:rsidRPr="00EA0619">
        <w:rPr>
          <w:rFonts w:asciiTheme="majorBidi" w:hAnsiTheme="majorBidi" w:cs="FrankRuehl"/>
          <w:sz w:val="22"/>
          <w:szCs w:val="22"/>
          <w:rtl/>
        </w:rPr>
        <w:t xml:space="preserve">, מה שגורר אחריו, לא אחת, פגיעה במעמדה של הכנסת. </w:t>
      </w:r>
    </w:p>
    <w:p w:rsidR="005366A8" w:rsidRPr="00341D39" w:rsidRDefault="005366A8" w:rsidP="005366A8">
      <w:pPr>
        <w:spacing w:after="120"/>
        <w:rPr>
          <w:rFonts w:ascii="Arial TUR" w:hAnsi="Arial TUR" w:cs="Arial TUR"/>
          <w:color w:val="000000"/>
          <w:spacing w:val="10"/>
          <w:sz w:val="22"/>
          <w:szCs w:val="22"/>
          <w:rtl/>
        </w:rPr>
      </w:pPr>
    </w:p>
    <w:p w:rsidR="005366A8" w:rsidRPr="00341D39" w:rsidRDefault="005366A8" w:rsidP="005366A8">
      <w:pPr>
        <w:spacing w:after="120"/>
        <w:rPr>
          <w:rFonts w:ascii="Arial TUR" w:hAnsi="Arial TUR" w:cs="Arial TUR"/>
          <w:color w:val="000000"/>
          <w:spacing w:val="10"/>
          <w:sz w:val="22"/>
          <w:szCs w:val="22"/>
          <w:rtl/>
        </w:rPr>
      </w:pPr>
      <w:r w:rsidRPr="00341D39">
        <w:rPr>
          <w:rFonts w:ascii="Arial TUR" w:hAnsi="Arial TUR" w:cs="FrankRuehl" w:hint="cs"/>
          <w:color w:val="000000"/>
          <w:spacing w:val="10"/>
          <w:sz w:val="22"/>
          <w:szCs w:val="22"/>
          <w:rtl/>
        </w:rPr>
        <w:t>51.      אכן, ייתכן מאוד שראוי שהסוגיה שהוסדרה על ידי הממשלה הייתה מעוגנת לפרטיה בחקיקה ראשית של הכנסת, כפי שסברו שישים חברי הכנסת שחתמו על המכתב שנשלח לראש הממשלה. עם זאת, משנמצא כי לא נפל פגם של חוסר סמכות או פגם אחר בהחלטת הממשלה, הרי לא קמה עילה משפטית להתערב בהחלטתה של הרשות המבצעת.</w:t>
      </w:r>
    </w:p>
    <w:p w:rsidR="005366A8" w:rsidRPr="00341D39" w:rsidRDefault="005366A8" w:rsidP="005366A8">
      <w:pPr>
        <w:pStyle w:val="PlainText"/>
        <w:bidi/>
        <w:spacing w:before="0" w:beforeAutospacing="0" w:after="60" w:afterAutospacing="0"/>
        <w:rPr>
          <w:rFonts w:asciiTheme="majorBidi" w:hAnsiTheme="majorBidi" w:cstheme="majorBidi"/>
          <w:sz w:val="22"/>
          <w:szCs w:val="22"/>
          <w:rtl/>
        </w:rPr>
      </w:pPr>
      <w:r w:rsidRPr="00341D39">
        <w:rPr>
          <w:rFonts w:asciiTheme="majorBidi" w:hAnsiTheme="majorBidi" w:cstheme="majorBidi"/>
          <w:sz w:val="22"/>
          <w:szCs w:val="22"/>
          <w:rtl/>
        </w:rPr>
        <w:t> </w:t>
      </w:r>
    </w:p>
    <w:p w:rsidR="005366A8" w:rsidRPr="00EA0619" w:rsidRDefault="005366A8" w:rsidP="005366A8">
      <w:pPr>
        <w:pStyle w:val="PlainText"/>
        <w:bidi/>
        <w:spacing w:before="0" w:beforeAutospacing="0" w:after="60" w:afterAutospacing="0"/>
        <w:rPr>
          <w:rFonts w:asciiTheme="majorBidi" w:hAnsiTheme="majorBidi" w:cstheme="majorBidi"/>
          <w:sz w:val="22"/>
          <w:szCs w:val="22"/>
          <w:rtl/>
        </w:rPr>
      </w:pPr>
      <w:r w:rsidRPr="00341D39">
        <w:rPr>
          <w:rFonts w:asciiTheme="majorBidi" w:hAnsiTheme="majorBidi" w:cstheme="majorBidi"/>
          <w:sz w:val="22"/>
          <w:szCs w:val="22"/>
          <w:u w:val="single"/>
          <w:rtl/>
        </w:rPr>
        <w:t xml:space="preserve">השופט </w:t>
      </w:r>
      <w:r w:rsidRPr="00341D39">
        <w:rPr>
          <w:rStyle w:val="spelle"/>
          <w:rFonts w:asciiTheme="majorBidi" w:hAnsiTheme="majorBidi" w:cstheme="majorBidi"/>
          <w:b/>
          <w:bCs/>
          <w:sz w:val="22"/>
          <w:szCs w:val="22"/>
          <w:u w:val="single"/>
          <w:rtl/>
        </w:rPr>
        <w:t>סולברג</w:t>
      </w:r>
      <w:r w:rsidRPr="00EA0619">
        <w:rPr>
          <w:rFonts w:asciiTheme="majorBidi" w:hAnsiTheme="majorBidi" w:cstheme="majorBidi"/>
          <w:sz w:val="22"/>
          <w:szCs w:val="22"/>
          <w:rtl/>
        </w:rPr>
        <w:t xml:space="preserve"> </w:t>
      </w:r>
      <w:r>
        <w:rPr>
          <w:rFonts w:asciiTheme="majorBidi" w:hAnsiTheme="majorBidi" w:cstheme="majorBidi" w:hint="cs"/>
          <w:sz w:val="22"/>
          <w:szCs w:val="22"/>
          <w:rtl/>
        </w:rPr>
        <w:t xml:space="preserve">(משופטי הרוב) </w:t>
      </w:r>
      <w:r w:rsidRPr="00EA0619">
        <w:rPr>
          <w:rFonts w:asciiTheme="majorBidi" w:hAnsiTheme="majorBidi" w:cstheme="majorBidi"/>
          <w:sz w:val="22"/>
          <w:szCs w:val="22"/>
          <w:rtl/>
        </w:rPr>
        <w:t xml:space="preserve">הוסיף טעמים פרשניים הנסמכים על דברים שנאמרו בכנסת במהלך הדיונים על חקיקתו של חוק הנפט, בשנת 1952. השופט רובינשטיין עמד </w:t>
      </w:r>
      <w:r>
        <w:rPr>
          <w:rFonts w:asciiTheme="majorBidi" w:hAnsiTheme="majorBidi" w:cstheme="majorBidi" w:hint="cs"/>
          <w:sz w:val="22"/>
          <w:szCs w:val="22"/>
          <w:rtl/>
        </w:rPr>
        <w:t xml:space="preserve">מנגד </w:t>
      </w:r>
      <w:r w:rsidRPr="00EA0619">
        <w:rPr>
          <w:rFonts w:asciiTheme="majorBidi" w:hAnsiTheme="majorBidi" w:cstheme="majorBidi"/>
          <w:sz w:val="22"/>
          <w:szCs w:val="22"/>
          <w:rtl/>
        </w:rPr>
        <w:t>על שינוי הנסיבות המשמעותי שחל מאז החקיקה ושמקשה על מתן משקל לדברים אלו.</w:t>
      </w:r>
    </w:p>
    <w:p w:rsidR="005366A8" w:rsidRPr="00EA0619" w:rsidRDefault="005366A8" w:rsidP="005366A8">
      <w:pPr>
        <w:pStyle w:val="PlainText"/>
        <w:bidi/>
        <w:spacing w:before="0" w:beforeAutospacing="0" w:after="60" w:afterAutospacing="0"/>
        <w:rPr>
          <w:rFonts w:asciiTheme="majorBidi" w:hAnsiTheme="majorBidi" w:cstheme="majorBidi"/>
          <w:sz w:val="22"/>
          <w:szCs w:val="22"/>
          <w:rtl/>
        </w:rPr>
      </w:pPr>
      <w:r w:rsidRPr="00EA0619">
        <w:rPr>
          <w:rFonts w:asciiTheme="majorBidi" w:hAnsiTheme="majorBidi" w:cstheme="majorBidi"/>
          <w:sz w:val="22"/>
          <w:szCs w:val="22"/>
          <w:rtl/>
        </w:rPr>
        <w:t> </w:t>
      </w:r>
    </w:p>
    <w:p w:rsidR="005366A8" w:rsidRPr="00EA0619" w:rsidRDefault="005366A8" w:rsidP="005366A8">
      <w:pPr>
        <w:pStyle w:val="PlainText"/>
        <w:bidi/>
        <w:spacing w:before="0" w:beforeAutospacing="0" w:after="60" w:afterAutospacing="0"/>
        <w:rPr>
          <w:rFonts w:asciiTheme="majorBidi" w:hAnsiTheme="majorBidi" w:cstheme="majorBidi"/>
          <w:sz w:val="22"/>
          <w:szCs w:val="22"/>
          <w:rtl/>
        </w:rPr>
      </w:pPr>
      <w:r w:rsidRPr="00EA0619">
        <w:rPr>
          <w:rFonts w:asciiTheme="majorBidi" w:hAnsiTheme="majorBidi" w:cstheme="majorBidi"/>
          <w:sz w:val="22"/>
          <w:szCs w:val="22"/>
          <w:rtl/>
        </w:rPr>
        <w:t xml:space="preserve">דעת מיעוט, </w:t>
      </w:r>
      <w:r w:rsidRPr="00341D39">
        <w:rPr>
          <w:rFonts w:asciiTheme="majorBidi" w:hAnsiTheme="majorBidi" w:cstheme="majorBidi"/>
          <w:sz w:val="22"/>
          <w:szCs w:val="22"/>
          <w:u w:val="single"/>
          <w:rtl/>
        </w:rPr>
        <w:t xml:space="preserve">השופט </w:t>
      </w:r>
      <w:r w:rsidRPr="00341D39">
        <w:rPr>
          <w:rFonts w:asciiTheme="majorBidi" w:hAnsiTheme="majorBidi" w:cstheme="majorBidi"/>
          <w:b/>
          <w:bCs/>
          <w:sz w:val="22"/>
          <w:szCs w:val="22"/>
          <w:u w:val="single"/>
          <w:rtl/>
        </w:rPr>
        <w:t>ג'ובראן</w:t>
      </w:r>
      <w:r w:rsidRPr="00EA0619">
        <w:rPr>
          <w:rFonts w:asciiTheme="majorBidi" w:hAnsiTheme="majorBidi" w:cstheme="majorBidi"/>
          <w:sz w:val="22"/>
          <w:szCs w:val="22"/>
          <w:rtl/>
        </w:rPr>
        <w:t xml:space="preserve">: </w:t>
      </w:r>
    </w:p>
    <w:p w:rsidR="005366A8" w:rsidRPr="006701F0" w:rsidRDefault="005366A8" w:rsidP="005366A8">
      <w:pPr>
        <w:pStyle w:val="PlainText"/>
        <w:bidi/>
        <w:spacing w:before="0" w:beforeAutospacing="0" w:after="60" w:afterAutospacing="0"/>
        <w:rPr>
          <w:rFonts w:asciiTheme="majorBidi" w:hAnsiTheme="majorBidi" w:cs="FrankRuehl"/>
          <w:sz w:val="22"/>
          <w:szCs w:val="22"/>
          <w:rtl/>
        </w:rPr>
      </w:pPr>
      <w:r w:rsidRPr="006701F0">
        <w:rPr>
          <w:rFonts w:asciiTheme="majorBidi" w:hAnsiTheme="majorBidi" w:cs="FrankRuehl"/>
          <w:sz w:val="22"/>
          <w:szCs w:val="22"/>
          <w:rtl/>
        </w:rPr>
        <w:t xml:space="preserve">בעניין </w:t>
      </w:r>
      <w:r w:rsidRPr="006701F0">
        <w:rPr>
          <w:rStyle w:val="spelle"/>
          <w:rFonts w:asciiTheme="majorBidi" w:hAnsiTheme="majorBidi" w:cs="FrankRuehl"/>
          <w:sz w:val="22"/>
          <w:szCs w:val="22"/>
          <w:rtl/>
        </w:rPr>
        <w:t>עד</w:t>
      </w:r>
      <w:r w:rsidRPr="006701F0">
        <w:rPr>
          <w:rStyle w:val="spelle"/>
          <w:rFonts w:asciiTheme="majorBidi" w:hAnsiTheme="majorBidi" w:cs="FrankRuehl" w:hint="cs"/>
          <w:sz w:val="22"/>
          <w:szCs w:val="22"/>
          <w:rtl/>
        </w:rPr>
        <w:t>א</w:t>
      </w:r>
      <w:r w:rsidRPr="006701F0">
        <w:rPr>
          <w:rStyle w:val="spelle"/>
          <w:rFonts w:asciiTheme="majorBidi" w:hAnsiTheme="majorBidi" w:cs="FrankRuehl"/>
          <w:sz w:val="22"/>
          <w:szCs w:val="22"/>
          <w:rtl/>
        </w:rPr>
        <w:t>ל</w:t>
      </w:r>
      <w:r w:rsidRPr="006701F0">
        <w:rPr>
          <w:rFonts w:asciiTheme="majorBidi" w:hAnsiTheme="majorBidi" w:cs="FrankRuehl"/>
          <w:sz w:val="22"/>
          <w:szCs w:val="22"/>
          <w:rtl/>
        </w:rPr>
        <w:t xml:space="preserve"> </w:t>
      </w:r>
      <w:r w:rsidRPr="006701F0">
        <w:rPr>
          <w:rStyle w:val="spelle"/>
          <w:rFonts w:asciiTheme="majorBidi" w:hAnsiTheme="majorBidi" w:cs="FrankRuehl"/>
          <w:sz w:val="22"/>
          <w:szCs w:val="22"/>
          <w:rtl/>
        </w:rPr>
        <w:t>מנ</w:t>
      </w:r>
      <w:r w:rsidRPr="006701F0">
        <w:rPr>
          <w:rStyle w:val="spelle"/>
          <w:rFonts w:asciiTheme="majorBidi" w:hAnsiTheme="majorBidi" w:cs="FrankRuehl" w:hint="cs"/>
          <w:sz w:val="22"/>
          <w:szCs w:val="22"/>
          <w:rtl/>
        </w:rPr>
        <w:t>א</w:t>
      </w:r>
      <w:r w:rsidRPr="006701F0">
        <w:rPr>
          <w:rStyle w:val="spelle"/>
          <w:rFonts w:asciiTheme="majorBidi" w:hAnsiTheme="majorBidi" w:cs="FrankRuehl"/>
          <w:sz w:val="22"/>
          <w:szCs w:val="22"/>
          <w:rtl/>
        </w:rPr>
        <w:t>ע</w:t>
      </w:r>
      <w:r w:rsidRPr="006701F0">
        <w:rPr>
          <w:rFonts w:asciiTheme="majorBidi" w:hAnsiTheme="majorBidi" w:cs="FrankRuehl"/>
          <w:sz w:val="22"/>
          <w:szCs w:val="22"/>
          <w:rtl/>
        </w:rPr>
        <w:t xml:space="preserve"> כבר נקבע כי דרישה להסמכה מפורשת חלה גם כאשר נפגעת זכות אדם שאינה מעוגנת בחוקי היסוד</w:t>
      </w:r>
      <w:r w:rsidRPr="006701F0">
        <w:rPr>
          <w:rFonts w:asciiTheme="majorBidi" w:hAnsiTheme="majorBidi" w:cs="FrankRuehl" w:hint="cs"/>
          <w:sz w:val="22"/>
          <w:szCs w:val="22"/>
          <w:rtl/>
        </w:rPr>
        <w:t>:</w:t>
      </w:r>
      <w:r w:rsidRPr="006701F0">
        <w:rPr>
          <w:rFonts w:asciiTheme="majorBidi" w:hAnsiTheme="majorBidi" w:cs="FrankRuehl"/>
          <w:sz w:val="22"/>
          <w:szCs w:val="22"/>
          <w:rtl/>
        </w:rPr>
        <w:t xml:space="preserve"> </w:t>
      </w:r>
    </w:p>
    <w:p w:rsidR="005366A8" w:rsidRPr="00EA0619" w:rsidRDefault="005366A8" w:rsidP="005366A8">
      <w:pPr>
        <w:pStyle w:val="PlainText"/>
        <w:bidi/>
        <w:spacing w:before="0" w:beforeAutospacing="0" w:after="60" w:afterAutospacing="0"/>
        <w:jc w:val="both"/>
        <w:rPr>
          <w:rFonts w:asciiTheme="majorBidi" w:hAnsiTheme="majorBidi" w:cs="FrankRuehl"/>
          <w:sz w:val="22"/>
          <w:szCs w:val="22"/>
          <w:rtl/>
        </w:rPr>
      </w:pPr>
      <w:r w:rsidRPr="00EA0619">
        <w:rPr>
          <w:rFonts w:asciiTheme="majorBidi" w:hAnsiTheme="majorBidi" w:cs="FrankRuehl"/>
          <w:sz w:val="22"/>
          <w:szCs w:val="22"/>
          <w:rtl/>
        </w:rPr>
        <w:t xml:space="preserve">באופן דומה, אני סבור כי גישה זו מתחייבת לא רק מקום שנפגעת זכות יסוד, אלא ככלל, כאשר העניין הנדון הוא במהותו במעמד של הסדר </w:t>
      </w:r>
      <w:r w:rsidRPr="00EA0619">
        <w:rPr>
          <w:rStyle w:val="spelle"/>
          <w:rFonts w:asciiTheme="majorBidi" w:hAnsiTheme="majorBidi" w:cs="FrankRuehl"/>
          <w:sz w:val="22"/>
          <w:szCs w:val="22"/>
          <w:rtl/>
        </w:rPr>
        <w:t>ראשוני…</w:t>
      </w:r>
      <w:r w:rsidRPr="00EA0619">
        <w:rPr>
          <w:rStyle w:val="spelle"/>
          <w:rFonts w:asciiTheme="majorBidi" w:hAnsiTheme="majorBidi" w:cs="FrankRuehl" w:hint="cs"/>
          <w:sz w:val="22"/>
          <w:szCs w:val="22"/>
          <w:rtl/>
        </w:rPr>
        <w:t xml:space="preserve"> </w:t>
      </w:r>
      <w:r w:rsidRPr="00EA0619">
        <w:rPr>
          <w:rStyle w:val="spelle"/>
          <w:rFonts w:asciiTheme="majorBidi" w:hAnsiTheme="majorBidi" w:cs="FrankRuehl"/>
          <w:sz w:val="22"/>
          <w:szCs w:val="22"/>
          <w:rtl/>
        </w:rPr>
        <w:t>ככל</w:t>
      </w:r>
      <w:r w:rsidRPr="00EA0619">
        <w:rPr>
          <w:rFonts w:asciiTheme="majorBidi" w:hAnsiTheme="majorBidi" w:cs="FrankRuehl"/>
          <w:sz w:val="22"/>
          <w:szCs w:val="22"/>
          <w:rtl/>
        </w:rPr>
        <w:t xml:space="preserve"> שעניין הוא ראשוני יותר, נדרשת רמת פירוט רבה יותר להסמכה המפורשת.</w:t>
      </w:r>
    </w:p>
    <w:p w:rsidR="005366A8" w:rsidRPr="00EA0619" w:rsidRDefault="005366A8" w:rsidP="005366A8">
      <w:pPr>
        <w:pStyle w:val="PlainText"/>
        <w:bidi/>
        <w:spacing w:before="0" w:beforeAutospacing="0" w:after="60" w:afterAutospacing="0"/>
        <w:rPr>
          <w:rFonts w:asciiTheme="majorBidi" w:hAnsiTheme="majorBidi" w:cstheme="majorBidi"/>
          <w:sz w:val="22"/>
          <w:szCs w:val="22"/>
          <w:rtl/>
        </w:rPr>
      </w:pPr>
      <w:r w:rsidRPr="00EA0619">
        <w:rPr>
          <w:rFonts w:asciiTheme="majorBidi" w:hAnsiTheme="majorBidi" w:cstheme="majorBidi"/>
          <w:sz w:val="22"/>
          <w:szCs w:val="22"/>
          <w:rtl/>
        </w:rPr>
        <w:t> </w:t>
      </w:r>
    </w:p>
    <w:p w:rsidR="005366A8" w:rsidRPr="00EA0619" w:rsidRDefault="005366A8" w:rsidP="005366A8">
      <w:pPr>
        <w:pStyle w:val="PlainText"/>
        <w:bidi/>
        <w:spacing w:before="0" w:beforeAutospacing="0" w:after="60" w:afterAutospacing="0"/>
        <w:rPr>
          <w:rFonts w:asciiTheme="majorBidi" w:hAnsiTheme="majorBidi" w:cstheme="majorBidi"/>
          <w:sz w:val="22"/>
          <w:szCs w:val="22"/>
          <w:rtl/>
        </w:rPr>
      </w:pPr>
      <w:r w:rsidRPr="00EA0619">
        <w:rPr>
          <w:rFonts w:asciiTheme="majorBidi" w:hAnsiTheme="majorBidi" w:cstheme="majorBidi"/>
          <w:sz w:val="22"/>
          <w:szCs w:val="22"/>
          <w:rtl/>
        </w:rPr>
        <w:t xml:space="preserve">דעת מיעוט, </w:t>
      </w:r>
      <w:r w:rsidRPr="00341D39">
        <w:rPr>
          <w:rFonts w:asciiTheme="majorBidi" w:hAnsiTheme="majorBidi" w:cstheme="majorBidi"/>
          <w:sz w:val="22"/>
          <w:szCs w:val="22"/>
          <w:u w:val="single"/>
          <w:rtl/>
        </w:rPr>
        <w:t xml:space="preserve">השופט </w:t>
      </w:r>
      <w:r w:rsidRPr="00341D39">
        <w:rPr>
          <w:rFonts w:asciiTheme="majorBidi" w:hAnsiTheme="majorBidi" w:cstheme="majorBidi"/>
          <w:b/>
          <w:bCs/>
          <w:sz w:val="22"/>
          <w:szCs w:val="22"/>
          <w:u w:val="single"/>
          <w:rtl/>
        </w:rPr>
        <w:t>רובינשטיין</w:t>
      </w:r>
      <w:r w:rsidRPr="00EA0619">
        <w:rPr>
          <w:rFonts w:asciiTheme="majorBidi" w:hAnsiTheme="majorBidi" w:cstheme="majorBidi"/>
          <w:sz w:val="22"/>
          <w:szCs w:val="22"/>
          <w:rtl/>
        </w:rPr>
        <w:t xml:space="preserve">: </w:t>
      </w:r>
    </w:p>
    <w:p w:rsidR="005366A8" w:rsidRPr="00EA0619" w:rsidRDefault="005366A8" w:rsidP="005366A8">
      <w:pPr>
        <w:pStyle w:val="PlainText"/>
        <w:bidi/>
        <w:spacing w:before="0" w:beforeAutospacing="0" w:after="60" w:afterAutospacing="0"/>
        <w:jc w:val="both"/>
        <w:rPr>
          <w:rFonts w:asciiTheme="majorBidi" w:hAnsiTheme="majorBidi" w:cs="FrankRuehl"/>
          <w:sz w:val="22"/>
          <w:szCs w:val="22"/>
          <w:rtl/>
        </w:rPr>
      </w:pPr>
      <w:r w:rsidRPr="00EA0619">
        <w:rPr>
          <w:rFonts w:asciiTheme="majorBidi" w:hAnsiTheme="majorBidi" w:cs="FrankRuehl"/>
          <w:sz w:val="22"/>
          <w:szCs w:val="22"/>
          <w:rtl/>
        </w:rPr>
        <w:t>שאלת ריכוכה של הדרישה להסמכה מפורשת תלוי גם – אך לא רק – בזכות הנפגעת הנטענת. הוא תלוי גם בחשיבותו ובמהותיותו של ההסדר הנדון, כמו גם בשאלת היותו שנוי במחלוקת ציבורית… בענייננו עומדת על הפרק החלטה הנוגעת ל"אינטרסים של הציבור בכללותו" … אשר לה השלכה על הדורות הבאים, ועל-כן דעתי היא כי הוא בא – במובהק – בקהלם של אותם עניינים, המחייבים עמידה דווקנית על דרישת ההסמכה המפורשת… </w:t>
      </w:r>
    </w:p>
    <w:p w:rsidR="005366A8" w:rsidRPr="00EA0619" w:rsidRDefault="005366A8" w:rsidP="005366A8">
      <w:pPr>
        <w:pStyle w:val="PlainText"/>
        <w:bidi/>
        <w:spacing w:before="0" w:beforeAutospacing="0" w:after="60" w:afterAutospacing="0"/>
        <w:rPr>
          <w:rFonts w:asciiTheme="majorBidi" w:hAnsiTheme="majorBidi" w:cstheme="majorBidi"/>
          <w:sz w:val="22"/>
          <w:szCs w:val="22"/>
          <w:rtl/>
        </w:rPr>
      </w:pPr>
      <w:r w:rsidRPr="00EA0619">
        <w:rPr>
          <w:rFonts w:asciiTheme="majorBidi" w:hAnsiTheme="majorBidi" w:cstheme="majorBidi"/>
          <w:sz w:val="22"/>
          <w:szCs w:val="22"/>
          <w:rtl/>
        </w:rPr>
        <w:t xml:space="preserve">השופט </w:t>
      </w:r>
      <w:r w:rsidRPr="00EA0619">
        <w:rPr>
          <w:rFonts w:asciiTheme="majorBidi" w:hAnsiTheme="majorBidi" w:cstheme="majorBidi"/>
          <w:b/>
          <w:bCs/>
          <w:sz w:val="22"/>
          <w:szCs w:val="22"/>
          <w:rtl/>
        </w:rPr>
        <w:t>רובינשטיין</w:t>
      </w:r>
      <w:r w:rsidRPr="00EA0619">
        <w:rPr>
          <w:rFonts w:asciiTheme="majorBidi" w:hAnsiTheme="majorBidi" w:cstheme="majorBidi"/>
          <w:sz w:val="22"/>
          <w:szCs w:val="22"/>
          <w:rtl/>
        </w:rPr>
        <w:t xml:space="preserve"> הוסיף דברים על הצורך לאזן את הכוח העודף שיש לרשות המבצעת על פני הכנסת: </w:t>
      </w:r>
    </w:p>
    <w:p w:rsidR="005366A8" w:rsidRPr="00EA0619" w:rsidRDefault="005366A8" w:rsidP="005366A8">
      <w:pPr>
        <w:pStyle w:val="PlainText"/>
        <w:bidi/>
        <w:spacing w:before="0" w:beforeAutospacing="0" w:after="60" w:afterAutospacing="0"/>
        <w:jc w:val="both"/>
        <w:rPr>
          <w:rFonts w:asciiTheme="majorBidi" w:hAnsiTheme="majorBidi" w:cs="FrankRuehl"/>
          <w:sz w:val="22"/>
          <w:szCs w:val="22"/>
          <w:rtl/>
        </w:rPr>
      </w:pPr>
      <w:r w:rsidRPr="00EA0619">
        <w:rPr>
          <w:rFonts w:asciiTheme="majorBidi" w:hAnsiTheme="majorBidi" w:cs="FrankRuehl"/>
          <w:sz w:val="22"/>
          <w:szCs w:val="22"/>
          <w:rtl/>
        </w:rPr>
        <w:t xml:space="preserve">החלטת הממשלה אינה היוצא מן הכלל שאינו מעיד על הכלל; בעיניי הטיפול בסוגית ייצוא הגז הוא ביטוי נוסף, חלק ממגמה מתמשכת שאינה ראויה, של הקלת ראש בת שנים מצד הממשלה בתפקיד הכנסת, משל היה כמעט מטרד, ורק כאשר בא הכרח – הכרח ממש – מביאים לכנסת. דוגמאות, למרבה הצער, לא חסרות: חוק ההסדרים מדגים זאת… צריך לטעמי – כעניין שבמדיניות שיפוטית – לכבד את הכנסת במקום שאלה סמכויותיה. במלים אחרות, מקום בו מדובר בהסדר ראשוני, אין להלום </w:t>
      </w:r>
      <w:r w:rsidRPr="00EA0619">
        <w:rPr>
          <w:rStyle w:val="spelle"/>
          <w:rFonts w:asciiTheme="majorBidi" w:hAnsiTheme="majorBidi" w:cs="FrankRuehl"/>
          <w:sz w:val="22"/>
          <w:szCs w:val="22"/>
          <w:rtl/>
        </w:rPr>
        <w:t>נסיונות</w:t>
      </w:r>
      <w:r w:rsidRPr="00EA0619">
        <w:rPr>
          <w:rFonts w:asciiTheme="majorBidi" w:hAnsiTheme="majorBidi" w:cs="FrankRuehl"/>
          <w:sz w:val="22"/>
          <w:szCs w:val="22"/>
          <w:rtl/>
        </w:rPr>
        <w:t xml:space="preserve"> לתור אחר הוראה המסמיכה את הממשלה "לחוקק", משהוראה ברורה כזו אינה בנמצא. מתן גושפנקה לממשלה לקביעת הסדרים ראשוניים – במקום בו אין זה נהיר כלל ועיקר כי זוהי כוונת המחוקק – מחליש את הכנסת מול הממשלה; הוא פוגע ביכולת הפיקוח </w:t>
      </w:r>
      <w:r w:rsidRPr="00EA0619">
        <w:rPr>
          <w:rStyle w:val="spelle"/>
          <w:rFonts w:asciiTheme="majorBidi" w:hAnsiTheme="majorBidi" w:cs="FrankRuehl"/>
          <w:sz w:val="22"/>
          <w:szCs w:val="22"/>
          <w:rtl/>
        </w:rPr>
        <w:t>הפרלמנטרית</w:t>
      </w:r>
      <w:r w:rsidRPr="00EA0619">
        <w:rPr>
          <w:rFonts w:asciiTheme="majorBidi" w:hAnsiTheme="majorBidi" w:cs="FrankRuehl"/>
          <w:sz w:val="22"/>
          <w:szCs w:val="22"/>
          <w:rtl/>
        </w:rPr>
        <w:t xml:space="preserve"> על עבודת הממשלה. גישה זו נגזרת ממהותה של הדמוקרטיה. ואוסיף: כמי שאינו נרתע מ"אקטיביזם שיפוטי" במקומות ראויים, סבורני כי בית משפט זה צריך שיכבד משנה כיבוד את עבודתה של הכנסת כמחוקקת וכמפקחת, בלא לגרוע מיכולת הביקורת השיפוטית.</w:t>
      </w:r>
    </w:p>
    <w:p w:rsidR="005366A8" w:rsidRDefault="005366A8" w:rsidP="005366A8">
      <w:pPr>
        <w:spacing w:after="60"/>
        <w:rPr>
          <w:rFonts w:ascii="Arial" w:hAnsi="Arial" w:cs="Arial"/>
          <w:b/>
          <w:bCs/>
          <w:sz w:val="22"/>
          <w:szCs w:val="22"/>
          <w:highlight w:val="yellow"/>
          <w:u w:val="single"/>
          <w:rtl/>
        </w:rPr>
      </w:pPr>
    </w:p>
    <w:p w:rsidR="005366A8" w:rsidRPr="00EA0619" w:rsidRDefault="005366A8" w:rsidP="005366A8">
      <w:pPr>
        <w:spacing w:after="60"/>
        <w:rPr>
          <w:rFonts w:ascii="Arial" w:hAnsi="Arial" w:cs="Arial"/>
          <w:sz w:val="22"/>
          <w:szCs w:val="22"/>
          <w:highlight w:val="yellow"/>
          <w:rtl/>
        </w:rPr>
      </w:pPr>
      <w:r w:rsidRPr="00EA0619">
        <w:rPr>
          <w:rFonts w:ascii="Arial" w:hAnsi="Arial" w:cs="Arial" w:hint="cs"/>
          <w:sz w:val="22"/>
          <w:szCs w:val="22"/>
          <w:highlight w:val="yellow"/>
          <w:rtl/>
        </w:rPr>
        <w:t>=-=</w:t>
      </w:r>
    </w:p>
    <w:p w:rsidR="005366A8" w:rsidRPr="00002FA8" w:rsidRDefault="005366A8" w:rsidP="005366A8">
      <w:pPr>
        <w:spacing w:after="60"/>
        <w:jc w:val="center"/>
        <w:rPr>
          <w:rFonts w:ascii="Arial" w:hAnsi="Arial" w:cs="Guttman-Soncino"/>
          <w:sz w:val="32"/>
          <w:szCs w:val="32"/>
          <w:highlight w:val="yellow"/>
          <w:rtl/>
        </w:rPr>
      </w:pPr>
      <w:r>
        <w:rPr>
          <w:rFonts w:ascii="Arial" w:hAnsi="Arial" w:cs="Guttman-Soncino" w:hint="cs"/>
          <w:sz w:val="32"/>
          <w:szCs w:val="32"/>
          <w:highlight w:val="yellow"/>
          <w:rtl/>
        </w:rPr>
        <w:t>מדינה ריכוזית/יוניטרית ושלטון מבוזר – מודלים של ביזור</w:t>
      </w:r>
    </w:p>
    <w:p w:rsidR="005366A8" w:rsidRDefault="005366A8" w:rsidP="005366A8">
      <w:pPr>
        <w:spacing w:after="60"/>
        <w:rPr>
          <w:rFonts w:ascii="Arial" w:hAnsi="Arial" w:cs="Arial"/>
          <w:b/>
          <w:bCs/>
          <w:sz w:val="22"/>
          <w:szCs w:val="22"/>
          <w:rtl/>
        </w:rPr>
      </w:pPr>
      <w:r w:rsidRPr="000656CA">
        <w:rPr>
          <w:rFonts w:ascii="Arial" w:hAnsi="Arial" w:cs="Arial" w:hint="cs"/>
          <w:b/>
          <w:bCs/>
          <w:sz w:val="22"/>
          <w:szCs w:val="22"/>
          <w:highlight w:val="yellow"/>
          <w:u w:val="single"/>
          <w:rtl/>
        </w:rPr>
        <w:t xml:space="preserve">היכרות עם דגמים </w:t>
      </w:r>
      <w:r>
        <w:rPr>
          <w:rFonts w:ascii="Arial" w:hAnsi="Arial" w:cs="Arial" w:hint="cs"/>
          <w:b/>
          <w:bCs/>
          <w:sz w:val="22"/>
          <w:szCs w:val="22"/>
          <w:highlight w:val="yellow"/>
          <w:u w:val="single"/>
          <w:rtl/>
        </w:rPr>
        <w:t xml:space="preserve">שונים של </w:t>
      </w:r>
      <w:r w:rsidRPr="000656CA">
        <w:rPr>
          <w:rFonts w:ascii="Arial" w:hAnsi="Arial" w:cs="Arial" w:hint="cs"/>
          <w:b/>
          <w:bCs/>
          <w:sz w:val="22"/>
          <w:szCs w:val="22"/>
          <w:highlight w:val="yellow"/>
          <w:u w:val="single"/>
          <w:rtl/>
        </w:rPr>
        <w:t>משטר</w:t>
      </w:r>
      <w:r>
        <w:rPr>
          <w:rFonts w:ascii="Arial" w:hAnsi="Arial" w:cs="Arial" w:hint="cs"/>
          <w:b/>
          <w:bCs/>
          <w:sz w:val="22"/>
          <w:szCs w:val="22"/>
          <w:highlight w:val="yellow"/>
          <w:u w:val="single"/>
          <w:rtl/>
        </w:rPr>
        <w:t xml:space="preserve"> מדינתי</w:t>
      </w:r>
    </w:p>
    <w:p w:rsidR="005366A8" w:rsidRPr="000656CA" w:rsidRDefault="005366A8" w:rsidP="005366A8">
      <w:pPr>
        <w:spacing w:after="60"/>
        <w:ind w:left="720" w:right="-142" w:hanging="720"/>
        <w:rPr>
          <w:rFonts w:ascii="Arial" w:hAnsi="Arial" w:cs="Arial"/>
          <w:sz w:val="20"/>
          <w:szCs w:val="20"/>
          <w:rtl/>
        </w:rPr>
      </w:pPr>
      <w:r w:rsidRPr="000656CA">
        <w:rPr>
          <w:rFonts w:ascii="Arial" w:hAnsi="Arial" w:cs="Arial" w:hint="cs"/>
          <w:sz w:val="20"/>
          <w:szCs w:val="20"/>
          <w:rtl/>
        </w:rPr>
        <w:t>דיברנו מעט בעבר על ההבחנות המרכזיות הבאות:</w:t>
      </w:r>
    </w:p>
    <w:p w:rsidR="005366A8" w:rsidRPr="000656CA" w:rsidRDefault="005366A8" w:rsidP="005366A8">
      <w:pPr>
        <w:spacing w:after="60"/>
        <w:ind w:left="1440" w:right="-142" w:hanging="720"/>
        <w:rPr>
          <w:rFonts w:ascii="Arial" w:hAnsi="Arial" w:cs="Arial"/>
          <w:sz w:val="20"/>
          <w:szCs w:val="20"/>
          <w:rtl/>
        </w:rPr>
      </w:pPr>
      <w:r w:rsidRPr="000656CA">
        <w:rPr>
          <w:rFonts w:ascii="Arial" w:hAnsi="Arial" w:cs="Arial" w:hint="cs"/>
          <w:b/>
          <w:bCs/>
          <w:sz w:val="20"/>
          <w:szCs w:val="20"/>
          <w:highlight w:val="yellow"/>
          <w:rtl/>
        </w:rPr>
        <w:t>"דמוקרטיה ישירה"</w:t>
      </w:r>
      <w:r w:rsidRPr="000656CA">
        <w:rPr>
          <w:rFonts w:ascii="Arial" w:hAnsi="Arial" w:cs="Arial" w:hint="cs"/>
          <w:sz w:val="20"/>
          <w:szCs w:val="20"/>
          <w:rtl/>
        </w:rPr>
        <w:t xml:space="preserve"> (דוגמת האתונאית</w:t>
      </w:r>
      <w:r>
        <w:rPr>
          <w:rFonts w:ascii="Arial" w:hAnsi="Arial" w:cs="Arial" w:hint="cs"/>
          <w:sz w:val="20"/>
          <w:szCs w:val="20"/>
          <w:rtl/>
        </w:rPr>
        <w:t xml:space="preserve"> </w:t>
      </w:r>
      <w:r>
        <w:rPr>
          <w:rFonts w:ascii="Arial" w:hAnsi="Arial" w:cs="Arial"/>
          <w:sz w:val="20"/>
          <w:szCs w:val="20"/>
          <w:rtl/>
        </w:rPr>
        <w:t>–</w:t>
      </w:r>
      <w:r>
        <w:rPr>
          <w:rFonts w:ascii="Arial" w:hAnsi="Arial" w:cs="Arial" w:hint="cs"/>
          <w:sz w:val="20"/>
          <w:szCs w:val="20"/>
          <w:rtl/>
        </w:rPr>
        <w:t xml:space="preserve"> אבל מי נכלל? האם גם נשים? וכן קיומם של עבדים</w:t>
      </w:r>
      <w:r w:rsidRPr="000656CA">
        <w:rPr>
          <w:rFonts w:ascii="Arial" w:hAnsi="Arial" w:cs="Arial" w:hint="cs"/>
          <w:sz w:val="20"/>
          <w:szCs w:val="20"/>
          <w:rtl/>
        </w:rPr>
        <w:t xml:space="preserve">; </w:t>
      </w:r>
      <w:r>
        <w:rPr>
          <w:rFonts w:ascii="Arial" w:hAnsi="Arial" w:cs="Arial" w:hint="cs"/>
          <w:sz w:val="20"/>
          <w:szCs w:val="20"/>
          <w:rtl/>
        </w:rPr>
        <w:t xml:space="preserve">בעידן המודרני: </w:t>
      </w:r>
      <w:r w:rsidRPr="000656CA">
        <w:rPr>
          <w:rFonts w:ascii="Arial" w:hAnsi="Arial" w:cs="Arial" w:hint="cs"/>
          <w:sz w:val="20"/>
          <w:szCs w:val="20"/>
          <w:rtl/>
        </w:rPr>
        <w:t xml:space="preserve">משטר שמכיל מרכיבים רבים של "משאל עם") </w:t>
      </w:r>
      <w:r>
        <w:rPr>
          <w:rFonts w:ascii="Arial" w:hAnsi="Arial" w:cs="Arial" w:hint="cs"/>
          <w:sz w:val="20"/>
          <w:szCs w:val="20"/>
          <w:rtl/>
        </w:rPr>
        <w:t xml:space="preserve">זאת </w:t>
      </w:r>
      <w:r w:rsidRPr="000656CA">
        <w:rPr>
          <w:rFonts w:ascii="Arial" w:hAnsi="Arial" w:cs="Arial" w:hint="cs"/>
          <w:sz w:val="20"/>
          <w:szCs w:val="20"/>
          <w:rtl/>
        </w:rPr>
        <w:t xml:space="preserve">לעומת </w:t>
      </w:r>
      <w:r w:rsidRPr="005A6360">
        <w:rPr>
          <w:rFonts w:ascii="Arial" w:hAnsi="Arial" w:cs="Arial" w:hint="cs"/>
          <w:b/>
          <w:bCs/>
          <w:sz w:val="20"/>
          <w:szCs w:val="20"/>
          <w:highlight w:val="yellow"/>
          <w:u w:val="single"/>
          <w:rtl/>
        </w:rPr>
        <w:t>"דמוקרטיה ייצוגית"</w:t>
      </w:r>
      <w:r w:rsidRPr="000656CA">
        <w:rPr>
          <w:rFonts w:ascii="Arial" w:hAnsi="Arial" w:cs="Arial" w:hint="cs"/>
          <w:sz w:val="20"/>
          <w:szCs w:val="20"/>
          <w:rtl/>
        </w:rPr>
        <w:t>;</w:t>
      </w:r>
    </w:p>
    <w:p w:rsidR="005366A8" w:rsidRPr="000656CA" w:rsidRDefault="005366A8" w:rsidP="005366A8">
      <w:pPr>
        <w:spacing w:after="60"/>
        <w:ind w:left="1440" w:right="-142" w:hanging="720"/>
        <w:rPr>
          <w:rFonts w:ascii="Arial" w:hAnsi="Arial" w:cs="Arial"/>
          <w:sz w:val="20"/>
          <w:szCs w:val="20"/>
          <w:rtl/>
        </w:rPr>
      </w:pPr>
      <w:r w:rsidRPr="005A6360">
        <w:rPr>
          <w:rFonts w:ascii="Arial" w:hAnsi="Arial" w:cs="Arial" w:hint="cs"/>
          <w:b/>
          <w:bCs/>
          <w:sz w:val="20"/>
          <w:szCs w:val="20"/>
          <w:highlight w:val="yellow"/>
          <w:u w:val="single"/>
          <w:rtl/>
        </w:rPr>
        <w:t>"דמוקרטיה חוקתית"</w:t>
      </w:r>
      <w:r w:rsidRPr="000656CA">
        <w:rPr>
          <w:rFonts w:ascii="Arial" w:hAnsi="Arial" w:cs="Arial" w:hint="cs"/>
          <w:sz w:val="20"/>
          <w:szCs w:val="20"/>
          <w:rtl/>
        </w:rPr>
        <w:t xml:space="preserve"> לעומת דמוקרטיה ללא חוקה;</w:t>
      </w:r>
      <w:r>
        <w:rPr>
          <w:rFonts w:ascii="Arial" w:hAnsi="Arial" w:cs="Arial" w:hint="cs"/>
          <w:sz w:val="20"/>
          <w:szCs w:val="20"/>
          <w:rtl/>
        </w:rPr>
        <w:t xml:space="preserve"> (אצלנו דמוקרטיה חוקתית, אך עם חוקה חלשה וחלקית למדי);</w:t>
      </w:r>
    </w:p>
    <w:p w:rsidR="005366A8" w:rsidRPr="000656CA" w:rsidRDefault="005366A8" w:rsidP="005366A8">
      <w:pPr>
        <w:spacing w:after="60"/>
        <w:ind w:left="1440" w:right="-142" w:hanging="720"/>
        <w:rPr>
          <w:rFonts w:ascii="Arial" w:hAnsi="Arial" w:cs="Arial"/>
          <w:b/>
          <w:bCs/>
          <w:sz w:val="20"/>
          <w:szCs w:val="20"/>
          <w:rtl/>
        </w:rPr>
      </w:pPr>
      <w:r w:rsidRPr="005A6360">
        <w:rPr>
          <w:rFonts w:ascii="Arial" w:hAnsi="Arial" w:cs="Arial" w:hint="cs"/>
          <w:b/>
          <w:bCs/>
          <w:sz w:val="20"/>
          <w:szCs w:val="20"/>
          <w:highlight w:val="yellow"/>
          <w:u w:val="single"/>
          <w:rtl/>
        </w:rPr>
        <w:t>"דמוקרטיה פרלמנטרית"</w:t>
      </w:r>
      <w:r w:rsidRPr="000656CA">
        <w:rPr>
          <w:rFonts w:ascii="Arial" w:hAnsi="Arial" w:cs="Arial" w:hint="cs"/>
          <w:b/>
          <w:bCs/>
          <w:sz w:val="20"/>
          <w:szCs w:val="20"/>
          <w:rtl/>
        </w:rPr>
        <w:t xml:space="preserve"> </w:t>
      </w:r>
      <w:r w:rsidRPr="000656CA">
        <w:rPr>
          <w:rFonts w:ascii="Arial" w:hAnsi="Arial" w:cs="Arial" w:hint="cs"/>
          <w:sz w:val="20"/>
          <w:szCs w:val="20"/>
          <w:rtl/>
        </w:rPr>
        <w:t>(כמו אצלנו, בבריטניה וכדומה) לעומת</w:t>
      </w:r>
      <w:r w:rsidRPr="000656CA">
        <w:rPr>
          <w:rFonts w:ascii="Arial" w:hAnsi="Arial" w:cs="Arial" w:hint="cs"/>
          <w:b/>
          <w:bCs/>
          <w:sz w:val="20"/>
          <w:szCs w:val="20"/>
          <w:rtl/>
        </w:rPr>
        <w:t xml:space="preserve"> </w:t>
      </w:r>
      <w:r w:rsidRPr="000656CA">
        <w:rPr>
          <w:rFonts w:ascii="Arial" w:hAnsi="Arial" w:cs="Arial" w:hint="cs"/>
          <w:b/>
          <w:bCs/>
          <w:sz w:val="20"/>
          <w:szCs w:val="20"/>
          <w:highlight w:val="yellow"/>
          <w:rtl/>
        </w:rPr>
        <w:t>"דמוקרטיה נשיאותית"</w:t>
      </w:r>
      <w:r w:rsidRPr="000656CA">
        <w:rPr>
          <w:rFonts w:ascii="Arial" w:hAnsi="Arial" w:cs="Arial" w:hint="cs"/>
          <w:b/>
          <w:bCs/>
          <w:sz w:val="20"/>
          <w:szCs w:val="20"/>
          <w:rtl/>
        </w:rPr>
        <w:t xml:space="preserve"> </w:t>
      </w:r>
      <w:r w:rsidRPr="000656CA">
        <w:rPr>
          <w:rFonts w:ascii="Arial" w:hAnsi="Arial" w:cs="Arial" w:hint="cs"/>
          <w:sz w:val="20"/>
          <w:szCs w:val="20"/>
          <w:rtl/>
        </w:rPr>
        <w:t xml:space="preserve">(כמו בארצות הברית) </w:t>
      </w:r>
      <w:r w:rsidRPr="000656CA">
        <w:rPr>
          <w:rFonts w:ascii="Arial" w:hAnsi="Arial" w:cs="Arial"/>
          <w:sz w:val="20"/>
          <w:szCs w:val="20"/>
          <w:rtl/>
        </w:rPr>
        <w:t>–</w:t>
      </w:r>
      <w:r w:rsidRPr="000656CA">
        <w:rPr>
          <w:rFonts w:ascii="Arial" w:hAnsi="Arial" w:cs="Arial" w:hint="cs"/>
          <w:sz w:val="20"/>
          <w:szCs w:val="20"/>
          <w:rtl/>
        </w:rPr>
        <w:t xml:space="preserve"> שם, הצבעה ישירה </w:t>
      </w:r>
      <w:r>
        <w:rPr>
          <w:rFonts w:ascii="Arial" w:hAnsi="Arial" w:cs="Arial" w:hint="cs"/>
          <w:sz w:val="20"/>
          <w:szCs w:val="20"/>
          <w:rtl/>
        </w:rPr>
        <w:t xml:space="preserve">של האזרחים </w:t>
      </w:r>
      <w:r w:rsidRPr="000656CA">
        <w:rPr>
          <w:rFonts w:ascii="Arial" w:hAnsi="Arial" w:cs="Arial" w:hint="cs"/>
          <w:sz w:val="20"/>
          <w:szCs w:val="20"/>
          <w:rtl/>
        </w:rPr>
        <w:t>גם לבתי הנבחרים וגם לנשיא</w:t>
      </w:r>
      <w:r>
        <w:rPr>
          <w:rFonts w:ascii="Arial" w:hAnsi="Arial" w:cs="Arial" w:hint="cs"/>
          <w:sz w:val="20"/>
          <w:szCs w:val="20"/>
          <w:rtl/>
        </w:rPr>
        <w:t xml:space="preserve"> (אם כי דרך "אלקטורים")</w:t>
      </w:r>
      <w:r w:rsidRPr="000656CA">
        <w:rPr>
          <w:rFonts w:ascii="Arial" w:hAnsi="Arial" w:cs="Arial" w:hint="cs"/>
          <w:sz w:val="20"/>
          <w:szCs w:val="20"/>
          <w:rtl/>
        </w:rPr>
        <w:t>;</w:t>
      </w:r>
      <w:r w:rsidRPr="000656CA">
        <w:rPr>
          <w:rFonts w:ascii="Arial" w:hAnsi="Arial" w:cs="Arial" w:hint="cs"/>
          <w:b/>
          <w:bCs/>
          <w:sz w:val="20"/>
          <w:szCs w:val="20"/>
          <w:rtl/>
        </w:rPr>
        <w:t xml:space="preserve"> </w:t>
      </w:r>
    </w:p>
    <w:p w:rsidR="005366A8" w:rsidRPr="000656CA" w:rsidRDefault="005366A8" w:rsidP="005366A8">
      <w:pPr>
        <w:spacing w:after="60"/>
        <w:ind w:left="720" w:right="-142" w:hanging="720"/>
        <w:rPr>
          <w:rFonts w:ascii="Arial" w:hAnsi="Arial" w:cs="Arial"/>
          <w:b/>
          <w:bCs/>
          <w:sz w:val="20"/>
          <w:szCs w:val="20"/>
          <w:rtl/>
        </w:rPr>
      </w:pPr>
      <w:r w:rsidRPr="000656CA">
        <w:rPr>
          <w:rFonts w:ascii="Arial" w:hAnsi="Arial" w:cs="Arial" w:hint="cs"/>
          <w:b/>
          <w:bCs/>
          <w:sz w:val="20"/>
          <w:szCs w:val="20"/>
          <w:rtl/>
        </w:rPr>
        <w:t>להלן הבחנה מרכזית נוספת:</w:t>
      </w:r>
    </w:p>
    <w:p w:rsidR="005366A8" w:rsidRPr="005A6360" w:rsidRDefault="005366A8" w:rsidP="005366A8">
      <w:pPr>
        <w:spacing w:after="60"/>
        <w:ind w:left="720"/>
        <w:rPr>
          <w:rFonts w:ascii="Arial" w:hAnsi="Arial" w:cs="Arial"/>
          <w:sz w:val="20"/>
          <w:szCs w:val="20"/>
          <w:rtl/>
        </w:rPr>
      </w:pPr>
      <w:r w:rsidRPr="000656CA">
        <w:rPr>
          <w:rFonts w:ascii="Arial" w:hAnsi="Arial" w:cs="Arial" w:hint="cs"/>
          <w:sz w:val="20"/>
          <w:szCs w:val="20"/>
          <w:rtl/>
        </w:rPr>
        <w:t xml:space="preserve">בין </w:t>
      </w:r>
      <w:r w:rsidRPr="005A6360">
        <w:rPr>
          <w:rFonts w:ascii="Arial" w:hAnsi="Arial" w:cs="Arial" w:hint="cs"/>
          <w:b/>
          <w:bCs/>
          <w:sz w:val="20"/>
          <w:szCs w:val="20"/>
          <w:highlight w:val="yellow"/>
          <w:u w:val="single"/>
          <w:rtl/>
        </w:rPr>
        <w:t>מדינה ריכוזית/</w:t>
      </w:r>
      <w:r>
        <w:rPr>
          <w:rFonts w:ascii="Arial" w:hAnsi="Arial" w:cs="Arial" w:hint="cs"/>
          <w:b/>
          <w:bCs/>
          <w:sz w:val="20"/>
          <w:szCs w:val="20"/>
          <w:highlight w:val="yellow"/>
          <w:u w:val="single"/>
          <w:rtl/>
        </w:rPr>
        <w:t xml:space="preserve"> מדינה "</w:t>
      </w:r>
      <w:r w:rsidRPr="005A6360">
        <w:rPr>
          <w:rFonts w:ascii="Arial" w:hAnsi="Arial" w:cs="Arial" w:hint="cs"/>
          <w:b/>
          <w:bCs/>
          <w:sz w:val="20"/>
          <w:szCs w:val="20"/>
          <w:highlight w:val="yellow"/>
          <w:u w:val="single"/>
          <w:rtl/>
        </w:rPr>
        <w:t>יוניטרית</w:t>
      </w:r>
      <w:r>
        <w:rPr>
          <w:rFonts w:ascii="Arial" w:hAnsi="Arial" w:cs="Arial" w:hint="cs"/>
          <w:b/>
          <w:bCs/>
          <w:sz w:val="20"/>
          <w:szCs w:val="20"/>
          <w:u w:val="single"/>
          <w:rtl/>
        </w:rPr>
        <w:t>"</w:t>
      </w:r>
      <w:r>
        <w:rPr>
          <w:rFonts w:ascii="Arial" w:hAnsi="Arial" w:cs="Arial" w:hint="cs"/>
          <w:sz w:val="20"/>
          <w:szCs w:val="20"/>
          <w:rtl/>
        </w:rPr>
        <w:t xml:space="preserve"> (דומני כי זהו המשטר בחלק הגדול יותר של מדינות העולם),</w:t>
      </w:r>
    </w:p>
    <w:p w:rsidR="005366A8" w:rsidRPr="000656CA" w:rsidRDefault="005366A8" w:rsidP="005366A8">
      <w:pPr>
        <w:spacing w:after="60"/>
        <w:ind w:left="720"/>
        <w:rPr>
          <w:rFonts w:ascii="Arial" w:hAnsi="Arial" w:cs="Arial"/>
          <w:sz w:val="20"/>
          <w:szCs w:val="20"/>
          <w:rtl/>
        </w:rPr>
      </w:pPr>
      <w:r w:rsidRPr="000656CA">
        <w:rPr>
          <w:rFonts w:ascii="Arial" w:hAnsi="Arial" w:cs="Arial" w:hint="cs"/>
          <w:sz w:val="20"/>
          <w:szCs w:val="20"/>
          <w:rtl/>
        </w:rPr>
        <w:t xml:space="preserve">לבין </w:t>
      </w:r>
      <w:r w:rsidRPr="000656CA">
        <w:rPr>
          <w:rFonts w:ascii="Arial" w:hAnsi="Arial" w:cs="Arial" w:hint="cs"/>
          <w:b/>
          <w:bCs/>
          <w:sz w:val="20"/>
          <w:szCs w:val="20"/>
          <w:highlight w:val="yellow"/>
          <w:rtl/>
        </w:rPr>
        <w:t>מדינה מבוזרת</w:t>
      </w:r>
      <w:r w:rsidRPr="000656CA">
        <w:rPr>
          <w:rFonts w:ascii="Arial" w:hAnsi="Arial" w:cs="Arial" w:hint="cs"/>
          <w:sz w:val="20"/>
          <w:szCs w:val="20"/>
          <w:rtl/>
        </w:rPr>
        <w:t xml:space="preserve"> (</w:t>
      </w:r>
      <w:r w:rsidRPr="000656CA">
        <w:rPr>
          <w:rFonts w:ascii="Arial" w:hAnsi="Arial" w:cs="Arial"/>
          <w:sz w:val="20"/>
          <w:szCs w:val="20"/>
        </w:rPr>
        <w:t>devolution</w:t>
      </w:r>
      <w:r w:rsidRPr="000656CA">
        <w:rPr>
          <w:rFonts w:ascii="Arial" w:hAnsi="Arial" w:cs="Arial" w:hint="cs"/>
          <w:sz w:val="20"/>
          <w:szCs w:val="20"/>
          <w:rtl/>
        </w:rPr>
        <w:t>), שהיא משני סוגים בסיסיים:</w:t>
      </w:r>
    </w:p>
    <w:p w:rsidR="005366A8" w:rsidRPr="000656CA" w:rsidRDefault="005366A8" w:rsidP="005366A8">
      <w:pPr>
        <w:spacing w:after="60"/>
        <w:ind w:left="1440"/>
        <w:rPr>
          <w:rFonts w:ascii="Arial" w:hAnsi="Arial" w:cs="Arial"/>
          <w:b/>
          <w:bCs/>
          <w:sz w:val="20"/>
          <w:szCs w:val="20"/>
          <w:rtl/>
        </w:rPr>
      </w:pPr>
      <w:r>
        <w:rPr>
          <w:rFonts w:ascii="Arial" w:hAnsi="Arial" w:cs="Arial" w:hint="cs"/>
          <w:b/>
          <w:bCs/>
          <w:sz w:val="20"/>
          <w:szCs w:val="20"/>
          <w:highlight w:val="yellow"/>
          <w:rtl/>
        </w:rPr>
        <w:t xml:space="preserve">א. </w:t>
      </w:r>
      <w:r w:rsidRPr="000656CA">
        <w:rPr>
          <w:rFonts w:ascii="Arial" w:hAnsi="Arial" w:cs="Arial" w:hint="cs"/>
          <w:b/>
          <w:bCs/>
          <w:sz w:val="20"/>
          <w:szCs w:val="20"/>
          <w:highlight w:val="yellow"/>
          <w:rtl/>
        </w:rPr>
        <w:t>פדרציה, מדינה פדראלית</w:t>
      </w:r>
    </w:p>
    <w:p w:rsidR="005366A8" w:rsidRPr="000656CA" w:rsidRDefault="005366A8" w:rsidP="005366A8">
      <w:pPr>
        <w:spacing w:after="60"/>
        <w:ind w:left="2880" w:hanging="720"/>
        <w:rPr>
          <w:rFonts w:ascii="Arial" w:hAnsi="Arial" w:cs="Arial"/>
          <w:sz w:val="20"/>
          <w:szCs w:val="20"/>
          <w:rtl/>
        </w:rPr>
      </w:pPr>
      <w:r w:rsidRPr="000656CA">
        <w:rPr>
          <w:rFonts w:ascii="Arial" w:hAnsi="Arial" w:cs="Arial" w:hint="cs"/>
          <w:sz w:val="20"/>
          <w:szCs w:val="20"/>
          <w:rtl/>
        </w:rPr>
        <w:t xml:space="preserve">דוגמאות: </w:t>
      </w:r>
      <w:r w:rsidRPr="000656CA">
        <w:rPr>
          <w:rFonts w:ascii="Arial" w:hAnsi="Arial" w:cs="Arial" w:hint="cs"/>
          <w:b/>
          <w:bCs/>
          <w:sz w:val="20"/>
          <w:szCs w:val="20"/>
          <w:u w:val="single"/>
          <w:rtl/>
        </w:rPr>
        <w:t>ארה"ב</w:t>
      </w:r>
      <w:r w:rsidRPr="000656CA">
        <w:rPr>
          <w:rFonts w:ascii="Arial" w:hAnsi="Arial" w:cs="Arial" w:hint="cs"/>
          <w:b/>
          <w:bCs/>
          <w:sz w:val="20"/>
          <w:szCs w:val="20"/>
          <w:rtl/>
        </w:rPr>
        <w:t xml:space="preserve">; </w:t>
      </w:r>
      <w:r w:rsidRPr="000656CA">
        <w:rPr>
          <w:rFonts w:ascii="Arial" w:hAnsi="Arial" w:cs="Arial" w:hint="cs"/>
          <w:b/>
          <w:bCs/>
          <w:sz w:val="20"/>
          <w:szCs w:val="20"/>
          <w:u w:val="single"/>
          <w:rtl/>
        </w:rPr>
        <w:t>שוויץ</w:t>
      </w:r>
      <w:r w:rsidRPr="000656CA">
        <w:rPr>
          <w:rFonts w:ascii="Arial" w:hAnsi="Arial" w:cs="Arial" w:hint="cs"/>
          <w:b/>
          <w:bCs/>
          <w:sz w:val="20"/>
          <w:szCs w:val="20"/>
          <w:rtl/>
        </w:rPr>
        <w:t xml:space="preserve">; </w:t>
      </w:r>
      <w:r w:rsidRPr="000656CA">
        <w:rPr>
          <w:rFonts w:ascii="Arial" w:hAnsi="Arial" w:cs="Arial" w:hint="cs"/>
          <w:b/>
          <w:bCs/>
          <w:sz w:val="20"/>
          <w:szCs w:val="20"/>
          <w:u w:val="single"/>
          <w:rtl/>
        </w:rPr>
        <w:t>קנדה</w:t>
      </w:r>
      <w:r w:rsidRPr="000656CA">
        <w:rPr>
          <w:rFonts w:ascii="Arial" w:hAnsi="Arial" w:cs="Arial" w:hint="cs"/>
          <w:b/>
          <w:bCs/>
          <w:sz w:val="20"/>
          <w:szCs w:val="20"/>
          <w:rtl/>
        </w:rPr>
        <w:t xml:space="preserve">; </w:t>
      </w:r>
      <w:r w:rsidRPr="000656CA">
        <w:rPr>
          <w:rFonts w:ascii="Arial" w:hAnsi="Arial" w:cs="Arial" w:hint="cs"/>
          <w:b/>
          <w:bCs/>
          <w:sz w:val="20"/>
          <w:szCs w:val="20"/>
          <w:u w:val="single"/>
          <w:rtl/>
        </w:rPr>
        <w:t>בלגיה</w:t>
      </w:r>
      <w:r w:rsidRPr="000656CA">
        <w:rPr>
          <w:rFonts w:ascii="Arial" w:hAnsi="Arial" w:cs="Arial" w:hint="cs"/>
          <w:b/>
          <w:bCs/>
          <w:sz w:val="20"/>
          <w:szCs w:val="20"/>
          <w:rtl/>
        </w:rPr>
        <w:t>;</w:t>
      </w:r>
      <w:r>
        <w:rPr>
          <w:rFonts w:ascii="Arial" w:hAnsi="Arial" w:cs="Arial" w:hint="cs"/>
          <w:b/>
          <w:bCs/>
          <w:sz w:val="20"/>
          <w:szCs w:val="20"/>
          <w:rtl/>
        </w:rPr>
        <w:t xml:space="preserve"> </w:t>
      </w:r>
      <w:r w:rsidRPr="005A6360">
        <w:rPr>
          <w:rFonts w:ascii="Arial" w:hAnsi="Arial" w:cs="Arial" w:hint="cs"/>
          <w:b/>
          <w:bCs/>
          <w:sz w:val="20"/>
          <w:szCs w:val="20"/>
          <w:u w:val="single"/>
          <w:rtl/>
        </w:rPr>
        <w:t>גרמניה</w:t>
      </w:r>
      <w:r>
        <w:rPr>
          <w:rFonts w:ascii="Arial" w:hAnsi="Arial" w:cs="Arial" w:hint="cs"/>
          <w:b/>
          <w:bCs/>
          <w:sz w:val="20"/>
          <w:szCs w:val="20"/>
          <w:rtl/>
        </w:rPr>
        <w:t>;</w:t>
      </w:r>
      <w:r w:rsidRPr="000656CA">
        <w:rPr>
          <w:rFonts w:ascii="Arial" w:hAnsi="Arial" w:cs="Arial" w:hint="cs"/>
          <w:b/>
          <w:bCs/>
          <w:sz w:val="20"/>
          <w:szCs w:val="20"/>
          <w:rtl/>
        </w:rPr>
        <w:t xml:space="preserve"> </w:t>
      </w:r>
      <w:r w:rsidRPr="000656CA">
        <w:rPr>
          <w:rFonts w:ascii="Arial" w:hAnsi="Arial" w:cs="Arial" w:hint="cs"/>
          <w:b/>
          <w:bCs/>
          <w:sz w:val="20"/>
          <w:szCs w:val="20"/>
          <w:u w:val="single"/>
          <w:rtl/>
        </w:rPr>
        <w:t>בוסניה-הרצגובינה</w:t>
      </w:r>
      <w:r w:rsidRPr="000656CA">
        <w:rPr>
          <w:rFonts w:ascii="Arial" w:hAnsi="Arial" w:cs="Arial" w:hint="cs"/>
          <w:sz w:val="20"/>
          <w:szCs w:val="20"/>
          <w:rtl/>
        </w:rPr>
        <w:t>; (</w:t>
      </w:r>
      <w:r w:rsidRPr="000656CA">
        <w:rPr>
          <w:rFonts w:ascii="Arial" w:hAnsi="Arial" w:cs="Arial" w:hint="cs"/>
          <w:b/>
          <w:bCs/>
          <w:sz w:val="20"/>
          <w:szCs w:val="20"/>
          <w:u w:val="single"/>
          <w:rtl/>
        </w:rPr>
        <w:t>יגוסלביה</w:t>
      </w:r>
      <w:r w:rsidRPr="000656CA">
        <w:rPr>
          <w:rFonts w:ascii="Arial" w:hAnsi="Arial" w:cs="Arial" w:hint="cs"/>
          <w:sz w:val="20"/>
          <w:szCs w:val="20"/>
          <w:rtl/>
        </w:rPr>
        <w:t xml:space="preserve"> לשעבר</w:t>
      </w:r>
      <w:r>
        <w:rPr>
          <w:rFonts w:ascii="Arial" w:hAnsi="Arial" w:cs="Arial" w:hint="cs"/>
          <w:sz w:val="20"/>
          <w:szCs w:val="20"/>
          <w:rtl/>
        </w:rPr>
        <w:t>; =&gt; השבריריות והסיכונים הטמונים במבנה הזה בנסיבות מסוימות</w:t>
      </w:r>
      <w:r w:rsidRPr="000656CA">
        <w:rPr>
          <w:rFonts w:ascii="Arial" w:hAnsi="Arial" w:cs="Arial" w:hint="cs"/>
          <w:sz w:val="20"/>
          <w:szCs w:val="20"/>
          <w:rtl/>
        </w:rPr>
        <w:t xml:space="preserve">); </w:t>
      </w:r>
      <w:r w:rsidRPr="000656CA">
        <w:rPr>
          <w:rFonts w:ascii="Arial" w:hAnsi="Arial" w:cs="Arial" w:hint="cs"/>
          <w:b/>
          <w:bCs/>
          <w:sz w:val="20"/>
          <w:szCs w:val="20"/>
          <w:u w:val="single"/>
          <w:rtl/>
        </w:rPr>
        <w:t>הודו</w:t>
      </w:r>
      <w:r w:rsidRPr="000656CA">
        <w:rPr>
          <w:rFonts w:ascii="Arial" w:hAnsi="Arial" w:cs="Arial" w:hint="cs"/>
          <w:sz w:val="20"/>
          <w:szCs w:val="20"/>
          <w:rtl/>
        </w:rPr>
        <w:t>;</w:t>
      </w:r>
      <w:r w:rsidRPr="000656CA">
        <w:rPr>
          <w:rFonts w:ascii="Arial" w:hAnsi="Arial" w:cs="Arial" w:hint="cs"/>
          <w:b/>
          <w:bCs/>
          <w:sz w:val="20"/>
          <w:szCs w:val="20"/>
          <w:rtl/>
        </w:rPr>
        <w:t xml:space="preserve"> </w:t>
      </w:r>
      <w:r w:rsidRPr="000656CA">
        <w:rPr>
          <w:rFonts w:ascii="Arial" w:hAnsi="Arial" w:cs="Arial" w:hint="cs"/>
          <w:b/>
          <w:bCs/>
          <w:sz w:val="20"/>
          <w:szCs w:val="20"/>
          <w:u w:val="single"/>
          <w:rtl/>
        </w:rPr>
        <w:t>מקסיקו</w:t>
      </w:r>
      <w:r w:rsidRPr="000656CA">
        <w:rPr>
          <w:rFonts w:ascii="Arial" w:hAnsi="Arial" w:cs="Arial" w:hint="cs"/>
          <w:sz w:val="20"/>
          <w:szCs w:val="20"/>
          <w:rtl/>
        </w:rPr>
        <w:t xml:space="preserve"> </w:t>
      </w:r>
    </w:p>
    <w:p w:rsidR="005366A8" w:rsidRPr="000656CA" w:rsidRDefault="005366A8" w:rsidP="005366A8">
      <w:pPr>
        <w:spacing w:after="60"/>
        <w:ind w:left="2880" w:right="-142"/>
        <w:rPr>
          <w:rFonts w:ascii="Arial" w:hAnsi="Arial" w:cs="Arial"/>
          <w:sz w:val="20"/>
          <w:szCs w:val="20"/>
          <w:rtl/>
        </w:rPr>
      </w:pPr>
      <w:r w:rsidRPr="000656CA">
        <w:rPr>
          <w:rFonts w:ascii="Arial" w:hAnsi="Arial" w:cs="Arial" w:hint="cs"/>
          <w:sz w:val="20"/>
          <w:szCs w:val="20"/>
          <w:rtl/>
        </w:rPr>
        <w:t>[</w:t>
      </w:r>
      <w:r>
        <w:rPr>
          <w:rFonts w:ascii="Arial" w:hAnsi="Arial" w:cs="Arial" w:hint="cs"/>
          <w:sz w:val="20"/>
          <w:szCs w:val="20"/>
          <w:rtl/>
        </w:rPr>
        <w:t xml:space="preserve">במדינה הפדראלית מופיע </w:t>
      </w:r>
      <w:r w:rsidRPr="005A6360">
        <w:rPr>
          <w:rFonts w:ascii="Arial" w:hAnsi="Arial" w:cs="Arial" w:hint="cs"/>
          <w:i/>
          <w:iCs/>
          <w:sz w:val="20"/>
          <w:szCs w:val="20"/>
          <w:rtl/>
        </w:rPr>
        <w:t>פיצול משמעותי של הכוח השלטוני</w:t>
      </w:r>
      <w:r w:rsidRPr="000656CA">
        <w:rPr>
          <w:rFonts w:ascii="Arial" w:hAnsi="Arial" w:cs="Arial" w:hint="cs"/>
          <w:sz w:val="20"/>
          <w:szCs w:val="20"/>
          <w:rtl/>
        </w:rPr>
        <w:t xml:space="preserve"> בין הממשלה הפדראלית לבין "המדינות" (</w:t>
      </w:r>
      <w:r w:rsidRPr="000656CA">
        <w:rPr>
          <w:rFonts w:ascii="Arial" w:hAnsi="Arial" w:cs="Arial"/>
          <w:sz w:val="20"/>
          <w:szCs w:val="20"/>
        </w:rPr>
        <w:t>States</w:t>
      </w:r>
      <w:r w:rsidRPr="000656CA">
        <w:rPr>
          <w:rFonts w:ascii="Arial" w:hAnsi="Arial" w:cs="Arial" w:hint="cs"/>
          <w:sz w:val="20"/>
          <w:szCs w:val="20"/>
          <w:rtl/>
        </w:rPr>
        <w:t xml:space="preserve">)/ הפרובינציות/ הקנטונים; </w:t>
      </w:r>
      <w:r w:rsidRPr="005A6360">
        <w:rPr>
          <w:rFonts w:ascii="Arial" w:hAnsi="Arial" w:cs="Arial" w:hint="cs"/>
          <w:i/>
          <w:iCs/>
          <w:sz w:val="20"/>
          <w:szCs w:val="20"/>
          <w:rtl/>
        </w:rPr>
        <w:t xml:space="preserve">פיצול </w:t>
      </w:r>
      <w:r>
        <w:rPr>
          <w:rFonts w:ascii="Arial" w:hAnsi="Arial" w:cs="Arial" w:hint="cs"/>
          <w:i/>
          <w:iCs/>
          <w:sz w:val="20"/>
          <w:szCs w:val="20"/>
          <w:rtl/>
        </w:rPr>
        <w:t xml:space="preserve">זה </w:t>
      </w:r>
      <w:r w:rsidRPr="00A726A4">
        <w:rPr>
          <w:rFonts w:ascii="Arial" w:hAnsi="Arial" w:cs="Arial" w:hint="cs"/>
          <w:i/>
          <w:iCs/>
          <w:sz w:val="20"/>
          <w:szCs w:val="20"/>
          <w:u w:val="single"/>
          <w:rtl/>
        </w:rPr>
        <w:t>מוסדר בחוקה</w:t>
      </w:r>
      <w:r w:rsidRPr="005A6360">
        <w:rPr>
          <w:rFonts w:ascii="Arial" w:hAnsi="Arial" w:cs="Arial" w:hint="cs"/>
          <w:i/>
          <w:iCs/>
          <w:sz w:val="20"/>
          <w:szCs w:val="20"/>
          <w:rtl/>
        </w:rPr>
        <w:t xml:space="preserve"> ואינו כפוף </w:t>
      </w:r>
      <w:r>
        <w:rPr>
          <w:rFonts w:ascii="Arial" w:hAnsi="Arial" w:cs="Arial" w:hint="cs"/>
          <w:i/>
          <w:iCs/>
          <w:sz w:val="20"/>
          <w:szCs w:val="20"/>
          <w:rtl/>
        </w:rPr>
        <w:t xml:space="preserve">לפיכך </w:t>
      </w:r>
      <w:r w:rsidRPr="005A6360">
        <w:rPr>
          <w:rFonts w:ascii="Arial" w:hAnsi="Arial" w:cs="Arial" w:hint="cs"/>
          <w:i/>
          <w:iCs/>
          <w:sz w:val="20"/>
          <w:szCs w:val="20"/>
          <w:rtl/>
        </w:rPr>
        <w:t xml:space="preserve">לשינוי </w:t>
      </w:r>
      <w:r>
        <w:rPr>
          <w:rFonts w:ascii="Arial" w:hAnsi="Arial" w:cs="Arial" w:hint="cs"/>
          <w:i/>
          <w:iCs/>
          <w:sz w:val="20"/>
          <w:szCs w:val="20"/>
          <w:rtl/>
        </w:rPr>
        <w:t>פשוט (</w:t>
      </w:r>
      <w:r w:rsidRPr="005A6360">
        <w:rPr>
          <w:rFonts w:ascii="Arial" w:hAnsi="Arial" w:cs="Arial" w:hint="cs"/>
          <w:i/>
          <w:iCs/>
          <w:sz w:val="20"/>
          <w:szCs w:val="20"/>
          <w:rtl/>
        </w:rPr>
        <w:t>חד-צדדי</w:t>
      </w:r>
      <w:r w:rsidRPr="000656CA">
        <w:rPr>
          <w:rFonts w:ascii="Arial" w:hAnsi="Arial" w:cs="Arial" w:hint="cs"/>
          <w:sz w:val="20"/>
          <w:szCs w:val="20"/>
          <w:rtl/>
        </w:rPr>
        <w:t xml:space="preserve"> </w:t>
      </w:r>
      <w:r>
        <w:rPr>
          <w:rFonts w:ascii="Arial" w:hAnsi="Arial" w:cs="Arial" w:hint="cs"/>
          <w:sz w:val="20"/>
          <w:szCs w:val="20"/>
          <w:rtl/>
        </w:rPr>
        <w:t>באופיו) מצד</w:t>
      </w:r>
      <w:r w:rsidRPr="000656CA">
        <w:rPr>
          <w:rFonts w:ascii="Arial" w:hAnsi="Arial" w:cs="Arial" w:hint="cs"/>
          <w:sz w:val="20"/>
          <w:szCs w:val="20"/>
          <w:rtl/>
        </w:rPr>
        <w:t xml:space="preserve"> הממשל </w:t>
      </w:r>
      <w:r>
        <w:rPr>
          <w:rFonts w:ascii="Arial" w:hAnsi="Arial" w:cs="Arial" w:hint="cs"/>
          <w:sz w:val="20"/>
          <w:szCs w:val="20"/>
          <w:rtl/>
        </w:rPr>
        <w:t xml:space="preserve">המרכזי, קרי, הממשל </w:t>
      </w:r>
      <w:r w:rsidRPr="000656CA">
        <w:rPr>
          <w:rFonts w:ascii="Arial" w:hAnsi="Arial" w:cs="Arial" w:hint="cs"/>
          <w:sz w:val="20"/>
          <w:szCs w:val="20"/>
          <w:rtl/>
        </w:rPr>
        <w:t>הפדראלי]</w:t>
      </w:r>
    </w:p>
    <w:p w:rsidR="005366A8" w:rsidRPr="000656CA" w:rsidRDefault="005366A8" w:rsidP="005366A8">
      <w:pPr>
        <w:spacing w:after="60"/>
        <w:ind w:left="1440"/>
        <w:rPr>
          <w:rFonts w:ascii="Arial" w:hAnsi="Arial" w:cs="Arial"/>
          <w:sz w:val="20"/>
          <w:szCs w:val="20"/>
          <w:rtl/>
        </w:rPr>
      </w:pPr>
      <w:r>
        <w:rPr>
          <w:rFonts w:ascii="Arial" w:hAnsi="Arial" w:cs="Arial" w:hint="cs"/>
          <w:b/>
          <w:bCs/>
          <w:sz w:val="20"/>
          <w:szCs w:val="20"/>
          <w:highlight w:val="yellow"/>
          <w:rtl/>
        </w:rPr>
        <w:t xml:space="preserve">ב. </w:t>
      </w:r>
      <w:r w:rsidRPr="000656CA">
        <w:rPr>
          <w:rFonts w:ascii="Arial" w:hAnsi="Arial" w:cs="Arial" w:hint="cs"/>
          <w:b/>
          <w:bCs/>
          <w:sz w:val="20"/>
          <w:szCs w:val="20"/>
          <w:highlight w:val="yellow"/>
          <w:rtl/>
        </w:rPr>
        <w:t>ביזור אחר על בסיס אזורי</w:t>
      </w:r>
      <w:r w:rsidRPr="000656CA">
        <w:rPr>
          <w:rFonts w:ascii="Arial" w:hAnsi="Arial" w:cs="Arial" w:hint="cs"/>
          <w:sz w:val="20"/>
          <w:szCs w:val="20"/>
          <w:rtl/>
        </w:rPr>
        <w:t xml:space="preserve"> (= דגם ביניים בין מדינה ריכוזית/יוניטרית לבין מדינה פדראלית)</w:t>
      </w:r>
      <w:r>
        <w:rPr>
          <w:rFonts w:ascii="Arial" w:hAnsi="Arial" w:cs="Arial" w:hint="cs"/>
          <w:sz w:val="20"/>
          <w:szCs w:val="20"/>
          <w:rtl/>
        </w:rPr>
        <w:t xml:space="preserve"> </w:t>
      </w:r>
      <w:r>
        <w:rPr>
          <w:rFonts w:ascii="Arial" w:hAnsi="Arial" w:cs="Arial"/>
          <w:sz w:val="20"/>
          <w:szCs w:val="20"/>
          <w:rtl/>
        </w:rPr>
        <w:t>–</w:t>
      </w:r>
      <w:r>
        <w:rPr>
          <w:rFonts w:ascii="Arial" w:hAnsi="Arial" w:cs="Arial" w:hint="cs"/>
          <w:sz w:val="20"/>
          <w:szCs w:val="20"/>
          <w:rtl/>
        </w:rPr>
        <w:t xml:space="preserve"> ביזור א-סימטרי, הנוגע לאזור כזה או אחר של המדינה. דוגמאות:</w:t>
      </w:r>
    </w:p>
    <w:p w:rsidR="005366A8" w:rsidRDefault="005366A8" w:rsidP="005366A8">
      <w:pPr>
        <w:spacing w:after="60"/>
        <w:ind w:left="2160"/>
        <w:rPr>
          <w:rFonts w:ascii="Arial" w:hAnsi="Arial" w:cs="Arial"/>
          <w:sz w:val="20"/>
          <w:szCs w:val="20"/>
          <w:rtl/>
        </w:rPr>
      </w:pPr>
      <w:r w:rsidRPr="000656CA">
        <w:rPr>
          <w:rFonts w:ascii="Arial" w:hAnsi="Arial" w:cs="Arial" w:hint="cs"/>
          <w:b/>
          <w:bCs/>
          <w:sz w:val="20"/>
          <w:szCs w:val="20"/>
          <w:u w:val="single"/>
          <w:rtl/>
        </w:rPr>
        <w:t xml:space="preserve">הממלכה המאוחדת </w:t>
      </w:r>
      <w:r w:rsidRPr="000656CA">
        <w:rPr>
          <w:rFonts w:ascii="Arial" w:hAnsi="Arial" w:cs="Arial" w:hint="cs"/>
          <w:b/>
          <w:bCs/>
          <w:sz w:val="20"/>
          <w:szCs w:val="20"/>
          <w:u w:val="single"/>
        </w:rPr>
        <w:t>UK</w:t>
      </w:r>
      <w:r w:rsidRPr="000656CA">
        <w:rPr>
          <w:rFonts w:ascii="Arial" w:hAnsi="Arial" w:cs="Arial" w:hint="cs"/>
          <w:sz w:val="20"/>
          <w:szCs w:val="20"/>
          <w:rtl/>
        </w:rPr>
        <w:t xml:space="preserve">: </w:t>
      </w:r>
      <w:r>
        <w:rPr>
          <w:rFonts w:ascii="Arial" w:hAnsi="Arial" w:cs="Arial" w:hint="cs"/>
          <w:sz w:val="20"/>
          <w:szCs w:val="20"/>
          <w:rtl/>
        </w:rPr>
        <w:t>הסמכויות המיוחדות הנתונות לממשל המקומי ב</w:t>
      </w:r>
      <w:r w:rsidRPr="000656CA">
        <w:rPr>
          <w:rFonts w:ascii="Arial" w:hAnsi="Arial" w:cs="Arial" w:hint="cs"/>
          <w:sz w:val="20"/>
          <w:szCs w:val="20"/>
          <w:rtl/>
        </w:rPr>
        <w:t xml:space="preserve">סקוטלנד, </w:t>
      </w:r>
      <w:r>
        <w:rPr>
          <w:rFonts w:ascii="Arial" w:hAnsi="Arial" w:cs="Arial" w:hint="cs"/>
          <w:sz w:val="20"/>
          <w:szCs w:val="20"/>
          <w:rtl/>
        </w:rPr>
        <w:t>ב</w:t>
      </w:r>
      <w:r w:rsidRPr="000656CA">
        <w:rPr>
          <w:rFonts w:ascii="Arial" w:hAnsi="Arial" w:cs="Arial" w:hint="cs"/>
          <w:sz w:val="20"/>
          <w:szCs w:val="20"/>
          <w:rtl/>
        </w:rPr>
        <w:t xml:space="preserve">ווילס, </w:t>
      </w:r>
      <w:r>
        <w:rPr>
          <w:rFonts w:ascii="Arial" w:hAnsi="Arial" w:cs="Arial" w:hint="cs"/>
          <w:sz w:val="20"/>
          <w:szCs w:val="20"/>
          <w:rtl/>
        </w:rPr>
        <w:t>וב</w:t>
      </w:r>
      <w:r w:rsidRPr="000656CA">
        <w:rPr>
          <w:rFonts w:ascii="Arial" w:hAnsi="Arial" w:cs="Arial" w:hint="cs"/>
          <w:sz w:val="20"/>
          <w:szCs w:val="20"/>
          <w:rtl/>
        </w:rPr>
        <w:t xml:space="preserve">צפון אירלנד; </w:t>
      </w:r>
    </w:p>
    <w:p w:rsidR="005366A8" w:rsidRDefault="005366A8" w:rsidP="005366A8">
      <w:pPr>
        <w:spacing w:after="60"/>
        <w:ind w:left="2160"/>
        <w:rPr>
          <w:rFonts w:ascii="Arial" w:hAnsi="Arial" w:cs="Arial"/>
          <w:sz w:val="20"/>
          <w:szCs w:val="20"/>
          <w:rtl/>
        </w:rPr>
      </w:pPr>
      <w:r w:rsidRPr="000656CA">
        <w:rPr>
          <w:rFonts w:ascii="Arial" w:hAnsi="Arial" w:cs="Arial" w:hint="cs"/>
          <w:b/>
          <w:bCs/>
          <w:sz w:val="20"/>
          <w:szCs w:val="20"/>
          <w:u w:val="single"/>
          <w:rtl/>
        </w:rPr>
        <w:t>ספרד</w:t>
      </w:r>
      <w:r w:rsidRPr="000656CA">
        <w:rPr>
          <w:rFonts w:ascii="Arial" w:hAnsi="Arial" w:cs="Arial" w:hint="cs"/>
          <w:sz w:val="20"/>
          <w:szCs w:val="20"/>
          <w:rtl/>
        </w:rPr>
        <w:t xml:space="preserve">: קטלוניה, ארץ הבאסקים, גאליסיה; </w:t>
      </w:r>
    </w:p>
    <w:p w:rsidR="005366A8" w:rsidRDefault="005366A8" w:rsidP="005366A8">
      <w:pPr>
        <w:spacing w:after="60"/>
        <w:ind w:left="2160"/>
        <w:rPr>
          <w:rFonts w:ascii="Arial" w:hAnsi="Arial" w:cs="Arial"/>
          <w:sz w:val="20"/>
          <w:szCs w:val="20"/>
          <w:rtl/>
        </w:rPr>
      </w:pPr>
      <w:r w:rsidRPr="000656CA">
        <w:rPr>
          <w:rFonts w:ascii="Arial" w:hAnsi="Arial" w:cs="Arial" w:hint="cs"/>
          <w:b/>
          <w:bCs/>
          <w:sz w:val="20"/>
          <w:szCs w:val="20"/>
          <w:u w:val="single"/>
          <w:rtl/>
        </w:rPr>
        <w:t>איטליה</w:t>
      </w:r>
      <w:r w:rsidRPr="000656CA">
        <w:rPr>
          <w:rFonts w:ascii="Arial" w:hAnsi="Arial" w:cs="Arial" w:hint="cs"/>
          <w:sz w:val="20"/>
          <w:szCs w:val="20"/>
          <w:rtl/>
        </w:rPr>
        <w:t>: איזור בולזאנו</w:t>
      </w:r>
      <w:r>
        <w:rPr>
          <w:rFonts w:ascii="Arial" w:hAnsi="Arial" w:cs="Arial" w:hint="cs"/>
          <w:sz w:val="20"/>
          <w:szCs w:val="20"/>
          <w:rtl/>
        </w:rPr>
        <w:t xml:space="preserve"> (דרום טירול)</w:t>
      </w:r>
      <w:r w:rsidRPr="000656CA">
        <w:rPr>
          <w:rFonts w:ascii="Arial" w:hAnsi="Arial" w:cs="Arial" w:hint="cs"/>
          <w:sz w:val="20"/>
          <w:szCs w:val="20"/>
          <w:rtl/>
        </w:rPr>
        <w:t xml:space="preserve">, סרדיניה; </w:t>
      </w:r>
    </w:p>
    <w:p w:rsidR="005366A8" w:rsidRDefault="005366A8" w:rsidP="005366A8">
      <w:pPr>
        <w:spacing w:after="60"/>
        <w:ind w:left="2160"/>
        <w:rPr>
          <w:rFonts w:ascii="Arial" w:hAnsi="Arial" w:cs="Arial"/>
          <w:sz w:val="20"/>
          <w:szCs w:val="20"/>
          <w:rtl/>
        </w:rPr>
      </w:pPr>
      <w:r w:rsidRPr="00A25258">
        <w:rPr>
          <w:rFonts w:ascii="Arial" w:hAnsi="Arial" w:cs="Arial" w:hint="cs"/>
          <w:sz w:val="20"/>
          <w:szCs w:val="20"/>
          <w:rtl/>
        </w:rPr>
        <w:t>(אפילו..)</w:t>
      </w:r>
      <w:r>
        <w:rPr>
          <w:rFonts w:ascii="Arial" w:hAnsi="Arial" w:cs="Arial" w:hint="cs"/>
          <w:b/>
          <w:bCs/>
          <w:sz w:val="20"/>
          <w:szCs w:val="20"/>
          <w:u w:val="single"/>
          <w:rtl/>
        </w:rPr>
        <w:t xml:space="preserve"> </w:t>
      </w:r>
      <w:r w:rsidRPr="000656CA">
        <w:rPr>
          <w:rFonts w:ascii="Arial" w:hAnsi="Arial" w:cs="Arial" w:hint="cs"/>
          <w:b/>
          <w:bCs/>
          <w:sz w:val="20"/>
          <w:szCs w:val="20"/>
          <w:u w:val="single"/>
          <w:rtl/>
        </w:rPr>
        <w:t>צרפת</w:t>
      </w:r>
      <w:r w:rsidRPr="000656CA">
        <w:rPr>
          <w:rFonts w:ascii="Arial" w:hAnsi="Arial" w:cs="Arial" w:hint="cs"/>
          <w:sz w:val="20"/>
          <w:szCs w:val="20"/>
          <w:rtl/>
        </w:rPr>
        <w:t xml:space="preserve">: קורסיקה; </w:t>
      </w:r>
    </w:p>
    <w:p w:rsidR="005366A8" w:rsidRPr="000656CA" w:rsidRDefault="005366A8" w:rsidP="005366A8">
      <w:pPr>
        <w:spacing w:after="60"/>
        <w:ind w:left="2160"/>
        <w:rPr>
          <w:rFonts w:ascii="Arial" w:hAnsi="Arial" w:cs="Arial"/>
          <w:sz w:val="20"/>
          <w:szCs w:val="20"/>
          <w:rtl/>
        </w:rPr>
      </w:pPr>
      <w:r w:rsidRPr="000656CA">
        <w:rPr>
          <w:rFonts w:ascii="Arial" w:hAnsi="Arial" w:cs="Arial" w:hint="cs"/>
          <w:b/>
          <w:bCs/>
          <w:sz w:val="20"/>
          <w:szCs w:val="20"/>
          <w:u w:val="single"/>
          <w:rtl/>
        </w:rPr>
        <w:t>פינלנד</w:t>
      </w:r>
      <w:r w:rsidRPr="000656CA">
        <w:rPr>
          <w:rFonts w:ascii="Arial" w:hAnsi="Arial" w:cs="Arial" w:hint="cs"/>
          <w:sz w:val="20"/>
          <w:szCs w:val="20"/>
          <w:rtl/>
        </w:rPr>
        <w:t>: איי-אלנד</w:t>
      </w:r>
      <w:r>
        <w:rPr>
          <w:rFonts w:ascii="Arial" w:hAnsi="Arial" w:cs="Arial" w:hint="cs"/>
          <w:sz w:val="20"/>
          <w:szCs w:val="20"/>
          <w:rtl/>
        </w:rPr>
        <w:t xml:space="preserve"> (עם המיעוט דובר השבדית)</w:t>
      </w:r>
      <w:r w:rsidRPr="000656CA">
        <w:rPr>
          <w:rFonts w:ascii="Arial" w:hAnsi="Arial" w:cs="Arial" w:hint="cs"/>
          <w:sz w:val="20"/>
          <w:szCs w:val="20"/>
          <w:rtl/>
        </w:rPr>
        <w:t>; ...</w:t>
      </w:r>
    </w:p>
    <w:p w:rsidR="005366A8" w:rsidRPr="000656CA" w:rsidRDefault="005366A8" w:rsidP="005366A8">
      <w:pPr>
        <w:spacing w:after="60"/>
        <w:ind w:left="1440"/>
        <w:rPr>
          <w:rFonts w:ascii="Arial" w:hAnsi="Arial" w:cs="Arial"/>
          <w:sz w:val="20"/>
          <w:szCs w:val="20"/>
          <w:rtl/>
        </w:rPr>
      </w:pPr>
    </w:p>
    <w:p w:rsidR="005366A8" w:rsidRDefault="005366A8" w:rsidP="005366A8">
      <w:pPr>
        <w:spacing w:after="60"/>
        <w:rPr>
          <w:rFonts w:ascii="Arial" w:hAnsi="Arial" w:cs="Arial"/>
          <w:sz w:val="22"/>
          <w:szCs w:val="22"/>
          <w:rtl/>
        </w:rPr>
      </w:pPr>
      <w:r>
        <w:rPr>
          <w:rFonts w:ascii="Arial" w:hAnsi="Arial" w:cs="Arial" w:hint="cs"/>
          <w:sz w:val="22"/>
          <w:szCs w:val="22"/>
          <w:rtl/>
        </w:rPr>
        <w:t>=-=</w:t>
      </w:r>
    </w:p>
    <w:p w:rsidR="005366A8" w:rsidRPr="00B9441A" w:rsidRDefault="005366A8" w:rsidP="005366A8">
      <w:pPr>
        <w:spacing w:after="60"/>
        <w:rPr>
          <w:b/>
          <w:bCs/>
          <w:sz w:val="22"/>
          <w:szCs w:val="22"/>
          <w:rtl/>
        </w:rPr>
      </w:pPr>
      <w:r w:rsidRPr="00B9441A">
        <w:rPr>
          <w:rFonts w:hint="cs"/>
          <w:b/>
          <w:bCs/>
          <w:sz w:val="22"/>
          <w:szCs w:val="22"/>
          <w:rtl/>
        </w:rPr>
        <w:t>ישראל היא מדינה יוניטרית, משמע, ריכוזית</w:t>
      </w:r>
      <w:r>
        <w:rPr>
          <w:rFonts w:hint="cs"/>
          <w:b/>
          <w:bCs/>
          <w:sz w:val="22"/>
          <w:szCs w:val="22"/>
          <w:rtl/>
        </w:rPr>
        <w:t xml:space="preserve"> בעיקרה</w:t>
      </w:r>
      <w:r w:rsidRPr="00B9441A">
        <w:rPr>
          <w:rFonts w:hint="cs"/>
          <w:b/>
          <w:bCs/>
          <w:sz w:val="22"/>
          <w:szCs w:val="22"/>
          <w:rtl/>
        </w:rPr>
        <w:t>.</w:t>
      </w:r>
    </w:p>
    <w:p w:rsidR="005366A8" w:rsidRDefault="005366A8" w:rsidP="005366A8">
      <w:pPr>
        <w:spacing w:after="60"/>
        <w:ind w:right="-142"/>
        <w:rPr>
          <w:sz w:val="22"/>
          <w:szCs w:val="22"/>
          <w:rtl/>
        </w:rPr>
      </w:pPr>
      <w:r>
        <w:rPr>
          <w:rFonts w:hint="cs"/>
          <w:sz w:val="22"/>
          <w:szCs w:val="22"/>
          <w:rtl/>
        </w:rPr>
        <w:t>אין מרכיב שלטוני מיוחד על בסיס אזורי, כלומר אין סמכויות מיוחדות רבות-היקף השמורות בחוקה/ חוקי-היסוד לאיזור גיאוגרפי כזה או אחר.</w:t>
      </w:r>
    </w:p>
    <w:p w:rsidR="005366A8" w:rsidRDefault="005366A8" w:rsidP="005366A8">
      <w:pPr>
        <w:spacing w:after="60"/>
        <w:rPr>
          <w:sz w:val="22"/>
          <w:szCs w:val="22"/>
          <w:rtl/>
        </w:rPr>
      </w:pPr>
    </w:p>
    <w:p w:rsidR="005366A8" w:rsidRPr="00B9441A" w:rsidRDefault="005366A8" w:rsidP="005366A8">
      <w:pPr>
        <w:spacing w:after="60"/>
        <w:rPr>
          <w:b/>
          <w:bCs/>
          <w:sz w:val="22"/>
          <w:szCs w:val="22"/>
          <w:rtl/>
        </w:rPr>
      </w:pPr>
      <w:r w:rsidRPr="00B9441A">
        <w:rPr>
          <w:rFonts w:hint="cs"/>
          <w:b/>
          <w:bCs/>
          <w:sz w:val="22"/>
          <w:szCs w:val="22"/>
          <w:rtl/>
        </w:rPr>
        <w:t xml:space="preserve">עם זאת, </w:t>
      </w:r>
      <w:r>
        <w:rPr>
          <w:rFonts w:hint="cs"/>
          <w:b/>
          <w:bCs/>
          <w:sz w:val="22"/>
          <w:szCs w:val="22"/>
          <w:rtl/>
        </w:rPr>
        <w:t>כמו ברוב המדינות, הרי ש</w:t>
      </w:r>
      <w:r w:rsidRPr="00B9441A">
        <w:rPr>
          <w:rFonts w:hint="cs"/>
          <w:b/>
          <w:bCs/>
          <w:sz w:val="22"/>
          <w:szCs w:val="22"/>
          <w:rtl/>
        </w:rPr>
        <w:t>מעבר לבחירות לכנסת</w:t>
      </w:r>
      <w:r>
        <w:rPr>
          <w:rFonts w:hint="cs"/>
          <w:b/>
          <w:bCs/>
          <w:sz w:val="22"/>
          <w:szCs w:val="22"/>
          <w:rtl/>
        </w:rPr>
        <w:t>/לפרלמנט</w:t>
      </w:r>
      <w:r w:rsidRPr="00B9441A">
        <w:rPr>
          <w:rFonts w:hint="cs"/>
          <w:b/>
          <w:bCs/>
          <w:sz w:val="22"/>
          <w:szCs w:val="22"/>
          <w:rtl/>
        </w:rPr>
        <w:t xml:space="preserve"> מתקיימות בחירות נוספות</w:t>
      </w:r>
      <w:r>
        <w:rPr>
          <w:rFonts w:hint="cs"/>
          <w:b/>
          <w:bCs/>
          <w:sz w:val="22"/>
          <w:szCs w:val="22"/>
          <w:rtl/>
        </w:rPr>
        <w:t>, על בסיס מקומי-</w:t>
      </w:r>
      <w:r w:rsidRPr="00B9441A">
        <w:rPr>
          <w:rFonts w:hint="cs"/>
          <w:b/>
          <w:bCs/>
          <w:sz w:val="22"/>
          <w:szCs w:val="22"/>
          <w:rtl/>
        </w:rPr>
        <w:t>יישובי.</w:t>
      </w:r>
    </w:p>
    <w:p w:rsidR="005366A8" w:rsidRDefault="005366A8" w:rsidP="005366A8">
      <w:pPr>
        <w:spacing w:after="60"/>
        <w:rPr>
          <w:sz w:val="22"/>
          <w:szCs w:val="22"/>
          <w:rtl/>
        </w:rPr>
      </w:pPr>
      <w:r>
        <w:rPr>
          <w:rFonts w:hint="cs"/>
          <w:sz w:val="22"/>
          <w:szCs w:val="22"/>
          <w:rtl/>
        </w:rPr>
        <w:t>בחירות אלו, לרשות המקומית שבה אנו תושבים, מתקיימות ב"שני פתקים": בחירה של ראש העיר ובחירה של רשימה למועצת העיר.</w:t>
      </w:r>
    </w:p>
    <w:p w:rsidR="005366A8" w:rsidRDefault="005366A8" w:rsidP="005366A8">
      <w:pPr>
        <w:spacing w:after="60"/>
        <w:ind w:left="720" w:hanging="720"/>
        <w:rPr>
          <w:sz w:val="22"/>
          <w:szCs w:val="22"/>
          <w:rtl/>
        </w:rPr>
      </w:pPr>
      <w:r>
        <w:rPr>
          <w:rFonts w:hint="cs"/>
          <w:sz w:val="22"/>
          <w:szCs w:val="22"/>
          <w:rtl/>
        </w:rPr>
        <w:t xml:space="preserve">העובדה שמדובר בבחירות שלנו את הנציגים שלנו, זאת על בסיס מקומי/יישובי, גורמת לחשיבות של ממש לנציגים אלה, והיא גם זו הדוחפת את "הגישה הדמוקרטית" על פני "הגישה הבירוקרטית" ביחס להבנת כוחן של הרשויות המקומיות, וחלוקת הכוח בינן לבין השלטון המרכזי (ראו הדיון של פרופ' ישי בלנק בדפי הפגישה הקודמת). </w:t>
      </w:r>
    </w:p>
    <w:p w:rsidR="005366A8" w:rsidRDefault="005366A8" w:rsidP="005366A8">
      <w:pPr>
        <w:spacing w:after="60"/>
        <w:ind w:left="720"/>
        <w:rPr>
          <w:sz w:val="22"/>
          <w:szCs w:val="22"/>
          <w:rtl/>
        </w:rPr>
      </w:pPr>
      <w:r>
        <w:rPr>
          <w:rFonts w:hint="cs"/>
          <w:sz w:val="22"/>
          <w:szCs w:val="22"/>
          <w:rtl/>
        </w:rPr>
        <w:t xml:space="preserve">זו עדיין "מדינה יוניטרית" (משמע, ריכוזית), אך יש דרגות שונות של ריכוזיות, ופרופ' בלנק </w:t>
      </w:r>
      <w:r>
        <w:rPr>
          <w:sz w:val="22"/>
          <w:szCs w:val="22"/>
          <w:rtl/>
        </w:rPr>
        <w:t>–</w:t>
      </w:r>
      <w:r>
        <w:rPr>
          <w:rFonts w:hint="cs"/>
          <w:sz w:val="22"/>
          <w:szCs w:val="22"/>
          <w:rtl/>
        </w:rPr>
        <w:t xml:space="preserve"> וכך המגמה גם בפסיקה העליונה של שני העשורים האחרונים </w:t>
      </w:r>
      <w:r>
        <w:rPr>
          <w:sz w:val="22"/>
          <w:szCs w:val="22"/>
          <w:rtl/>
        </w:rPr>
        <w:t>–</w:t>
      </w:r>
      <w:r>
        <w:rPr>
          <w:rFonts w:hint="cs"/>
          <w:sz w:val="22"/>
          <w:szCs w:val="22"/>
          <w:rtl/>
        </w:rPr>
        <w:t xml:space="preserve"> פונה בכיוון הפחות ריכוזי, הפחות בירוקרטי, היותר דמוקרטי באופיו, ביחס לסמכויות השלטון המקומי. ואולם הכנסת יכולה לשנות מגמה זו (או לפחות היבטים שלה) בחקיקתה, אם תחפוץ בכך.</w:t>
      </w:r>
    </w:p>
    <w:p w:rsidR="005366A8" w:rsidRPr="003352F2" w:rsidRDefault="005366A8" w:rsidP="005366A8">
      <w:pPr>
        <w:spacing w:after="60"/>
        <w:rPr>
          <w:sz w:val="22"/>
          <w:szCs w:val="22"/>
          <w:rtl/>
        </w:rPr>
      </w:pPr>
    </w:p>
    <w:p w:rsidR="005366A8" w:rsidRPr="00917C23" w:rsidRDefault="005366A8" w:rsidP="005366A8">
      <w:pPr>
        <w:spacing w:after="60"/>
        <w:jc w:val="center"/>
        <w:rPr>
          <w:rFonts w:cs="FrankRuehl"/>
          <w:sz w:val="36"/>
          <w:szCs w:val="36"/>
          <w:rtl/>
        </w:rPr>
      </w:pPr>
      <w:r w:rsidRPr="00D3519D">
        <w:rPr>
          <w:rFonts w:ascii="Arial" w:hAnsi="Arial" w:cs="Guttman-Soncino" w:hint="cs"/>
          <w:b/>
          <w:bCs/>
          <w:sz w:val="36"/>
          <w:szCs w:val="36"/>
          <w:highlight w:val="yellow"/>
          <w:rtl/>
        </w:rPr>
        <w:t>השלטון המקומי בישראל</w:t>
      </w:r>
    </w:p>
    <w:p w:rsidR="005366A8" w:rsidRPr="00917C23" w:rsidRDefault="005366A8" w:rsidP="005366A8">
      <w:pPr>
        <w:spacing w:after="60"/>
        <w:rPr>
          <w:rFonts w:cs="FrankRuehl"/>
          <w:rtl/>
        </w:rPr>
      </w:pPr>
    </w:p>
    <w:p w:rsidR="005366A8" w:rsidRPr="00481840" w:rsidRDefault="005366A8" w:rsidP="005366A8">
      <w:pPr>
        <w:spacing w:after="60"/>
        <w:rPr>
          <w:rFonts w:ascii="Arial" w:hAnsi="Arial" w:cs="Arial"/>
          <w:b/>
          <w:bCs/>
          <w:rtl/>
        </w:rPr>
      </w:pPr>
      <w:r w:rsidRPr="00481840">
        <w:rPr>
          <w:rFonts w:ascii="Arial" w:hAnsi="Arial" w:cs="Arial" w:hint="cs"/>
          <w:b/>
          <w:bCs/>
          <w:rtl/>
        </w:rPr>
        <w:t xml:space="preserve">חלוקת הסמכויות </w:t>
      </w:r>
      <w:r w:rsidRPr="00342B7A">
        <w:rPr>
          <w:rFonts w:ascii="Arial" w:hAnsi="Arial" w:cs="Arial" w:hint="cs"/>
          <w:b/>
          <w:bCs/>
          <w:u w:val="single"/>
          <w:rtl/>
        </w:rPr>
        <w:t>בין השלטון המרכזי והשלטון המקומי</w:t>
      </w:r>
      <w:r>
        <w:rPr>
          <w:rFonts w:ascii="Arial" w:hAnsi="Arial" w:cs="Arial" w:hint="cs"/>
          <w:b/>
          <w:bCs/>
          <w:rtl/>
        </w:rPr>
        <w:t>:</w:t>
      </w:r>
    </w:p>
    <w:p w:rsidR="005366A8" w:rsidRDefault="005366A8" w:rsidP="005366A8">
      <w:pPr>
        <w:spacing w:after="60"/>
        <w:ind w:left="720"/>
        <w:rPr>
          <w:rFonts w:cs="FrankRuehl"/>
          <w:rtl/>
        </w:rPr>
      </w:pPr>
      <w:r w:rsidRPr="00481840">
        <w:rPr>
          <w:rFonts w:ascii="Arial" w:hAnsi="Arial" w:cs="Arial"/>
          <w:b/>
          <w:bCs/>
          <w:rtl/>
        </w:rPr>
        <w:t>שתי התפיסות השונות ביחס למהות השלטון המקומי ומעמדו הראוי</w:t>
      </w:r>
      <w:r w:rsidRPr="00481840">
        <w:rPr>
          <w:rFonts w:cs="FrankRuehl" w:hint="cs"/>
          <w:b/>
          <w:bCs/>
          <w:rtl/>
        </w:rPr>
        <w:t xml:space="preserve">: </w:t>
      </w:r>
    </w:p>
    <w:p w:rsidR="005366A8" w:rsidRDefault="005366A8" w:rsidP="005366A8">
      <w:pPr>
        <w:spacing w:after="60"/>
        <w:ind w:left="720"/>
        <w:rPr>
          <w:rFonts w:cs="FrankRuehl"/>
          <w:rtl/>
        </w:rPr>
      </w:pPr>
    </w:p>
    <w:p w:rsidR="005366A8" w:rsidRPr="00917C23" w:rsidRDefault="005366A8" w:rsidP="005366A8">
      <w:pPr>
        <w:spacing w:after="60"/>
        <w:ind w:left="720"/>
        <w:rPr>
          <w:rFonts w:cs="FrankRuehl"/>
          <w:rtl/>
        </w:rPr>
      </w:pPr>
      <w:r>
        <w:rPr>
          <w:rFonts w:cs="FrankRuehl" w:hint="cs"/>
          <w:rtl/>
        </w:rPr>
        <w:t>מאמרו של ישי בלנק</w:t>
      </w:r>
      <w:r w:rsidRPr="00917C23">
        <w:rPr>
          <w:rFonts w:cs="FrankRuehl" w:hint="cs"/>
          <w:rtl/>
        </w:rPr>
        <w:t>;</w:t>
      </w:r>
    </w:p>
    <w:p w:rsidR="005366A8" w:rsidRDefault="005366A8" w:rsidP="005366A8">
      <w:pPr>
        <w:spacing w:after="60"/>
        <w:ind w:left="720"/>
        <w:rPr>
          <w:rFonts w:cs="FrankRuehl"/>
          <w:rtl/>
        </w:rPr>
      </w:pPr>
      <w:r w:rsidRPr="00917C23">
        <w:rPr>
          <w:rFonts w:cs="FrankRuehl" w:hint="cs"/>
          <w:rtl/>
        </w:rPr>
        <w:t xml:space="preserve">פס"ד </w:t>
      </w:r>
      <w:r w:rsidRPr="00917C23">
        <w:rPr>
          <w:rFonts w:cs="FrankRuehl" w:hint="cs"/>
          <w:b/>
          <w:bCs/>
          <w:rtl/>
        </w:rPr>
        <w:t>שלום עכשיו</w:t>
      </w:r>
      <w:r w:rsidRPr="00917C23">
        <w:rPr>
          <w:rFonts w:cs="FrankRuehl" w:hint="cs"/>
          <w:rtl/>
        </w:rPr>
        <w:t xml:space="preserve"> במאמרו של ד"ר איסי רוזן-צבי;</w:t>
      </w:r>
    </w:p>
    <w:p w:rsidR="005366A8" w:rsidRPr="00917C23" w:rsidRDefault="005366A8" w:rsidP="005366A8">
      <w:pPr>
        <w:spacing w:after="60"/>
        <w:ind w:left="1440" w:hanging="720"/>
        <w:rPr>
          <w:rFonts w:cs="FrankRuehl"/>
          <w:rtl/>
        </w:rPr>
      </w:pPr>
      <w:r>
        <w:rPr>
          <w:rFonts w:cs="FrankRuehl" w:hint="cs"/>
          <w:rtl/>
        </w:rPr>
        <w:t xml:space="preserve">פס"ד </w:t>
      </w:r>
      <w:r w:rsidRPr="00A14F5F">
        <w:rPr>
          <w:rFonts w:cs="FrankRuehl" w:hint="cs"/>
          <w:b/>
          <w:bCs/>
          <w:rtl/>
        </w:rPr>
        <w:t>עיריית חולון נ' שר הפנים</w:t>
      </w:r>
      <w:r>
        <w:rPr>
          <w:rFonts w:cs="FrankRuehl" w:hint="cs"/>
          <w:rtl/>
        </w:rPr>
        <w:t xml:space="preserve">, השופטת ברק-ארז </w:t>
      </w:r>
      <w:r>
        <w:rPr>
          <w:rFonts w:cs="FrankRuehl"/>
          <w:rtl/>
        </w:rPr>
        <w:t>–</w:t>
      </w:r>
      <w:r>
        <w:rPr>
          <w:rFonts w:cs="FrankRuehl" w:hint="cs"/>
          <w:rtl/>
        </w:rPr>
        <w:t xml:space="preserve"> קביעה עירונית של אגרת פינוי פסולת שהיא מעבר לחבות במס המקומי </w:t>
      </w:r>
      <w:r>
        <w:rPr>
          <w:rFonts w:cs="FrankRuehl"/>
          <w:rtl/>
        </w:rPr>
        <w:t>–</w:t>
      </w:r>
      <w:r>
        <w:rPr>
          <w:rFonts w:cs="FrankRuehl" w:hint="cs"/>
          <w:rtl/>
        </w:rPr>
        <w:t xml:space="preserve"> הארנונה (בהמשך);</w:t>
      </w:r>
    </w:p>
    <w:p w:rsidR="005366A8" w:rsidRPr="00917C23" w:rsidRDefault="005366A8" w:rsidP="005366A8">
      <w:pPr>
        <w:spacing w:after="60"/>
        <w:ind w:left="720"/>
        <w:rPr>
          <w:rFonts w:cs="FrankRuehl"/>
          <w:rtl/>
        </w:rPr>
      </w:pPr>
      <w:r>
        <w:rPr>
          <w:rFonts w:cs="FrankRuehl" w:hint="cs"/>
          <w:rtl/>
        </w:rPr>
        <w:t xml:space="preserve">החלק האחרון בשאלת </w:t>
      </w:r>
      <w:r w:rsidRPr="00917C23">
        <w:rPr>
          <w:rFonts w:cs="FrankRuehl" w:hint="cs"/>
          <w:rtl/>
        </w:rPr>
        <w:t xml:space="preserve">הבחינה </w:t>
      </w:r>
      <w:r>
        <w:rPr>
          <w:rFonts w:cs="FrankRuehl" w:hint="cs"/>
          <w:rtl/>
        </w:rPr>
        <w:t xml:space="preserve">משנה </w:t>
      </w:r>
      <w:r w:rsidRPr="00917C23">
        <w:rPr>
          <w:rFonts w:cs="FrankRuehl" w:hint="cs"/>
          <w:rtl/>
        </w:rPr>
        <w:t>קודמת</w:t>
      </w:r>
      <w:r>
        <w:rPr>
          <w:rFonts w:cs="FrankRuehl" w:hint="cs"/>
          <w:rtl/>
        </w:rPr>
        <w:t xml:space="preserve"> שנפרסה למחשבתכם (הפתרון המוצע, בהמשך)</w:t>
      </w:r>
      <w:r w:rsidRPr="00917C23">
        <w:rPr>
          <w:rFonts w:cs="FrankRuehl" w:hint="cs"/>
          <w:rtl/>
        </w:rPr>
        <w:t>.</w:t>
      </w:r>
    </w:p>
    <w:p w:rsidR="005366A8" w:rsidRDefault="005366A8" w:rsidP="005366A8">
      <w:pPr>
        <w:spacing w:after="60"/>
        <w:ind w:left="720"/>
        <w:rPr>
          <w:rFonts w:cs="FrankRuehl"/>
          <w:rtl/>
        </w:rPr>
      </w:pPr>
    </w:p>
    <w:p w:rsidR="005366A8" w:rsidRDefault="005366A8" w:rsidP="005366A8">
      <w:pPr>
        <w:spacing w:after="60"/>
        <w:ind w:left="720"/>
        <w:rPr>
          <w:rFonts w:cs="FrankRuehl"/>
          <w:rtl/>
        </w:rPr>
      </w:pPr>
    </w:p>
    <w:p w:rsidR="005366A8" w:rsidRPr="00481840" w:rsidRDefault="005366A8" w:rsidP="005366A8">
      <w:pPr>
        <w:spacing w:after="60"/>
        <w:rPr>
          <w:rFonts w:ascii="Arial" w:hAnsi="Arial" w:cs="Arial"/>
          <w:b/>
          <w:bCs/>
          <w:rtl/>
        </w:rPr>
      </w:pPr>
      <w:r>
        <w:rPr>
          <w:rFonts w:ascii="Arial" w:hAnsi="Arial" w:cs="Arial" w:hint="cs"/>
          <w:b/>
          <w:bCs/>
          <w:rtl/>
        </w:rPr>
        <w:t xml:space="preserve">חלוקת סמכויות אחרת, זו המופיעה </w:t>
      </w:r>
      <w:r w:rsidRPr="00342B7A">
        <w:rPr>
          <w:rFonts w:ascii="Arial" w:hAnsi="Arial" w:cs="Arial" w:hint="cs"/>
          <w:b/>
          <w:bCs/>
          <w:u w:val="single"/>
          <w:rtl/>
        </w:rPr>
        <w:t>בין האורגנים השונים של הרשות המקומית</w:t>
      </w:r>
      <w:r>
        <w:rPr>
          <w:rFonts w:ascii="Arial" w:hAnsi="Arial" w:cs="Arial" w:hint="cs"/>
          <w:b/>
          <w:bCs/>
          <w:u w:val="single"/>
          <w:rtl/>
        </w:rPr>
        <w:t>:</w:t>
      </w:r>
    </w:p>
    <w:p w:rsidR="005366A8" w:rsidRDefault="005366A8" w:rsidP="005366A8">
      <w:pPr>
        <w:spacing w:after="60"/>
        <w:ind w:left="720"/>
        <w:rPr>
          <w:rFonts w:ascii="Arial" w:hAnsi="Arial" w:cs="Arial"/>
          <w:b/>
          <w:bCs/>
          <w:rtl/>
        </w:rPr>
      </w:pPr>
      <w:r>
        <w:rPr>
          <w:rFonts w:ascii="Arial" w:hAnsi="Arial" w:cs="Arial" w:hint="cs"/>
          <w:b/>
          <w:bCs/>
          <w:rtl/>
        </w:rPr>
        <w:t xml:space="preserve">שיטת שני הפתקים </w:t>
      </w:r>
      <w:r>
        <w:rPr>
          <w:rFonts w:ascii="Arial" w:hAnsi="Arial" w:cs="Arial"/>
          <w:b/>
          <w:bCs/>
          <w:rtl/>
        </w:rPr>
        <w:t>–</w:t>
      </w:r>
      <w:r>
        <w:rPr>
          <w:rFonts w:ascii="Arial" w:hAnsi="Arial" w:cs="Arial" w:hint="cs"/>
          <w:b/>
          <w:bCs/>
          <w:rtl/>
        </w:rPr>
        <w:t xml:space="preserve"> הבחירות הישירות של ראש הרשות המקומית/ ראש העיר, זאת במקביל להצבעה עבור סיעה כזו או אחרת במועצת העיר.</w:t>
      </w:r>
    </w:p>
    <w:p w:rsidR="005366A8" w:rsidRDefault="005366A8" w:rsidP="005366A8">
      <w:pPr>
        <w:spacing w:after="60"/>
        <w:ind w:left="720"/>
        <w:rPr>
          <w:rFonts w:ascii="Arial" w:hAnsi="Arial" w:cs="Arial"/>
          <w:b/>
          <w:bCs/>
          <w:rtl/>
        </w:rPr>
      </w:pPr>
    </w:p>
    <w:p w:rsidR="005366A8" w:rsidRDefault="005366A8" w:rsidP="005366A8">
      <w:pPr>
        <w:spacing w:after="60"/>
        <w:rPr>
          <w:rFonts w:cs="FrankRuehl"/>
          <w:rtl/>
        </w:rPr>
      </w:pPr>
      <w:r>
        <w:rPr>
          <w:rFonts w:cs="FrankRuehl" w:hint="cs"/>
          <w:highlight w:val="yellow"/>
          <w:rtl/>
        </w:rPr>
        <w:t xml:space="preserve">פסק דין העוסק בחלוקת הסמכויות השנייה, הוא </w:t>
      </w:r>
      <w:r w:rsidRPr="0073667A">
        <w:rPr>
          <w:rFonts w:cs="FrankRuehl" w:hint="cs"/>
          <w:highlight w:val="yellow"/>
          <w:rtl/>
        </w:rPr>
        <w:t>בג</w:t>
      </w:r>
      <w:r>
        <w:rPr>
          <w:rFonts w:cs="FrankRuehl" w:hint="cs"/>
          <w:highlight w:val="yellow"/>
          <w:rtl/>
        </w:rPr>
        <w:t>"</w:t>
      </w:r>
      <w:r w:rsidRPr="0073667A">
        <w:rPr>
          <w:rFonts w:cs="FrankRuehl" w:hint="cs"/>
          <w:highlight w:val="yellow"/>
          <w:rtl/>
        </w:rPr>
        <w:t xml:space="preserve">ץ 754/86 </w:t>
      </w:r>
      <w:r w:rsidRPr="0073667A">
        <w:rPr>
          <w:rFonts w:cs="FrankRuehl" w:hint="cs"/>
          <w:b/>
          <w:bCs/>
          <w:highlight w:val="yellow"/>
          <w:rtl/>
        </w:rPr>
        <w:t>וחידי נ' שר החינוך</w:t>
      </w:r>
      <w:r w:rsidRPr="0073667A">
        <w:rPr>
          <w:rFonts w:cs="FrankRuehl" w:hint="cs"/>
          <w:highlight w:val="yellow"/>
          <w:rtl/>
        </w:rPr>
        <w:t>, פ"ד מ(4) 799 (1987)</w:t>
      </w:r>
    </w:p>
    <w:p w:rsidR="005366A8" w:rsidRPr="00712A34" w:rsidRDefault="005366A8" w:rsidP="005366A8">
      <w:pPr>
        <w:spacing w:after="60"/>
        <w:rPr>
          <w:rFonts w:cs="FrankRuehl"/>
          <w:sz w:val="22"/>
          <w:szCs w:val="22"/>
          <w:rtl/>
        </w:rPr>
      </w:pPr>
    </w:p>
    <w:p w:rsidR="005366A8" w:rsidRPr="00712A34" w:rsidRDefault="005366A8" w:rsidP="005366A8">
      <w:pPr>
        <w:tabs>
          <w:tab w:val="left" w:pos="288"/>
          <w:tab w:val="left" w:pos="1008"/>
          <w:tab w:val="left" w:pos="4896"/>
        </w:tabs>
        <w:autoSpaceDE w:val="0"/>
        <w:autoSpaceDN w:val="0"/>
        <w:adjustRightInd w:val="0"/>
        <w:spacing w:after="60"/>
        <w:ind w:firstLine="283"/>
        <w:rPr>
          <w:rFonts w:cs="FrankRuehl"/>
          <w:sz w:val="22"/>
          <w:szCs w:val="22"/>
          <w:rtl/>
        </w:rPr>
      </w:pPr>
      <w:r w:rsidRPr="00712A34">
        <w:rPr>
          <w:rFonts w:cs="FrankRuehl"/>
          <w:color w:val="FFFFFF"/>
          <w:sz w:val="22"/>
          <w:szCs w:val="22"/>
          <w:rtl/>
        </w:rPr>
        <w:t>נ</w:t>
      </w:r>
      <w:r w:rsidRPr="00712A34">
        <w:rPr>
          <w:rFonts w:cs="FrankRuehl"/>
          <w:sz w:val="22"/>
          <w:szCs w:val="22"/>
          <w:rtl/>
        </w:rPr>
        <w:t xml:space="preserve"> </w:t>
      </w:r>
      <w:r w:rsidRPr="00712A34">
        <w:rPr>
          <w:rFonts w:cs="FrankRuehl"/>
          <w:sz w:val="22"/>
          <w:szCs w:val="22"/>
        </w:rPr>
        <w:t xml:space="preserve"> .1</w:t>
      </w:r>
      <w:r w:rsidRPr="00712A34">
        <w:rPr>
          <w:rFonts w:cs="FrankRuehl"/>
          <w:sz w:val="22"/>
          <w:szCs w:val="22"/>
          <w:rtl/>
        </w:rPr>
        <w:t>באזור העיר העתיקה ברמלה גרים יהודים</w:t>
      </w:r>
      <w:r w:rsidRPr="00712A34">
        <w:rPr>
          <w:rFonts w:cs="FrankRuehl"/>
          <w:sz w:val="22"/>
          <w:szCs w:val="22"/>
        </w:rPr>
        <w:t xml:space="preserve"> </w:t>
      </w:r>
      <w:r w:rsidRPr="00712A34">
        <w:rPr>
          <w:rFonts w:cs="FrankRuehl"/>
          <w:sz w:val="22"/>
          <w:szCs w:val="22"/>
          <w:rtl/>
        </w:rPr>
        <w:t xml:space="preserve">וערבים גם יחד. הילדים היהודיים מבקרים בבתי-ספר יהודיים, והילדים הערביים מבקרים בבית-ספר ערבי. חלק מהמבנה של בית הספר הערבי נהרס. חלק מהתלמידים הערביים נשארו ללא קורת גג. על דעת ראש עיריית רמלה (המשיב 3) ועל דעת שר החינוך והתרבות ומנהל משרדו (המשיבים </w:t>
      </w:r>
      <w:r w:rsidRPr="00712A34">
        <w:rPr>
          <w:rFonts w:cs="FrankRuehl"/>
          <w:sz w:val="22"/>
          <w:szCs w:val="22"/>
        </w:rPr>
        <w:t>1</w:t>
      </w:r>
      <w:r w:rsidRPr="00712A34">
        <w:rPr>
          <w:rFonts w:cs="FrankRuehl"/>
          <w:sz w:val="22"/>
          <w:szCs w:val="22"/>
          <w:rtl/>
        </w:rPr>
        <w:t xml:space="preserve">ו-2) הוחלט להעביר את כל התלמידים הערביים לבית-ספר ביאליק, המצוי בשכונה. תלמידיו היהודיים של בית-ספר זה אמורים לעבור לבית-ספר יהודי קרוב. דא עקא, שמועצת עיריית רמלה (המשיבה 4) מתנגדת להסדר זה. </w:t>
      </w:r>
      <w:r w:rsidRPr="00342B7A">
        <w:rPr>
          <w:rFonts w:cs="FrankRuehl"/>
          <w:sz w:val="22"/>
          <w:szCs w:val="22"/>
          <w:highlight w:val="yellow"/>
          <w:rtl/>
        </w:rPr>
        <w:t xml:space="preserve">לטענתה, </w:t>
      </w:r>
      <w:r w:rsidRPr="00342B7A">
        <w:rPr>
          <w:rFonts w:cs="FrankRuehl" w:hint="cs"/>
          <w:sz w:val="22"/>
          <w:szCs w:val="22"/>
          <w:highlight w:val="yellow"/>
          <w:rtl/>
        </w:rPr>
        <w:t>ק</w:t>
      </w:r>
      <w:r w:rsidRPr="00342B7A">
        <w:rPr>
          <w:rFonts w:cs="FrankRuehl"/>
          <w:sz w:val="22"/>
          <w:szCs w:val="22"/>
          <w:highlight w:val="yellow"/>
          <w:rtl/>
        </w:rPr>
        <w:t>יים חשש לבעיות ביטחוניות, אשר יתעוררו בשל כך שתלמידים ערביים</w:t>
      </w:r>
      <w:r w:rsidRPr="00342B7A">
        <w:rPr>
          <w:rFonts w:cs="FrankRuehl"/>
          <w:sz w:val="22"/>
          <w:szCs w:val="22"/>
          <w:highlight w:val="yellow"/>
        </w:rPr>
        <w:t xml:space="preserve"> </w:t>
      </w:r>
      <w:r w:rsidRPr="00342B7A">
        <w:rPr>
          <w:rFonts w:cs="FrankRuehl"/>
          <w:sz w:val="22"/>
          <w:szCs w:val="22"/>
          <w:highlight w:val="yellow"/>
          <w:rtl/>
        </w:rPr>
        <w:t>לומדים באזור יהודי, ליד בתי-כנסת יהודיים</w:t>
      </w:r>
      <w:r w:rsidRPr="00712A34">
        <w:rPr>
          <w:rFonts w:cs="FrankRuehl"/>
          <w:sz w:val="22"/>
          <w:szCs w:val="22"/>
          <w:rtl/>
        </w:rPr>
        <w:t xml:space="preserve">. על רקע זה באה העתירה שלפנינו, המכוונת אל המשיבים והמבקשת מהם לבוא וליתן טעם, מדוע לא יימסר בניין בית הספר "ביאליק" לרשות בית הספר הממלכתי הערבי ברמלה. המחלוקת העיקרית של העותרים היא עם המשיבה </w:t>
      </w:r>
      <w:r w:rsidRPr="00712A34">
        <w:rPr>
          <w:rFonts w:cs="FrankRuehl"/>
          <w:sz w:val="22"/>
          <w:szCs w:val="22"/>
        </w:rPr>
        <w:t>4</w:t>
      </w:r>
      <w:r w:rsidRPr="00712A34">
        <w:rPr>
          <w:rFonts w:cs="FrankRuehl" w:hint="cs"/>
          <w:sz w:val="22"/>
          <w:szCs w:val="22"/>
          <w:rtl/>
        </w:rPr>
        <w:t xml:space="preserve"> </w:t>
      </w:r>
      <w:r w:rsidRPr="00712A34">
        <w:rPr>
          <w:rFonts w:cs="FrankRuehl"/>
          <w:sz w:val="22"/>
          <w:szCs w:val="22"/>
          <w:rtl/>
        </w:rPr>
        <w:t xml:space="preserve">(מועצת העירייה), שכן שאר המשיבים (שר החינוך והתרבות, המנהל הכללי של משרד החינוך והתרבות, ראש עיריית רמלה) מסכימים למסירת בית הספר כמבוקש. בטיעונה לפנינו טענה המועצה, כי </w:t>
      </w:r>
      <w:r w:rsidRPr="000A4C05">
        <w:rPr>
          <w:rFonts w:cs="FrankRuehl"/>
          <w:sz w:val="22"/>
          <w:szCs w:val="22"/>
          <w:highlight w:val="yellow"/>
          <w:rtl/>
        </w:rPr>
        <w:t>הסמכות</w:t>
      </w:r>
      <w:r w:rsidRPr="00712A34">
        <w:rPr>
          <w:rFonts w:cs="FrankRuehl"/>
          <w:sz w:val="22"/>
          <w:szCs w:val="22"/>
          <w:rtl/>
        </w:rPr>
        <w:t xml:space="preserve"> למסור את בית הספר ביאליק לייעודו החדש היא סמכותה של המועצה, וכי שיקוליה שלה שלא למסור את בית הספר הם </w:t>
      </w:r>
      <w:r w:rsidRPr="000A4C05">
        <w:rPr>
          <w:rFonts w:cs="FrankRuehl"/>
          <w:sz w:val="22"/>
          <w:szCs w:val="22"/>
          <w:highlight w:val="yellow"/>
          <w:rtl/>
        </w:rPr>
        <w:t>שיקולים סבירים</w:t>
      </w:r>
      <w:r w:rsidRPr="00712A34">
        <w:rPr>
          <w:rFonts w:cs="FrankRuehl"/>
          <w:sz w:val="22"/>
          <w:szCs w:val="22"/>
          <w:rtl/>
        </w:rPr>
        <w:t>, שאין מקום להתערבותנו בהם</w:t>
      </w:r>
      <w:r>
        <w:rPr>
          <w:rFonts w:cs="FrankRuehl" w:hint="cs"/>
          <w:sz w:val="22"/>
          <w:szCs w:val="22"/>
          <w:rtl/>
        </w:rPr>
        <w:t>.</w:t>
      </w:r>
    </w:p>
    <w:p w:rsidR="005366A8" w:rsidRDefault="005366A8" w:rsidP="005366A8">
      <w:pPr>
        <w:tabs>
          <w:tab w:val="left" w:pos="288"/>
          <w:tab w:val="left" w:pos="1008"/>
          <w:tab w:val="left" w:pos="1296"/>
        </w:tabs>
        <w:autoSpaceDE w:val="0"/>
        <w:autoSpaceDN w:val="0"/>
        <w:adjustRightInd w:val="0"/>
        <w:spacing w:after="60"/>
        <w:ind w:firstLine="283"/>
        <w:rPr>
          <w:rFonts w:cs="FrankRuehl"/>
          <w:sz w:val="22"/>
          <w:szCs w:val="22"/>
          <w:rtl/>
        </w:rPr>
      </w:pPr>
      <w:r w:rsidRPr="00712A34">
        <w:rPr>
          <w:rFonts w:cs="FrankRuehl"/>
          <w:sz w:val="22"/>
          <w:szCs w:val="22"/>
        </w:rPr>
        <w:t>.2</w:t>
      </w:r>
      <w:r w:rsidRPr="00712A34">
        <w:rPr>
          <w:rFonts w:cs="FrankRuehl"/>
          <w:sz w:val="22"/>
          <w:szCs w:val="22"/>
          <w:rtl/>
        </w:rPr>
        <w:t xml:space="preserve">למי הסמכות בעניין זה? לדעתנו, הסמכות בעניין זה נתונה לראש העירייה, וכך הוחלט בבג"צ </w:t>
      </w:r>
      <w:r w:rsidRPr="00712A34">
        <w:rPr>
          <w:rFonts w:cs="FrankRuehl"/>
          <w:sz w:val="22"/>
          <w:szCs w:val="22"/>
        </w:rPr>
        <w:t>409/82</w:t>
      </w:r>
      <w:r w:rsidRPr="00712A34">
        <w:rPr>
          <w:rFonts w:cs="FrankRuehl"/>
          <w:sz w:val="22"/>
          <w:szCs w:val="22"/>
          <w:rtl/>
        </w:rPr>
        <w:t xml:space="preserve"> [1]. הטעם לכך הוא, כי עניינה של העתירה הוא </w:t>
      </w:r>
      <w:r w:rsidRPr="00712A34">
        <w:rPr>
          <w:rFonts w:cs="David"/>
          <w:sz w:val="22"/>
          <w:szCs w:val="22"/>
          <w:rtl/>
        </w:rPr>
        <w:t>"ענין הנדון בחוק לימוד חובה, תש"ט-</w:t>
      </w:r>
      <w:r w:rsidRPr="00712A34">
        <w:rPr>
          <w:rFonts w:cs="David"/>
          <w:sz w:val="22"/>
          <w:szCs w:val="22"/>
        </w:rPr>
        <w:t>1949</w:t>
      </w:r>
      <w:r w:rsidRPr="00712A34">
        <w:rPr>
          <w:rFonts w:cs="David"/>
          <w:sz w:val="22"/>
          <w:szCs w:val="22"/>
          <w:rtl/>
        </w:rPr>
        <w:t xml:space="preserve">" (סעיף </w:t>
      </w:r>
      <w:r w:rsidRPr="00712A34">
        <w:rPr>
          <w:rFonts w:cs="David"/>
          <w:sz w:val="22"/>
          <w:szCs w:val="22"/>
        </w:rPr>
        <w:t>1</w:t>
      </w:r>
      <w:r w:rsidRPr="00712A34">
        <w:rPr>
          <w:rFonts w:cs="David"/>
          <w:sz w:val="22"/>
          <w:szCs w:val="22"/>
          <w:rtl/>
        </w:rPr>
        <w:t>לפקודת החינוך [נוסח חדש], תשל"ח-</w:t>
      </w:r>
      <w:r w:rsidRPr="00712A34">
        <w:rPr>
          <w:rFonts w:cs="David"/>
          <w:sz w:val="22"/>
          <w:szCs w:val="22"/>
        </w:rPr>
        <w:t>1978</w:t>
      </w:r>
      <w:r w:rsidRPr="00712A34">
        <w:rPr>
          <w:rFonts w:cs="David"/>
          <w:sz w:val="22"/>
          <w:szCs w:val="22"/>
          <w:rtl/>
        </w:rPr>
        <w:t>),</w:t>
      </w:r>
      <w:r w:rsidRPr="00712A34">
        <w:rPr>
          <w:rFonts w:cs="FrankRuehl"/>
          <w:sz w:val="22"/>
          <w:szCs w:val="22"/>
          <w:rtl/>
        </w:rPr>
        <w:t xml:space="preserve"> והסמכות להחליט בעניין זה נתונה </w:t>
      </w:r>
      <w:r w:rsidRPr="00712A34">
        <w:rPr>
          <w:rFonts w:cs="David"/>
          <w:b/>
          <w:bCs/>
          <w:sz w:val="22"/>
          <w:szCs w:val="22"/>
          <w:highlight w:val="yellow"/>
          <w:rtl/>
        </w:rPr>
        <w:t>"רשות החינוך המקומית כמשמעותה בחוק</w:t>
      </w:r>
      <w:r w:rsidRPr="00712A34">
        <w:rPr>
          <w:rFonts w:cs="David"/>
          <w:sz w:val="22"/>
          <w:szCs w:val="22"/>
          <w:highlight w:val="yellow"/>
          <w:rtl/>
        </w:rPr>
        <w:t xml:space="preserve"> האמור".</w:t>
      </w:r>
      <w:r w:rsidRPr="00712A34">
        <w:rPr>
          <w:rFonts w:cs="David"/>
          <w:sz w:val="22"/>
          <w:szCs w:val="22"/>
          <w:rtl/>
        </w:rPr>
        <w:t xml:space="preserve"> "רשות חינוך מקומית" בחוק לימוד חובה, תש"ט-</w:t>
      </w:r>
      <w:r w:rsidRPr="00712A34">
        <w:rPr>
          <w:rFonts w:cs="David"/>
          <w:sz w:val="22"/>
          <w:szCs w:val="22"/>
        </w:rPr>
        <w:t>1949</w:t>
      </w:r>
      <w:r w:rsidRPr="00712A34">
        <w:rPr>
          <w:rFonts w:cs="David"/>
          <w:sz w:val="22"/>
          <w:szCs w:val="22"/>
          <w:rtl/>
        </w:rPr>
        <w:t>, היא "אותה רשות מקומית".</w:t>
      </w:r>
      <w:r w:rsidRPr="00712A34">
        <w:rPr>
          <w:rFonts w:cs="FrankRuehl"/>
          <w:sz w:val="22"/>
          <w:szCs w:val="22"/>
          <w:rtl/>
        </w:rPr>
        <w:t xml:space="preserve"> נמצא, כי על-פי פקודת החינוך [נוסח חדש], הסמכות נתונה לרשות המקומית. </w:t>
      </w:r>
    </w:p>
    <w:p w:rsidR="005366A8" w:rsidRPr="00712A34" w:rsidRDefault="005366A8" w:rsidP="005366A8">
      <w:pPr>
        <w:tabs>
          <w:tab w:val="left" w:pos="288"/>
          <w:tab w:val="left" w:pos="1008"/>
          <w:tab w:val="left" w:pos="1296"/>
        </w:tabs>
        <w:autoSpaceDE w:val="0"/>
        <w:autoSpaceDN w:val="0"/>
        <w:adjustRightInd w:val="0"/>
        <w:spacing w:after="60"/>
        <w:ind w:firstLine="283"/>
        <w:rPr>
          <w:rFonts w:cs="David"/>
          <w:sz w:val="22"/>
          <w:szCs w:val="22"/>
        </w:rPr>
      </w:pPr>
      <w:r w:rsidRPr="000A4C05">
        <w:rPr>
          <w:rFonts w:cs="FrankRuehl"/>
          <w:sz w:val="22"/>
          <w:szCs w:val="22"/>
          <w:highlight w:val="yellow"/>
          <w:rtl/>
        </w:rPr>
        <w:t>אך מיהו האורגן המוסמך לפעול מטעמה של הרשות המקומית?</w:t>
      </w:r>
      <w:r w:rsidRPr="00712A34">
        <w:rPr>
          <w:rFonts w:cs="FrankRuehl"/>
          <w:sz w:val="22"/>
          <w:szCs w:val="22"/>
          <w:rtl/>
        </w:rPr>
        <w:t xml:space="preserve"> כידוע, הרשות המקומית היא אישיות משפטית, אשר לה קיום במשפט הפרטי ובמשפט הציבורי. זוהי אישיות שאינה טבעית. סמכויותיה מבוצעות על-ידי אורגנים ושלוחים הפועלים בשמה</w:t>
      </w:r>
      <w:r w:rsidRPr="000A4C05">
        <w:rPr>
          <w:rFonts w:cs="FrankRuehl"/>
          <w:sz w:val="22"/>
          <w:szCs w:val="22"/>
          <w:highlight w:val="yellow"/>
          <w:rtl/>
        </w:rPr>
        <w:t>. כך, למשל, אורגן מוסמך מטעם עירייה הוא ראש העירייה. בדומה, אורגן מוסמך מטעם עירייה היא מועצת</w:t>
      </w:r>
      <w:r w:rsidRPr="000A4C05">
        <w:rPr>
          <w:rFonts w:cs="FrankRuehl" w:hint="cs"/>
          <w:sz w:val="22"/>
          <w:szCs w:val="22"/>
          <w:highlight w:val="yellow"/>
          <w:rtl/>
        </w:rPr>
        <w:t xml:space="preserve"> </w:t>
      </w:r>
      <w:r w:rsidRPr="000A4C05">
        <w:rPr>
          <w:rFonts w:cs="FrankRuehl"/>
          <w:sz w:val="22"/>
          <w:szCs w:val="22"/>
          <w:highlight w:val="yellow"/>
          <w:rtl/>
        </w:rPr>
        <w:t>העירייה. מיהו האורגן המוסמך לעניין שלפנינו?</w:t>
      </w:r>
      <w:r w:rsidRPr="00712A34">
        <w:rPr>
          <w:rFonts w:cs="FrankRuehl"/>
          <w:sz w:val="22"/>
          <w:szCs w:val="22"/>
          <w:rtl/>
        </w:rPr>
        <w:t xml:space="preserve"> התשובה שניתנה על כך בבג"צ </w:t>
      </w:r>
      <w:r w:rsidRPr="00712A34">
        <w:rPr>
          <w:rFonts w:cs="FrankRuehl"/>
          <w:sz w:val="22"/>
          <w:szCs w:val="22"/>
        </w:rPr>
        <w:t>409/82</w:t>
      </w:r>
      <w:r w:rsidRPr="00712A34">
        <w:rPr>
          <w:rFonts w:cs="FrankRuehl"/>
          <w:sz w:val="22"/>
          <w:szCs w:val="22"/>
          <w:rtl/>
        </w:rPr>
        <w:t xml:space="preserve"> [1] הנ"ל היא, כי האורגן המוסמך הוא ראש העיר. הטעם לכך הוא כפול:</w:t>
      </w:r>
      <w:r w:rsidRPr="00712A34">
        <w:rPr>
          <w:rFonts w:cs="FrankRuehl"/>
          <w:color w:val="FFFFFF"/>
          <w:sz w:val="22"/>
          <w:szCs w:val="22"/>
          <w:rtl/>
        </w:rPr>
        <w:t>ב</w:t>
      </w:r>
      <w:r w:rsidRPr="00712A34">
        <w:rPr>
          <w:rFonts w:cs="FrankRuehl"/>
          <w:sz w:val="22"/>
          <w:szCs w:val="22"/>
          <w:rtl/>
        </w:rPr>
        <w:t xml:space="preserve"> </w:t>
      </w:r>
      <w:r>
        <w:rPr>
          <w:rFonts w:cs="FrankRuehl" w:hint="cs"/>
          <w:sz w:val="22"/>
          <w:szCs w:val="22"/>
          <w:rtl/>
        </w:rPr>
        <w:t>...</w:t>
      </w:r>
      <w:r w:rsidRPr="00712A34">
        <w:rPr>
          <w:rFonts w:cs="FrankRuehl"/>
          <w:sz w:val="22"/>
          <w:szCs w:val="22"/>
          <w:rtl/>
        </w:rPr>
        <w:t xml:space="preserve"> שנית - וזה העיקר בעינינו - </w:t>
      </w:r>
      <w:r w:rsidRPr="00712A34">
        <w:rPr>
          <w:rFonts w:cs="David"/>
          <w:sz w:val="22"/>
          <w:szCs w:val="22"/>
          <w:rtl/>
        </w:rPr>
        <w:t xml:space="preserve">משום הוראת סעיף </w:t>
      </w:r>
      <w:r w:rsidRPr="00712A34">
        <w:rPr>
          <w:rFonts w:cs="David"/>
          <w:sz w:val="22"/>
          <w:szCs w:val="22"/>
        </w:rPr>
        <w:t>126</w:t>
      </w:r>
      <w:r w:rsidRPr="00712A34">
        <w:rPr>
          <w:rFonts w:cs="David"/>
          <w:sz w:val="22"/>
          <w:szCs w:val="22"/>
          <w:rtl/>
        </w:rPr>
        <w:t>(א) לפקודת העיריות [נוסח חדש]. הוראה זו קובעת כי</w:t>
      </w:r>
      <w:r w:rsidRPr="00712A34">
        <w:rPr>
          <w:rFonts w:cs="David"/>
          <w:sz w:val="22"/>
          <w:szCs w:val="22"/>
        </w:rPr>
        <w:t xml:space="preserve"> -</w:t>
      </w:r>
    </w:p>
    <w:p w:rsidR="005366A8" w:rsidRPr="00712A34" w:rsidRDefault="005366A8" w:rsidP="005366A8">
      <w:pPr>
        <w:tabs>
          <w:tab w:val="left" w:pos="288"/>
          <w:tab w:val="left" w:pos="1008"/>
          <w:tab w:val="left" w:pos="1296"/>
        </w:tabs>
        <w:autoSpaceDE w:val="0"/>
        <w:autoSpaceDN w:val="0"/>
        <w:adjustRightInd w:val="0"/>
        <w:spacing w:after="60"/>
        <w:ind w:left="567" w:right="567"/>
        <w:rPr>
          <w:rFonts w:cs="David"/>
          <w:sz w:val="22"/>
          <w:szCs w:val="22"/>
          <w:rtl/>
        </w:rPr>
      </w:pPr>
      <w:r w:rsidRPr="000A4C05">
        <w:rPr>
          <w:rFonts w:cs="David"/>
          <w:sz w:val="22"/>
          <w:szCs w:val="22"/>
          <w:highlight w:val="yellow"/>
        </w:rPr>
        <w:t>"</w:t>
      </w:r>
      <w:r w:rsidRPr="000A4C05">
        <w:rPr>
          <w:rFonts w:cs="David"/>
          <w:sz w:val="22"/>
          <w:szCs w:val="22"/>
          <w:highlight w:val="yellow"/>
          <w:rtl/>
        </w:rPr>
        <w:t>(א) עיריה תפעל באמצעות ראש העיריה; אין בהוראה זו כדי לפגוע בסמכויות המועצה לפי פקודה זו... או לפי כל דין אחר</w:t>
      </w:r>
      <w:r w:rsidRPr="000A4C05">
        <w:rPr>
          <w:rFonts w:cs="David"/>
          <w:sz w:val="22"/>
          <w:szCs w:val="22"/>
          <w:highlight w:val="yellow"/>
        </w:rPr>
        <w:t>".</w:t>
      </w:r>
    </w:p>
    <w:p w:rsidR="005366A8" w:rsidRPr="00712A34" w:rsidRDefault="005366A8" w:rsidP="005366A8">
      <w:pPr>
        <w:tabs>
          <w:tab w:val="left" w:pos="288"/>
          <w:tab w:val="left" w:pos="1008"/>
          <w:tab w:val="left" w:pos="1296"/>
        </w:tabs>
        <w:autoSpaceDE w:val="0"/>
        <w:autoSpaceDN w:val="0"/>
        <w:adjustRightInd w:val="0"/>
        <w:spacing w:after="60"/>
        <w:ind w:firstLine="283"/>
        <w:rPr>
          <w:rFonts w:cs="FrankRuehl"/>
          <w:sz w:val="22"/>
          <w:szCs w:val="22"/>
          <w:rtl/>
        </w:rPr>
      </w:pPr>
      <w:r w:rsidRPr="00712A34">
        <w:rPr>
          <w:rFonts w:cs="FrankRuehl"/>
          <w:sz w:val="22"/>
          <w:szCs w:val="22"/>
          <w:rtl/>
        </w:rPr>
        <w:t xml:space="preserve">על-פי הוראה זו, </w:t>
      </w:r>
      <w:r w:rsidRPr="000A4C05">
        <w:rPr>
          <w:rFonts w:cs="FrankRuehl"/>
          <w:sz w:val="22"/>
          <w:szCs w:val="22"/>
          <w:highlight w:val="yellow"/>
          <w:rtl/>
        </w:rPr>
        <w:t>"הסמכות</w:t>
      </w:r>
      <w:r w:rsidRPr="000A4C05">
        <w:rPr>
          <w:rFonts w:cs="FrankRuehl"/>
          <w:sz w:val="22"/>
          <w:szCs w:val="22"/>
          <w:highlight w:val="yellow"/>
        </w:rPr>
        <w:t xml:space="preserve"> </w:t>
      </w:r>
      <w:r w:rsidRPr="000A4C05">
        <w:rPr>
          <w:rFonts w:cs="FrankRuehl"/>
          <w:sz w:val="22"/>
          <w:szCs w:val="22"/>
          <w:highlight w:val="yellow"/>
          <w:rtl/>
        </w:rPr>
        <w:t>העודפת"</w:t>
      </w:r>
      <w:r w:rsidRPr="00712A34">
        <w:rPr>
          <w:rFonts w:cs="FrankRuehl"/>
          <w:sz w:val="22"/>
          <w:szCs w:val="22"/>
          <w:rtl/>
        </w:rPr>
        <w:t xml:space="preserve"> לעניין עירייה נתונה לראש העירייה (השווה סעיף </w:t>
      </w:r>
      <w:r w:rsidRPr="00712A34">
        <w:rPr>
          <w:rFonts w:cs="FrankRuehl"/>
          <w:sz w:val="22"/>
          <w:szCs w:val="22"/>
        </w:rPr>
        <w:t>29</w:t>
      </w:r>
      <w:r>
        <w:rPr>
          <w:rFonts w:cs="FrankRuehl" w:hint="cs"/>
          <w:sz w:val="22"/>
          <w:szCs w:val="22"/>
          <w:rtl/>
        </w:rPr>
        <w:t xml:space="preserve"> </w:t>
      </w:r>
      <w:r w:rsidRPr="00712A34">
        <w:rPr>
          <w:rFonts w:cs="FrankRuehl"/>
          <w:sz w:val="22"/>
          <w:szCs w:val="22"/>
          <w:rtl/>
        </w:rPr>
        <w:t>לחוק-יסוד:</w:t>
      </w:r>
      <w:r w:rsidRPr="00712A34">
        <w:rPr>
          <w:rFonts w:cs="FrankRuehl"/>
          <w:color w:val="FFFFFF"/>
          <w:sz w:val="22"/>
          <w:szCs w:val="22"/>
          <w:rtl/>
        </w:rPr>
        <w:t>ו</w:t>
      </w:r>
      <w:r w:rsidRPr="00712A34">
        <w:rPr>
          <w:rFonts w:cs="FrankRuehl"/>
          <w:sz w:val="22"/>
          <w:szCs w:val="22"/>
          <w:rtl/>
        </w:rPr>
        <w:t xml:space="preserve">הממשלה, לעניין הממשלה). נמצא, כי מקום שהחוק מעניק זכות או כוח לעירייה, והדין לא קובע מיהו האורגן הפועל בשם העירייה או מטעמה, כי אז האורגן המוסמך הוא "ראש העירייה". הסדר זה מהווה תוצאה מהשינוי העקרוני שחל בשלטון המקומי בעקבות הבחירות האישיות של ראשי הרשויות המקומיות </w:t>
      </w:r>
      <w:r w:rsidRPr="00712A34">
        <w:rPr>
          <w:rFonts w:cs="David"/>
          <w:sz w:val="22"/>
          <w:szCs w:val="22"/>
          <w:rtl/>
        </w:rPr>
        <w:t>(חוק הרשויות המקומיות (בחירת ראש הרשות וסגניו וכהונתם), תשל"ה-</w:t>
      </w:r>
      <w:r w:rsidRPr="00712A34">
        <w:rPr>
          <w:rFonts w:cs="David"/>
          <w:sz w:val="22"/>
          <w:szCs w:val="22"/>
        </w:rPr>
        <w:t>1975</w:t>
      </w:r>
      <w:r w:rsidRPr="00712A34">
        <w:rPr>
          <w:rFonts w:cs="David"/>
          <w:sz w:val="22"/>
          <w:szCs w:val="22"/>
          <w:rtl/>
        </w:rPr>
        <w:t>)</w:t>
      </w:r>
      <w:r w:rsidRPr="00712A34">
        <w:rPr>
          <w:rFonts w:cs="FrankRuehl"/>
          <w:sz w:val="22"/>
          <w:szCs w:val="22"/>
          <w:rtl/>
        </w:rPr>
        <w:t>.</w:t>
      </w:r>
    </w:p>
    <w:p w:rsidR="005366A8" w:rsidRPr="00712A34" w:rsidRDefault="005366A8" w:rsidP="005366A8">
      <w:pPr>
        <w:tabs>
          <w:tab w:val="left" w:pos="288"/>
          <w:tab w:val="left" w:pos="1008"/>
          <w:tab w:val="left" w:pos="1296"/>
        </w:tabs>
        <w:autoSpaceDE w:val="0"/>
        <w:autoSpaceDN w:val="0"/>
        <w:adjustRightInd w:val="0"/>
        <w:spacing w:after="60"/>
        <w:ind w:firstLine="283"/>
        <w:rPr>
          <w:rFonts w:cs="FrankRuehl"/>
          <w:sz w:val="22"/>
          <w:szCs w:val="22"/>
          <w:rtl/>
        </w:rPr>
      </w:pPr>
      <w:r w:rsidRPr="00712A34">
        <w:rPr>
          <w:rFonts w:cs="FrankRuehl"/>
          <w:sz w:val="22"/>
          <w:szCs w:val="22"/>
        </w:rPr>
        <w:t>.</w:t>
      </w:r>
      <w:r w:rsidRPr="00712A34">
        <w:rPr>
          <w:rFonts w:cs="FrankRuehl"/>
          <w:sz w:val="22"/>
          <w:szCs w:val="22"/>
          <w:highlight w:val="yellow"/>
        </w:rPr>
        <w:t>3</w:t>
      </w:r>
      <w:r w:rsidRPr="00712A34">
        <w:rPr>
          <w:rFonts w:cs="FrankRuehl"/>
          <w:sz w:val="22"/>
          <w:szCs w:val="22"/>
          <w:highlight w:val="yellow"/>
          <w:rtl/>
        </w:rPr>
        <w:t>דעתנו היא איפוא, כי נושא העתירה שלפנינו - ביצוע חוק לימוד ח</w:t>
      </w:r>
      <w:r>
        <w:rPr>
          <w:rFonts w:cs="FrankRuehl" w:hint="cs"/>
          <w:sz w:val="22"/>
          <w:szCs w:val="22"/>
          <w:highlight w:val="yellow"/>
          <w:rtl/>
        </w:rPr>
        <w:t>ו</w:t>
      </w:r>
      <w:r w:rsidRPr="00712A34">
        <w:rPr>
          <w:rFonts w:cs="FrankRuehl"/>
          <w:sz w:val="22"/>
          <w:szCs w:val="22"/>
          <w:highlight w:val="yellow"/>
          <w:rtl/>
        </w:rPr>
        <w:t>בה לעניין התלמידים הערביים באזור העיר העתיקה ברמלה - נתון לסמכותו של ראש העירייה ולא לסמכותה של מועצת העירייה. משהגענו</w:t>
      </w:r>
      <w:r w:rsidRPr="00712A34">
        <w:rPr>
          <w:rFonts w:cs="FrankRuehl"/>
          <w:sz w:val="22"/>
          <w:szCs w:val="22"/>
          <w:highlight w:val="yellow"/>
        </w:rPr>
        <w:t xml:space="preserve"> </w:t>
      </w:r>
      <w:r w:rsidRPr="00712A34">
        <w:rPr>
          <w:rFonts w:cs="FrankRuehl"/>
          <w:sz w:val="22"/>
          <w:szCs w:val="22"/>
          <w:highlight w:val="yellow"/>
          <w:rtl/>
        </w:rPr>
        <w:t>למסקנה זו, שוב אין לנו צורך לנקוט עמדה בשאלות אחרות שהתעוררו בטיעון לפנינו</w:t>
      </w:r>
      <w:r w:rsidRPr="00712A34">
        <w:rPr>
          <w:rFonts w:cs="FrankRuehl"/>
          <w:sz w:val="22"/>
          <w:szCs w:val="22"/>
          <w:rtl/>
        </w:rPr>
        <w:t xml:space="preserve"> היום, כגון האם חייב ראש העירייה להישמע להוראת שר החינוך בעניין זה, והאם יש מקום להתערבותנו בעמדתה של המועצה לגופה.</w:t>
      </w:r>
    </w:p>
    <w:p w:rsidR="005366A8" w:rsidRDefault="005366A8" w:rsidP="005366A8">
      <w:pPr>
        <w:tabs>
          <w:tab w:val="left" w:pos="288"/>
          <w:tab w:val="left" w:pos="1008"/>
          <w:tab w:val="left" w:pos="4896"/>
        </w:tabs>
        <w:autoSpaceDE w:val="0"/>
        <w:autoSpaceDN w:val="0"/>
        <w:adjustRightInd w:val="0"/>
        <w:spacing w:after="60"/>
        <w:rPr>
          <w:rFonts w:cs="FrankRuehl"/>
          <w:sz w:val="22"/>
          <w:szCs w:val="22"/>
          <w:rtl/>
        </w:rPr>
      </w:pPr>
    </w:p>
    <w:p w:rsidR="005366A8" w:rsidRPr="00712A34" w:rsidRDefault="005366A8" w:rsidP="005366A8">
      <w:pPr>
        <w:tabs>
          <w:tab w:val="left" w:pos="288"/>
          <w:tab w:val="left" w:pos="1008"/>
          <w:tab w:val="left" w:pos="4896"/>
        </w:tabs>
        <w:autoSpaceDE w:val="0"/>
        <w:autoSpaceDN w:val="0"/>
        <w:adjustRightInd w:val="0"/>
        <w:spacing w:after="60"/>
        <w:rPr>
          <w:rFonts w:cs="FrankRuehl"/>
          <w:sz w:val="22"/>
          <w:szCs w:val="22"/>
          <w:rtl/>
        </w:rPr>
      </w:pPr>
      <w:r>
        <w:rPr>
          <w:rFonts w:cs="FrankRuehl" w:hint="cs"/>
          <w:sz w:val="22"/>
          <w:szCs w:val="22"/>
          <w:rtl/>
        </w:rPr>
        <w:t>=-=</w:t>
      </w:r>
    </w:p>
    <w:p w:rsidR="005366A8" w:rsidRPr="006E3173" w:rsidRDefault="005366A8" w:rsidP="005366A8">
      <w:pPr>
        <w:spacing w:after="60"/>
        <w:rPr>
          <w:rFonts w:ascii="Arial" w:hAnsi="Arial" w:cs="Arial"/>
          <w:sz w:val="20"/>
          <w:szCs w:val="20"/>
          <w:rtl/>
        </w:rPr>
      </w:pPr>
      <w:r w:rsidRPr="004E1770">
        <w:rPr>
          <w:rFonts w:ascii="Arial" w:hAnsi="Arial" w:cs="Arial" w:hint="cs"/>
          <w:sz w:val="20"/>
          <w:szCs w:val="20"/>
          <w:rtl/>
        </w:rPr>
        <w:t xml:space="preserve">ראו במקביל את פס"ד </w:t>
      </w:r>
      <w:r w:rsidRPr="004E1770">
        <w:rPr>
          <w:rFonts w:ascii="Arial" w:hAnsi="Arial" w:cs="Arial" w:hint="cs"/>
          <w:b/>
          <w:bCs/>
          <w:sz w:val="20"/>
          <w:szCs w:val="20"/>
          <w:rtl/>
        </w:rPr>
        <w:t>עיריית פתח-תקו</w:t>
      </w:r>
      <w:r>
        <w:rPr>
          <w:rFonts w:ascii="Arial" w:hAnsi="Arial" w:cs="Arial" w:hint="cs"/>
          <w:b/>
          <w:bCs/>
          <w:sz w:val="20"/>
          <w:szCs w:val="20"/>
          <w:rtl/>
        </w:rPr>
        <w:t>ו</w:t>
      </w:r>
      <w:r w:rsidRPr="004E1770">
        <w:rPr>
          <w:rFonts w:ascii="Arial" w:hAnsi="Arial" w:cs="Arial" w:hint="cs"/>
          <w:b/>
          <w:bCs/>
          <w:sz w:val="20"/>
          <w:szCs w:val="20"/>
          <w:rtl/>
        </w:rPr>
        <w:t>ה</w:t>
      </w:r>
      <w:r>
        <w:rPr>
          <w:rFonts w:ascii="Arial" w:hAnsi="Arial" w:cs="Arial" w:hint="cs"/>
          <w:b/>
          <w:bCs/>
          <w:sz w:val="20"/>
          <w:szCs w:val="20"/>
          <w:rtl/>
        </w:rPr>
        <w:t xml:space="preserve"> נ' שר הפנים</w:t>
      </w:r>
      <w:r>
        <w:rPr>
          <w:rFonts w:ascii="Arial" w:hAnsi="Arial" w:cs="Arial" w:hint="cs"/>
          <w:rtl/>
        </w:rPr>
        <w:t xml:space="preserve"> </w:t>
      </w:r>
      <w:r w:rsidRPr="006E3173">
        <w:rPr>
          <w:rFonts w:ascii="Arial" w:hAnsi="Arial" w:cs="Arial" w:hint="cs"/>
          <w:sz w:val="20"/>
          <w:szCs w:val="20"/>
          <w:rtl/>
        </w:rPr>
        <w:t xml:space="preserve">(אותו </w:t>
      </w:r>
      <w:r>
        <w:rPr>
          <w:rFonts w:ascii="Arial" w:hAnsi="Arial" w:cs="Arial" w:hint="cs"/>
          <w:sz w:val="20"/>
          <w:szCs w:val="20"/>
          <w:rtl/>
        </w:rPr>
        <w:t>נפגוש בעוד מספר שיעורים,</w:t>
      </w:r>
      <w:r w:rsidRPr="006E3173">
        <w:rPr>
          <w:rFonts w:ascii="Arial" w:hAnsi="Arial" w:cs="Arial" w:hint="cs"/>
          <w:sz w:val="20"/>
          <w:szCs w:val="20"/>
          <w:rtl/>
        </w:rPr>
        <w:t xml:space="preserve"> ו</w:t>
      </w:r>
      <w:r>
        <w:rPr>
          <w:rFonts w:ascii="Arial" w:hAnsi="Arial" w:cs="Arial" w:hint="cs"/>
          <w:sz w:val="20"/>
          <w:szCs w:val="20"/>
          <w:rtl/>
        </w:rPr>
        <w:t xml:space="preserve">שיוזכר גם </w:t>
      </w:r>
      <w:r w:rsidRPr="006E3173">
        <w:rPr>
          <w:rFonts w:ascii="Arial" w:hAnsi="Arial" w:cs="Arial" w:hint="cs"/>
          <w:sz w:val="20"/>
          <w:szCs w:val="20"/>
          <w:rtl/>
        </w:rPr>
        <w:t>בפתרון הבחינה מן העבר, מייד להלן)</w:t>
      </w:r>
      <w:r>
        <w:rPr>
          <w:rFonts w:ascii="Arial" w:hAnsi="Arial" w:cs="Arial" w:hint="cs"/>
          <w:sz w:val="20"/>
          <w:szCs w:val="20"/>
          <w:rtl/>
        </w:rPr>
        <w:t xml:space="preserve"> </w:t>
      </w:r>
      <w:r>
        <w:rPr>
          <w:rFonts w:ascii="Arial" w:hAnsi="Arial" w:cs="Arial"/>
          <w:sz w:val="20"/>
          <w:szCs w:val="20"/>
          <w:rtl/>
        </w:rPr>
        <w:t>–</w:t>
      </w:r>
      <w:r>
        <w:rPr>
          <w:rFonts w:ascii="Arial" w:hAnsi="Arial" w:cs="Arial" w:hint="cs"/>
          <w:sz w:val="20"/>
          <w:szCs w:val="20"/>
          <w:rtl/>
        </w:rPr>
        <w:t xml:space="preserve"> העוסק במיקומה של </w:t>
      </w:r>
      <w:r w:rsidRPr="00342B7A">
        <w:rPr>
          <w:rFonts w:ascii="Arial" w:hAnsi="Arial" w:cs="Arial" w:hint="cs"/>
          <w:sz w:val="20"/>
          <w:szCs w:val="20"/>
          <w:u w:val="single"/>
          <w:rtl/>
        </w:rPr>
        <w:t>הסמכות התחיקתית</w:t>
      </w:r>
      <w:r>
        <w:rPr>
          <w:rFonts w:ascii="Arial" w:hAnsi="Arial" w:cs="Arial" w:hint="cs"/>
          <w:sz w:val="20"/>
          <w:szCs w:val="20"/>
          <w:rtl/>
        </w:rPr>
        <w:t xml:space="preserve"> בידי </w:t>
      </w:r>
      <w:r w:rsidRPr="00342B7A">
        <w:rPr>
          <w:rFonts w:ascii="Arial" w:hAnsi="Arial" w:cs="Arial" w:hint="cs"/>
          <w:sz w:val="20"/>
          <w:szCs w:val="20"/>
          <w:u w:val="single"/>
          <w:rtl/>
        </w:rPr>
        <w:t>מועצת העיר דווקא</w:t>
      </w:r>
      <w:r w:rsidRPr="006E3173">
        <w:rPr>
          <w:rFonts w:ascii="Arial" w:hAnsi="Arial" w:cs="Arial" w:hint="cs"/>
          <w:sz w:val="20"/>
          <w:szCs w:val="20"/>
          <w:rtl/>
        </w:rPr>
        <w:t>.</w:t>
      </w:r>
    </w:p>
    <w:p w:rsidR="005366A8" w:rsidRDefault="005366A8" w:rsidP="005366A8">
      <w:pPr>
        <w:spacing w:after="60"/>
        <w:rPr>
          <w:rFonts w:cs="FrankRuehl"/>
          <w:rtl/>
        </w:rPr>
      </w:pPr>
    </w:p>
    <w:p w:rsidR="005366A8" w:rsidRDefault="005366A8" w:rsidP="005366A8">
      <w:pPr>
        <w:spacing w:after="60"/>
        <w:rPr>
          <w:rFonts w:cs="FrankRuehl"/>
          <w:rtl/>
        </w:rPr>
      </w:pPr>
      <w:r>
        <w:rPr>
          <w:rFonts w:cs="FrankRuehl" w:hint="cs"/>
          <w:rtl/>
        </w:rPr>
        <w:t>=-=</w:t>
      </w:r>
    </w:p>
    <w:p w:rsidR="005366A8" w:rsidRPr="00A14F5F" w:rsidRDefault="005366A8" w:rsidP="005366A8">
      <w:pPr>
        <w:spacing w:after="60"/>
        <w:jc w:val="center"/>
        <w:rPr>
          <w:rFonts w:asciiTheme="majorBidi" w:hAnsiTheme="majorBidi" w:cstheme="majorBidi"/>
          <w:b/>
          <w:bCs/>
          <w:rtl/>
        </w:rPr>
      </w:pPr>
      <w:r w:rsidRPr="00A14F5F">
        <w:rPr>
          <w:rFonts w:asciiTheme="majorBidi" w:hAnsiTheme="majorBidi" w:cstheme="majorBidi"/>
          <w:b/>
          <w:bCs/>
          <w:highlight w:val="yellow"/>
          <w:rtl/>
        </w:rPr>
        <w:t>חזרה לנושא של חלוקת הסמכויות בין הרשות המקומית לבין השלטון המרכזי – קביעת היטל ואישור מיסוי מקומי</w:t>
      </w:r>
    </w:p>
    <w:p w:rsidR="005366A8" w:rsidRPr="005D2912" w:rsidRDefault="005366A8" w:rsidP="005366A8">
      <w:pPr>
        <w:spacing w:after="60"/>
        <w:rPr>
          <w:rFonts w:cs="FrankRuehl"/>
          <w:sz w:val="28"/>
          <w:szCs w:val="28"/>
          <w:rtl/>
        </w:rPr>
      </w:pPr>
      <w:r w:rsidRPr="005D2912">
        <w:rPr>
          <w:rFonts w:cs="FrankRuehl"/>
          <w:sz w:val="28"/>
          <w:szCs w:val="28"/>
          <w:highlight w:val="yellow"/>
          <w:rtl/>
        </w:rPr>
        <w:t>בג</w:t>
      </w:r>
      <w:r w:rsidRPr="005D2912">
        <w:rPr>
          <w:rFonts w:cs="FrankRuehl" w:hint="cs"/>
          <w:sz w:val="28"/>
          <w:szCs w:val="28"/>
          <w:highlight w:val="yellow"/>
          <w:rtl/>
        </w:rPr>
        <w:t>"ץ</w:t>
      </w:r>
      <w:r w:rsidRPr="005D2912">
        <w:rPr>
          <w:rFonts w:cs="FrankRuehl"/>
          <w:sz w:val="28"/>
          <w:szCs w:val="28"/>
          <w:highlight w:val="yellow"/>
        </w:rPr>
        <w:t> 1756/10 </w:t>
      </w:r>
      <w:r w:rsidRPr="005D2912">
        <w:rPr>
          <w:rFonts w:cs="FrankRuehl"/>
          <w:b/>
          <w:bCs/>
          <w:sz w:val="28"/>
          <w:szCs w:val="28"/>
          <w:highlight w:val="yellow"/>
          <w:rtl/>
        </w:rPr>
        <w:t>עיריית חולון נ</w:t>
      </w:r>
      <w:r w:rsidRPr="005D2912">
        <w:rPr>
          <w:rFonts w:cs="FrankRuehl"/>
          <w:b/>
          <w:bCs/>
          <w:sz w:val="28"/>
          <w:szCs w:val="28"/>
          <w:highlight w:val="yellow"/>
        </w:rPr>
        <w:t>' </w:t>
      </w:r>
      <w:r w:rsidRPr="005D2912">
        <w:rPr>
          <w:rFonts w:cs="FrankRuehl"/>
          <w:b/>
          <w:bCs/>
          <w:sz w:val="28"/>
          <w:szCs w:val="28"/>
          <w:highlight w:val="yellow"/>
          <w:rtl/>
        </w:rPr>
        <w:t>שר הפנים</w:t>
      </w:r>
      <w:r w:rsidRPr="005D2912">
        <w:rPr>
          <w:rFonts w:cs="FrankRuehl" w:hint="cs"/>
          <w:b/>
          <w:bCs/>
          <w:sz w:val="28"/>
          <w:szCs w:val="28"/>
          <w:highlight w:val="yellow"/>
          <w:rtl/>
        </w:rPr>
        <w:t xml:space="preserve">, </w:t>
      </w:r>
      <w:r w:rsidRPr="005D2912">
        <w:rPr>
          <w:rFonts w:cs="FrankRuehl"/>
          <w:sz w:val="28"/>
          <w:szCs w:val="28"/>
          <w:highlight w:val="yellow"/>
          <w:rtl/>
        </w:rPr>
        <w:t>פסק דינה של השו</w:t>
      </w:r>
      <w:r w:rsidRPr="005D2912">
        <w:rPr>
          <w:rFonts w:cs="FrankRuehl" w:hint="cs"/>
          <w:sz w:val="28"/>
          <w:szCs w:val="28"/>
          <w:highlight w:val="yellow"/>
          <w:rtl/>
        </w:rPr>
        <w:t>פטת</w:t>
      </w:r>
      <w:r w:rsidRPr="005D2912">
        <w:rPr>
          <w:rFonts w:cs="FrankRuehl"/>
          <w:sz w:val="28"/>
          <w:szCs w:val="28"/>
          <w:highlight w:val="yellow"/>
          <w:rtl/>
        </w:rPr>
        <w:t xml:space="preserve"> ברק</w:t>
      </w:r>
      <w:r w:rsidRPr="005D2912">
        <w:rPr>
          <w:rFonts w:cs="FrankRuehl" w:hint="cs"/>
          <w:sz w:val="28"/>
          <w:szCs w:val="28"/>
          <w:highlight w:val="yellow"/>
          <w:rtl/>
        </w:rPr>
        <w:t>-</w:t>
      </w:r>
      <w:r w:rsidRPr="005D2912">
        <w:rPr>
          <w:rFonts w:cs="FrankRuehl"/>
          <w:sz w:val="28"/>
          <w:szCs w:val="28"/>
          <w:highlight w:val="yellow"/>
          <w:rtl/>
        </w:rPr>
        <w:t>ארז</w:t>
      </w:r>
      <w:r w:rsidRPr="005D2912">
        <w:rPr>
          <w:rFonts w:cs="FrankRuehl" w:hint="cs"/>
          <w:sz w:val="28"/>
          <w:szCs w:val="28"/>
          <w:highlight w:val="yellow"/>
          <w:rtl/>
        </w:rPr>
        <w:t xml:space="preserve"> (2013)</w:t>
      </w:r>
    </w:p>
    <w:p w:rsidR="005366A8" w:rsidRDefault="005366A8" w:rsidP="005366A8">
      <w:pPr>
        <w:spacing w:after="60"/>
        <w:rPr>
          <w:rFonts w:cs="FrankRuehl"/>
          <w:rtl/>
        </w:rPr>
      </w:pPr>
    </w:p>
    <w:p w:rsidR="005366A8" w:rsidRPr="00A14F5F" w:rsidRDefault="005366A8" w:rsidP="005366A8">
      <w:pPr>
        <w:pStyle w:val="Ruller41"/>
        <w:spacing w:after="60" w:line="240" w:lineRule="auto"/>
        <w:rPr>
          <w:szCs w:val="22"/>
        </w:rPr>
      </w:pPr>
      <w:r>
        <w:rPr>
          <w:rFonts w:hint="cs"/>
          <w:szCs w:val="22"/>
          <w:highlight w:val="yellow"/>
          <w:rtl/>
        </w:rPr>
        <w:t xml:space="preserve">1. </w:t>
      </w:r>
      <w:r>
        <w:rPr>
          <w:rFonts w:hint="cs"/>
          <w:szCs w:val="22"/>
          <w:highlight w:val="yellow"/>
          <w:rtl/>
        </w:rPr>
        <w:tab/>
      </w:r>
      <w:r w:rsidRPr="00A14F5F">
        <w:rPr>
          <w:rFonts w:hint="cs"/>
          <w:szCs w:val="22"/>
          <w:highlight w:val="yellow"/>
          <w:rtl/>
        </w:rPr>
        <w:t>האם עירייה רשאית לגבות אגרת פינוי פסולת בגין פסולת תעשייתית-מסחרית בכמויות גדולות בנפרד מתשלום הארנונה הכללית, באופן המשקף את היקף יצור הפסולת של החייב בתשלום? לאמיתו של דבר, שאלה זו מקפלת בתוכה שתי שאלות משנה – ראשית, האם העירייה מוסמכת לגבות אגרת פסולת בנוסף על חובת תשלום הארנונה? שנית, ורק אם התשובה על השאלה הראשונה חיובית, האם החקיקה המטילה הגבלות על העלאת שיעורי הארנונה, חלה גם על העלאת שיעורם של תשלומי חובה אחרים שגובה העירייה, כדוגמת אגרת פסולת כאמור?</w:t>
      </w:r>
      <w:r w:rsidRPr="00A14F5F">
        <w:rPr>
          <w:rFonts w:hint="cs"/>
          <w:szCs w:val="22"/>
          <w:rtl/>
        </w:rPr>
        <w:t xml:space="preserve"> שאלות אלה שהונחו לפתחנו מחייבות הידרשות לעקרונות יסוד בכל הנוגע לסמכויותיהן של רשויות מקומיות, כמו גם להסדרה הראויה של הגנת הסביבה.</w:t>
      </w:r>
    </w:p>
    <w:p w:rsidR="005366A8" w:rsidRPr="005D2912" w:rsidRDefault="005366A8" w:rsidP="005366A8">
      <w:pPr>
        <w:pStyle w:val="Ruller41"/>
        <w:spacing w:after="60" w:line="240" w:lineRule="auto"/>
        <w:rPr>
          <w:rFonts w:ascii="Times New Roman" w:hAnsi="Times New Roman" w:cs="Miriam"/>
          <w:spacing w:val="0"/>
          <w:szCs w:val="22"/>
          <w:rtl/>
        </w:rPr>
      </w:pPr>
      <w:r w:rsidRPr="005D2912">
        <w:rPr>
          <w:rFonts w:ascii="Times New Roman" w:hAnsi="Times New Roman" w:cs="Miriam" w:hint="cs"/>
          <w:spacing w:val="0"/>
          <w:szCs w:val="22"/>
          <w:rtl/>
        </w:rPr>
        <w:t>תמצית המחלוקת</w:t>
      </w:r>
    </w:p>
    <w:p w:rsidR="005366A8" w:rsidRPr="005D2912" w:rsidRDefault="005366A8" w:rsidP="005366A8">
      <w:pPr>
        <w:pStyle w:val="Ruller41"/>
        <w:spacing w:after="60" w:line="240" w:lineRule="auto"/>
        <w:rPr>
          <w:szCs w:val="22"/>
          <w:rtl/>
        </w:rPr>
      </w:pPr>
      <w:r w:rsidRPr="005D2912">
        <w:rPr>
          <w:rFonts w:hint="cs"/>
          <w:szCs w:val="22"/>
          <w:rtl/>
        </w:rPr>
        <w:t>2.</w:t>
      </w:r>
      <w:r w:rsidRPr="005D2912">
        <w:rPr>
          <w:rFonts w:hint="cs"/>
          <w:szCs w:val="22"/>
          <w:rtl/>
        </w:rPr>
        <w:tab/>
        <w:t xml:space="preserve">העתירה שלפנינו נסבה על סירובו של שר הפנים לאשר את חוק העזר החדש שביקשה לקדם עיריית חולון (להלן: </w:t>
      </w:r>
      <w:r w:rsidRPr="005D2912">
        <w:rPr>
          <w:rFonts w:ascii="Times New Roman" w:hAnsi="Times New Roman" w:cs="Miriam" w:hint="cs"/>
          <w:spacing w:val="0"/>
          <w:szCs w:val="22"/>
          <w:rtl/>
        </w:rPr>
        <w:t>העותרת</w:t>
      </w:r>
      <w:r w:rsidRPr="005D2912">
        <w:rPr>
          <w:rFonts w:hint="cs"/>
          <w:szCs w:val="22"/>
          <w:rtl/>
        </w:rPr>
        <w:t xml:space="preserve">) בנושא פינוי פסולת ממפעלים וגביית אגרה ייעודית עבור שירות זה – </w:t>
      </w:r>
      <w:hyperlink r:id="rId296" w:history="1">
        <w:r w:rsidRPr="005D2912">
          <w:rPr>
            <w:rFonts w:hint="eastAsia"/>
            <w:color w:val="0000FF"/>
            <w:szCs w:val="22"/>
            <w:u w:val="single"/>
            <w:rtl/>
          </w:rPr>
          <w:t>חוק</w:t>
        </w:r>
        <w:r w:rsidRPr="005D2912">
          <w:rPr>
            <w:color w:val="0000FF"/>
            <w:szCs w:val="22"/>
            <w:u w:val="single"/>
            <w:rtl/>
          </w:rPr>
          <w:t xml:space="preserve"> </w:t>
        </w:r>
        <w:r w:rsidRPr="005D2912">
          <w:rPr>
            <w:rFonts w:hint="eastAsia"/>
            <w:color w:val="0000FF"/>
            <w:szCs w:val="22"/>
            <w:u w:val="single"/>
            <w:rtl/>
          </w:rPr>
          <w:t>עזר</w:t>
        </w:r>
        <w:r w:rsidRPr="005D2912">
          <w:rPr>
            <w:color w:val="0000FF"/>
            <w:szCs w:val="22"/>
            <w:u w:val="single"/>
            <w:rtl/>
          </w:rPr>
          <w:t xml:space="preserve"> </w:t>
        </w:r>
        <w:r w:rsidRPr="005D2912">
          <w:rPr>
            <w:rFonts w:hint="eastAsia"/>
            <w:color w:val="0000FF"/>
            <w:szCs w:val="22"/>
            <w:u w:val="single"/>
            <w:rtl/>
          </w:rPr>
          <w:t>לחולון</w:t>
        </w:r>
      </w:hyperlink>
      <w:r w:rsidRPr="005D2912">
        <w:rPr>
          <w:rFonts w:hint="cs"/>
          <w:szCs w:val="22"/>
          <w:rtl/>
        </w:rPr>
        <w:t xml:space="preserve"> (פינוי פסולת), התשס"ח-2007 (להלן: </w:t>
      </w:r>
      <w:r w:rsidRPr="005D2912">
        <w:rPr>
          <w:rFonts w:ascii="Times New Roman" w:hAnsi="Times New Roman" w:cs="Miriam" w:hint="cs"/>
          <w:spacing w:val="0"/>
          <w:szCs w:val="22"/>
          <w:rtl/>
        </w:rPr>
        <w:t>חוק העזר החדש</w:t>
      </w:r>
      <w:r w:rsidRPr="005D2912">
        <w:rPr>
          <w:rFonts w:hint="cs"/>
          <w:szCs w:val="22"/>
          <w:rtl/>
        </w:rPr>
        <w:t xml:space="preserve">). המשיבים, מצדם, מתנגדים באופן עקרוני לכל שינוי נורמטיבי שיביא להעלאה בפועל של היקף הגבייה בגין שירותים מוניציפאליים. הם סומכים את עמדתם העקרונית על </w:t>
      </w:r>
      <w:hyperlink r:id="rId297" w:history="1">
        <w:r w:rsidRPr="005D2912">
          <w:rPr>
            <w:rFonts w:hint="eastAsia"/>
            <w:color w:val="0000FF"/>
            <w:szCs w:val="22"/>
            <w:u w:val="single"/>
            <w:rtl/>
          </w:rPr>
          <w:t>חוק</w:t>
        </w:r>
        <w:r w:rsidRPr="005D2912">
          <w:rPr>
            <w:color w:val="0000FF"/>
            <w:szCs w:val="22"/>
            <w:u w:val="single"/>
            <w:rtl/>
          </w:rPr>
          <w:t xml:space="preserve"> </w:t>
        </w:r>
        <w:r w:rsidRPr="005D2912">
          <w:rPr>
            <w:rFonts w:hint="eastAsia"/>
            <w:color w:val="0000FF"/>
            <w:szCs w:val="22"/>
            <w:u w:val="single"/>
            <w:rtl/>
          </w:rPr>
          <w:t>הסדרים</w:t>
        </w:r>
        <w:r w:rsidRPr="005D2912">
          <w:rPr>
            <w:color w:val="0000FF"/>
            <w:szCs w:val="22"/>
            <w:u w:val="single"/>
            <w:rtl/>
          </w:rPr>
          <w:t xml:space="preserve"> </w:t>
        </w:r>
        <w:r w:rsidRPr="005D2912">
          <w:rPr>
            <w:rFonts w:hint="eastAsia"/>
            <w:color w:val="0000FF"/>
            <w:szCs w:val="22"/>
            <w:u w:val="single"/>
            <w:rtl/>
          </w:rPr>
          <w:t>במשק</w:t>
        </w:r>
        <w:r w:rsidRPr="005D2912">
          <w:rPr>
            <w:color w:val="0000FF"/>
            <w:szCs w:val="22"/>
            <w:u w:val="single"/>
            <w:rtl/>
          </w:rPr>
          <w:t xml:space="preserve"> </w:t>
        </w:r>
        <w:r w:rsidRPr="005D2912">
          <w:rPr>
            <w:rFonts w:hint="eastAsia"/>
            <w:color w:val="0000FF"/>
            <w:szCs w:val="22"/>
            <w:u w:val="single"/>
            <w:rtl/>
          </w:rPr>
          <w:t>המדינה</w:t>
        </w:r>
      </w:hyperlink>
      <w:r w:rsidRPr="005D2912">
        <w:rPr>
          <w:rFonts w:hint="cs"/>
          <w:szCs w:val="22"/>
          <w:rtl/>
        </w:rPr>
        <w:t xml:space="preserve"> (תיקוני חקיקה להשגת יעדי התקציב), התשנ"ג-1992 (להלן: </w:t>
      </w:r>
      <w:r w:rsidRPr="005D2912">
        <w:rPr>
          <w:rFonts w:ascii="Times New Roman" w:hAnsi="Times New Roman" w:cs="Miriam" w:hint="cs"/>
          <w:spacing w:val="0"/>
          <w:szCs w:val="22"/>
          <w:rtl/>
        </w:rPr>
        <w:t>חוק ההסדרים</w:t>
      </w:r>
      <w:r w:rsidRPr="005D2912">
        <w:rPr>
          <w:rFonts w:hint="cs"/>
          <w:szCs w:val="22"/>
          <w:rtl/>
        </w:rPr>
        <w:t>) שהטיל מגבלות על כוחן של הרשויות המקומיות להעלות את שיעורי הארנונה. לשיטתם, פינוי פסולת הוא חלק מן השירותים המוניציפאליים הניתנים על-ידי הרשויות המקומיות באמצעות גביית ארנונה, ומכל מקום, כשם שאינם מסכימים להעלאת שיעור הארנונה הם מתנגדים להעלאה בתשלומי חובה עירוניים נוספים, גם אם אינם מכונים "ארנונה". בניסוח רחב יותר, נדרשו המשיבים לכך שחוק העזר מנוגד למה שהם מכנים "דיני ההקפאה" (מונח המבטא את התוצאה הנובעת מכך שלפי חוק ההסדרים העלאת שיעורי הארנונה על-ידי הרשויות כפופה לאישור משרד הפנים ומשרד האוצר, אשר מוסמך בכך "להקפיא" את שיעור הארנונה).</w:t>
      </w:r>
    </w:p>
    <w:p w:rsidR="005366A8" w:rsidRPr="005D2912" w:rsidRDefault="005366A8" w:rsidP="005366A8">
      <w:pPr>
        <w:pStyle w:val="Ruller41"/>
        <w:spacing w:after="60" w:line="240" w:lineRule="auto"/>
        <w:rPr>
          <w:rFonts w:ascii="Times New Roman" w:hAnsi="Times New Roman" w:cs="Miriam"/>
          <w:spacing w:val="0"/>
          <w:szCs w:val="22"/>
          <w:rtl/>
        </w:rPr>
      </w:pPr>
      <w:r w:rsidRPr="005D2912">
        <w:rPr>
          <w:rFonts w:ascii="Times New Roman" w:hAnsi="Times New Roman" w:cs="Miriam" w:hint="cs"/>
          <w:spacing w:val="0"/>
          <w:szCs w:val="22"/>
          <w:rtl/>
        </w:rPr>
        <w:t>רקע כללי</w:t>
      </w:r>
    </w:p>
    <w:p w:rsidR="005366A8" w:rsidRPr="005D2912" w:rsidRDefault="005366A8" w:rsidP="005366A8">
      <w:pPr>
        <w:pStyle w:val="Ruller41"/>
        <w:spacing w:after="60" w:line="240" w:lineRule="auto"/>
        <w:rPr>
          <w:szCs w:val="22"/>
          <w:rtl/>
        </w:rPr>
      </w:pPr>
      <w:r w:rsidRPr="005D2912">
        <w:rPr>
          <w:rFonts w:hint="cs"/>
          <w:szCs w:val="22"/>
          <w:rtl/>
        </w:rPr>
        <w:t>3.</w:t>
      </w:r>
      <w:r w:rsidRPr="005D2912">
        <w:rPr>
          <w:rFonts w:hint="cs"/>
          <w:szCs w:val="22"/>
          <w:rtl/>
        </w:rPr>
        <w:tab/>
        <w:t xml:space="preserve">בתחום שיפוטה של העותרת פועלים עסקים רבים ומגוונים. המטייל ברחובותיה השונים ימצא עצמו חולף מול חנויות, בתי מלאכה, בתי עסק סיטונאיים וקמעונאיים, חנויות כלבו, אולמות שמחה, מפעלי תעשייה, מפעלי ייצור מזון, מפעלי עיבוד של מתכת וזכוכית, והרשימה עוד ארוכה. המשותף לכלל המפעלים המנויים הוא העובדה שאלה מייצרים כמות ניכרת של פסולת תעשייתית אגב הליך הייצור. ואכן, מזה 30 שנה נוהגת העותרת לגבות מן המפעלים שבתחומה אגרה לפינוי פסולת ממפעלים, וזאת מכוח </w:t>
      </w:r>
      <w:hyperlink r:id="rId298" w:history="1">
        <w:r w:rsidRPr="005D2912">
          <w:rPr>
            <w:rFonts w:hint="eastAsia"/>
            <w:color w:val="0000FF"/>
            <w:szCs w:val="22"/>
            <w:u w:val="single"/>
            <w:rtl/>
          </w:rPr>
          <w:t>חוק</w:t>
        </w:r>
        <w:r w:rsidRPr="005D2912">
          <w:rPr>
            <w:color w:val="0000FF"/>
            <w:szCs w:val="22"/>
            <w:u w:val="single"/>
            <w:rtl/>
          </w:rPr>
          <w:t xml:space="preserve"> </w:t>
        </w:r>
        <w:r w:rsidRPr="005D2912">
          <w:rPr>
            <w:rFonts w:hint="eastAsia"/>
            <w:color w:val="0000FF"/>
            <w:szCs w:val="22"/>
            <w:u w:val="single"/>
            <w:rtl/>
          </w:rPr>
          <w:t>עזר</w:t>
        </w:r>
        <w:r w:rsidRPr="005D2912">
          <w:rPr>
            <w:color w:val="0000FF"/>
            <w:szCs w:val="22"/>
            <w:u w:val="single"/>
            <w:rtl/>
          </w:rPr>
          <w:t xml:space="preserve"> </w:t>
        </w:r>
        <w:r w:rsidRPr="005D2912">
          <w:rPr>
            <w:rFonts w:hint="eastAsia"/>
            <w:color w:val="0000FF"/>
            <w:szCs w:val="22"/>
            <w:u w:val="single"/>
            <w:rtl/>
          </w:rPr>
          <w:t>לחולון</w:t>
        </w:r>
      </w:hyperlink>
      <w:r w:rsidRPr="005D2912">
        <w:rPr>
          <w:rFonts w:hint="cs"/>
          <w:szCs w:val="22"/>
          <w:rtl/>
        </w:rPr>
        <w:t xml:space="preserve"> (מניעת מפגעים ושמירת הסדר והנקיון), התשמ"ב-1982 (להלן: </w:t>
      </w:r>
      <w:r w:rsidRPr="005D2912">
        <w:rPr>
          <w:rFonts w:ascii="Times New Roman" w:hAnsi="Times New Roman" w:cs="Miriam" w:hint="cs"/>
          <w:spacing w:val="0"/>
          <w:szCs w:val="22"/>
          <w:rtl/>
        </w:rPr>
        <w:t>חוק העזר הישן</w:t>
      </w:r>
      <w:r w:rsidRPr="005D2912">
        <w:rPr>
          <w:rFonts w:hint="cs"/>
          <w:szCs w:val="22"/>
          <w:rtl/>
        </w:rPr>
        <w:t xml:space="preserve">).   </w:t>
      </w:r>
    </w:p>
    <w:p w:rsidR="005366A8" w:rsidRPr="005D2912" w:rsidRDefault="005366A8" w:rsidP="005366A8">
      <w:pPr>
        <w:pStyle w:val="Ruller41"/>
        <w:spacing w:after="60" w:line="240" w:lineRule="auto"/>
        <w:rPr>
          <w:szCs w:val="22"/>
          <w:rtl/>
        </w:rPr>
      </w:pPr>
      <w:r w:rsidRPr="005D2912">
        <w:rPr>
          <w:rFonts w:hint="cs"/>
          <w:szCs w:val="22"/>
          <w:rtl/>
        </w:rPr>
        <w:t>4.</w:t>
      </w:r>
      <w:r w:rsidRPr="005D2912">
        <w:rPr>
          <w:rFonts w:hint="cs"/>
          <w:szCs w:val="22"/>
          <w:rtl/>
        </w:rPr>
        <w:tab/>
        <w:t xml:space="preserve">בשנת 2007 החליטה העותרת להחליף את חוק העזר הישן ולחוקק תחתיו חוק עזר חדש ועדכני יותר. חוק עזר שייתן ביטוי לתמורות שחלו באורח החיים המודרני ולהתפתחות המסחר והתעשייה בעשורים שחלפו, כמו גם למודעות ההולכת וגוברת לנזקים הסביבתיים הכרוכים בסילוק הפסולת ובהטמנתה. לצורך כך, נעזרה העותרת במומחה בשם ראובן פרדס, במטרה למפות ולאמוד את היקפי הפסולת המפונה ואת סוגה. הבדיקה העלתה שכמות הפסולת המיוצרת על ידי מפעלים גדולה עד כדי פי שלושה מכמות הפסולת המיוצרת על ידי כלל משקי הבית שבשטח שיפוטה של העותרת. כמו-כן, נמצא כי עלות פינוי הפסולת מן המפעלים נאמדת בעשרה מיליון שקלים בשנה. בהקשר זה, ציינה העותרת כי מבדיקה שערכה עלה שהמפעלים שבשטחה נוהגים "לערבב" פסולת מפעל עם פסולת ביתית. משכך, החליטה העותרת כי תעריף האגרה בחוק העזר החדש יכסה אך 60% מעלות פינוי פסולת המפעל, באופן שיעניק ביטוי לעירוב סוגי הפסולת ולעובדה שמימון פינויה של הפסולת הביתית נעשה באמצעות גביית ארנונה כללית. </w:t>
      </w:r>
    </w:p>
    <w:p w:rsidR="005366A8" w:rsidRDefault="005366A8" w:rsidP="005366A8">
      <w:pPr>
        <w:pStyle w:val="Ruller41"/>
        <w:spacing w:after="60" w:line="240" w:lineRule="auto"/>
        <w:rPr>
          <w:szCs w:val="22"/>
          <w:rtl/>
        </w:rPr>
      </w:pPr>
      <w:r w:rsidRPr="005D2912">
        <w:rPr>
          <w:rFonts w:hint="cs"/>
          <w:szCs w:val="22"/>
          <w:rtl/>
        </w:rPr>
        <w:t>5.</w:t>
      </w:r>
      <w:r w:rsidRPr="005D2912">
        <w:rPr>
          <w:rFonts w:hint="cs"/>
          <w:szCs w:val="22"/>
          <w:rtl/>
        </w:rPr>
        <w:tab/>
        <w:t>ביום 9.12.2007 פנתה העותרת למחלקה לשירותים מוניציפאליים במשרד הפנים לשם קבלת אישורו של שר הפנים לחוק העזר, כנדרש על פי סעיף 258 ל</w:t>
      </w:r>
      <w:hyperlink r:id="rId299" w:history="1">
        <w:r w:rsidRPr="005D2912">
          <w:rPr>
            <w:rFonts w:hint="eastAsia"/>
            <w:color w:val="0000FF"/>
            <w:szCs w:val="22"/>
            <w:u w:val="single"/>
            <w:rtl/>
          </w:rPr>
          <w:t>פקודת</w:t>
        </w:r>
        <w:r w:rsidRPr="005D2912">
          <w:rPr>
            <w:color w:val="0000FF"/>
            <w:szCs w:val="22"/>
            <w:u w:val="single"/>
            <w:rtl/>
          </w:rPr>
          <w:t xml:space="preserve"> </w:t>
        </w:r>
        <w:r w:rsidRPr="005D2912">
          <w:rPr>
            <w:rFonts w:hint="eastAsia"/>
            <w:color w:val="0000FF"/>
            <w:szCs w:val="22"/>
            <w:u w:val="single"/>
            <w:rtl/>
          </w:rPr>
          <w:t>העיריות</w:t>
        </w:r>
      </w:hyperlink>
      <w:r w:rsidRPr="005D2912">
        <w:rPr>
          <w:rFonts w:hint="cs"/>
          <w:szCs w:val="22"/>
          <w:rtl/>
        </w:rPr>
        <w:t xml:space="preserve"> [נוסח חדש] (להלן: </w:t>
      </w:r>
      <w:r w:rsidRPr="005D2912">
        <w:rPr>
          <w:rFonts w:ascii="Times New Roman" w:hAnsi="Times New Roman" w:cs="Miriam" w:hint="cs"/>
          <w:spacing w:val="0"/>
          <w:szCs w:val="22"/>
          <w:rtl/>
        </w:rPr>
        <w:t>פקודת העיריות</w:t>
      </w:r>
      <w:r w:rsidRPr="005D2912">
        <w:rPr>
          <w:rFonts w:hint="cs"/>
          <w:szCs w:val="22"/>
          <w:rtl/>
        </w:rPr>
        <w:t xml:space="preserve">). אל פנייה זו צרפה העותרת עותקים חתומים של חוק העזר החדש, דברי הסבר וכן תחשיב של אגרת פינוי הפסולת שערך המומחה מטעמה. משחלפה תקופת ה-60 ימים הקבועה בסעיף 258 לפקודה לשם קבלת התייחסות שר הפנים, ומשזו לא נתקבלה, שבה העותרת ופנתה למשרד הפנים ביום 15.1.2008. משלא נענה גם מכתב זה, שלחה העותרת מכתב תזכורת נוסף ביום 4.2.2008. כשבועיים לאחר מכן נתקבלה עמדת משרד הפנים, הדוחה את אישור חוק העזר החדש, בהישען על הנימוק שפינוי פסולת מצוי בליבת השירותים עבורם נגבית ארנונה, וכי לנוכח דיני ההקפאה וחוק ההסדרים אין המשרד מאשר העלאת תעריפי ארנונה. </w:t>
      </w:r>
      <w:r>
        <w:rPr>
          <w:rFonts w:hint="cs"/>
          <w:szCs w:val="22"/>
          <w:rtl/>
        </w:rPr>
        <w:t>[...]</w:t>
      </w:r>
    </w:p>
    <w:p w:rsidR="005366A8" w:rsidRPr="005D2912" w:rsidRDefault="005366A8" w:rsidP="005366A8">
      <w:pPr>
        <w:pStyle w:val="Ruller41"/>
        <w:spacing w:after="60" w:line="240" w:lineRule="auto"/>
        <w:rPr>
          <w:rFonts w:ascii="Times New Roman" w:hAnsi="Times New Roman" w:cs="Miriam"/>
          <w:spacing w:val="0"/>
          <w:szCs w:val="22"/>
          <w:rtl/>
        </w:rPr>
      </w:pPr>
      <w:r w:rsidRPr="005D2912">
        <w:rPr>
          <w:rFonts w:ascii="Times New Roman" w:hAnsi="Times New Roman" w:cs="Miriam" w:hint="cs"/>
          <w:spacing w:val="0"/>
          <w:szCs w:val="22"/>
          <w:rtl/>
        </w:rPr>
        <w:t>המסגרת הנורמטיבית</w:t>
      </w:r>
    </w:p>
    <w:p w:rsidR="005366A8" w:rsidRPr="005D2912" w:rsidRDefault="005366A8" w:rsidP="005366A8">
      <w:pPr>
        <w:pStyle w:val="Ruller41"/>
        <w:spacing w:after="60" w:line="240" w:lineRule="auto"/>
        <w:rPr>
          <w:szCs w:val="22"/>
          <w:rtl/>
        </w:rPr>
      </w:pPr>
      <w:r w:rsidRPr="005D2912">
        <w:rPr>
          <w:rFonts w:hint="cs"/>
          <w:szCs w:val="22"/>
          <w:rtl/>
        </w:rPr>
        <w:t>20.</w:t>
      </w:r>
      <w:r w:rsidRPr="005D2912">
        <w:rPr>
          <w:rFonts w:hint="cs"/>
          <w:szCs w:val="22"/>
          <w:rtl/>
        </w:rPr>
        <w:tab/>
        <w:t>חובתה של העירייה לפעול לפינוי וסילוק אשפה מלווה את משפטנו עוד מקדמת דנא. עיגון מפורש לכך מצוי לנו בסעיף 242 ל</w:t>
      </w:r>
      <w:hyperlink r:id="rId300" w:history="1">
        <w:r w:rsidRPr="005D2912">
          <w:rPr>
            <w:rFonts w:hint="eastAsia"/>
            <w:color w:val="0000FF"/>
            <w:szCs w:val="22"/>
            <w:u w:val="single"/>
            <w:rtl/>
          </w:rPr>
          <w:t>פקודת</w:t>
        </w:r>
        <w:r w:rsidRPr="005D2912">
          <w:rPr>
            <w:color w:val="0000FF"/>
            <w:szCs w:val="22"/>
            <w:u w:val="single"/>
            <w:rtl/>
          </w:rPr>
          <w:t xml:space="preserve"> </w:t>
        </w:r>
        <w:r w:rsidRPr="005D2912">
          <w:rPr>
            <w:rFonts w:hint="eastAsia"/>
            <w:color w:val="0000FF"/>
            <w:szCs w:val="22"/>
            <w:u w:val="single"/>
            <w:rtl/>
          </w:rPr>
          <w:t>העיריות</w:t>
        </w:r>
      </w:hyperlink>
      <w:r w:rsidRPr="005D2912">
        <w:rPr>
          <w:rFonts w:hint="cs"/>
          <w:szCs w:val="22"/>
          <w:rtl/>
        </w:rPr>
        <w:t>, המצווה את הרשות לפנות אשפה על מנת לשמור על בריאותו של הציבור ונוחותו. כך למשל, מחויבת העירייה להורות בדבר "פינוי סחי ואשפה מכל בית" (סעיף 242(2) ל</w:t>
      </w:r>
      <w:hyperlink r:id="rId301" w:history="1">
        <w:r w:rsidRPr="005D2912">
          <w:rPr>
            <w:rFonts w:hint="eastAsia"/>
            <w:color w:val="0000FF"/>
            <w:szCs w:val="22"/>
            <w:u w:val="single"/>
            <w:rtl/>
          </w:rPr>
          <w:t>פקודת</w:t>
        </w:r>
        <w:r w:rsidRPr="005D2912">
          <w:rPr>
            <w:color w:val="0000FF"/>
            <w:szCs w:val="22"/>
            <w:u w:val="single"/>
            <w:rtl/>
          </w:rPr>
          <w:t xml:space="preserve"> </w:t>
        </w:r>
        <w:r w:rsidRPr="005D2912">
          <w:rPr>
            <w:rFonts w:hint="eastAsia"/>
            <w:color w:val="0000FF"/>
            <w:szCs w:val="22"/>
            <w:u w:val="single"/>
            <w:rtl/>
          </w:rPr>
          <w:t>העיריות</w:t>
        </w:r>
      </w:hyperlink>
      <w:r w:rsidRPr="005D2912">
        <w:rPr>
          <w:rFonts w:hint="cs"/>
          <w:szCs w:val="22"/>
          <w:rtl/>
        </w:rPr>
        <w:t xml:space="preserve">) ועליה מוטלת גם החובה להתקין </w:t>
      </w:r>
      <w:r w:rsidRPr="005D2912">
        <w:rPr>
          <w:rStyle w:val="default"/>
          <w:rFonts w:hint="cs"/>
          <w:szCs w:val="22"/>
          <w:rtl/>
        </w:rPr>
        <w:t xml:space="preserve">"פחי אשפה ציבוריים ושאר כלי קיבול שמניחים ומאספים בהם אשפה" (סעיף 242(4) לפקודת העיריות). על חובה יסודית זו בא </w:t>
      </w:r>
      <w:hyperlink r:id="rId302" w:history="1">
        <w:r w:rsidRPr="005D2912">
          <w:rPr>
            <w:rStyle w:val="default"/>
            <w:color w:val="0000FF"/>
            <w:szCs w:val="22"/>
            <w:u w:val="single"/>
            <w:rtl/>
          </w:rPr>
          <w:t>חוק שמירת הנקיון</w:t>
        </w:r>
      </w:hyperlink>
      <w:r w:rsidRPr="005D2912">
        <w:rPr>
          <w:rStyle w:val="default"/>
          <w:rFonts w:hint="cs"/>
          <w:szCs w:val="22"/>
          <w:rtl/>
        </w:rPr>
        <w:t xml:space="preserve">, התשמ"ד-1984 (להלן: </w:t>
      </w:r>
      <w:hyperlink r:id="rId303" w:history="1">
        <w:r w:rsidRPr="005D2912">
          <w:rPr>
            <w:rStyle w:val="default"/>
            <w:rFonts w:cs="Miriam"/>
            <w:color w:val="0000FF"/>
            <w:spacing w:val="0"/>
            <w:szCs w:val="22"/>
            <w:u w:val="single"/>
            <w:rtl/>
          </w:rPr>
          <w:t>חוק שמירת נקיון</w:t>
        </w:r>
      </w:hyperlink>
      <w:r w:rsidRPr="005D2912">
        <w:rPr>
          <w:rStyle w:val="default"/>
          <w:rFonts w:hint="cs"/>
          <w:szCs w:val="22"/>
          <w:rtl/>
        </w:rPr>
        <w:t>) והוסיף בקובעו כי על הרשות המקומית לקבוע "אתרים לסילוק או לריכוז וטיפול בפסולת בנין, גזם, צמיגים או גרוטות רכב, בין בתחומה ובין מחוצה לו" (סעיף 7(א) לחוק שמירת נקיון).</w:t>
      </w:r>
    </w:p>
    <w:p w:rsidR="005366A8" w:rsidRPr="005D2912" w:rsidRDefault="005366A8" w:rsidP="005366A8">
      <w:pPr>
        <w:pStyle w:val="Ruller41"/>
        <w:spacing w:after="60" w:line="240" w:lineRule="auto"/>
        <w:rPr>
          <w:szCs w:val="22"/>
          <w:rtl/>
        </w:rPr>
      </w:pPr>
      <w:r w:rsidRPr="005D2912">
        <w:rPr>
          <w:rFonts w:hint="cs"/>
          <w:szCs w:val="22"/>
          <w:rtl/>
        </w:rPr>
        <w:t>21.</w:t>
      </w:r>
      <w:r w:rsidRPr="005D2912">
        <w:rPr>
          <w:rFonts w:hint="cs"/>
          <w:szCs w:val="22"/>
          <w:rtl/>
        </w:rPr>
        <w:tab/>
        <w:t>לצד החובות המוטלות על העירייה והשירותים שעליה לספק, מסורה בידה הסמכות להשית על התושבים מס מוניציפאלי כללי – הלוא היא הארנונה (סעיף 326 ל</w:t>
      </w:r>
      <w:hyperlink r:id="rId304" w:history="1">
        <w:r w:rsidRPr="005D2912">
          <w:rPr>
            <w:rFonts w:hint="eastAsia"/>
            <w:color w:val="0000FF"/>
            <w:szCs w:val="22"/>
            <w:u w:val="single"/>
            <w:rtl/>
          </w:rPr>
          <w:t>פקודת</w:t>
        </w:r>
        <w:r w:rsidRPr="005D2912">
          <w:rPr>
            <w:color w:val="0000FF"/>
            <w:szCs w:val="22"/>
            <w:u w:val="single"/>
            <w:rtl/>
          </w:rPr>
          <w:t xml:space="preserve"> </w:t>
        </w:r>
        <w:r w:rsidRPr="005D2912">
          <w:rPr>
            <w:rFonts w:hint="eastAsia"/>
            <w:color w:val="0000FF"/>
            <w:szCs w:val="22"/>
            <w:u w:val="single"/>
            <w:rtl/>
          </w:rPr>
          <w:t>העיריות</w:t>
        </w:r>
      </w:hyperlink>
      <w:r w:rsidRPr="005D2912">
        <w:rPr>
          <w:rFonts w:hint="cs"/>
          <w:szCs w:val="22"/>
          <w:rtl/>
        </w:rPr>
        <w:t xml:space="preserve">, וכן סעיף 8(א) לחוק ההסדרים). בנוסף, הפקודה מעניקה בידי מועצת העירייה את הסמכות להתקין חוקי עזר עירוניים שיסייעו בידה </w:t>
      </w:r>
      <w:r w:rsidRPr="005D2912">
        <w:rPr>
          <w:rFonts w:ascii="Times New Roman" w:hAnsi="Times New Roman" w:hint="cs"/>
          <w:szCs w:val="22"/>
          <w:rtl/>
        </w:rPr>
        <w:t xml:space="preserve">לבצע את "החובות המוטלות עליה מכוח הפקודה </w:t>
      </w:r>
      <w:r w:rsidRPr="005D2912">
        <w:rPr>
          <w:rStyle w:val="default"/>
          <w:rFonts w:hint="cs"/>
          <w:szCs w:val="22"/>
          <w:rtl/>
        </w:rPr>
        <w:t>או מכוח כל דין אחר" (סעיף 250 ל</w:t>
      </w:r>
      <w:hyperlink r:id="rId305" w:history="1">
        <w:r w:rsidRPr="005D2912">
          <w:rPr>
            <w:rStyle w:val="default"/>
            <w:color w:val="0000FF"/>
            <w:szCs w:val="22"/>
            <w:u w:val="single"/>
            <w:rtl/>
          </w:rPr>
          <w:t>פקודת העיריות</w:t>
        </w:r>
      </w:hyperlink>
      <w:r w:rsidRPr="005D2912">
        <w:rPr>
          <w:rStyle w:val="default"/>
          <w:rFonts w:hint="cs"/>
          <w:szCs w:val="22"/>
          <w:rtl/>
        </w:rPr>
        <w:t xml:space="preserve">). באופן ממוקד יותר, מוסמכת המועצה לקבוע בחוקי העזר הוראות שונות בדבר הטלת אגרות, היטלים או דמי השתתפות (סעיף 251). בהמשך הדברים נידרש לשאלת היחס בין הסמכות לגבות ארנונה לבין הסמכות לגבות אגרות ותשלומי חובה אחרים. </w:t>
      </w:r>
    </w:p>
    <w:p w:rsidR="005366A8" w:rsidRPr="005D2912" w:rsidRDefault="005366A8" w:rsidP="005366A8">
      <w:pPr>
        <w:pStyle w:val="Ruller41"/>
        <w:spacing w:after="60" w:line="240" w:lineRule="auto"/>
        <w:rPr>
          <w:szCs w:val="22"/>
          <w:rtl/>
        </w:rPr>
      </w:pPr>
      <w:r w:rsidRPr="005D2912">
        <w:rPr>
          <w:rFonts w:hint="cs"/>
          <w:szCs w:val="22"/>
          <w:rtl/>
        </w:rPr>
        <w:t>22.</w:t>
      </w:r>
      <w:r w:rsidRPr="005D2912">
        <w:rPr>
          <w:rFonts w:hint="cs"/>
          <w:szCs w:val="22"/>
          <w:rtl/>
        </w:rPr>
        <w:tab/>
      </w:r>
      <w:r w:rsidRPr="005D2912">
        <w:rPr>
          <w:rFonts w:hint="cs"/>
          <w:szCs w:val="22"/>
          <w:highlight w:val="yellow"/>
          <w:rtl/>
        </w:rPr>
        <w:t>לצד עצמאותה הניהולית, כפופה העירייה, במידה רבה, לפיקוחו של השלטון המרכזי, וכך גם בשני התחומים שבפנינו – קביעת שיעור הארנונה והטלת תשלומי חובה אחרים.</w:t>
      </w:r>
      <w:r w:rsidRPr="005D2912">
        <w:rPr>
          <w:rFonts w:hint="cs"/>
          <w:szCs w:val="22"/>
          <w:rtl/>
        </w:rPr>
        <w:t xml:space="preserve"> כיום, הפיקוח על שיעור הארנונה מוסדר ב"דיני ההקפאה" כפי שיפורט להלן, ואילו הטלת תשלומי חובה נוספים כפופה לאישורו של שר הפנים, מאחר שכל חוק עזר עירוני חדש טעון אישור של השר, כמפורט בסעיף 258 ל</w:t>
      </w:r>
      <w:hyperlink r:id="rId306" w:history="1">
        <w:r w:rsidRPr="005D2912">
          <w:rPr>
            <w:rFonts w:hint="eastAsia"/>
            <w:color w:val="0000FF"/>
            <w:szCs w:val="22"/>
            <w:u w:val="single"/>
            <w:rtl/>
          </w:rPr>
          <w:t>פקודת</w:t>
        </w:r>
        <w:r w:rsidRPr="005D2912">
          <w:rPr>
            <w:color w:val="0000FF"/>
            <w:szCs w:val="22"/>
            <w:u w:val="single"/>
            <w:rtl/>
          </w:rPr>
          <w:t xml:space="preserve"> </w:t>
        </w:r>
        <w:r w:rsidRPr="005D2912">
          <w:rPr>
            <w:rFonts w:hint="eastAsia"/>
            <w:color w:val="0000FF"/>
            <w:szCs w:val="22"/>
            <w:u w:val="single"/>
            <w:rtl/>
          </w:rPr>
          <w:t>העיריות</w:t>
        </w:r>
      </w:hyperlink>
      <w:r w:rsidRPr="005D2912">
        <w:rPr>
          <w:rFonts w:hint="cs"/>
          <w:szCs w:val="22"/>
          <w:rtl/>
        </w:rPr>
        <w:t>.</w:t>
      </w:r>
    </w:p>
    <w:p w:rsidR="005366A8" w:rsidRPr="005D2912" w:rsidRDefault="005366A8" w:rsidP="005366A8">
      <w:pPr>
        <w:pStyle w:val="Ruller41"/>
        <w:spacing w:after="60" w:line="240" w:lineRule="auto"/>
        <w:rPr>
          <w:szCs w:val="22"/>
          <w:rtl/>
        </w:rPr>
      </w:pPr>
      <w:r w:rsidRPr="005D2912">
        <w:rPr>
          <w:rFonts w:hint="cs"/>
          <w:szCs w:val="22"/>
          <w:rtl/>
        </w:rPr>
        <w:t>23.</w:t>
      </w:r>
      <w:r w:rsidRPr="005D2912">
        <w:rPr>
          <w:rFonts w:hint="cs"/>
          <w:szCs w:val="22"/>
          <w:rtl/>
        </w:rPr>
        <w:tab/>
        <w:t>בענייננו, נימק שר הפנים את התנגדותו לפרסום חוק העזר בטענה שהחוק סותר את דיני ההקפאה ושלמעשה יש לראותו כניסיון פסול של העותרת להעלות את שיעורי הארנונה. בעשותו כן, כרך שר הפנים את שני מסלולי הפיקוח הנתונים לו, עד כדי יצירת שקילות ביניהם. על מנת לבחון האם צדק שר הפנים במלאכתו שומה עלינו להתיר את שנכרך ולדון בכל אחת מן השאלות בנפרד – דבר דבור על אופניו.</w:t>
      </w:r>
    </w:p>
    <w:p w:rsidR="005366A8" w:rsidRPr="005D2912" w:rsidRDefault="005366A8" w:rsidP="005366A8">
      <w:pPr>
        <w:pStyle w:val="Ruller41"/>
        <w:spacing w:after="60" w:line="240" w:lineRule="auto"/>
        <w:rPr>
          <w:rFonts w:ascii="Times New Roman" w:hAnsi="Times New Roman" w:cs="Miriam"/>
          <w:spacing w:val="0"/>
          <w:szCs w:val="22"/>
          <w:rtl/>
        </w:rPr>
      </w:pPr>
      <w:r w:rsidRPr="005D2912">
        <w:rPr>
          <w:rFonts w:ascii="Times New Roman" w:hAnsi="Times New Roman" w:cs="Miriam" w:hint="cs"/>
          <w:spacing w:val="0"/>
          <w:szCs w:val="22"/>
          <w:rtl/>
        </w:rPr>
        <w:t>שאלה ראשונה: ארנונה עירונית ותשלומי חובה נוספים</w:t>
      </w:r>
    </w:p>
    <w:p w:rsidR="005366A8" w:rsidRPr="005D2912" w:rsidRDefault="005366A8" w:rsidP="005366A8">
      <w:pPr>
        <w:pStyle w:val="Ruller41"/>
        <w:spacing w:after="60" w:line="240" w:lineRule="auto"/>
        <w:rPr>
          <w:rFonts w:ascii="Times New Roman" w:hAnsi="Times New Roman"/>
          <w:szCs w:val="22"/>
          <w:rtl/>
        </w:rPr>
      </w:pPr>
      <w:r w:rsidRPr="005D2912">
        <w:rPr>
          <w:rFonts w:ascii="Times New Roman" w:hAnsi="Times New Roman" w:hint="cs"/>
          <w:szCs w:val="22"/>
          <w:rtl/>
        </w:rPr>
        <w:t xml:space="preserve">24. </w:t>
      </w:r>
      <w:r w:rsidRPr="005D2912">
        <w:rPr>
          <w:rFonts w:ascii="Times New Roman" w:hAnsi="Times New Roman" w:cs="Miriam" w:hint="cs"/>
          <w:spacing w:val="0"/>
          <w:szCs w:val="22"/>
          <w:rtl/>
        </w:rPr>
        <w:tab/>
      </w:r>
      <w:r w:rsidRPr="005D2912">
        <w:rPr>
          <w:rFonts w:ascii="Times New Roman" w:hAnsi="Times New Roman" w:hint="cs"/>
          <w:szCs w:val="22"/>
          <w:rtl/>
        </w:rPr>
        <w:t>עמדתם של המשיבים התמקדה ברובה במה שמכונה "דיני ההקפאה". אולם, כפי שהסברנו, לאמיתו של דבר, ביסוד הדברים נמצאת שאלה קודמת, והיא: עד כמה רשאית העירייה לגבות תשלומי חובה נוספים בגין שירותים מוניציפאליים מעבר לארנונה. הארנונה היא המס המוניציפאלי הבסיסי, ולכאורה ניתן היה לסבור כי ב"עולם מושלם" הרשות המקומית לא תידרש לגבות כל תשלום חובה אחר, אלא תשתמש בסך הגבייה הכללית לאספקת השירותים המוניציפאליים השונים.</w:t>
      </w:r>
    </w:p>
    <w:p w:rsidR="005366A8" w:rsidRPr="005D2912" w:rsidRDefault="005366A8" w:rsidP="005366A8">
      <w:pPr>
        <w:pStyle w:val="Ruller41"/>
        <w:spacing w:after="60" w:line="240" w:lineRule="auto"/>
        <w:rPr>
          <w:rFonts w:ascii="Times New Roman" w:hAnsi="Times New Roman"/>
          <w:szCs w:val="22"/>
          <w:rtl/>
        </w:rPr>
      </w:pPr>
      <w:r w:rsidRPr="005D2912">
        <w:rPr>
          <w:rFonts w:ascii="Times New Roman" w:hAnsi="Times New Roman" w:hint="cs"/>
          <w:szCs w:val="22"/>
          <w:rtl/>
        </w:rPr>
        <w:t xml:space="preserve">25. </w:t>
      </w:r>
      <w:r w:rsidRPr="005D2912">
        <w:rPr>
          <w:rFonts w:ascii="Times New Roman" w:hAnsi="Times New Roman" w:hint="cs"/>
          <w:szCs w:val="22"/>
          <w:rtl/>
        </w:rPr>
        <w:tab/>
        <w:t>אף-על-פי-כן, לצידה של הארנונה הכללית התפתחה במהלך השנים פרקטיקה של גביית תשלומי חובה נוספים – "ייעודיים" – הקשורים לאספקתם של שירותים מסוימים על-ידי הרשות. גבייתם של תשלומי חובה אלה מותנית כמובן בכך שהם מבוססים על חוק עזר עירוני תקף. חוק עזר כזה יהא תקף אם הוא מסדיר עניין שנופל לגדר סמכויותיה של העירייה ואם הוא אושר כנדרש על-ידי משרד הפנים (סוגיה שהיתה שנויה במחלוקת בכל הנוגע לגבייתה של אגרת ביטחון ב</w:t>
      </w:r>
      <w:hyperlink r:id="rId307" w:history="1">
        <w:r w:rsidRPr="005D2912">
          <w:rPr>
            <w:rFonts w:ascii="Times New Roman" w:hAnsi="Times New Roman"/>
            <w:color w:val="0000FF"/>
            <w:szCs w:val="22"/>
            <w:u w:val="single"/>
            <w:rtl/>
          </w:rPr>
          <w:t>בג"ץ 7186/06</w:t>
        </w:r>
      </w:hyperlink>
      <w:r w:rsidRPr="005D2912">
        <w:rPr>
          <w:rFonts w:ascii="Times New Roman" w:hAnsi="Times New Roman" w:hint="cs"/>
          <w:szCs w:val="22"/>
          <w:rtl/>
        </w:rPr>
        <w:t xml:space="preserve"> </w:t>
      </w:r>
      <w:r w:rsidRPr="005D2912">
        <w:rPr>
          <w:rFonts w:ascii="Times New Roman" w:hAnsi="Times New Roman" w:cs="Miriam" w:hint="cs"/>
          <w:spacing w:val="0"/>
          <w:szCs w:val="22"/>
          <w:rtl/>
        </w:rPr>
        <w:t>מלינובסקי נ' עיריית חולון</w:t>
      </w:r>
      <w:r w:rsidRPr="005D2912">
        <w:rPr>
          <w:rFonts w:ascii="Times New Roman" w:hAnsi="Times New Roman" w:hint="cs"/>
          <w:szCs w:val="22"/>
          <w:rtl/>
        </w:rPr>
        <w:t xml:space="preserve"> (</w:t>
      </w:r>
      <w:r w:rsidRPr="005D2912">
        <w:rPr>
          <w:rFonts w:ascii="Times New Roman" w:hAnsi="Times New Roman" w:cs="David"/>
          <w:spacing w:val="0"/>
          <w:szCs w:val="22"/>
          <w:rtl/>
        </w:rPr>
        <w:t>[פורסם בנבו]</w:t>
      </w:r>
      <w:r w:rsidRPr="005D2912">
        <w:rPr>
          <w:rFonts w:ascii="Times New Roman" w:hAnsi="Times New Roman" w:hint="cs"/>
          <w:szCs w:val="22"/>
          <w:rtl/>
        </w:rPr>
        <w:t xml:space="preserve">, 29.12.2012) (להלן: עניין </w:t>
      </w:r>
      <w:r w:rsidRPr="005D2912">
        <w:rPr>
          <w:rFonts w:ascii="Times New Roman" w:hAnsi="Times New Roman" w:cs="Miriam" w:hint="cs"/>
          <w:spacing w:val="0"/>
          <w:szCs w:val="22"/>
          <w:rtl/>
        </w:rPr>
        <w:t>מלינובסקי</w:t>
      </w:r>
      <w:r w:rsidRPr="005D2912">
        <w:rPr>
          <w:rFonts w:ascii="Times New Roman" w:hAnsi="Times New Roman" w:hint="cs"/>
          <w:szCs w:val="22"/>
          <w:rtl/>
        </w:rPr>
        <w:t>)).</w:t>
      </w:r>
    </w:p>
    <w:p w:rsidR="005366A8" w:rsidRPr="005D2912" w:rsidRDefault="005366A8" w:rsidP="005366A8">
      <w:pPr>
        <w:pStyle w:val="Ruller41"/>
        <w:spacing w:after="60" w:line="240" w:lineRule="auto"/>
        <w:rPr>
          <w:rFonts w:ascii="Times New Roman" w:hAnsi="Times New Roman" w:cs="Miriam"/>
          <w:spacing w:val="0"/>
          <w:szCs w:val="22"/>
          <w:rtl/>
        </w:rPr>
      </w:pPr>
      <w:r w:rsidRPr="005D2912">
        <w:rPr>
          <w:rFonts w:ascii="Times New Roman" w:hAnsi="Times New Roman" w:hint="cs"/>
          <w:szCs w:val="22"/>
          <w:rtl/>
        </w:rPr>
        <w:t xml:space="preserve">26. </w:t>
      </w:r>
      <w:r w:rsidRPr="005D2912">
        <w:rPr>
          <w:rFonts w:ascii="Times New Roman" w:hAnsi="Times New Roman" w:hint="cs"/>
          <w:szCs w:val="22"/>
          <w:rtl/>
        </w:rPr>
        <w:tab/>
      </w:r>
      <w:r w:rsidRPr="005D2912">
        <w:rPr>
          <w:rFonts w:ascii="Times New Roman" w:hAnsi="Times New Roman" w:hint="cs"/>
          <w:szCs w:val="22"/>
          <w:highlight w:val="yellow"/>
          <w:rtl/>
        </w:rPr>
        <w:t xml:space="preserve">מהן המגבלות החלות על הכרה בתשלומי חובה נוספים מכוח חוקי עזר עירוניים המסדירים עניינים ספציפיים? ראשית, הנושא שבגינו נגבה תשלום החובה צריך להיות </w:t>
      </w:r>
      <w:r w:rsidRPr="005D2912">
        <w:rPr>
          <w:rFonts w:ascii="Times New Roman" w:hAnsi="Times New Roman" w:cs="Miriam" w:hint="cs"/>
          <w:spacing w:val="0"/>
          <w:szCs w:val="22"/>
          <w:highlight w:val="yellow"/>
          <w:rtl/>
        </w:rPr>
        <w:t>בסמכותה של הרשות המקומית</w:t>
      </w:r>
      <w:r w:rsidRPr="005D2912">
        <w:rPr>
          <w:rFonts w:ascii="Times New Roman" w:hAnsi="Times New Roman" w:hint="cs"/>
          <w:szCs w:val="22"/>
          <w:highlight w:val="yellow"/>
          <w:rtl/>
        </w:rPr>
        <w:t>.</w:t>
      </w:r>
      <w:r w:rsidRPr="005D2912">
        <w:rPr>
          <w:rFonts w:ascii="Times New Roman" w:hAnsi="Times New Roman" w:hint="cs"/>
          <w:szCs w:val="22"/>
          <w:rtl/>
        </w:rPr>
        <w:t xml:space="preserve"> כך למשל, בעניין </w:t>
      </w:r>
      <w:r w:rsidRPr="005D2912">
        <w:rPr>
          <w:rFonts w:ascii="Times New Roman" w:hAnsi="Times New Roman" w:cs="Miriam" w:hint="cs"/>
          <w:spacing w:val="0"/>
          <w:szCs w:val="22"/>
          <w:rtl/>
        </w:rPr>
        <w:t xml:space="preserve">מלינובסקי </w:t>
      </w:r>
      <w:r w:rsidRPr="005D2912">
        <w:rPr>
          <w:rFonts w:ascii="Times New Roman" w:hAnsi="Times New Roman" w:hint="cs"/>
          <w:szCs w:val="22"/>
          <w:rtl/>
        </w:rPr>
        <w:t xml:space="preserve">הועלתה הטענה שהעירייה אינה יכולה לגבות "אגרת ביטחון" מאחר שאינה מוסמכת לפעול בתחום שמירת הביטחון. </w:t>
      </w:r>
      <w:r w:rsidRPr="005D2912">
        <w:rPr>
          <w:rFonts w:ascii="Times New Roman" w:hAnsi="Times New Roman" w:hint="cs"/>
          <w:szCs w:val="22"/>
          <w:highlight w:val="yellow"/>
          <w:rtl/>
        </w:rPr>
        <w:t xml:space="preserve">שנית, אין להכיר בתשלומי חובה חדשים הנגבים בגין </w:t>
      </w:r>
      <w:r w:rsidRPr="005D2912">
        <w:rPr>
          <w:rFonts w:ascii="Times New Roman" w:hAnsi="Times New Roman" w:cs="Miriam" w:hint="cs"/>
          <w:spacing w:val="0"/>
          <w:szCs w:val="22"/>
          <w:highlight w:val="yellow"/>
          <w:rtl/>
        </w:rPr>
        <w:t>שירותים שהרשות המקומית אמורה לספק כחלק ממאגר השירותים המוניציפאלי הכללי שבגינו נגבית הארנונה הכללית</w:t>
      </w:r>
      <w:r w:rsidRPr="005D2912">
        <w:rPr>
          <w:rFonts w:ascii="Times New Roman" w:hAnsi="Times New Roman" w:hint="cs"/>
          <w:szCs w:val="22"/>
          <w:highlight w:val="yellow"/>
          <w:rtl/>
        </w:rPr>
        <w:t>.</w:t>
      </w:r>
      <w:r w:rsidRPr="005D2912">
        <w:rPr>
          <w:rFonts w:ascii="Times New Roman" w:hAnsi="Times New Roman" w:hint="cs"/>
          <w:szCs w:val="22"/>
          <w:rtl/>
        </w:rPr>
        <w:t xml:space="preserve"> אם לא נאמר כן, תוצאת הדברים תהיה שהרשות המקומית גובה ארנונה "סתם". </w:t>
      </w:r>
      <w:r>
        <w:rPr>
          <w:rFonts w:ascii="Times New Roman" w:hAnsi="Times New Roman" w:hint="cs"/>
          <w:szCs w:val="22"/>
          <w:rtl/>
        </w:rPr>
        <w:t>...</w:t>
      </w:r>
    </w:p>
    <w:p w:rsidR="005366A8" w:rsidRPr="005D2912" w:rsidRDefault="005366A8" w:rsidP="005366A8">
      <w:pPr>
        <w:pStyle w:val="Ruller41"/>
        <w:spacing w:after="60" w:line="240" w:lineRule="auto"/>
        <w:rPr>
          <w:rFonts w:ascii="Times New Roman" w:hAnsi="Times New Roman"/>
          <w:szCs w:val="22"/>
          <w:rtl/>
        </w:rPr>
      </w:pPr>
      <w:r w:rsidRPr="005D2912">
        <w:rPr>
          <w:rFonts w:ascii="Times New Roman" w:hAnsi="Times New Roman" w:hint="cs"/>
          <w:szCs w:val="22"/>
          <w:rtl/>
        </w:rPr>
        <w:t xml:space="preserve">27. </w:t>
      </w:r>
      <w:r w:rsidRPr="005D2912">
        <w:rPr>
          <w:rFonts w:ascii="Times New Roman" w:hAnsi="Times New Roman" w:cs="Miriam" w:hint="cs"/>
          <w:spacing w:val="0"/>
          <w:szCs w:val="22"/>
          <w:rtl/>
        </w:rPr>
        <w:tab/>
      </w:r>
      <w:r w:rsidRPr="005D2912">
        <w:rPr>
          <w:rFonts w:ascii="Times New Roman" w:hAnsi="Times New Roman" w:hint="cs"/>
          <w:szCs w:val="22"/>
          <w:rtl/>
        </w:rPr>
        <w:t>בענייננו, אין ספק שתחום סילוק הפסולת נופל בגדר סמכויותיה של הרשות המקומית. גדר הספקות נוגע למגבלה השנייה שצוינה ועניינו בשאלה האם אגרת הפסולת המעוגנת בחוק העזר מתייחסת לשירותים מוניציפאליים שהרשות ממילא אמורה לספק על בסיס מקורותיה הכלליים (המבוססים על גביית הארנונה הכללית), אם לאו. התשובה לשאלה זו אינה פשוטה. לכאורה, פינוי אשפה היה מאז ומתמיד אחד מן התחומים המוסדרים על-ידי הרשות המקומית ובהתאם לכך מן התחומים שהפעילות בהם מכוסה על-ידי תשלום הארנונה הכללית. מטעם זה נפסלה בעבר, כפי שצוין לעיל, הפרקטיקה של גביית "אגרת אשפה" כללית לצידו של תשלום הארנונה. למעשה, עמדה בסיסית זו אינה שנויה במחלוקת, ומוסכמת גם על העותרת. אלא, שעמדתה של העותרת מבוססת על הבחנה בין פינוי פסולת "בסיסי" שנופל לגדר השירותים המוניציפאליים המסורתיים לבין פינוי פסולת החורג מעבר לכך.</w:t>
      </w:r>
    </w:p>
    <w:p w:rsidR="005366A8" w:rsidRPr="005D2912" w:rsidRDefault="005366A8" w:rsidP="005366A8">
      <w:pPr>
        <w:pStyle w:val="Ruller41"/>
        <w:spacing w:after="60" w:line="240" w:lineRule="auto"/>
        <w:rPr>
          <w:rFonts w:ascii="Times New Roman" w:hAnsi="Times New Roman"/>
          <w:szCs w:val="22"/>
          <w:rtl/>
        </w:rPr>
      </w:pPr>
      <w:r w:rsidRPr="005D2912">
        <w:rPr>
          <w:rFonts w:ascii="Times New Roman" w:hAnsi="Times New Roman" w:hint="cs"/>
          <w:szCs w:val="22"/>
          <w:rtl/>
        </w:rPr>
        <w:t xml:space="preserve">28. </w:t>
      </w:r>
      <w:r w:rsidRPr="005D2912">
        <w:rPr>
          <w:rFonts w:ascii="Times New Roman" w:hAnsi="Times New Roman" w:hint="cs"/>
          <w:szCs w:val="22"/>
          <w:rtl/>
        </w:rPr>
        <w:tab/>
      </w:r>
      <w:r w:rsidRPr="005D2912">
        <w:rPr>
          <w:rFonts w:ascii="Times New Roman" w:hAnsi="Times New Roman" w:hint="cs"/>
          <w:szCs w:val="22"/>
          <w:highlight w:val="yellow"/>
          <w:rtl/>
        </w:rPr>
        <w:t>לאחר שחזרנו ובחנו את הדברים הגענו לכלל דעה שהדין בנושא זה עם העותרת. אכן, הבחנה בין שירותי "בסיס" הנופלים לגדר חובותיהן של הרשויות לבין שירותים החורגים מעבר לכך (ולכן מחייבים בתשלום) עשויה להיות הבחנה "חשודה" בהקשרים מסוימים. בעיקר כאשר הרשות מבקשת לצמצם באורח לא לגיטימי את היקף השירותים שהיא מספקת ואף להפריט בעקיפין חלק מהיבטיהם, אותם היבטים שבגינם נגבה תשלום נוסף</w:t>
      </w:r>
      <w:r w:rsidRPr="005D2912">
        <w:rPr>
          <w:rFonts w:ascii="Times New Roman" w:hAnsi="Times New Roman" w:hint="cs"/>
          <w:szCs w:val="22"/>
          <w:rtl/>
        </w:rPr>
        <w:t xml:space="preserve"> (ראו והשוו: </w:t>
      </w:r>
      <w:hyperlink r:id="rId308" w:history="1">
        <w:r w:rsidRPr="005D2912">
          <w:rPr>
            <w:rStyle w:val="Hyperlink"/>
            <w:rFonts w:ascii="Arial" w:hAnsi="Arial"/>
            <w:szCs w:val="22"/>
            <w:rtl/>
          </w:rPr>
          <w:t>בג"ץ 5394/92</w:t>
        </w:r>
        <w:r w:rsidRPr="005D2912">
          <w:rPr>
            <w:rStyle w:val="Hyperlink"/>
            <w:rFonts w:ascii="Arial" w:hAnsi="Arial" w:hint="cs"/>
            <w:szCs w:val="22"/>
            <w:rtl/>
          </w:rPr>
          <w:t xml:space="preserve"> </w:t>
        </w:r>
        <w:r w:rsidRPr="005D2912">
          <w:rPr>
            <w:rStyle w:val="Hyperlink"/>
            <w:rFonts w:ascii="Times New Roman" w:hAnsi="Times New Roman" w:cs="Miriam" w:hint="cs"/>
            <w:spacing w:val="0"/>
            <w:szCs w:val="22"/>
            <w:rtl/>
          </w:rPr>
          <w:t>הופרט נ' "יד ושם", רשות הזיכרון לשואה ולגבורה</w:t>
        </w:r>
        <w:r w:rsidRPr="005D2912">
          <w:rPr>
            <w:rStyle w:val="Hyperlink"/>
            <w:rFonts w:ascii="Times New Roman" w:hAnsi="Times New Roman" w:hint="cs"/>
            <w:szCs w:val="22"/>
            <w:rtl/>
          </w:rPr>
          <w:t>, פ"ד מח</w:t>
        </w:r>
      </w:hyperlink>
      <w:r w:rsidRPr="005D2912">
        <w:rPr>
          <w:rFonts w:ascii="Times New Roman" w:hAnsi="Times New Roman" w:hint="cs"/>
          <w:szCs w:val="22"/>
          <w:rtl/>
        </w:rPr>
        <w:t xml:space="preserve">(3) 353 </w:t>
      </w:r>
      <w:r w:rsidRPr="005D2912">
        <w:rPr>
          <w:rFonts w:ascii="Times New Roman" w:hAnsi="Times New Roman" w:hint="cs"/>
          <w:spacing w:val="0"/>
          <w:szCs w:val="22"/>
          <w:rtl/>
        </w:rPr>
        <w:t>(1994</w:t>
      </w:r>
      <w:r w:rsidRPr="005D2912">
        <w:rPr>
          <w:rFonts w:ascii="Arial" w:hAnsi="Arial" w:hint="cs"/>
          <w:szCs w:val="22"/>
          <w:rtl/>
        </w:rPr>
        <w:t xml:space="preserve">); </w:t>
      </w:r>
      <w:hyperlink r:id="rId309" w:history="1">
        <w:r w:rsidRPr="005D2912">
          <w:rPr>
            <w:rStyle w:val="Hyperlink"/>
            <w:rFonts w:ascii="Arial" w:hAnsi="Arial"/>
            <w:szCs w:val="22"/>
            <w:rtl/>
          </w:rPr>
          <w:t>בג"ץ 8676/00</w:t>
        </w:r>
        <w:r w:rsidRPr="005D2912">
          <w:rPr>
            <w:rStyle w:val="Hyperlink"/>
            <w:rFonts w:ascii="Arial" w:hAnsi="Arial" w:hint="cs"/>
            <w:szCs w:val="22"/>
            <w:rtl/>
          </w:rPr>
          <w:t xml:space="preserve"> </w:t>
        </w:r>
        <w:r w:rsidRPr="005D2912">
          <w:rPr>
            <w:rStyle w:val="Hyperlink"/>
            <w:rFonts w:ascii="Times New Roman" w:hAnsi="Times New Roman" w:cs="Miriam" w:hint="cs"/>
            <w:spacing w:val="0"/>
            <w:szCs w:val="22"/>
            <w:rtl/>
          </w:rPr>
          <w:t>אדם טבע ודין אגודה ישראלית להגנת הסביבה נ' עיריית רעננה</w:t>
        </w:r>
        <w:r w:rsidRPr="005D2912">
          <w:rPr>
            <w:rStyle w:val="Hyperlink"/>
            <w:rFonts w:ascii="Arial" w:hAnsi="Arial" w:hint="cs"/>
            <w:szCs w:val="22"/>
            <w:rtl/>
          </w:rPr>
          <w:t>, פ"ד נט</w:t>
        </w:r>
      </w:hyperlink>
      <w:r w:rsidRPr="005D2912">
        <w:rPr>
          <w:rFonts w:ascii="Arial" w:hAnsi="Arial" w:hint="cs"/>
          <w:szCs w:val="22"/>
          <w:rtl/>
        </w:rPr>
        <w:t>(2)</w:t>
      </w:r>
      <w:r w:rsidRPr="005D2912">
        <w:rPr>
          <w:rFonts w:ascii="Times New Roman" w:hAnsi="Times New Roman" w:hint="cs"/>
          <w:spacing w:val="0"/>
          <w:szCs w:val="22"/>
          <w:rtl/>
        </w:rPr>
        <w:t xml:space="preserve"> 210 (2004)). </w:t>
      </w:r>
      <w:r w:rsidRPr="005D2912">
        <w:rPr>
          <w:rFonts w:ascii="Times New Roman" w:hAnsi="Times New Roman" w:hint="cs"/>
          <w:szCs w:val="22"/>
          <w:highlight w:val="yellow"/>
          <w:rtl/>
        </w:rPr>
        <w:t>אולם, כל מקרה כזה צריך להיבחן לגופו של עניין.</w:t>
      </w:r>
    </w:p>
    <w:p w:rsidR="005366A8" w:rsidRPr="005D2912" w:rsidRDefault="005366A8" w:rsidP="005366A8">
      <w:pPr>
        <w:pStyle w:val="Ruller41"/>
        <w:spacing w:after="60" w:line="240" w:lineRule="auto"/>
        <w:rPr>
          <w:rFonts w:ascii="Times New Roman" w:hAnsi="Times New Roman"/>
          <w:szCs w:val="22"/>
          <w:rtl/>
        </w:rPr>
      </w:pPr>
      <w:r w:rsidRPr="005D2912">
        <w:rPr>
          <w:rFonts w:ascii="Times New Roman" w:hAnsi="Times New Roman" w:hint="cs"/>
          <w:szCs w:val="22"/>
          <w:rtl/>
        </w:rPr>
        <w:t xml:space="preserve">29. </w:t>
      </w:r>
      <w:r w:rsidRPr="005D2912">
        <w:rPr>
          <w:rFonts w:ascii="Times New Roman" w:hAnsi="Times New Roman" w:hint="cs"/>
          <w:szCs w:val="22"/>
          <w:rtl/>
        </w:rPr>
        <w:tab/>
      </w:r>
      <w:r w:rsidRPr="005D2912">
        <w:rPr>
          <w:rFonts w:ascii="Times New Roman" w:hAnsi="Times New Roman" w:hint="cs"/>
          <w:szCs w:val="22"/>
          <w:highlight w:val="yellow"/>
          <w:rtl/>
        </w:rPr>
        <w:t>ההבחנה המוצעת כאן על-ידי העותרת אינה הבחנה מלאכותית אלא הבחנה הכרחית, שמבטאת את ההכרה בשינויים בתפיסה הכלכלית והסביבתית של תהליכי יצור.</w:t>
      </w:r>
      <w:r w:rsidRPr="005D2912">
        <w:rPr>
          <w:rFonts w:ascii="Times New Roman" w:hAnsi="Times New Roman" w:hint="cs"/>
          <w:szCs w:val="22"/>
          <w:rtl/>
        </w:rPr>
        <w:t xml:space="preserve"> כיום, לא יכול להיות עוד ספק שהטיפול בפסולת שהיא תולדה של תהליכי יצור היא אחת העלויות של תהליכים אלו, לא פחות מתשומות ייצור אחרות, כדוגמת חשמל, חומרי גלם וכולי. </w:t>
      </w:r>
      <w:r w:rsidRPr="005D2912">
        <w:rPr>
          <w:rFonts w:ascii="Times New Roman" w:hAnsi="Times New Roman" w:hint="cs"/>
          <w:szCs w:val="22"/>
          <w:highlight w:val="yellow"/>
          <w:rtl/>
        </w:rPr>
        <w:t>ההנחה שפינוי הפסולת כולו אמור להיות מונח לפתחה של הרשות המקומית מבטאת תפיסה שאבד עליה הכלח, לפיה פינוי הפסולת הוא כביכול אך תוצר לוואי פשוט (ואף לא יקר במיוחד) של תהליך הייצור.</w:t>
      </w:r>
      <w:r w:rsidRPr="005D2912">
        <w:rPr>
          <w:rFonts w:ascii="Times New Roman" w:hAnsi="Times New Roman" w:hint="cs"/>
          <w:szCs w:val="22"/>
          <w:rtl/>
        </w:rPr>
        <w:t xml:space="preserve"> </w:t>
      </w:r>
      <w:r w:rsidRPr="005D2912">
        <w:rPr>
          <w:rFonts w:ascii="Times New Roman" w:hAnsi="Times New Roman" w:hint="cs"/>
          <w:szCs w:val="22"/>
          <w:highlight w:val="yellow"/>
          <w:rtl/>
        </w:rPr>
        <w:t>כשם שלא מצופה מהרשות המקומית לספק ולממן את חומרי הגלם של המפעל, כך גם אין לצפות שהיא תהיה חייבת במימון פינוי התוצרים הנובעים מן השימוש בחומרי הגלם.</w:t>
      </w:r>
      <w:r w:rsidRPr="005D2912">
        <w:rPr>
          <w:rFonts w:ascii="Times New Roman" w:hAnsi="Times New Roman" w:hint="cs"/>
          <w:szCs w:val="22"/>
          <w:rtl/>
        </w:rPr>
        <w:t xml:space="preserve"> </w:t>
      </w:r>
      <w:r w:rsidRPr="005D2912">
        <w:rPr>
          <w:rFonts w:ascii="Times New Roman" w:hAnsi="Times New Roman" w:hint="cs"/>
          <w:szCs w:val="22"/>
          <w:highlight w:val="yellow"/>
          <w:rtl/>
        </w:rPr>
        <w:t>אכן, גם מפעל זכאי לקבל שירותים של פינוי אשפה כחלק מהיותו גורם שפעיל בתחום המוניציפאלי. אולם, יש מקום להבחנה בין פינוי אשפה "בסיסי" לבין פינוי שמהווה המשך של תהליך הייצור.</w:t>
      </w:r>
    </w:p>
    <w:p w:rsidR="005366A8" w:rsidRPr="005D2912" w:rsidRDefault="005366A8" w:rsidP="005366A8">
      <w:pPr>
        <w:pStyle w:val="Ruller41"/>
        <w:spacing w:after="60" w:line="240" w:lineRule="auto"/>
        <w:rPr>
          <w:rFonts w:ascii="Times New Roman" w:hAnsi="Times New Roman"/>
          <w:szCs w:val="22"/>
          <w:rtl/>
        </w:rPr>
      </w:pPr>
      <w:r w:rsidRPr="005D2912">
        <w:rPr>
          <w:rFonts w:ascii="Times New Roman" w:hAnsi="Times New Roman" w:hint="cs"/>
          <w:szCs w:val="22"/>
          <w:rtl/>
        </w:rPr>
        <w:t xml:space="preserve">30. </w:t>
      </w:r>
      <w:r w:rsidRPr="005D2912">
        <w:rPr>
          <w:rFonts w:ascii="Times New Roman" w:hAnsi="Times New Roman" w:hint="cs"/>
          <w:szCs w:val="22"/>
          <w:rtl/>
        </w:rPr>
        <w:tab/>
      </w:r>
      <w:r w:rsidRPr="005D2912">
        <w:rPr>
          <w:rFonts w:ascii="Times New Roman" w:hAnsi="Times New Roman" w:hint="cs"/>
          <w:szCs w:val="22"/>
          <w:highlight w:val="yellow"/>
          <w:rtl/>
        </w:rPr>
        <w:t>אמנם, העלייה בהיקפי הפסולת התעשייתית והמחיר המאמיר של הטיפול בה יכולים היו לכאורה למצוא את ביטויים בהעלאה של תעריפי הארנונה באזורים תעשייתיים</w:t>
      </w:r>
      <w:r w:rsidRPr="005D2912">
        <w:rPr>
          <w:rFonts w:ascii="Times New Roman" w:hAnsi="Times New Roman" w:hint="cs"/>
          <w:szCs w:val="22"/>
          <w:rtl/>
        </w:rPr>
        <w:t xml:space="preserve"> (ובכפוף לאישורו של משרד הפנים, לפי "דיני ההקפאה" שעוד יידונו להלן). עמדתו של משרד הפנים דוחקת לכאורה את עיריית חולון לפנות לערוץ זה. </w:t>
      </w:r>
      <w:r w:rsidRPr="005D2912">
        <w:rPr>
          <w:rFonts w:ascii="Times New Roman" w:hAnsi="Times New Roman" w:hint="cs"/>
          <w:szCs w:val="22"/>
          <w:highlight w:val="yellow"/>
          <w:rtl/>
        </w:rPr>
        <w:t>אולם, עמדה זו לוקה באי-סבירות קשה, כאשר הדברים נבחנים במבט רחב המביא בחשבון גם שיקולים סביבתיים, כמו גם את השינוי הכללי שחל במארג הנורמטיבי של דיני הגנת הסביבה. העלאת שיעור הארנונה לתעשייה (שוב, בכפוף לאישור) תוביל לכך שכלל המפעלים התעשייתיים יישאו בנטל תשלום נוסף, בהתעלם מן השאלה מהם מקורות הפסולת; כלומר ללא הבחנה בין המפעלים בהתאם למידת תרומתם ליצירתם של תוצרי הפסולת.</w:t>
      </w:r>
      <w:r w:rsidRPr="005D2912">
        <w:rPr>
          <w:rFonts w:ascii="Times New Roman" w:hAnsi="Times New Roman" w:hint="cs"/>
          <w:szCs w:val="22"/>
          <w:rtl/>
        </w:rPr>
        <w:t xml:space="preserve"> </w:t>
      </w:r>
      <w:r w:rsidRPr="005D2912">
        <w:rPr>
          <w:rFonts w:ascii="Times New Roman" w:hAnsi="Times New Roman" w:hint="cs"/>
          <w:szCs w:val="22"/>
          <w:highlight w:val="yellow"/>
          <w:rtl/>
        </w:rPr>
        <w:t>לעומת זאת, אגרת פינוי פסולת, כמוצע על-ידי העותרת, מאפשרת הבחנה בין המפעלים בהתאם למידת תרומתם ליצירת הפסולת, בבחינת – איש איש "כפרי מעלליו".</w:t>
      </w:r>
    </w:p>
    <w:p w:rsidR="005366A8" w:rsidRPr="005D2912" w:rsidRDefault="005366A8" w:rsidP="005366A8">
      <w:pPr>
        <w:pStyle w:val="Ruller41"/>
        <w:spacing w:after="60" w:line="240" w:lineRule="auto"/>
        <w:rPr>
          <w:szCs w:val="22"/>
          <w:rtl/>
        </w:rPr>
      </w:pPr>
      <w:r w:rsidRPr="005D2912">
        <w:rPr>
          <w:rFonts w:ascii="Times New Roman" w:hAnsi="Times New Roman" w:hint="cs"/>
          <w:szCs w:val="22"/>
          <w:rtl/>
        </w:rPr>
        <w:t xml:space="preserve">31. </w:t>
      </w:r>
      <w:r w:rsidRPr="005D2912">
        <w:rPr>
          <w:rFonts w:hint="cs"/>
          <w:szCs w:val="22"/>
          <w:rtl/>
        </w:rPr>
        <w:tab/>
      </w:r>
      <w:r w:rsidRPr="005D2912">
        <w:rPr>
          <w:rFonts w:hint="cs"/>
          <w:szCs w:val="22"/>
          <w:highlight w:val="yellow"/>
          <w:rtl/>
        </w:rPr>
        <w:t>החקיקה הסביבתית החדשה מושתתת כולה על עיקרון מאחד חשוב של צדק סביבתי, המטיל את מימון הטיפול והמחזור של פסולת על יצרניה.</w:t>
      </w:r>
      <w:r w:rsidRPr="005D2912">
        <w:rPr>
          <w:rFonts w:hint="cs"/>
          <w:szCs w:val="22"/>
          <w:rtl/>
        </w:rPr>
        <w:t xml:space="preserve"> בהקשר זה ניתן למנות את החוקים הבאים: (א) </w:t>
      </w:r>
      <w:r w:rsidRPr="005D2912">
        <w:rPr>
          <w:rFonts w:ascii="Times New Roman" w:hAnsi="Times New Roman" w:cs="Miriam" w:hint="cs"/>
          <w:spacing w:val="0"/>
          <w:szCs w:val="22"/>
          <w:rtl/>
        </w:rPr>
        <w:t>חוק לטיפול סביבתי בציוד חשמלי ואלקטרוני ובסוללות, התשע"ב-2012</w:t>
      </w:r>
      <w:r w:rsidRPr="005D2912">
        <w:rPr>
          <w:rFonts w:ascii="Times New Roman" w:hAnsi="Times New Roman" w:hint="cs"/>
          <w:szCs w:val="22"/>
          <w:rtl/>
        </w:rPr>
        <w:t>:</w:t>
      </w:r>
      <w:r w:rsidRPr="005D2912">
        <w:rPr>
          <w:rFonts w:hint="cs"/>
          <w:szCs w:val="22"/>
          <w:rtl/>
        </w:rPr>
        <w:t xml:space="preserve"> החוק מגדיר כבר בסעיף המטרה את אחריות היצרנים והיבואנים למחזר ציוד חשמלי, אלקטרוני וסוללות, ומבהיר בהמשכו את הפעולות שעל היצרנים והיבואנים לעשות כדי לעמוד ביעדי המחזור;</w:t>
      </w:r>
      <w:r w:rsidRPr="005D2912">
        <w:rPr>
          <w:rFonts w:ascii="Times New Roman" w:hAnsi="Times New Roman" w:cs="Miriam" w:hint="cs"/>
          <w:spacing w:val="0"/>
          <w:szCs w:val="22"/>
          <w:rtl/>
        </w:rPr>
        <w:t xml:space="preserve"> </w:t>
      </w:r>
      <w:r w:rsidRPr="005D2912">
        <w:rPr>
          <w:rFonts w:ascii="Times New Roman" w:hAnsi="Times New Roman" w:hint="cs"/>
          <w:szCs w:val="22"/>
          <w:rtl/>
        </w:rPr>
        <w:t>(ב)</w:t>
      </w:r>
      <w:r w:rsidRPr="005D2912">
        <w:rPr>
          <w:rFonts w:ascii="Times New Roman" w:hAnsi="Times New Roman" w:cs="Miriam" w:hint="cs"/>
          <w:spacing w:val="0"/>
          <w:szCs w:val="22"/>
          <w:rtl/>
        </w:rPr>
        <w:t xml:space="preserve"> חוק להסדרת הטיפול באריזות, התשע"א-2011</w:t>
      </w:r>
      <w:r w:rsidRPr="005D2912">
        <w:rPr>
          <w:rFonts w:hint="cs"/>
          <w:szCs w:val="22"/>
          <w:rtl/>
        </w:rPr>
        <w:t xml:space="preserve">: במסגרת החוק הוטלו חובות על יצרנים ויבואנים למחזר פסולת אריזות (סעיפים 1 ו-6). כמו-כן, הוטלה על רשויות מקומיות החובה לעגן הסדר פינוי מתאים לאריזות ולהתקשר עם גוף מוכר לצורך הטיפול בפסולת; (ג) </w:t>
      </w:r>
      <w:hyperlink r:id="rId310" w:history="1">
        <w:r w:rsidRPr="005D2912">
          <w:rPr>
            <w:rFonts w:ascii="Times New Roman" w:hAnsi="Times New Roman" w:cs="Miriam"/>
            <w:color w:val="0000FF"/>
            <w:spacing w:val="0"/>
            <w:szCs w:val="22"/>
            <w:u w:val="single"/>
            <w:rtl/>
          </w:rPr>
          <w:t>חוק הפיקדון על מכלי משקה</w:t>
        </w:r>
      </w:hyperlink>
      <w:r w:rsidRPr="005D2912">
        <w:rPr>
          <w:rFonts w:ascii="Times New Roman" w:hAnsi="Times New Roman" w:cs="Miriam" w:hint="cs"/>
          <w:spacing w:val="0"/>
          <w:szCs w:val="22"/>
          <w:rtl/>
        </w:rPr>
        <w:t>, התשנ"א-2001</w:t>
      </w:r>
      <w:r w:rsidRPr="005D2912">
        <w:rPr>
          <w:rFonts w:hint="cs"/>
          <w:szCs w:val="22"/>
          <w:rtl/>
        </w:rPr>
        <w:t>: בנוסחו המקורי לא הטיל החוק אחריות יצרן ישירה על יצרני המשקאות. עם זאת, בתיקון מס' 4 לחוק משנת 2010 (</w:t>
      </w:r>
      <w:hyperlink r:id="rId311" w:history="1">
        <w:r w:rsidRPr="005D2912">
          <w:rPr>
            <w:rFonts w:hint="eastAsia"/>
            <w:color w:val="0000FF"/>
            <w:szCs w:val="22"/>
            <w:u w:val="single"/>
            <w:rtl/>
          </w:rPr>
          <w:t>חוק</w:t>
        </w:r>
        <w:r w:rsidRPr="005D2912">
          <w:rPr>
            <w:color w:val="0000FF"/>
            <w:szCs w:val="22"/>
            <w:u w:val="single"/>
            <w:rtl/>
          </w:rPr>
          <w:t xml:space="preserve"> </w:t>
        </w:r>
        <w:r w:rsidRPr="005D2912">
          <w:rPr>
            <w:rFonts w:hint="eastAsia"/>
            <w:color w:val="0000FF"/>
            <w:szCs w:val="22"/>
            <w:u w:val="single"/>
            <w:rtl/>
          </w:rPr>
          <w:t>הפיקדון</w:t>
        </w:r>
        <w:r w:rsidRPr="005D2912">
          <w:rPr>
            <w:color w:val="0000FF"/>
            <w:szCs w:val="22"/>
            <w:u w:val="single"/>
            <w:rtl/>
          </w:rPr>
          <w:t xml:space="preserve"> </w:t>
        </w:r>
        <w:r w:rsidRPr="005D2912">
          <w:rPr>
            <w:rFonts w:hint="eastAsia"/>
            <w:color w:val="0000FF"/>
            <w:szCs w:val="22"/>
            <w:u w:val="single"/>
            <w:rtl/>
          </w:rPr>
          <w:t>על</w:t>
        </w:r>
        <w:r w:rsidRPr="005D2912">
          <w:rPr>
            <w:color w:val="0000FF"/>
            <w:szCs w:val="22"/>
            <w:u w:val="single"/>
            <w:rtl/>
          </w:rPr>
          <w:t xml:space="preserve"> </w:t>
        </w:r>
        <w:r w:rsidRPr="005D2912">
          <w:rPr>
            <w:rFonts w:hint="eastAsia"/>
            <w:color w:val="0000FF"/>
            <w:szCs w:val="22"/>
            <w:u w:val="single"/>
            <w:rtl/>
          </w:rPr>
          <w:t>מכלי</w:t>
        </w:r>
        <w:r w:rsidRPr="005D2912">
          <w:rPr>
            <w:color w:val="0000FF"/>
            <w:szCs w:val="22"/>
            <w:u w:val="single"/>
            <w:rtl/>
          </w:rPr>
          <w:t xml:space="preserve"> </w:t>
        </w:r>
        <w:r w:rsidRPr="005D2912">
          <w:rPr>
            <w:rFonts w:hint="eastAsia"/>
            <w:color w:val="0000FF"/>
            <w:szCs w:val="22"/>
            <w:u w:val="single"/>
            <w:rtl/>
          </w:rPr>
          <w:t>משקה</w:t>
        </w:r>
      </w:hyperlink>
      <w:r w:rsidRPr="005D2912">
        <w:rPr>
          <w:rFonts w:hint="cs"/>
          <w:szCs w:val="22"/>
          <w:rtl/>
        </w:rPr>
        <w:t xml:space="preserve"> (תיקון מס' 4), התש"ע-2010) עוגנו העקרונות של אחריות יצרן ו"המזהם משלם". ביטוי לכך ניתן למצוא בהוראות סעיפים 7א ו-7ב לחוק הקובעים מכסת איסוף בקבוקים על היצרנים, וכן תשלום בגין אי-עמידה ביעדי המכסה; (ד) </w:t>
      </w:r>
      <w:r w:rsidRPr="005D2912">
        <w:rPr>
          <w:rFonts w:ascii="Times New Roman" w:hAnsi="Times New Roman" w:cs="Miriam" w:hint="cs"/>
          <w:spacing w:val="0"/>
          <w:szCs w:val="22"/>
          <w:rtl/>
        </w:rPr>
        <w:t>ה</w:t>
      </w:r>
      <w:hyperlink r:id="rId312" w:history="1">
        <w:r w:rsidRPr="005D2912">
          <w:rPr>
            <w:rFonts w:ascii="Times New Roman" w:hAnsi="Times New Roman" w:cs="Miriam"/>
            <w:color w:val="0000FF"/>
            <w:spacing w:val="0"/>
            <w:szCs w:val="22"/>
            <w:u w:val="single"/>
            <w:rtl/>
          </w:rPr>
          <w:t>חוק לסילוק ולמיחזור צמיגים</w:t>
        </w:r>
      </w:hyperlink>
      <w:r w:rsidRPr="005D2912">
        <w:rPr>
          <w:rFonts w:ascii="Times New Roman" w:hAnsi="Times New Roman" w:cs="Miriam" w:hint="cs"/>
          <w:spacing w:val="0"/>
          <w:szCs w:val="22"/>
          <w:rtl/>
        </w:rPr>
        <w:t>, התשס"ז-2007</w:t>
      </w:r>
      <w:r w:rsidRPr="005D2912">
        <w:rPr>
          <w:rFonts w:hint="cs"/>
          <w:szCs w:val="22"/>
          <w:rtl/>
        </w:rPr>
        <w:t xml:space="preserve">: סעיפים 1, 3 ו-7 מלמדים היטב כי אחת ממטרות החוק היא צמצום הטמנת צמיגים, בין היתר, על ידי הטלת האחריות לסילוקם ומחזורם על היצרנים והיבואנים; (ה) </w:t>
      </w:r>
      <w:hyperlink r:id="rId313" w:history="1">
        <w:r w:rsidRPr="005D2912">
          <w:rPr>
            <w:rFonts w:ascii="Times New Roman" w:hAnsi="Times New Roman" w:cs="Miriam"/>
            <w:color w:val="0000FF"/>
            <w:spacing w:val="0"/>
            <w:szCs w:val="22"/>
            <w:u w:val="single"/>
            <w:rtl/>
          </w:rPr>
          <w:t>חוק שמירת הנקיון</w:t>
        </w:r>
      </w:hyperlink>
      <w:r w:rsidRPr="005D2912">
        <w:rPr>
          <w:rFonts w:hint="cs"/>
          <w:szCs w:val="22"/>
          <w:rtl/>
        </w:rPr>
        <w:t>: תיקון 9 לחוק זה משנת 2007 (חוק שמירת הניקיון (תיקון מס' 9), התשס"ז-2007) הוסיף בסעיף 11 לחוק מנגנון של היטלי הטמנה. במארג דינים חדש זה שזורים ושלובים עקרונות של "אחריות היצרן" ו"המזהם משלם".</w:t>
      </w:r>
    </w:p>
    <w:p w:rsidR="005366A8" w:rsidRPr="005D2912" w:rsidRDefault="005366A8" w:rsidP="005366A8">
      <w:pPr>
        <w:pStyle w:val="Ruller41"/>
        <w:spacing w:after="60" w:line="240" w:lineRule="auto"/>
        <w:rPr>
          <w:szCs w:val="22"/>
          <w:rtl/>
        </w:rPr>
      </w:pPr>
      <w:r w:rsidRPr="005D2912">
        <w:rPr>
          <w:rFonts w:hint="cs"/>
          <w:szCs w:val="22"/>
          <w:rtl/>
        </w:rPr>
        <w:t xml:space="preserve">32. </w:t>
      </w:r>
      <w:r w:rsidRPr="005D2912">
        <w:rPr>
          <w:rFonts w:hint="cs"/>
          <w:szCs w:val="22"/>
          <w:rtl/>
        </w:rPr>
        <w:tab/>
        <w:t xml:space="preserve">במיוחד חשוב לענייננו המנגנון האחרון שנזכר – זה של היטלי הטמנה לפי חוק שמירת הניקיון. הסדר זה נועד לייקר את עלות הטיפול בפסולת על דרך הטמנתה, ואגב כך ליצור תמריץ לעבור לפתרונות של מחזור. </w:t>
      </w:r>
      <w:r w:rsidRPr="005D2912">
        <w:rPr>
          <w:rFonts w:hint="cs"/>
          <w:szCs w:val="22"/>
          <w:highlight w:val="yellow"/>
          <w:rtl/>
        </w:rPr>
        <w:t>חקיקה זו מלמדת על האינטרס החברתי-סביבתי שבחיוב המפעלים לשלם אגרת פינוי פסולת, בהתאם להיקף הפסולת שייצרו. חקיקת חוקי עזר ברוח זו משתלבת היטב בתפיסה החקיקתית החדשה.</w:t>
      </w:r>
      <w:r w:rsidRPr="005D2912">
        <w:rPr>
          <w:rFonts w:hint="cs"/>
          <w:szCs w:val="22"/>
          <w:rtl/>
        </w:rPr>
        <w:t xml:space="preserve"> זאת ועוד: המנגנון של היטל הטמנה גורם להעלאה הדרגתית של הנטל התקציבי הכרוך באיסוף אשפה על-ידי הרשות המקומית. הרשות המקומית נושאת בעלויות הטמנת הפסולת שהיא אוספת בהתאם לכמויות המוטמנות. אין כל היגיון בכך שהרשות המקומית תהיה מנועה מלתת ביטוי למנגנון חיוב זה באופן שבו היא מטילה תשלומי חובה.  </w:t>
      </w:r>
    </w:p>
    <w:p w:rsidR="005366A8" w:rsidRPr="005D2912" w:rsidRDefault="005366A8" w:rsidP="005366A8">
      <w:pPr>
        <w:pStyle w:val="Ruller41"/>
        <w:spacing w:after="60" w:line="240" w:lineRule="auto"/>
        <w:rPr>
          <w:szCs w:val="22"/>
          <w:rtl/>
        </w:rPr>
      </w:pPr>
      <w:r w:rsidRPr="005D2912">
        <w:rPr>
          <w:rFonts w:hint="cs"/>
          <w:szCs w:val="22"/>
          <w:rtl/>
        </w:rPr>
        <w:t xml:space="preserve">33. </w:t>
      </w:r>
      <w:r w:rsidRPr="005D2912">
        <w:rPr>
          <w:rFonts w:hint="cs"/>
          <w:szCs w:val="22"/>
          <w:rtl/>
        </w:rPr>
        <w:tab/>
      </w:r>
      <w:r w:rsidRPr="005D2912">
        <w:rPr>
          <w:rFonts w:hint="cs"/>
          <w:szCs w:val="22"/>
          <w:highlight w:val="yellow"/>
          <w:rtl/>
        </w:rPr>
        <w:t>בית משפט זה כבר עמד על כך שלעתים מארג של חוקים, הגם שכל אחד מהם כולל הסדר בעל אופי ספציפי, מבטא עיקרון משפטי רחב יותר, שיש לו חיות ותוקף  מעבר לפרטיהם של אותם חוקים.</w:t>
      </w:r>
      <w:r w:rsidRPr="005D2912">
        <w:rPr>
          <w:rFonts w:hint="cs"/>
          <w:szCs w:val="22"/>
          <w:rtl/>
        </w:rPr>
        <w:t xml:space="preserve"> כך נפסק בעבר לעניינה של דוקטרינת הייצוג ההולם ב</w:t>
      </w:r>
      <w:hyperlink r:id="rId314" w:history="1">
        <w:r w:rsidRPr="005D2912">
          <w:rPr>
            <w:rFonts w:hint="eastAsia"/>
            <w:color w:val="0000FF"/>
            <w:szCs w:val="22"/>
            <w:u w:val="single"/>
            <w:rtl/>
          </w:rPr>
          <w:t>בג</w:t>
        </w:r>
        <w:r w:rsidRPr="005D2912">
          <w:rPr>
            <w:color w:val="0000FF"/>
            <w:szCs w:val="22"/>
            <w:u w:val="single"/>
            <w:rtl/>
          </w:rPr>
          <w:t>"</w:t>
        </w:r>
        <w:r w:rsidRPr="005D2912">
          <w:rPr>
            <w:rFonts w:hint="eastAsia"/>
            <w:color w:val="0000FF"/>
            <w:szCs w:val="22"/>
            <w:u w:val="single"/>
            <w:rtl/>
          </w:rPr>
          <w:t>ץ</w:t>
        </w:r>
        <w:r w:rsidRPr="005D2912">
          <w:rPr>
            <w:color w:val="0000FF"/>
            <w:szCs w:val="22"/>
            <w:u w:val="single"/>
            <w:rtl/>
          </w:rPr>
          <w:t xml:space="preserve"> 2671/98 </w:t>
        </w:r>
        <w:r w:rsidRPr="005D2912">
          <w:rPr>
            <w:rFonts w:hint="eastAsia"/>
            <w:color w:val="0000FF"/>
            <w:szCs w:val="22"/>
            <w:u w:val="single"/>
            <w:rtl/>
          </w:rPr>
          <w:t>שדולת</w:t>
        </w:r>
        <w:r w:rsidRPr="005D2912">
          <w:rPr>
            <w:color w:val="0000FF"/>
            <w:szCs w:val="22"/>
            <w:u w:val="single"/>
            <w:rtl/>
          </w:rPr>
          <w:t xml:space="preserve"> </w:t>
        </w:r>
        <w:r w:rsidRPr="005D2912">
          <w:rPr>
            <w:rFonts w:hint="eastAsia"/>
            <w:color w:val="0000FF"/>
            <w:szCs w:val="22"/>
            <w:u w:val="single"/>
            <w:rtl/>
          </w:rPr>
          <w:t>הנשים</w:t>
        </w:r>
        <w:r w:rsidRPr="005D2912">
          <w:rPr>
            <w:color w:val="0000FF"/>
            <w:szCs w:val="22"/>
            <w:u w:val="single"/>
            <w:rtl/>
          </w:rPr>
          <w:t xml:space="preserve"> </w:t>
        </w:r>
        <w:r w:rsidRPr="005D2912">
          <w:rPr>
            <w:rFonts w:hint="eastAsia"/>
            <w:color w:val="0000FF"/>
            <w:szCs w:val="22"/>
            <w:u w:val="single"/>
            <w:rtl/>
          </w:rPr>
          <w:t>בישראל</w:t>
        </w:r>
        <w:r w:rsidRPr="005D2912">
          <w:rPr>
            <w:color w:val="0000FF"/>
            <w:szCs w:val="22"/>
            <w:u w:val="single"/>
            <w:rtl/>
          </w:rPr>
          <w:t xml:space="preserve"> </w:t>
        </w:r>
        <w:r w:rsidRPr="005D2912">
          <w:rPr>
            <w:rFonts w:hint="eastAsia"/>
            <w:color w:val="0000FF"/>
            <w:szCs w:val="22"/>
            <w:u w:val="single"/>
            <w:rtl/>
          </w:rPr>
          <w:t>נ</w:t>
        </w:r>
        <w:r w:rsidRPr="005D2912">
          <w:rPr>
            <w:color w:val="0000FF"/>
            <w:szCs w:val="22"/>
            <w:u w:val="single"/>
            <w:rtl/>
          </w:rPr>
          <w:t xml:space="preserve">' </w:t>
        </w:r>
        <w:r w:rsidRPr="005D2912">
          <w:rPr>
            <w:rFonts w:hint="eastAsia"/>
            <w:color w:val="0000FF"/>
            <w:szCs w:val="22"/>
            <w:u w:val="single"/>
            <w:rtl/>
          </w:rPr>
          <w:t>שר</w:t>
        </w:r>
        <w:r w:rsidRPr="005D2912">
          <w:rPr>
            <w:color w:val="0000FF"/>
            <w:szCs w:val="22"/>
            <w:u w:val="single"/>
            <w:rtl/>
          </w:rPr>
          <w:t xml:space="preserve"> </w:t>
        </w:r>
        <w:r w:rsidRPr="005D2912">
          <w:rPr>
            <w:rFonts w:hint="eastAsia"/>
            <w:color w:val="0000FF"/>
            <w:szCs w:val="22"/>
            <w:u w:val="single"/>
            <w:rtl/>
          </w:rPr>
          <w:t>העבודה</w:t>
        </w:r>
        <w:r w:rsidRPr="005D2912">
          <w:rPr>
            <w:color w:val="0000FF"/>
            <w:szCs w:val="22"/>
            <w:u w:val="single"/>
            <w:rtl/>
          </w:rPr>
          <w:t xml:space="preserve"> </w:t>
        </w:r>
        <w:r w:rsidRPr="005D2912">
          <w:rPr>
            <w:rFonts w:hint="eastAsia"/>
            <w:color w:val="0000FF"/>
            <w:szCs w:val="22"/>
            <w:u w:val="single"/>
            <w:rtl/>
          </w:rPr>
          <w:t>והרווחה</w:t>
        </w:r>
        <w:r w:rsidRPr="005D2912">
          <w:rPr>
            <w:color w:val="0000FF"/>
            <w:szCs w:val="22"/>
            <w:u w:val="single"/>
            <w:rtl/>
          </w:rPr>
          <w:t xml:space="preserve">, </w:t>
        </w:r>
        <w:r w:rsidRPr="005D2912">
          <w:rPr>
            <w:rFonts w:hint="eastAsia"/>
            <w:color w:val="0000FF"/>
            <w:szCs w:val="22"/>
            <w:u w:val="single"/>
            <w:rtl/>
          </w:rPr>
          <w:t>פ</w:t>
        </w:r>
        <w:r w:rsidRPr="005D2912">
          <w:rPr>
            <w:color w:val="0000FF"/>
            <w:szCs w:val="22"/>
            <w:u w:val="single"/>
            <w:rtl/>
          </w:rPr>
          <w:t>"</w:t>
        </w:r>
        <w:r w:rsidRPr="005D2912">
          <w:rPr>
            <w:rFonts w:hint="eastAsia"/>
            <w:color w:val="0000FF"/>
            <w:szCs w:val="22"/>
            <w:u w:val="single"/>
            <w:rtl/>
          </w:rPr>
          <w:t>ד</w:t>
        </w:r>
        <w:r w:rsidRPr="005D2912">
          <w:rPr>
            <w:color w:val="0000FF"/>
            <w:szCs w:val="22"/>
            <w:u w:val="single"/>
            <w:rtl/>
          </w:rPr>
          <w:t xml:space="preserve"> </w:t>
        </w:r>
        <w:r w:rsidRPr="005D2912">
          <w:rPr>
            <w:rFonts w:hint="eastAsia"/>
            <w:color w:val="0000FF"/>
            <w:szCs w:val="22"/>
            <w:u w:val="single"/>
            <w:rtl/>
          </w:rPr>
          <w:t>נב</w:t>
        </w:r>
      </w:hyperlink>
      <w:r w:rsidRPr="005D2912">
        <w:rPr>
          <w:rFonts w:hint="cs"/>
          <w:szCs w:val="22"/>
          <w:rtl/>
        </w:rPr>
        <w:t xml:space="preserve">(3) 630 (1998). </w:t>
      </w:r>
      <w:r>
        <w:rPr>
          <w:rFonts w:hint="cs"/>
          <w:szCs w:val="22"/>
          <w:rtl/>
        </w:rPr>
        <w:t>..</w:t>
      </w:r>
    </w:p>
    <w:p w:rsidR="005366A8" w:rsidRPr="005D2912" w:rsidRDefault="005366A8" w:rsidP="005366A8">
      <w:pPr>
        <w:pStyle w:val="Ruller41"/>
        <w:spacing w:after="60" w:line="240" w:lineRule="auto"/>
        <w:rPr>
          <w:szCs w:val="22"/>
          <w:rtl/>
        </w:rPr>
      </w:pPr>
      <w:r w:rsidRPr="005D2912">
        <w:rPr>
          <w:rFonts w:hint="cs"/>
          <w:szCs w:val="22"/>
          <w:rtl/>
        </w:rPr>
        <w:tab/>
        <w:t>כך ראוי לומר גם בעניין שבפנינו בכל הנוגע לתפיסה של "המזהם משלם", לפחות במובן זה שרשות מקומית הבוחרת להנחות עצמה לאורו של עיקרון זה – ולאמץ בכך את מידותיו של המחוקק – תוכל לעשות כן.</w:t>
      </w:r>
    </w:p>
    <w:p w:rsidR="005366A8" w:rsidRPr="005D2912" w:rsidRDefault="005366A8" w:rsidP="005366A8">
      <w:pPr>
        <w:pStyle w:val="Ruller41"/>
        <w:spacing w:after="60" w:line="240" w:lineRule="auto"/>
        <w:rPr>
          <w:szCs w:val="22"/>
          <w:rtl/>
        </w:rPr>
      </w:pPr>
      <w:r w:rsidRPr="005D2912">
        <w:rPr>
          <w:rFonts w:hint="cs"/>
          <w:szCs w:val="22"/>
          <w:rtl/>
        </w:rPr>
        <w:t xml:space="preserve">34. </w:t>
      </w:r>
      <w:r w:rsidRPr="005D2912">
        <w:rPr>
          <w:rFonts w:hint="cs"/>
          <w:szCs w:val="22"/>
          <w:rtl/>
        </w:rPr>
        <w:tab/>
      </w:r>
      <w:r w:rsidRPr="005D2912">
        <w:rPr>
          <w:rFonts w:hint="cs"/>
          <w:szCs w:val="22"/>
          <w:highlight w:val="yellow"/>
          <w:rtl/>
        </w:rPr>
        <w:t xml:space="preserve">אף שברור כי בענייננו המפעלים אינם מזהמים אלא מייצרים פסולת בלבד, הרי שהתכליות המגולמות ביסוד העיקרון של "המזהם משלם" מתקיימות גם בעניין סילוק פסולת המפעל. בין תכליות אלה ניתן למנות שתיים מרכזיות: </w:t>
      </w:r>
      <w:r w:rsidRPr="005D2912">
        <w:rPr>
          <w:rFonts w:ascii="Times New Roman" w:hAnsi="Times New Roman" w:cs="Miriam" w:hint="cs"/>
          <w:spacing w:val="0"/>
          <w:szCs w:val="22"/>
          <w:highlight w:val="yellow"/>
          <w:rtl/>
        </w:rPr>
        <w:t>האחת</w:t>
      </w:r>
      <w:r w:rsidRPr="005D2912">
        <w:rPr>
          <w:rFonts w:hint="cs"/>
          <w:szCs w:val="22"/>
          <w:highlight w:val="yellow"/>
          <w:rtl/>
        </w:rPr>
        <w:t xml:space="preserve"> – השגת צדק חברתי לפיו הגורם המזהם הוא שישא בעלויות הטיפול בזיהום, ולא כלל החברה</w:t>
      </w:r>
      <w:r w:rsidRPr="005D2912">
        <w:rPr>
          <w:rFonts w:hint="cs"/>
          <w:szCs w:val="22"/>
          <w:rtl/>
        </w:rPr>
        <w:t xml:space="preserve"> (יששכר </w:t>
      </w:r>
      <w:hyperlink r:id="rId315" w:history="1">
        <w:r w:rsidRPr="005D2912">
          <w:rPr>
            <w:rFonts w:hint="eastAsia"/>
            <w:color w:val="0000FF"/>
            <w:szCs w:val="22"/>
            <w:u w:val="single"/>
            <w:rtl/>
          </w:rPr>
          <w:t>רוזן</w:t>
        </w:r>
        <w:r w:rsidRPr="005D2912">
          <w:rPr>
            <w:color w:val="0000FF"/>
            <w:szCs w:val="22"/>
            <w:u w:val="single"/>
            <w:rtl/>
          </w:rPr>
          <w:t>-</w:t>
        </w:r>
        <w:r w:rsidRPr="005D2912">
          <w:rPr>
            <w:rFonts w:hint="eastAsia"/>
            <w:color w:val="0000FF"/>
            <w:szCs w:val="22"/>
            <w:u w:val="single"/>
            <w:rtl/>
          </w:rPr>
          <w:t>צבי</w:t>
        </w:r>
        <w:r w:rsidRPr="005D2912">
          <w:rPr>
            <w:color w:val="0000FF"/>
            <w:szCs w:val="22"/>
            <w:u w:val="single"/>
            <w:rtl/>
          </w:rPr>
          <w:t xml:space="preserve"> "</w:t>
        </w:r>
        <w:r w:rsidRPr="005D2912">
          <w:rPr>
            <w:rFonts w:hint="eastAsia"/>
            <w:color w:val="0000FF"/>
            <w:szCs w:val="22"/>
            <w:u w:val="single"/>
            <w:rtl/>
          </w:rPr>
          <w:t>של</w:t>
        </w:r>
        <w:r w:rsidRPr="005D2912">
          <w:rPr>
            <w:color w:val="0000FF"/>
            <w:szCs w:val="22"/>
            <w:u w:val="single"/>
            <w:rtl/>
          </w:rPr>
          <w:t xml:space="preserve"> </w:t>
        </w:r>
        <w:r w:rsidRPr="005D2912">
          <w:rPr>
            <w:rFonts w:hint="eastAsia"/>
            <w:color w:val="0000FF"/>
            <w:szCs w:val="22"/>
            <w:u w:val="single"/>
            <w:rtl/>
          </w:rPr>
          <w:t>מי</w:t>
        </w:r>
        <w:r w:rsidRPr="005D2912">
          <w:rPr>
            <w:color w:val="0000FF"/>
            <w:szCs w:val="22"/>
            <w:u w:val="single"/>
            <w:rtl/>
          </w:rPr>
          <w:t xml:space="preserve"> </w:t>
        </w:r>
        <w:r w:rsidRPr="005D2912">
          <w:rPr>
            <w:rFonts w:hint="eastAsia"/>
            <w:color w:val="0000FF"/>
            <w:szCs w:val="22"/>
            <w:u w:val="single"/>
            <w:rtl/>
          </w:rPr>
          <w:t>הפסולת</w:t>
        </w:r>
        <w:r w:rsidRPr="005D2912">
          <w:rPr>
            <w:color w:val="0000FF"/>
            <w:szCs w:val="22"/>
            <w:u w:val="single"/>
            <w:rtl/>
          </w:rPr>
          <w:t xml:space="preserve"> </w:t>
        </w:r>
        <w:r w:rsidRPr="005D2912">
          <w:rPr>
            <w:rFonts w:hint="eastAsia"/>
            <w:color w:val="0000FF"/>
            <w:szCs w:val="22"/>
            <w:u w:val="single"/>
            <w:rtl/>
          </w:rPr>
          <w:t>הזו</w:t>
        </w:r>
        <w:r w:rsidRPr="005D2912">
          <w:rPr>
            <w:color w:val="0000FF"/>
            <w:szCs w:val="22"/>
            <w:u w:val="single"/>
            <w:rtl/>
          </w:rPr>
          <w:t xml:space="preserve"> </w:t>
        </w:r>
      </w:hyperlink>
      <w:r w:rsidRPr="005D2912">
        <w:rPr>
          <w:rFonts w:hint="cs"/>
          <w:szCs w:val="22"/>
          <w:rtl/>
        </w:rPr>
        <w:t xml:space="preserve"> לעזאזל?! סילוק פסולת וצדק סביבתי בישראל" </w:t>
      </w:r>
      <w:r w:rsidRPr="005D2912">
        <w:rPr>
          <w:rFonts w:ascii="Times New Roman" w:hAnsi="Times New Roman" w:cs="Miriam" w:hint="cs"/>
          <w:spacing w:val="0"/>
          <w:szCs w:val="22"/>
          <w:rtl/>
        </w:rPr>
        <w:t>מחקרי משפט</w:t>
      </w:r>
      <w:r w:rsidRPr="005D2912">
        <w:rPr>
          <w:rFonts w:hint="cs"/>
          <w:szCs w:val="22"/>
          <w:rtl/>
        </w:rPr>
        <w:t xml:space="preserve"> כ"ג 487, 552 ואילך (2007)); </w:t>
      </w:r>
      <w:r w:rsidRPr="005D2912">
        <w:rPr>
          <w:rFonts w:ascii="Times New Roman" w:hAnsi="Times New Roman" w:cs="Miriam" w:hint="cs"/>
          <w:spacing w:val="0"/>
          <w:szCs w:val="22"/>
          <w:highlight w:val="yellow"/>
          <w:rtl/>
        </w:rPr>
        <w:t>השנייה</w:t>
      </w:r>
      <w:r w:rsidRPr="005D2912">
        <w:rPr>
          <w:rFonts w:hint="cs"/>
          <w:szCs w:val="22"/>
          <w:highlight w:val="yellow"/>
          <w:rtl/>
        </w:rPr>
        <w:t xml:space="preserve"> – השגת התייעלות סביבתית באמצעות חיוב הגורם המזהם להפנים את עלויות הזיהום</w:t>
      </w:r>
      <w:r w:rsidRPr="005D2912">
        <w:rPr>
          <w:rFonts w:hint="cs"/>
          <w:szCs w:val="22"/>
          <w:rtl/>
        </w:rPr>
        <w:t xml:space="preserve"> (</w:t>
      </w:r>
      <w:r w:rsidRPr="005D2912">
        <w:rPr>
          <w:rFonts w:ascii="Times New Roman" w:hAnsi="Times New Roman" w:cs="Miriam" w:hint="cs"/>
          <w:spacing w:val="0"/>
          <w:szCs w:val="22"/>
          <w:rtl/>
        </w:rPr>
        <w:t>שם</w:t>
      </w:r>
      <w:r w:rsidRPr="005D2912">
        <w:rPr>
          <w:rFonts w:hint="cs"/>
          <w:szCs w:val="22"/>
          <w:rtl/>
        </w:rPr>
        <w:t xml:space="preserve">, עמ' 255). הפנמה כאמור תגרום לכך שהמזהם יפחית את ייצור הזיהום עד למינימום הכלכלי האפשרי מבחינתו. בענייננו, </w:t>
      </w:r>
      <w:r w:rsidRPr="005D2912">
        <w:rPr>
          <w:rFonts w:hint="cs"/>
          <w:szCs w:val="22"/>
          <w:highlight w:val="yellow"/>
          <w:rtl/>
        </w:rPr>
        <w:t>אם כלל הציבור יידרש לשאת בנטל עלויות הטיפול בפסולת שייצר מפעל פלוני, התוצאה תהיה לא צודקת, ואף לא יעילה, במובן זה שלא יהיה כל תמריץ למפעל להקטין את ייצור הפסלות או למחזרה</w:t>
      </w:r>
      <w:r w:rsidRPr="005D2912">
        <w:rPr>
          <w:rFonts w:hint="cs"/>
          <w:szCs w:val="22"/>
          <w:rtl/>
        </w:rPr>
        <w:t>. נהפוך הוא – בעולם ללא אגרת פינוי פסולת, אדישות המפעלים לכמות הפסולת שהם מייצרים היא לכאורה רציונלית לחלוטין מבחינה כלכלית.</w:t>
      </w:r>
    </w:p>
    <w:p w:rsidR="005366A8" w:rsidRPr="00AE6D59" w:rsidRDefault="005366A8" w:rsidP="005366A8">
      <w:pPr>
        <w:pStyle w:val="Ruller41"/>
        <w:spacing w:after="60" w:line="240" w:lineRule="auto"/>
        <w:rPr>
          <w:szCs w:val="22"/>
          <w:rtl/>
        </w:rPr>
      </w:pPr>
      <w:r w:rsidRPr="005D2912">
        <w:rPr>
          <w:rFonts w:hint="cs"/>
          <w:szCs w:val="22"/>
          <w:rtl/>
        </w:rPr>
        <w:t xml:space="preserve">35. </w:t>
      </w:r>
      <w:r w:rsidRPr="005D2912">
        <w:rPr>
          <w:rFonts w:hint="cs"/>
          <w:szCs w:val="22"/>
          <w:rtl/>
        </w:rPr>
        <w:tab/>
        <w:t xml:space="preserve">ניתן להוסיף ולציין, כי לאמיתו של דבר, </w:t>
      </w:r>
      <w:r w:rsidRPr="005D2912">
        <w:rPr>
          <w:rFonts w:hint="cs"/>
          <w:szCs w:val="22"/>
          <w:highlight w:val="yellow"/>
          <w:rtl/>
        </w:rPr>
        <w:t>המפעלים אינם אנוסים לשלם את אגרת פינוי האשפה, במובן זה שהיקף התשלום הוא כהיקף הפסולת שהעירייה תתבקש לפנות. מפעל שיפעל לצמצום היקף הפסולת שלו, או יפעל (כדין) לפינויה בדרכים אחרות, לא יזדקק למילוי מיכלי האשפה של העירייה וממילא גם לא ישלם בגין שירות זה.</w:t>
      </w:r>
      <w:r w:rsidRPr="005D2912">
        <w:rPr>
          <w:rFonts w:hint="cs"/>
          <w:szCs w:val="22"/>
          <w:rtl/>
        </w:rPr>
        <w:t xml:space="preserve"> עובדה זו, שנמצאת ברקע הדברים, מדגישה את יתרונותיו של התמריץ שיוצר חוק העזר החדש, כמו גם את ההבחנה בין תשלום אגרה לבין תשלום ארנונה, שאינה אלא מס המנותק </w:t>
      </w:r>
      <w:r w:rsidRPr="00AE6D59">
        <w:rPr>
          <w:rFonts w:hint="cs"/>
          <w:szCs w:val="22"/>
          <w:rtl/>
        </w:rPr>
        <w:t>מהיקף השירותים שצורך המפעל בפועל.</w:t>
      </w:r>
    </w:p>
    <w:p w:rsidR="005366A8" w:rsidRPr="00AE6D59" w:rsidRDefault="005366A8" w:rsidP="005366A8">
      <w:pPr>
        <w:pStyle w:val="Ruller41"/>
        <w:spacing w:after="60" w:line="240" w:lineRule="auto"/>
        <w:rPr>
          <w:rFonts w:ascii="Times New Roman" w:hAnsi="Times New Roman" w:cs="Miriam"/>
          <w:spacing w:val="0"/>
          <w:szCs w:val="22"/>
          <w:rtl/>
        </w:rPr>
      </w:pPr>
      <w:r w:rsidRPr="00AE6D59">
        <w:rPr>
          <w:rFonts w:ascii="Times New Roman" w:hAnsi="Times New Roman" w:cs="Miriam" w:hint="cs"/>
          <w:spacing w:val="0"/>
          <w:szCs w:val="22"/>
          <w:rtl/>
        </w:rPr>
        <w:t>שאלה שנייה: דיני ההקפאה והיקף תחולתם</w:t>
      </w:r>
    </w:p>
    <w:p w:rsidR="005366A8" w:rsidRPr="00AE6D59" w:rsidRDefault="005366A8" w:rsidP="005366A8">
      <w:pPr>
        <w:pStyle w:val="Ruller41"/>
        <w:spacing w:after="60" w:line="240" w:lineRule="auto"/>
        <w:rPr>
          <w:szCs w:val="22"/>
          <w:rtl/>
        </w:rPr>
      </w:pPr>
      <w:r w:rsidRPr="00AE6D59">
        <w:rPr>
          <w:rFonts w:hint="cs"/>
          <w:szCs w:val="22"/>
          <w:rtl/>
        </w:rPr>
        <w:t xml:space="preserve">36. </w:t>
      </w:r>
      <w:r w:rsidRPr="00AE6D59">
        <w:rPr>
          <w:rFonts w:hint="cs"/>
          <w:szCs w:val="22"/>
          <w:rtl/>
        </w:rPr>
        <w:tab/>
        <w:t xml:space="preserve">נסכם עד כה ונאמר, כי </w:t>
      </w:r>
      <w:r w:rsidRPr="00AE6D59">
        <w:rPr>
          <w:rFonts w:hint="cs"/>
          <w:szCs w:val="22"/>
          <w:highlight w:val="yellow"/>
          <w:rtl/>
        </w:rPr>
        <w:t>תשובתנו לשאלה הראשונה היא שאין מניעה במישור העקרוני לכך שרשות מקומית תגבה אגרת פינוי פסולת מחוץ לארנונה הכללית; ובלבד שמדובר בפינוי פסולת הקשורה לתהליכי הייצור של המפעל מעבר לרמת "בסיס" מסוימת שתיקבע. השאלה הנוספת שעלינו להידרש אליה היא אם "דיני ההקפאה" מחייבים לשנות מתוצאה זו. על כך אנו משיבים בשלילה.</w:t>
      </w:r>
    </w:p>
    <w:p w:rsidR="005366A8" w:rsidRPr="00AE6D59" w:rsidRDefault="005366A8" w:rsidP="005366A8">
      <w:pPr>
        <w:pStyle w:val="Ruller41"/>
        <w:spacing w:after="60" w:line="240" w:lineRule="auto"/>
        <w:rPr>
          <w:szCs w:val="22"/>
          <w:rtl/>
        </w:rPr>
      </w:pPr>
      <w:r w:rsidRPr="00AE6D59">
        <w:rPr>
          <w:rFonts w:hint="cs"/>
          <w:szCs w:val="22"/>
          <w:rtl/>
        </w:rPr>
        <w:t xml:space="preserve">37. </w:t>
      </w:r>
      <w:r w:rsidRPr="00AE6D59">
        <w:rPr>
          <w:rFonts w:hint="cs"/>
          <w:szCs w:val="22"/>
          <w:rtl/>
        </w:rPr>
        <w:tab/>
      </w:r>
      <w:r w:rsidRPr="00AE6D59">
        <w:rPr>
          <w:rFonts w:hint="cs"/>
          <w:szCs w:val="22"/>
          <w:highlight w:val="yellow"/>
          <w:rtl/>
        </w:rPr>
        <w:t>תשובתנו מבוססת על שילוב הנדבכים הבאים: ראשית, חוק ההסדרים (שזכה כאן לכינוי "דיני ההקפאה") מסדיר את הפיקוח על תשלומי הארנונה בלבד; שנית, אגרת פינוי פסולת מעבר לרמה הבסיסית אינה תשלום שחייב להיות מכוסה על-ידי הארנונה; שלישית, חוק ההסדרים אינו מונע העלאה בשיעורי הארנונה, אלא רק מחייב קבלת אישור להעלאתם</w:t>
      </w:r>
      <w:r w:rsidRPr="00AE6D59">
        <w:rPr>
          <w:rFonts w:hint="cs"/>
          <w:szCs w:val="22"/>
          <w:rtl/>
        </w:rPr>
        <w:t>. נרחיב במעט את היריעה.</w:t>
      </w:r>
      <w:r>
        <w:rPr>
          <w:rFonts w:hint="cs"/>
          <w:szCs w:val="22"/>
          <w:rtl/>
        </w:rPr>
        <w:t xml:space="preserve"> </w:t>
      </w:r>
    </w:p>
    <w:p w:rsidR="005366A8" w:rsidRPr="00AE6D59" w:rsidRDefault="005366A8" w:rsidP="005366A8">
      <w:pPr>
        <w:pStyle w:val="Ruller41"/>
        <w:spacing w:after="60" w:line="240" w:lineRule="auto"/>
        <w:rPr>
          <w:szCs w:val="22"/>
          <w:rtl/>
        </w:rPr>
      </w:pPr>
      <w:r w:rsidRPr="00AE6D59">
        <w:rPr>
          <w:rFonts w:hint="cs"/>
          <w:szCs w:val="22"/>
          <w:rtl/>
        </w:rPr>
        <w:t xml:space="preserve">38. </w:t>
      </w:r>
      <w:r w:rsidRPr="00AE6D59">
        <w:rPr>
          <w:rFonts w:hint="cs"/>
          <w:szCs w:val="22"/>
          <w:rtl/>
        </w:rPr>
        <w:tab/>
      </w:r>
      <w:r w:rsidRPr="00AE6D59">
        <w:rPr>
          <w:rFonts w:ascii="Times New Roman" w:hAnsi="Times New Roman" w:cs="Miriam" w:hint="cs"/>
          <w:spacing w:val="0"/>
          <w:szCs w:val="22"/>
          <w:rtl/>
        </w:rPr>
        <w:t>חוק ההסדרים מפקח על תשלומי ארנונה בלבד</w:t>
      </w:r>
      <w:r w:rsidRPr="00AE6D59">
        <w:rPr>
          <w:rFonts w:hint="cs"/>
          <w:szCs w:val="22"/>
          <w:rtl/>
        </w:rPr>
        <w:t xml:space="preserve"> – הוראותיו הרלוונטיות של חוק ההסדרים (סעיפים 12-7) אינן מותירות כל ספק באשר למסקנה שהן עוסקות בפיקוח על תשלומי "ארנונה כללית" – הא ותו לא.</w:t>
      </w:r>
    </w:p>
    <w:p w:rsidR="005366A8" w:rsidRPr="00AE6D59" w:rsidRDefault="005366A8" w:rsidP="005366A8">
      <w:pPr>
        <w:pStyle w:val="Ruller41"/>
        <w:spacing w:after="60" w:line="240" w:lineRule="auto"/>
        <w:rPr>
          <w:szCs w:val="22"/>
          <w:rtl/>
        </w:rPr>
      </w:pPr>
      <w:r w:rsidRPr="00AE6D59">
        <w:rPr>
          <w:rFonts w:hint="cs"/>
          <w:szCs w:val="22"/>
          <w:rtl/>
        </w:rPr>
        <w:t xml:space="preserve">39. </w:t>
      </w:r>
      <w:r w:rsidRPr="00AE6D59">
        <w:rPr>
          <w:rFonts w:hint="cs"/>
          <w:szCs w:val="22"/>
          <w:rtl/>
        </w:rPr>
        <w:tab/>
      </w:r>
      <w:r w:rsidRPr="00AE6D59">
        <w:rPr>
          <w:rFonts w:ascii="Times New Roman" w:hAnsi="Times New Roman" w:cs="Miriam" w:hint="cs"/>
          <w:spacing w:val="0"/>
          <w:szCs w:val="22"/>
          <w:rtl/>
        </w:rPr>
        <w:t>התשלום בגין פינוי פסולת מפעל מעבר לרמה בסיסית אינו בגדר תשלום מוניציפאלי</w:t>
      </w:r>
      <w:r w:rsidRPr="00AE6D59">
        <w:rPr>
          <w:rFonts w:hint="cs"/>
          <w:szCs w:val="22"/>
          <w:rtl/>
        </w:rPr>
        <w:t xml:space="preserve"> – בהתאם לתפיסה הסביבתית העדכנית, כפי שהוסברה לעיל, זהו חלק אינטגראלי מתהליך הייצור. </w:t>
      </w:r>
    </w:p>
    <w:p w:rsidR="005366A8" w:rsidRPr="00AE6D59" w:rsidRDefault="005366A8" w:rsidP="005366A8">
      <w:pPr>
        <w:pStyle w:val="Ruller41"/>
        <w:spacing w:after="60" w:line="240" w:lineRule="auto"/>
        <w:rPr>
          <w:szCs w:val="22"/>
          <w:rtl/>
        </w:rPr>
      </w:pPr>
      <w:r w:rsidRPr="00AE6D59">
        <w:rPr>
          <w:rFonts w:hint="cs"/>
          <w:szCs w:val="22"/>
          <w:rtl/>
        </w:rPr>
        <w:t xml:space="preserve">40. </w:t>
      </w:r>
      <w:r w:rsidRPr="00AE6D59">
        <w:rPr>
          <w:rFonts w:hint="cs"/>
          <w:szCs w:val="22"/>
          <w:rtl/>
        </w:rPr>
        <w:tab/>
      </w:r>
      <w:r w:rsidRPr="00AE6D59">
        <w:rPr>
          <w:rFonts w:ascii="Times New Roman" w:hAnsi="Times New Roman" w:cs="Miriam" w:hint="cs"/>
          <w:spacing w:val="0"/>
          <w:szCs w:val="22"/>
          <w:rtl/>
        </w:rPr>
        <w:t xml:space="preserve">חוק ההסדרים אינו מונע העלאה בשיעור הארנונה </w:t>
      </w:r>
      <w:r w:rsidRPr="00AE6D59">
        <w:rPr>
          <w:rFonts w:hint="cs"/>
          <w:szCs w:val="22"/>
          <w:rtl/>
        </w:rPr>
        <w:t xml:space="preserve">– חשוב להוסיף ולומר כי המונח "דיני ההקפאה" אינו מילת קסם שעניינה איסור על שינויים בשיעורי הארנונה באופן קטגורי. לידתם של דינים אלה באינפלציה הגבוהה ובחוסר היציבות הכלכלית שידע המשק הישראלי באמצע שנות ה-80. באותה עת, נהגו הרשויות המקומיות להעלות את תעריפי הארנונה בשיעורים ניכרים, מדי שנה, על מנת לצמצם את גרעונן האינפלציוני. לצד זאת, היו רשויות שנהגו להעניק הנחות מופלגות בארנונה, ללא קריטריונים מסודרים. מצב דברים בעייתי זה הוא שהוליד את דיני ההקפאה, שבמרכזם עומדת רגולציה של דיני הארנונה מטעם השלטון המרכזי. סעיף 9 לחוק ההסדרים הינו עמוד תווך מרכזי בדינים אלה, וכלולה בו התייחסות מפורטת לאפשרויות העומדות בפני הרשות, שעה שזו מבקשת להעלות את שיעור הארנונה. כך למשל, לפי סעיף 9(ב)(1) הרשות רשאית לעשות כן  בכפוף לכך שהעלאת הארנונה "תותנה בהעלאת ארנונה בשל נכס מסוג מבנה מגורים, בהתאם לכללים שייקבעו בתקנות" ולפי סעיף 9(ב)(2) הרשות המקומית יכולה לעשות כן אף שלא לפי הכללים "ובלבד שקיבלה לכך אישור השרים", בהתאם לאמור בסעיף זה. יש לומר מעתה: </w:t>
      </w:r>
      <w:r w:rsidRPr="00AE6D59">
        <w:rPr>
          <w:rFonts w:hint="cs"/>
          <w:szCs w:val="22"/>
          <w:highlight w:val="yellow"/>
          <w:rtl/>
        </w:rPr>
        <w:t>חוק ההסדרים למעשה אינו חוק הקפאה; לאמיתו של דבר, זהו חוק שמקפיא בפועל את הארנונה מהיבטן של הרשויות, אך מאפשר להקפאה להפשיר בכפוף לפיקוחו של השלטון המרכזי</w:t>
      </w:r>
      <w:r w:rsidRPr="00AE6D59">
        <w:rPr>
          <w:rFonts w:hint="cs"/>
          <w:szCs w:val="22"/>
          <w:rtl/>
        </w:rPr>
        <w:t xml:space="preserve"> (ראו לדוגמה: </w:t>
      </w:r>
      <w:hyperlink r:id="rId316" w:history="1">
        <w:r w:rsidRPr="00AE6D59">
          <w:rPr>
            <w:rFonts w:hint="eastAsia"/>
            <w:color w:val="0000FF"/>
            <w:szCs w:val="22"/>
            <w:u w:val="single"/>
            <w:rtl/>
          </w:rPr>
          <w:t>ע</w:t>
        </w:r>
        <w:r w:rsidRPr="00AE6D59">
          <w:rPr>
            <w:color w:val="0000FF"/>
            <w:szCs w:val="22"/>
            <w:u w:val="single"/>
            <w:rtl/>
          </w:rPr>
          <w:t>"</w:t>
        </w:r>
        <w:r w:rsidRPr="00AE6D59">
          <w:rPr>
            <w:rFonts w:hint="eastAsia"/>
            <w:color w:val="0000FF"/>
            <w:szCs w:val="22"/>
            <w:u w:val="single"/>
            <w:rtl/>
          </w:rPr>
          <w:t>א</w:t>
        </w:r>
        <w:r w:rsidRPr="00AE6D59">
          <w:rPr>
            <w:color w:val="0000FF"/>
            <w:szCs w:val="22"/>
            <w:u w:val="single"/>
            <w:rtl/>
          </w:rPr>
          <w:t xml:space="preserve"> 2765/98 </w:t>
        </w:r>
        <w:r w:rsidRPr="00AE6D59">
          <w:rPr>
            <w:rFonts w:hint="eastAsia"/>
            <w:color w:val="0000FF"/>
            <w:szCs w:val="22"/>
            <w:u w:val="single"/>
            <w:rtl/>
          </w:rPr>
          <w:t>איגוד</w:t>
        </w:r>
        <w:r w:rsidRPr="00AE6D59">
          <w:rPr>
            <w:color w:val="0000FF"/>
            <w:szCs w:val="22"/>
            <w:u w:val="single"/>
            <w:rtl/>
          </w:rPr>
          <w:t xml:space="preserve"> </w:t>
        </w:r>
        <w:r w:rsidRPr="00AE6D59">
          <w:rPr>
            <w:rFonts w:hint="eastAsia"/>
            <w:color w:val="0000FF"/>
            <w:szCs w:val="22"/>
            <w:u w:val="single"/>
            <w:rtl/>
          </w:rPr>
          <w:t>ערים</w:t>
        </w:r>
        <w:r w:rsidRPr="00AE6D59">
          <w:rPr>
            <w:color w:val="0000FF"/>
            <w:szCs w:val="22"/>
            <w:u w:val="single"/>
            <w:rtl/>
          </w:rPr>
          <w:t xml:space="preserve"> </w:t>
        </w:r>
        <w:r w:rsidRPr="00AE6D59">
          <w:rPr>
            <w:rFonts w:hint="eastAsia"/>
            <w:color w:val="0000FF"/>
            <w:szCs w:val="22"/>
            <w:u w:val="single"/>
            <w:rtl/>
          </w:rPr>
          <w:t>אילון</w:t>
        </w:r>
        <w:r w:rsidRPr="00AE6D59">
          <w:rPr>
            <w:color w:val="0000FF"/>
            <w:szCs w:val="22"/>
            <w:u w:val="single"/>
            <w:rtl/>
          </w:rPr>
          <w:t xml:space="preserve"> </w:t>
        </w:r>
        <w:r w:rsidRPr="00AE6D59">
          <w:rPr>
            <w:rFonts w:hint="eastAsia"/>
            <w:color w:val="0000FF"/>
            <w:szCs w:val="22"/>
            <w:u w:val="single"/>
            <w:rtl/>
          </w:rPr>
          <w:t>נ</w:t>
        </w:r>
        <w:r w:rsidRPr="00AE6D59">
          <w:rPr>
            <w:color w:val="0000FF"/>
            <w:szCs w:val="22"/>
            <w:u w:val="single"/>
            <w:rtl/>
          </w:rPr>
          <w:t xml:space="preserve">' </w:t>
        </w:r>
        <w:r w:rsidRPr="00AE6D59">
          <w:rPr>
            <w:rFonts w:hint="eastAsia"/>
            <w:color w:val="0000FF"/>
            <w:szCs w:val="22"/>
            <w:u w:val="single"/>
            <w:rtl/>
          </w:rPr>
          <w:t>מועצה</w:t>
        </w:r>
        <w:r w:rsidRPr="00AE6D59">
          <w:rPr>
            <w:color w:val="0000FF"/>
            <w:szCs w:val="22"/>
            <w:u w:val="single"/>
            <w:rtl/>
          </w:rPr>
          <w:t xml:space="preserve"> </w:t>
        </w:r>
        <w:r w:rsidRPr="00AE6D59">
          <w:rPr>
            <w:rFonts w:hint="eastAsia"/>
            <w:color w:val="0000FF"/>
            <w:szCs w:val="22"/>
            <w:u w:val="single"/>
            <w:rtl/>
          </w:rPr>
          <w:t>אזורית</w:t>
        </w:r>
        <w:r w:rsidRPr="00AE6D59">
          <w:rPr>
            <w:color w:val="0000FF"/>
            <w:szCs w:val="22"/>
            <w:u w:val="single"/>
            <w:rtl/>
          </w:rPr>
          <w:t xml:space="preserve"> </w:t>
        </w:r>
        <w:r w:rsidRPr="00AE6D59">
          <w:rPr>
            <w:rFonts w:hint="eastAsia"/>
            <w:color w:val="0000FF"/>
            <w:szCs w:val="22"/>
            <w:u w:val="single"/>
            <w:rtl/>
          </w:rPr>
          <w:t>מודיעין</w:t>
        </w:r>
        <w:r w:rsidRPr="00AE6D59">
          <w:rPr>
            <w:color w:val="0000FF"/>
            <w:szCs w:val="22"/>
            <w:u w:val="single"/>
            <w:rtl/>
          </w:rPr>
          <w:t xml:space="preserve">, </w:t>
        </w:r>
        <w:r w:rsidRPr="00AE6D59">
          <w:rPr>
            <w:rFonts w:hint="eastAsia"/>
            <w:color w:val="0000FF"/>
            <w:szCs w:val="22"/>
            <w:u w:val="single"/>
            <w:rtl/>
          </w:rPr>
          <w:t>פ</w:t>
        </w:r>
        <w:r w:rsidRPr="00AE6D59">
          <w:rPr>
            <w:color w:val="0000FF"/>
            <w:szCs w:val="22"/>
            <w:u w:val="single"/>
            <w:rtl/>
          </w:rPr>
          <w:t>"</w:t>
        </w:r>
        <w:r w:rsidRPr="00AE6D59">
          <w:rPr>
            <w:rFonts w:hint="eastAsia"/>
            <w:color w:val="0000FF"/>
            <w:szCs w:val="22"/>
            <w:u w:val="single"/>
            <w:rtl/>
          </w:rPr>
          <w:t>ד</w:t>
        </w:r>
        <w:r w:rsidRPr="00AE6D59">
          <w:rPr>
            <w:color w:val="0000FF"/>
            <w:szCs w:val="22"/>
            <w:u w:val="single"/>
            <w:rtl/>
          </w:rPr>
          <w:t xml:space="preserve"> </w:t>
        </w:r>
        <w:r w:rsidRPr="00AE6D59">
          <w:rPr>
            <w:rFonts w:hint="eastAsia"/>
            <w:color w:val="0000FF"/>
            <w:szCs w:val="22"/>
            <w:u w:val="single"/>
            <w:rtl/>
          </w:rPr>
          <w:t>נג</w:t>
        </w:r>
      </w:hyperlink>
      <w:r w:rsidRPr="00AE6D59">
        <w:rPr>
          <w:rFonts w:hint="cs"/>
          <w:szCs w:val="22"/>
          <w:rtl/>
        </w:rPr>
        <w:t xml:space="preserve">(4) 78, 83-82 (1999); </w:t>
      </w:r>
      <w:hyperlink r:id="rId317" w:history="1">
        <w:r w:rsidRPr="00AE6D59">
          <w:rPr>
            <w:rFonts w:hint="eastAsia"/>
            <w:color w:val="0000FF"/>
            <w:szCs w:val="22"/>
            <w:u w:val="single"/>
            <w:rtl/>
          </w:rPr>
          <w:t>עע</w:t>
        </w:r>
        <w:r w:rsidRPr="00AE6D59">
          <w:rPr>
            <w:color w:val="0000FF"/>
            <w:szCs w:val="22"/>
            <w:u w:val="single"/>
            <w:rtl/>
          </w:rPr>
          <w:t>"</w:t>
        </w:r>
        <w:r w:rsidRPr="00AE6D59">
          <w:rPr>
            <w:rFonts w:hint="eastAsia"/>
            <w:color w:val="0000FF"/>
            <w:szCs w:val="22"/>
            <w:u w:val="single"/>
            <w:rtl/>
          </w:rPr>
          <w:t>ם</w:t>
        </w:r>
        <w:r w:rsidRPr="00AE6D59">
          <w:rPr>
            <w:color w:val="0000FF"/>
            <w:szCs w:val="22"/>
            <w:u w:val="single"/>
            <w:rtl/>
          </w:rPr>
          <w:t xml:space="preserve"> 1721/10</w:t>
        </w:r>
      </w:hyperlink>
      <w:r w:rsidRPr="00AE6D59">
        <w:rPr>
          <w:rFonts w:hint="cs"/>
          <w:szCs w:val="22"/>
          <w:rtl/>
        </w:rPr>
        <w:t xml:space="preserve"> </w:t>
      </w:r>
      <w:r w:rsidRPr="00AE6D59">
        <w:rPr>
          <w:rFonts w:ascii="Times New Roman" w:hAnsi="Times New Roman" w:cs="Miriam" w:hint="cs"/>
          <w:spacing w:val="0"/>
          <w:szCs w:val="22"/>
          <w:rtl/>
        </w:rPr>
        <w:t>מועצה מקומית גני תקווה נ' זאב קופלביץ</w:t>
      </w:r>
      <w:r w:rsidRPr="00AE6D59">
        <w:rPr>
          <w:rFonts w:hint="cs"/>
          <w:szCs w:val="22"/>
          <w:rtl/>
        </w:rPr>
        <w:t xml:space="preserve"> (</w:t>
      </w:r>
      <w:r w:rsidRPr="00AE6D59">
        <w:rPr>
          <w:rFonts w:ascii="Times New Roman" w:hAnsi="Times New Roman" w:cs="David"/>
          <w:spacing w:val="0"/>
          <w:szCs w:val="22"/>
          <w:rtl/>
        </w:rPr>
        <w:t>[פורסם בנבו]</w:t>
      </w:r>
      <w:r w:rsidRPr="00AE6D59">
        <w:rPr>
          <w:rFonts w:hint="cs"/>
          <w:szCs w:val="22"/>
          <w:rtl/>
        </w:rPr>
        <w:t xml:space="preserve">, 9.8.2012), פסקאות 10-7 לפסק דינה של השופטת </w:t>
      </w:r>
      <w:r w:rsidRPr="00AE6D59">
        <w:rPr>
          <w:rFonts w:ascii="Times New Roman" w:hAnsi="Times New Roman" w:cs="Miriam" w:hint="cs"/>
          <w:spacing w:val="0"/>
          <w:szCs w:val="22"/>
          <w:rtl/>
        </w:rPr>
        <w:t>ע' ארבל</w:t>
      </w:r>
      <w:r w:rsidRPr="00AE6D59">
        <w:rPr>
          <w:rFonts w:hint="cs"/>
          <w:szCs w:val="22"/>
          <w:rtl/>
        </w:rPr>
        <w:t xml:space="preserve">). אכן, הפרקטיקה שהתגבשה במהלך השנים היא שמשרד הפנים מעדיף, על-פי רוב, שלא להתיר את הרצועה ולאפשר העלאת ארנונה, אך כל מקרה לפי נסיבותיו, ואין איסור מן הדין לבחון העלאת ארנונה, ולא כל שכן תשלומי חובה אחרים, במקרים מתאימים. יתרה מכך; חלק מן העתירות שהובאו לפתחו של בית משפט זה עסקו בדיוק בסוגיה זו (ראו לדוגמה </w:t>
      </w:r>
      <w:hyperlink r:id="rId318" w:history="1">
        <w:r w:rsidRPr="00AE6D59">
          <w:rPr>
            <w:rFonts w:hint="eastAsia"/>
            <w:color w:val="0000FF"/>
            <w:szCs w:val="22"/>
            <w:u w:val="single"/>
            <w:rtl/>
          </w:rPr>
          <w:t>בג</w:t>
        </w:r>
        <w:r w:rsidRPr="00AE6D59">
          <w:rPr>
            <w:color w:val="0000FF"/>
            <w:szCs w:val="22"/>
            <w:u w:val="single"/>
            <w:rtl/>
          </w:rPr>
          <w:t>"</w:t>
        </w:r>
        <w:r w:rsidRPr="00AE6D59">
          <w:rPr>
            <w:rFonts w:hint="eastAsia"/>
            <w:color w:val="0000FF"/>
            <w:szCs w:val="22"/>
            <w:u w:val="single"/>
            <w:rtl/>
          </w:rPr>
          <w:t>ץ</w:t>
        </w:r>
        <w:r w:rsidRPr="00AE6D59">
          <w:rPr>
            <w:color w:val="0000FF"/>
            <w:szCs w:val="22"/>
            <w:u w:val="single"/>
            <w:rtl/>
          </w:rPr>
          <w:t xml:space="preserve"> 7712/04 </w:t>
        </w:r>
        <w:r w:rsidRPr="00AE6D59">
          <w:rPr>
            <w:rFonts w:hint="eastAsia"/>
            <w:color w:val="0000FF"/>
            <w:szCs w:val="22"/>
            <w:u w:val="single"/>
            <w:rtl/>
          </w:rPr>
          <w:t>וינברג</w:t>
        </w:r>
        <w:r w:rsidRPr="00AE6D59">
          <w:rPr>
            <w:color w:val="0000FF"/>
            <w:szCs w:val="22"/>
            <w:u w:val="single"/>
            <w:rtl/>
          </w:rPr>
          <w:t xml:space="preserve"> </w:t>
        </w:r>
        <w:r w:rsidRPr="00AE6D59">
          <w:rPr>
            <w:rFonts w:hint="eastAsia"/>
            <w:color w:val="0000FF"/>
            <w:szCs w:val="22"/>
            <w:u w:val="single"/>
            <w:rtl/>
          </w:rPr>
          <w:t>עיריית</w:t>
        </w:r>
        <w:r w:rsidRPr="00AE6D59">
          <w:rPr>
            <w:color w:val="0000FF"/>
            <w:szCs w:val="22"/>
            <w:u w:val="single"/>
            <w:rtl/>
          </w:rPr>
          <w:t xml:space="preserve"> </w:t>
        </w:r>
        <w:r w:rsidRPr="00AE6D59">
          <w:rPr>
            <w:rFonts w:hint="eastAsia"/>
            <w:color w:val="0000FF"/>
            <w:szCs w:val="22"/>
            <w:u w:val="single"/>
            <w:rtl/>
          </w:rPr>
          <w:t>תל</w:t>
        </w:r>
        <w:r w:rsidRPr="00AE6D59">
          <w:rPr>
            <w:color w:val="0000FF"/>
            <w:szCs w:val="22"/>
            <w:u w:val="single"/>
            <w:rtl/>
          </w:rPr>
          <w:t xml:space="preserve"> </w:t>
        </w:r>
        <w:r w:rsidRPr="00AE6D59">
          <w:rPr>
            <w:rFonts w:hint="eastAsia"/>
            <w:color w:val="0000FF"/>
            <w:szCs w:val="22"/>
            <w:u w:val="single"/>
            <w:rtl/>
          </w:rPr>
          <w:t>אביב</w:t>
        </w:r>
        <w:r w:rsidRPr="00AE6D59">
          <w:rPr>
            <w:color w:val="0000FF"/>
            <w:szCs w:val="22"/>
            <w:u w:val="single"/>
            <w:rtl/>
          </w:rPr>
          <w:t>-</w:t>
        </w:r>
        <w:r w:rsidRPr="00AE6D59">
          <w:rPr>
            <w:rFonts w:hint="eastAsia"/>
            <w:color w:val="0000FF"/>
            <w:szCs w:val="22"/>
            <w:u w:val="single"/>
            <w:rtl/>
          </w:rPr>
          <w:t>יפו</w:t>
        </w:r>
        <w:r w:rsidRPr="00AE6D59">
          <w:rPr>
            <w:color w:val="0000FF"/>
            <w:szCs w:val="22"/>
            <w:u w:val="single"/>
            <w:rtl/>
          </w:rPr>
          <w:t xml:space="preserve">, </w:t>
        </w:r>
        <w:r w:rsidRPr="00AE6D59">
          <w:rPr>
            <w:rFonts w:hint="eastAsia"/>
            <w:color w:val="0000FF"/>
            <w:szCs w:val="22"/>
            <w:u w:val="single"/>
            <w:rtl/>
          </w:rPr>
          <w:t>פ</w:t>
        </w:r>
        <w:r w:rsidRPr="00AE6D59">
          <w:rPr>
            <w:color w:val="0000FF"/>
            <w:szCs w:val="22"/>
            <w:u w:val="single"/>
            <w:rtl/>
          </w:rPr>
          <w:t>"</w:t>
        </w:r>
        <w:r w:rsidRPr="00AE6D59">
          <w:rPr>
            <w:rFonts w:hint="eastAsia"/>
            <w:color w:val="0000FF"/>
            <w:szCs w:val="22"/>
            <w:u w:val="single"/>
            <w:rtl/>
          </w:rPr>
          <w:t>ד</w:t>
        </w:r>
        <w:r w:rsidRPr="00AE6D59">
          <w:rPr>
            <w:color w:val="0000FF"/>
            <w:szCs w:val="22"/>
            <w:u w:val="single"/>
            <w:rtl/>
          </w:rPr>
          <w:t xml:space="preserve"> </w:t>
        </w:r>
        <w:r w:rsidRPr="00AE6D59">
          <w:rPr>
            <w:rFonts w:hint="eastAsia"/>
            <w:color w:val="0000FF"/>
            <w:szCs w:val="22"/>
            <w:u w:val="single"/>
            <w:rtl/>
          </w:rPr>
          <w:t>סא</w:t>
        </w:r>
      </w:hyperlink>
      <w:r w:rsidRPr="00AE6D59">
        <w:rPr>
          <w:rFonts w:hint="cs"/>
          <w:szCs w:val="22"/>
          <w:rtl/>
        </w:rPr>
        <w:t xml:space="preserve">(2) 735, 754-748 (2006)). </w:t>
      </w:r>
    </w:p>
    <w:p w:rsidR="005366A8" w:rsidRPr="00AE6D59" w:rsidRDefault="005366A8" w:rsidP="005366A8">
      <w:pPr>
        <w:pStyle w:val="Ruller41"/>
        <w:spacing w:after="60" w:line="240" w:lineRule="auto"/>
        <w:rPr>
          <w:szCs w:val="22"/>
          <w:rtl/>
        </w:rPr>
      </w:pPr>
      <w:r w:rsidRPr="00AE6D59">
        <w:rPr>
          <w:rFonts w:hint="cs"/>
          <w:szCs w:val="22"/>
          <w:rtl/>
        </w:rPr>
        <w:t xml:space="preserve">41. </w:t>
      </w:r>
      <w:r w:rsidRPr="00AE6D59">
        <w:rPr>
          <w:rFonts w:hint="cs"/>
          <w:szCs w:val="22"/>
          <w:rtl/>
        </w:rPr>
        <w:tab/>
      </w:r>
      <w:r w:rsidRPr="00AE6D59">
        <w:rPr>
          <w:rFonts w:hint="cs"/>
          <w:szCs w:val="22"/>
          <w:highlight w:val="yellow"/>
          <w:rtl/>
        </w:rPr>
        <w:t>המסקנה העולה מחלק זה של דיוננו היא ש"דיני ההקפאה" אינם גזרה הנכפית על משרד הפנים "הר כגיגית", אלא רק מסגרת נורמטיבית המאפשרת לו לשקול שיקולים שעניינם פיקוח על העלאת שיעור הארנונה, לצד שיקולים אחרים. במקרה זה, שבו משרד הפנים שיווה נגד עיניו את השיקול של "הקפאה" כחזות הכול חטא המשרד לחובתו לשקול את מלוא השיקולים הרלוונטיים להחלטה. נוסיף ונחדד – בבוא שר הפנים לשקול אם להתיר פרסום של חוק עזר עירוני, בהתאם להוראות סעיף 258 ל</w:t>
      </w:r>
      <w:hyperlink r:id="rId319" w:history="1">
        <w:r w:rsidRPr="00AE6D59">
          <w:rPr>
            <w:rFonts w:hint="eastAsia"/>
            <w:color w:val="0000FF"/>
            <w:szCs w:val="22"/>
            <w:highlight w:val="yellow"/>
            <w:u w:val="single"/>
            <w:rtl/>
          </w:rPr>
          <w:t>פקודת</w:t>
        </w:r>
        <w:r w:rsidRPr="00AE6D59">
          <w:rPr>
            <w:color w:val="0000FF"/>
            <w:szCs w:val="22"/>
            <w:highlight w:val="yellow"/>
            <w:u w:val="single"/>
            <w:rtl/>
          </w:rPr>
          <w:t xml:space="preserve"> </w:t>
        </w:r>
        <w:r w:rsidRPr="00AE6D59">
          <w:rPr>
            <w:rFonts w:hint="eastAsia"/>
            <w:color w:val="0000FF"/>
            <w:szCs w:val="22"/>
            <w:highlight w:val="yellow"/>
            <w:u w:val="single"/>
            <w:rtl/>
          </w:rPr>
          <w:t>העיריות</w:t>
        </w:r>
      </w:hyperlink>
      <w:r w:rsidRPr="00AE6D59">
        <w:rPr>
          <w:rFonts w:hint="cs"/>
          <w:szCs w:val="22"/>
          <w:highlight w:val="yellow"/>
          <w:rtl/>
        </w:rPr>
        <w:t>, אין הוא מוגבל לדלת אמות המידה של חוק ההסדרים ומה שמכונה בפי כל "דיני ההקפאה". שיקוליו חייבים להיות רחבים ומגוונים יותר – כל חוק עזר לגופו, על פי נסיבותיו ותכליותיו. מכל מקום, אין חשש ליצירת "מסלול עוקף" של דיני ההקפאה במובן זה שלא רק העלאה בארנונה, אלא גם כל היטל המוטל מכוח חוק עזר, נדרשים לאישורו של השר.</w:t>
      </w:r>
    </w:p>
    <w:p w:rsidR="005366A8" w:rsidRDefault="005366A8" w:rsidP="005366A8">
      <w:pPr>
        <w:pStyle w:val="Ruller41"/>
        <w:spacing w:after="60" w:line="240" w:lineRule="auto"/>
        <w:rPr>
          <w:rFonts w:ascii="Times New Roman" w:hAnsi="Times New Roman" w:cs="Miriam"/>
          <w:spacing w:val="0"/>
          <w:szCs w:val="22"/>
          <w:rtl/>
        </w:rPr>
      </w:pPr>
      <w:r>
        <w:rPr>
          <w:rFonts w:ascii="Times New Roman" w:hAnsi="Times New Roman" w:cs="Miriam" w:hint="cs"/>
          <w:spacing w:val="0"/>
          <w:szCs w:val="22"/>
          <w:rtl/>
        </w:rPr>
        <w:t>...</w:t>
      </w:r>
    </w:p>
    <w:p w:rsidR="005366A8" w:rsidRPr="00AE6D59" w:rsidRDefault="005366A8" w:rsidP="005366A8">
      <w:pPr>
        <w:pStyle w:val="Ruller41"/>
        <w:spacing w:after="60" w:line="240" w:lineRule="auto"/>
        <w:rPr>
          <w:rFonts w:ascii="Times New Roman" w:hAnsi="Times New Roman" w:cs="Miriam"/>
          <w:spacing w:val="0"/>
          <w:szCs w:val="22"/>
          <w:rtl/>
        </w:rPr>
      </w:pPr>
      <w:r w:rsidRPr="00AE6D59">
        <w:rPr>
          <w:rFonts w:ascii="Times New Roman" w:hAnsi="Times New Roman" w:cs="Miriam" w:hint="cs"/>
          <w:spacing w:val="0"/>
          <w:szCs w:val="22"/>
          <w:rtl/>
        </w:rPr>
        <w:t>המשך התהליך</w:t>
      </w:r>
    </w:p>
    <w:p w:rsidR="005366A8" w:rsidRPr="00AE6D59" w:rsidRDefault="005366A8" w:rsidP="005366A8">
      <w:pPr>
        <w:pStyle w:val="Ruller41"/>
        <w:spacing w:after="60" w:line="240" w:lineRule="auto"/>
        <w:rPr>
          <w:szCs w:val="22"/>
          <w:rtl/>
        </w:rPr>
      </w:pPr>
      <w:r w:rsidRPr="00AE6D59">
        <w:rPr>
          <w:rFonts w:hint="cs"/>
          <w:szCs w:val="22"/>
          <w:rtl/>
        </w:rPr>
        <w:t xml:space="preserve">43. </w:t>
      </w:r>
      <w:r w:rsidRPr="00AE6D59">
        <w:rPr>
          <w:rFonts w:hint="cs"/>
          <w:szCs w:val="22"/>
          <w:rtl/>
        </w:rPr>
        <w:tab/>
      </w:r>
      <w:r w:rsidRPr="00AE6D59">
        <w:rPr>
          <w:rFonts w:hint="cs"/>
          <w:szCs w:val="22"/>
          <w:highlight w:val="yellow"/>
          <w:rtl/>
        </w:rPr>
        <w:t xml:space="preserve">מסקנת הביניים אליה הגענו היא שסירובו העקרוני של משרד הפנים לאשר את חוק העזר החדש רק בשל כך שהוא יביא להגדלת שיעוריהם של תשלומי החובה שיוחלו על המפעלים – על יסוד גישת "ההקפאה" של הארנונה – הוא סירוב בלתי ראוי. המשיבים החילו את גישת ההקפאה שחלה בענייני ארנונה על תשלום שבמהותו חורג מעבר לתחום הארנונה; הם גם התעלמו מן העובדה שההקפאה היא רק אפשרות מבחינת משרד הפנים – במסגרתה יש לשקול את כלל השיקולים הרלוונטיים – ולא חובה. כל אלה הובילו את משרד הפנים לקבל החלטה </w:t>
      </w:r>
      <w:r w:rsidRPr="007036D4">
        <w:rPr>
          <w:rFonts w:hint="cs"/>
          <w:szCs w:val="22"/>
          <w:rtl/>
        </w:rPr>
        <w:t>בלתי סבירה</w:t>
      </w:r>
      <w:r w:rsidRPr="00AE6D59">
        <w:rPr>
          <w:rFonts w:hint="cs"/>
          <w:szCs w:val="22"/>
          <w:highlight w:val="yellow"/>
          <w:rtl/>
        </w:rPr>
        <w:t xml:space="preserve"> שהתעלמה </w:t>
      </w:r>
      <w:r w:rsidRPr="007036D4">
        <w:rPr>
          <w:rFonts w:hint="cs"/>
          <w:szCs w:val="22"/>
          <w:rtl/>
        </w:rPr>
        <w:t>משיקול רלוונטי נוסף</w:t>
      </w:r>
      <w:r w:rsidRPr="00AE6D59">
        <w:rPr>
          <w:rFonts w:hint="cs"/>
          <w:szCs w:val="22"/>
          <w:highlight w:val="yellow"/>
          <w:rtl/>
        </w:rPr>
        <w:t>, שלכל הפחות צריך היה לשקול אותו – תרומתו של חוק העזר המוצע להגנת הסביבה ולקידום העיקרון של "המזהם משלם" שעולה מן החקיקה הסביבתית החדשה.</w:t>
      </w:r>
      <w:r w:rsidRPr="00AE6D59">
        <w:rPr>
          <w:rFonts w:hint="cs"/>
          <w:szCs w:val="22"/>
          <w:rtl/>
        </w:rPr>
        <w:t xml:space="preserve"> לפסלותן של החלטות שהתקבלו תוך התעלמות משיקול רלוונטי, ראו והשוו: </w:t>
      </w:r>
      <w:hyperlink r:id="rId320" w:history="1">
        <w:r w:rsidRPr="00AE6D59">
          <w:rPr>
            <w:rFonts w:hint="eastAsia"/>
            <w:color w:val="0000FF"/>
            <w:szCs w:val="22"/>
            <w:u w:val="single"/>
            <w:rtl/>
          </w:rPr>
          <w:t>דנג</w:t>
        </w:r>
        <w:r w:rsidRPr="00AE6D59">
          <w:rPr>
            <w:color w:val="0000FF"/>
            <w:szCs w:val="22"/>
            <w:u w:val="single"/>
            <w:rtl/>
          </w:rPr>
          <w:t>"</w:t>
        </w:r>
        <w:r w:rsidRPr="00AE6D59">
          <w:rPr>
            <w:rFonts w:hint="eastAsia"/>
            <w:color w:val="0000FF"/>
            <w:szCs w:val="22"/>
            <w:u w:val="single"/>
            <w:rtl/>
          </w:rPr>
          <w:t>ץ</w:t>
        </w:r>
        <w:r w:rsidRPr="00AE6D59">
          <w:rPr>
            <w:color w:val="0000FF"/>
            <w:szCs w:val="22"/>
            <w:u w:val="single"/>
            <w:rtl/>
          </w:rPr>
          <w:t xml:space="preserve"> 3299/93 </w:t>
        </w:r>
        <w:r w:rsidRPr="00AE6D59">
          <w:rPr>
            <w:rFonts w:hint="eastAsia"/>
            <w:color w:val="0000FF"/>
            <w:szCs w:val="22"/>
            <w:u w:val="single"/>
            <w:rtl/>
          </w:rPr>
          <w:t>ויכסלבאום</w:t>
        </w:r>
        <w:r w:rsidRPr="00AE6D59">
          <w:rPr>
            <w:color w:val="0000FF"/>
            <w:szCs w:val="22"/>
            <w:u w:val="single"/>
            <w:rtl/>
          </w:rPr>
          <w:t xml:space="preserve"> </w:t>
        </w:r>
        <w:r w:rsidRPr="00AE6D59">
          <w:rPr>
            <w:rFonts w:hint="eastAsia"/>
            <w:color w:val="0000FF"/>
            <w:szCs w:val="22"/>
            <w:u w:val="single"/>
            <w:rtl/>
          </w:rPr>
          <w:t>נ</w:t>
        </w:r>
        <w:r w:rsidRPr="00AE6D59">
          <w:rPr>
            <w:color w:val="0000FF"/>
            <w:szCs w:val="22"/>
            <w:u w:val="single"/>
            <w:rtl/>
          </w:rPr>
          <w:t xml:space="preserve">' </w:t>
        </w:r>
        <w:r w:rsidRPr="00AE6D59">
          <w:rPr>
            <w:rFonts w:hint="eastAsia"/>
            <w:color w:val="0000FF"/>
            <w:szCs w:val="22"/>
            <w:u w:val="single"/>
            <w:rtl/>
          </w:rPr>
          <w:t>שר</w:t>
        </w:r>
        <w:r w:rsidRPr="00AE6D59">
          <w:rPr>
            <w:color w:val="0000FF"/>
            <w:szCs w:val="22"/>
            <w:u w:val="single"/>
            <w:rtl/>
          </w:rPr>
          <w:t xml:space="preserve"> </w:t>
        </w:r>
        <w:r w:rsidRPr="00AE6D59">
          <w:rPr>
            <w:rFonts w:hint="eastAsia"/>
            <w:color w:val="0000FF"/>
            <w:szCs w:val="22"/>
            <w:u w:val="single"/>
            <w:rtl/>
          </w:rPr>
          <w:t>הביטחון</w:t>
        </w:r>
        <w:r w:rsidRPr="00AE6D59">
          <w:rPr>
            <w:color w:val="0000FF"/>
            <w:szCs w:val="22"/>
            <w:u w:val="single"/>
            <w:rtl/>
          </w:rPr>
          <w:t xml:space="preserve">, </w:t>
        </w:r>
        <w:r w:rsidRPr="00AE6D59">
          <w:rPr>
            <w:rFonts w:hint="eastAsia"/>
            <w:color w:val="0000FF"/>
            <w:szCs w:val="22"/>
            <w:u w:val="single"/>
            <w:rtl/>
          </w:rPr>
          <w:t>פ</w:t>
        </w:r>
        <w:r w:rsidRPr="00AE6D59">
          <w:rPr>
            <w:color w:val="0000FF"/>
            <w:szCs w:val="22"/>
            <w:u w:val="single"/>
            <w:rtl/>
          </w:rPr>
          <w:t>"</w:t>
        </w:r>
        <w:r w:rsidRPr="00AE6D59">
          <w:rPr>
            <w:rFonts w:hint="eastAsia"/>
            <w:color w:val="0000FF"/>
            <w:szCs w:val="22"/>
            <w:u w:val="single"/>
            <w:rtl/>
          </w:rPr>
          <w:t>ד</w:t>
        </w:r>
        <w:r w:rsidRPr="00AE6D59">
          <w:rPr>
            <w:color w:val="0000FF"/>
            <w:szCs w:val="22"/>
            <w:u w:val="single"/>
            <w:rtl/>
          </w:rPr>
          <w:t xml:space="preserve"> </w:t>
        </w:r>
        <w:r w:rsidRPr="00AE6D59">
          <w:rPr>
            <w:rFonts w:hint="eastAsia"/>
            <w:color w:val="0000FF"/>
            <w:szCs w:val="22"/>
            <w:u w:val="single"/>
            <w:rtl/>
          </w:rPr>
          <w:t>מט</w:t>
        </w:r>
      </w:hyperlink>
      <w:r w:rsidRPr="00AE6D59">
        <w:rPr>
          <w:rFonts w:hint="cs"/>
          <w:szCs w:val="22"/>
          <w:rtl/>
        </w:rPr>
        <w:t xml:space="preserve">(2) 195 (1995); </w:t>
      </w:r>
      <w:r w:rsidRPr="00AE6D59">
        <w:rPr>
          <w:rFonts w:ascii="Times New Roman" w:hAnsi="Times New Roman" w:cs="Miriam" w:hint="cs"/>
          <w:spacing w:val="0"/>
          <w:szCs w:val="22"/>
          <w:rtl/>
        </w:rPr>
        <w:t>ברק-ארז</w:t>
      </w:r>
      <w:r w:rsidRPr="00AE6D59">
        <w:rPr>
          <w:rFonts w:hint="cs"/>
          <w:szCs w:val="22"/>
          <w:rtl/>
        </w:rPr>
        <w:t>, בעמ' 728-726.</w:t>
      </w:r>
    </w:p>
    <w:p w:rsidR="005366A8" w:rsidRPr="00AE6D59" w:rsidRDefault="005366A8" w:rsidP="005366A8">
      <w:pPr>
        <w:pStyle w:val="Ruller41"/>
        <w:spacing w:after="60" w:line="240" w:lineRule="auto"/>
        <w:rPr>
          <w:szCs w:val="22"/>
          <w:rtl/>
        </w:rPr>
      </w:pPr>
      <w:r w:rsidRPr="00AE6D59">
        <w:rPr>
          <w:rFonts w:hint="cs"/>
          <w:szCs w:val="22"/>
          <w:rtl/>
        </w:rPr>
        <w:t>44.</w:t>
      </w:r>
      <w:r w:rsidRPr="00AE6D59">
        <w:rPr>
          <w:rFonts w:hint="cs"/>
          <w:szCs w:val="22"/>
          <w:rtl/>
        </w:rPr>
        <w:tab/>
      </w:r>
      <w:r w:rsidRPr="00AE6D59">
        <w:rPr>
          <w:rFonts w:hint="cs"/>
          <w:szCs w:val="22"/>
          <w:highlight w:val="yellow"/>
          <w:rtl/>
        </w:rPr>
        <w:t>מהי משמעות הדברים מבחינת חוק העזר החדש שהוגש לאישורו של משרד הפנים? בית משפט זה לא ישים עצמו תחת משרד הפנים ולא יקבל החלטה בעניין בעצמו. התוצאה היא שההחלטה צריכה לחזור למשרד הפנים ולהתקבל בהתאם לעקרונות שהותוו בפסק דיננו, בכפוף לכך שהוא יהיה מנוע מלפסול את חוק העזר אך מן הטעם שיש בו הגדלה של תשלומי החובה שעשויים לחול על המפעלים.</w:t>
      </w:r>
      <w:r>
        <w:rPr>
          <w:rFonts w:hint="cs"/>
          <w:szCs w:val="22"/>
          <w:rtl/>
        </w:rPr>
        <w:t xml:space="preserve"> [...]</w:t>
      </w:r>
    </w:p>
    <w:p w:rsidR="005366A8" w:rsidRPr="00AE6D59" w:rsidRDefault="005366A8" w:rsidP="005366A8">
      <w:pPr>
        <w:pStyle w:val="Ruller41"/>
        <w:spacing w:after="60" w:line="240" w:lineRule="auto"/>
        <w:rPr>
          <w:szCs w:val="22"/>
          <w:rtl/>
        </w:rPr>
      </w:pPr>
      <w:r w:rsidRPr="00AE6D59">
        <w:rPr>
          <w:rFonts w:ascii="Times New Roman" w:hAnsi="Times New Roman" w:cs="Miriam" w:hint="cs"/>
          <w:spacing w:val="0"/>
          <w:szCs w:val="22"/>
          <w:rtl/>
        </w:rPr>
        <w:t>סיכום</w:t>
      </w:r>
    </w:p>
    <w:p w:rsidR="005366A8" w:rsidRPr="00AE6D59" w:rsidRDefault="005366A8" w:rsidP="005366A8">
      <w:pPr>
        <w:pStyle w:val="Ruller41"/>
        <w:spacing w:after="60" w:line="240" w:lineRule="auto"/>
        <w:rPr>
          <w:szCs w:val="22"/>
          <w:rtl/>
        </w:rPr>
      </w:pPr>
      <w:r w:rsidRPr="00AE6D59">
        <w:rPr>
          <w:rFonts w:hint="cs"/>
          <w:szCs w:val="22"/>
          <w:rtl/>
        </w:rPr>
        <w:t xml:space="preserve">48. </w:t>
      </w:r>
      <w:r w:rsidRPr="00AE6D59">
        <w:rPr>
          <w:rFonts w:hint="cs"/>
          <w:szCs w:val="22"/>
          <w:rtl/>
        </w:rPr>
        <w:tab/>
      </w:r>
      <w:r w:rsidRPr="00AE6D59">
        <w:rPr>
          <w:rFonts w:hint="cs"/>
          <w:szCs w:val="22"/>
          <w:highlight w:val="yellow"/>
          <w:rtl/>
        </w:rPr>
        <w:t>מה היה בפנינו? לכאורה – אך סיפור של אשפה ומחירה; לאמיתו של דבר –  נושא בעל חשיבות רבה ביותר לאיכות החיים של הפרט והכלל. עיריית חולון ביקשה לשזור במארג חוקי העזר שלה את העיקרון של "המזהם משלם" – לפחות בכל הנוגע לתחום איסוף האשפה ממפעלים. עמדתו של משרד הפנים, שהיתה מונעת אף היא משיקולים ציבוריים, שיוותה נגדה אך את השיקול של פיקוח על שיעורי הארנונה. החלטה זו היתה פגומה מאחר שלא התחשבה בשיקול רלוונטי נוסף – השיקול הסביבתי. ניסוחו של חוק העזר בנושא, כמו גם הדיון בפרטי אישורו חוזר עתה, עם הנחייה זו, אל מקבלי ההחלטות עצמם.</w:t>
      </w:r>
      <w:r w:rsidRPr="00AE6D59">
        <w:rPr>
          <w:rFonts w:hint="cs"/>
          <w:szCs w:val="22"/>
          <w:rtl/>
        </w:rPr>
        <w:tab/>
      </w:r>
    </w:p>
    <w:p w:rsidR="005366A8" w:rsidRPr="00A14F5F" w:rsidRDefault="005366A8" w:rsidP="005366A8">
      <w:pPr>
        <w:pStyle w:val="Ruller41"/>
        <w:spacing w:after="60" w:line="240" w:lineRule="auto"/>
        <w:rPr>
          <w:szCs w:val="22"/>
          <w:rtl/>
        </w:rPr>
      </w:pPr>
      <w:r w:rsidRPr="00AE6D59">
        <w:rPr>
          <w:rFonts w:hint="cs"/>
          <w:szCs w:val="22"/>
          <w:highlight w:val="yellow"/>
          <w:rtl/>
        </w:rPr>
        <w:t xml:space="preserve">49. </w:t>
      </w:r>
      <w:r w:rsidRPr="00AE6D59">
        <w:rPr>
          <w:rFonts w:hint="cs"/>
          <w:szCs w:val="22"/>
          <w:highlight w:val="yellow"/>
          <w:rtl/>
        </w:rPr>
        <w:tab/>
        <w:t xml:space="preserve">התוצאה היא שהעתירה מתקבלת בחלקה. החלטתו של שר הפנים, ככל שהיתה החלטה עקרונית שלא לאשר כל חוק עזר שעניינו גבייתה של אגרת פינוי פסולת, לא היתה החלטה כדין. עם זאת, מאחר שחוק העזר שהוגש על-ידי העותרת לאישור אינו מקיים לכאורה באופן מלא את אמות המידה שהותוו על-ידינו בפסק דין זה, שומה על העותרת לחזור </w:t>
      </w:r>
      <w:r w:rsidRPr="00AE6D59">
        <w:rPr>
          <w:rFonts w:hint="cs"/>
          <w:i/>
          <w:iCs/>
          <w:szCs w:val="22"/>
          <w:highlight w:val="yellow"/>
          <w:rtl/>
        </w:rPr>
        <w:t>ולחוקק חוק עזר עדכני (ככל שתחפוץ בכך) קודם שתגישו מחדש לאישורו של שר הפנים.</w:t>
      </w:r>
    </w:p>
    <w:p w:rsidR="005366A8" w:rsidRPr="00917C23" w:rsidRDefault="005366A8" w:rsidP="005366A8">
      <w:pPr>
        <w:spacing w:after="60"/>
        <w:rPr>
          <w:rFonts w:cs="FrankRuehl"/>
          <w:rtl/>
        </w:rPr>
      </w:pPr>
      <w:r>
        <w:rPr>
          <w:rFonts w:cs="FrankRuehl" w:hint="cs"/>
          <w:rtl/>
        </w:rPr>
        <w:t>=-=</w:t>
      </w:r>
    </w:p>
    <w:p w:rsidR="005366A8" w:rsidRDefault="005366A8" w:rsidP="005366A8">
      <w:pPr>
        <w:spacing w:after="60"/>
        <w:jc w:val="center"/>
        <w:rPr>
          <w:rFonts w:ascii="Arial" w:hAnsi="Arial" w:cs="Arial"/>
          <w:b/>
          <w:bCs/>
          <w:sz w:val="22"/>
          <w:szCs w:val="22"/>
          <w:u w:val="single"/>
          <w:rtl/>
        </w:rPr>
      </w:pPr>
      <w:r w:rsidRPr="00342B7A">
        <w:rPr>
          <w:rFonts w:ascii="Arial" w:hAnsi="Arial" w:cs="Arial"/>
          <w:b/>
          <w:bCs/>
          <w:sz w:val="22"/>
          <w:szCs w:val="22"/>
          <w:u w:val="single"/>
          <w:rtl/>
        </w:rPr>
        <w:t>פתרון לשאלת הבחינה</w:t>
      </w:r>
      <w:r>
        <w:rPr>
          <w:rFonts w:ascii="Arial" w:hAnsi="Arial" w:cs="Arial" w:hint="cs"/>
          <w:b/>
          <w:bCs/>
          <w:sz w:val="22"/>
          <w:szCs w:val="22"/>
          <w:u w:val="single"/>
          <w:rtl/>
        </w:rPr>
        <w:t>, שהוצגה בדפי הפגישה הקודמת</w:t>
      </w:r>
    </w:p>
    <w:p w:rsidR="005366A8" w:rsidRPr="00037F5B" w:rsidRDefault="005366A8" w:rsidP="005366A8">
      <w:pPr>
        <w:spacing w:after="60"/>
        <w:rPr>
          <w:rFonts w:ascii="Arial" w:hAnsi="Arial" w:cs="Arial"/>
          <w:i/>
          <w:iCs/>
          <w:sz w:val="20"/>
          <w:szCs w:val="20"/>
          <w:rtl/>
        </w:rPr>
      </w:pPr>
      <w:r w:rsidRPr="00037F5B">
        <w:rPr>
          <w:rFonts w:ascii="Arial" w:hAnsi="Arial" w:cs="Arial" w:hint="cs"/>
          <w:i/>
          <w:iCs/>
          <w:sz w:val="20"/>
          <w:szCs w:val="20"/>
          <w:rtl/>
        </w:rPr>
        <w:t>[חלק מ</w:t>
      </w:r>
      <w:r>
        <w:rPr>
          <w:rFonts w:ascii="Arial" w:hAnsi="Arial" w:cs="Arial" w:hint="cs"/>
          <w:i/>
          <w:iCs/>
          <w:sz w:val="20"/>
          <w:szCs w:val="20"/>
          <w:rtl/>
        </w:rPr>
        <w:t>הפיתרון יהיה ברור</w:t>
      </w:r>
      <w:r w:rsidRPr="00037F5B">
        <w:rPr>
          <w:rFonts w:ascii="Arial" w:hAnsi="Arial" w:cs="Arial" w:hint="cs"/>
          <w:i/>
          <w:iCs/>
          <w:sz w:val="20"/>
          <w:szCs w:val="20"/>
          <w:rtl/>
        </w:rPr>
        <w:t xml:space="preserve"> רק על יסוד חומר של סוף הסמסטר הזה, ולכן חזרו לעמודים אלו לקראת ההתכוננות לבחינת הביניים]</w:t>
      </w:r>
    </w:p>
    <w:p w:rsidR="005366A8" w:rsidRPr="00917C23" w:rsidRDefault="005366A8" w:rsidP="005366A8">
      <w:pPr>
        <w:spacing w:after="60"/>
        <w:rPr>
          <w:b/>
          <w:bCs/>
          <w:sz w:val="22"/>
          <w:szCs w:val="22"/>
          <w:rtl/>
        </w:rPr>
      </w:pPr>
    </w:p>
    <w:p w:rsidR="005366A8" w:rsidRPr="0064018F" w:rsidRDefault="005366A8" w:rsidP="005366A8">
      <w:pPr>
        <w:spacing w:after="60"/>
        <w:rPr>
          <w:rFonts w:ascii="Arial" w:hAnsi="Arial" w:cs="Arial"/>
          <w:sz w:val="22"/>
          <w:szCs w:val="22"/>
          <w:rtl/>
        </w:rPr>
      </w:pPr>
      <w:r w:rsidRPr="00917C23">
        <w:rPr>
          <w:sz w:val="22"/>
          <w:szCs w:val="22"/>
          <w:rtl/>
        </w:rPr>
        <w:t>מר ארז ברוש נבחר כראש עיריית גפן</w:t>
      </w:r>
      <w:r w:rsidRPr="00917C23">
        <w:rPr>
          <w:rFonts w:hint="cs"/>
          <w:sz w:val="22"/>
          <w:szCs w:val="22"/>
          <w:rtl/>
        </w:rPr>
        <w:t xml:space="preserve"> השוכנת בגליל</w:t>
      </w:r>
      <w:r w:rsidRPr="00917C23">
        <w:rPr>
          <w:sz w:val="22"/>
          <w:szCs w:val="22"/>
          <w:rtl/>
        </w:rPr>
        <w:t xml:space="preserve">. </w:t>
      </w:r>
      <w:r w:rsidRPr="00917C23">
        <w:rPr>
          <w:rFonts w:hint="cs"/>
          <w:sz w:val="22"/>
          <w:szCs w:val="22"/>
          <w:rtl/>
        </w:rPr>
        <w:t xml:space="preserve"> </w:t>
      </w:r>
      <w:r w:rsidRPr="00917C23">
        <w:rPr>
          <w:sz w:val="22"/>
          <w:szCs w:val="22"/>
          <w:rtl/>
        </w:rPr>
        <w:t xml:space="preserve">עם היבחרו הוא יוזם </w:t>
      </w:r>
      <w:r w:rsidRPr="00917C23">
        <w:rPr>
          <w:rFonts w:hint="cs"/>
          <w:sz w:val="22"/>
          <w:szCs w:val="22"/>
          <w:rtl/>
        </w:rPr>
        <w:t xml:space="preserve">שורה של </w:t>
      </w:r>
      <w:r w:rsidRPr="00917C23">
        <w:rPr>
          <w:sz w:val="22"/>
          <w:szCs w:val="22"/>
          <w:rtl/>
        </w:rPr>
        <w:t>פעולות</w:t>
      </w:r>
      <w:r w:rsidRPr="00917C23">
        <w:rPr>
          <w:rFonts w:hint="cs"/>
          <w:sz w:val="22"/>
          <w:szCs w:val="22"/>
          <w:rtl/>
        </w:rPr>
        <w:t xml:space="preserve">.  בראיון לעיתון הוא מסביר את גישתו.  להלן </w:t>
      </w:r>
      <w:r w:rsidRPr="0064018F">
        <w:rPr>
          <w:rFonts w:hint="cs"/>
          <w:sz w:val="22"/>
          <w:szCs w:val="22"/>
          <w:rtl/>
        </w:rPr>
        <w:t>קטע מאותו ראיון:</w:t>
      </w:r>
    </w:p>
    <w:p w:rsidR="005366A8" w:rsidRPr="004E1770" w:rsidRDefault="005366A8" w:rsidP="005366A8">
      <w:pPr>
        <w:spacing w:after="60"/>
        <w:ind w:left="720"/>
        <w:rPr>
          <w:rFonts w:ascii="Arial" w:hAnsi="Arial" w:cs="Arial"/>
          <w:sz w:val="18"/>
          <w:szCs w:val="18"/>
          <w:rtl/>
        </w:rPr>
      </w:pPr>
      <w:r w:rsidRPr="004E1770">
        <w:rPr>
          <w:rFonts w:ascii="Arial" w:hAnsi="Arial" w:cs="Arial"/>
          <w:sz w:val="18"/>
          <w:szCs w:val="18"/>
          <w:rtl/>
        </w:rPr>
        <w:t>"חד משמעית לא מדובר בגזענות. אני בסך הכול מבטא בקול את מה שתשעים אחוז מהתושבים חושבים בליבם. אני לא רואה בדבריי שום אלמנט של גזענות. אני מאמין בחיים של דו-קיום זה לצד זה ולא זה בתוך זה. חייבים להיות כנים ולומר את האמת - אף אחד כאן לא רוצה מסגד בתוך הבית שלו", הוא אומר בנחרצות ומסביר: "כל בוקר בשעה חמש אנחנו שומעים את המואזין מהכפר הסמוך ואין לי שום בעיה עם זה כי זו זכותם המלאה לחופש דת. אבל בתוך הבית שלי אני רוצה בתי כנסת ולא מסגדים. הגיע הזמן שיבינו שזו דרישה לגיטימית. מישהו, אי פעם, היה מאפשר לי לגור עם המשפחה שלי בתוך כפר ערבי?! שני הצדדים רוצים לשמור על הזהות הייחודית שלהם. חשוב שכל צד ישמר את המורשת שלו ואת התרבות שלו גם למען הדורות הבאים. עדיף שנחיה כשכנים אחד סמוך לשני וכך נחסוך מעצמנו חיכוך מיותר".</w:t>
      </w:r>
    </w:p>
    <w:p w:rsidR="005366A8" w:rsidRPr="00917C23" w:rsidRDefault="005366A8" w:rsidP="005366A8">
      <w:pPr>
        <w:spacing w:after="60"/>
        <w:rPr>
          <w:sz w:val="22"/>
          <w:szCs w:val="22"/>
          <w:rtl/>
        </w:rPr>
      </w:pPr>
      <w:r w:rsidRPr="00917C23">
        <w:rPr>
          <w:rFonts w:hint="cs"/>
          <w:sz w:val="22"/>
          <w:szCs w:val="22"/>
          <w:rtl/>
        </w:rPr>
        <w:t>להלן התרחשויות מרכזיות שנבקש לבוחנן משפטית.</w:t>
      </w:r>
    </w:p>
    <w:p w:rsidR="005366A8" w:rsidRPr="00917C23" w:rsidRDefault="005366A8" w:rsidP="005366A8">
      <w:pPr>
        <w:spacing w:after="60"/>
        <w:rPr>
          <w:sz w:val="22"/>
          <w:szCs w:val="22"/>
          <w:highlight w:val="yellow"/>
          <w:rtl/>
        </w:rPr>
      </w:pPr>
      <w:r w:rsidRPr="00917C23">
        <w:rPr>
          <w:rFonts w:hint="cs"/>
          <w:sz w:val="22"/>
          <w:szCs w:val="22"/>
          <w:highlight w:val="yellow"/>
          <w:rtl/>
        </w:rPr>
        <w:t xml:space="preserve">א. </w:t>
      </w:r>
      <w:r w:rsidRPr="00917C23">
        <w:rPr>
          <w:sz w:val="22"/>
          <w:szCs w:val="22"/>
          <w:highlight w:val="yellow"/>
          <w:rtl/>
        </w:rPr>
        <w:t xml:space="preserve">מועצת העיר </w:t>
      </w:r>
      <w:r w:rsidRPr="00917C23">
        <w:rPr>
          <w:rFonts w:hint="cs"/>
          <w:sz w:val="22"/>
          <w:szCs w:val="22"/>
          <w:highlight w:val="yellow"/>
          <w:rtl/>
        </w:rPr>
        <w:t>אוצלת לראש העיר</w:t>
      </w:r>
      <w:r w:rsidRPr="00917C23">
        <w:rPr>
          <w:sz w:val="22"/>
          <w:szCs w:val="22"/>
          <w:highlight w:val="yellow"/>
          <w:rtl/>
        </w:rPr>
        <w:t xml:space="preserve"> את סמכות התחיקה שלה ביחס ל"נושאים רגישים של יחסים בין-קהילתיים בעיר"</w:t>
      </w:r>
      <w:r w:rsidRPr="00917C23">
        <w:rPr>
          <w:rFonts w:hint="cs"/>
          <w:sz w:val="22"/>
          <w:szCs w:val="22"/>
          <w:highlight w:val="yellow"/>
          <w:rtl/>
        </w:rPr>
        <w:t>, והוא מתקין את</w:t>
      </w:r>
      <w:r w:rsidRPr="00917C23">
        <w:rPr>
          <w:sz w:val="22"/>
          <w:szCs w:val="22"/>
          <w:highlight w:val="yellow"/>
          <w:rtl/>
        </w:rPr>
        <w:t xml:space="preserve"> </w:t>
      </w:r>
      <w:r w:rsidRPr="00917C23">
        <w:rPr>
          <w:rFonts w:cs="David"/>
          <w:b/>
          <w:bCs/>
          <w:sz w:val="22"/>
          <w:szCs w:val="22"/>
          <w:highlight w:val="yellow"/>
          <w:rtl/>
        </w:rPr>
        <w:t xml:space="preserve">חוק עזר גפן: </w:t>
      </w:r>
      <w:r w:rsidRPr="00917C23">
        <w:rPr>
          <w:rFonts w:cs="David" w:hint="cs"/>
          <w:b/>
          <w:bCs/>
          <w:sz w:val="22"/>
          <w:szCs w:val="22"/>
          <w:highlight w:val="yellow"/>
          <w:rtl/>
        </w:rPr>
        <w:t>סיירת</w:t>
      </w:r>
      <w:r w:rsidRPr="00917C23">
        <w:rPr>
          <w:rFonts w:cs="David"/>
          <w:b/>
          <w:bCs/>
          <w:sz w:val="22"/>
          <w:szCs w:val="22"/>
          <w:highlight w:val="yellow"/>
          <w:rtl/>
        </w:rPr>
        <w:t xml:space="preserve"> מתנדבים עירונים</w:t>
      </w:r>
      <w:r w:rsidRPr="00917C23">
        <w:rPr>
          <w:rFonts w:cs="David" w:hint="cs"/>
          <w:b/>
          <w:bCs/>
          <w:sz w:val="22"/>
          <w:szCs w:val="22"/>
          <w:highlight w:val="yellow"/>
          <w:rtl/>
        </w:rPr>
        <w:t xml:space="preserve"> ושמירת אופייה הקהילתי של העיר וביטחון תושביה, התשע"א-2011</w:t>
      </w:r>
      <w:r w:rsidRPr="00917C23">
        <w:rPr>
          <w:rFonts w:cs="David" w:hint="cs"/>
          <w:sz w:val="22"/>
          <w:szCs w:val="22"/>
          <w:highlight w:val="yellow"/>
          <w:rtl/>
        </w:rPr>
        <w:t xml:space="preserve"> [להלן: חוק עזר: סיירת מתנדבים]</w:t>
      </w:r>
      <w:r w:rsidRPr="00917C23">
        <w:rPr>
          <w:rFonts w:cs="David"/>
          <w:sz w:val="22"/>
          <w:szCs w:val="22"/>
          <w:highlight w:val="yellow"/>
          <w:rtl/>
        </w:rPr>
        <w:t>.</w:t>
      </w:r>
      <w:r w:rsidRPr="00917C23">
        <w:rPr>
          <w:sz w:val="22"/>
          <w:szCs w:val="22"/>
          <w:highlight w:val="yellow"/>
          <w:rtl/>
        </w:rPr>
        <w:t xml:space="preserve">  אחד מסעיפי חוק העזר קובע לאמור:</w:t>
      </w:r>
    </w:p>
    <w:p w:rsidR="005366A8" w:rsidRPr="00917C23" w:rsidRDefault="005366A8" w:rsidP="005366A8">
      <w:pPr>
        <w:spacing w:after="60"/>
        <w:ind w:left="720"/>
        <w:rPr>
          <w:rFonts w:cs="David"/>
          <w:sz w:val="22"/>
          <w:szCs w:val="22"/>
          <w:highlight w:val="yellow"/>
          <w:rtl/>
        </w:rPr>
      </w:pPr>
      <w:r w:rsidRPr="00917C23">
        <w:rPr>
          <w:rFonts w:cs="David"/>
          <w:sz w:val="22"/>
          <w:szCs w:val="22"/>
          <w:highlight w:val="yellow"/>
          <w:rtl/>
        </w:rPr>
        <w:t xml:space="preserve">בסמכותם של </w:t>
      </w:r>
      <w:r w:rsidRPr="00917C23">
        <w:rPr>
          <w:rFonts w:cs="David" w:hint="cs"/>
          <w:sz w:val="22"/>
          <w:szCs w:val="22"/>
          <w:highlight w:val="yellow"/>
          <w:rtl/>
        </w:rPr>
        <w:t>הסיירים</w:t>
      </w:r>
      <w:r w:rsidRPr="00917C23">
        <w:rPr>
          <w:rFonts w:cs="David"/>
          <w:sz w:val="22"/>
          <w:szCs w:val="22"/>
          <w:highlight w:val="yellow"/>
          <w:rtl/>
        </w:rPr>
        <w:t xml:space="preserve"> המתנדבים ל</w:t>
      </w:r>
      <w:r w:rsidRPr="00917C23">
        <w:rPr>
          <w:rFonts w:cs="David" w:hint="cs"/>
          <w:sz w:val="22"/>
          <w:szCs w:val="22"/>
          <w:highlight w:val="yellow"/>
          <w:rtl/>
        </w:rPr>
        <w:t>בדוק את זהותם של הנכנסים, ולמנוע כניסתם לעיר של מי שאינם תושביה, בין חצות הליל והשעה חמש לפנות בוקר.</w:t>
      </w:r>
      <w:r w:rsidRPr="00917C23">
        <w:rPr>
          <w:rFonts w:cs="David"/>
          <w:sz w:val="22"/>
          <w:szCs w:val="22"/>
          <w:highlight w:val="yellow"/>
          <w:rtl/>
        </w:rPr>
        <w:t xml:space="preserve"> </w:t>
      </w:r>
    </w:p>
    <w:p w:rsidR="005366A8" w:rsidRPr="00917C23" w:rsidRDefault="005366A8" w:rsidP="005366A8">
      <w:pPr>
        <w:spacing w:after="60"/>
        <w:rPr>
          <w:sz w:val="22"/>
          <w:szCs w:val="22"/>
          <w:rtl/>
        </w:rPr>
      </w:pPr>
      <w:r w:rsidRPr="00917C23">
        <w:rPr>
          <w:rFonts w:hint="cs"/>
          <w:sz w:val="22"/>
          <w:szCs w:val="22"/>
          <w:highlight w:val="yellow"/>
          <w:rtl/>
        </w:rPr>
        <w:t>ב. ראש העיר גם מסרב</w:t>
      </w:r>
      <w:r w:rsidRPr="00917C23">
        <w:rPr>
          <w:sz w:val="22"/>
          <w:szCs w:val="22"/>
          <w:highlight w:val="yellow"/>
          <w:rtl/>
        </w:rPr>
        <w:t xml:space="preserve"> לאפשר לחברות לבנייה ולהשכרה למגורים לפרסם על לוחות המודעות </w:t>
      </w:r>
      <w:r w:rsidRPr="00917C23">
        <w:rPr>
          <w:rFonts w:hint="cs"/>
          <w:sz w:val="22"/>
          <w:szCs w:val="22"/>
          <w:highlight w:val="yellow"/>
          <w:rtl/>
        </w:rPr>
        <w:t>הפזורים ברחבי העיר</w:t>
      </w:r>
      <w:r w:rsidRPr="00917C23">
        <w:rPr>
          <w:sz w:val="22"/>
          <w:szCs w:val="22"/>
          <w:highlight w:val="yellow"/>
          <w:rtl/>
        </w:rPr>
        <w:t xml:space="preserve"> מודעות </w:t>
      </w:r>
      <w:r w:rsidRPr="00917C23">
        <w:rPr>
          <w:rFonts w:hint="cs"/>
          <w:sz w:val="22"/>
          <w:szCs w:val="22"/>
          <w:highlight w:val="yellow"/>
          <w:rtl/>
        </w:rPr>
        <w:t>מסחריות-פרטיות</w:t>
      </w:r>
      <w:r w:rsidRPr="00917C23">
        <w:rPr>
          <w:sz w:val="22"/>
          <w:szCs w:val="22"/>
          <w:highlight w:val="yellow"/>
          <w:rtl/>
        </w:rPr>
        <w:t xml:space="preserve"> ב</w:t>
      </w:r>
      <w:r w:rsidRPr="00917C23">
        <w:rPr>
          <w:rFonts w:hint="cs"/>
          <w:sz w:val="22"/>
          <w:szCs w:val="22"/>
          <w:highlight w:val="yellow"/>
          <w:rtl/>
        </w:rPr>
        <w:t>שפה ה</w:t>
      </w:r>
      <w:r w:rsidRPr="00917C23">
        <w:rPr>
          <w:sz w:val="22"/>
          <w:szCs w:val="22"/>
          <w:highlight w:val="yellow"/>
          <w:rtl/>
        </w:rPr>
        <w:t xml:space="preserve">ערבית </w:t>
      </w:r>
      <w:r w:rsidRPr="00917C23">
        <w:rPr>
          <w:rFonts w:hint="cs"/>
          <w:sz w:val="22"/>
          <w:szCs w:val="22"/>
          <w:highlight w:val="yellow"/>
          <w:rtl/>
        </w:rPr>
        <w:t xml:space="preserve">לבדה </w:t>
      </w:r>
      <w:r w:rsidRPr="00917C23">
        <w:rPr>
          <w:sz w:val="22"/>
          <w:szCs w:val="22"/>
          <w:highlight w:val="yellow"/>
          <w:rtl/>
        </w:rPr>
        <w:t>ביחס לדירות למכירה או להשכרה ב</w:t>
      </w:r>
      <w:r w:rsidRPr="00917C23">
        <w:rPr>
          <w:rFonts w:hint="cs"/>
          <w:sz w:val="22"/>
          <w:szCs w:val="22"/>
          <w:highlight w:val="yellow"/>
          <w:rtl/>
        </w:rPr>
        <w:t>עיר</w:t>
      </w:r>
      <w:r w:rsidRPr="00917C23">
        <w:rPr>
          <w:sz w:val="22"/>
          <w:szCs w:val="22"/>
          <w:highlight w:val="yellow"/>
          <w:rtl/>
        </w:rPr>
        <w:t xml:space="preserve">. </w:t>
      </w:r>
      <w:r w:rsidRPr="00917C23">
        <w:rPr>
          <w:rFonts w:hint="cs"/>
          <w:sz w:val="22"/>
          <w:szCs w:val="22"/>
          <w:highlight w:val="yellow"/>
          <w:rtl/>
        </w:rPr>
        <w:t xml:space="preserve"> הוא מצביע על </w:t>
      </w:r>
      <w:r w:rsidRPr="00917C23">
        <w:rPr>
          <w:rFonts w:hint="cs"/>
          <w:b/>
          <w:bCs/>
          <w:sz w:val="22"/>
          <w:szCs w:val="22"/>
          <w:highlight w:val="yellow"/>
          <w:rtl/>
        </w:rPr>
        <w:t>ח</w:t>
      </w:r>
      <w:r w:rsidRPr="00917C23">
        <w:rPr>
          <w:b/>
          <w:bCs/>
          <w:sz w:val="22"/>
          <w:szCs w:val="22"/>
          <w:highlight w:val="yellow"/>
          <w:rtl/>
        </w:rPr>
        <w:t xml:space="preserve">וק עזר </w:t>
      </w:r>
      <w:r w:rsidRPr="00917C23">
        <w:rPr>
          <w:rFonts w:hint="cs"/>
          <w:b/>
          <w:bCs/>
          <w:sz w:val="22"/>
          <w:szCs w:val="22"/>
          <w:highlight w:val="yellow"/>
          <w:rtl/>
        </w:rPr>
        <w:t xml:space="preserve">גפן: </w:t>
      </w:r>
      <w:r w:rsidRPr="00917C23">
        <w:rPr>
          <w:b/>
          <w:bCs/>
          <w:sz w:val="22"/>
          <w:szCs w:val="22"/>
          <w:highlight w:val="yellow"/>
          <w:rtl/>
        </w:rPr>
        <w:t>מודעות ושלטים, תש</w:t>
      </w:r>
      <w:r w:rsidRPr="00917C23">
        <w:rPr>
          <w:rFonts w:hint="cs"/>
          <w:b/>
          <w:bCs/>
          <w:sz w:val="22"/>
          <w:szCs w:val="22"/>
          <w:highlight w:val="yellow"/>
          <w:rtl/>
        </w:rPr>
        <w:t>כ"א-1961</w:t>
      </w:r>
      <w:r w:rsidRPr="00917C23">
        <w:rPr>
          <w:rFonts w:hint="cs"/>
          <w:sz w:val="22"/>
          <w:szCs w:val="22"/>
          <w:highlight w:val="yellow"/>
          <w:rtl/>
        </w:rPr>
        <w:t xml:space="preserve"> [להלן: חוק עזר מודעות]</w:t>
      </w:r>
      <w:r w:rsidRPr="00917C23">
        <w:rPr>
          <w:rFonts w:hint="cs"/>
          <w:b/>
          <w:bCs/>
          <w:sz w:val="22"/>
          <w:szCs w:val="22"/>
          <w:highlight w:val="yellow"/>
          <w:rtl/>
        </w:rPr>
        <w:t xml:space="preserve">, </w:t>
      </w:r>
      <w:r w:rsidRPr="00917C23">
        <w:rPr>
          <w:rFonts w:hint="cs"/>
          <w:sz w:val="22"/>
          <w:szCs w:val="22"/>
          <w:highlight w:val="yellow"/>
          <w:rtl/>
        </w:rPr>
        <w:t>הקובע בסע' 2(א) כי</w:t>
      </w:r>
      <w:r w:rsidRPr="00917C23">
        <w:rPr>
          <w:sz w:val="22"/>
          <w:szCs w:val="22"/>
          <w:highlight w:val="yellow"/>
          <w:rtl/>
        </w:rPr>
        <w:t>:</w:t>
      </w:r>
    </w:p>
    <w:p w:rsidR="005366A8" w:rsidRPr="00917C23" w:rsidRDefault="005366A8" w:rsidP="005366A8">
      <w:pPr>
        <w:spacing w:after="60"/>
        <w:ind w:left="720"/>
        <w:rPr>
          <w:rFonts w:cs="David"/>
          <w:sz w:val="22"/>
          <w:szCs w:val="22"/>
          <w:highlight w:val="yellow"/>
          <w:rtl/>
        </w:rPr>
      </w:pPr>
      <w:r w:rsidRPr="00917C23">
        <w:rPr>
          <w:rFonts w:cs="David" w:hint="cs"/>
          <w:sz w:val="22"/>
          <w:szCs w:val="22"/>
          <w:highlight w:val="yellow"/>
          <w:rtl/>
        </w:rPr>
        <w:t>"</w:t>
      </w:r>
      <w:r w:rsidRPr="00917C23">
        <w:rPr>
          <w:rFonts w:cs="David"/>
          <w:sz w:val="22"/>
          <w:szCs w:val="22"/>
          <w:highlight w:val="yellow"/>
          <w:rtl/>
        </w:rPr>
        <w:t xml:space="preserve">לא יפרסם אדם מודעה ולא יציג שלט, אלא לפי רשיון מאת ראש </w:t>
      </w:r>
      <w:r w:rsidRPr="00917C23">
        <w:rPr>
          <w:rFonts w:cs="David" w:hint="cs"/>
          <w:sz w:val="22"/>
          <w:szCs w:val="22"/>
          <w:highlight w:val="yellow"/>
          <w:rtl/>
        </w:rPr>
        <w:t>העיר</w:t>
      </w:r>
      <w:r w:rsidRPr="00917C23">
        <w:rPr>
          <w:rFonts w:cs="David"/>
          <w:sz w:val="22"/>
          <w:szCs w:val="22"/>
          <w:highlight w:val="yellow"/>
          <w:rtl/>
        </w:rPr>
        <w:t xml:space="preserve"> ובהתאם לתנאי הרשיון ואלא אם המודעה או השלט </w:t>
      </w:r>
      <w:r w:rsidRPr="00917C23">
        <w:rPr>
          <w:rFonts w:cs="David"/>
          <w:sz w:val="22"/>
          <w:szCs w:val="22"/>
          <w:highlight w:val="yellow"/>
        </w:rPr>
        <w:t>–</w:t>
      </w:r>
    </w:p>
    <w:p w:rsidR="005366A8" w:rsidRPr="00917C23" w:rsidRDefault="005366A8" w:rsidP="005366A8">
      <w:pPr>
        <w:spacing w:after="60"/>
        <w:ind w:left="1440"/>
        <w:rPr>
          <w:rFonts w:cs="David"/>
          <w:sz w:val="22"/>
          <w:szCs w:val="22"/>
          <w:highlight w:val="yellow"/>
          <w:rtl/>
        </w:rPr>
      </w:pPr>
      <w:r w:rsidRPr="00917C23">
        <w:rPr>
          <w:rFonts w:cs="David"/>
          <w:sz w:val="22"/>
          <w:szCs w:val="22"/>
          <w:highlight w:val="yellow"/>
          <w:rtl/>
        </w:rPr>
        <w:t>(1) כתובים עברית; או</w:t>
      </w:r>
    </w:p>
    <w:p w:rsidR="005366A8" w:rsidRPr="00917C23" w:rsidRDefault="005366A8" w:rsidP="005366A8">
      <w:pPr>
        <w:spacing w:after="60"/>
        <w:ind w:left="1440"/>
        <w:rPr>
          <w:sz w:val="22"/>
          <w:szCs w:val="22"/>
          <w:highlight w:val="yellow"/>
          <w:rtl/>
        </w:rPr>
      </w:pPr>
      <w:r w:rsidRPr="00917C23">
        <w:rPr>
          <w:rFonts w:cs="David"/>
          <w:sz w:val="22"/>
          <w:szCs w:val="22"/>
          <w:highlight w:val="yellow"/>
          <w:rtl/>
        </w:rPr>
        <w:t xml:space="preserve">(2) כתובים בחלקם עברית ובחלקם לועזית והעברית תופסת לא פחות משני שלישים משטחם ואת החלק העליון </w:t>
      </w:r>
      <w:r w:rsidRPr="00917C23">
        <w:rPr>
          <w:rFonts w:cs="David" w:hint="cs"/>
          <w:sz w:val="22"/>
          <w:szCs w:val="22"/>
          <w:highlight w:val="yellow"/>
          <w:rtl/>
        </w:rPr>
        <w:t>מ</w:t>
      </w:r>
      <w:r w:rsidRPr="00917C23">
        <w:rPr>
          <w:rFonts w:cs="David"/>
          <w:sz w:val="22"/>
          <w:szCs w:val="22"/>
          <w:highlight w:val="yellow"/>
          <w:rtl/>
        </w:rPr>
        <w:t>השטח והאותיות העבריות גדולות מהאותיות הלועזיות.</w:t>
      </w:r>
      <w:r w:rsidRPr="00917C23">
        <w:rPr>
          <w:rFonts w:cs="David" w:hint="cs"/>
          <w:sz w:val="22"/>
          <w:szCs w:val="22"/>
          <w:highlight w:val="yellow"/>
          <w:rtl/>
        </w:rPr>
        <w:t>"</w:t>
      </w:r>
    </w:p>
    <w:p w:rsidR="005366A8" w:rsidRPr="00917C23" w:rsidRDefault="005366A8" w:rsidP="005366A8">
      <w:pPr>
        <w:spacing w:after="60"/>
        <w:rPr>
          <w:b/>
          <w:bCs/>
          <w:sz w:val="22"/>
          <w:szCs w:val="22"/>
          <w:rtl/>
        </w:rPr>
      </w:pPr>
      <w:r w:rsidRPr="00917C23">
        <w:rPr>
          <w:rFonts w:hint="cs"/>
          <w:sz w:val="22"/>
          <w:szCs w:val="22"/>
          <w:highlight w:val="yellow"/>
          <w:rtl/>
        </w:rPr>
        <w:t xml:space="preserve">ג. מועצת העיר גם מחליטה לתמוך כספית בקמפיין ציבורי ארצי המנוהל על ידי עמותת "גדר גבוהה </w:t>
      </w:r>
      <w:r w:rsidRPr="00917C23">
        <w:rPr>
          <w:sz w:val="22"/>
          <w:szCs w:val="22"/>
          <w:highlight w:val="yellow"/>
          <w:rtl/>
        </w:rPr>
        <w:t>–</w:t>
      </w:r>
      <w:r w:rsidRPr="00917C23">
        <w:rPr>
          <w:rFonts w:hint="cs"/>
          <w:sz w:val="22"/>
          <w:szCs w:val="22"/>
          <w:highlight w:val="yellow"/>
          <w:rtl/>
        </w:rPr>
        <w:t xml:space="preserve"> שכנים טובים", המקדמת, בין היתר, את עקרון ההפרדה הבין-קהילתית.</w:t>
      </w:r>
    </w:p>
    <w:p w:rsidR="005366A8" w:rsidRPr="00917C23" w:rsidRDefault="005366A8" w:rsidP="005366A8">
      <w:pPr>
        <w:spacing w:after="60"/>
        <w:ind w:left="720"/>
        <w:rPr>
          <w:b/>
          <w:bCs/>
          <w:sz w:val="22"/>
          <w:szCs w:val="22"/>
          <w:rtl/>
        </w:rPr>
      </w:pPr>
      <w:r w:rsidRPr="00917C23">
        <w:rPr>
          <w:rFonts w:hint="cs"/>
          <w:b/>
          <w:bCs/>
          <w:sz w:val="22"/>
          <w:szCs w:val="22"/>
          <w:rtl/>
        </w:rPr>
        <w:t xml:space="preserve">1. האם נפלו פגמים בחוק-עזר: סיירת עירונית?  </w:t>
      </w:r>
    </w:p>
    <w:p w:rsidR="005366A8" w:rsidRPr="00917C23" w:rsidRDefault="005366A8" w:rsidP="005366A8">
      <w:pPr>
        <w:spacing w:after="60"/>
        <w:ind w:left="720"/>
        <w:rPr>
          <w:b/>
          <w:bCs/>
          <w:sz w:val="22"/>
          <w:szCs w:val="22"/>
          <w:rtl/>
        </w:rPr>
      </w:pPr>
      <w:r w:rsidRPr="00917C23">
        <w:rPr>
          <w:rFonts w:hint="cs"/>
          <w:b/>
          <w:bCs/>
          <w:sz w:val="22"/>
          <w:szCs w:val="22"/>
          <w:rtl/>
        </w:rPr>
        <w:t>2. מה ביחס לחוק-עזר: מודעות?  מה תאמר הביקורת השיפוטית עליו?</w:t>
      </w:r>
    </w:p>
    <w:p w:rsidR="005366A8" w:rsidRPr="00917C23" w:rsidRDefault="005366A8" w:rsidP="005366A8">
      <w:pPr>
        <w:spacing w:after="60"/>
        <w:ind w:left="720"/>
        <w:rPr>
          <w:sz w:val="22"/>
          <w:szCs w:val="22"/>
          <w:rtl/>
        </w:rPr>
      </w:pPr>
      <w:r w:rsidRPr="00917C23">
        <w:rPr>
          <w:rFonts w:hint="cs"/>
          <w:b/>
          <w:bCs/>
          <w:sz w:val="22"/>
          <w:szCs w:val="22"/>
          <w:rtl/>
        </w:rPr>
        <w:t xml:space="preserve">3. האם נפלו פגמים אחרים/ נוספים בפעולותיה של מועצת העיר? </w:t>
      </w:r>
      <w:r w:rsidRPr="00917C23">
        <w:rPr>
          <w:rFonts w:hint="cs"/>
          <w:sz w:val="22"/>
          <w:szCs w:val="22"/>
          <w:rtl/>
        </w:rPr>
        <w:t xml:space="preserve"> בין היתר, האם היא מוסמכת לתמוך כספית בקמפיין הנזכר?</w:t>
      </w:r>
    </w:p>
    <w:p w:rsidR="005366A8" w:rsidRPr="00917C23" w:rsidRDefault="005366A8" w:rsidP="005366A8">
      <w:pPr>
        <w:spacing w:after="60"/>
        <w:ind w:left="1440"/>
        <w:rPr>
          <w:sz w:val="22"/>
          <w:szCs w:val="22"/>
          <w:rtl/>
        </w:rPr>
      </w:pPr>
      <w:r w:rsidRPr="00917C23">
        <w:rPr>
          <w:rFonts w:hint="cs"/>
          <w:sz w:val="22"/>
          <w:szCs w:val="22"/>
          <w:rtl/>
        </w:rPr>
        <w:t xml:space="preserve">[בשל היקף השאלה </w:t>
      </w:r>
      <w:r w:rsidRPr="00917C23">
        <w:rPr>
          <w:rFonts w:hint="cs"/>
          <w:sz w:val="22"/>
          <w:szCs w:val="22"/>
          <w:u w:val="single"/>
          <w:rtl/>
        </w:rPr>
        <w:t>אל</w:t>
      </w:r>
      <w:r w:rsidRPr="00917C23">
        <w:rPr>
          <w:rFonts w:hint="cs"/>
          <w:sz w:val="22"/>
          <w:szCs w:val="22"/>
          <w:rtl/>
        </w:rPr>
        <w:t xml:space="preserve"> תדונו בסוגיות הקשורות </w:t>
      </w:r>
      <w:r w:rsidRPr="00917C23">
        <w:rPr>
          <w:rFonts w:hint="cs"/>
          <w:sz w:val="22"/>
          <w:szCs w:val="22"/>
          <w:u w:val="single"/>
          <w:rtl/>
        </w:rPr>
        <w:t>למידתיות</w:t>
      </w:r>
      <w:r w:rsidRPr="00917C23">
        <w:rPr>
          <w:rFonts w:hint="cs"/>
          <w:sz w:val="22"/>
          <w:szCs w:val="22"/>
          <w:rtl/>
        </w:rPr>
        <w:t xml:space="preserve">].  </w:t>
      </w:r>
    </w:p>
    <w:p w:rsidR="005366A8" w:rsidRPr="00917C23" w:rsidRDefault="005366A8" w:rsidP="005366A8">
      <w:pPr>
        <w:spacing w:after="60"/>
        <w:rPr>
          <w:b/>
          <w:bCs/>
          <w:sz w:val="22"/>
          <w:szCs w:val="22"/>
          <w:rtl/>
        </w:rPr>
      </w:pPr>
      <w:r w:rsidRPr="00917C23">
        <w:rPr>
          <w:rFonts w:hint="cs"/>
          <w:b/>
          <w:bCs/>
          <w:sz w:val="22"/>
          <w:szCs w:val="22"/>
          <w:rtl/>
        </w:rPr>
        <w:t>=-=</w:t>
      </w:r>
    </w:p>
    <w:p w:rsidR="005366A8" w:rsidRPr="00917C23" w:rsidRDefault="005366A8" w:rsidP="005366A8">
      <w:pPr>
        <w:spacing w:after="60"/>
        <w:rPr>
          <w:b/>
          <w:bCs/>
          <w:sz w:val="22"/>
          <w:szCs w:val="22"/>
          <w:rtl/>
        </w:rPr>
      </w:pPr>
    </w:p>
    <w:p w:rsidR="005366A8" w:rsidRPr="00917C23" w:rsidRDefault="005366A8" w:rsidP="005366A8">
      <w:pPr>
        <w:spacing w:after="60"/>
        <w:rPr>
          <w:b/>
          <w:bCs/>
          <w:sz w:val="22"/>
          <w:szCs w:val="22"/>
          <w:u w:val="single"/>
          <w:rtl/>
        </w:rPr>
      </w:pPr>
      <w:r w:rsidRPr="00917C23">
        <w:rPr>
          <w:rFonts w:hint="cs"/>
          <w:b/>
          <w:bCs/>
          <w:sz w:val="22"/>
          <w:szCs w:val="22"/>
          <w:u w:val="single"/>
          <w:rtl/>
        </w:rPr>
        <w:t>1. הנפלו פגמים בחוק העזר: סיירת עירונית?</w:t>
      </w:r>
    </w:p>
    <w:p w:rsidR="005366A8" w:rsidRPr="00917C23" w:rsidRDefault="005366A8" w:rsidP="005366A8">
      <w:pPr>
        <w:spacing w:after="60"/>
        <w:rPr>
          <w:b/>
          <w:bCs/>
          <w:sz w:val="22"/>
          <w:szCs w:val="22"/>
          <w:rtl/>
        </w:rPr>
      </w:pPr>
    </w:p>
    <w:p w:rsidR="005366A8" w:rsidRPr="00917C23" w:rsidRDefault="005366A8" w:rsidP="005366A8">
      <w:pPr>
        <w:spacing w:after="60"/>
        <w:rPr>
          <w:b/>
          <w:bCs/>
          <w:sz w:val="22"/>
          <w:szCs w:val="22"/>
          <w:rtl/>
        </w:rPr>
      </w:pPr>
      <w:r w:rsidRPr="00917C23">
        <w:rPr>
          <w:rFonts w:hint="cs"/>
          <w:b/>
          <w:bCs/>
          <w:sz w:val="22"/>
          <w:szCs w:val="22"/>
          <w:rtl/>
        </w:rPr>
        <w:t>א.</w:t>
      </w:r>
      <w:r w:rsidRPr="00917C23">
        <w:rPr>
          <w:b/>
          <w:bCs/>
          <w:sz w:val="22"/>
          <w:szCs w:val="22"/>
          <w:rtl/>
        </w:rPr>
        <w:t xml:space="preserve"> מועצת העיר </w:t>
      </w:r>
      <w:r w:rsidRPr="00917C23">
        <w:rPr>
          <w:rFonts w:hint="cs"/>
          <w:b/>
          <w:bCs/>
          <w:sz w:val="22"/>
          <w:szCs w:val="22"/>
          <w:rtl/>
        </w:rPr>
        <w:t>אוצלת לראש העיר</w:t>
      </w:r>
      <w:r w:rsidRPr="00917C23">
        <w:rPr>
          <w:b/>
          <w:bCs/>
          <w:sz w:val="22"/>
          <w:szCs w:val="22"/>
          <w:rtl/>
        </w:rPr>
        <w:t xml:space="preserve"> את סמכות התחיקה שלה ביחס ל"נושאים רגישים של יחסים בין-קהילתיים בעיר"</w:t>
      </w:r>
      <w:r w:rsidRPr="00917C23">
        <w:rPr>
          <w:rFonts w:hint="cs"/>
          <w:b/>
          <w:bCs/>
          <w:sz w:val="22"/>
          <w:szCs w:val="22"/>
          <w:rtl/>
        </w:rPr>
        <w:t>.</w:t>
      </w:r>
    </w:p>
    <w:p w:rsidR="005366A8" w:rsidRPr="00342B7A" w:rsidRDefault="005366A8" w:rsidP="005366A8">
      <w:pPr>
        <w:spacing w:after="60"/>
        <w:rPr>
          <w:i/>
          <w:iCs/>
          <w:sz w:val="22"/>
          <w:szCs w:val="22"/>
          <w:rtl/>
        </w:rPr>
      </w:pPr>
      <w:r w:rsidRPr="00342B7A">
        <w:rPr>
          <w:rFonts w:hint="cs"/>
          <w:i/>
          <w:iCs/>
          <w:sz w:val="22"/>
          <w:szCs w:val="22"/>
          <w:rtl/>
        </w:rPr>
        <w:t xml:space="preserve">[זהו פתרון שאלה בבחינת ביניים של סוף סמסטר א' </w:t>
      </w:r>
      <w:r w:rsidRPr="00342B7A">
        <w:rPr>
          <w:i/>
          <w:iCs/>
          <w:sz w:val="22"/>
          <w:szCs w:val="22"/>
          <w:rtl/>
        </w:rPr>
        <w:t>–</w:t>
      </w:r>
      <w:r w:rsidRPr="00342B7A">
        <w:rPr>
          <w:rFonts w:hint="cs"/>
          <w:i/>
          <w:iCs/>
          <w:sz w:val="22"/>
          <w:szCs w:val="22"/>
          <w:rtl/>
        </w:rPr>
        <w:t xml:space="preserve"> חלק מהחומר שלהלן הוא מהפגישות הקרובות שעד סוף הסמסטר]. </w:t>
      </w:r>
    </w:p>
    <w:p w:rsidR="005366A8" w:rsidRPr="00917C23" w:rsidRDefault="005366A8" w:rsidP="005366A8">
      <w:pPr>
        <w:spacing w:after="60"/>
        <w:rPr>
          <w:sz w:val="22"/>
          <w:szCs w:val="22"/>
          <w:rtl/>
        </w:rPr>
      </w:pPr>
      <w:r w:rsidRPr="00917C23">
        <w:rPr>
          <w:rFonts w:hint="cs"/>
          <w:sz w:val="22"/>
          <w:szCs w:val="22"/>
          <w:rtl/>
        </w:rPr>
        <w:t xml:space="preserve">אצילה של סמכות מחייבת הסמכה (מפורשת או לפחות משתמעת) </w:t>
      </w:r>
      <w:r>
        <w:rPr>
          <w:rFonts w:hint="cs"/>
          <w:sz w:val="22"/>
          <w:szCs w:val="22"/>
          <w:rtl/>
        </w:rPr>
        <w:t xml:space="preserve">לאצול </w:t>
      </w:r>
      <w:r w:rsidRPr="00917C23">
        <w:rPr>
          <w:rFonts w:hint="cs"/>
          <w:sz w:val="22"/>
          <w:szCs w:val="22"/>
          <w:rtl/>
        </w:rPr>
        <w:t xml:space="preserve">[ופעולת ההאצלה עצמה צריכה להיות ברורה (פס"ד </w:t>
      </w:r>
      <w:r w:rsidRPr="00917C23">
        <w:rPr>
          <w:rFonts w:hint="cs"/>
          <w:b/>
          <w:bCs/>
          <w:sz w:val="22"/>
          <w:szCs w:val="22"/>
          <w:rtl/>
        </w:rPr>
        <w:t>מטר</w:t>
      </w:r>
      <w:r w:rsidRPr="00917C23">
        <w:rPr>
          <w:rFonts w:hint="cs"/>
          <w:sz w:val="22"/>
          <w:szCs w:val="22"/>
          <w:rtl/>
        </w:rPr>
        <w:t xml:space="preserve">) </w:t>
      </w:r>
      <w:r w:rsidRPr="00917C23">
        <w:rPr>
          <w:sz w:val="22"/>
          <w:szCs w:val="22"/>
          <w:rtl/>
        </w:rPr>
        <w:t>–</w:t>
      </w:r>
      <w:r w:rsidRPr="00917C23">
        <w:rPr>
          <w:rFonts w:hint="cs"/>
          <w:sz w:val="22"/>
          <w:szCs w:val="22"/>
          <w:rtl/>
        </w:rPr>
        <w:t xml:space="preserve"> נקודה אחרונה זו מתקיימת כאן].  היש למועצת העיר סמכות אצילה שכזו</w:t>
      </w:r>
      <w:r>
        <w:rPr>
          <w:rFonts w:hint="cs"/>
          <w:sz w:val="22"/>
          <w:szCs w:val="22"/>
          <w:rtl/>
        </w:rPr>
        <w:t xml:space="preserve"> </w:t>
      </w:r>
      <w:r>
        <w:rPr>
          <w:sz w:val="22"/>
          <w:szCs w:val="22"/>
          <w:rtl/>
        </w:rPr>
        <w:t>–</w:t>
      </w:r>
      <w:r>
        <w:rPr>
          <w:rFonts w:hint="cs"/>
          <w:sz w:val="22"/>
          <w:szCs w:val="22"/>
          <w:rtl/>
        </w:rPr>
        <w:t xml:space="preserve"> משמע, יכולת לגיטימית לאצול את סמכותה להתקין חקיקת-עזר עירונית</w:t>
      </w:r>
      <w:r w:rsidRPr="00917C23">
        <w:rPr>
          <w:rFonts w:hint="cs"/>
          <w:sz w:val="22"/>
          <w:szCs w:val="22"/>
          <w:rtl/>
        </w:rPr>
        <w:t xml:space="preserve">?  </w:t>
      </w:r>
    </w:p>
    <w:p w:rsidR="005366A8" w:rsidRPr="00917C23" w:rsidRDefault="005366A8" w:rsidP="005366A8">
      <w:pPr>
        <w:spacing w:after="60"/>
        <w:rPr>
          <w:sz w:val="22"/>
          <w:szCs w:val="22"/>
          <w:rtl/>
        </w:rPr>
      </w:pPr>
      <w:r w:rsidRPr="00917C23">
        <w:rPr>
          <w:rFonts w:hint="cs"/>
          <w:sz w:val="22"/>
          <w:szCs w:val="22"/>
          <w:rtl/>
        </w:rPr>
        <w:t xml:space="preserve">החקיקה הרלבנטית </w:t>
      </w:r>
      <w:r>
        <w:rPr>
          <w:rFonts w:hint="cs"/>
          <w:sz w:val="22"/>
          <w:szCs w:val="22"/>
          <w:rtl/>
        </w:rPr>
        <w:t xml:space="preserve">המסדירה את סמכות החקיקה (התקנת חוקי העזר המקומיים) </w:t>
      </w:r>
      <w:r w:rsidRPr="00917C23">
        <w:rPr>
          <w:rFonts w:hint="cs"/>
          <w:sz w:val="22"/>
          <w:szCs w:val="22"/>
          <w:rtl/>
        </w:rPr>
        <w:t>לא הייתה בפניכם, והיה עליכם להניח הנחה (והנחה נגדית) ביחס לקיומה או העדרה של סמכות אצילה שכזו.</w:t>
      </w:r>
    </w:p>
    <w:p w:rsidR="005366A8" w:rsidRPr="00917C23" w:rsidRDefault="005366A8" w:rsidP="005366A8">
      <w:pPr>
        <w:spacing w:after="60"/>
        <w:rPr>
          <w:sz w:val="22"/>
          <w:szCs w:val="22"/>
          <w:rtl/>
        </w:rPr>
      </w:pPr>
      <w:r w:rsidRPr="00917C23">
        <w:rPr>
          <w:rFonts w:hint="cs"/>
          <w:sz w:val="22"/>
          <w:szCs w:val="22"/>
          <w:rtl/>
        </w:rPr>
        <w:t xml:space="preserve">עם זאת, פגשנו את פסק דין </w:t>
      </w:r>
      <w:r w:rsidRPr="00917C23">
        <w:rPr>
          <w:rFonts w:hint="cs"/>
          <w:b/>
          <w:bCs/>
          <w:sz w:val="22"/>
          <w:szCs w:val="22"/>
          <w:rtl/>
        </w:rPr>
        <w:t xml:space="preserve">עיריית פתח תקווה נ' שר הפנים </w:t>
      </w:r>
      <w:r w:rsidRPr="00917C23">
        <w:rPr>
          <w:rFonts w:hint="cs"/>
          <w:sz w:val="22"/>
          <w:szCs w:val="22"/>
          <w:rtl/>
        </w:rPr>
        <w:t>שעוסק אף הוא "בסוגיות רגישות" בין-קהילתיות (שם, דתיים וחילוניים בעיר</w:t>
      </w:r>
      <w:r>
        <w:rPr>
          <w:rFonts w:hint="cs"/>
          <w:sz w:val="22"/>
          <w:szCs w:val="22"/>
          <w:rtl/>
        </w:rPr>
        <w:t>, ופתיחת בית קולנוע בערב שבת</w:t>
      </w:r>
      <w:r w:rsidRPr="00917C23">
        <w:rPr>
          <w:rFonts w:hint="cs"/>
          <w:sz w:val="22"/>
          <w:szCs w:val="22"/>
          <w:rtl/>
        </w:rPr>
        <w:t xml:space="preserve">).  </w:t>
      </w:r>
      <w:r>
        <w:rPr>
          <w:rFonts w:hint="cs"/>
          <w:sz w:val="22"/>
          <w:szCs w:val="22"/>
          <w:rtl/>
        </w:rPr>
        <w:t>להלן חלק</w:t>
      </w:r>
      <w:r w:rsidRPr="00917C23">
        <w:rPr>
          <w:rFonts w:hint="cs"/>
          <w:sz w:val="22"/>
          <w:szCs w:val="22"/>
          <w:rtl/>
        </w:rPr>
        <w:t xml:space="preserve"> </w:t>
      </w:r>
      <w:r>
        <w:rPr>
          <w:rFonts w:hint="cs"/>
          <w:sz w:val="22"/>
          <w:szCs w:val="22"/>
          <w:rtl/>
        </w:rPr>
        <w:t>מפסק הדין שה</w:t>
      </w:r>
      <w:r w:rsidRPr="00917C23">
        <w:rPr>
          <w:rFonts w:hint="cs"/>
          <w:sz w:val="22"/>
          <w:szCs w:val="22"/>
          <w:rtl/>
        </w:rPr>
        <w:t>ופיע בדפים:</w:t>
      </w:r>
    </w:p>
    <w:p w:rsidR="005366A8" w:rsidRPr="00917C23" w:rsidRDefault="005366A8" w:rsidP="005366A8">
      <w:pPr>
        <w:spacing w:after="60"/>
        <w:ind w:left="720"/>
        <w:rPr>
          <w:rFonts w:cs="FrankRuehl"/>
          <w:rtl/>
        </w:rPr>
      </w:pPr>
      <w:r w:rsidRPr="00917C23">
        <w:rPr>
          <w:rFonts w:cs="FrankRuehl"/>
          <w:highlight w:val="yellow"/>
          <w:rtl/>
        </w:rPr>
        <w:t xml:space="preserve">פועל כאן עקרון היסוד, לפיו אין רשות מקומית רשאית להעביר את סמכותה החקיקתית לאחר, והכלל </w:t>
      </w:r>
      <w:r w:rsidRPr="00917C23">
        <w:rPr>
          <w:rFonts w:cs="FrankRuehl" w:hint="cs"/>
          <w:highlight w:val="yellow"/>
          <w:rtl/>
        </w:rPr>
        <w:t>ה</w:t>
      </w:r>
      <w:r w:rsidRPr="00917C23">
        <w:rPr>
          <w:rFonts w:cs="FrankRuehl"/>
          <w:highlight w:val="yellow"/>
          <w:rtl/>
        </w:rPr>
        <w:t xml:space="preserve">נזכר לעיל "שליח לא שויא שליח" </w:t>
      </w:r>
      <w:r w:rsidRPr="00917C23">
        <w:rPr>
          <w:rFonts w:cs="FrankRuehl" w:hint="cs"/>
          <w:highlight w:val="yellow"/>
          <w:rtl/>
        </w:rPr>
        <w:t xml:space="preserve">[שליח לא עושה שליח] </w:t>
      </w:r>
      <w:r w:rsidRPr="00917C23">
        <w:rPr>
          <w:rFonts w:cs="FrankRuehl"/>
          <w:highlight w:val="yellow"/>
          <w:rtl/>
        </w:rPr>
        <w:t>תופס בה (אם כי תוך גמישות מסוימת, כמוסבר בהמשך). כדי למנוע אי-הבנה יודגש, שאין לגרוע מחשיבות העובדה, שחברי מועצת העירייה נבחרים בבחירות חופשיות ודמוקרטיות. אולם על המועצה עצמה - ולא בידי שליח - ל</w:t>
      </w:r>
      <w:r w:rsidRPr="00917C23">
        <w:rPr>
          <w:rFonts w:cs="FrankRuehl" w:hint="cs"/>
          <w:highlight w:val="yellow"/>
          <w:rtl/>
        </w:rPr>
        <w:t>ע</w:t>
      </w:r>
      <w:r w:rsidRPr="00917C23">
        <w:rPr>
          <w:rFonts w:cs="FrankRuehl"/>
          <w:highlight w:val="yellow"/>
          <w:rtl/>
        </w:rPr>
        <w:t>סוק במלאכת חקיקת המשנה. בעיקר כל אימת שזו כרוכה בהפעלה של שיקול-דעת בכלל ובנושאים בעלי אופי אידיאולוגי בפרט. המועצה פועלת בשמה שלה ולא רק "מטעם" הריבון. אולם, כאמור, עליה לפעול בעצמה ולא לאצול מסמכויותיה לרשות מינהלית, ולו גם למי שניצב בראש הפירמידה, הוא ראש העיר.</w:t>
      </w:r>
      <w:r w:rsidRPr="00917C23">
        <w:rPr>
          <w:rFonts w:cs="FrankRuehl"/>
          <w:rtl/>
        </w:rPr>
        <w:t xml:space="preserve"> </w:t>
      </w:r>
    </w:p>
    <w:p w:rsidR="005366A8" w:rsidRDefault="005366A8" w:rsidP="005366A8">
      <w:pPr>
        <w:spacing w:after="60"/>
        <w:ind w:left="891" w:hanging="57"/>
        <w:rPr>
          <w:sz w:val="20"/>
          <w:szCs w:val="20"/>
          <w:rtl/>
        </w:rPr>
      </w:pPr>
    </w:p>
    <w:p w:rsidR="005366A8" w:rsidRPr="00917C23" w:rsidRDefault="005366A8" w:rsidP="005366A8">
      <w:pPr>
        <w:spacing w:after="60"/>
        <w:ind w:left="891" w:hanging="57"/>
        <w:rPr>
          <w:sz w:val="20"/>
          <w:szCs w:val="20"/>
          <w:rtl/>
        </w:rPr>
      </w:pPr>
      <w:r w:rsidRPr="00917C23">
        <w:rPr>
          <w:sz w:val="20"/>
          <w:szCs w:val="20"/>
          <w:rtl/>
        </w:rPr>
        <w:t xml:space="preserve">חוק עזר לפתח-תקוה (פתיחת עסקים וסגירתם), תשכ"ד-1963 (להלן - חוק העזר הקיים) קובע בסעיף 4, כי: </w:t>
      </w:r>
    </w:p>
    <w:p w:rsidR="005366A8" w:rsidRPr="00917C23" w:rsidRDefault="005366A8" w:rsidP="005366A8">
      <w:pPr>
        <w:spacing w:after="60"/>
        <w:ind w:left="1670" w:hanging="59"/>
        <w:rPr>
          <w:rFonts w:cs="David"/>
          <w:sz w:val="20"/>
          <w:szCs w:val="20"/>
          <w:rtl/>
        </w:rPr>
      </w:pPr>
      <w:r w:rsidRPr="00917C23">
        <w:rPr>
          <w:rFonts w:cs="David"/>
          <w:sz w:val="20"/>
          <w:szCs w:val="20"/>
          <w:rtl/>
        </w:rPr>
        <w:t xml:space="preserve">"(א) בימי מנוחה לא יפתח אדם ולא ירשה בעל לפתוח בית עסק או בית עינוג. (ב) ... </w:t>
      </w:r>
    </w:p>
    <w:p w:rsidR="005366A8" w:rsidRPr="00917C23" w:rsidRDefault="005366A8" w:rsidP="005366A8">
      <w:pPr>
        <w:spacing w:after="60"/>
        <w:ind w:left="891" w:hanging="59"/>
        <w:rPr>
          <w:sz w:val="20"/>
          <w:szCs w:val="20"/>
          <w:rtl/>
        </w:rPr>
      </w:pPr>
    </w:p>
    <w:p w:rsidR="005366A8" w:rsidRPr="00917C23" w:rsidRDefault="005366A8" w:rsidP="005366A8">
      <w:pPr>
        <w:spacing w:after="60"/>
        <w:ind w:left="890" w:hanging="57"/>
        <w:rPr>
          <w:sz w:val="20"/>
          <w:szCs w:val="20"/>
          <w:rtl/>
        </w:rPr>
      </w:pPr>
      <w:r>
        <w:rPr>
          <w:rFonts w:hint="cs"/>
          <w:sz w:val="20"/>
          <w:szCs w:val="20"/>
          <w:rtl/>
        </w:rPr>
        <w:t>וכך הוא תוקן על ידי מועצת עיריית פתח-תקווה, שהוסיפה את ההוראה הבאה:</w:t>
      </w:r>
    </w:p>
    <w:p w:rsidR="005366A8" w:rsidRPr="00917C23" w:rsidRDefault="005366A8" w:rsidP="005366A8">
      <w:pPr>
        <w:spacing w:after="60"/>
        <w:ind w:left="1422" w:hanging="59"/>
        <w:rPr>
          <w:rFonts w:cs="David"/>
          <w:sz w:val="20"/>
          <w:szCs w:val="20"/>
          <w:rtl/>
        </w:rPr>
      </w:pPr>
      <w:r w:rsidRPr="00917C23">
        <w:rPr>
          <w:rFonts w:cs="David"/>
          <w:sz w:val="20"/>
          <w:szCs w:val="20"/>
          <w:rtl/>
        </w:rPr>
        <w:t xml:space="preserve">6א. (1) ראש העיריה יהיה רשאי ליתן רשיון לפתיחת בית עסק או בית עינוג למרות האמור בחוק עזר זה, אם ראה שיש ענין ציבורי בכך. </w:t>
      </w:r>
    </w:p>
    <w:p w:rsidR="005366A8" w:rsidRPr="00917C23" w:rsidRDefault="005366A8" w:rsidP="005366A8">
      <w:pPr>
        <w:spacing w:after="60"/>
        <w:ind w:left="1422" w:hanging="59"/>
        <w:rPr>
          <w:rFonts w:cs="David"/>
          <w:sz w:val="20"/>
          <w:szCs w:val="20"/>
          <w:rtl/>
        </w:rPr>
      </w:pPr>
      <w:r w:rsidRPr="00917C23">
        <w:rPr>
          <w:rFonts w:cs="David"/>
          <w:sz w:val="20"/>
          <w:szCs w:val="20"/>
          <w:rtl/>
        </w:rPr>
        <w:t xml:space="preserve">(2) ראש העיריה רשאי - </w:t>
      </w:r>
    </w:p>
    <w:p w:rsidR="005366A8" w:rsidRPr="00917C23" w:rsidRDefault="005366A8" w:rsidP="005366A8">
      <w:pPr>
        <w:spacing w:after="60"/>
        <w:ind w:left="2071" w:hanging="59"/>
        <w:rPr>
          <w:rFonts w:cs="David"/>
          <w:sz w:val="20"/>
          <w:szCs w:val="20"/>
          <w:rtl/>
        </w:rPr>
      </w:pPr>
      <w:r w:rsidRPr="00917C23">
        <w:rPr>
          <w:rFonts w:cs="David"/>
          <w:sz w:val="20"/>
          <w:szCs w:val="20"/>
          <w:rtl/>
        </w:rPr>
        <w:t xml:space="preserve">(א) להתנות תנאים ברשיון בעת נתינתו ולהוסיף עליהם. </w:t>
      </w:r>
    </w:p>
    <w:p w:rsidR="005366A8" w:rsidRPr="00917C23" w:rsidRDefault="005366A8" w:rsidP="005366A8">
      <w:pPr>
        <w:spacing w:after="60"/>
        <w:ind w:left="2071" w:hanging="59"/>
        <w:rPr>
          <w:rFonts w:cs="David"/>
          <w:sz w:val="20"/>
          <w:szCs w:val="20"/>
          <w:rtl/>
        </w:rPr>
      </w:pPr>
      <w:r w:rsidRPr="00917C23">
        <w:rPr>
          <w:rFonts w:cs="David"/>
          <w:sz w:val="20"/>
          <w:szCs w:val="20"/>
          <w:rtl/>
        </w:rPr>
        <w:t xml:space="preserve">(ב) לסרב לתת רשיון. </w:t>
      </w:r>
    </w:p>
    <w:p w:rsidR="005366A8" w:rsidRPr="00917C23" w:rsidRDefault="005366A8" w:rsidP="005366A8">
      <w:pPr>
        <w:spacing w:after="60"/>
        <w:ind w:left="2013"/>
        <w:rPr>
          <w:rFonts w:cs="FrankRuehl"/>
          <w:rtl/>
        </w:rPr>
      </w:pPr>
      <w:r w:rsidRPr="00917C23">
        <w:rPr>
          <w:rFonts w:cs="David"/>
          <w:sz w:val="20"/>
          <w:szCs w:val="20"/>
          <w:rtl/>
        </w:rPr>
        <w:t>(ג) לבטל רשיון אם לא נתמלאו התנאים שנקבעו בו</w:t>
      </w:r>
      <w:r w:rsidRPr="00917C23">
        <w:rPr>
          <w:sz w:val="20"/>
          <w:szCs w:val="20"/>
          <w:rtl/>
        </w:rPr>
        <w:t>.</w:t>
      </w:r>
    </w:p>
    <w:p w:rsidR="005366A8" w:rsidRPr="00917C23" w:rsidRDefault="005366A8" w:rsidP="005366A8">
      <w:pPr>
        <w:spacing w:after="60"/>
        <w:ind w:left="720"/>
        <w:rPr>
          <w:rFonts w:cs="FrankRuehl"/>
          <w:rtl/>
        </w:rPr>
      </w:pPr>
      <w:r w:rsidRPr="00917C23">
        <w:rPr>
          <w:rFonts w:cs="FrankRuehl" w:hint="cs"/>
          <w:highlight w:val="yellow"/>
          <w:rtl/>
        </w:rPr>
        <w:t>..</w:t>
      </w:r>
      <w:r w:rsidRPr="00917C23">
        <w:rPr>
          <w:rFonts w:cs="FrankRuehl"/>
          <w:highlight w:val="yellow"/>
          <w:rtl/>
        </w:rPr>
        <w:t>. מלשון התיקון עולה, כי שיקול הדעת, אם יש או אין "ענין ציבורי" במתן רישיון "למרות האמור" בחוק העזר הקיים, נמסר כל כולו לראש העיר. התוצאה המעשית העולה מכך היא, שעל יסוד הסמכה זו יכול ראש העיר לחולל שינויים יסודיים ביותר בחוק העזר הקיים, וזו האצלה כה גורפת, אשר לפי שום קנה מידה הגיוני אינה עשויה להוות סטייה מותרת מעקרון היסוד, לפיו אסור למועצה בישראל להעביר לאחר את סמכויותיה התחיקתיות. ההלכה הפסוקה היא, כי בהתייחסות לס</w:t>
      </w:r>
      <w:r w:rsidRPr="00917C23">
        <w:rPr>
          <w:rFonts w:cs="FrankRuehl" w:hint="cs"/>
          <w:highlight w:val="yellow"/>
          <w:rtl/>
        </w:rPr>
        <w:t>מ</w:t>
      </w:r>
      <w:r w:rsidRPr="00917C23">
        <w:rPr>
          <w:rFonts w:cs="FrankRuehl"/>
          <w:highlight w:val="yellow"/>
          <w:rtl/>
        </w:rPr>
        <w:t xml:space="preserve">כויות המינהל אין לבחון את הפראקטיקה הנוכחית אלא את היקפה הפוטנציאלי של הסמכות. </w:t>
      </w:r>
      <w:r w:rsidRPr="00917C23">
        <w:rPr>
          <w:rFonts w:cs="FrankRuehl" w:hint="cs"/>
          <w:highlight w:val="yellow"/>
          <w:rtl/>
        </w:rPr>
        <w:t>...</w:t>
      </w:r>
      <w:r w:rsidRPr="00917C23">
        <w:rPr>
          <w:rFonts w:cs="FrankRuehl"/>
          <w:highlight w:val="yellow"/>
          <w:rtl/>
        </w:rPr>
        <w:t>חוק העזר הקיים דן כל כולו, או לפחות רובו ככולו, בשעות פתיחה ובמועדים, ואילו לפי התיקון הוסמך ראש העיר (אם ראה בכך עניין ציבורי) לשנות את כולם</w:t>
      </w:r>
      <w:r w:rsidRPr="00917C23">
        <w:rPr>
          <w:rFonts w:cs="FrankRuehl"/>
          <w:rtl/>
        </w:rPr>
        <w:t xml:space="preserve">. </w:t>
      </w:r>
    </w:p>
    <w:p w:rsidR="005366A8" w:rsidRPr="00917C23" w:rsidRDefault="005366A8" w:rsidP="005366A8">
      <w:pPr>
        <w:spacing w:after="60"/>
        <w:ind w:left="720"/>
        <w:rPr>
          <w:rFonts w:cs="FrankRuehl"/>
        </w:rPr>
      </w:pPr>
      <w:r w:rsidRPr="00917C23">
        <w:rPr>
          <w:rFonts w:cs="FrankRuehl"/>
          <w:rtl/>
        </w:rPr>
        <w:t xml:space="preserve">זאת ועוד, </w:t>
      </w:r>
      <w:r w:rsidRPr="00917C23">
        <w:rPr>
          <w:rFonts w:cs="FrankRuehl"/>
          <w:highlight w:val="yellow"/>
          <w:rtl/>
        </w:rPr>
        <w:t>מהטיעון לפנינו ברור, שהמטרה העיקרית ביסוד התיקון המוצע הייתה לאפשר לראש העיר להעניק לבית הקולנוע "היכל" היתר להציג סרטים בפני קהל צופים בלילות שבת ומועד, "למרות האמור" בסעיף 4(א) לחוק העזר הקיים.</w:t>
      </w:r>
      <w:r w:rsidRPr="00917C23">
        <w:rPr>
          <w:rFonts w:cs="FrankRuehl" w:hint="cs"/>
          <w:highlight w:val="yellow"/>
          <w:rtl/>
        </w:rPr>
        <w:t xml:space="preserve"> </w:t>
      </w:r>
      <w:r w:rsidRPr="00917C23">
        <w:rPr>
          <w:rFonts w:cs="FrankRuehl"/>
          <w:highlight w:val="yellow"/>
          <w:rtl/>
        </w:rPr>
        <w:t xml:space="preserve">השאלה, אם להרשות פתיחת קולנוע בשבת, היא שאלה, שהדעות לגביה בקרב הציבור, לרבות בעיר פתח-תקוה, עשויות להיות חלוקות. </w:t>
      </w:r>
      <w:r w:rsidRPr="00917C23">
        <w:rPr>
          <w:rFonts w:cs="FrankRuehl" w:hint="cs"/>
          <w:highlight w:val="yellow"/>
          <w:rtl/>
        </w:rPr>
        <w:t>...</w:t>
      </w:r>
      <w:r w:rsidRPr="00917C23">
        <w:rPr>
          <w:rFonts w:cs="FrankRuehl"/>
          <w:highlight w:val="yellow"/>
          <w:rtl/>
        </w:rPr>
        <w:t xml:space="preserve"> כלום בבעיה של מדיניות ובנושא רגיש כזה אין</w:t>
      </w:r>
      <w:r w:rsidRPr="00917C23">
        <w:rPr>
          <w:rFonts w:cs="FrankRuehl"/>
          <w:highlight w:val="yellow"/>
        </w:rPr>
        <w:t xml:space="preserve"> </w:t>
      </w:r>
      <w:r w:rsidRPr="00917C23">
        <w:rPr>
          <w:rFonts w:cs="FrankRuehl"/>
          <w:highlight w:val="yellow"/>
          <w:rtl/>
        </w:rPr>
        <w:t>לחייב את מועצת העירייה עצמה לדון, שהרי היא הגוף הנבחר של תושבי המקום ועל-כן מייצגת בהרכבה את הדעות וההשקפות השונות בקרב ציבור זה</w:t>
      </w:r>
      <w:r w:rsidRPr="00917C23">
        <w:rPr>
          <w:rFonts w:cs="FrankRuehl"/>
        </w:rPr>
        <w:t>.</w:t>
      </w:r>
    </w:p>
    <w:p w:rsidR="005366A8" w:rsidRPr="00917C23" w:rsidRDefault="005366A8" w:rsidP="005366A8">
      <w:pPr>
        <w:spacing w:after="60"/>
        <w:ind w:hanging="59"/>
        <w:rPr>
          <w:sz w:val="22"/>
          <w:szCs w:val="22"/>
          <w:rtl/>
        </w:rPr>
      </w:pPr>
    </w:p>
    <w:p w:rsidR="005366A8" w:rsidRPr="00917C23" w:rsidRDefault="005366A8" w:rsidP="005366A8">
      <w:pPr>
        <w:spacing w:after="60"/>
        <w:rPr>
          <w:b/>
          <w:bCs/>
          <w:sz w:val="22"/>
          <w:szCs w:val="22"/>
          <w:rtl/>
        </w:rPr>
      </w:pPr>
      <w:r w:rsidRPr="00917C23">
        <w:rPr>
          <w:rFonts w:hint="cs"/>
          <w:b/>
          <w:bCs/>
          <w:sz w:val="22"/>
          <w:szCs w:val="22"/>
          <w:rtl/>
        </w:rPr>
        <w:t xml:space="preserve">התשובה כאן על כן ברורה למדי (בכפוף לאותה הנחה שיכלתם להניח) </w:t>
      </w:r>
      <w:r w:rsidRPr="00917C23">
        <w:rPr>
          <w:b/>
          <w:bCs/>
          <w:sz w:val="22"/>
          <w:szCs w:val="22"/>
          <w:rtl/>
        </w:rPr>
        <w:t>–</w:t>
      </w:r>
      <w:r w:rsidRPr="00917C23">
        <w:rPr>
          <w:rFonts w:hint="cs"/>
          <w:b/>
          <w:bCs/>
          <w:sz w:val="22"/>
          <w:szCs w:val="22"/>
          <w:rtl/>
        </w:rPr>
        <w:t xml:space="preserve"> מועצת העיר לא הייתה מוסמכת לאצול סמכות </w:t>
      </w:r>
      <w:r>
        <w:rPr>
          <w:rFonts w:hint="cs"/>
          <w:b/>
          <w:bCs/>
          <w:sz w:val="22"/>
          <w:szCs w:val="22"/>
          <w:rtl/>
        </w:rPr>
        <w:t xml:space="preserve">תחיקתית </w:t>
      </w:r>
      <w:r w:rsidRPr="00917C23">
        <w:rPr>
          <w:rFonts w:hint="cs"/>
          <w:b/>
          <w:bCs/>
          <w:sz w:val="22"/>
          <w:szCs w:val="22"/>
          <w:rtl/>
        </w:rPr>
        <w:t xml:space="preserve">זו, </w:t>
      </w:r>
      <w:r>
        <w:rPr>
          <w:rFonts w:hint="cs"/>
          <w:b/>
          <w:bCs/>
          <w:sz w:val="22"/>
          <w:szCs w:val="22"/>
          <w:rtl/>
        </w:rPr>
        <w:t xml:space="preserve">ודאי לא ביחס </w:t>
      </w:r>
      <w:r w:rsidRPr="00917C23">
        <w:rPr>
          <w:b/>
          <w:bCs/>
          <w:sz w:val="22"/>
          <w:szCs w:val="22"/>
          <w:rtl/>
        </w:rPr>
        <w:t>ל"נושאים רגישים של יחסים בין-קהילתיים בעיר"</w:t>
      </w:r>
      <w:r>
        <w:rPr>
          <w:rFonts w:hint="cs"/>
          <w:b/>
          <w:bCs/>
          <w:sz w:val="22"/>
          <w:szCs w:val="22"/>
          <w:rtl/>
        </w:rPr>
        <w:t xml:space="preserve"> [</w:t>
      </w:r>
      <w:r w:rsidRPr="00917C23">
        <w:rPr>
          <w:rFonts w:hint="cs"/>
          <w:b/>
          <w:bCs/>
          <w:sz w:val="22"/>
          <w:szCs w:val="22"/>
          <w:rtl/>
        </w:rPr>
        <w:t>ו</w:t>
      </w:r>
      <w:r>
        <w:rPr>
          <w:rFonts w:hint="cs"/>
          <w:b/>
          <w:bCs/>
          <w:sz w:val="22"/>
          <w:szCs w:val="22"/>
          <w:rtl/>
        </w:rPr>
        <w:t xml:space="preserve">לפיכך </w:t>
      </w:r>
      <w:r w:rsidRPr="00917C23">
        <w:rPr>
          <w:rFonts w:hint="cs"/>
          <w:b/>
          <w:bCs/>
          <w:sz w:val="22"/>
          <w:szCs w:val="22"/>
          <w:rtl/>
        </w:rPr>
        <w:t>הסמכות שהפעיל ראש העיר</w:t>
      </w:r>
      <w:r>
        <w:rPr>
          <w:rFonts w:hint="cs"/>
          <w:b/>
          <w:bCs/>
          <w:sz w:val="22"/>
          <w:szCs w:val="22"/>
          <w:rtl/>
        </w:rPr>
        <w:t xml:space="preserve"> מכוח אותה 'האצלה'</w:t>
      </w:r>
      <w:r w:rsidRPr="00917C23">
        <w:rPr>
          <w:rFonts w:hint="cs"/>
          <w:b/>
          <w:bCs/>
          <w:sz w:val="22"/>
          <w:szCs w:val="22"/>
          <w:rtl/>
        </w:rPr>
        <w:t xml:space="preserve"> </w:t>
      </w:r>
      <w:r w:rsidRPr="00917C23">
        <w:rPr>
          <w:b/>
          <w:bCs/>
          <w:sz w:val="22"/>
          <w:szCs w:val="22"/>
          <w:rtl/>
        </w:rPr>
        <w:t>–</w:t>
      </w:r>
      <w:r w:rsidRPr="00917C23">
        <w:rPr>
          <w:rFonts w:hint="cs"/>
          <w:b/>
          <w:bCs/>
          <w:sz w:val="22"/>
          <w:szCs w:val="22"/>
          <w:rtl/>
        </w:rPr>
        <w:t xml:space="preserve"> </w:t>
      </w:r>
      <w:r>
        <w:rPr>
          <w:rFonts w:hint="cs"/>
          <w:b/>
          <w:bCs/>
          <w:sz w:val="22"/>
          <w:szCs w:val="22"/>
          <w:rtl/>
        </w:rPr>
        <w:t>התקנת</w:t>
      </w:r>
      <w:r w:rsidRPr="00917C23">
        <w:rPr>
          <w:rFonts w:hint="cs"/>
          <w:b/>
          <w:bCs/>
          <w:sz w:val="22"/>
          <w:szCs w:val="22"/>
          <w:rtl/>
        </w:rPr>
        <w:t xml:space="preserve"> חוק-העזר </w:t>
      </w:r>
      <w:r w:rsidRPr="00917C23">
        <w:rPr>
          <w:b/>
          <w:bCs/>
          <w:sz w:val="22"/>
          <w:szCs w:val="22"/>
          <w:rtl/>
        </w:rPr>
        <w:t>–</w:t>
      </w:r>
      <w:r w:rsidRPr="00917C23">
        <w:rPr>
          <w:rFonts w:hint="cs"/>
          <w:b/>
          <w:bCs/>
          <w:sz w:val="22"/>
          <w:szCs w:val="22"/>
          <w:rtl/>
        </w:rPr>
        <w:t xml:space="preserve"> לא הייתה תקפה</w:t>
      </w:r>
      <w:r>
        <w:rPr>
          <w:rFonts w:hint="cs"/>
          <w:b/>
          <w:bCs/>
          <w:sz w:val="22"/>
          <w:szCs w:val="22"/>
          <w:rtl/>
        </w:rPr>
        <w:t>]</w:t>
      </w:r>
      <w:r w:rsidRPr="00917C23">
        <w:rPr>
          <w:rFonts w:hint="cs"/>
          <w:b/>
          <w:bCs/>
          <w:sz w:val="22"/>
          <w:szCs w:val="22"/>
          <w:rtl/>
        </w:rPr>
        <w:t>.</w:t>
      </w:r>
    </w:p>
    <w:p w:rsidR="005366A8" w:rsidRPr="00917C23" w:rsidRDefault="005366A8" w:rsidP="005366A8">
      <w:pPr>
        <w:spacing w:after="60"/>
        <w:rPr>
          <w:sz w:val="22"/>
          <w:szCs w:val="22"/>
          <w:rtl/>
        </w:rPr>
      </w:pPr>
    </w:p>
    <w:p w:rsidR="005366A8" w:rsidRPr="00917C23" w:rsidRDefault="005366A8" w:rsidP="005366A8">
      <w:pPr>
        <w:spacing w:after="60"/>
        <w:rPr>
          <w:sz w:val="22"/>
          <w:szCs w:val="22"/>
          <w:rtl/>
        </w:rPr>
      </w:pPr>
      <w:r w:rsidRPr="00917C23">
        <w:rPr>
          <w:rFonts w:hint="cs"/>
          <w:sz w:val="22"/>
          <w:szCs w:val="22"/>
          <w:rtl/>
        </w:rPr>
        <w:t>ב. ראש העיר מתקין את</w:t>
      </w:r>
      <w:r w:rsidRPr="00917C23">
        <w:rPr>
          <w:sz w:val="22"/>
          <w:szCs w:val="22"/>
          <w:rtl/>
        </w:rPr>
        <w:t xml:space="preserve"> </w:t>
      </w:r>
      <w:r w:rsidRPr="00917C23">
        <w:rPr>
          <w:rFonts w:cs="David"/>
          <w:b/>
          <w:bCs/>
          <w:sz w:val="22"/>
          <w:szCs w:val="22"/>
          <w:rtl/>
        </w:rPr>
        <w:t xml:space="preserve">חוק עזר גפן: </w:t>
      </w:r>
      <w:r w:rsidRPr="00917C23">
        <w:rPr>
          <w:rFonts w:cs="David" w:hint="cs"/>
          <w:b/>
          <w:bCs/>
          <w:sz w:val="22"/>
          <w:szCs w:val="22"/>
          <w:rtl/>
        </w:rPr>
        <w:t>סיירת</w:t>
      </w:r>
      <w:r w:rsidRPr="00917C23">
        <w:rPr>
          <w:rFonts w:cs="David"/>
          <w:b/>
          <w:bCs/>
          <w:sz w:val="22"/>
          <w:szCs w:val="22"/>
          <w:rtl/>
        </w:rPr>
        <w:t xml:space="preserve"> מתנדבים עירונים</w:t>
      </w:r>
      <w:r w:rsidRPr="00917C23">
        <w:rPr>
          <w:rFonts w:cs="David" w:hint="cs"/>
          <w:b/>
          <w:bCs/>
          <w:sz w:val="22"/>
          <w:szCs w:val="22"/>
          <w:rtl/>
        </w:rPr>
        <w:t xml:space="preserve"> ושמירת אופייה הקהילתי של העיר וביטחון תושביה, התשע"א-2011</w:t>
      </w:r>
      <w:r w:rsidRPr="00917C23">
        <w:rPr>
          <w:rFonts w:cs="David" w:hint="cs"/>
          <w:sz w:val="22"/>
          <w:szCs w:val="22"/>
          <w:rtl/>
        </w:rPr>
        <w:t xml:space="preserve"> [להלן: חוק עזר: סיירת מתנדבים]</w:t>
      </w:r>
      <w:r w:rsidRPr="00917C23">
        <w:rPr>
          <w:rFonts w:cs="David"/>
          <w:sz w:val="22"/>
          <w:szCs w:val="22"/>
          <w:rtl/>
        </w:rPr>
        <w:t>.</w:t>
      </w:r>
      <w:r w:rsidRPr="00917C23">
        <w:rPr>
          <w:sz w:val="22"/>
          <w:szCs w:val="22"/>
          <w:rtl/>
        </w:rPr>
        <w:t xml:space="preserve">  אחד מסעיפי חוק העזר קובע לאמור:</w:t>
      </w:r>
    </w:p>
    <w:p w:rsidR="005366A8" w:rsidRPr="00917C23" w:rsidRDefault="005366A8" w:rsidP="005366A8">
      <w:pPr>
        <w:spacing w:after="60"/>
        <w:ind w:left="720"/>
        <w:rPr>
          <w:rFonts w:cs="David"/>
          <w:sz w:val="22"/>
          <w:szCs w:val="22"/>
          <w:rtl/>
        </w:rPr>
      </w:pPr>
      <w:r w:rsidRPr="00917C23">
        <w:rPr>
          <w:rFonts w:cs="David"/>
          <w:sz w:val="22"/>
          <w:szCs w:val="22"/>
          <w:rtl/>
        </w:rPr>
        <w:t xml:space="preserve">בסמכותם של </w:t>
      </w:r>
      <w:r w:rsidRPr="00917C23">
        <w:rPr>
          <w:rFonts w:cs="David" w:hint="cs"/>
          <w:sz w:val="22"/>
          <w:szCs w:val="22"/>
          <w:rtl/>
        </w:rPr>
        <w:t>הסיירים</w:t>
      </w:r>
      <w:r w:rsidRPr="00917C23">
        <w:rPr>
          <w:rFonts w:cs="David"/>
          <w:sz w:val="22"/>
          <w:szCs w:val="22"/>
          <w:rtl/>
        </w:rPr>
        <w:t xml:space="preserve"> המתנדבים ל</w:t>
      </w:r>
      <w:r w:rsidRPr="00917C23">
        <w:rPr>
          <w:rFonts w:cs="David" w:hint="cs"/>
          <w:sz w:val="22"/>
          <w:szCs w:val="22"/>
          <w:rtl/>
        </w:rPr>
        <w:t>בדוק את זהותם של הנכנסים, ולמנוע כניסתם לעיר של מי שאינם תושביה, בין חצות הליל והשעה חמש לפנות בוקר.</w:t>
      </w:r>
      <w:r w:rsidRPr="00917C23">
        <w:rPr>
          <w:rFonts w:cs="David"/>
          <w:sz w:val="22"/>
          <w:szCs w:val="22"/>
          <w:rtl/>
        </w:rPr>
        <w:t xml:space="preserve"> </w:t>
      </w:r>
    </w:p>
    <w:p w:rsidR="005366A8" w:rsidRPr="00917C23" w:rsidRDefault="005366A8" w:rsidP="005366A8">
      <w:pPr>
        <w:spacing w:after="60"/>
        <w:rPr>
          <w:sz w:val="22"/>
          <w:szCs w:val="22"/>
          <w:rtl/>
        </w:rPr>
      </w:pPr>
      <w:r w:rsidRPr="00917C23">
        <w:rPr>
          <w:rFonts w:hint="cs"/>
          <w:sz w:val="22"/>
          <w:szCs w:val="22"/>
          <w:rtl/>
        </w:rPr>
        <w:t xml:space="preserve">מה תוקפו של חוק-העזר?  </w:t>
      </w:r>
      <w:r w:rsidRPr="00917C23">
        <w:rPr>
          <w:rFonts w:hint="cs"/>
          <w:b/>
          <w:bCs/>
          <w:sz w:val="22"/>
          <w:szCs w:val="22"/>
          <w:rtl/>
        </w:rPr>
        <w:t xml:space="preserve">האם לא נפלו בו פגמים קשים נוספים, מעבר לבעיה שכבר פגשנו </w:t>
      </w:r>
      <w:r w:rsidRPr="00917C23">
        <w:rPr>
          <w:b/>
          <w:bCs/>
          <w:sz w:val="22"/>
          <w:szCs w:val="22"/>
          <w:rtl/>
        </w:rPr>
        <w:t>–</w:t>
      </w:r>
      <w:r w:rsidRPr="00917C23">
        <w:rPr>
          <w:rFonts w:hint="cs"/>
          <w:b/>
          <w:bCs/>
          <w:sz w:val="22"/>
          <w:szCs w:val="22"/>
          <w:rtl/>
        </w:rPr>
        <w:t xml:space="preserve"> העדר סמכותו של ראש העיר להתקינו?</w:t>
      </w:r>
      <w:r w:rsidRPr="00917C23">
        <w:rPr>
          <w:rFonts w:hint="cs"/>
          <w:sz w:val="22"/>
          <w:szCs w:val="22"/>
          <w:rtl/>
        </w:rPr>
        <w:t xml:space="preserve">  </w:t>
      </w:r>
      <w:r>
        <w:rPr>
          <w:rFonts w:hint="cs"/>
          <w:sz w:val="22"/>
          <w:szCs w:val="22"/>
          <w:rtl/>
        </w:rPr>
        <w:t xml:space="preserve">התשובה היא, כי </w:t>
      </w:r>
      <w:r w:rsidRPr="00917C23">
        <w:rPr>
          <w:rFonts w:hint="cs"/>
          <w:sz w:val="22"/>
          <w:szCs w:val="22"/>
          <w:rtl/>
        </w:rPr>
        <w:t>מתעוררות כאן בעיות מגוונות:</w:t>
      </w:r>
    </w:p>
    <w:p w:rsidR="005366A8" w:rsidRPr="00917C23" w:rsidRDefault="005366A8" w:rsidP="005366A8">
      <w:pPr>
        <w:spacing w:after="60"/>
        <w:rPr>
          <w:sz w:val="22"/>
          <w:szCs w:val="22"/>
          <w:rtl/>
        </w:rPr>
      </w:pPr>
      <w:r w:rsidRPr="00917C23">
        <w:rPr>
          <w:rFonts w:hint="cs"/>
          <w:sz w:val="22"/>
          <w:szCs w:val="22"/>
          <w:rtl/>
        </w:rPr>
        <w:t xml:space="preserve">(1). חוק העזר פוגע בזכויות יסוד חשובות.  </w:t>
      </w:r>
    </w:p>
    <w:p w:rsidR="005366A8" w:rsidRPr="00917C23" w:rsidRDefault="005366A8" w:rsidP="005366A8">
      <w:pPr>
        <w:spacing w:after="60"/>
        <w:rPr>
          <w:sz w:val="22"/>
          <w:szCs w:val="22"/>
          <w:rtl/>
        </w:rPr>
      </w:pPr>
      <w:r w:rsidRPr="00917C23">
        <w:rPr>
          <w:rFonts w:hint="cs"/>
          <w:b/>
          <w:bCs/>
          <w:sz w:val="22"/>
          <w:szCs w:val="22"/>
          <w:rtl/>
        </w:rPr>
        <w:t>הזכות לפרטיות</w:t>
      </w:r>
      <w:r w:rsidRPr="00917C23">
        <w:rPr>
          <w:rFonts w:hint="cs"/>
          <w:sz w:val="22"/>
          <w:szCs w:val="22"/>
          <w:rtl/>
        </w:rPr>
        <w:t xml:space="preserve"> נפגעת משנדרש אדם להציג תעודת זהות ובה פרטים שונים, או משנערכת בדיקה אחרת/ תשאול ביחס למקום תושבותו; וכן נפגעת כאן כמובן </w:t>
      </w:r>
      <w:r w:rsidRPr="00917C23">
        <w:rPr>
          <w:rFonts w:hint="cs"/>
          <w:b/>
          <w:bCs/>
          <w:sz w:val="22"/>
          <w:szCs w:val="22"/>
          <w:rtl/>
        </w:rPr>
        <w:t>הזכות לחופש תנועה</w:t>
      </w:r>
      <w:r w:rsidRPr="00917C23">
        <w:rPr>
          <w:rFonts w:hint="cs"/>
          <w:sz w:val="22"/>
          <w:szCs w:val="22"/>
          <w:rtl/>
        </w:rPr>
        <w:t xml:space="preserve">.  </w:t>
      </w:r>
      <w:r>
        <w:rPr>
          <w:rFonts w:hint="cs"/>
          <w:sz w:val="22"/>
          <w:szCs w:val="22"/>
          <w:rtl/>
        </w:rPr>
        <w:t xml:space="preserve">יתר על כן, כאשר אדם מודע לטעם הבדיקה </w:t>
      </w:r>
      <w:r>
        <w:rPr>
          <w:sz w:val="22"/>
          <w:szCs w:val="22"/>
          <w:rtl/>
        </w:rPr>
        <w:t>–</w:t>
      </w:r>
      <w:r>
        <w:rPr>
          <w:rFonts w:hint="cs"/>
          <w:sz w:val="22"/>
          <w:szCs w:val="22"/>
          <w:rtl/>
        </w:rPr>
        <w:t xml:space="preserve"> הרחקתו כערבי מן "העיר היהודית" </w:t>
      </w:r>
      <w:r>
        <w:rPr>
          <w:sz w:val="22"/>
          <w:szCs w:val="22"/>
          <w:rtl/>
        </w:rPr>
        <w:t>–</w:t>
      </w:r>
      <w:r>
        <w:rPr>
          <w:rFonts w:hint="cs"/>
          <w:sz w:val="22"/>
          <w:szCs w:val="22"/>
          <w:rtl/>
        </w:rPr>
        <w:t xml:space="preserve"> מתעוררת בעיה ממשית של פגיעה </w:t>
      </w:r>
      <w:r w:rsidRPr="00496FC7">
        <w:rPr>
          <w:rFonts w:hint="cs"/>
          <w:b/>
          <w:bCs/>
          <w:sz w:val="22"/>
          <w:szCs w:val="22"/>
          <w:rtl/>
        </w:rPr>
        <w:t>בזכות ל"כבוד האדם"</w:t>
      </w:r>
      <w:r>
        <w:rPr>
          <w:rFonts w:hint="cs"/>
          <w:sz w:val="22"/>
          <w:szCs w:val="22"/>
          <w:rtl/>
        </w:rPr>
        <w:t>.</w:t>
      </w:r>
    </w:p>
    <w:p w:rsidR="005366A8" w:rsidRPr="00037F5B" w:rsidRDefault="005366A8" w:rsidP="005366A8">
      <w:pPr>
        <w:spacing w:after="60"/>
        <w:rPr>
          <w:sz w:val="22"/>
          <w:szCs w:val="22"/>
          <w:highlight w:val="yellow"/>
          <w:rtl/>
        </w:rPr>
      </w:pPr>
      <w:r w:rsidRPr="00037F5B">
        <w:rPr>
          <w:rFonts w:hint="cs"/>
          <w:sz w:val="22"/>
          <w:szCs w:val="22"/>
          <w:highlight w:val="yellow"/>
          <w:rtl/>
        </w:rPr>
        <w:t xml:space="preserve">האם מדובר בזכויות המוגנות חוקתית?  </w:t>
      </w:r>
      <w:r w:rsidRPr="00037F5B">
        <w:rPr>
          <w:rFonts w:hint="cs"/>
          <w:sz w:val="22"/>
          <w:szCs w:val="22"/>
          <w:highlight w:val="yellow"/>
          <w:u w:val="single"/>
          <w:rtl/>
        </w:rPr>
        <w:t xml:space="preserve">לו היינו ניצבים בפני תקיפה של הוראת </w:t>
      </w:r>
      <w:r w:rsidRPr="00037F5B">
        <w:rPr>
          <w:rFonts w:hint="cs"/>
          <w:b/>
          <w:bCs/>
          <w:i/>
          <w:iCs/>
          <w:sz w:val="22"/>
          <w:szCs w:val="22"/>
          <w:highlight w:val="yellow"/>
          <w:u w:val="single"/>
          <w:rtl/>
        </w:rPr>
        <w:t>חוק</w:t>
      </w:r>
      <w:r w:rsidRPr="00037F5B">
        <w:rPr>
          <w:rFonts w:hint="cs"/>
          <w:sz w:val="22"/>
          <w:szCs w:val="22"/>
          <w:highlight w:val="yellow"/>
          <w:u w:val="single"/>
          <w:rtl/>
        </w:rPr>
        <w:t>, שאלה זו הייתה חיונית לצורך התשובה</w:t>
      </w:r>
      <w:r w:rsidRPr="00037F5B">
        <w:rPr>
          <w:rFonts w:hint="cs"/>
          <w:sz w:val="22"/>
          <w:szCs w:val="22"/>
          <w:highlight w:val="yellow"/>
          <w:rtl/>
        </w:rPr>
        <w:t xml:space="preserve"> [הזכות לפרטיות מוגנת במפורש בחוק יסוד: כבוד האדם וחירותו; חופש התנועה בתוך ישראל לא מוגן במפורש; האם הוא לא מוגן, ולו ההיבטים מסוימים שלו, מכוח זכויות אחרות דוגמת "כבוד האדם"?  זו שאלה שלא דנו בה; ומופיעה גם פגיעה אפשרית ישירה בזכות לכבוד האדם, בשל טעם הבדיקה ונמעני המיון שאולי יש כאן].  </w:t>
      </w:r>
      <w:r w:rsidRPr="00037F5B">
        <w:rPr>
          <w:rFonts w:hint="cs"/>
          <w:b/>
          <w:bCs/>
          <w:sz w:val="22"/>
          <w:szCs w:val="22"/>
          <w:highlight w:val="yellow"/>
          <w:u w:val="single"/>
          <w:rtl/>
        </w:rPr>
        <w:t>ואולם הנקודה החשובה היא שכאן מדובר בתקיפת נורמה מסוג של חקיקת משנה</w:t>
      </w:r>
      <w:r w:rsidRPr="00037F5B">
        <w:rPr>
          <w:rFonts w:hint="cs"/>
          <w:b/>
          <w:bCs/>
          <w:sz w:val="22"/>
          <w:szCs w:val="22"/>
          <w:highlight w:val="yellow"/>
          <w:rtl/>
        </w:rPr>
        <w:t xml:space="preserve"> (= </w:t>
      </w:r>
      <w:r w:rsidRPr="00037F5B">
        <w:rPr>
          <w:rFonts w:hint="cs"/>
          <w:sz w:val="22"/>
          <w:szCs w:val="22"/>
          <w:highlight w:val="yellow"/>
          <w:rtl/>
        </w:rPr>
        <w:t>בענייננו,</w:t>
      </w:r>
      <w:r w:rsidRPr="00037F5B">
        <w:rPr>
          <w:rFonts w:hint="cs"/>
          <w:b/>
          <w:bCs/>
          <w:sz w:val="22"/>
          <w:szCs w:val="22"/>
          <w:highlight w:val="yellow"/>
          <w:rtl/>
        </w:rPr>
        <w:t xml:space="preserve"> חוק-עזר עירוני).</w:t>
      </w:r>
      <w:r w:rsidRPr="00037F5B">
        <w:rPr>
          <w:rFonts w:hint="cs"/>
          <w:sz w:val="22"/>
          <w:szCs w:val="22"/>
          <w:highlight w:val="yellow"/>
          <w:rtl/>
        </w:rPr>
        <w:t xml:space="preserve">  [במילים אחרות, חיקוק של הרשות המינהלית, להבדיל מהכנסת; ובענייננו, של רשות מקומית].  </w:t>
      </w:r>
    </w:p>
    <w:p w:rsidR="005366A8" w:rsidRDefault="005366A8" w:rsidP="005366A8">
      <w:pPr>
        <w:spacing w:after="60"/>
        <w:rPr>
          <w:sz w:val="22"/>
          <w:szCs w:val="22"/>
          <w:rtl/>
        </w:rPr>
      </w:pPr>
      <w:r w:rsidRPr="00037F5B">
        <w:rPr>
          <w:rFonts w:hint="cs"/>
          <w:sz w:val="22"/>
          <w:szCs w:val="22"/>
          <w:highlight w:val="yellow"/>
          <w:rtl/>
        </w:rPr>
        <w:t xml:space="preserve">נורמה זו (חוק העזר) מצויה בפירמידת הנורמות במקום הנמוך מרובד "המשפט המקובל נוסח ישראל" שהכיר ועיגן מכלול שלם של זכויות אזרח ואדם, ובתוך כך גם את חופש התנועה.  </w:t>
      </w:r>
      <w:r w:rsidRPr="00037F5B">
        <w:rPr>
          <w:rFonts w:hint="cs"/>
          <w:sz w:val="22"/>
          <w:szCs w:val="22"/>
          <w:highlight w:val="yellow"/>
          <w:u w:val="single"/>
          <w:rtl/>
        </w:rPr>
        <w:t>במילים אחרות, מעמדה החוקתי (דווקא) של הזכות לחופש תנועה אינה שאלה החיונית לביקורת השיפוטית על חקיקת משנה, שכן די במעמדה במסגרת המשפט המקובל נוסח ישראל</w:t>
      </w:r>
      <w:r w:rsidRPr="00037F5B">
        <w:rPr>
          <w:rFonts w:hint="cs"/>
          <w:sz w:val="22"/>
          <w:szCs w:val="22"/>
          <w:highlight w:val="yellow"/>
          <w:rtl/>
        </w:rPr>
        <w:t xml:space="preserve"> (שהוא גבוה, כאמור, מזה של חקיקת משנה).</w:t>
      </w:r>
      <w:r w:rsidRPr="00917C23">
        <w:rPr>
          <w:rFonts w:hint="cs"/>
          <w:sz w:val="22"/>
          <w:szCs w:val="22"/>
          <w:rtl/>
        </w:rPr>
        <w:t xml:space="preserve">  </w:t>
      </w:r>
    </w:p>
    <w:p w:rsidR="005366A8" w:rsidRPr="00496FC7" w:rsidRDefault="005366A8" w:rsidP="005366A8">
      <w:pPr>
        <w:spacing w:after="60"/>
        <w:rPr>
          <w:i/>
          <w:iCs/>
          <w:sz w:val="22"/>
          <w:szCs w:val="22"/>
          <w:rtl/>
        </w:rPr>
      </w:pPr>
      <w:r w:rsidRPr="00917C23">
        <w:rPr>
          <w:rFonts w:hint="cs"/>
          <w:sz w:val="22"/>
          <w:szCs w:val="22"/>
          <w:rtl/>
        </w:rPr>
        <w:t xml:space="preserve">אשר על כן, יש לעבור לשאלת התנאים לפגיעה שכזו בזכויות יסוד מכוח חקיקת משנה.  תנאים אלו מופיעים אף הם בעיקרם </w:t>
      </w:r>
      <w:r w:rsidRPr="00917C23">
        <w:rPr>
          <w:rFonts w:hint="cs"/>
          <w:b/>
          <w:bCs/>
          <w:sz w:val="22"/>
          <w:szCs w:val="22"/>
          <w:rtl/>
        </w:rPr>
        <w:t>בפסקת ההגבלה</w:t>
      </w:r>
      <w:r w:rsidRPr="00917C23">
        <w:rPr>
          <w:rFonts w:cs="David" w:hint="cs"/>
          <w:sz w:val="22"/>
          <w:szCs w:val="22"/>
          <w:rtl/>
        </w:rPr>
        <w:t>: "</w:t>
      </w:r>
      <w:r w:rsidRPr="00917C23">
        <w:rPr>
          <w:rFonts w:cs="David"/>
          <w:sz w:val="22"/>
          <w:szCs w:val="22"/>
          <w:rtl/>
        </w:rPr>
        <w:t xml:space="preserve">אין פוגעים בזכויות </w:t>
      </w:r>
      <w:r w:rsidRPr="00917C23">
        <w:rPr>
          <w:rFonts w:cs="David" w:hint="cs"/>
          <w:sz w:val="22"/>
          <w:szCs w:val="22"/>
          <w:rtl/>
        </w:rPr>
        <w:t>[אלה]</w:t>
      </w:r>
      <w:r w:rsidRPr="00917C23">
        <w:rPr>
          <w:rFonts w:cs="David"/>
          <w:sz w:val="22"/>
          <w:szCs w:val="22"/>
          <w:rtl/>
        </w:rPr>
        <w:t xml:space="preserve"> אלא בחוק ההולם את ערכיה של מדינת ישראל, שנועד לתכלית ראויה, ובמידה שאינה עולה על הנדרש או לפי חוק כאמור מכוח הסמכה מפורשת בו</w:t>
      </w:r>
      <w:r w:rsidRPr="00917C23">
        <w:rPr>
          <w:rFonts w:cs="David" w:hint="cs"/>
          <w:sz w:val="22"/>
          <w:szCs w:val="22"/>
          <w:rtl/>
        </w:rPr>
        <w:t>"</w:t>
      </w:r>
      <w:r w:rsidRPr="00917C23">
        <w:rPr>
          <w:rFonts w:cs="David"/>
          <w:sz w:val="22"/>
          <w:szCs w:val="22"/>
          <w:rtl/>
        </w:rPr>
        <w:t>.</w:t>
      </w:r>
      <w:r w:rsidRPr="00917C23">
        <w:rPr>
          <w:rFonts w:hint="cs"/>
          <w:sz w:val="22"/>
          <w:szCs w:val="22"/>
          <w:rtl/>
        </w:rPr>
        <w:t xml:space="preserve"> </w:t>
      </w:r>
      <w:r w:rsidRPr="00496FC7">
        <w:rPr>
          <w:rFonts w:hint="cs"/>
          <w:i/>
          <w:iCs/>
          <w:sz w:val="22"/>
          <w:szCs w:val="22"/>
          <w:highlight w:val="yellow"/>
          <w:rtl/>
        </w:rPr>
        <w:t>{ואולם אם אנו פונים גם כאן לפסקת ההגבלה, אז מה ההבדל בין תקיפה של חוק לבין תקיפה של חקיקת משנה</w:t>
      </w:r>
      <w:r>
        <w:rPr>
          <w:rFonts w:hint="cs"/>
          <w:i/>
          <w:iCs/>
          <w:sz w:val="22"/>
          <w:szCs w:val="22"/>
          <w:highlight w:val="yellow"/>
          <w:rtl/>
        </w:rPr>
        <w:t xml:space="preserve"> (ולענייננו, חוק עזר עירוני)</w:t>
      </w:r>
      <w:r w:rsidRPr="00496FC7">
        <w:rPr>
          <w:rFonts w:hint="cs"/>
          <w:i/>
          <w:iCs/>
          <w:sz w:val="22"/>
          <w:szCs w:val="22"/>
          <w:highlight w:val="yellow"/>
          <w:rtl/>
        </w:rPr>
        <w:t xml:space="preserve">? </w:t>
      </w:r>
      <w:r w:rsidRPr="00496FC7">
        <w:rPr>
          <w:i/>
          <w:iCs/>
          <w:sz w:val="22"/>
          <w:szCs w:val="22"/>
          <w:highlight w:val="yellow"/>
          <w:rtl/>
        </w:rPr>
        <w:t>–</w:t>
      </w:r>
      <w:r w:rsidRPr="00496FC7">
        <w:rPr>
          <w:rFonts w:hint="cs"/>
          <w:i/>
          <w:iCs/>
          <w:sz w:val="22"/>
          <w:szCs w:val="22"/>
          <w:highlight w:val="yellow"/>
          <w:rtl/>
        </w:rPr>
        <w:t xml:space="preserve"> דיון בכיתה}.</w:t>
      </w:r>
    </w:p>
    <w:p w:rsidR="005366A8" w:rsidRDefault="005366A8" w:rsidP="005366A8">
      <w:pPr>
        <w:spacing w:after="60"/>
        <w:rPr>
          <w:sz w:val="22"/>
          <w:szCs w:val="22"/>
          <w:rtl/>
        </w:rPr>
      </w:pPr>
      <w:r>
        <w:rPr>
          <w:rFonts w:hint="cs"/>
          <w:sz w:val="22"/>
          <w:szCs w:val="22"/>
          <w:rtl/>
        </w:rPr>
        <w:t xml:space="preserve">נחזור לעניין הפעלת פסקת ההגבלה על חוק העזר כאן. והנה נזכור, </w:t>
      </w:r>
      <w:r w:rsidRPr="00917C23">
        <w:rPr>
          <w:rFonts w:hint="cs"/>
          <w:sz w:val="22"/>
          <w:szCs w:val="22"/>
          <w:rtl/>
        </w:rPr>
        <w:t xml:space="preserve">כי כבר בפס"ד </w:t>
      </w:r>
      <w:r w:rsidRPr="00917C23">
        <w:rPr>
          <w:rFonts w:hint="cs"/>
          <w:b/>
          <w:bCs/>
          <w:sz w:val="22"/>
          <w:szCs w:val="22"/>
          <w:rtl/>
        </w:rPr>
        <w:t>בז'רנו</w:t>
      </w:r>
      <w:r w:rsidRPr="00917C23">
        <w:rPr>
          <w:rFonts w:hint="cs"/>
          <w:sz w:val="22"/>
          <w:szCs w:val="22"/>
          <w:rtl/>
        </w:rPr>
        <w:t xml:space="preserve">, מראשית שנות המדינה, פגשנו את הצורך בהסמכה בחקיקה ראשית [הסמכה בחוק או מכוח הסמכה מפורשת בו].  </w:t>
      </w:r>
      <w:r>
        <w:rPr>
          <w:rFonts w:hint="cs"/>
          <w:sz w:val="22"/>
          <w:szCs w:val="22"/>
          <w:rtl/>
        </w:rPr>
        <w:t xml:space="preserve">שאלה מרכזית לפיכך היא, </w:t>
      </w:r>
      <w:r w:rsidRPr="00917C23">
        <w:rPr>
          <w:rFonts w:hint="cs"/>
          <w:b/>
          <w:bCs/>
          <w:sz w:val="22"/>
          <w:szCs w:val="22"/>
          <w:rtl/>
        </w:rPr>
        <w:t xml:space="preserve">היש לנו הסמכה מפורשת של עירייה או של ראש עיר להגביל את הזכות לפרטיות או להגביל חופש תנועה דוגמת מה שנעשה כאן? </w:t>
      </w:r>
      <w:r w:rsidRPr="00917C23">
        <w:rPr>
          <w:rFonts w:hint="cs"/>
          <w:sz w:val="22"/>
          <w:szCs w:val="22"/>
          <w:rtl/>
        </w:rPr>
        <w:t>[</w:t>
      </w:r>
      <w:r>
        <w:rPr>
          <w:rFonts w:hint="cs"/>
          <w:sz w:val="22"/>
          <w:szCs w:val="22"/>
          <w:rtl/>
        </w:rPr>
        <w:t xml:space="preserve">אינכם מכירים את פקודת העיריות, ועל כן </w:t>
      </w:r>
      <w:r w:rsidRPr="00917C23">
        <w:rPr>
          <w:rFonts w:hint="cs"/>
          <w:sz w:val="22"/>
          <w:szCs w:val="22"/>
          <w:rtl/>
        </w:rPr>
        <w:t xml:space="preserve">נצרכה </w:t>
      </w:r>
      <w:r>
        <w:rPr>
          <w:rFonts w:hint="cs"/>
          <w:sz w:val="22"/>
          <w:szCs w:val="22"/>
          <w:rtl/>
        </w:rPr>
        <w:t xml:space="preserve">בבחינה </w:t>
      </w:r>
      <w:r w:rsidRPr="00917C23">
        <w:rPr>
          <w:rFonts w:hint="cs"/>
          <w:sz w:val="22"/>
          <w:szCs w:val="22"/>
          <w:rtl/>
        </w:rPr>
        <w:t>הנחה והנחה נגדית]</w:t>
      </w:r>
      <w:r>
        <w:rPr>
          <w:rFonts w:hint="cs"/>
          <w:sz w:val="22"/>
          <w:szCs w:val="22"/>
          <w:rtl/>
        </w:rPr>
        <w:t xml:space="preserve">. </w:t>
      </w:r>
    </w:p>
    <w:p w:rsidR="005366A8" w:rsidRPr="00917C23" w:rsidRDefault="005366A8" w:rsidP="005366A8">
      <w:pPr>
        <w:spacing w:after="60"/>
        <w:rPr>
          <w:sz w:val="22"/>
          <w:szCs w:val="22"/>
          <w:rtl/>
        </w:rPr>
      </w:pPr>
      <w:r>
        <w:rPr>
          <w:rFonts w:hint="cs"/>
          <w:sz w:val="22"/>
          <w:szCs w:val="22"/>
          <w:rtl/>
        </w:rPr>
        <w:t xml:space="preserve">הלאה בפסקת ההגבלה. </w:t>
      </w:r>
      <w:r w:rsidRPr="00917C23">
        <w:rPr>
          <w:rFonts w:hint="cs"/>
          <w:b/>
          <w:bCs/>
          <w:sz w:val="22"/>
          <w:szCs w:val="22"/>
          <w:rtl/>
        </w:rPr>
        <w:t>האם ההגבלה נעשית כאן "לתכלית ראויה"?</w:t>
      </w:r>
      <w:r w:rsidRPr="00917C23">
        <w:rPr>
          <w:rFonts w:hint="cs"/>
          <w:sz w:val="22"/>
          <w:szCs w:val="22"/>
          <w:rtl/>
        </w:rPr>
        <w:t xml:space="preserve">  את התכלית ניתן ללמוד מתוך הראיון בעיתון.  אם זו אכן התכלית</w:t>
      </w:r>
      <w:r>
        <w:rPr>
          <w:rFonts w:hint="cs"/>
          <w:sz w:val="22"/>
          <w:szCs w:val="22"/>
          <w:rtl/>
        </w:rPr>
        <w:t>,</w:t>
      </w:r>
      <w:r w:rsidRPr="00917C23">
        <w:rPr>
          <w:rFonts w:hint="cs"/>
          <w:sz w:val="22"/>
          <w:szCs w:val="22"/>
          <w:rtl/>
        </w:rPr>
        <w:t xml:space="preserve"> הרי שהיא פסולה.  תכלית זו נפסלה </w:t>
      </w:r>
      <w:r w:rsidRPr="00917C23">
        <w:rPr>
          <w:rFonts w:hint="cs"/>
          <w:b/>
          <w:bCs/>
          <w:sz w:val="22"/>
          <w:szCs w:val="22"/>
          <w:rtl/>
        </w:rPr>
        <w:t>בקעדאן</w:t>
      </w:r>
      <w:r w:rsidRPr="00917C23">
        <w:rPr>
          <w:rFonts w:hint="cs"/>
          <w:sz w:val="22"/>
          <w:szCs w:val="22"/>
          <w:rtl/>
        </w:rPr>
        <w:t xml:space="preserve"> ביחס למגורים בישוב, ומקל וחומר שהיא פסולה כטעם להגבלת תנועה/ביקור בתוך ישוב.</w:t>
      </w:r>
    </w:p>
    <w:p w:rsidR="005366A8" w:rsidRPr="00917C23" w:rsidRDefault="005366A8" w:rsidP="005366A8">
      <w:pPr>
        <w:spacing w:after="60"/>
        <w:rPr>
          <w:sz w:val="22"/>
          <w:szCs w:val="22"/>
          <w:rtl/>
        </w:rPr>
      </w:pPr>
      <w:r w:rsidRPr="00917C23">
        <w:rPr>
          <w:rFonts w:hint="cs"/>
          <w:sz w:val="22"/>
          <w:szCs w:val="22"/>
          <w:rtl/>
        </w:rPr>
        <w:t xml:space="preserve">{האם </w:t>
      </w:r>
      <w:r w:rsidRPr="00496FC7">
        <w:rPr>
          <w:rFonts w:hint="cs"/>
          <w:b/>
          <w:bCs/>
          <w:sz w:val="22"/>
          <w:szCs w:val="22"/>
          <w:rtl/>
        </w:rPr>
        <w:t>האמצעים שננקטו הם במידה שלא עולה על הנדרש</w:t>
      </w:r>
      <w:r w:rsidRPr="00917C23">
        <w:rPr>
          <w:rFonts w:hint="cs"/>
          <w:sz w:val="22"/>
          <w:szCs w:val="22"/>
          <w:rtl/>
        </w:rPr>
        <w:t>? [</w:t>
      </w:r>
      <w:r>
        <w:rPr>
          <w:rFonts w:hint="cs"/>
          <w:sz w:val="22"/>
          <w:szCs w:val="22"/>
          <w:rtl/>
        </w:rPr>
        <w:t xml:space="preserve">="מידתיות" </w:t>
      </w:r>
      <w:r>
        <w:rPr>
          <w:sz w:val="22"/>
          <w:szCs w:val="22"/>
          <w:rtl/>
        </w:rPr>
        <w:t>–</w:t>
      </w:r>
      <w:r>
        <w:rPr>
          <w:rFonts w:hint="cs"/>
          <w:sz w:val="22"/>
          <w:szCs w:val="22"/>
          <w:rtl/>
        </w:rPr>
        <w:t xml:space="preserve"> </w:t>
      </w:r>
      <w:r w:rsidRPr="00917C23">
        <w:rPr>
          <w:rFonts w:hint="cs"/>
          <w:sz w:val="22"/>
          <w:szCs w:val="22"/>
          <w:rtl/>
        </w:rPr>
        <w:t xml:space="preserve">התבקשתם </w:t>
      </w:r>
      <w:r>
        <w:rPr>
          <w:rFonts w:hint="cs"/>
          <w:sz w:val="22"/>
          <w:szCs w:val="22"/>
          <w:rtl/>
        </w:rPr>
        <w:t xml:space="preserve">בבחינה </w:t>
      </w:r>
      <w:r w:rsidRPr="00917C23">
        <w:rPr>
          <w:rFonts w:hint="cs"/>
          <w:sz w:val="22"/>
          <w:szCs w:val="22"/>
          <w:rtl/>
        </w:rPr>
        <w:t>שלא לדון בכך]}</w:t>
      </w:r>
    </w:p>
    <w:p w:rsidR="005366A8" w:rsidRPr="00917C23" w:rsidRDefault="005366A8" w:rsidP="005366A8">
      <w:pPr>
        <w:spacing w:after="60"/>
        <w:rPr>
          <w:sz w:val="22"/>
          <w:szCs w:val="22"/>
          <w:rtl/>
        </w:rPr>
      </w:pPr>
    </w:p>
    <w:p w:rsidR="005366A8" w:rsidRPr="00917C23" w:rsidRDefault="005366A8" w:rsidP="005366A8">
      <w:pPr>
        <w:spacing w:after="60"/>
        <w:rPr>
          <w:sz w:val="22"/>
          <w:szCs w:val="22"/>
          <w:rtl/>
        </w:rPr>
      </w:pPr>
      <w:r w:rsidRPr="00917C23">
        <w:rPr>
          <w:rFonts w:hint="cs"/>
          <w:sz w:val="22"/>
          <w:szCs w:val="22"/>
          <w:rtl/>
        </w:rPr>
        <w:t xml:space="preserve">(2). בכך לא מסתיימים קשייו/פגמיו של חוק העזר.  </w:t>
      </w:r>
      <w:r w:rsidRPr="00917C23">
        <w:rPr>
          <w:rFonts w:hint="cs"/>
          <w:b/>
          <w:bCs/>
          <w:sz w:val="22"/>
          <w:szCs w:val="22"/>
          <w:rtl/>
        </w:rPr>
        <w:t>האם רשאית רשות מקומית להקים מעין משטרת מתנדבים שתעסוק במשימות מסוג הגבלת כניסתם לעיר של המבקרים בה?</w:t>
      </w:r>
      <w:r w:rsidRPr="00917C23">
        <w:rPr>
          <w:rFonts w:hint="cs"/>
          <w:sz w:val="22"/>
          <w:szCs w:val="22"/>
          <w:rtl/>
        </w:rPr>
        <w:t xml:space="preserve">  האם זו </w:t>
      </w:r>
      <w:r w:rsidRPr="00917C23">
        <w:rPr>
          <w:rFonts w:hint="cs"/>
          <w:b/>
          <w:bCs/>
          <w:sz w:val="22"/>
          <w:szCs w:val="22"/>
          <w:rtl/>
        </w:rPr>
        <w:t>משימה של עיר או שמא של משטרת ישראל</w:t>
      </w:r>
      <w:r w:rsidRPr="00917C23">
        <w:rPr>
          <w:rFonts w:hint="cs"/>
          <w:sz w:val="22"/>
          <w:szCs w:val="22"/>
          <w:rtl/>
        </w:rPr>
        <w:t xml:space="preserve">, אם זו </w:t>
      </w:r>
      <w:r>
        <w:rPr>
          <w:rFonts w:hint="cs"/>
          <w:sz w:val="22"/>
          <w:szCs w:val="22"/>
          <w:rtl/>
        </w:rPr>
        <w:t>ב</w:t>
      </w:r>
      <w:r w:rsidRPr="00917C23">
        <w:rPr>
          <w:rFonts w:hint="cs"/>
          <w:sz w:val="22"/>
          <w:szCs w:val="22"/>
          <w:rtl/>
        </w:rPr>
        <w:t>כלל משימה לגיטימית?</w:t>
      </w:r>
    </w:p>
    <w:p w:rsidR="005366A8" w:rsidRPr="00917C23" w:rsidRDefault="005366A8" w:rsidP="005366A8">
      <w:pPr>
        <w:spacing w:after="60"/>
        <w:rPr>
          <w:i/>
          <w:iCs/>
          <w:sz w:val="22"/>
          <w:szCs w:val="22"/>
          <w:rtl/>
        </w:rPr>
      </w:pPr>
      <w:r w:rsidRPr="00917C23">
        <w:rPr>
          <w:rFonts w:hint="cs"/>
          <w:i/>
          <w:iCs/>
          <w:sz w:val="22"/>
          <w:szCs w:val="22"/>
          <w:rtl/>
        </w:rPr>
        <w:t>[נושא זה טופל חלקית בהרצאתו של ד"ר בלנק שהתבקשתם לקרוא, וכן בדף הכיתה שהתבסס עליה.  ראו את הקטע הבא שהובא סמוך לדיון בפרשה שהתעוררה בכרמיאל.]</w:t>
      </w:r>
    </w:p>
    <w:p w:rsidR="005366A8" w:rsidRPr="00917C23" w:rsidRDefault="005366A8" w:rsidP="005366A8">
      <w:pPr>
        <w:spacing w:after="60"/>
        <w:ind w:left="720"/>
        <w:rPr>
          <w:sz w:val="22"/>
          <w:szCs w:val="22"/>
          <w:rtl/>
        </w:rPr>
      </w:pPr>
      <w:r w:rsidRPr="00917C23">
        <w:rPr>
          <w:rFonts w:hint="cs"/>
          <w:sz w:val="22"/>
          <w:szCs w:val="22"/>
          <w:rtl/>
        </w:rPr>
        <w:t xml:space="preserve">בעניין </w:t>
      </w:r>
      <w:r w:rsidRPr="00917C23">
        <w:rPr>
          <w:rFonts w:hint="cs"/>
          <w:sz w:val="22"/>
          <w:szCs w:val="22"/>
          <w:u w:val="single"/>
          <w:rtl/>
        </w:rPr>
        <w:t>מלינובסקי נ' עיריית חולון</w:t>
      </w:r>
      <w:r w:rsidRPr="00917C23">
        <w:rPr>
          <w:rFonts w:hint="cs"/>
          <w:sz w:val="22"/>
          <w:szCs w:val="22"/>
          <w:rtl/>
        </w:rPr>
        <w:t xml:space="preserve"> (בג"צ 7186/06) נדון חוק עזר עירוני אותו העבירה עיריית חולון, מכוחו הוקם </w:t>
      </w:r>
      <w:r w:rsidRPr="00917C23">
        <w:rPr>
          <w:rFonts w:hint="cs"/>
          <w:sz w:val="22"/>
          <w:szCs w:val="22"/>
          <w:highlight w:val="yellow"/>
          <w:rtl/>
        </w:rPr>
        <w:t>כוח סיור חמוש הממומן מכספי היטל מיוחד שהוטל לשם כך</w:t>
      </w:r>
      <w:r w:rsidRPr="00917C23">
        <w:rPr>
          <w:rFonts w:hint="cs"/>
          <w:sz w:val="22"/>
          <w:szCs w:val="22"/>
          <w:rtl/>
        </w:rPr>
        <w:t xml:space="preserve">. בית המשפט העליון (הש' רובינשטיין) סוקר בהרחבה את סוגיית ההיטל המיוחד ומגיע למסקנה כי מדובר ב"אגרה" הקשורה לפעילות הממומנת על ידה (כלומר בשונה מ"מס") אולם בסופו של יום פוסל את הסיירת בשל העובדה שהיא ממומנת באופן בלתי סביר. זאת, לפי שאין התחשבות בצורך בתיאום של השלטון המרכזי של נושאים הקשורים לפעילות חבלנית שהיא "לאומית" בעיקרה. </w:t>
      </w:r>
      <w:r w:rsidRPr="00917C23">
        <w:rPr>
          <w:rFonts w:hint="cs"/>
          <w:sz w:val="22"/>
          <w:szCs w:val="22"/>
          <w:highlight w:val="yellow"/>
          <w:rtl/>
        </w:rPr>
        <w:t>במילים אחרות, הש' רובינשטיין חומק מלדון בסוגיית הסיירות החמושות העירוניות ומשאיר זאת בצריך עיון (ומעיר כי ספק רב בעיניו אם ראוי שהללו יוקמו על ידי רשויות מקומיות), ופוסל את חוק העזר שכן הלה אינו עוסק באמת בביטחון "מקומי" אלא בנושאים שהם בעצם לאומיים - לוחמה בטרור - ועל כן דורשים תיאום ושליטה מרכזיים וזאת חסר בחוק העזר האמור. ההבחנות אותן עושה בית המשפט בעניין זה הן חשובות: אין ספק כי גם לגישה הדמוקרטית</w:t>
      </w:r>
      <w:r>
        <w:rPr>
          <w:rFonts w:hint="cs"/>
          <w:sz w:val="22"/>
          <w:szCs w:val="22"/>
          <w:highlight w:val="yellow"/>
          <w:rtl/>
        </w:rPr>
        <w:t xml:space="preserve"> [להבנת היחסים בין השלטון המרכזי לשלטון המקומי]</w:t>
      </w:r>
      <w:r w:rsidRPr="00917C23">
        <w:rPr>
          <w:rFonts w:hint="cs"/>
          <w:sz w:val="22"/>
          <w:szCs w:val="22"/>
          <w:highlight w:val="yellow"/>
          <w:rtl/>
        </w:rPr>
        <w:t>, נושאים אשר דורשים קואורדינציה, תיאום</w:t>
      </w:r>
      <w:r>
        <w:rPr>
          <w:rFonts w:hint="cs"/>
          <w:sz w:val="22"/>
          <w:szCs w:val="22"/>
          <w:highlight w:val="yellow"/>
          <w:rtl/>
        </w:rPr>
        <w:t xml:space="preserve"> וכדומה</w:t>
      </w:r>
      <w:r w:rsidRPr="00917C23">
        <w:rPr>
          <w:rFonts w:hint="cs"/>
          <w:sz w:val="22"/>
          <w:szCs w:val="22"/>
          <w:highlight w:val="yellow"/>
          <w:rtl/>
        </w:rPr>
        <w:t>, ראוי שיוותרו בידי השלטון המרכזי, וגם אם לרשויות המקומיות ניתן בה</w:t>
      </w:r>
      <w:r>
        <w:rPr>
          <w:rFonts w:hint="cs"/>
          <w:sz w:val="22"/>
          <w:szCs w:val="22"/>
          <w:highlight w:val="yellow"/>
          <w:rtl/>
        </w:rPr>
        <w:t>ם</w:t>
      </w:r>
      <w:r w:rsidRPr="00917C23">
        <w:rPr>
          <w:rFonts w:hint="cs"/>
          <w:sz w:val="22"/>
          <w:szCs w:val="22"/>
          <w:highlight w:val="yellow"/>
          <w:rtl/>
        </w:rPr>
        <w:t xml:space="preserve"> תפקיד, ראוי שסוגיית התיאום תילקח בחשבון כשמבזרים סמכויות כאלה. נושאים של ביטחון לאומי הם בוודאי כאלה,</w:t>
      </w:r>
      <w:r w:rsidRPr="00917C23">
        <w:rPr>
          <w:rFonts w:hint="cs"/>
          <w:sz w:val="22"/>
          <w:szCs w:val="22"/>
          <w:rtl/>
        </w:rPr>
        <w:t xml:space="preserve"> ועל כן גם אם חפץ השלטון המרכזי להעניק לרשויות המקומיות סמכויות בתחומים אלה, ראוי שנושא התיאום וההכוונה המרכזי יטופל באופן ממצה</w:t>
      </w:r>
      <w:r>
        <w:rPr>
          <w:rFonts w:hint="cs"/>
          <w:sz w:val="22"/>
          <w:szCs w:val="22"/>
          <w:rtl/>
        </w:rPr>
        <w:t xml:space="preserve"> [=חקיקה של הכנסת]</w:t>
      </w:r>
      <w:r w:rsidRPr="00917C23">
        <w:rPr>
          <w:rFonts w:hint="cs"/>
          <w:sz w:val="22"/>
          <w:szCs w:val="22"/>
          <w:rtl/>
        </w:rPr>
        <w:t>.</w:t>
      </w:r>
    </w:p>
    <w:p w:rsidR="005366A8" w:rsidRPr="00917C23" w:rsidRDefault="005366A8" w:rsidP="005366A8">
      <w:pPr>
        <w:spacing w:after="60"/>
        <w:rPr>
          <w:b/>
          <w:bCs/>
          <w:sz w:val="22"/>
          <w:szCs w:val="22"/>
          <w:rtl/>
        </w:rPr>
      </w:pPr>
      <w:r w:rsidRPr="00917C23">
        <w:rPr>
          <w:rFonts w:hint="cs"/>
          <w:b/>
          <w:bCs/>
          <w:sz w:val="22"/>
          <w:szCs w:val="22"/>
          <w:rtl/>
        </w:rPr>
        <w:t xml:space="preserve">קטע זה מבחין בין סוגיה לאומית לסוגיה מקומית.  מהי </w:t>
      </w:r>
      <w:r>
        <w:rPr>
          <w:rFonts w:hint="cs"/>
          <w:b/>
          <w:bCs/>
          <w:sz w:val="22"/>
          <w:szCs w:val="22"/>
          <w:rtl/>
        </w:rPr>
        <w:t xml:space="preserve">אופיה של </w:t>
      </w:r>
      <w:r w:rsidRPr="00917C23">
        <w:rPr>
          <w:rFonts w:hint="cs"/>
          <w:b/>
          <w:bCs/>
          <w:sz w:val="22"/>
          <w:szCs w:val="22"/>
          <w:rtl/>
        </w:rPr>
        <w:t>הסוגיה המתעוררת בפנינו?</w:t>
      </w:r>
    </w:p>
    <w:p w:rsidR="005366A8" w:rsidRPr="00917C23" w:rsidRDefault="005366A8" w:rsidP="005366A8">
      <w:pPr>
        <w:spacing w:after="60"/>
        <w:rPr>
          <w:sz w:val="22"/>
          <w:szCs w:val="22"/>
          <w:rtl/>
        </w:rPr>
      </w:pPr>
    </w:p>
    <w:p w:rsidR="005366A8" w:rsidRDefault="005366A8" w:rsidP="005366A8">
      <w:pPr>
        <w:spacing w:after="60"/>
        <w:rPr>
          <w:sz w:val="22"/>
          <w:szCs w:val="22"/>
          <w:rtl/>
        </w:rPr>
      </w:pPr>
      <w:r w:rsidRPr="00917C23">
        <w:rPr>
          <w:rFonts w:hint="cs"/>
          <w:sz w:val="22"/>
          <w:szCs w:val="22"/>
          <w:rtl/>
        </w:rPr>
        <w:t xml:space="preserve">(3). עולה נקודה נוספת שנוגעת לכך שמדובר </w:t>
      </w:r>
      <w:r w:rsidRPr="00917C23">
        <w:rPr>
          <w:rFonts w:hint="cs"/>
          <w:b/>
          <w:bCs/>
          <w:sz w:val="22"/>
          <w:szCs w:val="22"/>
          <w:rtl/>
        </w:rPr>
        <w:t>במתנדבים</w:t>
      </w:r>
      <w:r w:rsidRPr="00917C23">
        <w:rPr>
          <w:rFonts w:hint="cs"/>
          <w:sz w:val="22"/>
          <w:szCs w:val="22"/>
          <w:rtl/>
        </w:rPr>
        <w:t xml:space="preserve">.  בהנחה </w:t>
      </w:r>
      <w:r w:rsidRPr="00917C23">
        <w:rPr>
          <w:sz w:val="22"/>
          <w:szCs w:val="22"/>
          <w:rtl/>
        </w:rPr>
        <w:t>–</w:t>
      </w:r>
      <w:r w:rsidRPr="00917C23">
        <w:rPr>
          <w:rFonts w:hint="cs"/>
          <w:sz w:val="22"/>
          <w:szCs w:val="22"/>
          <w:rtl/>
        </w:rPr>
        <w:t xml:space="preserve"> </w:t>
      </w:r>
      <w:r>
        <w:rPr>
          <w:rFonts w:hint="cs"/>
          <w:sz w:val="22"/>
          <w:szCs w:val="22"/>
          <w:rtl/>
        </w:rPr>
        <w:t xml:space="preserve">שהיא </w:t>
      </w:r>
      <w:r w:rsidRPr="00917C23">
        <w:rPr>
          <w:rFonts w:hint="cs"/>
          <w:sz w:val="22"/>
          <w:szCs w:val="22"/>
          <w:rtl/>
        </w:rPr>
        <w:t xml:space="preserve">מאד שנויה במחלוקת, כמפורט לעיל </w:t>
      </w:r>
      <w:r w:rsidRPr="00917C23">
        <w:rPr>
          <w:sz w:val="22"/>
          <w:szCs w:val="22"/>
          <w:rtl/>
        </w:rPr>
        <w:t>–</w:t>
      </w:r>
      <w:r w:rsidRPr="00917C23">
        <w:rPr>
          <w:rFonts w:hint="cs"/>
          <w:sz w:val="22"/>
          <w:szCs w:val="22"/>
          <w:rtl/>
        </w:rPr>
        <w:t xml:space="preserve"> שעירייה רשאית לעסוק במשימה של בירור הנכנסים לתוכה והגבלה אפשרית של כניסתם אל העיר, </w:t>
      </w:r>
      <w:r w:rsidRPr="00917C23">
        <w:rPr>
          <w:rFonts w:hint="cs"/>
          <w:b/>
          <w:bCs/>
          <w:sz w:val="22"/>
          <w:szCs w:val="22"/>
          <w:rtl/>
        </w:rPr>
        <w:t>האם היא יכולה לעשות כן באמצעות מי שאינם עובדיה?</w:t>
      </w:r>
      <w:r w:rsidRPr="00917C23">
        <w:rPr>
          <w:rFonts w:hint="cs"/>
          <w:sz w:val="22"/>
          <w:szCs w:val="22"/>
          <w:rtl/>
        </w:rPr>
        <w:t xml:space="preserve">  </w:t>
      </w:r>
      <w:r w:rsidRPr="00917C23">
        <w:rPr>
          <w:rFonts w:hint="cs"/>
          <w:b/>
          <w:bCs/>
          <w:sz w:val="22"/>
          <w:szCs w:val="22"/>
          <w:rtl/>
        </w:rPr>
        <w:t xml:space="preserve">האם הפרטה שכזו, התנדבות שכזו, ביחס להפעלת סמכויות שכאלה היא אפשרית מבחינה משפטית? </w:t>
      </w:r>
      <w:r w:rsidRPr="00917C23">
        <w:rPr>
          <w:rFonts w:hint="cs"/>
          <w:sz w:val="22"/>
          <w:szCs w:val="22"/>
          <w:rtl/>
        </w:rPr>
        <w:t xml:space="preserve"> עוסקים בכך פסקי הדין של </w:t>
      </w:r>
      <w:r w:rsidRPr="00917C23">
        <w:rPr>
          <w:rFonts w:hint="cs"/>
          <w:b/>
          <w:bCs/>
          <w:sz w:val="22"/>
          <w:szCs w:val="22"/>
          <w:rtl/>
        </w:rPr>
        <w:t>עמותת "תנו לחיות לחיות"</w:t>
      </w:r>
      <w:r w:rsidRPr="00917C23">
        <w:rPr>
          <w:rFonts w:hint="cs"/>
          <w:sz w:val="22"/>
          <w:szCs w:val="22"/>
          <w:rtl/>
        </w:rPr>
        <w:t xml:space="preserve">, </w:t>
      </w:r>
      <w:r w:rsidRPr="00917C23">
        <w:rPr>
          <w:rFonts w:hint="cs"/>
          <w:b/>
          <w:bCs/>
          <w:sz w:val="22"/>
          <w:szCs w:val="22"/>
          <w:rtl/>
        </w:rPr>
        <w:t>פיליפוביץ'</w:t>
      </w:r>
      <w:r w:rsidRPr="00917C23">
        <w:rPr>
          <w:rFonts w:hint="cs"/>
          <w:sz w:val="22"/>
          <w:szCs w:val="22"/>
          <w:rtl/>
        </w:rPr>
        <w:t xml:space="preserve">, ובמיוחד </w:t>
      </w:r>
      <w:r w:rsidRPr="00917C23">
        <w:rPr>
          <w:rFonts w:hint="cs"/>
          <w:b/>
          <w:bCs/>
          <w:sz w:val="22"/>
          <w:szCs w:val="22"/>
          <w:rtl/>
        </w:rPr>
        <w:t>הנפלינג</w:t>
      </w:r>
      <w:r>
        <w:rPr>
          <w:rFonts w:hint="cs"/>
          <w:sz w:val="22"/>
          <w:szCs w:val="22"/>
          <w:rtl/>
        </w:rPr>
        <w:t xml:space="preserve"> </w:t>
      </w:r>
      <w:r w:rsidRPr="00037F5B">
        <w:rPr>
          <w:rFonts w:hint="cs"/>
          <w:i/>
          <w:iCs/>
          <w:sz w:val="22"/>
          <w:szCs w:val="22"/>
          <w:rtl/>
        </w:rPr>
        <w:t>[שוב, פסיקה אותה נפגוש לקראת סוף הסמסטר; כמו כן, לא להיבהל: אינכם צריכים לזכור את שמות פסקי הדין אלא להכיר את לב ההנמקה שלהלן]</w:t>
      </w:r>
      <w:r w:rsidRPr="00917C23">
        <w:rPr>
          <w:rFonts w:hint="cs"/>
          <w:sz w:val="22"/>
          <w:szCs w:val="22"/>
          <w:rtl/>
        </w:rPr>
        <w:t>:</w:t>
      </w:r>
    </w:p>
    <w:p w:rsidR="005366A8" w:rsidRPr="00917C23" w:rsidRDefault="005366A8" w:rsidP="005366A8">
      <w:pPr>
        <w:spacing w:after="60"/>
        <w:rPr>
          <w:rFonts w:cs="FrankRuehl"/>
        </w:rPr>
      </w:pPr>
      <w:r>
        <w:rPr>
          <w:rFonts w:hint="cs"/>
          <w:sz w:val="22"/>
          <w:szCs w:val="22"/>
          <w:rtl/>
        </w:rPr>
        <w:t>שם, ב</w:t>
      </w:r>
      <w:r w:rsidRPr="00CA5A43">
        <w:rPr>
          <w:rFonts w:hint="cs"/>
          <w:b/>
          <w:bCs/>
          <w:sz w:val="22"/>
          <w:szCs w:val="22"/>
          <w:rtl/>
        </w:rPr>
        <w:t>הנפלינג</w:t>
      </w:r>
      <w:r>
        <w:rPr>
          <w:rFonts w:hint="cs"/>
          <w:sz w:val="22"/>
          <w:szCs w:val="22"/>
          <w:rtl/>
        </w:rPr>
        <w:t xml:space="preserve">, דובר על סמכויות פיקוח (ביחס למועד פתיחה וסגירה של חנויות) שהוענקו למתנדבים. בית המשפט העליון פסל הענקה זו, שכן היא העניקה סמכויות כניסה לחצרים וסמכויות פיקוח נוספות לאנשים פרטיים, קרי למי שאינם עובדי ציבור, משמע, אינם עובדים הנתונים למרות הרשות. </w:t>
      </w:r>
    </w:p>
    <w:p w:rsidR="005366A8" w:rsidRPr="00917C23" w:rsidRDefault="005366A8" w:rsidP="005366A8">
      <w:pPr>
        <w:spacing w:after="60"/>
        <w:ind w:left="720"/>
        <w:rPr>
          <w:rFonts w:cs="FrankRuehl"/>
          <w:rtl/>
        </w:rPr>
      </w:pPr>
      <w:r w:rsidRPr="00917C23">
        <w:rPr>
          <w:rFonts w:cs="FrankRuehl"/>
          <w:rtl/>
        </w:rPr>
        <w:t xml:space="preserve">פירוש של חוק העזר, אשר לפיו רשאי ראש העיר להעניק סמכויות, המופנות כלפי הציבור כולו, לאנשים שאינם עובדי הציבור, מבלי שיש לרשות שליטה ופיקוח על מעשיהם, הוא בגדר </w:t>
      </w:r>
      <w:r w:rsidRPr="00917C23">
        <w:rPr>
          <w:rFonts w:cs="FrankRuehl"/>
          <w:highlight w:val="yellow"/>
          <w:rtl/>
        </w:rPr>
        <w:t>הוצאת דברו של חוק העזר מסבירותו</w:t>
      </w:r>
      <w:r w:rsidRPr="00917C23">
        <w:rPr>
          <w:rFonts w:cs="FrankRuehl"/>
          <w:rtl/>
        </w:rPr>
        <w:t xml:space="preserve">. </w:t>
      </w:r>
      <w:r w:rsidRPr="00917C23">
        <w:rPr>
          <w:rFonts w:cs="FrankRuehl"/>
          <w:highlight w:val="yellow"/>
          <w:rtl/>
        </w:rPr>
        <w:t>יתרה מזאת, אין ראש העיר יכול לגייס מעין משטרת מתנדבים בעלת סמכויות סטטוטוריות</w:t>
      </w:r>
      <w:r w:rsidRPr="00917C23">
        <w:rPr>
          <w:rFonts w:cs="FrankRuehl"/>
          <w:rtl/>
        </w:rPr>
        <w:t xml:space="preserve">, המוענקות על- ידיו, כי בכך היה עוקף את הדינים, הקובעים כפיפותו של העובד לרשות, להבדיל מראש הרשות. </w:t>
      </w:r>
    </w:p>
    <w:p w:rsidR="005366A8" w:rsidRDefault="005366A8" w:rsidP="005366A8">
      <w:pPr>
        <w:spacing w:after="60"/>
        <w:rPr>
          <w:sz w:val="22"/>
          <w:szCs w:val="22"/>
          <w:rtl/>
        </w:rPr>
      </w:pPr>
      <w:r w:rsidRPr="00917C23">
        <w:rPr>
          <w:rFonts w:hint="cs"/>
          <w:sz w:val="22"/>
          <w:szCs w:val="22"/>
          <w:rtl/>
        </w:rPr>
        <w:t xml:space="preserve">[וראו גם את פסק הדין בעניין בית הסוהר הפרטי, </w:t>
      </w:r>
      <w:r w:rsidRPr="00917C23">
        <w:rPr>
          <w:b/>
          <w:bCs/>
          <w:sz w:val="22"/>
          <w:szCs w:val="22"/>
          <w:rtl/>
        </w:rPr>
        <w:t>המרכז האקדמי למשפט ולעסקים, חטיבת זכויות האדם נ' שר האוצר</w:t>
      </w:r>
      <w:r w:rsidRPr="00917C23">
        <w:rPr>
          <w:rFonts w:hint="cs"/>
          <w:sz w:val="22"/>
          <w:szCs w:val="22"/>
          <w:rtl/>
        </w:rPr>
        <w:t>.]</w:t>
      </w:r>
    </w:p>
    <w:p w:rsidR="005366A8" w:rsidRPr="00917C23" w:rsidRDefault="005366A8" w:rsidP="005366A8">
      <w:pPr>
        <w:spacing w:after="60"/>
        <w:rPr>
          <w:sz w:val="22"/>
          <w:szCs w:val="22"/>
          <w:rtl/>
        </w:rPr>
      </w:pPr>
      <w:r>
        <w:rPr>
          <w:rFonts w:hint="cs"/>
          <w:sz w:val="22"/>
          <w:szCs w:val="22"/>
          <w:rtl/>
        </w:rPr>
        <w:t xml:space="preserve">סיירת המתנדבים כאן מקבלת סמכות לעשות דברים שהם אולי פוגעניים יותר מהמפקחים שבפסק דין </w:t>
      </w:r>
      <w:r w:rsidRPr="00CA5A43">
        <w:rPr>
          <w:rFonts w:hint="cs"/>
          <w:b/>
          <w:bCs/>
          <w:sz w:val="22"/>
          <w:szCs w:val="22"/>
          <w:rtl/>
        </w:rPr>
        <w:t>הנפלינג</w:t>
      </w:r>
      <w:r>
        <w:rPr>
          <w:rFonts w:hint="cs"/>
          <w:sz w:val="22"/>
          <w:szCs w:val="22"/>
          <w:rtl/>
        </w:rPr>
        <w:t>. דומה שהתשובה לשאלה שנשאלה היא על כן ברורה. זהו מהלך שאין לו תוקף חוקי.</w:t>
      </w:r>
    </w:p>
    <w:p w:rsidR="005366A8" w:rsidRPr="00917C23" w:rsidRDefault="005366A8" w:rsidP="005366A8">
      <w:pPr>
        <w:spacing w:after="60"/>
        <w:rPr>
          <w:sz w:val="22"/>
          <w:szCs w:val="22"/>
          <w:rtl/>
        </w:rPr>
      </w:pPr>
    </w:p>
    <w:p w:rsidR="005366A8" w:rsidRPr="00917C23" w:rsidRDefault="005366A8" w:rsidP="005366A8">
      <w:pPr>
        <w:spacing w:after="60"/>
        <w:rPr>
          <w:b/>
          <w:bCs/>
          <w:sz w:val="22"/>
          <w:szCs w:val="22"/>
          <w:u w:val="single"/>
          <w:rtl/>
        </w:rPr>
      </w:pPr>
      <w:r w:rsidRPr="00917C23">
        <w:rPr>
          <w:rFonts w:hint="cs"/>
          <w:b/>
          <w:bCs/>
          <w:sz w:val="22"/>
          <w:szCs w:val="22"/>
          <w:u w:val="single"/>
          <w:rtl/>
        </w:rPr>
        <w:t>2. מה הבעייתיות, ככל שמתגלעת כזו, בחוק העזר מודעות?</w:t>
      </w:r>
    </w:p>
    <w:p w:rsidR="005366A8" w:rsidRPr="00037F5B" w:rsidRDefault="005366A8" w:rsidP="005366A8">
      <w:pPr>
        <w:spacing w:after="60"/>
        <w:rPr>
          <w:i/>
          <w:iCs/>
          <w:sz w:val="22"/>
          <w:szCs w:val="22"/>
          <w:rtl/>
        </w:rPr>
      </w:pPr>
      <w:r w:rsidRPr="00037F5B">
        <w:rPr>
          <w:rFonts w:hint="cs"/>
          <w:i/>
          <w:iCs/>
          <w:sz w:val="22"/>
          <w:szCs w:val="22"/>
          <w:rtl/>
        </w:rPr>
        <w:t>[התשובה להלן מסועפת, ולכן חשוב לומר שחלק מההסתעפויות הן בבחינת "בונוס", קרי, הן אינן נדרשות לצורך ניקוד מלא. אם הן מטופלות הן מוסיפות לציון].</w:t>
      </w:r>
    </w:p>
    <w:p w:rsidR="005366A8" w:rsidRPr="00917C23" w:rsidRDefault="005366A8" w:rsidP="005366A8">
      <w:pPr>
        <w:spacing w:after="60"/>
        <w:rPr>
          <w:sz w:val="22"/>
          <w:szCs w:val="22"/>
          <w:rtl/>
        </w:rPr>
      </w:pPr>
      <w:r w:rsidRPr="00917C23">
        <w:rPr>
          <w:rFonts w:hint="cs"/>
          <w:sz w:val="22"/>
          <w:szCs w:val="22"/>
          <w:rtl/>
        </w:rPr>
        <w:t>ראש העיר מסרב</w:t>
      </w:r>
      <w:r w:rsidRPr="00917C23">
        <w:rPr>
          <w:sz w:val="22"/>
          <w:szCs w:val="22"/>
          <w:rtl/>
        </w:rPr>
        <w:t xml:space="preserve"> </w:t>
      </w:r>
      <w:r>
        <w:rPr>
          <w:rFonts w:hint="cs"/>
          <w:sz w:val="22"/>
          <w:szCs w:val="22"/>
          <w:rtl/>
        </w:rPr>
        <w:t xml:space="preserve">גם </w:t>
      </w:r>
      <w:r w:rsidRPr="00917C23">
        <w:rPr>
          <w:sz w:val="22"/>
          <w:szCs w:val="22"/>
          <w:rtl/>
        </w:rPr>
        <w:t xml:space="preserve">לאפשר לחברות לבנייה ולהשכרה למגורים לפרסם על לוחות המודעות </w:t>
      </w:r>
      <w:r w:rsidRPr="00917C23">
        <w:rPr>
          <w:rFonts w:hint="cs"/>
          <w:sz w:val="22"/>
          <w:szCs w:val="22"/>
          <w:rtl/>
        </w:rPr>
        <w:t>הפזורים ברחבי העיר</w:t>
      </w:r>
      <w:r w:rsidRPr="00917C23">
        <w:rPr>
          <w:sz w:val="22"/>
          <w:szCs w:val="22"/>
          <w:rtl/>
        </w:rPr>
        <w:t xml:space="preserve"> מודעות </w:t>
      </w:r>
      <w:r w:rsidRPr="00917C23">
        <w:rPr>
          <w:rFonts w:hint="cs"/>
          <w:sz w:val="22"/>
          <w:szCs w:val="22"/>
          <w:rtl/>
        </w:rPr>
        <w:t>מסחריות-פרטיות</w:t>
      </w:r>
      <w:r w:rsidRPr="00917C23">
        <w:rPr>
          <w:sz w:val="22"/>
          <w:szCs w:val="22"/>
          <w:rtl/>
        </w:rPr>
        <w:t xml:space="preserve"> ב</w:t>
      </w:r>
      <w:r w:rsidRPr="00917C23">
        <w:rPr>
          <w:rFonts w:hint="cs"/>
          <w:sz w:val="22"/>
          <w:szCs w:val="22"/>
          <w:rtl/>
        </w:rPr>
        <w:t>שפה ה</w:t>
      </w:r>
      <w:r w:rsidRPr="00917C23">
        <w:rPr>
          <w:sz w:val="22"/>
          <w:szCs w:val="22"/>
          <w:rtl/>
        </w:rPr>
        <w:t xml:space="preserve">ערבית </w:t>
      </w:r>
      <w:r w:rsidRPr="00917C23">
        <w:rPr>
          <w:rFonts w:hint="cs"/>
          <w:sz w:val="22"/>
          <w:szCs w:val="22"/>
          <w:rtl/>
        </w:rPr>
        <w:t xml:space="preserve">לבדה </w:t>
      </w:r>
      <w:r w:rsidRPr="00917C23">
        <w:rPr>
          <w:sz w:val="22"/>
          <w:szCs w:val="22"/>
          <w:rtl/>
        </w:rPr>
        <w:t>ביחס לדירות למכירה או להשכרה ב</w:t>
      </w:r>
      <w:r w:rsidRPr="00917C23">
        <w:rPr>
          <w:rFonts w:hint="cs"/>
          <w:sz w:val="22"/>
          <w:szCs w:val="22"/>
          <w:rtl/>
        </w:rPr>
        <w:t>עיר</w:t>
      </w:r>
      <w:r w:rsidRPr="00917C23">
        <w:rPr>
          <w:sz w:val="22"/>
          <w:szCs w:val="22"/>
          <w:rtl/>
        </w:rPr>
        <w:t xml:space="preserve">. </w:t>
      </w:r>
      <w:r w:rsidRPr="00917C23">
        <w:rPr>
          <w:rFonts w:hint="cs"/>
          <w:sz w:val="22"/>
          <w:szCs w:val="22"/>
          <w:rtl/>
        </w:rPr>
        <w:t xml:space="preserve"> הוא מצביע על </w:t>
      </w:r>
      <w:r w:rsidRPr="00917C23">
        <w:rPr>
          <w:rFonts w:hint="cs"/>
          <w:b/>
          <w:bCs/>
          <w:sz w:val="22"/>
          <w:szCs w:val="22"/>
          <w:rtl/>
        </w:rPr>
        <w:t>ח</w:t>
      </w:r>
      <w:r w:rsidRPr="00917C23">
        <w:rPr>
          <w:b/>
          <w:bCs/>
          <w:sz w:val="22"/>
          <w:szCs w:val="22"/>
          <w:rtl/>
        </w:rPr>
        <w:t xml:space="preserve">וק עזר </w:t>
      </w:r>
      <w:r w:rsidRPr="00917C23">
        <w:rPr>
          <w:rFonts w:hint="cs"/>
          <w:b/>
          <w:bCs/>
          <w:sz w:val="22"/>
          <w:szCs w:val="22"/>
          <w:rtl/>
        </w:rPr>
        <w:t xml:space="preserve">גפן: </w:t>
      </w:r>
      <w:r w:rsidRPr="00917C23">
        <w:rPr>
          <w:b/>
          <w:bCs/>
          <w:sz w:val="22"/>
          <w:szCs w:val="22"/>
          <w:rtl/>
        </w:rPr>
        <w:t>מודעות ושלטים, תש</w:t>
      </w:r>
      <w:r w:rsidRPr="00917C23">
        <w:rPr>
          <w:rFonts w:hint="cs"/>
          <w:b/>
          <w:bCs/>
          <w:sz w:val="22"/>
          <w:szCs w:val="22"/>
          <w:rtl/>
        </w:rPr>
        <w:t>כ"א-1961</w:t>
      </w:r>
      <w:r w:rsidRPr="00917C23">
        <w:rPr>
          <w:rFonts w:hint="cs"/>
          <w:sz w:val="22"/>
          <w:szCs w:val="22"/>
          <w:rtl/>
        </w:rPr>
        <w:t xml:space="preserve"> [להלן: חוק עזר מודעות]</w:t>
      </w:r>
      <w:r w:rsidRPr="00917C23">
        <w:rPr>
          <w:rFonts w:hint="cs"/>
          <w:b/>
          <w:bCs/>
          <w:sz w:val="22"/>
          <w:szCs w:val="22"/>
          <w:rtl/>
        </w:rPr>
        <w:t xml:space="preserve">, </w:t>
      </w:r>
      <w:r w:rsidRPr="00917C23">
        <w:rPr>
          <w:rFonts w:hint="cs"/>
          <w:sz w:val="22"/>
          <w:szCs w:val="22"/>
          <w:rtl/>
        </w:rPr>
        <w:t>הקובע בסע' 2(א) כי</w:t>
      </w:r>
      <w:r w:rsidRPr="00917C23">
        <w:rPr>
          <w:sz w:val="22"/>
          <w:szCs w:val="22"/>
          <w:rtl/>
        </w:rPr>
        <w:t>:</w:t>
      </w:r>
    </w:p>
    <w:p w:rsidR="005366A8" w:rsidRPr="00917C23" w:rsidRDefault="005366A8" w:rsidP="005366A8">
      <w:pPr>
        <w:spacing w:after="60"/>
        <w:ind w:left="720"/>
        <w:rPr>
          <w:b/>
          <w:bCs/>
          <w:sz w:val="22"/>
          <w:szCs w:val="22"/>
          <w:rtl/>
        </w:rPr>
      </w:pPr>
      <w:r w:rsidRPr="00917C23">
        <w:rPr>
          <w:rFonts w:cs="David" w:hint="cs"/>
          <w:sz w:val="22"/>
          <w:szCs w:val="22"/>
          <w:rtl/>
        </w:rPr>
        <w:t>"</w:t>
      </w:r>
      <w:r w:rsidRPr="00917C23">
        <w:rPr>
          <w:rFonts w:cs="David"/>
          <w:sz w:val="22"/>
          <w:szCs w:val="22"/>
          <w:rtl/>
        </w:rPr>
        <w:t xml:space="preserve">לא יפרסם אדם מודעה ולא יציג שלט, אלא לפי רשיון מאת ראש </w:t>
      </w:r>
      <w:r w:rsidRPr="00917C23">
        <w:rPr>
          <w:rFonts w:cs="David" w:hint="cs"/>
          <w:sz w:val="22"/>
          <w:szCs w:val="22"/>
          <w:rtl/>
        </w:rPr>
        <w:t>העיר</w:t>
      </w:r>
      <w:r w:rsidRPr="00917C23">
        <w:rPr>
          <w:rFonts w:cs="David"/>
          <w:sz w:val="22"/>
          <w:szCs w:val="22"/>
          <w:rtl/>
        </w:rPr>
        <w:t xml:space="preserve"> ובהתאם לתנאי הרשיון ואלא אם המודעה או השלט </w:t>
      </w:r>
      <w:r w:rsidRPr="00917C23">
        <w:rPr>
          <w:rFonts w:cs="David"/>
          <w:sz w:val="22"/>
          <w:szCs w:val="22"/>
        </w:rPr>
        <w:t>–</w:t>
      </w:r>
      <w:r w:rsidRPr="00917C23">
        <w:rPr>
          <w:rFonts w:cs="David" w:hint="cs"/>
          <w:sz w:val="22"/>
          <w:szCs w:val="22"/>
          <w:rtl/>
        </w:rPr>
        <w:t xml:space="preserve"> </w:t>
      </w:r>
      <w:r w:rsidRPr="00917C23">
        <w:rPr>
          <w:rFonts w:cs="David"/>
          <w:sz w:val="22"/>
          <w:szCs w:val="22"/>
          <w:rtl/>
        </w:rPr>
        <w:t>(1) כתובים עברית; או</w:t>
      </w:r>
      <w:r w:rsidRPr="00917C23">
        <w:rPr>
          <w:rFonts w:cs="David" w:hint="cs"/>
          <w:sz w:val="22"/>
          <w:szCs w:val="22"/>
          <w:rtl/>
        </w:rPr>
        <w:t xml:space="preserve"> </w:t>
      </w:r>
      <w:r w:rsidRPr="00917C23">
        <w:rPr>
          <w:rFonts w:cs="David"/>
          <w:sz w:val="22"/>
          <w:szCs w:val="22"/>
          <w:rtl/>
        </w:rPr>
        <w:t xml:space="preserve">(2) כתובים בחלקם עברית ובחלקם לועזית והעברית תופסת לא פחות משני שלישים משטחם ואת החלק העליון </w:t>
      </w:r>
      <w:r w:rsidRPr="00917C23">
        <w:rPr>
          <w:rFonts w:cs="David" w:hint="cs"/>
          <w:sz w:val="22"/>
          <w:szCs w:val="22"/>
          <w:rtl/>
        </w:rPr>
        <w:t>מ</w:t>
      </w:r>
      <w:r w:rsidRPr="00917C23">
        <w:rPr>
          <w:rFonts w:cs="David"/>
          <w:sz w:val="22"/>
          <w:szCs w:val="22"/>
          <w:rtl/>
        </w:rPr>
        <w:t>השטח והאותיות העבריות גדולות מהאותיות הלועזיות.</w:t>
      </w:r>
      <w:r w:rsidRPr="00917C23">
        <w:rPr>
          <w:rFonts w:cs="David" w:hint="cs"/>
          <w:sz w:val="22"/>
          <w:szCs w:val="22"/>
          <w:rtl/>
        </w:rPr>
        <w:t>"</w:t>
      </w:r>
    </w:p>
    <w:p w:rsidR="005366A8" w:rsidRPr="00917C23" w:rsidRDefault="005366A8" w:rsidP="005366A8">
      <w:pPr>
        <w:spacing w:after="60"/>
        <w:rPr>
          <w:sz w:val="22"/>
          <w:szCs w:val="22"/>
          <w:rtl/>
        </w:rPr>
      </w:pPr>
    </w:p>
    <w:p w:rsidR="005366A8" w:rsidRDefault="005366A8" w:rsidP="005366A8">
      <w:pPr>
        <w:spacing w:after="60"/>
        <w:rPr>
          <w:sz w:val="22"/>
          <w:szCs w:val="22"/>
          <w:rtl/>
        </w:rPr>
      </w:pPr>
      <w:r w:rsidRPr="00917C23">
        <w:rPr>
          <w:rFonts w:hint="cs"/>
          <w:sz w:val="22"/>
          <w:szCs w:val="22"/>
          <w:rtl/>
        </w:rPr>
        <w:t xml:space="preserve">חוק העזר הזה פוגע אף הוא בזכות יסוד, </w:t>
      </w:r>
      <w:r w:rsidRPr="00917C23">
        <w:rPr>
          <w:rFonts w:hint="cs"/>
          <w:b/>
          <w:bCs/>
          <w:sz w:val="22"/>
          <w:szCs w:val="22"/>
          <w:rtl/>
        </w:rPr>
        <w:t>הזכות לחופש ביטוי</w:t>
      </w:r>
      <w:r w:rsidRPr="00917C23">
        <w:rPr>
          <w:rFonts w:hint="cs"/>
          <w:sz w:val="22"/>
          <w:szCs w:val="22"/>
          <w:rtl/>
        </w:rPr>
        <w:t xml:space="preserve">.  </w:t>
      </w:r>
    </w:p>
    <w:p w:rsidR="005366A8" w:rsidRDefault="005366A8" w:rsidP="005366A8">
      <w:pPr>
        <w:spacing w:after="60"/>
        <w:rPr>
          <w:sz w:val="22"/>
          <w:szCs w:val="22"/>
          <w:rtl/>
        </w:rPr>
      </w:pPr>
      <w:r w:rsidRPr="00917C23">
        <w:rPr>
          <w:rFonts w:hint="cs"/>
          <w:sz w:val="22"/>
          <w:szCs w:val="22"/>
          <w:rtl/>
        </w:rPr>
        <w:t xml:space="preserve">לכאורה מדובר </w:t>
      </w:r>
      <w:r w:rsidRPr="00917C23">
        <w:rPr>
          <w:rFonts w:hint="cs"/>
          <w:b/>
          <w:bCs/>
          <w:sz w:val="22"/>
          <w:szCs w:val="22"/>
          <w:rtl/>
        </w:rPr>
        <w:t>בחופש ביטוי מסחרי</w:t>
      </w:r>
      <w:r w:rsidRPr="00917C23">
        <w:rPr>
          <w:rFonts w:hint="cs"/>
          <w:sz w:val="22"/>
          <w:szCs w:val="22"/>
          <w:rtl/>
        </w:rPr>
        <w:t xml:space="preserve">, של מודעות ביחס למכירת או השכרת דירות; ואולם הרקע הנוכח כאן (השסע הלאומי, וכן הבחירה </w:t>
      </w:r>
      <w:r>
        <w:rPr>
          <w:rFonts w:hint="cs"/>
          <w:sz w:val="22"/>
          <w:szCs w:val="22"/>
          <w:rtl/>
        </w:rPr>
        <w:t xml:space="preserve">של ראש העיר </w:t>
      </w:r>
      <w:r w:rsidRPr="00917C23">
        <w:rPr>
          <w:rFonts w:hint="cs"/>
          <w:sz w:val="22"/>
          <w:szCs w:val="22"/>
          <w:rtl/>
        </w:rPr>
        <w:t xml:space="preserve">להתמקד בשאלת השפה) </w:t>
      </w:r>
      <w:r>
        <w:rPr>
          <w:rFonts w:hint="cs"/>
          <w:sz w:val="22"/>
          <w:szCs w:val="22"/>
          <w:rtl/>
        </w:rPr>
        <w:t xml:space="preserve">מפעילים </w:t>
      </w:r>
      <w:r w:rsidRPr="00917C23">
        <w:rPr>
          <w:rFonts w:hint="cs"/>
          <w:sz w:val="22"/>
          <w:szCs w:val="22"/>
          <w:rtl/>
        </w:rPr>
        <w:t xml:space="preserve">מייד </w:t>
      </w:r>
      <w:r>
        <w:rPr>
          <w:rFonts w:hint="cs"/>
          <w:sz w:val="22"/>
          <w:szCs w:val="22"/>
          <w:rtl/>
        </w:rPr>
        <w:t>'מתג' פוליטי-תרבותי</w:t>
      </w:r>
      <w:r w:rsidRPr="00917C23">
        <w:rPr>
          <w:rFonts w:hint="cs"/>
          <w:sz w:val="22"/>
          <w:szCs w:val="22"/>
          <w:rtl/>
        </w:rPr>
        <w:t xml:space="preserve">, ולכן הם מחריגים את שאלת הביטוי כאן מגדרו של ביטוי מסחרי </w:t>
      </w:r>
      <w:r>
        <w:rPr>
          <w:rFonts w:hint="cs"/>
          <w:sz w:val="22"/>
          <w:szCs w:val="22"/>
          <w:rtl/>
        </w:rPr>
        <w:t>גרידא [=כפשוטו]</w:t>
      </w:r>
      <w:r w:rsidRPr="00917C23">
        <w:rPr>
          <w:rFonts w:hint="cs"/>
          <w:sz w:val="22"/>
          <w:szCs w:val="22"/>
          <w:rtl/>
        </w:rPr>
        <w:t xml:space="preserve">. </w:t>
      </w:r>
    </w:p>
    <w:p w:rsidR="005366A8" w:rsidRPr="00917C23" w:rsidRDefault="005366A8" w:rsidP="005366A8">
      <w:pPr>
        <w:spacing w:after="60"/>
        <w:ind w:left="720"/>
        <w:rPr>
          <w:sz w:val="22"/>
          <w:szCs w:val="22"/>
          <w:rtl/>
        </w:rPr>
      </w:pPr>
      <w:r w:rsidRPr="00917C23">
        <w:rPr>
          <w:rFonts w:hint="cs"/>
          <w:sz w:val="22"/>
          <w:szCs w:val="22"/>
          <w:rtl/>
        </w:rPr>
        <w:t xml:space="preserve">[יתר על כן, מתעוררת כאן שאלה של פגיעה בזכות שבה נעסוק </w:t>
      </w:r>
      <w:r>
        <w:rPr>
          <w:rFonts w:hint="cs"/>
          <w:sz w:val="22"/>
          <w:szCs w:val="22"/>
          <w:rtl/>
        </w:rPr>
        <w:t>בסמסטר הבא</w:t>
      </w:r>
      <w:r w:rsidRPr="00917C23">
        <w:rPr>
          <w:rFonts w:hint="cs"/>
          <w:sz w:val="22"/>
          <w:szCs w:val="22"/>
          <w:rtl/>
        </w:rPr>
        <w:t xml:space="preserve">, והיא הזכות הקולקטיבית העומדת למיעוט ביחס לשפתו, הערבית, מכוח מעמדה של הערבית בישראל כשפה רשמית]. </w:t>
      </w:r>
    </w:p>
    <w:p w:rsidR="005366A8" w:rsidRDefault="005366A8" w:rsidP="005366A8">
      <w:pPr>
        <w:spacing w:after="60"/>
        <w:rPr>
          <w:sz w:val="22"/>
          <w:szCs w:val="22"/>
          <w:rtl/>
        </w:rPr>
      </w:pPr>
      <w:r w:rsidRPr="00917C23">
        <w:rPr>
          <w:rFonts w:hint="cs"/>
          <w:sz w:val="22"/>
          <w:szCs w:val="22"/>
          <w:rtl/>
        </w:rPr>
        <w:t xml:space="preserve">אך גם לוּ היינו מניחים שמתעוררת כאן רק שאלה של ביטוי מסחרי, עדיין הפגיעה בו היא פגיעה בזכות יסוד.  </w:t>
      </w:r>
    </w:p>
    <w:p w:rsidR="005366A8" w:rsidRPr="00917C23" w:rsidRDefault="005366A8" w:rsidP="005366A8">
      <w:pPr>
        <w:spacing w:after="60"/>
        <w:ind w:left="720"/>
        <w:rPr>
          <w:sz w:val="22"/>
          <w:szCs w:val="22"/>
          <w:rtl/>
        </w:rPr>
      </w:pPr>
      <w:r>
        <w:rPr>
          <w:rFonts w:hint="cs"/>
          <w:sz w:val="22"/>
          <w:szCs w:val="22"/>
          <w:rtl/>
        </w:rPr>
        <w:t>[</w:t>
      </w:r>
      <w:r w:rsidRPr="00917C23">
        <w:rPr>
          <w:rFonts w:hint="cs"/>
          <w:sz w:val="22"/>
          <w:szCs w:val="22"/>
          <w:rtl/>
        </w:rPr>
        <w:t xml:space="preserve">אמנם טענתי בכיתה כי חופש הביטוי המסחרי לא יוגן (בשונה מחופש הביטוי הפוליטי או האמנותי) מכוח הזכות "לכבוד האדם", ועל כן </w:t>
      </w:r>
      <w:r>
        <w:rPr>
          <w:rFonts w:hint="cs"/>
          <w:sz w:val="22"/>
          <w:szCs w:val="22"/>
          <w:rtl/>
        </w:rPr>
        <w:t xml:space="preserve">יש להניח כי אין לו </w:t>
      </w:r>
      <w:r w:rsidRPr="00917C23">
        <w:rPr>
          <w:rFonts w:hint="cs"/>
          <w:b/>
          <w:bCs/>
          <w:sz w:val="22"/>
          <w:szCs w:val="22"/>
          <w:rtl/>
        </w:rPr>
        <w:t>מעמד</w:t>
      </w:r>
      <w:r>
        <w:rPr>
          <w:rFonts w:hint="cs"/>
          <w:b/>
          <w:bCs/>
          <w:sz w:val="22"/>
          <w:szCs w:val="22"/>
          <w:rtl/>
        </w:rPr>
        <w:t xml:space="preserve"> </w:t>
      </w:r>
      <w:r w:rsidRPr="00917C23">
        <w:rPr>
          <w:rFonts w:hint="cs"/>
          <w:b/>
          <w:bCs/>
          <w:sz w:val="22"/>
          <w:szCs w:val="22"/>
          <w:rtl/>
        </w:rPr>
        <w:t>חוקתי</w:t>
      </w:r>
      <w:r w:rsidRPr="00917C23">
        <w:rPr>
          <w:rFonts w:hint="cs"/>
          <w:sz w:val="22"/>
          <w:szCs w:val="22"/>
          <w:rtl/>
        </w:rPr>
        <w:t>; ואולם במקביל התחלנו בכיתה דיון מעניין שעניינו השאלה, האם פגיעה בחופש ביטוי מסחרי אינה פוגעת בחופש העיסוק או בחופש הקניין, שתי זכויות המעוגנות בבירור בחוק</w:t>
      </w:r>
      <w:r>
        <w:rPr>
          <w:rFonts w:hint="cs"/>
          <w:sz w:val="22"/>
          <w:szCs w:val="22"/>
          <w:rtl/>
        </w:rPr>
        <w:t>י היסוד</w:t>
      </w:r>
      <w:r w:rsidRPr="00917C23">
        <w:rPr>
          <w:rFonts w:hint="cs"/>
          <w:sz w:val="22"/>
          <w:szCs w:val="22"/>
          <w:rtl/>
        </w:rPr>
        <w:t xml:space="preserve">.  כך או כך, דיון זה הוא אמנם מעניין, ואולם </w:t>
      </w:r>
      <w:r w:rsidRPr="00917C23">
        <w:rPr>
          <w:sz w:val="22"/>
          <w:szCs w:val="22"/>
          <w:rtl/>
        </w:rPr>
        <w:t>–</w:t>
      </w:r>
      <w:r w:rsidRPr="00917C23">
        <w:rPr>
          <w:rFonts w:hint="cs"/>
          <w:sz w:val="22"/>
          <w:szCs w:val="22"/>
          <w:rtl/>
        </w:rPr>
        <w:t xml:space="preserve"> כאמור לעיל, ביחס לחוק העזר הסיירת העירונית </w:t>
      </w:r>
      <w:r w:rsidRPr="00917C23">
        <w:rPr>
          <w:sz w:val="22"/>
          <w:szCs w:val="22"/>
          <w:rtl/>
        </w:rPr>
        <w:t>–</w:t>
      </w:r>
      <w:r w:rsidRPr="00917C23">
        <w:rPr>
          <w:rFonts w:hint="cs"/>
          <w:sz w:val="22"/>
          <w:szCs w:val="22"/>
          <w:rtl/>
        </w:rPr>
        <w:t xml:space="preserve"> דיון זה לא מתעורר כאן ישירות, שכן כאן לא מותקפת חקיקה ראשית אלא </w:t>
      </w:r>
      <w:r w:rsidRPr="00917C23">
        <w:rPr>
          <w:rFonts w:hint="cs"/>
          <w:b/>
          <w:bCs/>
          <w:sz w:val="22"/>
          <w:szCs w:val="22"/>
          <w:rtl/>
        </w:rPr>
        <w:t>חקיקת משנה</w:t>
      </w:r>
      <w:r w:rsidRPr="00917C23">
        <w:rPr>
          <w:rFonts w:hint="cs"/>
          <w:sz w:val="22"/>
          <w:szCs w:val="22"/>
          <w:rtl/>
        </w:rPr>
        <w:t>.</w:t>
      </w:r>
      <w:r>
        <w:rPr>
          <w:rFonts w:hint="cs"/>
          <w:sz w:val="22"/>
          <w:szCs w:val="22"/>
          <w:rtl/>
        </w:rPr>
        <w:t>]</w:t>
      </w:r>
    </w:p>
    <w:p w:rsidR="005366A8" w:rsidRDefault="005366A8" w:rsidP="005366A8">
      <w:pPr>
        <w:spacing w:after="60"/>
        <w:rPr>
          <w:sz w:val="22"/>
          <w:szCs w:val="22"/>
          <w:rtl/>
        </w:rPr>
      </w:pPr>
      <w:r w:rsidRPr="00917C23">
        <w:rPr>
          <w:rFonts w:hint="cs"/>
          <w:sz w:val="22"/>
          <w:szCs w:val="22"/>
          <w:rtl/>
        </w:rPr>
        <w:t>כיצד בוחנים תוקף של חקיקת משנה המגבילה זכויות יסוד</w:t>
      </w:r>
      <w:r>
        <w:rPr>
          <w:rFonts w:hint="cs"/>
          <w:sz w:val="22"/>
          <w:szCs w:val="22"/>
          <w:rtl/>
        </w:rPr>
        <w:t xml:space="preserve"> (וכאן, חופש ביטוי מסחרי)</w:t>
      </w:r>
      <w:r w:rsidRPr="00917C23">
        <w:rPr>
          <w:rFonts w:hint="cs"/>
          <w:sz w:val="22"/>
          <w:szCs w:val="22"/>
          <w:rtl/>
        </w:rPr>
        <w:t xml:space="preserve">?  </w:t>
      </w:r>
    </w:p>
    <w:p w:rsidR="005366A8" w:rsidRPr="00917C23" w:rsidRDefault="005366A8" w:rsidP="005366A8">
      <w:pPr>
        <w:spacing w:after="60"/>
        <w:rPr>
          <w:sz w:val="22"/>
          <w:szCs w:val="22"/>
          <w:rtl/>
        </w:rPr>
      </w:pPr>
      <w:r>
        <w:rPr>
          <w:rFonts w:hint="cs"/>
          <w:sz w:val="22"/>
          <w:szCs w:val="22"/>
          <w:rtl/>
        </w:rPr>
        <w:t>אנו שבים</w:t>
      </w:r>
      <w:r w:rsidRPr="00917C23">
        <w:rPr>
          <w:rFonts w:hint="cs"/>
          <w:sz w:val="22"/>
          <w:szCs w:val="22"/>
          <w:rtl/>
        </w:rPr>
        <w:t xml:space="preserve"> לניתוח </w:t>
      </w:r>
      <w:r>
        <w:rPr>
          <w:rFonts w:hint="cs"/>
          <w:sz w:val="22"/>
          <w:szCs w:val="22"/>
          <w:rtl/>
        </w:rPr>
        <w:t xml:space="preserve">במתווה הניתוח </w:t>
      </w:r>
      <w:r w:rsidRPr="00917C23">
        <w:rPr>
          <w:rFonts w:hint="cs"/>
          <w:sz w:val="22"/>
          <w:szCs w:val="22"/>
          <w:rtl/>
        </w:rPr>
        <w:t xml:space="preserve">שנעשה לעיל ביחס לחוק-עזר הסיירת העירונית.  </w:t>
      </w:r>
    </w:p>
    <w:p w:rsidR="005366A8" w:rsidRPr="00917C23" w:rsidRDefault="005366A8" w:rsidP="005366A8">
      <w:pPr>
        <w:spacing w:after="60"/>
        <w:ind w:left="720"/>
        <w:rPr>
          <w:sz w:val="22"/>
          <w:szCs w:val="22"/>
          <w:rtl/>
        </w:rPr>
      </w:pPr>
      <w:r w:rsidRPr="00917C23">
        <w:rPr>
          <w:rFonts w:hint="cs"/>
          <w:sz w:val="22"/>
          <w:szCs w:val="22"/>
          <w:rtl/>
        </w:rPr>
        <w:t>[אגב, העובדה שביטוי מסחרי הוא בעל ערך בסיסי נמוך יותר מהביטוי הפוליטי או האמנותי, משפיעה על אופן הניתוח של פסקת ההגבלה בכל הנוגע ל</w:t>
      </w:r>
      <w:r>
        <w:rPr>
          <w:rFonts w:hint="cs"/>
          <w:sz w:val="22"/>
          <w:szCs w:val="22"/>
          <w:rtl/>
        </w:rPr>
        <w:t xml:space="preserve">מידתיות </w:t>
      </w:r>
      <w:r w:rsidRPr="00917C23">
        <w:rPr>
          <w:rFonts w:hint="cs"/>
          <w:sz w:val="22"/>
          <w:szCs w:val="22"/>
          <w:rtl/>
        </w:rPr>
        <w:t>הגבלתו של ביטוי מסוג זה</w:t>
      </w:r>
      <w:r>
        <w:rPr>
          <w:rFonts w:hint="cs"/>
          <w:sz w:val="22"/>
          <w:szCs w:val="22"/>
          <w:rtl/>
        </w:rPr>
        <w:t>; ואולם התבקשתם שלא לדון כאן בסוגיית המידתיות</w:t>
      </w:r>
      <w:r w:rsidRPr="00917C23">
        <w:rPr>
          <w:rFonts w:hint="cs"/>
          <w:sz w:val="22"/>
          <w:szCs w:val="22"/>
          <w:rtl/>
        </w:rPr>
        <w:t>].</w:t>
      </w:r>
    </w:p>
    <w:p w:rsidR="005366A8" w:rsidRPr="00917C23" w:rsidRDefault="005366A8" w:rsidP="005366A8">
      <w:pPr>
        <w:spacing w:after="60"/>
        <w:rPr>
          <w:sz w:val="22"/>
          <w:szCs w:val="22"/>
          <w:rtl/>
        </w:rPr>
      </w:pPr>
      <w:r w:rsidRPr="00917C23">
        <w:rPr>
          <w:rFonts w:hint="cs"/>
          <w:sz w:val="22"/>
          <w:szCs w:val="22"/>
          <w:rtl/>
        </w:rPr>
        <w:t>הבדל אחד חשוב מופיע בכל זאת בכל הנוגע למתווה הניתוח של חוק העזר</w:t>
      </w:r>
      <w:r>
        <w:rPr>
          <w:rFonts w:hint="cs"/>
          <w:sz w:val="22"/>
          <w:szCs w:val="22"/>
          <w:rtl/>
        </w:rPr>
        <w:t>:</w:t>
      </w:r>
      <w:r w:rsidRPr="00917C23">
        <w:rPr>
          <w:rFonts w:hint="cs"/>
          <w:sz w:val="22"/>
          <w:szCs w:val="22"/>
          <w:rtl/>
        </w:rPr>
        <w:t xml:space="preserve"> מודעות לעומת חוק העזר</w:t>
      </w:r>
      <w:r>
        <w:rPr>
          <w:rFonts w:hint="cs"/>
          <w:sz w:val="22"/>
          <w:szCs w:val="22"/>
          <w:rtl/>
        </w:rPr>
        <w:t>:</w:t>
      </w:r>
      <w:r w:rsidRPr="00917C23">
        <w:rPr>
          <w:rFonts w:hint="cs"/>
          <w:sz w:val="22"/>
          <w:szCs w:val="22"/>
          <w:rtl/>
        </w:rPr>
        <w:t xml:space="preserve"> סיירת המתנדבים.  בעניינו של הראשון מתעוררת </w:t>
      </w:r>
      <w:r w:rsidRPr="00917C23">
        <w:rPr>
          <w:rFonts w:hint="cs"/>
          <w:b/>
          <w:bCs/>
          <w:sz w:val="22"/>
          <w:szCs w:val="22"/>
          <w:rtl/>
        </w:rPr>
        <w:t>פסקת "שמירת הדינים"</w:t>
      </w:r>
      <w:r w:rsidRPr="00917C23">
        <w:rPr>
          <w:rFonts w:hint="cs"/>
          <w:sz w:val="22"/>
          <w:szCs w:val="22"/>
          <w:rtl/>
        </w:rPr>
        <w:t xml:space="preserve"> המופיעה בחוק יסוד: כבוד האדם וחירותו והקובעת לאמור: </w:t>
      </w:r>
      <w:r w:rsidRPr="00917C23">
        <w:rPr>
          <w:rFonts w:cs="David" w:hint="cs"/>
          <w:sz w:val="22"/>
          <w:szCs w:val="22"/>
          <w:rtl/>
        </w:rPr>
        <w:t>"אין בחוק-יסוד זה כדי לפגוע בתוקפו של דין שהיה קיים ערב תחילתו של חוק היסוד".</w:t>
      </w:r>
      <w:r w:rsidRPr="00917C23">
        <w:rPr>
          <w:rFonts w:hint="cs"/>
          <w:sz w:val="22"/>
          <w:szCs w:val="22"/>
          <w:rtl/>
        </w:rPr>
        <w:t xml:space="preserve">  פסקה זו מגוננת לכאורה על חוק העזר בענייננו כאן</w:t>
      </w:r>
      <w:r>
        <w:rPr>
          <w:rFonts w:hint="cs"/>
          <w:sz w:val="22"/>
          <w:szCs w:val="22"/>
          <w:rtl/>
        </w:rPr>
        <w:t>, שהוא משנת 1961</w:t>
      </w:r>
      <w:r w:rsidRPr="00917C23">
        <w:rPr>
          <w:rFonts w:hint="cs"/>
          <w:sz w:val="22"/>
          <w:szCs w:val="22"/>
          <w:rtl/>
        </w:rPr>
        <w:t>.</w:t>
      </w:r>
    </w:p>
    <w:p w:rsidR="005366A8" w:rsidRPr="00917C23" w:rsidRDefault="005366A8" w:rsidP="005366A8">
      <w:pPr>
        <w:spacing w:after="60"/>
        <w:ind w:left="720"/>
        <w:rPr>
          <w:sz w:val="22"/>
          <w:szCs w:val="22"/>
          <w:rtl/>
        </w:rPr>
      </w:pPr>
      <w:r w:rsidRPr="00CA5A43">
        <w:rPr>
          <w:rFonts w:hint="cs"/>
          <w:sz w:val="22"/>
          <w:szCs w:val="22"/>
          <w:highlight w:val="yellow"/>
          <w:rtl/>
        </w:rPr>
        <w:t xml:space="preserve">[לא דנו בכך, ולכן זה כמובן לא נדרש כחלק מהתשובה, ואולם יש משהו קצת מטעה/ לא-ברור בסוגיית השפעת פסקת שמירת הדינים על תוקפה של חקיקת משנה להבדיל מהשפעתה על חקיקה.  המינוח "דין" הוא רחב, והוא כולל לכאורה את רוב הנורמות המשפטיות: חקיקת-יסוד, חקיקה, "משפט מקובל נוסח ישראל", חקיקת משנה, </w:t>
      </w:r>
      <w:r w:rsidRPr="00CA5A43">
        <w:rPr>
          <w:rFonts w:hint="cs"/>
          <w:b/>
          <w:bCs/>
          <w:sz w:val="22"/>
          <w:szCs w:val="22"/>
          <w:highlight w:val="yellow"/>
          <w:rtl/>
        </w:rPr>
        <w:t>ולכן הוא מגן לכאורה על חוק עזר מלפני שנות התשעים, כמו זה שעומד כאן לדיון</w:t>
      </w:r>
      <w:r w:rsidRPr="00CA5A43">
        <w:rPr>
          <w:rFonts w:hint="cs"/>
          <w:sz w:val="22"/>
          <w:szCs w:val="22"/>
          <w:highlight w:val="yellow"/>
          <w:rtl/>
        </w:rPr>
        <w:t xml:space="preserve"> [חוק עזר מקומי הוא, כזכור, סוג של חקיקת משנה].  עם זאת, חקיקת משנה שפגעה בזכות יסוד ללא הסמכה בחוק, או תוך חריגה ממתחם המידתיות, היא נורמה שאיננה תקפה; היא אינה תקפה לא בשל "חוק היסוד" (שמפניו יש לה לכאורה חסינות) אלא בשל התנגשותה בנורמות שנקבעו </w:t>
      </w:r>
      <w:r w:rsidRPr="00CA5A43">
        <w:rPr>
          <w:rFonts w:hint="cs"/>
          <w:i/>
          <w:iCs/>
          <w:sz w:val="22"/>
          <w:szCs w:val="22"/>
          <w:highlight w:val="yellow"/>
          <w:rtl/>
        </w:rPr>
        <w:t>עוד לפני</w:t>
      </w:r>
      <w:r w:rsidRPr="00CA5A43">
        <w:rPr>
          <w:rFonts w:hint="cs"/>
          <w:sz w:val="22"/>
          <w:szCs w:val="22"/>
          <w:highlight w:val="yellow"/>
          <w:rtl/>
        </w:rPr>
        <w:t xml:space="preserve"> חוק היסוד ומצויות במדרגה אחרת של הפירמידה הנורמטיבית (דרגה הנמוכה מחוק-יסוד ונמוכה מחוק אך </w:t>
      </w:r>
      <w:r w:rsidRPr="00CA5A43">
        <w:rPr>
          <w:rFonts w:hint="cs"/>
          <w:b/>
          <w:bCs/>
          <w:sz w:val="22"/>
          <w:szCs w:val="22"/>
          <w:highlight w:val="yellow"/>
          <w:rtl/>
        </w:rPr>
        <w:t>עדיין גבוהה מחקיקת-משנה; קרי, "המשפט המקובל נוסח ישראל"</w:t>
      </w:r>
      <w:r w:rsidRPr="00CA5A43">
        <w:rPr>
          <w:rFonts w:hint="cs"/>
          <w:sz w:val="22"/>
          <w:szCs w:val="22"/>
          <w:highlight w:val="yellow"/>
          <w:rtl/>
        </w:rPr>
        <w:t>) {</w:t>
      </w:r>
      <w:r>
        <w:rPr>
          <w:rFonts w:hint="cs"/>
          <w:sz w:val="22"/>
          <w:szCs w:val="22"/>
          <w:highlight w:val="yellow"/>
          <w:rtl/>
        </w:rPr>
        <w:t xml:space="preserve">זכרו למשל </w:t>
      </w:r>
      <w:r w:rsidRPr="00CA5A43">
        <w:rPr>
          <w:rFonts w:hint="cs"/>
          <w:sz w:val="22"/>
          <w:szCs w:val="22"/>
          <w:highlight w:val="yellow"/>
          <w:rtl/>
        </w:rPr>
        <w:t xml:space="preserve">את פס"ד </w:t>
      </w:r>
      <w:r w:rsidRPr="00CA5A43">
        <w:rPr>
          <w:rFonts w:hint="cs"/>
          <w:b/>
          <w:bCs/>
          <w:sz w:val="22"/>
          <w:szCs w:val="22"/>
          <w:highlight w:val="yellow"/>
          <w:rtl/>
        </w:rPr>
        <w:t>בז'רנו</w:t>
      </w:r>
      <w:r>
        <w:rPr>
          <w:rFonts w:hint="cs"/>
          <w:sz w:val="22"/>
          <w:szCs w:val="22"/>
          <w:highlight w:val="yellow"/>
          <w:rtl/>
        </w:rPr>
        <w:t xml:space="preserve"> מראשית שנות המדינה</w:t>
      </w:r>
      <w:r w:rsidRPr="00CA5A43">
        <w:rPr>
          <w:rFonts w:hint="cs"/>
          <w:sz w:val="22"/>
          <w:szCs w:val="22"/>
          <w:highlight w:val="yellow"/>
          <w:rtl/>
        </w:rPr>
        <w:t>}.  אשר על כן, נראה שפסקת שמירת הדינים לא 'מצילה' (לא מגוננת, לא מקנה חסינות מתקיפה) לחוק העזר בענייננו</w:t>
      </w:r>
      <w:r>
        <w:rPr>
          <w:rFonts w:hint="cs"/>
          <w:sz w:val="22"/>
          <w:szCs w:val="22"/>
          <w:rtl/>
        </w:rPr>
        <w:t>.</w:t>
      </w:r>
      <w:r w:rsidRPr="00917C23">
        <w:rPr>
          <w:rFonts w:hint="cs"/>
          <w:sz w:val="22"/>
          <w:szCs w:val="22"/>
          <w:rtl/>
        </w:rPr>
        <w:t>]</w:t>
      </w:r>
    </w:p>
    <w:p w:rsidR="005366A8" w:rsidRPr="00917C23" w:rsidRDefault="005366A8" w:rsidP="005366A8">
      <w:pPr>
        <w:spacing w:after="60"/>
        <w:ind w:left="720"/>
        <w:rPr>
          <w:sz w:val="22"/>
          <w:szCs w:val="22"/>
          <w:rtl/>
        </w:rPr>
      </w:pPr>
      <w:r w:rsidRPr="00917C23">
        <w:rPr>
          <w:rFonts w:hint="cs"/>
          <w:sz w:val="22"/>
          <w:szCs w:val="22"/>
          <w:rtl/>
        </w:rPr>
        <w:t xml:space="preserve">[יש מי שיטען כי פגיעה בחופש הביטוי המסחרי של אדם/תאגיד היא פגיעה אפשרות בחופש העיסוק שלו (זה עלה גם בדיון בכיתה); על פגיעה שכזו, כזכור, </w:t>
      </w:r>
      <w:r w:rsidRPr="00917C23">
        <w:rPr>
          <w:rFonts w:hint="cs"/>
          <w:b/>
          <w:bCs/>
          <w:sz w:val="22"/>
          <w:szCs w:val="22"/>
          <w:rtl/>
        </w:rPr>
        <w:t>לא חלה</w:t>
      </w:r>
      <w:r w:rsidRPr="00917C23">
        <w:rPr>
          <w:rFonts w:hint="cs"/>
          <w:sz w:val="22"/>
          <w:szCs w:val="22"/>
          <w:rtl/>
        </w:rPr>
        <w:t xml:space="preserve"> פסקת שמירת הדינים, שכן פסקה זו מופיעה עתה רק בחוק יסוד: כבוד האדם וחירותו; היא חלה בעבר גם על חוק יסוד: חופש העיסוק, אך שם היא הייתה קצובה בזמן ותקופת הזמן פקעה].</w:t>
      </w:r>
    </w:p>
    <w:p w:rsidR="005366A8" w:rsidRPr="00917C23" w:rsidRDefault="005366A8" w:rsidP="005366A8">
      <w:pPr>
        <w:spacing w:after="60"/>
        <w:rPr>
          <w:sz w:val="22"/>
          <w:szCs w:val="22"/>
          <w:rtl/>
        </w:rPr>
      </w:pPr>
    </w:p>
    <w:p w:rsidR="005366A8" w:rsidRPr="00917C23" w:rsidRDefault="005366A8" w:rsidP="005366A8">
      <w:pPr>
        <w:spacing w:after="60"/>
        <w:rPr>
          <w:sz w:val="22"/>
          <w:szCs w:val="22"/>
          <w:u w:val="single"/>
          <w:rtl/>
        </w:rPr>
      </w:pPr>
      <w:r w:rsidRPr="00917C23">
        <w:rPr>
          <w:rFonts w:hint="cs"/>
          <w:b/>
          <w:bCs/>
          <w:sz w:val="22"/>
          <w:szCs w:val="22"/>
          <w:u w:val="single"/>
          <w:rtl/>
        </w:rPr>
        <w:t xml:space="preserve">3. האם נפלו פגמים אחרים/ נוספים בפעולותיה של מועצת העיר? </w:t>
      </w:r>
      <w:r w:rsidRPr="00917C23">
        <w:rPr>
          <w:rFonts w:hint="cs"/>
          <w:sz w:val="22"/>
          <w:szCs w:val="22"/>
          <w:u w:val="single"/>
          <w:rtl/>
        </w:rPr>
        <w:t xml:space="preserve"> </w:t>
      </w:r>
    </w:p>
    <w:p w:rsidR="005366A8" w:rsidRPr="00917C23" w:rsidRDefault="005366A8" w:rsidP="005366A8">
      <w:pPr>
        <w:spacing w:after="60"/>
        <w:rPr>
          <w:sz w:val="22"/>
          <w:szCs w:val="22"/>
          <w:rtl/>
        </w:rPr>
      </w:pPr>
    </w:p>
    <w:p w:rsidR="005366A8" w:rsidRPr="00917C23" w:rsidRDefault="005366A8" w:rsidP="005366A8">
      <w:pPr>
        <w:spacing w:after="60"/>
        <w:rPr>
          <w:sz w:val="22"/>
          <w:szCs w:val="22"/>
          <w:rtl/>
        </w:rPr>
      </w:pPr>
      <w:r w:rsidRPr="00917C23">
        <w:rPr>
          <w:rFonts w:hint="cs"/>
          <w:sz w:val="22"/>
          <w:szCs w:val="22"/>
          <w:rtl/>
        </w:rPr>
        <w:t xml:space="preserve">מועצת העיר גם מחליטה לתמוך כספית בקמפיין ציבורי ארצי המנוהל על ידי עמותת "גדר גבוהה </w:t>
      </w:r>
      <w:r w:rsidRPr="00917C23">
        <w:rPr>
          <w:sz w:val="22"/>
          <w:szCs w:val="22"/>
          <w:rtl/>
        </w:rPr>
        <w:t>–</w:t>
      </w:r>
      <w:r w:rsidRPr="00917C23">
        <w:rPr>
          <w:rFonts w:hint="cs"/>
          <w:sz w:val="22"/>
          <w:szCs w:val="22"/>
          <w:rtl/>
        </w:rPr>
        <w:t xml:space="preserve"> שכנים טובים", המקדמת, בין היתר, את עקרון ההפרדה הבין-קהילתית.</w:t>
      </w:r>
    </w:p>
    <w:p w:rsidR="005366A8" w:rsidRPr="00917C23" w:rsidRDefault="005366A8" w:rsidP="005366A8">
      <w:pPr>
        <w:spacing w:after="60"/>
        <w:rPr>
          <w:sz w:val="22"/>
          <w:szCs w:val="22"/>
          <w:rtl/>
        </w:rPr>
      </w:pPr>
    </w:p>
    <w:p w:rsidR="005366A8" w:rsidRPr="00917C23" w:rsidRDefault="005366A8" w:rsidP="005366A8">
      <w:pPr>
        <w:spacing w:after="60"/>
        <w:rPr>
          <w:sz w:val="22"/>
          <w:szCs w:val="22"/>
          <w:rtl/>
        </w:rPr>
      </w:pPr>
      <w:r w:rsidRPr="00917C23">
        <w:rPr>
          <w:rFonts w:hint="cs"/>
          <w:sz w:val="22"/>
          <w:szCs w:val="22"/>
          <w:rtl/>
        </w:rPr>
        <w:t xml:space="preserve">סוגיה זו נדונה בצורה מקיפה בפסיקה.  מדובר בפס"ד </w:t>
      </w:r>
      <w:r w:rsidRPr="00917C23">
        <w:rPr>
          <w:rFonts w:hint="cs"/>
          <w:b/>
          <w:bCs/>
          <w:sz w:val="22"/>
          <w:szCs w:val="22"/>
          <w:rtl/>
        </w:rPr>
        <w:t>גרינברג</w:t>
      </w:r>
      <w:r w:rsidRPr="00917C23">
        <w:rPr>
          <w:rFonts w:hint="cs"/>
          <w:sz w:val="22"/>
          <w:szCs w:val="22"/>
          <w:rtl/>
        </w:rPr>
        <w:t xml:space="preserve"> ובפס"ד </w:t>
      </w:r>
      <w:r w:rsidRPr="00917C23">
        <w:rPr>
          <w:rFonts w:hint="cs"/>
          <w:b/>
          <w:bCs/>
          <w:sz w:val="22"/>
          <w:szCs w:val="22"/>
          <w:rtl/>
        </w:rPr>
        <w:t>שלום עכשיו</w:t>
      </w:r>
      <w:r w:rsidRPr="00917C23">
        <w:rPr>
          <w:rFonts w:hint="cs"/>
          <w:sz w:val="22"/>
          <w:szCs w:val="22"/>
          <w:rtl/>
        </w:rPr>
        <w:t xml:space="preserve">.  פסק הדין המנחה הוא עתה פסק הדין של </w:t>
      </w:r>
      <w:r w:rsidRPr="00917C23">
        <w:rPr>
          <w:rFonts w:hint="cs"/>
          <w:b/>
          <w:bCs/>
          <w:sz w:val="22"/>
          <w:szCs w:val="22"/>
          <w:rtl/>
        </w:rPr>
        <w:t>שלום עכשיו</w:t>
      </w:r>
      <w:r w:rsidRPr="00917C23">
        <w:rPr>
          <w:rFonts w:hint="cs"/>
          <w:sz w:val="22"/>
          <w:szCs w:val="22"/>
          <w:rtl/>
        </w:rPr>
        <w:t>, שעסק בסמכותן של הרשויות המקומיות היהודיות ביהודה ושומרון/ בגדה המערבית להשתתף במסע ציבורי כנגד ההתנתקות מרצועת עזה.  כך מסכם את הדברים ד"ר רוזן-צבי בד</w:t>
      </w:r>
      <w:r>
        <w:rPr>
          <w:rFonts w:hint="cs"/>
          <w:sz w:val="22"/>
          <w:szCs w:val="22"/>
          <w:rtl/>
        </w:rPr>
        <w:t xml:space="preserve">פים </w:t>
      </w:r>
      <w:r w:rsidRPr="00917C23">
        <w:rPr>
          <w:rFonts w:hint="cs"/>
          <w:sz w:val="22"/>
          <w:szCs w:val="22"/>
          <w:rtl/>
        </w:rPr>
        <w:t>שחולק</w:t>
      </w:r>
      <w:r>
        <w:rPr>
          <w:rFonts w:hint="cs"/>
          <w:sz w:val="22"/>
          <w:szCs w:val="22"/>
          <w:rtl/>
        </w:rPr>
        <w:t>ו</w:t>
      </w:r>
      <w:r w:rsidRPr="00917C23">
        <w:rPr>
          <w:rFonts w:hint="cs"/>
          <w:sz w:val="22"/>
          <w:szCs w:val="22"/>
          <w:rtl/>
        </w:rPr>
        <w:t xml:space="preserve"> לכם (הושמטו הערות השוליים):</w:t>
      </w:r>
    </w:p>
    <w:p w:rsidR="005366A8" w:rsidRPr="008301D2" w:rsidRDefault="005366A8" w:rsidP="005366A8">
      <w:pPr>
        <w:spacing w:after="60"/>
        <w:ind w:left="720"/>
        <w:rPr>
          <w:sz w:val="20"/>
          <w:szCs w:val="20"/>
          <w:rtl/>
        </w:rPr>
      </w:pPr>
      <w:r w:rsidRPr="008301D2">
        <w:rPr>
          <w:sz w:val="20"/>
          <w:szCs w:val="20"/>
          <w:rtl/>
        </w:rPr>
        <w:t>עתיר</w:t>
      </w:r>
      <w:r w:rsidRPr="008301D2">
        <w:rPr>
          <w:rFonts w:hint="cs"/>
          <w:sz w:val="20"/>
          <w:szCs w:val="20"/>
          <w:rtl/>
        </w:rPr>
        <w:t>ת שלום עכשיו</w:t>
      </w:r>
      <w:r w:rsidRPr="008301D2">
        <w:rPr>
          <w:sz w:val="20"/>
          <w:szCs w:val="20"/>
          <w:rtl/>
        </w:rPr>
        <w:t xml:space="preserve"> </w:t>
      </w:r>
      <w:r w:rsidRPr="008301D2">
        <w:rPr>
          <w:rFonts w:hint="cs"/>
          <w:sz w:val="20"/>
          <w:szCs w:val="20"/>
          <w:rtl/>
        </w:rPr>
        <w:t xml:space="preserve">[נדחתה] </w:t>
      </w:r>
      <w:r w:rsidRPr="008301D2">
        <w:rPr>
          <w:sz w:val="20"/>
          <w:szCs w:val="20"/>
          <w:rtl/>
        </w:rPr>
        <w:t xml:space="preserve">ברוב דעות, ונקבע כי בנסיבות העניין היו הרשויות המקומיות ביהודה ושומרון רשאיות להעביר כספים למימון הקמפיין נגד תוכנית ההתנתקות. במסגרת זו אישרה דעת הרוב </w:t>
      </w:r>
      <w:r>
        <w:rPr>
          <w:rFonts w:hint="cs"/>
          <w:sz w:val="20"/>
          <w:szCs w:val="20"/>
          <w:rtl/>
        </w:rPr>
        <w:t xml:space="preserve">[בפס"ד </w:t>
      </w:r>
      <w:r w:rsidRPr="00EA4227">
        <w:rPr>
          <w:rFonts w:hint="cs"/>
          <w:b/>
          <w:bCs/>
          <w:sz w:val="20"/>
          <w:szCs w:val="20"/>
          <w:rtl/>
        </w:rPr>
        <w:t>שלום עכשיו</w:t>
      </w:r>
      <w:r>
        <w:rPr>
          <w:rFonts w:hint="cs"/>
          <w:sz w:val="20"/>
          <w:szCs w:val="20"/>
          <w:rtl/>
        </w:rPr>
        <w:t xml:space="preserve">] </w:t>
      </w:r>
      <w:r w:rsidRPr="008301D2">
        <w:rPr>
          <w:sz w:val="20"/>
          <w:szCs w:val="20"/>
          <w:rtl/>
        </w:rPr>
        <w:t xml:space="preserve">את הלכת </w:t>
      </w:r>
      <w:r w:rsidRPr="008301D2">
        <w:rPr>
          <w:b/>
          <w:bCs/>
          <w:sz w:val="20"/>
          <w:szCs w:val="20"/>
          <w:rtl/>
        </w:rPr>
        <w:t>גרינברג</w:t>
      </w:r>
      <w:r w:rsidRPr="008301D2">
        <w:rPr>
          <w:sz w:val="20"/>
          <w:szCs w:val="20"/>
          <w:rtl/>
        </w:rPr>
        <w:t xml:space="preserve">, ואף הרחיבה אותה בקובעה כי גם במצבים שבהם הרשויות המקומיות שמימנו את פעולת ההסברה אינן עומדות תחת איום קיומי מיידי כתוצאה ממדיניות הממשלה, עשוי להתקיים אינטרס מקומי נפרד מן האינטרס הלאומי, וזאת במקרה שבו הן עשויות להיות "הבאות בתור". </w:t>
      </w:r>
    </w:p>
    <w:p w:rsidR="005366A8" w:rsidRPr="008301D2" w:rsidRDefault="005366A8" w:rsidP="005366A8">
      <w:pPr>
        <w:spacing w:after="60"/>
        <w:ind w:left="1440"/>
        <w:rPr>
          <w:sz w:val="20"/>
          <w:szCs w:val="20"/>
          <w:rtl/>
        </w:rPr>
      </w:pPr>
      <w:r w:rsidRPr="008301D2">
        <w:rPr>
          <w:sz w:val="20"/>
          <w:szCs w:val="20"/>
          <w:rtl/>
        </w:rPr>
        <w:t>עם זאת, קבע בית-המשפט – גם כאן ברוב דעות, אם כי רוב אחר – כי במקרים שבהם רשות מקומית מממנת מתקציבה מאבק נגד יישום תוכנית שיש לה אופי לאומי כלל-ארצי, המדינה רשאית לקזז מתמיכתה באותה רשות (</w:t>
      </w:r>
      <w:r>
        <w:rPr>
          <w:rFonts w:hint="cs"/>
          <w:sz w:val="20"/>
          <w:szCs w:val="20"/>
          <w:rtl/>
        </w:rPr>
        <w:t xml:space="preserve">תמיכתה </w:t>
      </w:r>
      <w:r w:rsidRPr="008301D2">
        <w:rPr>
          <w:sz w:val="20"/>
          <w:szCs w:val="20"/>
          <w:rtl/>
        </w:rPr>
        <w:t xml:space="preserve">באמצעות </w:t>
      </w:r>
      <w:r>
        <w:rPr>
          <w:rFonts w:hint="cs"/>
          <w:sz w:val="20"/>
          <w:szCs w:val="20"/>
          <w:rtl/>
        </w:rPr>
        <w:t>"</w:t>
      </w:r>
      <w:r w:rsidRPr="008301D2">
        <w:rPr>
          <w:sz w:val="20"/>
          <w:szCs w:val="20"/>
          <w:rtl/>
        </w:rPr>
        <w:t>מענקי האיזון</w:t>
      </w:r>
      <w:r>
        <w:rPr>
          <w:rFonts w:hint="cs"/>
          <w:sz w:val="20"/>
          <w:szCs w:val="20"/>
          <w:rtl/>
        </w:rPr>
        <w:t>"</w:t>
      </w:r>
      <w:r w:rsidRPr="008301D2">
        <w:rPr>
          <w:sz w:val="20"/>
          <w:szCs w:val="20"/>
          <w:rtl/>
        </w:rPr>
        <w:t xml:space="preserve">) סכום כסף השווה לסכום שאותו העבירה הרשות </w:t>
      </w:r>
      <w:r>
        <w:rPr>
          <w:rFonts w:hint="cs"/>
          <w:sz w:val="20"/>
          <w:szCs w:val="20"/>
          <w:rtl/>
        </w:rPr>
        <w:t xml:space="preserve">המקומית </w:t>
      </w:r>
      <w:r w:rsidRPr="008301D2">
        <w:rPr>
          <w:sz w:val="20"/>
          <w:szCs w:val="20"/>
          <w:rtl/>
        </w:rPr>
        <w:t xml:space="preserve">למימון המאבק, שכן רשות מקומית רשאית לממן פעילות כזו ממקורותיה העצמיים בלבד. </w:t>
      </w:r>
      <w:r w:rsidRPr="008301D2">
        <w:rPr>
          <w:rFonts w:hint="cs"/>
          <w:sz w:val="20"/>
          <w:szCs w:val="20"/>
          <w:rtl/>
        </w:rPr>
        <w:t>...</w:t>
      </w:r>
    </w:p>
    <w:p w:rsidR="005366A8" w:rsidRPr="008301D2" w:rsidRDefault="005366A8" w:rsidP="005366A8">
      <w:pPr>
        <w:spacing w:after="60"/>
        <w:ind w:left="720"/>
        <w:rPr>
          <w:sz w:val="20"/>
          <w:szCs w:val="20"/>
          <w:rtl/>
        </w:rPr>
      </w:pPr>
      <w:r w:rsidRPr="008301D2">
        <w:rPr>
          <w:sz w:val="20"/>
          <w:szCs w:val="20"/>
          <w:rtl/>
        </w:rPr>
        <w:t xml:space="preserve">השופט רובינשטיין [המבטא </w:t>
      </w:r>
      <w:r>
        <w:rPr>
          <w:rFonts w:hint="cs"/>
          <w:sz w:val="20"/>
          <w:szCs w:val="20"/>
          <w:rtl/>
        </w:rPr>
        <w:t>את עמדת הרוב בפסק הדין, בשאלת סמכות הרשויות המקומיות ביהודה ושומרון להשתתף במסע הציבורי כנגד ההתנתקות בעזה</w:t>
      </w:r>
      <w:r w:rsidRPr="008301D2">
        <w:rPr>
          <w:sz w:val="20"/>
          <w:szCs w:val="20"/>
          <w:rtl/>
        </w:rPr>
        <w:t xml:space="preserve">] קובע כי המבחן לתיחום סמכויותיהן של רשויות מקומיות הוא זה שנקבע </w:t>
      </w:r>
      <w:r>
        <w:rPr>
          <w:rFonts w:hint="cs"/>
          <w:sz w:val="20"/>
          <w:szCs w:val="20"/>
          <w:rtl/>
        </w:rPr>
        <w:t xml:space="preserve">(על ידי השופט שלמה לוין) </w:t>
      </w:r>
      <w:r w:rsidRPr="008301D2">
        <w:rPr>
          <w:sz w:val="20"/>
          <w:szCs w:val="20"/>
          <w:rtl/>
        </w:rPr>
        <w:t xml:space="preserve">בפרשת </w:t>
      </w:r>
      <w:r w:rsidRPr="008301D2">
        <w:rPr>
          <w:b/>
          <w:bCs/>
          <w:sz w:val="20"/>
          <w:szCs w:val="20"/>
          <w:rtl/>
        </w:rPr>
        <w:t>גרינברג</w:t>
      </w:r>
      <w:r w:rsidRPr="008301D2">
        <w:rPr>
          <w:sz w:val="20"/>
          <w:szCs w:val="20"/>
          <w:rtl/>
        </w:rPr>
        <w:t xml:space="preserve">: "העובדה שנושא מסוים הוא בעל חשיבות לאומית, ואפילו הוא נתון במחלוקת ציבורית, אין בה כשלעצמה כדי למנוע מרשות מקומית לפעול בעניין לטובת תושביה, ככל שהללו </w:t>
      </w:r>
      <w:r w:rsidRPr="008301D2">
        <w:rPr>
          <w:sz w:val="20"/>
          <w:szCs w:val="20"/>
          <w:u w:val="single"/>
          <w:rtl/>
        </w:rPr>
        <w:t>עתידים להינזק ממנו נזק מקומי וייחודי</w:t>
      </w:r>
      <w:r w:rsidRPr="008301D2">
        <w:rPr>
          <w:sz w:val="20"/>
          <w:szCs w:val="20"/>
          <w:rtl/>
        </w:rPr>
        <w:t xml:space="preserve">." עוד הוא מכריע כי מבחן זה מתקיים במקרה דנא, שכן ניתן לזהות "קיומו של אינטרס לוקלי נפרד מהמשמעות הארצית והלאומית". האינטרס המקומי הנפרד הוא שתוכנית ההתנתקות מעזה, אף שהיא אינה מאיימת ישירות על קיומן הפיזי של הרשויות המקומיות ביהודה ושומרון, מהווה לא רק תקדים, אלא צעד ראשון בסדרה של נסיגות נוספות. </w:t>
      </w:r>
      <w:r>
        <w:rPr>
          <w:rFonts w:hint="cs"/>
          <w:sz w:val="20"/>
          <w:szCs w:val="20"/>
          <w:rtl/>
        </w:rPr>
        <w:t xml:space="preserve">ומכאן זכותן וסמכותן של הרשויות המקומיות בהתנחלויות בגדה המערבית לעסוק בכך. </w:t>
      </w:r>
      <w:r w:rsidRPr="008301D2">
        <w:rPr>
          <w:sz w:val="20"/>
          <w:szCs w:val="20"/>
          <w:rtl/>
        </w:rPr>
        <w:t xml:space="preserve">עם זאת, קובע השופט רובינשטיין, "אילו </w:t>
      </w:r>
      <w:r>
        <w:rPr>
          <w:rFonts w:hint="cs"/>
          <w:sz w:val="20"/>
          <w:szCs w:val="20"/>
          <w:rtl/>
        </w:rPr>
        <w:t>[היה מדובר ברשויות מקומיות אחרות ה]</w:t>
      </w:r>
      <w:r w:rsidRPr="008301D2">
        <w:rPr>
          <w:sz w:val="20"/>
          <w:szCs w:val="20"/>
          <w:rtl/>
        </w:rPr>
        <w:t xml:space="preserve">משתתפות במימון מסע ההסברה על מנת לסייע למועצות שהושפעו ישירות מתכנית ההתנתקות בלא השלכה עליהן עצמן, לא היה הדבר בא בגדרי הלכת </w:t>
      </w:r>
      <w:r w:rsidRPr="008301D2">
        <w:rPr>
          <w:b/>
          <w:bCs/>
          <w:sz w:val="20"/>
          <w:szCs w:val="20"/>
          <w:rtl/>
        </w:rPr>
        <w:t>גרינברג</w:t>
      </w:r>
      <w:r w:rsidRPr="008301D2">
        <w:rPr>
          <w:sz w:val="20"/>
          <w:szCs w:val="20"/>
          <w:rtl/>
        </w:rPr>
        <w:t>, שהרי 'רשות מקומית אמורה לדאוג לקהילתה – לא לכלל קהילת המדינה'"</w:t>
      </w:r>
      <w:r>
        <w:rPr>
          <w:rFonts w:hint="cs"/>
          <w:sz w:val="20"/>
          <w:szCs w:val="20"/>
          <w:rtl/>
        </w:rPr>
        <w:t xml:space="preserve"> [אלא שכאן כאמור הן עצמן היו נתונות בצל השלכות תוכנית ההתנתקות]</w:t>
      </w:r>
      <w:r w:rsidRPr="008301D2">
        <w:rPr>
          <w:sz w:val="20"/>
          <w:szCs w:val="20"/>
          <w:rtl/>
        </w:rPr>
        <w:t>.</w:t>
      </w:r>
    </w:p>
    <w:p w:rsidR="005366A8" w:rsidRPr="00917C23" w:rsidRDefault="005366A8" w:rsidP="005366A8">
      <w:pPr>
        <w:spacing w:after="60"/>
        <w:rPr>
          <w:sz w:val="22"/>
          <w:szCs w:val="22"/>
          <w:rtl/>
        </w:rPr>
      </w:pPr>
      <w:r w:rsidRPr="00A41A06">
        <w:rPr>
          <w:rFonts w:hint="cs"/>
          <w:sz w:val="22"/>
          <w:szCs w:val="22"/>
          <w:highlight w:val="yellow"/>
          <w:rtl/>
        </w:rPr>
        <w:t xml:space="preserve">מה כל זה אומר לענייננו?  האם הקמפיין להפרדה בין-קהילתית של עמותת "גדר גבוהה </w:t>
      </w:r>
      <w:r w:rsidRPr="00A41A06">
        <w:rPr>
          <w:sz w:val="22"/>
          <w:szCs w:val="22"/>
          <w:highlight w:val="yellow"/>
          <w:rtl/>
        </w:rPr>
        <w:t>–</w:t>
      </w:r>
      <w:r w:rsidRPr="00A41A06">
        <w:rPr>
          <w:rFonts w:hint="cs"/>
          <w:sz w:val="22"/>
          <w:szCs w:val="22"/>
          <w:highlight w:val="yellow"/>
          <w:rtl/>
        </w:rPr>
        <w:t xml:space="preserve"> שכנים טובים" הוא עניין מקומי, מיוחד</w:t>
      </w:r>
      <w:r>
        <w:rPr>
          <w:rFonts w:hint="cs"/>
          <w:sz w:val="22"/>
          <w:szCs w:val="22"/>
          <w:highlight w:val="yellow"/>
          <w:rtl/>
        </w:rPr>
        <w:t>, לישוב גפן</w:t>
      </w:r>
      <w:r w:rsidRPr="00A41A06">
        <w:rPr>
          <w:rFonts w:hint="cs"/>
          <w:sz w:val="22"/>
          <w:szCs w:val="22"/>
          <w:highlight w:val="yellow"/>
          <w:rtl/>
        </w:rPr>
        <w:t>?  זו שאלה מורכבת, שקיבלנו כל תשובה מנומקת בעניינה.</w:t>
      </w:r>
      <w:r w:rsidRPr="00917C23">
        <w:rPr>
          <w:rFonts w:hint="cs"/>
          <w:sz w:val="22"/>
          <w:szCs w:val="22"/>
          <w:rtl/>
        </w:rPr>
        <w:t xml:space="preserve">  </w:t>
      </w:r>
    </w:p>
    <w:p w:rsidR="005366A8" w:rsidRPr="00917C23" w:rsidRDefault="005366A8" w:rsidP="005366A8">
      <w:pPr>
        <w:spacing w:after="60"/>
        <w:ind w:left="720"/>
        <w:rPr>
          <w:sz w:val="22"/>
          <w:szCs w:val="22"/>
          <w:rtl/>
        </w:rPr>
      </w:pPr>
      <w:r w:rsidRPr="00917C23">
        <w:rPr>
          <w:rFonts w:hint="cs"/>
          <w:sz w:val="22"/>
          <w:szCs w:val="22"/>
          <w:rtl/>
        </w:rPr>
        <w:t>[אנו עצמנו נוטים מאד לתשובה שלילית, וזאת בעיקר בשל הטעם השני והשלישי שלהלן.</w:t>
      </w:r>
      <w:r>
        <w:rPr>
          <w:rFonts w:hint="cs"/>
          <w:sz w:val="22"/>
          <w:szCs w:val="22"/>
          <w:rtl/>
        </w:rPr>
        <w:t xml:space="preserve"> הטעם הראשון פונה בעיקרו דווקא בכיוון תשובה חיובית:</w:t>
      </w:r>
    </w:p>
    <w:p w:rsidR="005366A8" w:rsidRPr="00917C23" w:rsidRDefault="005366A8" w:rsidP="005366A8">
      <w:pPr>
        <w:spacing w:after="60"/>
        <w:ind w:left="720"/>
        <w:rPr>
          <w:sz w:val="22"/>
          <w:szCs w:val="22"/>
          <w:rtl/>
        </w:rPr>
      </w:pPr>
      <w:r>
        <w:rPr>
          <w:rFonts w:hint="cs"/>
          <w:sz w:val="22"/>
          <w:szCs w:val="22"/>
          <w:rtl/>
        </w:rPr>
        <w:t>(</w:t>
      </w:r>
      <w:r w:rsidRPr="00917C23">
        <w:rPr>
          <w:rFonts w:hint="cs"/>
          <w:sz w:val="22"/>
          <w:szCs w:val="22"/>
          <w:rtl/>
        </w:rPr>
        <w:t>1</w:t>
      </w:r>
      <w:r>
        <w:rPr>
          <w:rFonts w:hint="cs"/>
          <w:sz w:val="22"/>
          <w:szCs w:val="22"/>
          <w:rtl/>
        </w:rPr>
        <w:t>)</w:t>
      </w:r>
      <w:r w:rsidRPr="00917C23">
        <w:rPr>
          <w:rFonts w:hint="cs"/>
          <w:sz w:val="22"/>
          <w:szCs w:val="22"/>
          <w:rtl/>
        </w:rPr>
        <w:t xml:space="preserve">. הרבה נושאים כלל-ארציים או בעלי אופי חברתי כללי יכולים להיות בעלי השפעה מקומית (למשל סוגיות בתחום איכות הסביבה).  הרשימות המקומיות לרוב </w:t>
      </w:r>
      <w:r w:rsidRPr="00917C23">
        <w:rPr>
          <w:rFonts w:hint="cs"/>
          <w:b/>
          <w:bCs/>
          <w:sz w:val="22"/>
          <w:szCs w:val="22"/>
          <w:rtl/>
        </w:rPr>
        <w:t>לא</w:t>
      </w:r>
      <w:r w:rsidRPr="00917C23">
        <w:rPr>
          <w:rFonts w:hint="cs"/>
          <w:sz w:val="22"/>
          <w:szCs w:val="22"/>
          <w:rtl/>
        </w:rPr>
        <w:t xml:space="preserve"> נבחרות על סמך ליבון עמדותיה</w:t>
      </w:r>
      <w:r>
        <w:rPr>
          <w:rFonts w:hint="cs"/>
          <w:sz w:val="22"/>
          <w:szCs w:val="22"/>
          <w:rtl/>
        </w:rPr>
        <w:t>ן</w:t>
      </w:r>
      <w:r w:rsidRPr="00917C23">
        <w:rPr>
          <w:rFonts w:hint="cs"/>
          <w:sz w:val="22"/>
          <w:szCs w:val="22"/>
          <w:rtl/>
        </w:rPr>
        <w:t xml:space="preserve"> ביחס לאותם עניינים כלל-חברתיים.  עם זאת, נקודה זו תכופות אינה נכונה ביחס לנושאים בין-קהילתיים מקומיים כפי שקורה תכופות בערים מעורבות.  יש להניח כי ראש העיר כאן נבחר אולי דווקא בשל דעותיו אלו.  במילים אחרות, ראש העיר לא נבחר לרוב על פי עמדותיו ביחס לכיבוש/</w:t>
      </w:r>
      <w:r>
        <w:rPr>
          <w:rFonts w:hint="cs"/>
          <w:sz w:val="22"/>
          <w:szCs w:val="22"/>
          <w:rtl/>
        </w:rPr>
        <w:t xml:space="preserve"> </w:t>
      </w:r>
      <w:r w:rsidRPr="00917C23">
        <w:rPr>
          <w:rFonts w:hint="cs"/>
          <w:sz w:val="22"/>
          <w:szCs w:val="22"/>
          <w:rtl/>
        </w:rPr>
        <w:t>לשטחים/</w:t>
      </w:r>
      <w:r>
        <w:rPr>
          <w:rFonts w:hint="cs"/>
          <w:sz w:val="22"/>
          <w:szCs w:val="22"/>
          <w:rtl/>
        </w:rPr>
        <w:t xml:space="preserve"> </w:t>
      </w:r>
      <w:r w:rsidRPr="00917C23">
        <w:rPr>
          <w:rFonts w:hint="cs"/>
          <w:sz w:val="22"/>
          <w:szCs w:val="22"/>
          <w:rtl/>
        </w:rPr>
        <w:t>להתנחלויות</w:t>
      </w:r>
      <w:r>
        <w:rPr>
          <w:rFonts w:hint="cs"/>
          <w:sz w:val="22"/>
          <w:szCs w:val="22"/>
          <w:rtl/>
        </w:rPr>
        <w:t xml:space="preserve"> וכדומה</w:t>
      </w:r>
      <w:r w:rsidRPr="00917C23">
        <w:rPr>
          <w:rFonts w:hint="cs"/>
          <w:sz w:val="22"/>
          <w:szCs w:val="22"/>
          <w:rtl/>
        </w:rPr>
        <w:t xml:space="preserve">, ואולם הוא </w:t>
      </w:r>
      <w:r>
        <w:rPr>
          <w:rFonts w:hint="cs"/>
          <w:sz w:val="22"/>
          <w:szCs w:val="22"/>
          <w:rtl/>
        </w:rPr>
        <w:t xml:space="preserve">דווקא עשוי </w:t>
      </w:r>
      <w:r w:rsidRPr="00917C23">
        <w:rPr>
          <w:rFonts w:hint="cs"/>
          <w:sz w:val="22"/>
          <w:szCs w:val="22"/>
          <w:rtl/>
        </w:rPr>
        <w:t xml:space="preserve">תכופות </w:t>
      </w:r>
      <w:r>
        <w:rPr>
          <w:rFonts w:hint="cs"/>
          <w:sz w:val="22"/>
          <w:szCs w:val="22"/>
          <w:rtl/>
        </w:rPr>
        <w:t>להיבחר</w:t>
      </w:r>
      <w:r w:rsidRPr="00917C23">
        <w:rPr>
          <w:rFonts w:hint="cs"/>
          <w:sz w:val="22"/>
          <w:szCs w:val="22"/>
          <w:rtl/>
        </w:rPr>
        <w:t xml:space="preserve"> על סמך עמדותיו ביחס ליחסים הדמוגרפיים/ הבין-קהילתיים בעיר.</w:t>
      </w:r>
    </w:p>
    <w:p w:rsidR="005366A8" w:rsidRDefault="005366A8" w:rsidP="005366A8">
      <w:pPr>
        <w:spacing w:after="60"/>
        <w:ind w:left="720"/>
        <w:rPr>
          <w:sz w:val="22"/>
          <w:szCs w:val="22"/>
          <w:rtl/>
        </w:rPr>
      </w:pPr>
      <w:r>
        <w:rPr>
          <w:rFonts w:hint="cs"/>
          <w:sz w:val="22"/>
          <w:szCs w:val="22"/>
          <w:rtl/>
        </w:rPr>
        <w:t>(</w:t>
      </w:r>
      <w:r w:rsidRPr="00917C23">
        <w:rPr>
          <w:rFonts w:hint="cs"/>
          <w:sz w:val="22"/>
          <w:szCs w:val="22"/>
          <w:rtl/>
        </w:rPr>
        <w:t>2</w:t>
      </w:r>
      <w:r>
        <w:rPr>
          <w:rFonts w:hint="cs"/>
          <w:sz w:val="22"/>
          <w:szCs w:val="22"/>
          <w:rtl/>
        </w:rPr>
        <w:t>)</w:t>
      </w:r>
      <w:r w:rsidRPr="00917C23">
        <w:rPr>
          <w:rFonts w:hint="cs"/>
          <w:sz w:val="22"/>
          <w:szCs w:val="22"/>
          <w:rtl/>
        </w:rPr>
        <w:t>. הנקודה המכריעה מנקודת ראותנו נוגעת ל</w:t>
      </w:r>
      <w:r>
        <w:rPr>
          <w:rFonts w:hint="cs"/>
          <w:sz w:val="22"/>
          <w:szCs w:val="22"/>
          <w:rtl/>
        </w:rPr>
        <w:t>רעיון</w:t>
      </w:r>
      <w:r w:rsidRPr="00917C23">
        <w:rPr>
          <w:rFonts w:hint="cs"/>
          <w:sz w:val="22"/>
          <w:szCs w:val="22"/>
          <w:rtl/>
        </w:rPr>
        <w:t xml:space="preserve"> ההפרדה הבין-קהילתית בערי ישראל.  </w:t>
      </w:r>
      <w:r>
        <w:rPr>
          <w:rFonts w:hint="cs"/>
          <w:sz w:val="22"/>
          <w:szCs w:val="22"/>
          <w:rtl/>
        </w:rPr>
        <w:t xml:space="preserve">שימוש בטובין שלטוניים לשם </w:t>
      </w:r>
      <w:r w:rsidRPr="00917C23">
        <w:rPr>
          <w:rFonts w:hint="cs"/>
          <w:sz w:val="22"/>
          <w:szCs w:val="22"/>
          <w:rtl/>
        </w:rPr>
        <w:t xml:space="preserve">הפרדה שכזו </w:t>
      </w:r>
      <w:r w:rsidRPr="00917C23">
        <w:rPr>
          <w:rFonts w:hint="cs"/>
          <w:b/>
          <w:bCs/>
          <w:sz w:val="22"/>
          <w:szCs w:val="22"/>
          <w:rtl/>
        </w:rPr>
        <w:t>נפסלה</w:t>
      </w:r>
      <w:r w:rsidRPr="00917C23">
        <w:rPr>
          <w:rFonts w:hint="cs"/>
          <w:sz w:val="22"/>
          <w:szCs w:val="22"/>
          <w:rtl/>
        </w:rPr>
        <w:t xml:space="preserve"> על ידי בית המשפט העליון ב</w:t>
      </w:r>
      <w:r w:rsidRPr="00917C23">
        <w:rPr>
          <w:rFonts w:hint="cs"/>
          <w:b/>
          <w:bCs/>
          <w:sz w:val="22"/>
          <w:szCs w:val="22"/>
          <w:rtl/>
        </w:rPr>
        <w:t>קעדאן</w:t>
      </w:r>
      <w:r w:rsidRPr="00917C23">
        <w:rPr>
          <w:rFonts w:hint="cs"/>
          <w:sz w:val="22"/>
          <w:szCs w:val="22"/>
          <w:rtl/>
        </w:rPr>
        <w:t xml:space="preserve"> [ובפסיקה נוספת שנפגוש], ועל כן היא לא יכולה להיות בסיס לפעולה או לתמיכה של רשות מקומית; שהרי זו, ככל רשות שלטונית, היא "נאמן של הציבור" וכפופה לערכיה של ישראל כמדינה יהודית ודמוקרטית.  ערכים אלו מגבילים את סמכויותיה, הן באשר לפרשנותן והן באשר לתוקפן.</w:t>
      </w:r>
      <w:r>
        <w:rPr>
          <w:rFonts w:hint="cs"/>
          <w:sz w:val="22"/>
          <w:szCs w:val="22"/>
          <w:rtl/>
        </w:rPr>
        <w:t xml:space="preserve"> </w:t>
      </w:r>
    </w:p>
    <w:p w:rsidR="005366A8" w:rsidRPr="00917C23" w:rsidRDefault="005366A8" w:rsidP="005366A8">
      <w:pPr>
        <w:spacing w:after="60"/>
        <w:ind w:left="1440"/>
        <w:rPr>
          <w:sz w:val="22"/>
          <w:szCs w:val="22"/>
          <w:rtl/>
        </w:rPr>
      </w:pPr>
      <w:r>
        <w:rPr>
          <w:rFonts w:hint="cs"/>
          <w:sz w:val="22"/>
          <w:szCs w:val="22"/>
          <w:rtl/>
        </w:rPr>
        <w:t>[יש כאן, עם זאת, שאלות מורכבות, שעניינן הנחות עובדתיות שאינן בידינו: לשימוש באלו אמצעים קוראת עמותת "גדר גבוהה", האם מהסוג הפסול של קעדאן, של אי-הקצאת קרקע, או אמצעים אחרים?]</w:t>
      </w:r>
    </w:p>
    <w:p w:rsidR="005366A8" w:rsidRDefault="005366A8" w:rsidP="005366A8">
      <w:pPr>
        <w:spacing w:after="60"/>
        <w:ind w:left="720"/>
        <w:rPr>
          <w:sz w:val="22"/>
          <w:szCs w:val="22"/>
          <w:rtl/>
        </w:rPr>
      </w:pPr>
      <w:r>
        <w:rPr>
          <w:rFonts w:hint="cs"/>
          <w:sz w:val="22"/>
          <w:szCs w:val="22"/>
          <w:rtl/>
        </w:rPr>
        <w:t>(</w:t>
      </w:r>
      <w:r w:rsidRPr="00917C23">
        <w:rPr>
          <w:rFonts w:hint="cs"/>
          <w:sz w:val="22"/>
          <w:szCs w:val="22"/>
          <w:rtl/>
        </w:rPr>
        <w:t>3</w:t>
      </w:r>
      <w:r>
        <w:rPr>
          <w:rFonts w:hint="cs"/>
          <w:sz w:val="22"/>
          <w:szCs w:val="22"/>
          <w:rtl/>
        </w:rPr>
        <w:t>)</w:t>
      </w:r>
      <w:r w:rsidRPr="00917C23">
        <w:rPr>
          <w:rFonts w:hint="cs"/>
          <w:sz w:val="22"/>
          <w:szCs w:val="22"/>
          <w:rtl/>
        </w:rPr>
        <w:t xml:space="preserve">. בפס"ד </w:t>
      </w:r>
      <w:r w:rsidRPr="00917C23">
        <w:rPr>
          <w:rFonts w:hint="cs"/>
          <w:b/>
          <w:bCs/>
          <w:sz w:val="22"/>
          <w:szCs w:val="22"/>
          <w:rtl/>
        </w:rPr>
        <w:t xml:space="preserve">שלום עכשיו </w:t>
      </w:r>
      <w:r w:rsidRPr="00917C23">
        <w:rPr>
          <w:sz w:val="22"/>
          <w:szCs w:val="22"/>
          <w:rtl/>
        </w:rPr>
        <w:t xml:space="preserve">אישרה דעת הרוב את הלכת </w:t>
      </w:r>
      <w:r w:rsidRPr="00917C23">
        <w:rPr>
          <w:b/>
          <w:bCs/>
          <w:sz w:val="22"/>
          <w:szCs w:val="22"/>
          <w:rtl/>
        </w:rPr>
        <w:t>גרינברג</w:t>
      </w:r>
      <w:r w:rsidRPr="00917C23">
        <w:rPr>
          <w:sz w:val="22"/>
          <w:szCs w:val="22"/>
          <w:rtl/>
        </w:rPr>
        <w:t>, ואף הרחיבה אותה בקובעה כי גם במצבים שבהם הרשויות המקומיות שמימנו את פעולת ההסברה אינן עומדות תחת איום קיומי מיידי כתוצאה ממדיניות הממשלה, עשוי להתקיים אינטרס מקומי נפרד מן האינטרס הלאומי, וזאת במקרה שבו הן עשויות להיות "הבאות בתור".</w:t>
      </w:r>
      <w:r w:rsidRPr="00917C23">
        <w:rPr>
          <w:rFonts w:hint="cs"/>
          <w:sz w:val="22"/>
          <w:szCs w:val="22"/>
          <w:rtl/>
        </w:rPr>
        <w:t xml:space="preserve">  ה</w:t>
      </w:r>
      <w:r>
        <w:rPr>
          <w:rFonts w:hint="cs"/>
          <w:sz w:val="22"/>
          <w:szCs w:val="22"/>
          <w:rtl/>
        </w:rPr>
        <w:t xml:space="preserve">אם </w:t>
      </w:r>
      <w:r w:rsidRPr="00917C23">
        <w:rPr>
          <w:rFonts w:hint="cs"/>
          <w:sz w:val="22"/>
          <w:szCs w:val="22"/>
          <w:rtl/>
        </w:rPr>
        <w:t>מופיע</w:t>
      </w:r>
      <w:r>
        <w:rPr>
          <w:rFonts w:hint="cs"/>
          <w:sz w:val="22"/>
          <w:szCs w:val="22"/>
          <w:rtl/>
        </w:rPr>
        <w:t>ות</w:t>
      </w:r>
      <w:r w:rsidRPr="00917C23">
        <w:rPr>
          <w:rFonts w:hint="cs"/>
          <w:sz w:val="22"/>
          <w:szCs w:val="22"/>
          <w:rtl/>
        </w:rPr>
        <w:t xml:space="preserve"> בענייננו</w:t>
      </w:r>
      <w:r>
        <w:rPr>
          <w:rFonts w:hint="cs"/>
          <w:sz w:val="22"/>
          <w:szCs w:val="22"/>
          <w:rtl/>
        </w:rPr>
        <w:t xml:space="preserve"> השלכות פוגעניות אפשריות על תושבי העיר גפן שבגליל הדומות לאלו שהיה חשש בהקשרם של הישובים היהודים בגדה המערבית בעקבות ההתנתקות </w:t>
      </w:r>
      <w:r w:rsidRPr="00917C23">
        <w:rPr>
          <w:rFonts w:hint="cs"/>
          <w:sz w:val="22"/>
          <w:szCs w:val="22"/>
          <w:rtl/>
        </w:rPr>
        <w:t xml:space="preserve">מרצועת עזה?  אנו עצמנו משיבים לכך </w:t>
      </w:r>
      <w:r>
        <w:rPr>
          <w:rFonts w:hint="cs"/>
          <w:sz w:val="22"/>
          <w:szCs w:val="22"/>
          <w:rtl/>
        </w:rPr>
        <w:t xml:space="preserve">כאמור </w:t>
      </w:r>
      <w:r w:rsidRPr="00917C23">
        <w:rPr>
          <w:rFonts w:hint="cs"/>
          <w:sz w:val="22"/>
          <w:szCs w:val="22"/>
          <w:rtl/>
        </w:rPr>
        <w:t>בשלילה</w:t>
      </w:r>
      <w:r>
        <w:rPr>
          <w:rFonts w:hint="cs"/>
          <w:sz w:val="22"/>
          <w:szCs w:val="22"/>
          <w:rtl/>
        </w:rPr>
        <w:t>, אך קיבלנו עמדה מנומקת אחרת</w:t>
      </w:r>
      <w:r w:rsidRPr="00917C23">
        <w:rPr>
          <w:rFonts w:hint="cs"/>
          <w:sz w:val="22"/>
          <w:szCs w:val="22"/>
          <w:rtl/>
        </w:rPr>
        <w:t>.]</w:t>
      </w:r>
    </w:p>
    <w:p w:rsidR="005366A8" w:rsidRDefault="005366A8" w:rsidP="005366A8">
      <w:pPr>
        <w:spacing w:after="60"/>
        <w:rPr>
          <w:sz w:val="22"/>
          <w:szCs w:val="22"/>
          <w:rtl/>
        </w:rPr>
      </w:pPr>
      <w:r>
        <w:rPr>
          <w:rFonts w:hint="cs"/>
          <w:sz w:val="22"/>
          <w:szCs w:val="22"/>
          <w:rtl/>
        </w:rPr>
        <w:t>=-=</w:t>
      </w:r>
    </w:p>
    <w:p w:rsidR="005366A8" w:rsidRPr="004A6851" w:rsidRDefault="005366A8" w:rsidP="005366A8">
      <w:pPr>
        <w:spacing w:after="60"/>
        <w:jc w:val="center"/>
        <w:rPr>
          <w:rFonts w:ascii="Arial" w:hAnsi="Arial" w:cs="Arial"/>
          <w:b/>
          <w:bCs/>
          <w:sz w:val="22"/>
          <w:szCs w:val="22"/>
          <w:rtl/>
        </w:rPr>
      </w:pPr>
      <w:r w:rsidRPr="00654A39">
        <w:rPr>
          <w:rFonts w:ascii="Arial" w:hAnsi="Arial" w:cs="Arial"/>
          <w:b/>
          <w:bCs/>
          <w:sz w:val="22"/>
          <w:szCs w:val="22"/>
          <w:highlight w:val="yellow"/>
          <w:rtl/>
        </w:rPr>
        <w:t>שומרי</w:t>
      </w:r>
      <w:r>
        <w:rPr>
          <w:rFonts w:ascii="Arial" w:hAnsi="Arial" w:cs="Arial" w:hint="cs"/>
          <w:b/>
          <w:bCs/>
          <w:sz w:val="22"/>
          <w:szCs w:val="22"/>
          <w:highlight w:val="yellow"/>
          <w:rtl/>
        </w:rPr>
        <w:t>-</w:t>
      </w:r>
      <w:r w:rsidRPr="00654A39">
        <w:rPr>
          <w:rFonts w:ascii="Arial" w:hAnsi="Arial" w:cs="Arial"/>
          <w:b/>
          <w:bCs/>
          <w:sz w:val="22"/>
          <w:szCs w:val="22"/>
          <w:highlight w:val="yellow"/>
          <w:rtl/>
        </w:rPr>
        <w:t>סף/ גורמי בקרה ברשויות המקומיות</w:t>
      </w:r>
    </w:p>
    <w:p w:rsidR="005366A8" w:rsidRDefault="005366A8" w:rsidP="005366A8">
      <w:pPr>
        <w:spacing w:after="60"/>
        <w:rPr>
          <w:rFonts w:ascii="Arial" w:hAnsi="Arial" w:cs="Arial"/>
          <w:rtl/>
        </w:rPr>
      </w:pPr>
      <w:r>
        <w:rPr>
          <w:rFonts w:ascii="Arial" w:hAnsi="Arial" w:cs="Arial"/>
          <w:vertAlign w:val="subscript"/>
          <w:rtl/>
        </w:rPr>
        <w:t>עודכן ב- 12:58 07/09/2010</w:t>
      </w:r>
    </w:p>
    <w:p w:rsidR="005366A8" w:rsidRPr="004A6851" w:rsidRDefault="005366A8" w:rsidP="005366A8">
      <w:pPr>
        <w:pStyle w:val="Heading2"/>
        <w:spacing w:after="60"/>
        <w:jc w:val="left"/>
        <w:rPr>
          <w:rFonts w:ascii="Arial" w:hAnsi="Arial" w:cs="Arial"/>
          <w:i w:val="0"/>
          <w:iCs w:val="0"/>
          <w:u w:val="none"/>
          <w:rtl/>
        </w:rPr>
      </w:pPr>
      <w:r w:rsidRPr="004A6851">
        <w:rPr>
          <w:rFonts w:ascii="Arial" w:hAnsi="Arial" w:cs="Arial"/>
          <w:i w:val="0"/>
          <w:iCs w:val="0"/>
          <w:u w:val="none"/>
          <w:rtl/>
        </w:rPr>
        <w:t>היועץ המשפטי של עיריית ירושלים, עו"ד יוסי חביליו, הודיע על התפטרותו</w:t>
      </w:r>
    </w:p>
    <w:p w:rsidR="005366A8" w:rsidRPr="004A6851" w:rsidRDefault="005366A8" w:rsidP="005366A8">
      <w:pPr>
        <w:pStyle w:val="Heading3"/>
        <w:spacing w:after="60"/>
        <w:rPr>
          <w:rFonts w:ascii="Arial" w:hAnsi="Arial" w:cs="Arial"/>
          <w:sz w:val="18"/>
          <w:szCs w:val="18"/>
          <w:rtl/>
        </w:rPr>
      </w:pPr>
      <w:r w:rsidRPr="004A6851">
        <w:rPr>
          <w:rFonts w:ascii="Arial" w:hAnsi="Arial" w:cs="Arial"/>
          <w:sz w:val="18"/>
          <w:szCs w:val="18"/>
          <w:rtl/>
        </w:rPr>
        <w:t xml:space="preserve">בין חביליו לראש העיר ברקת שורר בחודשים האחרונים מתח רב על רקע חילוקי דעות. הסכסוך העיקרי בין השניים פרץ בסוגיית </w:t>
      </w:r>
      <w:r>
        <w:rPr>
          <w:rFonts w:ascii="Arial" w:hAnsi="Arial" w:cs="Arial" w:hint="cs"/>
          <w:sz w:val="18"/>
          <w:szCs w:val="18"/>
          <w:rtl/>
        </w:rPr>
        <w:t>"</w:t>
      </w:r>
      <w:r w:rsidRPr="004A6851">
        <w:rPr>
          <w:rFonts w:ascii="Arial" w:hAnsi="Arial" w:cs="Arial"/>
          <w:sz w:val="18"/>
          <w:szCs w:val="18"/>
          <w:rtl/>
        </w:rPr>
        <w:t>בית יהונתן</w:t>
      </w:r>
      <w:r>
        <w:rPr>
          <w:rFonts w:ascii="Arial" w:hAnsi="Arial" w:cs="Arial" w:hint="cs"/>
          <w:sz w:val="18"/>
          <w:szCs w:val="18"/>
          <w:rtl/>
        </w:rPr>
        <w:t>"</w:t>
      </w:r>
    </w:p>
    <w:p w:rsidR="005366A8" w:rsidRPr="004A6851" w:rsidRDefault="005366A8" w:rsidP="005366A8">
      <w:pPr>
        <w:spacing w:after="60"/>
        <w:rPr>
          <w:rFonts w:ascii="Arial" w:hAnsi="Arial" w:cs="Arial"/>
          <w:sz w:val="18"/>
          <w:szCs w:val="18"/>
          <w:rtl/>
        </w:rPr>
      </w:pPr>
      <w:r w:rsidRPr="004A6851">
        <w:rPr>
          <w:rFonts w:ascii="Arial" w:hAnsi="Arial" w:cs="Arial"/>
          <w:sz w:val="18"/>
          <w:szCs w:val="18"/>
          <w:vertAlign w:val="subscript"/>
          <w:rtl/>
        </w:rPr>
        <w:t xml:space="preserve">מאת </w:t>
      </w:r>
      <w:hyperlink r:id="rId321" w:history="1">
        <w:r w:rsidRPr="004A6851">
          <w:rPr>
            <w:rStyle w:val="Hyperlink"/>
            <w:rFonts w:ascii="Arial" w:hAnsi="Arial" w:cs="Arial"/>
            <w:sz w:val="18"/>
            <w:szCs w:val="18"/>
            <w:vertAlign w:val="subscript"/>
            <w:rtl/>
          </w:rPr>
          <w:t>ניר חסון</w:t>
        </w:r>
      </w:hyperlink>
    </w:p>
    <w:p w:rsidR="005366A8" w:rsidRDefault="005366A8" w:rsidP="005366A8">
      <w:pPr>
        <w:spacing w:after="60"/>
        <w:rPr>
          <w:rtl/>
        </w:rPr>
      </w:pPr>
      <w:r w:rsidRPr="004A6851">
        <w:rPr>
          <w:rFonts w:ascii="Arial" w:hAnsi="Arial" w:cs="Arial"/>
          <w:sz w:val="18"/>
          <w:szCs w:val="18"/>
          <w:rtl/>
        </w:rPr>
        <w:br/>
        <w:t xml:space="preserve">היועץ המשפטי של עיריית ירושלים, עו"ד יוסי חביליו, הודיע היום (שלישי) לראש העיר, ניר ברקת, על התפטרותו מהתפקיד. בין חביליו לברקת שורר בחודשים האחרונים מתח רב על רקע חילוקי דעות ביניהם. הסכסוך העיקרי בין השניים פרץ סביב סוגיית בית יהונתן, בית המתנחלים בסילוואן, אותו הורה חביליו לפנות ולאטום וברקת ניסה למנוע את המהלך. במקרה זה ניצבו לצד חביליו שופטי בית המשפט העליון ופרקליט המדינה. בנוסף, ברקת זעם על חביליו שכתב חוות דעת שקראה לבטל תיקצוב עודף לבתי ספר חרדים. ההחלטה על ההקצאה עברה למרות חוות הדעת של חביליו, אך נפסלה על ידי בית המשפט המחוזי. סכסוך נוסף שפרץ בין השניים היה סביב תוכניתו של ברקת לאזור גן המלך. גם במקרה זה התנגד חביליו לתוכניתו הגרנדיוזית של ראש העיר מטעמים משפטיים. </w:t>
      </w:r>
      <w:r w:rsidRPr="004A6851">
        <w:rPr>
          <w:rFonts w:ascii="Arial" w:hAnsi="Arial" w:cs="Arial"/>
          <w:sz w:val="18"/>
          <w:szCs w:val="18"/>
          <w:rtl/>
        </w:rPr>
        <w:br/>
      </w:r>
      <w:r w:rsidRPr="004A6851">
        <w:rPr>
          <w:rFonts w:ascii="Arial" w:hAnsi="Arial" w:cs="Arial"/>
          <w:sz w:val="18"/>
          <w:szCs w:val="18"/>
          <w:rtl/>
        </w:rPr>
        <w:br/>
        <w:t>בחודשים האחרונים החליפו אנשי לשכתו של ברקת עם חביליו תכתובת סוערת. בין היתר הגיש ברקת תלונה לוועדת האתיקה של לשכת עורכי הדין נגד חביליו בטענה שהוא הסתיר מידע מנבחרי הציבור. השניים התעמתו גם סביב ניסיונו של ברקת להתערב במינויים בלשכת היועץ המשפטי</w:t>
      </w:r>
      <w:r>
        <w:rPr>
          <w:rFonts w:ascii="Arial" w:hAnsi="Arial" w:cs="Arial" w:hint="cs"/>
          <w:sz w:val="18"/>
          <w:szCs w:val="18"/>
          <w:rtl/>
        </w:rPr>
        <w:t xml:space="preserve"> של העירייה</w:t>
      </w:r>
      <w:r w:rsidRPr="004A6851">
        <w:rPr>
          <w:rFonts w:ascii="Arial" w:hAnsi="Arial" w:cs="Arial"/>
          <w:sz w:val="18"/>
          <w:szCs w:val="18"/>
          <w:rtl/>
        </w:rPr>
        <w:t xml:space="preserve">. </w:t>
      </w:r>
      <w:r w:rsidRPr="004A6851">
        <w:rPr>
          <w:rFonts w:ascii="Arial" w:hAnsi="Arial" w:cs="Arial"/>
          <w:sz w:val="18"/>
          <w:szCs w:val="18"/>
          <w:rtl/>
        </w:rPr>
        <w:br/>
      </w:r>
      <w:r w:rsidRPr="004A6851">
        <w:rPr>
          <w:rFonts w:ascii="Arial" w:hAnsi="Arial" w:cs="Arial"/>
          <w:sz w:val="18"/>
          <w:szCs w:val="18"/>
          <w:rtl/>
        </w:rPr>
        <w:br/>
      </w:r>
      <w:r w:rsidRPr="004A6851">
        <w:rPr>
          <w:rFonts w:ascii="Arial" w:hAnsi="Arial" w:cs="Arial"/>
          <w:b/>
          <w:bCs/>
          <w:sz w:val="18"/>
          <w:szCs w:val="18"/>
          <w:rtl/>
        </w:rPr>
        <w:t>חביליו: התערבות פוליטית; ברקת: עובדות מסולפות וחוצפה</w:t>
      </w:r>
      <w:r w:rsidRPr="004A6851">
        <w:rPr>
          <w:rFonts w:ascii="Arial" w:hAnsi="Arial" w:cs="Arial"/>
          <w:sz w:val="18"/>
          <w:szCs w:val="18"/>
          <w:rtl/>
        </w:rPr>
        <w:br/>
        <w:t xml:space="preserve">"הצעד שבו נקטת, גם אם אין בו מניעה משפטית, משדר מסר בוטה של התערבות פוליטית באגף היועץ המשפטי לעירייה", כתב חביליו לברקת בנושא זה וברקת השיב כי "נדהמתי לקבל את מכתבך, אשר בו נראה כי נחצו כל הגבולות, בעובדות מסולפות, בבוטות ובחוצפה הנוטפת ממנו". המצב הגיע לכדי כך שרבים מעריכים היום בעירייה כי חביליו הקדים את ברקת, שהתכוון לפתוח בקרוב בהליך פיטוריו. </w:t>
      </w:r>
      <w:r w:rsidRPr="004A6851">
        <w:rPr>
          <w:rFonts w:ascii="Arial" w:hAnsi="Arial" w:cs="Arial"/>
          <w:sz w:val="18"/>
          <w:szCs w:val="18"/>
          <w:rtl/>
        </w:rPr>
        <w:br/>
      </w:r>
      <w:r w:rsidRPr="004A6851">
        <w:rPr>
          <w:rFonts w:ascii="Arial" w:hAnsi="Arial" w:cs="Arial"/>
          <w:sz w:val="18"/>
          <w:szCs w:val="18"/>
          <w:rtl/>
        </w:rPr>
        <w:br/>
        <w:t>למרבה האבסורד ברקת היה זה שהגן על חביליו מפני ראש העיר הקודם, אורי לופוליאנסקי שניסה לפטרו, בשל סכסוכים שפרצו בינהם סביב נושא מצעד הגאווה, שלופוליאנסקי ניסה למנוע</w:t>
      </w:r>
      <w:r>
        <w:rPr>
          <w:rFonts w:ascii="Arial" w:hAnsi="Arial" w:cs="Arial" w:hint="cs"/>
          <w:sz w:val="18"/>
          <w:szCs w:val="18"/>
          <w:rtl/>
        </w:rPr>
        <w:t>,</w:t>
      </w:r>
      <w:r w:rsidRPr="004A6851">
        <w:rPr>
          <w:rFonts w:ascii="Arial" w:hAnsi="Arial" w:cs="Arial"/>
          <w:sz w:val="18"/>
          <w:szCs w:val="18"/>
          <w:rtl/>
        </w:rPr>
        <w:t xml:space="preserve"> וסביב הקצאת מבנים לבתי ספר חרדיים. לאחר שלופוליאנסקי הצליח להעביר החלטה לפטר את חביליו אמר ברקת: "זה הוא יום שפל בחיי המועצה. לא מדובר על חביליו אלא על שלטון החוק. שתי תפיסות עולם שעומדות האחת ליד השנייה וצריך להכריע בינהן. האחת זה ניהול עיר ללא גבולות כוח ושררה עם יכולת להחליט מה שאתה רוצה וכשיוצאת חוות דעת של יועץ משפטי, שאתה ראש העיר לא אוהב מדלגים עליה". בדצמבר 2009 כראש עיר כבר נשמע ברקת אחרת. "אם יועץ משפטי לא מאמין בדרך ניקח יועץ אחר שכן מאמין בדרך", אמר אז.</w:t>
      </w:r>
      <w:r w:rsidRPr="004A6851">
        <w:rPr>
          <w:rFonts w:ascii="Arial" w:hAnsi="Arial" w:cs="Arial"/>
          <w:sz w:val="18"/>
          <w:szCs w:val="18"/>
          <w:rtl/>
        </w:rPr>
        <w:br/>
      </w:r>
      <w:r w:rsidRPr="004A6851">
        <w:rPr>
          <w:rFonts w:ascii="Arial" w:hAnsi="Arial" w:cs="Arial"/>
          <w:sz w:val="18"/>
          <w:szCs w:val="18"/>
          <w:rtl/>
        </w:rPr>
        <w:br/>
        <w:t xml:space="preserve">בעוד שבועיים יקבל חביליו את אות אביר איכות השלטון מהתנועה למען איכות השלטון. בדברי ההסבר לקבלת האות נכתב: "נכונותו של חבליו להיאבק נגד פוליטיקאים רבי כוח, ואפילו לסכן את משרתו כדי למנוע פגיעה במנהל התקין, ראויה לשמש דוגמא ומופת לכל משרתי הציבור". </w:t>
      </w:r>
      <w:r w:rsidRPr="004A6851">
        <w:rPr>
          <w:rFonts w:ascii="Arial" w:hAnsi="Arial" w:cs="Arial"/>
          <w:sz w:val="18"/>
          <w:szCs w:val="18"/>
          <w:rtl/>
        </w:rPr>
        <w:br/>
      </w:r>
      <w:r w:rsidRPr="004A6851">
        <w:rPr>
          <w:rFonts w:ascii="Arial" w:hAnsi="Arial" w:cs="Arial"/>
          <w:sz w:val="18"/>
          <w:szCs w:val="18"/>
          <w:rtl/>
        </w:rPr>
        <w:br/>
        <w:t xml:space="preserve">חבר המועצה וראש האופוזיציה העירונית, יוסף (פפה) אללו הביע צער על ההתפטרות. "גם כך ברקת מנהל את העירייה בצורה מאוד ריכוזית. חביליו היה מוקד כוח מחוץ ללשכה. עכשיו זה הפסד לא רק לעירייה - אלא לעיר כולה. חבל שראש העיר לא השכיל להשתמש בו. עובדה היא שבכל המקרים בהם הגיעו הויכוחים לבית המשפט יצאה ידו של חביליו על העליונה. ראש העיר הביא כל הזמן עורכי דין חיצוניים, שעלו הרבה כסף לעירייה וחבל על כך. יהיה מאוד קשה למישהו להיכנס לנעליים שלו", כתב אללו. </w:t>
      </w:r>
      <w:r w:rsidRPr="004A6851">
        <w:rPr>
          <w:rFonts w:ascii="Arial" w:hAnsi="Arial" w:cs="Arial"/>
          <w:sz w:val="18"/>
          <w:szCs w:val="18"/>
          <w:rtl/>
        </w:rPr>
        <w:br/>
      </w:r>
      <w:r w:rsidRPr="004A6851">
        <w:rPr>
          <w:rFonts w:ascii="Arial" w:hAnsi="Arial" w:cs="Arial"/>
          <w:sz w:val="18"/>
          <w:szCs w:val="18"/>
          <w:rtl/>
        </w:rPr>
        <w:br/>
        <w:t xml:space="preserve">מלשכתו של ברקת סירבו להגיב למכתב וציינו ביובש כי "ההתפטרות התקבלה". מעיריית ירושלים נמסר בתגובה כי "מפאת הרצון לשמור על כבודו של חביליו העירייה נמנעת מלהגיב לטענות מופרכות אלו". </w:t>
      </w:r>
      <w:r w:rsidRPr="004A6851">
        <w:rPr>
          <w:rFonts w:ascii="Arial" w:hAnsi="Arial" w:cs="Arial"/>
          <w:sz w:val="18"/>
          <w:szCs w:val="18"/>
          <w:rtl/>
        </w:rPr>
        <w:br/>
      </w:r>
      <w:r w:rsidRPr="004A6851">
        <w:rPr>
          <w:rFonts w:ascii="Arial" w:hAnsi="Arial" w:cs="Arial"/>
          <w:sz w:val="18"/>
          <w:szCs w:val="18"/>
          <w:rtl/>
        </w:rPr>
        <w:br/>
        <w:t>בימין ברכו על ההתפטרות, שכן חביליו הפך ל"סדין אדום" בעיני הימין בשל גישתו כלפי בית יהונתן. "ההתפטרות שמה סוף למדיניות האכיפה הסלקטיבית של החוק שהונהגה על ידו ופגעה בתושבי העיר יהודיים. אני מברך את ראש העיר אשר עמד באומץ מול המערכת המשפטית כדי להבטיח שניהול העיר יעשה על ידי נבחרי ציבור ולא על ידי יועצים משפטיים", אמר ח"כ יריב לוין.</w:t>
      </w:r>
    </w:p>
    <w:p w:rsidR="005366A8" w:rsidRDefault="005366A8" w:rsidP="005366A8">
      <w:pPr>
        <w:spacing w:after="60"/>
        <w:rPr>
          <w:rtl/>
        </w:rPr>
      </w:pPr>
      <w:r>
        <w:rPr>
          <w:rFonts w:hint="cs"/>
          <w:rtl/>
        </w:rPr>
        <w:t>=-=</w:t>
      </w:r>
    </w:p>
    <w:p w:rsidR="005366A8" w:rsidRDefault="005366A8" w:rsidP="005366A8">
      <w:pPr>
        <w:spacing w:after="60" w:line="360" w:lineRule="auto"/>
        <w:jc w:val="center"/>
        <w:rPr>
          <w:rFonts w:cs="Miriam"/>
          <w:sz w:val="28"/>
          <w:rtl/>
        </w:rPr>
      </w:pPr>
      <w:r w:rsidRPr="00B1250F">
        <w:rPr>
          <w:rFonts w:cs="Miriam" w:hint="cs"/>
          <w:sz w:val="28"/>
          <w:highlight w:val="yellow"/>
          <w:rtl/>
        </w:rPr>
        <w:t xml:space="preserve">עע"ם 6145/12 </w:t>
      </w:r>
      <w:r w:rsidRPr="00B1250F">
        <w:rPr>
          <w:rFonts w:hint="cs"/>
          <w:b/>
          <w:bCs/>
          <w:highlight w:val="yellow"/>
          <w:rtl/>
        </w:rPr>
        <w:t>עיריית נצרת עילית נ' הרטמן</w:t>
      </w:r>
      <w:r w:rsidRPr="00B1250F">
        <w:rPr>
          <w:rFonts w:hint="cs"/>
          <w:highlight w:val="yellow"/>
          <w:rtl/>
        </w:rPr>
        <w:t xml:space="preserve"> (2013)</w:t>
      </w:r>
      <w:r>
        <w:rPr>
          <w:rFonts w:hint="cs"/>
          <w:rtl/>
        </w:rPr>
        <w:t xml:space="preserve"> [נפגוש את פסה"ד הזה גם בסמסטר הבא]</w:t>
      </w:r>
    </w:p>
    <w:p w:rsidR="005366A8" w:rsidRDefault="005366A8" w:rsidP="005366A8">
      <w:pPr>
        <w:spacing w:after="60"/>
        <w:rPr>
          <w:rFonts w:cs="Miriam"/>
          <w:sz w:val="22"/>
          <w:szCs w:val="22"/>
          <w:rtl/>
        </w:rPr>
      </w:pPr>
    </w:p>
    <w:p w:rsidR="005366A8" w:rsidRPr="001D7C19" w:rsidRDefault="005366A8" w:rsidP="005366A8">
      <w:pPr>
        <w:spacing w:after="60"/>
        <w:rPr>
          <w:rFonts w:cs="Miriam"/>
          <w:sz w:val="22"/>
          <w:szCs w:val="22"/>
          <w:rtl/>
        </w:rPr>
      </w:pPr>
      <w:r w:rsidRPr="001D7C19">
        <w:rPr>
          <w:rFonts w:cs="Miriam" w:hint="cs"/>
          <w:sz w:val="22"/>
          <w:szCs w:val="22"/>
          <w:rtl/>
        </w:rPr>
        <w:t>רקע עובדתי</w:t>
      </w:r>
    </w:p>
    <w:p w:rsidR="005366A8" w:rsidRPr="001D7C19" w:rsidRDefault="005366A8" w:rsidP="000B7168">
      <w:pPr>
        <w:pStyle w:val="Ruller41"/>
        <w:numPr>
          <w:ilvl w:val="0"/>
          <w:numId w:val="30"/>
        </w:numPr>
        <w:spacing w:after="60" w:line="240" w:lineRule="auto"/>
        <w:rPr>
          <w:szCs w:val="22"/>
          <w:rtl/>
        </w:rPr>
      </w:pPr>
      <w:r w:rsidRPr="001D7C19">
        <w:rPr>
          <w:rFonts w:hint="cs"/>
          <w:szCs w:val="22"/>
          <w:rtl/>
        </w:rPr>
        <w:t>ביום 31.12.11 אמור היה להסתיים חוזה העסקה בין עיריית נצרת עילית (להלן העיריה) לבין רו"ח זיצר, אשר משרדו סיפק מכבר שירותי ראיית חשבון לעיריה. ביום 25.1.12 נשלח לרו"ח זיצר מכתב מגזבר העיריה, שבו הודע לו כי נוכח סיום החוזה בין הצדדים, אין ניתן להמשיך את ההתקשרות בינו לבין העיריה.</w:t>
      </w:r>
    </w:p>
    <w:p w:rsidR="005366A8" w:rsidRPr="001D7C19" w:rsidRDefault="005366A8" w:rsidP="000B7168">
      <w:pPr>
        <w:pStyle w:val="Ruller41"/>
        <w:numPr>
          <w:ilvl w:val="0"/>
          <w:numId w:val="30"/>
        </w:numPr>
        <w:spacing w:after="60" w:line="240" w:lineRule="auto"/>
        <w:rPr>
          <w:szCs w:val="22"/>
        </w:rPr>
      </w:pPr>
      <w:r w:rsidRPr="001D7C19">
        <w:rPr>
          <w:rFonts w:hint="cs"/>
          <w:szCs w:val="22"/>
          <w:rtl/>
        </w:rPr>
        <w:t>רו"ח זיצר העביר חוות דעת משפטית מטעמו, שלפיה מתוקף תקנה 3(8) ל</w:t>
      </w:r>
      <w:hyperlink r:id="rId322" w:history="1">
        <w:r w:rsidRPr="001D7C19">
          <w:rPr>
            <w:rStyle w:val="Hyperlink"/>
            <w:rFonts w:hint="eastAsia"/>
            <w:szCs w:val="22"/>
            <w:rtl/>
          </w:rPr>
          <w:t>תקנות</w:t>
        </w:r>
        <w:r w:rsidRPr="001D7C19">
          <w:rPr>
            <w:rStyle w:val="Hyperlink"/>
            <w:szCs w:val="22"/>
            <w:rtl/>
          </w:rPr>
          <w:t xml:space="preserve"> העיריות (מכרזים)</w:t>
        </w:r>
      </w:hyperlink>
      <w:r w:rsidRPr="001D7C19">
        <w:rPr>
          <w:rFonts w:hint="cs"/>
          <w:szCs w:val="22"/>
          <w:rtl/>
        </w:rPr>
        <w:t xml:space="preserve">, התשמ"ח-1987 (להלן </w:t>
      </w:r>
      <w:r w:rsidRPr="001D7C19">
        <w:rPr>
          <w:rFonts w:ascii="Times New Roman" w:hAnsi="Times New Roman" w:cs="Miriam" w:hint="cs"/>
          <w:spacing w:val="0"/>
          <w:szCs w:val="22"/>
          <w:rtl/>
        </w:rPr>
        <w:t>תקנות העיריות (מכרזים)</w:t>
      </w:r>
      <w:r w:rsidRPr="001D7C19">
        <w:rPr>
          <w:rFonts w:hint="cs"/>
          <w:szCs w:val="22"/>
          <w:rtl/>
        </w:rPr>
        <w:t xml:space="preserve">), ההתקשרות עם רואה חשבון פטורה ממכרז. </w:t>
      </w:r>
    </w:p>
    <w:p w:rsidR="005366A8" w:rsidRPr="001D7C19" w:rsidRDefault="005366A8" w:rsidP="005366A8">
      <w:pPr>
        <w:pStyle w:val="Ruller41"/>
        <w:spacing w:after="60" w:line="240" w:lineRule="auto"/>
        <w:rPr>
          <w:szCs w:val="22"/>
          <w:rtl/>
        </w:rPr>
      </w:pPr>
      <w:r w:rsidRPr="001D7C19">
        <w:rPr>
          <w:rFonts w:hint="cs"/>
          <w:szCs w:val="22"/>
          <w:rtl/>
        </w:rPr>
        <w:t>ד.</w:t>
      </w:r>
      <w:r w:rsidRPr="001D7C19">
        <w:rPr>
          <w:rFonts w:hint="cs"/>
          <w:szCs w:val="22"/>
          <w:rtl/>
        </w:rPr>
        <w:tab/>
      </w:r>
      <w:r w:rsidRPr="009E3727">
        <w:rPr>
          <w:rFonts w:hint="cs"/>
          <w:szCs w:val="22"/>
          <w:highlight w:val="yellow"/>
          <w:rtl/>
        </w:rPr>
        <w:t>ביום 14.2.12 העבירה היועצת המשפטית של העיריה חוות דעת, שבה הובהר כי יש לפרש את התקנה בצמצום, וכי העיריה אינה פטורה מקבלת הצעות מחיר, מקום שיש מספר רב של גורמים אשר יכולים לבצע את העבודה. בהמשך לכך הכינה היועצת המשפטית "הזמנה להגשת הצעות ותנאי הגשה למתן שירותי ראיית חשבון לעיריית נצרת עילית" (להלן ההזמנה), וזו נשלחה למספר רואי חשבון</w:t>
      </w:r>
      <w:r w:rsidRPr="001D7C19">
        <w:rPr>
          <w:rFonts w:hint="cs"/>
          <w:szCs w:val="22"/>
          <w:rtl/>
        </w:rPr>
        <w:t>.</w:t>
      </w:r>
    </w:p>
    <w:p w:rsidR="005366A8" w:rsidRPr="001D7C19" w:rsidRDefault="005366A8" w:rsidP="005366A8">
      <w:pPr>
        <w:pStyle w:val="Ruller41"/>
        <w:spacing w:after="60" w:line="240" w:lineRule="auto"/>
        <w:rPr>
          <w:szCs w:val="22"/>
          <w:rtl/>
        </w:rPr>
      </w:pPr>
      <w:r w:rsidRPr="001D7C19">
        <w:rPr>
          <w:rFonts w:hint="cs"/>
          <w:szCs w:val="22"/>
          <w:rtl/>
        </w:rPr>
        <w:t>ה.</w:t>
      </w:r>
      <w:r w:rsidRPr="001D7C19">
        <w:rPr>
          <w:rFonts w:hint="cs"/>
          <w:szCs w:val="22"/>
          <w:rtl/>
        </w:rPr>
        <w:tab/>
        <w:t xml:space="preserve">ביום 27.2.12, יום לפני סיום המועד להגשת הצעות, </w:t>
      </w:r>
      <w:r w:rsidRPr="009E3727">
        <w:rPr>
          <w:rFonts w:hint="cs"/>
          <w:szCs w:val="22"/>
          <w:highlight w:val="yellow"/>
          <w:rtl/>
        </w:rPr>
        <w:t>שלח ראש העיריה מכתב למנהל הרכש בעיריה, שבו הורה לו לפנות תוך שלוש שעות לכל רואי החשבון שאליהם נשלחה ההזמנה, ולהודיע להם על דחיית ההליך למצער בשישה חודשים. היועצת המשפטית של העיריה פנתה לראש העיריה, הפנתה לחוות דעתה מיום 14.2.12, וציינה כי פנייתו זו מהוה התערבות פסולה בהליכי רכש</w:t>
      </w:r>
      <w:r w:rsidRPr="001D7C19">
        <w:rPr>
          <w:rFonts w:hint="cs"/>
          <w:szCs w:val="22"/>
          <w:rtl/>
        </w:rPr>
        <w:t>.</w:t>
      </w:r>
    </w:p>
    <w:p w:rsidR="005366A8" w:rsidRPr="001D7C19" w:rsidRDefault="005366A8" w:rsidP="005366A8">
      <w:pPr>
        <w:pStyle w:val="Ruller41"/>
        <w:spacing w:after="60" w:line="240" w:lineRule="auto"/>
        <w:rPr>
          <w:szCs w:val="22"/>
          <w:rtl/>
        </w:rPr>
      </w:pPr>
      <w:r w:rsidRPr="001D7C19">
        <w:rPr>
          <w:rFonts w:hint="cs"/>
          <w:szCs w:val="22"/>
          <w:rtl/>
        </w:rPr>
        <w:t>ו.</w:t>
      </w:r>
      <w:r w:rsidRPr="001D7C19">
        <w:rPr>
          <w:rFonts w:hint="cs"/>
          <w:szCs w:val="22"/>
          <w:rtl/>
        </w:rPr>
        <w:tab/>
        <w:t xml:space="preserve">חרף האמור פנה ראש העיריה באותו יום במכתב מטעמו לרואי החשבון שאליהם נשלחה ההזמנה, וציין כי אין בכוונת העיריה לפנות בבקשה להגשת הצעות מחיר בעבור שירותי ראיית חשבון עד תחילת שנת 2013 לכל המוקדם. ביום 28.2.12 הורה ראש העיריה למנהל הרכש ולגזבר העיריה שלא להעלות את הנושא בועדת הרכש (ועדת רכש ובלאי הפועלת לפי </w:t>
      </w:r>
      <w:hyperlink r:id="rId323" w:history="1">
        <w:r w:rsidRPr="001D7C19">
          <w:rPr>
            <w:rStyle w:val="Hyperlink"/>
            <w:rFonts w:hint="eastAsia"/>
            <w:szCs w:val="22"/>
            <w:rtl/>
          </w:rPr>
          <w:t>תקנות</w:t>
        </w:r>
        <w:r w:rsidRPr="001D7C19">
          <w:rPr>
            <w:rStyle w:val="Hyperlink"/>
            <w:szCs w:val="22"/>
            <w:rtl/>
          </w:rPr>
          <w:t xml:space="preserve"> העיריות</w:t>
        </w:r>
      </w:hyperlink>
      <w:r w:rsidRPr="001D7C19">
        <w:rPr>
          <w:rFonts w:hint="cs"/>
          <w:szCs w:val="22"/>
          <w:rtl/>
        </w:rPr>
        <w:t xml:space="preserve"> (הסדר רכישות, ניהול מחסנים, רישום וניהול טובין), תשנ"ח-1998, להלן </w:t>
      </w:r>
      <w:r w:rsidRPr="001D7C19">
        <w:rPr>
          <w:rFonts w:ascii="Times New Roman" w:hAnsi="Times New Roman" w:cs="Miriam" w:hint="cs"/>
          <w:spacing w:val="0"/>
          <w:szCs w:val="22"/>
          <w:rtl/>
        </w:rPr>
        <w:t>תקנות הרכש</w:t>
      </w:r>
      <w:r w:rsidRPr="001D7C19">
        <w:rPr>
          <w:rFonts w:hint="cs"/>
          <w:szCs w:val="22"/>
          <w:rtl/>
        </w:rPr>
        <w:t>).</w:t>
      </w:r>
    </w:p>
    <w:p w:rsidR="005366A8" w:rsidRPr="001D7C19" w:rsidRDefault="005366A8" w:rsidP="005366A8">
      <w:pPr>
        <w:pStyle w:val="Ruller41"/>
        <w:spacing w:after="60" w:line="240" w:lineRule="auto"/>
        <w:rPr>
          <w:szCs w:val="22"/>
          <w:rtl/>
        </w:rPr>
      </w:pPr>
      <w:r w:rsidRPr="001D7C19">
        <w:rPr>
          <w:rFonts w:hint="cs"/>
          <w:szCs w:val="22"/>
          <w:rtl/>
        </w:rPr>
        <w:t>ז.</w:t>
      </w:r>
      <w:r w:rsidRPr="001D7C19">
        <w:rPr>
          <w:rFonts w:hint="cs"/>
          <w:szCs w:val="22"/>
          <w:rtl/>
        </w:rPr>
        <w:tab/>
        <w:t>ביום 6.3.12 התקיימה ישיבת ועדת הרכש, ובה נפתחו הצעות המציעים. בינתיים התנהלו הליכים משפטיים, שבגדרם ניסה ראש העיריה לסכל את ההליך לבחירת רואה חשבון, ללא הצלחה. ביום 2.4.12, במסגרת ישיבת מועצת העיריה, העלה ראש העיריה הצעה כתוספת לסדר היום, שבה ביקש להאריך את ההתקשרות עם רו"ח זיצר עד ליום 31.8.12. ואכן, בסיום הישיבה התקבלה ההצעה להאריך את כהונת רו"ח זיצר לתקופה של ארבעה חודשים, שבמהלכה תצא העיריה במכרז מסודר.</w:t>
      </w:r>
    </w:p>
    <w:p w:rsidR="005366A8" w:rsidRPr="001D7C19" w:rsidRDefault="005366A8" w:rsidP="005366A8">
      <w:pPr>
        <w:pStyle w:val="Ruller41"/>
        <w:spacing w:after="60" w:line="240" w:lineRule="auto"/>
        <w:rPr>
          <w:rFonts w:cs="Miriam"/>
          <w:szCs w:val="22"/>
          <w:rtl/>
        </w:rPr>
      </w:pPr>
      <w:r w:rsidRPr="001D7C19">
        <w:rPr>
          <w:rFonts w:hint="cs"/>
          <w:szCs w:val="22"/>
          <w:rtl/>
        </w:rPr>
        <w:t>ח.</w:t>
      </w:r>
      <w:r w:rsidRPr="001D7C19">
        <w:rPr>
          <w:rFonts w:hint="cs"/>
          <w:szCs w:val="22"/>
          <w:rtl/>
        </w:rPr>
        <w:tab/>
        <w:t>בעקבות האמור פנה המשיב 1, חבר מועצת העיריה, אל הממונה על המחוז במשרד הפנים וביקש ממנו כי יפעיל סמכותו על פי סעיף 141(א) ל</w:t>
      </w:r>
      <w:hyperlink r:id="rId324" w:history="1">
        <w:r w:rsidRPr="001D7C19">
          <w:rPr>
            <w:rStyle w:val="Hyperlink"/>
            <w:rFonts w:hint="eastAsia"/>
            <w:szCs w:val="22"/>
            <w:rtl/>
          </w:rPr>
          <w:t>פקודת</w:t>
        </w:r>
        <w:r w:rsidRPr="001D7C19">
          <w:rPr>
            <w:rStyle w:val="Hyperlink"/>
            <w:szCs w:val="22"/>
            <w:rtl/>
          </w:rPr>
          <w:t xml:space="preserve"> העיריות</w:t>
        </w:r>
      </w:hyperlink>
      <w:r w:rsidRPr="001D7C19">
        <w:rPr>
          <w:rFonts w:hint="cs"/>
          <w:szCs w:val="22"/>
          <w:rtl/>
        </w:rPr>
        <w:t>, המקנה סמכות לממונה על המחוז במשרד הפנים לדרוש ממועצת העיריה או מראש העיריה למלא את החובה המוטלת עליהם, באופן שיורה לראש העיריה לסיים את הליך הרכש ולהפסיק את העסקת רו"ח זיצר. היועצת המשפטית של העיריה צירפה חוות דעת מטעמה התומכת בבקשת המשיב 1.</w:t>
      </w:r>
    </w:p>
    <w:p w:rsidR="005366A8" w:rsidRDefault="005366A8" w:rsidP="005366A8">
      <w:pPr>
        <w:spacing w:after="60"/>
        <w:rPr>
          <w:rFonts w:cs="Miriam"/>
          <w:sz w:val="22"/>
          <w:szCs w:val="22"/>
          <w:rtl/>
        </w:rPr>
      </w:pPr>
    </w:p>
    <w:p w:rsidR="005366A8" w:rsidRPr="004A6851" w:rsidRDefault="005366A8" w:rsidP="005366A8">
      <w:pPr>
        <w:spacing w:after="60"/>
        <w:rPr>
          <w:rFonts w:cs="Miriam"/>
          <w:sz w:val="22"/>
          <w:szCs w:val="22"/>
          <w:rtl/>
        </w:rPr>
      </w:pPr>
      <w:r w:rsidRPr="004A6851">
        <w:rPr>
          <w:rFonts w:cs="Miriam" w:hint="cs"/>
          <w:sz w:val="22"/>
          <w:szCs w:val="22"/>
          <w:rtl/>
        </w:rPr>
        <w:t>היועץ המשפטי לרשות המקומית</w:t>
      </w:r>
    </w:p>
    <w:p w:rsidR="005366A8" w:rsidRPr="004A6851" w:rsidRDefault="005366A8" w:rsidP="005366A8">
      <w:pPr>
        <w:spacing w:after="60"/>
        <w:rPr>
          <w:rFonts w:cs="Miriam"/>
          <w:sz w:val="22"/>
          <w:szCs w:val="22"/>
          <w:rtl/>
        </w:rPr>
      </w:pPr>
    </w:p>
    <w:p w:rsidR="005366A8" w:rsidRPr="004A6851" w:rsidRDefault="005366A8" w:rsidP="005366A8">
      <w:pPr>
        <w:pStyle w:val="Ruller41"/>
        <w:spacing w:after="60" w:line="240" w:lineRule="auto"/>
        <w:rPr>
          <w:szCs w:val="22"/>
          <w:rtl/>
        </w:rPr>
      </w:pPr>
      <w:r w:rsidRPr="004A6851">
        <w:rPr>
          <w:rFonts w:hint="cs"/>
          <w:szCs w:val="22"/>
          <w:rtl/>
        </w:rPr>
        <w:t>מג.</w:t>
      </w:r>
      <w:r w:rsidRPr="004A6851">
        <w:rPr>
          <w:rFonts w:hint="cs"/>
          <w:szCs w:val="22"/>
          <w:rtl/>
        </w:rPr>
        <w:tab/>
        <w:t>רשות מקומית חייבת בקבלת ייעוץ משפטי (סעיף 2 ל</w:t>
      </w:r>
      <w:hyperlink r:id="rId325" w:history="1">
        <w:r w:rsidRPr="004A6851">
          <w:rPr>
            <w:rStyle w:val="Hyperlink"/>
            <w:rFonts w:hint="eastAsia"/>
            <w:szCs w:val="22"/>
            <w:rtl/>
          </w:rPr>
          <w:t>חוק</w:t>
        </w:r>
        <w:r w:rsidRPr="004A6851">
          <w:rPr>
            <w:rStyle w:val="Hyperlink"/>
            <w:szCs w:val="22"/>
            <w:rtl/>
          </w:rPr>
          <w:t xml:space="preserve"> הרשויות המקומיות (ייעוץ משפטי)</w:t>
        </w:r>
      </w:hyperlink>
      <w:r w:rsidRPr="004A6851">
        <w:rPr>
          <w:rFonts w:hint="cs"/>
          <w:szCs w:val="22"/>
          <w:rtl/>
        </w:rPr>
        <w:t xml:space="preserve"> תשל"ו-1975), והיא מחויבת למנות עורך דין שיהיה יועצה המשפטי (סעיף 3 (א)). היועץ המשפטי של הרשות מוזמן לכל ישיבה של הרשות המקומית (סעיף 6(א)). שר הפנים קובע בתקנות סוגי עסקאות שרשות מקומית לא תתקשר בהן אלא לאחר שקיבלה על העסקה חוות דעת משפטית בכתב (סעיף 7(א)); ולא תתקשר רשות מקומית בעסקה הטעונה אישור המועצה, אלא אם כן הוגשה לה חוות דעת מנומקת בכתב של היועץ המשפטי, שלפיה אין מניעה לאשר את העסקה (סעיף 7(ג)). </w:t>
      </w:r>
      <w:r w:rsidRPr="00B1250F">
        <w:rPr>
          <w:rFonts w:hint="cs"/>
          <w:szCs w:val="22"/>
          <w:highlight w:val="yellow"/>
          <w:rtl/>
        </w:rPr>
        <w:t>היועץ המשפטי אינו יועץ פרטי של ראש הרשות, אלא של הרשות המקומית. משרתו אינה משרת אמון, ועל כן אינה קשורה בזהותו של ראש הרשות</w:t>
      </w:r>
      <w:r w:rsidRPr="004A6851">
        <w:rPr>
          <w:rFonts w:hint="cs"/>
          <w:szCs w:val="22"/>
          <w:rtl/>
        </w:rPr>
        <w:t>; "עליו לגלות עצמאות מקצועית, שכן אין עליו, בעניין תוכן חוות דעתו המשפטית, מרות אחרת זולת מרות החוק" (</w:t>
      </w:r>
      <w:hyperlink r:id="rId326" w:history="1">
        <w:r w:rsidRPr="004A6851">
          <w:rPr>
            <w:rStyle w:val="Hyperlink"/>
            <w:rFonts w:hint="eastAsia"/>
            <w:szCs w:val="22"/>
            <w:rtl/>
          </w:rPr>
          <w:t>בג</w:t>
        </w:r>
        <w:r w:rsidRPr="004A6851">
          <w:rPr>
            <w:rStyle w:val="Hyperlink"/>
            <w:szCs w:val="22"/>
            <w:rtl/>
          </w:rPr>
          <w:t>"צ 3180/94 דורון נ' ניצן, פ"ד מח</w:t>
        </w:r>
      </w:hyperlink>
      <w:r w:rsidRPr="004A6851">
        <w:rPr>
          <w:rFonts w:hint="cs"/>
          <w:szCs w:val="22"/>
          <w:rtl/>
        </w:rPr>
        <w:t xml:space="preserve">(4), 733, 737 (המשנה לנשיא -כתארו אז- ברק)); ראו גם </w:t>
      </w:r>
      <w:hyperlink r:id="rId327" w:history="1">
        <w:r w:rsidRPr="004A6851">
          <w:rPr>
            <w:rStyle w:val="Hyperlink"/>
            <w:rFonts w:hint="eastAsia"/>
            <w:szCs w:val="22"/>
            <w:rtl/>
          </w:rPr>
          <w:t>עת</w:t>
        </w:r>
        <w:r w:rsidRPr="004A6851">
          <w:rPr>
            <w:rStyle w:val="Hyperlink"/>
            <w:szCs w:val="22"/>
            <w:rtl/>
          </w:rPr>
          <w:t>"מ (ב"ש) 204/02</w:t>
        </w:r>
      </w:hyperlink>
      <w:r w:rsidRPr="004A6851">
        <w:rPr>
          <w:rFonts w:hint="cs"/>
          <w:szCs w:val="22"/>
          <w:rtl/>
        </w:rPr>
        <w:t xml:space="preserve"> הנזכרת.</w:t>
      </w:r>
    </w:p>
    <w:p w:rsidR="005366A8" w:rsidRPr="004A6851" w:rsidRDefault="005366A8" w:rsidP="005366A8">
      <w:pPr>
        <w:pStyle w:val="Ruller41"/>
        <w:spacing w:after="60" w:line="240" w:lineRule="auto"/>
        <w:rPr>
          <w:szCs w:val="22"/>
          <w:rtl/>
        </w:rPr>
      </w:pPr>
      <w:r w:rsidRPr="004A6851">
        <w:rPr>
          <w:rFonts w:hint="cs"/>
          <w:szCs w:val="22"/>
          <w:rtl/>
        </w:rPr>
        <w:t>מד.</w:t>
      </w:r>
      <w:r w:rsidRPr="004A6851">
        <w:rPr>
          <w:rFonts w:hint="cs"/>
          <w:szCs w:val="22"/>
          <w:rtl/>
        </w:rPr>
        <w:tab/>
      </w:r>
      <w:r w:rsidRPr="00B1250F">
        <w:rPr>
          <w:rFonts w:hint="cs"/>
          <w:szCs w:val="22"/>
          <w:highlight w:val="yellow"/>
          <w:rtl/>
        </w:rPr>
        <w:t xml:space="preserve">חוות הדעת של היועץ המשפטי לעיריה בשאלה משפטית קובעת מבחינת גורמי העיריה, ובכלל זאת העומד בראשה, את המצב המשפטי המצוי </w:t>
      </w:r>
      <w:r w:rsidRPr="00B1250F">
        <w:rPr>
          <w:szCs w:val="22"/>
          <w:highlight w:val="yellow"/>
        </w:rPr>
        <w:t>)</w:t>
      </w:r>
      <w:hyperlink r:id="rId328" w:history="1">
        <w:r w:rsidRPr="00B1250F">
          <w:rPr>
            <w:rStyle w:val="Hyperlink"/>
            <w:rFonts w:hint="cs"/>
            <w:szCs w:val="22"/>
            <w:rtl/>
          </w:rPr>
          <w:t>עת"מ 219/06</w:t>
        </w:r>
      </w:hyperlink>
      <w:r w:rsidRPr="00B1250F">
        <w:rPr>
          <w:rFonts w:hint="cs"/>
          <w:szCs w:val="22"/>
          <w:highlight w:val="yellow"/>
          <w:rtl/>
        </w:rPr>
        <w:t xml:space="preserve"> </w:t>
      </w:r>
      <w:r w:rsidRPr="00B1250F">
        <w:rPr>
          <w:rFonts w:ascii="Times New Roman" w:hAnsi="Times New Roman" w:cs="Miriam" w:hint="cs"/>
          <w:spacing w:val="0"/>
          <w:szCs w:val="22"/>
          <w:highlight w:val="yellow"/>
          <w:rtl/>
        </w:rPr>
        <w:t>הבית הפתוח נ' עיריית ירושלים</w:t>
      </w:r>
      <w:r w:rsidRPr="00B1250F">
        <w:rPr>
          <w:rFonts w:hint="cs"/>
          <w:szCs w:val="22"/>
          <w:highlight w:val="yellow"/>
          <w:rtl/>
        </w:rPr>
        <w:t xml:space="preserve"> </w:t>
      </w:r>
      <w:r w:rsidRPr="00B1250F">
        <w:rPr>
          <w:rFonts w:ascii="Times New Roman" w:hAnsi="Times New Roman" w:cs="David"/>
          <w:spacing w:val="0"/>
          <w:szCs w:val="22"/>
          <w:highlight w:val="yellow"/>
          <w:rtl/>
        </w:rPr>
        <w:t>[פורסם בנבו]</w:t>
      </w:r>
      <w:r w:rsidRPr="00B1250F">
        <w:rPr>
          <w:rFonts w:hint="cs"/>
          <w:szCs w:val="22"/>
          <w:highlight w:val="yellow"/>
          <w:rtl/>
        </w:rPr>
        <w:t>), כמובן בכפוף לחוות דעת היועץ המשפטי לממשלה בהקשרים הנצרכים, ולפסיקת בתי המשפט</w:t>
      </w:r>
      <w:r w:rsidRPr="004A6851">
        <w:rPr>
          <w:rFonts w:hint="cs"/>
          <w:szCs w:val="22"/>
          <w:rtl/>
        </w:rPr>
        <w:t xml:space="preserve">. ער אני </w:t>
      </w:r>
      <w:r w:rsidRPr="00B1250F">
        <w:rPr>
          <w:rFonts w:hint="cs"/>
          <w:szCs w:val="22"/>
          <w:highlight w:val="yellow"/>
          <w:rtl/>
        </w:rPr>
        <w:t>לכך שסעיף 6(ד) ל</w:t>
      </w:r>
      <w:hyperlink r:id="rId329" w:history="1">
        <w:r w:rsidRPr="00B1250F">
          <w:rPr>
            <w:rStyle w:val="Hyperlink"/>
            <w:rFonts w:hint="eastAsia"/>
            <w:szCs w:val="22"/>
            <w:rtl/>
          </w:rPr>
          <w:t>חוק</w:t>
        </w:r>
        <w:r w:rsidRPr="00B1250F">
          <w:rPr>
            <w:rStyle w:val="Hyperlink"/>
            <w:szCs w:val="22"/>
            <w:rtl/>
          </w:rPr>
          <w:t xml:space="preserve"> הרשויות המקומיות (ייעוץ משפטי)</w:t>
        </w:r>
      </w:hyperlink>
      <w:r w:rsidRPr="00B1250F">
        <w:rPr>
          <w:rFonts w:hint="cs"/>
          <w:szCs w:val="22"/>
          <w:highlight w:val="yellow"/>
          <w:rtl/>
        </w:rPr>
        <w:t xml:space="preserve"> קובע, כי מליאת המועצה רשאית לאמץ חוות דעת משפטית אחרת שהוצגה בפניה, אולם קשה להלום כי כל החפץ בכך יגיש חוות דעת נוגדת, כאשר חוות דעת היועץ המשפטי אינה נושאת חן בעיניו. חוות דעת נוגדת תוכל להיות מאומצת רק במקרים נדירים, במשורה שבמשורה; וראוי לה למועצה שתשקול היטב היטב בטרם אימוץ חוות דעת משפטית אחרת, ותפנה ליועץ המשפטי לממשלה לשם חוות דעתם בטרם תנקוט צעד קיצוני. לא כל שכן, שאין ראש העיריה רשאי לפעול כנגד חוות דעתו של היועץ המשפטי לעיריה שלא באמצעות החלטה של המועצה, שכאמור צריכה להיות נדירה מאוד</w:t>
      </w:r>
      <w:r w:rsidRPr="004A6851">
        <w:rPr>
          <w:rFonts w:hint="cs"/>
          <w:szCs w:val="22"/>
          <w:rtl/>
        </w:rPr>
        <w:t xml:space="preserve">. ושוב – צר היה מאוד להיווכח, כי ראש העיריה בנידון דידן אינו שועה לחוות דעת יועצתו המשפטית, וכי מערכת היחסים ביניהם מאופיינת בהתנגחות ובחוסר אמון שאינם מאפשרים עבודה תקינה: </w:t>
      </w:r>
    </w:p>
    <w:p w:rsidR="005366A8" w:rsidRPr="004A6851" w:rsidRDefault="005366A8" w:rsidP="005366A8">
      <w:pPr>
        <w:spacing w:after="60"/>
        <w:ind w:left="1191" w:right="1191"/>
        <w:rPr>
          <w:rFonts w:cs="FrankRuehl"/>
          <w:sz w:val="22"/>
          <w:szCs w:val="22"/>
          <w:rtl/>
        </w:rPr>
      </w:pPr>
    </w:p>
    <w:p w:rsidR="005366A8" w:rsidRDefault="005366A8" w:rsidP="005366A8">
      <w:pPr>
        <w:pStyle w:val="Ruller50"/>
        <w:spacing w:after="60"/>
        <w:rPr>
          <w:sz w:val="20"/>
          <w:szCs w:val="20"/>
          <w:rtl/>
        </w:rPr>
      </w:pPr>
      <w:r w:rsidRPr="00B1250F">
        <w:rPr>
          <w:rFonts w:hint="cs"/>
          <w:szCs w:val="22"/>
          <w:highlight w:val="yellow"/>
          <w:rtl/>
        </w:rPr>
        <w:t>"תפקידו של היועץ המשפטי הוא מן התפקידים המרכזיים ברשות המקומית. בהתאם לחוק הייעוץ המשפטי חייבת הרשות המקומית המקומית בקבלת יעוץ משפטי. על היועץ המשפטי ליתן יעוץ משפטי לרשות ... היועץ המשפטי הוא אחד משומרי הסף ברשות המקומית, ועליו לפעול על מנת להבטיח שהרשות המקומית, נבחריה ועובדיה ימלאו את תפקידם על פי הוראות החוק וכללי המינהל התקין"</w:t>
      </w:r>
      <w:r w:rsidRPr="004A6851">
        <w:rPr>
          <w:rFonts w:hint="cs"/>
          <w:szCs w:val="22"/>
          <w:rtl/>
        </w:rPr>
        <w:t xml:space="preserve"> (חוזר מנכ"ל משרד הפנים 5/2009). </w:t>
      </w:r>
    </w:p>
    <w:p w:rsidR="005366A8" w:rsidRDefault="005366A8" w:rsidP="005366A8">
      <w:pPr>
        <w:spacing w:after="60"/>
        <w:rPr>
          <w:rFonts w:cs="FrankRuehl"/>
          <w:sz w:val="20"/>
          <w:szCs w:val="20"/>
          <w:rtl/>
        </w:rPr>
      </w:pPr>
      <w:r>
        <w:rPr>
          <w:rFonts w:cs="FrankRuehl" w:hint="cs"/>
          <w:sz w:val="20"/>
          <w:szCs w:val="20"/>
          <w:rtl/>
        </w:rPr>
        <w:t>=-=</w:t>
      </w:r>
    </w:p>
    <w:p w:rsidR="005366A8" w:rsidRDefault="005366A8" w:rsidP="005366A8">
      <w:pPr>
        <w:spacing w:after="60"/>
        <w:rPr>
          <w:rFonts w:cs="FrankRuehl"/>
          <w:sz w:val="20"/>
          <w:szCs w:val="20"/>
          <w:rtl/>
        </w:rPr>
      </w:pPr>
    </w:p>
    <w:p w:rsidR="005366A8" w:rsidRDefault="005366A8" w:rsidP="005366A8">
      <w:pPr>
        <w:spacing w:after="60"/>
        <w:rPr>
          <w:rFonts w:cs="FrankRuehl"/>
          <w:sz w:val="20"/>
          <w:szCs w:val="20"/>
          <w:rtl/>
        </w:rPr>
      </w:pPr>
      <w:r>
        <w:rPr>
          <w:rFonts w:cs="FrankRuehl" w:hint="cs"/>
          <w:sz w:val="20"/>
          <w:szCs w:val="20"/>
          <w:rtl/>
        </w:rPr>
        <w:t>[הודעה של דוברות בית המשפט]</w:t>
      </w:r>
    </w:p>
    <w:p w:rsidR="005366A8" w:rsidRPr="00352F57" w:rsidRDefault="005366A8" w:rsidP="005366A8">
      <w:pPr>
        <w:spacing w:after="60"/>
        <w:rPr>
          <w:rFonts w:cs="FrankRuehl"/>
          <w:sz w:val="20"/>
          <w:szCs w:val="20"/>
          <w:rtl/>
        </w:rPr>
      </w:pPr>
    </w:p>
    <w:p w:rsidR="005366A8" w:rsidRPr="00352F57" w:rsidRDefault="005366A8" w:rsidP="005366A8">
      <w:pPr>
        <w:adjustRightInd w:val="0"/>
        <w:spacing w:after="60"/>
        <w:rPr>
          <w:rFonts w:ascii="David" w:cs="David"/>
          <w:sz w:val="20"/>
          <w:szCs w:val="20"/>
        </w:rPr>
      </w:pPr>
      <w:r w:rsidRPr="00352F57">
        <w:rPr>
          <w:rFonts w:ascii="David" w:cs="David" w:hint="cs"/>
          <w:sz w:val="20"/>
          <w:szCs w:val="20"/>
          <w:rtl/>
        </w:rPr>
        <w:t xml:space="preserve">ביום 11.3.10 זיכה ביהמ"ש המחוזי מרכז את </w:t>
      </w:r>
      <w:r w:rsidRPr="00352F57">
        <w:rPr>
          <w:rFonts w:ascii="David" w:cs="David" w:hint="cs"/>
          <w:sz w:val="20"/>
          <w:szCs w:val="20"/>
          <w:highlight w:val="yellow"/>
          <w:rtl/>
        </w:rPr>
        <w:t>מבקר עיריית</w:t>
      </w:r>
      <w:r w:rsidRPr="00352F57">
        <w:rPr>
          <w:rFonts w:ascii="David" w:cs="David" w:hint="cs"/>
          <w:sz w:val="20"/>
          <w:szCs w:val="20"/>
          <w:rtl/>
        </w:rPr>
        <w:t xml:space="preserve"> טבריה מכל האישומים המשמעתיים נגדו והורה להחזירו לאלתר לתפקידו. השופטת נגה אהד צירפה את התנועה לאיכות השלטון כידידת בית המשפט, </w:t>
      </w:r>
      <w:r w:rsidRPr="00352F57">
        <w:rPr>
          <w:rFonts w:ascii="David" w:cs="David" w:hint="cs"/>
          <w:sz w:val="20"/>
          <w:szCs w:val="20"/>
          <w:highlight w:val="yellow"/>
          <w:rtl/>
        </w:rPr>
        <w:t>ועמדה על מעמדו הרגיש של מבקר עירייה, שבניגוד למבקר המדינה אינו נהנה מעצמאות מוסדית והוא עובד של הגוף, אותו הוא מבקר</w:t>
      </w:r>
      <w:r w:rsidRPr="00352F57">
        <w:rPr>
          <w:rFonts w:ascii="David" w:cs="David" w:hint="cs"/>
          <w:sz w:val="20"/>
          <w:szCs w:val="20"/>
          <w:rtl/>
        </w:rPr>
        <w:t xml:space="preserve"> (פיסקאות 16-15). </w:t>
      </w:r>
    </w:p>
    <w:p w:rsidR="005366A8" w:rsidRPr="00352F57" w:rsidRDefault="005366A8" w:rsidP="005366A8">
      <w:pPr>
        <w:adjustRightInd w:val="0"/>
        <w:spacing w:after="60"/>
        <w:rPr>
          <w:rFonts w:ascii="David" w:cs="David"/>
          <w:sz w:val="20"/>
          <w:szCs w:val="20"/>
          <w:rtl/>
        </w:rPr>
      </w:pPr>
    </w:p>
    <w:p w:rsidR="005366A8" w:rsidRPr="00352F57" w:rsidRDefault="005366A8" w:rsidP="005366A8">
      <w:pPr>
        <w:adjustRightInd w:val="0"/>
        <w:spacing w:after="60"/>
        <w:rPr>
          <w:sz w:val="20"/>
          <w:szCs w:val="20"/>
          <w:rtl/>
        </w:rPr>
      </w:pPr>
      <w:r w:rsidRPr="00352F57">
        <w:rPr>
          <w:rFonts w:ascii="David" w:cs="David" w:hint="cs"/>
          <w:sz w:val="20"/>
          <w:szCs w:val="20"/>
          <w:rtl/>
        </w:rPr>
        <w:t xml:space="preserve">השופטת אהד דנה, בין היתר,  בנושא העתקת תיבת הדוא"ל האישית של המבקר, שבוצעה בהתאם להחלטת ראש העירייה וקבעה כי היא מהווה חדירה לפרטיותו, והיא שקולה לחיטוט בחפציו האינטימיים או לחיפוש במגירה הנמצאת בלשכה בה מונחים חפציו האישיים. כן קבעה כי יש לדחות את טענת העירייה, לפיה אין מדובר בפגיעה בפרטיות, משום שהנתונים נלקחו משרת המחשב שבבעלותה, שכן הלכה היא שמתחם הפרטיות אינו נקבע על פי דיני הקניין, וכי הזכות לפרטיות היא זכותו של האדם ולא של המקום. בית המשפט דחה את קביעת ביה"ד האזורי לעבודה בעניין טלי איסקוב. עוד הוסיפה השופטת, כי התרת עיון במידע המצוי אצל המבקר על ידי הגורם המבוקר הינו בלתי סביר, נוגד את הרציונל העומד בבסיס פקודת העיריות, כללי הביקורת ואושיות המינהל התקין ואין לאשרו, וכן כי בית הדין המשמעתי לא נתן דעתו על הפגיעה הקשה באינטרס הציבורי, כאשר נתן הכשר לחדירה למידע השמור אצל מבקר הפנים, והיה עליו להביא שיקול זה במכלול שיקוליו. </w:t>
      </w:r>
    </w:p>
    <w:p w:rsidR="005366A8" w:rsidRPr="00352F57" w:rsidRDefault="005366A8" w:rsidP="005366A8">
      <w:pPr>
        <w:adjustRightInd w:val="0"/>
        <w:spacing w:after="60"/>
        <w:rPr>
          <w:rFonts w:ascii="David" w:cs="David"/>
          <w:sz w:val="20"/>
          <w:szCs w:val="20"/>
        </w:rPr>
      </w:pPr>
      <w:r w:rsidRPr="00352F57">
        <w:rPr>
          <w:rFonts w:ascii="David" w:cs="David" w:hint="cs"/>
          <w:sz w:val="20"/>
          <w:szCs w:val="20"/>
          <w:rtl/>
        </w:rPr>
        <w:t xml:space="preserve">השופטת אהד קבעה כי העובדות מלמדות על מגמתיות בהתנהלות ראש העיר בנוגע למבקר, ובנוגע להעתקת מידע ממחשבו של המערער, תוך שהוא פועל בחשאיות, מפעיל את איש דברו, הנהג, ומסתיר התקשרות זו מיתר הגורמים בעירייה וכי אין ספק כי פעילות בילוש חשאית לתפיסת מידע ממחשב המערער אינה לתכלית ראויה. </w:t>
      </w:r>
    </w:p>
    <w:p w:rsidR="005366A8" w:rsidRPr="00352F57" w:rsidRDefault="005366A8" w:rsidP="005366A8">
      <w:pPr>
        <w:adjustRightInd w:val="0"/>
        <w:spacing w:after="60"/>
        <w:rPr>
          <w:rFonts w:ascii="David" w:cs="David"/>
          <w:sz w:val="20"/>
          <w:szCs w:val="20"/>
          <w:rtl/>
        </w:rPr>
      </w:pPr>
      <w:r w:rsidRPr="00352F57">
        <w:rPr>
          <w:rFonts w:ascii="David" w:cs="David" w:hint="cs"/>
          <w:sz w:val="20"/>
          <w:szCs w:val="20"/>
          <w:rtl/>
        </w:rPr>
        <w:t xml:space="preserve">השופטת הבהירה כי חדירת העירייה לתיבת הדואר האלקטרוני של המערער והפגיעה בפרטיותו נעשתה בהעדר הסכמה מפורשת ובהעדר ידיעתו. משכך קבעה כי אין לקבל את הראיה שהושגה תוך פגיעה בפרטיות, במטרה לפגוע במעמדו של מבקר הפנים ותוך פגיעה בעבודתו , שכן פגיעה אסורה בפרטיות מובילה לפסלות הראיות שהושגו באמצעותה (פיסקאות 27-25). </w:t>
      </w:r>
      <w:r>
        <w:rPr>
          <w:rFonts w:ascii="David" w:cs="David" w:hint="cs"/>
          <w:sz w:val="20"/>
          <w:szCs w:val="20"/>
          <w:rtl/>
        </w:rPr>
        <w:t>...</w:t>
      </w:r>
    </w:p>
    <w:p w:rsidR="005366A8" w:rsidRPr="00352F57" w:rsidRDefault="005366A8" w:rsidP="005366A8">
      <w:pPr>
        <w:adjustRightInd w:val="0"/>
        <w:spacing w:after="60"/>
        <w:rPr>
          <w:rFonts w:ascii="David" w:cs="David"/>
          <w:sz w:val="20"/>
          <w:szCs w:val="20"/>
          <w:rtl/>
        </w:rPr>
      </w:pPr>
      <w:r w:rsidRPr="00352F57">
        <w:rPr>
          <w:rFonts w:ascii="David" w:cs="David" w:hint="cs"/>
          <w:sz w:val="20"/>
          <w:szCs w:val="20"/>
          <w:rtl/>
        </w:rPr>
        <w:t>בשל עינוי הדין והניצול לרעה של ההליכים על ידי העירייה חוייבה היא לשלם למבקר הוצאות בסך 50,000 ש"ח.</w:t>
      </w:r>
    </w:p>
    <w:p w:rsidR="005366A8" w:rsidRDefault="005366A8" w:rsidP="005366A8">
      <w:pPr>
        <w:spacing w:after="60"/>
        <w:rPr>
          <w:rtl/>
        </w:rPr>
      </w:pPr>
      <w:r>
        <w:rPr>
          <w:rFonts w:hint="cs"/>
          <w:rtl/>
        </w:rPr>
        <w:t>=-=</w:t>
      </w:r>
    </w:p>
    <w:p w:rsidR="005366A8" w:rsidRPr="008066BC" w:rsidRDefault="005366A8" w:rsidP="005366A8">
      <w:pPr>
        <w:spacing w:after="60"/>
        <w:jc w:val="center"/>
        <w:rPr>
          <w:rFonts w:ascii="Arial" w:hAnsi="Arial" w:cs="Arial"/>
          <w:b/>
          <w:bCs/>
          <w:rtl/>
        </w:rPr>
      </w:pPr>
      <w:r w:rsidRPr="00073076">
        <w:rPr>
          <w:rFonts w:ascii="Arial" w:hAnsi="Arial" w:cs="Arial"/>
          <w:b/>
          <w:bCs/>
          <w:highlight w:val="yellow"/>
          <w:rtl/>
        </w:rPr>
        <w:t>הרשות המקומית ותושביה, בהשוואה למי שאינם תושביה</w:t>
      </w:r>
    </w:p>
    <w:p w:rsidR="005366A8" w:rsidRDefault="005366A8" w:rsidP="005366A8">
      <w:pPr>
        <w:spacing w:after="60"/>
        <w:jc w:val="center"/>
        <w:rPr>
          <w:rFonts w:cs="FrankRuehl"/>
          <w:rtl/>
        </w:rPr>
      </w:pPr>
    </w:p>
    <w:p w:rsidR="005366A8" w:rsidRDefault="005366A8" w:rsidP="005366A8">
      <w:pPr>
        <w:spacing w:after="60"/>
        <w:rPr>
          <w:rFonts w:cs="FrankRuehl"/>
          <w:rtl/>
        </w:rPr>
      </w:pPr>
      <w:r>
        <w:rPr>
          <w:rFonts w:cs="FrankRuehl" w:hint="cs"/>
          <w:rtl/>
        </w:rPr>
        <w:t>שירותים ל</w:t>
      </w:r>
      <w:r w:rsidRPr="0052158A">
        <w:rPr>
          <w:rFonts w:cs="FrankRuehl" w:hint="cs"/>
          <w:u w:val="single"/>
          <w:rtl/>
        </w:rPr>
        <w:t>תושבי</w:t>
      </w:r>
      <w:r>
        <w:rPr>
          <w:rFonts w:cs="FrankRuehl" w:hint="cs"/>
          <w:rtl/>
        </w:rPr>
        <w:t xml:space="preserve"> העיר:</w:t>
      </w:r>
    </w:p>
    <w:p w:rsidR="005366A8" w:rsidRDefault="005366A8" w:rsidP="005366A8">
      <w:pPr>
        <w:spacing w:after="60"/>
        <w:ind w:left="720"/>
        <w:rPr>
          <w:rFonts w:cs="FrankRuehl"/>
          <w:rtl/>
        </w:rPr>
      </w:pPr>
      <w:r>
        <w:rPr>
          <w:rFonts w:cs="FrankRuehl" w:hint="cs"/>
          <w:rtl/>
        </w:rPr>
        <w:t>שירותים חברתיים-קהילתיים– דוגמת מתנ"ס וחוגים במסגרתו;</w:t>
      </w:r>
    </w:p>
    <w:p w:rsidR="005366A8" w:rsidRDefault="005366A8" w:rsidP="005366A8">
      <w:pPr>
        <w:spacing w:after="60"/>
        <w:ind w:left="720"/>
        <w:rPr>
          <w:rFonts w:cs="FrankRuehl"/>
          <w:rtl/>
        </w:rPr>
      </w:pPr>
      <w:r>
        <w:rPr>
          <w:rFonts w:cs="FrankRuehl" w:hint="cs"/>
          <w:rtl/>
        </w:rPr>
        <w:t>שירותי קבורה;</w:t>
      </w:r>
    </w:p>
    <w:p w:rsidR="005366A8" w:rsidRDefault="005366A8" w:rsidP="005366A8">
      <w:pPr>
        <w:spacing w:after="60"/>
        <w:ind w:left="720"/>
        <w:rPr>
          <w:rFonts w:cs="FrankRuehl"/>
          <w:rtl/>
        </w:rPr>
      </w:pPr>
      <w:r>
        <w:rPr>
          <w:rFonts w:cs="FrankRuehl" w:hint="cs"/>
          <w:rtl/>
        </w:rPr>
        <w:t>שירותים וטרינריים;  ...</w:t>
      </w:r>
    </w:p>
    <w:p w:rsidR="005366A8" w:rsidRDefault="005366A8" w:rsidP="005366A8">
      <w:pPr>
        <w:spacing w:after="60"/>
        <w:rPr>
          <w:rFonts w:cs="FrankRuehl"/>
          <w:rtl/>
        </w:rPr>
      </w:pPr>
    </w:p>
    <w:p w:rsidR="005366A8" w:rsidRDefault="005366A8" w:rsidP="005366A8">
      <w:pPr>
        <w:spacing w:after="60"/>
        <w:rPr>
          <w:rFonts w:cs="FrankRuehl"/>
          <w:rtl/>
        </w:rPr>
      </w:pPr>
      <w:r>
        <w:rPr>
          <w:rFonts w:cs="FrankRuehl" w:hint="cs"/>
          <w:rtl/>
        </w:rPr>
        <w:t xml:space="preserve">"מרחב ציבורי" </w:t>
      </w:r>
      <w:r w:rsidRPr="0052158A">
        <w:rPr>
          <w:rFonts w:cs="FrankRuehl" w:hint="cs"/>
          <w:u w:val="single"/>
          <w:rtl/>
        </w:rPr>
        <w:t>לכל אדם</w:t>
      </w:r>
      <w:r>
        <w:rPr>
          <w:rFonts w:cs="FrankRuehl" w:hint="cs"/>
          <w:rtl/>
        </w:rPr>
        <w:t>:</w:t>
      </w:r>
    </w:p>
    <w:p w:rsidR="005366A8" w:rsidRDefault="005366A8" w:rsidP="005366A8">
      <w:pPr>
        <w:spacing w:after="60"/>
        <w:ind w:left="720"/>
        <w:rPr>
          <w:rFonts w:cs="FrankRuehl"/>
          <w:rtl/>
        </w:rPr>
      </w:pPr>
      <w:r>
        <w:rPr>
          <w:rFonts w:cs="FrankRuehl" w:hint="cs"/>
          <w:rtl/>
        </w:rPr>
        <w:t>דרכים ציבוריות;</w:t>
      </w:r>
    </w:p>
    <w:p w:rsidR="005366A8" w:rsidRDefault="005366A8" w:rsidP="005366A8">
      <w:pPr>
        <w:spacing w:after="60"/>
        <w:ind w:left="720"/>
        <w:rPr>
          <w:rFonts w:cs="FrankRuehl"/>
          <w:rtl/>
        </w:rPr>
      </w:pPr>
      <w:r>
        <w:rPr>
          <w:rFonts w:cs="FrankRuehl" w:hint="cs"/>
          <w:rtl/>
        </w:rPr>
        <w:t>מה לגבי פארקים עירוניים/ פארקים ציבוריים?</w:t>
      </w:r>
    </w:p>
    <w:p w:rsidR="005366A8" w:rsidRDefault="005366A8" w:rsidP="005366A8">
      <w:pPr>
        <w:spacing w:after="60"/>
        <w:rPr>
          <w:rFonts w:cs="David"/>
          <w:sz w:val="20"/>
          <w:szCs w:val="20"/>
          <w:rtl/>
        </w:rPr>
      </w:pPr>
      <w:r>
        <w:rPr>
          <w:rFonts w:cs="David" w:hint="cs"/>
          <w:sz w:val="20"/>
          <w:szCs w:val="20"/>
          <w:rtl/>
        </w:rPr>
        <w:t>=-=</w:t>
      </w:r>
    </w:p>
    <w:p w:rsidR="005366A8" w:rsidRDefault="005366A8" w:rsidP="005366A8">
      <w:pPr>
        <w:spacing w:after="60"/>
        <w:rPr>
          <w:rFonts w:cs="David"/>
          <w:sz w:val="20"/>
          <w:szCs w:val="20"/>
          <w:rtl/>
        </w:rPr>
      </w:pPr>
    </w:p>
    <w:p w:rsidR="005366A8" w:rsidRDefault="005366A8" w:rsidP="005366A8">
      <w:pPr>
        <w:pStyle w:val="Heading1"/>
        <w:spacing w:after="60" w:line="304" w:lineRule="atLeast"/>
        <w:jc w:val="left"/>
        <w:rPr>
          <w:rFonts w:ascii="Arial" w:hAnsi="Arial" w:cs="Arial"/>
          <w:color w:val="000000"/>
          <w:sz w:val="30"/>
          <w:szCs w:val="30"/>
        </w:rPr>
      </w:pPr>
      <w:r>
        <w:rPr>
          <w:rFonts w:ascii="Arial" w:hAnsi="Arial" w:cs="Arial" w:hint="cs"/>
          <w:color w:val="000000"/>
          <w:sz w:val="30"/>
          <w:szCs w:val="30"/>
          <w:rtl/>
        </w:rPr>
        <w:t>ב</w:t>
      </w:r>
      <w:r>
        <w:rPr>
          <w:rFonts w:ascii="Arial" w:hAnsi="Arial" w:cs="Arial"/>
          <w:color w:val="000000"/>
          <w:sz w:val="30"/>
          <w:szCs w:val="30"/>
          <w:rtl/>
        </w:rPr>
        <w:t>וטל התשלום בכניסה לפארק רעננה</w:t>
      </w:r>
    </w:p>
    <w:p w:rsidR="005366A8" w:rsidRPr="00832597" w:rsidRDefault="005D7968" w:rsidP="000B7168">
      <w:pPr>
        <w:numPr>
          <w:ilvl w:val="0"/>
          <w:numId w:val="29"/>
        </w:numPr>
        <w:spacing w:after="60"/>
        <w:ind w:left="5" w:right="-11" w:hanging="357"/>
        <w:jc w:val="left"/>
        <w:rPr>
          <w:rFonts w:ascii="Arial" w:hAnsi="Arial" w:cs="Arial"/>
          <w:color w:val="000000"/>
          <w:sz w:val="20"/>
          <w:szCs w:val="20"/>
        </w:rPr>
      </w:pPr>
      <w:hyperlink r:id="rId330" w:history="1">
        <w:r w:rsidR="005366A8" w:rsidRPr="00832597">
          <w:rPr>
            <w:rStyle w:val="Hyperlink"/>
            <w:rFonts w:ascii="Arial" w:hAnsi="Arial" w:cs="Arial"/>
            <w:b/>
            <w:bCs/>
            <w:color w:val="000000"/>
            <w:sz w:val="14"/>
            <w:szCs w:val="14"/>
            <w:rtl/>
          </w:rPr>
          <w:t>צפריר רינת</w:t>
        </w:r>
      </w:hyperlink>
      <w:r w:rsidR="005366A8" w:rsidRPr="00832597">
        <w:rPr>
          <w:rStyle w:val="Strong"/>
          <w:rFonts w:ascii="Arial" w:hAnsi="Arial" w:cs="Arial" w:hint="cs"/>
          <w:color w:val="525252"/>
          <w:sz w:val="14"/>
          <w:szCs w:val="14"/>
          <w:u w:val="single"/>
          <w:rtl/>
        </w:rPr>
        <w:t xml:space="preserve"> ; </w:t>
      </w:r>
      <w:r w:rsidR="005366A8" w:rsidRPr="00832597">
        <w:rPr>
          <w:rFonts w:ascii="Arial" w:hAnsi="Arial" w:cs="Arial"/>
          <w:b/>
          <w:bCs/>
          <w:sz w:val="14"/>
          <w:szCs w:val="14"/>
          <w:highlight w:val="yellow"/>
        </w:rPr>
        <w:t>05.09.2007</w:t>
      </w:r>
    </w:p>
    <w:p w:rsidR="005366A8" w:rsidRPr="00BE7E1B" w:rsidRDefault="005366A8" w:rsidP="005366A8">
      <w:pPr>
        <w:spacing w:after="60"/>
        <w:ind w:right="-10"/>
        <w:rPr>
          <w:rFonts w:ascii="Arial" w:hAnsi="Arial" w:cs="Arial"/>
          <w:color w:val="000000"/>
          <w:sz w:val="20"/>
          <w:szCs w:val="20"/>
        </w:rPr>
      </w:pPr>
      <w:r w:rsidRPr="00BE7E1B">
        <w:rPr>
          <w:rFonts w:ascii="Arial" w:hAnsi="Arial" w:cs="Arial"/>
          <w:color w:val="000000"/>
          <w:sz w:val="20"/>
          <w:szCs w:val="20"/>
          <w:rtl/>
        </w:rPr>
        <w:t>הפארק העירוני של רעננה, שהיה הפארק היחידי בישראל בו נגבה תשלום עבור כניסה, נפתח בשבועות האחרונים לכניסה חופשית. פתיחת הפארק מהווה הישג לעמותת "אדם, טבע ודין" ולשדולה הירוקה הסביבתית בכנסת, המנהלים מאבק חוקתי ומשפטי נגד גביית תשלום בכניסה לחופים ופארקים. העמותה הגישה כבר לפני שנתיים עתירה לבג"ץ נגד גביית התשלום בסופי שבוע בכניסה לפארק רעננה ממי שאינם תושבי העיר, וטענה שמדובר בצעד הפוגע בזכות הציבור להנות ממשאב ציבורי. העירייה טענה שגביית התשלום נועדה לממן את תחזוקת הפארק באופן שלא יפיל את העומס רק על תושבי העיר באמצעות מסים עירוניים</w:t>
      </w:r>
      <w:r w:rsidRPr="00BE7E1B">
        <w:rPr>
          <w:rFonts w:ascii="Arial" w:hAnsi="Arial" w:cs="Arial"/>
          <w:color w:val="000000"/>
          <w:sz w:val="20"/>
          <w:szCs w:val="20"/>
        </w:rPr>
        <w:t>.</w:t>
      </w:r>
    </w:p>
    <w:p w:rsidR="005366A8" w:rsidRDefault="005366A8" w:rsidP="005366A8">
      <w:pPr>
        <w:pStyle w:val="NormalWeb"/>
        <w:bidi/>
        <w:spacing w:before="0" w:beforeAutospacing="0" w:after="60" w:afterAutospacing="0" w:line="243" w:lineRule="atLeast"/>
        <w:rPr>
          <w:rFonts w:cs="David"/>
          <w:sz w:val="20"/>
          <w:szCs w:val="20"/>
          <w:rtl/>
        </w:rPr>
      </w:pPr>
      <w:r w:rsidRPr="008066BC">
        <w:rPr>
          <w:rFonts w:ascii="Arial" w:hAnsi="Arial" w:cs="Arial"/>
          <w:color w:val="000000"/>
          <w:sz w:val="20"/>
          <w:szCs w:val="20"/>
          <w:highlight w:val="yellow"/>
          <w:rtl/>
        </w:rPr>
        <w:t>בג"ץ לא אסר על גביית התשלום, אולם ביקש לקבוע קריטריונים לגביית תשלום בפארקים עירוניים</w:t>
      </w:r>
      <w:r w:rsidRPr="00BE7E1B">
        <w:rPr>
          <w:rFonts w:ascii="Arial" w:hAnsi="Arial" w:cs="Arial"/>
          <w:color w:val="000000"/>
          <w:sz w:val="20"/>
          <w:szCs w:val="20"/>
          <w:rtl/>
        </w:rPr>
        <w:t xml:space="preserve">. במקביל, החלו חברי השדולה הירוקה בכנסת במהלך </w:t>
      </w:r>
      <w:r w:rsidRPr="008066BC">
        <w:rPr>
          <w:rFonts w:ascii="Arial" w:hAnsi="Arial" w:cs="Arial"/>
          <w:color w:val="000000"/>
          <w:sz w:val="20"/>
          <w:szCs w:val="20"/>
          <w:highlight w:val="yellow"/>
          <w:rtl/>
        </w:rPr>
        <w:t>לתיקון פקודת העיריות</w:t>
      </w:r>
      <w:r w:rsidRPr="00BE7E1B">
        <w:rPr>
          <w:rFonts w:ascii="Arial" w:hAnsi="Arial" w:cs="Arial"/>
          <w:color w:val="000000"/>
          <w:sz w:val="20"/>
          <w:szCs w:val="20"/>
          <w:rtl/>
        </w:rPr>
        <w:t xml:space="preserve"> כך שתאסור גביית תשלום בכניסה לפארקים. התיקון אושר ונכנס לתוקף בחודש שעבר. בתיקון נקבע שניתן יהיה לאשר גביית תשלום רק במקרים חריגים ועל פי אישור ועדת הפנים והגנת הסביבה</w:t>
      </w:r>
      <w:r w:rsidRPr="00BE7E1B">
        <w:rPr>
          <w:rFonts w:ascii="Arial" w:hAnsi="Arial" w:cs="Arial"/>
          <w:color w:val="000000"/>
          <w:sz w:val="20"/>
          <w:szCs w:val="20"/>
        </w:rPr>
        <w:t>.</w:t>
      </w:r>
      <w:r w:rsidRPr="00BE7E1B">
        <w:rPr>
          <w:rStyle w:val="apple-converted-space"/>
          <w:rFonts w:ascii="Arial" w:hAnsi="Arial" w:cs="Arial"/>
          <w:color w:val="000000"/>
          <w:sz w:val="20"/>
          <w:szCs w:val="20"/>
        </w:rPr>
        <w:t> </w:t>
      </w:r>
    </w:p>
    <w:p w:rsidR="005366A8" w:rsidRPr="00D67EFE" w:rsidRDefault="005366A8" w:rsidP="005366A8">
      <w:pPr>
        <w:spacing w:after="60"/>
        <w:rPr>
          <w:rFonts w:ascii="Arial" w:hAnsi="Arial" w:cs="Arial"/>
          <w:b/>
          <w:bCs/>
          <w:sz w:val="20"/>
          <w:szCs w:val="20"/>
          <w:rtl/>
        </w:rPr>
      </w:pPr>
      <w:r w:rsidRPr="00D67EFE">
        <w:rPr>
          <w:rFonts w:ascii="Arial" w:hAnsi="Arial" w:cs="Arial"/>
          <w:b/>
          <w:bCs/>
          <w:sz w:val="20"/>
          <w:szCs w:val="20"/>
          <w:rtl/>
        </w:rPr>
        <w:t>התיקון שהתקבל</w:t>
      </w:r>
      <w:r>
        <w:rPr>
          <w:rFonts w:ascii="Arial" w:hAnsi="Arial" w:cs="Arial" w:hint="cs"/>
          <w:b/>
          <w:bCs/>
          <w:sz w:val="20"/>
          <w:szCs w:val="20"/>
          <w:rtl/>
        </w:rPr>
        <w:t xml:space="preserve"> לפקודת העיריות</w:t>
      </w:r>
      <w:r w:rsidRPr="00D67EFE">
        <w:rPr>
          <w:rFonts w:ascii="Arial" w:hAnsi="Arial" w:cs="Arial"/>
          <w:b/>
          <w:bCs/>
          <w:sz w:val="20"/>
          <w:szCs w:val="20"/>
          <w:rtl/>
        </w:rPr>
        <w:t>:</w:t>
      </w:r>
    </w:p>
    <w:p w:rsidR="005366A8" w:rsidRDefault="005D7968" w:rsidP="005366A8">
      <w:pPr>
        <w:pStyle w:val="P22"/>
        <w:spacing w:before="0" w:after="60"/>
        <w:ind w:left="1021"/>
        <w:rPr>
          <w:rStyle w:val="default"/>
          <w:rtl/>
        </w:rPr>
      </w:pPr>
      <w:r w:rsidRPr="005D7968">
        <w:rPr>
          <w:rtl/>
        </w:rPr>
        <w:pict>
          <v:rect id="_x0000_s1195" style="position:absolute;left:0;text-align:left;margin-left:464.5pt;margin-top:8.05pt;width:75.05pt;height:16.45pt;z-index:251842560" o:allowincell="f" filled="f" stroked="f" strokecolor="lime" strokeweight=".25pt">
            <v:textbox inset="0,0,0,0">
              <w:txbxContent>
                <w:p w:rsidR="005366A8" w:rsidRDefault="005366A8" w:rsidP="005366A8">
                  <w:pPr>
                    <w:spacing w:line="160" w:lineRule="exact"/>
                    <w:rPr>
                      <w:rFonts w:cs="Miriam"/>
                      <w:noProof/>
                      <w:sz w:val="18"/>
                      <w:szCs w:val="18"/>
                      <w:rtl/>
                    </w:rPr>
                  </w:pPr>
                </w:p>
              </w:txbxContent>
            </v:textbox>
            <w10:anchorlock/>
          </v:rect>
        </w:pict>
      </w:r>
      <w:r w:rsidR="005366A8" w:rsidRPr="00BE7E1B">
        <w:rPr>
          <w:rtl/>
        </w:rPr>
        <w:t>249</w:t>
      </w:r>
      <w:r w:rsidR="005366A8" w:rsidRPr="00BE7E1B">
        <w:rPr>
          <w:rFonts w:hint="cs"/>
          <w:rtl/>
        </w:rPr>
        <w:t>.</w:t>
      </w:r>
      <w:r w:rsidR="005366A8" w:rsidRPr="00BE7E1B">
        <w:rPr>
          <w:rtl/>
        </w:rPr>
        <w:tab/>
        <w:t>סמכויותי</w:t>
      </w:r>
      <w:r w:rsidR="005366A8" w:rsidRPr="00BE7E1B">
        <w:rPr>
          <w:rFonts w:hint="cs"/>
          <w:rtl/>
        </w:rPr>
        <w:t>ה של עיריה הן:</w:t>
      </w:r>
      <w:r w:rsidR="005366A8">
        <w:rPr>
          <w:rFonts w:hint="cs"/>
          <w:rtl/>
        </w:rPr>
        <w:t xml:space="preserve"> </w:t>
      </w:r>
      <w:r w:rsidR="005366A8">
        <w:rPr>
          <w:rStyle w:val="default"/>
          <w:rFonts w:hint="cs"/>
          <w:rtl/>
        </w:rPr>
        <w:t>[...]</w:t>
      </w:r>
    </w:p>
    <w:p w:rsidR="005366A8" w:rsidRDefault="005D7968" w:rsidP="005366A8">
      <w:pPr>
        <w:pStyle w:val="P22"/>
        <w:spacing w:before="0" w:after="60"/>
        <w:ind w:left="1440" w:right="1134"/>
        <w:rPr>
          <w:rStyle w:val="default"/>
          <w:rtl/>
        </w:rPr>
      </w:pPr>
      <w:r w:rsidRPr="005D7968">
        <w:rPr>
          <w:rFonts w:cs="Times New Roman"/>
          <w:rtl/>
          <w:lang w:val="he-IL"/>
        </w:rPr>
        <w:pict>
          <v:rect id="_x0000_s1194" style="position:absolute;left:0;text-align:left;margin-left:453.15pt;margin-top:8.05pt;width:86.4pt;height:31pt;z-index:251841536" o:allowincell="f" filled="f" stroked="f" strokecolor="lime" strokeweight=".25pt">
            <v:textbox inset="0,0,0,0">
              <w:txbxContent>
                <w:p w:rsidR="005366A8" w:rsidRDefault="005366A8" w:rsidP="005366A8">
                  <w:pPr>
                    <w:spacing w:line="160" w:lineRule="exact"/>
                    <w:ind w:left="720"/>
                    <w:rPr>
                      <w:rFonts w:cs="Miriam"/>
                      <w:sz w:val="18"/>
                      <w:szCs w:val="18"/>
                      <w:rtl/>
                    </w:rPr>
                  </w:pPr>
                  <w:r>
                    <w:rPr>
                      <w:rFonts w:cs="Miriam"/>
                      <w:sz w:val="18"/>
                      <w:szCs w:val="18"/>
                      <w:rtl/>
                    </w:rPr>
                    <w:t>גנים ציב</w:t>
                  </w:r>
                  <w:r>
                    <w:rPr>
                      <w:rFonts w:cs="Miriam" w:hint="cs"/>
                      <w:sz w:val="18"/>
                      <w:szCs w:val="18"/>
                      <w:rtl/>
                    </w:rPr>
                    <w:t>וריים</w:t>
                  </w:r>
                </w:p>
                <w:p w:rsidR="005366A8" w:rsidRDefault="005366A8" w:rsidP="005366A8">
                  <w:pPr>
                    <w:spacing w:line="160" w:lineRule="exact"/>
                    <w:ind w:left="720"/>
                    <w:rPr>
                      <w:rFonts w:cs="Miriam"/>
                      <w:noProof/>
                      <w:sz w:val="18"/>
                      <w:szCs w:val="18"/>
                      <w:rtl/>
                    </w:rPr>
                  </w:pPr>
                  <w:r>
                    <w:rPr>
                      <w:rFonts w:cs="Miriam" w:hint="cs"/>
                      <w:sz w:val="18"/>
                      <w:szCs w:val="18"/>
                      <w:rtl/>
                    </w:rPr>
                    <w:t>(תיקון מס' 109) תשס"ז-2007</w:t>
                  </w:r>
                </w:p>
              </w:txbxContent>
            </v:textbox>
            <w10:anchorlock/>
          </v:rect>
        </w:pict>
      </w:r>
      <w:r w:rsidR="005366A8">
        <w:rPr>
          <w:rStyle w:val="default"/>
          <w:rtl/>
        </w:rPr>
        <w:t>(8)</w:t>
      </w:r>
      <w:r w:rsidR="005366A8">
        <w:rPr>
          <w:rStyle w:val="default"/>
          <w:rtl/>
        </w:rPr>
        <w:tab/>
        <w:t>לספ</w:t>
      </w:r>
      <w:r w:rsidR="005366A8">
        <w:rPr>
          <w:rStyle w:val="default"/>
          <w:rFonts w:hint="cs"/>
          <w:rtl/>
        </w:rPr>
        <w:t xml:space="preserve">ק, </w:t>
      </w:r>
      <w:r w:rsidR="005366A8">
        <w:rPr>
          <w:rStyle w:val="default"/>
          <w:rtl/>
        </w:rPr>
        <w:t>להתק</w:t>
      </w:r>
      <w:r w:rsidR="005366A8">
        <w:rPr>
          <w:rStyle w:val="default"/>
          <w:rFonts w:hint="cs"/>
          <w:rtl/>
        </w:rPr>
        <w:t>ין, להתוות, לתכנן, לשפר</w:t>
      </w:r>
      <w:r w:rsidR="005366A8">
        <w:rPr>
          <w:rStyle w:val="default"/>
          <w:rtl/>
        </w:rPr>
        <w:t xml:space="preserve">, </w:t>
      </w:r>
      <w:r w:rsidR="005366A8">
        <w:rPr>
          <w:rStyle w:val="default"/>
          <w:rFonts w:hint="cs"/>
          <w:rtl/>
        </w:rPr>
        <w:t>ל</w:t>
      </w:r>
      <w:r w:rsidR="005366A8">
        <w:rPr>
          <w:rStyle w:val="default"/>
          <w:rtl/>
        </w:rPr>
        <w:t>ק</w:t>
      </w:r>
      <w:r w:rsidR="005366A8">
        <w:rPr>
          <w:rStyle w:val="default"/>
          <w:rFonts w:hint="cs"/>
          <w:rtl/>
        </w:rPr>
        <w:t>י</w:t>
      </w:r>
      <w:r w:rsidR="005366A8">
        <w:rPr>
          <w:rStyle w:val="default"/>
          <w:rtl/>
        </w:rPr>
        <w:t>י</w:t>
      </w:r>
      <w:r w:rsidR="005366A8">
        <w:rPr>
          <w:rStyle w:val="default"/>
          <w:rFonts w:hint="cs"/>
          <w:rtl/>
        </w:rPr>
        <w:t>ם</w:t>
      </w:r>
      <w:r w:rsidR="005366A8">
        <w:rPr>
          <w:rStyle w:val="default"/>
          <w:rtl/>
        </w:rPr>
        <w:t xml:space="preserve">, </w:t>
      </w:r>
      <w:r w:rsidR="005366A8">
        <w:rPr>
          <w:rStyle w:val="default"/>
          <w:rFonts w:hint="cs"/>
          <w:rtl/>
        </w:rPr>
        <w:t xml:space="preserve">להסדיר גנים וגינות ומקומות מרגוע או נופש אחרים לשימוש הציבור, ולפקח עליהם, ולהשתתף בהוצאות קיומם של מקומות כאמור שהתקינם אדם לשימוש הציבור, </w:t>
      </w:r>
      <w:r w:rsidR="005366A8" w:rsidRPr="003A08F2">
        <w:rPr>
          <w:rStyle w:val="default"/>
          <w:rtl/>
        </w:rPr>
        <w:t>ובלבד שלא ייגבו דמי כניסה לאותם מקומות, בחוק עזר או בכל דרך אחרת, לרבות</w:t>
      </w:r>
      <w:r w:rsidR="005366A8" w:rsidRPr="003A08F2">
        <w:rPr>
          <w:rStyle w:val="default"/>
          <w:rFonts w:hint="cs"/>
          <w:rtl/>
        </w:rPr>
        <w:t xml:space="preserve"> </w:t>
      </w:r>
      <w:r w:rsidR="005366A8" w:rsidRPr="003A08F2">
        <w:rPr>
          <w:rStyle w:val="default"/>
          <w:rtl/>
        </w:rPr>
        <w:t>באמצעות הטלת אגרה, מס, היטל או תשלום כלשהו (בפסקה זו – דמי כניסה), ואולם</w:t>
      </w:r>
      <w:r w:rsidR="005366A8" w:rsidRPr="003A08F2">
        <w:rPr>
          <w:rStyle w:val="default"/>
          <w:rFonts w:hint="cs"/>
          <w:rtl/>
        </w:rPr>
        <w:t xml:space="preserve"> </w:t>
      </w:r>
      <w:r w:rsidR="005366A8" w:rsidRPr="003A08F2">
        <w:rPr>
          <w:rStyle w:val="default"/>
          <w:rtl/>
        </w:rPr>
        <w:t>רשאי השר להתיר לעיריה לגבות דמי כניסה למקומות כאמור במקרים חריגים, ולפי כללים שקבע באישור ועדת הפנים והגנת הסביבה של הכנסת</w:t>
      </w:r>
      <w:r w:rsidR="005366A8" w:rsidRPr="003A08F2">
        <w:rPr>
          <w:rStyle w:val="default"/>
          <w:rFonts w:hint="cs"/>
          <w:rtl/>
        </w:rPr>
        <w:t>;</w:t>
      </w:r>
    </w:p>
    <w:p w:rsidR="005366A8" w:rsidRDefault="005366A8" w:rsidP="005366A8">
      <w:pPr>
        <w:spacing w:after="60"/>
        <w:rPr>
          <w:rFonts w:cs="David"/>
          <w:sz w:val="20"/>
          <w:szCs w:val="20"/>
          <w:rtl/>
        </w:rPr>
      </w:pPr>
      <w:r>
        <w:rPr>
          <w:rFonts w:cs="David" w:hint="cs"/>
          <w:sz w:val="20"/>
          <w:szCs w:val="20"/>
          <w:rtl/>
        </w:rPr>
        <w:t>=-=</w:t>
      </w:r>
    </w:p>
    <w:p w:rsidR="005366A8" w:rsidRPr="00432251" w:rsidRDefault="005366A8" w:rsidP="005366A8">
      <w:pPr>
        <w:spacing w:after="60"/>
        <w:rPr>
          <w:b/>
          <w:bCs/>
          <w:sz w:val="22"/>
          <w:szCs w:val="22"/>
          <w:rtl/>
        </w:rPr>
      </w:pPr>
      <w:r w:rsidRPr="00432251">
        <w:rPr>
          <w:rFonts w:hint="cs"/>
          <w:b/>
          <w:bCs/>
          <w:sz w:val="22"/>
          <w:szCs w:val="22"/>
          <w:rtl/>
        </w:rPr>
        <w:t>שאלה:</w:t>
      </w:r>
    </w:p>
    <w:p w:rsidR="005366A8" w:rsidRPr="008066BC" w:rsidRDefault="005366A8" w:rsidP="005366A8">
      <w:pPr>
        <w:spacing w:after="60"/>
        <w:ind w:left="720"/>
        <w:rPr>
          <w:sz w:val="22"/>
          <w:szCs w:val="22"/>
          <w:rtl/>
        </w:rPr>
      </w:pPr>
      <w:r w:rsidRPr="008066BC">
        <w:rPr>
          <w:sz w:val="22"/>
          <w:szCs w:val="22"/>
          <w:rtl/>
        </w:rPr>
        <w:t xml:space="preserve">ומה אם לא ייגבה תשלום אלא </w:t>
      </w:r>
      <w:r>
        <w:rPr>
          <w:rFonts w:hint="cs"/>
          <w:sz w:val="22"/>
          <w:szCs w:val="22"/>
          <w:rtl/>
        </w:rPr>
        <w:t xml:space="preserve">מועצת העיר תגביל בחוק עזר את </w:t>
      </w:r>
      <w:r w:rsidRPr="008066BC">
        <w:rPr>
          <w:sz w:val="22"/>
          <w:szCs w:val="22"/>
          <w:rtl/>
        </w:rPr>
        <w:t>הכניסה לתושבי העיר</w:t>
      </w:r>
      <w:r>
        <w:rPr>
          <w:rFonts w:hint="cs"/>
          <w:sz w:val="22"/>
          <w:szCs w:val="22"/>
          <w:rtl/>
        </w:rPr>
        <w:t xml:space="preserve"> בלבד</w:t>
      </w:r>
      <w:r w:rsidRPr="008066BC">
        <w:rPr>
          <w:sz w:val="22"/>
          <w:szCs w:val="22"/>
          <w:rtl/>
        </w:rPr>
        <w:t>?</w:t>
      </w:r>
    </w:p>
    <w:p w:rsidR="005366A8" w:rsidRPr="00BE7E1B" w:rsidRDefault="005366A8" w:rsidP="005366A8">
      <w:pPr>
        <w:spacing w:after="60"/>
        <w:rPr>
          <w:rFonts w:cs="David"/>
          <w:sz w:val="20"/>
          <w:szCs w:val="20"/>
          <w:rtl/>
        </w:rPr>
      </w:pPr>
    </w:p>
    <w:p w:rsidR="005366A8" w:rsidRDefault="005366A8" w:rsidP="005366A8">
      <w:pPr>
        <w:spacing w:after="60"/>
        <w:jc w:val="center"/>
        <w:rPr>
          <w:rFonts w:ascii="Arial" w:hAnsi="Arial" w:cs="Arial"/>
          <w:b/>
          <w:bCs/>
          <w:sz w:val="22"/>
          <w:szCs w:val="22"/>
          <w:highlight w:val="yellow"/>
          <w:rtl/>
        </w:rPr>
      </w:pPr>
      <w:r>
        <w:rPr>
          <w:rFonts w:cs="David" w:hint="cs"/>
          <w:sz w:val="20"/>
          <w:szCs w:val="20"/>
          <w:rtl/>
        </w:rPr>
        <w:t>=-=</w:t>
      </w:r>
    </w:p>
    <w:p w:rsidR="005366A8" w:rsidRDefault="005366A8" w:rsidP="005366A8">
      <w:pPr>
        <w:spacing w:after="60"/>
        <w:rPr>
          <w:rFonts w:ascii="Arial" w:hAnsi="Arial" w:cs="Arial"/>
          <w:b/>
          <w:bCs/>
          <w:sz w:val="22"/>
          <w:szCs w:val="22"/>
          <w:highlight w:val="yellow"/>
          <w:rtl/>
        </w:rPr>
      </w:pPr>
    </w:p>
    <w:p w:rsidR="005366A8" w:rsidRPr="00B72903" w:rsidRDefault="005366A8" w:rsidP="005366A8">
      <w:pPr>
        <w:spacing w:after="60"/>
        <w:rPr>
          <w:rFonts w:ascii="Arial" w:hAnsi="Arial" w:cs="Arial"/>
          <w:b/>
          <w:bCs/>
          <w:sz w:val="22"/>
          <w:szCs w:val="22"/>
          <w:highlight w:val="yellow"/>
          <w:rtl/>
        </w:rPr>
      </w:pPr>
      <w:r w:rsidRPr="00B72903">
        <w:rPr>
          <w:rFonts w:ascii="Arial" w:hAnsi="Arial" w:cs="Arial" w:hint="cs"/>
          <w:b/>
          <w:bCs/>
          <w:sz w:val="22"/>
          <w:szCs w:val="22"/>
          <w:highlight w:val="yellow"/>
          <w:rtl/>
        </w:rPr>
        <w:t>אנו עוברים עתה</w:t>
      </w:r>
      <w:r>
        <w:rPr>
          <w:rFonts w:ascii="Arial" w:hAnsi="Arial" w:cs="Arial" w:hint="cs"/>
          <w:b/>
          <w:bCs/>
          <w:sz w:val="22"/>
          <w:szCs w:val="22"/>
          <w:highlight w:val="yellow"/>
          <w:rtl/>
        </w:rPr>
        <w:t>, אם כן,</w:t>
      </w:r>
      <w:r w:rsidRPr="00B72903">
        <w:rPr>
          <w:rFonts w:ascii="Arial" w:hAnsi="Arial" w:cs="Arial" w:hint="cs"/>
          <w:b/>
          <w:bCs/>
          <w:sz w:val="22"/>
          <w:szCs w:val="22"/>
          <w:highlight w:val="yellow"/>
          <w:rtl/>
        </w:rPr>
        <w:t xml:space="preserve"> לחלק הבא של הקורס; זה שתכופות </w:t>
      </w:r>
      <w:r>
        <w:rPr>
          <w:rFonts w:ascii="Arial" w:hAnsi="Arial" w:cs="Arial" w:hint="cs"/>
          <w:b/>
          <w:bCs/>
          <w:sz w:val="22"/>
          <w:szCs w:val="22"/>
          <w:highlight w:val="yellow"/>
          <w:rtl/>
        </w:rPr>
        <w:t xml:space="preserve">נהוג </w:t>
      </w:r>
      <w:r w:rsidRPr="00B72903">
        <w:rPr>
          <w:rFonts w:ascii="Arial" w:hAnsi="Arial" w:cs="Arial" w:hint="cs"/>
          <w:b/>
          <w:bCs/>
          <w:sz w:val="22"/>
          <w:szCs w:val="22"/>
          <w:highlight w:val="yellow"/>
          <w:rtl/>
        </w:rPr>
        <w:t xml:space="preserve">לכנותו </w:t>
      </w:r>
      <w:r w:rsidRPr="004C1592">
        <w:rPr>
          <w:rFonts w:ascii="Arial" w:hAnsi="Arial" w:cs="Arial" w:hint="cs"/>
          <w:b/>
          <w:bCs/>
          <w:i/>
          <w:iCs/>
          <w:sz w:val="22"/>
          <w:szCs w:val="22"/>
          <w:highlight w:val="yellow"/>
          <w:u w:val="single"/>
          <w:rtl/>
        </w:rPr>
        <w:t>"המשפט המינהלי".</w:t>
      </w:r>
      <w:r w:rsidRPr="00B72903">
        <w:rPr>
          <w:rFonts w:ascii="Arial" w:hAnsi="Arial" w:cs="Arial" w:hint="cs"/>
          <w:b/>
          <w:bCs/>
          <w:sz w:val="22"/>
          <w:szCs w:val="22"/>
          <w:highlight w:val="yellow"/>
          <w:rtl/>
        </w:rPr>
        <w:t xml:space="preserve"> </w:t>
      </w:r>
    </w:p>
    <w:p w:rsidR="005366A8" w:rsidRDefault="005366A8" w:rsidP="005366A8">
      <w:pPr>
        <w:rPr>
          <w:rFonts w:ascii="Arial" w:hAnsi="Arial" w:cs="Arial"/>
          <w:b/>
          <w:bCs/>
          <w:sz w:val="22"/>
          <w:szCs w:val="22"/>
          <w:highlight w:val="yellow"/>
          <w:rtl/>
        </w:rPr>
      </w:pPr>
      <w:r w:rsidRPr="00B72903">
        <w:rPr>
          <w:rFonts w:ascii="Arial" w:hAnsi="Arial" w:cs="Arial" w:hint="cs"/>
          <w:b/>
          <w:bCs/>
          <w:sz w:val="22"/>
          <w:szCs w:val="22"/>
          <w:highlight w:val="yellow"/>
          <w:rtl/>
        </w:rPr>
        <w:t xml:space="preserve">מדובר בעיון קרוב ומפורט יותר בנורמות המשפטיות (מעניקות הסמכות ומגבילות הסמכות) החלות על </w:t>
      </w:r>
      <w:r w:rsidRPr="006424F8">
        <w:rPr>
          <w:rFonts w:ascii="Arial" w:hAnsi="Arial" w:cs="Arial" w:hint="cs"/>
          <w:b/>
          <w:bCs/>
          <w:sz w:val="22"/>
          <w:szCs w:val="22"/>
          <w:highlight w:val="yellow"/>
          <w:u w:val="single"/>
          <w:rtl/>
        </w:rPr>
        <w:t>רשויות המינהל הציבורי</w:t>
      </w:r>
      <w:r w:rsidRPr="00B72903">
        <w:rPr>
          <w:rFonts w:ascii="Arial" w:hAnsi="Arial" w:cs="Arial" w:hint="cs"/>
          <w:b/>
          <w:bCs/>
          <w:sz w:val="22"/>
          <w:szCs w:val="22"/>
          <w:highlight w:val="yellow"/>
          <w:rtl/>
        </w:rPr>
        <w:t xml:space="preserve"> </w:t>
      </w:r>
      <w:r w:rsidRPr="00B72903">
        <w:rPr>
          <w:rFonts w:ascii="Arial" w:hAnsi="Arial" w:cs="Arial"/>
          <w:b/>
          <w:bCs/>
          <w:sz w:val="22"/>
          <w:szCs w:val="22"/>
          <w:highlight w:val="yellow"/>
          <w:rtl/>
        </w:rPr>
        <w:t>–</w:t>
      </w:r>
      <w:r w:rsidRPr="00B72903">
        <w:rPr>
          <w:rFonts w:ascii="Arial" w:hAnsi="Arial" w:cs="Arial" w:hint="cs"/>
          <w:b/>
          <w:bCs/>
          <w:sz w:val="22"/>
          <w:szCs w:val="22"/>
          <w:highlight w:val="yellow"/>
          <w:rtl/>
        </w:rPr>
        <w:t xml:space="preserve"> קרי, </w:t>
      </w:r>
      <w:r>
        <w:rPr>
          <w:rFonts w:ascii="Arial" w:hAnsi="Arial" w:cs="Arial" w:hint="cs"/>
          <w:b/>
          <w:bCs/>
          <w:sz w:val="22"/>
          <w:szCs w:val="22"/>
          <w:highlight w:val="yellow"/>
          <w:rtl/>
        </w:rPr>
        <w:t>על "</w:t>
      </w:r>
      <w:r w:rsidRPr="00B72903">
        <w:rPr>
          <w:rFonts w:ascii="Arial" w:hAnsi="Arial" w:cs="Arial" w:hint="cs"/>
          <w:b/>
          <w:bCs/>
          <w:sz w:val="22"/>
          <w:szCs w:val="22"/>
          <w:highlight w:val="yellow"/>
          <w:rtl/>
        </w:rPr>
        <w:t>ממלאי תפקיד ציבורי על פי דין</w:t>
      </w:r>
      <w:r>
        <w:rPr>
          <w:rFonts w:ascii="Arial" w:hAnsi="Arial" w:cs="Arial" w:hint="cs"/>
          <w:b/>
          <w:bCs/>
          <w:sz w:val="22"/>
          <w:szCs w:val="22"/>
          <w:highlight w:val="yellow"/>
          <w:rtl/>
        </w:rPr>
        <w:t>" ברשויות הללו</w:t>
      </w:r>
      <w:r w:rsidRPr="00B72903">
        <w:rPr>
          <w:rFonts w:ascii="Arial" w:hAnsi="Arial" w:cs="Arial" w:hint="cs"/>
          <w:b/>
          <w:bCs/>
          <w:sz w:val="22"/>
          <w:szCs w:val="22"/>
          <w:highlight w:val="yellow"/>
          <w:rtl/>
        </w:rPr>
        <w:t>.</w:t>
      </w:r>
      <w:r>
        <w:rPr>
          <w:rFonts w:ascii="Arial" w:hAnsi="Arial" w:cs="Arial" w:hint="cs"/>
          <w:b/>
          <w:bCs/>
          <w:sz w:val="22"/>
          <w:szCs w:val="22"/>
          <w:highlight w:val="yellow"/>
          <w:rtl/>
        </w:rPr>
        <w:t xml:space="preserve"> </w:t>
      </w:r>
    </w:p>
    <w:p w:rsidR="005366A8" w:rsidRPr="004C1592" w:rsidRDefault="005366A8" w:rsidP="005366A8">
      <w:pPr>
        <w:ind w:left="720"/>
        <w:rPr>
          <w:rFonts w:ascii="Arial" w:hAnsi="Arial" w:cs="Arial"/>
          <w:b/>
          <w:bCs/>
          <w:i/>
          <w:iCs/>
          <w:sz w:val="22"/>
          <w:szCs w:val="22"/>
          <w:highlight w:val="yellow"/>
          <w:u w:val="single"/>
          <w:rtl/>
        </w:rPr>
      </w:pPr>
      <w:r w:rsidRPr="004C1592">
        <w:rPr>
          <w:rFonts w:ascii="Arial" w:hAnsi="Arial" w:cs="Arial" w:hint="cs"/>
          <w:b/>
          <w:bCs/>
          <w:i/>
          <w:iCs/>
          <w:sz w:val="22"/>
          <w:szCs w:val="22"/>
          <w:highlight w:val="yellow"/>
          <w:u w:val="single"/>
          <w:rtl/>
        </w:rPr>
        <w:t>הממשלה;</w:t>
      </w:r>
    </w:p>
    <w:p w:rsidR="005366A8" w:rsidRPr="004C1592" w:rsidRDefault="005366A8" w:rsidP="005366A8">
      <w:pPr>
        <w:ind w:left="720"/>
        <w:rPr>
          <w:rFonts w:ascii="Arial" w:hAnsi="Arial" w:cs="Arial"/>
          <w:b/>
          <w:bCs/>
          <w:i/>
          <w:iCs/>
          <w:sz w:val="22"/>
          <w:szCs w:val="22"/>
          <w:highlight w:val="yellow"/>
          <w:u w:val="single"/>
          <w:rtl/>
        </w:rPr>
      </w:pPr>
      <w:r w:rsidRPr="004C1592">
        <w:rPr>
          <w:rFonts w:ascii="Arial" w:hAnsi="Arial" w:cs="Arial" w:hint="cs"/>
          <w:b/>
          <w:bCs/>
          <w:i/>
          <w:iCs/>
          <w:sz w:val="22"/>
          <w:szCs w:val="22"/>
          <w:highlight w:val="yellow"/>
          <w:u w:val="single"/>
          <w:rtl/>
        </w:rPr>
        <w:t xml:space="preserve">השלטון המקומי </w:t>
      </w:r>
      <w:r w:rsidRPr="004C1592">
        <w:rPr>
          <w:rFonts w:ascii="Arial" w:hAnsi="Arial" w:cs="Arial"/>
          <w:b/>
          <w:bCs/>
          <w:i/>
          <w:iCs/>
          <w:sz w:val="22"/>
          <w:szCs w:val="22"/>
          <w:highlight w:val="yellow"/>
          <w:u w:val="single"/>
          <w:rtl/>
        </w:rPr>
        <w:t>–</w:t>
      </w:r>
      <w:r w:rsidRPr="004C1592">
        <w:rPr>
          <w:rFonts w:ascii="Arial" w:hAnsi="Arial" w:cs="Arial" w:hint="cs"/>
          <w:b/>
          <w:bCs/>
          <w:i/>
          <w:iCs/>
          <w:sz w:val="22"/>
          <w:szCs w:val="22"/>
          <w:highlight w:val="yellow"/>
          <w:u w:val="single"/>
          <w:rtl/>
        </w:rPr>
        <w:t xml:space="preserve"> הרשויות המקומיות;</w:t>
      </w:r>
    </w:p>
    <w:p w:rsidR="005366A8" w:rsidRPr="004C1592" w:rsidRDefault="005366A8" w:rsidP="005366A8">
      <w:pPr>
        <w:ind w:left="720"/>
        <w:rPr>
          <w:rFonts w:ascii="Arial" w:hAnsi="Arial" w:cs="Arial"/>
          <w:b/>
          <w:bCs/>
          <w:i/>
          <w:iCs/>
          <w:sz w:val="22"/>
          <w:szCs w:val="22"/>
          <w:highlight w:val="yellow"/>
          <w:u w:val="single"/>
          <w:rtl/>
        </w:rPr>
      </w:pPr>
      <w:r w:rsidRPr="004C1592">
        <w:rPr>
          <w:rFonts w:ascii="Arial" w:hAnsi="Arial" w:cs="Arial" w:hint="cs"/>
          <w:b/>
          <w:bCs/>
          <w:i/>
          <w:iCs/>
          <w:sz w:val="22"/>
          <w:szCs w:val="22"/>
          <w:highlight w:val="yellow"/>
          <w:u w:val="single"/>
          <w:rtl/>
        </w:rPr>
        <w:t>תאגידים ציבוריים/ תאגידים סטוטוריים;</w:t>
      </w:r>
    </w:p>
    <w:p w:rsidR="005366A8" w:rsidRPr="004C1592" w:rsidRDefault="005366A8" w:rsidP="005366A8">
      <w:pPr>
        <w:ind w:left="720"/>
        <w:rPr>
          <w:rFonts w:ascii="Arial" w:hAnsi="Arial" w:cs="Arial"/>
          <w:b/>
          <w:bCs/>
          <w:i/>
          <w:iCs/>
          <w:sz w:val="22"/>
          <w:szCs w:val="22"/>
          <w:highlight w:val="yellow"/>
          <w:u w:val="single"/>
          <w:rtl/>
        </w:rPr>
      </w:pPr>
      <w:r w:rsidRPr="004C1592">
        <w:rPr>
          <w:rFonts w:ascii="Arial" w:hAnsi="Arial" w:cs="Arial" w:hint="cs"/>
          <w:b/>
          <w:bCs/>
          <w:i/>
          <w:iCs/>
          <w:sz w:val="22"/>
          <w:szCs w:val="22"/>
          <w:highlight w:val="yellow"/>
          <w:u w:val="single"/>
          <w:rtl/>
        </w:rPr>
        <w:t>גורמי בקרה שלטוניים שונים: היועץ המשפטי לממשלה; מבקר המדינה; ...</w:t>
      </w:r>
    </w:p>
    <w:p w:rsidR="005366A8" w:rsidRDefault="005366A8" w:rsidP="005366A8">
      <w:pPr>
        <w:spacing w:after="120"/>
        <w:ind w:left="720"/>
        <w:rPr>
          <w:rFonts w:ascii="Arial" w:hAnsi="Arial" w:cs="Arial"/>
          <w:b/>
          <w:bCs/>
          <w:sz w:val="22"/>
          <w:szCs w:val="22"/>
          <w:highlight w:val="yellow"/>
          <w:rtl/>
        </w:rPr>
      </w:pPr>
      <w:r w:rsidRPr="004C1592">
        <w:rPr>
          <w:rFonts w:ascii="Arial" w:hAnsi="Arial" w:cs="Arial" w:hint="cs"/>
          <w:b/>
          <w:bCs/>
          <w:i/>
          <w:iCs/>
          <w:sz w:val="22"/>
          <w:szCs w:val="22"/>
          <w:highlight w:val="yellow"/>
          <w:u w:val="single"/>
          <w:rtl/>
        </w:rPr>
        <w:t>וגופים נוספים הממלאים תפקיד על פי דין</w:t>
      </w:r>
      <w:r w:rsidRPr="00B72903">
        <w:rPr>
          <w:rFonts w:ascii="Arial" w:hAnsi="Arial" w:cs="Arial" w:hint="cs"/>
          <w:b/>
          <w:bCs/>
          <w:sz w:val="22"/>
          <w:szCs w:val="22"/>
          <w:highlight w:val="yellow"/>
          <w:rtl/>
        </w:rPr>
        <w:t xml:space="preserve"> </w:t>
      </w:r>
      <w:r>
        <w:rPr>
          <w:rFonts w:ascii="Arial" w:hAnsi="Arial" w:cs="Arial" w:hint="cs"/>
          <w:b/>
          <w:bCs/>
          <w:sz w:val="22"/>
          <w:szCs w:val="22"/>
          <w:highlight w:val="yellow"/>
          <w:rtl/>
        </w:rPr>
        <w:t>(ראו להלן).</w:t>
      </w:r>
    </w:p>
    <w:p w:rsidR="005366A8" w:rsidRDefault="005366A8" w:rsidP="005366A8">
      <w:pPr>
        <w:rPr>
          <w:rFonts w:ascii="Arial" w:hAnsi="Arial" w:cs="Arial"/>
          <w:b/>
          <w:bCs/>
          <w:sz w:val="22"/>
          <w:szCs w:val="22"/>
          <w:highlight w:val="yellow"/>
          <w:rtl/>
        </w:rPr>
      </w:pPr>
      <w:r>
        <w:rPr>
          <w:rFonts w:ascii="Arial" w:hAnsi="Arial" w:cs="Arial" w:hint="cs"/>
          <w:b/>
          <w:bCs/>
          <w:sz w:val="22"/>
          <w:szCs w:val="22"/>
          <w:highlight w:val="yellow"/>
          <w:rtl/>
        </w:rPr>
        <w:t xml:space="preserve">מדובר הן </w:t>
      </w:r>
      <w:r w:rsidRPr="00F902D0">
        <w:rPr>
          <w:rFonts w:ascii="Arial" w:hAnsi="Arial" w:cs="Arial" w:hint="cs"/>
          <w:b/>
          <w:bCs/>
          <w:i/>
          <w:iCs/>
          <w:sz w:val="22"/>
          <w:szCs w:val="22"/>
          <w:highlight w:val="yellow"/>
          <w:rtl/>
        </w:rPr>
        <w:t>בגורמים נבחרים-פוליטיים</w:t>
      </w:r>
      <w:r>
        <w:rPr>
          <w:rFonts w:ascii="Arial" w:hAnsi="Arial" w:cs="Arial" w:hint="cs"/>
          <w:b/>
          <w:bCs/>
          <w:sz w:val="22"/>
          <w:szCs w:val="22"/>
          <w:highlight w:val="yellow"/>
          <w:rtl/>
        </w:rPr>
        <w:t xml:space="preserve"> שזכו למשרה שלטונית רמה במיוחד: שרים, ראשי ערים; </w:t>
      </w:r>
    </w:p>
    <w:p w:rsidR="005366A8" w:rsidRPr="005A210C" w:rsidRDefault="005366A8" w:rsidP="005366A8">
      <w:pPr>
        <w:ind w:left="720" w:hanging="720"/>
        <w:rPr>
          <w:rFonts w:ascii="Arial" w:hAnsi="Arial" w:cs="Arial"/>
          <w:b/>
          <w:bCs/>
          <w:sz w:val="22"/>
          <w:szCs w:val="22"/>
        </w:rPr>
      </w:pPr>
      <w:r>
        <w:rPr>
          <w:rFonts w:ascii="Arial" w:hAnsi="Arial" w:cs="Arial" w:hint="cs"/>
          <w:b/>
          <w:bCs/>
          <w:sz w:val="22"/>
          <w:szCs w:val="22"/>
          <w:highlight w:val="yellow"/>
          <w:rtl/>
        </w:rPr>
        <w:t xml:space="preserve">והן בגורמים שלטוניים מקצועיים, הקרויים בשם הכולל: </w:t>
      </w:r>
      <w:r w:rsidRPr="00B327A0">
        <w:rPr>
          <w:rFonts w:ascii="Arial" w:hAnsi="Arial" w:cs="Arial" w:hint="cs"/>
          <w:b/>
          <w:bCs/>
          <w:i/>
          <w:iCs/>
          <w:sz w:val="22"/>
          <w:szCs w:val="22"/>
          <w:highlight w:val="yellow"/>
          <w:rtl/>
        </w:rPr>
        <w:t>השירות הציבורי</w:t>
      </w:r>
      <w:r w:rsidRPr="00B72903">
        <w:rPr>
          <w:rFonts w:ascii="Arial" w:hAnsi="Arial" w:cs="Arial" w:hint="cs"/>
          <w:b/>
          <w:bCs/>
          <w:sz w:val="22"/>
          <w:szCs w:val="22"/>
          <w:highlight w:val="yellow"/>
          <w:rtl/>
        </w:rPr>
        <w:t xml:space="preserve"> (עובדי המדינה</w:t>
      </w:r>
      <w:r>
        <w:rPr>
          <w:rFonts w:ascii="Arial" w:hAnsi="Arial" w:cs="Arial" w:hint="cs"/>
          <w:b/>
          <w:bCs/>
          <w:sz w:val="22"/>
          <w:szCs w:val="22"/>
          <w:highlight w:val="yellow"/>
          <w:rtl/>
        </w:rPr>
        <w:t xml:space="preserve">, </w:t>
      </w:r>
      <w:r w:rsidRPr="00B72903">
        <w:rPr>
          <w:rFonts w:ascii="Arial" w:hAnsi="Arial" w:cs="Arial" w:hint="cs"/>
          <w:b/>
          <w:bCs/>
          <w:sz w:val="22"/>
          <w:szCs w:val="22"/>
          <w:highlight w:val="yellow"/>
          <w:rtl/>
        </w:rPr>
        <w:t>עובדי הרשויות המקומיות</w:t>
      </w:r>
      <w:r>
        <w:rPr>
          <w:rFonts w:ascii="Arial" w:hAnsi="Arial" w:cs="Arial" w:hint="cs"/>
          <w:b/>
          <w:bCs/>
          <w:sz w:val="22"/>
          <w:szCs w:val="22"/>
          <w:highlight w:val="yellow"/>
          <w:rtl/>
        </w:rPr>
        <w:t xml:space="preserve"> ועובדי התאגידים הסטטוטוריים</w:t>
      </w:r>
      <w:r w:rsidRPr="00B72903">
        <w:rPr>
          <w:rFonts w:ascii="Arial" w:hAnsi="Arial" w:cs="Arial" w:hint="cs"/>
          <w:b/>
          <w:bCs/>
          <w:sz w:val="22"/>
          <w:szCs w:val="22"/>
          <w:highlight w:val="yellow"/>
          <w:rtl/>
        </w:rPr>
        <w:t>)</w:t>
      </w:r>
      <w:r>
        <w:rPr>
          <w:rFonts w:ascii="Arial" w:hAnsi="Arial" w:cs="Arial" w:hint="cs"/>
          <w:b/>
          <w:bCs/>
          <w:sz w:val="22"/>
          <w:szCs w:val="22"/>
          <w:highlight w:val="yellow"/>
          <w:rtl/>
        </w:rPr>
        <w:t xml:space="preserve">; אנו מכנים זאת, בלשון מדע המדינה, </w:t>
      </w:r>
      <w:r w:rsidRPr="00F902D0">
        <w:rPr>
          <w:rFonts w:ascii="Arial" w:hAnsi="Arial" w:cs="Arial" w:hint="cs"/>
          <w:b/>
          <w:bCs/>
          <w:i/>
          <w:iCs/>
          <w:sz w:val="22"/>
          <w:szCs w:val="22"/>
          <w:highlight w:val="yellow"/>
          <w:rtl/>
        </w:rPr>
        <w:t>הבירוקרטיה</w:t>
      </w:r>
      <w:r w:rsidRPr="00B72903">
        <w:rPr>
          <w:rFonts w:ascii="Arial" w:hAnsi="Arial" w:cs="Arial" w:hint="cs"/>
          <w:b/>
          <w:bCs/>
          <w:sz w:val="22"/>
          <w:szCs w:val="22"/>
          <w:highlight w:val="yellow"/>
          <w:rtl/>
        </w:rPr>
        <w:t xml:space="preserve">. </w:t>
      </w:r>
    </w:p>
    <w:p w:rsidR="005366A8" w:rsidRDefault="005366A8" w:rsidP="005366A8">
      <w:pPr>
        <w:rPr>
          <w:rFonts w:ascii="Arial" w:hAnsi="Arial" w:cs="Arial"/>
          <w:b/>
          <w:bCs/>
          <w:sz w:val="22"/>
          <w:szCs w:val="22"/>
          <w:highlight w:val="green"/>
          <w:rtl/>
        </w:rPr>
      </w:pPr>
    </w:p>
    <w:p w:rsidR="005366A8" w:rsidRPr="00D17FCA" w:rsidRDefault="005366A8" w:rsidP="005366A8">
      <w:pPr>
        <w:rPr>
          <w:rFonts w:ascii="Arial" w:hAnsi="Arial" w:cs="Arial"/>
          <w:b/>
          <w:bCs/>
          <w:sz w:val="22"/>
          <w:szCs w:val="22"/>
          <w:u w:val="single"/>
          <w:rtl/>
        </w:rPr>
      </w:pPr>
      <w:r w:rsidRPr="00D17FCA">
        <w:rPr>
          <w:rFonts w:ascii="Arial" w:hAnsi="Arial" w:cs="Arial" w:hint="cs"/>
          <w:b/>
          <w:bCs/>
          <w:sz w:val="22"/>
          <w:szCs w:val="22"/>
          <w:u w:val="single"/>
          <w:rtl/>
        </w:rPr>
        <w:t>מי, באופן מפורט יותר, מצוי כאן?</w:t>
      </w:r>
    </w:p>
    <w:p w:rsidR="005366A8" w:rsidRDefault="005366A8" w:rsidP="005366A8">
      <w:pPr>
        <w:rPr>
          <w:rFonts w:ascii="Arial" w:hAnsi="Arial" w:cs="Arial"/>
          <w:b/>
          <w:bCs/>
          <w:sz w:val="22"/>
          <w:szCs w:val="22"/>
          <w:highlight w:val="green"/>
          <w:rtl/>
        </w:rPr>
      </w:pPr>
    </w:p>
    <w:p w:rsidR="005366A8" w:rsidRPr="001D06FD" w:rsidRDefault="005366A8" w:rsidP="005366A8">
      <w:pPr>
        <w:spacing w:after="240"/>
        <w:jc w:val="center"/>
        <w:rPr>
          <w:rFonts w:ascii="Arial" w:hAnsi="Arial" w:cs="Guttman-Soncino"/>
          <w:b/>
          <w:bCs/>
          <w:sz w:val="32"/>
          <w:szCs w:val="32"/>
          <w:rtl/>
        </w:rPr>
      </w:pPr>
      <w:r w:rsidRPr="001D06FD">
        <w:rPr>
          <w:rFonts w:ascii="Arial" w:hAnsi="Arial" w:cs="Guttman-Soncino" w:hint="cs"/>
          <w:b/>
          <w:bCs/>
          <w:sz w:val="32"/>
          <w:szCs w:val="32"/>
          <w:highlight w:val="yellow"/>
          <w:u w:val="single"/>
          <w:rtl/>
        </w:rPr>
        <w:t xml:space="preserve">פירוט מרכיביו של </w:t>
      </w:r>
      <w:r w:rsidRPr="001D06FD">
        <w:rPr>
          <w:rFonts w:ascii="Arial" w:hAnsi="Arial" w:cs="Guttman-Soncino"/>
          <w:b/>
          <w:bCs/>
          <w:sz w:val="32"/>
          <w:szCs w:val="32"/>
          <w:highlight w:val="yellow"/>
          <w:u w:val="single"/>
          <w:rtl/>
        </w:rPr>
        <w:t>המינהל הציבורי</w:t>
      </w:r>
      <w:r w:rsidRPr="001D06FD">
        <w:rPr>
          <w:rStyle w:val="FootnoteReference"/>
          <w:rFonts w:ascii="Arial" w:hAnsi="Arial" w:cs="Guttman-Soncino"/>
          <w:b/>
          <w:bCs/>
          <w:sz w:val="32"/>
          <w:szCs w:val="32"/>
          <w:rtl/>
        </w:rPr>
        <w:footnoteReference w:id="69"/>
      </w:r>
    </w:p>
    <w:p w:rsidR="005366A8" w:rsidRPr="00854508" w:rsidRDefault="005366A8" w:rsidP="005366A8">
      <w:pPr>
        <w:spacing w:after="60"/>
        <w:rPr>
          <w:b/>
          <w:bCs/>
          <w:sz w:val="20"/>
          <w:szCs w:val="20"/>
          <w:rtl/>
        </w:rPr>
      </w:pPr>
      <w:r w:rsidRPr="00854508">
        <w:rPr>
          <w:rFonts w:hint="cs"/>
          <w:b/>
          <w:bCs/>
          <w:sz w:val="20"/>
          <w:szCs w:val="20"/>
          <w:highlight w:val="green"/>
          <w:rtl/>
        </w:rPr>
        <w:t>משרדי הממשלה</w:t>
      </w:r>
      <w:r>
        <w:rPr>
          <w:rFonts w:hint="cs"/>
          <w:b/>
          <w:bCs/>
          <w:sz w:val="20"/>
          <w:szCs w:val="20"/>
          <w:rtl/>
        </w:rPr>
        <w:t xml:space="preserve"> - גוף רחב של סמכויות שלטוניות רבות-משקל והיקף גדול מאד של פעולות שלטוניות מופיע כמובן כאן, במשרדי הממשלה.</w:t>
      </w:r>
    </w:p>
    <w:p w:rsidR="005366A8" w:rsidRDefault="005366A8" w:rsidP="005366A8">
      <w:pPr>
        <w:spacing w:after="60"/>
        <w:rPr>
          <w:sz w:val="20"/>
          <w:szCs w:val="20"/>
          <w:rtl/>
        </w:rPr>
      </w:pPr>
    </w:p>
    <w:p w:rsidR="005366A8" w:rsidRPr="004C1592" w:rsidRDefault="005366A8" w:rsidP="005366A8">
      <w:pPr>
        <w:spacing w:after="60"/>
        <w:rPr>
          <w:sz w:val="20"/>
          <w:szCs w:val="20"/>
          <w:rtl/>
        </w:rPr>
      </w:pPr>
      <w:r w:rsidRPr="004C1592">
        <w:rPr>
          <w:rFonts w:hint="cs"/>
          <w:b/>
          <w:bCs/>
          <w:sz w:val="20"/>
          <w:szCs w:val="20"/>
          <w:highlight w:val="green"/>
          <w:rtl/>
        </w:rPr>
        <w:t>הרשויות המקומיות</w:t>
      </w:r>
      <w:r>
        <w:rPr>
          <w:rFonts w:hint="cs"/>
          <w:sz w:val="20"/>
          <w:szCs w:val="20"/>
          <w:rtl/>
        </w:rPr>
        <w:t xml:space="preserve"> (לעיל)</w:t>
      </w:r>
    </w:p>
    <w:p w:rsidR="005366A8" w:rsidRPr="00854508" w:rsidRDefault="005366A8" w:rsidP="005366A8">
      <w:pPr>
        <w:spacing w:after="60"/>
        <w:rPr>
          <w:sz w:val="20"/>
          <w:szCs w:val="20"/>
          <w:rtl/>
        </w:rPr>
      </w:pPr>
    </w:p>
    <w:p w:rsidR="005366A8" w:rsidRPr="00854508" w:rsidRDefault="005366A8" w:rsidP="005366A8">
      <w:pPr>
        <w:spacing w:after="60"/>
        <w:rPr>
          <w:sz w:val="20"/>
          <w:szCs w:val="20"/>
          <w:rtl/>
        </w:rPr>
      </w:pPr>
      <w:r w:rsidRPr="00854508">
        <w:rPr>
          <w:rFonts w:hint="cs"/>
          <w:b/>
          <w:bCs/>
          <w:sz w:val="20"/>
          <w:szCs w:val="20"/>
          <w:highlight w:val="green"/>
          <w:rtl/>
        </w:rPr>
        <w:t>התאגיד</w:t>
      </w:r>
      <w:r>
        <w:rPr>
          <w:rFonts w:hint="cs"/>
          <w:b/>
          <w:bCs/>
          <w:sz w:val="20"/>
          <w:szCs w:val="20"/>
          <w:highlight w:val="green"/>
          <w:rtl/>
        </w:rPr>
        <w:t>ים</w:t>
      </w:r>
      <w:r w:rsidRPr="00854508">
        <w:rPr>
          <w:rFonts w:hint="cs"/>
          <w:b/>
          <w:bCs/>
          <w:sz w:val="20"/>
          <w:szCs w:val="20"/>
          <w:highlight w:val="green"/>
          <w:rtl/>
        </w:rPr>
        <w:t xml:space="preserve"> הציבור</w:t>
      </w:r>
      <w:r w:rsidRPr="00614390">
        <w:rPr>
          <w:rFonts w:hint="cs"/>
          <w:b/>
          <w:bCs/>
          <w:sz w:val="20"/>
          <w:szCs w:val="20"/>
          <w:highlight w:val="green"/>
          <w:rtl/>
        </w:rPr>
        <w:t>יים</w:t>
      </w:r>
      <w:r>
        <w:rPr>
          <w:rFonts w:hint="cs"/>
          <w:b/>
          <w:bCs/>
          <w:sz w:val="20"/>
          <w:szCs w:val="20"/>
          <w:rtl/>
        </w:rPr>
        <w:t>/ התאגידים הסטוטוריים</w:t>
      </w:r>
      <w:r w:rsidRPr="00854508">
        <w:rPr>
          <w:rFonts w:hint="cs"/>
          <w:sz w:val="20"/>
          <w:szCs w:val="20"/>
          <w:rtl/>
        </w:rPr>
        <w:t xml:space="preserve"> ה</w:t>
      </w:r>
      <w:r>
        <w:rPr>
          <w:rFonts w:hint="cs"/>
          <w:sz w:val="20"/>
          <w:szCs w:val="20"/>
          <w:rtl/>
        </w:rPr>
        <w:t xml:space="preserve">ם </w:t>
      </w:r>
      <w:r w:rsidRPr="00854508">
        <w:rPr>
          <w:rFonts w:hint="cs"/>
          <w:sz w:val="20"/>
          <w:szCs w:val="20"/>
          <w:rtl/>
        </w:rPr>
        <w:t>חלק מן המינהל הציבורי אך אין ה</w:t>
      </w:r>
      <w:r>
        <w:rPr>
          <w:rFonts w:hint="cs"/>
          <w:sz w:val="20"/>
          <w:szCs w:val="20"/>
          <w:rtl/>
        </w:rPr>
        <w:t>ם</w:t>
      </w:r>
      <w:r w:rsidRPr="00854508">
        <w:rPr>
          <w:rFonts w:hint="cs"/>
          <w:sz w:val="20"/>
          <w:szCs w:val="20"/>
          <w:rtl/>
        </w:rPr>
        <w:t xml:space="preserve"> חלק מן הממשלה.  </w:t>
      </w:r>
      <w:r>
        <w:rPr>
          <w:rFonts w:hint="cs"/>
          <w:sz w:val="20"/>
          <w:szCs w:val="20"/>
          <w:rtl/>
        </w:rPr>
        <w:t>לתאגיד ציבורי יש</w:t>
      </w:r>
      <w:r w:rsidRPr="00854508">
        <w:rPr>
          <w:rFonts w:hint="cs"/>
          <w:sz w:val="20"/>
          <w:szCs w:val="20"/>
          <w:rtl/>
        </w:rPr>
        <w:t xml:space="preserve"> קיום נפרד מבחינה משפטית לצורך מילוי תפקיד ציבורי מסוים. </w:t>
      </w:r>
      <w:r>
        <w:rPr>
          <w:rFonts w:hint="cs"/>
          <w:sz w:val="20"/>
          <w:szCs w:val="20"/>
          <w:rtl/>
        </w:rPr>
        <w:t>התאגיד מוקם על פי רוב בחוק מיוחד ותפקידיו נמסרים לו בחוק זה (ומכאן השם "תאגיד סטטוטורי").</w:t>
      </w:r>
      <w:r w:rsidRPr="00854508">
        <w:rPr>
          <w:rFonts w:hint="cs"/>
          <w:sz w:val="20"/>
          <w:szCs w:val="20"/>
          <w:rtl/>
        </w:rPr>
        <w:t xml:space="preserve"> </w:t>
      </w:r>
    </w:p>
    <w:p w:rsidR="005366A8" w:rsidRPr="004247F7" w:rsidRDefault="005366A8" w:rsidP="005366A8">
      <w:pPr>
        <w:spacing w:after="60"/>
        <w:ind w:left="720"/>
        <w:rPr>
          <w:rFonts w:ascii="Arial" w:hAnsi="Arial" w:cs="Arial"/>
          <w:sz w:val="20"/>
          <w:szCs w:val="20"/>
          <w:rtl/>
        </w:rPr>
      </w:pPr>
      <w:r w:rsidRPr="004247F7">
        <w:rPr>
          <w:rFonts w:ascii="Arial" w:hAnsi="Arial" w:cs="Arial"/>
          <w:sz w:val="20"/>
          <w:szCs w:val="20"/>
          <w:rtl/>
        </w:rPr>
        <w:t xml:space="preserve">מגן דוד אדום, מכון התקנים, האקדמיה ללשון העברית, בנק ישראל, המועצה להשכלה גבוהה, המועצה לייצור ולשיווק של ירקות, שירות התעסוקה, רשות שדות התעופה, האקדמיה הלאומית הישראלית למדעים, רשות השידור, </w:t>
      </w:r>
      <w:r>
        <w:rPr>
          <w:rFonts w:ascii="Arial" w:hAnsi="Arial" w:cs="Arial" w:hint="cs"/>
          <w:sz w:val="20"/>
          <w:szCs w:val="20"/>
          <w:rtl/>
        </w:rPr>
        <w:t xml:space="preserve">מועצת הרשות השנייה לרדיו ולטלוויזיה, המועצה לשידורי הכבלים והלוויין, </w:t>
      </w:r>
      <w:r w:rsidRPr="004247F7">
        <w:rPr>
          <w:rFonts w:ascii="Arial" w:hAnsi="Arial" w:cs="Arial"/>
          <w:sz w:val="20"/>
          <w:szCs w:val="20"/>
          <w:rtl/>
        </w:rPr>
        <w:t>המוסד לביטוח לאומי, רשות העתיקות, רשות הגנים הלאומיים, ועוד.</w:t>
      </w:r>
    </w:p>
    <w:p w:rsidR="005366A8" w:rsidRPr="00854508" w:rsidRDefault="005366A8" w:rsidP="005366A8">
      <w:pPr>
        <w:spacing w:after="60"/>
        <w:rPr>
          <w:sz w:val="20"/>
          <w:szCs w:val="20"/>
          <w:rtl/>
        </w:rPr>
      </w:pPr>
      <w:r w:rsidRPr="00854508">
        <w:rPr>
          <w:rFonts w:hint="cs"/>
          <w:sz w:val="20"/>
          <w:szCs w:val="20"/>
          <w:rtl/>
        </w:rPr>
        <w:t xml:space="preserve">יש בישראל למעלה מארבעים תאגידים ציבוריים.  הם שונים מאד זה מזה.  חלקם גדולים וחשיבותם רבה, כמו המוסד לביטוח לאומי, ואחרים קטנים וצנועים יותר.  חלקם נותנים שירותים בעלי אופי עסקי, כמו רשות </w:t>
      </w:r>
      <w:r>
        <w:rPr>
          <w:rFonts w:hint="cs"/>
          <w:sz w:val="20"/>
          <w:szCs w:val="20"/>
          <w:rtl/>
        </w:rPr>
        <w:t>שדות התעופה</w:t>
      </w:r>
      <w:r w:rsidRPr="00854508">
        <w:rPr>
          <w:rFonts w:hint="cs"/>
          <w:sz w:val="20"/>
          <w:szCs w:val="20"/>
          <w:rtl/>
        </w:rPr>
        <w:t>, ואחרים נותנים שירותים בעלי אופי ציבורי מובהק, כמו הרשות לשיקום האסיר.  יש בהם הפועלים במידה רבה של עצמאות כלפי הממשלה, כמו בנק ישראל, ולעומתם כאלה הסמוכים במידה רבה לשולחן הממשלה ולמדיניותה, כמו הרשות למלחמה בסמים.</w:t>
      </w:r>
    </w:p>
    <w:p w:rsidR="005366A8" w:rsidRPr="00854508" w:rsidRDefault="005366A8" w:rsidP="005366A8">
      <w:pPr>
        <w:spacing w:after="60"/>
        <w:rPr>
          <w:sz w:val="20"/>
          <w:szCs w:val="20"/>
          <w:rtl/>
        </w:rPr>
      </w:pPr>
      <w:r w:rsidRPr="00854508">
        <w:rPr>
          <w:rFonts w:hint="cs"/>
          <w:sz w:val="20"/>
          <w:szCs w:val="20"/>
          <w:rtl/>
        </w:rPr>
        <w:t>שלשה סוגים עיקריים של תאגידים ציבוריים:</w:t>
      </w:r>
    </w:p>
    <w:p w:rsidR="005366A8" w:rsidRPr="00854508" w:rsidRDefault="005366A8" w:rsidP="005366A8">
      <w:pPr>
        <w:spacing w:after="60"/>
        <w:ind w:left="720"/>
        <w:rPr>
          <w:sz w:val="20"/>
          <w:szCs w:val="20"/>
          <w:rtl/>
        </w:rPr>
      </w:pPr>
      <w:r w:rsidRPr="00854508">
        <w:rPr>
          <w:rFonts w:hint="cs"/>
          <w:sz w:val="20"/>
          <w:szCs w:val="20"/>
          <w:rtl/>
        </w:rPr>
        <w:t>א. ממלאי תפקיד מובהק של ממשל בתחום הפיקוח, הציווי, הרישוי והיעוץ.  כאלה הם, לדוגמא בנק ישראל, רשות העתיקות, הרשות לפיקוח חקלאי</w:t>
      </w:r>
      <w:r>
        <w:rPr>
          <w:rFonts w:hint="cs"/>
          <w:sz w:val="20"/>
          <w:szCs w:val="20"/>
          <w:rtl/>
        </w:rPr>
        <w:t>, מועצת הרשות השנייה, המועצה לשידורי הכבלים והלוויין,</w:t>
      </w:r>
      <w:r w:rsidRPr="00854508">
        <w:rPr>
          <w:rFonts w:hint="cs"/>
          <w:sz w:val="20"/>
          <w:szCs w:val="20"/>
          <w:rtl/>
        </w:rPr>
        <w:t xml:space="preserve"> והמועצה להשכלה גבוהה.</w:t>
      </w:r>
    </w:p>
    <w:p w:rsidR="005366A8" w:rsidRPr="00854508" w:rsidRDefault="005366A8" w:rsidP="005366A8">
      <w:pPr>
        <w:spacing w:after="60"/>
        <w:ind w:left="720"/>
        <w:rPr>
          <w:sz w:val="20"/>
          <w:szCs w:val="20"/>
          <w:rtl/>
        </w:rPr>
      </w:pPr>
      <w:r w:rsidRPr="00854508">
        <w:rPr>
          <w:rFonts w:hint="cs"/>
          <w:sz w:val="20"/>
          <w:szCs w:val="20"/>
          <w:rtl/>
        </w:rPr>
        <w:t xml:space="preserve">ב. נותני שירותים בעלי אופי ציבורי מובהק, שלא על בסיס עסקי, אף שלעיתים הם גובים מחיר או מטילים אגרה עבור השירות.  למשל, רשות השידור, שירות התעסוקה, מגן דוד אדום ורשות הגנים הלאומיים.  </w:t>
      </w:r>
    </w:p>
    <w:p w:rsidR="005366A8" w:rsidRPr="00854508" w:rsidRDefault="005366A8" w:rsidP="005366A8">
      <w:pPr>
        <w:spacing w:after="60"/>
        <w:ind w:left="720"/>
        <w:rPr>
          <w:sz w:val="20"/>
          <w:szCs w:val="20"/>
          <w:rtl/>
        </w:rPr>
      </w:pPr>
      <w:r w:rsidRPr="00854508">
        <w:rPr>
          <w:rFonts w:hint="cs"/>
          <w:sz w:val="20"/>
          <w:szCs w:val="20"/>
          <w:rtl/>
        </w:rPr>
        <w:t xml:space="preserve">ג. תאגידים ציבוריים הנותנים שירותים שיש להם גם אופי עסקי.  </w:t>
      </w:r>
      <w:r>
        <w:rPr>
          <w:rFonts w:hint="cs"/>
          <w:sz w:val="20"/>
          <w:szCs w:val="20"/>
          <w:rtl/>
        </w:rPr>
        <w:t>למשל, רשו</w:t>
      </w:r>
      <w:r w:rsidRPr="00854508">
        <w:rPr>
          <w:rFonts w:hint="cs"/>
          <w:sz w:val="20"/>
          <w:szCs w:val="20"/>
          <w:rtl/>
        </w:rPr>
        <w:t>ת שדות התעופה.</w:t>
      </w:r>
    </w:p>
    <w:p w:rsidR="005366A8" w:rsidRPr="00854508" w:rsidRDefault="005366A8" w:rsidP="005366A8">
      <w:pPr>
        <w:spacing w:after="60"/>
        <w:rPr>
          <w:sz w:val="20"/>
          <w:szCs w:val="20"/>
          <w:rtl/>
        </w:rPr>
      </w:pPr>
      <w:r w:rsidRPr="00854508">
        <w:rPr>
          <w:rFonts w:hint="cs"/>
          <w:sz w:val="20"/>
          <w:szCs w:val="20"/>
          <w:rtl/>
        </w:rPr>
        <w:t>בדרך כלל החוק מעניק לתאגיד הציבורי סמכויות במידה הנדרשת למילוי התפקיד, כגון סמכות להטיל ולגבות אגרות, להוציא צווים המסדירים את ההתנהגות בתחום המופקד בידי התאגיד, או לקיים פיקוח במטרה למנוע הפרה של החוק.  סמכויות אלה עושות את התאגיד הציבורי לרשות מינהלית.</w:t>
      </w:r>
    </w:p>
    <w:p w:rsidR="005366A8" w:rsidRPr="00854508" w:rsidRDefault="005366A8" w:rsidP="005366A8">
      <w:pPr>
        <w:spacing w:after="60"/>
        <w:rPr>
          <w:sz w:val="20"/>
          <w:szCs w:val="20"/>
          <w:rtl/>
        </w:rPr>
      </w:pPr>
    </w:p>
    <w:p w:rsidR="005366A8" w:rsidRPr="00854508" w:rsidRDefault="005366A8" w:rsidP="005366A8">
      <w:pPr>
        <w:spacing w:after="60"/>
        <w:rPr>
          <w:sz w:val="20"/>
          <w:szCs w:val="20"/>
          <w:rtl/>
        </w:rPr>
      </w:pPr>
      <w:r w:rsidRPr="00854508">
        <w:rPr>
          <w:rFonts w:hint="cs"/>
          <w:b/>
          <w:bCs/>
          <w:sz w:val="20"/>
          <w:szCs w:val="20"/>
          <w:highlight w:val="green"/>
          <w:rtl/>
        </w:rPr>
        <w:t>גופים לווייניים</w:t>
      </w:r>
      <w:r w:rsidRPr="00854508">
        <w:rPr>
          <w:rFonts w:hint="cs"/>
          <w:sz w:val="20"/>
          <w:szCs w:val="20"/>
          <w:highlight w:val="green"/>
          <w:rtl/>
        </w:rPr>
        <w:t>.</w:t>
      </w:r>
      <w:r w:rsidRPr="00854508">
        <w:rPr>
          <w:rFonts w:hint="cs"/>
          <w:sz w:val="20"/>
          <w:szCs w:val="20"/>
          <w:rtl/>
        </w:rPr>
        <w:t xml:space="preserve">  המציאות יצרה צרכים שלא ניתן היה לספקם במסגרת של משרד ממשלתי או במסגרת של תאגיד ציבורי.  </w:t>
      </w:r>
    </w:p>
    <w:p w:rsidR="005366A8" w:rsidRPr="00854508" w:rsidRDefault="005366A8" w:rsidP="005366A8">
      <w:pPr>
        <w:spacing w:after="60"/>
        <w:rPr>
          <w:sz w:val="20"/>
          <w:szCs w:val="20"/>
          <w:rtl/>
        </w:rPr>
      </w:pPr>
      <w:r w:rsidRPr="00854508">
        <w:rPr>
          <w:rFonts w:hint="cs"/>
          <w:sz w:val="20"/>
          <w:szCs w:val="20"/>
          <w:rtl/>
        </w:rPr>
        <w:t xml:space="preserve">נוצרו על כן גופים, המהווים חלק מן המינהל הציבורי אך לא חלק מן הממשלה, ויש להם מידה של עצמאות כלפי הממשלה.  </w:t>
      </w:r>
    </w:p>
    <w:p w:rsidR="005366A8" w:rsidRPr="00854508" w:rsidRDefault="005366A8" w:rsidP="005366A8">
      <w:pPr>
        <w:spacing w:after="60"/>
        <w:rPr>
          <w:sz w:val="20"/>
          <w:szCs w:val="20"/>
          <w:rtl/>
        </w:rPr>
      </w:pPr>
      <w:r w:rsidRPr="00854508">
        <w:rPr>
          <w:rFonts w:hint="cs"/>
          <w:sz w:val="20"/>
          <w:szCs w:val="20"/>
          <w:rtl/>
        </w:rPr>
        <w:t>בדרך כלל מוטל על גוף כזה תפקיד ציבורי צר בהיקפו, שאינו מחייב פעילות יומיומית לאורך זמן, ולכן גם אינו דורש מנגנון בירוקרטי מקיף וקבוע.</w:t>
      </w:r>
      <w:r>
        <w:rPr>
          <w:rFonts w:hint="cs"/>
          <w:sz w:val="20"/>
          <w:szCs w:val="20"/>
          <w:rtl/>
        </w:rPr>
        <w:t xml:space="preserve"> דוגמאות:</w:t>
      </w:r>
    </w:p>
    <w:p w:rsidR="005366A8" w:rsidRPr="00CE7EEF" w:rsidRDefault="005366A8" w:rsidP="005366A8">
      <w:pPr>
        <w:spacing w:after="60"/>
        <w:ind w:left="720"/>
        <w:rPr>
          <w:rFonts w:ascii="Arial" w:hAnsi="Arial" w:cs="Arial"/>
          <w:sz w:val="18"/>
          <w:szCs w:val="18"/>
          <w:rtl/>
        </w:rPr>
      </w:pPr>
      <w:r w:rsidRPr="00CE7EEF">
        <w:rPr>
          <w:rFonts w:ascii="Arial" w:hAnsi="Arial" w:cs="Arial"/>
          <w:sz w:val="18"/>
          <w:szCs w:val="18"/>
          <w:rtl/>
        </w:rPr>
        <w:t xml:space="preserve">המועצה לביקורת סרטים; ועדת חקירה (ממלכתית או אחרת המוקמת מכוח דין); </w:t>
      </w:r>
      <w:r>
        <w:rPr>
          <w:rFonts w:ascii="Arial" w:hAnsi="Arial" w:cs="Arial" w:hint="cs"/>
          <w:sz w:val="18"/>
          <w:szCs w:val="18"/>
          <w:rtl/>
        </w:rPr>
        <w:t>"</w:t>
      </w:r>
      <w:r w:rsidRPr="00CE7EEF">
        <w:rPr>
          <w:rFonts w:ascii="Arial" w:hAnsi="Arial" w:cs="Arial"/>
          <w:sz w:val="18"/>
          <w:szCs w:val="18"/>
          <w:rtl/>
        </w:rPr>
        <w:t>בית דין מינהלי</w:t>
      </w:r>
      <w:r>
        <w:rPr>
          <w:rFonts w:ascii="Arial" w:hAnsi="Arial" w:cs="Arial" w:hint="cs"/>
          <w:sz w:val="18"/>
          <w:szCs w:val="18"/>
          <w:rtl/>
        </w:rPr>
        <w:t>"</w:t>
      </w:r>
      <w:r w:rsidRPr="00CE7EEF">
        <w:rPr>
          <w:rFonts w:ascii="Arial" w:hAnsi="Arial" w:cs="Arial"/>
          <w:sz w:val="18"/>
          <w:szCs w:val="18"/>
          <w:rtl/>
        </w:rPr>
        <w:t xml:space="preserve"> (השם המקובל לועדות ערר וגופים שיפוטיים אחרים המוקמים מכוח חוק כדי לדון בסכסוכים הנובעים מביצוע אותו חוק, כגון, ועדת ערר למס רכוש המוקמת לפי סע' 29 לחוק מס רכוש וקרן פיצויים, תשכ"א-1961); הוועדה לבחירת שופטים; הוועדה לבדיקת מינויים בחברות ממשלתיות; המינהלה להסדרים במגזר החקלאי-משפחתי, ועוד.</w:t>
      </w:r>
    </w:p>
    <w:p w:rsidR="005366A8" w:rsidRPr="00854508" w:rsidRDefault="005366A8" w:rsidP="005366A8">
      <w:pPr>
        <w:spacing w:after="60"/>
        <w:rPr>
          <w:sz w:val="20"/>
          <w:szCs w:val="20"/>
          <w:rtl/>
        </w:rPr>
      </w:pPr>
      <w:r w:rsidRPr="00854508">
        <w:rPr>
          <w:rFonts w:hint="cs"/>
          <w:sz w:val="20"/>
          <w:szCs w:val="20"/>
          <w:rtl/>
        </w:rPr>
        <w:t>הם מוקמים במתכונת זאת משום שיש טעם, מצד אחד, להקים אותם כגופים נפרדים, בין היתר, כדי שניתן יהיה לשתף בפעילות שלהם מומחים ואישים אחרים שמחוץ למנגנון הממשלה; ועם זאת, מן הצד האחר, המהות וההיקף של תפקיד הגוף אינם מצדיקים הקמה של תאגיד ציבורי, עם מנגנון משלו.</w:t>
      </w:r>
    </w:p>
    <w:p w:rsidR="005366A8" w:rsidRPr="00854508" w:rsidRDefault="005366A8" w:rsidP="005366A8">
      <w:pPr>
        <w:spacing w:after="60"/>
        <w:rPr>
          <w:sz w:val="20"/>
          <w:szCs w:val="20"/>
          <w:rtl/>
        </w:rPr>
      </w:pPr>
      <w:r w:rsidRPr="00854508">
        <w:rPr>
          <w:rFonts w:hint="cs"/>
          <w:sz w:val="20"/>
          <w:szCs w:val="20"/>
          <w:rtl/>
        </w:rPr>
        <w:t>הגופים הלווייניים נוצרים באחת משתי דרכים: על ידי חוק או על ידי החלטה מינהלית.  החוק מקים גוף מעין זה, ראשית, כאשר הגוף צריך סמכויות שיש בהן משום פגיעה בזכויות האדם, ורק החוק יכול להעניק סמכויות כאלה.  כך לדוגמה, המועצה לביקורת סרטים שבסמכותה צנזורה על סרטים, או ועדת חקירה שיש לה סמכות לכפות הופעה והשבעה של עדים.  ההקמה בחוק יכולה לבוא גם כדי להעניק מעמד ויוקרה לגוף או לנושא טיפולו.</w:t>
      </w:r>
    </w:p>
    <w:p w:rsidR="005366A8" w:rsidRPr="00854508" w:rsidRDefault="005366A8" w:rsidP="005366A8">
      <w:pPr>
        <w:spacing w:after="60"/>
        <w:rPr>
          <w:sz w:val="20"/>
          <w:szCs w:val="20"/>
          <w:rtl/>
        </w:rPr>
      </w:pPr>
      <w:r w:rsidRPr="00854508">
        <w:rPr>
          <w:rFonts w:hint="cs"/>
          <w:sz w:val="20"/>
          <w:szCs w:val="20"/>
          <w:rtl/>
        </w:rPr>
        <w:t>בפועל חלק גדול מן הגופים הלווייניים הוקמו, לא על ידי חוק, אלא על ידי החלטה מינהלית.  למשל: הוועדה לאנרגיה אטומית, וועדת השמות הממשלתית; ועדות ציבוריות ל</w:t>
      </w:r>
      <w:r>
        <w:rPr>
          <w:rFonts w:hint="cs"/>
          <w:sz w:val="20"/>
          <w:szCs w:val="20"/>
          <w:rtl/>
        </w:rPr>
        <w:t>גיבוש</w:t>
      </w:r>
      <w:r w:rsidRPr="00854508">
        <w:rPr>
          <w:rFonts w:hint="cs"/>
          <w:sz w:val="20"/>
          <w:szCs w:val="20"/>
          <w:rtl/>
        </w:rPr>
        <w:t xml:space="preserve"> </w:t>
      </w:r>
      <w:r>
        <w:rPr>
          <w:rFonts w:hint="cs"/>
          <w:sz w:val="20"/>
          <w:szCs w:val="20"/>
          <w:rtl/>
        </w:rPr>
        <w:t xml:space="preserve">הצעות </w:t>
      </w:r>
      <w:r w:rsidRPr="00854508">
        <w:rPr>
          <w:rFonts w:hint="cs"/>
          <w:sz w:val="20"/>
          <w:szCs w:val="20"/>
          <w:rtl/>
        </w:rPr>
        <w:t>חוק [כגון ועדת טל בעניין הסדרת גיוס בני ישיבות];  ועדות בירור המוקמות באופן שגרתי לחקירת אירועים ונושאים שונים.  גופים מעין אלה מוקמים, ככל הנראה, מכוח סמכויות הממשל הכלליות המוקנות לממשלה, או במסגרת סמכויות עזר לסמכות ראשית כזו או אחרת [נלמד על כך בהמשך].</w:t>
      </w:r>
    </w:p>
    <w:p w:rsidR="005366A8" w:rsidRPr="00854508" w:rsidRDefault="005366A8" w:rsidP="005366A8">
      <w:pPr>
        <w:spacing w:after="60"/>
        <w:rPr>
          <w:sz w:val="20"/>
          <w:szCs w:val="20"/>
          <w:rtl/>
        </w:rPr>
      </w:pPr>
      <w:r w:rsidRPr="00854508">
        <w:rPr>
          <w:rFonts w:hint="cs"/>
          <w:sz w:val="20"/>
          <w:szCs w:val="20"/>
          <w:rtl/>
        </w:rPr>
        <w:t xml:space="preserve">בין הגופים הללו </w:t>
      </w:r>
      <w:r w:rsidRPr="00854508">
        <w:rPr>
          <w:rFonts w:hint="cs"/>
          <w:i/>
          <w:iCs/>
          <w:sz w:val="20"/>
          <w:szCs w:val="20"/>
          <w:rtl/>
        </w:rPr>
        <w:t>גופים מקצועיים</w:t>
      </w:r>
      <w:r w:rsidRPr="00854508">
        <w:rPr>
          <w:rFonts w:hint="cs"/>
          <w:sz w:val="20"/>
          <w:szCs w:val="20"/>
          <w:rtl/>
        </w:rPr>
        <w:t xml:space="preserve">.  כאלו המסדירים את העיסוק במקצועות מסוימים מכוח הסמכה לכך בחוק </w:t>
      </w:r>
      <w:r w:rsidRPr="00854508">
        <w:rPr>
          <w:sz w:val="20"/>
          <w:szCs w:val="20"/>
          <w:rtl/>
        </w:rPr>
        <w:t>–</w:t>
      </w:r>
      <w:r w:rsidRPr="00854508">
        <w:rPr>
          <w:rFonts w:hint="cs"/>
          <w:sz w:val="20"/>
          <w:szCs w:val="20"/>
          <w:rtl/>
        </w:rPr>
        <w:t xml:space="preserve"> בעיקר סמכות לתת רישיונות לעסוק במקצוע ולפקח על האתיקה המקצועית.</w:t>
      </w:r>
    </w:p>
    <w:p w:rsidR="005366A8" w:rsidRPr="00C9224A" w:rsidRDefault="005366A8" w:rsidP="005366A8">
      <w:pPr>
        <w:spacing w:after="60"/>
        <w:ind w:left="720"/>
        <w:rPr>
          <w:rFonts w:ascii="Arial" w:hAnsi="Arial" w:cs="Arial"/>
          <w:sz w:val="20"/>
          <w:szCs w:val="20"/>
          <w:rtl/>
        </w:rPr>
      </w:pPr>
      <w:r w:rsidRPr="00C9224A">
        <w:rPr>
          <w:rFonts w:ascii="Arial" w:hAnsi="Arial" w:cs="Arial"/>
          <w:sz w:val="20"/>
          <w:szCs w:val="20"/>
          <w:rtl/>
        </w:rPr>
        <w:t>לשכת עורכי הדין, מועצת רואי החשבון, מועצת ההנדסה והאדריכלות, מועצת השמאים, מועצת הפסיכולוגים.</w:t>
      </w:r>
    </w:p>
    <w:p w:rsidR="005366A8" w:rsidRPr="00854508" w:rsidRDefault="005366A8" w:rsidP="005366A8">
      <w:pPr>
        <w:spacing w:after="60"/>
        <w:rPr>
          <w:sz w:val="20"/>
          <w:szCs w:val="20"/>
          <w:rtl/>
        </w:rPr>
      </w:pPr>
      <w:r w:rsidRPr="00854508">
        <w:rPr>
          <w:rFonts w:hint="cs"/>
          <w:sz w:val="20"/>
          <w:szCs w:val="20"/>
          <w:rtl/>
        </w:rPr>
        <w:t>גופים אלו הם בעלי מעמד מיוחד במינו. מצד אחד הם אינם ארגונים וולונטריים של אנשי המקצוע, שכן החוק הוא המקים את המוסדות ומקנה להם סמכויות, ומערב את הממשלה בפעולתם.  מצד שני, הם אינם חלק מן המנגנון הממשלתי, ואפילו השיוך שלהם למינהל הציבורי הוא בעייתי.  אף על פי כן ראוי להם הסיווג של גופים מינהליים: רשויות מינהליות מעורבות בפעולתם, מוענקות להם סמכויות מינהליות, והם נתונים לביקורת שיפוטית כמו גופים מינהליים רגילים.</w:t>
      </w:r>
    </w:p>
    <w:p w:rsidR="005366A8" w:rsidRPr="00854508" w:rsidRDefault="005366A8" w:rsidP="005366A8">
      <w:pPr>
        <w:spacing w:after="60"/>
        <w:rPr>
          <w:sz w:val="20"/>
          <w:szCs w:val="20"/>
          <w:rtl/>
        </w:rPr>
      </w:pPr>
    </w:p>
    <w:p w:rsidR="005366A8" w:rsidRPr="00854508" w:rsidRDefault="005366A8" w:rsidP="005366A8">
      <w:pPr>
        <w:spacing w:after="60"/>
        <w:rPr>
          <w:sz w:val="20"/>
          <w:szCs w:val="20"/>
          <w:rtl/>
        </w:rPr>
      </w:pPr>
      <w:r w:rsidRPr="00854508">
        <w:rPr>
          <w:rFonts w:hint="cs"/>
          <w:b/>
          <w:bCs/>
          <w:sz w:val="20"/>
          <w:szCs w:val="20"/>
          <w:rtl/>
        </w:rPr>
        <w:t>הרשות המינהלית והתאגיד הפרטי</w:t>
      </w:r>
      <w:r w:rsidRPr="00854508">
        <w:rPr>
          <w:rFonts w:hint="cs"/>
          <w:sz w:val="20"/>
          <w:szCs w:val="20"/>
          <w:rtl/>
        </w:rPr>
        <w:t xml:space="preserve"> נראים, במבט ראשון, כמו יצורים שבאו מעולמות שונים.  הרשות המינהלית מדברת מעמדה של מרוּת, ונותנת הוראות המשנות את הזכויות והחובות של אחרים, למטרות ציבוריות.  התאגיד הפרטי, מנגד, מנהל משא-ומתן כשווה בין שווים, כדי להשיג הסכמה, בדרך כלל למטרות עסקיות.  לצורך זה הוא משתמש במכשירים של המשפט הפרטי, ובעיקר חוזים.  על אף השוני המהותי בין הרשות המינהלית לבין התאגיד הפרטי התפתחה ביניהם מערכת יחסים מורכבת, שאת חלקה תפגשו בקורסים השונים, כולל קורס זה.  </w:t>
      </w:r>
    </w:p>
    <w:p w:rsidR="005366A8" w:rsidRPr="00854508" w:rsidRDefault="005366A8" w:rsidP="005366A8">
      <w:pPr>
        <w:spacing w:after="60"/>
        <w:rPr>
          <w:sz w:val="20"/>
          <w:szCs w:val="20"/>
          <w:rtl/>
        </w:rPr>
      </w:pPr>
      <w:r w:rsidRPr="004C1592">
        <w:rPr>
          <w:rFonts w:hint="cs"/>
          <w:b/>
          <w:bCs/>
          <w:sz w:val="20"/>
          <w:szCs w:val="20"/>
          <w:u w:val="single"/>
          <w:rtl/>
        </w:rPr>
        <w:t>החברות הממשלתיות</w:t>
      </w:r>
      <w:r w:rsidRPr="00854508">
        <w:rPr>
          <w:rFonts w:hint="cs"/>
          <w:sz w:val="20"/>
          <w:szCs w:val="20"/>
          <w:rtl/>
        </w:rPr>
        <w:t xml:space="preserve"> מצויות </w:t>
      </w:r>
      <w:r w:rsidRPr="00854508">
        <w:rPr>
          <w:sz w:val="20"/>
          <w:szCs w:val="20"/>
          <w:rtl/>
        </w:rPr>
        <w:t>–</w:t>
      </w:r>
      <w:r w:rsidRPr="00854508">
        <w:rPr>
          <w:rFonts w:hint="cs"/>
          <w:sz w:val="20"/>
          <w:szCs w:val="20"/>
          <w:rtl/>
        </w:rPr>
        <w:t xml:space="preserve"> יותר סמוך מאחרים </w:t>
      </w:r>
      <w:r w:rsidRPr="00854508">
        <w:rPr>
          <w:sz w:val="20"/>
          <w:szCs w:val="20"/>
          <w:rtl/>
        </w:rPr>
        <w:t>–</w:t>
      </w:r>
      <w:r w:rsidRPr="00854508">
        <w:rPr>
          <w:rFonts w:hint="cs"/>
          <w:sz w:val="20"/>
          <w:szCs w:val="20"/>
          <w:rtl/>
        </w:rPr>
        <w:t xml:space="preserve"> בגשר העובר בין התחומים.</w:t>
      </w:r>
    </w:p>
    <w:p w:rsidR="005366A8" w:rsidRPr="00854508" w:rsidRDefault="005366A8" w:rsidP="005366A8">
      <w:pPr>
        <w:spacing w:after="60"/>
        <w:rPr>
          <w:sz w:val="20"/>
          <w:szCs w:val="20"/>
          <w:rtl/>
        </w:rPr>
      </w:pPr>
      <w:r w:rsidRPr="00854508">
        <w:rPr>
          <w:rFonts w:hint="cs"/>
          <w:sz w:val="20"/>
          <w:szCs w:val="20"/>
          <w:rtl/>
        </w:rPr>
        <w:t xml:space="preserve">החברות הממשלתיות הן תאגיד פרטי </w:t>
      </w:r>
      <w:r w:rsidRPr="00854508">
        <w:rPr>
          <w:sz w:val="20"/>
          <w:szCs w:val="20"/>
          <w:rtl/>
        </w:rPr>
        <w:t>–</w:t>
      </w:r>
      <w:r w:rsidRPr="00854508">
        <w:rPr>
          <w:rFonts w:hint="cs"/>
          <w:sz w:val="20"/>
          <w:szCs w:val="20"/>
          <w:rtl/>
        </w:rPr>
        <w:t xml:space="preserve"> תאגיד המוקם במשפט הפרטי.  </w:t>
      </w:r>
      <w:r w:rsidRPr="004C1592">
        <w:rPr>
          <w:rFonts w:hint="cs"/>
          <w:b/>
          <w:bCs/>
          <w:i/>
          <w:iCs/>
          <w:sz w:val="20"/>
          <w:szCs w:val="20"/>
          <w:u w:val="single"/>
          <w:rtl/>
        </w:rPr>
        <w:t>הן אינן רשויות מינהליות</w:t>
      </w:r>
      <w:r w:rsidRPr="00E72440">
        <w:rPr>
          <w:rFonts w:hint="cs"/>
          <w:b/>
          <w:bCs/>
          <w:i/>
          <w:iCs/>
          <w:sz w:val="20"/>
          <w:szCs w:val="20"/>
          <w:rtl/>
        </w:rPr>
        <w:t>,</w:t>
      </w:r>
      <w:r w:rsidRPr="00854508">
        <w:rPr>
          <w:rFonts w:hint="cs"/>
          <w:sz w:val="20"/>
          <w:szCs w:val="20"/>
          <w:rtl/>
        </w:rPr>
        <w:t xml:space="preserve"> כיוון שאין להן (בכפוף לחריגים מעטים, ביחס לחלקן) סמכויות מכוח חוק.  עם זאת, מבחינה מעשית החברה הממשלתית היא חלק מן המינהל הציבורי: היא מכשיר בידי המינהל הציבורי להשיג מטרות שבדרך כלל אפשר היה להשיגן גם בדרך אחרת, והדרך של חברה בע"מ נבחרה רק משום שהיא נוחה יותר.</w:t>
      </w:r>
    </w:p>
    <w:p w:rsidR="005366A8" w:rsidRPr="00854508" w:rsidRDefault="005366A8" w:rsidP="005366A8">
      <w:pPr>
        <w:spacing w:after="60"/>
        <w:rPr>
          <w:sz w:val="20"/>
          <w:szCs w:val="20"/>
          <w:rtl/>
        </w:rPr>
      </w:pPr>
      <w:r w:rsidRPr="00854508">
        <w:rPr>
          <w:rFonts w:hint="cs"/>
          <w:sz w:val="20"/>
          <w:szCs w:val="20"/>
          <w:rtl/>
        </w:rPr>
        <w:t>בעוד שהחוק הוא הקובע את המבנה, התפקיד והסמכויות של תאגיד ציבורי, הרי שחברה ממשלתי</w:t>
      </w:r>
      <w:r>
        <w:rPr>
          <w:rFonts w:hint="cs"/>
          <w:sz w:val="20"/>
          <w:szCs w:val="20"/>
          <w:rtl/>
        </w:rPr>
        <w:t>ת</w:t>
      </w:r>
      <w:r w:rsidRPr="00854508">
        <w:rPr>
          <w:rFonts w:hint="cs"/>
          <w:sz w:val="20"/>
          <w:szCs w:val="20"/>
          <w:rtl/>
        </w:rPr>
        <w:t xml:space="preserve"> מוקמת על פי החלטת הממשלה, בהתאם לחוק החברות הממשלתיות, תשל"ה-1975, וכל הפרטים הנוגעים למבנה ולתפקוד שלה נקבעים בתזכיר ובתקנות שלה.  </w:t>
      </w:r>
    </w:p>
    <w:p w:rsidR="005366A8" w:rsidRDefault="005366A8" w:rsidP="005366A8">
      <w:pPr>
        <w:spacing w:after="60"/>
        <w:rPr>
          <w:sz w:val="20"/>
          <w:szCs w:val="20"/>
          <w:rtl/>
        </w:rPr>
      </w:pPr>
      <w:r w:rsidRPr="00854508">
        <w:rPr>
          <w:rFonts w:hint="cs"/>
          <w:sz w:val="20"/>
          <w:szCs w:val="20"/>
          <w:rtl/>
        </w:rPr>
        <w:t xml:space="preserve">הנקודה, שהיא אולי החשובה ביותר מבחינה משפטית היא, שחברה ממשלתית כאמור </w:t>
      </w:r>
      <w:r w:rsidRPr="00854508">
        <w:rPr>
          <w:rFonts w:hint="cs"/>
          <w:i/>
          <w:iCs/>
          <w:sz w:val="20"/>
          <w:szCs w:val="20"/>
          <w:rtl/>
        </w:rPr>
        <w:t>איננה רשות מינהלית</w:t>
      </w:r>
      <w:r w:rsidRPr="00854508">
        <w:rPr>
          <w:rFonts w:hint="cs"/>
          <w:sz w:val="20"/>
          <w:szCs w:val="20"/>
          <w:rtl/>
        </w:rPr>
        <w:t>.  משמע, ברגיל היא אינה נתונה לסמכות הביקורת השיפוטית של בג"ץ (שעיקר סמכותו היא ביחס לממלאי "תפקיד ציבורי על פי דין")</w:t>
      </w:r>
      <w:r>
        <w:rPr>
          <w:rFonts w:hint="cs"/>
          <w:sz w:val="20"/>
          <w:szCs w:val="20"/>
          <w:rtl/>
        </w:rPr>
        <w:t xml:space="preserve"> או של בית המשפט המחוזי בשבתו כבית משפט לעניינים מינהליים</w:t>
      </w:r>
      <w:r w:rsidRPr="00854508">
        <w:rPr>
          <w:rFonts w:hint="cs"/>
          <w:sz w:val="20"/>
          <w:szCs w:val="20"/>
          <w:rtl/>
        </w:rPr>
        <w:t xml:space="preserve">; וחשוב מכך, הנורמות של המשפט הציבורי </w:t>
      </w:r>
      <w:r w:rsidRPr="00854508">
        <w:rPr>
          <w:sz w:val="20"/>
          <w:szCs w:val="20"/>
          <w:rtl/>
        </w:rPr>
        <w:t>–</w:t>
      </w:r>
      <w:r w:rsidRPr="00854508">
        <w:rPr>
          <w:rFonts w:hint="cs"/>
          <w:sz w:val="20"/>
          <w:szCs w:val="20"/>
          <w:rtl/>
        </w:rPr>
        <w:t xml:space="preserve"> החובות מתחום המשפט הציבורי החלות על רשות מינהלית </w:t>
      </w:r>
      <w:r w:rsidRPr="00854508">
        <w:rPr>
          <w:sz w:val="20"/>
          <w:szCs w:val="20"/>
          <w:rtl/>
        </w:rPr>
        <w:t>–</w:t>
      </w:r>
      <w:r w:rsidRPr="00854508">
        <w:rPr>
          <w:rFonts w:hint="cs"/>
          <w:sz w:val="20"/>
          <w:szCs w:val="20"/>
          <w:rtl/>
        </w:rPr>
        <w:t xml:space="preserve"> חלות רק </w:t>
      </w:r>
      <w:r>
        <w:rPr>
          <w:rFonts w:hint="cs"/>
          <w:sz w:val="20"/>
          <w:szCs w:val="20"/>
          <w:rtl/>
        </w:rPr>
        <w:t>בחלקן</w:t>
      </w:r>
      <w:r w:rsidRPr="00854508">
        <w:rPr>
          <w:rFonts w:hint="cs"/>
          <w:sz w:val="20"/>
          <w:szCs w:val="20"/>
          <w:rtl/>
        </w:rPr>
        <w:t xml:space="preserve"> על חברות ממשלתיות.</w:t>
      </w:r>
      <w:r>
        <w:rPr>
          <w:rFonts w:hint="cs"/>
          <w:sz w:val="20"/>
          <w:szCs w:val="20"/>
          <w:rtl/>
        </w:rPr>
        <w:t xml:space="preserve"> כאן, בשאלת התחולה של נורמות של המשפט הציבורי יש גיוון בין החברות הממשלתיות (וכן חברות פרטיות), הנוגע לשאלת </w:t>
      </w:r>
      <w:r w:rsidRPr="004C1592">
        <w:rPr>
          <w:rFonts w:hint="cs"/>
          <w:sz w:val="20"/>
          <w:szCs w:val="20"/>
          <w:u w:val="single"/>
          <w:rtl/>
        </w:rPr>
        <w:t>סיווג חלקן כ"גופים דו-מהותיים",</w:t>
      </w:r>
      <w:r>
        <w:rPr>
          <w:rFonts w:hint="cs"/>
          <w:sz w:val="20"/>
          <w:szCs w:val="20"/>
          <w:rtl/>
        </w:rPr>
        <w:t xml:space="preserve"> גופים שחלות עליהן, בו-זמנית, נורמות הן של המשפט הציבורי והן של המשפט הפרטי ("דואליות נורמטיבית") [נדון בכך בסמסטר הבא]. </w:t>
      </w:r>
    </w:p>
    <w:p w:rsidR="005366A8" w:rsidRPr="00854508" w:rsidRDefault="005366A8" w:rsidP="005366A8">
      <w:pPr>
        <w:spacing w:after="60"/>
        <w:rPr>
          <w:sz w:val="20"/>
          <w:szCs w:val="20"/>
          <w:rtl/>
        </w:rPr>
      </w:pPr>
      <w:r>
        <w:rPr>
          <w:rFonts w:hint="cs"/>
          <w:sz w:val="20"/>
          <w:szCs w:val="20"/>
          <w:rtl/>
        </w:rPr>
        <w:t>דוגמאות לחברות ממשלתיות:</w:t>
      </w:r>
    </w:p>
    <w:p w:rsidR="005366A8" w:rsidRPr="00C9224A" w:rsidRDefault="005366A8" w:rsidP="005366A8">
      <w:pPr>
        <w:spacing w:after="60"/>
        <w:ind w:left="720"/>
        <w:rPr>
          <w:rFonts w:ascii="Arial" w:hAnsi="Arial" w:cs="Arial"/>
          <w:sz w:val="20"/>
          <w:szCs w:val="20"/>
          <w:rtl/>
        </w:rPr>
      </w:pPr>
      <w:r w:rsidRPr="004247F7">
        <w:rPr>
          <w:rFonts w:ascii="Arial" w:hAnsi="Arial" w:cs="Arial"/>
          <w:sz w:val="20"/>
          <w:szCs w:val="20"/>
          <w:rtl/>
        </w:rPr>
        <w:t xml:space="preserve">חברת החשמל, </w:t>
      </w:r>
      <w:r>
        <w:rPr>
          <w:rFonts w:ascii="Arial" w:hAnsi="Arial" w:cs="Arial" w:hint="cs"/>
          <w:sz w:val="20"/>
          <w:szCs w:val="20"/>
          <w:rtl/>
        </w:rPr>
        <w:t xml:space="preserve">חברת </w:t>
      </w:r>
      <w:r w:rsidRPr="004247F7">
        <w:rPr>
          <w:rFonts w:ascii="Arial" w:hAnsi="Arial" w:cs="Arial"/>
          <w:sz w:val="20"/>
          <w:szCs w:val="20"/>
          <w:rtl/>
        </w:rPr>
        <w:t xml:space="preserve">מקורות, </w:t>
      </w:r>
      <w:r>
        <w:rPr>
          <w:rFonts w:ascii="Arial" w:hAnsi="Arial" w:cs="Arial" w:hint="cs"/>
          <w:sz w:val="20"/>
          <w:szCs w:val="20"/>
          <w:rtl/>
        </w:rPr>
        <w:t xml:space="preserve">חברת </w:t>
      </w:r>
      <w:r w:rsidRPr="004247F7">
        <w:rPr>
          <w:rFonts w:ascii="Arial" w:hAnsi="Arial" w:cs="Arial"/>
          <w:sz w:val="20"/>
          <w:szCs w:val="20"/>
          <w:rtl/>
        </w:rPr>
        <w:t>עמידר, התעשייה האווירית, התעשיה הצבאית, נתיבי איילון ועוד.</w:t>
      </w:r>
      <w:r w:rsidRPr="00854508">
        <w:rPr>
          <w:rFonts w:hint="cs"/>
          <w:sz w:val="20"/>
          <w:szCs w:val="20"/>
          <w:rtl/>
        </w:rPr>
        <w:t xml:space="preserve"> </w:t>
      </w:r>
    </w:p>
    <w:p w:rsidR="005366A8" w:rsidRPr="00C9224A" w:rsidRDefault="005366A8" w:rsidP="005366A8">
      <w:pPr>
        <w:spacing w:after="60"/>
        <w:ind w:left="720"/>
        <w:rPr>
          <w:rFonts w:ascii="Arial" w:hAnsi="Arial" w:cs="Arial"/>
          <w:sz w:val="20"/>
          <w:szCs w:val="20"/>
          <w:rtl/>
        </w:rPr>
      </w:pPr>
    </w:p>
    <w:p w:rsidR="005366A8" w:rsidRDefault="005366A8" w:rsidP="005366A8">
      <w:pPr>
        <w:spacing w:after="60"/>
        <w:rPr>
          <w:sz w:val="20"/>
          <w:szCs w:val="20"/>
          <w:rtl/>
        </w:rPr>
      </w:pPr>
      <w:r>
        <w:rPr>
          <w:rFonts w:hint="cs"/>
          <w:b/>
          <w:bCs/>
          <w:sz w:val="20"/>
          <w:szCs w:val="20"/>
          <w:highlight w:val="yellow"/>
          <w:rtl/>
        </w:rPr>
        <w:t xml:space="preserve">כידוע מתחוללים במשק בעשורים האחרונים </w:t>
      </w:r>
      <w:r w:rsidRPr="008E3B42">
        <w:rPr>
          <w:rFonts w:hint="cs"/>
          <w:b/>
          <w:bCs/>
          <w:sz w:val="20"/>
          <w:szCs w:val="20"/>
          <w:highlight w:val="yellow"/>
          <w:rtl/>
        </w:rPr>
        <w:t xml:space="preserve">תהליכי </w:t>
      </w:r>
      <w:r w:rsidRPr="00E72440">
        <w:rPr>
          <w:rFonts w:hint="cs"/>
          <w:b/>
          <w:bCs/>
          <w:sz w:val="20"/>
          <w:szCs w:val="20"/>
          <w:highlight w:val="green"/>
          <w:rtl/>
        </w:rPr>
        <w:t xml:space="preserve">הפרטה </w:t>
      </w:r>
      <w:r w:rsidRPr="008E3B42">
        <w:rPr>
          <w:rFonts w:hint="cs"/>
          <w:b/>
          <w:bCs/>
          <w:sz w:val="20"/>
          <w:szCs w:val="20"/>
          <w:highlight w:val="yellow"/>
          <w:rtl/>
        </w:rPr>
        <w:t>משמעותיים.</w:t>
      </w:r>
      <w:r>
        <w:rPr>
          <w:rFonts w:hint="cs"/>
          <w:sz w:val="20"/>
          <w:szCs w:val="20"/>
          <w:rtl/>
        </w:rPr>
        <w:t xml:space="preserve"> הם גורמים, בין היתר, </w:t>
      </w:r>
    </w:p>
    <w:p w:rsidR="005366A8" w:rsidRDefault="005366A8" w:rsidP="005366A8">
      <w:pPr>
        <w:spacing w:after="60"/>
        <w:ind w:left="720"/>
        <w:rPr>
          <w:sz w:val="20"/>
          <w:szCs w:val="20"/>
          <w:rtl/>
        </w:rPr>
      </w:pPr>
      <w:r w:rsidRPr="008E3B42">
        <w:rPr>
          <w:rFonts w:hint="cs"/>
          <w:b/>
          <w:bCs/>
          <w:sz w:val="20"/>
          <w:szCs w:val="20"/>
          <w:rtl/>
        </w:rPr>
        <w:t>להפיכת תאגידים סטטוטוריים שונים לחברות ממשלתיות</w:t>
      </w:r>
      <w:r>
        <w:rPr>
          <w:rFonts w:hint="cs"/>
          <w:sz w:val="20"/>
          <w:szCs w:val="20"/>
          <w:rtl/>
        </w:rPr>
        <w:t xml:space="preserve"> </w:t>
      </w:r>
    </w:p>
    <w:p w:rsidR="005366A8" w:rsidRDefault="005366A8" w:rsidP="005366A8">
      <w:pPr>
        <w:spacing w:after="60"/>
        <w:ind w:left="1440"/>
        <w:rPr>
          <w:sz w:val="20"/>
          <w:szCs w:val="20"/>
          <w:rtl/>
        </w:rPr>
      </w:pPr>
      <w:r>
        <w:rPr>
          <w:rFonts w:hint="cs"/>
          <w:sz w:val="20"/>
          <w:szCs w:val="20"/>
          <w:rtl/>
        </w:rPr>
        <w:t xml:space="preserve">[כך למשל, </w:t>
      </w:r>
      <w:r w:rsidRPr="008E3B42">
        <w:rPr>
          <w:rFonts w:hint="cs"/>
          <w:sz w:val="20"/>
          <w:szCs w:val="20"/>
          <w:rtl/>
        </w:rPr>
        <w:t xml:space="preserve">התאגיד הסטטוטורי רשות הנמלים והרכבות </w:t>
      </w:r>
      <w:r w:rsidRPr="008E3B42">
        <w:rPr>
          <w:sz w:val="20"/>
          <w:szCs w:val="20"/>
          <w:rtl/>
        </w:rPr>
        <w:t>– התפרק ב-2005</w:t>
      </w:r>
      <w:r w:rsidRPr="008E3B42">
        <w:rPr>
          <w:rFonts w:hint="cs"/>
          <w:sz w:val="20"/>
          <w:szCs w:val="20"/>
          <w:rtl/>
        </w:rPr>
        <w:t>. הוקמה חברת רכבת ממשלתית, וכן חברות נמלים נפרדות (נמל חיפה, נמל אשדוד, נמל אילת וחברת נמלי ישראל שמופקדת על נכסי הנמלים)</w:t>
      </w:r>
      <w:r>
        <w:rPr>
          <w:rFonts w:hint="cs"/>
          <w:sz w:val="20"/>
          <w:szCs w:val="20"/>
          <w:rtl/>
        </w:rPr>
        <w:t xml:space="preserve">; וכך למשל, רשות הדואר ובנק הדואר הפכו לחברות ממשלתיות]; </w:t>
      </w:r>
    </w:p>
    <w:p w:rsidR="005366A8" w:rsidRDefault="005366A8" w:rsidP="005366A8">
      <w:pPr>
        <w:spacing w:after="60"/>
        <w:ind w:left="720"/>
        <w:rPr>
          <w:sz w:val="20"/>
          <w:szCs w:val="20"/>
          <w:rtl/>
        </w:rPr>
      </w:pPr>
      <w:r w:rsidRPr="008E3B42">
        <w:rPr>
          <w:rFonts w:hint="cs"/>
          <w:b/>
          <w:bCs/>
          <w:sz w:val="20"/>
          <w:szCs w:val="20"/>
          <w:rtl/>
        </w:rPr>
        <w:t>ו</w:t>
      </w:r>
      <w:r>
        <w:rPr>
          <w:rFonts w:hint="cs"/>
          <w:b/>
          <w:bCs/>
          <w:sz w:val="20"/>
          <w:szCs w:val="20"/>
          <w:rtl/>
        </w:rPr>
        <w:t xml:space="preserve">כמו </w:t>
      </w:r>
      <w:r w:rsidRPr="008E3B42">
        <w:rPr>
          <w:rFonts w:hint="cs"/>
          <w:b/>
          <w:bCs/>
          <w:sz w:val="20"/>
          <w:szCs w:val="20"/>
          <w:rtl/>
        </w:rPr>
        <w:t xml:space="preserve">כן </w:t>
      </w:r>
      <w:r>
        <w:rPr>
          <w:rFonts w:hint="cs"/>
          <w:b/>
          <w:bCs/>
          <w:sz w:val="20"/>
          <w:szCs w:val="20"/>
          <w:rtl/>
        </w:rPr>
        <w:t>הם גורמים להפיכת</w:t>
      </w:r>
      <w:r w:rsidRPr="008E3B42">
        <w:rPr>
          <w:rFonts w:hint="cs"/>
          <w:b/>
          <w:bCs/>
          <w:sz w:val="20"/>
          <w:szCs w:val="20"/>
          <w:rtl/>
        </w:rPr>
        <w:t xml:space="preserve"> חברות ממשלתיות </w:t>
      </w:r>
      <w:r>
        <w:rPr>
          <w:rFonts w:hint="cs"/>
          <w:b/>
          <w:bCs/>
          <w:sz w:val="20"/>
          <w:szCs w:val="20"/>
          <w:rtl/>
        </w:rPr>
        <w:t xml:space="preserve">שונות </w:t>
      </w:r>
      <w:r w:rsidRPr="008E3B42">
        <w:rPr>
          <w:rFonts w:hint="cs"/>
          <w:b/>
          <w:bCs/>
          <w:sz w:val="20"/>
          <w:szCs w:val="20"/>
          <w:rtl/>
        </w:rPr>
        <w:t>לחברות פרטיות</w:t>
      </w:r>
      <w:r>
        <w:rPr>
          <w:rFonts w:hint="cs"/>
          <w:sz w:val="20"/>
          <w:szCs w:val="20"/>
          <w:rtl/>
        </w:rPr>
        <w:t xml:space="preserve"> </w:t>
      </w:r>
    </w:p>
    <w:p w:rsidR="005366A8" w:rsidRPr="00854508" w:rsidRDefault="005366A8" w:rsidP="005366A8">
      <w:pPr>
        <w:spacing w:after="60"/>
        <w:ind w:left="1440"/>
        <w:rPr>
          <w:sz w:val="20"/>
          <w:szCs w:val="20"/>
          <w:rtl/>
        </w:rPr>
      </w:pPr>
      <w:r>
        <w:rPr>
          <w:rFonts w:hint="cs"/>
          <w:sz w:val="20"/>
          <w:szCs w:val="20"/>
          <w:rtl/>
        </w:rPr>
        <w:t>[כך למשל הועברו לידיים פרטיות חברת בזק; בתי הזיקוק; כימיקאלים לישראל; חברת אל-על ועוד].</w:t>
      </w:r>
    </w:p>
    <w:p w:rsidR="005366A8" w:rsidRDefault="005366A8" w:rsidP="005366A8">
      <w:pPr>
        <w:spacing w:after="60"/>
        <w:rPr>
          <w:rFonts w:ascii="Arial" w:hAnsi="Arial" w:cs="Arial"/>
          <w:b/>
          <w:bCs/>
          <w:sz w:val="22"/>
          <w:szCs w:val="22"/>
          <w:highlight w:val="green"/>
          <w:rtl/>
        </w:rPr>
      </w:pPr>
      <w:r>
        <w:rPr>
          <w:rFonts w:hint="cs"/>
          <w:b/>
          <w:bCs/>
          <w:rtl/>
        </w:rPr>
        <w:t>=-=</w:t>
      </w:r>
    </w:p>
    <w:p w:rsidR="005366A8" w:rsidRPr="00BB5AA9" w:rsidRDefault="005366A8" w:rsidP="005366A8">
      <w:pPr>
        <w:pStyle w:val="T-body"/>
        <w:spacing w:line="240" w:lineRule="auto"/>
        <w:ind w:hanging="28"/>
        <w:rPr>
          <w:rFonts w:ascii="Arial" w:hAnsi="Arial" w:cs="Arial"/>
          <w:i/>
          <w:iCs/>
          <w:sz w:val="20"/>
          <w:szCs w:val="20"/>
          <w:rtl/>
        </w:rPr>
      </w:pPr>
      <w:r w:rsidRPr="00BB5AA9">
        <w:rPr>
          <w:rFonts w:ascii="Arial" w:hAnsi="Arial" w:cs="Arial"/>
          <w:i/>
          <w:iCs/>
          <w:sz w:val="20"/>
          <w:szCs w:val="20"/>
          <w:highlight w:val="yellow"/>
          <w:rtl/>
        </w:rPr>
        <w:t>בפגישה הקרובה אנו מתחילים את חלקו של הקורס העוסק במה שקרוי תכופות "המשפט המינהלי"</w:t>
      </w:r>
      <w:r w:rsidRPr="00BB5AA9">
        <w:rPr>
          <w:rFonts w:ascii="Arial" w:hAnsi="Arial" w:cs="Arial" w:hint="cs"/>
          <w:i/>
          <w:iCs/>
          <w:sz w:val="20"/>
          <w:szCs w:val="20"/>
          <w:highlight w:val="yellow"/>
          <w:rtl/>
        </w:rPr>
        <w:t>: החובות החלות על רשויות המינהל</w:t>
      </w:r>
      <w:r w:rsidRPr="00BB5AA9">
        <w:rPr>
          <w:rFonts w:ascii="Arial" w:hAnsi="Arial" w:cs="Arial"/>
          <w:i/>
          <w:iCs/>
          <w:sz w:val="20"/>
          <w:szCs w:val="20"/>
          <w:highlight w:val="yellow"/>
          <w:rtl/>
        </w:rPr>
        <w:t>.</w:t>
      </w:r>
    </w:p>
    <w:p w:rsidR="005366A8" w:rsidRPr="00750395" w:rsidRDefault="005366A8" w:rsidP="005366A8">
      <w:pPr>
        <w:pStyle w:val="T-body"/>
        <w:spacing w:line="240" w:lineRule="auto"/>
        <w:ind w:hanging="28"/>
        <w:rPr>
          <w:rFonts w:ascii="Arial" w:hAnsi="Arial" w:cs="Arial"/>
          <w:sz w:val="20"/>
          <w:szCs w:val="20"/>
          <w:rtl/>
        </w:rPr>
      </w:pPr>
    </w:p>
    <w:p w:rsidR="005366A8" w:rsidRDefault="005366A8" w:rsidP="005366A8">
      <w:pPr>
        <w:pStyle w:val="T-body"/>
        <w:spacing w:line="240" w:lineRule="auto"/>
        <w:ind w:hanging="28"/>
        <w:rPr>
          <w:rFonts w:cs="David"/>
          <w:sz w:val="20"/>
          <w:szCs w:val="20"/>
          <w:rtl/>
        </w:rPr>
      </w:pPr>
      <w:r>
        <w:rPr>
          <w:rFonts w:cs="David" w:hint="cs"/>
          <w:sz w:val="20"/>
          <w:szCs w:val="20"/>
          <w:rtl/>
        </w:rPr>
        <w:t>=-=</w:t>
      </w:r>
    </w:p>
    <w:p w:rsidR="005366A8" w:rsidRDefault="005366A8" w:rsidP="005366A8">
      <w:pPr>
        <w:rPr>
          <w:rFonts w:cs="David"/>
          <w:sz w:val="20"/>
          <w:szCs w:val="20"/>
        </w:rPr>
      </w:pPr>
      <w:r w:rsidRPr="00D64E0B">
        <w:rPr>
          <w:rFonts w:cs="David" w:hint="cs"/>
          <w:b/>
          <w:bCs/>
          <w:sz w:val="20"/>
          <w:szCs w:val="20"/>
          <w:highlight w:val="green"/>
          <w:u w:val="single"/>
          <w:rtl/>
        </w:rPr>
        <w:t>קריאה לפגישה הקרובה</w:t>
      </w:r>
      <w:r>
        <w:rPr>
          <w:rFonts w:cs="David" w:hint="cs"/>
          <w:b/>
          <w:bCs/>
          <w:sz w:val="20"/>
          <w:szCs w:val="20"/>
          <w:highlight w:val="green"/>
          <w:u w:val="single"/>
          <w:rtl/>
        </w:rPr>
        <w:t xml:space="preserve"> ולזו שלאחריה</w:t>
      </w:r>
      <w:r w:rsidRPr="00D64E0B">
        <w:rPr>
          <w:rFonts w:cs="David" w:hint="cs"/>
          <w:sz w:val="20"/>
          <w:szCs w:val="20"/>
          <w:highlight w:val="green"/>
          <w:rtl/>
        </w:rPr>
        <w:t>:</w:t>
      </w:r>
      <w:r>
        <w:rPr>
          <w:rFonts w:cs="David" w:hint="cs"/>
          <w:sz w:val="20"/>
          <w:szCs w:val="20"/>
          <w:rtl/>
        </w:rPr>
        <w:t xml:space="preserve"> </w:t>
      </w:r>
    </w:p>
    <w:p w:rsidR="005366A8" w:rsidRDefault="005366A8" w:rsidP="005366A8">
      <w:pPr>
        <w:rPr>
          <w:rFonts w:cs="David"/>
          <w:sz w:val="20"/>
          <w:szCs w:val="20"/>
          <w:rtl/>
        </w:rPr>
      </w:pPr>
    </w:p>
    <w:p w:rsidR="005366A8" w:rsidRDefault="005366A8" w:rsidP="005366A8">
      <w:pPr>
        <w:rPr>
          <w:rFonts w:cs="David"/>
          <w:sz w:val="20"/>
          <w:szCs w:val="20"/>
          <w:rtl/>
        </w:rPr>
      </w:pPr>
      <w:r>
        <w:rPr>
          <w:rFonts w:cs="David" w:hint="cs"/>
          <w:sz w:val="20"/>
          <w:szCs w:val="20"/>
          <w:rtl/>
        </w:rPr>
        <w:t xml:space="preserve">נתחיל את </w:t>
      </w:r>
      <w:r w:rsidRPr="00D64E0B">
        <w:rPr>
          <w:rFonts w:cs="David" w:hint="cs"/>
          <w:sz w:val="20"/>
          <w:szCs w:val="20"/>
          <w:u w:val="single"/>
          <w:rtl/>
        </w:rPr>
        <w:t>חלק 5 בסילבוס</w:t>
      </w:r>
      <w:r>
        <w:rPr>
          <w:rFonts w:cs="David" w:hint="cs"/>
          <w:sz w:val="20"/>
          <w:szCs w:val="20"/>
          <w:rtl/>
        </w:rPr>
        <w:t xml:space="preserve"> העוסק בדיני </w:t>
      </w:r>
      <w:r w:rsidRPr="00DB5A4D">
        <w:rPr>
          <w:rFonts w:cs="David" w:hint="cs"/>
          <w:b/>
          <w:bCs/>
          <w:sz w:val="20"/>
          <w:szCs w:val="20"/>
          <w:rtl/>
        </w:rPr>
        <w:t>הסמכות המינהלית</w:t>
      </w:r>
      <w:r>
        <w:rPr>
          <w:rFonts w:cs="David" w:hint="cs"/>
          <w:b/>
          <w:bCs/>
          <w:sz w:val="20"/>
          <w:szCs w:val="20"/>
          <w:rtl/>
        </w:rPr>
        <w:t>.</w:t>
      </w:r>
      <w:r>
        <w:rPr>
          <w:rFonts w:cs="David" w:hint="cs"/>
          <w:sz w:val="20"/>
          <w:szCs w:val="20"/>
          <w:rtl/>
        </w:rPr>
        <w:t xml:space="preserve"> </w:t>
      </w:r>
    </w:p>
    <w:p w:rsidR="005366A8" w:rsidRDefault="005366A8" w:rsidP="005366A8">
      <w:pPr>
        <w:rPr>
          <w:rFonts w:cs="David"/>
          <w:sz w:val="20"/>
          <w:szCs w:val="20"/>
          <w:rtl/>
        </w:rPr>
      </w:pPr>
    </w:p>
    <w:p w:rsidR="005366A8" w:rsidRDefault="005366A8" w:rsidP="005366A8">
      <w:pPr>
        <w:rPr>
          <w:rFonts w:cs="David"/>
          <w:sz w:val="20"/>
          <w:szCs w:val="20"/>
          <w:rtl/>
        </w:rPr>
      </w:pPr>
      <w:r>
        <w:rPr>
          <w:rFonts w:cs="David" w:hint="cs"/>
          <w:sz w:val="20"/>
          <w:szCs w:val="20"/>
          <w:rtl/>
        </w:rPr>
        <w:t>אנא קראו בעיון את שני העמודים שלעיל.</w:t>
      </w:r>
    </w:p>
    <w:p w:rsidR="005366A8" w:rsidRDefault="005366A8" w:rsidP="005366A8">
      <w:pPr>
        <w:rPr>
          <w:rFonts w:cs="David"/>
          <w:sz w:val="20"/>
          <w:szCs w:val="20"/>
          <w:rtl/>
        </w:rPr>
      </w:pPr>
      <w:r>
        <w:rPr>
          <w:rFonts w:cs="David" w:hint="cs"/>
          <w:sz w:val="20"/>
          <w:szCs w:val="20"/>
          <w:rtl/>
        </w:rPr>
        <w:t xml:space="preserve">בתחילה ננסה לזהות ולאבחן סמכויות מינהליות בעלות אופי שונה: </w:t>
      </w:r>
      <w:r w:rsidRPr="008F7A8F">
        <w:rPr>
          <w:rFonts w:cs="David" w:hint="cs"/>
          <w:sz w:val="20"/>
          <w:szCs w:val="20"/>
          <w:highlight w:val="yellow"/>
          <w:rtl/>
        </w:rPr>
        <w:t>"הסמכויות של רשויות המינהל: חקיקה, שפיטה וביצוע".</w:t>
      </w:r>
      <w:r>
        <w:rPr>
          <w:rFonts w:cs="David" w:hint="cs"/>
          <w:sz w:val="20"/>
          <w:szCs w:val="20"/>
          <w:rtl/>
        </w:rPr>
        <w:t xml:space="preserve">  קראו את פסה"ד של </w:t>
      </w:r>
      <w:r w:rsidRPr="004C1592">
        <w:rPr>
          <w:rFonts w:cs="David" w:hint="cs"/>
          <w:b/>
          <w:bCs/>
          <w:sz w:val="20"/>
          <w:szCs w:val="20"/>
          <w:u w:val="single"/>
          <w:rtl/>
        </w:rPr>
        <w:t>פלונית</w:t>
      </w:r>
      <w:r>
        <w:rPr>
          <w:rFonts w:cs="David" w:hint="cs"/>
          <w:sz w:val="20"/>
          <w:szCs w:val="20"/>
          <w:rtl/>
        </w:rPr>
        <w:t xml:space="preserve">.  נסו, ראשית, להבין את המשתנים המשפיעים על סיווג כזה או אחר של הסמכות המינהלית.  שנית, מדוע יש לסיווג זה חשיבות?  </w:t>
      </w:r>
    </w:p>
    <w:p w:rsidR="005366A8" w:rsidRDefault="005366A8" w:rsidP="005366A8">
      <w:pPr>
        <w:rPr>
          <w:rFonts w:cs="David"/>
          <w:sz w:val="20"/>
          <w:szCs w:val="20"/>
          <w:rtl/>
        </w:rPr>
      </w:pPr>
      <w:r>
        <w:rPr>
          <w:rFonts w:cs="David" w:hint="cs"/>
          <w:sz w:val="20"/>
          <w:szCs w:val="20"/>
          <w:rtl/>
        </w:rPr>
        <w:t>כמו כן קראו את פסק הדין העוסק ב</w:t>
      </w:r>
      <w:r w:rsidRPr="008F7A8F">
        <w:rPr>
          <w:rFonts w:cs="David" w:hint="cs"/>
          <w:sz w:val="20"/>
          <w:szCs w:val="20"/>
          <w:highlight w:val="yellow"/>
          <w:rtl/>
        </w:rPr>
        <w:t xml:space="preserve">"עצמאותה של הרשות המוסמכת" </w:t>
      </w:r>
      <w:r w:rsidRPr="008F7A8F">
        <w:rPr>
          <w:rFonts w:cs="David"/>
          <w:sz w:val="20"/>
          <w:szCs w:val="20"/>
          <w:highlight w:val="yellow"/>
          <w:rtl/>
        </w:rPr>
        <w:t>–</w:t>
      </w:r>
      <w:r w:rsidRPr="008F7A8F">
        <w:rPr>
          <w:rFonts w:cs="David" w:hint="cs"/>
          <w:sz w:val="20"/>
          <w:szCs w:val="20"/>
          <w:highlight w:val="yellow"/>
          <w:rtl/>
        </w:rPr>
        <w:t xml:space="preserve"> </w:t>
      </w:r>
      <w:r w:rsidRPr="004C1592">
        <w:rPr>
          <w:rFonts w:cs="David" w:hint="cs"/>
          <w:b/>
          <w:bCs/>
          <w:sz w:val="20"/>
          <w:szCs w:val="20"/>
          <w:u w:val="single"/>
          <w:rtl/>
        </w:rPr>
        <w:t>התנועה לאיכות השלטון</w:t>
      </w:r>
      <w:r>
        <w:rPr>
          <w:rFonts w:cs="David" w:hint="cs"/>
          <w:sz w:val="20"/>
          <w:szCs w:val="20"/>
          <w:rtl/>
        </w:rPr>
        <w:t xml:space="preserve"> בנושא מינוי מנהל רכבת ישראל.  מהו חופש הפעולה של ממלא תפקיד ציבורי על פי דין למול הגורם הבכיר ממנו במדרג הבירוקרטי (לרוב, השר)?</w:t>
      </w:r>
    </w:p>
    <w:p w:rsidR="005366A8" w:rsidRDefault="005366A8" w:rsidP="005366A8">
      <w:pPr>
        <w:rPr>
          <w:rFonts w:cs="David"/>
          <w:sz w:val="20"/>
          <w:szCs w:val="20"/>
          <w:rtl/>
        </w:rPr>
      </w:pPr>
      <w:r>
        <w:rPr>
          <w:rFonts w:cs="David" w:hint="cs"/>
          <w:sz w:val="20"/>
          <w:szCs w:val="20"/>
          <w:rtl/>
        </w:rPr>
        <w:t>=-=</w:t>
      </w:r>
    </w:p>
    <w:p w:rsidR="005366A8" w:rsidRDefault="005366A8" w:rsidP="005366A8">
      <w:pPr>
        <w:rPr>
          <w:rFonts w:cs="David"/>
          <w:sz w:val="20"/>
          <w:szCs w:val="20"/>
          <w:rtl/>
        </w:rPr>
      </w:pPr>
      <w:r>
        <w:rPr>
          <w:rFonts w:cs="David" w:hint="cs"/>
          <w:sz w:val="20"/>
          <w:szCs w:val="20"/>
          <w:rtl/>
        </w:rPr>
        <w:t>הפגישה העוקבת של יום א' הבא תעסוק ב</w:t>
      </w:r>
      <w:r w:rsidRPr="008F7A8F">
        <w:rPr>
          <w:rFonts w:cs="David" w:hint="cs"/>
          <w:sz w:val="20"/>
          <w:szCs w:val="20"/>
          <w:highlight w:val="yellow"/>
          <w:rtl/>
        </w:rPr>
        <w:t>"אצילת סמכות", "סמכויות עזר" (הסתייעות באחרים לפעולות עזר) ובסוגיות של הפרטה</w:t>
      </w:r>
      <w:r>
        <w:rPr>
          <w:rFonts w:cs="David" w:hint="cs"/>
          <w:sz w:val="20"/>
          <w:szCs w:val="20"/>
          <w:rtl/>
        </w:rPr>
        <w:t xml:space="preserve">.  </w:t>
      </w:r>
    </w:p>
    <w:p w:rsidR="005366A8" w:rsidRDefault="005366A8" w:rsidP="005366A8">
      <w:pPr>
        <w:rPr>
          <w:rFonts w:cs="David"/>
          <w:sz w:val="20"/>
          <w:szCs w:val="20"/>
          <w:rtl/>
        </w:rPr>
      </w:pPr>
      <w:r>
        <w:rPr>
          <w:rFonts w:cs="David" w:hint="cs"/>
          <w:sz w:val="20"/>
          <w:szCs w:val="20"/>
          <w:rtl/>
        </w:rPr>
        <w:t xml:space="preserve">קראו את פסקי הדין של </w:t>
      </w:r>
      <w:r w:rsidRPr="004C1592">
        <w:rPr>
          <w:rFonts w:cs="David" w:hint="cs"/>
          <w:b/>
          <w:bCs/>
          <w:sz w:val="20"/>
          <w:szCs w:val="20"/>
          <w:u w:val="single"/>
          <w:rtl/>
        </w:rPr>
        <w:t>עמותת "תנו לחיות לחיות"</w:t>
      </w:r>
      <w:r>
        <w:rPr>
          <w:rFonts w:cs="David" w:hint="cs"/>
          <w:sz w:val="20"/>
          <w:szCs w:val="20"/>
          <w:rtl/>
        </w:rPr>
        <w:t xml:space="preserve"> (הקטעים המבוקשים), </w:t>
      </w:r>
      <w:r w:rsidRPr="004C1592">
        <w:rPr>
          <w:rFonts w:cs="David" w:hint="cs"/>
          <w:b/>
          <w:bCs/>
          <w:sz w:val="20"/>
          <w:szCs w:val="20"/>
          <w:u w:val="single"/>
          <w:rtl/>
        </w:rPr>
        <w:t>מטר</w:t>
      </w:r>
      <w:r>
        <w:rPr>
          <w:rFonts w:cs="David" w:hint="cs"/>
          <w:sz w:val="20"/>
          <w:szCs w:val="20"/>
          <w:rtl/>
        </w:rPr>
        <w:t xml:space="preserve"> </w:t>
      </w:r>
      <w:r w:rsidRPr="004C1592">
        <w:rPr>
          <w:rFonts w:cs="David" w:hint="cs"/>
          <w:sz w:val="20"/>
          <w:szCs w:val="20"/>
          <w:rtl/>
        </w:rPr>
        <w:t xml:space="preserve">וכן </w:t>
      </w:r>
      <w:r w:rsidRPr="004C1592">
        <w:rPr>
          <w:rFonts w:cs="David" w:hint="cs"/>
          <w:b/>
          <w:bCs/>
          <w:sz w:val="20"/>
          <w:szCs w:val="20"/>
          <w:u w:val="single"/>
          <w:rtl/>
        </w:rPr>
        <w:t>איגוד האינטרנט הישראלי</w:t>
      </w:r>
      <w:r>
        <w:rPr>
          <w:rFonts w:cs="David" w:hint="cs"/>
          <w:sz w:val="20"/>
          <w:szCs w:val="20"/>
          <w:rtl/>
        </w:rPr>
        <w:t xml:space="preserve">.  נסו לזהות מהו הדין העוזר לנו להבין מהי "אצילה" ומה התנאים לה ומהם סייגיה, מתי אין מדובר באצילה אלא ב"סמכויות עזר", ומהם סייגי ודרכי ההפרטה.  </w:t>
      </w:r>
    </w:p>
    <w:p w:rsidR="005366A8" w:rsidRDefault="005366A8" w:rsidP="005366A8">
      <w:pPr>
        <w:spacing w:after="60"/>
        <w:rPr>
          <w:rFonts w:cs="David"/>
          <w:sz w:val="20"/>
          <w:szCs w:val="20"/>
          <w:rtl/>
        </w:rPr>
      </w:pPr>
    </w:p>
    <w:p w:rsidR="005366A8" w:rsidRDefault="005366A8">
      <w:pPr>
        <w:bidi w:val="0"/>
        <w:jc w:val="left"/>
        <w:rPr>
          <w:sz w:val="22"/>
          <w:szCs w:val="22"/>
          <w:rtl/>
        </w:rPr>
      </w:pPr>
      <w:r>
        <w:rPr>
          <w:sz w:val="22"/>
          <w:szCs w:val="22"/>
          <w:rtl/>
        </w:rPr>
        <w:br w:type="page"/>
      </w:r>
    </w:p>
    <w:p w:rsidR="005366A8" w:rsidRDefault="005366A8" w:rsidP="005366A8">
      <w:pPr>
        <w:spacing w:after="240"/>
        <w:jc w:val="right"/>
        <w:rPr>
          <w:rtl/>
        </w:rPr>
      </w:pPr>
      <w:r w:rsidRPr="00CA4835">
        <w:rPr>
          <w:rFonts w:hint="cs"/>
          <w:b/>
          <w:bCs/>
          <w:sz w:val="22"/>
          <w:szCs w:val="22"/>
          <w:rtl/>
        </w:rPr>
        <w:t>משפט ציבורי</w:t>
      </w:r>
      <w:r w:rsidRPr="00CA4835">
        <w:rPr>
          <w:rFonts w:hint="cs"/>
          <w:sz w:val="22"/>
          <w:szCs w:val="22"/>
          <w:rtl/>
        </w:rPr>
        <w:t xml:space="preserve">, </w:t>
      </w:r>
      <w:r w:rsidRPr="00CA4835">
        <w:rPr>
          <w:rFonts w:hint="cs"/>
          <w:i/>
          <w:iCs/>
          <w:sz w:val="22"/>
          <w:szCs w:val="22"/>
          <w:rtl/>
        </w:rPr>
        <w:t>תשע"</w:t>
      </w:r>
      <w:r>
        <w:rPr>
          <w:rFonts w:hint="cs"/>
          <w:i/>
          <w:iCs/>
          <w:sz w:val="22"/>
          <w:szCs w:val="22"/>
          <w:rtl/>
        </w:rPr>
        <w:t>ה</w:t>
      </w:r>
      <w:r w:rsidRPr="00CA4835">
        <w:rPr>
          <w:rFonts w:hint="cs"/>
          <w:sz w:val="22"/>
          <w:szCs w:val="22"/>
          <w:rtl/>
        </w:rPr>
        <w:t xml:space="preserve">, </w:t>
      </w:r>
      <w:r w:rsidRPr="00CA4835">
        <w:rPr>
          <w:rFonts w:hint="cs"/>
          <w:b/>
          <w:bCs/>
          <w:sz w:val="22"/>
          <w:szCs w:val="22"/>
          <w:rtl/>
        </w:rPr>
        <w:t>סמסטר א',</w:t>
      </w:r>
      <w:r w:rsidRPr="00CA4835">
        <w:rPr>
          <w:rFonts w:hint="cs"/>
          <w:sz w:val="22"/>
          <w:szCs w:val="22"/>
          <w:rtl/>
        </w:rPr>
        <w:t xml:space="preserve"> ד"ר אילן סבן, </w:t>
      </w:r>
      <w:r>
        <w:rPr>
          <w:rFonts w:hint="cs"/>
          <w:sz w:val="22"/>
          <w:szCs w:val="22"/>
          <w:rtl/>
        </w:rPr>
        <w:t>ינואר</w:t>
      </w:r>
      <w:r w:rsidRPr="00CA4835">
        <w:rPr>
          <w:rFonts w:hint="cs"/>
          <w:sz w:val="22"/>
          <w:szCs w:val="22"/>
          <w:rtl/>
        </w:rPr>
        <w:t xml:space="preserve"> 201</w:t>
      </w:r>
      <w:r>
        <w:rPr>
          <w:rFonts w:hint="cs"/>
          <w:sz w:val="22"/>
          <w:szCs w:val="22"/>
          <w:rtl/>
        </w:rPr>
        <w:t>5</w:t>
      </w:r>
      <w:r w:rsidRPr="00CA4835">
        <w:rPr>
          <w:rFonts w:hint="cs"/>
          <w:sz w:val="22"/>
          <w:szCs w:val="22"/>
          <w:rtl/>
        </w:rPr>
        <w:t xml:space="preserve">, </w:t>
      </w:r>
      <w:r w:rsidRPr="005366A8">
        <w:rPr>
          <w:rFonts w:hint="cs"/>
          <w:b/>
          <w:bCs/>
          <w:i/>
          <w:iCs/>
          <w:sz w:val="22"/>
          <w:szCs w:val="22"/>
          <w:highlight w:val="magenta"/>
          <w:u w:val="single"/>
          <w:rtl/>
        </w:rPr>
        <w:t>פגישה 22</w:t>
      </w:r>
    </w:p>
    <w:p w:rsidR="005366A8" w:rsidRDefault="005366A8" w:rsidP="005366A8">
      <w:pPr>
        <w:spacing w:after="240"/>
        <w:jc w:val="center"/>
        <w:rPr>
          <w:rFonts w:ascii="Arial" w:hAnsi="Arial" w:cs="Arial"/>
          <w:b/>
          <w:bCs/>
          <w:u w:val="single"/>
          <w:rtl/>
        </w:rPr>
      </w:pPr>
      <w:r w:rsidRPr="00CB5081">
        <w:rPr>
          <w:rFonts w:ascii="Arial" w:hAnsi="Arial" w:cs="Arial" w:hint="cs"/>
          <w:b/>
          <w:bCs/>
          <w:highlight w:val="yellow"/>
          <w:u w:val="single"/>
          <w:rtl/>
        </w:rPr>
        <w:t xml:space="preserve">"משפט ציבורי" </w:t>
      </w:r>
      <w:r w:rsidRPr="00CB5081">
        <w:rPr>
          <w:rFonts w:ascii="Arial" w:hAnsi="Arial" w:cs="Arial"/>
          <w:b/>
          <w:bCs/>
          <w:highlight w:val="yellow"/>
          <w:u w:val="single"/>
          <w:rtl/>
        </w:rPr>
        <w:t>–</w:t>
      </w:r>
      <w:r w:rsidRPr="00CB5081">
        <w:rPr>
          <w:rFonts w:ascii="Arial" w:hAnsi="Arial" w:cs="Arial" w:hint="cs"/>
          <w:b/>
          <w:bCs/>
          <w:highlight w:val="yellow"/>
          <w:u w:val="single"/>
          <w:rtl/>
        </w:rPr>
        <w:t xml:space="preserve"> מבנה הקורס</w:t>
      </w:r>
      <w:r>
        <w:rPr>
          <w:rFonts w:ascii="Arial" w:hAnsi="Arial" w:cs="Arial" w:hint="cs"/>
          <w:b/>
          <w:bCs/>
          <w:highlight w:val="yellow"/>
          <w:u w:val="single"/>
          <w:rtl/>
        </w:rPr>
        <w:t xml:space="preserve"> </w:t>
      </w:r>
      <w:r>
        <w:rPr>
          <w:rFonts w:ascii="Arial" w:hAnsi="Arial" w:cs="Arial"/>
          <w:b/>
          <w:bCs/>
          <w:highlight w:val="yellow"/>
          <w:u w:val="single"/>
          <w:rtl/>
        </w:rPr>
        <w:t>–</w:t>
      </w:r>
      <w:r>
        <w:rPr>
          <w:rFonts w:ascii="Arial" w:hAnsi="Arial" w:cs="Arial" w:hint="cs"/>
          <w:b/>
          <w:bCs/>
          <w:highlight w:val="yellow"/>
          <w:u w:val="single"/>
          <w:rtl/>
        </w:rPr>
        <w:t xml:space="preserve"> </w:t>
      </w:r>
      <w:r w:rsidRPr="00CB5081">
        <w:rPr>
          <w:rFonts w:ascii="Arial" w:hAnsi="Arial" w:cs="Arial"/>
          <w:b/>
          <w:bCs/>
          <w:highlight w:val="yellow"/>
          <w:u w:val="single"/>
          <w:rtl/>
        </w:rPr>
        <w:t>מהלך הדברים עד עתה</w:t>
      </w:r>
    </w:p>
    <w:p w:rsidR="005366A8" w:rsidRPr="00396547" w:rsidRDefault="005366A8" w:rsidP="005366A8">
      <w:pPr>
        <w:spacing w:after="240"/>
        <w:rPr>
          <w:rFonts w:ascii="Arial" w:hAnsi="Arial" w:cs="Arial"/>
          <w:u w:val="single"/>
          <w:rtl/>
        </w:rPr>
      </w:pPr>
      <w:r w:rsidRPr="00396547">
        <w:rPr>
          <w:rFonts w:ascii="Arial" w:hAnsi="Arial" w:cs="Arial" w:hint="cs"/>
          <w:u w:val="single"/>
          <w:rtl/>
        </w:rPr>
        <w:t xml:space="preserve">א. סוגיות מרכזיות של המשפט החוקתי </w:t>
      </w:r>
    </w:p>
    <w:p w:rsidR="005366A8" w:rsidRDefault="005366A8" w:rsidP="005366A8">
      <w:pPr>
        <w:spacing w:after="60"/>
        <w:ind w:left="720" w:hanging="720"/>
        <w:rPr>
          <w:sz w:val="20"/>
          <w:szCs w:val="20"/>
          <w:rtl/>
        </w:rPr>
      </w:pPr>
      <w:r w:rsidRPr="00B9454C">
        <w:rPr>
          <w:rFonts w:hint="cs"/>
          <w:b/>
          <w:bCs/>
          <w:sz w:val="20"/>
          <w:szCs w:val="20"/>
          <w:highlight w:val="yellow"/>
          <w:rtl/>
        </w:rPr>
        <w:t>חוקתה המאטריאלית/המהותית של המדינה</w:t>
      </w:r>
      <w:r>
        <w:rPr>
          <w:rFonts w:hint="cs"/>
          <w:sz w:val="20"/>
          <w:szCs w:val="20"/>
          <w:rtl/>
        </w:rPr>
        <w:t xml:space="preserve"> </w:t>
      </w:r>
    </w:p>
    <w:p w:rsidR="005366A8" w:rsidRDefault="005366A8" w:rsidP="005366A8">
      <w:pPr>
        <w:spacing w:after="60"/>
        <w:ind w:left="1440" w:hanging="720"/>
        <w:rPr>
          <w:sz w:val="20"/>
          <w:szCs w:val="20"/>
          <w:rtl/>
        </w:rPr>
      </w:pPr>
      <w:r w:rsidRPr="00AC6742">
        <w:rPr>
          <w:rFonts w:hint="cs"/>
          <w:b/>
          <w:bCs/>
          <w:sz w:val="20"/>
          <w:szCs w:val="20"/>
          <w:rtl/>
        </w:rPr>
        <w:t>עקרונות היסוד של המדינה כמדינה יהודית ודמוקרטית</w:t>
      </w:r>
      <w:r>
        <w:rPr>
          <w:rFonts w:hint="cs"/>
          <w:sz w:val="20"/>
          <w:szCs w:val="20"/>
          <w:rtl/>
        </w:rPr>
        <w:t>: זכויות האדם, "נאמן של הציבור", שלטון החוק, הפרדת רשויות, (...)</w:t>
      </w:r>
    </w:p>
    <w:p w:rsidR="005366A8" w:rsidRDefault="005366A8" w:rsidP="005366A8">
      <w:pPr>
        <w:spacing w:after="60"/>
        <w:ind w:left="1440" w:hanging="720"/>
        <w:rPr>
          <w:sz w:val="20"/>
          <w:szCs w:val="20"/>
          <w:rtl/>
        </w:rPr>
      </w:pPr>
      <w:r>
        <w:rPr>
          <w:rFonts w:hint="cs"/>
          <w:b/>
          <w:bCs/>
          <w:sz w:val="20"/>
          <w:szCs w:val="20"/>
          <w:rtl/>
        </w:rPr>
        <w:t>פירמידת הנורמות ופירמידת המוסדות</w:t>
      </w:r>
      <w:r>
        <w:rPr>
          <w:rFonts w:hint="cs"/>
          <w:sz w:val="20"/>
          <w:szCs w:val="20"/>
          <w:rtl/>
        </w:rPr>
        <w:t xml:space="preserve">; </w:t>
      </w:r>
    </w:p>
    <w:p w:rsidR="005366A8" w:rsidRPr="009E6E93" w:rsidRDefault="005366A8" w:rsidP="005366A8">
      <w:pPr>
        <w:spacing w:after="60"/>
        <w:ind w:left="1440" w:hanging="720"/>
        <w:rPr>
          <w:sz w:val="20"/>
          <w:szCs w:val="20"/>
          <w:rtl/>
        </w:rPr>
      </w:pPr>
      <w:r w:rsidRPr="00AC6742">
        <w:rPr>
          <w:rFonts w:hint="cs"/>
          <w:sz w:val="20"/>
          <w:szCs w:val="20"/>
          <w:rtl/>
        </w:rPr>
        <w:t>השפעתה על</w:t>
      </w:r>
      <w:r>
        <w:rPr>
          <w:rFonts w:hint="cs"/>
          <w:b/>
          <w:bCs/>
          <w:sz w:val="20"/>
          <w:szCs w:val="20"/>
          <w:rtl/>
        </w:rPr>
        <w:t xml:space="preserve"> </w:t>
      </w:r>
      <w:r w:rsidRPr="009360DB">
        <w:rPr>
          <w:rFonts w:hint="cs"/>
          <w:b/>
          <w:bCs/>
          <w:sz w:val="20"/>
          <w:szCs w:val="20"/>
          <w:rtl/>
        </w:rPr>
        <w:t>"הפרשנות התכליתית"</w:t>
      </w:r>
      <w:r>
        <w:rPr>
          <w:rFonts w:hint="cs"/>
          <w:sz w:val="20"/>
          <w:szCs w:val="20"/>
          <w:rtl/>
        </w:rPr>
        <w:t xml:space="preserve"> (הנוגעת לתחומי המשפט כולם: משפט פרטי ומשפט ציבורי): פרשנות הוראת הדין לאור השילוב בין התכליות הפרטיקולאריות/המיוחדות שביסודה של אותה הוראת-דין לבין "התכליות הכלליות" שנלוות לה: משמע, "המטרייה הנורמטיבית" של ערכי היסוד של ישראל (חוקתה המהותית).</w:t>
      </w:r>
    </w:p>
    <w:p w:rsidR="005366A8" w:rsidRPr="003C6164" w:rsidRDefault="005366A8" w:rsidP="005366A8">
      <w:pPr>
        <w:spacing w:after="60"/>
        <w:ind w:left="720" w:hanging="720"/>
        <w:rPr>
          <w:b/>
          <w:bCs/>
          <w:sz w:val="20"/>
          <w:szCs w:val="20"/>
          <w:rtl/>
        </w:rPr>
      </w:pPr>
      <w:r w:rsidRPr="00B9454C">
        <w:rPr>
          <w:rFonts w:hint="cs"/>
          <w:b/>
          <w:bCs/>
          <w:sz w:val="20"/>
          <w:szCs w:val="20"/>
          <w:highlight w:val="yellow"/>
          <w:rtl/>
        </w:rPr>
        <w:t>החוקה הפורמאלית של ישראל</w:t>
      </w:r>
      <w:r>
        <w:rPr>
          <w:rFonts w:hint="cs"/>
          <w:b/>
          <w:bCs/>
          <w:sz w:val="20"/>
          <w:szCs w:val="20"/>
          <w:rtl/>
        </w:rPr>
        <w:t xml:space="preserve"> </w:t>
      </w:r>
    </w:p>
    <w:p w:rsidR="005366A8" w:rsidRPr="003C6164" w:rsidRDefault="005366A8" w:rsidP="005366A8">
      <w:pPr>
        <w:spacing w:after="60"/>
        <w:ind w:left="2160" w:hanging="720"/>
        <w:rPr>
          <w:sz w:val="20"/>
          <w:szCs w:val="20"/>
          <w:rtl/>
        </w:rPr>
      </w:pPr>
      <w:r>
        <w:rPr>
          <w:rFonts w:hint="cs"/>
          <w:sz w:val="20"/>
          <w:szCs w:val="20"/>
          <w:rtl/>
        </w:rPr>
        <w:t xml:space="preserve">"המהפכה החוקתית" </w:t>
      </w:r>
      <w:r>
        <w:rPr>
          <w:sz w:val="20"/>
          <w:szCs w:val="20"/>
          <w:rtl/>
        </w:rPr>
        <w:t>–</w:t>
      </w:r>
      <w:r>
        <w:rPr>
          <w:rFonts w:hint="cs"/>
          <w:sz w:val="20"/>
          <w:szCs w:val="20"/>
          <w:rtl/>
        </w:rPr>
        <w:t xml:space="preserve"> היווצרותה של חוקה פורמלית, גם אם 'נכה': עליונות חוקי היסוד; אך העדר נוקשותם ברוב המקרים;</w:t>
      </w:r>
    </w:p>
    <w:p w:rsidR="005366A8" w:rsidRDefault="005366A8" w:rsidP="005366A8">
      <w:pPr>
        <w:spacing w:after="60"/>
        <w:ind w:left="2160" w:hanging="720"/>
        <w:rPr>
          <w:sz w:val="20"/>
          <w:szCs w:val="20"/>
          <w:rtl/>
        </w:rPr>
      </w:pPr>
      <w:r>
        <w:rPr>
          <w:rFonts w:hint="cs"/>
          <w:sz w:val="20"/>
          <w:szCs w:val="20"/>
          <w:rtl/>
        </w:rPr>
        <w:t xml:space="preserve">תיאורית "שני הכובעים": </w:t>
      </w:r>
      <w:r w:rsidRPr="003C6164">
        <w:rPr>
          <w:rFonts w:hint="cs"/>
          <w:sz w:val="20"/>
          <w:szCs w:val="20"/>
          <w:rtl/>
        </w:rPr>
        <w:t>הסמכות המכוננת</w:t>
      </w:r>
      <w:r>
        <w:rPr>
          <w:rFonts w:hint="cs"/>
          <w:sz w:val="20"/>
          <w:szCs w:val="20"/>
          <w:rtl/>
        </w:rPr>
        <w:t xml:space="preserve"> בידי הכנסת</w:t>
      </w:r>
      <w:r w:rsidRPr="003C6164">
        <w:rPr>
          <w:rFonts w:hint="cs"/>
          <w:sz w:val="20"/>
          <w:szCs w:val="20"/>
          <w:rtl/>
        </w:rPr>
        <w:t xml:space="preserve">, </w:t>
      </w:r>
    </w:p>
    <w:p w:rsidR="005366A8" w:rsidRPr="003C6164" w:rsidRDefault="005366A8" w:rsidP="005366A8">
      <w:pPr>
        <w:spacing w:after="60"/>
        <w:ind w:left="2160" w:hanging="720"/>
        <w:rPr>
          <w:sz w:val="20"/>
          <w:szCs w:val="20"/>
          <w:rtl/>
        </w:rPr>
      </w:pPr>
      <w:r>
        <w:rPr>
          <w:rFonts w:hint="cs"/>
          <w:sz w:val="20"/>
          <w:szCs w:val="20"/>
          <w:rtl/>
        </w:rPr>
        <w:t>מתקל בין נורמות,</w:t>
      </w:r>
    </w:p>
    <w:p w:rsidR="005366A8" w:rsidRDefault="005366A8" w:rsidP="005366A8">
      <w:pPr>
        <w:spacing w:after="60"/>
        <w:ind w:left="2160" w:hanging="720"/>
        <w:rPr>
          <w:sz w:val="20"/>
          <w:szCs w:val="20"/>
          <w:rtl/>
        </w:rPr>
      </w:pPr>
      <w:r>
        <w:rPr>
          <w:rFonts w:hint="cs"/>
          <w:sz w:val="20"/>
          <w:szCs w:val="20"/>
          <w:rtl/>
        </w:rPr>
        <w:t xml:space="preserve">הביקורת השיפוטית החוקתית </w:t>
      </w:r>
      <w:r>
        <w:rPr>
          <w:sz w:val="20"/>
          <w:szCs w:val="20"/>
          <w:rtl/>
        </w:rPr>
        <w:t>–</w:t>
      </w:r>
      <w:r>
        <w:rPr>
          <w:rFonts w:hint="cs"/>
          <w:sz w:val="20"/>
          <w:szCs w:val="20"/>
          <w:rtl/>
        </w:rPr>
        <w:t xml:space="preserve"> </w:t>
      </w:r>
      <w:r w:rsidRPr="003C6164">
        <w:rPr>
          <w:rFonts w:hint="cs"/>
          <w:sz w:val="20"/>
          <w:szCs w:val="20"/>
          <w:rtl/>
        </w:rPr>
        <w:t xml:space="preserve">אמות המידה לבחינת תקפותם של חוקים: בעיקר "פסקת ההגבלה", </w:t>
      </w:r>
    </w:p>
    <w:p w:rsidR="005366A8" w:rsidRPr="003C6164" w:rsidRDefault="005366A8" w:rsidP="005366A8">
      <w:pPr>
        <w:spacing w:after="60"/>
        <w:ind w:left="2160" w:hanging="720"/>
        <w:rPr>
          <w:sz w:val="20"/>
          <w:szCs w:val="20"/>
          <w:rtl/>
        </w:rPr>
      </w:pPr>
      <w:r>
        <w:rPr>
          <w:rFonts w:hint="cs"/>
          <w:sz w:val="20"/>
          <w:szCs w:val="20"/>
          <w:rtl/>
        </w:rPr>
        <w:t>"פסקת ההתגברות" בחוק יסוד: חופש העיסוק</w:t>
      </w:r>
    </w:p>
    <w:p w:rsidR="005366A8" w:rsidRDefault="005366A8" w:rsidP="005366A8">
      <w:pPr>
        <w:spacing w:after="60"/>
        <w:ind w:left="2160" w:hanging="720"/>
        <w:rPr>
          <w:sz w:val="20"/>
          <w:szCs w:val="20"/>
          <w:rtl/>
        </w:rPr>
      </w:pPr>
      <w:r w:rsidRPr="003C6164">
        <w:rPr>
          <w:rFonts w:hint="cs"/>
          <w:sz w:val="20"/>
          <w:szCs w:val="20"/>
          <w:rtl/>
        </w:rPr>
        <w:t>סעיף "שמירת הדינים"</w:t>
      </w:r>
      <w:r>
        <w:rPr>
          <w:rFonts w:hint="cs"/>
          <w:sz w:val="20"/>
          <w:szCs w:val="20"/>
          <w:rtl/>
        </w:rPr>
        <w:t xml:space="preserve"> בחוק יסוד: כבוד האדם וחירותו</w:t>
      </w:r>
      <w:r w:rsidRPr="003C6164">
        <w:rPr>
          <w:rFonts w:hint="cs"/>
          <w:sz w:val="20"/>
          <w:szCs w:val="20"/>
          <w:rtl/>
        </w:rPr>
        <w:t>,</w:t>
      </w:r>
    </w:p>
    <w:p w:rsidR="005366A8" w:rsidRPr="003C6164" w:rsidRDefault="005366A8" w:rsidP="005366A8">
      <w:pPr>
        <w:spacing w:after="60"/>
        <w:ind w:left="2160" w:hanging="720"/>
        <w:rPr>
          <w:sz w:val="20"/>
          <w:szCs w:val="20"/>
          <w:rtl/>
        </w:rPr>
      </w:pPr>
      <w:r>
        <w:rPr>
          <w:rFonts w:hint="cs"/>
          <w:sz w:val="20"/>
          <w:szCs w:val="20"/>
          <w:rtl/>
        </w:rPr>
        <w:t>"תיקון חוקה שאינו חוקתי"/ סוגיית הביקורת השיפוטית המטא-טקסטואלית; ...</w:t>
      </w:r>
    </w:p>
    <w:p w:rsidR="005366A8" w:rsidRPr="00B327A0" w:rsidRDefault="005366A8" w:rsidP="005366A8">
      <w:pPr>
        <w:spacing w:after="60"/>
        <w:rPr>
          <w:b/>
          <w:bCs/>
          <w:sz w:val="20"/>
          <w:szCs w:val="20"/>
          <w:rtl/>
        </w:rPr>
      </w:pPr>
      <w:r w:rsidRPr="00B9454C">
        <w:rPr>
          <w:rFonts w:hint="cs"/>
          <w:b/>
          <w:bCs/>
          <w:sz w:val="20"/>
          <w:szCs w:val="20"/>
          <w:highlight w:val="yellow"/>
          <w:rtl/>
        </w:rPr>
        <w:t>מוסדות היסוד של ישראל</w:t>
      </w:r>
    </w:p>
    <w:p w:rsidR="005366A8" w:rsidRPr="00B9454C" w:rsidRDefault="005366A8" w:rsidP="005366A8">
      <w:pPr>
        <w:spacing w:after="60"/>
        <w:ind w:left="720"/>
        <w:rPr>
          <w:b/>
          <w:bCs/>
          <w:sz w:val="20"/>
          <w:szCs w:val="20"/>
          <w:rtl/>
        </w:rPr>
      </w:pPr>
      <w:r w:rsidRPr="00B9454C">
        <w:rPr>
          <w:rFonts w:hint="cs"/>
          <w:b/>
          <w:bCs/>
          <w:sz w:val="20"/>
          <w:szCs w:val="20"/>
          <w:rtl/>
        </w:rPr>
        <w:t>הכנסת</w:t>
      </w:r>
      <w:r>
        <w:rPr>
          <w:rFonts w:hint="cs"/>
          <w:b/>
          <w:bCs/>
          <w:sz w:val="20"/>
          <w:szCs w:val="20"/>
          <w:rtl/>
        </w:rPr>
        <w:t xml:space="preserve"> </w:t>
      </w:r>
      <w:r w:rsidRPr="00FA59B2">
        <w:rPr>
          <w:rFonts w:hint="cs"/>
          <w:sz w:val="20"/>
          <w:szCs w:val="20"/>
          <w:rtl/>
        </w:rPr>
        <w:t>[חסינות חברי הכנסת תידון בהמשך]</w:t>
      </w:r>
    </w:p>
    <w:p w:rsidR="005366A8" w:rsidRPr="003C6164" w:rsidRDefault="005366A8" w:rsidP="005366A8">
      <w:pPr>
        <w:spacing w:after="60"/>
        <w:ind w:left="720"/>
        <w:rPr>
          <w:sz w:val="20"/>
          <w:szCs w:val="20"/>
          <w:rtl/>
        </w:rPr>
      </w:pPr>
      <w:r w:rsidRPr="00B9454C">
        <w:rPr>
          <w:rFonts w:hint="cs"/>
          <w:b/>
          <w:bCs/>
          <w:sz w:val="20"/>
          <w:szCs w:val="20"/>
          <w:rtl/>
        </w:rPr>
        <w:t xml:space="preserve">הממשלה </w:t>
      </w:r>
      <w:r>
        <w:rPr>
          <w:rFonts w:hint="cs"/>
          <w:sz w:val="20"/>
          <w:szCs w:val="20"/>
          <w:rtl/>
        </w:rPr>
        <w:t>["כלל ההסדרים הראשוניים", "הסמכות השיורית"; סמכויות החירום הנתונות לממשלה יידונו בהמשך]</w:t>
      </w:r>
    </w:p>
    <w:p w:rsidR="005366A8" w:rsidRDefault="005366A8" w:rsidP="005366A8">
      <w:pPr>
        <w:spacing w:after="60"/>
        <w:ind w:left="720"/>
        <w:rPr>
          <w:sz w:val="20"/>
          <w:szCs w:val="20"/>
          <w:rtl/>
        </w:rPr>
      </w:pPr>
      <w:r>
        <w:rPr>
          <w:rFonts w:hint="cs"/>
          <w:sz w:val="20"/>
          <w:szCs w:val="20"/>
          <w:rtl/>
        </w:rPr>
        <w:t>[</w:t>
      </w:r>
      <w:r w:rsidRPr="00B9454C">
        <w:rPr>
          <w:rFonts w:hint="cs"/>
          <w:b/>
          <w:bCs/>
          <w:sz w:val="20"/>
          <w:szCs w:val="20"/>
          <w:rtl/>
        </w:rPr>
        <w:t>הרשות השופטת</w:t>
      </w:r>
      <w:r>
        <w:rPr>
          <w:rFonts w:hint="cs"/>
          <w:sz w:val="20"/>
          <w:szCs w:val="20"/>
          <w:rtl/>
        </w:rPr>
        <w:t xml:space="preserve"> </w:t>
      </w:r>
      <w:r>
        <w:rPr>
          <w:sz w:val="20"/>
          <w:szCs w:val="20"/>
          <w:rtl/>
        </w:rPr>
        <w:t>–</w:t>
      </w:r>
      <w:r>
        <w:rPr>
          <w:rFonts w:hint="cs"/>
          <w:sz w:val="20"/>
          <w:szCs w:val="20"/>
          <w:rtl/>
        </w:rPr>
        <w:t xml:space="preserve"> אנחנו פוגשים אותה, כל העת, אגב הדיון שלנו בביקורת השיפוטית] </w:t>
      </w:r>
    </w:p>
    <w:p w:rsidR="005366A8" w:rsidRPr="003C6164" w:rsidRDefault="005366A8" w:rsidP="005366A8">
      <w:pPr>
        <w:spacing w:after="60"/>
        <w:ind w:left="720"/>
        <w:rPr>
          <w:sz w:val="20"/>
          <w:szCs w:val="20"/>
          <w:rtl/>
        </w:rPr>
      </w:pPr>
      <w:r w:rsidRPr="00B9454C">
        <w:rPr>
          <w:rFonts w:hint="cs"/>
          <w:b/>
          <w:bCs/>
          <w:sz w:val="20"/>
          <w:szCs w:val="20"/>
          <w:rtl/>
        </w:rPr>
        <w:t>השלטון המקומי</w:t>
      </w:r>
      <w:r>
        <w:rPr>
          <w:rFonts w:hint="cs"/>
          <w:sz w:val="20"/>
          <w:szCs w:val="20"/>
          <w:rtl/>
        </w:rPr>
        <w:t xml:space="preserve"> </w:t>
      </w:r>
      <w:r>
        <w:rPr>
          <w:sz w:val="20"/>
          <w:szCs w:val="20"/>
          <w:rtl/>
        </w:rPr>
        <w:t>–</w:t>
      </w:r>
      <w:r>
        <w:rPr>
          <w:rFonts w:hint="cs"/>
          <w:sz w:val="20"/>
          <w:szCs w:val="20"/>
          <w:rtl/>
        </w:rPr>
        <w:t xml:space="preserve"> הרשויות המקומיות </w:t>
      </w:r>
      <w:r>
        <w:rPr>
          <w:sz w:val="20"/>
          <w:szCs w:val="20"/>
          <w:rtl/>
        </w:rPr>
        <w:t>–</w:t>
      </w:r>
      <w:r>
        <w:rPr>
          <w:rFonts w:hint="cs"/>
          <w:sz w:val="20"/>
          <w:szCs w:val="20"/>
          <w:rtl/>
        </w:rPr>
        <w:t xml:space="preserve"> חלוקת הסמכויות למול הממשלה, וחלוקת הסמכויות הפנימית בין האורגנים השונים של הרשות המקומית</w:t>
      </w:r>
    </w:p>
    <w:p w:rsidR="005366A8" w:rsidRDefault="005366A8" w:rsidP="005366A8">
      <w:pPr>
        <w:spacing w:after="60"/>
        <w:ind w:left="720"/>
        <w:rPr>
          <w:sz w:val="20"/>
          <w:szCs w:val="20"/>
          <w:rtl/>
        </w:rPr>
      </w:pPr>
      <w:r>
        <w:rPr>
          <w:rFonts w:hint="cs"/>
          <w:b/>
          <w:bCs/>
          <w:sz w:val="20"/>
          <w:szCs w:val="20"/>
          <w:rtl/>
        </w:rPr>
        <w:t>[</w:t>
      </w:r>
      <w:r w:rsidRPr="00B9454C">
        <w:rPr>
          <w:rFonts w:hint="cs"/>
          <w:b/>
          <w:bCs/>
          <w:sz w:val="20"/>
          <w:szCs w:val="20"/>
          <w:rtl/>
        </w:rPr>
        <w:t>היועץ המשפטי לממשלה</w:t>
      </w:r>
      <w:r>
        <w:rPr>
          <w:rFonts w:hint="cs"/>
          <w:sz w:val="20"/>
          <w:szCs w:val="20"/>
          <w:rtl/>
        </w:rPr>
        <w:t xml:space="preserve"> [תפקידו וסמכויותיו יידונו בהמשך]; </w:t>
      </w:r>
    </w:p>
    <w:p w:rsidR="005366A8" w:rsidRDefault="005366A8" w:rsidP="005366A8">
      <w:pPr>
        <w:spacing w:after="60"/>
        <w:ind w:left="720"/>
        <w:rPr>
          <w:sz w:val="20"/>
          <w:szCs w:val="20"/>
          <w:rtl/>
        </w:rPr>
      </w:pPr>
      <w:r>
        <w:rPr>
          <w:rFonts w:hint="cs"/>
          <w:sz w:val="20"/>
          <w:szCs w:val="20"/>
          <w:rtl/>
        </w:rPr>
        <w:t>[יש כמובן מוסדות שלטוניים מרכזיים נוספים, בהם לא נעסוק ישירות: נשיא המדינה, מבקר המדינה, ועדות חקירה ועוד]</w:t>
      </w:r>
    </w:p>
    <w:p w:rsidR="005366A8" w:rsidRDefault="005366A8" w:rsidP="005366A8">
      <w:pPr>
        <w:rPr>
          <w:sz w:val="20"/>
          <w:szCs w:val="20"/>
          <w:rtl/>
        </w:rPr>
      </w:pPr>
      <w:r w:rsidRPr="00F50F09">
        <w:rPr>
          <w:rFonts w:hint="cs"/>
          <w:sz w:val="20"/>
          <w:szCs w:val="20"/>
          <w:rtl/>
        </w:rPr>
        <w:t>=-=</w:t>
      </w:r>
    </w:p>
    <w:p w:rsidR="005366A8" w:rsidRDefault="005366A8" w:rsidP="005366A8">
      <w:pPr>
        <w:rPr>
          <w:sz w:val="20"/>
          <w:szCs w:val="20"/>
          <w:rtl/>
        </w:rPr>
      </w:pPr>
    </w:p>
    <w:p w:rsidR="005366A8" w:rsidRPr="00907699" w:rsidRDefault="005366A8" w:rsidP="005366A8">
      <w:pPr>
        <w:spacing w:after="240"/>
        <w:ind w:left="720"/>
        <w:rPr>
          <w:rFonts w:ascii="Arial" w:hAnsi="Arial" w:cs="Arial"/>
          <w:b/>
          <w:bCs/>
          <w:u w:val="single"/>
          <w:rtl/>
        </w:rPr>
      </w:pPr>
      <w:r>
        <w:rPr>
          <w:rFonts w:ascii="Arial" w:hAnsi="Arial" w:cs="Arial" w:hint="cs"/>
          <w:b/>
          <w:bCs/>
          <w:highlight w:val="yellow"/>
          <w:u w:val="single"/>
          <w:rtl/>
        </w:rPr>
        <w:t xml:space="preserve">מכאן והלאה: </w:t>
      </w:r>
      <w:r w:rsidRPr="00907699">
        <w:rPr>
          <w:rFonts w:ascii="Arial" w:hAnsi="Arial" w:cs="Arial" w:hint="cs"/>
          <w:b/>
          <w:bCs/>
          <w:highlight w:val="yellow"/>
          <w:u w:val="single"/>
          <w:rtl/>
        </w:rPr>
        <w:t>המשך הקורס</w:t>
      </w:r>
      <w:r>
        <w:rPr>
          <w:rFonts w:ascii="Arial" w:hAnsi="Arial" w:cs="Arial" w:hint="cs"/>
          <w:b/>
          <w:bCs/>
          <w:u w:val="single"/>
          <w:rtl/>
        </w:rPr>
        <w:t xml:space="preserve"> </w:t>
      </w:r>
    </w:p>
    <w:p w:rsidR="005366A8" w:rsidRPr="00396547" w:rsidRDefault="005366A8" w:rsidP="005366A8">
      <w:pPr>
        <w:spacing w:after="240"/>
        <w:rPr>
          <w:b/>
          <w:bCs/>
          <w:sz w:val="20"/>
          <w:szCs w:val="20"/>
          <w:highlight w:val="yellow"/>
          <w:u w:val="single"/>
          <w:rtl/>
        </w:rPr>
      </w:pPr>
      <w:r w:rsidRPr="00396547">
        <w:rPr>
          <w:rFonts w:ascii="Arial" w:hAnsi="Arial" w:cs="Arial" w:hint="cs"/>
          <w:u w:val="single"/>
          <w:rtl/>
        </w:rPr>
        <w:t>ב. סוגיות מרכזיות של "המשפט המינהלי"</w:t>
      </w:r>
    </w:p>
    <w:p w:rsidR="005366A8" w:rsidRDefault="005366A8" w:rsidP="005366A8">
      <w:pPr>
        <w:spacing w:after="120"/>
        <w:rPr>
          <w:b/>
          <w:bCs/>
          <w:sz w:val="20"/>
          <w:szCs w:val="20"/>
          <w:highlight w:val="yellow"/>
          <w:rtl/>
        </w:rPr>
      </w:pPr>
      <w:r>
        <w:rPr>
          <w:rFonts w:hint="cs"/>
          <w:b/>
          <w:bCs/>
          <w:sz w:val="20"/>
          <w:szCs w:val="20"/>
          <w:highlight w:val="yellow"/>
          <w:rtl/>
        </w:rPr>
        <w:t>סדרת פגישות שתוקדש לנורמות המפורטות החלות על רשויות המינהל (זרועות הרשות המבצעת והשלטון המקומי)</w:t>
      </w:r>
    </w:p>
    <w:p w:rsidR="005366A8" w:rsidRPr="00F50F09" w:rsidRDefault="005366A8" w:rsidP="005366A8">
      <w:pPr>
        <w:spacing w:after="120"/>
        <w:rPr>
          <w:b/>
          <w:bCs/>
          <w:sz w:val="20"/>
          <w:szCs w:val="20"/>
          <w:rtl/>
        </w:rPr>
      </w:pPr>
      <w:r>
        <w:rPr>
          <w:rFonts w:hint="cs"/>
          <w:b/>
          <w:bCs/>
          <w:sz w:val="20"/>
          <w:szCs w:val="20"/>
          <w:highlight w:val="yellow"/>
          <w:rtl/>
        </w:rPr>
        <w:t>ב1. "</w:t>
      </w:r>
      <w:r w:rsidRPr="00907699">
        <w:rPr>
          <w:rFonts w:hint="cs"/>
          <w:b/>
          <w:bCs/>
          <w:sz w:val="20"/>
          <w:szCs w:val="20"/>
          <w:highlight w:val="yellow"/>
          <w:rtl/>
        </w:rPr>
        <w:t>הסמכות המינהלית</w:t>
      </w:r>
      <w:r>
        <w:rPr>
          <w:rFonts w:hint="cs"/>
          <w:b/>
          <w:bCs/>
          <w:sz w:val="20"/>
          <w:szCs w:val="20"/>
          <w:rtl/>
        </w:rPr>
        <w:t>"</w:t>
      </w:r>
    </w:p>
    <w:p w:rsidR="005366A8" w:rsidRDefault="005366A8" w:rsidP="005366A8">
      <w:pPr>
        <w:ind w:left="720"/>
        <w:rPr>
          <w:sz w:val="20"/>
          <w:szCs w:val="20"/>
          <w:rtl/>
        </w:rPr>
      </w:pPr>
      <w:r>
        <w:rPr>
          <w:rFonts w:hint="cs"/>
          <w:b/>
          <w:bCs/>
          <w:sz w:val="20"/>
          <w:szCs w:val="20"/>
          <w:rtl/>
        </w:rPr>
        <w:t xml:space="preserve">בפועל </w:t>
      </w:r>
      <w:r w:rsidRPr="00710724">
        <w:rPr>
          <w:rFonts w:hint="cs"/>
          <w:b/>
          <w:bCs/>
          <w:sz w:val="20"/>
          <w:szCs w:val="20"/>
          <w:highlight w:val="yellow"/>
          <w:rtl/>
        </w:rPr>
        <w:t>כבר</w:t>
      </w:r>
      <w:r w:rsidRPr="004A5014">
        <w:rPr>
          <w:rFonts w:hint="cs"/>
          <w:b/>
          <w:bCs/>
          <w:sz w:val="20"/>
          <w:szCs w:val="20"/>
          <w:rtl/>
        </w:rPr>
        <w:t xml:space="preserve"> דנו בנושאים מאד מרכזיים הנוגעים</w:t>
      </w:r>
      <w:r>
        <w:rPr>
          <w:rFonts w:hint="cs"/>
          <w:sz w:val="20"/>
          <w:szCs w:val="20"/>
          <w:rtl/>
        </w:rPr>
        <w:t xml:space="preserve"> לשאלות הנוגעות לבחינת </w:t>
      </w:r>
      <w:r w:rsidRPr="004A4AD9">
        <w:rPr>
          <w:rFonts w:hint="cs"/>
          <w:b/>
          <w:bCs/>
          <w:sz w:val="20"/>
          <w:szCs w:val="20"/>
          <w:u w:val="single"/>
          <w:rtl/>
        </w:rPr>
        <w:t>תוקף הסמכות</w:t>
      </w:r>
      <w:r>
        <w:rPr>
          <w:rFonts w:hint="cs"/>
          <w:b/>
          <w:bCs/>
          <w:sz w:val="20"/>
          <w:szCs w:val="20"/>
          <w:u w:val="single"/>
          <w:rtl/>
        </w:rPr>
        <w:t>, גם הסמכות המינהלית:</w:t>
      </w:r>
    </w:p>
    <w:p w:rsidR="005366A8" w:rsidRDefault="005366A8" w:rsidP="005366A8">
      <w:pPr>
        <w:ind w:left="1440"/>
        <w:rPr>
          <w:sz w:val="20"/>
          <w:szCs w:val="20"/>
          <w:rtl/>
        </w:rPr>
      </w:pPr>
      <w:r>
        <w:rPr>
          <w:rFonts w:hint="cs"/>
          <w:sz w:val="20"/>
          <w:szCs w:val="20"/>
          <w:rtl/>
        </w:rPr>
        <w:t xml:space="preserve">הפירמידה הנורמטיבית ופירמידת המוסדות; </w:t>
      </w:r>
    </w:p>
    <w:p w:rsidR="005366A8" w:rsidRDefault="005366A8" w:rsidP="005366A8">
      <w:pPr>
        <w:ind w:left="1440"/>
        <w:rPr>
          <w:sz w:val="20"/>
          <w:szCs w:val="20"/>
          <w:rtl/>
        </w:rPr>
      </w:pPr>
      <w:r w:rsidRPr="00F50F09">
        <w:rPr>
          <w:rFonts w:hint="cs"/>
          <w:sz w:val="20"/>
          <w:szCs w:val="20"/>
          <w:rtl/>
        </w:rPr>
        <w:t>"המהפכה החוקתית"</w:t>
      </w:r>
      <w:r>
        <w:rPr>
          <w:rFonts w:hint="cs"/>
          <w:sz w:val="20"/>
          <w:szCs w:val="20"/>
          <w:rtl/>
        </w:rPr>
        <w:t xml:space="preserve"> </w:t>
      </w:r>
      <w:r>
        <w:rPr>
          <w:sz w:val="20"/>
          <w:szCs w:val="20"/>
          <w:rtl/>
        </w:rPr>
        <w:t>–</w:t>
      </w:r>
      <w:r>
        <w:rPr>
          <w:rFonts w:hint="cs"/>
          <w:sz w:val="20"/>
          <w:szCs w:val="20"/>
          <w:rtl/>
        </w:rPr>
        <w:t xml:space="preserve"> חוקי היסוד, פסקת ההגבלה </w:t>
      </w:r>
      <w:r>
        <w:rPr>
          <w:sz w:val="20"/>
          <w:szCs w:val="20"/>
          <w:rtl/>
        </w:rPr>
        <w:t>–</w:t>
      </w:r>
      <w:r>
        <w:rPr>
          <w:rFonts w:hint="cs"/>
          <w:sz w:val="20"/>
          <w:szCs w:val="20"/>
          <w:rtl/>
        </w:rPr>
        <w:t xml:space="preserve"> המרכיב הראשון שלה; </w:t>
      </w:r>
    </w:p>
    <w:p w:rsidR="005366A8" w:rsidRDefault="005366A8" w:rsidP="005366A8">
      <w:pPr>
        <w:ind w:left="1440"/>
        <w:rPr>
          <w:sz w:val="20"/>
          <w:szCs w:val="20"/>
          <w:rtl/>
        </w:rPr>
      </w:pPr>
      <w:r w:rsidRPr="00F50F09">
        <w:rPr>
          <w:rFonts w:hint="cs"/>
          <w:sz w:val="20"/>
          <w:szCs w:val="20"/>
          <w:rtl/>
        </w:rPr>
        <w:t>עקרון החוקיות</w:t>
      </w:r>
      <w:r>
        <w:rPr>
          <w:rFonts w:hint="cs"/>
          <w:sz w:val="20"/>
          <w:szCs w:val="20"/>
          <w:rtl/>
        </w:rPr>
        <w:t xml:space="preserve">; </w:t>
      </w:r>
    </w:p>
    <w:p w:rsidR="005366A8" w:rsidRDefault="005366A8" w:rsidP="005366A8">
      <w:pPr>
        <w:ind w:left="1440"/>
        <w:rPr>
          <w:sz w:val="20"/>
          <w:szCs w:val="20"/>
          <w:rtl/>
        </w:rPr>
      </w:pPr>
      <w:r w:rsidRPr="00F50F09">
        <w:rPr>
          <w:rFonts w:hint="cs"/>
          <w:sz w:val="20"/>
          <w:szCs w:val="20"/>
          <w:rtl/>
        </w:rPr>
        <w:t xml:space="preserve">כלל </w:t>
      </w:r>
      <w:r>
        <w:rPr>
          <w:rFonts w:hint="cs"/>
          <w:sz w:val="20"/>
          <w:szCs w:val="20"/>
          <w:rtl/>
        </w:rPr>
        <w:t>ה"</w:t>
      </w:r>
      <w:r w:rsidRPr="00F50F09">
        <w:rPr>
          <w:rFonts w:hint="cs"/>
          <w:sz w:val="20"/>
          <w:szCs w:val="20"/>
          <w:rtl/>
        </w:rPr>
        <w:t>הסדרים ראשוניים</w:t>
      </w:r>
      <w:r>
        <w:rPr>
          <w:rFonts w:hint="cs"/>
          <w:sz w:val="20"/>
          <w:szCs w:val="20"/>
          <w:rtl/>
        </w:rPr>
        <w:t xml:space="preserve">"; </w:t>
      </w:r>
    </w:p>
    <w:p w:rsidR="005366A8" w:rsidRPr="00F50F09" w:rsidRDefault="005366A8" w:rsidP="005366A8">
      <w:pPr>
        <w:spacing w:after="120"/>
        <w:ind w:left="1440"/>
        <w:rPr>
          <w:sz w:val="20"/>
          <w:szCs w:val="20"/>
          <w:rtl/>
        </w:rPr>
      </w:pPr>
      <w:r>
        <w:rPr>
          <w:rFonts w:hint="cs"/>
          <w:sz w:val="20"/>
          <w:szCs w:val="20"/>
          <w:rtl/>
        </w:rPr>
        <w:t xml:space="preserve">"הסמכות השיורית" של הממשלה; </w:t>
      </w:r>
    </w:p>
    <w:p w:rsidR="005366A8" w:rsidRDefault="005366A8" w:rsidP="005366A8">
      <w:pPr>
        <w:ind w:left="720"/>
        <w:rPr>
          <w:sz w:val="20"/>
          <w:szCs w:val="20"/>
          <w:rtl/>
        </w:rPr>
      </w:pPr>
      <w:r w:rsidRPr="00710724">
        <w:rPr>
          <w:rFonts w:hint="cs"/>
          <w:sz w:val="20"/>
          <w:szCs w:val="20"/>
          <w:highlight w:val="yellow"/>
          <w:rtl/>
        </w:rPr>
        <w:t>עתה</w:t>
      </w:r>
      <w:r w:rsidRPr="004A4AD9">
        <w:rPr>
          <w:rFonts w:hint="cs"/>
          <w:sz w:val="20"/>
          <w:szCs w:val="20"/>
          <w:rtl/>
        </w:rPr>
        <w:t xml:space="preserve"> אנו עוברים לדון</w:t>
      </w:r>
      <w:r>
        <w:rPr>
          <w:rFonts w:hint="cs"/>
          <w:sz w:val="20"/>
          <w:szCs w:val="20"/>
          <w:rtl/>
        </w:rPr>
        <w:t xml:space="preserve"> בסוגיות נוספות, המכונות </w:t>
      </w:r>
      <w:r w:rsidRPr="00527D6F">
        <w:rPr>
          <w:rFonts w:hint="cs"/>
          <w:b/>
          <w:bCs/>
          <w:sz w:val="20"/>
          <w:szCs w:val="20"/>
          <w:rtl/>
        </w:rPr>
        <w:t>דיני הסמכה</w:t>
      </w:r>
      <w:r w:rsidRPr="00F50F09">
        <w:rPr>
          <w:rFonts w:hint="cs"/>
          <w:sz w:val="20"/>
          <w:szCs w:val="20"/>
          <w:rtl/>
        </w:rPr>
        <w:t xml:space="preserve">: </w:t>
      </w:r>
    </w:p>
    <w:p w:rsidR="005366A8" w:rsidRPr="00710724" w:rsidRDefault="005366A8" w:rsidP="005366A8">
      <w:pPr>
        <w:ind w:left="1440"/>
        <w:rPr>
          <w:sz w:val="20"/>
          <w:szCs w:val="20"/>
          <w:highlight w:val="yellow"/>
          <w:rtl/>
        </w:rPr>
      </w:pPr>
      <w:r w:rsidRPr="00710724">
        <w:rPr>
          <w:rFonts w:hint="cs"/>
          <w:sz w:val="20"/>
          <w:szCs w:val="20"/>
          <w:highlight w:val="yellow"/>
          <w:rtl/>
        </w:rPr>
        <w:t>סוגי הסמכויות המופקדות בידי המינהל הציבורי;</w:t>
      </w:r>
    </w:p>
    <w:p w:rsidR="005366A8" w:rsidRPr="00710724" w:rsidRDefault="005366A8" w:rsidP="005366A8">
      <w:pPr>
        <w:ind w:left="1440"/>
        <w:rPr>
          <w:sz w:val="20"/>
          <w:szCs w:val="20"/>
          <w:highlight w:val="yellow"/>
          <w:rtl/>
        </w:rPr>
      </w:pPr>
      <w:r>
        <w:rPr>
          <w:rFonts w:hint="cs"/>
          <w:sz w:val="20"/>
          <w:szCs w:val="20"/>
          <w:highlight w:val="yellow"/>
          <w:rtl/>
        </w:rPr>
        <w:t>"</w:t>
      </w:r>
      <w:r w:rsidRPr="00710724">
        <w:rPr>
          <w:rFonts w:hint="cs"/>
          <w:sz w:val="20"/>
          <w:szCs w:val="20"/>
          <w:highlight w:val="yellow"/>
          <w:rtl/>
        </w:rPr>
        <w:t>עצמאות הרשות המוסמכת</w:t>
      </w:r>
      <w:r>
        <w:rPr>
          <w:rFonts w:hint="cs"/>
          <w:sz w:val="20"/>
          <w:szCs w:val="20"/>
          <w:highlight w:val="yellow"/>
          <w:rtl/>
        </w:rPr>
        <w:t>"</w:t>
      </w:r>
      <w:r w:rsidRPr="00710724">
        <w:rPr>
          <w:rFonts w:hint="cs"/>
          <w:sz w:val="20"/>
          <w:szCs w:val="20"/>
          <w:highlight w:val="yellow"/>
          <w:rtl/>
        </w:rPr>
        <w:t xml:space="preserve">; </w:t>
      </w:r>
    </w:p>
    <w:p w:rsidR="005366A8" w:rsidRPr="00710724" w:rsidRDefault="005366A8" w:rsidP="005366A8">
      <w:pPr>
        <w:ind w:left="1440"/>
        <w:rPr>
          <w:sz w:val="20"/>
          <w:szCs w:val="20"/>
          <w:highlight w:val="yellow"/>
          <w:rtl/>
        </w:rPr>
      </w:pPr>
      <w:r w:rsidRPr="00710724">
        <w:rPr>
          <w:rFonts w:hint="cs"/>
          <w:sz w:val="20"/>
          <w:szCs w:val="20"/>
          <w:highlight w:val="yellow"/>
          <w:rtl/>
        </w:rPr>
        <w:t xml:space="preserve">העברת סמכויות; </w:t>
      </w:r>
    </w:p>
    <w:p w:rsidR="005366A8" w:rsidRPr="00710724" w:rsidRDefault="005366A8" w:rsidP="005366A8">
      <w:pPr>
        <w:ind w:left="1440"/>
        <w:rPr>
          <w:sz w:val="20"/>
          <w:szCs w:val="20"/>
          <w:highlight w:val="yellow"/>
          <w:rtl/>
        </w:rPr>
      </w:pPr>
      <w:r w:rsidRPr="00710724">
        <w:rPr>
          <w:rFonts w:hint="cs"/>
          <w:sz w:val="20"/>
          <w:szCs w:val="20"/>
          <w:highlight w:val="yellow"/>
          <w:rtl/>
        </w:rPr>
        <w:t xml:space="preserve">אצילת סמכות; </w:t>
      </w:r>
    </w:p>
    <w:p w:rsidR="005366A8" w:rsidRPr="00F50F09" w:rsidRDefault="005366A8" w:rsidP="005366A8">
      <w:pPr>
        <w:ind w:left="1440"/>
        <w:rPr>
          <w:sz w:val="20"/>
          <w:szCs w:val="20"/>
          <w:rtl/>
        </w:rPr>
      </w:pPr>
      <w:r w:rsidRPr="00710724">
        <w:rPr>
          <w:rFonts w:hint="cs"/>
          <w:sz w:val="20"/>
          <w:szCs w:val="20"/>
          <w:highlight w:val="yellow"/>
          <w:rtl/>
        </w:rPr>
        <w:t>נטילת סמכות</w:t>
      </w:r>
    </w:p>
    <w:p w:rsidR="005366A8" w:rsidRDefault="005366A8" w:rsidP="005366A8">
      <w:pPr>
        <w:rPr>
          <w:b/>
          <w:bCs/>
          <w:sz w:val="20"/>
          <w:szCs w:val="20"/>
          <w:highlight w:val="yellow"/>
          <w:rtl/>
        </w:rPr>
      </w:pPr>
    </w:p>
    <w:p w:rsidR="005366A8" w:rsidRDefault="005366A8" w:rsidP="005366A8">
      <w:pPr>
        <w:rPr>
          <w:b/>
          <w:bCs/>
          <w:sz w:val="20"/>
          <w:szCs w:val="20"/>
          <w:rtl/>
        </w:rPr>
      </w:pPr>
      <w:r>
        <w:rPr>
          <w:rFonts w:hint="cs"/>
          <w:b/>
          <w:bCs/>
          <w:sz w:val="20"/>
          <w:szCs w:val="20"/>
          <w:highlight w:val="yellow"/>
          <w:rtl/>
        </w:rPr>
        <w:t>ב2. "ההליך המינהלי"</w:t>
      </w:r>
    </w:p>
    <w:p w:rsidR="005366A8" w:rsidRDefault="005366A8" w:rsidP="005366A8">
      <w:pPr>
        <w:rPr>
          <w:sz w:val="20"/>
          <w:szCs w:val="20"/>
          <w:rtl/>
        </w:rPr>
      </w:pPr>
      <w:r w:rsidRPr="00396547">
        <w:rPr>
          <w:rFonts w:hint="cs"/>
          <w:sz w:val="20"/>
          <w:szCs w:val="20"/>
          <w:rtl/>
        </w:rPr>
        <w:t>ד</w:t>
      </w:r>
      <w:r>
        <w:rPr>
          <w:rFonts w:hint="cs"/>
          <w:sz w:val="20"/>
          <w:szCs w:val="20"/>
          <w:rtl/>
        </w:rPr>
        <w:t xml:space="preserve">ינים/חובות שעניינם </w:t>
      </w:r>
      <w:r w:rsidRPr="00710724">
        <w:rPr>
          <w:rFonts w:hint="cs"/>
          <w:b/>
          <w:bCs/>
          <w:sz w:val="20"/>
          <w:szCs w:val="20"/>
          <w:rtl/>
        </w:rPr>
        <w:t>ההליך הנאות, ההליך הראוי,</w:t>
      </w:r>
      <w:r>
        <w:rPr>
          <w:rFonts w:hint="cs"/>
          <w:sz w:val="20"/>
          <w:szCs w:val="20"/>
          <w:rtl/>
        </w:rPr>
        <w:t xml:space="preserve"> שבו צריכות להתקבל הכרעות של רשויות המינהל:</w:t>
      </w:r>
    </w:p>
    <w:p w:rsidR="005366A8" w:rsidRDefault="005366A8" w:rsidP="005366A8">
      <w:pPr>
        <w:ind w:left="1440"/>
        <w:rPr>
          <w:sz w:val="20"/>
          <w:szCs w:val="20"/>
          <w:rtl/>
        </w:rPr>
      </w:pPr>
      <w:r>
        <w:rPr>
          <w:rFonts w:hint="cs"/>
          <w:sz w:val="20"/>
          <w:szCs w:val="20"/>
          <w:rtl/>
        </w:rPr>
        <w:t xml:space="preserve">הנחיות מינהליות; </w:t>
      </w:r>
    </w:p>
    <w:p w:rsidR="005366A8" w:rsidRDefault="005366A8" w:rsidP="005366A8">
      <w:pPr>
        <w:ind w:left="1440"/>
        <w:rPr>
          <w:sz w:val="20"/>
          <w:szCs w:val="20"/>
          <w:rtl/>
        </w:rPr>
      </w:pPr>
      <w:r w:rsidRPr="00F50F09">
        <w:rPr>
          <w:rFonts w:hint="cs"/>
          <w:sz w:val="20"/>
          <w:szCs w:val="20"/>
          <w:rtl/>
        </w:rPr>
        <w:t>חובת פרסום</w:t>
      </w:r>
      <w:r>
        <w:rPr>
          <w:rFonts w:hint="cs"/>
          <w:sz w:val="20"/>
          <w:szCs w:val="20"/>
          <w:rtl/>
        </w:rPr>
        <w:t xml:space="preserve">; </w:t>
      </w:r>
    </w:p>
    <w:p w:rsidR="005366A8" w:rsidRDefault="005366A8" w:rsidP="005366A8">
      <w:pPr>
        <w:ind w:left="1440"/>
        <w:rPr>
          <w:sz w:val="20"/>
          <w:szCs w:val="20"/>
          <w:rtl/>
        </w:rPr>
      </w:pPr>
      <w:r w:rsidRPr="00F50F09">
        <w:rPr>
          <w:rFonts w:hint="cs"/>
          <w:sz w:val="20"/>
          <w:szCs w:val="20"/>
          <w:rtl/>
        </w:rPr>
        <w:t>תחילת תוקף</w:t>
      </w:r>
      <w:r>
        <w:rPr>
          <w:rFonts w:hint="cs"/>
          <w:sz w:val="20"/>
          <w:szCs w:val="20"/>
          <w:rtl/>
        </w:rPr>
        <w:t xml:space="preserve"> (רטרואקטיביות);</w:t>
      </w:r>
      <w:r w:rsidRPr="00F50F09">
        <w:rPr>
          <w:rFonts w:hint="cs"/>
          <w:sz w:val="20"/>
          <w:szCs w:val="20"/>
          <w:rtl/>
        </w:rPr>
        <w:t xml:space="preserve"> </w:t>
      </w:r>
    </w:p>
    <w:p w:rsidR="005366A8" w:rsidRPr="00F50F09" w:rsidRDefault="005366A8" w:rsidP="005366A8">
      <w:pPr>
        <w:ind w:left="1440"/>
        <w:rPr>
          <w:sz w:val="20"/>
          <w:szCs w:val="20"/>
          <w:rtl/>
        </w:rPr>
      </w:pPr>
      <w:r w:rsidRPr="00B327A0">
        <w:rPr>
          <w:rFonts w:hint="cs"/>
          <w:b/>
          <w:bCs/>
          <w:sz w:val="20"/>
          <w:szCs w:val="20"/>
          <w:rtl/>
        </w:rPr>
        <w:t>כללי הצדק הטבעי</w:t>
      </w:r>
      <w:r>
        <w:rPr>
          <w:rFonts w:hint="cs"/>
          <w:sz w:val="20"/>
          <w:szCs w:val="20"/>
          <w:rtl/>
        </w:rPr>
        <w:t>:</w:t>
      </w:r>
    </w:p>
    <w:p w:rsidR="005366A8" w:rsidRPr="00F50F09" w:rsidRDefault="005366A8" w:rsidP="005366A8">
      <w:pPr>
        <w:spacing w:after="120"/>
        <w:ind w:left="2160"/>
        <w:rPr>
          <w:sz w:val="20"/>
          <w:szCs w:val="20"/>
          <w:rtl/>
        </w:rPr>
      </w:pPr>
      <w:r w:rsidRPr="00F50F09">
        <w:rPr>
          <w:rFonts w:hint="cs"/>
          <w:sz w:val="20"/>
          <w:szCs w:val="20"/>
          <w:rtl/>
        </w:rPr>
        <w:t>זכות הטיעון/ חובת השימוע</w:t>
      </w:r>
      <w:r>
        <w:rPr>
          <w:rFonts w:hint="cs"/>
          <w:sz w:val="20"/>
          <w:szCs w:val="20"/>
          <w:rtl/>
        </w:rPr>
        <w:t xml:space="preserve">; </w:t>
      </w:r>
      <w:r w:rsidRPr="00F50F09">
        <w:rPr>
          <w:rFonts w:hint="cs"/>
          <w:sz w:val="20"/>
          <w:szCs w:val="20"/>
          <w:rtl/>
        </w:rPr>
        <w:t>איסור ניגוד עניינים ואיסור משוא-פנים</w:t>
      </w:r>
    </w:p>
    <w:p w:rsidR="005366A8" w:rsidRPr="009A4875" w:rsidRDefault="005366A8" w:rsidP="005366A8">
      <w:pPr>
        <w:ind w:left="2160"/>
        <w:rPr>
          <w:rFonts w:ascii="Arial" w:hAnsi="Arial" w:cs="Arial"/>
          <w:b/>
          <w:bCs/>
          <w:sz w:val="20"/>
          <w:szCs w:val="20"/>
          <w:rtl/>
        </w:rPr>
      </w:pPr>
      <w:r w:rsidRPr="009A4875">
        <w:rPr>
          <w:rFonts w:ascii="Arial" w:hAnsi="Arial" w:cs="Arial"/>
          <w:b/>
          <w:bCs/>
          <w:sz w:val="20"/>
          <w:szCs w:val="20"/>
          <w:rtl/>
        </w:rPr>
        <w:t xml:space="preserve">[ההמשך – </w:t>
      </w:r>
      <w:r>
        <w:rPr>
          <w:rFonts w:ascii="Arial" w:hAnsi="Arial" w:cs="Arial" w:hint="cs"/>
          <w:b/>
          <w:bCs/>
          <w:sz w:val="20"/>
          <w:szCs w:val="20"/>
          <w:rtl/>
        </w:rPr>
        <w:t>ב</w:t>
      </w:r>
      <w:r w:rsidRPr="009A4875">
        <w:rPr>
          <w:rFonts w:ascii="Arial" w:hAnsi="Arial" w:cs="Arial"/>
          <w:b/>
          <w:bCs/>
          <w:sz w:val="20"/>
          <w:szCs w:val="20"/>
          <w:rtl/>
        </w:rPr>
        <w:t>סמסטר ב']</w:t>
      </w:r>
    </w:p>
    <w:p w:rsidR="005366A8" w:rsidRPr="00F50F09" w:rsidRDefault="005366A8" w:rsidP="005366A8">
      <w:pPr>
        <w:rPr>
          <w:sz w:val="20"/>
          <w:szCs w:val="20"/>
          <w:rtl/>
        </w:rPr>
      </w:pPr>
      <w:r>
        <w:rPr>
          <w:rFonts w:hint="cs"/>
          <w:b/>
          <w:bCs/>
          <w:sz w:val="20"/>
          <w:szCs w:val="20"/>
          <w:highlight w:val="yellow"/>
          <w:rtl/>
        </w:rPr>
        <w:t>ב3. "</w:t>
      </w:r>
      <w:r w:rsidRPr="00907699">
        <w:rPr>
          <w:rFonts w:hint="cs"/>
          <w:b/>
          <w:bCs/>
          <w:sz w:val="20"/>
          <w:szCs w:val="20"/>
          <w:highlight w:val="yellow"/>
          <w:rtl/>
        </w:rPr>
        <w:t>שיקול הדעת המינהלי</w:t>
      </w:r>
      <w:r>
        <w:rPr>
          <w:rFonts w:hint="cs"/>
          <w:b/>
          <w:bCs/>
          <w:sz w:val="20"/>
          <w:szCs w:val="20"/>
          <w:rtl/>
        </w:rPr>
        <w:t>"</w:t>
      </w:r>
    </w:p>
    <w:p w:rsidR="005366A8" w:rsidRPr="00F50F09" w:rsidRDefault="005366A8" w:rsidP="005366A8">
      <w:pPr>
        <w:ind w:left="720"/>
        <w:rPr>
          <w:sz w:val="20"/>
          <w:szCs w:val="20"/>
          <w:rtl/>
        </w:rPr>
      </w:pPr>
      <w:r w:rsidRPr="00F50F09">
        <w:rPr>
          <w:rFonts w:hint="cs"/>
          <w:sz w:val="20"/>
          <w:szCs w:val="20"/>
          <w:rtl/>
        </w:rPr>
        <w:t xml:space="preserve">איסור </w:t>
      </w:r>
      <w:r>
        <w:rPr>
          <w:rFonts w:hint="cs"/>
          <w:sz w:val="20"/>
          <w:szCs w:val="20"/>
          <w:rtl/>
        </w:rPr>
        <w:t>"</w:t>
      </w:r>
      <w:r w:rsidRPr="00F50F09">
        <w:rPr>
          <w:rFonts w:hint="cs"/>
          <w:sz w:val="20"/>
          <w:szCs w:val="20"/>
          <w:rtl/>
        </w:rPr>
        <w:t>שיקולים זרים</w:t>
      </w:r>
      <w:r>
        <w:rPr>
          <w:rFonts w:hint="cs"/>
          <w:sz w:val="20"/>
          <w:szCs w:val="20"/>
          <w:rtl/>
        </w:rPr>
        <w:t>"</w:t>
      </w:r>
    </w:p>
    <w:p w:rsidR="005366A8" w:rsidRPr="00F50F09" w:rsidRDefault="005366A8" w:rsidP="005366A8">
      <w:pPr>
        <w:ind w:left="720"/>
        <w:rPr>
          <w:sz w:val="20"/>
          <w:szCs w:val="20"/>
          <w:rtl/>
        </w:rPr>
      </w:pPr>
      <w:r w:rsidRPr="00F50F09">
        <w:rPr>
          <w:rFonts w:hint="cs"/>
          <w:sz w:val="20"/>
          <w:szCs w:val="20"/>
          <w:rtl/>
        </w:rPr>
        <w:t>תשתית העובדות הנדרשת</w:t>
      </w:r>
    </w:p>
    <w:p w:rsidR="005366A8" w:rsidRPr="00F50F09" w:rsidRDefault="005366A8" w:rsidP="005366A8">
      <w:pPr>
        <w:ind w:left="720"/>
        <w:rPr>
          <w:sz w:val="20"/>
          <w:szCs w:val="20"/>
          <w:rtl/>
        </w:rPr>
      </w:pPr>
      <w:r>
        <w:rPr>
          <w:rFonts w:hint="cs"/>
          <w:sz w:val="20"/>
          <w:szCs w:val="20"/>
          <w:rtl/>
        </w:rPr>
        <w:t>"</w:t>
      </w:r>
      <w:r w:rsidRPr="00F50F09">
        <w:rPr>
          <w:rFonts w:hint="cs"/>
          <w:sz w:val="20"/>
          <w:szCs w:val="20"/>
          <w:rtl/>
        </w:rPr>
        <w:t>סבירות</w:t>
      </w:r>
      <w:r>
        <w:rPr>
          <w:rFonts w:hint="cs"/>
          <w:sz w:val="20"/>
          <w:szCs w:val="20"/>
          <w:rtl/>
        </w:rPr>
        <w:t>"</w:t>
      </w:r>
      <w:r w:rsidRPr="00F50F09">
        <w:rPr>
          <w:rFonts w:hint="cs"/>
          <w:sz w:val="20"/>
          <w:szCs w:val="20"/>
          <w:rtl/>
        </w:rPr>
        <w:t xml:space="preserve"> ו</w:t>
      </w:r>
      <w:r>
        <w:rPr>
          <w:rFonts w:hint="cs"/>
          <w:sz w:val="20"/>
          <w:szCs w:val="20"/>
          <w:rtl/>
        </w:rPr>
        <w:t>"</w:t>
      </w:r>
      <w:r w:rsidRPr="00F50F09">
        <w:rPr>
          <w:rFonts w:hint="cs"/>
          <w:sz w:val="20"/>
          <w:szCs w:val="20"/>
          <w:rtl/>
        </w:rPr>
        <w:t>מידתיות</w:t>
      </w:r>
      <w:r>
        <w:rPr>
          <w:rFonts w:hint="cs"/>
          <w:sz w:val="20"/>
          <w:szCs w:val="20"/>
          <w:rtl/>
        </w:rPr>
        <w:t>"</w:t>
      </w:r>
    </w:p>
    <w:p w:rsidR="005366A8" w:rsidRPr="00F50F09" w:rsidRDefault="005366A8" w:rsidP="005366A8">
      <w:pPr>
        <w:spacing w:after="120"/>
        <w:ind w:left="720"/>
        <w:rPr>
          <w:sz w:val="20"/>
          <w:szCs w:val="20"/>
          <w:rtl/>
        </w:rPr>
      </w:pPr>
      <w:r w:rsidRPr="00F50F09">
        <w:rPr>
          <w:rFonts w:hint="cs"/>
          <w:sz w:val="20"/>
          <w:szCs w:val="20"/>
          <w:rtl/>
        </w:rPr>
        <w:t>איסור הפליה</w:t>
      </w:r>
      <w:r>
        <w:rPr>
          <w:rFonts w:hint="cs"/>
          <w:sz w:val="20"/>
          <w:szCs w:val="20"/>
          <w:rtl/>
        </w:rPr>
        <w:t xml:space="preserve"> [...]</w:t>
      </w:r>
    </w:p>
    <w:p w:rsidR="005366A8" w:rsidRPr="00F50F09" w:rsidRDefault="005366A8" w:rsidP="005366A8">
      <w:pPr>
        <w:rPr>
          <w:b/>
          <w:bCs/>
          <w:sz w:val="20"/>
          <w:szCs w:val="20"/>
          <w:rtl/>
        </w:rPr>
      </w:pPr>
      <w:r>
        <w:rPr>
          <w:rFonts w:hint="cs"/>
          <w:b/>
          <w:bCs/>
          <w:sz w:val="20"/>
          <w:szCs w:val="20"/>
          <w:highlight w:val="yellow"/>
          <w:rtl/>
        </w:rPr>
        <w:t xml:space="preserve">ב4. </w:t>
      </w:r>
      <w:r w:rsidRPr="00907699">
        <w:rPr>
          <w:rFonts w:hint="cs"/>
          <w:b/>
          <w:bCs/>
          <w:sz w:val="20"/>
          <w:szCs w:val="20"/>
          <w:highlight w:val="yellow"/>
          <w:rtl/>
        </w:rPr>
        <w:t>סוגיות מיוחדות בתחום המשפט המינהלי</w:t>
      </w:r>
    </w:p>
    <w:p w:rsidR="005366A8" w:rsidRDefault="005366A8" w:rsidP="005366A8">
      <w:pPr>
        <w:ind w:left="720"/>
        <w:rPr>
          <w:sz w:val="20"/>
          <w:szCs w:val="20"/>
          <w:rtl/>
        </w:rPr>
      </w:pPr>
      <w:r w:rsidRPr="00F50F09">
        <w:rPr>
          <w:rFonts w:hint="cs"/>
          <w:sz w:val="20"/>
          <w:szCs w:val="20"/>
          <w:rtl/>
        </w:rPr>
        <w:t xml:space="preserve">שינוי וביטול </w:t>
      </w:r>
      <w:r>
        <w:rPr>
          <w:rFonts w:hint="cs"/>
          <w:sz w:val="20"/>
          <w:szCs w:val="20"/>
          <w:rtl/>
        </w:rPr>
        <w:t xml:space="preserve">של </w:t>
      </w:r>
      <w:r w:rsidRPr="00F50F09">
        <w:rPr>
          <w:rFonts w:hint="cs"/>
          <w:sz w:val="20"/>
          <w:szCs w:val="20"/>
          <w:rtl/>
        </w:rPr>
        <w:t xml:space="preserve">החלטה </w:t>
      </w:r>
      <w:r>
        <w:rPr>
          <w:rFonts w:hint="cs"/>
          <w:sz w:val="20"/>
          <w:szCs w:val="20"/>
          <w:rtl/>
        </w:rPr>
        <w:t xml:space="preserve">מינהלית </w:t>
      </w:r>
      <w:r w:rsidRPr="00F50F09">
        <w:rPr>
          <w:rFonts w:hint="cs"/>
          <w:sz w:val="20"/>
          <w:szCs w:val="20"/>
          <w:rtl/>
        </w:rPr>
        <w:t>קודמת</w:t>
      </w:r>
      <w:r>
        <w:rPr>
          <w:rFonts w:hint="cs"/>
          <w:sz w:val="20"/>
          <w:szCs w:val="20"/>
          <w:rtl/>
        </w:rPr>
        <w:t xml:space="preserve">; </w:t>
      </w:r>
    </w:p>
    <w:p w:rsidR="005366A8" w:rsidRDefault="005366A8" w:rsidP="005366A8">
      <w:pPr>
        <w:ind w:left="720"/>
        <w:rPr>
          <w:sz w:val="20"/>
          <w:szCs w:val="20"/>
          <w:rtl/>
        </w:rPr>
      </w:pPr>
      <w:r>
        <w:rPr>
          <w:rFonts w:hint="cs"/>
          <w:sz w:val="20"/>
          <w:szCs w:val="20"/>
          <w:rtl/>
        </w:rPr>
        <w:t>"</w:t>
      </w:r>
      <w:r w:rsidRPr="00F50F09">
        <w:rPr>
          <w:rFonts w:hint="cs"/>
          <w:sz w:val="20"/>
          <w:szCs w:val="20"/>
          <w:rtl/>
        </w:rPr>
        <w:t>ה</w:t>
      </w:r>
      <w:r>
        <w:rPr>
          <w:rFonts w:hint="cs"/>
          <w:sz w:val="20"/>
          <w:szCs w:val="20"/>
          <w:rtl/>
        </w:rPr>
        <w:t xml:space="preserve">בטחות </w:t>
      </w:r>
      <w:r w:rsidRPr="00F50F09">
        <w:rPr>
          <w:rFonts w:hint="cs"/>
          <w:sz w:val="20"/>
          <w:szCs w:val="20"/>
          <w:rtl/>
        </w:rPr>
        <w:t>שלטוניות</w:t>
      </w:r>
      <w:r>
        <w:rPr>
          <w:rFonts w:hint="cs"/>
          <w:sz w:val="20"/>
          <w:szCs w:val="20"/>
          <w:rtl/>
        </w:rPr>
        <w:t xml:space="preserve">"; </w:t>
      </w:r>
    </w:p>
    <w:p w:rsidR="005366A8" w:rsidRDefault="005366A8" w:rsidP="005366A8">
      <w:pPr>
        <w:ind w:left="720"/>
        <w:rPr>
          <w:sz w:val="20"/>
          <w:szCs w:val="20"/>
          <w:rtl/>
        </w:rPr>
      </w:pPr>
      <w:r>
        <w:rPr>
          <w:rFonts w:hint="cs"/>
          <w:sz w:val="20"/>
          <w:szCs w:val="20"/>
          <w:rtl/>
        </w:rPr>
        <w:t>"</w:t>
      </w:r>
      <w:r w:rsidRPr="00F50F09">
        <w:rPr>
          <w:rFonts w:hint="cs"/>
          <w:sz w:val="20"/>
          <w:szCs w:val="20"/>
          <w:rtl/>
        </w:rPr>
        <w:t>השתק</w:t>
      </w:r>
      <w:r>
        <w:rPr>
          <w:rFonts w:hint="cs"/>
          <w:sz w:val="20"/>
          <w:szCs w:val="20"/>
          <w:rtl/>
        </w:rPr>
        <w:t>"</w:t>
      </w:r>
      <w:r w:rsidRPr="00F50F09">
        <w:rPr>
          <w:rFonts w:hint="cs"/>
          <w:sz w:val="20"/>
          <w:szCs w:val="20"/>
          <w:rtl/>
        </w:rPr>
        <w:t xml:space="preserve"> של רשות</w:t>
      </w:r>
      <w:r>
        <w:rPr>
          <w:rFonts w:hint="cs"/>
          <w:sz w:val="20"/>
          <w:szCs w:val="20"/>
          <w:rtl/>
        </w:rPr>
        <w:t xml:space="preserve">; </w:t>
      </w:r>
    </w:p>
    <w:p w:rsidR="005366A8" w:rsidRDefault="005366A8" w:rsidP="005366A8">
      <w:pPr>
        <w:ind w:left="720"/>
        <w:rPr>
          <w:sz w:val="20"/>
          <w:szCs w:val="20"/>
          <w:rtl/>
        </w:rPr>
      </w:pPr>
      <w:r w:rsidRPr="00F50F09">
        <w:rPr>
          <w:rFonts w:hint="cs"/>
          <w:sz w:val="20"/>
          <w:szCs w:val="20"/>
          <w:rtl/>
        </w:rPr>
        <w:t>חוזים מינהליים</w:t>
      </w:r>
      <w:r>
        <w:rPr>
          <w:rFonts w:hint="cs"/>
          <w:sz w:val="20"/>
          <w:szCs w:val="20"/>
          <w:rtl/>
        </w:rPr>
        <w:t xml:space="preserve"> (= חוזי רשות, </w:t>
      </w:r>
      <w:r w:rsidRPr="00F50F09">
        <w:rPr>
          <w:rFonts w:hint="cs"/>
          <w:sz w:val="20"/>
          <w:szCs w:val="20"/>
          <w:rtl/>
        </w:rPr>
        <w:t>הסכמים שלטוניים</w:t>
      </w:r>
      <w:r>
        <w:rPr>
          <w:rFonts w:hint="cs"/>
          <w:sz w:val="20"/>
          <w:szCs w:val="20"/>
          <w:rtl/>
        </w:rPr>
        <w:t>)</w:t>
      </w:r>
      <w:r w:rsidRPr="00F50F09">
        <w:rPr>
          <w:rFonts w:hint="cs"/>
          <w:sz w:val="20"/>
          <w:szCs w:val="20"/>
          <w:rtl/>
        </w:rPr>
        <w:t xml:space="preserve"> </w:t>
      </w:r>
      <w:r w:rsidRPr="00F50F09">
        <w:rPr>
          <w:sz w:val="20"/>
          <w:szCs w:val="20"/>
          <w:rtl/>
        </w:rPr>
        <w:t>–</w:t>
      </w:r>
      <w:r w:rsidRPr="00F50F09">
        <w:rPr>
          <w:rFonts w:hint="cs"/>
          <w:sz w:val="20"/>
          <w:szCs w:val="20"/>
          <w:rtl/>
        </w:rPr>
        <w:t xml:space="preserve"> "דואליות נורמטיבית"</w:t>
      </w:r>
    </w:p>
    <w:p w:rsidR="005366A8" w:rsidRPr="00F50F09" w:rsidRDefault="005366A8" w:rsidP="005366A8">
      <w:pPr>
        <w:ind w:left="720"/>
        <w:rPr>
          <w:sz w:val="20"/>
          <w:szCs w:val="20"/>
          <w:rtl/>
        </w:rPr>
      </w:pPr>
      <w:r w:rsidRPr="00F50F09">
        <w:rPr>
          <w:rFonts w:hint="cs"/>
          <w:sz w:val="20"/>
          <w:szCs w:val="20"/>
          <w:rtl/>
        </w:rPr>
        <w:t>תחולת המשפט הציבורי על גופים לא</w:t>
      </w:r>
      <w:r>
        <w:rPr>
          <w:rFonts w:hint="cs"/>
          <w:sz w:val="20"/>
          <w:szCs w:val="20"/>
          <w:rtl/>
        </w:rPr>
        <w:t>-</w:t>
      </w:r>
      <w:r w:rsidRPr="00F50F09">
        <w:rPr>
          <w:rFonts w:hint="cs"/>
          <w:sz w:val="20"/>
          <w:szCs w:val="20"/>
          <w:rtl/>
        </w:rPr>
        <w:t>שלטוניים (גופים "דו-מהותיים")</w:t>
      </w:r>
    </w:p>
    <w:p w:rsidR="005366A8" w:rsidRPr="00F50F09" w:rsidRDefault="005366A8" w:rsidP="005366A8">
      <w:pPr>
        <w:rPr>
          <w:sz w:val="20"/>
          <w:szCs w:val="20"/>
          <w:rtl/>
        </w:rPr>
      </w:pPr>
    </w:p>
    <w:p w:rsidR="005366A8" w:rsidRPr="00396547" w:rsidRDefault="005366A8" w:rsidP="005366A8">
      <w:pPr>
        <w:spacing w:after="240"/>
        <w:rPr>
          <w:rFonts w:ascii="Arial" w:hAnsi="Arial" w:cs="Arial"/>
          <w:b/>
          <w:bCs/>
          <w:sz w:val="22"/>
          <w:szCs w:val="22"/>
          <w:u w:val="single"/>
          <w:rtl/>
        </w:rPr>
      </w:pPr>
      <w:r w:rsidRPr="00396547">
        <w:rPr>
          <w:rFonts w:ascii="Arial" w:hAnsi="Arial" w:cs="Arial" w:hint="cs"/>
          <w:u w:val="single"/>
          <w:rtl/>
        </w:rPr>
        <w:t>ג. ואז נשוב לדיון משלב (אינטגרטיבי) של משפט חוקתי ומשפט מינהלי, דרך עיסוק נוסף "בזכויות האדם"</w:t>
      </w:r>
    </w:p>
    <w:p w:rsidR="005366A8" w:rsidRPr="00527D6F" w:rsidRDefault="005366A8" w:rsidP="005366A8">
      <w:pPr>
        <w:spacing w:after="120"/>
        <w:rPr>
          <w:rFonts w:ascii="Arial" w:hAnsi="Arial" w:cs="Arial"/>
          <w:b/>
          <w:bCs/>
          <w:sz w:val="22"/>
          <w:szCs w:val="22"/>
          <w:rtl/>
        </w:rPr>
      </w:pPr>
      <w:r>
        <w:rPr>
          <w:rFonts w:ascii="Arial" w:hAnsi="Arial" w:cs="Arial" w:hint="cs"/>
          <w:b/>
          <w:bCs/>
          <w:sz w:val="22"/>
          <w:szCs w:val="22"/>
          <w:rtl/>
        </w:rPr>
        <w:t xml:space="preserve">נשוב לסדרת פגישות שעניינן </w:t>
      </w:r>
      <w:r w:rsidRPr="00527D6F">
        <w:rPr>
          <w:rFonts w:ascii="Arial" w:hAnsi="Arial" w:cs="Arial"/>
          <w:b/>
          <w:bCs/>
          <w:sz w:val="22"/>
          <w:szCs w:val="22"/>
          <w:rtl/>
        </w:rPr>
        <w:t>דיון</w:t>
      </w:r>
      <w:r>
        <w:rPr>
          <w:rFonts w:ascii="Arial" w:hAnsi="Arial" w:cs="Arial" w:hint="cs"/>
          <w:b/>
          <w:bCs/>
          <w:sz w:val="22"/>
          <w:szCs w:val="22"/>
          <w:rtl/>
        </w:rPr>
        <w:t xml:space="preserve"> מפורט</w:t>
      </w:r>
      <w:r w:rsidRPr="00527D6F">
        <w:rPr>
          <w:rFonts w:ascii="Arial" w:hAnsi="Arial" w:cs="Arial"/>
          <w:b/>
          <w:bCs/>
          <w:sz w:val="22"/>
          <w:szCs w:val="22"/>
          <w:rtl/>
        </w:rPr>
        <w:t xml:space="preserve"> </w:t>
      </w:r>
      <w:r w:rsidRPr="00B9454C">
        <w:rPr>
          <w:rFonts w:ascii="Arial" w:hAnsi="Arial" w:cs="Arial" w:hint="cs"/>
          <w:b/>
          <w:bCs/>
          <w:sz w:val="22"/>
          <w:szCs w:val="22"/>
          <w:highlight w:val="yellow"/>
          <w:u w:val="single"/>
          <w:rtl/>
        </w:rPr>
        <w:t>בזכויות האדם</w:t>
      </w:r>
      <w:r w:rsidRPr="00B9454C">
        <w:rPr>
          <w:rFonts w:ascii="Arial" w:hAnsi="Arial" w:cs="Arial" w:hint="cs"/>
          <w:b/>
          <w:bCs/>
          <w:sz w:val="22"/>
          <w:szCs w:val="22"/>
          <w:highlight w:val="yellow"/>
          <w:rtl/>
        </w:rPr>
        <w:t>,</w:t>
      </w:r>
      <w:r>
        <w:rPr>
          <w:rFonts w:ascii="Arial" w:hAnsi="Arial" w:cs="Arial" w:hint="cs"/>
          <w:b/>
          <w:bCs/>
          <w:sz w:val="22"/>
          <w:szCs w:val="22"/>
          <w:rtl/>
        </w:rPr>
        <w:t xml:space="preserve"> אך הפעם לא נעסיק את עצמנו רק בשאלת מעמדן החוקתי ומשמעותו, אלא ננסה לרדת יותר לעומק תוכנן ולהבין את גבולותיהן</w:t>
      </w:r>
      <w:r w:rsidRPr="00527D6F">
        <w:rPr>
          <w:rFonts w:ascii="Arial" w:hAnsi="Arial" w:cs="Arial"/>
          <w:b/>
          <w:bCs/>
          <w:sz w:val="22"/>
          <w:szCs w:val="22"/>
          <w:rtl/>
        </w:rPr>
        <w:t xml:space="preserve"> </w:t>
      </w:r>
      <w:r>
        <w:rPr>
          <w:rFonts w:ascii="Arial" w:hAnsi="Arial" w:cs="Arial" w:hint="cs"/>
          <w:b/>
          <w:bCs/>
          <w:sz w:val="22"/>
          <w:szCs w:val="22"/>
          <w:rtl/>
        </w:rPr>
        <w:t xml:space="preserve">הקונקרטיים </w:t>
      </w:r>
      <w:r w:rsidRPr="00527D6F">
        <w:rPr>
          <w:rFonts w:ascii="Arial" w:hAnsi="Arial" w:cs="Arial"/>
          <w:b/>
          <w:bCs/>
          <w:sz w:val="22"/>
          <w:szCs w:val="22"/>
          <w:rtl/>
        </w:rPr>
        <w:t xml:space="preserve">במשפט </w:t>
      </w:r>
      <w:r>
        <w:rPr>
          <w:rFonts w:ascii="Arial" w:hAnsi="Arial" w:cs="Arial" w:hint="cs"/>
          <w:b/>
          <w:bCs/>
          <w:sz w:val="22"/>
          <w:szCs w:val="22"/>
          <w:rtl/>
        </w:rPr>
        <w:t>הציבורי של ישראל</w:t>
      </w:r>
    </w:p>
    <w:p w:rsidR="005366A8" w:rsidRDefault="005366A8" w:rsidP="005366A8">
      <w:pPr>
        <w:ind w:left="720"/>
        <w:rPr>
          <w:sz w:val="20"/>
          <w:szCs w:val="20"/>
          <w:rtl/>
        </w:rPr>
      </w:pPr>
      <w:r>
        <w:rPr>
          <w:rFonts w:hint="cs"/>
          <w:sz w:val="20"/>
          <w:szCs w:val="20"/>
          <w:rtl/>
        </w:rPr>
        <w:t xml:space="preserve">מדובר בפרק מקיף, שיעסוק בסוגיות הבאות: </w:t>
      </w:r>
    </w:p>
    <w:p w:rsidR="005366A8" w:rsidRDefault="005366A8" w:rsidP="005366A8">
      <w:pPr>
        <w:ind w:left="1440"/>
        <w:rPr>
          <w:sz w:val="20"/>
          <w:szCs w:val="20"/>
          <w:rtl/>
        </w:rPr>
      </w:pPr>
      <w:r w:rsidRPr="00F50F09">
        <w:rPr>
          <w:rFonts w:hint="cs"/>
          <w:sz w:val="20"/>
          <w:szCs w:val="20"/>
          <w:rtl/>
        </w:rPr>
        <w:t xml:space="preserve">סוגי </w:t>
      </w:r>
      <w:r>
        <w:rPr>
          <w:rFonts w:hint="cs"/>
          <w:sz w:val="20"/>
          <w:szCs w:val="20"/>
          <w:rtl/>
        </w:rPr>
        <w:t>ה</w:t>
      </w:r>
      <w:r w:rsidRPr="00F50F09">
        <w:rPr>
          <w:rFonts w:hint="cs"/>
          <w:sz w:val="20"/>
          <w:szCs w:val="20"/>
          <w:rtl/>
        </w:rPr>
        <w:t xml:space="preserve">מעמד </w:t>
      </w:r>
      <w:r>
        <w:rPr>
          <w:rFonts w:hint="cs"/>
          <w:sz w:val="20"/>
          <w:szCs w:val="20"/>
          <w:rtl/>
        </w:rPr>
        <w:t>ה</w:t>
      </w:r>
      <w:r w:rsidRPr="00F50F09">
        <w:rPr>
          <w:rFonts w:hint="cs"/>
          <w:sz w:val="20"/>
          <w:szCs w:val="20"/>
          <w:rtl/>
        </w:rPr>
        <w:t>אזרחי</w:t>
      </w:r>
      <w:r>
        <w:rPr>
          <w:rFonts w:hint="cs"/>
          <w:sz w:val="20"/>
          <w:szCs w:val="20"/>
          <w:rtl/>
        </w:rPr>
        <w:t xml:space="preserve"> של בני אדם בישראל; </w:t>
      </w:r>
    </w:p>
    <w:p w:rsidR="005366A8" w:rsidRDefault="005366A8" w:rsidP="005366A8">
      <w:pPr>
        <w:ind w:left="1440"/>
        <w:rPr>
          <w:sz w:val="20"/>
          <w:szCs w:val="20"/>
          <w:rtl/>
        </w:rPr>
      </w:pPr>
      <w:r>
        <w:rPr>
          <w:rFonts w:hint="cs"/>
          <w:sz w:val="20"/>
          <w:szCs w:val="20"/>
          <w:rtl/>
        </w:rPr>
        <w:t xml:space="preserve">סמכויות </w:t>
      </w:r>
      <w:r w:rsidRPr="00F50F09">
        <w:rPr>
          <w:rFonts w:hint="cs"/>
          <w:sz w:val="20"/>
          <w:szCs w:val="20"/>
          <w:rtl/>
        </w:rPr>
        <w:t>שעת חירום</w:t>
      </w:r>
      <w:r>
        <w:rPr>
          <w:rFonts w:hint="cs"/>
          <w:sz w:val="20"/>
          <w:szCs w:val="20"/>
          <w:rtl/>
        </w:rPr>
        <w:t xml:space="preserve">; </w:t>
      </w:r>
    </w:p>
    <w:p w:rsidR="005366A8" w:rsidRDefault="005366A8" w:rsidP="005366A8">
      <w:pPr>
        <w:ind w:left="1440"/>
        <w:rPr>
          <w:sz w:val="20"/>
          <w:szCs w:val="20"/>
          <w:rtl/>
        </w:rPr>
      </w:pPr>
      <w:r>
        <w:rPr>
          <w:rFonts w:hint="cs"/>
          <w:sz w:val="20"/>
          <w:szCs w:val="20"/>
          <w:rtl/>
        </w:rPr>
        <w:t xml:space="preserve">הדין בשטחים הכבושים; </w:t>
      </w:r>
    </w:p>
    <w:p w:rsidR="005366A8" w:rsidRDefault="005366A8" w:rsidP="005366A8">
      <w:pPr>
        <w:ind w:left="1440"/>
        <w:rPr>
          <w:sz w:val="20"/>
          <w:szCs w:val="20"/>
          <w:rtl/>
        </w:rPr>
      </w:pPr>
      <w:r w:rsidRPr="00F50F09">
        <w:rPr>
          <w:rFonts w:hint="cs"/>
          <w:sz w:val="20"/>
          <w:szCs w:val="20"/>
          <w:rtl/>
        </w:rPr>
        <w:t>הזכות לבחור ולהיבחר</w:t>
      </w:r>
      <w:r>
        <w:rPr>
          <w:rFonts w:hint="cs"/>
          <w:sz w:val="20"/>
          <w:szCs w:val="20"/>
          <w:rtl/>
        </w:rPr>
        <w:t xml:space="preserve">; </w:t>
      </w:r>
    </w:p>
    <w:p w:rsidR="005366A8" w:rsidRDefault="005366A8" w:rsidP="005366A8">
      <w:pPr>
        <w:ind w:left="1440"/>
        <w:rPr>
          <w:sz w:val="20"/>
          <w:szCs w:val="20"/>
          <w:rtl/>
        </w:rPr>
      </w:pPr>
      <w:r w:rsidRPr="00F50F09">
        <w:rPr>
          <w:rFonts w:hint="cs"/>
          <w:sz w:val="20"/>
          <w:szCs w:val="20"/>
          <w:rtl/>
        </w:rPr>
        <w:t>חופש הביטוי וזכות ההפגנה</w:t>
      </w:r>
      <w:r>
        <w:rPr>
          <w:rFonts w:hint="cs"/>
          <w:sz w:val="20"/>
          <w:szCs w:val="20"/>
          <w:rtl/>
        </w:rPr>
        <w:t xml:space="preserve">; </w:t>
      </w:r>
    </w:p>
    <w:p w:rsidR="005366A8" w:rsidRDefault="005366A8" w:rsidP="005366A8">
      <w:pPr>
        <w:ind w:left="1440"/>
        <w:rPr>
          <w:sz w:val="20"/>
          <w:szCs w:val="20"/>
          <w:rtl/>
        </w:rPr>
      </w:pPr>
      <w:r w:rsidRPr="00F50F09">
        <w:rPr>
          <w:rFonts w:hint="cs"/>
          <w:sz w:val="20"/>
          <w:szCs w:val="20"/>
          <w:rtl/>
        </w:rPr>
        <w:t>חופש הדת והמצפון</w:t>
      </w:r>
      <w:r>
        <w:rPr>
          <w:rFonts w:hint="cs"/>
          <w:sz w:val="20"/>
          <w:szCs w:val="20"/>
          <w:rtl/>
        </w:rPr>
        <w:t xml:space="preserve">; </w:t>
      </w:r>
    </w:p>
    <w:p w:rsidR="005366A8" w:rsidRDefault="005366A8" w:rsidP="005366A8">
      <w:pPr>
        <w:ind w:left="1440"/>
        <w:rPr>
          <w:sz w:val="20"/>
          <w:szCs w:val="20"/>
          <w:rtl/>
        </w:rPr>
      </w:pPr>
      <w:r>
        <w:rPr>
          <w:rFonts w:hint="cs"/>
          <w:sz w:val="20"/>
          <w:szCs w:val="20"/>
          <w:rtl/>
        </w:rPr>
        <w:t>הזכות ל</w:t>
      </w:r>
      <w:r w:rsidRPr="00F50F09">
        <w:rPr>
          <w:rFonts w:hint="cs"/>
          <w:sz w:val="20"/>
          <w:szCs w:val="20"/>
          <w:rtl/>
        </w:rPr>
        <w:t>שוויון</w:t>
      </w:r>
      <w:r>
        <w:rPr>
          <w:rFonts w:hint="cs"/>
          <w:sz w:val="20"/>
          <w:szCs w:val="20"/>
          <w:rtl/>
        </w:rPr>
        <w:t xml:space="preserve">; </w:t>
      </w:r>
    </w:p>
    <w:p w:rsidR="005366A8" w:rsidRPr="00F50F09" w:rsidRDefault="005366A8" w:rsidP="005366A8">
      <w:pPr>
        <w:ind w:left="1440"/>
        <w:rPr>
          <w:sz w:val="20"/>
          <w:szCs w:val="20"/>
          <w:rtl/>
        </w:rPr>
      </w:pPr>
      <w:r>
        <w:rPr>
          <w:rFonts w:hint="cs"/>
          <w:sz w:val="20"/>
          <w:szCs w:val="20"/>
          <w:rtl/>
        </w:rPr>
        <w:t>זכויות חברתיות.</w:t>
      </w:r>
    </w:p>
    <w:p w:rsidR="005366A8" w:rsidRDefault="005366A8" w:rsidP="005366A8">
      <w:pPr>
        <w:rPr>
          <w:rFonts w:ascii="Arial" w:hAnsi="Arial" w:cs="Arial"/>
          <w:b/>
          <w:bCs/>
          <w:sz w:val="20"/>
          <w:szCs w:val="20"/>
          <w:rtl/>
        </w:rPr>
      </w:pPr>
    </w:p>
    <w:p w:rsidR="005366A8" w:rsidRPr="00396547" w:rsidRDefault="005366A8" w:rsidP="005366A8">
      <w:pPr>
        <w:spacing w:after="240"/>
        <w:rPr>
          <w:rFonts w:ascii="Arial" w:hAnsi="Arial" w:cs="Arial"/>
          <w:b/>
          <w:bCs/>
          <w:sz w:val="20"/>
          <w:szCs w:val="20"/>
          <w:u w:val="single"/>
          <w:rtl/>
        </w:rPr>
      </w:pPr>
      <w:r w:rsidRPr="00396547">
        <w:rPr>
          <w:rFonts w:ascii="Arial" w:hAnsi="Arial" w:cs="Arial" w:hint="cs"/>
          <w:u w:val="single"/>
          <w:rtl/>
        </w:rPr>
        <w:t>ד. סעדים וסמכויות שיפוט של בתי המשפט העוסקים במשפט הציבורי</w:t>
      </w:r>
    </w:p>
    <w:p w:rsidR="005366A8" w:rsidRPr="004A4AD9" w:rsidRDefault="005366A8" w:rsidP="005366A8">
      <w:pPr>
        <w:rPr>
          <w:rFonts w:ascii="Arial" w:hAnsi="Arial" w:cs="Arial"/>
          <w:b/>
          <w:bCs/>
          <w:sz w:val="20"/>
          <w:szCs w:val="20"/>
          <w:rtl/>
        </w:rPr>
      </w:pPr>
      <w:r>
        <w:rPr>
          <w:rFonts w:ascii="Arial" w:hAnsi="Arial" w:cs="Arial" w:hint="cs"/>
          <w:b/>
          <w:bCs/>
          <w:sz w:val="20"/>
          <w:szCs w:val="20"/>
          <w:rtl/>
        </w:rPr>
        <w:t xml:space="preserve">נמשיך עם דיון קצר </w:t>
      </w:r>
      <w:r w:rsidRPr="00B9454C">
        <w:rPr>
          <w:rFonts w:ascii="Arial" w:hAnsi="Arial" w:cs="Arial" w:hint="cs"/>
          <w:b/>
          <w:bCs/>
          <w:sz w:val="20"/>
          <w:szCs w:val="20"/>
          <w:highlight w:val="yellow"/>
          <w:u w:val="single"/>
          <w:rtl/>
        </w:rPr>
        <w:t>בסעדים (בתרופות)</w:t>
      </w:r>
      <w:r w:rsidRPr="00636EE3">
        <w:rPr>
          <w:rFonts w:ascii="Arial" w:hAnsi="Arial" w:cs="Arial" w:hint="cs"/>
          <w:b/>
          <w:bCs/>
          <w:sz w:val="20"/>
          <w:szCs w:val="20"/>
          <w:rtl/>
        </w:rPr>
        <w:t xml:space="preserve"> על הפרת כללים של המשפט הציבורי</w:t>
      </w:r>
    </w:p>
    <w:p w:rsidR="005366A8" w:rsidRDefault="005366A8" w:rsidP="005366A8">
      <w:pPr>
        <w:ind w:left="720"/>
        <w:rPr>
          <w:b/>
          <w:bCs/>
          <w:sz w:val="20"/>
          <w:szCs w:val="20"/>
          <w:rtl/>
        </w:rPr>
      </w:pPr>
      <w:r w:rsidRPr="00876D28">
        <w:rPr>
          <w:sz w:val="20"/>
          <w:szCs w:val="20"/>
          <w:rtl/>
        </w:rPr>
        <w:t xml:space="preserve">בהנחה שהרשות אכן הפרה חובות המוטלות עליה במשפט הציבורי – </w:t>
      </w:r>
      <w:r w:rsidRPr="00876D28">
        <w:rPr>
          <w:b/>
          <w:bCs/>
          <w:sz w:val="20"/>
          <w:szCs w:val="20"/>
          <w:rtl/>
        </w:rPr>
        <w:t xml:space="preserve">מהן תוצאות ההפרה של כללי המשפט הציבורי – </w:t>
      </w:r>
    </w:p>
    <w:p w:rsidR="005366A8" w:rsidRDefault="005366A8" w:rsidP="005366A8">
      <w:pPr>
        <w:ind w:left="1440"/>
        <w:rPr>
          <w:sz w:val="20"/>
          <w:szCs w:val="20"/>
          <w:rtl/>
        </w:rPr>
      </w:pPr>
      <w:r w:rsidRPr="00876D28">
        <w:rPr>
          <w:b/>
          <w:bCs/>
          <w:sz w:val="20"/>
          <w:szCs w:val="20"/>
          <w:rtl/>
        </w:rPr>
        <w:t>האם יינתן סעד, ואם כן, איזה</w:t>
      </w:r>
      <w:r>
        <w:rPr>
          <w:rFonts w:hint="cs"/>
          <w:b/>
          <w:bCs/>
          <w:sz w:val="20"/>
          <w:szCs w:val="20"/>
          <w:rtl/>
        </w:rPr>
        <w:t xml:space="preserve">? </w:t>
      </w:r>
      <w:r w:rsidRPr="00F50F09">
        <w:rPr>
          <w:rFonts w:hint="cs"/>
          <w:sz w:val="20"/>
          <w:szCs w:val="20"/>
          <w:rtl/>
        </w:rPr>
        <w:t>דוקטרינת "הבטלות היחסית"</w:t>
      </w:r>
    </w:p>
    <w:p w:rsidR="005366A8" w:rsidRPr="00F50F09" w:rsidRDefault="005366A8" w:rsidP="005366A8">
      <w:pPr>
        <w:rPr>
          <w:sz w:val="20"/>
          <w:szCs w:val="20"/>
          <w:rtl/>
        </w:rPr>
      </w:pPr>
    </w:p>
    <w:p w:rsidR="005366A8" w:rsidRPr="00F50F09" w:rsidRDefault="005366A8" w:rsidP="005366A8">
      <w:pPr>
        <w:rPr>
          <w:b/>
          <w:bCs/>
          <w:sz w:val="20"/>
          <w:szCs w:val="20"/>
          <w:rtl/>
        </w:rPr>
      </w:pPr>
      <w:r>
        <w:rPr>
          <w:rFonts w:ascii="Arial" w:hAnsi="Arial" w:cs="Arial" w:hint="cs"/>
          <w:b/>
          <w:bCs/>
          <w:sz w:val="20"/>
          <w:szCs w:val="20"/>
          <w:rtl/>
        </w:rPr>
        <w:t xml:space="preserve">נסיים את הקורס בדיון קצר </w:t>
      </w:r>
      <w:r w:rsidRPr="00B9454C">
        <w:rPr>
          <w:rFonts w:ascii="Arial" w:hAnsi="Arial" w:cs="Arial" w:hint="cs"/>
          <w:b/>
          <w:bCs/>
          <w:sz w:val="20"/>
          <w:szCs w:val="20"/>
          <w:highlight w:val="yellow"/>
          <w:u w:val="single"/>
          <w:rtl/>
        </w:rPr>
        <w:t>ב</w:t>
      </w:r>
      <w:r w:rsidRPr="00B9454C">
        <w:rPr>
          <w:rFonts w:ascii="Arial" w:hAnsi="Arial" w:cs="Arial"/>
          <w:b/>
          <w:bCs/>
          <w:sz w:val="20"/>
          <w:szCs w:val="20"/>
          <w:highlight w:val="yellow"/>
          <w:u w:val="single"/>
          <w:rtl/>
        </w:rPr>
        <w:t>סמכויות השיפוט</w:t>
      </w:r>
      <w:r w:rsidRPr="006F3ED0">
        <w:rPr>
          <w:rFonts w:ascii="Arial" w:hAnsi="Arial" w:cs="Arial"/>
          <w:b/>
          <w:bCs/>
          <w:sz w:val="20"/>
          <w:szCs w:val="20"/>
          <w:rtl/>
        </w:rPr>
        <w:t xml:space="preserve"> </w:t>
      </w:r>
      <w:r w:rsidRPr="00F50F09">
        <w:rPr>
          <w:rFonts w:hint="cs"/>
          <w:b/>
          <w:bCs/>
          <w:sz w:val="20"/>
          <w:szCs w:val="20"/>
          <w:rtl/>
        </w:rPr>
        <w:t xml:space="preserve">בתחום המשפט הציבורי </w:t>
      </w:r>
    </w:p>
    <w:p w:rsidR="005366A8" w:rsidRPr="00F50F09" w:rsidRDefault="005366A8" w:rsidP="005366A8">
      <w:pPr>
        <w:ind w:left="720"/>
        <w:rPr>
          <w:sz w:val="20"/>
          <w:szCs w:val="20"/>
          <w:rtl/>
        </w:rPr>
      </w:pPr>
      <w:r w:rsidRPr="002646EB">
        <w:rPr>
          <w:rFonts w:hint="cs"/>
          <w:b/>
          <w:bCs/>
          <w:sz w:val="20"/>
          <w:szCs w:val="20"/>
          <w:rtl/>
        </w:rPr>
        <w:t xml:space="preserve">מיהם בתי המשפט </w:t>
      </w:r>
      <w:r w:rsidRPr="00F50F09">
        <w:rPr>
          <w:rFonts w:hint="cs"/>
          <w:sz w:val="20"/>
          <w:szCs w:val="20"/>
          <w:rtl/>
        </w:rPr>
        <w:t>שמפעילים ביקורת שיפוטית על רשויות המינהל</w:t>
      </w:r>
      <w:r>
        <w:rPr>
          <w:rFonts w:hint="cs"/>
          <w:sz w:val="20"/>
          <w:szCs w:val="20"/>
          <w:rtl/>
        </w:rPr>
        <w:t>,</w:t>
      </w:r>
      <w:r w:rsidRPr="00F50F09">
        <w:rPr>
          <w:rFonts w:hint="cs"/>
          <w:sz w:val="20"/>
          <w:szCs w:val="20"/>
          <w:rtl/>
        </w:rPr>
        <w:t xml:space="preserve"> ו</w:t>
      </w:r>
      <w:r>
        <w:rPr>
          <w:rFonts w:hint="cs"/>
          <w:sz w:val="20"/>
          <w:szCs w:val="20"/>
          <w:rtl/>
        </w:rPr>
        <w:t xml:space="preserve">מהי </w:t>
      </w:r>
      <w:r w:rsidRPr="00F50F09">
        <w:rPr>
          <w:rFonts w:hint="cs"/>
          <w:sz w:val="20"/>
          <w:szCs w:val="20"/>
          <w:rtl/>
        </w:rPr>
        <w:t>חלוקת הסמכות/ חלוקת התפקידים ביניהם</w:t>
      </w:r>
      <w:r>
        <w:rPr>
          <w:rFonts w:hint="cs"/>
          <w:sz w:val="20"/>
          <w:szCs w:val="20"/>
          <w:rtl/>
        </w:rPr>
        <w:t>;</w:t>
      </w:r>
    </w:p>
    <w:p w:rsidR="005366A8" w:rsidRPr="00F50F09" w:rsidRDefault="005366A8" w:rsidP="005366A8">
      <w:pPr>
        <w:ind w:left="720"/>
        <w:rPr>
          <w:b/>
          <w:bCs/>
          <w:sz w:val="20"/>
          <w:szCs w:val="20"/>
          <w:rtl/>
        </w:rPr>
      </w:pPr>
      <w:r w:rsidRPr="00F50F09">
        <w:rPr>
          <w:rFonts w:hint="cs"/>
          <w:b/>
          <w:bCs/>
          <w:sz w:val="20"/>
          <w:szCs w:val="20"/>
          <w:rtl/>
        </w:rPr>
        <w:t xml:space="preserve">שיקול הדעת של </w:t>
      </w:r>
      <w:r>
        <w:rPr>
          <w:rFonts w:hint="cs"/>
          <w:b/>
          <w:bCs/>
          <w:sz w:val="20"/>
          <w:szCs w:val="20"/>
          <w:rtl/>
        </w:rPr>
        <w:t>בית המשפט</w:t>
      </w:r>
      <w:r w:rsidRPr="00F50F09">
        <w:rPr>
          <w:rFonts w:hint="cs"/>
          <w:b/>
          <w:bCs/>
          <w:sz w:val="20"/>
          <w:szCs w:val="20"/>
          <w:rtl/>
        </w:rPr>
        <w:t xml:space="preserve"> ביחס להפעלת סמכותו</w:t>
      </w:r>
    </w:p>
    <w:p w:rsidR="005366A8" w:rsidRDefault="005366A8" w:rsidP="005366A8">
      <w:pPr>
        <w:ind w:left="1440"/>
        <w:rPr>
          <w:sz w:val="20"/>
          <w:szCs w:val="20"/>
          <w:rtl/>
        </w:rPr>
      </w:pPr>
      <w:r w:rsidRPr="00F50F09">
        <w:rPr>
          <w:rFonts w:hint="cs"/>
          <w:sz w:val="20"/>
          <w:szCs w:val="20"/>
          <w:rtl/>
        </w:rPr>
        <w:t>"עילות הסף" ביחס ל</w:t>
      </w:r>
      <w:r>
        <w:rPr>
          <w:rFonts w:hint="cs"/>
          <w:sz w:val="20"/>
          <w:szCs w:val="20"/>
          <w:rtl/>
        </w:rPr>
        <w:t>הפעלת ה</w:t>
      </w:r>
      <w:r w:rsidRPr="00F50F09">
        <w:rPr>
          <w:rFonts w:hint="cs"/>
          <w:sz w:val="20"/>
          <w:szCs w:val="20"/>
          <w:rtl/>
        </w:rPr>
        <w:t>ביקורת השיפוטית: שפיטות, זכות עמידה, עתירה כללית, ניקיון כפיים, שיהוי</w:t>
      </w:r>
      <w:r>
        <w:rPr>
          <w:rFonts w:hint="cs"/>
          <w:sz w:val="20"/>
          <w:szCs w:val="20"/>
          <w:rtl/>
        </w:rPr>
        <w:t>, אי-בשלות</w:t>
      </w:r>
      <w:r w:rsidRPr="00F50F09">
        <w:rPr>
          <w:rFonts w:hint="cs"/>
          <w:sz w:val="20"/>
          <w:szCs w:val="20"/>
          <w:rtl/>
        </w:rPr>
        <w:t xml:space="preserve"> ועוד</w:t>
      </w:r>
    </w:p>
    <w:p w:rsidR="005366A8" w:rsidRDefault="005366A8" w:rsidP="005366A8">
      <w:pPr>
        <w:ind w:left="720"/>
        <w:rPr>
          <w:sz w:val="20"/>
          <w:szCs w:val="20"/>
          <w:rtl/>
        </w:rPr>
      </w:pPr>
    </w:p>
    <w:p w:rsidR="005366A8" w:rsidRDefault="005366A8" w:rsidP="005366A8">
      <w:pPr>
        <w:rPr>
          <w:rFonts w:ascii="Arial" w:hAnsi="Arial" w:cs="Arial"/>
          <w:b/>
          <w:bCs/>
          <w:u w:val="single"/>
          <w:rtl/>
        </w:rPr>
      </w:pPr>
      <w:r>
        <w:rPr>
          <w:rFonts w:hint="cs"/>
          <w:sz w:val="20"/>
          <w:szCs w:val="20"/>
          <w:rtl/>
        </w:rPr>
        <w:t>=-=</w:t>
      </w:r>
    </w:p>
    <w:p w:rsidR="005366A8" w:rsidRPr="005A210C" w:rsidRDefault="005366A8" w:rsidP="005366A8">
      <w:pPr>
        <w:rPr>
          <w:rFonts w:ascii="Arial" w:hAnsi="Arial" w:cs="Arial"/>
          <w:b/>
          <w:bCs/>
          <w:sz w:val="22"/>
          <w:szCs w:val="22"/>
          <w:highlight w:val="green"/>
          <w:rtl/>
        </w:rPr>
      </w:pPr>
    </w:p>
    <w:p w:rsidR="005366A8" w:rsidRDefault="005366A8" w:rsidP="005366A8">
      <w:pPr>
        <w:spacing w:after="180"/>
        <w:rPr>
          <w:rFonts w:ascii="Arial" w:hAnsi="Arial" w:cs="Arial"/>
          <w:sz w:val="22"/>
          <w:szCs w:val="22"/>
          <w:highlight w:val="yellow"/>
          <w:rtl/>
        </w:rPr>
      </w:pPr>
      <w:r w:rsidRPr="00E72440">
        <w:rPr>
          <w:rFonts w:ascii="Arial" w:hAnsi="Arial" w:cs="Arial" w:hint="cs"/>
          <w:sz w:val="22"/>
          <w:szCs w:val="22"/>
          <w:highlight w:val="yellow"/>
          <w:rtl/>
        </w:rPr>
        <w:t>הבה נתבונן "ממעוף ציפור" על תחומיו של המשפט הציבורי ונראה יותר מקרוב את חלקו של "המשפט המינהלי" בתוכו.</w:t>
      </w:r>
    </w:p>
    <w:p w:rsidR="005366A8" w:rsidRPr="0097201A" w:rsidRDefault="005366A8" w:rsidP="005366A8">
      <w:pPr>
        <w:spacing w:after="180"/>
        <w:jc w:val="center"/>
        <w:rPr>
          <w:rFonts w:ascii="Arial" w:hAnsi="Arial" w:cs="Arial"/>
          <w:b/>
          <w:bCs/>
          <w:u w:val="single"/>
          <w:rtl/>
        </w:rPr>
      </w:pPr>
      <w:r w:rsidRPr="00B9454C">
        <w:rPr>
          <w:rFonts w:ascii="Arial" w:hAnsi="Arial" w:cs="Arial" w:hint="cs"/>
          <w:b/>
          <w:bCs/>
          <w:highlight w:val="yellow"/>
          <w:u w:val="single"/>
          <w:rtl/>
        </w:rPr>
        <w:t xml:space="preserve">משפט ציבורי </w:t>
      </w:r>
      <w:r w:rsidRPr="00B9454C">
        <w:rPr>
          <w:rFonts w:ascii="Arial" w:hAnsi="Arial" w:cs="Arial"/>
          <w:b/>
          <w:bCs/>
          <w:highlight w:val="yellow"/>
          <w:u w:val="single"/>
          <w:rtl/>
        </w:rPr>
        <w:t>–</w:t>
      </w:r>
      <w:r w:rsidRPr="00B9454C">
        <w:rPr>
          <w:rFonts w:ascii="Arial" w:hAnsi="Arial" w:cs="Arial" w:hint="cs"/>
          <w:b/>
          <w:bCs/>
          <w:highlight w:val="yellow"/>
          <w:u w:val="single"/>
          <w:rtl/>
        </w:rPr>
        <w:t xml:space="preserve"> תחומי הדיון</w:t>
      </w:r>
    </w:p>
    <w:p w:rsidR="005366A8" w:rsidRPr="004A4AD9" w:rsidRDefault="005366A8" w:rsidP="005366A8">
      <w:pPr>
        <w:pStyle w:val="T-body"/>
        <w:spacing w:after="120" w:line="240" w:lineRule="auto"/>
        <w:ind w:left="28" w:hanging="28"/>
        <w:rPr>
          <w:rFonts w:ascii="Arial" w:hAnsi="Arial" w:cs="Arial"/>
          <w:b/>
          <w:bCs/>
          <w:sz w:val="20"/>
          <w:szCs w:val="20"/>
          <w:rtl/>
        </w:rPr>
      </w:pPr>
      <w:r w:rsidRPr="000758FF">
        <w:rPr>
          <w:rFonts w:ascii="Arial" w:hAnsi="Arial" w:cs="Arial"/>
          <w:b/>
          <w:bCs/>
          <w:sz w:val="20"/>
          <w:szCs w:val="20"/>
          <w:highlight w:val="green"/>
          <w:rtl/>
        </w:rPr>
        <w:t>1</w:t>
      </w:r>
      <w:r w:rsidRPr="00CB5081">
        <w:rPr>
          <w:rFonts w:ascii="Arial" w:hAnsi="Arial" w:cs="Arial"/>
          <w:b/>
          <w:bCs/>
          <w:sz w:val="20"/>
          <w:szCs w:val="20"/>
          <w:highlight w:val="yellow"/>
          <w:rtl/>
        </w:rPr>
        <w:t xml:space="preserve">. </w:t>
      </w:r>
      <w:r w:rsidRPr="00CB5081">
        <w:rPr>
          <w:rFonts w:ascii="Arial" w:hAnsi="Arial" w:cs="Arial" w:hint="cs"/>
          <w:b/>
          <w:bCs/>
          <w:sz w:val="20"/>
          <w:szCs w:val="20"/>
          <w:highlight w:val="yellow"/>
          <w:rtl/>
        </w:rPr>
        <w:t xml:space="preserve">מהם </w:t>
      </w:r>
      <w:r w:rsidRPr="00CB5081">
        <w:rPr>
          <w:rFonts w:ascii="Arial" w:hAnsi="Arial" w:cs="Arial"/>
          <w:b/>
          <w:bCs/>
          <w:sz w:val="20"/>
          <w:szCs w:val="20"/>
          <w:highlight w:val="yellow"/>
          <w:u w:val="single"/>
          <w:rtl/>
        </w:rPr>
        <w:t>הכללים</w:t>
      </w:r>
      <w:r w:rsidRPr="00CB5081">
        <w:rPr>
          <w:rFonts w:ascii="Arial" w:hAnsi="Arial" w:cs="Arial" w:hint="cs"/>
          <w:b/>
          <w:bCs/>
          <w:sz w:val="20"/>
          <w:szCs w:val="20"/>
          <w:highlight w:val="yellow"/>
          <w:u w:val="single"/>
          <w:rtl/>
        </w:rPr>
        <w:t xml:space="preserve"> המשפטיים</w:t>
      </w:r>
      <w:r w:rsidRPr="00CB5081">
        <w:rPr>
          <w:rFonts w:ascii="Arial" w:hAnsi="Arial" w:cs="Arial"/>
          <w:b/>
          <w:bCs/>
          <w:sz w:val="20"/>
          <w:szCs w:val="20"/>
          <w:highlight w:val="yellow"/>
          <w:rtl/>
        </w:rPr>
        <w:t xml:space="preserve"> החלים על </w:t>
      </w:r>
      <w:r w:rsidRPr="00CB5081">
        <w:rPr>
          <w:rFonts w:ascii="Arial" w:hAnsi="Arial" w:cs="Arial" w:hint="cs"/>
          <w:b/>
          <w:bCs/>
          <w:sz w:val="20"/>
          <w:szCs w:val="20"/>
          <w:highlight w:val="yellow"/>
          <w:u w:val="single"/>
          <w:rtl/>
        </w:rPr>
        <w:t>הגורמים השלטוניים</w:t>
      </w:r>
      <w:r w:rsidRPr="00CB5081">
        <w:rPr>
          <w:rFonts w:ascii="Arial" w:hAnsi="Arial" w:cs="Arial"/>
          <w:b/>
          <w:bCs/>
          <w:sz w:val="20"/>
          <w:szCs w:val="20"/>
          <w:highlight w:val="yellow"/>
          <w:rtl/>
        </w:rPr>
        <w:t xml:space="preserve"> למיניהן</w:t>
      </w:r>
      <w:r w:rsidRPr="00CB5081">
        <w:rPr>
          <w:rFonts w:ascii="Arial" w:hAnsi="Arial" w:cs="Arial" w:hint="cs"/>
          <w:b/>
          <w:bCs/>
          <w:sz w:val="20"/>
          <w:szCs w:val="20"/>
          <w:highlight w:val="yellow"/>
          <w:rtl/>
        </w:rPr>
        <w:t xml:space="preserve">, ובתוך כך מהם </w:t>
      </w:r>
      <w:r w:rsidRPr="00CB5081">
        <w:rPr>
          <w:rFonts w:ascii="Arial" w:hAnsi="Arial" w:cs="Arial" w:hint="cs"/>
          <w:b/>
          <w:bCs/>
          <w:sz w:val="20"/>
          <w:szCs w:val="20"/>
          <w:highlight w:val="yellow"/>
          <w:u w:val="single"/>
          <w:rtl/>
        </w:rPr>
        <w:t xml:space="preserve">הדינים החלים על רשויות </w:t>
      </w:r>
      <w:r w:rsidRPr="00396547">
        <w:rPr>
          <w:rFonts w:ascii="Arial" w:hAnsi="Arial" w:cs="Arial" w:hint="cs"/>
          <w:b/>
          <w:bCs/>
          <w:sz w:val="20"/>
          <w:szCs w:val="20"/>
          <w:highlight w:val="yellow"/>
          <w:u w:val="single"/>
          <w:rtl/>
        </w:rPr>
        <w:t>המינהל הציבורי</w:t>
      </w:r>
      <w:r w:rsidRPr="00CB5081">
        <w:rPr>
          <w:rFonts w:ascii="Arial" w:hAnsi="Arial" w:cs="Arial" w:hint="cs"/>
          <w:b/>
          <w:bCs/>
          <w:sz w:val="20"/>
          <w:szCs w:val="20"/>
          <w:highlight w:val="yellow"/>
          <w:rtl/>
        </w:rPr>
        <w:t>?</w:t>
      </w:r>
    </w:p>
    <w:p w:rsidR="005366A8" w:rsidRDefault="005366A8" w:rsidP="005366A8">
      <w:pPr>
        <w:pStyle w:val="T-body"/>
        <w:spacing w:after="60" w:line="240" w:lineRule="auto"/>
        <w:ind w:left="1468" w:hanging="28"/>
        <w:rPr>
          <w:sz w:val="20"/>
          <w:szCs w:val="20"/>
          <w:rtl/>
        </w:rPr>
      </w:pPr>
      <w:r>
        <w:rPr>
          <w:rFonts w:hint="cs"/>
          <w:sz w:val="20"/>
          <w:szCs w:val="20"/>
          <w:rtl/>
        </w:rPr>
        <w:t>על הכנסת</w:t>
      </w:r>
    </w:p>
    <w:p w:rsidR="005366A8" w:rsidRPr="00B9454C" w:rsidRDefault="005366A8" w:rsidP="005366A8">
      <w:pPr>
        <w:pStyle w:val="T-body"/>
        <w:spacing w:after="60" w:line="240" w:lineRule="auto"/>
        <w:ind w:left="1468" w:hanging="28"/>
        <w:rPr>
          <w:sz w:val="20"/>
          <w:szCs w:val="20"/>
          <w:highlight w:val="yellow"/>
          <w:u w:val="single"/>
          <w:rtl/>
        </w:rPr>
      </w:pPr>
      <w:r w:rsidRPr="00710724">
        <w:rPr>
          <w:rFonts w:hint="cs"/>
          <w:sz w:val="20"/>
          <w:szCs w:val="20"/>
          <w:rtl/>
        </w:rPr>
        <w:t xml:space="preserve">על </w:t>
      </w:r>
      <w:r>
        <w:rPr>
          <w:rFonts w:hint="cs"/>
          <w:sz w:val="20"/>
          <w:szCs w:val="20"/>
          <w:rtl/>
        </w:rPr>
        <w:t>"</w:t>
      </w:r>
      <w:r w:rsidRPr="00B9454C">
        <w:rPr>
          <w:rFonts w:hint="cs"/>
          <w:sz w:val="20"/>
          <w:szCs w:val="20"/>
          <w:highlight w:val="yellow"/>
          <w:u w:val="single"/>
          <w:rtl/>
        </w:rPr>
        <w:t>המינהל הציבורי</w:t>
      </w:r>
      <w:r>
        <w:rPr>
          <w:rFonts w:hint="cs"/>
          <w:sz w:val="20"/>
          <w:szCs w:val="20"/>
          <w:highlight w:val="yellow"/>
          <w:u w:val="single"/>
          <w:rtl/>
        </w:rPr>
        <w:t>"</w:t>
      </w:r>
    </w:p>
    <w:p w:rsidR="005366A8" w:rsidRPr="00B72903" w:rsidRDefault="005366A8" w:rsidP="005366A8">
      <w:pPr>
        <w:pStyle w:val="T-body"/>
        <w:spacing w:line="240" w:lineRule="auto"/>
        <w:ind w:left="2188" w:hanging="28"/>
        <w:rPr>
          <w:sz w:val="20"/>
          <w:szCs w:val="20"/>
          <w:highlight w:val="yellow"/>
          <w:u w:val="single"/>
          <w:rtl/>
        </w:rPr>
      </w:pPr>
      <w:r w:rsidRPr="00B72903">
        <w:rPr>
          <w:rFonts w:hint="cs"/>
          <w:sz w:val="20"/>
          <w:szCs w:val="20"/>
          <w:highlight w:val="yellow"/>
          <w:u w:val="single"/>
          <w:rtl/>
        </w:rPr>
        <w:t>הרשות המבצעת</w:t>
      </w:r>
    </w:p>
    <w:p w:rsidR="005366A8" w:rsidRPr="00B72903" w:rsidRDefault="005366A8" w:rsidP="005366A8">
      <w:pPr>
        <w:pStyle w:val="T-body"/>
        <w:spacing w:line="240" w:lineRule="auto"/>
        <w:ind w:left="2908" w:hanging="28"/>
        <w:rPr>
          <w:sz w:val="20"/>
          <w:szCs w:val="20"/>
          <w:highlight w:val="yellow"/>
          <w:u w:val="single"/>
          <w:rtl/>
        </w:rPr>
      </w:pPr>
      <w:r w:rsidRPr="00B72903">
        <w:rPr>
          <w:rFonts w:hint="cs"/>
          <w:sz w:val="20"/>
          <w:szCs w:val="20"/>
          <w:highlight w:val="yellow"/>
          <w:u w:val="single"/>
          <w:rtl/>
        </w:rPr>
        <w:t>הממשלה וגורמים נוספים הסמוכים לפעילותה</w:t>
      </w:r>
    </w:p>
    <w:p w:rsidR="005366A8" w:rsidRPr="00B72903" w:rsidRDefault="005366A8" w:rsidP="005366A8">
      <w:pPr>
        <w:pStyle w:val="T-body"/>
        <w:spacing w:line="240" w:lineRule="auto"/>
        <w:ind w:left="3628" w:hanging="28"/>
        <w:rPr>
          <w:sz w:val="20"/>
          <w:szCs w:val="20"/>
          <w:highlight w:val="yellow"/>
          <w:u w:val="single"/>
          <w:rtl/>
        </w:rPr>
      </w:pPr>
      <w:r w:rsidRPr="00B72903">
        <w:rPr>
          <w:rFonts w:hint="cs"/>
          <w:sz w:val="20"/>
          <w:szCs w:val="20"/>
          <w:highlight w:val="yellow"/>
          <w:u w:val="single"/>
          <w:rtl/>
        </w:rPr>
        <w:t>הממשלה, ראש הממשלה והשרים, ממלאי תפקידים בשירות הציבורי</w:t>
      </w:r>
    </w:p>
    <w:p w:rsidR="005366A8" w:rsidRPr="00B72903" w:rsidRDefault="005366A8" w:rsidP="005366A8">
      <w:pPr>
        <w:pStyle w:val="T-body"/>
        <w:spacing w:line="240" w:lineRule="auto"/>
        <w:ind w:left="3628" w:hanging="28"/>
        <w:rPr>
          <w:sz w:val="20"/>
          <w:szCs w:val="20"/>
          <w:highlight w:val="yellow"/>
          <w:u w:val="single"/>
          <w:rtl/>
        </w:rPr>
      </w:pPr>
      <w:r w:rsidRPr="00B72903">
        <w:rPr>
          <w:rFonts w:hint="cs"/>
          <w:sz w:val="20"/>
          <w:szCs w:val="20"/>
          <w:highlight w:val="yellow"/>
          <w:u w:val="single"/>
          <w:rtl/>
        </w:rPr>
        <w:t>תאגידים ציבוריים/סטטוטוריים</w:t>
      </w:r>
      <w:r w:rsidRPr="00E72440">
        <w:rPr>
          <w:rFonts w:hint="cs"/>
          <w:sz w:val="20"/>
          <w:szCs w:val="20"/>
          <w:highlight w:val="yellow"/>
          <w:rtl/>
        </w:rPr>
        <w:t xml:space="preserve"> </w:t>
      </w:r>
      <w:r w:rsidRPr="00E72440">
        <w:rPr>
          <w:rFonts w:hint="cs"/>
          <w:sz w:val="20"/>
          <w:szCs w:val="20"/>
          <w:rtl/>
        </w:rPr>
        <w:t>[לעיל]</w:t>
      </w:r>
    </w:p>
    <w:p w:rsidR="005366A8" w:rsidRPr="00B72903" w:rsidRDefault="005366A8" w:rsidP="005366A8">
      <w:pPr>
        <w:pStyle w:val="T-body"/>
        <w:spacing w:line="240" w:lineRule="auto"/>
        <w:ind w:left="3628" w:hanging="28"/>
        <w:rPr>
          <w:sz w:val="20"/>
          <w:szCs w:val="20"/>
          <w:highlight w:val="yellow"/>
          <w:u w:val="single"/>
          <w:rtl/>
        </w:rPr>
      </w:pPr>
      <w:r w:rsidRPr="00B72903">
        <w:rPr>
          <w:rFonts w:hint="cs"/>
          <w:sz w:val="20"/>
          <w:szCs w:val="20"/>
          <w:highlight w:val="yellow"/>
          <w:u w:val="single"/>
          <w:rtl/>
        </w:rPr>
        <w:t>"גורמים לווייניים"</w:t>
      </w:r>
      <w:r w:rsidRPr="00E72440">
        <w:rPr>
          <w:rFonts w:hint="cs"/>
          <w:sz w:val="20"/>
          <w:szCs w:val="20"/>
          <w:rtl/>
        </w:rPr>
        <w:t xml:space="preserve"> [כנ"ל]</w:t>
      </w:r>
    </w:p>
    <w:p w:rsidR="005366A8" w:rsidRPr="00B72903" w:rsidRDefault="005366A8" w:rsidP="005366A8">
      <w:pPr>
        <w:pStyle w:val="T-body"/>
        <w:spacing w:after="60" w:line="240" w:lineRule="auto"/>
        <w:ind w:left="3628" w:hanging="28"/>
        <w:rPr>
          <w:sz w:val="20"/>
          <w:szCs w:val="20"/>
          <w:u w:val="single"/>
          <w:rtl/>
        </w:rPr>
      </w:pPr>
      <w:r w:rsidRPr="00B72903">
        <w:rPr>
          <w:rFonts w:hint="cs"/>
          <w:sz w:val="20"/>
          <w:szCs w:val="20"/>
          <w:highlight w:val="yellow"/>
          <w:u w:val="single"/>
          <w:rtl/>
        </w:rPr>
        <w:t xml:space="preserve">[חברות ממשלתיות] </w:t>
      </w:r>
      <w:r w:rsidRPr="00B72903">
        <w:rPr>
          <w:rFonts w:hint="cs"/>
          <w:sz w:val="20"/>
          <w:szCs w:val="20"/>
          <w:u w:val="single"/>
          <w:rtl/>
        </w:rPr>
        <w:t>[איזה דין חל עליהן? נלמד זאת בהמשך]</w:t>
      </w:r>
    </w:p>
    <w:p w:rsidR="005366A8" w:rsidRDefault="005366A8" w:rsidP="005366A8">
      <w:pPr>
        <w:pStyle w:val="T-body"/>
        <w:spacing w:after="60" w:line="240" w:lineRule="auto"/>
        <w:ind w:left="2217" w:hanging="28"/>
        <w:rPr>
          <w:sz w:val="20"/>
          <w:szCs w:val="20"/>
          <w:rtl/>
        </w:rPr>
      </w:pPr>
      <w:r w:rsidRPr="00B72903">
        <w:rPr>
          <w:rFonts w:hint="cs"/>
          <w:sz w:val="20"/>
          <w:szCs w:val="20"/>
          <w:highlight w:val="yellow"/>
          <w:u w:val="single"/>
          <w:rtl/>
        </w:rPr>
        <w:t xml:space="preserve">הרשויות המקומיות/ השלטון המקומי (להבדיל מהממשל המרכזי) </w:t>
      </w:r>
      <w:r w:rsidRPr="00B72903">
        <w:rPr>
          <w:sz w:val="20"/>
          <w:szCs w:val="20"/>
          <w:highlight w:val="yellow"/>
          <w:u w:val="single"/>
          <w:rtl/>
        </w:rPr>
        <w:t>–</w:t>
      </w:r>
      <w:r w:rsidRPr="00B72903">
        <w:rPr>
          <w:rFonts w:hint="cs"/>
          <w:sz w:val="20"/>
          <w:szCs w:val="20"/>
          <w:highlight w:val="yellow"/>
          <w:u w:val="single"/>
          <w:rtl/>
        </w:rPr>
        <w:t xml:space="preserve"> עיריות, מועצות אזוריות ומועצות מקומיות</w:t>
      </w:r>
    </w:p>
    <w:p w:rsidR="005366A8" w:rsidRDefault="005366A8" w:rsidP="005366A8">
      <w:pPr>
        <w:pStyle w:val="T-body"/>
        <w:spacing w:after="120" w:line="240" w:lineRule="auto"/>
        <w:ind w:left="1468" w:hanging="28"/>
        <w:rPr>
          <w:sz w:val="20"/>
          <w:szCs w:val="20"/>
          <w:rtl/>
        </w:rPr>
      </w:pPr>
      <w:r>
        <w:rPr>
          <w:rFonts w:hint="cs"/>
          <w:sz w:val="20"/>
          <w:szCs w:val="20"/>
          <w:rtl/>
        </w:rPr>
        <w:t>על הרשות השופטת</w:t>
      </w:r>
    </w:p>
    <w:p w:rsidR="005366A8" w:rsidRDefault="005366A8" w:rsidP="005366A8">
      <w:pPr>
        <w:pStyle w:val="T-body"/>
        <w:spacing w:after="120" w:line="240" w:lineRule="auto"/>
        <w:ind w:left="1468" w:hanging="28"/>
        <w:rPr>
          <w:sz w:val="20"/>
          <w:szCs w:val="20"/>
          <w:rtl/>
        </w:rPr>
      </w:pPr>
      <w:r>
        <w:rPr>
          <w:rFonts w:hint="cs"/>
          <w:sz w:val="20"/>
          <w:szCs w:val="20"/>
          <w:rtl/>
        </w:rPr>
        <w:t>[על גופים שלטוניים נוספים, בהם איננו עוסקים מקוצר זמן]</w:t>
      </w:r>
    </w:p>
    <w:p w:rsidR="005366A8" w:rsidRPr="00FE3362" w:rsidRDefault="005366A8" w:rsidP="005366A8">
      <w:pPr>
        <w:pStyle w:val="T-body"/>
        <w:spacing w:after="120" w:line="240" w:lineRule="auto"/>
        <w:ind w:left="776" w:hanging="28"/>
        <w:rPr>
          <w:b/>
          <w:bCs/>
          <w:sz w:val="20"/>
          <w:szCs w:val="20"/>
          <w:rtl/>
        </w:rPr>
      </w:pPr>
      <w:r>
        <w:rPr>
          <w:rFonts w:hint="cs"/>
          <w:b/>
          <w:bCs/>
          <w:sz w:val="20"/>
          <w:szCs w:val="20"/>
          <w:rtl/>
        </w:rPr>
        <w:t>ביחס למינהל הציבורי:</w:t>
      </w:r>
    </w:p>
    <w:p w:rsidR="005366A8" w:rsidRPr="00B9454C" w:rsidRDefault="005366A8" w:rsidP="005366A8">
      <w:pPr>
        <w:pStyle w:val="T-body"/>
        <w:spacing w:after="120" w:line="240" w:lineRule="auto"/>
        <w:ind w:left="1112" w:hanging="28"/>
        <w:rPr>
          <w:b/>
          <w:bCs/>
          <w:sz w:val="20"/>
          <w:szCs w:val="20"/>
          <w:highlight w:val="yellow"/>
          <w:rtl/>
        </w:rPr>
      </w:pPr>
      <w:r w:rsidRPr="00B9454C">
        <w:rPr>
          <w:rFonts w:hint="cs"/>
          <w:b/>
          <w:bCs/>
          <w:sz w:val="20"/>
          <w:szCs w:val="20"/>
          <w:highlight w:val="yellow"/>
          <w:rtl/>
        </w:rPr>
        <w:t xml:space="preserve">1א. דינים הנוגעים </w:t>
      </w:r>
      <w:r w:rsidRPr="00B9454C">
        <w:rPr>
          <w:rFonts w:hint="cs"/>
          <w:b/>
          <w:bCs/>
          <w:sz w:val="20"/>
          <w:szCs w:val="20"/>
          <w:highlight w:val="yellow"/>
          <w:u w:val="single"/>
          <w:rtl/>
        </w:rPr>
        <w:t>לסמכות המינהלית</w:t>
      </w:r>
    </w:p>
    <w:p w:rsidR="005366A8" w:rsidRPr="00B9454C" w:rsidRDefault="005366A8" w:rsidP="005366A8">
      <w:pPr>
        <w:pStyle w:val="T-body"/>
        <w:spacing w:after="120" w:line="240" w:lineRule="auto"/>
        <w:ind w:left="1112" w:hanging="28"/>
        <w:rPr>
          <w:b/>
          <w:bCs/>
          <w:sz w:val="20"/>
          <w:szCs w:val="20"/>
          <w:highlight w:val="yellow"/>
          <w:rtl/>
        </w:rPr>
      </w:pPr>
      <w:r w:rsidRPr="00B9454C">
        <w:rPr>
          <w:rFonts w:hint="cs"/>
          <w:b/>
          <w:bCs/>
          <w:sz w:val="20"/>
          <w:szCs w:val="20"/>
          <w:highlight w:val="yellow"/>
          <w:rtl/>
        </w:rPr>
        <w:t>1ב. דינים הנוגעים ל</w:t>
      </w:r>
      <w:r w:rsidRPr="00B9454C">
        <w:rPr>
          <w:rFonts w:hint="cs"/>
          <w:b/>
          <w:bCs/>
          <w:sz w:val="20"/>
          <w:szCs w:val="20"/>
          <w:highlight w:val="yellow"/>
          <w:u w:val="single"/>
          <w:rtl/>
        </w:rPr>
        <w:t xml:space="preserve">אופן הפעלת </w:t>
      </w:r>
      <w:r w:rsidRPr="00B9454C">
        <w:rPr>
          <w:rFonts w:hint="cs"/>
          <w:b/>
          <w:bCs/>
          <w:sz w:val="20"/>
          <w:szCs w:val="20"/>
          <w:highlight w:val="yellow"/>
          <w:rtl/>
        </w:rPr>
        <w:t>סמכות זו</w:t>
      </w:r>
    </w:p>
    <w:p w:rsidR="005366A8" w:rsidRPr="00B9454C" w:rsidRDefault="005366A8" w:rsidP="005366A8">
      <w:pPr>
        <w:pStyle w:val="T-body"/>
        <w:spacing w:after="120" w:line="240" w:lineRule="auto"/>
        <w:ind w:left="1832" w:hanging="28"/>
        <w:rPr>
          <w:b/>
          <w:bCs/>
          <w:sz w:val="20"/>
          <w:szCs w:val="20"/>
          <w:highlight w:val="yellow"/>
          <w:u w:val="single"/>
          <w:rtl/>
        </w:rPr>
      </w:pPr>
      <w:r w:rsidRPr="00B9454C">
        <w:rPr>
          <w:rFonts w:hint="cs"/>
          <w:b/>
          <w:bCs/>
          <w:sz w:val="20"/>
          <w:szCs w:val="20"/>
          <w:highlight w:val="yellow"/>
          <w:u w:val="single"/>
          <w:rtl/>
        </w:rPr>
        <w:t xml:space="preserve">1ב(1). דיני ההליך המינהלי </w:t>
      </w:r>
    </w:p>
    <w:p w:rsidR="005366A8" w:rsidRPr="006F7DD0" w:rsidRDefault="005366A8" w:rsidP="005366A8">
      <w:pPr>
        <w:pStyle w:val="T-body"/>
        <w:spacing w:line="240" w:lineRule="auto"/>
        <w:ind w:left="1832" w:hanging="28"/>
        <w:rPr>
          <w:b/>
          <w:bCs/>
          <w:sz w:val="20"/>
          <w:szCs w:val="20"/>
          <w:u w:val="single"/>
          <w:rtl/>
        </w:rPr>
      </w:pPr>
      <w:r w:rsidRPr="00B9454C">
        <w:rPr>
          <w:rFonts w:hint="cs"/>
          <w:b/>
          <w:bCs/>
          <w:sz w:val="20"/>
          <w:szCs w:val="20"/>
          <w:highlight w:val="yellow"/>
          <w:u w:val="single"/>
          <w:rtl/>
        </w:rPr>
        <w:t>1ב(2). דיני שיקול הדעת המינהלי</w:t>
      </w:r>
    </w:p>
    <w:p w:rsidR="005366A8" w:rsidRPr="004A4AD9" w:rsidRDefault="005366A8" w:rsidP="005366A8">
      <w:pPr>
        <w:pStyle w:val="T-body"/>
        <w:spacing w:line="240" w:lineRule="auto"/>
        <w:ind w:left="28" w:hanging="28"/>
        <w:rPr>
          <w:rFonts w:ascii="Arial" w:hAnsi="Arial" w:cs="Arial"/>
          <w:b/>
          <w:bCs/>
          <w:sz w:val="20"/>
          <w:szCs w:val="20"/>
          <w:rtl/>
        </w:rPr>
      </w:pPr>
    </w:p>
    <w:p w:rsidR="005366A8" w:rsidRDefault="005366A8" w:rsidP="005366A8">
      <w:pPr>
        <w:pStyle w:val="T-body"/>
        <w:spacing w:line="240" w:lineRule="auto"/>
        <w:ind w:left="28" w:hanging="28"/>
        <w:rPr>
          <w:rFonts w:ascii="Arial" w:hAnsi="Arial" w:cs="Arial"/>
          <w:sz w:val="20"/>
          <w:szCs w:val="20"/>
          <w:rtl/>
        </w:rPr>
      </w:pPr>
      <w:r w:rsidRPr="00907699">
        <w:rPr>
          <w:rFonts w:ascii="Arial" w:hAnsi="Arial" w:cs="Arial"/>
          <w:b/>
          <w:bCs/>
          <w:sz w:val="20"/>
          <w:szCs w:val="20"/>
          <w:highlight w:val="green"/>
          <w:rtl/>
        </w:rPr>
        <w:t>2</w:t>
      </w:r>
      <w:r w:rsidRPr="00CB5081">
        <w:rPr>
          <w:rFonts w:ascii="Arial" w:hAnsi="Arial" w:cs="Arial"/>
          <w:b/>
          <w:bCs/>
          <w:sz w:val="20"/>
          <w:szCs w:val="20"/>
          <w:highlight w:val="yellow"/>
          <w:rtl/>
        </w:rPr>
        <w:t xml:space="preserve">. </w:t>
      </w:r>
      <w:r w:rsidRPr="00CB5081">
        <w:rPr>
          <w:rFonts w:ascii="Arial" w:hAnsi="Arial" w:cs="Arial" w:hint="cs"/>
          <w:b/>
          <w:bCs/>
          <w:sz w:val="20"/>
          <w:szCs w:val="20"/>
          <w:highlight w:val="yellow"/>
          <w:rtl/>
        </w:rPr>
        <w:t>מהם דיני התרופות</w:t>
      </w:r>
      <w:r>
        <w:rPr>
          <w:rFonts w:ascii="Arial" w:hAnsi="Arial" w:cs="Arial" w:hint="cs"/>
          <w:b/>
          <w:bCs/>
          <w:sz w:val="20"/>
          <w:szCs w:val="20"/>
          <w:highlight w:val="yellow"/>
          <w:rtl/>
        </w:rPr>
        <w:t>/הסעדים</w:t>
      </w:r>
      <w:r w:rsidRPr="00CB5081">
        <w:rPr>
          <w:rFonts w:ascii="Arial" w:hAnsi="Arial" w:cs="Arial" w:hint="cs"/>
          <w:b/>
          <w:bCs/>
          <w:sz w:val="20"/>
          <w:szCs w:val="20"/>
          <w:highlight w:val="yellow"/>
          <w:rtl/>
        </w:rPr>
        <w:t xml:space="preserve"> במשפט הציבורי? </w:t>
      </w:r>
      <w:r w:rsidRPr="00CB5081">
        <w:rPr>
          <w:rFonts w:ascii="Arial" w:hAnsi="Arial" w:cs="Arial"/>
          <w:b/>
          <w:bCs/>
          <w:sz w:val="20"/>
          <w:szCs w:val="20"/>
          <w:highlight w:val="yellow"/>
          <w:u w:val="single"/>
          <w:rtl/>
        </w:rPr>
        <w:t>הסעד</w:t>
      </w:r>
      <w:r w:rsidRPr="004A4AD9">
        <w:rPr>
          <w:rFonts w:ascii="Arial" w:hAnsi="Arial" w:cs="Arial"/>
          <w:b/>
          <w:bCs/>
          <w:sz w:val="20"/>
          <w:szCs w:val="20"/>
          <w:rtl/>
        </w:rPr>
        <w:t xml:space="preserve"> </w:t>
      </w:r>
      <w:r w:rsidRPr="004A4AD9">
        <w:rPr>
          <w:rFonts w:ascii="Arial" w:hAnsi="Arial" w:cs="Arial"/>
          <w:sz w:val="20"/>
          <w:szCs w:val="20"/>
          <w:rtl/>
        </w:rPr>
        <w:t>שינתן על</w:t>
      </w:r>
      <w:r w:rsidRPr="004A4AD9">
        <w:rPr>
          <w:rFonts w:ascii="Arial" w:hAnsi="Arial" w:cs="Arial"/>
          <w:b/>
          <w:bCs/>
          <w:sz w:val="20"/>
          <w:szCs w:val="20"/>
          <w:rtl/>
        </w:rPr>
        <w:t xml:space="preserve"> הפרת כללי המשפט הציבורי</w:t>
      </w:r>
      <w:r>
        <w:rPr>
          <w:rFonts w:ascii="Arial" w:hAnsi="Arial" w:cs="Arial" w:hint="cs"/>
          <w:sz w:val="20"/>
          <w:szCs w:val="20"/>
          <w:rtl/>
        </w:rPr>
        <w:t xml:space="preserve"> </w:t>
      </w:r>
    </w:p>
    <w:p w:rsidR="005366A8" w:rsidRPr="00DC1599" w:rsidRDefault="005366A8" w:rsidP="005366A8">
      <w:pPr>
        <w:pStyle w:val="T-body"/>
        <w:spacing w:line="240" w:lineRule="auto"/>
        <w:ind w:left="708" w:hanging="28"/>
        <w:rPr>
          <w:rFonts w:ascii="Arial" w:hAnsi="Arial" w:cs="Arial"/>
          <w:sz w:val="20"/>
          <w:szCs w:val="20"/>
          <w:rtl/>
        </w:rPr>
      </w:pPr>
      <w:r>
        <w:rPr>
          <w:rFonts w:ascii="Arial" w:hAnsi="Arial" w:cs="Arial" w:hint="cs"/>
          <w:sz w:val="20"/>
          <w:szCs w:val="20"/>
          <w:rtl/>
        </w:rPr>
        <w:t xml:space="preserve">[נלמד כאן, בין היתר, על דוקטרינת </w:t>
      </w:r>
      <w:r w:rsidRPr="00DC1599">
        <w:rPr>
          <w:rFonts w:ascii="Arial" w:hAnsi="Arial" w:cs="Arial" w:hint="cs"/>
          <w:b/>
          <w:bCs/>
          <w:sz w:val="20"/>
          <w:szCs w:val="20"/>
          <w:rtl/>
        </w:rPr>
        <w:t>"הבטלות היחסית"</w:t>
      </w:r>
      <w:r>
        <w:rPr>
          <w:rFonts w:ascii="Arial" w:hAnsi="Arial" w:cs="Arial" w:hint="cs"/>
          <w:sz w:val="20"/>
          <w:szCs w:val="20"/>
          <w:rtl/>
        </w:rPr>
        <w:t>]</w:t>
      </w:r>
    </w:p>
    <w:p w:rsidR="005366A8" w:rsidRPr="004A4AD9" w:rsidRDefault="005366A8" w:rsidP="005366A8">
      <w:pPr>
        <w:pStyle w:val="T-body"/>
        <w:spacing w:line="240" w:lineRule="auto"/>
        <w:ind w:left="28" w:hanging="28"/>
        <w:rPr>
          <w:rFonts w:ascii="Arial" w:hAnsi="Arial" w:cs="Arial"/>
          <w:b/>
          <w:bCs/>
          <w:sz w:val="20"/>
          <w:szCs w:val="20"/>
          <w:rtl/>
        </w:rPr>
      </w:pPr>
    </w:p>
    <w:p w:rsidR="005366A8" w:rsidRPr="004A4AD9" w:rsidRDefault="005366A8" w:rsidP="005366A8">
      <w:pPr>
        <w:pStyle w:val="T-body"/>
        <w:spacing w:line="240" w:lineRule="auto"/>
        <w:ind w:left="680" w:hanging="680"/>
        <w:rPr>
          <w:rFonts w:ascii="Arial" w:hAnsi="Arial" w:cs="Arial"/>
          <w:b/>
          <w:bCs/>
          <w:sz w:val="20"/>
          <w:szCs w:val="20"/>
          <w:rtl/>
        </w:rPr>
      </w:pPr>
      <w:r w:rsidRPr="00907699">
        <w:rPr>
          <w:rFonts w:ascii="Arial" w:hAnsi="Arial" w:cs="Arial"/>
          <w:b/>
          <w:bCs/>
          <w:sz w:val="20"/>
          <w:szCs w:val="20"/>
          <w:highlight w:val="green"/>
          <w:rtl/>
        </w:rPr>
        <w:t>3</w:t>
      </w:r>
      <w:r w:rsidRPr="00CB5081">
        <w:rPr>
          <w:rFonts w:ascii="Arial" w:hAnsi="Arial" w:cs="Arial"/>
          <w:b/>
          <w:bCs/>
          <w:sz w:val="20"/>
          <w:szCs w:val="20"/>
          <w:highlight w:val="yellow"/>
          <w:rtl/>
        </w:rPr>
        <w:t xml:space="preserve">. </w:t>
      </w:r>
      <w:r w:rsidRPr="00CB5081">
        <w:rPr>
          <w:rFonts w:ascii="Arial" w:hAnsi="Arial" w:cs="Arial" w:hint="cs"/>
          <w:b/>
          <w:bCs/>
          <w:sz w:val="20"/>
          <w:szCs w:val="20"/>
          <w:highlight w:val="yellow"/>
          <w:rtl/>
        </w:rPr>
        <w:t>מהם סדרי הדין (</w:t>
      </w:r>
      <w:r>
        <w:rPr>
          <w:rFonts w:ascii="Arial" w:hAnsi="Arial" w:cs="Arial" w:hint="cs"/>
          <w:b/>
          <w:bCs/>
          <w:sz w:val="20"/>
          <w:szCs w:val="20"/>
          <w:highlight w:val="yellow"/>
          <w:rtl/>
        </w:rPr>
        <w:t>=</w:t>
      </w:r>
      <w:r w:rsidRPr="00CB5081">
        <w:rPr>
          <w:rFonts w:ascii="Arial" w:hAnsi="Arial" w:cs="Arial" w:hint="cs"/>
          <w:b/>
          <w:bCs/>
          <w:sz w:val="20"/>
          <w:szCs w:val="20"/>
          <w:highlight w:val="yellow"/>
          <w:rtl/>
        </w:rPr>
        <w:t xml:space="preserve">הדין הפרוצדוראלי) </w:t>
      </w:r>
      <w:r>
        <w:rPr>
          <w:rFonts w:ascii="Arial" w:hAnsi="Arial" w:cs="Arial" w:hint="cs"/>
          <w:b/>
          <w:bCs/>
          <w:sz w:val="20"/>
          <w:szCs w:val="20"/>
          <w:highlight w:val="yellow"/>
          <w:rtl/>
        </w:rPr>
        <w:t>המלווים את הביקורת השיפוטית</w:t>
      </w:r>
      <w:r w:rsidRPr="00CB5081">
        <w:rPr>
          <w:rFonts w:ascii="Arial" w:hAnsi="Arial" w:cs="Arial" w:hint="cs"/>
          <w:b/>
          <w:bCs/>
          <w:sz w:val="20"/>
          <w:szCs w:val="20"/>
          <w:highlight w:val="yellow"/>
          <w:rtl/>
        </w:rPr>
        <w:t>?</w:t>
      </w:r>
      <w:r>
        <w:rPr>
          <w:rFonts w:ascii="Arial" w:hAnsi="Arial" w:cs="Arial" w:hint="cs"/>
          <w:b/>
          <w:bCs/>
          <w:sz w:val="20"/>
          <w:szCs w:val="20"/>
          <w:rtl/>
        </w:rPr>
        <w:t xml:space="preserve"> </w:t>
      </w:r>
      <w:r>
        <w:rPr>
          <w:rFonts w:ascii="Arial" w:hAnsi="Arial" w:cs="Arial" w:hint="cs"/>
          <w:sz w:val="20"/>
          <w:szCs w:val="20"/>
          <w:rtl/>
        </w:rPr>
        <w:t xml:space="preserve">בין היתר, חלוקת </w:t>
      </w:r>
      <w:r w:rsidRPr="00F357A0">
        <w:rPr>
          <w:rFonts w:ascii="Arial" w:hAnsi="Arial" w:cs="Arial"/>
          <w:b/>
          <w:bCs/>
          <w:sz w:val="20"/>
          <w:szCs w:val="20"/>
          <w:u w:val="single"/>
          <w:rtl/>
        </w:rPr>
        <w:t>סמכויות השיפוט</w:t>
      </w:r>
      <w:r w:rsidRPr="004A4AD9">
        <w:rPr>
          <w:rFonts w:ascii="Arial" w:hAnsi="Arial" w:cs="Arial"/>
          <w:b/>
          <w:bCs/>
          <w:sz w:val="20"/>
          <w:szCs w:val="20"/>
          <w:rtl/>
        </w:rPr>
        <w:t xml:space="preserve"> </w:t>
      </w:r>
      <w:r w:rsidRPr="004A4AD9">
        <w:rPr>
          <w:rFonts w:ascii="Arial" w:hAnsi="Arial" w:cs="Arial"/>
          <w:sz w:val="20"/>
          <w:szCs w:val="20"/>
          <w:rtl/>
        </w:rPr>
        <w:t>בתחום המשפט הציבורי</w:t>
      </w:r>
      <w:r>
        <w:rPr>
          <w:rFonts w:ascii="Arial" w:hAnsi="Arial" w:cs="Arial" w:hint="cs"/>
          <w:b/>
          <w:bCs/>
          <w:sz w:val="20"/>
          <w:szCs w:val="20"/>
          <w:rtl/>
        </w:rPr>
        <w:t xml:space="preserve"> </w:t>
      </w:r>
      <w:r w:rsidRPr="004A5014">
        <w:rPr>
          <w:rFonts w:ascii="Arial" w:hAnsi="Arial" w:cs="Arial" w:hint="cs"/>
          <w:sz w:val="20"/>
          <w:szCs w:val="20"/>
          <w:rtl/>
        </w:rPr>
        <w:t>[לא</w:t>
      </w:r>
      <w:r>
        <w:rPr>
          <w:rFonts w:ascii="Arial" w:hAnsi="Arial" w:cs="Arial" w:hint="cs"/>
          <w:sz w:val="20"/>
          <w:szCs w:val="20"/>
          <w:rtl/>
        </w:rPr>
        <w:t>לו ב</w:t>
      </w:r>
      <w:r w:rsidRPr="004A5014">
        <w:rPr>
          <w:rFonts w:ascii="Arial" w:hAnsi="Arial" w:cs="Arial" w:hint="cs"/>
          <w:sz w:val="20"/>
          <w:szCs w:val="20"/>
          <w:rtl/>
        </w:rPr>
        <w:t>ת</w:t>
      </w:r>
      <w:r>
        <w:rPr>
          <w:rFonts w:ascii="Arial" w:hAnsi="Arial" w:cs="Arial" w:hint="cs"/>
          <w:sz w:val="20"/>
          <w:szCs w:val="20"/>
          <w:rtl/>
        </w:rPr>
        <w:t>י</w:t>
      </w:r>
      <w:r w:rsidRPr="004A5014">
        <w:rPr>
          <w:rFonts w:ascii="Arial" w:hAnsi="Arial" w:cs="Arial" w:hint="cs"/>
          <w:sz w:val="20"/>
          <w:szCs w:val="20"/>
          <w:rtl/>
        </w:rPr>
        <w:t xml:space="preserve"> משפט נתונה סמכות דיון בטענות ב</w:t>
      </w:r>
      <w:r>
        <w:rPr>
          <w:rFonts w:ascii="Arial" w:hAnsi="Arial" w:cs="Arial" w:hint="cs"/>
          <w:sz w:val="20"/>
          <w:szCs w:val="20"/>
          <w:rtl/>
        </w:rPr>
        <w:t xml:space="preserve">דבר הפרה של כללי </w:t>
      </w:r>
      <w:r w:rsidRPr="004A5014">
        <w:rPr>
          <w:rFonts w:ascii="Arial" w:hAnsi="Arial" w:cs="Arial" w:hint="cs"/>
          <w:sz w:val="20"/>
          <w:szCs w:val="20"/>
          <w:rtl/>
        </w:rPr>
        <w:t>המשפט הציבורי]</w:t>
      </w:r>
    </w:p>
    <w:p w:rsidR="005366A8" w:rsidRPr="007A1A55" w:rsidRDefault="005366A8" w:rsidP="005366A8">
      <w:pPr>
        <w:spacing w:after="240"/>
        <w:rPr>
          <w:rFonts w:ascii="Arial" w:hAnsi="Arial" w:cs="Guttman-Soncino"/>
          <w:b/>
          <w:bCs/>
          <w:sz w:val="22"/>
          <w:szCs w:val="22"/>
          <w:highlight w:val="yellow"/>
          <w:rtl/>
        </w:rPr>
      </w:pPr>
      <w:r>
        <w:rPr>
          <w:rFonts w:ascii="Arial" w:hAnsi="Arial" w:cs="Guttman-Soncino" w:hint="cs"/>
          <w:b/>
          <w:bCs/>
          <w:sz w:val="22"/>
          <w:szCs w:val="22"/>
          <w:highlight w:val="yellow"/>
          <w:rtl/>
        </w:rPr>
        <w:t>=-=</w:t>
      </w:r>
    </w:p>
    <w:p w:rsidR="005366A8" w:rsidRPr="003E6F80" w:rsidRDefault="005366A8" w:rsidP="005366A8">
      <w:pPr>
        <w:spacing w:after="120"/>
        <w:jc w:val="center"/>
        <w:rPr>
          <w:rFonts w:ascii="Arial" w:hAnsi="Arial" w:cs="Guttman-Soncino"/>
          <w:b/>
          <w:bCs/>
          <w:sz w:val="36"/>
          <w:szCs w:val="36"/>
          <w:highlight w:val="yellow"/>
          <w:rtl/>
        </w:rPr>
      </w:pPr>
      <w:r w:rsidRPr="003E6F80">
        <w:rPr>
          <w:rFonts w:ascii="Arial" w:hAnsi="Arial" w:cs="Guttman-Soncino"/>
          <w:b/>
          <w:bCs/>
          <w:sz w:val="36"/>
          <w:szCs w:val="36"/>
          <w:highlight w:val="yellow"/>
          <w:rtl/>
        </w:rPr>
        <w:t>הסמכויות של רשויות המינהל</w:t>
      </w:r>
      <w:r w:rsidRPr="003E6F80">
        <w:rPr>
          <w:rFonts w:ascii="Arial" w:hAnsi="Arial" w:cs="Guttman-Soncino" w:hint="cs"/>
          <w:b/>
          <w:bCs/>
          <w:sz w:val="36"/>
          <w:szCs w:val="36"/>
          <w:highlight w:val="yellow"/>
          <w:rtl/>
        </w:rPr>
        <w:t xml:space="preserve"> </w:t>
      </w:r>
    </w:p>
    <w:p w:rsidR="005366A8" w:rsidRPr="003E6F80" w:rsidRDefault="005366A8" w:rsidP="005366A8">
      <w:pPr>
        <w:spacing w:after="120"/>
        <w:ind w:left="720"/>
        <w:rPr>
          <w:rFonts w:ascii="Arial" w:hAnsi="Arial" w:cs="Arial"/>
          <w:b/>
          <w:bCs/>
          <w:sz w:val="28"/>
          <w:szCs w:val="28"/>
          <w:highlight w:val="yellow"/>
          <w:u w:val="single"/>
          <w:rtl/>
        </w:rPr>
      </w:pPr>
      <w:r w:rsidRPr="003E6F80">
        <w:rPr>
          <w:rFonts w:ascii="Arial" w:hAnsi="Arial" w:cs="Arial" w:hint="cs"/>
          <w:b/>
          <w:bCs/>
          <w:sz w:val="28"/>
          <w:szCs w:val="28"/>
          <w:highlight w:val="yellow"/>
          <w:rtl/>
        </w:rPr>
        <w:t xml:space="preserve">א. </w:t>
      </w:r>
      <w:r w:rsidRPr="003E6F80">
        <w:rPr>
          <w:rFonts w:ascii="Arial" w:hAnsi="Arial" w:cs="Arial" w:hint="cs"/>
          <w:b/>
          <w:bCs/>
          <w:sz w:val="28"/>
          <w:szCs w:val="28"/>
          <w:highlight w:val="yellow"/>
          <w:u w:val="single"/>
          <w:rtl/>
        </w:rPr>
        <w:t xml:space="preserve">סוגי </w:t>
      </w:r>
      <w:r w:rsidRPr="003E6F80">
        <w:rPr>
          <w:rFonts w:ascii="Arial" w:hAnsi="Arial" w:cs="Arial"/>
          <w:b/>
          <w:bCs/>
          <w:sz w:val="28"/>
          <w:szCs w:val="28"/>
          <w:highlight w:val="yellow"/>
          <w:u w:val="single"/>
          <w:rtl/>
        </w:rPr>
        <w:t>הסמכויות</w:t>
      </w:r>
      <w:r w:rsidRPr="003E6F80">
        <w:rPr>
          <w:rFonts w:ascii="Arial" w:hAnsi="Arial" w:cs="Arial"/>
          <w:b/>
          <w:bCs/>
          <w:sz w:val="28"/>
          <w:szCs w:val="28"/>
          <w:highlight w:val="yellow"/>
          <w:rtl/>
        </w:rPr>
        <w:t xml:space="preserve"> של רשויות המינהל</w:t>
      </w:r>
    </w:p>
    <w:p w:rsidR="005366A8" w:rsidRDefault="005366A8" w:rsidP="005366A8">
      <w:pPr>
        <w:spacing w:after="120"/>
        <w:rPr>
          <w:rFonts w:ascii="Arial" w:hAnsi="Arial" w:cs="Arial"/>
          <w:b/>
          <w:bCs/>
          <w:sz w:val="22"/>
          <w:szCs w:val="22"/>
          <w:highlight w:val="yellow"/>
          <w:u w:val="single"/>
          <w:rtl/>
        </w:rPr>
      </w:pPr>
      <w:r w:rsidRPr="00D12489">
        <w:rPr>
          <w:rFonts w:ascii="Arial" w:hAnsi="Arial" w:cs="Arial" w:hint="cs"/>
          <w:b/>
          <w:bCs/>
          <w:sz w:val="22"/>
          <w:szCs w:val="22"/>
          <w:highlight w:val="yellow"/>
          <w:u w:val="single"/>
          <w:rtl/>
        </w:rPr>
        <w:t xml:space="preserve">א1. </w:t>
      </w:r>
    </w:p>
    <w:p w:rsidR="005366A8" w:rsidRDefault="005366A8" w:rsidP="005366A8">
      <w:pPr>
        <w:spacing w:after="120"/>
        <w:rPr>
          <w:rFonts w:ascii="Arial" w:hAnsi="Arial" w:cs="Arial"/>
          <w:b/>
          <w:bCs/>
          <w:sz w:val="22"/>
          <w:szCs w:val="22"/>
          <w:highlight w:val="yellow"/>
          <w:u w:val="single"/>
          <w:rtl/>
        </w:rPr>
      </w:pPr>
      <w:r w:rsidRPr="00D12489">
        <w:rPr>
          <w:rFonts w:ascii="Arial" w:hAnsi="Arial" w:cs="Arial"/>
          <w:b/>
          <w:bCs/>
          <w:sz w:val="22"/>
          <w:szCs w:val="22"/>
          <w:highlight w:val="yellow"/>
          <w:u w:val="single"/>
          <w:rtl/>
        </w:rPr>
        <w:t>סמכויות</w:t>
      </w:r>
      <w:r>
        <w:rPr>
          <w:rFonts w:ascii="Arial" w:hAnsi="Arial" w:cs="Arial" w:hint="cs"/>
          <w:b/>
          <w:bCs/>
          <w:sz w:val="22"/>
          <w:szCs w:val="22"/>
          <w:highlight w:val="yellow"/>
          <w:u w:val="single"/>
          <w:rtl/>
        </w:rPr>
        <w:t>יה של הרשות המינהלית</w:t>
      </w:r>
      <w:r w:rsidRPr="00D12489">
        <w:rPr>
          <w:rFonts w:ascii="Arial" w:hAnsi="Arial" w:cs="Arial"/>
          <w:b/>
          <w:bCs/>
          <w:sz w:val="22"/>
          <w:szCs w:val="22"/>
          <w:highlight w:val="yellow"/>
          <w:u w:val="single"/>
          <w:rtl/>
        </w:rPr>
        <w:t>:</w:t>
      </w:r>
      <w:r w:rsidRPr="00D12489">
        <w:rPr>
          <w:rFonts w:ascii="Arial" w:hAnsi="Arial" w:cs="Arial" w:hint="cs"/>
          <w:b/>
          <w:bCs/>
          <w:sz w:val="22"/>
          <w:szCs w:val="22"/>
          <w:highlight w:val="yellow"/>
          <w:u w:val="single"/>
          <w:rtl/>
        </w:rPr>
        <w:t xml:space="preserve"> </w:t>
      </w:r>
    </w:p>
    <w:p w:rsidR="005366A8" w:rsidRDefault="005366A8" w:rsidP="005366A8">
      <w:pPr>
        <w:spacing w:after="120"/>
        <w:ind w:left="720"/>
        <w:rPr>
          <w:rFonts w:ascii="Arial" w:hAnsi="Arial" w:cs="Arial"/>
          <w:b/>
          <w:bCs/>
          <w:sz w:val="22"/>
          <w:szCs w:val="22"/>
          <w:highlight w:val="yellow"/>
          <w:u w:val="single"/>
          <w:rtl/>
        </w:rPr>
      </w:pPr>
      <w:r w:rsidRPr="00D12489">
        <w:rPr>
          <w:rFonts w:ascii="Arial" w:hAnsi="Arial" w:cs="Arial"/>
          <w:b/>
          <w:bCs/>
          <w:sz w:val="22"/>
          <w:szCs w:val="22"/>
          <w:highlight w:val="yellow"/>
          <w:u w:val="single"/>
          <w:rtl/>
        </w:rPr>
        <w:t xml:space="preserve">סמכויות חקיקה; </w:t>
      </w:r>
    </w:p>
    <w:p w:rsidR="005366A8" w:rsidRDefault="005366A8" w:rsidP="005366A8">
      <w:pPr>
        <w:spacing w:after="120"/>
        <w:ind w:left="720"/>
        <w:rPr>
          <w:rFonts w:ascii="Arial" w:hAnsi="Arial" w:cs="Arial"/>
          <w:b/>
          <w:bCs/>
          <w:sz w:val="22"/>
          <w:szCs w:val="22"/>
          <w:highlight w:val="yellow"/>
          <w:u w:val="single"/>
          <w:rtl/>
        </w:rPr>
      </w:pPr>
      <w:r w:rsidRPr="00D12489">
        <w:rPr>
          <w:rFonts w:ascii="Arial" w:hAnsi="Arial" w:cs="Arial"/>
          <w:b/>
          <w:bCs/>
          <w:sz w:val="22"/>
          <w:szCs w:val="22"/>
          <w:highlight w:val="yellow"/>
          <w:u w:val="single"/>
          <w:rtl/>
        </w:rPr>
        <w:t>סמכויות שפיטה</w:t>
      </w:r>
      <w:r>
        <w:rPr>
          <w:rFonts w:ascii="Arial" w:hAnsi="Arial" w:cs="Arial" w:hint="cs"/>
          <w:b/>
          <w:bCs/>
          <w:sz w:val="22"/>
          <w:szCs w:val="22"/>
          <w:highlight w:val="yellow"/>
          <w:u w:val="single"/>
          <w:rtl/>
        </w:rPr>
        <w:t>/ סמכויות מעין-שיפוטיות</w:t>
      </w:r>
      <w:r w:rsidRPr="00D12489">
        <w:rPr>
          <w:rFonts w:ascii="Arial" w:hAnsi="Arial" w:cs="Arial"/>
          <w:b/>
          <w:bCs/>
          <w:sz w:val="22"/>
          <w:szCs w:val="22"/>
          <w:highlight w:val="yellow"/>
          <w:u w:val="single"/>
          <w:rtl/>
        </w:rPr>
        <w:t xml:space="preserve">; </w:t>
      </w:r>
    </w:p>
    <w:p w:rsidR="005366A8" w:rsidRPr="00D12489" w:rsidRDefault="005366A8" w:rsidP="005366A8">
      <w:pPr>
        <w:spacing w:after="240"/>
        <w:ind w:left="720"/>
        <w:rPr>
          <w:rFonts w:ascii="Arial" w:hAnsi="Arial" w:cs="Arial"/>
          <w:b/>
          <w:bCs/>
          <w:sz w:val="22"/>
          <w:szCs w:val="22"/>
          <w:u w:val="single"/>
          <w:rtl/>
        </w:rPr>
      </w:pPr>
      <w:r w:rsidRPr="00D12489">
        <w:rPr>
          <w:rFonts w:ascii="Arial" w:hAnsi="Arial" w:cs="Arial"/>
          <w:b/>
          <w:bCs/>
          <w:sz w:val="22"/>
          <w:szCs w:val="22"/>
          <w:highlight w:val="yellow"/>
          <w:u w:val="single"/>
          <w:rtl/>
        </w:rPr>
        <w:t>סמכויות ביצוע</w:t>
      </w:r>
      <w:r w:rsidRPr="00D12489">
        <w:rPr>
          <w:rFonts w:ascii="Arial" w:hAnsi="Arial" w:cs="Arial" w:hint="cs"/>
          <w:b/>
          <w:bCs/>
          <w:sz w:val="22"/>
          <w:szCs w:val="22"/>
          <w:highlight w:val="yellow"/>
          <w:u w:val="single"/>
          <w:rtl/>
        </w:rPr>
        <w:t xml:space="preserve">/ סמכויות </w:t>
      </w:r>
      <w:r w:rsidRPr="00536EAE">
        <w:rPr>
          <w:rFonts w:ascii="Arial" w:hAnsi="Arial" w:cs="Arial" w:hint="cs"/>
          <w:b/>
          <w:bCs/>
          <w:sz w:val="22"/>
          <w:szCs w:val="22"/>
          <w:highlight w:val="yellow"/>
          <w:u w:val="single"/>
          <w:rtl/>
        </w:rPr>
        <w:t>מינהל</w:t>
      </w:r>
      <w:r w:rsidRPr="00536EAE">
        <w:rPr>
          <w:rFonts w:ascii="Arial" w:hAnsi="Arial" w:cs="Arial" w:hint="cs"/>
          <w:b/>
          <w:bCs/>
          <w:sz w:val="22"/>
          <w:szCs w:val="22"/>
          <w:u w:val="single"/>
          <w:rtl/>
        </w:rPr>
        <w:t xml:space="preserve"> ('רגילות')</w:t>
      </w:r>
    </w:p>
    <w:p w:rsidR="005366A8" w:rsidRDefault="005366A8" w:rsidP="005366A8">
      <w:pPr>
        <w:spacing w:after="120"/>
        <w:rPr>
          <w:rFonts w:ascii="Arial" w:hAnsi="Arial" w:cs="Arial"/>
          <w:b/>
          <w:bCs/>
          <w:sz w:val="20"/>
          <w:szCs w:val="20"/>
          <w:rtl/>
        </w:rPr>
      </w:pPr>
      <w:r>
        <w:rPr>
          <w:rFonts w:ascii="Arial" w:hAnsi="Arial" w:cs="Arial" w:hint="cs"/>
          <w:b/>
          <w:bCs/>
          <w:sz w:val="20"/>
          <w:szCs w:val="20"/>
          <w:rtl/>
        </w:rPr>
        <w:t>"</w:t>
      </w:r>
      <w:r w:rsidRPr="004D7F07">
        <w:rPr>
          <w:rFonts w:ascii="Arial" w:hAnsi="Arial" w:cs="Arial" w:hint="cs"/>
          <w:b/>
          <w:bCs/>
          <w:sz w:val="20"/>
          <w:szCs w:val="20"/>
          <w:rtl/>
        </w:rPr>
        <w:t>סמכויות חקיקה</w:t>
      </w:r>
      <w:r>
        <w:rPr>
          <w:rFonts w:ascii="Arial" w:hAnsi="Arial" w:cs="Arial" w:hint="cs"/>
          <w:b/>
          <w:bCs/>
          <w:sz w:val="20"/>
          <w:szCs w:val="20"/>
          <w:rtl/>
        </w:rPr>
        <w:t>" הנתונות למינהל הציבורי:</w:t>
      </w:r>
      <w:r w:rsidRPr="004D7F07">
        <w:rPr>
          <w:rFonts w:ascii="Arial" w:hAnsi="Arial" w:cs="Arial" w:hint="cs"/>
          <w:b/>
          <w:bCs/>
          <w:sz w:val="20"/>
          <w:szCs w:val="20"/>
          <w:rtl/>
        </w:rPr>
        <w:t xml:space="preserve"> הכוונה לסמכויות לחקיקת</w:t>
      </w:r>
      <w:r>
        <w:rPr>
          <w:rFonts w:ascii="Arial" w:hAnsi="Arial" w:cs="Arial" w:hint="cs"/>
          <w:b/>
          <w:bCs/>
          <w:sz w:val="20"/>
          <w:szCs w:val="20"/>
          <w:rtl/>
        </w:rPr>
        <w:t>-</w:t>
      </w:r>
      <w:r w:rsidRPr="004D7F07">
        <w:rPr>
          <w:rFonts w:ascii="Arial" w:hAnsi="Arial" w:cs="Arial" w:hint="cs"/>
          <w:b/>
          <w:bCs/>
          <w:sz w:val="20"/>
          <w:szCs w:val="20"/>
          <w:rtl/>
        </w:rPr>
        <w:t>משנה הנתונה לרשות</w:t>
      </w:r>
      <w:r>
        <w:rPr>
          <w:rFonts w:ascii="Arial" w:hAnsi="Arial" w:cs="Arial" w:hint="cs"/>
          <w:b/>
          <w:bCs/>
          <w:sz w:val="20"/>
          <w:szCs w:val="20"/>
          <w:rtl/>
        </w:rPr>
        <w:t xml:space="preserve"> מינהלית </w:t>
      </w:r>
      <w:r>
        <w:rPr>
          <w:rFonts w:ascii="Arial" w:hAnsi="Arial" w:cs="Arial"/>
          <w:b/>
          <w:bCs/>
          <w:sz w:val="20"/>
          <w:szCs w:val="20"/>
          <w:rtl/>
        </w:rPr>
        <w:t>–</w:t>
      </w:r>
      <w:r>
        <w:rPr>
          <w:rFonts w:ascii="Arial" w:hAnsi="Arial" w:cs="Arial" w:hint="cs"/>
          <w:b/>
          <w:bCs/>
          <w:sz w:val="20"/>
          <w:szCs w:val="20"/>
          <w:rtl/>
        </w:rPr>
        <w:t xml:space="preserve"> </w:t>
      </w:r>
    </w:p>
    <w:p w:rsidR="005366A8" w:rsidRPr="002229F3" w:rsidRDefault="005366A8" w:rsidP="005366A8">
      <w:pPr>
        <w:spacing w:after="120"/>
        <w:ind w:left="1440" w:hanging="720"/>
        <w:rPr>
          <w:rFonts w:ascii="Arial" w:hAnsi="Arial" w:cs="David"/>
          <w:sz w:val="20"/>
          <w:szCs w:val="20"/>
          <w:rtl/>
        </w:rPr>
      </w:pPr>
      <w:r>
        <w:rPr>
          <w:rFonts w:ascii="Arial" w:hAnsi="Arial" w:cs="Arial" w:hint="cs"/>
          <w:b/>
          <w:bCs/>
          <w:sz w:val="20"/>
          <w:szCs w:val="20"/>
          <w:rtl/>
        </w:rPr>
        <w:t>"</w:t>
      </w:r>
      <w:r w:rsidRPr="002229F3">
        <w:rPr>
          <w:rFonts w:ascii="Arial" w:hAnsi="Arial" w:cs="Arial" w:hint="cs"/>
          <w:b/>
          <w:bCs/>
          <w:sz w:val="20"/>
          <w:szCs w:val="20"/>
          <w:u w:val="single"/>
          <w:rtl/>
        </w:rPr>
        <w:t>תקנות</w:t>
      </w:r>
      <w:r>
        <w:rPr>
          <w:rFonts w:ascii="Arial" w:hAnsi="Arial" w:cs="Arial" w:hint="cs"/>
          <w:b/>
          <w:bCs/>
          <w:sz w:val="20"/>
          <w:szCs w:val="20"/>
          <w:rtl/>
        </w:rPr>
        <w:t>" שקובע, לרוב, שר; או "</w:t>
      </w:r>
      <w:r w:rsidRPr="002229F3">
        <w:rPr>
          <w:rFonts w:ascii="Arial" w:hAnsi="Arial" w:cs="Arial" w:hint="cs"/>
          <w:b/>
          <w:bCs/>
          <w:sz w:val="20"/>
          <w:szCs w:val="20"/>
          <w:u w:val="single"/>
          <w:rtl/>
        </w:rPr>
        <w:t>צווים" בעלי אופי כללי</w:t>
      </w:r>
      <w:r>
        <w:rPr>
          <w:rFonts w:ascii="Arial" w:hAnsi="Arial" w:cs="Arial" w:hint="cs"/>
          <w:b/>
          <w:bCs/>
          <w:sz w:val="20"/>
          <w:szCs w:val="20"/>
          <w:rtl/>
        </w:rPr>
        <w:t xml:space="preserve"> </w:t>
      </w:r>
      <w:r w:rsidRPr="002229F3">
        <w:rPr>
          <w:rFonts w:ascii="Arial" w:hAnsi="Arial" w:cs="David" w:hint="cs"/>
          <w:sz w:val="20"/>
          <w:szCs w:val="20"/>
          <w:rtl/>
        </w:rPr>
        <w:t>(</w:t>
      </w:r>
      <w:r w:rsidRPr="00D80CB3">
        <w:rPr>
          <w:rFonts w:ascii="Arial" w:hAnsi="Arial" w:cs="David" w:hint="cs"/>
          <w:i/>
          <w:iCs/>
          <w:sz w:val="20"/>
          <w:szCs w:val="20"/>
          <w:rtl/>
        </w:rPr>
        <w:t>להבדיל</w:t>
      </w:r>
      <w:r w:rsidRPr="002229F3">
        <w:rPr>
          <w:rFonts w:ascii="Arial" w:hAnsi="Arial" w:cs="David" w:hint="cs"/>
          <w:sz w:val="20"/>
          <w:szCs w:val="20"/>
          <w:rtl/>
        </w:rPr>
        <w:t xml:space="preserve"> מצווים אינדיבידואליים, דוגמת צו מעצר מינהלי</w:t>
      </w:r>
      <w:r>
        <w:rPr>
          <w:rFonts w:ascii="Arial" w:hAnsi="Arial" w:cs="David" w:hint="cs"/>
          <w:sz w:val="20"/>
          <w:szCs w:val="20"/>
          <w:rtl/>
        </w:rPr>
        <w:t>; הוצאת צו אינדיווידואלי היא הפעלה של "סמכות ביצוע", להבדיל מסמכות חקיקה.</w:t>
      </w:r>
      <w:r w:rsidRPr="002229F3">
        <w:rPr>
          <w:rFonts w:ascii="Arial" w:hAnsi="Arial" w:cs="David" w:hint="cs"/>
          <w:sz w:val="20"/>
          <w:szCs w:val="20"/>
          <w:rtl/>
        </w:rPr>
        <w:t>)</w:t>
      </w:r>
    </w:p>
    <w:p w:rsidR="005366A8" w:rsidRDefault="005366A8" w:rsidP="005366A8">
      <w:pPr>
        <w:spacing w:after="120"/>
        <w:ind w:left="720"/>
        <w:rPr>
          <w:rFonts w:ascii="Arial" w:hAnsi="Arial" w:cs="Arial"/>
          <w:b/>
          <w:bCs/>
          <w:sz w:val="20"/>
          <w:szCs w:val="20"/>
          <w:rtl/>
        </w:rPr>
      </w:pPr>
      <w:r>
        <w:rPr>
          <w:rFonts w:ascii="Arial" w:hAnsi="Arial" w:cs="Arial" w:hint="cs"/>
          <w:b/>
          <w:bCs/>
          <w:sz w:val="20"/>
          <w:szCs w:val="20"/>
          <w:rtl/>
        </w:rPr>
        <w:t>"</w:t>
      </w:r>
      <w:r w:rsidRPr="002229F3">
        <w:rPr>
          <w:rFonts w:ascii="Arial" w:hAnsi="Arial" w:cs="Arial" w:hint="cs"/>
          <w:b/>
          <w:bCs/>
          <w:sz w:val="20"/>
          <w:szCs w:val="20"/>
          <w:u w:val="single"/>
          <w:rtl/>
        </w:rPr>
        <w:t>חוקי-עזר</w:t>
      </w:r>
      <w:r>
        <w:rPr>
          <w:rFonts w:ascii="Arial" w:hAnsi="Arial" w:cs="Arial" w:hint="cs"/>
          <w:b/>
          <w:bCs/>
          <w:sz w:val="20"/>
          <w:szCs w:val="20"/>
          <w:rtl/>
        </w:rPr>
        <w:t>" שמחוקקים על ידי מועצת עיר או רשות מקומית אחרת;</w:t>
      </w:r>
    </w:p>
    <w:p w:rsidR="005366A8" w:rsidRDefault="005366A8" w:rsidP="005366A8">
      <w:pPr>
        <w:spacing w:after="120"/>
        <w:ind w:left="1440" w:hanging="720"/>
        <w:rPr>
          <w:rFonts w:ascii="Arial" w:hAnsi="Arial" w:cs="David"/>
          <w:sz w:val="20"/>
          <w:szCs w:val="20"/>
          <w:rtl/>
        </w:rPr>
      </w:pPr>
      <w:r>
        <w:rPr>
          <w:rFonts w:ascii="Arial" w:hAnsi="Arial" w:cs="Arial" w:hint="cs"/>
          <w:b/>
          <w:bCs/>
          <w:sz w:val="20"/>
          <w:szCs w:val="20"/>
          <w:rtl/>
        </w:rPr>
        <w:t>"</w:t>
      </w:r>
      <w:r w:rsidRPr="002229F3">
        <w:rPr>
          <w:rFonts w:ascii="Arial" w:hAnsi="Arial" w:cs="Arial" w:hint="cs"/>
          <w:b/>
          <w:bCs/>
          <w:sz w:val="20"/>
          <w:szCs w:val="20"/>
          <w:u w:val="single"/>
          <w:rtl/>
        </w:rPr>
        <w:t>כללים</w:t>
      </w:r>
      <w:r>
        <w:rPr>
          <w:rFonts w:ascii="Arial" w:hAnsi="Arial" w:cs="Arial" w:hint="cs"/>
          <w:b/>
          <w:bCs/>
          <w:sz w:val="20"/>
          <w:szCs w:val="20"/>
          <w:rtl/>
        </w:rPr>
        <w:t xml:space="preserve">" שנקבעים על ידי תאגיד סטוטורי (למשל, </w:t>
      </w:r>
      <w:r w:rsidRPr="002229F3">
        <w:rPr>
          <w:rFonts w:ascii="Arial" w:hAnsi="Arial" w:cs="David" w:hint="cs"/>
          <w:sz w:val="20"/>
          <w:szCs w:val="20"/>
          <w:rtl/>
        </w:rPr>
        <w:t>כללי רשות השידור (תשדירי פרסומת והודעות ברדיו), התשנ"ג-1993</w:t>
      </w:r>
      <w:r>
        <w:rPr>
          <w:rFonts w:ascii="Arial" w:hAnsi="Arial" w:cs="David" w:hint="cs"/>
          <w:sz w:val="20"/>
          <w:szCs w:val="20"/>
          <w:rtl/>
        </w:rPr>
        <w:t>)</w:t>
      </w:r>
    </w:p>
    <w:p w:rsidR="005366A8" w:rsidRPr="00976E2F" w:rsidRDefault="005366A8" w:rsidP="005366A8">
      <w:pPr>
        <w:spacing w:after="120"/>
        <w:ind w:left="2160" w:hanging="720"/>
        <w:rPr>
          <w:sz w:val="20"/>
          <w:szCs w:val="20"/>
          <w:rtl/>
        </w:rPr>
      </w:pPr>
      <w:r>
        <w:rPr>
          <w:rFonts w:hint="cs"/>
          <w:sz w:val="20"/>
          <w:szCs w:val="20"/>
          <w:rtl/>
        </w:rPr>
        <w:t>[זכרו כמובן את המיקום של נורמות אלו בפירמידה הנורמטיבית: הן מצויות מתחת ל"משפט המקובל נוסח ישראל"; מתחת לחקיקה (שמעל "המשפט המקובל נוסח ישראל"), וכמובן שהם מתחת לחוקי היסוד].</w:t>
      </w:r>
    </w:p>
    <w:p w:rsidR="005366A8" w:rsidRPr="004D7F07" w:rsidRDefault="005366A8" w:rsidP="005366A8">
      <w:pPr>
        <w:spacing w:after="120"/>
        <w:rPr>
          <w:rFonts w:ascii="Arial" w:hAnsi="Arial" w:cs="Arial"/>
          <w:b/>
          <w:bCs/>
          <w:sz w:val="20"/>
          <w:szCs w:val="20"/>
          <w:rtl/>
        </w:rPr>
      </w:pPr>
      <w:r>
        <w:rPr>
          <w:rFonts w:ascii="Arial" w:hAnsi="Arial" w:cs="Arial" w:hint="cs"/>
          <w:b/>
          <w:bCs/>
          <w:sz w:val="20"/>
          <w:szCs w:val="20"/>
          <w:rtl/>
        </w:rPr>
        <w:t>"</w:t>
      </w:r>
      <w:r w:rsidRPr="004D7F07">
        <w:rPr>
          <w:rFonts w:ascii="Arial" w:hAnsi="Arial" w:cs="Arial" w:hint="cs"/>
          <w:b/>
          <w:bCs/>
          <w:sz w:val="20"/>
          <w:szCs w:val="20"/>
          <w:rtl/>
        </w:rPr>
        <w:t>סמכויות שפיטה</w:t>
      </w:r>
      <w:r>
        <w:rPr>
          <w:rFonts w:ascii="Arial" w:hAnsi="Arial" w:cs="Arial" w:hint="cs"/>
          <w:b/>
          <w:bCs/>
          <w:sz w:val="20"/>
          <w:szCs w:val="20"/>
          <w:rtl/>
        </w:rPr>
        <w:t>" של המינהל הציבורי: הכוונה</w:t>
      </w:r>
      <w:r w:rsidRPr="004D7F07">
        <w:rPr>
          <w:rFonts w:ascii="Arial" w:hAnsi="Arial" w:cs="Arial" w:hint="cs"/>
          <w:b/>
          <w:bCs/>
          <w:sz w:val="20"/>
          <w:szCs w:val="20"/>
          <w:rtl/>
        </w:rPr>
        <w:t xml:space="preserve"> </w:t>
      </w:r>
      <w:r>
        <w:rPr>
          <w:rFonts w:ascii="Arial" w:hAnsi="Arial" w:cs="Arial" w:hint="cs"/>
          <w:b/>
          <w:bCs/>
          <w:sz w:val="20"/>
          <w:szCs w:val="20"/>
          <w:rtl/>
        </w:rPr>
        <w:t>ל</w:t>
      </w:r>
      <w:r w:rsidRPr="004D7F07">
        <w:rPr>
          <w:rFonts w:ascii="Arial" w:hAnsi="Arial" w:cs="Arial" w:hint="cs"/>
          <w:b/>
          <w:bCs/>
          <w:sz w:val="20"/>
          <w:szCs w:val="20"/>
          <w:rtl/>
        </w:rPr>
        <w:t>"סמכויות מעין שיפוטיות"</w:t>
      </w:r>
      <w:r>
        <w:rPr>
          <w:rFonts w:ascii="Arial" w:hAnsi="Arial" w:cs="Arial" w:hint="cs"/>
          <w:b/>
          <w:bCs/>
          <w:sz w:val="20"/>
          <w:szCs w:val="20"/>
          <w:rtl/>
        </w:rPr>
        <w:t xml:space="preserve"> הנתונות לרשות מינהלית </w:t>
      </w:r>
      <w:r>
        <w:rPr>
          <w:rFonts w:ascii="Arial" w:hAnsi="Arial" w:cs="Arial"/>
          <w:b/>
          <w:bCs/>
          <w:sz w:val="20"/>
          <w:szCs w:val="20"/>
          <w:rtl/>
        </w:rPr>
        <w:t>–</w:t>
      </w:r>
      <w:r>
        <w:rPr>
          <w:rFonts w:ascii="Arial" w:hAnsi="Arial" w:cs="Arial" w:hint="cs"/>
          <w:b/>
          <w:bCs/>
          <w:sz w:val="20"/>
          <w:szCs w:val="20"/>
          <w:rtl/>
        </w:rPr>
        <w:t xml:space="preserve"> </w:t>
      </w:r>
    </w:p>
    <w:p w:rsidR="005366A8" w:rsidRDefault="005366A8" w:rsidP="005366A8">
      <w:pPr>
        <w:pStyle w:val="Heading5"/>
        <w:spacing w:after="0"/>
        <w:ind w:right="-142"/>
        <w:rPr>
          <w:sz w:val="22"/>
          <w:szCs w:val="22"/>
          <w:rtl/>
        </w:rPr>
      </w:pPr>
    </w:p>
    <w:p w:rsidR="005366A8" w:rsidRDefault="005366A8" w:rsidP="005366A8">
      <w:pPr>
        <w:pStyle w:val="Heading5"/>
        <w:spacing w:after="0"/>
        <w:ind w:right="-142"/>
        <w:rPr>
          <w:sz w:val="22"/>
          <w:szCs w:val="22"/>
          <w:rtl/>
        </w:rPr>
      </w:pPr>
      <w:r>
        <w:rPr>
          <w:rFonts w:hint="cs"/>
          <w:sz w:val="22"/>
          <w:szCs w:val="22"/>
          <w:rtl/>
        </w:rPr>
        <w:t>^</w:t>
      </w:r>
      <w:r w:rsidRPr="000A2EEF">
        <w:rPr>
          <w:rFonts w:hint="cs"/>
          <w:sz w:val="22"/>
          <w:szCs w:val="22"/>
          <w:rtl/>
        </w:rPr>
        <w:t>מה ה</w:t>
      </w:r>
      <w:r w:rsidRPr="000A2EEF">
        <w:rPr>
          <w:sz w:val="22"/>
          <w:szCs w:val="22"/>
          <w:rtl/>
        </w:rPr>
        <w:t>נפקות</w:t>
      </w:r>
      <w:r w:rsidRPr="000A2EEF">
        <w:rPr>
          <w:rFonts w:hint="cs"/>
          <w:sz w:val="22"/>
          <w:szCs w:val="22"/>
          <w:rtl/>
        </w:rPr>
        <w:t xml:space="preserve"> שיש ל</w:t>
      </w:r>
      <w:r w:rsidRPr="000A2EEF">
        <w:rPr>
          <w:sz w:val="22"/>
          <w:szCs w:val="22"/>
          <w:rtl/>
        </w:rPr>
        <w:t xml:space="preserve">סיווג החלטה/פעולה </w:t>
      </w:r>
      <w:r>
        <w:rPr>
          <w:rFonts w:hint="cs"/>
          <w:sz w:val="22"/>
          <w:szCs w:val="22"/>
          <w:rtl/>
        </w:rPr>
        <w:t>מנהלית</w:t>
      </w:r>
      <w:r w:rsidRPr="000A2EEF">
        <w:rPr>
          <w:sz w:val="22"/>
          <w:szCs w:val="22"/>
          <w:rtl/>
        </w:rPr>
        <w:t xml:space="preserve"> נתקפת כשיפוטית או </w:t>
      </w:r>
      <w:r>
        <w:rPr>
          <w:rFonts w:hint="cs"/>
          <w:sz w:val="22"/>
          <w:szCs w:val="22"/>
          <w:rtl/>
        </w:rPr>
        <w:t>כ</w:t>
      </w:r>
      <w:r w:rsidRPr="000A2EEF">
        <w:rPr>
          <w:sz w:val="22"/>
          <w:szCs w:val="22"/>
          <w:rtl/>
        </w:rPr>
        <w:t>מעין-שיפוטית</w:t>
      </w:r>
      <w:r w:rsidRPr="000A2EEF">
        <w:rPr>
          <w:rFonts w:hint="cs"/>
          <w:sz w:val="22"/>
          <w:szCs w:val="22"/>
          <w:rtl/>
        </w:rPr>
        <w:t xml:space="preserve">? </w:t>
      </w:r>
    </w:p>
    <w:p w:rsidR="005366A8" w:rsidRDefault="005366A8" w:rsidP="005366A8">
      <w:pPr>
        <w:pStyle w:val="Heading5"/>
        <w:spacing w:after="0"/>
        <w:ind w:right="-142"/>
        <w:rPr>
          <w:sz w:val="22"/>
          <w:szCs w:val="22"/>
          <w:rtl/>
        </w:rPr>
      </w:pPr>
      <w:r>
        <w:rPr>
          <w:rFonts w:hint="cs"/>
          <w:sz w:val="22"/>
          <w:szCs w:val="22"/>
          <w:rtl/>
        </w:rPr>
        <w:t>^</w:t>
      </w:r>
      <w:r w:rsidRPr="000A2EEF">
        <w:rPr>
          <w:rFonts w:hint="cs"/>
          <w:sz w:val="22"/>
          <w:szCs w:val="22"/>
          <w:rtl/>
        </w:rPr>
        <w:t>מה הנפקות שיש לסיווגה כסמכות תחיקתית?</w:t>
      </w:r>
      <w:r w:rsidRPr="000A2EEF">
        <w:rPr>
          <w:sz w:val="22"/>
          <w:szCs w:val="22"/>
          <w:rtl/>
        </w:rPr>
        <w:t xml:space="preserve"> </w:t>
      </w:r>
    </w:p>
    <w:p w:rsidR="005366A8" w:rsidRDefault="005366A8" w:rsidP="005366A8">
      <w:pPr>
        <w:pStyle w:val="Heading5"/>
        <w:spacing w:after="0"/>
        <w:rPr>
          <w:szCs w:val="22"/>
          <w:rtl/>
        </w:rPr>
      </w:pPr>
      <w:r>
        <w:rPr>
          <w:rFonts w:hint="cs"/>
          <w:sz w:val="22"/>
          <w:szCs w:val="22"/>
          <w:rtl/>
        </w:rPr>
        <w:t>^כיצד נזהה כל אחד מסוגי הסמכויות המינהליות?</w:t>
      </w:r>
      <w:r w:rsidRPr="000A2EEF">
        <w:rPr>
          <w:sz w:val="22"/>
          <w:szCs w:val="22"/>
          <w:rtl/>
        </w:rPr>
        <w:t xml:space="preserve"> </w:t>
      </w:r>
    </w:p>
    <w:p w:rsidR="005366A8" w:rsidRDefault="005366A8" w:rsidP="005366A8">
      <w:pPr>
        <w:rPr>
          <w:rtl/>
        </w:rPr>
      </w:pPr>
    </w:p>
    <w:p w:rsidR="005366A8" w:rsidRDefault="005366A8" w:rsidP="005366A8">
      <w:pPr>
        <w:rPr>
          <w:rtl/>
        </w:rPr>
      </w:pPr>
      <w:r>
        <w:rPr>
          <w:rFonts w:hint="cs"/>
          <w:rtl/>
        </w:rPr>
        <w:t>=-=</w:t>
      </w:r>
    </w:p>
    <w:p w:rsidR="005366A8" w:rsidRDefault="005366A8" w:rsidP="005366A8">
      <w:pPr>
        <w:spacing w:after="240"/>
        <w:rPr>
          <w:rtl/>
        </w:rPr>
      </w:pPr>
      <w:r w:rsidRPr="008B5165">
        <w:rPr>
          <w:rFonts w:hint="cs"/>
          <w:b/>
          <w:bCs/>
          <w:rtl/>
        </w:rPr>
        <w:t>נפקות ההבחנה</w:t>
      </w:r>
      <w:r>
        <w:rPr>
          <w:rFonts w:hint="cs"/>
          <w:b/>
          <w:bCs/>
          <w:rtl/>
        </w:rPr>
        <w:t xml:space="preserve"> בין סוגי הסמכויות</w:t>
      </w:r>
      <w:r w:rsidRPr="008B5165">
        <w:rPr>
          <w:rFonts w:hint="cs"/>
          <w:b/>
          <w:bCs/>
          <w:rtl/>
        </w:rPr>
        <w:t>?</w:t>
      </w:r>
      <w:r>
        <w:rPr>
          <w:rFonts w:hint="cs"/>
          <w:rtl/>
        </w:rPr>
        <w:t xml:space="preserve"> ראו למשל את הוראות הדין הבאות ואת הפסיקה הבאה.</w:t>
      </w:r>
    </w:p>
    <w:p w:rsidR="005366A8" w:rsidRPr="0058673E" w:rsidRDefault="005366A8" w:rsidP="005366A8">
      <w:pPr>
        <w:spacing w:after="120"/>
        <w:jc w:val="center"/>
        <w:rPr>
          <w:sz w:val="22"/>
          <w:szCs w:val="22"/>
          <w:rtl/>
        </w:rPr>
      </w:pPr>
      <w:r w:rsidRPr="00DB14F2">
        <w:rPr>
          <w:rFonts w:hint="cs"/>
          <w:b/>
          <w:bCs/>
          <w:highlight w:val="yellow"/>
          <w:rtl/>
        </w:rPr>
        <w:t>חוק יסוד: הממשלה</w:t>
      </w:r>
      <w:r w:rsidRPr="0058673E">
        <w:rPr>
          <w:rFonts w:hint="cs"/>
          <w:sz w:val="22"/>
          <w:szCs w:val="22"/>
          <w:rtl/>
        </w:rPr>
        <w:t xml:space="preserve"> (</w:t>
      </w:r>
      <w:r>
        <w:rPr>
          <w:rFonts w:hint="cs"/>
          <w:sz w:val="22"/>
          <w:szCs w:val="22"/>
          <w:rtl/>
        </w:rPr>
        <w:t>בנוסחו הנוכחי, שהתקבל ב</w:t>
      </w:r>
      <w:r w:rsidRPr="0058673E">
        <w:rPr>
          <w:rFonts w:hint="cs"/>
          <w:sz w:val="22"/>
          <w:szCs w:val="22"/>
          <w:rtl/>
        </w:rPr>
        <w:t>תשס"א</w:t>
      </w:r>
      <w:r>
        <w:rPr>
          <w:rFonts w:hint="cs"/>
          <w:sz w:val="22"/>
          <w:szCs w:val="22"/>
          <w:rtl/>
        </w:rPr>
        <w:t>, 2001</w:t>
      </w:r>
      <w:r w:rsidRPr="0058673E">
        <w:rPr>
          <w:rFonts w:hint="cs"/>
          <w:sz w:val="22"/>
          <w:szCs w:val="22"/>
          <w:rtl/>
        </w:rPr>
        <w:t>)</w:t>
      </w:r>
    </w:p>
    <w:p w:rsidR="005366A8" w:rsidRPr="0058673E" w:rsidRDefault="005366A8" w:rsidP="005366A8">
      <w:pPr>
        <w:ind w:left="720"/>
        <w:rPr>
          <w:rFonts w:cs="David"/>
          <w:sz w:val="22"/>
          <w:szCs w:val="22"/>
          <w:rtl/>
        </w:rPr>
      </w:pPr>
      <w:r w:rsidRPr="0058673E">
        <w:rPr>
          <w:rFonts w:cs="David"/>
          <w:sz w:val="22"/>
          <w:szCs w:val="22"/>
          <w:rtl/>
        </w:rPr>
        <w:t xml:space="preserve"> 33. </w:t>
      </w:r>
      <w:r w:rsidRPr="0058673E">
        <w:rPr>
          <w:rFonts w:cs="David" w:hint="cs"/>
          <w:sz w:val="22"/>
          <w:szCs w:val="22"/>
          <w:rtl/>
        </w:rPr>
        <w:t>[</w:t>
      </w:r>
      <w:r w:rsidRPr="0058673E">
        <w:rPr>
          <w:rFonts w:cs="David"/>
          <w:b/>
          <w:bCs/>
          <w:sz w:val="22"/>
          <w:szCs w:val="22"/>
          <w:rtl/>
        </w:rPr>
        <w:t>אצילת סמכויות</w:t>
      </w:r>
      <w:r w:rsidRPr="0058673E">
        <w:rPr>
          <w:rFonts w:cs="David" w:hint="cs"/>
          <w:sz w:val="22"/>
          <w:szCs w:val="22"/>
          <w:rtl/>
        </w:rPr>
        <w:t>]</w:t>
      </w:r>
      <w:r w:rsidRPr="0058673E">
        <w:rPr>
          <w:rFonts w:cs="David"/>
          <w:sz w:val="22"/>
          <w:szCs w:val="22"/>
          <w:rtl/>
        </w:rPr>
        <w:t xml:space="preserve"> </w:t>
      </w:r>
    </w:p>
    <w:p w:rsidR="005366A8" w:rsidRPr="0058673E" w:rsidRDefault="005366A8" w:rsidP="005366A8">
      <w:pPr>
        <w:spacing w:after="120"/>
        <w:rPr>
          <w:rFonts w:cs="David"/>
          <w:sz w:val="22"/>
          <w:szCs w:val="22"/>
          <w:rtl/>
        </w:rPr>
      </w:pPr>
      <w:r w:rsidRPr="0058673E">
        <w:rPr>
          <w:rFonts w:cs="David" w:hint="cs"/>
          <w:sz w:val="22"/>
          <w:szCs w:val="22"/>
          <w:rtl/>
        </w:rPr>
        <w:t xml:space="preserve">[...] </w:t>
      </w:r>
      <w:r w:rsidRPr="0058673E">
        <w:rPr>
          <w:rFonts w:cs="David"/>
          <w:sz w:val="22"/>
          <w:szCs w:val="22"/>
          <w:rtl/>
        </w:rPr>
        <w:t xml:space="preserve">(ב) סמכות הנתונה לאחד השרים על פי חוק או שהועברה לו על פי סעיף 31(ב), </w:t>
      </w:r>
      <w:r w:rsidRPr="0058673E">
        <w:rPr>
          <w:rFonts w:cs="David"/>
          <w:b/>
          <w:bCs/>
          <w:sz w:val="22"/>
          <w:szCs w:val="22"/>
          <w:rtl/>
        </w:rPr>
        <w:t>למעט סמכות להתקין תקנות</w:t>
      </w:r>
      <w:r w:rsidRPr="0058673E">
        <w:rPr>
          <w:rFonts w:cs="David"/>
          <w:sz w:val="22"/>
          <w:szCs w:val="22"/>
          <w:rtl/>
        </w:rPr>
        <w:t>, רשאי השר לאצול, כולה, מקצתה או בסייגים, לעובד ציבור.</w:t>
      </w:r>
      <w:r>
        <w:rPr>
          <w:rFonts w:cs="David"/>
          <w:sz w:val="22"/>
          <w:szCs w:val="22"/>
          <w:rtl/>
        </w:rPr>
        <w:t xml:space="preserve"> </w:t>
      </w:r>
      <w:r w:rsidRPr="0058673E">
        <w:rPr>
          <w:rFonts w:cs="David" w:hint="cs"/>
          <w:sz w:val="22"/>
          <w:szCs w:val="22"/>
          <w:rtl/>
        </w:rPr>
        <w:t>[...]</w:t>
      </w:r>
    </w:p>
    <w:p w:rsidR="005366A8" w:rsidRPr="0058673E" w:rsidRDefault="005366A8" w:rsidP="005366A8">
      <w:pPr>
        <w:ind w:left="720"/>
        <w:rPr>
          <w:rFonts w:cs="David"/>
          <w:sz w:val="22"/>
          <w:szCs w:val="22"/>
          <w:rtl/>
        </w:rPr>
      </w:pPr>
      <w:r w:rsidRPr="0058673E">
        <w:rPr>
          <w:rFonts w:cs="David"/>
          <w:sz w:val="22"/>
          <w:szCs w:val="22"/>
          <w:rtl/>
        </w:rPr>
        <w:t xml:space="preserve">34. </w:t>
      </w:r>
      <w:r w:rsidRPr="0058673E">
        <w:rPr>
          <w:rFonts w:cs="David" w:hint="cs"/>
          <w:sz w:val="22"/>
          <w:szCs w:val="22"/>
          <w:rtl/>
        </w:rPr>
        <w:t>[</w:t>
      </w:r>
      <w:r w:rsidRPr="0058673E">
        <w:rPr>
          <w:rFonts w:cs="David"/>
          <w:b/>
          <w:bCs/>
          <w:sz w:val="22"/>
          <w:szCs w:val="22"/>
          <w:rtl/>
        </w:rPr>
        <w:t>נטילת סמכויות</w:t>
      </w:r>
      <w:r w:rsidRPr="0058673E">
        <w:rPr>
          <w:rFonts w:cs="David" w:hint="cs"/>
          <w:sz w:val="22"/>
          <w:szCs w:val="22"/>
          <w:rtl/>
        </w:rPr>
        <w:t>]</w:t>
      </w:r>
      <w:r w:rsidRPr="0058673E">
        <w:rPr>
          <w:rFonts w:cs="David"/>
          <w:sz w:val="22"/>
          <w:szCs w:val="22"/>
          <w:rtl/>
        </w:rPr>
        <w:t xml:space="preserve"> </w:t>
      </w:r>
    </w:p>
    <w:p w:rsidR="005366A8" w:rsidRDefault="005366A8" w:rsidP="005366A8">
      <w:pPr>
        <w:spacing w:after="240"/>
        <w:rPr>
          <w:sz w:val="20"/>
          <w:szCs w:val="20"/>
          <w:rtl/>
        </w:rPr>
      </w:pPr>
      <w:r w:rsidRPr="0058673E">
        <w:rPr>
          <w:rFonts w:cs="David"/>
          <w:sz w:val="22"/>
          <w:szCs w:val="22"/>
          <w:rtl/>
        </w:rPr>
        <w:t xml:space="preserve">שר הממונה על ביצועו של חוק רשאי ליטול לעצמו כל סמכות, </w:t>
      </w:r>
      <w:r w:rsidRPr="0058673E">
        <w:rPr>
          <w:rFonts w:cs="David"/>
          <w:b/>
          <w:bCs/>
          <w:sz w:val="22"/>
          <w:szCs w:val="22"/>
          <w:rtl/>
        </w:rPr>
        <w:t>למעט סמכות בעלת אופי שיפוטי</w:t>
      </w:r>
      <w:r w:rsidRPr="0058673E">
        <w:rPr>
          <w:rFonts w:cs="David"/>
          <w:sz w:val="22"/>
          <w:szCs w:val="22"/>
          <w:rtl/>
        </w:rPr>
        <w:t>, הנתונה על פי אותו חוק לעובד המדינה, אם אין כוונה אחרת משתמעת מן החוק;</w:t>
      </w:r>
      <w:r w:rsidRPr="0058673E">
        <w:rPr>
          <w:rFonts w:cs="David" w:hint="cs"/>
          <w:sz w:val="22"/>
          <w:szCs w:val="22"/>
          <w:rtl/>
        </w:rPr>
        <w:t xml:space="preserve"> </w:t>
      </w:r>
      <w:r w:rsidRPr="0058673E">
        <w:rPr>
          <w:rFonts w:cs="David"/>
          <w:sz w:val="22"/>
          <w:szCs w:val="22"/>
          <w:rtl/>
        </w:rPr>
        <w:t>השר רשאי לעשות כאמור לענין מסוים או לתקופה מסוימת.</w:t>
      </w:r>
      <w:r w:rsidRPr="00A83858">
        <w:rPr>
          <w:sz w:val="20"/>
          <w:szCs w:val="20"/>
          <w:rtl/>
        </w:rPr>
        <w:t xml:space="preserve"> </w:t>
      </w:r>
    </w:p>
    <w:p w:rsidR="005366A8" w:rsidRDefault="005366A8" w:rsidP="005366A8">
      <w:pPr>
        <w:spacing w:after="120"/>
        <w:rPr>
          <w:sz w:val="22"/>
          <w:szCs w:val="22"/>
          <w:highlight w:val="yellow"/>
          <w:rtl/>
        </w:rPr>
      </w:pPr>
      <w:r>
        <w:rPr>
          <w:rFonts w:hint="cs"/>
          <w:sz w:val="22"/>
          <w:szCs w:val="22"/>
          <w:highlight w:val="yellow"/>
          <w:rtl/>
        </w:rPr>
        <w:t>=-=</w:t>
      </w:r>
    </w:p>
    <w:p w:rsidR="005366A8" w:rsidRPr="00536EAE" w:rsidRDefault="005366A8" w:rsidP="005366A8">
      <w:pPr>
        <w:spacing w:after="120"/>
        <w:rPr>
          <w:rFonts w:asciiTheme="minorBidi" w:hAnsiTheme="minorBidi" w:cstheme="minorBidi"/>
          <w:sz w:val="22"/>
          <w:szCs w:val="22"/>
          <w:highlight w:val="yellow"/>
          <w:rtl/>
        </w:rPr>
      </w:pPr>
      <w:r w:rsidRPr="00536EAE">
        <w:rPr>
          <w:rFonts w:asciiTheme="minorBidi" w:hAnsiTheme="minorBidi" w:cstheme="minorBidi"/>
          <w:sz w:val="22"/>
          <w:szCs w:val="22"/>
          <w:highlight w:val="yellow"/>
          <w:rtl/>
        </w:rPr>
        <w:t>פסיקה רלבנטית</w:t>
      </w:r>
    </w:p>
    <w:p w:rsidR="005366A8" w:rsidRPr="00536EAE" w:rsidRDefault="005366A8" w:rsidP="005366A8">
      <w:pPr>
        <w:spacing w:after="120"/>
        <w:rPr>
          <w:b/>
          <w:bCs/>
          <w:sz w:val="28"/>
          <w:szCs w:val="28"/>
          <w:u w:val="single"/>
          <w:rtl/>
        </w:rPr>
      </w:pPr>
      <w:r w:rsidRPr="00536EAE">
        <w:rPr>
          <w:rFonts w:hint="cs"/>
          <w:b/>
          <w:bCs/>
          <w:sz w:val="28"/>
          <w:szCs w:val="28"/>
          <w:highlight w:val="yellow"/>
          <w:u w:val="single"/>
          <w:rtl/>
        </w:rPr>
        <w:t>"סמכויות מעין-שיפוטיות"</w:t>
      </w:r>
    </w:p>
    <w:p w:rsidR="005366A8" w:rsidRDefault="005366A8" w:rsidP="005366A8">
      <w:pPr>
        <w:rPr>
          <w:i/>
          <w:iCs/>
          <w:sz w:val="22"/>
          <w:szCs w:val="22"/>
          <w:rtl/>
        </w:rPr>
      </w:pPr>
      <w:r w:rsidRPr="005C3B0C">
        <w:rPr>
          <w:rFonts w:hint="cs"/>
          <w:i/>
          <w:iCs/>
          <w:sz w:val="22"/>
          <w:szCs w:val="22"/>
          <w:rtl/>
        </w:rPr>
        <w:t>הזיהוי סבוך למדי. להלן ניסיונות הגדרה שמופיעים בפסיקה ובדין. עדיין הלימוד העיקרי שלנו הוא מתוך התבוננות במקרים ולימוד מהם.</w:t>
      </w:r>
    </w:p>
    <w:p w:rsidR="005366A8" w:rsidRPr="005C3B0C" w:rsidRDefault="005366A8" w:rsidP="005366A8">
      <w:pPr>
        <w:rPr>
          <w:i/>
          <w:iCs/>
          <w:sz w:val="22"/>
          <w:szCs w:val="22"/>
          <w:highlight w:val="yellow"/>
          <w:rtl/>
        </w:rPr>
      </w:pPr>
    </w:p>
    <w:p w:rsidR="005366A8" w:rsidRDefault="005366A8" w:rsidP="005366A8">
      <w:pPr>
        <w:spacing w:after="120"/>
        <w:jc w:val="center"/>
        <w:rPr>
          <w:sz w:val="20"/>
          <w:szCs w:val="20"/>
          <w:rtl/>
        </w:rPr>
      </w:pPr>
      <w:r w:rsidRPr="0058673E">
        <w:rPr>
          <w:sz w:val="22"/>
          <w:szCs w:val="22"/>
          <w:highlight w:val="yellow"/>
          <w:rtl/>
        </w:rPr>
        <w:t xml:space="preserve">בג"צ 3/58 </w:t>
      </w:r>
      <w:r w:rsidRPr="0058673E">
        <w:rPr>
          <w:b/>
          <w:bCs/>
          <w:sz w:val="22"/>
          <w:szCs w:val="22"/>
          <w:highlight w:val="yellow"/>
          <w:rtl/>
        </w:rPr>
        <w:t>ברמן נ' שר הפנים</w:t>
      </w:r>
      <w:r w:rsidRPr="0058673E">
        <w:rPr>
          <w:sz w:val="22"/>
          <w:szCs w:val="22"/>
          <w:highlight w:val="yellow"/>
          <w:rtl/>
        </w:rPr>
        <w:t>, פ"ד יב 1493</w:t>
      </w:r>
      <w:r w:rsidRPr="0058673E">
        <w:rPr>
          <w:rFonts w:hint="cs"/>
          <w:sz w:val="22"/>
          <w:szCs w:val="22"/>
          <w:rtl/>
        </w:rPr>
        <w:t>, השו' זילברג, סע' 11 לפסק דינו [ההדגשות הוספו]</w:t>
      </w:r>
      <w:r>
        <w:rPr>
          <w:rFonts w:hint="cs"/>
          <w:sz w:val="20"/>
          <w:szCs w:val="20"/>
          <w:rtl/>
        </w:rPr>
        <w:t>:</w:t>
      </w:r>
    </w:p>
    <w:p w:rsidR="005366A8" w:rsidRDefault="005366A8" w:rsidP="005366A8">
      <w:pPr>
        <w:rPr>
          <w:sz w:val="22"/>
          <w:szCs w:val="22"/>
          <w:rtl/>
        </w:rPr>
      </w:pPr>
      <w:r w:rsidRPr="00A60953">
        <w:rPr>
          <w:sz w:val="20"/>
          <w:szCs w:val="20"/>
          <w:highlight w:val="yellow"/>
          <w:rtl/>
        </w:rPr>
        <w:t xml:space="preserve">כמה מן ה"שיפוטיות" חייב להיות במעשה הגוף האדמיניסטרטיבי, כדי שיזכה לתואר </w:t>
      </w:r>
      <w:r w:rsidRPr="00A60953">
        <w:rPr>
          <w:b/>
          <w:bCs/>
          <w:sz w:val="20"/>
          <w:szCs w:val="20"/>
          <w:highlight w:val="yellow"/>
          <w:rtl/>
        </w:rPr>
        <w:t>"מעין-שיפוטי"</w:t>
      </w:r>
      <w:r w:rsidRPr="00A60953">
        <w:rPr>
          <w:sz w:val="20"/>
          <w:szCs w:val="20"/>
          <w:highlight w:val="yellow"/>
          <w:rtl/>
        </w:rPr>
        <w:t xml:space="preserve"> </w:t>
      </w:r>
      <w:r w:rsidRPr="00A60953">
        <w:rPr>
          <w:rFonts w:hint="cs"/>
          <w:sz w:val="20"/>
          <w:szCs w:val="20"/>
          <w:highlight w:val="yellow"/>
          <w:rtl/>
        </w:rPr>
        <w:t>[...]</w:t>
      </w:r>
      <w:r w:rsidRPr="00A60953">
        <w:rPr>
          <w:sz w:val="20"/>
          <w:szCs w:val="20"/>
          <w:highlight w:val="yellow"/>
          <w:rtl/>
        </w:rPr>
        <w:t xml:space="preserve">? שהרי משהו שבמשהו יש בכל מעשה ומעשה! לכן נמנו וגמרו חשובי השופטים ואחרי כל מיני ניסויים נתגבש רעיון אחד, שאפשר להלבישו נוסחא מעין זו: </w:t>
      </w:r>
      <w:r w:rsidRPr="00A60953">
        <w:rPr>
          <w:b/>
          <w:bCs/>
          <w:sz w:val="20"/>
          <w:szCs w:val="20"/>
          <w:highlight w:val="yellow"/>
          <w:rtl/>
        </w:rPr>
        <w:t>מעשה אדמיניסטרטיבי מעין-שיפוטי הוא כל שנצרך לממצא קודם, עובדתי או משפטי, וההכרעה שבו - הצו המצווה או הקונסטיטוטיבי - היא "פונקציה" של אותו ממצא, כלומר: תלויה לכאן או לכאן בנכונות הממצא.</w:t>
      </w:r>
      <w:r w:rsidRPr="00A60953">
        <w:rPr>
          <w:sz w:val="20"/>
          <w:szCs w:val="20"/>
          <w:highlight w:val="yellow"/>
          <w:rtl/>
        </w:rPr>
        <w:t xml:space="preserve"> נתקיים תנאי זה, חייב הגוף האדמיניסטרטיבי, בהגיעו אל קביעת הממצא, להתנהג כמעט כמוסד שיפוטי</w:t>
      </w:r>
      <w:r w:rsidRPr="00A60953">
        <w:rPr>
          <w:rFonts w:hint="cs"/>
          <w:sz w:val="20"/>
          <w:szCs w:val="20"/>
          <w:highlight w:val="yellow"/>
          <w:rtl/>
        </w:rPr>
        <w:t xml:space="preserve"> [...]</w:t>
      </w:r>
      <w:r w:rsidRPr="00A60953">
        <w:rPr>
          <w:sz w:val="20"/>
          <w:szCs w:val="20"/>
          <w:highlight w:val="yellow"/>
          <w:rtl/>
        </w:rPr>
        <w:t>.</w:t>
      </w:r>
    </w:p>
    <w:p w:rsidR="005366A8" w:rsidRDefault="005366A8" w:rsidP="005366A8">
      <w:pPr>
        <w:spacing w:after="60"/>
        <w:ind w:left="-113"/>
        <w:rPr>
          <w:sz w:val="20"/>
          <w:szCs w:val="20"/>
          <w:rtl/>
        </w:rPr>
      </w:pPr>
      <w:r>
        <w:rPr>
          <w:rFonts w:hint="cs"/>
          <w:sz w:val="20"/>
          <w:szCs w:val="20"/>
          <w:rtl/>
        </w:rPr>
        <w:t>=-=</w:t>
      </w:r>
    </w:p>
    <w:p w:rsidR="005366A8" w:rsidRPr="00276866" w:rsidRDefault="005366A8" w:rsidP="005366A8">
      <w:pPr>
        <w:jc w:val="center"/>
        <w:rPr>
          <w:sz w:val="20"/>
          <w:szCs w:val="20"/>
          <w:rtl/>
        </w:rPr>
      </w:pPr>
      <w:r w:rsidRPr="00276866">
        <w:rPr>
          <w:b/>
          <w:bCs/>
          <w:sz w:val="20"/>
          <w:szCs w:val="20"/>
          <w:rtl/>
        </w:rPr>
        <w:t xml:space="preserve">חוק בתי דין מינהליים, </w:t>
      </w:r>
      <w:r>
        <w:rPr>
          <w:rFonts w:hint="cs"/>
          <w:b/>
          <w:bCs/>
          <w:sz w:val="20"/>
          <w:szCs w:val="20"/>
          <w:rtl/>
        </w:rPr>
        <w:t>ה</w:t>
      </w:r>
      <w:r w:rsidRPr="00276866">
        <w:rPr>
          <w:b/>
          <w:bCs/>
          <w:sz w:val="20"/>
          <w:szCs w:val="20"/>
          <w:rtl/>
        </w:rPr>
        <w:t>תשנ"ב-1992</w:t>
      </w:r>
    </w:p>
    <w:p w:rsidR="005366A8" w:rsidRPr="00276866" w:rsidRDefault="005366A8" w:rsidP="005366A8">
      <w:pPr>
        <w:ind w:left="720"/>
        <w:rPr>
          <w:sz w:val="20"/>
          <w:szCs w:val="20"/>
          <w:rtl/>
        </w:rPr>
      </w:pPr>
      <w:r w:rsidRPr="00276866">
        <w:rPr>
          <w:sz w:val="20"/>
          <w:szCs w:val="20"/>
          <w:rtl/>
        </w:rPr>
        <w:t xml:space="preserve"> 1. </w:t>
      </w:r>
      <w:r w:rsidRPr="00276866">
        <w:rPr>
          <w:rFonts w:hint="cs"/>
          <w:sz w:val="20"/>
          <w:szCs w:val="20"/>
          <w:rtl/>
        </w:rPr>
        <w:t>[</w:t>
      </w:r>
      <w:r w:rsidRPr="00276866">
        <w:rPr>
          <w:sz w:val="20"/>
          <w:szCs w:val="20"/>
          <w:rtl/>
        </w:rPr>
        <w:t>הגדרות</w:t>
      </w:r>
      <w:r w:rsidRPr="00276866">
        <w:rPr>
          <w:rFonts w:hint="cs"/>
          <w:sz w:val="20"/>
          <w:szCs w:val="20"/>
          <w:rtl/>
        </w:rPr>
        <w:t>]</w:t>
      </w:r>
      <w:r w:rsidRPr="00276866">
        <w:rPr>
          <w:sz w:val="20"/>
          <w:szCs w:val="20"/>
          <w:rtl/>
        </w:rPr>
        <w:t xml:space="preserve"> בחוק זה - </w:t>
      </w:r>
    </w:p>
    <w:p w:rsidR="005366A8" w:rsidRDefault="005366A8" w:rsidP="005366A8">
      <w:pPr>
        <w:spacing w:after="120"/>
        <w:rPr>
          <w:sz w:val="20"/>
          <w:szCs w:val="20"/>
          <w:rtl/>
        </w:rPr>
      </w:pPr>
      <w:r w:rsidRPr="00276866">
        <w:rPr>
          <w:sz w:val="20"/>
          <w:szCs w:val="20"/>
          <w:rtl/>
        </w:rPr>
        <w:t>"בית דין מינהלי", "בית דין" - ערכאה המוקמת בידי שר או רשות מינהלית אחרת ויש לה סמכות שפיטה, בין אם היא מכונה בית דין, ועדת ערר או ועדת ערעור ובין אם היא מכונה בשם אחר;</w:t>
      </w:r>
      <w:r>
        <w:rPr>
          <w:rFonts w:hint="cs"/>
          <w:sz w:val="20"/>
          <w:szCs w:val="20"/>
          <w:rtl/>
        </w:rPr>
        <w:t xml:space="preserve"> </w:t>
      </w:r>
      <w:r w:rsidRPr="00276866">
        <w:rPr>
          <w:rFonts w:hint="cs"/>
          <w:sz w:val="20"/>
          <w:szCs w:val="20"/>
          <w:rtl/>
        </w:rPr>
        <w:t>[...]</w:t>
      </w:r>
      <w:r>
        <w:rPr>
          <w:rFonts w:hint="cs"/>
          <w:sz w:val="20"/>
          <w:szCs w:val="20"/>
          <w:rtl/>
        </w:rPr>
        <w:t xml:space="preserve"> </w:t>
      </w:r>
      <w:r w:rsidRPr="00A03886">
        <w:rPr>
          <w:sz w:val="20"/>
          <w:szCs w:val="20"/>
          <w:highlight w:val="yellow"/>
          <w:rtl/>
        </w:rPr>
        <w:t>"סמכות שפיטה"</w:t>
      </w:r>
      <w:r w:rsidRPr="00276866">
        <w:rPr>
          <w:sz w:val="20"/>
          <w:szCs w:val="20"/>
          <w:rtl/>
        </w:rPr>
        <w:t xml:space="preserve"> - </w:t>
      </w:r>
      <w:r w:rsidRPr="00A60953">
        <w:rPr>
          <w:sz w:val="20"/>
          <w:szCs w:val="20"/>
          <w:highlight w:val="yellow"/>
          <w:rtl/>
        </w:rPr>
        <w:t>סמכות להחליט בריב שרשות מינהלית צד לו;</w:t>
      </w:r>
      <w:r>
        <w:rPr>
          <w:rFonts w:hint="cs"/>
          <w:sz w:val="20"/>
          <w:szCs w:val="20"/>
          <w:rtl/>
        </w:rPr>
        <w:t xml:space="preserve"> [...]</w:t>
      </w:r>
    </w:p>
    <w:p w:rsidR="005366A8" w:rsidRDefault="005366A8" w:rsidP="005366A8">
      <w:pPr>
        <w:spacing w:after="120"/>
        <w:rPr>
          <w:sz w:val="20"/>
          <w:szCs w:val="20"/>
          <w:rtl/>
        </w:rPr>
      </w:pPr>
      <w:r>
        <w:rPr>
          <w:rFonts w:ascii="Arial" w:hAnsi="Arial" w:cs="Arial" w:hint="cs"/>
          <w:sz w:val="18"/>
          <w:szCs w:val="18"/>
          <w:rtl/>
        </w:rPr>
        <w:t>דוגמא:</w:t>
      </w:r>
      <w:r w:rsidRPr="00CE7EEF">
        <w:rPr>
          <w:rFonts w:ascii="Arial" w:hAnsi="Arial" w:cs="Arial"/>
          <w:sz w:val="18"/>
          <w:szCs w:val="18"/>
          <w:rtl/>
        </w:rPr>
        <w:t xml:space="preserve"> ועדת ערר למס רכוש המוקמת לפי סע' 29 לחוק מס רכוש וקרן פיצויים, תשכ"א-1961</w:t>
      </w:r>
    </w:p>
    <w:p w:rsidR="005366A8" w:rsidRDefault="005366A8" w:rsidP="005366A8">
      <w:pPr>
        <w:spacing w:after="120"/>
        <w:rPr>
          <w:rFonts w:ascii="Arial" w:hAnsi="Arial" w:cs="Arial"/>
          <w:sz w:val="22"/>
          <w:szCs w:val="22"/>
          <w:highlight w:val="yellow"/>
          <w:rtl/>
        </w:rPr>
      </w:pPr>
      <w:r w:rsidRPr="005C13F7">
        <w:rPr>
          <w:rFonts w:ascii="Arial" w:hAnsi="Arial" w:cs="Arial" w:hint="cs"/>
          <w:sz w:val="22"/>
          <w:szCs w:val="22"/>
          <w:rtl/>
        </w:rPr>
        <w:t>=-=</w:t>
      </w:r>
    </w:p>
    <w:p w:rsidR="005366A8" w:rsidRPr="00975656" w:rsidRDefault="005366A8" w:rsidP="005366A8">
      <w:pPr>
        <w:spacing w:after="120"/>
        <w:jc w:val="center"/>
        <w:rPr>
          <w:sz w:val="20"/>
          <w:szCs w:val="20"/>
          <w:rtl/>
        </w:rPr>
      </w:pPr>
      <w:r w:rsidRPr="0058673E">
        <w:rPr>
          <w:rFonts w:ascii="Arial" w:hAnsi="Arial" w:cs="Arial"/>
          <w:sz w:val="22"/>
          <w:szCs w:val="22"/>
          <w:highlight w:val="yellow"/>
          <w:rtl/>
        </w:rPr>
        <w:t xml:space="preserve">בג"צ 5760/93 </w:t>
      </w:r>
      <w:r w:rsidRPr="0058673E">
        <w:rPr>
          <w:rFonts w:ascii="Arial" w:hAnsi="Arial" w:cs="Arial"/>
          <w:b/>
          <w:bCs/>
          <w:sz w:val="22"/>
          <w:szCs w:val="22"/>
          <w:highlight w:val="yellow"/>
          <w:rtl/>
        </w:rPr>
        <w:t>פלונית נ' ועדת התלונות על פי חוק הפסיכולוגים</w:t>
      </w:r>
      <w:r w:rsidRPr="0058673E">
        <w:rPr>
          <w:rFonts w:ascii="Arial" w:hAnsi="Arial" w:cs="Arial"/>
          <w:sz w:val="22"/>
          <w:szCs w:val="22"/>
          <w:highlight w:val="yellow"/>
          <w:rtl/>
        </w:rPr>
        <w:t>, פ"ד נ(4) 194</w:t>
      </w:r>
      <w:r w:rsidRPr="00975656">
        <w:rPr>
          <w:rFonts w:ascii="Arial" w:hAnsi="Arial" w:cs="Arial"/>
          <w:sz w:val="20"/>
          <w:szCs w:val="20"/>
          <w:rtl/>
        </w:rPr>
        <w:t xml:space="preserve"> </w:t>
      </w:r>
      <w:r w:rsidRPr="00975656">
        <w:rPr>
          <w:sz w:val="20"/>
          <w:szCs w:val="20"/>
          <w:rtl/>
        </w:rPr>
        <w:t>[ההדגשות הוספו]</w:t>
      </w:r>
    </w:p>
    <w:p w:rsidR="005366A8" w:rsidRPr="00AD1BA6" w:rsidRDefault="005366A8" w:rsidP="005366A8">
      <w:pPr>
        <w:pStyle w:val="BodyText"/>
        <w:spacing w:after="60"/>
        <w:ind w:left="720"/>
        <w:rPr>
          <w:rFonts w:cs="Times New Roman"/>
          <w:i/>
          <w:iCs/>
          <w:sz w:val="20"/>
          <w:szCs w:val="20"/>
          <w:rtl/>
        </w:rPr>
      </w:pPr>
      <w:r w:rsidRPr="00AD1BA6">
        <w:rPr>
          <w:rFonts w:cs="Times New Roman"/>
          <w:i/>
          <w:iCs/>
          <w:sz w:val="20"/>
          <w:szCs w:val="20"/>
          <w:rtl/>
        </w:rPr>
        <w:t>סעיף 35 לחוק הפסיכולוגים מורה על מינויין של שתי ועדות - ועדת התלונות וועדת המשמעת. הוועדה הראשונה היא החוקרת והתובעת; השנייה היא השופטת. סמכותה של ועדת התלונות איננה לקבוע שפסיכולוג עבר עבירת משמעת ולנקוט בצעדים משמעתיים כלפיו. בוועדת התלונות מתבצע הליך בירור החשד</w:t>
      </w:r>
      <w:r w:rsidRPr="00AD1BA6">
        <w:rPr>
          <w:rFonts w:cs="Times New Roman" w:hint="cs"/>
          <w:i/>
          <w:iCs/>
          <w:sz w:val="20"/>
          <w:szCs w:val="20"/>
          <w:rtl/>
        </w:rPr>
        <w:t xml:space="preserve">/ מעין הליך </w:t>
      </w:r>
      <w:r w:rsidRPr="00AD1BA6">
        <w:rPr>
          <w:rFonts w:cs="Times New Roman"/>
          <w:i/>
          <w:iCs/>
          <w:sz w:val="20"/>
          <w:szCs w:val="20"/>
          <w:rtl/>
        </w:rPr>
        <w:t xml:space="preserve">חקירה, בדומה להליך המתבצע במשטרה ובפרקליטות בטרם מוגש כתב אישום נגד חשוד; תפקידה של ועדת התלונות הוא לברר אם אין מדובר בחשד בעלמא. </w:t>
      </w:r>
    </w:p>
    <w:p w:rsidR="005366A8" w:rsidRPr="00AD1BA6" w:rsidRDefault="005366A8" w:rsidP="005366A8">
      <w:pPr>
        <w:pStyle w:val="BodyText"/>
        <w:spacing w:after="60"/>
        <w:ind w:left="720"/>
        <w:rPr>
          <w:rFonts w:cs="Times New Roman"/>
          <w:i/>
          <w:iCs/>
          <w:sz w:val="20"/>
          <w:szCs w:val="20"/>
          <w:rtl/>
        </w:rPr>
      </w:pPr>
      <w:r w:rsidRPr="00AD1BA6">
        <w:rPr>
          <w:rFonts w:cs="Times New Roman"/>
          <w:i/>
          <w:iCs/>
          <w:sz w:val="20"/>
          <w:szCs w:val="20"/>
          <w:rtl/>
        </w:rPr>
        <w:t xml:space="preserve">בתחילה קבעה הועדה </w:t>
      </w:r>
      <w:r w:rsidRPr="00AD1BA6">
        <w:rPr>
          <w:rFonts w:cs="Times New Roman" w:hint="cs"/>
          <w:i/>
          <w:iCs/>
          <w:sz w:val="20"/>
          <w:szCs w:val="20"/>
          <w:rtl/>
        </w:rPr>
        <w:t xml:space="preserve">[ועדת התלונות] </w:t>
      </w:r>
      <w:r w:rsidRPr="00AD1BA6">
        <w:rPr>
          <w:rFonts w:cs="Times New Roman"/>
          <w:i/>
          <w:iCs/>
          <w:sz w:val="20"/>
          <w:szCs w:val="20"/>
          <w:rtl/>
        </w:rPr>
        <w:t xml:space="preserve">כי אין להגיש כתב אישום משמעתי </w:t>
      </w:r>
      <w:r w:rsidRPr="00AD1BA6">
        <w:rPr>
          <w:rFonts w:cs="Times New Roman" w:hint="cs"/>
          <w:i/>
          <w:iCs/>
          <w:sz w:val="20"/>
          <w:szCs w:val="20"/>
          <w:rtl/>
        </w:rPr>
        <w:t>כנגד פלונית, כתב אישום שיידון ב</w:t>
      </w:r>
      <w:r w:rsidRPr="00AD1BA6">
        <w:rPr>
          <w:rFonts w:cs="Times New Roman"/>
          <w:i/>
          <w:iCs/>
          <w:sz w:val="20"/>
          <w:szCs w:val="20"/>
          <w:rtl/>
        </w:rPr>
        <w:t xml:space="preserve">ועדה </w:t>
      </w:r>
      <w:r w:rsidRPr="00AD1BA6">
        <w:rPr>
          <w:rFonts w:cs="Times New Roman" w:hint="cs"/>
          <w:i/>
          <w:iCs/>
          <w:sz w:val="20"/>
          <w:szCs w:val="20"/>
          <w:rtl/>
        </w:rPr>
        <w:t>האחרת</w:t>
      </w:r>
      <w:r w:rsidRPr="00AD1BA6">
        <w:rPr>
          <w:rFonts w:cs="Times New Roman"/>
          <w:i/>
          <w:iCs/>
          <w:sz w:val="20"/>
          <w:szCs w:val="20"/>
          <w:rtl/>
        </w:rPr>
        <w:t>, ועדת המשמעת</w:t>
      </w:r>
      <w:r w:rsidRPr="00AD1BA6">
        <w:rPr>
          <w:rFonts w:cs="Times New Roman" w:hint="cs"/>
          <w:i/>
          <w:iCs/>
          <w:sz w:val="20"/>
          <w:szCs w:val="20"/>
          <w:rtl/>
        </w:rPr>
        <w:t>;</w:t>
      </w:r>
      <w:r w:rsidRPr="00AD1BA6">
        <w:rPr>
          <w:rFonts w:cs="Times New Roman"/>
          <w:i/>
          <w:iCs/>
          <w:sz w:val="20"/>
          <w:szCs w:val="20"/>
          <w:rtl/>
        </w:rPr>
        <w:t xml:space="preserve"> אך בעקבות פניה נוספת של המתלוננת, הוחלט על בדיקה של ועדת תלונות חדשה. </w:t>
      </w:r>
    </w:p>
    <w:p w:rsidR="005366A8" w:rsidRPr="00DB476B" w:rsidRDefault="005366A8" w:rsidP="005366A8">
      <w:pPr>
        <w:pStyle w:val="BodyText"/>
        <w:spacing w:after="60"/>
        <w:ind w:left="720"/>
        <w:rPr>
          <w:b/>
          <w:bCs/>
          <w:sz w:val="20"/>
          <w:szCs w:val="20"/>
          <w:rtl/>
        </w:rPr>
      </w:pPr>
      <w:r w:rsidRPr="00AD1BA6">
        <w:rPr>
          <w:rFonts w:cs="Times New Roman"/>
          <w:i/>
          <w:iCs/>
          <w:sz w:val="20"/>
          <w:szCs w:val="20"/>
          <w:rtl/>
        </w:rPr>
        <w:t xml:space="preserve">שני בסיסים </w:t>
      </w:r>
      <w:r w:rsidRPr="00AD1BA6">
        <w:rPr>
          <w:rFonts w:cs="Times New Roman" w:hint="cs"/>
          <w:i/>
          <w:iCs/>
          <w:sz w:val="20"/>
          <w:szCs w:val="20"/>
          <w:rtl/>
        </w:rPr>
        <w:t xml:space="preserve">הושמעו כהצדקה </w:t>
      </w:r>
      <w:r w:rsidRPr="00AD1BA6">
        <w:rPr>
          <w:rFonts w:cs="Times New Roman"/>
          <w:i/>
          <w:iCs/>
          <w:sz w:val="20"/>
          <w:szCs w:val="20"/>
          <w:rtl/>
        </w:rPr>
        <w:t>לשינוי ההחלטה הקודמת. ראשית, נפל פגם בסמכות ועד</w:t>
      </w:r>
      <w:r w:rsidRPr="00AD1BA6">
        <w:rPr>
          <w:rFonts w:cs="Times New Roman" w:hint="cs"/>
          <w:i/>
          <w:iCs/>
          <w:sz w:val="20"/>
          <w:szCs w:val="20"/>
          <w:rtl/>
        </w:rPr>
        <w:t>ת התלונות</w:t>
      </w:r>
      <w:r w:rsidRPr="00AD1BA6">
        <w:rPr>
          <w:rFonts w:cs="Times New Roman"/>
          <w:i/>
          <w:iCs/>
          <w:sz w:val="20"/>
          <w:szCs w:val="20"/>
          <w:rtl/>
        </w:rPr>
        <w:t xml:space="preserve">, שכן בניגוד לדין לא התפרסם ברשומות שמו של אחד מחבריה. שנית, </w:t>
      </w:r>
      <w:r w:rsidRPr="00AD1BA6">
        <w:rPr>
          <w:rFonts w:cs="Times New Roman" w:hint="cs"/>
          <w:i/>
          <w:iCs/>
          <w:sz w:val="20"/>
          <w:szCs w:val="20"/>
          <w:rtl/>
        </w:rPr>
        <w:t xml:space="preserve">בשל </w:t>
      </w:r>
      <w:r w:rsidRPr="00AD1BA6">
        <w:rPr>
          <w:rFonts w:cs="Times New Roman"/>
          <w:i/>
          <w:iCs/>
          <w:sz w:val="20"/>
          <w:szCs w:val="20"/>
          <w:rtl/>
        </w:rPr>
        <w:t>גילוי מידע חדש, הנוגע "להתערבות של גורמים פוליטיים-שלטוניים חיצוניים" לטובתה של פלונית.</w:t>
      </w:r>
    </w:p>
    <w:p w:rsidR="005366A8" w:rsidRPr="00A60953" w:rsidRDefault="005366A8" w:rsidP="005366A8">
      <w:pPr>
        <w:spacing w:after="60"/>
        <w:ind w:left="-115"/>
        <w:rPr>
          <w:rFonts w:cs="FrankRuehl"/>
          <w:b/>
          <w:bCs/>
          <w:sz w:val="22"/>
          <w:szCs w:val="22"/>
          <w:rtl/>
        </w:rPr>
      </w:pPr>
      <w:r w:rsidRPr="00DB476B">
        <w:rPr>
          <w:rFonts w:hint="cs"/>
          <w:b/>
          <w:bCs/>
          <w:sz w:val="20"/>
          <w:szCs w:val="20"/>
          <w:rtl/>
        </w:rPr>
        <w:t>המסגרת הנורמטיבית</w:t>
      </w:r>
    </w:p>
    <w:p w:rsidR="005366A8" w:rsidRPr="00A60953" w:rsidRDefault="005366A8" w:rsidP="005366A8">
      <w:pPr>
        <w:spacing w:after="60"/>
        <w:ind w:left="-115"/>
        <w:rPr>
          <w:rFonts w:cs="FrankRuehl"/>
          <w:sz w:val="22"/>
          <w:szCs w:val="22"/>
          <w:rtl/>
        </w:rPr>
      </w:pPr>
      <w:r w:rsidRPr="00A60953">
        <w:rPr>
          <w:rFonts w:cs="FrankRuehl" w:hint="cs"/>
          <w:sz w:val="22"/>
          <w:szCs w:val="22"/>
          <w:rtl/>
        </w:rPr>
        <w:t>4. ההליך [בפני ועדת התלונות],</w:t>
      </w:r>
      <w:r>
        <w:rPr>
          <w:rFonts w:cs="FrankRuehl" w:hint="cs"/>
          <w:sz w:val="22"/>
          <w:szCs w:val="22"/>
          <w:rtl/>
        </w:rPr>
        <w:t xml:space="preserve"> </w:t>
      </w:r>
      <w:r w:rsidRPr="00A60953">
        <w:rPr>
          <w:rFonts w:cs="FrankRuehl" w:hint="cs"/>
          <w:sz w:val="22"/>
          <w:szCs w:val="22"/>
          <w:rtl/>
        </w:rPr>
        <w:t>אם</w:t>
      </w:r>
      <w:r>
        <w:rPr>
          <w:rFonts w:cs="FrankRuehl" w:hint="cs"/>
          <w:sz w:val="22"/>
          <w:szCs w:val="22"/>
          <w:rtl/>
        </w:rPr>
        <w:t xml:space="preserve"> </w:t>
      </w:r>
      <w:r w:rsidRPr="00A60953">
        <w:rPr>
          <w:rFonts w:cs="FrankRuehl" w:hint="cs"/>
          <w:sz w:val="22"/>
          <w:szCs w:val="22"/>
          <w:rtl/>
        </w:rPr>
        <w:t>כן,</w:t>
      </w:r>
      <w:r>
        <w:rPr>
          <w:rFonts w:cs="FrankRuehl" w:hint="cs"/>
          <w:sz w:val="22"/>
          <w:szCs w:val="22"/>
          <w:rtl/>
        </w:rPr>
        <w:t xml:space="preserve"> </w:t>
      </w:r>
      <w:r w:rsidRPr="00A60953">
        <w:rPr>
          <w:rFonts w:cs="FrankRuehl" w:hint="cs"/>
          <w:sz w:val="22"/>
          <w:szCs w:val="22"/>
          <w:rtl/>
        </w:rPr>
        <w:t>עיקרו</w:t>
      </w:r>
      <w:r>
        <w:rPr>
          <w:rFonts w:cs="FrankRuehl" w:hint="cs"/>
          <w:sz w:val="22"/>
          <w:szCs w:val="22"/>
          <w:rtl/>
        </w:rPr>
        <w:t xml:space="preserve"> </w:t>
      </w:r>
      <w:r w:rsidRPr="00A60953">
        <w:rPr>
          <w:rFonts w:cs="FrankRuehl" w:hint="cs"/>
          <w:sz w:val="22"/>
          <w:szCs w:val="22"/>
          <w:rtl/>
        </w:rPr>
        <w:t>בירור החשד שהתעורר אצלה לגבי פסיכולוג פלוני.</w:t>
      </w:r>
      <w:r>
        <w:rPr>
          <w:rFonts w:cs="FrankRuehl" w:hint="cs"/>
          <w:sz w:val="22"/>
          <w:szCs w:val="22"/>
          <w:rtl/>
        </w:rPr>
        <w:t xml:space="preserve"> </w:t>
      </w:r>
      <w:r w:rsidRPr="00A60953">
        <w:rPr>
          <w:rFonts w:cs="FrankRuehl" w:hint="cs"/>
          <w:sz w:val="22"/>
          <w:szCs w:val="22"/>
          <w:rtl/>
        </w:rPr>
        <w:t>אם</w:t>
      </w:r>
      <w:r>
        <w:rPr>
          <w:rFonts w:cs="FrankRuehl" w:hint="cs"/>
          <w:sz w:val="22"/>
          <w:szCs w:val="22"/>
          <w:rtl/>
        </w:rPr>
        <w:t xml:space="preserve"> </w:t>
      </w:r>
      <w:r w:rsidRPr="00A60953">
        <w:rPr>
          <w:rFonts w:cs="FrankRuehl" w:hint="cs"/>
          <w:sz w:val="22"/>
          <w:szCs w:val="22"/>
          <w:rtl/>
        </w:rPr>
        <w:t>ננסה</w:t>
      </w:r>
      <w:r>
        <w:rPr>
          <w:rFonts w:cs="FrankRuehl" w:hint="cs"/>
          <w:sz w:val="22"/>
          <w:szCs w:val="22"/>
          <w:rtl/>
        </w:rPr>
        <w:t xml:space="preserve"> </w:t>
      </w:r>
      <w:r w:rsidRPr="00A60953">
        <w:rPr>
          <w:rFonts w:cs="FrankRuehl" w:hint="cs"/>
          <w:sz w:val="22"/>
          <w:szCs w:val="22"/>
          <w:rtl/>
        </w:rPr>
        <w:t>לתרגם</w:t>
      </w:r>
      <w:r>
        <w:rPr>
          <w:rFonts w:cs="FrankRuehl" w:hint="cs"/>
          <w:sz w:val="22"/>
          <w:szCs w:val="22"/>
          <w:rtl/>
        </w:rPr>
        <w:t xml:space="preserve"> </w:t>
      </w:r>
      <w:r w:rsidRPr="00A60953">
        <w:rPr>
          <w:rFonts w:cs="FrankRuehl" w:hint="cs"/>
          <w:sz w:val="22"/>
          <w:szCs w:val="22"/>
          <w:rtl/>
        </w:rPr>
        <w:t>סממנים אלה של הוועדה למונחי המשפט המינהלי, ניווכח כי סיווגה המשפטי של ועדת התלונות אינו נקי מספיקות. מתגלים בה סממנים וסמכויות</w:t>
      </w:r>
      <w:r>
        <w:rPr>
          <w:rFonts w:cs="FrankRuehl" w:hint="cs"/>
          <w:sz w:val="22"/>
          <w:szCs w:val="22"/>
          <w:rtl/>
        </w:rPr>
        <w:t xml:space="preserve"> </w:t>
      </w:r>
      <w:r w:rsidRPr="00A60953">
        <w:rPr>
          <w:rFonts w:cs="FrankRuehl" w:hint="cs"/>
          <w:sz w:val="22"/>
          <w:szCs w:val="22"/>
          <w:rtl/>
        </w:rPr>
        <w:t>הן</w:t>
      </w:r>
      <w:r>
        <w:rPr>
          <w:rFonts w:cs="FrankRuehl" w:hint="cs"/>
          <w:sz w:val="22"/>
          <w:szCs w:val="22"/>
          <w:rtl/>
        </w:rPr>
        <w:t xml:space="preserve"> </w:t>
      </w:r>
      <w:r w:rsidRPr="00A60953">
        <w:rPr>
          <w:rFonts w:cs="FrankRuehl" w:hint="cs"/>
          <w:sz w:val="22"/>
          <w:szCs w:val="22"/>
          <w:rtl/>
        </w:rPr>
        <w:t>של</w:t>
      </w:r>
      <w:r>
        <w:rPr>
          <w:rFonts w:cs="FrankRuehl" w:hint="cs"/>
          <w:sz w:val="22"/>
          <w:szCs w:val="22"/>
          <w:rtl/>
        </w:rPr>
        <w:t xml:space="preserve"> </w:t>
      </w:r>
      <w:r w:rsidRPr="00A60953">
        <w:rPr>
          <w:rFonts w:cs="FrankRuehl" w:hint="cs"/>
          <w:sz w:val="22"/>
          <w:szCs w:val="22"/>
          <w:rtl/>
        </w:rPr>
        <w:t>גוף מעין-שיפוטי והן של גוף מינהלי. לכאורה, הנטייה היא</w:t>
      </w:r>
      <w:r>
        <w:rPr>
          <w:rFonts w:cs="FrankRuehl" w:hint="cs"/>
          <w:sz w:val="22"/>
          <w:szCs w:val="22"/>
          <w:rtl/>
        </w:rPr>
        <w:t xml:space="preserve"> </w:t>
      </w:r>
      <w:r w:rsidRPr="00A60953">
        <w:rPr>
          <w:rFonts w:cs="FrankRuehl" w:hint="cs"/>
          <w:sz w:val="22"/>
          <w:szCs w:val="22"/>
          <w:rtl/>
        </w:rPr>
        <w:t>לסווג</w:t>
      </w:r>
      <w:r>
        <w:rPr>
          <w:rFonts w:cs="FrankRuehl" w:hint="cs"/>
          <w:sz w:val="22"/>
          <w:szCs w:val="22"/>
          <w:rtl/>
        </w:rPr>
        <w:t xml:space="preserve"> </w:t>
      </w:r>
      <w:r w:rsidRPr="00A60953">
        <w:rPr>
          <w:rFonts w:cs="FrankRuehl" w:hint="cs"/>
          <w:sz w:val="22"/>
          <w:szCs w:val="22"/>
          <w:rtl/>
        </w:rPr>
        <w:t>את</w:t>
      </w:r>
      <w:r>
        <w:rPr>
          <w:rFonts w:cs="FrankRuehl" w:hint="cs"/>
          <w:sz w:val="22"/>
          <w:szCs w:val="22"/>
          <w:rtl/>
        </w:rPr>
        <w:t xml:space="preserve"> </w:t>
      </w:r>
      <w:r w:rsidRPr="00A60953">
        <w:rPr>
          <w:rFonts w:cs="FrankRuehl" w:hint="cs"/>
          <w:sz w:val="22"/>
          <w:szCs w:val="22"/>
          <w:rtl/>
        </w:rPr>
        <w:t>הוועדה כגוף מעין שיפוטי טהור, בשל מעורבותה בהליך המשמעתי.</w:t>
      </w:r>
      <w:r>
        <w:rPr>
          <w:rFonts w:cs="FrankRuehl" w:hint="cs"/>
          <w:sz w:val="22"/>
          <w:szCs w:val="22"/>
          <w:rtl/>
        </w:rPr>
        <w:t xml:space="preserve"> </w:t>
      </w:r>
      <w:r w:rsidRPr="00A60953">
        <w:rPr>
          <w:rFonts w:cs="FrankRuehl" w:hint="cs"/>
          <w:sz w:val="22"/>
          <w:szCs w:val="22"/>
          <w:rtl/>
        </w:rPr>
        <w:t>[הפנייה להגדרה ב</w:t>
      </w:r>
      <w:r w:rsidRPr="00A60953">
        <w:rPr>
          <w:rFonts w:cs="FrankRuehl" w:hint="cs"/>
          <w:b/>
          <w:bCs/>
          <w:sz w:val="22"/>
          <w:szCs w:val="22"/>
          <w:rtl/>
        </w:rPr>
        <w:t>ברמן</w:t>
      </w:r>
      <w:r w:rsidRPr="00A60953">
        <w:rPr>
          <w:rFonts w:cs="FrankRuehl" w:hint="cs"/>
          <w:sz w:val="22"/>
          <w:szCs w:val="22"/>
          <w:rtl/>
        </w:rPr>
        <w:t>] כך גם</w:t>
      </w:r>
      <w:r>
        <w:rPr>
          <w:rFonts w:cs="FrankRuehl" w:hint="cs"/>
          <w:sz w:val="22"/>
          <w:szCs w:val="22"/>
          <w:rtl/>
        </w:rPr>
        <w:t xml:space="preserve"> </w:t>
      </w:r>
      <w:r w:rsidRPr="00A60953">
        <w:rPr>
          <w:rFonts w:cs="FrankRuehl" w:hint="cs"/>
          <w:sz w:val="22"/>
          <w:szCs w:val="22"/>
          <w:rtl/>
        </w:rPr>
        <w:t>בבג"צ</w:t>
      </w:r>
      <w:r>
        <w:rPr>
          <w:rFonts w:cs="FrankRuehl" w:hint="cs"/>
          <w:sz w:val="22"/>
          <w:szCs w:val="22"/>
          <w:rtl/>
        </w:rPr>
        <w:t xml:space="preserve"> </w:t>
      </w:r>
      <w:r w:rsidRPr="00A60953">
        <w:rPr>
          <w:rFonts w:cs="FrankRuehl" w:hint="cs"/>
          <w:sz w:val="22"/>
          <w:szCs w:val="22"/>
          <w:rtl/>
        </w:rPr>
        <w:t>76/73,</w:t>
      </w:r>
      <w:r>
        <w:rPr>
          <w:rFonts w:cs="FrankRuehl" w:hint="cs"/>
          <w:sz w:val="22"/>
          <w:szCs w:val="22"/>
          <w:rtl/>
        </w:rPr>
        <w:t xml:space="preserve"> </w:t>
      </w:r>
      <w:r w:rsidRPr="00A60953">
        <w:rPr>
          <w:rFonts w:cs="FrankRuehl" w:hint="cs"/>
          <w:b/>
          <w:bCs/>
          <w:sz w:val="22"/>
          <w:szCs w:val="22"/>
          <w:rtl/>
        </w:rPr>
        <w:t>טרודלר נ' פקיד הבחירות לוועדות החקלאיות ואח'</w:t>
      </w:r>
      <w:r w:rsidRPr="00A60953">
        <w:rPr>
          <w:rFonts w:cs="FrankRuehl" w:hint="cs"/>
          <w:sz w:val="22"/>
          <w:szCs w:val="22"/>
          <w:rtl/>
        </w:rPr>
        <w:t>, פ"ד יז 2503, בעמ' 2514:</w:t>
      </w:r>
    </w:p>
    <w:p w:rsidR="005366A8" w:rsidRPr="00A60953" w:rsidRDefault="005366A8" w:rsidP="005366A8">
      <w:pPr>
        <w:spacing w:after="60"/>
        <w:ind w:left="720" w:firstLine="169"/>
        <w:rPr>
          <w:rFonts w:cs="FrankRuehl"/>
          <w:sz w:val="22"/>
          <w:szCs w:val="22"/>
          <w:rtl/>
        </w:rPr>
      </w:pPr>
      <w:r w:rsidRPr="00A60953">
        <w:rPr>
          <w:rFonts w:cs="FrankRuehl" w:hint="cs"/>
          <w:sz w:val="22"/>
          <w:szCs w:val="22"/>
          <w:highlight w:val="yellow"/>
          <w:rtl/>
        </w:rPr>
        <w:t>"...כאשר הגוף צריך להחליט אך ורק על סמך העובדות של המקרה המיוחד, אך ורק על סמך הטענות או העדויות שהובאו בפניו, ואינו רשאי להביא בחשבון גורמים ושיקולים חיצוניים, כי אז הוא חייב לפעול באורח שיפוטי...".</w:t>
      </w:r>
    </w:p>
    <w:p w:rsidR="005366A8" w:rsidRPr="00A60953" w:rsidRDefault="005366A8" w:rsidP="005366A8">
      <w:pPr>
        <w:spacing w:after="60"/>
        <w:ind w:left="-115"/>
        <w:rPr>
          <w:rFonts w:cs="FrankRuehl"/>
          <w:sz w:val="22"/>
          <w:szCs w:val="22"/>
          <w:rtl/>
        </w:rPr>
      </w:pPr>
      <w:r w:rsidRPr="00A60953">
        <w:rPr>
          <w:rFonts w:cs="FrankRuehl" w:hint="cs"/>
          <w:sz w:val="22"/>
          <w:szCs w:val="22"/>
          <w:rtl/>
        </w:rPr>
        <w:t>מאידך גיסא, יש נתונים המצביעים על גוף בעל אופי ומטלה מינהליים. ועדת התלונות מופקדת על איסוף נתונים וביצוע חקירה, ולשם כך אף מסורות לה סמכויות מיוחדות. אולם, המלצותיה אינן משמשות נדבך בהחלטת ועדת המשמעת, ואין היא נדרשת להגיש המלצותיה בפניה ...</w:t>
      </w:r>
      <w:r>
        <w:rPr>
          <w:rFonts w:cs="FrankRuehl" w:hint="cs"/>
          <w:sz w:val="22"/>
          <w:szCs w:val="22"/>
          <w:rtl/>
        </w:rPr>
        <w:t xml:space="preserve"> </w:t>
      </w:r>
      <w:r w:rsidRPr="00AD1BA6">
        <w:rPr>
          <w:rFonts w:cs="FrankRuehl" w:hint="cs"/>
          <w:sz w:val="22"/>
          <w:szCs w:val="22"/>
          <w:highlight w:val="yellow"/>
          <w:rtl/>
        </w:rPr>
        <w:t xml:space="preserve">אולם, אין תפקידה של הוועדה מתמצה אך באיסוף נתונים. על הוועדה להחליט על סמך המקרה המיוחד העומד בפניה, מבלי להביא בחשבון שיקולים חיצוניים והכרעתה היא פונקציה של הממצאים העובדתיים אותם היא קובעת. על הוועדה להיזקק למבחנים משפטיים, על מנת לקבוע אם קיים חשד סביר שהתנהגותו של הפסיכולוג עולה כדי עבירת משמעת. לוועדה מסור למעשה שיקול הדעת אם להמשיך בהליכים נגד הפסיכולוג אם לאו. </w:t>
      </w:r>
      <w:r w:rsidRPr="00536EAE">
        <w:rPr>
          <w:rFonts w:cs="FrankRuehl" w:hint="cs"/>
          <w:sz w:val="22"/>
          <w:szCs w:val="22"/>
          <w:highlight w:val="yellow"/>
          <w:rtl/>
        </w:rPr>
        <w:t xml:space="preserve">על כן, אופי ההליך מחייב שמיעתם של הנקבל והמתלונן, והחשיבות הנודעת למימוש זכות הטיעון עולה גם מהשתלשלות הדברים בעניין זה. </w:t>
      </w:r>
      <w:r w:rsidRPr="00AD1BA6">
        <w:rPr>
          <w:rFonts w:cs="FrankRuehl" w:hint="cs"/>
          <w:sz w:val="22"/>
          <w:szCs w:val="22"/>
          <w:highlight w:val="yellow"/>
          <w:rtl/>
        </w:rPr>
        <w:t>סיכומם של דברים, לוועדה מסור כוח השפעה משמעותי על מערך זכויותיו וחובותיו של הנקבל העומד לפניה (וראה ע"א 3786/90 הנ"ל). כל אלה הם סממנים מעין-שיפוטיים המתגלים בוועדה</w:t>
      </w:r>
      <w:r w:rsidRPr="00A60953">
        <w:rPr>
          <w:rFonts w:cs="FrankRuehl" w:hint="cs"/>
          <w:sz w:val="22"/>
          <w:szCs w:val="22"/>
          <w:rtl/>
        </w:rPr>
        <w:t>.</w:t>
      </w:r>
    </w:p>
    <w:p w:rsidR="005366A8" w:rsidRDefault="005366A8" w:rsidP="005366A8">
      <w:pPr>
        <w:spacing w:after="60"/>
        <w:ind w:left="-113"/>
        <w:rPr>
          <w:sz w:val="20"/>
          <w:szCs w:val="20"/>
          <w:rtl/>
        </w:rPr>
      </w:pPr>
      <w:r w:rsidRPr="00A60953">
        <w:rPr>
          <w:rFonts w:cs="FrankRuehl" w:hint="cs"/>
          <w:sz w:val="22"/>
          <w:szCs w:val="22"/>
          <w:rtl/>
        </w:rPr>
        <w:t xml:space="preserve">לדעתי מדובר </w:t>
      </w:r>
      <w:r w:rsidRPr="00A60953">
        <w:rPr>
          <w:rFonts w:cs="FrankRuehl" w:hint="cs"/>
          <w:b/>
          <w:bCs/>
          <w:sz w:val="22"/>
          <w:szCs w:val="22"/>
          <w:rtl/>
        </w:rPr>
        <w:t>ביצור כלאיים</w:t>
      </w:r>
      <w:r w:rsidRPr="00A60953">
        <w:rPr>
          <w:rFonts w:cs="FrankRuehl" w:hint="cs"/>
          <w:sz w:val="22"/>
          <w:szCs w:val="22"/>
          <w:rtl/>
        </w:rPr>
        <w:t>, גוף המצוי על הגבול בין גוף מעין-שיפוטי וגוף מינהלי. ועדה התלונות ממלאת, למעשה, שני סוגי פונקציות.</w:t>
      </w:r>
      <w:r>
        <w:rPr>
          <w:rFonts w:cs="FrankRuehl" w:hint="cs"/>
          <w:sz w:val="22"/>
          <w:szCs w:val="22"/>
          <w:rtl/>
        </w:rPr>
        <w:t xml:space="preserve"> </w:t>
      </w:r>
      <w:r w:rsidRPr="00A60953">
        <w:rPr>
          <w:rFonts w:cs="FrankRuehl" w:hint="cs"/>
          <w:sz w:val="22"/>
          <w:szCs w:val="22"/>
          <w:rtl/>
        </w:rPr>
        <w:t>בהחלטתה לחקור חשד בדבר עבירת משמעת שביצע פסיכולוג פלוני, היא ממלאת פונקציה מינהלית טהורה. אולם משהחלה לחקור בדבר, היא מתפקדת כגוף מעין-שיפוטי.</w:t>
      </w:r>
      <w:r>
        <w:rPr>
          <w:rFonts w:cs="FrankRuehl" w:hint="cs"/>
          <w:sz w:val="22"/>
          <w:szCs w:val="22"/>
          <w:rtl/>
        </w:rPr>
        <w:t xml:space="preserve"> </w:t>
      </w:r>
      <w:r w:rsidRPr="00A60953">
        <w:rPr>
          <w:rFonts w:cs="FrankRuehl" w:hint="cs"/>
          <w:sz w:val="22"/>
          <w:szCs w:val="22"/>
          <w:rtl/>
        </w:rPr>
        <w:t>כאמור, אף בתפקידה זה מתגלים בוועדה סממנים מינהליים לצד הסממנים המעין-שיפוטיים.</w:t>
      </w:r>
      <w:r>
        <w:rPr>
          <w:rFonts w:cs="FrankRuehl" w:hint="cs"/>
          <w:sz w:val="22"/>
          <w:szCs w:val="22"/>
          <w:rtl/>
        </w:rPr>
        <w:t xml:space="preserve"> </w:t>
      </w:r>
      <w:r w:rsidRPr="00A60953">
        <w:rPr>
          <w:rFonts w:cs="FrankRuehl" w:hint="cs"/>
          <w:sz w:val="22"/>
          <w:szCs w:val="22"/>
          <w:rtl/>
        </w:rPr>
        <w:t xml:space="preserve">כאשר גוף הוא הן בעל סממנים מינהליים והן בעל סממנים מעין-שיפוטיים, מכריע לדעתי, לצורך קביעת אמות המידה לפיהן ייבחנו פעולותיו, סיווגו המעין-שיפוטי. </w:t>
      </w:r>
      <w:r w:rsidRPr="00A60953">
        <w:rPr>
          <w:rFonts w:cs="FrankRuehl" w:hint="cs"/>
          <w:b/>
          <w:bCs/>
          <w:sz w:val="22"/>
          <w:szCs w:val="22"/>
          <w:rtl/>
        </w:rPr>
        <w:t>לסיווגם של גופים מינהליים נודעת חשיבות פרקטית: שאלת תחולתם של כללי המשפט המינהלי ותוצאות הפרתם מושפעת, בין היתר, מאופיו של הגוף הנדון וסוג ההחלטות שהוא מוסמך לקבל. כללי המשפט המינהלי מוחלים בצורתם החזקה והקפדנית ביותר על גופים בעלי אופי שיפוטי.</w:t>
      </w:r>
      <w:r w:rsidRPr="00A60953">
        <w:rPr>
          <w:rFonts w:cs="FrankRuehl" w:hint="cs"/>
          <w:sz w:val="22"/>
          <w:szCs w:val="22"/>
          <w:rtl/>
        </w:rPr>
        <w:t xml:space="preserve"> על כן, כאשר מעורבים בגוף סממנים שונים, הדעת נותנת שהגוף יסווג כמעין-שיפוטי, וייבחן על פי מידותיו של גוף מעין זה; שהרי, אם יסווג גוף שכזה, לפחות בכל הנוגע לפונקציות בהן מתגלה אופיו המעין-שיפוטי, כגוף אדמניסטרטיבי, יאבדו אותם סממנים מעין-שיפוטיים את משמעותם.</w:t>
      </w:r>
    </w:p>
    <w:p w:rsidR="005366A8" w:rsidRDefault="005366A8" w:rsidP="005366A8">
      <w:pPr>
        <w:spacing w:after="60"/>
        <w:ind w:left="-113"/>
        <w:rPr>
          <w:sz w:val="20"/>
          <w:szCs w:val="20"/>
          <w:rtl/>
        </w:rPr>
      </w:pPr>
    </w:p>
    <w:p w:rsidR="005366A8" w:rsidRPr="00AD1BA6" w:rsidRDefault="005366A8" w:rsidP="005366A8">
      <w:pPr>
        <w:spacing w:after="60"/>
        <w:ind w:left="-113"/>
        <w:rPr>
          <w:i/>
          <w:iCs/>
          <w:sz w:val="20"/>
          <w:szCs w:val="20"/>
          <w:highlight w:val="yellow"/>
          <w:rtl/>
        </w:rPr>
      </w:pPr>
      <w:r w:rsidRPr="00AD1BA6">
        <w:rPr>
          <w:rFonts w:hint="cs"/>
          <w:i/>
          <w:iCs/>
          <w:sz w:val="20"/>
          <w:szCs w:val="20"/>
          <w:highlight w:val="yellow"/>
          <w:rtl/>
        </w:rPr>
        <w:t>מה מיוחד בפסק דין</w:t>
      </w:r>
      <w:r>
        <w:rPr>
          <w:rFonts w:hint="cs"/>
          <w:i/>
          <w:iCs/>
          <w:sz w:val="20"/>
          <w:szCs w:val="20"/>
          <w:highlight w:val="yellow"/>
          <w:rtl/>
        </w:rPr>
        <w:t xml:space="preserve"> זה</w:t>
      </w:r>
      <w:r w:rsidRPr="00AD1BA6">
        <w:rPr>
          <w:rFonts w:hint="cs"/>
          <w:i/>
          <w:iCs/>
          <w:sz w:val="20"/>
          <w:szCs w:val="20"/>
          <w:highlight w:val="yellow"/>
          <w:rtl/>
        </w:rPr>
        <w:t xml:space="preserve">? </w:t>
      </w:r>
    </w:p>
    <w:p w:rsidR="005366A8" w:rsidRPr="00AD1BA6" w:rsidRDefault="005366A8" w:rsidP="005366A8">
      <w:pPr>
        <w:spacing w:after="60"/>
        <w:ind w:left="720"/>
        <w:rPr>
          <w:i/>
          <w:iCs/>
          <w:sz w:val="20"/>
          <w:szCs w:val="20"/>
          <w:highlight w:val="yellow"/>
          <w:rtl/>
        </w:rPr>
      </w:pPr>
      <w:r w:rsidRPr="00AD1BA6">
        <w:rPr>
          <w:rFonts w:hint="cs"/>
          <w:i/>
          <w:iCs/>
          <w:sz w:val="20"/>
          <w:szCs w:val="20"/>
          <w:highlight w:val="yellow"/>
          <w:rtl/>
        </w:rPr>
        <w:t xml:space="preserve">זהו מקרה שבו סיווג סמכויות הגוף המינהלי הנדון מוביל להתעוררותם הבו-זמנית של שני שיקולים נוגדים. </w:t>
      </w:r>
    </w:p>
    <w:p w:rsidR="005366A8" w:rsidRPr="00AD1BA6" w:rsidRDefault="005366A8" w:rsidP="005366A8">
      <w:pPr>
        <w:spacing w:after="60"/>
        <w:ind w:left="720"/>
        <w:rPr>
          <w:i/>
          <w:iCs/>
          <w:sz w:val="20"/>
          <w:szCs w:val="20"/>
          <w:rtl/>
        </w:rPr>
      </w:pPr>
      <w:r w:rsidRPr="00AD1BA6">
        <w:rPr>
          <w:rFonts w:hint="cs"/>
          <w:i/>
          <w:iCs/>
          <w:sz w:val="20"/>
          <w:szCs w:val="20"/>
          <w:highlight w:val="yellow"/>
          <w:rtl/>
        </w:rPr>
        <w:t>מהם? ומדוע ההכרעה היא כפי שהיא?</w:t>
      </w:r>
    </w:p>
    <w:p w:rsidR="005366A8" w:rsidRDefault="005366A8" w:rsidP="005366A8">
      <w:pPr>
        <w:spacing w:after="120"/>
        <w:ind w:left="-113"/>
        <w:rPr>
          <w:sz w:val="20"/>
          <w:szCs w:val="20"/>
          <w:rtl/>
        </w:rPr>
      </w:pPr>
      <w:r>
        <w:rPr>
          <w:rFonts w:hint="cs"/>
          <w:sz w:val="20"/>
          <w:szCs w:val="20"/>
          <w:rtl/>
        </w:rPr>
        <w:t>=-=</w:t>
      </w:r>
    </w:p>
    <w:p w:rsidR="005366A8" w:rsidRPr="00536EAE" w:rsidRDefault="005366A8" w:rsidP="005366A8">
      <w:pPr>
        <w:rPr>
          <w:sz w:val="28"/>
          <w:szCs w:val="28"/>
          <w:rtl/>
        </w:rPr>
      </w:pPr>
      <w:r w:rsidRPr="00536EAE">
        <w:rPr>
          <w:rFonts w:hint="cs"/>
          <w:sz w:val="28"/>
          <w:szCs w:val="28"/>
          <w:rtl/>
        </w:rPr>
        <w:t>"</w:t>
      </w:r>
      <w:r w:rsidRPr="00536EAE">
        <w:rPr>
          <w:rFonts w:hint="cs"/>
          <w:b/>
          <w:bCs/>
          <w:sz w:val="28"/>
          <w:szCs w:val="28"/>
          <w:highlight w:val="yellow"/>
          <w:u w:val="single"/>
          <w:rtl/>
        </w:rPr>
        <w:t>סמכויות תחיקתיות</w:t>
      </w:r>
      <w:r w:rsidRPr="00536EAE">
        <w:rPr>
          <w:rFonts w:hint="cs"/>
          <w:b/>
          <w:bCs/>
          <w:sz w:val="28"/>
          <w:szCs w:val="28"/>
          <w:rtl/>
        </w:rPr>
        <w:t>"</w:t>
      </w:r>
    </w:p>
    <w:p w:rsidR="005366A8" w:rsidRPr="00027BE6" w:rsidRDefault="005366A8" w:rsidP="005366A8">
      <w:pPr>
        <w:rPr>
          <w:rtl/>
        </w:rPr>
      </w:pPr>
    </w:p>
    <w:p w:rsidR="005366A8" w:rsidRPr="009D31D5" w:rsidRDefault="005366A8" w:rsidP="005366A8">
      <w:pPr>
        <w:pStyle w:val="T-body"/>
        <w:spacing w:after="240" w:line="240" w:lineRule="auto"/>
        <w:ind w:hanging="57"/>
        <w:jc w:val="center"/>
        <w:rPr>
          <w:sz w:val="22"/>
          <w:szCs w:val="22"/>
          <w:rtl/>
        </w:rPr>
      </w:pPr>
      <w:r w:rsidRPr="008D7FEC">
        <w:rPr>
          <w:rFonts w:hint="cs"/>
          <w:sz w:val="22"/>
          <w:szCs w:val="22"/>
          <w:highlight w:val="yellow"/>
          <w:rtl/>
        </w:rPr>
        <w:t>בג"צ 347/84</w:t>
      </w:r>
      <w:r w:rsidRPr="008D7FEC">
        <w:rPr>
          <w:rFonts w:hint="cs"/>
          <w:b/>
          <w:bCs/>
          <w:sz w:val="22"/>
          <w:szCs w:val="22"/>
          <w:highlight w:val="yellow"/>
          <w:rtl/>
        </w:rPr>
        <w:t xml:space="preserve"> עיריית פתח תקווה נ' שר הפנים</w:t>
      </w:r>
      <w:r w:rsidRPr="008D7FEC">
        <w:rPr>
          <w:rFonts w:hint="cs"/>
          <w:sz w:val="22"/>
          <w:szCs w:val="22"/>
          <w:highlight w:val="yellow"/>
          <w:rtl/>
        </w:rPr>
        <w:t>, פ"ד לט(1) 813, 815-823</w:t>
      </w:r>
    </w:p>
    <w:p w:rsidR="005366A8" w:rsidRPr="005911A7" w:rsidRDefault="005366A8" w:rsidP="005366A8">
      <w:pPr>
        <w:ind w:hanging="59"/>
        <w:rPr>
          <w:b/>
          <w:bCs/>
          <w:i/>
          <w:iCs/>
          <w:sz w:val="22"/>
          <w:szCs w:val="22"/>
          <w:rtl/>
        </w:rPr>
      </w:pPr>
      <w:r w:rsidRPr="008B5165">
        <w:rPr>
          <w:rFonts w:hint="cs"/>
          <w:b/>
          <w:bCs/>
          <w:i/>
          <w:iCs/>
          <w:sz w:val="22"/>
          <w:szCs w:val="22"/>
          <w:u w:val="single"/>
          <w:rtl/>
        </w:rPr>
        <w:t>אם לא נספיק לדון בפסק הדין בפגישה הנוכחית אנא קראו בעיון לקראת הפגישה הקרובה</w:t>
      </w:r>
      <w:r w:rsidRPr="005911A7">
        <w:rPr>
          <w:rFonts w:hint="cs"/>
          <w:b/>
          <w:bCs/>
          <w:i/>
          <w:iCs/>
          <w:sz w:val="22"/>
          <w:szCs w:val="22"/>
          <w:rtl/>
        </w:rPr>
        <w:t>.</w:t>
      </w:r>
    </w:p>
    <w:p w:rsidR="005366A8" w:rsidRDefault="005366A8" w:rsidP="005366A8">
      <w:pPr>
        <w:ind w:hanging="59"/>
        <w:rPr>
          <w:sz w:val="22"/>
          <w:szCs w:val="22"/>
          <w:rtl/>
        </w:rPr>
      </w:pPr>
      <w:r w:rsidRPr="00CD0821">
        <w:rPr>
          <w:sz w:val="22"/>
          <w:szCs w:val="22"/>
          <w:rtl/>
        </w:rPr>
        <w:t xml:space="preserve">נסיבות המקרה </w:t>
      </w:r>
      <w:r>
        <w:rPr>
          <w:rFonts w:hint="cs"/>
          <w:sz w:val="22"/>
          <w:szCs w:val="22"/>
          <w:rtl/>
        </w:rPr>
        <w:t xml:space="preserve">והוראות הדין הרלבנטיות </w:t>
      </w:r>
      <w:r w:rsidRPr="00CD0821">
        <w:rPr>
          <w:sz w:val="22"/>
          <w:szCs w:val="22"/>
          <w:rtl/>
        </w:rPr>
        <w:t xml:space="preserve">הן כלהלן: </w:t>
      </w:r>
    </w:p>
    <w:p w:rsidR="005366A8" w:rsidRPr="00CD0821" w:rsidRDefault="005366A8" w:rsidP="005366A8">
      <w:pPr>
        <w:ind w:hanging="59"/>
        <w:rPr>
          <w:sz w:val="22"/>
          <w:szCs w:val="22"/>
          <w:rtl/>
        </w:rPr>
      </w:pPr>
    </w:p>
    <w:p w:rsidR="005366A8" w:rsidRPr="002229F3" w:rsidRDefault="005366A8" w:rsidP="005366A8">
      <w:pPr>
        <w:spacing w:after="120"/>
        <w:ind w:left="777" w:hanging="57"/>
        <w:rPr>
          <w:bCs/>
          <w:sz w:val="20"/>
          <w:szCs w:val="20"/>
          <w:rtl/>
        </w:rPr>
      </w:pPr>
      <w:r w:rsidRPr="002229F3">
        <w:rPr>
          <w:rFonts w:cs="David" w:hint="cs"/>
          <w:b/>
          <w:bCs/>
          <w:sz w:val="20"/>
          <w:szCs w:val="20"/>
          <w:rtl/>
        </w:rPr>
        <w:t>פקודת העיריות [נוסח חדש]</w:t>
      </w:r>
      <w:r>
        <w:rPr>
          <w:rFonts w:hint="cs"/>
          <w:sz w:val="20"/>
          <w:szCs w:val="20"/>
          <w:rtl/>
        </w:rPr>
        <w:t xml:space="preserve"> והסמכת </w:t>
      </w:r>
      <w:r w:rsidRPr="00CC3668">
        <w:rPr>
          <w:rFonts w:hint="cs"/>
          <w:b/>
          <w:bCs/>
          <w:sz w:val="20"/>
          <w:szCs w:val="20"/>
          <w:rtl/>
        </w:rPr>
        <w:t>מועצת העיר</w:t>
      </w:r>
      <w:r>
        <w:rPr>
          <w:rFonts w:hint="cs"/>
          <w:sz w:val="20"/>
          <w:szCs w:val="20"/>
          <w:rtl/>
        </w:rPr>
        <w:t xml:space="preserve"> לחוקק חוקי עזר:</w:t>
      </w:r>
    </w:p>
    <w:p w:rsidR="005366A8" w:rsidRPr="002229F3" w:rsidRDefault="005D7968" w:rsidP="005366A8">
      <w:pPr>
        <w:spacing w:after="240"/>
        <w:ind w:left="2274" w:hanging="57"/>
        <w:rPr>
          <w:rFonts w:cs="David"/>
          <w:sz w:val="20"/>
          <w:szCs w:val="20"/>
          <w:rtl/>
        </w:rPr>
      </w:pPr>
      <w:bookmarkStart w:id="57" w:name="Seif142"/>
      <w:bookmarkEnd w:id="57"/>
      <w:r w:rsidRPr="005D7968">
        <w:rPr>
          <w:snapToGrid w:val="0"/>
          <w:sz w:val="20"/>
          <w:szCs w:val="20"/>
          <w:rtl/>
          <w:lang w:eastAsia="he-IL"/>
        </w:rPr>
        <w:pict>
          <v:rect id="_x0000_s1207" style="position:absolute;left:0;text-align:left;margin-left:428.5pt;margin-top:8.05pt;width:88.2pt;height:27.05pt;z-index:251848704" o:allowincell="f" filled="f" stroked="f" strokecolor="lime" strokeweight=".25pt">
            <v:textbox style="mso-next-textbox:#_x0000_s1207" inset="0,0,0,0">
              <w:txbxContent>
                <w:p w:rsidR="005366A8" w:rsidRDefault="005366A8" w:rsidP="005366A8">
                  <w:pPr>
                    <w:spacing w:line="160" w:lineRule="exact"/>
                    <w:ind w:left="720"/>
                    <w:rPr>
                      <w:rFonts w:cs="Miriam"/>
                      <w:sz w:val="18"/>
                      <w:szCs w:val="18"/>
                      <w:rtl/>
                    </w:rPr>
                  </w:pPr>
                  <w:r>
                    <w:rPr>
                      <w:rFonts w:cs="Miriam"/>
                      <w:sz w:val="18"/>
                      <w:szCs w:val="18"/>
                      <w:rtl/>
                    </w:rPr>
                    <w:t>הסמכות ל</w:t>
                  </w:r>
                  <w:r>
                    <w:rPr>
                      <w:rFonts w:cs="Miriam" w:hint="cs"/>
                      <w:sz w:val="18"/>
                      <w:szCs w:val="18"/>
                      <w:rtl/>
                    </w:rPr>
                    <w:t xml:space="preserve">התקין </w:t>
                  </w:r>
                </w:p>
                <w:p w:rsidR="005366A8" w:rsidRDefault="005366A8" w:rsidP="005366A8">
                  <w:pPr>
                    <w:spacing w:line="160" w:lineRule="exact"/>
                    <w:ind w:left="720"/>
                    <w:rPr>
                      <w:rFonts w:cs="Miriam"/>
                      <w:noProof/>
                      <w:sz w:val="18"/>
                      <w:szCs w:val="18"/>
                      <w:rtl/>
                    </w:rPr>
                  </w:pPr>
                  <w:r>
                    <w:rPr>
                      <w:rFonts w:cs="Miriam"/>
                      <w:sz w:val="18"/>
                      <w:szCs w:val="18"/>
                      <w:rtl/>
                    </w:rPr>
                    <w:t>חוקי עזר</w:t>
                  </w:r>
                </w:p>
              </w:txbxContent>
            </v:textbox>
            <w10:anchorlock/>
          </v:rect>
        </w:pict>
      </w:r>
      <w:r w:rsidR="005366A8" w:rsidRPr="002229F3">
        <w:rPr>
          <w:sz w:val="20"/>
          <w:szCs w:val="20"/>
          <w:rtl/>
        </w:rPr>
        <w:t>250</w:t>
      </w:r>
      <w:r w:rsidR="005366A8" w:rsidRPr="002229F3">
        <w:rPr>
          <w:rFonts w:cs="David" w:hint="cs"/>
          <w:sz w:val="20"/>
          <w:szCs w:val="20"/>
          <w:rtl/>
        </w:rPr>
        <w:t>.</w:t>
      </w:r>
      <w:r w:rsidR="005366A8" w:rsidRPr="002229F3">
        <w:rPr>
          <w:rFonts w:cs="David"/>
          <w:sz w:val="20"/>
          <w:szCs w:val="20"/>
          <w:rtl/>
        </w:rPr>
        <w:tab/>
      </w:r>
      <w:r w:rsidR="005366A8" w:rsidRPr="005C3B0C">
        <w:rPr>
          <w:rFonts w:cs="David"/>
          <w:sz w:val="20"/>
          <w:szCs w:val="20"/>
          <w:highlight w:val="yellow"/>
          <w:rtl/>
        </w:rPr>
        <w:t>מועצה רש</w:t>
      </w:r>
      <w:r w:rsidR="005366A8" w:rsidRPr="005C3B0C">
        <w:rPr>
          <w:rFonts w:cs="David" w:hint="cs"/>
          <w:sz w:val="20"/>
          <w:szCs w:val="20"/>
          <w:highlight w:val="yellow"/>
          <w:rtl/>
        </w:rPr>
        <w:t>אית</w:t>
      </w:r>
      <w:r w:rsidR="005366A8" w:rsidRPr="002229F3">
        <w:rPr>
          <w:rFonts w:cs="David" w:hint="cs"/>
          <w:sz w:val="20"/>
          <w:szCs w:val="20"/>
          <w:rtl/>
        </w:rPr>
        <w:t xml:space="preserve"> להתקין חוקי עזר כדי לאפשר לעיריה ביצוע הדברים שהיא נדרשת או מוסמכת לעשותם על פי הפקודה או כל ד</w:t>
      </w:r>
      <w:r w:rsidR="005366A8" w:rsidRPr="002229F3">
        <w:rPr>
          <w:rFonts w:cs="David"/>
          <w:sz w:val="20"/>
          <w:szCs w:val="20"/>
          <w:rtl/>
        </w:rPr>
        <w:t>ין</w:t>
      </w:r>
      <w:r w:rsidR="005366A8" w:rsidRPr="002229F3">
        <w:rPr>
          <w:rFonts w:cs="David" w:hint="cs"/>
          <w:sz w:val="20"/>
          <w:szCs w:val="20"/>
          <w:rtl/>
        </w:rPr>
        <w:t xml:space="preserve"> א</w:t>
      </w:r>
      <w:r w:rsidR="005366A8" w:rsidRPr="002229F3">
        <w:rPr>
          <w:rFonts w:cs="David"/>
          <w:sz w:val="20"/>
          <w:szCs w:val="20"/>
          <w:rtl/>
        </w:rPr>
        <w:t>חר</w:t>
      </w:r>
      <w:r w:rsidR="005366A8" w:rsidRPr="002229F3">
        <w:rPr>
          <w:rFonts w:cs="David" w:hint="cs"/>
          <w:sz w:val="20"/>
          <w:szCs w:val="20"/>
          <w:rtl/>
        </w:rPr>
        <w:t xml:space="preserve"> או לעזור לה בביצועם, או כדי לדרוש מבעל נכס או מחזיקו לבצע באותו נכס עבודה הנחוצה למטר</w:t>
      </w:r>
      <w:r w:rsidR="005366A8" w:rsidRPr="002229F3">
        <w:rPr>
          <w:rFonts w:cs="David"/>
          <w:sz w:val="20"/>
          <w:szCs w:val="20"/>
          <w:rtl/>
        </w:rPr>
        <w:t>ה האמורה</w:t>
      </w:r>
      <w:r w:rsidR="005366A8" w:rsidRPr="002229F3">
        <w:rPr>
          <w:rFonts w:cs="David" w:hint="cs"/>
          <w:sz w:val="20"/>
          <w:szCs w:val="20"/>
          <w:rtl/>
        </w:rPr>
        <w:t>.</w:t>
      </w:r>
    </w:p>
    <w:p w:rsidR="005366A8" w:rsidRPr="00CD0821" w:rsidRDefault="005366A8" w:rsidP="005366A8">
      <w:pPr>
        <w:spacing w:after="120"/>
        <w:ind w:left="777" w:hanging="57"/>
        <w:rPr>
          <w:sz w:val="20"/>
          <w:szCs w:val="20"/>
          <w:rtl/>
        </w:rPr>
      </w:pPr>
      <w:r w:rsidRPr="002229F3">
        <w:rPr>
          <w:rFonts w:cs="David"/>
          <w:b/>
          <w:bCs/>
          <w:sz w:val="20"/>
          <w:szCs w:val="20"/>
          <w:rtl/>
        </w:rPr>
        <w:t>חוק עזר לפתח-תקוה (פתיחת עסקים וסגירתם), תשכ"ד-1963</w:t>
      </w:r>
      <w:r w:rsidRPr="00CD0821">
        <w:rPr>
          <w:sz w:val="20"/>
          <w:szCs w:val="20"/>
          <w:rtl/>
        </w:rPr>
        <w:t xml:space="preserve"> (להלן - חוק העזר הקיים) קובע בסעיף 4, כי: </w:t>
      </w:r>
    </w:p>
    <w:p w:rsidR="005366A8" w:rsidRPr="00811447" w:rsidRDefault="005366A8" w:rsidP="005366A8">
      <w:pPr>
        <w:ind w:left="1499" w:hanging="59"/>
        <w:rPr>
          <w:rFonts w:cs="David"/>
          <w:sz w:val="20"/>
          <w:szCs w:val="20"/>
          <w:rtl/>
        </w:rPr>
      </w:pPr>
      <w:r w:rsidRPr="00811447">
        <w:rPr>
          <w:rFonts w:cs="David"/>
          <w:sz w:val="20"/>
          <w:szCs w:val="20"/>
          <w:rtl/>
        </w:rPr>
        <w:t>"</w:t>
      </w:r>
      <w:r>
        <w:rPr>
          <w:rFonts w:cs="David" w:hint="cs"/>
          <w:sz w:val="20"/>
          <w:szCs w:val="20"/>
          <w:rtl/>
        </w:rPr>
        <w:t>4</w:t>
      </w:r>
      <w:r w:rsidRPr="00811447">
        <w:rPr>
          <w:rFonts w:cs="David"/>
          <w:sz w:val="20"/>
          <w:szCs w:val="20"/>
          <w:rtl/>
        </w:rPr>
        <w:t xml:space="preserve">(א) בימי מנוחה לא יפתח אדם ולא ירשה בעל </w:t>
      </w:r>
      <w:r>
        <w:rPr>
          <w:rFonts w:cs="David" w:hint="cs"/>
          <w:sz w:val="20"/>
          <w:szCs w:val="20"/>
          <w:rtl/>
        </w:rPr>
        <w:t>[</w:t>
      </w:r>
      <w:r w:rsidRPr="005C3B0C">
        <w:rPr>
          <w:sz w:val="20"/>
          <w:szCs w:val="20"/>
          <w:rtl/>
        </w:rPr>
        <w:t>עסק</w:t>
      </w:r>
      <w:r>
        <w:rPr>
          <w:rFonts w:cs="David" w:hint="cs"/>
          <w:sz w:val="20"/>
          <w:szCs w:val="20"/>
          <w:rtl/>
        </w:rPr>
        <w:t xml:space="preserve">] </w:t>
      </w:r>
      <w:r w:rsidRPr="00811447">
        <w:rPr>
          <w:rFonts w:cs="David"/>
          <w:sz w:val="20"/>
          <w:szCs w:val="20"/>
          <w:rtl/>
        </w:rPr>
        <w:t xml:space="preserve">לפתוח בית עסק או בית עינוג. (ב) ... </w:t>
      </w:r>
    </w:p>
    <w:p w:rsidR="005366A8" w:rsidRDefault="005366A8" w:rsidP="005366A8">
      <w:pPr>
        <w:ind w:hanging="59"/>
        <w:rPr>
          <w:sz w:val="20"/>
          <w:szCs w:val="20"/>
          <w:rtl/>
        </w:rPr>
      </w:pPr>
    </w:p>
    <w:p w:rsidR="005366A8" w:rsidRDefault="005366A8" w:rsidP="005366A8">
      <w:pPr>
        <w:spacing w:after="120"/>
        <w:ind w:left="57" w:hanging="57"/>
        <w:rPr>
          <w:rFonts w:cs="FrankRuehl"/>
          <w:sz w:val="22"/>
          <w:szCs w:val="22"/>
          <w:rtl/>
        </w:rPr>
      </w:pPr>
      <w:r>
        <w:rPr>
          <w:rFonts w:cs="FrankRuehl" w:hint="cs"/>
          <w:sz w:val="22"/>
          <w:szCs w:val="22"/>
          <w:rtl/>
        </w:rPr>
        <w:t xml:space="preserve">תיאור הרקע בפסק דינו של בית המשפט: </w:t>
      </w:r>
    </w:p>
    <w:p w:rsidR="005366A8" w:rsidRPr="004F5D15" w:rsidRDefault="005366A8" w:rsidP="005366A8">
      <w:pPr>
        <w:spacing w:after="120"/>
        <w:ind w:left="57" w:hanging="57"/>
        <w:rPr>
          <w:rFonts w:cs="FrankRuehl"/>
          <w:rtl/>
        </w:rPr>
      </w:pPr>
      <w:r w:rsidRPr="004F5D15">
        <w:rPr>
          <w:rFonts w:cs="FrankRuehl"/>
          <w:rtl/>
        </w:rPr>
        <w:t xml:space="preserve">בהתאם להגדרות של המונחים "בית עסק", "בית עינוג" ו"ימי מנוחה" בסעיף 1 לחוק העזר הקיים, פירוש סעיף 4(א) הנ"ל הוא (לענייננו), כי בימים שנקבעו כ"ימי מנוחה" בפקודת ימי מנוחה, תש"ח-1948, אסור לפתוח, בין היתר, בית-קולנוע (שהוא בגדר "בית עינוג"), ואילו בכוונת ראש העירייה להעניק רישיון לפתיחת קולנוע "היכל" בערבי שבתות, החלטה שבינתיים - ללא רישיון - גם הוצאה במשך זמן מסוים מהכוח אל הפועל. </w:t>
      </w:r>
    </w:p>
    <w:p w:rsidR="005366A8" w:rsidRPr="004F5D15" w:rsidRDefault="005366A8" w:rsidP="005366A8">
      <w:pPr>
        <w:ind w:left="59" w:hanging="59"/>
        <w:rPr>
          <w:rFonts w:cs="FrankRuehl"/>
          <w:rtl/>
        </w:rPr>
      </w:pPr>
      <w:r w:rsidRPr="004F5D15">
        <w:rPr>
          <w:rFonts w:cs="FrankRuehl"/>
          <w:rtl/>
        </w:rPr>
        <w:t>אולם משהתפתח עקב כך מאבק ציבורי, התכנסה המועצה</w:t>
      </w:r>
      <w:r w:rsidRPr="004F5D15">
        <w:rPr>
          <w:rFonts w:cs="FrankRuehl" w:hint="cs"/>
          <w:rtl/>
        </w:rPr>
        <w:t xml:space="preserve"> [מועצת העיר]</w:t>
      </w:r>
      <w:r w:rsidRPr="004F5D15">
        <w:rPr>
          <w:rFonts w:cs="FrankRuehl"/>
          <w:rtl/>
        </w:rPr>
        <w:t xml:space="preserve">, וב-5.2.84 החליטה על הצעת תיקון, לפיה ייתוסף לחוק העזר המקורי סעיף 6א, בו ייאמר, </w:t>
      </w:r>
    </w:p>
    <w:p w:rsidR="005366A8" w:rsidRPr="004F5D15" w:rsidRDefault="005366A8" w:rsidP="005366A8">
      <w:pPr>
        <w:ind w:left="779" w:hanging="59"/>
        <w:rPr>
          <w:rFonts w:cs="David"/>
          <w:sz w:val="20"/>
          <w:szCs w:val="20"/>
          <w:rtl/>
        </w:rPr>
      </w:pPr>
      <w:r w:rsidRPr="004F5D15">
        <w:rPr>
          <w:rFonts w:cs="David"/>
          <w:sz w:val="20"/>
          <w:szCs w:val="20"/>
          <w:rtl/>
        </w:rPr>
        <w:t>ש</w:t>
      </w:r>
      <w:r w:rsidRPr="004F5D15">
        <w:rPr>
          <w:rFonts w:cs="David"/>
          <w:b/>
          <w:bCs/>
          <w:sz w:val="20"/>
          <w:szCs w:val="20"/>
          <w:rtl/>
        </w:rPr>
        <w:t>ראש העירייה</w:t>
      </w:r>
      <w:r w:rsidRPr="004F5D15">
        <w:rPr>
          <w:rFonts w:cs="David"/>
          <w:sz w:val="20"/>
          <w:szCs w:val="20"/>
          <w:rtl/>
        </w:rPr>
        <w:t xml:space="preserve"> "רשאי ליתן רשיון לפתיחת בית עסק או בית עינוג למרות האמור בחוק עזר זה, אם ראה שיש ענין ציבורי בכך". </w:t>
      </w:r>
    </w:p>
    <w:p w:rsidR="005366A8" w:rsidRPr="00BA3BF3" w:rsidRDefault="005366A8" w:rsidP="005366A8">
      <w:pPr>
        <w:ind w:left="59" w:hanging="59"/>
        <w:rPr>
          <w:rFonts w:cs="FrankRuehl"/>
          <w:sz w:val="22"/>
          <w:szCs w:val="22"/>
          <w:rtl/>
        </w:rPr>
      </w:pPr>
      <w:r w:rsidRPr="004F5D15">
        <w:rPr>
          <w:rFonts w:cs="FrankRuehl"/>
          <w:rtl/>
        </w:rPr>
        <w:t>כן רשאי הוא להתנות את הרישיון בתנאים ולקבוע לו תקופה קצובה. ההחלטה בדבר הצעת התיקון אושרה ברוב דעות של חברי המועצה (13 כנגד 7 ונמנע אחד), לאחר דיון סוער, בעיקר על רקע ההיבט הדתי.</w:t>
      </w:r>
      <w:r w:rsidRPr="004F5D15">
        <w:rPr>
          <w:rFonts w:cs="FrankRuehl" w:hint="cs"/>
          <w:rtl/>
        </w:rPr>
        <w:t xml:space="preserve"> להלן התיקון לחוק העזר שהתקבל והותקף</w:t>
      </w:r>
      <w:r>
        <w:rPr>
          <w:rFonts w:cs="FrankRuehl" w:hint="cs"/>
          <w:sz w:val="22"/>
          <w:szCs w:val="22"/>
          <w:rtl/>
        </w:rPr>
        <w:t>:</w:t>
      </w:r>
    </w:p>
    <w:p w:rsidR="005366A8" w:rsidRPr="00CD0821" w:rsidRDefault="005366A8" w:rsidP="005366A8">
      <w:pPr>
        <w:ind w:hanging="59"/>
        <w:rPr>
          <w:sz w:val="20"/>
          <w:szCs w:val="20"/>
          <w:rtl/>
        </w:rPr>
      </w:pPr>
    </w:p>
    <w:p w:rsidR="005366A8" w:rsidRPr="00811447" w:rsidRDefault="005366A8" w:rsidP="005366A8">
      <w:pPr>
        <w:ind w:left="531" w:hanging="59"/>
        <w:rPr>
          <w:rFonts w:cs="David"/>
          <w:sz w:val="20"/>
          <w:szCs w:val="20"/>
          <w:rtl/>
        </w:rPr>
      </w:pPr>
      <w:r w:rsidRPr="004F5D15">
        <w:rPr>
          <w:rFonts w:cs="David"/>
          <w:sz w:val="20"/>
          <w:szCs w:val="20"/>
          <w:highlight w:val="yellow"/>
          <w:rtl/>
        </w:rPr>
        <w:t>6א. (1) ראש העיריה יהיה רשאי ליתן רשיון לפתיחת בית עסק או בית עינוג</w:t>
      </w:r>
      <w:r w:rsidRPr="00811447">
        <w:rPr>
          <w:rFonts w:cs="David"/>
          <w:sz w:val="20"/>
          <w:szCs w:val="20"/>
          <w:rtl/>
        </w:rPr>
        <w:t xml:space="preserve"> למרות האמור בחוק עזר זה, </w:t>
      </w:r>
      <w:r w:rsidRPr="004F5D15">
        <w:rPr>
          <w:rFonts w:cs="David"/>
          <w:sz w:val="20"/>
          <w:szCs w:val="20"/>
          <w:highlight w:val="yellow"/>
          <w:rtl/>
        </w:rPr>
        <w:t>אם ראה שיש ענין ציבורי בכך.</w:t>
      </w:r>
      <w:r w:rsidRPr="00811447">
        <w:rPr>
          <w:rFonts w:cs="David"/>
          <w:sz w:val="20"/>
          <w:szCs w:val="20"/>
          <w:rtl/>
        </w:rPr>
        <w:t xml:space="preserve"> </w:t>
      </w:r>
    </w:p>
    <w:p w:rsidR="005366A8" w:rsidRPr="00811447" w:rsidRDefault="005366A8" w:rsidP="005366A8">
      <w:pPr>
        <w:ind w:left="531" w:hanging="59"/>
        <w:rPr>
          <w:rFonts w:cs="David"/>
          <w:sz w:val="20"/>
          <w:szCs w:val="20"/>
          <w:rtl/>
        </w:rPr>
      </w:pPr>
      <w:r w:rsidRPr="00811447">
        <w:rPr>
          <w:rFonts w:cs="David"/>
          <w:sz w:val="20"/>
          <w:szCs w:val="20"/>
          <w:rtl/>
        </w:rPr>
        <w:t xml:space="preserve">(2) ראש העיריה רשאי - </w:t>
      </w:r>
    </w:p>
    <w:p w:rsidR="005366A8" w:rsidRPr="00811447" w:rsidRDefault="005366A8" w:rsidP="005366A8">
      <w:pPr>
        <w:ind w:left="1180" w:hanging="59"/>
        <w:rPr>
          <w:rFonts w:cs="David"/>
          <w:sz w:val="20"/>
          <w:szCs w:val="20"/>
          <w:rtl/>
        </w:rPr>
      </w:pPr>
      <w:r w:rsidRPr="00811447">
        <w:rPr>
          <w:rFonts w:cs="David"/>
          <w:sz w:val="20"/>
          <w:szCs w:val="20"/>
          <w:rtl/>
        </w:rPr>
        <w:t xml:space="preserve">(א) להתנות תנאים ברשיון בעת נתינתו ולהוסיף עליהם. </w:t>
      </w:r>
    </w:p>
    <w:p w:rsidR="005366A8" w:rsidRPr="00811447" w:rsidRDefault="005366A8" w:rsidP="005366A8">
      <w:pPr>
        <w:ind w:left="1180" w:hanging="59"/>
        <w:rPr>
          <w:rFonts w:cs="David"/>
          <w:sz w:val="20"/>
          <w:szCs w:val="20"/>
          <w:rtl/>
        </w:rPr>
      </w:pPr>
      <w:r w:rsidRPr="00811447">
        <w:rPr>
          <w:rFonts w:cs="David"/>
          <w:sz w:val="20"/>
          <w:szCs w:val="20"/>
          <w:rtl/>
        </w:rPr>
        <w:t xml:space="preserve">(ב) לסרב לתת רשיון. </w:t>
      </w:r>
    </w:p>
    <w:p w:rsidR="005366A8" w:rsidRPr="00CD0821" w:rsidRDefault="005366A8" w:rsidP="005366A8">
      <w:pPr>
        <w:spacing w:after="120"/>
        <w:ind w:left="1180" w:hanging="57"/>
        <w:rPr>
          <w:sz w:val="20"/>
          <w:szCs w:val="20"/>
          <w:rtl/>
        </w:rPr>
      </w:pPr>
      <w:r w:rsidRPr="00811447">
        <w:rPr>
          <w:rFonts w:cs="David"/>
          <w:sz w:val="20"/>
          <w:szCs w:val="20"/>
          <w:rtl/>
        </w:rPr>
        <w:t>(ג) לבטל רשיון אם לא נתמלאו התנאים שנקבעו בו</w:t>
      </w:r>
      <w:r w:rsidRPr="00CD0821">
        <w:rPr>
          <w:sz w:val="20"/>
          <w:szCs w:val="20"/>
          <w:rtl/>
        </w:rPr>
        <w:t xml:space="preserve">. </w:t>
      </w:r>
    </w:p>
    <w:p w:rsidR="005366A8" w:rsidRDefault="005366A8" w:rsidP="005366A8">
      <w:pPr>
        <w:spacing w:after="60"/>
        <w:ind w:left="-57"/>
        <w:rPr>
          <w:rFonts w:cs="FrankRuehl"/>
          <w:rtl/>
        </w:rPr>
      </w:pPr>
      <w:r>
        <w:rPr>
          <w:rFonts w:cs="FrankRuehl" w:hint="cs"/>
          <w:rtl/>
        </w:rPr>
        <w:t>[השופטת בן-פורת]</w:t>
      </w:r>
    </w:p>
    <w:p w:rsidR="005366A8" w:rsidRPr="00325EF4" w:rsidRDefault="005366A8" w:rsidP="005366A8">
      <w:pPr>
        <w:spacing w:after="60"/>
        <w:ind w:left="-57"/>
        <w:rPr>
          <w:rFonts w:cs="FrankRuehl"/>
          <w:rtl/>
        </w:rPr>
      </w:pPr>
      <w:r w:rsidRPr="0010228D">
        <w:rPr>
          <w:rFonts w:cs="FrankRuehl"/>
          <w:highlight w:val="yellow"/>
          <w:rtl/>
        </w:rPr>
        <w:t xml:space="preserve">פועל כאן עקרון היסוד, לפיו אין רשות מקומית רשאית להעביר את סמכותה החקיקתית לאחר, והכלל </w:t>
      </w:r>
      <w:r w:rsidRPr="0010228D">
        <w:rPr>
          <w:rFonts w:cs="FrankRuehl" w:hint="cs"/>
          <w:highlight w:val="yellow"/>
          <w:rtl/>
        </w:rPr>
        <w:t>ה</w:t>
      </w:r>
      <w:r w:rsidRPr="0010228D">
        <w:rPr>
          <w:rFonts w:cs="FrankRuehl"/>
          <w:highlight w:val="yellow"/>
          <w:rtl/>
        </w:rPr>
        <w:t xml:space="preserve">נזכר לעיל "שליח לא שויא שליח" </w:t>
      </w:r>
      <w:r w:rsidRPr="0010228D">
        <w:rPr>
          <w:rFonts w:cs="FrankRuehl" w:hint="cs"/>
          <w:highlight w:val="yellow"/>
          <w:rtl/>
        </w:rPr>
        <w:t xml:space="preserve">[שליח לא עושה שליח] </w:t>
      </w:r>
      <w:r w:rsidRPr="0010228D">
        <w:rPr>
          <w:rFonts w:cs="FrankRuehl"/>
          <w:highlight w:val="yellow"/>
          <w:rtl/>
        </w:rPr>
        <w:t>תופס בה (אם כי תוך גמישות מסוימת, כמוסבר בהמשך). כדי למנוע אי-הבנה יודגש, שאין לגרוע מחשיבות העובדה, שחברי מועצת העירייה נבחרים בבחירות חופשיות ודמוקרטיות. אולם על המועצה עצמה - ולא בידי שליח - ל</w:t>
      </w:r>
      <w:r w:rsidRPr="0010228D">
        <w:rPr>
          <w:rFonts w:cs="FrankRuehl" w:hint="cs"/>
          <w:highlight w:val="yellow"/>
          <w:rtl/>
        </w:rPr>
        <w:t>ע</w:t>
      </w:r>
      <w:r w:rsidRPr="0010228D">
        <w:rPr>
          <w:rFonts w:cs="FrankRuehl"/>
          <w:highlight w:val="yellow"/>
          <w:rtl/>
        </w:rPr>
        <w:t>סוק במלאכת חקיקת המשנה. בעיקר כל אימת שזו כרוכה בהפעלה של שיקול-דעת בכלל ובנושאים בעלי אופי אידיאולוגי בפרט.</w:t>
      </w:r>
      <w:r w:rsidRPr="00325EF4">
        <w:rPr>
          <w:rFonts w:cs="FrankRuehl"/>
          <w:rtl/>
        </w:rPr>
        <w:t xml:space="preserve"> המועצה פועלת בשמה שלה ולא רק "מטעם" הריבון. אולם, כאמור, עליה לפעול בעצמה ולא לאצול מסמכויותיה לרשות מינהלית, ולו גם למי שניצב בראש הפירמידה, הוא ראש העיר. </w:t>
      </w:r>
    </w:p>
    <w:p w:rsidR="005366A8" w:rsidRPr="00325EF4" w:rsidRDefault="005366A8" w:rsidP="005366A8">
      <w:pPr>
        <w:spacing w:after="60"/>
        <w:ind w:left="-57"/>
        <w:rPr>
          <w:rFonts w:cs="FrankRuehl"/>
          <w:rtl/>
        </w:rPr>
      </w:pPr>
      <w:r w:rsidRPr="00325EF4">
        <w:rPr>
          <w:rFonts w:cs="FrankRuehl"/>
          <w:rtl/>
        </w:rPr>
        <w:t>רמזתי, כי העיקרון דלעיל המונע העברת סמכויות אינו נוקשה. אם מדובר בהעברה טכנית ביסודה, הכרוכה בעיקר בבירור עובדות, ולו גם תוך הפעלה מוגבלת של שיקול-דעת על-ידי הנעבר, נוטים להתיר את הסטייה. בדרך זו יכולה המועצה להסמיך רשות מינהלית לקבוע (על סמך בירור עובדתי בעיקרו) מעין "תקנות מפורטות" לביצוע ההסדרים, שכבר נקבעו על</w:t>
      </w:r>
      <w:r w:rsidRPr="00325EF4">
        <w:rPr>
          <w:rFonts w:cs="FrankRuehl"/>
          <w:rtl/>
        </w:rPr>
        <w:softHyphen/>
      </w:r>
      <w:r w:rsidRPr="00325EF4">
        <w:rPr>
          <w:rFonts w:cs="FrankRuehl" w:hint="cs"/>
          <w:rtl/>
        </w:rPr>
        <w:t xml:space="preserve"> </w:t>
      </w:r>
      <w:r w:rsidRPr="00325EF4">
        <w:rPr>
          <w:rFonts w:cs="FrankRuehl"/>
          <w:rtl/>
        </w:rPr>
        <w:t xml:space="preserve">ידי המועצה עצמה בחקיקת המשנה. על-פי קו מחשבה זה הוחלט בע"פ </w:t>
      </w:r>
      <w:r w:rsidRPr="00325EF4">
        <w:rPr>
          <w:rFonts w:cs="FrankRuehl"/>
        </w:rPr>
        <w:t>74/58</w:t>
      </w:r>
      <w:r w:rsidRPr="00325EF4">
        <w:rPr>
          <w:rFonts w:cs="FrankRuehl"/>
          <w:rtl/>
        </w:rPr>
        <w:t xml:space="preserve"> [</w:t>
      </w:r>
      <w:r w:rsidRPr="00325EF4">
        <w:rPr>
          <w:rFonts w:cs="FrankRuehl"/>
        </w:rPr>
        <w:t>3</w:t>
      </w:r>
      <w:r w:rsidRPr="00325EF4">
        <w:rPr>
          <w:rFonts w:cs="FrankRuehl"/>
          <w:rtl/>
        </w:rPr>
        <w:t>]</w:t>
      </w:r>
      <w:r w:rsidRPr="00325EF4">
        <w:rPr>
          <w:rFonts w:cs="FrankRuehl"/>
        </w:rPr>
        <w:t xml:space="preserve">, </w:t>
      </w:r>
      <w:r w:rsidRPr="00325EF4">
        <w:rPr>
          <w:rFonts w:cs="FrankRuehl"/>
          <w:rtl/>
        </w:rPr>
        <w:t>שמותר היה להסמיך (בחוק עזר לתל-אביב-יפו (העמדת רכב וחנייתו), תשי"ד-</w:t>
      </w:r>
      <w:r w:rsidRPr="00325EF4">
        <w:rPr>
          <w:rFonts w:cs="FrankRuehl"/>
        </w:rPr>
        <w:t>1954</w:t>
      </w:r>
      <w:r w:rsidRPr="00325EF4">
        <w:rPr>
          <w:rFonts w:cs="FrankRuehl"/>
          <w:rtl/>
        </w:rPr>
        <w:t>) את ראש העיר לקבוע מקום חניה כמקום מוסדר החייב בתשלום ואף להחליט, אם להפעיל מקום זה על-ידי סדרן או באמצעות "מדחן"</w:t>
      </w:r>
      <w:r w:rsidRPr="00325EF4">
        <w:rPr>
          <w:rFonts w:cs="FrankRuehl" w:hint="cs"/>
          <w:rtl/>
        </w:rPr>
        <w:t>...</w:t>
      </w:r>
    </w:p>
    <w:p w:rsidR="005366A8" w:rsidRPr="00325EF4" w:rsidRDefault="005366A8" w:rsidP="005366A8">
      <w:pPr>
        <w:spacing w:after="60"/>
        <w:ind w:left="-57"/>
        <w:rPr>
          <w:rFonts w:cs="FrankRuehl"/>
        </w:rPr>
      </w:pPr>
      <w:r w:rsidRPr="00325EF4">
        <w:rPr>
          <w:rFonts w:cs="FrankRuehl"/>
          <w:rtl/>
        </w:rPr>
        <w:t xml:space="preserve">שונה תכלית שינוי הוא התיקון המוצע בעניין שלפנינו. </w:t>
      </w:r>
      <w:r w:rsidRPr="00325EF4">
        <w:rPr>
          <w:rFonts w:cs="FrankRuehl" w:hint="cs"/>
          <w:rtl/>
        </w:rPr>
        <w:t>[ראו את נוסחו לעיל]</w:t>
      </w:r>
    </w:p>
    <w:p w:rsidR="005366A8" w:rsidRDefault="005366A8" w:rsidP="005366A8">
      <w:pPr>
        <w:spacing w:after="60"/>
        <w:ind w:left="-57"/>
        <w:rPr>
          <w:rFonts w:cs="FrankRuehl"/>
          <w:rtl/>
        </w:rPr>
      </w:pPr>
      <w:r w:rsidRPr="00325EF4">
        <w:rPr>
          <w:rFonts w:cs="FrankRuehl" w:hint="cs"/>
          <w:rtl/>
        </w:rPr>
        <w:t>..</w:t>
      </w:r>
      <w:r w:rsidRPr="00325EF4">
        <w:rPr>
          <w:rFonts w:cs="FrankRuehl"/>
          <w:rtl/>
        </w:rPr>
        <w:t xml:space="preserve">. מלשון התיקון עולה, כי שיקול הדעת, אם יש או אין "ענין ציבורי" במתן רישיון "למרות האמור" בחוק העזר הקיים, נמסר כל כולו לראש העיר. </w:t>
      </w:r>
      <w:r w:rsidRPr="0010228D">
        <w:rPr>
          <w:rFonts w:cs="FrankRuehl"/>
          <w:highlight w:val="yellow"/>
          <w:rtl/>
        </w:rPr>
        <w:t>התוצאה המעשית העולה מכך היא, שעל יסוד הסמכה זו יכול ראש העיר לחולל שינויים יסודיים ביותר בחוק העזר הקיים, וזו האצלה כה גורפת, אשר לפי שום קנה מידה הגיוני אינה עשויה להוות סטייה מותרת מעקרון היסוד, לפיו אסור למועצה בישראל להעביר לאחר את סמכויותיה התחיקתיות. ההלכה הפסוקה היא, כי בהתייחסות לס</w:t>
      </w:r>
      <w:r w:rsidRPr="0010228D">
        <w:rPr>
          <w:rFonts w:cs="FrankRuehl" w:hint="cs"/>
          <w:highlight w:val="yellow"/>
          <w:rtl/>
        </w:rPr>
        <w:t>מ</w:t>
      </w:r>
      <w:r w:rsidRPr="0010228D">
        <w:rPr>
          <w:rFonts w:cs="FrankRuehl"/>
          <w:highlight w:val="yellow"/>
          <w:rtl/>
        </w:rPr>
        <w:t>כויות המינהל אין לבחון את הפראקטיקה הנוכחית אלא את היקפה הפוטנציאלי של הסמכות</w:t>
      </w:r>
      <w:r w:rsidRPr="00325EF4">
        <w:rPr>
          <w:rFonts w:cs="FrankRuehl"/>
          <w:rtl/>
        </w:rPr>
        <w:t xml:space="preserve">. </w:t>
      </w:r>
      <w:r w:rsidRPr="00325EF4">
        <w:rPr>
          <w:rFonts w:cs="FrankRuehl" w:hint="cs"/>
          <w:rtl/>
        </w:rPr>
        <w:t>...</w:t>
      </w:r>
      <w:r w:rsidRPr="00325EF4">
        <w:rPr>
          <w:rFonts w:cs="FrankRuehl"/>
          <w:rtl/>
        </w:rPr>
        <w:t xml:space="preserve">חוק העזר הקיים דן כל כולו, או לפחות רובו ככולו, בשעות פתיחה ובמועדים, ואילו לפי התיקון הוסמך ראש העיר (אם ראה בכך עניין ציבורי) לשנות את כולם. </w:t>
      </w:r>
    </w:p>
    <w:p w:rsidR="005366A8" w:rsidRPr="00325EF4" w:rsidRDefault="005366A8" w:rsidP="005366A8">
      <w:pPr>
        <w:spacing w:after="60"/>
        <w:ind w:left="-57"/>
        <w:rPr>
          <w:rFonts w:cs="FrankRuehl"/>
          <w:rtl/>
        </w:rPr>
      </w:pPr>
      <w:r w:rsidRPr="00F01529">
        <w:rPr>
          <w:rFonts w:cs="FrankRuehl"/>
          <w:highlight w:val="yellow"/>
          <w:rtl/>
        </w:rPr>
        <w:t>זאת ועוד, מהטיעון לפנינו ברור, שהמטרה העיקרית ביסוד התיקון המוצע הייתה לאפשר לראש העיר להעניק לבית הקולנוע "היכל" היתר להציג סרטים בפני קהל צופים בלילות שבת ומועד, "למרות האמור" בסעיף 4(א) לחוק העזר הקיים</w:t>
      </w:r>
      <w:r w:rsidRPr="00325EF4">
        <w:rPr>
          <w:rFonts w:cs="FrankRuehl"/>
          <w:rtl/>
        </w:rPr>
        <w:t>.</w:t>
      </w:r>
    </w:p>
    <w:p w:rsidR="005366A8" w:rsidRDefault="005366A8" w:rsidP="005366A8">
      <w:pPr>
        <w:ind w:left="-57"/>
        <w:rPr>
          <w:rFonts w:cs="FrankRuehl"/>
          <w:rtl/>
        </w:rPr>
      </w:pPr>
      <w:r w:rsidRPr="00F01529">
        <w:rPr>
          <w:rFonts w:cs="FrankRuehl"/>
          <w:rtl/>
        </w:rPr>
        <w:t>השאלה, אם להרשות פתיחת קולנוע בשבת, היא שאלה, שהדעות לגביה בקרב הציבור, לרבות בעיר פתח-תקוה, עשויות להיות חלוקות. יתרה מזו, ההפגנות והשימוש באלימות, שנתלוו לניסיון להפעיל קולנוע זה לפני שהוחלט על התיקון המ</w:t>
      </w:r>
      <w:r>
        <w:rPr>
          <w:rFonts w:cs="FrankRuehl"/>
          <w:rtl/>
        </w:rPr>
        <w:t>וצע, מהווים ראיה המחזקת השערה ז</w:t>
      </w:r>
      <w:r>
        <w:rPr>
          <w:rFonts w:cs="FrankRuehl" w:hint="cs"/>
          <w:rtl/>
        </w:rPr>
        <w:t>ו.</w:t>
      </w:r>
      <w:r w:rsidRPr="00F01529">
        <w:rPr>
          <w:rFonts w:cs="FrankRuehl"/>
        </w:rPr>
        <w:t xml:space="preserve"> </w:t>
      </w:r>
      <w:r w:rsidRPr="00F01529">
        <w:rPr>
          <w:rFonts w:cs="FrankRuehl"/>
          <w:rtl/>
        </w:rPr>
        <w:t>ערה אני לזהירות, בה צריך להתייחס לחשש מפני טרור רחוב על רקע אידיאולוגי דתי, ולעובדה, כי שמירת צביונה של המדינה כמדינת חוק מחייבת להתעלם מחשש זה כשהוא מתייחס לקיצוניי מועטים העלולים לנסות להשליט את</w:t>
      </w:r>
      <w:r w:rsidRPr="00F01529">
        <w:rPr>
          <w:rFonts w:cs="FrankRuehl"/>
        </w:rPr>
        <w:t xml:space="preserve"> </w:t>
      </w:r>
      <w:r w:rsidRPr="00F01529">
        <w:rPr>
          <w:rFonts w:cs="FrankRuehl"/>
          <w:rtl/>
        </w:rPr>
        <w:t>רצונם על הרוב (ראה דברי השופט זילברג בבג"צ</w:t>
      </w:r>
      <w:r w:rsidRPr="00F01529">
        <w:rPr>
          <w:rFonts w:cs="FrankRuehl"/>
        </w:rPr>
        <w:t xml:space="preserve"> 155/60 </w:t>
      </w:r>
      <w:r w:rsidRPr="00F01529">
        <w:rPr>
          <w:rFonts w:cs="FrankRuehl"/>
          <w:rtl/>
        </w:rPr>
        <w:t>[</w:t>
      </w:r>
      <w:r w:rsidRPr="00F01529">
        <w:rPr>
          <w:rFonts w:cs="FrankRuehl"/>
        </w:rPr>
        <w:t>5</w:t>
      </w:r>
      <w:r w:rsidRPr="00F01529">
        <w:rPr>
          <w:rFonts w:cs="FrankRuehl"/>
          <w:rtl/>
        </w:rPr>
        <w:t>]</w:t>
      </w:r>
      <w:r w:rsidRPr="00F01529">
        <w:rPr>
          <w:rFonts w:cs="FrankRuehl"/>
        </w:rPr>
        <w:t xml:space="preserve"> </w:t>
      </w:r>
      <w:r w:rsidRPr="00F01529">
        <w:rPr>
          <w:rFonts w:cs="FrankRuehl"/>
          <w:rtl/>
        </w:rPr>
        <w:t>וכן השווה</w:t>
      </w:r>
      <w:r w:rsidRPr="00F01529">
        <w:rPr>
          <w:rFonts w:cs="FrankRuehl"/>
        </w:rPr>
        <w:t xml:space="preserve"> </w:t>
      </w:r>
      <w:r w:rsidRPr="00F01529">
        <w:rPr>
          <w:rFonts w:cs="FrankRuehl"/>
          <w:rtl/>
        </w:rPr>
        <w:t xml:space="preserve">לאמור בג"צ </w:t>
      </w:r>
      <w:r w:rsidRPr="00F01529">
        <w:rPr>
          <w:rFonts w:cs="FrankRuehl"/>
        </w:rPr>
        <w:t>265/66</w:t>
      </w:r>
      <w:r w:rsidRPr="00F01529">
        <w:rPr>
          <w:rFonts w:cs="FrankRuehl"/>
          <w:rtl/>
        </w:rPr>
        <w:t xml:space="preserve"> [6] אך ראה גם בג"צ </w:t>
      </w:r>
      <w:r w:rsidRPr="00F01529">
        <w:rPr>
          <w:rFonts w:cs="FrankRuehl"/>
        </w:rPr>
        <w:t>72/55</w:t>
      </w:r>
      <w:r w:rsidRPr="00F01529">
        <w:rPr>
          <w:rFonts w:cs="FrankRuehl"/>
          <w:rtl/>
        </w:rPr>
        <w:t xml:space="preserve">, </w:t>
      </w:r>
      <w:r w:rsidRPr="00F01529">
        <w:rPr>
          <w:rFonts w:cs="FrankRuehl"/>
        </w:rPr>
        <w:t>117</w:t>
      </w:r>
      <w:r w:rsidRPr="00F01529">
        <w:rPr>
          <w:rFonts w:cs="FrankRuehl"/>
          <w:rtl/>
        </w:rPr>
        <w:t xml:space="preserve">[7], בעמ' </w:t>
      </w:r>
      <w:r w:rsidRPr="00F01529">
        <w:rPr>
          <w:rFonts w:cs="FrankRuehl"/>
        </w:rPr>
        <w:t>752</w:t>
      </w:r>
      <w:r w:rsidRPr="00F01529">
        <w:rPr>
          <w:rFonts w:cs="FrankRuehl"/>
          <w:rtl/>
        </w:rPr>
        <w:t>, שם נאמר כי לעתים פגם גדול הוא להתעלם מצרכים ומעניינים שבדת). אולם לא</w:t>
      </w:r>
      <w:r w:rsidRPr="00F01529">
        <w:rPr>
          <w:rFonts w:cs="FrankRuehl"/>
        </w:rPr>
        <w:t xml:space="preserve"> </w:t>
      </w:r>
      <w:r w:rsidRPr="00F01529">
        <w:rPr>
          <w:rFonts w:cs="FrankRuehl"/>
          <w:rtl/>
        </w:rPr>
        <w:t xml:space="preserve">בכך עסקינן כי אם בשאלה, </w:t>
      </w:r>
      <w:r w:rsidRPr="00F01529">
        <w:rPr>
          <w:rFonts w:cs="FrankRuehl"/>
          <w:highlight w:val="yellow"/>
          <w:rtl/>
        </w:rPr>
        <w:t>כלום בבעיה של מדיניות ובנושא רגיש כזה אין</w:t>
      </w:r>
      <w:r w:rsidRPr="00F01529">
        <w:rPr>
          <w:rFonts w:cs="FrankRuehl"/>
          <w:highlight w:val="yellow"/>
        </w:rPr>
        <w:t xml:space="preserve"> </w:t>
      </w:r>
      <w:r w:rsidRPr="00F01529">
        <w:rPr>
          <w:rFonts w:cs="FrankRuehl"/>
          <w:highlight w:val="yellow"/>
          <w:rtl/>
        </w:rPr>
        <w:t>לחייב את מועצת העירייה עצמה לדון, שהרי היא הגוף הנבחר של תושבי המקום ועל-כן מייצגת בהרכבה את הדעות וההשקפות השונות בקרב ציבור זה</w:t>
      </w:r>
      <w:r w:rsidRPr="00F01529">
        <w:rPr>
          <w:rFonts w:cs="FrankRuehl"/>
        </w:rPr>
        <w:t>.</w:t>
      </w:r>
    </w:p>
    <w:p w:rsidR="005366A8" w:rsidRPr="001134F4" w:rsidRDefault="005366A8" w:rsidP="005366A8">
      <w:pPr>
        <w:ind w:hanging="59"/>
        <w:rPr>
          <w:sz w:val="22"/>
          <w:szCs w:val="22"/>
          <w:rtl/>
        </w:rPr>
      </w:pPr>
    </w:p>
    <w:p w:rsidR="005366A8" w:rsidRDefault="005366A8" w:rsidP="005366A8">
      <w:pPr>
        <w:spacing w:after="120"/>
        <w:ind w:left="-113"/>
        <w:rPr>
          <w:sz w:val="20"/>
          <w:szCs w:val="20"/>
          <w:rtl/>
        </w:rPr>
      </w:pPr>
      <w:r>
        <w:rPr>
          <w:rFonts w:hint="cs"/>
          <w:sz w:val="20"/>
          <w:szCs w:val="20"/>
          <w:rtl/>
        </w:rPr>
        <w:t>=-=</w:t>
      </w:r>
    </w:p>
    <w:p w:rsidR="005366A8" w:rsidRPr="008B5165" w:rsidRDefault="005366A8" w:rsidP="005366A8">
      <w:pPr>
        <w:rPr>
          <w:rFonts w:ascii="Arial" w:hAnsi="Arial" w:cs="Guttman-Soncino"/>
          <w:highlight w:val="yellow"/>
          <w:u w:val="single"/>
          <w:rtl/>
        </w:rPr>
      </w:pPr>
      <w:r w:rsidRPr="008B5165">
        <w:rPr>
          <w:rFonts w:ascii="Arial" w:hAnsi="Arial" w:cs="Guttman-Soncino" w:hint="cs"/>
          <w:highlight w:val="yellow"/>
          <w:u w:val="single"/>
          <w:rtl/>
        </w:rPr>
        <w:t xml:space="preserve">א2. </w:t>
      </w:r>
    </w:p>
    <w:p w:rsidR="005366A8" w:rsidRPr="008B5165" w:rsidRDefault="005366A8" w:rsidP="005366A8">
      <w:pPr>
        <w:ind w:left="720"/>
        <w:rPr>
          <w:rFonts w:ascii="Arial" w:hAnsi="Arial" w:cs="Guttman-Soncino"/>
          <w:highlight w:val="yellow"/>
          <w:u w:val="single"/>
          <w:rtl/>
        </w:rPr>
      </w:pPr>
      <w:r w:rsidRPr="008B5165">
        <w:rPr>
          <w:rFonts w:ascii="Arial" w:hAnsi="Arial" w:cs="Guttman-Soncino"/>
          <w:highlight w:val="yellow"/>
          <w:u w:val="single"/>
          <w:rtl/>
        </w:rPr>
        <w:t xml:space="preserve">הבחנה </w:t>
      </w:r>
      <w:r w:rsidRPr="008B5165">
        <w:rPr>
          <w:rFonts w:ascii="Arial" w:hAnsi="Arial" w:cs="Guttman-Soncino" w:hint="cs"/>
          <w:highlight w:val="yellow"/>
          <w:u w:val="single"/>
          <w:rtl/>
        </w:rPr>
        <w:t>אחרת בין סוגים שונים של סמכויות המופקדות בידי הרשות המינהלית</w:t>
      </w:r>
      <w:r>
        <w:rPr>
          <w:rFonts w:ascii="Arial" w:hAnsi="Arial" w:cs="Guttman-Soncino" w:hint="cs"/>
          <w:highlight w:val="yellow"/>
          <w:u w:val="single"/>
          <w:rtl/>
        </w:rPr>
        <w:t>:</w:t>
      </w:r>
      <w:r w:rsidRPr="008B5165">
        <w:rPr>
          <w:rFonts w:ascii="Arial" w:hAnsi="Arial" w:cs="Guttman-Soncino" w:hint="cs"/>
          <w:highlight w:val="yellow"/>
          <w:u w:val="single"/>
          <w:rtl/>
        </w:rPr>
        <w:t xml:space="preserve"> </w:t>
      </w:r>
    </w:p>
    <w:p w:rsidR="005366A8" w:rsidRPr="008B5165" w:rsidRDefault="005366A8" w:rsidP="005366A8">
      <w:pPr>
        <w:spacing w:after="240"/>
        <w:ind w:left="720"/>
        <w:rPr>
          <w:rFonts w:ascii="Arial" w:hAnsi="Arial" w:cs="Guttman-Soncino"/>
          <w:u w:val="single"/>
          <w:rtl/>
        </w:rPr>
      </w:pPr>
      <w:r w:rsidRPr="008B5165">
        <w:rPr>
          <w:rFonts w:ascii="Arial" w:hAnsi="Arial" w:cs="Guttman-Soncino" w:hint="cs"/>
          <w:highlight w:val="yellow"/>
          <w:u w:val="single"/>
          <w:rtl/>
        </w:rPr>
        <w:t xml:space="preserve">ההבחנה </w:t>
      </w:r>
      <w:r w:rsidRPr="008B5165">
        <w:rPr>
          <w:rFonts w:ascii="Arial" w:hAnsi="Arial" w:cs="Guttman-Soncino"/>
          <w:highlight w:val="yellow"/>
          <w:u w:val="single"/>
          <w:rtl/>
        </w:rPr>
        <w:t xml:space="preserve">בין </w:t>
      </w:r>
      <w:r w:rsidRPr="008B5165">
        <w:rPr>
          <w:rFonts w:ascii="Arial" w:hAnsi="Arial" w:cs="Guttman-Soncino"/>
          <w:b/>
          <w:bCs/>
          <w:highlight w:val="yellow"/>
          <w:u w:val="single"/>
          <w:rtl/>
        </w:rPr>
        <w:t>סמכויות חובה וסמכויות רשות (סמכויות שיקול-דעת)</w:t>
      </w:r>
      <w:r w:rsidRPr="008B5165">
        <w:rPr>
          <w:rFonts w:ascii="Arial" w:hAnsi="Arial" w:cs="Guttman-Soncino" w:hint="cs"/>
          <w:highlight w:val="yellow"/>
          <w:u w:val="single"/>
          <w:rtl/>
        </w:rPr>
        <w:t xml:space="preserve"> </w:t>
      </w:r>
    </w:p>
    <w:p w:rsidR="005366A8" w:rsidRPr="00294C2A" w:rsidRDefault="005366A8" w:rsidP="005366A8">
      <w:pPr>
        <w:widowControl w:val="0"/>
        <w:suppressLineNumbers/>
        <w:spacing w:after="240"/>
        <w:rPr>
          <w:rFonts w:cs="David"/>
          <w:b/>
          <w:bCs/>
          <w:rtl/>
        </w:rPr>
      </w:pPr>
      <w:r w:rsidRPr="00294C2A">
        <w:rPr>
          <w:rFonts w:cs="David" w:hint="cs"/>
          <w:b/>
          <w:bCs/>
          <w:rtl/>
        </w:rPr>
        <w:t>דוגמא</w:t>
      </w:r>
      <w:r>
        <w:rPr>
          <w:rFonts w:cs="David" w:hint="cs"/>
          <w:b/>
          <w:bCs/>
          <w:rtl/>
        </w:rPr>
        <w:t>ות</w:t>
      </w:r>
      <w:r w:rsidRPr="00294C2A">
        <w:rPr>
          <w:rFonts w:cs="David" w:hint="cs"/>
          <w:b/>
          <w:bCs/>
          <w:rtl/>
        </w:rPr>
        <w:t xml:space="preserve"> דרך הסדרת האזרחות והסדרת מרשם האוכלוסין</w:t>
      </w:r>
    </w:p>
    <w:p w:rsidR="005366A8" w:rsidRPr="002108C5" w:rsidRDefault="005366A8" w:rsidP="005366A8">
      <w:pPr>
        <w:widowControl w:val="0"/>
        <w:suppressLineNumbers/>
        <w:spacing w:after="60"/>
        <w:rPr>
          <w:rFonts w:cs="David"/>
          <w:b/>
          <w:bCs/>
          <w:sz w:val="20"/>
          <w:szCs w:val="20"/>
          <w:u w:val="single"/>
        </w:rPr>
      </w:pPr>
      <w:r>
        <w:rPr>
          <w:rFonts w:cs="David"/>
          <w:b/>
          <w:bCs/>
          <w:u w:val="single"/>
          <w:rtl/>
        </w:rPr>
        <w:t xml:space="preserve">חוק האזרחות, תשי"ב-1952 </w:t>
      </w:r>
    </w:p>
    <w:p w:rsidR="005366A8" w:rsidRPr="002108C5" w:rsidRDefault="005366A8" w:rsidP="005366A8">
      <w:pPr>
        <w:widowControl w:val="0"/>
        <w:suppressLineNumbers/>
        <w:spacing w:after="60"/>
        <w:rPr>
          <w:rFonts w:cs="David"/>
          <w:sz w:val="20"/>
          <w:szCs w:val="20"/>
        </w:rPr>
      </w:pPr>
      <w:r w:rsidRPr="002108C5">
        <w:rPr>
          <w:rFonts w:cs="David" w:hint="cs"/>
          <w:sz w:val="20"/>
          <w:szCs w:val="20"/>
          <w:rtl/>
        </w:rPr>
        <w:t xml:space="preserve"> </w:t>
      </w:r>
      <w:r w:rsidRPr="002108C5">
        <w:rPr>
          <w:rFonts w:cs="David" w:hint="cs"/>
          <w:sz w:val="20"/>
          <w:szCs w:val="20"/>
          <w:highlight w:val="yellow"/>
          <w:rtl/>
        </w:rPr>
        <w:t xml:space="preserve">1. </w:t>
      </w:r>
      <w:r w:rsidRPr="002108C5">
        <w:rPr>
          <w:rFonts w:cs="David"/>
          <w:sz w:val="20"/>
          <w:szCs w:val="20"/>
          <w:highlight w:val="yellow"/>
          <w:rtl/>
        </w:rPr>
        <w:t>אזרחות ישראלית נקנית</w:t>
      </w:r>
      <w:r w:rsidRPr="002108C5">
        <w:rPr>
          <w:rFonts w:cs="David" w:hint="cs"/>
          <w:sz w:val="20"/>
          <w:szCs w:val="20"/>
          <w:highlight w:val="yellow"/>
          <w:rtl/>
        </w:rPr>
        <w:t xml:space="preserve"> - </w:t>
      </w:r>
      <w:r w:rsidRPr="002108C5">
        <w:rPr>
          <w:rFonts w:cs="David"/>
          <w:sz w:val="20"/>
          <w:szCs w:val="20"/>
          <w:highlight w:val="yellow"/>
          <w:rtl/>
        </w:rPr>
        <w:t xml:space="preserve">מכוח שבות לפי סעיף </w:t>
      </w:r>
      <w:r w:rsidRPr="002108C5">
        <w:rPr>
          <w:rFonts w:cs="David" w:hint="cs"/>
          <w:sz w:val="20"/>
          <w:szCs w:val="20"/>
          <w:highlight w:val="yellow"/>
          <w:rtl/>
        </w:rPr>
        <w:t>2,</w:t>
      </w:r>
      <w:r w:rsidRPr="002108C5">
        <w:rPr>
          <w:rFonts w:cs="David"/>
          <w:sz w:val="20"/>
          <w:szCs w:val="20"/>
          <w:highlight w:val="yellow"/>
        </w:rPr>
        <w:t xml:space="preserve"> </w:t>
      </w:r>
      <w:r w:rsidRPr="002108C5">
        <w:rPr>
          <w:rFonts w:cs="David" w:hint="cs"/>
          <w:sz w:val="20"/>
          <w:szCs w:val="20"/>
          <w:highlight w:val="yellow"/>
          <w:rtl/>
        </w:rPr>
        <w:t xml:space="preserve"> </w:t>
      </w:r>
      <w:r w:rsidRPr="002108C5">
        <w:rPr>
          <w:rFonts w:cs="David"/>
          <w:sz w:val="20"/>
          <w:szCs w:val="20"/>
          <w:highlight w:val="yellow"/>
          <w:rtl/>
        </w:rPr>
        <w:t>מכוח ישיבה בישראל לפי סעיף 3</w:t>
      </w:r>
      <w:r w:rsidRPr="002108C5">
        <w:rPr>
          <w:rFonts w:cs="David"/>
          <w:sz w:val="20"/>
          <w:szCs w:val="20"/>
          <w:highlight w:val="yellow"/>
        </w:rPr>
        <w:t>,</w:t>
      </w:r>
      <w:r w:rsidRPr="002108C5">
        <w:rPr>
          <w:rFonts w:cs="David" w:hint="cs"/>
          <w:sz w:val="20"/>
          <w:szCs w:val="20"/>
          <w:highlight w:val="yellow"/>
          <w:rtl/>
        </w:rPr>
        <w:t xml:space="preserve"> </w:t>
      </w:r>
      <w:r w:rsidRPr="002108C5">
        <w:rPr>
          <w:rFonts w:cs="David"/>
          <w:sz w:val="20"/>
          <w:szCs w:val="20"/>
          <w:highlight w:val="yellow"/>
          <w:rtl/>
        </w:rPr>
        <w:t>מכוח לידה לפי סעיף 4</w:t>
      </w:r>
      <w:r w:rsidRPr="002108C5">
        <w:rPr>
          <w:rFonts w:cs="David" w:hint="cs"/>
          <w:sz w:val="20"/>
          <w:szCs w:val="20"/>
          <w:highlight w:val="yellow"/>
          <w:rtl/>
        </w:rPr>
        <w:t xml:space="preserve">, </w:t>
      </w:r>
      <w:r w:rsidRPr="002108C5">
        <w:rPr>
          <w:rFonts w:cs="David"/>
          <w:sz w:val="20"/>
          <w:szCs w:val="20"/>
          <w:highlight w:val="yellow"/>
          <w:rtl/>
        </w:rPr>
        <w:t>מכוח לידה וישיבה בישראל לפי סעיף 4א</w:t>
      </w:r>
      <w:r w:rsidRPr="002108C5">
        <w:rPr>
          <w:rFonts w:cs="David" w:hint="cs"/>
          <w:sz w:val="20"/>
          <w:szCs w:val="20"/>
          <w:highlight w:val="yellow"/>
          <w:rtl/>
        </w:rPr>
        <w:t>,</w:t>
      </w:r>
      <w:r w:rsidRPr="002108C5">
        <w:rPr>
          <w:rFonts w:cs="David"/>
          <w:sz w:val="20"/>
          <w:szCs w:val="20"/>
          <w:highlight w:val="yellow"/>
        </w:rPr>
        <w:t xml:space="preserve"> </w:t>
      </w:r>
      <w:r w:rsidRPr="002108C5">
        <w:rPr>
          <w:rFonts w:cs="David"/>
          <w:sz w:val="20"/>
          <w:szCs w:val="20"/>
          <w:highlight w:val="yellow"/>
          <w:rtl/>
        </w:rPr>
        <w:t>מכוח אימוץ לפי סעיף 4ב</w:t>
      </w:r>
      <w:r w:rsidRPr="002108C5">
        <w:rPr>
          <w:rFonts w:cs="David" w:hint="cs"/>
          <w:sz w:val="20"/>
          <w:szCs w:val="20"/>
          <w:highlight w:val="yellow"/>
          <w:rtl/>
        </w:rPr>
        <w:t>,</w:t>
      </w:r>
      <w:r w:rsidRPr="002108C5">
        <w:rPr>
          <w:rFonts w:cs="David"/>
          <w:sz w:val="20"/>
          <w:szCs w:val="20"/>
          <w:highlight w:val="yellow"/>
        </w:rPr>
        <w:t xml:space="preserve"> </w:t>
      </w:r>
      <w:r w:rsidRPr="002108C5">
        <w:rPr>
          <w:rFonts w:cs="David"/>
          <w:sz w:val="20"/>
          <w:szCs w:val="20"/>
          <w:highlight w:val="yellow"/>
          <w:rtl/>
        </w:rPr>
        <w:t>מכוח התאזרחות לפי הסעיפים 5</w:t>
      </w:r>
      <w:r w:rsidRPr="002108C5">
        <w:rPr>
          <w:rFonts w:cs="David" w:hint="cs"/>
          <w:sz w:val="20"/>
          <w:szCs w:val="20"/>
          <w:highlight w:val="yellow"/>
          <w:rtl/>
        </w:rPr>
        <w:t xml:space="preserve"> </w:t>
      </w:r>
      <w:r w:rsidRPr="002108C5">
        <w:rPr>
          <w:rFonts w:cs="David"/>
          <w:sz w:val="20"/>
          <w:szCs w:val="20"/>
          <w:highlight w:val="yellow"/>
          <w:rtl/>
        </w:rPr>
        <w:t>עד 8</w:t>
      </w:r>
      <w:r w:rsidRPr="002108C5">
        <w:rPr>
          <w:rFonts w:cs="David" w:hint="cs"/>
          <w:sz w:val="20"/>
          <w:szCs w:val="20"/>
          <w:highlight w:val="yellow"/>
          <w:rtl/>
        </w:rPr>
        <w:t>,</w:t>
      </w:r>
      <w:r w:rsidRPr="002108C5">
        <w:rPr>
          <w:rFonts w:cs="David"/>
          <w:sz w:val="20"/>
          <w:szCs w:val="20"/>
          <w:highlight w:val="yellow"/>
        </w:rPr>
        <w:t xml:space="preserve"> </w:t>
      </w:r>
      <w:r w:rsidRPr="002108C5">
        <w:rPr>
          <w:rFonts w:cs="David"/>
          <w:sz w:val="20"/>
          <w:szCs w:val="20"/>
          <w:highlight w:val="yellow"/>
          <w:rtl/>
        </w:rPr>
        <w:t xml:space="preserve">או מכוח הענקה לפי סעיף </w:t>
      </w:r>
      <w:r w:rsidRPr="002108C5">
        <w:rPr>
          <w:rFonts w:cs="David" w:hint="cs"/>
          <w:sz w:val="20"/>
          <w:szCs w:val="20"/>
          <w:highlight w:val="yellow"/>
          <w:rtl/>
        </w:rPr>
        <w:t xml:space="preserve">9. </w:t>
      </w:r>
      <w:r w:rsidRPr="002108C5">
        <w:rPr>
          <w:rFonts w:cs="David"/>
          <w:sz w:val="20"/>
          <w:szCs w:val="20"/>
          <w:highlight w:val="yellow"/>
          <w:rtl/>
        </w:rPr>
        <w:t>לא תהיה אזרחות ישראלית אלא לפי חוק זה</w:t>
      </w:r>
      <w:r w:rsidRPr="002108C5">
        <w:rPr>
          <w:rFonts w:cs="David"/>
          <w:sz w:val="20"/>
          <w:szCs w:val="20"/>
          <w:highlight w:val="yellow"/>
        </w:rPr>
        <w:t>.</w:t>
      </w:r>
      <w:r w:rsidRPr="002108C5">
        <w:rPr>
          <w:rFonts w:cs="David"/>
          <w:sz w:val="20"/>
          <w:szCs w:val="20"/>
        </w:rPr>
        <w:t xml:space="preserve"> </w:t>
      </w:r>
    </w:p>
    <w:p w:rsidR="005366A8" w:rsidRPr="002108C5" w:rsidRDefault="005366A8" w:rsidP="005366A8">
      <w:pPr>
        <w:widowControl w:val="0"/>
        <w:suppressLineNumbers/>
        <w:spacing w:after="60"/>
        <w:rPr>
          <w:rFonts w:cs="David"/>
          <w:sz w:val="20"/>
          <w:szCs w:val="20"/>
        </w:rPr>
      </w:pPr>
      <w:r w:rsidRPr="002108C5">
        <w:rPr>
          <w:rFonts w:cs="David"/>
          <w:sz w:val="20"/>
          <w:szCs w:val="20"/>
        </w:rPr>
        <w:t xml:space="preserve"> </w:t>
      </w:r>
      <w:r w:rsidRPr="002108C5">
        <w:rPr>
          <w:rFonts w:cs="David" w:hint="cs"/>
          <w:sz w:val="20"/>
          <w:szCs w:val="20"/>
          <w:highlight w:val="yellow"/>
          <w:rtl/>
        </w:rPr>
        <w:t>2. (</w:t>
      </w:r>
      <w:r w:rsidRPr="002108C5">
        <w:rPr>
          <w:rFonts w:cs="David"/>
          <w:sz w:val="20"/>
          <w:szCs w:val="20"/>
          <w:highlight w:val="yellow"/>
          <w:rtl/>
        </w:rPr>
        <w:t>א) כל עולה לפי חוק השבות, תש"י-1950</w:t>
      </w:r>
      <w:r w:rsidRPr="002108C5">
        <w:rPr>
          <w:rFonts w:cs="David" w:hint="cs"/>
          <w:sz w:val="20"/>
          <w:szCs w:val="20"/>
          <w:highlight w:val="yellow"/>
          <w:rtl/>
        </w:rPr>
        <w:t xml:space="preserve">, </w:t>
      </w:r>
      <w:r w:rsidRPr="002108C5">
        <w:rPr>
          <w:rFonts w:cs="David"/>
          <w:sz w:val="20"/>
          <w:szCs w:val="20"/>
          <w:highlight w:val="yellow"/>
          <w:rtl/>
        </w:rPr>
        <w:t>יהיה לאזרח ישראלי מכוח שבות,</w:t>
      </w:r>
      <w:r w:rsidRPr="002108C5">
        <w:rPr>
          <w:rFonts w:cs="David"/>
          <w:sz w:val="20"/>
          <w:szCs w:val="20"/>
          <w:rtl/>
        </w:rPr>
        <w:t xml:space="preserve"> זולת אם הוקנתה לו אזרחות ישראלית מכוח לידה לפי סעיף 4 או מכוח אימוץ לפי סעיף 4ב</w:t>
      </w:r>
      <w:r w:rsidRPr="002108C5">
        <w:rPr>
          <w:rFonts w:cs="David" w:hint="cs"/>
          <w:sz w:val="20"/>
          <w:szCs w:val="20"/>
          <w:rtl/>
        </w:rPr>
        <w:t>...</w:t>
      </w:r>
    </w:p>
    <w:p w:rsidR="005366A8" w:rsidRPr="002108C5" w:rsidRDefault="005366A8" w:rsidP="005366A8">
      <w:pPr>
        <w:widowControl w:val="0"/>
        <w:suppressLineNumbers/>
        <w:spacing w:after="60"/>
        <w:rPr>
          <w:rFonts w:cs="David"/>
          <w:sz w:val="20"/>
          <w:szCs w:val="20"/>
          <w:highlight w:val="yellow"/>
        </w:rPr>
      </w:pPr>
      <w:r w:rsidRPr="002108C5">
        <w:rPr>
          <w:rFonts w:cs="David"/>
          <w:sz w:val="20"/>
          <w:szCs w:val="20"/>
        </w:rPr>
        <w:t xml:space="preserve"> </w:t>
      </w:r>
      <w:r w:rsidRPr="002108C5">
        <w:rPr>
          <w:rFonts w:cs="David" w:hint="cs"/>
          <w:sz w:val="20"/>
          <w:szCs w:val="20"/>
          <w:highlight w:val="yellow"/>
          <w:rtl/>
        </w:rPr>
        <w:t>4. (</w:t>
      </w:r>
      <w:r w:rsidRPr="002108C5">
        <w:rPr>
          <w:rFonts w:cs="David"/>
          <w:sz w:val="20"/>
          <w:szCs w:val="20"/>
          <w:highlight w:val="yellow"/>
          <w:rtl/>
        </w:rPr>
        <w:t>א) אלה יהיו, מיום לידתם, אזרחים ישראליים מכוח לידה</w:t>
      </w:r>
      <w:r w:rsidRPr="002108C5">
        <w:rPr>
          <w:rFonts w:cs="David"/>
          <w:sz w:val="20"/>
          <w:szCs w:val="20"/>
          <w:highlight w:val="yellow"/>
        </w:rPr>
        <w:t xml:space="preserve">: </w:t>
      </w:r>
    </w:p>
    <w:p w:rsidR="005366A8" w:rsidRPr="002108C5" w:rsidRDefault="005366A8" w:rsidP="000B7168">
      <w:pPr>
        <w:widowControl w:val="0"/>
        <w:numPr>
          <w:ilvl w:val="0"/>
          <w:numId w:val="28"/>
        </w:numPr>
        <w:suppressLineNumbers/>
        <w:spacing w:after="60"/>
        <w:rPr>
          <w:rFonts w:cs="David"/>
          <w:sz w:val="20"/>
          <w:szCs w:val="20"/>
          <w:highlight w:val="yellow"/>
        </w:rPr>
      </w:pPr>
      <w:r w:rsidRPr="002108C5">
        <w:rPr>
          <w:rFonts w:cs="David" w:hint="cs"/>
          <w:sz w:val="20"/>
          <w:szCs w:val="20"/>
          <w:highlight w:val="yellow"/>
          <w:rtl/>
        </w:rPr>
        <w:t xml:space="preserve"> מי</w:t>
      </w:r>
      <w:r w:rsidRPr="002108C5">
        <w:rPr>
          <w:rFonts w:cs="David"/>
          <w:sz w:val="20"/>
          <w:szCs w:val="20"/>
          <w:highlight w:val="yellow"/>
          <w:rtl/>
        </w:rPr>
        <w:t xml:space="preserve"> שנולד בישראל כשאביו או אמו היו אזרחים ישראליים</w:t>
      </w:r>
      <w:r w:rsidRPr="002108C5">
        <w:rPr>
          <w:rFonts w:cs="David"/>
          <w:sz w:val="20"/>
          <w:szCs w:val="20"/>
          <w:highlight w:val="yellow"/>
        </w:rPr>
        <w:t xml:space="preserve">; </w:t>
      </w:r>
    </w:p>
    <w:p w:rsidR="005366A8" w:rsidRPr="002108C5" w:rsidRDefault="005366A8" w:rsidP="000B7168">
      <w:pPr>
        <w:widowControl w:val="0"/>
        <w:numPr>
          <w:ilvl w:val="0"/>
          <w:numId w:val="28"/>
        </w:numPr>
        <w:suppressLineNumbers/>
        <w:spacing w:after="60"/>
        <w:rPr>
          <w:rFonts w:cs="David"/>
          <w:sz w:val="20"/>
          <w:szCs w:val="20"/>
          <w:highlight w:val="yellow"/>
        </w:rPr>
      </w:pPr>
      <w:r w:rsidRPr="002108C5">
        <w:rPr>
          <w:rFonts w:cs="David"/>
          <w:sz w:val="20"/>
          <w:szCs w:val="20"/>
          <w:highlight w:val="yellow"/>
        </w:rPr>
        <w:t xml:space="preserve"> </w:t>
      </w:r>
      <w:r w:rsidRPr="002108C5">
        <w:rPr>
          <w:rFonts w:cs="David"/>
          <w:sz w:val="20"/>
          <w:szCs w:val="20"/>
          <w:highlight w:val="yellow"/>
          <w:rtl/>
        </w:rPr>
        <w:t>מי שנולד מחוץ לישראל כשאביו או אמו היו אזרחים ישראליים</w:t>
      </w:r>
      <w:r w:rsidRPr="002108C5">
        <w:rPr>
          <w:rFonts w:cs="David"/>
          <w:sz w:val="20"/>
          <w:szCs w:val="20"/>
          <w:highlight w:val="yellow"/>
        </w:rPr>
        <w:t xml:space="preserve"> - </w:t>
      </w:r>
    </w:p>
    <w:p w:rsidR="005366A8" w:rsidRPr="002108C5" w:rsidRDefault="005366A8" w:rsidP="005366A8">
      <w:pPr>
        <w:widowControl w:val="0"/>
        <w:suppressLineNumbers/>
        <w:spacing w:after="60"/>
        <w:ind w:left="1080"/>
        <w:rPr>
          <w:rFonts w:cs="David"/>
          <w:sz w:val="20"/>
          <w:szCs w:val="20"/>
          <w:highlight w:val="yellow"/>
        </w:rPr>
      </w:pPr>
      <w:r w:rsidRPr="002108C5">
        <w:rPr>
          <w:rFonts w:cs="David" w:hint="cs"/>
          <w:sz w:val="20"/>
          <w:szCs w:val="20"/>
          <w:highlight w:val="yellow"/>
          <w:rtl/>
        </w:rPr>
        <w:t>(</w:t>
      </w:r>
      <w:r w:rsidRPr="002108C5">
        <w:rPr>
          <w:rFonts w:cs="David"/>
          <w:sz w:val="20"/>
          <w:szCs w:val="20"/>
          <w:highlight w:val="yellow"/>
          <w:rtl/>
        </w:rPr>
        <w:t>א) מכוח שבות</w:t>
      </w:r>
      <w:r w:rsidRPr="002108C5">
        <w:rPr>
          <w:rFonts w:cs="David" w:hint="cs"/>
          <w:sz w:val="20"/>
          <w:szCs w:val="20"/>
          <w:highlight w:val="yellow"/>
          <w:rtl/>
        </w:rPr>
        <w:t>;</w:t>
      </w:r>
      <w:r w:rsidRPr="002108C5">
        <w:rPr>
          <w:rFonts w:cs="David"/>
          <w:sz w:val="20"/>
          <w:szCs w:val="20"/>
          <w:highlight w:val="yellow"/>
        </w:rPr>
        <w:t xml:space="preserve"> </w:t>
      </w:r>
    </w:p>
    <w:p w:rsidR="005366A8" w:rsidRPr="002108C5" w:rsidRDefault="005366A8" w:rsidP="005366A8">
      <w:pPr>
        <w:widowControl w:val="0"/>
        <w:suppressLineNumbers/>
        <w:spacing w:after="60"/>
        <w:ind w:left="1080"/>
        <w:rPr>
          <w:rFonts w:cs="David"/>
          <w:sz w:val="20"/>
          <w:szCs w:val="20"/>
          <w:highlight w:val="yellow"/>
        </w:rPr>
      </w:pPr>
      <w:r w:rsidRPr="002108C5">
        <w:rPr>
          <w:rFonts w:cs="David" w:hint="cs"/>
          <w:sz w:val="20"/>
          <w:szCs w:val="20"/>
          <w:highlight w:val="yellow"/>
          <w:rtl/>
        </w:rPr>
        <w:t>(</w:t>
      </w:r>
      <w:r w:rsidRPr="002108C5">
        <w:rPr>
          <w:rFonts w:cs="David"/>
          <w:sz w:val="20"/>
          <w:szCs w:val="20"/>
          <w:highlight w:val="yellow"/>
          <w:rtl/>
        </w:rPr>
        <w:t>ב) מכוח ישיבה בישראל</w:t>
      </w:r>
      <w:r w:rsidRPr="002108C5">
        <w:rPr>
          <w:rFonts w:cs="David" w:hint="cs"/>
          <w:sz w:val="20"/>
          <w:szCs w:val="20"/>
          <w:highlight w:val="yellow"/>
          <w:rtl/>
        </w:rPr>
        <w:t>;</w:t>
      </w:r>
      <w:r w:rsidRPr="002108C5">
        <w:rPr>
          <w:rFonts w:cs="David"/>
          <w:sz w:val="20"/>
          <w:szCs w:val="20"/>
          <w:highlight w:val="yellow"/>
        </w:rPr>
        <w:t xml:space="preserve"> </w:t>
      </w:r>
    </w:p>
    <w:p w:rsidR="005366A8" w:rsidRPr="002108C5" w:rsidRDefault="005366A8" w:rsidP="005366A8">
      <w:pPr>
        <w:widowControl w:val="0"/>
        <w:suppressLineNumbers/>
        <w:spacing w:after="60"/>
        <w:ind w:left="1080"/>
        <w:rPr>
          <w:rFonts w:cs="David"/>
          <w:sz w:val="20"/>
          <w:szCs w:val="20"/>
          <w:highlight w:val="yellow"/>
        </w:rPr>
      </w:pPr>
      <w:r w:rsidRPr="002108C5">
        <w:rPr>
          <w:rFonts w:cs="David" w:hint="cs"/>
          <w:sz w:val="20"/>
          <w:szCs w:val="20"/>
          <w:highlight w:val="yellow"/>
          <w:rtl/>
        </w:rPr>
        <w:t>(</w:t>
      </w:r>
      <w:r w:rsidRPr="002108C5">
        <w:rPr>
          <w:rFonts w:cs="David"/>
          <w:sz w:val="20"/>
          <w:szCs w:val="20"/>
          <w:highlight w:val="yellow"/>
          <w:rtl/>
        </w:rPr>
        <w:t>ג) מכוח התאזרחות</w:t>
      </w:r>
      <w:r w:rsidRPr="002108C5">
        <w:rPr>
          <w:rFonts w:cs="David" w:hint="cs"/>
          <w:sz w:val="20"/>
          <w:szCs w:val="20"/>
          <w:highlight w:val="yellow"/>
          <w:rtl/>
        </w:rPr>
        <w:t>;</w:t>
      </w:r>
      <w:r w:rsidRPr="002108C5">
        <w:rPr>
          <w:rFonts w:cs="David"/>
          <w:sz w:val="20"/>
          <w:szCs w:val="20"/>
          <w:highlight w:val="yellow"/>
        </w:rPr>
        <w:t xml:space="preserve"> </w:t>
      </w:r>
    </w:p>
    <w:p w:rsidR="005366A8" w:rsidRPr="002108C5" w:rsidRDefault="005366A8" w:rsidP="005366A8">
      <w:pPr>
        <w:widowControl w:val="0"/>
        <w:suppressLineNumbers/>
        <w:spacing w:after="60"/>
        <w:ind w:left="1080"/>
        <w:rPr>
          <w:rFonts w:cs="David"/>
          <w:sz w:val="20"/>
          <w:szCs w:val="20"/>
          <w:highlight w:val="yellow"/>
          <w:rtl/>
        </w:rPr>
      </w:pPr>
      <w:r w:rsidRPr="002108C5">
        <w:rPr>
          <w:rFonts w:cs="David" w:hint="cs"/>
          <w:sz w:val="20"/>
          <w:szCs w:val="20"/>
          <w:highlight w:val="yellow"/>
          <w:rtl/>
        </w:rPr>
        <w:t>(</w:t>
      </w:r>
      <w:r w:rsidRPr="002108C5">
        <w:rPr>
          <w:rFonts w:cs="David"/>
          <w:sz w:val="20"/>
          <w:szCs w:val="20"/>
          <w:highlight w:val="yellow"/>
          <w:rtl/>
        </w:rPr>
        <w:t>ד) לפי פסקה (1</w:t>
      </w:r>
      <w:r w:rsidRPr="002108C5">
        <w:rPr>
          <w:rFonts w:cs="David" w:hint="cs"/>
          <w:sz w:val="20"/>
          <w:szCs w:val="20"/>
          <w:highlight w:val="yellow"/>
          <w:rtl/>
        </w:rPr>
        <w:t>);</w:t>
      </w:r>
    </w:p>
    <w:p w:rsidR="005366A8" w:rsidRPr="002108C5" w:rsidRDefault="005366A8" w:rsidP="005366A8">
      <w:pPr>
        <w:widowControl w:val="0"/>
        <w:suppressLineNumbers/>
        <w:spacing w:after="60"/>
        <w:ind w:left="1080"/>
        <w:rPr>
          <w:rFonts w:cs="David"/>
          <w:sz w:val="20"/>
          <w:szCs w:val="20"/>
        </w:rPr>
      </w:pPr>
      <w:r w:rsidRPr="002108C5">
        <w:rPr>
          <w:rFonts w:cs="David" w:hint="cs"/>
          <w:sz w:val="20"/>
          <w:szCs w:val="20"/>
          <w:highlight w:val="yellow"/>
          <w:rtl/>
        </w:rPr>
        <w:t>(</w:t>
      </w:r>
      <w:r w:rsidRPr="002108C5">
        <w:rPr>
          <w:rFonts w:cs="David"/>
          <w:sz w:val="20"/>
          <w:szCs w:val="20"/>
          <w:highlight w:val="yellow"/>
          <w:rtl/>
        </w:rPr>
        <w:t>ה) מכוח אימוץ לפי סעיף 4(ב)</w:t>
      </w:r>
      <w:r w:rsidRPr="002108C5">
        <w:rPr>
          <w:rFonts w:cs="David" w:hint="cs"/>
          <w:sz w:val="20"/>
          <w:szCs w:val="20"/>
          <w:highlight w:val="yellow"/>
          <w:rtl/>
        </w:rPr>
        <w:t>(1); ...</w:t>
      </w:r>
    </w:p>
    <w:p w:rsidR="005366A8" w:rsidRPr="00A83858" w:rsidRDefault="005366A8" w:rsidP="005366A8">
      <w:pPr>
        <w:ind w:hanging="30"/>
        <w:rPr>
          <w:b/>
          <w:bCs/>
          <w:sz w:val="20"/>
          <w:szCs w:val="20"/>
          <w:rtl/>
        </w:rPr>
      </w:pPr>
      <w:r w:rsidRPr="00A83858">
        <w:rPr>
          <w:rFonts w:hint="cs"/>
          <w:b/>
          <w:bCs/>
          <w:sz w:val="20"/>
          <w:szCs w:val="20"/>
          <w:rtl/>
        </w:rPr>
        <w:t xml:space="preserve">5. </w:t>
      </w:r>
      <w:r w:rsidRPr="00A83858">
        <w:rPr>
          <w:b/>
          <w:bCs/>
          <w:sz w:val="20"/>
          <w:szCs w:val="20"/>
          <w:rtl/>
        </w:rPr>
        <w:t>[התאזרחות]</w:t>
      </w:r>
    </w:p>
    <w:p w:rsidR="005366A8" w:rsidRPr="00A83858" w:rsidRDefault="005366A8" w:rsidP="005366A8">
      <w:pPr>
        <w:ind w:left="720"/>
        <w:rPr>
          <w:sz w:val="20"/>
          <w:szCs w:val="20"/>
          <w:rtl/>
        </w:rPr>
      </w:pPr>
      <w:r w:rsidRPr="00A83858">
        <w:rPr>
          <w:sz w:val="20"/>
          <w:szCs w:val="20"/>
          <w:rtl/>
        </w:rPr>
        <w:t>(א)</w:t>
      </w:r>
      <w:r>
        <w:rPr>
          <w:sz w:val="20"/>
          <w:szCs w:val="20"/>
          <w:rtl/>
        </w:rPr>
        <w:t xml:space="preserve"> </w:t>
      </w:r>
      <w:r w:rsidRPr="00A83858">
        <w:rPr>
          <w:sz w:val="20"/>
          <w:szCs w:val="20"/>
          <w:rtl/>
        </w:rPr>
        <w:t xml:space="preserve">בגיר שאיננו אזרח ישראלי </w:t>
      </w:r>
      <w:r w:rsidRPr="00E80F9D">
        <w:rPr>
          <w:sz w:val="20"/>
          <w:szCs w:val="20"/>
          <w:highlight w:val="yellow"/>
          <w:rtl/>
        </w:rPr>
        <w:t>יכול לקבל</w:t>
      </w:r>
      <w:r w:rsidRPr="00A83858">
        <w:rPr>
          <w:sz w:val="20"/>
          <w:szCs w:val="20"/>
          <w:rtl/>
        </w:rPr>
        <w:t xml:space="preserve"> אזרחות ישראלית על ידי</w:t>
      </w:r>
      <w:r w:rsidRPr="00A83858">
        <w:rPr>
          <w:rFonts w:hint="cs"/>
          <w:sz w:val="20"/>
          <w:szCs w:val="20"/>
          <w:rtl/>
        </w:rPr>
        <w:t xml:space="preserve"> </w:t>
      </w:r>
      <w:r w:rsidRPr="00A83858">
        <w:rPr>
          <w:sz w:val="20"/>
          <w:szCs w:val="20"/>
          <w:rtl/>
        </w:rPr>
        <w:t>התאזרחות אם נתקיימו בו תנאים אלה:</w:t>
      </w:r>
    </w:p>
    <w:p w:rsidR="005366A8" w:rsidRPr="00A83858" w:rsidRDefault="005366A8" w:rsidP="005366A8">
      <w:pPr>
        <w:ind w:left="1440"/>
        <w:rPr>
          <w:sz w:val="20"/>
          <w:szCs w:val="20"/>
          <w:rtl/>
        </w:rPr>
      </w:pPr>
      <w:r w:rsidRPr="00A83858">
        <w:rPr>
          <w:sz w:val="20"/>
          <w:szCs w:val="20"/>
          <w:rtl/>
        </w:rPr>
        <w:t>(1)</w:t>
      </w:r>
      <w:r>
        <w:rPr>
          <w:sz w:val="20"/>
          <w:szCs w:val="20"/>
          <w:rtl/>
        </w:rPr>
        <w:t xml:space="preserve"> </w:t>
      </w:r>
      <w:r w:rsidRPr="00A83858">
        <w:rPr>
          <w:sz w:val="20"/>
          <w:szCs w:val="20"/>
          <w:rtl/>
        </w:rPr>
        <w:t>נמצא בישראל;</w:t>
      </w:r>
    </w:p>
    <w:p w:rsidR="005366A8" w:rsidRPr="00A83858" w:rsidRDefault="005366A8" w:rsidP="005366A8">
      <w:pPr>
        <w:ind w:left="1440"/>
        <w:rPr>
          <w:sz w:val="20"/>
          <w:szCs w:val="20"/>
          <w:rtl/>
        </w:rPr>
      </w:pPr>
      <w:r w:rsidRPr="00A83858">
        <w:rPr>
          <w:sz w:val="20"/>
          <w:szCs w:val="20"/>
          <w:rtl/>
        </w:rPr>
        <w:t>(2)</w:t>
      </w:r>
      <w:r>
        <w:rPr>
          <w:sz w:val="20"/>
          <w:szCs w:val="20"/>
          <w:rtl/>
        </w:rPr>
        <w:t xml:space="preserve"> </w:t>
      </w:r>
      <w:r w:rsidRPr="00A83858">
        <w:rPr>
          <w:sz w:val="20"/>
          <w:szCs w:val="20"/>
          <w:rtl/>
        </w:rPr>
        <w:t>היה בישראל שלוש שנים מתוך תקופת חמש שנים שקדמה ליום הגשת בקשתו;</w:t>
      </w:r>
    </w:p>
    <w:p w:rsidR="005366A8" w:rsidRPr="00A83858" w:rsidRDefault="005366A8" w:rsidP="005366A8">
      <w:pPr>
        <w:ind w:left="1440"/>
        <w:rPr>
          <w:sz w:val="20"/>
          <w:szCs w:val="20"/>
          <w:rtl/>
        </w:rPr>
      </w:pPr>
      <w:r w:rsidRPr="00A83858">
        <w:rPr>
          <w:sz w:val="20"/>
          <w:szCs w:val="20"/>
          <w:rtl/>
        </w:rPr>
        <w:t>(3)</w:t>
      </w:r>
      <w:r>
        <w:rPr>
          <w:sz w:val="20"/>
          <w:szCs w:val="20"/>
          <w:rtl/>
        </w:rPr>
        <w:t xml:space="preserve"> </w:t>
      </w:r>
      <w:r w:rsidRPr="00A83858">
        <w:rPr>
          <w:sz w:val="20"/>
          <w:szCs w:val="20"/>
          <w:rtl/>
        </w:rPr>
        <w:t>זכאי לשבת בישראל ישיבת-קבע;</w:t>
      </w:r>
    </w:p>
    <w:p w:rsidR="005366A8" w:rsidRPr="00A83858" w:rsidRDefault="005366A8" w:rsidP="005366A8">
      <w:pPr>
        <w:ind w:left="1440"/>
        <w:rPr>
          <w:sz w:val="20"/>
          <w:szCs w:val="20"/>
          <w:rtl/>
        </w:rPr>
      </w:pPr>
      <w:r w:rsidRPr="00A83858">
        <w:rPr>
          <w:sz w:val="20"/>
          <w:szCs w:val="20"/>
          <w:rtl/>
        </w:rPr>
        <w:t>(4)</w:t>
      </w:r>
      <w:r>
        <w:rPr>
          <w:sz w:val="20"/>
          <w:szCs w:val="20"/>
          <w:rtl/>
        </w:rPr>
        <w:t xml:space="preserve"> </w:t>
      </w:r>
      <w:r w:rsidRPr="00A83858">
        <w:rPr>
          <w:sz w:val="20"/>
          <w:szCs w:val="20"/>
          <w:rtl/>
        </w:rPr>
        <w:t>השתקע בישראל או שיש בדעתו להשתקע בה;</w:t>
      </w:r>
    </w:p>
    <w:p w:rsidR="005366A8" w:rsidRPr="00A83858" w:rsidRDefault="005366A8" w:rsidP="005366A8">
      <w:pPr>
        <w:ind w:left="1440"/>
        <w:rPr>
          <w:sz w:val="20"/>
          <w:szCs w:val="20"/>
          <w:rtl/>
        </w:rPr>
      </w:pPr>
      <w:r w:rsidRPr="00A83858">
        <w:rPr>
          <w:sz w:val="20"/>
          <w:szCs w:val="20"/>
          <w:rtl/>
        </w:rPr>
        <w:t>(5)</w:t>
      </w:r>
      <w:r>
        <w:rPr>
          <w:sz w:val="20"/>
          <w:szCs w:val="20"/>
          <w:rtl/>
        </w:rPr>
        <w:t xml:space="preserve"> </w:t>
      </w:r>
      <w:r w:rsidRPr="00A83858">
        <w:rPr>
          <w:sz w:val="20"/>
          <w:szCs w:val="20"/>
          <w:rtl/>
        </w:rPr>
        <w:t>יודע ידיעת-מה את השפה העברית;</w:t>
      </w:r>
    </w:p>
    <w:p w:rsidR="005366A8" w:rsidRPr="00A83858" w:rsidRDefault="005366A8" w:rsidP="005366A8">
      <w:pPr>
        <w:ind w:left="1440"/>
        <w:rPr>
          <w:sz w:val="20"/>
          <w:szCs w:val="20"/>
          <w:rtl/>
        </w:rPr>
      </w:pPr>
      <w:r w:rsidRPr="00A83858">
        <w:rPr>
          <w:sz w:val="20"/>
          <w:szCs w:val="20"/>
          <w:rtl/>
        </w:rPr>
        <w:t>(6)</w:t>
      </w:r>
      <w:r>
        <w:rPr>
          <w:sz w:val="20"/>
          <w:szCs w:val="20"/>
          <w:rtl/>
        </w:rPr>
        <w:t xml:space="preserve"> </w:t>
      </w:r>
      <w:r w:rsidRPr="00A83858">
        <w:rPr>
          <w:sz w:val="20"/>
          <w:szCs w:val="20"/>
          <w:rtl/>
        </w:rPr>
        <w:t>ויתר על אזרחותו הקודמת או הוכיח שיחדל מהיות אזרח-חוץ לכשיהיה לאזרח ישראלי.</w:t>
      </w:r>
    </w:p>
    <w:p w:rsidR="005366A8" w:rsidRPr="00A83858" w:rsidRDefault="005366A8" w:rsidP="005366A8">
      <w:pPr>
        <w:ind w:left="720"/>
        <w:rPr>
          <w:sz w:val="20"/>
          <w:szCs w:val="20"/>
          <w:rtl/>
        </w:rPr>
      </w:pPr>
      <w:r w:rsidRPr="00A83858">
        <w:rPr>
          <w:rFonts w:hint="cs"/>
          <w:sz w:val="20"/>
          <w:szCs w:val="20"/>
          <w:rtl/>
        </w:rPr>
        <w:t xml:space="preserve">(ב) </w:t>
      </w:r>
      <w:r w:rsidRPr="00A83858">
        <w:rPr>
          <w:sz w:val="20"/>
          <w:szCs w:val="20"/>
          <w:rtl/>
        </w:rPr>
        <w:t xml:space="preserve">מי שביקש להתאזרח ונתקיימו בו התנאים שבסעיף-קטן (א), יעניק לו שר הפנים, </w:t>
      </w:r>
      <w:r w:rsidRPr="00E80F9D">
        <w:rPr>
          <w:sz w:val="20"/>
          <w:szCs w:val="20"/>
          <w:highlight w:val="yellow"/>
          <w:rtl/>
        </w:rPr>
        <w:t>אם ראה זאת לנכון,</w:t>
      </w:r>
      <w:r w:rsidRPr="00A83858">
        <w:rPr>
          <w:sz w:val="20"/>
          <w:szCs w:val="20"/>
          <w:rtl/>
        </w:rPr>
        <w:t xml:space="preserve"> את האזרחות הישראלית על ידי מתן תעודת האזרחות.</w:t>
      </w:r>
      <w:r>
        <w:rPr>
          <w:sz w:val="20"/>
          <w:szCs w:val="20"/>
          <w:rtl/>
        </w:rPr>
        <w:t xml:space="preserve"> </w:t>
      </w:r>
      <w:r w:rsidRPr="00A83858">
        <w:rPr>
          <w:sz w:val="20"/>
          <w:szCs w:val="20"/>
          <w:rtl/>
        </w:rPr>
        <w:t>[</w:t>
      </w:r>
      <w:r w:rsidRPr="00A83858">
        <w:rPr>
          <w:sz w:val="20"/>
          <w:szCs w:val="20"/>
        </w:rPr>
        <w:t>…</w:t>
      </w:r>
      <w:r w:rsidRPr="00A83858">
        <w:rPr>
          <w:sz w:val="20"/>
          <w:szCs w:val="20"/>
          <w:rtl/>
        </w:rPr>
        <w:t>]</w:t>
      </w:r>
    </w:p>
    <w:p w:rsidR="005366A8" w:rsidRDefault="005366A8" w:rsidP="005366A8">
      <w:pPr>
        <w:ind w:left="720"/>
        <w:rPr>
          <w:sz w:val="20"/>
          <w:szCs w:val="20"/>
          <w:rtl/>
        </w:rPr>
      </w:pPr>
    </w:p>
    <w:p w:rsidR="005366A8" w:rsidRPr="00327691" w:rsidRDefault="005366A8" w:rsidP="005366A8">
      <w:pPr>
        <w:pStyle w:val="Heading4"/>
        <w:rPr>
          <w:rFonts w:cs="David"/>
          <w:sz w:val="20"/>
          <w:szCs w:val="20"/>
          <w:u w:val="single"/>
          <w:rtl/>
        </w:rPr>
      </w:pPr>
      <w:r w:rsidRPr="00327691">
        <w:rPr>
          <w:rFonts w:cs="David"/>
          <w:sz w:val="20"/>
          <w:szCs w:val="20"/>
          <w:u w:val="single"/>
          <w:rtl/>
        </w:rPr>
        <w:t>חוק האזרחות והכניסה לישראל (הוראת שעה), התשס"ג-2003</w:t>
      </w:r>
    </w:p>
    <w:p w:rsidR="005366A8" w:rsidRDefault="005366A8" w:rsidP="005366A8">
      <w:pPr>
        <w:rPr>
          <w:rFonts w:cs="David"/>
          <w:rtl/>
        </w:rPr>
      </w:pPr>
    </w:p>
    <w:tbl>
      <w:tblPr>
        <w:bidiVisual/>
        <w:tblW w:w="0" w:type="auto"/>
        <w:tblCellMar>
          <w:left w:w="57" w:type="dxa"/>
          <w:right w:w="57" w:type="dxa"/>
        </w:tblCellMar>
        <w:tblLook w:val="0000"/>
      </w:tblPr>
      <w:tblGrid>
        <w:gridCol w:w="1444"/>
        <w:gridCol w:w="567"/>
        <w:gridCol w:w="8080"/>
      </w:tblGrid>
      <w:tr w:rsidR="005366A8" w:rsidRPr="00C61F0F" w:rsidTr="001845AC">
        <w:trPr>
          <w:trHeight w:val="80"/>
        </w:trPr>
        <w:tc>
          <w:tcPr>
            <w:tcW w:w="1444" w:type="dxa"/>
            <w:tcBorders>
              <w:top w:val="nil"/>
              <w:left w:val="nil"/>
              <w:bottom w:val="nil"/>
              <w:right w:val="nil"/>
            </w:tcBorders>
          </w:tcPr>
          <w:p w:rsidR="005366A8" w:rsidRPr="00C61F0F" w:rsidRDefault="005366A8" w:rsidP="001845AC">
            <w:pPr>
              <w:spacing w:after="120"/>
              <w:rPr>
                <w:rFonts w:cs="David"/>
                <w:sz w:val="20"/>
                <w:szCs w:val="20"/>
                <w:rtl/>
              </w:rPr>
            </w:pPr>
            <w:r w:rsidRPr="00C61F0F">
              <w:rPr>
                <w:rFonts w:cs="David"/>
                <w:sz w:val="20"/>
                <w:szCs w:val="20"/>
                <w:rtl/>
              </w:rPr>
              <w:t>הגבלת אזרחות וישיבה בישראל</w:t>
            </w:r>
          </w:p>
        </w:tc>
        <w:tc>
          <w:tcPr>
            <w:tcW w:w="567" w:type="dxa"/>
            <w:tcBorders>
              <w:top w:val="nil"/>
              <w:left w:val="nil"/>
              <w:bottom w:val="nil"/>
              <w:right w:val="nil"/>
            </w:tcBorders>
          </w:tcPr>
          <w:p w:rsidR="005366A8" w:rsidRPr="00C61F0F" w:rsidRDefault="005366A8" w:rsidP="001845AC">
            <w:pPr>
              <w:spacing w:after="120"/>
              <w:rPr>
                <w:rFonts w:cs="David"/>
                <w:sz w:val="20"/>
                <w:szCs w:val="20"/>
                <w:rtl/>
              </w:rPr>
            </w:pPr>
            <w:r w:rsidRPr="00C61F0F">
              <w:rPr>
                <w:rFonts w:cs="David"/>
                <w:sz w:val="20"/>
                <w:szCs w:val="20"/>
                <w:rtl/>
              </w:rPr>
              <w:t>2.</w:t>
            </w:r>
          </w:p>
        </w:tc>
        <w:tc>
          <w:tcPr>
            <w:tcW w:w="8080" w:type="dxa"/>
            <w:tcBorders>
              <w:top w:val="nil"/>
              <w:left w:val="nil"/>
              <w:bottom w:val="nil"/>
              <w:right w:val="nil"/>
            </w:tcBorders>
          </w:tcPr>
          <w:p w:rsidR="005366A8" w:rsidRPr="00C61F0F" w:rsidRDefault="005366A8" w:rsidP="001845AC">
            <w:pPr>
              <w:pStyle w:val="Heading4"/>
              <w:rPr>
                <w:rFonts w:cs="David"/>
                <w:b w:val="0"/>
                <w:bCs w:val="0"/>
                <w:sz w:val="20"/>
                <w:szCs w:val="20"/>
                <w:rtl/>
              </w:rPr>
            </w:pPr>
            <w:r w:rsidRPr="00C61F0F">
              <w:rPr>
                <w:rFonts w:cs="David"/>
                <w:b w:val="0"/>
                <w:bCs w:val="0"/>
                <w:sz w:val="20"/>
                <w:szCs w:val="20"/>
                <w:rtl/>
              </w:rPr>
              <w:t xml:space="preserve">בתקופת תוקפו של חוק זה, על אף האמור בכל דין לרבות סעיף 7 לחוק האזרחות, שר הפנים </w:t>
            </w:r>
            <w:r w:rsidRPr="00E80F9D">
              <w:rPr>
                <w:rFonts w:cs="David"/>
                <w:b w:val="0"/>
                <w:bCs w:val="0"/>
                <w:sz w:val="20"/>
                <w:szCs w:val="20"/>
                <w:highlight w:val="yellow"/>
                <w:rtl/>
              </w:rPr>
              <w:t>לא יעניק</w:t>
            </w:r>
            <w:r w:rsidRPr="00C61F0F">
              <w:rPr>
                <w:rFonts w:cs="David"/>
                <w:b w:val="0"/>
                <w:bCs w:val="0"/>
                <w:sz w:val="20"/>
                <w:szCs w:val="20"/>
                <w:rtl/>
              </w:rPr>
              <w:t xml:space="preserve"> לתושב אזור אזרחות לפי חוק האזרחות ולא ייתן לו רישיון לישיבה בישראל לפי חוק הכניסה לישראל, ומפקד האזור לא ייתן לתושב כאמור היתר לשהייה בישראל לפי תחיקת הביטחון באזור.</w:t>
            </w:r>
          </w:p>
          <w:p w:rsidR="005366A8" w:rsidRPr="00C61F0F" w:rsidRDefault="005366A8" w:rsidP="001845AC">
            <w:pPr>
              <w:rPr>
                <w:rFonts w:cs="David"/>
                <w:sz w:val="20"/>
                <w:szCs w:val="20"/>
                <w:rtl/>
              </w:rPr>
            </w:pPr>
          </w:p>
        </w:tc>
      </w:tr>
    </w:tbl>
    <w:p w:rsidR="005366A8" w:rsidRPr="00327691" w:rsidRDefault="005366A8" w:rsidP="005366A8">
      <w:pPr>
        <w:spacing w:after="120"/>
        <w:ind w:left="720"/>
        <w:rPr>
          <w:rFonts w:cs="David"/>
          <w:b/>
          <w:bCs/>
          <w:sz w:val="20"/>
          <w:szCs w:val="20"/>
          <w:u w:val="single"/>
          <w:rtl/>
        </w:rPr>
      </w:pPr>
      <w:r w:rsidRPr="00327691">
        <w:rPr>
          <w:rFonts w:cs="David"/>
          <w:b/>
          <w:bCs/>
          <w:sz w:val="20"/>
          <w:szCs w:val="20"/>
          <w:u w:val="single"/>
          <w:rtl/>
        </w:rPr>
        <w:t xml:space="preserve">חוק מרשם האוכלוסין, </w:t>
      </w:r>
      <w:r>
        <w:rPr>
          <w:rFonts w:cs="David" w:hint="cs"/>
          <w:b/>
          <w:bCs/>
          <w:sz w:val="20"/>
          <w:szCs w:val="20"/>
          <w:u w:val="single"/>
          <w:rtl/>
        </w:rPr>
        <w:t>ה</w:t>
      </w:r>
      <w:r w:rsidRPr="00327691">
        <w:rPr>
          <w:rFonts w:cs="David"/>
          <w:b/>
          <w:bCs/>
          <w:sz w:val="20"/>
          <w:szCs w:val="20"/>
          <w:u w:val="single"/>
          <w:rtl/>
        </w:rPr>
        <w:t>תשכ"ה-1965</w:t>
      </w:r>
    </w:p>
    <w:p w:rsidR="005366A8" w:rsidRPr="00085FFA" w:rsidRDefault="005366A8" w:rsidP="005366A8">
      <w:pPr>
        <w:pStyle w:val="P00"/>
        <w:spacing w:before="0"/>
        <w:ind w:left="720" w:right="1134"/>
        <w:rPr>
          <w:rStyle w:val="default"/>
          <w:rFonts w:cs="David"/>
          <w:vanish/>
          <w:color w:val="FF0000"/>
          <w:szCs w:val="20"/>
          <w:shd w:val="clear" w:color="auto" w:fill="FFFF99"/>
          <w:rtl/>
        </w:rPr>
      </w:pPr>
      <w:bookmarkStart w:id="58" w:name="Rov87"/>
      <w:r w:rsidRPr="00085FFA">
        <w:rPr>
          <w:rStyle w:val="default"/>
          <w:rFonts w:cs="David" w:hint="cs"/>
          <w:vanish/>
          <w:color w:val="FF0000"/>
          <w:szCs w:val="20"/>
          <w:shd w:val="clear" w:color="auto" w:fill="FFFF99"/>
          <w:rtl/>
        </w:rPr>
        <w:t>מיום 7.2.1968</w:t>
      </w:r>
    </w:p>
    <w:p w:rsidR="005366A8" w:rsidRPr="00085FFA" w:rsidRDefault="005366A8" w:rsidP="005366A8">
      <w:pPr>
        <w:pStyle w:val="P00"/>
        <w:spacing w:before="0"/>
        <w:ind w:left="720" w:right="1134"/>
        <w:rPr>
          <w:rStyle w:val="default"/>
          <w:rFonts w:cs="David"/>
          <w:b/>
          <w:bCs/>
          <w:vanish/>
          <w:szCs w:val="20"/>
          <w:shd w:val="clear" w:color="auto" w:fill="FFFF99"/>
          <w:rtl/>
        </w:rPr>
      </w:pPr>
      <w:r w:rsidRPr="00085FFA">
        <w:rPr>
          <w:rStyle w:val="default"/>
          <w:rFonts w:cs="David" w:hint="cs"/>
          <w:b/>
          <w:bCs/>
          <w:vanish/>
          <w:szCs w:val="20"/>
          <w:shd w:val="clear" w:color="auto" w:fill="FFFF99"/>
          <w:rtl/>
        </w:rPr>
        <w:t>תיקון מס' 2</w:t>
      </w:r>
    </w:p>
    <w:p w:rsidR="005366A8" w:rsidRPr="00085FFA" w:rsidRDefault="005D7968" w:rsidP="005366A8">
      <w:pPr>
        <w:pStyle w:val="P00"/>
        <w:spacing w:before="0"/>
        <w:ind w:left="720" w:right="1134"/>
        <w:rPr>
          <w:rStyle w:val="default"/>
          <w:rFonts w:cs="David"/>
          <w:b/>
          <w:bCs/>
          <w:vanish/>
          <w:szCs w:val="20"/>
          <w:shd w:val="clear" w:color="auto" w:fill="FFFF99"/>
          <w:rtl/>
        </w:rPr>
      </w:pPr>
      <w:hyperlink r:id="rId331" w:history="1">
        <w:r w:rsidR="005366A8" w:rsidRPr="00085FFA">
          <w:rPr>
            <w:rStyle w:val="Hyperlink"/>
            <w:rFonts w:cs="David" w:hint="cs"/>
            <w:vanish/>
            <w:szCs w:val="20"/>
            <w:shd w:val="clear" w:color="auto" w:fill="FFFF99"/>
            <w:rtl/>
          </w:rPr>
          <w:t>ס"ח תשכ"ח מס' 519</w:t>
        </w:r>
      </w:hyperlink>
      <w:r w:rsidR="005366A8" w:rsidRPr="00085FFA">
        <w:rPr>
          <w:rStyle w:val="default"/>
          <w:rFonts w:cs="David" w:hint="cs"/>
          <w:vanish/>
          <w:szCs w:val="20"/>
          <w:shd w:val="clear" w:color="auto" w:fill="FFFF99"/>
          <w:rtl/>
        </w:rPr>
        <w:t xml:space="preserve"> מיום 7.2.1968 עמ' 28 (</w:t>
      </w:r>
      <w:hyperlink r:id="rId332" w:history="1">
        <w:r w:rsidR="005366A8" w:rsidRPr="00085FFA">
          <w:rPr>
            <w:rStyle w:val="Hyperlink"/>
            <w:rFonts w:cs="David" w:hint="cs"/>
            <w:vanish/>
            <w:szCs w:val="20"/>
            <w:shd w:val="clear" w:color="auto" w:fill="FFFF99"/>
            <w:rtl/>
          </w:rPr>
          <w:t>ה"ח 755</w:t>
        </w:r>
      </w:hyperlink>
      <w:r w:rsidR="005366A8" w:rsidRPr="00085FFA">
        <w:rPr>
          <w:rStyle w:val="default"/>
          <w:rFonts w:cs="David" w:hint="cs"/>
          <w:vanish/>
          <w:szCs w:val="20"/>
          <w:shd w:val="clear" w:color="auto" w:fill="FFFF99"/>
          <w:rtl/>
        </w:rPr>
        <w:t>)</w:t>
      </w:r>
    </w:p>
    <w:p w:rsidR="005366A8" w:rsidRPr="00085FFA" w:rsidRDefault="005366A8" w:rsidP="005366A8">
      <w:pPr>
        <w:pStyle w:val="P00"/>
        <w:ind w:left="720" w:right="1134"/>
        <w:rPr>
          <w:rStyle w:val="default"/>
          <w:rFonts w:cs="David"/>
          <w:vanish/>
          <w:szCs w:val="20"/>
          <w:shd w:val="clear" w:color="auto" w:fill="FFFF99"/>
          <w:rtl/>
        </w:rPr>
      </w:pPr>
      <w:r w:rsidRPr="00085FFA">
        <w:rPr>
          <w:rFonts w:cs="David"/>
          <w:vanish/>
          <w:szCs w:val="20"/>
          <w:shd w:val="clear" w:color="auto" w:fill="FFFF99"/>
          <w:rtl/>
        </w:rPr>
        <w:tab/>
      </w:r>
      <w:r w:rsidRPr="00085FFA">
        <w:rPr>
          <w:rStyle w:val="default"/>
          <w:rFonts w:cs="David"/>
          <w:vanish/>
          <w:szCs w:val="20"/>
          <w:shd w:val="clear" w:color="auto" w:fill="FFFF99"/>
          <w:rtl/>
        </w:rPr>
        <w:t>(ב</w:t>
      </w:r>
      <w:r w:rsidRPr="00085FFA">
        <w:rPr>
          <w:rStyle w:val="default"/>
          <w:rFonts w:cs="David" w:hint="cs"/>
          <w:vanish/>
          <w:szCs w:val="20"/>
          <w:shd w:val="clear" w:color="auto" w:fill="FFFF99"/>
          <w:rtl/>
        </w:rPr>
        <w:t>)</w:t>
      </w:r>
      <w:r w:rsidRPr="00085FFA">
        <w:rPr>
          <w:rStyle w:val="default"/>
          <w:rFonts w:cs="David"/>
          <w:vanish/>
          <w:szCs w:val="20"/>
          <w:shd w:val="clear" w:color="auto" w:fill="FFFF99"/>
          <w:rtl/>
        </w:rPr>
        <w:tab/>
        <w:t>ל</w:t>
      </w:r>
      <w:r w:rsidRPr="00085FFA">
        <w:rPr>
          <w:rStyle w:val="default"/>
          <w:rFonts w:cs="David" w:hint="cs"/>
          <w:vanish/>
          <w:szCs w:val="20"/>
          <w:shd w:val="clear" w:color="auto" w:fill="FFFF99"/>
          <w:rtl/>
        </w:rPr>
        <w:t xml:space="preserve">ענין חוק זה יראו כתושב גם אדם אחר הנמצא </w:t>
      </w:r>
      <w:r w:rsidRPr="00085FFA">
        <w:rPr>
          <w:rStyle w:val="default"/>
          <w:rFonts w:cs="David" w:hint="cs"/>
          <w:vanish/>
          <w:szCs w:val="20"/>
          <w:u w:val="single"/>
          <w:shd w:val="clear" w:color="auto" w:fill="FFFF99"/>
          <w:rtl/>
        </w:rPr>
        <w:t>כחוק</w:t>
      </w:r>
      <w:r w:rsidRPr="00085FFA">
        <w:rPr>
          <w:rStyle w:val="default"/>
          <w:rFonts w:cs="David" w:hint="cs"/>
          <w:vanish/>
          <w:szCs w:val="20"/>
          <w:shd w:val="clear" w:color="auto" w:fill="FFFF99"/>
          <w:rtl/>
        </w:rPr>
        <w:t xml:space="preserve"> בישראל, </w:t>
      </w:r>
      <w:r w:rsidRPr="00085FFA">
        <w:rPr>
          <w:rStyle w:val="default"/>
          <w:rFonts w:cs="David" w:hint="cs"/>
          <w:strike/>
          <w:vanish/>
          <w:szCs w:val="20"/>
          <w:shd w:val="clear" w:color="auto" w:fill="FFFF99"/>
          <w:rtl/>
        </w:rPr>
        <w:t>זולת מי</w:t>
      </w:r>
      <w:r w:rsidRPr="00085FFA">
        <w:rPr>
          <w:rStyle w:val="default"/>
          <w:rFonts w:cs="David" w:hint="cs"/>
          <w:vanish/>
          <w:szCs w:val="20"/>
          <w:shd w:val="clear" w:color="auto" w:fill="FFFF99"/>
          <w:rtl/>
        </w:rPr>
        <w:t xml:space="preserve"> </w:t>
      </w:r>
      <w:r w:rsidRPr="00085FFA">
        <w:rPr>
          <w:rStyle w:val="default"/>
          <w:rFonts w:cs="David" w:hint="cs"/>
          <w:vanish/>
          <w:szCs w:val="20"/>
          <w:u w:val="single"/>
          <w:shd w:val="clear" w:color="auto" w:fill="FFFF99"/>
          <w:rtl/>
        </w:rPr>
        <w:t>אך לא יראו כתושב את מי</w:t>
      </w:r>
      <w:r w:rsidRPr="00085FFA">
        <w:rPr>
          <w:rStyle w:val="default"/>
          <w:rFonts w:cs="David" w:hint="cs"/>
          <w:vanish/>
          <w:szCs w:val="20"/>
          <w:shd w:val="clear" w:color="auto" w:fill="FFFF99"/>
          <w:rtl/>
        </w:rPr>
        <w:t xml:space="preserve"> שנמצא בה על פי רשיון לישיבת מעבר או לישיבת ביקור או על פי דרכון-חוץ דיפלומטי.</w:t>
      </w:r>
    </w:p>
    <w:p w:rsidR="005366A8" w:rsidRPr="00085FFA" w:rsidRDefault="005366A8" w:rsidP="005366A8">
      <w:pPr>
        <w:pStyle w:val="P00"/>
        <w:spacing w:before="0"/>
        <w:ind w:left="720" w:right="1134"/>
        <w:rPr>
          <w:rStyle w:val="default"/>
          <w:rFonts w:cs="David"/>
          <w:vanish/>
          <w:szCs w:val="20"/>
          <w:shd w:val="clear" w:color="auto" w:fill="FFFF99"/>
          <w:rtl/>
        </w:rPr>
      </w:pPr>
    </w:p>
    <w:p w:rsidR="005366A8" w:rsidRPr="00085FFA" w:rsidRDefault="005366A8" w:rsidP="005366A8">
      <w:pPr>
        <w:pStyle w:val="P00"/>
        <w:spacing w:before="0"/>
        <w:ind w:left="720" w:right="1134"/>
        <w:rPr>
          <w:rStyle w:val="default"/>
          <w:rFonts w:cs="David"/>
          <w:vanish/>
          <w:color w:val="FF0000"/>
          <w:szCs w:val="20"/>
          <w:shd w:val="clear" w:color="auto" w:fill="FFFF99"/>
          <w:rtl/>
        </w:rPr>
      </w:pPr>
      <w:r w:rsidRPr="00085FFA">
        <w:rPr>
          <w:rStyle w:val="default"/>
          <w:rFonts w:cs="David" w:hint="cs"/>
          <w:vanish/>
          <w:color w:val="FF0000"/>
          <w:szCs w:val="20"/>
          <w:shd w:val="clear" w:color="auto" w:fill="FFFF99"/>
          <w:rtl/>
        </w:rPr>
        <w:t>מיום 8.5.2008</w:t>
      </w:r>
    </w:p>
    <w:p w:rsidR="005366A8" w:rsidRPr="00085FFA" w:rsidRDefault="005366A8" w:rsidP="005366A8">
      <w:pPr>
        <w:pStyle w:val="P00"/>
        <w:spacing w:before="0"/>
        <w:ind w:left="720" w:right="1134"/>
        <w:rPr>
          <w:rStyle w:val="default"/>
          <w:rFonts w:cs="David"/>
          <w:vanish/>
          <w:szCs w:val="20"/>
          <w:shd w:val="clear" w:color="auto" w:fill="FFFF99"/>
          <w:rtl/>
        </w:rPr>
      </w:pPr>
      <w:r w:rsidRPr="00085FFA">
        <w:rPr>
          <w:rStyle w:val="default"/>
          <w:rFonts w:cs="David" w:hint="cs"/>
          <w:b/>
          <w:bCs/>
          <w:vanish/>
          <w:szCs w:val="20"/>
          <w:shd w:val="clear" w:color="auto" w:fill="FFFF99"/>
          <w:rtl/>
        </w:rPr>
        <w:t>תיקון מס' 12</w:t>
      </w:r>
    </w:p>
    <w:p w:rsidR="005366A8" w:rsidRPr="00085FFA" w:rsidRDefault="005D7968" w:rsidP="005366A8">
      <w:pPr>
        <w:pStyle w:val="P00"/>
        <w:spacing w:before="0"/>
        <w:ind w:left="720" w:right="1134"/>
        <w:rPr>
          <w:rStyle w:val="default"/>
          <w:rFonts w:cs="David"/>
          <w:vanish/>
          <w:szCs w:val="20"/>
          <w:shd w:val="clear" w:color="auto" w:fill="FFFF99"/>
          <w:rtl/>
        </w:rPr>
      </w:pPr>
      <w:hyperlink r:id="rId333" w:history="1">
        <w:r w:rsidR="005366A8" w:rsidRPr="00085FFA">
          <w:rPr>
            <w:rStyle w:val="Hyperlink"/>
            <w:rFonts w:cs="David" w:hint="cs"/>
            <w:vanish/>
            <w:szCs w:val="20"/>
            <w:shd w:val="clear" w:color="auto" w:fill="FFFF99"/>
            <w:rtl/>
          </w:rPr>
          <w:t>ס"ח תשס"ח מס' 2116</w:t>
        </w:r>
      </w:hyperlink>
      <w:r w:rsidR="005366A8" w:rsidRPr="00085FFA">
        <w:rPr>
          <w:rStyle w:val="default"/>
          <w:rFonts w:cs="David" w:hint="cs"/>
          <w:vanish/>
          <w:szCs w:val="20"/>
          <w:shd w:val="clear" w:color="auto" w:fill="FFFF99"/>
          <w:rtl/>
        </w:rPr>
        <w:t xml:space="preserve"> מיום 8.11.2007 עמ' 27 (</w:t>
      </w:r>
      <w:hyperlink r:id="rId334" w:history="1">
        <w:r w:rsidR="005366A8" w:rsidRPr="00085FFA">
          <w:rPr>
            <w:rStyle w:val="Hyperlink"/>
            <w:rFonts w:cs="David" w:hint="cs"/>
            <w:vanish/>
            <w:szCs w:val="20"/>
            <w:shd w:val="clear" w:color="auto" w:fill="FFFF99"/>
            <w:rtl/>
          </w:rPr>
          <w:t>ה"ח 164</w:t>
        </w:r>
      </w:hyperlink>
      <w:r w:rsidR="005366A8" w:rsidRPr="00085FFA">
        <w:rPr>
          <w:rStyle w:val="default"/>
          <w:rFonts w:cs="David" w:hint="cs"/>
          <w:vanish/>
          <w:szCs w:val="20"/>
          <w:shd w:val="clear" w:color="auto" w:fill="FFFF99"/>
          <w:rtl/>
        </w:rPr>
        <w:t>)</w:t>
      </w:r>
    </w:p>
    <w:p w:rsidR="005366A8" w:rsidRPr="00085FFA" w:rsidRDefault="005366A8" w:rsidP="005366A8">
      <w:pPr>
        <w:pStyle w:val="P00"/>
        <w:ind w:left="720" w:right="1134"/>
        <w:rPr>
          <w:rStyle w:val="default"/>
          <w:rFonts w:cs="David"/>
          <w:vanish/>
          <w:szCs w:val="20"/>
          <w:shd w:val="clear" w:color="auto" w:fill="FFFF99"/>
          <w:rtl/>
        </w:rPr>
      </w:pPr>
      <w:r w:rsidRPr="00085FFA">
        <w:rPr>
          <w:rStyle w:val="big-number"/>
          <w:rFonts w:cs="David"/>
          <w:vanish/>
          <w:szCs w:val="20"/>
          <w:shd w:val="clear" w:color="auto" w:fill="FFFF99"/>
          <w:rtl/>
        </w:rPr>
        <w:tab/>
      </w:r>
      <w:r w:rsidRPr="00085FFA">
        <w:rPr>
          <w:rStyle w:val="default"/>
          <w:rFonts w:cs="David"/>
          <w:vanish/>
          <w:szCs w:val="20"/>
          <w:shd w:val="clear" w:color="auto" w:fill="FFFF99"/>
          <w:rtl/>
        </w:rPr>
        <w:t>(א</w:t>
      </w:r>
      <w:r w:rsidRPr="00085FFA">
        <w:rPr>
          <w:rStyle w:val="default"/>
          <w:rFonts w:cs="David" w:hint="cs"/>
          <w:vanish/>
          <w:szCs w:val="20"/>
          <w:shd w:val="clear" w:color="auto" w:fill="FFFF99"/>
          <w:rtl/>
        </w:rPr>
        <w:t>)</w:t>
      </w:r>
      <w:r w:rsidRPr="00085FFA">
        <w:rPr>
          <w:rStyle w:val="default"/>
          <w:rFonts w:cs="David"/>
          <w:vanish/>
          <w:szCs w:val="20"/>
          <w:shd w:val="clear" w:color="auto" w:fill="FFFF99"/>
          <w:rtl/>
        </w:rPr>
        <w:tab/>
        <w:t>ב</w:t>
      </w:r>
      <w:r w:rsidRPr="00085FFA">
        <w:rPr>
          <w:rStyle w:val="default"/>
          <w:rFonts w:cs="David" w:hint="cs"/>
          <w:vanish/>
          <w:szCs w:val="20"/>
          <w:shd w:val="clear" w:color="auto" w:fill="FFFF99"/>
          <w:rtl/>
        </w:rPr>
        <w:t xml:space="preserve">חוק זה </w:t>
      </w:r>
      <w:r w:rsidRPr="00085FFA">
        <w:rPr>
          <w:rStyle w:val="default"/>
          <w:rFonts w:cs="David"/>
          <w:vanish/>
          <w:szCs w:val="20"/>
          <w:shd w:val="clear" w:color="auto" w:fill="FFFF99"/>
          <w:rtl/>
        </w:rPr>
        <w:t>–</w:t>
      </w:r>
    </w:p>
    <w:p w:rsidR="005366A8" w:rsidRPr="00085FFA" w:rsidRDefault="005366A8" w:rsidP="005366A8">
      <w:pPr>
        <w:pStyle w:val="P00"/>
        <w:spacing w:before="0"/>
        <w:ind w:left="720" w:right="1134"/>
        <w:rPr>
          <w:rStyle w:val="default"/>
          <w:rFonts w:cs="David"/>
          <w:vanish/>
          <w:szCs w:val="20"/>
          <w:u w:val="single"/>
          <w:shd w:val="clear" w:color="auto" w:fill="FFFF99"/>
          <w:rtl/>
        </w:rPr>
      </w:pPr>
      <w:r w:rsidRPr="00085FFA">
        <w:rPr>
          <w:rStyle w:val="default"/>
          <w:rFonts w:cs="David" w:hint="cs"/>
          <w:vanish/>
          <w:szCs w:val="20"/>
          <w:shd w:val="clear" w:color="auto" w:fill="FFFF99"/>
          <w:rtl/>
        </w:rPr>
        <w:tab/>
      </w:r>
      <w:r w:rsidRPr="00085FFA">
        <w:rPr>
          <w:rStyle w:val="default"/>
          <w:rFonts w:cs="David"/>
          <w:vanish/>
          <w:szCs w:val="20"/>
          <w:u w:val="single"/>
          <w:shd w:val="clear" w:color="auto" w:fill="FFFF99"/>
          <w:rtl/>
        </w:rPr>
        <w:t>"יום לפי הלוח העברי" – תקופה שתחילתה עשרים דקות לאחר שקיעת החמה וסופה בתום עשרים דקות לאחר שקיעת החמה למחרת;</w:t>
      </w:r>
    </w:p>
    <w:p w:rsidR="005366A8" w:rsidRPr="00085FFA" w:rsidRDefault="005366A8" w:rsidP="005366A8">
      <w:pPr>
        <w:pStyle w:val="P00"/>
        <w:spacing w:before="0"/>
        <w:ind w:left="720" w:right="1134"/>
        <w:rPr>
          <w:rStyle w:val="default"/>
          <w:rFonts w:cs="David"/>
          <w:vanish/>
          <w:szCs w:val="20"/>
          <w:u w:val="single"/>
          <w:shd w:val="clear" w:color="auto" w:fill="FFFF99"/>
          <w:rtl/>
        </w:rPr>
      </w:pPr>
      <w:r w:rsidRPr="00085FFA">
        <w:rPr>
          <w:rStyle w:val="default"/>
          <w:rFonts w:cs="David" w:hint="cs"/>
          <w:vanish/>
          <w:szCs w:val="20"/>
          <w:shd w:val="clear" w:color="auto" w:fill="FFFF99"/>
          <w:rtl/>
        </w:rPr>
        <w:tab/>
      </w:r>
      <w:r w:rsidRPr="00085FFA">
        <w:rPr>
          <w:rStyle w:val="default"/>
          <w:rFonts w:cs="David"/>
          <w:vanish/>
          <w:szCs w:val="20"/>
          <w:u w:val="single"/>
          <w:shd w:val="clear" w:color="auto" w:fill="FFFF99"/>
          <w:rtl/>
        </w:rPr>
        <w:t>"תאריך לידה" – יום הלידה הן לפי הלוח העברי והן לפי הלוח הגריגוריאני;</w:t>
      </w:r>
    </w:p>
    <w:p w:rsidR="005366A8" w:rsidRPr="00085FFA" w:rsidRDefault="005366A8" w:rsidP="005366A8">
      <w:pPr>
        <w:pStyle w:val="P00"/>
        <w:spacing w:before="0"/>
        <w:ind w:left="720" w:right="1134"/>
        <w:rPr>
          <w:rStyle w:val="default"/>
          <w:rFonts w:cs="David"/>
          <w:vanish/>
          <w:szCs w:val="20"/>
          <w:u w:val="single"/>
          <w:shd w:val="clear" w:color="auto" w:fill="FFFF99"/>
          <w:rtl/>
        </w:rPr>
      </w:pPr>
      <w:r w:rsidRPr="00085FFA">
        <w:rPr>
          <w:rStyle w:val="default"/>
          <w:rFonts w:cs="David" w:hint="cs"/>
          <w:vanish/>
          <w:szCs w:val="20"/>
          <w:shd w:val="clear" w:color="auto" w:fill="FFFF99"/>
          <w:rtl/>
        </w:rPr>
        <w:tab/>
      </w:r>
      <w:r w:rsidRPr="00085FFA">
        <w:rPr>
          <w:rStyle w:val="default"/>
          <w:rFonts w:cs="David"/>
          <w:vanish/>
          <w:szCs w:val="20"/>
          <w:u w:val="single"/>
          <w:shd w:val="clear" w:color="auto" w:fill="FFFF99"/>
          <w:rtl/>
        </w:rPr>
        <w:t>"תאריך פטירה" – יום הפטירה הן לפי הלוח העברי והן לפי הלוח הגריגוריאני;</w:t>
      </w:r>
    </w:p>
    <w:p w:rsidR="005366A8" w:rsidRPr="00085FFA" w:rsidRDefault="005366A8" w:rsidP="005366A8">
      <w:pPr>
        <w:pStyle w:val="P00"/>
        <w:spacing w:before="0"/>
        <w:ind w:left="720" w:right="1134"/>
        <w:rPr>
          <w:rStyle w:val="default"/>
          <w:rFonts w:cs="David"/>
          <w:szCs w:val="20"/>
          <w:rtl/>
        </w:rPr>
      </w:pPr>
      <w:r w:rsidRPr="00085FFA">
        <w:rPr>
          <w:rFonts w:cs="David"/>
          <w:vanish/>
          <w:szCs w:val="20"/>
          <w:shd w:val="clear" w:color="auto" w:fill="FFFF99"/>
          <w:rtl/>
        </w:rPr>
        <w:tab/>
      </w:r>
      <w:r w:rsidRPr="00085FFA">
        <w:rPr>
          <w:rStyle w:val="default"/>
          <w:rFonts w:cs="David"/>
          <w:vanish/>
          <w:szCs w:val="20"/>
          <w:shd w:val="clear" w:color="auto" w:fill="FFFF99"/>
          <w:rtl/>
        </w:rPr>
        <w:t>"ת</w:t>
      </w:r>
      <w:r w:rsidRPr="00085FFA">
        <w:rPr>
          <w:rStyle w:val="default"/>
          <w:rFonts w:cs="David" w:hint="cs"/>
          <w:vanish/>
          <w:szCs w:val="20"/>
          <w:shd w:val="clear" w:color="auto" w:fill="FFFF99"/>
          <w:rtl/>
        </w:rPr>
        <w:t>ושב" -</w:t>
      </w:r>
      <w:r w:rsidRPr="00085FFA">
        <w:rPr>
          <w:rStyle w:val="default"/>
          <w:rFonts w:cs="David"/>
          <w:vanish/>
          <w:szCs w:val="20"/>
          <w:shd w:val="clear" w:color="auto" w:fill="FFFF99"/>
          <w:rtl/>
        </w:rPr>
        <w:t xml:space="preserve"> </w:t>
      </w:r>
      <w:r w:rsidRPr="00085FFA">
        <w:rPr>
          <w:rStyle w:val="default"/>
          <w:rFonts w:cs="David" w:hint="cs"/>
          <w:vanish/>
          <w:szCs w:val="20"/>
          <w:shd w:val="clear" w:color="auto" w:fill="FFFF99"/>
          <w:rtl/>
        </w:rPr>
        <w:t>מי שנמצא בישראל כאזרח ישראלי או על פי אשרת עולה או תעודת עולה, או על פי רשיון לישיבת קבע.</w:t>
      </w:r>
      <w:bookmarkEnd w:id="58"/>
    </w:p>
    <w:p w:rsidR="005366A8" w:rsidRPr="00085FFA" w:rsidRDefault="005D7968" w:rsidP="005366A8">
      <w:pPr>
        <w:pStyle w:val="P00"/>
        <w:spacing w:before="72"/>
        <w:ind w:left="720" w:right="1134"/>
        <w:rPr>
          <w:rStyle w:val="default"/>
          <w:rFonts w:cs="David"/>
          <w:szCs w:val="20"/>
          <w:rtl/>
        </w:rPr>
      </w:pPr>
      <w:r w:rsidRPr="005D7968">
        <w:rPr>
          <w:rFonts w:cs="David"/>
          <w:szCs w:val="20"/>
          <w:rtl/>
          <w:lang w:val="he-IL"/>
        </w:rPr>
        <w:pict>
          <v:rect id="_x0000_s1204" style="position:absolute;left:0;text-align:left;margin-left:467.2pt;margin-top:1.4pt;width:75.05pt;height:51.55pt;z-index:251845632" o:allowincell="f" filled="f" stroked="f" strokecolor="lime" strokeweight=".25pt">
            <v:textbox style="mso-next-textbox:#_x0000_s1204" inset="0,0,0,0">
              <w:txbxContent>
                <w:p w:rsidR="005366A8" w:rsidRDefault="005366A8" w:rsidP="005366A8">
                  <w:pPr>
                    <w:spacing w:line="160" w:lineRule="exact"/>
                    <w:rPr>
                      <w:rFonts w:cs="Miriam"/>
                      <w:sz w:val="18"/>
                      <w:szCs w:val="18"/>
                      <w:rtl/>
                    </w:rPr>
                  </w:pPr>
                </w:p>
                <w:p w:rsidR="005366A8" w:rsidRDefault="005366A8" w:rsidP="005366A8">
                  <w:pPr>
                    <w:spacing w:line="160" w:lineRule="exact"/>
                    <w:rPr>
                      <w:rFonts w:cs="Miriam"/>
                      <w:sz w:val="18"/>
                      <w:szCs w:val="18"/>
                      <w:rtl/>
                    </w:rPr>
                  </w:pPr>
                </w:p>
                <w:p w:rsidR="005366A8" w:rsidRDefault="005366A8" w:rsidP="005366A8">
                  <w:pPr>
                    <w:spacing w:line="160" w:lineRule="exact"/>
                    <w:rPr>
                      <w:rFonts w:cs="Miriam"/>
                      <w:sz w:val="18"/>
                      <w:szCs w:val="18"/>
                      <w:rtl/>
                    </w:rPr>
                  </w:pPr>
                </w:p>
                <w:p w:rsidR="005366A8" w:rsidRDefault="005366A8" w:rsidP="005366A8">
                  <w:pPr>
                    <w:spacing w:line="160" w:lineRule="exact"/>
                    <w:ind w:left="720"/>
                    <w:rPr>
                      <w:rFonts w:cs="Miriam"/>
                      <w:noProof/>
                      <w:sz w:val="18"/>
                      <w:szCs w:val="18"/>
                      <w:rtl/>
                    </w:rPr>
                  </w:pPr>
                  <w:r>
                    <w:rPr>
                      <w:rFonts w:cs="Miriam"/>
                      <w:sz w:val="18"/>
                      <w:szCs w:val="18"/>
                      <w:rtl/>
                    </w:rPr>
                    <w:t>המ</w:t>
                  </w:r>
                  <w:r>
                    <w:rPr>
                      <w:rFonts w:cs="Miriam" w:hint="cs"/>
                      <w:sz w:val="18"/>
                      <w:szCs w:val="18"/>
                      <w:rtl/>
                    </w:rPr>
                    <w:t xml:space="preserve">רשם </w:t>
                  </w:r>
                  <w:r>
                    <w:rPr>
                      <w:rFonts w:cs="Miriam"/>
                      <w:sz w:val="18"/>
                      <w:szCs w:val="18"/>
                      <w:rtl/>
                    </w:rPr>
                    <w:t>ופ</w:t>
                  </w:r>
                  <w:r>
                    <w:rPr>
                      <w:rFonts w:cs="Miriam" w:hint="cs"/>
                      <w:sz w:val="18"/>
                      <w:szCs w:val="18"/>
                      <w:rtl/>
                    </w:rPr>
                    <w:t>רטי הרישום</w:t>
                  </w:r>
                </w:p>
              </w:txbxContent>
            </v:textbox>
            <w10:anchorlock/>
          </v:rect>
        </w:pict>
      </w:r>
      <w:r w:rsidR="005366A8" w:rsidRPr="00085FFA">
        <w:rPr>
          <w:rStyle w:val="big-number"/>
          <w:rFonts w:cs="David"/>
          <w:szCs w:val="20"/>
          <w:rtl/>
        </w:rPr>
        <w:t>2.</w:t>
      </w:r>
      <w:r w:rsidR="005366A8" w:rsidRPr="00085FFA">
        <w:rPr>
          <w:rStyle w:val="big-number"/>
          <w:rFonts w:cs="David"/>
          <w:szCs w:val="20"/>
          <w:rtl/>
        </w:rPr>
        <w:tab/>
      </w:r>
      <w:r w:rsidR="005366A8" w:rsidRPr="00085FFA">
        <w:rPr>
          <w:rStyle w:val="default"/>
          <w:rFonts w:cs="David"/>
          <w:szCs w:val="20"/>
          <w:rtl/>
        </w:rPr>
        <w:t>(א</w:t>
      </w:r>
      <w:r w:rsidR="005366A8" w:rsidRPr="00085FFA">
        <w:rPr>
          <w:rStyle w:val="default"/>
          <w:rFonts w:cs="David" w:hint="cs"/>
          <w:szCs w:val="20"/>
          <w:rtl/>
        </w:rPr>
        <w:t>)</w:t>
      </w:r>
      <w:r w:rsidR="005366A8" w:rsidRPr="00085FFA">
        <w:rPr>
          <w:rStyle w:val="default"/>
          <w:rFonts w:cs="David"/>
          <w:szCs w:val="20"/>
          <w:rtl/>
        </w:rPr>
        <w:tab/>
        <w:t>ב</w:t>
      </w:r>
      <w:r w:rsidR="005366A8" w:rsidRPr="00085FFA">
        <w:rPr>
          <w:rStyle w:val="default"/>
          <w:rFonts w:cs="David" w:hint="cs"/>
          <w:szCs w:val="20"/>
          <w:rtl/>
        </w:rPr>
        <w:t>מרשם האוכלוסין יירשמו הפרטים הבאים הנוגעים לתושב וכל שינוי בהם:</w:t>
      </w:r>
    </w:p>
    <w:p w:rsidR="005366A8" w:rsidRPr="00085FFA" w:rsidRDefault="005366A8" w:rsidP="005366A8">
      <w:pPr>
        <w:pStyle w:val="P22"/>
        <w:spacing w:before="72"/>
        <w:ind w:left="1741" w:right="1134"/>
        <w:rPr>
          <w:rStyle w:val="default"/>
          <w:rFonts w:cs="David"/>
          <w:szCs w:val="20"/>
          <w:rtl/>
        </w:rPr>
      </w:pPr>
      <w:r w:rsidRPr="00085FFA">
        <w:rPr>
          <w:rStyle w:val="default"/>
          <w:rFonts w:cs="David"/>
          <w:szCs w:val="20"/>
          <w:rtl/>
        </w:rPr>
        <w:t>(1)</w:t>
      </w:r>
      <w:r w:rsidRPr="00085FFA">
        <w:rPr>
          <w:rStyle w:val="default"/>
          <w:rFonts w:cs="David"/>
          <w:szCs w:val="20"/>
          <w:rtl/>
        </w:rPr>
        <w:tab/>
        <w:t>ש</w:t>
      </w:r>
      <w:r w:rsidRPr="00085FFA">
        <w:rPr>
          <w:rStyle w:val="default"/>
          <w:rFonts w:cs="David" w:hint="cs"/>
          <w:szCs w:val="20"/>
          <w:rtl/>
        </w:rPr>
        <w:t>ם המשפחה, השם הפרטי והשמות הקודמים</w:t>
      </w:r>
      <w:r w:rsidRPr="00085FFA">
        <w:rPr>
          <w:rStyle w:val="default"/>
          <w:rFonts w:cs="David"/>
          <w:szCs w:val="20"/>
          <w:rtl/>
        </w:rPr>
        <w:t>;</w:t>
      </w:r>
    </w:p>
    <w:p w:rsidR="005366A8" w:rsidRPr="00085FFA" w:rsidRDefault="005366A8" w:rsidP="005366A8">
      <w:pPr>
        <w:pStyle w:val="P22"/>
        <w:spacing w:before="72"/>
        <w:ind w:left="1741" w:right="1134"/>
        <w:rPr>
          <w:rStyle w:val="default"/>
          <w:rFonts w:cs="David"/>
          <w:szCs w:val="20"/>
          <w:rtl/>
        </w:rPr>
      </w:pPr>
      <w:r w:rsidRPr="00085FFA">
        <w:rPr>
          <w:rStyle w:val="default"/>
          <w:rFonts w:cs="David" w:hint="cs"/>
          <w:szCs w:val="20"/>
          <w:rtl/>
        </w:rPr>
        <w:t>(2)</w:t>
      </w:r>
      <w:r w:rsidRPr="00085FFA">
        <w:rPr>
          <w:rStyle w:val="default"/>
          <w:rFonts w:cs="David"/>
          <w:szCs w:val="20"/>
          <w:rtl/>
        </w:rPr>
        <w:tab/>
        <w:t>ש</w:t>
      </w:r>
      <w:r w:rsidRPr="00085FFA">
        <w:rPr>
          <w:rStyle w:val="default"/>
          <w:rFonts w:cs="David" w:hint="cs"/>
          <w:szCs w:val="20"/>
          <w:rtl/>
        </w:rPr>
        <w:t>מות ההורים;</w:t>
      </w:r>
    </w:p>
    <w:p w:rsidR="005366A8" w:rsidRPr="00085FFA" w:rsidRDefault="005366A8" w:rsidP="005366A8">
      <w:pPr>
        <w:pStyle w:val="P22"/>
        <w:spacing w:before="72"/>
        <w:ind w:left="1741" w:right="1134"/>
        <w:rPr>
          <w:rStyle w:val="default"/>
          <w:rFonts w:cs="David"/>
          <w:szCs w:val="20"/>
          <w:rtl/>
        </w:rPr>
      </w:pPr>
      <w:r w:rsidRPr="00085FFA">
        <w:rPr>
          <w:rStyle w:val="default"/>
          <w:rFonts w:cs="David" w:hint="cs"/>
          <w:szCs w:val="20"/>
          <w:rtl/>
        </w:rPr>
        <w:t>(3)</w:t>
      </w:r>
      <w:r w:rsidRPr="00085FFA">
        <w:rPr>
          <w:rStyle w:val="default"/>
          <w:rFonts w:cs="David"/>
          <w:szCs w:val="20"/>
          <w:rtl/>
        </w:rPr>
        <w:tab/>
        <w:t>ת</w:t>
      </w:r>
      <w:r w:rsidRPr="00085FFA">
        <w:rPr>
          <w:rStyle w:val="default"/>
          <w:rFonts w:cs="David" w:hint="cs"/>
          <w:szCs w:val="20"/>
          <w:rtl/>
        </w:rPr>
        <w:t>אריך הלידה ומקומה;</w:t>
      </w:r>
    </w:p>
    <w:p w:rsidR="005366A8" w:rsidRPr="00085FFA" w:rsidRDefault="005366A8" w:rsidP="005366A8">
      <w:pPr>
        <w:pStyle w:val="P22"/>
        <w:spacing w:before="72"/>
        <w:ind w:left="1741" w:right="1134"/>
        <w:rPr>
          <w:rStyle w:val="default"/>
          <w:rFonts w:cs="David"/>
          <w:szCs w:val="20"/>
          <w:rtl/>
        </w:rPr>
      </w:pPr>
      <w:r w:rsidRPr="00085FFA">
        <w:rPr>
          <w:rStyle w:val="default"/>
          <w:rFonts w:cs="David" w:hint="cs"/>
          <w:szCs w:val="20"/>
          <w:rtl/>
        </w:rPr>
        <w:t>(4)</w:t>
      </w:r>
      <w:r w:rsidRPr="00085FFA">
        <w:rPr>
          <w:rStyle w:val="default"/>
          <w:rFonts w:cs="David"/>
          <w:szCs w:val="20"/>
          <w:rtl/>
        </w:rPr>
        <w:tab/>
        <w:t>ה</w:t>
      </w:r>
      <w:r w:rsidRPr="00085FFA">
        <w:rPr>
          <w:rStyle w:val="default"/>
          <w:rFonts w:cs="David" w:hint="cs"/>
          <w:szCs w:val="20"/>
          <w:rtl/>
        </w:rPr>
        <w:t>מין;</w:t>
      </w:r>
    </w:p>
    <w:p w:rsidR="005366A8" w:rsidRPr="00085FFA" w:rsidRDefault="005366A8" w:rsidP="005366A8">
      <w:pPr>
        <w:pStyle w:val="P22"/>
        <w:spacing w:before="72"/>
        <w:ind w:left="1741" w:right="1134"/>
        <w:rPr>
          <w:rStyle w:val="default"/>
          <w:rFonts w:cs="David"/>
          <w:szCs w:val="20"/>
          <w:rtl/>
        </w:rPr>
      </w:pPr>
      <w:r w:rsidRPr="00085FFA">
        <w:rPr>
          <w:rStyle w:val="default"/>
          <w:rFonts w:cs="David" w:hint="cs"/>
          <w:szCs w:val="20"/>
          <w:rtl/>
        </w:rPr>
        <w:t>(5)</w:t>
      </w:r>
      <w:r w:rsidRPr="00085FFA">
        <w:rPr>
          <w:rStyle w:val="default"/>
          <w:rFonts w:cs="David"/>
          <w:szCs w:val="20"/>
          <w:rtl/>
        </w:rPr>
        <w:tab/>
        <w:t>ה</w:t>
      </w:r>
      <w:r w:rsidRPr="00085FFA">
        <w:rPr>
          <w:rStyle w:val="default"/>
          <w:rFonts w:cs="David" w:hint="cs"/>
          <w:szCs w:val="20"/>
          <w:rtl/>
        </w:rPr>
        <w:t>לאום;</w:t>
      </w:r>
    </w:p>
    <w:p w:rsidR="005366A8" w:rsidRPr="00085FFA" w:rsidRDefault="005366A8" w:rsidP="005366A8">
      <w:pPr>
        <w:pStyle w:val="P22"/>
        <w:spacing w:before="72"/>
        <w:ind w:left="1741" w:right="1134"/>
        <w:rPr>
          <w:rStyle w:val="default"/>
          <w:rFonts w:cs="David"/>
          <w:szCs w:val="20"/>
          <w:rtl/>
        </w:rPr>
      </w:pPr>
      <w:r w:rsidRPr="00085FFA">
        <w:rPr>
          <w:rStyle w:val="default"/>
          <w:rFonts w:cs="David" w:hint="cs"/>
          <w:szCs w:val="20"/>
          <w:rtl/>
        </w:rPr>
        <w:t>(6)</w:t>
      </w:r>
      <w:r w:rsidRPr="00085FFA">
        <w:rPr>
          <w:rStyle w:val="default"/>
          <w:rFonts w:cs="David"/>
          <w:szCs w:val="20"/>
          <w:rtl/>
        </w:rPr>
        <w:tab/>
        <w:t>ה</w:t>
      </w:r>
      <w:r w:rsidRPr="00085FFA">
        <w:rPr>
          <w:rStyle w:val="default"/>
          <w:rFonts w:cs="David" w:hint="cs"/>
          <w:szCs w:val="20"/>
          <w:rtl/>
        </w:rPr>
        <w:t>דת;</w:t>
      </w:r>
    </w:p>
    <w:p w:rsidR="005366A8" w:rsidRPr="00085FFA" w:rsidRDefault="005366A8" w:rsidP="005366A8">
      <w:pPr>
        <w:pStyle w:val="P22"/>
        <w:spacing w:before="72"/>
        <w:ind w:left="1741" w:right="1134"/>
        <w:rPr>
          <w:rStyle w:val="default"/>
          <w:rFonts w:cs="David"/>
          <w:szCs w:val="20"/>
          <w:rtl/>
        </w:rPr>
      </w:pPr>
      <w:r w:rsidRPr="00085FFA">
        <w:rPr>
          <w:rStyle w:val="default"/>
          <w:rFonts w:cs="David" w:hint="cs"/>
          <w:szCs w:val="20"/>
          <w:rtl/>
        </w:rPr>
        <w:t>(7)</w:t>
      </w:r>
      <w:r w:rsidRPr="00085FFA">
        <w:rPr>
          <w:rStyle w:val="default"/>
          <w:rFonts w:cs="David"/>
          <w:szCs w:val="20"/>
          <w:rtl/>
        </w:rPr>
        <w:tab/>
        <w:t>ה</w:t>
      </w:r>
      <w:r w:rsidRPr="00085FFA">
        <w:rPr>
          <w:rStyle w:val="default"/>
          <w:rFonts w:cs="David" w:hint="cs"/>
          <w:szCs w:val="20"/>
          <w:rtl/>
        </w:rPr>
        <w:t>מצב האישי:</w:t>
      </w:r>
      <w:r w:rsidRPr="00085FFA">
        <w:rPr>
          <w:rStyle w:val="default"/>
          <w:rFonts w:cs="David"/>
          <w:szCs w:val="20"/>
          <w:rtl/>
        </w:rPr>
        <w:t xml:space="preserve"> (ר</w:t>
      </w:r>
      <w:r w:rsidRPr="00085FFA">
        <w:rPr>
          <w:rStyle w:val="default"/>
          <w:rFonts w:cs="David" w:hint="cs"/>
          <w:szCs w:val="20"/>
          <w:rtl/>
        </w:rPr>
        <w:t>ווק, נשוי, גרוש או אלמן);</w:t>
      </w:r>
    </w:p>
    <w:p w:rsidR="005366A8" w:rsidRPr="00085FFA" w:rsidRDefault="005366A8" w:rsidP="005366A8">
      <w:pPr>
        <w:pStyle w:val="P22"/>
        <w:spacing w:before="72"/>
        <w:ind w:left="1741" w:right="1134"/>
        <w:rPr>
          <w:rStyle w:val="default"/>
          <w:rFonts w:cs="David"/>
          <w:szCs w:val="20"/>
          <w:rtl/>
        </w:rPr>
      </w:pPr>
      <w:r w:rsidRPr="00085FFA">
        <w:rPr>
          <w:rStyle w:val="default"/>
          <w:rFonts w:cs="David" w:hint="cs"/>
          <w:szCs w:val="20"/>
          <w:rtl/>
        </w:rPr>
        <w:t>(8)</w:t>
      </w:r>
      <w:r w:rsidRPr="00085FFA">
        <w:rPr>
          <w:rStyle w:val="default"/>
          <w:rFonts w:cs="David"/>
          <w:szCs w:val="20"/>
          <w:rtl/>
        </w:rPr>
        <w:tab/>
        <w:t>ש</w:t>
      </w:r>
      <w:r w:rsidRPr="00085FFA">
        <w:rPr>
          <w:rStyle w:val="default"/>
          <w:rFonts w:cs="David" w:hint="cs"/>
          <w:szCs w:val="20"/>
          <w:rtl/>
        </w:rPr>
        <w:t>ם בן-הזוג;</w:t>
      </w:r>
    </w:p>
    <w:p w:rsidR="005366A8" w:rsidRPr="00085FFA" w:rsidRDefault="005366A8" w:rsidP="005366A8">
      <w:pPr>
        <w:pStyle w:val="P22"/>
        <w:spacing w:before="72"/>
        <w:ind w:left="1741" w:right="1134"/>
        <w:rPr>
          <w:rStyle w:val="default"/>
          <w:rFonts w:cs="David"/>
          <w:szCs w:val="20"/>
          <w:rtl/>
        </w:rPr>
      </w:pPr>
      <w:r w:rsidRPr="00085FFA">
        <w:rPr>
          <w:rStyle w:val="default"/>
          <w:rFonts w:cs="David" w:hint="cs"/>
          <w:szCs w:val="20"/>
          <w:rtl/>
        </w:rPr>
        <w:t>(9)</w:t>
      </w:r>
      <w:r w:rsidRPr="00085FFA">
        <w:rPr>
          <w:rStyle w:val="default"/>
          <w:rFonts w:cs="David"/>
          <w:szCs w:val="20"/>
          <w:rtl/>
        </w:rPr>
        <w:tab/>
        <w:t>ש</w:t>
      </w:r>
      <w:r w:rsidRPr="00085FFA">
        <w:rPr>
          <w:rStyle w:val="default"/>
          <w:rFonts w:cs="David" w:hint="cs"/>
          <w:szCs w:val="20"/>
          <w:rtl/>
        </w:rPr>
        <w:t>מות הילדים, תאריכי לידתם ומינם;</w:t>
      </w:r>
    </w:p>
    <w:p w:rsidR="005366A8" w:rsidRPr="00085FFA" w:rsidRDefault="005366A8" w:rsidP="005366A8">
      <w:pPr>
        <w:pStyle w:val="P22"/>
        <w:spacing w:before="72"/>
        <w:ind w:left="1741" w:right="1134"/>
        <w:rPr>
          <w:rStyle w:val="default"/>
          <w:rFonts w:cs="David"/>
          <w:szCs w:val="20"/>
          <w:rtl/>
        </w:rPr>
      </w:pPr>
      <w:r w:rsidRPr="00085FFA">
        <w:rPr>
          <w:rStyle w:val="default"/>
          <w:rFonts w:cs="David" w:hint="cs"/>
          <w:szCs w:val="20"/>
          <w:rtl/>
        </w:rPr>
        <w:t>(10)</w:t>
      </w:r>
      <w:r w:rsidRPr="00085FFA">
        <w:rPr>
          <w:rStyle w:val="default"/>
          <w:rFonts w:cs="David"/>
          <w:szCs w:val="20"/>
          <w:rtl/>
        </w:rPr>
        <w:tab/>
        <w:t>א</w:t>
      </w:r>
      <w:r w:rsidRPr="00085FFA">
        <w:rPr>
          <w:rStyle w:val="default"/>
          <w:rFonts w:cs="David" w:hint="cs"/>
          <w:szCs w:val="20"/>
          <w:rtl/>
        </w:rPr>
        <w:t>זרחות או אזרחויות, של עכשיו ושקדמו;</w:t>
      </w:r>
    </w:p>
    <w:p w:rsidR="005366A8" w:rsidRPr="00085FFA" w:rsidRDefault="005366A8" w:rsidP="005366A8">
      <w:pPr>
        <w:pStyle w:val="P22"/>
        <w:spacing w:before="72"/>
        <w:ind w:left="1741" w:right="1134"/>
        <w:rPr>
          <w:rStyle w:val="default"/>
          <w:rFonts w:cs="David"/>
          <w:szCs w:val="20"/>
          <w:rtl/>
        </w:rPr>
      </w:pPr>
      <w:r w:rsidRPr="00085FFA">
        <w:rPr>
          <w:rStyle w:val="default"/>
          <w:rFonts w:cs="David" w:hint="cs"/>
          <w:szCs w:val="20"/>
          <w:rtl/>
        </w:rPr>
        <w:t>(11)</w:t>
      </w:r>
      <w:r w:rsidRPr="00085FFA">
        <w:rPr>
          <w:rStyle w:val="default"/>
          <w:rFonts w:cs="David"/>
          <w:szCs w:val="20"/>
          <w:rtl/>
        </w:rPr>
        <w:tab/>
        <w:t>ה</w:t>
      </w:r>
      <w:r w:rsidRPr="00085FFA">
        <w:rPr>
          <w:rStyle w:val="default"/>
          <w:rFonts w:cs="David" w:hint="cs"/>
          <w:szCs w:val="20"/>
          <w:rtl/>
        </w:rPr>
        <w:t>מען;</w:t>
      </w:r>
    </w:p>
    <w:p w:rsidR="005366A8" w:rsidRPr="00085FFA" w:rsidRDefault="005D7968" w:rsidP="005366A8">
      <w:pPr>
        <w:pStyle w:val="P22"/>
        <w:spacing w:before="72"/>
        <w:ind w:left="1741" w:right="1134"/>
        <w:rPr>
          <w:rStyle w:val="default"/>
          <w:rFonts w:cs="David"/>
          <w:szCs w:val="20"/>
          <w:rtl/>
        </w:rPr>
      </w:pPr>
      <w:r w:rsidRPr="005D7968">
        <w:rPr>
          <w:rFonts w:cs="David"/>
          <w:szCs w:val="20"/>
          <w:rtl/>
          <w:lang w:val="he-IL"/>
        </w:rPr>
        <w:pict>
          <v:shape id="_x0000_s1205" type="#_x0000_t202" style="position:absolute;left:0;text-align:left;margin-left:470.25pt;margin-top:7.1pt;width:1in;height:18.15pt;z-index:251846656" filled="f" stroked="f">
            <v:textbox inset="1mm,0,1mm,0">
              <w:txbxContent>
                <w:p w:rsidR="005366A8" w:rsidRPr="00085FFA" w:rsidRDefault="005366A8" w:rsidP="005366A8">
                  <w:pPr>
                    <w:rPr>
                      <w:sz w:val="18"/>
                      <w:rtl/>
                    </w:rPr>
                  </w:pPr>
                </w:p>
              </w:txbxContent>
            </v:textbox>
            <w10:anchorlock/>
          </v:shape>
        </w:pict>
      </w:r>
      <w:r w:rsidR="005366A8" w:rsidRPr="00085FFA">
        <w:rPr>
          <w:rStyle w:val="default"/>
          <w:rFonts w:cs="David" w:hint="cs"/>
          <w:szCs w:val="20"/>
          <w:rtl/>
        </w:rPr>
        <w:t>(11א) כתובת למשלוח דואר כמשמעותה בחוק עדכון כתובת, התשס"ה-2005, ככל שנמסרה על כך הודעה;</w:t>
      </w:r>
    </w:p>
    <w:p w:rsidR="005366A8" w:rsidRPr="00085FFA" w:rsidRDefault="005366A8" w:rsidP="005366A8">
      <w:pPr>
        <w:pStyle w:val="P22"/>
        <w:spacing w:before="72"/>
        <w:ind w:left="1741" w:right="1134"/>
        <w:rPr>
          <w:rStyle w:val="default"/>
          <w:rFonts w:cs="David"/>
          <w:szCs w:val="20"/>
          <w:rtl/>
        </w:rPr>
      </w:pPr>
      <w:r w:rsidRPr="00085FFA">
        <w:rPr>
          <w:rStyle w:val="default"/>
          <w:rFonts w:cs="David" w:hint="cs"/>
          <w:szCs w:val="20"/>
          <w:rtl/>
        </w:rPr>
        <w:t>(12)</w:t>
      </w:r>
      <w:r w:rsidRPr="00085FFA">
        <w:rPr>
          <w:rStyle w:val="default"/>
          <w:rFonts w:cs="David"/>
          <w:szCs w:val="20"/>
          <w:rtl/>
        </w:rPr>
        <w:tab/>
        <w:t>ת</w:t>
      </w:r>
      <w:r w:rsidRPr="00085FFA">
        <w:rPr>
          <w:rStyle w:val="default"/>
          <w:rFonts w:cs="David" w:hint="cs"/>
          <w:szCs w:val="20"/>
          <w:rtl/>
        </w:rPr>
        <w:t>אריך הכניסה לישראל;</w:t>
      </w:r>
    </w:p>
    <w:p w:rsidR="005366A8" w:rsidRPr="00085FFA" w:rsidRDefault="005366A8" w:rsidP="005366A8">
      <w:pPr>
        <w:pStyle w:val="P22"/>
        <w:spacing w:before="72"/>
        <w:ind w:left="1741" w:right="1134"/>
        <w:rPr>
          <w:rStyle w:val="default"/>
          <w:rFonts w:cs="David"/>
          <w:szCs w:val="20"/>
          <w:rtl/>
        </w:rPr>
      </w:pPr>
      <w:r w:rsidRPr="00085FFA">
        <w:rPr>
          <w:rStyle w:val="default"/>
          <w:rFonts w:cs="David" w:hint="cs"/>
          <w:szCs w:val="20"/>
          <w:rtl/>
        </w:rPr>
        <w:t>(13)</w:t>
      </w:r>
      <w:r w:rsidRPr="00085FFA">
        <w:rPr>
          <w:rStyle w:val="default"/>
          <w:rFonts w:cs="David"/>
          <w:szCs w:val="20"/>
          <w:rtl/>
        </w:rPr>
        <w:tab/>
        <w:t>ה</w:t>
      </w:r>
      <w:r w:rsidRPr="00085FFA">
        <w:rPr>
          <w:rStyle w:val="default"/>
          <w:rFonts w:cs="David" w:hint="cs"/>
          <w:szCs w:val="20"/>
          <w:rtl/>
        </w:rPr>
        <w:t>תאריך שבו נהיה לתושב כאמור בסעיף 1(א).</w:t>
      </w:r>
    </w:p>
    <w:p w:rsidR="005366A8" w:rsidRPr="00085FFA" w:rsidRDefault="005D7968" w:rsidP="005366A8">
      <w:pPr>
        <w:pStyle w:val="P00"/>
        <w:spacing w:before="72"/>
        <w:ind w:left="720" w:right="1134"/>
        <w:rPr>
          <w:rFonts w:cs="David"/>
          <w:szCs w:val="20"/>
          <w:rtl/>
        </w:rPr>
      </w:pPr>
      <w:r>
        <w:rPr>
          <w:rFonts w:cs="David"/>
          <w:szCs w:val="20"/>
          <w:rtl/>
          <w:lang w:eastAsia="en-US"/>
        </w:rPr>
        <w:pict>
          <v:shape id="_x0000_s1206" type="#_x0000_t202" style="position:absolute;left:0;text-align:left;margin-left:470.25pt;margin-top:7.1pt;width:1in;height:16.8pt;z-index:251847680" filled="f" stroked="f">
            <v:textbox inset="1mm,0,1mm,0">
              <w:txbxContent>
                <w:p w:rsidR="005366A8" w:rsidRPr="00085FFA" w:rsidRDefault="005366A8" w:rsidP="005366A8">
                  <w:pPr>
                    <w:rPr>
                      <w:sz w:val="18"/>
                      <w:rtl/>
                    </w:rPr>
                  </w:pPr>
                </w:p>
              </w:txbxContent>
            </v:textbox>
            <w10:anchorlock/>
          </v:shape>
        </w:pict>
      </w:r>
      <w:r w:rsidR="005366A8" w:rsidRPr="00085FFA">
        <w:rPr>
          <w:rStyle w:val="default"/>
          <w:rFonts w:cs="David" w:hint="cs"/>
          <w:szCs w:val="20"/>
          <w:rtl/>
        </w:rPr>
        <w:tab/>
      </w:r>
      <w:r w:rsidR="005366A8">
        <w:rPr>
          <w:rStyle w:val="default"/>
          <w:rFonts w:cs="David" w:hint="cs"/>
          <w:szCs w:val="20"/>
          <w:rtl/>
        </w:rPr>
        <w:t>...</w:t>
      </w:r>
    </w:p>
    <w:p w:rsidR="005366A8" w:rsidRDefault="005366A8" w:rsidP="005366A8">
      <w:pPr>
        <w:rPr>
          <w:sz w:val="20"/>
          <w:szCs w:val="20"/>
          <w:rtl/>
        </w:rPr>
      </w:pPr>
    </w:p>
    <w:p w:rsidR="005366A8" w:rsidRPr="00294C2A" w:rsidRDefault="005366A8" w:rsidP="005366A8">
      <w:pPr>
        <w:rPr>
          <w:rFonts w:cs="David"/>
          <w:sz w:val="20"/>
          <w:szCs w:val="20"/>
          <w:rtl/>
        </w:rPr>
      </w:pPr>
      <w:r w:rsidRPr="00294C2A">
        <w:rPr>
          <w:rFonts w:cs="David"/>
          <w:sz w:val="20"/>
          <w:szCs w:val="20"/>
          <w:rtl/>
        </w:rPr>
        <w:t xml:space="preserve">3א. </w:t>
      </w:r>
      <w:r w:rsidRPr="00294C2A">
        <w:rPr>
          <w:rFonts w:cs="David" w:hint="cs"/>
          <w:b/>
          <w:bCs/>
          <w:sz w:val="20"/>
          <w:szCs w:val="20"/>
          <w:rtl/>
        </w:rPr>
        <w:t>[</w:t>
      </w:r>
      <w:r w:rsidRPr="00294C2A">
        <w:rPr>
          <w:rFonts w:cs="David"/>
          <w:b/>
          <w:bCs/>
          <w:sz w:val="20"/>
          <w:szCs w:val="20"/>
          <w:rtl/>
        </w:rPr>
        <w:t>סמכות רישום והגדרה</w:t>
      </w:r>
      <w:r w:rsidRPr="00294C2A">
        <w:rPr>
          <w:rFonts w:cs="David" w:hint="cs"/>
          <w:b/>
          <w:bCs/>
          <w:sz w:val="20"/>
          <w:szCs w:val="20"/>
          <w:rtl/>
        </w:rPr>
        <w:t>]</w:t>
      </w:r>
      <w:r w:rsidRPr="00294C2A">
        <w:rPr>
          <w:rFonts w:cs="David"/>
          <w:sz w:val="20"/>
          <w:szCs w:val="20"/>
          <w:rtl/>
        </w:rPr>
        <w:t xml:space="preserve"> [תיקון: תש"ל] </w:t>
      </w:r>
    </w:p>
    <w:p w:rsidR="005366A8" w:rsidRPr="00294C2A" w:rsidRDefault="005366A8" w:rsidP="005366A8">
      <w:pPr>
        <w:spacing w:after="120"/>
        <w:ind w:left="720"/>
        <w:rPr>
          <w:rFonts w:cs="David"/>
          <w:sz w:val="20"/>
          <w:szCs w:val="20"/>
          <w:rtl/>
        </w:rPr>
      </w:pPr>
      <w:r w:rsidRPr="00294C2A">
        <w:rPr>
          <w:rFonts w:cs="David"/>
          <w:sz w:val="20"/>
          <w:szCs w:val="20"/>
          <w:rtl/>
        </w:rPr>
        <w:t xml:space="preserve">(א) לא יירשם אדם כיהודי לפי לאומו או דתו אם הודעה לפי חוק זה או רישום אחר שבמרשם או תעודה ציבורית מראים כי הוא אינו יהודי, כל עוד לא נסתרו ההודעה, הרישום או התעודה האמורים </w:t>
      </w:r>
      <w:r w:rsidRPr="00294C2A">
        <w:rPr>
          <w:rFonts w:cs="David"/>
          <w:sz w:val="20"/>
          <w:szCs w:val="20"/>
          <w:highlight w:val="yellow"/>
          <w:rtl/>
        </w:rPr>
        <w:t>לה</w:t>
      </w:r>
      <w:r w:rsidRPr="00294C2A">
        <w:rPr>
          <w:rFonts w:cs="David" w:hint="cs"/>
          <w:sz w:val="20"/>
          <w:szCs w:val="20"/>
          <w:highlight w:val="yellow"/>
          <w:rtl/>
        </w:rPr>
        <w:t>נ</w:t>
      </w:r>
      <w:r w:rsidRPr="00294C2A">
        <w:rPr>
          <w:rFonts w:cs="David"/>
          <w:sz w:val="20"/>
          <w:szCs w:val="20"/>
          <w:highlight w:val="yellow"/>
          <w:rtl/>
        </w:rPr>
        <w:t>חת דעתו</w:t>
      </w:r>
      <w:r w:rsidRPr="00294C2A">
        <w:rPr>
          <w:rFonts w:cs="David"/>
          <w:sz w:val="20"/>
          <w:szCs w:val="20"/>
          <w:rtl/>
        </w:rPr>
        <w:t xml:space="preserve"> של פקיד הרישום הראשי או כל עוד לא נקבע אחרת בפסק-דין הצהרתי של בית משפט או בית דין מוסמך.</w:t>
      </w:r>
      <w:r w:rsidRPr="00294C2A">
        <w:rPr>
          <w:rFonts w:cs="David" w:hint="cs"/>
          <w:sz w:val="20"/>
          <w:szCs w:val="20"/>
          <w:rtl/>
        </w:rPr>
        <w:t xml:space="preserve"> [...]</w:t>
      </w:r>
    </w:p>
    <w:p w:rsidR="005366A8" w:rsidRDefault="005366A8" w:rsidP="005366A8">
      <w:pPr>
        <w:spacing w:after="120"/>
        <w:rPr>
          <w:b/>
          <w:bCs/>
          <w:sz w:val="22"/>
          <w:szCs w:val="22"/>
          <w:rtl/>
        </w:rPr>
      </w:pPr>
      <w:r>
        <w:rPr>
          <w:rFonts w:hint="cs"/>
          <w:b/>
          <w:bCs/>
          <w:sz w:val="22"/>
          <w:szCs w:val="22"/>
          <w:rtl/>
        </w:rPr>
        <w:t>=-=</w:t>
      </w:r>
    </w:p>
    <w:p w:rsidR="005366A8" w:rsidRDefault="005366A8" w:rsidP="005366A8">
      <w:pPr>
        <w:spacing w:after="120"/>
        <w:rPr>
          <w:b/>
          <w:bCs/>
          <w:sz w:val="22"/>
          <w:szCs w:val="22"/>
          <w:rtl/>
        </w:rPr>
      </w:pPr>
      <w:r>
        <w:rPr>
          <w:rFonts w:hint="cs"/>
          <w:b/>
          <w:bCs/>
          <w:sz w:val="22"/>
          <w:szCs w:val="22"/>
          <w:rtl/>
        </w:rPr>
        <w:t>כלל חשוב אחר של המשפט המינהלי:</w:t>
      </w:r>
    </w:p>
    <w:p w:rsidR="005366A8" w:rsidRPr="000B08B8" w:rsidRDefault="005366A8" w:rsidP="005366A8">
      <w:pPr>
        <w:spacing w:after="240"/>
        <w:jc w:val="center"/>
        <w:rPr>
          <w:rFonts w:ascii="Arial" w:hAnsi="Arial" w:cs="Guttman-Soncino"/>
          <w:b/>
          <w:bCs/>
          <w:sz w:val="28"/>
          <w:szCs w:val="28"/>
          <w:rtl/>
        </w:rPr>
      </w:pPr>
      <w:r w:rsidRPr="000B507F">
        <w:rPr>
          <w:rFonts w:ascii="Arial" w:hAnsi="Arial" w:cs="Guttman-Soncino"/>
          <w:b/>
          <w:bCs/>
          <w:sz w:val="28"/>
          <w:szCs w:val="28"/>
          <w:highlight w:val="yellow"/>
          <w:rtl/>
        </w:rPr>
        <w:t>עצמאות הרשות המוסמכת</w:t>
      </w:r>
      <w:r w:rsidRPr="000B08B8">
        <w:rPr>
          <w:rFonts w:ascii="Arial" w:hAnsi="Arial" w:cs="Guttman-Soncino"/>
          <w:b/>
          <w:bCs/>
          <w:sz w:val="28"/>
          <w:szCs w:val="28"/>
          <w:rtl/>
        </w:rPr>
        <w:t xml:space="preserve"> </w:t>
      </w:r>
    </w:p>
    <w:p w:rsidR="005366A8" w:rsidRDefault="005366A8" w:rsidP="005366A8">
      <w:pPr>
        <w:pStyle w:val="BodyText"/>
        <w:ind w:right="720"/>
        <w:rPr>
          <w:rFonts w:cs="Times New Roman"/>
          <w:sz w:val="22"/>
          <w:szCs w:val="22"/>
          <w:rtl/>
        </w:rPr>
      </w:pPr>
      <w:r w:rsidRPr="00F17DA3">
        <w:rPr>
          <w:rFonts w:cs="Times New Roman"/>
          <w:sz w:val="22"/>
          <w:szCs w:val="22"/>
          <w:highlight w:val="yellow"/>
          <w:rtl/>
        </w:rPr>
        <w:t xml:space="preserve">הלכת </w:t>
      </w:r>
      <w:r w:rsidRPr="00F17DA3">
        <w:rPr>
          <w:rFonts w:cs="Times New Roman"/>
          <w:b/>
          <w:bCs/>
          <w:sz w:val="22"/>
          <w:szCs w:val="22"/>
          <w:highlight w:val="yellow"/>
          <w:rtl/>
        </w:rPr>
        <w:t>מיכלין:</w:t>
      </w:r>
      <w:r w:rsidRPr="00B425B7">
        <w:rPr>
          <w:rFonts w:cs="Times New Roman"/>
          <w:b/>
          <w:bCs/>
          <w:sz w:val="22"/>
          <w:szCs w:val="22"/>
          <w:rtl/>
        </w:rPr>
        <w:t xml:space="preserve"> </w:t>
      </w:r>
      <w:r w:rsidRPr="00C209BA">
        <w:rPr>
          <w:rFonts w:cs="Times New Roman"/>
          <w:sz w:val="22"/>
          <w:szCs w:val="22"/>
          <w:rtl/>
        </w:rPr>
        <w:t xml:space="preserve">בג"ץ 70/50 </w:t>
      </w:r>
      <w:r w:rsidRPr="00C209BA">
        <w:rPr>
          <w:rFonts w:cs="Times New Roman"/>
          <w:b/>
          <w:bCs/>
          <w:sz w:val="22"/>
          <w:szCs w:val="22"/>
          <w:rtl/>
        </w:rPr>
        <w:t>מיכלין נ' שר הבריאות</w:t>
      </w:r>
      <w:r w:rsidRPr="00C209BA">
        <w:rPr>
          <w:rFonts w:cs="Times New Roman"/>
          <w:sz w:val="22"/>
          <w:szCs w:val="22"/>
          <w:rtl/>
        </w:rPr>
        <w:t>, פ"ד ד 319, 323</w:t>
      </w:r>
    </w:p>
    <w:p w:rsidR="005366A8" w:rsidRPr="00B425B7" w:rsidRDefault="005366A8" w:rsidP="005366A8">
      <w:pPr>
        <w:pStyle w:val="BodyText"/>
        <w:ind w:right="720"/>
        <w:rPr>
          <w:rFonts w:cs="Times New Roman"/>
          <w:sz w:val="22"/>
          <w:szCs w:val="22"/>
        </w:rPr>
      </w:pPr>
      <w:r w:rsidRPr="00B425B7">
        <w:rPr>
          <w:rFonts w:cs="Times New Roman"/>
          <w:sz w:val="22"/>
          <w:szCs w:val="22"/>
          <w:rtl/>
        </w:rPr>
        <w:t xml:space="preserve">הלכת העצמאות של רשות מוסמכת. </w:t>
      </w:r>
      <w:r w:rsidRPr="00B425B7">
        <w:rPr>
          <w:rFonts w:cs="Times New Roman"/>
          <w:b/>
          <w:bCs/>
          <w:sz w:val="22"/>
          <w:szCs w:val="22"/>
          <w:rtl/>
        </w:rPr>
        <w:t>בעל הסמכות חייב לקבל את החלטותיו המנהליות באופן עצמאי.</w:t>
      </w:r>
      <w:r w:rsidRPr="00B425B7">
        <w:rPr>
          <w:rFonts w:cs="Times New Roman"/>
          <w:sz w:val="22"/>
          <w:szCs w:val="22"/>
          <w:rtl/>
        </w:rPr>
        <w:t xml:space="preserve"> </w:t>
      </w:r>
    </w:p>
    <w:p w:rsidR="005366A8" w:rsidRPr="00B425B7" w:rsidRDefault="005366A8" w:rsidP="005366A8">
      <w:pPr>
        <w:pStyle w:val="BodyText"/>
        <w:ind w:left="720"/>
        <w:rPr>
          <w:rFonts w:cs="FrankRuehl"/>
          <w:sz w:val="22"/>
          <w:szCs w:val="22"/>
          <w:highlight w:val="yellow"/>
          <w:rtl/>
        </w:rPr>
      </w:pPr>
      <w:r w:rsidRPr="00B425B7">
        <w:rPr>
          <w:rFonts w:cs="FrankRuehl"/>
          <w:sz w:val="22"/>
          <w:szCs w:val="22"/>
          <w:highlight w:val="yellow"/>
          <w:rtl/>
        </w:rPr>
        <w:t>אם חוק מעניק כוח ידוע למוסד או לרשות מיוחדת ומוסר לו את הסמכות להשתמש בכוח זה לפי שיקול דעתו, הרי על המוסד ... לפעול בהתאם לזה ו[הוא] ... אינו מחוייב להישמע להוראותיו של מישהו אחר, כי הרי החוק מוסר לו – ולא לאחרים – את הכוח לפעול לפי שיקול הדעת.</w:t>
      </w:r>
    </w:p>
    <w:p w:rsidR="005366A8" w:rsidRPr="00B425B7" w:rsidRDefault="005366A8" w:rsidP="005366A8">
      <w:pPr>
        <w:ind w:left="1440"/>
        <w:rPr>
          <w:sz w:val="22"/>
          <w:szCs w:val="22"/>
          <w:rtl/>
        </w:rPr>
      </w:pPr>
    </w:p>
    <w:p w:rsidR="005366A8" w:rsidRPr="00740042" w:rsidRDefault="005366A8" w:rsidP="005366A8">
      <w:pPr>
        <w:pStyle w:val="BodyText3"/>
        <w:rPr>
          <w:sz w:val="20"/>
          <w:szCs w:val="20"/>
        </w:rPr>
      </w:pPr>
      <w:r w:rsidRPr="00740042">
        <w:rPr>
          <w:sz w:val="20"/>
          <w:szCs w:val="20"/>
          <w:rtl/>
        </w:rPr>
        <w:t>הלכת מיכלין, בוקרה על-ידי מלומדים. הטעמים לביקורת נובעים, ברובם, מרציונל</w:t>
      </w:r>
      <w:r w:rsidRPr="00740042">
        <w:rPr>
          <w:sz w:val="20"/>
          <w:szCs w:val="20"/>
        </w:rPr>
        <w:t xml:space="preserve"> </w:t>
      </w:r>
      <w:r w:rsidRPr="00740042">
        <w:rPr>
          <w:sz w:val="20"/>
          <w:szCs w:val="20"/>
          <w:rtl/>
        </w:rPr>
        <w:t xml:space="preserve">היררכי ורציונל דמוקרטי. בשל ביקורת זו, וטעמיה בצידה, צמצם בית המשפט – במידה רבה מאד – את הלכת </w:t>
      </w:r>
      <w:r w:rsidRPr="00740042">
        <w:rPr>
          <w:b/>
          <w:bCs/>
          <w:sz w:val="20"/>
          <w:szCs w:val="20"/>
          <w:rtl/>
        </w:rPr>
        <w:t>מיכלין</w:t>
      </w:r>
      <w:r w:rsidRPr="00740042">
        <w:rPr>
          <w:sz w:val="20"/>
          <w:szCs w:val="20"/>
          <w:rtl/>
        </w:rPr>
        <w:t xml:space="preserve"> דלעיל. בין השאר, </w:t>
      </w:r>
      <w:r w:rsidRPr="00740042">
        <w:rPr>
          <w:sz w:val="20"/>
          <w:szCs w:val="20"/>
          <w:highlight w:val="yellow"/>
          <w:rtl/>
        </w:rPr>
        <w:t>הוא קבע חזקה, שקשה מעשית לסתור אותה, לפיה הרשות המוסמכת, גם אם נהגה כעצת הממונים עליה, עשתה כן על יסוד שיקול דעת עצמאי</w:t>
      </w:r>
      <w:r w:rsidRPr="00740042">
        <w:rPr>
          <w:sz w:val="20"/>
          <w:szCs w:val="20"/>
          <w:rtl/>
        </w:rPr>
        <w:t xml:space="preserve">. </w:t>
      </w:r>
    </w:p>
    <w:p w:rsidR="005366A8" w:rsidRPr="00740042" w:rsidRDefault="005366A8" w:rsidP="005366A8">
      <w:pPr>
        <w:pStyle w:val="BodyText"/>
        <w:spacing w:after="120"/>
        <w:rPr>
          <w:rFonts w:cs="Times New Roman"/>
          <w:sz w:val="20"/>
          <w:szCs w:val="20"/>
        </w:rPr>
      </w:pPr>
      <w:r w:rsidRPr="00740042">
        <w:rPr>
          <w:rFonts w:cs="Times New Roman"/>
          <w:sz w:val="20"/>
          <w:szCs w:val="20"/>
          <w:highlight w:val="yellow"/>
          <w:rtl/>
        </w:rPr>
        <w:t>אלא שיש מספר קטן של מקרים חריגים, בהם עצמאותה של הרשות המוסמכת אינה נסוגה מפני הרציונלים הבירוקרטים-היררכים, שכן מתבלטים רציונלים אחרים</w:t>
      </w:r>
      <w:r w:rsidRPr="00740042">
        <w:rPr>
          <w:rFonts w:cs="Times New Roman"/>
          <w:sz w:val="20"/>
          <w:szCs w:val="20"/>
          <w:rtl/>
        </w:rPr>
        <w:t>. עמד על כך הפרופ' זמיר, בתארו את "ההלכה הראויה" בדבר (אי) עצמאותה של רשות מוסמכת בפני הגורמים הממונים עליה:</w:t>
      </w:r>
    </w:p>
    <w:p w:rsidR="005366A8" w:rsidRPr="00740042" w:rsidRDefault="005366A8" w:rsidP="005366A8">
      <w:pPr>
        <w:pStyle w:val="BodyText"/>
        <w:ind w:left="720"/>
        <w:rPr>
          <w:rFonts w:cs="Times New Roman"/>
          <w:sz w:val="20"/>
          <w:szCs w:val="20"/>
          <w:rtl/>
        </w:rPr>
      </w:pPr>
      <w:r w:rsidRPr="00740042">
        <w:rPr>
          <w:rFonts w:cs="Times New Roman"/>
          <w:b/>
          <w:bCs/>
          <w:sz w:val="20"/>
          <w:szCs w:val="20"/>
          <w:rtl/>
        </w:rPr>
        <w:t>ההלכה [הראויה] תקבע כי הרשות המוסמכת רשאית להפעיל את הסמכות על-פי הוראות הממונה</w:t>
      </w:r>
      <w:r w:rsidRPr="00740042">
        <w:rPr>
          <w:rFonts w:cs="Times New Roman"/>
          <w:sz w:val="20"/>
          <w:szCs w:val="20"/>
          <w:rtl/>
        </w:rPr>
        <w:t xml:space="preserve"> ... עם זאת, צריך לסייג את ההלכה ... </w:t>
      </w:r>
      <w:r w:rsidRPr="00740042">
        <w:rPr>
          <w:rFonts w:cs="Times New Roman"/>
          <w:b/>
          <w:bCs/>
          <w:sz w:val="20"/>
          <w:szCs w:val="20"/>
          <w:rtl/>
        </w:rPr>
        <w:t>יש מקרים חריגים בהם קיימת הצדקה עניינית לחייב את הרשות המוסמכת להפעיל את שיקול דעתה באופן עצמאי ולאסור עליה לפעול על-פי הוראות הממונה</w:t>
      </w:r>
      <w:r w:rsidRPr="00740042">
        <w:rPr>
          <w:rFonts w:cs="Times New Roman"/>
          <w:sz w:val="20"/>
          <w:szCs w:val="20"/>
          <w:rtl/>
        </w:rPr>
        <w:t xml:space="preserve">. </w:t>
      </w:r>
      <w:r w:rsidRPr="00740042">
        <w:rPr>
          <w:rFonts w:cs="Times New Roman"/>
          <w:b/>
          <w:bCs/>
          <w:sz w:val="20"/>
          <w:szCs w:val="20"/>
          <w:rtl/>
        </w:rPr>
        <w:t>אפשר שהחובה להפעיל את הסמכות באופן עצמאי תהיה קבועה במפורש בחוק המסמיך</w:t>
      </w:r>
      <w:r w:rsidRPr="00740042">
        <w:rPr>
          <w:rFonts w:cs="Times New Roman"/>
          <w:sz w:val="20"/>
          <w:szCs w:val="20"/>
          <w:rtl/>
        </w:rPr>
        <w:t xml:space="preserve">. לדוגמה חוק הפטנטים, התשכ"ז-1967, קובע (בסעיף 157(ג)) </w:t>
      </w:r>
      <w:r w:rsidRPr="00740042">
        <w:rPr>
          <w:rFonts w:cs="Times New Roman"/>
          <w:sz w:val="20"/>
          <w:szCs w:val="20"/>
          <w:highlight w:val="yellow"/>
          <w:rtl/>
        </w:rPr>
        <w:t>כי "במילוי תפקידיו השיפוטיים לפי חוק זה לא יהא הרשם נתון לכל מרות זולת מרות החוק."</w:t>
      </w:r>
      <w:r w:rsidRPr="00740042">
        <w:rPr>
          <w:rFonts w:cs="Times New Roman"/>
          <w:sz w:val="20"/>
          <w:szCs w:val="20"/>
          <w:rtl/>
        </w:rPr>
        <w:t xml:space="preserve"> אך הוראות מעין אלה נדירות. </w:t>
      </w:r>
      <w:r w:rsidRPr="00740042">
        <w:rPr>
          <w:rFonts w:cs="Times New Roman"/>
          <w:b/>
          <w:bCs/>
          <w:sz w:val="20"/>
          <w:szCs w:val="20"/>
          <w:rtl/>
        </w:rPr>
        <w:t>ראוי שההלכה תקבע חריגים נוספים לפי מהות הסמכות</w:t>
      </w:r>
      <w:r w:rsidRPr="00740042">
        <w:rPr>
          <w:rFonts w:cs="Times New Roman"/>
          <w:sz w:val="20"/>
          <w:szCs w:val="20"/>
          <w:rtl/>
        </w:rPr>
        <w:t xml:space="preserve"> ... [למשל] סמכות שהחוק מעניק לאדם שאינו עובד ציבור, כדי שיתן ביטוי להשקפה או לאינטרס של גורם חיצוני, כמו נציגי הציבור במועצה לביקורת סרטים ומחזות</w:t>
      </w:r>
      <w:r w:rsidRPr="00740042">
        <w:rPr>
          <w:rFonts w:cs="Times New Roman" w:hint="cs"/>
          <w:sz w:val="20"/>
          <w:szCs w:val="20"/>
          <w:rtl/>
        </w:rPr>
        <w:t xml:space="preserve"> </w:t>
      </w:r>
      <w:r w:rsidRPr="000B507F">
        <w:rPr>
          <w:rFonts w:ascii="Arial" w:hAnsi="Arial" w:cs="Arial"/>
          <w:rtl/>
        </w:rPr>
        <w:t>[היום זו רק המועצה לביקורת סרטים; הסמכות לביקורת מוקדמת של מחזות חלפה מן העולם]</w:t>
      </w:r>
      <w:r w:rsidRPr="00740042">
        <w:rPr>
          <w:rFonts w:ascii="Arial" w:hAnsi="Arial" w:cs="Arial"/>
          <w:sz w:val="20"/>
          <w:szCs w:val="20"/>
          <w:rtl/>
        </w:rPr>
        <w:t>.</w:t>
      </w:r>
      <w:r w:rsidRPr="00740042">
        <w:rPr>
          <w:rFonts w:cs="Times New Roman"/>
          <w:sz w:val="20"/>
          <w:szCs w:val="20"/>
          <w:rtl/>
        </w:rPr>
        <w:t xml:space="preserve"> ואין זו רשימה ממצה של חריגים לעיקרון ההיררכי. נראה כי </w:t>
      </w:r>
      <w:r w:rsidRPr="00740042">
        <w:rPr>
          <w:rFonts w:cs="Times New Roman"/>
          <w:b/>
          <w:bCs/>
          <w:sz w:val="20"/>
          <w:szCs w:val="20"/>
          <w:rtl/>
        </w:rPr>
        <w:t>בנסיבות מסויימות ניתן להוסיף לרשימת החריגים גם מקרה בו החוק העניק סמכות לרשות מסויימת בשל מומחיות מיוחדת של אותה רשות, כגון שהחוק הסמיך רופא בעניין רפואי, והממונה על אותה רשות אינו מומחה אלא איש מינהל</w:t>
      </w:r>
      <w:r w:rsidRPr="00740042">
        <w:rPr>
          <w:rFonts w:cs="Times New Roman"/>
          <w:sz w:val="20"/>
          <w:szCs w:val="20"/>
          <w:rtl/>
        </w:rPr>
        <w:t xml:space="preserve">. {זמיר, כרך ב </w:t>
      </w:r>
      <w:r w:rsidRPr="00740042">
        <w:rPr>
          <w:rFonts w:cs="Times New Roman" w:hint="cs"/>
          <w:sz w:val="20"/>
          <w:szCs w:val="20"/>
          <w:rtl/>
        </w:rPr>
        <w:t xml:space="preserve">(מהדורה ראשונה) </w:t>
      </w:r>
      <w:r w:rsidRPr="00740042">
        <w:rPr>
          <w:rFonts w:cs="Times New Roman"/>
          <w:sz w:val="20"/>
          <w:szCs w:val="20"/>
          <w:rtl/>
        </w:rPr>
        <w:t>בעמ' 619-620.}</w:t>
      </w:r>
    </w:p>
    <w:p w:rsidR="005366A8" w:rsidRPr="00A90A9B" w:rsidRDefault="005366A8" w:rsidP="005366A8">
      <w:pPr>
        <w:pStyle w:val="BodyText"/>
        <w:ind w:left="32"/>
        <w:rPr>
          <w:sz w:val="20"/>
          <w:szCs w:val="20"/>
          <w:rtl/>
        </w:rPr>
      </w:pPr>
      <w:r w:rsidRPr="00A90A9B">
        <w:rPr>
          <w:rFonts w:hint="cs"/>
          <w:sz w:val="20"/>
          <w:szCs w:val="20"/>
          <w:rtl/>
        </w:rPr>
        <w:t>=-=</w:t>
      </w:r>
    </w:p>
    <w:p w:rsidR="005366A8" w:rsidRDefault="005366A8" w:rsidP="005366A8">
      <w:pPr>
        <w:pStyle w:val="BodyText"/>
        <w:ind w:left="32"/>
        <w:rPr>
          <w:rFonts w:cs="Times New Roman"/>
          <w:sz w:val="20"/>
          <w:szCs w:val="20"/>
          <w:rtl/>
        </w:rPr>
      </w:pPr>
      <w:r w:rsidRPr="00B425B7">
        <w:rPr>
          <w:rFonts w:cs="Times New Roman"/>
          <w:sz w:val="20"/>
          <w:szCs w:val="20"/>
          <w:rtl/>
        </w:rPr>
        <w:t>ראו למשל, את סעיף 4 לחוק המוזיאונים, התשמ"ג-1983 קובע, כי הנהלת המוזיאון הינה "</w:t>
      </w:r>
      <w:r w:rsidRPr="00B425B7">
        <w:rPr>
          <w:rFonts w:cs="Times New Roman"/>
          <w:b/>
          <w:bCs/>
          <w:sz w:val="20"/>
          <w:szCs w:val="20"/>
          <w:rtl/>
        </w:rPr>
        <w:t>בת חורין לכלכל כטוב בעיניה את ענייני המוזיאון</w:t>
      </w:r>
      <w:r w:rsidRPr="00B425B7">
        <w:rPr>
          <w:rFonts w:cs="Times New Roman"/>
          <w:sz w:val="20"/>
          <w:szCs w:val="20"/>
          <w:rtl/>
        </w:rPr>
        <w:t xml:space="preserve"> במסגרת תקנונו ותקציבו, ובכפוף להוראות חוק זה והתקנות לפיו". </w:t>
      </w:r>
    </w:p>
    <w:p w:rsidR="005366A8" w:rsidRPr="00B425B7" w:rsidRDefault="005366A8" w:rsidP="005366A8">
      <w:pPr>
        <w:pStyle w:val="BodyText"/>
        <w:ind w:left="720"/>
        <w:rPr>
          <w:rFonts w:cs="Times New Roman"/>
          <w:sz w:val="20"/>
          <w:szCs w:val="20"/>
        </w:rPr>
      </w:pPr>
      <w:r w:rsidRPr="00B425B7">
        <w:rPr>
          <w:rFonts w:cs="Times New Roman"/>
          <w:sz w:val="20"/>
          <w:szCs w:val="20"/>
          <w:rtl/>
        </w:rPr>
        <w:t>מה יקרה אם ראש עיר ירצה להתערב בענייניו של המוזיאון העירוני?</w:t>
      </w:r>
    </w:p>
    <w:p w:rsidR="005366A8" w:rsidRDefault="005366A8" w:rsidP="005366A8">
      <w:pPr>
        <w:pStyle w:val="BodyText"/>
        <w:ind w:left="32"/>
        <w:rPr>
          <w:rFonts w:ascii="Arial" w:hAnsi="Arial" w:cs="Arial"/>
          <w:b/>
          <w:bCs/>
          <w:sz w:val="20"/>
          <w:szCs w:val="20"/>
          <w:rtl/>
        </w:rPr>
      </w:pPr>
      <w:r>
        <w:rPr>
          <w:rFonts w:ascii="Arial" w:hAnsi="Arial" w:cs="Arial" w:hint="cs"/>
          <w:b/>
          <w:bCs/>
          <w:sz w:val="20"/>
          <w:szCs w:val="20"/>
          <w:rtl/>
        </w:rPr>
        <w:t>=-=</w:t>
      </w:r>
    </w:p>
    <w:p w:rsidR="005366A8" w:rsidRPr="00B425B7" w:rsidRDefault="005366A8" w:rsidP="005366A8">
      <w:pPr>
        <w:pStyle w:val="BodyText"/>
        <w:ind w:left="32"/>
        <w:rPr>
          <w:rFonts w:cs="Times New Roman"/>
          <w:sz w:val="20"/>
          <w:szCs w:val="20"/>
          <w:rtl/>
        </w:rPr>
      </w:pPr>
      <w:r w:rsidRPr="00B425B7">
        <w:rPr>
          <w:rFonts w:cs="Times New Roman"/>
          <w:b/>
          <w:bCs/>
          <w:sz w:val="20"/>
          <w:szCs w:val="20"/>
          <w:rtl/>
        </w:rPr>
        <w:t>עצמאות שיקול הדעת</w:t>
      </w:r>
      <w:r>
        <w:rPr>
          <w:rFonts w:cs="Times New Roman" w:hint="cs"/>
          <w:b/>
          <w:bCs/>
          <w:sz w:val="20"/>
          <w:szCs w:val="20"/>
          <w:rtl/>
        </w:rPr>
        <w:t>:</w:t>
      </w:r>
      <w:r>
        <w:rPr>
          <w:rFonts w:cs="Times New Roman"/>
          <w:sz w:val="20"/>
          <w:szCs w:val="20"/>
          <w:rtl/>
        </w:rPr>
        <w:t xml:space="preserve"> </w:t>
      </w:r>
      <w:r w:rsidRPr="00B425B7">
        <w:rPr>
          <w:rFonts w:cs="Times New Roman"/>
          <w:sz w:val="20"/>
          <w:szCs w:val="20"/>
          <w:highlight w:val="yellow"/>
          <w:rtl/>
        </w:rPr>
        <w:t>השוו את שני המקרים שלהלן. האם העמדה שבכל אחד מהם מתיישבת עם רעותה? האם ניתן לתת לכך הסבר?</w:t>
      </w:r>
    </w:p>
    <w:p w:rsidR="005366A8" w:rsidRPr="00E940C4" w:rsidRDefault="005366A8" w:rsidP="005366A8">
      <w:pPr>
        <w:pStyle w:val="BodyText"/>
        <w:ind w:left="32"/>
        <w:rPr>
          <w:sz w:val="20"/>
          <w:szCs w:val="20"/>
          <w:rtl/>
        </w:rPr>
      </w:pPr>
    </w:p>
    <w:p w:rsidR="005366A8" w:rsidRPr="00B425B7" w:rsidRDefault="005366A8" w:rsidP="005366A8">
      <w:pPr>
        <w:spacing w:after="120"/>
        <w:ind w:left="720"/>
        <w:rPr>
          <w:sz w:val="22"/>
          <w:szCs w:val="22"/>
          <w:rtl/>
        </w:rPr>
      </w:pPr>
      <w:r w:rsidRPr="00B425B7">
        <w:rPr>
          <w:sz w:val="22"/>
          <w:szCs w:val="22"/>
          <w:highlight w:val="yellow"/>
          <w:rtl/>
        </w:rPr>
        <w:t xml:space="preserve">בג"צ 803 ,678/88 - </w:t>
      </w:r>
      <w:r w:rsidRPr="00B425B7">
        <w:rPr>
          <w:b/>
          <w:bCs/>
          <w:sz w:val="22"/>
          <w:szCs w:val="22"/>
          <w:highlight w:val="yellow"/>
          <w:rtl/>
        </w:rPr>
        <w:t>כפר ורדים ואח' נ' שר האוצר</w:t>
      </w:r>
      <w:r w:rsidRPr="00B425B7">
        <w:rPr>
          <w:sz w:val="22"/>
          <w:szCs w:val="22"/>
          <w:highlight w:val="yellow"/>
          <w:rtl/>
        </w:rPr>
        <w:t xml:space="preserve"> ו-4 אח' . פ"ד מג(2), 501 ,עמ' 506-507.</w:t>
      </w:r>
    </w:p>
    <w:p w:rsidR="005366A8" w:rsidRPr="00B425B7" w:rsidRDefault="005366A8" w:rsidP="005366A8">
      <w:pPr>
        <w:rPr>
          <w:rFonts w:cs="FrankRuehl"/>
          <w:sz w:val="22"/>
          <w:szCs w:val="22"/>
          <w:rtl/>
        </w:rPr>
      </w:pPr>
      <w:r w:rsidRPr="00B425B7">
        <w:rPr>
          <w:rFonts w:cs="FrankRuehl"/>
          <w:sz w:val="22"/>
          <w:szCs w:val="22"/>
          <w:rtl/>
        </w:rPr>
        <w:t>הטענה היא ששר האוצר, שלו הסמכות לפי סעיף 11 לפקודה, לא שקל, למעשה, את הקריטריונים הראויים לקביעת הישובים הזכאים להנחה לפי התקנות</w:t>
      </w:r>
      <w:r>
        <w:rPr>
          <w:rFonts w:cs="FrankRuehl" w:hint="cs"/>
          <w:sz w:val="22"/>
          <w:szCs w:val="22"/>
          <w:rtl/>
        </w:rPr>
        <w:t xml:space="preserve"> {שעניינן הטבות שונות לישובי קו עימות}</w:t>
      </w:r>
      <w:r w:rsidRPr="00B425B7">
        <w:rPr>
          <w:rFonts w:cs="FrankRuehl"/>
          <w:sz w:val="22"/>
          <w:szCs w:val="22"/>
          <w:rtl/>
        </w:rPr>
        <w:t>. כל מה שעשה השר היה, שהוא אמץ לו רשימה שהוכנה על ידי שלטונות צה"ל, ללא שהוא עצמו שקל בנושא וללא - כך הטענה - שהוברר לו פשר האבחנה בין ישובים שראויים להכלל בתוספת לתקנות לבין כאלה שלאו.</w:t>
      </w:r>
      <w:r w:rsidRPr="00B425B7">
        <w:rPr>
          <w:rFonts w:cs="FrankRuehl" w:hint="cs"/>
          <w:sz w:val="22"/>
          <w:szCs w:val="22"/>
          <w:rtl/>
        </w:rPr>
        <w:t xml:space="preserve"> […]</w:t>
      </w:r>
    </w:p>
    <w:p w:rsidR="005366A8" w:rsidRPr="00B425B7" w:rsidRDefault="005366A8" w:rsidP="005366A8">
      <w:pPr>
        <w:rPr>
          <w:rFonts w:cs="FrankRuehl"/>
          <w:sz w:val="22"/>
          <w:szCs w:val="22"/>
          <w:rtl/>
        </w:rPr>
      </w:pPr>
      <w:r w:rsidRPr="00B425B7">
        <w:rPr>
          <w:rFonts w:cs="FrankRuehl"/>
          <w:sz w:val="22"/>
          <w:szCs w:val="22"/>
          <w:rtl/>
        </w:rPr>
        <w:t>כשפועלת רשות מנהלית בתחום סמכותה, ועליה להפעיל את שקול דעתה, עליה להפעיל שקול דעת עצמאי משלה, והדברים ידועים. ואולם אין כל פסול בכך, שלצורך הפעלת ש</w:t>
      </w:r>
      <w:r>
        <w:rPr>
          <w:rFonts w:cs="FrankRuehl" w:hint="cs"/>
          <w:sz w:val="22"/>
          <w:szCs w:val="22"/>
          <w:rtl/>
        </w:rPr>
        <w:t>י</w:t>
      </w:r>
      <w:r w:rsidRPr="00B425B7">
        <w:rPr>
          <w:rFonts w:cs="FrankRuehl"/>
          <w:sz w:val="22"/>
          <w:szCs w:val="22"/>
          <w:rtl/>
        </w:rPr>
        <w:t xml:space="preserve">קול דעתה (החלטת השר על רשימת הישובים שיכללו בתוספת לתקנות) </w:t>
      </w:r>
      <w:r w:rsidRPr="000B08B8">
        <w:rPr>
          <w:rFonts w:cs="FrankRuehl"/>
          <w:sz w:val="22"/>
          <w:szCs w:val="22"/>
          <w:highlight w:val="yellow"/>
          <w:rtl/>
        </w:rPr>
        <w:t>תסתייע הרשות</w:t>
      </w:r>
      <w:r w:rsidRPr="00B425B7">
        <w:rPr>
          <w:rFonts w:cs="FrankRuehl"/>
          <w:sz w:val="22"/>
          <w:szCs w:val="22"/>
          <w:rtl/>
        </w:rPr>
        <w:t xml:space="preserve"> באינפורמציה וחוות דעת של מומחים בדבר (שלטונות צה"ל), אשר שאלת העומס הבטחוני והקריטריונים הראויים לבחינתו וקביעתו נהירים להם.</w:t>
      </w:r>
    </w:p>
    <w:p w:rsidR="005366A8" w:rsidRPr="00103519" w:rsidRDefault="005366A8" w:rsidP="005366A8">
      <w:pPr>
        <w:rPr>
          <w:sz w:val="20"/>
          <w:szCs w:val="20"/>
          <w:rtl/>
        </w:rPr>
      </w:pPr>
    </w:p>
    <w:p w:rsidR="005366A8" w:rsidRPr="00B425B7" w:rsidRDefault="005366A8" w:rsidP="005366A8">
      <w:pPr>
        <w:spacing w:after="120"/>
        <w:ind w:left="720"/>
        <w:rPr>
          <w:sz w:val="22"/>
          <w:szCs w:val="22"/>
          <w:rtl/>
        </w:rPr>
      </w:pPr>
      <w:r w:rsidRPr="00B425B7">
        <w:rPr>
          <w:rFonts w:hint="cs"/>
          <w:sz w:val="22"/>
          <w:szCs w:val="22"/>
          <w:highlight w:val="yellow"/>
          <w:rtl/>
        </w:rPr>
        <w:t xml:space="preserve">ע"ב 2/84 </w:t>
      </w:r>
      <w:r w:rsidRPr="00B425B7">
        <w:rPr>
          <w:rFonts w:hint="cs"/>
          <w:b/>
          <w:bCs/>
          <w:sz w:val="22"/>
          <w:szCs w:val="22"/>
          <w:highlight w:val="yellow"/>
          <w:rtl/>
        </w:rPr>
        <w:t>ניימן נ' יו"ר ועדת הבחירות המרכזית לכנסת האחת-עשרה</w:t>
      </w:r>
      <w:r w:rsidRPr="00B425B7">
        <w:rPr>
          <w:rFonts w:hint="cs"/>
          <w:sz w:val="22"/>
          <w:szCs w:val="22"/>
          <w:highlight w:val="yellow"/>
          <w:rtl/>
        </w:rPr>
        <w:t>, פ"ד לט(2) 225 [ההדגשה הוספה]</w:t>
      </w:r>
    </w:p>
    <w:p w:rsidR="005366A8" w:rsidRPr="00B425B7" w:rsidRDefault="005366A8" w:rsidP="005366A8">
      <w:pPr>
        <w:spacing w:after="60"/>
        <w:rPr>
          <w:rFonts w:cs="FrankRuehl"/>
          <w:sz w:val="22"/>
          <w:szCs w:val="22"/>
          <w:rtl/>
        </w:rPr>
      </w:pPr>
      <w:r w:rsidRPr="00B425B7">
        <w:rPr>
          <w:rFonts w:cs="FrankRuehl" w:hint="cs"/>
          <w:sz w:val="22"/>
          <w:szCs w:val="22"/>
          <w:rtl/>
        </w:rPr>
        <w:t xml:space="preserve">9. (א) כאמור בבג"צ 214/52, צריך היה חומר הראיות להיות מובא לפני הרשות המחליטה בנושא, היינו, במקרה דנן, לפני ועדת הבחירות המרכזית. דא עקא, שלגבי "הרשימה המתקדמת לשלום" לא הובא לפני ועדת הבחירות עצמה חומר ראיות, אשר על יסודו יכולה הייתה להסיק, כי ברשימה נפל פסול מן הסוג אשר שימש יסוד להחלטת הרוב בע"ב </w:t>
      </w:r>
      <w:r w:rsidRPr="00B425B7">
        <w:rPr>
          <w:rFonts w:cs="FrankRuehl" w:hint="cs"/>
          <w:b/>
          <w:bCs/>
          <w:sz w:val="22"/>
          <w:szCs w:val="22"/>
          <w:rtl/>
        </w:rPr>
        <w:t>ירדור</w:t>
      </w:r>
      <w:r w:rsidRPr="00B425B7">
        <w:rPr>
          <w:rFonts w:cs="FrankRuehl" w:hint="cs"/>
          <w:sz w:val="22"/>
          <w:szCs w:val="22"/>
          <w:rtl/>
        </w:rPr>
        <w:t>.</w:t>
      </w:r>
    </w:p>
    <w:p w:rsidR="005366A8" w:rsidRPr="00B425B7" w:rsidRDefault="005366A8" w:rsidP="005366A8">
      <w:pPr>
        <w:spacing w:after="60"/>
        <w:rPr>
          <w:rFonts w:cs="FrankRuehl"/>
          <w:sz w:val="22"/>
          <w:szCs w:val="22"/>
          <w:rtl/>
        </w:rPr>
      </w:pPr>
      <w:r w:rsidRPr="00B425B7">
        <w:rPr>
          <w:rFonts w:cs="FrankRuehl" w:hint="cs"/>
          <w:sz w:val="22"/>
          <w:szCs w:val="22"/>
          <w:rtl/>
        </w:rPr>
        <w:t>(ב) כפי שצוין בהחלטתה של ועדת הבחירות, שנוסחה צוטט בראשיתו של פסק-דין זה, גרסה הוועדה, כי ברשימה הנ"ל -</w:t>
      </w:r>
    </w:p>
    <w:p w:rsidR="005366A8" w:rsidRPr="00B425B7" w:rsidRDefault="005366A8" w:rsidP="005366A8">
      <w:pPr>
        <w:spacing w:after="60"/>
        <w:ind w:left="720"/>
        <w:rPr>
          <w:rFonts w:cs="FrankRuehl"/>
          <w:sz w:val="22"/>
          <w:szCs w:val="22"/>
          <w:rtl/>
        </w:rPr>
      </w:pPr>
      <w:r w:rsidRPr="00B425B7">
        <w:rPr>
          <w:rFonts w:cs="FrankRuehl" w:hint="cs"/>
          <w:sz w:val="22"/>
          <w:szCs w:val="22"/>
          <w:rtl/>
        </w:rPr>
        <w:t>"...קיימים יסודות ומגמות חתרניים, ואנשים מרכזיים ברשימה פועלים בדרך של הזדהות עם אוייבי המדינה".</w:t>
      </w:r>
    </w:p>
    <w:p w:rsidR="005366A8" w:rsidRPr="00B425B7" w:rsidRDefault="005366A8" w:rsidP="005366A8">
      <w:pPr>
        <w:spacing w:after="60"/>
        <w:rPr>
          <w:rFonts w:cs="FrankRuehl"/>
          <w:sz w:val="22"/>
          <w:szCs w:val="22"/>
          <w:rtl/>
        </w:rPr>
      </w:pPr>
      <w:r w:rsidRPr="00B425B7">
        <w:rPr>
          <w:rFonts w:cs="FrankRuehl" w:hint="cs"/>
          <w:sz w:val="22"/>
          <w:szCs w:val="22"/>
          <w:rtl/>
        </w:rPr>
        <w:t>עד כאן המסקנה. מכאן לביסוס העובדתי:</w:t>
      </w:r>
    </w:p>
    <w:p w:rsidR="005366A8" w:rsidRPr="00B425B7" w:rsidRDefault="005366A8" w:rsidP="005366A8">
      <w:pPr>
        <w:spacing w:after="60"/>
        <w:ind w:left="720"/>
        <w:rPr>
          <w:rFonts w:cs="FrankRuehl"/>
          <w:sz w:val="22"/>
          <w:szCs w:val="22"/>
          <w:rtl/>
        </w:rPr>
      </w:pPr>
      <w:r w:rsidRPr="00B425B7">
        <w:rPr>
          <w:rFonts w:cs="FrankRuehl" w:hint="cs"/>
          <w:sz w:val="22"/>
          <w:szCs w:val="22"/>
          <w:rtl/>
        </w:rPr>
        <w:t>"...דעת הרוב סמכה ידה על הבדיקה היסודית של כל המידע הבדוק שהונח בפני שר הבטחון ובתצהירו של האלוף אביגדור בן-גל מיום 24.9.80. כמו כן התחזק הרוב בדעתו מהדברים שהושמעו על ידי נציגי הרשימה בפני הועדה ובפני שר הבטחון...".</w:t>
      </w:r>
    </w:p>
    <w:p w:rsidR="005366A8" w:rsidRPr="00B425B7" w:rsidRDefault="005366A8" w:rsidP="005366A8">
      <w:pPr>
        <w:spacing w:after="60"/>
        <w:rPr>
          <w:rFonts w:cs="FrankRuehl"/>
          <w:sz w:val="22"/>
          <w:szCs w:val="22"/>
          <w:rtl/>
        </w:rPr>
      </w:pPr>
      <w:r w:rsidRPr="00583DCD">
        <w:rPr>
          <w:rFonts w:cs="FrankRuehl" w:hint="cs"/>
          <w:sz w:val="22"/>
          <w:szCs w:val="22"/>
          <w:highlight w:val="yellow"/>
          <w:rtl/>
        </w:rPr>
        <w:t>המידע שהונח לפני שר הביטחון לא הובא לפני ועדת הבחירות ולא הגיע לידיעתה עד תום דיוניה</w:t>
      </w:r>
      <w:r w:rsidRPr="00B425B7">
        <w:rPr>
          <w:rFonts w:cs="FrankRuehl" w:hint="cs"/>
          <w:sz w:val="22"/>
          <w:szCs w:val="22"/>
          <w:rtl/>
        </w:rPr>
        <w:t>. זו קיבלה הודעה של דובר שר הביטחון, אשר לפיה -</w:t>
      </w:r>
    </w:p>
    <w:p w:rsidR="005366A8" w:rsidRPr="00B425B7" w:rsidRDefault="005366A8" w:rsidP="005366A8">
      <w:pPr>
        <w:spacing w:after="60"/>
        <w:ind w:left="720"/>
        <w:rPr>
          <w:rFonts w:cs="FrankRuehl"/>
          <w:sz w:val="22"/>
          <w:szCs w:val="22"/>
          <w:rtl/>
        </w:rPr>
      </w:pPr>
      <w:r w:rsidRPr="00B425B7">
        <w:rPr>
          <w:rFonts w:cs="FrankRuehl" w:hint="cs"/>
          <w:sz w:val="22"/>
          <w:szCs w:val="22"/>
          <w:rtl/>
        </w:rPr>
        <w:t>"...לאחר בדיקה יסודית של כל המידע הבדוק שהונח בפניו, לרבות שמיעת הצהרותיהם וטענותיהם של נציגי הרשימה משוכנע שר הבטחון כי אכן קיימים יסודות ומגמות חתרניים אצל קבוצות הנמנות עם הרשימה ואנשים מרכזיים ברשימה פועלים בדרך של הזדהות עם אויבי המדינה".</w:t>
      </w:r>
    </w:p>
    <w:p w:rsidR="005366A8" w:rsidRPr="00B425B7" w:rsidRDefault="005366A8" w:rsidP="005366A8">
      <w:pPr>
        <w:spacing w:after="60"/>
        <w:rPr>
          <w:rFonts w:cs="FrankRuehl"/>
          <w:sz w:val="22"/>
          <w:szCs w:val="22"/>
          <w:rtl/>
        </w:rPr>
      </w:pPr>
      <w:r w:rsidRPr="00B425B7">
        <w:rPr>
          <w:rFonts w:cs="FrankRuehl" w:hint="cs"/>
          <w:sz w:val="22"/>
          <w:szCs w:val="22"/>
          <w:rtl/>
        </w:rPr>
        <w:t>טיבו של המידע הבדוק, שהיה לפני שר הביטחון, ופרטיו נשארו כולם בגדר נעלם, ואף שמץ מנהו לא הובא לפני הוועדה, והניסוח כולו היה דו-משמעי וערטילאי.</w:t>
      </w:r>
      <w:r>
        <w:rPr>
          <w:rFonts w:cs="FrankRuehl" w:hint="cs"/>
          <w:sz w:val="22"/>
          <w:szCs w:val="22"/>
          <w:rtl/>
        </w:rPr>
        <w:t xml:space="preserve"> </w:t>
      </w:r>
      <w:r w:rsidRPr="00B425B7">
        <w:rPr>
          <w:rFonts w:cs="FrankRuehl" w:hint="cs"/>
          <w:sz w:val="22"/>
          <w:szCs w:val="22"/>
          <w:rtl/>
        </w:rPr>
        <w:t>הודעה כאמור, שאין בה פירוט עובדתי, אינה בגדר ראיה כלשהי: אם קיימים "יסודות ומגמות" אצל קבוצות הנמנות עם הרשימה, מה משקלן בתוכה?</w:t>
      </w:r>
      <w:r>
        <w:rPr>
          <w:rFonts w:cs="FrankRuehl" w:hint="cs"/>
          <w:sz w:val="22"/>
          <w:szCs w:val="22"/>
          <w:rtl/>
        </w:rPr>
        <w:t xml:space="preserve"> </w:t>
      </w:r>
      <w:r w:rsidRPr="00B425B7">
        <w:rPr>
          <w:rFonts w:cs="FrankRuehl" w:hint="cs"/>
          <w:sz w:val="22"/>
          <w:szCs w:val="22"/>
          <w:rtl/>
        </w:rPr>
        <w:t>האם אחד מתוך מאה ועשרים או עשרה מתוכם? מה הם "יסודות", היינו, האם מדובר בקבוצות אנשים או בתכניות או בהשקפות? מה פירושו המעשי כמתורגם לשפת המציאות של הביטוי "חתרני", ועוד. הרי בנושאים אלה יכולות להיות הערכות שונות ופרשנויות שונות, ומי שצריך לקבוע את המסקנה זו הוועדה בעצמה, לפי מיטב שיקול-דעתה. זאת ועוד, נאמר כבר לעיל, כי לא די בתיאורים מופשטים ובמסקנות כלליות, המנוסחות באופן מילולי ברוח דבריו של בית-משפט זה בע"ב 1[ 1/65], אם הדברים הללו אינם מעוגנים כדבעי בעובדות, שהובאו לידיעת הוועדה ונשקלו על-ידיה לגופם.</w:t>
      </w:r>
      <w:r>
        <w:rPr>
          <w:rFonts w:cs="FrankRuehl" w:hint="cs"/>
          <w:sz w:val="22"/>
          <w:szCs w:val="22"/>
          <w:rtl/>
        </w:rPr>
        <w:t xml:space="preserve"> </w:t>
      </w:r>
    </w:p>
    <w:p w:rsidR="005366A8" w:rsidRPr="00B425B7" w:rsidRDefault="005366A8" w:rsidP="005366A8">
      <w:pPr>
        <w:spacing w:after="60"/>
        <w:rPr>
          <w:rFonts w:cs="FrankRuehl"/>
          <w:sz w:val="22"/>
          <w:szCs w:val="22"/>
          <w:rtl/>
        </w:rPr>
      </w:pPr>
      <w:r w:rsidRPr="00B425B7">
        <w:rPr>
          <w:rFonts w:cs="FrankRuehl" w:hint="cs"/>
          <w:sz w:val="22"/>
          <w:szCs w:val="22"/>
          <w:rtl/>
        </w:rPr>
        <w:t xml:space="preserve">סיכומו של דבר, </w:t>
      </w:r>
      <w:r w:rsidRPr="00583DCD">
        <w:rPr>
          <w:rFonts w:cs="FrankRuehl" w:hint="cs"/>
          <w:sz w:val="22"/>
          <w:szCs w:val="22"/>
          <w:highlight w:val="yellow"/>
          <w:rtl/>
        </w:rPr>
        <w:t>מאחר שהחומר נשאר נחלתם של שר הביטחון או של האלוף בן-גל, לפי העניין, לא הייתה לפני הוועדה מערכת נתונים, עליה יכולה הייתה להשתית החלטתה, והיא לא החליטה אלא על יסוד שיקול-דעתם של אחרים, שהופעל על יסוד מידע שהובא לפני האחרים</w:t>
      </w:r>
      <w:r w:rsidRPr="00B425B7">
        <w:rPr>
          <w:rFonts w:cs="FrankRuehl" w:hint="cs"/>
          <w:sz w:val="22"/>
          <w:szCs w:val="22"/>
          <w:rtl/>
        </w:rPr>
        <w:t>. בהמשך הדברים נדון בשאלה זו בהרחבה רבה יותר. […]</w:t>
      </w:r>
    </w:p>
    <w:p w:rsidR="005366A8" w:rsidRPr="00B425B7" w:rsidRDefault="005366A8" w:rsidP="005366A8">
      <w:pPr>
        <w:spacing w:after="60"/>
        <w:rPr>
          <w:rFonts w:cs="FrankRuehl"/>
          <w:sz w:val="22"/>
          <w:szCs w:val="22"/>
          <w:rtl/>
        </w:rPr>
      </w:pPr>
      <w:r w:rsidRPr="00B425B7">
        <w:rPr>
          <w:rFonts w:cs="FrankRuehl" w:hint="cs"/>
          <w:sz w:val="22"/>
          <w:szCs w:val="22"/>
          <w:rtl/>
        </w:rPr>
        <w:t xml:space="preserve">(ד) הרשות היא הגורם המחליט, כי אך בידיה הפקיד המחוקק את הסמכות להכריע בעניין. </w:t>
      </w:r>
      <w:r w:rsidRPr="00B425B7">
        <w:rPr>
          <w:rFonts w:cs="FrankRuehl" w:hint="cs"/>
          <w:b/>
          <w:bCs/>
          <w:sz w:val="22"/>
          <w:szCs w:val="22"/>
          <w:rtl/>
        </w:rPr>
        <w:t>הרשות אינה יכולה לאצול סמכויות ההחלטה לגורם אחר, אלא אם הוסמכה לכך מפורשות על-ידי המחוקק, ובהעדר הסמכה כאמור רובצת עליה החובה להגיע להחלטתה על יסוד בדיקה עצמאית של הנתונים.</w:t>
      </w:r>
      <w:r w:rsidRPr="00B425B7">
        <w:rPr>
          <w:rFonts w:cs="FrankRuehl" w:hint="cs"/>
          <w:sz w:val="22"/>
          <w:szCs w:val="22"/>
          <w:rtl/>
        </w:rPr>
        <w:t xml:space="preserve"> אם ניישם את האמור לעיל למקרה שלפנינו, תהיה מסקנתנו, כי ועדת הבחירות בעצמה היא שהייתה צריכה להשתכנע, על-פי החומר העובדתי המובא לפניה, כי ברשימת המועמדים דבקה תכונה מן התכונות אשר פוסלת אותה; אך דבר זה לא אירע כאן. ההסתמכות העקיפה על מידע, שהובא רק לפני גורם אחר ואשר פרטיו כולם או מקצתם לא היו ידועים לוועדה כלל ועיקר, משמעה, כי ועדת הבחירות לא שקלה את העניין ולא היא שפסלה את הרשימה על יסוד החלטה מבוססת ועצמאית, אלא היא ביקשה להסתמך על נתונים, שהיו נעלמים מעיניה ושהיו, אם היו, רק לפני גורם אחר. אגב, הגורם האחר שהוזכר לא התיימר להחליט בענין, כי שר הביטחון לא החליט מאומה, גם בעניין שהיה בתחום סמכותו. </w:t>
      </w:r>
      <w:r w:rsidRPr="000B08B8">
        <w:rPr>
          <w:rFonts w:cs="FrankRuehl" w:hint="cs"/>
          <w:sz w:val="22"/>
          <w:szCs w:val="22"/>
          <w:highlight w:val="yellow"/>
          <w:rtl/>
        </w:rPr>
        <w:t xml:space="preserve">למעשה, הקנתה בכך הוועדה לשר הביטחון, שלא על דעתו וללא כל בסיס בחוק, את הסמכות לפסול רשימת מועמדים, כי היא הסתפקה בכך שהחומר, שטיבו ופרטיו לא היו ידועים לה, הובא לפני גורם של הרשות המבצעת ושכנע אותה רשות להפנות תשומת לבה של הוועדה לעניין באופן כללי, מבלי לגלות לה את הנימוקים לכך. </w:t>
      </w:r>
      <w:r w:rsidRPr="000B08B8">
        <w:rPr>
          <w:rFonts w:cs="FrankRuehl" w:hint="cs"/>
          <w:b/>
          <w:bCs/>
          <w:sz w:val="22"/>
          <w:szCs w:val="22"/>
          <w:highlight w:val="yellow"/>
          <w:rtl/>
        </w:rPr>
        <w:t xml:space="preserve">אצילת סמכויות </w:t>
      </w:r>
      <w:r w:rsidRPr="000B08B8">
        <w:rPr>
          <w:rFonts w:cs="FrankRuehl" w:hint="cs"/>
          <w:b/>
          <w:bCs/>
          <w:sz w:val="22"/>
          <w:szCs w:val="22"/>
          <w:highlight w:val="yellow"/>
        </w:rPr>
        <w:t>DE FACTO</w:t>
      </w:r>
      <w:r w:rsidRPr="000B08B8">
        <w:rPr>
          <w:rFonts w:cs="FrankRuehl" w:hint="cs"/>
          <w:b/>
          <w:bCs/>
          <w:sz w:val="22"/>
          <w:szCs w:val="22"/>
          <w:highlight w:val="yellow"/>
          <w:rtl/>
        </w:rPr>
        <w:t xml:space="preserve"> כמתואר היא, כאמור, נטולת כל יסוד בחוק הבחירות לכנסת [נוסח משולב] או בחוק אחר, והיא חורגת מכל תפיסה חוקתית וחוקית תקינה; יש בה, כאמור, מחד גיסא, כדי להפוך את שר הביטחון למי שמחליט למעשה על פסילתה של הרשימה לצורכי דיני הבחירות, ולכך אין כל יסוד בחוק, ומאידך גיסא, יש בכך כדי לרוקן את סמכויותיה של ועדת הבחירות מכל תוכן</w:t>
      </w:r>
      <w:r w:rsidRPr="000B08B8">
        <w:rPr>
          <w:rFonts w:cs="FrankRuehl" w:hint="cs"/>
          <w:sz w:val="22"/>
          <w:szCs w:val="22"/>
          <w:highlight w:val="yellow"/>
          <w:rtl/>
        </w:rPr>
        <w:t>.</w:t>
      </w:r>
    </w:p>
    <w:p w:rsidR="005366A8" w:rsidRDefault="005366A8" w:rsidP="005366A8">
      <w:pPr>
        <w:rPr>
          <w:sz w:val="20"/>
          <w:szCs w:val="20"/>
          <w:rtl/>
        </w:rPr>
      </w:pPr>
      <w:r w:rsidRPr="00B425B7">
        <w:rPr>
          <w:rFonts w:cs="FrankRuehl" w:hint="cs"/>
          <w:sz w:val="22"/>
          <w:szCs w:val="22"/>
          <w:rtl/>
        </w:rPr>
        <w:t xml:space="preserve">(ה) למותר להוסיף, </w:t>
      </w:r>
      <w:r w:rsidRPr="000B08B8">
        <w:rPr>
          <w:rFonts w:cs="FrankRuehl" w:hint="cs"/>
          <w:sz w:val="22"/>
          <w:szCs w:val="22"/>
          <w:highlight w:val="yellow"/>
          <w:rtl/>
        </w:rPr>
        <w:t>כי הוועדה יכולה הייתה לראות בהבאתו של החומר לפני שר הביטחון את העילה הראשונית לקיום דיון ועיון במסגרתה, אך בשלב כלשהו צריך היה החומר להיות מובא לפניה, כי, כאמור, אין מלאכתה של הוועדה יכולה להתבצע על-ידי מי שמחליט במקומה ונוטל בכך למעשה את סמכותה, יהיה מעמדו חשוב ככל שיהיה, ואין היא יכולה לפרוק מעליה את החובה להפעיל את שיקול-דעתה על יסוד עיון עצמי בחומר. בעל הסמכות אינו חייב לעסוק בעצמו באיסוף העובדות, והוא יכול למסור מלאכה זו לאחרים שיפעלו מטעמו, אך בשלב הסופי, עובר להחלטתו, על בעל הסמכות לשקול את העניין בעצמו ולהסיק מסקנותיו על יסוד העובדות שנאספו.</w:t>
      </w:r>
      <w:r>
        <w:rPr>
          <w:rFonts w:cs="FrankRuehl" w:hint="cs"/>
          <w:sz w:val="22"/>
          <w:szCs w:val="22"/>
          <w:rtl/>
        </w:rPr>
        <w:t xml:space="preserve"> </w:t>
      </w:r>
    </w:p>
    <w:p w:rsidR="005366A8" w:rsidRDefault="005366A8" w:rsidP="005366A8">
      <w:pPr>
        <w:rPr>
          <w:b/>
          <w:bCs/>
          <w:rtl/>
        </w:rPr>
      </w:pPr>
      <w:r w:rsidRPr="000B507F">
        <w:rPr>
          <w:rFonts w:hint="cs"/>
          <w:b/>
          <w:bCs/>
          <w:rtl/>
        </w:rPr>
        <w:t>=-=</w:t>
      </w:r>
    </w:p>
    <w:p w:rsidR="005366A8" w:rsidRPr="000B507F" w:rsidRDefault="005366A8" w:rsidP="005366A8">
      <w:pPr>
        <w:rPr>
          <w:b/>
          <w:bCs/>
          <w:rtl/>
        </w:rPr>
      </w:pPr>
    </w:p>
    <w:p w:rsidR="005366A8" w:rsidRDefault="005366A8" w:rsidP="005366A8">
      <w:pPr>
        <w:pStyle w:val="BodyText"/>
        <w:ind w:left="32"/>
        <w:jc w:val="center"/>
        <w:rPr>
          <w:rFonts w:cs="Times New Roman"/>
          <w:sz w:val="22"/>
          <w:szCs w:val="22"/>
          <w:rtl/>
        </w:rPr>
      </w:pPr>
      <w:r w:rsidRPr="008D7FEC">
        <w:rPr>
          <w:rFonts w:cs="Times New Roman"/>
          <w:sz w:val="22"/>
          <w:szCs w:val="22"/>
          <w:highlight w:val="yellow"/>
          <w:rtl/>
        </w:rPr>
        <w:t xml:space="preserve">בג"צ 6673/01 </w:t>
      </w:r>
      <w:r w:rsidRPr="008D7FEC">
        <w:rPr>
          <w:rFonts w:cs="Times New Roman"/>
          <w:b/>
          <w:bCs/>
          <w:sz w:val="22"/>
          <w:szCs w:val="22"/>
          <w:highlight w:val="yellow"/>
          <w:rtl/>
        </w:rPr>
        <w:t>התנועה למען איכות השלטון נ' שר התחבורה</w:t>
      </w:r>
      <w:r w:rsidRPr="008D7FEC">
        <w:rPr>
          <w:rFonts w:cs="Times New Roman"/>
          <w:sz w:val="22"/>
          <w:szCs w:val="22"/>
          <w:highlight w:val="yellow"/>
          <w:rtl/>
        </w:rPr>
        <w:t>, פ"ד נו(1) 799 [השר סנה ומינוי מנהל רכבת ישראל]</w:t>
      </w:r>
    </w:p>
    <w:p w:rsidR="005366A8" w:rsidRPr="008D7FEC" w:rsidRDefault="005366A8" w:rsidP="005366A8">
      <w:pPr>
        <w:pStyle w:val="BodyText"/>
        <w:ind w:left="32"/>
        <w:jc w:val="center"/>
        <w:rPr>
          <w:rFonts w:cs="Times New Roman"/>
          <w:sz w:val="22"/>
          <w:szCs w:val="22"/>
          <w:rtl/>
        </w:rPr>
      </w:pPr>
    </w:p>
    <w:p w:rsidR="005366A8" w:rsidRPr="0090159E" w:rsidRDefault="005366A8" w:rsidP="005366A8">
      <w:pPr>
        <w:ind w:left="720"/>
        <w:jc w:val="center"/>
        <w:rPr>
          <w:b/>
          <w:bCs/>
          <w:rtl/>
        </w:rPr>
      </w:pPr>
      <w:r w:rsidRPr="0090159E">
        <w:rPr>
          <w:rFonts w:hint="cs"/>
          <w:b/>
          <w:bCs/>
          <w:sz w:val="20"/>
          <w:szCs w:val="20"/>
          <w:rtl/>
        </w:rPr>
        <w:t>סע' 17(ב) לחוק רשות הנמלים והרכבות, תשכ"א-1961:</w:t>
      </w:r>
    </w:p>
    <w:p w:rsidR="005366A8" w:rsidRPr="00583DCD" w:rsidRDefault="005366A8" w:rsidP="005366A8">
      <w:pPr>
        <w:jc w:val="center"/>
        <w:rPr>
          <w:rFonts w:cs="David"/>
          <w:sz w:val="20"/>
          <w:szCs w:val="20"/>
          <w:highlight w:val="yellow"/>
          <w:rtl/>
        </w:rPr>
      </w:pPr>
      <w:r w:rsidRPr="00811447">
        <w:rPr>
          <w:rFonts w:cs="David"/>
          <w:sz w:val="20"/>
          <w:szCs w:val="20"/>
          <w:rtl/>
        </w:rPr>
        <w:t>"</w:t>
      </w:r>
      <w:r w:rsidRPr="00583DCD">
        <w:rPr>
          <w:rFonts w:cs="David"/>
          <w:sz w:val="20"/>
          <w:szCs w:val="20"/>
          <w:highlight w:val="yellow"/>
          <w:rtl/>
        </w:rPr>
        <w:t xml:space="preserve">המועצה תמנה, לאחר שהובאה בפניה המלצת מנהל הרשות, באישור שר התחבורה, </w:t>
      </w:r>
    </w:p>
    <w:p w:rsidR="005366A8" w:rsidRPr="00811447" w:rsidRDefault="005366A8" w:rsidP="005366A8">
      <w:pPr>
        <w:jc w:val="center"/>
        <w:rPr>
          <w:rFonts w:cs="David"/>
          <w:sz w:val="20"/>
          <w:szCs w:val="20"/>
          <w:rtl/>
        </w:rPr>
      </w:pPr>
      <w:r w:rsidRPr="00583DCD">
        <w:rPr>
          <w:rFonts w:cs="David"/>
          <w:sz w:val="20"/>
          <w:szCs w:val="20"/>
          <w:highlight w:val="yellow"/>
          <w:rtl/>
        </w:rPr>
        <w:t>משנה למנהל הרשות אשר יכהן כמנהל כללי של מסילות ברזל</w:t>
      </w:r>
      <w:r w:rsidRPr="00811447">
        <w:rPr>
          <w:rFonts w:cs="David"/>
          <w:sz w:val="20"/>
          <w:szCs w:val="20"/>
          <w:rtl/>
        </w:rPr>
        <w:t>".</w:t>
      </w:r>
    </w:p>
    <w:p w:rsidR="005366A8" w:rsidRPr="0090159E" w:rsidRDefault="005366A8" w:rsidP="005366A8">
      <w:pPr>
        <w:rPr>
          <w:rFonts w:cs="FrankRuehl"/>
          <w:sz w:val="22"/>
          <w:szCs w:val="22"/>
          <w:rtl/>
        </w:rPr>
      </w:pPr>
    </w:p>
    <w:p w:rsidR="005366A8" w:rsidRPr="0090159E" w:rsidRDefault="005366A8" w:rsidP="005366A8">
      <w:pPr>
        <w:spacing w:after="60"/>
        <w:rPr>
          <w:rFonts w:cs="FrankRuehl"/>
          <w:sz w:val="22"/>
          <w:szCs w:val="22"/>
          <w:rtl/>
        </w:rPr>
      </w:pPr>
      <w:r w:rsidRPr="0090159E">
        <w:rPr>
          <w:rFonts w:cs="FrankRuehl" w:hint="cs"/>
          <w:sz w:val="22"/>
          <w:szCs w:val="22"/>
          <w:rtl/>
        </w:rPr>
        <w:t>5.</w:t>
      </w:r>
      <w:r w:rsidRPr="0090159E">
        <w:rPr>
          <w:rFonts w:cs="FrankRuehl" w:hint="cs"/>
          <w:sz w:val="22"/>
          <w:szCs w:val="22"/>
          <w:rtl/>
        </w:rPr>
        <w:tab/>
        <w:t xml:space="preserve">[...] </w:t>
      </w:r>
      <w:r w:rsidRPr="0090159E">
        <w:rPr>
          <w:rFonts w:cs="FrankRuehl"/>
          <w:sz w:val="22"/>
          <w:szCs w:val="22"/>
          <w:rtl/>
        </w:rPr>
        <w:t xml:space="preserve">מהוראה זו עולה – ועניין זה לא היה כלל שנוי במחלוקת בפנינו – כי סדר הפעולות שיש לנקוט לעניין הארכת כהונתו של המשנה הוא זה: תחילה, על מנהל הרשות להחליט אם ראוי הוא להמליץ על הארכת כהונתו של המשנה המכהן או שמא יש להמליץ על מועמד אחר לכהונה; לאחר מכן, על המועצה להחליט אם היא ממנה את המועמד שמנהל הרשות המליץ בפניה; לבסוף, על שר התחבורה להחליט אם הוא מאשר את החלטת המועצה. </w:t>
      </w:r>
      <w:r w:rsidRPr="004337F8">
        <w:rPr>
          <w:rFonts w:cs="FrankRuehl"/>
          <w:sz w:val="22"/>
          <w:szCs w:val="22"/>
          <w:highlight w:val="yellow"/>
          <w:rtl/>
        </w:rPr>
        <w:t>סדר זה הגיונו בצדו. החיפוש אחר המועמד הראוי הוטל על מנהל הרשות. הוא בקיא בענייני הרשות; הוא מכיר את עבודת המשנה למנהל הרשות ואת דרישות התפקיד; הוא כשיר לנפות מבין המועמדים השונים את הנראים לו כראויים ביותר</w:t>
      </w:r>
      <w:r w:rsidRPr="0090159E">
        <w:rPr>
          <w:rFonts w:cs="FrankRuehl"/>
          <w:sz w:val="22"/>
          <w:szCs w:val="22"/>
          <w:rtl/>
        </w:rPr>
        <w:t>.</w:t>
      </w:r>
    </w:p>
    <w:p w:rsidR="005366A8" w:rsidRDefault="005366A8" w:rsidP="005366A8">
      <w:pPr>
        <w:spacing w:after="60"/>
        <w:rPr>
          <w:rFonts w:cs="FrankRuehl"/>
          <w:sz w:val="22"/>
          <w:szCs w:val="22"/>
          <w:rtl/>
        </w:rPr>
      </w:pPr>
      <w:r w:rsidRPr="0090159E">
        <w:rPr>
          <w:rFonts w:cs="FrankRuehl"/>
          <w:sz w:val="22"/>
          <w:szCs w:val="22"/>
          <w:rtl/>
        </w:rPr>
        <w:t>7.</w:t>
      </w:r>
      <w:r w:rsidRPr="0090159E">
        <w:rPr>
          <w:rFonts w:cs="FrankRuehl"/>
          <w:sz w:val="22"/>
          <w:szCs w:val="22"/>
          <w:rtl/>
        </w:rPr>
        <w:tab/>
        <w:t xml:space="preserve">עד כמה צריך מנהל הרשות להתחשב בעמדתו של שר התחבורה? לדעתי התשובה היא זו: על מנהל הרשות להפעיל שיקול-דעת עצמאי. השאלה שלפניו אינה "את מי מבקש השר למנות". השאלה שלפניו הינה "מיהו המועמד הראוי ביותר". אל לו למנהל הרשות לבטל דעתו מפני דעת השר. המלצתו של מנהל הרשות לחוד ואישור השר לחוד. אכן, החוק קבע תהליך מינוי של המשנה למנהל הרשות המורכב משלושה מוקדי הכרעה: מנהל הרשות, המועצה והשר. כל אחד ושיקוליו שלו; </w:t>
      </w:r>
      <w:r w:rsidRPr="000B507F">
        <w:rPr>
          <w:rFonts w:cs="FrankRuehl"/>
          <w:sz w:val="22"/>
          <w:szCs w:val="22"/>
          <w:highlight w:val="yellow"/>
          <w:rtl/>
        </w:rPr>
        <w:t>כל אחד ואחריותו שלו</w:t>
      </w:r>
      <w:r w:rsidRPr="0090159E">
        <w:rPr>
          <w:rFonts w:cs="FrankRuehl"/>
          <w:sz w:val="22"/>
          <w:szCs w:val="22"/>
          <w:rtl/>
        </w:rPr>
        <w:t xml:space="preserve">. אל לו – למנהל – לשחרר את המועצה ואת השר מהאחריות המוטלת עליהם; </w:t>
      </w:r>
      <w:r w:rsidRPr="000B507F">
        <w:rPr>
          <w:rFonts w:cs="FrankRuehl"/>
          <w:sz w:val="22"/>
          <w:szCs w:val="22"/>
          <w:rtl/>
        </w:rPr>
        <w:t>אל לו לשבש את הסדר שקבע החוק, המעמיד את אישור השר בסוף התהליך ולא בראשיתו. על-כן ימליץ המנהל על מועמד הנראה בעיניו – מתוך רא</w:t>
      </w:r>
      <w:r w:rsidRPr="0090159E">
        <w:rPr>
          <w:rFonts w:cs="FrankRuehl"/>
          <w:sz w:val="22"/>
          <w:szCs w:val="22"/>
          <w:rtl/>
        </w:rPr>
        <w:t xml:space="preserve">יית התמונה הכוללת – כמועמד ראוי, גם אם השר הביע את דעתו כי לא יאשר מועמד זה. בכך ימלא מנהל הרשות את אחריותו שלו, ואילו השר יישא באחריות להחלטתו שלא לאשר את המינוי. </w:t>
      </w:r>
      <w:r w:rsidRPr="00DB14F2">
        <w:rPr>
          <w:rFonts w:cs="FrankRuehl"/>
          <w:sz w:val="22"/>
          <w:szCs w:val="22"/>
          <w:highlight w:val="yellow"/>
          <w:rtl/>
        </w:rPr>
        <w:t xml:space="preserve">יצוין כי הסתמכו בפנינו על בג"ץ 70/50 </w:t>
      </w:r>
      <w:r w:rsidRPr="000B507F">
        <w:rPr>
          <w:rFonts w:cs="FrankRuehl"/>
          <w:b/>
          <w:bCs/>
          <w:sz w:val="22"/>
          <w:szCs w:val="22"/>
          <w:highlight w:val="yellow"/>
          <w:rtl/>
        </w:rPr>
        <w:t>מיכלין נ' שר הבריאות</w:t>
      </w:r>
      <w:r w:rsidRPr="00DB14F2">
        <w:rPr>
          <w:rFonts w:cs="FrankRuehl"/>
          <w:sz w:val="22"/>
          <w:szCs w:val="22"/>
          <w:highlight w:val="yellow"/>
          <w:rtl/>
        </w:rPr>
        <w:t xml:space="preserve"> (להלן – הילכת מיכלין [4]) ועל הביקורת שנמתחה על פסק-דין זה. לדעתי אין לפרשה זו תחולה בענייננו. הילכת מיכלין [4] והביקורת עליה סובבות סביב יחסי הכפיפות או העצמאות שבין רשות מוסמכת הפועלת בגדרי המדינה לממונים עליה. יחסים אלה אינם קיימים בין שר התחבורה לבין מנהל הרשות. הרשות היא תאגיד ציבורי. היא מהווה אישיות משפטית הפועלת מחוץ לאישיות המשפטית של המדינה. עם כל סמכויות הפיקוח שיש לשר התחבורה על הרשות, אין בינו לבין הרשות והאורגנים שלה יחסי כפיפות.</w:t>
      </w:r>
      <w:r w:rsidRPr="0090159E">
        <w:rPr>
          <w:rFonts w:cs="FrankRuehl"/>
          <w:sz w:val="22"/>
          <w:szCs w:val="22"/>
          <w:rtl/>
        </w:rPr>
        <w:t xml:space="preserve"> אכן, גם מבקריה של הילכת מיכלין [4] מכירים בצורך לקיים את עצמאותה של רשות מוסמכת כלפי "גורמים חיצוניים" (זמיר בספרו הנ"ל (כרך ב) [11], בעמ' 620). חרף כוחו של שר התחבורה כלפי הרשות אין הוא גורם "פנימי" ברשות. הוא גורם "חיצוני" אשר לו השפעה רבה על פעילות הרשות, עם זאת אין בכך כדי לשלול את עצמאותה של הרשות ושל האורגנים שלה כלפי שר התחבורה. כך, למשל, אין שר התחבורה רשאי ליטול לעצמו את סמכויותיה של הרשות או של האורגנים שלה (לחשיבותו של שיקול זה ראו בג"ץ 5016/96 חורב נ' שר התחבורה [5], בעמ' 156). אכן, הרשות והאורגנים שלה עצמאיים כלפי שר התחבורה, עם זאת אין עצמאות זו שוללת את כוחותיו של השר כלפי הרשות ואת משקלה הניכר של עמדתו באשר למינויים ברשות.</w:t>
      </w:r>
    </w:p>
    <w:p w:rsidR="005366A8" w:rsidRDefault="005366A8" w:rsidP="005366A8">
      <w:pPr>
        <w:spacing w:after="60"/>
        <w:rPr>
          <w:rFonts w:cs="FrankRuehl"/>
          <w:sz w:val="22"/>
          <w:szCs w:val="22"/>
          <w:rtl/>
        </w:rPr>
      </w:pPr>
      <w:r w:rsidRPr="0090159E">
        <w:rPr>
          <w:rFonts w:cs="FrankRuehl"/>
          <w:sz w:val="22"/>
          <w:szCs w:val="22"/>
          <w:rtl/>
        </w:rPr>
        <w:t>8.</w:t>
      </w:r>
      <w:r w:rsidRPr="0090159E">
        <w:rPr>
          <w:rFonts w:cs="FrankRuehl"/>
          <w:sz w:val="22"/>
          <w:szCs w:val="22"/>
          <w:rtl/>
        </w:rPr>
        <w:tab/>
      </w:r>
      <w:r w:rsidRPr="00DB14F2">
        <w:rPr>
          <w:rFonts w:cs="FrankRuehl"/>
          <w:sz w:val="22"/>
          <w:szCs w:val="22"/>
          <w:highlight w:val="yellow"/>
          <w:rtl/>
        </w:rPr>
        <w:t>מכאן אין נובע כי יחסו של השר למועמדים השונים, ובהם המשנה למנהל המבקש להאריך את תקופת כהונתו, אינו שיקול רלוונטי.</w:t>
      </w:r>
      <w:r w:rsidRPr="0090159E">
        <w:rPr>
          <w:rFonts w:cs="FrankRuehl"/>
          <w:sz w:val="22"/>
          <w:szCs w:val="22"/>
          <w:rtl/>
        </w:rPr>
        <w:t xml:space="preserve"> טובתה של הרשות – שאותה צריך מנהל הרשות להעמיד לנגד עיניו – כוללת בחירת משנה למנהל אשר יוכל באופן הטוב ביותר לקיים יחסי עבודה ראויים בגדרה של הרשות פנימה. על-כן יחסי העבודה של המשנה עם המנהל מזה ועם עובדי הרשות מזה הם גורם שיש להביאו בחשבון. בדומה, יכולתו של המשנה לקיים יחסי עבודה תקינים עם גורמי החוץ שעמם באה הרשות במגע היא שיקול שיש להתחשב בו. במסגרת זו יש להתחשב ביחסים העתידיים בין המשנה למנהל לבין הגורמים הממשלתיים שעמם באה הרשות במגע, לרבות השרים העומדים בראש המשרדים הממשלתיים הקשורים לעבודת הרשות.</w:t>
      </w:r>
      <w:r>
        <w:rPr>
          <w:rFonts w:cs="FrankRuehl" w:hint="cs"/>
          <w:sz w:val="22"/>
          <w:szCs w:val="22"/>
          <w:rtl/>
        </w:rPr>
        <w:t xml:space="preserve"> [...]</w:t>
      </w:r>
    </w:p>
    <w:p w:rsidR="005366A8" w:rsidRDefault="005366A8" w:rsidP="005366A8">
      <w:pPr>
        <w:spacing w:after="60"/>
        <w:rPr>
          <w:rFonts w:cs="FrankRuehl"/>
          <w:sz w:val="22"/>
          <w:szCs w:val="22"/>
          <w:rtl/>
        </w:rPr>
      </w:pPr>
      <w:r w:rsidRPr="00676AE5">
        <w:rPr>
          <w:rFonts w:cs="FrankRuehl"/>
          <w:sz w:val="22"/>
          <w:szCs w:val="22"/>
          <w:rtl/>
        </w:rPr>
        <w:t>9.</w:t>
      </w:r>
      <w:r w:rsidRPr="00676AE5">
        <w:rPr>
          <w:rFonts w:cs="FrankRuehl"/>
          <w:sz w:val="22"/>
          <w:szCs w:val="22"/>
          <w:rtl/>
        </w:rPr>
        <w:tab/>
      </w:r>
      <w:r w:rsidRPr="00DB14F2">
        <w:rPr>
          <w:rFonts w:cs="FrankRuehl"/>
          <w:sz w:val="22"/>
          <w:szCs w:val="22"/>
          <w:highlight w:val="yellow"/>
          <w:rtl/>
        </w:rPr>
        <w:t>עדיין קמה ועומדת השאלה מהו המשקל שיש להעניק לעמדתו של השר בגדרי שיקול-דעתו של מנהל הרשות. ודאי שאין זה יכול להיות שיקול מכריע. מתן משקל כה כבד לעמדת השר ישבש את המבנה הסטטוטורי של תהליך המינוי.</w:t>
      </w:r>
      <w:r w:rsidRPr="00676AE5">
        <w:rPr>
          <w:rFonts w:cs="FrankRuehl"/>
          <w:sz w:val="22"/>
          <w:szCs w:val="22"/>
          <w:rtl/>
        </w:rPr>
        <w:t xml:space="preserve"> הוא יעמוד בניגוד למבנה החוק המעניק לשר סמכות מפורשת לאשר את החלטת המועצה או לא לאשרה, ובכך יוצר מסלול פורמאלי ועצמאי שבמסגרתו צריך השר להביע את עמדתו שלו. עם זאת, גם אם עמדתו של השר אינה מכרעת, היא מהווה שיקול שיש להתחשב בו. משקלו של שיקול זה משתנה ממינוי למינוי (ראו זמיר בספרו הנ"ל (כרך א) [11], בעמ' 403). </w:t>
      </w:r>
      <w:r w:rsidRPr="00676AE5">
        <w:rPr>
          <w:rFonts w:cs="FrankRuehl"/>
          <w:sz w:val="22"/>
          <w:szCs w:val="22"/>
          <w:highlight w:val="yellow"/>
          <w:rtl/>
        </w:rPr>
        <w:t>אכן, ככל שעל-פי הוראות החוק מידת הפיקוח של השר על הנעשה בתאגיד הציבורי גדולה יותר, כן גדל המשקל של עמדתו ביחס למינוי נושאי משרה בתאגיד.</w:t>
      </w:r>
      <w:r w:rsidRPr="00676AE5">
        <w:rPr>
          <w:rFonts w:cs="FrankRuehl"/>
          <w:sz w:val="22"/>
          <w:szCs w:val="22"/>
          <w:rtl/>
        </w:rPr>
        <w:t xml:space="preserve"> באשר לרשות ולשר התחבורה, קיים קשר הדוק בין השר ומשרדו לבין ניהולה של רכבת ישראל. לשר השפעה רבה על הנעשה ברשות, בכלל, ובניהול הרכבת, בפרט (ראו זמיר בספרו הנ"ל (כרך א) [11], בעמ' 403). על רקע קשר זה ראוי הוא כי לעמדת השר יינתן משקל ניכר. אין להתפלא אפוא על כך שהעותר עצמו פנה לשר התחבורה וביקש לשכנעו בעניין המשך כהונתו, עם זאת אין לראות בעמדת השר עניין מכריע. אכן, גם אם מטעמיו שלו יאשר השר את החלטת המועצה, </w:t>
      </w:r>
      <w:r w:rsidRPr="00676AE5">
        <w:rPr>
          <w:rFonts w:cs="FrankRuehl"/>
          <w:sz w:val="22"/>
          <w:szCs w:val="22"/>
          <w:highlight w:val="yellow"/>
          <w:rtl/>
        </w:rPr>
        <w:t>עדיין עומד בעינו השיקול הרלוונטי באשר ליחסי העבודה הרא</w:t>
      </w:r>
      <w:r w:rsidR="005D7968" w:rsidRPr="005D7968">
        <w:rPr>
          <w:rFonts w:cs="FrankRuehl"/>
          <w:snapToGrid w:val="0"/>
          <w:sz w:val="22"/>
          <w:szCs w:val="22"/>
          <w:highlight w:val="yellow"/>
          <w:rtl/>
          <w:lang w:eastAsia="he-IL"/>
        </w:rPr>
        <w:pict>
          <v:group id="_x0000_s1196" style="position:absolute;left:0;text-align:left;margin-left:348.7pt;margin-top:25.5pt;width:14.25pt;height:408.3pt;z-index:251844608;mso-position-horizontal-relative:text;mso-position-vertical-relative:margin" coordsize="20000,20000" o:allowincell="f">
            <v:rect id="_x0000_s1197" style="position:absolute;width:20000;height:698" filled="f" stroked="f" strokeweight=".25pt">
              <v:textbox inset="1pt,1pt,1pt,1pt">
                <w:txbxContent>
                  <w:p w:rsidR="005366A8" w:rsidRDefault="005366A8" w:rsidP="005366A8">
                    <w:pPr>
                      <w:rPr>
                        <w:rtl/>
                      </w:rPr>
                    </w:pPr>
                  </w:p>
                </w:txbxContent>
              </v:textbox>
            </v:rect>
            <v:rect id="_x0000_s1198" style="position:absolute;top:3262;width:20000;height:698" filled="f" stroked="f">
              <v:textbox inset="1pt,1pt,1pt,1pt">
                <w:txbxContent>
                  <w:p w:rsidR="005366A8" w:rsidRDefault="005366A8" w:rsidP="005366A8">
                    <w:pPr>
                      <w:rPr>
                        <w:rtl/>
                      </w:rPr>
                    </w:pPr>
                  </w:p>
                </w:txbxContent>
              </v:textbox>
            </v:rect>
            <v:rect id="_x0000_s1199" style="position:absolute;top:6458;width:20000;height:698" filled="f" stroked="f">
              <v:textbox inset="1pt,1pt,1pt,1pt">
                <w:txbxContent>
                  <w:p w:rsidR="005366A8" w:rsidRDefault="005366A8" w:rsidP="005366A8">
                    <w:pPr>
                      <w:rPr>
                        <w:rtl/>
                      </w:rPr>
                    </w:pPr>
                  </w:p>
                </w:txbxContent>
              </v:textbox>
            </v:rect>
            <v:rect id="_x0000_s1200" style="position:absolute;top:9652;width:20000;height:698" filled="f" stroked="f">
              <v:textbox inset="1pt,1pt,1pt,1pt">
                <w:txbxContent>
                  <w:p w:rsidR="005366A8" w:rsidRDefault="005366A8" w:rsidP="005366A8">
                    <w:pPr>
                      <w:jc w:val="right"/>
                      <w:rPr>
                        <w:rtl/>
                      </w:rPr>
                    </w:pPr>
                  </w:p>
                </w:txbxContent>
              </v:textbox>
            </v:rect>
            <v:rect id="_x0000_s1201" style="position:absolute;top:12846;width:20000;height:698" filled="f" stroked="f">
              <v:textbox inset="1pt,1pt,1pt,1pt">
                <w:txbxContent>
                  <w:p w:rsidR="005366A8" w:rsidRDefault="005366A8" w:rsidP="005366A8">
                    <w:pPr>
                      <w:rPr>
                        <w:rtl/>
                      </w:rPr>
                    </w:pPr>
                  </w:p>
                </w:txbxContent>
              </v:textbox>
            </v:rect>
            <v:rect id="_x0000_s1202" style="position:absolute;top:16108;width:20000;height:698" filled="f" stroked="f">
              <v:textbox inset="1pt,1pt,1pt,1pt">
                <w:txbxContent>
                  <w:p w:rsidR="005366A8" w:rsidRDefault="005366A8" w:rsidP="005366A8">
                    <w:pPr>
                      <w:rPr>
                        <w:rtl/>
                      </w:rPr>
                    </w:pPr>
                  </w:p>
                </w:txbxContent>
              </v:textbox>
            </v:rect>
            <v:rect id="_x0000_s1203" style="position:absolute;top:19302;width:20000;height:698" filled="f" stroked="f">
              <v:textbox inset="1pt,1pt,1pt,1pt">
                <w:txbxContent>
                  <w:p w:rsidR="005366A8" w:rsidRPr="00D37745" w:rsidRDefault="005366A8" w:rsidP="005366A8">
                    <w:pPr>
                      <w:rPr>
                        <w:rtl/>
                      </w:rPr>
                    </w:pPr>
                  </w:p>
                </w:txbxContent>
              </v:textbox>
            </v:rect>
            <w10:wrap anchory="margin"/>
          </v:group>
        </w:pict>
      </w:r>
      <w:r w:rsidRPr="00676AE5">
        <w:rPr>
          <w:rFonts w:cs="FrankRuehl"/>
          <w:sz w:val="22"/>
          <w:szCs w:val="22"/>
          <w:highlight w:val="yellow"/>
          <w:rtl/>
        </w:rPr>
        <w:t>ויים בין המשנה לבין השר ומשרדו. אם קיים מידע שלפיו יחסים אלה יהיו משובשים ויפגעו בטובת הרשות, יש להביא מידע זה בחשבון. ודוק; עמדת השר היא רלוונטית, ויש להעניק לה משקל ראוי רק אם שיקוליו של השר הם כדין. על-כן אם ביסוד עמדתו השלילית של השר למועמד פלוני עומדים שיקולים פסולים – כגון "...שיקולים זרים של אינטרסים פוליטיים-מפלגתיים..." (כלשונו של המשנה לנשיא אלון בפרשת דקל [2], בעמ' 35) – אל לו למנהל הרשות להעניק לשיקול פסול זה כל משקל. יעמוד המנהל על טוהר שיקוליו הוא, ואל יאפשר לשר להשיג בעקיפין (באמצעות השפעה על שיקוליו של המנהל) את שאינו מוסמך להשיג במישרין (על-ידי סירוב שלא כדין לאשר החלטת המועצה).</w:t>
      </w:r>
    </w:p>
    <w:p w:rsidR="005366A8" w:rsidRPr="0090159E" w:rsidRDefault="005366A8" w:rsidP="005366A8">
      <w:pPr>
        <w:rPr>
          <w:rFonts w:cs="FrankRuehl"/>
          <w:sz w:val="22"/>
          <w:szCs w:val="22"/>
          <w:rtl/>
        </w:rPr>
      </w:pPr>
      <w:r w:rsidRPr="00EA7578">
        <w:rPr>
          <w:rFonts w:cs="FrankRuehl"/>
          <w:sz w:val="22"/>
          <w:szCs w:val="22"/>
          <w:rtl/>
        </w:rPr>
        <w:t>13.</w:t>
      </w:r>
      <w:r w:rsidRPr="00EA7578">
        <w:rPr>
          <w:rFonts w:cs="FrankRuehl"/>
          <w:sz w:val="22"/>
          <w:szCs w:val="22"/>
          <w:rtl/>
        </w:rPr>
        <w:tab/>
        <w:t xml:space="preserve">הנה-כי-כן, נפל פגם בהחלטתו של המנהל. </w:t>
      </w:r>
      <w:r w:rsidRPr="000B507F">
        <w:rPr>
          <w:rFonts w:cs="FrankRuehl"/>
          <w:sz w:val="22"/>
          <w:szCs w:val="22"/>
          <w:highlight w:val="yellow"/>
          <w:rtl/>
        </w:rPr>
        <w:t>פגם זה אינו בהעדפה שנתן למשיב 5, אלא בכך שלא שקל באופן עצמאי את מועמדותו של העותר ולא השווה בינה לבין מועמדותו של המשיב 5. אכן, תחת התחשבות בעמדת השר כאחד הנתונים מתוך מכלול שלם, הוא העניק לעמדת השר משקל מכריע. הוא התייחס לעמדתו השלילית של השר כאל תנאי סף שהעותר לא עבר אותו. בכך הוא ביטל את שיקול-דעתו שלו כנגד שיקול-דעת השר; בכך הוא שלל את עצמאות שיקול-דעתו; בכך הוא שיבש את התהליך המשולש שקבע החוק למינויו של המשנה</w:t>
      </w:r>
      <w:r w:rsidRPr="00EA7578">
        <w:rPr>
          <w:rFonts w:cs="FrankRuehl"/>
          <w:sz w:val="22"/>
          <w:szCs w:val="22"/>
          <w:rtl/>
        </w:rPr>
        <w:t>. אין מנוס אפוא מביטול החלטתו של המנהל. עליו לשקול העניין מחדש. עליו לעשות כן בלב פתוח.</w:t>
      </w:r>
      <w:r>
        <w:rPr>
          <w:rFonts w:cs="FrankRuehl" w:hint="cs"/>
          <w:sz w:val="22"/>
          <w:szCs w:val="22"/>
          <w:rtl/>
        </w:rPr>
        <w:t xml:space="preserve"> [...]</w:t>
      </w:r>
    </w:p>
    <w:p w:rsidR="005366A8" w:rsidRDefault="005366A8" w:rsidP="005366A8">
      <w:pPr>
        <w:spacing w:after="120"/>
        <w:rPr>
          <w:rFonts w:ascii="Arial" w:hAnsi="Arial" w:cs="FrankRuehl"/>
          <w:b/>
          <w:bCs/>
          <w:sz w:val="22"/>
          <w:szCs w:val="22"/>
          <w:rtl/>
        </w:rPr>
      </w:pPr>
      <w:r>
        <w:rPr>
          <w:rFonts w:ascii="Arial" w:hAnsi="Arial" w:cs="FrankRuehl" w:hint="cs"/>
          <w:b/>
          <w:bCs/>
          <w:sz w:val="22"/>
          <w:szCs w:val="22"/>
          <w:rtl/>
        </w:rPr>
        <w:t>=-=</w:t>
      </w:r>
    </w:p>
    <w:p w:rsidR="005366A8" w:rsidRDefault="005366A8" w:rsidP="005366A8">
      <w:pPr>
        <w:spacing w:after="120"/>
        <w:rPr>
          <w:rFonts w:ascii="Arial" w:hAnsi="Arial" w:cs="FrankRuehl"/>
          <w:b/>
          <w:bCs/>
          <w:sz w:val="22"/>
          <w:szCs w:val="22"/>
          <w:rtl/>
        </w:rPr>
      </w:pPr>
    </w:p>
    <w:p w:rsidR="005366A8" w:rsidRDefault="005366A8" w:rsidP="005366A8">
      <w:pPr>
        <w:rPr>
          <w:rFonts w:ascii="Arial" w:hAnsi="Arial" w:cs="Arial"/>
          <w:b/>
          <w:bCs/>
          <w:highlight w:val="yellow"/>
          <w:u w:val="single"/>
          <w:rtl/>
        </w:rPr>
      </w:pPr>
      <w:r w:rsidRPr="003250BC">
        <w:rPr>
          <w:rFonts w:ascii="Arial" w:hAnsi="Arial" w:cs="Arial" w:hint="cs"/>
          <w:b/>
          <w:bCs/>
          <w:highlight w:val="yellow"/>
          <w:u w:val="single"/>
          <w:rtl/>
        </w:rPr>
        <w:t>הסמכות המינהלית</w:t>
      </w:r>
      <w:r>
        <w:rPr>
          <w:rFonts w:ascii="Arial" w:hAnsi="Arial" w:cs="Arial" w:hint="cs"/>
          <w:b/>
          <w:bCs/>
          <w:highlight w:val="yellow"/>
          <w:u w:val="single"/>
          <w:rtl/>
        </w:rPr>
        <w:t xml:space="preserve"> (המשך)</w:t>
      </w:r>
      <w:r w:rsidRPr="003250BC">
        <w:rPr>
          <w:rFonts w:ascii="Arial" w:hAnsi="Arial" w:cs="Arial" w:hint="cs"/>
          <w:b/>
          <w:bCs/>
          <w:highlight w:val="yellow"/>
          <w:u w:val="single"/>
          <w:rtl/>
        </w:rPr>
        <w:t xml:space="preserve">: </w:t>
      </w:r>
    </w:p>
    <w:p w:rsidR="005366A8" w:rsidRPr="001B1C5A" w:rsidRDefault="005366A8" w:rsidP="005366A8">
      <w:pPr>
        <w:rPr>
          <w:rFonts w:ascii="Arial" w:hAnsi="Arial" w:cs="Arial"/>
          <w:b/>
          <w:bCs/>
          <w:u w:val="single"/>
          <w:rtl/>
        </w:rPr>
      </w:pPr>
      <w:r>
        <w:rPr>
          <w:rFonts w:ascii="Arial" w:hAnsi="Arial" w:cs="Arial" w:hint="cs"/>
          <w:b/>
          <w:bCs/>
          <w:highlight w:val="yellow"/>
          <w:u w:val="single"/>
          <w:rtl/>
        </w:rPr>
        <w:t>המשך הדיון בהבחנה בין סוגי ה</w:t>
      </w:r>
      <w:r w:rsidRPr="003250BC">
        <w:rPr>
          <w:rFonts w:ascii="Arial" w:hAnsi="Arial" w:cs="Arial"/>
          <w:b/>
          <w:bCs/>
          <w:highlight w:val="yellow"/>
          <w:u w:val="single"/>
          <w:rtl/>
        </w:rPr>
        <w:t>סמכו</w:t>
      </w:r>
      <w:r>
        <w:rPr>
          <w:rFonts w:ascii="Arial" w:hAnsi="Arial" w:cs="Arial" w:hint="cs"/>
          <w:b/>
          <w:bCs/>
          <w:highlight w:val="yellow"/>
          <w:u w:val="single"/>
          <w:rtl/>
        </w:rPr>
        <w:t xml:space="preserve">ת </w:t>
      </w:r>
      <w:r w:rsidRPr="003250BC">
        <w:rPr>
          <w:rFonts w:ascii="Arial" w:hAnsi="Arial" w:cs="Arial" w:hint="cs"/>
          <w:b/>
          <w:bCs/>
          <w:highlight w:val="yellow"/>
          <w:u w:val="single"/>
          <w:rtl/>
        </w:rPr>
        <w:t>הנתונות ל</w:t>
      </w:r>
      <w:r w:rsidRPr="003250BC">
        <w:rPr>
          <w:rFonts w:ascii="Arial" w:hAnsi="Arial" w:cs="Arial"/>
          <w:b/>
          <w:bCs/>
          <w:highlight w:val="yellow"/>
          <w:u w:val="single"/>
          <w:rtl/>
        </w:rPr>
        <w:t>רשויות המינהל</w:t>
      </w:r>
      <w:r w:rsidRPr="001B1C5A">
        <w:rPr>
          <w:rFonts w:ascii="Arial" w:hAnsi="Arial" w:cs="Arial"/>
          <w:b/>
          <w:bCs/>
          <w:u w:val="single"/>
          <w:rtl/>
        </w:rPr>
        <w:t xml:space="preserve"> </w:t>
      </w:r>
    </w:p>
    <w:p w:rsidR="005366A8" w:rsidRPr="007022E8" w:rsidRDefault="005366A8" w:rsidP="005366A8">
      <w:pPr>
        <w:rPr>
          <w:sz w:val="22"/>
          <w:szCs w:val="22"/>
          <w:rtl/>
        </w:rPr>
      </w:pPr>
    </w:p>
    <w:p w:rsidR="005366A8" w:rsidRPr="001B1C5A" w:rsidRDefault="005366A8" w:rsidP="005366A8">
      <w:pPr>
        <w:spacing w:after="120"/>
        <w:ind w:left="720"/>
        <w:rPr>
          <w:rFonts w:ascii="Arial" w:hAnsi="Arial" w:cs="Arial"/>
          <w:b/>
          <w:bCs/>
          <w:sz w:val="22"/>
          <w:szCs w:val="22"/>
          <w:rtl/>
        </w:rPr>
      </w:pPr>
      <w:r>
        <w:rPr>
          <w:rFonts w:ascii="Arial" w:hAnsi="Arial" w:cs="Arial" w:hint="cs"/>
          <w:b/>
          <w:bCs/>
          <w:sz w:val="22"/>
          <w:szCs w:val="22"/>
          <w:highlight w:val="yellow"/>
          <w:rtl/>
        </w:rPr>
        <w:t>1</w:t>
      </w:r>
      <w:r w:rsidRPr="003250BC">
        <w:rPr>
          <w:rFonts w:ascii="Arial" w:hAnsi="Arial" w:cs="Arial" w:hint="cs"/>
          <w:b/>
          <w:bCs/>
          <w:sz w:val="22"/>
          <w:szCs w:val="22"/>
          <w:highlight w:val="yellow"/>
          <w:rtl/>
        </w:rPr>
        <w:t xml:space="preserve">. </w:t>
      </w:r>
      <w:r w:rsidRPr="003250BC">
        <w:rPr>
          <w:rFonts w:ascii="Arial" w:hAnsi="Arial" w:cs="Arial"/>
          <w:b/>
          <w:bCs/>
          <w:sz w:val="22"/>
          <w:szCs w:val="22"/>
          <w:highlight w:val="yellow"/>
          <w:rtl/>
        </w:rPr>
        <w:t>סמכויות מינהליות:</w:t>
      </w:r>
      <w:r w:rsidRPr="003250BC">
        <w:rPr>
          <w:rFonts w:ascii="Arial" w:hAnsi="Arial" w:cs="Arial" w:hint="cs"/>
          <w:b/>
          <w:bCs/>
          <w:sz w:val="22"/>
          <w:szCs w:val="22"/>
          <w:highlight w:val="yellow"/>
          <w:rtl/>
        </w:rPr>
        <w:t xml:space="preserve"> </w:t>
      </w:r>
      <w:r w:rsidRPr="003250BC">
        <w:rPr>
          <w:rFonts w:ascii="Arial" w:hAnsi="Arial" w:cs="Arial"/>
          <w:b/>
          <w:bCs/>
          <w:sz w:val="22"/>
          <w:szCs w:val="22"/>
          <w:highlight w:val="yellow"/>
          <w:rtl/>
        </w:rPr>
        <w:t>סמכויות חקיקה</w:t>
      </w:r>
      <w:r w:rsidRPr="003250BC">
        <w:rPr>
          <w:rFonts w:ascii="Arial" w:hAnsi="Arial" w:cs="Arial" w:hint="cs"/>
          <w:b/>
          <w:bCs/>
          <w:sz w:val="22"/>
          <w:szCs w:val="22"/>
          <w:highlight w:val="yellow"/>
          <w:rtl/>
        </w:rPr>
        <w:t xml:space="preserve"> </w:t>
      </w:r>
      <w:r w:rsidRPr="003250BC">
        <w:rPr>
          <w:rFonts w:ascii="Arial" w:hAnsi="Arial" w:cs="Arial" w:hint="cs"/>
          <w:sz w:val="22"/>
          <w:szCs w:val="22"/>
          <w:highlight w:val="yellow"/>
          <w:rtl/>
        </w:rPr>
        <w:t>(הנתונות למינהל)</w:t>
      </w:r>
      <w:r w:rsidRPr="003250BC">
        <w:rPr>
          <w:rFonts w:ascii="Arial" w:hAnsi="Arial" w:cs="Arial"/>
          <w:b/>
          <w:bCs/>
          <w:sz w:val="22"/>
          <w:szCs w:val="22"/>
          <w:highlight w:val="yellow"/>
          <w:rtl/>
        </w:rPr>
        <w:t>; סמכויות שפיטה</w:t>
      </w:r>
      <w:r w:rsidRPr="003250BC">
        <w:rPr>
          <w:rFonts w:ascii="Arial" w:hAnsi="Arial" w:cs="Arial" w:hint="cs"/>
          <w:b/>
          <w:bCs/>
          <w:sz w:val="22"/>
          <w:szCs w:val="22"/>
          <w:highlight w:val="yellow"/>
          <w:rtl/>
        </w:rPr>
        <w:t xml:space="preserve"> </w:t>
      </w:r>
      <w:r w:rsidRPr="003250BC">
        <w:rPr>
          <w:rFonts w:ascii="Arial" w:hAnsi="Arial" w:cs="Arial" w:hint="cs"/>
          <w:sz w:val="22"/>
          <w:szCs w:val="22"/>
          <w:highlight w:val="yellow"/>
          <w:rtl/>
        </w:rPr>
        <w:t>(הנתונות למינהל)</w:t>
      </w:r>
      <w:r w:rsidRPr="003250BC">
        <w:rPr>
          <w:rFonts w:ascii="Arial" w:hAnsi="Arial" w:cs="Arial"/>
          <w:b/>
          <w:bCs/>
          <w:sz w:val="22"/>
          <w:szCs w:val="22"/>
          <w:highlight w:val="yellow"/>
          <w:rtl/>
        </w:rPr>
        <w:t>; סמכויות ביצוע</w:t>
      </w:r>
      <w:r>
        <w:rPr>
          <w:rFonts w:ascii="Arial" w:hAnsi="Arial" w:cs="Arial" w:hint="cs"/>
          <w:b/>
          <w:bCs/>
          <w:sz w:val="22"/>
          <w:szCs w:val="22"/>
          <w:rtl/>
        </w:rPr>
        <w:t xml:space="preserve"> - </w:t>
      </w:r>
      <w:r w:rsidRPr="004337F8">
        <w:rPr>
          <w:rFonts w:ascii="Arial" w:hAnsi="Arial" w:cs="Arial" w:hint="cs"/>
          <w:b/>
          <w:bCs/>
          <w:i/>
          <w:iCs/>
          <w:sz w:val="22"/>
          <w:szCs w:val="22"/>
          <w:u w:val="single"/>
          <w:rtl/>
        </w:rPr>
        <w:t>לעיל</w:t>
      </w:r>
    </w:p>
    <w:p w:rsidR="005366A8" w:rsidRDefault="005366A8" w:rsidP="005366A8">
      <w:pPr>
        <w:spacing w:after="120"/>
        <w:ind w:left="720"/>
        <w:rPr>
          <w:rFonts w:ascii="Arial" w:hAnsi="Arial" w:cs="Arial"/>
          <w:sz w:val="22"/>
          <w:szCs w:val="22"/>
          <w:rtl/>
        </w:rPr>
      </w:pPr>
      <w:r>
        <w:rPr>
          <w:rFonts w:ascii="Arial" w:hAnsi="Arial" w:cs="Arial" w:hint="cs"/>
          <w:b/>
          <w:bCs/>
          <w:sz w:val="22"/>
          <w:szCs w:val="22"/>
          <w:highlight w:val="yellow"/>
          <w:rtl/>
        </w:rPr>
        <w:t>2</w:t>
      </w:r>
      <w:r w:rsidRPr="003250BC">
        <w:rPr>
          <w:rFonts w:ascii="Arial" w:hAnsi="Arial" w:cs="Arial" w:hint="cs"/>
          <w:b/>
          <w:bCs/>
          <w:sz w:val="22"/>
          <w:szCs w:val="22"/>
          <w:highlight w:val="yellow"/>
          <w:rtl/>
        </w:rPr>
        <w:t>.</w:t>
      </w:r>
      <w:r w:rsidRPr="003250BC">
        <w:rPr>
          <w:rFonts w:ascii="Arial" w:hAnsi="Arial" w:cs="Arial" w:hint="cs"/>
          <w:sz w:val="22"/>
          <w:szCs w:val="22"/>
          <w:highlight w:val="yellow"/>
          <w:rtl/>
        </w:rPr>
        <w:t xml:space="preserve"> </w:t>
      </w:r>
      <w:r w:rsidRPr="003250BC">
        <w:rPr>
          <w:rFonts w:ascii="Arial" w:hAnsi="Arial" w:cs="Arial"/>
          <w:sz w:val="22"/>
          <w:szCs w:val="22"/>
          <w:highlight w:val="yellow"/>
          <w:rtl/>
        </w:rPr>
        <w:t xml:space="preserve">ההבחנה בין </w:t>
      </w:r>
      <w:r w:rsidRPr="003250BC">
        <w:rPr>
          <w:rFonts w:ascii="Arial" w:hAnsi="Arial" w:cs="Arial"/>
          <w:b/>
          <w:bCs/>
          <w:sz w:val="22"/>
          <w:szCs w:val="22"/>
          <w:highlight w:val="yellow"/>
          <w:rtl/>
        </w:rPr>
        <w:t>סמכויות חובה וסמכויות רשות (סמכויות שיקול-דעת)</w:t>
      </w:r>
      <w:r>
        <w:rPr>
          <w:rFonts w:ascii="Arial" w:hAnsi="Arial" w:cs="Arial" w:hint="cs"/>
          <w:b/>
          <w:bCs/>
          <w:sz w:val="22"/>
          <w:szCs w:val="22"/>
          <w:rtl/>
        </w:rPr>
        <w:t xml:space="preserve"> - </w:t>
      </w:r>
      <w:r w:rsidRPr="004337F8">
        <w:rPr>
          <w:rFonts w:ascii="Arial" w:hAnsi="Arial" w:cs="Arial" w:hint="cs"/>
          <w:b/>
          <w:bCs/>
          <w:i/>
          <w:iCs/>
          <w:sz w:val="22"/>
          <w:szCs w:val="22"/>
          <w:u w:val="single"/>
          <w:rtl/>
        </w:rPr>
        <w:t>לעיל</w:t>
      </w:r>
    </w:p>
    <w:p w:rsidR="005366A8" w:rsidRDefault="005366A8" w:rsidP="005366A8">
      <w:pPr>
        <w:spacing w:after="120"/>
        <w:rPr>
          <w:rFonts w:ascii="Arial" w:hAnsi="Arial" w:cs="Arial"/>
          <w:b/>
          <w:bCs/>
          <w:sz w:val="22"/>
          <w:szCs w:val="22"/>
          <w:rtl/>
        </w:rPr>
      </w:pPr>
      <w:r>
        <w:rPr>
          <w:rFonts w:ascii="Arial" w:hAnsi="Arial" w:cs="Arial" w:hint="cs"/>
          <w:b/>
          <w:bCs/>
          <w:sz w:val="22"/>
          <w:szCs w:val="22"/>
          <w:highlight w:val="yellow"/>
          <w:rtl/>
        </w:rPr>
        <w:t>3</w:t>
      </w:r>
      <w:r w:rsidRPr="003250BC">
        <w:rPr>
          <w:rFonts w:ascii="Arial" w:hAnsi="Arial" w:cs="Arial" w:hint="cs"/>
          <w:b/>
          <w:bCs/>
          <w:sz w:val="22"/>
          <w:szCs w:val="22"/>
          <w:highlight w:val="yellow"/>
          <w:rtl/>
        </w:rPr>
        <w:t xml:space="preserve">. </w:t>
      </w:r>
      <w:r w:rsidRPr="008B5165">
        <w:rPr>
          <w:rFonts w:ascii="Arial" w:hAnsi="Arial" w:cs="Arial" w:hint="cs"/>
          <w:sz w:val="22"/>
          <w:szCs w:val="22"/>
          <w:highlight w:val="yellow"/>
          <w:rtl/>
        </w:rPr>
        <w:t>ההבחנה בין</w:t>
      </w:r>
      <w:r>
        <w:rPr>
          <w:rFonts w:ascii="Arial" w:hAnsi="Arial" w:cs="Arial" w:hint="cs"/>
          <w:b/>
          <w:bCs/>
          <w:sz w:val="22"/>
          <w:szCs w:val="22"/>
          <w:highlight w:val="yellow"/>
          <w:rtl/>
        </w:rPr>
        <w:t xml:space="preserve"> </w:t>
      </w:r>
      <w:r w:rsidRPr="003250BC">
        <w:rPr>
          <w:rFonts w:ascii="Arial" w:hAnsi="Arial" w:cs="Arial"/>
          <w:b/>
          <w:bCs/>
          <w:sz w:val="22"/>
          <w:szCs w:val="22"/>
          <w:highlight w:val="yellow"/>
          <w:rtl/>
        </w:rPr>
        <w:t>סמכות ראשית וסמכות משנית</w:t>
      </w:r>
      <w:r w:rsidRPr="003250BC">
        <w:rPr>
          <w:rFonts w:ascii="Arial" w:hAnsi="Arial" w:cs="Arial" w:hint="cs"/>
          <w:b/>
          <w:bCs/>
          <w:sz w:val="22"/>
          <w:szCs w:val="22"/>
          <w:highlight w:val="yellow"/>
          <w:rtl/>
        </w:rPr>
        <w:t xml:space="preserve"> (קרי, סמכות נלוות, סמכות לוואי)</w:t>
      </w:r>
      <w:r>
        <w:rPr>
          <w:rFonts w:ascii="Arial" w:hAnsi="Arial" w:cs="Arial" w:hint="cs"/>
          <w:b/>
          <w:bCs/>
          <w:sz w:val="22"/>
          <w:szCs w:val="22"/>
          <w:rtl/>
        </w:rPr>
        <w:t xml:space="preserve"> </w:t>
      </w:r>
      <w:r>
        <w:rPr>
          <w:rFonts w:ascii="Arial" w:hAnsi="Arial" w:cs="Arial"/>
          <w:b/>
          <w:bCs/>
          <w:sz w:val="22"/>
          <w:szCs w:val="22"/>
          <w:rtl/>
        </w:rPr>
        <w:t>–</w:t>
      </w:r>
      <w:r>
        <w:rPr>
          <w:rFonts w:ascii="Arial" w:hAnsi="Arial" w:cs="Arial" w:hint="cs"/>
          <w:b/>
          <w:bCs/>
          <w:sz w:val="22"/>
          <w:szCs w:val="22"/>
          <w:rtl/>
        </w:rPr>
        <w:t xml:space="preserve"> להלן</w:t>
      </w:r>
    </w:p>
    <w:p w:rsidR="005366A8" w:rsidRDefault="005366A8" w:rsidP="005366A8">
      <w:pPr>
        <w:spacing w:after="120"/>
        <w:rPr>
          <w:rFonts w:ascii="Arial" w:hAnsi="Arial" w:cs="Arial"/>
          <w:b/>
          <w:bCs/>
          <w:sz w:val="22"/>
          <w:szCs w:val="22"/>
          <w:rtl/>
        </w:rPr>
      </w:pPr>
    </w:p>
    <w:p w:rsidR="005366A8" w:rsidRPr="008B5165" w:rsidRDefault="005366A8" w:rsidP="005366A8">
      <w:pPr>
        <w:spacing w:after="120"/>
        <w:rPr>
          <w:rFonts w:ascii="Arial" w:hAnsi="Arial" w:cs="Guttman-Soncino"/>
          <w:sz w:val="28"/>
          <w:szCs w:val="28"/>
          <w:u w:val="single"/>
          <w:rtl/>
        </w:rPr>
      </w:pPr>
      <w:r w:rsidRPr="008B5165">
        <w:rPr>
          <w:rFonts w:ascii="Arial" w:hAnsi="Arial" w:cs="Guttman-Soncino" w:hint="cs"/>
          <w:b/>
          <w:bCs/>
          <w:sz w:val="28"/>
          <w:szCs w:val="28"/>
          <w:highlight w:val="yellow"/>
          <w:u w:val="single"/>
          <w:rtl/>
        </w:rPr>
        <w:t xml:space="preserve">א3. </w:t>
      </w:r>
      <w:r w:rsidRPr="008B5165">
        <w:rPr>
          <w:rFonts w:ascii="Arial" w:hAnsi="Arial" w:cs="Guttman-Soncino"/>
          <w:b/>
          <w:bCs/>
          <w:sz w:val="28"/>
          <w:szCs w:val="28"/>
          <w:highlight w:val="yellow"/>
          <w:u w:val="single"/>
          <w:rtl/>
        </w:rPr>
        <w:t>סמכות ראשית וסמכות משנית</w:t>
      </w:r>
      <w:r w:rsidRPr="008B5165">
        <w:rPr>
          <w:rFonts w:ascii="Arial" w:hAnsi="Arial" w:cs="Guttman-Soncino" w:hint="cs"/>
          <w:b/>
          <w:bCs/>
          <w:sz w:val="28"/>
          <w:szCs w:val="28"/>
          <w:highlight w:val="yellow"/>
          <w:u w:val="single"/>
          <w:rtl/>
        </w:rPr>
        <w:t xml:space="preserve"> (קרי, סמכות נלוות, סמכות לוואי)</w:t>
      </w:r>
    </w:p>
    <w:p w:rsidR="005366A8" w:rsidRDefault="005366A8" w:rsidP="005366A8">
      <w:pPr>
        <w:rPr>
          <w:b/>
          <w:bCs/>
          <w:sz w:val="22"/>
          <w:szCs w:val="22"/>
          <w:rtl/>
        </w:rPr>
      </w:pPr>
      <w:r w:rsidRPr="00AC209E">
        <w:rPr>
          <w:rFonts w:hint="cs"/>
          <w:b/>
          <w:bCs/>
          <w:i/>
          <w:iCs/>
          <w:sz w:val="22"/>
          <w:szCs w:val="22"/>
          <w:u w:val="single"/>
          <w:rtl/>
        </w:rPr>
        <w:t>סמכויות המשנה</w:t>
      </w:r>
      <w:r>
        <w:rPr>
          <w:rFonts w:hint="cs"/>
          <w:b/>
          <w:bCs/>
          <w:sz w:val="22"/>
          <w:szCs w:val="22"/>
          <w:rtl/>
        </w:rPr>
        <w:t xml:space="preserve"> הם משני סוגים:</w:t>
      </w:r>
    </w:p>
    <w:p w:rsidR="005366A8" w:rsidRPr="00AC0A4E" w:rsidRDefault="005366A8" w:rsidP="005366A8">
      <w:pPr>
        <w:ind w:left="720"/>
        <w:rPr>
          <w:sz w:val="22"/>
          <w:szCs w:val="22"/>
          <w:rtl/>
        </w:rPr>
      </w:pPr>
      <w:r w:rsidRPr="00AC0A4E">
        <w:rPr>
          <w:rFonts w:hint="cs"/>
          <w:b/>
          <w:bCs/>
          <w:sz w:val="22"/>
          <w:szCs w:val="22"/>
          <w:rtl/>
        </w:rPr>
        <w:t>סמכויות משנה מיוחדות</w:t>
      </w:r>
      <w:r w:rsidRPr="00AC0A4E">
        <w:rPr>
          <w:rFonts w:hint="cs"/>
          <w:sz w:val="22"/>
          <w:szCs w:val="22"/>
          <w:rtl/>
        </w:rPr>
        <w:t xml:space="preserve"> [ר' </w:t>
      </w:r>
      <w:r>
        <w:rPr>
          <w:rFonts w:hint="cs"/>
          <w:sz w:val="22"/>
          <w:szCs w:val="22"/>
          <w:rtl/>
        </w:rPr>
        <w:t xml:space="preserve">להלן, </w:t>
      </w:r>
      <w:r w:rsidRPr="00AC0A4E">
        <w:rPr>
          <w:rFonts w:hint="cs"/>
          <w:sz w:val="22"/>
          <w:szCs w:val="22"/>
          <w:rtl/>
        </w:rPr>
        <w:t>בין היתר</w:t>
      </w:r>
      <w:r>
        <w:rPr>
          <w:rFonts w:hint="cs"/>
          <w:sz w:val="22"/>
          <w:szCs w:val="22"/>
          <w:rtl/>
        </w:rPr>
        <w:t>, את</w:t>
      </w:r>
      <w:r w:rsidRPr="00AC0A4E">
        <w:rPr>
          <w:rFonts w:hint="cs"/>
          <w:sz w:val="22"/>
          <w:szCs w:val="22"/>
          <w:rtl/>
        </w:rPr>
        <w:t xml:space="preserve"> סע' 12 עד 18 לחוק הפרשנות, התשמ"א-1981]</w:t>
      </w:r>
    </w:p>
    <w:p w:rsidR="005366A8" w:rsidRDefault="005366A8" w:rsidP="005366A8">
      <w:pPr>
        <w:ind w:left="720"/>
        <w:rPr>
          <w:sz w:val="22"/>
          <w:szCs w:val="22"/>
          <w:rtl/>
        </w:rPr>
      </w:pPr>
      <w:r>
        <w:rPr>
          <w:rFonts w:hint="cs"/>
          <w:b/>
          <w:bCs/>
          <w:sz w:val="22"/>
          <w:szCs w:val="22"/>
          <w:rtl/>
        </w:rPr>
        <w:t>"</w:t>
      </w:r>
      <w:r w:rsidRPr="00AC0A4E">
        <w:rPr>
          <w:rFonts w:hint="cs"/>
          <w:b/>
          <w:bCs/>
          <w:sz w:val="22"/>
          <w:szCs w:val="22"/>
          <w:rtl/>
        </w:rPr>
        <w:t>סמכויות עזר</w:t>
      </w:r>
      <w:r>
        <w:rPr>
          <w:rFonts w:hint="cs"/>
          <w:b/>
          <w:bCs/>
          <w:sz w:val="22"/>
          <w:szCs w:val="22"/>
          <w:rtl/>
        </w:rPr>
        <w:t>"</w:t>
      </w:r>
      <w:r w:rsidRPr="00AC0A4E">
        <w:rPr>
          <w:rFonts w:hint="cs"/>
          <w:b/>
          <w:bCs/>
          <w:sz w:val="22"/>
          <w:szCs w:val="22"/>
          <w:rtl/>
        </w:rPr>
        <w:t xml:space="preserve"> כלליות</w:t>
      </w:r>
      <w:r w:rsidRPr="00AC0A4E">
        <w:rPr>
          <w:rFonts w:hint="cs"/>
          <w:sz w:val="22"/>
          <w:szCs w:val="22"/>
          <w:rtl/>
        </w:rPr>
        <w:t xml:space="preserve"> [סע' 17(ב)]</w:t>
      </w:r>
    </w:p>
    <w:p w:rsidR="005366A8" w:rsidRPr="00AC0A4E" w:rsidRDefault="005366A8" w:rsidP="005366A8">
      <w:pPr>
        <w:ind w:left="720"/>
        <w:rPr>
          <w:sz w:val="22"/>
          <w:szCs w:val="22"/>
          <w:rtl/>
        </w:rPr>
      </w:pPr>
    </w:p>
    <w:p w:rsidR="005366A8" w:rsidRPr="00B16EEE" w:rsidRDefault="005366A8" w:rsidP="005366A8">
      <w:pPr>
        <w:spacing w:after="120"/>
        <w:rPr>
          <w:b/>
          <w:bCs/>
          <w:sz w:val="20"/>
          <w:szCs w:val="20"/>
          <w:u w:val="single"/>
          <w:rtl/>
        </w:rPr>
      </w:pPr>
      <w:r w:rsidRPr="008062B9">
        <w:rPr>
          <w:rFonts w:hint="cs"/>
          <w:b/>
          <w:bCs/>
          <w:sz w:val="20"/>
          <w:szCs w:val="20"/>
          <w:highlight w:val="yellow"/>
          <w:u w:val="single"/>
          <w:rtl/>
        </w:rPr>
        <w:t>חוק הפרשנות, תשמ"א-1981</w:t>
      </w:r>
    </w:p>
    <w:p w:rsidR="005366A8" w:rsidRPr="008062B9" w:rsidRDefault="005366A8" w:rsidP="005366A8">
      <w:pPr>
        <w:spacing w:after="60"/>
        <w:rPr>
          <w:rFonts w:cs="David"/>
          <w:sz w:val="20"/>
          <w:szCs w:val="20"/>
          <w:rtl/>
        </w:rPr>
      </w:pPr>
      <w:r w:rsidRPr="008062B9">
        <w:rPr>
          <w:rFonts w:cs="David" w:hint="cs"/>
          <w:sz w:val="20"/>
          <w:szCs w:val="20"/>
          <w:rtl/>
        </w:rPr>
        <w:t xml:space="preserve">12. [סמכות לפטור] </w:t>
      </w:r>
    </w:p>
    <w:p w:rsidR="005366A8" w:rsidRPr="008062B9" w:rsidRDefault="005366A8" w:rsidP="005366A8">
      <w:pPr>
        <w:spacing w:after="60"/>
        <w:ind w:left="720"/>
        <w:rPr>
          <w:rFonts w:cs="David"/>
          <w:sz w:val="20"/>
          <w:szCs w:val="20"/>
          <w:rtl/>
        </w:rPr>
      </w:pPr>
      <w:r w:rsidRPr="008062B9">
        <w:rPr>
          <w:rFonts w:cs="David" w:hint="cs"/>
          <w:sz w:val="20"/>
          <w:szCs w:val="20"/>
          <w:rtl/>
        </w:rPr>
        <w:t>הסמכה ליתן פטור, הקלה, הנחה וכיוצא באלה - משמעה הסמכה ליתן אותם אף במקצת או בתנאים.</w:t>
      </w:r>
    </w:p>
    <w:p w:rsidR="005366A8" w:rsidRPr="008062B9" w:rsidRDefault="005366A8" w:rsidP="005366A8">
      <w:pPr>
        <w:tabs>
          <w:tab w:val="left" w:pos="1669"/>
        </w:tabs>
        <w:spacing w:after="60"/>
        <w:rPr>
          <w:rFonts w:cs="David"/>
          <w:sz w:val="20"/>
          <w:szCs w:val="20"/>
          <w:rtl/>
        </w:rPr>
      </w:pPr>
      <w:r w:rsidRPr="008062B9">
        <w:rPr>
          <w:rFonts w:cs="David" w:hint="cs"/>
          <w:sz w:val="20"/>
          <w:szCs w:val="20"/>
          <w:rtl/>
        </w:rPr>
        <w:t>14. [סמכות מינוי]</w:t>
      </w:r>
      <w:r>
        <w:rPr>
          <w:rFonts w:cs="David"/>
          <w:sz w:val="20"/>
          <w:szCs w:val="20"/>
          <w:rtl/>
        </w:rPr>
        <w:tab/>
      </w:r>
    </w:p>
    <w:p w:rsidR="005366A8" w:rsidRPr="008062B9" w:rsidRDefault="005366A8" w:rsidP="005366A8">
      <w:pPr>
        <w:spacing w:after="60"/>
        <w:ind w:left="720"/>
        <w:rPr>
          <w:rFonts w:cs="David"/>
          <w:sz w:val="20"/>
          <w:szCs w:val="20"/>
          <w:rtl/>
        </w:rPr>
      </w:pPr>
      <w:r w:rsidRPr="008062B9">
        <w:rPr>
          <w:rFonts w:cs="David" w:hint="cs"/>
          <w:sz w:val="20"/>
          <w:szCs w:val="20"/>
          <w:rtl/>
        </w:rPr>
        <w:t>הסמכה לעשות מינוי - משמעה גם הסמכה להתלות את תקפו, לבטלו, לפטר את מי שנתמנה או להשעותו מתפקידו.</w:t>
      </w:r>
    </w:p>
    <w:p w:rsidR="005366A8" w:rsidRPr="008062B9" w:rsidRDefault="005366A8" w:rsidP="005366A8">
      <w:pPr>
        <w:spacing w:after="60"/>
        <w:rPr>
          <w:rFonts w:cs="David"/>
          <w:sz w:val="20"/>
          <w:szCs w:val="20"/>
          <w:rtl/>
        </w:rPr>
      </w:pPr>
      <w:r w:rsidRPr="008062B9">
        <w:rPr>
          <w:rFonts w:cs="David" w:hint="cs"/>
          <w:sz w:val="20"/>
          <w:szCs w:val="20"/>
          <w:rtl/>
        </w:rPr>
        <w:t>15. [סמכות התקנה]</w:t>
      </w:r>
    </w:p>
    <w:p w:rsidR="005366A8" w:rsidRPr="008062B9" w:rsidRDefault="005366A8" w:rsidP="005366A8">
      <w:pPr>
        <w:spacing w:after="60"/>
        <w:ind w:left="720"/>
        <w:rPr>
          <w:rFonts w:cs="David"/>
          <w:sz w:val="20"/>
          <w:szCs w:val="20"/>
          <w:rtl/>
        </w:rPr>
      </w:pPr>
      <w:r w:rsidRPr="008062B9">
        <w:rPr>
          <w:rFonts w:cs="David" w:hint="cs"/>
          <w:sz w:val="20"/>
          <w:szCs w:val="20"/>
          <w:rtl/>
        </w:rPr>
        <w:t>הסמכה להתקין תקנות או ליתן הוראת מינהל - משמעה גם הסמכה לתקנן, לשנותן, להתלותן או לבטלן בדרך שהותקנו התקנות או ניתנה ההוראה.</w:t>
      </w:r>
    </w:p>
    <w:p w:rsidR="005366A8" w:rsidRPr="008062B9" w:rsidRDefault="005366A8" w:rsidP="005366A8">
      <w:pPr>
        <w:spacing w:after="60"/>
        <w:rPr>
          <w:rFonts w:cs="David"/>
          <w:sz w:val="20"/>
          <w:szCs w:val="20"/>
          <w:rtl/>
        </w:rPr>
      </w:pPr>
      <w:r w:rsidRPr="008062B9">
        <w:rPr>
          <w:rFonts w:cs="David" w:hint="cs"/>
          <w:sz w:val="20"/>
          <w:szCs w:val="20"/>
          <w:rtl/>
        </w:rPr>
        <w:t>16. [סמכות מינוי גוף]</w:t>
      </w:r>
    </w:p>
    <w:p w:rsidR="005366A8" w:rsidRPr="008062B9" w:rsidRDefault="005366A8" w:rsidP="005366A8">
      <w:pPr>
        <w:spacing w:after="60"/>
        <w:ind w:left="720"/>
        <w:rPr>
          <w:rFonts w:cs="David"/>
          <w:sz w:val="20"/>
          <w:szCs w:val="20"/>
          <w:rtl/>
        </w:rPr>
      </w:pPr>
      <w:r w:rsidRPr="008062B9">
        <w:rPr>
          <w:rFonts w:cs="David" w:hint="cs"/>
          <w:sz w:val="20"/>
          <w:szCs w:val="20"/>
          <w:rtl/>
        </w:rPr>
        <w:t>הסמכה למנות גוף של מספר חברים - משמעה גם הסמכה למנות לו יושב ראש ולמנות ממלא מקום לכל חבר שלו.</w:t>
      </w:r>
    </w:p>
    <w:p w:rsidR="005366A8" w:rsidRPr="00A22FA1" w:rsidRDefault="005366A8" w:rsidP="005366A8">
      <w:pPr>
        <w:spacing w:after="60"/>
        <w:rPr>
          <w:rFonts w:cs="David"/>
          <w:sz w:val="20"/>
          <w:szCs w:val="20"/>
          <w:highlight w:val="yellow"/>
          <w:rtl/>
        </w:rPr>
      </w:pPr>
      <w:r w:rsidRPr="008062B9">
        <w:rPr>
          <w:rFonts w:cs="David" w:hint="cs"/>
          <w:sz w:val="20"/>
          <w:szCs w:val="20"/>
          <w:rtl/>
        </w:rPr>
        <w:t>17</w:t>
      </w:r>
      <w:r w:rsidRPr="00A22FA1">
        <w:rPr>
          <w:rFonts w:cs="David" w:hint="cs"/>
          <w:sz w:val="20"/>
          <w:szCs w:val="20"/>
          <w:highlight w:val="yellow"/>
          <w:rtl/>
        </w:rPr>
        <w:t xml:space="preserve">. </w:t>
      </w:r>
      <w:r w:rsidRPr="00A22FA1">
        <w:rPr>
          <w:rFonts w:cs="David" w:hint="cs"/>
          <w:b/>
          <w:bCs/>
          <w:sz w:val="20"/>
          <w:szCs w:val="20"/>
          <w:highlight w:val="yellow"/>
          <w:rtl/>
        </w:rPr>
        <w:t>[סמכויות עזר]</w:t>
      </w:r>
    </w:p>
    <w:p w:rsidR="005366A8" w:rsidRPr="00A22FA1" w:rsidRDefault="005366A8" w:rsidP="005366A8">
      <w:pPr>
        <w:spacing w:after="60"/>
        <w:ind w:left="720"/>
        <w:rPr>
          <w:rFonts w:cs="David"/>
          <w:sz w:val="20"/>
          <w:szCs w:val="20"/>
          <w:highlight w:val="yellow"/>
          <w:rtl/>
        </w:rPr>
      </w:pPr>
      <w:r w:rsidRPr="00A22FA1">
        <w:rPr>
          <w:rFonts w:cs="David" w:hint="cs"/>
          <w:sz w:val="20"/>
          <w:szCs w:val="20"/>
          <w:highlight w:val="yellow"/>
          <w:rtl/>
        </w:rPr>
        <w:t xml:space="preserve"> (א) הסמכה לעשות דבר או לדון בענין פלוני או להכריע בו - משמעה גם הסמכה לקבוע נוהל עבודה וסדרי דיונים ככל שאלה לא נקבעו בחיקוק.</w:t>
      </w:r>
    </w:p>
    <w:p w:rsidR="005366A8" w:rsidRPr="008062B9" w:rsidRDefault="005366A8" w:rsidP="005366A8">
      <w:pPr>
        <w:spacing w:after="60"/>
        <w:ind w:left="720"/>
        <w:rPr>
          <w:rFonts w:cs="David"/>
          <w:sz w:val="20"/>
          <w:szCs w:val="20"/>
          <w:rtl/>
        </w:rPr>
      </w:pPr>
      <w:r w:rsidRPr="00A22FA1">
        <w:rPr>
          <w:rFonts w:cs="David" w:hint="cs"/>
          <w:sz w:val="20"/>
          <w:szCs w:val="20"/>
          <w:highlight w:val="yellow"/>
          <w:rtl/>
        </w:rPr>
        <w:t xml:space="preserve"> (ב) הסמכה לעשות דבר או לכפות עשייתו - משמעה גם מתן סמכויות עזר הדרושות לכך במידה המתקבלת על הדעת.</w:t>
      </w:r>
    </w:p>
    <w:p w:rsidR="005366A8" w:rsidRPr="008062B9" w:rsidRDefault="005366A8" w:rsidP="005366A8">
      <w:pPr>
        <w:spacing w:after="60"/>
        <w:rPr>
          <w:rFonts w:cs="David"/>
          <w:sz w:val="20"/>
          <w:szCs w:val="20"/>
          <w:rtl/>
        </w:rPr>
      </w:pPr>
      <w:r w:rsidRPr="008062B9">
        <w:rPr>
          <w:rFonts w:cs="David" w:hint="cs"/>
          <w:sz w:val="20"/>
          <w:szCs w:val="20"/>
          <w:rtl/>
        </w:rPr>
        <w:t>18. [סמכות בהשגה ובערר]</w:t>
      </w:r>
    </w:p>
    <w:p w:rsidR="005366A8" w:rsidRPr="008062B9" w:rsidRDefault="005366A8" w:rsidP="005366A8">
      <w:pPr>
        <w:ind w:left="720"/>
        <w:rPr>
          <w:rFonts w:cs="David"/>
          <w:sz w:val="20"/>
          <w:szCs w:val="20"/>
          <w:rtl/>
        </w:rPr>
      </w:pPr>
      <w:r w:rsidRPr="008062B9">
        <w:rPr>
          <w:rFonts w:cs="David" w:hint="cs"/>
          <w:sz w:val="20"/>
          <w:szCs w:val="20"/>
          <w:rtl/>
        </w:rPr>
        <w:t>הסמכה לדון ולהכריע בערר או בהשגה אחרת על החלטה של רשות - משמעה גם הסמכה לאשר את ההחלטה בשינויים או בלא שינוי, לבטלה ולהחליט החלטה אחרת במקומה או להחזיר את הענין עם הוראות לרשות שהחליטה</w:t>
      </w:r>
    </w:p>
    <w:p w:rsidR="005366A8" w:rsidRDefault="005366A8" w:rsidP="005366A8">
      <w:pPr>
        <w:rPr>
          <w:sz w:val="20"/>
          <w:szCs w:val="20"/>
          <w:rtl/>
        </w:rPr>
      </w:pPr>
      <w:r>
        <w:rPr>
          <w:rFonts w:hint="cs"/>
          <w:sz w:val="20"/>
          <w:szCs w:val="20"/>
          <w:rtl/>
        </w:rPr>
        <w:t>=-=</w:t>
      </w:r>
    </w:p>
    <w:p w:rsidR="005366A8" w:rsidRDefault="005366A8" w:rsidP="005366A8">
      <w:pPr>
        <w:rPr>
          <w:sz w:val="20"/>
          <w:szCs w:val="20"/>
          <w:rtl/>
        </w:rPr>
      </w:pPr>
    </w:p>
    <w:p w:rsidR="005366A8" w:rsidRDefault="005366A8" w:rsidP="005366A8">
      <w:pPr>
        <w:rPr>
          <w:rFonts w:ascii="Arial" w:hAnsi="Arial" w:cs="Arial"/>
          <w:b/>
          <w:bCs/>
          <w:sz w:val="22"/>
          <w:szCs w:val="22"/>
          <w:rtl/>
        </w:rPr>
      </w:pPr>
      <w:r>
        <w:rPr>
          <w:rFonts w:ascii="Arial" w:hAnsi="Arial" w:cs="Arial" w:hint="cs"/>
          <w:b/>
          <w:bCs/>
          <w:sz w:val="22"/>
          <w:szCs w:val="22"/>
          <w:rtl/>
        </w:rPr>
        <w:t>מדוע חשובה ההבחנה בין "סמכות ראשית" ל"סמכות משנית/נלווית" (פעולות עזר, סמכויות עזר)?</w:t>
      </w:r>
    </w:p>
    <w:p w:rsidR="005366A8" w:rsidRDefault="005366A8" w:rsidP="005366A8">
      <w:pPr>
        <w:rPr>
          <w:sz w:val="20"/>
          <w:szCs w:val="20"/>
          <w:rtl/>
        </w:rPr>
      </w:pPr>
    </w:p>
    <w:p w:rsidR="005366A8" w:rsidRDefault="005366A8" w:rsidP="005366A8">
      <w:pPr>
        <w:rPr>
          <w:rFonts w:ascii="Arial" w:hAnsi="Arial" w:cs="Arial"/>
          <w:b/>
          <w:bCs/>
          <w:sz w:val="22"/>
          <w:szCs w:val="22"/>
          <w:rtl/>
        </w:rPr>
      </w:pPr>
      <w:r>
        <w:rPr>
          <w:rFonts w:ascii="Arial" w:hAnsi="Arial" w:cs="Arial" w:hint="cs"/>
          <w:b/>
          <w:bCs/>
          <w:sz w:val="22"/>
          <w:szCs w:val="22"/>
          <w:highlight w:val="yellow"/>
          <w:rtl/>
        </w:rPr>
        <w:t>"סמכויות עזר"</w:t>
      </w:r>
      <w:r w:rsidRPr="001134F4">
        <w:rPr>
          <w:rFonts w:ascii="Arial" w:hAnsi="Arial" w:cs="Arial" w:hint="cs"/>
          <w:b/>
          <w:bCs/>
          <w:sz w:val="22"/>
          <w:szCs w:val="22"/>
          <w:highlight w:val="yellow"/>
          <w:rtl/>
        </w:rPr>
        <w:t xml:space="preserve"> </w:t>
      </w:r>
      <w:r w:rsidRPr="001134F4">
        <w:rPr>
          <w:rFonts w:ascii="Arial" w:hAnsi="Arial" w:cs="Arial"/>
          <w:b/>
          <w:bCs/>
          <w:sz w:val="22"/>
          <w:szCs w:val="22"/>
          <w:highlight w:val="yellow"/>
          <w:rtl/>
        </w:rPr>
        <w:t>–</w:t>
      </w:r>
      <w:r>
        <w:rPr>
          <w:rFonts w:ascii="Arial" w:hAnsi="Arial" w:cs="Arial" w:hint="cs"/>
          <w:b/>
          <w:bCs/>
          <w:sz w:val="22"/>
          <w:szCs w:val="22"/>
          <w:rtl/>
        </w:rPr>
        <w:t xml:space="preserve"> </w:t>
      </w:r>
    </w:p>
    <w:p w:rsidR="005366A8" w:rsidRDefault="005366A8" w:rsidP="005366A8">
      <w:pPr>
        <w:ind w:left="720"/>
        <w:rPr>
          <w:rFonts w:ascii="Arial" w:hAnsi="Arial" w:cs="Arial"/>
          <w:b/>
          <w:bCs/>
          <w:sz w:val="22"/>
          <w:szCs w:val="22"/>
          <w:rtl/>
        </w:rPr>
      </w:pPr>
      <w:r>
        <w:rPr>
          <w:rFonts w:ascii="Arial" w:hAnsi="Arial" w:cs="Arial" w:hint="cs"/>
          <w:b/>
          <w:bCs/>
          <w:sz w:val="22"/>
          <w:szCs w:val="22"/>
          <w:rtl/>
        </w:rPr>
        <w:t>כיצד נזהה כי מדובר בשימוש בהן, בסמכויות עזר, להבדיל מהאצלה של הסמכות הראשית או חלק ממנה?</w:t>
      </w:r>
    </w:p>
    <w:p w:rsidR="005366A8" w:rsidRDefault="005366A8" w:rsidP="005366A8">
      <w:pPr>
        <w:ind w:left="720"/>
        <w:rPr>
          <w:rFonts w:ascii="Arial" w:hAnsi="Arial" w:cs="Arial"/>
          <w:b/>
          <w:bCs/>
          <w:sz w:val="22"/>
          <w:szCs w:val="22"/>
          <w:rtl/>
        </w:rPr>
      </w:pPr>
      <w:r>
        <w:rPr>
          <w:rFonts w:ascii="Arial" w:hAnsi="Arial" w:cs="Arial" w:hint="cs"/>
          <w:b/>
          <w:bCs/>
          <w:sz w:val="22"/>
          <w:szCs w:val="22"/>
          <w:rtl/>
        </w:rPr>
        <w:t>[וכיצד נזהה האצלה מותרת להבדיל מהאצלה אסורה (נטולת סמכות)?]</w:t>
      </w:r>
    </w:p>
    <w:p w:rsidR="005366A8" w:rsidRDefault="005366A8" w:rsidP="005366A8">
      <w:pPr>
        <w:rPr>
          <w:sz w:val="20"/>
          <w:szCs w:val="20"/>
          <w:rtl/>
        </w:rPr>
      </w:pPr>
      <w:r>
        <w:rPr>
          <w:rFonts w:hint="cs"/>
          <w:sz w:val="20"/>
          <w:szCs w:val="20"/>
          <w:rtl/>
        </w:rPr>
        <w:t>=-=</w:t>
      </w:r>
    </w:p>
    <w:p w:rsidR="005366A8" w:rsidRPr="001134F4" w:rsidRDefault="005366A8" w:rsidP="005366A8">
      <w:pPr>
        <w:rPr>
          <w:sz w:val="20"/>
          <w:szCs w:val="20"/>
          <w:rtl/>
        </w:rPr>
      </w:pPr>
    </w:p>
    <w:p w:rsidR="005366A8" w:rsidRPr="00B425B7" w:rsidRDefault="005366A8" w:rsidP="005366A8">
      <w:pPr>
        <w:spacing w:after="120"/>
        <w:jc w:val="center"/>
        <w:rPr>
          <w:rFonts w:ascii="Arial" w:hAnsi="Arial" w:cs="Arial"/>
          <w:sz w:val="28"/>
          <w:szCs w:val="28"/>
          <w:u w:val="single"/>
          <w:rtl/>
        </w:rPr>
      </w:pPr>
      <w:r w:rsidRPr="001134F4">
        <w:rPr>
          <w:rFonts w:ascii="Arial" w:hAnsi="Arial" w:cs="Arial" w:hint="cs"/>
          <w:b/>
          <w:bCs/>
          <w:sz w:val="28"/>
          <w:szCs w:val="28"/>
          <w:highlight w:val="yellow"/>
          <w:u w:val="single"/>
          <w:rtl/>
        </w:rPr>
        <w:t xml:space="preserve">דיני הסמכה </w:t>
      </w:r>
      <w:r w:rsidRPr="001134F4">
        <w:rPr>
          <w:rFonts w:ascii="Arial" w:hAnsi="Arial" w:cs="Arial"/>
          <w:b/>
          <w:bCs/>
          <w:sz w:val="28"/>
          <w:szCs w:val="28"/>
          <w:highlight w:val="yellow"/>
          <w:u w:val="single"/>
          <w:rtl/>
        </w:rPr>
        <w:t>–</w:t>
      </w:r>
      <w:r w:rsidRPr="001134F4">
        <w:rPr>
          <w:rFonts w:ascii="Arial" w:hAnsi="Arial" w:cs="Arial" w:hint="cs"/>
          <w:b/>
          <w:bCs/>
          <w:sz w:val="28"/>
          <w:szCs w:val="28"/>
          <w:highlight w:val="yellow"/>
          <w:u w:val="single"/>
          <w:rtl/>
        </w:rPr>
        <w:t xml:space="preserve"> נקודות מרכזיות</w:t>
      </w:r>
      <w:r w:rsidRPr="00B425B7">
        <w:rPr>
          <w:rFonts w:ascii="Arial" w:hAnsi="Arial" w:cs="Arial" w:hint="cs"/>
          <w:sz w:val="28"/>
          <w:szCs w:val="28"/>
          <w:u w:val="single"/>
          <w:rtl/>
        </w:rPr>
        <w:t xml:space="preserve"> </w:t>
      </w:r>
    </w:p>
    <w:p w:rsidR="005366A8" w:rsidRDefault="005366A8" w:rsidP="005366A8">
      <w:pPr>
        <w:rPr>
          <w:b/>
          <w:bCs/>
          <w:sz w:val="20"/>
          <w:szCs w:val="20"/>
          <w:rtl/>
        </w:rPr>
      </w:pPr>
      <w:r w:rsidRPr="00877F38">
        <w:rPr>
          <w:rFonts w:hint="cs"/>
          <w:sz w:val="20"/>
          <w:szCs w:val="20"/>
          <w:rtl/>
        </w:rPr>
        <w:t>א.</w:t>
      </w:r>
      <w:r>
        <w:rPr>
          <w:rFonts w:hint="cs"/>
          <w:b/>
          <w:bCs/>
          <w:sz w:val="20"/>
          <w:szCs w:val="20"/>
          <w:rtl/>
        </w:rPr>
        <w:t xml:space="preserve"> </w:t>
      </w:r>
      <w:r w:rsidRPr="00877F38">
        <w:rPr>
          <w:rFonts w:hint="cs"/>
          <w:b/>
          <w:bCs/>
          <w:sz w:val="20"/>
          <w:szCs w:val="20"/>
          <w:rtl/>
        </w:rPr>
        <w:t>עצמאות הרשות המוסמכת:</w:t>
      </w:r>
      <w:r>
        <w:rPr>
          <w:rFonts w:hint="cs"/>
          <w:sz w:val="20"/>
          <w:szCs w:val="20"/>
          <w:rtl/>
        </w:rPr>
        <w:t xml:space="preserve"> עסקנו בכך זה לפני כמה רגעים. </w:t>
      </w:r>
      <w:r w:rsidRPr="00730C53">
        <w:rPr>
          <w:sz w:val="20"/>
          <w:szCs w:val="20"/>
          <w:rtl/>
        </w:rPr>
        <w:t xml:space="preserve">הלכה פסוקה היא, כי רשות שלטונית, אשר </w:t>
      </w:r>
      <w:r>
        <w:rPr>
          <w:rFonts w:hint="cs"/>
          <w:sz w:val="20"/>
          <w:szCs w:val="20"/>
          <w:rtl/>
        </w:rPr>
        <w:t>המחוקק/</w:t>
      </w:r>
      <w:r w:rsidRPr="00730C53">
        <w:rPr>
          <w:sz w:val="20"/>
          <w:szCs w:val="20"/>
          <w:rtl/>
        </w:rPr>
        <w:t>החוק מעניק לה סמכות, חייבת לבצע את הסמכות בעצמה, ואינה רשאית - בהעדר הסמכה בדין</w:t>
      </w:r>
      <w:r>
        <w:rPr>
          <w:rFonts w:hint="cs"/>
          <w:sz w:val="20"/>
          <w:szCs w:val="20"/>
          <w:rtl/>
        </w:rPr>
        <w:t xml:space="preserve"> (הסמכה מפורשת או משתמעת)</w:t>
      </w:r>
      <w:r w:rsidRPr="00730C53">
        <w:rPr>
          <w:sz w:val="20"/>
          <w:szCs w:val="20"/>
          <w:rtl/>
        </w:rPr>
        <w:t xml:space="preserve"> - לאצול את סמכותה לזולתה</w:t>
      </w:r>
      <w:r>
        <w:rPr>
          <w:rFonts w:hint="cs"/>
          <w:sz w:val="20"/>
          <w:szCs w:val="20"/>
          <w:rtl/>
        </w:rPr>
        <w:t>.</w:t>
      </w:r>
    </w:p>
    <w:p w:rsidR="005366A8" w:rsidRDefault="005366A8" w:rsidP="005366A8">
      <w:pPr>
        <w:rPr>
          <w:b/>
          <w:bCs/>
          <w:sz w:val="20"/>
          <w:szCs w:val="20"/>
          <w:rtl/>
        </w:rPr>
      </w:pPr>
    </w:p>
    <w:p w:rsidR="005366A8" w:rsidRPr="0053498C" w:rsidRDefault="005366A8" w:rsidP="005366A8">
      <w:pPr>
        <w:rPr>
          <w:b/>
          <w:bCs/>
          <w:sz w:val="20"/>
          <w:szCs w:val="20"/>
          <w:rtl/>
        </w:rPr>
      </w:pPr>
      <w:r w:rsidRPr="00877F38">
        <w:rPr>
          <w:rFonts w:hint="cs"/>
          <w:sz w:val="20"/>
          <w:szCs w:val="20"/>
          <w:rtl/>
        </w:rPr>
        <w:t xml:space="preserve">ב. </w:t>
      </w:r>
      <w:r>
        <w:rPr>
          <w:rFonts w:hint="cs"/>
          <w:b/>
          <w:bCs/>
          <w:sz w:val="20"/>
          <w:szCs w:val="20"/>
          <w:rtl/>
        </w:rPr>
        <w:t>קיומו של הב</w:t>
      </w:r>
      <w:r w:rsidRPr="0053498C">
        <w:rPr>
          <w:rFonts w:hint="cs"/>
          <w:b/>
          <w:bCs/>
          <w:sz w:val="20"/>
          <w:szCs w:val="20"/>
          <w:rtl/>
        </w:rPr>
        <w:t xml:space="preserve">דל בין </w:t>
      </w:r>
      <w:r w:rsidRPr="00BD74E3">
        <w:rPr>
          <w:rFonts w:hint="cs"/>
          <w:b/>
          <w:bCs/>
          <w:sz w:val="20"/>
          <w:szCs w:val="20"/>
          <w:u w:val="single"/>
          <w:rtl/>
        </w:rPr>
        <w:t>אצילה (או העברה או נטילה) של סמכות</w:t>
      </w:r>
      <w:r>
        <w:rPr>
          <w:rFonts w:hint="cs"/>
          <w:b/>
          <w:bCs/>
          <w:sz w:val="20"/>
          <w:szCs w:val="20"/>
          <w:rtl/>
        </w:rPr>
        <w:t>,</w:t>
      </w:r>
      <w:r w:rsidRPr="0053498C">
        <w:rPr>
          <w:rFonts w:hint="cs"/>
          <w:b/>
          <w:bCs/>
          <w:sz w:val="20"/>
          <w:szCs w:val="20"/>
          <w:rtl/>
        </w:rPr>
        <w:t xml:space="preserve"> לבין </w:t>
      </w:r>
      <w:r w:rsidRPr="00711B14">
        <w:rPr>
          <w:rFonts w:hint="cs"/>
          <w:b/>
          <w:bCs/>
          <w:sz w:val="20"/>
          <w:szCs w:val="20"/>
          <w:u w:val="single"/>
          <w:rtl/>
        </w:rPr>
        <w:t>העזרות באחרים לצורך ביצוע הסמכות</w:t>
      </w:r>
      <w:r w:rsidRPr="0053498C">
        <w:rPr>
          <w:rFonts w:hint="cs"/>
          <w:b/>
          <w:bCs/>
          <w:sz w:val="20"/>
          <w:szCs w:val="20"/>
          <w:rtl/>
        </w:rPr>
        <w:t xml:space="preserve"> (</w:t>
      </w:r>
      <w:r>
        <w:rPr>
          <w:rFonts w:hint="cs"/>
          <w:b/>
          <w:bCs/>
          <w:sz w:val="20"/>
          <w:szCs w:val="20"/>
          <w:rtl/>
        </w:rPr>
        <w:t>=</w:t>
      </w:r>
      <w:r w:rsidRPr="00BD74E3">
        <w:rPr>
          <w:rFonts w:hint="cs"/>
          <w:b/>
          <w:bCs/>
          <w:sz w:val="20"/>
          <w:szCs w:val="20"/>
          <w:u w:val="single"/>
          <w:rtl/>
        </w:rPr>
        <w:t>סמכויות עזר</w:t>
      </w:r>
      <w:r w:rsidRPr="0053498C">
        <w:rPr>
          <w:rFonts w:hint="cs"/>
          <w:b/>
          <w:bCs/>
          <w:sz w:val="20"/>
          <w:szCs w:val="20"/>
          <w:rtl/>
        </w:rPr>
        <w:t>; פעולות עזר)</w:t>
      </w:r>
    </w:p>
    <w:p w:rsidR="005366A8" w:rsidRPr="00BA3914" w:rsidRDefault="005366A8" w:rsidP="005366A8">
      <w:pPr>
        <w:spacing w:after="120"/>
        <w:ind w:left="510"/>
        <w:rPr>
          <w:b/>
          <w:bCs/>
          <w:sz w:val="20"/>
          <w:szCs w:val="20"/>
          <w:highlight w:val="yellow"/>
          <w:rtl/>
        </w:rPr>
      </w:pPr>
      <w:r w:rsidRPr="00BA3914">
        <w:rPr>
          <w:rFonts w:hint="cs"/>
          <w:i/>
          <w:iCs/>
          <w:sz w:val="20"/>
          <w:szCs w:val="20"/>
          <w:rtl/>
        </w:rPr>
        <w:t>עקרון החוקיות</w:t>
      </w:r>
      <w:r w:rsidRPr="0053498C">
        <w:rPr>
          <w:rFonts w:hint="cs"/>
          <w:sz w:val="20"/>
          <w:szCs w:val="20"/>
          <w:rtl/>
        </w:rPr>
        <w:t xml:space="preserve">: </w:t>
      </w:r>
      <w:r>
        <w:rPr>
          <w:rFonts w:hint="cs"/>
          <w:sz w:val="20"/>
          <w:szCs w:val="20"/>
          <w:rtl/>
        </w:rPr>
        <w:t xml:space="preserve">יש </w:t>
      </w:r>
      <w:r w:rsidRPr="0053498C">
        <w:rPr>
          <w:rFonts w:hint="cs"/>
          <w:sz w:val="20"/>
          <w:szCs w:val="20"/>
          <w:rtl/>
        </w:rPr>
        <w:t xml:space="preserve">צורך בהסמכה מפורשת או משתמעת </w:t>
      </w:r>
      <w:r>
        <w:rPr>
          <w:rFonts w:hint="cs"/>
          <w:sz w:val="20"/>
          <w:szCs w:val="20"/>
          <w:rtl/>
        </w:rPr>
        <w:t>לאצילה (העברה או נטילה) של הסמכות המסוימת שאצילתה נבחנת</w:t>
      </w:r>
      <w:r w:rsidRPr="0053498C">
        <w:rPr>
          <w:rFonts w:hint="cs"/>
          <w:sz w:val="20"/>
          <w:szCs w:val="20"/>
          <w:rtl/>
        </w:rPr>
        <w:t xml:space="preserve">; </w:t>
      </w:r>
      <w:r>
        <w:rPr>
          <w:rFonts w:hint="cs"/>
          <w:sz w:val="20"/>
          <w:szCs w:val="20"/>
          <w:rtl/>
        </w:rPr>
        <w:t xml:space="preserve">זאת </w:t>
      </w:r>
      <w:r w:rsidRPr="0053498C">
        <w:rPr>
          <w:rFonts w:hint="cs"/>
          <w:sz w:val="20"/>
          <w:szCs w:val="20"/>
          <w:rtl/>
        </w:rPr>
        <w:t>לעומת העדר הצורך בהסמכה מיוחדת לפעולות עזר</w:t>
      </w:r>
      <w:r>
        <w:rPr>
          <w:rFonts w:hint="cs"/>
          <w:sz w:val="20"/>
          <w:szCs w:val="20"/>
          <w:rtl/>
        </w:rPr>
        <w:t>; זאת בשל</w:t>
      </w:r>
      <w:r w:rsidRPr="0053498C">
        <w:rPr>
          <w:rFonts w:hint="cs"/>
          <w:sz w:val="20"/>
          <w:szCs w:val="20"/>
          <w:rtl/>
        </w:rPr>
        <w:t xml:space="preserve"> קיומה של הסמכה כללית לסמכויות</w:t>
      </w:r>
      <w:r>
        <w:rPr>
          <w:rFonts w:hint="cs"/>
          <w:sz w:val="20"/>
          <w:szCs w:val="20"/>
          <w:rtl/>
        </w:rPr>
        <w:t>-</w:t>
      </w:r>
      <w:r w:rsidRPr="0053498C">
        <w:rPr>
          <w:rFonts w:hint="cs"/>
          <w:sz w:val="20"/>
          <w:szCs w:val="20"/>
          <w:rtl/>
        </w:rPr>
        <w:t xml:space="preserve">עזר המופיעה </w:t>
      </w:r>
      <w:r w:rsidRPr="00BA3914">
        <w:rPr>
          <w:rFonts w:hint="cs"/>
          <w:b/>
          <w:bCs/>
          <w:sz w:val="20"/>
          <w:szCs w:val="20"/>
          <w:highlight w:val="yellow"/>
          <w:rtl/>
        </w:rPr>
        <w:t>בסע' 17 לחוק הפרשנות:</w:t>
      </w:r>
    </w:p>
    <w:p w:rsidR="005366A8" w:rsidRPr="00BA3914" w:rsidRDefault="005366A8" w:rsidP="005366A8">
      <w:pPr>
        <w:ind w:left="1797" w:hanging="720"/>
        <w:rPr>
          <w:rFonts w:cs="David"/>
          <w:b/>
          <w:bCs/>
          <w:sz w:val="20"/>
          <w:szCs w:val="20"/>
          <w:highlight w:val="yellow"/>
          <w:rtl/>
        </w:rPr>
      </w:pPr>
      <w:r w:rsidRPr="00BA3914">
        <w:rPr>
          <w:rFonts w:cs="David" w:hint="cs"/>
          <w:b/>
          <w:bCs/>
          <w:sz w:val="20"/>
          <w:szCs w:val="20"/>
          <w:highlight w:val="yellow"/>
          <w:rtl/>
        </w:rPr>
        <w:t>(א)</w:t>
      </w:r>
      <w:r>
        <w:rPr>
          <w:rFonts w:cs="David" w:hint="cs"/>
          <w:b/>
          <w:bCs/>
          <w:sz w:val="20"/>
          <w:szCs w:val="20"/>
          <w:highlight w:val="yellow"/>
          <w:rtl/>
        </w:rPr>
        <w:t xml:space="preserve"> </w:t>
      </w:r>
      <w:r w:rsidRPr="00BA3914">
        <w:rPr>
          <w:rFonts w:cs="David" w:hint="cs"/>
          <w:b/>
          <w:bCs/>
          <w:sz w:val="20"/>
          <w:szCs w:val="20"/>
          <w:highlight w:val="yellow"/>
          <w:rtl/>
        </w:rPr>
        <w:t>הסמכה לעשות דבר או לדון בענין פלוני או להכריע בו - משמעה גם הסמכה לקבוע נוהל עבודה וסדרי דיונים ככל שאלה לא נקבעו בחיקוק.</w:t>
      </w:r>
    </w:p>
    <w:p w:rsidR="005366A8" w:rsidRPr="00BD74E3" w:rsidRDefault="005366A8" w:rsidP="005366A8">
      <w:pPr>
        <w:spacing w:after="120"/>
        <w:ind w:left="1077"/>
        <w:rPr>
          <w:rFonts w:cs="David"/>
          <w:sz w:val="20"/>
          <w:szCs w:val="20"/>
          <w:rtl/>
        </w:rPr>
      </w:pPr>
      <w:r w:rsidRPr="00BA3914">
        <w:rPr>
          <w:rFonts w:cs="David" w:hint="cs"/>
          <w:b/>
          <w:bCs/>
          <w:sz w:val="20"/>
          <w:szCs w:val="20"/>
          <w:highlight w:val="yellow"/>
          <w:rtl/>
        </w:rPr>
        <w:t>(ב)</w:t>
      </w:r>
      <w:r>
        <w:rPr>
          <w:rFonts w:cs="David" w:hint="cs"/>
          <w:b/>
          <w:bCs/>
          <w:sz w:val="20"/>
          <w:szCs w:val="20"/>
          <w:highlight w:val="yellow"/>
          <w:rtl/>
        </w:rPr>
        <w:t xml:space="preserve"> </w:t>
      </w:r>
      <w:r w:rsidRPr="00BA3914">
        <w:rPr>
          <w:rFonts w:cs="David" w:hint="cs"/>
          <w:b/>
          <w:bCs/>
          <w:sz w:val="20"/>
          <w:szCs w:val="20"/>
          <w:highlight w:val="yellow"/>
          <w:rtl/>
        </w:rPr>
        <w:t>הסמכה לעשות דבר או לכפות עשייתו - משמעה גם מתן סמכויות עזר הדרושות לכך במידה המתקבלת על הדעת</w:t>
      </w:r>
      <w:r w:rsidRPr="00BA3914">
        <w:rPr>
          <w:rFonts w:cs="David" w:hint="cs"/>
          <w:b/>
          <w:bCs/>
          <w:sz w:val="20"/>
          <w:szCs w:val="20"/>
          <w:rtl/>
        </w:rPr>
        <w:t>.</w:t>
      </w:r>
    </w:p>
    <w:p w:rsidR="005366A8" w:rsidRDefault="005366A8" w:rsidP="005366A8">
      <w:pPr>
        <w:ind w:left="720"/>
        <w:rPr>
          <w:sz w:val="20"/>
          <w:szCs w:val="20"/>
          <w:rtl/>
        </w:rPr>
      </w:pPr>
      <w:r w:rsidRPr="0053498C">
        <w:rPr>
          <w:rFonts w:hint="cs"/>
          <w:sz w:val="20"/>
          <w:szCs w:val="20"/>
          <w:rtl/>
        </w:rPr>
        <w:t>קו הגבול לזיהוי איננו נוקשה</w:t>
      </w:r>
      <w:r>
        <w:rPr>
          <w:rFonts w:hint="cs"/>
          <w:sz w:val="20"/>
          <w:szCs w:val="20"/>
          <w:rtl/>
        </w:rPr>
        <w:t>, ולכן גם אינו חד או ברור</w:t>
      </w:r>
      <w:r w:rsidRPr="0053498C">
        <w:rPr>
          <w:rFonts w:hint="cs"/>
          <w:sz w:val="20"/>
          <w:szCs w:val="20"/>
          <w:rtl/>
        </w:rPr>
        <w:t>.</w:t>
      </w:r>
      <w:r>
        <w:rPr>
          <w:rFonts w:hint="cs"/>
          <w:sz w:val="20"/>
          <w:szCs w:val="20"/>
          <w:rtl/>
        </w:rPr>
        <w:t xml:space="preserve"> </w:t>
      </w:r>
      <w:r w:rsidRPr="0053498C">
        <w:rPr>
          <w:rFonts w:hint="cs"/>
          <w:sz w:val="20"/>
          <w:szCs w:val="20"/>
          <w:rtl/>
        </w:rPr>
        <w:t>מה שמסייע לנו הוא אופי פעולות</w:t>
      </w:r>
      <w:r>
        <w:rPr>
          <w:rFonts w:hint="cs"/>
          <w:sz w:val="20"/>
          <w:szCs w:val="20"/>
          <w:rtl/>
        </w:rPr>
        <w:t>-</w:t>
      </w:r>
      <w:r w:rsidRPr="0053498C">
        <w:rPr>
          <w:rFonts w:hint="cs"/>
          <w:sz w:val="20"/>
          <w:szCs w:val="20"/>
          <w:rtl/>
        </w:rPr>
        <w:t xml:space="preserve">העזר: האם </w:t>
      </w:r>
      <w:r>
        <w:rPr>
          <w:rFonts w:hint="cs"/>
          <w:sz w:val="20"/>
          <w:szCs w:val="20"/>
          <w:rtl/>
        </w:rPr>
        <w:t xml:space="preserve">הן </w:t>
      </w:r>
      <w:r w:rsidRPr="0053498C">
        <w:rPr>
          <w:rFonts w:hint="cs"/>
          <w:sz w:val="20"/>
          <w:szCs w:val="20"/>
          <w:rtl/>
        </w:rPr>
        <w:t xml:space="preserve">טכניות או שמא נלווה להן שיקול דעת של ממש? מה אופיין </w:t>
      </w:r>
      <w:r w:rsidRPr="0053498C">
        <w:rPr>
          <w:sz w:val="20"/>
          <w:szCs w:val="20"/>
          <w:rtl/>
        </w:rPr>
        <w:t>–</w:t>
      </w:r>
      <w:r w:rsidRPr="0053498C">
        <w:rPr>
          <w:rFonts w:hint="cs"/>
          <w:sz w:val="20"/>
          <w:szCs w:val="20"/>
          <w:rtl/>
        </w:rPr>
        <w:t xml:space="preserve"> האם, למשל, </w:t>
      </w:r>
      <w:r>
        <w:rPr>
          <w:rFonts w:hint="cs"/>
          <w:sz w:val="20"/>
          <w:szCs w:val="20"/>
          <w:rtl/>
        </w:rPr>
        <w:t xml:space="preserve">הן </w:t>
      </w:r>
      <w:r w:rsidRPr="0053498C">
        <w:rPr>
          <w:rFonts w:hint="cs"/>
          <w:sz w:val="20"/>
          <w:szCs w:val="20"/>
          <w:rtl/>
        </w:rPr>
        <w:t xml:space="preserve">בעלות פוטנציאל לפגיעה בזכויות אדם? (השוו, </w:t>
      </w:r>
      <w:r>
        <w:rPr>
          <w:rFonts w:hint="cs"/>
          <w:b/>
          <w:bCs/>
          <w:sz w:val="20"/>
          <w:szCs w:val="20"/>
          <w:rtl/>
        </w:rPr>
        <w:t>תנו לחיות לחיות</w:t>
      </w:r>
      <w:r w:rsidRPr="0053498C">
        <w:rPr>
          <w:rFonts w:hint="cs"/>
          <w:sz w:val="20"/>
          <w:szCs w:val="20"/>
          <w:rtl/>
        </w:rPr>
        <w:t>).</w:t>
      </w:r>
    </w:p>
    <w:p w:rsidR="005366A8" w:rsidRPr="0053498C" w:rsidRDefault="005366A8" w:rsidP="005366A8">
      <w:pPr>
        <w:ind w:left="720"/>
        <w:rPr>
          <w:sz w:val="20"/>
          <w:szCs w:val="20"/>
          <w:rtl/>
        </w:rPr>
      </w:pPr>
    </w:p>
    <w:p w:rsidR="005366A8" w:rsidRPr="0053498C" w:rsidRDefault="005366A8" w:rsidP="005366A8">
      <w:pPr>
        <w:rPr>
          <w:sz w:val="20"/>
          <w:szCs w:val="20"/>
          <w:rtl/>
        </w:rPr>
      </w:pPr>
      <w:r>
        <w:rPr>
          <w:rFonts w:hint="cs"/>
          <w:sz w:val="20"/>
          <w:szCs w:val="20"/>
          <w:rtl/>
        </w:rPr>
        <w:t xml:space="preserve">ג. עם זאת, </w:t>
      </w:r>
      <w:r w:rsidRPr="0053498C">
        <w:rPr>
          <w:rFonts w:hint="cs"/>
          <w:sz w:val="20"/>
          <w:szCs w:val="20"/>
          <w:rtl/>
        </w:rPr>
        <w:t xml:space="preserve">ביחס לאצילה/ העברה/ נטילה של </w:t>
      </w:r>
      <w:r w:rsidRPr="00BD74E3">
        <w:rPr>
          <w:rFonts w:hint="cs"/>
          <w:b/>
          <w:bCs/>
          <w:sz w:val="20"/>
          <w:szCs w:val="20"/>
          <w:rtl/>
        </w:rPr>
        <w:t>סמכות הנתונה לממשלה או לשר</w:t>
      </w:r>
      <w:r>
        <w:rPr>
          <w:rFonts w:hint="cs"/>
          <w:sz w:val="20"/>
          <w:szCs w:val="20"/>
          <w:rtl/>
        </w:rPr>
        <w:t xml:space="preserve"> </w:t>
      </w:r>
      <w:r w:rsidRPr="0053498C">
        <w:rPr>
          <w:rFonts w:hint="cs"/>
          <w:sz w:val="20"/>
          <w:szCs w:val="20"/>
          <w:rtl/>
        </w:rPr>
        <w:t xml:space="preserve">מופיעים סעיפי הסמכה כלליים במישור </w:t>
      </w:r>
      <w:r w:rsidRPr="0053498C">
        <w:rPr>
          <w:rFonts w:hint="cs"/>
          <w:b/>
          <w:bCs/>
          <w:sz w:val="20"/>
          <w:szCs w:val="20"/>
          <w:rtl/>
        </w:rPr>
        <w:t>הממשלה ושריה</w:t>
      </w:r>
      <w:r w:rsidRPr="0053498C">
        <w:rPr>
          <w:rFonts w:hint="cs"/>
          <w:sz w:val="20"/>
          <w:szCs w:val="20"/>
          <w:rtl/>
        </w:rPr>
        <w:t xml:space="preserve">. </w:t>
      </w:r>
      <w:r>
        <w:rPr>
          <w:rFonts w:hint="cs"/>
          <w:sz w:val="20"/>
          <w:szCs w:val="20"/>
          <w:rtl/>
        </w:rPr>
        <w:t xml:space="preserve">אלו הם </w:t>
      </w:r>
      <w:r w:rsidRPr="0053498C">
        <w:rPr>
          <w:rFonts w:hint="cs"/>
          <w:sz w:val="20"/>
          <w:szCs w:val="20"/>
          <w:rtl/>
        </w:rPr>
        <w:t>הסעיפים בחוק יסוד: הממשלה</w:t>
      </w:r>
      <w:r>
        <w:rPr>
          <w:rFonts w:hint="cs"/>
          <w:sz w:val="20"/>
          <w:szCs w:val="20"/>
          <w:rtl/>
        </w:rPr>
        <w:t xml:space="preserve"> (שחלקם אוזכרו לעיל, והם מופיעים בחלקם מייד להלן).</w:t>
      </w:r>
    </w:p>
    <w:p w:rsidR="005366A8" w:rsidRDefault="005366A8" w:rsidP="005366A8">
      <w:pPr>
        <w:ind w:left="508"/>
        <w:rPr>
          <w:sz w:val="20"/>
          <w:szCs w:val="20"/>
          <w:rtl/>
        </w:rPr>
      </w:pPr>
      <w:r w:rsidRPr="0053498C">
        <w:rPr>
          <w:rFonts w:hint="cs"/>
          <w:sz w:val="20"/>
          <w:szCs w:val="20"/>
          <w:rtl/>
        </w:rPr>
        <w:t>אנו מוצאים ב</w:t>
      </w:r>
      <w:r>
        <w:rPr>
          <w:rFonts w:hint="cs"/>
          <w:sz w:val="20"/>
          <w:szCs w:val="20"/>
          <w:rtl/>
        </w:rPr>
        <w:t>סעיפים אלו</w:t>
      </w:r>
      <w:r w:rsidRPr="0053498C">
        <w:rPr>
          <w:rFonts w:hint="cs"/>
          <w:sz w:val="20"/>
          <w:szCs w:val="20"/>
          <w:rtl/>
        </w:rPr>
        <w:t xml:space="preserve"> הבחנה בין סמכויות ביצוע מצד אחד, לבין סמכויות תחיקתיות או סמכויות מעין-שיפוטיות מצד שני.</w:t>
      </w:r>
    </w:p>
    <w:p w:rsidR="005366A8" w:rsidRPr="0053498C" w:rsidRDefault="005366A8" w:rsidP="005366A8">
      <w:pPr>
        <w:ind w:left="508"/>
        <w:rPr>
          <w:sz w:val="20"/>
          <w:szCs w:val="20"/>
          <w:rtl/>
        </w:rPr>
      </w:pPr>
    </w:p>
    <w:p w:rsidR="005366A8" w:rsidRDefault="005366A8" w:rsidP="005366A8">
      <w:pPr>
        <w:ind w:left="567" w:hanging="567"/>
        <w:rPr>
          <w:sz w:val="20"/>
          <w:szCs w:val="20"/>
          <w:rtl/>
        </w:rPr>
      </w:pPr>
      <w:r>
        <w:rPr>
          <w:rFonts w:hint="cs"/>
          <w:sz w:val="20"/>
          <w:szCs w:val="20"/>
          <w:rtl/>
        </w:rPr>
        <w:t xml:space="preserve">ד. </w:t>
      </w:r>
      <w:r w:rsidRPr="0053498C">
        <w:rPr>
          <w:rFonts w:hint="cs"/>
          <w:sz w:val="20"/>
          <w:szCs w:val="20"/>
          <w:rtl/>
        </w:rPr>
        <w:t xml:space="preserve">כשנבוא לשאלת האצילה/ העברה/ נטילה של </w:t>
      </w:r>
      <w:r w:rsidRPr="0053498C">
        <w:rPr>
          <w:rFonts w:hint="cs"/>
          <w:b/>
          <w:bCs/>
          <w:sz w:val="20"/>
          <w:szCs w:val="20"/>
          <w:rtl/>
        </w:rPr>
        <w:t xml:space="preserve">סמכות הנתונה לרשות שלטונית </w:t>
      </w:r>
      <w:r w:rsidRPr="0053498C">
        <w:rPr>
          <w:b/>
          <w:bCs/>
          <w:sz w:val="20"/>
          <w:szCs w:val="20"/>
          <w:rtl/>
        </w:rPr>
        <w:t>–</w:t>
      </w:r>
      <w:r w:rsidRPr="0053498C">
        <w:rPr>
          <w:rFonts w:hint="cs"/>
          <w:b/>
          <w:bCs/>
          <w:sz w:val="20"/>
          <w:szCs w:val="20"/>
          <w:rtl/>
        </w:rPr>
        <w:t xml:space="preserve"> </w:t>
      </w:r>
      <w:r w:rsidRPr="00A60953">
        <w:rPr>
          <w:rFonts w:hint="cs"/>
          <w:b/>
          <w:bCs/>
          <w:i/>
          <w:iCs/>
          <w:sz w:val="20"/>
          <w:szCs w:val="20"/>
          <w:rtl/>
        </w:rPr>
        <w:t>שאיננה</w:t>
      </w:r>
      <w:r w:rsidRPr="0053498C">
        <w:rPr>
          <w:rFonts w:hint="cs"/>
          <w:b/>
          <w:bCs/>
          <w:sz w:val="20"/>
          <w:szCs w:val="20"/>
          <w:rtl/>
        </w:rPr>
        <w:t xml:space="preserve"> הממשלה או אחד השרים</w:t>
      </w:r>
      <w:r w:rsidRPr="0053498C">
        <w:rPr>
          <w:rFonts w:hint="cs"/>
          <w:sz w:val="20"/>
          <w:szCs w:val="20"/>
          <w:rtl/>
        </w:rPr>
        <w:t xml:space="preserve"> </w:t>
      </w:r>
      <w:r w:rsidRPr="0053498C">
        <w:rPr>
          <w:sz w:val="20"/>
          <w:szCs w:val="20"/>
          <w:rtl/>
        </w:rPr>
        <w:t>–</w:t>
      </w:r>
      <w:r w:rsidRPr="0053498C">
        <w:rPr>
          <w:rFonts w:hint="cs"/>
          <w:sz w:val="20"/>
          <w:szCs w:val="20"/>
          <w:rtl/>
        </w:rPr>
        <w:t xml:space="preserve"> נבדוק את החוק המעניק את הסמכות</w:t>
      </w:r>
      <w:r>
        <w:rPr>
          <w:rFonts w:hint="cs"/>
          <w:sz w:val="20"/>
          <w:szCs w:val="20"/>
          <w:rtl/>
        </w:rPr>
        <w:t>, ונראה</w:t>
      </w:r>
      <w:r w:rsidRPr="0053498C">
        <w:rPr>
          <w:rFonts w:hint="cs"/>
          <w:sz w:val="20"/>
          <w:szCs w:val="20"/>
          <w:rtl/>
        </w:rPr>
        <w:t xml:space="preserve"> אם יש בו הסמכה מפורשת לכך.</w:t>
      </w:r>
      <w:r>
        <w:rPr>
          <w:rFonts w:hint="cs"/>
          <w:sz w:val="20"/>
          <w:szCs w:val="20"/>
          <w:rtl/>
        </w:rPr>
        <w:t xml:space="preserve"> </w:t>
      </w:r>
      <w:r w:rsidRPr="0053498C">
        <w:rPr>
          <w:rFonts w:hint="cs"/>
          <w:sz w:val="20"/>
          <w:szCs w:val="20"/>
          <w:rtl/>
        </w:rPr>
        <w:t xml:space="preserve">אם אין </w:t>
      </w:r>
      <w:r>
        <w:rPr>
          <w:rFonts w:hint="cs"/>
          <w:sz w:val="20"/>
          <w:szCs w:val="20"/>
          <w:rtl/>
        </w:rPr>
        <w:t>הסמכה מפורשת</w:t>
      </w:r>
      <w:r w:rsidRPr="0053498C">
        <w:rPr>
          <w:rFonts w:hint="cs"/>
          <w:sz w:val="20"/>
          <w:szCs w:val="20"/>
          <w:rtl/>
        </w:rPr>
        <w:t>, נשאל עדיין אם אין הסמכה משתמעת לעשות כן.</w:t>
      </w:r>
      <w:r>
        <w:rPr>
          <w:rFonts w:hint="cs"/>
          <w:sz w:val="20"/>
          <w:szCs w:val="20"/>
          <w:rtl/>
        </w:rPr>
        <w:t xml:space="preserve"> </w:t>
      </w:r>
    </w:p>
    <w:p w:rsidR="005366A8" w:rsidRDefault="005366A8" w:rsidP="005366A8">
      <w:pPr>
        <w:ind w:left="508"/>
        <w:rPr>
          <w:sz w:val="20"/>
          <w:szCs w:val="20"/>
          <w:rtl/>
        </w:rPr>
      </w:pPr>
      <w:r w:rsidRPr="0053498C">
        <w:rPr>
          <w:rFonts w:hint="cs"/>
          <w:sz w:val="20"/>
          <w:szCs w:val="20"/>
          <w:rtl/>
        </w:rPr>
        <w:t xml:space="preserve">תשובתנו תושפע מההבחנה בין סמכויות ביצוע </w:t>
      </w:r>
      <w:r>
        <w:rPr>
          <w:rFonts w:hint="cs"/>
          <w:sz w:val="20"/>
          <w:szCs w:val="20"/>
          <w:rtl/>
        </w:rPr>
        <w:t xml:space="preserve">של המינהל (שלגביה אנחנו מתירניים יותר במציאת הסמכה משתמעת לאצילה), </w:t>
      </w:r>
      <w:r w:rsidRPr="0053498C">
        <w:rPr>
          <w:rFonts w:hint="cs"/>
          <w:sz w:val="20"/>
          <w:szCs w:val="20"/>
          <w:rtl/>
        </w:rPr>
        <w:t xml:space="preserve">לבין, מנגד, סמכויות תחיקה או סמכויות מעין-שיפוטיות </w:t>
      </w:r>
      <w:r>
        <w:rPr>
          <w:rFonts w:hint="cs"/>
          <w:sz w:val="20"/>
          <w:szCs w:val="20"/>
          <w:rtl/>
        </w:rPr>
        <w:t xml:space="preserve">שלו </w:t>
      </w:r>
      <w:r w:rsidRPr="0053498C">
        <w:rPr>
          <w:rFonts w:hint="cs"/>
          <w:sz w:val="20"/>
          <w:szCs w:val="20"/>
          <w:rtl/>
        </w:rPr>
        <w:t>(</w:t>
      </w:r>
      <w:r w:rsidRPr="0053498C">
        <w:rPr>
          <w:rFonts w:hint="cs"/>
          <w:b/>
          <w:bCs/>
          <w:sz w:val="20"/>
          <w:szCs w:val="20"/>
          <w:rtl/>
        </w:rPr>
        <w:t>עירית פתח-תקוה</w:t>
      </w:r>
      <w:r w:rsidRPr="0053498C">
        <w:rPr>
          <w:rFonts w:hint="cs"/>
          <w:sz w:val="20"/>
          <w:szCs w:val="20"/>
          <w:rtl/>
        </w:rPr>
        <w:t>).</w:t>
      </w:r>
      <w:r>
        <w:rPr>
          <w:rFonts w:hint="cs"/>
          <w:sz w:val="20"/>
          <w:szCs w:val="20"/>
          <w:rtl/>
        </w:rPr>
        <w:t xml:space="preserve"> </w:t>
      </w:r>
    </w:p>
    <w:p w:rsidR="005366A8" w:rsidRDefault="005366A8" w:rsidP="005366A8">
      <w:pPr>
        <w:ind w:left="508"/>
        <w:rPr>
          <w:sz w:val="20"/>
          <w:szCs w:val="20"/>
          <w:rtl/>
        </w:rPr>
      </w:pPr>
      <w:r>
        <w:rPr>
          <w:rFonts w:hint="cs"/>
          <w:sz w:val="20"/>
          <w:szCs w:val="20"/>
          <w:rtl/>
        </w:rPr>
        <w:t xml:space="preserve">מנגד, </w:t>
      </w:r>
      <w:r w:rsidRPr="0053498C">
        <w:rPr>
          <w:rFonts w:hint="cs"/>
          <w:sz w:val="20"/>
          <w:szCs w:val="20"/>
          <w:rtl/>
        </w:rPr>
        <w:t xml:space="preserve">תשובתנו תושפע מכך, שבניגוד למישור הפעולה של שר בממשלה (על תחומי האחריות הרבים שלו) תחומי האחריות של פקיד ממשלתי הם צרים יותר, ויש חזקה </w:t>
      </w:r>
      <w:r>
        <w:rPr>
          <w:rFonts w:hint="cs"/>
          <w:sz w:val="20"/>
          <w:szCs w:val="20"/>
          <w:rtl/>
        </w:rPr>
        <w:t xml:space="preserve">שהיא מעט </w:t>
      </w:r>
      <w:r w:rsidRPr="0053498C">
        <w:rPr>
          <w:rFonts w:hint="cs"/>
          <w:sz w:val="20"/>
          <w:szCs w:val="20"/>
          <w:rtl/>
        </w:rPr>
        <w:t>כבדה יותר</w:t>
      </w:r>
      <w:r>
        <w:rPr>
          <w:rFonts w:hint="cs"/>
          <w:sz w:val="20"/>
          <w:szCs w:val="20"/>
          <w:rtl/>
        </w:rPr>
        <w:t>,</w:t>
      </w:r>
      <w:r w:rsidRPr="0053498C">
        <w:rPr>
          <w:rFonts w:hint="cs"/>
          <w:sz w:val="20"/>
          <w:szCs w:val="20"/>
          <w:rtl/>
        </w:rPr>
        <w:t xml:space="preserve"> שאם העניק המחוקק דווקא לו את הסמכות, הרי ש</w:t>
      </w:r>
      <w:r>
        <w:rPr>
          <w:rFonts w:hint="cs"/>
          <w:sz w:val="20"/>
          <w:szCs w:val="20"/>
          <w:rtl/>
        </w:rPr>
        <w:t>לא התכוון לאפשר לו</w:t>
      </w:r>
      <w:r w:rsidRPr="0053498C">
        <w:rPr>
          <w:rFonts w:hint="cs"/>
          <w:sz w:val="20"/>
          <w:szCs w:val="20"/>
          <w:rtl/>
        </w:rPr>
        <w:t xml:space="preserve"> לאוצלה למישהו מתחתיו או בצידו.</w:t>
      </w:r>
    </w:p>
    <w:p w:rsidR="005366A8" w:rsidRPr="0053498C" w:rsidRDefault="005366A8" w:rsidP="005366A8">
      <w:pPr>
        <w:ind w:left="508"/>
        <w:rPr>
          <w:sz w:val="20"/>
          <w:szCs w:val="20"/>
          <w:rtl/>
        </w:rPr>
      </w:pPr>
    </w:p>
    <w:p w:rsidR="005366A8" w:rsidRDefault="005366A8" w:rsidP="005366A8">
      <w:pPr>
        <w:rPr>
          <w:sz w:val="20"/>
          <w:szCs w:val="20"/>
          <w:rtl/>
        </w:rPr>
      </w:pPr>
      <w:r>
        <w:rPr>
          <w:rFonts w:hint="cs"/>
          <w:sz w:val="20"/>
          <w:szCs w:val="20"/>
          <w:rtl/>
        </w:rPr>
        <w:t>ה</w:t>
      </w:r>
      <w:r w:rsidRPr="008B24D8">
        <w:rPr>
          <w:rFonts w:hint="cs"/>
          <w:sz w:val="20"/>
          <w:szCs w:val="20"/>
          <w:rtl/>
        </w:rPr>
        <w:t>. קיימת</w:t>
      </w:r>
      <w:r>
        <w:rPr>
          <w:rFonts w:hint="cs"/>
          <w:b/>
          <w:bCs/>
          <w:sz w:val="20"/>
          <w:szCs w:val="20"/>
          <w:rtl/>
        </w:rPr>
        <w:t xml:space="preserve"> </w:t>
      </w:r>
      <w:r w:rsidRPr="0053498C">
        <w:rPr>
          <w:rFonts w:hint="cs"/>
          <w:b/>
          <w:bCs/>
          <w:sz w:val="20"/>
          <w:szCs w:val="20"/>
          <w:rtl/>
        </w:rPr>
        <w:t xml:space="preserve">הבחנה בין </w:t>
      </w:r>
      <w:r w:rsidRPr="00BD74E3">
        <w:rPr>
          <w:rFonts w:hint="cs"/>
          <w:b/>
          <w:bCs/>
          <w:sz w:val="20"/>
          <w:szCs w:val="20"/>
          <w:u w:val="single"/>
          <w:rtl/>
        </w:rPr>
        <w:t>סמכות לאצול</w:t>
      </w:r>
      <w:r w:rsidRPr="0053498C">
        <w:rPr>
          <w:rFonts w:hint="cs"/>
          <w:b/>
          <w:bCs/>
          <w:sz w:val="20"/>
          <w:szCs w:val="20"/>
          <w:rtl/>
        </w:rPr>
        <w:t xml:space="preserve"> לבין </w:t>
      </w:r>
      <w:r w:rsidRPr="00BD74E3">
        <w:rPr>
          <w:rFonts w:hint="cs"/>
          <w:b/>
          <w:bCs/>
          <w:sz w:val="20"/>
          <w:szCs w:val="20"/>
          <w:u w:val="single"/>
          <w:rtl/>
        </w:rPr>
        <w:t>שיקול הדעת בהפעלת הסמכות הזו</w:t>
      </w:r>
      <w:r w:rsidRPr="0053498C">
        <w:rPr>
          <w:rFonts w:hint="cs"/>
          <w:sz w:val="20"/>
          <w:szCs w:val="20"/>
          <w:rtl/>
        </w:rPr>
        <w:t xml:space="preserve">: עצם הסמכות לאצול אינה פוטרת משאלות נוספות </w:t>
      </w:r>
      <w:r w:rsidRPr="0053498C">
        <w:rPr>
          <w:sz w:val="20"/>
          <w:szCs w:val="20"/>
          <w:rtl/>
        </w:rPr>
        <w:t>–</w:t>
      </w:r>
      <w:r w:rsidRPr="0053498C">
        <w:rPr>
          <w:rFonts w:hint="cs"/>
          <w:sz w:val="20"/>
          <w:szCs w:val="20"/>
          <w:rtl/>
        </w:rPr>
        <w:t xml:space="preserve"> </w:t>
      </w:r>
    </w:p>
    <w:p w:rsidR="005366A8" w:rsidRDefault="005366A8" w:rsidP="005366A8">
      <w:pPr>
        <w:ind w:left="225"/>
        <w:rPr>
          <w:sz w:val="20"/>
          <w:szCs w:val="20"/>
          <w:rtl/>
        </w:rPr>
      </w:pPr>
      <w:r w:rsidRPr="0053498C">
        <w:rPr>
          <w:rFonts w:hint="cs"/>
          <w:sz w:val="20"/>
          <w:szCs w:val="20"/>
          <w:rtl/>
        </w:rPr>
        <w:t>למשל, ביחס לזהותו ומעמדו של הנאצל.</w:t>
      </w:r>
      <w:r>
        <w:rPr>
          <w:rFonts w:hint="cs"/>
          <w:sz w:val="20"/>
          <w:szCs w:val="20"/>
          <w:rtl/>
        </w:rPr>
        <w:t xml:space="preserve"> </w:t>
      </w:r>
      <w:r w:rsidRPr="0053498C">
        <w:rPr>
          <w:rFonts w:hint="cs"/>
          <w:sz w:val="20"/>
          <w:szCs w:val="20"/>
          <w:rtl/>
        </w:rPr>
        <w:t xml:space="preserve">למשל, האם </w:t>
      </w:r>
      <w:r>
        <w:rPr>
          <w:rFonts w:hint="cs"/>
          <w:sz w:val="20"/>
          <w:szCs w:val="20"/>
          <w:rtl/>
        </w:rPr>
        <w:t>ה</w:t>
      </w:r>
      <w:r w:rsidRPr="0053498C">
        <w:rPr>
          <w:rFonts w:hint="cs"/>
          <w:sz w:val="20"/>
          <w:szCs w:val="20"/>
          <w:rtl/>
        </w:rPr>
        <w:t>סמכות שהוענקה (במפורש או במשתמע) למנכ"ל משרד ממשלתי לאצול את סמכותו לאחר, מאפשרת לו לרדת הרבה בהיררכיה המינהלית בעת שהוא מאציל את הסמכות לאחר?</w:t>
      </w:r>
      <w:r>
        <w:rPr>
          <w:rFonts w:hint="cs"/>
          <w:sz w:val="20"/>
          <w:szCs w:val="20"/>
          <w:rtl/>
        </w:rPr>
        <w:t xml:space="preserve"> או </w:t>
      </w:r>
      <w:r w:rsidRPr="0053498C">
        <w:rPr>
          <w:rFonts w:hint="cs"/>
          <w:sz w:val="20"/>
          <w:szCs w:val="20"/>
          <w:rtl/>
        </w:rPr>
        <w:t>האם הוא רשאי לאוצלה ל</w:t>
      </w:r>
      <w:r>
        <w:rPr>
          <w:rFonts w:hint="cs"/>
          <w:sz w:val="20"/>
          <w:szCs w:val="20"/>
          <w:rtl/>
        </w:rPr>
        <w:t xml:space="preserve">מי </w:t>
      </w:r>
      <w:r w:rsidRPr="00711B14">
        <w:rPr>
          <w:rFonts w:hint="cs"/>
          <w:i/>
          <w:iCs/>
          <w:sz w:val="20"/>
          <w:szCs w:val="20"/>
          <w:rtl/>
        </w:rPr>
        <w:t>שאיננו</w:t>
      </w:r>
      <w:r>
        <w:rPr>
          <w:rFonts w:hint="cs"/>
          <w:sz w:val="20"/>
          <w:szCs w:val="20"/>
          <w:rtl/>
        </w:rPr>
        <w:t xml:space="preserve"> "עובד ציבור"</w:t>
      </w:r>
      <w:r w:rsidRPr="0053498C">
        <w:rPr>
          <w:rFonts w:hint="cs"/>
          <w:sz w:val="20"/>
          <w:szCs w:val="20"/>
          <w:rtl/>
        </w:rPr>
        <w:t xml:space="preserve">? </w:t>
      </w:r>
    </w:p>
    <w:p w:rsidR="005366A8" w:rsidRPr="002F0F29" w:rsidRDefault="005366A8" w:rsidP="005366A8">
      <w:pPr>
        <w:spacing w:after="120"/>
        <w:rPr>
          <w:rFonts w:ascii="Arial" w:hAnsi="Arial" w:cs="Arial"/>
          <w:sz w:val="22"/>
          <w:szCs w:val="22"/>
          <w:rtl/>
        </w:rPr>
      </w:pPr>
    </w:p>
    <w:p w:rsidR="005366A8" w:rsidRPr="00F81B12" w:rsidRDefault="005366A8" w:rsidP="005366A8">
      <w:pPr>
        <w:ind w:hanging="59"/>
        <w:rPr>
          <w:sz w:val="22"/>
          <w:szCs w:val="22"/>
          <w:rtl/>
        </w:rPr>
      </w:pPr>
      <w:r>
        <w:rPr>
          <w:rFonts w:hint="cs"/>
          <w:sz w:val="22"/>
          <w:szCs w:val="22"/>
          <w:rtl/>
        </w:rPr>
        <w:t>=-=</w:t>
      </w:r>
    </w:p>
    <w:p w:rsidR="005366A8" w:rsidRPr="00F81B12" w:rsidRDefault="005366A8" w:rsidP="005366A8">
      <w:pPr>
        <w:spacing w:after="120"/>
        <w:ind w:left="-62" w:hanging="57"/>
        <w:jc w:val="center"/>
        <w:rPr>
          <w:sz w:val="22"/>
          <w:szCs w:val="22"/>
          <w:rtl/>
        </w:rPr>
      </w:pPr>
      <w:r w:rsidRPr="008D7FEC">
        <w:rPr>
          <w:sz w:val="22"/>
          <w:szCs w:val="22"/>
          <w:highlight w:val="yellow"/>
          <w:rtl/>
        </w:rPr>
        <w:t xml:space="preserve">בג"צ 39/82 </w:t>
      </w:r>
      <w:r w:rsidRPr="008D7FEC">
        <w:rPr>
          <w:b/>
          <w:bCs/>
          <w:sz w:val="22"/>
          <w:szCs w:val="22"/>
          <w:highlight w:val="yellow"/>
          <w:rtl/>
        </w:rPr>
        <w:t>הנפלינג נ' ראש עיריית אשדוד</w:t>
      </w:r>
      <w:r w:rsidRPr="008D7FEC">
        <w:rPr>
          <w:sz w:val="22"/>
          <w:szCs w:val="22"/>
          <w:highlight w:val="yellow"/>
          <w:rtl/>
        </w:rPr>
        <w:t>, פ"ד לו(2) 537</w:t>
      </w:r>
    </w:p>
    <w:p w:rsidR="005366A8" w:rsidRPr="00823F03" w:rsidRDefault="005366A8" w:rsidP="005366A8">
      <w:pPr>
        <w:ind w:left="720"/>
        <w:rPr>
          <w:sz w:val="20"/>
          <w:szCs w:val="20"/>
          <w:rtl/>
        </w:rPr>
      </w:pPr>
      <w:r w:rsidRPr="00823F03">
        <w:rPr>
          <w:b/>
          <w:bCs/>
          <w:sz w:val="20"/>
          <w:szCs w:val="20"/>
          <w:rtl/>
        </w:rPr>
        <w:t>חוק עזר לאשדוד (פתיחת בתי עסק וסגירתם), תשל"ו-1976</w:t>
      </w:r>
      <w:r w:rsidRPr="00823F03">
        <w:rPr>
          <w:rFonts w:hint="cs"/>
          <w:sz w:val="20"/>
          <w:szCs w:val="20"/>
          <w:rtl/>
        </w:rPr>
        <w:t xml:space="preserve">, </w:t>
      </w:r>
      <w:r w:rsidRPr="00823F03">
        <w:rPr>
          <w:sz w:val="20"/>
          <w:szCs w:val="20"/>
          <w:rtl/>
        </w:rPr>
        <w:t xml:space="preserve">חוק העזר הנ"ל מגדיר את המונח "מפקח" בסעיף 1 כדלהלן: </w:t>
      </w:r>
    </w:p>
    <w:p w:rsidR="005366A8" w:rsidRPr="00811447" w:rsidRDefault="005366A8" w:rsidP="005366A8">
      <w:pPr>
        <w:spacing w:after="120"/>
        <w:ind w:left="1440"/>
        <w:rPr>
          <w:rFonts w:cs="David"/>
          <w:sz w:val="20"/>
          <w:szCs w:val="20"/>
          <w:rtl/>
        </w:rPr>
      </w:pPr>
      <w:r w:rsidRPr="00811447">
        <w:rPr>
          <w:rFonts w:cs="David"/>
          <w:sz w:val="20"/>
          <w:szCs w:val="20"/>
          <w:rtl/>
        </w:rPr>
        <w:t xml:space="preserve">"אדם שראש העיריה מינהו בכתב למלא תפקיד של מפקח לענין חוק עזר זה." </w:t>
      </w:r>
    </w:p>
    <w:p w:rsidR="005366A8" w:rsidRPr="00823F03" w:rsidRDefault="005366A8" w:rsidP="005366A8">
      <w:pPr>
        <w:ind w:left="720"/>
        <w:rPr>
          <w:sz w:val="20"/>
          <w:szCs w:val="20"/>
          <w:rtl/>
        </w:rPr>
      </w:pPr>
      <w:r w:rsidRPr="00823F03">
        <w:rPr>
          <w:sz w:val="20"/>
          <w:szCs w:val="20"/>
          <w:rtl/>
        </w:rPr>
        <w:t xml:space="preserve">התקנת חוקי העזר נעשית מכוח </w:t>
      </w:r>
      <w:r w:rsidRPr="00823F03">
        <w:rPr>
          <w:b/>
          <w:bCs/>
          <w:sz w:val="20"/>
          <w:szCs w:val="20"/>
          <w:rtl/>
        </w:rPr>
        <w:t>סעיף 250 לפקוד</w:t>
      </w:r>
      <w:r w:rsidRPr="00823F03">
        <w:rPr>
          <w:rFonts w:hint="cs"/>
          <w:b/>
          <w:bCs/>
          <w:sz w:val="20"/>
          <w:szCs w:val="20"/>
          <w:rtl/>
        </w:rPr>
        <w:t>ת העיריות</w:t>
      </w:r>
      <w:r w:rsidRPr="00823F03">
        <w:rPr>
          <w:rFonts w:hint="cs"/>
          <w:sz w:val="20"/>
          <w:szCs w:val="20"/>
          <w:rtl/>
        </w:rPr>
        <w:t>,</w:t>
      </w:r>
      <w:r w:rsidRPr="00823F03">
        <w:rPr>
          <w:sz w:val="20"/>
          <w:szCs w:val="20"/>
          <w:rtl/>
        </w:rPr>
        <w:t xml:space="preserve"> כדי לאפשר לעירייה ביצוע הדברים, שהיא נדרשת או מוסמכת לעשותם על-פי הפקודה, ובן היתר, כמובן, גם לצורך האמור </w:t>
      </w:r>
      <w:r w:rsidRPr="00823F03">
        <w:rPr>
          <w:b/>
          <w:bCs/>
          <w:sz w:val="20"/>
          <w:szCs w:val="20"/>
          <w:rtl/>
        </w:rPr>
        <w:t>בסעיף</w:t>
      </w:r>
      <w:r w:rsidRPr="00823F03">
        <w:rPr>
          <w:rFonts w:hint="cs"/>
          <w:b/>
          <w:bCs/>
          <w:sz w:val="20"/>
          <w:szCs w:val="20"/>
          <w:rtl/>
        </w:rPr>
        <w:t xml:space="preserve"> 249 (20)</w:t>
      </w:r>
      <w:r w:rsidRPr="00823F03">
        <w:rPr>
          <w:b/>
          <w:bCs/>
          <w:sz w:val="20"/>
          <w:szCs w:val="20"/>
          <w:rtl/>
        </w:rPr>
        <w:t>,</w:t>
      </w:r>
      <w:r w:rsidRPr="00823F03">
        <w:rPr>
          <w:sz w:val="20"/>
          <w:szCs w:val="20"/>
          <w:rtl/>
        </w:rPr>
        <w:t xml:space="preserve"> הדן בפתיחתן ובסגירתן של חנויות.</w:t>
      </w:r>
    </w:p>
    <w:p w:rsidR="005366A8" w:rsidRPr="00823F03" w:rsidRDefault="005366A8" w:rsidP="005366A8">
      <w:pPr>
        <w:rPr>
          <w:sz w:val="20"/>
          <w:szCs w:val="20"/>
          <w:rtl/>
        </w:rPr>
      </w:pPr>
    </w:p>
    <w:p w:rsidR="005366A8" w:rsidRPr="00BA3BF3" w:rsidRDefault="005366A8" w:rsidP="005366A8">
      <w:pPr>
        <w:ind w:left="-119"/>
        <w:rPr>
          <w:rFonts w:cs="FrankRuehl"/>
          <w:sz w:val="22"/>
          <w:szCs w:val="22"/>
          <w:rtl/>
        </w:rPr>
      </w:pPr>
      <w:r w:rsidRPr="00BA3BF3">
        <w:rPr>
          <w:rFonts w:cs="FrankRuehl"/>
          <w:sz w:val="22"/>
          <w:szCs w:val="22"/>
          <w:rtl/>
        </w:rPr>
        <w:t xml:space="preserve">האמור לעיל מצביע על ההקשר החקיקתי, העולה מדברה של הוראת חוק, הקובעת מערכת חובות וסמכויות של הרשות המקומית בצורה מפורטת ביותר ומתווה את דרכי הביצוע, בין היתר, תוך התייחסות מפורשת אל נושאי משרות מוגדרים ואל העובדים של הרשות, אשר יופקדו על הביצוע של תפקידיה של הרשות המקומית. </w:t>
      </w:r>
      <w:r w:rsidRPr="00BA3BF3">
        <w:rPr>
          <w:rFonts w:cs="FrankRuehl"/>
          <w:sz w:val="22"/>
          <w:szCs w:val="22"/>
          <w:highlight w:val="yellow"/>
          <w:rtl/>
        </w:rPr>
        <w:t>אין בפקודה הענקת סמכות לקבלת מתנדבים שאינם עובדי העירייה</w:t>
      </w:r>
      <w:r w:rsidRPr="00BA3BF3">
        <w:rPr>
          <w:rFonts w:cs="FrankRuehl"/>
          <w:sz w:val="22"/>
          <w:szCs w:val="22"/>
          <w:rtl/>
        </w:rPr>
        <w:t xml:space="preserve">, ובהעדר הוראה מפורשת אין מקום לקרוא סמכות כזאת לתוך הוראותיה של הפקודה. </w:t>
      </w:r>
    </w:p>
    <w:p w:rsidR="005366A8" w:rsidRPr="00BA3BF3" w:rsidRDefault="005366A8" w:rsidP="005366A8">
      <w:pPr>
        <w:ind w:left="-119"/>
        <w:rPr>
          <w:rFonts w:cs="FrankRuehl"/>
          <w:sz w:val="22"/>
          <w:szCs w:val="22"/>
          <w:rtl/>
        </w:rPr>
      </w:pPr>
      <w:r w:rsidRPr="00BA3BF3">
        <w:rPr>
          <w:rFonts w:cs="FrankRuehl"/>
          <w:sz w:val="22"/>
          <w:szCs w:val="22"/>
          <w:rtl/>
        </w:rPr>
        <w:t xml:space="preserve">עד כאן באשר להקשר החקיקתי. יחד עמו יש, כמובן, לתת את הדעת גם לאופיו של התפקיד, הנוצר מכוח האמור בחוק העזר, ולחובה לפרש את מלותיו של חוק העזר על-פי הכללים, אשר אותם מאמצת שיטת המשפט שלנו, והם, בין היתר, השקידה על שלטון החוק ובתוכו גם המינהל התקין. </w:t>
      </w:r>
    </w:p>
    <w:p w:rsidR="005366A8" w:rsidRPr="00BA3BF3" w:rsidRDefault="005366A8" w:rsidP="005366A8">
      <w:pPr>
        <w:ind w:left="-119"/>
        <w:rPr>
          <w:rFonts w:cs="FrankRuehl"/>
          <w:sz w:val="22"/>
          <w:szCs w:val="22"/>
          <w:rtl/>
        </w:rPr>
      </w:pPr>
      <w:r w:rsidRPr="00BA3BF3">
        <w:rPr>
          <w:rFonts w:cs="FrankRuehl"/>
          <w:sz w:val="22"/>
          <w:szCs w:val="22"/>
          <w:rtl/>
        </w:rPr>
        <w:t xml:space="preserve">מכל הבחינות הללו אין זה מתקבל על הדעת, כי סמכויות סטטוטוריות יוענקו לאדם פרטי, שאיננו משרת במערכת שכוננה על-פי דין או שאינו חלק ממערכת שלטונית מוגדרת, ואשר מעמדו, חובותיו וזכויותיו מתמצים אך ורק בכך שנמסרו לידיו </w:t>
      </w:r>
      <w:r w:rsidRPr="00BA3BF3">
        <w:rPr>
          <w:rFonts w:cs="FrankRuehl"/>
          <w:sz w:val="22"/>
          <w:szCs w:val="22"/>
          <w:highlight w:val="yellow"/>
          <w:rtl/>
        </w:rPr>
        <w:t>סמכויות ביצוע</w:t>
      </w:r>
      <w:r w:rsidRPr="00BA3BF3">
        <w:rPr>
          <w:rFonts w:cs="FrankRuehl"/>
          <w:sz w:val="22"/>
          <w:szCs w:val="22"/>
          <w:rtl/>
        </w:rPr>
        <w:t xml:space="preserve">, כפי שהן עולות, למשל, מחוק העזר; והוא, כמובן, כל עוד לא קבע המחוקק מפורשות אחרת. יכול שרשות בעלת סמכויות פיקוח סטטוטוריות לא תהיה חלק מן הרשות המבצעת דווקא, וניתן ליטול לדוגמה את המשרה של מבקר המדינה ושל אלה העוזרים לידו, אך במקרה כאמור מגדיר המחוקק לא רק את מכלול הסמכויות אלא גם יוצר מעמד קבוע ומוגדר על-פי חוק ומתאר את הזיקה לזרועות השלטון ואת הבקרה העולה ממנה. במקרה שלפנינו מדובר באדם פרטי, שהתנדב למלא במשך שעות מסוימות בשבוע תפקידי פיקוח שלטוניים, ואשר לו הוענקה, לשם ביצוע תפקידו, </w:t>
      </w:r>
      <w:r w:rsidRPr="00BA3BF3">
        <w:rPr>
          <w:rFonts w:cs="FrankRuehl"/>
          <w:sz w:val="22"/>
          <w:szCs w:val="22"/>
          <w:highlight w:val="yellow"/>
          <w:rtl/>
        </w:rPr>
        <w:t>זכות הכניסה וסמכויות פיקוח נוספות</w:t>
      </w:r>
      <w:r w:rsidRPr="00BA3BF3">
        <w:rPr>
          <w:rFonts w:cs="FrankRuehl"/>
          <w:sz w:val="22"/>
          <w:szCs w:val="22"/>
          <w:rtl/>
        </w:rPr>
        <w:t xml:space="preserve">, כאשר כל זיקתו אל הרשות היא כתב המינוי שבידיו, מבלי שהוא חב חובה כלשהי כלפי הרשות, ומבלי שזו יכולה להפעיל כלפיו את מרותה. </w:t>
      </w:r>
      <w:r w:rsidRPr="00BA3BF3">
        <w:rPr>
          <w:rFonts w:cs="FrankRuehl"/>
          <w:sz w:val="22"/>
          <w:szCs w:val="22"/>
          <w:highlight w:val="yellow"/>
          <w:rtl/>
        </w:rPr>
        <w:t>דומה הדבר לכך, לו הוענקו סמכויות של שוטר לידי מי שאיננו חלק מחיל המשטרה ואף איננו משרת במסגרת ארגונית דומה, הנתונה למרות השלטונות</w:t>
      </w:r>
      <w:r w:rsidRPr="00BA3BF3">
        <w:rPr>
          <w:rFonts w:cs="FrankRuehl"/>
          <w:sz w:val="22"/>
          <w:szCs w:val="22"/>
          <w:rtl/>
        </w:rPr>
        <w:t xml:space="preserve">, ותופעה כגון זו איננה מתקבלת על הדעת ואף נוגדת את עקרונותיו של שלטון החוק ושל כללי המינהל התקין אשר, כאמור לעיל, חייבים להיות פועל יוצא ממנו. </w:t>
      </w:r>
    </w:p>
    <w:p w:rsidR="005366A8" w:rsidRPr="00BA3BF3" w:rsidRDefault="005366A8" w:rsidP="005366A8">
      <w:pPr>
        <w:ind w:left="-119"/>
        <w:rPr>
          <w:rFonts w:cs="FrankRuehl"/>
          <w:sz w:val="22"/>
          <w:szCs w:val="22"/>
          <w:rtl/>
        </w:rPr>
      </w:pPr>
      <w:r w:rsidRPr="00BA3BF3">
        <w:rPr>
          <w:rFonts w:cs="FrankRuehl"/>
          <w:sz w:val="22"/>
          <w:szCs w:val="22"/>
          <w:rtl/>
        </w:rPr>
        <w:t xml:space="preserve">אפשר לבחון שאלה זו גם מן הזווית הנגדית, היינו זו של ראש הרשות: ראש העיר נושא באחריות לפעולתם של בעלי הסמכויות הסטטוטוריות, שמונו על-ידיו, ואין הוא יכול להעניק סמכויות כאמור למי שאין לו לגביו שליטה ופיקוח, הנובעים מן המבנה של המסגרת הארגונית, בה הם משרתים, ומן ההוראות החלות עליה, להבדיל מן הכפיפות, הנובעת אך ורק מרצונו החופשי של מי שהוקנו לו סמכויות, אשר יכול להתמיד בהסכמתו לפיקוח ולשליטה של ראש העיר או למאן לקבל אותה. פירוש של חוק העזר, אשר לפיו רשאי ראש העיר להעניק סמכויות, המופנות כלפי הציבור כולו, לאנשים שאינם עובדי הציבור, מבלי שיש לרשות שליטה ופיקוח על מעשיהם, הוא בגדר </w:t>
      </w:r>
      <w:r w:rsidRPr="00BA3BF3">
        <w:rPr>
          <w:rFonts w:cs="FrankRuehl"/>
          <w:sz w:val="22"/>
          <w:szCs w:val="22"/>
          <w:highlight w:val="yellow"/>
          <w:rtl/>
        </w:rPr>
        <w:t>הוצאת דברו של חוק העזר מסבירותו</w:t>
      </w:r>
      <w:r w:rsidRPr="00BA3BF3">
        <w:rPr>
          <w:rFonts w:cs="FrankRuehl"/>
          <w:sz w:val="22"/>
          <w:szCs w:val="22"/>
          <w:rtl/>
        </w:rPr>
        <w:t xml:space="preserve">. </w:t>
      </w:r>
      <w:r w:rsidRPr="00BA3BF3">
        <w:rPr>
          <w:rFonts w:cs="FrankRuehl"/>
          <w:sz w:val="22"/>
          <w:szCs w:val="22"/>
          <w:highlight w:val="yellow"/>
          <w:rtl/>
        </w:rPr>
        <w:t>יתרה מזאת, אין ראש העיר יכול לגייס מעין משטרת מתנדבים בעלת סמכויות סטטוטוריות</w:t>
      </w:r>
      <w:r w:rsidRPr="00BA3BF3">
        <w:rPr>
          <w:rFonts w:cs="FrankRuehl"/>
          <w:sz w:val="22"/>
          <w:szCs w:val="22"/>
          <w:rtl/>
        </w:rPr>
        <w:t xml:space="preserve">, המוענקות על-ידיו, כי בכך היה עוקף את הדינים, הקובעים כפיפותו של העובד לרשות, להבדיל מראש הרשות. </w:t>
      </w:r>
    </w:p>
    <w:p w:rsidR="005366A8" w:rsidRPr="00BD74E3" w:rsidRDefault="005366A8" w:rsidP="005366A8">
      <w:pPr>
        <w:ind w:left="-119"/>
        <w:rPr>
          <w:rFonts w:cs="David"/>
          <w:sz w:val="20"/>
          <w:szCs w:val="20"/>
          <w:rtl/>
        </w:rPr>
      </w:pPr>
      <w:r w:rsidRPr="00BA3BF3">
        <w:rPr>
          <w:rFonts w:cs="FrankRuehl"/>
          <w:sz w:val="22"/>
          <w:szCs w:val="22"/>
          <w:rtl/>
        </w:rPr>
        <w:t>אגב, יש שאחת מזרועות השלטון מעסיקה אדם בתשלום סמלי בלבד, אולם גם אז חייב הוא להתקבל לשירות בדרך הקבועה בדין, כדי שתחול עליו, למשל, אחריות על-פי החיקוקים הדנים בענייני המשמעת של עובדי המדינה או עובדי הרשות המקומית, והשוני בינו לבין אחרים מתבטא בשכר המשתלם לו, אך לא במידת כפיפותו למרותם של הממונים עליו במסגרת בה הוא משרת.</w:t>
      </w:r>
      <w:r w:rsidRPr="00811447">
        <w:rPr>
          <w:sz w:val="20"/>
          <w:szCs w:val="20"/>
          <w:rtl/>
        </w:rPr>
        <w:t xml:space="preserve"> </w:t>
      </w:r>
    </w:p>
    <w:p w:rsidR="005366A8" w:rsidRDefault="005366A8" w:rsidP="005366A8">
      <w:pPr>
        <w:spacing w:after="120"/>
        <w:rPr>
          <w:rFonts w:ascii="Arial" w:hAnsi="Arial" w:cs="Arial"/>
          <w:b/>
          <w:bCs/>
          <w:sz w:val="22"/>
          <w:szCs w:val="22"/>
          <w:rtl/>
        </w:rPr>
      </w:pPr>
      <w:r>
        <w:rPr>
          <w:rFonts w:ascii="Arial" w:hAnsi="Arial" w:cs="Arial" w:hint="cs"/>
          <w:b/>
          <w:bCs/>
          <w:sz w:val="22"/>
          <w:szCs w:val="22"/>
          <w:rtl/>
        </w:rPr>
        <w:t>=-=</w:t>
      </w:r>
    </w:p>
    <w:p w:rsidR="005366A8" w:rsidRDefault="005366A8" w:rsidP="005366A8">
      <w:pPr>
        <w:spacing w:after="120"/>
        <w:rPr>
          <w:rFonts w:ascii="Arial" w:hAnsi="Arial" w:cs="Arial"/>
          <w:b/>
          <w:bCs/>
          <w:sz w:val="22"/>
          <w:szCs w:val="22"/>
          <w:rtl/>
        </w:rPr>
      </w:pPr>
      <w:r>
        <w:rPr>
          <w:rFonts w:ascii="Arial" w:hAnsi="Arial" w:cs="Arial" w:hint="cs"/>
          <w:b/>
          <w:bCs/>
          <w:sz w:val="22"/>
          <w:szCs w:val="22"/>
          <w:rtl/>
        </w:rPr>
        <w:t xml:space="preserve">בסוגיית </w:t>
      </w:r>
      <w:r w:rsidRPr="00B7016D">
        <w:rPr>
          <w:rFonts w:ascii="Arial" w:hAnsi="Arial" w:cs="Arial" w:hint="cs"/>
          <w:b/>
          <w:bCs/>
          <w:sz w:val="22"/>
          <w:szCs w:val="22"/>
          <w:u w:val="single"/>
          <w:rtl/>
        </w:rPr>
        <w:t>ההפרטה</w:t>
      </w:r>
      <w:r>
        <w:rPr>
          <w:rFonts w:ascii="Arial" w:hAnsi="Arial" w:cs="Arial" w:hint="cs"/>
          <w:b/>
          <w:bCs/>
          <w:sz w:val="22"/>
          <w:szCs w:val="22"/>
          <w:rtl/>
        </w:rPr>
        <w:t xml:space="preserve">, זכרו גם את פס"ד בית הסוהר הפרטי, בו עסקנו בעבר. </w:t>
      </w:r>
    </w:p>
    <w:p w:rsidR="005366A8" w:rsidRDefault="005366A8" w:rsidP="005366A8">
      <w:pPr>
        <w:spacing w:after="120"/>
        <w:rPr>
          <w:rtl/>
        </w:rPr>
      </w:pPr>
      <w:r>
        <w:rPr>
          <w:rFonts w:ascii="Arial" w:hAnsi="Arial" w:cs="Arial" w:hint="cs"/>
          <w:b/>
          <w:bCs/>
          <w:sz w:val="22"/>
          <w:szCs w:val="22"/>
          <w:rtl/>
        </w:rPr>
        <w:t xml:space="preserve">שם נפסלה ההפרטה של סמכויות מאסר וניהול בית הסוהר שהוענקו </w:t>
      </w:r>
      <w:r w:rsidRPr="008F17A0">
        <w:rPr>
          <w:rFonts w:ascii="Arial" w:hAnsi="Arial" w:cs="Arial" w:hint="cs"/>
          <w:b/>
          <w:bCs/>
          <w:i/>
          <w:iCs/>
          <w:sz w:val="22"/>
          <w:szCs w:val="22"/>
          <w:rtl/>
        </w:rPr>
        <w:t>בחוק</w:t>
      </w:r>
      <w:r>
        <w:rPr>
          <w:rFonts w:ascii="Arial" w:hAnsi="Arial" w:cs="Arial" w:hint="cs"/>
          <w:b/>
          <w:bCs/>
          <w:sz w:val="22"/>
          <w:szCs w:val="22"/>
          <w:rtl/>
        </w:rPr>
        <w:t xml:space="preserve"> לבית הסוהר הפרטי.</w:t>
      </w:r>
      <w:r w:rsidRPr="00911BF7">
        <w:rPr>
          <w:rtl/>
        </w:rPr>
        <w:t xml:space="preserve"> </w:t>
      </w:r>
    </w:p>
    <w:p w:rsidR="005366A8" w:rsidRPr="00FE0A66" w:rsidRDefault="005366A8" w:rsidP="005366A8">
      <w:pPr>
        <w:spacing w:after="120"/>
        <w:ind w:left="720"/>
        <w:rPr>
          <w:sz w:val="22"/>
          <w:szCs w:val="22"/>
          <w:rtl/>
        </w:rPr>
      </w:pPr>
      <w:r w:rsidRPr="00FE0A66">
        <w:rPr>
          <w:rFonts w:hint="cs"/>
          <w:sz w:val="22"/>
          <w:szCs w:val="22"/>
          <w:highlight w:val="yellow"/>
          <w:rtl/>
        </w:rPr>
        <w:t>במצב שבו המחוקק הוא שמעניק את הכוח/ את הסמכות לא מתעוררת שאלה של "דיני האצלה" אלא שאלה של חוקתיות פעולת ההסמכה של הכנסת בכובעה המחוקק.</w:t>
      </w:r>
      <w:r>
        <w:rPr>
          <w:rFonts w:hint="cs"/>
          <w:sz w:val="22"/>
          <w:szCs w:val="22"/>
          <w:rtl/>
        </w:rPr>
        <w:t xml:space="preserve"> בית המשפט השיב לכך, כזכור, בשלילה בעניינו של בית הסוהר הפרטי.</w:t>
      </w:r>
    </w:p>
    <w:p w:rsidR="005366A8" w:rsidRDefault="005366A8" w:rsidP="005366A8">
      <w:pPr>
        <w:spacing w:after="120"/>
        <w:ind w:left="720"/>
        <w:rPr>
          <w:rFonts w:ascii="Arial" w:hAnsi="Arial" w:cs="Arial"/>
          <w:b/>
          <w:bCs/>
          <w:sz w:val="22"/>
          <w:szCs w:val="22"/>
          <w:rtl/>
        </w:rPr>
      </w:pPr>
      <w:r w:rsidRPr="00514D36">
        <w:rPr>
          <w:rtl/>
        </w:rPr>
        <w:t xml:space="preserve">בג"צ 2605/05 </w:t>
      </w:r>
      <w:r w:rsidRPr="00514D36">
        <w:rPr>
          <w:b/>
          <w:bCs/>
          <w:rtl/>
        </w:rPr>
        <w:t>המרכז האקדמי למשפט ולעסקים, חטיבת זכויות האדם נ' שר האוצר</w:t>
      </w:r>
      <w:r w:rsidRPr="00514D36">
        <w:rPr>
          <w:rtl/>
        </w:rPr>
        <w:t xml:space="preserve"> (2009)</w:t>
      </w:r>
    </w:p>
    <w:p w:rsidR="005366A8" w:rsidRDefault="005366A8" w:rsidP="005366A8">
      <w:pPr>
        <w:spacing w:after="120"/>
        <w:rPr>
          <w:rFonts w:ascii="Arial" w:hAnsi="Arial" w:cs="Arial"/>
          <w:b/>
          <w:bCs/>
          <w:sz w:val="22"/>
          <w:szCs w:val="22"/>
          <w:rtl/>
        </w:rPr>
      </w:pPr>
      <w:r>
        <w:rPr>
          <w:rFonts w:ascii="Arial" w:hAnsi="Arial" w:cs="Arial" w:hint="cs"/>
          <w:b/>
          <w:bCs/>
          <w:sz w:val="22"/>
          <w:szCs w:val="22"/>
          <w:rtl/>
        </w:rPr>
        <w:t>=-=</w:t>
      </w:r>
    </w:p>
    <w:p w:rsidR="005366A8" w:rsidRPr="00730C53" w:rsidRDefault="005366A8" w:rsidP="005366A8">
      <w:pPr>
        <w:jc w:val="center"/>
        <w:rPr>
          <w:sz w:val="20"/>
          <w:szCs w:val="20"/>
          <w:rtl/>
        </w:rPr>
      </w:pPr>
      <w:r w:rsidRPr="001134F4">
        <w:rPr>
          <w:sz w:val="22"/>
          <w:szCs w:val="22"/>
          <w:highlight w:val="yellow"/>
          <w:rtl/>
        </w:rPr>
        <w:t xml:space="preserve">בג"צ 2303/90 </w:t>
      </w:r>
      <w:r w:rsidRPr="001134F4">
        <w:rPr>
          <w:b/>
          <w:bCs/>
          <w:sz w:val="22"/>
          <w:szCs w:val="22"/>
          <w:highlight w:val="yellow"/>
          <w:rtl/>
        </w:rPr>
        <w:t xml:space="preserve">פיליפוביץ נ' </w:t>
      </w:r>
      <w:r w:rsidRPr="001134F4">
        <w:rPr>
          <w:rFonts w:hint="cs"/>
          <w:b/>
          <w:bCs/>
          <w:sz w:val="22"/>
          <w:szCs w:val="22"/>
          <w:highlight w:val="yellow"/>
          <w:rtl/>
        </w:rPr>
        <w:t>רשם החברות</w:t>
      </w:r>
      <w:r w:rsidRPr="001134F4">
        <w:rPr>
          <w:sz w:val="22"/>
          <w:szCs w:val="22"/>
          <w:highlight w:val="yellow"/>
          <w:rtl/>
        </w:rPr>
        <w:t xml:space="preserve"> פ"ד מו(1) 410</w:t>
      </w:r>
      <w:r>
        <w:rPr>
          <w:rFonts w:hint="cs"/>
          <w:sz w:val="22"/>
          <w:szCs w:val="22"/>
          <w:highlight w:val="yellow"/>
          <w:rtl/>
        </w:rPr>
        <w:t xml:space="preserve"> (1992)</w:t>
      </w:r>
      <w:r w:rsidRPr="001134F4">
        <w:rPr>
          <w:rFonts w:hint="cs"/>
          <w:sz w:val="20"/>
          <w:szCs w:val="20"/>
          <w:highlight w:val="yellow"/>
          <w:rtl/>
        </w:rPr>
        <w:t xml:space="preserve"> [ההדגשות הוספו; מספר אסמכתאות הושמטו]</w:t>
      </w:r>
    </w:p>
    <w:p w:rsidR="005366A8" w:rsidRDefault="005366A8" w:rsidP="005366A8">
      <w:pPr>
        <w:rPr>
          <w:sz w:val="20"/>
          <w:szCs w:val="20"/>
          <w:rtl/>
        </w:rPr>
      </w:pPr>
    </w:p>
    <w:p w:rsidR="005366A8" w:rsidRPr="00FE0A66" w:rsidRDefault="005366A8" w:rsidP="005366A8">
      <w:pPr>
        <w:rPr>
          <w:rFonts w:ascii="Arial" w:hAnsi="Arial" w:cs="Arial"/>
          <w:i/>
          <w:iCs/>
          <w:sz w:val="18"/>
          <w:szCs w:val="18"/>
          <w:rtl/>
        </w:rPr>
      </w:pPr>
      <w:r w:rsidRPr="00FE0A66">
        <w:rPr>
          <w:rFonts w:ascii="Arial" w:hAnsi="Arial" w:cs="Arial"/>
          <w:i/>
          <w:iCs/>
          <w:sz w:val="18"/>
          <w:szCs w:val="18"/>
          <w:rtl/>
        </w:rPr>
        <w:t xml:space="preserve">העתירות נסבו על החלטתו של </w:t>
      </w:r>
      <w:r>
        <w:rPr>
          <w:rFonts w:ascii="Arial" w:hAnsi="Arial" w:cs="Arial" w:hint="cs"/>
          <w:i/>
          <w:iCs/>
          <w:sz w:val="18"/>
          <w:szCs w:val="18"/>
          <w:rtl/>
        </w:rPr>
        <w:t xml:space="preserve">רשם החברות </w:t>
      </w:r>
      <w:r w:rsidRPr="00FE0A66">
        <w:rPr>
          <w:rFonts w:ascii="Arial" w:hAnsi="Arial" w:cs="Arial"/>
          <w:i/>
          <w:iCs/>
          <w:sz w:val="18"/>
          <w:szCs w:val="18"/>
          <w:rtl/>
        </w:rPr>
        <w:t xml:space="preserve">לאפשר </w:t>
      </w:r>
      <w:r>
        <w:rPr>
          <w:rFonts w:ascii="Arial" w:hAnsi="Arial" w:cs="Arial" w:hint="cs"/>
          <w:i/>
          <w:iCs/>
          <w:sz w:val="18"/>
          <w:szCs w:val="18"/>
          <w:rtl/>
        </w:rPr>
        <w:t>לחברות פרטיות לספק</w:t>
      </w:r>
      <w:r w:rsidRPr="00FE0A66">
        <w:rPr>
          <w:rFonts w:ascii="Arial" w:hAnsi="Arial" w:cs="Arial"/>
          <w:i/>
          <w:iCs/>
          <w:sz w:val="18"/>
          <w:szCs w:val="18"/>
          <w:rtl/>
        </w:rPr>
        <w:t xml:space="preserve"> לציבור שירות, תמורת אגרה, שעניינו מתן תדפיסים מתוך מאגר הנתונים הממוחשב שבמשרדי </w:t>
      </w:r>
      <w:r>
        <w:rPr>
          <w:rFonts w:ascii="Arial" w:hAnsi="Arial" w:cs="Arial" w:hint="cs"/>
          <w:i/>
          <w:iCs/>
          <w:sz w:val="18"/>
          <w:szCs w:val="18"/>
          <w:rtl/>
        </w:rPr>
        <w:t xml:space="preserve">רשם החברות. </w:t>
      </w:r>
      <w:r w:rsidRPr="00FE0A66">
        <w:rPr>
          <w:rFonts w:ascii="Arial" w:hAnsi="Arial" w:cs="Arial"/>
          <w:i/>
          <w:iCs/>
          <w:sz w:val="18"/>
          <w:szCs w:val="18"/>
          <w:rtl/>
        </w:rPr>
        <w:t>מאגר הנתונים הממוחשב הוקם על</w:t>
      </w:r>
      <w:r w:rsidRPr="00FE0A66">
        <w:rPr>
          <w:rFonts w:ascii="Arial" w:hAnsi="Arial" w:cs="Arial"/>
          <w:i/>
          <w:iCs/>
          <w:sz w:val="18"/>
          <w:szCs w:val="18"/>
        </w:rPr>
        <w:t>-</w:t>
      </w:r>
      <w:r w:rsidRPr="00FE0A66">
        <w:rPr>
          <w:rFonts w:ascii="Arial" w:hAnsi="Arial" w:cs="Arial"/>
          <w:i/>
          <w:iCs/>
          <w:sz w:val="18"/>
          <w:szCs w:val="18"/>
          <w:rtl/>
        </w:rPr>
        <w:t xml:space="preserve">ידי </w:t>
      </w:r>
      <w:r>
        <w:rPr>
          <w:rFonts w:ascii="Arial" w:hAnsi="Arial" w:cs="Arial" w:hint="cs"/>
          <w:i/>
          <w:iCs/>
          <w:sz w:val="18"/>
          <w:szCs w:val="18"/>
          <w:rtl/>
        </w:rPr>
        <w:t>הרשם, ו</w:t>
      </w:r>
      <w:r w:rsidRPr="00FE0A66">
        <w:rPr>
          <w:rFonts w:ascii="Arial" w:hAnsi="Arial" w:cs="Arial"/>
          <w:i/>
          <w:iCs/>
          <w:sz w:val="18"/>
          <w:szCs w:val="18"/>
          <w:rtl/>
        </w:rPr>
        <w:t>הוא מכיל פרטים על החברות הרשומות, לרבות פרטים על שיעבודים המוטלים על נכסיהן.</w:t>
      </w:r>
      <w:r>
        <w:rPr>
          <w:rFonts w:ascii="Arial" w:hAnsi="Arial" w:cs="Arial" w:hint="cs"/>
          <w:i/>
          <w:iCs/>
          <w:sz w:val="18"/>
          <w:szCs w:val="18"/>
          <w:rtl/>
        </w:rPr>
        <w:t xml:space="preserve"> האם היה מוסמך לעשות כן?</w:t>
      </w:r>
    </w:p>
    <w:p w:rsidR="005366A8" w:rsidRPr="006326FA" w:rsidRDefault="005366A8" w:rsidP="005366A8">
      <w:pPr>
        <w:rPr>
          <w:rFonts w:cs="FrankRuehl"/>
          <w:sz w:val="22"/>
          <w:szCs w:val="22"/>
          <w:rtl/>
        </w:rPr>
      </w:pPr>
    </w:p>
    <w:p w:rsidR="005366A8" w:rsidRPr="006326FA" w:rsidRDefault="005366A8" w:rsidP="005366A8">
      <w:pPr>
        <w:rPr>
          <w:rFonts w:cs="FrankRuehl"/>
          <w:sz w:val="22"/>
          <w:szCs w:val="22"/>
          <w:rtl/>
        </w:rPr>
      </w:pPr>
      <w:r w:rsidRPr="006326FA">
        <w:rPr>
          <w:rFonts w:cs="FrankRuehl"/>
          <w:sz w:val="22"/>
          <w:szCs w:val="22"/>
          <w:rtl/>
        </w:rPr>
        <w:t xml:space="preserve">16. הלכה פסוקה היא, כי רשות שלטונית, אשר החוק מעניק לה סמכות, חייבת לבצע את הסמכות בעצמה, ואינה רשאית - בהעדר הסמכה בדין - לאצול את סמכותה לזולתה: </w:t>
      </w:r>
      <w:r w:rsidRPr="006326FA">
        <w:rPr>
          <w:rFonts w:cs="FrankRuehl"/>
          <w:sz w:val="22"/>
          <w:szCs w:val="22"/>
        </w:rPr>
        <w:t>DELEGATUS NON POTEST DELEGARE</w:t>
      </w:r>
      <w:r w:rsidRPr="006326FA">
        <w:rPr>
          <w:rFonts w:cs="FrankRuehl"/>
          <w:sz w:val="22"/>
          <w:szCs w:val="22"/>
          <w:rtl/>
        </w:rPr>
        <w:t>. הלכה זו אינה משקפת כלל (</w:t>
      </w:r>
      <w:r w:rsidRPr="006326FA">
        <w:rPr>
          <w:rFonts w:cs="FrankRuehl"/>
          <w:sz w:val="22"/>
          <w:szCs w:val="22"/>
        </w:rPr>
        <w:t>RULE</w:t>
      </w:r>
      <w:r w:rsidRPr="006326FA">
        <w:rPr>
          <w:rFonts w:cs="FrankRuehl"/>
          <w:sz w:val="22"/>
          <w:szCs w:val="22"/>
          <w:rtl/>
        </w:rPr>
        <w:t xml:space="preserve">) של משפט מינהלי. היא ביטוי לעקרון, המתרגם עצמו לחזקה (פרזומציה) כי תכליתו של החוק, אשר יצר את הסמכות, היתה כי בעל הסמכות הקבוע בחוק, הוא ולא אחר, יבצע את הסמכות. כאשר המחוקק מייחד את הפעלת הסמכות לנושא משרה שלטונית, חזקה עליו שהוא מבקש כי נושא משרה זה - הוא ולא אחר - יגשים את הסמכות. </w:t>
      </w:r>
      <w:r w:rsidRPr="006326FA">
        <w:rPr>
          <w:rFonts w:cs="FrankRuehl" w:hint="cs"/>
          <w:sz w:val="22"/>
          <w:szCs w:val="22"/>
          <w:rtl/>
        </w:rPr>
        <w:t xml:space="preserve">[…] </w:t>
      </w:r>
      <w:r w:rsidRPr="006326FA">
        <w:rPr>
          <w:rFonts w:cs="FrankRuehl"/>
          <w:sz w:val="22"/>
          <w:szCs w:val="22"/>
          <w:rtl/>
        </w:rPr>
        <w:t xml:space="preserve">אכן, חזקה פרשנית היא כי אצילת סמכות אסורה היא, אלא אם כן הדבר הותר. </w:t>
      </w:r>
      <w:r w:rsidRPr="006326FA">
        <w:rPr>
          <w:rFonts w:cs="FrankRuehl" w:hint="cs"/>
          <w:sz w:val="22"/>
          <w:szCs w:val="22"/>
          <w:rtl/>
        </w:rPr>
        <w:t>[…]</w:t>
      </w:r>
    </w:p>
    <w:p w:rsidR="005366A8" w:rsidRPr="006326FA" w:rsidRDefault="005366A8" w:rsidP="005366A8">
      <w:pPr>
        <w:rPr>
          <w:rFonts w:cs="FrankRuehl"/>
          <w:sz w:val="22"/>
          <w:szCs w:val="22"/>
          <w:rtl/>
        </w:rPr>
      </w:pPr>
      <w:r w:rsidRPr="006326FA">
        <w:rPr>
          <w:rFonts w:cs="FrankRuehl"/>
          <w:b/>
          <w:bCs/>
          <w:sz w:val="22"/>
          <w:szCs w:val="22"/>
          <w:rtl/>
        </w:rPr>
        <w:t>התרת ההאצלה נעשית לרוב במפורש</w:t>
      </w:r>
      <w:r w:rsidRPr="006326FA">
        <w:rPr>
          <w:rFonts w:cs="FrankRuehl"/>
          <w:sz w:val="22"/>
          <w:szCs w:val="22"/>
          <w:rtl/>
        </w:rPr>
        <w:t xml:space="preserve">. </w:t>
      </w:r>
      <w:r w:rsidRPr="006326FA">
        <w:rPr>
          <w:rFonts w:cs="FrankRuehl"/>
          <w:b/>
          <w:bCs/>
          <w:sz w:val="22"/>
          <w:szCs w:val="22"/>
          <w:rtl/>
        </w:rPr>
        <w:t>עם זאת, לעתים ניתן להסיק אותה כמשתמעת (מכללא) מתוך החוק</w:t>
      </w:r>
      <w:r w:rsidRPr="006326FA">
        <w:rPr>
          <w:rFonts w:cs="FrankRuehl"/>
          <w:sz w:val="22"/>
          <w:szCs w:val="22"/>
          <w:rtl/>
        </w:rPr>
        <w:t xml:space="preserve">. </w:t>
      </w:r>
    </w:p>
    <w:p w:rsidR="005366A8" w:rsidRPr="006326FA" w:rsidRDefault="005366A8" w:rsidP="005366A8">
      <w:pPr>
        <w:rPr>
          <w:rFonts w:cs="FrankRuehl"/>
          <w:sz w:val="22"/>
          <w:szCs w:val="22"/>
          <w:rtl/>
        </w:rPr>
      </w:pPr>
      <w:r w:rsidRPr="006326FA">
        <w:rPr>
          <w:rFonts w:cs="FrankRuehl"/>
          <w:sz w:val="22"/>
          <w:szCs w:val="22"/>
          <w:highlight w:val="yellow"/>
          <w:rtl/>
        </w:rPr>
        <w:t>אכן, במשפט האזרחי הכלל הינו כי "אין שלוח עושה שלוח לנושא שליחותו אלא אם הורשה לכך במפורש או מכללא" (סעיף 16 לחוק השליחות, תשכ"ה-1965). הוא הדין גם במשפט המינהלי.</w:t>
      </w:r>
      <w:r w:rsidRPr="006326FA">
        <w:rPr>
          <w:rFonts w:cs="FrankRuehl"/>
          <w:sz w:val="22"/>
          <w:szCs w:val="22"/>
          <w:rtl/>
        </w:rPr>
        <w:t xml:space="preserve"> נמצא, כי בכל מקרה בו מתעוררת שאלה הקשורה בסמכותה של רשות שלטונית לאצול מסמכותה, פתרון השאלה מצוי בפירושו של החוק המסמיך. בהעדר הוראת האצלה מפורשת, השאלה הינה, אם על-פי פירושו של החוק יש להסיק כי תכלית החקיקה היתה שבעל הסמכות יבצע אותה בעצמו, או שמא יש להסיק כי תכלית החוק הינה כי בעל הסמכות מוסמך לאצול את סמכותו לזולתו. </w:t>
      </w:r>
      <w:r w:rsidRPr="006326FA">
        <w:rPr>
          <w:rFonts w:cs="FrankRuehl" w:hint="cs"/>
          <w:sz w:val="22"/>
          <w:szCs w:val="22"/>
          <w:rtl/>
        </w:rPr>
        <w:t>[…]</w:t>
      </w:r>
    </w:p>
    <w:p w:rsidR="005366A8" w:rsidRPr="006326FA" w:rsidRDefault="005366A8" w:rsidP="005366A8">
      <w:pPr>
        <w:rPr>
          <w:rFonts w:cs="FrankRuehl"/>
          <w:sz w:val="22"/>
          <w:szCs w:val="22"/>
          <w:rtl/>
        </w:rPr>
      </w:pPr>
      <w:r w:rsidRPr="006326FA">
        <w:rPr>
          <w:rFonts w:cs="FrankRuehl"/>
          <w:sz w:val="22"/>
          <w:szCs w:val="22"/>
          <w:rtl/>
        </w:rPr>
        <w:t>אכן, במסגרת גיבוש תכליתו של החוק, ההנחה (הפרזומציה) הינה כי האצלה אסורה היא. ההנחה הינה כי תכלית החקיקה הינה שבעל הסמכות יבצע את סמכותו אישית.</w:t>
      </w:r>
      <w:r w:rsidRPr="006326FA">
        <w:rPr>
          <w:rFonts w:cs="FrankRuehl"/>
          <w:b/>
          <w:bCs/>
          <w:sz w:val="22"/>
          <w:szCs w:val="22"/>
          <w:rtl/>
        </w:rPr>
        <w:t xml:space="preserve"> </w:t>
      </w:r>
      <w:r w:rsidRPr="006326FA">
        <w:rPr>
          <w:rFonts w:cs="FrankRuehl"/>
          <w:b/>
          <w:bCs/>
          <w:sz w:val="22"/>
          <w:szCs w:val="22"/>
          <w:highlight w:val="yellow"/>
          <w:rtl/>
        </w:rPr>
        <w:t>עם זאת, חזקה זו ניתנת לסתירה.</w:t>
      </w:r>
      <w:r w:rsidRPr="006326FA">
        <w:rPr>
          <w:rFonts w:cs="FrankRuehl"/>
          <w:b/>
          <w:bCs/>
          <w:sz w:val="22"/>
          <w:szCs w:val="22"/>
          <w:rtl/>
        </w:rPr>
        <w:t xml:space="preserve"> </w:t>
      </w:r>
      <w:r w:rsidRPr="006326FA">
        <w:rPr>
          <w:rFonts w:cs="FrankRuehl"/>
          <w:sz w:val="22"/>
          <w:szCs w:val="22"/>
          <w:rtl/>
        </w:rPr>
        <w:t>בהקשר זה יש לקחת בחשבון, בין השאר, את</w:t>
      </w:r>
      <w:r w:rsidRPr="006326FA">
        <w:rPr>
          <w:rFonts w:cs="FrankRuehl"/>
          <w:b/>
          <w:bCs/>
          <w:sz w:val="22"/>
          <w:szCs w:val="22"/>
          <w:rtl/>
        </w:rPr>
        <w:t xml:space="preserve"> היקף ההאצלה, את מעמדו של המאציל ואת מידת הייחוד של משרתו, את היקף שיקול הדעת הניתן לבעל הסמכות (תוך הבחנה בין סמכות של שיקול דעת לסמכות שבחובה), את מהות הסמכות (תוך הבחנה בין סמכות שיפוטית</w:t>
      </w:r>
      <w:r w:rsidRPr="006326FA">
        <w:rPr>
          <w:rFonts w:cs="FrankRuehl" w:hint="cs"/>
          <w:b/>
          <w:bCs/>
          <w:sz w:val="22"/>
          <w:szCs w:val="22"/>
          <w:rtl/>
        </w:rPr>
        <w:t>,</w:t>
      </w:r>
      <w:r w:rsidRPr="006326FA">
        <w:rPr>
          <w:rFonts w:cs="FrankRuehl"/>
          <w:b/>
          <w:bCs/>
          <w:sz w:val="22"/>
          <w:szCs w:val="22"/>
          <w:rtl/>
        </w:rPr>
        <w:t xml:space="preserve"> חקיקתית, ביצועית), את השפעתה של הסמכות על זכויות האדם ושלום הציבור, ואת הצרכים המעשיים והיעילות המינהלית.</w:t>
      </w:r>
      <w:r w:rsidRPr="006326FA">
        <w:rPr>
          <w:rFonts w:cs="FrankRuehl"/>
          <w:sz w:val="22"/>
          <w:szCs w:val="22"/>
          <w:rtl/>
        </w:rPr>
        <w:t xml:space="preserve"> </w:t>
      </w:r>
      <w:r w:rsidRPr="006326FA">
        <w:rPr>
          <w:rFonts w:cs="FrankRuehl" w:hint="cs"/>
          <w:sz w:val="22"/>
          <w:szCs w:val="22"/>
          <w:rtl/>
        </w:rPr>
        <w:t>[...]</w:t>
      </w:r>
    </w:p>
    <w:p w:rsidR="005366A8" w:rsidRPr="006326FA" w:rsidRDefault="005366A8" w:rsidP="005366A8">
      <w:pPr>
        <w:spacing w:after="120"/>
        <w:rPr>
          <w:rFonts w:cs="FrankRuehl"/>
          <w:sz w:val="22"/>
          <w:szCs w:val="22"/>
          <w:rtl/>
        </w:rPr>
      </w:pPr>
      <w:r w:rsidRPr="006326FA">
        <w:rPr>
          <w:rFonts w:cs="FrankRuehl"/>
          <w:sz w:val="22"/>
          <w:szCs w:val="22"/>
          <w:rtl/>
        </w:rPr>
        <w:t>ודוק: גם כאשר האצלת סמכות מותרת היא, יש לבחון תמיד אם השימוש בשיקול הדעת לביצוע ההאצלה הוא כדין. זאת ועוד</w:t>
      </w:r>
      <w:r w:rsidRPr="006326FA">
        <w:rPr>
          <w:rFonts w:cs="FrankRuehl"/>
          <w:sz w:val="22"/>
          <w:szCs w:val="22"/>
          <w:highlight w:val="yellow"/>
          <w:rtl/>
        </w:rPr>
        <w:t xml:space="preserve">: </w:t>
      </w:r>
      <w:r w:rsidRPr="006326FA">
        <w:rPr>
          <w:rFonts w:cs="FrankRuehl"/>
          <w:b/>
          <w:bCs/>
          <w:sz w:val="22"/>
          <w:szCs w:val="22"/>
          <w:highlight w:val="yellow"/>
          <w:rtl/>
        </w:rPr>
        <w:t>בהאצלת הסמכות מסמיך המאציל את הנאצל להשתמש בסמכויות של המאציל (כולן או מקצתן). אין המאציל משתחרר מסמכותו, ורשאי הוא, על-פי שיקול דעתו כדין, לבטל את ההאצלה</w:t>
      </w:r>
      <w:r w:rsidRPr="006326FA">
        <w:rPr>
          <w:rFonts w:cs="FrankRuehl"/>
          <w:sz w:val="22"/>
          <w:szCs w:val="22"/>
          <w:rtl/>
        </w:rPr>
        <w:t xml:space="preserve"> (ראה בג"צ 170/81 סלמה נ. ראש המועצה המקומית טורעאן, פ"ד לו(433 (2). </w:t>
      </w:r>
      <w:r w:rsidRPr="006326FA">
        <w:rPr>
          <w:rFonts w:cs="FrankRuehl"/>
          <w:b/>
          <w:bCs/>
          <w:sz w:val="22"/>
          <w:szCs w:val="22"/>
          <w:rtl/>
        </w:rPr>
        <w:t>הנאצל הופך, מכוח ההאצלה, ל"רשות מוסמכת", והוא נתון, על כן, לביקורת מינהלית ושיפוטית כרשות המאצילה עצמה.</w:t>
      </w:r>
      <w:r w:rsidRPr="006326FA">
        <w:rPr>
          <w:rFonts w:cs="FrankRuehl"/>
          <w:sz w:val="22"/>
          <w:szCs w:val="22"/>
          <w:rtl/>
        </w:rPr>
        <w:t xml:space="preserve">  </w:t>
      </w:r>
      <w:r w:rsidRPr="006326FA">
        <w:rPr>
          <w:rFonts w:cs="FrankRuehl" w:hint="cs"/>
          <w:sz w:val="22"/>
          <w:szCs w:val="22"/>
          <w:rtl/>
        </w:rPr>
        <w:t>[...]</w:t>
      </w:r>
    </w:p>
    <w:p w:rsidR="005366A8" w:rsidRPr="006326FA" w:rsidRDefault="005366A8" w:rsidP="005366A8">
      <w:pPr>
        <w:rPr>
          <w:rFonts w:cs="FrankRuehl"/>
          <w:sz w:val="22"/>
          <w:szCs w:val="22"/>
          <w:rtl/>
        </w:rPr>
      </w:pPr>
      <w:r w:rsidRPr="006326FA">
        <w:rPr>
          <w:rFonts w:cs="FrankRuehl"/>
          <w:sz w:val="22"/>
          <w:szCs w:val="22"/>
          <w:rtl/>
        </w:rPr>
        <w:t xml:space="preserve">17. </w:t>
      </w:r>
      <w:r w:rsidRPr="006326FA">
        <w:rPr>
          <w:rFonts w:cs="FrankRuehl"/>
          <w:sz w:val="22"/>
          <w:szCs w:val="22"/>
          <w:highlight w:val="yellow"/>
          <w:rtl/>
        </w:rPr>
        <w:t>יש להבחין בין האצלה (</w:t>
      </w:r>
      <w:r w:rsidRPr="006326FA">
        <w:rPr>
          <w:rFonts w:cs="FrankRuehl"/>
          <w:sz w:val="22"/>
          <w:szCs w:val="22"/>
          <w:highlight w:val="yellow"/>
        </w:rPr>
        <w:t>DELEGATION</w:t>
      </w:r>
      <w:r w:rsidRPr="006326FA">
        <w:rPr>
          <w:rFonts w:cs="FrankRuehl"/>
          <w:sz w:val="22"/>
          <w:szCs w:val="22"/>
          <w:highlight w:val="yellow"/>
          <w:rtl/>
        </w:rPr>
        <w:t>) של סמכות לאחר לבין קבלת עזרה מאחר לביצוע הסמכות.</w:t>
      </w:r>
      <w:r w:rsidRPr="006326FA">
        <w:rPr>
          <w:rFonts w:cs="FrankRuehl"/>
          <w:sz w:val="22"/>
          <w:szCs w:val="22"/>
          <w:rtl/>
        </w:rPr>
        <w:t xml:space="preserve"> "מבדילים בין ביצוע פעולות מסוימות באמצעות אחרים לבין העברת התפקיד, אותו חיי</w:t>
      </w:r>
      <w:r w:rsidRPr="006326FA">
        <w:rPr>
          <w:rFonts w:cs="FrankRuehl" w:hint="cs"/>
          <w:sz w:val="22"/>
          <w:szCs w:val="22"/>
          <w:rtl/>
        </w:rPr>
        <w:t>ב</w:t>
      </w:r>
      <w:r w:rsidRPr="006326FA">
        <w:rPr>
          <w:rFonts w:cs="FrankRuehl"/>
          <w:sz w:val="22"/>
          <w:szCs w:val="22"/>
          <w:rtl/>
        </w:rPr>
        <w:t xml:space="preserve"> למלא מי שהחוק הסמיכו לכך" (המשנה לנשיא, השופטת בן-פורת בבג"צ 136/84 המועצה הישראלית לצרכנות נ. יו"ר המועצה להגבלים עסקיים, פ"ד לט(3)</w:t>
      </w:r>
      <w:r w:rsidRPr="006326FA">
        <w:rPr>
          <w:rFonts w:cs="FrankRuehl" w:hint="cs"/>
          <w:sz w:val="22"/>
          <w:szCs w:val="22"/>
          <w:rtl/>
        </w:rPr>
        <w:t xml:space="preserve"> 265,</w:t>
      </w:r>
      <w:r w:rsidRPr="006326FA">
        <w:rPr>
          <w:rFonts w:cs="FrankRuehl"/>
          <w:sz w:val="22"/>
          <w:szCs w:val="22"/>
          <w:rtl/>
        </w:rPr>
        <w:t xml:space="preserve"> 270</w:t>
      </w:r>
      <w:r w:rsidRPr="006326FA">
        <w:rPr>
          <w:rFonts w:cs="FrankRuehl" w:hint="cs"/>
          <w:sz w:val="22"/>
          <w:szCs w:val="22"/>
          <w:rtl/>
        </w:rPr>
        <w:t>.</w:t>
      </w:r>
    </w:p>
    <w:p w:rsidR="005366A8" w:rsidRPr="006326FA" w:rsidRDefault="005366A8" w:rsidP="005366A8">
      <w:pPr>
        <w:spacing w:after="120"/>
        <w:rPr>
          <w:rFonts w:cs="FrankRuehl"/>
          <w:sz w:val="22"/>
          <w:szCs w:val="22"/>
          <w:rtl/>
        </w:rPr>
      </w:pPr>
      <w:r w:rsidRPr="006326FA">
        <w:rPr>
          <w:rFonts w:cs="FrankRuehl"/>
          <w:b/>
          <w:bCs/>
          <w:sz w:val="22"/>
          <w:szCs w:val="22"/>
          <w:rtl/>
        </w:rPr>
        <w:t>בעוד שחזקה היא על חוק כי תכליתו אינה להסמיך את בעל הסמכות לאצול את סמכותו לאחר, אין חזקה כי תכלית החוק היא למנוע מבעל הסמכות מלקבל סיוע, לביצוע הסמכות, מאחר. נהפוך הוא: חזקה על החוק שהעניק הסמכות, כי תכליתו הינה לאפשר לבעל הסמכות להעזר באחרים לביצוע סמכותו. חזקה זו נובעת ממציאות החיים והשלטון.</w:t>
      </w:r>
      <w:r w:rsidRPr="006326FA">
        <w:rPr>
          <w:rFonts w:cs="FrankRuehl"/>
          <w:sz w:val="22"/>
          <w:szCs w:val="22"/>
          <w:rtl/>
        </w:rPr>
        <w:t xml:space="preserve"> </w:t>
      </w:r>
      <w:r w:rsidRPr="006326FA">
        <w:rPr>
          <w:rFonts w:cs="FrankRuehl"/>
          <w:sz w:val="22"/>
          <w:szCs w:val="22"/>
          <w:highlight w:val="yellow"/>
          <w:rtl/>
        </w:rPr>
        <w:t>ריבוי הפעילות השלטונית, הסיבוך שבה, התשתית העובדתית המקיפה המשמשת לה בסיס, כל אלה מחייבים, למען יעילות פעולת השלטון, כי הרשות השלטונית תוכל להעזר באחרים בביצוע תפקידיה, ותוכל להפעיל את סמכותה באמצעות זולתה. חזקה על המחוקק, שעה שהוא מעניק סמכות לרשות שלטונית, כי הוא מניח שסיוע זה יתבקש ויתקבל. היקפה של העזרה המותרת משתנה מעניין לעניין, ומתפקיד לתפקיד. עם זאת יש להבטיח כי ההסתייעות באחר לא תהיה כה מקיפה ועמוקה, עד כי הלכה למעשה היא תהיה שקולה כנגד האצלת הסמכות</w:t>
      </w:r>
      <w:r w:rsidRPr="006326FA">
        <w:rPr>
          <w:rFonts w:cs="FrankRuehl"/>
          <w:sz w:val="22"/>
          <w:szCs w:val="22"/>
          <w:rtl/>
        </w:rPr>
        <w:t>. אכן, מקום שהרשות השלטונית מעמיסה על שכם זולתה ביצוע כל תפקידיה או ביצוע רוב רובם של תפקידיה, היא עשויה לעבור את גבול הביצוע העצמי באמצעות אחר, ולהכנס לתחום ההאצלה של התפקיד לאחר. חציית גבולות זו עשויה להכשיל את פעולותיה של הרשות השלטונית, וזאת משני טעמים. ראשית, פרשנותו של החוק עשויה להסמיך את הרשות המוסמכת להעזר באחרים ולפעול באמצעותם, אך היא עשויה שלא להסמיך את הרשות המוסמכת לאצול את סמכותה. חציית הגבולות מכניסה את הרשות המוסמכת לתחום בו היא חסרה סמכות לפעול; שנית, הרשות המוסמכת ביצעה, הלכה למעשה פעולת האצלה - אותה היא מוסמכת לעשות - מבלי שנתנה דעתה לכך. בכך נפגם שיקול דעתה, שכן לא הרי האצלת סמכות כהרי ביצוע הסמכות תוך הסתייעות באחר. על הרשות השלטונית ליתן דעתה לשאלה, אם היא מבקשת לאצול את סמכותה (כולה או מקצתה) לאחר או רק להסתייע באחר לביצוע סמכותה. הבחירה בין שני ערוצי פעולה אלה צריכה להיות מודעת, תוך שקילת המשמעויות השונות המתבקשות מצורת הפעולה הנבחרת. גלישה לא מודעת לאחד הערוצים הללו עשויה להפסל בשל הפגם שנפל בהפעלת שיקול הדעת המינהלי.</w:t>
      </w:r>
    </w:p>
    <w:p w:rsidR="005366A8" w:rsidRPr="006326FA" w:rsidRDefault="005366A8" w:rsidP="005366A8">
      <w:pPr>
        <w:rPr>
          <w:rFonts w:cs="FrankRuehl"/>
          <w:sz w:val="22"/>
          <w:szCs w:val="22"/>
          <w:rtl/>
        </w:rPr>
      </w:pPr>
      <w:r w:rsidRPr="006326FA">
        <w:rPr>
          <w:rFonts w:cs="FrankRuehl" w:hint="cs"/>
          <w:sz w:val="22"/>
          <w:szCs w:val="22"/>
          <w:rtl/>
        </w:rPr>
        <w:t xml:space="preserve">18. […] </w:t>
      </w:r>
      <w:r w:rsidRPr="006326FA">
        <w:rPr>
          <w:rFonts w:cs="FrankRuehl"/>
          <w:sz w:val="22"/>
          <w:szCs w:val="22"/>
          <w:rtl/>
        </w:rPr>
        <w:t xml:space="preserve">הקושי בקביעת קו הגבול בין האצלה לאחר לבין הסתייעות באחר הינו כי בשני המקרים אין בעל הסמכות משתחרר מסמכותו, ובשני המקרים גוף זולת בעל הסמכות מבצע חלק מתפקידו. עם זאת, </w:t>
      </w:r>
      <w:r w:rsidRPr="006326FA">
        <w:rPr>
          <w:rFonts w:cs="FrankRuehl"/>
          <w:b/>
          <w:bCs/>
          <w:sz w:val="22"/>
          <w:szCs w:val="22"/>
          <w:rtl/>
        </w:rPr>
        <w:t>במקרה הראשון (האצלה)</w:t>
      </w:r>
      <w:r w:rsidRPr="006326FA">
        <w:rPr>
          <w:rFonts w:cs="FrankRuehl"/>
          <w:sz w:val="22"/>
          <w:szCs w:val="22"/>
          <w:rtl/>
        </w:rPr>
        <w:t xml:space="preserve"> בעל הסמכות הופך את זולתו ל"רשות מוסמכת" שלה סמכויות שלטוניות כמו לרשות המוסמכת עצמה. </w:t>
      </w:r>
      <w:r w:rsidRPr="006326FA">
        <w:rPr>
          <w:rFonts w:cs="FrankRuehl"/>
          <w:b/>
          <w:bCs/>
          <w:sz w:val="22"/>
          <w:szCs w:val="22"/>
          <w:rtl/>
        </w:rPr>
        <w:t>במקרה השני (ההסתייעות באחר)</w:t>
      </w:r>
      <w:r w:rsidRPr="006326FA">
        <w:rPr>
          <w:rFonts w:cs="FrankRuehl"/>
          <w:sz w:val="22"/>
          <w:szCs w:val="22"/>
          <w:rtl/>
        </w:rPr>
        <w:t xml:space="preserve"> הסמכות השלטונית היא אך בידי בעל הסמכות, ואילו זולתה אך מסייע לה בהגשמתה של אותה סמכות. </w:t>
      </w:r>
    </w:p>
    <w:p w:rsidR="005366A8" w:rsidRDefault="005366A8" w:rsidP="005366A8">
      <w:pPr>
        <w:spacing w:after="120"/>
        <w:rPr>
          <w:rFonts w:cs="FrankRuehl"/>
          <w:sz w:val="22"/>
          <w:szCs w:val="22"/>
          <w:rtl/>
        </w:rPr>
      </w:pPr>
      <w:r w:rsidRPr="006326FA">
        <w:rPr>
          <w:rFonts w:cs="FrankRuehl" w:hint="cs"/>
          <w:sz w:val="22"/>
          <w:szCs w:val="22"/>
          <w:rtl/>
        </w:rPr>
        <w:t xml:space="preserve">[...] </w:t>
      </w:r>
      <w:r w:rsidRPr="006326FA">
        <w:rPr>
          <w:rFonts w:cs="FrankRuehl"/>
          <w:sz w:val="22"/>
          <w:szCs w:val="22"/>
          <w:highlight w:val="yellow"/>
          <w:rtl/>
        </w:rPr>
        <w:t xml:space="preserve">אמת-מידה שניתן להעזר בה </w:t>
      </w:r>
      <w:r w:rsidRPr="006326FA">
        <w:rPr>
          <w:rFonts w:cs="FrankRuehl" w:hint="cs"/>
          <w:sz w:val="22"/>
          <w:szCs w:val="22"/>
          <w:highlight w:val="yellow"/>
          <w:rtl/>
        </w:rPr>
        <w:t xml:space="preserve">[בשאלת קו הגבול הנזכר] </w:t>
      </w:r>
      <w:r w:rsidRPr="006326FA">
        <w:rPr>
          <w:rFonts w:cs="FrankRuehl"/>
          <w:sz w:val="22"/>
          <w:szCs w:val="22"/>
          <w:highlight w:val="yellow"/>
          <w:rtl/>
        </w:rPr>
        <w:t xml:space="preserve">קשורה במהות התפקיד המוטל על אחר, האם זהו תפקיד הכרוך בשיקול דעת מינהלי או </w:t>
      </w:r>
      <w:r w:rsidRPr="006326FA">
        <w:rPr>
          <w:rFonts w:cs="FrankRuehl" w:hint="cs"/>
          <w:sz w:val="22"/>
          <w:szCs w:val="22"/>
          <w:highlight w:val="yellow"/>
          <w:rtl/>
        </w:rPr>
        <w:t xml:space="preserve">[שמא] </w:t>
      </w:r>
      <w:r w:rsidRPr="006326FA">
        <w:rPr>
          <w:rFonts w:cs="FrankRuehl"/>
          <w:sz w:val="22"/>
          <w:szCs w:val="22"/>
          <w:highlight w:val="yellow"/>
          <w:rtl/>
        </w:rPr>
        <w:t xml:space="preserve">תפקיד בעל אופי טכני. במקום שהרשות המוסמכת מעניקה לאחר תפקיד של שיקול דעת, היא עשויה להחשב כמי שאוצלת (כדין או שלא כדין) את הסמכות לאחר. לעומת זאת, כאשר התפקיד המוענק לאחר הוא בעל אופי טכני, ואילו שיקול הדעת המינהלי נשאר בידי הרשות השלטונית, עשויה הפעולה להחשב כביצוע התפקיד באמצעות אחר ולא כאצילת הסמכות עצמה. עם זאת, אין זה כלל בל-יעבור. לעתים מוענק לאחר תפקיד של שיקול דעת (כגון, שמיעת הצד שכנגד והעברת המלצה לרשות המוסמכת) מבלי שהדבר ייחשב כאצילה. </w:t>
      </w:r>
      <w:r w:rsidRPr="006326FA">
        <w:rPr>
          <w:rFonts w:cs="FrankRuehl" w:hint="cs"/>
          <w:sz w:val="22"/>
          <w:szCs w:val="22"/>
          <w:highlight w:val="yellow"/>
          <w:rtl/>
        </w:rPr>
        <w:t xml:space="preserve"> </w:t>
      </w:r>
      <w:r w:rsidRPr="006326FA">
        <w:rPr>
          <w:rFonts w:cs="FrankRuehl"/>
          <w:sz w:val="22"/>
          <w:szCs w:val="22"/>
          <w:highlight w:val="yellow"/>
          <w:rtl/>
        </w:rPr>
        <w:t>לעתים ניתן להעניק לאחר תפקיד בעל אופי טכני, והדבר ייחשב כאצילה. אכן, הכל תלוי בזהות תפקידה של הרשות המוסמכת מזה, ובמשימה שהוטלה על האחר מזה, וביחס בין השניים</w:t>
      </w:r>
      <w:r w:rsidRPr="006326FA">
        <w:rPr>
          <w:rFonts w:cs="FrankRuehl"/>
          <w:sz w:val="22"/>
          <w:szCs w:val="22"/>
          <w:rtl/>
        </w:rPr>
        <w:t xml:space="preserve">. </w:t>
      </w:r>
    </w:p>
    <w:p w:rsidR="005366A8" w:rsidRPr="006326FA" w:rsidRDefault="005366A8" w:rsidP="005366A8">
      <w:pPr>
        <w:spacing w:after="120"/>
        <w:rPr>
          <w:rFonts w:cs="FrankRuehl"/>
          <w:sz w:val="22"/>
          <w:szCs w:val="22"/>
          <w:rtl/>
        </w:rPr>
      </w:pPr>
      <w:r>
        <w:rPr>
          <w:rFonts w:cs="FrankRuehl" w:hint="cs"/>
          <w:sz w:val="22"/>
          <w:szCs w:val="22"/>
          <w:rtl/>
        </w:rPr>
        <w:t>[...]</w:t>
      </w:r>
    </w:p>
    <w:p w:rsidR="005366A8" w:rsidRPr="006326FA" w:rsidRDefault="005366A8" w:rsidP="005366A8">
      <w:pPr>
        <w:tabs>
          <w:tab w:val="left" w:pos="288"/>
          <w:tab w:val="left" w:pos="720"/>
          <w:tab w:val="left" w:pos="864"/>
          <w:tab w:val="left" w:pos="1008"/>
          <w:tab w:val="left" w:pos="1152"/>
          <w:tab w:val="left" w:pos="1440"/>
          <w:tab w:val="left" w:pos="1584"/>
          <w:tab w:val="left" w:pos="5760"/>
          <w:tab w:val="decimal" w:pos="7344"/>
        </w:tabs>
        <w:autoSpaceDE w:val="0"/>
        <w:autoSpaceDN w:val="0"/>
        <w:adjustRightInd w:val="0"/>
        <w:spacing w:after="80"/>
        <w:rPr>
          <w:rFonts w:cs="FrankRuehl"/>
          <w:sz w:val="22"/>
          <w:szCs w:val="22"/>
        </w:rPr>
      </w:pPr>
      <w:r>
        <w:rPr>
          <w:rFonts w:cs="FrankRuehl" w:hint="cs"/>
          <w:sz w:val="22"/>
          <w:szCs w:val="22"/>
          <w:rtl/>
        </w:rPr>
        <w:t xml:space="preserve">20. [...] </w:t>
      </w:r>
      <w:r w:rsidRPr="006326FA">
        <w:rPr>
          <w:rFonts w:cs="FrankRuehl"/>
          <w:sz w:val="22"/>
          <w:szCs w:val="22"/>
          <w:rtl/>
        </w:rPr>
        <w:t>מערכת נתונים זו בהצטברותה מצביעה על כך, כי הרשם ממשיך לנהל את המרשם, וכי פעולתן של המשיבות</w:t>
      </w:r>
      <w:r>
        <w:rPr>
          <w:rFonts w:cs="FrankRuehl" w:hint="cs"/>
          <w:sz w:val="22"/>
          <w:szCs w:val="22"/>
          <w:rtl/>
        </w:rPr>
        <w:t xml:space="preserve"> [החברות הפרטיות]</w:t>
      </w:r>
      <w:r w:rsidRPr="006326FA">
        <w:rPr>
          <w:rFonts w:cs="FrankRuehl"/>
          <w:sz w:val="22"/>
          <w:szCs w:val="22"/>
          <w:rtl/>
        </w:rPr>
        <w:t>, מנקודת מבטו של הרשם, היא עזרה וסיוע בביצוע תפקידו. במסגרת עזרה זו אין החברות המשיבות מפעילות שיקול-דעת מינהלי, אלא מבצעות פעולות מוגבלות בעלות אופי טכני. אמת, הרשם אינו נותן לציבור תדפיס מנתוני המחשב. שירות חיוני זה ניתן על-ידי החברות המשיבות, ועל-ידיהן בלבד. לדעתי, בנסיבות העניין שלפנינו - ועל רקע תפקידי הרשם מזה ותפקידי החברות המשיבות מזה - מתן שירות זה</w:t>
      </w:r>
      <w:r>
        <w:rPr>
          <w:rFonts w:cs="FrankRuehl" w:hint="cs"/>
          <w:sz w:val="22"/>
          <w:szCs w:val="22"/>
          <w:rtl/>
        </w:rPr>
        <w:t xml:space="preserve"> </w:t>
      </w:r>
      <w:r w:rsidRPr="006326FA">
        <w:rPr>
          <w:rFonts w:cs="FrankRuehl"/>
          <w:sz w:val="22"/>
          <w:szCs w:val="22"/>
          <w:rtl/>
        </w:rPr>
        <w:t xml:space="preserve">על-ידי החברות המשיבות אינו מהווה האצלה של תפקידי הרשם אליהן, אלא ביצוע תפקידי הרשם באמצעות החברות. אין לומר כלל, כי ההסכם עם המשיבות "מרוקן מתכנה את הסמכות" שנמסרה לרשם ומשמיט מידיו "את התפקיד" של קיום המרשם, החייב להיות שמור לו עצמו, על-פי אחריותו שלו (השווה דברי השופט לנדוי בבג"צ </w:t>
      </w:r>
      <w:r w:rsidRPr="006326FA">
        <w:rPr>
          <w:rFonts w:cs="FrankRuehl"/>
          <w:sz w:val="22"/>
          <w:szCs w:val="22"/>
        </w:rPr>
        <w:t>165/69</w:t>
      </w:r>
      <w:r w:rsidRPr="006326FA">
        <w:rPr>
          <w:rFonts w:cs="FrankRuehl"/>
          <w:sz w:val="22"/>
          <w:szCs w:val="22"/>
          <w:rtl/>
        </w:rPr>
        <w:t xml:space="preserve"> [</w:t>
      </w:r>
      <w:r w:rsidRPr="006326FA">
        <w:rPr>
          <w:rFonts w:cs="FrankRuehl"/>
          <w:sz w:val="22"/>
          <w:szCs w:val="22"/>
        </w:rPr>
        <w:t>12</w:t>
      </w:r>
      <w:r w:rsidRPr="006326FA">
        <w:rPr>
          <w:rFonts w:cs="FrankRuehl"/>
          <w:sz w:val="22"/>
          <w:szCs w:val="22"/>
          <w:rtl/>
        </w:rPr>
        <w:t>] הנ"ל). אכן, הרשם לא שמר לעצמו אך זכות פיקוח כללית - העשויה שלא להספיק. הרשם שמר לעצמו את השליטה על מערכת הנתונים עצמה. כ</w:t>
      </w:r>
      <w:r>
        <w:rPr>
          <w:rFonts w:cs="FrankRuehl" w:hint="cs"/>
          <w:sz w:val="22"/>
          <w:szCs w:val="22"/>
          <w:rtl/>
        </w:rPr>
        <w:t>ך</w:t>
      </w:r>
      <w:r w:rsidRPr="006326FA">
        <w:rPr>
          <w:rFonts w:cs="FrankRuehl"/>
          <w:sz w:val="22"/>
          <w:szCs w:val="22"/>
          <w:rtl/>
        </w:rPr>
        <w:t>, למשל, אם החברות המשיבות פושטות רגל או מפירות את ההסכם, הרשם עשוי להמשיך ללא כל קושי במתן השירות כבעבר. הוא לא "השתחרר" מסמכותו ותפקידו. הוא אך נעזר בחברות</w:t>
      </w:r>
      <w:r w:rsidRPr="006326FA">
        <w:rPr>
          <w:rFonts w:cs="FrankRuehl"/>
          <w:sz w:val="22"/>
          <w:szCs w:val="22"/>
        </w:rPr>
        <w:t xml:space="preserve"> </w:t>
      </w:r>
      <w:r w:rsidRPr="006326FA">
        <w:rPr>
          <w:rFonts w:cs="FrankRuehl"/>
          <w:sz w:val="22"/>
          <w:szCs w:val="22"/>
          <w:rtl/>
        </w:rPr>
        <w:t xml:space="preserve">המשיבות לשם שיפור הביצוע והשירות. </w:t>
      </w:r>
      <w:r w:rsidRPr="006326FA">
        <w:rPr>
          <w:rFonts w:cs="FrankRuehl"/>
          <w:sz w:val="22"/>
          <w:szCs w:val="22"/>
          <w:highlight w:val="yellow"/>
          <w:rtl/>
        </w:rPr>
        <w:t>הוא לא הטיל על החברות המשיבות את התפקיד של ניהול המרשם. תפקיד זה נשאר בידיו. הוא נעזר בחברות בכל הנוגע להגשמתה של חובת העיון</w:t>
      </w:r>
      <w:r w:rsidRPr="006326FA">
        <w:rPr>
          <w:rFonts w:cs="FrankRuehl"/>
          <w:sz w:val="22"/>
          <w:szCs w:val="22"/>
          <w:highlight w:val="yellow"/>
        </w:rPr>
        <w:t>.</w:t>
      </w:r>
    </w:p>
    <w:p w:rsidR="005366A8" w:rsidRPr="006326FA" w:rsidRDefault="005366A8" w:rsidP="005366A8">
      <w:pPr>
        <w:rPr>
          <w:rFonts w:cs="FrankRuehl"/>
          <w:sz w:val="22"/>
          <w:szCs w:val="22"/>
          <w:rtl/>
        </w:rPr>
      </w:pPr>
      <w:r w:rsidRPr="006326FA">
        <w:rPr>
          <w:rFonts w:cs="FrankRuehl"/>
          <w:sz w:val="22"/>
          <w:szCs w:val="22"/>
          <w:rtl/>
        </w:rPr>
        <w:t>התוצאה היא, כי דין העתירות להידחות.</w:t>
      </w:r>
    </w:p>
    <w:p w:rsidR="005366A8" w:rsidRPr="00062BCB" w:rsidRDefault="005366A8" w:rsidP="005366A8">
      <w:pPr>
        <w:spacing w:after="120"/>
        <w:rPr>
          <w:rFonts w:ascii="Arial" w:hAnsi="Arial" w:cs="Arial"/>
          <w:sz w:val="22"/>
          <w:szCs w:val="22"/>
          <w:highlight w:val="yellow"/>
          <w:rtl/>
        </w:rPr>
      </w:pPr>
      <w:r w:rsidRPr="00062BCB">
        <w:rPr>
          <w:rFonts w:ascii="Arial" w:hAnsi="Arial" w:cs="Arial" w:hint="cs"/>
          <w:sz w:val="22"/>
          <w:szCs w:val="22"/>
          <w:highlight w:val="yellow"/>
          <w:rtl/>
        </w:rPr>
        <w:t>=-=</w:t>
      </w:r>
    </w:p>
    <w:p w:rsidR="005366A8" w:rsidRPr="00F81B12" w:rsidRDefault="005366A8" w:rsidP="005366A8">
      <w:pPr>
        <w:spacing w:after="120"/>
        <w:ind w:hanging="57"/>
        <w:jc w:val="center"/>
        <w:rPr>
          <w:sz w:val="22"/>
          <w:szCs w:val="22"/>
          <w:rtl/>
        </w:rPr>
      </w:pPr>
      <w:r w:rsidRPr="008D7FEC">
        <w:rPr>
          <w:rFonts w:hint="cs"/>
          <w:sz w:val="22"/>
          <w:szCs w:val="22"/>
          <w:highlight w:val="yellow"/>
          <w:rtl/>
        </w:rPr>
        <w:t xml:space="preserve">בג"צ 4884/00 </w:t>
      </w:r>
      <w:r w:rsidRPr="008D7FEC">
        <w:rPr>
          <w:rFonts w:hint="cs"/>
          <w:b/>
          <w:bCs/>
          <w:sz w:val="22"/>
          <w:szCs w:val="22"/>
          <w:highlight w:val="yellow"/>
          <w:rtl/>
        </w:rPr>
        <w:t>עמותת "תנו לחיות לחיות" נ' מנהל השירותים הוטרינריים</w:t>
      </w:r>
    </w:p>
    <w:p w:rsidR="005366A8" w:rsidRDefault="005366A8" w:rsidP="005366A8">
      <w:pPr>
        <w:pStyle w:val="ruller40"/>
        <w:rPr>
          <w:sz w:val="20"/>
          <w:szCs w:val="20"/>
          <w:rtl/>
        </w:rPr>
      </w:pPr>
      <w:r w:rsidRPr="00E15239">
        <w:rPr>
          <w:rFonts w:hint="cs"/>
          <w:sz w:val="20"/>
          <w:szCs w:val="20"/>
          <w:rtl/>
        </w:rPr>
        <w:t xml:space="preserve">המשיב 1 </w:t>
      </w:r>
      <w:r>
        <w:rPr>
          <w:rFonts w:hint="cs"/>
          <w:sz w:val="20"/>
          <w:szCs w:val="20"/>
          <w:rtl/>
        </w:rPr>
        <w:t xml:space="preserve">[מנהל השירותים הוטרינריים במשרד החקלאות] </w:t>
      </w:r>
      <w:r w:rsidRPr="00E15239">
        <w:rPr>
          <w:rFonts w:hint="cs"/>
          <w:sz w:val="20"/>
          <w:szCs w:val="20"/>
          <w:rtl/>
        </w:rPr>
        <w:t xml:space="preserve">פרסם נוהל כללי לטיפול בחתולי רחוב (להלן </w:t>
      </w:r>
      <w:r w:rsidRPr="00E15239">
        <w:rPr>
          <w:rFonts w:hint="eastAsia"/>
          <w:sz w:val="20"/>
          <w:szCs w:val="20"/>
          <w:rtl/>
        </w:rPr>
        <w:t>–</w:t>
      </w:r>
      <w:r w:rsidRPr="00E15239">
        <w:rPr>
          <w:rFonts w:hint="cs"/>
          <w:sz w:val="20"/>
          <w:szCs w:val="20"/>
          <w:rtl/>
        </w:rPr>
        <w:t xml:space="preserve"> הנוהל), שנועד להסדיר את הפעלת הסמכות להמית חתולי רחוב תוך קביעת כללים להפעלתה. הנוהל מוסר את שיקול</w:t>
      </w:r>
      <w:r w:rsidRPr="00E15239">
        <w:rPr>
          <w:sz w:val="20"/>
          <w:szCs w:val="20"/>
          <w:rtl/>
        </w:rPr>
        <w:t>-</w:t>
      </w:r>
      <w:r w:rsidRPr="00E15239">
        <w:rPr>
          <w:rFonts w:hint="cs"/>
          <w:sz w:val="20"/>
          <w:szCs w:val="20"/>
          <w:rtl/>
        </w:rPr>
        <w:t xml:space="preserve">הדעת בשאלה אם במקרה נתון יש להמית חתולים בידי רופא וטרינר ממשלתי או וטרינר הרשות המקומית (להלן </w:t>
      </w:r>
      <w:r w:rsidRPr="00E15239">
        <w:rPr>
          <w:rFonts w:hint="eastAsia"/>
          <w:sz w:val="20"/>
          <w:szCs w:val="20"/>
          <w:rtl/>
        </w:rPr>
        <w:t>–</w:t>
      </w:r>
      <w:r w:rsidRPr="00E15239">
        <w:rPr>
          <w:rFonts w:hint="cs"/>
          <w:sz w:val="20"/>
          <w:szCs w:val="20"/>
          <w:rtl/>
        </w:rPr>
        <w:t xml:space="preserve"> הווטרינר הרשותי) בלבד. הסמכות לביצוע אקט ההמתה ניתנה לווטרינר הרשותי, לעובדיו או למי שהוסמך על</w:t>
      </w:r>
      <w:r w:rsidRPr="00E15239">
        <w:rPr>
          <w:sz w:val="20"/>
          <w:szCs w:val="20"/>
          <w:rtl/>
        </w:rPr>
        <w:t>-</w:t>
      </w:r>
      <w:r w:rsidRPr="00E15239">
        <w:rPr>
          <w:rFonts w:hint="cs"/>
          <w:sz w:val="20"/>
          <w:szCs w:val="20"/>
          <w:rtl/>
        </w:rPr>
        <w:t>ידיו לכך. המשיב 1 נתן אישור עקרוני לווטרינרים הרשותיים להסמיך את המשיבה 2</w:t>
      </w:r>
      <w:r>
        <w:rPr>
          <w:rFonts w:hint="cs"/>
          <w:sz w:val="20"/>
          <w:szCs w:val="20"/>
          <w:rtl/>
        </w:rPr>
        <w:t xml:space="preserve"> [עמותת "מגן לחתול"]</w:t>
      </w:r>
      <w:r w:rsidRPr="00E15239">
        <w:rPr>
          <w:rFonts w:hint="cs"/>
          <w:sz w:val="20"/>
          <w:szCs w:val="20"/>
          <w:rtl/>
        </w:rPr>
        <w:t>, המופעלת על</w:t>
      </w:r>
      <w:r w:rsidRPr="00E15239">
        <w:rPr>
          <w:sz w:val="20"/>
          <w:szCs w:val="20"/>
          <w:rtl/>
        </w:rPr>
        <w:t>-</w:t>
      </w:r>
      <w:r w:rsidRPr="00E15239">
        <w:rPr>
          <w:rFonts w:hint="cs"/>
          <w:sz w:val="20"/>
          <w:szCs w:val="20"/>
          <w:rtl/>
        </w:rPr>
        <w:t>ידי המשיבים 4-3, להמית חתולי רחוב באמצעות סמים מרדימים שיסופקו להם על</w:t>
      </w:r>
      <w:r w:rsidRPr="00E15239">
        <w:rPr>
          <w:sz w:val="20"/>
          <w:szCs w:val="20"/>
          <w:rtl/>
        </w:rPr>
        <w:t>-</w:t>
      </w:r>
      <w:r w:rsidRPr="00E15239">
        <w:rPr>
          <w:rFonts w:hint="cs"/>
          <w:sz w:val="20"/>
          <w:szCs w:val="20"/>
          <w:rtl/>
        </w:rPr>
        <w:t xml:space="preserve">ידי הווטרינרים הרשותיים ובפיקוחם. </w:t>
      </w:r>
    </w:p>
    <w:p w:rsidR="005366A8" w:rsidRDefault="005366A8" w:rsidP="005366A8">
      <w:pPr>
        <w:pStyle w:val="ruller40"/>
        <w:rPr>
          <w:sz w:val="20"/>
          <w:szCs w:val="20"/>
          <w:rtl/>
        </w:rPr>
      </w:pPr>
      <w:r w:rsidRPr="00E15239">
        <w:rPr>
          <w:rFonts w:hint="cs"/>
          <w:sz w:val="20"/>
          <w:szCs w:val="20"/>
          <w:rtl/>
        </w:rPr>
        <w:t xml:space="preserve">העותרות טוענות כי בנוהל אין כל התייחסות לאמצעים חלופיים לטיפול בסיכונים ובמטרדים שיוצרים חתולי רחוב זולת המתה. </w:t>
      </w:r>
      <w:r w:rsidRPr="00E15239">
        <w:rPr>
          <w:rFonts w:hint="cs"/>
          <w:sz w:val="20"/>
          <w:szCs w:val="20"/>
          <w:highlight w:val="yellow"/>
          <w:rtl/>
        </w:rPr>
        <w:t>כן טוענות העותרות כי האישור העקרוני להסמיך את המשיבה 2 להמית חתולים הוא אצילה אסורה של סמכות.</w:t>
      </w:r>
    </w:p>
    <w:p w:rsidR="005366A8" w:rsidRPr="00E15239" w:rsidRDefault="005366A8" w:rsidP="005366A8">
      <w:pPr>
        <w:pStyle w:val="ruller40"/>
        <w:rPr>
          <w:sz w:val="20"/>
          <w:szCs w:val="20"/>
          <w:rtl/>
        </w:rPr>
      </w:pPr>
    </w:p>
    <w:p w:rsidR="005366A8" w:rsidRPr="00F81B12" w:rsidRDefault="005366A8" w:rsidP="005366A8">
      <w:pPr>
        <w:pStyle w:val="ruller40"/>
        <w:rPr>
          <w:sz w:val="20"/>
          <w:szCs w:val="20"/>
        </w:rPr>
      </w:pPr>
      <w:r w:rsidRPr="00F81B12">
        <w:rPr>
          <w:sz w:val="20"/>
          <w:szCs w:val="20"/>
          <w:rtl/>
        </w:rPr>
        <w:t xml:space="preserve">בסעיף ו'3 לנוהל נקבע, כי בכל אחד מן המקרים המאפשרים המתה, הסמכות לביצוע ההמתה היא בידי הווטרינר הרשותי או עובדיו, או בידי - </w:t>
      </w:r>
    </w:p>
    <w:p w:rsidR="005366A8" w:rsidRPr="00F81B12" w:rsidRDefault="005366A8" w:rsidP="005366A8">
      <w:pPr>
        <w:pStyle w:val="ruller40"/>
        <w:ind w:left="720"/>
        <w:rPr>
          <w:rFonts w:cs="David"/>
          <w:sz w:val="20"/>
          <w:szCs w:val="20"/>
          <w:rtl/>
        </w:rPr>
      </w:pPr>
      <w:r w:rsidRPr="00F81B12">
        <w:rPr>
          <w:rFonts w:hint="cs"/>
          <w:rtl/>
        </w:rPr>
        <w:t> </w:t>
      </w:r>
      <w:r w:rsidRPr="00F81B12">
        <w:rPr>
          <w:rFonts w:cs="David" w:hint="cs"/>
          <w:sz w:val="20"/>
          <w:szCs w:val="20"/>
          <w:rtl/>
        </w:rPr>
        <w:t>מי שהוסמך על-ידי [הווטרינר הרשותי] לכך באישורם של אגף הרוקחות במשרד הבריאות ושל מנהל השירותים הווטרינריים, ואשר יפעל בפיקוחו ובאחריותו [של הווטרינר הרשותי].</w:t>
      </w:r>
    </w:p>
    <w:p w:rsidR="005366A8" w:rsidRDefault="005366A8" w:rsidP="005366A8">
      <w:pPr>
        <w:rPr>
          <w:sz w:val="22"/>
          <w:szCs w:val="22"/>
          <w:rtl/>
        </w:rPr>
      </w:pPr>
    </w:p>
    <w:p w:rsidR="005366A8" w:rsidRDefault="005366A8" w:rsidP="005366A8">
      <w:pPr>
        <w:rPr>
          <w:sz w:val="22"/>
          <w:szCs w:val="22"/>
          <w:rtl/>
        </w:rPr>
      </w:pPr>
      <w:r>
        <w:rPr>
          <w:rFonts w:hint="cs"/>
          <w:sz w:val="22"/>
          <w:szCs w:val="22"/>
          <w:rtl/>
        </w:rPr>
        <w:t>מדוע מתקבלת העתירה?</w:t>
      </w:r>
    </w:p>
    <w:p w:rsidR="005366A8" w:rsidRDefault="005366A8" w:rsidP="005366A8">
      <w:pPr>
        <w:rPr>
          <w:sz w:val="22"/>
          <w:szCs w:val="22"/>
          <w:rtl/>
        </w:rPr>
      </w:pPr>
      <w:r w:rsidRPr="00240FCB">
        <w:rPr>
          <w:rFonts w:hint="cs"/>
          <w:sz w:val="22"/>
          <w:szCs w:val="22"/>
          <w:highlight w:val="green"/>
          <w:rtl/>
        </w:rPr>
        <w:t>=-=</w:t>
      </w:r>
    </w:p>
    <w:p w:rsidR="005366A8" w:rsidRDefault="005366A8" w:rsidP="005366A8">
      <w:pPr>
        <w:rPr>
          <w:sz w:val="22"/>
          <w:szCs w:val="22"/>
          <w:rtl/>
        </w:rPr>
      </w:pPr>
    </w:p>
    <w:p w:rsidR="005366A8" w:rsidRPr="002C416E" w:rsidRDefault="005366A8" w:rsidP="005366A8">
      <w:pPr>
        <w:rPr>
          <w:rFonts w:asciiTheme="minorBidi" w:hAnsiTheme="minorBidi" w:cstheme="minorBidi"/>
          <w:sz w:val="20"/>
          <w:szCs w:val="20"/>
          <w:rtl/>
        </w:rPr>
      </w:pPr>
      <w:r w:rsidRPr="002C416E">
        <w:rPr>
          <w:rFonts w:asciiTheme="minorBidi" w:hAnsiTheme="minorBidi" w:cstheme="minorBidi"/>
          <w:sz w:val="20"/>
          <w:szCs w:val="20"/>
          <w:rtl/>
        </w:rPr>
        <w:t xml:space="preserve">חומר הקריאה לפגישה הקרובה ניתן בדפי הפגישה הקודמת, אך אשוב עליו גם עתה. </w:t>
      </w:r>
    </w:p>
    <w:p w:rsidR="005366A8" w:rsidRPr="002C416E" w:rsidRDefault="005366A8" w:rsidP="005366A8">
      <w:pPr>
        <w:rPr>
          <w:rFonts w:asciiTheme="minorBidi" w:hAnsiTheme="minorBidi" w:cstheme="minorBidi"/>
          <w:sz w:val="20"/>
          <w:szCs w:val="20"/>
          <w:rtl/>
        </w:rPr>
      </w:pPr>
      <w:r w:rsidRPr="002C416E">
        <w:rPr>
          <w:rFonts w:asciiTheme="minorBidi" w:hAnsiTheme="minorBidi" w:cstheme="minorBidi"/>
          <w:sz w:val="20"/>
          <w:szCs w:val="20"/>
          <w:rtl/>
        </w:rPr>
        <w:t>הפגישה תעסוק ב</w:t>
      </w:r>
      <w:r w:rsidRPr="002C416E">
        <w:rPr>
          <w:rFonts w:asciiTheme="minorBidi" w:hAnsiTheme="minorBidi" w:cstheme="minorBidi"/>
          <w:sz w:val="20"/>
          <w:szCs w:val="20"/>
          <w:highlight w:val="yellow"/>
          <w:rtl/>
        </w:rPr>
        <w:t>"אצילת סמכות", ב"סמכויות עזר" (הסתייעות באחרים לפעולות עזר) וכן בסוגיות של הפרטה</w:t>
      </w:r>
      <w:r w:rsidRPr="002C416E">
        <w:rPr>
          <w:rFonts w:asciiTheme="minorBidi" w:hAnsiTheme="minorBidi" w:cstheme="minorBidi"/>
          <w:sz w:val="20"/>
          <w:szCs w:val="20"/>
          <w:rtl/>
        </w:rPr>
        <w:t xml:space="preserve">.  </w:t>
      </w:r>
    </w:p>
    <w:p w:rsidR="005366A8" w:rsidRPr="002C416E" w:rsidRDefault="005366A8" w:rsidP="005366A8">
      <w:pPr>
        <w:rPr>
          <w:rFonts w:asciiTheme="minorBidi" w:hAnsiTheme="minorBidi" w:cstheme="minorBidi"/>
          <w:sz w:val="20"/>
          <w:szCs w:val="20"/>
          <w:rtl/>
        </w:rPr>
      </w:pPr>
      <w:r w:rsidRPr="002C416E">
        <w:rPr>
          <w:rFonts w:asciiTheme="minorBidi" w:hAnsiTheme="minorBidi" w:cstheme="minorBidi"/>
          <w:sz w:val="20"/>
          <w:szCs w:val="20"/>
          <w:rtl/>
        </w:rPr>
        <w:t xml:space="preserve">קראו את פסקי הדין של </w:t>
      </w:r>
      <w:r w:rsidRPr="002C416E">
        <w:rPr>
          <w:rFonts w:asciiTheme="minorBidi" w:hAnsiTheme="minorBidi" w:cstheme="minorBidi"/>
          <w:b/>
          <w:bCs/>
          <w:sz w:val="20"/>
          <w:szCs w:val="20"/>
          <w:u w:val="single"/>
          <w:rtl/>
        </w:rPr>
        <w:t>עמותת "תנו לחיות לחיות"</w:t>
      </w:r>
      <w:r w:rsidRPr="002C416E">
        <w:rPr>
          <w:rFonts w:asciiTheme="minorBidi" w:hAnsiTheme="minorBidi" w:cstheme="minorBidi"/>
          <w:sz w:val="20"/>
          <w:szCs w:val="20"/>
          <w:rtl/>
        </w:rPr>
        <w:t xml:space="preserve"> (הקטעים המבוקשים), </w:t>
      </w:r>
      <w:r w:rsidRPr="002C416E">
        <w:rPr>
          <w:rFonts w:asciiTheme="minorBidi" w:hAnsiTheme="minorBidi" w:cstheme="minorBidi"/>
          <w:b/>
          <w:bCs/>
          <w:sz w:val="20"/>
          <w:szCs w:val="20"/>
          <w:u w:val="single"/>
          <w:rtl/>
        </w:rPr>
        <w:t>מטר</w:t>
      </w:r>
      <w:r w:rsidRPr="002C416E">
        <w:rPr>
          <w:rFonts w:asciiTheme="minorBidi" w:hAnsiTheme="minorBidi" w:cstheme="minorBidi"/>
          <w:sz w:val="20"/>
          <w:szCs w:val="20"/>
          <w:rtl/>
        </w:rPr>
        <w:t xml:space="preserve"> וכן </w:t>
      </w:r>
      <w:r w:rsidRPr="002C416E">
        <w:rPr>
          <w:rFonts w:asciiTheme="minorBidi" w:hAnsiTheme="minorBidi" w:cstheme="minorBidi"/>
          <w:b/>
          <w:bCs/>
          <w:sz w:val="20"/>
          <w:szCs w:val="20"/>
          <w:u w:val="single"/>
          <w:rtl/>
        </w:rPr>
        <w:t>איגוד האינטרנט הישראלי</w:t>
      </w:r>
      <w:r w:rsidRPr="002C416E">
        <w:rPr>
          <w:rFonts w:asciiTheme="minorBidi" w:hAnsiTheme="minorBidi" w:cstheme="minorBidi"/>
          <w:sz w:val="20"/>
          <w:szCs w:val="20"/>
          <w:rtl/>
        </w:rPr>
        <w:t>.  נסו לזהות מהו הדין העוזר לנו להבין מהי "אצילה" ומה התנאים לה ומהם סייגיה, מתי אין מדובר באצילה אלא ב"סמכויות עזר"</w:t>
      </w:r>
      <w:r>
        <w:rPr>
          <w:rFonts w:asciiTheme="minorBidi" w:hAnsiTheme="minorBidi" w:cstheme="minorBidi" w:hint="cs"/>
          <w:sz w:val="20"/>
          <w:szCs w:val="20"/>
          <w:rtl/>
        </w:rPr>
        <w:t xml:space="preserve"> (סמכות משנית, סמכות לוואי)</w:t>
      </w:r>
      <w:r w:rsidRPr="002C416E">
        <w:rPr>
          <w:rFonts w:asciiTheme="minorBidi" w:hAnsiTheme="minorBidi" w:cstheme="minorBidi"/>
          <w:sz w:val="20"/>
          <w:szCs w:val="20"/>
          <w:rtl/>
        </w:rPr>
        <w:t>, ומהם סייגי ודרכי ההפרטה.</w:t>
      </w:r>
    </w:p>
    <w:p w:rsidR="005366A8" w:rsidRPr="002C416E" w:rsidRDefault="005366A8" w:rsidP="005366A8">
      <w:pPr>
        <w:rPr>
          <w:rFonts w:asciiTheme="minorBidi" w:hAnsiTheme="minorBidi" w:cstheme="minorBidi"/>
          <w:sz w:val="20"/>
          <w:szCs w:val="20"/>
          <w:rtl/>
        </w:rPr>
      </w:pPr>
      <w:r w:rsidRPr="002C416E">
        <w:rPr>
          <w:rFonts w:asciiTheme="minorBidi" w:hAnsiTheme="minorBidi" w:cstheme="minorBidi"/>
          <w:sz w:val="20"/>
          <w:szCs w:val="20"/>
          <w:rtl/>
        </w:rPr>
        <w:t xml:space="preserve">לפני אותם חומרי קריאה קראו </w:t>
      </w:r>
      <w:r>
        <w:rPr>
          <w:rFonts w:asciiTheme="minorBidi" w:hAnsiTheme="minorBidi" w:cstheme="minorBidi" w:hint="cs"/>
          <w:sz w:val="20"/>
          <w:szCs w:val="20"/>
          <w:rtl/>
        </w:rPr>
        <w:t xml:space="preserve">בעיון </w:t>
      </w:r>
      <w:r w:rsidRPr="002C416E">
        <w:rPr>
          <w:rFonts w:asciiTheme="minorBidi" w:hAnsiTheme="minorBidi" w:cstheme="minorBidi"/>
          <w:sz w:val="20"/>
          <w:szCs w:val="20"/>
          <w:rtl/>
        </w:rPr>
        <w:t>את שלושת העמודים האחרונים</w:t>
      </w:r>
      <w:r>
        <w:rPr>
          <w:rFonts w:asciiTheme="minorBidi" w:hAnsiTheme="minorBidi" w:cstheme="minorBidi" w:hint="cs"/>
          <w:sz w:val="20"/>
          <w:szCs w:val="20"/>
          <w:rtl/>
        </w:rPr>
        <w:t xml:space="preserve">, וכן את הדיון לעיל בפסק הדין של </w:t>
      </w:r>
      <w:r w:rsidRPr="002C416E">
        <w:rPr>
          <w:rFonts w:asciiTheme="minorBidi" w:hAnsiTheme="minorBidi" w:cstheme="minorBidi" w:hint="cs"/>
          <w:sz w:val="20"/>
          <w:szCs w:val="20"/>
          <w:u w:val="single"/>
          <w:rtl/>
        </w:rPr>
        <w:t>עיריית פתח תקווה</w:t>
      </w:r>
      <w:r>
        <w:rPr>
          <w:rFonts w:asciiTheme="minorBidi" w:hAnsiTheme="minorBidi" w:cstheme="minorBidi" w:hint="cs"/>
          <w:sz w:val="20"/>
          <w:szCs w:val="20"/>
          <w:rtl/>
        </w:rPr>
        <w:t>.</w:t>
      </w:r>
    </w:p>
    <w:p w:rsidR="00241BC2" w:rsidRDefault="00241BC2">
      <w:pPr>
        <w:bidi w:val="0"/>
        <w:jc w:val="left"/>
        <w:rPr>
          <w:sz w:val="22"/>
          <w:szCs w:val="22"/>
          <w:rtl/>
        </w:rPr>
      </w:pPr>
      <w:r>
        <w:rPr>
          <w:sz w:val="22"/>
          <w:szCs w:val="22"/>
          <w:rtl/>
        </w:rPr>
        <w:br w:type="page"/>
      </w:r>
    </w:p>
    <w:p w:rsidR="00241BC2" w:rsidRDefault="00241BC2" w:rsidP="00241BC2">
      <w:pPr>
        <w:spacing w:after="240"/>
        <w:jc w:val="right"/>
        <w:rPr>
          <w:rtl/>
        </w:rPr>
      </w:pPr>
      <w:r w:rsidRPr="00CA4835">
        <w:rPr>
          <w:rFonts w:hint="cs"/>
          <w:b/>
          <w:bCs/>
          <w:sz w:val="22"/>
          <w:szCs w:val="22"/>
          <w:rtl/>
        </w:rPr>
        <w:t>משפט ציבורי</w:t>
      </w:r>
      <w:r w:rsidRPr="00CA4835">
        <w:rPr>
          <w:rFonts w:hint="cs"/>
          <w:sz w:val="22"/>
          <w:szCs w:val="22"/>
          <w:rtl/>
        </w:rPr>
        <w:t xml:space="preserve">, </w:t>
      </w:r>
      <w:r w:rsidRPr="00CA4835">
        <w:rPr>
          <w:rFonts w:hint="cs"/>
          <w:i/>
          <w:iCs/>
          <w:sz w:val="22"/>
          <w:szCs w:val="22"/>
          <w:rtl/>
        </w:rPr>
        <w:t>תשע"</w:t>
      </w:r>
      <w:r>
        <w:rPr>
          <w:rFonts w:hint="cs"/>
          <w:i/>
          <w:iCs/>
          <w:sz w:val="22"/>
          <w:szCs w:val="22"/>
          <w:rtl/>
        </w:rPr>
        <w:t>ה</w:t>
      </w:r>
      <w:r w:rsidRPr="00CA4835">
        <w:rPr>
          <w:rFonts w:hint="cs"/>
          <w:sz w:val="22"/>
          <w:szCs w:val="22"/>
          <w:rtl/>
        </w:rPr>
        <w:t xml:space="preserve">, </w:t>
      </w:r>
      <w:r w:rsidRPr="00CA4835">
        <w:rPr>
          <w:rFonts w:hint="cs"/>
          <w:b/>
          <w:bCs/>
          <w:sz w:val="22"/>
          <w:szCs w:val="22"/>
          <w:rtl/>
        </w:rPr>
        <w:t>סמסטר א',</w:t>
      </w:r>
      <w:r w:rsidRPr="00CA4835">
        <w:rPr>
          <w:rFonts w:hint="cs"/>
          <w:sz w:val="22"/>
          <w:szCs w:val="22"/>
          <w:rtl/>
        </w:rPr>
        <w:t xml:space="preserve"> ד"ר אילן סבן, </w:t>
      </w:r>
      <w:r>
        <w:rPr>
          <w:rFonts w:hint="cs"/>
          <w:sz w:val="22"/>
          <w:szCs w:val="22"/>
          <w:rtl/>
        </w:rPr>
        <w:t>ינואר</w:t>
      </w:r>
      <w:r w:rsidRPr="00CA4835">
        <w:rPr>
          <w:rFonts w:hint="cs"/>
          <w:sz w:val="22"/>
          <w:szCs w:val="22"/>
          <w:rtl/>
        </w:rPr>
        <w:t xml:space="preserve"> 201</w:t>
      </w:r>
      <w:r>
        <w:rPr>
          <w:rFonts w:hint="cs"/>
          <w:sz w:val="22"/>
          <w:szCs w:val="22"/>
          <w:rtl/>
        </w:rPr>
        <w:t>5</w:t>
      </w:r>
      <w:r w:rsidRPr="00CA4835">
        <w:rPr>
          <w:rFonts w:hint="cs"/>
          <w:sz w:val="22"/>
          <w:szCs w:val="22"/>
          <w:rtl/>
        </w:rPr>
        <w:t xml:space="preserve">, </w:t>
      </w:r>
      <w:r w:rsidRPr="00A12318">
        <w:rPr>
          <w:rFonts w:hint="cs"/>
          <w:b/>
          <w:bCs/>
          <w:i/>
          <w:iCs/>
          <w:sz w:val="22"/>
          <w:szCs w:val="22"/>
          <w:highlight w:val="magenta"/>
          <w:u w:val="single"/>
          <w:rtl/>
        </w:rPr>
        <w:t>פגישה 23</w:t>
      </w:r>
    </w:p>
    <w:p w:rsidR="00241BC2" w:rsidRDefault="00241BC2" w:rsidP="00241BC2">
      <w:pPr>
        <w:jc w:val="center"/>
        <w:rPr>
          <w:rFonts w:ascii="Arial" w:hAnsi="Arial" w:cs="Guttman-Soncino"/>
          <w:b/>
          <w:bCs/>
          <w:sz w:val="28"/>
          <w:szCs w:val="28"/>
          <w:highlight w:val="yellow"/>
          <w:u w:val="single"/>
          <w:rtl/>
        </w:rPr>
      </w:pPr>
      <w:r w:rsidRPr="00911BF7">
        <w:rPr>
          <w:rFonts w:ascii="Arial" w:hAnsi="Arial" w:cs="Guttman-Soncino" w:hint="cs"/>
          <w:b/>
          <w:bCs/>
          <w:sz w:val="28"/>
          <w:szCs w:val="28"/>
          <w:highlight w:val="yellow"/>
          <w:u w:val="single"/>
          <w:rtl/>
        </w:rPr>
        <w:t>"</w:t>
      </w:r>
      <w:r>
        <w:rPr>
          <w:rFonts w:ascii="Arial" w:hAnsi="Arial" w:cs="Guttman-Soncino" w:hint="cs"/>
          <w:b/>
          <w:bCs/>
          <w:sz w:val="28"/>
          <w:szCs w:val="28"/>
          <w:highlight w:val="yellow"/>
          <w:u w:val="single"/>
          <w:rtl/>
        </w:rPr>
        <w:t>ה</w:t>
      </w:r>
      <w:r w:rsidRPr="00911BF7">
        <w:rPr>
          <w:rFonts w:ascii="Arial" w:hAnsi="Arial" w:cs="Guttman-Soncino" w:hint="cs"/>
          <w:b/>
          <w:bCs/>
          <w:sz w:val="28"/>
          <w:szCs w:val="28"/>
          <w:highlight w:val="yellow"/>
          <w:u w:val="single"/>
          <w:rtl/>
        </w:rPr>
        <w:t xml:space="preserve">סמכות </w:t>
      </w:r>
      <w:r>
        <w:rPr>
          <w:rFonts w:ascii="Arial" w:hAnsi="Arial" w:cs="Guttman-Soncino" w:hint="cs"/>
          <w:b/>
          <w:bCs/>
          <w:sz w:val="28"/>
          <w:szCs w:val="28"/>
          <w:highlight w:val="yellow"/>
          <w:u w:val="single"/>
          <w:rtl/>
        </w:rPr>
        <w:t>ה</w:t>
      </w:r>
      <w:r w:rsidRPr="00911BF7">
        <w:rPr>
          <w:rFonts w:ascii="Arial" w:hAnsi="Arial" w:cs="Guttman-Soncino" w:hint="cs"/>
          <w:b/>
          <w:bCs/>
          <w:sz w:val="28"/>
          <w:szCs w:val="28"/>
          <w:highlight w:val="yellow"/>
          <w:u w:val="single"/>
          <w:rtl/>
        </w:rPr>
        <w:t>מינהלית"</w:t>
      </w:r>
      <w:r>
        <w:rPr>
          <w:rFonts w:ascii="Arial" w:hAnsi="Arial" w:cs="Guttman-Soncino" w:hint="cs"/>
          <w:b/>
          <w:bCs/>
          <w:sz w:val="28"/>
          <w:szCs w:val="28"/>
          <w:highlight w:val="yellow"/>
          <w:u w:val="single"/>
          <w:rtl/>
        </w:rPr>
        <w:t xml:space="preserve"> (המשך)</w:t>
      </w:r>
      <w:r w:rsidRPr="00911BF7">
        <w:rPr>
          <w:rFonts w:ascii="Arial" w:hAnsi="Arial" w:cs="Guttman-Soncino" w:hint="cs"/>
          <w:b/>
          <w:bCs/>
          <w:sz w:val="28"/>
          <w:szCs w:val="28"/>
          <w:highlight w:val="yellow"/>
          <w:u w:val="single"/>
          <w:rtl/>
        </w:rPr>
        <w:t xml:space="preserve"> </w:t>
      </w:r>
    </w:p>
    <w:p w:rsidR="00241BC2" w:rsidRDefault="00241BC2" w:rsidP="00241BC2">
      <w:pPr>
        <w:spacing w:after="120"/>
        <w:rPr>
          <w:sz w:val="22"/>
          <w:szCs w:val="22"/>
          <w:highlight w:val="yellow"/>
          <w:rtl/>
        </w:rPr>
      </w:pPr>
    </w:p>
    <w:p w:rsidR="00241BC2" w:rsidRPr="00B425B7" w:rsidRDefault="00241BC2" w:rsidP="00241BC2">
      <w:pPr>
        <w:spacing w:after="120"/>
        <w:jc w:val="center"/>
        <w:rPr>
          <w:rFonts w:ascii="Arial" w:hAnsi="Arial" w:cs="Arial"/>
          <w:sz w:val="28"/>
          <w:szCs w:val="28"/>
          <w:u w:val="single"/>
          <w:rtl/>
        </w:rPr>
      </w:pPr>
      <w:r w:rsidRPr="001134F4">
        <w:rPr>
          <w:rFonts w:ascii="Arial" w:hAnsi="Arial" w:cs="Arial" w:hint="cs"/>
          <w:b/>
          <w:bCs/>
          <w:sz w:val="28"/>
          <w:szCs w:val="28"/>
          <w:highlight w:val="yellow"/>
          <w:u w:val="single"/>
          <w:rtl/>
        </w:rPr>
        <w:t xml:space="preserve">דיני הסמכה </w:t>
      </w:r>
      <w:r w:rsidRPr="001134F4">
        <w:rPr>
          <w:rFonts w:ascii="Arial" w:hAnsi="Arial" w:cs="Arial"/>
          <w:b/>
          <w:bCs/>
          <w:sz w:val="28"/>
          <w:szCs w:val="28"/>
          <w:highlight w:val="yellow"/>
          <w:u w:val="single"/>
          <w:rtl/>
        </w:rPr>
        <w:t>–</w:t>
      </w:r>
      <w:r w:rsidRPr="001134F4">
        <w:rPr>
          <w:rFonts w:ascii="Arial" w:hAnsi="Arial" w:cs="Arial" w:hint="cs"/>
          <w:b/>
          <w:bCs/>
          <w:sz w:val="28"/>
          <w:szCs w:val="28"/>
          <w:highlight w:val="yellow"/>
          <w:u w:val="single"/>
          <w:rtl/>
        </w:rPr>
        <w:t xml:space="preserve"> נקודות מרכזיות</w:t>
      </w:r>
      <w:r w:rsidRPr="00B425B7">
        <w:rPr>
          <w:rFonts w:ascii="Arial" w:hAnsi="Arial" w:cs="Arial" w:hint="cs"/>
          <w:sz w:val="28"/>
          <w:szCs w:val="28"/>
          <w:u w:val="single"/>
          <w:rtl/>
        </w:rPr>
        <w:t xml:space="preserve"> </w:t>
      </w:r>
    </w:p>
    <w:p w:rsidR="00241BC2" w:rsidRDefault="00241BC2" w:rsidP="00241BC2">
      <w:pPr>
        <w:rPr>
          <w:b/>
          <w:bCs/>
          <w:sz w:val="20"/>
          <w:szCs w:val="20"/>
          <w:rtl/>
        </w:rPr>
      </w:pPr>
      <w:r w:rsidRPr="00877F38">
        <w:rPr>
          <w:rFonts w:hint="cs"/>
          <w:sz w:val="20"/>
          <w:szCs w:val="20"/>
          <w:rtl/>
        </w:rPr>
        <w:t>א.</w:t>
      </w:r>
      <w:r>
        <w:rPr>
          <w:rFonts w:hint="cs"/>
          <w:b/>
          <w:bCs/>
          <w:sz w:val="20"/>
          <w:szCs w:val="20"/>
          <w:rtl/>
        </w:rPr>
        <w:t xml:space="preserve"> </w:t>
      </w:r>
      <w:r w:rsidRPr="00877F38">
        <w:rPr>
          <w:rFonts w:hint="cs"/>
          <w:b/>
          <w:bCs/>
          <w:sz w:val="20"/>
          <w:szCs w:val="20"/>
          <w:rtl/>
        </w:rPr>
        <w:t>עצמאות הרשות המוסמכת:</w:t>
      </w:r>
      <w:r>
        <w:rPr>
          <w:rFonts w:hint="cs"/>
          <w:sz w:val="20"/>
          <w:szCs w:val="20"/>
          <w:rtl/>
        </w:rPr>
        <w:t xml:space="preserve"> עסקנו בכך לעיל. </w:t>
      </w:r>
      <w:r w:rsidRPr="00730C53">
        <w:rPr>
          <w:sz w:val="20"/>
          <w:szCs w:val="20"/>
          <w:rtl/>
        </w:rPr>
        <w:t xml:space="preserve">הלכה פסוקה היא, כי רשות שלטונית, אשר </w:t>
      </w:r>
      <w:r>
        <w:rPr>
          <w:rFonts w:hint="cs"/>
          <w:sz w:val="20"/>
          <w:szCs w:val="20"/>
          <w:rtl/>
        </w:rPr>
        <w:t>המחוקק/</w:t>
      </w:r>
      <w:r w:rsidRPr="00730C53">
        <w:rPr>
          <w:sz w:val="20"/>
          <w:szCs w:val="20"/>
          <w:rtl/>
        </w:rPr>
        <w:t>החוק מעניק לה סמכות, חייבת לבצע את הסמכות בעצמה, ואינה רשאית - בהעדר הסמכה בדין</w:t>
      </w:r>
      <w:r>
        <w:rPr>
          <w:rFonts w:hint="cs"/>
          <w:sz w:val="20"/>
          <w:szCs w:val="20"/>
          <w:rtl/>
        </w:rPr>
        <w:t xml:space="preserve"> (הסמכה מפורשת או משתמעת)</w:t>
      </w:r>
      <w:r w:rsidRPr="00730C53">
        <w:rPr>
          <w:sz w:val="20"/>
          <w:szCs w:val="20"/>
          <w:rtl/>
        </w:rPr>
        <w:t xml:space="preserve"> - לאצול את סמכותה לזולתה</w:t>
      </w:r>
      <w:r>
        <w:rPr>
          <w:rFonts w:hint="cs"/>
          <w:sz w:val="20"/>
          <w:szCs w:val="20"/>
          <w:rtl/>
        </w:rPr>
        <w:t>.</w:t>
      </w:r>
    </w:p>
    <w:p w:rsidR="00241BC2" w:rsidRDefault="00241BC2" w:rsidP="00241BC2">
      <w:pPr>
        <w:rPr>
          <w:b/>
          <w:bCs/>
          <w:sz w:val="20"/>
          <w:szCs w:val="20"/>
          <w:rtl/>
        </w:rPr>
      </w:pPr>
    </w:p>
    <w:p w:rsidR="00241BC2" w:rsidRPr="0053498C" w:rsidRDefault="00241BC2" w:rsidP="00241BC2">
      <w:pPr>
        <w:rPr>
          <w:b/>
          <w:bCs/>
          <w:sz w:val="20"/>
          <w:szCs w:val="20"/>
          <w:rtl/>
        </w:rPr>
      </w:pPr>
      <w:r w:rsidRPr="00877F38">
        <w:rPr>
          <w:rFonts w:hint="cs"/>
          <w:sz w:val="20"/>
          <w:szCs w:val="20"/>
          <w:rtl/>
        </w:rPr>
        <w:t xml:space="preserve">ב. </w:t>
      </w:r>
      <w:r>
        <w:rPr>
          <w:rFonts w:hint="cs"/>
          <w:b/>
          <w:bCs/>
          <w:sz w:val="20"/>
          <w:szCs w:val="20"/>
          <w:rtl/>
        </w:rPr>
        <w:t>קיומו של הב</w:t>
      </w:r>
      <w:r w:rsidRPr="0053498C">
        <w:rPr>
          <w:rFonts w:hint="cs"/>
          <w:b/>
          <w:bCs/>
          <w:sz w:val="20"/>
          <w:szCs w:val="20"/>
          <w:rtl/>
        </w:rPr>
        <w:t xml:space="preserve">דל בין </w:t>
      </w:r>
      <w:r w:rsidRPr="00BD74E3">
        <w:rPr>
          <w:rFonts w:hint="cs"/>
          <w:b/>
          <w:bCs/>
          <w:sz w:val="20"/>
          <w:szCs w:val="20"/>
          <w:u w:val="single"/>
          <w:rtl/>
        </w:rPr>
        <w:t>אצילה (או העברה או נטילה) של סמכות</w:t>
      </w:r>
      <w:r>
        <w:rPr>
          <w:rFonts w:hint="cs"/>
          <w:b/>
          <w:bCs/>
          <w:sz w:val="20"/>
          <w:szCs w:val="20"/>
          <w:rtl/>
        </w:rPr>
        <w:t>,</w:t>
      </w:r>
      <w:r w:rsidRPr="0053498C">
        <w:rPr>
          <w:rFonts w:hint="cs"/>
          <w:b/>
          <w:bCs/>
          <w:sz w:val="20"/>
          <w:szCs w:val="20"/>
          <w:rtl/>
        </w:rPr>
        <w:t xml:space="preserve"> לבין </w:t>
      </w:r>
      <w:r w:rsidRPr="00711B14">
        <w:rPr>
          <w:rFonts w:hint="cs"/>
          <w:b/>
          <w:bCs/>
          <w:sz w:val="20"/>
          <w:szCs w:val="20"/>
          <w:u w:val="single"/>
          <w:rtl/>
        </w:rPr>
        <w:t>העזרות באחרים לצורך ביצוע הסמכות</w:t>
      </w:r>
      <w:r w:rsidRPr="0053498C">
        <w:rPr>
          <w:rFonts w:hint="cs"/>
          <w:b/>
          <w:bCs/>
          <w:sz w:val="20"/>
          <w:szCs w:val="20"/>
          <w:rtl/>
        </w:rPr>
        <w:t xml:space="preserve"> (</w:t>
      </w:r>
      <w:r>
        <w:rPr>
          <w:rFonts w:hint="cs"/>
          <w:b/>
          <w:bCs/>
          <w:sz w:val="20"/>
          <w:szCs w:val="20"/>
          <w:rtl/>
        </w:rPr>
        <w:t>=</w:t>
      </w:r>
      <w:r w:rsidRPr="00BD74E3">
        <w:rPr>
          <w:rFonts w:hint="cs"/>
          <w:b/>
          <w:bCs/>
          <w:sz w:val="20"/>
          <w:szCs w:val="20"/>
          <w:u w:val="single"/>
          <w:rtl/>
        </w:rPr>
        <w:t>סמכויות עזר</w:t>
      </w:r>
      <w:r w:rsidRPr="0053498C">
        <w:rPr>
          <w:rFonts w:hint="cs"/>
          <w:b/>
          <w:bCs/>
          <w:sz w:val="20"/>
          <w:szCs w:val="20"/>
          <w:rtl/>
        </w:rPr>
        <w:t>; פעולות עזר)</w:t>
      </w:r>
    </w:p>
    <w:p w:rsidR="00241BC2" w:rsidRPr="00BA3914" w:rsidRDefault="00241BC2" w:rsidP="00241BC2">
      <w:pPr>
        <w:spacing w:after="120"/>
        <w:ind w:left="510"/>
        <w:rPr>
          <w:b/>
          <w:bCs/>
          <w:sz w:val="20"/>
          <w:szCs w:val="20"/>
          <w:highlight w:val="yellow"/>
          <w:rtl/>
        </w:rPr>
      </w:pPr>
      <w:r w:rsidRPr="00BA3914">
        <w:rPr>
          <w:rFonts w:hint="cs"/>
          <w:i/>
          <w:iCs/>
          <w:sz w:val="20"/>
          <w:szCs w:val="20"/>
          <w:rtl/>
        </w:rPr>
        <w:t>עקרון החוקיות</w:t>
      </w:r>
      <w:r w:rsidRPr="0053498C">
        <w:rPr>
          <w:rFonts w:hint="cs"/>
          <w:sz w:val="20"/>
          <w:szCs w:val="20"/>
          <w:rtl/>
        </w:rPr>
        <w:t xml:space="preserve">: </w:t>
      </w:r>
      <w:r>
        <w:rPr>
          <w:rFonts w:hint="cs"/>
          <w:sz w:val="20"/>
          <w:szCs w:val="20"/>
          <w:rtl/>
        </w:rPr>
        <w:t xml:space="preserve">יש </w:t>
      </w:r>
      <w:r w:rsidRPr="0053498C">
        <w:rPr>
          <w:rFonts w:hint="cs"/>
          <w:sz w:val="20"/>
          <w:szCs w:val="20"/>
          <w:rtl/>
        </w:rPr>
        <w:t xml:space="preserve">צורך בהסמכה מפורשת או משתמעת </w:t>
      </w:r>
      <w:r>
        <w:rPr>
          <w:rFonts w:hint="cs"/>
          <w:sz w:val="20"/>
          <w:szCs w:val="20"/>
          <w:rtl/>
        </w:rPr>
        <w:t>לאצילה (העברה או נטילה) של הסמכות המסוימת שאצילתה נבחנת</w:t>
      </w:r>
      <w:r w:rsidRPr="0053498C">
        <w:rPr>
          <w:rFonts w:hint="cs"/>
          <w:sz w:val="20"/>
          <w:szCs w:val="20"/>
          <w:rtl/>
        </w:rPr>
        <w:t xml:space="preserve">; </w:t>
      </w:r>
      <w:r>
        <w:rPr>
          <w:rFonts w:hint="cs"/>
          <w:sz w:val="20"/>
          <w:szCs w:val="20"/>
          <w:rtl/>
        </w:rPr>
        <w:t xml:space="preserve">זאת </w:t>
      </w:r>
      <w:r w:rsidRPr="0053498C">
        <w:rPr>
          <w:rFonts w:hint="cs"/>
          <w:sz w:val="20"/>
          <w:szCs w:val="20"/>
          <w:rtl/>
        </w:rPr>
        <w:t>לעומת העדר הצורך בהסמכה מיוחדת לפעולות עזר</w:t>
      </w:r>
      <w:r>
        <w:rPr>
          <w:rFonts w:hint="cs"/>
          <w:sz w:val="20"/>
          <w:szCs w:val="20"/>
          <w:rtl/>
        </w:rPr>
        <w:t>; זאת בשל</w:t>
      </w:r>
      <w:r w:rsidRPr="0053498C">
        <w:rPr>
          <w:rFonts w:hint="cs"/>
          <w:sz w:val="20"/>
          <w:szCs w:val="20"/>
          <w:rtl/>
        </w:rPr>
        <w:t xml:space="preserve"> קיומה של הסמכה כללית לסמכויות</w:t>
      </w:r>
      <w:r>
        <w:rPr>
          <w:rFonts w:hint="cs"/>
          <w:sz w:val="20"/>
          <w:szCs w:val="20"/>
          <w:rtl/>
        </w:rPr>
        <w:t>-</w:t>
      </w:r>
      <w:r w:rsidRPr="0053498C">
        <w:rPr>
          <w:rFonts w:hint="cs"/>
          <w:sz w:val="20"/>
          <w:szCs w:val="20"/>
          <w:rtl/>
        </w:rPr>
        <w:t xml:space="preserve">עזר המופיעה </w:t>
      </w:r>
      <w:r w:rsidRPr="00BA3914">
        <w:rPr>
          <w:rFonts w:hint="cs"/>
          <w:b/>
          <w:bCs/>
          <w:sz w:val="20"/>
          <w:szCs w:val="20"/>
          <w:highlight w:val="yellow"/>
          <w:rtl/>
        </w:rPr>
        <w:t>בסע' 17 לחוק הפרשנות:</w:t>
      </w:r>
    </w:p>
    <w:p w:rsidR="00241BC2" w:rsidRPr="00BA3914" w:rsidRDefault="00241BC2" w:rsidP="00241BC2">
      <w:pPr>
        <w:ind w:left="1797" w:hanging="720"/>
        <w:rPr>
          <w:rFonts w:cs="David"/>
          <w:b/>
          <w:bCs/>
          <w:sz w:val="20"/>
          <w:szCs w:val="20"/>
          <w:highlight w:val="yellow"/>
          <w:rtl/>
        </w:rPr>
      </w:pPr>
      <w:r>
        <w:rPr>
          <w:rFonts w:cs="David" w:hint="cs"/>
          <w:b/>
          <w:bCs/>
          <w:sz w:val="20"/>
          <w:szCs w:val="20"/>
          <w:highlight w:val="yellow"/>
          <w:rtl/>
        </w:rPr>
        <w:t>"</w:t>
      </w:r>
      <w:r w:rsidRPr="00BA3914">
        <w:rPr>
          <w:rFonts w:cs="David" w:hint="cs"/>
          <w:b/>
          <w:bCs/>
          <w:sz w:val="20"/>
          <w:szCs w:val="20"/>
          <w:highlight w:val="yellow"/>
          <w:rtl/>
        </w:rPr>
        <w:t>(א)</w:t>
      </w:r>
      <w:r>
        <w:rPr>
          <w:rFonts w:cs="David" w:hint="cs"/>
          <w:b/>
          <w:bCs/>
          <w:sz w:val="20"/>
          <w:szCs w:val="20"/>
          <w:highlight w:val="yellow"/>
          <w:rtl/>
        </w:rPr>
        <w:t xml:space="preserve"> </w:t>
      </w:r>
      <w:r w:rsidRPr="00BA3914">
        <w:rPr>
          <w:rFonts w:cs="David" w:hint="cs"/>
          <w:b/>
          <w:bCs/>
          <w:sz w:val="20"/>
          <w:szCs w:val="20"/>
          <w:highlight w:val="yellow"/>
          <w:rtl/>
        </w:rPr>
        <w:t>הסמכה לעשות דבר או לדון בענין פלוני או להכריע בו - משמעה גם הסמכה לקבוע נוהל עבודה וסדרי דיונים ככל שאלה לא נקבעו בחיקוק.</w:t>
      </w:r>
    </w:p>
    <w:p w:rsidR="00241BC2" w:rsidRPr="00BD74E3" w:rsidRDefault="00241BC2" w:rsidP="00241BC2">
      <w:pPr>
        <w:spacing w:after="120"/>
        <w:ind w:left="1077"/>
        <w:rPr>
          <w:rFonts w:cs="David"/>
          <w:sz w:val="20"/>
          <w:szCs w:val="20"/>
          <w:rtl/>
        </w:rPr>
      </w:pPr>
      <w:r w:rsidRPr="00BA3914">
        <w:rPr>
          <w:rFonts w:cs="David" w:hint="cs"/>
          <w:b/>
          <w:bCs/>
          <w:sz w:val="20"/>
          <w:szCs w:val="20"/>
          <w:highlight w:val="yellow"/>
          <w:rtl/>
        </w:rPr>
        <w:t>(ב)</w:t>
      </w:r>
      <w:r>
        <w:rPr>
          <w:rFonts w:cs="David" w:hint="cs"/>
          <w:b/>
          <w:bCs/>
          <w:sz w:val="20"/>
          <w:szCs w:val="20"/>
          <w:highlight w:val="yellow"/>
          <w:rtl/>
        </w:rPr>
        <w:t xml:space="preserve"> </w:t>
      </w:r>
      <w:r w:rsidRPr="00BA3914">
        <w:rPr>
          <w:rFonts w:cs="David" w:hint="cs"/>
          <w:b/>
          <w:bCs/>
          <w:sz w:val="20"/>
          <w:szCs w:val="20"/>
          <w:highlight w:val="yellow"/>
          <w:rtl/>
        </w:rPr>
        <w:t>הסמכה לעשות דבר או לכפות עשייתו - משמעה גם מתן סמכויות עזר הדרושות לכך במידה המתקבלת על הדעת</w:t>
      </w:r>
      <w:r w:rsidRPr="00BA3914">
        <w:rPr>
          <w:rFonts w:cs="David" w:hint="cs"/>
          <w:b/>
          <w:bCs/>
          <w:sz w:val="20"/>
          <w:szCs w:val="20"/>
          <w:rtl/>
        </w:rPr>
        <w:t>.</w:t>
      </w:r>
      <w:r>
        <w:rPr>
          <w:rFonts w:cs="David" w:hint="cs"/>
          <w:b/>
          <w:bCs/>
          <w:sz w:val="20"/>
          <w:szCs w:val="20"/>
          <w:rtl/>
        </w:rPr>
        <w:t>"</w:t>
      </w:r>
    </w:p>
    <w:p w:rsidR="00241BC2" w:rsidRDefault="00241BC2" w:rsidP="00241BC2">
      <w:pPr>
        <w:ind w:left="720"/>
        <w:rPr>
          <w:sz w:val="20"/>
          <w:szCs w:val="20"/>
          <w:rtl/>
        </w:rPr>
      </w:pPr>
      <w:r w:rsidRPr="0053498C">
        <w:rPr>
          <w:rFonts w:hint="cs"/>
          <w:sz w:val="20"/>
          <w:szCs w:val="20"/>
          <w:rtl/>
        </w:rPr>
        <w:t>קו הגבול לזיהוי איננו נוקשה</w:t>
      </w:r>
      <w:r>
        <w:rPr>
          <w:rFonts w:hint="cs"/>
          <w:sz w:val="20"/>
          <w:szCs w:val="20"/>
          <w:rtl/>
        </w:rPr>
        <w:t>, ולכן גם אינו חד או ברור</w:t>
      </w:r>
      <w:r w:rsidRPr="0053498C">
        <w:rPr>
          <w:rFonts w:hint="cs"/>
          <w:sz w:val="20"/>
          <w:szCs w:val="20"/>
          <w:rtl/>
        </w:rPr>
        <w:t>.</w:t>
      </w:r>
      <w:r>
        <w:rPr>
          <w:rFonts w:hint="cs"/>
          <w:sz w:val="20"/>
          <w:szCs w:val="20"/>
          <w:rtl/>
        </w:rPr>
        <w:t xml:space="preserve"> </w:t>
      </w:r>
      <w:r w:rsidRPr="0053498C">
        <w:rPr>
          <w:rFonts w:hint="cs"/>
          <w:sz w:val="20"/>
          <w:szCs w:val="20"/>
          <w:rtl/>
        </w:rPr>
        <w:t>מה שמסייע לנו הוא אופי פעולות</w:t>
      </w:r>
      <w:r>
        <w:rPr>
          <w:rFonts w:hint="cs"/>
          <w:sz w:val="20"/>
          <w:szCs w:val="20"/>
          <w:rtl/>
        </w:rPr>
        <w:t>-</w:t>
      </w:r>
      <w:r w:rsidRPr="0053498C">
        <w:rPr>
          <w:rFonts w:hint="cs"/>
          <w:sz w:val="20"/>
          <w:szCs w:val="20"/>
          <w:rtl/>
        </w:rPr>
        <w:t xml:space="preserve">העזר: האם </w:t>
      </w:r>
      <w:r>
        <w:rPr>
          <w:rFonts w:hint="cs"/>
          <w:sz w:val="20"/>
          <w:szCs w:val="20"/>
          <w:rtl/>
        </w:rPr>
        <w:t xml:space="preserve">הן </w:t>
      </w:r>
      <w:r w:rsidRPr="0053498C">
        <w:rPr>
          <w:rFonts w:hint="cs"/>
          <w:sz w:val="20"/>
          <w:szCs w:val="20"/>
          <w:rtl/>
        </w:rPr>
        <w:t xml:space="preserve">טכניות או שמא נלווה להן שיקול דעת של ממש? מה אופיין </w:t>
      </w:r>
      <w:r w:rsidRPr="0053498C">
        <w:rPr>
          <w:sz w:val="20"/>
          <w:szCs w:val="20"/>
          <w:rtl/>
        </w:rPr>
        <w:t>–</w:t>
      </w:r>
      <w:r w:rsidRPr="0053498C">
        <w:rPr>
          <w:rFonts w:hint="cs"/>
          <w:sz w:val="20"/>
          <w:szCs w:val="20"/>
          <w:rtl/>
        </w:rPr>
        <w:t xml:space="preserve"> האם, למשל, </w:t>
      </w:r>
      <w:r>
        <w:rPr>
          <w:rFonts w:hint="cs"/>
          <w:sz w:val="20"/>
          <w:szCs w:val="20"/>
          <w:rtl/>
        </w:rPr>
        <w:t xml:space="preserve">הן </w:t>
      </w:r>
      <w:r w:rsidRPr="0053498C">
        <w:rPr>
          <w:rFonts w:hint="cs"/>
          <w:sz w:val="20"/>
          <w:szCs w:val="20"/>
          <w:rtl/>
        </w:rPr>
        <w:t xml:space="preserve">בעלות פוטנציאל לפגיעה בזכויות אדם? </w:t>
      </w:r>
    </w:p>
    <w:p w:rsidR="00241BC2" w:rsidRPr="0053498C" w:rsidRDefault="00241BC2" w:rsidP="00241BC2">
      <w:pPr>
        <w:ind w:left="720"/>
        <w:rPr>
          <w:sz w:val="20"/>
          <w:szCs w:val="20"/>
          <w:rtl/>
        </w:rPr>
      </w:pPr>
    </w:p>
    <w:p w:rsidR="00241BC2" w:rsidRPr="0053498C" w:rsidRDefault="00241BC2" w:rsidP="00241BC2">
      <w:pPr>
        <w:rPr>
          <w:sz w:val="20"/>
          <w:szCs w:val="20"/>
          <w:rtl/>
        </w:rPr>
      </w:pPr>
      <w:r>
        <w:rPr>
          <w:rFonts w:hint="cs"/>
          <w:sz w:val="20"/>
          <w:szCs w:val="20"/>
          <w:rtl/>
        </w:rPr>
        <w:t xml:space="preserve">ג. עם זאת, </w:t>
      </w:r>
      <w:r w:rsidRPr="0053498C">
        <w:rPr>
          <w:rFonts w:hint="cs"/>
          <w:sz w:val="20"/>
          <w:szCs w:val="20"/>
          <w:rtl/>
        </w:rPr>
        <w:t xml:space="preserve">ביחס לאצילה/ העברה/ נטילה של </w:t>
      </w:r>
      <w:r w:rsidRPr="00BD74E3">
        <w:rPr>
          <w:rFonts w:hint="cs"/>
          <w:b/>
          <w:bCs/>
          <w:sz w:val="20"/>
          <w:szCs w:val="20"/>
          <w:rtl/>
        </w:rPr>
        <w:t>סמכות הנתונה לממשלה או לשר</w:t>
      </w:r>
      <w:r>
        <w:rPr>
          <w:rFonts w:hint="cs"/>
          <w:sz w:val="20"/>
          <w:szCs w:val="20"/>
          <w:rtl/>
        </w:rPr>
        <w:t xml:space="preserve"> </w:t>
      </w:r>
      <w:r w:rsidRPr="0053498C">
        <w:rPr>
          <w:rFonts w:hint="cs"/>
          <w:sz w:val="20"/>
          <w:szCs w:val="20"/>
          <w:rtl/>
        </w:rPr>
        <w:t xml:space="preserve">מופיעים סעיפי הסמכה כלליים במישור </w:t>
      </w:r>
      <w:r w:rsidRPr="0053498C">
        <w:rPr>
          <w:rFonts w:hint="cs"/>
          <w:b/>
          <w:bCs/>
          <w:sz w:val="20"/>
          <w:szCs w:val="20"/>
          <w:rtl/>
        </w:rPr>
        <w:t>הממשלה ושריה</w:t>
      </w:r>
      <w:r w:rsidRPr="0053498C">
        <w:rPr>
          <w:rFonts w:hint="cs"/>
          <w:sz w:val="20"/>
          <w:szCs w:val="20"/>
          <w:rtl/>
        </w:rPr>
        <w:t xml:space="preserve">. </w:t>
      </w:r>
      <w:r>
        <w:rPr>
          <w:rFonts w:hint="cs"/>
          <w:sz w:val="20"/>
          <w:szCs w:val="20"/>
          <w:rtl/>
        </w:rPr>
        <w:t xml:space="preserve">אלו הם </w:t>
      </w:r>
      <w:r w:rsidRPr="0053498C">
        <w:rPr>
          <w:rFonts w:hint="cs"/>
          <w:sz w:val="20"/>
          <w:szCs w:val="20"/>
          <w:rtl/>
        </w:rPr>
        <w:t>הסעיפים בחוק יסוד: הממשלה</w:t>
      </w:r>
      <w:r>
        <w:rPr>
          <w:rFonts w:hint="cs"/>
          <w:sz w:val="20"/>
          <w:szCs w:val="20"/>
          <w:rtl/>
        </w:rPr>
        <w:t xml:space="preserve"> (שחלקם אוזכרו לעיל, והם מופיעים בחלקם מייד להלן).</w:t>
      </w:r>
    </w:p>
    <w:p w:rsidR="00241BC2" w:rsidRDefault="00241BC2" w:rsidP="00241BC2">
      <w:pPr>
        <w:ind w:left="508"/>
        <w:rPr>
          <w:sz w:val="20"/>
          <w:szCs w:val="20"/>
          <w:rtl/>
        </w:rPr>
      </w:pPr>
      <w:r w:rsidRPr="0053498C">
        <w:rPr>
          <w:rFonts w:hint="cs"/>
          <w:sz w:val="20"/>
          <w:szCs w:val="20"/>
          <w:rtl/>
        </w:rPr>
        <w:t>אנו מוצאים ב</w:t>
      </w:r>
      <w:r>
        <w:rPr>
          <w:rFonts w:hint="cs"/>
          <w:sz w:val="20"/>
          <w:szCs w:val="20"/>
          <w:rtl/>
        </w:rPr>
        <w:t>סעיפים אלו</w:t>
      </w:r>
      <w:r w:rsidRPr="0053498C">
        <w:rPr>
          <w:rFonts w:hint="cs"/>
          <w:sz w:val="20"/>
          <w:szCs w:val="20"/>
          <w:rtl/>
        </w:rPr>
        <w:t xml:space="preserve"> הבחנה בין סמכויות ביצוע מצד אחד, לבין סמכויות תחיקתיות או סמכויות מעין-שיפוטיות מצד שני.</w:t>
      </w:r>
    </w:p>
    <w:p w:rsidR="00241BC2" w:rsidRPr="0053498C" w:rsidRDefault="00241BC2" w:rsidP="00241BC2">
      <w:pPr>
        <w:ind w:left="508"/>
        <w:rPr>
          <w:sz w:val="20"/>
          <w:szCs w:val="20"/>
          <w:rtl/>
        </w:rPr>
      </w:pPr>
    </w:p>
    <w:p w:rsidR="00241BC2" w:rsidRDefault="00241BC2" w:rsidP="00241BC2">
      <w:pPr>
        <w:ind w:left="567" w:hanging="567"/>
        <w:rPr>
          <w:sz w:val="20"/>
          <w:szCs w:val="20"/>
          <w:rtl/>
        </w:rPr>
      </w:pPr>
      <w:r>
        <w:rPr>
          <w:rFonts w:hint="cs"/>
          <w:sz w:val="20"/>
          <w:szCs w:val="20"/>
          <w:rtl/>
        </w:rPr>
        <w:t xml:space="preserve">ד. </w:t>
      </w:r>
      <w:r w:rsidRPr="0053498C">
        <w:rPr>
          <w:rFonts w:hint="cs"/>
          <w:sz w:val="20"/>
          <w:szCs w:val="20"/>
          <w:rtl/>
        </w:rPr>
        <w:t xml:space="preserve">כשנבוא לשאלת האצילה/ העברה/ נטילה של </w:t>
      </w:r>
      <w:r w:rsidRPr="0053498C">
        <w:rPr>
          <w:rFonts w:hint="cs"/>
          <w:b/>
          <w:bCs/>
          <w:sz w:val="20"/>
          <w:szCs w:val="20"/>
          <w:rtl/>
        </w:rPr>
        <w:t xml:space="preserve">סמכות הנתונה לרשות שלטונית </w:t>
      </w:r>
      <w:r w:rsidRPr="0053498C">
        <w:rPr>
          <w:b/>
          <w:bCs/>
          <w:sz w:val="20"/>
          <w:szCs w:val="20"/>
          <w:rtl/>
        </w:rPr>
        <w:t>–</w:t>
      </w:r>
      <w:r w:rsidRPr="0053498C">
        <w:rPr>
          <w:rFonts w:hint="cs"/>
          <w:b/>
          <w:bCs/>
          <w:sz w:val="20"/>
          <w:szCs w:val="20"/>
          <w:rtl/>
        </w:rPr>
        <w:t xml:space="preserve"> </w:t>
      </w:r>
      <w:r w:rsidRPr="00A60953">
        <w:rPr>
          <w:rFonts w:hint="cs"/>
          <w:b/>
          <w:bCs/>
          <w:i/>
          <w:iCs/>
          <w:sz w:val="20"/>
          <w:szCs w:val="20"/>
          <w:rtl/>
        </w:rPr>
        <w:t>שאיננה</w:t>
      </w:r>
      <w:r w:rsidRPr="0053498C">
        <w:rPr>
          <w:rFonts w:hint="cs"/>
          <w:b/>
          <w:bCs/>
          <w:sz w:val="20"/>
          <w:szCs w:val="20"/>
          <w:rtl/>
        </w:rPr>
        <w:t xml:space="preserve"> הממשלה או אחד השרים</w:t>
      </w:r>
      <w:r w:rsidRPr="0053498C">
        <w:rPr>
          <w:rFonts w:hint="cs"/>
          <w:sz w:val="20"/>
          <w:szCs w:val="20"/>
          <w:rtl/>
        </w:rPr>
        <w:t xml:space="preserve"> </w:t>
      </w:r>
      <w:r w:rsidRPr="0053498C">
        <w:rPr>
          <w:sz w:val="20"/>
          <w:szCs w:val="20"/>
          <w:rtl/>
        </w:rPr>
        <w:t>–</w:t>
      </w:r>
      <w:r w:rsidRPr="0053498C">
        <w:rPr>
          <w:rFonts w:hint="cs"/>
          <w:sz w:val="20"/>
          <w:szCs w:val="20"/>
          <w:rtl/>
        </w:rPr>
        <w:t xml:space="preserve"> נבדוק את החוק המעניק את הסמכות</w:t>
      </w:r>
      <w:r>
        <w:rPr>
          <w:rFonts w:hint="cs"/>
          <w:sz w:val="20"/>
          <w:szCs w:val="20"/>
          <w:rtl/>
        </w:rPr>
        <w:t>, ונראה</w:t>
      </w:r>
      <w:r w:rsidRPr="0053498C">
        <w:rPr>
          <w:rFonts w:hint="cs"/>
          <w:sz w:val="20"/>
          <w:szCs w:val="20"/>
          <w:rtl/>
        </w:rPr>
        <w:t xml:space="preserve"> אם יש בו הסמכה מפורשת לכך.</w:t>
      </w:r>
      <w:r>
        <w:rPr>
          <w:rFonts w:hint="cs"/>
          <w:sz w:val="20"/>
          <w:szCs w:val="20"/>
          <w:rtl/>
        </w:rPr>
        <w:t xml:space="preserve"> </w:t>
      </w:r>
      <w:r w:rsidRPr="0053498C">
        <w:rPr>
          <w:rFonts w:hint="cs"/>
          <w:sz w:val="20"/>
          <w:szCs w:val="20"/>
          <w:rtl/>
        </w:rPr>
        <w:t xml:space="preserve">אם אין </w:t>
      </w:r>
      <w:r>
        <w:rPr>
          <w:rFonts w:hint="cs"/>
          <w:sz w:val="20"/>
          <w:szCs w:val="20"/>
          <w:rtl/>
        </w:rPr>
        <w:t>הסמכה מפורשת</w:t>
      </w:r>
      <w:r w:rsidRPr="0053498C">
        <w:rPr>
          <w:rFonts w:hint="cs"/>
          <w:sz w:val="20"/>
          <w:szCs w:val="20"/>
          <w:rtl/>
        </w:rPr>
        <w:t>, נשאל עדיין אם אין הסמכה משתמעת לעשות כן.</w:t>
      </w:r>
      <w:r>
        <w:rPr>
          <w:rFonts w:hint="cs"/>
          <w:sz w:val="20"/>
          <w:szCs w:val="20"/>
          <w:rtl/>
        </w:rPr>
        <w:t xml:space="preserve"> </w:t>
      </w:r>
    </w:p>
    <w:p w:rsidR="00241BC2" w:rsidRDefault="00241BC2" w:rsidP="00241BC2">
      <w:pPr>
        <w:ind w:left="508"/>
        <w:rPr>
          <w:sz w:val="20"/>
          <w:szCs w:val="20"/>
          <w:rtl/>
        </w:rPr>
      </w:pPr>
      <w:r w:rsidRPr="0053498C">
        <w:rPr>
          <w:rFonts w:hint="cs"/>
          <w:sz w:val="20"/>
          <w:szCs w:val="20"/>
          <w:rtl/>
        </w:rPr>
        <w:t xml:space="preserve">תשובתנו תושפע מההבחנה בין סמכויות ביצוע </w:t>
      </w:r>
      <w:r>
        <w:rPr>
          <w:rFonts w:hint="cs"/>
          <w:sz w:val="20"/>
          <w:szCs w:val="20"/>
          <w:rtl/>
        </w:rPr>
        <w:t xml:space="preserve">של המינהל (שלגביה אנחנו מתירניים יותר במציאת הסמכה משתמעת לאצילה), </w:t>
      </w:r>
      <w:r w:rsidRPr="0053498C">
        <w:rPr>
          <w:rFonts w:hint="cs"/>
          <w:sz w:val="20"/>
          <w:szCs w:val="20"/>
          <w:rtl/>
        </w:rPr>
        <w:t xml:space="preserve">לבין, מנגד, סמכויות תחיקה או סמכויות מעין-שיפוטיות </w:t>
      </w:r>
      <w:r>
        <w:rPr>
          <w:rFonts w:hint="cs"/>
          <w:sz w:val="20"/>
          <w:szCs w:val="20"/>
          <w:rtl/>
        </w:rPr>
        <w:t xml:space="preserve">שלו </w:t>
      </w:r>
      <w:r w:rsidRPr="0053498C">
        <w:rPr>
          <w:rFonts w:hint="cs"/>
          <w:sz w:val="20"/>
          <w:szCs w:val="20"/>
          <w:rtl/>
        </w:rPr>
        <w:t>(</w:t>
      </w:r>
      <w:r w:rsidRPr="0053498C">
        <w:rPr>
          <w:rFonts w:hint="cs"/>
          <w:b/>
          <w:bCs/>
          <w:sz w:val="20"/>
          <w:szCs w:val="20"/>
          <w:rtl/>
        </w:rPr>
        <w:t>עירית פתח-תקוה</w:t>
      </w:r>
      <w:r w:rsidRPr="0053498C">
        <w:rPr>
          <w:rFonts w:hint="cs"/>
          <w:sz w:val="20"/>
          <w:szCs w:val="20"/>
          <w:rtl/>
        </w:rPr>
        <w:t>).</w:t>
      </w:r>
      <w:r>
        <w:rPr>
          <w:rFonts w:hint="cs"/>
          <w:sz w:val="20"/>
          <w:szCs w:val="20"/>
          <w:rtl/>
        </w:rPr>
        <w:t xml:space="preserve"> </w:t>
      </w:r>
    </w:p>
    <w:p w:rsidR="00241BC2" w:rsidRDefault="00241BC2" w:rsidP="00241BC2">
      <w:pPr>
        <w:ind w:left="508"/>
        <w:rPr>
          <w:sz w:val="20"/>
          <w:szCs w:val="20"/>
          <w:rtl/>
        </w:rPr>
      </w:pPr>
      <w:r>
        <w:rPr>
          <w:rFonts w:hint="cs"/>
          <w:sz w:val="20"/>
          <w:szCs w:val="20"/>
          <w:rtl/>
        </w:rPr>
        <w:t xml:space="preserve">מנגד, </w:t>
      </w:r>
      <w:r w:rsidRPr="0053498C">
        <w:rPr>
          <w:rFonts w:hint="cs"/>
          <w:sz w:val="20"/>
          <w:szCs w:val="20"/>
          <w:rtl/>
        </w:rPr>
        <w:t xml:space="preserve">תשובתנו תושפע מכך, שבניגוד למישור הפעולה של שר בממשלה (על תחומי האחריות הרבים שלו) תחומי האחריות של פקיד ממשלתי הם צרים יותר, ויש חזקה </w:t>
      </w:r>
      <w:r>
        <w:rPr>
          <w:rFonts w:hint="cs"/>
          <w:sz w:val="20"/>
          <w:szCs w:val="20"/>
          <w:rtl/>
        </w:rPr>
        <w:t xml:space="preserve">שהיא מעט </w:t>
      </w:r>
      <w:r w:rsidRPr="0053498C">
        <w:rPr>
          <w:rFonts w:hint="cs"/>
          <w:sz w:val="20"/>
          <w:szCs w:val="20"/>
          <w:rtl/>
        </w:rPr>
        <w:t>כבדה יותר</w:t>
      </w:r>
      <w:r>
        <w:rPr>
          <w:rFonts w:hint="cs"/>
          <w:sz w:val="20"/>
          <w:szCs w:val="20"/>
          <w:rtl/>
        </w:rPr>
        <w:t>,</w:t>
      </w:r>
      <w:r w:rsidRPr="0053498C">
        <w:rPr>
          <w:rFonts w:hint="cs"/>
          <w:sz w:val="20"/>
          <w:szCs w:val="20"/>
          <w:rtl/>
        </w:rPr>
        <w:t xml:space="preserve"> שאם העניק המחוקק דווקא לו את הסמכות, הרי ש</w:t>
      </w:r>
      <w:r>
        <w:rPr>
          <w:rFonts w:hint="cs"/>
          <w:sz w:val="20"/>
          <w:szCs w:val="20"/>
          <w:rtl/>
        </w:rPr>
        <w:t>לא התכוון לאפשר לו</w:t>
      </w:r>
      <w:r w:rsidRPr="0053498C">
        <w:rPr>
          <w:rFonts w:hint="cs"/>
          <w:sz w:val="20"/>
          <w:szCs w:val="20"/>
          <w:rtl/>
        </w:rPr>
        <w:t xml:space="preserve"> לאוצלה למישהו מתחתיו או בצידו.</w:t>
      </w:r>
    </w:p>
    <w:p w:rsidR="00241BC2" w:rsidRPr="0053498C" w:rsidRDefault="00241BC2" w:rsidP="00241BC2">
      <w:pPr>
        <w:ind w:left="508"/>
        <w:rPr>
          <w:sz w:val="20"/>
          <w:szCs w:val="20"/>
          <w:rtl/>
        </w:rPr>
      </w:pPr>
    </w:p>
    <w:p w:rsidR="00241BC2" w:rsidRDefault="00241BC2" w:rsidP="00241BC2">
      <w:pPr>
        <w:rPr>
          <w:sz w:val="20"/>
          <w:szCs w:val="20"/>
          <w:rtl/>
        </w:rPr>
      </w:pPr>
      <w:r>
        <w:rPr>
          <w:rFonts w:hint="cs"/>
          <w:sz w:val="20"/>
          <w:szCs w:val="20"/>
          <w:rtl/>
        </w:rPr>
        <w:t>ה</w:t>
      </w:r>
      <w:r w:rsidRPr="008B24D8">
        <w:rPr>
          <w:rFonts w:hint="cs"/>
          <w:sz w:val="20"/>
          <w:szCs w:val="20"/>
          <w:rtl/>
        </w:rPr>
        <w:t>. קיימת</w:t>
      </w:r>
      <w:r>
        <w:rPr>
          <w:rFonts w:hint="cs"/>
          <w:b/>
          <w:bCs/>
          <w:sz w:val="20"/>
          <w:szCs w:val="20"/>
          <w:rtl/>
        </w:rPr>
        <w:t xml:space="preserve"> </w:t>
      </w:r>
      <w:r w:rsidRPr="0053498C">
        <w:rPr>
          <w:rFonts w:hint="cs"/>
          <w:b/>
          <w:bCs/>
          <w:sz w:val="20"/>
          <w:szCs w:val="20"/>
          <w:rtl/>
        </w:rPr>
        <w:t xml:space="preserve">הבחנה בין </w:t>
      </w:r>
      <w:r w:rsidRPr="00BD74E3">
        <w:rPr>
          <w:rFonts w:hint="cs"/>
          <w:b/>
          <w:bCs/>
          <w:sz w:val="20"/>
          <w:szCs w:val="20"/>
          <w:u w:val="single"/>
          <w:rtl/>
        </w:rPr>
        <w:t>סמכות לאצול</w:t>
      </w:r>
      <w:r w:rsidRPr="0053498C">
        <w:rPr>
          <w:rFonts w:hint="cs"/>
          <w:b/>
          <w:bCs/>
          <w:sz w:val="20"/>
          <w:szCs w:val="20"/>
          <w:rtl/>
        </w:rPr>
        <w:t xml:space="preserve"> לבין </w:t>
      </w:r>
      <w:r w:rsidRPr="00BD74E3">
        <w:rPr>
          <w:rFonts w:hint="cs"/>
          <w:b/>
          <w:bCs/>
          <w:sz w:val="20"/>
          <w:szCs w:val="20"/>
          <w:u w:val="single"/>
          <w:rtl/>
        </w:rPr>
        <w:t>שיקול הדעת בהפעלת הסמכות הזו</w:t>
      </w:r>
      <w:r w:rsidRPr="0053498C">
        <w:rPr>
          <w:rFonts w:hint="cs"/>
          <w:sz w:val="20"/>
          <w:szCs w:val="20"/>
          <w:rtl/>
        </w:rPr>
        <w:t xml:space="preserve">: עצם הסמכות לאצול אינה פוטרת משאלות נוספות </w:t>
      </w:r>
      <w:r w:rsidRPr="0053498C">
        <w:rPr>
          <w:sz w:val="20"/>
          <w:szCs w:val="20"/>
          <w:rtl/>
        </w:rPr>
        <w:t>–</w:t>
      </w:r>
      <w:r w:rsidRPr="0053498C">
        <w:rPr>
          <w:rFonts w:hint="cs"/>
          <w:sz w:val="20"/>
          <w:szCs w:val="20"/>
          <w:rtl/>
        </w:rPr>
        <w:t xml:space="preserve"> </w:t>
      </w:r>
    </w:p>
    <w:p w:rsidR="00241BC2" w:rsidRDefault="00241BC2" w:rsidP="00241BC2">
      <w:pPr>
        <w:ind w:left="225"/>
        <w:rPr>
          <w:sz w:val="20"/>
          <w:szCs w:val="20"/>
          <w:rtl/>
        </w:rPr>
      </w:pPr>
      <w:r w:rsidRPr="0053498C">
        <w:rPr>
          <w:rFonts w:hint="cs"/>
          <w:sz w:val="20"/>
          <w:szCs w:val="20"/>
          <w:rtl/>
        </w:rPr>
        <w:t>למשל, ביחס לזהותו ומעמדו של הנאצל.</w:t>
      </w:r>
      <w:r>
        <w:rPr>
          <w:rFonts w:hint="cs"/>
          <w:sz w:val="20"/>
          <w:szCs w:val="20"/>
          <w:rtl/>
        </w:rPr>
        <w:t xml:space="preserve"> </w:t>
      </w:r>
      <w:r w:rsidRPr="0053498C">
        <w:rPr>
          <w:rFonts w:hint="cs"/>
          <w:sz w:val="20"/>
          <w:szCs w:val="20"/>
          <w:rtl/>
        </w:rPr>
        <w:t xml:space="preserve">למשל, האם </w:t>
      </w:r>
      <w:r>
        <w:rPr>
          <w:rFonts w:hint="cs"/>
          <w:sz w:val="20"/>
          <w:szCs w:val="20"/>
          <w:rtl/>
        </w:rPr>
        <w:t>ה</w:t>
      </w:r>
      <w:r w:rsidRPr="0053498C">
        <w:rPr>
          <w:rFonts w:hint="cs"/>
          <w:sz w:val="20"/>
          <w:szCs w:val="20"/>
          <w:rtl/>
        </w:rPr>
        <w:t>סמכות שהוענקה (במפורש או במשתמע) למנכ"ל משרד ממשלתי לאצול את סמכותו לאחר, מאפשרת לו לרדת הרבה בהיררכיה המינהלית בעת שהוא מאציל את הסמכות לאחר?</w:t>
      </w:r>
      <w:r>
        <w:rPr>
          <w:rFonts w:hint="cs"/>
          <w:sz w:val="20"/>
          <w:szCs w:val="20"/>
          <w:rtl/>
        </w:rPr>
        <w:t xml:space="preserve"> או </w:t>
      </w:r>
      <w:r w:rsidRPr="0053498C">
        <w:rPr>
          <w:rFonts w:hint="cs"/>
          <w:sz w:val="20"/>
          <w:szCs w:val="20"/>
          <w:rtl/>
        </w:rPr>
        <w:t>האם הוא רשאי לאוצלה ל</w:t>
      </w:r>
      <w:r>
        <w:rPr>
          <w:rFonts w:hint="cs"/>
          <w:sz w:val="20"/>
          <w:szCs w:val="20"/>
          <w:rtl/>
        </w:rPr>
        <w:t xml:space="preserve">מי </w:t>
      </w:r>
      <w:r w:rsidRPr="00711B14">
        <w:rPr>
          <w:rFonts w:hint="cs"/>
          <w:i/>
          <w:iCs/>
          <w:sz w:val="20"/>
          <w:szCs w:val="20"/>
          <w:rtl/>
        </w:rPr>
        <w:t>שאיננו</w:t>
      </w:r>
      <w:r>
        <w:rPr>
          <w:rFonts w:hint="cs"/>
          <w:sz w:val="20"/>
          <w:szCs w:val="20"/>
          <w:rtl/>
        </w:rPr>
        <w:t xml:space="preserve"> "עובד ציבור"</w:t>
      </w:r>
      <w:r w:rsidRPr="0053498C">
        <w:rPr>
          <w:rFonts w:hint="cs"/>
          <w:sz w:val="20"/>
          <w:szCs w:val="20"/>
          <w:rtl/>
        </w:rPr>
        <w:t xml:space="preserve">? </w:t>
      </w:r>
    </w:p>
    <w:p w:rsidR="00241BC2" w:rsidRPr="002F0F29" w:rsidRDefault="00241BC2" w:rsidP="00241BC2">
      <w:pPr>
        <w:spacing w:after="120"/>
        <w:rPr>
          <w:rFonts w:ascii="Arial" w:hAnsi="Arial" w:cs="Arial"/>
          <w:sz w:val="22"/>
          <w:szCs w:val="22"/>
          <w:rtl/>
        </w:rPr>
      </w:pPr>
    </w:p>
    <w:p w:rsidR="00241BC2" w:rsidRDefault="00241BC2" w:rsidP="00241BC2">
      <w:pPr>
        <w:ind w:hanging="59"/>
        <w:rPr>
          <w:b/>
          <w:bCs/>
          <w:sz w:val="20"/>
          <w:szCs w:val="20"/>
          <w:rtl/>
        </w:rPr>
      </w:pPr>
      <w:r>
        <w:rPr>
          <w:rFonts w:hint="cs"/>
          <w:sz w:val="22"/>
          <w:szCs w:val="22"/>
          <w:rtl/>
        </w:rPr>
        <w:t>=-=</w:t>
      </w:r>
    </w:p>
    <w:p w:rsidR="00241BC2" w:rsidRDefault="00241BC2" w:rsidP="00241BC2">
      <w:pPr>
        <w:ind w:hanging="59"/>
        <w:rPr>
          <w:b/>
          <w:bCs/>
          <w:sz w:val="20"/>
          <w:szCs w:val="20"/>
          <w:rtl/>
        </w:rPr>
      </w:pPr>
      <w:r>
        <w:rPr>
          <w:rFonts w:hint="cs"/>
          <w:b/>
          <w:bCs/>
          <w:sz w:val="20"/>
          <w:szCs w:val="20"/>
          <w:rtl/>
        </w:rPr>
        <w:t>האצלה בהקשרה של הממשלה ושריה:</w:t>
      </w:r>
    </w:p>
    <w:p w:rsidR="00241BC2" w:rsidRPr="00787677" w:rsidRDefault="00241BC2" w:rsidP="00241BC2">
      <w:pPr>
        <w:jc w:val="center"/>
        <w:rPr>
          <w:sz w:val="18"/>
          <w:szCs w:val="18"/>
          <w:rtl/>
        </w:rPr>
      </w:pPr>
      <w:r w:rsidRPr="00AC209E">
        <w:rPr>
          <w:rFonts w:hint="cs"/>
          <w:b/>
          <w:bCs/>
          <w:rtl/>
        </w:rPr>
        <w:t>חוק יסוד: הממשלה</w:t>
      </w:r>
      <w:r w:rsidRPr="00AC209E">
        <w:rPr>
          <w:rFonts w:hint="cs"/>
          <w:rtl/>
        </w:rPr>
        <w:t xml:space="preserve"> </w:t>
      </w:r>
    </w:p>
    <w:p w:rsidR="00241BC2" w:rsidRPr="00787677" w:rsidRDefault="00241BC2" w:rsidP="00241BC2">
      <w:pPr>
        <w:ind w:left="720"/>
        <w:rPr>
          <w:rFonts w:cs="David"/>
          <w:sz w:val="18"/>
          <w:szCs w:val="18"/>
          <w:rtl/>
        </w:rPr>
      </w:pPr>
      <w:r w:rsidRPr="00787677">
        <w:rPr>
          <w:sz w:val="18"/>
          <w:szCs w:val="18"/>
          <w:highlight w:val="yellow"/>
          <w:rtl/>
        </w:rPr>
        <w:t>31</w:t>
      </w:r>
      <w:r w:rsidRPr="00787677">
        <w:rPr>
          <w:rFonts w:cs="David"/>
          <w:sz w:val="18"/>
          <w:szCs w:val="18"/>
          <w:highlight w:val="yellow"/>
          <w:rtl/>
        </w:rPr>
        <w:t xml:space="preserve">. </w:t>
      </w:r>
      <w:r w:rsidRPr="00787677">
        <w:rPr>
          <w:rFonts w:cs="David" w:hint="cs"/>
          <w:sz w:val="18"/>
          <w:szCs w:val="18"/>
          <w:highlight w:val="yellow"/>
          <w:rtl/>
        </w:rPr>
        <w:t>[</w:t>
      </w:r>
      <w:r w:rsidRPr="00787677">
        <w:rPr>
          <w:rFonts w:cs="David"/>
          <w:sz w:val="18"/>
          <w:szCs w:val="18"/>
          <w:highlight w:val="yellow"/>
          <w:rtl/>
        </w:rPr>
        <w:t>תפקוד הממשלה</w:t>
      </w:r>
      <w:r w:rsidRPr="00787677">
        <w:rPr>
          <w:rFonts w:cs="David" w:hint="cs"/>
          <w:sz w:val="18"/>
          <w:szCs w:val="18"/>
          <w:highlight w:val="yellow"/>
          <w:rtl/>
        </w:rPr>
        <w:t>]</w:t>
      </w:r>
      <w:r w:rsidRPr="00787677">
        <w:rPr>
          <w:rFonts w:cs="David"/>
          <w:sz w:val="18"/>
          <w:szCs w:val="18"/>
          <w:rtl/>
        </w:rPr>
        <w:t xml:space="preserve"> </w:t>
      </w:r>
    </w:p>
    <w:p w:rsidR="00241BC2" w:rsidRPr="00787677" w:rsidRDefault="00241BC2" w:rsidP="00241BC2">
      <w:pPr>
        <w:rPr>
          <w:rFonts w:cs="David"/>
          <w:sz w:val="18"/>
          <w:szCs w:val="18"/>
          <w:rtl/>
        </w:rPr>
      </w:pPr>
      <w:r w:rsidRPr="00787677">
        <w:rPr>
          <w:rFonts w:cs="David"/>
          <w:sz w:val="18"/>
          <w:szCs w:val="18"/>
          <w:rtl/>
        </w:rPr>
        <w:t xml:space="preserve">(א) הממשלה רשאית, </w:t>
      </w:r>
      <w:r w:rsidRPr="00711B14">
        <w:rPr>
          <w:rFonts w:cs="David"/>
          <w:sz w:val="18"/>
          <w:szCs w:val="18"/>
          <w:highlight w:val="yellow"/>
          <w:rtl/>
        </w:rPr>
        <w:t>באישור הכנסת</w:t>
      </w:r>
      <w:r w:rsidRPr="00787677">
        <w:rPr>
          <w:rFonts w:cs="David"/>
          <w:sz w:val="18"/>
          <w:szCs w:val="18"/>
          <w:rtl/>
        </w:rPr>
        <w:t xml:space="preserve">, </w:t>
      </w:r>
      <w:r w:rsidRPr="00787677">
        <w:rPr>
          <w:rFonts w:cs="David"/>
          <w:b/>
          <w:bCs/>
          <w:sz w:val="18"/>
          <w:szCs w:val="18"/>
          <w:rtl/>
        </w:rPr>
        <w:t>לשנות את חלוקת התפקידים</w:t>
      </w:r>
      <w:r w:rsidRPr="00787677">
        <w:rPr>
          <w:rFonts w:cs="David"/>
          <w:sz w:val="18"/>
          <w:szCs w:val="18"/>
          <w:rtl/>
        </w:rPr>
        <w:t xml:space="preserve"> בין השרים, למעט תפקיד ראש הממשלה. </w:t>
      </w:r>
    </w:p>
    <w:p w:rsidR="00241BC2" w:rsidRPr="00787677" w:rsidRDefault="00241BC2" w:rsidP="00241BC2">
      <w:pPr>
        <w:rPr>
          <w:rFonts w:cs="David"/>
          <w:sz w:val="18"/>
          <w:szCs w:val="18"/>
          <w:rtl/>
        </w:rPr>
      </w:pPr>
      <w:r w:rsidRPr="00787677">
        <w:rPr>
          <w:rFonts w:cs="David"/>
          <w:sz w:val="18"/>
          <w:szCs w:val="18"/>
          <w:rtl/>
        </w:rPr>
        <w:t xml:space="preserve">(ב) הממשלה רשאית, </w:t>
      </w:r>
      <w:r w:rsidRPr="00711B14">
        <w:rPr>
          <w:rFonts w:cs="David"/>
          <w:sz w:val="18"/>
          <w:szCs w:val="18"/>
          <w:highlight w:val="yellow"/>
          <w:rtl/>
        </w:rPr>
        <w:t>באישור הכנסת</w:t>
      </w:r>
      <w:r w:rsidRPr="00787677">
        <w:rPr>
          <w:rFonts w:cs="David"/>
          <w:sz w:val="18"/>
          <w:szCs w:val="18"/>
          <w:rtl/>
        </w:rPr>
        <w:t xml:space="preserve">, </w:t>
      </w:r>
      <w:r w:rsidRPr="00787677">
        <w:rPr>
          <w:rFonts w:cs="David"/>
          <w:b/>
          <w:bCs/>
          <w:sz w:val="18"/>
          <w:szCs w:val="18"/>
          <w:rtl/>
        </w:rPr>
        <w:t>להעביר סמכות</w:t>
      </w:r>
      <w:r w:rsidRPr="00787677">
        <w:rPr>
          <w:rFonts w:cs="David"/>
          <w:sz w:val="18"/>
          <w:szCs w:val="18"/>
          <w:rtl/>
        </w:rPr>
        <w:t xml:space="preserve"> הנתונה על פי חוק לשר אחד, או חובה המוטלת עליו על פי חוק, כולה או מקצתה, לשר אחר. </w:t>
      </w:r>
    </w:p>
    <w:p w:rsidR="00241BC2" w:rsidRPr="00787677" w:rsidRDefault="00241BC2" w:rsidP="00241BC2">
      <w:pPr>
        <w:spacing w:after="120"/>
        <w:rPr>
          <w:rFonts w:cs="David"/>
          <w:sz w:val="18"/>
          <w:szCs w:val="18"/>
          <w:rtl/>
        </w:rPr>
      </w:pPr>
      <w:r w:rsidRPr="00787677">
        <w:rPr>
          <w:rFonts w:cs="David"/>
          <w:sz w:val="18"/>
          <w:szCs w:val="18"/>
          <w:rtl/>
        </w:rPr>
        <w:t xml:space="preserve">(ג) הממשלה רשאית, </w:t>
      </w:r>
      <w:r w:rsidRPr="00711B14">
        <w:rPr>
          <w:rFonts w:cs="David"/>
          <w:sz w:val="18"/>
          <w:szCs w:val="18"/>
          <w:highlight w:val="yellow"/>
          <w:rtl/>
        </w:rPr>
        <w:t>באישור הכנסת</w:t>
      </w:r>
      <w:r w:rsidRPr="00787677">
        <w:rPr>
          <w:rFonts w:cs="David"/>
          <w:sz w:val="18"/>
          <w:szCs w:val="18"/>
          <w:rtl/>
        </w:rPr>
        <w:t xml:space="preserve">, לאחד משרדים, לחלקם, לבטלם ולהקים משרדים חדשים. </w:t>
      </w:r>
      <w:r w:rsidRPr="00787677">
        <w:rPr>
          <w:rFonts w:cs="David" w:hint="cs"/>
          <w:sz w:val="18"/>
          <w:szCs w:val="18"/>
          <w:rtl/>
        </w:rPr>
        <w:t>[...]</w:t>
      </w:r>
    </w:p>
    <w:p w:rsidR="00241BC2" w:rsidRPr="00787677" w:rsidRDefault="00241BC2" w:rsidP="00241BC2">
      <w:pPr>
        <w:ind w:left="720"/>
        <w:rPr>
          <w:rFonts w:cs="David"/>
          <w:sz w:val="18"/>
          <w:szCs w:val="18"/>
          <w:rtl/>
        </w:rPr>
      </w:pPr>
      <w:r w:rsidRPr="00787677">
        <w:rPr>
          <w:rFonts w:cs="David"/>
          <w:sz w:val="18"/>
          <w:szCs w:val="18"/>
          <w:highlight w:val="yellow"/>
          <w:rtl/>
        </w:rPr>
        <w:t xml:space="preserve">33. </w:t>
      </w:r>
      <w:r w:rsidRPr="00787677">
        <w:rPr>
          <w:rFonts w:cs="David" w:hint="cs"/>
          <w:sz w:val="18"/>
          <w:szCs w:val="18"/>
          <w:highlight w:val="yellow"/>
          <w:rtl/>
        </w:rPr>
        <w:t>[</w:t>
      </w:r>
      <w:r w:rsidRPr="00787677">
        <w:rPr>
          <w:rFonts w:cs="David"/>
          <w:b/>
          <w:bCs/>
          <w:sz w:val="18"/>
          <w:szCs w:val="18"/>
          <w:highlight w:val="yellow"/>
          <w:rtl/>
        </w:rPr>
        <w:t>אצילת סמכויות</w:t>
      </w:r>
      <w:r w:rsidRPr="00787677">
        <w:rPr>
          <w:rFonts w:cs="David" w:hint="cs"/>
          <w:sz w:val="18"/>
          <w:szCs w:val="18"/>
          <w:highlight w:val="yellow"/>
          <w:rtl/>
        </w:rPr>
        <w:t>]</w:t>
      </w:r>
      <w:r w:rsidRPr="00787677">
        <w:rPr>
          <w:rFonts w:cs="David"/>
          <w:sz w:val="18"/>
          <w:szCs w:val="18"/>
          <w:rtl/>
        </w:rPr>
        <w:t xml:space="preserve"> </w:t>
      </w:r>
    </w:p>
    <w:p w:rsidR="00241BC2" w:rsidRPr="00787677" w:rsidRDefault="00241BC2" w:rsidP="00241BC2">
      <w:pPr>
        <w:ind w:left="720" w:hanging="720"/>
        <w:rPr>
          <w:rFonts w:cs="David"/>
          <w:sz w:val="18"/>
          <w:szCs w:val="18"/>
          <w:rtl/>
        </w:rPr>
      </w:pPr>
      <w:r w:rsidRPr="00787677">
        <w:rPr>
          <w:rFonts w:cs="David"/>
          <w:sz w:val="18"/>
          <w:szCs w:val="18"/>
          <w:rtl/>
        </w:rPr>
        <w:t xml:space="preserve">(א) סמכות הנתונה על פי דין לממשלה רשאית הממשלה לאצול לאחד השרים; סעיף זה לא יחול על סמכויות הממשלה </w:t>
      </w:r>
      <w:r>
        <w:rPr>
          <w:rFonts w:cs="David" w:hint="cs"/>
          <w:sz w:val="18"/>
          <w:szCs w:val="18"/>
          <w:rtl/>
        </w:rPr>
        <w:t xml:space="preserve">{כגוף} </w:t>
      </w:r>
      <w:r w:rsidRPr="00787677">
        <w:rPr>
          <w:rFonts w:cs="David"/>
          <w:sz w:val="18"/>
          <w:szCs w:val="18"/>
          <w:rtl/>
        </w:rPr>
        <w:t>לפי חוק-יס</w:t>
      </w:r>
      <w:r>
        <w:rPr>
          <w:rFonts w:cs="David"/>
          <w:sz w:val="18"/>
          <w:szCs w:val="18"/>
          <w:rtl/>
        </w:rPr>
        <w:t>וד זה, למעט סמכויות לפי סעיף 32</w:t>
      </w:r>
      <w:r w:rsidRPr="00787677">
        <w:rPr>
          <w:rFonts w:cs="David"/>
          <w:sz w:val="18"/>
          <w:szCs w:val="18"/>
          <w:rtl/>
        </w:rPr>
        <w:t xml:space="preserve"> </w:t>
      </w:r>
      <w:r w:rsidRPr="00787677">
        <w:rPr>
          <w:rFonts w:cs="David" w:hint="cs"/>
          <w:sz w:val="18"/>
          <w:szCs w:val="18"/>
          <w:rtl/>
        </w:rPr>
        <w:t>{</w:t>
      </w:r>
      <w:r>
        <w:rPr>
          <w:rFonts w:cs="David" w:hint="cs"/>
          <w:sz w:val="18"/>
          <w:szCs w:val="18"/>
          <w:rtl/>
        </w:rPr>
        <w:t xml:space="preserve">קרי, </w:t>
      </w:r>
      <w:r w:rsidRPr="00787677">
        <w:rPr>
          <w:rFonts w:cs="David" w:hint="cs"/>
          <w:sz w:val="18"/>
          <w:szCs w:val="18"/>
          <w:rtl/>
        </w:rPr>
        <w:t>הסמכות השיורית}</w:t>
      </w:r>
      <w:r>
        <w:rPr>
          <w:rFonts w:cs="David" w:hint="cs"/>
          <w:sz w:val="18"/>
          <w:szCs w:val="18"/>
          <w:rtl/>
        </w:rPr>
        <w:t>.</w:t>
      </w:r>
    </w:p>
    <w:p w:rsidR="00241BC2" w:rsidRPr="00787677" w:rsidRDefault="00241BC2" w:rsidP="00241BC2">
      <w:pPr>
        <w:ind w:left="720" w:hanging="720"/>
        <w:rPr>
          <w:rFonts w:cs="David"/>
          <w:sz w:val="18"/>
          <w:szCs w:val="18"/>
          <w:rtl/>
        </w:rPr>
      </w:pPr>
      <w:r w:rsidRPr="00787677">
        <w:rPr>
          <w:rFonts w:cs="David"/>
          <w:sz w:val="18"/>
          <w:szCs w:val="18"/>
          <w:rtl/>
        </w:rPr>
        <w:t xml:space="preserve">(ב) סמכות הנתונה לאחד השרים על פי חוק או שהועברה לו על פי סעיף 31(ב), </w:t>
      </w:r>
      <w:r w:rsidRPr="00787677">
        <w:rPr>
          <w:rFonts w:cs="David"/>
          <w:b/>
          <w:bCs/>
          <w:sz w:val="18"/>
          <w:szCs w:val="18"/>
          <w:rtl/>
        </w:rPr>
        <w:t>למעט סמכות להתקין תקנות</w:t>
      </w:r>
      <w:r w:rsidRPr="00787677">
        <w:rPr>
          <w:rFonts w:cs="David"/>
          <w:sz w:val="18"/>
          <w:szCs w:val="18"/>
          <w:rtl/>
        </w:rPr>
        <w:t xml:space="preserve">, רשאי השר לאצול, כולה, מקצתה או בסייגים, לעובד ציבור. </w:t>
      </w:r>
    </w:p>
    <w:p w:rsidR="00241BC2" w:rsidRPr="00787677" w:rsidRDefault="00241BC2" w:rsidP="00241BC2">
      <w:pPr>
        <w:rPr>
          <w:rFonts w:cs="David"/>
          <w:sz w:val="18"/>
          <w:szCs w:val="18"/>
          <w:rtl/>
        </w:rPr>
      </w:pPr>
      <w:r w:rsidRPr="00787677">
        <w:rPr>
          <w:rFonts w:cs="David"/>
          <w:sz w:val="18"/>
          <w:szCs w:val="18"/>
          <w:rtl/>
        </w:rPr>
        <w:t xml:space="preserve">(ג) </w:t>
      </w:r>
      <w:r w:rsidRPr="00787677">
        <w:rPr>
          <w:rFonts w:cs="David"/>
          <w:b/>
          <w:bCs/>
          <w:sz w:val="18"/>
          <w:szCs w:val="18"/>
          <w:rtl/>
        </w:rPr>
        <w:t>סמכות שהממשלה אצלה לשר</w:t>
      </w:r>
      <w:r w:rsidRPr="00787677">
        <w:rPr>
          <w:rFonts w:cs="David"/>
          <w:sz w:val="18"/>
          <w:szCs w:val="18"/>
          <w:rtl/>
        </w:rPr>
        <w:t xml:space="preserve">, למעט סמכות להתקין תקנות, </w:t>
      </w:r>
      <w:r w:rsidRPr="00787677">
        <w:rPr>
          <w:rFonts w:cs="David"/>
          <w:b/>
          <w:bCs/>
          <w:sz w:val="18"/>
          <w:szCs w:val="18"/>
          <w:rtl/>
        </w:rPr>
        <w:t>רשאי השר לאצלה,</w:t>
      </w:r>
      <w:r w:rsidRPr="00787677">
        <w:rPr>
          <w:rFonts w:cs="David"/>
          <w:sz w:val="18"/>
          <w:szCs w:val="18"/>
          <w:rtl/>
        </w:rPr>
        <w:t xml:space="preserve"> כולה, מקצתה או בסייגים, לעובד ציבור </w:t>
      </w:r>
      <w:r w:rsidRPr="00787677">
        <w:rPr>
          <w:rFonts w:cs="David"/>
          <w:b/>
          <w:bCs/>
          <w:sz w:val="18"/>
          <w:szCs w:val="18"/>
          <w:rtl/>
        </w:rPr>
        <w:t>אם הסמיכה אותו הממשלה לכך</w:t>
      </w:r>
      <w:r w:rsidRPr="00787677">
        <w:rPr>
          <w:rFonts w:cs="David"/>
          <w:sz w:val="18"/>
          <w:szCs w:val="18"/>
          <w:rtl/>
        </w:rPr>
        <w:t xml:space="preserve">. </w:t>
      </w:r>
    </w:p>
    <w:p w:rsidR="00241BC2" w:rsidRPr="00787677" w:rsidRDefault="00241BC2" w:rsidP="00241BC2">
      <w:pPr>
        <w:rPr>
          <w:rFonts w:cs="David"/>
          <w:sz w:val="18"/>
          <w:szCs w:val="18"/>
          <w:rtl/>
        </w:rPr>
      </w:pPr>
      <w:r w:rsidRPr="00787677">
        <w:rPr>
          <w:rFonts w:cs="David"/>
          <w:sz w:val="18"/>
          <w:szCs w:val="18"/>
          <w:rtl/>
        </w:rPr>
        <w:t xml:space="preserve">(ד) בסעיף זה, סמכות הנתונה לממשלה או לשר, לרבות חובה המוטלת עליהם. </w:t>
      </w:r>
    </w:p>
    <w:p w:rsidR="00241BC2" w:rsidRPr="00787677" w:rsidRDefault="00241BC2" w:rsidP="00241BC2">
      <w:pPr>
        <w:spacing w:after="120"/>
        <w:rPr>
          <w:rFonts w:cs="David"/>
          <w:sz w:val="18"/>
          <w:szCs w:val="18"/>
          <w:rtl/>
        </w:rPr>
      </w:pPr>
      <w:r w:rsidRPr="00787677">
        <w:rPr>
          <w:rFonts w:cs="David"/>
          <w:sz w:val="18"/>
          <w:szCs w:val="18"/>
          <w:rtl/>
        </w:rPr>
        <w:t xml:space="preserve">(ה) הוראות סעיף זה יחולו אם אין כוונה אחרת משתמעת מן החוק המקנה את הסמכות או המטיל את החובה. </w:t>
      </w:r>
    </w:p>
    <w:p w:rsidR="00241BC2" w:rsidRPr="00787677" w:rsidRDefault="00241BC2" w:rsidP="00241BC2">
      <w:pPr>
        <w:ind w:left="720"/>
        <w:rPr>
          <w:rFonts w:cs="David"/>
          <w:sz w:val="18"/>
          <w:szCs w:val="18"/>
          <w:rtl/>
        </w:rPr>
      </w:pPr>
      <w:r w:rsidRPr="00787677">
        <w:rPr>
          <w:rFonts w:cs="David"/>
          <w:sz w:val="18"/>
          <w:szCs w:val="18"/>
          <w:highlight w:val="yellow"/>
          <w:rtl/>
        </w:rPr>
        <w:t xml:space="preserve">34. </w:t>
      </w:r>
      <w:r w:rsidRPr="00787677">
        <w:rPr>
          <w:rFonts w:cs="David" w:hint="cs"/>
          <w:sz w:val="18"/>
          <w:szCs w:val="18"/>
          <w:highlight w:val="yellow"/>
          <w:rtl/>
        </w:rPr>
        <w:t>[</w:t>
      </w:r>
      <w:r w:rsidRPr="00787677">
        <w:rPr>
          <w:rFonts w:cs="David"/>
          <w:b/>
          <w:bCs/>
          <w:sz w:val="18"/>
          <w:szCs w:val="18"/>
          <w:highlight w:val="yellow"/>
          <w:rtl/>
        </w:rPr>
        <w:t>נטילת סמכויות</w:t>
      </w:r>
      <w:r w:rsidRPr="00787677">
        <w:rPr>
          <w:rFonts w:cs="David" w:hint="cs"/>
          <w:sz w:val="18"/>
          <w:szCs w:val="18"/>
          <w:highlight w:val="yellow"/>
          <w:rtl/>
        </w:rPr>
        <w:t>]</w:t>
      </w:r>
      <w:r w:rsidRPr="00787677">
        <w:rPr>
          <w:rFonts w:cs="David"/>
          <w:sz w:val="18"/>
          <w:szCs w:val="18"/>
          <w:rtl/>
        </w:rPr>
        <w:t xml:space="preserve"> </w:t>
      </w:r>
    </w:p>
    <w:p w:rsidR="00241BC2" w:rsidRPr="00787677" w:rsidRDefault="00241BC2" w:rsidP="00241BC2">
      <w:pPr>
        <w:rPr>
          <w:rFonts w:cs="David"/>
          <w:sz w:val="18"/>
          <w:szCs w:val="18"/>
          <w:rtl/>
        </w:rPr>
      </w:pPr>
      <w:r w:rsidRPr="00787677">
        <w:rPr>
          <w:rFonts w:cs="David"/>
          <w:sz w:val="18"/>
          <w:szCs w:val="18"/>
          <w:rtl/>
        </w:rPr>
        <w:t xml:space="preserve">שר הממונה על ביצועו של חוק רשאי ליטול לעצמו כל סמכות, </w:t>
      </w:r>
      <w:r w:rsidRPr="00787677">
        <w:rPr>
          <w:rFonts w:cs="David"/>
          <w:b/>
          <w:bCs/>
          <w:sz w:val="18"/>
          <w:szCs w:val="18"/>
          <w:rtl/>
        </w:rPr>
        <w:t>למעט סמכות בעלת אופי שיפוטי</w:t>
      </w:r>
      <w:r w:rsidRPr="00787677">
        <w:rPr>
          <w:rFonts w:cs="David"/>
          <w:sz w:val="18"/>
          <w:szCs w:val="18"/>
          <w:rtl/>
        </w:rPr>
        <w:t>, הנתונה על פי אותו חוק לעובד המדינה, אם אין כוונה אחרת משתמעת מן החוק;</w:t>
      </w:r>
      <w:r w:rsidRPr="00787677">
        <w:rPr>
          <w:rFonts w:cs="David" w:hint="cs"/>
          <w:sz w:val="18"/>
          <w:szCs w:val="18"/>
          <w:rtl/>
        </w:rPr>
        <w:t xml:space="preserve"> </w:t>
      </w:r>
      <w:r w:rsidRPr="00787677">
        <w:rPr>
          <w:rFonts w:cs="David"/>
          <w:sz w:val="18"/>
          <w:szCs w:val="18"/>
          <w:rtl/>
        </w:rPr>
        <w:t xml:space="preserve">השר רשאי לעשות כאמור לענין מסוים או לתקופה מסוימת. </w:t>
      </w:r>
    </w:p>
    <w:p w:rsidR="00241BC2" w:rsidRDefault="00241BC2" w:rsidP="00241BC2">
      <w:pPr>
        <w:ind w:hanging="59"/>
        <w:rPr>
          <w:sz w:val="22"/>
          <w:szCs w:val="22"/>
          <w:rtl/>
        </w:rPr>
      </w:pPr>
    </w:p>
    <w:p w:rsidR="00241BC2" w:rsidRDefault="00241BC2" w:rsidP="00241BC2">
      <w:pPr>
        <w:spacing w:after="120"/>
        <w:rPr>
          <w:sz w:val="22"/>
          <w:szCs w:val="22"/>
          <w:highlight w:val="yellow"/>
          <w:rtl/>
        </w:rPr>
      </w:pPr>
      <w:r>
        <w:rPr>
          <w:rFonts w:hint="cs"/>
          <w:sz w:val="22"/>
          <w:szCs w:val="22"/>
          <w:highlight w:val="yellow"/>
          <w:rtl/>
        </w:rPr>
        <w:t>=-=</w:t>
      </w:r>
    </w:p>
    <w:p w:rsidR="00241BC2" w:rsidRDefault="00241BC2" w:rsidP="00241BC2">
      <w:pPr>
        <w:spacing w:after="120"/>
        <w:rPr>
          <w:sz w:val="22"/>
          <w:szCs w:val="22"/>
          <w:highlight w:val="yellow"/>
          <w:rtl/>
        </w:rPr>
      </w:pPr>
      <w:r w:rsidRPr="00911BF7">
        <w:rPr>
          <w:rFonts w:ascii="Arial" w:hAnsi="Arial" w:cs="Guttman-Soncino" w:hint="cs"/>
          <w:b/>
          <w:bCs/>
          <w:sz w:val="28"/>
          <w:szCs w:val="28"/>
          <w:highlight w:val="yellow"/>
          <w:u w:val="single"/>
          <w:rtl/>
        </w:rPr>
        <w:t>המשך דיון ב"דיני האצלה"</w:t>
      </w:r>
    </w:p>
    <w:p w:rsidR="00241BC2" w:rsidRPr="00D06EF0" w:rsidRDefault="00241BC2" w:rsidP="00241BC2">
      <w:pPr>
        <w:spacing w:after="120"/>
        <w:rPr>
          <w:sz w:val="22"/>
          <w:szCs w:val="22"/>
          <w:highlight w:val="yellow"/>
          <w:rtl/>
        </w:rPr>
      </w:pPr>
      <w:r>
        <w:rPr>
          <w:rFonts w:hint="cs"/>
          <w:sz w:val="22"/>
          <w:szCs w:val="22"/>
          <w:highlight w:val="yellow"/>
          <w:rtl/>
        </w:rPr>
        <w:t>ראו סעיף ב בסיכום התמציתי שלעיל:</w:t>
      </w:r>
    </w:p>
    <w:p w:rsidR="00241BC2" w:rsidRPr="00A22FA1" w:rsidRDefault="00241BC2" w:rsidP="00241BC2">
      <w:pPr>
        <w:spacing w:after="120"/>
        <w:jc w:val="center"/>
        <w:rPr>
          <w:rFonts w:ascii="Arial" w:hAnsi="Arial" w:cs="Guttman-Soncino"/>
          <w:sz w:val="28"/>
          <w:szCs w:val="28"/>
          <w:rtl/>
        </w:rPr>
      </w:pPr>
      <w:r w:rsidRPr="00A22FA1">
        <w:rPr>
          <w:rFonts w:ascii="Arial" w:hAnsi="Arial" w:cs="Guttman-Soncino"/>
          <w:b/>
          <w:bCs/>
          <w:sz w:val="28"/>
          <w:szCs w:val="28"/>
          <w:highlight w:val="yellow"/>
          <w:rtl/>
        </w:rPr>
        <w:t>סמכות ראשית וסמכות משנית</w:t>
      </w:r>
      <w:r w:rsidRPr="00A22FA1">
        <w:rPr>
          <w:rFonts w:ascii="Arial" w:hAnsi="Arial" w:cs="Guttman-Soncino" w:hint="cs"/>
          <w:b/>
          <w:bCs/>
          <w:sz w:val="28"/>
          <w:szCs w:val="28"/>
          <w:highlight w:val="yellow"/>
          <w:rtl/>
        </w:rPr>
        <w:t xml:space="preserve"> (קרי, סמכות</w:t>
      </w:r>
      <w:r>
        <w:rPr>
          <w:rFonts w:ascii="Arial" w:hAnsi="Arial" w:cs="Guttman-Soncino" w:hint="cs"/>
          <w:b/>
          <w:bCs/>
          <w:sz w:val="28"/>
          <w:szCs w:val="28"/>
          <w:highlight w:val="yellow"/>
          <w:rtl/>
        </w:rPr>
        <w:t>-</w:t>
      </w:r>
      <w:r w:rsidRPr="00A22FA1">
        <w:rPr>
          <w:rFonts w:ascii="Arial" w:hAnsi="Arial" w:cs="Guttman-Soncino" w:hint="cs"/>
          <w:b/>
          <w:bCs/>
          <w:sz w:val="28"/>
          <w:szCs w:val="28"/>
          <w:highlight w:val="yellow"/>
          <w:rtl/>
        </w:rPr>
        <w:t>נלוות, סמכות</w:t>
      </w:r>
      <w:r>
        <w:rPr>
          <w:rFonts w:ascii="Arial" w:hAnsi="Arial" w:cs="Guttman-Soncino" w:hint="cs"/>
          <w:b/>
          <w:bCs/>
          <w:sz w:val="28"/>
          <w:szCs w:val="28"/>
          <w:highlight w:val="yellow"/>
          <w:rtl/>
        </w:rPr>
        <w:t>-</w:t>
      </w:r>
      <w:r w:rsidRPr="00A22FA1">
        <w:rPr>
          <w:rFonts w:ascii="Arial" w:hAnsi="Arial" w:cs="Guttman-Soncino" w:hint="cs"/>
          <w:b/>
          <w:bCs/>
          <w:sz w:val="28"/>
          <w:szCs w:val="28"/>
          <w:highlight w:val="yellow"/>
          <w:rtl/>
        </w:rPr>
        <w:t>לוואי)</w:t>
      </w:r>
    </w:p>
    <w:p w:rsidR="00241BC2" w:rsidRDefault="00241BC2" w:rsidP="00241BC2">
      <w:pPr>
        <w:rPr>
          <w:b/>
          <w:bCs/>
          <w:sz w:val="22"/>
          <w:szCs w:val="22"/>
          <w:rtl/>
        </w:rPr>
      </w:pPr>
      <w:r w:rsidRPr="00AC209E">
        <w:rPr>
          <w:rFonts w:hint="cs"/>
          <w:b/>
          <w:bCs/>
          <w:i/>
          <w:iCs/>
          <w:sz w:val="22"/>
          <w:szCs w:val="22"/>
          <w:u w:val="single"/>
          <w:rtl/>
        </w:rPr>
        <w:t>סמכויות המשנה</w:t>
      </w:r>
      <w:r>
        <w:rPr>
          <w:rFonts w:hint="cs"/>
          <w:b/>
          <w:bCs/>
          <w:sz w:val="22"/>
          <w:szCs w:val="22"/>
          <w:rtl/>
        </w:rPr>
        <w:t xml:space="preserve"> הם משני סוגים:</w:t>
      </w:r>
    </w:p>
    <w:p w:rsidR="00241BC2" w:rsidRPr="00AC0A4E" w:rsidRDefault="00241BC2" w:rsidP="00241BC2">
      <w:pPr>
        <w:ind w:left="720"/>
        <w:rPr>
          <w:sz w:val="22"/>
          <w:szCs w:val="22"/>
          <w:rtl/>
        </w:rPr>
      </w:pPr>
      <w:r w:rsidRPr="00AC0A4E">
        <w:rPr>
          <w:rFonts w:hint="cs"/>
          <w:b/>
          <w:bCs/>
          <w:sz w:val="22"/>
          <w:szCs w:val="22"/>
          <w:rtl/>
        </w:rPr>
        <w:t>סמכויות משנה מיוחדות</w:t>
      </w:r>
      <w:r w:rsidRPr="00AC0A4E">
        <w:rPr>
          <w:rFonts w:hint="cs"/>
          <w:sz w:val="22"/>
          <w:szCs w:val="22"/>
          <w:rtl/>
        </w:rPr>
        <w:t xml:space="preserve"> [ר' </w:t>
      </w:r>
      <w:r>
        <w:rPr>
          <w:rFonts w:hint="cs"/>
          <w:sz w:val="22"/>
          <w:szCs w:val="22"/>
          <w:rtl/>
        </w:rPr>
        <w:t xml:space="preserve">להלן, </w:t>
      </w:r>
      <w:r w:rsidRPr="00D06EF0">
        <w:rPr>
          <w:rFonts w:hint="cs"/>
          <w:b/>
          <w:bCs/>
          <w:sz w:val="22"/>
          <w:szCs w:val="22"/>
          <w:u w:val="single"/>
          <w:rtl/>
        </w:rPr>
        <w:t>בין היתר</w:t>
      </w:r>
      <w:r>
        <w:rPr>
          <w:rFonts w:hint="cs"/>
          <w:sz w:val="22"/>
          <w:szCs w:val="22"/>
          <w:rtl/>
        </w:rPr>
        <w:t>, את</w:t>
      </w:r>
      <w:r w:rsidRPr="00AC0A4E">
        <w:rPr>
          <w:rFonts w:hint="cs"/>
          <w:sz w:val="22"/>
          <w:szCs w:val="22"/>
          <w:rtl/>
        </w:rPr>
        <w:t xml:space="preserve"> סע' 12 עד 18 לחוק הפרשנות, התשמ"א-1981]</w:t>
      </w:r>
    </w:p>
    <w:p w:rsidR="00241BC2" w:rsidRDefault="00241BC2" w:rsidP="00241BC2">
      <w:pPr>
        <w:ind w:left="720"/>
        <w:rPr>
          <w:sz w:val="22"/>
          <w:szCs w:val="22"/>
          <w:rtl/>
        </w:rPr>
      </w:pPr>
      <w:r>
        <w:rPr>
          <w:rFonts w:hint="cs"/>
          <w:b/>
          <w:bCs/>
          <w:sz w:val="22"/>
          <w:szCs w:val="22"/>
          <w:rtl/>
        </w:rPr>
        <w:t>"</w:t>
      </w:r>
      <w:r w:rsidRPr="00AC0A4E">
        <w:rPr>
          <w:rFonts w:hint="cs"/>
          <w:b/>
          <w:bCs/>
          <w:sz w:val="22"/>
          <w:szCs w:val="22"/>
          <w:rtl/>
        </w:rPr>
        <w:t>סמכויות עזר</w:t>
      </w:r>
      <w:r>
        <w:rPr>
          <w:rFonts w:hint="cs"/>
          <w:b/>
          <w:bCs/>
          <w:sz w:val="22"/>
          <w:szCs w:val="22"/>
          <w:rtl/>
        </w:rPr>
        <w:t>"</w:t>
      </w:r>
      <w:r w:rsidRPr="00AC0A4E">
        <w:rPr>
          <w:rFonts w:hint="cs"/>
          <w:b/>
          <w:bCs/>
          <w:sz w:val="22"/>
          <w:szCs w:val="22"/>
          <w:rtl/>
        </w:rPr>
        <w:t xml:space="preserve"> כלליות</w:t>
      </w:r>
      <w:r w:rsidRPr="00AC0A4E">
        <w:rPr>
          <w:rFonts w:hint="cs"/>
          <w:sz w:val="22"/>
          <w:szCs w:val="22"/>
          <w:rtl/>
        </w:rPr>
        <w:t xml:space="preserve"> [סע' 17(ב)]</w:t>
      </w:r>
    </w:p>
    <w:p w:rsidR="00241BC2" w:rsidRPr="00AC0A4E" w:rsidRDefault="00241BC2" w:rsidP="00241BC2">
      <w:pPr>
        <w:ind w:left="720"/>
        <w:rPr>
          <w:sz w:val="22"/>
          <w:szCs w:val="22"/>
          <w:rtl/>
        </w:rPr>
      </w:pPr>
    </w:p>
    <w:p w:rsidR="00241BC2" w:rsidRPr="00B16EEE" w:rsidRDefault="00241BC2" w:rsidP="00241BC2">
      <w:pPr>
        <w:spacing w:after="120"/>
        <w:rPr>
          <w:b/>
          <w:bCs/>
          <w:sz w:val="20"/>
          <w:szCs w:val="20"/>
          <w:u w:val="single"/>
          <w:rtl/>
        </w:rPr>
      </w:pPr>
      <w:r w:rsidRPr="008062B9">
        <w:rPr>
          <w:rFonts w:hint="cs"/>
          <w:b/>
          <w:bCs/>
          <w:sz w:val="20"/>
          <w:szCs w:val="20"/>
          <w:highlight w:val="yellow"/>
          <w:u w:val="single"/>
          <w:rtl/>
        </w:rPr>
        <w:t>חוק הפרשנות, תשמ"א-1981</w:t>
      </w:r>
    </w:p>
    <w:p w:rsidR="00241BC2" w:rsidRPr="008062B9" w:rsidRDefault="00241BC2" w:rsidP="00241BC2">
      <w:pPr>
        <w:spacing w:after="60"/>
        <w:rPr>
          <w:rFonts w:cs="David"/>
          <w:sz w:val="20"/>
          <w:szCs w:val="20"/>
          <w:rtl/>
        </w:rPr>
      </w:pPr>
      <w:r w:rsidRPr="008062B9">
        <w:rPr>
          <w:rFonts w:cs="David" w:hint="cs"/>
          <w:sz w:val="20"/>
          <w:szCs w:val="20"/>
          <w:rtl/>
        </w:rPr>
        <w:t xml:space="preserve">12. [סמכות לפטור] </w:t>
      </w:r>
    </w:p>
    <w:p w:rsidR="00241BC2" w:rsidRPr="008062B9" w:rsidRDefault="00241BC2" w:rsidP="00241BC2">
      <w:pPr>
        <w:spacing w:after="60"/>
        <w:ind w:left="720"/>
        <w:rPr>
          <w:rFonts w:cs="David"/>
          <w:sz w:val="20"/>
          <w:szCs w:val="20"/>
          <w:rtl/>
        </w:rPr>
      </w:pPr>
      <w:r w:rsidRPr="008062B9">
        <w:rPr>
          <w:rFonts w:cs="David" w:hint="cs"/>
          <w:sz w:val="20"/>
          <w:szCs w:val="20"/>
          <w:rtl/>
        </w:rPr>
        <w:t>הסמכה ליתן פטור, הקלה, הנחה וכיוצא באלה - משמעה הסמכה ליתן אותם אף במקצת או בתנאים.</w:t>
      </w:r>
    </w:p>
    <w:p w:rsidR="00241BC2" w:rsidRPr="008062B9" w:rsidRDefault="00241BC2" w:rsidP="00241BC2">
      <w:pPr>
        <w:tabs>
          <w:tab w:val="left" w:pos="1669"/>
        </w:tabs>
        <w:spacing w:after="60"/>
        <w:rPr>
          <w:rFonts w:cs="David"/>
          <w:sz w:val="20"/>
          <w:szCs w:val="20"/>
          <w:rtl/>
        </w:rPr>
      </w:pPr>
      <w:r w:rsidRPr="008062B9">
        <w:rPr>
          <w:rFonts w:cs="David" w:hint="cs"/>
          <w:sz w:val="20"/>
          <w:szCs w:val="20"/>
          <w:rtl/>
        </w:rPr>
        <w:t>14. [סמכות מינוי]</w:t>
      </w:r>
      <w:r>
        <w:rPr>
          <w:rFonts w:cs="David"/>
          <w:sz w:val="20"/>
          <w:szCs w:val="20"/>
          <w:rtl/>
        </w:rPr>
        <w:tab/>
      </w:r>
    </w:p>
    <w:p w:rsidR="00241BC2" w:rsidRPr="008062B9" w:rsidRDefault="00241BC2" w:rsidP="00241BC2">
      <w:pPr>
        <w:spacing w:after="60"/>
        <w:ind w:left="720"/>
        <w:rPr>
          <w:rFonts w:cs="David"/>
          <w:sz w:val="20"/>
          <w:szCs w:val="20"/>
          <w:rtl/>
        </w:rPr>
      </w:pPr>
      <w:r w:rsidRPr="008062B9">
        <w:rPr>
          <w:rFonts w:cs="David" w:hint="cs"/>
          <w:sz w:val="20"/>
          <w:szCs w:val="20"/>
          <w:rtl/>
        </w:rPr>
        <w:t>הסמכה לעשות מינוי - משמעה גם הסמכה להתלות את תקפו, לבטלו, לפטר את מי שנתמנה או להשעותו מתפקידו.</w:t>
      </w:r>
    </w:p>
    <w:p w:rsidR="00241BC2" w:rsidRPr="008062B9" w:rsidRDefault="00241BC2" w:rsidP="00241BC2">
      <w:pPr>
        <w:spacing w:after="60"/>
        <w:rPr>
          <w:rFonts w:cs="David"/>
          <w:sz w:val="20"/>
          <w:szCs w:val="20"/>
          <w:rtl/>
        </w:rPr>
      </w:pPr>
      <w:r w:rsidRPr="008062B9">
        <w:rPr>
          <w:rFonts w:cs="David" w:hint="cs"/>
          <w:sz w:val="20"/>
          <w:szCs w:val="20"/>
          <w:rtl/>
        </w:rPr>
        <w:t>15. [סמכות התקנה]</w:t>
      </w:r>
    </w:p>
    <w:p w:rsidR="00241BC2" w:rsidRPr="008062B9" w:rsidRDefault="00241BC2" w:rsidP="00241BC2">
      <w:pPr>
        <w:spacing w:after="60"/>
        <w:ind w:left="720"/>
        <w:rPr>
          <w:rFonts w:cs="David"/>
          <w:sz w:val="20"/>
          <w:szCs w:val="20"/>
          <w:rtl/>
        </w:rPr>
      </w:pPr>
      <w:r w:rsidRPr="008062B9">
        <w:rPr>
          <w:rFonts w:cs="David" w:hint="cs"/>
          <w:sz w:val="20"/>
          <w:szCs w:val="20"/>
          <w:rtl/>
        </w:rPr>
        <w:t>הסמכה להתקין תקנות או ליתן הוראת מינהל - משמעה גם הסמכה לתקנן, לשנותן, להתלותן או לבטלן בדרך שהותקנו התקנות או ניתנה ההוראה.</w:t>
      </w:r>
    </w:p>
    <w:p w:rsidR="00241BC2" w:rsidRPr="008062B9" w:rsidRDefault="00241BC2" w:rsidP="00241BC2">
      <w:pPr>
        <w:spacing w:after="60"/>
        <w:rPr>
          <w:rFonts w:cs="David"/>
          <w:sz w:val="20"/>
          <w:szCs w:val="20"/>
          <w:rtl/>
        </w:rPr>
      </w:pPr>
      <w:r w:rsidRPr="008062B9">
        <w:rPr>
          <w:rFonts w:cs="David" w:hint="cs"/>
          <w:sz w:val="20"/>
          <w:szCs w:val="20"/>
          <w:rtl/>
        </w:rPr>
        <w:t>16. [סמכות מינוי גוף]</w:t>
      </w:r>
    </w:p>
    <w:p w:rsidR="00241BC2" w:rsidRPr="008062B9" w:rsidRDefault="00241BC2" w:rsidP="00241BC2">
      <w:pPr>
        <w:spacing w:after="60"/>
        <w:ind w:left="720"/>
        <w:rPr>
          <w:rFonts w:cs="David"/>
          <w:sz w:val="20"/>
          <w:szCs w:val="20"/>
          <w:rtl/>
        </w:rPr>
      </w:pPr>
      <w:r w:rsidRPr="008062B9">
        <w:rPr>
          <w:rFonts w:cs="David" w:hint="cs"/>
          <w:sz w:val="20"/>
          <w:szCs w:val="20"/>
          <w:rtl/>
        </w:rPr>
        <w:t>הסמכה למנות גוף של מספר חברים - משמעה גם הסמכה למנות לו יושב ראש ולמנות ממלא מקום לכל חבר שלו.</w:t>
      </w:r>
    </w:p>
    <w:p w:rsidR="00241BC2" w:rsidRPr="00A22FA1" w:rsidRDefault="00241BC2" w:rsidP="00241BC2">
      <w:pPr>
        <w:spacing w:after="60"/>
        <w:rPr>
          <w:rFonts w:cs="David"/>
          <w:sz w:val="20"/>
          <w:szCs w:val="20"/>
          <w:highlight w:val="yellow"/>
          <w:rtl/>
        </w:rPr>
      </w:pPr>
      <w:r w:rsidRPr="008062B9">
        <w:rPr>
          <w:rFonts w:cs="David" w:hint="cs"/>
          <w:sz w:val="20"/>
          <w:szCs w:val="20"/>
          <w:rtl/>
        </w:rPr>
        <w:t>17</w:t>
      </w:r>
      <w:r w:rsidRPr="00A22FA1">
        <w:rPr>
          <w:rFonts w:cs="David" w:hint="cs"/>
          <w:sz w:val="20"/>
          <w:szCs w:val="20"/>
          <w:highlight w:val="yellow"/>
          <w:rtl/>
        </w:rPr>
        <w:t xml:space="preserve">. </w:t>
      </w:r>
      <w:r w:rsidRPr="00A22FA1">
        <w:rPr>
          <w:rFonts w:cs="David" w:hint="cs"/>
          <w:b/>
          <w:bCs/>
          <w:sz w:val="20"/>
          <w:szCs w:val="20"/>
          <w:highlight w:val="yellow"/>
          <w:rtl/>
        </w:rPr>
        <w:t>[סמכויות עזר]</w:t>
      </w:r>
    </w:p>
    <w:p w:rsidR="00241BC2" w:rsidRPr="00A22FA1" w:rsidRDefault="00241BC2" w:rsidP="00241BC2">
      <w:pPr>
        <w:spacing w:after="60"/>
        <w:ind w:left="720"/>
        <w:rPr>
          <w:rFonts w:cs="David"/>
          <w:sz w:val="20"/>
          <w:szCs w:val="20"/>
          <w:highlight w:val="yellow"/>
          <w:rtl/>
        </w:rPr>
      </w:pPr>
      <w:r w:rsidRPr="00A22FA1">
        <w:rPr>
          <w:rFonts w:cs="David" w:hint="cs"/>
          <w:sz w:val="20"/>
          <w:szCs w:val="20"/>
          <w:highlight w:val="yellow"/>
          <w:rtl/>
        </w:rPr>
        <w:t xml:space="preserve"> (א) הסמכה לעשות דבר או לדון בענין פלוני או להכריע בו - משמעה גם הסמכה לקבוע נוהל עבודה וסדרי דיונים ככל שאלה לא נקבעו בחיקוק.</w:t>
      </w:r>
    </w:p>
    <w:p w:rsidR="00241BC2" w:rsidRPr="008062B9" w:rsidRDefault="00241BC2" w:rsidP="00241BC2">
      <w:pPr>
        <w:spacing w:after="60"/>
        <w:ind w:left="720"/>
        <w:rPr>
          <w:rFonts w:cs="David"/>
          <w:sz w:val="20"/>
          <w:szCs w:val="20"/>
          <w:rtl/>
        </w:rPr>
      </w:pPr>
      <w:r w:rsidRPr="00A22FA1">
        <w:rPr>
          <w:rFonts w:cs="David" w:hint="cs"/>
          <w:sz w:val="20"/>
          <w:szCs w:val="20"/>
          <w:highlight w:val="yellow"/>
          <w:rtl/>
        </w:rPr>
        <w:t xml:space="preserve"> (ב) הסמכה לעשות דבר או לכפות עשייתו - משמעה גם מתן סמכויות עזר הדרושות לכך במידה המתקבלת על הדעת.</w:t>
      </w:r>
    </w:p>
    <w:p w:rsidR="00241BC2" w:rsidRPr="008062B9" w:rsidRDefault="00241BC2" w:rsidP="00241BC2">
      <w:pPr>
        <w:spacing w:after="60"/>
        <w:rPr>
          <w:rFonts w:cs="David"/>
          <w:sz w:val="20"/>
          <w:szCs w:val="20"/>
          <w:rtl/>
        </w:rPr>
      </w:pPr>
      <w:r w:rsidRPr="008062B9">
        <w:rPr>
          <w:rFonts w:cs="David" w:hint="cs"/>
          <w:sz w:val="20"/>
          <w:szCs w:val="20"/>
          <w:rtl/>
        </w:rPr>
        <w:t>18. [סמכות בהשגה ובערר]</w:t>
      </w:r>
    </w:p>
    <w:p w:rsidR="00241BC2" w:rsidRPr="008062B9" w:rsidRDefault="00241BC2" w:rsidP="00241BC2">
      <w:pPr>
        <w:ind w:left="720"/>
        <w:rPr>
          <w:rFonts w:cs="David"/>
          <w:sz w:val="20"/>
          <w:szCs w:val="20"/>
          <w:rtl/>
        </w:rPr>
      </w:pPr>
      <w:r w:rsidRPr="008062B9">
        <w:rPr>
          <w:rFonts w:cs="David" w:hint="cs"/>
          <w:sz w:val="20"/>
          <w:szCs w:val="20"/>
          <w:rtl/>
        </w:rPr>
        <w:t>הסמכה לדון ולהכריע בערר או בהשגה אחרת על החלטה של רשות - משמעה גם הסמכה לאשר את ההחלטה בשינויים או בלא שינוי, לבטלה ולהחליט החלטה אחרת במקומה או להחזיר את הענין עם הוראות לרשות שהחליטה</w:t>
      </w:r>
    </w:p>
    <w:p w:rsidR="00241BC2" w:rsidRDefault="00241BC2" w:rsidP="00241BC2">
      <w:pPr>
        <w:rPr>
          <w:sz w:val="20"/>
          <w:szCs w:val="20"/>
          <w:rtl/>
        </w:rPr>
      </w:pPr>
      <w:r>
        <w:rPr>
          <w:rFonts w:hint="cs"/>
          <w:sz w:val="20"/>
          <w:szCs w:val="20"/>
          <w:rtl/>
        </w:rPr>
        <w:t>=-=</w:t>
      </w:r>
    </w:p>
    <w:p w:rsidR="00241BC2" w:rsidRDefault="00241BC2" w:rsidP="00241BC2">
      <w:pPr>
        <w:rPr>
          <w:sz w:val="20"/>
          <w:szCs w:val="20"/>
          <w:rtl/>
        </w:rPr>
      </w:pPr>
    </w:p>
    <w:p w:rsidR="00241BC2" w:rsidRPr="00D06EF0" w:rsidRDefault="00241BC2" w:rsidP="00241BC2">
      <w:pPr>
        <w:rPr>
          <w:b/>
          <w:bCs/>
          <w:sz w:val="20"/>
          <w:szCs w:val="20"/>
          <w:u w:val="single"/>
          <w:rtl/>
        </w:rPr>
      </w:pPr>
      <w:r w:rsidRPr="00D06EF0">
        <w:rPr>
          <w:rFonts w:hint="cs"/>
          <w:b/>
          <w:bCs/>
          <w:sz w:val="20"/>
          <w:szCs w:val="20"/>
          <w:u w:val="single"/>
          <w:rtl/>
        </w:rPr>
        <w:t>פסיקה</w:t>
      </w:r>
    </w:p>
    <w:p w:rsidR="00241BC2" w:rsidRDefault="00241BC2" w:rsidP="00241BC2">
      <w:pPr>
        <w:rPr>
          <w:sz w:val="20"/>
          <w:szCs w:val="20"/>
          <w:rtl/>
        </w:rPr>
      </w:pPr>
    </w:p>
    <w:p w:rsidR="00241BC2" w:rsidRPr="00D06EF0" w:rsidRDefault="00241BC2" w:rsidP="00241BC2">
      <w:pPr>
        <w:rPr>
          <w:sz w:val="20"/>
          <w:szCs w:val="20"/>
          <w:rtl/>
        </w:rPr>
      </w:pPr>
      <w:r w:rsidRPr="00D06EF0">
        <w:rPr>
          <w:rFonts w:hint="cs"/>
          <w:sz w:val="20"/>
          <w:szCs w:val="20"/>
          <w:rtl/>
        </w:rPr>
        <w:t xml:space="preserve">בג"צ 4884/00 </w:t>
      </w:r>
      <w:r w:rsidRPr="00D06EF0">
        <w:rPr>
          <w:rFonts w:hint="cs"/>
          <w:b/>
          <w:bCs/>
          <w:sz w:val="20"/>
          <w:szCs w:val="20"/>
          <w:rtl/>
        </w:rPr>
        <w:t>עמותת "תנו לחיות לחיות" נ' מנהל השירותים הוטרינריים</w:t>
      </w:r>
      <w:r w:rsidRPr="00D06EF0">
        <w:rPr>
          <w:rFonts w:hint="cs"/>
          <w:sz w:val="20"/>
          <w:szCs w:val="20"/>
          <w:rtl/>
        </w:rPr>
        <w:t>, פ"ד נח(5) 202, סע</w:t>
      </w:r>
      <w:r w:rsidRPr="00D06EF0">
        <w:rPr>
          <w:sz w:val="20"/>
          <w:szCs w:val="20"/>
          <w:rtl/>
        </w:rPr>
        <w:t>'</w:t>
      </w:r>
      <w:r w:rsidRPr="00D06EF0">
        <w:rPr>
          <w:rFonts w:hint="cs"/>
          <w:sz w:val="20"/>
          <w:szCs w:val="20"/>
          <w:rtl/>
        </w:rPr>
        <w:t xml:space="preserve"> 2-1 ו-16-12 לפסה"ד (2004)</w:t>
      </w:r>
      <w:r>
        <w:rPr>
          <w:rFonts w:hint="cs"/>
          <w:sz w:val="20"/>
          <w:szCs w:val="20"/>
          <w:rtl/>
        </w:rPr>
        <w:t>;</w:t>
      </w:r>
      <w:r w:rsidRPr="00D06EF0">
        <w:rPr>
          <w:rFonts w:hint="cs"/>
          <w:sz w:val="20"/>
          <w:szCs w:val="20"/>
          <w:rtl/>
        </w:rPr>
        <w:t xml:space="preserve"> </w:t>
      </w:r>
    </w:p>
    <w:p w:rsidR="00241BC2" w:rsidRDefault="00241BC2" w:rsidP="00241BC2">
      <w:pPr>
        <w:rPr>
          <w:sz w:val="20"/>
          <w:szCs w:val="20"/>
          <w:rtl/>
        </w:rPr>
      </w:pPr>
    </w:p>
    <w:p w:rsidR="00241BC2" w:rsidRDefault="00241BC2" w:rsidP="00241BC2">
      <w:pPr>
        <w:rPr>
          <w:sz w:val="20"/>
          <w:szCs w:val="20"/>
          <w:rtl/>
        </w:rPr>
      </w:pPr>
      <w:r w:rsidRPr="00D06EF0">
        <w:rPr>
          <w:rFonts w:hint="cs"/>
          <w:sz w:val="20"/>
          <w:szCs w:val="20"/>
          <w:rtl/>
        </w:rPr>
        <w:t xml:space="preserve">דנג"ץ 10350/02 </w:t>
      </w:r>
      <w:r w:rsidRPr="00D06EF0">
        <w:rPr>
          <w:rFonts w:hint="cs"/>
          <w:b/>
          <w:bCs/>
          <w:sz w:val="20"/>
          <w:szCs w:val="20"/>
          <w:rtl/>
        </w:rPr>
        <w:t>שר הפנים נ' מטר</w:t>
      </w:r>
      <w:r w:rsidRPr="00D06EF0">
        <w:rPr>
          <w:rFonts w:hint="cs"/>
          <w:sz w:val="20"/>
          <w:szCs w:val="20"/>
          <w:rtl/>
        </w:rPr>
        <w:t>, פ"ד נח(3) 255 (2004)</w:t>
      </w:r>
      <w:r>
        <w:rPr>
          <w:rFonts w:hint="cs"/>
          <w:sz w:val="20"/>
          <w:szCs w:val="20"/>
          <w:rtl/>
        </w:rPr>
        <w:t xml:space="preserve"> [ראו להלן, שכן פסק הדין עוסק גם בסוגיה של "הנחיות מינהליות"]; </w:t>
      </w:r>
    </w:p>
    <w:p w:rsidR="00241BC2" w:rsidRDefault="00241BC2" w:rsidP="00241BC2">
      <w:pPr>
        <w:rPr>
          <w:sz w:val="20"/>
          <w:szCs w:val="20"/>
          <w:rtl/>
        </w:rPr>
      </w:pPr>
    </w:p>
    <w:p w:rsidR="00241BC2" w:rsidRDefault="00241BC2" w:rsidP="00241BC2">
      <w:pPr>
        <w:rPr>
          <w:sz w:val="20"/>
          <w:szCs w:val="20"/>
          <w:rtl/>
        </w:rPr>
      </w:pPr>
      <w:r>
        <w:rPr>
          <w:rFonts w:hint="cs"/>
          <w:sz w:val="20"/>
          <w:szCs w:val="20"/>
          <w:rtl/>
        </w:rPr>
        <w:t>+</w:t>
      </w:r>
    </w:p>
    <w:p w:rsidR="00241BC2" w:rsidRPr="00C04638" w:rsidRDefault="00241BC2" w:rsidP="00241BC2">
      <w:pPr>
        <w:jc w:val="center"/>
        <w:rPr>
          <w:sz w:val="22"/>
          <w:szCs w:val="22"/>
          <w:rtl/>
        </w:rPr>
      </w:pPr>
      <w:r w:rsidRPr="00C04638">
        <w:rPr>
          <w:sz w:val="22"/>
          <w:szCs w:val="22"/>
          <w:highlight w:val="yellow"/>
          <w:rtl/>
        </w:rPr>
        <w:t>עע"מ</w:t>
      </w:r>
      <w:r w:rsidRPr="00C04638">
        <w:rPr>
          <w:sz w:val="22"/>
          <w:szCs w:val="22"/>
          <w:highlight w:val="yellow"/>
        </w:rPr>
        <w:t> 3782/12 </w:t>
      </w:r>
      <w:r w:rsidRPr="00C04638">
        <w:rPr>
          <w:b/>
          <w:bCs/>
          <w:sz w:val="22"/>
          <w:szCs w:val="22"/>
          <w:highlight w:val="yellow"/>
          <w:rtl/>
        </w:rPr>
        <w:t>מפקד מחוז תל אביב-יפו במשטרת ישראל</w:t>
      </w:r>
      <w:r w:rsidRPr="00C04638">
        <w:rPr>
          <w:rFonts w:hint="cs"/>
          <w:b/>
          <w:bCs/>
          <w:sz w:val="22"/>
          <w:szCs w:val="22"/>
          <w:highlight w:val="yellow"/>
          <w:rtl/>
        </w:rPr>
        <w:t xml:space="preserve"> נ' איגוד האינטרנט הישראלי</w:t>
      </w:r>
      <w:r w:rsidRPr="00C04638">
        <w:rPr>
          <w:rFonts w:hint="cs"/>
          <w:sz w:val="22"/>
          <w:szCs w:val="22"/>
          <w:highlight w:val="yellow"/>
          <w:rtl/>
        </w:rPr>
        <w:t xml:space="preserve"> (2013)</w:t>
      </w:r>
    </w:p>
    <w:p w:rsidR="00241BC2" w:rsidRDefault="00241BC2" w:rsidP="00241BC2">
      <w:pPr>
        <w:rPr>
          <w:sz w:val="20"/>
          <w:szCs w:val="20"/>
          <w:rtl/>
        </w:rPr>
      </w:pPr>
    </w:p>
    <w:p w:rsidR="00241BC2" w:rsidRPr="00EE7BEA" w:rsidRDefault="00241BC2" w:rsidP="00241BC2">
      <w:pPr>
        <w:spacing w:after="120"/>
        <w:rPr>
          <w:rFonts w:cs="FrankRuehl"/>
          <w:b/>
          <w:bCs/>
          <w:sz w:val="22"/>
          <w:szCs w:val="22"/>
          <w:rtl/>
        </w:rPr>
      </w:pPr>
      <w:r w:rsidRPr="00EE7BEA">
        <w:rPr>
          <w:rFonts w:hint="cs"/>
          <w:b/>
          <w:bCs/>
          <w:sz w:val="22"/>
          <w:szCs w:val="22"/>
          <w:rtl/>
        </w:rPr>
        <w:t xml:space="preserve">השופט פוגלמן </w:t>
      </w:r>
      <w:r w:rsidRPr="00EE7BEA">
        <w:rPr>
          <w:rFonts w:hint="cs"/>
          <w:sz w:val="22"/>
          <w:szCs w:val="22"/>
          <w:rtl/>
        </w:rPr>
        <w:t>(שופט הרוב):</w:t>
      </w:r>
    </w:p>
    <w:p w:rsidR="00241BC2" w:rsidRPr="00C04638" w:rsidRDefault="00241BC2" w:rsidP="00241BC2">
      <w:pPr>
        <w:pStyle w:val="Ruller4"/>
        <w:numPr>
          <w:ilvl w:val="0"/>
          <w:numId w:val="0"/>
        </w:numPr>
        <w:spacing w:after="120" w:line="240" w:lineRule="auto"/>
        <w:rPr>
          <w:sz w:val="22"/>
          <w:szCs w:val="22"/>
          <w:rtl/>
        </w:rPr>
      </w:pPr>
      <w:r w:rsidRPr="00C04638">
        <w:rPr>
          <w:rFonts w:hint="cs"/>
          <w:sz w:val="22"/>
          <w:szCs w:val="22"/>
          <w:highlight w:val="yellow"/>
          <w:rtl/>
        </w:rPr>
        <w:tab/>
        <w:t>האם מוסמך מפקד מחוז במשטרת ישראל להורות לספקיות גישה לאינטרנט להגביל גישתם של גולשים ישראלים לאתרי הימורים באינטרנט, וזאת מכוח סמכותו הקבועה בסעיף 229(א)(1) ל</w:t>
      </w:r>
      <w:hyperlink r:id="rId335" w:history="1">
        <w:r w:rsidRPr="00C04638">
          <w:rPr>
            <w:rFonts w:hint="eastAsia"/>
            <w:color w:val="0000FF"/>
            <w:sz w:val="22"/>
            <w:szCs w:val="22"/>
            <w:highlight w:val="yellow"/>
            <w:u w:val="single"/>
            <w:rtl/>
          </w:rPr>
          <w:t>חוק</w:t>
        </w:r>
        <w:r w:rsidRPr="00C04638">
          <w:rPr>
            <w:color w:val="0000FF"/>
            <w:sz w:val="22"/>
            <w:szCs w:val="22"/>
            <w:highlight w:val="yellow"/>
            <w:u w:val="single"/>
            <w:rtl/>
          </w:rPr>
          <w:t xml:space="preserve"> </w:t>
        </w:r>
        <w:r w:rsidRPr="00C04638">
          <w:rPr>
            <w:rFonts w:hint="eastAsia"/>
            <w:color w:val="0000FF"/>
            <w:sz w:val="22"/>
            <w:szCs w:val="22"/>
            <w:highlight w:val="yellow"/>
            <w:u w:val="single"/>
            <w:rtl/>
          </w:rPr>
          <w:t>העונשין</w:t>
        </w:r>
      </w:hyperlink>
      <w:r w:rsidRPr="00C04638">
        <w:rPr>
          <w:rFonts w:hint="cs"/>
          <w:sz w:val="22"/>
          <w:szCs w:val="22"/>
          <w:highlight w:val="yellow"/>
          <w:rtl/>
        </w:rPr>
        <w:t xml:space="preserve">, התשל"ז-1977 (להלן: </w:t>
      </w:r>
      <w:r w:rsidRPr="00C04638">
        <w:rPr>
          <w:rFonts w:ascii="Times New Roman" w:hAnsi="Times New Roman" w:hint="cs"/>
          <w:spacing w:val="0"/>
          <w:sz w:val="22"/>
          <w:szCs w:val="22"/>
          <w:highlight w:val="yellow"/>
          <w:rtl/>
        </w:rPr>
        <w:t>חוק העונשין</w:t>
      </w:r>
      <w:r w:rsidRPr="00C04638">
        <w:rPr>
          <w:rFonts w:ascii="Times New Roman" w:hAnsi="Times New Roman" w:hint="cs"/>
          <w:sz w:val="22"/>
          <w:szCs w:val="22"/>
          <w:highlight w:val="yellow"/>
          <w:rtl/>
        </w:rPr>
        <w:t>)</w:t>
      </w:r>
      <w:r w:rsidRPr="00C04638">
        <w:rPr>
          <w:rFonts w:hint="cs"/>
          <w:sz w:val="22"/>
          <w:szCs w:val="22"/>
          <w:highlight w:val="yellow"/>
          <w:rtl/>
        </w:rPr>
        <w:t xml:space="preserve"> לסגור מקומות הימורים? זו השאלה העומדת להכרעתנו.</w:t>
      </w:r>
    </w:p>
    <w:p w:rsidR="00241BC2" w:rsidRPr="00C04638" w:rsidRDefault="00241BC2" w:rsidP="00241BC2">
      <w:pPr>
        <w:spacing w:after="120"/>
        <w:rPr>
          <w:rFonts w:cs="FrankRuehl"/>
          <w:sz w:val="22"/>
          <w:szCs w:val="22"/>
          <w:rtl/>
        </w:rPr>
      </w:pPr>
      <w:r w:rsidRPr="00C04638">
        <w:rPr>
          <w:rFonts w:cs="FrankRuehl" w:hint="cs"/>
          <w:sz w:val="22"/>
          <w:szCs w:val="22"/>
          <w:rtl/>
        </w:rPr>
        <w:t>שאלת הסמכות</w:t>
      </w:r>
    </w:p>
    <w:p w:rsidR="00241BC2" w:rsidRPr="00C04638" w:rsidRDefault="00241BC2" w:rsidP="00241BC2">
      <w:pPr>
        <w:spacing w:after="120"/>
        <w:rPr>
          <w:rFonts w:cs="FrankRuehl"/>
          <w:sz w:val="22"/>
          <w:szCs w:val="22"/>
          <w:rtl/>
        </w:rPr>
      </w:pPr>
      <w:r>
        <w:rPr>
          <w:rFonts w:cs="FrankRuehl" w:hint="cs"/>
          <w:sz w:val="22"/>
          <w:szCs w:val="22"/>
          <w:rtl/>
        </w:rPr>
        <w:t xml:space="preserve">8. </w:t>
      </w:r>
      <w:r>
        <w:rPr>
          <w:rFonts w:cs="FrankRuehl" w:hint="cs"/>
          <w:sz w:val="22"/>
          <w:szCs w:val="22"/>
          <w:rtl/>
        </w:rPr>
        <w:tab/>
      </w:r>
      <w:r w:rsidRPr="00C04638">
        <w:rPr>
          <w:rFonts w:cs="FrankRuehl" w:hint="cs"/>
          <w:sz w:val="22"/>
          <w:szCs w:val="22"/>
          <w:rtl/>
        </w:rPr>
        <w:t>ס</w:t>
      </w:r>
      <w:r w:rsidRPr="00DC75E9">
        <w:rPr>
          <w:rFonts w:cs="FrankRuehl" w:hint="cs"/>
          <w:sz w:val="22"/>
          <w:szCs w:val="22"/>
          <w:highlight w:val="yellow"/>
          <w:rtl/>
        </w:rPr>
        <w:t>עיף 229(א)(1) ל</w:t>
      </w:r>
      <w:hyperlink r:id="rId336" w:history="1">
        <w:r w:rsidRPr="00DC75E9">
          <w:rPr>
            <w:rStyle w:val="Hyperlink"/>
            <w:rFonts w:cs="FrankRuehl" w:hint="eastAsia"/>
            <w:sz w:val="22"/>
            <w:szCs w:val="22"/>
            <w:rtl/>
          </w:rPr>
          <w:t>חוק</w:t>
        </w:r>
        <w:r w:rsidRPr="00DC75E9">
          <w:rPr>
            <w:rStyle w:val="Hyperlink"/>
            <w:rFonts w:cs="FrankRuehl"/>
            <w:sz w:val="22"/>
            <w:szCs w:val="22"/>
            <w:rtl/>
          </w:rPr>
          <w:t xml:space="preserve"> </w:t>
        </w:r>
        <w:r w:rsidRPr="00DC75E9">
          <w:rPr>
            <w:rStyle w:val="Hyperlink"/>
            <w:rFonts w:cs="FrankRuehl" w:hint="eastAsia"/>
            <w:sz w:val="22"/>
            <w:szCs w:val="22"/>
            <w:rtl/>
          </w:rPr>
          <w:t>העונשין</w:t>
        </w:r>
      </w:hyperlink>
      <w:r w:rsidRPr="00DC75E9">
        <w:rPr>
          <w:rFonts w:cs="FrankRuehl" w:hint="cs"/>
          <w:sz w:val="22"/>
          <w:szCs w:val="22"/>
          <w:highlight w:val="yellow"/>
          <w:rtl/>
        </w:rPr>
        <w:t>, שכותרתו "סגירת מקומות",</w:t>
      </w:r>
      <w:r w:rsidRPr="00C04638">
        <w:rPr>
          <w:rFonts w:cs="FrankRuehl" w:hint="cs"/>
          <w:sz w:val="22"/>
          <w:szCs w:val="22"/>
          <w:rtl/>
        </w:rPr>
        <w:t xml:space="preserve"> קובע כי "</w:t>
      </w:r>
      <w:r w:rsidRPr="001C78B4">
        <w:rPr>
          <w:rFonts w:cs="FrankRuehl" w:hint="cs"/>
          <w:sz w:val="22"/>
          <w:szCs w:val="22"/>
          <w:highlight w:val="yellow"/>
          <w:rtl/>
        </w:rPr>
        <w:t>מפקד מחוז במשטרת ישראל רשאי להורות על סגירתו [...] של מקום משחקים אסורים או מקום לעריכת הגרלות או הימורים</w:t>
      </w:r>
      <w:r w:rsidRPr="00C04638">
        <w:rPr>
          <w:rFonts w:cs="FrankRuehl" w:hint="cs"/>
          <w:sz w:val="22"/>
          <w:szCs w:val="22"/>
          <w:rtl/>
        </w:rPr>
        <w:t xml:space="preserve">". בסעיף 224 לחוק, מוגדר "מקום משחקים אסורים" כ"חצרים שרגילים לערוך בהם משחקים אסורים, בין שהם פתוחים לציבור ובין שהם פתוחים לבני אדם מסוימים בלבד, ואין נפקא מינה אם הם מוחזקים גם למטרה אחרת". </w:t>
      </w:r>
      <w:r w:rsidRPr="001C78B4">
        <w:rPr>
          <w:rFonts w:cs="FrankRuehl" w:hint="cs"/>
          <w:sz w:val="22"/>
          <w:szCs w:val="22"/>
          <w:highlight w:val="yellow"/>
          <w:rtl/>
        </w:rPr>
        <w:t>על-מנת לקבוע כי הצווים שהופנו לספקיות הגישה לאינטרנט, המחייבים אותן לחסום את הגישה לאתרי ההימורים, מעוגנים בסמכות המצויה בסעיף 229 לחוק, נדרשים שלושה מהלכים פרשניים: ראשית, יש לקבוע כי אתר אינטרנט הוא בגדר "מקום" כהגדרתו בחוק; שנית, כי חסימת הגישה לאתר אינטרנט שקולה ל"סגירתו" כהגדרת תיבה זו בחוק; ושלישית, כי ניתן להשתמש בספקיות הגישה לאינטרנט לצורך ביצוע הסמכות האמורה</w:t>
      </w:r>
      <w:r w:rsidRPr="00C04638">
        <w:rPr>
          <w:rFonts w:cs="FrankRuehl" w:hint="cs"/>
          <w:sz w:val="22"/>
          <w:szCs w:val="22"/>
          <w:rtl/>
        </w:rPr>
        <w:t xml:space="preserve">. </w:t>
      </w:r>
    </w:p>
    <w:p w:rsidR="00241BC2" w:rsidRDefault="00241BC2" w:rsidP="00241BC2">
      <w:pPr>
        <w:spacing w:after="120"/>
        <w:rPr>
          <w:rFonts w:cs="FrankRuehl"/>
          <w:sz w:val="22"/>
          <w:szCs w:val="22"/>
          <w:rtl/>
        </w:rPr>
      </w:pPr>
      <w:r>
        <w:rPr>
          <w:rFonts w:cs="FrankRuehl" w:hint="cs"/>
          <w:sz w:val="22"/>
          <w:szCs w:val="22"/>
          <w:rtl/>
        </w:rPr>
        <w:t>9.</w:t>
      </w:r>
      <w:r>
        <w:rPr>
          <w:rFonts w:cs="FrankRuehl" w:hint="cs"/>
          <w:sz w:val="22"/>
          <w:szCs w:val="22"/>
          <w:rtl/>
        </w:rPr>
        <w:tab/>
      </w:r>
      <w:r w:rsidRPr="001C78B4">
        <w:rPr>
          <w:rFonts w:cs="FrankRuehl" w:hint="cs"/>
          <w:sz w:val="22"/>
          <w:szCs w:val="22"/>
          <w:highlight w:val="yellow"/>
          <w:rtl/>
        </w:rPr>
        <w:t>מוכן אני להניח, כפי שגם מצא חברי השופט נ' סולברג, כי ניתן לראות באתר אינטרנט בבחינת "מקום" כהגדרתו במקומות שונים בספר החוקים; וכן כי אתר הימורים מקוון הוא בבחינת "מקום משחקים אסורים", כהגדרתו בסעיף 229 ל</w:t>
      </w:r>
      <w:hyperlink r:id="rId337" w:history="1">
        <w:r w:rsidRPr="001C78B4">
          <w:rPr>
            <w:rStyle w:val="Hyperlink"/>
            <w:rFonts w:cs="FrankRuehl" w:hint="eastAsia"/>
            <w:sz w:val="22"/>
            <w:szCs w:val="22"/>
            <w:rtl/>
          </w:rPr>
          <w:t>חוק</w:t>
        </w:r>
        <w:r w:rsidRPr="001C78B4">
          <w:rPr>
            <w:rStyle w:val="Hyperlink"/>
            <w:rFonts w:cs="FrankRuehl"/>
            <w:sz w:val="22"/>
            <w:szCs w:val="22"/>
            <w:rtl/>
          </w:rPr>
          <w:t xml:space="preserve"> </w:t>
        </w:r>
        <w:r w:rsidRPr="001C78B4">
          <w:rPr>
            <w:rStyle w:val="Hyperlink"/>
            <w:rFonts w:cs="FrankRuehl" w:hint="eastAsia"/>
            <w:sz w:val="22"/>
            <w:szCs w:val="22"/>
            <w:rtl/>
          </w:rPr>
          <w:t>העונשין</w:t>
        </w:r>
      </w:hyperlink>
      <w:r w:rsidRPr="001C78B4">
        <w:rPr>
          <w:rFonts w:cs="FrankRuehl" w:hint="cs"/>
          <w:sz w:val="22"/>
          <w:szCs w:val="22"/>
          <w:highlight w:val="yellow"/>
          <w:rtl/>
        </w:rPr>
        <w:t xml:space="preserve"> שבו עסקינן. בעניין זה נוטה אני להסכים כי פרשנות תכליתית של החקיקה האמורה, ברוח הזמן והקדמה הטכנולוגית, אכן יכולה להובילנו למסקנה אליה הגיע חברי, שלפיה ניתן להחיל את סעיף 229 ל</w:t>
      </w:r>
      <w:hyperlink r:id="rId338" w:history="1">
        <w:r w:rsidRPr="001C78B4">
          <w:rPr>
            <w:rStyle w:val="Hyperlink"/>
            <w:rFonts w:cs="FrankRuehl" w:hint="eastAsia"/>
            <w:sz w:val="22"/>
            <w:szCs w:val="22"/>
            <w:rtl/>
          </w:rPr>
          <w:t>חוק</w:t>
        </w:r>
        <w:r w:rsidRPr="001C78B4">
          <w:rPr>
            <w:rStyle w:val="Hyperlink"/>
            <w:rFonts w:cs="FrankRuehl"/>
            <w:sz w:val="22"/>
            <w:szCs w:val="22"/>
            <w:rtl/>
          </w:rPr>
          <w:t xml:space="preserve"> </w:t>
        </w:r>
        <w:r w:rsidRPr="001C78B4">
          <w:rPr>
            <w:rStyle w:val="Hyperlink"/>
            <w:rFonts w:cs="FrankRuehl" w:hint="eastAsia"/>
            <w:sz w:val="22"/>
            <w:szCs w:val="22"/>
            <w:rtl/>
          </w:rPr>
          <w:t>העונשין</w:t>
        </w:r>
      </w:hyperlink>
      <w:r w:rsidRPr="001C78B4">
        <w:rPr>
          <w:rFonts w:cs="FrankRuehl" w:hint="cs"/>
          <w:sz w:val="22"/>
          <w:szCs w:val="22"/>
          <w:highlight w:val="yellow"/>
          <w:rtl/>
        </w:rPr>
        <w:t xml:space="preserve"> גם "בעולם הווירטואלי"</w:t>
      </w:r>
      <w:r w:rsidRPr="00C04638">
        <w:rPr>
          <w:rFonts w:cs="FrankRuehl" w:hint="cs"/>
          <w:sz w:val="22"/>
          <w:szCs w:val="22"/>
          <w:rtl/>
        </w:rPr>
        <w:t xml:space="preserve"> (השוו: אסף </w:t>
      </w:r>
      <w:hyperlink r:id="rId339" w:history="1">
        <w:r w:rsidRPr="00C04638">
          <w:rPr>
            <w:rStyle w:val="Hyperlink"/>
            <w:rFonts w:cs="FrankRuehl" w:hint="eastAsia"/>
            <w:sz w:val="22"/>
            <w:szCs w:val="22"/>
            <w:rtl/>
          </w:rPr>
          <w:t>הרדוף</w:t>
        </w:r>
        <w:r w:rsidRPr="00C04638">
          <w:rPr>
            <w:rStyle w:val="Hyperlink"/>
            <w:rFonts w:cs="FrankRuehl"/>
            <w:sz w:val="22"/>
            <w:szCs w:val="22"/>
            <w:rtl/>
          </w:rPr>
          <w:t xml:space="preserve"> "</w:t>
        </w:r>
        <w:r w:rsidRPr="00C04638">
          <w:rPr>
            <w:rStyle w:val="Hyperlink"/>
            <w:rFonts w:cs="FrankRuehl" w:hint="eastAsia"/>
            <w:sz w:val="22"/>
            <w:szCs w:val="22"/>
            <w:rtl/>
          </w:rPr>
          <w:t>דיני</w:t>
        </w:r>
        <w:r w:rsidRPr="00C04638">
          <w:rPr>
            <w:rStyle w:val="Hyperlink"/>
            <w:rFonts w:cs="FrankRuehl"/>
            <w:sz w:val="22"/>
            <w:szCs w:val="22"/>
            <w:rtl/>
          </w:rPr>
          <w:t xml:space="preserve"> </w:t>
        </w:r>
        <w:r w:rsidRPr="00C04638">
          <w:rPr>
            <w:rStyle w:val="Hyperlink"/>
            <w:rFonts w:cs="FrankRuehl" w:hint="eastAsia"/>
            <w:sz w:val="22"/>
            <w:szCs w:val="22"/>
            <w:rtl/>
          </w:rPr>
          <w:t>העונשין</w:t>
        </w:r>
        <w:r w:rsidRPr="00C04638">
          <w:rPr>
            <w:rStyle w:val="Hyperlink"/>
            <w:rFonts w:cs="FrankRuehl"/>
            <w:sz w:val="22"/>
            <w:szCs w:val="22"/>
            <w:rtl/>
          </w:rPr>
          <w:t xml:space="preserve"> </w:t>
        </w:r>
        <w:r w:rsidRPr="00C04638">
          <w:rPr>
            <w:rStyle w:val="Hyperlink"/>
            <w:rFonts w:cs="FrankRuehl" w:hint="eastAsia"/>
            <w:sz w:val="22"/>
            <w:szCs w:val="22"/>
            <w:rtl/>
          </w:rPr>
          <w:t>גולשים</w:t>
        </w:r>
        <w:r w:rsidRPr="00C04638">
          <w:rPr>
            <w:rStyle w:val="Hyperlink"/>
            <w:rFonts w:cs="FrankRuehl"/>
            <w:sz w:val="22"/>
            <w:szCs w:val="22"/>
            <w:rtl/>
          </w:rPr>
          <w:t xml:space="preserve"> </w:t>
        </w:r>
        <w:r w:rsidRPr="00C04638">
          <w:rPr>
            <w:rStyle w:val="Hyperlink"/>
            <w:rFonts w:cs="FrankRuehl" w:hint="eastAsia"/>
            <w:sz w:val="22"/>
            <w:szCs w:val="22"/>
            <w:rtl/>
          </w:rPr>
          <w:t>באינטרנט</w:t>
        </w:r>
        <w:r w:rsidRPr="00C04638">
          <w:rPr>
            <w:rStyle w:val="Hyperlink"/>
            <w:rFonts w:cs="FrankRuehl"/>
            <w:sz w:val="22"/>
            <w:szCs w:val="22"/>
            <w:rtl/>
          </w:rPr>
          <w:t xml:space="preserve">: </w:t>
        </w:r>
      </w:hyperlink>
      <w:r w:rsidRPr="00C04638">
        <w:rPr>
          <w:rFonts w:cs="FrankRuehl" w:hint="cs"/>
          <w:sz w:val="22"/>
          <w:szCs w:val="22"/>
          <w:rtl/>
        </w:rPr>
        <w:t xml:space="preserve"> היסוד הפיזי הווירטואלי" (צפוי להתפרסם בהפרקליט נב 67, 124-122 (2013)) (להלן: הרדוף)). </w:t>
      </w:r>
    </w:p>
    <w:p w:rsidR="00241BC2" w:rsidRPr="00EE7BEA" w:rsidRDefault="00241BC2" w:rsidP="00241BC2">
      <w:pPr>
        <w:spacing w:after="120"/>
        <w:rPr>
          <w:rFonts w:cs="FrankRuehl"/>
          <w:sz w:val="22"/>
          <w:szCs w:val="22"/>
        </w:rPr>
      </w:pPr>
      <w:r>
        <w:rPr>
          <w:rFonts w:cs="FrankRuehl" w:hint="cs"/>
          <w:sz w:val="22"/>
          <w:szCs w:val="22"/>
          <w:rtl/>
        </w:rPr>
        <w:t>10.</w:t>
      </w:r>
      <w:r>
        <w:rPr>
          <w:rFonts w:cs="FrankRuehl" w:hint="cs"/>
          <w:sz w:val="22"/>
          <w:szCs w:val="22"/>
          <w:rtl/>
        </w:rPr>
        <w:tab/>
      </w:r>
      <w:r w:rsidRPr="00EE7BEA">
        <w:rPr>
          <w:rFonts w:cs="FrankRuehl" w:hint="cs"/>
          <w:sz w:val="22"/>
          <w:szCs w:val="22"/>
          <w:rtl/>
        </w:rPr>
        <w:t>אשר לפגיעה בחופש הביטוי; באתרי אינטרנט מושמעות אמנם דעות ומוחלפים רעיונות, אך – כידוע – אין דין ביטוי אחד כדין ביטוי אחר. אף אם בחלק מאתרי ההימורים נכללות תמונות, דברי הסבר ביחס לחוקי המשחקים השונים, מידע על-אודות יחסי הימורים, חדרי צ'אט ועוד – מדובר בתכנים המצויים בשוליים של האינטרס המוגן. על כן, גם אם חסימת אתרי ההימורים עלולה להביא לחסימת הגישה לתכנים חוקיים המצויים בהם, יש לזכור כי ערכו של ה"ביטוי" אשר בענייננו מתבקשת הגנה עליו אינו גבוה, וכעוצמת האינטרס – כן עוצמת ההגנה (</w:t>
      </w:r>
      <w:hyperlink r:id="rId340" w:history="1">
        <w:r w:rsidRPr="00EE7BEA">
          <w:rPr>
            <w:rStyle w:val="Hyperlink"/>
            <w:rFonts w:cs="FrankRuehl" w:hint="eastAsia"/>
            <w:sz w:val="22"/>
            <w:szCs w:val="22"/>
            <w:rtl/>
          </w:rPr>
          <w:t>בג</w:t>
        </w:r>
        <w:r w:rsidRPr="00EE7BEA">
          <w:rPr>
            <w:rStyle w:val="Hyperlink"/>
            <w:rFonts w:cs="FrankRuehl"/>
            <w:sz w:val="22"/>
            <w:szCs w:val="22"/>
            <w:rtl/>
          </w:rPr>
          <w:t>"</w:t>
        </w:r>
        <w:r w:rsidRPr="00EE7BEA">
          <w:rPr>
            <w:rStyle w:val="Hyperlink"/>
            <w:rFonts w:cs="FrankRuehl" w:hint="eastAsia"/>
            <w:sz w:val="22"/>
            <w:szCs w:val="22"/>
            <w:rtl/>
          </w:rPr>
          <w:t>ץ</w:t>
        </w:r>
        <w:r w:rsidRPr="00EE7BEA">
          <w:rPr>
            <w:rStyle w:val="Hyperlink"/>
            <w:rFonts w:cs="FrankRuehl"/>
            <w:sz w:val="22"/>
            <w:szCs w:val="22"/>
            <w:rtl/>
          </w:rPr>
          <w:t xml:space="preserve"> 606/93 </w:t>
        </w:r>
        <w:r w:rsidRPr="00EE7BEA">
          <w:rPr>
            <w:rStyle w:val="Hyperlink"/>
            <w:rFonts w:cs="FrankRuehl" w:hint="eastAsia"/>
            <w:sz w:val="22"/>
            <w:szCs w:val="22"/>
            <w:rtl/>
          </w:rPr>
          <w:t>קידום</w:t>
        </w:r>
        <w:r w:rsidRPr="00EE7BEA">
          <w:rPr>
            <w:rStyle w:val="Hyperlink"/>
            <w:rFonts w:cs="FrankRuehl"/>
            <w:sz w:val="22"/>
            <w:szCs w:val="22"/>
            <w:rtl/>
          </w:rPr>
          <w:t xml:space="preserve"> </w:t>
        </w:r>
        <w:r w:rsidRPr="00EE7BEA">
          <w:rPr>
            <w:rStyle w:val="Hyperlink"/>
            <w:rFonts w:cs="FrankRuehl" w:hint="eastAsia"/>
            <w:sz w:val="22"/>
            <w:szCs w:val="22"/>
            <w:rtl/>
          </w:rPr>
          <w:t>יזמות</w:t>
        </w:r>
        <w:r w:rsidRPr="00EE7BEA">
          <w:rPr>
            <w:rStyle w:val="Hyperlink"/>
            <w:rFonts w:cs="FrankRuehl"/>
            <w:sz w:val="22"/>
            <w:szCs w:val="22"/>
            <w:rtl/>
          </w:rPr>
          <w:t xml:space="preserve"> </w:t>
        </w:r>
        <w:r w:rsidRPr="00EE7BEA">
          <w:rPr>
            <w:rStyle w:val="Hyperlink"/>
            <w:rFonts w:cs="FrankRuehl" w:hint="eastAsia"/>
            <w:sz w:val="22"/>
            <w:szCs w:val="22"/>
            <w:rtl/>
          </w:rPr>
          <w:t>ומו</w:t>
        </w:r>
        <w:r w:rsidRPr="00EE7BEA">
          <w:rPr>
            <w:rStyle w:val="Hyperlink"/>
            <w:rFonts w:cs="FrankRuehl"/>
            <w:sz w:val="22"/>
            <w:szCs w:val="22"/>
            <w:rtl/>
          </w:rPr>
          <w:t>"</w:t>
        </w:r>
        <w:r w:rsidRPr="00EE7BEA">
          <w:rPr>
            <w:rStyle w:val="Hyperlink"/>
            <w:rFonts w:cs="FrankRuehl" w:hint="eastAsia"/>
            <w:sz w:val="22"/>
            <w:szCs w:val="22"/>
            <w:rtl/>
          </w:rPr>
          <w:t>לות</w:t>
        </w:r>
        <w:r w:rsidRPr="00EE7BEA">
          <w:rPr>
            <w:rStyle w:val="Hyperlink"/>
            <w:rFonts w:cs="FrankRuehl"/>
            <w:sz w:val="22"/>
            <w:szCs w:val="22"/>
            <w:rtl/>
          </w:rPr>
          <w:t xml:space="preserve"> (1981) </w:t>
        </w:r>
        <w:r w:rsidRPr="00EE7BEA">
          <w:rPr>
            <w:rStyle w:val="Hyperlink"/>
            <w:rFonts w:cs="FrankRuehl" w:hint="eastAsia"/>
            <w:sz w:val="22"/>
            <w:szCs w:val="22"/>
            <w:rtl/>
          </w:rPr>
          <w:t>בע</w:t>
        </w:r>
        <w:r w:rsidRPr="00EE7BEA">
          <w:rPr>
            <w:rStyle w:val="Hyperlink"/>
            <w:rFonts w:cs="FrankRuehl"/>
            <w:sz w:val="22"/>
            <w:szCs w:val="22"/>
            <w:rtl/>
          </w:rPr>
          <w:t>"</w:t>
        </w:r>
        <w:r w:rsidRPr="00EE7BEA">
          <w:rPr>
            <w:rStyle w:val="Hyperlink"/>
            <w:rFonts w:cs="FrankRuehl" w:hint="eastAsia"/>
            <w:sz w:val="22"/>
            <w:szCs w:val="22"/>
            <w:rtl/>
          </w:rPr>
          <w:t>מ</w:t>
        </w:r>
        <w:r w:rsidRPr="00EE7BEA">
          <w:rPr>
            <w:rStyle w:val="Hyperlink"/>
            <w:rFonts w:cs="FrankRuehl"/>
            <w:sz w:val="22"/>
            <w:szCs w:val="22"/>
            <w:rtl/>
          </w:rPr>
          <w:t xml:space="preserve"> </w:t>
        </w:r>
        <w:r w:rsidRPr="00EE7BEA">
          <w:rPr>
            <w:rStyle w:val="Hyperlink"/>
            <w:rFonts w:cs="FrankRuehl" w:hint="eastAsia"/>
            <w:sz w:val="22"/>
            <w:szCs w:val="22"/>
            <w:rtl/>
          </w:rPr>
          <w:t>נ</w:t>
        </w:r>
        <w:r w:rsidRPr="00EE7BEA">
          <w:rPr>
            <w:rStyle w:val="Hyperlink"/>
            <w:rFonts w:cs="FrankRuehl"/>
            <w:sz w:val="22"/>
            <w:szCs w:val="22"/>
            <w:rtl/>
          </w:rPr>
          <w:t xml:space="preserve">' </w:t>
        </w:r>
        <w:r w:rsidRPr="00EE7BEA">
          <w:rPr>
            <w:rStyle w:val="Hyperlink"/>
            <w:rFonts w:cs="FrankRuehl" w:hint="eastAsia"/>
            <w:sz w:val="22"/>
            <w:szCs w:val="22"/>
            <w:rtl/>
          </w:rPr>
          <w:t>רשות</w:t>
        </w:r>
        <w:r w:rsidRPr="00EE7BEA">
          <w:rPr>
            <w:rStyle w:val="Hyperlink"/>
            <w:rFonts w:cs="FrankRuehl"/>
            <w:sz w:val="22"/>
            <w:szCs w:val="22"/>
            <w:rtl/>
          </w:rPr>
          <w:t xml:space="preserve"> </w:t>
        </w:r>
        <w:r w:rsidRPr="00EE7BEA">
          <w:rPr>
            <w:rStyle w:val="Hyperlink"/>
            <w:rFonts w:cs="FrankRuehl" w:hint="eastAsia"/>
            <w:sz w:val="22"/>
            <w:szCs w:val="22"/>
            <w:rtl/>
          </w:rPr>
          <w:t>השידור</w:t>
        </w:r>
        <w:r w:rsidRPr="00EE7BEA">
          <w:rPr>
            <w:rStyle w:val="Hyperlink"/>
            <w:rFonts w:cs="FrankRuehl"/>
            <w:sz w:val="22"/>
            <w:szCs w:val="22"/>
            <w:rtl/>
          </w:rPr>
          <w:t xml:space="preserve">, </w:t>
        </w:r>
        <w:r w:rsidRPr="00EE7BEA">
          <w:rPr>
            <w:rStyle w:val="Hyperlink"/>
            <w:rFonts w:cs="FrankRuehl" w:hint="eastAsia"/>
            <w:sz w:val="22"/>
            <w:szCs w:val="22"/>
            <w:rtl/>
          </w:rPr>
          <w:t>פ</w:t>
        </w:r>
        <w:r w:rsidRPr="00EE7BEA">
          <w:rPr>
            <w:rStyle w:val="Hyperlink"/>
            <w:rFonts w:cs="FrankRuehl"/>
            <w:sz w:val="22"/>
            <w:szCs w:val="22"/>
            <w:rtl/>
          </w:rPr>
          <w:t>"</w:t>
        </w:r>
        <w:r w:rsidRPr="00EE7BEA">
          <w:rPr>
            <w:rStyle w:val="Hyperlink"/>
            <w:rFonts w:cs="FrankRuehl" w:hint="eastAsia"/>
            <w:sz w:val="22"/>
            <w:szCs w:val="22"/>
            <w:rtl/>
          </w:rPr>
          <w:t>ד</w:t>
        </w:r>
        <w:r w:rsidRPr="00EE7BEA">
          <w:rPr>
            <w:rStyle w:val="Hyperlink"/>
            <w:rFonts w:cs="FrankRuehl"/>
            <w:sz w:val="22"/>
            <w:szCs w:val="22"/>
            <w:rtl/>
          </w:rPr>
          <w:t xml:space="preserve"> </w:t>
        </w:r>
        <w:r w:rsidRPr="00EE7BEA">
          <w:rPr>
            <w:rStyle w:val="Hyperlink"/>
            <w:rFonts w:cs="FrankRuehl" w:hint="eastAsia"/>
            <w:sz w:val="22"/>
            <w:szCs w:val="22"/>
            <w:rtl/>
          </w:rPr>
          <w:t>מח</w:t>
        </w:r>
      </w:hyperlink>
      <w:r w:rsidRPr="00EE7BEA">
        <w:rPr>
          <w:rFonts w:cs="FrankRuehl" w:hint="cs"/>
          <w:sz w:val="22"/>
          <w:szCs w:val="22"/>
          <w:rtl/>
        </w:rPr>
        <w:t xml:space="preserve">(2) 1, 28 (1994)). </w:t>
      </w:r>
      <w:r w:rsidRPr="001C78B4">
        <w:rPr>
          <w:rFonts w:cs="FrankRuehl" w:hint="cs"/>
          <w:sz w:val="22"/>
          <w:szCs w:val="22"/>
          <w:highlight w:val="yellow"/>
          <w:rtl/>
        </w:rPr>
        <w:t>יתרה מכך: ככל שמדובר בחסימתם של אתרים קונקרטיים, דומה כי הפגיעה המרכזית היא דווקא בחופש העיסוק של מפעילי האתרים. לעניין זה כבר נפסק בערכאתנו כי מדובר בפגיעה שעומדת במבחנים החוקתיים</w:t>
      </w:r>
      <w:r w:rsidRPr="00EE7BEA">
        <w:rPr>
          <w:rFonts w:cs="FrankRuehl" w:hint="cs"/>
          <w:sz w:val="22"/>
          <w:szCs w:val="22"/>
          <w:rtl/>
        </w:rPr>
        <w:t xml:space="preserve"> (עניין תשעים הכדורים, בעמ' 815-814). חרף האמור לעיל, ועל אף שמוכן אני להניח כי היקפה של הפגיעה בחופש הביטוי במקרה זה מצומצם, מוצא אני לנכון להעיר כי ככלל שותף אני לגישתו הכללית של בית המשפט המחוזי, שלפיה כאשר עסקינן במטרייה רגישה של חסימת אתרי אינטרנט – יש לבחון בשבע עיניים את החשש לפגיעה בחופש הביטוי. </w:t>
      </w:r>
      <w:r w:rsidRPr="001C78B4">
        <w:rPr>
          <w:rFonts w:cs="FrankRuehl" w:hint="cs"/>
          <w:sz w:val="22"/>
          <w:szCs w:val="22"/>
          <w:highlight w:val="yellow"/>
          <w:rtl/>
        </w:rPr>
        <w:t>לעניין אתרי ההימורים – ולעניין זה בלבד – סבור אני, כאמור, כי הפגיעה בחופש הביטוי כתוצאה מחסימת התכנים החוקיים שהם חלק מאתרי ההימורים – הינה בעלת עצמה מוגבלת, אם בכלל. ואולם, ייתכן בהחלט כי בעתיד יבואו לפתחנו מקרים אחרים, שבהתייחס אליהם יהא טעם להרחיב בצורה ניכרת את היקף ההגנה הנפרשת על ביטויים הכלולים באתר זה או אחר. כל תחום – ומאפייניו שלו</w:t>
      </w:r>
      <w:r w:rsidRPr="00EE7BEA">
        <w:rPr>
          <w:rFonts w:cs="FrankRuehl" w:hint="cs"/>
          <w:sz w:val="22"/>
          <w:szCs w:val="22"/>
          <w:rtl/>
        </w:rPr>
        <w:t xml:space="preserve">. </w:t>
      </w:r>
    </w:p>
    <w:p w:rsidR="00241BC2" w:rsidRPr="00C04638" w:rsidRDefault="00241BC2" w:rsidP="00241BC2">
      <w:pPr>
        <w:spacing w:after="120"/>
        <w:rPr>
          <w:rFonts w:cs="FrankRuehl"/>
          <w:sz w:val="22"/>
          <w:szCs w:val="22"/>
          <w:rtl/>
        </w:rPr>
      </w:pPr>
      <w:r>
        <w:rPr>
          <w:rFonts w:cs="FrankRuehl" w:hint="cs"/>
          <w:sz w:val="22"/>
          <w:szCs w:val="22"/>
          <w:rtl/>
        </w:rPr>
        <w:t>11.</w:t>
      </w:r>
      <w:r>
        <w:rPr>
          <w:rFonts w:cs="FrankRuehl" w:hint="cs"/>
          <w:sz w:val="22"/>
          <w:szCs w:val="22"/>
          <w:rtl/>
        </w:rPr>
        <w:tab/>
      </w:r>
      <w:r w:rsidRPr="00C04638">
        <w:rPr>
          <w:rFonts w:cs="FrankRuehl" w:hint="cs"/>
          <w:sz w:val="22"/>
          <w:szCs w:val="22"/>
          <w:rtl/>
        </w:rPr>
        <w:t xml:space="preserve">בצד האמור, רגישות הסוגייה שבה עסקינן – חסימת אתרי אינטרנט – מוצאת בענייננו ביטוי נוסף, שעה שבית המשפט קמא מצא כי חסימת גישה לאתרי ההימורים הבלתי חוקיים עלולה לחסום את הגישה גם לאתרים "תמימים" שהצו לא כוון אליהם. </w:t>
      </w:r>
      <w:r w:rsidRPr="001C78B4">
        <w:rPr>
          <w:rFonts w:cs="FrankRuehl" w:hint="cs"/>
          <w:sz w:val="22"/>
          <w:szCs w:val="22"/>
          <w:highlight w:val="yellow"/>
          <w:rtl/>
        </w:rPr>
        <w:t xml:space="preserve">חסימה בלתי מכוונת זו עלולה להתרחש משום שעל שרת בעל אותה כתובת </w:t>
      </w:r>
      <w:r w:rsidRPr="001C78B4">
        <w:rPr>
          <w:rFonts w:cs="FrankRuehl"/>
          <w:sz w:val="22"/>
          <w:szCs w:val="22"/>
          <w:highlight w:val="yellow"/>
        </w:rPr>
        <w:t>IP</w:t>
      </w:r>
      <w:r w:rsidRPr="001C78B4">
        <w:rPr>
          <w:rFonts w:cs="FrankRuehl" w:hint="cs"/>
          <w:sz w:val="22"/>
          <w:szCs w:val="22"/>
          <w:highlight w:val="yellow"/>
          <w:rtl/>
        </w:rPr>
        <w:t xml:space="preserve"> יכולים לדור בצוותא מספר אתרים, שאינם קשורים האחד אל רעהו.</w:t>
      </w:r>
      <w:r w:rsidRPr="00C04638">
        <w:rPr>
          <w:rFonts w:cs="FrankRuehl" w:hint="cs"/>
          <w:sz w:val="22"/>
          <w:szCs w:val="22"/>
          <w:rtl/>
        </w:rPr>
        <w:t xml:space="preserve"> בנקודה זו הפנה בית המשפט קמא לעניין </w:t>
      </w:r>
      <w:r w:rsidRPr="00C04638">
        <w:rPr>
          <w:rFonts w:cs="FrankRuehl"/>
          <w:sz w:val="22"/>
          <w:szCs w:val="22"/>
        </w:rPr>
        <w:t xml:space="preserve">Center for Democracy &amp; Technology v. Pappert, </w:t>
      </w:r>
      <w:smartTag w:uri="urn:schemas-microsoft-com:office:smarttags" w:element="stockticker">
        <w:smartTagPr>
          <w:attr w:name="ProductID" w:val="337 F"/>
        </w:smartTagPr>
        <w:r w:rsidRPr="00C04638">
          <w:rPr>
            <w:rFonts w:cs="FrankRuehl"/>
            <w:sz w:val="22"/>
            <w:szCs w:val="22"/>
          </w:rPr>
          <w:t>337 F</w:t>
        </w:r>
      </w:smartTag>
      <w:r w:rsidRPr="00C04638">
        <w:rPr>
          <w:rFonts w:cs="FrankRuehl"/>
          <w:sz w:val="22"/>
          <w:szCs w:val="22"/>
        </w:rPr>
        <w:t>.Supp.2d 606 (E.D Penn. 2004)</w:t>
      </w:r>
      <w:r w:rsidRPr="00C04638">
        <w:rPr>
          <w:rFonts w:cs="FrankRuehl" w:hint="cs"/>
          <w:sz w:val="22"/>
          <w:szCs w:val="22"/>
          <w:rtl/>
        </w:rPr>
        <w:t>, שבו פסל בית משפט פדראלי בארצות הברית חוק המאפשר צנזור אתרי פדופיליה, בין היתר עקב סינונם של אתרים "תמימים". המערערים, מצידם, חולקים על קביעה זו. לדבריהם, מבחינה טכנולוגית, החשש מחסימת אתרים שאינם קשורים לביצוע ההימורים הוא זניח, שכן ספקיות הגישה נתבקשו לחסום אתרים על-פי הצירוף שבין כתובת ה-</w:t>
      </w:r>
      <w:r w:rsidRPr="00C04638">
        <w:rPr>
          <w:rFonts w:cs="FrankRuehl"/>
          <w:sz w:val="22"/>
          <w:szCs w:val="22"/>
        </w:rPr>
        <w:t>IP</w:t>
      </w:r>
      <w:r w:rsidRPr="00C04638">
        <w:rPr>
          <w:rFonts w:cs="FrankRuehl" w:hint="cs"/>
          <w:sz w:val="22"/>
          <w:szCs w:val="22"/>
          <w:rtl/>
        </w:rPr>
        <w:t xml:space="preserve"> לבין כתובת האתר (ה-</w:t>
      </w:r>
      <w:r w:rsidRPr="00C04638">
        <w:rPr>
          <w:rFonts w:cs="FrankRuehl"/>
          <w:sz w:val="22"/>
          <w:szCs w:val="22"/>
        </w:rPr>
        <w:t>URL</w:t>
      </w:r>
      <w:r w:rsidRPr="00C04638">
        <w:rPr>
          <w:rFonts w:cs="FrankRuehl" w:hint="cs"/>
          <w:sz w:val="22"/>
          <w:szCs w:val="22"/>
          <w:rtl/>
        </w:rPr>
        <w:t>). חיתוך זה שבין כתובת ה-</w:t>
      </w:r>
      <w:r w:rsidRPr="00C04638">
        <w:rPr>
          <w:rFonts w:cs="FrankRuehl"/>
          <w:sz w:val="22"/>
          <w:szCs w:val="22"/>
        </w:rPr>
        <w:t>IP</w:t>
      </w:r>
      <w:r w:rsidRPr="00C04638">
        <w:rPr>
          <w:rFonts w:cs="FrankRuehl" w:hint="cs"/>
          <w:sz w:val="22"/>
          <w:szCs w:val="22"/>
          <w:rtl/>
        </w:rPr>
        <w:t xml:space="preserve"> לכתובת ה-</w:t>
      </w:r>
      <w:r w:rsidRPr="00C04638">
        <w:rPr>
          <w:rFonts w:cs="FrankRuehl"/>
          <w:sz w:val="22"/>
          <w:szCs w:val="22"/>
        </w:rPr>
        <w:t>URL</w:t>
      </w:r>
      <w:r w:rsidRPr="00C04638">
        <w:rPr>
          <w:rFonts w:cs="FrankRuehl" w:hint="cs"/>
          <w:sz w:val="22"/>
          <w:szCs w:val="22"/>
          <w:rtl/>
        </w:rPr>
        <w:t xml:space="preserve">, כך נטען, ממזער עד מאוד את החשש מפני חסימת אתרים תמימים. נדמה כי נקודה זו לא הובהרה עד תומה, שכן גם לאחר עיון בכתבי הטענות שהוגשו לבית המשפט קמא, </w:t>
      </w:r>
      <w:r w:rsidRPr="001C78B4">
        <w:rPr>
          <w:rFonts w:cs="FrankRuehl" w:hint="cs"/>
          <w:sz w:val="22"/>
          <w:szCs w:val="22"/>
          <w:highlight w:val="yellow"/>
          <w:rtl/>
        </w:rPr>
        <w:t>אין זה ברור אם מבחינה טכנולוגית אמנם ניתן לבצע חסימה "ממוקדת" של אתרי ההימורים – כטענת המערערים – או שמא, מבחינה טכנולוגית, מערים הדבר קשיים. אם אכן ישנו חשש לחסימת אתרים "תמימים", ברי כי תהא זו פגיעה חמורה בחופש הביטוי ובזכות הגישה למידע – פגיעה שלגביה תידרש הסמכה מפורשת בחוק וכן עמידה בתנאי פסקת ההגבלה</w:t>
      </w:r>
      <w:r w:rsidRPr="00C04638">
        <w:rPr>
          <w:rFonts w:cs="FrankRuehl" w:hint="cs"/>
          <w:sz w:val="22"/>
          <w:szCs w:val="22"/>
          <w:rtl/>
        </w:rPr>
        <w:t xml:space="preserve">. </w:t>
      </w:r>
    </w:p>
    <w:p w:rsidR="00241BC2" w:rsidRPr="00C04638" w:rsidRDefault="00241BC2" w:rsidP="00241BC2">
      <w:pPr>
        <w:spacing w:after="120"/>
        <w:rPr>
          <w:rFonts w:cs="FrankRuehl"/>
          <w:sz w:val="22"/>
          <w:szCs w:val="22"/>
          <w:rtl/>
        </w:rPr>
      </w:pPr>
      <w:r>
        <w:rPr>
          <w:rFonts w:cs="FrankRuehl" w:hint="cs"/>
          <w:sz w:val="22"/>
          <w:szCs w:val="22"/>
          <w:rtl/>
        </w:rPr>
        <w:t>12.</w:t>
      </w:r>
      <w:r>
        <w:rPr>
          <w:rFonts w:cs="FrankRuehl" w:hint="cs"/>
          <w:sz w:val="22"/>
          <w:szCs w:val="22"/>
          <w:rtl/>
        </w:rPr>
        <w:tab/>
      </w:r>
      <w:r w:rsidRPr="00C04638">
        <w:rPr>
          <w:rFonts w:cs="FrankRuehl" w:hint="cs"/>
          <w:sz w:val="22"/>
          <w:szCs w:val="22"/>
          <w:rtl/>
        </w:rPr>
        <w:t xml:space="preserve">אילו שאלת חסימת האתרים ה"תמימים" היתה הקושי היחיד המתעורר בענייננו, ייתכן שהיה מקום להחזיר את הדיון לבית המשפט קמא לשם בירור מעמיק של סוגיה זו. </w:t>
      </w:r>
      <w:r w:rsidRPr="001C78B4">
        <w:rPr>
          <w:rFonts w:cs="FrankRuehl" w:hint="cs"/>
          <w:sz w:val="22"/>
          <w:szCs w:val="22"/>
          <w:highlight w:val="yellow"/>
          <w:rtl/>
        </w:rPr>
        <w:t>דא עקא, שהמכשלה המרכזית העומדת לפני המערערים היא בעלת היבט עקרוני, שאין לו זיקה לשאלה האחרונה, הלא הוא השימוש בצד ג' לצורך הפעלת הסמכות, ללא הסמכה מפורשת בחוק. להשקפתי, לא ניתן להיתלות בסעיף 229 לחוק לצורך הוצאתה לפועל של הסמכות על דרך מתן צו המכוון לצד ג' – ספקיות הגישה לאינטרנט.</w:t>
      </w:r>
      <w:r w:rsidRPr="00C04638">
        <w:rPr>
          <w:rFonts w:cs="FrankRuehl" w:hint="cs"/>
          <w:sz w:val="22"/>
          <w:szCs w:val="22"/>
          <w:rtl/>
        </w:rPr>
        <w:t xml:space="preserve"> אף חברי, השופט נ' סולברג, מצא בהקשר זה כי הגבלת הגישה לאתרי ההימורים באמצעות צד שלישי מעלה קשיים, אך לשיטתו – קשיים אלה אינם שוללים את הסמכות לעשות כן. דעתי שונה. ואבהיר את טעמיי.</w:t>
      </w:r>
    </w:p>
    <w:p w:rsidR="00241BC2" w:rsidRPr="00C04638" w:rsidRDefault="00241BC2" w:rsidP="00241BC2">
      <w:pPr>
        <w:spacing w:after="120"/>
        <w:rPr>
          <w:rFonts w:cs="FrankRuehl"/>
          <w:sz w:val="22"/>
          <w:szCs w:val="22"/>
          <w:rtl/>
        </w:rPr>
      </w:pPr>
      <w:r>
        <w:rPr>
          <w:rFonts w:cs="FrankRuehl" w:hint="cs"/>
          <w:sz w:val="22"/>
          <w:szCs w:val="22"/>
          <w:rtl/>
        </w:rPr>
        <w:t>13.</w:t>
      </w:r>
      <w:r>
        <w:rPr>
          <w:rFonts w:cs="FrankRuehl" w:hint="cs"/>
          <w:sz w:val="22"/>
          <w:szCs w:val="22"/>
          <w:rtl/>
        </w:rPr>
        <w:tab/>
      </w:r>
      <w:r w:rsidRPr="00C04638">
        <w:rPr>
          <w:rFonts w:cs="FrankRuehl" w:hint="cs"/>
          <w:sz w:val="22"/>
          <w:szCs w:val="22"/>
          <w:rtl/>
        </w:rPr>
        <w:t xml:space="preserve">ענייננו במפקד מחוז במשטרה, אשר הוציא צווים המורים לספקיות הגישה לאינטרנט לחסום אתרי הימורים. אלה "צווים אישיים", היינו: צווים המופנים לאדם או לגוף מסוים, המטילים עליו איסור או חיוב. זהו כלל התנהגות פרטני. צו כזה, כמו כל החלטה מינהלית, צריך אסמכתה בחוק (זמיר, בעמ' 284). השאלה היא, אפוא, האם מפקד המחוז מוסמך לצוות על הספקיות – שהן גוף פרטי אשר אין כלפיו טענה כי עבר בעצמו עבירה – לנקוט פעולות שונות עבור משטרת ישראל, </w:t>
      </w:r>
      <w:r w:rsidRPr="001C78B4">
        <w:rPr>
          <w:rFonts w:cs="FrankRuehl" w:hint="cs"/>
          <w:sz w:val="22"/>
          <w:szCs w:val="22"/>
          <w:highlight w:val="yellow"/>
          <w:rtl/>
        </w:rPr>
        <w:t>ולשמש בפועל כידה הארוכה</w:t>
      </w:r>
      <w:r w:rsidRPr="00C04638">
        <w:rPr>
          <w:rFonts w:cs="FrankRuehl" w:hint="cs"/>
          <w:sz w:val="22"/>
          <w:szCs w:val="22"/>
          <w:rtl/>
        </w:rPr>
        <w:t>. סמכות זו, כך נטען, מצויה בסעיף 229 ל</w:t>
      </w:r>
      <w:hyperlink r:id="rId341" w:history="1">
        <w:r w:rsidRPr="00C04638">
          <w:rPr>
            <w:rStyle w:val="Hyperlink"/>
            <w:rFonts w:cs="FrankRuehl" w:hint="eastAsia"/>
            <w:sz w:val="22"/>
            <w:szCs w:val="22"/>
            <w:rtl/>
          </w:rPr>
          <w:t>חוק</w:t>
        </w:r>
        <w:r w:rsidRPr="00C04638">
          <w:rPr>
            <w:rStyle w:val="Hyperlink"/>
            <w:rFonts w:cs="FrankRuehl"/>
            <w:sz w:val="22"/>
            <w:szCs w:val="22"/>
            <w:rtl/>
          </w:rPr>
          <w:t xml:space="preserve"> </w:t>
        </w:r>
        <w:r w:rsidRPr="00C04638">
          <w:rPr>
            <w:rStyle w:val="Hyperlink"/>
            <w:rFonts w:cs="FrankRuehl" w:hint="eastAsia"/>
            <w:sz w:val="22"/>
            <w:szCs w:val="22"/>
            <w:rtl/>
          </w:rPr>
          <w:t>העונשין</w:t>
        </w:r>
      </w:hyperlink>
      <w:r w:rsidRPr="00C04638">
        <w:rPr>
          <w:rFonts w:cs="FrankRuehl" w:hint="cs"/>
          <w:sz w:val="22"/>
          <w:szCs w:val="22"/>
          <w:rtl/>
        </w:rPr>
        <w:t>, שמכוחו יכול מפקד המחוז להורות על "סגירת" מקומות שבהם מתנהלים הימורים. מקובל עלי כאמור כי אם יעלה בידן של רשויות אכיפת החוק להביא לסגירתם של אתרים אשר ניתן לבצע בהם הימורים שאינם חוקיים על-פי הדין הישראלי (למשל, באמצעות ניתוק האתר מחיבורו לאינטרנט או השבתת פעולת השרת) – לא יהא בכך פגם במישור הסמכות. עם זאת, בענייננו, לא "נסגרו" בפועל האתרים. במקרה שלפנינו, מפקדי המחוזות במשטרה הורו כי צדדים שלישיים – ספקיות הגישה לאינטרנט – יחסמו את הגישה לאותם אתרים. גדר הספקות הוא, אפוא, האם די בהסמכה שבסעיף 229 לחוק לשם כך.</w:t>
      </w:r>
    </w:p>
    <w:p w:rsidR="00241BC2" w:rsidRPr="00C04638" w:rsidRDefault="00241BC2" w:rsidP="00241BC2">
      <w:pPr>
        <w:spacing w:after="120"/>
        <w:rPr>
          <w:rFonts w:cs="FrankRuehl"/>
          <w:sz w:val="22"/>
          <w:szCs w:val="22"/>
          <w:rtl/>
        </w:rPr>
      </w:pPr>
      <w:r>
        <w:rPr>
          <w:rFonts w:cs="FrankRuehl" w:hint="cs"/>
          <w:sz w:val="22"/>
          <w:szCs w:val="22"/>
          <w:rtl/>
        </w:rPr>
        <w:t>14.</w:t>
      </w:r>
      <w:r>
        <w:rPr>
          <w:rFonts w:cs="FrankRuehl" w:hint="cs"/>
          <w:sz w:val="22"/>
          <w:szCs w:val="22"/>
          <w:rtl/>
        </w:rPr>
        <w:tab/>
      </w:r>
      <w:r w:rsidRPr="001C78B4">
        <w:rPr>
          <w:rFonts w:cs="FrankRuehl" w:hint="cs"/>
          <w:sz w:val="22"/>
          <w:szCs w:val="22"/>
          <w:highlight w:val="yellow"/>
          <w:rtl/>
        </w:rPr>
        <w:t>כאשר החוק מעניק לרשות השלטונית סמכות, הלכה פסוקה היא כי הרשות חייבת להפעיל את הסמכות בעצמה. כאשר המחוקק מייחד את הסמכות לנושא משרה שלטונית, חזקה עליו שהוא מבקש כי נושא משרה זה – הוא ולא אחר – יגשימה (</w:t>
      </w:r>
      <w:hyperlink r:id="rId342" w:history="1">
        <w:r w:rsidRPr="001C78B4">
          <w:rPr>
            <w:rStyle w:val="Hyperlink"/>
            <w:rFonts w:cs="FrankRuehl" w:hint="eastAsia"/>
            <w:sz w:val="22"/>
            <w:szCs w:val="22"/>
            <w:rtl/>
          </w:rPr>
          <w:t>בג</w:t>
        </w:r>
        <w:r w:rsidRPr="001C78B4">
          <w:rPr>
            <w:rStyle w:val="Hyperlink"/>
            <w:rFonts w:cs="FrankRuehl"/>
            <w:sz w:val="22"/>
            <w:szCs w:val="22"/>
            <w:rtl/>
          </w:rPr>
          <w:t>"</w:t>
        </w:r>
        <w:r w:rsidRPr="001C78B4">
          <w:rPr>
            <w:rStyle w:val="Hyperlink"/>
            <w:rFonts w:cs="FrankRuehl" w:hint="eastAsia"/>
            <w:sz w:val="22"/>
            <w:szCs w:val="22"/>
            <w:rtl/>
          </w:rPr>
          <w:t>ץ</w:t>
        </w:r>
        <w:r w:rsidRPr="001C78B4">
          <w:rPr>
            <w:rStyle w:val="Hyperlink"/>
            <w:rFonts w:cs="FrankRuehl"/>
            <w:sz w:val="22"/>
            <w:szCs w:val="22"/>
            <w:rtl/>
          </w:rPr>
          <w:t xml:space="preserve"> 2303/90 </w:t>
        </w:r>
        <w:r w:rsidRPr="001C78B4">
          <w:rPr>
            <w:rStyle w:val="Hyperlink"/>
            <w:rFonts w:cs="FrankRuehl" w:hint="eastAsia"/>
            <w:sz w:val="22"/>
            <w:szCs w:val="22"/>
            <w:rtl/>
          </w:rPr>
          <w:t>פיליפוביץ</w:t>
        </w:r>
        <w:r w:rsidRPr="001C78B4">
          <w:rPr>
            <w:rStyle w:val="Hyperlink"/>
            <w:rFonts w:cs="FrankRuehl"/>
            <w:sz w:val="22"/>
            <w:szCs w:val="22"/>
            <w:rtl/>
          </w:rPr>
          <w:t xml:space="preserve"> </w:t>
        </w:r>
        <w:r w:rsidRPr="001C78B4">
          <w:rPr>
            <w:rStyle w:val="Hyperlink"/>
            <w:rFonts w:cs="FrankRuehl" w:hint="eastAsia"/>
            <w:sz w:val="22"/>
            <w:szCs w:val="22"/>
            <w:rtl/>
          </w:rPr>
          <w:t>נ</w:t>
        </w:r>
        <w:r w:rsidRPr="001C78B4">
          <w:rPr>
            <w:rStyle w:val="Hyperlink"/>
            <w:rFonts w:cs="FrankRuehl"/>
            <w:sz w:val="22"/>
            <w:szCs w:val="22"/>
            <w:rtl/>
          </w:rPr>
          <w:t xml:space="preserve">' </w:t>
        </w:r>
        <w:r w:rsidRPr="001C78B4">
          <w:rPr>
            <w:rStyle w:val="Hyperlink"/>
            <w:rFonts w:cs="FrankRuehl" w:hint="eastAsia"/>
            <w:sz w:val="22"/>
            <w:szCs w:val="22"/>
            <w:rtl/>
          </w:rPr>
          <w:t>רשם</w:t>
        </w:r>
        <w:r w:rsidRPr="001C78B4">
          <w:rPr>
            <w:rStyle w:val="Hyperlink"/>
            <w:rFonts w:cs="FrankRuehl"/>
            <w:sz w:val="22"/>
            <w:szCs w:val="22"/>
            <w:rtl/>
          </w:rPr>
          <w:t xml:space="preserve"> </w:t>
        </w:r>
        <w:r w:rsidRPr="001C78B4">
          <w:rPr>
            <w:rStyle w:val="Hyperlink"/>
            <w:rFonts w:cs="FrankRuehl" w:hint="eastAsia"/>
            <w:sz w:val="22"/>
            <w:szCs w:val="22"/>
            <w:rtl/>
          </w:rPr>
          <w:t>החברות</w:t>
        </w:r>
        <w:r w:rsidRPr="001C78B4">
          <w:rPr>
            <w:rStyle w:val="Hyperlink"/>
            <w:rFonts w:cs="FrankRuehl"/>
            <w:sz w:val="22"/>
            <w:szCs w:val="22"/>
            <w:rtl/>
          </w:rPr>
          <w:t xml:space="preserve">, </w:t>
        </w:r>
        <w:r w:rsidRPr="001C78B4">
          <w:rPr>
            <w:rStyle w:val="Hyperlink"/>
            <w:rFonts w:cs="FrankRuehl" w:hint="eastAsia"/>
            <w:sz w:val="22"/>
            <w:szCs w:val="22"/>
            <w:rtl/>
          </w:rPr>
          <w:t>פ</w:t>
        </w:r>
        <w:r w:rsidRPr="001C78B4">
          <w:rPr>
            <w:rStyle w:val="Hyperlink"/>
            <w:rFonts w:cs="FrankRuehl"/>
            <w:sz w:val="22"/>
            <w:szCs w:val="22"/>
            <w:rtl/>
          </w:rPr>
          <w:t>"</w:t>
        </w:r>
        <w:r w:rsidRPr="001C78B4">
          <w:rPr>
            <w:rStyle w:val="Hyperlink"/>
            <w:rFonts w:cs="FrankRuehl" w:hint="eastAsia"/>
            <w:sz w:val="22"/>
            <w:szCs w:val="22"/>
            <w:rtl/>
          </w:rPr>
          <w:t>ד</w:t>
        </w:r>
        <w:r w:rsidRPr="001C78B4">
          <w:rPr>
            <w:rStyle w:val="Hyperlink"/>
            <w:rFonts w:cs="FrankRuehl"/>
            <w:sz w:val="22"/>
            <w:szCs w:val="22"/>
            <w:rtl/>
          </w:rPr>
          <w:t xml:space="preserve"> </w:t>
        </w:r>
        <w:r w:rsidRPr="001C78B4">
          <w:rPr>
            <w:rStyle w:val="Hyperlink"/>
            <w:rFonts w:cs="FrankRuehl" w:hint="eastAsia"/>
            <w:sz w:val="22"/>
            <w:szCs w:val="22"/>
            <w:rtl/>
          </w:rPr>
          <w:t>מו</w:t>
        </w:r>
      </w:hyperlink>
      <w:r w:rsidRPr="001C78B4">
        <w:rPr>
          <w:rFonts w:cs="FrankRuehl" w:hint="cs"/>
          <w:sz w:val="22"/>
          <w:szCs w:val="22"/>
          <w:highlight w:val="yellow"/>
          <w:rtl/>
        </w:rPr>
        <w:t xml:space="preserve">(1) 410, 420 (1992) (להלן: עניין פיליפוביץ); ראו עוד: דפנה ברק-ארז משפט מינהלי 179-178 (2010) (להלן: </w:t>
      </w:r>
      <w:bookmarkStart w:id="59" w:name="test2"/>
      <w:bookmarkEnd w:id="59"/>
      <w:r w:rsidRPr="001C78B4">
        <w:rPr>
          <w:rFonts w:cs="FrankRuehl" w:hint="cs"/>
          <w:sz w:val="22"/>
          <w:szCs w:val="22"/>
          <w:highlight w:val="yellow"/>
          <w:rtl/>
        </w:rPr>
        <w:t xml:space="preserve">ברק-ארז)). דברים אלו נכונים במיוחד לעניין משימת האכיפה הפלילית. </w:t>
      </w:r>
      <w:r w:rsidRPr="00021FB4">
        <w:rPr>
          <w:rFonts w:cs="FrankRuehl" w:hint="cs"/>
          <w:sz w:val="22"/>
          <w:szCs w:val="22"/>
          <w:rtl/>
        </w:rPr>
        <w:t>לא ניתן – בהיעדר הסדר חקיקתי מתאים – להעניק סמכויות אכיפה למי שאיננו חלק ממערך האכיפה. סמכות האכיפה הפלילית היא מן הסמכויות המובהקות של המדינה</w:t>
      </w:r>
      <w:r w:rsidRPr="001C78B4">
        <w:rPr>
          <w:rFonts w:cs="FrankRuehl" w:hint="cs"/>
          <w:sz w:val="22"/>
          <w:szCs w:val="22"/>
          <w:highlight w:val="yellow"/>
          <w:rtl/>
        </w:rPr>
        <w:t>. בגדרי סמכות זו, המדינה מגשימה את אחריותה לאכיפת החוק הפלילי על-ידי כך שהיא מבצעת בעצמה את תפקיד האכיפה הפלילית. המדינה היא אף זו שמפעילה את כוח המרות השלטוני כלפי הפרט בהליך הפלילי. משכך, המדינה – כמי שגיבשה את נורמות ההתנהגות וכמי שמופקדת על אכיפתן – היא הגורם האחראי באופן ישיר על הריסון ועל המעצורים הנדרשים בהפעלת הכוח. היא הגורם שאמור לתת דין וחשבון לציבור על אופן ביצוע סמכויותיה בהליך הפלילי</w:t>
      </w:r>
      <w:r w:rsidRPr="00C04638">
        <w:rPr>
          <w:rFonts w:cs="FrankRuehl" w:hint="cs"/>
          <w:sz w:val="22"/>
          <w:szCs w:val="22"/>
          <w:rtl/>
        </w:rPr>
        <w:t xml:space="preserve"> (</w:t>
      </w:r>
      <w:hyperlink r:id="rId343" w:history="1">
        <w:r w:rsidRPr="00C04638">
          <w:rPr>
            <w:rStyle w:val="Hyperlink"/>
            <w:rFonts w:cs="FrankRuehl" w:hint="eastAsia"/>
            <w:sz w:val="22"/>
            <w:szCs w:val="22"/>
            <w:rtl/>
          </w:rPr>
          <w:t>בג</w:t>
        </w:r>
        <w:r w:rsidRPr="00C04638">
          <w:rPr>
            <w:rStyle w:val="Hyperlink"/>
            <w:rFonts w:cs="FrankRuehl"/>
            <w:sz w:val="22"/>
            <w:szCs w:val="22"/>
            <w:rtl/>
          </w:rPr>
          <w:t>"</w:t>
        </w:r>
        <w:r w:rsidRPr="00C04638">
          <w:rPr>
            <w:rStyle w:val="Hyperlink"/>
            <w:rFonts w:cs="FrankRuehl" w:hint="eastAsia"/>
            <w:sz w:val="22"/>
            <w:szCs w:val="22"/>
            <w:rtl/>
          </w:rPr>
          <w:t>ץ</w:t>
        </w:r>
        <w:r w:rsidRPr="00C04638">
          <w:rPr>
            <w:rStyle w:val="Hyperlink"/>
            <w:rFonts w:cs="FrankRuehl"/>
            <w:sz w:val="22"/>
            <w:szCs w:val="22"/>
            <w:rtl/>
          </w:rPr>
          <w:t xml:space="preserve"> 2605/05</w:t>
        </w:r>
      </w:hyperlink>
      <w:r w:rsidRPr="00C04638">
        <w:rPr>
          <w:rFonts w:cs="FrankRuehl" w:hint="cs"/>
          <w:sz w:val="22"/>
          <w:szCs w:val="22"/>
          <w:rtl/>
        </w:rPr>
        <w:t xml:space="preserve"> המרכז האקדמי למשפט ולעסקים נ' שר האוצר, </w:t>
      </w:r>
      <w:r w:rsidRPr="00C04638">
        <w:rPr>
          <w:rFonts w:cs="FrankRuehl"/>
          <w:sz w:val="22"/>
          <w:szCs w:val="22"/>
          <w:rtl/>
        </w:rPr>
        <w:t>[</w:t>
      </w:r>
      <w:r w:rsidRPr="00C04638">
        <w:rPr>
          <w:rFonts w:cs="FrankRuehl" w:hint="eastAsia"/>
          <w:sz w:val="22"/>
          <w:szCs w:val="22"/>
          <w:rtl/>
        </w:rPr>
        <w:t>פורסם</w:t>
      </w:r>
      <w:r w:rsidRPr="00C04638">
        <w:rPr>
          <w:rFonts w:cs="FrankRuehl"/>
          <w:sz w:val="22"/>
          <w:szCs w:val="22"/>
          <w:rtl/>
        </w:rPr>
        <w:t xml:space="preserve"> </w:t>
      </w:r>
      <w:r w:rsidRPr="00C04638">
        <w:rPr>
          <w:rFonts w:cs="FrankRuehl" w:hint="eastAsia"/>
          <w:sz w:val="22"/>
          <w:szCs w:val="22"/>
          <w:rtl/>
        </w:rPr>
        <w:t>בנבו</w:t>
      </w:r>
      <w:r w:rsidRPr="00C04638">
        <w:rPr>
          <w:rFonts w:cs="FrankRuehl"/>
          <w:sz w:val="22"/>
          <w:szCs w:val="22"/>
          <w:rtl/>
        </w:rPr>
        <w:t xml:space="preserve">] </w:t>
      </w:r>
      <w:r w:rsidRPr="00C04638">
        <w:rPr>
          <w:rFonts w:cs="FrankRuehl" w:hint="cs"/>
          <w:sz w:val="22"/>
          <w:szCs w:val="22"/>
          <w:rtl/>
        </w:rPr>
        <w:t>פסקה 28 לפסק דינה של הנשיאה ד' ביניש ופסקה 14 לפסק דינה של השופטת א' פרוקצ'יה (19.11.2009)).</w:t>
      </w:r>
    </w:p>
    <w:p w:rsidR="00241BC2" w:rsidRPr="00C04638" w:rsidRDefault="00241BC2" w:rsidP="00241BC2">
      <w:pPr>
        <w:spacing w:after="120"/>
        <w:rPr>
          <w:rFonts w:cs="FrankRuehl"/>
          <w:sz w:val="22"/>
          <w:szCs w:val="22"/>
        </w:rPr>
      </w:pPr>
      <w:r>
        <w:rPr>
          <w:rFonts w:cs="FrankRuehl" w:hint="cs"/>
          <w:sz w:val="22"/>
          <w:szCs w:val="22"/>
          <w:rtl/>
        </w:rPr>
        <w:t>15.</w:t>
      </w:r>
      <w:r>
        <w:rPr>
          <w:rFonts w:cs="FrankRuehl" w:hint="cs"/>
          <w:sz w:val="22"/>
          <w:szCs w:val="22"/>
          <w:rtl/>
        </w:rPr>
        <w:tab/>
      </w:r>
      <w:r w:rsidRPr="00EE7BEA">
        <w:rPr>
          <w:rFonts w:cs="FrankRuehl" w:hint="cs"/>
          <w:sz w:val="22"/>
          <w:szCs w:val="22"/>
          <w:highlight w:val="yellow"/>
          <w:rtl/>
        </w:rPr>
        <w:t>בניסיון להתבסס על סעיף 229 ל</w:t>
      </w:r>
      <w:hyperlink r:id="rId344" w:history="1">
        <w:r w:rsidRPr="00EE7BEA">
          <w:rPr>
            <w:rStyle w:val="Hyperlink"/>
            <w:rFonts w:cs="FrankRuehl" w:hint="eastAsia"/>
            <w:sz w:val="22"/>
            <w:szCs w:val="22"/>
            <w:rtl/>
          </w:rPr>
          <w:t>חוק</w:t>
        </w:r>
        <w:r w:rsidRPr="00EE7BEA">
          <w:rPr>
            <w:rStyle w:val="Hyperlink"/>
            <w:rFonts w:cs="FrankRuehl"/>
            <w:sz w:val="22"/>
            <w:szCs w:val="22"/>
            <w:rtl/>
          </w:rPr>
          <w:t xml:space="preserve"> </w:t>
        </w:r>
        <w:r w:rsidRPr="00EE7BEA">
          <w:rPr>
            <w:rStyle w:val="Hyperlink"/>
            <w:rFonts w:cs="FrankRuehl" w:hint="eastAsia"/>
            <w:sz w:val="22"/>
            <w:szCs w:val="22"/>
            <w:rtl/>
          </w:rPr>
          <w:t>העונשין</w:t>
        </w:r>
      </w:hyperlink>
      <w:r w:rsidRPr="00EE7BEA">
        <w:rPr>
          <w:rFonts w:cs="FrankRuehl" w:hint="cs"/>
          <w:sz w:val="22"/>
          <w:szCs w:val="22"/>
          <w:highlight w:val="yellow"/>
          <w:rtl/>
        </w:rPr>
        <w:t xml:space="preserve"> כמקור הסמכות בענייננו, מכוונת המדינה לטענה כי היא מוציאה לפועל בעצמה את הסמכות, וכי גיוסן של ספקיות הגישה לאינטרנט לשם חסימת אתרי ההימורים נופלת בגדר הפעלת </w:t>
      </w:r>
      <w:r w:rsidRPr="00021FB4">
        <w:rPr>
          <w:rFonts w:cs="FrankRuehl" w:hint="cs"/>
          <w:sz w:val="22"/>
          <w:szCs w:val="22"/>
          <w:rtl/>
        </w:rPr>
        <w:t xml:space="preserve">סמכות העזר </w:t>
      </w:r>
      <w:r w:rsidRPr="00EE7BEA">
        <w:rPr>
          <w:rFonts w:cs="FrankRuehl" w:hint="cs"/>
          <w:sz w:val="22"/>
          <w:szCs w:val="22"/>
          <w:highlight w:val="yellow"/>
          <w:rtl/>
        </w:rPr>
        <w:t>המוקנית לרשות המינהלית לצורך ביצוע תפקידה</w:t>
      </w:r>
      <w:r w:rsidRPr="00C04638">
        <w:rPr>
          <w:rFonts w:cs="FrankRuehl" w:hint="cs"/>
          <w:sz w:val="22"/>
          <w:szCs w:val="22"/>
          <w:rtl/>
        </w:rPr>
        <w:t xml:space="preserve"> (סעיף 17 ל</w:t>
      </w:r>
      <w:hyperlink r:id="rId345" w:history="1">
        <w:r w:rsidRPr="00C04638">
          <w:rPr>
            <w:rStyle w:val="Hyperlink"/>
            <w:rFonts w:cs="FrankRuehl" w:hint="eastAsia"/>
            <w:sz w:val="22"/>
            <w:szCs w:val="22"/>
            <w:rtl/>
          </w:rPr>
          <w:t>חוק</w:t>
        </w:r>
        <w:r w:rsidRPr="00C04638">
          <w:rPr>
            <w:rStyle w:val="Hyperlink"/>
            <w:rFonts w:cs="FrankRuehl"/>
            <w:sz w:val="22"/>
            <w:szCs w:val="22"/>
            <w:rtl/>
          </w:rPr>
          <w:t xml:space="preserve"> </w:t>
        </w:r>
        <w:r w:rsidRPr="00C04638">
          <w:rPr>
            <w:rStyle w:val="Hyperlink"/>
            <w:rFonts w:cs="FrankRuehl" w:hint="eastAsia"/>
            <w:sz w:val="22"/>
            <w:szCs w:val="22"/>
            <w:rtl/>
          </w:rPr>
          <w:t>הפרשנות</w:t>
        </w:r>
      </w:hyperlink>
      <w:r w:rsidRPr="00C04638">
        <w:rPr>
          <w:rFonts w:cs="FrankRuehl" w:hint="cs"/>
          <w:sz w:val="22"/>
          <w:szCs w:val="22"/>
          <w:rtl/>
        </w:rPr>
        <w:t xml:space="preserve">, התשמ"א-1981), ותו לא. פרשנות זו אין בידי לקבל. </w:t>
      </w:r>
      <w:r w:rsidRPr="00EE7BEA">
        <w:rPr>
          <w:rFonts w:cs="FrankRuehl" w:hint="cs"/>
          <w:sz w:val="22"/>
          <w:szCs w:val="22"/>
          <w:highlight w:val="yellow"/>
          <w:rtl/>
        </w:rPr>
        <w:t>כידוע, יש להבחין בין אצילת סמכות, הכוללת את הפעלת שיקול הדעת בנוגע לסמכות – לבין היעזרות בעניינים טכניים הקשורים להפעלת הסמכות</w:t>
      </w:r>
      <w:r w:rsidRPr="00C04638">
        <w:rPr>
          <w:rFonts w:cs="FrankRuehl" w:hint="cs"/>
          <w:sz w:val="22"/>
          <w:szCs w:val="22"/>
          <w:rtl/>
        </w:rPr>
        <w:t xml:space="preserve"> (עניין פיליפוביץ, בעמ' 424). בעוד שהיעזרות הרשות בגורמים פרטיים בהתייחס להיבטים הטכניים של מילוי תפקידן מותרת ככלל, הרי שקיימת חזקה פרשנית כנגד אצילת סמכויות לגורמים פרטיים (</w:t>
      </w:r>
      <w:hyperlink r:id="rId346" w:history="1">
        <w:r w:rsidRPr="00C04638">
          <w:rPr>
            <w:rStyle w:val="Hyperlink"/>
            <w:rFonts w:cs="FrankRuehl" w:hint="eastAsia"/>
            <w:sz w:val="22"/>
            <w:szCs w:val="22"/>
            <w:rtl/>
          </w:rPr>
          <w:t>עע</w:t>
        </w:r>
        <w:r w:rsidRPr="00C04638">
          <w:rPr>
            <w:rStyle w:val="Hyperlink"/>
            <w:rFonts w:cs="FrankRuehl"/>
            <w:sz w:val="22"/>
            <w:szCs w:val="22"/>
            <w:rtl/>
          </w:rPr>
          <w:t>"</w:t>
        </w:r>
        <w:r w:rsidRPr="00C04638">
          <w:rPr>
            <w:rStyle w:val="Hyperlink"/>
            <w:rFonts w:cs="FrankRuehl" w:hint="eastAsia"/>
            <w:sz w:val="22"/>
            <w:szCs w:val="22"/>
            <w:rtl/>
          </w:rPr>
          <w:t>ם</w:t>
        </w:r>
        <w:r w:rsidRPr="00C04638">
          <w:rPr>
            <w:rStyle w:val="Hyperlink"/>
            <w:rFonts w:cs="FrankRuehl"/>
            <w:sz w:val="22"/>
            <w:szCs w:val="22"/>
            <w:rtl/>
          </w:rPr>
          <w:t xml:space="preserve"> 6848/10</w:t>
        </w:r>
      </w:hyperlink>
      <w:r w:rsidRPr="00C04638">
        <w:rPr>
          <w:rFonts w:cs="FrankRuehl" w:hint="cs"/>
          <w:sz w:val="22"/>
          <w:szCs w:val="22"/>
          <w:rtl/>
        </w:rPr>
        <w:t xml:space="preserve"> ארז נ' עיריית גבעתיים, </w:t>
      </w:r>
      <w:r w:rsidRPr="00C04638">
        <w:rPr>
          <w:rFonts w:cs="FrankRuehl"/>
          <w:sz w:val="22"/>
          <w:szCs w:val="22"/>
          <w:rtl/>
        </w:rPr>
        <w:t>[פורסם בנבו]</w:t>
      </w:r>
      <w:r w:rsidRPr="00C04638">
        <w:rPr>
          <w:rFonts w:cs="FrankRuehl" w:hint="cs"/>
          <w:sz w:val="22"/>
          <w:szCs w:val="22"/>
          <w:rtl/>
        </w:rPr>
        <w:t xml:space="preserve">, פסקה 18 (30.5.2012); </w:t>
      </w:r>
      <w:hyperlink r:id="rId347" w:history="1">
        <w:r w:rsidRPr="00C04638">
          <w:rPr>
            <w:rStyle w:val="Hyperlink"/>
            <w:rFonts w:cs="FrankRuehl" w:hint="eastAsia"/>
            <w:sz w:val="22"/>
            <w:szCs w:val="22"/>
            <w:rtl/>
          </w:rPr>
          <w:t>בג</w:t>
        </w:r>
        <w:r w:rsidRPr="00C04638">
          <w:rPr>
            <w:rStyle w:val="Hyperlink"/>
            <w:rFonts w:cs="FrankRuehl"/>
            <w:sz w:val="22"/>
            <w:szCs w:val="22"/>
            <w:rtl/>
          </w:rPr>
          <w:t>"</w:t>
        </w:r>
        <w:r w:rsidRPr="00C04638">
          <w:rPr>
            <w:rStyle w:val="Hyperlink"/>
            <w:rFonts w:cs="FrankRuehl" w:hint="eastAsia"/>
            <w:sz w:val="22"/>
            <w:szCs w:val="22"/>
            <w:rtl/>
          </w:rPr>
          <w:t>ץ</w:t>
        </w:r>
        <w:r w:rsidRPr="00C04638">
          <w:rPr>
            <w:rStyle w:val="Hyperlink"/>
            <w:rFonts w:cs="FrankRuehl"/>
            <w:sz w:val="22"/>
            <w:szCs w:val="22"/>
            <w:rtl/>
          </w:rPr>
          <w:t xml:space="preserve"> 5031/10</w:t>
        </w:r>
      </w:hyperlink>
      <w:r w:rsidRPr="00C04638">
        <w:rPr>
          <w:rFonts w:cs="FrankRuehl" w:hint="cs"/>
          <w:sz w:val="22"/>
          <w:szCs w:val="22"/>
          <w:rtl/>
        </w:rPr>
        <w:t xml:space="preserve"> עמותת עיר עמים נ' הרשות לשמירת הטבע והגנים הלאומיים, פסקה 18 </w:t>
      </w:r>
      <w:r w:rsidRPr="00C04638">
        <w:rPr>
          <w:rFonts w:cs="FrankRuehl"/>
          <w:sz w:val="22"/>
          <w:szCs w:val="22"/>
          <w:rtl/>
        </w:rPr>
        <w:t>[</w:t>
      </w:r>
      <w:r w:rsidRPr="00C04638">
        <w:rPr>
          <w:rFonts w:cs="FrankRuehl" w:hint="eastAsia"/>
          <w:sz w:val="22"/>
          <w:szCs w:val="22"/>
          <w:rtl/>
        </w:rPr>
        <w:t>פורסם</w:t>
      </w:r>
      <w:r w:rsidRPr="00C04638">
        <w:rPr>
          <w:rFonts w:cs="FrankRuehl"/>
          <w:sz w:val="22"/>
          <w:szCs w:val="22"/>
          <w:rtl/>
        </w:rPr>
        <w:t xml:space="preserve"> </w:t>
      </w:r>
      <w:r w:rsidRPr="00C04638">
        <w:rPr>
          <w:rFonts w:cs="FrankRuehl" w:hint="eastAsia"/>
          <w:sz w:val="22"/>
          <w:szCs w:val="22"/>
          <w:rtl/>
        </w:rPr>
        <w:t>בנבו</w:t>
      </w:r>
      <w:r w:rsidRPr="00C04638">
        <w:rPr>
          <w:rFonts w:cs="FrankRuehl"/>
          <w:sz w:val="22"/>
          <w:szCs w:val="22"/>
          <w:rtl/>
        </w:rPr>
        <w:t xml:space="preserve">] </w:t>
      </w:r>
      <w:r w:rsidRPr="00C04638">
        <w:rPr>
          <w:rFonts w:cs="FrankRuehl" w:hint="cs"/>
          <w:sz w:val="22"/>
          <w:szCs w:val="22"/>
          <w:rtl/>
        </w:rPr>
        <w:t xml:space="preserve">(26.3.2012)). </w:t>
      </w:r>
      <w:r w:rsidRPr="00EE7BEA">
        <w:rPr>
          <w:rFonts w:cs="FrankRuehl" w:hint="cs"/>
          <w:sz w:val="22"/>
          <w:szCs w:val="22"/>
          <w:highlight w:val="yellow"/>
          <w:rtl/>
        </w:rPr>
        <w:t xml:space="preserve">בענייננו, ספקיות הגישה אכן לא נדרשו להפעיל שיקול דעת ביחס לאתרים שאת הגישה אליהם יש לחסום. על כן, ניתן, לכאורה לטעון כי הרשות לא אצלה סמכותה, אלא ביקשה להסתייע באחר לביצוע הסמכות – הסתייעות המותרת באופן עקרוני. אלא שכאשר עסקינן בהסתייעות, ראש וראשון ליסודות הדורשים הוכחה הוא כי האדם או הגוף שבו הרשות מבקשת להסתייע </w:t>
      </w:r>
      <w:r w:rsidRPr="00021FB4">
        <w:rPr>
          <w:rFonts w:cs="FrankRuehl" w:hint="cs"/>
          <w:sz w:val="22"/>
          <w:szCs w:val="22"/>
          <w:rtl/>
        </w:rPr>
        <w:t xml:space="preserve">מסכים </w:t>
      </w:r>
      <w:r w:rsidRPr="00EE7BEA">
        <w:rPr>
          <w:rFonts w:cs="FrankRuehl" w:hint="cs"/>
          <w:sz w:val="22"/>
          <w:szCs w:val="22"/>
          <w:highlight w:val="yellow"/>
          <w:rtl/>
        </w:rPr>
        <w:t>להיות לרשות לעזר</w:t>
      </w:r>
      <w:r w:rsidRPr="00C04638">
        <w:rPr>
          <w:rFonts w:cs="FrankRuehl" w:hint="cs"/>
          <w:sz w:val="22"/>
          <w:szCs w:val="22"/>
          <w:rtl/>
        </w:rPr>
        <w:t xml:space="preserve">. אין זה משנה האם הסכמה זו נובעת ממניעים מסחריים וכלכליים (השוו לעניין פיליפוביץ, בעמ' 415) – או ממניעים התנדבותיים. העיקר הוא כי הרשות רשאית להסתייע אך במי שמבקש לסייע לה מתוך רצון כן ואמיתי, לאחר שנתן את הסכמתו המפורשת לכך. </w:t>
      </w:r>
      <w:r w:rsidRPr="00EE7BEA">
        <w:rPr>
          <w:rFonts w:cs="FrankRuehl" w:hint="cs"/>
          <w:sz w:val="22"/>
          <w:szCs w:val="22"/>
          <w:highlight w:val="yellow"/>
          <w:rtl/>
        </w:rPr>
        <w:t>כאשר הרשות מטילה חובה על אדם או גוף פרטי לבצע פעולה כלשהי, שוב לא ניתן לדבר על הסתייעות. בענייננו טוענים המערערים כי הביטוי "סגירתו של מקום משחקים אסורים" הנזכר בסעיף הרלוונטי שב</w:t>
      </w:r>
      <w:hyperlink r:id="rId348" w:history="1">
        <w:r w:rsidRPr="00EE7BEA">
          <w:rPr>
            <w:rStyle w:val="Hyperlink"/>
            <w:rFonts w:cs="FrankRuehl" w:hint="eastAsia"/>
            <w:sz w:val="22"/>
            <w:szCs w:val="22"/>
            <w:rtl/>
          </w:rPr>
          <w:t>חוק</w:t>
        </w:r>
        <w:r w:rsidRPr="00EE7BEA">
          <w:rPr>
            <w:rStyle w:val="Hyperlink"/>
            <w:rFonts w:cs="FrankRuehl"/>
            <w:sz w:val="22"/>
            <w:szCs w:val="22"/>
            <w:rtl/>
          </w:rPr>
          <w:t xml:space="preserve"> </w:t>
        </w:r>
        <w:r w:rsidRPr="00EE7BEA">
          <w:rPr>
            <w:rStyle w:val="Hyperlink"/>
            <w:rFonts w:cs="FrankRuehl" w:hint="eastAsia"/>
            <w:sz w:val="22"/>
            <w:szCs w:val="22"/>
            <w:rtl/>
          </w:rPr>
          <w:t>העונשין</w:t>
        </w:r>
      </w:hyperlink>
      <w:r w:rsidRPr="00EE7BEA">
        <w:rPr>
          <w:rFonts w:cs="FrankRuehl" w:hint="cs"/>
          <w:sz w:val="22"/>
          <w:szCs w:val="22"/>
          <w:highlight w:val="yellow"/>
          <w:rtl/>
        </w:rPr>
        <w:t xml:space="preserve"> טומן בחובו גם את האפשרות להורות על סגירת דרכי הגישה למקום מכוח סמכות העזר. ולא היא. עסקינן בצווים הכופים על גוף פרטי – ספקיות הגישה לאינטרנט – "לסייע" לרשות, כך שאין לומר כי הספקיות הן גוף אשר מעניק לרשות את שירותיו מרצון</w:t>
      </w:r>
      <w:r w:rsidRPr="00C04638">
        <w:rPr>
          <w:rFonts w:cs="FrankRuehl" w:hint="cs"/>
          <w:sz w:val="22"/>
          <w:szCs w:val="22"/>
          <w:rtl/>
        </w:rPr>
        <w:t>. הדברים מקבלים משנה תוקף מקום בו צווי הסגירה עצמם הזהירו באותיות קידוש לבנה כי אי-ההיענות לצו עלולה להוות עבירה של הפרת הוראה חוקית, עבירה של סיוע לעריכת משחקים אסורים ועבירה של סיוע להחזקת מקום למשחקים אסורים (סעיפים 287, 225 ו-228 ל</w:t>
      </w:r>
      <w:hyperlink r:id="rId349" w:history="1">
        <w:r w:rsidRPr="00C04638">
          <w:rPr>
            <w:rStyle w:val="Hyperlink"/>
            <w:rFonts w:cs="FrankRuehl" w:hint="eastAsia"/>
            <w:sz w:val="22"/>
            <w:szCs w:val="22"/>
            <w:rtl/>
          </w:rPr>
          <w:t>חוק</w:t>
        </w:r>
        <w:r w:rsidRPr="00C04638">
          <w:rPr>
            <w:rStyle w:val="Hyperlink"/>
            <w:rFonts w:cs="FrankRuehl"/>
            <w:sz w:val="22"/>
            <w:szCs w:val="22"/>
            <w:rtl/>
          </w:rPr>
          <w:t xml:space="preserve"> </w:t>
        </w:r>
        <w:r w:rsidRPr="00C04638">
          <w:rPr>
            <w:rStyle w:val="Hyperlink"/>
            <w:rFonts w:cs="FrankRuehl" w:hint="eastAsia"/>
            <w:sz w:val="22"/>
            <w:szCs w:val="22"/>
            <w:rtl/>
          </w:rPr>
          <w:t>העונשין</w:t>
        </w:r>
      </w:hyperlink>
      <w:r w:rsidRPr="00C04638">
        <w:rPr>
          <w:rFonts w:cs="FrankRuehl" w:hint="cs"/>
          <w:sz w:val="22"/>
          <w:szCs w:val="22"/>
          <w:rtl/>
        </w:rPr>
        <w:t xml:space="preserve">, בצירוף סעיף 31 לחוק זה). </w:t>
      </w:r>
    </w:p>
    <w:p w:rsidR="00241BC2" w:rsidRPr="00C04638" w:rsidRDefault="00241BC2" w:rsidP="00241BC2">
      <w:pPr>
        <w:spacing w:after="120"/>
        <w:rPr>
          <w:rFonts w:cs="FrankRuehl"/>
          <w:sz w:val="22"/>
          <w:szCs w:val="22"/>
          <w:rtl/>
        </w:rPr>
      </w:pPr>
      <w:r>
        <w:rPr>
          <w:rFonts w:cs="FrankRuehl" w:hint="cs"/>
          <w:sz w:val="22"/>
          <w:szCs w:val="22"/>
          <w:rtl/>
        </w:rPr>
        <w:t>16.</w:t>
      </w:r>
      <w:r>
        <w:rPr>
          <w:rFonts w:cs="FrankRuehl" w:hint="cs"/>
          <w:sz w:val="22"/>
          <w:szCs w:val="22"/>
          <w:rtl/>
        </w:rPr>
        <w:tab/>
      </w:r>
      <w:r w:rsidRPr="00C04638">
        <w:rPr>
          <w:rFonts w:cs="FrankRuehl" w:hint="cs"/>
          <w:sz w:val="22"/>
          <w:szCs w:val="22"/>
          <w:rtl/>
        </w:rPr>
        <w:t>מבקש אני להבהיר, בצד האמור, כי בהינתן הסמכה מפורשת בחוק, ניתן "להטיל תפקיד" ולהיעזר בכל אדם לצורכי הגשמת מטרות שונות שהוגדרו על-ידי המחוקק. ואכן, הסדרים שונים המצויים בחקיקה מאפשרים לרשות להורות לצד ג' לסייע בידה, גם במישור הפלילי. כך, למשל, סעיף 20 ל</w:t>
      </w:r>
      <w:hyperlink r:id="rId350" w:history="1">
        <w:r w:rsidRPr="00C04638">
          <w:rPr>
            <w:rStyle w:val="Hyperlink"/>
            <w:rFonts w:cs="FrankRuehl" w:hint="eastAsia"/>
            <w:sz w:val="22"/>
            <w:szCs w:val="22"/>
            <w:rtl/>
          </w:rPr>
          <w:t>פקודת</w:t>
        </w:r>
        <w:r w:rsidRPr="00C04638">
          <w:rPr>
            <w:rStyle w:val="Hyperlink"/>
            <w:rFonts w:cs="FrankRuehl"/>
            <w:sz w:val="22"/>
            <w:szCs w:val="22"/>
            <w:rtl/>
          </w:rPr>
          <w:t xml:space="preserve"> </w:t>
        </w:r>
        <w:r w:rsidRPr="00C04638">
          <w:rPr>
            <w:rStyle w:val="Hyperlink"/>
            <w:rFonts w:cs="FrankRuehl" w:hint="eastAsia"/>
            <w:sz w:val="22"/>
            <w:szCs w:val="22"/>
            <w:rtl/>
          </w:rPr>
          <w:t>סדר</w:t>
        </w:r>
        <w:r w:rsidRPr="00C04638">
          <w:rPr>
            <w:rStyle w:val="Hyperlink"/>
            <w:rFonts w:cs="FrankRuehl"/>
            <w:sz w:val="22"/>
            <w:szCs w:val="22"/>
            <w:rtl/>
          </w:rPr>
          <w:t xml:space="preserve"> </w:t>
        </w:r>
        <w:r w:rsidRPr="00C04638">
          <w:rPr>
            <w:rStyle w:val="Hyperlink"/>
            <w:rFonts w:cs="FrankRuehl" w:hint="eastAsia"/>
            <w:sz w:val="22"/>
            <w:szCs w:val="22"/>
            <w:rtl/>
          </w:rPr>
          <w:t>הדין</w:t>
        </w:r>
        <w:r w:rsidRPr="00C04638">
          <w:rPr>
            <w:rStyle w:val="Hyperlink"/>
            <w:rFonts w:cs="FrankRuehl"/>
            <w:sz w:val="22"/>
            <w:szCs w:val="22"/>
            <w:rtl/>
          </w:rPr>
          <w:t xml:space="preserve"> </w:t>
        </w:r>
        <w:r w:rsidRPr="00C04638">
          <w:rPr>
            <w:rStyle w:val="Hyperlink"/>
            <w:rFonts w:cs="FrankRuehl" w:hint="eastAsia"/>
            <w:sz w:val="22"/>
            <w:szCs w:val="22"/>
            <w:rtl/>
          </w:rPr>
          <w:t>הפלילי</w:t>
        </w:r>
      </w:hyperlink>
      <w:r w:rsidRPr="00C04638">
        <w:rPr>
          <w:rFonts w:cs="FrankRuehl" w:hint="cs"/>
          <w:sz w:val="22"/>
          <w:szCs w:val="22"/>
          <w:rtl/>
        </w:rPr>
        <w:t xml:space="preserve"> (מעצר וחיפוש) [נוסח חדש], התשכ"ט-1969, קובע כי כל אדם חייב לעזור לשוטר לעצור אדם שהוא מוסמך לעצרו. אף בסוגיה הקרובה לענייננו קיים הסדר דומה: חוק סדר הדין הפלילי (סמכויות אכיפה – נתוני תקשורת), התשס"ח-2007 (המכונה גם "חוק האח הגדול") מאפשר לרשויות החקירה בישראל להיעזר ב"בעל רישיון בזק" (כהגדרתו שם) לשם קבלת נתוני תקשורת של מנוי בזק לצרכים שונים, כגון גילוי עבירות ומניעתן (סעיף 1 וסעיף 3(2) לחוק זה). בין החברות אשר יכולות להידרש למסור נתוני תקשורת מנויות גם ספקיות האינטרנט השונות (ראו עניין חוק "האח הגדול", בפסקה 2). </w:t>
      </w:r>
      <w:r w:rsidRPr="00021FB4">
        <w:rPr>
          <w:rFonts w:cs="FrankRuehl" w:hint="cs"/>
          <w:sz w:val="22"/>
          <w:szCs w:val="22"/>
          <w:highlight w:val="yellow"/>
          <w:rtl/>
        </w:rPr>
        <w:t>אך מכלל ההן נשמע גם הלאו. הטלת חובה – שסנקציה בצידה – מחייבת עיגון בחקיקה. בהיעדר אסמכתה מפורשת בחוק – אין אפשרות להטיל על גורם פרטי לבצע פעולות עבור הרשות</w:t>
      </w:r>
      <w:r w:rsidRPr="00C04638">
        <w:rPr>
          <w:rFonts w:cs="FrankRuehl" w:hint="cs"/>
          <w:sz w:val="22"/>
          <w:szCs w:val="22"/>
          <w:rtl/>
        </w:rPr>
        <w:t xml:space="preserve"> </w:t>
      </w:r>
      <w:r>
        <w:rPr>
          <w:rFonts w:cs="FrankRuehl" w:hint="cs"/>
          <w:sz w:val="22"/>
          <w:szCs w:val="22"/>
          <w:rtl/>
        </w:rPr>
        <w:t>...</w:t>
      </w:r>
      <w:r w:rsidRPr="00C04638">
        <w:rPr>
          <w:rFonts w:cs="FrankRuehl" w:hint="cs"/>
          <w:sz w:val="22"/>
          <w:szCs w:val="22"/>
          <w:rtl/>
        </w:rPr>
        <w:t xml:space="preserve"> נותרנו, אפוא, עם הצורך בהסמכה חוקית מפורשת. והנה, במקרה שלפנינו, לא ניכרת מלשונו של סעיף 229 ל</w:t>
      </w:r>
      <w:hyperlink r:id="rId351" w:history="1">
        <w:r w:rsidRPr="00C04638">
          <w:rPr>
            <w:rStyle w:val="Hyperlink"/>
            <w:rFonts w:cs="FrankRuehl" w:hint="eastAsia"/>
            <w:sz w:val="22"/>
            <w:szCs w:val="22"/>
            <w:rtl/>
          </w:rPr>
          <w:t>חוק</w:t>
        </w:r>
        <w:r w:rsidRPr="00C04638">
          <w:rPr>
            <w:rStyle w:val="Hyperlink"/>
            <w:rFonts w:cs="FrankRuehl"/>
            <w:sz w:val="22"/>
            <w:szCs w:val="22"/>
            <w:rtl/>
          </w:rPr>
          <w:t xml:space="preserve"> </w:t>
        </w:r>
        <w:r w:rsidRPr="00C04638">
          <w:rPr>
            <w:rStyle w:val="Hyperlink"/>
            <w:rFonts w:cs="FrankRuehl" w:hint="eastAsia"/>
            <w:sz w:val="22"/>
            <w:szCs w:val="22"/>
            <w:rtl/>
          </w:rPr>
          <w:t>העונשין</w:t>
        </w:r>
      </w:hyperlink>
      <w:r w:rsidRPr="00C04638">
        <w:rPr>
          <w:rFonts w:cs="FrankRuehl" w:hint="cs"/>
          <w:sz w:val="22"/>
          <w:szCs w:val="22"/>
          <w:rtl/>
        </w:rPr>
        <w:t xml:space="preserve"> הסמכה להטיל תפקיד על צד ג' – ולו ברמז. ולא בכדי. הסמכה כאמור כרוכה בשאלות מורכבות של דין ומדיניות. כאשר נדונו בכנסת בשנת 2008 הצעות לתיקוני חקיקה שיקנו את הסמכות לחסימת גישה לאתרי הימורים הביעו נציגי משרד המשפטים (כמו גם נציגי המשטרה) הסתייגות מהקניית סמכות כאמור מטעמים ענייניים שונים, שלא כאן המקום לעמוד עליהם. כיום עמדת הרשויות – על דעת היועץ המשפטי לממשלה – שונה. הרשויות אכן אינן כבולות לעמדתן הקודמת, אך הדרך החוקית היחידה שתאפשר להקנות למפקד המחוז סמכות ליתן הוראות כופות לספק שירות צד ג' היא – להשקפתי – </w:t>
      </w:r>
      <w:r w:rsidRPr="00021FB4">
        <w:rPr>
          <w:rFonts w:cs="FrankRuehl" w:hint="cs"/>
          <w:sz w:val="22"/>
          <w:szCs w:val="22"/>
          <w:highlight w:val="yellow"/>
          <w:rtl/>
        </w:rPr>
        <w:t>תיקון החקיקה הראשית</w:t>
      </w:r>
      <w:r w:rsidRPr="00C04638">
        <w:rPr>
          <w:rFonts w:cs="FrankRuehl" w:hint="cs"/>
          <w:sz w:val="22"/>
          <w:szCs w:val="22"/>
          <w:rtl/>
        </w:rPr>
        <w:t xml:space="preserve"> (תיקון שאין צריך לומר כי יידרש לעמוד בתנאי "פסקת ההגבלה" שב</w:t>
      </w:r>
      <w:hyperlink r:id="rId352" w:history="1">
        <w:r w:rsidRPr="00C04638">
          <w:rPr>
            <w:rStyle w:val="Hyperlink"/>
            <w:rFonts w:cs="FrankRuehl" w:hint="eastAsia"/>
            <w:sz w:val="22"/>
            <w:szCs w:val="22"/>
            <w:rtl/>
          </w:rPr>
          <w:t>חוק</w:t>
        </w:r>
        <w:r w:rsidRPr="00C04638">
          <w:rPr>
            <w:rStyle w:val="Hyperlink"/>
            <w:rFonts w:cs="FrankRuehl"/>
            <w:sz w:val="22"/>
            <w:szCs w:val="22"/>
            <w:rtl/>
          </w:rPr>
          <w:t xml:space="preserve"> </w:t>
        </w:r>
        <w:r w:rsidRPr="00C04638">
          <w:rPr>
            <w:rStyle w:val="Hyperlink"/>
            <w:rFonts w:cs="FrankRuehl" w:hint="eastAsia"/>
            <w:sz w:val="22"/>
            <w:szCs w:val="22"/>
            <w:rtl/>
          </w:rPr>
          <w:t>יסוד</w:t>
        </w:r>
        <w:r w:rsidRPr="00C04638">
          <w:rPr>
            <w:rStyle w:val="Hyperlink"/>
            <w:rFonts w:cs="FrankRuehl"/>
            <w:sz w:val="22"/>
            <w:szCs w:val="22"/>
            <w:rtl/>
          </w:rPr>
          <w:t xml:space="preserve">: </w:t>
        </w:r>
        <w:r w:rsidRPr="00C04638">
          <w:rPr>
            <w:rStyle w:val="Hyperlink"/>
            <w:rFonts w:cs="FrankRuehl" w:hint="eastAsia"/>
            <w:sz w:val="22"/>
            <w:szCs w:val="22"/>
            <w:rtl/>
          </w:rPr>
          <w:t>כבוד</w:t>
        </w:r>
        <w:r w:rsidRPr="00C04638">
          <w:rPr>
            <w:rStyle w:val="Hyperlink"/>
            <w:rFonts w:cs="FrankRuehl"/>
            <w:sz w:val="22"/>
            <w:szCs w:val="22"/>
            <w:rtl/>
          </w:rPr>
          <w:t xml:space="preserve"> </w:t>
        </w:r>
        <w:r w:rsidRPr="00C04638">
          <w:rPr>
            <w:rStyle w:val="Hyperlink"/>
            <w:rFonts w:cs="FrankRuehl" w:hint="eastAsia"/>
            <w:sz w:val="22"/>
            <w:szCs w:val="22"/>
            <w:rtl/>
          </w:rPr>
          <w:t>האדם</w:t>
        </w:r>
        <w:r w:rsidRPr="00C04638">
          <w:rPr>
            <w:rStyle w:val="Hyperlink"/>
            <w:rFonts w:cs="FrankRuehl"/>
            <w:sz w:val="22"/>
            <w:szCs w:val="22"/>
            <w:rtl/>
          </w:rPr>
          <w:t xml:space="preserve"> </w:t>
        </w:r>
        <w:r w:rsidRPr="00C04638">
          <w:rPr>
            <w:rStyle w:val="Hyperlink"/>
            <w:rFonts w:cs="FrankRuehl" w:hint="eastAsia"/>
            <w:sz w:val="22"/>
            <w:szCs w:val="22"/>
            <w:rtl/>
          </w:rPr>
          <w:t>וחירותו</w:t>
        </w:r>
      </w:hyperlink>
      <w:r w:rsidRPr="00C04638">
        <w:rPr>
          <w:rFonts w:cs="FrankRuehl" w:hint="cs"/>
          <w:sz w:val="22"/>
          <w:szCs w:val="22"/>
          <w:rtl/>
        </w:rPr>
        <w:t xml:space="preserve">). </w:t>
      </w:r>
      <w:r w:rsidRPr="00EE7BEA">
        <w:rPr>
          <w:rFonts w:cs="FrankRuehl" w:hint="cs"/>
          <w:sz w:val="22"/>
          <w:szCs w:val="22"/>
          <w:highlight w:val="yellow"/>
          <w:rtl/>
        </w:rPr>
        <w:t xml:space="preserve">על כן, הוצאת צו כפי שנעשה בענייננו חורגת מעיקרון חוקיות המינהל. כידוע, עקרון חוקיות המינהל מהווה נורמה בסיסית במשפט הציבורי. "עקרון זה מורה, כי כוחה של הרשות הציבורית נובע מהסמכויות שהוקנו לה בדין, ואין בלתן. הדין הוא שמוליד את כוחה של הרשות לפעול, וגבולות כוחה מתוחמים לגבולות ההסמכה שהוענקה לה בדין. זהו 'האל"ף-בי"ת של המשפט המינהלי' (ברוך </w:t>
      </w:r>
      <w:hyperlink r:id="rId353" w:history="1">
        <w:r w:rsidRPr="00EE7BEA">
          <w:rPr>
            <w:rStyle w:val="Hyperlink"/>
            <w:rFonts w:cs="FrankRuehl" w:hint="eastAsia"/>
            <w:sz w:val="22"/>
            <w:szCs w:val="22"/>
            <w:rtl/>
          </w:rPr>
          <w:t>ברכה</w:t>
        </w:r>
        <w:r w:rsidRPr="00EE7BEA">
          <w:rPr>
            <w:rStyle w:val="Hyperlink"/>
            <w:rFonts w:cs="FrankRuehl"/>
            <w:sz w:val="22"/>
            <w:szCs w:val="22"/>
            <w:rtl/>
          </w:rPr>
          <w:t xml:space="preserve"> </w:t>
        </w:r>
        <w:r w:rsidRPr="00EE7BEA">
          <w:rPr>
            <w:rStyle w:val="Hyperlink"/>
            <w:rFonts w:cs="FrankRuehl" w:hint="eastAsia"/>
            <w:sz w:val="22"/>
            <w:szCs w:val="22"/>
            <w:rtl/>
          </w:rPr>
          <w:t>משפט</w:t>
        </w:r>
        <w:r w:rsidRPr="00EE7BEA">
          <w:rPr>
            <w:rStyle w:val="Hyperlink"/>
            <w:rFonts w:cs="FrankRuehl"/>
            <w:sz w:val="22"/>
            <w:szCs w:val="22"/>
            <w:rtl/>
          </w:rPr>
          <w:t xml:space="preserve"> </w:t>
        </w:r>
        <w:r w:rsidRPr="00EE7BEA">
          <w:rPr>
            <w:rStyle w:val="Hyperlink"/>
            <w:rFonts w:cs="FrankRuehl" w:hint="eastAsia"/>
            <w:sz w:val="22"/>
            <w:szCs w:val="22"/>
            <w:rtl/>
          </w:rPr>
          <w:t>מינהלי</w:t>
        </w:r>
      </w:hyperlink>
      <w:r w:rsidRPr="00EE7BEA">
        <w:rPr>
          <w:rFonts w:cs="FrankRuehl" w:hint="cs"/>
          <w:sz w:val="22"/>
          <w:szCs w:val="22"/>
          <w:highlight w:val="yellow"/>
          <w:rtl/>
        </w:rPr>
        <w:t xml:space="preserve"> כרך א 35 (1987); ... כך, במיוחד שעה שמדובר בסמכות כופה, המצויה ב</w:t>
      </w:r>
      <w:hyperlink r:id="rId354" w:history="1">
        <w:r w:rsidRPr="00EE7BEA">
          <w:rPr>
            <w:rStyle w:val="Hyperlink"/>
            <w:rFonts w:cs="FrankRuehl" w:hint="eastAsia"/>
            <w:sz w:val="22"/>
            <w:szCs w:val="22"/>
            <w:rtl/>
          </w:rPr>
          <w:t>חוק</w:t>
        </w:r>
        <w:r w:rsidRPr="00EE7BEA">
          <w:rPr>
            <w:rStyle w:val="Hyperlink"/>
            <w:rFonts w:cs="FrankRuehl"/>
            <w:sz w:val="22"/>
            <w:szCs w:val="22"/>
            <w:rtl/>
          </w:rPr>
          <w:t xml:space="preserve"> </w:t>
        </w:r>
        <w:r w:rsidRPr="00EE7BEA">
          <w:rPr>
            <w:rStyle w:val="Hyperlink"/>
            <w:rFonts w:cs="FrankRuehl" w:hint="eastAsia"/>
            <w:sz w:val="22"/>
            <w:szCs w:val="22"/>
            <w:rtl/>
          </w:rPr>
          <w:t>העונשין</w:t>
        </w:r>
      </w:hyperlink>
      <w:r w:rsidRPr="00C04638">
        <w:rPr>
          <w:rFonts w:cs="FrankRuehl" w:hint="cs"/>
          <w:sz w:val="22"/>
          <w:szCs w:val="22"/>
          <w:rtl/>
        </w:rPr>
        <w:t xml:space="preserve"> (ראו והשוו: הרדוף, בעמ' 124). </w:t>
      </w:r>
    </w:p>
    <w:p w:rsidR="00241BC2" w:rsidRDefault="00241BC2" w:rsidP="00241BC2">
      <w:pPr>
        <w:spacing w:after="120"/>
        <w:rPr>
          <w:rFonts w:cs="FrankRuehl"/>
          <w:sz w:val="22"/>
          <w:szCs w:val="22"/>
          <w:rtl/>
        </w:rPr>
      </w:pPr>
      <w:r>
        <w:rPr>
          <w:rFonts w:cs="FrankRuehl" w:hint="cs"/>
          <w:sz w:val="22"/>
          <w:szCs w:val="22"/>
          <w:rtl/>
        </w:rPr>
        <w:t>17.</w:t>
      </w:r>
      <w:r>
        <w:rPr>
          <w:rFonts w:cs="FrankRuehl" w:hint="cs"/>
          <w:sz w:val="22"/>
          <w:szCs w:val="22"/>
          <w:rtl/>
        </w:rPr>
        <w:tab/>
      </w:r>
      <w:r w:rsidRPr="00C04638">
        <w:rPr>
          <w:rFonts w:cs="FrankRuehl" w:hint="cs"/>
          <w:sz w:val="22"/>
          <w:szCs w:val="22"/>
          <w:rtl/>
        </w:rPr>
        <w:t>האם הסדר חוקי עתידי עשוי לאפשר הטלת תפקיד של חסימת אתרי ההימורים על ספקיות הגישה לאינטרנט? הסדר מעין זה יכול ללבוש פנים רבות. ייתכן כי המחוקק יקבע כי לצורך קבלת צו כאמור, יש לפנות לבית המשפט; ייתכן שיעניק למפקדי המחוזות במשטרה – או לכל גורם אחר – את הסמכות להוציא צווים כדוגמת אלו שהוצאו בעניינו, בלא פנייה לבית המשפט (השוו לעניין חוק "האח הגדול", בפסקה 2). הנחתנו היא כי חקיקה זו אף תסדיר שאלות נוספות המתעוררות מהחובה שתוטל על ספקיות הגישה, תוך שתינתן הדעת לעלויות שעשויות להיות כרוכות בביצוע חסימה אפקטיבית; לגדר האחריות של ספקיות הגישה כלפי צדדים שלישיים, כגון גולשים ובעלי אתרים שהגישה אליהם תיחסם; וכיוצא באלה. בכל מקרה, ברי כי בשיטתנו המשפטית המחוקק הוא הגורם המוסמך לשקול את האופן המתאים לטפל בחסימת הגישה הנדונה (הרדוף, שם). לא נקדים את המאוחר. איננו נדרשים בזמן הזה לנקוט עמדה ביחס לחקיקה עתידית זו שטרם באה לעולם ושפרטיה אינם ידועים (אשר תצטרך, כאמור, לעמוד גם במבחני פסקת ההגבלה).</w:t>
      </w:r>
      <w:r>
        <w:rPr>
          <w:rFonts w:cs="FrankRuehl" w:hint="cs"/>
          <w:sz w:val="22"/>
          <w:szCs w:val="22"/>
          <w:rtl/>
        </w:rPr>
        <w:t xml:space="preserve"> [...]</w:t>
      </w:r>
    </w:p>
    <w:p w:rsidR="00241BC2" w:rsidRPr="00EE7BEA" w:rsidRDefault="00241BC2" w:rsidP="00241BC2">
      <w:pPr>
        <w:spacing w:after="120"/>
        <w:rPr>
          <w:rFonts w:cs="FrankRuehl"/>
          <w:b/>
          <w:bCs/>
          <w:sz w:val="22"/>
          <w:szCs w:val="22"/>
          <w:rtl/>
        </w:rPr>
      </w:pPr>
      <w:r w:rsidRPr="00EE7BEA">
        <w:rPr>
          <w:rFonts w:cs="FrankRuehl" w:hint="cs"/>
          <w:b/>
          <w:bCs/>
          <w:sz w:val="22"/>
          <w:szCs w:val="22"/>
          <w:rtl/>
        </w:rPr>
        <w:t>אחר הדברים האלה</w:t>
      </w:r>
    </w:p>
    <w:p w:rsidR="00241BC2" w:rsidRPr="00C04638" w:rsidRDefault="00241BC2" w:rsidP="00241BC2">
      <w:pPr>
        <w:spacing w:after="120"/>
        <w:rPr>
          <w:rFonts w:cs="FrankRuehl"/>
          <w:sz w:val="22"/>
          <w:szCs w:val="22"/>
          <w:rtl/>
        </w:rPr>
      </w:pPr>
      <w:r>
        <w:rPr>
          <w:rFonts w:cs="FrankRuehl" w:hint="cs"/>
          <w:sz w:val="22"/>
          <w:szCs w:val="22"/>
          <w:rtl/>
        </w:rPr>
        <w:t>22.</w:t>
      </w:r>
      <w:r>
        <w:rPr>
          <w:rFonts w:cs="FrankRuehl" w:hint="cs"/>
          <w:sz w:val="22"/>
          <w:szCs w:val="22"/>
          <w:rtl/>
        </w:rPr>
        <w:tab/>
      </w:r>
      <w:r w:rsidRPr="00EE7BEA">
        <w:rPr>
          <w:rFonts w:cs="FrankRuehl" w:hint="cs"/>
          <w:sz w:val="22"/>
          <w:szCs w:val="22"/>
          <w:rtl/>
        </w:rPr>
        <w:t xml:space="preserve">לפני סיום אבקש להתייחס בקצרה להערתו של חברי השופט נ' סולברג ביחס לדבריי (פסקה 56 לחוות דעתו). אבהיר כי </w:t>
      </w:r>
      <w:r w:rsidRPr="003D114F">
        <w:rPr>
          <w:rFonts w:cs="FrankRuehl" w:hint="cs"/>
          <w:sz w:val="22"/>
          <w:szCs w:val="22"/>
          <w:highlight w:val="yellow"/>
          <w:rtl/>
        </w:rPr>
        <w:t>הכרעתי אינה נשענת בעיקרה על עניינן של ספקיות הגישה ושאלת הסכמתן הקונקרטית לחסימת האתרים. בבסיס התוצאה שאליה הגעתי ניצב הכלל כי הרשות אינה יכולה לפעול אלא בגדרי דל"ת אמותיה של הסמכות הנתונה לה על-פי חוק, וכי בהפעלת סמכויות משטרתיות יש להקפיד על כלל זה אף ביתר שאת</w:t>
      </w:r>
      <w:r w:rsidRPr="00EE7BEA">
        <w:rPr>
          <w:rFonts w:cs="FrankRuehl" w:hint="cs"/>
          <w:sz w:val="22"/>
          <w:szCs w:val="22"/>
          <w:rtl/>
        </w:rPr>
        <w:t>. אציין כי אינני מקבל כמובנת מאליה את הנחת חברי כי ניתן לכפות על צד ג' להפוך ל"ידה הארוכה" של המשטרה, ללא הסכמתו. טלו מצב שבו פקיד הקבלה במלון (שאליו התייחס חברי בדוגמה שהביא), חושש מפני עימות עם גורמים עברייניים ואינו מעוניין לבוא עימם במגע – האם גם אז היה ניתן לכפות עליו לסגור את החדר? שאלה זו אינה נקייה מספקות בעיניי, אך ממילא לא זה מצב הדברים שבו אנו נדרשים להכריע. בענייננו, מכלול השיקולים שעליהם עמדתי ורגישות המטריה שבה עסקינן מוליכים – להשקפתי – למסקנה שההסמכה הקיימת אינה אוצרת כוח להפעלת הסמכות הנטענת.</w:t>
      </w:r>
    </w:p>
    <w:p w:rsidR="00241BC2" w:rsidRDefault="00241BC2" w:rsidP="00241BC2">
      <w:pPr>
        <w:spacing w:after="120"/>
        <w:rPr>
          <w:sz w:val="22"/>
          <w:szCs w:val="22"/>
          <w:rtl/>
        </w:rPr>
      </w:pPr>
      <w:r w:rsidRPr="00EE7BEA">
        <w:rPr>
          <w:rFonts w:hint="cs"/>
          <w:b/>
          <w:bCs/>
          <w:sz w:val="22"/>
          <w:szCs w:val="22"/>
          <w:rtl/>
        </w:rPr>
        <w:t>השופט סולברג</w:t>
      </w:r>
      <w:r>
        <w:rPr>
          <w:rFonts w:hint="cs"/>
          <w:sz w:val="22"/>
          <w:szCs w:val="22"/>
          <w:rtl/>
        </w:rPr>
        <w:t xml:space="preserve"> (שופט המיעוט):</w:t>
      </w:r>
    </w:p>
    <w:p w:rsidR="00241BC2" w:rsidRPr="001C78B4" w:rsidRDefault="00241BC2" w:rsidP="00241BC2">
      <w:pPr>
        <w:tabs>
          <w:tab w:val="left" w:pos="800"/>
        </w:tabs>
        <w:rPr>
          <w:rFonts w:cs="FrankRuehl"/>
          <w:b/>
          <w:bCs/>
          <w:spacing w:val="10"/>
          <w:sz w:val="22"/>
          <w:szCs w:val="22"/>
          <w:rtl/>
        </w:rPr>
      </w:pPr>
      <w:r w:rsidRPr="001C78B4">
        <w:rPr>
          <w:rFonts w:cs="FrankRuehl" w:hint="cs"/>
          <w:b/>
          <w:bCs/>
          <w:sz w:val="22"/>
          <w:szCs w:val="22"/>
          <w:rtl/>
        </w:rPr>
        <w:t>(ג) סמכות המשטרה</w:t>
      </w:r>
    </w:p>
    <w:p w:rsidR="00241BC2" w:rsidRPr="001C78B4" w:rsidRDefault="00241BC2" w:rsidP="00241BC2">
      <w:pPr>
        <w:tabs>
          <w:tab w:val="left" w:pos="800"/>
        </w:tabs>
        <w:rPr>
          <w:rFonts w:cs="FrankRuehl"/>
          <w:spacing w:val="10"/>
          <w:sz w:val="22"/>
          <w:szCs w:val="22"/>
          <w:highlight w:val="yellow"/>
          <w:rtl/>
        </w:rPr>
      </w:pPr>
      <w:r w:rsidRPr="001C78B4">
        <w:rPr>
          <w:rFonts w:cs="FrankRuehl" w:hint="cs"/>
          <w:spacing w:val="10"/>
          <w:sz w:val="22"/>
          <w:szCs w:val="22"/>
          <w:rtl/>
        </w:rPr>
        <w:t>18.</w:t>
      </w:r>
      <w:r w:rsidRPr="001C78B4">
        <w:rPr>
          <w:rFonts w:cs="FrankRuehl" w:hint="cs"/>
          <w:spacing w:val="10"/>
          <w:sz w:val="22"/>
          <w:szCs w:val="22"/>
          <w:rtl/>
        </w:rPr>
        <w:tab/>
        <w:t xml:space="preserve">העוגן החוקי לפעולתן, נמצא לרשויות האכיפה, לטענתן, בשתי הוראות-חוק.  </w:t>
      </w:r>
      <w:r w:rsidRPr="001C78B4">
        <w:rPr>
          <w:rFonts w:cs="FrankRuehl" w:hint="cs"/>
          <w:spacing w:val="10"/>
          <w:sz w:val="22"/>
          <w:szCs w:val="22"/>
          <w:highlight w:val="yellow"/>
          <w:rtl/>
        </w:rPr>
        <w:t>סעיף 3 ל</w:t>
      </w:r>
      <w:hyperlink r:id="rId355" w:history="1">
        <w:r w:rsidRPr="001C78B4">
          <w:rPr>
            <w:rFonts w:cs="FrankRuehl"/>
            <w:color w:val="0000FF"/>
            <w:spacing w:val="10"/>
            <w:sz w:val="22"/>
            <w:szCs w:val="22"/>
            <w:highlight w:val="yellow"/>
            <w:u w:val="single"/>
            <w:rtl/>
          </w:rPr>
          <w:t>פקודת המשטרה</w:t>
        </w:r>
      </w:hyperlink>
      <w:r w:rsidRPr="001C78B4">
        <w:rPr>
          <w:rFonts w:cs="FrankRuehl" w:hint="cs"/>
          <w:spacing w:val="10"/>
          <w:sz w:val="22"/>
          <w:szCs w:val="22"/>
          <w:highlight w:val="yellow"/>
          <w:rtl/>
        </w:rPr>
        <w:t xml:space="preserve"> קובע כך:</w:t>
      </w:r>
      <w:r w:rsidRPr="001C78B4">
        <w:rPr>
          <w:rFonts w:cs="FrankRuehl" w:hint="cs"/>
          <w:sz w:val="22"/>
          <w:szCs w:val="22"/>
          <w:highlight w:val="yellow"/>
          <w:rtl/>
        </w:rPr>
        <w:t xml:space="preserve"> "משטרת ישראל תעסוק במניעת עבירות ובגילוין, בתפיסת עבריינים ובתביעתם לדין, בשמירתם הבטוחה של אסירים, ובקיום הסדר הציבורי ובטחון הנפש והרכוש". </w:t>
      </w:r>
      <w:r w:rsidRPr="001C78B4">
        <w:rPr>
          <w:rFonts w:cs="FrankRuehl" w:hint="cs"/>
          <w:spacing w:val="10"/>
          <w:sz w:val="22"/>
          <w:szCs w:val="22"/>
          <w:highlight w:val="yellow"/>
          <w:rtl/>
        </w:rPr>
        <w:t>הוראה זו, בסיסית וחשובה, אך מפאת כלליותה מקדמת אותנו אך במעט</w:t>
      </w:r>
      <w:r w:rsidRPr="001C78B4">
        <w:rPr>
          <w:rFonts w:cs="FrankRuehl" w:hint="cs"/>
          <w:spacing w:val="10"/>
          <w:sz w:val="22"/>
          <w:szCs w:val="22"/>
          <w:rtl/>
        </w:rPr>
        <w:t xml:space="preserve">. חשובה הימנה לצורך העניין הנדון היא הוראתו הספציפית של </w:t>
      </w:r>
      <w:r w:rsidRPr="001C78B4">
        <w:rPr>
          <w:rFonts w:cs="FrankRuehl" w:hint="cs"/>
          <w:spacing w:val="10"/>
          <w:sz w:val="22"/>
          <w:szCs w:val="22"/>
          <w:highlight w:val="yellow"/>
          <w:rtl/>
        </w:rPr>
        <w:t>סעיף 229 (א)(1) ל</w:t>
      </w:r>
      <w:hyperlink r:id="rId356" w:history="1">
        <w:r w:rsidRPr="001C78B4">
          <w:rPr>
            <w:rFonts w:cs="FrankRuehl"/>
            <w:color w:val="0000FF"/>
            <w:spacing w:val="10"/>
            <w:sz w:val="22"/>
            <w:szCs w:val="22"/>
            <w:highlight w:val="yellow"/>
            <w:u w:val="single"/>
            <w:rtl/>
          </w:rPr>
          <w:t>חוק העונשין</w:t>
        </w:r>
      </w:hyperlink>
      <w:r w:rsidRPr="001C78B4">
        <w:rPr>
          <w:rFonts w:cs="FrankRuehl" w:hint="cs"/>
          <w:spacing w:val="10"/>
          <w:sz w:val="22"/>
          <w:szCs w:val="22"/>
          <w:highlight w:val="yellow"/>
          <w:rtl/>
        </w:rPr>
        <w:t>, עניינה ב</w:t>
      </w:r>
      <w:r w:rsidRPr="001C78B4">
        <w:rPr>
          <w:rFonts w:cs="FrankRuehl" w:hint="cs"/>
          <w:sz w:val="22"/>
          <w:szCs w:val="22"/>
          <w:highlight w:val="yellow"/>
          <w:rtl/>
        </w:rPr>
        <w:t>"סגירת מקומות"</w:t>
      </w:r>
      <w:r w:rsidRPr="001C78B4">
        <w:rPr>
          <w:rFonts w:cs="FrankRuehl" w:hint="cs"/>
          <w:spacing w:val="10"/>
          <w:sz w:val="22"/>
          <w:szCs w:val="22"/>
          <w:highlight w:val="yellow"/>
          <w:rtl/>
        </w:rPr>
        <w:t xml:space="preserve">, וזו לשונה: </w:t>
      </w:r>
    </w:p>
    <w:p w:rsidR="00241BC2" w:rsidRPr="001C78B4" w:rsidRDefault="00241BC2" w:rsidP="00241BC2">
      <w:pPr>
        <w:ind w:left="1642" w:right="1282"/>
        <w:rPr>
          <w:rFonts w:ascii="Arial TUR" w:hAnsi="Arial TUR" w:cs="FrankRuehl"/>
          <w:spacing w:val="10"/>
          <w:sz w:val="22"/>
          <w:szCs w:val="22"/>
          <w:highlight w:val="yellow"/>
          <w:rtl/>
        </w:rPr>
      </w:pPr>
    </w:p>
    <w:p w:rsidR="00241BC2" w:rsidRPr="001C78B4" w:rsidRDefault="00241BC2" w:rsidP="00241BC2">
      <w:pPr>
        <w:ind w:left="1642" w:right="1282"/>
        <w:rPr>
          <w:rFonts w:cs="FrankRuehl"/>
          <w:sz w:val="22"/>
          <w:szCs w:val="22"/>
          <w:highlight w:val="yellow"/>
          <w:rtl/>
        </w:rPr>
      </w:pPr>
      <w:r w:rsidRPr="001C78B4">
        <w:rPr>
          <w:rFonts w:ascii="Arial TUR" w:hAnsi="Arial TUR" w:cs="FrankRuehl" w:hint="cs"/>
          <w:spacing w:val="10"/>
          <w:sz w:val="22"/>
          <w:szCs w:val="22"/>
          <w:highlight w:val="yellow"/>
          <w:rtl/>
        </w:rPr>
        <w:t>"</w:t>
      </w:r>
      <w:r w:rsidRPr="001C78B4">
        <w:rPr>
          <w:rFonts w:cs="FrankRuehl" w:hint="cs"/>
          <w:sz w:val="22"/>
          <w:szCs w:val="22"/>
          <w:highlight w:val="yellow"/>
          <w:rtl/>
        </w:rPr>
        <w:t xml:space="preserve">מפקד מחוז במשטרת ישראל רשאי להורות על סגירתו –   </w:t>
      </w:r>
    </w:p>
    <w:p w:rsidR="00241BC2" w:rsidRPr="001C78B4" w:rsidRDefault="00241BC2" w:rsidP="00241BC2">
      <w:pPr>
        <w:ind w:left="1642" w:right="1282"/>
        <w:rPr>
          <w:rFonts w:cs="FrankRuehl"/>
          <w:sz w:val="22"/>
          <w:szCs w:val="22"/>
          <w:highlight w:val="yellow"/>
          <w:rtl/>
        </w:rPr>
      </w:pPr>
      <w:r w:rsidRPr="001C78B4">
        <w:rPr>
          <w:rFonts w:cs="FrankRuehl" w:hint="cs"/>
          <w:sz w:val="22"/>
          <w:szCs w:val="22"/>
          <w:highlight w:val="yellow"/>
          <w:rtl/>
        </w:rPr>
        <w:t>של מקום משחקים אסורים או מקום לעריכת הגרלות או</w:t>
      </w:r>
    </w:p>
    <w:p w:rsidR="00241BC2" w:rsidRPr="001C78B4" w:rsidRDefault="00241BC2" w:rsidP="00241BC2">
      <w:pPr>
        <w:ind w:left="1642" w:right="1282"/>
        <w:rPr>
          <w:rFonts w:ascii="Arial TUR" w:hAnsi="Arial TUR" w:cs="FrankRuehl"/>
          <w:spacing w:val="10"/>
          <w:sz w:val="22"/>
          <w:szCs w:val="22"/>
          <w:rtl/>
        </w:rPr>
      </w:pPr>
      <w:r w:rsidRPr="001C78B4">
        <w:rPr>
          <w:rFonts w:cs="FrankRuehl" w:hint="cs"/>
          <w:sz w:val="22"/>
          <w:szCs w:val="22"/>
          <w:highlight w:val="yellow"/>
          <w:rtl/>
        </w:rPr>
        <w:t>הימורים</w:t>
      </w:r>
      <w:r w:rsidRPr="001C78B4">
        <w:rPr>
          <w:rFonts w:ascii="Arial TUR" w:hAnsi="Arial TUR" w:cs="FrankRuehl" w:hint="cs"/>
          <w:spacing w:val="10"/>
          <w:sz w:val="22"/>
          <w:szCs w:val="22"/>
          <w:highlight w:val="yellow"/>
          <w:rtl/>
        </w:rPr>
        <w:t>".</w:t>
      </w:r>
      <w:r w:rsidRPr="001C78B4">
        <w:rPr>
          <w:rFonts w:ascii="Arial TUR" w:hAnsi="Arial TUR" w:cs="FrankRuehl" w:hint="cs"/>
          <w:spacing w:val="10"/>
          <w:sz w:val="22"/>
          <w:szCs w:val="22"/>
          <w:rtl/>
        </w:rPr>
        <w:t xml:space="preserve"> </w:t>
      </w:r>
    </w:p>
    <w:p w:rsidR="00241BC2" w:rsidRPr="001C78B4" w:rsidRDefault="00241BC2" w:rsidP="00241BC2">
      <w:pPr>
        <w:pStyle w:val="Ruller41"/>
        <w:spacing w:after="120" w:line="240" w:lineRule="auto"/>
        <w:rPr>
          <w:rFonts w:ascii="Times New Roman" w:hAnsi="Times New Roman"/>
          <w:b/>
          <w:bCs/>
          <w:spacing w:val="0"/>
          <w:szCs w:val="22"/>
          <w:rtl/>
        </w:rPr>
      </w:pPr>
      <w:r w:rsidRPr="001C78B4">
        <w:rPr>
          <w:rFonts w:ascii="Times New Roman" w:hAnsi="Times New Roman" w:hint="cs"/>
          <w:b/>
          <w:bCs/>
          <w:spacing w:val="0"/>
          <w:szCs w:val="22"/>
          <w:rtl/>
        </w:rPr>
        <w:t>הערה</w:t>
      </w:r>
    </w:p>
    <w:p w:rsidR="00241BC2" w:rsidRPr="00EE7BEA" w:rsidRDefault="00241BC2" w:rsidP="00241BC2">
      <w:pPr>
        <w:pStyle w:val="Ruller4"/>
        <w:numPr>
          <w:ilvl w:val="0"/>
          <w:numId w:val="0"/>
        </w:numPr>
        <w:spacing w:after="120" w:line="240" w:lineRule="auto"/>
        <w:rPr>
          <w:sz w:val="22"/>
          <w:szCs w:val="22"/>
          <w:rtl/>
        </w:rPr>
      </w:pPr>
      <w:r w:rsidRPr="00EE7BEA">
        <w:rPr>
          <w:rFonts w:ascii="Times New Roman" w:hAnsi="Times New Roman" w:hint="cs"/>
          <w:sz w:val="22"/>
          <w:szCs w:val="22"/>
          <w:rtl/>
        </w:rPr>
        <w:t>56.</w:t>
      </w:r>
      <w:r w:rsidRPr="00EE7BEA">
        <w:rPr>
          <w:rFonts w:ascii="Times New Roman" w:hAnsi="Times New Roman" w:hint="cs"/>
          <w:sz w:val="22"/>
          <w:szCs w:val="22"/>
          <w:rtl/>
        </w:rPr>
        <w:tab/>
        <w:t xml:space="preserve">למקרא חוות דעתו של חברי, השופט </w:t>
      </w:r>
      <w:r w:rsidRPr="00EE7BEA">
        <w:rPr>
          <w:rFonts w:ascii="Times New Roman" w:hAnsi="Times New Roman" w:hint="cs"/>
          <w:spacing w:val="0"/>
          <w:sz w:val="22"/>
          <w:szCs w:val="22"/>
          <w:rtl/>
        </w:rPr>
        <w:t>ע' פוגלמן</w:t>
      </w:r>
      <w:r w:rsidRPr="00EE7BEA">
        <w:rPr>
          <w:rFonts w:ascii="Times New Roman" w:hAnsi="Times New Roman" w:hint="cs"/>
          <w:sz w:val="22"/>
          <w:szCs w:val="22"/>
          <w:rtl/>
        </w:rPr>
        <w:t>, דומני כי החמיר קמעא עם המדינה באשר לשימוש בצד ג' – ספּקי הגישה – לצורך הפעלת הסמכות שלפי סעיף 229 לחוק. נדרשתי לכך בפסקאו</w:t>
      </w:r>
      <w:hyperlink r:id="rId357" w:history="1">
        <w:r w:rsidRPr="00EE7BEA">
          <w:rPr>
            <w:rStyle w:val="Hyperlink"/>
            <w:rFonts w:ascii="Times New Roman" w:hAnsi="Times New Roman"/>
            <w:sz w:val="22"/>
            <w:szCs w:val="22"/>
            <w:rtl/>
          </w:rPr>
          <w:t>ת 45-44</w:t>
        </w:r>
      </w:hyperlink>
      <w:r w:rsidRPr="00EE7BEA">
        <w:rPr>
          <w:rFonts w:ascii="Times New Roman" w:hAnsi="Times New Roman" w:hint="cs"/>
          <w:sz w:val="22"/>
          <w:szCs w:val="22"/>
          <w:rtl/>
        </w:rPr>
        <w:t xml:space="preserve"> לעיל. אוסיף אך זאת: </w:t>
      </w:r>
      <w:r w:rsidRPr="00EE7BEA">
        <w:rPr>
          <w:rFonts w:hint="cs"/>
          <w:sz w:val="22"/>
          <w:szCs w:val="22"/>
          <w:rtl/>
        </w:rPr>
        <w:t xml:space="preserve">חברי מזכיר את ההבחנה הידועה בין </w:t>
      </w:r>
      <w:r w:rsidRPr="00EE7BEA">
        <w:rPr>
          <w:rFonts w:ascii="Times New Roman" w:hAnsi="Times New Roman" w:hint="cs"/>
          <w:spacing w:val="0"/>
          <w:sz w:val="22"/>
          <w:szCs w:val="22"/>
          <w:rtl/>
        </w:rPr>
        <w:t>אצילת סמכות</w:t>
      </w:r>
      <w:r w:rsidRPr="00EE7BEA">
        <w:rPr>
          <w:rFonts w:hint="cs"/>
          <w:sz w:val="22"/>
          <w:szCs w:val="22"/>
          <w:rtl/>
        </w:rPr>
        <w:t xml:space="preserve">, הכוללת גם הפעלת שיקול דעת, לבין </w:t>
      </w:r>
      <w:r w:rsidRPr="00EE7BEA">
        <w:rPr>
          <w:rFonts w:ascii="Times New Roman" w:hAnsi="Times New Roman" w:hint="cs"/>
          <w:spacing w:val="0"/>
          <w:sz w:val="22"/>
          <w:szCs w:val="22"/>
          <w:rtl/>
        </w:rPr>
        <w:t>הֵעזרוּת</w:t>
      </w:r>
      <w:r w:rsidRPr="00EE7BEA">
        <w:rPr>
          <w:rFonts w:hint="cs"/>
          <w:sz w:val="22"/>
          <w:szCs w:val="22"/>
          <w:rtl/>
        </w:rPr>
        <w:t xml:space="preserve"> בעניינים טכניים הקשורים להפעלת הסמכות. חברי מכיר בכך שספּקי הגישה לא נדרשו להפעיל שיקול דעת, והמשטרה ביקשה רק להסתייע בהם לשם ביצוע סמכותה. מדובר בפעולה טכנית של חסימת אתר לפי כתובת  </w:t>
      </w:r>
      <w:r w:rsidRPr="00EE7BEA">
        <w:rPr>
          <w:sz w:val="22"/>
          <w:szCs w:val="22"/>
        </w:rPr>
        <w:t>IP</w:t>
      </w:r>
      <w:r w:rsidRPr="00EE7BEA">
        <w:rPr>
          <w:rFonts w:hint="cs"/>
          <w:sz w:val="22"/>
          <w:szCs w:val="22"/>
          <w:rtl/>
        </w:rPr>
        <w:t xml:space="preserve"> המצויינת בצו. ברם, לדעת חברי, עדיין נדרש להוכיח כי ספּקי הגישה </w:t>
      </w:r>
      <w:r w:rsidRPr="00EE7BEA">
        <w:rPr>
          <w:rFonts w:ascii="Times New Roman" w:hAnsi="Times New Roman" w:hint="cs"/>
          <w:spacing w:val="0"/>
          <w:sz w:val="22"/>
          <w:szCs w:val="22"/>
          <w:rtl/>
        </w:rPr>
        <w:t>מסכימים</w:t>
      </w:r>
      <w:r w:rsidRPr="00EE7BEA">
        <w:rPr>
          <w:rFonts w:hint="cs"/>
          <w:sz w:val="22"/>
          <w:szCs w:val="22"/>
          <w:rtl/>
        </w:rPr>
        <w:t xml:space="preserve"> להיות לה, למשטרה, לעזר; וכי משהטילה המשטרה </w:t>
      </w:r>
      <w:r w:rsidRPr="00EE7BEA">
        <w:rPr>
          <w:rFonts w:ascii="Times New Roman" w:hAnsi="Times New Roman" w:hint="cs"/>
          <w:spacing w:val="0"/>
          <w:sz w:val="22"/>
          <w:szCs w:val="22"/>
          <w:rtl/>
        </w:rPr>
        <w:t>חובה</w:t>
      </w:r>
      <w:r w:rsidRPr="00EE7BEA">
        <w:rPr>
          <w:rFonts w:hint="cs"/>
          <w:sz w:val="22"/>
          <w:szCs w:val="22"/>
          <w:rtl/>
        </w:rPr>
        <w:t xml:space="preserve"> על ספקי הגישה, שוב אין זו הסתייעות. </w:t>
      </w:r>
    </w:p>
    <w:p w:rsidR="00241BC2" w:rsidRPr="00EE7BEA" w:rsidRDefault="00241BC2" w:rsidP="00241BC2">
      <w:pPr>
        <w:pStyle w:val="Ruller4"/>
        <w:numPr>
          <w:ilvl w:val="0"/>
          <w:numId w:val="0"/>
        </w:numPr>
        <w:spacing w:after="120" w:line="240" w:lineRule="auto"/>
        <w:rPr>
          <w:sz w:val="22"/>
          <w:szCs w:val="22"/>
          <w:rtl/>
        </w:rPr>
      </w:pPr>
      <w:r w:rsidRPr="00EE7BEA">
        <w:rPr>
          <w:rFonts w:hint="cs"/>
          <w:sz w:val="22"/>
          <w:szCs w:val="22"/>
          <w:rtl/>
        </w:rPr>
        <w:t xml:space="preserve">דעתי שונה. ראשית, נניח כי מפקד מחוז במשטרה מבקש להורות על סגירת חדר הואיל והוא משמש כמקום הימורים. לשם כך הוא מורה לצד ג', המחזיק במפתחות לאותו חדר, לנעול את החדר, מבלי לבקש את הסכמתו. האם יש פּסול בדבר הזה? אם מקום ההימורים לא היה באתר אינטרנט אלא בחדר בבית מלון, האם לא היתה המשטרה מוסמכת להורות לפקיד הקבלה לסייע לה בהפעלת סמכותה, לסגור אותו חדר או לפתחו? האם נדרש לשם כך תיקון חקיקתי? </w:t>
      </w:r>
    </w:p>
    <w:p w:rsidR="00241BC2" w:rsidRPr="00EE7BEA" w:rsidRDefault="00241BC2" w:rsidP="00241BC2">
      <w:pPr>
        <w:spacing w:after="120"/>
        <w:rPr>
          <w:rFonts w:cs="FrankRuehl"/>
          <w:sz w:val="22"/>
          <w:szCs w:val="22"/>
        </w:rPr>
      </w:pPr>
      <w:r w:rsidRPr="00EE7BEA">
        <w:rPr>
          <w:rFonts w:cs="FrankRuehl" w:hint="cs"/>
          <w:sz w:val="22"/>
          <w:szCs w:val="22"/>
          <w:rtl/>
        </w:rPr>
        <w:t xml:space="preserve">שנית, כאמור בפסקה 49 לעיל, עובר להוצאת הצו ניתנת לספּקי הגישה זכות טיעון; נגד החלטה על הוצאת הצו, רשאים ספּקי הגישה להגיש בקשה לעיון חוזר; גם עתירה לבית המשפט לעניינים מנהליים רשאים ספקי הגישה להגיש. בפועל, ספּקי הגישה לא עשו דבר מן הדברים הללו. יתכן שהשלימו עם הצווים מחמת אזרחות טובה; יתכן שיש להם אינטרס למנוע את הגישה לאתרי הימורים, כי בכך הם מקטינים את חשיפתם לתביעות (למשל: הורים שיתבעו את נזקיהם בעקבות הימורי ילדיהם באינטרנט). לא אכביר בהשערות כי דיינו בעובדות: </w:t>
      </w:r>
      <w:r w:rsidRPr="00EE7BEA">
        <w:rPr>
          <w:rFonts w:cs="FrankRuehl" w:hint="cs"/>
          <w:sz w:val="22"/>
          <w:szCs w:val="22"/>
          <w:highlight w:val="yellow"/>
          <w:rtl/>
        </w:rPr>
        <w:t>ספּקי הגישה לא נקטו בהליך משפטי כלשהו על מנת להביע את התנגדותם לצווים. חברי מבקש לדקדק בזכויותיהם של ספקי הגישה, והוא דורש הסכמה "מפורשת", "רצון כן ואמיתי".</w:t>
      </w:r>
      <w:r w:rsidRPr="00EE7BEA">
        <w:rPr>
          <w:rFonts w:cs="FrankRuehl" w:hint="cs"/>
          <w:sz w:val="22"/>
          <w:szCs w:val="22"/>
          <w:rtl/>
        </w:rPr>
        <w:t xml:space="preserve"> בנסיבות העניין דעתי שונה. בהגדה של פסח נֹאמר מחר בלילה לגבי הבן שאינו יודע לשאול, "את פתח לו", ובהשאלה אנו נוהגים כך לגבי אילם, מי שאינו מסוגל, או שאינו יודע לטעון את טענותיו או לעמוד על משמר זכויותיו. ספקי הגישה אינם כאלה, ואינני רואה הצדקה לנהוג כלפיהם באמת-מידה של "את פתח לו", כששערי בית המשפט פתוחים לפניהם, והם נמנעו במוּדע מלבוא בהם. ודוק: גם לעתיד לבוא, כל אימת שהמשטרה תבקש להוציא צו, יוכלו ספקי האינטרנט להתנגד, לטעון את טענותיהם עובר להוצאת הצו, לאחר הוצאתו, וכן גם להגיש עתירה מנהלית. </w:t>
      </w:r>
      <w:r w:rsidRPr="00EE7BEA">
        <w:rPr>
          <w:rFonts w:cs="FrankRuehl" w:hint="cs"/>
          <w:sz w:val="22"/>
          <w:szCs w:val="22"/>
          <w:highlight w:val="yellow"/>
          <w:rtl/>
        </w:rPr>
        <w:t>דומני אפוא כי אנו רשאים להחיל את הכלל התלמודי שלפיו "שתיקה כהודאה דמיא" (בבלי, יבמות פז, ב), להסיק הסכמה מן השתיקה, ולהסיר בכך את אבן הנגף מפני הפעלת סמכותה של המשטרה להגבלת גישה לאתרי הימורים באינטרנט</w:t>
      </w:r>
      <w:r w:rsidRPr="00EE7BEA">
        <w:rPr>
          <w:rFonts w:cs="FrankRuehl" w:hint="cs"/>
          <w:sz w:val="22"/>
          <w:szCs w:val="22"/>
          <w:rtl/>
        </w:rPr>
        <w:t>.</w:t>
      </w:r>
    </w:p>
    <w:p w:rsidR="00241BC2" w:rsidRDefault="00241BC2" w:rsidP="00241BC2">
      <w:pPr>
        <w:rPr>
          <w:sz w:val="20"/>
          <w:szCs w:val="20"/>
          <w:rtl/>
        </w:rPr>
      </w:pPr>
      <w:r>
        <w:rPr>
          <w:rFonts w:hint="cs"/>
          <w:sz w:val="20"/>
          <w:szCs w:val="20"/>
          <w:rtl/>
        </w:rPr>
        <w:t>=-=</w:t>
      </w:r>
    </w:p>
    <w:p w:rsidR="00241BC2" w:rsidRPr="00CB2D3C" w:rsidRDefault="00241BC2" w:rsidP="00241BC2">
      <w:pPr>
        <w:jc w:val="center"/>
        <w:rPr>
          <w:rFonts w:ascii="Arial" w:hAnsi="Arial" w:cs="Arial"/>
          <w:b/>
          <w:bCs/>
          <w:u w:val="single"/>
          <w:rtl/>
        </w:rPr>
      </w:pPr>
      <w:r>
        <w:rPr>
          <w:sz w:val="20"/>
          <w:szCs w:val="20"/>
          <w:rtl/>
        </w:rPr>
        <w:br w:type="page"/>
      </w:r>
      <w:r w:rsidRPr="00911BF7">
        <w:rPr>
          <w:rFonts w:ascii="Arial" w:hAnsi="Arial" w:cs="Guttman-Soncino" w:hint="cs"/>
          <w:b/>
          <w:bCs/>
          <w:sz w:val="28"/>
          <w:szCs w:val="28"/>
          <w:highlight w:val="yellow"/>
          <w:u w:val="single"/>
          <w:rtl/>
        </w:rPr>
        <w:t>תחילת דיון ב"הליך המינהלי", סוגיית "ה</w:t>
      </w:r>
      <w:r w:rsidRPr="00911BF7">
        <w:rPr>
          <w:rFonts w:ascii="Arial" w:hAnsi="Arial" w:cs="Guttman-Soncino"/>
          <w:b/>
          <w:bCs/>
          <w:sz w:val="28"/>
          <w:szCs w:val="28"/>
          <w:highlight w:val="yellow"/>
          <w:u w:val="single"/>
          <w:rtl/>
        </w:rPr>
        <w:t>הנחיות מינהליות</w:t>
      </w:r>
      <w:r w:rsidRPr="00911BF7">
        <w:rPr>
          <w:rFonts w:ascii="Arial" w:hAnsi="Arial" w:cs="Guttman-Soncino" w:hint="cs"/>
          <w:b/>
          <w:bCs/>
          <w:sz w:val="28"/>
          <w:szCs w:val="28"/>
          <w:highlight w:val="yellow"/>
          <w:u w:val="single"/>
          <w:rtl/>
        </w:rPr>
        <w:t>"</w:t>
      </w:r>
    </w:p>
    <w:p w:rsidR="00241BC2" w:rsidRDefault="00241BC2" w:rsidP="00241BC2">
      <w:pPr>
        <w:rPr>
          <w:sz w:val="22"/>
          <w:szCs w:val="22"/>
          <w:rtl/>
        </w:rPr>
      </w:pPr>
    </w:p>
    <w:p w:rsidR="00241BC2" w:rsidRPr="00D73540" w:rsidRDefault="00241BC2" w:rsidP="00241BC2">
      <w:pPr>
        <w:rPr>
          <w:rFonts w:cs="Guttman-Soncino"/>
          <w:b/>
          <w:bCs/>
          <w:sz w:val="32"/>
          <w:szCs w:val="32"/>
          <w:u w:val="single"/>
          <w:rtl/>
        </w:rPr>
      </w:pPr>
      <w:r w:rsidRPr="00D73540">
        <w:rPr>
          <w:rFonts w:cs="Guttman-Soncino" w:hint="cs"/>
          <w:b/>
          <w:bCs/>
          <w:sz w:val="32"/>
          <w:szCs w:val="32"/>
          <w:highlight w:val="yellow"/>
          <w:u w:val="single"/>
          <w:rtl/>
        </w:rPr>
        <w:t>הנחיות מינהליות</w:t>
      </w:r>
    </w:p>
    <w:p w:rsidR="00241BC2" w:rsidRDefault="00241BC2" w:rsidP="00241BC2">
      <w:pPr>
        <w:rPr>
          <w:sz w:val="20"/>
          <w:szCs w:val="20"/>
          <w:rtl/>
        </w:rPr>
      </w:pPr>
    </w:p>
    <w:p w:rsidR="00241BC2" w:rsidRPr="008D2CD0" w:rsidRDefault="00241BC2" w:rsidP="00241BC2">
      <w:pPr>
        <w:rPr>
          <w:i/>
          <w:iCs/>
          <w:sz w:val="20"/>
          <w:szCs w:val="20"/>
          <w:rtl/>
        </w:rPr>
      </w:pPr>
      <w:r w:rsidRPr="008D2CD0">
        <w:rPr>
          <w:rFonts w:hint="cs"/>
          <w:i/>
          <w:iCs/>
          <w:sz w:val="20"/>
          <w:szCs w:val="20"/>
          <w:rtl/>
        </w:rPr>
        <w:t>להלן תיאור וניתוח של פרופ' זמיר בספרו "הסמכות המינהלית".</w:t>
      </w:r>
    </w:p>
    <w:p w:rsidR="00241BC2" w:rsidRPr="00A95752" w:rsidRDefault="00241BC2" w:rsidP="00241BC2">
      <w:pPr>
        <w:rPr>
          <w:sz w:val="20"/>
          <w:szCs w:val="20"/>
          <w:rtl/>
        </w:rPr>
      </w:pPr>
      <w:r w:rsidRPr="00D73540">
        <w:rPr>
          <w:rFonts w:hint="cs"/>
          <w:b/>
          <w:bCs/>
          <w:sz w:val="20"/>
          <w:szCs w:val="20"/>
          <w:highlight w:val="yellow"/>
          <w:rtl/>
        </w:rPr>
        <w:t>הנחיות מינהליות</w:t>
      </w:r>
      <w:r w:rsidRPr="008D2CD0">
        <w:rPr>
          <w:rFonts w:hint="cs"/>
          <w:sz w:val="20"/>
          <w:szCs w:val="20"/>
          <w:highlight w:val="yellow"/>
          <w:rtl/>
        </w:rPr>
        <w:t xml:space="preserve"> הן כללים שהמינהל הציבורי קובע כדי להדריך את עצמו (עובדיו) במילוי תפקידיו.  מדובר בכללים שיש גמישות מסוימת ביחס לסטייה מהם.</w:t>
      </w:r>
      <w:r>
        <w:rPr>
          <w:rFonts w:hint="cs"/>
          <w:sz w:val="20"/>
          <w:szCs w:val="20"/>
          <w:rtl/>
        </w:rPr>
        <w:t xml:space="preserve">  </w:t>
      </w:r>
      <w:r w:rsidRPr="00A95752">
        <w:rPr>
          <w:rFonts w:hint="cs"/>
          <w:sz w:val="20"/>
          <w:szCs w:val="20"/>
          <w:rtl/>
        </w:rPr>
        <w:t xml:space="preserve">הן קרויות בשמות משמות שונים: </w:t>
      </w:r>
      <w:r w:rsidRPr="008D2CD0">
        <w:rPr>
          <w:rFonts w:hint="cs"/>
          <w:sz w:val="20"/>
          <w:szCs w:val="20"/>
          <w:highlight w:val="yellow"/>
          <w:rtl/>
        </w:rPr>
        <w:t xml:space="preserve">הנחיות פנימיות, </w:t>
      </w:r>
      <w:r>
        <w:rPr>
          <w:rFonts w:hint="cs"/>
          <w:sz w:val="20"/>
          <w:szCs w:val="20"/>
          <w:highlight w:val="yellow"/>
          <w:rtl/>
        </w:rPr>
        <w:t>קווי-</w:t>
      </w:r>
      <w:r w:rsidRPr="008D2CD0">
        <w:rPr>
          <w:rFonts w:hint="cs"/>
          <w:sz w:val="20"/>
          <w:szCs w:val="20"/>
          <w:highlight w:val="yellow"/>
          <w:rtl/>
        </w:rPr>
        <w:t>מדיניות, נוהל, קווי</w:t>
      </w:r>
      <w:r>
        <w:rPr>
          <w:rFonts w:hint="cs"/>
          <w:sz w:val="20"/>
          <w:szCs w:val="20"/>
          <w:highlight w:val="yellow"/>
          <w:rtl/>
        </w:rPr>
        <w:t>-</w:t>
      </w:r>
      <w:r w:rsidRPr="008D2CD0">
        <w:rPr>
          <w:rFonts w:hint="cs"/>
          <w:sz w:val="20"/>
          <w:szCs w:val="20"/>
          <w:highlight w:val="yellow"/>
          <w:rtl/>
        </w:rPr>
        <w:t>פעולה, קריטריונים</w:t>
      </w:r>
      <w:r w:rsidRPr="00602A83">
        <w:rPr>
          <w:rFonts w:hint="cs"/>
          <w:sz w:val="20"/>
          <w:szCs w:val="20"/>
          <w:highlight w:val="yellow"/>
          <w:rtl/>
        </w:rPr>
        <w:t xml:space="preserve">, </w:t>
      </w:r>
      <w:r>
        <w:rPr>
          <w:rFonts w:hint="cs"/>
          <w:sz w:val="20"/>
          <w:szCs w:val="20"/>
          <w:highlight w:val="yellow"/>
          <w:rtl/>
        </w:rPr>
        <w:t>[(=</w:t>
      </w:r>
      <w:r w:rsidRPr="00602A83">
        <w:rPr>
          <w:rFonts w:hint="cs"/>
          <w:sz w:val="20"/>
          <w:szCs w:val="20"/>
          <w:highlight w:val="yellow"/>
          <w:rtl/>
        </w:rPr>
        <w:t>תבחינים, אמות מידה</w:t>
      </w:r>
      <w:r>
        <w:rPr>
          <w:rFonts w:hint="cs"/>
          <w:sz w:val="20"/>
          <w:szCs w:val="20"/>
          <w:rtl/>
        </w:rPr>
        <w:t>), חוזרים]</w:t>
      </w:r>
      <w:r w:rsidRPr="00A95752">
        <w:rPr>
          <w:rFonts w:hint="cs"/>
          <w:sz w:val="20"/>
          <w:szCs w:val="20"/>
          <w:rtl/>
        </w:rPr>
        <w:t xml:space="preserve"> ועוד.  </w:t>
      </w:r>
    </w:p>
    <w:p w:rsidR="00241BC2" w:rsidRPr="00A95752" w:rsidRDefault="00241BC2" w:rsidP="00241BC2">
      <w:pPr>
        <w:rPr>
          <w:sz w:val="20"/>
          <w:szCs w:val="20"/>
          <w:rtl/>
        </w:rPr>
      </w:pPr>
      <w:r w:rsidRPr="00A95752">
        <w:rPr>
          <w:rFonts w:hint="cs"/>
          <w:sz w:val="20"/>
          <w:szCs w:val="20"/>
          <w:rtl/>
        </w:rPr>
        <w:t xml:space="preserve">המכנה המשותף לכל אלה הוא כפול: </w:t>
      </w:r>
    </w:p>
    <w:p w:rsidR="00241BC2" w:rsidRPr="00A95752" w:rsidRDefault="00241BC2" w:rsidP="00241BC2">
      <w:pPr>
        <w:ind w:left="720"/>
        <w:rPr>
          <w:sz w:val="20"/>
          <w:szCs w:val="20"/>
          <w:rtl/>
        </w:rPr>
      </w:pPr>
      <w:r w:rsidRPr="00A95752">
        <w:rPr>
          <w:rFonts w:hint="cs"/>
          <w:sz w:val="20"/>
          <w:szCs w:val="20"/>
          <w:rtl/>
        </w:rPr>
        <w:t xml:space="preserve">מצד אחד, אלה הם כללים במובן זה שהם מתווים התנהגות, לא </w:t>
      </w:r>
      <w:r>
        <w:rPr>
          <w:rFonts w:hint="cs"/>
          <w:sz w:val="20"/>
          <w:szCs w:val="20"/>
          <w:rtl/>
        </w:rPr>
        <w:t xml:space="preserve">כיצד לפעול </w:t>
      </w:r>
      <w:r w:rsidRPr="00A95752">
        <w:rPr>
          <w:rFonts w:hint="cs"/>
          <w:sz w:val="20"/>
          <w:szCs w:val="20"/>
          <w:rtl/>
        </w:rPr>
        <w:t xml:space="preserve">במקרה אחד </w:t>
      </w:r>
      <w:r>
        <w:rPr>
          <w:rFonts w:hint="cs"/>
          <w:sz w:val="20"/>
          <w:szCs w:val="20"/>
          <w:rtl/>
        </w:rPr>
        <w:t xml:space="preserve">מסוים </w:t>
      </w:r>
      <w:r w:rsidRPr="00A95752">
        <w:rPr>
          <w:rFonts w:hint="cs"/>
          <w:sz w:val="20"/>
          <w:szCs w:val="20"/>
          <w:rtl/>
        </w:rPr>
        <w:t xml:space="preserve">אלא בסוג של מקרים; </w:t>
      </w:r>
    </w:p>
    <w:p w:rsidR="00241BC2" w:rsidRPr="00A95752" w:rsidRDefault="00241BC2" w:rsidP="00241BC2">
      <w:pPr>
        <w:ind w:left="720"/>
        <w:rPr>
          <w:sz w:val="20"/>
          <w:szCs w:val="20"/>
          <w:rtl/>
        </w:rPr>
      </w:pPr>
      <w:r w:rsidRPr="00A95752">
        <w:rPr>
          <w:rFonts w:hint="cs"/>
          <w:sz w:val="20"/>
          <w:szCs w:val="20"/>
          <w:rtl/>
        </w:rPr>
        <w:t>מצד שני, אין הם כללים נוקשים, כמו חוק או תקנה שאסור לסטות מהם</w:t>
      </w:r>
      <w:r>
        <w:rPr>
          <w:rFonts w:hint="cs"/>
          <w:sz w:val="20"/>
          <w:szCs w:val="20"/>
          <w:rtl/>
        </w:rPr>
        <w:t>;</w:t>
      </w:r>
      <w:r w:rsidRPr="00A95752">
        <w:rPr>
          <w:rFonts w:hint="cs"/>
          <w:sz w:val="20"/>
          <w:szCs w:val="20"/>
          <w:rtl/>
        </w:rPr>
        <w:t xml:space="preserve"> אלא הם כללים </w:t>
      </w:r>
      <w:r>
        <w:rPr>
          <w:rFonts w:hint="cs"/>
          <w:sz w:val="20"/>
          <w:szCs w:val="20"/>
          <w:rtl/>
        </w:rPr>
        <w:t xml:space="preserve">שהם </w:t>
      </w:r>
      <w:r w:rsidRPr="00A95752">
        <w:rPr>
          <w:rFonts w:hint="cs"/>
          <w:sz w:val="20"/>
          <w:szCs w:val="20"/>
          <w:rtl/>
        </w:rPr>
        <w:t xml:space="preserve">גמישים </w:t>
      </w:r>
      <w:r>
        <w:rPr>
          <w:rFonts w:hint="cs"/>
          <w:sz w:val="20"/>
          <w:szCs w:val="20"/>
          <w:rtl/>
        </w:rPr>
        <w:t xml:space="preserve">במידה מסוימת, כלומר </w:t>
      </w:r>
      <w:r w:rsidRPr="00A95752">
        <w:rPr>
          <w:rFonts w:hint="cs"/>
          <w:sz w:val="20"/>
          <w:szCs w:val="20"/>
          <w:rtl/>
        </w:rPr>
        <w:t>שאפשר</w:t>
      </w:r>
      <w:r>
        <w:rPr>
          <w:rFonts w:hint="cs"/>
          <w:sz w:val="20"/>
          <w:szCs w:val="20"/>
          <w:rtl/>
        </w:rPr>
        <w:t xml:space="preserve"> בנסיבות מיוחדות</w:t>
      </w:r>
      <w:r w:rsidRPr="00A95752">
        <w:rPr>
          <w:rFonts w:hint="cs"/>
          <w:sz w:val="20"/>
          <w:szCs w:val="20"/>
          <w:rtl/>
        </w:rPr>
        <w:t xml:space="preserve"> </w:t>
      </w:r>
      <w:r w:rsidRPr="00A95752">
        <w:rPr>
          <w:rFonts w:hint="cs"/>
          <w:b/>
          <w:bCs/>
          <w:sz w:val="20"/>
          <w:szCs w:val="20"/>
          <w:rtl/>
        </w:rPr>
        <w:t>ולעיתים חובה</w:t>
      </w:r>
      <w:r w:rsidRPr="00A95752">
        <w:rPr>
          <w:rFonts w:hint="cs"/>
          <w:sz w:val="20"/>
          <w:szCs w:val="20"/>
          <w:rtl/>
        </w:rPr>
        <w:t xml:space="preserve"> לסטות מהם בנסיבות </w:t>
      </w:r>
      <w:r>
        <w:rPr>
          <w:rFonts w:hint="cs"/>
          <w:sz w:val="20"/>
          <w:szCs w:val="20"/>
          <w:rtl/>
        </w:rPr>
        <w:t>חריגות</w:t>
      </w:r>
      <w:r w:rsidRPr="00A95752">
        <w:rPr>
          <w:rFonts w:hint="cs"/>
          <w:sz w:val="20"/>
          <w:szCs w:val="20"/>
          <w:rtl/>
        </w:rPr>
        <w:t xml:space="preserve">.  </w:t>
      </w:r>
    </w:p>
    <w:p w:rsidR="00241BC2" w:rsidRPr="00A95752" w:rsidRDefault="00241BC2" w:rsidP="00241BC2">
      <w:pPr>
        <w:rPr>
          <w:sz w:val="20"/>
          <w:szCs w:val="20"/>
          <w:rtl/>
        </w:rPr>
      </w:pPr>
      <w:r w:rsidRPr="0078163F">
        <w:rPr>
          <w:rFonts w:hint="cs"/>
          <w:b/>
          <w:bCs/>
          <w:sz w:val="20"/>
          <w:szCs w:val="20"/>
          <w:rtl/>
        </w:rPr>
        <w:t>מצויים שלושה סוגים עיקריים של הנחיות</w:t>
      </w:r>
      <w:r w:rsidRPr="00A95752">
        <w:rPr>
          <w:rFonts w:hint="cs"/>
          <w:sz w:val="20"/>
          <w:szCs w:val="20"/>
          <w:rtl/>
        </w:rPr>
        <w:t xml:space="preserve">: </w:t>
      </w:r>
    </w:p>
    <w:p w:rsidR="00241BC2" w:rsidRPr="00D73540" w:rsidRDefault="00241BC2" w:rsidP="00241BC2">
      <w:pPr>
        <w:ind w:left="253"/>
        <w:rPr>
          <w:b/>
          <w:bCs/>
          <w:sz w:val="20"/>
          <w:szCs w:val="20"/>
          <w:rtl/>
        </w:rPr>
      </w:pPr>
      <w:r w:rsidRPr="00D73540">
        <w:rPr>
          <w:rFonts w:hint="cs"/>
          <w:b/>
          <w:bCs/>
          <w:sz w:val="20"/>
          <w:szCs w:val="20"/>
          <w:rtl/>
        </w:rPr>
        <w:t xml:space="preserve">הנחיות ממונה </w:t>
      </w:r>
    </w:p>
    <w:p w:rsidR="00241BC2" w:rsidRPr="00A95752" w:rsidRDefault="00241BC2" w:rsidP="00241BC2">
      <w:pPr>
        <w:ind w:left="253"/>
        <w:rPr>
          <w:sz w:val="20"/>
          <w:szCs w:val="20"/>
          <w:rtl/>
        </w:rPr>
      </w:pPr>
      <w:r w:rsidRPr="00D73540">
        <w:rPr>
          <w:rFonts w:hint="cs"/>
          <w:b/>
          <w:bCs/>
          <w:sz w:val="20"/>
          <w:szCs w:val="20"/>
          <w:rtl/>
        </w:rPr>
        <w:t>הנחיות עצמיות</w:t>
      </w:r>
      <w:r w:rsidRPr="00A95752">
        <w:rPr>
          <w:rFonts w:hint="cs"/>
          <w:sz w:val="20"/>
          <w:szCs w:val="20"/>
          <w:rtl/>
        </w:rPr>
        <w:t xml:space="preserve"> </w:t>
      </w:r>
    </w:p>
    <w:p w:rsidR="00241BC2" w:rsidRPr="00A95752" w:rsidRDefault="00241BC2" w:rsidP="00241BC2">
      <w:pPr>
        <w:ind w:left="720"/>
        <w:rPr>
          <w:sz w:val="20"/>
          <w:szCs w:val="20"/>
          <w:rtl/>
        </w:rPr>
      </w:pPr>
      <w:r w:rsidRPr="00A95752">
        <w:rPr>
          <w:rFonts w:hint="cs"/>
          <w:sz w:val="20"/>
          <w:szCs w:val="20"/>
          <w:rtl/>
        </w:rPr>
        <w:t xml:space="preserve">הנחיות שרשות קובעת כדי להדריך את עצמה בהפעלת סמכותה.  למשל הנחיותיו של שר הפנים ביחס למתן אשרות שהות ואשרות תושבות בישראל; או הנחיות של פקיד הרישוי לפי חוק כלי היריה, </w:t>
      </w:r>
      <w:r>
        <w:rPr>
          <w:rFonts w:hint="cs"/>
          <w:sz w:val="20"/>
          <w:szCs w:val="20"/>
          <w:rtl/>
        </w:rPr>
        <w:t>ה</w:t>
      </w:r>
      <w:r w:rsidRPr="00A95752">
        <w:rPr>
          <w:rFonts w:hint="cs"/>
          <w:sz w:val="20"/>
          <w:szCs w:val="20"/>
          <w:rtl/>
        </w:rPr>
        <w:t>תש"ט</w:t>
      </w:r>
      <w:r>
        <w:rPr>
          <w:rFonts w:hint="cs"/>
          <w:sz w:val="20"/>
          <w:szCs w:val="20"/>
          <w:rtl/>
        </w:rPr>
        <w:t>-</w:t>
      </w:r>
      <w:r w:rsidRPr="00A95752">
        <w:rPr>
          <w:rFonts w:hint="cs"/>
          <w:sz w:val="20"/>
          <w:szCs w:val="20"/>
          <w:rtl/>
        </w:rPr>
        <w:t>1949.</w:t>
      </w:r>
    </w:p>
    <w:p w:rsidR="00241BC2" w:rsidRPr="00D73540" w:rsidRDefault="00241BC2" w:rsidP="00241BC2">
      <w:pPr>
        <w:ind w:left="253"/>
        <w:rPr>
          <w:b/>
          <w:bCs/>
          <w:sz w:val="20"/>
          <w:szCs w:val="20"/>
          <w:rtl/>
        </w:rPr>
      </w:pPr>
      <w:r w:rsidRPr="00D73540">
        <w:rPr>
          <w:rFonts w:hint="cs"/>
          <w:b/>
          <w:bCs/>
          <w:sz w:val="20"/>
          <w:szCs w:val="20"/>
          <w:rtl/>
        </w:rPr>
        <w:t>הנחיות חיצוניות</w:t>
      </w:r>
    </w:p>
    <w:p w:rsidR="00241BC2" w:rsidRDefault="00241BC2" w:rsidP="00241BC2">
      <w:pPr>
        <w:ind w:left="720"/>
        <w:rPr>
          <w:sz w:val="20"/>
          <w:szCs w:val="20"/>
          <w:rtl/>
        </w:rPr>
      </w:pPr>
      <w:r w:rsidRPr="00A95752">
        <w:rPr>
          <w:rFonts w:hint="cs"/>
          <w:sz w:val="20"/>
          <w:szCs w:val="20"/>
          <w:rtl/>
        </w:rPr>
        <w:t xml:space="preserve">הנחיות היוצאות מאת גורמים שונים של המינהל הציבורי, שיש להם זיקה עניינית או אחרת אל הרשות המינהלית.  </w:t>
      </w:r>
      <w:r>
        <w:rPr>
          <w:rFonts w:hint="cs"/>
          <w:sz w:val="20"/>
          <w:szCs w:val="20"/>
          <w:rtl/>
        </w:rPr>
        <w:t xml:space="preserve">למשל, </w:t>
      </w:r>
      <w:r w:rsidRPr="00A95752">
        <w:rPr>
          <w:rFonts w:hint="cs"/>
          <w:sz w:val="20"/>
          <w:szCs w:val="20"/>
          <w:rtl/>
        </w:rPr>
        <w:t>משרד הפנים אל הרשויות המקומיות; הנחיות היוצאות מן המשטרה אל קציני בטחון במשרדי הממשלה; הנחיות החשב הכללי במשרד האוצר בעניין רכישת טובין ושירותים על ידי משרדי הממשלה.</w:t>
      </w:r>
    </w:p>
    <w:p w:rsidR="00241BC2" w:rsidRPr="00A95752" w:rsidRDefault="00241BC2" w:rsidP="00241BC2">
      <w:pPr>
        <w:ind w:left="720"/>
        <w:rPr>
          <w:sz w:val="20"/>
          <w:szCs w:val="20"/>
          <w:rtl/>
        </w:rPr>
      </w:pPr>
    </w:p>
    <w:p w:rsidR="00241BC2" w:rsidRDefault="00241BC2" w:rsidP="00241BC2">
      <w:pPr>
        <w:spacing w:after="60"/>
        <w:rPr>
          <w:b/>
          <w:bCs/>
          <w:sz w:val="20"/>
          <w:szCs w:val="20"/>
          <w:rtl/>
        </w:rPr>
      </w:pPr>
      <w:r w:rsidRPr="0078163F">
        <w:rPr>
          <w:rFonts w:hint="cs"/>
          <w:b/>
          <w:bCs/>
          <w:sz w:val="20"/>
          <w:szCs w:val="20"/>
          <w:rtl/>
        </w:rPr>
        <w:t>ההנחיות שונות מ</w:t>
      </w:r>
      <w:r>
        <w:rPr>
          <w:rFonts w:hint="cs"/>
          <w:b/>
          <w:bCs/>
          <w:sz w:val="20"/>
          <w:szCs w:val="20"/>
          <w:rtl/>
        </w:rPr>
        <w:t>"</w:t>
      </w:r>
      <w:r w:rsidRPr="0078163F">
        <w:rPr>
          <w:rFonts w:hint="cs"/>
          <w:b/>
          <w:bCs/>
          <w:sz w:val="20"/>
          <w:szCs w:val="20"/>
          <w:rtl/>
        </w:rPr>
        <w:t>תקנות</w:t>
      </w:r>
      <w:r>
        <w:rPr>
          <w:rFonts w:hint="cs"/>
          <w:b/>
          <w:bCs/>
          <w:sz w:val="20"/>
          <w:szCs w:val="20"/>
          <w:rtl/>
        </w:rPr>
        <w:t xml:space="preserve">" או "חוקי עזר" עירוניים </w:t>
      </w:r>
      <w:r>
        <w:rPr>
          <w:b/>
          <w:bCs/>
          <w:sz w:val="20"/>
          <w:szCs w:val="20"/>
          <w:rtl/>
        </w:rPr>
        <w:t>–</w:t>
      </w:r>
      <w:r>
        <w:rPr>
          <w:rFonts w:hint="cs"/>
          <w:b/>
          <w:bCs/>
          <w:sz w:val="20"/>
          <w:szCs w:val="20"/>
          <w:rtl/>
        </w:rPr>
        <w:t xml:space="preserve"> קרי, הן שונות מחקיקת משנה </w:t>
      </w:r>
      <w:r>
        <w:rPr>
          <w:b/>
          <w:bCs/>
          <w:sz w:val="20"/>
          <w:szCs w:val="20"/>
          <w:rtl/>
        </w:rPr>
        <w:t>–</w:t>
      </w:r>
      <w:r w:rsidRPr="0078163F">
        <w:rPr>
          <w:rFonts w:hint="cs"/>
          <w:b/>
          <w:bCs/>
          <w:sz w:val="20"/>
          <w:szCs w:val="20"/>
          <w:rtl/>
        </w:rPr>
        <w:t xml:space="preserve"> בעיקר בגמישות</w:t>
      </w:r>
      <w:r>
        <w:rPr>
          <w:rFonts w:hint="cs"/>
          <w:b/>
          <w:bCs/>
          <w:sz w:val="20"/>
          <w:szCs w:val="20"/>
          <w:rtl/>
        </w:rPr>
        <w:t>ן המסוימת</w:t>
      </w:r>
      <w:r w:rsidRPr="0078163F">
        <w:rPr>
          <w:rFonts w:hint="cs"/>
          <w:b/>
          <w:bCs/>
          <w:sz w:val="20"/>
          <w:szCs w:val="20"/>
          <w:rtl/>
        </w:rPr>
        <w:t xml:space="preserve">.  </w:t>
      </w:r>
    </w:p>
    <w:p w:rsidR="00241BC2" w:rsidRDefault="00241BC2" w:rsidP="00241BC2">
      <w:pPr>
        <w:spacing w:after="60"/>
        <w:ind w:left="1440" w:hanging="720"/>
        <w:rPr>
          <w:sz w:val="20"/>
          <w:szCs w:val="20"/>
          <w:rtl/>
        </w:rPr>
      </w:pPr>
      <w:r w:rsidRPr="0078163F">
        <w:rPr>
          <w:rFonts w:hint="cs"/>
          <w:b/>
          <w:bCs/>
          <w:sz w:val="20"/>
          <w:szCs w:val="20"/>
          <w:rtl/>
        </w:rPr>
        <w:t>תקנות</w:t>
      </w:r>
      <w:r>
        <w:rPr>
          <w:rFonts w:hint="cs"/>
          <w:b/>
          <w:bCs/>
          <w:sz w:val="20"/>
          <w:szCs w:val="20"/>
          <w:rtl/>
        </w:rPr>
        <w:t xml:space="preserve"> וחוקי-עזר מותקנים על ידי הרשות המינהלית, ומטיבם הם </w:t>
      </w:r>
      <w:r w:rsidRPr="0078163F">
        <w:rPr>
          <w:rFonts w:hint="cs"/>
          <w:b/>
          <w:bCs/>
          <w:sz w:val="20"/>
          <w:szCs w:val="20"/>
          <w:rtl/>
        </w:rPr>
        <w:t>נוקש</w:t>
      </w:r>
      <w:r>
        <w:rPr>
          <w:rFonts w:hint="cs"/>
          <w:b/>
          <w:bCs/>
          <w:sz w:val="20"/>
          <w:szCs w:val="20"/>
          <w:rtl/>
        </w:rPr>
        <w:t>ים</w:t>
      </w:r>
      <w:r w:rsidRPr="0078163F">
        <w:rPr>
          <w:rFonts w:hint="cs"/>
          <w:b/>
          <w:bCs/>
          <w:sz w:val="20"/>
          <w:szCs w:val="20"/>
          <w:rtl/>
        </w:rPr>
        <w:t xml:space="preserve"> </w:t>
      </w:r>
      <w:r w:rsidRPr="00B8222F">
        <w:rPr>
          <w:rFonts w:hint="cs"/>
          <w:sz w:val="20"/>
          <w:szCs w:val="20"/>
          <w:rtl/>
        </w:rPr>
        <w:t xml:space="preserve">(כמו שחוק הוא נוקשה; החוק, התקנה, חוק-העזר יכולים כמובן לקבוע בתוכם גמישות, סייגים, שיקול-דעת, ואולם לאחר גיבוש הדין כולם כפופים לו, גם הרשות שיצרה אותו. אם היא רוצה למשל להשיג יתר גמישות, היא צריכה </w:t>
      </w:r>
      <w:r w:rsidRPr="00B8222F">
        <w:rPr>
          <w:rFonts w:hint="cs"/>
          <w:i/>
          <w:iCs/>
          <w:sz w:val="20"/>
          <w:szCs w:val="20"/>
          <w:rtl/>
        </w:rPr>
        <w:t xml:space="preserve">לתקן </w:t>
      </w:r>
      <w:r w:rsidRPr="00B8222F">
        <w:rPr>
          <w:rFonts w:hint="cs"/>
          <w:sz w:val="20"/>
          <w:szCs w:val="20"/>
          <w:rtl/>
        </w:rPr>
        <w:t>את הדין).</w:t>
      </w:r>
      <w:r w:rsidRPr="0078163F">
        <w:rPr>
          <w:rFonts w:hint="cs"/>
          <w:b/>
          <w:bCs/>
          <w:sz w:val="20"/>
          <w:szCs w:val="20"/>
          <w:rtl/>
        </w:rPr>
        <w:t xml:space="preserve">  </w:t>
      </w:r>
      <w:r w:rsidRPr="00A95752">
        <w:rPr>
          <w:rFonts w:hint="cs"/>
          <w:sz w:val="20"/>
          <w:szCs w:val="20"/>
          <w:rtl/>
        </w:rPr>
        <w:t>אפילו הרשות שהתקינה את</w:t>
      </w:r>
      <w:r>
        <w:rPr>
          <w:rFonts w:hint="cs"/>
          <w:sz w:val="20"/>
          <w:szCs w:val="20"/>
          <w:rtl/>
        </w:rPr>
        <w:t xml:space="preserve"> התקנות</w:t>
      </w:r>
      <w:r w:rsidRPr="00A95752">
        <w:rPr>
          <w:rFonts w:hint="cs"/>
          <w:sz w:val="20"/>
          <w:szCs w:val="20"/>
          <w:rtl/>
        </w:rPr>
        <w:t xml:space="preserve">, אף שהיא רשאית לשנותן או לבטלן, אינה רשאית לסטות מהן (כל עוד לא </w:t>
      </w:r>
      <w:r>
        <w:rPr>
          <w:rFonts w:hint="cs"/>
          <w:sz w:val="20"/>
          <w:szCs w:val="20"/>
          <w:rtl/>
        </w:rPr>
        <w:t xml:space="preserve">תיקנה אותן [כלומר </w:t>
      </w:r>
      <w:r w:rsidRPr="00A95752">
        <w:rPr>
          <w:rFonts w:hint="cs"/>
          <w:sz w:val="20"/>
          <w:szCs w:val="20"/>
          <w:rtl/>
        </w:rPr>
        <w:t>שינתה או ביטלה</w:t>
      </w:r>
      <w:r>
        <w:rPr>
          <w:rFonts w:hint="cs"/>
          <w:sz w:val="20"/>
          <w:szCs w:val="20"/>
          <w:rtl/>
        </w:rPr>
        <w:t xml:space="preserve"> אותן]</w:t>
      </w:r>
      <w:r w:rsidRPr="00A95752">
        <w:rPr>
          <w:rFonts w:hint="cs"/>
          <w:sz w:val="20"/>
          <w:szCs w:val="20"/>
          <w:rtl/>
        </w:rPr>
        <w:t xml:space="preserve">).  </w:t>
      </w:r>
    </w:p>
    <w:p w:rsidR="00241BC2" w:rsidRDefault="00241BC2" w:rsidP="00241BC2">
      <w:pPr>
        <w:ind w:left="1440" w:hanging="720"/>
        <w:rPr>
          <w:sz w:val="20"/>
          <w:szCs w:val="20"/>
          <w:rtl/>
        </w:rPr>
      </w:pPr>
      <w:r w:rsidRPr="0078163F">
        <w:rPr>
          <w:rFonts w:hint="cs"/>
          <w:b/>
          <w:bCs/>
          <w:sz w:val="20"/>
          <w:szCs w:val="20"/>
          <w:rtl/>
        </w:rPr>
        <w:t>ההנחיות לעומת זאת גמישות</w:t>
      </w:r>
      <w:r>
        <w:rPr>
          <w:rFonts w:hint="cs"/>
          <w:b/>
          <w:bCs/>
          <w:sz w:val="20"/>
          <w:szCs w:val="20"/>
          <w:rtl/>
        </w:rPr>
        <w:t xml:space="preserve"> [גמישות במידה מסוימת, יש לומר]</w:t>
      </w:r>
      <w:r w:rsidRPr="0078163F">
        <w:rPr>
          <w:rFonts w:hint="cs"/>
          <w:b/>
          <w:bCs/>
          <w:sz w:val="20"/>
          <w:szCs w:val="20"/>
          <w:rtl/>
        </w:rPr>
        <w:t xml:space="preserve">.  </w:t>
      </w:r>
      <w:r w:rsidRPr="00A95752">
        <w:rPr>
          <w:rFonts w:hint="cs"/>
          <w:sz w:val="20"/>
          <w:szCs w:val="20"/>
          <w:rtl/>
        </w:rPr>
        <w:t>הן אינן מחייבות את הרשות להפעיל את סמכותה בדרך מסוימת אלא רק מנחות אותה בהפעלת שיקול דעתה.</w:t>
      </w:r>
      <w:r>
        <w:rPr>
          <w:rFonts w:hint="cs"/>
          <w:sz w:val="20"/>
          <w:szCs w:val="20"/>
          <w:rtl/>
        </w:rPr>
        <w:t xml:space="preserve"> מדוע? התשובה להלן.</w:t>
      </w:r>
    </w:p>
    <w:p w:rsidR="00241BC2" w:rsidRPr="00A95752" w:rsidRDefault="00241BC2" w:rsidP="00241BC2">
      <w:pPr>
        <w:rPr>
          <w:sz w:val="20"/>
          <w:szCs w:val="20"/>
          <w:rtl/>
        </w:rPr>
      </w:pPr>
    </w:p>
    <w:p w:rsidR="00241BC2" w:rsidRPr="00A95752" w:rsidRDefault="00241BC2" w:rsidP="00241BC2">
      <w:pPr>
        <w:rPr>
          <w:sz w:val="20"/>
          <w:szCs w:val="20"/>
          <w:rtl/>
        </w:rPr>
      </w:pPr>
      <w:r w:rsidRPr="00A95752">
        <w:rPr>
          <w:rFonts w:hint="cs"/>
          <w:b/>
          <w:bCs/>
          <w:sz w:val="20"/>
          <w:szCs w:val="20"/>
          <w:rtl/>
        </w:rPr>
        <w:t>סטיה מהנחיות</w:t>
      </w:r>
      <w:r w:rsidRPr="00A95752">
        <w:rPr>
          <w:rFonts w:hint="cs"/>
          <w:sz w:val="20"/>
          <w:szCs w:val="20"/>
          <w:rtl/>
        </w:rPr>
        <w:t xml:space="preserve">: הנחיה היא הפעלה של שיקול הדעת באופן שיתאים לסוג של מקרים.  </w:t>
      </w:r>
      <w:r w:rsidRPr="00B8222F">
        <w:rPr>
          <w:rFonts w:hint="cs"/>
          <w:sz w:val="20"/>
          <w:szCs w:val="20"/>
          <w:highlight w:val="yellow"/>
          <w:rtl/>
        </w:rPr>
        <w:t>בהתאם לכך ההנחיה מתבססת על השיקולים הענייניים השכיחים באותו סוג של מקרים.  אך אפשר שמקרה מיוחד יעורר שיקולים ענייניים אחרים, שהרשות לא צפתה ולכן גם לא לקחה בחשבון</w:t>
      </w:r>
      <w:r w:rsidRPr="00A95752">
        <w:rPr>
          <w:rFonts w:hint="cs"/>
          <w:sz w:val="20"/>
          <w:szCs w:val="20"/>
          <w:rtl/>
        </w:rPr>
        <w:t xml:space="preserve">.  מה תעשה הרשות במקרה כזה? </w:t>
      </w:r>
      <w:r w:rsidRPr="00EA7A3E">
        <w:rPr>
          <w:rFonts w:hint="cs"/>
          <w:sz w:val="20"/>
          <w:szCs w:val="20"/>
          <w:u w:val="single"/>
          <w:rtl/>
        </w:rPr>
        <w:t xml:space="preserve">החוק </w:t>
      </w:r>
      <w:r w:rsidRPr="00EA7A3E">
        <w:rPr>
          <w:rFonts w:hint="cs"/>
          <w:sz w:val="20"/>
          <w:szCs w:val="20"/>
          <w:highlight w:val="yellow"/>
          <w:u w:val="single"/>
          <w:rtl/>
        </w:rPr>
        <w:t>מחייב אותה להפעיל את סמכותה בכל מקרה לפי השיקולים הענייניים החלים באותו מקרה</w:t>
      </w:r>
      <w:r w:rsidRPr="00A95752">
        <w:rPr>
          <w:rFonts w:hint="cs"/>
          <w:sz w:val="20"/>
          <w:szCs w:val="20"/>
          <w:rtl/>
        </w:rPr>
        <w:t xml:space="preserve">.  </w:t>
      </w:r>
      <w:r w:rsidRPr="00B8222F">
        <w:rPr>
          <w:rFonts w:hint="cs"/>
          <w:sz w:val="20"/>
          <w:szCs w:val="20"/>
          <w:highlight w:val="yellow"/>
          <w:rtl/>
        </w:rPr>
        <w:t>מכאן שאין היא רשאית להסתמך על ההנחיות, שהותאמו למקרה הרגיל, כדי להחליט במקרה המיוחד, בלי לקחת בחשבון את השיקולים המיוחדים לאותו מקרה</w:t>
      </w:r>
      <w:r w:rsidRPr="00A95752">
        <w:rPr>
          <w:rFonts w:hint="cs"/>
          <w:sz w:val="20"/>
          <w:szCs w:val="20"/>
          <w:rtl/>
        </w:rPr>
        <w:t>.</w:t>
      </w:r>
    </w:p>
    <w:p w:rsidR="00241BC2" w:rsidRDefault="00241BC2" w:rsidP="00241BC2">
      <w:pPr>
        <w:spacing w:after="120"/>
        <w:rPr>
          <w:sz w:val="20"/>
          <w:szCs w:val="20"/>
          <w:rtl/>
        </w:rPr>
      </w:pPr>
      <w:r w:rsidRPr="00B8222F">
        <w:rPr>
          <w:rFonts w:hint="cs"/>
          <w:sz w:val="20"/>
          <w:szCs w:val="20"/>
          <w:highlight w:val="yellow"/>
          <w:rtl/>
        </w:rPr>
        <w:t xml:space="preserve">לכן אין היא רשאית, למשל, לדחות </w:t>
      </w:r>
      <w:r>
        <w:rPr>
          <w:rFonts w:hint="cs"/>
          <w:sz w:val="20"/>
          <w:szCs w:val="20"/>
          <w:highlight w:val="yellow"/>
          <w:rtl/>
        </w:rPr>
        <w:t xml:space="preserve">על הסף </w:t>
      </w:r>
      <w:r w:rsidRPr="00B8222F">
        <w:rPr>
          <w:rFonts w:hint="cs"/>
          <w:sz w:val="20"/>
          <w:szCs w:val="20"/>
          <w:highlight w:val="yellow"/>
          <w:rtl/>
        </w:rPr>
        <w:t xml:space="preserve">בקשה לרישיון רק משום שהמבקש אינו מקיים את התנאים שקבעה בהנחיות.  תנאי-הרישיון שנקבעו על ידי הרשות </w:t>
      </w:r>
      <w:r w:rsidRPr="00EA7A3E">
        <w:rPr>
          <w:rFonts w:hint="cs"/>
          <w:sz w:val="20"/>
          <w:szCs w:val="20"/>
          <w:highlight w:val="yellow"/>
          <w:u w:val="single"/>
          <w:rtl/>
        </w:rPr>
        <w:t>בהנחיות</w:t>
      </w:r>
      <w:r w:rsidRPr="00B8222F">
        <w:rPr>
          <w:rFonts w:hint="cs"/>
          <w:sz w:val="20"/>
          <w:szCs w:val="20"/>
          <w:highlight w:val="yellow"/>
          <w:rtl/>
        </w:rPr>
        <w:t xml:space="preserve"> (ככל שהם חורגים מתנאים לרישוי הקבועים בחוק) אינם יכולים להגביל את סמכות </w:t>
      </w:r>
      <w:r>
        <w:rPr>
          <w:rFonts w:hint="cs"/>
          <w:sz w:val="20"/>
          <w:szCs w:val="20"/>
          <w:highlight w:val="yellow"/>
          <w:rtl/>
        </w:rPr>
        <w:t xml:space="preserve">שיקול הדעת </w:t>
      </w:r>
      <w:r w:rsidRPr="00B8222F">
        <w:rPr>
          <w:rFonts w:hint="cs"/>
          <w:sz w:val="20"/>
          <w:szCs w:val="20"/>
          <w:highlight w:val="yellow"/>
          <w:rtl/>
        </w:rPr>
        <w:t xml:space="preserve">שנקבעה על ידי המחוקק </w:t>
      </w:r>
      <w:r w:rsidRPr="00EA7A3E">
        <w:rPr>
          <w:rFonts w:hint="cs"/>
          <w:sz w:val="20"/>
          <w:szCs w:val="20"/>
          <w:highlight w:val="yellow"/>
          <w:u w:val="single"/>
          <w:rtl/>
        </w:rPr>
        <w:t>בחוק</w:t>
      </w:r>
      <w:r w:rsidRPr="00B8222F">
        <w:rPr>
          <w:rFonts w:hint="cs"/>
          <w:sz w:val="20"/>
          <w:szCs w:val="20"/>
          <w:highlight w:val="yellow"/>
          <w:rtl/>
        </w:rPr>
        <w:t xml:space="preserve">, והרי </w:t>
      </w:r>
      <w:r w:rsidRPr="00EA7A3E">
        <w:rPr>
          <w:rFonts w:hint="cs"/>
          <w:sz w:val="20"/>
          <w:szCs w:val="20"/>
          <w:highlight w:val="yellow"/>
          <w:u w:val="single"/>
          <w:rtl/>
        </w:rPr>
        <w:t>החוק לא קבע כי רק מי שקיים את אותם תנאים שנקבעו בהנחיות יקבל רישיון.  לפיכך חובה על הרשות לשקול כל מקרה שבפניה, על יסוד הנסיבות המיוחדות של המקרה, ולא להסתפק בבדיקת המקרה לאור ההנחיות</w:t>
      </w:r>
      <w:r w:rsidRPr="00A95752">
        <w:rPr>
          <w:rFonts w:hint="cs"/>
          <w:sz w:val="20"/>
          <w:szCs w:val="20"/>
          <w:rtl/>
        </w:rPr>
        <w:t>.</w:t>
      </w:r>
    </w:p>
    <w:p w:rsidR="00241BC2" w:rsidRPr="00A95752" w:rsidRDefault="00241BC2" w:rsidP="00241BC2">
      <w:pPr>
        <w:spacing w:after="120"/>
        <w:rPr>
          <w:sz w:val="20"/>
          <w:szCs w:val="20"/>
          <w:rtl/>
        </w:rPr>
      </w:pPr>
      <w:r>
        <w:rPr>
          <w:rFonts w:hint="cs"/>
          <w:sz w:val="20"/>
          <w:szCs w:val="20"/>
          <w:u w:val="single"/>
          <w:rtl/>
        </w:rPr>
        <w:t xml:space="preserve">ראו </w:t>
      </w:r>
      <w:r w:rsidRPr="008D2CD0">
        <w:rPr>
          <w:rFonts w:hint="cs"/>
          <w:sz w:val="20"/>
          <w:szCs w:val="20"/>
          <w:u w:val="single"/>
          <w:rtl/>
        </w:rPr>
        <w:t>דוגמא</w:t>
      </w:r>
      <w:r w:rsidRPr="00A95752">
        <w:rPr>
          <w:rFonts w:hint="cs"/>
          <w:sz w:val="20"/>
          <w:szCs w:val="20"/>
          <w:rtl/>
        </w:rPr>
        <w:t xml:space="preserve">: בג"צ 10/79 </w:t>
      </w:r>
      <w:r w:rsidRPr="00A95752">
        <w:rPr>
          <w:rFonts w:hint="cs"/>
          <w:b/>
          <w:bCs/>
          <w:sz w:val="20"/>
          <w:szCs w:val="20"/>
          <w:rtl/>
        </w:rPr>
        <w:t>הרמן נ' ראש עיריית תל-אביב-יפו</w:t>
      </w:r>
      <w:r>
        <w:rPr>
          <w:rFonts w:hint="cs"/>
          <w:sz w:val="20"/>
          <w:szCs w:val="20"/>
          <w:rtl/>
        </w:rPr>
        <w:t>, פ"ד לג(3) 60 (1979):</w:t>
      </w:r>
    </w:p>
    <w:p w:rsidR="00241BC2" w:rsidRDefault="00241BC2" w:rsidP="00241BC2">
      <w:pPr>
        <w:ind w:left="395"/>
        <w:rPr>
          <w:sz w:val="20"/>
          <w:szCs w:val="20"/>
          <w:rtl/>
        </w:rPr>
      </w:pPr>
      <w:r w:rsidRPr="00A95752">
        <w:rPr>
          <w:rFonts w:hint="cs"/>
          <w:sz w:val="20"/>
          <w:szCs w:val="20"/>
          <w:rtl/>
        </w:rPr>
        <w:t>ראש העיר סירב לתת רישיון למסעדה בצפון תל-אביב, על יסוד הנחיות שקבעו כי אין לתת רישיונות למסעדות באזור זה, כדי להקטין את המטרד לתושבי האזור.  בית המשפט</w:t>
      </w:r>
      <w:r>
        <w:rPr>
          <w:rFonts w:hint="cs"/>
          <w:sz w:val="20"/>
          <w:szCs w:val="20"/>
          <w:rtl/>
        </w:rPr>
        <w:t>,</w:t>
      </w:r>
      <w:r w:rsidRPr="00A95752">
        <w:rPr>
          <w:rFonts w:hint="cs"/>
          <w:sz w:val="20"/>
          <w:szCs w:val="20"/>
          <w:rtl/>
        </w:rPr>
        <w:t xml:space="preserve"> אף שההנחיות נראו לו סבירות, פסק כי במקרה זה מדובר במסעדה טבעונית, שלא תגרום מטרד</w:t>
      </w:r>
      <w:r>
        <w:rPr>
          <w:rFonts w:hint="cs"/>
          <w:sz w:val="20"/>
          <w:szCs w:val="20"/>
          <w:rtl/>
        </w:rPr>
        <w:t xml:space="preserve"> (או תגרום למטרד מינימלי)</w:t>
      </w:r>
      <w:r w:rsidRPr="00A95752">
        <w:rPr>
          <w:rFonts w:hint="cs"/>
          <w:sz w:val="20"/>
          <w:szCs w:val="20"/>
          <w:rtl/>
        </w:rPr>
        <w:t>, ולכן ציווה על ראש העיר לסטות מן ההנחיות ולתת את הרישיון המבוקש.</w:t>
      </w:r>
      <w:r>
        <w:rPr>
          <w:rFonts w:hint="cs"/>
          <w:sz w:val="20"/>
          <w:szCs w:val="20"/>
          <w:rtl/>
        </w:rPr>
        <w:t xml:space="preserve"> להלן הנמקת בית המשפט:</w:t>
      </w:r>
    </w:p>
    <w:p w:rsidR="00241BC2" w:rsidRPr="00767FBE" w:rsidRDefault="00241BC2" w:rsidP="00241BC2">
      <w:pPr>
        <w:spacing w:after="120"/>
        <w:ind w:left="720"/>
        <w:rPr>
          <w:rFonts w:cs="FrankRuehl"/>
          <w:sz w:val="22"/>
          <w:szCs w:val="22"/>
          <w:rtl/>
        </w:rPr>
      </w:pPr>
      <w:r w:rsidRPr="00767FBE">
        <w:rPr>
          <w:rFonts w:cs="FrankRuehl" w:hint="cs"/>
          <w:sz w:val="22"/>
          <w:szCs w:val="22"/>
          <w:rtl/>
        </w:rPr>
        <w:t xml:space="preserve">אמרתי שאין פסול בקריטריונים מבחינה עקרונית, אך אין רשות הרישוי מנועה מלהרשות סטייה מהם במקרה הנראה ראוי לכך על פי נסיבותיו המיוחדות (השווה </w:t>
      </w:r>
      <w:r w:rsidRPr="00767FBE">
        <w:rPr>
          <w:rFonts w:cs="FrankRuehl" w:hint="cs"/>
          <w:color w:val="0000FF"/>
          <w:sz w:val="22"/>
          <w:szCs w:val="22"/>
          <w:rtl/>
        </w:rPr>
        <w:t>...</w:t>
      </w:r>
      <w:r w:rsidRPr="00767FBE">
        <w:rPr>
          <w:rFonts w:cs="FrankRuehl" w:hint="cs"/>
          <w:sz w:val="22"/>
          <w:szCs w:val="22"/>
          <w:rtl/>
        </w:rPr>
        <w:t>). סבורני שענינה של העותרת היה ראוי להתחשבות מיוחדת כזאת. המסעדה שהיא מתכוונת לפתוח, מיוחדת במי</w:t>
      </w:r>
      <w:r>
        <w:rPr>
          <w:rFonts w:cs="FrankRuehl" w:hint="cs"/>
          <w:sz w:val="22"/>
          <w:szCs w:val="22"/>
          <w:rtl/>
        </w:rPr>
        <w:t>נ</w:t>
      </w:r>
      <w:r w:rsidRPr="00767FBE">
        <w:rPr>
          <w:rFonts w:cs="FrankRuehl" w:hint="cs"/>
          <w:sz w:val="22"/>
          <w:szCs w:val="22"/>
          <w:rtl/>
        </w:rPr>
        <w:t>ה, יוגשו בה מאכלים טריים ומרקים, ולא יהיו בה בישול וטיגון בשומן, היכולים להוות מטרד לסביבה. המטרד הסביבתי הכרוך בבית אוכל כזה הוא מזערי, ואפשר להקטינו עוד על ידי התקנת מכשור מתאים לקליטת האדים של בישול המרקים. יש להניח שגם הקהל הפוטנציאלי שיפקוד בית אוכל כה הוא "צמחוני" ואינו מסוג הקהל הרועש של מבקרי בארים ובתי מרזח שבהם משופעת הסביבה. נאמר לנו שהמשיבים חוששים שמא תוציא העותרת שולחנות וכסאות אל מחוץ למקום העסק. אך זאת אפשר למנוע על ידי הטלת תנאי מתאים ברשיון, ואין ליחס לעותרת כוונה מראש להפר תנאי כזה, אם ייקבע. נראה איפוא שדיירי הבית, הזועמים על הנעשה בסביבתם ומשום כך הם מתנגדים בתוקף למתן הרשיון לעותרת, מצאו הפעם פורקן לזעמם כלפי אוביקט בלתי מתאים על פי הנתונים האובייקטיביים של עסק העותרת. בהקשר זה יש לחזור ולהדגיש את המלצתה של יחידת איכות הסביבה בעירייה אשר דחתה את התנגדות</w:t>
      </w:r>
      <w:r>
        <w:rPr>
          <w:rFonts w:cs="FrankRuehl" w:hint="cs"/>
          <w:sz w:val="22"/>
          <w:szCs w:val="22"/>
          <w:rtl/>
        </w:rPr>
        <w:t xml:space="preserve"> </w:t>
      </w:r>
      <w:r w:rsidRPr="00767FBE">
        <w:rPr>
          <w:rFonts w:cs="FrankRuehl" w:hint="cs"/>
          <w:sz w:val="22"/>
          <w:szCs w:val="22"/>
          <w:rtl/>
        </w:rPr>
        <w:t>הדיירים ולא מצאה טעם</w:t>
      </w:r>
      <w:r>
        <w:rPr>
          <w:rFonts w:cs="FrankRuehl" w:hint="cs"/>
          <w:sz w:val="22"/>
          <w:szCs w:val="22"/>
          <w:rtl/>
        </w:rPr>
        <w:t xml:space="preserve"> למנוע את מתן הרשיון לעותרת. אלה</w:t>
      </w:r>
      <w:r w:rsidRPr="00767FBE">
        <w:rPr>
          <w:rFonts w:cs="FrankRuehl" w:hint="cs"/>
          <w:sz w:val="22"/>
          <w:szCs w:val="22"/>
          <w:rtl/>
        </w:rPr>
        <w:t xml:space="preserve"> הם המומחים לדבר מטעם העירייה והדחייה הסתמית של המלצתם, כפי שבאה לביטוי במכתב הנ"ל מיום 30.10.1978, מעידה על כך שהמכתב נכתב באורח שגרתי, בלי שענינה של העותרת נבדק מחדש לגופו.</w:t>
      </w:r>
    </w:p>
    <w:p w:rsidR="00241BC2" w:rsidRPr="00A95752" w:rsidRDefault="00241BC2" w:rsidP="00241BC2">
      <w:pPr>
        <w:rPr>
          <w:sz w:val="20"/>
          <w:szCs w:val="20"/>
          <w:rtl/>
        </w:rPr>
      </w:pPr>
      <w:r w:rsidRPr="00A95752">
        <w:rPr>
          <w:rFonts w:hint="cs"/>
          <w:sz w:val="20"/>
          <w:szCs w:val="20"/>
          <w:rtl/>
        </w:rPr>
        <w:t xml:space="preserve">מכאן שחוקיות הסטייה מן ההנחיות תלויה בנסיבות המקרה.  </w:t>
      </w:r>
    </w:p>
    <w:p w:rsidR="00241BC2" w:rsidRDefault="00241BC2" w:rsidP="00241BC2">
      <w:pPr>
        <w:rPr>
          <w:b/>
          <w:bCs/>
          <w:sz w:val="20"/>
          <w:szCs w:val="20"/>
          <w:rtl/>
        </w:rPr>
      </w:pPr>
    </w:p>
    <w:p w:rsidR="00241BC2" w:rsidRDefault="00241BC2" w:rsidP="00241BC2">
      <w:pPr>
        <w:rPr>
          <w:sz w:val="20"/>
          <w:szCs w:val="20"/>
          <w:rtl/>
        </w:rPr>
      </w:pPr>
      <w:r w:rsidRPr="00767FBE">
        <w:rPr>
          <w:rFonts w:hint="cs"/>
          <w:b/>
          <w:bCs/>
          <w:sz w:val="20"/>
          <w:szCs w:val="20"/>
          <w:highlight w:val="yellow"/>
          <w:rtl/>
        </w:rPr>
        <w:t xml:space="preserve">עם זאת, </w:t>
      </w:r>
      <w:r>
        <w:rPr>
          <w:rFonts w:hint="cs"/>
          <w:b/>
          <w:bCs/>
          <w:sz w:val="20"/>
          <w:szCs w:val="20"/>
          <w:highlight w:val="yellow"/>
          <w:rtl/>
        </w:rPr>
        <w:t xml:space="preserve">ומנגד: </w:t>
      </w:r>
      <w:r w:rsidRPr="00767FBE">
        <w:rPr>
          <w:rFonts w:hint="cs"/>
          <w:b/>
          <w:bCs/>
          <w:sz w:val="20"/>
          <w:szCs w:val="20"/>
          <w:highlight w:val="yellow"/>
          <w:rtl/>
        </w:rPr>
        <w:t xml:space="preserve">ההנחה </w:t>
      </w:r>
      <w:r w:rsidRPr="00767FBE">
        <w:rPr>
          <w:b/>
          <w:bCs/>
          <w:sz w:val="20"/>
          <w:szCs w:val="20"/>
          <w:highlight w:val="yellow"/>
          <w:rtl/>
        </w:rPr>
        <w:t>–</w:t>
      </w:r>
      <w:r w:rsidRPr="00767FBE">
        <w:rPr>
          <w:rFonts w:hint="cs"/>
          <w:b/>
          <w:bCs/>
          <w:sz w:val="20"/>
          <w:szCs w:val="20"/>
          <w:highlight w:val="yellow"/>
          <w:rtl/>
        </w:rPr>
        <w:t xml:space="preserve"> הנחת העיקביות ואיסור האפליה </w:t>
      </w:r>
      <w:r w:rsidRPr="00767FBE">
        <w:rPr>
          <w:b/>
          <w:bCs/>
          <w:sz w:val="20"/>
          <w:szCs w:val="20"/>
          <w:highlight w:val="yellow"/>
          <w:rtl/>
        </w:rPr>
        <w:t>–</w:t>
      </w:r>
      <w:r w:rsidRPr="00767FBE">
        <w:rPr>
          <w:rFonts w:hint="cs"/>
          <w:b/>
          <w:bCs/>
          <w:sz w:val="20"/>
          <w:szCs w:val="20"/>
          <w:highlight w:val="yellow"/>
          <w:rtl/>
        </w:rPr>
        <w:t xml:space="preserve"> היא שהרשות תפעל לפי ההנחיות</w:t>
      </w:r>
      <w:r w:rsidRPr="00767FBE">
        <w:rPr>
          <w:rFonts w:hint="cs"/>
          <w:sz w:val="20"/>
          <w:szCs w:val="20"/>
          <w:highlight w:val="yellow"/>
          <w:rtl/>
        </w:rPr>
        <w:t>, והנחה זאת יוצרת ציפייה מוצדקת שכך תפעל הרשות.  אם בניגוד לציפייה זאת הרשות סטתה מן ההנחיות,</w:t>
      </w:r>
      <w:r>
        <w:rPr>
          <w:rFonts w:hint="cs"/>
          <w:sz w:val="20"/>
          <w:szCs w:val="20"/>
          <w:highlight w:val="yellow"/>
          <w:rtl/>
        </w:rPr>
        <w:t xml:space="preserve"> הרי</w:t>
      </w:r>
      <w:r w:rsidRPr="00767FBE">
        <w:rPr>
          <w:rFonts w:hint="cs"/>
          <w:sz w:val="20"/>
          <w:szCs w:val="20"/>
          <w:highlight w:val="yellow"/>
          <w:rtl/>
        </w:rPr>
        <w:t xml:space="preserve"> </w:t>
      </w:r>
      <w:r>
        <w:rPr>
          <w:rFonts w:hint="cs"/>
          <w:sz w:val="20"/>
          <w:szCs w:val="20"/>
          <w:highlight w:val="yellow"/>
          <w:rtl/>
        </w:rPr>
        <w:t>ש</w:t>
      </w:r>
      <w:r w:rsidRPr="00767FBE">
        <w:rPr>
          <w:rFonts w:hint="cs"/>
          <w:sz w:val="20"/>
          <w:szCs w:val="20"/>
          <w:highlight w:val="yellow"/>
          <w:rtl/>
        </w:rPr>
        <w:t xml:space="preserve">יש מקום לחשש שמא נגרמה הסטייה על ידי שיקולים זרים או פגם אחר.  חשש זה יכול להספיק לערער את חזקת החוקיות.  משמע, הוא צפוי לגרום </w:t>
      </w:r>
      <w:r w:rsidRPr="00767FBE">
        <w:rPr>
          <w:rFonts w:hint="cs"/>
          <w:b/>
          <w:bCs/>
          <w:sz w:val="20"/>
          <w:szCs w:val="20"/>
          <w:highlight w:val="yellow"/>
          <w:rtl/>
        </w:rPr>
        <w:t>העברת נטל הראיה</w:t>
      </w:r>
      <w:r w:rsidRPr="00767FBE">
        <w:rPr>
          <w:rFonts w:hint="cs"/>
          <w:sz w:val="20"/>
          <w:szCs w:val="20"/>
          <w:highlight w:val="yellow"/>
          <w:rtl/>
        </w:rPr>
        <w:t xml:space="preserve"> על הרשות להראות שהנסיבות המיוחדות של המקרה אכן הצדיקו את הסטייה.</w:t>
      </w:r>
    </w:p>
    <w:p w:rsidR="00241BC2" w:rsidRDefault="00241BC2" w:rsidP="00241BC2">
      <w:pPr>
        <w:rPr>
          <w:sz w:val="20"/>
          <w:szCs w:val="20"/>
          <w:rtl/>
        </w:rPr>
      </w:pPr>
    </w:p>
    <w:p w:rsidR="00241BC2" w:rsidRDefault="00241BC2" w:rsidP="00241BC2">
      <w:pPr>
        <w:rPr>
          <w:sz w:val="20"/>
          <w:szCs w:val="20"/>
          <w:rtl/>
        </w:rPr>
      </w:pPr>
      <w:r>
        <w:rPr>
          <w:rFonts w:hint="cs"/>
          <w:sz w:val="20"/>
          <w:szCs w:val="20"/>
          <w:rtl/>
        </w:rPr>
        <w:t>[</w:t>
      </w:r>
      <w:r w:rsidRPr="00CB29B5">
        <w:rPr>
          <w:rFonts w:hint="cs"/>
          <w:sz w:val="20"/>
          <w:szCs w:val="20"/>
          <w:u w:val="single"/>
          <w:rtl/>
        </w:rPr>
        <w:t>נקודה אחרת לתשומת לב</w:t>
      </w:r>
      <w:r>
        <w:rPr>
          <w:rFonts w:hint="cs"/>
          <w:sz w:val="20"/>
          <w:szCs w:val="20"/>
          <w:rtl/>
        </w:rPr>
        <w:t xml:space="preserve">: </w:t>
      </w:r>
    </w:p>
    <w:p w:rsidR="00241BC2" w:rsidRDefault="00241BC2" w:rsidP="00241BC2">
      <w:pPr>
        <w:rPr>
          <w:sz w:val="20"/>
          <w:szCs w:val="20"/>
          <w:rtl/>
        </w:rPr>
      </w:pPr>
      <w:r>
        <w:rPr>
          <w:rFonts w:hint="cs"/>
          <w:sz w:val="20"/>
          <w:szCs w:val="20"/>
          <w:rtl/>
        </w:rPr>
        <w:t xml:space="preserve">לעיתים מוציאים השר או מנכ"ל המשרד "חוזרים" </w:t>
      </w:r>
      <w:r>
        <w:rPr>
          <w:sz w:val="20"/>
          <w:szCs w:val="20"/>
          <w:rtl/>
        </w:rPr>
        <w:t>–</w:t>
      </w:r>
      <w:r>
        <w:rPr>
          <w:rFonts w:hint="cs"/>
          <w:sz w:val="20"/>
          <w:szCs w:val="20"/>
          <w:rtl/>
        </w:rPr>
        <w:t xml:space="preserve"> למשל, </w:t>
      </w:r>
      <w:r w:rsidRPr="00602A83">
        <w:rPr>
          <w:rFonts w:hint="cs"/>
          <w:i/>
          <w:iCs/>
          <w:sz w:val="20"/>
          <w:szCs w:val="20"/>
          <w:rtl/>
        </w:rPr>
        <w:t xml:space="preserve">חוזרי מנכ"ל משרד </w:t>
      </w:r>
      <w:r>
        <w:rPr>
          <w:rFonts w:hint="cs"/>
          <w:i/>
          <w:iCs/>
          <w:sz w:val="20"/>
          <w:szCs w:val="20"/>
          <w:rtl/>
        </w:rPr>
        <w:t>החינוך (או חוזרי מנכ"ל משרד הפנים וכדומה).</w:t>
      </w:r>
      <w:r>
        <w:rPr>
          <w:rFonts w:hint="cs"/>
          <w:sz w:val="20"/>
          <w:szCs w:val="20"/>
          <w:rtl/>
        </w:rPr>
        <w:t xml:space="preserve"> שימו לב שהשם עשוי להיות מטעה. חוזרים אלה מאגדים יחדיו חלקים מ</w:t>
      </w:r>
      <w:r w:rsidRPr="00CB29B5">
        <w:rPr>
          <w:rFonts w:hint="cs"/>
          <w:sz w:val="20"/>
          <w:szCs w:val="20"/>
          <w:u w:val="single"/>
          <w:rtl/>
        </w:rPr>
        <w:t>חקיקת</w:t>
      </w:r>
      <w:r>
        <w:rPr>
          <w:rFonts w:hint="cs"/>
          <w:sz w:val="20"/>
          <w:szCs w:val="20"/>
          <w:rtl/>
        </w:rPr>
        <w:t xml:space="preserve"> החינוך, </w:t>
      </w:r>
      <w:r w:rsidRPr="00CB29B5">
        <w:rPr>
          <w:rFonts w:hint="cs"/>
          <w:sz w:val="20"/>
          <w:szCs w:val="20"/>
          <w:u w:val="single"/>
          <w:rtl/>
        </w:rPr>
        <w:t>חקיקת המשנה</w:t>
      </w:r>
      <w:r>
        <w:rPr>
          <w:rFonts w:hint="cs"/>
          <w:sz w:val="20"/>
          <w:szCs w:val="20"/>
          <w:rtl/>
        </w:rPr>
        <w:t xml:space="preserve"> בתחום החינוך, </w:t>
      </w:r>
      <w:r w:rsidRPr="00CB29B5">
        <w:rPr>
          <w:rFonts w:hint="cs"/>
          <w:sz w:val="20"/>
          <w:szCs w:val="20"/>
          <w:u w:val="single"/>
          <w:rtl/>
        </w:rPr>
        <w:t>וכן</w:t>
      </w:r>
      <w:r>
        <w:rPr>
          <w:rFonts w:hint="cs"/>
          <w:sz w:val="20"/>
          <w:szCs w:val="20"/>
          <w:rtl/>
        </w:rPr>
        <w:t xml:space="preserve"> </w:t>
      </w:r>
      <w:r w:rsidRPr="00CB29B5">
        <w:rPr>
          <w:rFonts w:hint="cs"/>
          <w:sz w:val="20"/>
          <w:szCs w:val="20"/>
          <w:u w:val="single"/>
          <w:rtl/>
        </w:rPr>
        <w:t>הנחיות</w:t>
      </w:r>
      <w:r>
        <w:rPr>
          <w:rFonts w:hint="cs"/>
          <w:sz w:val="20"/>
          <w:szCs w:val="20"/>
          <w:rtl/>
        </w:rPr>
        <w:t xml:space="preserve"> (הנחיות מינהליות, שבהן עסקינן כאן) של משרד החינוך. אשר על כן, עלינו להתבונן ב"חוזרי המנכל" מבעד לפריזמה </w:t>
      </w:r>
      <w:r w:rsidRPr="00767FBE">
        <w:rPr>
          <w:rFonts w:hint="cs"/>
          <w:i/>
          <w:iCs/>
          <w:sz w:val="20"/>
          <w:szCs w:val="20"/>
          <w:rtl/>
        </w:rPr>
        <w:t>שתאבחן</w:t>
      </w:r>
      <w:r>
        <w:rPr>
          <w:rFonts w:hint="cs"/>
          <w:sz w:val="20"/>
          <w:szCs w:val="20"/>
          <w:rtl/>
        </w:rPr>
        <w:t xml:space="preserve"> בין הדברים שמופיעים בהם </w:t>
      </w:r>
      <w:r>
        <w:rPr>
          <w:sz w:val="20"/>
          <w:szCs w:val="20"/>
          <w:rtl/>
        </w:rPr>
        <w:t>–</w:t>
      </w:r>
      <w:r>
        <w:rPr>
          <w:rFonts w:hint="cs"/>
          <w:sz w:val="20"/>
          <w:szCs w:val="20"/>
          <w:rtl/>
        </w:rPr>
        <w:t xml:space="preserve"> </w:t>
      </w:r>
      <w:r>
        <w:rPr>
          <w:rFonts w:hint="cs"/>
          <w:sz w:val="20"/>
          <w:szCs w:val="20"/>
          <w:highlight w:val="yellow"/>
          <w:rtl/>
        </w:rPr>
        <w:t xml:space="preserve">כלומר </w:t>
      </w:r>
      <w:r w:rsidRPr="00ED4C85">
        <w:rPr>
          <w:rFonts w:hint="cs"/>
          <w:sz w:val="20"/>
          <w:szCs w:val="20"/>
          <w:highlight w:val="yellow"/>
          <w:rtl/>
        </w:rPr>
        <w:t>תבחין בין מה שהוא "חובה" משפטית (חוק ותקנה) לבין מה שהוא "הנחייה" בלבד</w:t>
      </w:r>
      <w:r>
        <w:rPr>
          <w:rFonts w:hint="cs"/>
          <w:sz w:val="20"/>
          <w:szCs w:val="20"/>
          <w:rtl/>
        </w:rPr>
        <w:t>.]</w:t>
      </w:r>
    </w:p>
    <w:p w:rsidR="00241BC2" w:rsidRDefault="00241BC2" w:rsidP="00241BC2">
      <w:pPr>
        <w:rPr>
          <w:sz w:val="20"/>
          <w:szCs w:val="20"/>
          <w:rtl/>
        </w:rPr>
      </w:pPr>
    </w:p>
    <w:p w:rsidR="00241BC2" w:rsidRDefault="00241BC2" w:rsidP="00241BC2">
      <w:pPr>
        <w:rPr>
          <w:sz w:val="20"/>
          <w:szCs w:val="20"/>
          <w:rtl/>
        </w:rPr>
      </w:pPr>
      <w:r>
        <w:rPr>
          <w:rFonts w:hint="cs"/>
          <w:sz w:val="20"/>
          <w:szCs w:val="20"/>
          <w:rtl/>
        </w:rPr>
        <w:t>=-=</w:t>
      </w:r>
    </w:p>
    <w:p w:rsidR="00241BC2" w:rsidRPr="00D06EF0" w:rsidRDefault="00241BC2" w:rsidP="00241BC2">
      <w:pPr>
        <w:rPr>
          <w:rFonts w:ascii="Arial" w:hAnsi="Arial" w:cs="Arial"/>
          <w:b/>
          <w:bCs/>
          <w:i/>
          <w:iCs/>
          <w:sz w:val="22"/>
          <w:szCs w:val="22"/>
          <w:rtl/>
        </w:rPr>
      </w:pPr>
      <w:r w:rsidRPr="00D06EF0">
        <w:rPr>
          <w:rFonts w:ascii="Arial" w:hAnsi="Arial" w:cs="Arial" w:hint="cs"/>
          <w:b/>
          <w:bCs/>
          <w:i/>
          <w:iCs/>
          <w:sz w:val="22"/>
          <w:szCs w:val="22"/>
          <w:rtl/>
        </w:rPr>
        <w:t xml:space="preserve">דיני האצלה + </w:t>
      </w:r>
      <w:r w:rsidRPr="00D06EF0">
        <w:rPr>
          <w:rFonts w:ascii="Arial" w:hAnsi="Arial" w:cs="Arial"/>
          <w:b/>
          <w:bCs/>
          <w:i/>
          <w:iCs/>
          <w:sz w:val="22"/>
          <w:szCs w:val="22"/>
          <w:rtl/>
        </w:rPr>
        <w:t>סירוב לאפשר או להורות על סטייה מהנחיות</w:t>
      </w:r>
    </w:p>
    <w:p w:rsidR="00241BC2" w:rsidRPr="009875DA" w:rsidRDefault="00241BC2" w:rsidP="00241BC2">
      <w:pPr>
        <w:rPr>
          <w:rFonts w:ascii="Arial" w:hAnsi="Arial" w:cs="Arial"/>
          <w:b/>
          <w:bCs/>
          <w:sz w:val="20"/>
          <w:szCs w:val="20"/>
          <w:rtl/>
        </w:rPr>
      </w:pPr>
    </w:p>
    <w:p w:rsidR="00241BC2" w:rsidRPr="00753178" w:rsidRDefault="00241BC2" w:rsidP="00241BC2">
      <w:pPr>
        <w:jc w:val="center"/>
        <w:rPr>
          <w:rtl/>
        </w:rPr>
      </w:pPr>
      <w:r w:rsidRPr="00753178">
        <w:rPr>
          <w:rFonts w:hint="cs"/>
          <w:highlight w:val="yellow"/>
          <w:rtl/>
        </w:rPr>
        <w:t xml:space="preserve">דנג"ץ 10350/02 </w:t>
      </w:r>
      <w:r w:rsidRPr="008D2CD0">
        <w:rPr>
          <w:rFonts w:hint="cs"/>
          <w:b/>
          <w:bCs/>
          <w:highlight w:val="yellow"/>
          <w:rtl/>
        </w:rPr>
        <w:t>שר הפנים נ' מטר</w:t>
      </w:r>
      <w:r w:rsidRPr="00753178">
        <w:rPr>
          <w:rFonts w:hint="cs"/>
          <w:highlight w:val="yellow"/>
          <w:rtl/>
        </w:rPr>
        <w:t>, פ"ד נח(3) 255</w:t>
      </w:r>
      <w:r w:rsidRPr="00753178">
        <w:rPr>
          <w:rFonts w:hint="cs"/>
          <w:rtl/>
        </w:rPr>
        <w:t xml:space="preserve"> (2004)</w:t>
      </w:r>
    </w:p>
    <w:p w:rsidR="00241BC2" w:rsidRDefault="00241BC2" w:rsidP="00241BC2">
      <w:pPr>
        <w:rPr>
          <w:rFonts w:ascii="Arial" w:hAnsi="Arial" w:cs="Arial"/>
          <w:sz w:val="18"/>
          <w:szCs w:val="18"/>
          <w:rtl/>
        </w:rPr>
      </w:pPr>
    </w:p>
    <w:p w:rsidR="00241BC2" w:rsidRPr="008D2CD0" w:rsidRDefault="00241BC2" w:rsidP="00241BC2">
      <w:pPr>
        <w:spacing w:after="60"/>
        <w:rPr>
          <w:rFonts w:ascii="Arial" w:hAnsi="Arial" w:cs="Arial"/>
          <w:sz w:val="18"/>
          <w:szCs w:val="18"/>
          <w:rtl/>
        </w:rPr>
      </w:pPr>
      <w:r w:rsidRPr="008D2CD0">
        <w:rPr>
          <w:rFonts w:ascii="Arial" w:hAnsi="Arial" w:cs="Arial"/>
          <w:sz w:val="18"/>
          <w:szCs w:val="18"/>
          <w:rtl/>
        </w:rPr>
        <w:t xml:space="preserve">על פי נוהל של משרד הפנים, סגני </w:t>
      </w:r>
      <w:r>
        <w:rPr>
          <w:rFonts w:ascii="Arial" w:hAnsi="Arial" w:cs="Arial" w:hint="cs"/>
          <w:sz w:val="18"/>
          <w:szCs w:val="18"/>
          <w:rtl/>
        </w:rPr>
        <w:t xml:space="preserve">ראש </w:t>
      </w:r>
      <w:r w:rsidRPr="008D2CD0">
        <w:rPr>
          <w:rFonts w:ascii="Arial" w:hAnsi="Arial" w:cs="Arial"/>
          <w:sz w:val="18"/>
          <w:szCs w:val="18"/>
          <w:rtl/>
        </w:rPr>
        <w:t xml:space="preserve">מועצה מקומית זוכים בשכר </w:t>
      </w:r>
      <w:r w:rsidRPr="00CB29B5">
        <w:rPr>
          <w:rFonts w:ascii="Arial" w:hAnsi="Arial" w:cs="Arial"/>
          <w:b/>
          <w:bCs/>
          <w:sz w:val="18"/>
          <w:szCs w:val="18"/>
          <w:rtl/>
        </w:rPr>
        <w:t>רק אם הואצלו להם חלק מסמכויותיו של ראש מועצה מקומית</w:t>
      </w:r>
      <w:r w:rsidRPr="008D2CD0">
        <w:rPr>
          <w:rFonts w:ascii="Arial" w:hAnsi="Arial" w:cs="Arial"/>
          <w:sz w:val="18"/>
          <w:szCs w:val="18"/>
          <w:rtl/>
        </w:rPr>
        <w:t xml:space="preserve">, </w:t>
      </w:r>
      <w:r w:rsidRPr="008D2CD0">
        <w:rPr>
          <w:rFonts w:ascii="Arial" w:hAnsi="Arial" w:cs="Arial" w:hint="cs"/>
          <w:sz w:val="18"/>
          <w:szCs w:val="18"/>
          <w:rtl/>
        </w:rPr>
        <w:t xml:space="preserve">וזאת </w:t>
      </w:r>
      <w:r w:rsidRPr="00CB29B5">
        <w:rPr>
          <w:rFonts w:ascii="Arial" w:hAnsi="Arial" w:cs="Arial" w:hint="cs"/>
          <w:b/>
          <w:bCs/>
          <w:sz w:val="18"/>
          <w:szCs w:val="18"/>
          <w:rtl/>
        </w:rPr>
        <w:t>מכוח</w:t>
      </w:r>
      <w:r w:rsidRPr="00CB29B5">
        <w:rPr>
          <w:rFonts w:ascii="Arial" w:hAnsi="Arial" w:cs="Arial"/>
          <w:b/>
          <w:bCs/>
          <w:sz w:val="18"/>
          <w:szCs w:val="18"/>
          <w:rtl/>
        </w:rPr>
        <w:t xml:space="preserve"> ההליך הקבוע בחוק להאצלת סמכויותיו של </w:t>
      </w:r>
      <w:r w:rsidRPr="00CB29B5">
        <w:rPr>
          <w:rFonts w:ascii="Arial" w:hAnsi="Arial" w:cs="Arial" w:hint="cs"/>
          <w:b/>
          <w:bCs/>
          <w:sz w:val="18"/>
          <w:szCs w:val="18"/>
          <w:rtl/>
        </w:rPr>
        <w:t>ראש המועצה</w:t>
      </w:r>
      <w:r w:rsidRPr="008D2CD0">
        <w:rPr>
          <w:rFonts w:ascii="Arial" w:hAnsi="Arial" w:cs="Arial"/>
          <w:sz w:val="18"/>
          <w:szCs w:val="18"/>
          <w:rtl/>
        </w:rPr>
        <w:t>, הליך הכולל</w:t>
      </w:r>
      <w:r>
        <w:rPr>
          <w:rFonts w:ascii="Arial" w:hAnsi="Arial" w:cs="Arial" w:hint="cs"/>
          <w:sz w:val="18"/>
          <w:szCs w:val="18"/>
          <w:rtl/>
        </w:rPr>
        <w:t>,</w:t>
      </w:r>
      <w:r w:rsidRPr="008D2CD0">
        <w:rPr>
          <w:rFonts w:ascii="Arial" w:hAnsi="Arial" w:cs="Arial"/>
          <w:sz w:val="18"/>
          <w:szCs w:val="18"/>
          <w:rtl/>
        </w:rPr>
        <w:t xml:space="preserve"> בין השאר</w:t>
      </w:r>
      <w:r>
        <w:rPr>
          <w:rFonts w:ascii="Arial" w:hAnsi="Arial" w:cs="Arial" w:hint="cs"/>
          <w:sz w:val="18"/>
          <w:szCs w:val="18"/>
          <w:rtl/>
        </w:rPr>
        <w:t>,</w:t>
      </w:r>
      <w:r w:rsidRPr="008D2CD0">
        <w:rPr>
          <w:rFonts w:ascii="Arial" w:hAnsi="Arial" w:cs="Arial"/>
          <w:sz w:val="18"/>
          <w:szCs w:val="18"/>
          <w:rtl/>
        </w:rPr>
        <w:t xml:space="preserve"> החלטה של </w:t>
      </w:r>
      <w:r w:rsidRPr="00CB29B5">
        <w:rPr>
          <w:rFonts w:ascii="Arial" w:hAnsi="Arial" w:cs="Arial"/>
          <w:b/>
          <w:bCs/>
          <w:sz w:val="18"/>
          <w:szCs w:val="18"/>
          <w:rtl/>
        </w:rPr>
        <w:t>מועצה ה</w:t>
      </w:r>
      <w:r w:rsidRPr="00CB29B5">
        <w:rPr>
          <w:rFonts w:ascii="Arial" w:hAnsi="Arial" w:cs="Arial" w:hint="cs"/>
          <w:b/>
          <w:bCs/>
          <w:sz w:val="18"/>
          <w:szCs w:val="18"/>
          <w:rtl/>
        </w:rPr>
        <w:t>רשות ה</w:t>
      </w:r>
      <w:r w:rsidRPr="00CB29B5">
        <w:rPr>
          <w:rFonts w:ascii="Arial" w:hAnsi="Arial" w:cs="Arial"/>
          <w:b/>
          <w:bCs/>
          <w:sz w:val="18"/>
          <w:szCs w:val="18"/>
          <w:rtl/>
        </w:rPr>
        <w:t>מקומית</w:t>
      </w:r>
      <w:r w:rsidRPr="008D2CD0">
        <w:rPr>
          <w:rFonts w:ascii="Arial" w:hAnsi="Arial" w:cs="Arial"/>
          <w:sz w:val="18"/>
          <w:szCs w:val="18"/>
          <w:rtl/>
        </w:rPr>
        <w:t xml:space="preserve"> בנושא. </w:t>
      </w:r>
    </w:p>
    <w:p w:rsidR="00241BC2" w:rsidRPr="008D2CD0" w:rsidRDefault="00241BC2" w:rsidP="00241BC2">
      <w:pPr>
        <w:spacing w:after="60"/>
        <w:rPr>
          <w:rFonts w:ascii="Arial" w:hAnsi="Arial" w:cs="Arial"/>
          <w:sz w:val="18"/>
          <w:szCs w:val="18"/>
          <w:rtl/>
        </w:rPr>
      </w:pPr>
      <w:r w:rsidRPr="008D2CD0">
        <w:rPr>
          <w:rFonts w:ascii="Arial" w:hAnsi="Arial" w:cs="Arial"/>
          <w:sz w:val="18"/>
          <w:szCs w:val="18"/>
          <w:rtl/>
        </w:rPr>
        <w:t xml:space="preserve">בעניינם של המשיבים </w:t>
      </w:r>
      <w:r>
        <w:rPr>
          <w:rFonts w:ascii="Arial" w:hAnsi="Arial" w:cs="Arial" w:hint="cs"/>
          <w:sz w:val="18"/>
          <w:szCs w:val="18"/>
          <w:rtl/>
        </w:rPr>
        <w:t xml:space="preserve">[סגני ראש המועצה] </w:t>
      </w:r>
      <w:r w:rsidRPr="008D2CD0">
        <w:rPr>
          <w:rFonts w:ascii="Arial" w:hAnsi="Arial" w:cs="Arial"/>
          <w:sz w:val="18"/>
          <w:szCs w:val="18"/>
          <w:rtl/>
        </w:rPr>
        <w:t xml:space="preserve">ההחלטה על מינויים לא כללה החלטה בדבר אלו סמכויות יואצלו להם. </w:t>
      </w:r>
    </w:p>
    <w:p w:rsidR="00241BC2" w:rsidRPr="008D2CD0" w:rsidRDefault="00241BC2" w:rsidP="00241BC2">
      <w:pPr>
        <w:spacing w:after="60"/>
        <w:rPr>
          <w:rFonts w:ascii="Arial" w:hAnsi="Arial" w:cs="Arial"/>
          <w:sz w:val="18"/>
          <w:szCs w:val="18"/>
          <w:rtl/>
        </w:rPr>
      </w:pPr>
      <w:r w:rsidRPr="008D2CD0">
        <w:rPr>
          <w:rFonts w:ascii="Arial" w:hAnsi="Arial" w:cs="Arial"/>
          <w:sz w:val="18"/>
          <w:szCs w:val="18"/>
          <w:rtl/>
        </w:rPr>
        <w:t>בית המשפט העליון בדיון נוסף הפך את החלטתו הקודמת וקבע</w:t>
      </w:r>
      <w:r w:rsidRPr="008D2CD0">
        <w:rPr>
          <w:rFonts w:ascii="Arial" w:hAnsi="Arial" w:cs="Arial" w:hint="cs"/>
          <w:sz w:val="18"/>
          <w:szCs w:val="18"/>
          <w:rtl/>
        </w:rPr>
        <w:t>,</w:t>
      </w:r>
      <w:r w:rsidRPr="008D2CD0">
        <w:rPr>
          <w:rFonts w:ascii="Arial" w:hAnsi="Arial" w:cs="Arial"/>
          <w:sz w:val="18"/>
          <w:szCs w:val="18"/>
          <w:rtl/>
        </w:rPr>
        <w:t xml:space="preserve"> כי אין המשיבים זכאים לשכר וזאת על אף הזמן שהשקיעו בסיוע לראש המועצה, וזאת מכיוון ש</w:t>
      </w:r>
      <w:r>
        <w:rPr>
          <w:rFonts w:ascii="Arial" w:hAnsi="Arial" w:cs="Arial" w:hint="cs"/>
          <w:sz w:val="18"/>
          <w:szCs w:val="18"/>
          <w:rtl/>
        </w:rPr>
        <w:t xml:space="preserve">סמכויותיו </w:t>
      </w:r>
      <w:r w:rsidRPr="008D2CD0">
        <w:rPr>
          <w:rFonts w:ascii="Arial" w:hAnsi="Arial" w:cs="Arial"/>
          <w:sz w:val="18"/>
          <w:szCs w:val="18"/>
          <w:rtl/>
        </w:rPr>
        <w:t>לא הואצלו להם כדין.</w:t>
      </w:r>
    </w:p>
    <w:p w:rsidR="00241BC2" w:rsidRPr="008D2CD0" w:rsidRDefault="00241BC2" w:rsidP="00241BC2">
      <w:pPr>
        <w:spacing w:after="60"/>
        <w:rPr>
          <w:rFonts w:ascii="Arial" w:hAnsi="Arial" w:cs="Arial"/>
          <w:sz w:val="18"/>
          <w:szCs w:val="18"/>
          <w:highlight w:val="yellow"/>
          <w:rtl/>
        </w:rPr>
      </w:pPr>
      <w:r w:rsidRPr="008D2CD0">
        <w:rPr>
          <w:rFonts w:ascii="Arial" w:hAnsi="Arial" w:cs="Arial"/>
          <w:sz w:val="18"/>
          <w:szCs w:val="18"/>
          <w:highlight w:val="yellow"/>
          <w:rtl/>
        </w:rPr>
        <w:t xml:space="preserve">פסק הדין עוסק בעיקר בשתיים: </w:t>
      </w:r>
    </w:p>
    <w:p w:rsidR="00241BC2" w:rsidRPr="008D2CD0" w:rsidRDefault="00241BC2" w:rsidP="00241BC2">
      <w:pPr>
        <w:spacing w:after="60"/>
        <w:ind w:left="1440" w:hanging="720"/>
        <w:rPr>
          <w:rFonts w:ascii="Arial" w:hAnsi="Arial" w:cs="Arial"/>
          <w:sz w:val="18"/>
          <w:szCs w:val="18"/>
          <w:highlight w:val="yellow"/>
          <w:rtl/>
        </w:rPr>
      </w:pPr>
      <w:r w:rsidRPr="008D2CD0">
        <w:rPr>
          <w:rFonts w:ascii="Arial" w:hAnsi="Arial" w:cs="Arial"/>
          <w:sz w:val="18"/>
          <w:szCs w:val="18"/>
          <w:highlight w:val="yellow"/>
          <w:rtl/>
        </w:rPr>
        <w:t>ראשית, בדיני האצלת סמכות, ולענייננו בצורך לבצע פעולת האצלה בדרך ברורה או ברורה למדי, וכן הפניית תשומת הלב לכך שלעיתים יש פרוצדורה מורכבת לכך (כאן, הצורך באישור מועצת הרשות המקומית)</w:t>
      </w:r>
      <w:r w:rsidRPr="008D2CD0">
        <w:rPr>
          <w:rFonts w:ascii="Arial" w:hAnsi="Arial" w:cs="Arial" w:hint="cs"/>
          <w:sz w:val="18"/>
          <w:szCs w:val="18"/>
          <w:highlight w:val="yellow"/>
          <w:rtl/>
        </w:rPr>
        <w:t>;</w:t>
      </w:r>
      <w:r w:rsidRPr="008D2CD0">
        <w:rPr>
          <w:rFonts w:ascii="Arial" w:hAnsi="Arial" w:cs="Arial"/>
          <w:sz w:val="18"/>
          <w:szCs w:val="18"/>
          <w:highlight w:val="yellow"/>
          <w:rtl/>
        </w:rPr>
        <w:t xml:space="preserve"> </w:t>
      </w:r>
    </w:p>
    <w:p w:rsidR="00241BC2" w:rsidRDefault="00241BC2" w:rsidP="00241BC2">
      <w:pPr>
        <w:spacing w:after="120"/>
        <w:ind w:left="720"/>
        <w:rPr>
          <w:rFonts w:ascii="Arial" w:hAnsi="Arial" w:cs="Arial"/>
          <w:sz w:val="18"/>
          <w:szCs w:val="18"/>
          <w:rtl/>
        </w:rPr>
      </w:pPr>
      <w:r w:rsidRPr="008D2CD0">
        <w:rPr>
          <w:rFonts w:ascii="Arial" w:hAnsi="Arial" w:cs="Arial"/>
          <w:sz w:val="18"/>
          <w:szCs w:val="18"/>
          <w:highlight w:val="yellow"/>
          <w:rtl/>
        </w:rPr>
        <w:t>שנית, הוא עוסק במהותן של הנחיות מינהליות ובסטייה מהן.</w:t>
      </w:r>
    </w:p>
    <w:p w:rsidR="00241BC2" w:rsidRPr="00D67958" w:rsidRDefault="00241BC2" w:rsidP="00241BC2">
      <w:pPr>
        <w:spacing w:after="120"/>
        <w:rPr>
          <w:sz w:val="22"/>
          <w:szCs w:val="22"/>
          <w:rtl/>
        </w:rPr>
      </w:pPr>
      <w:r>
        <w:rPr>
          <w:rFonts w:hint="cs"/>
          <w:sz w:val="22"/>
          <w:szCs w:val="22"/>
          <w:rtl/>
        </w:rPr>
        <w:t>השופט חשין:</w:t>
      </w:r>
    </w:p>
    <w:p w:rsidR="00241BC2" w:rsidRPr="00FD7BF9" w:rsidRDefault="00241BC2" w:rsidP="00241BC2">
      <w:pPr>
        <w:pStyle w:val="a6"/>
        <w:spacing w:line="240" w:lineRule="auto"/>
        <w:jc w:val="left"/>
        <w:rPr>
          <w:rFonts w:cs="Times New Roman"/>
          <w:szCs w:val="20"/>
          <w:rtl/>
        </w:rPr>
      </w:pPr>
      <w:r w:rsidRPr="00FD7BF9">
        <w:rPr>
          <w:rFonts w:cs="Times New Roman"/>
          <w:szCs w:val="20"/>
          <w:rtl/>
        </w:rPr>
        <w:t>4.</w:t>
      </w:r>
      <w:r w:rsidRPr="00FD7BF9">
        <w:rPr>
          <w:rFonts w:cs="Times New Roman"/>
          <w:szCs w:val="20"/>
          <w:rtl/>
        </w:rPr>
        <w:tab/>
        <w:t>נושא זכאותם של סגני ראש מועצה מקומית למשכורת הוסדר בדברי</w:t>
      </w:r>
      <w:r w:rsidRPr="00FD7BF9">
        <w:rPr>
          <w:rFonts w:cs="Times New Roman"/>
          <w:position w:val="4"/>
          <w:szCs w:val="20"/>
          <w:rtl/>
        </w:rPr>
        <w:t>-</w:t>
      </w:r>
      <w:r w:rsidRPr="00FD7BF9">
        <w:rPr>
          <w:rFonts w:cs="Times New Roman"/>
          <w:szCs w:val="20"/>
          <w:rtl/>
        </w:rPr>
        <w:t xml:space="preserve">חוק אחדים ובהנחיות שיצאו מלפני שר הפנים, ובראש דברינו נציג את אלה נגד עינינו. </w:t>
      </w:r>
    </w:p>
    <w:p w:rsidR="00241BC2" w:rsidRPr="00FD7BF9" w:rsidRDefault="00241BC2" w:rsidP="00241BC2">
      <w:pPr>
        <w:pStyle w:val="a6"/>
        <w:spacing w:line="240" w:lineRule="auto"/>
        <w:jc w:val="left"/>
        <w:rPr>
          <w:rFonts w:cs="Times New Roman"/>
          <w:szCs w:val="20"/>
          <w:rtl/>
        </w:rPr>
      </w:pPr>
      <w:r w:rsidRPr="00FD7BF9">
        <w:rPr>
          <w:rFonts w:cs="Times New Roman"/>
          <w:szCs w:val="20"/>
          <w:rtl/>
        </w:rPr>
        <w:t>5.</w:t>
      </w:r>
      <w:r w:rsidRPr="00FD7BF9">
        <w:rPr>
          <w:rFonts w:cs="Times New Roman"/>
          <w:szCs w:val="20"/>
          <w:rtl/>
        </w:rPr>
        <w:tab/>
        <w:t xml:space="preserve">המועצה המקומית כפר כנא חל עליה צו המועצות המקומיות (ב), תשי"ג-1953 (צו ב), וכדברו של סעיף 109א לצו ב, יחולו על המועצות המקומיות שצו ב חל עליהן – ובהן כפר כנא – </w:t>
      </w:r>
      <w:r w:rsidRPr="00FD7BF9">
        <w:rPr>
          <w:rFonts w:cs="Times New Roman"/>
          <w:b/>
          <w:bCs/>
          <w:szCs w:val="20"/>
          <w:rtl/>
        </w:rPr>
        <w:t>הוראות הסעיפים 115 ו</w:t>
      </w:r>
      <w:r w:rsidRPr="00FD7BF9">
        <w:rPr>
          <w:rFonts w:cs="Times New Roman"/>
          <w:b/>
          <w:bCs/>
          <w:position w:val="4"/>
          <w:szCs w:val="20"/>
          <w:rtl/>
        </w:rPr>
        <w:t>-</w:t>
      </w:r>
      <w:r w:rsidRPr="00FD7BF9">
        <w:rPr>
          <w:rFonts w:cs="Times New Roman"/>
          <w:b/>
          <w:bCs/>
          <w:szCs w:val="20"/>
          <w:rtl/>
        </w:rPr>
        <w:t>119א לצו המועצות המקומיות (א), תשי"א-1950 (צו א).</w:t>
      </w:r>
      <w:r w:rsidRPr="00FD7BF9">
        <w:rPr>
          <w:rFonts w:cs="Times New Roman"/>
          <w:szCs w:val="20"/>
          <w:rtl/>
        </w:rPr>
        <w:t xml:space="preserve"> סעיף 115 לצו א עניינו במשכורתם של ראש מועצה ושל סגני ראש מועצה שנבחרו לכהונתם על</w:t>
      </w:r>
      <w:r w:rsidRPr="00FD7BF9">
        <w:rPr>
          <w:rFonts w:cs="Times New Roman"/>
          <w:position w:val="4"/>
          <w:szCs w:val="20"/>
          <w:rtl/>
        </w:rPr>
        <w:t>-</w:t>
      </w:r>
      <w:r w:rsidRPr="00FD7BF9">
        <w:rPr>
          <w:rFonts w:cs="Times New Roman"/>
          <w:szCs w:val="20"/>
          <w:rtl/>
        </w:rPr>
        <w:t>פי הצו עצמו, ואילו סעיף 119א עניינו במשכורתם של ראש מועצה וסגני ראש מועצה שנבחרו לכהונתם על</w:t>
      </w:r>
      <w:r w:rsidRPr="00FD7BF9">
        <w:rPr>
          <w:rFonts w:cs="Times New Roman"/>
          <w:position w:val="4"/>
          <w:szCs w:val="20"/>
          <w:rtl/>
        </w:rPr>
        <w:t>-</w:t>
      </w:r>
      <w:r w:rsidRPr="00FD7BF9">
        <w:rPr>
          <w:rFonts w:cs="Times New Roman"/>
          <w:szCs w:val="20"/>
          <w:rtl/>
        </w:rPr>
        <w:t>פי חוק הרשויות המקומיות (בחירת ראש הרשות וסגניו וכהונתם), תשל"ה-1975 (חוק הבחירה). בגופן קובעות שתי הוראות</w:t>
      </w:r>
      <w:r w:rsidRPr="00FD7BF9">
        <w:rPr>
          <w:rFonts w:cs="Times New Roman"/>
          <w:position w:val="4"/>
          <w:szCs w:val="20"/>
          <w:rtl/>
        </w:rPr>
        <w:t>-</w:t>
      </w:r>
      <w:r w:rsidRPr="00FD7BF9">
        <w:rPr>
          <w:rFonts w:cs="Times New Roman"/>
          <w:szCs w:val="20"/>
          <w:rtl/>
        </w:rPr>
        <w:t>דין אלו – כמעט בלשון זהה – כי ראש מועצה וסגן ראש מועצה לא יזכו במשכורת אלא על</w:t>
      </w:r>
      <w:r w:rsidRPr="00FD7BF9">
        <w:rPr>
          <w:rFonts w:cs="Times New Roman"/>
          <w:position w:val="4"/>
          <w:szCs w:val="20"/>
          <w:rtl/>
        </w:rPr>
        <w:t>-</w:t>
      </w:r>
      <w:r w:rsidRPr="00FD7BF9">
        <w:rPr>
          <w:rFonts w:cs="Times New Roman"/>
          <w:szCs w:val="20"/>
          <w:rtl/>
        </w:rPr>
        <w:t xml:space="preserve">פי הוראות שר הפנים, וכלשון ההוראות במקורן: </w:t>
      </w:r>
    </w:p>
    <w:tbl>
      <w:tblPr>
        <w:bidiVisual/>
        <w:tblW w:w="8474" w:type="dxa"/>
        <w:tblInd w:w="392" w:type="dxa"/>
        <w:tblLayout w:type="fixed"/>
        <w:tblLook w:val="0000"/>
      </w:tblPr>
      <w:tblGrid>
        <w:gridCol w:w="1417"/>
        <w:gridCol w:w="7057"/>
      </w:tblGrid>
      <w:tr w:rsidR="00241BC2" w:rsidRPr="00FD7BF9" w:rsidTr="00354D68">
        <w:tc>
          <w:tcPr>
            <w:tcW w:w="1417" w:type="dxa"/>
          </w:tcPr>
          <w:p w:rsidR="00241BC2" w:rsidRPr="00FD7BF9" w:rsidRDefault="00241BC2" w:rsidP="00354D68">
            <w:pPr>
              <w:pStyle w:val="4"/>
              <w:tabs>
                <w:tab w:val="clear" w:pos="800"/>
              </w:tabs>
              <w:spacing w:before="40" w:line="240" w:lineRule="auto"/>
              <w:ind w:left="34"/>
              <w:jc w:val="left"/>
              <w:rPr>
                <w:rFonts w:ascii="Times New Roman" w:cs="David"/>
                <w:sz w:val="20"/>
                <w:rtl/>
              </w:rPr>
            </w:pPr>
            <w:r w:rsidRPr="00FD7BF9">
              <w:rPr>
                <w:rFonts w:ascii="Times New Roman" w:cs="David"/>
                <w:sz w:val="20"/>
                <w:rtl/>
              </w:rPr>
              <w:t xml:space="preserve">משכורת ראש המועצה, סגנו וממלא מקומו </w:t>
            </w:r>
          </w:p>
        </w:tc>
        <w:tc>
          <w:tcPr>
            <w:tcW w:w="7057" w:type="dxa"/>
          </w:tcPr>
          <w:p w:rsidR="00241BC2" w:rsidRPr="00FD7BF9" w:rsidRDefault="00241BC2" w:rsidP="00354D68">
            <w:pPr>
              <w:pStyle w:val="4"/>
              <w:tabs>
                <w:tab w:val="clear" w:pos="800"/>
              </w:tabs>
              <w:spacing w:line="240" w:lineRule="auto"/>
              <w:ind w:left="510" w:right="34" w:hanging="510"/>
              <w:jc w:val="left"/>
              <w:rPr>
                <w:rFonts w:ascii="Times New Roman" w:cs="David"/>
                <w:b/>
                <w:sz w:val="20"/>
                <w:rtl/>
              </w:rPr>
            </w:pPr>
            <w:r w:rsidRPr="00FD7BF9">
              <w:rPr>
                <w:rFonts w:ascii="Times New Roman" w:cs="David"/>
                <w:b/>
                <w:sz w:val="20"/>
                <w:rtl/>
              </w:rPr>
              <w:t>115.   ראש המועצה, סגנו וכן מי שממלא את מקום ראש המועצה לפי סעיף 114(א)(3) או (ג), רשאים לקבל מקופת המועצה משכורת באישור השר ובשיעור שקבע השר.</w:t>
            </w:r>
          </w:p>
        </w:tc>
      </w:tr>
      <w:tr w:rsidR="00241BC2" w:rsidRPr="00FD7BF9" w:rsidTr="00354D68">
        <w:tc>
          <w:tcPr>
            <w:tcW w:w="1417" w:type="dxa"/>
          </w:tcPr>
          <w:p w:rsidR="00241BC2" w:rsidRPr="00FD7BF9" w:rsidRDefault="00241BC2" w:rsidP="00354D68">
            <w:pPr>
              <w:pStyle w:val="4"/>
              <w:spacing w:line="240" w:lineRule="auto"/>
              <w:ind w:left="33"/>
              <w:jc w:val="left"/>
              <w:rPr>
                <w:rFonts w:ascii="Times New Roman" w:cs="David"/>
                <w:sz w:val="20"/>
                <w:rtl/>
              </w:rPr>
            </w:pPr>
          </w:p>
        </w:tc>
        <w:tc>
          <w:tcPr>
            <w:tcW w:w="7057" w:type="dxa"/>
          </w:tcPr>
          <w:p w:rsidR="00241BC2" w:rsidRPr="00FD7BF9" w:rsidRDefault="00241BC2" w:rsidP="00354D68">
            <w:pPr>
              <w:pStyle w:val="4"/>
              <w:spacing w:line="240" w:lineRule="auto"/>
              <w:ind w:right="34"/>
              <w:jc w:val="left"/>
              <w:rPr>
                <w:rFonts w:ascii="Times New Roman" w:cs="David"/>
                <w:b/>
                <w:sz w:val="20"/>
                <w:rtl/>
              </w:rPr>
            </w:pPr>
          </w:p>
        </w:tc>
      </w:tr>
      <w:tr w:rsidR="00241BC2" w:rsidRPr="00FD7BF9" w:rsidTr="00354D68">
        <w:tc>
          <w:tcPr>
            <w:tcW w:w="1417" w:type="dxa"/>
          </w:tcPr>
          <w:p w:rsidR="00241BC2" w:rsidRPr="00FD7BF9" w:rsidRDefault="00241BC2" w:rsidP="00354D68">
            <w:pPr>
              <w:pStyle w:val="4"/>
              <w:spacing w:before="40" w:line="240" w:lineRule="auto"/>
              <w:ind w:left="34"/>
              <w:jc w:val="left"/>
              <w:rPr>
                <w:rFonts w:ascii="Times New Roman" w:cs="David"/>
                <w:sz w:val="20"/>
                <w:rtl/>
              </w:rPr>
            </w:pPr>
            <w:r w:rsidRPr="00FD7BF9">
              <w:rPr>
                <w:rFonts w:ascii="Times New Roman" w:cs="David"/>
                <w:sz w:val="20"/>
                <w:rtl/>
              </w:rPr>
              <w:t xml:space="preserve">אי תחולה </w:t>
            </w:r>
          </w:p>
          <w:p w:rsidR="00241BC2" w:rsidRPr="00FD7BF9" w:rsidRDefault="00241BC2" w:rsidP="00354D68">
            <w:pPr>
              <w:pStyle w:val="4"/>
              <w:spacing w:line="240" w:lineRule="auto"/>
              <w:ind w:left="33"/>
              <w:jc w:val="left"/>
              <w:rPr>
                <w:rFonts w:ascii="Times New Roman" w:cs="David"/>
                <w:sz w:val="20"/>
                <w:rtl/>
              </w:rPr>
            </w:pPr>
          </w:p>
        </w:tc>
        <w:tc>
          <w:tcPr>
            <w:tcW w:w="7057" w:type="dxa"/>
          </w:tcPr>
          <w:p w:rsidR="00241BC2" w:rsidRPr="00FD7BF9" w:rsidRDefault="00241BC2" w:rsidP="00354D68">
            <w:pPr>
              <w:pStyle w:val="4"/>
              <w:spacing w:after="120" w:line="240" w:lineRule="auto"/>
              <w:ind w:right="34"/>
              <w:jc w:val="left"/>
              <w:rPr>
                <w:rFonts w:ascii="Times New Roman" w:cs="David"/>
                <w:b/>
                <w:sz w:val="20"/>
                <w:rtl/>
              </w:rPr>
            </w:pPr>
            <w:r w:rsidRPr="00FD7BF9">
              <w:rPr>
                <w:rFonts w:ascii="Times New Roman" w:cs="David"/>
                <w:b/>
                <w:sz w:val="20"/>
                <w:rtl/>
              </w:rPr>
              <w:t>119א. (א)  ...</w:t>
            </w:r>
          </w:p>
          <w:p w:rsidR="00241BC2" w:rsidRPr="00FD7BF9" w:rsidRDefault="00241BC2" w:rsidP="00354D68">
            <w:pPr>
              <w:pStyle w:val="4"/>
              <w:spacing w:after="240" w:line="240" w:lineRule="auto"/>
              <w:ind w:left="884" w:right="34" w:hanging="425"/>
              <w:jc w:val="left"/>
              <w:rPr>
                <w:rFonts w:ascii="Times New Roman" w:cs="David"/>
                <w:b/>
                <w:sz w:val="20"/>
                <w:rtl/>
              </w:rPr>
            </w:pPr>
            <w:r w:rsidRPr="00FD7BF9">
              <w:rPr>
                <w:rFonts w:ascii="Times New Roman" w:cs="David"/>
                <w:b/>
                <w:sz w:val="20"/>
                <w:rtl/>
              </w:rPr>
              <w:t> (ב)  ראש המועצה וסגן ראש המועצה שנבחרו כאמור בסעיף קטן (א) [לפי חוק הבחירה – מ' ח'] רשאים לקבל משכורת מקופת המועצה, באישור השר ובשיעור שקבע.</w:t>
            </w:r>
          </w:p>
        </w:tc>
      </w:tr>
    </w:tbl>
    <w:p w:rsidR="00241BC2" w:rsidRPr="00D33AED" w:rsidRDefault="00241BC2" w:rsidP="00241BC2">
      <w:pPr>
        <w:spacing w:after="60"/>
        <w:rPr>
          <w:sz w:val="20"/>
          <w:szCs w:val="20"/>
          <w:rtl/>
        </w:rPr>
      </w:pPr>
      <w:r>
        <w:rPr>
          <w:rFonts w:hint="cs"/>
          <w:sz w:val="20"/>
          <w:szCs w:val="20"/>
          <w:rtl/>
        </w:rPr>
        <w:t xml:space="preserve">6. </w:t>
      </w:r>
      <w:r w:rsidRPr="00D33AED">
        <w:rPr>
          <w:rFonts w:hint="cs"/>
          <w:sz w:val="20"/>
          <w:szCs w:val="20"/>
          <w:rtl/>
        </w:rPr>
        <w:tab/>
      </w:r>
      <w:r w:rsidRPr="00FD7BF9">
        <w:rPr>
          <w:rFonts w:hint="cs"/>
          <w:sz w:val="20"/>
          <w:szCs w:val="20"/>
          <w:highlight w:val="yellow"/>
          <w:rtl/>
        </w:rPr>
        <w:t>נדע מכאן אפוא כי סגן ראש מועצה מקומית – והוא לענייננו – אינו זכאי לקבל משכורת מקופת המועצה אלא בהתקיים שני אלה: אחד, שר הפנים אישר כי זכאי הוא למשכורת, ושניים, שר הפנים הוסיף וקבע את שיעור המשכורת.</w:t>
      </w:r>
      <w:r w:rsidRPr="00D33AED">
        <w:rPr>
          <w:rFonts w:hint="cs"/>
          <w:sz w:val="20"/>
          <w:szCs w:val="20"/>
          <w:rtl/>
        </w:rPr>
        <w:t xml:space="preserve"> </w:t>
      </w:r>
    </w:p>
    <w:p w:rsidR="00241BC2" w:rsidRPr="00D33AED" w:rsidRDefault="00241BC2" w:rsidP="00241BC2">
      <w:pPr>
        <w:spacing w:after="60"/>
        <w:rPr>
          <w:sz w:val="20"/>
          <w:szCs w:val="20"/>
          <w:rtl/>
        </w:rPr>
      </w:pPr>
      <w:r w:rsidRPr="00D33AED">
        <w:rPr>
          <w:rFonts w:hint="cs"/>
          <w:sz w:val="20"/>
          <w:szCs w:val="20"/>
          <w:rtl/>
        </w:rPr>
        <w:t>7.</w:t>
      </w:r>
      <w:r w:rsidRPr="00D33AED">
        <w:rPr>
          <w:rFonts w:hint="cs"/>
          <w:sz w:val="20"/>
          <w:szCs w:val="20"/>
          <w:rtl/>
        </w:rPr>
        <w:tab/>
      </w:r>
      <w:r w:rsidRPr="00FD7BF9">
        <w:rPr>
          <w:rFonts w:hint="cs"/>
          <w:sz w:val="20"/>
          <w:szCs w:val="20"/>
          <w:highlight w:val="yellow"/>
          <w:rtl/>
        </w:rPr>
        <w:t xml:space="preserve">סמכויותיו אלו – לאשר תשלום משכורת לסגן ראש מועצה מקומית ולהוסיף ולקבוע את שיעור המשכורת – אצל שר הפנים למנכ"ל משרדו, והמנכ"ל הוציא לעניין זה </w:t>
      </w:r>
      <w:r w:rsidRPr="00FD7BF9">
        <w:rPr>
          <w:rFonts w:hint="cs"/>
          <w:b/>
          <w:bCs/>
          <w:sz w:val="20"/>
          <w:szCs w:val="20"/>
          <w:highlight w:val="yellow"/>
          <w:rtl/>
        </w:rPr>
        <w:t>חוזר הקרוי "תנאי שכר ותנאים נלווים לראשי הרשויות המקומיות וסגניהם בשכר" (חוזר המנכ"ל)</w:t>
      </w:r>
      <w:r w:rsidRPr="00FD7BF9">
        <w:rPr>
          <w:rFonts w:hint="cs"/>
          <w:sz w:val="20"/>
          <w:szCs w:val="20"/>
          <w:highlight w:val="yellow"/>
          <w:rtl/>
        </w:rPr>
        <w:t>, ובו הנחיות מהנחיות שונות באשר לתנאים מוקדמים נדרשים עד שסגן ראש מועצה מקומית יזכה במשכורת.</w:t>
      </w:r>
      <w:r w:rsidRPr="00D33AED">
        <w:rPr>
          <w:rFonts w:hint="cs"/>
          <w:sz w:val="20"/>
          <w:szCs w:val="20"/>
          <w:rtl/>
        </w:rPr>
        <w:t xml:space="preserve"> חוזר זה משקף מדיניות כוללת בנושא תגמולים שראשי רשויות מקומיות וסגניהם זכאים להם, ומתוך כל אותן הנחיות הנחיה 2.4.3 היא לענייננו עתה. ובלשונה של ההנחיה: </w:t>
      </w:r>
    </w:p>
    <w:p w:rsidR="00241BC2" w:rsidRDefault="00241BC2" w:rsidP="00241BC2">
      <w:pPr>
        <w:spacing w:after="60"/>
        <w:ind w:left="720"/>
        <w:rPr>
          <w:sz w:val="20"/>
          <w:szCs w:val="20"/>
          <w:rtl/>
        </w:rPr>
      </w:pPr>
      <w:r w:rsidRPr="00D33AED">
        <w:rPr>
          <w:rFonts w:cs="David" w:hint="cs"/>
          <w:sz w:val="20"/>
          <w:szCs w:val="20"/>
          <w:rtl/>
        </w:rPr>
        <w:t>2.4.3  ישולם שכר לסגן ראש רשות מקומית רק אם הואצלו לו תפקידים וסמכויות על פי סעיף 17 לחוק</w:t>
      </w:r>
      <w:r w:rsidRPr="00D33AED">
        <w:rPr>
          <w:rFonts w:hint="cs"/>
          <w:sz w:val="20"/>
          <w:szCs w:val="20"/>
          <w:rtl/>
        </w:rPr>
        <w:t xml:space="preserve"> [הבחירה – מ' ח'].</w:t>
      </w:r>
    </w:p>
    <w:p w:rsidR="00241BC2" w:rsidRPr="00D33AED" w:rsidRDefault="00241BC2" w:rsidP="00241BC2">
      <w:pPr>
        <w:spacing w:after="60"/>
        <w:rPr>
          <w:sz w:val="20"/>
          <w:szCs w:val="20"/>
          <w:rtl/>
        </w:rPr>
      </w:pPr>
      <w:r>
        <w:rPr>
          <w:rFonts w:hint="cs"/>
          <w:sz w:val="20"/>
          <w:szCs w:val="20"/>
          <w:rtl/>
        </w:rPr>
        <w:t>[=</w:t>
      </w:r>
      <w:r w:rsidRPr="005F2ABB">
        <w:rPr>
          <w:rFonts w:hint="cs"/>
          <w:b/>
          <w:bCs/>
          <w:sz w:val="20"/>
          <w:szCs w:val="20"/>
          <w:rtl/>
        </w:rPr>
        <w:t>חוק הרשויות המקומיות (בחירת ראש הרשות וסגניו וכהונתם), תשל"ה-1975</w:t>
      </w:r>
      <w:r>
        <w:rPr>
          <w:rFonts w:hint="cs"/>
          <w:sz w:val="20"/>
          <w:szCs w:val="20"/>
          <w:rtl/>
        </w:rPr>
        <w:t xml:space="preserve">]... </w:t>
      </w:r>
      <w:r w:rsidRPr="00D33AED">
        <w:rPr>
          <w:rFonts w:hint="cs"/>
          <w:sz w:val="20"/>
          <w:szCs w:val="20"/>
          <w:rtl/>
        </w:rPr>
        <w:t xml:space="preserve">הנחיה 2.4.3 בולעת אל קרבה את הוראת סעיף 17 לחוק הבחירה, ולשונה ברורה ופשוטה: סגן ראש מועצה מקומית לא יזכה במשכורת אלא אם נאצלו לו תפקידים וסמכויות כהוראת סעיף 17 לחוק הבחירה. סעיף 17 לחוק הבחירה קובע הליכים ברורים לדרכי אצילת סמכויות לסגני ראש מועצה, ובלשונו: </w:t>
      </w:r>
    </w:p>
    <w:tbl>
      <w:tblPr>
        <w:bidiVisual/>
        <w:tblW w:w="8005" w:type="dxa"/>
        <w:tblInd w:w="720" w:type="dxa"/>
        <w:tblLayout w:type="fixed"/>
        <w:tblLook w:val="0000"/>
      </w:tblPr>
      <w:tblGrid>
        <w:gridCol w:w="1417"/>
        <w:gridCol w:w="6588"/>
      </w:tblGrid>
      <w:tr w:rsidR="00241BC2" w:rsidRPr="00D33AED" w:rsidTr="00354D68">
        <w:tc>
          <w:tcPr>
            <w:tcW w:w="1417" w:type="dxa"/>
          </w:tcPr>
          <w:p w:rsidR="00241BC2" w:rsidRPr="00D33AED" w:rsidRDefault="00241BC2" w:rsidP="00354D68">
            <w:pPr>
              <w:spacing w:after="60"/>
              <w:rPr>
                <w:rFonts w:cs="David"/>
                <w:sz w:val="20"/>
                <w:szCs w:val="20"/>
                <w:rtl/>
              </w:rPr>
            </w:pPr>
            <w:r w:rsidRPr="00D33AED">
              <w:rPr>
                <w:rFonts w:cs="David" w:hint="cs"/>
                <w:sz w:val="20"/>
                <w:szCs w:val="20"/>
                <w:rtl/>
              </w:rPr>
              <w:t>אצילת</w:t>
            </w:r>
            <w:r w:rsidRPr="00D33AED">
              <w:rPr>
                <w:rFonts w:cs="David" w:hint="eastAsia"/>
                <w:sz w:val="20"/>
                <w:szCs w:val="20"/>
                <w:rtl/>
              </w:rPr>
              <w:t> </w:t>
            </w:r>
            <w:r w:rsidRPr="00D33AED">
              <w:rPr>
                <w:rFonts w:cs="David" w:hint="cs"/>
                <w:sz w:val="20"/>
                <w:szCs w:val="20"/>
                <w:rtl/>
              </w:rPr>
              <w:t>תפקידים וסמכויות</w:t>
            </w:r>
            <w:r w:rsidRPr="00D33AED">
              <w:rPr>
                <w:rFonts w:cs="David" w:hint="eastAsia"/>
                <w:sz w:val="20"/>
                <w:szCs w:val="20"/>
                <w:rtl/>
              </w:rPr>
              <w:t> </w:t>
            </w:r>
            <w:r w:rsidRPr="00D33AED">
              <w:rPr>
                <w:rFonts w:cs="David" w:hint="cs"/>
                <w:sz w:val="20"/>
                <w:szCs w:val="20"/>
                <w:rtl/>
              </w:rPr>
              <w:t>של ראש רשות</w:t>
            </w:r>
          </w:p>
        </w:tc>
        <w:tc>
          <w:tcPr>
            <w:tcW w:w="6588" w:type="dxa"/>
          </w:tcPr>
          <w:p w:rsidR="00241BC2" w:rsidRPr="00D33AED" w:rsidRDefault="00241BC2" w:rsidP="00354D68">
            <w:pPr>
              <w:spacing w:after="60"/>
              <w:rPr>
                <w:rFonts w:cs="David"/>
                <w:b/>
                <w:sz w:val="20"/>
                <w:szCs w:val="20"/>
                <w:rtl/>
              </w:rPr>
            </w:pPr>
            <w:r w:rsidRPr="00D33AED">
              <w:rPr>
                <w:rFonts w:cs="David" w:hint="cs"/>
                <w:b/>
                <w:sz w:val="20"/>
                <w:szCs w:val="20"/>
                <w:rtl/>
              </w:rPr>
              <w:t>17.  </w:t>
            </w:r>
            <w:r w:rsidRPr="00D33AED">
              <w:rPr>
                <w:rFonts w:cs="David"/>
                <w:b/>
                <w:sz w:val="20"/>
                <w:szCs w:val="20"/>
                <w:rtl/>
              </w:rPr>
              <w:t>ראש רשות רשאי, באישור המועצה, לאצול מתפקידיו וסמכויותיו</w:t>
            </w:r>
            <w:r w:rsidRPr="00D33AED">
              <w:rPr>
                <w:rFonts w:cs="David" w:hint="cs"/>
                <w:b/>
                <w:sz w:val="20"/>
                <w:szCs w:val="20"/>
                <w:rtl/>
              </w:rPr>
              <w:t xml:space="preserve"> </w:t>
            </w:r>
            <w:r w:rsidRPr="00D33AED">
              <w:rPr>
                <w:rFonts w:cs="David"/>
                <w:b/>
                <w:sz w:val="20"/>
                <w:szCs w:val="20"/>
                <w:rtl/>
              </w:rPr>
              <w:t>לסגן ראש רשות או לחבר ועדת הנהלה כמשמעה בפקודת העיריות או לעובד הרשות והכל דרך כלל או לענין מסויים או לסוג ענינים מסויים; מילוי התפקידים והשימוש בסמכויות כאמור לא יהיו כרוכים בתשלום שכר</w:t>
            </w:r>
            <w:r w:rsidRPr="00D33AED">
              <w:rPr>
                <w:rFonts w:cs="David" w:hint="cs"/>
                <w:b/>
                <w:sz w:val="20"/>
                <w:szCs w:val="20"/>
                <w:rtl/>
              </w:rPr>
              <w:t>.</w:t>
            </w:r>
          </w:p>
        </w:tc>
      </w:tr>
    </w:tbl>
    <w:p w:rsidR="00241BC2" w:rsidRDefault="00241BC2" w:rsidP="00241BC2">
      <w:pPr>
        <w:spacing w:after="60"/>
        <w:rPr>
          <w:sz w:val="20"/>
          <w:szCs w:val="20"/>
          <w:rtl/>
        </w:rPr>
      </w:pPr>
      <w:r w:rsidRPr="00CB29B5">
        <w:rPr>
          <w:rFonts w:hint="cs"/>
          <w:sz w:val="20"/>
          <w:szCs w:val="20"/>
          <w:highlight w:val="yellow"/>
          <w:rtl/>
        </w:rPr>
        <w:t>מכאן:</w:t>
      </w:r>
      <w:r w:rsidRPr="00D33AED">
        <w:rPr>
          <w:rFonts w:hint="cs"/>
          <w:sz w:val="20"/>
          <w:szCs w:val="20"/>
          <w:rtl/>
        </w:rPr>
        <w:t xml:space="preserve"> סגן ראש מועצה מקומית יכול שיחזיק, מכוח אצילה, בסמכויות ובתפקידים של ראש המועצה </w:t>
      </w:r>
      <w:r w:rsidRPr="00CB29B5">
        <w:rPr>
          <w:rFonts w:hint="cs"/>
          <w:sz w:val="20"/>
          <w:szCs w:val="20"/>
          <w:highlight w:val="yellow"/>
          <w:rtl/>
        </w:rPr>
        <w:t>בהתקיים כל אלה במצטבר: אחד, ראש המועצה אצל לו סמכויות או תפקידים; שניים, האצילה היא "דרך כלל או לענין מסויים או לסוג ענינים מסויים"; שלושה, האצילה הייתה באישור המועצה</w:t>
      </w:r>
      <w:r w:rsidRPr="00D33AED">
        <w:rPr>
          <w:rFonts w:hint="cs"/>
          <w:sz w:val="20"/>
          <w:szCs w:val="20"/>
          <w:rtl/>
        </w:rPr>
        <w:t>.</w:t>
      </w:r>
      <w:r>
        <w:rPr>
          <w:rFonts w:hint="cs"/>
          <w:sz w:val="20"/>
          <w:szCs w:val="20"/>
          <w:rtl/>
        </w:rPr>
        <w:t xml:space="preserve"> ...</w:t>
      </w:r>
    </w:p>
    <w:p w:rsidR="00241BC2" w:rsidRPr="00753178" w:rsidRDefault="00241BC2" w:rsidP="00241BC2">
      <w:pPr>
        <w:spacing w:after="60"/>
        <w:rPr>
          <w:rFonts w:cs="FrankRuehl"/>
          <w:sz w:val="22"/>
          <w:szCs w:val="22"/>
          <w:rtl/>
        </w:rPr>
      </w:pPr>
      <w:r w:rsidRPr="00753178">
        <w:rPr>
          <w:rFonts w:cs="FrankRuehl"/>
          <w:sz w:val="22"/>
          <w:szCs w:val="22"/>
          <w:rtl/>
        </w:rPr>
        <w:t xml:space="preserve">15. </w:t>
      </w:r>
      <w:r>
        <w:rPr>
          <w:rFonts w:cs="FrankRuehl" w:hint="cs"/>
          <w:sz w:val="22"/>
          <w:szCs w:val="22"/>
          <w:rtl/>
        </w:rPr>
        <w:tab/>
      </w:r>
      <w:r w:rsidRPr="00753178">
        <w:rPr>
          <w:rFonts w:cs="FrankRuehl"/>
          <w:sz w:val="22"/>
          <w:szCs w:val="22"/>
          <w:rtl/>
        </w:rPr>
        <w:t xml:space="preserve">טוענים המשיבים </w:t>
      </w:r>
      <w:r>
        <w:rPr>
          <w:rFonts w:cs="FrankRuehl" w:hint="cs"/>
          <w:sz w:val="22"/>
          <w:szCs w:val="22"/>
          <w:rtl/>
        </w:rPr>
        <w:t>{</w:t>
      </w:r>
      <w:r w:rsidRPr="008D2CD0">
        <w:rPr>
          <w:rFonts w:ascii="Arial" w:hAnsi="Arial" w:cs="Arial"/>
          <w:sz w:val="18"/>
          <w:szCs w:val="18"/>
          <w:rtl/>
        </w:rPr>
        <w:t xml:space="preserve">סגני </w:t>
      </w:r>
      <w:r>
        <w:rPr>
          <w:rFonts w:ascii="Arial" w:hAnsi="Arial" w:cs="Arial" w:hint="cs"/>
          <w:sz w:val="18"/>
          <w:szCs w:val="18"/>
          <w:rtl/>
        </w:rPr>
        <w:t>ראש ה</w:t>
      </w:r>
      <w:r w:rsidRPr="008D2CD0">
        <w:rPr>
          <w:rFonts w:ascii="Arial" w:hAnsi="Arial" w:cs="Arial"/>
          <w:sz w:val="18"/>
          <w:szCs w:val="18"/>
          <w:rtl/>
        </w:rPr>
        <w:t xml:space="preserve">מועצה </w:t>
      </w:r>
      <w:r>
        <w:rPr>
          <w:rFonts w:ascii="Arial" w:hAnsi="Arial" w:cs="Arial" w:hint="cs"/>
          <w:sz w:val="18"/>
          <w:szCs w:val="18"/>
          <w:rtl/>
        </w:rPr>
        <w:t>ה</w:t>
      </w:r>
      <w:r w:rsidRPr="008D2CD0">
        <w:rPr>
          <w:rFonts w:ascii="Arial" w:hAnsi="Arial" w:cs="Arial"/>
          <w:sz w:val="18"/>
          <w:szCs w:val="18"/>
          <w:rtl/>
        </w:rPr>
        <w:t>מקומית</w:t>
      </w:r>
      <w:r>
        <w:rPr>
          <w:rFonts w:ascii="Arial" w:hAnsi="Arial" w:cs="Arial" w:hint="cs"/>
          <w:sz w:val="18"/>
          <w:szCs w:val="18"/>
          <w:rtl/>
        </w:rPr>
        <w:t>}</w:t>
      </w:r>
      <w:r w:rsidRPr="008D2CD0">
        <w:rPr>
          <w:rFonts w:ascii="Arial" w:hAnsi="Arial" w:cs="Arial"/>
          <w:sz w:val="18"/>
          <w:szCs w:val="18"/>
          <w:rtl/>
        </w:rPr>
        <w:t xml:space="preserve"> </w:t>
      </w:r>
      <w:r w:rsidRPr="00753178">
        <w:rPr>
          <w:rFonts w:cs="FrankRuehl"/>
          <w:sz w:val="22"/>
          <w:szCs w:val="22"/>
          <w:rtl/>
        </w:rPr>
        <w:t xml:space="preserve">וכך הם אומרים: שטחנו לפני בית-המשפט ראיות על-כי עשינו בשירות המועצה, ומתוך שהלכה למעשה מילאנו תפקידים בשירות המועצה יש להסיק כי אכן הואצלו לנו סמכויות כדת וכדין. טענה זו דינה דחייה, וכמה טעמים בדבר. </w:t>
      </w:r>
    </w:p>
    <w:p w:rsidR="00241BC2" w:rsidRPr="00753178" w:rsidRDefault="00241BC2" w:rsidP="00241BC2">
      <w:pPr>
        <w:spacing w:after="60"/>
        <w:rPr>
          <w:rFonts w:cs="FrankRuehl"/>
          <w:sz w:val="22"/>
          <w:szCs w:val="22"/>
          <w:rtl/>
        </w:rPr>
      </w:pPr>
      <w:r w:rsidRPr="00CB29B5">
        <w:rPr>
          <w:rFonts w:cs="FrankRuehl"/>
          <w:i/>
          <w:iCs/>
          <w:sz w:val="22"/>
          <w:szCs w:val="22"/>
          <w:highlight w:val="yellow"/>
          <w:rtl/>
        </w:rPr>
        <w:t>ראשית</w:t>
      </w:r>
      <w:r w:rsidRPr="00753178">
        <w:rPr>
          <w:rFonts w:cs="FrankRuehl"/>
          <w:sz w:val="22"/>
          <w:szCs w:val="22"/>
          <w:rtl/>
        </w:rPr>
        <w:t xml:space="preserve"> לכול, לא הונחה לפנינו תשתית עובדתית כי פעילותם של המשיבים הייתה כפעילותו של מחזיק בסמכויותיו של ראש המועצה, להבדילה מפעילותו של מי שסייע לראש המועצה בעשייתו הציבורית. הראיות שהוצגו לפנינו אין בהן כדי להוכיח אלא זאת שהמשיבים עשו - על-פי הנטען - בשירות המועצה. אלא שבשירות המועצה עושים גם מי שאינם סגנים לראש המועצה וגם מי שאינם מחזיקים בסמכויותיו של ראש המועצה. יתר-על-כן, עשייה בסמכות נושאת עמה גם אחריות, ויסוד זה של אחריות חסר מן התמונה שהמשיבים הציגו לפנינו. ואמנם, לא מצאנו בכתובים ולו רמז לאצילת סמכויות בתחום הביוב והמים למשיב 1, ואשר למשיב 2, לא שמענו על כל תחום פעילות קונקרטי שפעל בו. נאמר עליו אך זאת כי פעל כיד ימינו של ראש הרשות. ובכך, למותר לומר, אין די. </w:t>
      </w:r>
      <w:r w:rsidRPr="00CB29B5">
        <w:rPr>
          <w:rFonts w:cs="FrankRuehl"/>
          <w:i/>
          <w:iCs/>
          <w:sz w:val="22"/>
          <w:szCs w:val="22"/>
          <w:highlight w:val="yellow"/>
          <w:rtl/>
        </w:rPr>
        <w:t>שנית</w:t>
      </w:r>
      <w:r w:rsidRPr="005F2ABB">
        <w:rPr>
          <w:rFonts w:cs="FrankRuehl"/>
          <w:sz w:val="22"/>
          <w:szCs w:val="22"/>
          <w:highlight w:val="yellow"/>
          <w:rtl/>
        </w:rPr>
        <w:t>, גם אם עסקו המשיבים בהפעלת סמכות מעבר לסיוע לראש המועצה בביצוע סמכויותיו - ולא אמרנו כן - אין משתמע מכאן כי הייתה אצילת סמכויות כדין. והרי אפשר שהמשיבים פעלו שלא-כדין. אכן, טענת המשיבים משולה לרתימת העגלה לפני הסוסים ועיקרה הוא בהנחת המבוקש. מעשה אצילת סמכויות קודם הוא, על-פי טבעם של דברים, לעשיית שימוש בסמכויות</w:t>
      </w:r>
      <w:r w:rsidRPr="00753178">
        <w:rPr>
          <w:rFonts w:cs="FrankRuehl"/>
          <w:sz w:val="22"/>
          <w:szCs w:val="22"/>
          <w:rtl/>
        </w:rPr>
        <w:t xml:space="preserve">, ומשידענו - וידענו זאת - כי לא הייתה אצילת סמכויות מראש, ממילא אין בפעילותם של המשיבים כדי להוכיח דבר. גם חזקת תקינות מעשי המינהל לא תעמוד להם למשיבים, ולו משום שידענו - לעניינה של אצילת סמכויות - כי לא נתקיימו כנדרש תנאי סעיף 17 לחוק הבחירה. </w:t>
      </w:r>
    </w:p>
    <w:p w:rsidR="00241BC2" w:rsidRPr="00753178" w:rsidRDefault="00241BC2" w:rsidP="00241BC2">
      <w:pPr>
        <w:spacing w:after="60"/>
        <w:rPr>
          <w:rFonts w:cs="FrankRuehl"/>
          <w:sz w:val="22"/>
          <w:szCs w:val="22"/>
          <w:rtl/>
        </w:rPr>
      </w:pPr>
      <w:r w:rsidRPr="00753178">
        <w:rPr>
          <w:rFonts w:cs="FrankRuehl"/>
          <w:sz w:val="22"/>
          <w:szCs w:val="22"/>
          <w:rtl/>
        </w:rPr>
        <w:t xml:space="preserve">16. </w:t>
      </w:r>
      <w:r>
        <w:rPr>
          <w:rFonts w:cs="FrankRuehl" w:hint="cs"/>
          <w:sz w:val="22"/>
          <w:szCs w:val="22"/>
          <w:rtl/>
        </w:rPr>
        <w:tab/>
      </w:r>
      <w:r w:rsidRPr="00753178">
        <w:rPr>
          <w:rFonts w:cs="FrankRuehl"/>
          <w:sz w:val="22"/>
          <w:szCs w:val="22"/>
          <w:rtl/>
        </w:rPr>
        <w:t xml:space="preserve">מוסיפים המשיבים וטוענים הם כי באשרה את מינוייהם להיותם סגנים במשכורת כמו אישרה המועצה - אמנם מכללא - גם אצילת סמכויות מראש המועצה, ולו משום שעל-פי הנחיה 2.4.3, אין סגן ראש מועצה יכול לכהן במשכורת אלא אם נאצלו לו מסמכויותיו של ראש המועצה. גם טענה זו אינה מקובלת עליי. </w:t>
      </w:r>
    </w:p>
    <w:p w:rsidR="00241BC2" w:rsidRPr="00753178" w:rsidRDefault="00241BC2" w:rsidP="00241BC2">
      <w:pPr>
        <w:spacing w:after="60"/>
        <w:rPr>
          <w:rFonts w:cs="FrankRuehl"/>
          <w:sz w:val="22"/>
          <w:szCs w:val="22"/>
          <w:rtl/>
        </w:rPr>
      </w:pPr>
      <w:r w:rsidRPr="00D67958">
        <w:rPr>
          <w:rFonts w:cs="FrankRuehl"/>
          <w:sz w:val="22"/>
          <w:szCs w:val="22"/>
          <w:highlight w:val="yellow"/>
          <w:rtl/>
        </w:rPr>
        <w:t>השאלה הנשאלת היא אם נכיר באצילת סמכויות מכללא.</w:t>
      </w:r>
      <w:r w:rsidRPr="00753178">
        <w:rPr>
          <w:rFonts w:cs="FrankRuehl"/>
          <w:sz w:val="22"/>
          <w:szCs w:val="22"/>
          <w:rtl/>
        </w:rPr>
        <w:t xml:space="preserve"> השופט טירקל קובע בחוות-דעתו כי להשקפתו "אין אצילה במשתמע". גם אני נוטה לסברה כי אצילת סמכויות נצפה כי תהא מפורשת, ואולם לא אוציא מכלל אפשרות כי במקרים חריגים - ובנסיבות שאינן ניתנות להתפרש לשתי פנים - נכיר באצילת סמכויות מכללא. על מקרים מעין-אלה אציע להחיל, בשינויים המחויבים, את הכלל החל על ביטול מכללא של חוק בידי חוק, דהיינו הכלל הקובע כי נפסוק על ביטול מכללא רק במקום שהסדרי שני החוקים שלעניין אין לקיימם בשום פנים זה-בצד-זה. ראו והשוו א' ברק פרשנות במשפט, כרך א, תורת הפרשנות הכללית [14], בעמ' 568-566). לשון אחר: נפסוק כי הייתה אצילת סמכויות מכללא במקום שרק כך ניתן לפרש כראוי ובאורח הוגן מעשים שנעשו. </w:t>
      </w:r>
      <w:r w:rsidRPr="005F2ABB">
        <w:rPr>
          <w:rFonts w:cs="FrankRuehl"/>
          <w:sz w:val="22"/>
          <w:szCs w:val="22"/>
          <w:highlight w:val="yellow"/>
          <w:rtl/>
        </w:rPr>
        <w:t xml:space="preserve">אלא שאין צורך כי נכריע בשאלה, ולו משום שבנסיבות ענייננו לא ניתן כלל לזהות אצילת סמכויות מכללא. </w:t>
      </w:r>
      <w:r w:rsidRPr="00D67958">
        <w:rPr>
          <w:rFonts w:cs="FrankRuehl"/>
          <w:sz w:val="22"/>
          <w:szCs w:val="22"/>
          <w:rtl/>
        </w:rPr>
        <w:t xml:space="preserve">אמירתו </w:t>
      </w:r>
      <w:r w:rsidRPr="005F2ABB">
        <w:rPr>
          <w:rFonts w:cs="FrankRuehl"/>
          <w:sz w:val="22"/>
          <w:szCs w:val="22"/>
          <w:highlight w:val="yellow"/>
          <w:rtl/>
        </w:rPr>
        <w:t xml:space="preserve">של ראש המועצה למועצה כי המשיבים יכהנו כסגנים בשכר אין לראות בה </w:t>
      </w:r>
      <w:r w:rsidRPr="00D67958">
        <w:rPr>
          <w:rFonts w:cs="FrankRuehl"/>
          <w:sz w:val="22"/>
          <w:szCs w:val="22"/>
          <w:rtl/>
        </w:rPr>
        <w:t xml:space="preserve">בקשה מן המועצה </w:t>
      </w:r>
      <w:r w:rsidRPr="005F2ABB">
        <w:rPr>
          <w:rFonts w:cs="FrankRuehl"/>
          <w:sz w:val="22"/>
          <w:szCs w:val="22"/>
          <w:highlight w:val="yellow"/>
          <w:rtl/>
        </w:rPr>
        <w:t>- ולו בקשה מכללא - לאשר אצילת סמכויות, וממילא אין להסיק מהחלטת המועצה אישור לאצילת סמכויות</w:t>
      </w:r>
      <w:r w:rsidRPr="00753178">
        <w:rPr>
          <w:rFonts w:cs="FrankRuehl"/>
          <w:sz w:val="22"/>
          <w:szCs w:val="22"/>
          <w:rtl/>
        </w:rPr>
        <w:t xml:space="preserve">. הוא הדין בטענתם הנוספת של המשיבים - טענה הנמשכת מטענת האישור מכללא - כי באישור התקציב הכולל משכורת למשיבים, אישרה המועצה גם אצילת סמכויות. אישור תקציב לעצמו ואצילת סמכויות לעצמה. לא הרי זה כהרי זו, ואין האחד גורר את חברתו. אכן, לו קיבלנו את טענת המשיבים כי-אז כמעט רוקנו מתוכן את הוראת סעיף 17 לחוק הבחירה. כהוראת סעיף 17, אצילת סמכויות יכולה שתהא "דרך כלל או לענין מסויים או לסוג ענינים מסויים". המחוקק דייק והבדיל בין סוגי אצילה שונים, ומכאן ידענו כי שומה עליו, </w:t>
      </w:r>
      <w:r w:rsidRPr="00247BA8">
        <w:rPr>
          <w:rFonts w:cs="FrankRuehl"/>
          <w:sz w:val="22"/>
          <w:szCs w:val="22"/>
          <w:highlight w:val="yellow"/>
          <w:rtl/>
        </w:rPr>
        <w:t xml:space="preserve">על ראש המועצה, לקבוע מפורשות - ומראש - תחומי אצילה מסוימים; להציג את הדברים באורח ברור ומפורט לפני המועצה, ושומה עליה, על המועצה, לאשר באורח ברור מעשה אצילת סמכויות מסוים שנעשה. </w:t>
      </w:r>
      <w:r w:rsidRPr="00D67958">
        <w:rPr>
          <w:rFonts w:cs="FrankRuehl"/>
          <w:sz w:val="22"/>
          <w:szCs w:val="22"/>
          <w:rtl/>
        </w:rPr>
        <w:t xml:space="preserve">ראש המועצה והמועצה חייבים להיאסף בכוונה ובמעשה אל מקום אחד </w:t>
      </w:r>
      <w:r w:rsidRPr="00247BA8">
        <w:rPr>
          <w:rFonts w:cs="FrankRuehl"/>
          <w:sz w:val="22"/>
          <w:szCs w:val="22"/>
          <w:highlight w:val="yellow"/>
          <w:rtl/>
        </w:rPr>
        <w:t xml:space="preserve">- עליהם להיות </w:t>
      </w:r>
      <w:r w:rsidRPr="00247BA8">
        <w:rPr>
          <w:rFonts w:cs="FrankRuehl"/>
          <w:sz w:val="22"/>
          <w:szCs w:val="22"/>
          <w:highlight w:val="yellow"/>
        </w:rPr>
        <w:t>ad idem</w:t>
      </w:r>
      <w:r w:rsidRPr="00247BA8">
        <w:rPr>
          <w:rFonts w:cs="FrankRuehl"/>
          <w:sz w:val="22"/>
          <w:szCs w:val="22"/>
          <w:highlight w:val="yellow"/>
          <w:rtl/>
        </w:rPr>
        <w:t xml:space="preserve"> במעשה האצילה - ורק כך תוכר האצילה כתופשת.</w:t>
      </w:r>
      <w:r w:rsidRPr="00753178">
        <w:rPr>
          <w:rFonts w:cs="FrankRuehl"/>
          <w:sz w:val="22"/>
          <w:szCs w:val="22"/>
          <w:rtl/>
        </w:rPr>
        <w:t xml:space="preserve"> בענייננו-שלנו </w:t>
      </w:r>
      <w:r w:rsidRPr="00D67958">
        <w:rPr>
          <w:rFonts w:cs="FrankRuehl"/>
          <w:sz w:val="22"/>
          <w:szCs w:val="22"/>
          <w:highlight w:val="yellow"/>
          <w:rtl/>
        </w:rPr>
        <w:t>לא הביע ראש המועצה לפני המועצה כל רצון אצילה, וממילא לא אישרה המועצה כל החלטת אצילה.</w:t>
      </w:r>
      <w:r w:rsidRPr="00753178">
        <w:rPr>
          <w:rFonts w:cs="FrankRuehl"/>
          <w:sz w:val="22"/>
          <w:szCs w:val="22"/>
          <w:rtl/>
        </w:rPr>
        <w:t xml:space="preserve"> השוו פרופ' ב' ברכה משפט מינהלי (כרך ב) [15], בעמ' 189, ה"ש 212. </w:t>
      </w:r>
    </w:p>
    <w:p w:rsidR="00241BC2" w:rsidRPr="00D33AED" w:rsidRDefault="00241BC2" w:rsidP="00241BC2">
      <w:pPr>
        <w:spacing w:after="60"/>
        <w:rPr>
          <w:sz w:val="20"/>
          <w:szCs w:val="20"/>
          <w:rtl/>
        </w:rPr>
      </w:pPr>
      <w:r w:rsidRPr="00753178">
        <w:rPr>
          <w:rFonts w:cs="FrankRuehl"/>
          <w:sz w:val="22"/>
          <w:szCs w:val="22"/>
          <w:rtl/>
        </w:rPr>
        <w:t xml:space="preserve">17. </w:t>
      </w:r>
      <w:r>
        <w:rPr>
          <w:rFonts w:cs="FrankRuehl" w:hint="cs"/>
          <w:sz w:val="22"/>
          <w:szCs w:val="22"/>
          <w:rtl/>
        </w:rPr>
        <w:tab/>
      </w:r>
      <w:r w:rsidRPr="00753178">
        <w:rPr>
          <w:rFonts w:cs="FrankRuehl"/>
          <w:sz w:val="22"/>
          <w:szCs w:val="22"/>
          <w:rtl/>
        </w:rPr>
        <w:t xml:space="preserve">מסקנתנו היא אפוא זו, כי לא נאצלה למשיבים סמכות מסמכויותיו של ראש המועצה כהוראת סעיף 17 לחוק הבחירה, וממילא לא נתקיים תנאי הקבוע בהנחיית 2.4.3 שלחוזר מנכ"ל משרד הפנים לזיכוים של המשיבים בגמול עבור שירותם כסגנים לראש המועצה. </w:t>
      </w:r>
      <w:r w:rsidRPr="00753178">
        <w:rPr>
          <w:rFonts w:cs="FrankRuehl" w:hint="cs"/>
          <w:sz w:val="22"/>
          <w:szCs w:val="22"/>
          <w:rtl/>
        </w:rPr>
        <w:t xml:space="preserve"> [...]</w:t>
      </w:r>
    </w:p>
    <w:p w:rsidR="00241BC2" w:rsidRPr="00704F5D" w:rsidRDefault="00241BC2" w:rsidP="00241BC2">
      <w:pPr>
        <w:spacing w:after="60"/>
        <w:rPr>
          <w:b/>
          <w:bCs/>
          <w:sz w:val="20"/>
          <w:szCs w:val="20"/>
          <w:rtl/>
        </w:rPr>
      </w:pPr>
      <w:r w:rsidRPr="007E1474">
        <w:rPr>
          <w:rFonts w:hint="cs"/>
          <w:b/>
          <w:bCs/>
          <w:sz w:val="20"/>
          <w:szCs w:val="20"/>
          <w:highlight w:val="yellow"/>
          <w:rtl/>
        </w:rPr>
        <w:t>על סטייה מהנחיות פנימיות</w:t>
      </w:r>
    </w:p>
    <w:p w:rsidR="00241BC2" w:rsidRDefault="00241BC2" w:rsidP="00241BC2">
      <w:pPr>
        <w:spacing w:after="60"/>
        <w:rPr>
          <w:sz w:val="20"/>
          <w:szCs w:val="20"/>
          <w:rtl/>
        </w:rPr>
      </w:pPr>
      <w:r w:rsidRPr="009440B5">
        <w:rPr>
          <w:rFonts w:hint="cs"/>
          <w:sz w:val="20"/>
          <w:szCs w:val="20"/>
          <w:rtl/>
        </w:rPr>
        <w:t>19.</w:t>
      </w:r>
      <w:r w:rsidRPr="009440B5">
        <w:rPr>
          <w:rFonts w:hint="cs"/>
          <w:sz w:val="20"/>
          <w:szCs w:val="20"/>
          <w:rtl/>
        </w:rPr>
        <w:tab/>
        <w:t>חוזר מנכ"ל משרד הפנים דינו דין הנחיות פנימיות שרשות קובעת להפעלתה של מדיניות. זה אף דין ההנחיה בסעיף 2.4.3 לחוזר, ולפיה לא יאושר תשלום משכורת לסגן ראש מועצה מקומית אם לא נאצלה לו סמכות מסמכויות ראש המועצה. הנחיה נועדה, על-פי עצם טיבה, להנחות דרכם של בעלי סמכות ולהכווין את שיקול</w:t>
      </w:r>
      <w:r w:rsidRPr="009440B5">
        <w:rPr>
          <w:sz w:val="20"/>
          <w:szCs w:val="20"/>
          <w:rtl/>
        </w:rPr>
        <w:t>-</w:t>
      </w:r>
      <w:r w:rsidRPr="009440B5">
        <w:rPr>
          <w:rFonts w:hint="cs"/>
          <w:sz w:val="20"/>
          <w:szCs w:val="20"/>
          <w:rtl/>
        </w:rPr>
        <w:t xml:space="preserve">דעתם לתכלית מסוימת. </w:t>
      </w:r>
      <w:r w:rsidRPr="007E1474">
        <w:rPr>
          <w:rFonts w:hint="cs"/>
          <w:sz w:val="20"/>
          <w:szCs w:val="20"/>
          <w:highlight w:val="yellow"/>
          <w:rtl/>
        </w:rPr>
        <w:t>הנחיות נועדו להיותן כלי-עזר בידי בעלי סמכות, ועל-פי דין והלכה ניתן לסטות מהן במקרים מתאימים. אכן, ההיתר לסטות מהנחיות פנימיות מובנֶה בעצם הגדרתן של הנחיות כהנחיות. וכפי שנאמר בבג"ץ 3648/97 סטמקה נ' שר הפנים [4], בעמ' 794: "</w:t>
      </w:r>
      <w:r w:rsidRPr="006A09B9">
        <w:rPr>
          <w:sz w:val="20"/>
          <w:szCs w:val="20"/>
          <w:rtl/>
        </w:rPr>
        <w:t>מדיניות נעדרת חריגים כמוה כמכונת-מ</w:t>
      </w:r>
      <w:r w:rsidRPr="006A09B9">
        <w:rPr>
          <w:rFonts w:hint="cs"/>
          <w:sz w:val="20"/>
          <w:szCs w:val="20"/>
          <w:rtl/>
        </w:rPr>
        <w:t>ְ</w:t>
      </w:r>
      <w:r w:rsidRPr="006A09B9">
        <w:rPr>
          <w:sz w:val="20"/>
          <w:szCs w:val="20"/>
          <w:rtl/>
        </w:rPr>
        <w:t>ס</w:t>
      </w:r>
      <w:r w:rsidRPr="006A09B9">
        <w:rPr>
          <w:rFonts w:hint="cs"/>
          <w:sz w:val="20"/>
          <w:szCs w:val="20"/>
          <w:rtl/>
        </w:rPr>
        <w:t>ַ</w:t>
      </w:r>
      <w:r w:rsidRPr="006A09B9">
        <w:rPr>
          <w:sz w:val="20"/>
          <w:szCs w:val="20"/>
          <w:rtl/>
        </w:rPr>
        <w:t>ב</w:t>
      </w:r>
      <w:r w:rsidRPr="006A09B9">
        <w:rPr>
          <w:rFonts w:hint="cs"/>
          <w:sz w:val="20"/>
          <w:szCs w:val="20"/>
          <w:rtl/>
        </w:rPr>
        <w:t>ִּ</w:t>
      </w:r>
      <w:r w:rsidRPr="006A09B9">
        <w:rPr>
          <w:sz w:val="20"/>
          <w:szCs w:val="20"/>
          <w:rtl/>
        </w:rPr>
        <w:t>ים בלא שמן לַהֲסִיכָה. מה זו האחרונה לא תפעל ותישרף במהרה, כן דין המדיניות</w:t>
      </w:r>
      <w:r w:rsidRPr="007E1474">
        <w:rPr>
          <w:rFonts w:hint="cs"/>
          <w:sz w:val="20"/>
          <w:szCs w:val="20"/>
          <w:highlight w:val="yellow"/>
          <w:rtl/>
        </w:rPr>
        <w:t xml:space="preserve">". יתר-על-כן: בנסיבות מסוימות לא אך שניתן לסטות מהנחיות, אלא שנוצרת אף חובה לסטות מהן. ראו והשוו </w:t>
      </w:r>
      <w:r w:rsidRPr="007E1474">
        <w:rPr>
          <w:sz w:val="20"/>
          <w:szCs w:val="20"/>
          <w:highlight w:val="yellow"/>
          <w:rtl/>
        </w:rPr>
        <w:t>בג"</w:t>
      </w:r>
      <w:r w:rsidRPr="007E1474">
        <w:rPr>
          <w:rFonts w:hint="cs"/>
          <w:sz w:val="20"/>
          <w:szCs w:val="20"/>
          <w:highlight w:val="yellow"/>
          <w:rtl/>
        </w:rPr>
        <w:t>ץ</w:t>
      </w:r>
      <w:r w:rsidRPr="007E1474">
        <w:rPr>
          <w:sz w:val="20"/>
          <w:szCs w:val="20"/>
          <w:highlight w:val="yellow"/>
          <w:rtl/>
        </w:rPr>
        <w:t xml:space="preserve"> 7053/96 אמקור בע"מ נ' שר הפנים</w:t>
      </w:r>
      <w:r w:rsidRPr="007E1474">
        <w:rPr>
          <w:rFonts w:hint="cs"/>
          <w:sz w:val="20"/>
          <w:szCs w:val="20"/>
          <w:highlight w:val="yellow"/>
          <w:rtl/>
        </w:rPr>
        <w:t xml:space="preserve"> [5]</w:t>
      </w:r>
      <w:r w:rsidRPr="007E1474">
        <w:rPr>
          <w:sz w:val="20"/>
          <w:szCs w:val="20"/>
          <w:highlight w:val="yellow"/>
          <w:rtl/>
        </w:rPr>
        <w:t>,</w:t>
      </w:r>
      <w:r w:rsidRPr="007E1474">
        <w:rPr>
          <w:rFonts w:hint="cs"/>
          <w:sz w:val="20"/>
          <w:szCs w:val="20"/>
          <w:highlight w:val="yellow"/>
          <w:rtl/>
        </w:rPr>
        <w:t xml:space="preserve"> בעמ'</w:t>
      </w:r>
      <w:r w:rsidRPr="007E1474">
        <w:rPr>
          <w:sz w:val="20"/>
          <w:szCs w:val="20"/>
          <w:highlight w:val="yellow"/>
          <w:rtl/>
        </w:rPr>
        <w:t xml:space="preserve"> 213</w:t>
      </w:r>
      <w:r w:rsidRPr="007E1474">
        <w:rPr>
          <w:rFonts w:hint="cs"/>
          <w:sz w:val="20"/>
          <w:szCs w:val="20"/>
          <w:highlight w:val="yellow"/>
          <w:rtl/>
        </w:rPr>
        <w:t>. אך מובן הוא כי היכולת וההיתר לסטות מהנחיות, יכולת והיתר מוגבלים הם. דרך העולם היא שהיחיד והכלל מנַהֲגים דרכיהם על-יסוד הנחה שרשות בת-סמכות תפעל על-פי ההנחיות המדריכות אותה, וסטייה עמוקה או סטיות תכופות מהנחיות נושאות בצדן מחיר כבד של פגיעה בציפיות, בוודאות ובביטחון המשפטי. במקרים אלה עלולה להיפגע – לעתים באורח אנוש – יכולתה של הרשות לנהל מדיניות ראויה ועקיבה, ואף עלול להתעורר חשש כי סטייתה של הרשות מן ההנחיות יסודה בשיקולים זרים או במעשה בשל הפליה</w:t>
      </w:r>
      <w:r w:rsidRPr="009440B5">
        <w:rPr>
          <w:rFonts w:hint="cs"/>
          <w:sz w:val="20"/>
          <w:szCs w:val="20"/>
          <w:rtl/>
        </w:rPr>
        <w:t xml:space="preserve">. ראו והשוו: בג"ץ 246/71 מגרש מסודר בע"מ נ' שר האוצר [6], בעמ' 452; </w:t>
      </w:r>
      <w:hyperlink r:id="rId358" w:anchor="י' זמיר, הסמכות המינהלית (תשנ" w:history="1">
        <w:r w:rsidRPr="009440B5">
          <w:rPr>
            <w:rStyle w:val="Hyperlink"/>
            <w:rFonts w:hint="cs"/>
            <w:sz w:val="20"/>
            <w:szCs w:val="20"/>
            <w:rtl/>
          </w:rPr>
          <w:t>י' זמיר הסמכות המינהלית (כרך ב) [16], בעמ' 787</w:t>
        </w:r>
      </w:hyperlink>
      <w:r w:rsidRPr="009440B5">
        <w:rPr>
          <w:rFonts w:hint="cs"/>
          <w:sz w:val="20"/>
          <w:szCs w:val="20"/>
          <w:rtl/>
        </w:rPr>
        <w:t>.</w:t>
      </w:r>
    </w:p>
    <w:p w:rsidR="00241BC2" w:rsidRPr="009440B5" w:rsidRDefault="00241BC2" w:rsidP="00241BC2">
      <w:pPr>
        <w:spacing w:after="60"/>
        <w:rPr>
          <w:sz w:val="20"/>
          <w:szCs w:val="20"/>
          <w:rtl/>
        </w:rPr>
      </w:pPr>
      <w:r w:rsidRPr="009440B5">
        <w:rPr>
          <w:rFonts w:hint="cs"/>
          <w:sz w:val="20"/>
          <w:szCs w:val="20"/>
          <w:rtl/>
        </w:rPr>
        <w:t>20.</w:t>
      </w:r>
      <w:r w:rsidRPr="009440B5">
        <w:rPr>
          <w:rFonts w:hint="cs"/>
          <w:sz w:val="20"/>
          <w:szCs w:val="20"/>
          <w:rtl/>
        </w:rPr>
        <w:tab/>
        <w:t xml:space="preserve">מקום שעומדת לדיון הסוגיה של סטייה מהנחיות – בין שהמדובר בהחלטת רשות לסטות, או שלא לסטות, מהנחיות, ובין שהמדובר בעתירה לבית-המשפט לחייב רשות לסטות, או שלא לסטות, מהנחיות – </w:t>
      </w:r>
      <w:r w:rsidRPr="007E1474">
        <w:rPr>
          <w:rFonts w:hint="cs"/>
          <w:sz w:val="20"/>
          <w:szCs w:val="20"/>
          <w:highlight w:val="yellow"/>
          <w:rtl/>
        </w:rPr>
        <w:t>יש לבחון את הנושא, בין השאר, על-פי שתי אמות-מידה אלו</w:t>
      </w:r>
      <w:r w:rsidRPr="009440B5">
        <w:rPr>
          <w:rFonts w:hint="cs"/>
          <w:sz w:val="20"/>
          <w:szCs w:val="20"/>
          <w:rtl/>
        </w:rPr>
        <w:t xml:space="preserve">: אחת, </w:t>
      </w:r>
      <w:r w:rsidRPr="00395378">
        <w:rPr>
          <w:rFonts w:hint="cs"/>
          <w:sz w:val="20"/>
          <w:szCs w:val="20"/>
          <w:highlight w:val="yellow"/>
          <w:rtl/>
        </w:rPr>
        <w:t>האם הסטייה מן ההנחיות סטייה היא מן הליבה של ההנחיה, או אם סטייה היא מרובד משני או מהפריפריה של ההנחיה?</w:t>
      </w:r>
      <w:r w:rsidRPr="009440B5">
        <w:rPr>
          <w:rFonts w:hint="cs"/>
          <w:sz w:val="20"/>
          <w:szCs w:val="20"/>
          <w:rtl/>
        </w:rPr>
        <w:t xml:space="preserve"> סטייה מאחד מעיקריה של ההנחיה; סטייה שיש בה כדי לפגוע בתכליתה העיקרית של ההנחיה; סטייה מעין-זו תיבחן בדקדקנות ובקפדנות להכרעה אם סטייה ראויה היא. על דרך העיקרון, תידרשנה נסיבות מיוחדות עד שנכיר בסטייה מעין זו כסטייה לגיטימית. שלא כמותה של סטייה מן הליבה יהא דינה של סטייה מהפריפריה של הנחיה. וכך למשל בעוד אשר בית-משפט יהסס לצוות על רשות בת-סמך – בנסיבות המתאימות – לסטות מליבתה של הנחיה, לא כן יהא בנסיבות שבהן הסטייה תפגע אך בתכלית-משנה של ההנחיה. </w:t>
      </w:r>
    </w:p>
    <w:p w:rsidR="00241BC2" w:rsidRDefault="00241BC2" w:rsidP="00241BC2">
      <w:pPr>
        <w:spacing w:after="60"/>
        <w:rPr>
          <w:sz w:val="20"/>
          <w:szCs w:val="20"/>
          <w:rtl/>
        </w:rPr>
      </w:pPr>
      <w:r w:rsidRPr="009440B5">
        <w:rPr>
          <w:rFonts w:hint="cs"/>
          <w:sz w:val="20"/>
          <w:szCs w:val="20"/>
          <w:rtl/>
        </w:rPr>
        <w:t xml:space="preserve">אמת-מידה שנייה </w:t>
      </w:r>
      <w:r w:rsidRPr="00395378">
        <w:rPr>
          <w:rFonts w:hint="cs"/>
          <w:sz w:val="20"/>
          <w:szCs w:val="20"/>
          <w:highlight w:val="yellow"/>
          <w:rtl/>
        </w:rPr>
        <w:t>תיסוב על השאלה אם הסטייה מן ההנחיה – סטייה באשר היא – סטייה ניכרת ומשמעותית או סטייה זניחה ופעוטת-ערך היא</w:t>
      </w:r>
      <w:r w:rsidRPr="009440B5">
        <w:rPr>
          <w:rFonts w:hint="cs"/>
          <w:sz w:val="20"/>
          <w:szCs w:val="20"/>
          <w:rtl/>
        </w:rPr>
        <w:t>. קל יותר להשלים עם סטייה מצומצמת בהיקפה מאשר עם סטייה עמוקה, ובית-המשפט יכוון את שיקול-דעתו גם על-פי אמת-מידה זו.</w:t>
      </w:r>
      <w:r>
        <w:rPr>
          <w:rFonts w:hint="cs"/>
          <w:sz w:val="20"/>
          <w:szCs w:val="20"/>
          <w:rtl/>
        </w:rPr>
        <w:t xml:space="preserve"> [...]</w:t>
      </w:r>
    </w:p>
    <w:p w:rsidR="00241BC2" w:rsidRPr="00704F5D" w:rsidRDefault="00241BC2" w:rsidP="00241BC2">
      <w:pPr>
        <w:spacing w:after="60"/>
        <w:rPr>
          <w:sz w:val="20"/>
          <w:szCs w:val="20"/>
          <w:rtl/>
        </w:rPr>
      </w:pPr>
      <w:r w:rsidRPr="00704F5D">
        <w:rPr>
          <w:rFonts w:hint="cs"/>
          <w:sz w:val="20"/>
          <w:szCs w:val="20"/>
          <w:rtl/>
        </w:rPr>
        <w:t>24.</w:t>
      </w:r>
      <w:r w:rsidRPr="00704F5D">
        <w:rPr>
          <w:rFonts w:hint="cs"/>
          <w:sz w:val="20"/>
          <w:szCs w:val="20"/>
          <w:rtl/>
        </w:rPr>
        <w:tab/>
      </w:r>
      <w:r w:rsidRPr="00395378">
        <w:rPr>
          <w:rFonts w:hint="cs"/>
          <w:sz w:val="20"/>
          <w:szCs w:val="20"/>
          <w:highlight w:val="yellow"/>
          <w:rtl/>
        </w:rPr>
        <w:t>חבריי סוברים כי תכליתה של הנחיה 2.4.3 היא לְזַכּוֹת במשכורת רק סגן ראש רשות ששירת בפועל את המועצה, וכי על-פי תכלית זו יש לפרש את הדרישה לאצילת סמכויות. אסכים כי עשייה בפועל היא אחת מתכליותיה של ההנחיה, אך לדעתי אין תכלית זו התכלית האחת והיחידה.</w:t>
      </w:r>
      <w:r w:rsidRPr="00704F5D">
        <w:rPr>
          <w:rFonts w:hint="cs"/>
          <w:sz w:val="20"/>
          <w:szCs w:val="20"/>
          <w:rtl/>
        </w:rPr>
        <w:t xml:space="preserve"> ניסיון העבר </w:t>
      </w:r>
      <w:r w:rsidRPr="006A09B9">
        <w:rPr>
          <w:rFonts w:hint="cs"/>
          <w:sz w:val="20"/>
          <w:szCs w:val="20"/>
          <w:highlight w:val="yellow"/>
          <w:rtl/>
        </w:rPr>
        <w:t>לימד כי הוצאות שרשויות מקומיות עומדות בהן לתשלומי משכורת לסגנים של ראשי רשויות מקומיות, במקרים רבים הוצאות בלתי מוצדקות ה</w:t>
      </w:r>
      <w:r w:rsidRPr="00704F5D">
        <w:rPr>
          <w:rFonts w:hint="cs"/>
          <w:sz w:val="20"/>
          <w:szCs w:val="20"/>
          <w:rtl/>
        </w:rPr>
        <w:t xml:space="preserve">ן. ראו למשל: בג"ץ 585/99 חמדאן נ' שר הפנים [7]; פרשת המועצה המקומית כפר-כנא [2]; בג"ץ 3801/00 עדנאן נ' שר הפנים [8]). </w:t>
      </w:r>
      <w:r w:rsidRPr="006A09B9">
        <w:rPr>
          <w:rFonts w:hint="cs"/>
          <w:sz w:val="20"/>
          <w:szCs w:val="20"/>
          <w:highlight w:val="yellow"/>
          <w:rtl/>
        </w:rPr>
        <w:t>בה-בעת מן המפורסמות הוא שמשרד הפנים מעניק לרשויות המקומיות סיוע כספי, לעתים סיוע כספי מסיבי.</w:t>
      </w:r>
      <w:r w:rsidRPr="00704F5D">
        <w:rPr>
          <w:rFonts w:hint="cs"/>
          <w:sz w:val="20"/>
          <w:szCs w:val="20"/>
          <w:rtl/>
        </w:rPr>
        <w:t xml:space="preserve"> נוכח שתי תופעות אלו אין פלא בדבר שנמצא לו למשרד הפנים צורך ראשון במעלה להטיל </w:t>
      </w:r>
      <w:r w:rsidRPr="007E1474">
        <w:rPr>
          <w:rFonts w:hint="cs"/>
          <w:sz w:val="20"/>
          <w:szCs w:val="20"/>
          <w:highlight w:val="yellow"/>
          <w:rtl/>
        </w:rPr>
        <w:t>פיקוח</w:t>
      </w:r>
      <w:r w:rsidRPr="00704F5D">
        <w:rPr>
          <w:rFonts w:hint="cs"/>
          <w:sz w:val="20"/>
          <w:szCs w:val="20"/>
          <w:rtl/>
        </w:rPr>
        <w:t xml:space="preserve">, ולו פיקוח חלקי – </w:t>
      </w:r>
      <w:r w:rsidRPr="00F6234F">
        <w:rPr>
          <w:rFonts w:hint="cs"/>
          <w:sz w:val="20"/>
          <w:szCs w:val="20"/>
          <w:highlight w:val="yellow"/>
          <w:rtl/>
        </w:rPr>
        <w:t>פיקוח מראש, לא אך פיקוח בדיעבד – על הוצאות שרשויות מקומיות עומדות בהן</w:t>
      </w:r>
      <w:r w:rsidRPr="00704F5D">
        <w:rPr>
          <w:rFonts w:hint="cs"/>
          <w:sz w:val="20"/>
          <w:szCs w:val="20"/>
          <w:rtl/>
        </w:rPr>
        <w:t xml:space="preserve">. פיקוח זה לא ניתן להפריז בחשיבותו, בייחוד נוכח מצבן הכספי הקשה של רבות מן הרשויות המקומיות, </w:t>
      </w:r>
      <w:r w:rsidRPr="00F6234F">
        <w:rPr>
          <w:rFonts w:hint="cs"/>
          <w:sz w:val="20"/>
          <w:szCs w:val="20"/>
          <w:highlight w:val="yellow"/>
          <w:rtl/>
        </w:rPr>
        <w:t>ובעיקר על סמך ניסיון העבר העגום שלימד על תשלומים בלתי ראויים שרשויות מקומיות שילמו לבעלי תפקידים אלה ואחרים.</w:t>
      </w:r>
      <w:r w:rsidRPr="00704F5D">
        <w:rPr>
          <w:rFonts w:hint="cs"/>
          <w:sz w:val="20"/>
          <w:szCs w:val="20"/>
          <w:rtl/>
        </w:rPr>
        <w:t xml:space="preserve"> </w:t>
      </w:r>
    </w:p>
    <w:p w:rsidR="00241BC2" w:rsidRDefault="00241BC2" w:rsidP="00241BC2">
      <w:pPr>
        <w:spacing w:after="60"/>
        <w:rPr>
          <w:sz w:val="20"/>
          <w:szCs w:val="20"/>
          <w:rtl/>
        </w:rPr>
      </w:pPr>
      <w:r w:rsidRPr="00395378">
        <w:rPr>
          <w:rFonts w:hint="cs"/>
          <w:sz w:val="20"/>
          <w:szCs w:val="20"/>
          <w:highlight w:val="yellow"/>
          <w:rtl/>
        </w:rPr>
        <w:t>תכלית זו של הצורך בפיקוח הדוק וצמוד אוצלת מאליה על פירושה של הנחיה 2.4.3, והפירוש ילך אחר התכלית.</w:t>
      </w:r>
      <w:r>
        <w:rPr>
          <w:rFonts w:hint="cs"/>
          <w:sz w:val="20"/>
          <w:szCs w:val="20"/>
          <w:rtl/>
        </w:rPr>
        <w:t xml:space="preserve"> [...]</w:t>
      </w:r>
    </w:p>
    <w:p w:rsidR="00241BC2" w:rsidRPr="00A96A82" w:rsidRDefault="00241BC2" w:rsidP="00241BC2">
      <w:pPr>
        <w:spacing w:after="60"/>
        <w:rPr>
          <w:sz w:val="20"/>
          <w:szCs w:val="20"/>
          <w:rtl/>
        </w:rPr>
      </w:pPr>
      <w:r w:rsidRPr="00A96A82">
        <w:rPr>
          <w:rFonts w:hint="cs"/>
          <w:sz w:val="20"/>
          <w:szCs w:val="20"/>
          <w:rtl/>
        </w:rPr>
        <w:t xml:space="preserve">מעיקרו של דין הסמכויות סמכויות ראש המועצה הן, והוראת סעיף 17 ביקשה לקבוע הליכים ספציפיים לאצילה מאותן סמכויות לא אך לרצונו של ראש המועצה אלא תוך שיתופם של נציגי הציבור היושבים במועצה. הגם שהסמכויות קנויות לראש הרשות בלבד, אין די בהחלטת יחיד שלו לאצילתן לאחרים. שומה עליו, על ראש המועצה, לבקש את אישורה של המועצה לאצילת סמכויות לסגן או לסגנים, ובאין אישור המועצה לא תיכון ולא תהיה אצילת סמכויות. והמועצה, למותר לומר, לא תדע על אצילת סמכויות – ועל שיעורה של אותה אצילה – אלא אם הונחה לפניה הצעת החלטה ברורה. בענייננו לא הונחה לפני המועצה כל הצעת החלטה על אצילת סמכויות, וממילא לא נתקבל אישורה של המועצה לאצילת סמכויות למשיבים. אכן, בקובעו – בסעיף 17 לחוק הבחירה – כי אין אצילת סמכויות מראש המועצה למי מן הסגנים אלא באישור המועצה, יצר החוק </w:t>
      </w:r>
      <w:r w:rsidRPr="004F5813">
        <w:rPr>
          <w:rFonts w:hint="cs"/>
          <w:sz w:val="20"/>
          <w:szCs w:val="20"/>
          <w:highlight w:val="yellow"/>
          <w:rtl/>
        </w:rPr>
        <w:t>מאזן כוחות</w:t>
      </w:r>
      <w:r w:rsidRPr="00A96A82">
        <w:rPr>
          <w:rFonts w:hint="cs"/>
          <w:sz w:val="20"/>
          <w:szCs w:val="20"/>
          <w:rtl/>
        </w:rPr>
        <w:t xml:space="preserve"> בין ראש המועצה לבין המועצה, וחלילה לנו להפר מצווה שצווינו בה. </w:t>
      </w:r>
      <w:r w:rsidRPr="007E1474">
        <w:rPr>
          <w:rFonts w:hint="cs"/>
          <w:sz w:val="20"/>
          <w:szCs w:val="20"/>
          <w:highlight w:val="yellow"/>
          <w:rtl/>
        </w:rPr>
        <w:t>סמכותה של המועצה – כגוף המייצג באורח דמוקרטי וישיר את הבוחרים – קנויה לה לפקח על הליך של אצילת סמכויות</w:t>
      </w:r>
      <w:r w:rsidRPr="00A96A82">
        <w:rPr>
          <w:rFonts w:hint="cs"/>
          <w:sz w:val="20"/>
          <w:szCs w:val="20"/>
          <w:rtl/>
        </w:rPr>
        <w:t xml:space="preserve">, ואין די </w:t>
      </w:r>
      <w:r w:rsidRPr="00395378">
        <w:rPr>
          <w:rFonts w:hint="cs"/>
          <w:sz w:val="20"/>
          <w:szCs w:val="20"/>
          <w:highlight w:val="yellow"/>
          <w:rtl/>
        </w:rPr>
        <w:t>בכך שסגן ראש מועצה יעשה שימוש בסמכויות ראש המועצה כדי להסיק כי נאצלו עליו סמכויות. נדרש שהמועצה תסכים לדבר: מראש ובהליך גלוי ומסודר.</w:t>
      </w:r>
      <w:r w:rsidRPr="00A96A82">
        <w:rPr>
          <w:rFonts w:hint="cs"/>
          <w:sz w:val="20"/>
          <w:szCs w:val="20"/>
          <w:rtl/>
        </w:rPr>
        <w:t xml:space="preserve"> הליך מעין זה לא היה בענייננו. </w:t>
      </w:r>
    </w:p>
    <w:p w:rsidR="00241BC2" w:rsidRPr="00A96A82" w:rsidRDefault="00241BC2" w:rsidP="00241BC2">
      <w:pPr>
        <w:spacing w:after="60"/>
        <w:rPr>
          <w:sz w:val="20"/>
          <w:szCs w:val="20"/>
          <w:rtl/>
        </w:rPr>
      </w:pPr>
      <w:r w:rsidRPr="00A96A82">
        <w:rPr>
          <w:rFonts w:hint="cs"/>
          <w:sz w:val="20"/>
          <w:szCs w:val="20"/>
          <w:rtl/>
        </w:rPr>
        <w:t>26.</w:t>
      </w:r>
      <w:r w:rsidRPr="00A96A82">
        <w:rPr>
          <w:rFonts w:hint="cs"/>
          <w:sz w:val="20"/>
          <w:szCs w:val="20"/>
          <w:rtl/>
        </w:rPr>
        <w:tab/>
        <w:t xml:space="preserve">זאת ועוד זאת, הליכה במסלול שקבע המחוקק מבטיחה </w:t>
      </w:r>
      <w:r w:rsidRPr="007E1474">
        <w:rPr>
          <w:rFonts w:hint="cs"/>
          <w:sz w:val="20"/>
          <w:szCs w:val="20"/>
          <w:highlight w:val="yellow"/>
          <w:rtl/>
        </w:rPr>
        <w:t>שקיפות</w:t>
      </w:r>
      <w:r w:rsidRPr="00A96A82">
        <w:rPr>
          <w:rFonts w:hint="cs"/>
          <w:sz w:val="20"/>
          <w:szCs w:val="20"/>
          <w:rtl/>
        </w:rPr>
        <w:t xml:space="preserve"> להליכי האצילה, וכולנו ידענו כי הדרישה לשקיפות היא אחת הדרכים המובהקות והבדוקות לביקורת על מעשי השלטון. שקיפות זו מובטחת אך בהליכים גלויים ופתוחים של </w:t>
      </w:r>
      <w:r w:rsidRPr="007E1474">
        <w:rPr>
          <w:rFonts w:hint="cs"/>
          <w:sz w:val="20"/>
          <w:szCs w:val="20"/>
          <w:highlight w:val="yellow"/>
          <w:rtl/>
        </w:rPr>
        <w:t>דיון במועצה, החלטה לאחר הצבעה ורישום ברור בפרוטוקול</w:t>
      </w:r>
      <w:r w:rsidRPr="00A96A82">
        <w:rPr>
          <w:rFonts w:hint="cs"/>
          <w:sz w:val="20"/>
          <w:szCs w:val="20"/>
          <w:rtl/>
        </w:rPr>
        <w:t xml:space="preserve"> – קרא: במסמך פומבי הפתוח לכול – הכול כנדרש וכמפורש בדין. ראו והשוו פרשת פרץ [9], בעמ' 647. עיון בפרוטוקול חייב שיגלה לנו מה עבר בישיבה וכי נתמלאו כל דרישות הדין. בענייננו-שלנו לא קוים דבר מכל אלה. </w:t>
      </w:r>
    </w:p>
    <w:p w:rsidR="00241BC2" w:rsidRPr="00A96A82" w:rsidRDefault="00241BC2" w:rsidP="00241BC2">
      <w:pPr>
        <w:spacing w:after="60"/>
        <w:rPr>
          <w:sz w:val="20"/>
          <w:szCs w:val="20"/>
          <w:rtl/>
        </w:rPr>
      </w:pPr>
      <w:r w:rsidRPr="00A96A82">
        <w:rPr>
          <w:rFonts w:hint="cs"/>
          <w:sz w:val="20"/>
          <w:szCs w:val="20"/>
          <w:rtl/>
        </w:rPr>
        <w:t>27.</w:t>
      </w:r>
      <w:r w:rsidRPr="00A96A82">
        <w:rPr>
          <w:rFonts w:hint="cs"/>
          <w:sz w:val="20"/>
          <w:szCs w:val="20"/>
          <w:rtl/>
        </w:rPr>
        <w:tab/>
        <w:t xml:space="preserve">הקפדה על קיומם של הליכים פתוחים וגלויים לעין-כול, ונוסף עליהם רישום ההליכים כנדרש בפרוטוקול, מאפשרים פיקוח על שנעשה ועל שלא נעשה בישיבות המועצה. כך גם יוכל השלטון המרכזי לקיים את חובתו על-פי דין, לבחון אם מעשי הרשות המקומית ופעולותיה נעשים בגדרי סמכויותיה וכדין. </w:t>
      </w:r>
      <w:r w:rsidRPr="004F5813">
        <w:rPr>
          <w:rFonts w:hint="cs"/>
          <w:sz w:val="20"/>
          <w:szCs w:val="20"/>
          <w:rtl/>
        </w:rPr>
        <w:t xml:space="preserve">אם אלה דברים ייאמרו על דרך הכלל, לא-כל-שכן ייאמרו הדברים בזוכרנו כי השלטון המרכזי נדרש להעניק לרשות מענקי-כסף לעזרה לה בניהול ענייניה. והדברים פשוטים. </w:t>
      </w:r>
      <w:r w:rsidRPr="007E1474">
        <w:rPr>
          <w:rFonts w:hint="cs"/>
          <w:sz w:val="20"/>
          <w:szCs w:val="20"/>
          <w:highlight w:val="yellow"/>
          <w:rtl/>
        </w:rPr>
        <w:t>הנה זה בענייננו-שלנו, ומתוך שלא נמצא לנו כלל אישורה של המועצה לאצילת סמכויות למשיבים, לא היה הממונה על המחוז יכול לדעת כי נאצלו סמכויות למשיבים, וממילא לא היה הוא ער לצורך לבחון אם לאורכם של אותם 29 חודשים שבהם שימשו בכהונת סגנים לראש המועצה, מילאו המשיבים תפקידים שהם טוענים להם עתה – אך בדיעבד – כי מילאו</w:t>
      </w:r>
      <w:r w:rsidRPr="00A96A82">
        <w:rPr>
          <w:rFonts w:hint="cs"/>
          <w:sz w:val="20"/>
          <w:szCs w:val="20"/>
          <w:rtl/>
        </w:rPr>
        <w:t xml:space="preserve">. מה הצדק יימצא לנו כי נטיל על רשויות משרד הפנים לבדוק ולחקור ולדרוש בדיעבד אם עשו המשיבים – ודומיהם – ומה עשו בשרתם את הרשות? אכן, לא נמצא לנו כל הצדק לבחינה אך בדיעבד – כבקשת המשיבים – שעה שהחוק התווה לפנינו דרך לבירור מראש אם נאצלו סמכויות ואלו סמכויות נאצלו. </w:t>
      </w:r>
    </w:p>
    <w:p w:rsidR="00241BC2" w:rsidRDefault="00241BC2" w:rsidP="00241BC2">
      <w:pPr>
        <w:spacing w:after="60"/>
        <w:rPr>
          <w:sz w:val="20"/>
          <w:szCs w:val="20"/>
          <w:rtl/>
        </w:rPr>
      </w:pPr>
      <w:r w:rsidRPr="00A96A82">
        <w:rPr>
          <w:rFonts w:hint="cs"/>
          <w:sz w:val="20"/>
          <w:szCs w:val="20"/>
          <w:rtl/>
        </w:rPr>
        <w:t xml:space="preserve">הליכה בדרך המלך מבטיחה כי יזכו בתגמולי שכר רק הנושאים בסמכות ובאחריות, ולא נמצא לי טעם טוב כי נסטה מדרך המלך. אכן, הליכה בדרך המלך מבטיחה שקיפות; שקיפות מאפשרת פיקוח נאות – ואלה, בהצטרפם זה-אל-זה, יכולים שיצדיקו תשלום משכורת לסגן ראש מועצה. </w:t>
      </w:r>
      <w:r w:rsidRPr="007E1474">
        <w:rPr>
          <w:rFonts w:hint="cs"/>
          <w:sz w:val="20"/>
          <w:szCs w:val="20"/>
          <w:highlight w:val="yellow"/>
          <w:rtl/>
        </w:rPr>
        <w:t>ועדיין לא הזכרנו את זכותם של תושבי הרשות המקומית לדעת מי הם בעלי הסמכות בתחומי הרשות, ומה סמכות מחזיקים הם בידיהם; מי הם הפרנסים הזכאים להורות להם כי ישלמו כך וכך ומה תמורה נותנים סגני ראש המועצה הזכאים לקבל משכורת מקופת המועצה</w:t>
      </w:r>
      <w:r w:rsidRPr="00A96A82">
        <w:rPr>
          <w:rFonts w:hint="cs"/>
          <w:sz w:val="20"/>
          <w:szCs w:val="20"/>
          <w:rtl/>
        </w:rPr>
        <w:t>.</w:t>
      </w:r>
    </w:p>
    <w:p w:rsidR="00241BC2" w:rsidRPr="00A96A82" w:rsidRDefault="00241BC2" w:rsidP="00241BC2">
      <w:pPr>
        <w:spacing w:after="60"/>
        <w:rPr>
          <w:b/>
          <w:bCs/>
          <w:sz w:val="20"/>
          <w:szCs w:val="20"/>
          <w:rtl/>
        </w:rPr>
      </w:pPr>
      <w:r w:rsidRPr="00A96A82">
        <w:rPr>
          <w:rFonts w:hint="cs"/>
          <w:b/>
          <w:bCs/>
          <w:sz w:val="20"/>
          <w:szCs w:val="20"/>
          <w:rtl/>
        </w:rPr>
        <w:t>סיכום ומסקנות</w:t>
      </w:r>
    </w:p>
    <w:p w:rsidR="00241BC2" w:rsidRDefault="00241BC2" w:rsidP="00241BC2">
      <w:pPr>
        <w:spacing w:after="60"/>
        <w:rPr>
          <w:sz w:val="20"/>
          <w:szCs w:val="20"/>
          <w:rtl/>
        </w:rPr>
      </w:pPr>
      <w:r w:rsidRPr="009440B5">
        <w:rPr>
          <w:rFonts w:hint="cs"/>
          <w:sz w:val="20"/>
          <w:szCs w:val="20"/>
          <w:rtl/>
        </w:rPr>
        <w:t>29.</w:t>
      </w:r>
      <w:r w:rsidRPr="009440B5">
        <w:rPr>
          <w:rFonts w:hint="cs"/>
          <w:sz w:val="20"/>
          <w:szCs w:val="20"/>
          <w:rtl/>
        </w:rPr>
        <w:tab/>
        <w:t xml:space="preserve">על רקע כל אלה הבה נחזור לשאלה שהוטל עלינו להשיב עליה והיא זו: האם נכון וראוי שנורה את משרד הפנים – כבקשת המשיבים – כי יסטה מהנחיה 2.4.3 ויאשר תשלום משכורת למשיבים עבור 29 החודשים ששירתו (לדבריהם) את המועצה? </w:t>
      </w:r>
      <w:r w:rsidRPr="00B639CC">
        <w:rPr>
          <w:rFonts w:hint="cs"/>
          <w:sz w:val="20"/>
          <w:szCs w:val="20"/>
          <w:highlight w:val="yellow"/>
          <w:rtl/>
        </w:rPr>
        <w:t xml:space="preserve">תשובתי לשאלה היא בשלילה. דעתי היא שסטייה כי נורה עליה כבקשת המשיבים, נפגע בעצם החלטה זו בליבתה ובעיקרה של ההנחיה. שלא כטענת המשיבים, </w:t>
      </w:r>
      <w:r w:rsidRPr="00F62EE5">
        <w:rPr>
          <w:rFonts w:hint="cs"/>
          <w:sz w:val="20"/>
          <w:szCs w:val="20"/>
          <w:rtl/>
        </w:rPr>
        <w:t>דעתי היא שליבת ההנחיה אינה אך בשאלה אם מילאו המשיבים בפועל תפקידים אלה ואחרים בשירותה של המועצה</w:t>
      </w:r>
      <w:r w:rsidRPr="00B639CC">
        <w:rPr>
          <w:rFonts w:hint="cs"/>
          <w:sz w:val="20"/>
          <w:szCs w:val="20"/>
          <w:highlight w:val="yellow"/>
          <w:rtl/>
        </w:rPr>
        <w:t>. לעניין זה נוסיף ונזכיר את הוראת הסיפה לסעיף 17 שלחוק הבחירה כי מילוי תפקידים ושימוש בסמכויות ראש המועצה, באשר הם, אינם כרוכים בתשלום משכורת. לדעתי, השאלה העיקרית היא לא (אך) אם עשו המשיבים בשירות המועצה, אלא אם נאצלה להם סמכות כדת וכדין כהוראת סעיף 17 לחוק הבחירה. זו ליבתה של הנחיה 2.4.3, ודינה דין ליבה של הנחיה</w:t>
      </w:r>
      <w:r w:rsidRPr="009440B5">
        <w:rPr>
          <w:rFonts w:hint="cs"/>
          <w:sz w:val="20"/>
          <w:szCs w:val="20"/>
          <w:rtl/>
        </w:rPr>
        <w:t xml:space="preserve">. על הטעמים לדבר הארכנו בדברינו לעיל, ומי שהאריך בראשית זכאי לקצר באחרית. </w:t>
      </w:r>
    </w:p>
    <w:p w:rsidR="00241BC2" w:rsidRDefault="00241BC2" w:rsidP="00241BC2">
      <w:pPr>
        <w:rPr>
          <w:sz w:val="20"/>
          <w:szCs w:val="20"/>
          <w:rtl/>
        </w:rPr>
      </w:pPr>
      <w:r w:rsidRPr="00A9139E">
        <w:rPr>
          <w:rFonts w:hint="cs"/>
          <w:sz w:val="20"/>
          <w:szCs w:val="20"/>
          <w:highlight w:val="yellow"/>
          <w:rtl/>
        </w:rPr>
        <w:t>ענייננו אין הוא אך בסטייה קלת-ערך וזניחה מהוראתה של ההנחיה. גם אין המדובר אך בפגם פורמאלי</w:t>
      </w:r>
      <w:r w:rsidRPr="009440B5">
        <w:rPr>
          <w:rFonts w:hint="cs"/>
          <w:sz w:val="20"/>
          <w:szCs w:val="20"/>
          <w:rtl/>
        </w:rPr>
        <w:t xml:space="preserve"> כפי שהיה למשל בבג"ץ 868/98 קצירי נ' ראש עירית נתניה [10], שעה שנתברר כי ניתן למעשה אישור המועצה לאצילת סמכויות. בענייננו-שלנו אין אף קצה-קצהָ של אצילת סמכויות, אף לא אמירה המרמזת על כך. לא אוכל אפוא להסיק כי כוונת המועצה – או אף כוונתו של ראש המועצה – הייתה לאצול סמכויות למשיבים. ויתור על דרישת האצילה הקבועה בהנחיה 2.4.3 משמעו הוא פגיעה בליבתה ובתכליותיה העיקריות של ההנחיה. החלטתו של השר שלא לסטות מן ההנחיה הפנימית החלטה סבירה וראויה היא בעיניי, וממילא לא נמצא לי טעם טוב להתערב בה ולהורות את השר כבקשת המשיבים</w:t>
      </w:r>
      <w:r>
        <w:rPr>
          <w:rFonts w:hint="cs"/>
          <w:sz w:val="20"/>
          <w:szCs w:val="20"/>
          <w:rtl/>
        </w:rPr>
        <w:t>.</w:t>
      </w:r>
    </w:p>
    <w:p w:rsidR="00241BC2" w:rsidRDefault="00241BC2" w:rsidP="00241BC2">
      <w:pPr>
        <w:rPr>
          <w:sz w:val="20"/>
          <w:szCs w:val="20"/>
          <w:rtl/>
        </w:rPr>
      </w:pPr>
    </w:p>
    <w:p w:rsidR="00241BC2" w:rsidRPr="00FD7BF9" w:rsidRDefault="00241BC2" w:rsidP="00241BC2">
      <w:pPr>
        <w:spacing w:after="60"/>
        <w:rPr>
          <w:b/>
          <w:bCs/>
          <w:sz w:val="20"/>
          <w:szCs w:val="20"/>
          <w:rtl/>
        </w:rPr>
      </w:pPr>
      <w:r w:rsidRPr="00FD7BF9">
        <w:rPr>
          <w:rFonts w:hint="cs"/>
          <w:b/>
          <w:bCs/>
          <w:sz w:val="20"/>
          <w:szCs w:val="20"/>
          <w:highlight w:val="yellow"/>
          <w:rtl/>
        </w:rPr>
        <w:t>השופטת דורנר (שופטת המיעוט)</w:t>
      </w:r>
    </w:p>
    <w:p w:rsidR="00241BC2" w:rsidRPr="00FD7BF9" w:rsidRDefault="00241BC2" w:rsidP="00241BC2">
      <w:pPr>
        <w:pStyle w:val="a6"/>
        <w:spacing w:after="60" w:line="240" w:lineRule="auto"/>
        <w:rPr>
          <w:sz w:val="22"/>
          <w:szCs w:val="22"/>
          <w:highlight w:val="yellow"/>
          <w:rtl/>
        </w:rPr>
      </w:pPr>
      <w:r w:rsidRPr="008D5061">
        <w:rPr>
          <w:rFonts w:hint="cs"/>
          <w:sz w:val="22"/>
          <w:szCs w:val="22"/>
          <w:rtl/>
        </w:rPr>
        <w:t>1.</w:t>
      </w:r>
      <w:r w:rsidRPr="008D5061">
        <w:rPr>
          <w:rFonts w:hint="cs"/>
          <w:sz w:val="22"/>
          <w:szCs w:val="22"/>
          <w:rtl/>
        </w:rPr>
        <w:tab/>
      </w:r>
      <w:r w:rsidRPr="00FD7BF9">
        <w:rPr>
          <w:rFonts w:hint="cs"/>
          <w:sz w:val="22"/>
          <w:szCs w:val="22"/>
          <w:highlight w:val="yellow"/>
          <w:rtl/>
        </w:rPr>
        <w:t>בפסק</w:t>
      </w:r>
      <w:r w:rsidRPr="00FD7BF9">
        <w:rPr>
          <w:rFonts w:hint="cs"/>
          <w:position w:val="4"/>
          <w:sz w:val="22"/>
          <w:szCs w:val="22"/>
          <w:highlight w:val="yellow"/>
          <w:rtl/>
        </w:rPr>
        <w:t>-</w:t>
      </w:r>
      <w:r w:rsidRPr="00FD7BF9">
        <w:rPr>
          <w:rFonts w:hint="cs"/>
          <w:sz w:val="22"/>
          <w:szCs w:val="22"/>
          <w:highlight w:val="yellow"/>
          <w:rtl/>
        </w:rPr>
        <w:t xml:space="preserve">דינו כתב חברי </w:t>
      </w:r>
      <w:r w:rsidRPr="00FD7BF9">
        <w:rPr>
          <w:rFonts w:cs="Miriam" w:hint="cs"/>
          <w:sz w:val="22"/>
          <w:szCs w:val="22"/>
          <w:highlight w:val="yellow"/>
          <w:rtl/>
        </w:rPr>
        <w:t>השופט מ' חשין</w:t>
      </w:r>
      <w:r w:rsidRPr="00FD7BF9">
        <w:rPr>
          <w:rFonts w:hint="cs"/>
          <w:sz w:val="22"/>
          <w:szCs w:val="22"/>
          <w:highlight w:val="yellow"/>
          <w:rtl/>
        </w:rPr>
        <w:t xml:space="preserve"> כי על</w:t>
      </w:r>
      <w:r w:rsidRPr="00FD7BF9">
        <w:rPr>
          <w:rFonts w:hint="cs"/>
          <w:position w:val="4"/>
          <w:sz w:val="22"/>
          <w:szCs w:val="22"/>
          <w:highlight w:val="yellow"/>
          <w:rtl/>
        </w:rPr>
        <w:t>-</w:t>
      </w:r>
      <w:r w:rsidRPr="00FD7BF9">
        <w:rPr>
          <w:rFonts w:hint="cs"/>
          <w:sz w:val="22"/>
          <w:szCs w:val="22"/>
          <w:highlight w:val="yellow"/>
          <w:rtl/>
        </w:rPr>
        <w:t xml:space="preserve">פי הדין היה ניתן לסטות מההנחיה בחוזר מנכ"ל משרד הפנים, המתנה תשלום משכורת לסגן ראש מועצה מקומית באצילת סמכות מסמכויות ראש המועצה לנושא משרה זו בדרך הקבועה בסעיף 17 לחוק הבחירה, וכי תכליתה של הנחיה זו היא כפולה </w:t>
      </w:r>
      <w:r w:rsidRPr="00FD7BF9">
        <w:rPr>
          <w:sz w:val="22"/>
          <w:szCs w:val="22"/>
          <w:highlight w:val="yellow"/>
          <w:rtl/>
        </w:rPr>
        <w:t>–</w:t>
      </w:r>
      <w:r w:rsidRPr="00FD7BF9">
        <w:rPr>
          <w:rFonts w:hint="cs"/>
          <w:sz w:val="22"/>
          <w:szCs w:val="22"/>
          <w:highlight w:val="yellow"/>
          <w:rtl/>
        </w:rPr>
        <w:t xml:space="preserve"> לזכות בשכר את מי שבפועל מילא תפקידו כסגן בשירות המועצה ולאפשר פיקוח הדוק של משרד הפנים על</w:t>
      </w:r>
      <w:r w:rsidRPr="00FD7BF9">
        <w:rPr>
          <w:rFonts w:hint="cs"/>
          <w:position w:val="4"/>
          <w:sz w:val="22"/>
          <w:szCs w:val="22"/>
          <w:highlight w:val="yellow"/>
          <w:rtl/>
        </w:rPr>
        <w:t>-</w:t>
      </w:r>
      <w:r w:rsidRPr="00FD7BF9">
        <w:rPr>
          <w:rFonts w:hint="cs"/>
          <w:sz w:val="22"/>
          <w:szCs w:val="22"/>
          <w:highlight w:val="yellow"/>
          <w:rtl/>
        </w:rPr>
        <w:t>ידי הבטחת שקיפות הליכי האצילה, וכי על</w:t>
      </w:r>
      <w:r w:rsidRPr="00FD7BF9">
        <w:rPr>
          <w:rFonts w:hint="cs"/>
          <w:position w:val="4"/>
          <w:sz w:val="22"/>
          <w:szCs w:val="22"/>
          <w:highlight w:val="yellow"/>
          <w:rtl/>
        </w:rPr>
        <w:t>-</w:t>
      </w:r>
      <w:r w:rsidRPr="00FD7BF9">
        <w:rPr>
          <w:rFonts w:hint="cs"/>
          <w:sz w:val="22"/>
          <w:szCs w:val="22"/>
          <w:highlight w:val="yellow"/>
          <w:rtl/>
        </w:rPr>
        <w:t>כן יהיה ניתן לסטות מהנחיה זו במקרים חריגים שבחריגים.</w:t>
      </w:r>
    </w:p>
    <w:p w:rsidR="00241BC2" w:rsidRPr="008D5061" w:rsidRDefault="00241BC2" w:rsidP="00241BC2">
      <w:pPr>
        <w:pStyle w:val="a6"/>
        <w:spacing w:after="60" w:line="240" w:lineRule="auto"/>
        <w:rPr>
          <w:sz w:val="22"/>
          <w:szCs w:val="22"/>
          <w:rtl/>
        </w:rPr>
      </w:pPr>
      <w:r w:rsidRPr="00FD7BF9">
        <w:rPr>
          <w:rFonts w:hint="cs"/>
          <w:sz w:val="22"/>
          <w:szCs w:val="22"/>
          <w:highlight w:val="yellow"/>
          <w:rtl/>
        </w:rPr>
        <w:t>לאמור לעיל אני מסכימה, אלא שלדעתי, המקרה שלפנינו אכן נמנה עם אותם חריגים</w:t>
      </w:r>
      <w:r w:rsidRPr="008D5061">
        <w:rPr>
          <w:rFonts w:hint="cs"/>
          <w:sz w:val="22"/>
          <w:szCs w:val="22"/>
          <w:rtl/>
        </w:rPr>
        <w:t xml:space="preserve">, שכן לצד התכליות האמורות קיים ערך לא פחות חשוב והוא </w:t>
      </w:r>
      <w:r w:rsidRPr="00F62EE5">
        <w:rPr>
          <w:rFonts w:hint="cs"/>
          <w:sz w:val="22"/>
          <w:szCs w:val="22"/>
          <w:highlight w:val="yellow"/>
          <w:rtl/>
        </w:rPr>
        <w:t>החובה לנהוג בתום</w:t>
      </w:r>
      <w:r w:rsidRPr="00F62EE5">
        <w:rPr>
          <w:rFonts w:hint="cs"/>
          <w:position w:val="4"/>
          <w:sz w:val="22"/>
          <w:szCs w:val="22"/>
          <w:highlight w:val="yellow"/>
          <w:rtl/>
        </w:rPr>
        <w:t>-</w:t>
      </w:r>
      <w:r w:rsidRPr="00F62EE5">
        <w:rPr>
          <w:rFonts w:hint="cs"/>
          <w:sz w:val="22"/>
          <w:szCs w:val="22"/>
          <w:highlight w:val="yellow"/>
          <w:rtl/>
        </w:rPr>
        <w:t>לב,</w:t>
      </w:r>
      <w:r w:rsidRPr="008D5061">
        <w:rPr>
          <w:rFonts w:hint="cs"/>
          <w:sz w:val="22"/>
          <w:szCs w:val="22"/>
          <w:rtl/>
        </w:rPr>
        <w:t xml:space="preserve"> המוטלת על המתדיין המצווה לנהוג בהגינות כלפי יריבו ולא לעשות שימוש לרעה בהליכי המשפט. </w:t>
      </w:r>
      <w:r>
        <w:rPr>
          <w:rFonts w:hint="cs"/>
          <w:sz w:val="22"/>
          <w:szCs w:val="22"/>
          <w:rtl/>
        </w:rPr>
        <w:t>...</w:t>
      </w:r>
      <w:r w:rsidRPr="008D5061">
        <w:rPr>
          <w:rFonts w:hint="cs"/>
          <w:sz w:val="22"/>
          <w:szCs w:val="22"/>
          <w:rtl/>
        </w:rPr>
        <w:t xml:space="preserve"> החובה המוטלת על רשות ציבורית, שיסודה במעמדה של הרשות כנאמנה של הציבור, אף מחמירה יותר מחובת תום</w:t>
      </w:r>
      <w:r w:rsidRPr="008D5061">
        <w:rPr>
          <w:rFonts w:hint="cs"/>
          <w:position w:val="4"/>
          <w:sz w:val="22"/>
          <w:szCs w:val="22"/>
          <w:rtl/>
        </w:rPr>
        <w:t>-</w:t>
      </w:r>
      <w:r w:rsidRPr="008D5061">
        <w:rPr>
          <w:rFonts w:hint="cs"/>
          <w:sz w:val="22"/>
          <w:szCs w:val="22"/>
          <w:rtl/>
        </w:rPr>
        <w:t xml:space="preserve">הלב הנדרשת מן הפרט. ראו למשל </w:t>
      </w:r>
      <w:r w:rsidRPr="008D5061">
        <w:rPr>
          <w:rFonts w:cs="Miriam" w:hint="cs"/>
          <w:sz w:val="22"/>
          <w:szCs w:val="22"/>
          <w:rtl/>
        </w:rPr>
        <w:t>בג"ץ 4422/92 עפרן נ' מינהל מקרקעי ישראל [12]</w:t>
      </w:r>
      <w:r w:rsidRPr="008D5061">
        <w:rPr>
          <w:rFonts w:hint="cs"/>
          <w:sz w:val="22"/>
          <w:szCs w:val="22"/>
          <w:rtl/>
        </w:rPr>
        <w:t xml:space="preserve">, </w:t>
      </w:r>
      <w:r w:rsidRPr="008D5061">
        <w:rPr>
          <w:rFonts w:cs="Miriam" w:hint="cs"/>
          <w:sz w:val="22"/>
          <w:szCs w:val="22"/>
          <w:rtl/>
        </w:rPr>
        <w:t xml:space="preserve">בעמ' 860 </w:t>
      </w:r>
      <w:r w:rsidRPr="008D5061">
        <w:rPr>
          <w:rFonts w:hint="cs"/>
          <w:sz w:val="22"/>
          <w:szCs w:val="22"/>
          <w:rtl/>
        </w:rPr>
        <w:t xml:space="preserve">והאסמכתאות המובאות </w:t>
      </w:r>
      <w:r w:rsidRPr="008D5061">
        <w:rPr>
          <w:rFonts w:cs="Miriam" w:hint="cs"/>
          <w:sz w:val="22"/>
          <w:szCs w:val="22"/>
          <w:rtl/>
        </w:rPr>
        <w:t>שם</w:t>
      </w:r>
      <w:r w:rsidRPr="008D5061">
        <w:rPr>
          <w:rFonts w:hint="cs"/>
          <w:sz w:val="22"/>
          <w:szCs w:val="22"/>
          <w:rtl/>
        </w:rPr>
        <w:t>.</w:t>
      </w:r>
    </w:p>
    <w:p w:rsidR="00241BC2" w:rsidRPr="008D5061" w:rsidRDefault="00241BC2" w:rsidP="00241BC2">
      <w:pPr>
        <w:pStyle w:val="a6"/>
        <w:spacing w:after="60" w:line="240" w:lineRule="auto"/>
        <w:rPr>
          <w:sz w:val="22"/>
          <w:szCs w:val="22"/>
          <w:rtl/>
        </w:rPr>
      </w:pPr>
      <w:r w:rsidRPr="008D5061">
        <w:rPr>
          <w:rFonts w:hint="cs"/>
          <w:sz w:val="22"/>
          <w:szCs w:val="22"/>
          <w:rtl/>
        </w:rPr>
        <w:t>2.</w:t>
      </w:r>
      <w:r w:rsidRPr="008D5061">
        <w:rPr>
          <w:rFonts w:hint="cs"/>
          <w:sz w:val="22"/>
          <w:szCs w:val="22"/>
          <w:rtl/>
        </w:rPr>
        <w:tab/>
        <w:t>בענייננו, על</w:t>
      </w:r>
      <w:r w:rsidRPr="008D5061">
        <w:rPr>
          <w:rFonts w:hint="cs"/>
          <w:position w:val="4"/>
          <w:sz w:val="22"/>
          <w:szCs w:val="22"/>
          <w:rtl/>
        </w:rPr>
        <w:t>-</w:t>
      </w:r>
      <w:r w:rsidRPr="008D5061">
        <w:rPr>
          <w:rFonts w:hint="cs"/>
          <w:sz w:val="22"/>
          <w:szCs w:val="22"/>
          <w:rtl/>
        </w:rPr>
        <w:t>פי המימצאים שקבע בית</w:t>
      </w:r>
      <w:r w:rsidRPr="008D5061">
        <w:rPr>
          <w:rFonts w:hint="cs"/>
          <w:position w:val="4"/>
          <w:sz w:val="22"/>
          <w:szCs w:val="22"/>
          <w:rtl/>
        </w:rPr>
        <w:t>-</w:t>
      </w:r>
      <w:r w:rsidRPr="008D5061">
        <w:rPr>
          <w:rFonts w:hint="cs"/>
          <w:sz w:val="22"/>
          <w:szCs w:val="22"/>
          <w:rtl/>
        </w:rPr>
        <w:t>המשפט העליון בפסק</w:t>
      </w:r>
      <w:r w:rsidRPr="008D5061">
        <w:rPr>
          <w:rFonts w:hint="cs"/>
          <w:position w:val="4"/>
          <w:sz w:val="22"/>
          <w:szCs w:val="22"/>
          <w:rtl/>
        </w:rPr>
        <w:t>-</w:t>
      </w:r>
      <w:r w:rsidRPr="008D5061">
        <w:rPr>
          <w:rFonts w:hint="cs"/>
          <w:sz w:val="22"/>
          <w:szCs w:val="22"/>
          <w:rtl/>
        </w:rPr>
        <w:t>דינו (להלן – פסק</w:t>
      </w:r>
      <w:r w:rsidRPr="008D5061">
        <w:rPr>
          <w:rFonts w:hint="cs"/>
          <w:position w:val="4"/>
          <w:sz w:val="22"/>
          <w:szCs w:val="22"/>
          <w:rtl/>
        </w:rPr>
        <w:t>-</w:t>
      </w:r>
      <w:r w:rsidRPr="008D5061">
        <w:rPr>
          <w:rFonts w:hint="cs"/>
          <w:sz w:val="22"/>
          <w:szCs w:val="22"/>
          <w:rtl/>
        </w:rPr>
        <w:t xml:space="preserve">הדין </w:t>
      </w:r>
      <w:r w:rsidRPr="008D5061">
        <w:rPr>
          <w:rFonts w:cs="Miriam" w:hint="cs"/>
          <w:sz w:val="22"/>
          <w:szCs w:val="22"/>
          <w:rtl/>
        </w:rPr>
        <w:t>[1]</w:t>
      </w:r>
      <w:r w:rsidRPr="008D5061">
        <w:rPr>
          <w:rFonts w:hint="cs"/>
          <w:sz w:val="22"/>
          <w:szCs w:val="22"/>
          <w:rtl/>
        </w:rPr>
        <w:t>), נכנסו המשיבים בשנת 1995 בנעליהם של סגני</w:t>
      </w:r>
      <w:r w:rsidRPr="008D5061">
        <w:rPr>
          <w:rFonts w:hint="cs"/>
          <w:position w:val="4"/>
          <w:sz w:val="22"/>
          <w:szCs w:val="22"/>
          <w:rtl/>
        </w:rPr>
        <w:t xml:space="preserve"> </w:t>
      </w:r>
      <w:r w:rsidRPr="008D5061">
        <w:rPr>
          <w:rFonts w:hint="cs"/>
          <w:sz w:val="22"/>
          <w:szCs w:val="22"/>
          <w:rtl/>
        </w:rPr>
        <w:t xml:space="preserve">ראש המועצה אשר התפטרו על יסוד הסכם הרוטציה ושירתו את המועצה על יסוד הוראתו של ראש המועצה בתפקידים שהטיל עליהם, בהבדל אחד: להם לא שולם שכר. </w:t>
      </w:r>
      <w:r w:rsidRPr="00F62EE5">
        <w:rPr>
          <w:rFonts w:hint="cs"/>
          <w:sz w:val="22"/>
          <w:szCs w:val="22"/>
          <w:highlight w:val="yellow"/>
          <w:rtl/>
        </w:rPr>
        <w:t>שלוש פעמים פנו למשרד הפנים ופעמיים הגישו עתירות, והנימוק שבסופה של הדרך בדיון הנוסף הביא לדחיית תביעתם, לא הועלה כלל על</w:t>
      </w:r>
      <w:r w:rsidRPr="00F62EE5">
        <w:rPr>
          <w:rFonts w:hint="cs"/>
          <w:position w:val="4"/>
          <w:sz w:val="22"/>
          <w:szCs w:val="22"/>
          <w:highlight w:val="yellow"/>
          <w:rtl/>
        </w:rPr>
        <w:t>-</w:t>
      </w:r>
      <w:r w:rsidRPr="00F62EE5">
        <w:rPr>
          <w:rFonts w:hint="cs"/>
          <w:sz w:val="22"/>
          <w:szCs w:val="22"/>
          <w:highlight w:val="yellow"/>
          <w:rtl/>
        </w:rPr>
        <w:t>ידי משרד הפנים אשר בתשובותיו התנה את התשלום בתנאים שונים המפורטים בפסק</w:t>
      </w:r>
      <w:r w:rsidRPr="00F62EE5">
        <w:rPr>
          <w:rFonts w:hint="cs"/>
          <w:position w:val="4"/>
          <w:sz w:val="22"/>
          <w:szCs w:val="22"/>
          <w:highlight w:val="yellow"/>
          <w:rtl/>
        </w:rPr>
        <w:t>-</w:t>
      </w:r>
      <w:r w:rsidRPr="00F62EE5">
        <w:rPr>
          <w:rFonts w:hint="cs"/>
          <w:sz w:val="22"/>
          <w:szCs w:val="22"/>
          <w:highlight w:val="yellow"/>
          <w:rtl/>
        </w:rPr>
        <w:t>הדין</w:t>
      </w:r>
      <w:r w:rsidRPr="008D5061">
        <w:rPr>
          <w:rFonts w:hint="cs"/>
          <w:sz w:val="22"/>
          <w:szCs w:val="22"/>
          <w:rtl/>
        </w:rPr>
        <w:t xml:space="preserve"> </w:t>
      </w:r>
      <w:r w:rsidRPr="008D5061">
        <w:rPr>
          <w:rFonts w:cs="Miriam" w:hint="cs"/>
          <w:sz w:val="22"/>
          <w:szCs w:val="22"/>
          <w:rtl/>
        </w:rPr>
        <w:t>[1]</w:t>
      </w:r>
      <w:r w:rsidRPr="008D5061">
        <w:rPr>
          <w:rFonts w:hint="cs"/>
          <w:sz w:val="22"/>
          <w:szCs w:val="22"/>
          <w:rtl/>
        </w:rPr>
        <w:t>, ואשר על</w:t>
      </w:r>
      <w:r w:rsidRPr="008D5061">
        <w:rPr>
          <w:rFonts w:hint="cs"/>
          <w:position w:val="4"/>
          <w:sz w:val="22"/>
          <w:szCs w:val="22"/>
          <w:rtl/>
        </w:rPr>
        <w:t>-</w:t>
      </w:r>
      <w:r w:rsidRPr="008D5061">
        <w:rPr>
          <w:rFonts w:hint="cs"/>
          <w:sz w:val="22"/>
          <w:szCs w:val="22"/>
          <w:rtl/>
        </w:rPr>
        <w:t xml:space="preserve">פי מימצאיו הם עמדו בכולם. </w:t>
      </w:r>
      <w:r w:rsidRPr="00F62EE5">
        <w:rPr>
          <w:rFonts w:hint="cs"/>
          <w:sz w:val="22"/>
          <w:szCs w:val="22"/>
          <w:highlight w:val="yellow"/>
          <w:rtl/>
        </w:rPr>
        <w:t>הטענה הנוגעת לדרך האצילה הועלתה לראשונה בתצהיר התשובה</w:t>
      </w:r>
      <w:r w:rsidRPr="008D5061">
        <w:rPr>
          <w:rFonts w:hint="cs"/>
          <w:sz w:val="22"/>
          <w:szCs w:val="22"/>
          <w:rtl/>
        </w:rPr>
        <w:t>, לאחר הוצאת צו</w:t>
      </w:r>
      <w:r w:rsidRPr="008D5061">
        <w:rPr>
          <w:rFonts w:hint="cs"/>
          <w:position w:val="4"/>
          <w:sz w:val="22"/>
          <w:szCs w:val="22"/>
          <w:rtl/>
        </w:rPr>
        <w:t>-</w:t>
      </w:r>
      <w:r w:rsidRPr="008D5061">
        <w:rPr>
          <w:rFonts w:hint="cs"/>
          <w:sz w:val="22"/>
          <w:szCs w:val="22"/>
          <w:rtl/>
        </w:rPr>
        <w:t>על</w:t>
      </w:r>
      <w:r w:rsidRPr="008D5061">
        <w:rPr>
          <w:rFonts w:hint="cs"/>
          <w:position w:val="4"/>
          <w:sz w:val="22"/>
          <w:szCs w:val="22"/>
          <w:rtl/>
        </w:rPr>
        <w:t>-</w:t>
      </w:r>
      <w:r w:rsidRPr="008D5061">
        <w:rPr>
          <w:rFonts w:hint="cs"/>
          <w:sz w:val="22"/>
          <w:szCs w:val="22"/>
          <w:rtl/>
        </w:rPr>
        <w:t>תנאי, ואילו בתגובתה הראשונה של המדינה לעתירה וכן בדיון שהתקיים ביום 22.1.2001, הגנה המדינה על נימוקיו של משרד הפנים. אלא שטענותיה לא הניחו את דעת בית</w:t>
      </w:r>
      <w:r w:rsidRPr="008D5061">
        <w:rPr>
          <w:rFonts w:hint="cs"/>
          <w:position w:val="4"/>
          <w:sz w:val="22"/>
          <w:szCs w:val="22"/>
          <w:rtl/>
        </w:rPr>
        <w:t>-</w:t>
      </w:r>
      <w:r w:rsidRPr="008D5061">
        <w:rPr>
          <w:rFonts w:hint="cs"/>
          <w:sz w:val="22"/>
          <w:szCs w:val="22"/>
          <w:rtl/>
        </w:rPr>
        <w:t>המשפט, והוצא צו על</w:t>
      </w:r>
      <w:r w:rsidRPr="008D5061">
        <w:rPr>
          <w:rFonts w:hint="cs"/>
          <w:position w:val="4"/>
          <w:sz w:val="22"/>
          <w:szCs w:val="22"/>
          <w:rtl/>
        </w:rPr>
        <w:t>-</w:t>
      </w:r>
      <w:r w:rsidRPr="008D5061">
        <w:rPr>
          <w:rFonts w:hint="cs"/>
          <w:sz w:val="22"/>
          <w:szCs w:val="22"/>
          <w:rtl/>
        </w:rPr>
        <w:t>תנאי, ורק אז כאמור הועלה נימוק זה כנימוק נוסף בתצהיר התשובה.</w:t>
      </w:r>
    </w:p>
    <w:p w:rsidR="00241BC2" w:rsidRPr="008D5061" w:rsidRDefault="00241BC2" w:rsidP="00241BC2">
      <w:pPr>
        <w:pStyle w:val="a6"/>
        <w:spacing w:after="60" w:line="240" w:lineRule="auto"/>
        <w:rPr>
          <w:sz w:val="22"/>
          <w:szCs w:val="22"/>
          <w:rtl/>
        </w:rPr>
      </w:pPr>
      <w:r w:rsidRPr="008D5061">
        <w:rPr>
          <w:rFonts w:hint="cs"/>
          <w:sz w:val="22"/>
          <w:szCs w:val="22"/>
          <w:rtl/>
        </w:rPr>
        <w:t>דרך התדיינות זו אינה מתיישבת עם חובת תום</w:t>
      </w:r>
      <w:r w:rsidRPr="008D5061">
        <w:rPr>
          <w:rFonts w:hint="cs"/>
          <w:position w:val="4"/>
          <w:sz w:val="22"/>
          <w:szCs w:val="22"/>
          <w:rtl/>
        </w:rPr>
        <w:t>-</w:t>
      </w:r>
      <w:r w:rsidRPr="008D5061">
        <w:rPr>
          <w:rFonts w:hint="cs"/>
          <w:sz w:val="22"/>
          <w:szCs w:val="22"/>
          <w:rtl/>
        </w:rPr>
        <w:t>הלב שחייב בה כל מתדיין, ולא</w:t>
      </w:r>
      <w:r w:rsidRPr="008D5061">
        <w:rPr>
          <w:rFonts w:hint="cs"/>
          <w:position w:val="4"/>
          <w:sz w:val="22"/>
          <w:szCs w:val="22"/>
          <w:rtl/>
        </w:rPr>
        <w:t>-</w:t>
      </w:r>
      <w:r w:rsidRPr="008D5061">
        <w:rPr>
          <w:rFonts w:hint="cs"/>
          <w:sz w:val="22"/>
          <w:szCs w:val="22"/>
          <w:rtl/>
        </w:rPr>
        <w:t>כל</w:t>
      </w:r>
      <w:r w:rsidRPr="008D5061">
        <w:rPr>
          <w:rFonts w:hint="cs"/>
          <w:position w:val="4"/>
          <w:sz w:val="22"/>
          <w:szCs w:val="22"/>
          <w:rtl/>
        </w:rPr>
        <w:t>-</w:t>
      </w:r>
      <w:r w:rsidRPr="008D5061">
        <w:rPr>
          <w:rFonts w:hint="cs"/>
          <w:sz w:val="22"/>
          <w:szCs w:val="22"/>
          <w:rtl/>
        </w:rPr>
        <w:t>שכן עם חובת תום</w:t>
      </w:r>
      <w:r w:rsidRPr="008D5061">
        <w:rPr>
          <w:rFonts w:hint="cs"/>
          <w:position w:val="4"/>
          <w:sz w:val="22"/>
          <w:szCs w:val="22"/>
          <w:rtl/>
        </w:rPr>
        <w:t>-</w:t>
      </w:r>
      <w:r w:rsidRPr="008D5061">
        <w:rPr>
          <w:rFonts w:hint="cs"/>
          <w:sz w:val="22"/>
          <w:szCs w:val="22"/>
          <w:rtl/>
        </w:rPr>
        <w:t>הלב המוגבר שבה חייבת המדינה. כידוע, ככלל, בגדר הליכי הדיון האזרחי אין בית</w:t>
      </w:r>
      <w:r w:rsidRPr="008D5061">
        <w:rPr>
          <w:rFonts w:hint="cs"/>
          <w:position w:val="4"/>
          <w:sz w:val="22"/>
          <w:szCs w:val="22"/>
          <w:rtl/>
        </w:rPr>
        <w:t>-</w:t>
      </w:r>
      <w:r w:rsidRPr="008D5061">
        <w:rPr>
          <w:rFonts w:hint="cs"/>
          <w:sz w:val="22"/>
          <w:szCs w:val="22"/>
          <w:rtl/>
        </w:rPr>
        <w:t>משפט נזקק לטענה המועלית באיחור. אכן, פורמאלית, העתירה אינה נשלטת על</w:t>
      </w:r>
      <w:r w:rsidRPr="008D5061">
        <w:rPr>
          <w:rFonts w:hint="cs"/>
          <w:position w:val="4"/>
          <w:sz w:val="22"/>
          <w:szCs w:val="22"/>
          <w:rtl/>
        </w:rPr>
        <w:t>-</w:t>
      </w:r>
      <w:r w:rsidRPr="008D5061">
        <w:rPr>
          <w:rFonts w:hint="cs"/>
          <w:sz w:val="22"/>
          <w:szCs w:val="22"/>
          <w:rtl/>
        </w:rPr>
        <w:t>ידי כלל דיוני זה, אך בנסיבות העניין העלאתה של טענה זו בשלב כה מאוחר, לאחר שמתברר שהטענות שבגינן דחו הרשויות את הבקשה עשויות לא להתקבל על</w:t>
      </w:r>
      <w:r w:rsidRPr="008D5061">
        <w:rPr>
          <w:rFonts w:hint="cs"/>
          <w:position w:val="4"/>
          <w:sz w:val="22"/>
          <w:szCs w:val="22"/>
          <w:rtl/>
        </w:rPr>
        <w:t>-</w:t>
      </w:r>
      <w:r w:rsidRPr="008D5061">
        <w:rPr>
          <w:rFonts w:hint="cs"/>
          <w:sz w:val="22"/>
          <w:szCs w:val="22"/>
          <w:rtl/>
        </w:rPr>
        <w:t>ידי בית</w:t>
      </w:r>
      <w:r w:rsidRPr="008D5061">
        <w:rPr>
          <w:rFonts w:hint="cs"/>
          <w:position w:val="4"/>
          <w:sz w:val="22"/>
          <w:szCs w:val="22"/>
          <w:rtl/>
        </w:rPr>
        <w:t>-</w:t>
      </w:r>
      <w:r w:rsidRPr="008D5061">
        <w:rPr>
          <w:rFonts w:hint="cs"/>
          <w:sz w:val="22"/>
          <w:szCs w:val="22"/>
          <w:rtl/>
        </w:rPr>
        <w:t>המשפט, היא לדעתי שימוש לרעה בהליכים, ואין להיזקק להם.</w:t>
      </w:r>
    </w:p>
    <w:p w:rsidR="00241BC2" w:rsidRPr="008D5061" w:rsidRDefault="00241BC2" w:rsidP="00241BC2">
      <w:pPr>
        <w:pStyle w:val="a6"/>
        <w:spacing w:after="60" w:line="240" w:lineRule="auto"/>
        <w:rPr>
          <w:sz w:val="22"/>
          <w:szCs w:val="22"/>
          <w:rtl/>
        </w:rPr>
      </w:pPr>
      <w:r w:rsidRPr="008D5061">
        <w:rPr>
          <w:rFonts w:hint="cs"/>
          <w:sz w:val="22"/>
          <w:szCs w:val="22"/>
          <w:rtl/>
        </w:rPr>
        <w:t>3.</w:t>
      </w:r>
      <w:r w:rsidRPr="008D5061">
        <w:rPr>
          <w:rFonts w:hint="cs"/>
          <w:sz w:val="22"/>
          <w:szCs w:val="22"/>
          <w:rtl/>
        </w:rPr>
        <w:tab/>
        <w:t xml:space="preserve">זאת ועוד, התנהגות המדינה מקימה </w:t>
      </w:r>
      <w:r w:rsidRPr="00F62EE5">
        <w:rPr>
          <w:rFonts w:hint="cs"/>
          <w:sz w:val="22"/>
          <w:szCs w:val="22"/>
          <w:highlight w:val="yellow"/>
          <w:rtl/>
        </w:rPr>
        <w:t>השתק דיוני</w:t>
      </w:r>
      <w:r w:rsidRPr="008D5061">
        <w:rPr>
          <w:rFonts w:hint="cs"/>
          <w:sz w:val="22"/>
          <w:szCs w:val="22"/>
          <w:rtl/>
        </w:rPr>
        <w:t>. כידוע, השתק מוכר לא רק לגבי עניין שבעובדה אלא גם לגבי עניין שבדין. הוא מונע צד מלהתכחש למצג שהציג כלפי צד אחר אם אותו צד אחר הסתמך על המצג בתום</w:t>
      </w:r>
      <w:r w:rsidRPr="008D5061">
        <w:rPr>
          <w:rFonts w:hint="cs"/>
          <w:position w:val="4"/>
          <w:sz w:val="22"/>
          <w:szCs w:val="22"/>
          <w:rtl/>
        </w:rPr>
        <w:t>-</w:t>
      </w:r>
      <w:r w:rsidRPr="008D5061">
        <w:rPr>
          <w:rFonts w:hint="cs"/>
          <w:sz w:val="22"/>
          <w:szCs w:val="22"/>
          <w:rtl/>
        </w:rPr>
        <w:t xml:space="preserve">לב ושינה עקב כך מצבו לרעה. </w:t>
      </w:r>
      <w:r>
        <w:rPr>
          <w:rFonts w:hint="cs"/>
          <w:sz w:val="22"/>
          <w:szCs w:val="22"/>
          <w:rtl/>
        </w:rPr>
        <w:t>..</w:t>
      </w:r>
      <w:r w:rsidRPr="008D5061">
        <w:rPr>
          <w:rFonts w:hint="cs"/>
          <w:sz w:val="22"/>
          <w:szCs w:val="22"/>
          <w:rtl/>
        </w:rPr>
        <w:t>.</w:t>
      </w:r>
    </w:p>
    <w:p w:rsidR="00241BC2" w:rsidRDefault="00241BC2" w:rsidP="00241BC2">
      <w:pPr>
        <w:pStyle w:val="a6"/>
        <w:spacing w:after="60" w:line="240" w:lineRule="auto"/>
        <w:rPr>
          <w:szCs w:val="20"/>
          <w:rtl/>
        </w:rPr>
      </w:pPr>
      <w:r w:rsidRPr="00987808">
        <w:rPr>
          <w:rFonts w:hint="cs"/>
          <w:sz w:val="22"/>
          <w:szCs w:val="22"/>
          <w:highlight w:val="yellow"/>
          <w:rtl/>
        </w:rPr>
        <w:t xml:space="preserve">במקרה שלפנינו אכן אצילת הסמכויות למשיבים לא נעשתה בדרך הקבועה בהנחיה הפנימית, אך משרד הפנים ואחריו הפרקליטות, עד לשלב מאוחר, ביססו את הסירוב לאשר תשלום שכר על נימוקים אחרים שנדחו. לו מלכתחילה – בשנת 1995 או לכל המאוחר בשנת 1997 </w:t>
      </w:r>
      <w:r w:rsidRPr="00987808">
        <w:rPr>
          <w:sz w:val="22"/>
          <w:szCs w:val="22"/>
          <w:highlight w:val="yellow"/>
          <w:rtl/>
        </w:rPr>
        <w:t>–</w:t>
      </w:r>
      <w:r w:rsidRPr="00987808">
        <w:rPr>
          <w:rFonts w:hint="cs"/>
          <w:sz w:val="22"/>
          <w:szCs w:val="22"/>
          <w:highlight w:val="yellow"/>
          <w:rtl/>
        </w:rPr>
        <w:t xml:space="preserve"> היו מפנים את תשומת לבם של המועצה המקומית ושל המשיבים להנחיה זו, היו הללו מקיימים אותה ככתבה וכלשונה. בנסיבות אלה, כשהניחה המדינה להליכים להתגלגל בלי להזכיר את ההנחיה, ובכך מנעה היא את קיומה, הייתה היא מושתקת מלטעון בשלב מאוחר זה כי המשיבים אינם זכאים לתשלום בשל הפרת ההנחיה.</w:t>
      </w:r>
      <w:r>
        <w:rPr>
          <w:rFonts w:hint="cs"/>
          <w:sz w:val="22"/>
          <w:szCs w:val="22"/>
          <w:rtl/>
        </w:rPr>
        <w:t xml:space="preserve"> </w:t>
      </w:r>
      <w:r w:rsidRPr="008D5061">
        <w:rPr>
          <w:rFonts w:hint="cs"/>
          <w:sz w:val="22"/>
          <w:szCs w:val="22"/>
          <w:rtl/>
        </w:rPr>
        <w:t>אשר</w:t>
      </w:r>
      <w:r w:rsidRPr="008D5061">
        <w:rPr>
          <w:rFonts w:hint="cs"/>
          <w:position w:val="4"/>
          <w:sz w:val="22"/>
          <w:szCs w:val="22"/>
          <w:rtl/>
        </w:rPr>
        <w:t>-</w:t>
      </w:r>
      <w:r w:rsidRPr="008D5061">
        <w:rPr>
          <w:rFonts w:hint="cs"/>
          <w:sz w:val="22"/>
          <w:szCs w:val="22"/>
          <w:rtl/>
        </w:rPr>
        <w:t>על</w:t>
      </w:r>
      <w:r w:rsidRPr="008D5061">
        <w:rPr>
          <w:rFonts w:hint="cs"/>
          <w:position w:val="4"/>
          <w:sz w:val="22"/>
          <w:szCs w:val="22"/>
          <w:rtl/>
        </w:rPr>
        <w:t>-</w:t>
      </w:r>
      <w:r w:rsidRPr="008D5061">
        <w:rPr>
          <w:rFonts w:hint="cs"/>
          <w:sz w:val="22"/>
          <w:szCs w:val="22"/>
          <w:rtl/>
        </w:rPr>
        <w:t>כן אם דעתי הייתה נשמעת, היינו דוחים את העתירה.</w:t>
      </w:r>
    </w:p>
    <w:p w:rsidR="00241BC2" w:rsidRDefault="00241BC2" w:rsidP="00241BC2">
      <w:pPr>
        <w:pStyle w:val="a6"/>
        <w:spacing w:after="60" w:line="240" w:lineRule="auto"/>
        <w:rPr>
          <w:szCs w:val="20"/>
          <w:rtl/>
        </w:rPr>
      </w:pPr>
      <w:r>
        <w:rPr>
          <w:rFonts w:hint="cs"/>
          <w:szCs w:val="20"/>
          <w:rtl/>
        </w:rPr>
        <w:t>=-=</w:t>
      </w:r>
    </w:p>
    <w:p w:rsidR="00241BC2" w:rsidRPr="00F52FAB" w:rsidRDefault="00241BC2" w:rsidP="00241BC2">
      <w:pPr>
        <w:pStyle w:val="a6"/>
        <w:spacing w:after="60" w:line="240" w:lineRule="auto"/>
        <w:jc w:val="center"/>
        <w:rPr>
          <w:rFonts w:cs="Times New Roman"/>
          <w:szCs w:val="20"/>
          <w:rtl/>
        </w:rPr>
      </w:pPr>
      <w:r w:rsidRPr="00F52FAB">
        <w:rPr>
          <w:rFonts w:cs="Times New Roman"/>
          <w:highlight w:val="yellow"/>
          <w:rtl/>
        </w:rPr>
        <w:t xml:space="preserve">בג"צ 3616/06 </w:t>
      </w:r>
      <w:r w:rsidRPr="00F52FAB">
        <w:rPr>
          <w:rFonts w:cs="Times New Roman"/>
          <w:b/>
          <w:bCs/>
          <w:highlight w:val="yellow"/>
          <w:rtl/>
        </w:rPr>
        <w:t>מנצור נ' משרד הפנים</w:t>
      </w:r>
      <w:r w:rsidRPr="00F52FAB">
        <w:rPr>
          <w:rFonts w:cs="Times New Roman"/>
          <w:highlight w:val="yellow"/>
          <w:rtl/>
        </w:rPr>
        <w:t xml:space="preserve"> (2009) – השופט רובינשטיין</w:t>
      </w:r>
    </w:p>
    <w:p w:rsidR="00241BC2" w:rsidRPr="00DD5528" w:rsidRDefault="00241BC2" w:rsidP="00241BC2">
      <w:pPr>
        <w:pStyle w:val="Ruller41"/>
        <w:spacing w:line="240" w:lineRule="auto"/>
        <w:ind w:left="720"/>
        <w:rPr>
          <w:rFonts w:ascii="Arial" w:hAnsi="Arial" w:cs="Arial"/>
          <w:i/>
          <w:iCs/>
          <w:sz w:val="20"/>
          <w:szCs w:val="20"/>
          <w:u w:val="single"/>
          <w:rtl/>
        </w:rPr>
      </w:pPr>
      <w:r w:rsidRPr="00DD5528">
        <w:rPr>
          <w:rFonts w:ascii="Arial" w:hAnsi="Arial" w:cs="Arial"/>
          <w:i/>
          <w:iCs/>
          <w:sz w:val="20"/>
          <w:szCs w:val="20"/>
          <w:u w:val="single"/>
          <w:rtl/>
        </w:rPr>
        <w:t xml:space="preserve">מדוע מגיעים </w:t>
      </w:r>
      <w:r w:rsidRPr="00DD5528">
        <w:rPr>
          <w:rFonts w:ascii="Arial" w:hAnsi="Arial" w:cs="Arial"/>
          <w:i/>
          <w:iCs/>
          <w:szCs w:val="20"/>
          <w:u w:val="single"/>
          <w:rtl/>
        </w:rPr>
        <w:t xml:space="preserve">כאן </w:t>
      </w:r>
      <w:r w:rsidRPr="00DD5528">
        <w:rPr>
          <w:rFonts w:ascii="Arial" w:hAnsi="Arial" w:cs="Arial"/>
          <w:i/>
          <w:iCs/>
          <w:sz w:val="20"/>
          <w:szCs w:val="20"/>
          <w:u w:val="single"/>
          <w:rtl/>
        </w:rPr>
        <w:t xml:space="preserve">לתוצאה השונה </w:t>
      </w:r>
      <w:r>
        <w:rPr>
          <w:rFonts w:ascii="Arial" w:hAnsi="Arial" w:cs="Arial" w:hint="cs"/>
          <w:i/>
          <w:iCs/>
          <w:sz w:val="20"/>
          <w:szCs w:val="20"/>
          <w:u w:val="single"/>
          <w:rtl/>
        </w:rPr>
        <w:t xml:space="preserve">– </w:t>
      </w:r>
      <w:r w:rsidRPr="00DD5528">
        <w:rPr>
          <w:rFonts w:ascii="Arial" w:hAnsi="Arial" w:cs="Arial"/>
          <w:i/>
          <w:iCs/>
          <w:sz w:val="20"/>
          <w:szCs w:val="20"/>
          <w:u w:val="single"/>
          <w:rtl/>
        </w:rPr>
        <w:t xml:space="preserve">חלקית </w:t>
      </w:r>
      <w:r>
        <w:rPr>
          <w:rFonts w:ascii="Arial" w:hAnsi="Arial" w:cs="Arial" w:hint="cs"/>
          <w:i/>
          <w:iCs/>
          <w:sz w:val="20"/>
          <w:szCs w:val="20"/>
          <w:u w:val="single"/>
          <w:rtl/>
        </w:rPr>
        <w:t xml:space="preserve">– </w:t>
      </w:r>
      <w:r w:rsidRPr="00DD5528">
        <w:rPr>
          <w:rFonts w:ascii="Arial" w:hAnsi="Arial" w:cs="Arial"/>
          <w:i/>
          <w:iCs/>
          <w:sz w:val="20"/>
          <w:szCs w:val="20"/>
          <w:u w:val="single"/>
          <w:rtl/>
        </w:rPr>
        <w:t xml:space="preserve">מזו של </w:t>
      </w:r>
      <w:r w:rsidRPr="00DD5528">
        <w:rPr>
          <w:rFonts w:ascii="Arial" w:hAnsi="Arial" w:cs="Arial"/>
          <w:b/>
          <w:bCs/>
          <w:i/>
          <w:iCs/>
          <w:sz w:val="20"/>
          <w:szCs w:val="20"/>
          <w:u w:val="single"/>
          <w:rtl/>
        </w:rPr>
        <w:t>מטר</w:t>
      </w:r>
      <w:r w:rsidRPr="00DD5528">
        <w:rPr>
          <w:rFonts w:ascii="Arial" w:hAnsi="Arial" w:cs="Arial"/>
          <w:i/>
          <w:iCs/>
          <w:sz w:val="20"/>
          <w:szCs w:val="20"/>
          <w:u w:val="single"/>
          <w:rtl/>
        </w:rPr>
        <w:t>?</w:t>
      </w:r>
    </w:p>
    <w:p w:rsidR="00241BC2" w:rsidRPr="006F2584" w:rsidRDefault="00241BC2" w:rsidP="00241BC2">
      <w:pPr>
        <w:pStyle w:val="Ruller41"/>
        <w:spacing w:line="240" w:lineRule="auto"/>
        <w:rPr>
          <w:rFonts w:ascii="Arial" w:hAnsi="Arial"/>
          <w:szCs w:val="22"/>
          <w:rtl/>
        </w:rPr>
      </w:pPr>
    </w:p>
    <w:p w:rsidR="00241BC2" w:rsidRPr="006F2584" w:rsidRDefault="00241BC2" w:rsidP="00241BC2">
      <w:pPr>
        <w:pStyle w:val="Ruller41"/>
        <w:spacing w:line="240" w:lineRule="auto"/>
        <w:rPr>
          <w:szCs w:val="22"/>
          <w:rtl/>
        </w:rPr>
      </w:pPr>
      <w:r w:rsidRPr="006F2584">
        <w:rPr>
          <w:rFonts w:hint="cs"/>
          <w:szCs w:val="22"/>
          <w:rtl/>
        </w:rPr>
        <w:t>ד.</w:t>
      </w:r>
      <w:r w:rsidRPr="006F2584">
        <w:rPr>
          <w:rFonts w:hint="cs"/>
          <w:szCs w:val="22"/>
          <w:rtl/>
        </w:rPr>
        <w:tab/>
        <w:t xml:space="preserve">למחרת, 11.11.04, פנה היועץ המשפטי (החיצוני) של העירייה למשרד הפנים בטענה שאצילת הסמכויות עומדת במבחן הדין. </w:t>
      </w:r>
      <w:r w:rsidRPr="006F2584">
        <w:rPr>
          <w:rFonts w:hint="cs"/>
          <w:szCs w:val="22"/>
          <w:highlight w:val="yellow"/>
          <w:rtl/>
        </w:rPr>
        <w:t xml:space="preserve">בתשובתו מיום 18.11.04 כתב מר אמונה </w:t>
      </w:r>
      <w:r>
        <w:rPr>
          <w:rFonts w:hint="cs"/>
          <w:szCs w:val="22"/>
          <w:highlight w:val="yellow"/>
          <w:rtl/>
        </w:rPr>
        <w:t xml:space="preserve">{ממשרד הפנים} </w:t>
      </w:r>
      <w:r w:rsidRPr="006F2584">
        <w:rPr>
          <w:rFonts w:hint="cs"/>
          <w:szCs w:val="22"/>
          <w:highlight w:val="yellow"/>
          <w:rtl/>
        </w:rPr>
        <w:t>כלהלן:</w:t>
      </w:r>
      <w:r w:rsidRPr="006F2584">
        <w:rPr>
          <w:rFonts w:hint="cs"/>
          <w:szCs w:val="22"/>
          <w:rtl/>
        </w:rPr>
        <w:t xml:space="preserve"> </w:t>
      </w:r>
    </w:p>
    <w:p w:rsidR="00241BC2" w:rsidRPr="006F2584" w:rsidRDefault="00241BC2" w:rsidP="00241BC2">
      <w:pPr>
        <w:pStyle w:val="Ruller50"/>
        <w:ind w:left="1104" w:right="426"/>
        <w:rPr>
          <w:szCs w:val="22"/>
          <w:rtl/>
        </w:rPr>
      </w:pPr>
      <w:r w:rsidRPr="006F2584">
        <w:rPr>
          <w:rFonts w:hint="cs"/>
          <w:szCs w:val="22"/>
          <w:rtl/>
        </w:rPr>
        <w:t>"להלן תשובתי לבעיית בחירת הסגנים בעיר הכרמל.</w:t>
      </w:r>
    </w:p>
    <w:p w:rsidR="00241BC2" w:rsidRPr="006F2584" w:rsidRDefault="00241BC2" w:rsidP="00241BC2">
      <w:pPr>
        <w:pStyle w:val="Ruller50"/>
        <w:ind w:left="1104" w:right="426"/>
        <w:rPr>
          <w:szCs w:val="22"/>
          <w:rtl/>
        </w:rPr>
      </w:pPr>
      <w:r w:rsidRPr="006F2584">
        <w:rPr>
          <w:rFonts w:hint="cs"/>
          <w:szCs w:val="22"/>
          <w:rtl/>
        </w:rPr>
        <w:t xml:space="preserve">1.     מבדיקת פרוטוקול מליאת המועצה מתברר לנו </w:t>
      </w:r>
      <w:r w:rsidRPr="003C6242">
        <w:rPr>
          <w:rFonts w:hint="cs"/>
          <w:szCs w:val="22"/>
          <w:highlight w:val="yellow"/>
          <w:rtl/>
        </w:rPr>
        <w:t>כי נבחרו 5 סגנים בניגוד ל</w:t>
      </w:r>
      <w:hyperlink r:id="rId359" w:history="1">
        <w:r w:rsidRPr="003C6242">
          <w:rPr>
            <w:color w:val="0000FF"/>
            <w:szCs w:val="22"/>
            <w:highlight w:val="yellow"/>
            <w:u w:val="single"/>
            <w:rtl/>
          </w:rPr>
          <w:t>חוק הרשויות המקומיות</w:t>
        </w:r>
      </w:hyperlink>
      <w:r w:rsidRPr="003C6242">
        <w:rPr>
          <w:rFonts w:hint="cs"/>
          <w:szCs w:val="22"/>
          <w:highlight w:val="yellow"/>
          <w:rtl/>
        </w:rPr>
        <w:t xml:space="preserve"> (בחירת ראש רשות וסגניו) התשל"ה-1975.</w:t>
      </w:r>
      <w:r w:rsidRPr="006F2584">
        <w:rPr>
          <w:rFonts w:hint="cs"/>
          <w:szCs w:val="22"/>
          <w:rtl/>
        </w:rPr>
        <w:t xml:space="preserve"> בחירת הסגנים נוגדים את הכללים ולכן אין אנו מכירים בכהונתם מתחילת הקדנציה. הערותינו הנ"ל נמסרו למועצה כבר ביוני 2004, אך ללא תגובה.</w:t>
      </w:r>
    </w:p>
    <w:p w:rsidR="00241BC2" w:rsidRPr="006F2584" w:rsidRDefault="00241BC2" w:rsidP="00241BC2">
      <w:pPr>
        <w:pStyle w:val="Ruller50"/>
        <w:ind w:left="1104" w:right="426"/>
        <w:rPr>
          <w:szCs w:val="22"/>
          <w:rtl/>
        </w:rPr>
      </w:pPr>
      <w:r w:rsidRPr="006F2584">
        <w:rPr>
          <w:rFonts w:hint="cs"/>
          <w:szCs w:val="22"/>
          <w:rtl/>
        </w:rPr>
        <w:t xml:space="preserve">2.     </w:t>
      </w:r>
      <w:r w:rsidRPr="003C6242">
        <w:rPr>
          <w:rFonts w:hint="cs"/>
          <w:szCs w:val="22"/>
          <w:highlight w:val="yellow"/>
          <w:rtl/>
        </w:rPr>
        <w:t>על-מנת לתקן את המצב, יש לכנס את מליאת המועצה ולבחור סגנים עפ"י החוק. דהיינו, בחירת סגן ממלא מקום לפי סעיף 14 ו-2 סגנים עפ"י סעיף 15</w:t>
      </w:r>
      <w:r w:rsidRPr="006F2584">
        <w:rPr>
          <w:rFonts w:hint="cs"/>
          <w:szCs w:val="22"/>
          <w:rtl/>
        </w:rPr>
        <w:t xml:space="preserve">. משרדנו, לאור האיחוד של המועצות המקומיות דאלית אל כרמל ועוספיה, </w:t>
      </w:r>
      <w:r w:rsidRPr="003C6242">
        <w:rPr>
          <w:rFonts w:hint="cs"/>
          <w:szCs w:val="22"/>
          <w:highlight w:val="yellow"/>
          <w:rtl/>
        </w:rPr>
        <w:t>יהא מוכן לשקול ולאשר את האצלת הסמכויות רטרואקטיבית עם תיקון האמור לעיל</w:t>
      </w:r>
      <w:r w:rsidRPr="006F2584">
        <w:rPr>
          <w:rFonts w:hint="cs"/>
          <w:szCs w:val="22"/>
          <w:rtl/>
        </w:rPr>
        <w:t xml:space="preserve">". </w:t>
      </w:r>
    </w:p>
    <w:p w:rsidR="00241BC2" w:rsidRPr="006F2584" w:rsidRDefault="00241BC2" w:rsidP="00241BC2">
      <w:pPr>
        <w:pStyle w:val="Ruller41"/>
        <w:spacing w:after="120" w:line="240" w:lineRule="auto"/>
        <w:rPr>
          <w:szCs w:val="22"/>
          <w:rtl/>
        </w:rPr>
      </w:pPr>
      <w:r w:rsidRPr="006F2584">
        <w:rPr>
          <w:rFonts w:hint="cs"/>
          <w:szCs w:val="22"/>
          <w:rtl/>
        </w:rPr>
        <w:t>ניתן ליבנו למכתב זה, שעמד במוקד חלק מן המחלוקת.</w:t>
      </w:r>
      <w:r>
        <w:rPr>
          <w:rFonts w:hint="cs"/>
          <w:szCs w:val="22"/>
          <w:rtl/>
        </w:rPr>
        <w:t xml:space="preserve"> [...]</w:t>
      </w:r>
    </w:p>
    <w:p w:rsidR="00241BC2" w:rsidRPr="00F52FAB" w:rsidRDefault="00241BC2" w:rsidP="00241BC2">
      <w:pPr>
        <w:pStyle w:val="Ruller41"/>
        <w:spacing w:after="120" w:line="240" w:lineRule="auto"/>
        <w:rPr>
          <w:szCs w:val="22"/>
          <w:highlight w:val="yellow"/>
          <w:rtl/>
        </w:rPr>
      </w:pPr>
      <w:r w:rsidRPr="00F52FAB">
        <w:rPr>
          <w:rFonts w:hint="cs"/>
          <w:szCs w:val="22"/>
          <w:rtl/>
        </w:rPr>
        <w:t>כ"ד.</w:t>
      </w:r>
      <w:r w:rsidRPr="00F52FAB">
        <w:rPr>
          <w:rFonts w:hint="cs"/>
          <w:szCs w:val="22"/>
          <w:rtl/>
        </w:rPr>
        <w:tab/>
        <w:t xml:space="preserve">בנידון דידן, החובה הבסיסית כשלעצמה לנהל את ענייני העיריה כדין היתה מוטלת על ראש העיר ועל מועצת העיריה, לא על המדינה. המדינה פועלת כמפקחת. </w:t>
      </w:r>
      <w:r w:rsidRPr="004276FE">
        <w:rPr>
          <w:rFonts w:hint="cs"/>
          <w:szCs w:val="22"/>
          <w:highlight w:val="yellow"/>
          <w:rtl/>
        </w:rPr>
        <w:t>מכתבו של מר אמונה נכתב במסגרת תפקידו הפיקוחי. הבטחה מינהלית, בודאי במלוא מובן המלה, לא היתה כאן.</w:t>
      </w:r>
      <w:r w:rsidRPr="00F52FAB">
        <w:rPr>
          <w:rFonts w:hint="cs"/>
          <w:szCs w:val="22"/>
          <w:rtl/>
        </w:rPr>
        <w:t xml:space="preserve"> ראשית, באופן פורמלי לא היה מר אמונה המוסמך אלא דרגים שמעליו, מנכ"ל ושר; אמת ונכון, הוא פקיד בכיר, ואין לראות את מכתבו כמשחק ילדים או כהבל פה וכאדוה על פני המים. </w:t>
      </w:r>
      <w:r w:rsidRPr="00F52FAB">
        <w:rPr>
          <w:rFonts w:hint="cs"/>
          <w:szCs w:val="22"/>
          <w:highlight w:val="yellow"/>
          <w:rtl/>
        </w:rPr>
        <w:t xml:space="preserve">אך לא הייתי מייחס דווקא להיעדר הסמכות הפורמלית משקל רב, ולא זו עיקר: </w:t>
      </w:r>
      <w:r w:rsidRPr="00F62EE5">
        <w:rPr>
          <w:rFonts w:hint="cs"/>
          <w:szCs w:val="22"/>
          <w:rtl/>
        </w:rPr>
        <w:t xml:space="preserve">העיקר הוא </w:t>
      </w:r>
      <w:r w:rsidRPr="00F52FAB">
        <w:rPr>
          <w:rFonts w:hint="cs"/>
          <w:szCs w:val="22"/>
          <w:highlight w:val="yellow"/>
          <w:rtl/>
        </w:rPr>
        <w:t>שהמכתב נוסח לא בלשון הבטחה שלמה לאשר את התשלום, אלא הבטחה "לשקול ולאשר", ועל כן לא היתה זו הבטחה "אופרטיבית" במובן תוצאתה – אישור שכר רטרואקטיבי. הוא יכול היה להיות מנוסח אחרת, בזהירות רבה יותר, כדי להסיר ספק; "חכמים היזהרו בדבריכם". אי אפשר להניח שמקבל מכתב כמו זה שכתב מר אמונה, פקיד בכיר על פי תארו ועיסוקו, מבטל מכתב כזה ואינו רואהו כמסמך רציני. על כן גם אם לא הגיע המכתב לדרגת הבטחה מינהלית על פי תוכנו ובזיקה לתנאים שנקבעו בפסיקה, הוא מצדיק – בין השאר – לקח; מכתב מעין זה ראוי שינוסח בייעוץ משפטי, אם כי גם ייעוץ משפטי עלול לטעות. מכל מקום, סבורני כי יש לייחס לו משקל מסוים במכלול, במובן התנהגותן של הרשויות זו כלפי זו.</w:t>
      </w:r>
    </w:p>
    <w:p w:rsidR="00241BC2" w:rsidRPr="00F52FAB" w:rsidRDefault="00241BC2" w:rsidP="00241BC2">
      <w:pPr>
        <w:pStyle w:val="Ruller41"/>
        <w:spacing w:after="120" w:line="240" w:lineRule="auto"/>
        <w:rPr>
          <w:szCs w:val="22"/>
          <w:rtl/>
        </w:rPr>
      </w:pPr>
      <w:r w:rsidRPr="00F52FAB">
        <w:rPr>
          <w:rFonts w:hint="cs"/>
          <w:szCs w:val="22"/>
          <w:highlight w:val="yellow"/>
          <w:rtl/>
        </w:rPr>
        <w:t>כ"ה.</w:t>
      </w:r>
      <w:r w:rsidRPr="00F52FAB">
        <w:rPr>
          <w:rFonts w:hint="cs"/>
          <w:szCs w:val="22"/>
          <w:highlight w:val="yellow"/>
          <w:rtl/>
        </w:rPr>
        <w:tab/>
        <w:t xml:space="preserve">כאמור, עמוד הענן ועמוד האש לפני משרד הפנים, הוא החוק ועמו פרשנות הפסיקה. לענייננו </w:t>
      </w:r>
      <w:r w:rsidRPr="00F52FAB">
        <w:rPr>
          <w:rFonts w:ascii="Times New Roman" w:hAnsi="Times New Roman" w:hint="cs"/>
          <w:spacing w:val="0"/>
          <w:szCs w:val="22"/>
          <w:highlight w:val="yellow"/>
          <w:rtl/>
        </w:rPr>
        <w:t>דנג"צ מטר</w:t>
      </w:r>
      <w:r w:rsidRPr="00F52FAB">
        <w:rPr>
          <w:rFonts w:hint="cs"/>
          <w:szCs w:val="22"/>
          <w:highlight w:val="yellow"/>
          <w:rtl/>
        </w:rPr>
        <w:t>; ולא בכדי קבע המחוקק את שקבע, לא בכדי פסקה הפסיקה את שפסקה. ואף מבקרת העיריה התריעה באופן מסוים, והיא גוף אובייקטיבי שיש לייחס לדעתו משקל מסוים, אם גם לא משקל מכריע, כפי שציינה אף באת כוח המדינה בפנינו.</w:t>
      </w:r>
    </w:p>
    <w:p w:rsidR="00241BC2" w:rsidRPr="00F52FAB" w:rsidRDefault="00241BC2" w:rsidP="00241BC2">
      <w:pPr>
        <w:pStyle w:val="Ruller41"/>
        <w:spacing w:after="120" w:line="240" w:lineRule="auto"/>
        <w:rPr>
          <w:szCs w:val="22"/>
          <w:rtl/>
        </w:rPr>
      </w:pPr>
      <w:r w:rsidRPr="00F52FAB">
        <w:rPr>
          <w:rFonts w:hint="cs"/>
          <w:szCs w:val="22"/>
          <w:rtl/>
        </w:rPr>
        <w:t>כ"ו.</w:t>
      </w:r>
      <w:r w:rsidRPr="00F52FAB">
        <w:rPr>
          <w:rFonts w:hint="cs"/>
          <w:szCs w:val="22"/>
          <w:rtl/>
        </w:rPr>
        <w:tab/>
        <w:t xml:space="preserve">ועם זאת ברי כי גם בתפקוד משרד הפנים וגורמים נוספים בנידון דידן, הגם שעיקר החובה מוטל על העיריה, נפלו ליקויים. דיברנו כבר בבעייתיות מכתב מר אמונה. מעבר לכך, </w:t>
      </w:r>
      <w:r w:rsidRPr="00F52FAB">
        <w:rPr>
          <w:rFonts w:hint="cs"/>
          <w:szCs w:val="22"/>
          <w:highlight w:val="yellow"/>
          <w:rtl/>
        </w:rPr>
        <w:t>פרוטוקול הדיון מיום 22.12.03 בו מונו העותרים באופן פגום, הועבר לממונה על המחוז, וכן לממונה על הרשויות המקומיות במשרד הפנים ואף למשרד מבקר המדינה, ללא שבאו הערות מצדם</w:t>
      </w:r>
      <w:r w:rsidRPr="00F52FAB">
        <w:rPr>
          <w:rFonts w:hint="cs"/>
          <w:szCs w:val="22"/>
          <w:rtl/>
        </w:rPr>
        <w:t xml:space="preserve">. ועוד, </w:t>
      </w:r>
      <w:r w:rsidRPr="00F52FAB">
        <w:rPr>
          <w:rFonts w:hint="cs"/>
          <w:szCs w:val="22"/>
          <w:highlight w:val="yellow"/>
          <w:rtl/>
        </w:rPr>
        <w:t>החשב המלוה שילם את משכורתם של העותרים מבלי שנשאלו שאלות באשר לאסמכתא</w:t>
      </w:r>
      <w:r w:rsidRPr="00F52FAB">
        <w:rPr>
          <w:rFonts w:hint="cs"/>
          <w:szCs w:val="22"/>
          <w:rtl/>
        </w:rPr>
        <w:t xml:space="preserve">. לא למותר לציין, כי </w:t>
      </w:r>
      <w:r w:rsidRPr="00F52FAB">
        <w:rPr>
          <w:rFonts w:hint="cs"/>
          <w:szCs w:val="22"/>
          <w:highlight w:val="yellow"/>
          <w:rtl/>
        </w:rPr>
        <w:t>גם יועצה המשפטי (החיצוני) של העיריה לא העמיד דברים על מכונם ואף הגן בהתכתבות על ההליכים כפי שהיו</w:t>
      </w:r>
      <w:r w:rsidRPr="00F52FAB">
        <w:rPr>
          <w:rFonts w:hint="cs"/>
          <w:szCs w:val="22"/>
          <w:rtl/>
        </w:rPr>
        <w:t xml:space="preserve">, ושברי כי לא היו כתקנם על פי </w:t>
      </w:r>
      <w:r w:rsidRPr="00F52FAB">
        <w:rPr>
          <w:rFonts w:ascii="Times New Roman" w:hAnsi="Times New Roman" w:hint="cs"/>
          <w:spacing w:val="0"/>
          <w:szCs w:val="22"/>
          <w:rtl/>
        </w:rPr>
        <w:t>דנג"צ מטר</w:t>
      </w:r>
      <w:r w:rsidRPr="00F52FAB">
        <w:rPr>
          <w:rFonts w:hint="cs"/>
          <w:szCs w:val="22"/>
          <w:rtl/>
        </w:rPr>
        <w:t xml:space="preserve">. </w:t>
      </w:r>
      <w:r w:rsidRPr="00F52FAB">
        <w:rPr>
          <w:rFonts w:hint="cs"/>
          <w:szCs w:val="22"/>
          <w:highlight w:val="yellow"/>
          <w:rtl/>
        </w:rPr>
        <w:t>גם מכתב מאת מר אמונה מיום 3.6.04 בענין מספר הסגנים, קדם בחמישה חודשים למכתב הנוגע לשכר – ולא נדרש, כאמור, לנושא השכר</w:t>
      </w:r>
      <w:r w:rsidRPr="00F52FAB">
        <w:rPr>
          <w:rFonts w:hint="cs"/>
          <w:szCs w:val="22"/>
          <w:rtl/>
        </w:rPr>
        <w:t xml:space="preserve">. ולבסוף, </w:t>
      </w:r>
      <w:r w:rsidRPr="00F52FAB">
        <w:rPr>
          <w:rFonts w:hint="cs"/>
          <w:szCs w:val="22"/>
          <w:highlight w:val="yellow"/>
          <w:rtl/>
        </w:rPr>
        <w:t>ההחלטה בשימוע שנערך נמסרה רק לאחר כשנה וחודשיים – עמדות העותרים הוגשה בחודש מארס 2005; והכרעת המנכ"ל ניתנה בחודש מאי 2006</w:t>
      </w:r>
      <w:r w:rsidRPr="00F52FAB">
        <w:rPr>
          <w:rFonts w:hint="cs"/>
          <w:szCs w:val="22"/>
          <w:rtl/>
        </w:rPr>
        <w:t>, וזאת אף שחוות הדעת המשפטית במשרד הפנים, שהיתה ביסוד החלטתו של המנכ"ל, ניתנה עוד בפברואר 2006. אמנם ניתן הסבר חלקי לאמור בכך שחוות הדעת הרלבנטית הושלמה עוד בספטמבר 2005 (גם זאת מחצית שנה לאחר הפניה), אך משפנתה מבקרת העיריה וציינה כי התריעה בזמן אמת, ניתנה חוות הדעת רק בפברואר 2006. אולם לוחות הזמנים בכל מקרה מרווחים הרבה מדי.</w:t>
      </w:r>
    </w:p>
    <w:p w:rsidR="00241BC2" w:rsidRPr="00F52FAB" w:rsidRDefault="00241BC2" w:rsidP="00241BC2">
      <w:pPr>
        <w:spacing w:after="120"/>
        <w:rPr>
          <w:rFonts w:cs="FrankRuehl"/>
          <w:sz w:val="22"/>
          <w:szCs w:val="22"/>
          <w:rtl/>
        </w:rPr>
      </w:pPr>
      <w:r w:rsidRPr="00F52FAB">
        <w:rPr>
          <w:rFonts w:cs="FrankRuehl" w:hint="cs"/>
          <w:sz w:val="22"/>
          <w:szCs w:val="22"/>
          <w:rtl/>
        </w:rPr>
        <w:t>כ"ז.</w:t>
      </w:r>
      <w:r w:rsidRPr="00F52FAB">
        <w:rPr>
          <w:rFonts w:cs="FrankRuehl" w:hint="cs"/>
          <w:sz w:val="22"/>
          <w:szCs w:val="22"/>
          <w:rtl/>
        </w:rPr>
        <w:tab/>
      </w:r>
      <w:r w:rsidRPr="00F52FAB">
        <w:rPr>
          <w:rFonts w:cs="FrankRuehl" w:hint="cs"/>
          <w:sz w:val="22"/>
          <w:szCs w:val="22"/>
          <w:highlight w:val="yellow"/>
          <w:rtl/>
        </w:rPr>
        <w:t>משקלם המצטבר של כל אלה מצדיק התחשבות מסוימת בעותרים.</w:t>
      </w:r>
      <w:r w:rsidRPr="00F52FAB">
        <w:rPr>
          <w:rFonts w:cs="FrankRuehl" w:hint="cs"/>
          <w:sz w:val="22"/>
          <w:szCs w:val="22"/>
          <w:rtl/>
        </w:rPr>
        <w:t xml:space="preserve"> [...]</w:t>
      </w:r>
    </w:p>
    <w:p w:rsidR="00241BC2" w:rsidRPr="00F52FAB" w:rsidRDefault="00241BC2" w:rsidP="00241BC2">
      <w:pPr>
        <w:pStyle w:val="Ruller41"/>
        <w:spacing w:after="120" w:line="240" w:lineRule="auto"/>
        <w:rPr>
          <w:rFonts w:ascii="Times New Roman" w:hAnsi="Times New Roman"/>
          <w:szCs w:val="22"/>
          <w:rtl/>
        </w:rPr>
      </w:pPr>
      <w:r w:rsidRPr="00F52FAB">
        <w:rPr>
          <w:rFonts w:ascii="Times New Roman" w:hAnsi="Times New Roman" w:hint="cs"/>
          <w:szCs w:val="22"/>
          <w:rtl/>
        </w:rPr>
        <w:t>כ"ט.</w:t>
      </w:r>
      <w:r w:rsidRPr="00F52FAB">
        <w:rPr>
          <w:rFonts w:ascii="Times New Roman" w:hAnsi="Times New Roman" w:hint="cs"/>
          <w:szCs w:val="22"/>
          <w:rtl/>
        </w:rPr>
        <w:tab/>
      </w:r>
      <w:r w:rsidRPr="006F2584">
        <w:rPr>
          <w:rFonts w:ascii="Times New Roman" w:hAnsi="Times New Roman" w:hint="cs"/>
          <w:szCs w:val="22"/>
          <w:rtl/>
        </w:rPr>
        <w:t>ראו בשינויים המחויבים, לענין "</w:t>
      </w:r>
      <w:r w:rsidRPr="00F62EE5">
        <w:rPr>
          <w:rFonts w:ascii="Times New Roman" w:hAnsi="Times New Roman" w:hint="cs"/>
          <w:szCs w:val="22"/>
          <w:highlight w:val="yellow"/>
          <w:rtl/>
        </w:rPr>
        <w:t xml:space="preserve">השבה ממותנת" בהקשרים אחרים של רשויות מקומיות, גם תוך שימוש בדוקטרינה של הבטלות היחסית, </w:t>
      </w:r>
      <w:hyperlink r:id="rId360" w:history="1">
        <w:r w:rsidRPr="00F62EE5">
          <w:rPr>
            <w:rFonts w:ascii="Times New Roman" w:hAnsi="Times New Roman"/>
            <w:color w:val="0000FF"/>
            <w:szCs w:val="22"/>
            <w:highlight w:val="yellow"/>
            <w:u w:val="single"/>
            <w:rtl/>
          </w:rPr>
          <w:t>ע"א 6705/04</w:t>
        </w:r>
      </w:hyperlink>
      <w:r w:rsidRPr="00F62EE5">
        <w:rPr>
          <w:rFonts w:ascii="Times New Roman" w:hAnsi="Times New Roman" w:hint="cs"/>
          <w:szCs w:val="22"/>
          <w:highlight w:val="yellow"/>
          <w:rtl/>
        </w:rPr>
        <w:t xml:space="preserve"> </w:t>
      </w:r>
      <w:r w:rsidRPr="00F62EE5">
        <w:rPr>
          <w:rFonts w:ascii="Times New Roman" w:hAnsi="Times New Roman" w:hint="cs"/>
          <w:spacing w:val="0"/>
          <w:szCs w:val="22"/>
          <w:highlight w:val="yellow"/>
          <w:rtl/>
        </w:rPr>
        <w:t>בית הרכב בע"מ נ' עירית ירושלים</w:t>
      </w:r>
      <w:r w:rsidRPr="006F2584">
        <w:rPr>
          <w:rFonts w:ascii="Times New Roman" w:hAnsi="Times New Roman" w:hint="cs"/>
          <w:szCs w:val="22"/>
          <w:rtl/>
        </w:rPr>
        <w:t xml:space="preserve"> (לא פורסם) (השופטת נאור); </w:t>
      </w:r>
      <w:hyperlink r:id="rId361" w:history="1">
        <w:r w:rsidRPr="006F2584">
          <w:rPr>
            <w:rFonts w:ascii="Times New Roman" w:hAnsi="Times New Roman"/>
            <w:color w:val="0000FF"/>
            <w:szCs w:val="22"/>
            <w:u w:val="single"/>
            <w:rtl/>
          </w:rPr>
          <w:t>רע"א 10565/07</w:t>
        </w:r>
      </w:hyperlink>
      <w:r w:rsidRPr="006F2584">
        <w:rPr>
          <w:rFonts w:ascii="Times New Roman" w:hAnsi="Times New Roman" w:hint="cs"/>
          <w:szCs w:val="22"/>
          <w:rtl/>
        </w:rPr>
        <w:t xml:space="preserve"> </w:t>
      </w:r>
      <w:r w:rsidRPr="006F2584">
        <w:rPr>
          <w:rFonts w:ascii="Times New Roman" w:hAnsi="Times New Roman" w:hint="cs"/>
          <w:spacing w:val="0"/>
          <w:szCs w:val="22"/>
          <w:rtl/>
        </w:rPr>
        <w:t xml:space="preserve">עיריית עיר הכרמל (המועצה המקומית עוספיה) נ' עו"ד זכי כמאל </w:t>
      </w:r>
      <w:r w:rsidRPr="006F2584">
        <w:rPr>
          <w:rFonts w:ascii="Times New Roman" w:hAnsi="Times New Roman" w:hint="cs"/>
          <w:szCs w:val="22"/>
          <w:rtl/>
        </w:rPr>
        <w:t>(לא פורסם)</w:t>
      </w:r>
      <w:r>
        <w:rPr>
          <w:rFonts w:ascii="Times New Roman" w:hAnsi="Times New Roman" w:hint="cs"/>
          <w:szCs w:val="22"/>
          <w:rtl/>
        </w:rPr>
        <w:t xml:space="preserve"> </w:t>
      </w:r>
      <w:r w:rsidRPr="006F2584">
        <w:rPr>
          <w:rFonts w:ascii="Times New Roman" w:hAnsi="Times New Roman" w:hint="cs"/>
          <w:szCs w:val="22"/>
          <w:rtl/>
        </w:rPr>
        <w:t xml:space="preserve">(השופטת ארבל). </w:t>
      </w:r>
      <w:r w:rsidRPr="000B5A71">
        <w:rPr>
          <w:rFonts w:ascii="Times New Roman" w:hAnsi="Times New Roman" w:hint="cs"/>
          <w:szCs w:val="22"/>
          <w:rtl/>
        </w:rPr>
        <w:t xml:space="preserve">איני מוצא צורך להרחיב כאן בנושאי הבטלות היחסית, </w:t>
      </w:r>
      <w:r w:rsidRPr="00F52FAB">
        <w:rPr>
          <w:rFonts w:ascii="Times New Roman" w:hAnsi="Times New Roman" w:hint="cs"/>
          <w:szCs w:val="22"/>
          <w:highlight w:val="yellow"/>
          <w:rtl/>
        </w:rPr>
        <w:t>שכן סוף דבר שכל הנחלים בענייננו זורמים אל אותו ים, קרי, לפתרון ביניים שיש בו גם תחושת צדק</w:t>
      </w:r>
      <w:r w:rsidRPr="00F52FAB">
        <w:rPr>
          <w:rFonts w:ascii="Times New Roman" w:hAnsi="Times New Roman" w:hint="cs"/>
          <w:szCs w:val="22"/>
          <w:rtl/>
        </w:rPr>
        <w:t>.</w:t>
      </w:r>
    </w:p>
    <w:p w:rsidR="00241BC2" w:rsidRPr="00F52FAB" w:rsidRDefault="00241BC2" w:rsidP="00241BC2">
      <w:pPr>
        <w:pStyle w:val="Ruller41"/>
        <w:spacing w:line="240" w:lineRule="auto"/>
        <w:rPr>
          <w:rFonts w:ascii="Times New Roman" w:hAnsi="Times New Roman"/>
          <w:szCs w:val="22"/>
          <w:rtl/>
        </w:rPr>
      </w:pPr>
      <w:r w:rsidRPr="00F52FAB">
        <w:rPr>
          <w:rFonts w:ascii="Times New Roman" w:hAnsi="Times New Roman" w:hint="cs"/>
          <w:szCs w:val="22"/>
          <w:rtl/>
        </w:rPr>
        <w:t>ל'.</w:t>
      </w:r>
      <w:r w:rsidRPr="00F52FAB">
        <w:rPr>
          <w:rFonts w:ascii="Times New Roman" w:hAnsi="Times New Roman" w:hint="cs"/>
          <w:szCs w:val="22"/>
          <w:rtl/>
        </w:rPr>
        <w:tab/>
      </w:r>
      <w:r w:rsidRPr="00F52FAB">
        <w:rPr>
          <w:rFonts w:ascii="Times New Roman" w:hAnsi="Times New Roman" w:hint="cs"/>
          <w:szCs w:val="22"/>
          <w:highlight w:val="yellow"/>
          <w:rtl/>
        </w:rPr>
        <w:t xml:space="preserve">המצטבר מכל אלה הוא כי יש לכאורה מקום להליכה מסוימת ומוגבלת, לא בלב קל כל עיקר, לקראת העותרים, שלא היה חולק כי שימשו סגני ראש עיר פעילים בתקופה בה שולם שכרם. אכן, אין מקום למלא כל חפצם, נוכח כל הפגמים שנפלו בהתנהלות העיריה, ואף הצו על תנאי שהוצא היה מצומצם לנושא ההשבה. נזכור גם, כי שכרם של העותרים הופחת כאמור. </w:t>
      </w:r>
      <w:r w:rsidRPr="006F2584">
        <w:rPr>
          <w:rFonts w:ascii="Times New Roman" w:hAnsi="Times New Roman" w:hint="cs"/>
          <w:szCs w:val="22"/>
          <w:rtl/>
        </w:rPr>
        <w:t xml:space="preserve">במכלול – </w:t>
      </w:r>
      <w:r w:rsidRPr="00F52FAB">
        <w:rPr>
          <w:rFonts w:ascii="Times New Roman" w:hAnsi="Times New Roman" w:hint="cs"/>
          <w:szCs w:val="22"/>
          <w:highlight w:val="yellow"/>
          <w:rtl/>
        </w:rPr>
        <w:t xml:space="preserve">כשלנגד עינינו מחדלי העותרים מזה וליקויי ההתנהגות הממסדית מזה – נקבע כי </w:t>
      </w:r>
      <w:r w:rsidRPr="00DD5528">
        <w:rPr>
          <w:rFonts w:ascii="Times New Roman" w:hAnsi="Times New Roman" w:hint="cs"/>
          <w:szCs w:val="22"/>
          <w:rtl/>
        </w:rPr>
        <w:t>ההשבה לא תחול על החודשים ינואר-מאי 2004, בטרם נשלחה בראשית יוני 2004 התראתו הראשונה של מר אמונה</w:t>
      </w:r>
      <w:r w:rsidRPr="00F52FAB">
        <w:rPr>
          <w:rFonts w:ascii="Times New Roman" w:hAnsi="Times New Roman" w:hint="cs"/>
          <w:szCs w:val="22"/>
          <w:highlight w:val="yellow"/>
          <w:rtl/>
        </w:rPr>
        <w:t>. יתרת התקופה שבה קיבלו העותרים שכר, נתונה להשבה.</w:t>
      </w:r>
    </w:p>
    <w:p w:rsidR="00241BC2" w:rsidRPr="00F52FAB" w:rsidRDefault="00241BC2" w:rsidP="00241BC2">
      <w:pPr>
        <w:pStyle w:val="Ruller41"/>
        <w:spacing w:line="240" w:lineRule="auto"/>
        <w:rPr>
          <w:rFonts w:ascii="Times New Roman" w:hAnsi="Times New Roman"/>
          <w:szCs w:val="22"/>
          <w:rtl/>
        </w:rPr>
      </w:pPr>
    </w:p>
    <w:p w:rsidR="00241BC2" w:rsidRPr="00753178" w:rsidRDefault="00241BC2" w:rsidP="00241BC2">
      <w:pPr>
        <w:ind w:left="720"/>
        <w:rPr>
          <w:sz w:val="20"/>
          <w:szCs w:val="20"/>
          <w:rtl/>
        </w:rPr>
      </w:pPr>
      <w:r>
        <w:rPr>
          <w:rFonts w:hint="cs"/>
          <w:sz w:val="20"/>
          <w:szCs w:val="20"/>
          <w:rtl/>
        </w:rPr>
        <w:t>=-=</w:t>
      </w:r>
    </w:p>
    <w:p w:rsidR="00241BC2" w:rsidRDefault="00241BC2" w:rsidP="00241BC2">
      <w:pPr>
        <w:rPr>
          <w:rFonts w:cs="David"/>
          <w:sz w:val="20"/>
          <w:szCs w:val="20"/>
          <w:rtl/>
        </w:rPr>
      </w:pPr>
      <w:r w:rsidRPr="00B4532B">
        <w:rPr>
          <w:rFonts w:cs="David" w:hint="cs"/>
          <w:b/>
          <w:bCs/>
          <w:sz w:val="20"/>
          <w:szCs w:val="20"/>
          <w:highlight w:val="green"/>
          <w:u w:val="single"/>
          <w:rtl/>
        </w:rPr>
        <w:t>קריאה לפגישה הקרובה:</w:t>
      </w:r>
      <w:r w:rsidRPr="00753178">
        <w:rPr>
          <w:rFonts w:cs="David" w:hint="cs"/>
          <w:sz w:val="20"/>
          <w:szCs w:val="20"/>
          <w:rtl/>
        </w:rPr>
        <w:t xml:space="preserve"> </w:t>
      </w:r>
      <w:r>
        <w:rPr>
          <w:rFonts w:cs="David" w:hint="cs"/>
          <w:sz w:val="20"/>
          <w:szCs w:val="20"/>
          <w:rtl/>
        </w:rPr>
        <w:t>הסוגיה</w:t>
      </w:r>
      <w:r w:rsidRPr="00753178">
        <w:rPr>
          <w:rFonts w:cs="David" w:hint="cs"/>
          <w:sz w:val="20"/>
          <w:szCs w:val="20"/>
          <w:rtl/>
        </w:rPr>
        <w:t xml:space="preserve"> של </w:t>
      </w:r>
      <w:r w:rsidRPr="001C78B4">
        <w:rPr>
          <w:rFonts w:cs="David" w:hint="cs"/>
          <w:b/>
          <w:bCs/>
          <w:sz w:val="20"/>
          <w:szCs w:val="20"/>
          <w:rtl/>
        </w:rPr>
        <w:t>"פרסום"</w:t>
      </w:r>
      <w:r w:rsidRPr="00753178">
        <w:rPr>
          <w:rFonts w:cs="David" w:hint="cs"/>
          <w:sz w:val="20"/>
          <w:szCs w:val="20"/>
          <w:rtl/>
        </w:rPr>
        <w:t xml:space="preserve"> ו</w:t>
      </w:r>
      <w:r>
        <w:rPr>
          <w:rFonts w:cs="David" w:hint="cs"/>
          <w:sz w:val="20"/>
          <w:szCs w:val="20"/>
          <w:rtl/>
        </w:rPr>
        <w:t xml:space="preserve">המשך הדיון </w:t>
      </w:r>
      <w:r w:rsidRPr="001C78B4">
        <w:rPr>
          <w:rFonts w:cs="David" w:hint="cs"/>
          <w:b/>
          <w:bCs/>
          <w:sz w:val="20"/>
          <w:szCs w:val="20"/>
          <w:rtl/>
        </w:rPr>
        <w:t>ב"הנחיות מינהליות"</w:t>
      </w:r>
      <w:r w:rsidRPr="00753178">
        <w:rPr>
          <w:rFonts w:cs="David" w:hint="cs"/>
          <w:sz w:val="20"/>
          <w:szCs w:val="20"/>
          <w:rtl/>
        </w:rPr>
        <w:t xml:space="preserve">. פסקי הדין של </w:t>
      </w:r>
      <w:r w:rsidRPr="00753178">
        <w:rPr>
          <w:rFonts w:cs="David" w:hint="cs"/>
          <w:b/>
          <w:bCs/>
          <w:sz w:val="20"/>
          <w:szCs w:val="20"/>
          <w:rtl/>
        </w:rPr>
        <w:t xml:space="preserve">אלכסנדרוביץ', </w:t>
      </w:r>
      <w:r>
        <w:rPr>
          <w:rFonts w:cs="David" w:hint="cs"/>
          <w:b/>
          <w:bCs/>
          <w:sz w:val="20"/>
          <w:szCs w:val="20"/>
          <w:rtl/>
        </w:rPr>
        <w:t>לוזון</w:t>
      </w:r>
      <w:r>
        <w:rPr>
          <w:rFonts w:cs="David" w:hint="cs"/>
          <w:sz w:val="20"/>
          <w:szCs w:val="20"/>
          <w:rtl/>
        </w:rPr>
        <w:t xml:space="preserve"> (הפסקאות שאליהן הופנתם)</w:t>
      </w:r>
      <w:r w:rsidRPr="00753178">
        <w:rPr>
          <w:rFonts w:cs="David" w:hint="cs"/>
          <w:sz w:val="20"/>
          <w:szCs w:val="20"/>
          <w:rtl/>
        </w:rPr>
        <w:t xml:space="preserve">. </w:t>
      </w:r>
    </w:p>
    <w:p w:rsidR="00241BC2" w:rsidRDefault="00241BC2" w:rsidP="00241BC2">
      <w:pPr>
        <w:ind w:left="720"/>
        <w:rPr>
          <w:rFonts w:cs="David"/>
          <w:sz w:val="20"/>
          <w:szCs w:val="20"/>
          <w:rtl/>
        </w:rPr>
      </w:pPr>
      <w:r w:rsidRPr="00753178">
        <w:rPr>
          <w:rFonts w:cs="David" w:hint="cs"/>
          <w:sz w:val="20"/>
          <w:szCs w:val="20"/>
          <w:rtl/>
        </w:rPr>
        <w:t>מהם תווי ההיכר של "תקנות בנות פועל תחיקתי"</w:t>
      </w:r>
      <w:r>
        <w:rPr>
          <w:rFonts w:cs="David" w:hint="cs"/>
          <w:sz w:val="20"/>
          <w:szCs w:val="20"/>
          <w:rtl/>
        </w:rPr>
        <w:t xml:space="preserve"> </w:t>
      </w:r>
      <w:r>
        <w:rPr>
          <w:rFonts w:cs="David"/>
          <w:sz w:val="20"/>
          <w:szCs w:val="20"/>
          <w:rtl/>
        </w:rPr>
        <w:t>–</w:t>
      </w:r>
      <w:r>
        <w:rPr>
          <w:rFonts w:cs="David" w:hint="cs"/>
          <w:sz w:val="20"/>
          <w:szCs w:val="20"/>
          <w:rtl/>
        </w:rPr>
        <w:t xml:space="preserve"> אלו שבעניינן קמה חובת פרסום</w:t>
      </w:r>
      <w:r w:rsidRPr="00753178">
        <w:rPr>
          <w:rFonts w:cs="David" w:hint="cs"/>
          <w:sz w:val="20"/>
          <w:szCs w:val="20"/>
          <w:rtl/>
        </w:rPr>
        <w:t xml:space="preserve">? </w:t>
      </w:r>
    </w:p>
    <w:p w:rsidR="00241BC2" w:rsidRDefault="00241BC2" w:rsidP="00241BC2">
      <w:pPr>
        <w:ind w:left="720"/>
        <w:rPr>
          <w:rFonts w:cs="David"/>
          <w:sz w:val="20"/>
          <w:szCs w:val="20"/>
          <w:rtl/>
        </w:rPr>
      </w:pPr>
      <w:r w:rsidRPr="00753178">
        <w:rPr>
          <w:rFonts w:cs="David" w:hint="cs"/>
          <w:sz w:val="20"/>
          <w:szCs w:val="20"/>
          <w:rtl/>
        </w:rPr>
        <w:t xml:space="preserve">מה </w:t>
      </w:r>
      <w:r>
        <w:rPr>
          <w:rFonts w:cs="David" w:hint="cs"/>
          <w:sz w:val="20"/>
          <w:szCs w:val="20"/>
          <w:rtl/>
        </w:rPr>
        <w:t xml:space="preserve">חשיבותן של </w:t>
      </w:r>
      <w:r w:rsidRPr="00753178">
        <w:rPr>
          <w:rFonts w:cs="David" w:hint="cs"/>
          <w:sz w:val="20"/>
          <w:szCs w:val="20"/>
          <w:rtl/>
        </w:rPr>
        <w:t>"הנחיות מינהליות"</w:t>
      </w:r>
      <w:r>
        <w:rPr>
          <w:rFonts w:cs="David" w:hint="cs"/>
          <w:sz w:val="20"/>
          <w:szCs w:val="20"/>
          <w:rtl/>
        </w:rPr>
        <w:t xml:space="preserve">?  </w:t>
      </w:r>
    </w:p>
    <w:p w:rsidR="00241BC2" w:rsidRDefault="00241BC2" w:rsidP="00241BC2">
      <w:pPr>
        <w:spacing w:after="120"/>
        <w:ind w:left="720"/>
        <w:rPr>
          <w:sz w:val="20"/>
          <w:szCs w:val="20"/>
          <w:rtl/>
        </w:rPr>
      </w:pPr>
      <w:r>
        <w:rPr>
          <w:rFonts w:cs="David" w:hint="cs"/>
          <w:sz w:val="20"/>
          <w:szCs w:val="20"/>
          <w:rtl/>
        </w:rPr>
        <w:t>במה הן שונות מתקנות בנות פועל תחיקתי</w:t>
      </w:r>
      <w:r w:rsidRPr="00753178">
        <w:rPr>
          <w:rFonts w:cs="David" w:hint="cs"/>
          <w:sz w:val="20"/>
          <w:szCs w:val="20"/>
          <w:rtl/>
        </w:rPr>
        <w:t>?</w:t>
      </w:r>
    </w:p>
    <w:p w:rsidR="00241BC2" w:rsidRDefault="00241BC2" w:rsidP="00241BC2">
      <w:pPr>
        <w:rPr>
          <w:rFonts w:cs="David"/>
          <w:sz w:val="20"/>
          <w:szCs w:val="20"/>
          <w:rtl/>
        </w:rPr>
      </w:pPr>
      <w:r>
        <w:rPr>
          <w:rFonts w:cs="David" w:hint="cs"/>
          <w:sz w:val="20"/>
          <w:szCs w:val="20"/>
          <w:rtl/>
        </w:rPr>
        <w:t xml:space="preserve">כמו כן קראו גם את פס"ד </w:t>
      </w:r>
      <w:r w:rsidRPr="00AB6AC3">
        <w:rPr>
          <w:rFonts w:cs="David" w:hint="cs"/>
          <w:b/>
          <w:bCs/>
          <w:sz w:val="20"/>
          <w:szCs w:val="20"/>
          <w:rtl/>
        </w:rPr>
        <w:t>לביא-גולדשטיין</w:t>
      </w:r>
      <w:r>
        <w:rPr>
          <w:rFonts w:cs="David" w:hint="cs"/>
          <w:sz w:val="20"/>
          <w:szCs w:val="20"/>
          <w:rtl/>
        </w:rPr>
        <w:t xml:space="preserve">, פסקאות 7-1, 40-21. </w:t>
      </w:r>
    </w:p>
    <w:p w:rsidR="00241BC2" w:rsidRDefault="00241BC2" w:rsidP="00241BC2">
      <w:pPr>
        <w:ind w:left="720"/>
        <w:rPr>
          <w:rFonts w:cs="David"/>
          <w:sz w:val="20"/>
          <w:szCs w:val="20"/>
          <w:rtl/>
        </w:rPr>
      </w:pPr>
      <w:r>
        <w:rPr>
          <w:rFonts w:cs="David" w:hint="cs"/>
          <w:sz w:val="20"/>
          <w:szCs w:val="20"/>
          <w:rtl/>
        </w:rPr>
        <w:t xml:space="preserve">מה הכללים בהם דן פסק הדין בכל הנוגע </w:t>
      </w:r>
      <w:r w:rsidRPr="00CD4572">
        <w:rPr>
          <w:rFonts w:cs="David" w:hint="cs"/>
          <w:b/>
          <w:bCs/>
          <w:sz w:val="20"/>
          <w:szCs w:val="20"/>
          <w:rtl/>
        </w:rPr>
        <w:t>ל"תחולה רטרואקטיבית"</w:t>
      </w:r>
      <w:r>
        <w:rPr>
          <w:rFonts w:cs="David" w:hint="cs"/>
          <w:sz w:val="20"/>
          <w:szCs w:val="20"/>
          <w:rtl/>
        </w:rPr>
        <w:t xml:space="preserve"> של פעולת מינהל, ומהו הכלל ביחס לפרסום?</w:t>
      </w:r>
    </w:p>
    <w:p w:rsidR="00241BC2" w:rsidRDefault="00241BC2" w:rsidP="00241BC2">
      <w:pPr>
        <w:rPr>
          <w:rFonts w:cs="David"/>
          <w:sz w:val="20"/>
          <w:szCs w:val="20"/>
          <w:rtl/>
        </w:rPr>
      </w:pPr>
      <w:r>
        <w:rPr>
          <w:rFonts w:cs="David" w:hint="cs"/>
          <w:sz w:val="20"/>
          <w:szCs w:val="20"/>
          <w:rtl/>
        </w:rPr>
        <w:t xml:space="preserve">ואנא שובו גם לשני סעיפים בפסק הדין בעניין </w:t>
      </w:r>
      <w:r w:rsidRPr="00CD4572">
        <w:rPr>
          <w:rFonts w:cs="David" w:hint="cs"/>
          <w:b/>
          <w:bCs/>
          <w:sz w:val="20"/>
          <w:szCs w:val="20"/>
          <w:rtl/>
        </w:rPr>
        <w:t>איתנית</w:t>
      </w:r>
      <w:r>
        <w:rPr>
          <w:rFonts w:cs="David" w:hint="cs"/>
          <w:sz w:val="20"/>
          <w:szCs w:val="20"/>
          <w:rtl/>
        </w:rPr>
        <w:t xml:space="preserve"> (הטמנת האסבסט ועיקרון "המזהם ישלם"), שאותו פגשנו בסוף הפרק על החוקה הפורמאלית. קראו את הדפים המטפלים בו בשיעור 18 שלנו, וקראו את סעיפים 37 ו-38 של פסק הדין העוסקים יפה בסוגיית הרטרואקטיביות דרך סוגיה מעט שונה </w:t>
      </w:r>
      <w:r>
        <w:rPr>
          <w:rFonts w:cs="David"/>
          <w:sz w:val="20"/>
          <w:szCs w:val="20"/>
          <w:rtl/>
        </w:rPr>
        <w:t>–</w:t>
      </w:r>
      <w:r>
        <w:rPr>
          <w:rFonts w:cs="David" w:hint="cs"/>
          <w:sz w:val="20"/>
          <w:szCs w:val="20"/>
          <w:rtl/>
        </w:rPr>
        <w:t xml:space="preserve"> של טענה ל"חוק רטרואקטיבי".</w:t>
      </w:r>
    </w:p>
    <w:p w:rsidR="00241BC2" w:rsidRDefault="00241BC2">
      <w:pPr>
        <w:bidi w:val="0"/>
        <w:jc w:val="left"/>
        <w:rPr>
          <w:sz w:val="22"/>
          <w:szCs w:val="22"/>
          <w:rtl/>
        </w:rPr>
      </w:pPr>
      <w:r>
        <w:rPr>
          <w:sz w:val="22"/>
          <w:szCs w:val="22"/>
          <w:rtl/>
        </w:rPr>
        <w:br w:type="page"/>
      </w:r>
    </w:p>
    <w:p w:rsidR="00241BC2" w:rsidRPr="00BE5D67" w:rsidRDefault="00241BC2" w:rsidP="00241BC2">
      <w:pPr>
        <w:spacing w:after="240"/>
        <w:jc w:val="right"/>
        <w:rPr>
          <w:rFonts w:ascii="Arial" w:hAnsi="Arial" w:cs="Arial"/>
          <w:sz w:val="22"/>
          <w:szCs w:val="22"/>
          <w:rtl/>
        </w:rPr>
      </w:pPr>
      <w:r w:rsidRPr="00CA4835">
        <w:rPr>
          <w:rFonts w:hint="cs"/>
          <w:b/>
          <w:bCs/>
          <w:sz w:val="22"/>
          <w:szCs w:val="22"/>
          <w:rtl/>
        </w:rPr>
        <w:t>משפט ציבורי</w:t>
      </w:r>
      <w:r w:rsidRPr="00CA4835">
        <w:rPr>
          <w:rFonts w:hint="cs"/>
          <w:sz w:val="22"/>
          <w:szCs w:val="22"/>
          <w:rtl/>
        </w:rPr>
        <w:t xml:space="preserve">, </w:t>
      </w:r>
      <w:r w:rsidRPr="00CA4835">
        <w:rPr>
          <w:rFonts w:hint="cs"/>
          <w:i/>
          <w:iCs/>
          <w:sz w:val="22"/>
          <w:szCs w:val="22"/>
          <w:rtl/>
        </w:rPr>
        <w:t>תשע</w:t>
      </w:r>
      <w:r>
        <w:rPr>
          <w:rFonts w:hint="cs"/>
          <w:i/>
          <w:iCs/>
          <w:sz w:val="22"/>
          <w:szCs w:val="22"/>
          <w:rtl/>
        </w:rPr>
        <w:t>"ה</w:t>
      </w:r>
      <w:r w:rsidRPr="00CA4835">
        <w:rPr>
          <w:rFonts w:hint="cs"/>
          <w:sz w:val="22"/>
          <w:szCs w:val="22"/>
          <w:rtl/>
        </w:rPr>
        <w:t xml:space="preserve">, </w:t>
      </w:r>
      <w:r w:rsidRPr="00CA4835">
        <w:rPr>
          <w:rFonts w:hint="cs"/>
          <w:b/>
          <w:bCs/>
          <w:sz w:val="22"/>
          <w:szCs w:val="22"/>
          <w:rtl/>
        </w:rPr>
        <w:t>סמסטר א',</w:t>
      </w:r>
      <w:r w:rsidRPr="00CA4835">
        <w:rPr>
          <w:rFonts w:hint="cs"/>
          <w:sz w:val="22"/>
          <w:szCs w:val="22"/>
          <w:rtl/>
        </w:rPr>
        <w:t xml:space="preserve"> ד"ר אילן סבן, </w:t>
      </w:r>
      <w:r>
        <w:rPr>
          <w:rFonts w:hint="cs"/>
          <w:sz w:val="22"/>
          <w:szCs w:val="22"/>
          <w:rtl/>
        </w:rPr>
        <w:t>ינואר</w:t>
      </w:r>
      <w:r w:rsidRPr="00CA4835">
        <w:rPr>
          <w:rFonts w:hint="cs"/>
          <w:sz w:val="22"/>
          <w:szCs w:val="22"/>
          <w:rtl/>
        </w:rPr>
        <w:t xml:space="preserve"> 201</w:t>
      </w:r>
      <w:r>
        <w:rPr>
          <w:rFonts w:hint="cs"/>
          <w:sz w:val="22"/>
          <w:szCs w:val="22"/>
          <w:rtl/>
        </w:rPr>
        <w:t>5</w:t>
      </w:r>
      <w:r w:rsidRPr="00CA4835">
        <w:rPr>
          <w:rFonts w:hint="cs"/>
          <w:sz w:val="22"/>
          <w:szCs w:val="22"/>
          <w:rtl/>
        </w:rPr>
        <w:t xml:space="preserve">, </w:t>
      </w:r>
      <w:r w:rsidRPr="00A12318">
        <w:rPr>
          <w:rFonts w:hint="cs"/>
          <w:b/>
          <w:bCs/>
          <w:i/>
          <w:iCs/>
          <w:sz w:val="22"/>
          <w:szCs w:val="22"/>
          <w:highlight w:val="magenta"/>
          <w:u w:val="single"/>
          <w:rtl/>
        </w:rPr>
        <w:t>פגישה 24</w:t>
      </w:r>
    </w:p>
    <w:p w:rsidR="00241BC2" w:rsidRDefault="00241BC2" w:rsidP="00241BC2">
      <w:pPr>
        <w:spacing w:after="120"/>
        <w:jc w:val="center"/>
        <w:rPr>
          <w:rFonts w:cs="Guttman-Soncino"/>
          <w:b/>
          <w:bCs/>
          <w:sz w:val="32"/>
          <w:szCs w:val="32"/>
          <w:highlight w:val="yellow"/>
          <w:rtl/>
        </w:rPr>
      </w:pPr>
      <w:r>
        <w:rPr>
          <w:rFonts w:cs="Guttman-Soncino" w:hint="cs"/>
          <w:b/>
          <w:bCs/>
          <w:sz w:val="32"/>
          <w:szCs w:val="32"/>
          <w:highlight w:val="yellow"/>
          <w:rtl/>
        </w:rPr>
        <w:t>ההליך המינהלי, המשך</w:t>
      </w:r>
    </w:p>
    <w:p w:rsidR="00241BC2" w:rsidRPr="00034BCD" w:rsidRDefault="00241BC2" w:rsidP="00241BC2">
      <w:pPr>
        <w:spacing w:after="120"/>
        <w:jc w:val="left"/>
        <w:rPr>
          <w:rFonts w:cs="Guttman-Soncino"/>
          <w:b/>
          <w:bCs/>
          <w:sz w:val="32"/>
          <w:szCs w:val="32"/>
          <w:highlight w:val="yellow"/>
          <w:rtl/>
        </w:rPr>
      </w:pPr>
      <w:r>
        <w:rPr>
          <w:rFonts w:cs="Guttman-Soncino" w:hint="cs"/>
          <w:b/>
          <w:bCs/>
          <w:sz w:val="32"/>
          <w:szCs w:val="32"/>
          <w:highlight w:val="yellow"/>
          <w:rtl/>
        </w:rPr>
        <w:t xml:space="preserve">א. </w:t>
      </w:r>
      <w:r w:rsidRPr="00034BCD">
        <w:rPr>
          <w:rFonts w:cs="Guttman-Soncino" w:hint="cs"/>
          <w:b/>
          <w:bCs/>
          <w:sz w:val="32"/>
          <w:szCs w:val="32"/>
          <w:highlight w:val="yellow"/>
          <w:rtl/>
        </w:rPr>
        <w:t>הנחיות מינהליות, המשך</w:t>
      </w:r>
    </w:p>
    <w:p w:rsidR="00241BC2" w:rsidRDefault="00241BC2" w:rsidP="00241BC2">
      <w:pPr>
        <w:spacing w:after="60"/>
        <w:rPr>
          <w:rFonts w:ascii="Arial" w:hAnsi="Arial" w:cs="Arial"/>
          <w:b/>
          <w:bCs/>
          <w:sz w:val="20"/>
          <w:szCs w:val="20"/>
          <w:rtl/>
        </w:rPr>
      </w:pPr>
      <w:r w:rsidRPr="0094268A">
        <w:rPr>
          <w:rFonts w:ascii="Arial" w:hAnsi="Arial" w:cs="Arial"/>
          <w:b/>
          <w:bCs/>
          <w:sz w:val="20"/>
          <w:szCs w:val="20"/>
          <w:highlight w:val="yellow"/>
          <w:rtl/>
        </w:rPr>
        <w:t>האיזון בין החובה לפעול על פי ההנחיות לבין הגמישות היחסית שלהן, שתוארה בדפי הפגישה הקודמת</w:t>
      </w:r>
      <w:r w:rsidRPr="0094268A">
        <w:rPr>
          <w:rFonts w:ascii="Arial" w:hAnsi="Arial" w:cs="Arial" w:hint="cs"/>
          <w:b/>
          <w:bCs/>
          <w:sz w:val="20"/>
          <w:szCs w:val="20"/>
          <w:highlight w:val="yellow"/>
          <w:rtl/>
        </w:rPr>
        <w:t>:</w:t>
      </w:r>
    </w:p>
    <w:p w:rsidR="00241BC2" w:rsidRPr="0094268A" w:rsidRDefault="00241BC2" w:rsidP="00241BC2">
      <w:pPr>
        <w:spacing w:after="60"/>
        <w:ind w:left="720"/>
        <w:rPr>
          <w:b/>
          <w:bCs/>
          <w:sz w:val="20"/>
          <w:szCs w:val="20"/>
          <w:rtl/>
        </w:rPr>
      </w:pPr>
      <w:r w:rsidRPr="0094268A">
        <w:rPr>
          <w:b/>
          <w:bCs/>
          <w:sz w:val="20"/>
          <w:szCs w:val="20"/>
          <w:rtl/>
        </w:rPr>
        <w:t xml:space="preserve">מצד אחד, מעצם מהותן, השונה מחוק או תקנות, הרי שאין הן </w:t>
      </w:r>
      <w:r>
        <w:rPr>
          <w:rFonts w:hint="cs"/>
          <w:b/>
          <w:bCs/>
          <w:sz w:val="20"/>
          <w:szCs w:val="20"/>
          <w:rtl/>
        </w:rPr>
        <w:t xml:space="preserve">(ההנחיות) </w:t>
      </w:r>
      <w:r w:rsidRPr="0094268A">
        <w:rPr>
          <w:b/>
          <w:bCs/>
          <w:sz w:val="20"/>
          <w:szCs w:val="20"/>
          <w:rtl/>
        </w:rPr>
        <w:t>יכולות אלא להיות גמישות במידה מסוימת;</w:t>
      </w:r>
    </w:p>
    <w:p w:rsidR="00241BC2" w:rsidRDefault="00241BC2" w:rsidP="00241BC2">
      <w:pPr>
        <w:spacing w:after="60"/>
        <w:ind w:left="1440" w:hanging="720"/>
        <w:rPr>
          <w:rFonts w:ascii="Arial" w:hAnsi="Arial" w:cs="Arial"/>
          <w:b/>
          <w:bCs/>
          <w:sz w:val="20"/>
          <w:szCs w:val="20"/>
          <w:rtl/>
        </w:rPr>
      </w:pPr>
      <w:r w:rsidRPr="0094268A">
        <w:rPr>
          <w:b/>
          <w:bCs/>
          <w:sz w:val="20"/>
          <w:szCs w:val="20"/>
          <w:rtl/>
        </w:rPr>
        <w:t>מנגד, דרישת העקביות/ איסור ההפליה/ הרצון בשקיפות וביכולת פיקוח, מורה לרשות לפעול על פיהן אלא אם כן יש הצדקה של ממש לסטייה מהן.</w:t>
      </w:r>
    </w:p>
    <w:p w:rsidR="00241BC2" w:rsidRPr="0094268A" w:rsidRDefault="00241BC2" w:rsidP="00241BC2">
      <w:pPr>
        <w:ind w:left="1440" w:hanging="720"/>
        <w:rPr>
          <w:rFonts w:ascii="Arial" w:hAnsi="Arial" w:cs="Arial"/>
          <w:b/>
          <w:bCs/>
          <w:sz w:val="20"/>
          <w:szCs w:val="20"/>
          <w:rtl/>
        </w:rPr>
      </w:pPr>
      <w:r>
        <w:rPr>
          <w:rFonts w:ascii="Arial" w:hAnsi="Arial" w:cs="Arial" w:hint="cs"/>
          <w:b/>
          <w:bCs/>
          <w:sz w:val="20"/>
          <w:szCs w:val="20"/>
          <w:rtl/>
        </w:rPr>
        <w:t>יש כאן לפיכך צורך בסוג של איזון עדין.</w:t>
      </w:r>
    </w:p>
    <w:p w:rsidR="00241BC2" w:rsidRDefault="00241BC2" w:rsidP="00241BC2">
      <w:pPr>
        <w:rPr>
          <w:sz w:val="20"/>
          <w:szCs w:val="20"/>
          <w:rtl/>
        </w:rPr>
      </w:pPr>
    </w:p>
    <w:p w:rsidR="00241BC2" w:rsidRDefault="00241BC2" w:rsidP="00241BC2">
      <w:pPr>
        <w:spacing w:after="120"/>
        <w:rPr>
          <w:rFonts w:ascii="Arial" w:hAnsi="Arial" w:cs="Arial"/>
          <w:b/>
          <w:bCs/>
          <w:sz w:val="20"/>
          <w:szCs w:val="20"/>
          <w:rtl/>
        </w:rPr>
      </w:pPr>
      <w:r>
        <w:rPr>
          <w:rFonts w:ascii="Arial" w:hAnsi="Arial" w:cs="Arial" w:hint="cs"/>
          <w:b/>
          <w:bCs/>
          <w:sz w:val="20"/>
          <w:szCs w:val="20"/>
          <w:highlight w:val="yellow"/>
          <w:rtl/>
        </w:rPr>
        <w:t xml:space="preserve">נקודה נוספת: לעיתים מופיעה בדין </w:t>
      </w:r>
      <w:r w:rsidRPr="008824D2">
        <w:rPr>
          <w:rFonts w:ascii="Arial" w:hAnsi="Arial" w:cs="Arial" w:hint="cs"/>
          <w:b/>
          <w:bCs/>
          <w:sz w:val="20"/>
          <w:szCs w:val="20"/>
          <w:highlight w:val="yellow"/>
          <w:rtl/>
        </w:rPr>
        <w:t>חובה לקבוע הנחיות מינהליות, ו</w:t>
      </w:r>
      <w:r>
        <w:rPr>
          <w:rFonts w:ascii="Arial" w:hAnsi="Arial" w:cs="Arial" w:hint="cs"/>
          <w:b/>
          <w:bCs/>
          <w:sz w:val="20"/>
          <w:szCs w:val="20"/>
          <w:highlight w:val="yellow"/>
          <w:rtl/>
        </w:rPr>
        <w:t>לעיתים מופיעות בדין חובות</w:t>
      </w:r>
      <w:r w:rsidRPr="008824D2">
        <w:rPr>
          <w:rFonts w:ascii="Arial" w:hAnsi="Arial" w:cs="Arial" w:hint="cs"/>
          <w:b/>
          <w:bCs/>
          <w:sz w:val="20"/>
          <w:szCs w:val="20"/>
          <w:highlight w:val="yellow"/>
          <w:rtl/>
        </w:rPr>
        <w:t xml:space="preserve"> ביחס לתוכנן של ההנחיות</w:t>
      </w:r>
      <w:r>
        <w:rPr>
          <w:rFonts w:ascii="Arial" w:hAnsi="Arial" w:cs="Arial" w:hint="cs"/>
          <w:b/>
          <w:bCs/>
          <w:sz w:val="20"/>
          <w:szCs w:val="20"/>
          <w:rtl/>
        </w:rPr>
        <w:t xml:space="preserve"> </w:t>
      </w:r>
    </w:p>
    <w:p w:rsidR="00241BC2" w:rsidRDefault="00241BC2" w:rsidP="00241BC2">
      <w:pPr>
        <w:tabs>
          <w:tab w:val="left" w:pos="800"/>
        </w:tabs>
        <w:overflowPunct w:val="0"/>
        <w:autoSpaceDE w:val="0"/>
        <w:autoSpaceDN w:val="0"/>
        <w:adjustRightInd w:val="0"/>
        <w:spacing w:after="120"/>
        <w:ind w:left="459"/>
        <w:rPr>
          <w:rFonts w:cs="David"/>
          <w:b/>
          <w:bCs/>
          <w:sz w:val="20"/>
          <w:szCs w:val="20"/>
          <w:rtl/>
          <w:lang w:eastAsia="he-IL"/>
        </w:rPr>
      </w:pPr>
      <w:r w:rsidRPr="00217AB0">
        <w:rPr>
          <w:rFonts w:cs="David" w:hint="cs"/>
          <w:b/>
          <w:bCs/>
          <w:sz w:val="20"/>
          <w:szCs w:val="20"/>
          <w:rtl/>
          <w:lang w:eastAsia="he-IL"/>
        </w:rPr>
        <w:t>דוגמא שאותה כבר פגשנו בפס"ד</w:t>
      </w:r>
      <w:r>
        <w:rPr>
          <w:rFonts w:cs="David" w:hint="cs"/>
          <w:b/>
          <w:bCs/>
          <w:sz w:val="20"/>
          <w:szCs w:val="20"/>
          <w:u w:val="single"/>
          <w:rtl/>
          <w:lang w:eastAsia="he-IL"/>
        </w:rPr>
        <w:t xml:space="preserve"> יקותיאלי</w:t>
      </w:r>
      <w:r w:rsidRPr="00217AB0">
        <w:rPr>
          <w:rFonts w:cs="David" w:hint="cs"/>
          <w:b/>
          <w:bCs/>
          <w:sz w:val="20"/>
          <w:szCs w:val="20"/>
          <w:rtl/>
          <w:lang w:eastAsia="he-IL"/>
        </w:rPr>
        <w:t xml:space="preserve"> </w:t>
      </w:r>
      <w:r>
        <w:rPr>
          <w:rFonts w:cs="David" w:hint="cs"/>
          <w:b/>
          <w:bCs/>
          <w:sz w:val="20"/>
          <w:szCs w:val="20"/>
          <w:rtl/>
          <w:lang w:eastAsia="he-IL"/>
        </w:rPr>
        <w:t xml:space="preserve">וכן </w:t>
      </w:r>
      <w:r w:rsidRPr="00217AB0">
        <w:rPr>
          <w:rFonts w:cs="David" w:hint="cs"/>
          <w:b/>
          <w:bCs/>
          <w:sz w:val="20"/>
          <w:szCs w:val="20"/>
          <w:rtl/>
          <w:lang w:eastAsia="he-IL"/>
        </w:rPr>
        <w:t xml:space="preserve">בפס"ד </w:t>
      </w:r>
      <w:r w:rsidRPr="00217AB0">
        <w:rPr>
          <w:rFonts w:cs="David" w:hint="cs"/>
          <w:b/>
          <w:bCs/>
          <w:sz w:val="20"/>
          <w:szCs w:val="20"/>
          <w:u w:val="single"/>
          <w:rtl/>
          <w:lang w:eastAsia="he-IL"/>
        </w:rPr>
        <w:t>התאחדות הסטודנטים</w:t>
      </w:r>
      <w:r>
        <w:rPr>
          <w:rFonts w:cs="David" w:hint="cs"/>
          <w:b/>
          <w:bCs/>
          <w:sz w:val="20"/>
          <w:szCs w:val="20"/>
          <w:rtl/>
          <w:lang w:eastAsia="he-IL"/>
        </w:rPr>
        <w:t xml:space="preserve"> </w:t>
      </w:r>
      <w:r w:rsidRPr="00217AB0">
        <w:rPr>
          <w:rFonts w:cs="David" w:hint="cs"/>
          <w:b/>
          <w:bCs/>
          <w:sz w:val="20"/>
          <w:szCs w:val="20"/>
          <w:rtl/>
          <w:lang w:eastAsia="he-IL"/>
        </w:rPr>
        <w:t>(שעסק</w:t>
      </w:r>
      <w:r>
        <w:rPr>
          <w:rFonts w:cs="David" w:hint="cs"/>
          <w:b/>
          <w:bCs/>
          <w:sz w:val="20"/>
          <w:szCs w:val="20"/>
          <w:rtl/>
          <w:lang w:eastAsia="he-IL"/>
        </w:rPr>
        <w:t>ו</w:t>
      </w:r>
      <w:r w:rsidRPr="00217AB0">
        <w:rPr>
          <w:rFonts w:cs="David" w:hint="cs"/>
          <w:b/>
          <w:bCs/>
          <w:sz w:val="20"/>
          <w:szCs w:val="20"/>
          <w:rtl/>
          <w:lang w:eastAsia="he-IL"/>
        </w:rPr>
        <w:t xml:space="preserve"> בנושא גמלות הבטחת הכנסה לאברכים):</w:t>
      </w:r>
      <w:r>
        <w:rPr>
          <w:rFonts w:cs="David" w:hint="cs"/>
          <w:b/>
          <w:bCs/>
          <w:sz w:val="20"/>
          <w:szCs w:val="20"/>
          <w:rtl/>
          <w:lang w:eastAsia="he-IL"/>
        </w:rPr>
        <w:t xml:space="preserve"> </w:t>
      </w:r>
    </w:p>
    <w:p w:rsidR="00241BC2" w:rsidRPr="00034BCD" w:rsidRDefault="00241BC2" w:rsidP="00241BC2">
      <w:pPr>
        <w:tabs>
          <w:tab w:val="left" w:pos="800"/>
        </w:tabs>
        <w:overflowPunct w:val="0"/>
        <w:autoSpaceDE w:val="0"/>
        <w:autoSpaceDN w:val="0"/>
        <w:adjustRightInd w:val="0"/>
        <w:spacing w:after="120"/>
        <w:ind w:left="459"/>
        <w:rPr>
          <w:rFonts w:cs="David"/>
          <w:b/>
          <w:bCs/>
          <w:sz w:val="20"/>
          <w:szCs w:val="20"/>
          <w:highlight w:val="yellow"/>
          <w:rtl/>
          <w:lang w:eastAsia="he-IL"/>
        </w:rPr>
      </w:pPr>
      <w:r w:rsidRPr="00034BCD">
        <w:rPr>
          <w:rFonts w:cs="David" w:hint="cs"/>
          <w:b/>
          <w:bCs/>
          <w:sz w:val="20"/>
          <w:szCs w:val="20"/>
          <w:highlight w:val="yellow"/>
          <w:rtl/>
          <w:lang w:eastAsia="he-IL"/>
        </w:rPr>
        <w:t>חוק יסודות התקציב, התשנ"א-1991</w:t>
      </w:r>
    </w:p>
    <w:p w:rsidR="00241BC2" w:rsidRPr="00AA0896" w:rsidRDefault="00241BC2" w:rsidP="00241BC2">
      <w:pPr>
        <w:overflowPunct w:val="0"/>
        <w:autoSpaceDE w:val="0"/>
        <w:autoSpaceDN w:val="0"/>
        <w:adjustRightInd w:val="0"/>
        <w:spacing w:after="60"/>
        <w:ind w:left="720"/>
        <w:rPr>
          <w:rFonts w:cs="David"/>
          <w:sz w:val="20"/>
          <w:szCs w:val="20"/>
          <w:rtl/>
          <w:lang w:eastAsia="he-IL"/>
        </w:rPr>
      </w:pPr>
      <w:r w:rsidRPr="00034BCD">
        <w:rPr>
          <w:rFonts w:cs="David" w:hint="cs"/>
          <w:sz w:val="20"/>
          <w:szCs w:val="20"/>
          <w:rtl/>
          <w:lang w:eastAsia="he-IL"/>
        </w:rPr>
        <w:t>3</w:t>
      </w:r>
      <w:r w:rsidRPr="00AA0896">
        <w:rPr>
          <w:rFonts w:cs="David" w:hint="cs"/>
          <w:sz w:val="20"/>
          <w:szCs w:val="20"/>
          <w:rtl/>
          <w:lang w:eastAsia="he-IL"/>
        </w:rPr>
        <w:t xml:space="preserve">א. תמיכות במוסדות ציבור [תיקון: תשנ"ב, תשנ"ט] </w:t>
      </w:r>
    </w:p>
    <w:p w:rsidR="00241BC2" w:rsidRPr="00AA0896" w:rsidRDefault="00241BC2" w:rsidP="00241BC2">
      <w:pPr>
        <w:overflowPunct w:val="0"/>
        <w:autoSpaceDE w:val="0"/>
        <w:autoSpaceDN w:val="0"/>
        <w:adjustRightInd w:val="0"/>
        <w:ind w:left="720"/>
        <w:rPr>
          <w:rFonts w:cs="David"/>
          <w:sz w:val="20"/>
          <w:szCs w:val="20"/>
          <w:rtl/>
          <w:lang w:eastAsia="he-IL"/>
        </w:rPr>
      </w:pPr>
      <w:r w:rsidRPr="00AA0896">
        <w:rPr>
          <w:rFonts w:cs="David" w:hint="cs"/>
          <w:sz w:val="20"/>
          <w:szCs w:val="20"/>
          <w:rtl/>
          <w:lang w:eastAsia="he-IL"/>
        </w:rPr>
        <w:t xml:space="preserve"> (א) בסעיף זה - "מוסד ציבור" - גוף שאינו מוסד ממוסדות המדינה, הפועל למטרה של חינוך, תרבות, דת, מדע, אמנות, רווחה, בריאות, ספורט או מטרה דומה; </w:t>
      </w:r>
      <w:r>
        <w:rPr>
          <w:rFonts w:cs="David" w:hint="cs"/>
          <w:sz w:val="20"/>
          <w:szCs w:val="20"/>
          <w:rtl/>
          <w:lang w:eastAsia="he-IL"/>
        </w:rPr>
        <w:t>[...]</w:t>
      </w:r>
      <w:r w:rsidRPr="00AA0896">
        <w:rPr>
          <w:rFonts w:cs="David" w:hint="cs"/>
          <w:sz w:val="20"/>
          <w:szCs w:val="20"/>
          <w:rtl/>
          <w:lang w:eastAsia="he-IL"/>
        </w:rPr>
        <w:t xml:space="preserve"> </w:t>
      </w:r>
    </w:p>
    <w:p w:rsidR="00241BC2" w:rsidRPr="00AA0896" w:rsidRDefault="00241BC2" w:rsidP="00241BC2">
      <w:pPr>
        <w:overflowPunct w:val="0"/>
        <w:autoSpaceDE w:val="0"/>
        <w:autoSpaceDN w:val="0"/>
        <w:adjustRightInd w:val="0"/>
        <w:ind w:left="720"/>
        <w:rPr>
          <w:rFonts w:cs="David"/>
          <w:sz w:val="20"/>
          <w:szCs w:val="20"/>
          <w:rtl/>
          <w:lang w:eastAsia="he-IL"/>
        </w:rPr>
      </w:pPr>
      <w:r w:rsidRPr="00AA0896">
        <w:rPr>
          <w:rFonts w:cs="David" w:hint="cs"/>
          <w:sz w:val="20"/>
          <w:szCs w:val="20"/>
          <w:rtl/>
          <w:lang w:eastAsia="he-IL"/>
        </w:rPr>
        <w:t xml:space="preserve">(ד)  הסכום שנקבע בסעיף תקציב לסוג של מוסדות ציבור יחולק בין מוסדות ציבור הנמנים עם אותו סוג </w:t>
      </w:r>
      <w:r w:rsidRPr="00AA0896">
        <w:rPr>
          <w:rFonts w:cs="David" w:hint="cs"/>
          <w:b/>
          <w:bCs/>
          <w:sz w:val="20"/>
          <w:szCs w:val="20"/>
          <w:rtl/>
          <w:lang w:eastAsia="he-IL"/>
        </w:rPr>
        <w:t>לפי מבחנים שוויוניים</w:t>
      </w:r>
      <w:r w:rsidRPr="00AA0896">
        <w:rPr>
          <w:rFonts w:cs="David" w:hint="cs"/>
          <w:sz w:val="20"/>
          <w:szCs w:val="20"/>
          <w:rtl/>
          <w:lang w:eastAsia="he-IL"/>
        </w:rPr>
        <w:t xml:space="preserve">. </w:t>
      </w:r>
    </w:p>
    <w:p w:rsidR="00241BC2" w:rsidRPr="00AA0896" w:rsidRDefault="00241BC2" w:rsidP="00241BC2">
      <w:pPr>
        <w:overflowPunct w:val="0"/>
        <w:autoSpaceDE w:val="0"/>
        <w:autoSpaceDN w:val="0"/>
        <w:adjustRightInd w:val="0"/>
        <w:ind w:left="720"/>
        <w:rPr>
          <w:rFonts w:cs="David"/>
          <w:sz w:val="20"/>
          <w:szCs w:val="20"/>
          <w:rtl/>
          <w:lang w:eastAsia="he-IL"/>
        </w:rPr>
      </w:pPr>
      <w:r w:rsidRPr="00AA0896">
        <w:rPr>
          <w:rFonts w:cs="David" w:hint="cs"/>
          <w:sz w:val="20"/>
          <w:szCs w:val="20"/>
          <w:rtl/>
          <w:lang w:eastAsia="he-IL"/>
        </w:rPr>
        <w:t xml:space="preserve">(ה)  הממונה על סעיף התקציב </w:t>
      </w:r>
      <w:r w:rsidRPr="00AA0896">
        <w:rPr>
          <w:rFonts w:cs="David" w:hint="cs"/>
          <w:b/>
          <w:bCs/>
          <w:sz w:val="20"/>
          <w:szCs w:val="20"/>
          <w:rtl/>
          <w:lang w:eastAsia="he-IL"/>
        </w:rPr>
        <w:t>יקבע, בהתייעצות עם היועץ המשפטי לממשלה,</w:t>
      </w:r>
      <w:r w:rsidRPr="00AA0896">
        <w:rPr>
          <w:rFonts w:cs="David" w:hint="cs"/>
          <w:sz w:val="20"/>
          <w:szCs w:val="20"/>
          <w:rtl/>
          <w:lang w:eastAsia="he-IL"/>
        </w:rPr>
        <w:t xml:space="preserve"> מבחנים שוויוניים לחלוקת הסכום שנקבע באותו סעיף תקציב לצורך תמיכה במוסדות ציבור (להלן - מבחנים). </w:t>
      </w:r>
    </w:p>
    <w:p w:rsidR="00241BC2" w:rsidRPr="00AA0896" w:rsidRDefault="00241BC2" w:rsidP="00241BC2">
      <w:pPr>
        <w:overflowPunct w:val="0"/>
        <w:autoSpaceDE w:val="0"/>
        <w:autoSpaceDN w:val="0"/>
        <w:adjustRightInd w:val="0"/>
        <w:ind w:left="720"/>
        <w:rPr>
          <w:rFonts w:cs="David"/>
          <w:sz w:val="20"/>
          <w:szCs w:val="20"/>
          <w:rtl/>
          <w:lang w:eastAsia="he-IL"/>
        </w:rPr>
      </w:pPr>
      <w:r w:rsidRPr="00AA0896">
        <w:rPr>
          <w:rFonts w:cs="David" w:hint="cs"/>
          <w:sz w:val="20"/>
          <w:szCs w:val="20"/>
          <w:rtl/>
          <w:lang w:eastAsia="he-IL"/>
        </w:rPr>
        <w:t xml:space="preserve">(ו) </w:t>
      </w:r>
      <w:r w:rsidRPr="00AA0896">
        <w:rPr>
          <w:rFonts w:cs="David" w:hint="cs"/>
          <w:b/>
          <w:bCs/>
          <w:sz w:val="20"/>
          <w:szCs w:val="20"/>
          <w:rtl/>
          <w:lang w:eastAsia="he-IL"/>
        </w:rPr>
        <w:t>שר האוצר יקבע, בהתייעצות עם היועץ המשפטי לממשלה, נוהל שלפיו</w:t>
      </w:r>
      <w:r w:rsidRPr="00AA0896">
        <w:rPr>
          <w:rFonts w:cs="David" w:hint="cs"/>
          <w:sz w:val="20"/>
          <w:szCs w:val="20"/>
          <w:rtl/>
          <w:lang w:eastAsia="he-IL"/>
        </w:rPr>
        <w:t xml:space="preserve"> יוגשו ויידונו בקשות של מוסדות ציבור לקבלת תמיכה מתקציב המדינה (להלן - נוהל). </w:t>
      </w:r>
    </w:p>
    <w:p w:rsidR="00241BC2" w:rsidRPr="00AA0896" w:rsidRDefault="00241BC2" w:rsidP="00241BC2">
      <w:pPr>
        <w:overflowPunct w:val="0"/>
        <w:autoSpaceDE w:val="0"/>
        <w:autoSpaceDN w:val="0"/>
        <w:adjustRightInd w:val="0"/>
        <w:ind w:left="720"/>
        <w:rPr>
          <w:rFonts w:cs="David"/>
          <w:sz w:val="20"/>
          <w:szCs w:val="20"/>
          <w:rtl/>
          <w:lang w:eastAsia="he-IL"/>
        </w:rPr>
      </w:pPr>
      <w:r w:rsidRPr="00AA0896">
        <w:rPr>
          <w:rFonts w:cs="David" w:hint="cs"/>
          <w:sz w:val="20"/>
          <w:szCs w:val="20"/>
          <w:rtl/>
          <w:lang w:eastAsia="he-IL"/>
        </w:rPr>
        <w:t xml:space="preserve">(ז)  </w:t>
      </w:r>
      <w:r w:rsidRPr="00AA0896">
        <w:rPr>
          <w:rFonts w:cs="David" w:hint="cs"/>
          <w:b/>
          <w:bCs/>
          <w:sz w:val="20"/>
          <w:szCs w:val="20"/>
          <w:rtl/>
          <w:lang w:eastAsia="he-IL"/>
        </w:rPr>
        <w:t>המבחנים והנוהל יפורסמו ברשומות.</w:t>
      </w:r>
      <w:r w:rsidRPr="00AA0896">
        <w:rPr>
          <w:rFonts w:cs="David" w:hint="cs"/>
          <w:sz w:val="20"/>
          <w:szCs w:val="20"/>
          <w:rtl/>
          <w:lang w:eastAsia="he-IL"/>
        </w:rPr>
        <w:t xml:space="preserve"> </w:t>
      </w:r>
      <w:r>
        <w:rPr>
          <w:rFonts w:cs="David" w:hint="cs"/>
          <w:sz w:val="20"/>
          <w:szCs w:val="20"/>
          <w:rtl/>
          <w:lang w:eastAsia="he-IL"/>
        </w:rPr>
        <w:t>[...]</w:t>
      </w:r>
    </w:p>
    <w:p w:rsidR="00241BC2" w:rsidRDefault="00241BC2" w:rsidP="00241BC2">
      <w:pPr>
        <w:rPr>
          <w:rFonts w:ascii="Arial" w:hAnsi="Arial" w:cs="David"/>
          <w:sz w:val="20"/>
          <w:szCs w:val="20"/>
          <w:rtl/>
        </w:rPr>
      </w:pPr>
    </w:p>
    <w:p w:rsidR="00241BC2" w:rsidRDefault="00241BC2" w:rsidP="00241BC2">
      <w:pPr>
        <w:rPr>
          <w:rFonts w:ascii="Arial" w:hAnsi="Arial" w:cs="Arial"/>
          <w:b/>
          <w:bCs/>
          <w:sz w:val="20"/>
          <w:szCs w:val="20"/>
          <w:rtl/>
        </w:rPr>
      </w:pPr>
      <w:r w:rsidRPr="001938B1">
        <w:rPr>
          <w:rFonts w:ascii="Arial" w:hAnsi="Arial" w:cs="Arial"/>
          <w:b/>
          <w:bCs/>
          <w:sz w:val="20"/>
          <w:szCs w:val="20"/>
          <w:highlight w:val="yellow"/>
          <w:rtl/>
        </w:rPr>
        <w:t>מדוע? מה ההיגיון/ התכלית של דרישות אלו?</w:t>
      </w:r>
      <w:r>
        <w:rPr>
          <w:rFonts w:ascii="Arial" w:hAnsi="Arial" w:cs="Arial" w:hint="cs"/>
          <w:b/>
          <w:bCs/>
          <w:sz w:val="20"/>
          <w:szCs w:val="20"/>
          <w:rtl/>
        </w:rPr>
        <w:t xml:space="preserve"> </w:t>
      </w:r>
    </w:p>
    <w:p w:rsidR="00241BC2" w:rsidRPr="00DD297D" w:rsidRDefault="00241BC2" w:rsidP="00241BC2">
      <w:pPr>
        <w:rPr>
          <w:rFonts w:ascii="Arial" w:hAnsi="Arial" w:cs="Arial"/>
          <w:b/>
          <w:bCs/>
          <w:sz w:val="20"/>
          <w:szCs w:val="20"/>
          <w:rtl/>
        </w:rPr>
      </w:pPr>
      <w:r>
        <w:rPr>
          <w:rFonts w:ascii="Arial" w:hAnsi="Arial" w:cs="Arial" w:hint="cs"/>
          <w:b/>
          <w:bCs/>
          <w:sz w:val="20"/>
          <w:szCs w:val="20"/>
          <w:rtl/>
        </w:rPr>
        <w:t>זו הנקודה השנייה של האיזון, שהוזכר לעיל. ראו את ההבהרה להלן:</w:t>
      </w:r>
    </w:p>
    <w:p w:rsidR="00241BC2" w:rsidRDefault="00241BC2" w:rsidP="00241BC2">
      <w:pPr>
        <w:rPr>
          <w:rFonts w:ascii="Arial" w:hAnsi="Arial" w:cs="David"/>
          <w:sz w:val="20"/>
          <w:szCs w:val="20"/>
          <w:rtl/>
        </w:rPr>
      </w:pPr>
    </w:p>
    <w:p w:rsidR="00241BC2" w:rsidRPr="00F25A12" w:rsidRDefault="00241BC2" w:rsidP="00241BC2">
      <w:pPr>
        <w:pStyle w:val="T-body"/>
        <w:spacing w:after="120" w:line="240" w:lineRule="auto"/>
        <w:jc w:val="center"/>
        <w:rPr>
          <w:sz w:val="22"/>
          <w:szCs w:val="22"/>
          <w:rtl/>
        </w:rPr>
      </w:pPr>
      <w:r w:rsidRPr="00F25A12">
        <w:rPr>
          <w:rFonts w:ascii="Arial" w:hAnsi="Arial" w:cs="Arial"/>
          <w:sz w:val="22"/>
          <w:szCs w:val="22"/>
          <w:highlight w:val="yellow"/>
          <w:rtl/>
        </w:rPr>
        <w:t xml:space="preserve">בג"צ 3792/95 </w:t>
      </w:r>
      <w:r w:rsidRPr="00F25A12">
        <w:rPr>
          <w:rFonts w:ascii="Arial" w:hAnsi="Arial" w:cs="Arial"/>
          <w:b/>
          <w:bCs/>
          <w:sz w:val="22"/>
          <w:szCs w:val="22"/>
          <w:highlight w:val="yellow"/>
          <w:rtl/>
        </w:rPr>
        <w:t>תיאטרון ארצי לנוער נ' שרת המדע והאמנויות</w:t>
      </w:r>
      <w:r w:rsidRPr="00F25A12">
        <w:rPr>
          <w:rFonts w:ascii="Arial" w:hAnsi="Arial" w:cs="Arial"/>
          <w:sz w:val="22"/>
          <w:szCs w:val="22"/>
          <w:highlight w:val="yellow"/>
          <w:rtl/>
        </w:rPr>
        <w:t>, פ"ד נא(4) 259</w:t>
      </w:r>
      <w:r>
        <w:rPr>
          <w:rFonts w:hint="cs"/>
          <w:sz w:val="22"/>
          <w:szCs w:val="22"/>
          <w:rtl/>
        </w:rPr>
        <w:t xml:space="preserve"> (השופט זמיר)</w:t>
      </w:r>
    </w:p>
    <w:p w:rsidR="00241BC2" w:rsidRPr="001938B1" w:rsidRDefault="00241BC2" w:rsidP="00241BC2">
      <w:pPr>
        <w:pStyle w:val="T-quotation"/>
        <w:spacing w:after="60"/>
        <w:ind w:left="-87" w:right="142"/>
        <w:rPr>
          <w:rFonts w:ascii="Arial" w:hAnsi="Arial" w:cs="David"/>
          <w:rtl/>
        </w:rPr>
      </w:pPr>
      <w:r w:rsidRPr="001938B1">
        <w:rPr>
          <w:rFonts w:cs="FrankRuehl"/>
          <w:rtl/>
        </w:rPr>
        <w:t xml:space="preserve">"מבחנים", במשמעות של סעיף 3א לחוק יסודות התקציב, צריכים לאפשר הערכה אובייקטיבית, במידה סבירה, של המועמדים לתמיכה, זה לעומת זה. מבחנים הם היפוכו של שיקול דעת רחב, שלעתים קוראים לו שיקול דעת סובייקטיבי. אכן, גם שיקול דעת סובייקטיבי צריך להיות מופעל על פי שיקולים ענייניים בלבד. אך, בדרך כלל, רשות מינהלית שיש לה שיקול דעת סובייקטיבי יכולה לתת לכל שיקול ענייני משקל גדול או קטן כפי שייראה לה. ככל ששיקול הדעת סובייקטיבי יותר, כך גם גדל המרחב בו יכולה הרשות להחליט, לכאן או לכאן: מתחם הסבירות גדל והביקורת השיפוטית מצטמצמת. </w:t>
      </w:r>
      <w:r w:rsidRPr="001938B1">
        <w:rPr>
          <w:rFonts w:cs="FrankRuehl"/>
          <w:highlight w:val="yellow"/>
          <w:rtl/>
        </w:rPr>
        <w:t xml:space="preserve">המבחנים, כמו הנחיות מינהליות בדרך כלל, אמורים להקטין את היסוד הסובייקטיבי ולהגדיל את היסוד האובייקטיבי שבהחלטת הרשות. הם הופכים שיקול דעת חזק לשיקול דעת חלש. </w:t>
      </w:r>
      <w:r w:rsidRPr="001938B1">
        <w:rPr>
          <w:rFonts w:cs="FrankRuehl" w:hint="cs"/>
          <w:highlight w:val="yellow"/>
          <w:rtl/>
        </w:rPr>
        <w:t xml:space="preserve">[...] </w:t>
      </w:r>
      <w:r w:rsidRPr="001938B1">
        <w:rPr>
          <w:rFonts w:cs="FrankRuehl"/>
          <w:highlight w:val="yellow"/>
          <w:rtl/>
        </w:rPr>
        <w:t>כתוצאה מכך, הם מפחיתים את חשיבות השאלה מי היא הרשות המוסמכת, מה נטיית הלב שלה ועד כמה היא חשופה להשפעה של גורמים חיצוניים ושיקולים זרים. יש בהם כדי לעשות את ההחלטה צפוייה יותר, וכן גם שוויונית יותר, ולאפשר בדיעבד ביקורת יעילה יותר על ההחלטה. זו התכלית העיקרית של המבחנים.</w:t>
      </w:r>
      <w:r w:rsidRPr="001938B1">
        <w:rPr>
          <w:rFonts w:cs="FrankRuehl"/>
          <w:rtl/>
        </w:rPr>
        <w:t xml:space="preserve"> זו גם התכלית העיקרית של סעיף 3א לחוק יסודות התקציב: התכלית של סעיף זה היא לחסל את התופעה, שהיתה ידועה בשם כספים ייחודיים, לפיה היה שר יכול לתת תמיכות מתקציב משרדו לפי שיקול דעת סובייקטיבי, באופן בלתי-מבוקר. </w:t>
      </w:r>
    </w:p>
    <w:p w:rsidR="00241BC2" w:rsidRDefault="00241BC2" w:rsidP="00241BC2">
      <w:pPr>
        <w:rPr>
          <w:b/>
          <w:bCs/>
          <w:highlight w:val="yellow"/>
          <w:rtl/>
        </w:rPr>
      </w:pPr>
      <w:r>
        <w:rPr>
          <w:rFonts w:ascii="Arial" w:hAnsi="Arial" w:cs="David" w:hint="cs"/>
          <w:sz w:val="20"/>
          <w:szCs w:val="20"/>
          <w:rtl/>
        </w:rPr>
        <w:t>=-=</w:t>
      </w:r>
    </w:p>
    <w:p w:rsidR="00241BC2" w:rsidRDefault="00241BC2" w:rsidP="00241BC2">
      <w:pPr>
        <w:rPr>
          <w:b/>
          <w:bCs/>
          <w:highlight w:val="yellow"/>
          <w:rtl/>
        </w:rPr>
      </w:pPr>
    </w:p>
    <w:p w:rsidR="00241BC2" w:rsidRPr="00B965AB" w:rsidRDefault="00241BC2" w:rsidP="00241BC2">
      <w:pPr>
        <w:spacing w:after="120"/>
        <w:jc w:val="center"/>
        <w:rPr>
          <w:rFonts w:ascii="Arial" w:hAnsi="Arial" w:cs="Guttman-Soncino"/>
          <w:b/>
          <w:bCs/>
          <w:sz w:val="32"/>
          <w:szCs w:val="32"/>
          <w:highlight w:val="yellow"/>
          <w:rtl/>
        </w:rPr>
      </w:pPr>
      <w:r w:rsidRPr="00B965AB">
        <w:rPr>
          <w:rFonts w:ascii="Arial" w:hAnsi="Arial" w:cs="Guttman-Soncino" w:hint="cs"/>
          <w:b/>
          <w:bCs/>
          <w:sz w:val="32"/>
          <w:szCs w:val="32"/>
          <w:highlight w:val="yellow"/>
          <w:u w:val="single"/>
          <w:rtl/>
        </w:rPr>
        <w:t>ההליך המינהלי</w:t>
      </w:r>
      <w:r w:rsidRPr="00B965AB">
        <w:rPr>
          <w:rFonts w:ascii="Arial" w:hAnsi="Arial" w:cs="Guttman-Soncino" w:hint="cs"/>
          <w:b/>
          <w:bCs/>
          <w:sz w:val="32"/>
          <w:szCs w:val="32"/>
          <w:highlight w:val="yellow"/>
          <w:rtl/>
        </w:rPr>
        <w:t xml:space="preserve">: </w:t>
      </w:r>
    </w:p>
    <w:p w:rsidR="00241BC2" w:rsidRPr="001938B1" w:rsidRDefault="00241BC2" w:rsidP="00241BC2">
      <w:pPr>
        <w:spacing w:after="120"/>
        <w:jc w:val="center"/>
        <w:rPr>
          <w:rFonts w:ascii="Arial" w:hAnsi="Arial" w:cs="Arial"/>
          <w:u w:val="single"/>
          <w:rtl/>
        </w:rPr>
      </w:pPr>
      <w:r>
        <w:rPr>
          <w:rFonts w:ascii="Arial" w:hAnsi="Arial" w:cs="Guttman-Soncino" w:hint="cs"/>
          <w:sz w:val="32"/>
          <w:szCs w:val="32"/>
          <w:highlight w:val="yellow"/>
          <w:rtl/>
        </w:rPr>
        <w:t>ב</w:t>
      </w:r>
      <w:r w:rsidRPr="001938B1">
        <w:rPr>
          <w:rFonts w:ascii="Arial" w:hAnsi="Arial" w:cs="Guttman-Soncino" w:hint="cs"/>
          <w:sz w:val="32"/>
          <w:szCs w:val="32"/>
          <w:highlight w:val="yellow"/>
          <w:rtl/>
        </w:rPr>
        <w:t xml:space="preserve">. </w:t>
      </w:r>
      <w:r w:rsidRPr="001938B1">
        <w:rPr>
          <w:rFonts w:ascii="Arial" w:hAnsi="Arial" w:cs="Guttman-Soncino"/>
          <w:sz w:val="32"/>
          <w:szCs w:val="32"/>
          <w:highlight w:val="yellow"/>
          <w:rtl/>
        </w:rPr>
        <w:t>חובת הפרסום המוטלת על הרשות המינהלית</w:t>
      </w:r>
    </w:p>
    <w:p w:rsidR="00241BC2" w:rsidRPr="001938B1" w:rsidRDefault="00241BC2" w:rsidP="00241BC2">
      <w:pPr>
        <w:spacing w:after="120"/>
        <w:jc w:val="center"/>
        <w:rPr>
          <w:rFonts w:ascii="Arial" w:hAnsi="Arial" w:cs="Guttman-Soncino"/>
          <w:b/>
          <w:bCs/>
          <w:sz w:val="32"/>
          <w:szCs w:val="32"/>
          <w:rtl/>
        </w:rPr>
      </w:pPr>
      <w:r w:rsidRPr="001938B1">
        <w:rPr>
          <w:rFonts w:ascii="Arial" w:hAnsi="Arial" w:cs="Guttman-Soncino" w:hint="cs"/>
          <w:b/>
          <w:bCs/>
          <w:sz w:val="32"/>
          <w:szCs w:val="32"/>
          <w:highlight w:val="yellow"/>
          <w:rtl/>
        </w:rPr>
        <w:t>וחובת השקיפות</w:t>
      </w:r>
    </w:p>
    <w:p w:rsidR="00241BC2" w:rsidRDefault="00241BC2" w:rsidP="00241BC2">
      <w:pPr>
        <w:spacing w:after="120"/>
        <w:rPr>
          <w:sz w:val="22"/>
          <w:szCs w:val="22"/>
        </w:rPr>
      </w:pPr>
      <w:r>
        <w:rPr>
          <w:rFonts w:hint="cs"/>
          <w:sz w:val="22"/>
          <w:szCs w:val="22"/>
          <w:rtl/>
        </w:rPr>
        <w:t>"חובת הפרסום"</w:t>
      </w:r>
      <w:r w:rsidRPr="00490D14">
        <w:rPr>
          <w:rFonts w:hint="cs"/>
          <w:sz w:val="22"/>
          <w:szCs w:val="22"/>
          <w:rtl/>
        </w:rPr>
        <w:t xml:space="preserve"> </w:t>
      </w:r>
      <w:r>
        <w:rPr>
          <w:rFonts w:hint="cs"/>
          <w:sz w:val="22"/>
          <w:szCs w:val="22"/>
          <w:rtl/>
        </w:rPr>
        <w:t xml:space="preserve">היא חלק ממשפחה של חובות הנושאות תכליות דומות של </w:t>
      </w:r>
      <w:r w:rsidRPr="00B965AB">
        <w:rPr>
          <w:rFonts w:hint="cs"/>
          <w:b/>
          <w:bCs/>
          <w:sz w:val="22"/>
          <w:szCs w:val="22"/>
          <w:rtl/>
        </w:rPr>
        <w:t>"שקיפות":</w:t>
      </w:r>
      <w:r w:rsidRPr="00B965AB">
        <w:rPr>
          <w:rFonts w:hint="cs"/>
          <w:sz w:val="22"/>
          <w:szCs w:val="22"/>
          <w:rtl/>
        </w:rPr>
        <w:t xml:space="preserve"> </w:t>
      </w:r>
      <w:r>
        <w:rPr>
          <w:rFonts w:hint="cs"/>
          <w:sz w:val="22"/>
          <w:szCs w:val="22"/>
          <w:rtl/>
        </w:rPr>
        <w:t xml:space="preserve">שקיפות פעילותה והליכי קבלת הכרעתה של הרשות. החובות הנוגעות לשקיפות הן בעצם נגזרת של חובות-העל של הרשות, הנובעות מהיותה "נאמן של הציבור". אלו הן החובות של "הגינות", "יעילות" והנגזרות של האיזון ביניהן, במצבי מתח: "הסבירות" ו"המידתיות". </w:t>
      </w:r>
    </w:p>
    <w:p w:rsidR="00241BC2" w:rsidRDefault="00241BC2" w:rsidP="00241BC2">
      <w:pPr>
        <w:spacing w:after="120"/>
        <w:rPr>
          <w:sz w:val="22"/>
          <w:szCs w:val="22"/>
          <w:rtl/>
        </w:rPr>
      </w:pPr>
      <w:r>
        <w:rPr>
          <w:rFonts w:hint="cs"/>
          <w:sz w:val="22"/>
          <w:szCs w:val="22"/>
          <w:rtl/>
        </w:rPr>
        <w:t xml:space="preserve">אלו הן 'בנות משפחת' השקיפות: </w:t>
      </w:r>
    </w:p>
    <w:p w:rsidR="00241BC2" w:rsidRDefault="00241BC2" w:rsidP="00241BC2">
      <w:pPr>
        <w:spacing w:after="60"/>
        <w:ind w:left="1440" w:hanging="720"/>
        <w:rPr>
          <w:sz w:val="22"/>
          <w:szCs w:val="22"/>
          <w:rtl/>
        </w:rPr>
      </w:pPr>
      <w:r w:rsidRPr="00521AE9">
        <w:rPr>
          <w:rFonts w:hint="cs"/>
          <w:sz w:val="22"/>
          <w:szCs w:val="22"/>
          <w:highlight w:val="yellow"/>
          <w:rtl/>
        </w:rPr>
        <w:t>"חובת הפרסום"</w:t>
      </w:r>
      <w:r>
        <w:rPr>
          <w:rFonts w:hint="cs"/>
          <w:sz w:val="22"/>
          <w:szCs w:val="22"/>
          <w:rtl/>
        </w:rPr>
        <w:t xml:space="preserve"> </w:t>
      </w:r>
      <w:r>
        <w:rPr>
          <w:sz w:val="22"/>
          <w:szCs w:val="22"/>
          <w:rtl/>
        </w:rPr>
        <w:t>–</w:t>
      </w:r>
      <w:r>
        <w:rPr>
          <w:rFonts w:hint="cs"/>
          <w:sz w:val="22"/>
          <w:szCs w:val="22"/>
          <w:rtl/>
        </w:rPr>
        <w:t xml:space="preserve"> </w:t>
      </w:r>
    </w:p>
    <w:p w:rsidR="00241BC2" w:rsidRDefault="00241BC2" w:rsidP="00241BC2">
      <w:pPr>
        <w:spacing w:after="60"/>
        <w:ind w:left="2160" w:hanging="720"/>
        <w:rPr>
          <w:sz w:val="22"/>
          <w:szCs w:val="22"/>
          <w:rtl/>
        </w:rPr>
      </w:pPr>
      <w:r>
        <w:rPr>
          <w:rFonts w:hint="cs"/>
          <w:sz w:val="22"/>
          <w:szCs w:val="22"/>
          <w:rtl/>
        </w:rPr>
        <w:t xml:space="preserve">פרסום ב"רשומות" </w:t>
      </w:r>
    </w:p>
    <w:p w:rsidR="00241BC2" w:rsidRDefault="00241BC2" w:rsidP="00241BC2">
      <w:pPr>
        <w:spacing w:after="60"/>
        <w:ind w:left="2160"/>
        <w:rPr>
          <w:sz w:val="22"/>
          <w:szCs w:val="22"/>
          <w:rtl/>
        </w:rPr>
      </w:pPr>
      <w:r w:rsidRPr="008166B6">
        <w:rPr>
          <w:rFonts w:hint="cs"/>
          <w:b/>
          <w:bCs/>
          <w:sz w:val="22"/>
          <w:szCs w:val="22"/>
          <w:rtl/>
        </w:rPr>
        <w:t>"הרשומות"</w:t>
      </w:r>
      <w:r>
        <w:rPr>
          <w:rFonts w:hint="cs"/>
          <w:sz w:val="22"/>
          <w:szCs w:val="22"/>
          <w:rtl/>
        </w:rPr>
        <w:t xml:space="preserve"> - הפרסום הרשמי של הוראות הדין או פעולות מינהל אחרות שחלה עליהן חובת הפרסום; שלשה קבצי פרסומים מגבשים את "הרשומות", והם </w:t>
      </w:r>
      <w:r w:rsidRPr="008166B6">
        <w:rPr>
          <w:rFonts w:hint="cs"/>
          <w:b/>
          <w:bCs/>
          <w:sz w:val="22"/>
          <w:szCs w:val="22"/>
          <w:rtl/>
        </w:rPr>
        <w:t>"ספר החוקים", "קובץ התקנות", "ילקוט הפרסומים"</w:t>
      </w:r>
      <w:r>
        <w:rPr>
          <w:rFonts w:hint="cs"/>
          <w:sz w:val="22"/>
          <w:szCs w:val="22"/>
          <w:rtl/>
        </w:rPr>
        <w:t>;</w:t>
      </w:r>
    </w:p>
    <w:p w:rsidR="00241BC2" w:rsidRDefault="00241BC2" w:rsidP="00241BC2">
      <w:pPr>
        <w:spacing w:after="60"/>
        <w:ind w:left="2160" w:hanging="720"/>
        <w:rPr>
          <w:sz w:val="22"/>
          <w:szCs w:val="22"/>
          <w:rtl/>
        </w:rPr>
      </w:pPr>
      <w:r>
        <w:rPr>
          <w:rFonts w:hint="cs"/>
          <w:sz w:val="22"/>
          <w:szCs w:val="22"/>
          <w:rtl/>
        </w:rPr>
        <w:t xml:space="preserve">או חובת פרסום באופנים אחרים; </w:t>
      </w:r>
    </w:p>
    <w:p w:rsidR="00241BC2" w:rsidRDefault="00241BC2" w:rsidP="00241BC2">
      <w:pPr>
        <w:spacing w:after="60"/>
        <w:ind w:left="720"/>
        <w:rPr>
          <w:sz w:val="22"/>
          <w:szCs w:val="22"/>
          <w:rtl/>
        </w:rPr>
      </w:pPr>
      <w:r w:rsidRPr="0035338B">
        <w:rPr>
          <w:rFonts w:hint="cs"/>
          <w:sz w:val="22"/>
          <w:szCs w:val="22"/>
          <w:highlight w:val="yellow"/>
          <w:rtl/>
        </w:rPr>
        <w:t>חובת הפומביות</w:t>
      </w:r>
      <w:r>
        <w:rPr>
          <w:rFonts w:hint="cs"/>
          <w:sz w:val="22"/>
          <w:szCs w:val="22"/>
          <w:rtl/>
        </w:rPr>
        <w:t xml:space="preserve"> של הליכים מגוונים (תהליכי החקיקה, הליכים שיפוטיים ומעין-שיפוטיים ועוד); </w:t>
      </w:r>
    </w:p>
    <w:p w:rsidR="00241BC2" w:rsidRDefault="00241BC2" w:rsidP="00241BC2">
      <w:pPr>
        <w:spacing w:after="60"/>
        <w:ind w:left="720"/>
        <w:rPr>
          <w:sz w:val="22"/>
          <w:szCs w:val="22"/>
          <w:rtl/>
        </w:rPr>
      </w:pPr>
      <w:r w:rsidRPr="0035338B">
        <w:rPr>
          <w:rFonts w:hint="cs"/>
          <w:sz w:val="22"/>
          <w:szCs w:val="22"/>
          <w:highlight w:val="yellow"/>
          <w:rtl/>
        </w:rPr>
        <w:t>הזכות לחופש מידע</w:t>
      </w:r>
      <w:r>
        <w:rPr>
          <w:rFonts w:hint="cs"/>
          <w:sz w:val="22"/>
          <w:szCs w:val="22"/>
          <w:rtl/>
        </w:rPr>
        <w:t xml:space="preserve">; </w:t>
      </w:r>
    </w:p>
    <w:p w:rsidR="00241BC2" w:rsidRDefault="00241BC2" w:rsidP="00241BC2">
      <w:pPr>
        <w:spacing w:after="60"/>
        <w:ind w:left="720"/>
        <w:rPr>
          <w:sz w:val="22"/>
          <w:szCs w:val="22"/>
          <w:rtl/>
        </w:rPr>
      </w:pPr>
      <w:r w:rsidRPr="0035338B">
        <w:rPr>
          <w:rFonts w:hint="cs"/>
          <w:sz w:val="22"/>
          <w:szCs w:val="22"/>
          <w:highlight w:val="yellow"/>
          <w:rtl/>
        </w:rPr>
        <w:t>"זכות הטיעון"</w:t>
      </w:r>
      <w:r>
        <w:rPr>
          <w:rFonts w:hint="cs"/>
          <w:sz w:val="22"/>
          <w:szCs w:val="22"/>
          <w:rtl/>
        </w:rPr>
        <w:t xml:space="preserve"> (במסגרת כללי הצדק הטבעי, שבהם נתחיל לעסוק בפגישה הקרובה); </w:t>
      </w:r>
    </w:p>
    <w:p w:rsidR="00241BC2" w:rsidRDefault="00241BC2" w:rsidP="00241BC2">
      <w:pPr>
        <w:spacing w:after="60"/>
        <w:ind w:left="720"/>
        <w:rPr>
          <w:sz w:val="22"/>
          <w:szCs w:val="22"/>
          <w:rtl/>
        </w:rPr>
      </w:pPr>
      <w:r>
        <w:rPr>
          <w:rFonts w:hint="cs"/>
          <w:sz w:val="22"/>
          <w:szCs w:val="22"/>
          <w:rtl/>
        </w:rPr>
        <w:t xml:space="preserve">חובות </w:t>
      </w:r>
      <w:r w:rsidRPr="0035338B">
        <w:rPr>
          <w:rFonts w:hint="cs"/>
          <w:sz w:val="22"/>
          <w:szCs w:val="22"/>
          <w:highlight w:val="yellow"/>
          <w:rtl/>
        </w:rPr>
        <w:t>היוועצות</w:t>
      </w:r>
      <w:r>
        <w:rPr>
          <w:rFonts w:hint="cs"/>
          <w:sz w:val="22"/>
          <w:szCs w:val="22"/>
          <w:rtl/>
        </w:rPr>
        <w:t xml:space="preserve"> המוטלות בהקשרים שונים; </w:t>
      </w:r>
    </w:p>
    <w:p w:rsidR="00241BC2" w:rsidRDefault="00241BC2" w:rsidP="00241BC2">
      <w:pPr>
        <w:spacing w:after="120"/>
        <w:ind w:left="720"/>
        <w:rPr>
          <w:sz w:val="22"/>
          <w:szCs w:val="22"/>
          <w:rtl/>
        </w:rPr>
      </w:pPr>
      <w:r w:rsidRPr="0035338B">
        <w:rPr>
          <w:rFonts w:hint="cs"/>
          <w:sz w:val="22"/>
          <w:szCs w:val="22"/>
          <w:highlight w:val="yellow"/>
          <w:rtl/>
        </w:rPr>
        <w:t>חובת הנמקה</w:t>
      </w:r>
      <w:r>
        <w:rPr>
          <w:rFonts w:hint="cs"/>
          <w:sz w:val="22"/>
          <w:szCs w:val="22"/>
          <w:rtl/>
        </w:rPr>
        <w:t>, ועוד.</w:t>
      </w:r>
    </w:p>
    <w:p w:rsidR="00241BC2" w:rsidRDefault="00241BC2" w:rsidP="00241BC2">
      <w:pPr>
        <w:spacing w:after="120"/>
        <w:rPr>
          <w:sz w:val="22"/>
          <w:szCs w:val="22"/>
          <w:rtl/>
        </w:rPr>
      </w:pPr>
      <w:r>
        <w:rPr>
          <w:rFonts w:hint="cs"/>
          <w:sz w:val="22"/>
          <w:szCs w:val="22"/>
          <w:rtl/>
        </w:rPr>
        <w:t xml:space="preserve">מה, קונקרטית יותר, משרתות החובות הנזכרות? </w:t>
      </w:r>
      <w:r>
        <w:rPr>
          <w:sz w:val="22"/>
          <w:szCs w:val="22"/>
          <w:rtl/>
        </w:rPr>
        <w:t>–</w:t>
      </w:r>
      <w:r>
        <w:rPr>
          <w:rFonts w:hint="cs"/>
          <w:sz w:val="22"/>
          <w:szCs w:val="22"/>
          <w:rtl/>
        </w:rPr>
        <w:t xml:space="preserve"> התשובה היא, שהן משרתות </w:t>
      </w:r>
      <w:r w:rsidRPr="00B965AB">
        <w:rPr>
          <w:rFonts w:hint="cs"/>
          <w:sz w:val="22"/>
          <w:szCs w:val="22"/>
          <w:highlight w:val="yellow"/>
          <w:u w:val="single"/>
          <w:rtl/>
        </w:rPr>
        <w:t>הן</w:t>
      </w:r>
      <w:r w:rsidRPr="001B64E1">
        <w:rPr>
          <w:rFonts w:hint="cs"/>
          <w:sz w:val="22"/>
          <w:szCs w:val="22"/>
          <w:highlight w:val="yellow"/>
          <w:rtl/>
        </w:rPr>
        <w:t xml:space="preserve"> את האינטרס של הוגנות </w:t>
      </w:r>
      <w:r w:rsidRPr="00B965AB">
        <w:rPr>
          <w:rFonts w:hint="cs"/>
          <w:sz w:val="22"/>
          <w:szCs w:val="22"/>
          <w:highlight w:val="yellow"/>
          <w:u w:val="single"/>
          <w:rtl/>
        </w:rPr>
        <w:t>והן</w:t>
      </w:r>
      <w:r w:rsidRPr="001B64E1">
        <w:rPr>
          <w:rFonts w:hint="cs"/>
          <w:sz w:val="22"/>
          <w:szCs w:val="22"/>
          <w:highlight w:val="yellow"/>
          <w:rtl/>
        </w:rPr>
        <w:t xml:space="preserve"> את </w:t>
      </w:r>
      <w:r>
        <w:rPr>
          <w:rFonts w:hint="cs"/>
          <w:sz w:val="22"/>
          <w:szCs w:val="22"/>
          <w:highlight w:val="yellow"/>
          <w:rtl/>
        </w:rPr>
        <w:t>האינטרס</w:t>
      </w:r>
      <w:r w:rsidRPr="001B64E1">
        <w:rPr>
          <w:rFonts w:hint="cs"/>
          <w:sz w:val="22"/>
          <w:szCs w:val="22"/>
          <w:highlight w:val="yellow"/>
          <w:rtl/>
        </w:rPr>
        <w:t xml:space="preserve"> של היעילות</w:t>
      </w:r>
      <w:r>
        <w:rPr>
          <w:rFonts w:hint="cs"/>
          <w:sz w:val="22"/>
          <w:szCs w:val="22"/>
          <w:rtl/>
        </w:rPr>
        <w:t xml:space="preserve"> (הגם שמדובר בשני אינטרסים שיש ביניהם גם מתח, מתח שיוזכר מייד). מדוע?</w:t>
      </w:r>
    </w:p>
    <w:p w:rsidR="00241BC2" w:rsidRDefault="00241BC2" w:rsidP="00241BC2">
      <w:pPr>
        <w:spacing w:after="60"/>
        <w:ind w:left="1440" w:hanging="720"/>
        <w:rPr>
          <w:sz w:val="22"/>
          <w:szCs w:val="22"/>
          <w:rtl/>
        </w:rPr>
      </w:pPr>
      <w:r w:rsidRPr="000F4C8B">
        <w:rPr>
          <w:rFonts w:hint="cs"/>
          <w:sz w:val="22"/>
          <w:szCs w:val="22"/>
          <w:rtl/>
        </w:rPr>
        <w:t>החובות הללו תורמות מאד</w:t>
      </w:r>
      <w:r>
        <w:rPr>
          <w:rFonts w:hint="cs"/>
          <w:b/>
          <w:bCs/>
          <w:sz w:val="22"/>
          <w:szCs w:val="22"/>
          <w:rtl/>
        </w:rPr>
        <w:t xml:space="preserve"> ליתר וודאות/ ליתר בהירות באמצעות הבאת דברים חשובים לידיעת </w:t>
      </w:r>
      <w:r w:rsidRPr="00490D14">
        <w:rPr>
          <w:rFonts w:hint="cs"/>
          <w:b/>
          <w:bCs/>
          <w:sz w:val="22"/>
          <w:szCs w:val="22"/>
          <w:rtl/>
        </w:rPr>
        <w:t>בני</w:t>
      </w:r>
      <w:r>
        <w:rPr>
          <w:rFonts w:hint="cs"/>
          <w:b/>
          <w:bCs/>
          <w:sz w:val="22"/>
          <w:szCs w:val="22"/>
          <w:rtl/>
        </w:rPr>
        <w:t>-</w:t>
      </w:r>
      <w:r w:rsidRPr="00490D14">
        <w:rPr>
          <w:rFonts w:hint="cs"/>
          <w:b/>
          <w:bCs/>
          <w:sz w:val="22"/>
          <w:szCs w:val="22"/>
          <w:rtl/>
        </w:rPr>
        <w:t>החברה</w:t>
      </w:r>
      <w:r>
        <w:rPr>
          <w:rFonts w:hint="cs"/>
          <w:sz w:val="22"/>
          <w:szCs w:val="22"/>
          <w:rtl/>
        </w:rPr>
        <w:t>, כיצד? המשפט הוא מערכת של הכוונה חברתית, והנה הכוונה נשענת על מוּדעוּת;</w:t>
      </w:r>
    </w:p>
    <w:p w:rsidR="00241BC2" w:rsidRDefault="00241BC2" w:rsidP="00241BC2">
      <w:pPr>
        <w:spacing w:after="60"/>
        <w:ind w:left="1440" w:hanging="720"/>
        <w:rPr>
          <w:sz w:val="22"/>
          <w:szCs w:val="22"/>
          <w:rtl/>
        </w:rPr>
      </w:pPr>
      <w:r w:rsidRPr="00490D14">
        <w:rPr>
          <w:rFonts w:hint="cs"/>
          <w:b/>
          <w:bCs/>
          <w:sz w:val="22"/>
          <w:szCs w:val="22"/>
          <w:rtl/>
        </w:rPr>
        <w:t>חובת ההוגנות</w:t>
      </w:r>
      <w:r>
        <w:rPr>
          <w:rFonts w:hint="cs"/>
          <w:sz w:val="22"/>
          <w:szCs w:val="22"/>
          <w:rtl/>
        </w:rPr>
        <w:t>: אם המשפט בהכוונתו משתמש, בין היתר, באמצעים/ בכלים של הכוונה מסוג של הגבלה/ סנקציה וכדומה, הרי ראוי שכלים אלו יהיו ידועים מראש, להבדיל מבדיעבד. "אין עונשין אלא אם מזהירין". "עונש" במובן הרחב, של פגיעה בזכות שלנו או פגיעה באינטרס-מוקנה שלנו;</w:t>
      </w:r>
    </w:p>
    <w:p w:rsidR="00241BC2" w:rsidRPr="00490D14" w:rsidRDefault="00241BC2" w:rsidP="00241BC2">
      <w:pPr>
        <w:spacing w:after="60"/>
        <w:ind w:left="1440" w:hanging="720"/>
        <w:rPr>
          <w:sz w:val="22"/>
          <w:szCs w:val="22"/>
          <w:rtl/>
        </w:rPr>
      </w:pPr>
      <w:r>
        <w:rPr>
          <w:rFonts w:hint="cs"/>
          <w:b/>
          <w:bCs/>
          <w:sz w:val="22"/>
          <w:szCs w:val="22"/>
          <w:rtl/>
        </w:rPr>
        <w:t xml:space="preserve">קיומו של דיאלוג בין השלטון והבירוקרטיה השלטונית לבין הציבור </w:t>
      </w:r>
      <w:r>
        <w:rPr>
          <w:b/>
          <w:bCs/>
          <w:sz w:val="22"/>
          <w:szCs w:val="22"/>
          <w:rtl/>
        </w:rPr>
        <w:t>–</w:t>
      </w:r>
      <w:r>
        <w:rPr>
          <w:rFonts w:hint="cs"/>
          <w:b/>
          <w:bCs/>
          <w:sz w:val="22"/>
          <w:szCs w:val="22"/>
          <w:rtl/>
        </w:rPr>
        <w:t xml:space="preserve"> החובות ממשפחות החובות הנזכרות מאפשרות תגובה מצד הציבור או מצד בני-אדם רלוונטיים בקרבו</w:t>
      </w:r>
      <w:r>
        <w:rPr>
          <w:rFonts w:hint="cs"/>
          <w:sz w:val="22"/>
          <w:szCs w:val="22"/>
          <w:rtl/>
        </w:rPr>
        <w:t xml:space="preserve">: הדיאלוג האפשרי מגדיל את הפוטנציאל לקבלת החלטה שקולה יותר ומבוססת יותר.  </w:t>
      </w:r>
    </w:p>
    <w:p w:rsidR="00241BC2" w:rsidRDefault="00241BC2" w:rsidP="00241BC2">
      <w:pPr>
        <w:spacing w:after="120"/>
        <w:ind w:left="1440" w:hanging="720"/>
        <w:rPr>
          <w:sz w:val="22"/>
          <w:szCs w:val="22"/>
          <w:rtl/>
        </w:rPr>
      </w:pPr>
      <w:r w:rsidRPr="00C94FCC">
        <w:rPr>
          <w:rFonts w:hint="cs"/>
          <w:sz w:val="22"/>
          <w:szCs w:val="22"/>
          <w:rtl/>
        </w:rPr>
        <w:t xml:space="preserve">החובות הנזכרות משרתות גם את </w:t>
      </w:r>
      <w:r>
        <w:rPr>
          <w:rFonts w:hint="cs"/>
          <w:b/>
          <w:bCs/>
          <w:sz w:val="22"/>
          <w:szCs w:val="22"/>
          <w:rtl/>
        </w:rPr>
        <w:t>אפשרות הפעולה של גורמי הבקרה שמלווים את פעולת הרשות</w:t>
      </w:r>
      <w:r>
        <w:rPr>
          <w:rFonts w:hint="cs"/>
          <w:sz w:val="22"/>
          <w:szCs w:val="22"/>
          <w:rtl/>
        </w:rPr>
        <w:t xml:space="preserve"> </w:t>
      </w:r>
      <w:r>
        <w:rPr>
          <w:sz w:val="22"/>
          <w:szCs w:val="22"/>
          <w:rtl/>
        </w:rPr>
        <w:t>–</w:t>
      </w:r>
      <w:r>
        <w:rPr>
          <w:rFonts w:hint="cs"/>
          <w:sz w:val="22"/>
          <w:szCs w:val="22"/>
          <w:rtl/>
        </w:rPr>
        <w:t xml:space="preserve"> גורמי בקרה רשמיים, וגורמים של "החברה האזרחית" (התקשורת, ארגוני החברה האזרחית).</w:t>
      </w:r>
    </w:p>
    <w:p w:rsidR="00241BC2" w:rsidRDefault="00241BC2" w:rsidP="00241BC2">
      <w:pPr>
        <w:spacing w:after="120"/>
        <w:rPr>
          <w:sz w:val="22"/>
          <w:szCs w:val="22"/>
          <w:rtl/>
        </w:rPr>
      </w:pPr>
      <w:r w:rsidRPr="00C94FCC">
        <w:rPr>
          <w:rFonts w:hint="cs"/>
          <w:sz w:val="22"/>
          <w:szCs w:val="22"/>
          <w:highlight w:val="yellow"/>
          <w:u w:val="single"/>
          <w:rtl/>
        </w:rPr>
        <w:t xml:space="preserve">עם זאת, לשקיפות אין רק יתרונות (של הוגנות ושל יעילות) אלא </w:t>
      </w:r>
      <w:r w:rsidRPr="00C94FCC">
        <w:rPr>
          <w:rFonts w:hint="cs"/>
          <w:b/>
          <w:bCs/>
          <w:sz w:val="22"/>
          <w:szCs w:val="22"/>
          <w:highlight w:val="yellow"/>
          <w:u w:val="single"/>
          <w:rtl/>
        </w:rPr>
        <w:t>גם מחיר</w:t>
      </w:r>
      <w:r w:rsidRPr="00C94FCC">
        <w:rPr>
          <w:rFonts w:hint="cs"/>
          <w:sz w:val="22"/>
          <w:szCs w:val="22"/>
          <w:highlight w:val="yellow"/>
          <w:u w:val="single"/>
          <w:rtl/>
        </w:rPr>
        <w:t xml:space="preserve">, ולעיתים הוא מחיר כבד, </w:t>
      </w:r>
      <w:r w:rsidRPr="008166B6">
        <w:rPr>
          <w:rFonts w:hint="cs"/>
          <w:b/>
          <w:bCs/>
          <w:sz w:val="22"/>
          <w:szCs w:val="22"/>
          <w:highlight w:val="yellow"/>
          <w:u w:val="single"/>
          <w:rtl/>
        </w:rPr>
        <w:t>במונחי יעילות</w:t>
      </w:r>
      <w:r w:rsidRPr="008166B6">
        <w:rPr>
          <w:rFonts w:hint="cs"/>
          <w:sz w:val="22"/>
          <w:szCs w:val="22"/>
          <w:highlight w:val="yellow"/>
          <w:rtl/>
        </w:rPr>
        <w:t xml:space="preserve"> הפעילות השלטונית</w:t>
      </w:r>
      <w:r>
        <w:rPr>
          <w:rFonts w:hint="cs"/>
          <w:sz w:val="22"/>
          <w:szCs w:val="22"/>
          <w:rtl/>
        </w:rPr>
        <w:t xml:space="preserve">: </w:t>
      </w:r>
    </w:p>
    <w:p w:rsidR="00241BC2" w:rsidRDefault="00241BC2" w:rsidP="00241BC2">
      <w:pPr>
        <w:spacing w:after="60"/>
        <w:ind w:left="720"/>
        <w:rPr>
          <w:sz w:val="22"/>
          <w:szCs w:val="22"/>
          <w:rtl/>
        </w:rPr>
      </w:pPr>
      <w:r>
        <w:rPr>
          <w:rFonts w:hint="cs"/>
          <w:sz w:val="22"/>
          <w:szCs w:val="22"/>
          <w:rtl/>
        </w:rPr>
        <w:t xml:space="preserve">מדובר בעלויות אפשריות במונחי היכולת </w:t>
      </w:r>
      <w:r w:rsidRPr="00C94FCC">
        <w:rPr>
          <w:rFonts w:hint="cs"/>
          <w:b/>
          <w:bCs/>
          <w:sz w:val="22"/>
          <w:szCs w:val="22"/>
          <w:rtl/>
        </w:rPr>
        <w:t>להגיב בדחיפות</w:t>
      </w:r>
      <w:r>
        <w:rPr>
          <w:rFonts w:hint="cs"/>
          <w:sz w:val="22"/>
          <w:szCs w:val="22"/>
          <w:rtl/>
        </w:rPr>
        <w:t xml:space="preserve"> או </w:t>
      </w:r>
      <w:r w:rsidRPr="00C94FCC">
        <w:rPr>
          <w:rFonts w:hint="cs"/>
          <w:b/>
          <w:bCs/>
          <w:sz w:val="22"/>
          <w:szCs w:val="22"/>
          <w:rtl/>
        </w:rPr>
        <w:t>לשמור על סודיות</w:t>
      </w:r>
      <w:r>
        <w:rPr>
          <w:rFonts w:hint="cs"/>
          <w:sz w:val="22"/>
          <w:szCs w:val="22"/>
          <w:rtl/>
        </w:rPr>
        <w:t xml:space="preserve">, וכן </w:t>
      </w:r>
      <w:r w:rsidRPr="00C94FCC">
        <w:rPr>
          <w:rFonts w:hint="cs"/>
          <w:b/>
          <w:bCs/>
          <w:sz w:val="22"/>
          <w:szCs w:val="22"/>
          <w:rtl/>
        </w:rPr>
        <w:t>עלויות כוח</w:t>
      </w:r>
      <w:r>
        <w:rPr>
          <w:rFonts w:hint="cs"/>
          <w:b/>
          <w:bCs/>
          <w:sz w:val="22"/>
          <w:szCs w:val="22"/>
          <w:rtl/>
        </w:rPr>
        <w:t>-</w:t>
      </w:r>
      <w:r w:rsidRPr="00C94FCC">
        <w:rPr>
          <w:rFonts w:hint="cs"/>
          <w:b/>
          <w:bCs/>
          <w:sz w:val="22"/>
          <w:szCs w:val="22"/>
          <w:rtl/>
        </w:rPr>
        <w:t>אדם</w:t>
      </w:r>
      <w:r>
        <w:rPr>
          <w:rFonts w:hint="cs"/>
          <w:sz w:val="22"/>
          <w:szCs w:val="22"/>
          <w:rtl/>
        </w:rPr>
        <w:t xml:space="preserve"> או </w:t>
      </w:r>
      <w:r w:rsidRPr="00C94FCC">
        <w:rPr>
          <w:rFonts w:hint="cs"/>
          <w:b/>
          <w:bCs/>
          <w:sz w:val="22"/>
          <w:szCs w:val="22"/>
          <w:rtl/>
        </w:rPr>
        <w:t>עלויות תקציב נוספות</w:t>
      </w:r>
      <w:r>
        <w:rPr>
          <w:rFonts w:hint="cs"/>
          <w:sz w:val="22"/>
          <w:szCs w:val="22"/>
          <w:rtl/>
        </w:rPr>
        <w:t>.</w:t>
      </w:r>
    </w:p>
    <w:p w:rsidR="00241BC2" w:rsidRDefault="00241BC2" w:rsidP="00241BC2">
      <w:pPr>
        <w:spacing w:after="60"/>
        <w:ind w:left="720"/>
        <w:rPr>
          <w:b/>
          <w:bCs/>
          <w:sz w:val="22"/>
          <w:szCs w:val="22"/>
          <w:rtl/>
        </w:rPr>
      </w:pPr>
      <w:r>
        <w:rPr>
          <w:rFonts w:hint="cs"/>
          <w:sz w:val="22"/>
          <w:szCs w:val="22"/>
          <w:rtl/>
        </w:rPr>
        <w:t xml:space="preserve">לכן החובות המתגבשות במישור השקיפות הן מסויגות. </w:t>
      </w:r>
    </w:p>
    <w:p w:rsidR="00241BC2" w:rsidRDefault="00241BC2" w:rsidP="00241BC2">
      <w:pPr>
        <w:spacing w:after="120"/>
        <w:ind w:left="720"/>
        <w:rPr>
          <w:b/>
          <w:bCs/>
          <w:sz w:val="22"/>
          <w:szCs w:val="22"/>
          <w:rtl/>
        </w:rPr>
      </w:pPr>
      <w:r w:rsidRPr="00234FA3">
        <w:rPr>
          <w:rFonts w:hint="cs"/>
          <w:b/>
          <w:bCs/>
          <w:sz w:val="22"/>
          <w:szCs w:val="22"/>
          <w:rtl/>
        </w:rPr>
        <w:t>באילו סייגים</w:t>
      </w:r>
      <w:r>
        <w:rPr>
          <w:rFonts w:hint="cs"/>
          <w:b/>
          <w:bCs/>
          <w:sz w:val="22"/>
          <w:szCs w:val="22"/>
          <w:rtl/>
        </w:rPr>
        <w:t xml:space="preserve"> הן מסויגות</w:t>
      </w:r>
      <w:r w:rsidRPr="00234FA3">
        <w:rPr>
          <w:rFonts w:hint="cs"/>
          <w:b/>
          <w:bCs/>
          <w:sz w:val="22"/>
          <w:szCs w:val="22"/>
          <w:rtl/>
        </w:rPr>
        <w:t xml:space="preserve">? </w:t>
      </w:r>
    </w:p>
    <w:p w:rsidR="00241BC2" w:rsidRPr="00234FA3" w:rsidRDefault="00241BC2" w:rsidP="00241BC2">
      <w:pPr>
        <w:spacing w:after="120"/>
        <w:ind w:left="720"/>
        <w:rPr>
          <w:b/>
          <w:bCs/>
          <w:sz w:val="22"/>
          <w:szCs w:val="22"/>
          <w:rtl/>
        </w:rPr>
      </w:pPr>
      <w:r w:rsidRPr="00234FA3">
        <w:rPr>
          <w:rFonts w:hint="cs"/>
          <w:b/>
          <w:bCs/>
          <w:sz w:val="22"/>
          <w:szCs w:val="22"/>
          <w:rtl/>
        </w:rPr>
        <w:t xml:space="preserve">האם הסייגים מוצדקים? מתי נרצה </w:t>
      </w:r>
      <w:r>
        <w:rPr>
          <w:rFonts w:hint="cs"/>
          <w:b/>
          <w:bCs/>
          <w:sz w:val="22"/>
          <w:szCs w:val="22"/>
          <w:rtl/>
        </w:rPr>
        <w:t xml:space="preserve">כחברה, </w:t>
      </w:r>
      <w:r w:rsidRPr="00234FA3">
        <w:rPr>
          <w:rFonts w:hint="cs"/>
          <w:b/>
          <w:bCs/>
          <w:sz w:val="22"/>
          <w:szCs w:val="22"/>
          <w:rtl/>
        </w:rPr>
        <w:t xml:space="preserve">שיחולו פחות סייגים על השקיפות? </w:t>
      </w:r>
    </w:p>
    <w:p w:rsidR="00241BC2" w:rsidRDefault="00241BC2" w:rsidP="00241BC2">
      <w:pPr>
        <w:rPr>
          <w:rFonts w:ascii="Arial" w:hAnsi="Arial" w:cs="David"/>
          <w:sz w:val="20"/>
          <w:szCs w:val="20"/>
          <w:rtl/>
        </w:rPr>
      </w:pPr>
      <w:r>
        <w:rPr>
          <w:rFonts w:ascii="Arial" w:hAnsi="Arial" w:cs="David" w:hint="cs"/>
          <w:sz w:val="20"/>
          <w:szCs w:val="20"/>
          <w:rtl/>
        </w:rPr>
        <w:t>=-=</w:t>
      </w:r>
    </w:p>
    <w:p w:rsidR="00241BC2" w:rsidRDefault="00241BC2" w:rsidP="00241BC2">
      <w:pPr>
        <w:rPr>
          <w:rFonts w:ascii="Arial" w:hAnsi="Arial" w:cs="David"/>
          <w:sz w:val="20"/>
          <w:szCs w:val="20"/>
          <w:rtl/>
        </w:rPr>
      </w:pPr>
    </w:p>
    <w:p w:rsidR="00241BC2" w:rsidRPr="00953946" w:rsidRDefault="00241BC2" w:rsidP="00241BC2">
      <w:pPr>
        <w:spacing w:after="120"/>
        <w:jc w:val="center"/>
        <w:rPr>
          <w:rFonts w:ascii="Arial" w:hAnsi="Arial" w:cs="Arial"/>
          <w:b/>
          <w:bCs/>
          <w:rtl/>
        </w:rPr>
      </w:pPr>
      <w:r w:rsidRPr="00953946">
        <w:rPr>
          <w:rFonts w:ascii="Arial" w:hAnsi="Arial" w:cs="Arial" w:hint="cs"/>
          <w:b/>
          <w:bCs/>
          <w:highlight w:val="yellow"/>
          <w:rtl/>
        </w:rPr>
        <w:t xml:space="preserve">חובת הפרסום ברשומות: פקודה/חוק וכן </w:t>
      </w:r>
      <w:r w:rsidRPr="00953946">
        <w:rPr>
          <w:rFonts w:ascii="Arial" w:hAnsi="Arial" w:cs="Arial"/>
          <w:b/>
          <w:bCs/>
          <w:highlight w:val="yellow"/>
          <w:rtl/>
        </w:rPr>
        <w:t>"תקנה"</w:t>
      </w:r>
      <w:r w:rsidRPr="00953946">
        <w:rPr>
          <w:rFonts w:ascii="Arial" w:hAnsi="Arial" w:cs="Arial"/>
          <w:highlight w:val="yellow"/>
          <w:rtl/>
        </w:rPr>
        <w:t xml:space="preserve"> </w:t>
      </w:r>
      <w:r w:rsidRPr="00953946">
        <w:rPr>
          <w:rFonts w:ascii="Arial" w:hAnsi="Arial" w:cs="Arial"/>
          <w:b/>
          <w:bCs/>
          <w:highlight w:val="yellow"/>
          <w:rtl/>
        </w:rPr>
        <w:t>"בת פועל תחיקתי"</w:t>
      </w:r>
    </w:p>
    <w:p w:rsidR="00241BC2" w:rsidRPr="00A95752" w:rsidRDefault="00241BC2" w:rsidP="00241BC2">
      <w:pPr>
        <w:spacing w:after="120"/>
        <w:rPr>
          <w:rFonts w:cs="David"/>
          <w:b/>
          <w:bCs/>
          <w:sz w:val="20"/>
          <w:szCs w:val="20"/>
          <w:rtl/>
        </w:rPr>
      </w:pPr>
      <w:r w:rsidRPr="00A95752">
        <w:rPr>
          <w:rFonts w:cs="David" w:hint="cs"/>
          <w:b/>
          <w:bCs/>
          <w:sz w:val="20"/>
          <w:szCs w:val="20"/>
          <w:rtl/>
        </w:rPr>
        <w:t>פקודת סדרי השלטון והמשפט, תש"ח-1948</w:t>
      </w:r>
    </w:p>
    <w:p w:rsidR="00241BC2" w:rsidRPr="00A95752" w:rsidRDefault="00241BC2" w:rsidP="00241BC2">
      <w:pPr>
        <w:ind w:left="720"/>
        <w:rPr>
          <w:rFonts w:cs="David"/>
          <w:sz w:val="20"/>
          <w:szCs w:val="20"/>
          <w:rtl/>
        </w:rPr>
      </w:pPr>
      <w:r w:rsidRPr="00A95752">
        <w:rPr>
          <w:rFonts w:cs="David" w:hint="cs"/>
          <w:sz w:val="20"/>
          <w:szCs w:val="20"/>
          <w:rtl/>
        </w:rPr>
        <w:t xml:space="preserve">10. [רשומות] [תיקונים: התשי"ב (מס' 2), התשמ"א]  </w:t>
      </w:r>
    </w:p>
    <w:p w:rsidR="00241BC2" w:rsidRPr="00A95752" w:rsidRDefault="00241BC2" w:rsidP="00241BC2">
      <w:pPr>
        <w:ind w:left="1440"/>
        <w:rPr>
          <w:rFonts w:cs="David"/>
          <w:sz w:val="20"/>
          <w:szCs w:val="20"/>
          <w:rtl/>
        </w:rPr>
      </w:pPr>
      <w:r w:rsidRPr="00C34D04">
        <w:rPr>
          <w:rFonts w:cs="David" w:hint="cs"/>
          <w:sz w:val="20"/>
          <w:szCs w:val="20"/>
          <w:highlight w:val="yellow"/>
          <w:rtl/>
        </w:rPr>
        <w:t>(א)  כל פקודה תקבל תוקף ביום פרסומה ברשומות, בלתי אם נקבע בה כי תקבל תוקף בתאריך מוקדם או מאוחר מיום הפרסום.</w:t>
      </w:r>
    </w:p>
    <w:p w:rsidR="00241BC2" w:rsidRPr="00A95752" w:rsidRDefault="00241BC2" w:rsidP="00241BC2">
      <w:pPr>
        <w:ind w:left="1440"/>
        <w:rPr>
          <w:rFonts w:cs="David"/>
          <w:sz w:val="20"/>
          <w:szCs w:val="20"/>
          <w:rtl/>
        </w:rPr>
      </w:pPr>
      <w:r w:rsidRPr="00A95752">
        <w:rPr>
          <w:rFonts w:cs="David" w:hint="cs"/>
          <w:sz w:val="20"/>
          <w:szCs w:val="20"/>
          <w:rtl/>
        </w:rPr>
        <w:t>(ב)  פרסומה של פקודה ברשומות ישמש ראיה כי אותה פקודה ניתנה ונחתמה כדין.</w:t>
      </w:r>
    </w:p>
    <w:p w:rsidR="00241BC2" w:rsidRPr="00A95752" w:rsidRDefault="00241BC2" w:rsidP="00241BC2">
      <w:pPr>
        <w:spacing w:after="120"/>
        <w:ind w:left="1440"/>
        <w:rPr>
          <w:rFonts w:cs="David"/>
          <w:sz w:val="20"/>
          <w:szCs w:val="20"/>
          <w:rtl/>
        </w:rPr>
      </w:pPr>
      <w:r w:rsidRPr="00C34D04">
        <w:rPr>
          <w:rFonts w:cs="David" w:hint="cs"/>
          <w:sz w:val="20"/>
          <w:szCs w:val="20"/>
          <w:highlight w:val="yellow"/>
          <w:rtl/>
        </w:rPr>
        <w:t>(ג)  הוראות סעיף זה חלות גם על תקנות כמשמעותן בסעיף 8 ועל תקנות-שעת-חירום, כמשמעותן בסעיף 9.</w:t>
      </w:r>
    </w:p>
    <w:p w:rsidR="00241BC2" w:rsidRPr="00A95752" w:rsidRDefault="00241BC2" w:rsidP="00241BC2">
      <w:pPr>
        <w:spacing w:after="120"/>
        <w:rPr>
          <w:rFonts w:cs="David"/>
          <w:b/>
          <w:bCs/>
          <w:sz w:val="20"/>
          <w:szCs w:val="20"/>
          <w:rtl/>
        </w:rPr>
      </w:pPr>
      <w:r w:rsidRPr="00501A81">
        <w:rPr>
          <w:rFonts w:cs="David" w:hint="cs"/>
          <w:b/>
          <w:bCs/>
          <w:sz w:val="20"/>
          <w:szCs w:val="20"/>
          <w:rtl/>
        </w:rPr>
        <w:t>פקודת הפרשנות [נוסח חדש]</w:t>
      </w:r>
    </w:p>
    <w:p w:rsidR="00241BC2" w:rsidRPr="00A95752" w:rsidRDefault="00241BC2" w:rsidP="00241BC2">
      <w:pPr>
        <w:ind w:left="720"/>
        <w:rPr>
          <w:rFonts w:cs="David"/>
          <w:sz w:val="20"/>
          <w:szCs w:val="20"/>
          <w:rtl/>
        </w:rPr>
      </w:pPr>
      <w:r w:rsidRPr="00A95752">
        <w:rPr>
          <w:rFonts w:cs="David" w:hint="cs"/>
          <w:sz w:val="20"/>
          <w:szCs w:val="20"/>
          <w:rtl/>
        </w:rPr>
        <w:t>17. [תחילת תקפן של תקנות בנות-פעל תחיקתי]</w:t>
      </w:r>
    </w:p>
    <w:p w:rsidR="00241BC2" w:rsidRPr="00501A81" w:rsidRDefault="00241BC2" w:rsidP="00241BC2">
      <w:pPr>
        <w:spacing w:after="120"/>
        <w:ind w:left="720"/>
        <w:rPr>
          <w:rFonts w:cs="David"/>
          <w:sz w:val="20"/>
          <w:szCs w:val="20"/>
          <w:rtl/>
        </w:rPr>
      </w:pPr>
      <w:r w:rsidRPr="00501A81">
        <w:rPr>
          <w:rFonts w:cs="David" w:hint="cs"/>
          <w:sz w:val="20"/>
          <w:szCs w:val="20"/>
          <w:highlight w:val="yellow"/>
          <w:rtl/>
        </w:rPr>
        <w:t>תקנות בנות-פעל תחיקתי יפורסמו ברשומות, ותחילת תקפן ביום פרסומן, אם אין הוראה אחרת בענין זה.</w:t>
      </w:r>
    </w:p>
    <w:p w:rsidR="00241BC2" w:rsidRPr="00A95752" w:rsidRDefault="00241BC2" w:rsidP="00241BC2">
      <w:pPr>
        <w:spacing w:after="120"/>
        <w:ind w:left="720"/>
        <w:rPr>
          <w:rFonts w:cs="David"/>
          <w:sz w:val="20"/>
          <w:szCs w:val="20"/>
          <w:rtl/>
        </w:rPr>
      </w:pPr>
      <w:r w:rsidRPr="00A95752">
        <w:rPr>
          <w:rFonts w:cs="David" w:hint="cs"/>
          <w:sz w:val="20"/>
          <w:szCs w:val="20"/>
          <w:rtl/>
        </w:rPr>
        <w:t>1</w:t>
      </w:r>
      <w:r>
        <w:rPr>
          <w:rFonts w:cs="David" w:hint="cs"/>
          <w:sz w:val="20"/>
          <w:szCs w:val="20"/>
          <w:rtl/>
        </w:rPr>
        <w:t>.</w:t>
      </w:r>
      <w:r w:rsidRPr="00A95752">
        <w:rPr>
          <w:rFonts w:cs="David" w:hint="cs"/>
          <w:sz w:val="20"/>
          <w:szCs w:val="20"/>
          <w:rtl/>
        </w:rPr>
        <w:t xml:space="preserve"> </w:t>
      </w:r>
      <w:r>
        <w:rPr>
          <w:rFonts w:cs="David" w:hint="cs"/>
          <w:sz w:val="20"/>
          <w:szCs w:val="20"/>
          <w:rtl/>
        </w:rPr>
        <w:t xml:space="preserve">[מונחים] </w:t>
      </w:r>
      <w:r w:rsidRPr="00A95752">
        <w:rPr>
          <w:rFonts w:cs="David" w:hint="cs"/>
          <w:sz w:val="20"/>
          <w:szCs w:val="20"/>
          <w:rtl/>
        </w:rPr>
        <w:t xml:space="preserve">[...] </w:t>
      </w:r>
      <w:r w:rsidRPr="00CB2D3C">
        <w:rPr>
          <w:rFonts w:cs="David"/>
          <w:b/>
          <w:bCs/>
          <w:sz w:val="20"/>
          <w:szCs w:val="20"/>
          <w:highlight w:val="green"/>
          <w:rtl/>
        </w:rPr>
        <w:t>"תקנה"</w:t>
      </w:r>
      <w:r w:rsidRPr="00A95752">
        <w:rPr>
          <w:rFonts w:cs="David"/>
          <w:sz w:val="20"/>
          <w:szCs w:val="20"/>
          <w:rtl/>
        </w:rPr>
        <w:t xml:space="preserve"> - תקנה, כלל, חוק-עזר, מנשר, אכרזה, צו, הוראה, הודעה, מודעה, או מסמך אחר, </w:t>
      </w:r>
      <w:r w:rsidRPr="00A95752">
        <w:rPr>
          <w:rFonts w:cs="David"/>
          <w:b/>
          <w:bCs/>
          <w:sz w:val="20"/>
          <w:szCs w:val="20"/>
          <w:rtl/>
        </w:rPr>
        <w:t>שניתנו מאת כל רשות</w:t>
      </w:r>
      <w:r w:rsidRPr="00A95752">
        <w:rPr>
          <w:rFonts w:cs="David"/>
          <w:sz w:val="20"/>
          <w:szCs w:val="20"/>
          <w:rtl/>
        </w:rPr>
        <w:t xml:space="preserve"> בארץ-ישראל או בישראל, בין לפני תחילת תקפה של פקודה זו ובין לאחריה, </w:t>
      </w:r>
      <w:r w:rsidRPr="00A95752">
        <w:rPr>
          <w:rFonts w:cs="David"/>
          <w:b/>
          <w:bCs/>
          <w:sz w:val="20"/>
          <w:szCs w:val="20"/>
          <w:rtl/>
        </w:rPr>
        <w:t>מכוח חוק</w:t>
      </w:r>
      <w:r w:rsidRPr="00A95752">
        <w:rPr>
          <w:rFonts w:cs="David"/>
          <w:sz w:val="20"/>
          <w:szCs w:val="20"/>
          <w:rtl/>
        </w:rPr>
        <w:t>, או מכוח אקט של הפרלמנט הבריטי או מכוח דבר-המלך-במועצה, לרבות צו, הוראה, הודעה, מודעה או מסמך אחר שניתנו על יסוד תקנה, כלל או חוק-עזר כאמור;</w:t>
      </w:r>
      <w:r w:rsidRPr="00A95752">
        <w:rPr>
          <w:rFonts w:cs="David" w:hint="cs"/>
          <w:sz w:val="20"/>
          <w:szCs w:val="20"/>
          <w:rtl/>
        </w:rPr>
        <w:t xml:space="preserve"> [...]</w:t>
      </w:r>
    </w:p>
    <w:p w:rsidR="00241BC2" w:rsidRPr="00A95752" w:rsidRDefault="00241BC2" w:rsidP="00241BC2">
      <w:pPr>
        <w:spacing w:after="120"/>
        <w:rPr>
          <w:rFonts w:cs="David"/>
          <w:b/>
          <w:bCs/>
          <w:sz w:val="20"/>
          <w:szCs w:val="20"/>
          <w:rtl/>
        </w:rPr>
      </w:pPr>
      <w:r w:rsidRPr="00A95752">
        <w:rPr>
          <w:rFonts w:cs="David" w:hint="cs"/>
          <w:b/>
          <w:bCs/>
          <w:sz w:val="20"/>
          <w:szCs w:val="20"/>
          <w:rtl/>
        </w:rPr>
        <w:t>חוק הפרשנות, תשמ"א-1981</w:t>
      </w:r>
    </w:p>
    <w:p w:rsidR="00241BC2" w:rsidRPr="00A95752" w:rsidRDefault="00241BC2" w:rsidP="00241BC2">
      <w:pPr>
        <w:ind w:left="720"/>
        <w:rPr>
          <w:rFonts w:cs="David"/>
          <w:sz w:val="20"/>
          <w:szCs w:val="20"/>
          <w:rtl/>
        </w:rPr>
      </w:pPr>
      <w:r w:rsidRPr="00A95752">
        <w:rPr>
          <w:rFonts w:cs="David" w:hint="cs"/>
          <w:sz w:val="20"/>
          <w:szCs w:val="20"/>
          <w:rtl/>
        </w:rPr>
        <w:t xml:space="preserve">3. [משמעותם של מלים וביטויים] </w:t>
      </w:r>
    </w:p>
    <w:p w:rsidR="00241BC2" w:rsidRPr="00A95752" w:rsidRDefault="00241BC2" w:rsidP="00241BC2">
      <w:pPr>
        <w:ind w:left="720"/>
        <w:rPr>
          <w:rFonts w:cs="David"/>
          <w:sz w:val="20"/>
          <w:szCs w:val="20"/>
          <w:rtl/>
        </w:rPr>
      </w:pPr>
      <w:r w:rsidRPr="00A95752">
        <w:rPr>
          <w:rFonts w:cs="David" w:hint="cs"/>
          <w:sz w:val="20"/>
          <w:szCs w:val="20"/>
          <w:rtl/>
        </w:rPr>
        <w:t>[...]</w:t>
      </w:r>
      <w:r w:rsidRPr="00A95752">
        <w:rPr>
          <w:rFonts w:cs="David" w:hint="cs"/>
          <w:b/>
          <w:bCs/>
          <w:sz w:val="20"/>
          <w:szCs w:val="20"/>
          <w:rtl/>
        </w:rPr>
        <w:t xml:space="preserve"> </w:t>
      </w:r>
      <w:r w:rsidRPr="00CB2D3C">
        <w:rPr>
          <w:rFonts w:cs="David" w:hint="cs"/>
          <w:b/>
          <w:bCs/>
          <w:sz w:val="20"/>
          <w:szCs w:val="20"/>
          <w:highlight w:val="green"/>
          <w:rtl/>
        </w:rPr>
        <w:t>"תקנה"</w:t>
      </w:r>
      <w:r w:rsidRPr="00A95752">
        <w:rPr>
          <w:rFonts w:cs="David" w:hint="cs"/>
          <w:sz w:val="20"/>
          <w:szCs w:val="20"/>
          <w:rtl/>
        </w:rPr>
        <w:t xml:space="preserve"> - </w:t>
      </w:r>
      <w:r w:rsidRPr="00CB2D3C">
        <w:rPr>
          <w:rFonts w:cs="David" w:hint="cs"/>
          <w:sz w:val="20"/>
          <w:szCs w:val="20"/>
          <w:highlight w:val="yellow"/>
          <w:rtl/>
        </w:rPr>
        <w:t>הוראה שניתנה מכוח חוק והיא בת-פעל תחיקתי.</w:t>
      </w:r>
    </w:p>
    <w:p w:rsidR="00241BC2" w:rsidRDefault="00241BC2" w:rsidP="00241BC2">
      <w:pPr>
        <w:spacing w:after="120"/>
        <w:ind w:left="1440" w:hanging="720"/>
        <w:rPr>
          <w:rFonts w:cs="David"/>
          <w:sz w:val="22"/>
          <w:szCs w:val="22"/>
          <w:rtl/>
        </w:rPr>
      </w:pPr>
      <w:r w:rsidRPr="00A95752">
        <w:rPr>
          <w:rFonts w:cs="David" w:hint="cs"/>
          <w:b/>
          <w:bCs/>
          <w:sz w:val="20"/>
          <w:szCs w:val="20"/>
          <w:rtl/>
        </w:rPr>
        <w:t>"הוראת מינהל"</w:t>
      </w:r>
      <w:r w:rsidRPr="00A95752">
        <w:rPr>
          <w:rFonts w:cs="David" w:hint="cs"/>
          <w:sz w:val="20"/>
          <w:szCs w:val="20"/>
          <w:rtl/>
        </w:rPr>
        <w:t xml:space="preserve"> - הוראה או מינוי - לרבות הודעה, מודעה, רשיון, היתר וכיוצא באלה - שניתנו בכתב מכוח חוק </w:t>
      </w:r>
      <w:r w:rsidRPr="008A5E53">
        <w:rPr>
          <w:rFonts w:cs="David" w:hint="cs"/>
          <w:b/>
          <w:bCs/>
          <w:sz w:val="20"/>
          <w:szCs w:val="20"/>
          <w:rtl/>
        </w:rPr>
        <w:t>ואינם</w:t>
      </w:r>
      <w:r w:rsidRPr="00A95752">
        <w:rPr>
          <w:rFonts w:cs="David" w:hint="cs"/>
          <w:sz w:val="20"/>
          <w:szCs w:val="20"/>
          <w:rtl/>
        </w:rPr>
        <w:t xml:space="preserve"> בני-פעל תחיקתי;</w:t>
      </w:r>
    </w:p>
    <w:p w:rsidR="00241BC2" w:rsidRPr="00D65AA9" w:rsidRDefault="00241BC2" w:rsidP="00241BC2">
      <w:pPr>
        <w:spacing w:after="120"/>
        <w:rPr>
          <w:rFonts w:cs="David"/>
          <w:b/>
          <w:bCs/>
          <w:sz w:val="20"/>
          <w:szCs w:val="20"/>
          <w:rtl/>
        </w:rPr>
      </w:pPr>
      <w:r w:rsidRPr="00D65AA9">
        <w:rPr>
          <w:rFonts w:cs="David" w:hint="cs"/>
          <w:b/>
          <w:bCs/>
          <w:sz w:val="20"/>
          <w:szCs w:val="20"/>
          <w:rtl/>
        </w:rPr>
        <w:t>חוק יסוד: הממשלה</w:t>
      </w:r>
    </w:p>
    <w:p w:rsidR="00241BC2" w:rsidRPr="00D65AA9" w:rsidRDefault="00241BC2" w:rsidP="00241BC2">
      <w:pPr>
        <w:ind w:left="720"/>
        <w:rPr>
          <w:rFonts w:cs="David"/>
          <w:sz w:val="20"/>
          <w:szCs w:val="20"/>
          <w:rtl/>
        </w:rPr>
      </w:pPr>
      <w:r w:rsidRPr="00D65AA9">
        <w:rPr>
          <w:rFonts w:cs="David"/>
          <w:sz w:val="20"/>
          <w:szCs w:val="20"/>
          <w:rtl/>
        </w:rPr>
        <w:t xml:space="preserve">39. </w:t>
      </w:r>
      <w:r w:rsidRPr="00D65AA9">
        <w:rPr>
          <w:rFonts w:cs="David" w:hint="cs"/>
          <w:sz w:val="20"/>
          <w:szCs w:val="20"/>
          <w:rtl/>
        </w:rPr>
        <w:t>[</w:t>
      </w:r>
      <w:r w:rsidRPr="00D65AA9">
        <w:rPr>
          <w:rFonts w:cs="David"/>
          <w:sz w:val="20"/>
          <w:szCs w:val="20"/>
          <w:rtl/>
        </w:rPr>
        <w:t>התקנת תקנות שעת חירום</w:t>
      </w:r>
      <w:r w:rsidRPr="00D65AA9">
        <w:rPr>
          <w:rFonts w:cs="David" w:hint="cs"/>
          <w:sz w:val="20"/>
          <w:szCs w:val="20"/>
          <w:rtl/>
        </w:rPr>
        <w:t>]</w:t>
      </w:r>
      <w:r w:rsidRPr="00D65AA9">
        <w:rPr>
          <w:rFonts w:cs="David"/>
          <w:sz w:val="20"/>
          <w:szCs w:val="20"/>
          <w:rtl/>
        </w:rPr>
        <w:t xml:space="preserve"> </w:t>
      </w:r>
    </w:p>
    <w:p w:rsidR="00241BC2" w:rsidRPr="00D65AA9" w:rsidRDefault="00241BC2" w:rsidP="00241BC2">
      <w:pPr>
        <w:ind w:left="1440"/>
        <w:rPr>
          <w:rFonts w:cs="David"/>
          <w:sz w:val="20"/>
          <w:szCs w:val="20"/>
          <w:rtl/>
        </w:rPr>
      </w:pPr>
      <w:r w:rsidRPr="00D65AA9">
        <w:rPr>
          <w:rFonts w:cs="David" w:hint="cs"/>
          <w:sz w:val="20"/>
          <w:szCs w:val="20"/>
          <w:rtl/>
        </w:rPr>
        <w:t xml:space="preserve">[...] </w:t>
      </w:r>
      <w:r w:rsidRPr="00D65AA9">
        <w:rPr>
          <w:rFonts w:cs="David"/>
          <w:sz w:val="20"/>
          <w:szCs w:val="20"/>
          <w:highlight w:val="yellow"/>
          <w:rtl/>
        </w:rPr>
        <w:t>(ז) תקנות שעת חירום ייכנסו לתוקף עם פרסומן ברשומות; לא ניתן לפרסמן ברשומות, הן יפורסמו בדרך מתאימה אחרת, ובלבד שיפורסמו ברשומות מיד כשניתן יהיה לעשות כן.</w:t>
      </w:r>
    </w:p>
    <w:p w:rsidR="00241BC2" w:rsidRPr="00A95752" w:rsidRDefault="00241BC2" w:rsidP="00241BC2">
      <w:pPr>
        <w:spacing w:after="120"/>
        <w:rPr>
          <w:rFonts w:cs="David"/>
          <w:sz w:val="22"/>
          <w:szCs w:val="22"/>
          <w:rtl/>
        </w:rPr>
      </w:pPr>
      <w:r>
        <w:rPr>
          <w:rFonts w:cs="David" w:hint="cs"/>
          <w:sz w:val="22"/>
          <w:szCs w:val="22"/>
          <w:rtl/>
        </w:rPr>
        <w:t>=-=</w:t>
      </w:r>
    </w:p>
    <w:p w:rsidR="00241BC2" w:rsidRPr="00FA3A90" w:rsidRDefault="00241BC2" w:rsidP="00241BC2">
      <w:pPr>
        <w:spacing w:after="120"/>
        <w:ind w:left="720"/>
        <w:rPr>
          <w:rtl/>
        </w:rPr>
      </w:pPr>
      <w:r w:rsidRPr="00FA3A90">
        <w:rPr>
          <w:rFonts w:hint="cs"/>
          <w:highlight w:val="yellow"/>
          <w:rtl/>
        </w:rPr>
        <w:t>השופט זוסמן ב</w:t>
      </w:r>
      <w:r>
        <w:rPr>
          <w:rFonts w:hint="cs"/>
          <w:b/>
          <w:bCs/>
          <w:highlight w:val="yellow"/>
          <w:rtl/>
        </w:rPr>
        <w:t xml:space="preserve">יועץ המשפטי נ' </w:t>
      </w:r>
      <w:r w:rsidRPr="00FA3A90">
        <w:rPr>
          <w:rFonts w:hint="cs"/>
          <w:b/>
          <w:bCs/>
          <w:highlight w:val="yellow"/>
          <w:rtl/>
        </w:rPr>
        <w:t>אלכסנדרוביץ</w:t>
      </w:r>
      <w:r w:rsidRPr="00FA3A90">
        <w:rPr>
          <w:rFonts w:hint="cs"/>
          <w:highlight w:val="yellow"/>
          <w:rtl/>
        </w:rPr>
        <w:t xml:space="preserve"> (עמ' 701)</w:t>
      </w:r>
    </w:p>
    <w:p w:rsidR="00241BC2" w:rsidRDefault="00241BC2" w:rsidP="00241BC2">
      <w:pPr>
        <w:spacing w:after="120"/>
        <w:ind w:left="720"/>
        <w:rPr>
          <w:rFonts w:cs="FrankRuehl"/>
          <w:rtl/>
        </w:rPr>
      </w:pPr>
      <w:r>
        <w:rPr>
          <w:rFonts w:hint="cs"/>
          <w:rtl/>
        </w:rPr>
        <w:t>[</w:t>
      </w:r>
      <w:r w:rsidRPr="004C7CD9">
        <w:rPr>
          <w:rFonts w:hint="cs"/>
          <w:rtl/>
        </w:rPr>
        <w:t xml:space="preserve">התנאים להיות תקנה </w:t>
      </w:r>
      <w:r w:rsidRPr="00AD77E1">
        <w:rPr>
          <w:rFonts w:hint="cs"/>
          <w:highlight w:val="yellow"/>
          <w:rtl/>
        </w:rPr>
        <w:t>"בת פועל תחיקתי"</w:t>
      </w:r>
      <w:r>
        <w:rPr>
          <w:rFonts w:hint="cs"/>
          <w:rtl/>
        </w:rPr>
        <w:t>:]</w:t>
      </w:r>
      <w:r w:rsidRPr="004C7CD9">
        <w:rPr>
          <w:rFonts w:hint="cs"/>
          <w:rtl/>
        </w:rPr>
        <w:t xml:space="preserve"> </w:t>
      </w:r>
    </w:p>
    <w:p w:rsidR="00241BC2" w:rsidRPr="00A40BCF" w:rsidRDefault="00241BC2" w:rsidP="00241BC2">
      <w:pPr>
        <w:spacing w:after="60"/>
        <w:rPr>
          <w:rFonts w:cs="FrankRuehl"/>
          <w:sz w:val="22"/>
          <w:szCs w:val="22"/>
          <w:rtl/>
        </w:rPr>
      </w:pPr>
      <w:r w:rsidRPr="00A40BCF">
        <w:rPr>
          <w:rFonts w:cs="FrankRuehl"/>
          <w:sz w:val="22"/>
          <w:szCs w:val="22"/>
          <w:rtl/>
        </w:rPr>
        <w:t xml:space="preserve">המשיבים הואשמו בבית-משפט השלום, חיפה, במכירת סחורה הטעונה מס - ללא סימן זיהוי, לפי סעיפים 15(א)ו-22(א)(6) לחוק מס קניה, תשי"ב-1952; פרטי העבירה הם כי בהיותם "סוחרים" כמשמעותו בחוק הנ"ל, מכרו רהיטים "שהנם סחורות טעונות מס מבלי להדביק עליהם בולי ערך ממוספרים שהם סימן הזיהוי שנקבע על-ידי מנהל המכס והבלו". </w:t>
      </w:r>
    </w:p>
    <w:p w:rsidR="00241BC2" w:rsidRPr="00A40BCF" w:rsidRDefault="00241BC2" w:rsidP="00241BC2">
      <w:pPr>
        <w:spacing w:after="60"/>
        <w:rPr>
          <w:rFonts w:cs="FrankRuehl"/>
          <w:sz w:val="22"/>
          <w:szCs w:val="22"/>
          <w:rtl/>
        </w:rPr>
      </w:pPr>
      <w:r w:rsidRPr="00A40BCF">
        <w:rPr>
          <w:rFonts w:cs="FrankRuehl"/>
          <w:sz w:val="22"/>
          <w:szCs w:val="22"/>
          <w:rtl/>
        </w:rPr>
        <w:t xml:space="preserve">בפתיחת הדיון הודיע בא-כוח התביעה הכללית לשופט-השלום, כי קביעת מנהל המכס והבלו הנזכרת בפרטי העבירה שבגליון-האישום לא פורסמה ברשומות; </w:t>
      </w:r>
      <w:r>
        <w:rPr>
          <w:rFonts w:cs="FrankRuehl" w:hint="cs"/>
          <w:sz w:val="22"/>
          <w:szCs w:val="22"/>
          <w:rtl/>
        </w:rPr>
        <w:t xml:space="preserve">... </w:t>
      </w:r>
      <w:r w:rsidRPr="00A40BCF">
        <w:rPr>
          <w:rFonts w:cs="FrankRuehl"/>
          <w:sz w:val="22"/>
          <w:szCs w:val="22"/>
          <w:rtl/>
        </w:rPr>
        <w:t xml:space="preserve">שופט-השלום זיכה את המשיבים מן העבירה המיוחסת להם. הוא פסק כי קביעת מנהל המכס והבלו (להלן-המנהל) הנה בבחינת "תקנה בת-פעל תחיקתי", כאמור בסעיף 17 לפקודת הפרשנות, ומכיון שלא נתפרסמה ברשומות, בהתאם לסעיף הנ"ל, סבר השופט, כי הקביעה לא נכנסה לכלל תקפה; לכן לא נעברה העבירה. ערעורו של היועץ המשפטי נדחה על-ידי בית-המשפט המחוזי ברוב דעות, ומכאן הערעור שלפנינו. </w:t>
      </w:r>
    </w:p>
    <w:p w:rsidR="00241BC2" w:rsidRPr="00A40BCF" w:rsidRDefault="00241BC2" w:rsidP="00241BC2">
      <w:pPr>
        <w:spacing w:after="60"/>
        <w:rPr>
          <w:rFonts w:cs="FrankRuehl"/>
          <w:sz w:val="22"/>
          <w:szCs w:val="22"/>
          <w:rtl/>
        </w:rPr>
      </w:pPr>
    </w:p>
    <w:p w:rsidR="00241BC2" w:rsidRPr="00A40BCF" w:rsidRDefault="00241BC2" w:rsidP="00241BC2">
      <w:pPr>
        <w:spacing w:after="60"/>
        <w:rPr>
          <w:rFonts w:cs="FrankRuehl"/>
          <w:sz w:val="22"/>
          <w:szCs w:val="22"/>
          <w:rtl/>
        </w:rPr>
      </w:pPr>
      <w:r w:rsidRPr="00A40BCF">
        <w:rPr>
          <w:rFonts w:cs="FrankRuehl"/>
          <w:sz w:val="22"/>
          <w:szCs w:val="22"/>
          <w:rtl/>
        </w:rPr>
        <w:t xml:space="preserve">2. </w:t>
      </w:r>
      <w:r>
        <w:rPr>
          <w:rFonts w:cs="FrankRuehl" w:hint="cs"/>
          <w:sz w:val="22"/>
          <w:szCs w:val="22"/>
          <w:rtl/>
        </w:rPr>
        <w:tab/>
      </w:r>
      <w:r w:rsidRPr="00A40BCF">
        <w:rPr>
          <w:rFonts w:cs="FrankRuehl"/>
          <w:sz w:val="22"/>
          <w:szCs w:val="22"/>
          <w:rtl/>
        </w:rPr>
        <w:t xml:space="preserve">סעיף 15(א) לחוק הנ"ל (כפי שתוקן על-ידי סעיף 10 לחוק מס מסוייג ומס מותרות (תיקון), תשי"ד-1954), קובע לאמר: </w:t>
      </w:r>
    </w:p>
    <w:p w:rsidR="00241BC2" w:rsidRPr="00A40BCF" w:rsidRDefault="00241BC2" w:rsidP="00241BC2">
      <w:pPr>
        <w:spacing w:after="60"/>
        <w:ind w:left="720"/>
        <w:rPr>
          <w:rFonts w:cs="FrankRuehl"/>
          <w:sz w:val="22"/>
          <w:szCs w:val="22"/>
          <w:rtl/>
        </w:rPr>
      </w:pPr>
      <w:r w:rsidRPr="00A40BCF">
        <w:rPr>
          <w:rFonts w:cs="FrankRuehl"/>
          <w:sz w:val="22"/>
          <w:szCs w:val="22"/>
          <w:rtl/>
        </w:rPr>
        <w:t xml:space="preserve">"המנהל רשאי לקבוע לסחורות טעונות מס וכן לחלקיהן סימני זיהוי, צורתם, מועד הסימון, אופן הצמדתם לסחורות והשימוש בהם; נקבע סימן לסחורה כאמור, לא יחזיקה סוחר במלאי לצורך עסקיו, לא ימכרה ולא ימסרה לאדם אחר אלא שהיא מסומנת בסימנים כפי שקבע המנהל." </w:t>
      </w:r>
    </w:p>
    <w:p w:rsidR="00241BC2" w:rsidRPr="00A40BCF" w:rsidRDefault="00241BC2" w:rsidP="00241BC2">
      <w:pPr>
        <w:rPr>
          <w:rFonts w:cs="FrankRuehl"/>
          <w:rtl/>
        </w:rPr>
      </w:pPr>
      <w:r w:rsidRPr="00A40BCF">
        <w:rPr>
          <w:rFonts w:cs="FrankRuehl"/>
          <w:rtl/>
        </w:rPr>
        <w:t xml:space="preserve">7. </w:t>
      </w:r>
      <w:r>
        <w:rPr>
          <w:rFonts w:cs="FrankRuehl" w:hint="cs"/>
          <w:rtl/>
        </w:rPr>
        <w:tab/>
      </w:r>
      <w:r w:rsidRPr="00A40BCF">
        <w:rPr>
          <w:rFonts w:cs="FrankRuehl"/>
          <w:rtl/>
        </w:rPr>
        <w:t xml:space="preserve">על השאלה איזוהי תקנה בת-פעל תחיקתי משיבים אנו עתה: </w:t>
      </w:r>
    </w:p>
    <w:p w:rsidR="00241BC2" w:rsidRDefault="00241BC2" w:rsidP="00241BC2">
      <w:pPr>
        <w:rPr>
          <w:rFonts w:cs="FrankRuehl"/>
          <w:rtl/>
        </w:rPr>
      </w:pPr>
      <w:r w:rsidRPr="00A40BCF">
        <w:rPr>
          <w:rFonts w:cs="FrankRuehl"/>
          <w:rtl/>
        </w:rPr>
        <w:t xml:space="preserve">סימני ההיכר של תקנה כזו שניים הם: </w:t>
      </w:r>
    </w:p>
    <w:p w:rsidR="00241BC2" w:rsidRPr="00F2380F" w:rsidRDefault="00241BC2" w:rsidP="00241BC2">
      <w:pPr>
        <w:rPr>
          <w:rFonts w:cs="FrankRuehl"/>
          <w:highlight w:val="yellow"/>
          <w:rtl/>
        </w:rPr>
      </w:pPr>
      <w:r w:rsidRPr="00F2380F">
        <w:rPr>
          <w:rFonts w:cs="FrankRuehl" w:hint="cs"/>
          <w:highlight w:val="yellow"/>
          <w:rtl/>
        </w:rPr>
        <w:t>ראשית: כי תקבע התקנה נורמה משפטית, ותביא בדרך זו לשינוי במשפט הנוהג במדינה,</w:t>
      </w:r>
    </w:p>
    <w:p w:rsidR="00241BC2" w:rsidRPr="004C7CD9" w:rsidRDefault="00241BC2" w:rsidP="00241BC2">
      <w:pPr>
        <w:spacing w:after="240"/>
        <w:rPr>
          <w:rtl/>
        </w:rPr>
      </w:pPr>
      <w:r w:rsidRPr="00F2380F">
        <w:rPr>
          <w:rFonts w:cs="FrankRuehl" w:hint="cs"/>
          <w:highlight w:val="yellow"/>
          <w:rtl/>
        </w:rPr>
        <w:t>ושנית: כי תהא זאת נורמה כללית או 'מופשטת', היינו נורמה המופנית אל הציבור כולו, או לפחות אל חלק בלתי מסויים ממנו,</w:t>
      </w:r>
      <w:r w:rsidRPr="004C7CD9">
        <w:rPr>
          <w:rFonts w:cs="FrankRuehl" w:hint="cs"/>
          <w:rtl/>
        </w:rPr>
        <w:t xml:space="preserve"> שלא נקבע לפי שמותיהם של המוענים אליהם מכוונת התקנה, ואילו תקנה אשר אין בה כל נורמה, או שיש בה נורמה אשר לא הופנתה אל הציבור 'בעילום שם', אלא באורח קונקרטי לאדם מסויים הנקרא בשמו, או לאנשים מסויימים הנקראים בשמם, וכל תקפה מתמצה לגבי אדם זה או אנשים אלה, תקנה כזו אינה תקנה בת פועל תחיקתי הטעונה פרסום, לפי סעיף 17 לפקודת הפרשנות.</w:t>
      </w:r>
    </w:p>
    <w:p w:rsidR="00241BC2" w:rsidRPr="00AD77E1" w:rsidRDefault="00241BC2" w:rsidP="00241BC2">
      <w:pPr>
        <w:spacing w:after="120"/>
        <w:ind w:left="720"/>
        <w:rPr>
          <w:rFonts w:ascii="Arial" w:hAnsi="Arial" w:cs="Arial"/>
          <w:sz w:val="20"/>
          <w:szCs w:val="20"/>
          <w:rtl/>
        </w:rPr>
      </w:pPr>
      <w:r w:rsidRPr="008C5C84">
        <w:rPr>
          <w:rFonts w:ascii="Arial" w:hAnsi="Arial" w:cs="Arial"/>
          <w:sz w:val="20"/>
          <w:szCs w:val="20"/>
          <w:highlight w:val="yellow"/>
          <w:rtl/>
        </w:rPr>
        <w:t xml:space="preserve">רע"פ 1127/93 </w:t>
      </w:r>
      <w:r w:rsidRPr="008C5C84">
        <w:rPr>
          <w:rFonts w:ascii="Arial" w:hAnsi="Arial" w:cs="Arial"/>
          <w:b/>
          <w:bCs/>
          <w:sz w:val="20"/>
          <w:szCs w:val="20"/>
          <w:highlight w:val="yellow"/>
          <w:rtl/>
        </w:rPr>
        <w:t>מדינת ישראל נ' קליין</w:t>
      </w:r>
      <w:r w:rsidRPr="008C5C84">
        <w:rPr>
          <w:rFonts w:ascii="Arial" w:hAnsi="Arial" w:cs="Arial"/>
          <w:sz w:val="20"/>
          <w:szCs w:val="20"/>
          <w:highlight w:val="yellow"/>
          <w:rtl/>
        </w:rPr>
        <w:t>, פ"ד מח(3) 485,</w:t>
      </w:r>
      <w:r w:rsidRPr="00AD77E1">
        <w:rPr>
          <w:rFonts w:ascii="Arial" w:hAnsi="Arial" w:cs="Arial"/>
          <w:sz w:val="20"/>
          <w:szCs w:val="20"/>
          <w:rtl/>
        </w:rPr>
        <w:t xml:space="preserve"> השופט חשין, סע' 39 לפסק דינו, תוך השמטת חלק מהאסמכתאות:</w:t>
      </w:r>
    </w:p>
    <w:p w:rsidR="00241BC2" w:rsidRPr="004C7CD9" w:rsidRDefault="00241BC2" w:rsidP="00241BC2">
      <w:pPr>
        <w:rPr>
          <w:rFonts w:cs="FrankRuehl"/>
          <w:rtl/>
        </w:rPr>
      </w:pPr>
      <w:r w:rsidRPr="004C7CD9">
        <w:rPr>
          <w:rFonts w:cs="FrankRuehl" w:hint="cs"/>
          <w:rtl/>
        </w:rPr>
        <w:t>"</w:t>
      </w:r>
      <w:r w:rsidRPr="004C7CD9">
        <w:rPr>
          <w:rFonts w:cs="FrankRuehl"/>
          <w:rtl/>
        </w:rPr>
        <w:t xml:space="preserve">ההלכה מדגישה-ביתר את הצורך בפירסום חוק לעניין אכיפתו של המשפט הפלילי, </w:t>
      </w:r>
      <w:r w:rsidRPr="004C7CD9">
        <w:rPr>
          <w:rFonts w:cs="FrankRuehl" w:hint="cs"/>
          <w:rtl/>
        </w:rPr>
        <w:t>[</w:t>
      </w:r>
      <w:r w:rsidRPr="004C7CD9">
        <w:rPr>
          <w:rFonts w:cs="FrankRuehl" w:hint="cs"/>
          <w:b/>
          <w:bCs/>
          <w:rtl/>
        </w:rPr>
        <w:t>אלכסנדרוביץ</w:t>
      </w:r>
      <w:r w:rsidRPr="004C7CD9">
        <w:rPr>
          <w:rFonts w:cs="FrankRuehl" w:hint="cs"/>
          <w:rtl/>
        </w:rPr>
        <w:t>] [...]</w:t>
      </w:r>
      <w:r w:rsidRPr="004C7CD9">
        <w:rPr>
          <w:rFonts w:cs="FrankRuehl"/>
          <w:rtl/>
        </w:rPr>
        <w:t xml:space="preserve"> </w:t>
      </w:r>
      <w:r w:rsidRPr="004C7CD9">
        <w:rPr>
          <w:rFonts w:cs="FrankRuehl" w:hint="cs"/>
          <w:rtl/>
        </w:rPr>
        <w:t xml:space="preserve">[אך] </w:t>
      </w:r>
      <w:r w:rsidRPr="004C7CD9">
        <w:rPr>
          <w:rFonts w:cs="FrankRuehl"/>
          <w:rtl/>
        </w:rPr>
        <w:t xml:space="preserve">אם נעמיק חקר, כך דומה עלינו, יימצא לנו עקרון-יסוד המזין גם את נושא האחריות הפלילית </w:t>
      </w:r>
      <w:r w:rsidRPr="004C7CD9">
        <w:rPr>
          <w:rFonts w:cs="FrankRuehl" w:hint="cs"/>
          <w:rtl/>
        </w:rPr>
        <w:t>[ו]</w:t>
      </w:r>
      <w:r w:rsidRPr="004C7CD9">
        <w:rPr>
          <w:rFonts w:cs="FrankRuehl"/>
          <w:rtl/>
        </w:rPr>
        <w:t xml:space="preserve">גם נושאים אחרים. </w:t>
      </w:r>
      <w:r w:rsidRPr="004C7CD9">
        <w:rPr>
          <w:rFonts w:cs="FrankRuehl"/>
          <w:b/>
          <w:bCs/>
          <w:rtl/>
        </w:rPr>
        <w:t xml:space="preserve">העקרון שואב כוחו מטיבו ומאיכותו של הסדר החברתי הראוי, והוא, פתיחותו של השלטון ודרכי פעילותו הראויות - בגלוי ולא במיסתרים. שלטון ראוי פועל לאור השמש, בגלוי, וכך חושף הוא עצמו לביקורת מתמדת וממילא אף לתיקון דרכי פעולה מעוותות. </w:t>
      </w:r>
      <w:r w:rsidRPr="004C7CD9">
        <w:rPr>
          <w:rFonts w:cs="FrankRuehl"/>
          <w:rtl/>
        </w:rPr>
        <w:t xml:space="preserve">על היבט זה של חובת הפירסום עומד פסק-הדין בפרשת </w:t>
      </w:r>
      <w:r w:rsidRPr="004C7CD9">
        <w:rPr>
          <w:rFonts w:cs="FrankRuehl"/>
          <w:b/>
          <w:bCs/>
          <w:rtl/>
        </w:rPr>
        <w:t>האז</w:t>
      </w:r>
      <w:r w:rsidRPr="004C7CD9">
        <w:rPr>
          <w:rFonts w:cs="FrankRuehl"/>
          <w:rtl/>
        </w:rPr>
        <w:t xml:space="preserve">, וממנו נדע כי זה דרכו של משטר ראוי; </w:t>
      </w:r>
      <w:r w:rsidRPr="00AD77E1">
        <w:rPr>
          <w:rFonts w:cs="FrankRuehl"/>
          <w:highlight w:val="yellow"/>
          <w:rtl/>
        </w:rPr>
        <w:t>"חקיקה הנעשית בסוד והנשמרת בגנזי נסת</w:t>
      </w:r>
      <w:r w:rsidRPr="00AD77E1">
        <w:rPr>
          <w:rFonts w:cs="FrankRuehl" w:hint="cs"/>
          <w:highlight w:val="yellow"/>
          <w:rtl/>
        </w:rPr>
        <w:t>ר</w:t>
      </w:r>
      <w:r w:rsidRPr="00AD77E1">
        <w:rPr>
          <w:rFonts w:cs="FrankRuehl"/>
          <w:highlight w:val="yellow"/>
          <w:rtl/>
        </w:rPr>
        <w:t>ים, היא אחד מסימני ההיכר של שלטון טוטליטרי, והיא אינה עולה בקנה אחד עם שלטון החוק",</w:t>
      </w:r>
      <w:r w:rsidRPr="004C7CD9">
        <w:rPr>
          <w:rFonts w:cs="FrankRuehl"/>
          <w:rtl/>
        </w:rPr>
        <w:t xml:space="preserve"> כך שח השופט ח' כהן בפרשת </w:t>
      </w:r>
      <w:r w:rsidRPr="004C7CD9">
        <w:rPr>
          <w:rFonts w:cs="FrankRuehl"/>
          <w:b/>
          <w:bCs/>
          <w:rtl/>
        </w:rPr>
        <w:t>האז</w:t>
      </w:r>
      <w:r w:rsidRPr="004C7CD9">
        <w:rPr>
          <w:rFonts w:cs="FrankRuehl"/>
          <w:rtl/>
        </w:rPr>
        <w:t>, וממנו נלמד ונדע.</w:t>
      </w:r>
      <w:r w:rsidRPr="004C7CD9">
        <w:rPr>
          <w:rFonts w:cs="FrankRuehl" w:hint="cs"/>
          <w:rtl/>
        </w:rPr>
        <w:t>"</w:t>
      </w:r>
    </w:p>
    <w:p w:rsidR="00241BC2" w:rsidRPr="00BC0FE2" w:rsidRDefault="00241BC2" w:rsidP="00241BC2">
      <w:pPr>
        <w:rPr>
          <w:sz w:val="20"/>
          <w:szCs w:val="20"/>
          <w:rtl/>
        </w:rPr>
      </w:pPr>
    </w:p>
    <w:p w:rsidR="00241BC2" w:rsidRPr="008166B6" w:rsidRDefault="00241BC2" w:rsidP="00241BC2">
      <w:pPr>
        <w:spacing w:after="60"/>
        <w:ind w:left="720"/>
        <w:rPr>
          <w:rtl/>
        </w:rPr>
      </w:pPr>
      <w:r w:rsidRPr="008C5C84">
        <w:rPr>
          <w:rFonts w:asciiTheme="minorBidi" w:hAnsiTheme="minorBidi" w:cstheme="minorBidi"/>
          <w:sz w:val="20"/>
          <w:szCs w:val="20"/>
          <w:highlight w:val="yellow"/>
          <w:rtl/>
        </w:rPr>
        <w:t>בג"צ 3081/95</w:t>
      </w:r>
      <w:r>
        <w:rPr>
          <w:rFonts w:asciiTheme="minorBidi" w:hAnsiTheme="minorBidi" w:cstheme="minorBidi" w:hint="cs"/>
          <w:b/>
          <w:bCs/>
          <w:sz w:val="20"/>
          <w:szCs w:val="20"/>
          <w:highlight w:val="yellow"/>
          <w:rtl/>
        </w:rPr>
        <w:t xml:space="preserve"> </w:t>
      </w:r>
      <w:r w:rsidRPr="008C5C84">
        <w:rPr>
          <w:rFonts w:asciiTheme="minorBidi" w:hAnsiTheme="minorBidi" w:cstheme="minorBidi"/>
          <w:b/>
          <w:bCs/>
          <w:sz w:val="20"/>
          <w:szCs w:val="20"/>
          <w:highlight w:val="yellow"/>
          <w:rtl/>
        </w:rPr>
        <w:t>ד"ר ג'ובראן רומיאו נ' המועצה המדעית של ההסתדרות הרפואית,</w:t>
      </w:r>
      <w:r w:rsidRPr="008C5C84">
        <w:rPr>
          <w:rFonts w:asciiTheme="minorBidi" w:hAnsiTheme="minorBidi" w:cstheme="minorBidi"/>
          <w:sz w:val="20"/>
          <w:szCs w:val="20"/>
          <w:highlight w:val="yellow"/>
          <w:rtl/>
        </w:rPr>
        <w:t xml:space="preserve"> פ"ד נ(2) 177</w:t>
      </w:r>
      <w:r>
        <w:rPr>
          <w:rFonts w:hint="cs"/>
          <w:sz w:val="20"/>
          <w:szCs w:val="20"/>
          <w:rtl/>
        </w:rPr>
        <w:t>, השופט זמיר:</w:t>
      </w:r>
    </w:p>
    <w:p w:rsidR="00241BC2" w:rsidRPr="008166B6" w:rsidRDefault="00241BC2" w:rsidP="00241BC2">
      <w:pPr>
        <w:rPr>
          <w:rFonts w:cs="FrankRuehl"/>
          <w:rtl/>
        </w:rPr>
      </w:pPr>
      <w:r w:rsidRPr="008166B6">
        <w:rPr>
          <w:rFonts w:cs="FrankRuehl" w:hint="cs"/>
          <w:rtl/>
        </w:rPr>
        <w:t xml:space="preserve">[...] </w:t>
      </w:r>
      <w:r w:rsidRPr="008166B6">
        <w:rPr>
          <w:rFonts w:cs="FrankRuehl"/>
          <w:rtl/>
        </w:rPr>
        <w:t>יש לקבוע תחילה מה טיבה של ההחלטה לקבוע איזהו ציון "עובר"</w:t>
      </w:r>
      <w:r w:rsidRPr="008166B6">
        <w:rPr>
          <w:rFonts w:cs="FrankRuehl" w:hint="cs"/>
          <w:rtl/>
        </w:rPr>
        <w:t xml:space="preserve"> [בבחינות לתואר מומחה בתחום רפואי מסוים]</w:t>
      </w:r>
      <w:r w:rsidRPr="008166B6">
        <w:rPr>
          <w:rFonts w:cs="FrankRuehl"/>
          <w:rtl/>
        </w:rPr>
        <w:t xml:space="preserve">: האם החלטה זאת היא תקנה בת פועל תחיקתי או שמא היא הנחיה מינהלית? </w:t>
      </w:r>
    </w:p>
    <w:p w:rsidR="00241BC2" w:rsidRPr="008166B6" w:rsidRDefault="00241BC2" w:rsidP="00241BC2">
      <w:pPr>
        <w:rPr>
          <w:rFonts w:cs="FrankRuehl"/>
          <w:rtl/>
        </w:rPr>
      </w:pPr>
      <w:r w:rsidRPr="008166B6">
        <w:rPr>
          <w:rFonts w:cs="FrankRuehl"/>
          <w:rtl/>
        </w:rPr>
        <w:t>אם היא תקנה בת פועל תחיקתי, חל עליה סעיף 17 לפקודת הפרשנות [נוסח חדש]</w:t>
      </w:r>
      <w:r w:rsidRPr="008166B6">
        <w:rPr>
          <w:rFonts w:cs="FrankRuehl" w:hint="cs"/>
          <w:rtl/>
        </w:rPr>
        <w:t xml:space="preserve"> [...] </w:t>
      </w:r>
      <w:r w:rsidRPr="008166B6">
        <w:rPr>
          <w:rFonts w:cs="FrankRuehl"/>
          <w:rtl/>
        </w:rPr>
        <w:t xml:space="preserve">כידוע, לפי ההלכה, תקנה בת פועל תחיקתי שלא פורסמה ברשומות, אין לה תוקף. </w:t>
      </w:r>
      <w:r w:rsidRPr="008166B6">
        <w:rPr>
          <w:rFonts w:cs="FrankRuehl" w:hint="cs"/>
          <w:rtl/>
        </w:rPr>
        <w:t xml:space="preserve">[...] </w:t>
      </w:r>
      <w:r w:rsidRPr="008166B6">
        <w:rPr>
          <w:rFonts w:cs="FrankRuehl"/>
          <w:rtl/>
        </w:rPr>
        <w:t xml:space="preserve">אולם, לדעתי, החלטה זאת אינה תקנה בת פועל תחיקתי. כך הדבר, בראש ובראשונה, משום שאין היא "תקנה", כהגדרתה בסעיף 1 לפקודת הפרשנות: שאין לך "תקנה" לפי סעיף זה, אלא אם היא ניתנה "מכוח חוק" או "על יסוד תקנה", והכוונה היא ל"חוק" או "תקנה" המקנים סמכות לקבוע נורמה משפטית; ואילו ההחלטה הנדונה של המועצה המדעית לא ניתנה אלא מכוח הסמכות הכללית שלה, לפי סעיף 30 לתקנות הרופאים, לקבוע "את סדרי הדיונים והעבודה שלהם, במידה שאלו לא נקבעו בחיקוק או על פיו". סדרי העבודה של המועצה המדעית, לרבות הציון שישמש אותה כדי לקבוע מי ומי עבר את הבחינה, הינם בגדר הנחיות מינהליות להבדיל מתקנות. </w:t>
      </w:r>
      <w:r w:rsidRPr="008166B6">
        <w:rPr>
          <w:rFonts w:cs="FrankRuehl" w:hint="cs"/>
          <w:rtl/>
        </w:rPr>
        <w:t>[…]</w:t>
      </w:r>
      <w:r w:rsidRPr="008166B6">
        <w:rPr>
          <w:rFonts w:cs="FrankRuehl"/>
          <w:rtl/>
        </w:rPr>
        <w:t xml:space="preserve"> </w:t>
      </w:r>
    </w:p>
    <w:p w:rsidR="00241BC2" w:rsidRDefault="00241BC2" w:rsidP="00241BC2">
      <w:pPr>
        <w:rPr>
          <w:sz w:val="20"/>
          <w:szCs w:val="20"/>
          <w:rtl/>
        </w:rPr>
      </w:pPr>
      <w:r>
        <w:rPr>
          <w:rFonts w:hint="cs"/>
          <w:sz w:val="20"/>
          <w:szCs w:val="20"/>
          <w:rtl/>
        </w:rPr>
        <w:t>=-=</w:t>
      </w:r>
    </w:p>
    <w:p w:rsidR="00241BC2" w:rsidRPr="00203B58" w:rsidRDefault="00241BC2" w:rsidP="00241BC2">
      <w:pPr>
        <w:rPr>
          <w:sz w:val="22"/>
          <w:szCs w:val="22"/>
          <w:rtl/>
        </w:rPr>
      </w:pPr>
      <w:r>
        <w:rPr>
          <w:rFonts w:ascii="Arial" w:hAnsi="Arial" w:cs="Arial" w:hint="cs"/>
          <w:sz w:val="20"/>
          <w:szCs w:val="20"/>
          <w:highlight w:val="yellow"/>
          <w:rtl/>
        </w:rPr>
        <w:t xml:space="preserve">פס"ד רומיאו ג'ובראן מבהיר אם כן, </w:t>
      </w:r>
      <w:r w:rsidRPr="00203B58">
        <w:rPr>
          <w:rFonts w:hint="cs"/>
          <w:sz w:val="22"/>
          <w:szCs w:val="22"/>
          <w:rtl/>
        </w:rPr>
        <w:t>כי שני התנאים הקבועים ב</w:t>
      </w:r>
      <w:r w:rsidRPr="00203B58">
        <w:rPr>
          <w:rFonts w:hint="cs"/>
          <w:b/>
          <w:bCs/>
          <w:sz w:val="22"/>
          <w:szCs w:val="22"/>
          <w:rtl/>
        </w:rPr>
        <w:t>אלכסנדרוביץ</w:t>
      </w:r>
      <w:r w:rsidRPr="00203B58">
        <w:rPr>
          <w:rFonts w:hint="cs"/>
          <w:sz w:val="22"/>
          <w:szCs w:val="22"/>
          <w:rtl/>
        </w:rPr>
        <w:t xml:space="preserve"> לזיהויה של תקנה "בת-פועל תחיקתי" </w:t>
      </w:r>
      <w:r w:rsidRPr="00203B58">
        <w:rPr>
          <w:sz w:val="22"/>
          <w:szCs w:val="22"/>
          <w:rtl/>
        </w:rPr>
        <w:t>–</w:t>
      </w:r>
      <w:r>
        <w:rPr>
          <w:rFonts w:hint="cs"/>
          <w:sz w:val="22"/>
          <w:szCs w:val="22"/>
          <w:rtl/>
        </w:rPr>
        <w:t xml:space="preserve"> </w:t>
      </w:r>
      <w:r w:rsidRPr="008C5C84">
        <w:rPr>
          <w:rFonts w:hint="cs"/>
          <w:b/>
          <w:bCs/>
          <w:sz w:val="22"/>
          <w:szCs w:val="22"/>
          <w:rtl/>
        </w:rPr>
        <w:t>(1) "</w:t>
      </w:r>
      <w:r w:rsidRPr="008C5C84">
        <w:rPr>
          <w:rFonts w:hint="cs"/>
          <w:b/>
          <w:bCs/>
          <w:sz w:val="22"/>
          <w:szCs w:val="22"/>
          <w:u w:val="single"/>
          <w:rtl/>
        </w:rPr>
        <w:t>נורמטיביות</w:t>
      </w:r>
      <w:r w:rsidRPr="008C5C84">
        <w:rPr>
          <w:rFonts w:hint="cs"/>
          <w:b/>
          <w:bCs/>
          <w:sz w:val="22"/>
          <w:szCs w:val="22"/>
          <w:rtl/>
        </w:rPr>
        <w:t>" ו-(2) "</w:t>
      </w:r>
      <w:r w:rsidRPr="008C5C84">
        <w:rPr>
          <w:rFonts w:hint="cs"/>
          <w:b/>
          <w:bCs/>
          <w:sz w:val="22"/>
          <w:szCs w:val="22"/>
          <w:u w:val="single"/>
          <w:rtl/>
        </w:rPr>
        <w:t>כלליות</w:t>
      </w:r>
      <w:r w:rsidRPr="008C5C84">
        <w:rPr>
          <w:rFonts w:hint="cs"/>
          <w:b/>
          <w:bCs/>
          <w:sz w:val="22"/>
          <w:szCs w:val="22"/>
          <w:rtl/>
        </w:rPr>
        <w:t xml:space="preserve">" </w:t>
      </w:r>
      <w:r w:rsidRPr="00203B58">
        <w:rPr>
          <w:sz w:val="22"/>
          <w:szCs w:val="22"/>
          <w:rtl/>
        </w:rPr>
        <w:t>–</w:t>
      </w:r>
      <w:r w:rsidRPr="00203B58">
        <w:rPr>
          <w:rFonts w:hint="cs"/>
          <w:sz w:val="22"/>
          <w:szCs w:val="22"/>
          <w:rtl/>
        </w:rPr>
        <w:t xml:space="preserve"> </w:t>
      </w:r>
      <w:r w:rsidRPr="00F2380F">
        <w:rPr>
          <w:rFonts w:hint="cs"/>
          <w:sz w:val="22"/>
          <w:szCs w:val="22"/>
          <w:highlight w:val="yellow"/>
          <w:u w:val="single"/>
          <w:rtl/>
        </w:rPr>
        <w:t>אינם ממצים</w:t>
      </w:r>
      <w:r w:rsidRPr="00203B58">
        <w:rPr>
          <w:rFonts w:hint="cs"/>
          <w:sz w:val="22"/>
          <w:szCs w:val="22"/>
          <w:rtl/>
        </w:rPr>
        <w:t xml:space="preserve">. מצטרפים בעצם שני תנאים הנובעים מהדרישה הנוגעת לכך שחובת הפרסום ברשומות חלה על </w:t>
      </w:r>
      <w:r w:rsidRPr="00203B58">
        <w:rPr>
          <w:rFonts w:hint="cs"/>
          <w:b/>
          <w:bCs/>
          <w:sz w:val="22"/>
          <w:szCs w:val="22"/>
          <w:rtl/>
        </w:rPr>
        <w:t>"תקנה"</w:t>
      </w:r>
      <w:r w:rsidRPr="00203B58">
        <w:rPr>
          <w:rFonts w:hint="cs"/>
          <w:sz w:val="22"/>
          <w:szCs w:val="22"/>
          <w:rtl/>
        </w:rPr>
        <w:t xml:space="preserve">.  משמע, היא צריכה להינתן על ידי </w:t>
      </w:r>
      <w:r w:rsidRPr="008C5C84">
        <w:rPr>
          <w:rFonts w:hint="cs"/>
          <w:b/>
          <w:bCs/>
          <w:sz w:val="22"/>
          <w:szCs w:val="22"/>
          <w:rtl/>
        </w:rPr>
        <w:t>(3) "</w:t>
      </w:r>
      <w:r w:rsidRPr="008C5C84">
        <w:rPr>
          <w:rFonts w:hint="cs"/>
          <w:b/>
          <w:bCs/>
          <w:sz w:val="22"/>
          <w:szCs w:val="22"/>
          <w:u w:val="single"/>
          <w:rtl/>
        </w:rPr>
        <w:t>רשות</w:t>
      </w:r>
      <w:r w:rsidRPr="008C5C84">
        <w:rPr>
          <w:rFonts w:hint="cs"/>
          <w:b/>
          <w:bCs/>
          <w:sz w:val="22"/>
          <w:szCs w:val="22"/>
          <w:rtl/>
        </w:rPr>
        <w:t>"</w:t>
      </w:r>
      <w:r w:rsidRPr="00203B58">
        <w:rPr>
          <w:rFonts w:hint="cs"/>
          <w:sz w:val="22"/>
          <w:szCs w:val="22"/>
          <w:rtl/>
        </w:rPr>
        <w:t xml:space="preserve"> [משמע, ממלא תפקיד ציבורי על פי דין] ו</w:t>
      </w:r>
      <w:r>
        <w:rPr>
          <w:rFonts w:hint="cs"/>
          <w:sz w:val="22"/>
          <w:szCs w:val="22"/>
          <w:rtl/>
        </w:rPr>
        <w:t>-</w:t>
      </w:r>
      <w:r w:rsidRPr="008C5C84">
        <w:rPr>
          <w:rFonts w:hint="cs"/>
          <w:b/>
          <w:bCs/>
          <w:sz w:val="22"/>
          <w:szCs w:val="22"/>
          <w:rtl/>
        </w:rPr>
        <w:t>(4) "</w:t>
      </w:r>
      <w:r w:rsidRPr="008C5C84">
        <w:rPr>
          <w:rFonts w:hint="cs"/>
          <w:b/>
          <w:bCs/>
          <w:sz w:val="22"/>
          <w:szCs w:val="22"/>
          <w:u w:val="single"/>
          <w:rtl/>
        </w:rPr>
        <w:t>מכוח חוק</w:t>
      </w:r>
      <w:r w:rsidRPr="008C5C84">
        <w:rPr>
          <w:rFonts w:hint="cs"/>
          <w:b/>
          <w:bCs/>
          <w:sz w:val="22"/>
          <w:szCs w:val="22"/>
          <w:rtl/>
        </w:rPr>
        <w:t>"</w:t>
      </w:r>
      <w:r w:rsidRPr="00203B58">
        <w:rPr>
          <w:rFonts w:hint="cs"/>
          <w:sz w:val="22"/>
          <w:szCs w:val="22"/>
          <w:rtl/>
        </w:rPr>
        <w:t xml:space="preserve"> (או "על יסוד תקנה"</w:t>
      </w:r>
      <w:r>
        <w:rPr>
          <w:rFonts w:hint="cs"/>
          <w:sz w:val="22"/>
          <w:szCs w:val="22"/>
          <w:rtl/>
        </w:rPr>
        <w:t xml:space="preserve"> אחרת</w:t>
      </w:r>
      <w:r w:rsidRPr="00203B58">
        <w:rPr>
          <w:rFonts w:hint="cs"/>
          <w:sz w:val="22"/>
          <w:szCs w:val="22"/>
          <w:rtl/>
        </w:rPr>
        <w:t>).</w:t>
      </w:r>
    </w:p>
    <w:p w:rsidR="00241BC2" w:rsidRDefault="00241BC2" w:rsidP="00241BC2">
      <w:pPr>
        <w:rPr>
          <w:sz w:val="20"/>
          <w:szCs w:val="20"/>
          <w:rtl/>
        </w:rPr>
      </w:pPr>
    </w:p>
    <w:p w:rsidR="00241BC2" w:rsidRPr="00BC0FE2" w:rsidRDefault="00241BC2" w:rsidP="00241BC2">
      <w:pPr>
        <w:rPr>
          <w:sz w:val="20"/>
          <w:szCs w:val="20"/>
          <w:rtl/>
        </w:rPr>
      </w:pPr>
      <w:r>
        <w:rPr>
          <w:rFonts w:hint="cs"/>
          <w:sz w:val="20"/>
          <w:szCs w:val="20"/>
          <w:rtl/>
        </w:rPr>
        <w:t>=-=</w:t>
      </w:r>
    </w:p>
    <w:p w:rsidR="00241BC2" w:rsidRPr="00A95752" w:rsidRDefault="00241BC2" w:rsidP="00241BC2">
      <w:pPr>
        <w:spacing w:after="120"/>
        <w:rPr>
          <w:rFonts w:ascii="Arial" w:hAnsi="Arial" w:cs="Arial"/>
          <w:b/>
          <w:bCs/>
          <w:sz w:val="20"/>
          <w:szCs w:val="20"/>
          <w:rtl/>
        </w:rPr>
      </w:pPr>
      <w:r>
        <w:rPr>
          <w:rFonts w:ascii="Arial" w:hAnsi="Arial" w:cs="Arial" w:hint="cs"/>
          <w:b/>
          <w:bCs/>
          <w:sz w:val="20"/>
          <w:szCs w:val="20"/>
          <w:rtl/>
        </w:rPr>
        <w:t xml:space="preserve">מקרים שחלה עליהם </w:t>
      </w:r>
      <w:r w:rsidRPr="008C5C84">
        <w:rPr>
          <w:rFonts w:ascii="Arial" w:hAnsi="Arial" w:cs="Arial" w:hint="cs"/>
          <w:b/>
          <w:bCs/>
          <w:sz w:val="20"/>
          <w:szCs w:val="20"/>
          <w:u w:val="single"/>
          <w:rtl/>
        </w:rPr>
        <w:t>החרגה</w:t>
      </w:r>
      <w:r>
        <w:rPr>
          <w:rFonts w:ascii="Arial" w:hAnsi="Arial" w:cs="Arial" w:hint="cs"/>
          <w:b/>
          <w:bCs/>
          <w:sz w:val="20"/>
          <w:szCs w:val="20"/>
          <w:rtl/>
        </w:rPr>
        <w:t xml:space="preserve"> מחובת פרסום ברשומות:</w:t>
      </w:r>
    </w:p>
    <w:p w:rsidR="00241BC2" w:rsidRPr="00A36911" w:rsidRDefault="00241BC2" w:rsidP="00241BC2">
      <w:pPr>
        <w:spacing w:after="120"/>
        <w:ind w:left="720"/>
        <w:rPr>
          <w:b/>
          <w:bCs/>
          <w:sz w:val="20"/>
          <w:szCs w:val="20"/>
          <w:rtl/>
        </w:rPr>
      </w:pPr>
      <w:r w:rsidRPr="00A36911">
        <w:rPr>
          <w:b/>
          <w:bCs/>
          <w:sz w:val="20"/>
          <w:szCs w:val="20"/>
          <w:rtl/>
        </w:rPr>
        <w:t>תקנות ההגנה (שעת חרום) 1945</w:t>
      </w:r>
    </w:p>
    <w:p w:rsidR="00241BC2" w:rsidRPr="00A95752" w:rsidRDefault="00241BC2" w:rsidP="00241BC2">
      <w:pPr>
        <w:ind w:left="720"/>
        <w:rPr>
          <w:rFonts w:cs="David"/>
          <w:sz w:val="20"/>
          <w:szCs w:val="20"/>
          <w:rtl/>
        </w:rPr>
      </w:pPr>
      <w:r w:rsidRPr="00A36911">
        <w:rPr>
          <w:sz w:val="20"/>
          <w:szCs w:val="20"/>
          <w:rtl/>
        </w:rPr>
        <w:t>97</w:t>
      </w:r>
      <w:r w:rsidRPr="00A95752">
        <w:rPr>
          <w:rFonts w:cs="David"/>
          <w:sz w:val="20"/>
          <w:szCs w:val="20"/>
          <w:rtl/>
        </w:rPr>
        <w:t xml:space="preserve">. </w:t>
      </w:r>
      <w:r w:rsidRPr="00A95752">
        <w:rPr>
          <w:rFonts w:cs="David" w:hint="cs"/>
          <w:sz w:val="20"/>
          <w:szCs w:val="20"/>
          <w:rtl/>
        </w:rPr>
        <w:t>[</w:t>
      </w:r>
      <w:r w:rsidRPr="00A95752">
        <w:rPr>
          <w:rFonts w:cs="David"/>
          <w:sz w:val="20"/>
          <w:szCs w:val="20"/>
          <w:rtl/>
        </w:rPr>
        <w:t>כוח לדרוש הגשת החומר לצנזורה לפני פרסומו</w:t>
      </w:r>
      <w:r w:rsidRPr="00A95752">
        <w:rPr>
          <w:rFonts w:cs="David" w:hint="cs"/>
          <w:sz w:val="20"/>
          <w:szCs w:val="20"/>
          <w:rtl/>
        </w:rPr>
        <w:t>]</w:t>
      </w:r>
    </w:p>
    <w:p w:rsidR="00241BC2" w:rsidRPr="00A95752" w:rsidRDefault="00241BC2" w:rsidP="00241BC2">
      <w:pPr>
        <w:spacing w:after="120"/>
        <w:rPr>
          <w:rFonts w:cs="David"/>
          <w:sz w:val="20"/>
          <w:szCs w:val="20"/>
          <w:rtl/>
        </w:rPr>
      </w:pPr>
      <w:r w:rsidRPr="00A95752">
        <w:rPr>
          <w:rFonts w:cs="David"/>
          <w:sz w:val="20"/>
          <w:szCs w:val="20"/>
          <w:rtl/>
        </w:rPr>
        <w:t xml:space="preserve">(1) הצנזור רשאי לדרוש בצו מבעליו, מעורכו, ממדפיסו או ממוציאו לאור של כל פרסום, או מבעליו או מנהלו של כל בית-דפוס או עסק של דפוס, או ממחברו של כל חומר, או מכל אדם העומד להדפיס או לפרסם כל חומר, שיגיש לצנזור לפני ההדפסה או הפרסום כל חומר שנועד להדפסה או להוצאה לאור. </w:t>
      </w:r>
      <w:r w:rsidRPr="00A95752">
        <w:rPr>
          <w:rFonts w:cs="David" w:hint="cs"/>
          <w:sz w:val="20"/>
          <w:szCs w:val="20"/>
          <w:rtl/>
        </w:rPr>
        <w:t>[...]</w:t>
      </w:r>
    </w:p>
    <w:p w:rsidR="00241BC2" w:rsidRPr="00A95752" w:rsidRDefault="00241BC2" w:rsidP="00241BC2">
      <w:pPr>
        <w:ind w:left="720"/>
        <w:rPr>
          <w:rFonts w:cs="David"/>
          <w:sz w:val="20"/>
          <w:szCs w:val="20"/>
          <w:rtl/>
        </w:rPr>
      </w:pPr>
      <w:r w:rsidRPr="00A95752">
        <w:rPr>
          <w:rFonts w:cs="David"/>
          <w:sz w:val="20"/>
          <w:szCs w:val="20"/>
          <w:rtl/>
        </w:rPr>
        <w:t xml:space="preserve">125. </w:t>
      </w:r>
      <w:r w:rsidRPr="00A95752">
        <w:rPr>
          <w:rFonts w:cs="David" w:hint="cs"/>
          <w:sz w:val="20"/>
          <w:szCs w:val="20"/>
          <w:rtl/>
        </w:rPr>
        <w:t>[</w:t>
      </w:r>
      <w:r w:rsidRPr="00A95752">
        <w:rPr>
          <w:rFonts w:cs="David"/>
          <w:sz w:val="20"/>
          <w:szCs w:val="20"/>
          <w:rtl/>
        </w:rPr>
        <w:t>שטחים סגורים</w:t>
      </w:r>
      <w:r w:rsidRPr="00A95752">
        <w:rPr>
          <w:rFonts w:cs="David" w:hint="cs"/>
          <w:sz w:val="20"/>
          <w:szCs w:val="20"/>
          <w:rtl/>
        </w:rPr>
        <w:t>]</w:t>
      </w:r>
    </w:p>
    <w:p w:rsidR="00241BC2" w:rsidRPr="00A95752" w:rsidRDefault="00241BC2" w:rsidP="00241BC2">
      <w:pPr>
        <w:rPr>
          <w:rFonts w:cs="David"/>
          <w:sz w:val="20"/>
          <w:szCs w:val="20"/>
          <w:rtl/>
        </w:rPr>
      </w:pPr>
      <w:r w:rsidRPr="00A95752">
        <w:rPr>
          <w:rFonts w:cs="David"/>
          <w:sz w:val="20"/>
          <w:szCs w:val="20"/>
          <w:rtl/>
        </w:rPr>
        <w:t xml:space="preserve">מפקד צבאי רשאי להכריז בצו על כל שטח או מקום, כי הם שטח סגור לצרכיהן של התקנות האלה. כל אדם הנכנס לתוך כל שטח או מקום, או יוצא מתוכם, במשך כל תקופה, שבה עומד בתקפו צו כזה ביחס לשטח או למקום ההם, ללא תעודת-היתר בכתב שהוצאה בידי המפקד הצבאי או מטעמו, יאשם בעבירה על התקנות האלה. </w:t>
      </w:r>
    </w:p>
    <w:p w:rsidR="00241BC2" w:rsidRDefault="00241BC2" w:rsidP="00241BC2">
      <w:pPr>
        <w:rPr>
          <w:sz w:val="20"/>
          <w:szCs w:val="20"/>
          <w:rtl/>
        </w:rPr>
      </w:pPr>
    </w:p>
    <w:p w:rsidR="00241BC2" w:rsidRDefault="00241BC2" w:rsidP="00241BC2">
      <w:pPr>
        <w:rPr>
          <w:sz w:val="20"/>
          <w:szCs w:val="20"/>
          <w:rtl/>
        </w:rPr>
      </w:pPr>
      <w:r>
        <w:rPr>
          <w:rFonts w:hint="cs"/>
          <w:sz w:val="20"/>
          <w:szCs w:val="20"/>
          <w:rtl/>
        </w:rPr>
        <w:t>=-=</w:t>
      </w:r>
    </w:p>
    <w:p w:rsidR="00241BC2" w:rsidRPr="00343948" w:rsidRDefault="00241BC2" w:rsidP="00241BC2">
      <w:pPr>
        <w:spacing w:after="60"/>
        <w:rPr>
          <w:sz w:val="20"/>
          <w:szCs w:val="20"/>
          <w:rtl/>
        </w:rPr>
      </w:pPr>
      <w:r w:rsidRPr="00343948">
        <w:rPr>
          <w:rFonts w:hint="cs"/>
          <w:sz w:val="20"/>
          <w:szCs w:val="20"/>
          <w:rtl/>
        </w:rPr>
        <w:t xml:space="preserve">תקנה 97(1) </w:t>
      </w:r>
      <w:r>
        <w:rPr>
          <w:rFonts w:hint="cs"/>
          <w:sz w:val="20"/>
          <w:szCs w:val="20"/>
          <w:rtl/>
        </w:rPr>
        <w:t xml:space="preserve">היא מורכבת, שכן בעצם היא </w:t>
      </w:r>
      <w:r w:rsidRPr="00343948">
        <w:rPr>
          <w:rFonts w:hint="cs"/>
          <w:sz w:val="20"/>
          <w:szCs w:val="20"/>
          <w:rtl/>
        </w:rPr>
        <w:t>מעניקה סמכות להוצאתם של</w:t>
      </w:r>
      <w:r>
        <w:rPr>
          <w:rFonts w:hint="cs"/>
          <w:sz w:val="20"/>
          <w:szCs w:val="20"/>
          <w:rtl/>
        </w:rPr>
        <w:t xml:space="preserve"> צווים</w:t>
      </w:r>
      <w:r w:rsidRPr="00343948">
        <w:rPr>
          <w:rFonts w:hint="cs"/>
          <w:sz w:val="20"/>
          <w:szCs w:val="20"/>
          <w:rtl/>
        </w:rPr>
        <w:t xml:space="preserve"> </w:t>
      </w:r>
      <w:r>
        <w:rPr>
          <w:rFonts w:hint="cs"/>
          <w:sz w:val="20"/>
          <w:szCs w:val="20"/>
          <w:rtl/>
        </w:rPr>
        <w:t>מ</w:t>
      </w:r>
      <w:r w:rsidRPr="00343948">
        <w:rPr>
          <w:rFonts w:hint="cs"/>
          <w:b/>
          <w:bCs/>
          <w:sz w:val="20"/>
          <w:szCs w:val="20"/>
          <w:rtl/>
        </w:rPr>
        <w:t>שני</w:t>
      </w:r>
      <w:r w:rsidRPr="00343948">
        <w:rPr>
          <w:rFonts w:hint="cs"/>
          <w:sz w:val="20"/>
          <w:szCs w:val="20"/>
          <w:rtl/>
        </w:rPr>
        <w:t xml:space="preserve"> סוגי</w:t>
      </w:r>
      <w:r>
        <w:rPr>
          <w:rFonts w:hint="cs"/>
          <w:sz w:val="20"/>
          <w:szCs w:val="20"/>
          <w:rtl/>
        </w:rPr>
        <w:t>ם</w:t>
      </w:r>
      <w:r w:rsidRPr="00343948">
        <w:rPr>
          <w:rFonts w:hint="cs"/>
          <w:sz w:val="20"/>
          <w:szCs w:val="20"/>
          <w:rtl/>
        </w:rPr>
        <w:t xml:space="preserve"> </w:t>
      </w:r>
      <w:r w:rsidRPr="00343948">
        <w:rPr>
          <w:sz w:val="20"/>
          <w:szCs w:val="20"/>
          <w:rtl/>
        </w:rPr>
        <w:t>–</w:t>
      </w:r>
      <w:r w:rsidRPr="00343948">
        <w:rPr>
          <w:rFonts w:hint="cs"/>
          <w:sz w:val="20"/>
          <w:szCs w:val="20"/>
          <w:rtl/>
        </w:rPr>
        <w:t xml:space="preserve"> (1) </w:t>
      </w:r>
      <w:r>
        <w:rPr>
          <w:rFonts w:hint="cs"/>
          <w:sz w:val="20"/>
          <w:szCs w:val="20"/>
          <w:rtl/>
        </w:rPr>
        <w:t xml:space="preserve">צווים </w:t>
      </w:r>
      <w:r w:rsidRPr="00343948">
        <w:rPr>
          <w:rFonts w:hint="cs"/>
          <w:sz w:val="20"/>
          <w:szCs w:val="20"/>
          <w:rtl/>
        </w:rPr>
        <w:t xml:space="preserve">קיבוציים (כלומר "בני פועל תחיקתי") ו-(2) צווים אינדיבידואליים/אישיים.  </w:t>
      </w:r>
      <w:r>
        <w:rPr>
          <w:rFonts w:hint="cs"/>
          <w:sz w:val="20"/>
          <w:szCs w:val="20"/>
          <w:rtl/>
        </w:rPr>
        <w:t>למה הכוונה?</w:t>
      </w:r>
    </w:p>
    <w:p w:rsidR="00241BC2" w:rsidRDefault="00241BC2" w:rsidP="00241BC2">
      <w:pPr>
        <w:spacing w:after="60"/>
        <w:rPr>
          <w:sz w:val="20"/>
          <w:szCs w:val="20"/>
          <w:rtl/>
        </w:rPr>
      </w:pPr>
      <w:r w:rsidRPr="00343948">
        <w:rPr>
          <w:rFonts w:hint="cs"/>
          <w:sz w:val="20"/>
          <w:szCs w:val="20"/>
          <w:rtl/>
        </w:rPr>
        <w:t xml:space="preserve">אם </w:t>
      </w:r>
      <w:r>
        <w:rPr>
          <w:rFonts w:hint="cs"/>
          <w:sz w:val="20"/>
          <w:szCs w:val="20"/>
          <w:rtl/>
        </w:rPr>
        <w:t>מדובר</w:t>
      </w:r>
      <w:r w:rsidRPr="00343948">
        <w:rPr>
          <w:rFonts w:hint="cs"/>
          <w:sz w:val="20"/>
          <w:szCs w:val="20"/>
          <w:rtl/>
        </w:rPr>
        <w:t xml:space="preserve"> </w:t>
      </w:r>
      <w:r>
        <w:rPr>
          <w:rFonts w:hint="cs"/>
          <w:sz w:val="20"/>
          <w:szCs w:val="20"/>
          <w:rtl/>
        </w:rPr>
        <w:t>ב</w:t>
      </w:r>
      <w:r w:rsidRPr="00343948">
        <w:rPr>
          <w:rFonts w:hint="cs"/>
          <w:sz w:val="20"/>
          <w:szCs w:val="20"/>
          <w:rtl/>
        </w:rPr>
        <w:t xml:space="preserve">צו הניתן ביחס לעורך עיתון קונקרטי, על פי שמו או על פי תפקידו באותה עת (למשל, עורך "מעריב") </w:t>
      </w:r>
      <w:r>
        <w:rPr>
          <w:rFonts w:hint="cs"/>
          <w:sz w:val="20"/>
          <w:szCs w:val="20"/>
          <w:rtl/>
        </w:rPr>
        <w:t>+ ו</w:t>
      </w:r>
      <w:r w:rsidRPr="00343948">
        <w:rPr>
          <w:rFonts w:hint="cs"/>
          <w:sz w:val="20"/>
          <w:szCs w:val="20"/>
          <w:rtl/>
        </w:rPr>
        <w:t>ככל שמדובר בצו ביחס לעניין מסוים וקונקרטי (לא מתמשך בזמן) של אותו עיתון,</w:t>
      </w:r>
      <w:r>
        <w:rPr>
          <w:rFonts w:hint="cs"/>
          <w:sz w:val="20"/>
          <w:szCs w:val="20"/>
          <w:rtl/>
        </w:rPr>
        <w:t xml:space="preserve"> למשל איסור של המשך עיסוק בפרשה מסוימת, שהיא סודית בעיני הרשות השלטונית המוסמכת, קרי, הצנזור הצבאי,</w:t>
      </w:r>
      <w:r w:rsidRPr="00343948">
        <w:rPr>
          <w:rFonts w:hint="cs"/>
          <w:sz w:val="20"/>
          <w:szCs w:val="20"/>
          <w:rtl/>
        </w:rPr>
        <w:t xml:space="preserve"> </w:t>
      </w:r>
      <w:r w:rsidRPr="00343948">
        <w:rPr>
          <w:rFonts w:hint="cs"/>
          <w:b/>
          <w:bCs/>
          <w:sz w:val="20"/>
          <w:szCs w:val="20"/>
          <w:rtl/>
        </w:rPr>
        <w:t>כי אז מדובר בצו אישי</w:t>
      </w:r>
      <w:r w:rsidRPr="00343948">
        <w:rPr>
          <w:rFonts w:hint="cs"/>
          <w:sz w:val="20"/>
          <w:szCs w:val="20"/>
          <w:rtl/>
        </w:rPr>
        <w:t xml:space="preserve">.  הוא אינו נוגע לכל מי שיהיה עורך </w:t>
      </w:r>
      <w:r>
        <w:rPr>
          <w:rFonts w:hint="cs"/>
          <w:sz w:val="20"/>
          <w:szCs w:val="20"/>
          <w:rtl/>
        </w:rPr>
        <w:t>"</w:t>
      </w:r>
      <w:r w:rsidRPr="00343948">
        <w:rPr>
          <w:rFonts w:hint="cs"/>
          <w:sz w:val="20"/>
          <w:szCs w:val="20"/>
          <w:rtl/>
        </w:rPr>
        <w:t>מעריב</w:t>
      </w:r>
      <w:r>
        <w:rPr>
          <w:rFonts w:hint="cs"/>
          <w:sz w:val="20"/>
          <w:szCs w:val="20"/>
          <w:rtl/>
        </w:rPr>
        <w:t>"</w:t>
      </w:r>
      <w:r w:rsidRPr="00343948">
        <w:rPr>
          <w:rFonts w:hint="cs"/>
          <w:sz w:val="20"/>
          <w:szCs w:val="20"/>
          <w:rtl/>
        </w:rPr>
        <w:t xml:space="preserve"> בעתיד, אלא לאדם קונקרטי שמביאים לידיעתו חובה שהוטלה עליו/עליה.  </w:t>
      </w:r>
    </w:p>
    <w:p w:rsidR="00241BC2" w:rsidRPr="00343948" w:rsidRDefault="00241BC2" w:rsidP="00241BC2">
      <w:pPr>
        <w:spacing w:after="60"/>
        <w:rPr>
          <w:sz w:val="20"/>
          <w:szCs w:val="20"/>
          <w:rtl/>
        </w:rPr>
      </w:pPr>
      <w:r>
        <w:rPr>
          <w:rFonts w:hint="cs"/>
          <w:sz w:val="20"/>
          <w:szCs w:val="20"/>
          <w:rtl/>
        </w:rPr>
        <w:t>ואולם במקביל</w:t>
      </w:r>
      <w:r w:rsidRPr="00343948">
        <w:rPr>
          <w:rFonts w:hint="cs"/>
          <w:sz w:val="20"/>
          <w:szCs w:val="20"/>
          <w:rtl/>
        </w:rPr>
        <w:t>, תקנה 97 מאפשרת במקביל גם להוציא צו ביחס ל"כל אדם", "כל בית דפוס" וכדומה.</w:t>
      </w:r>
      <w:r>
        <w:rPr>
          <w:rFonts w:hint="cs"/>
          <w:sz w:val="20"/>
          <w:szCs w:val="20"/>
          <w:rtl/>
        </w:rPr>
        <w:t xml:space="preserve"> גם צווים בעלי אופי נמשך כמו צו לעורכי עיתונים וכלי תקשורת אחרים, למשל, ביחס למידע על מתקנים צבאיים או אזרחיים-ביטחוניים שונים. צו בעל אופי שכזה, הוא</w:t>
      </w:r>
      <w:r w:rsidRPr="00343948">
        <w:rPr>
          <w:rFonts w:hint="cs"/>
          <w:b/>
          <w:bCs/>
          <w:sz w:val="20"/>
          <w:szCs w:val="20"/>
          <w:rtl/>
        </w:rPr>
        <w:t xml:space="preserve"> צו</w:t>
      </w:r>
      <w:r>
        <w:rPr>
          <w:rFonts w:hint="cs"/>
          <w:b/>
          <w:bCs/>
          <w:sz w:val="20"/>
          <w:szCs w:val="20"/>
          <w:rtl/>
        </w:rPr>
        <w:t xml:space="preserve"> </w:t>
      </w:r>
      <w:r w:rsidRPr="00343948">
        <w:rPr>
          <w:rFonts w:hint="cs"/>
          <w:b/>
          <w:bCs/>
          <w:sz w:val="20"/>
          <w:szCs w:val="20"/>
          <w:rtl/>
        </w:rPr>
        <w:t>בן</w:t>
      </w:r>
      <w:r>
        <w:rPr>
          <w:rFonts w:hint="cs"/>
          <w:b/>
          <w:bCs/>
          <w:sz w:val="20"/>
          <w:szCs w:val="20"/>
          <w:rtl/>
        </w:rPr>
        <w:t>-</w:t>
      </w:r>
      <w:r w:rsidRPr="00343948">
        <w:rPr>
          <w:rFonts w:hint="cs"/>
          <w:b/>
          <w:bCs/>
          <w:sz w:val="20"/>
          <w:szCs w:val="20"/>
          <w:rtl/>
        </w:rPr>
        <w:t>פועל תחיקתי,</w:t>
      </w:r>
      <w:r w:rsidRPr="00343948">
        <w:rPr>
          <w:rFonts w:hint="cs"/>
          <w:sz w:val="20"/>
          <w:szCs w:val="20"/>
          <w:rtl/>
        </w:rPr>
        <w:t xml:space="preserve"> המחייב לכאורה פרסום</w:t>
      </w:r>
      <w:r>
        <w:rPr>
          <w:rFonts w:hint="cs"/>
          <w:sz w:val="20"/>
          <w:szCs w:val="20"/>
          <w:rtl/>
        </w:rPr>
        <w:t xml:space="preserve"> ברשומות</w:t>
      </w:r>
      <w:r w:rsidRPr="00343948">
        <w:rPr>
          <w:rFonts w:hint="cs"/>
          <w:sz w:val="20"/>
          <w:szCs w:val="20"/>
          <w:rtl/>
        </w:rPr>
        <w:t>.</w:t>
      </w:r>
    </w:p>
    <w:p w:rsidR="00241BC2" w:rsidRDefault="00241BC2" w:rsidP="00241BC2">
      <w:pPr>
        <w:spacing w:after="60"/>
        <w:rPr>
          <w:sz w:val="20"/>
          <w:szCs w:val="20"/>
          <w:rtl/>
        </w:rPr>
      </w:pPr>
      <w:r>
        <w:rPr>
          <w:rFonts w:hint="cs"/>
          <w:sz w:val="20"/>
          <w:szCs w:val="20"/>
          <w:rtl/>
        </w:rPr>
        <w:t>דוגמא אחרת: צו מכוח סעיף 125 לתקנות ההגנה. צו סגירת שטח. האם הוא בעל פועל תחיקתי? האם הוא כך גם אם הוא מוצא למשל לתקופה של יום אחד או לכמה שעות? התשובה היא בחיוב. הוא מגביל קבוצה בלתי מסוימת, בלתי מזוהה מראש של בני אדם להיכנס לשטח ו/או לצאת ממנו.</w:t>
      </w:r>
    </w:p>
    <w:p w:rsidR="00241BC2" w:rsidRDefault="00241BC2" w:rsidP="00241BC2">
      <w:pPr>
        <w:spacing w:after="60"/>
        <w:rPr>
          <w:sz w:val="20"/>
          <w:szCs w:val="20"/>
          <w:rtl/>
        </w:rPr>
      </w:pPr>
      <w:r w:rsidRPr="008166B6">
        <w:rPr>
          <w:rFonts w:hint="cs"/>
          <w:sz w:val="20"/>
          <w:szCs w:val="20"/>
          <w:highlight w:val="yellow"/>
          <w:rtl/>
        </w:rPr>
        <w:t>אלא שחובה זו המוטלת על צווים בני פועל תחיקתי, המוּצאים מכוח תקנות ההגנה, היא לכאורית בלבד.  צווים אלו הופטרו מחובת הפרסום ברשומות.</w:t>
      </w:r>
      <w:r w:rsidRPr="00343948">
        <w:rPr>
          <w:rFonts w:hint="cs"/>
          <w:sz w:val="20"/>
          <w:szCs w:val="20"/>
          <w:rtl/>
        </w:rPr>
        <w:t xml:space="preserve">  ההשתלשלות </w:t>
      </w:r>
      <w:r>
        <w:rPr>
          <w:rFonts w:hint="cs"/>
          <w:sz w:val="20"/>
          <w:szCs w:val="20"/>
          <w:rtl/>
        </w:rPr>
        <w:t xml:space="preserve">היא מורכבת. היא מופיעה בספרם של </w:t>
      </w:r>
      <w:r w:rsidRPr="008C5C84">
        <w:rPr>
          <w:rFonts w:hint="cs"/>
          <w:b/>
          <w:bCs/>
          <w:sz w:val="20"/>
          <w:szCs w:val="20"/>
          <w:rtl/>
        </w:rPr>
        <w:t>רובינשטיין ומדינה</w:t>
      </w:r>
      <w:r>
        <w:rPr>
          <w:rFonts w:hint="cs"/>
          <w:sz w:val="20"/>
          <w:szCs w:val="20"/>
          <w:rtl/>
        </w:rPr>
        <w:t>, בפרק 5, סעיף 5.3 לספרם:</w:t>
      </w:r>
    </w:p>
    <w:p w:rsidR="00241BC2" w:rsidRPr="008C5C84" w:rsidRDefault="00241BC2" w:rsidP="00241BC2">
      <w:pPr>
        <w:ind w:left="720"/>
        <w:rPr>
          <w:rFonts w:asciiTheme="majorBidi" w:hAnsiTheme="majorBidi" w:cstheme="majorBidi"/>
          <w:sz w:val="20"/>
          <w:szCs w:val="20"/>
          <w:rtl/>
        </w:rPr>
      </w:pPr>
      <w:r w:rsidRPr="008C5C84">
        <w:rPr>
          <w:rFonts w:asciiTheme="majorBidi" w:hAnsiTheme="majorBidi" w:cstheme="majorBidi"/>
          <w:sz w:val="20"/>
          <w:szCs w:val="20"/>
          <w:rtl/>
        </w:rPr>
        <w:t>במקרים מסוימים, נקבע בחקיקה פטור מחובת פרסום ברשומות של תקנות בנות פועל תחיקתי.</w:t>
      </w:r>
      <w:r w:rsidRPr="008C5C84">
        <w:rPr>
          <w:rStyle w:val="header3TimesNewRoman"/>
          <w:rFonts w:asciiTheme="majorBidi" w:hAnsiTheme="majorBidi" w:cstheme="majorBidi"/>
          <w:sz w:val="20"/>
          <w:szCs w:val="20"/>
          <w:rtl/>
        </w:rPr>
        <w:footnoteReference w:id="70"/>
      </w:r>
      <w:r w:rsidRPr="008C5C84">
        <w:rPr>
          <w:rFonts w:asciiTheme="majorBidi" w:hAnsiTheme="majorBidi" w:cstheme="majorBidi"/>
          <w:sz w:val="20"/>
          <w:szCs w:val="20"/>
          <w:rtl/>
        </w:rPr>
        <w:t xml:space="preserve"> </w:t>
      </w:r>
    </w:p>
    <w:p w:rsidR="00241BC2" w:rsidRPr="008C5C84" w:rsidRDefault="00241BC2" w:rsidP="00241BC2">
      <w:pPr>
        <w:ind w:left="720"/>
        <w:rPr>
          <w:rFonts w:asciiTheme="majorBidi" w:hAnsiTheme="majorBidi" w:cstheme="majorBidi"/>
          <w:sz w:val="20"/>
          <w:szCs w:val="20"/>
          <w:rtl/>
        </w:rPr>
      </w:pPr>
      <w:r w:rsidRPr="008C5C84">
        <w:rPr>
          <w:rFonts w:asciiTheme="majorBidi" w:hAnsiTheme="majorBidi" w:cstheme="majorBidi"/>
          <w:sz w:val="20"/>
          <w:szCs w:val="20"/>
          <w:rtl/>
        </w:rPr>
        <w:t>החשוב בהם הוא זה שנקבע ביחס לצווים המוצאים מכוח תקנות ההגנה (שעת חירום) 1945. המדובר בדבר חקיקה מנדטורי (בעל מעמד של חקיקה ראשית, על אף שמו), מכוחו הוקנו סמכויות נרחבות לשלילת זכויות ללא משפט. בתקנה 3(2) לתקנות ההגנה נקבע, כי צווים המוצאים מכוח התקנות פטורים מחובת פרסום ברשומות, גם אם יש בהם משום הטלת נורמה כללית בת פועל תחיקתי.</w:t>
      </w:r>
      <w:r w:rsidRPr="008C5C84">
        <w:rPr>
          <w:rStyle w:val="header3TimesNewRoman"/>
          <w:rFonts w:asciiTheme="majorBidi" w:hAnsiTheme="majorBidi" w:cstheme="majorBidi"/>
          <w:sz w:val="20"/>
          <w:szCs w:val="20"/>
          <w:rtl/>
        </w:rPr>
        <w:footnoteReference w:id="71"/>
      </w:r>
      <w:r w:rsidRPr="008C5C84">
        <w:rPr>
          <w:rFonts w:asciiTheme="majorBidi" w:hAnsiTheme="majorBidi" w:cstheme="majorBidi"/>
          <w:sz w:val="20"/>
          <w:szCs w:val="20"/>
          <w:rtl/>
        </w:rPr>
        <w:t xml:space="preserve"> בנוסחו המקורי של סעיף 10(ג) לפקודת סדרי השלטון והמשפט הוחלה חובת הפרסום ברשומות גם על "תקנות-שעת-חירום", ואף שלא היתה התייחסות מפורשת לצווים המוצאים מכוחן של תקנות ההגנה, פורשה הוראה זו כחלה גם על האחרונים (עניין </w:t>
      </w:r>
      <w:r w:rsidRPr="008C5C84">
        <w:rPr>
          <w:rFonts w:asciiTheme="majorBidi" w:hAnsiTheme="majorBidi" w:cstheme="majorBidi"/>
          <w:b/>
          <w:bCs/>
          <w:sz w:val="20"/>
          <w:szCs w:val="20"/>
          <w:rtl/>
        </w:rPr>
        <w:t>אסלאן</w:t>
      </w:r>
      <w:r w:rsidRPr="008C5C84">
        <w:rPr>
          <w:rFonts w:asciiTheme="majorBidi" w:hAnsiTheme="majorBidi" w:cstheme="majorBidi"/>
          <w:sz w:val="20"/>
          <w:szCs w:val="20"/>
          <w:rtl/>
        </w:rPr>
        <w:t>). בעקבות זאת תוקן, בתשי"ב, סעיף 10(ג) לפקודה, ונקבע בו כי חובת הפרסום ברשומות חלה רק על תקנות-שעת-חירום המוצאות מכוח סעיף 9 לפקודה (שהוחלף מאוחר יותר בסעיף 39 לחוק-יסוד: הממשלה). לכן, צווים המוצאים מכוח תקנות ההגנה אינם טעונים פרסום ברשומות.</w:t>
      </w:r>
      <w:r w:rsidRPr="008C5C84">
        <w:rPr>
          <w:rStyle w:val="header3TimesNewRoman"/>
          <w:rFonts w:asciiTheme="majorBidi" w:hAnsiTheme="majorBidi" w:cstheme="majorBidi"/>
          <w:sz w:val="20"/>
          <w:szCs w:val="20"/>
          <w:rtl/>
        </w:rPr>
        <w:footnoteReference w:id="72"/>
      </w:r>
      <w:r w:rsidRPr="008C5C84">
        <w:rPr>
          <w:rFonts w:asciiTheme="majorBidi" w:hAnsiTheme="majorBidi" w:cstheme="majorBidi"/>
          <w:sz w:val="20"/>
          <w:szCs w:val="20"/>
          <w:rtl/>
        </w:rPr>
        <w:t xml:space="preserve"> כמו כן, חובת הפרסום ברשומות אינה חלה על צווים המוצאים על-ידי הגורמים המוסמכים לכך בשטחים המוחזקים.</w:t>
      </w:r>
      <w:r w:rsidRPr="008C5C84">
        <w:rPr>
          <w:rStyle w:val="header3TimesNewRoman"/>
          <w:rFonts w:asciiTheme="majorBidi" w:hAnsiTheme="majorBidi" w:cstheme="majorBidi"/>
          <w:sz w:val="20"/>
          <w:szCs w:val="20"/>
          <w:rtl/>
        </w:rPr>
        <w:footnoteReference w:id="73"/>
      </w:r>
    </w:p>
    <w:p w:rsidR="00241BC2" w:rsidRDefault="00241BC2" w:rsidP="00241BC2">
      <w:pPr>
        <w:rPr>
          <w:sz w:val="20"/>
          <w:szCs w:val="20"/>
          <w:rtl/>
        </w:rPr>
      </w:pPr>
    </w:p>
    <w:p w:rsidR="00241BC2" w:rsidRDefault="00241BC2" w:rsidP="00241BC2">
      <w:pPr>
        <w:rPr>
          <w:sz w:val="20"/>
          <w:szCs w:val="20"/>
          <w:rtl/>
        </w:rPr>
      </w:pPr>
      <w:r>
        <w:rPr>
          <w:rFonts w:hint="cs"/>
          <w:sz w:val="20"/>
          <w:szCs w:val="20"/>
          <w:rtl/>
        </w:rPr>
        <w:t>=-=</w:t>
      </w:r>
    </w:p>
    <w:p w:rsidR="00241BC2" w:rsidRDefault="00241BC2" w:rsidP="00241BC2">
      <w:pPr>
        <w:jc w:val="center"/>
        <w:rPr>
          <w:rFonts w:ascii="Arial" w:hAnsi="Arial" w:cs="Arial"/>
          <w:b/>
          <w:bCs/>
          <w:highlight w:val="yellow"/>
          <w:rtl/>
        </w:rPr>
      </w:pPr>
      <w:r w:rsidRPr="00203B58">
        <w:rPr>
          <w:rFonts w:ascii="Arial" w:hAnsi="Arial" w:cs="Arial" w:hint="cs"/>
          <w:b/>
          <w:bCs/>
          <w:highlight w:val="yellow"/>
          <w:rtl/>
        </w:rPr>
        <w:t xml:space="preserve">חובות פרסום </w:t>
      </w:r>
      <w:r>
        <w:rPr>
          <w:rFonts w:ascii="Arial" w:hAnsi="Arial" w:cs="Arial" w:hint="cs"/>
          <w:b/>
          <w:bCs/>
          <w:highlight w:val="yellow"/>
          <w:rtl/>
        </w:rPr>
        <w:t xml:space="preserve">באפיקי פרסום אחרים, מעבר ל"רשומות" או, להבדיל, </w:t>
      </w:r>
      <w:r w:rsidRPr="008166B6">
        <w:rPr>
          <w:rFonts w:ascii="Arial" w:hAnsi="Arial" w:cs="Arial" w:hint="cs"/>
          <w:b/>
          <w:bCs/>
          <w:i/>
          <w:iCs/>
          <w:highlight w:val="yellow"/>
          <w:rtl/>
        </w:rPr>
        <w:t>במקום</w:t>
      </w:r>
      <w:r>
        <w:rPr>
          <w:rFonts w:ascii="Arial" w:hAnsi="Arial" w:cs="Arial" w:hint="cs"/>
          <w:b/>
          <w:bCs/>
          <w:highlight w:val="yellow"/>
          <w:rtl/>
        </w:rPr>
        <w:t xml:space="preserve"> פרסום ב"רשומות"</w:t>
      </w:r>
    </w:p>
    <w:p w:rsidR="00241BC2" w:rsidRDefault="00241BC2" w:rsidP="00241BC2">
      <w:pPr>
        <w:rPr>
          <w:sz w:val="20"/>
          <w:szCs w:val="20"/>
          <w:rtl/>
        </w:rPr>
      </w:pPr>
    </w:p>
    <w:p w:rsidR="00241BC2" w:rsidRDefault="00241BC2" w:rsidP="00241BC2">
      <w:pPr>
        <w:rPr>
          <w:sz w:val="22"/>
          <w:szCs w:val="22"/>
          <w:rtl/>
        </w:rPr>
      </w:pPr>
      <w:r w:rsidRPr="006325E6">
        <w:rPr>
          <w:rFonts w:hint="cs"/>
          <w:sz w:val="22"/>
          <w:szCs w:val="22"/>
          <w:rtl/>
        </w:rPr>
        <w:t xml:space="preserve">הוראות-הדין </w:t>
      </w:r>
      <w:r>
        <w:rPr>
          <w:rFonts w:hint="cs"/>
          <w:sz w:val="22"/>
          <w:szCs w:val="22"/>
          <w:rtl/>
        </w:rPr>
        <w:t>שהוזכרו</w:t>
      </w:r>
      <w:r w:rsidRPr="006325E6">
        <w:rPr>
          <w:rFonts w:hint="cs"/>
          <w:sz w:val="22"/>
          <w:szCs w:val="22"/>
          <w:rtl/>
        </w:rPr>
        <w:t xml:space="preserve"> וכן הדיון </w:t>
      </w:r>
      <w:r>
        <w:rPr>
          <w:rFonts w:hint="cs"/>
          <w:sz w:val="22"/>
          <w:szCs w:val="22"/>
          <w:rtl/>
        </w:rPr>
        <w:t xml:space="preserve">לעיל </w:t>
      </w:r>
      <w:r w:rsidRPr="006325E6">
        <w:rPr>
          <w:rFonts w:hint="cs"/>
          <w:sz w:val="22"/>
          <w:szCs w:val="22"/>
          <w:rtl/>
        </w:rPr>
        <w:t>נוגעים לפרסום ב"רשומות", כלומר בפרסום הרשמי המסוים הזה של המדינה</w:t>
      </w:r>
      <w:r>
        <w:rPr>
          <w:rFonts w:hint="cs"/>
          <w:sz w:val="22"/>
          <w:szCs w:val="22"/>
          <w:rtl/>
        </w:rPr>
        <w:t>, על סוגיו: ספר החוקים, קובץ התקנות, ילקוט הפרסומים</w:t>
      </w:r>
      <w:r w:rsidRPr="006325E6">
        <w:rPr>
          <w:rFonts w:hint="cs"/>
          <w:sz w:val="22"/>
          <w:szCs w:val="22"/>
          <w:rtl/>
        </w:rPr>
        <w:t xml:space="preserve">.  </w:t>
      </w:r>
    </w:p>
    <w:p w:rsidR="00241BC2" w:rsidRPr="006325E6" w:rsidRDefault="00241BC2" w:rsidP="00241BC2">
      <w:pPr>
        <w:rPr>
          <w:sz w:val="22"/>
          <w:szCs w:val="22"/>
          <w:rtl/>
        </w:rPr>
      </w:pPr>
      <w:r w:rsidRPr="006325E6">
        <w:rPr>
          <w:rFonts w:hint="cs"/>
          <w:sz w:val="22"/>
          <w:szCs w:val="22"/>
          <w:rtl/>
        </w:rPr>
        <w:t>עם זאת, חובות פרסום</w:t>
      </w:r>
      <w:r>
        <w:rPr>
          <w:rFonts w:hint="cs"/>
          <w:sz w:val="22"/>
          <w:szCs w:val="22"/>
          <w:rtl/>
        </w:rPr>
        <w:t xml:space="preserve"> מסוגים אחרים, שאינם פרסום</w:t>
      </w:r>
      <w:r w:rsidRPr="006325E6">
        <w:rPr>
          <w:rFonts w:hint="cs"/>
          <w:sz w:val="22"/>
          <w:szCs w:val="22"/>
          <w:rtl/>
        </w:rPr>
        <w:t xml:space="preserve"> ברשומות</w:t>
      </w:r>
      <w:r>
        <w:rPr>
          <w:rFonts w:hint="cs"/>
          <w:sz w:val="22"/>
          <w:szCs w:val="22"/>
          <w:rtl/>
        </w:rPr>
        <w:t>,</w:t>
      </w:r>
      <w:r w:rsidRPr="006325E6">
        <w:rPr>
          <w:rFonts w:hint="cs"/>
          <w:sz w:val="22"/>
          <w:szCs w:val="22"/>
          <w:rtl/>
        </w:rPr>
        <w:t xml:space="preserve"> יכולות להתגבש, והן אכן התגבשו</w:t>
      </w:r>
      <w:r>
        <w:rPr>
          <w:rFonts w:hint="cs"/>
          <w:sz w:val="22"/>
          <w:szCs w:val="22"/>
          <w:rtl/>
        </w:rPr>
        <w:t>,</w:t>
      </w:r>
      <w:r w:rsidRPr="006325E6">
        <w:rPr>
          <w:rFonts w:hint="cs"/>
          <w:sz w:val="22"/>
          <w:szCs w:val="22"/>
          <w:rtl/>
        </w:rPr>
        <w:t xml:space="preserve"> ביחס ל"הנחיות מינהליות" (ראו להלן).  </w:t>
      </w:r>
      <w:r>
        <w:rPr>
          <w:rFonts w:hint="cs"/>
          <w:sz w:val="22"/>
          <w:szCs w:val="22"/>
          <w:rtl/>
        </w:rPr>
        <w:t xml:space="preserve">כמו כן, </w:t>
      </w:r>
      <w:r w:rsidRPr="006325E6">
        <w:rPr>
          <w:rFonts w:hint="cs"/>
          <w:sz w:val="22"/>
          <w:szCs w:val="22"/>
          <w:rtl/>
        </w:rPr>
        <w:t>חוקי-עזר</w:t>
      </w:r>
      <w:r>
        <w:rPr>
          <w:rFonts w:hint="cs"/>
          <w:sz w:val="22"/>
          <w:szCs w:val="22"/>
          <w:rtl/>
        </w:rPr>
        <w:t xml:space="preserve"> (</w:t>
      </w:r>
      <w:r w:rsidRPr="006325E6">
        <w:rPr>
          <w:rFonts w:hint="cs"/>
          <w:sz w:val="22"/>
          <w:szCs w:val="22"/>
          <w:rtl/>
        </w:rPr>
        <w:t>משמע, חקיקת המשנה של כל רשות מקומית</w:t>
      </w:r>
      <w:r>
        <w:rPr>
          <w:rFonts w:hint="cs"/>
          <w:sz w:val="22"/>
          <w:szCs w:val="22"/>
          <w:rtl/>
        </w:rPr>
        <w:t>)</w:t>
      </w:r>
      <w:r w:rsidRPr="006325E6">
        <w:rPr>
          <w:rFonts w:hint="cs"/>
          <w:sz w:val="22"/>
          <w:szCs w:val="22"/>
          <w:rtl/>
        </w:rPr>
        <w:t xml:space="preserve"> צריכ</w:t>
      </w:r>
      <w:r>
        <w:rPr>
          <w:rFonts w:hint="cs"/>
          <w:sz w:val="22"/>
          <w:szCs w:val="22"/>
          <w:rtl/>
        </w:rPr>
        <w:t>ים</w:t>
      </w:r>
      <w:r w:rsidRPr="006325E6">
        <w:rPr>
          <w:rFonts w:hint="cs"/>
          <w:sz w:val="22"/>
          <w:szCs w:val="22"/>
          <w:rtl/>
        </w:rPr>
        <w:t xml:space="preserve"> </w:t>
      </w:r>
      <w:r w:rsidRPr="00EC1CD3">
        <w:rPr>
          <w:rFonts w:hint="cs"/>
          <w:sz w:val="22"/>
          <w:szCs w:val="22"/>
          <w:u w:val="single"/>
          <w:rtl/>
        </w:rPr>
        <w:t>גם</w:t>
      </w:r>
      <w:r>
        <w:rPr>
          <w:rFonts w:hint="cs"/>
          <w:sz w:val="22"/>
          <w:szCs w:val="22"/>
          <w:rtl/>
        </w:rPr>
        <w:t xml:space="preserve"> פרסום</w:t>
      </w:r>
      <w:r w:rsidRPr="006325E6">
        <w:rPr>
          <w:rFonts w:hint="cs"/>
          <w:sz w:val="22"/>
          <w:szCs w:val="22"/>
          <w:rtl/>
        </w:rPr>
        <w:t xml:space="preserve"> ברשומות</w:t>
      </w:r>
      <w:r>
        <w:rPr>
          <w:rFonts w:hint="cs"/>
          <w:sz w:val="22"/>
          <w:szCs w:val="22"/>
          <w:rtl/>
        </w:rPr>
        <w:t xml:space="preserve"> (בהיותם "תקנה")</w:t>
      </w:r>
      <w:r w:rsidRPr="006325E6">
        <w:rPr>
          <w:rFonts w:hint="cs"/>
          <w:sz w:val="22"/>
          <w:szCs w:val="22"/>
          <w:rtl/>
        </w:rPr>
        <w:t xml:space="preserve"> </w:t>
      </w:r>
      <w:r w:rsidRPr="00EC1CD3">
        <w:rPr>
          <w:rFonts w:hint="cs"/>
          <w:sz w:val="22"/>
          <w:szCs w:val="22"/>
          <w:u w:val="single"/>
          <w:rtl/>
        </w:rPr>
        <w:t>וגם</w:t>
      </w:r>
      <w:r w:rsidRPr="006325E6">
        <w:rPr>
          <w:rFonts w:hint="cs"/>
          <w:sz w:val="22"/>
          <w:szCs w:val="22"/>
          <w:rtl/>
        </w:rPr>
        <w:t xml:space="preserve"> לעמוד "לעיון הציבור" בדרך נוספת</w:t>
      </w:r>
      <w:r>
        <w:rPr>
          <w:rFonts w:hint="cs"/>
          <w:sz w:val="22"/>
          <w:szCs w:val="22"/>
          <w:rtl/>
        </w:rPr>
        <w:t>, שהיא הדרך הבאה</w:t>
      </w:r>
      <w:r w:rsidRPr="006325E6">
        <w:rPr>
          <w:rFonts w:hint="cs"/>
          <w:sz w:val="22"/>
          <w:szCs w:val="22"/>
          <w:rtl/>
        </w:rPr>
        <w:t>:</w:t>
      </w:r>
    </w:p>
    <w:p w:rsidR="00241BC2" w:rsidRDefault="00241BC2" w:rsidP="00241BC2">
      <w:pPr>
        <w:rPr>
          <w:sz w:val="20"/>
          <w:szCs w:val="20"/>
          <w:rtl/>
        </w:rPr>
      </w:pPr>
    </w:p>
    <w:p w:rsidR="00241BC2" w:rsidRPr="001C4B3D" w:rsidRDefault="00241BC2" w:rsidP="00241BC2">
      <w:pPr>
        <w:spacing w:after="120"/>
        <w:rPr>
          <w:b/>
          <w:bCs/>
          <w:sz w:val="22"/>
          <w:szCs w:val="22"/>
          <w:rtl/>
        </w:rPr>
      </w:pPr>
      <w:r w:rsidRPr="00054CD5">
        <w:rPr>
          <w:rFonts w:hint="cs"/>
          <w:b/>
          <w:bCs/>
          <w:sz w:val="20"/>
          <w:szCs w:val="20"/>
          <w:rtl/>
        </w:rPr>
        <w:t xml:space="preserve">מתן </w:t>
      </w:r>
      <w:r w:rsidRPr="00054CD5">
        <w:rPr>
          <w:rFonts w:hint="cs"/>
          <w:b/>
          <w:bCs/>
          <w:sz w:val="20"/>
          <w:szCs w:val="20"/>
          <w:u w:val="single"/>
          <w:rtl/>
        </w:rPr>
        <w:t>פרסום להנחיות מינהליות</w:t>
      </w:r>
      <w:r>
        <w:rPr>
          <w:rFonts w:hint="cs"/>
          <w:b/>
          <w:bCs/>
          <w:sz w:val="20"/>
          <w:szCs w:val="20"/>
          <w:rtl/>
        </w:rPr>
        <w:t>,</w:t>
      </w:r>
      <w:r w:rsidRPr="00054CD5">
        <w:rPr>
          <w:rFonts w:hint="cs"/>
          <w:b/>
          <w:bCs/>
          <w:sz w:val="20"/>
          <w:szCs w:val="20"/>
          <w:rtl/>
        </w:rPr>
        <w:t xml:space="preserve"> ו</w:t>
      </w:r>
      <w:r>
        <w:rPr>
          <w:rFonts w:hint="cs"/>
          <w:b/>
          <w:bCs/>
          <w:sz w:val="20"/>
          <w:szCs w:val="20"/>
          <w:rtl/>
        </w:rPr>
        <w:t xml:space="preserve">כמו כן מתן </w:t>
      </w:r>
      <w:r w:rsidRPr="00EC1CD3">
        <w:rPr>
          <w:rFonts w:hint="cs"/>
          <w:b/>
          <w:bCs/>
          <w:sz w:val="20"/>
          <w:szCs w:val="20"/>
          <w:u w:val="single"/>
          <w:rtl/>
        </w:rPr>
        <w:t>פרסום, נוסף, לחוקי-עזר</w:t>
      </w:r>
      <w:r>
        <w:rPr>
          <w:rFonts w:hint="cs"/>
          <w:b/>
          <w:bCs/>
          <w:sz w:val="20"/>
          <w:szCs w:val="20"/>
          <w:rtl/>
        </w:rPr>
        <w:t>,</w:t>
      </w:r>
      <w:r w:rsidRPr="00054CD5">
        <w:rPr>
          <w:rFonts w:hint="cs"/>
          <w:b/>
          <w:bCs/>
          <w:sz w:val="20"/>
          <w:szCs w:val="20"/>
          <w:rtl/>
        </w:rPr>
        <w:t xml:space="preserve"> </w:t>
      </w:r>
      <w:r w:rsidRPr="00054CD5">
        <w:rPr>
          <w:rFonts w:hint="cs"/>
          <w:b/>
          <w:bCs/>
          <w:sz w:val="20"/>
          <w:szCs w:val="20"/>
          <w:u w:val="single"/>
          <w:rtl/>
        </w:rPr>
        <w:t>בדרך של העמדה לעיון הציבור</w:t>
      </w:r>
    </w:p>
    <w:p w:rsidR="00241BC2" w:rsidRDefault="00241BC2" w:rsidP="00241BC2">
      <w:pPr>
        <w:spacing w:after="120"/>
        <w:rPr>
          <w:b/>
          <w:bCs/>
          <w:sz w:val="22"/>
          <w:szCs w:val="22"/>
          <w:rtl/>
        </w:rPr>
      </w:pPr>
      <w:r>
        <w:rPr>
          <w:rFonts w:hint="cs"/>
          <w:b/>
          <w:bCs/>
          <w:sz w:val="22"/>
          <w:szCs w:val="22"/>
          <w:rtl/>
        </w:rPr>
        <w:t xml:space="preserve">זה מופיע בנורמה הבאה: </w:t>
      </w:r>
      <w:r w:rsidRPr="00054CD5">
        <w:rPr>
          <w:b/>
          <w:bCs/>
          <w:sz w:val="22"/>
          <w:szCs w:val="22"/>
          <w:highlight w:val="yellow"/>
          <w:u w:val="single"/>
          <w:rtl/>
        </w:rPr>
        <w:t>חוק חופש המידע, תשנ"ח-1998</w:t>
      </w:r>
      <w:r w:rsidRPr="001C4B3D">
        <w:rPr>
          <w:b/>
          <w:bCs/>
          <w:sz w:val="22"/>
          <w:szCs w:val="22"/>
          <w:rtl/>
        </w:rPr>
        <w:t xml:space="preserve"> </w:t>
      </w:r>
      <w:r>
        <w:rPr>
          <w:b/>
          <w:bCs/>
          <w:sz w:val="22"/>
          <w:szCs w:val="22"/>
          <w:rtl/>
        </w:rPr>
        <w:t>–</w:t>
      </w:r>
      <w:r>
        <w:rPr>
          <w:rFonts w:hint="cs"/>
          <w:b/>
          <w:bCs/>
          <w:sz w:val="22"/>
          <w:szCs w:val="22"/>
          <w:rtl/>
        </w:rPr>
        <w:t xml:space="preserve"> </w:t>
      </w:r>
    </w:p>
    <w:p w:rsidR="00241BC2" w:rsidRPr="00A95752" w:rsidRDefault="00241BC2" w:rsidP="00241BC2">
      <w:pPr>
        <w:rPr>
          <w:rFonts w:cs="David"/>
          <w:sz w:val="20"/>
          <w:szCs w:val="20"/>
          <w:rtl/>
        </w:rPr>
      </w:pPr>
      <w:r w:rsidRPr="00A95752">
        <w:rPr>
          <w:rFonts w:cs="David"/>
          <w:sz w:val="20"/>
          <w:szCs w:val="20"/>
          <w:rtl/>
        </w:rPr>
        <w:t xml:space="preserve">6. </w:t>
      </w:r>
      <w:r w:rsidRPr="00A95752">
        <w:rPr>
          <w:rFonts w:cs="David" w:hint="cs"/>
          <w:sz w:val="20"/>
          <w:szCs w:val="20"/>
          <w:rtl/>
        </w:rPr>
        <w:t>[</w:t>
      </w:r>
      <w:r w:rsidRPr="00A95752">
        <w:rPr>
          <w:rFonts w:cs="David"/>
          <w:sz w:val="20"/>
          <w:szCs w:val="20"/>
          <w:rtl/>
        </w:rPr>
        <w:t>הנ</w:t>
      </w:r>
      <w:r w:rsidRPr="00A95752">
        <w:rPr>
          <w:rFonts w:cs="David" w:hint="cs"/>
          <w:sz w:val="20"/>
          <w:szCs w:val="20"/>
          <w:rtl/>
        </w:rPr>
        <w:t>ח</w:t>
      </w:r>
      <w:r w:rsidRPr="00A95752">
        <w:rPr>
          <w:rFonts w:cs="David"/>
          <w:sz w:val="20"/>
          <w:szCs w:val="20"/>
          <w:rtl/>
        </w:rPr>
        <w:t>יות מינהליות וחוקי עזר</w:t>
      </w:r>
      <w:r w:rsidRPr="00A95752">
        <w:rPr>
          <w:rFonts w:cs="David" w:hint="cs"/>
          <w:sz w:val="20"/>
          <w:szCs w:val="20"/>
          <w:rtl/>
        </w:rPr>
        <w:t>]</w:t>
      </w:r>
      <w:r w:rsidRPr="00A95752">
        <w:rPr>
          <w:rFonts w:cs="David"/>
          <w:sz w:val="20"/>
          <w:szCs w:val="20"/>
          <w:rtl/>
        </w:rPr>
        <w:t xml:space="preserve"> </w:t>
      </w:r>
    </w:p>
    <w:p w:rsidR="00241BC2" w:rsidRPr="00A95752" w:rsidRDefault="00241BC2" w:rsidP="00241BC2">
      <w:pPr>
        <w:ind w:left="720"/>
        <w:rPr>
          <w:rFonts w:cs="David"/>
          <w:sz w:val="20"/>
          <w:szCs w:val="20"/>
          <w:rtl/>
        </w:rPr>
      </w:pPr>
      <w:r w:rsidRPr="00A95752">
        <w:rPr>
          <w:rFonts w:cs="David"/>
          <w:sz w:val="20"/>
          <w:szCs w:val="20"/>
          <w:rtl/>
        </w:rPr>
        <w:t xml:space="preserve">(א) </w:t>
      </w:r>
      <w:r w:rsidRPr="00A95752">
        <w:rPr>
          <w:rFonts w:cs="David"/>
          <w:b/>
          <w:bCs/>
          <w:sz w:val="20"/>
          <w:szCs w:val="20"/>
          <w:rtl/>
        </w:rPr>
        <w:t>רשות ציבורית תעמיד לעיון הציבור את ההנחיות המינהליות הכתובות שעל פיהן היא פועלת</w:t>
      </w:r>
      <w:r w:rsidRPr="00A95752">
        <w:rPr>
          <w:rFonts w:cs="David"/>
          <w:sz w:val="20"/>
          <w:szCs w:val="20"/>
          <w:rtl/>
        </w:rPr>
        <w:t xml:space="preserve"> ושיש להן נגיעה או חשיבות לציבור. </w:t>
      </w:r>
    </w:p>
    <w:p w:rsidR="00241BC2" w:rsidRDefault="00241BC2" w:rsidP="00241BC2">
      <w:pPr>
        <w:ind w:left="720"/>
        <w:rPr>
          <w:rFonts w:ascii="Arial" w:hAnsi="Arial" w:cs="Arial"/>
          <w:sz w:val="20"/>
          <w:szCs w:val="20"/>
          <w:rtl/>
        </w:rPr>
      </w:pPr>
      <w:r w:rsidRPr="00A95752">
        <w:rPr>
          <w:rFonts w:cs="David"/>
          <w:sz w:val="20"/>
          <w:szCs w:val="20"/>
          <w:rtl/>
        </w:rPr>
        <w:t>(ב) הוראות סעיף 9 יחולו, בשינויים המחויבים, על העמדת הנחיות מינהליות לעיון הציבור לפי סעיף זה.</w:t>
      </w:r>
      <w:r w:rsidRPr="006F0E18">
        <w:rPr>
          <w:sz w:val="20"/>
          <w:szCs w:val="20"/>
          <w:rtl/>
        </w:rPr>
        <w:t xml:space="preserve"> </w:t>
      </w:r>
    </w:p>
    <w:p w:rsidR="00241BC2" w:rsidRPr="00C43460" w:rsidRDefault="00241BC2" w:rsidP="00241BC2">
      <w:pPr>
        <w:ind w:left="1440"/>
        <w:rPr>
          <w:rFonts w:ascii="Arial" w:hAnsi="Arial" w:cs="Arial"/>
          <w:i/>
          <w:iCs/>
          <w:sz w:val="18"/>
          <w:szCs w:val="18"/>
          <w:rtl/>
        </w:rPr>
      </w:pPr>
      <w:r w:rsidRPr="00C43460">
        <w:rPr>
          <w:rFonts w:ascii="Arial" w:hAnsi="Arial" w:cs="Arial"/>
          <w:i/>
          <w:iCs/>
          <w:sz w:val="18"/>
          <w:szCs w:val="18"/>
          <w:rtl/>
        </w:rPr>
        <w:t>[</w:t>
      </w:r>
      <w:r w:rsidRPr="00C43460">
        <w:rPr>
          <w:rFonts w:ascii="Arial" w:hAnsi="Arial" w:cs="Arial" w:hint="cs"/>
          <w:i/>
          <w:iCs/>
          <w:sz w:val="18"/>
          <w:szCs w:val="18"/>
          <w:rtl/>
        </w:rPr>
        <w:t>סע' 9 לחוק חופש המידע עוסק ב"</w:t>
      </w:r>
      <w:r w:rsidRPr="00C43460">
        <w:rPr>
          <w:rFonts w:ascii="Arial" w:hAnsi="Arial" w:cs="Arial"/>
          <w:i/>
          <w:iCs/>
          <w:sz w:val="18"/>
          <w:szCs w:val="18"/>
          <w:rtl/>
        </w:rPr>
        <w:t>מידע שאין למוסרו או מידע שאין חובה למוסרו</w:t>
      </w:r>
      <w:r w:rsidRPr="00C43460">
        <w:rPr>
          <w:rFonts w:ascii="Arial" w:hAnsi="Arial" w:cs="Arial" w:hint="cs"/>
          <w:i/>
          <w:iCs/>
          <w:sz w:val="18"/>
          <w:szCs w:val="18"/>
          <w:rtl/>
        </w:rPr>
        <w:t>", קרי, מידע שאסור למסור או מידע שיש לרשות פטור מלמוסרו אם שיקול דעתה יורה כך</w:t>
      </w:r>
      <w:r w:rsidRPr="00C43460">
        <w:rPr>
          <w:rFonts w:ascii="Arial" w:hAnsi="Arial" w:cs="Arial"/>
          <w:i/>
          <w:iCs/>
          <w:sz w:val="18"/>
          <w:szCs w:val="18"/>
          <w:rtl/>
        </w:rPr>
        <w:t>]</w:t>
      </w:r>
    </w:p>
    <w:p w:rsidR="00241BC2" w:rsidRPr="00A95752" w:rsidRDefault="00241BC2" w:rsidP="00241BC2">
      <w:pPr>
        <w:ind w:left="720"/>
        <w:rPr>
          <w:rFonts w:cs="David"/>
          <w:sz w:val="20"/>
          <w:szCs w:val="20"/>
          <w:rtl/>
        </w:rPr>
      </w:pPr>
      <w:r w:rsidRPr="00A95752">
        <w:rPr>
          <w:rFonts w:cs="David"/>
          <w:sz w:val="20"/>
          <w:szCs w:val="20"/>
          <w:rtl/>
        </w:rPr>
        <w:t xml:space="preserve">(ג) </w:t>
      </w:r>
      <w:r w:rsidRPr="00A95752">
        <w:rPr>
          <w:rFonts w:cs="David"/>
          <w:b/>
          <w:bCs/>
          <w:sz w:val="20"/>
          <w:szCs w:val="20"/>
          <w:rtl/>
        </w:rPr>
        <w:t>רשות מקומית תעמיד לעיון הציבור את חוקי העזר שלה.</w:t>
      </w:r>
    </w:p>
    <w:p w:rsidR="00241BC2" w:rsidRDefault="00241BC2" w:rsidP="00241BC2">
      <w:pPr>
        <w:rPr>
          <w:sz w:val="22"/>
          <w:szCs w:val="22"/>
          <w:rtl/>
        </w:rPr>
      </w:pPr>
    </w:p>
    <w:p w:rsidR="00241BC2" w:rsidRDefault="00241BC2" w:rsidP="00241BC2">
      <w:pPr>
        <w:rPr>
          <w:sz w:val="22"/>
          <w:szCs w:val="22"/>
          <w:rtl/>
        </w:rPr>
      </w:pPr>
      <w:r>
        <w:rPr>
          <w:rFonts w:hint="cs"/>
          <w:sz w:val="22"/>
          <w:szCs w:val="22"/>
          <w:rtl/>
        </w:rPr>
        <w:t>=-=</w:t>
      </w:r>
    </w:p>
    <w:p w:rsidR="00241BC2" w:rsidRPr="002C6E24" w:rsidRDefault="00241BC2" w:rsidP="00241BC2">
      <w:pPr>
        <w:rPr>
          <w:rFonts w:ascii="Arial" w:hAnsi="Arial" w:cs="Arial"/>
          <w:b/>
          <w:bCs/>
          <w:sz w:val="22"/>
          <w:szCs w:val="22"/>
          <w:u w:val="single"/>
          <w:rtl/>
        </w:rPr>
      </w:pPr>
      <w:r w:rsidRPr="002C6E24">
        <w:rPr>
          <w:rFonts w:ascii="Arial" w:hAnsi="Arial" w:cs="Arial"/>
          <w:b/>
          <w:bCs/>
          <w:sz w:val="22"/>
          <w:szCs w:val="22"/>
          <w:highlight w:val="yellow"/>
          <w:u w:val="single"/>
          <w:rtl/>
        </w:rPr>
        <w:t>סיכום ביניים קצר:</w:t>
      </w:r>
    </w:p>
    <w:p w:rsidR="00241BC2" w:rsidRPr="00AF344B" w:rsidRDefault="00241BC2" w:rsidP="00241BC2">
      <w:pPr>
        <w:rPr>
          <w:b/>
          <w:bCs/>
          <w:sz w:val="22"/>
          <w:szCs w:val="22"/>
          <w:u w:val="single"/>
          <w:rtl/>
        </w:rPr>
      </w:pPr>
    </w:p>
    <w:p w:rsidR="00241BC2" w:rsidRDefault="00241BC2" w:rsidP="00241BC2">
      <w:pPr>
        <w:spacing w:after="60"/>
        <w:rPr>
          <w:b/>
          <w:bCs/>
          <w:sz w:val="22"/>
          <w:szCs w:val="22"/>
          <w:rtl/>
        </w:rPr>
      </w:pPr>
      <w:r>
        <w:rPr>
          <w:rFonts w:hint="cs"/>
          <w:b/>
          <w:bCs/>
          <w:sz w:val="22"/>
          <w:szCs w:val="22"/>
          <w:rtl/>
        </w:rPr>
        <w:t>^ חובת הפרסום "ברשומות" מוטלת על:</w:t>
      </w:r>
    </w:p>
    <w:p w:rsidR="00241BC2" w:rsidRDefault="00241BC2" w:rsidP="00241BC2">
      <w:pPr>
        <w:spacing w:after="60"/>
        <w:ind w:left="720"/>
        <w:rPr>
          <w:b/>
          <w:bCs/>
          <w:sz w:val="22"/>
          <w:szCs w:val="22"/>
          <w:rtl/>
        </w:rPr>
      </w:pPr>
      <w:r>
        <w:rPr>
          <w:rFonts w:hint="cs"/>
          <w:b/>
          <w:bCs/>
          <w:sz w:val="22"/>
          <w:szCs w:val="22"/>
          <w:rtl/>
        </w:rPr>
        <w:t>א. חקיקה;</w:t>
      </w:r>
    </w:p>
    <w:p w:rsidR="00241BC2" w:rsidRDefault="00241BC2" w:rsidP="00241BC2">
      <w:pPr>
        <w:spacing w:after="60"/>
        <w:ind w:left="720"/>
        <w:rPr>
          <w:b/>
          <w:bCs/>
          <w:sz w:val="22"/>
          <w:szCs w:val="22"/>
          <w:rtl/>
        </w:rPr>
      </w:pPr>
      <w:r>
        <w:rPr>
          <w:rFonts w:hint="cs"/>
          <w:b/>
          <w:bCs/>
          <w:sz w:val="22"/>
          <w:szCs w:val="22"/>
          <w:rtl/>
        </w:rPr>
        <w:t xml:space="preserve">ב. "תקנות בנות פועל תחיקתי", משמע, </w:t>
      </w:r>
      <w:r w:rsidRPr="00AF344B">
        <w:rPr>
          <w:rFonts w:hint="cs"/>
          <w:b/>
          <w:bCs/>
          <w:sz w:val="22"/>
          <w:szCs w:val="22"/>
          <w:highlight w:val="yellow"/>
          <w:rtl/>
        </w:rPr>
        <w:t xml:space="preserve">"נורמות" בעלות "אופי כללי" הנקבעות "מכוח </w:t>
      </w:r>
      <w:r>
        <w:rPr>
          <w:rFonts w:hint="cs"/>
          <w:b/>
          <w:bCs/>
          <w:sz w:val="22"/>
          <w:szCs w:val="22"/>
          <w:highlight w:val="yellow"/>
          <w:rtl/>
        </w:rPr>
        <w:t>הדין</w:t>
      </w:r>
      <w:r w:rsidRPr="00AF344B">
        <w:rPr>
          <w:rFonts w:hint="cs"/>
          <w:b/>
          <w:bCs/>
          <w:sz w:val="22"/>
          <w:szCs w:val="22"/>
          <w:highlight w:val="yellow"/>
          <w:rtl/>
        </w:rPr>
        <w:t>";</w:t>
      </w:r>
    </w:p>
    <w:p w:rsidR="00241BC2" w:rsidRDefault="00241BC2" w:rsidP="00241BC2">
      <w:pPr>
        <w:ind w:left="720"/>
        <w:rPr>
          <w:b/>
          <w:bCs/>
          <w:sz w:val="22"/>
          <w:szCs w:val="22"/>
          <w:rtl/>
        </w:rPr>
      </w:pPr>
      <w:r>
        <w:rPr>
          <w:rFonts w:hint="cs"/>
          <w:b/>
          <w:bCs/>
          <w:sz w:val="22"/>
          <w:szCs w:val="22"/>
          <w:rtl/>
        </w:rPr>
        <w:t xml:space="preserve">[ג. אם מוטלת בחוק יסוד, חוק או תקנה חובת פרסום שכזו: </w:t>
      </w:r>
    </w:p>
    <w:p w:rsidR="00241BC2" w:rsidRPr="0088234F" w:rsidRDefault="00241BC2" w:rsidP="00241BC2">
      <w:pPr>
        <w:spacing w:after="120"/>
        <w:ind w:left="1440"/>
        <w:rPr>
          <w:b/>
          <w:bCs/>
          <w:sz w:val="22"/>
          <w:szCs w:val="22"/>
          <w:rtl/>
        </w:rPr>
      </w:pPr>
      <w:r>
        <w:rPr>
          <w:rFonts w:hint="cs"/>
          <w:b/>
          <w:bCs/>
          <w:sz w:val="22"/>
          <w:szCs w:val="22"/>
          <w:rtl/>
        </w:rPr>
        <w:t>למשל על "מינויים" מסוימים, או על יציאת ראש הממשלה או נשיא המדינה לחו"ל, וכדומה].</w:t>
      </w:r>
    </w:p>
    <w:p w:rsidR="00241BC2" w:rsidRPr="00864EFB" w:rsidRDefault="00241BC2" w:rsidP="00241BC2">
      <w:pPr>
        <w:spacing w:after="60"/>
        <w:rPr>
          <w:b/>
          <w:bCs/>
          <w:sz w:val="22"/>
          <w:szCs w:val="22"/>
          <w:rtl/>
        </w:rPr>
      </w:pPr>
      <w:r>
        <w:rPr>
          <w:rFonts w:hint="cs"/>
          <w:b/>
          <w:bCs/>
          <w:sz w:val="22"/>
          <w:szCs w:val="22"/>
          <w:rtl/>
        </w:rPr>
        <w:t xml:space="preserve">^ מהי </w:t>
      </w:r>
      <w:r w:rsidRPr="00864EFB">
        <w:rPr>
          <w:rFonts w:hint="cs"/>
          <w:b/>
          <w:bCs/>
          <w:sz w:val="22"/>
          <w:szCs w:val="22"/>
          <w:rtl/>
        </w:rPr>
        <w:t>נורמה בעלת "אופי כללי"</w:t>
      </w:r>
      <w:r>
        <w:rPr>
          <w:rFonts w:hint="cs"/>
          <w:b/>
          <w:bCs/>
          <w:sz w:val="22"/>
          <w:szCs w:val="22"/>
          <w:rtl/>
        </w:rPr>
        <w:t>?</w:t>
      </w:r>
    </w:p>
    <w:p w:rsidR="00241BC2" w:rsidRDefault="00241BC2" w:rsidP="00241BC2">
      <w:pPr>
        <w:spacing w:after="60"/>
        <w:ind w:left="720"/>
        <w:rPr>
          <w:sz w:val="22"/>
          <w:szCs w:val="22"/>
          <w:rtl/>
        </w:rPr>
      </w:pPr>
      <w:r>
        <w:rPr>
          <w:rFonts w:hint="cs"/>
          <w:sz w:val="22"/>
          <w:szCs w:val="22"/>
          <w:rtl/>
        </w:rPr>
        <w:t xml:space="preserve">א. הדוגמאות שהבאתי לעיל מתוך תקנות ההגנה שעת חירום הובאו לשם הנוחות. כי היה לי קל יותר להדגים/ להמחיש דרכן את ההבחנה בין נורמה כללית/מופשטת לבין פעולת מינהל/ נורמה שהיא בעלת אופי אישי. </w:t>
      </w:r>
    </w:p>
    <w:p w:rsidR="00241BC2" w:rsidRDefault="00241BC2" w:rsidP="00241BC2">
      <w:pPr>
        <w:spacing w:after="60"/>
        <w:ind w:left="720"/>
        <w:rPr>
          <w:sz w:val="22"/>
          <w:szCs w:val="22"/>
          <w:rtl/>
        </w:rPr>
      </w:pPr>
      <w:r>
        <w:rPr>
          <w:rFonts w:hint="cs"/>
          <w:sz w:val="22"/>
          <w:szCs w:val="22"/>
          <w:rtl/>
        </w:rPr>
        <w:t xml:space="preserve">בפועל, כפי שהוספתי, בעוד ש"תקנות ההגנה" עצמן חייבות היו כמובן להתפרסם ברשומות, הרי שצווים מכוחן, כולל "צווים כלליים" – כמו צו סגירת שטח ("שטח צבאי סגור") – שהם כן תקנות בנות פועל תחיקתי – הופטרו מחובת הפרסום ברשומות. ואולם </w:t>
      </w:r>
      <w:r w:rsidRPr="00EC1CD3">
        <w:rPr>
          <w:rFonts w:hint="cs"/>
          <w:sz w:val="22"/>
          <w:szCs w:val="22"/>
          <w:u w:val="single"/>
          <w:rtl/>
        </w:rPr>
        <w:t>זהו החריג ולא הכלל</w:t>
      </w:r>
      <w:r>
        <w:rPr>
          <w:rFonts w:hint="cs"/>
          <w:sz w:val="22"/>
          <w:szCs w:val="22"/>
          <w:rtl/>
        </w:rPr>
        <w:t xml:space="preserve">, והוא </w:t>
      </w:r>
      <w:r w:rsidRPr="00EC1CD3">
        <w:rPr>
          <w:rFonts w:hint="cs"/>
          <w:sz w:val="22"/>
          <w:szCs w:val="22"/>
          <w:u w:val="single"/>
          <w:rtl/>
        </w:rPr>
        <w:t>הצריך הענקת פטור שכזו על ידי הדין</w:t>
      </w:r>
      <w:r>
        <w:rPr>
          <w:rFonts w:hint="cs"/>
          <w:sz w:val="22"/>
          <w:szCs w:val="22"/>
          <w:rtl/>
        </w:rPr>
        <w:t>.</w:t>
      </w:r>
    </w:p>
    <w:p w:rsidR="00241BC2" w:rsidRDefault="00241BC2" w:rsidP="00241BC2">
      <w:pPr>
        <w:spacing w:after="60"/>
        <w:ind w:left="720"/>
        <w:rPr>
          <w:sz w:val="22"/>
          <w:szCs w:val="22"/>
          <w:rtl/>
        </w:rPr>
      </w:pPr>
      <w:r>
        <w:rPr>
          <w:rFonts w:hint="cs"/>
          <w:sz w:val="22"/>
          <w:szCs w:val="22"/>
          <w:rtl/>
        </w:rPr>
        <w:t>ב. כללית, עניין "הפרסום" – הבאת הפעולה השלטונית לידיעת האדם או לידיעת הציבור – היא עניין של היגיון והגינות. אם יש לרשות משהו שלטוני הנוגע לאדם מסוים: למשל, רישיון עסק/ רישיון נהיגה – נתינתם או ביטולם; או מינוי למשרה ציבורית או ביטולו של מינוי זה; או צו הגבלה על אדם, שלא יעזוב ישוב מסוים; – הרי שהכתובת היא האדם עצמו. ההודעה על כך צריכה להגיע אליו ישירות, באופן ממוקד וודאי, ככל שניתן.</w:t>
      </w:r>
    </w:p>
    <w:p w:rsidR="00241BC2" w:rsidRDefault="00241BC2" w:rsidP="00241BC2">
      <w:pPr>
        <w:spacing w:after="120"/>
        <w:ind w:left="720"/>
        <w:rPr>
          <w:sz w:val="22"/>
          <w:szCs w:val="22"/>
          <w:rtl/>
        </w:rPr>
      </w:pPr>
      <w:r>
        <w:rPr>
          <w:rFonts w:hint="cs"/>
          <w:sz w:val="22"/>
          <w:szCs w:val="22"/>
          <w:rtl/>
        </w:rPr>
        <w:t xml:space="preserve">אם לעומת זאת מדובר בנורמה פתוחה, כללית: למשל, צו המופנה לבעל תפקיד שאותו מאייש בהווה אדם מסוים – למשל, עורך מסוים של עיתון – אך בעתיד הוא יתחלף באדם אחר, הרי שיש הצדקה/צורך לפרסום ברשומות. נורמה "כללית" היא לפיכך נורמה שחלה על ציבור או חלה על אדם שעתה הוא מזוהה אך בעתיד הוא ישתנה. במצב דברים זה, ההגינות וסדר הדברים הנכון [וכן הדין: סע' 17 לפקודת הפרשנות (נוסח חדש)] דורשים פרסום של הנורמה המשפטית הזו בכתובת מרכזית ורשמית אחת, שהיא "הרשומות"; זאת אלא אם הדין יצר לכך פטור בשל סיבה מיוחדת. </w:t>
      </w:r>
    </w:p>
    <w:p w:rsidR="00241BC2" w:rsidRDefault="00241BC2" w:rsidP="00241BC2">
      <w:pPr>
        <w:spacing w:after="60"/>
        <w:rPr>
          <w:b/>
          <w:bCs/>
          <w:sz w:val="22"/>
          <w:szCs w:val="22"/>
          <w:rtl/>
        </w:rPr>
      </w:pPr>
      <w:r>
        <w:rPr>
          <w:rFonts w:hint="cs"/>
          <w:sz w:val="22"/>
          <w:szCs w:val="22"/>
          <w:rtl/>
        </w:rPr>
        <w:t xml:space="preserve">^ </w:t>
      </w:r>
      <w:r w:rsidRPr="00103CE8">
        <w:rPr>
          <w:rFonts w:hint="cs"/>
          <w:b/>
          <w:bCs/>
          <w:sz w:val="22"/>
          <w:szCs w:val="22"/>
          <w:rtl/>
        </w:rPr>
        <w:t xml:space="preserve">אבל מה אם </w:t>
      </w:r>
      <w:r w:rsidRPr="00103CE8">
        <w:rPr>
          <w:rFonts w:hint="cs"/>
          <w:b/>
          <w:bCs/>
          <w:i/>
          <w:iCs/>
          <w:sz w:val="22"/>
          <w:szCs w:val="22"/>
          <w:rtl/>
        </w:rPr>
        <w:t>לא</w:t>
      </w:r>
      <w:r w:rsidRPr="00103CE8">
        <w:rPr>
          <w:rFonts w:hint="cs"/>
          <w:b/>
          <w:bCs/>
          <w:sz w:val="22"/>
          <w:szCs w:val="22"/>
          <w:rtl/>
        </w:rPr>
        <w:t xml:space="preserve"> קבענו "נורמה" אלא משהו </w:t>
      </w:r>
      <w:r>
        <w:rPr>
          <w:rFonts w:hint="cs"/>
          <w:b/>
          <w:bCs/>
          <w:sz w:val="22"/>
          <w:szCs w:val="22"/>
          <w:rtl/>
        </w:rPr>
        <w:t xml:space="preserve">אחר? </w:t>
      </w:r>
    </w:p>
    <w:p w:rsidR="00241BC2" w:rsidRPr="00103CE8" w:rsidRDefault="00241BC2" w:rsidP="00241BC2">
      <w:pPr>
        <w:spacing w:after="60"/>
        <w:rPr>
          <w:b/>
          <w:bCs/>
          <w:sz w:val="22"/>
          <w:szCs w:val="22"/>
          <w:rtl/>
        </w:rPr>
      </w:pPr>
      <w:r>
        <w:rPr>
          <w:rFonts w:hint="cs"/>
          <w:b/>
          <w:bCs/>
          <w:sz w:val="22"/>
          <w:szCs w:val="22"/>
          <w:rtl/>
        </w:rPr>
        <w:t>דוגמא מרכזית היא</w:t>
      </w:r>
      <w:r w:rsidRPr="00103CE8">
        <w:rPr>
          <w:rFonts w:hint="cs"/>
          <w:b/>
          <w:bCs/>
          <w:sz w:val="22"/>
          <w:szCs w:val="22"/>
          <w:rtl/>
        </w:rPr>
        <w:t xml:space="preserve"> </w:t>
      </w:r>
      <w:r w:rsidRPr="00103CE8">
        <w:rPr>
          <w:rFonts w:hint="cs"/>
          <w:b/>
          <w:bCs/>
          <w:sz w:val="22"/>
          <w:szCs w:val="22"/>
          <w:u w:val="single"/>
          <w:rtl/>
        </w:rPr>
        <w:t>"הנחיות מינהלי</w:t>
      </w:r>
      <w:r>
        <w:rPr>
          <w:rFonts w:hint="cs"/>
          <w:b/>
          <w:bCs/>
          <w:sz w:val="22"/>
          <w:szCs w:val="22"/>
          <w:u w:val="single"/>
          <w:rtl/>
        </w:rPr>
        <w:t>ו</w:t>
      </w:r>
      <w:r w:rsidRPr="00103CE8">
        <w:rPr>
          <w:rFonts w:hint="cs"/>
          <w:b/>
          <w:bCs/>
          <w:sz w:val="22"/>
          <w:szCs w:val="22"/>
          <w:u w:val="single"/>
          <w:rtl/>
        </w:rPr>
        <w:t>ת"</w:t>
      </w:r>
      <w:r w:rsidRPr="00103CE8">
        <w:rPr>
          <w:rFonts w:hint="cs"/>
          <w:b/>
          <w:bCs/>
          <w:sz w:val="22"/>
          <w:szCs w:val="22"/>
          <w:rtl/>
        </w:rPr>
        <w:t xml:space="preserve">? </w:t>
      </w:r>
    </w:p>
    <w:p w:rsidR="00241BC2" w:rsidRDefault="00241BC2" w:rsidP="00241BC2">
      <w:pPr>
        <w:ind w:left="720"/>
        <w:rPr>
          <w:sz w:val="22"/>
          <w:szCs w:val="22"/>
          <w:rtl/>
        </w:rPr>
      </w:pPr>
      <w:r>
        <w:rPr>
          <w:rFonts w:hint="cs"/>
          <w:sz w:val="22"/>
          <w:szCs w:val="22"/>
          <w:rtl/>
        </w:rPr>
        <w:t xml:space="preserve">התשובה: </w:t>
      </w:r>
    </w:p>
    <w:p w:rsidR="00241BC2" w:rsidRDefault="00241BC2" w:rsidP="00241BC2">
      <w:pPr>
        <w:ind w:left="1440" w:hanging="720"/>
        <w:rPr>
          <w:sz w:val="22"/>
          <w:szCs w:val="22"/>
          <w:rtl/>
        </w:rPr>
      </w:pPr>
      <w:r w:rsidRPr="002C6E24">
        <w:rPr>
          <w:rFonts w:hint="cs"/>
          <w:b/>
          <w:bCs/>
          <w:sz w:val="22"/>
          <w:szCs w:val="22"/>
          <w:rtl/>
        </w:rPr>
        <w:t>לעיתים יקבע החוק בכל זאת חובת פרסום ברשומות להנחיות מינהליות</w:t>
      </w:r>
      <w:r>
        <w:rPr>
          <w:rFonts w:hint="cs"/>
          <w:sz w:val="22"/>
          <w:szCs w:val="22"/>
          <w:rtl/>
        </w:rPr>
        <w:t>. ראו למשל, את אמות המידה להקצאת כספי מדינה לגופים ציבוריים לא מדינתיים (ההוראות בחוק יסודות התקציב, שצוטטו לעיל);</w:t>
      </w:r>
    </w:p>
    <w:p w:rsidR="00241BC2" w:rsidRDefault="00241BC2" w:rsidP="00241BC2">
      <w:pPr>
        <w:ind w:left="1440" w:hanging="720"/>
        <w:rPr>
          <w:sz w:val="22"/>
          <w:szCs w:val="22"/>
          <w:rtl/>
        </w:rPr>
      </w:pPr>
      <w:r w:rsidRPr="002C6E24">
        <w:rPr>
          <w:rFonts w:hint="cs"/>
          <w:b/>
          <w:bCs/>
          <w:sz w:val="22"/>
          <w:szCs w:val="22"/>
          <w:rtl/>
        </w:rPr>
        <w:t>עם זאת, אלא אם כן נקבעה הוראה מיוחדת בדין, הרי שאין חובה לפרסם את ההנחיות ברשומות</w:t>
      </w:r>
      <w:r>
        <w:rPr>
          <w:rFonts w:hint="cs"/>
          <w:sz w:val="22"/>
          <w:szCs w:val="22"/>
          <w:rtl/>
        </w:rPr>
        <w:t xml:space="preserve">, שהרי הן אינן בנות פועל תחיקתי; </w:t>
      </w:r>
    </w:p>
    <w:p w:rsidR="00241BC2" w:rsidRDefault="00241BC2" w:rsidP="00241BC2">
      <w:pPr>
        <w:ind w:left="720"/>
        <w:rPr>
          <w:sz w:val="22"/>
          <w:szCs w:val="22"/>
          <w:rtl/>
        </w:rPr>
      </w:pPr>
      <w:r>
        <w:rPr>
          <w:rFonts w:hint="cs"/>
          <w:sz w:val="22"/>
          <w:szCs w:val="22"/>
          <w:rtl/>
        </w:rPr>
        <w:t xml:space="preserve">מצד שני, יש לפרסם את ההנחיות </w:t>
      </w:r>
      <w:r w:rsidRPr="00103CE8">
        <w:rPr>
          <w:rFonts w:hint="cs"/>
          <w:b/>
          <w:bCs/>
          <w:sz w:val="22"/>
          <w:szCs w:val="22"/>
          <w:rtl/>
        </w:rPr>
        <w:t>בדרך אחרת שנגישה לציבור</w:t>
      </w:r>
      <w:r>
        <w:rPr>
          <w:rFonts w:hint="cs"/>
          <w:sz w:val="22"/>
          <w:szCs w:val="22"/>
          <w:rtl/>
        </w:rPr>
        <w:t xml:space="preserve"> (הוראות חוק חופש המידע, שצוטטו לעיל).</w:t>
      </w:r>
    </w:p>
    <w:p w:rsidR="00241BC2" w:rsidRDefault="00241BC2" w:rsidP="00241BC2">
      <w:pPr>
        <w:rPr>
          <w:sz w:val="22"/>
          <w:szCs w:val="22"/>
          <w:rtl/>
        </w:rPr>
      </w:pPr>
    </w:p>
    <w:p w:rsidR="00241BC2" w:rsidRDefault="00241BC2" w:rsidP="00241BC2">
      <w:pPr>
        <w:rPr>
          <w:sz w:val="22"/>
          <w:szCs w:val="22"/>
          <w:rtl/>
        </w:rPr>
      </w:pPr>
      <w:r>
        <w:rPr>
          <w:rFonts w:hint="cs"/>
          <w:sz w:val="22"/>
          <w:szCs w:val="22"/>
          <w:rtl/>
        </w:rPr>
        <w:t>=-=</w:t>
      </w:r>
    </w:p>
    <w:p w:rsidR="00241BC2" w:rsidRPr="00234FA3" w:rsidRDefault="00241BC2" w:rsidP="00241BC2">
      <w:pPr>
        <w:spacing w:after="120"/>
        <w:jc w:val="left"/>
        <w:rPr>
          <w:rFonts w:ascii="Arial" w:hAnsi="Arial" w:cs="Arial"/>
          <w:sz w:val="22"/>
          <w:szCs w:val="22"/>
          <w:rtl/>
        </w:rPr>
      </w:pPr>
      <w:r w:rsidRPr="00234FA3">
        <w:rPr>
          <w:rFonts w:ascii="Arial" w:hAnsi="Arial" w:cs="Arial"/>
          <w:sz w:val="22"/>
          <w:szCs w:val="22"/>
          <w:rtl/>
        </w:rPr>
        <w:t>ואכן פטור מפרסום ברשומות אין פירושו פטור מפרסום בדרך סבירה אחרת.</w:t>
      </w:r>
    </w:p>
    <w:p w:rsidR="00241BC2" w:rsidRDefault="00241BC2" w:rsidP="00241BC2">
      <w:pPr>
        <w:spacing w:after="120"/>
        <w:jc w:val="center"/>
        <w:rPr>
          <w:sz w:val="22"/>
          <w:szCs w:val="22"/>
          <w:rtl/>
        </w:rPr>
      </w:pPr>
      <w:r w:rsidRPr="00A9772A">
        <w:rPr>
          <w:rFonts w:hint="cs"/>
          <w:highlight w:val="yellow"/>
          <w:rtl/>
        </w:rPr>
        <w:t xml:space="preserve">עע"ם 9187/07 </w:t>
      </w:r>
      <w:r w:rsidRPr="00A9772A">
        <w:rPr>
          <w:rFonts w:hint="cs"/>
          <w:b/>
          <w:bCs/>
          <w:highlight w:val="yellow"/>
          <w:rtl/>
        </w:rPr>
        <w:t>לוזון נ' משרד הפנים</w:t>
      </w:r>
      <w:r w:rsidRPr="00A9772A">
        <w:rPr>
          <w:rFonts w:hint="cs"/>
          <w:highlight w:val="yellow"/>
          <w:rtl/>
        </w:rPr>
        <w:t xml:space="preserve"> (</w:t>
      </w:r>
      <w:r>
        <w:rPr>
          <w:rFonts w:hint="cs"/>
          <w:highlight w:val="yellow"/>
          <w:rtl/>
        </w:rPr>
        <w:t>2008</w:t>
      </w:r>
      <w:r w:rsidRPr="00A9772A">
        <w:rPr>
          <w:rFonts w:hint="cs"/>
          <w:highlight w:val="yellow"/>
          <w:rtl/>
        </w:rPr>
        <w:t>)</w:t>
      </w:r>
    </w:p>
    <w:p w:rsidR="00241BC2" w:rsidRPr="00045552" w:rsidRDefault="00241BC2" w:rsidP="00241BC2">
      <w:pPr>
        <w:spacing w:after="60"/>
        <w:jc w:val="left"/>
        <w:rPr>
          <w:rFonts w:cs="FrankRuehl"/>
          <w:b/>
          <w:bCs/>
          <w:sz w:val="22"/>
          <w:szCs w:val="22"/>
          <w:rtl/>
        </w:rPr>
      </w:pPr>
      <w:r w:rsidRPr="00045552">
        <w:rPr>
          <w:rFonts w:cs="FrankRuehl" w:hint="cs"/>
          <w:b/>
          <w:bCs/>
          <w:sz w:val="22"/>
          <w:szCs w:val="22"/>
          <w:rtl/>
        </w:rPr>
        <w:t>השופט דנציגר</w:t>
      </w:r>
    </w:p>
    <w:p w:rsidR="00241BC2" w:rsidRPr="00045552" w:rsidRDefault="00241BC2" w:rsidP="00241BC2">
      <w:pPr>
        <w:spacing w:after="60"/>
        <w:rPr>
          <w:rFonts w:cs="FrankRuehl"/>
          <w:sz w:val="22"/>
          <w:szCs w:val="22"/>
          <w:rtl/>
        </w:rPr>
      </w:pPr>
      <w:r w:rsidRPr="00045552">
        <w:rPr>
          <w:rFonts w:cs="FrankRuehl" w:hint="cs"/>
          <w:sz w:val="22"/>
          <w:szCs w:val="22"/>
          <w:rtl/>
        </w:rPr>
        <w:t>1.</w:t>
      </w:r>
      <w:r w:rsidRPr="00045552">
        <w:rPr>
          <w:rFonts w:cs="FrankRuehl" w:hint="cs"/>
          <w:sz w:val="22"/>
          <w:szCs w:val="22"/>
          <w:rtl/>
        </w:rPr>
        <w:tab/>
        <w:t>לפנינו ערעור על פסק דינו של בית המשפט המחוזי בתל-אביבי-יפו בשבתו כבית משפט לעניינים מנהליים (כבוד סגנית הנשיא ד' פלפל), במסגרתו נדחתה עתירתם של המערערים לבטל את הוראת המשיבים לאסור על חברות השמירה הפועלות בישראל לאבטח באבטחה אישית חמושה וניידת את המערערים.</w:t>
      </w:r>
    </w:p>
    <w:p w:rsidR="00241BC2" w:rsidRPr="00045552" w:rsidRDefault="00241BC2" w:rsidP="00241BC2">
      <w:pPr>
        <w:spacing w:after="60"/>
        <w:rPr>
          <w:rFonts w:cs="FrankRuehl"/>
          <w:b/>
          <w:bCs/>
          <w:sz w:val="22"/>
          <w:szCs w:val="22"/>
          <w:rtl/>
        </w:rPr>
      </w:pPr>
      <w:r w:rsidRPr="00045552">
        <w:rPr>
          <w:rFonts w:cs="FrankRuehl" w:hint="cs"/>
          <w:b/>
          <w:bCs/>
          <w:sz w:val="22"/>
          <w:szCs w:val="22"/>
          <w:rtl/>
        </w:rPr>
        <w:t>הרקע העובדתי</w:t>
      </w:r>
    </w:p>
    <w:p w:rsidR="00241BC2" w:rsidRPr="00045552" w:rsidRDefault="00241BC2" w:rsidP="00241BC2">
      <w:pPr>
        <w:spacing w:after="60"/>
        <w:rPr>
          <w:rFonts w:cs="FrankRuehl"/>
          <w:sz w:val="22"/>
          <w:szCs w:val="22"/>
          <w:rtl/>
        </w:rPr>
      </w:pPr>
      <w:r w:rsidRPr="00045552">
        <w:rPr>
          <w:rFonts w:cs="FrankRuehl" w:hint="cs"/>
          <w:sz w:val="22"/>
          <w:szCs w:val="22"/>
          <w:rtl/>
        </w:rPr>
        <w:t>2.</w:t>
      </w:r>
      <w:r w:rsidRPr="00045552">
        <w:rPr>
          <w:rFonts w:cs="FrankRuehl" w:hint="cs"/>
          <w:sz w:val="22"/>
          <w:szCs w:val="22"/>
          <w:rtl/>
        </w:rPr>
        <w:tab/>
      </w:r>
      <w:r w:rsidRPr="00C63423">
        <w:rPr>
          <w:rFonts w:cs="FrankRuehl" w:hint="cs"/>
          <w:sz w:val="22"/>
          <w:szCs w:val="22"/>
          <w:highlight w:val="yellow"/>
          <w:rtl/>
        </w:rPr>
        <w:t>המערערים</w:t>
      </w:r>
      <w:r w:rsidRPr="00045552">
        <w:rPr>
          <w:rFonts w:cs="FrankRuehl" w:hint="cs"/>
          <w:sz w:val="22"/>
          <w:szCs w:val="22"/>
          <w:rtl/>
        </w:rPr>
        <w:t xml:space="preserve">, אורי לוזון, טל יוסף ויוסי דבח (להלן: המערערים) הינם אזרחי ישראל ותושביה. ... לטענת המשיבים, בהתאם למידע מודיעיני חסוי, המערערים הינם חברים בכירים בארגון פשיעה בראשותו של מר עמיר מולנר. </w:t>
      </w:r>
    </w:p>
    <w:p w:rsidR="00241BC2" w:rsidRPr="00045552" w:rsidRDefault="00241BC2" w:rsidP="00241BC2">
      <w:pPr>
        <w:spacing w:after="60"/>
        <w:rPr>
          <w:rFonts w:cs="FrankRuehl"/>
          <w:sz w:val="22"/>
          <w:szCs w:val="22"/>
          <w:rtl/>
        </w:rPr>
      </w:pPr>
      <w:r w:rsidRPr="00045552">
        <w:rPr>
          <w:rFonts w:cs="FrankRuehl" w:hint="cs"/>
          <w:sz w:val="22"/>
          <w:szCs w:val="22"/>
          <w:rtl/>
        </w:rPr>
        <w:t>3.</w:t>
      </w:r>
      <w:r w:rsidRPr="00045552">
        <w:rPr>
          <w:rFonts w:cs="FrankRuehl" w:hint="cs"/>
          <w:sz w:val="22"/>
          <w:szCs w:val="22"/>
          <w:rtl/>
        </w:rPr>
        <w:tab/>
        <w:t xml:space="preserve">לטענת המערערים, מזה מספר שנים קיימים איומים על חייהם ולדבריהם המשיבה 2, משטרת ישראל (להלן: המשטרה), אף הזהירה אותם, מדי פעם, כי חייהם בסכנה וכי עליהם להישמר ולהגן על עצמם. </w:t>
      </w:r>
    </w:p>
    <w:p w:rsidR="00241BC2" w:rsidRPr="00045552" w:rsidRDefault="00241BC2" w:rsidP="00241BC2">
      <w:pPr>
        <w:spacing w:after="60"/>
        <w:rPr>
          <w:rFonts w:cs="FrankRuehl"/>
          <w:sz w:val="22"/>
          <w:szCs w:val="22"/>
          <w:rtl/>
        </w:rPr>
      </w:pPr>
      <w:r w:rsidRPr="00045552">
        <w:rPr>
          <w:rFonts w:cs="FrankRuehl" w:hint="cs"/>
          <w:sz w:val="22"/>
          <w:szCs w:val="22"/>
          <w:rtl/>
        </w:rPr>
        <w:t>4.</w:t>
      </w:r>
      <w:r w:rsidRPr="00045552">
        <w:rPr>
          <w:rFonts w:cs="FrankRuehl" w:hint="cs"/>
          <w:sz w:val="22"/>
          <w:szCs w:val="22"/>
          <w:rtl/>
        </w:rPr>
        <w:tab/>
        <w:t xml:space="preserve">בעקבות האיומים על חייהם, שכרו המערערים את שירותיה של חברת בסט מאבטחים בע"מ (להלן: חברת בסט), חברה פרטית המספקת שירותי שמירה ואבטחה. מאבטחים חמושים של חברת בסט ליוו את המערערים על מנת להגן על חייהם מפני הסכנה הנשקפת להם. ... </w:t>
      </w:r>
    </w:p>
    <w:p w:rsidR="00241BC2" w:rsidRPr="00045552" w:rsidRDefault="00241BC2" w:rsidP="00241BC2">
      <w:pPr>
        <w:spacing w:after="60"/>
        <w:rPr>
          <w:rFonts w:cs="FrankRuehl"/>
          <w:sz w:val="22"/>
          <w:szCs w:val="22"/>
          <w:rtl/>
        </w:rPr>
      </w:pPr>
      <w:r w:rsidRPr="00045552">
        <w:rPr>
          <w:rFonts w:cs="FrankRuehl" w:hint="cs"/>
          <w:sz w:val="22"/>
          <w:szCs w:val="22"/>
          <w:rtl/>
        </w:rPr>
        <w:t>6.</w:t>
      </w:r>
      <w:r w:rsidRPr="00045552">
        <w:rPr>
          <w:rFonts w:cs="FrankRuehl" w:hint="cs"/>
          <w:sz w:val="22"/>
          <w:szCs w:val="22"/>
          <w:rtl/>
        </w:rPr>
        <w:tab/>
        <w:t xml:space="preserve">ביום 19.6.2006, ובעקבות הנחיה שיצאה תחת ידם של המשיבים כפי שיפורט בהמשך, פנתה חברת בסט למשטרה בבקשה כי זו האחרונה תאשר לה לספק לשמונה מלקוחותיה שירותי אבטחה חמושה ניידת, דהיינו, מאבטח חמוש המלווה את המאובטח ממקום למקום (להלן: אבטחה חמושה ניידת). חברת בסט צירפה לפנייתה רשימה של לקוחות אשר להם ביקשה לספק שירותים כאמור (ובהם המערערים), תוך ציון כתובתם וכן רשימת מאבטחים שיוצמדו לכל לקוח. </w:t>
      </w:r>
    </w:p>
    <w:p w:rsidR="00241BC2" w:rsidRPr="00045552" w:rsidRDefault="00241BC2" w:rsidP="00241BC2">
      <w:pPr>
        <w:spacing w:after="60"/>
        <w:rPr>
          <w:rFonts w:cs="FrankRuehl"/>
          <w:sz w:val="22"/>
          <w:szCs w:val="22"/>
          <w:rtl/>
        </w:rPr>
      </w:pPr>
      <w:r w:rsidRPr="00045552">
        <w:rPr>
          <w:rFonts w:cs="FrankRuehl" w:hint="cs"/>
          <w:sz w:val="22"/>
          <w:szCs w:val="22"/>
          <w:rtl/>
        </w:rPr>
        <w:t>7.</w:t>
      </w:r>
      <w:r w:rsidRPr="00045552">
        <w:rPr>
          <w:rFonts w:cs="FrankRuehl" w:hint="cs"/>
          <w:sz w:val="22"/>
          <w:szCs w:val="22"/>
          <w:rtl/>
        </w:rPr>
        <w:tab/>
        <w:t>ביום 25.6.2006 השיב לחברת בסט רפ"ק ששי אלעמארי, רח"ל תיאום מבצעי ארגוני פשיעה במטה הארצי של המשטרה, כי מבדיקה במשרד הפנים עולה כי חברת בסט אינה רשאית לבצע אבטחת אישים חמושה, ולפיכך, החל מתאריך 1.7.2006 אינה רשאית להציב מאבטחים חמושים ניידים כלל. עוד צויין במכתבו של רפ"ק אלעמארי, כי אם ברצונה של חברת בסט לבצע אבטחה חמושה ניידת, עליה לפנות למשרד הפנים בבקשה מתאימה. ...</w:t>
      </w:r>
    </w:p>
    <w:p w:rsidR="00241BC2" w:rsidRPr="00045552" w:rsidRDefault="00241BC2" w:rsidP="00241BC2">
      <w:pPr>
        <w:spacing w:after="60"/>
        <w:rPr>
          <w:rFonts w:cs="FrankRuehl"/>
          <w:sz w:val="22"/>
          <w:szCs w:val="22"/>
          <w:rtl/>
        </w:rPr>
      </w:pPr>
      <w:r w:rsidRPr="00045552">
        <w:rPr>
          <w:rFonts w:cs="FrankRuehl" w:hint="cs"/>
          <w:sz w:val="22"/>
          <w:szCs w:val="22"/>
          <w:rtl/>
        </w:rPr>
        <w:t>9.</w:t>
      </w:r>
      <w:r w:rsidRPr="00045552">
        <w:rPr>
          <w:rFonts w:cs="FrankRuehl" w:hint="cs"/>
          <w:sz w:val="22"/>
          <w:szCs w:val="22"/>
          <w:rtl/>
        </w:rPr>
        <w:tab/>
        <w:t xml:space="preserve">ראוי לציין, כי </w:t>
      </w:r>
      <w:r w:rsidRPr="00C63423">
        <w:rPr>
          <w:rFonts w:cs="FrankRuehl" w:hint="cs"/>
          <w:sz w:val="22"/>
          <w:szCs w:val="22"/>
          <w:highlight w:val="yellow"/>
          <w:rtl/>
        </w:rPr>
        <w:t>חברת בסט לא פנתה</w:t>
      </w:r>
      <w:r w:rsidRPr="00045552">
        <w:rPr>
          <w:rFonts w:cs="FrankRuehl" w:hint="cs"/>
          <w:sz w:val="22"/>
          <w:szCs w:val="22"/>
          <w:rtl/>
        </w:rPr>
        <w:t xml:space="preserve"> למשרד הפנים בבקשה להתיר לה לספק למערערים אבטחה חמושה ניידת, ואף לא פנתה בערר על החלטת המשיבים. </w:t>
      </w:r>
    </w:p>
    <w:p w:rsidR="00241BC2" w:rsidRPr="00045552" w:rsidRDefault="00241BC2" w:rsidP="00241BC2">
      <w:pPr>
        <w:spacing w:after="60"/>
        <w:rPr>
          <w:rFonts w:cs="FrankRuehl"/>
          <w:b/>
          <w:bCs/>
          <w:sz w:val="22"/>
          <w:szCs w:val="22"/>
          <w:rtl/>
        </w:rPr>
      </w:pPr>
      <w:r w:rsidRPr="00045552">
        <w:rPr>
          <w:rFonts w:cs="FrankRuehl" w:hint="cs"/>
          <w:b/>
          <w:bCs/>
          <w:sz w:val="22"/>
          <w:szCs w:val="22"/>
          <w:rtl/>
        </w:rPr>
        <w:t>העתירה לבית המשפט לעניינים מנהליים</w:t>
      </w:r>
    </w:p>
    <w:p w:rsidR="00241BC2" w:rsidRPr="00045552" w:rsidRDefault="00241BC2" w:rsidP="00241BC2">
      <w:pPr>
        <w:spacing w:after="60"/>
        <w:rPr>
          <w:rFonts w:cs="FrankRuehl"/>
          <w:sz w:val="22"/>
          <w:szCs w:val="22"/>
          <w:rtl/>
        </w:rPr>
      </w:pPr>
      <w:r w:rsidRPr="00045552">
        <w:rPr>
          <w:rFonts w:cs="FrankRuehl" w:hint="cs"/>
          <w:sz w:val="22"/>
          <w:szCs w:val="22"/>
          <w:rtl/>
        </w:rPr>
        <w:t>10.</w:t>
      </w:r>
      <w:r w:rsidRPr="00045552">
        <w:rPr>
          <w:rFonts w:cs="FrankRuehl" w:hint="cs"/>
          <w:sz w:val="22"/>
          <w:szCs w:val="22"/>
          <w:rtl/>
        </w:rPr>
        <w:tab/>
        <w:t xml:space="preserve">בעקבות מכתביהם של המשיבים, </w:t>
      </w:r>
      <w:r w:rsidRPr="00C63423">
        <w:rPr>
          <w:rFonts w:cs="FrankRuehl" w:hint="cs"/>
          <w:sz w:val="22"/>
          <w:szCs w:val="22"/>
          <w:highlight w:val="yellow"/>
          <w:rtl/>
        </w:rPr>
        <w:t>פנו המערערים</w:t>
      </w:r>
      <w:r w:rsidRPr="00045552">
        <w:rPr>
          <w:rFonts w:cs="FrankRuehl" w:hint="cs"/>
          <w:sz w:val="22"/>
          <w:szCs w:val="22"/>
          <w:rtl/>
        </w:rPr>
        <w:t xml:space="preserve"> לבית המשפט לעניינים מנהליים בעתירה לביטול הוראת המשיבים לאסור על חברת בסט, כמו גם חברות שמירה ואבטחה פרטיות אחרות, לספק שירותי אבטחה חמושה ניידת למערערים.</w:t>
      </w:r>
    </w:p>
    <w:p w:rsidR="00241BC2" w:rsidRDefault="00241BC2" w:rsidP="00241BC2">
      <w:pPr>
        <w:spacing w:after="60"/>
        <w:rPr>
          <w:rFonts w:cs="FrankRuehl"/>
          <w:sz w:val="22"/>
          <w:szCs w:val="22"/>
          <w:rtl/>
        </w:rPr>
      </w:pPr>
      <w:r w:rsidRPr="00045552">
        <w:rPr>
          <w:rFonts w:cs="FrankRuehl" w:hint="cs"/>
          <w:sz w:val="22"/>
          <w:szCs w:val="22"/>
          <w:rtl/>
        </w:rPr>
        <w:t>11.</w:t>
      </w:r>
      <w:r w:rsidRPr="00045552">
        <w:rPr>
          <w:rFonts w:cs="FrankRuehl" w:hint="cs"/>
          <w:sz w:val="22"/>
          <w:szCs w:val="22"/>
          <w:rtl/>
        </w:rPr>
        <w:tab/>
      </w:r>
      <w:r w:rsidRPr="00034762">
        <w:rPr>
          <w:rFonts w:cs="FrankRuehl" w:hint="cs"/>
          <w:sz w:val="22"/>
          <w:szCs w:val="22"/>
          <w:highlight w:val="yellow"/>
          <w:rtl/>
        </w:rPr>
        <w:t>בעתירתם טענו המערערים, בין היתר, כי שלילת זכותם לשכור שירותי אבטחה חמושה ניידת פוגעת בזכותם להגנה על החיים וקדושת החיים; כי החלטת המשיבים פוגעת בזכות השוויון, שכן ישנם אנשים אחרים (שאינם נושאים בתפקידים ציבוריים) אשר זוכים לשירותי אבטחה חמושה ניידת מחברות אבטחה פרטיות; כי הפגיעה בזכויות המערערים נעשתה בחוסר סמכות וללא הסמכה מפורשת בדין. עוד טענו המערערים, כי שלילת זכותם לשירותי אבטחה חמושה ניידת נעשתה תוך פגיעה בזכות הטיעון, שכן הוראת המשיבים בדבר שלילת הזכות לספק ולקבל שירותי אבטחה חמושה ניידת יצאה מבלי לזמן אף אחד מהנוגעים בדבר לשם שמיעת עמדתו.</w:t>
      </w:r>
    </w:p>
    <w:p w:rsidR="00241BC2" w:rsidRPr="00045552" w:rsidRDefault="00241BC2" w:rsidP="00241BC2">
      <w:pPr>
        <w:spacing w:after="60"/>
        <w:rPr>
          <w:rFonts w:cs="FrankRuehl"/>
          <w:sz w:val="22"/>
          <w:szCs w:val="22"/>
          <w:rtl/>
        </w:rPr>
      </w:pPr>
      <w:r>
        <w:rPr>
          <w:rFonts w:cs="FrankRuehl" w:hint="cs"/>
          <w:sz w:val="22"/>
          <w:szCs w:val="22"/>
          <w:rtl/>
        </w:rPr>
        <w:t>[...]</w:t>
      </w:r>
    </w:p>
    <w:p w:rsidR="00241BC2" w:rsidRPr="00045552" w:rsidRDefault="00241BC2" w:rsidP="00241BC2">
      <w:pPr>
        <w:spacing w:after="60"/>
        <w:rPr>
          <w:rFonts w:cs="FrankRuehl"/>
          <w:b/>
          <w:bCs/>
          <w:sz w:val="22"/>
          <w:szCs w:val="22"/>
          <w:rtl/>
        </w:rPr>
      </w:pPr>
      <w:r w:rsidRPr="00234FA3">
        <w:rPr>
          <w:rFonts w:cs="FrankRuehl" w:hint="cs"/>
          <w:b/>
          <w:bCs/>
          <w:sz w:val="22"/>
          <w:szCs w:val="22"/>
          <w:highlight w:val="yellow"/>
          <w:rtl/>
        </w:rPr>
        <w:t>הנחיה פנימית או תקנה בת פועל תחיקתי?</w:t>
      </w:r>
      <w:r w:rsidRPr="00045552">
        <w:rPr>
          <w:rFonts w:cs="FrankRuehl" w:hint="cs"/>
          <w:b/>
          <w:bCs/>
          <w:sz w:val="22"/>
          <w:szCs w:val="22"/>
          <w:rtl/>
        </w:rPr>
        <w:t xml:space="preserve"> </w:t>
      </w:r>
    </w:p>
    <w:p w:rsidR="00241BC2" w:rsidRPr="00045552" w:rsidRDefault="00241BC2" w:rsidP="00241BC2">
      <w:pPr>
        <w:spacing w:after="60"/>
        <w:rPr>
          <w:rFonts w:cs="FrankRuehl"/>
          <w:sz w:val="22"/>
          <w:szCs w:val="22"/>
          <w:rtl/>
        </w:rPr>
      </w:pPr>
      <w:r w:rsidRPr="00045552">
        <w:rPr>
          <w:rFonts w:cs="FrankRuehl" w:hint="cs"/>
          <w:sz w:val="22"/>
          <w:szCs w:val="22"/>
          <w:rtl/>
        </w:rPr>
        <w:t>57.</w:t>
      </w:r>
      <w:r w:rsidRPr="00045552">
        <w:rPr>
          <w:rFonts w:cs="FrankRuehl" w:hint="cs"/>
          <w:sz w:val="22"/>
          <w:szCs w:val="22"/>
          <w:rtl/>
        </w:rPr>
        <w:tab/>
        <w:t>סעיף 17 ל</w:t>
      </w:r>
      <w:hyperlink r:id="rId362" w:history="1">
        <w:r w:rsidRPr="00045552">
          <w:rPr>
            <w:rStyle w:val="Hyperlink"/>
            <w:rFonts w:cs="FrankRuehl"/>
            <w:sz w:val="22"/>
            <w:szCs w:val="22"/>
            <w:rtl/>
          </w:rPr>
          <w:t>פקודת הפרשנות</w:t>
        </w:r>
      </w:hyperlink>
      <w:r w:rsidRPr="00045552">
        <w:rPr>
          <w:rFonts w:cs="FrankRuehl" w:hint="cs"/>
          <w:sz w:val="22"/>
          <w:szCs w:val="22"/>
          <w:rtl/>
        </w:rPr>
        <w:t xml:space="preserve"> [נוסח חדש] (להלן: </w:t>
      </w:r>
      <w:hyperlink r:id="rId363" w:history="1">
        <w:r w:rsidRPr="00045552">
          <w:rPr>
            <w:rStyle w:val="Hyperlink"/>
            <w:rFonts w:cs="FrankRuehl"/>
            <w:sz w:val="22"/>
            <w:szCs w:val="22"/>
            <w:rtl/>
          </w:rPr>
          <w:t>פקודת הפרשנות)</w:t>
        </w:r>
      </w:hyperlink>
      <w:r w:rsidRPr="00045552">
        <w:rPr>
          <w:rFonts w:cs="FrankRuehl" w:hint="cs"/>
          <w:sz w:val="22"/>
          <w:szCs w:val="22"/>
          <w:rtl/>
        </w:rPr>
        <w:t xml:space="preserve"> קובע חובת פרסום ברשומות של "תקנות בנות-פועל תחיקתי". </w:t>
      </w:r>
      <w:r w:rsidRPr="00034762">
        <w:rPr>
          <w:rFonts w:cs="FrankRuehl" w:hint="cs"/>
          <w:sz w:val="22"/>
          <w:szCs w:val="22"/>
          <w:highlight w:val="yellow"/>
          <w:rtl/>
        </w:rPr>
        <w:t>המערערים טוענים כי ההנחיה על פיה פעלו המשיבים בענייננו מהווה תקנה בת פועל תחיקתי, המחוייבת בפרסום ברשומות, שאם לא כן, אין לה תוקף.</w:t>
      </w:r>
    </w:p>
    <w:p w:rsidR="00241BC2" w:rsidRPr="00045552" w:rsidRDefault="00241BC2" w:rsidP="00241BC2">
      <w:pPr>
        <w:spacing w:after="60"/>
        <w:rPr>
          <w:rFonts w:cs="FrankRuehl"/>
          <w:sz w:val="22"/>
          <w:szCs w:val="22"/>
          <w:rtl/>
        </w:rPr>
      </w:pPr>
      <w:r w:rsidRPr="00045552">
        <w:rPr>
          <w:rFonts w:cs="FrankRuehl" w:hint="cs"/>
          <w:sz w:val="22"/>
          <w:szCs w:val="22"/>
          <w:rtl/>
        </w:rPr>
        <w:t>58.</w:t>
      </w:r>
      <w:r w:rsidRPr="00045552">
        <w:rPr>
          <w:rFonts w:cs="FrankRuehl" w:hint="cs"/>
          <w:sz w:val="22"/>
          <w:szCs w:val="22"/>
          <w:rtl/>
        </w:rPr>
        <w:tab/>
        <w:t>על פי סעיף 1 ל</w:t>
      </w:r>
      <w:hyperlink r:id="rId364" w:history="1">
        <w:r w:rsidRPr="00045552">
          <w:rPr>
            <w:rStyle w:val="Hyperlink"/>
            <w:rFonts w:cs="FrankRuehl"/>
            <w:sz w:val="22"/>
            <w:szCs w:val="22"/>
            <w:rtl/>
          </w:rPr>
          <w:t>פקודת הפרשנות</w:t>
        </w:r>
      </w:hyperlink>
      <w:r w:rsidRPr="00045552">
        <w:rPr>
          <w:rFonts w:cs="FrankRuehl" w:hint="cs"/>
          <w:sz w:val="22"/>
          <w:szCs w:val="22"/>
          <w:rtl/>
        </w:rPr>
        <w:t xml:space="preserve"> [נוסח חדש], "תקנה" היא, ראשית לכל, "כלל, חוק עזר, מנשר, אכרזה, צו, הוראה, הודעה, מודעה, או מסמך אחר, שניתנו מאת כל רשות בארץ ישראל או בישראל... מכוח חוק...". זאת ועוד, בפסק הדין הידוע, </w:t>
      </w:r>
      <w:hyperlink r:id="rId365" w:history="1">
        <w:r w:rsidRPr="00045552">
          <w:rPr>
            <w:rStyle w:val="Hyperlink"/>
            <w:rFonts w:cs="FrankRuehl"/>
            <w:sz w:val="22"/>
            <w:szCs w:val="22"/>
            <w:rtl/>
          </w:rPr>
          <w:t>ע"פ 213/56 היועץ המשפטי נ' אלכסנדרוביץ, פ"ד יא</w:t>
        </w:r>
      </w:hyperlink>
      <w:r w:rsidRPr="00045552">
        <w:rPr>
          <w:rFonts w:cs="FrankRuehl" w:hint="cs"/>
          <w:sz w:val="22"/>
          <w:szCs w:val="22"/>
          <w:rtl/>
        </w:rPr>
        <w:t xml:space="preserve"> 695 (1957), נקבעו שני מבחנים מצטברים לזיהויה של "תקנה בת פועל תחיקתי" והם: האם התקנה יוצרת נורמה משפטית והאם היא הופנתה אל הציבור כולו או אל חלק בלתי מסוים ממנו.</w:t>
      </w:r>
    </w:p>
    <w:p w:rsidR="00241BC2" w:rsidRPr="00045552" w:rsidRDefault="00241BC2" w:rsidP="00241BC2">
      <w:pPr>
        <w:spacing w:after="60"/>
        <w:rPr>
          <w:rFonts w:cs="FrankRuehl"/>
          <w:sz w:val="22"/>
          <w:szCs w:val="22"/>
          <w:rtl/>
        </w:rPr>
      </w:pPr>
      <w:r w:rsidRPr="00045552">
        <w:rPr>
          <w:rFonts w:cs="FrankRuehl" w:hint="cs"/>
          <w:sz w:val="22"/>
          <w:szCs w:val="22"/>
          <w:rtl/>
        </w:rPr>
        <w:tab/>
        <w:t xml:space="preserve">הגישה המקובלת הינה, </w:t>
      </w:r>
      <w:r w:rsidRPr="00FA3A90">
        <w:rPr>
          <w:rFonts w:cs="FrankRuehl" w:hint="cs"/>
          <w:sz w:val="22"/>
          <w:szCs w:val="22"/>
          <w:highlight w:val="yellow"/>
          <w:rtl/>
        </w:rPr>
        <w:t>כי מאחר שהנחיות מנהליות אינן מוצאות מכוח חוק (שהרי החוק אינו מסמיך רשות מנהלית לקבוע אותן, אף שאינו אוסר זאת), לא נהוג לראות הנחיות מנהליות כאקטים הקובעים נורמה משפטית המשנה את המשפט הנוהג במדינה, ויתרה מכך, מאחר שהרשות רשאית לסטות מהן במקרים מסוימים, הרי שהנחיות פנימיות אינן נחשבות תקנות בנות פועל תחיקתי המצריכות פרסום ברשומות, אף אם יש להן השפעה על ציבורים בלתי מסוימים</w:t>
      </w:r>
      <w:r w:rsidRPr="00045552">
        <w:rPr>
          <w:rFonts w:cs="FrankRuehl" w:hint="cs"/>
          <w:sz w:val="22"/>
          <w:szCs w:val="22"/>
          <w:rtl/>
        </w:rPr>
        <w:t xml:space="preserve"> (הר זהב, עמ' 127-128; זמיר, כרך ב', עמ' 928).</w:t>
      </w:r>
    </w:p>
    <w:p w:rsidR="00241BC2" w:rsidRPr="00045552" w:rsidRDefault="00241BC2" w:rsidP="00241BC2">
      <w:pPr>
        <w:spacing w:after="60"/>
        <w:rPr>
          <w:rFonts w:cs="FrankRuehl"/>
          <w:sz w:val="22"/>
          <w:szCs w:val="22"/>
          <w:rtl/>
        </w:rPr>
      </w:pPr>
      <w:r w:rsidRPr="00045552">
        <w:rPr>
          <w:rFonts w:cs="FrankRuehl" w:hint="cs"/>
          <w:sz w:val="22"/>
          <w:szCs w:val="22"/>
          <w:rtl/>
        </w:rPr>
        <w:t>59.</w:t>
      </w:r>
      <w:r w:rsidRPr="00045552">
        <w:rPr>
          <w:rFonts w:cs="FrankRuehl" w:hint="cs"/>
          <w:sz w:val="22"/>
          <w:szCs w:val="22"/>
          <w:rtl/>
        </w:rPr>
        <w:tab/>
        <w:t>... המשטרה בחרה לְקבֵּעַ את מדיניותה במסגרת נוהל או הנחיה, אף שלא היתה חייבת לעשות כן על פי החוק המסמיך. יתרה מכך, המשטרה רשאית לסטות מהנוהל או ההנחיה במקרה המתאים, ולפיכך הנוהל האמור אינו בגדר נורמה משפטית. מכאן המסקנה שההנחיה נשוא ענייננו אינה בגדר תקנה בת פועל תחיקתי וסעיף 17 ל</w:t>
      </w:r>
      <w:hyperlink r:id="rId366" w:history="1">
        <w:r w:rsidRPr="00045552">
          <w:rPr>
            <w:rStyle w:val="Hyperlink"/>
            <w:rFonts w:cs="FrankRuehl"/>
            <w:sz w:val="22"/>
            <w:szCs w:val="22"/>
            <w:rtl/>
          </w:rPr>
          <w:t>פקודת הפרשנות</w:t>
        </w:r>
      </w:hyperlink>
      <w:r w:rsidRPr="00045552">
        <w:rPr>
          <w:rFonts w:cs="FrankRuehl" w:hint="cs"/>
          <w:sz w:val="22"/>
          <w:szCs w:val="22"/>
          <w:rtl/>
        </w:rPr>
        <w:t xml:space="preserve"> אינו חל לגביה. </w:t>
      </w:r>
    </w:p>
    <w:p w:rsidR="00241BC2" w:rsidRPr="00045552" w:rsidRDefault="00241BC2" w:rsidP="00241BC2">
      <w:pPr>
        <w:spacing w:after="60"/>
        <w:rPr>
          <w:rFonts w:cs="FrankRuehl"/>
          <w:b/>
          <w:bCs/>
          <w:sz w:val="22"/>
          <w:szCs w:val="22"/>
          <w:rtl/>
        </w:rPr>
      </w:pPr>
      <w:r w:rsidRPr="00045552">
        <w:rPr>
          <w:rFonts w:cs="FrankRuehl" w:hint="cs"/>
          <w:b/>
          <w:bCs/>
          <w:sz w:val="22"/>
          <w:szCs w:val="22"/>
          <w:rtl/>
        </w:rPr>
        <w:t xml:space="preserve">האם חלה חובה לפרסם את ההנחיה על פיה פעלה המשטרה? </w:t>
      </w:r>
    </w:p>
    <w:p w:rsidR="00241BC2" w:rsidRPr="00045552" w:rsidRDefault="00241BC2" w:rsidP="00241BC2">
      <w:pPr>
        <w:spacing w:after="60"/>
        <w:rPr>
          <w:rFonts w:cs="FrankRuehl"/>
          <w:sz w:val="22"/>
          <w:szCs w:val="22"/>
          <w:rtl/>
        </w:rPr>
      </w:pPr>
      <w:r w:rsidRPr="00045552">
        <w:rPr>
          <w:rFonts w:cs="FrankRuehl" w:hint="cs"/>
          <w:sz w:val="22"/>
          <w:szCs w:val="22"/>
          <w:rtl/>
        </w:rPr>
        <w:t>60.</w:t>
      </w:r>
      <w:r w:rsidRPr="00045552">
        <w:rPr>
          <w:rFonts w:cs="FrankRuehl" w:hint="cs"/>
          <w:sz w:val="22"/>
          <w:szCs w:val="22"/>
          <w:rtl/>
        </w:rPr>
        <w:tab/>
        <w:t>...</w:t>
      </w:r>
      <w:r w:rsidRPr="00FA3A90">
        <w:rPr>
          <w:rFonts w:cs="FrankRuehl" w:hint="cs"/>
          <w:sz w:val="22"/>
          <w:szCs w:val="22"/>
          <w:highlight w:val="yellow"/>
          <w:rtl/>
        </w:rPr>
        <w:t>כאשר מדובר בהנחיות פנימיות שיש בהן כדי להשפיע על זכות הפרט, תנאי מוקדם לקביעתן והחלתן הוא בהבאתן לידיעת המעוניינים</w:t>
      </w:r>
      <w:r w:rsidRPr="00045552">
        <w:rPr>
          <w:rFonts w:cs="FrankRuehl" w:hint="cs"/>
          <w:sz w:val="22"/>
          <w:szCs w:val="22"/>
          <w:rtl/>
        </w:rPr>
        <w:t xml:space="preserve"> [</w:t>
      </w:r>
      <w:hyperlink r:id="rId367" w:history="1">
        <w:r w:rsidRPr="00045552">
          <w:rPr>
            <w:rStyle w:val="Hyperlink"/>
            <w:rFonts w:cs="FrankRuehl"/>
            <w:sz w:val="22"/>
            <w:szCs w:val="22"/>
            <w:rtl/>
          </w:rPr>
          <w:t>בג"ץ 3648/97 סטמקה נ' שר הפנים, פ"ד נג</w:t>
        </w:r>
      </w:hyperlink>
      <w:r w:rsidRPr="00045552">
        <w:rPr>
          <w:rFonts w:cs="FrankRuehl" w:hint="cs"/>
          <w:sz w:val="22"/>
          <w:szCs w:val="22"/>
          <w:rtl/>
        </w:rPr>
        <w:t xml:space="preserve">(2) 728, 767-769 (1999); </w:t>
      </w:r>
      <w:hyperlink r:id="rId368" w:history="1">
        <w:r w:rsidRPr="00045552">
          <w:rPr>
            <w:rStyle w:val="Hyperlink"/>
            <w:rFonts w:cs="FrankRuehl"/>
            <w:sz w:val="22"/>
            <w:szCs w:val="22"/>
            <w:rtl/>
          </w:rPr>
          <w:t>בג"ץ 2271/98 עאבד נ' שר הפנים, פ"ד נה</w:t>
        </w:r>
      </w:hyperlink>
      <w:r w:rsidRPr="00045552">
        <w:rPr>
          <w:rFonts w:cs="FrankRuehl" w:hint="cs"/>
          <w:sz w:val="22"/>
          <w:szCs w:val="22"/>
          <w:rtl/>
        </w:rPr>
        <w:t xml:space="preserve">(5) 778, 789 (2001) (להלן: פרשת עאבד)]. </w:t>
      </w:r>
      <w:r w:rsidRPr="00FA3A90">
        <w:rPr>
          <w:rFonts w:cs="FrankRuehl" w:hint="cs"/>
          <w:sz w:val="22"/>
          <w:szCs w:val="22"/>
          <w:highlight w:val="yellow"/>
          <w:rtl/>
        </w:rPr>
        <w:t>מלים אחרות, נקבע כי על הרשות לפעול באופן סביר בנסיבות העניין כדי להביא את הנחיותיה הפנימיות לידיעת האזרח</w:t>
      </w:r>
      <w:r w:rsidRPr="00045552">
        <w:rPr>
          <w:rFonts w:cs="FrankRuehl" w:hint="cs"/>
          <w:sz w:val="22"/>
          <w:szCs w:val="22"/>
          <w:rtl/>
        </w:rPr>
        <w:t xml:space="preserve"> [</w:t>
      </w:r>
      <w:hyperlink r:id="rId369" w:history="1">
        <w:r w:rsidRPr="00045552">
          <w:rPr>
            <w:rStyle w:val="Hyperlink"/>
            <w:rFonts w:cs="FrankRuehl"/>
            <w:sz w:val="22"/>
            <w:szCs w:val="22"/>
            <w:rtl/>
          </w:rPr>
          <w:t>ע"א 4275/94</w:t>
        </w:r>
      </w:hyperlink>
      <w:r w:rsidRPr="00045552">
        <w:rPr>
          <w:rFonts w:cs="FrankRuehl" w:hint="cs"/>
          <w:sz w:val="22"/>
          <w:szCs w:val="22"/>
          <w:rtl/>
        </w:rPr>
        <w:t xml:space="preserve"> הבורסה לניירות ערך בתל-אביב בע"מ נ' א' ת' ניהול מאגר הספרות התורנית בע"מ, פ"ד נ(5) 485, 528 (1997)]. החובה שהתגבשה, לפרסם הנחיות מנהליות, מושתתת על מספר טעמים עיקריים: </w:t>
      </w:r>
      <w:r w:rsidRPr="00034762">
        <w:rPr>
          <w:rFonts w:cs="FrankRuehl" w:hint="cs"/>
          <w:sz w:val="22"/>
          <w:szCs w:val="22"/>
          <w:highlight w:val="yellow"/>
          <w:rtl/>
        </w:rPr>
        <w:t>הכרה בזכותו של הפרט לדעת את הנורמות העשויות להשפיע על מהלך חייו; בפרסום הכללים אשר לפיהם פועלת הרשות המנהלית יש כדי להוות מחסום כנגד שרירות לב שלטונית; ובנוסף, פרסומם של הכללים חושף אותם, ובכך גם את הרשות, לביקורת ציבורית ואף שיפוטית, אשר יכולה להוביל לשיפור מתמיד בדרך תפקודה של הרשות ... ניתן לבסס את החובה לפרסם הנחיות פנימיות גם על שיקולי יעילות...</w:t>
      </w:r>
      <w:r w:rsidRPr="00045552">
        <w:rPr>
          <w:rFonts w:cs="FrankRuehl" w:hint="cs"/>
          <w:sz w:val="22"/>
          <w:szCs w:val="22"/>
          <w:rtl/>
        </w:rPr>
        <w:t xml:space="preserve"> </w:t>
      </w:r>
    </w:p>
    <w:p w:rsidR="00241BC2" w:rsidRPr="00045552" w:rsidRDefault="00241BC2" w:rsidP="00241BC2">
      <w:pPr>
        <w:spacing w:after="60"/>
        <w:rPr>
          <w:rFonts w:cs="FrankRuehl"/>
          <w:sz w:val="22"/>
          <w:szCs w:val="22"/>
          <w:rtl/>
        </w:rPr>
      </w:pPr>
      <w:r w:rsidRPr="00045552">
        <w:rPr>
          <w:rFonts w:cs="FrankRuehl" w:hint="cs"/>
          <w:sz w:val="22"/>
          <w:szCs w:val="22"/>
          <w:rtl/>
        </w:rPr>
        <w:tab/>
      </w:r>
      <w:r w:rsidRPr="00FA3A90">
        <w:rPr>
          <w:rFonts w:cs="FrankRuehl" w:hint="cs"/>
          <w:sz w:val="22"/>
          <w:szCs w:val="22"/>
          <w:highlight w:val="yellow"/>
          <w:rtl/>
        </w:rPr>
        <w:t>אף שנקבעה בפסיקה חובה משפטית לפרסם הנחיות, עדיין קיימים הבדלים מהותיים לעניין הפרסום בין תקנות לבין הנחיות: בהיקף החובה לפרסם, בצורת הפרסום ובנפקות של הפרת החובה לפרסם...</w:t>
      </w:r>
    </w:p>
    <w:p w:rsidR="00241BC2" w:rsidRPr="00045552" w:rsidRDefault="00241BC2" w:rsidP="00241BC2">
      <w:pPr>
        <w:spacing w:after="60"/>
        <w:rPr>
          <w:rFonts w:cs="FrankRuehl"/>
          <w:sz w:val="22"/>
          <w:szCs w:val="22"/>
          <w:rtl/>
        </w:rPr>
      </w:pPr>
      <w:r w:rsidRPr="00045552">
        <w:rPr>
          <w:rFonts w:cs="FrankRuehl" w:hint="cs"/>
          <w:sz w:val="22"/>
          <w:szCs w:val="22"/>
          <w:rtl/>
        </w:rPr>
        <w:t>61.</w:t>
      </w:r>
      <w:r w:rsidRPr="00045552">
        <w:rPr>
          <w:rFonts w:cs="FrankRuehl" w:hint="cs"/>
          <w:sz w:val="22"/>
          <w:szCs w:val="22"/>
          <w:rtl/>
        </w:rPr>
        <w:tab/>
        <w:t>פסיקתו של בית משפט זה בדבר החובה לפרסם הנחיות מנהליות כחלק מכללי מינהל תקין עוגנה על ידי המחוקק בסעיף 6 ל</w:t>
      </w:r>
      <w:hyperlink r:id="rId370" w:history="1">
        <w:r w:rsidRPr="00045552">
          <w:rPr>
            <w:rStyle w:val="Hyperlink"/>
            <w:rFonts w:cs="FrankRuehl"/>
            <w:sz w:val="22"/>
            <w:szCs w:val="22"/>
            <w:rtl/>
          </w:rPr>
          <w:t>חוק חופש המידע</w:t>
        </w:r>
      </w:hyperlink>
      <w:r w:rsidRPr="00045552">
        <w:rPr>
          <w:rFonts w:cs="FrankRuehl" w:hint="cs"/>
          <w:sz w:val="22"/>
          <w:szCs w:val="22"/>
          <w:rtl/>
        </w:rPr>
        <w:t xml:space="preserve">, התשנ"ח-1998 (להלן: </w:t>
      </w:r>
      <w:hyperlink r:id="rId371" w:history="1">
        <w:r w:rsidRPr="00045552">
          <w:rPr>
            <w:rStyle w:val="Hyperlink"/>
            <w:rFonts w:cs="FrankRuehl"/>
            <w:sz w:val="22"/>
            <w:szCs w:val="22"/>
            <w:rtl/>
          </w:rPr>
          <w:t>חוק חופש המידע)</w:t>
        </w:r>
      </w:hyperlink>
      <w:r w:rsidRPr="00045552">
        <w:rPr>
          <w:rFonts w:cs="FrankRuehl" w:hint="cs"/>
          <w:sz w:val="22"/>
          <w:szCs w:val="22"/>
          <w:rtl/>
        </w:rPr>
        <w:t xml:space="preserve">. מאז חקיקתו של חוק זה, חייבות הרשויות הציבוריות להעמיד את הנחיותיהן לעיון הציבור ולפרסמן, בכפוף לחריגים שנקבעו בחוק ... </w:t>
      </w:r>
    </w:p>
    <w:p w:rsidR="00241BC2" w:rsidRPr="00045552" w:rsidRDefault="00241BC2" w:rsidP="00241BC2">
      <w:pPr>
        <w:spacing w:after="60"/>
        <w:rPr>
          <w:rFonts w:cs="FrankRuehl"/>
          <w:sz w:val="22"/>
          <w:szCs w:val="22"/>
          <w:rtl/>
        </w:rPr>
      </w:pPr>
      <w:r w:rsidRPr="00045552">
        <w:rPr>
          <w:rFonts w:cs="FrankRuehl" w:hint="cs"/>
          <w:sz w:val="22"/>
          <w:szCs w:val="22"/>
          <w:rtl/>
        </w:rPr>
        <w:t xml:space="preserve">יצויין, כי בענייננו כלל לא נשמעה הטענה כי המשיבים הפרו את חובת הפרסום המוטלת עליהם מכוח </w:t>
      </w:r>
      <w:hyperlink r:id="rId372" w:history="1">
        <w:r w:rsidRPr="00045552">
          <w:rPr>
            <w:rStyle w:val="Hyperlink"/>
            <w:rFonts w:cs="FrankRuehl"/>
            <w:sz w:val="22"/>
            <w:szCs w:val="22"/>
            <w:rtl/>
          </w:rPr>
          <w:t>חוק חופש המידע</w:t>
        </w:r>
      </w:hyperlink>
      <w:r w:rsidRPr="00045552">
        <w:rPr>
          <w:rFonts w:cs="FrankRuehl" w:hint="cs"/>
          <w:sz w:val="22"/>
          <w:szCs w:val="22"/>
          <w:rtl/>
        </w:rPr>
        <w:t xml:space="preserve">, וניתן לשער כי לא עשו כן מכמה טעמים אפשריים: </w:t>
      </w:r>
    </w:p>
    <w:p w:rsidR="00241BC2" w:rsidRPr="00045552" w:rsidRDefault="00241BC2" w:rsidP="00241BC2">
      <w:pPr>
        <w:spacing w:after="60"/>
        <w:rPr>
          <w:rFonts w:cs="FrankRuehl"/>
          <w:sz w:val="22"/>
          <w:szCs w:val="22"/>
          <w:rtl/>
        </w:rPr>
      </w:pPr>
      <w:r w:rsidRPr="00045552">
        <w:rPr>
          <w:rFonts w:cs="FrankRuehl" w:hint="cs"/>
          <w:sz w:val="22"/>
          <w:szCs w:val="22"/>
          <w:rtl/>
        </w:rPr>
        <w:tab/>
        <w:t>ראשית, מעיון בטיוטת הנוהל, נמצא כי היחידה המשטרתית אשר הוציאה את ההנחיה הינה אגף חקירות מודיעין/חטיבת המודיעין. לפי סעיף 14(א)(9) ל</w:t>
      </w:r>
      <w:hyperlink r:id="rId373" w:history="1">
        <w:r w:rsidRPr="00045552">
          <w:rPr>
            <w:rStyle w:val="Hyperlink"/>
            <w:rFonts w:cs="FrankRuehl"/>
            <w:sz w:val="22"/>
            <w:szCs w:val="22"/>
            <w:rtl/>
          </w:rPr>
          <w:t>חוק חופש המידע</w:t>
        </w:r>
      </w:hyperlink>
      <w:r w:rsidRPr="00045552">
        <w:rPr>
          <w:rFonts w:cs="FrankRuehl" w:hint="cs"/>
          <w:sz w:val="22"/>
          <w:szCs w:val="22"/>
          <w:rtl/>
        </w:rPr>
        <w:t>, הוראות חוק זה לא יחולו על "מערכי המודיעין והחקירות של משטרת ישראל". מכאן עולה לכאורה כי חוק זה אינו חל על היחידה שהוציאה את ההנחיה. שנית, סעיף 9(ב)(2) ל</w:t>
      </w:r>
      <w:hyperlink r:id="rId374" w:history="1">
        <w:r w:rsidRPr="00045552">
          <w:rPr>
            <w:rStyle w:val="Hyperlink"/>
            <w:rFonts w:cs="FrankRuehl"/>
            <w:sz w:val="22"/>
            <w:szCs w:val="22"/>
            <w:rtl/>
          </w:rPr>
          <w:t>חוק חופש המידע</w:t>
        </w:r>
      </w:hyperlink>
      <w:r w:rsidRPr="00045552">
        <w:rPr>
          <w:rFonts w:cs="FrankRuehl" w:hint="cs"/>
          <w:sz w:val="22"/>
          <w:szCs w:val="22"/>
          <w:rtl/>
        </w:rPr>
        <w:t xml:space="preserve"> קובע כי רשות ציבורית אינה חייבת למסור "מידע על אודות מדיניות הנמצא בשלבי עיצוב". כפי שצויין לעיל, במועד קיום הדיון לפנינו ההנחיה הוגדרה כ"טיוטת נוהל" (ראו מוצג מע/2), ואף המשיבים טענו בסיכומיהם כי עסקינן בנוהל אשר טרם קיבל את כל האישורים הנדרשים. כלומר, יש יסוד לטענה כי ההנחיה הינה בגדר "מדיניות הנמצאת בשלבי עיצוב", וככזו, אין הרשות חייבת למסור מידע אודותיה. </w:t>
      </w:r>
      <w:r w:rsidRPr="00CE3AF4">
        <w:rPr>
          <w:rFonts w:cs="FrankRuehl" w:hint="cs"/>
          <w:sz w:val="22"/>
          <w:szCs w:val="22"/>
          <w:highlight w:val="yellow"/>
          <w:rtl/>
        </w:rPr>
        <w:t>יחד עם זאת, המשיבים הצהירו בפנינו כי הגורמים הרלוונטיים מסתמכים על ההנחיה, על אף היותה בגדר "טיוטת נוהל" בלבד. במקרה כזה, אין תחולה לסעיף 14(א)(9) ל</w:t>
      </w:r>
      <w:hyperlink r:id="rId375" w:history="1">
        <w:r w:rsidRPr="00CE3AF4">
          <w:rPr>
            <w:rStyle w:val="Hyperlink"/>
            <w:rFonts w:cs="FrankRuehl"/>
            <w:sz w:val="22"/>
            <w:szCs w:val="22"/>
            <w:rtl/>
          </w:rPr>
          <w:t>חוק חופש המידע</w:t>
        </w:r>
      </w:hyperlink>
      <w:r w:rsidRPr="00CE3AF4">
        <w:rPr>
          <w:rFonts w:cs="FrankRuehl" w:hint="cs"/>
          <w:sz w:val="22"/>
          <w:szCs w:val="22"/>
          <w:highlight w:val="yellow"/>
          <w:rtl/>
        </w:rPr>
        <w:t>, והמשיבים אינם יכולים להסתתר מאחורי הנימוק כי מדובר ב"מדיניות הנמצאת בשלבי עיצוב" כטעם לאי פרסום ההנחיה.</w:t>
      </w:r>
    </w:p>
    <w:p w:rsidR="00241BC2" w:rsidRPr="00045552" w:rsidRDefault="00241BC2" w:rsidP="00241BC2">
      <w:pPr>
        <w:spacing w:after="60"/>
        <w:rPr>
          <w:rFonts w:cs="FrankRuehl"/>
          <w:sz w:val="22"/>
          <w:szCs w:val="22"/>
          <w:rtl/>
        </w:rPr>
      </w:pPr>
      <w:r w:rsidRPr="00045552">
        <w:rPr>
          <w:rFonts w:cs="FrankRuehl" w:hint="cs"/>
          <w:sz w:val="22"/>
          <w:szCs w:val="22"/>
          <w:rtl/>
        </w:rPr>
        <w:tab/>
        <w:t xml:space="preserve">מאחר וכאמור כלל לא עלתה בפנינו טענה בדבר הפרת החובה על פי </w:t>
      </w:r>
      <w:hyperlink r:id="rId376" w:history="1">
        <w:r w:rsidRPr="00045552">
          <w:rPr>
            <w:rStyle w:val="Hyperlink"/>
            <w:rFonts w:cs="FrankRuehl"/>
            <w:sz w:val="22"/>
            <w:szCs w:val="22"/>
            <w:rtl/>
          </w:rPr>
          <w:t>חוק חופש המידע</w:t>
        </w:r>
      </w:hyperlink>
      <w:r w:rsidRPr="00045552">
        <w:rPr>
          <w:rFonts w:cs="FrankRuehl" w:hint="cs"/>
          <w:sz w:val="22"/>
          <w:szCs w:val="22"/>
          <w:rtl/>
        </w:rPr>
        <w:t xml:space="preserve">, ואף קיים ספק אם חוק זה חל על ההנחיה בענייננו, יש לבחון הסוגיה שלפנינו במשקפי החובה לפרסם הנחיות פנימיות על פי הכללים שנקבעו בפסיקה. </w:t>
      </w:r>
      <w:r w:rsidRPr="00045552">
        <w:rPr>
          <w:rFonts w:cs="FrankRuehl" w:hint="cs"/>
          <w:sz w:val="22"/>
          <w:szCs w:val="22"/>
          <w:highlight w:val="yellow"/>
          <w:rtl/>
        </w:rPr>
        <w:t>מוכן אני לצאת מנקודת הנחה כי, מבחינת היקף החובה לפרסם, אכן קיימת חובת פרסום של ההנחיה על פיה פעלו המשיבים, בין היתר, מאחר שניתן לומר כי ההנחיה האמורה, יש בה כדי להשפיע, במידת מה לפחות, על חופש העיסוק של חברות השמירה והשומרים, זכות המוגנת ב</w:t>
      </w:r>
      <w:hyperlink r:id="rId377" w:history="1">
        <w:r w:rsidRPr="00045552">
          <w:rPr>
            <w:rStyle w:val="Hyperlink"/>
            <w:rFonts w:cs="FrankRuehl" w:hint="eastAsia"/>
            <w:sz w:val="22"/>
            <w:szCs w:val="22"/>
            <w:rtl/>
          </w:rPr>
          <w:t>חוק</w:t>
        </w:r>
        <w:r w:rsidRPr="00045552">
          <w:rPr>
            <w:rStyle w:val="Hyperlink"/>
            <w:rFonts w:cs="FrankRuehl"/>
            <w:sz w:val="22"/>
            <w:szCs w:val="22"/>
            <w:rtl/>
          </w:rPr>
          <w:t xml:space="preserve"> יסוד: חופש העיסוק</w:t>
        </w:r>
      </w:hyperlink>
      <w:r w:rsidRPr="00045552">
        <w:rPr>
          <w:rFonts w:cs="FrankRuehl" w:hint="cs"/>
          <w:sz w:val="22"/>
          <w:szCs w:val="22"/>
          <w:rtl/>
        </w:rPr>
        <w:t>.</w:t>
      </w:r>
    </w:p>
    <w:p w:rsidR="00241BC2" w:rsidRPr="00045552" w:rsidRDefault="00241BC2" w:rsidP="00241BC2">
      <w:pPr>
        <w:spacing w:after="60"/>
        <w:rPr>
          <w:rFonts w:cs="FrankRuehl"/>
          <w:sz w:val="22"/>
          <w:szCs w:val="22"/>
          <w:rtl/>
        </w:rPr>
      </w:pPr>
      <w:r w:rsidRPr="00045552">
        <w:rPr>
          <w:rFonts w:cs="FrankRuehl" w:hint="cs"/>
          <w:sz w:val="22"/>
          <w:szCs w:val="22"/>
          <w:rtl/>
        </w:rPr>
        <w:t>62.</w:t>
      </w:r>
      <w:r w:rsidRPr="00045552">
        <w:rPr>
          <w:rFonts w:cs="FrankRuehl" w:hint="cs"/>
          <w:sz w:val="22"/>
          <w:szCs w:val="22"/>
          <w:rtl/>
        </w:rPr>
        <w:tab/>
        <w:t xml:space="preserve">אולם, גם אם נצא מנקודת הנחה כי חלה חובת פרסום על ההנחיה בענייננו, עדיין נשאלת השאלה מהי צורת הפרסום הנדרשת לשם עמידה בחובה זו. כאמור, אין חולק כי חובת הפרסום ברשומות דווקא אינה חלה על הנחיות פנימיות ויש אף הסבורים כי מבחינת הדין הרצוי פרסום ברשומות אינה הדרך המתאימה לפרסומן של הנחיות פנימיות (ראו: מאמרו של דותן, עמ' 481). </w:t>
      </w:r>
    </w:p>
    <w:p w:rsidR="00241BC2" w:rsidRPr="00045552" w:rsidRDefault="00241BC2" w:rsidP="00241BC2">
      <w:pPr>
        <w:spacing w:after="60"/>
        <w:rPr>
          <w:rFonts w:cs="FrankRuehl"/>
          <w:sz w:val="22"/>
          <w:szCs w:val="22"/>
          <w:rtl/>
        </w:rPr>
      </w:pPr>
      <w:r w:rsidRPr="00045552">
        <w:rPr>
          <w:rFonts w:cs="FrankRuehl" w:hint="cs"/>
          <w:sz w:val="22"/>
          <w:szCs w:val="22"/>
          <w:rtl/>
        </w:rPr>
        <w:t>63.</w:t>
      </w:r>
      <w:r w:rsidRPr="00045552">
        <w:rPr>
          <w:rFonts w:cs="FrankRuehl" w:hint="cs"/>
          <w:sz w:val="22"/>
          <w:szCs w:val="22"/>
          <w:rtl/>
        </w:rPr>
        <w:tab/>
      </w:r>
      <w:r w:rsidRPr="00045552">
        <w:rPr>
          <w:rFonts w:cs="FrankRuehl" w:hint="cs"/>
          <w:sz w:val="22"/>
          <w:szCs w:val="22"/>
          <w:highlight w:val="yellow"/>
          <w:rtl/>
        </w:rPr>
        <w:t>אופן הפרסום הנדרש לשם עמידה בחובת הפרסום של הנחיות פנימיות אינו נקבע על פי מבחן קשיח, אלא דווקא באמצעות מבחן גמיש, המתאים עצמו לנסיבות הרלוונטיות להנחיות שבהן מדובר. החובה היא לתת להנחיות פרסום סביר, בדרך שיש בה כדי להביא אותן לידיעת המעוניינים בהנחיות, לפי מהותן. פרסום כזה יכול להיעשות באמצעות מודעה בעיתון יומי, בהודעה על גבי לוח מודעות, בפרסום בספרות מקצועית, או בחוזרים הנשלחים בדואר אל הנוגעים בדבר וכיוצא באלה ... כלומר, לצורך עמידה בחובת הפרסום נדרש כי הפרסום יהיה סביר. בחינת הסבירות תיקבע לאור יעילותו של הפרסום. על הרשות המנהלית לפרסם את ההנחיות הפנימיות באופן אפקטיבי, שיקים הנחה סבירה כי הן תגענה לידיעת הפרט אשר ההנחיות נוגעות אליו, כשמידת האפקטיביות מותאמת למהותה של ההנחיה הספציפית</w:t>
      </w:r>
      <w:r w:rsidRPr="00045552">
        <w:rPr>
          <w:rFonts w:cs="FrankRuehl" w:hint="cs"/>
          <w:sz w:val="22"/>
          <w:szCs w:val="22"/>
          <w:rtl/>
        </w:rPr>
        <w:t>...</w:t>
      </w:r>
    </w:p>
    <w:p w:rsidR="00241BC2" w:rsidRPr="00045552" w:rsidRDefault="00241BC2" w:rsidP="00241BC2">
      <w:pPr>
        <w:spacing w:after="60"/>
        <w:rPr>
          <w:rFonts w:cs="FrankRuehl"/>
          <w:sz w:val="22"/>
          <w:szCs w:val="22"/>
          <w:rtl/>
        </w:rPr>
      </w:pPr>
      <w:r w:rsidRPr="00045552">
        <w:rPr>
          <w:rFonts w:cs="FrankRuehl" w:hint="cs"/>
          <w:sz w:val="22"/>
          <w:szCs w:val="22"/>
          <w:rtl/>
        </w:rPr>
        <w:t>64.</w:t>
      </w:r>
      <w:r w:rsidRPr="00045552">
        <w:rPr>
          <w:rFonts w:cs="FrankRuehl" w:hint="cs"/>
          <w:sz w:val="22"/>
          <w:szCs w:val="22"/>
          <w:rtl/>
        </w:rPr>
        <w:tab/>
      </w:r>
      <w:r w:rsidRPr="00045552">
        <w:rPr>
          <w:rFonts w:cs="FrankRuehl" w:hint="cs"/>
          <w:sz w:val="22"/>
          <w:szCs w:val="22"/>
          <w:highlight w:val="yellow"/>
          <w:rtl/>
        </w:rPr>
        <w:t>חובת הפרסום - מן הכלל אל הפרט:</w:t>
      </w:r>
      <w:r w:rsidRPr="00045552">
        <w:rPr>
          <w:rFonts w:cs="FrankRuehl" w:hint="cs"/>
          <w:sz w:val="22"/>
          <w:szCs w:val="22"/>
          <w:rtl/>
        </w:rPr>
        <w:t xml:space="preserve"> בענייננו, אין חולק כי בעקבות גיבוש המדיניות על ידי המשיבים, ולקראת חידוש רישיונותיהן של חברות השמירה על פי סעיף 10ג ל</w:t>
      </w:r>
      <w:hyperlink r:id="rId378" w:history="1">
        <w:r w:rsidRPr="00045552">
          <w:rPr>
            <w:rStyle w:val="Hyperlink"/>
            <w:rFonts w:cs="FrankRuehl"/>
            <w:sz w:val="22"/>
            <w:szCs w:val="22"/>
            <w:rtl/>
          </w:rPr>
          <w:t>חוק כלי היריה</w:t>
        </w:r>
      </w:hyperlink>
      <w:r w:rsidRPr="00045552">
        <w:rPr>
          <w:rFonts w:cs="FrankRuehl" w:hint="cs"/>
          <w:sz w:val="22"/>
          <w:szCs w:val="22"/>
          <w:rtl/>
        </w:rPr>
        <w:t xml:space="preserve"> לשנים 2006-2008, נשלח לכל חברות השמירה הפועלות בישראל על פי הרישיון המיוחד, "חוזר" שמטרתו הוגדרה בו: "לקבוע הליך רישוי לביצוע חידוש הרשיון המיוחד והליך עבודה אחיד". בסעיף 3א(5) לחוזר נקבע כי חידוש הרישיון מותנה ב"הצגת רשימה מעודכנת של אתרי שמירה, בהם החברה נותנת שירותי אבטחה, תוך ציון מיוחד לגבי מתן אבטח[ה] אישית לאנשים פרטיים". מכאן, שהמשיבים הביאו לידיעתם של הגורמים המעוניינים (חברות האבטחה והשמירה) את התנאי החדש שיתווסף לרישיונן, קרי, הצגת רשימה מעודכנת של אתרי שמירה. כן, ברור מנוסח הסעיף, כי יינתן דגש מיוחד לאבטחה אישית של אנשים פרטיים. מלבד החוזרים שנשלחו כאמור לכל חברות השמירה, זומנו נציגי חברות השמירה לימי עיון שההשתתפות בהם היוותה תנאי לחידוש הרישיון המיוחד. במהלך ימי העיון, כך נטען על ידי המשיבים, הובהר לחברות השמירה, כי עליהן להגיש רשימות מאובטחים פוטנציאליים וכי רשימות אלה תיבדקנה ותאושרנה על ידי הגורם המוסמך על פי המלצת משטרת ישראל. </w:t>
      </w:r>
    </w:p>
    <w:p w:rsidR="00241BC2" w:rsidRPr="00045552" w:rsidRDefault="00241BC2" w:rsidP="00241BC2">
      <w:pPr>
        <w:spacing w:after="60"/>
        <w:rPr>
          <w:rFonts w:cs="FrankRuehl"/>
          <w:sz w:val="22"/>
          <w:szCs w:val="22"/>
          <w:rtl/>
        </w:rPr>
      </w:pPr>
      <w:r w:rsidRPr="00045552">
        <w:rPr>
          <w:rFonts w:cs="FrankRuehl" w:hint="cs"/>
          <w:sz w:val="22"/>
          <w:szCs w:val="22"/>
          <w:rtl/>
        </w:rPr>
        <w:tab/>
      </w:r>
      <w:r w:rsidRPr="00045552">
        <w:rPr>
          <w:rFonts w:cs="FrankRuehl" w:hint="cs"/>
          <w:sz w:val="22"/>
          <w:szCs w:val="22"/>
          <w:highlight w:val="yellow"/>
          <w:rtl/>
        </w:rPr>
        <w:t>הנה כי כן, ככל שעסקינן בהוספת התנאי לרישיון שעניינו הצגת רשימת אתרי שמירה וזהות המאובטחים, עשו המשיבים די על מנת לעמוד בחובת הפרסום המוטלת עליהם בנסיבות העניין, שכן הם פעלו בדרך הולמת להבאת התנאי לידיעתן של חברות השמירה.</w:t>
      </w:r>
      <w:r w:rsidRPr="00045552">
        <w:rPr>
          <w:rFonts w:cs="FrankRuehl" w:hint="cs"/>
          <w:sz w:val="22"/>
          <w:szCs w:val="22"/>
          <w:rtl/>
        </w:rPr>
        <w:t xml:space="preserve"> ...</w:t>
      </w:r>
    </w:p>
    <w:p w:rsidR="00241BC2" w:rsidRPr="00045552" w:rsidRDefault="00241BC2" w:rsidP="00241BC2">
      <w:pPr>
        <w:spacing w:after="60"/>
        <w:rPr>
          <w:rFonts w:cs="FrankRuehl"/>
          <w:sz w:val="22"/>
          <w:szCs w:val="22"/>
          <w:rtl/>
        </w:rPr>
      </w:pPr>
      <w:r w:rsidRPr="00045552">
        <w:rPr>
          <w:rFonts w:cs="FrankRuehl" w:hint="cs"/>
          <w:sz w:val="22"/>
          <w:szCs w:val="22"/>
          <w:rtl/>
        </w:rPr>
        <w:t>65.</w:t>
      </w:r>
      <w:r w:rsidRPr="00045552">
        <w:rPr>
          <w:rFonts w:cs="FrankRuehl" w:hint="cs"/>
          <w:sz w:val="22"/>
          <w:szCs w:val="22"/>
          <w:rtl/>
        </w:rPr>
        <w:tab/>
      </w:r>
      <w:r w:rsidRPr="00045552">
        <w:rPr>
          <w:rFonts w:cs="FrankRuehl" w:hint="cs"/>
          <w:sz w:val="22"/>
          <w:szCs w:val="22"/>
          <w:highlight w:val="yellow"/>
          <w:rtl/>
        </w:rPr>
        <w:t xml:space="preserve">על אף האמור, אין חולק כי ההנחיה הפנימית אשר במסגרתה נקבעו הקריטריונים על פיהם תאושר אבטחה חמושה, נייחת או ניידת, לא פורסמה בדרך כלשהי. במועדים הרלוונטיים להגשת העתירה, היתה הנחיה זו בגדר "טיוטת נוהל בלבד". יחד עם זאת, המשיבים אינם מכחישים כי "הנחיה פנימית זו היא ההנחייה על-פיה פועלים כיום הגורמים המוסמכים במשטרת ישראל והיא זו שמדריכה אותם ביחס לאופן בו עליהם להפעיל את שיקול דעתם" (סעיף 17 לסיכומיהם). סבורני כי באי פרסומה של ההנחיה אשר על פיה פועלים הגורמים המוסמכים יש פסול. בהנחיה נקבע מתי יאושר ומתי לא יאושר לחברות השמירה ביצוע אבטחה חמושה נייחת או ניידת. ביצוע אבטחה מעין זו, הינו חלק מעיסוקיהן של חברות השמירה, וזכותן לחופש עיסוק מוגנת, </w:t>
      </w:r>
      <w:r w:rsidRPr="005922CB">
        <w:rPr>
          <w:rFonts w:cs="FrankRuehl" w:hint="cs"/>
          <w:sz w:val="22"/>
          <w:szCs w:val="22"/>
          <w:highlight w:val="yellow"/>
          <w:rtl/>
        </w:rPr>
        <w:t>כידוע, ב</w:t>
      </w:r>
      <w:hyperlink r:id="rId379" w:history="1">
        <w:r w:rsidRPr="005922CB">
          <w:rPr>
            <w:rStyle w:val="Hyperlink"/>
            <w:rFonts w:cs="FrankRuehl" w:hint="eastAsia"/>
            <w:sz w:val="22"/>
            <w:szCs w:val="22"/>
            <w:rtl/>
          </w:rPr>
          <w:t>חוק</w:t>
        </w:r>
        <w:r w:rsidRPr="005922CB">
          <w:rPr>
            <w:rStyle w:val="Hyperlink"/>
            <w:rFonts w:cs="FrankRuehl"/>
            <w:sz w:val="22"/>
            <w:szCs w:val="22"/>
            <w:rtl/>
          </w:rPr>
          <w:t xml:space="preserve"> יסוד: חופש העיסוק</w:t>
        </w:r>
      </w:hyperlink>
      <w:r w:rsidRPr="005922CB">
        <w:rPr>
          <w:rFonts w:cs="FrankRuehl" w:hint="cs"/>
          <w:sz w:val="22"/>
          <w:szCs w:val="22"/>
          <w:highlight w:val="yellow"/>
          <w:rtl/>
        </w:rPr>
        <w:t>. ברור</w:t>
      </w:r>
      <w:r w:rsidRPr="00045552">
        <w:rPr>
          <w:rFonts w:cs="FrankRuehl" w:hint="cs"/>
          <w:sz w:val="22"/>
          <w:szCs w:val="22"/>
          <w:rtl/>
        </w:rPr>
        <w:t xml:space="preserve"> מאליו, כי כל משטר של רישוי פוגע במידה זו או אחרת בחופש העיסוק של בעל מקצוע זה או אחר, ואין פירוש הדבר כי הוא פסול מן היסוד. יחד עם זאת, ככל שמבקשים המשיבים להגביל את חופש העיסוק של חברות השמירה, מן הראוי כי, לכל הפחות, מגבלות אלה תובאנה לידיעתן של חברות השמירה ותפורסמנה בדרך הראויה.</w:t>
      </w:r>
    </w:p>
    <w:p w:rsidR="00241BC2" w:rsidRPr="00045552" w:rsidRDefault="00241BC2" w:rsidP="00241BC2">
      <w:pPr>
        <w:spacing w:after="60"/>
        <w:rPr>
          <w:rFonts w:cs="FrankRuehl"/>
          <w:sz w:val="22"/>
          <w:szCs w:val="22"/>
          <w:rtl/>
        </w:rPr>
      </w:pPr>
      <w:r w:rsidRPr="00045552">
        <w:rPr>
          <w:rFonts w:cs="FrankRuehl" w:hint="cs"/>
          <w:sz w:val="22"/>
          <w:szCs w:val="22"/>
          <w:rtl/>
        </w:rPr>
        <w:t>66.</w:t>
      </w:r>
      <w:r w:rsidRPr="00045552">
        <w:rPr>
          <w:rFonts w:cs="FrankRuehl" w:hint="cs"/>
          <w:sz w:val="22"/>
          <w:szCs w:val="22"/>
          <w:rtl/>
        </w:rPr>
        <w:tab/>
      </w:r>
      <w:r w:rsidRPr="005922CB">
        <w:rPr>
          <w:rFonts w:cs="FrankRuehl" w:hint="cs"/>
          <w:sz w:val="22"/>
          <w:szCs w:val="22"/>
          <w:highlight w:val="yellow"/>
          <w:rtl/>
        </w:rPr>
        <w:t>כיוון שהמשיבים הצהירו כי הם אכן פועלים על פי ההנחיה (על אף היותה בגדר "טיוטת נוהל"), מן הראוי היה כי הנחיה זו תפורסם באופן שכל המעוניינים הישירים (ובמקרה דנן, חברות השמירה והאבטחה) יוכלו לדעת מראש מהם הקריטריונים על פיהם תאושרנה או לא תאושרנה רשימות אתרי האבטחה והמאובטחים שיגישו כתנאי לקבלת הרישיון המיוחד</w:t>
      </w:r>
      <w:r w:rsidRPr="00045552">
        <w:rPr>
          <w:rFonts w:cs="FrankRuehl" w:hint="cs"/>
          <w:sz w:val="22"/>
          <w:szCs w:val="22"/>
          <w:rtl/>
        </w:rPr>
        <w:t>.</w:t>
      </w:r>
    </w:p>
    <w:p w:rsidR="00241BC2" w:rsidRPr="00045552" w:rsidRDefault="00241BC2" w:rsidP="00241BC2">
      <w:pPr>
        <w:spacing w:after="60"/>
        <w:rPr>
          <w:rFonts w:cs="FrankRuehl"/>
          <w:b/>
          <w:bCs/>
          <w:sz w:val="22"/>
          <w:szCs w:val="22"/>
          <w:rtl/>
        </w:rPr>
      </w:pPr>
      <w:r w:rsidRPr="00045552">
        <w:rPr>
          <w:rFonts w:cs="FrankRuehl" w:hint="cs"/>
          <w:b/>
          <w:bCs/>
          <w:sz w:val="22"/>
          <w:szCs w:val="22"/>
          <w:rtl/>
        </w:rPr>
        <w:t>הפרת החובה - תוצאותיה</w:t>
      </w:r>
    </w:p>
    <w:p w:rsidR="00241BC2" w:rsidRPr="00045552" w:rsidRDefault="00241BC2" w:rsidP="00241BC2">
      <w:pPr>
        <w:spacing w:after="60"/>
        <w:rPr>
          <w:rFonts w:cs="FrankRuehl"/>
          <w:sz w:val="22"/>
          <w:szCs w:val="22"/>
          <w:rtl/>
        </w:rPr>
      </w:pPr>
      <w:r w:rsidRPr="00045552">
        <w:rPr>
          <w:rFonts w:cs="FrankRuehl" w:hint="cs"/>
          <w:sz w:val="22"/>
          <w:szCs w:val="22"/>
          <w:rtl/>
        </w:rPr>
        <w:t>... [דוקטרינת "הבטלות היחסית"]</w:t>
      </w:r>
      <w:r>
        <w:rPr>
          <w:rFonts w:cs="FrankRuehl" w:hint="cs"/>
          <w:sz w:val="22"/>
          <w:szCs w:val="22"/>
          <w:rtl/>
        </w:rPr>
        <w:t xml:space="preserve"> ...</w:t>
      </w:r>
    </w:p>
    <w:p w:rsidR="00241BC2" w:rsidRPr="00045552" w:rsidRDefault="00241BC2" w:rsidP="00241BC2">
      <w:pPr>
        <w:spacing w:after="60"/>
        <w:rPr>
          <w:rFonts w:cs="FrankRuehl"/>
          <w:sz w:val="22"/>
          <w:szCs w:val="22"/>
          <w:rtl/>
        </w:rPr>
      </w:pPr>
      <w:r w:rsidRPr="00045552">
        <w:rPr>
          <w:rFonts w:cs="FrankRuehl" w:hint="cs"/>
          <w:sz w:val="22"/>
          <w:szCs w:val="22"/>
          <w:rtl/>
        </w:rPr>
        <w:t>69.</w:t>
      </w:r>
      <w:r w:rsidRPr="00045552">
        <w:rPr>
          <w:rFonts w:cs="FrankRuehl" w:hint="cs"/>
          <w:sz w:val="22"/>
          <w:szCs w:val="22"/>
          <w:rtl/>
        </w:rPr>
        <w:tab/>
        <w:t>בהקשר קרוב לענייננו, המעבר מהתפיסה בדבר "בטלות מוחלטת" לתורת הבטלות היחסית בא לידי ביטוי בקביעה כי גם כאשר תקנות לא פורסמו ברשומות, בניגוד לסעיף 17 ל</w:t>
      </w:r>
      <w:hyperlink r:id="rId380" w:history="1">
        <w:r w:rsidRPr="00045552">
          <w:rPr>
            <w:rStyle w:val="Hyperlink"/>
            <w:rFonts w:cs="FrankRuehl"/>
            <w:sz w:val="22"/>
            <w:szCs w:val="22"/>
            <w:rtl/>
          </w:rPr>
          <w:t>פקודת הפרשנות</w:t>
        </w:r>
      </w:hyperlink>
      <w:r w:rsidRPr="00045552">
        <w:rPr>
          <w:rFonts w:cs="FrankRuehl" w:hint="cs"/>
          <w:sz w:val="22"/>
          <w:szCs w:val="22"/>
          <w:rtl/>
        </w:rPr>
        <w:t>, אין בכך - בכל מקרה - כדי לקבוע כי התקנות והפעולות שבוצעו מכוחן בטלות, זאת בניגוד לתפיסה שרווחה בעבר (ראו: זמיר, כרך ב', עמ' 931). ואם בהקשר של אי-פרסום תקנות כך, מקל וחומר נכונים הדברים כשעסקינן באי-פרסומן של הנחיות, אשר ממילא חובת הפרסום לגביהן הינה מקלה יותר. ...</w:t>
      </w:r>
    </w:p>
    <w:p w:rsidR="00241BC2" w:rsidRPr="00045552" w:rsidRDefault="00241BC2" w:rsidP="00241BC2">
      <w:pPr>
        <w:spacing w:after="60"/>
        <w:rPr>
          <w:rFonts w:cs="FrankRuehl"/>
          <w:sz w:val="22"/>
          <w:szCs w:val="22"/>
          <w:rtl/>
        </w:rPr>
      </w:pPr>
      <w:r w:rsidRPr="00045552">
        <w:rPr>
          <w:rFonts w:cs="FrankRuehl" w:hint="cs"/>
          <w:sz w:val="22"/>
          <w:szCs w:val="22"/>
          <w:rtl/>
        </w:rPr>
        <w:t>71.</w:t>
      </w:r>
      <w:r w:rsidRPr="00045552">
        <w:rPr>
          <w:rFonts w:cs="FrankRuehl" w:hint="cs"/>
          <w:sz w:val="22"/>
          <w:szCs w:val="22"/>
          <w:rtl/>
        </w:rPr>
        <w:tab/>
        <w:t xml:space="preserve">כפי שטוענים המשיבים, ובצדק, "תוקפי" המעשה המנהלי בענייננו, אינם הנפגעים הישירים ממנו. ההנחיה מכוונת בעיקר אל חברות השמירה ומשפיעות ישירות על עיסוקן של אלה. המאובטחים הפוטנציאליים, אשר כאמור, ספק אם קיימת להם זכות קנויה להגן על עצמם באמצעות מאבטחים חמושים, הינם נפגעים עקיפים בלבד, וזאת אך ורק במקרה שהמשטרה או משרד הפנים מחליטים שלא לאשר לחברת השמירה לבצע אבטחה אישית חמושה, ניידת או נייחת, לגבי אדם ספציפי. גם שיקול זה יובא, כאמור, במסגרת ההחלטה על נפקות הפגם. ... </w:t>
      </w:r>
    </w:p>
    <w:p w:rsidR="00241BC2" w:rsidRPr="00045552" w:rsidRDefault="00241BC2" w:rsidP="00241BC2">
      <w:pPr>
        <w:spacing w:after="60"/>
        <w:rPr>
          <w:rFonts w:cs="FrankRuehl"/>
          <w:sz w:val="22"/>
          <w:szCs w:val="22"/>
          <w:rtl/>
        </w:rPr>
      </w:pPr>
      <w:r w:rsidRPr="00045552">
        <w:rPr>
          <w:rFonts w:cs="FrankRuehl" w:hint="cs"/>
          <w:sz w:val="22"/>
          <w:szCs w:val="22"/>
          <w:rtl/>
        </w:rPr>
        <w:t>73.</w:t>
      </w:r>
      <w:r w:rsidRPr="00045552">
        <w:rPr>
          <w:rFonts w:cs="FrankRuehl" w:hint="cs"/>
          <w:sz w:val="22"/>
          <w:szCs w:val="22"/>
          <w:rtl/>
        </w:rPr>
        <w:tab/>
        <w:t>הנה, בהביאי בחשבון את כלל נסיבות העניין - קולתו של הפגם, זהותם של העותרים והעובדה כי למעשה לא נשללה זכות קנויה שלהם, וכן עיתויה של התקיפה - סבורני כי תורת הבטלות היחסית תוביל למסקנה כי ככל שעסקינן בעותרים שלפנינו אין מקום להעניק להם סעד כלשהו.</w:t>
      </w:r>
    </w:p>
    <w:p w:rsidR="00241BC2" w:rsidRPr="00045552" w:rsidRDefault="00241BC2" w:rsidP="00241BC2">
      <w:pPr>
        <w:spacing w:after="60"/>
        <w:rPr>
          <w:rFonts w:cs="FrankRuehl"/>
          <w:sz w:val="22"/>
          <w:szCs w:val="22"/>
          <w:rtl/>
        </w:rPr>
      </w:pPr>
      <w:r w:rsidRPr="00045552">
        <w:rPr>
          <w:rFonts w:cs="FrankRuehl" w:hint="cs"/>
          <w:sz w:val="22"/>
          <w:szCs w:val="22"/>
          <w:rtl/>
        </w:rPr>
        <w:t>74.</w:t>
      </w:r>
      <w:r w:rsidRPr="00045552">
        <w:rPr>
          <w:rFonts w:cs="FrankRuehl" w:hint="cs"/>
          <w:sz w:val="22"/>
          <w:szCs w:val="22"/>
          <w:rtl/>
        </w:rPr>
        <w:tab/>
      </w:r>
      <w:r w:rsidRPr="00045552">
        <w:rPr>
          <w:rFonts w:cs="FrankRuehl" w:hint="cs"/>
          <w:sz w:val="22"/>
          <w:szCs w:val="22"/>
          <w:highlight w:val="yellow"/>
          <w:rtl/>
        </w:rPr>
        <w:t>יחד עם זאת, כפי שציינתי לעיל, דעתי אינה נוחה מן העובדה שמזה פרק זמן ארוך פעלו המשיבים על בסיס טיוטת נוהל אשר לא פורסמה ברבים והקריטריונים שבה לא הובאו לידיעתם של הנפגעים הישירים ממנה. אף על פי כן, איני רואה לנכון להורות על בטלותה של ההנחיה - אשר כפי שהסברתי לעיל - הינה ראויה ומוצדקת. סבורני כי הסעד הנכון, המביא לידי איזון ראוי את כלל נסיבות העניין, הינו קביעת פרק זמן סביר שמהלכו יהיה על הרשויות להפוך את ההנחיה מ"טיוטה" לנוהל, אשר יובא לידיעתם של הגורמים המעוניינים בצורה סבירה. סבורני כי פרק זמן של חודשיים, מיום מתן פסק דיננו, הינו פרק זמן סביר לצורך כך, וכך אמליץ לחבריי לקבוע</w:t>
      </w:r>
      <w:r w:rsidRPr="00045552">
        <w:rPr>
          <w:rFonts w:cs="FrankRuehl" w:hint="cs"/>
          <w:sz w:val="22"/>
          <w:szCs w:val="22"/>
          <w:rtl/>
        </w:rPr>
        <w:t>.</w:t>
      </w:r>
    </w:p>
    <w:p w:rsidR="00241BC2" w:rsidRPr="00045552" w:rsidRDefault="00241BC2" w:rsidP="00241BC2">
      <w:pPr>
        <w:spacing w:after="60"/>
        <w:rPr>
          <w:rFonts w:cs="FrankRuehl"/>
          <w:b/>
          <w:bCs/>
          <w:sz w:val="22"/>
          <w:szCs w:val="22"/>
          <w:rtl/>
        </w:rPr>
      </w:pPr>
      <w:r w:rsidRPr="00045552">
        <w:rPr>
          <w:rFonts w:cs="FrankRuehl" w:hint="cs"/>
          <w:b/>
          <w:bCs/>
          <w:sz w:val="22"/>
          <w:szCs w:val="22"/>
          <w:rtl/>
        </w:rPr>
        <w:t>השופט רובינשטיין</w:t>
      </w:r>
    </w:p>
    <w:p w:rsidR="00241BC2" w:rsidRPr="00045552" w:rsidRDefault="00241BC2" w:rsidP="00241BC2">
      <w:pPr>
        <w:spacing w:after="60"/>
        <w:rPr>
          <w:rFonts w:cs="FrankRuehl"/>
          <w:sz w:val="22"/>
          <w:szCs w:val="22"/>
          <w:rtl/>
        </w:rPr>
      </w:pPr>
      <w:r w:rsidRPr="00045552">
        <w:rPr>
          <w:rFonts w:cs="FrankRuehl" w:hint="cs"/>
          <w:sz w:val="22"/>
          <w:szCs w:val="22"/>
          <w:rtl/>
        </w:rPr>
        <w:t>ה.</w:t>
      </w:r>
      <w:r w:rsidRPr="00045552">
        <w:rPr>
          <w:rFonts w:cs="FrankRuehl" w:hint="cs"/>
          <w:sz w:val="22"/>
          <w:szCs w:val="22"/>
          <w:rtl/>
        </w:rPr>
        <w:tab/>
        <w:t>חברי ניתח בהרחבה את שאלת ההנחיה הפנימית. כשלעצמי מסכים אני כי היה מקום לפרסום ההנחיה המינהלית הפנימית שעניינה "הטיפול המשטרתי בבקשות למתן היתר לאבטחה חמושה של אדם פרטי". ואולם, איני בטוח אם יש להרחיק לכת כחברי ולומר כי אי פרסומה של ההנחיה היה בחינת הפרת חובה שדינה בטלות (ובנסיבות בטלות יחסית), והדברים נאמרים כדי שלא לקבוע מסמרות בנושא שאולי לא כל תמונתו בפנינו. ואולם, מסכים אני כי משנודע דבר ההנחיה ופורט, יש מקום כי היא תפורסם, ובעולם דהאידנא אחת הדרכים ההולמות היא באתר האינטרנט של הרשות, ובמיוחד שעה שהמדובר בנושא שאינו קשור לציבור הרחב שלא כולו משתמש באינטרנט (עדיין).</w:t>
      </w:r>
    </w:p>
    <w:p w:rsidR="00241BC2" w:rsidRDefault="00241BC2" w:rsidP="00241BC2">
      <w:pPr>
        <w:spacing w:after="120"/>
        <w:jc w:val="left"/>
        <w:rPr>
          <w:sz w:val="20"/>
          <w:szCs w:val="20"/>
          <w:rtl/>
        </w:rPr>
      </w:pPr>
      <w:r>
        <w:rPr>
          <w:rFonts w:hint="cs"/>
          <w:sz w:val="22"/>
          <w:szCs w:val="22"/>
          <w:rtl/>
        </w:rPr>
        <w:t>=-=</w:t>
      </w:r>
    </w:p>
    <w:p w:rsidR="00241BC2" w:rsidRPr="00B60AB1" w:rsidRDefault="00241BC2" w:rsidP="00241BC2">
      <w:pPr>
        <w:spacing w:after="120"/>
        <w:rPr>
          <w:rFonts w:ascii="Arial" w:hAnsi="Arial" w:cs="Arial"/>
          <w:b/>
          <w:bCs/>
          <w:sz w:val="22"/>
          <w:szCs w:val="22"/>
          <w:rtl/>
        </w:rPr>
      </w:pPr>
      <w:r w:rsidRPr="00B60AB1">
        <w:rPr>
          <w:rFonts w:ascii="Arial" w:hAnsi="Arial" w:cs="Arial"/>
          <w:sz w:val="22"/>
          <w:szCs w:val="22"/>
          <w:highlight w:val="yellow"/>
          <w:rtl/>
        </w:rPr>
        <w:t xml:space="preserve">המשך קצר לפסק דין </w:t>
      </w:r>
      <w:r w:rsidRPr="00B60AB1">
        <w:rPr>
          <w:rFonts w:ascii="Arial" w:hAnsi="Arial" w:cs="Arial"/>
          <w:b/>
          <w:bCs/>
          <w:sz w:val="22"/>
          <w:szCs w:val="22"/>
          <w:highlight w:val="yellow"/>
          <w:rtl/>
        </w:rPr>
        <w:t>לוזון:</w:t>
      </w:r>
    </w:p>
    <w:p w:rsidR="00241BC2" w:rsidRDefault="00241BC2" w:rsidP="00241BC2">
      <w:pPr>
        <w:rPr>
          <w:sz w:val="22"/>
          <w:szCs w:val="22"/>
          <w:rtl/>
        </w:rPr>
      </w:pPr>
      <w:r>
        <w:rPr>
          <w:rFonts w:hint="cs"/>
          <w:sz w:val="22"/>
          <w:szCs w:val="22"/>
          <w:rtl/>
        </w:rPr>
        <w:t>קיימת שאלה שלא ממש נדונה בפסק הדין.</w:t>
      </w:r>
    </w:p>
    <w:p w:rsidR="00241BC2" w:rsidRDefault="00241BC2" w:rsidP="00241BC2">
      <w:pPr>
        <w:rPr>
          <w:sz w:val="22"/>
          <w:szCs w:val="22"/>
          <w:rtl/>
        </w:rPr>
      </w:pPr>
      <w:r>
        <w:rPr>
          <w:rFonts w:hint="cs"/>
          <w:sz w:val="22"/>
          <w:szCs w:val="22"/>
          <w:rtl/>
        </w:rPr>
        <w:t xml:space="preserve">אין זו השאלה, האם מוצדק שלא לאפשר לאנשי עולם תחתון שומרי ראש מזוינים של חברות אבטחה, אלא השאלה: </w:t>
      </w:r>
      <w:r w:rsidRPr="00D70C34">
        <w:rPr>
          <w:rFonts w:hint="cs"/>
          <w:b/>
          <w:bCs/>
          <w:sz w:val="22"/>
          <w:szCs w:val="22"/>
          <w:rtl/>
        </w:rPr>
        <w:t>מי צריך לקבוע את זה?</w:t>
      </w:r>
    </w:p>
    <w:p w:rsidR="00241BC2" w:rsidRDefault="00241BC2" w:rsidP="00241BC2">
      <w:pPr>
        <w:rPr>
          <w:sz w:val="22"/>
          <w:szCs w:val="22"/>
          <w:rtl/>
        </w:rPr>
      </w:pPr>
      <w:r>
        <w:rPr>
          <w:rFonts w:hint="cs"/>
          <w:sz w:val="22"/>
          <w:szCs w:val="22"/>
          <w:rtl/>
        </w:rPr>
        <w:t xml:space="preserve">שהרי אם נזהה כאן זכות חוקתית שנפגעת, אפילו יש הצדקה לפגיעה זו, אנחנו - "פסקת ההגבלה" - דורשים שההגבלה תהיה "בחוק", כלומר על ידי הכנסת או מכוח הסמכתה המפורשת, כלומר בחקיקת משנה שנסמכת על חוק מסמיך מפורש. ואילו כאן ההגבלה מגיעה דרך הנחיות פנימיות בלבד של משרד הפנים ו/או המשטרה. </w:t>
      </w:r>
    </w:p>
    <w:p w:rsidR="00241BC2" w:rsidRDefault="00241BC2" w:rsidP="00241BC2">
      <w:pPr>
        <w:rPr>
          <w:sz w:val="22"/>
          <w:szCs w:val="22"/>
          <w:rtl/>
        </w:rPr>
      </w:pPr>
      <w:r>
        <w:rPr>
          <w:rFonts w:hint="cs"/>
          <w:sz w:val="22"/>
          <w:szCs w:val="22"/>
          <w:rtl/>
        </w:rPr>
        <w:t xml:space="preserve">עולה לפיכך השאלה, היש זכות חוקתית שנפגעת כאן? </w:t>
      </w:r>
      <w:r w:rsidRPr="00D70C34">
        <w:rPr>
          <w:rFonts w:hint="cs"/>
          <w:b/>
          <w:bCs/>
          <w:sz w:val="22"/>
          <w:szCs w:val="22"/>
          <w:rtl/>
        </w:rPr>
        <w:t>הזכות לחיים ולשלמות הגוף?</w:t>
      </w:r>
      <w:r>
        <w:rPr>
          <w:rFonts w:hint="cs"/>
          <w:sz w:val="22"/>
          <w:szCs w:val="22"/>
          <w:rtl/>
        </w:rPr>
        <w:t xml:space="preserve"> </w:t>
      </w:r>
    </w:p>
    <w:p w:rsidR="00241BC2" w:rsidRDefault="00241BC2" w:rsidP="00241BC2">
      <w:pPr>
        <w:ind w:left="720"/>
        <w:rPr>
          <w:sz w:val="22"/>
          <w:szCs w:val="22"/>
          <w:rtl/>
        </w:rPr>
      </w:pPr>
      <w:r>
        <w:rPr>
          <w:rFonts w:hint="cs"/>
          <w:sz w:val="22"/>
          <w:szCs w:val="22"/>
          <w:rtl/>
        </w:rPr>
        <w:t>ראוי לזכור כי חוק יסוד: כבוד האדם וחירותו מדבר לא רק על "אין פוגעים" בחיים או בגוף (ומקים בכך הגנה על האדם מפני המדינה), אלא מדבר גם על כך "[ש]כל אדם זכאי להגנה על חייו, על גופו ועל כבודו" (כלומר זכאי להגנה מכיוונה של המדינה).</w:t>
      </w:r>
    </w:p>
    <w:p w:rsidR="00241BC2" w:rsidRDefault="00241BC2" w:rsidP="00241BC2">
      <w:pPr>
        <w:rPr>
          <w:sz w:val="22"/>
          <w:szCs w:val="22"/>
          <w:rtl/>
        </w:rPr>
      </w:pPr>
      <w:r>
        <w:rPr>
          <w:rFonts w:hint="cs"/>
          <w:sz w:val="22"/>
          <w:szCs w:val="22"/>
          <w:rtl/>
        </w:rPr>
        <w:t xml:space="preserve">השאלה המתחדדת לפיכך, </w:t>
      </w:r>
      <w:r w:rsidRPr="00B60AB1">
        <w:rPr>
          <w:rFonts w:hint="cs"/>
          <w:sz w:val="22"/>
          <w:szCs w:val="22"/>
          <w:highlight w:val="yellow"/>
          <w:rtl/>
        </w:rPr>
        <w:t>היא האם הזכות להגנה על החיים ועל הגוף נפגעת כאשר מונעים שכירת שומרי ראש מזוינים – על ידי האדם עצמו</w:t>
      </w:r>
      <w:r>
        <w:rPr>
          <w:rFonts w:hint="cs"/>
          <w:sz w:val="22"/>
          <w:szCs w:val="22"/>
          <w:highlight w:val="yellow"/>
          <w:rtl/>
        </w:rPr>
        <w:t>, איש כנופיית פשע (על פי המידע),</w:t>
      </w:r>
      <w:r w:rsidRPr="00B60AB1">
        <w:rPr>
          <w:rFonts w:hint="cs"/>
          <w:sz w:val="22"/>
          <w:szCs w:val="22"/>
          <w:highlight w:val="yellow"/>
          <w:rtl/>
        </w:rPr>
        <w:t xml:space="preserve"> החושש לחייו – שילוו אותו ויגוננו עליו?</w:t>
      </w:r>
      <w:r>
        <w:rPr>
          <w:rFonts w:hint="cs"/>
          <w:sz w:val="22"/>
          <w:szCs w:val="22"/>
          <w:rtl/>
        </w:rPr>
        <w:t xml:space="preserve"> מה דעתכם?</w:t>
      </w:r>
    </w:p>
    <w:p w:rsidR="00241BC2" w:rsidRDefault="00241BC2" w:rsidP="00241BC2">
      <w:pPr>
        <w:ind w:left="720"/>
        <w:rPr>
          <w:sz w:val="22"/>
          <w:szCs w:val="22"/>
          <w:rtl/>
        </w:rPr>
      </w:pPr>
      <w:r>
        <w:rPr>
          <w:rFonts w:hint="cs"/>
          <w:sz w:val="22"/>
          <w:szCs w:val="22"/>
          <w:rtl/>
        </w:rPr>
        <w:t xml:space="preserve">[נקודה נוספת: מכך שלאחרים מותר להעסיק שומרי ראש לא נובע שיש זכות בסיסית להגנה שכזו. וגם לא נובע להיפך. עם זאת, מצב דברים זה מעורר שאלה של אפליה, אך האם זו אפליה מהסוג הפוגע </w:t>
      </w:r>
      <w:r w:rsidRPr="00D70C34">
        <w:rPr>
          <w:rFonts w:hint="cs"/>
          <w:b/>
          <w:bCs/>
          <w:sz w:val="22"/>
          <w:szCs w:val="22"/>
          <w:rtl/>
        </w:rPr>
        <w:t>בזכות ל"כבוד האדם"?</w:t>
      </w:r>
      <w:r>
        <w:rPr>
          <w:rFonts w:hint="cs"/>
          <w:sz w:val="22"/>
          <w:szCs w:val="22"/>
          <w:rtl/>
        </w:rPr>
        <w:t>]</w:t>
      </w:r>
    </w:p>
    <w:p w:rsidR="00241BC2" w:rsidRDefault="00241BC2" w:rsidP="00241BC2">
      <w:pPr>
        <w:ind w:left="720"/>
        <w:rPr>
          <w:sz w:val="22"/>
          <w:szCs w:val="22"/>
          <w:rtl/>
        </w:rPr>
      </w:pPr>
    </w:p>
    <w:p w:rsidR="00241BC2" w:rsidRDefault="00241BC2" w:rsidP="00241BC2">
      <w:pPr>
        <w:rPr>
          <w:sz w:val="22"/>
          <w:szCs w:val="22"/>
          <w:rtl/>
        </w:rPr>
      </w:pPr>
      <w:r>
        <w:rPr>
          <w:rFonts w:hint="cs"/>
          <w:sz w:val="22"/>
          <w:szCs w:val="22"/>
          <w:rtl/>
        </w:rPr>
        <w:t>=-=</w:t>
      </w:r>
    </w:p>
    <w:p w:rsidR="00241BC2" w:rsidRPr="00A86211" w:rsidRDefault="00241BC2" w:rsidP="00241BC2">
      <w:pPr>
        <w:jc w:val="center"/>
        <w:rPr>
          <w:rFonts w:cs="Guttman-Soncino"/>
          <w:sz w:val="32"/>
          <w:szCs w:val="32"/>
          <w:rtl/>
        </w:rPr>
      </w:pPr>
      <w:r w:rsidRPr="00A86211">
        <w:rPr>
          <w:rFonts w:ascii="Arial" w:hAnsi="Arial" w:cs="Guttman-Soncino" w:hint="cs"/>
          <w:sz w:val="32"/>
          <w:szCs w:val="32"/>
          <w:highlight w:val="yellow"/>
          <w:rtl/>
        </w:rPr>
        <w:t xml:space="preserve">חובות נוספות במישור השקיפות </w:t>
      </w:r>
      <w:r w:rsidRPr="00A86211">
        <w:rPr>
          <w:rFonts w:ascii="Arial" w:hAnsi="Arial" w:cs="Guttman-Soncino"/>
          <w:sz w:val="32"/>
          <w:szCs w:val="32"/>
          <w:highlight w:val="yellow"/>
          <w:rtl/>
        </w:rPr>
        <w:t>–</w:t>
      </w:r>
      <w:r w:rsidRPr="00A86211">
        <w:rPr>
          <w:rFonts w:ascii="Arial" w:hAnsi="Arial" w:cs="Guttman-Soncino" w:hint="cs"/>
          <w:sz w:val="32"/>
          <w:szCs w:val="32"/>
          <w:highlight w:val="yellow"/>
          <w:rtl/>
        </w:rPr>
        <w:t xml:space="preserve"> דיווח, תיעוד וגילוי</w:t>
      </w:r>
      <w:r w:rsidRPr="00A86211">
        <w:rPr>
          <w:rFonts w:cs="Guttman-Soncino" w:hint="cs"/>
          <w:sz w:val="32"/>
          <w:szCs w:val="32"/>
          <w:rtl/>
        </w:rPr>
        <w:t xml:space="preserve"> </w:t>
      </w:r>
    </w:p>
    <w:p w:rsidR="00241BC2" w:rsidRDefault="00241BC2" w:rsidP="00241BC2">
      <w:pPr>
        <w:rPr>
          <w:sz w:val="22"/>
          <w:szCs w:val="22"/>
          <w:rtl/>
        </w:rPr>
      </w:pPr>
    </w:p>
    <w:p w:rsidR="00241BC2" w:rsidRDefault="00241BC2" w:rsidP="00241BC2">
      <w:pPr>
        <w:rPr>
          <w:sz w:val="22"/>
          <w:szCs w:val="22"/>
          <w:rtl/>
        </w:rPr>
      </w:pPr>
      <w:r>
        <w:rPr>
          <w:rFonts w:hint="cs"/>
          <w:sz w:val="22"/>
          <w:szCs w:val="22"/>
          <w:rtl/>
        </w:rPr>
        <w:t xml:space="preserve">בהקשרן של </w:t>
      </w:r>
      <w:r w:rsidRPr="006325E6">
        <w:rPr>
          <w:rFonts w:hint="cs"/>
          <w:b/>
          <w:bCs/>
          <w:sz w:val="22"/>
          <w:szCs w:val="22"/>
          <w:rtl/>
        </w:rPr>
        <w:t xml:space="preserve">פעולות מינהליות/ הוראות מינהליות פרטניות </w:t>
      </w:r>
      <w:r>
        <w:rPr>
          <w:rFonts w:hint="cs"/>
          <w:b/>
          <w:bCs/>
          <w:sz w:val="22"/>
          <w:szCs w:val="22"/>
          <w:rtl/>
        </w:rPr>
        <w:t>מסוימות</w:t>
      </w:r>
      <w:r>
        <w:rPr>
          <w:rFonts w:hint="cs"/>
          <w:sz w:val="22"/>
          <w:szCs w:val="22"/>
          <w:rtl/>
        </w:rPr>
        <w:t xml:space="preserve"> מופיעות חובות פרסום/ גילוי/ תיעוד מסוימים.</w:t>
      </w:r>
    </w:p>
    <w:p w:rsidR="00241BC2" w:rsidRDefault="00241BC2" w:rsidP="00241BC2">
      <w:pPr>
        <w:rPr>
          <w:sz w:val="22"/>
          <w:szCs w:val="22"/>
          <w:rtl/>
        </w:rPr>
      </w:pPr>
      <w:r>
        <w:rPr>
          <w:rFonts w:hint="cs"/>
          <w:sz w:val="22"/>
          <w:szCs w:val="22"/>
          <w:rtl/>
        </w:rPr>
        <w:t xml:space="preserve">כך למשל חלה חובת פרסום ביחס למכרזים </w:t>
      </w:r>
      <w:r>
        <w:rPr>
          <w:sz w:val="22"/>
          <w:szCs w:val="22"/>
          <w:rtl/>
        </w:rPr>
        <w:t>–</w:t>
      </w:r>
      <w:r>
        <w:rPr>
          <w:rFonts w:hint="cs"/>
          <w:sz w:val="22"/>
          <w:szCs w:val="22"/>
          <w:rtl/>
        </w:rPr>
        <w:t xml:space="preserve"> מכרז בהליכי מינוי, מכרז לרכישת טובין וכדומה, וכן לפעולות מגוונות נוספות.  </w:t>
      </w:r>
    </w:p>
    <w:p w:rsidR="00241BC2" w:rsidRDefault="00241BC2" w:rsidP="00241BC2">
      <w:pPr>
        <w:rPr>
          <w:sz w:val="22"/>
          <w:szCs w:val="22"/>
          <w:rtl/>
        </w:rPr>
      </w:pPr>
      <w:r>
        <w:rPr>
          <w:rFonts w:hint="cs"/>
          <w:sz w:val="22"/>
          <w:szCs w:val="22"/>
          <w:rtl/>
        </w:rPr>
        <w:t xml:space="preserve">יתר על כן, מכרז וכן פעולות מינהל אחרות מלוות באמצעים נוספים שתפקידם להשיג שקיפות </w:t>
      </w:r>
      <w:r>
        <w:rPr>
          <w:sz w:val="22"/>
          <w:szCs w:val="22"/>
          <w:rtl/>
        </w:rPr>
        <w:t>–</w:t>
      </w:r>
      <w:r>
        <w:rPr>
          <w:rFonts w:hint="cs"/>
          <w:sz w:val="22"/>
          <w:szCs w:val="22"/>
          <w:rtl/>
        </w:rPr>
        <w:t xml:space="preserve"> </w:t>
      </w:r>
    </w:p>
    <w:p w:rsidR="00241BC2" w:rsidRDefault="00241BC2" w:rsidP="00241BC2">
      <w:pPr>
        <w:spacing w:after="120"/>
        <w:rPr>
          <w:sz w:val="22"/>
          <w:szCs w:val="22"/>
          <w:rtl/>
        </w:rPr>
      </w:pPr>
      <w:r>
        <w:rPr>
          <w:rFonts w:hint="cs"/>
          <w:sz w:val="22"/>
          <w:szCs w:val="22"/>
          <w:rtl/>
        </w:rPr>
        <w:t xml:space="preserve">ראו, בין היתר, את דברי בית המשפט בפרשת </w:t>
      </w:r>
      <w:r w:rsidRPr="006325E6">
        <w:rPr>
          <w:rFonts w:hint="cs"/>
          <w:b/>
          <w:bCs/>
          <w:sz w:val="22"/>
          <w:szCs w:val="22"/>
          <w:rtl/>
        </w:rPr>
        <w:t>אילן</w:t>
      </w:r>
      <w:r>
        <w:rPr>
          <w:rFonts w:hint="cs"/>
          <w:sz w:val="22"/>
          <w:szCs w:val="22"/>
          <w:rtl/>
        </w:rPr>
        <w:t>:</w:t>
      </w:r>
    </w:p>
    <w:p w:rsidR="00241BC2" w:rsidRDefault="00241BC2" w:rsidP="00241BC2">
      <w:pPr>
        <w:spacing w:after="120"/>
        <w:jc w:val="center"/>
        <w:rPr>
          <w:sz w:val="22"/>
          <w:szCs w:val="22"/>
          <w:rtl/>
        </w:rPr>
      </w:pPr>
      <w:r w:rsidRPr="00EC4628">
        <w:rPr>
          <w:rFonts w:hint="cs"/>
          <w:highlight w:val="yellow"/>
          <w:rtl/>
        </w:rPr>
        <w:t xml:space="preserve">בג"ץ 3751/03 </w:t>
      </w:r>
      <w:r w:rsidRPr="00EC4628">
        <w:rPr>
          <w:rFonts w:hint="cs"/>
          <w:b/>
          <w:bCs/>
          <w:highlight w:val="yellow"/>
          <w:rtl/>
        </w:rPr>
        <w:t>יוסי אילן נ' עיריית תל-אביב-יפו</w:t>
      </w:r>
      <w:r w:rsidRPr="00EC4628">
        <w:rPr>
          <w:rFonts w:hint="cs"/>
          <w:highlight w:val="yellow"/>
          <w:rtl/>
        </w:rPr>
        <w:t>, פ"ד נט(3) 817 (2004)</w:t>
      </w:r>
    </w:p>
    <w:p w:rsidR="00241BC2" w:rsidRPr="00236EC3" w:rsidRDefault="00241BC2" w:rsidP="00241BC2">
      <w:pPr>
        <w:pStyle w:val="a6"/>
        <w:spacing w:after="60" w:line="240" w:lineRule="auto"/>
        <w:ind w:firstLine="288"/>
        <w:rPr>
          <w:sz w:val="22"/>
          <w:szCs w:val="22"/>
          <w:rtl/>
        </w:rPr>
      </w:pPr>
      <w:r w:rsidRPr="00236EC3">
        <w:rPr>
          <w:rFonts w:hint="cs"/>
          <w:sz w:val="22"/>
          <w:szCs w:val="22"/>
          <w:rtl/>
        </w:rPr>
        <w:t>עקרון</w:t>
      </w:r>
      <w:r w:rsidRPr="00236EC3">
        <w:rPr>
          <w:rFonts w:hint="cs"/>
          <w:position w:val="4"/>
          <w:sz w:val="22"/>
          <w:szCs w:val="22"/>
          <w:rtl/>
        </w:rPr>
        <w:t>-</w:t>
      </w:r>
      <w:r w:rsidRPr="00236EC3">
        <w:rPr>
          <w:rFonts w:hint="cs"/>
          <w:sz w:val="22"/>
          <w:szCs w:val="22"/>
          <w:rtl/>
        </w:rPr>
        <w:t xml:space="preserve">העל של </w:t>
      </w:r>
      <w:r>
        <w:rPr>
          <w:rFonts w:hint="cs"/>
          <w:sz w:val="22"/>
          <w:szCs w:val="22"/>
          <w:rtl/>
        </w:rPr>
        <w:t xml:space="preserve">[איסור] </w:t>
      </w:r>
      <w:r w:rsidRPr="00236EC3">
        <w:rPr>
          <w:rFonts w:hint="cs"/>
          <w:sz w:val="22"/>
          <w:szCs w:val="22"/>
          <w:rtl/>
        </w:rPr>
        <w:t>משוא פנים – כיצד משתלב הוא בהליכי מכרז פנימי למינויו של עובד למשרה פלונית? זו השאלה העיקרית שנחוג סביבה בחוות</w:t>
      </w:r>
      <w:r w:rsidRPr="00236EC3">
        <w:rPr>
          <w:rFonts w:hint="cs"/>
          <w:position w:val="4"/>
          <w:sz w:val="22"/>
          <w:szCs w:val="22"/>
          <w:rtl/>
        </w:rPr>
        <w:t>-</w:t>
      </w:r>
      <w:r w:rsidRPr="00236EC3">
        <w:rPr>
          <w:rFonts w:hint="cs"/>
          <w:sz w:val="22"/>
          <w:szCs w:val="22"/>
          <w:rtl/>
        </w:rPr>
        <w:t xml:space="preserve">הדעת שלהלן. ושאלות נוספות, המשתרגות מן השאלה העיקרית: האם רשאי הוא חבר ועדת מכרזים במכרז פנימי להיפגש, טרם עריכת המכרז, עם מועמדים במכרז או עם נציגי ועד העובדים המבקשים לקדם מועמד זה או אחר במכרז? </w:t>
      </w:r>
      <w:r w:rsidRPr="00EC4628">
        <w:rPr>
          <w:rFonts w:hint="cs"/>
          <w:sz w:val="22"/>
          <w:szCs w:val="22"/>
          <w:highlight w:val="yellow"/>
          <w:rtl/>
        </w:rPr>
        <w:t>האם חייב הוא אותו חבר לדווח לוועדת המכרזים על שיחות מעין</w:t>
      </w:r>
      <w:r w:rsidRPr="00EC4628">
        <w:rPr>
          <w:rFonts w:hint="cs"/>
          <w:position w:val="4"/>
          <w:sz w:val="22"/>
          <w:szCs w:val="22"/>
          <w:highlight w:val="yellow"/>
          <w:rtl/>
        </w:rPr>
        <w:t>-</w:t>
      </w:r>
      <w:r w:rsidRPr="00EC4628">
        <w:rPr>
          <w:rFonts w:hint="cs"/>
          <w:sz w:val="22"/>
          <w:szCs w:val="22"/>
          <w:highlight w:val="yellow"/>
          <w:rtl/>
        </w:rPr>
        <w:t>אלו שהיו לו? ומה מקומו ומעמדו של פרוטוקול בוועדת מכרזים במכרז פנימי?</w:t>
      </w:r>
    </w:p>
    <w:p w:rsidR="00241BC2" w:rsidRPr="00236EC3" w:rsidRDefault="00241BC2" w:rsidP="00241BC2">
      <w:pPr>
        <w:pStyle w:val="a6"/>
        <w:spacing w:after="60" w:line="240" w:lineRule="auto"/>
        <w:ind w:firstLine="288"/>
        <w:rPr>
          <w:sz w:val="22"/>
          <w:szCs w:val="22"/>
          <w:rtl/>
        </w:rPr>
      </w:pPr>
      <w:r w:rsidRPr="00236EC3">
        <w:rPr>
          <w:rFonts w:cs="Miriam" w:hint="cs"/>
          <w:sz w:val="22"/>
          <w:szCs w:val="22"/>
          <w:rtl/>
        </w:rPr>
        <w:t>עיקרי העובדות שלעניין</w:t>
      </w:r>
    </w:p>
    <w:p w:rsidR="00241BC2" w:rsidRPr="00236EC3" w:rsidRDefault="00241BC2" w:rsidP="00241BC2">
      <w:pPr>
        <w:pStyle w:val="a6"/>
        <w:spacing w:after="60" w:line="240" w:lineRule="auto"/>
        <w:ind w:firstLine="288"/>
        <w:rPr>
          <w:sz w:val="22"/>
          <w:szCs w:val="22"/>
          <w:rtl/>
        </w:rPr>
      </w:pPr>
      <w:r w:rsidRPr="00236EC3">
        <w:rPr>
          <w:rFonts w:hint="cs"/>
          <w:sz w:val="22"/>
          <w:szCs w:val="22"/>
          <w:rtl/>
        </w:rPr>
        <w:t>2.</w:t>
      </w:r>
      <w:r w:rsidRPr="00236EC3">
        <w:rPr>
          <w:rFonts w:hint="cs"/>
          <w:sz w:val="22"/>
          <w:szCs w:val="22"/>
          <w:rtl/>
        </w:rPr>
        <w:tab/>
        <w:t>עיריית תל</w:t>
      </w:r>
      <w:r w:rsidRPr="00236EC3">
        <w:rPr>
          <w:rFonts w:hint="cs"/>
          <w:position w:val="4"/>
          <w:sz w:val="22"/>
          <w:szCs w:val="22"/>
          <w:rtl/>
        </w:rPr>
        <w:t>-</w:t>
      </w:r>
      <w:r w:rsidRPr="00236EC3">
        <w:rPr>
          <w:rFonts w:hint="cs"/>
          <w:sz w:val="22"/>
          <w:szCs w:val="22"/>
          <w:rtl/>
        </w:rPr>
        <w:t>אביב</w:t>
      </w:r>
      <w:r w:rsidRPr="00236EC3">
        <w:rPr>
          <w:rFonts w:hint="cs"/>
          <w:position w:val="4"/>
          <w:sz w:val="22"/>
          <w:szCs w:val="22"/>
          <w:rtl/>
        </w:rPr>
        <w:t>-</w:t>
      </w:r>
      <w:r w:rsidRPr="00236EC3">
        <w:rPr>
          <w:rFonts w:hint="cs"/>
          <w:sz w:val="22"/>
          <w:szCs w:val="22"/>
          <w:rtl/>
        </w:rPr>
        <w:t>יפו פרסמה מכרז פנימי לאיוש שתי משרות של מנהל תחנת הצלה בחוף העירייה. עובדים מספר הגישו מועמדותם למכרז, ובהם העותר והמשיבים 2 ו</w:t>
      </w:r>
      <w:r w:rsidRPr="00236EC3">
        <w:rPr>
          <w:rFonts w:hint="cs"/>
          <w:position w:val="4"/>
          <w:sz w:val="22"/>
          <w:szCs w:val="22"/>
          <w:rtl/>
        </w:rPr>
        <w:t>-</w:t>
      </w:r>
      <w:r w:rsidRPr="00236EC3">
        <w:rPr>
          <w:rFonts w:hint="cs"/>
          <w:sz w:val="22"/>
          <w:szCs w:val="22"/>
          <w:rtl/>
        </w:rPr>
        <w:t>3. ועדת המכרזים מנתה חמישה חברים ואלה הם: מר משה שץ, סמנכ"ל העירייה (יושב</w:t>
      </w:r>
      <w:r w:rsidRPr="00236EC3">
        <w:rPr>
          <w:rFonts w:hint="cs"/>
          <w:position w:val="4"/>
          <w:sz w:val="22"/>
          <w:szCs w:val="22"/>
          <w:rtl/>
        </w:rPr>
        <w:t>-</w:t>
      </w:r>
      <w:r w:rsidRPr="00236EC3">
        <w:rPr>
          <w:rFonts w:hint="cs"/>
          <w:sz w:val="22"/>
          <w:szCs w:val="22"/>
          <w:rtl/>
        </w:rPr>
        <w:t>ראש הוועדה); מר ישראל פרנקל, ממלא</w:t>
      </w:r>
      <w:r w:rsidRPr="00236EC3">
        <w:rPr>
          <w:rFonts w:hint="cs"/>
          <w:position w:val="4"/>
          <w:sz w:val="22"/>
          <w:szCs w:val="22"/>
          <w:rtl/>
        </w:rPr>
        <w:t>-</w:t>
      </w:r>
      <w:r w:rsidRPr="00236EC3">
        <w:rPr>
          <w:rFonts w:hint="cs"/>
          <w:sz w:val="22"/>
          <w:szCs w:val="22"/>
          <w:rtl/>
        </w:rPr>
        <w:t>מקומו של מנהל אגף כוח אדם בעירייה; שני נציגים של ארגון העובדים: מר ארנון בר</w:t>
      </w:r>
      <w:r w:rsidRPr="00236EC3">
        <w:rPr>
          <w:rFonts w:hint="cs"/>
          <w:position w:val="4"/>
          <w:sz w:val="22"/>
          <w:szCs w:val="22"/>
          <w:rtl/>
        </w:rPr>
        <w:t>-</w:t>
      </w:r>
      <w:r w:rsidRPr="00236EC3">
        <w:rPr>
          <w:rFonts w:hint="cs"/>
          <w:sz w:val="22"/>
          <w:szCs w:val="22"/>
          <w:rtl/>
        </w:rPr>
        <w:t>דוד, יושב</w:t>
      </w:r>
      <w:r w:rsidRPr="00236EC3">
        <w:rPr>
          <w:rFonts w:hint="cs"/>
          <w:position w:val="4"/>
          <w:sz w:val="22"/>
          <w:szCs w:val="22"/>
          <w:rtl/>
        </w:rPr>
        <w:t>-</w:t>
      </w:r>
      <w:r w:rsidRPr="00236EC3">
        <w:rPr>
          <w:rFonts w:hint="cs"/>
          <w:sz w:val="22"/>
          <w:szCs w:val="22"/>
          <w:rtl/>
        </w:rPr>
        <w:t>ראש ארגון העובדים, ונציג נוסף; גב' אורלי רכט, נציגת ציבור. כן נכחו בישיבת הוועדה, במעמד של יועצים, מר אלקיים, סמנכ"ל בפועל בעירייה, ומר יוסף ברנע, מנהל מחלקת החופים בעירייה.</w:t>
      </w:r>
    </w:p>
    <w:p w:rsidR="00241BC2" w:rsidRPr="00236EC3" w:rsidRDefault="00241BC2" w:rsidP="00241BC2">
      <w:pPr>
        <w:pStyle w:val="a6"/>
        <w:spacing w:after="60" w:line="240" w:lineRule="auto"/>
        <w:ind w:firstLine="288"/>
        <w:rPr>
          <w:sz w:val="22"/>
          <w:szCs w:val="22"/>
          <w:rtl/>
        </w:rPr>
      </w:pPr>
      <w:r w:rsidRPr="00236EC3">
        <w:rPr>
          <w:rFonts w:hint="cs"/>
          <w:sz w:val="22"/>
          <w:szCs w:val="22"/>
          <w:rtl/>
        </w:rPr>
        <w:t>3.</w:t>
      </w:r>
      <w:r w:rsidRPr="00236EC3">
        <w:rPr>
          <w:rFonts w:hint="cs"/>
          <w:sz w:val="22"/>
          <w:szCs w:val="22"/>
          <w:rtl/>
        </w:rPr>
        <w:tab/>
        <w:t>העותר והמשיבים 2 ו</w:t>
      </w:r>
      <w:r w:rsidRPr="00236EC3">
        <w:rPr>
          <w:rFonts w:hint="cs"/>
          <w:position w:val="4"/>
          <w:sz w:val="22"/>
          <w:szCs w:val="22"/>
          <w:rtl/>
        </w:rPr>
        <w:t>-</w:t>
      </w:r>
      <w:r w:rsidRPr="00236EC3">
        <w:rPr>
          <w:rFonts w:hint="cs"/>
          <w:sz w:val="22"/>
          <w:szCs w:val="22"/>
          <w:rtl/>
        </w:rPr>
        <w:t>3 עמדו בתנאים הפורמאליים הנדרשים לאיוש המשרה של מנהל תחנת הצלה, ולפי הזמנת הוועדה התייצבו לריאיון לפניה, השיבו לשאלות שנשאלו ואמרו את שיש בפיהם לומר. לסוף בחרה הוועדה במשיבים 2 ו</w:t>
      </w:r>
      <w:r w:rsidRPr="00236EC3">
        <w:rPr>
          <w:rFonts w:hint="cs"/>
          <w:position w:val="4"/>
          <w:sz w:val="22"/>
          <w:szCs w:val="22"/>
          <w:rtl/>
        </w:rPr>
        <w:t>-</w:t>
      </w:r>
      <w:r w:rsidRPr="00236EC3">
        <w:rPr>
          <w:rFonts w:hint="cs"/>
          <w:sz w:val="22"/>
          <w:szCs w:val="22"/>
          <w:rtl/>
        </w:rPr>
        <w:t>3 ודחתה את מועמדותו של העותר.</w:t>
      </w:r>
    </w:p>
    <w:p w:rsidR="00241BC2" w:rsidRPr="00236EC3" w:rsidRDefault="00241BC2" w:rsidP="00241BC2">
      <w:pPr>
        <w:pStyle w:val="a6"/>
        <w:spacing w:after="60" w:line="240" w:lineRule="auto"/>
        <w:ind w:firstLine="288"/>
        <w:rPr>
          <w:sz w:val="22"/>
          <w:szCs w:val="22"/>
          <w:rtl/>
        </w:rPr>
      </w:pPr>
      <w:r w:rsidRPr="00236EC3">
        <w:rPr>
          <w:rFonts w:hint="cs"/>
          <w:sz w:val="22"/>
          <w:szCs w:val="22"/>
          <w:rtl/>
        </w:rPr>
        <w:t>4.</w:t>
      </w:r>
      <w:r w:rsidRPr="00236EC3">
        <w:rPr>
          <w:rFonts w:hint="cs"/>
          <w:sz w:val="22"/>
          <w:szCs w:val="22"/>
          <w:rtl/>
        </w:rPr>
        <w:tab/>
        <w:t>העותר פנה לבית</w:t>
      </w:r>
      <w:r w:rsidRPr="00236EC3">
        <w:rPr>
          <w:rFonts w:hint="cs"/>
          <w:position w:val="4"/>
          <w:sz w:val="22"/>
          <w:szCs w:val="22"/>
          <w:rtl/>
        </w:rPr>
        <w:t>-</w:t>
      </w:r>
      <w:r w:rsidRPr="00236EC3">
        <w:rPr>
          <w:rFonts w:hint="cs"/>
          <w:sz w:val="22"/>
          <w:szCs w:val="22"/>
          <w:rtl/>
        </w:rPr>
        <w:t>הדין האזורי לעבודה ועתר לסעד הצהרתי שלפיו בטלה החלטתה של ועדת המכרזים, ובטל מינוים של המשיבים 2 ו</w:t>
      </w:r>
      <w:r w:rsidRPr="00236EC3">
        <w:rPr>
          <w:rFonts w:hint="cs"/>
          <w:position w:val="4"/>
          <w:sz w:val="22"/>
          <w:szCs w:val="22"/>
          <w:rtl/>
        </w:rPr>
        <w:t>-</w:t>
      </w:r>
      <w:r w:rsidRPr="00236EC3">
        <w:rPr>
          <w:rFonts w:hint="cs"/>
          <w:sz w:val="22"/>
          <w:szCs w:val="22"/>
          <w:rtl/>
        </w:rPr>
        <w:t>3 שבא בעקבות אותה החלטה. בית</w:t>
      </w:r>
      <w:r w:rsidRPr="00236EC3">
        <w:rPr>
          <w:rFonts w:hint="cs"/>
          <w:position w:val="4"/>
          <w:sz w:val="22"/>
          <w:szCs w:val="22"/>
          <w:rtl/>
        </w:rPr>
        <w:t>-</w:t>
      </w:r>
      <w:r w:rsidRPr="00236EC3">
        <w:rPr>
          <w:rFonts w:hint="cs"/>
          <w:sz w:val="22"/>
          <w:szCs w:val="22"/>
          <w:rtl/>
        </w:rPr>
        <w:t xml:space="preserve">הדין האזורי לעבודה (כבוד </w:t>
      </w:r>
      <w:r w:rsidRPr="00236EC3">
        <w:rPr>
          <w:rFonts w:cs="Miriam" w:hint="cs"/>
          <w:sz w:val="22"/>
          <w:szCs w:val="22"/>
          <w:rtl/>
        </w:rPr>
        <w:t>השופטת ו' סמט</w:t>
      </w:r>
      <w:r w:rsidRPr="00236EC3">
        <w:rPr>
          <w:rFonts w:hint="cs"/>
          <w:sz w:val="22"/>
          <w:szCs w:val="22"/>
          <w:rtl/>
        </w:rPr>
        <w:t>) דחה את התביעה בקבעו כי לא נפלו בהליכי המכרז פגמים המצדיקים התערבות בהחלטתה של ועדת המכרזים. ערעור שהגיש העותר לבית</w:t>
      </w:r>
      <w:r w:rsidRPr="00236EC3">
        <w:rPr>
          <w:rFonts w:hint="cs"/>
          <w:position w:val="4"/>
          <w:sz w:val="22"/>
          <w:szCs w:val="22"/>
          <w:rtl/>
        </w:rPr>
        <w:t>-</w:t>
      </w:r>
      <w:r w:rsidRPr="00236EC3">
        <w:rPr>
          <w:rFonts w:hint="cs"/>
          <w:sz w:val="22"/>
          <w:szCs w:val="22"/>
          <w:rtl/>
        </w:rPr>
        <w:t>הדין הארצי לעבודה נדחה אף הוא. מכאן העתירה</w:t>
      </w:r>
      <w:r>
        <w:rPr>
          <w:rFonts w:hint="cs"/>
          <w:sz w:val="22"/>
          <w:szCs w:val="22"/>
          <w:rtl/>
        </w:rPr>
        <w:t xml:space="preserve"> </w:t>
      </w:r>
      <w:r w:rsidRPr="00236EC3">
        <w:rPr>
          <w:rFonts w:hint="cs"/>
          <w:sz w:val="22"/>
          <w:szCs w:val="22"/>
          <w:rtl/>
        </w:rPr>
        <w:t>שלפנינו, שבה העותר (שלא יוצג בידי עורך-דין) מעלה אותן טענות עצמן שהעלה לפני בתי-הדין לעבודה, ואשר בתי-הדין ראו לדחותן.</w:t>
      </w:r>
    </w:p>
    <w:p w:rsidR="00241BC2" w:rsidRPr="00236EC3" w:rsidRDefault="00241BC2" w:rsidP="00241BC2">
      <w:pPr>
        <w:pStyle w:val="a6"/>
        <w:spacing w:after="60" w:line="240" w:lineRule="auto"/>
        <w:ind w:firstLine="288"/>
        <w:rPr>
          <w:sz w:val="22"/>
          <w:szCs w:val="22"/>
          <w:rtl/>
        </w:rPr>
      </w:pPr>
      <w:r w:rsidRPr="00236EC3">
        <w:rPr>
          <w:rFonts w:hint="cs"/>
          <w:sz w:val="22"/>
          <w:szCs w:val="22"/>
          <w:rtl/>
        </w:rPr>
        <w:t>5.</w:t>
      </w:r>
      <w:r w:rsidRPr="00236EC3">
        <w:rPr>
          <w:rFonts w:hint="cs"/>
          <w:sz w:val="22"/>
          <w:szCs w:val="22"/>
          <w:rtl/>
        </w:rPr>
        <w:tab/>
        <w:t>שלוש טענות העלה העותר לפני בתי-הדין לעבודה, ואלו היו הטענות: טענה אחת הייתה כי בישיבת הוועדה נכח כל העת, כיועץ מומחה, מר יוסף ברנע, מנהל מחלקת החופים בעירייה (ברנע). טען העותר כי ברנע מסוכסך עמו ומתנכל לו זמן רב, וכי היה בנתון זה בלבד כדי לפגום ביכולתו לחוות-דעתו לוועדה כמומחה. בית-הדין דחה טענה זו משלא הוכח כי ברנע דיבר בישיבת הוועדה נגד העותר. עוד קבע בית-הדין כי העותר לא העלה טענתו זו במועדה, דהיינו בעת שראה כי ברנע נוכח בישיבת הוועדה, אלא רק לאחר שהודע לו כי מועמדותו נדחתה. טענתו השנייה של העותר הייתה זו שכישוריו עולים על כישוריהם של המשיבים 2 ו-3, וכי הוועדה לא הייתה ערה כלל לכישוריהם היחסיים של המועמדים, וממילא לא שקלה כראוי את נושא הכישורים. בית-הדין דחה גם טענה זו וקבע כי מועמדותם של המשיבים 2 ו-3 נתקבלה משיקולים שלעניין.</w:t>
      </w:r>
    </w:p>
    <w:p w:rsidR="00241BC2" w:rsidRPr="00236EC3" w:rsidRDefault="00241BC2" w:rsidP="00241BC2">
      <w:pPr>
        <w:pStyle w:val="a6"/>
        <w:spacing w:after="60" w:line="240" w:lineRule="auto"/>
        <w:ind w:firstLine="288"/>
        <w:rPr>
          <w:sz w:val="22"/>
          <w:szCs w:val="22"/>
          <w:rtl/>
        </w:rPr>
      </w:pPr>
      <w:r w:rsidRPr="00236EC3">
        <w:rPr>
          <w:rFonts w:hint="cs"/>
          <w:sz w:val="22"/>
          <w:szCs w:val="22"/>
          <w:rtl/>
        </w:rPr>
        <w:t xml:space="preserve">אותן טענות עצמן הוסיף העותר והעלה גם לפני בית-הדין הארצי לעבודה גם לפנינו, אך גם אנו – כמונו כבית-הדין האזורי וכבית-הדין הארצי – לא נמצא לנו כי יש בהן כדי לפגום בהליכי המכרז. אשר לנוכחותו של ברנע בישיבת הוועדה, הלכה שמכבר היא כי טענות נגד הרכבה של ועדת מכרזים – והכרעה בשאלת נוכחותו של ברנע בישיבת הוועדה נגזרת מאותה הלכה – יש להעלותה בהזדמנות הראשונה הנקרית על דרכו של הטוען להיותו נפגע. טענה שהייתה ידועה בעת הליכי המכרז אך הועלתה רק לאחר שפלוני יצא מן המכרז וידו על התחתונה, טענה מעין-זו לא תישמע. ראו והשוו: ע"א 4683/97 ידע מחשבים ותוכנה בע"מ נ' מדינת ישראל </w:t>
      </w:r>
      <w:r w:rsidRPr="00236EC3">
        <w:rPr>
          <w:rFonts w:hint="eastAsia"/>
          <w:sz w:val="22"/>
          <w:szCs w:val="22"/>
          <w:rtl/>
        </w:rPr>
        <w:t>– משרד הביטחון</w:t>
      </w:r>
      <w:r w:rsidRPr="00236EC3">
        <w:rPr>
          <w:rFonts w:hint="cs"/>
          <w:sz w:val="22"/>
          <w:szCs w:val="22"/>
          <w:rtl/>
        </w:rPr>
        <w:t xml:space="preserve"> [1], בעמ' 646; בג"ץ 528/85 חזאן נ' המנהל הכללי של משרד החינוך והתרבות (פרשת חזאן [2]), בעמ' 495. עניינו של העותר עולה ברשתה של ההלכה, וטענתו בהקשר זה דינה דחייה. אשר לכישורי המועמדים, הכרעה בשאלה זו נתונה במובהק לוועדת המכרזים, ובהיעדר נתון מכריע נוסף – ונתון מעין-זה לא הובא לפנינו – גם היא נדונה לדחייה.</w:t>
      </w:r>
    </w:p>
    <w:p w:rsidR="00241BC2" w:rsidRDefault="00241BC2" w:rsidP="00241BC2">
      <w:pPr>
        <w:pStyle w:val="a6"/>
        <w:spacing w:after="60" w:line="240" w:lineRule="auto"/>
        <w:ind w:firstLine="288"/>
        <w:rPr>
          <w:sz w:val="22"/>
          <w:szCs w:val="22"/>
          <w:rtl/>
        </w:rPr>
      </w:pPr>
      <w:r w:rsidRPr="00236EC3">
        <w:rPr>
          <w:rFonts w:hint="cs"/>
          <w:sz w:val="22"/>
          <w:szCs w:val="22"/>
          <w:rtl/>
        </w:rPr>
        <w:t>6.</w:t>
      </w:r>
      <w:r w:rsidRPr="00236EC3">
        <w:rPr>
          <w:rFonts w:hint="cs"/>
          <w:sz w:val="22"/>
          <w:szCs w:val="22"/>
          <w:rtl/>
        </w:rPr>
        <w:tab/>
        <w:t>טענתו השלישית של העותר בה רואים אנו עיקר, ובה נלוש בהמשך דברינו להלן. הטענה הייתה – והינה – זו שמר ארנון בר-דוד, אחד משני נציגיו של ארגון העובדים בוועדת המכרזים (בר-דוד), נפגש לפני המכרז עם מקצת המועמדים במכרז – לא עם העותר – וכן עם נציגי ועד המצילים, וכי ועד המצילים ביקש ממנו לבחור במשיבים 2 ו-3 למשרות שהוכרז עליהן במכרז. בעקבות פגישות אלו, כך הילוך טענת העותר, גיבש בר-דוד את עמדתו לבחור במשיבים 2 ו-3 כבר לפני ישיבתה של ועדת</w:t>
      </w:r>
      <w:r w:rsidRPr="00236EC3">
        <w:rPr>
          <w:rFonts w:cs="Miriam" w:hint="cs"/>
          <w:noProof/>
          <w:szCs w:val="20"/>
          <w:rtl/>
        </w:rPr>
        <w:t xml:space="preserve"> </w:t>
      </w:r>
      <w:r w:rsidRPr="00236EC3">
        <w:rPr>
          <w:rFonts w:hint="cs"/>
          <w:sz w:val="22"/>
          <w:szCs w:val="22"/>
          <w:rtl/>
        </w:rPr>
        <w:t>המכרזים, וממילא לא ניתן לעותר סיכוי של-אמת לזכות במכרז. יתר-על-כן: בר-דוד אף לא דיווח בישיבת הוועדה לחברים האחרים על פגישותיו עם המועמדים ועם ועד המצילים, וגם בכך נפגם הליך המכרז.</w:t>
      </w:r>
      <w:r>
        <w:rPr>
          <w:rFonts w:hint="cs"/>
          <w:sz w:val="22"/>
          <w:szCs w:val="22"/>
          <w:rtl/>
        </w:rPr>
        <w:t xml:space="preserve"> [...]</w:t>
      </w:r>
    </w:p>
    <w:p w:rsidR="00241BC2" w:rsidRPr="00EC4628" w:rsidRDefault="00241BC2" w:rsidP="00241BC2">
      <w:pPr>
        <w:pStyle w:val="a6"/>
        <w:spacing w:after="60" w:line="240" w:lineRule="auto"/>
        <w:ind w:firstLine="288"/>
        <w:rPr>
          <w:rFonts w:cs="Miriam"/>
          <w:sz w:val="22"/>
          <w:szCs w:val="22"/>
          <w:rtl/>
        </w:rPr>
      </w:pPr>
      <w:r w:rsidRPr="00EC4628">
        <w:rPr>
          <w:rFonts w:cs="Miriam" w:hint="cs"/>
          <w:sz w:val="22"/>
          <w:szCs w:val="22"/>
          <w:rtl/>
        </w:rPr>
        <w:t>השאלה שבמחלוקת</w:t>
      </w:r>
    </w:p>
    <w:p w:rsidR="00241BC2" w:rsidRPr="00EC4628" w:rsidRDefault="00241BC2" w:rsidP="00241BC2">
      <w:pPr>
        <w:pStyle w:val="a6"/>
        <w:spacing w:after="60" w:line="240" w:lineRule="auto"/>
        <w:ind w:firstLine="288"/>
        <w:rPr>
          <w:sz w:val="22"/>
          <w:szCs w:val="22"/>
          <w:rtl/>
        </w:rPr>
      </w:pPr>
      <w:r w:rsidRPr="00EC4628">
        <w:rPr>
          <w:rFonts w:hint="cs"/>
          <w:sz w:val="22"/>
          <w:szCs w:val="22"/>
          <w:rtl/>
        </w:rPr>
        <w:t>8.</w:t>
      </w:r>
      <w:r w:rsidRPr="00EC4628">
        <w:rPr>
          <w:rFonts w:hint="cs"/>
          <w:sz w:val="22"/>
          <w:szCs w:val="22"/>
          <w:rtl/>
        </w:rPr>
        <w:tab/>
        <w:t>וזו היא אפוא השאלה העיקרית השנויה במחלוקת בין בעלי-הדין: האם פגישותיו של בר-דוד, חבר ועדת המכרזים, עם מקצת המועמדים במכרז ועם נציגי ועד המצילים – אשר המליצו לפניו, כנטען, כי יש לבחור במשיבים 2 ו-3 כדי שיזכו במכרז; האם ההליכים אשר היו בוועדת המכרזים לאחר מכן; האם אותן פגישות ואותם הליכים פגמו במכרז כדי ביטולו, כטענת העותר, או שמא – כהחלטות בתי-הדין לעבודה – לא היה בהן באותן פגישות ובאותם הליכים כדי לפגום במכרז.</w:t>
      </w:r>
    </w:p>
    <w:p w:rsidR="00241BC2" w:rsidRPr="00EC4628" w:rsidRDefault="00241BC2" w:rsidP="00241BC2">
      <w:pPr>
        <w:pStyle w:val="a6"/>
        <w:spacing w:after="60" w:line="240" w:lineRule="auto"/>
        <w:ind w:firstLine="288"/>
        <w:rPr>
          <w:sz w:val="22"/>
          <w:szCs w:val="22"/>
          <w:rtl/>
        </w:rPr>
      </w:pPr>
      <w:r w:rsidRPr="00EC4628">
        <w:rPr>
          <w:rFonts w:hint="cs"/>
          <w:sz w:val="22"/>
          <w:szCs w:val="22"/>
          <w:rtl/>
        </w:rPr>
        <w:t>9.</w:t>
      </w:r>
      <w:r w:rsidRPr="00EC4628">
        <w:rPr>
          <w:rFonts w:hint="cs"/>
          <w:sz w:val="22"/>
          <w:szCs w:val="22"/>
          <w:rtl/>
        </w:rPr>
        <w:tab/>
        <w:t>נקדים ונאמר כי בעלי-הדין לא הפנו אותנו לכל דברי-חוק שהם – חקיקה ראשית או חקיקת-משנה – האמורים להסדיר את נושא המכרז הפנימי. כן לא צוטט בפסקי-הדין של בתי-הדין לעבודה כל דבר חוק שהוא השולט על הנושא. הנחת היסוד של בעלי-הדין הייתה כמסתבר זו שהמכרז הפנימי נשלט בידי עקרונות-יסוד של דין המכרזים, ועל דרך ההיקש ובשינויים המחויבים מן העניין – על-ידי תקנות העיריות (מכרזים לקבלת עובדים), תש"ם</w:t>
      </w:r>
      <w:r w:rsidRPr="00EC4628">
        <w:rPr>
          <w:rFonts w:hint="cs"/>
          <w:b/>
          <w:sz w:val="22"/>
          <w:szCs w:val="22"/>
          <w:rtl/>
        </w:rPr>
        <w:t>-</w:t>
      </w:r>
      <w:r w:rsidRPr="00EC4628">
        <w:rPr>
          <w:rFonts w:hint="cs"/>
          <w:sz w:val="22"/>
          <w:szCs w:val="22"/>
          <w:rtl/>
        </w:rPr>
        <w:t>1979 (</w:t>
      </w:r>
      <w:r w:rsidRPr="00EC4628">
        <w:rPr>
          <w:rFonts w:hint="cs"/>
          <w:b/>
          <w:sz w:val="22"/>
          <w:szCs w:val="22"/>
          <w:rtl/>
        </w:rPr>
        <w:t>תקנות המכרזים</w:t>
      </w:r>
      <w:r w:rsidRPr="00EC4628">
        <w:rPr>
          <w:rFonts w:hint="cs"/>
          <w:sz w:val="22"/>
          <w:szCs w:val="22"/>
          <w:rtl/>
        </w:rPr>
        <w:t>), הנסבות על מכרזים פומביים. ואמנם, הסוגיה שהונחה לפתחנו מוליכה אותנו היישר אל מעבה העיקרים והדוקטרינות שהליכי מכרז אמורים לקיים, ובדוקטרינות אלו נפתח את דברינו.</w:t>
      </w:r>
    </w:p>
    <w:p w:rsidR="00241BC2" w:rsidRPr="00EC4628" w:rsidRDefault="00241BC2" w:rsidP="00241BC2">
      <w:pPr>
        <w:pStyle w:val="a6"/>
        <w:spacing w:after="60" w:line="240" w:lineRule="auto"/>
        <w:ind w:firstLine="288"/>
        <w:rPr>
          <w:rFonts w:cs="Miriam"/>
          <w:sz w:val="22"/>
          <w:szCs w:val="22"/>
          <w:rtl/>
        </w:rPr>
      </w:pPr>
      <w:r w:rsidRPr="00EC4628">
        <w:rPr>
          <w:rFonts w:cs="Miriam" w:hint="cs"/>
          <w:sz w:val="22"/>
          <w:szCs w:val="22"/>
          <w:rtl/>
        </w:rPr>
        <w:t xml:space="preserve">המתווה הנורמטיבי </w:t>
      </w:r>
      <w:r w:rsidRPr="00EC4628">
        <w:rPr>
          <w:rFonts w:cs="Miriam" w:hint="cs"/>
          <w:b/>
          <w:sz w:val="22"/>
          <w:szCs w:val="22"/>
          <w:rtl/>
        </w:rPr>
        <w:t>–</w:t>
      </w:r>
      <w:r w:rsidRPr="00EC4628">
        <w:rPr>
          <w:rFonts w:cs="Miriam" w:hint="cs"/>
          <w:sz w:val="22"/>
          <w:szCs w:val="22"/>
          <w:rtl/>
        </w:rPr>
        <w:t xml:space="preserve"> עיקרים ודוקטרינות</w:t>
      </w:r>
    </w:p>
    <w:p w:rsidR="00241BC2" w:rsidRPr="00EC4628" w:rsidRDefault="00241BC2" w:rsidP="00241BC2">
      <w:pPr>
        <w:pStyle w:val="a6"/>
        <w:spacing w:after="60" w:line="240" w:lineRule="auto"/>
        <w:ind w:firstLine="288"/>
        <w:rPr>
          <w:sz w:val="22"/>
          <w:szCs w:val="22"/>
          <w:rtl/>
        </w:rPr>
      </w:pPr>
      <w:r w:rsidRPr="00EC4628">
        <w:rPr>
          <w:rFonts w:hint="cs"/>
          <w:sz w:val="22"/>
          <w:szCs w:val="22"/>
          <w:rtl/>
        </w:rPr>
        <w:t>10.</w:t>
      </w:r>
      <w:r w:rsidRPr="00EC4628">
        <w:rPr>
          <w:rFonts w:hint="cs"/>
          <w:sz w:val="22"/>
          <w:szCs w:val="22"/>
          <w:rtl/>
        </w:rPr>
        <w:tab/>
        <w:t xml:space="preserve">ענייננו הוא במכרז פנימי של עירייה לאיוש משרה פלונית בשירות העירייה. מכרז מסוג זה, כמוהו ככל מכרז שהוא, כופף עצמו לעקרונות היסוד ולדוקטרינות השליטים בדין המכרזים, וחלים עליו דיני המכרזים הרגילים, בשינויים ובהתאמות המתחייבים מן המכרז שבו מדובר. ראו והשוו ע"א 6585/95 מ.ג.ע.ר. מרכז גביה ממוחשבת בע"מ נ' עיריית נשר (פרשת מ.ג.ע.ר. [3]), בעמ' 211. אלא שבצד אותם שינויים והתאמות המתחייבים מן העניין, מתייצב ומתקיים עיקר אחד מן הליבה, עיקר העובר כבריח התיכון בכל המכרזים הציבוריים לסוגיהם ולמיניהם. העיקר הוא עיקר השוויון, ובענייננו: שוויון ההזדמנויות שיש להעניק לכל המועמדים ולכל ההצעות שבמכרז. </w:t>
      </w:r>
      <w:r>
        <w:rPr>
          <w:rFonts w:hint="cs"/>
          <w:sz w:val="22"/>
          <w:szCs w:val="22"/>
          <w:rtl/>
        </w:rPr>
        <w:t>...</w:t>
      </w:r>
    </w:p>
    <w:p w:rsidR="00241BC2" w:rsidRPr="00EC4628" w:rsidRDefault="00241BC2" w:rsidP="00241BC2">
      <w:pPr>
        <w:pStyle w:val="a6"/>
        <w:spacing w:after="60" w:line="240" w:lineRule="auto"/>
        <w:ind w:firstLine="288"/>
        <w:rPr>
          <w:sz w:val="22"/>
          <w:szCs w:val="22"/>
          <w:rtl/>
        </w:rPr>
      </w:pPr>
      <w:r w:rsidRPr="00EC4628">
        <w:rPr>
          <w:rFonts w:hint="cs"/>
          <w:sz w:val="22"/>
          <w:szCs w:val="22"/>
          <w:rtl/>
        </w:rPr>
        <w:t>12.</w:t>
      </w:r>
      <w:r w:rsidRPr="00EC4628">
        <w:rPr>
          <w:rFonts w:hint="cs"/>
          <w:sz w:val="22"/>
          <w:szCs w:val="22"/>
          <w:rtl/>
        </w:rPr>
        <w:tab/>
        <w:t xml:space="preserve">לענייננו-שלנו אין צורך כי נרחיק לכת. בחינת הדברים מקרוב תלמדנו כי עיקר לענייננו הוא בצורך ובהכרח כי חבר ועדת מכרזים ישקול ויבחן את ההצעות ואת המועמדויות שהוא מתבקש לשקול ולבחון בלב פתוח ובנפש חפצה. כי יעשה עצמו כשדה שטרם נחרשה, ויניח לכל אחד מן המועמדים לחרוש בו ולשכנעו כי הוא, דווקא הוא, האיש המתאים לאיוש המשרה שהוכרז עליה במכרז. כי יגבש עמדה ויחליט בדעתו רק לאחר שישמע כל אשר יש לשמוע ויעיין בכל חומר בכתב שלעניין. כי ייתן דעתו על כך שכל אחד מן המועמדים זכה להזדמנות שווה להציג את עניינו. כי יראה עצמו, ככל הניתן (ובכפיפות לאמור להלן), כשופט זוטא המנוער מכל זיקה לעניין הנידון לפניו, וגם אם נמנה הוא עם חברים רבים בוועדת מכרזים, ינהג כמי שההכרעה במכרז תלויה אך ורק בו. ועל דרך השלילה: אסור הוא חבר ועדת מכרזים שישב למכרז, ודעתו מגובשת ונחרצת מראש מה אומר הוא להחליט. אסור לו לחבר ועדת מכרזים שיחליט במכרז, והוא לא פתח את לבו להשתכנע, או בטרם שמע כל אשר ניתן לשמוע וקרא כל אשר יש לקרוא. אם אחרת ינהג ימעל חבר הוועדה בתפקידו, שלא זו דרכו של שופט ולו שופט-זוטא הוא. אסור הוא חבר ועדת מכרזים שתהא לו דעה קדומה; שאם ישב לדין – ואכן לדין הוא יושב – וייתן לדעה קדומה להוליך אותו כי אז לא ימלא באמונה תפקיד שהוטל עליו למלאו, קרא ליתן הזדמנות שווה לכל ההצעות שתעלינה לפניו להכרעה ביניהן. זה המעט שניתן לדרוש מחבר ועדת מכרזים. </w:t>
      </w:r>
    </w:p>
    <w:p w:rsidR="00241BC2" w:rsidRPr="00EC4628" w:rsidRDefault="00241BC2" w:rsidP="00241BC2">
      <w:pPr>
        <w:pStyle w:val="a6"/>
        <w:spacing w:after="60" w:line="240" w:lineRule="auto"/>
        <w:ind w:firstLine="288"/>
        <w:rPr>
          <w:sz w:val="22"/>
          <w:szCs w:val="22"/>
        </w:rPr>
      </w:pPr>
      <w:r w:rsidRPr="00EC4628">
        <w:rPr>
          <w:rFonts w:hint="cs"/>
          <w:sz w:val="22"/>
          <w:szCs w:val="22"/>
          <w:rtl/>
        </w:rPr>
        <w:t>אסור לו לחבר ועדה ליתן ידו ל"מכרז תפור" או ל"מכרז מכור", קרא למכרז שתוצאותיו נקבעו מראש. מכרז שתוצאותיו ידועות מראש אינו מכרז כלל. מעשה רמייה הוא. חברי ועדה או חבר ועדה היודעים מראש מה יחליטו – מועלים בתפקידם. בהחליטם מראש לפסול מועמדים אלה ואחרים לאייש את המשרה שהוכרז עליה או לבחור במועמד פלוני דווקא, פוצעים חברי הוועדה בכבודם של המועמדים; שהמועמדים סוברים כי ניתנת להם הזדמנות לשכנע את חברי הוועדה בכישוריהם העודפים על כישורי חבריהם, בעוד אשר משמשים הם אך כתפאורה ובתפקידי</w:t>
      </w:r>
      <w:r w:rsidRPr="00EC4628">
        <w:rPr>
          <w:rFonts w:cs="Miriam" w:hint="cs"/>
          <w:noProof/>
          <w:szCs w:val="20"/>
          <w:rtl/>
        </w:rPr>
        <w:t xml:space="preserve"> </w:t>
      </w:r>
      <w:r w:rsidRPr="00EC4628">
        <w:rPr>
          <w:rFonts w:hint="cs"/>
          <w:sz w:val="22"/>
          <w:szCs w:val="22"/>
          <w:rtl/>
        </w:rPr>
        <w:t>ססטיסטים בהצגה שסופה ידוע מראש. רק אם יימנעו מכל אלה ינהגו חברי הוועדה בהגינות ויעשו צדק כמצופה מהם.</w:t>
      </w:r>
      <w:r>
        <w:rPr>
          <w:rFonts w:hint="cs"/>
          <w:sz w:val="22"/>
          <w:szCs w:val="22"/>
          <w:rtl/>
        </w:rPr>
        <w:t xml:space="preserve"> ...</w:t>
      </w:r>
    </w:p>
    <w:p w:rsidR="00241BC2" w:rsidRPr="00236EC3" w:rsidRDefault="00241BC2" w:rsidP="00241BC2">
      <w:pPr>
        <w:pStyle w:val="a6"/>
        <w:spacing w:after="60" w:line="240" w:lineRule="auto"/>
        <w:ind w:firstLine="288"/>
        <w:rPr>
          <w:sz w:val="22"/>
          <w:szCs w:val="22"/>
          <w:rtl/>
        </w:rPr>
      </w:pPr>
      <w:r w:rsidRPr="00EC4628">
        <w:rPr>
          <w:rFonts w:hint="cs"/>
          <w:sz w:val="22"/>
          <w:szCs w:val="22"/>
          <w:rtl/>
        </w:rPr>
        <w:t>14.</w:t>
      </w:r>
      <w:r w:rsidRPr="00EC4628">
        <w:rPr>
          <w:rFonts w:hint="cs"/>
          <w:sz w:val="22"/>
          <w:szCs w:val="22"/>
          <w:rtl/>
        </w:rPr>
        <w:tab/>
        <w:t>כללם של דברים: לא הרי מכרזים פנימיים במקום עבודה לאיוש משרות פנויות כהרי מכרזים ציבוריים שעניינם קניית שירותים או נכסים. מכרזים מן הסוג הראשון מקלים בהם ככל שהמדובר הוא בעיקרון של משוא פנים – במובנו הרחב של המושג – כגון בעניינה של היכרות מוקדמת, דעה קודמת על המועמדים וכו'. הוא הדין בפגישות בין מועמדים או מי מטעמם לבין חברי ועדה בניסיון להשפיע על חברי הוועדה כי יבחרו במועמד פלוני או כי לא יבחרו במועמד אלמוני. נוהג זה אפשר אין הוא רצוי, אך נאלצים אנו להשלים עמו. ואולם גם להקלות אלו הושמו גבולות, ונוסף על כך יִיצְרָה ההלכה כלים להבטחה כי לא יהא ניצול לרעה של הליך המכרז לניהולם של מכרזי-דֶמֶה שתוצאותיהם ידועות מראש והעושים לחוכא ואיטלולא את הליך המכרז כולו. וכך, עם הנוהג נשלים, אך נוסיף ונעשה לפיקוח ולבקרה כדי שלא נחרוג מגבולות הרצוי. בנושאים אלו נוסיף ונדבר עוד להלן.</w:t>
      </w:r>
    </w:p>
    <w:p w:rsidR="00241BC2" w:rsidRPr="00EC4628" w:rsidRDefault="00241BC2" w:rsidP="00241BC2">
      <w:pPr>
        <w:pStyle w:val="a6"/>
        <w:spacing w:after="60" w:line="240" w:lineRule="auto"/>
        <w:rPr>
          <w:rFonts w:asciiTheme="minorBidi" w:hAnsiTheme="minorBidi" w:cs="Miriam"/>
          <w:sz w:val="22"/>
          <w:szCs w:val="22"/>
          <w:rtl/>
        </w:rPr>
      </w:pPr>
      <w:r w:rsidRPr="00EC4628">
        <w:rPr>
          <w:rFonts w:asciiTheme="minorBidi" w:hAnsiTheme="minorBidi" w:cs="Miriam"/>
          <w:sz w:val="22"/>
          <w:szCs w:val="22"/>
          <w:rtl/>
        </w:rPr>
        <w:t>שקיפות: דיווח, תיעוד, גילוי</w:t>
      </w:r>
    </w:p>
    <w:p w:rsidR="00241BC2" w:rsidRPr="008951D5" w:rsidRDefault="00241BC2" w:rsidP="00241BC2">
      <w:pPr>
        <w:pStyle w:val="a6"/>
        <w:spacing w:after="60" w:line="240" w:lineRule="auto"/>
        <w:rPr>
          <w:sz w:val="22"/>
          <w:szCs w:val="22"/>
          <w:rtl/>
        </w:rPr>
      </w:pPr>
      <w:r w:rsidRPr="008951D5">
        <w:rPr>
          <w:rFonts w:hint="cs"/>
          <w:sz w:val="22"/>
          <w:szCs w:val="22"/>
          <w:rtl/>
        </w:rPr>
        <w:t>15.</w:t>
      </w:r>
      <w:r w:rsidRPr="008951D5">
        <w:rPr>
          <w:rFonts w:hint="cs"/>
          <w:sz w:val="22"/>
          <w:szCs w:val="22"/>
          <w:rtl/>
        </w:rPr>
        <w:tab/>
        <w:t>להבטחת תקינות פעילותו של המינהל הציבורי נוצק כלל התנהגות שמקומו בכותל המזרח של התנהלות המינהל הציבורי. העיקרון הוא עקרון השקיפות. ראו למשל: עע"מ 10112/02 אדם טבע ודין – אגודה ישראלית להגנת הסביבה נ' הוועדה המחוזית לתכנון ולבנייה, מחוז ירושלים [16], בעמ' 837-835 והאסמכתאות שם. מקורו של עקרון השקיפות הוא בתפישת היסוד של המינהל הציבורי כנאמן הציבור: כל אשר מחזיק הוא בו – כנאמן הציבור מחזיק הוא בו, ואילו משלו אין לו ולא כלום. אכן, כלשונו המרהיבה של השופט ח' כהן, הרשות "...כל כולה לא נוצרה כי אם לשרת את הכלל, ומשלה אין לה ולא כלום: כל אשר יש לה מופקד בידיה כנאמן, וכשלעצמה אין לה זכויות או חובות נוספות על אלה, או שונות ונפרדות מאלה, אשר הן נובעות מנאמנות זו או הוקנו לה או הוטלו עליה מכוח הוראות חקוקות": בג"ץ 142/70 שפירא נ' הוועד המחוזי של לשכת עורכי</w:t>
      </w:r>
      <w:r w:rsidRPr="008951D5">
        <w:rPr>
          <w:rFonts w:hint="cs"/>
          <w:position w:val="4"/>
          <w:sz w:val="22"/>
          <w:szCs w:val="22"/>
          <w:rtl/>
        </w:rPr>
        <w:t>-</w:t>
      </w:r>
      <w:r w:rsidRPr="008951D5">
        <w:rPr>
          <w:rFonts w:hint="cs"/>
          <w:sz w:val="22"/>
          <w:szCs w:val="22"/>
          <w:rtl/>
        </w:rPr>
        <w:t>הדין, ירושלים [17], בעמ' 331. המחזיק בסמכויות על</w:t>
      </w:r>
      <w:r w:rsidRPr="008951D5">
        <w:rPr>
          <w:rFonts w:hint="cs"/>
          <w:position w:val="4"/>
          <w:sz w:val="22"/>
          <w:szCs w:val="22"/>
          <w:rtl/>
        </w:rPr>
        <w:t>-</w:t>
      </w:r>
      <w:r w:rsidRPr="008951D5">
        <w:rPr>
          <w:rFonts w:hint="cs"/>
          <w:sz w:val="22"/>
          <w:szCs w:val="22"/>
          <w:rtl/>
        </w:rPr>
        <w:t xml:space="preserve">פי דין חייב לפעול אפוא מתוך אמון ונאמנות, ושומה עליו לשוות נגד עיניו כל העת, ערב ובוקר בכל יום תמיד, את טובת הציבור ואת טובת הציבור בלבד. </w:t>
      </w:r>
      <w:r w:rsidRPr="00203B58">
        <w:rPr>
          <w:rFonts w:hint="cs"/>
          <w:sz w:val="22"/>
          <w:szCs w:val="22"/>
          <w:highlight w:val="yellow"/>
          <w:rtl/>
        </w:rPr>
        <w:t>ומשידענו כי עובד הציבור עושה בנאמנות כשליח הציבור, חייב הוא ממילא בחובותיו של שליח, ובהן החובה ליתן דין</w:t>
      </w:r>
      <w:r w:rsidRPr="00203B58">
        <w:rPr>
          <w:rFonts w:hint="cs"/>
          <w:position w:val="4"/>
          <w:sz w:val="22"/>
          <w:szCs w:val="22"/>
          <w:highlight w:val="yellow"/>
          <w:rtl/>
        </w:rPr>
        <w:t>-</w:t>
      </w:r>
      <w:r w:rsidRPr="00203B58">
        <w:rPr>
          <w:rFonts w:hint="cs"/>
          <w:sz w:val="22"/>
          <w:szCs w:val="22"/>
          <w:highlight w:val="yellow"/>
          <w:rtl/>
        </w:rPr>
        <w:t>וחשבון על מעשיו, קרא לגלות לשולחיו – לכלל הציבור – מה עשה ומה לא עשה, מדוע עשה כך ולא אחרת, וכשלא עשה – מדוע לא עשה. חייב הוא לגלות כל מעשים ומחדלים ונימוקיהם בצדם. כך, רק כך, יוכל הציבור לדעת אם עשה עובד הציבור באמונה; כך, רק כך, יאמין הציבור במינהל ובעובדיו. המינהל חייב אפוא בשקיפות פעילותו והחלטותיו. שקיפות תבטיח פיקוח ובקרה,</w:t>
      </w:r>
      <w:r w:rsidRPr="008951D5">
        <w:rPr>
          <w:rFonts w:hint="cs"/>
          <w:sz w:val="22"/>
          <w:szCs w:val="22"/>
          <w:rtl/>
        </w:rPr>
        <w:t xml:space="preserve"> ורק כך יהא ניתן לבחון ולבדוק אם פעל המינהל כפי שראוי הוא כי יפעל. וכאימרתו הקלסית של השופט ברנדיס </w:t>
      </w:r>
      <w:r w:rsidRPr="008951D5">
        <w:rPr>
          <w:sz w:val="22"/>
          <w:szCs w:val="22"/>
        </w:rPr>
        <w:t>(</w:t>
      </w:r>
      <w:r w:rsidRPr="008951D5">
        <w:rPr>
          <w:i/>
          <w:iCs/>
          <w:sz w:val="22"/>
          <w:szCs w:val="22"/>
        </w:rPr>
        <w:t>Justice Louis Brandeis</w:t>
      </w:r>
      <w:r w:rsidRPr="008951D5">
        <w:rPr>
          <w:sz w:val="22"/>
          <w:szCs w:val="22"/>
        </w:rPr>
        <w:t>)</w:t>
      </w:r>
      <w:r w:rsidRPr="008951D5">
        <w:rPr>
          <w:rFonts w:hint="cs"/>
          <w:sz w:val="22"/>
          <w:szCs w:val="22"/>
          <w:rtl/>
        </w:rPr>
        <w:t xml:space="preserve">: </w:t>
      </w:r>
      <w:r w:rsidRPr="008951D5">
        <w:rPr>
          <w:sz w:val="22"/>
          <w:szCs w:val="22"/>
        </w:rPr>
        <w:t>“Sunlight is the best disinfectant”</w:t>
      </w:r>
      <w:r w:rsidRPr="008951D5">
        <w:rPr>
          <w:rFonts w:hint="cs"/>
          <w:sz w:val="22"/>
          <w:szCs w:val="22"/>
          <w:rtl/>
        </w:rPr>
        <w:t xml:space="preserve"> (ובתרגומו של השופט ברק בבג"ץ 1601/90 שליט נ' פרס [18], בעמ' 364: "אור השמש הוא המטהר הטוב ביותר").</w:t>
      </w:r>
    </w:p>
    <w:p w:rsidR="00241BC2" w:rsidRPr="008951D5" w:rsidRDefault="00241BC2" w:rsidP="00241BC2">
      <w:pPr>
        <w:pStyle w:val="a6"/>
        <w:spacing w:after="60" w:line="240" w:lineRule="auto"/>
        <w:rPr>
          <w:sz w:val="22"/>
          <w:szCs w:val="22"/>
          <w:rtl/>
        </w:rPr>
      </w:pPr>
      <w:r w:rsidRPr="008951D5">
        <w:rPr>
          <w:rFonts w:hint="cs"/>
          <w:sz w:val="22"/>
          <w:szCs w:val="22"/>
          <w:rtl/>
        </w:rPr>
        <w:t>16.</w:t>
      </w:r>
      <w:r w:rsidRPr="008951D5">
        <w:rPr>
          <w:rFonts w:hint="cs"/>
          <w:sz w:val="22"/>
          <w:szCs w:val="22"/>
          <w:rtl/>
        </w:rPr>
        <w:tab/>
        <w:t>על דרך הכלל, שקיפות פעולתו של המינהל היא כלי יעיל בידינו לפיקוח ולבקרת מעשי המינהל והחלטותיו. חשיבות יתרה נודעת לה לשקיפות בעניינם של מכרזים פנימיים כבענייננו. טעם הדבר: ההקלות הרבות שההלכה הכירה בהן לעניינם של מכרזים לאיוש משרות פנויות, בייחוד בנושאים הבאים בגדרי הכלל של איסור משוא פנים. אכן, ככל שתרבינה ההקלות – וההקלות אכן רבות הן – וככל שגבולות המותר יִרְחֲבוּ וילכו – והגבולות בענייננו אכן רָחֲבוּ והלכו – כן תגבר ותלך חשיבותם של אותם כללי</w:t>
      </w:r>
      <w:r w:rsidRPr="008951D5">
        <w:rPr>
          <w:rFonts w:hint="cs"/>
          <w:position w:val="4"/>
          <w:sz w:val="22"/>
          <w:szCs w:val="22"/>
          <w:rtl/>
        </w:rPr>
        <w:t>-</w:t>
      </w:r>
      <w:r w:rsidRPr="008951D5">
        <w:rPr>
          <w:rFonts w:hint="cs"/>
          <w:sz w:val="22"/>
          <w:szCs w:val="22"/>
          <w:rtl/>
        </w:rPr>
        <w:t>משפט שייעודם הוא להקיף בטבעת</w:t>
      </w:r>
      <w:r w:rsidRPr="008951D5">
        <w:rPr>
          <w:rFonts w:hint="cs"/>
          <w:position w:val="4"/>
          <w:sz w:val="22"/>
          <w:szCs w:val="22"/>
          <w:rtl/>
        </w:rPr>
        <w:t>-</w:t>
      </w:r>
      <w:r w:rsidRPr="008951D5">
        <w:rPr>
          <w:rFonts w:hint="cs"/>
          <w:sz w:val="22"/>
          <w:szCs w:val="22"/>
          <w:rtl/>
        </w:rPr>
        <w:t xml:space="preserve">מגן את פעילות המינהל ולהבטיח ככל הניתן כי אותה פעילות תהא בגבולות המותר ולא תחרוג מהם. הקלה מימין חייבת מעצמה להביא להחמרה משמאל, ולהפך. כך על דרך הכלל וכך בנושא אמצעי השקיפות, אותו אמצעי המאפשר בקרת מעשי השלטון ופיקוח עליהם. כיצד תְּתַרְגֵם עצמה השקיפות בענייננו? </w:t>
      </w:r>
      <w:r w:rsidRPr="008951D5">
        <w:rPr>
          <w:rFonts w:hint="cs"/>
          <w:sz w:val="22"/>
          <w:szCs w:val="22"/>
          <w:highlight w:val="yellow"/>
          <w:rtl/>
        </w:rPr>
        <w:t>עיקר הדברים יהא בבניית מערך כולל לדיווח, לגילוי ולתיעוד. באמצעי בקרה אלה – המשלימים זה</w:t>
      </w:r>
      <w:r w:rsidRPr="008951D5">
        <w:rPr>
          <w:rFonts w:hint="cs"/>
          <w:position w:val="4"/>
          <w:sz w:val="22"/>
          <w:szCs w:val="22"/>
          <w:highlight w:val="yellow"/>
          <w:rtl/>
        </w:rPr>
        <w:t>-</w:t>
      </w:r>
      <w:r w:rsidRPr="008951D5">
        <w:rPr>
          <w:rFonts w:hint="cs"/>
          <w:sz w:val="22"/>
          <w:szCs w:val="22"/>
          <w:highlight w:val="yellow"/>
          <w:rtl/>
        </w:rPr>
        <w:t>את</w:t>
      </w:r>
      <w:r w:rsidRPr="008951D5">
        <w:rPr>
          <w:rFonts w:hint="cs"/>
          <w:position w:val="4"/>
          <w:sz w:val="22"/>
          <w:szCs w:val="22"/>
          <w:highlight w:val="yellow"/>
          <w:rtl/>
        </w:rPr>
        <w:t>-</w:t>
      </w:r>
      <w:r w:rsidRPr="008951D5">
        <w:rPr>
          <w:rFonts w:hint="cs"/>
          <w:sz w:val="22"/>
          <w:szCs w:val="22"/>
          <w:highlight w:val="yellow"/>
          <w:rtl/>
        </w:rPr>
        <w:t>זה – נדון עתה ונלמד כיצד משרתים הם את עקרון השקיפות. אכן, ללא דיווח וגילוי לא תהא שקיפות, וללא תיעוד עלולה חובת הגילוי להתרוקן מתוכן של</w:t>
      </w:r>
      <w:r w:rsidRPr="008951D5">
        <w:rPr>
          <w:rFonts w:hint="cs"/>
          <w:position w:val="4"/>
          <w:sz w:val="22"/>
          <w:szCs w:val="22"/>
          <w:highlight w:val="yellow"/>
          <w:rtl/>
        </w:rPr>
        <w:t>-</w:t>
      </w:r>
      <w:r w:rsidRPr="008951D5">
        <w:rPr>
          <w:rFonts w:hint="cs"/>
          <w:sz w:val="22"/>
          <w:szCs w:val="22"/>
          <w:highlight w:val="yellow"/>
          <w:rtl/>
        </w:rPr>
        <w:t>ממש.</w:t>
      </w:r>
    </w:p>
    <w:p w:rsidR="00241BC2" w:rsidRPr="008951D5" w:rsidRDefault="00241BC2" w:rsidP="00241BC2">
      <w:pPr>
        <w:pStyle w:val="a6"/>
        <w:spacing w:after="60" w:line="240" w:lineRule="auto"/>
        <w:rPr>
          <w:sz w:val="22"/>
          <w:szCs w:val="22"/>
          <w:rtl/>
        </w:rPr>
      </w:pPr>
      <w:r w:rsidRPr="008951D5">
        <w:rPr>
          <w:rFonts w:hint="cs"/>
          <w:sz w:val="22"/>
          <w:szCs w:val="22"/>
          <w:rtl/>
        </w:rPr>
        <w:t>17.</w:t>
      </w:r>
      <w:r w:rsidRPr="008951D5">
        <w:rPr>
          <w:rFonts w:hint="cs"/>
          <w:sz w:val="22"/>
          <w:szCs w:val="22"/>
          <w:rtl/>
        </w:rPr>
        <w:tab/>
      </w:r>
      <w:r w:rsidRPr="00EC4628">
        <w:rPr>
          <w:rFonts w:cs="Miriam" w:hint="cs"/>
          <w:sz w:val="22"/>
          <w:szCs w:val="22"/>
          <w:highlight w:val="yellow"/>
          <w:rtl/>
        </w:rPr>
        <w:t>דיווח</w:t>
      </w:r>
      <w:r w:rsidRPr="00EC4628">
        <w:rPr>
          <w:rFonts w:cs="Miriam" w:hint="cs"/>
          <w:sz w:val="22"/>
          <w:szCs w:val="22"/>
          <w:rtl/>
        </w:rPr>
        <w:t>:</w:t>
      </w:r>
      <w:r w:rsidRPr="008951D5">
        <w:rPr>
          <w:rFonts w:hint="cs"/>
          <w:sz w:val="22"/>
          <w:szCs w:val="22"/>
          <w:rtl/>
        </w:rPr>
        <w:t xml:space="preserve"> עקרון הדיווח משמיע חובה המוטלת על בעל הסמכות – לענייננו: חבר ועדת המכרזים – לדווח לוועדת המכרזים על כל נתונים שיש בהם כדי להשליך על ההחלטה של הוועדה לגופה, לרבות נתונים אישיים של חבר הוועדה העשויים להשפיע על החלטתו. </w:t>
      </w:r>
      <w:r>
        <w:rPr>
          <w:rFonts w:hint="cs"/>
          <w:sz w:val="22"/>
          <w:szCs w:val="22"/>
          <w:rtl/>
        </w:rPr>
        <w:t>...</w:t>
      </w:r>
    </w:p>
    <w:p w:rsidR="00241BC2" w:rsidRPr="008951D5" w:rsidRDefault="00241BC2" w:rsidP="00241BC2">
      <w:pPr>
        <w:pStyle w:val="a6"/>
        <w:spacing w:after="60" w:line="240" w:lineRule="auto"/>
        <w:rPr>
          <w:sz w:val="22"/>
          <w:szCs w:val="22"/>
          <w:rtl/>
        </w:rPr>
      </w:pPr>
      <w:r w:rsidRPr="008951D5">
        <w:rPr>
          <w:rFonts w:hint="cs"/>
          <w:sz w:val="22"/>
          <w:szCs w:val="22"/>
          <w:rtl/>
        </w:rPr>
        <w:t>18.</w:t>
      </w:r>
      <w:r w:rsidRPr="008951D5">
        <w:rPr>
          <w:rFonts w:hint="cs"/>
          <w:sz w:val="22"/>
          <w:szCs w:val="22"/>
          <w:rtl/>
        </w:rPr>
        <w:tab/>
      </w:r>
      <w:r w:rsidRPr="00EC4628">
        <w:rPr>
          <w:rFonts w:cs="Miriam" w:hint="cs"/>
          <w:sz w:val="22"/>
          <w:szCs w:val="22"/>
          <w:highlight w:val="yellow"/>
          <w:rtl/>
        </w:rPr>
        <w:t>פרוטוקול [תיעוד]:</w:t>
      </w:r>
      <w:r w:rsidRPr="00EC4628">
        <w:rPr>
          <w:rFonts w:cs="Miriam" w:hint="cs"/>
          <w:sz w:val="22"/>
          <w:szCs w:val="22"/>
          <w:rtl/>
        </w:rPr>
        <w:t xml:space="preserve"> </w:t>
      </w:r>
      <w:r w:rsidRPr="008951D5">
        <w:rPr>
          <w:rFonts w:hint="cs"/>
          <w:sz w:val="22"/>
          <w:szCs w:val="22"/>
          <w:rtl/>
        </w:rPr>
        <w:t>כסדרי המינהל התקינים, חייבת ועדה לרשום פרוטוקול אשר ישקף את עיקרי המידע שהובא לפניה ואת ההחלטות שנתקבלו בעקבות אותו מידע. לעניינו של מכרז פומבי נקבעה חובת הפרוטוקול מפורשות בתקנה 29 לתקנות המכרזים (זו אף הוראת תקנה 10 לתקנות חובת המכרזים, תשנ"ג</w:t>
      </w:r>
      <w:r w:rsidRPr="008951D5">
        <w:rPr>
          <w:rFonts w:ascii="Arial" w:hAnsi="Arial" w:hint="cs"/>
          <w:b/>
          <w:sz w:val="22"/>
          <w:szCs w:val="22"/>
          <w:rtl/>
        </w:rPr>
        <w:t>-</w:t>
      </w:r>
      <w:r w:rsidRPr="008951D5">
        <w:rPr>
          <w:rFonts w:hint="cs"/>
          <w:sz w:val="22"/>
          <w:szCs w:val="22"/>
          <w:rtl/>
        </w:rPr>
        <w:t>1993), ואולם החובה לכתיבת פרוטוקול שורשיה במשפט המינהלי הכללי ובעקרון שקיפות פעילותו של המינהל. על החובה לנהל פרוטוקול מלא ומפורט שישקף את ישיבות הוועד המרכזי של לשכת עורכי</w:t>
      </w:r>
      <w:r w:rsidRPr="008951D5">
        <w:rPr>
          <w:position w:val="4"/>
          <w:sz w:val="22"/>
          <w:szCs w:val="22"/>
          <w:rtl/>
        </w:rPr>
        <w:t>-</w:t>
      </w:r>
      <w:r w:rsidRPr="008951D5">
        <w:rPr>
          <w:rFonts w:hint="cs"/>
          <w:sz w:val="22"/>
          <w:szCs w:val="22"/>
          <w:rtl/>
        </w:rPr>
        <w:t>הדין נאמרו דברים אלה בבג"ץ 954/97  כהן, עו"ד נ' ראש לשכת עורכי</w:t>
      </w:r>
      <w:r w:rsidRPr="008951D5">
        <w:rPr>
          <w:position w:val="4"/>
          <w:sz w:val="22"/>
          <w:szCs w:val="22"/>
          <w:rtl/>
        </w:rPr>
        <w:t>-</w:t>
      </w:r>
      <w:r w:rsidRPr="008951D5">
        <w:rPr>
          <w:rFonts w:hint="cs"/>
          <w:sz w:val="22"/>
          <w:szCs w:val="22"/>
          <w:rtl/>
        </w:rPr>
        <w:t>הדין (פרשת שלמה כהן [20]), בעמ' 526:</w:t>
      </w:r>
    </w:p>
    <w:p w:rsidR="00241BC2" w:rsidRPr="008951D5" w:rsidRDefault="00241BC2" w:rsidP="00241BC2">
      <w:pPr>
        <w:pStyle w:val="a7"/>
        <w:spacing w:after="60" w:line="240" w:lineRule="auto"/>
        <w:rPr>
          <w:sz w:val="22"/>
          <w:szCs w:val="22"/>
          <w:rtl/>
        </w:rPr>
      </w:pPr>
      <w:r w:rsidRPr="008951D5">
        <w:rPr>
          <w:rFonts w:hint="cs"/>
          <w:sz w:val="22"/>
          <w:szCs w:val="22"/>
          <w:rtl/>
        </w:rPr>
        <w:t>ההכרעה בנושא רישום פרוטוקול של הדברים הנאמרים בישיבות הוועד המרכזי של הלשכה – עצם הרישום והיקף הרישום – תיגזר לאחר שקלול האינטרסים שלעניין. אינטרסים אלה הם, בעיקרם: זכותו של ציבור עורכי</w:t>
      </w:r>
      <w:r w:rsidRPr="008951D5">
        <w:rPr>
          <w:rFonts w:hint="cs"/>
          <w:position w:val="4"/>
          <w:sz w:val="22"/>
          <w:szCs w:val="22"/>
          <w:rtl/>
        </w:rPr>
        <w:t>-</w:t>
      </w:r>
      <w:r w:rsidRPr="008951D5">
        <w:rPr>
          <w:rFonts w:hint="cs"/>
          <w:sz w:val="22"/>
          <w:szCs w:val="22"/>
          <w:rtl/>
        </w:rPr>
        <w:t>הדין לדעת כיצד פועלים מנהיגיו ומה הם השיקולים המדריכים אותם בהחלטותיהם; זכותם של חברי הוועד כי ציבור עורכי</w:t>
      </w:r>
      <w:r w:rsidRPr="008951D5">
        <w:rPr>
          <w:rFonts w:hint="cs"/>
          <w:position w:val="4"/>
          <w:sz w:val="22"/>
          <w:szCs w:val="22"/>
          <w:rtl/>
        </w:rPr>
        <w:t>-</w:t>
      </w:r>
      <w:r w:rsidRPr="008951D5">
        <w:rPr>
          <w:rFonts w:hint="cs"/>
          <w:sz w:val="22"/>
          <w:szCs w:val="22"/>
          <w:rtl/>
        </w:rPr>
        <w:t>הדין ידע את דרכיהם וכיצד ממלאים הם את חובתם כאנשי</w:t>
      </w:r>
      <w:r w:rsidRPr="008951D5">
        <w:rPr>
          <w:rFonts w:hint="cs"/>
          <w:position w:val="4"/>
          <w:sz w:val="22"/>
          <w:szCs w:val="22"/>
          <w:rtl/>
        </w:rPr>
        <w:t>-</w:t>
      </w:r>
      <w:r w:rsidRPr="008951D5">
        <w:rPr>
          <w:rFonts w:hint="cs"/>
          <w:sz w:val="22"/>
          <w:szCs w:val="22"/>
          <w:rtl/>
        </w:rPr>
        <w:t>ציבור נבחרים; זכותם של אלה ושל אלה לגילוי האמת, גילוי שיאפשר ביקורת ציבורית ומשפטית; העומד [כך] המינהלי והכספי הכרוך בעריכתם של פרוטוקולים. ועל כל אלה: הצורך הדוחק לחשיפת האמת על דרכי הנהלתו והנהגתו של גוף נבחר.</w:t>
      </w:r>
    </w:p>
    <w:p w:rsidR="00241BC2" w:rsidRPr="008951D5" w:rsidRDefault="00241BC2" w:rsidP="00241BC2">
      <w:pPr>
        <w:pStyle w:val="a6"/>
        <w:spacing w:after="60" w:line="240" w:lineRule="auto"/>
        <w:rPr>
          <w:sz w:val="22"/>
          <w:szCs w:val="22"/>
          <w:rtl/>
        </w:rPr>
      </w:pPr>
      <w:r w:rsidRPr="008951D5">
        <w:rPr>
          <w:rFonts w:hint="cs"/>
          <w:sz w:val="22"/>
          <w:szCs w:val="22"/>
          <w:rtl/>
        </w:rPr>
        <w:t>דברים שנאמרו על הוועד המרכזי של לשכת עורכי</w:t>
      </w:r>
      <w:r w:rsidRPr="008951D5">
        <w:rPr>
          <w:position w:val="4"/>
          <w:sz w:val="22"/>
          <w:szCs w:val="22"/>
          <w:rtl/>
        </w:rPr>
        <w:t>-</w:t>
      </w:r>
      <w:r w:rsidRPr="008951D5">
        <w:rPr>
          <w:rFonts w:hint="cs"/>
          <w:sz w:val="22"/>
          <w:szCs w:val="22"/>
          <w:rtl/>
        </w:rPr>
        <w:t>הדין ייאמרו – בעיקריהם – אף על ועדת מכרזים במכרז פנימי כשלנו: זכותו של הציבור וזכותם של המועמדים לדעת כיצד ועל יסוד איזה מידע נתקבלו החלטות שנתקבלו; זכותם של חברי הוועדה היא כי הציבור והמועמדים ידעו כיצד ניהגו את דרכיהם וכיצד מילאו הם את חובתם; זכותם של אלה ושל אלה לגילוי האמת, גילוי שיאפשר ביקורת ציבורית ומשפטית. ועל כל אלה: הצורך הדוחק לחשיפת האמת ולהבטחה כי המכרז אכן מילא את ייעודו והעניק שוויון הזדמנויות מלא למתַחֲרים בו.</w:t>
      </w:r>
    </w:p>
    <w:p w:rsidR="00241BC2" w:rsidRPr="008951D5" w:rsidRDefault="00241BC2" w:rsidP="00241BC2">
      <w:pPr>
        <w:pStyle w:val="a6"/>
        <w:spacing w:after="60" w:line="240" w:lineRule="auto"/>
        <w:rPr>
          <w:sz w:val="22"/>
          <w:szCs w:val="22"/>
          <w:rtl/>
        </w:rPr>
      </w:pPr>
      <w:r w:rsidRPr="008951D5">
        <w:rPr>
          <w:rFonts w:hint="cs"/>
          <w:sz w:val="22"/>
          <w:szCs w:val="22"/>
          <w:rtl/>
        </w:rPr>
        <w:t>19.</w:t>
      </w:r>
      <w:r w:rsidRPr="008951D5">
        <w:rPr>
          <w:rFonts w:hint="cs"/>
          <w:sz w:val="22"/>
          <w:szCs w:val="22"/>
          <w:rtl/>
        </w:rPr>
        <w:tab/>
        <w:t>אשר לפרוטוקול ישיבתה של ועדה במכרז פנימי לאיוש משרה; כפי שציינו לעיל, חובה היא המוטלת על הוועדה להעניק למועמדים שוויון הזדמנויות לזכות במכרז, ועל כך אין חולקים. עוד ראינו כי במכרז פנימי לאיוש משרה אין אפשרות ליישם בקפדנות את הכללים הקובעים בסוגיה של משוא פנים. על רקע דברים אלה לא נותר לנו – וגם על כך עמדנו – אלא להגביר את הפיקוח והבקרה על התנהלותה של הוועדה, שאם לא נעשה כן נימצא מסכלים במו</w:t>
      </w:r>
      <w:r w:rsidRPr="008951D5">
        <w:rPr>
          <w:rFonts w:hint="cs"/>
          <w:position w:val="4"/>
          <w:sz w:val="22"/>
          <w:szCs w:val="22"/>
          <w:rtl/>
        </w:rPr>
        <w:t>-</w:t>
      </w:r>
      <w:r w:rsidRPr="008951D5">
        <w:rPr>
          <w:rFonts w:hint="cs"/>
          <w:sz w:val="22"/>
          <w:szCs w:val="22"/>
          <w:rtl/>
        </w:rPr>
        <w:t>ידינו את ייעודו של המכרז. פיקוח ובקרה אלה יהיו אפקטיביים רק אם נדאג מראש לדיווח מהימן וראוי באשר להליכי קבלת ההחלטות בוועדה, ותרגום צורך זה לענייננו יחייב מעצמו עריכתו של פרוטוקול אשר ידבר בעד עצמו ויספק מידע נדרש וראוי לביקורת ולפיקוח על עבודת הוועדה, להבטחה כי פעלה כהלכה וכי העניקה שוויון הזדמנויות לכל המועמדים שהופיעו לפניה.</w:t>
      </w:r>
    </w:p>
    <w:p w:rsidR="00241BC2" w:rsidRPr="008951D5" w:rsidRDefault="00241BC2" w:rsidP="00241BC2">
      <w:pPr>
        <w:pStyle w:val="a6"/>
        <w:spacing w:after="60" w:line="240" w:lineRule="auto"/>
        <w:rPr>
          <w:sz w:val="22"/>
          <w:szCs w:val="22"/>
          <w:rtl/>
        </w:rPr>
      </w:pPr>
      <w:r w:rsidRPr="008951D5">
        <w:rPr>
          <w:rFonts w:hint="cs"/>
          <w:sz w:val="22"/>
          <w:szCs w:val="22"/>
          <w:rtl/>
        </w:rPr>
        <w:t>20.</w:t>
      </w:r>
      <w:r w:rsidRPr="008951D5">
        <w:rPr>
          <w:rFonts w:hint="cs"/>
          <w:sz w:val="22"/>
          <w:szCs w:val="22"/>
          <w:rtl/>
        </w:rPr>
        <w:tab/>
        <w:t>פרוטוקול מעין</w:t>
      </w:r>
      <w:r w:rsidRPr="008951D5">
        <w:rPr>
          <w:rFonts w:hint="cs"/>
          <w:position w:val="4"/>
          <w:sz w:val="22"/>
          <w:szCs w:val="22"/>
          <w:rtl/>
        </w:rPr>
        <w:t>-</w:t>
      </w:r>
      <w:r w:rsidRPr="008951D5">
        <w:rPr>
          <w:rFonts w:hint="cs"/>
          <w:sz w:val="22"/>
          <w:szCs w:val="22"/>
          <w:rtl/>
        </w:rPr>
        <w:t xml:space="preserve">זה ראוי לו שידווח, למצער, על עיקרי ההתרחשויות שהיו בוועדה, ובהם דיווח חברי הוועדה על דברים שנאמרו להם, על פגישות שהיו להם וכו'. ראו והשוו פרשת חזאן [2]. ראו עוד דברים שנאמרו בפרשת שלמה כהן [20], לעיל, שם, בעמ' 527: </w:t>
      </w:r>
    </w:p>
    <w:p w:rsidR="00241BC2" w:rsidRPr="008951D5" w:rsidRDefault="00241BC2" w:rsidP="00241BC2">
      <w:pPr>
        <w:pStyle w:val="a7"/>
        <w:spacing w:after="60" w:line="240" w:lineRule="auto"/>
        <w:rPr>
          <w:sz w:val="22"/>
          <w:szCs w:val="22"/>
          <w:rtl/>
        </w:rPr>
      </w:pPr>
      <w:r w:rsidRPr="008951D5">
        <w:rPr>
          <w:rFonts w:hint="cs"/>
          <w:sz w:val="22"/>
          <w:szCs w:val="22"/>
          <w:rtl/>
        </w:rPr>
        <w:t>הכול מסכימים כי פרוטוקול חייב לשקף את האמת בלי כחל</w:t>
      </w:r>
      <w:r w:rsidRPr="008951D5">
        <w:rPr>
          <w:rFonts w:hint="cs"/>
          <w:position w:val="4"/>
          <w:sz w:val="22"/>
          <w:szCs w:val="22"/>
          <w:rtl/>
        </w:rPr>
        <w:t>-</w:t>
      </w:r>
      <w:r w:rsidRPr="008951D5">
        <w:rPr>
          <w:rFonts w:hint="cs"/>
          <w:sz w:val="22"/>
          <w:szCs w:val="22"/>
          <w:rtl/>
        </w:rPr>
        <w:t>ושרק: גם אם אמת מרה היא, גם אם אמת מכוערת. פרוטוקול נדמה הוא למצלמה – בימינו נאמר: למצלמת</w:t>
      </w:r>
      <w:r w:rsidRPr="008951D5">
        <w:rPr>
          <w:rFonts w:hint="cs"/>
          <w:position w:val="4"/>
          <w:sz w:val="22"/>
          <w:szCs w:val="22"/>
          <w:rtl/>
        </w:rPr>
        <w:t>-</w:t>
      </w:r>
      <w:r w:rsidRPr="008951D5">
        <w:rPr>
          <w:rFonts w:hint="cs"/>
          <w:sz w:val="22"/>
          <w:szCs w:val="22"/>
          <w:rtl/>
        </w:rPr>
        <w:t>וידאו – ומצלמה תקלוט ותדפיס גם מחזות שאינם מרניני</w:t>
      </w:r>
      <w:r w:rsidRPr="008951D5">
        <w:rPr>
          <w:rFonts w:hint="cs"/>
          <w:position w:val="4"/>
          <w:sz w:val="22"/>
          <w:szCs w:val="22"/>
          <w:rtl/>
        </w:rPr>
        <w:t>-</w:t>
      </w:r>
      <w:r w:rsidRPr="008951D5">
        <w:rPr>
          <w:rFonts w:hint="cs"/>
          <w:sz w:val="22"/>
          <w:szCs w:val="22"/>
          <w:rtl/>
        </w:rPr>
        <w:t>לב. פרוטוקול חייב שיאמר אמת; וכדבר הנביא (זכריה, ח, טז): "דַּבְּרוּ אֱמֶת אִישׁ אֶת</w:t>
      </w:r>
      <w:r w:rsidRPr="008951D5">
        <w:rPr>
          <w:rFonts w:ascii="Arial" w:hAnsi="Arial" w:hint="cs"/>
          <w:b/>
          <w:position w:val="4"/>
          <w:sz w:val="22"/>
          <w:szCs w:val="22"/>
          <w:rtl/>
        </w:rPr>
        <w:t>-</w:t>
      </w:r>
      <w:r w:rsidRPr="008951D5">
        <w:rPr>
          <w:rFonts w:hint="cs"/>
          <w:sz w:val="22"/>
          <w:szCs w:val="22"/>
          <w:rtl/>
        </w:rPr>
        <w:t>רֵעֵהוּ". אמר על</w:t>
      </w:r>
      <w:r w:rsidRPr="008951D5">
        <w:rPr>
          <w:rFonts w:hint="cs"/>
          <w:position w:val="4"/>
          <w:sz w:val="22"/>
          <w:szCs w:val="22"/>
          <w:rtl/>
        </w:rPr>
        <w:t>-</w:t>
      </w:r>
      <w:r w:rsidRPr="008951D5">
        <w:rPr>
          <w:rFonts w:hint="cs"/>
          <w:sz w:val="22"/>
          <w:szCs w:val="22"/>
          <w:rtl/>
        </w:rPr>
        <w:t>כך השופט ברק בבג"ץ 990/92 מורדוב נ' עיריית תל</w:t>
      </w:r>
      <w:r w:rsidRPr="008951D5">
        <w:rPr>
          <w:rFonts w:hint="cs"/>
          <w:position w:val="4"/>
          <w:sz w:val="22"/>
          <w:szCs w:val="22"/>
          <w:rtl/>
        </w:rPr>
        <w:t>-</w:t>
      </w:r>
      <w:r w:rsidRPr="008951D5">
        <w:rPr>
          <w:rFonts w:hint="cs"/>
          <w:sz w:val="22"/>
          <w:szCs w:val="22"/>
          <w:rtl/>
        </w:rPr>
        <w:t>אביב</w:t>
      </w:r>
      <w:r w:rsidRPr="008951D5">
        <w:rPr>
          <w:rFonts w:hint="cs"/>
          <w:position w:val="4"/>
          <w:sz w:val="22"/>
          <w:szCs w:val="22"/>
          <w:rtl/>
        </w:rPr>
        <w:t>-</w:t>
      </w:r>
      <w:r w:rsidRPr="008951D5">
        <w:rPr>
          <w:rFonts w:hint="cs"/>
          <w:sz w:val="22"/>
          <w:szCs w:val="22"/>
          <w:rtl/>
        </w:rPr>
        <w:t>יפו ואח', בעמ' 478:</w:t>
      </w:r>
    </w:p>
    <w:p w:rsidR="00241BC2" w:rsidRPr="00F12BF1" w:rsidRDefault="00241BC2" w:rsidP="00241BC2">
      <w:pPr>
        <w:pStyle w:val="a7"/>
        <w:spacing w:after="60" w:line="240" w:lineRule="auto"/>
        <w:ind w:left="709" w:right="709"/>
        <w:rPr>
          <w:sz w:val="22"/>
          <w:szCs w:val="22"/>
          <w:highlight w:val="yellow"/>
          <w:rtl/>
        </w:rPr>
      </w:pPr>
      <w:r w:rsidRPr="00F12BF1">
        <w:rPr>
          <w:rFonts w:hint="cs"/>
          <w:sz w:val="22"/>
          <w:szCs w:val="22"/>
          <w:highlight w:val="yellow"/>
          <w:rtl/>
        </w:rPr>
        <w:t>"...הפרוטוקול הוא כלי לשיקוף המציאות. השיקוף של המציאות יכול להיות מלא או מתומצת. הוא חייב להיות אמיתי. אם האמת היא מרה, חייב הפרוטוקול לשקף (באופן מלא או מתומצת) אמת מרה זו. אין להוציא מהפרוטוקול דברים שאינם ראויים להישמע. אין לתקן פרוטוקול בשל אי הנחת (המוצדקת או הבלתי מוצדקת) מתוכנם של הדברים שנאמרו. הפרוטוקול הוא 'עיוור צבעים'. הוא צילום של מציאות. שינוי בפרוטוקול יכול להיעשות רק כדי להתאימו למציאות. אין לשנות את הפרוטוקול כדי שהלה לא ישקף את המציאות".</w:t>
      </w:r>
    </w:p>
    <w:p w:rsidR="00241BC2" w:rsidRPr="00F12BF1" w:rsidRDefault="00241BC2" w:rsidP="00241BC2">
      <w:pPr>
        <w:pStyle w:val="a6"/>
        <w:spacing w:after="60" w:line="240" w:lineRule="auto"/>
        <w:rPr>
          <w:sz w:val="22"/>
          <w:szCs w:val="22"/>
          <w:highlight w:val="yellow"/>
          <w:rtl/>
        </w:rPr>
      </w:pPr>
      <w:r w:rsidRPr="00F12BF1">
        <w:rPr>
          <w:rFonts w:hint="cs"/>
          <w:sz w:val="22"/>
          <w:szCs w:val="22"/>
          <w:highlight w:val="yellow"/>
          <w:rtl/>
        </w:rPr>
        <w:t>אכן, רק פרוטוקול אמין בהליכיה של ועדת מכרזים יכול שיקיים את עקרון השקיפות, ופרוטוקול מעין</w:t>
      </w:r>
      <w:r w:rsidRPr="00F12BF1">
        <w:rPr>
          <w:rFonts w:hint="cs"/>
          <w:position w:val="4"/>
          <w:sz w:val="22"/>
          <w:szCs w:val="22"/>
          <w:highlight w:val="yellow"/>
          <w:rtl/>
        </w:rPr>
        <w:t>-</w:t>
      </w:r>
      <w:r w:rsidRPr="00F12BF1">
        <w:rPr>
          <w:rFonts w:hint="cs"/>
          <w:sz w:val="22"/>
          <w:szCs w:val="22"/>
          <w:highlight w:val="yellow"/>
          <w:rtl/>
        </w:rPr>
        <w:t>זה יחזק את ביטחוננו כי הליכי הוועדה התנהלו כשורה.</w:t>
      </w:r>
    </w:p>
    <w:p w:rsidR="00241BC2" w:rsidRPr="00F12BF1" w:rsidRDefault="00241BC2" w:rsidP="00241BC2">
      <w:pPr>
        <w:pStyle w:val="a6"/>
        <w:spacing w:after="60" w:line="240" w:lineRule="auto"/>
        <w:rPr>
          <w:sz w:val="22"/>
          <w:szCs w:val="22"/>
          <w:highlight w:val="yellow"/>
          <w:rtl/>
        </w:rPr>
      </w:pPr>
      <w:r w:rsidRPr="00F12BF1">
        <w:rPr>
          <w:rFonts w:hint="cs"/>
          <w:sz w:val="22"/>
          <w:szCs w:val="22"/>
          <w:highlight w:val="yellow"/>
          <w:rtl/>
        </w:rPr>
        <w:t>21.</w:t>
      </w:r>
      <w:r w:rsidRPr="00F12BF1">
        <w:rPr>
          <w:rFonts w:hint="cs"/>
          <w:sz w:val="22"/>
          <w:szCs w:val="22"/>
          <w:highlight w:val="yellow"/>
          <w:rtl/>
        </w:rPr>
        <w:tab/>
        <w:t>מסקנתנו הינה אפוא זו כי חובה היא המוטלת על ועדת המכרזים לנהל פרוטוקול של דיוניה והחלטותיה, לרבות מידע הנמסר לה כנדרש בידי חברי הוועדה. השאלה מה דין הוא במקום שלא נוהל בו פרוטוקול כלל, או שהפרוטוקול נרשם אך בחֶסֶר, תיבחן בנסיבותיו של כל מקרה ומקרה, וההכרעה תיפול – בעיקרה – על</w:t>
      </w:r>
      <w:r w:rsidRPr="00F12BF1">
        <w:rPr>
          <w:rFonts w:hint="cs"/>
          <w:position w:val="4"/>
          <w:sz w:val="22"/>
          <w:szCs w:val="22"/>
          <w:highlight w:val="yellow"/>
          <w:rtl/>
        </w:rPr>
        <w:t>-</w:t>
      </w:r>
      <w:r w:rsidRPr="00F12BF1">
        <w:rPr>
          <w:rFonts w:hint="cs"/>
          <w:sz w:val="22"/>
          <w:szCs w:val="22"/>
          <w:highlight w:val="yellow"/>
          <w:rtl/>
        </w:rPr>
        <w:t>פי עוצמת הפגיעה בטוען כי נפגע. ...</w:t>
      </w:r>
    </w:p>
    <w:p w:rsidR="00241BC2" w:rsidRPr="00F12BF1" w:rsidRDefault="00241BC2" w:rsidP="00241BC2">
      <w:pPr>
        <w:spacing w:after="60"/>
        <w:ind w:firstLine="284"/>
        <w:rPr>
          <w:rFonts w:cs="FrankRuehl"/>
          <w:sz w:val="22"/>
          <w:szCs w:val="22"/>
          <w:highlight w:val="yellow"/>
          <w:rtl/>
        </w:rPr>
      </w:pPr>
      <w:r w:rsidRPr="00F12BF1">
        <w:rPr>
          <w:rFonts w:cs="FrankRuehl" w:hint="cs"/>
          <w:sz w:val="22"/>
          <w:szCs w:val="22"/>
          <w:highlight w:val="yellow"/>
          <w:rtl/>
        </w:rPr>
        <w:t>23.</w:t>
      </w:r>
      <w:r w:rsidRPr="00F12BF1">
        <w:rPr>
          <w:rFonts w:cs="FrankRuehl" w:hint="cs"/>
          <w:sz w:val="22"/>
          <w:szCs w:val="22"/>
          <w:highlight w:val="yellow"/>
          <w:rtl/>
        </w:rPr>
        <w:tab/>
        <w:t>כללם של דברים: כדי להבטיח כי ועדת מכרזים במכרז פנימי לאיוש משרה תמלא תפקידה נאמנה, שומה עליהם על חברי הוועדה לדווח לוועדה בפרוטרוט על קשריהם עם המועמדים או עם מקצתם, על שיחות שהיו להם על אודות המועמדים עם אנשים שלישיים או עם חברי הוועדה שלא במושב הוועדה וכו'; חובה היא המוטלת על הוועדה לנהל פרוטוקול שישקף למצער את עיקרי הדברים שהיו בדיוני הוועדה ואת נימוקי הוועדה להחלטתה. פרוטוקול זה – בכפיפות לחריגים המקובלים כגון פגיעה בצנעת הפרט, גילוי סוד מסחרי וכיו"ב – יהיה פתוח לעיונם של כל המועמדים כולם. כך יהא ניתן להבטיח, למצער לכאורה, כי הוועדה פעלה כשורה, וכי קוים עקרון שוויון ההזדמנויות. ...</w:t>
      </w:r>
    </w:p>
    <w:p w:rsidR="00241BC2" w:rsidRDefault="00241BC2" w:rsidP="00241BC2">
      <w:pPr>
        <w:spacing w:after="60"/>
        <w:ind w:firstLine="284"/>
        <w:rPr>
          <w:rFonts w:cs="FrankRuehl"/>
          <w:sz w:val="22"/>
          <w:szCs w:val="22"/>
          <w:rtl/>
        </w:rPr>
      </w:pPr>
      <w:r w:rsidRPr="00F12BF1">
        <w:rPr>
          <w:rFonts w:cs="FrankRuehl" w:hint="cs"/>
          <w:sz w:val="22"/>
          <w:szCs w:val="22"/>
          <w:highlight w:val="yellow"/>
          <w:rtl/>
        </w:rPr>
        <w:t>27.</w:t>
      </w:r>
      <w:r w:rsidRPr="00F12BF1">
        <w:rPr>
          <w:rFonts w:cs="FrankRuehl" w:hint="cs"/>
          <w:sz w:val="22"/>
          <w:szCs w:val="22"/>
          <w:highlight w:val="yellow"/>
          <w:rtl/>
        </w:rPr>
        <w:tab/>
        <w:t>אני נכון להסכים – כיצד אוכל אחרת – כי היעדרו של פרוטוקול "מלא ואמין" אין בו, תמיד ובכל נסיבות שהן, כדי להביא לביטולו של מכרז. השאלה אילו תוצאות יגרור אחריו היעדרו של פרוטוקול – או היעדרו של פרוטוקול "מלא ואמין" – שאלה של נסיבות היא:</w:t>
      </w:r>
      <w:r w:rsidRPr="008824D2">
        <w:rPr>
          <w:rFonts w:cs="FrankRuehl" w:hint="cs"/>
          <w:sz w:val="22"/>
          <w:szCs w:val="22"/>
          <w:rtl/>
        </w:rPr>
        <w:t xml:space="preserve"> יש שיהיה כך ויש שיהיה אחרת. בענייננו-שלנו נודע להיעדרו של פרוטוקול משקל מכריע. כך למשל אין אנו יודעים אם דיווח בר-דוד לוועדה על אודות פגישות שהיו לו עם פלונים ואלמונים – ואם דיווח, מה דיווח – ואין אנו יודעים מה אמרו חברי הוועדה על דיווחים שהיו או שלא היו. אין אנו יודעים מה אמרו היועצים לוועדה, מה השמיעו חברי הוועדה, ועדויות על-פה שנשמעו לפני בית-הדין אינן מקדמות אותנו בהרבה. אך באשר לא נרשם פרוטוקול אין עומדת לה לוועדה חזקת התקינות המינהלית, ובנסיבות אלו הנטל לא על העותר אלא על הוועדה מוטל הוא להראות כי פעלה כדין וכשורה (ואין זה מעלה או מוריד אם נטל השכנוע מוטל על הוועדה, או אם נטל השכנוע מוטל על העותר דווקא, אלא שהנטל הטקטי עבר אל שכמה של הוועדה). אמירת בית-המשפט כי העותר כשל בהסרת נטל השכנוע מעל כתפיו פועלת כבומרנג ופוגעת בוועדה דווקא. לשון אחר: כֶּשֶל שנמצא לו לבית-הדין במערכת העובדות שהציג העותר לפניו, מחזיר פניו לאחור ופוגע דווקא במערכת שהציגה  ועדת המכרזים לפניו. וכך, משלא עלה בידיה של הוועדה להציג פרוטוקול ראוי על מהלך ישיבתה, הנטל – למצער הנטל הטקטי – עליה הוטל, להוכיח כי ישיבתה נוהלה כדין וכראוי. על רקע כל אלה נדע כי משהוכח מה שהוכח, כשלה הוועדה בהוכחה כי פעלה כשורה וכהלכה, כי בר-דוד דיווח לה את שהיה עליו לדווח וכו'. בבואנו לברר מה אירע בישיבת הוועדה היינו כסומים בארובה, ואת העלטה הביאה עלינו הוועדה. ומי שהביא את העלטה הוא אף שיישא בתוצאות</w:t>
      </w:r>
      <w:r>
        <w:rPr>
          <w:rFonts w:cs="FrankRuehl" w:hint="cs"/>
          <w:sz w:val="22"/>
          <w:szCs w:val="22"/>
          <w:rtl/>
        </w:rPr>
        <w:t>.</w:t>
      </w:r>
    </w:p>
    <w:p w:rsidR="00241BC2" w:rsidRPr="008951D5" w:rsidRDefault="00241BC2" w:rsidP="00241BC2">
      <w:pPr>
        <w:spacing w:after="60"/>
        <w:ind w:firstLine="284"/>
        <w:rPr>
          <w:rFonts w:cs="FrankRuehl"/>
          <w:sz w:val="22"/>
          <w:szCs w:val="22"/>
          <w:rtl/>
        </w:rPr>
      </w:pPr>
      <w:r w:rsidRPr="00F12BF1">
        <w:rPr>
          <w:rFonts w:cs="FrankRuehl" w:hint="cs"/>
          <w:sz w:val="22"/>
          <w:szCs w:val="22"/>
          <w:highlight w:val="yellow"/>
          <w:rtl/>
        </w:rPr>
        <w:t>29. [...] ערים אנו כמובן לרגישות הנלווית לבחירתם של מועמדים לאיוש משרה פנויה. שיקולים אישיים – בחלקם אף אינטימיים – מתרוצצים במערכת. לא כל אשר יילחש אף ייאמר בקול, ולא כל אשר ייאמר בקול יירשם. הכול יודעין, וגם אנו נדע. לא בכדי נקבע בסעיף 3 לחוק סדרי המינהל כי אין חובה לנמק סירוב למנות את המבקש למשרה פלונית. ואולם ענייננו רחוק מאותם מקרים מיוחדים. מקום שאיש ועד לוחש באוזנו של חבר ועדת מכרזים כי שומה עליו לבחור בפלוני ולא באלמוני, חייבים כל חברי ועדת המכרזים לדעת על דבר אותה לחישה, וחייבים הדברים שיירשמו בפרוטוקול.  בהיעדר פרוטוקול לא ידענו מה שאירע במהלך ישיבתה של הוועדה, ואך ראוי הוא שנניח דברים לחובתה של הוועדה.</w:t>
      </w:r>
      <w:r w:rsidRPr="003357FA">
        <w:rPr>
          <w:rFonts w:cs="FrankRuehl" w:hint="cs"/>
          <w:sz w:val="22"/>
          <w:szCs w:val="22"/>
          <w:rtl/>
        </w:rPr>
        <w:t xml:space="preserve"> </w:t>
      </w:r>
      <w:r w:rsidRPr="00EC4628">
        <w:rPr>
          <w:rFonts w:cs="FrankRuehl" w:hint="cs"/>
          <w:sz w:val="22"/>
          <w:szCs w:val="22"/>
          <w:rtl/>
        </w:rPr>
        <w:t xml:space="preserve">פירוש הדברים </w:t>
      </w:r>
      <w:r w:rsidRPr="00EC4628">
        <w:rPr>
          <w:rFonts w:cs="FrankRuehl" w:hint="cs"/>
          <w:sz w:val="22"/>
          <w:szCs w:val="22"/>
          <w:highlight w:val="yellow"/>
          <w:rtl/>
        </w:rPr>
        <w:t>הוא, בנסיבות העניין, כי בר-דוד [חבר הוועדה] הִגִּיעַ את הוועדה בפגם של משוא פנים, ועל רקע זה אחת דינו של המכרז – להיבטל.</w:t>
      </w:r>
    </w:p>
    <w:p w:rsidR="00241BC2" w:rsidRDefault="00241BC2" w:rsidP="00241BC2">
      <w:pPr>
        <w:rPr>
          <w:sz w:val="22"/>
          <w:szCs w:val="22"/>
          <w:rtl/>
        </w:rPr>
      </w:pPr>
    </w:p>
    <w:p w:rsidR="00241BC2" w:rsidRDefault="00241BC2" w:rsidP="00241BC2">
      <w:pPr>
        <w:rPr>
          <w:sz w:val="22"/>
          <w:szCs w:val="22"/>
          <w:rtl/>
        </w:rPr>
      </w:pPr>
      <w:r>
        <w:rPr>
          <w:rFonts w:hint="cs"/>
          <w:sz w:val="22"/>
          <w:szCs w:val="22"/>
          <w:rtl/>
        </w:rPr>
        <w:t>=-=</w:t>
      </w:r>
    </w:p>
    <w:p w:rsidR="00241BC2" w:rsidRPr="00A86211" w:rsidRDefault="00241BC2" w:rsidP="00241BC2">
      <w:pPr>
        <w:rPr>
          <w:rFonts w:cs="Guttman-Soncino"/>
          <w:sz w:val="32"/>
          <w:szCs w:val="32"/>
          <w:rtl/>
        </w:rPr>
      </w:pPr>
      <w:r>
        <w:rPr>
          <w:rFonts w:cs="Guttman-Soncino" w:hint="cs"/>
          <w:sz w:val="32"/>
          <w:szCs w:val="32"/>
          <w:rtl/>
        </w:rPr>
        <w:t>ההליך המינהלי:</w:t>
      </w:r>
    </w:p>
    <w:p w:rsidR="00241BC2" w:rsidRDefault="00241BC2" w:rsidP="00241BC2">
      <w:pPr>
        <w:rPr>
          <w:rFonts w:ascii="Arial" w:hAnsi="Arial" w:cs="David"/>
          <w:sz w:val="20"/>
          <w:szCs w:val="20"/>
          <w:rtl/>
        </w:rPr>
      </w:pPr>
    </w:p>
    <w:p w:rsidR="00241BC2" w:rsidRPr="00A86211" w:rsidRDefault="00241BC2" w:rsidP="00241BC2">
      <w:pPr>
        <w:jc w:val="center"/>
        <w:rPr>
          <w:rFonts w:ascii="Arial" w:hAnsi="Arial" w:cs="Guttman-Soncino"/>
          <w:sz w:val="32"/>
          <w:szCs w:val="32"/>
          <w:rtl/>
        </w:rPr>
      </w:pPr>
      <w:r w:rsidRPr="00A86211">
        <w:rPr>
          <w:rFonts w:ascii="Arial" w:hAnsi="Arial" w:cs="Guttman-Soncino" w:hint="cs"/>
          <w:sz w:val="32"/>
          <w:szCs w:val="32"/>
          <w:highlight w:val="yellow"/>
          <w:rtl/>
        </w:rPr>
        <w:t xml:space="preserve">ג. הכללים החלים על הרשות השלטונית ביחס </w:t>
      </w:r>
      <w:r w:rsidRPr="00A86211">
        <w:rPr>
          <w:rFonts w:ascii="Arial" w:hAnsi="Arial" w:cs="Guttman-Soncino" w:hint="cs"/>
          <w:sz w:val="32"/>
          <w:szCs w:val="32"/>
          <w:highlight w:val="yellow"/>
          <w:u w:val="single"/>
          <w:rtl/>
        </w:rPr>
        <w:t>ל</w:t>
      </w:r>
      <w:r w:rsidRPr="00A86211">
        <w:rPr>
          <w:rFonts w:ascii="Arial" w:hAnsi="Arial" w:cs="Guttman-Soncino"/>
          <w:sz w:val="32"/>
          <w:szCs w:val="32"/>
          <w:highlight w:val="yellow"/>
          <w:u w:val="single"/>
          <w:rtl/>
        </w:rPr>
        <w:t xml:space="preserve">מועד </w:t>
      </w:r>
      <w:r w:rsidRPr="00A86211">
        <w:rPr>
          <w:rFonts w:ascii="Arial" w:hAnsi="Arial" w:cs="Guttman-Soncino" w:hint="cs"/>
          <w:sz w:val="32"/>
          <w:szCs w:val="32"/>
          <w:highlight w:val="yellow"/>
          <w:u w:val="single"/>
          <w:rtl/>
        </w:rPr>
        <w:t>ה</w:t>
      </w:r>
      <w:r w:rsidRPr="00A86211">
        <w:rPr>
          <w:rFonts w:ascii="Arial" w:hAnsi="Arial" w:cs="Guttman-Soncino"/>
          <w:sz w:val="32"/>
          <w:szCs w:val="32"/>
          <w:highlight w:val="yellow"/>
          <w:u w:val="single"/>
          <w:rtl/>
        </w:rPr>
        <w:t>תחולה</w:t>
      </w:r>
      <w:r w:rsidRPr="00A86211">
        <w:rPr>
          <w:rFonts w:ascii="Arial" w:hAnsi="Arial" w:cs="Guttman-Soncino"/>
          <w:sz w:val="32"/>
          <w:szCs w:val="32"/>
          <w:highlight w:val="yellow"/>
          <w:rtl/>
        </w:rPr>
        <w:t xml:space="preserve"> </w:t>
      </w:r>
      <w:r w:rsidRPr="00A86211">
        <w:rPr>
          <w:rFonts w:ascii="Arial" w:hAnsi="Arial" w:cs="Guttman-Soncino" w:hint="cs"/>
          <w:sz w:val="32"/>
          <w:szCs w:val="32"/>
          <w:highlight w:val="yellow"/>
          <w:rtl/>
        </w:rPr>
        <w:t>של אקטים שלה</w:t>
      </w:r>
    </w:p>
    <w:p w:rsidR="00241BC2" w:rsidRDefault="00241BC2" w:rsidP="00241BC2">
      <w:pPr>
        <w:jc w:val="left"/>
        <w:rPr>
          <w:rFonts w:ascii="Arial" w:hAnsi="Arial" w:cs="Arial"/>
          <w:b/>
          <w:bCs/>
          <w:sz w:val="22"/>
          <w:szCs w:val="22"/>
          <w:rtl/>
        </w:rPr>
      </w:pPr>
    </w:p>
    <w:p w:rsidR="00241BC2" w:rsidRPr="00DA19AC" w:rsidRDefault="00241BC2" w:rsidP="00241BC2">
      <w:pPr>
        <w:spacing w:after="120"/>
        <w:ind w:left="423"/>
        <w:rPr>
          <w:rFonts w:ascii="Arial" w:hAnsi="Arial" w:cs="Arial"/>
          <w:sz w:val="20"/>
          <w:szCs w:val="20"/>
          <w:rtl/>
        </w:rPr>
      </w:pPr>
      <w:r w:rsidRPr="006325E6">
        <w:rPr>
          <w:rFonts w:ascii="Arial" w:hAnsi="Arial" w:cs="Arial"/>
          <w:b/>
          <w:bCs/>
          <w:sz w:val="20"/>
          <w:szCs w:val="20"/>
          <w:highlight w:val="yellow"/>
          <w:rtl/>
        </w:rPr>
        <w:t>מושגים</w:t>
      </w:r>
      <w:r w:rsidRPr="00DA19AC">
        <w:rPr>
          <w:rFonts w:ascii="Arial" w:hAnsi="Arial" w:cs="Arial"/>
          <w:b/>
          <w:bCs/>
          <w:sz w:val="20"/>
          <w:szCs w:val="20"/>
          <w:rtl/>
        </w:rPr>
        <w:t xml:space="preserve"> (</w:t>
      </w:r>
      <w:r w:rsidRPr="00DA19AC">
        <w:rPr>
          <w:rFonts w:ascii="Arial" w:hAnsi="Arial" w:cs="Arial"/>
          <w:sz w:val="20"/>
          <w:szCs w:val="20"/>
          <w:rtl/>
        </w:rPr>
        <w:t>מתוך עע"א 1613/91</w:t>
      </w:r>
      <w:r w:rsidRPr="00DA19AC">
        <w:rPr>
          <w:rFonts w:ascii="Arial" w:hAnsi="Arial" w:cs="Arial"/>
          <w:b/>
          <w:bCs/>
          <w:sz w:val="20"/>
          <w:szCs w:val="20"/>
          <w:rtl/>
        </w:rPr>
        <w:t xml:space="preserve"> ארביב נ' מדינת ישראל, </w:t>
      </w:r>
      <w:r w:rsidRPr="00DA19AC">
        <w:rPr>
          <w:rFonts w:ascii="Arial" w:hAnsi="Arial" w:cs="Arial"/>
          <w:sz w:val="20"/>
          <w:szCs w:val="20"/>
          <w:rtl/>
        </w:rPr>
        <w:t>הש' ברק</w:t>
      </w:r>
      <w:r w:rsidRPr="00DA19AC">
        <w:rPr>
          <w:rFonts w:ascii="Arial" w:hAnsi="Arial" w:cs="Arial"/>
          <w:b/>
          <w:bCs/>
          <w:sz w:val="20"/>
          <w:szCs w:val="20"/>
          <w:rtl/>
        </w:rPr>
        <w:t xml:space="preserve">) </w:t>
      </w:r>
    </w:p>
    <w:p w:rsidR="00241BC2" w:rsidRDefault="00241BC2" w:rsidP="00241BC2">
      <w:pPr>
        <w:ind w:left="423"/>
        <w:rPr>
          <w:rFonts w:cs="David"/>
          <w:sz w:val="20"/>
          <w:szCs w:val="20"/>
          <w:rtl/>
        </w:rPr>
      </w:pPr>
      <w:r w:rsidRPr="00DA19AC">
        <w:rPr>
          <w:rFonts w:cs="David" w:hint="cs"/>
          <w:b/>
          <w:bCs/>
          <w:sz w:val="20"/>
          <w:szCs w:val="20"/>
          <w:rtl/>
        </w:rPr>
        <w:t>החלה רטרוספקטיבית</w:t>
      </w:r>
      <w:r w:rsidRPr="00DA19AC">
        <w:rPr>
          <w:rFonts w:cs="David" w:hint="cs"/>
          <w:sz w:val="20"/>
          <w:szCs w:val="20"/>
          <w:rtl/>
        </w:rPr>
        <w:t xml:space="preserve"> </w:t>
      </w:r>
      <w:r w:rsidRPr="00DA19AC">
        <w:rPr>
          <w:rFonts w:cs="David"/>
          <w:sz w:val="20"/>
          <w:szCs w:val="20"/>
          <w:rtl/>
        </w:rPr>
        <w:t>–</w:t>
      </w:r>
      <w:r w:rsidRPr="00DA19AC">
        <w:rPr>
          <w:rFonts w:cs="David" w:hint="cs"/>
          <w:sz w:val="20"/>
          <w:szCs w:val="20"/>
          <w:rtl/>
        </w:rPr>
        <w:t xml:space="preserve"> </w:t>
      </w:r>
    </w:p>
    <w:p w:rsidR="00241BC2" w:rsidRPr="008744F6" w:rsidRDefault="00241BC2" w:rsidP="00241BC2">
      <w:pPr>
        <w:spacing w:after="120"/>
        <w:ind w:left="423"/>
        <w:rPr>
          <w:rFonts w:cs="David"/>
          <w:sz w:val="20"/>
          <w:szCs w:val="20"/>
          <w:rtl/>
        </w:rPr>
      </w:pPr>
      <w:r w:rsidRPr="00DA19AC">
        <w:rPr>
          <w:rFonts w:cs="David" w:hint="cs"/>
          <w:sz w:val="20"/>
          <w:szCs w:val="20"/>
          <w:rtl/>
        </w:rPr>
        <w:t xml:space="preserve">משנה לגבי העתיד את המעמד המשפטי, התכונות המשפטיות, או התוצאות המשפטיות של מצבים שהסתיימו, או של פעולות, אירועים, התנהגויות (מעשים/מחדלים) </w:t>
      </w:r>
      <w:r w:rsidRPr="008744F6">
        <w:rPr>
          <w:rFonts w:cs="David" w:hint="cs"/>
          <w:sz w:val="20"/>
          <w:szCs w:val="20"/>
          <w:rtl/>
        </w:rPr>
        <w:t xml:space="preserve">שנעשו או התרחשו </w:t>
      </w:r>
      <w:r w:rsidRPr="008744F6">
        <w:rPr>
          <w:rFonts w:cs="David" w:hint="cs"/>
          <w:b/>
          <w:bCs/>
          <w:sz w:val="20"/>
          <w:szCs w:val="20"/>
          <w:rtl/>
        </w:rPr>
        <w:t>לפני</w:t>
      </w:r>
      <w:r w:rsidRPr="008744F6">
        <w:rPr>
          <w:rFonts w:cs="David" w:hint="cs"/>
          <w:sz w:val="20"/>
          <w:szCs w:val="20"/>
          <w:rtl/>
        </w:rPr>
        <w:t xml:space="preserve"> כניסת החוק לתוקף.</w:t>
      </w:r>
    </w:p>
    <w:p w:rsidR="00241BC2" w:rsidRDefault="00241BC2" w:rsidP="00241BC2">
      <w:pPr>
        <w:ind w:left="423"/>
        <w:rPr>
          <w:rFonts w:cs="David"/>
          <w:sz w:val="20"/>
          <w:szCs w:val="20"/>
          <w:rtl/>
        </w:rPr>
      </w:pPr>
      <w:r w:rsidRPr="00DA19AC">
        <w:rPr>
          <w:rFonts w:cs="David" w:hint="cs"/>
          <w:b/>
          <w:bCs/>
          <w:sz w:val="20"/>
          <w:szCs w:val="20"/>
          <w:rtl/>
        </w:rPr>
        <w:t>החלה פרוספקטיבית</w:t>
      </w:r>
      <w:r w:rsidRPr="00DA19AC">
        <w:rPr>
          <w:rFonts w:cs="David" w:hint="cs"/>
          <w:sz w:val="20"/>
          <w:szCs w:val="20"/>
          <w:rtl/>
        </w:rPr>
        <w:t xml:space="preserve"> </w:t>
      </w:r>
      <w:r>
        <w:rPr>
          <w:rFonts w:cs="David"/>
          <w:sz w:val="20"/>
          <w:szCs w:val="20"/>
          <w:rtl/>
        </w:rPr>
        <w:t>–</w:t>
      </w:r>
      <w:r w:rsidRPr="00DA19AC">
        <w:rPr>
          <w:rFonts w:cs="David" w:hint="cs"/>
          <w:sz w:val="20"/>
          <w:szCs w:val="20"/>
          <w:rtl/>
        </w:rPr>
        <w:t xml:space="preserve"> </w:t>
      </w:r>
    </w:p>
    <w:p w:rsidR="00241BC2" w:rsidRPr="00DA19AC" w:rsidRDefault="00241BC2" w:rsidP="00241BC2">
      <w:pPr>
        <w:spacing w:after="120"/>
        <w:ind w:left="423"/>
        <w:rPr>
          <w:rFonts w:cs="David"/>
          <w:sz w:val="20"/>
          <w:szCs w:val="20"/>
          <w:rtl/>
        </w:rPr>
      </w:pPr>
      <w:r w:rsidRPr="00DA19AC">
        <w:rPr>
          <w:rFonts w:cs="David" w:hint="cs"/>
          <w:sz w:val="20"/>
          <w:szCs w:val="20"/>
          <w:rtl/>
        </w:rPr>
        <w:t xml:space="preserve">משנה לגבי העתיד את המעמד המשפטי, התכונות המשפטיות, או התוצאות המשפטיות של מצבים, או של פעולות, אירועים, התנהגויות (מעשים/מחדלים) שהתרחשו </w:t>
      </w:r>
      <w:r w:rsidRPr="008744F6">
        <w:rPr>
          <w:rFonts w:cs="David" w:hint="cs"/>
          <w:b/>
          <w:bCs/>
          <w:sz w:val="20"/>
          <w:szCs w:val="20"/>
          <w:rtl/>
        </w:rPr>
        <w:t>לאחר</w:t>
      </w:r>
      <w:r w:rsidRPr="00DA19AC">
        <w:rPr>
          <w:rFonts w:cs="David" w:hint="cs"/>
          <w:sz w:val="20"/>
          <w:szCs w:val="20"/>
          <w:rtl/>
        </w:rPr>
        <w:t xml:space="preserve"> כניסת החוק לתוקף.</w:t>
      </w:r>
    </w:p>
    <w:p w:rsidR="00241BC2" w:rsidRDefault="00241BC2" w:rsidP="00241BC2">
      <w:pPr>
        <w:ind w:left="423"/>
        <w:rPr>
          <w:rFonts w:cs="David"/>
          <w:sz w:val="20"/>
          <w:szCs w:val="20"/>
          <w:rtl/>
        </w:rPr>
      </w:pPr>
      <w:r w:rsidRPr="00DA19AC">
        <w:rPr>
          <w:rFonts w:cs="David" w:hint="cs"/>
          <w:b/>
          <w:bCs/>
          <w:sz w:val="20"/>
          <w:szCs w:val="20"/>
          <w:rtl/>
        </w:rPr>
        <w:t>החלה אקטיבית</w:t>
      </w:r>
      <w:r w:rsidRPr="00DA19AC">
        <w:rPr>
          <w:rFonts w:cs="David" w:hint="cs"/>
          <w:sz w:val="20"/>
          <w:szCs w:val="20"/>
          <w:rtl/>
        </w:rPr>
        <w:t xml:space="preserve"> -  </w:t>
      </w:r>
    </w:p>
    <w:p w:rsidR="00241BC2" w:rsidRPr="00DA19AC" w:rsidRDefault="00241BC2" w:rsidP="00241BC2">
      <w:pPr>
        <w:ind w:left="423"/>
        <w:rPr>
          <w:rFonts w:cs="David"/>
          <w:sz w:val="20"/>
          <w:szCs w:val="20"/>
          <w:rtl/>
        </w:rPr>
      </w:pPr>
      <w:r w:rsidRPr="00DA19AC">
        <w:rPr>
          <w:rFonts w:cs="David" w:hint="cs"/>
          <w:sz w:val="20"/>
          <w:szCs w:val="20"/>
          <w:rtl/>
        </w:rPr>
        <w:t>החלת שינוי במעמד המשפטי, בתכונות המשפטיות או בתוצאות המשפטיות על מצב דברים נתון ונמשך שמתקיים במועד כניסת החוק לתוקף.</w:t>
      </w:r>
    </w:p>
    <w:p w:rsidR="00241BC2" w:rsidRDefault="00241BC2" w:rsidP="00241BC2">
      <w:pPr>
        <w:jc w:val="left"/>
        <w:rPr>
          <w:rFonts w:ascii="Arial" w:hAnsi="Arial" w:cs="Arial"/>
          <w:b/>
          <w:bCs/>
          <w:sz w:val="22"/>
          <w:szCs w:val="22"/>
          <w:rtl/>
        </w:rPr>
      </w:pPr>
    </w:p>
    <w:p w:rsidR="00241BC2" w:rsidRPr="00826669" w:rsidRDefault="00241BC2" w:rsidP="00241BC2">
      <w:pPr>
        <w:jc w:val="left"/>
        <w:rPr>
          <w:rFonts w:ascii="Arial" w:hAnsi="Arial" w:cs="Arial"/>
          <w:b/>
          <w:bCs/>
          <w:sz w:val="22"/>
          <w:szCs w:val="22"/>
          <w:u w:val="single"/>
          <w:rtl/>
        </w:rPr>
      </w:pPr>
      <w:r w:rsidRPr="00826669">
        <w:rPr>
          <w:rFonts w:ascii="Arial" w:hAnsi="Arial" w:cs="Arial" w:hint="cs"/>
          <w:b/>
          <w:bCs/>
          <w:sz w:val="22"/>
          <w:szCs w:val="22"/>
          <w:u w:val="single"/>
          <w:rtl/>
        </w:rPr>
        <w:t xml:space="preserve">מועד התחולה </w:t>
      </w:r>
      <w:r w:rsidRPr="00826669">
        <w:rPr>
          <w:rFonts w:ascii="Arial" w:hAnsi="Arial" w:cs="Arial"/>
          <w:b/>
          <w:bCs/>
          <w:sz w:val="22"/>
          <w:szCs w:val="22"/>
          <w:highlight w:val="yellow"/>
          <w:u w:val="single"/>
          <w:rtl/>
        </w:rPr>
        <w:t>של חקיקה</w:t>
      </w:r>
    </w:p>
    <w:p w:rsidR="00241BC2" w:rsidRPr="000D7703" w:rsidRDefault="00241BC2" w:rsidP="00241BC2">
      <w:pPr>
        <w:jc w:val="left"/>
        <w:rPr>
          <w:rFonts w:ascii="Arial" w:hAnsi="Arial" w:cs="Arial"/>
          <w:sz w:val="22"/>
          <w:szCs w:val="22"/>
          <w:rtl/>
        </w:rPr>
      </w:pPr>
    </w:p>
    <w:p w:rsidR="00241BC2" w:rsidRPr="00A95752" w:rsidRDefault="00241BC2" w:rsidP="00241BC2">
      <w:pPr>
        <w:spacing w:after="60"/>
        <w:rPr>
          <w:rFonts w:cs="David"/>
          <w:b/>
          <w:bCs/>
          <w:sz w:val="20"/>
          <w:szCs w:val="20"/>
          <w:rtl/>
        </w:rPr>
      </w:pPr>
      <w:r w:rsidRPr="00A95752">
        <w:rPr>
          <w:rFonts w:cs="David" w:hint="cs"/>
          <w:b/>
          <w:bCs/>
          <w:sz w:val="20"/>
          <w:szCs w:val="20"/>
          <w:rtl/>
        </w:rPr>
        <w:t>פקודת סדרי השלטון והמשפט, תש"ח-1948</w:t>
      </w:r>
    </w:p>
    <w:p w:rsidR="00241BC2" w:rsidRPr="00A95752" w:rsidRDefault="00241BC2" w:rsidP="00241BC2">
      <w:pPr>
        <w:spacing w:after="60"/>
        <w:ind w:left="720"/>
        <w:rPr>
          <w:rFonts w:cs="David"/>
          <w:sz w:val="20"/>
          <w:szCs w:val="20"/>
          <w:rtl/>
        </w:rPr>
      </w:pPr>
      <w:r w:rsidRPr="00A95752">
        <w:rPr>
          <w:rFonts w:cs="David" w:hint="cs"/>
          <w:sz w:val="20"/>
          <w:szCs w:val="20"/>
          <w:rtl/>
        </w:rPr>
        <w:t xml:space="preserve">10. [רשומות] [תיקונים: התשי"ב (מס' 2), התשמ"א]  </w:t>
      </w:r>
    </w:p>
    <w:p w:rsidR="00241BC2" w:rsidRPr="00A95752" w:rsidRDefault="00241BC2" w:rsidP="00241BC2">
      <w:pPr>
        <w:rPr>
          <w:rFonts w:cs="David"/>
          <w:sz w:val="20"/>
          <w:szCs w:val="20"/>
          <w:rtl/>
        </w:rPr>
      </w:pPr>
      <w:r w:rsidRPr="00A95752">
        <w:rPr>
          <w:rFonts w:cs="David" w:hint="cs"/>
          <w:sz w:val="20"/>
          <w:szCs w:val="20"/>
          <w:rtl/>
        </w:rPr>
        <w:t xml:space="preserve">(א)  כל פקודה </w:t>
      </w:r>
      <w:r w:rsidRPr="00826669">
        <w:rPr>
          <w:rFonts w:cs="David" w:hint="cs"/>
          <w:sz w:val="20"/>
          <w:szCs w:val="20"/>
          <w:highlight w:val="yellow"/>
          <w:rtl/>
        </w:rPr>
        <w:t>תקבל תוקף ביום פרסומה ברשומות, בלתי אם נקבע בה כי תקבל תוקף בתאריך מוקדם או מאוחר מיום הפרסום</w:t>
      </w:r>
      <w:r w:rsidRPr="00A95752">
        <w:rPr>
          <w:rFonts w:cs="David" w:hint="cs"/>
          <w:sz w:val="20"/>
          <w:szCs w:val="20"/>
          <w:rtl/>
        </w:rPr>
        <w:t>.</w:t>
      </w:r>
      <w:r>
        <w:rPr>
          <w:rFonts w:cs="David" w:hint="cs"/>
          <w:sz w:val="20"/>
          <w:szCs w:val="20"/>
          <w:rtl/>
        </w:rPr>
        <w:t xml:space="preserve"> [...]</w:t>
      </w:r>
    </w:p>
    <w:p w:rsidR="00241BC2" w:rsidRPr="00A95752" w:rsidRDefault="00241BC2" w:rsidP="00241BC2">
      <w:pPr>
        <w:spacing w:after="120"/>
        <w:rPr>
          <w:rFonts w:cs="David"/>
          <w:sz w:val="20"/>
          <w:szCs w:val="20"/>
          <w:rtl/>
        </w:rPr>
      </w:pPr>
      <w:r w:rsidRPr="00A95752">
        <w:rPr>
          <w:rFonts w:cs="David" w:hint="cs"/>
          <w:sz w:val="20"/>
          <w:szCs w:val="20"/>
          <w:rtl/>
        </w:rPr>
        <w:t>(ג)  הוראות סעיף זה חלות גם על תקנות כמשמעותן בסעיף 8 ועל תקנות-שעת-חירום, כמשמעותן בסעיף 9.</w:t>
      </w:r>
    </w:p>
    <w:p w:rsidR="00241BC2" w:rsidRPr="00D54302" w:rsidRDefault="00241BC2" w:rsidP="00241BC2">
      <w:pPr>
        <w:spacing w:after="60"/>
        <w:rPr>
          <w:rFonts w:cs="David"/>
          <w:b/>
          <w:bCs/>
          <w:sz w:val="20"/>
          <w:szCs w:val="20"/>
          <w:rtl/>
        </w:rPr>
      </w:pPr>
      <w:r w:rsidRPr="00D54302">
        <w:rPr>
          <w:rFonts w:cs="David" w:hint="cs"/>
          <w:b/>
          <w:bCs/>
          <w:sz w:val="20"/>
          <w:szCs w:val="20"/>
          <w:rtl/>
        </w:rPr>
        <w:t xml:space="preserve">חוק העונשין, </w:t>
      </w:r>
      <w:r w:rsidRPr="00D54302">
        <w:rPr>
          <w:rFonts w:cs="David"/>
          <w:b/>
          <w:bCs/>
          <w:sz w:val="20"/>
          <w:szCs w:val="20"/>
          <w:rtl/>
        </w:rPr>
        <w:t xml:space="preserve">תשל"ז-1977 </w:t>
      </w:r>
    </w:p>
    <w:p w:rsidR="00241BC2" w:rsidRPr="00084812" w:rsidRDefault="00241BC2" w:rsidP="00241BC2">
      <w:pPr>
        <w:spacing w:after="60"/>
        <w:ind w:left="720"/>
        <w:rPr>
          <w:rFonts w:cs="David"/>
          <w:sz w:val="20"/>
          <w:szCs w:val="20"/>
          <w:rtl/>
        </w:rPr>
      </w:pPr>
      <w:r w:rsidRPr="00084812">
        <w:rPr>
          <w:rFonts w:cs="David"/>
          <w:sz w:val="20"/>
          <w:szCs w:val="20"/>
          <w:rtl/>
        </w:rPr>
        <w:t xml:space="preserve">3. </w:t>
      </w:r>
      <w:r>
        <w:rPr>
          <w:rFonts w:cs="David" w:hint="cs"/>
          <w:sz w:val="20"/>
          <w:szCs w:val="20"/>
          <w:rtl/>
        </w:rPr>
        <w:t>[</w:t>
      </w:r>
      <w:r w:rsidRPr="00084812">
        <w:rPr>
          <w:rFonts w:cs="David"/>
          <w:sz w:val="20"/>
          <w:szCs w:val="20"/>
          <w:rtl/>
        </w:rPr>
        <w:t>אין עונשין למפרע</w:t>
      </w:r>
      <w:r>
        <w:rPr>
          <w:rFonts w:cs="David" w:hint="cs"/>
          <w:sz w:val="20"/>
          <w:szCs w:val="20"/>
          <w:rtl/>
        </w:rPr>
        <w:t>]</w:t>
      </w:r>
      <w:r w:rsidRPr="00084812">
        <w:rPr>
          <w:rFonts w:cs="David"/>
          <w:sz w:val="20"/>
          <w:szCs w:val="20"/>
          <w:rtl/>
        </w:rPr>
        <w:t xml:space="preserve"> </w:t>
      </w:r>
    </w:p>
    <w:p w:rsidR="00241BC2" w:rsidRPr="00084812" w:rsidRDefault="00241BC2" w:rsidP="00241BC2">
      <w:pPr>
        <w:spacing w:after="60"/>
        <w:rPr>
          <w:rFonts w:cs="David"/>
          <w:sz w:val="20"/>
          <w:szCs w:val="20"/>
          <w:rtl/>
        </w:rPr>
      </w:pPr>
      <w:r w:rsidRPr="00084812">
        <w:rPr>
          <w:rFonts w:cs="David"/>
          <w:sz w:val="20"/>
          <w:szCs w:val="20"/>
          <w:rtl/>
        </w:rPr>
        <w:t xml:space="preserve">(א) </w:t>
      </w:r>
      <w:r w:rsidRPr="00F12BF1">
        <w:rPr>
          <w:rFonts w:cs="David"/>
          <w:sz w:val="20"/>
          <w:szCs w:val="20"/>
          <w:highlight w:val="yellow"/>
          <w:rtl/>
        </w:rPr>
        <w:t>חיקוק היוצר עבירה לא יחול על מעשה שנעשה לפני יום פרסומו כדין או יום תחילתו, לפי המאוחר.</w:t>
      </w:r>
    </w:p>
    <w:p w:rsidR="00241BC2" w:rsidRPr="00084812" w:rsidRDefault="00241BC2" w:rsidP="00241BC2">
      <w:pPr>
        <w:spacing w:after="60"/>
        <w:rPr>
          <w:rFonts w:cs="David"/>
          <w:sz w:val="20"/>
          <w:szCs w:val="20"/>
          <w:rtl/>
        </w:rPr>
      </w:pPr>
      <w:r w:rsidRPr="00084812">
        <w:rPr>
          <w:rFonts w:cs="David"/>
          <w:sz w:val="20"/>
          <w:szCs w:val="20"/>
          <w:rtl/>
        </w:rPr>
        <w:t>(ב) חיקוק הקובע לעבירה עונש חמור מזה שנקבע לה בשעת ביצוע העבירה, לא יחול על מעשה שנעשה לפני פרסומו כדין או לפני תחילתו, לפי המאוחר; אך אין רואים בעדכון שיעורו של קנס החמרה בעונש.</w:t>
      </w:r>
    </w:p>
    <w:p w:rsidR="00241BC2" w:rsidRPr="001B2836" w:rsidRDefault="00241BC2" w:rsidP="00241BC2">
      <w:pPr>
        <w:spacing w:after="60"/>
        <w:ind w:left="720"/>
        <w:rPr>
          <w:rFonts w:cs="David"/>
          <w:sz w:val="20"/>
          <w:szCs w:val="20"/>
          <w:rtl/>
        </w:rPr>
      </w:pPr>
      <w:r w:rsidRPr="001B2836">
        <w:rPr>
          <w:rFonts w:cs="David"/>
          <w:sz w:val="20"/>
          <w:szCs w:val="20"/>
          <w:rtl/>
        </w:rPr>
        <w:t xml:space="preserve">פרק ב': תחולת דיני העונשין לפי זמן עשיית העבירה </w:t>
      </w:r>
    </w:p>
    <w:p w:rsidR="00241BC2" w:rsidRPr="00084812" w:rsidRDefault="00241BC2" w:rsidP="00241BC2">
      <w:pPr>
        <w:spacing w:after="60"/>
        <w:ind w:left="720"/>
        <w:rPr>
          <w:rFonts w:cs="David"/>
          <w:sz w:val="20"/>
          <w:szCs w:val="20"/>
          <w:rtl/>
        </w:rPr>
      </w:pPr>
      <w:r w:rsidRPr="00084812">
        <w:rPr>
          <w:rFonts w:cs="David"/>
          <w:sz w:val="20"/>
          <w:szCs w:val="20"/>
          <w:rtl/>
        </w:rPr>
        <w:t xml:space="preserve">4. </w:t>
      </w:r>
      <w:r>
        <w:rPr>
          <w:rFonts w:cs="David" w:hint="cs"/>
          <w:sz w:val="20"/>
          <w:szCs w:val="20"/>
          <w:rtl/>
        </w:rPr>
        <w:t>[</w:t>
      </w:r>
      <w:r>
        <w:rPr>
          <w:rFonts w:cs="David"/>
          <w:sz w:val="20"/>
          <w:szCs w:val="20"/>
          <w:rtl/>
        </w:rPr>
        <w:t>ביטול העבירה לאחר עשייתה</w:t>
      </w:r>
      <w:r>
        <w:rPr>
          <w:rFonts w:cs="David" w:hint="cs"/>
          <w:sz w:val="20"/>
          <w:szCs w:val="20"/>
          <w:rtl/>
        </w:rPr>
        <w:t>]</w:t>
      </w:r>
    </w:p>
    <w:p w:rsidR="00241BC2" w:rsidRPr="00084812" w:rsidRDefault="00241BC2" w:rsidP="00241BC2">
      <w:pPr>
        <w:spacing w:after="60"/>
        <w:rPr>
          <w:rFonts w:cs="David"/>
          <w:sz w:val="20"/>
          <w:szCs w:val="20"/>
          <w:rtl/>
        </w:rPr>
      </w:pPr>
      <w:r w:rsidRPr="00084812">
        <w:rPr>
          <w:rFonts w:cs="David"/>
          <w:sz w:val="20"/>
          <w:szCs w:val="20"/>
          <w:rtl/>
        </w:rPr>
        <w:t xml:space="preserve">נעברה עבירה ובוטל בחיקוק האיסור עליה - תתבטל האחריות הפלילית לעשייתה; ההליכים שהוחל בהם - יופסקו; ניתן גזר-דין - יופסק ביצועו; ולא יהיו בעתיד עוד תוצאות נובעות מן ההרשעה. </w:t>
      </w:r>
    </w:p>
    <w:p w:rsidR="00241BC2" w:rsidRPr="00084812" w:rsidRDefault="00241BC2" w:rsidP="00241BC2">
      <w:pPr>
        <w:spacing w:after="60"/>
        <w:ind w:left="720"/>
        <w:rPr>
          <w:rFonts w:cs="David"/>
          <w:sz w:val="20"/>
          <w:szCs w:val="20"/>
          <w:rtl/>
        </w:rPr>
      </w:pPr>
      <w:r w:rsidRPr="00084812">
        <w:rPr>
          <w:rFonts w:cs="David"/>
          <w:sz w:val="20"/>
          <w:szCs w:val="20"/>
          <w:rtl/>
        </w:rPr>
        <w:t xml:space="preserve">5. </w:t>
      </w:r>
      <w:r>
        <w:rPr>
          <w:rFonts w:cs="David" w:hint="cs"/>
          <w:sz w:val="20"/>
          <w:szCs w:val="20"/>
          <w:rtl/>
        </w:rPr>
        <w:t>[</w:t>
      </w:r>
      <w:r w:rsidRPr="00084812">
        <w:rPr>
          <w:rFonts w:cs="David"/>
          <w:sz w:val="20"/>
          <w:szCs w:val="20"/>
          <w:rtl/>
        </w:rPr>
        <w:t>שינוי חיקוק לאחר עשיית העבירה</w:t>
      </w:r>
      <w:r>
        <w:rPr>
          <w:rFonts w:cs="David" w:hint="cs"/>
          <w:sz w:val="20"/>
          <w:szCs w:val="20"/>
          <w:rtl/>
        </w:rPr>
        <w:t>]</w:t>
      </w:r>
      <w:r w:rsidRPr="00084812">
        <w:rPr>
          <w:rFonts w:cs="David"/>
          <w:sz w:val="20"/>
          <w:szCs w:val="20"/>
          <w:rtl/>
        </w:rPr>
        <w:t xml:space="preserve"> </w:t>
      </w:r>
    </w:p>
    <w:p w:rsidR="00241BC2" w:rsidRPr="00084812" w:rsidRDefault="00241BC2" w:rsidP="00241BC2">
      <w:pPr>
        <w:spacing w:after="60"/>
        <w:rPr>
          <w:rFonts w:cs="David"/>
          <w:sz w:val="20"/>
          <w:szCs w:val="20"/>
          <w:rtl/>
        </w:rPr>
      </w:pPr>
      <w:r w:rsidRPr="00084812">
        <w:rPr>
          <w:rFonts w:cs="David"/>
          <w:sz w:val="20"/>
          <w:szCs w:val="20"/>
          <w:rtl/>
        </w:rPr>
        <w:t xml:space="preserve">(א) נעברה עבירה ובטרם ניתן פסק-דין חלוט לגביה, חל שינוי בנוגע להגדרתה או לאחריות לה, או בנוגע לעונש שנקבע לה, יחול על הענין החיקוק המקל עם העושה; "אחריות לה" - לרבות תחולת סייגים לאחריות הפלילית למעשה. </w:t>
      </w:r>
    </w:p>
    <w:p w:rsidR="00241BC2" w:rsidRDefault="00241BC2" w:rsidP="00241BC2">
      <w:pPr>
        <w:spacing w:after="60"/>
        <w:rPr>
          <w:rFonts w:cs="David"/>
          <w:sz w:val="20"/>
          <w:szCs w:val="20"/>
          <w:rtl/>
        </w:rPr>
      </w:pPr>
      <w:r w:rsidRPr="00084812">
        <w:rPr>
          <w:rFonts w:cs="David"/>
          <w:sz w:val="20"/>
          <w:szCs w:val="20"/>
          <w:rtl/>
        </w:rPr>
        <w:t>(ב) הורשע אדם בעבירה בפסק דין חלוט ולאחר מכן נקבע לאותה עבירה בחיקוק עונש, שלפי מידתו או סוגו הוא קל מזה שהוטל עליו - יהיה עונשו העונש המרבי שנקבע בחיקוק, כאילו הוטל מלכתחילה.</w:t>
      </w:r>
    </w:p>
    <w:p w:rsidR="00241BC2" w:rsidRPr="0092194B" w:rsidRDefault="00241BC2" w:rsidP="00241BC2">
      <w:pPr>
        <w:pStyle w:val="big-header"/>
        <w:tabs>
          <w:tab w:val="left" w:pos="9524"/>
        </w:tabs>
        <w:spacing w:before="120"/>
        <w:ind w:left="0"/>
        <w:jc w:val="left"/>
        <w:rPr>
          <w:rStyle w:val="default"/>
          <w:rFonts w:cs="David"/>
          <w:b/>
          <w:bCs/>
          <w:szCs w:val="20"/>
          <w:rtl/>
        </w:rPr>
      </w:pPr>
      <w:r w:rsidRPr="0092194B">
        <w:rPr>
          <w:rFonts w:cs="David"/>
          <w:b/>
          <w:bCs/>
          <w:szCs w:val="20"/>
          <w:rtl/>
        </w:rPr>
        <w:t>חו</w:t>
      </w:r>
      <w:r w:rsidRPr="0092194B">
        <w:rPr>
          <w:rFonts w:cs="David" w:hint="cs"/>
          <w:b/>
          <w:bCs/>
          <w:szCs w:val="20"/>
          <w:rtl/>
        </w:rPr>
        <w:t>ק לעשיית דין בנאצים ובעוזריהם, תש"י-</w:t>
      </w:r>
      <w:r w:rsidRPr="0092194B">
        <w:rPr>
          <w:rFonts w:cs="David"/>
          <w:b/>
          <w:bCs/>
          <w:szCs w:val="20"/>
          <w:rtl/>
        </w:rPr>
        <w:t>1950</w:t>
      </w:r>
    </w:p>
    <w:p w:rsidR="00241BC2" w:rsidRPr="00010FC4" w:rsidRDefault="005D7968" w:rsidP="00241BC2">
      <w:pPr>
        <w:pStyle w:val="P00"/>
        <w:tabs>
          <w:tab w:val="left" w:pos="9524"/>
        </w:tabs>
        <w:spacing w:before="72"/>
        <w:ind w:left="624"/>
        <w:rPr>
          <w:rStyle w:val="default"/>
          <w:rFonts w:cs="David"/>
          <w:szCs w:val="20"/>
          <w:rtl/>
        </w:rPr>
      </w:pPr>
      <w:r w:rsidRPr="005D7968">
        <w:rPr>
          <w:rFonts w:cs="David"/>
          <w:szCs w:val="20"/>
          <w:rtl/>
          <w:lang w:val="he-IL"/>
        </w:rPr>
        <w:pict>
          <v:rect id="_x0000_s1209" style="position:absolute;left:0;text-align:left;margin-left:464.5pt;margin-top:8.05pt;width:75.05pt;height:83.65pt;z-index:251850752" o:allowincell="f" filled="f" stroked="f" strokecolor="lime" strokeweight=".25pt">
            <v:textbox inset="0,0,0,0">
              <w:txbxContent>
                <w:p w:rsidR="00241BC2" w:rsidRDefault="00241BC2" w:rsidP="00241BC2">
                  <w:pPr>
                    <w:spacing w:line="160" w:lineRule="exact"/>
                    <w:ind w:left="720"/>
                    <w:jc w:val="left"/>
                    <w:rPr>
                      <w:rFonts w:cs="Miriam"/>
                      <w:sz w:val="18"/>
                      <w:szCs w:val="18"/>
                      <w:rtl/>
                    </w:rPr>
                  </w:pPr>
                  <w:r>
                    <w:rPr>
                      <w:rFonts w:cs="Miriam"/>
                      <w:sz w:val="18"/>
                      <w:szCs w:val="18"/>
                      <w:rtl/>
                    </w:rPr>
                    <w:t>פש</w:t>
                  </w:r>
                  <w:r>
                    <w:rPr>
                      <w:rFonts w:cs="Miriam" w:hint="cs"/>
                      <w:sz w:val="18"/>
                      <w:szCs w:val="18"/>
                      <w:rtl/>
                    </w:rPr>
                    <w:t xml:space="preserve">עים כלפי </w:t>
                  </w:r>
                </w:p>
                <w:p w:rsidR="00241BC2" w:rsidRDefault="00241BC2" w:rsidP="00241BC2">
                  <w:pPr>
                    <w:spacing w:line="160" w:lineRule="exact"/>
                    <w:ind w:left="720"/>
                    <w:jc w:val="left"/>
                    <w:rPr>
                      <w:rFonts w:cs="Miriam"/>
                      <w:sz w:val="18"/>
                      <w:szCs w:val="18"/>
                      <w:rtl/>
                    </w:rPr>
                  </w:pPr>
                  <w:r>
                    <w:rPr>
                      <w:rFonts w:cs="Miriam" w:hint="cs"/>
                      <w:sz w:val="18"/>
                      <w:szCs w:val="18"/>
                      <w:rtl/>
                    </w:rPr>
                    <w:t xml:space="preserve">העם היהודי, </w:t>
                  </w:r>
                </w:p>
                <w:p w:rsidR="00241BC2" w:rsidRDefault="00241BC2" w:rsidP="00241BC2">
                  <w:pPr>
                    <w:spacing w:line="160" w:lineRule="exact"/>
                    <w:ind w:left="720"/>
                    <w:jc w:val="left"/>
                    <w:rPr>
                      <w:rFonts w:cs="Miriam"/>
                      <w:sz w:val="18"/>
                      <w:szCs w:val="18"/>
                      <w:rtl/>
                    </w:rPr>
                  </w:pPr>
                  <w:r>
                    <w:rPr>
                      <w:rFonts w:cs="Miriam" w:hint="cs"/>
                      <w:sz w:val="18"/>
                      <w:szCs w:val="18"/>
                      <w:rtl/>
                    </w:rPr>
                    <w:t xml:space="preserve">פשעים כלפי האנושות </w:t>
                  </w:r>
                </w:p>
                <w:p w:rsidR="00241BC2" w:rsidRDefault="00241BC2" w:rsidP="00241BC2">
                  <w:pPr>
                    <w:spacing w:line="160" w:lineRule="exact"/>
                    <w:ind w:left="720"/>
                    <w:jc w:val="left"/>
                    <w:rPr>
                      <w:rFonts w:cs="Miriam"/>
                      <w:noProof/>
                      <w:sz w:val="18"/>
                      <w:szCs w:val="18"/>
                      <w:rtl/>
                    </w:rPr>
                  </w:pPr>
                  <w:r>
                    <w:rPr>
                      <w:rFonts w:cs="Miriam" w:hint="cs"/>
                      <w:sz w:val="18"/>
                      <w:szCs w:val="18"/>
                      <w:rtl/>
                    </w:rPr>
                    <w:t>ופשעי מלחמה</w:t>
                  </w:r>
                </w:p>
              </w:txbxContent>
            </v:textbox>
            <w10:anchorlock/>
          </v:rect>
        </w:pict>
      </w:r>
      <w:r w:rsidR="00241BC2" w:rsidRPr="00DA37F6">
        <w:rPr>
          <w:rStyle w:val="big-number"/>
          <w:rFonts w:cs="David"/>
          <w:szCs w:val="20"/>
          <w:rtl/>
        </w:rPr>
        <w:t>1.</w:t>
      </w:r>
      <w:r w:rsidR="00241BC2" w:rsidRPr="00DA37F6">
        <w:rPr>
          <w:rStyle w:val="big-number"/>
          <w:rFonts w:cs="David"/>
          <w:szCs w:val="20"/>
          <w:rtl/>
        </w:rPr>
        <w:tab/>
      </w:r>
      <w:r w:rsidR="00241BC2" w:rsidRPr="00DA37F6">
        <w:rPr>
          <w:rStyle w:val="default"/>
          <w:rFonts w:cs="David"/>
          <w:szCs w:val="20"/>
          <w:rtl/>
        </w:rPr>
        <w:t>(א</w:t>
      </w:r>
      <w:r w:rsidR="00241BC2" w:rsidRPr="00DA37F6">
        <w:rPr>
          <w:rStyle w:val="default"/>
          <w:rFonts w:cs="David" w:hint="cs"/>
          <w:szCs w:val="20"/>
          <w:rtl/>
        </w:rPr>
        <w:t>)</w:t>
      </w:r>
      <w:r w:rsidR="00241BC2" w:rsidRPr="00DA37F6">
        <w:rPr>
          <w:rStyle w:val="default"/>
          <w:rFonts w:cs="David"/>
          <w:szCs w:val="20"/>
          <w:rtl/>
        </w:rPr>
        <w:tab/>
      </w:r>
      <w:r w:rsidR="00241BC2" w:rsidRPr="00010FC4">
        <w:rPr>
          <w:rStyle w:val="default"/>
          <w:rFonts w:cs="David"/>
          <w:szCs w:val="20"/>
          <w:rtl/>
        </w:rPr>
        <w:t>א</w:t>
      </w:r>
      <w:r w:rsidR="00241BC2" w:rsidRPr="00010FC4">
        <w:rPr>
          <w:rStyle w:val="default"/>
          <w:rFonts w:cs="David" w:hint="cs"/>
          <w:szCs w:val="20"/>
          <w:rtl/>
        </w:rPr>
        <w:t xml:space="preserve">דם שעבר עבירה אחת מאלה </w:t>
      </w:r>
      <w:r w:rsidR="00241BC2" w:rsidRPr="00010FC4">
        <w:rPr>
          <w:rStyle w:val="default"/>
          <w:rFonts w:cs="David"/>
          <w:szCs w:val="20"/>
          <w:rtl/>
        </w:rPr>
        <w:t>–</w:t>
      </w:r>
    </w:p>
    <w:p w:rsidR="00241BC2" w:rsidRPr="00DA37F6" w:rsidRDefault="00241BC2" w:rsidP="00241BC2">
      <w:pPr>
        <w:pStyle w:val="P22"/>
        <w:tabs>
          <w:tab w:val="left" w:pos="9524"/>
        </w:tabs>
        <w:spacing w:before="72"/>
        <w:ind w:left="1440" w:right="0"/>
        <w:rPr>
          <w:rStyle w:val="default"/>
          <w:rFonts w:cs="David"/>
          <w:szCs w:val="20"/>
          <w:rtl/>
        </w:rPr>
      </w:pPr>
      <w:r w:rsidRPr="00010FC4">
        <w:rPr>
          <w:rStyle w:val="default"/>
          <w:rFonts w:cs="David"/>
          <w:szCs w:val="20"/>
          <w:rtl/>
        </w:rPr>
        <w:t>(1)</w:t>
      </w:r>
      <w:r w:rsidRPr="00010FC4">
        <w:rPr>
          <w:rStyle w:val="default"/>
          <w:rFonts w:cs="David"/>
          <w:szCs w:val="20"/>
          <w:rtl/>
        </w:rPr>
        <w:tab/>
        <w:t>ב</w:t>
      </w:r>
      <w:r w:rsidRPr="00010FC4">
        <w:rPr>
          <w:rStyle w:val="default"/>
          <w:rFonts w:cs="David" w:hint="cs"/>
          <w:szCs w:val="20"/>
          <w:rtl/>
        </w:rPr>
        <w:t>תקופת השלטון הנאצי, בארץ עויינת,</w:t>
      </w:r>
      <w:r w:rsidRPr="00DA37F6">
        <w:rPr>
          <w:rStyle w:val="default"/>
          <w:rFonts w:cs="David" w:hint="cs"/>
          <w:szCs w:val="20"/>
          <w:rtl/>
        </w:rPr>
        <w:t xml:space="preserve"> עשה מעשה שהוא בגדר פשע כלפי העם היהודי;</w:t>
      </w:r>
    </w:p>
    <w:p w:rsidR="00241BC2" w:rsidRPr="00DA37F6" w:rsidRDefault="00241BC2" w:rsidP="00241BC2">
      <w:pPr>
        <w:pStyle w:val="P22"/>
        <w:tabs>
          <w:tab w:val="left" w:pos="9524"/>
        </w:tabs>
        <w:spacing w:before="72"/>
        <w:ind w:left="1440" w:right="0"/>
        <w:rPr>
          <w:rStyle w:val="default"/>
          <w:rFonts w:cs="David"/>
          <w:szCs w:val="20"/>
          <w:rtl/>
        </w:rPr>
      </w:pPr>
      <w:r w:rsidRPr="00DA37F6">
        <w:rPr>
          <w:rStyle w:val="default"/>
          <w:rFonts w:cs="David" w:hint="cs"/>
          <w:szCs w:val="20"/>
          <w:rtl/>
        </w:rPr>
        <w:t>(2)</w:t>
      </w:r>
      <w:r w:rsidRPr="00DA37F6">
        <w:rPr>
          <w:rStyle w:val="default"/>
          <w:rFonts w:cs="David"/>
          <w:szCs w:val="20"/>
          <w:rtl/>
        </w:rPr>
        <w:tab/>
      </w:r>
      <w:r w:rsidRPr="00010FC4">
        <w:rPr>
          <w:rStyle w:val="default"/>
          <w:rFonts w:cs="David"/>
          <w:szCs w:val="20"/>
          <w:rtl/>
        </w:rPr>
        <w:t>ב</w:t>
      </w:r>
      <w:r w:rsidRPr="00010FC4">
        <w:rPr>
          <w:rStyle w:val="default"/>
          <w:rFonts w:cs="David" w:hint="cs"/>
          <w:szCs w:val="20"/>
          <w:rtl/>
        </w:rPr>
        <w:t>תקופת השלטון הנאצי, בארץ עויינת</w:t>
      </w:r>
      <w:r w:rsidRPr="00DA37F6">
        <w:rPr>
          <w:rStyle w:val="default"/>
          <w:rFonts w:cs="David" w:hint="cs"/>
          <w:szCs w:val="20"/>
          <w:rtl/>
        </w:rPr>
        <w:t>, עשה מעשה שהוא בגדר פשע כ</w:t>
      </w:r>
      <w:r w:rsidRPr="00DA37F6">
        <w:rPr>
          <w:rStyle w:val="default"/>
          <w:rFonts w:cs="David"/>
          <w:szCs w:val="20"/>
          <w:rtl/>
        </w:rPr>
        <w:t>לפ</w:t>
      </w:r>
      <w:r w:rsidRPr="00DA37F6">
        <w:rPr>
          <w:rStyle w:val="default"/>
          <w:rFonts w:cs="David" w:hint="cs"/>
          <w:szCs w:val="20"/>
          <w:rtl/>
        </w:rPr>
        <w:t>י האנושות;</w:t>
      </w:r>
    </w:p>
    <w:p w:rsidR="00241BC2" w:rsidRPr="00DA37F6" w:rsidRDefault="00241BC2" w:rsidP="00241BC2">
      <w:pPr>
        <w:pStyle w:val="P22"/>
        <w:tabs>
          <w:tab w:val="left" w:pos="9524"/>
        </w:tabs>
        <w:spacing w:before="72"/>
        <w:ind w:left="1440" w:right="0"/>
        <w:rPr>
          <w:rStyle w:val="default"/>
          <w:rFonts w:cs="David"/>
          <w:szCs w:val="20"/>
          <w:rtl/>
        </w:rPr>
      </w:pPr>
      <w:r w:rsidRPr="00DA37F6">
        <w:rPr>
          <w:rStyle w:val="default"/>
          <w:rFonts w:cs="David" w:hint="cs"/>
          <w:szCs w:val="20"/>
          <w:rtl/>
        </w:rPr>
        <w:t>(3)</w:t>
      </w:r>
      <w:r w:rsidRPr="00DA37F6">
        <w:rPr>
          <w:rStyle w:val="default"/>
          <w:rFonts w:cs="David"/>
          <w:szCs w:val="20"/>
          <w:rtl/>
        </w:rPr>
        <w:tab/>
      </w:r>
      <w:r w:rsidRPr="00010FC4">
        <w:rPr>
          <w:rStyle w:val="default"/>
          <w:rFonts w:cs="David"/>
          <w:szCs w:val="20"/>
          <w:rtl/>
        </w:rPr>
        <w:t>ב</w:t>
      </w:r>
      <w:r w:rsidRPr="00010FC4">
        <w:rPr>
          <w:rStyle w:val="default"/>
          <w:rFonts w:cs="David" w:hint="cs"/>
          <w:szCs w:val="20"/>
          <w:rtl/>
        </w:rPr>
        <w:t>תקופת מלחמת העולם השניה, בארץ עויינת,</w:t>
      </w:r>
      <w:r w:rsidRPr="00DA37F6">
        <w:rPr>
          <w:rStyle w:val="default"/>
          <w:rFonts w:cs="David" w:hint="cs"/>
          <w:szCs w:val="20"/>
          <w:rtl/>
        </w:rPr>
        <w:t xml:space="preserve"> עשה מעשה שהוא בגדר פשע מלחמה,</w:t>
      </w:r>
    </w:p>
    <w:p w:rsidR="00241BC2" w:rsidRPr="00DA37F6" w:rsidRDefault="00241BC2" w:rsidP="00241BC2">
      <w:pPr>
        <w:pStyle w:val="P00"/>
        <w:tabs>
          <w:tab w:val="left" w:pos="9524"/>
        </w:tabs>
        <w:spacing w:before="72"/>
        <w:ind w:left="1440"/>
        <w:rPr>
          <w:rFonts w:cs="David"/>
          <w:szCs w:val="20"/>
          <w:rtl/>
        </w:rPr>
      </w:pPr>
      <w:r w:rsidRPr="00DA37F6">
        <w:rPr>
          <w:rFonts w:cs="David"/>
          <w:szCs w:val="20"/>
          <w:rtl/>
        </w:rPr>
        <w:t>די</w:t>
      </w:r>
      <w:r w:rsidRPr="00DA37F6">
        <w:rPr>
          <w:rFonts w:cs="David" w:hint="cs"/>
          <w:szCs w:val="20"/>
          <w:rtl/>
        </w:rPr>
        <w:t xml:space="preserve">נו </w:t>
      </w:r>
      <w:r w:rsidRPr="00DA37F6">
        <w:rPr>
          <w:rFonts w:cs="David"/>
          <w:szCs w:val="20"/>
          <w:rtl/>
        </w:rPr>
        <w:t xml:space="preserve">– </w:t>
      </w:r>
      <w:r w:rsidRPr="00DA37F6">
        <w:rPr>
          <w:rFonts w:cs="David" w:hint="cs"/>
          <w:szCs w:val="20"/>
          <w:rtl/>
        </w:rPr>
        <w:t>מיתה.</w:t>
      </w:r>
    </w:p>
    <w:p w:rsidR="00241BC2" w:rsidRPr="00DA37F6" w:rsidRDefault="00241BC2" w:rsidP="00241BC2">
      <w:pPr>
        <w:pStyle w:val="P00"/>
        <w:tabs>
          <w:tab w:val="left" w:pos="9524"/>
        </w:tabs>
        <w:spacing w:before="72"/>
        <w:ind w:left="624"/>
        <w:rPr>
          <w:rStyle w:val="default"/>
          <w:rFonts w:cs="David"/>
          <w:szCs w:val="20"/>
          <w:rtl/>
        </w:rPr>
      </w:pPr>
      <w:r w:rsidRPr="00DA37F6">
        <w:rPr>
          <w:rFonts w:cs="David"/>
          <w:szCs w:val="20"/>
          <w:rtl/>
        </w:rPr>
        <w:tab/>
      </w:r>
      <w:r w:rsidRPr="00DA37F6">
        <w:rPr>
          <w:rStyle w:val="default"/>
          <w:rFonts w:cs="David"/>
          <w:szCs w:val="20"/>
          <w:rtl/>
        </w:rPr>
        <w:t>(ב</w:t>
      </w:r>
      <w:r w:rsidRPr="00DA37F6">
        <w:rPr>
          <w:rStyle w:val="default"/>
          <w:rFonts w:cs="David" w:hint="cs"/>
          <w:szCs w:val="20"/>
          <w:rtl/>
        </w:rPr>
        <w:t>)</w:t>
      </w:r>
      <w:r w:rsidRPr="00DA37F6">
        <w:rPr>
          <w:rStyle w:val="default"/>
          <w:rFonts w:cs="David"/>
          <w:szCs w:val="20"/>
          <w:rtl/>
        </w:rPr>
        <w:tab/>
        <w:t>ב</w:t>
      </w:r>
      <w:r w:rsidRPr="00DA37F6">
        <w:rPr>
          <w:rStyle w:val="default"/>
          <w:rFonts w:cs="David" w:hint="cs"/>
          <w:szCs w:val="20"/>
          <w:rtl/>
        </w:rPr>
        <w:t xml:space="preserve">סעיף זה </w:t>
      </w:r>
      <w:r w:rsidRPr="00DA37F6">
        <w:rPr>
          <w:rStyle w:val="default"/>
          <w:rFonts w:cs="David"/>
          <w:szCs w:val="20"/>
          <w:rtl/>
        </w:rPr>
        <w:t>–</w:t>
      </w:r>
    </w:p>
    <w:p w:rsidR="00241BC2" w:rsidRPr="00DA37F6" w:rsidRDefault="00241BC2" w:rsidP="00241BC2">
      <w:pPr>
        <w:pStyle w:val="P00"/>
        <w:tabs>
          <w:tab w:val="left" w:pos="9524"/>
        </w:tabs>
        <w:spacing w:before="72"/>
        <w:ind w:left="0"/>
        <w:rPr>
          <w:rStyle w:val="default"/>
          <w:rFonts w:cs="David"/>
          <w:szCs w:val="20"/>
          <w:rtl/>
        </w:rPr>
      </w:pPr>
      <w:r w:rsidRPr="00DA37F6">
        <w:rPr>
          <w:rFonts w:cs="David"/>
          <w:szCs w:val="20"/>
          <w:rtl/>
        </w:rPr>
        <w:tab/>
      </w:r>
      <w:r w:rsidRPr="00010FC4">
        <w:rPr>
          <w:rStyle w:val="default"/>
          <w:rFonts w:cs="David"/>
          <w:szCs w:val="20"/>
          <w:rtl/>
        </w:rPr>
        <w:t>"פ</w:t>
      </w:r>
      <w:r w:rsidRPr="00010FC4">
        <w:rPr>
          <w:rStyle w:val="default"/>
          <w:rFonts w:cs="David" w:hint="cs"/>
          <w:szCs w:val="20"/>
          <w:rtl/>
        </w:rPr>
        <w:t>שע כלפי העם היהודי"</w:t>
      </w:r>
      <w:r w:rsidRPr="00DA37F6">
        <w:rPr>
          <w:rStyle w:val="default"/>
          <w:rFonts w:cs="David" w:hint="cs"/>
          <w:szCs w:val="20"/>
          <w:rtl/>
        </w:rPr>
        <w:t xml:space="preserve"> פירושו </w:t>
      </w:r>
      <w:r w:rsidRPr="00DA37F6">
        <w:rPr>
          <w:rStyle w:val="default"/>
          <w:rFonts w:cs="David"/>
          <w:szCs w:val="20"/>
          <w:rtl/>
        </w:rPr>
        <w:t xml:space="preserve">– </w:t>
      </w:r>
      <w:r w:rsidRPr="00DA37F6">
        <w:rPr>
          <w:rStyle w:val="default"/>
          <w:rFonts w:cs="David" w:hint="cs"/>
          <w:szCs w:val="20"/>
          <w:rtl/>
        </w:rPr>
        <w:t>אחד המעשים המפורטים להלן שנעשה בכוונה להשמיד את העם היהודי, השמדה גמורה או חלקית; ואלה המעשים:</w:t>
      </w:r>
    </w:p>
    <w:p w:rsidR="00241BC2" w:rsidRPr="00DA37F6" w:rsidRDefault="00241BC2" w:rsidP="00241BC2">
      <w:pPr>
        <w:pStyle w:val="P22"/>
        <w:tabs>
          <w:tab w:val="left" w:pos="9524"/>
        </w:tabs>
        <w:spacing w:before="72"/>
        <w:ind w:left="1440" w:right="0"/>
        <w:rPr>
          <w:rStyle w:val="default"/>
          <w:rFonts w:cs="David"/>
          <w:szCs w:val="20"/>
          <w:rtl/>
        </w:rPr>
      </w:pPr>
      <w:r w:rsidRPr="00DA37F6">
        <w:rPr>
          <w:rStyle w:val="default"/>
          <w:rFonts w:cs="David"/>
          <w:szCs w:val="20"/>
          <w:rtl/>
        </w:rPr>
        <w:t>(1)</w:t>
      </w:r>
      <w:r w:rsidRPr="00DA37F6">
        <w:rPr>
          <w:rStyle w:val="default"/>
          <w:rFonts w:cs="David"/>
          <w:szCs w:val="20"/>
          <w:rtl/>
        </w:rPr>
        <w:tab/>
        <w:t>ה</w:t>
      </w:r>
      <w:r w:rsidRPr="00DA37F6">
        <w:rPr>
          <w:rStyle w:val="default"/>
          <w:rFonts w:cs="David" w:hint="cs"/>
          <w:szCs w:val="20"/>
          <w:rtl/>
        </w:rPr>
        <w:t>ריגת יהוד</w:t>
      </w:r>
      <w:r w:rsidRPr="00DA37F6">
        <w:rPr>
          <w:rStyle w:val="default"/>
          <w:rFonts w:cs="David"/>
          <w:szCs w:val="20"/>
          <w:rtl/>
        </w:rPr>
        <w:t>ים</w:t>
      </w:r>
      <w:r w:rsidRPr="00DA37F6">
        <w:rPr>
          <w:rStyle w:val="default"/>
          <w:rFonts w:cs="David" w:hint="cs"/>
          <w:szCs w:val="20"/>
          <w:rtl/>
        </w:rPr>
        <w:t>;</w:t>
      </w:r>
    </w:p>
    <w:p w:rsidR="00241BC2" w:rsidRPr="00DA37F6" w:rsidRDefault="00241BC2" w:rsidP="00241BC2">
      <w:pPr>
        <w:pStyle w:val="P22"/>
        <w:tabs>
          <w:tab w:val="left" w:pos="9524"/>
        </w:tabs>
        <w:spacing w:before="72"/>
        <w:ind w:left="1440" w:right="0"/>
        <w:rPr>
          <w:rStyle w:val="default"/>
          <w:rFonts w:cs="David"/>
          <w:szCs w:val="20"/>
          <w:rtl/>
        </w:rPr>
      </w:pPr>
      <w:r w:rsidRPr="00DA37F6">
        <w:rPr>
          <w:rStyle w:val="default"/>
          <w:rFonts w:cs="David" w:hint="cs"/>
          <w:szCs w:val="20"/>
          <w:rtl/>
        </w:rPr>
        <w:t>(2)</w:t>
      </w:r>
      <w:r w:rsidRPr="00DA37F6">
        <w:rPr>
          <w:rStyle w:val="default"/>
          <w:rFonts w:cs="David"/>
          <w:szCs w:val="20"/>
          <w:rtl/>
        </w:rPr>
        <w:tab/>
        <w:t>ג</w:t>
      </w:r>
      <w:r w:rsidRPr="00DA37F6">
        <w:rPr>
          <w:rStyle w:val="default"/>
          <w:rFonts w:cs="David" w:hint="cs"/>
          <w:szCs w:val="20"/>
          <w:rtl/>
        </w:rPr>
        <w:t>רימת נזק חמור ליהודים בגוף או בנפש;</w:t>
      </w:r>
    </w:p>
    <w:p w:rsidR="00241BC2" w:rsidRPr="00DA37F6" w:rsidRDefault="00241BC2" w:rsidP="00241BC2">
      <w:pPr>
        <w:pStyle w:val="P22"/>
        <w:tabs>
          <w:tab w:val="left" w:pos="9524"/>
        </w:tabs>
        <w:spacing w:before="72"/>
        <w:ind w:left="1440" w:right="0"/>
        <w:rPr>
          <w:rStyle w:val="default"/>
          <w:rFonts w:cs="David"/>
          <w:szCs w:val="20"/>
          <w:rtl/>
        </w:rPr>
      </w:pPr>
      <w:r w:rsidRPr="00DA37F6">
        <w:rPr>
          <w:rStyle w:val="default"/>
          <w:rFonts w:cs="David" w:hint="cs"/>
          <w:szCs w:val="20"/>
          <w:rtl/>
        </w:rPr>
        <w:t>(3)</w:t>
      </w:r>
      <w:r w:rsidRPr="00DA37F6">
        <w:rPr>
          <w:rStyle w:val="default"/>
          <w:rFonts w:cs="David"/>
          <w:szCs w:val="20"/>
          <w:rtl/>
        </w:rPr>
        <w:tab/>
        <w:t>ה</w:t>
      </w:r>
      <w:r w:rsidRPr="00DA37F6">
        <w:rPr>
          <w:rStyle w:val="default"/>
          <w:rFonts w:cs="David" w:hint="cs"/>
          <w:szCs w:val="20"/>
          <w:rtl/>
        </w:rPr>
        <w:t>עמדת יהודים בתנאי חיים שיש בהם כדי להביא להשמדתם הגופנית;</w:t>
      </w:r>
    </w:p>
    <w:p w:rsidR="00241BC2" w:rsidRPr="00DA37F6" w:rsidRDefault="00241BC2" w:rsidP="00241BC2">
      <w:pPr>
        <w:pStyle w:val="P22"/>
        <w:tabs>
          <w:tab w:val="left" w:pos="9524"/>
        </w:tabs>
        <w:spacing w:before="72"/>
        <w:ind w:left="1440" w:right="0"/>
        <w:rPr>
          <w:rStyle w:val="default"/>
          <w:rFonts w:cs="David"/>
          <w:szCs w:val="20"/>
          <w:rtl/>
        </w:rPr>
      </w:pPr>
      <w:r w:rsidRPr="00DA37F6">
        <w:rPr>
          <w:rStyle w:val="default"/>
          <w:rFonts w:cs="David" w:hint="cs"/>
          <w:szCs w:val="20"/>
          <w:rtl/>
        </w:rPr>
        <w:t>(4)</w:t>
      </w:r>
      <w:r w:rsidRPr="00DA37F6">
        <w:rPr>
          <w:rStyle w:val="default"/>
          <w:rFonts w:cs="David"/>
          <w:szCs w:val="20"/>
          <w:rtl/>
        </w:rPr>
        <w:tab/>
        <w:t>ק</w:t>
      </w:r>
      <w:r w:rsidRPr="00DA37F6">
        <w:rPr>
          <w:rStyle w:val="default"/>
          <w:rFonts w:cs="David" w:hint="cs"/>
          <w:szCs w:val="20"/>
          <w:rtl/>
        </w:rPr>
        <w:t>ביעת אמצעי</w:t>
      </w:r>
      <w:r w:rsidRPr="00DA37F6">
        <w:rPr>
          <w:rStyle w:val="default"/>
          <w:rFonts w:cs="David"/>
          <w:szCs w:val="20"/>
          <w:rtl/>
        </w:rPr>
        <w:t>ם</w:t>
      </w:r>
      <w:r w:rsidRPr="00DA37F6">
        <w:rPr>
          <w:rStyle w:val="default"/>
          <w:rFonts w:cs="David" w:hint="cs"/>
          <w:szCs w:val="20"/>
          <w:rtl/>
        </w:rPr>
        <w:t xml:space="preserve"> שכוונתם למנוע את הילודה בקרב יהודים;</w:t>
      </w:r>
    </w:p>
    <w:p w:rsidR="00241BC2" w:rsidRPr="00DA37F6" w:rsidRDefault="00241BC2" w:rsidP="00241BC2">
      <w:pPr>
        <w:pStyle w:val="P22"/>
        <w:tabs>
          <w:tab w:val="left" w:pos="9524"/>
        </w:tabs>
        <w:spacing w:before="72"/>
        <w:ind w:left="1440" w:right="0"/>
        <w:rPr>
          <w:rStyle w:val="default"/>
          <w:rFonts w:cs="David"/>
          <w:szCs w:val="20"/>
          <w:rtl/>
        </w:rPr>
      </w:pPr>
      <w:r w:rsidRPr="00DA37F6">
        <w:rPr>
          <w:rStyle w:val="default"/>
          <w:rFonts w:cs="David" w:hint="cs"/>
          <w:szCs w:val="20"/>
          <w:rtl/>
        </w:rPr>
        <w:t>(5)</w:t>
      </w:r>
      <w:r w:rsidRPr="00DA37F6">
        <w:rPr>
          <w:rStyle w:val="default"/>
          <w:rFonts w:cs="David"/>
          <w:szCs w:val="20"/>
          <w:rtl/>
        </w:rPr>
        <w:tab/>
        <w:t>ה</w:t>
      </w:r>
      <w:r w:rsidRPr="00DA37F6">
        <w:rPr>
          <w:rStyle w:val="default"/>
          <w:rFonts w:cs="David" w:hint="cs"/>
          <w:szCs w:val="20"/>
          <w:rtl/>
        </w:rPr>
        <w:t>עברת ילדים יהודים לקיבוץ לאומי דתי אחר בדרך כפייה;</w:t>
      </w:r>
    </w:p>
    <w:p w:rsidR="00241BC2" w:rsidRPr="00DA37F6" w:rsidRDefault="00241BC2" w:rsidP="00241BC2">
      <w:pPr>
        <w:pStyle w:val="P22"/>
        <w:tabs>
          <w:tab w:val="left" w:pos="9524"/>
        </w:tabs>
        <w:spacing w:before="72"/>
        <w:ind w:left="1440" w:right="0"/>
        <w:rPr>
          <w:rStyle w:val="default"/>
          <w:rFonts w:cs="David"/>
          <w:szCs w:val="20"/>
          <w:rtl/>
        </w:rPr>
      </w:pPr>
      <w:r w:rsidRPr="00DA37F6">
        <w:rPr>
          <w:rStyle w:val="default"/>
          <w:rFonts w:cs="David" w:hint="cs"/>
          <w:szCs w:val="20"/>
          <w:rtl/>
        </w:rPr>
        <w:t>(6)</w:t>
      </w:r>
      <w:r w:rsidRPr="00DA37F6">
        <w:rPr>
          <w:rStyle w:val="default"/>
          <w:rFonts w:cs="David"/>
          <w:szCs w:val="20"/>
          <w:rtl/>
        </w:rPr>
        <w:tab/>
        <w:t>ה</w:t>
      </w:r>
      <w:r w:rsidRPr="00DA37F6">
        <w:rPr>
          <w:rStyle w:val="default"/>
          <w:rFonts w:cs="David" w:hint="cs"/>
          <w:szCs w:val="20"/>
          <w:rtl/>
        </w:rPr>
        <w:t>שמדה או חילול של נכסים או ערכים ד</w:t>
      </w:r>
      <w:r w:rsidRPr="00DA37F6">
        <w:rPr>
          <w:rStyle w:val="default"/>
          <w:rFonts w:cs="David"/>
          <w:szCs w:val="20"/>
          <w:rtl/>
        </w:rPr>
        <w:t>תי</w:t>
      </w:r>
      <w:r w:rsidRPr="00DA37F6">
        <w:rPr>
          <w:rStyle w:val="default"/>
          <w:rFonts w:cs="David" w:hint="cs"/>
          <w:szCs w:val="20"/>
          <w:rtl/>
        </w:rPr>
        <w:t>ים או תרבותיים של יהודים;</w:t>
      </w:r>
    </w:p>
    <w:p w:rsidR="00241BC2" w:rsidRPr="00DA37F6" w:rsidRDefault="00241BC2" w:rsidP="00241BC2">
      <w:pPr>
        <w:pStyle w:val="P22"/>
        <w:tabs>
          <w:tab w:val="left" w:pos="9524"/>
        </w:tabs>
        <w:spacing w:before="72"/>
        <w:ind w:left="1440" w:right="0"/>
        <w:rPr>
          <w:rStyle w:val="default"/>
          <w:rFonts w:cs="David"/>
          <w:szCs w:val="20"/>
          <w:rtl/>
        </w:rPr>
      </w:pPr>
      <w:r w:rsidRPr="00DA37F6">
        <w:rPr>
          <w:rStyle w:val="default"/>
          <w:rFonts w:cs="David" w:hint="cs"/>
          <w:szCs w:val="20"/>
          <w:rtl/>
        </w:rPr>
        <w:t>(7)</w:t>
      </w:r>
      <w:r w:rsidRPr="00DA37F6">
        <w:rPr>
          <w:rStyle w:val="default"/>
          <w:rFonts w:cs="David"/>
          <w:szCs w:val="20"/>
          <w:rtl/>
        </w:rPr>
        <w:tab/>
        <w:t>ה</w:t>
      </w:r>
      <w:r w:rsidRPr="00DA37F6">
        <w:rPr>
          <w:rStyle w:val="default"/>
          <w:rFonts w:cs="David" w:hint="cs"/>
          <w:szCs w:val="20"/>
          <w:rtl/>
        </w:rPr>
        <w:t>סתה לשנאת יהודים;</w:t>
      </w:r>
    </w:p>
    <w:p w:rsidR="00241BC2" w:rsidRPr="00DA37F6" w:rsidRDefault="00241BC2" w:rsidP="00241BC2">
      <w:pPr>
        <w:pStyle w:val="P00"/>
        <w:tabs>
          <w:tab w:val="left" w:pos="9524"/>
        </w:tabs>
        <w:spacing w:before="72"/>
        <w:ind w:left="0"/>
        <w:rPr>
          <w:rStyle w:val="default"/>
          <w:rFonts w:cs="David"/>
          <w:szCs w:val="20"/>
          <w:rtl/>
        </w:rPr>
      </w:pPr>
      <w:r w:rsidRPr="00DA37F6">
        <w:rPr>
          <w:rFonts w:cs="David"/>
          <w:szCs w:val="20"/>
          <w:rtl/>
        </w:rPr>
        <w:tab/>
      </w:r>
      <w:r w:rsidRPr="00010FC4">
        <w:rPr>
          <w:rStyle w:val="default"/>
          <w:rFonts w:cs="David"/>
          <w:szCs w:val="20"/>
          <w:rtl/>
        </w:rPr>
        <w:t>"פ</w:t>
      </w:r>
      <w:r w:rsidRPr="00010FC4">
        <w:rPr>
          <w:rStyle w:val="default"/>
          <w:rFonts w:cs="David" w:hint="cs"/>
          <w:szCs w:val="20"/>
          <w:rtl/>
        </w:rPr>
        <w:t>שע כלפי האנושות"</w:t>
      </w:r>
      <w:r w:rsidRPr="00DA37F6">
        <w:rPr>
          <w:rStyle w:val="default"/>
          <w:rFonts w:cs="David" w:hint="cs"/>
          <w:szCs w:val="20"/>
          <w:rtl/>
        </w:rPr>
        <w:t xml:space="preserve"> פירוש </w:t>
      </w:r>
      <w:r w:rsidRPr="00DA37F6">
        <w:rPr>
          <w:rStyle w:val="default"/>
          <w:rFonts w:cs="David"/>
          <w:szCs w:val="20"/>
          <w:rtl/>
        </w:rPr>
        <w:t xml:space="preserve">– </w:t>
      </w:r>
      <w:r w:rsidRPr="00DA37F6">
        <w:rPr>
          <w:rStyle w:val="default"/>
          <w:rFonts w:cs="David" w:hint="cs"/>
          <w:szCs w:val="20"/>
          <w:rtl/>
        </w:rPr>
        <w:t>אחד המעשים האלה:</w:t>
      </w:r>
    </w:p>
    <w:p w:rsidR="00241BC2" w:rsidRPr="00DA37F6" w:rsidRDefault="00241BC2" w:rsidP="00241BC2">
      <w:pPr>
        <w:pStyle w:val="P00"/>
        <w:tabs>
          <w:tab w:val="left" w:pos="9524"/>
        </w:tabs>
        <w:spacing w:before="72"/>
        <w:ind w:left="1021"/>
        <w:rPr>
          <w:rStyle w:val="default"/>
          <w:rFonts w:cs="David"/>
          <w:szCs w:val="20"/>
          <w:rtl/>
        </w:rPr>
      </w:pPr>
      <w:r w:rsidRPr="00DA37F6">
        <w:rPr>
          <w:rStyle w:val="default"/>
          <w:rFonts w:cs="David"/>
          <w:szCs w:val="20"/>
          <w:rtl/>
        </w:rPr>
        <w:t>רצ</w:t>
      </w:r>
      <w:r w:rsidRPr="00DA37F6">
        <w:rPr>
          <w:rStyle w:val="default"/>
          <w:rFonts w:cs="David" w:hint="cs"/>
          <w:szCs w:val="20"/>
          <w:rtl/>
        </w:rPr>
        <w:t>יחה, השמדה, שעבוד, הרעבה</w:t>
      </w:r>
      <w:r w:rsidRPr="00DA37F6">
        <w:rPr>
          <w:rStyle w:val="default"/>
          <w:rFonts w:cs="David"/>
          <w:szCs w:val="20"/>
          <w:rtl/>
        </w:rPr>
        <w:t xml:space="preserve"> </w:t>
      </w:r>
      <w:r w:rsidRPr="00DA37F6">
        <w:rPr>
          <w:rStyle w:val="default"/>
          <w:rFonts w:cs="David" w:hint="cs"/>
          <w:szCs w:val="20"/>
          <w:rtl/>
        </w:rPr>
        <w:t>וגירוש של אוכלוסיה אזרחית, וכל מעשה לא-אנושי אחר שנעשה באוכלוסיה אזרחית; וכן רדיפה מטעמים לאומיים גזעיים, דתיים, או פוליטיים;</w:t>
      </w:r>
    </w:p>
    <w:p w:rsidR="00241BC2" w:rsidRPr="00DA37F6" w:rsidRDefault="00241BC2" w:rsidP="00241BC2">
      <w:pPr>
        <w:pStyle w:val="P00"/>
        <w:tabs>
          <w:tab w:val="left" w:pos="9524"/>
        </w:tabs>
        <w:spacing w:before="72"/>
        <w:ind w:left="0"/>
        <w:rPr>
          <w:rStyle w:val="default"/>
          <w:rFonts w:cs="David"/>
          <w:szCs w:val="20"/>
          <w:rtl/>
        </w:rPr>
      </w:pPr>
      <w:r w:rsidRPr="00DA37F6">
        <w:rPr>
          <w:rFonts w:cs="David"/>
          <w:szCs w:val="20"/>
          <w:rtl/>
        </w:rPr>
        <w:tab/>
      </w:r>
      <w:r w:rsidRPr="00010FC4">
        <w:rPr>
          <w:rStyle w:val="default"/>
          <w:rFonts w:cs="David"/>
          <w:szCs w:val="20"/>
          <w:rtl/>
        </w:rPr>
        <w:t>"פ</w:t>
      </w:r>
      <w:r w:rsidRPr="00010FC4">
        <w:rPr>
          <w:rStyle w:val="default"/>
          <w:rFonts w:cs="David" w:hint="cs"/>
          <w:szCs w:val="20"/>
          <w:rtl/>
        </w:rPr>
        <w:t xml:space="preserve">שע </w:t>
      </w:r>
      <w:r w:rsidRPr="00010FC4">
        <w:rPr>
          <w:rStyle w:val="default"/>
          <w:rFonts w:cs="David"/>
          <w:szCs w:val="20"/>
          <w:rtl/>
        </w:rPr>
        <w:t>מל</w:t>
      </w:r>
      <w:r w:rsidRPr="00010FC4">
        <w:rPr>
          <w:rStyle w:val="default"/>
          <w:rFonts w:cs="David" w:hint="cs"/>
          <w:szCs w:val="20"/>
          <w:rtl/>
        </w:rPr>
        <w:t>חמה"</w:t>
      </w:r>
      <w:r w:rsidRPr="00DA37F6">
        <w:rPr>
          <w:rStyle w:val="default"/>
          <w:rFonts w:cs="David" w:hint="cs"/>
          <w:szCs w:val="20"/>
          <w:rtl/>
        </w:rPr>
        <w:t xml:space="preserve"> פירושו </w:t>
      </w:r>
      <w:r w:rsidRPr="00DA37F6">
        <w:rPr>
          <w:rStyle w:val="default"/>
          <w:rFonts w:cs="David"/>
          <w:szCs w:val="20"/>
          <w:rtl/>
        </w:rPr>
        <w:t xml:space="preserve">– </w:t>
      </w:r>
      <w:r w:rsidRPr="00DA37F6">
        <w:rPr>
          <w:rStyle w:val="default"/>
          <w:rFonts w:cs="David" w:hint="cs"/>
          <w:szCs w:val="20"/>
          <w:rtl/>
        </w:rPr>
        <w:t>אחד המעשים האלה:</w:t>
      </w:r>
    </w:p>
    <w:p w:rsidR="00241BC2" w:rsidRPr="00DA37F6" w:rsidRDefault="00241BC2" w:rsidP="00241BC2">
      <w:pPr>
        <w:pStyle w:val="P22"/>
        <w:tabs>
          <w:tab w:val="left" w:pos="9524"/>
        </w:tabs>
        <w:spacing w:before="72"/>
        <w:ind w:left="1021" w:right="0"/>
        <w:rPr>
          <w:rStyle w:val="default"/>
          <w:rFonts w:cs="David"/>
          <w:szCs w:val="20"/>
          <w:rtl/>
        </w:rPr>
      </w:pPr>
      <w:r w:rsidRPr="00DA37F6">
        <w:rPr>
          <w:rStyle w:val="default"/>
          <w:rFonts w:cs="David"/>
          <w:szCs w:val="20"/>
          <w:rtl/>
        </w:rPr>
        <w:t>רצ</w:t>
      </w:r>
      <w:r w:rsidRPr="00DA37F6">
        <w:rPr>
          <w:rStyle w:val="default"/>
          <w:rFonts w:cs="David" w:hint="cs"/>
          <w:szCs w:val="20"/>
          <w:rtl/>
        </w:rPr>
        <w:t>יחת בני אוכלוסיה אזרחית של ארץ כבושה או בתוך ארץ כבושה, נגישתם וגירושם לשם עבודת כפייה א</w:t>
      </w:r>
      <w:r w:rsidRPr="00DA37F6">
        <w:rPr>
          <w:rStyle w:val="default"/>
          <w:rFonts w:cs="David"/>
          <w:szCs w:val="20"/>
          <w:rtl/>
        </w:rPr>
        <w:t>ו</w:t>
      </w:r>
      <w:r w:rsidRPr="00DA37F6">
        <w:rPr>
          <w:rStyle w:val="default"/>
          <w:rFonts w:cs="David" w:hint="cs"/>
          <w:szCs w:val="20"/>
          <w:rtl/>
        </w:rPr>
        <w:t xml:space="preserve"> לשם כל מטרה אחרת; רציחתם וגירושם של שבויי מלחמה או של בני האדם הנמצאים בלב-ים; המתת בני ערובה; שוד רכוש ציבורי או פרטי; הריסה שרירו</w:t>
      </w:r>
      <w:r w:rsidRPr="00DA37F6">
        <w:rPr>
          <w:rStyle w:val="default"/>
          <w:rFonts w:cs="David"/>
          <w:szCs w:val="20"/>
          <w:rtl/>
        </w:rPr>
        <w:t>תי</w:t>
      </w:r>
      <w:r w:rsidRPr="00DA37F6">
        <w:rPr>
          <w:rStyle w:val="default"/>
          <w:rFonts w:cs="David" w:hint="cs"/>
          <w:szCs w:val="20"/>
          <w:rtl/>
        </w:rPr>
        <w:t>ת של כרכים, ערים או כפרים, והחרבה שאינה מוצדקת על ידי הכרח צבאי.</w:t>
      </w:r>
    </w:p>
    <w:p w:rsidR="00241BC2" w:rsidRDefault="005D7968" w:rsidP="00241BC2">
      <w:pPr>
        <w:pStyle w:val="P00"/>
        <w:spacing w:before="72"/>
        <w:ind w:left="624"/>
        <w:rPr>
          <w:rStyle w:val="default"/>
          <w:rFonts w:cs="David"/>
          <w:szCs w:val="20"/>
          <w:rtl/>
        </w:rPr>
      </w:pPr>
      <w:r w:rsidRPr="005D7968">
        <w:rPr>
          <w:rFonts w:cs="David"/>
          <w:szCs w:val="20"/>
          <w:rtl/>
          <w:lang w:val="he-IL"/>
        </w:rPr>
        <w:pict>
          <v:rect id="_x0000_s1210" style="position:absolute;left:0;text-align:left;margin-left:464.5pt;margin-top:8.05pt;width:75.05pt;height:40.75pt;z-index:251851776" o:allowincell="f" filled="f" stroked="f" strokecolor="lime" strokeweight=".25pt">
            <v:textbox inset="0,0,0,0">
              <w:txbxContent>
                <w:p w:rsidR="00241BC2" w:rsidRDefault="00241BC2" w:rsidP="00241BC2">
                  <w:pPr>
                    <w:spacing w:line="160" w:lineRule="exact"/>
                    <w:ind w:left="454" w:right="-40"/>
                    <w:jc w:val="left"/>
                    <w:rPr>
                      <w:rFonts w:cs="Miriam"/>
                      <w:sz w:val="18"/>
                      <w:szCs w:val="18"/>
                      <w:rtl/>
                    </w:rPr>
                  </w:pPr>
                  <w:r>
                    <w:rPr>
                      <w:rFonts w:cs="Miriam"/>
                      <w:sz w:val="18"/>
                      <w:szCs w:val="18"/>
                      <w:rtl/>
                    </w:rPr>
                    <w:t>פש</w:t>
                  </w:r>
                  <w:r>
                    <w:rPr>
                      <w:rFonts w:cs="Miriam" w:hint="cs"/>
                      <w:sz w:val="18"/>
                      <w:szCs w:val="18"/>
                      <w:rtl/>
                    </w:rPr>
                    <w:t xml:space="preserve">עים </w:t>
                  </w:r>
                </w:p>
                <w:p w:rsidR="00241BC2" w:rsidRDefault="00241BC2" w:rsidP="00241BC2">
                  <w:pPr>
                    <w:spacing w:line="160" w:lineRule="exact"/>
                    <w:ind w:left="454" w:right="-40"/>
                    <w:jc w:val="left"/>
                    <w:rPr>
                      <w:rFonts w:cs="Miriam"/>
                      <w:sz w:val="18"/>
                      <w:szCs w:val="18"/>
                      <w:rtl/>
                    </w:rPr>
                  </w:pPr>
                  <w:r>
                    <w:rPr>
                      <w:rFonts w:cs="Miriam" w:hint="cs"/>
                      <w:sz w:val="18"/>
                      <w:szCs w:val="18"/>
                      <w:rtl/>
                    </w:rPr>
                    <w:t xml:space="preserve">כלפי </w:t>
                  </w:r>
                </w:p>
                <w:p w:rsidR="00241BC2" w:rsidRDefault="00241BC2" w:rsidP="00241BC2">
                  <w:pPr>
                    <w:spacing w:line="160" w:lineRule="exact"/>
                    <w:ind w:left="454" w:right="-39"/>
                    <w:jc w:val="left"/>
                    <w:rPr>
                      <w:rFonts w:cs="Miriam"/>
                      <w:sz w:val="18"/>
                      <w:szCs w:val="18"/>
                      <w:rtl/>
                    </w:rPr>
                  </w:pPr>
                  <w:r>
                    <w:rPr>
                      <w:rFonts w:cs="Miriam" w:hint="cs"/>
                      <w:sz w:val="18"/>
                      <w:szCs w:val="18"/>
                      <w:rtl/>
                    </w:rPr>
                    <w:t xml:space="preserve">בני אדם </w:t>
                  </w:r>
                </w:p>
                <w:p w:rsidR="00241BC2" w:rsidRDefault="00241BC2" w:rsidP="00241BC2">
                  <w:pPr>
                    <w:spacing w:line="160" w:lineRule="exact"/>
                    <w:ind w:left="454" w:right="-39"/>
                    <w:jc w:val="left"/>
                    <w:rPr>
                      <w:rFonts w:cs="Miriam"/>
                      <w:noProof/>
                      <w:sz w:val="18"/>
                      <w:szCs w:val="18"/>
                      <w:rtl/>
                    </w:rPr>
                  </w:pPr>
                  <w:r>
                    <w:rPr>
                      <w:rFonts w:cs="Miriam" w:hint="cs"/>
                      <w:sz w:val="18"/>
                      <w:szCs w:val="18"/>
                      <w:rtl/>
                    </w:rPr>
                    <w:t>נרדפים</w:t>
                  </w:r>
                </w:p>
              </w:txbxContent>
            </v:textbox>
            <w10:anchorlock/>
          </v:rect>
        </w:pict>
      </w:r>
      <w:r w:rsidR="00241BC2" w:rsidRPr="00DA37F6">
        <w:rPr>
          <w:rStyle w:val="big-number"/>
          <w:rFonts w:cs="David"/>
          <w:szCs w:val="20"/>
          <w:rtl/>
        </w:rPr>
        <w:t>2.</w:t>
      </w:r>
      <w:r w:rsidR="00241BC2" w:rsidRPr="00DA37F6">
        <w:rPr>
          <w:rStyle w:val="big-number"/>
          <w:rFonts w:cs="David"/>
          <w:szCs w:val="20"/>
          <w:rtl/>
        </w:rPr>
        <w:tab/>
      </w:r>
      <w:r w:rsidR="00241BC2" w:rsidRPr="00DA37F6">
        <w:rPr>
          <w:rStyle w:val="default"/>
          <w:rFonts w:cs="David"/>
          <w:szCs w:val="20"/>
          <w:rtl/>
        </w:rPr>
        <w:t>אד</w:t>
      </w:r>
      <w:r w:rsidR="00241BC2" w:rsidRPr="00DA37F6">
        <w:rPr>
          <w:rStyle w:val="default"/>
          <w:rFonts w:cs="David" w:hint="cs"/>
          <w:szCs w:val="20"/>
          <w:rtl/>
        </w:rPr>
        <w:t>ם שבתקופת השלטון הנאצי, בארץ עויינת, עשה מעשה, שאילו עשהו בשטח ישראל היה אשם בעבירה לפי אחד מסעיפי החוק הפלילי המנויים להלן, והוא עשה את המעשה כלפי אדם נרדף באשר הוא אדם נרדף, יאשם בע</w:t>
      </w:r>
      <w:r w:rsidR="00241BC2" w:rsidRPr="00DA37F6">
        <w:rPr>
          <w:rStyle w:val="default"/>
          <w:rFonts w:cs="David"/>
          <w:szCs w:val="20"/>
          <w:rtl/>
        </w:rPr>
        <w:t>בי</w:t>
      </w:r>
      <w:r w:rsidR="00241BC2" w:rsidRPr="00DA37F6">
        <w:rPr>
          <w:rStyle w:val="default"/>
          <w:rFonts w:cs="David" w:hint="cs"/>
          <w:szCs w:val="20"/>
          <w:rtl/>
        </w:rPr>
        <w:t xml:space="preserve">רה לפי חוק זה ויהיה צפוי לאותו עונש שהיה צפוי לו אילו עשה את המעשה בשטח ישראל. ואלה הסעיפים: </w:t>
      </w:r>
    </w:p>
    <w:p w:rsidR="00241BC2" w:rsidRPr="00DA37F6" w:rsidRDefault="00241BC2" w:rsidP="00241BC2">
      <w:pPr>
        <w:pStyle w:val="P00"/>
        <w:spacing w:before="72"/>
        <w:ind w:left="0"/>
        <w:rPr>
          <w:rStyle w:val="default"/>
          <w:rFonts w:cs="David"/>
          <w:szCs w:val="20"/>
          <w:rtl/>
        </w:rPr>
      </w:pPr>
      <w:r w:rsidRPr="00DA37F6">
        <w:rPr>
          <w:rStyle w:val="default"/>
          <w:rFonts w:cs="David" w:hint="cs"/>
          <w:szCs w:val="20"/>
          <w:rtl/>
        </w:rPr>
        <w:t>[...]</w:t>
      </w:r>
    </w:p>
    <w:p w:rsidR="00241BC2" w:rsidRPr="00DA37F6" w:rsidRDefault="005D7968" w:rsidP="00241BC2">
      <w:pPr>
        <w:pStyle w:val="P00"/>
        <w:spacing w:before="72"/>
        <w:ind w:left="624"/>
        <w:rPr>
          <w:rStyle w:val="default"/>
          <w:rFonts w:cs="David"/>
          <w:szCs w:val="20"/>
          <w:rtl/>
        </w:rPr>
      </w:pPr>
      <w:bookmarkStart w:id="60" w:name="Seif15"/>
      <w:bookmarkEnd w:id="60"/>
      <w:r w:rsidRPr="005D7968">
        <w:rPr>
          <w:rFonts w:cs="David"/>
          <w:szCs w:val="20"/>
          <w:rtl/>
          <w:lang w:val="he-IL"/>
        </w:rPr>
        <w:pict>
          <v:rect id="_x0000_s1211" style="position:absolute;left:0;text-align:left;margin-left:464.5pt;margin-top:8.05pt;width:75.05pt;height:11.95pt;z-index:251852800" o:allowincell="f" filled="f" stroked="f" strokecolor="lime" strokeweight=".25pt">
            <v:textbox inset="0,0,0,0">
              <w:txbxContent>
                <w:p w:rsidR="00241BC2" w:rsidRDefault="00241BC2" w:rsidP="00241BC2">
                  <w:pPr>
                    <w:spacing w:line="160" w:lineRule="exact"/>
                    <w:ind w:left="454"/>
                    <w:jc w:val="left"/>
                    <w:rPr>
                      <w:rFonts w:cs="Miriam"/>
                      <w:noProof/>
                      <w:sz w:val="18"/>
                      <w:szCs w:val="18"/>
                      <w:rtl/>
                    </w:rPr>
                  </w:pPr>
                  <w:r>
                    <w:rPr>
                      <w:rFonts w:cs="Miriam"/>
                      <w:sz w:val="18"/>
                      <w:szCs w:val="18"/>
                      <w:rtl/>
                    </w:rPr>
                    <w:t>פי</w:t>
                  </w:r>
                  <w:r>
                    <w:rPr>
                      <w:rFonts w:cs="Miriam" w:hint="cs"/>
                      <w:sz w:val="18"/>
                      <w:szCs w:val="18"/>
                      <w:rtl/>
                    </w:rPr>
                    <w:t>רושים</w:t>
                  </w:r>
                </w:p>
              </w:txbxContent>
            </v:textbox>
            <w10:anchorlock/>
          </v:rect>
        </w:pict>
      </w:r>
      <w:r w:rsidR="00241BC2" w:rsidRPr="00DA37F6">
        <w:rPr>
          <w:rStyle w:val="big-number"/>
          <w:rFonts w:cs="David"/>
          <w:szCs w:val="20"/>
          <w:rtl/>
        </w:rPr>
        <w:t>16.</w:t>
      </w:r>
      <w:r w:rsidR="00241BC2" w:rsidRPr="00DA37F6">
        <w:rPr>
          <w:rStyle w:val="big-number"/>
          <w:rFonts w:cs="David"/>
          <w:szCs w:val="20"/>
          <w:rtl/>
        </w:rPr>
        <w:tab/>
      </w:r>
      <w:r w:rsidR="00241BC2" w:rsidRPr="00DA37F6">
        <w:rPr>
          <w:rStyle w:val="default"/>
          <w:rFonts w:cs="David"/>
          <w:szCs w:val="20"/>
          <w:rtl/>
        </w:rPr>
        <w:t>בח</w:t>
      </w:r>
      <w:r w:rsidR="00241BC2" w:rsidRPr="00DA37F6">
        <w:rPr>
          <w:rStyle w:val="default"/>
          <w:rFonts w:cs="David" w:hint="cs"/>
          <w:szCs w:val="20"/>
          <w:rtl/>
        </w:rPr>
        <w:t xml:space="preserve">וק זה </w:t>
      </w:r>
      <w:r w:rsidR="00241BC2" w:rsidRPr="00DA37F6">
        <w:rPr>
          <w:rStyle w:val="default"/>
          <w:rFonts w:cs="David"/>
          <w:szCs w:val="20"/>
          <w:rtl/>
        </w:rPr>
        <w:t>–</w:t>
      </w:r>
    </w:p>
    <w:p w:rsidR="00241BC2" w:rsidRPr="00DA37F6" w:rsidRDefault="00241BC2" w:rsidP="00241BC2">
      <w:pPr>
        <w:pStyle w:val="P00"/>
        <w:spacing w:before="72"/>
        <w:ind w:left="0"/>
        <w:rPr>
          <w:rStyle w:val="default"/>
          <w:rFonts w:cs="David"/>
          <w:szCs w:val="20"/>
          <w:rtl/>
        </w:rPr>
      </w:pPr>
      <w:r w:rsidRPr="00DA37F6">
        <w:rPr>
          <w:rFonts w:cs="David"/>
          <w:szCs w:val="20"/>
          <w:rtl/>
        </w:rPr>
        <w:tab/>
      </w:r>
      <w:r w:rsidRPr="00DA37F6">
        <w:rPr>
          <w:rStyle w:val="default"/>
          <w:rFonts w:cs="David"/>
          <w:szCs w:val="20"/>
          <w:rtl/>
        </w:rPr>
        <w:t>"ת</w:t>
      </w:r>
      <w:r w:rsidRPr="00DA37F6">
        <w:rPr>
          <w:rStyle w:val="default"/>
          <w:rFonts w:cs="David" w:hint="cs"/>
          <w:szCs w:val="20"/>
          <w:rtl/>
        </w:rPr>
        <w:t xml:space="preserve">קופת השלטון הנאצי" פירושו </w:t>
      </w:r>
      <w:r w:rsidRPr="00DA37F6">
        <w:rPr>
          <w:rStyle w:val="default"/>
          <w:rFonts w:cs="David"/>
          <w:szCs w:val="20"/>
          <w:rtl/>
        </w:rPr>
        <w:t xml:space="preserve">– </w:t>
      </w:r>
      <w:r w:rsidRPr="00DA37F6">
        <w:rPr>
          <w:rStyle w:val="default"/>
          <w:rFonts w:cs="David" w:hint="cs"/>
          <w:szCs w:val="20"/>
          <w:rtl/>
        </w:rPr>
        <w:t>התקופה שהחלה ביום ג' בשבט תרצ"ג (30 בינואר 1933) ונסתיימה ביום כ"ה באייר תש"ה (8 במאי 1945).</w:t>
      </w:r>
    </w:p>
    <w:p w:rsidR="00241BC2" w:rsidRPr="00DA37F6" w:rsidRDefault="00241BC2" w:rsidP="00241BC2">
      <w:pPr>
        <w:pStyle w:val="P00"/>
        <w:spacing w:before="72"/>
        <w:ind w:left="0"/>
        <w:rPr>
          <w:rFonts w:cs="David"/>
          <w:b/>
          <w:bCs/>
          <w:szCs w:val="20"/>
          <w:rtl/>
        </w:rPr>
      </w:pPr>
      <w:r w:rsidRPr="00DA37F6">
        <w:rPr>
          <w:rFonts w:cs="David"/>
          <w:szCs w:val="20"/>
          <w:rtl/>
        </w:rPr>
        <w:tab/>
      </w:r>
      <w:r w:rsidRPr="00DA37F6">
        <w:rPr>
          <w:rStyle w:val="default"/>
          <w:rFonts w:cs="David"/>
          <w:szCs w:val="20"/>
          <w:rtl/>
        </w:rPr>
        <w:t>"ת</w:t>
      </w:r>
      <w:r w:rsidRPr="00DA37F6">
        <w:rPr>
          <w:rStyle w:val="default"/>
          <w:rFonts w:cs="David" w:hint="cs"/>
          <w:szCs w:val="20"/>
          <w:rtl/>
        </w:rPr>
        <w:t xml:space="preserve">קופת מלחמת העולם השניה" פירושו </w:t>
      </w:r>
      <w:r w:rsidRPr="00DA37F6">
        <w:rPr>
          <w:rStyle w:val="default"/>
          <w:rFonts w:cs="David"/>
          <w:szCs w:val="20"/>
          <w:rtl/>
        </w:rPr>
        <w:t xml:space="preserve">– </w:t>
      </w:r>
      <w:r w:rsidRPr="00DA37F6">
        <w:rPr>
          <w:rStyle w:val="default"/>
          <w:rFonts w:cs="David" w:hint="cs"/>
          <w:szCs w:val="20"/>
          <w:rtl/>
        </w:rPr>
        <w:t>התקו</w:t>
      </w:r>
      <w:r w:rsidRPr="00DA37F6">
        <w:rPr>
          <w:rStyle w:val="default"/>
          <w:rFonts w:cs="David"/>
          <w:szCs w:val="20"/>
          <w:rtl/>
        </w:rPr>
        <w:t>פה</w:t>
      </w:r>
      <w:r w:rsidRPr="00DA37F6">
        <w:rPr>
          <w:rStyle w:val="default"/>
          <w:rFonts w:cs="David" w:hint="cs"/>
          <w:szCs w:val="20"/>
          <w:rtl/>
        </w:rPr>
        <w:t xml:space="preserve"> שהחלה ביום י"ז באלול תרצ"ט (1 בספטמבר 1939) ונסתיימה ביום ה' באלול תש"ה (14 באוגוסט 1945);</w:t>
      </w:r>
      <w:r>
        <w:rPr>
          <w:rStyle w:val="default"/>
          <w:rFonts w:cs="David" w:hint="cs"/>
          <w:szCs w:val="20"/>
          <w:rtl/>
        </w:rPr>
        <w:t xml:space="preserve"> </w:t>
      </w:r>
      <w:r w:rsidRPr="00DA37F6">
        <w:rPr>
          <w:rFonts w:cs="David" w:hint="cs"/>
          <w:b/>
          <w:bCs/>
          <w:szCs w:val="20"/>
          <w:rtl/>
        </w:rPr>
        <w:t xml:space="preserve"> [...]</w:t>
      </w:r>
    </w:p>
    <w:p w:rsidR="00241BC2" w:rsidRPr="00DA37F6" w:rsidRDefault="00241BC2" w:rsidP="00241BC2">
      <w:pPr>
        <w:pStyle w:val="P00"/>
        <w:spacing w:before="72"/>
        <w:ind w:left="0"/>
        <w:rPr>
          <w:rStyle w:val="default"/>
          <w:rFonts w:cs="David"/>
          <w:szCs w:val="20"/>
          <w:rtl/>
        </w:rPr>
      </w:pPr>
      <w:r w:rsidRPr="00DA37F6">
        <w:rPr>
          <w:rStyle w:val="default"/>
          <w:rFonts w:cs="David" w:hint="cs"/>
          <w:szCs w:val="20"/>
          <w:rtl/>
        </w:rPr>
        <w:tab/>
      </w:r>
      <w:r w:rsidRPr="00DA37F6">
        <w:rPr>
          <w:rStyle w:val="default"/>
          <w:rFonts w:cs="David"/>
          <w:szCs w:val="20"/>
          <w:rtl/>
        </w:rPr>
        <w:t>"א</w:t>
      </w:r>
      <w:r w:rsidRPr="00DA37F6">
        <w:rPr>
          <w:rStyle w:val="default"/>
          <w:rFonts w:cs="David" w:hint="cs"/>
          <w:szCs w:val="20"/>
          <w:rtl/>
        </w:rPr>
        <w:t xml:space="preserve">דם נרדף" פירושו </w:t>
      </w:r>
      <w:r w:rsidRPr="00DA37F6">
        <w:rPr>
          <w:rStyle w:val="default"/>
          <w:rFonts w:cs="David"/>
          <w:szCs w:val="20"/>
          <w:rtl/>
        </w:rPr>
        <w:t xml:space="preserve">– </w:t>
      </w:r>
      <w:r w:rsidRPr="00DA37F6">
        <w:rPr>
          <w:rStyle w:val="default"/>
          <w:rFonts w:cs="David" w:hint="cs"/>
          <w:szCs w:val="20"/>
          <w:rtl/>
        </w:rPr>
        <w:t>אדם הנמנה עם קיבוץ לאומי, גזעי, דתי או פוליטי שנרדף</w:t>
      </w:r>
      <w:r w:rsidRPr="00DA37F6">
        <w:rPr>
          <w:rStyle w:val="default"/>
          <w:rFonts w:cs="David"/>
          <w:szCs w:val="20"/>
          <w:rtl/>
        </w:rPr>
        <w:t xml:space="preserve"> ע</w:t>
      </w:r>
      <w:r w:rsidRPr="00DA37F6">
        <w:rPr>
          <w:rStyle w:val="default"/>
          <w:rFonts w:cs="David" w:hint="cs"/>
          <w:szCs w:val="20"/>
          <w:rtl/>
        </w:rPr>
        <w:t>ל ידי שלטון עויין;</w:t>
      </w:r>
    </w:p>
    <w:p w:rsidR="00241BC2" w:rsidRPr="00DA37F6" w:rsidRDefault="00241BC2" w:rsidP="00241BC2">
      <w:pPr>
        <w:pStyle w:val="P00"/>
        <w:spacing w:before="72"/>
        <w:ind w:left="0"/>
        <w:rPr>
          <w:rStyle w:val="default"/>
          <w:rFonts w:cs="David"/>
          <w:szCs w:val="20"/>
          <w:rtl/>
        </w:rPr>
      </w:pPr>
      <w:r w:rsidRPr="00DA37F6">
        <w:rPr>
          <w:rFonts w:cs="David"/>
          <w:szCs w:val="20"/>
          <w:rtl/>
        </w:rPr>
        <w:tab/>
      </w:r>
      <w:r w:rsidRPr="00DA37F6">
        <w:rPr>
          <w:rStyle w:val="default"/>
          <w:rFonts w:cs="David"/>
          <w:szCs w:val="20"/>
          <w:rtl/>
        </w:rPr>
        <w:t>"ה</w:t>
      </w:r>
      <w:r w:rsidRPr="00DA37F6">
        <w:rPr>
          <w:rStyle w:val="default"/>
          <w:rFonts w:cs="David" w:hint="cs"/>
          <w:szCs w:val="20"/>
          <w:rtl/>
        </w:rPr>
        <w:t xml:space="preserve">חוק הפלילי" פירושו </w:t>
      </w:r>
      <w:r w:rsidRPr="00DA37F6">
        <w:rPr>
          <w:rStyle w:val="default"/>
          <w:rFonts w:cs="David"/>
          <w:szCs w:val="20"/>
          <w:rtl/>
        </w:rPr>
        <w:t xml:space="preserve">– </w:t>
      </w:r>
      <w:r w:rsidRPr="00DA37F6">
        <w:rPr>
          <w:rStyle w:val="default"/>
          <w:rFonts w:cs="David" w:hint="cs"/>
          <w:szCs w:val="20"/>
          <w:rtl/>
        </w:rPr>
        <w:t>פקודת החוק הפלילי, 1936.</w:t>
      </w:r>
    </w:p>
    <w:p w:rsidR="00241BC2" w:rsidRPr="00084812" w:rsidRDefault="00241BC2" w:rsidP="00241BC2">
      <w:pPr>
        <w:spacing w:after="60"/>
        <w:rPr>
          <w:rFonts w:cs="David"/>
          <w:sz w:val="20"/>
          <w:szCs w:val="20"/>
          <w:rtl/>
        </w:rPr>
      </w:pPr>
    </w:p>
    <w:p w:rsidR="00241BC2" w:rsidRPr="006F0E18" w:rsidRDefault="00241BC2" w:rsidP="00241BC2">
      <w:pPr>
        <w:jc w:val="center"/>
        <w:rPr>
          <w:sz w:val="20"/>
          <w:szCs w:val="20"/>
          <w:rtl/>
        </w:rPr>
      </w:pPr>
      <w:r>
        <w:rPr>
          <w:rFonts w:hint="cs"/>
          <w:sz w:val="20"/>
          <w:szCs w:val="20"/>
          <w:rtl/>
        </w:rPr>
        <w:t>=-=</w:t>
      </w:r>
    </w:p>
    <w:p w:rsidR="00241BC2" w:rsidRPr="00826669" w:rsidRDefault="00241BC2" w:rsidP="00241BC2">
      <w:pPr>
        <w:spacing w:after="120"/>
        <w:jc w:val="left"/>
        <w:rPr>
          <w:rFonts w:ascii="Arial" w:hAnsi="Arial" w:cs="Arial"/>
          <w:sz w:val="22"/>
          <w:szCs w:val="22"/>
          <w:u w:val="single"/>
          <w:rtl/>
        </w:rPr>
      </w:pPr>
      <w:r w:rsidRPr="00826669">
        <w:rPr>
          <w:rFonts w:ascii="Arial" w:hAnsi="Arial" w:cs="Arial"/>
          <w:b/>
          <w:bCs/>
          <w:sz w:val="22"/>
          <w:szCs w:val="22"/>
          <w:u w:val="single"/>
          <w:rtl/>
        </w:rPr>
        <w:t xml:space="preserve">מועד </w:t>
      </w:r>
      <w:r w:rsidRPr="00826669">
        <w:rPr>
          <w:rFonts w:ascii="Arial" w:hAnsi="Arial" w:cs="Arial" w:hint="cs"/>
          <w:b/>
          <w:bCs/>
          <w:sz w:val="22"/>
          <w:szCs w:val="22"/>
          <w:u w:val="single"/>
          <w:rtl/>
        </w:rPr>
        <w:t>ה</w:t>
      </w:r>
      <w:r w:rsidRPr="00826669">
        <w:rPr>
          <w:rFonts w:ascii="Arial" w:hAnsi="Arial" w:cs="Arial"/>
          <w:b/>
          <w:bCs/>
          <w:sz w:val="22"/>
          <w:szCs w:val="22"/>
          <w:u w:val="single"/>
          <w:rtl/>
        </w:rPr>
        <w:t xml:space="preserve">תחולה של </w:t>
      </w:r>
      <w:r w:rsidRPr="00826669">
        <w:rPr>
          <w:rFonts w:ascii="Arial" w:hAnsi="Arial" w:cs="Arial" w:hint="cs"/>
          <w:b/>
          <w:bCs/>
          <w:sz w:val="22"/>
          <w:szCs w:val="22"/>
          <w:highlight w:val="yellow"/>
          <w:u w:val="single"/>
          <w:rtl/>
        </w:rPr>
        <w:t xml:space="preserve">חקיקת משנה: </w:t>
      </w:r>
      <w:r w:rsidRPr="00826669">
        <w:rPr>
          <w:rFonts w:ascii="Arial" w:hAnsi="Arial" w:cs="Arial"/>
          <w:b/>
          <w:bCs/>
          <w:sz w:val="22"/>
          <w:szCs w:val="22"/>
          <w:highlight w:val="yellow"/>
          <w:u w:val="single"/>
          <w:rtl/>
        </w:rPr>
        <w:t>תקנות</w:t>
      </w:r>
      <w:r w:rsidRPr="00826669">
        <w:rPr>
          <w:rFonts w:ascii="Arial" w:hAnsi="Arial" w:cs="Arial" w:hint="cs"/>
          <w:b/>
          <w:bCs/>
          <w:sz w:val="22"/>
          <w:szCs w:val="22"/>
          <w:highlight w:val="yellow"/>
          <w:u w:val="single"/>
          <w:rtl/>
        </w:rPr>
        <w:t>, חוקי עזר וכדומה</w:t>
      </w:r>
    </w:p>
    <w:p w:rsidR="00241BC2" w:rsidRPr="000D7703" w:rsidRDefault="00241BC2" w:rsidP="00241BC2">
      <w:pPr>
        <w:spacing w:after="60"/>
        <w:rPr>
          <w:rFonts w:ascii="Arial" w:hAnsi="Arial" w:cs="David"/>
          <w:b/>
          <w:bCs/>
          <w:sz w:val="20"/>
          <w:szCs w:val="20"/>
          <w:rtl/>
        </w:rPr>
      </w:pPr>
      <w:r w:rsidRPr="000D7703">
        <w:rPr>
          <w:rFonts w:ascii="Arial" w:hAnsi="Arial" w:cs="David" w:hint="cs"/>
          <w:b/>
          <w:bCs/>
          <w:sz w:val="20"/>
          <w:szCs w:val="20"/>
          <w:rtl/>
        </w:rPr>
        <w:t>חוק יסוד: הממשלה</w:t>
      </w:r>
      <w:r>
        <w:rPr>
          <w:rFonts w:ascii="Arial" w:hAnsi="Arial" w:cs="David" w:hint="cs"/>
          <w:b/>
          <w:bCs/>
          <w:sz w:val="20"/>
          <w:szCs w:val="20"/>
          <w:rtl/>
        </w:rPr>
        <w:t>:</w:t>
      </w:r>
    </w:p>
    <w:p w:rsidR="00241BC2" w:rsidRPr="000D7703" w:rsidRDefault="00241BC2" w:rsidP="00241BC2">
      <w:pPr>
        <w:spacing w:after="60"/>
        <w:ind w:left="720"/>
        <w:rPr>
          <w:rFonts w:ascii="Arial" w:hAnsi="Arial" w:cs="David"/>
          <w:sz w:val="20"/>
          <w:szCs w:val="20"/>
          <w:rtl/>
        </w:rPr>
      </w:pPr>
      <w:r w:rsidRPr="000D7703">
        <w:rPr>
          <w:rFonts w:ascii="Arial" w:hAnsi="Arial" w:cs="David"/>
          <w:sz w:val="20"/>
          <w:szCs w:val="20"/>
          <w:rtl/>
        </w:rPr>
        <w:t xml:space="preserve"> 39. </w:t>
      </w:r>
      <w:r w:rsidRPr="000D7703">
        <w:rPr>
          <w:rFonts w:ascii="Arial" w:hAnsi="Arial" w:cs="David" w:hint="cs"/>
          <w:sz w:val="20"/>
          <w:szCs w:val="20"/>
          <w:rtl/>
        </w:rPr>
        <w:t>[</w:t>
      </w:r>
      <w:r w:rsidRPr="000D7703">
        <w:rPr>
          <w:rFonts w:ascii="Arial" w:hAnsi="Arial" w:cs="David"/>
          <w:sz w:val="20"/>
          <w:szCs w:val="20"/>
          <w:rtl/>
        </w:rPr>
        <w:t xml:space="preserve">התקנת תקנות שעת חירום </w:t>
      </w:r>
      <w:r w:rsidRPr="000D7703">
        <w:rPr>
          <w:rFonts w:ascii="Arial" w:hAnsi="Arial" w:cs="David" w:hint="cs"/>
          <w:sz w:val="20"/>
          <w:szCs w:val="20"/>
          <w:rtl/>
        </w:rPr>
        <w:t>]</w:t>
      </w:r>
    </w:p>
    <w:p w:rsidR="00241BC2" w:rsidRDefault="00241BC2" w:rsidP="00241BC2">
      <w:pPr>
        <w:spacing w:after="120"/>
        <w:rPr>
          <w:rFonts w:ascii="Arial" w:hAnsi="Arial" w:cs="David"/>
          <w:sz w:val="20"/>
          <w:szCs w:val="20"/>
          <w:rtl/>
        </w:rPr>
      </w:pPr>
      <w:r>
        <w:rPr>
          <w:rFonts w:ascii="Arial" w:hAnsi="Arial" w:cs="David" w:hint="cs"/>
          <w:sz w:val="20"/>
          <w:szCs w:val="20"/>
          <w:rtl/>
        </w:rPr>
        <w:t xml:space="preserve">[...] </w:t>
      </w:r>
      <w:r w:rsidRPr="000D7703">
        <w:rPr>
          <w:rFonts w:ascii="Arial" w:hAnsi="Arial" w:cs="David"/>
          <w:sz w:val="20"/>
          <w:szCs w:val="20"/>
          <w:rtl/>
        </w:rPr>
        <w:t xml:space="preserve">(ד) אין בכוחן של תקנות שעת חירום למנוע פניה לערכאות, </w:t>
      </w:r>
      <w:r w:rsidRPr="00826669">
        <w:rPr>
          <w:rFonts w:ascii="Arial" w:hAnsi="Arial" w:cs="David"/>
          <w:sz w:val="20"/>
          <w:szCs w:val="20"/>
          <w:highlight w:val="yellow"/>
          <w:rtl/>
        </w:rPr>
        <w:t>לקבוע ענישה למפרע</w:t>
      </w:r>
      <w:r w:rsidRPr="000D7703">
        <w:rPr>
          <w:rFonts w:ascii="Arial" w:hAnsi="Arial" w:cs="David"/>
          <w:sz w:val="20"/>
          <w:szCs w:val="20"/>
          <w:rtl/>
        </w:rPr>
        <w:t xml:space="preserve"> או להתיר פגיעה בכבוד האדם. </w:t>
      </w:r>
      <w:r>
        <w:rPr>
          <w:rFonts w:ascii="Arial" w:hAnsi="Arial" w:cs="David" w:hint="cs"/>
          <w:sz w:val="20"/>
          <w:szCs w:val="20"/>
          <w:rtl/>
        </w:rPr>
        <w:t>[...]</w:t>
      </w:r>
    </w:p>
    <w:p w:rsidR="00241BC2" w:rsidRPr="000D7703" w:rsidRDefault="00241BC2" w:rsidP="00241BC2">
      <w:pPr>
        <w:spacing w:after="60"/>
        <w:rPr>
          <w:rFonts w:cs="David"/>
          <w:b/>
          <w:bCs/>
          <w:sz w:val="20"/>
          <w:szCs w:val="20"/>
          <w:rtl/>
        </w:rPr>
      </w:pPr>
      <w:r w:rsidRPr="000D7703">
        <w:rPr>
          <w:rFonts w:cs="David" w:hint="cs"/>
          <w:b/>
          <w:bCs/>
          <w:sz w:val="20"/>
          <w:szCs w:val="20"/>
          <w:rtl/>
        </w:rPr>
        <w:t xml:space="preserve">פקודת הפרשנות [נוסח חדש]: </w:t>
      </w:r>
    </w:p>
    <w:p w:rsidR="00241BC2" w:rsidRPr="000D7703" w:rsidRDefault="00241BC2" w:rsidP="00241BC2">
      <w:pPr>
        <w:spacing w:after="60"/>
        <w:ind w:left="720"/>
        <w:rPr>
          <w:rFonts w:cs="David"/>
          <w:sz w:val="20"/>
          <w:szCs w:val="20"/>
          <w:rtl/>
        </w:rPr>
      </w:pPr>
      <w:r w:rsidRPr="00084812">
        <w:rPr>
          <w:rFonts w:cs="David"/>
          <w:sz w:val="20"/>
          <w:szCs w:val="20"/>
          <w:rtl/>
        </w:rPr>
        <w:t>17</w:t>
      </w:r>
      <w:r w:rsidRPr="000D7703">
        <w:rPr>
          <w:rFonts w:cs="David"/>
          <w:sz w:val="20"/>
          <w:szCs w:val="20"/>
          <w:rtl/>
        </w:rPr>
        <w:t>.</w:t>
      </w:r>
      <w:r w:rsidRPr="000D7703">
        <w:rPr>
          <w:rFonts w:cs="David" w:hint="cs"/>
          <w:sz w:val="20"/>
          <w:szCs w:val="20"/>
          <w:rtl/>
        </w:rPr>
        <w:t xml:space="preserve"> [</w:t>
      </w:r>
      <w:r w:rsidRPr="000D7703">
        <w:rPr>
          <w:rFonts w:cs="David"/>
          <w:sz w:val="20"/>
          <w:szCs w:val="20"/>
          <w:rtl/>
        </w:rPr>
        <w:t xml:space="preserve">תחילת תקפן של תקנות בנות-פעל תחיקתי </w:t>
      </w:r>
      <w:r w:rsidRPr="000D7703">
        <w:rPr>
          <w:rFonts w:cs="David" w:hint="cs"/>
          <w:sz w:val="20"/>
          <w:szCs w:val="20"/>
          <w:rtl/>
        </w:rPr>
        <w:t>]</w:t>
      </w:r>
    </w:p>
    <w:p w:rsidR="00241BC2" w:rsidRPr="000D7703" w:rsidRDefault="00241BC2" w:rsidP="00241BC2">
      <w:pPr>
        <w:spacing w:after="120"/>
        <w:rPr>
          <w:rFonts w:cs="David"/>
          <w:sz w:val="20"/>
          <w:szCs w:val="20"/>
          <w:rtl/>
        </w:rPr>
      </w:pPr>
      <w:r w:rsidRPr="00F12BF1">
        <w:rPr>
          <w:rFonts w:cs="David"/>
          <w:sz w:val="20"/>
          <w:szCs w:val="20"/>
          <w:highlight w:val="yellow"/>
          <w:rtl/>
        </w:rPr>
        <w:t>תקנות בנות-פעל תחיקתי יפורסמו ברשומות, ותחילת תקפן ביום פרסומן, אם אין הוראה אחרת בענין זה.</w:t>
      </w:r>
    </w:p>
    <w:p w:rsidR="00241BC2" w:rsidRPr="002C3BF8" w:rsidRDefault="00241BC2" w:rsidP="00241BC2">
      <w:pPr>
        <w:spacing w:line="288" w:lineRule="auto"/>
        <w:rPr>
          <w:rFonts w:cs="David"/>
          <w:b/>
          <w:bCs/>
          <w:sz w:val="20"/>
          <w:szCs w:val="20"/>
          <w:rtl/>
        </w:rPr>
      </w:pPr>
      <w:r w:rsidRPr="002C3BF8">
        <w:rPr>
          <w:rFonts w:cs="David"/>
          <w:b/>
          <w:bCs/>
          <w:sz w:val="20"/>
          <w:szCs w:val="20"/>
          <w:rtl/>
        </w:rPr>
        <w:t>חוק הפרשנות</w:t>
      </w:r>
      <w:r w:rsidRPr="002C3BF8">
        <w:rPr>
          <w:rFonts w:cs="David" w:hint="cs"/>
          <w:b/>
          <w:bCs/>
          <w:sz w:val="20"/>
          <w:szCs w:val="20"/>
          <w:rtl/>
        </w:rPr>
        <w:t>, התשמ"א-1981</w:t>
      </w:r>
      <w:r w:rsidRPr="002C3BF8">
        <w:rPr>
          <w:rFonts w:cs="David"/>
          <w:b/>
          <w:bCs/>
          <w:sz w:val="20"/>
          <w:szCs w:val="20"/>
          <w:rtl/>
        </w:rPr>
        <w:t xml:space="preserve">: </w:t>
      </w:r>
    </w:p>
    <w:p w:rsidR="00241BC2" w:rsidRPr="002A6B9B" w:rsidRDefault="00241BC2" w:rsidP="00241BC2">
      <w:pPr>
        <w:ind w:left="720"/>
        <w:rPr>
          <w:rFonts w:ascii="Arial" w:hAnsi="Arial" w:cs="David"/>
          <w:bCs/>
          <w:sz w:val="20"/>
          <w:szCs w:val="20"/>
          <w:rtl/>
        </w:rPr>
      </w:pPr>
      <w:r w:rsidRPr="002A6B9B">
        <w:rPr>
          <w:rFonts w:ascii="Arial" w:hAnsi="Arial" w:cs="David" w:hint="cs"/>
          <w:bCs/>
          <w:sz w:val="20"/>
          <w:szCs w:val="20"/>
          <w:rtl/>
        </w:rPr>
        <w:t>21. [שעת תחילה]</w:t>
      </w:r>
    </w:p>
    <w:p w:rsidR="00241BC2" w:rsidRPr="00B87996" w:rsidRDefault="00241BC2" w:rsidP="00241BC2">
      <w:pPr>
        <w:rPr>
          <w:rFonts w:ascii="Arial" w:hAnsi="Arial" w:cs="David"/>
          <w:sz w:val="20"/>
          <w:szCs w:val="20"/>
          <w:rtl/>
        </w:rPr>
      </w:pPr>
      <w:bookmarkStart w:id="61" w:name="Seif20"/>
      <w:bookmarkEnd w:id="61"/>
      <w:r w:rsidRPr="00B87996">
        <w:rPr>
          <w:rFonts w:ascii="Arial" w:hAnsi="Arial" w:cs="David"/>
          <w:sz w:val="20"/>
          <w:szCs w:val="20"/>
          <w:rtl/>
        </w:rPr>
        <w:t>שע</w:t>
      </w:r>
      <w:r w:rsidRPr="00B87996">
        <w:rPr>
          <w:rFonts w:ascii="Arial" w:hAnsi="Arial" w:cs="David" w:hint="cs"/>
          <w:sz w:val="20"/>
          <w:szCs w:val="20"/>
          <w:rtl/>
        </w:rPr>
        <w:t>ת תחילת תקפו של חיקוק היא בשעה 00.01 של יום תחילתו.</w:t>
      </w:r>
    </w:p>
    <w:p w:rsidR="00241BC2" w:rsidRPr="002A6B9B" w:rsidRDefault="00241BC2" w:rsidP="00241BC2">
      <w:pPr>
        <w:ind w:left="720"/>
        <w:rPr>
          <w:rFonts w:ascii="Arial" w:hAnsi="Arial" w:cs="David"/>
          <w:b/>
          <w:bCs/>
          <w:sz w:val="20"/>
          <w:szCs w:val="20"/>
          <w:rtl/>
        </w:rPr>
      </w:pPr>
      <w:r w:rsidRPr="002A6B9B">
        <w:rPr>
          <w:rFonts w:ascii="Arial" w:hAnsi="Arial" w:cs="David"/>
          <w:b/>
          <w:bCs/>
          <w:sz w:val="20"/>
          <w:szCs w:val="20"/>
          <w:rtl/>
        </w:rPr>
        <w:t xml:space="preserve"> </w:t>
      </w:r>
      <w:r w:rsidRPr="002A6B9B">
        <w:rPr>
          <w:rFonts w:ascii="Arial" w:hAnsi="Arial" w:cs="David" w:hint="cs"/>
          <w:b/>
          <w:bCs/>
          <w:sz w:val="20"/>
          <w:szCs w:val="20"/>
          <w:rtl/>
        </w:rPr>
        <w:t>22 [סייגים לכוחו של ביטול]</w:t>
      </w:r>
    </w:p>
    <w:p w:rsidR="00241BC2" w:rsidRPr="00B87996" w:rsidRDefault="00241BC2" w:rsidP="00241BC2">
      <w:pPr>
        <w:rPr>
          <w:rFonts w:ascii="Arial" w:hAnsi="Arial" w:cs="David"/>
          <w:sz w:val="20"/>
          <w:szCs w:val="20"/>
          <w:rtl/>
        </w:rPr>
      </w:pPr>
      <w:bookmarkStart w:id="62" w:name="Seif21"/>
      <w:bookmarkEnd w:id="62"/>
      <w:r w:rsidRPr="00B87996">
        <w:rPr>
          <w:rFonts w:ascii="Arial" w:hAnsi="Arial" w:cs="David"/>
          <w:sz w:val="20"/>
          <w:szCs w:val="20"/>
          <w:rtl/>
        </w:rPr>
        <w:t>בי</w:t>
      </w:r>
      <w:r w:rsidRPr="00B87996">
        <w:rPr>
          <w:rFonts w:ascii="Arial" w:hAnsi="Arial" w:cs="David" w:hint="cs"/>
          <w:sz w:val="20"/>
          <w:szCs w:val="20"/>
          <w:rtl/>
        </w:rPr>
        <w:t xml:space="preserve">טולו של דין אין כוחו יפה </w:t>
      </w:r>
      <w:r w:rsidRPr="00B87996">
        <w:rPr>
          <w:rFonts w:hint="cs"/>
          <w:sz w:val="20"/>
          <w:szCs w:val="20"/>
          <w:rtl/>
        </w:rPr>
        <w:t>—</w:t>
      </w:r>
    </w:p>
    <w:p w:rsidR="00241BC2" w:rsidRPr="00B87996" w:rsidRDefault="00241BC2" w:rsidP="00241BC2">
      <w:pPr>
        <w:ind w:left="720"/>
        <w:rPr>
          <w:rFonts w:ascii="Arial" w:hAnsi="Arial" w:cs="David"/>
          <w:sz w:val="20"/>
          <w:szCs w:val="20"/>
          <w:rtl/>
        </w:rPr>
      </w:pPr>
      <w:r w:rsidRPr="00B87996">
        <w:rPr>
          <w:rFonts w:ascii="Arial" w:hAnsi="Arial" w:cs="David"/>
          <w:sz w:val="20"/>
          <w:szCs w:val="20"/>
          <w:rtl/>
        </w:rPr>
        <w:t>(1)</w:t>
      </w:r>
      <w:r w:rsidRPr="00B87996">
        <w:rPr>
          <w:rFonts w:ascii="Arial" w:hAnsi="Arial" w:cs="David"/>
          <w:sz w:val="20"/>
          <w:szCs w:val="20"/>
          <w:rtl/>
        </w:rPr>
        <w:tab/>
        <w:t>ל</w:t>
      </w:r>
      <w:r w:rsidRPr="00B87996">
        <w:rPr>
          <w:rFonts w:ascii="Arial" w:hAnsi="Arial" w:cs="David" w:hint="cs"/>
          <w:sz w:val="20"/>
          <w:szCs w:val="20"/>
          <w:rtl/>
        </w:rPr>
        <w:t>החי</w:t>
      </w:r>
      <w:r w:rsidRPr="00B87996">
        <w:rPr>
          <w:rFonts w:ascii="Arial" w:hAnsi="Arial" w:cs="David"/>
          <w:sz w:val="20"/>
          <w:szCs w:val="20"/>
          <w:rtl/>
        </w:rPr>
        <w:t>ות</w:t>
      </w:r>
      <w:r w:rsidRPr="00B87996">
        <w:rPr>
          <w:rFonts w:ascii="Arial" w:hAnsi="Arial" w:cs="David" w:hint="cs"/>
          <w:sz w:val="20"/>
          <w:szCs w:val="20"/>
          <w:rtl/>
        </w:rPr>
        <w:t xml:space="preserve"> דבר שלא היה לו תוקף בשעה שהביטול נכנס לתקפו;</w:t>
      </w:r>
    </w:p>
    <w:p w:rsidR="00241BC2" w:rsidRPr="00B87996" w:rsidRDefault="00241BC2" w:rsidP="00241BC2">
      <w:pPr>
        <w:ind w:left="720"/>
        <w:rPr>
          <w:rFonts w:ascii="Arial" w:hAnsi="Arial" w:cs="David"/>
          <w:sz w:val="20"/>
          <w:szCs w:val="20"/>
          <w:rtl/>
        </w:rPr>
      </w:pPr>
      <w:r w:rsidRPr="00B87996">
        <w:rPr>
          <w:rFonts w:ascii="Arial" w:hAnsi="Arial" w:cs="David" w:hint="cs"/>
          <w:sz w:val="20"/>
          <w:szCs w:val="20"/>
          <w:rtl/>
        </w:rPr>
        <w:t>(2)</w:t>
      </w:r>
      <w:r w:rsidRPr="00B87996">
        <w:rPr>
          <w:rFonts w:ascii="Arial" w:hAnsi="Arial" w:cs="David"/>
          <w:sz w:val="20"/>
          <w:szCs w:val="20"/>
          <w:rtl/>
        </w:rPr>
        <w:tab/>
        <w:t>ל</w:t>
      </w:r>
      <w:r w:rsidRPr="00B87996">
        <w:rPr>
          <w:rFonts w:ascii="Arial" w:hAnsi="Arial" w:cs="David" w:hint="cs"/>
          <w:sz w:val="20"/>
          <w:szCs w:val="20"/>
          <w:rtl/>
        </w:rPr>
        <w:t>השפיע על פעולה קודמת של הדין המבוטל או על מה שנעשה לפיו;</w:t>
      </w:r>
    </w:p>
    <w:p w:rsidR="00241BC2" w:rsidRPr="00B87996" w:rsidRDefault="00241BC2" w:rsidP="00241BC2">
      <w:pPr>
        <w:ind w:left="720"/>
        <w:rPr>
          <w:rFonts w:ascii="Arial" w:hAnsi="Arial" w:cs="David"/>
          <w:sz w:val="20"/>
          <w:szCs w:val="20"/>
          <w:rtl/>
        </w:rPr>
      </w:pPr>
      <w:r w:rsidRPr="00B87996">
        <w:rPr>
          <w:rFonts w:ascii="Arial" w:hAnsi="Arial" w:cs="David"/>
          <w:sz w:val="20"/>
          <w:szCs w:val="20"/>
          <w:rtl/>
        </w:rPr>
        <w:t>(3)</w:t>
      </w:r>
      <w:r w:rsidRPr="00B87996">
        <w:rPr>
          <w:rFonts w:ascii="Arial" w:hAnsi="Arial" w:cs="David"/>
          <w:sz w:val="20"/>
          <w:szCs w:val="20"/>
          <w:rtl/>
        </w:rPr>
        <w:tab/>
        <w:t>ל</w:t>
      </w:r>
      <w:r w:rsidRPr="00B87996">
        <w:rPr>
          <w:rFonts w:ascii="Arial" w:hAnsi="Arial" w:cs="David" w:hint="cs"/>
          <w:sz w:val="20"/>
          <w:szCs w:val="20"/>
          <w:rtl/>
        </w:rPr>
        <w:t>השפיע על זכות או חיוב שלפי הדין המבוטל.</w:t>
      </w:r>
    </w:p>
    <w:p w:rsidR="00241BC2" w:rsidRDefault="00241BC2" w:rsidP="00241BC2">
      <w:pPr>
        <w:rPr>
          <w:rFonts w:ascii="Arial" w:hAnsi="Arial" w:cs="David"/>
          <w:sz w:val="20"/>
          <w:szCs w:val="20"/>
          <w:rtl/>
        </w:rPr>
      </w:pPr>
    </w:p>
    <w:p w:rsidR="00241BC2" w:rsidRDefault="00241BC2" w:rsidP="00241BC2">
      <w:pPr>
        <w:rPr>
          <w:rFonts w:ascii="Arial" w:hAnsi="Arial" w:cs="David"/>
          <w:sz w:val="20"/>
          <w:szCs w:val="20"/>
          <w:rtl/>
        </w:rPr>
      </w:pPr>
      <w:r>
        <w:rPr>
          <w:rFonts w:ascii="Arial" w:hAnsi="Arial" w:cs="David" w:hint="cs"/>
          <w:sz w:val="20"/>
          <w:szCs w:val="20"/>
          <w:rtl/>
        </w:rPr>
        <w:t>=-=</w:t>
      </w:r>
    </w:p>
    <w:p w:rsidR="00241BC2" w:rsidRDefault="00241BC2" w:rsidP="00241BC2">
      <w:pPr>
        <w:rPr>
          <w:rFonts w:ascii="Arial" w:hAnsi="Arial" w:cs="David"/>
          <w:sz w:val="20"/>
          <w:szCs w:val="20"/>
          <w:rtl/>
        </w:rPr>
      </w:pPr>
    </w:p>
    <w:p w:rsidR="00241BC2" w:rsidRPr="006722D5" w:rsidRDefault="00241BC2" w:rsidP="00241BC2">
      <w:pPr>
        <w:spacing w:after="120"/>
        <w:jc w:val="left"/>
        <w:rPr>
          <w:rFonts w:ascii="Arial" w:hAnsi="Arial" w:cs="Arial"/>
          <w:b/>
          <w:bCs/>
          <w:highlight w:val="yellow"/>
          <w:rtl/>
        </w:rPr>
      </w:pPr>
      <w:r w:rsidRPr="006722D5">
        <w:rPr>
          <w:rFonts w:ascii="Arial" w:hAnsi="Arial" w:cs="Arial"/>
          <w:b/>
          <w:bCs/>
          <w:highlight w:val="yellow"/>
          <w:rtl/>
        </w:rPr>
        <w:t>דיון ב</w:t>
      </w:r>
      <w:r>
        <w:rPr>
          <w:rFonts w:ascii="Arial" w:hAnsi="Arial" w:cs="Arial" w:hint="cs"/>
          <w:b/>
          <w:bCs/>
          <w:highlight w:val="yellow"/>
          <w:rtl/>
        </w:rPr>
        <w:t>פסיקה ב</w:t>
      </w:r>
      <w:r w:rsidRPr="006722D5">
        <w:rPr>
          <w:rFonts w:ascii="Arial" w:hAnsi="Arial" w:cs="Arial"/>
          <w:b/>
          <w:bCs/>
          <w:highlight w:val="yellow"/>
          <w:rtl/>
        </w:rPr>
        <w:t>נושא "התחולה בזמן"</w:t>
      </w:r>
      <w:r>
        <w:rPr>
          <w:rFonts w:ascii="Arial" w:hAnsi="Arial" w:cs="Arial" w:hint="cs"/>
          <w:b/>
          <w:bCs/>
          <w:highlight w:val="yellow"/>
          <w:rtl/>
        </w:rPr>
        <w:t xml:space="preserve"> של נורמות מסוגים שונים</w:t>
      </w:r>
      <w:r w:rsidRPr="006722D5">
        <w:rPr>
          <w:rFonts w:ascii="Arial" w:hAnsi="Arial" w:cs="Arial"/>
          <w:b/>
          <w:bCs/>
          <w:highlight w:val="yellow"/>
          <w:rtl/>
        </w:rPr>
        <w:t xml:space="preserve">: </w:t>
      </w:r>
    </w:p>
    <w:p w:rsidR="00241BC2" w:rsidRDefault="00241BC2" w:rsidP="00241BC2">
      <w:pPr>
        <w:ind w:left="720"/>
        <w:jc w:val="left"/>
        <w:rPr>
          <w:b/>
          <w:bCs/>
          <w:highlight w:val="yellow"/>
          <w:rtl/>
        </w:rPr>
      </w:pPr>
      <w:r>
        <w:rPr>
          <w:rFonts w:hint="cs"/>
          <w:b/>
          <w:bCs/>
          <w:highlight w:val="yellow"/>
          <w:rtl/>
        </w:rPr>
        <w:t xml:space="preserve">[רטרואקטיביות של </w:t>
      </w:r>
      <w:r w:rsidRPr="007D7443">
        <w:rPr>
          <w:rFonts w:hint="cs"/>
          <w:b/>
          <w:bCs/>
          <w:i/>
          <w:iCs/>
          <w:highlight w:val="yellow"/>
          <w:rtl/>
        </w:rPr>
        <w:t>חקיקה</w:t>
      </w:r>
      <w:r>
        <w:rPr>
          <w:rFonts w:hint="cs"/>
          <w:b/>
          <w:bCs/>
          <w:highlight w:val="yellow"/>
          <w:rtl/>
        </w:rPr>
        <w:t xml:space="preserve"> - פס"ד </w:t>
      </w:r>
      <w:r w:rsidRPr="00EB75FE">
        <w:rPr>
          <w:rFonts w:hint="cs"/>
          <w:b/>
          <w:bCs/>
          <w:highlight w:val="yellow"/>
          <w:u w:val="single"/>
          <w:rtl/>
        </w:rPr>
        <w:t>איתנית</w:t>
      </w:r>
      <w:r>
        <w:rPr>
          <w:rFonts w:hint="cs"/>
          <w:b/>
          <w:bCs/>
          <w:highlight w:val="yellow"/>
          <w:rtl/>
        </w:rPr>
        <w:t>]</w:t>
      </w:r>
      <w:r w:rsidRPr="00EB75FE">
        <w:rPr>
          <w:rFonts w:hint="cs"/>
          <w:highlight w:val="yellow"/>
          <w:rtl/>
        </w:rPr>
        <w:t xml:space="preserve"> </w:t>
      </w:r>
      <w:r w:rsidRPr="00F00483">
        <w:rPr>
          <w:rFonts w:hint="cs"/>
          <w:highlight w:val="yellow"/>
          <w:rtl/>
        </w:rPr>
        <w:t xml:space="preserve">[ – </w:t>
      </w:r>
      <w:r>
        <w:rPr>
          <w:rFonts w:hint="cs"/>
          <w:highlight w:val="yellow"/>
          <w:rtl/>
        </w:rPr>
        <w:t xml:space="preserve">ראו להלן, </w:t>
      </w:r>
      <w:r w:rsidRPr="00F00483">
        <w:rPr>
          <w:rFonts w:hint="cs"/>
          <w:highlight w:val="yellow"/>
          <w:rtl/>
        </w:rPr>
        <w:t xml:space="preserve">קריאה, </w:t>
      </w:r>
      <w:r>
        <w:rPr>
          <w:rFonts w:hint="cs"/>
          <w:highlight w:val="yellow"/>
          <w:rtl/>
        </w:rPr>
        <w:t xml:space="preserve">שכן כנראה </w:t>
      </w:r>
      <w:r w:rsidRPr="00F00483">
        <w:rPr>
          <w:rFonts w:hint="cs"/>
          <w:highlight w:val="yellow"/>
          <w:rtl/>
        </w:rPr>
        <w:t>לא נספיק לדון]</w:t>
      </w:r>
    </w:p>
    <w:p w:rsidR="00241BC2" w:rsidRPr="00F00483" w:rsidRDefault="00241BC2" w:rsidP="00241BC2">
      <w:pPr>
        <w:ind w:left="720"/>
        <w:jc w:val="left"/>
        <w:rPr>
          <w:highlight w:val="yellow"/>
          <w:rtl/>
        </w:rPr>
      </w:pPr>
      <w:r>
        <w:rPr>
          <w:rFonts w:hint="cs"/>
          <w:b/>
          <w:bCs/>
          <w:highlight w:val="yellow"/>
          <w:rtl/>
        </w:rPr>
        <w:t xml:space="preserve">רטרואקטיביות של חקיקת משנה (ד"נ </w:t>
      </w:r>
      <w:r w:rsidRPr="00EB75FE">
        <w:rPr>
          <w:rFonts w:hint="cs"/>
          <w:b/>
          <w:bCs/>
          <w:highlight w:val="yellow"/>
          <w:u w:val="single"/>
          <w:rtl/>
        </w:rPr>
        <w:t>ארקו</w:t>
      </w:r>
      <w:r>
        <w:rPr>
          <w:rFonts w:hint="cs"/>
          <w:b/>
          <w:bCs/>
          <w:highlight w:val="yellow"/>
          <w:rtl/>
        </w:rPr>
        <w:t xml:space="preserve">) </w:t>
      </w:r>
      <w:r w:rsidRPr="00F00483">
        <w:rPr>
          <w:rFonts w:hint="cs"/>
          <w:highlight w:val="yellow"/>
          <w:rtl/>
        </w:rPr>
        <w:t xml:space="preserve">[ – </w:t>
      </w:r>
      <w:r>
        <w:rPr>
          <w:rFonts w:hint="cs"/>
          <w:highlight w:val="yellow"/>
          <w:rtl/>
        </w:rPr>
        <w:t xml:space="preserve">ראו להלן, </w:t>
      </w:r>
      <w:r w:rsidRPr="00F00483">
        <w:rPr>
          <w:rFonts w:hint="cs"/>
          <w:highlight w:val="yellow"/>
          <w:rtl/>
        </w:rPr>
        <w:t xml:space="preserve">קריאה, </w:t>
      </w:r>
      <w:r>
        <w:rPr>
          <w:rFonts w:hint="cs"/>
          <w:highlight w:val="yellow"/>
          <w:rtl/>
        </w:rPr>
        <w:t xml:space="preserve">שכן </w:t>
      </w:r>
      <w:r w:rsidRPr="00F00483">
        <w:rPr>
          <w:rFonts w:hint="cs"/>
          <w:highlight w:val="yellow"/>
          <w:rtl/>
        </w:rPr>
        <w:t>לא נספיק לדון]</w:t>
      </w:r>
    </w:p>
    <w:p w:rsidR="00241BC2" w:rsidRDefault="00241BC2" w:rsidP="00241BC2">
      <w:pPr>
        <w:ind w:left="720"/>
        <w:jc w:val="left"/>
        <w:rPr>
          <w:b/>
          <w:bCs/>
          <w:highlight w:val="yellow"/>
          <w:rtl/>
        </w:rPr>
      </w:pPr>
      <w:r>
        <w:rPr>
          <w:rFonts w:hint="cs"/>
          <w:b/>
          <w:bCs/>
          <w:highlight w:val="yellow"/>
          <w:rtl/>
        </w:rPr>
        <w:t>רטרואקטיביות של הנחיות מינהליות/ קווי-מדיניות (</w:t>
      </w:r>
      <w:r w:rsidRPr="00EB75FE">
        <w:rPr>
          <w:rFonts w:hint="cs"/>
          <w:b/>
          <w:bCs/>
          <w:highlight w:val="yellow"/>
          <w:u w:val="single"/>
          <w:rtl/>
        </w:rPr>
        <w:t>לביא-גולשטיין</w:t>
      </w:r>
      <w:r>
        <w:rPr>
          <w:rFonts w:hint="cs"/>
          <w:b/>
          <w:bCs/>
          <w:highlight w:val="yellow"/>
          <w:rtl/>
        </w:rPr>
        <w:t>)</w:t>
      </w:r>
    </w:p>
    <w:p w:rsidR="00241BC2" w:rsidRPr="00F00483" w:rsidRDefault="00241BC2" w:rsidP="00241BC2">
      <w:pPr>
        <w:ind w:left="720"/>
        <w:jc w:val="left"/>
        <w:rPr>
          <w:highlight w:val="yellow"/>
          <w:rtl/>
        </w:rPr>
      </w:pPr>
      <w:r>
        <w:rPr>
          <w:rFonts w:hint="cs"/>
          <w:b/>
          <w:bCs/>
          <w:highlight w:val="yellow"/>
          <w:rtl/>
        </w:rPr>
        <w:t>"הוראות מעבר", תחולה אקטיבית על פעולה נמשכת (</w:t>
      </w:r>
      <w:r w:rsidRPr="00EB75FE">
        <w:rPr>
          <w:rFonts w:hint="cs"/>
          <w:b/>
          <w:bCs/>
          <w:highlight w:val="yellow"/>
          <w:u w:val="single"/>
          <w:rtl/>
        </w:rPr>
        <w:t>לם</w:t>
      </w:r>
      <w:r>
        <w:rPr>
          <w:rFonts w:hint="cs"/>
          <w:b/>
          <w:bCs/>
          <w:highlight w:val="yellow"/>
          <w:rtl/>
        </w:rPr>
        <w:t xml:space="preserve">) </w:t>
      </w:r>
      <w:r w:rsidRPr="00F00483">
        <w:rPr>
          <w:rFonts w:hint="cs"/>
          <w:highlight w:val="yellow"/>
          <w:rtl/>
        </w:rPr>
        <w:t>כעניין כללי של הגינות, שיחול במקרים מגוונים</w:t>
      </w:r>
    </w:p>
    <w:p w:rsidR="00241BC2" w:rsidRDefault="00241BC2" w:rsidP="00241BC2">
      <w:pPr>
        <w:rPr>
          <w:rFonts w:ascii="Arial" w:hAnsi="Arial" w:cs="David"/>
          <w:sz w:val="20"/>
          <w:szCs w:val="20"/>
          <w:rtl/>
        </w:rPr>
      </w:pPr>
    </w:p>
    <w:p w:rsidR="00241BC2" w:rsidRDefault="00241BC2" w:rsidP="00241BC2">
      <w:pPr>
        <w:rPr>
          <w:rFonts w:ascii="Arial" w:hAnsi="Arial" w:cs="David"/>
          <w:sz w:val="20"/>
          <w:szCs w:val="20"/>
          <w:rtl/>
        </w:rPr>
      </w:pPr>
    </w:p>
    <w:p w:rsidR="00241BC2" w:rsidRDefault="00241BC2" w:rsidP="00241BC2">
      <w:pPr>
        <w:rPr>
          <w:rFonts w:ascii="Arial" w:hAnsi="Arial" w:cs="David"/>
          <w:sz w:val="20"/>
          <w:szCs w:val="20"/>
          <w:rtl/>
        </w:rPr>
      </w:pPr>
      <w:r>
        <w:rPr>
          <w:rFonts w:ascii="Arial" w:hAnsi="Arial" w:cs="David" w:hint="cs"/>
          <w:sz w:val="20"/>
          <w:szCs w:val="20"/>
          <w:rtl/>
        </w:rPr>
        <w:t>=-=</w:t>
      </w:r>
    </w:p>
    <w:p w:rsidR="00241BC2" w:rsidRDefault="00241BC2" w:rsidP="00241BC2">
      <w:pPr>
        <w:rPr>
          <w:rFonts w:ascii="Arial" w:hAnsi="Arial" w:cs="David"/>
          <w:sz w:val="20"/>
          <w:szCs w:val="20"/>
          <w:rtl/>
        </w:rPr>
      </w:pPr>
      <w:r>
        <w:rPr>
          <w:rFonts w:hint="cs"/>
          <w:b/>
          <w:bCs/>
          <w:highlight w:val="yellow"/>
          <w:rtl/>
        </w:rPr>
        <w:t xml:space="preserve">רטרואקטיביות של </w:t>
      </w:r>
      <w:r w:rsidRPr="00EB75FE">
        <w:rPr>
          <w:rFonts w:hint="cs"/>
          <w:b/>
          <w:bCs/>
          <w:i/>
          <w:iCs/>
          <w:highlight w:val="yellow"/>
          <w:u w:val="single"/>
          <w:rtl/>
        </w:rPr>
        <w:t>חקיקה</w:t>
      </w:r>
      <w:r>
        <w:rPr>
          <w:rFonts w:hint="cs"/>
          <w:b/>
          <w:bCs/>
          <w:highlight w:val="yellow"/>
          <w:rtl/>
        </w:rPr>
        <w:t xml:space="preserve"> - פס"ד איתנית</w:t>
      </w:r>
    </w:p>
    <w:p w:rsidR="00241BC2" w:rsidRDefault="00241BC2" w:rsidP="00241BC2">
      <w:pPr>
        <w:rPr>
          <w:rFonts w:ascii="Arial" w:hAnsi="Arial" w:cs="David"/>
          <w:sz w:val="20"/>
          <w:szCs w:val="20"/>
          <w:rtl/>
        </w:rPr>
      </w:pPr>
    </w:p>
    <w:p w:rsidR="00241BC2" w:rsidRPr="007D7443" w:rsidRDefault="00241BC2" w:rsidP="00241BC2">
      <w:pPr>
        <w:spacing w:after="120"/>
        <w:rPr>
          <w:rtl/>
        </w:rPr>
      </w:pPr>
      <w:r w:rsidRPr="007D7443">
        <w:rPr>
          <w:rtl/>
        </w:rPr>
        <w:t>בג"ץ</w:t>
      </w:r>
      <w:r w:rsidRPr="007D7443">
        <w:t xml:space="preserve">  6971/11 </w:t>
      </w:r>
      <w:r w:rsidRPr="007D7443">
        <w:rPr>
          <w:b/>
          <w:bCs/>
          <w:rtl/>
        </w:rPr>
        <w:t>איתנית מוצרי בניה בע"מ נ</w:t>
      </w:r>
      <w:r w:rsidRPr="007D7443">
        <w:rPr>
          <w:b/>
          <w:bCs/>
        </w:rPr>
        <w:t>' </w:t>
      </w:r>
      <w:r w:rsidRPr="007D7443">
        <w:rPr>
          <w:b/>
          <w:bCs/>
          <w:rtl/>
        </w:rPr>
        <w:t>מדינת ישראל</w:t>
      </w:r>
      <w:r w:rsidRPr="007D7443">
        <w:rPr>
          <w:rtl/>
        </w:rPr>
        <w:t xml:space="preserve"> (2013)</w:t>
      </w:r>
    </w:p>
    <w:p w:rsidR="00241BC2" w:rsidRPr="003A2117" w:rsidRDefault="00241BC2" w:rsidP="00241BC2">
      <w:pPr>
        <w:ind w:left="720"/>
        <w:rPr>
          <w:i/>
          <w:iCs/>
          <w:rtl/>
        </w:rPr>
      </w:pPr>
      <w:r w:rsidRPr="003A2117">
        <w:rPr>
          <w:rFonts w:hint="cs"/>
          <w:i/>
          <w:iCs/>
          <w:rtl/>
        </w:rPr>
        <w:t>[לעיסוק המקיף יותר בפסק הדין חזרו לדפי פגישה 18, העוסק בתוקפו החוקתי של החוק ל</w:t>
      </w:r>
      <w:r>
        <w:rPr>
          <w:rFonts w:hint="cs"/>
          <w:i/>
          <w:iCs/>
          <w:rtl/>
        </w:rPr>
        <w:t xml:space="preserve">מניעת מפגעי </w:t>
      </w:r>
      <w:r w:rsidRPr="003A2117">
        <w:rPr>
          <w:rFonts w:hint="cs"/>
          <w:i/>
          <w:iCs/>
          <w:rtl/>
        </w:rPr>
        <w:t>אסבסט]</w:t>
      </w:r>
    </w:p>
    <w:p w:rsidR="00241BC2" w:rsidRDefault="00241BC2" w:rsidP="00241BC2">
      <w:pPr>
        <w:rPr>
          <w:rFonts w:ascii="Arial" w:hAnsi="Arial" w:cs="David"/>
          <w:sz w:val="20"/>
          <w:szCs w:val="20"/>
          <w:rtl/>
        </w:rPr>
      </w:pPr>
    </w:p>
    <w:p w:rsidR="00241BC2" w:rsidRPr="004B3806" w:rsidRDefault="00241BC2" w:rsidP="00241BC2">
      <w:pPr>
        <w:rPr>
          <w:rFonts w:cs="FrankRuehl"/>
          <w:sz w:val="22"/>
          <w:szCs w:val="22"/>
          <w:u w:val="single"/>
        </w:rPr>
      </w:pPr>
      <w:r w:rsidRPr="004B3806">
        <w:rPr>
          <w:rFonts w:cs="FrankRuehl" w:hint="cs"/>
          <w:sz w:val="22"/>
          <w:szCs w:val="22"/>
          <w:u w:val="single"/>
          <w:rtl/>
        </w:rPr>
        <w:t>השופט נ' הנדל:</w:t>
      </w:r>
    </w:p>
    <w:p w:rsidR="00241BC2" w:rsidRPr="004B3806" w:rsidRDefault="00241BC2" w:rsidP="00241BC2">
      <w:pPr>
        <w:numPr>
          <w:ilvl w:val="0"/>
          <w:numId w:val="24"/>
        </w:numPr>
        <w:tabs>
          <w:tab w:val="clear" w:pos="720"/>
          <w:tab w:val="num" w:pos="810"/>
        </w:tabs>
        <w:spacing w:after="60"/>
        <w:ind w:left="90"/>
        <w:rPr>
          <w:rFonts w:cs="FrankRuehl"/>
          <w:sz w:val="22"/>
          <w:szCs w:val="22"/>
          <w:rtl/>
        </w:rPr>
      </w:pPr>
      <w:r w:rsidRPr="004B3806">
        <w:rPr>
          <w:rFonts w:cs="FrankRuehl" w:hint="cs"/>
          <w:sz w:val="22"/>
          <w:szCs w:val="22"/>
          <w:rtl/>
        </w:rPr>
        <w:t xml:space="preserve">מונחת לפנינו עתירה </w:t>
      </w:r>
      <w:r w:rsidRPr="00425083">
        <w:rPr>
          <w:rFonts w:cs="FrankRuehl" w:hint="cs"/>
          <w:sz w:val="22"/>
          <w:szCs w:val="22"/>
          <w:highlight w:val="yellow"/>
          <w:rtl/>
        </w:rPr>
        <w:t>נגד חוקתיותו של סעיף 74 לחוק למניעת מפגעי אסבסט ואבק מזיק, התשע"א-2011</w:t>
      </w:r>
      <w:r w:rsidRPr="004B3806">
        <w:rPr>
          <w:rFonts w:cs="FrankRuehl" w:hint="cs"/>
          <w:sz w:val="22"/>
          <w:szCs w:val="22"/>
          <w:rtl/>
        </w:rPr>
        <w:t xml:space="preserve"> (להלן: חוק האסבסט). סעיף זה מכריז על השקת פרויקט לסילוק פסולת אסבסט מהגליל המערבי (להלן: הפרויקט). העתירה מופנית בעיקר כנגד חיובה של העותרת, חברת איתנית מוצרי בנייה בע"מ (להלן: איתנית), לשאת במחצית מעלויות הפרויקט, עד לסכום של 150 מיליון ₪. </w:t>
      </w:r>
      <w:r>
        <w:rPr>
          <w:rFonts w:cs="FrankRuehl" w:hint="cs"/>
          <w:sz w:val="22"/>
          <w:szCs w:val="22"/>
          <w:rtl/>
        </w:rPr>
        <w:t>[...]</w:t>
      </w:r>
    </w:p>
    <w:p w:rsidR="00241BC2" w:rsidRPr="004B3806" w:rsidRDefault="00241BC2" w:rsidP="00241BC2">
      <w:pPr>
        <w:spacing w:after="60"/>
        <w:rPr>
          <w:rFonts w:cs="David"/>
          <w:sz w:val="22"/>
          <w:szCs w:val="22"/>
          <w:rtl/>
        </w:rPr>
      </w:pPr>
      <w:r w:rsidRPr="004B3806">
        <w:rPr>
          <w:rFonts w:cs="FrankRuehl" w:hint="cs"/>
          <w:sz w:val="22"/>
          <w:szCs w:val="22"/>
          <w:rtl/>
        </w:rPr>
        <w:t xml:space="preserve">5. </w:t>
      </w:r>
      <w:r w:rsidRPr="004B3806">
        <w:rPr>
          <w:rFonts w:cs="FrankRuehl" w:hint="cs"/>
          <w:sz w:val="22"/>
          <w:szCs w:val="22"/>
          <w:rtl/>
        </w:rPr>
        <w:tab/>
        <w:t xml:space="preserve">...סעיף 74 יוחד לטיפול במפגעי האסבסט שבגליל המערבי. זהו הסעיף בו מתמקדת, כאמור, העתירה שלפנינו. נביא כאן את לשון הסעיף: </w:t>
      </w:r>
    </w:p>
    <w:p w:rsidR="00241BC2" w:rsidRPr="003A2117" w:rsidRDefault="00241BC2" w:rsidP="00241BC2">
      <w:pPr>
        <w:spacing w:after="60"/>
        <w:ind w:left="720"/>
        <w:rPr>
          <w:rFonts w:cs="David"/>
          <w:sz w:val="20"/>
          <w:szCs w:val="20"/>
          <w:rtl/>
        </w:rPr>
      </w:pPr>
      <w:r w:rsidRPr="003A2117">
        <w:rPr>
          <w:rFonts w:cs="David" w:hint="cs"/>
          <w:sz w:val="20"/>
          <w:szCs w:val="20"/>
          <w:rtl/>
        </w:rPr>
        <w:t>(א)</w:t>
      </w:r>
      <w:r w:rsidRPr="003A2117">
        <w:rPr>
          <w:rFonts w:cs="David" w:hint="cs"/>
          <w:sz w:val="20"/>
          <w:szCs w:val="20"/>
          <w:rtl/>
        </w:rPr>
        <w:tab/>
        <w:t>בסעיף זה -</w:t>
      </w:r>
    </w:p>
    <w:p w:rsidR="00241BC2" w:rsidRPr="003A2117" w:rsidRDefault="00241BC2" w:rsidP="00241BC2">
      <w:pPr>
        <w:spacing w:after="60"/>
        <w:ind w:left="720"/>
        <w:rPr>
          <w:rFonts w:cs="David"/>
          <w:sz w:val="20"/>
          <w:szCs w:val="20"/>
          <w:rtl/>
        </w:rPr>
      </w:pPr>
      <w:r w:rsidRPr="003A2117">
        <w:rPr>
          <w:rFonts w:cs="David" w:hint="cs"/>
          <w:sz w:val="20"/>
          <w:szCs w:val="20"/>
          <w:rtl/>
        </w:rPr>
        <w:tab/>
      </w:r>
      <w:r w:rsidRPr="003A2117">
        <w:rPr>
          <w:rFonts w:cs="David" w:hint="cs"/>
          <w:sz w:val="20"/>
          <w:szCs w:val="20"/>
          <w:highlight w:val="yellow"/>
          <w:rtl/>
        </w:rPr>
        <w:t xml:space="preserve">"הפרויקט לפינוי אסבסט מהגליל המערבי" - פרויקט לאיתור, לסילוק ולהטמנה של פסולת אסבסט שמקורה במפעל לייצור אסבסט בגליל המערבי, שהוטמנה או פוזרה ברדיוס שאינו עולה על </w:t>
      </w:r>
      <w:smartTag w:uri="urn:schemas-microsoft-com:office:smarttags" w:element="metricconverter">
        <w:smartTagPr>
          <w:attr w:name="ProductID" w:val="15 ק&quot;מ"/>
        </w:smartTagPr>
        <w:r w:rsidRPr="003A2117">
          <w:rPr>
            <w:rFonts w:cs="David" w:hint="cs"/>
            <w:sz w:val="20"/>
            <w:szCs w:val="20"/>
            <w:highlight w:val="yellow"/>
            <w:rtl/>
          </w:rPr>
          <w:t>15 ק"מ</w:t>
        </w:r>
      </w:smartTag>
      <w:r w:rsidRPr="003A2117">
        <w:rPr>
          <w:rFonts w:cs="David" w:hint="cs"/>
          <w:sz w:val="20"/>
          <w:szCs w:val="20"/>
          <w:highlight w:val="yellow"/>
          <w:rtl/>
        </w:rPr>
        <w:t xml:space="preserve"> מהמפעל, למעט בקרקעות שבבעלות חברות אסבסט, בהיקף ובמתכונת שהורה עליהם השר בהתייעצות עם שר האוצר, ולעניין ההיבט התקציבי של הפרויקט - בהסכמת שר האוצר</w:t>
      </w:r>
      <w:r w:rsidRPr="003A2117">
        <w:rPr>
          <w:rFonts w:cs="David" w:hint="cs"/>
          <w:sz w:val="20"/>
          <w:szCs w:val="20"/>
          <w:rtl/>
        </w:rPr>
        <w:t>;</w:t>
      </w:r>
    </w:p>
    <w:p w:rsidR="00241BC2" w:rsidRPr="003A2117" w:rsidRDefault="00241BC2" w:rsidP="00241BC2">
      <w:pPr>
        <w:spacing w:after="60"/>
        <w:ind w:left="720"/>
        <w:rPr>
          <w:rFonts w:cs="David"/>
          <w:sz w:val="20"/>
          <w:szCs w:val="20"/>
          <w:rtl/>
        </w:rPr>
      </w:pPr>
      <w:r w:rsidRPr="003A2117">
        <w:rPr>
          <w:rFonts w:cs="David" w:hint="cs"/>
          <w:sz w:val="20"/>
          <w:szCs w:val="20"/>
          <w:rtl/>
        </w:rPr>
        <w:tab/>
        <w:t>"חברות אסבסט" - חברות שעסקו במועד שקדם ליום התחילה בייצור אסבסט בגליל המערבי.</w:t>
      </w:r>
    </w:p>
    <w:p w:rsidR="00241BC2" w:rsidRPr="003A2117" w:rsidRDefault="00241BC2" w:rsidP="00241BC2">
      <w:pPr>
        <w:spacing w:after="60"/>
        <w:ind w:left="720"/>
        <w:rPr>
          <w:rFonts w:cs="David"/>
          <w:sz w:val="20"/>
          <w:szCs w:val="20"/>
          <w:rtl/>
        </w:rPr>
      </w:pPr>
      <w:r w:rsidRPr="003A2117">
        <w:rPr>
          <w:rFonts w:cs="David" w:hint="cs"/>
          <w:sz w:val="20"/>
          <w:szCs w:val="20"/>
          <w:rtl/>
        </w:rPr>
        <w:t>(ב)</w:t>
      </w:r>
      <w:r w:rsidRPr="003A2117">
        <w:rPr>
          <w:rFonts w:cs="David" w:hint="cs"/>
          <w:sz w:val="20"/>
          <w:szCs w:val="20"/>
          <w:rtl/>
        </w:rPr>
        <w:tab/>
        <w:t>הפרויקט לפינוי אסבסט מהגליל המערבי ימומן מתקציב המדינה ומתשלומים שיעבירו חברות האסבסט, וכן מתשלומים שיעבירו רשויות מקומיות שבתחומן מתבצע הפרויקט (בסעיף זה - הרשויות המקומיות).</w:t>
      </w:r>
    </w:p>
    <w:p w:rsidR="00241BC2" w:rsidRPr="003A2117" w:rsidRDefault="00241BC2" w:rsidP="00241BC2">
      <w:pPr>
        <w:spacing w:after="60"/>
        <w:ind w:left="720"/>
        <w:rPr>
          <w:rFonts w:cs="David"/>
          <w:sz w:val="20"/>
          <w:szCs w:val="20"/>
          <w:rtl/>
        </w:rPr>
      </w:pPr>
      <w:r w:rsidRPr="003A2117">
        <w:rPr>
          <w:rFonts w:cs="David" w:hint="cs"/>
          <w:sz w:val="20"/>
          <w:szCs w:val="20"/>
          <w:rtl/>
        </w:rPr>
        <w:t>(ג)</w:t>
      </w:r>
      <w:r w:rsidRPr="003A2117">
        <w:rPr>
          <w:rFonts w:cs="David" w:hint="cs"/>
          <w:sz w:val="20"/>
          <w:szCs w:val="20"/>
          <w:rtl/>
        </w:rPr>
        <w:tab/>
        <w:t>בקרן לשמירת הניקיון ינוהל חשבון נפרד שישמש למימון עלויות, ישירות או עקיפות, של הפרויקט לפינוי אסבסט מהגליל המערבי (בסעיף זה - החשבון הנפרד).</w:t>
      </w:r>
    </w:p>
    <w:p w:rsidR="00241BC2" w:rsidRPr="003A2117" w:rsidRDefault="00241BC2" w:rsidP="00241BC2">
      <w:pPr>
        <w:spacing w:after="60"/>
        <w:ind w:left="720"/>
        <w:rPr>
          <w:rFonts w:cs="David"/>
          <w:sz w:val="20"/>
          <w:szCs w:val="20"/>
          <w:rtl/>
        </w:rPr>
      </w:pPr>
      <w:r w:rsidRPr="003A2117">
        <w:rPr>
          <w:rFonts w:cs="David" w:hint="cs"/>
          <w:sz w:val="20"/>
          <w:szCs w:val="20"/>
          <w:rtl/>
        </w:rPr>
        <w:t>(ד)</w:t>
      </w:r>
      <w:r w:rsidRPr="003A2117">
        <w:rPr>
          <w:rFonts w:cs="David" w:hint="cs"/>
          <w:sz w:val="20"/>
          <w:szCs w:val="20"/>
          <w:rtl/>
        </w:rPr>
        <w:tab/>
      </w:r>
      <w:r w:rsidRPr="003A2117">
        <w:rPr>
          <w:rFonts w:cs="David" w:hint="cs"/>
          <w:sz w:val="20"/>
          <w:szCs w:val="20"/>
          <w:highlight w:val="yellow"/>
          <w:rtl/>
        </w:rPr>
        <w:t>השר, בהסכמת שר האוצר, לאחר שנתן לרשויות המקומיות ולחברות האסבסט הזדמנות לטעון את טענותיהן, יורה על גובה הסכומים שיעבירו הרשויות המקומיות וחברות האסבסט לחשבון הנפרד, ועל מועדי תשלומם, ובלבד שהסכום הכולל שיעבירו חברות האסבסט יהיה שווה לסכום התשלומים הכולל שיועברו מתקציב המדינה ומהרשויות המקומיות יחד; ואולם הסכום הכולל שיעבירו חברות האסבסט כאמור לא יעלה על 150 מיליון שקלים חדשים</w:t>
      </w:r>
      <w:r w:rsidRPr="003A2117">
        <w:rPr>
          <w:rFonts w:cs="David" w:hint="cs"/>
          <w:sz w:val="20"/>
          <w:szCs w:val="20"/>
          <w:rtl/>
        </w:rPr>
        <w:t>.</w:t>
      </w:r>
    </w:p>
    <w:p w:rsidR="00241BC2" w:rsidRPr="003A2117" w:rsidRDefault="00241BC2" w:rsidP="00241BC2">
      <w:pPr>
        <w:spacing w:after="60"/>
        <w:ind w:left="720"/>
        <w:rPr>
          <w:rFonts w:cs="FrankRuehl"/>
          <w:sz w:val="20"/>
          <w:szCs w:val="20"/>
          <w:rtl/>
        </w:rPr>
      </w:pPr>
      <w:r w:rsidRPr="003A2117">
        <w:rPr>
          <w:rFonts w:cs="David" w:hint="cs"/>
          <w:sz w:val="20"/>
          <w:szCs w:val="20"/>
          <w:rtl/>
        </w:rPr>
        <w:t>(ה)</w:t>
      </w:r>
      <w:r w:rsidRPr="003A2117">
        <w:rPr>
          <w:rFonts w:cs="David" w:hint="cs"/>
          <w:sz w:val="20"/>
          <w:szCs w:val="20"/>
          <w:rtl/>
        </w:rPr>
        <w:tab/>
        <w:t>בקביעת סכום התשלום ומועדיו לפי סעיף קטן (ד) ישקול השר בין השאר את היקף תקציב המדינה המיועד למימון כלל עלויות הפרויקט, את התקציב שהוצא בפועל, ולגבי הרשויות המקומיות - את זהות בעלי הזכויות בקרקעות שבהן קיים האסבסט, את השימושים הנעשים בקרקעות האמורות ואת היקף אחריותן של הרשויות לגביהן, וכן את מצבן הכלכלי של הרשויות המקומיות.</w:t>
      </w:r>
    </w:p>
    <w:p w:rsidR="00241BC2" w:rsidRPr="004B3806" w:rsidRDefault="00241BC2" w:rsidP="00241BC2">
      <w:pPr>
        <w:spacing w:after="60"/>
        <w:rPr>
          <w:rFonts w:cs="FrankRuehl"/>
          <w:sz w:val="22"/>
          <w:szCs w:val="22"/>
          <w:rtl/>
        </w:rPr>
      </w:pPr>
      <w:r w:rsidRPr="003A2117">
        <w:rPr>
          <w:rFonts w:cs="FrankRuehl" w:hint="cs"/>
          <w:sz w:val="22"/>
          <w:szCs w:val="22"/>
          <w:rtl/>
        </w:rPr>
        <w:t xml:space="preserve">במילים אחרות, יוקם פרויקט לפינוי פסולת אסבסט שמקורה במפעל של איתנית, ואשר הוטמנה או פוזרה ברדיוס של עד </w:t>
      </w:r>
      <w:smartTag w:uri="urn:schemas-microsoft-com:office:smarttags" w:element="metricconverter">
        <w:smartTagPr>
          <w:attr w:name="ProductID" w:val="15 ק&quot;מ"/>
        </w:smartTagPr>
        <w:r w:rsidRPr="003A2117">
          <w:rPr>
            <w:rFonts w:cs="FrankRuehl" w:hint="cs"/>
            <w:sz w:val="22"/>
            <w:szCs w:val="22"/>
            <w:rtl/>
          </w:rPr>
          <w:t>15 ק"מ</w:t>
        </w:r>
      </w:smartTag>
      <w:r w:rsidRPr="003A2117">
        <w:rPr>
          <w:rFonts w:cs="FrankRuehl" w:hint="cs"/>
          <w:sz w:val="22"/>
          <w:szCs w:val="22"/>
          <w:rtl/>
        </w:rPr>
        <w:t xml:space="preserve"> מהמפעל. לעניין זה "פסולת אסבסט" כוללת אסבסט שפורק, נפגע או נשבר, וכן אסבסט שאינו בשימוש (הגדרות בסעיף 2). יצוין כי החוק אמנם לא נוקב בשמה המפורש של איתנית, אלא נוקט בניסוח כוללני - "חברות אסבסט" ו"מפעל לייצור אסבסט". ברם, כפי שיובהר להלן, אין מחלוקת כי החוק מכוון הלכה למעשה רק אל איתנית ואל המפעל שבבעלותה - היא החברה היחידה באזור הגליל המערבי שעסקה בייצור אסבסט. [...]</w:t>
      </w:r>
    </w:p>
    <w:p w:rsidR="00241BC2" w:rsidRPr="004B3806" w:rsidRDefault="00241BC2" w:rsidP="00241BC2">
      <w:pPr>
        <w:pStyle w:val="Ruller41"/>
        <w:spacing w:after="60" w:line="240" w:lineRule="auto"/>
        <w:rPr>
          <w:rFonts w:ascii="Times New Roman" w:hAnsi="Times New Roman" w:cs="Miriam"/>
          <w:szCs w:val="22"/>
          <w:rtl/>
        </w:rPr>
      </w:pPr>
      <w:r w:rsidRPr="004B3806">
        <w:rPr>
          <w:rFonts w:ascii="Times New Roman" w:hAnsi="Times New Roman" w:cs="Miriam" w:hint="cs"/>
          <w:szCs w:val="22"/>
          <w:rtl/>
        </w:rPr>
        <w:t xml:space="preserve">2. </w:t>
      </w:r>
      <w:r w:rsidRPr="00221AC3">
        <w:rPr>
          <w:rFonts w:ascii="Times New Roman" w:hAnsi="Times New Roman" w:cs="Miriam" w:hint="cs"/>
          <w:szCs w:val="22"/>
          <w:highlight w:val="yellow"/>
          <w:rtl/>
        </w:rPr>
        <w:t>הניתוח החוקתי</w:t>
      </w:r>
      <w:r w:rsidRPr="004B3806">
        <w:rPr>
          <w:rFonts w:ascii="Times New Roman" w:hAnsi="Times New Roman" w:cs="Miriam" w:hint="cs"/>
          <w:szCs w:val="22"/>
          <w:rtl/>
        </w:rPr>
        <w:t xml:space="preserve"> </w:t>
      </w:r>
    </w:p>
    <w:p w:rsidR="00241BC2" w:rsidRPr="004B3806" w:rsidRDefault="00241BC2" w:rsidP="00241BC2">
      <w:pPr>
        <w:pStyle w:val="Ruller41"/>
        <w:spacing w:after="60" w:line="240" w:lineRule="auto"/>
        <w:rPr>
          <w:rFonts w:ascii="Times New Roman" w:hAnsi="Times New Roman"/>
          <w:szCs w:val="22"/>
          <w:rtl/>
        </w:rPr>
      </w:pPr>
      <w:r w:rsidRPr="004B3806">
        <w:rPr>
          <w:rFonts w:ascii="Times New Roman" w:hAnsi="Times New Roman" w:hint="cs"/>
          <w:szCs w:val="22"/>
          <w:rtl/>
        </w:rPr>
        <w:t>15.</w:t>
      </w:r>
      <w:r w:rsidRPr="004B3806">
        <w:rPr>
          <w:rFonts w:ascii="Times New Roman" w:hAnsi="Times New Roman" w:hint="cs"/>
          <w:szCs w:val="22"/>
          <w:rtl/>
        </w:rPr>
        <w:tab/>
        <w:t>עתה נפנה לבחינת חוקתיותו של סעיף 74 על פי הדין הישראלי. תחילה יש לעמוד על הזכויות שנפגעו לשיטת איתנית. לאחר מכן ניתן לדון בשאלה האם פגיעה זו, ככל שנגרמה ובהיקף שנגרמה, עומדת במבחני פיסקת ההגבלה של סעיף 8 ל</w:t>
      </w:r>
      <w:r w:rsidRPr="004B3806">
        <w:rPr>
          <w:rFonts w:ascii="Times New Roman" w:hAnsi="Times New Roman"/>
          <w:szCs w:val="22"/>
          <w:rtl/>
        </w:rPr>
        <w:t>חוק יסוד: כבוד האדם וחירותו</w:t>
      </w:r>
      <w:r w:rsidRPr="004B3806">
        <w:rPr>
          <w:rFonts w:ascii="Times New Roman" w:hAnsi="Times New Roman" w:hint="cs"/>
          <w:szCs w:val="22"/>
          <w:rtl/>
        </w:rPr>
        <w:t xml:space="preserve">. </w:t>
      </w:r>
      <w:r>
        <w:rPr>
          <w:rFonts w:ascii="Times New Roman" w:hAnsi="Times New Roman" w:hint="cs"/>
          <w:szCs w:val="22"/>
          <w:rtl/>
        </w:rPr>
        <w:t>[...]</w:t>
      </w:r>
    </w:p>
    <w:p w:rsidR="00241BC2" w:rsidRPr="004B3806" w:rsidRDefault="00241BC2" w:rsidP="00241BC2">
      <w:pPr>
        <w:pStyle w:val="Ruller41"/>
        <w:rPr>
          <w:rFonts w:ascii="Times New Roman" w:hAnsi="Times New Roman" w:cs="Miriam"/>
          <w:szCs w:val="22"/>
          <w:rtl/>
        </w:rPr>
      </w:pPr>
      <w:r w:rsidRPr="00221AC3">
        <w:rPr>
          <w:rFonts w:ascii="Times New Roman" w:hAnsi="Times New Roman" w:cs="Miriam" w:hint="cs"/>
          <w:szCs w:val="22"/>
          <w:highlight w:val="yellow"/>
          <w:rtl/>
        </w:rPr>
        <w:t>א. הזכויות הנפגעות</w:t>
      </w:r>
      <w:r w:rsidRPr="004B3806">
        <w:rPr>
          <w:rFonts w:ascii="Times New Roman" w:hAnsi="Times New Roman" w:cs="Miriam" w:hint="cs"/>
          <w:szCs w:val="22"/>
          <w:rtl/>
        </w:rPr>
        <w:t xml:space="preserve"> </w:t>
      </w:r>
    </w:p>
    <w:p w:rsidR="00241BC2" w:rsidRPr="004B3806" w:rsidRDefault="00241BC2" w:rsidP="00241BC2">
      <w:pPr>
        <w:pStyle w:val="Ruller41"/>
        <w:spacing w:after="60" w:line="240" w:lineRule="auto"/>
        <w:rPr>
          <w:rFonts w:ascii="Times New Roman" w:hAnsi="Times New Roman"/>
          <w:szCs w:val="22"/>
          <w:rtl/>
        </w:rPr>
      </w:pPr>
      <w:r w:rsidRPr="004B3806">
        <w:rPr>
          <w:rFonts w:ascii="Times New Roman" w:hAnsi="Times New Roman" w:cs="Miriam" w:hint="cs"/>
          <w:szCs w:val="22"/>
          <w:rtl/>
        </w:rPr>
        <w:t>    (1) הזכות לקניין</w:t>
      </w:r>
      <w:r w:rsidRPr="004B3806">
        <w:rPr>
          <w:rFonts w:ascii="Times New Roman" w:hAnsi="Times New Roman" w:hint="cs"/>
          <w:szCs w:val="22"/>
          <w:rtl/>
        </w:rPr>
        <w:t xml:space="preserve"> </w:t>
      </w:r>
      <w:r>
        <w:rPr>
          <w:rFonts w:ascii="Times New Roman" w:hAnsi="Times New Roman" w:hint="cs"/>
          <w:szCs w:val="22"/>
          <w:rtl/>
        </w:rPr>
        <w:t>[...]</w:t>
      </w:r>
    </w:p>
    <w:p w:rsidR="00241BC2" w:rsidRPr="00221AC3" w:rsidRDefault="00241BC2" w:rsidP="00241BC2">
      <w:pPr>
        <w:pStyle w:val="Ruller41"/>
        <w:spacing w:after="60" w:line="240" w:lineRule="auto"/>
        <w:rPr>
          <w:rFonts w:ascii="Times New Roman" w:hAnsi="Times New Roman"/>
          <w:szCs w:val="22"/>
          <w:rtl/>
        </w:rPr>
      </w:pPr>
      <w:r w:rsidRPr="004B3806">
        <w:rPr>
          <w:rFonts w:ascii="Times New Roman" w:hAnsi="Times New Roman" w:cs="Miriam" w:hint="cs"/>
          <w:szCs w:val="22"/>
          <w:rtl/>
        </w:rPr>
        <w:t>    (2) הזכות לשוויון</w:t>
      </w:r>
      <w:r w:rsidRPr="004B3806">
        <w:rPr>
          <w:rFonts w:ascii="Times New Roman" w:hAnsi="Times New Roman" w:hint="cs"/>
          <w:szCs w:val="22"/>
          <w:rtl/>
        </w:rPr>
        <w:t xml:space="preserve"> </w:t>
      </w:r>
      <w:r>
        <w:rPr>
          <w:rFonts w:ascii="Times New Roman" w:hAnsi="Times New Roman" w:hint="cs"/>
          <w:szCs w:val="22"/>
          <w:rtl/>
        </w:rPr>
        <w:t>[...]</w:t>
      </w:r>
    </w:p>
    <w:p w:rsidR="00241BC2" w:rsidRPr="00221AC3" w:rsidRDefault="00241BC2" w:rsidP="00241BC2">
      <w:pPr>
        <w:pStyle w:val="Ruller41"/>
        <w:spacing w:after="60" w:line="240" w:lineRule="auto"/>
        <w:rPr>
          <w:rFonts w:ascii="Times New Roman" w:hAnsi="Times New Roman"/>
          <w:szCs w:val="22"/>
          <w:rtl/>
        </w:rPr>
      </w:pPr>
      <w:r>
        <w:rPr>
          <w:rFonts w:ascii="Times New Roman" w:hAnsi="Times New Roman" w:hint="cs"/>
          <w:szCs w:val="22"/>
          <w:rtl/>
        </w:rPr>
        <w:t>22.</w:t>
      </w:r>
      <w:r>
        <w:rPr>
          <w:rFonts w:ascii="Times New Roman" w:hAnsi="Times New Roman" w:hint="cs"/>
          <w:szCs w:val="22"/>
          <w:rtl/>
        </w:rPr>
        <w:tab/>
      </w:r>
      <w:r w:rsidRPr="00221AC3">
        <w:rPr>
          <w:rFonts w:ascii="Times New Roman" w:hAnsi="Times New Roman" w:hint="cs"/>
          <w:szCs w:val="22"/>
          <w:rtl/>
        </w:rPr>
        <w:t>לסיכום חלק זה, מקובלת עלי טענת איתנית כי סעיף 74 פוגע בזכות הקניין שלה. אולם לדעתי יש לדחות את טענת איתנית לפגיעה בזכותה לשוויון, כזכות עצמאית או כחלק מהזכות לקניין, וזאת מן הטעמים שפירטתי לעיל. על בסיס מסקנות אלו אעבור לבחון את השאלה האם הפגיעה בזכות הקניין של איתנית עומדת בתנאי פסקת ההגבלה לפי סעיף 8 ל</w:t>
      </w:r>
      <w:hyperlink r:id="rId381" w:history="1">
        <w:r w:rsidRPr="00221AC3">
          <w:rPr>
            <w:rFonts w:ascii="Times New Roman" w:hAnsi="Times New Roman"/>
            <w:color w:val="0000FF"/>
            <w:szCs w:val="22"/>
            <w:u w:val="single"/>
            <w:rtl/>
          </w:rPr>
          <w:t>חוק יסוד: כבוד האדם וחירותו</w:t>
        </w:r>
      </w:hyperlink>
      <w:r w:rsidRPr="00221AC3">
        <w:rPr>
          <w:rFonts w:ascii="Times New Roman" w:hAnsi="Times New Roman" w:hint="cs"/>
          <w:szCs w:val="22"/>
          <w:rtl/>
        </w:rPr>
        <w:t xml:space="preserve">, שכותרתו "פגיעה בזכויות": </w:t>
      </w:r>
    </w:p>
    <w:p w:rsidR="00241BC2" w:rsidRPr="00221AC3" w:rsidRDefault="00241BC2" w:rsidP="00241BC2">
      <w:pPr>
        <w:pStyle w:val="Ruller41"/>
        <w:spacing w:after="60" w:line="240" w:lineRule="auto"/>
        <w:ind w:left="720" w:right="567"/>
        <w:rPr>
          <w:rFonts w:ascii="Times New Roman" w:hAnsi="Times New Roman" w:cs="David"/>
          <w:sz w:val="20"/>
          <w:szCs w:val="20"/>
          <w:rtl/>
        </w:rPr>
      </w:pPr>
      <w:r w:rsidRPr="00221AC3">
        <w:rPr>
          <w:rFonts w:cs="David" w:hint="cs"/>
          <w:sz w:val="20"/>
          <w:szCs w:val="20"/>
          <w:rtl/>
        </w:rPr>
        <w:t>אין פוגעים בזכויות שלפי חוק-יסוד זה אלא בחוק ההולם את ערכיה של מדינת ישראל, שנועד לתכלית ראויה, ובמידה שאינה עולה על הנדרש, או לפי חוק כאמור מכוח הסמכה מפורשת בו.</w:t>
      </w:r>
      <w:r w:rsidRPr="00221AC3">
        <w:rPr>
          <w:rFonts w:ascii="Times New Roman" w:hAnsi="Times New Roman" w:cs="David" w:hint="cs"/>
          <w:sz w:val="20"/>
          <w:szCs w:val="20"/>
          <w:rtl/>
        </w:rPr>
        <w:t xml:space="preserve"> </w:t>
      </w:r>
    </w:p>
    <w:p w:rsidR="00241BC2" w:rsidRPr="00221AC3" w:rsidRDefault="00241BC2" w:rsidP="00241BC2">
      <w:pPr>
        <w:pStyle w:val="Ruller41"/>
        <w:spacing w:after="60" w:line="240" w:lineRule="auto"/>
        <w:rPr>
          <w:szCs w:val="22"/>
          <w:rtl/>
        </w:rPr>
      </w:pPr>
      <w:r w:rsidRPr="00221AC3">
        <w:rPr>
          <w:rFonts w:ascii="Times New Roman" w:hAnsi="Times New Roman" w:cs="Miriam" w:hint="cs"/>
          <w:szCs w:val="22"/>
          <w:highlight w:val="yellow"/>
          <w:rtl/>
        </w:rPr>
        <w:t>ב. פגיעה בזכויות בחוק או לפי חוק</w:t>
      </w:r>
      <w:r>
        <w:rPr>
          <w:rFonts w:hint="cs"/>
          <w:szCs w:val="22"/>
          <w:rtl/>
        </w:rPr>
        <w:t xml:space="preserve"> </w:t>
      </w:r>
      <w:r>
        <w:rPr>
          <w:rFonts w:ascii="Times New Roman" w:hAnsi="Times New Roman" w:hint="cs"/>
          <w:szCs w:val="22"/>
          <w:rtl/>
        </w:rPr>
        <w:t>[...]</w:t>
      </w:r>
    </w:p>
    <w:p w:rsidR="00241BC2" w:rsidRPr="001D1BAE" w:rsidRDefault="00241BC2" w:rsidP="00241BC2">
      <w:pPr>
        <w:pStyle w:val="Ruller41"/>
        <w:spacing w:after="60" w:line="240" w:lineRule="auto"/>
        <w:rPr>
          <w:szCs w:val="22"/>
          <w:rtl/>
        </w:rPr>
      </w:pPr>
      <w:r w:rsidRPr="001A53FD">
        <w:rPr>
          <w:rFonts w:ascii="Times New Roman" w:hAnsi="Times New Roman" w:cs="Miriam" w:hint="cs"/>
          <w:szCs w:val="22"/>
          <w:highlight w:val="yellow"/>
          <w:rtl/>
        </w:rPr>
        <w:t>ג. לתכלית ראויה ההולמת את ערכי מדינת ישראל</w:t>
      </w:r>
      <w:r w:rsidRPr="001A53FD">
        <w:rPr>
          <w:rFonts w:ascii="Times New Roman" w:hAnsi="Times New Roman" w:cs="Miriam" w:hint="cs"/>
          <w:szCs w:val="22"/>
          <w:rtl/>
        </w:rPr>
        <w:t xml:space="preserve"> </w:t>
      </w:r>
      <w:r>
        <w:rPr>
          <w:rFonts w:ascii="Times New Roman" w:hAnsi="Times New Roman" w:hint="cs"/>
          <w:szCs w:val="22"/>
          <w:rtl/>
        </w:rPr>
        <w:t>[...]</w:t>
      </w:r>
    </w:p>
    <w:p w:rsidR="00241BC2" w:rsidRPr="00872F90" w:rsidRDefault="00241BC2" w:rsidP="00241BC2">
      <w:pPr>
        <w:pStyle w:val="Ruller41"/>
        <w:spacing w:after="60" w:line="240" w:lineRule="auto"/>
        <w:rPr>
          <w:szCs w:val="22"/>
          <w:rtl/>
        </w:rPr>
      </w:pPr>
      <w:r w:rsidRPr="001D1BAE">
        <w:rPr>
          <w:rFonts w:ascii="Times New Roman" w:hAnsi="Times New Roman" w:cs="Miriam" w:hint="cs"/>
          <w:szCs w:val="22"/>
          <w:highlight w:val="yellow"/>
          <w:rtl/>
        </w:rPr>
        <w:t>ד. מידתיות</w:t>
      </w:r>
      <w:r w:rsidRPr="001D1BAE">
        <w:rPr>
          <w:rFonts w:ascii="Times New Roman" w:hAnsi="Times New Roman" w:cs="Miriam" w:hint="cs"/>
          <w:szCs w:val="22"/>
          <w:rtl/>
        </w:rPr>
        <w:t xml:space="preserve"> </w:t>
      </w:r>
      <w:r>
        <w:rPr>
          <w:rFonts w:ascii="Times New Roman" w:hAnsi="Times New Roman" w:hint="cs"/>
          <w:szCs w:val="22"/>
          <w:rtl/>
        </w:rPr>
        <w:t>[...]</w:t>
      </w:r>
    </w:p>
    <w:p w:rsidR="00241BC2" w:rsidRPr="00EB75FE" w:rsidRDefault="00241BC2" w:rsidP="00241BC2">
      <w:pPr>
        <w:pStyle w:val="Ruller41"/>
        <w:spacing w:after="60" w:line="240" w:lineRule="auto"/>
        <w:rPr>
          <w:rFonts w:ascii="Times New Roman" w:hAnsi="Times New Roman"/>
          <w:szCs w:val="22"/>
          <w:rtl/>
        </w:rPr>
      </w:pPr>
      <w:r w:rsidRPr="00872F90">
        <w:rPr>
          <w:rFonts w:ascii="Times New Roman" w:hAnsi="Times New Roman" w:cs="Miriam" w:hint="cs"/>
          <w:szCs w:val="22"/>
          <w:rtl/>
        </w:rPr>
        <w:t xml:space="preserve">    </w:t>
      </w:r>
      <w:r w:rsidRPr="00EB75FE">
        <w:rPr>
          <w:rFonts w:ascii="Times New Roman" w:hAnsi="Times New Roman" w:cs="Miriam" w:hint="cs"/>
          <w:szCs w:val="22"/>
          <w:rtl/>
        </w:rPr>
        <w:t xml:space="preserve">(1) קשר רציונאלי </w:t>
      </w:r>
      <w:r w:rsidRPr="00EB75FE">
        <w:rPr>
          <w:rFonts w:ascii="Times New Roman" w:hAnsi="Times New Roman" w:hint="cs"/>
          <w:szCs w:val="22"/>
          <w:rtl/>
        </w:rPr>
        <w:t>[...]</w:t>
      </w:r>
    </w:p>
    <w:p w:rsidR="00241BC2" w:rsidRPr="00D371F0" w:rsidRDefault="00241BC2" w:rsidP="00241BC2">
      <w:pPr>
        <w:pStyle w:val="Ruller41"/>
        <w:spacing w:after="60" w:line="240" w:lineRule="auto"/>
        <w:ind w:left="304"/>
        <w:rPr>
          <w:szCs w:val="22"/>
          <w:rtl/>
        </w:rPr>
      </w:pPr>
      <w:r w:rsidRPr="00EB75FE">
        <w:rPr>
          <w:rFonts w:ascii="Times New Roman" w:hAnsi="Times New Roman" w:cs="Miriam" w:hint="cs"/>
          <w:szCs w:val="22"/>
          <w:rtl/>
        </w:rPr>
        <w:t>(2) האמצעי שפגיעתו פחותה</w:t>
      </w:r>
      <w:r w:rsidRPr="00EB75FE">
        <w:rPr>
          <w:rFonts w:ascii="Times New Roman" w:hAnsi="Times New Roman" w:cs="Miriam" w:hint="cs"/>
          <w:szCs w:val="24"/>
          <w:rtl/>
        </w:rPr>
        <w:t xml:space="preserve"> </w:t>
      </w:r>
      <w:r w:rsidRPr="00EB75FE">
        <w:rPr>
          <w:rFonts w:ascii="Times New Roman" w:hAnsi="Times New Roman" w:hint="cs"/>
          <w:szCs w:val="22"/>
          <w:rtl/>
        </w:rPr>
        <w:t>[...]</w:t>
      </w:r>
    </w:p>
    <w:p w:rsidR="00241BC2" w:rsidRPr="00D371F0" w:rsidRDefault="00241BC2" w:rsidP="00241BC2">
      <w:pPr>
        <w:pStyle w:val="Ruller41"/>
        <w:spacing w:after="60" w:line="240" w:lineRule="auto"/>
        <w:ind w:left="304"/>
        <w:rPr>
          <w:rFonts w:ascii="Times New Roman" w:hAnsi="Times New Roman"/>
          <w:szCs w:val="22"/>
          <w:rtl/>
        </w:rPr>
      </w:pPr>
      <w:r w:rsidRPr="00D371F0">
        <w:rPr>
          <w:rFonts w:ascii="Times New Roman" w:hAnsi="Times New Roman" w:cs="Miriam" w:hint="cs"/>
          <w:szCs w:val="22"/>
          <w:highlight w:val="yellow"/>
          <w:rtl/>
        </w:rPr>
        <w:t>(3) מידתיות במובן הצר</w:t>
      </w:r>
      <w:r w:rsidRPr="00D371F0">
        <w:rPr>
          <w:rFonts w:ascii="Times New Roman" w:hAnsi="Times New Roman" w:cs="Miriam" w:hint="cs"/>
          <w:szCs w:val="22"/>
          <w:rtl/>
        </w:rPr>
        <w:t xml:space="preserve"> </w:t>
      </w:r>
    </w:p>
    <w:p w:rsidR="00241BC2" w:rsidRPr="00EB75FE" w:rsidRDefault="00241BC2" w:rsidP="00241BC2">
      <w:pPr>
        <w:pStyle w:val="Ruller41"/>
        <w:spacing w:after="60" w:line="240" w:lineRule="auto"/>
        <w:rPr>
          <w:szCs w:val="22"/>
          <w:rtl/>
        </w:rPr>
      </w:pPr>
      <w:r>
        <w:rPr>
          <w:rFonts w:ascii="Times New Roman" w:hAnsi="Times New Roman" w:hint="cs"/>
          <w:szCs w:val="22"/>
          <w:rtl/>
        </w:rPr>
        <w:t>34.</w:t>
      </w:r>
      <w:r>
        <w:rPr>
          <w:rFonts w:ascii="Times New Roman" w:hAnsi="Times New Roman" w:hint="cs"/>
          <w:szCs w:val="22"/>
          <w:rtl/>
        </w:rPr>
        <w:tab/>
      </w:r>
      <w:r w:rsidRPr="00EB75FE">
        <w:rPr>
          <w:rFonts w:ascii="Times New Roman" w:hAnsi="Times New Roman" w:hint="cs"/>
          <w:szCs w:val="22"/>
          <w:rtl/>
        </w:rPr>
        <w:t xml:space="preserve">נותרנו, אפוא, עם מבחן המשנה השלישי והאחרון בביקורת החוקתית: מבחן המידתיות במובן הצר. מבחן זה בודק את היחס הראוי "בין התועלת הציבורית </w:t>
      </w:r>
      <w:r w:rsidRPr="00EB75FE">
        <w:rPr>
          <w:rFonts w:hint="cs"/>
          <w:szCs w:val="22"/>
          <w:rtl/>
        </w:rPr>
        <w:t xml:space="preserve">הצומחת מדבר החקיקה שחוקתיותו עומדת על הפרק, לבין הנזק לזכות החוקתית הנגרם על ידי אותו דבר החקיקה" </w:t>
      </w:r>
      <w:r w:rsidRPr="00EB75FE">
        <w:rPr>
          <w:rFonts w:ascii="Times New Roman" w:hAnsi="Times New Roman" w:hint="cs"/>
          <w:szCs w:val="22"/>
          <w:rtl/>
        </w:rPr>
        <w:t xml:space="preserve">... זהו מבחן של נזק מול תועלת במישור החוקתי – תועלת חברתית מול פגיעה בזכות. </w:t>
      </w:r>
    </w:p>
    <w:p w:rsidR="00241BC2" w:rsidRPr="00EB75FE" w:rsidRDefault="00241BC2" w:rsidP="00241BC2">
      <w:pPr>
        <w:pStyle w:val="Ruller41"/>
        <w:spacing w:after="60" w:line="240" w:lineRule="auto"/>
        <w:rPr>
          <w:szCs w:val="22"/>
          <w:rtl/>
        </w:rPr>
      </w:pPr>
      <w:r w:rsidRPr="00EB75FE">
        <w:rPr>
          <w:rFonts w:hint="cs"/>
          <w:szCs w:val="22"/>
          <w:rtl/>
        </w:rPr>
        <w:tab/>
        <w:t xml:space="preserve">בפסיקה הובעה הדעה לפיה: "זהו מבחן החשוב ביותר מבין שלושת מבחני המשנה" ... כך או כך, אין זה מבחן סף. מקומו כמשוכה האחרונה במסע החוקתי מכוון אליו את הזרקור. על אף שכותרתו של מבחן משנה זה היא "מידתיות במובן הצר", אין הוא צר כלל ועיקר. הוא מהווה אתגר מיוחד לשופט. לתפיסתי, ודווקא בשל כך, מבחן זה עשוי להתפתח עם הזמן - לרבות קביעת כללים להבניית יישומו - יותר ממבחני משנה אחרים. </w:t>
      </w:r>
    </w:p>
    <w:p w:rsidR="00241BC2" w:rsidRPr="00EB75FE" w:rsidRDefault="00241BC2" w:rsidP="00241BC2">
      <w:pPr>
        <w:pStyle w:val="Ruller41"/>
        <w:spacing w:after="60" w:line="240" w:lineRule="auto"/>
        <w:rPr>
          <w:szCs w:val="22"/>
          <w:rtl/>
        </w:rPr>
      </w:pPr>
      <w:r w:rsidRPr="00EB75FE">
        <w:rPr>
          <w:rFonts w:hint="cs"/>
          <w:szCs w:val="22"/>
          <w:rtl/>
        </w:rPr>
        <w:tab/>
        <w:t xml:space="preserve">בכל מצב, במקרנו, ברי כי התועלת המופקת מן החוק רבה מאוד. לכן, יהיה ניתן לקבוע שסעיף 74 איננו חוקתי רק אם יימצא שהפגיעה בזכות הקניין של איתנית - הצד השני של המשוואה – היא בעוצמה כה גדולה, עד שתאפיל על התועלת. </w:t>
      </w:r>
    </w:p>
    <w:p w:rsidR="00241BC2" w:rsidRPr="00D371F0" w:rsidRDefault="00241BC2" w:rsidP="00241BC2">
      <w:pPr>
        <w:spacing w:after="60"/>
        <w:rPr>
          <w:rFonts w:cs="FrankRuehl"/>
          <w:sz w:val="22"/>
          <w:szCs w:val="22"/>
          <w:rtl/>
        </w:rPr>
      </w:pPr>
      <w:r w:rsidRPr="00EB75FE">
        <w:rPr>
          <w:rFonts w:cs="FrankRuehl" w:hint="cs"/>
          <w:sz w:val="22"/>
          <w:szCs w:val="22"/>
          <w:rtl/>
        </w:rPr>
        <w:tab/>
        <w:t>סעיף 74, על החיוב הכספי שבו, פוגע בזכות הקניין של איתנית. מטיעוני איתנית עולה כי שלושה נדבכים מעצימים את הפגיעה: (</w:t>
      </w:r>
      <w:r w:rsidRPr="00EB75FE">
        <w:rPr>
          <w:rFonts w:cs="FrankRuehl" w:hint="cs"/>
          <w:sz w:val="22"/>
          <w:szCs w:val="22"/>
          <w:highlight w:val="yellow"/>
          <w:rtl/>
        </w:rPr>
        <w:t>1) החוק הוא פרסונאלי. (2) החוק מטיל אחריות חמורה. (3) החוק הוא רטרואקטיבי.</w:t>
      </w:r>
      <w:r w:rsidRPr="00EB75FE">
        <w:rPr>
          <w:rFonts w:cs="FrankRuehl" w:hint="cs"/>
          <w:sz w:val="22"/>
          <w:szCs w:val="22"/>
          <w:rtl/>
        </w:rPr>
        <w:t xml:space="preserve"> ביחס לכל נדבך אציג תחילה את אופי הפגיעה הנטען, ואז אבחן את מימדיה האמיתיים: האם החוק חצה את הקו האדום החוקתי, ועל כן יש לעשות שימוש בנשק הלא-קונבנציונאלי של ביטול החוק; האם "הפגיעה היא כצעקתה" או שמא יש מרכיבים בחוק שממתנים אותה. באמצעות בחינה זו תתבצע ההשוואה החוקתית בין הנזק לתועלת.</w:t>
      </w:r>
    </w:p>
    <w:p w:rsidR="00241BC2" w:rsidRPr="00EB75FE" w:rsidRDefault="00241BC2" w:rsidP="00241BC2">
      <w:pPr>
        <w:pStyle w:val="Ruller41"/>
        <w:rPr>
          <w:rFonts w:ascii="Times New Roman" w:hAnsi="Times New Roman" w:cs="Miriam"/>
          <w:szCs w:val="22"/>
          <w:rtl/>
        </w:rPr>
      </w:pPr>
      <w:r w:rsidRPr="00EB75FE">
        <w:rPr>
          <w:rFonts w:ascii="Times New Roman" w:hAnsi="Times New Roman" w:cs="Miriam" w:hint="cs"/>
          <w:szCs w:val="22"/>
          <w:rtl/>
        </w:rPr>
        <w:t>חוק פרסונאלי [...]</w:t>
      </w:r>
    </w:p>
    <w:p w:rsidR="00241BC2" w:rsidRPr="00245D75" w:rsidRDefault="00241BC2" w:rsidP="00241BC2">
      <w:pPr>
        <w:pStyle w:val="Ruller41"/>
        <w:spacing w:after="60" w:line="240" w:lineRule="auto"/>
        <w:rPr>
          <w:rFonts w:ascii="Times New Roman" w:hAnsi="Times New Roman"/>
          <w:szCs w:val="22"/>
          <w:rtl/>
        </w:rPr>
      </w:pPr>
      <w:r w:rsidRPr="00EB75FE">
        <w:rPr>
          <w:rFonts w:ascii="Times New Roman" w:hAnsi="Times New Roman" w:cs="Miriam" w:hint="cs"/>
          <w:szCs w:val="22"/>
          <w:rtl/>
        </w:rPr>
        <w:t xml:space="preserve">אחריות חמורה </w:t>
      </w:r>
      <w:r w:rsidRPr="00EB75FE">
        <w:rPr>
          <w:rFonts w:ascii="Times New Roman" w:hAnsi="Times New Roman" w:hint="cs"/>
          <w:szCs w:val="22"/>
          <w:rtl/>
        </w:rPr>
        <w:t>[...]</w:t>
      </w:r>
    </w:p>
    <w:p w:rsidR="00241BC2" w:rsidRPr="002572F0" w:rsidRDefault="00241BC2" w:rsidP="00241BC2">
      <w:pPr>
        <w:pStyle w:val="Ruller41"/>
        <w:spacing w:line="240" w:lineRule="auto"/>
        <w:rPr>
          <w:rFonts w:ascii="Times New Roman" w:hAnsi="Times New Roman"/>
          <w:szCs w:val="22"/>
          <w:rtl/>
        </w:rPr>
      </w:pPr>
      <w:r w:rsidRPr="002572F0">
        <w:rPr>
          <w:rFonts w:ascii="Times New Roman" w:hAnsi="Times New Roman" w:cs="Miriam" w:hint="cs"/>
          <w:szCs w:val="22"/>
          <w:highlight w:val="yellow"/>
          <w:rtl/>
        </w:rPr>
        <w:t>חוק רטרואקטיבי</w:t>
      </w:r>
      <w:r w:rsidRPr="002572F0">
        <w:rPr>
          <w:rFonts w:ascii="Times New Roman" w:hAnsi="Times New Roman" w:cs="Miriam" w:hint="cs"/>
          <w:szCs w:val="22"/>
          <w:rtl/>
        </w:rPr>
        <w:t xml:space="preserve"> </w:t>
      </w:r>
    </w:p>
    <w:p w:rsidR="00241BC2" w:rsidRPr="00EB75FE" w:rsidRDefault="00241BC2" w:rsidP="0014333E">
      <w:pPr>
        <w:pStyle w:val="Ruller41"/>
        <w:numPr>
          <w:ilvl w:val="0"/>
          <w:numId w:val="33"/>
        </w:numPr>
        <w:spacing w:line="240" w:lineRule="auto"/>
        <w:rPr>
          <w:rFonts w:ascii="Times New Roman" w:hAnsi="Times New Roman"/>
          <w:szCs w:val="22"/>
        </w:rPr>
      </w:pPr>
      <w:r w:rsidRPr="00EB75FE">
        <w:rPr>
          <w:rFonts w:ascii="Times New Roman" w:hAnsi="Times New Roman" w:hint="cs"/>
          <w:szCs w:val="22"/>
          <w:rtl/>
        </w:rPr>
        <w:t xml:space="preserve">סוגיה נפרדת מתעוררת בקשר לתחולתו בזמן של החוק. איתנית טוענת כי זהו חוק רטרואקטיבי, ועל כן יש החמרה בפגיעה בזכות הקניינית שלה. על פי קו זה, חוק רטרואקטיבי נכנס לשטח לאחר מעשה, ומשנה למפרע את כללי המשחק. המדינה לעומת זאת סבורה כי החוק הוא בעל תחולה אקטיבית, ועל כן טענת איתנית לפגיעה חוקתית איננה עומדת במלוא קומתה. אף אין לשלול לגישת המדינה את השימוש בחוק רטרואקטיבי בכל מצב. עם מי הצדק בנקודות אלו? סוגיית הגדרת התחולה בזמן היא סבוכה. על כן, תחילה יוצגו המושגים הרלבנטיים באופן כללי. לאחר מכן נבחן את הסוגיה בהקשר של סעיף 74, לרבות מידת הפגיעה באיתנית. </w:t>
      </w:r>
    </w:p>
    <w:p w:rsidR="00241BC2" w:rsidRPr="00EB75FE" w:rsidRDefault="00241BC2" w:rsidP="00241BC2">
      <w:pPr>
        <w:pStyle w:val="Ruller41"/>
        <w:spacing w:line="240" w:lineRule="auto"/>
        <w:rPr>
          <w:rFonts w:ascii="Times New Roman" w:hAnsi="Times New Roman"/>
          <w:szCs w:val="22"/>
        </w:rPr>
      </w:pPr>
    </w:p>
    <w:p w:rsidR="00241BC2" w:rsidRPr="00EB75FE" w:rsidRDefault="00241BC2" w:rsidP="00241BC2">
      <w:pPr>
        <w:pStyle w:val="Ruller41"/>
        <w:spacing w:line="240" w:lineRule="auto"/>
        <w:rPr>
          <w:rFonts w:ascii="Times New Roman" w:hAnsi="Times New Roman"/>
          <w:szCs w:val="22"/>
          <w:rtl/>
        </w:rPr>
      </w:pPr>
      <w:r w:rsidRPr="00EB75FE">
        <w:rPr>
          <w:rFonts w:ascii="Times New Roman" w:hAnsi="Times New Roman" w:hint="cs"/>
          <w:szCs w:val="22"/>
          <w:rtl/>
        </w:rPr>
        <w:tab/>
      </w:r>
      <w:r w:rsidRPr="00EB75FE">
        <w:rPr>
          <w:rFonts w:ascii="Times New Roman" w:hAnsi="Times New Roman" w:hint="cs"/>
          <w:szCs w:val="22"/>
          <w:u w:val="single"/>
          <w:rtl/>
        </w:rPr>
        <w:t>חוק רטרואקטיבי</w:t>
      </w:r>
      <w:r w:rsidRPr="00EB75FE">
        <w:rPr>
          <w:rFonts w:ascii="Times New Roman" w:hAnsi="Times New Roman" w:hint="cs"/>
          <w:szCs w:val="22"/>
          <w:rtl/>
        </w:rPr>
        <w:t xml:space="preserve"> משנה </w:t>
      </w:r>
      <w:r w:rsidRPr="00EB75FE">
        <w:rPr>
          <w:rFonts w:ascii="Times New Roman" w:hAnsi="Times New Roman" w:cs="Miriam" w:hint="cs"/>
          <w:szCs w:val="22"/>
          <w:rtl/>
        </w:rPr>
        <w:t xml:space="preserve">כלפי עבר </w:t>
      </w:r>
      <w:r w:rsidRPr="00EB75FE">
        <w:rPr>
          <w:rFonts w:ascii="Times New Roman" w:hAnsi="Times New Roman" w:hint="cs"/>
          <w:szCs w:val="22"/>
          <w:rtl/>
        </w:rPr>
        <w:t xml:space="preserve">את מעמדה המשפטי של פעולה שנעשתה </w:t>
      </w:r>
      <w:r w:rsidRPr="00EB75FE">
        <w:rPr>
          <w:rFonts w:ascii="Times New Roman" w:hAnsi="Times New Roman" w:cs="Miriam" w:hint="cs"/>
          <w:szCs w:val="22"/>
          <w:rtl/>
        </w:rPr>
        <w:t xml:space="preserve">לפני </w:t>
      </w:r>
      <w:r w:rsidRPr="00EB75FE">
        <w:rPr>
          <w:rFonts w:ascii="Times New Roman" w:hAnsi="Times New Roman" w:hint="cs"/>
          <w:szCs w:val="22"/>
          <w:rtl/>
        </w:rPr>
        <w:t xml:space="preserve">כניסת החיקוק לתוקף. </w:t>
      </w:r>
      <w:r w:rsidRPr="00EB75FE">
        <w:rPr>
          <w:rFonts w:ascii="Times New Roman" w:hAnsi="Times New Roman" w:hint="cs"/>
          <w:szCs w:val="22"/>
          <w:u w:val="single"/>
          <w:rtl/>
        </w:rPr>
        <w:t>חוק רטרוספקטיבי</w:t>
      </w:r>
      <w:r w:rsidRPr="00EB75FE">
        <w:rPr>
          <w:rFonts w:ascii="Times New Roman" w:hAnsi="Times New Roman" w:hint="cs"/>
          <w:szCs w:val="22"/>
          <w:rtl/>
        </w:rPr>
        <w:t xml:space="preserve"> משנה </w:t>
      </w:r>
      <w:r w:rsidRPr="00EB75FE">
        <w:rPr>
          <w:rFonts w:ascii="Times New Roman" w:hAnsi="Times New Roman" w:cs="Miriam" w:hint="cs"/>
          <w:szCs w:val="22"/>
          <w:rtl/>
        </w:rPr>
        <w:t>כלפי עתיד</w:t>
      </w:r>
      <w:r w:rsidRPr="00EB75FE">
        <w:rPr>
          <w:rFonts w:ascii="Times New Roman" w:hAnsi="Times New Roman" w:hint="cs"/>
          <w:szCs w:val="22"/>
          <w:rtl/>
        </w:rPr>
        <w:t xml:space="preserve"> את ההשלכות המשפטיות של פעולה שנעשתה </w:t>
      </w:r>
      <w:r w:rsidRPr="00EB75FE">
        <w:rPr>
          <w:rFonts w:ascii="Times New Roman" w:hAnsi="Times New Roman" w:cs="Miriam" w:hint="cs"/>
          <w:szCs w:val="22"/>
          <w:rtl/>
        </w:rPr>
        <w:t xml:space="preserve">לפני </w:t>
      </w:r>
      <w:r w:rsidRPr="00EB75FE">
        <w:rPr>
          <w:rFonts w:ascii="Times New Roman" w:hAnsi="Times New Roman" w:hint="cs"/>
          <w:szCs w:val="22"/>
          <w:rtl/>
        </w:rPr>
        <w:t xml:space="preserve">כניסת החיקוק לתוקף. </w:t>
      </w:r>
      <w:r w:rsidRPr="00EB75FE">
        <w:rPr>
          <w:rFonts w:ascii="Times New Roman" w:hAnsi="Times New Roman" w:hint="cs"/>
          <w:szCs w:val="22"/>
          <w:u w:val="single"/>
          <w:rtl/>
        </w:rPr>
        <w:t>חוק פרוספקטיבי</w:t>
      </w:r>
      <w:r w:rsidRPr="00EB75FE">
        <w:rPr>
          <w:rFonts w:ascii="Times New Roman" w:hAnsi="Times New Roman" w:hint="cs"/>
          <w:szCs w:val="22"/>
          <w:rtl/>
        </w:rPr>
        <w:t xml:space="preserve"> משנה </w:t>
      </w:r>
      <w:r w:rsidRPr="00EB75FE">
        <w:rPr>
          <w:rFonts w:ascii="Times New Roman" w:hAnsi="Times New Roman" w:cs="Miriam" w:hint="cs"/>
          <w:szCs w:val="22"/>
          <w:rtl/>
        </w:rPr>
        <w:t>כלפי עתיד</w:t>
      </w:r>
      <w:r w:rsidRPr="00EB75FE">
        <w:rPr>
          <w:rFonts w:ascii="Times New Roman" w:hAnsi="Times New Roman" w:hint="cs"/>
          <w:szCs w:val="22"/>
          <w:rtl/>
        </w:rPr>
        <w:t xml:space="preserve"> את מעמדה המשפטי של פעולה שתיעשה </w:t>
      </w:r>
      <w:r w:rsidRPr="00EB75FE">
        <w:rPr>
          <w:rFonts w:ascii="Times New Roman" w:hAnsi="Times New Roman" w:cs="Miriam" w:hint="cs"/>
          <w:szCs w:val="22"/>
          <w:rtl/>
        </w:rPr>
        <w:t xml:space="preserve">אחרי </w:t>
      </w:r>
      <w:r w:rsidRPr="00EB75FE">
        <w:rPr>
          <w:rFonts w:ascii="Times New Roman" w:hAnsi="Times New Roman" w:hint="cs"/>
          <w:szCs w:val="22"/>
          <w:rtl/>
        </w:rPr>
        <w:t xml:space="preserve">כניסת החיקוק לתוקף. </w:t>
      </w:r>
    </w:p>
    <w:p w:rsidR="00241BC2" w:rsidRPr="00EB75FE" w:rsidRDefault="00241BC2" w:rsidP="00241BC2">
      <w:pPr>
        <w:pStyle w:val="Ruller41"/>
        <w:spacing w:line="240" w:lineRule="auto"/>
        <w:rPr>
          <w:rFonts w:ascii="Times New Roman" w:hAnsi="Times New Roman"/>
          <w:szCs w:val="22"/>
          <w:rtl/>
        </w:rPr>
      </w:pPr>
    </w:p>
    <w:p w:rsidR="00241BC2" w:rsidRPr="00EB75FE" w:rsidRDefault="00241BC2" w:rsidP="00241BC2">
      <w:pPr>
        <w:pStyle w:val="Ruller41"/>
        <w:spacing w:line="240" w:lineRule="auto"/>
        <w:rPr>
          <w:rFonts w:ascii="Times New Roman" w:hAnsi="Times New Roman"/>
          <w:szCs w:val="22"/>
          <w:rtl/>
        </w:rPr>
      </w:pPr>
      <w:r w:rsidRPr="00EB75FE">
        <w:rPr>
          <w:rFonts w:ascii="Times New Roman" w:hAnsi="Times New Roman" w:hint="cs"/>
          <w:szCs w:val="22"/>
          <w:rtl/>
        </w:rPr>
        <w:tab/>
        <w:t xml:space="preserve">להמחשת ההבדל נדמיין את התרחיש הבא: ראובן מעשן סיגריה במקום ציבורי ביום 1.1.2012. באותה שעה לא היה שום איסור על כך. ב-1.2.2012 פורסם חוק שמטיל קנס גבוה על עישון סיגריה במקום ציבורי. אם החוק החדש חל רק על מי שיעשן במקום ציבורי מיום 2.2.2012 ואילך - זהו חוק פרוספקטיבי. אם לעומת זאת ייקבע שמועד תחולת החוק הוא מיום 1.1.2012 ואילך - זהו חוק רטרואקטיבי: הוא משנה את מעמדה המשפטי של פעולת עישון הסיגריה של ראובן, ומטיל עליו קנס. בשונה מאלה, החוק הוא רטרוספקטיבי אם ייקבע שכל מי שעישן מיום 1.1.2012 ועד ליום פרסום החוק - לא עבר עבירה מנהלית או אחרת, אך יחויב להשתתף בסדנה במשרד הבריאות בנושא עישון פאסיבי. החוק לא שינה כלפי עבר את מעמדה המשפטי של פעולת העישון של ראובן - שאיננו עבריין - אך שינה כלפי עתיד את תוצאות הפעולה. במקרה זה, מעמדו הייחודי של החוק הרטרוספקטיבי הוא ניכר לעין: החוק מפרש שראובן לא עבר עבירה וכי התוצאה שבה יהיה עליו לשאת איננה קנס או עונש, וזאת בניגוד לחוק הרטרואקטיבי. בד בבד עדיין ראובן יהיה מחויב בהשלכות מסוימות של הפעולה שביצע בעבר, וזאת בניגוד לחוק פרוספקטיבי. יצוין כי הבחנה זו, בין תחולה רטרוספקטיבית לתחולה רטרואקטיבית, איננה מקובלת על כולי עלמא, אך מצאה יתד בפסיקת בית משפט זה ובחלק משיטות המשפט דוגמת קנדה (עוד על ההגדרות עיינו: </w:t>
      </w:r>
      <w:hyperlink r:id="rId382" w:history="1">
        <w:r w:rsidRPr="00EB75FE">
          <w:rPr>
            <w:rFonts w:ascii="Times New Roman" w:hAnsi="Times New Roman"/>
            <w:color w:val="0000FF"/>
            <w:szCs w:val="22"/>
            <w:u w:val="single"/>
            <w:rtl/>
          </w:rPr>
          <w:t>ע"א 1613/91 ארביב נ' מדינת ישראל, פ"ד מו</w:t>
        </w:r>
      </w:hyperlink>
      <w:r w:rsidRPr="00EB75FE">
        <w:rPr>
          <w:rFonts w:ascii="Times New Roman" w:hAnsi="Times New Roman" w:hint="cs"/>
          <w:szCs w:val="22"/>
          <w:rtl/>
        </w:rPr>
        <w:t xml:space="preserve">(2) 765 (1992); אהרן </w:t>
      </w:r>
      <w:hyperlink r:id="rId383" w:history="1">
        <w:r w:rsidRPr="00EB75FE">
          <w:rPr>
            <w:rFonts w:ascii="Times New Roman" w:hAnsi="Times New Roman"/>
            <w:color w:val="0000FF"/>
            <w:szCs w:val="22"/>
            <w:u w:val="single"/>
            <w:rtl/>
          </w:rPr>
          <w:t>ברק פרשנות במשפט כרך שני</w:t>
        </w:r>
      </w:hyperlink>
      <w:r w:rsidRPr="00EB75FE">
        <w:rPr>
          <w:rFonts w:ascii="Times New Roman" w:hAnsi="Times New Roman" w:hint="cs"/>
          <w:szCs w:val="22"/>
          <w:rtl/>
        </w:rPr>
        <w:t xml:space="preserve"> - פרשנות החקיקה 609-645 (1994); יורם </w:t>
      </w:r>
      <w:hyperlink r:id="rId384" w:history="1">
        <w:r w:rsidRPr="00EB75FE">
          <w:rPr>
            <w:rFonts w:ascii="Times New Roman" w:hAnsi="Times New Roman"/>
            <w:color w:val="0000FF"/>
            <w:szCs w:val="22"/>
            <w:u w:val="single"/>
            <w:rtl/>
          </w:rPr>
          <w:t xml:space="preserve">מרגליות "אפליה בהסדרי החיסכון הפנסיוני </w:t>
        </w:r>
      </w:hyperlink>
      <w:r w:rsidRPr="00EB75FE">
        <w:rPr>
          <w:rFonts w:ascii="Times New Roman" w:hAnsi="Times New Roman" w:hint="cs"/>
          <w:szCs w:val="22"/>
          <w:rtl/>
        </w:rPr>
        <w:t xml:space="preserve"> ופתרונה המוצע" </w:t>
      </w:r>
      <w:r w:rsidRPr="00EB75FE">
        <w:rPr>
          <w:rFonts w:ascii="Times New Roman" w:hAnsi="Times New Roman" w:cs="Miriam" w:hint="cs"/>
          <w:szCs w:val="22"/>
          <w:rtl/>
        </w:rPr>
        <w:t xml:space="preserve">משפטים </w:t>
      </w:r>
      <w:r w:rsidRPr="00EB75FE">
        <w:rPr>
          <w:rFonts w:ascii="Times New Roman" w:hAnsi="Times New Roman" w:hint="cs"/>
          <w:szCs w:val="22"/>
          <w:rtl/>
        </w:rPr>
        <w:t xml:space="preserve">לא 529, 552-556 (2001); יניב רוזנאי "רטרואקטיביות - יותר מאשר 'רק עניין של זמן'!" </w:t>
      </w:r>
      <w:r w:rsidRPr="00EB75FE">
        <w:rPr>
          <w:rFonts w:ascii="Times New Roman" w:hAnsi="Times New Roman" w:cs="Miriam" w:hint="cs"/>
          <w:szCs w:val="22"/>
          <w:rtl/>
        </w:rPr>
        <w:t xml:space="preserve">משפט ועסקים </w:t>
      </w:r>
      <w:r w:rsidRPr="00EB75FE">
        <w:rPr>
          <w:rFonts w:ascii="Times New Roman" w:hAnsi="Times New Roman" w:hint="cs"/>
          <w:szCs w:val="22"/>
          <w:rtl/>
        </w:rPr>
        <w:t xml:space="preserve">ט 395 (2008); </w:t>
      </w:r>
      <w:r w:rsidRPr="00EB75FE">
        <w:rPr>
          <w:rFonts w:ascii="Times New Roman" w:hAnsi="Times New Roman" w:hint="cs"/>
          <w:color w:val="000000"/>
          <w:szCs w:val="22"/>
          <w:rtl/>
        </w:rPr>
        <w:t xml:space="preserve">דפנה ברק-ארז </w:t>
      </w:r>
      <w:r w:rsidRPr="00EB75FE">
        <w:rPr>
          <w:rFonts w:ascii="Times New Roman" w:hAnsi="Times New Roman" w:cs="Miriam" w:hint="cs"/>
          <w:color w:val="000000"/>
          <w:szCs w:val="22"/>
          <w:rtl/>
        </w:rPr>
        <w:t>משפט מינהלי</w:t>
      </w:r>
      <w:r w:rsidRPr="00EB75FE">
        <w:rPr>
          <w:rFonts w:ascii="Times New Roman" w:hAnsi="Times New Roman" w:hint="cs"/>
          <w:color w:val="000000"/>
          <w:szCs w:val="22"/>
          <w:rtl/>
        </w:rPr>
        <w:t xml:space="preserve"> כרך </w:t>
      </w:r>
      <w:r w:rsidRPr="00EB75FE">
        <w:rPr>
          <w:rFonts w:ascii="Times New Roman" w:hAnsi="Times New Roman"/>
          <w:szCs w:val="22"/>
          <w:rtl/>
        </w:rPr>
        <w:t>א 351-35</w:t>
      </w:r>
      <w:r w:rsidRPr="00EB75FE">
        <w:rPr>
          <w:rFonts w:ascii="Times New Roman" w:hAnsi="Times New Roman" w:hint="cs"/>
          <w:color w:val="000000"/>
          <w:szCs w:val="22"/>
          <w:rtl/>
        </w:rPr>
        <w:t>2 (2009))</w:t>
      </w:r>
      <w:r w:rsidRPr="00EB75FE">
        <w:rPr>
          <w:rFonts w:ascii="Times New Roman" w:hAnsi="Times New Roman" w:hint="cs"/>
          <w:szCs w:val="22"/>
          <w:rtl/>
        </w:rPr>
        <w:t xml:space="preserve">. </w:t>
      </w:r>
    </w:p>
    <w:p w:rsidR="00241BC2" w:rsidRPr="00EB75FE" w:rsidRDefault="00241BC2" w:rsidP="00241BC2">
      <w:pPr>
        <w:pStyle w:val="Ruller41"/>
        <w:spacing w:line="240" w:lineRule="auto"/>
        <w:rPr>
          <w:rFonts w:ascii="Times New Roman" w:hAnsi="Times New Roman"/>
          <w:szCs w:val="22"/>
          <w:rtl/>
        </w:rPr>
      </w:pPr>
    </w:p>
    <w:p w:rsidR="00241BC2" w:rsidRPr="00EB75FE" w:rsidRDefault="00241BC2" w:rsidP="00241BC2">
      <w:pPr>
        <w:pStyle w:val="Ruller41"/>
        <w:spacing w:line="240" w:lineRule="auto"/>
        <w:rPr>
          <w:rFonts w:ascii="Times New Roman" w:hAnsi="Times New Roman"/>
          <w:szCs w:val="22"/>
          <w:rtl/>
        </w:rPr>
      </w:pPr>
      <w:r w:rsidRPr="00EB75FE">
        <w:rPr>
          <w:rFonts w:ascii="Times New Roman" w:hAnsi="Times New Roman" w:hint="cs"/>
          <w:szCs w:val="22"/>
          <w:rtl/>
        </w:rPr>
        <w:tab/>
        <w:t xml:space="preserve">סיווג נוסף שעשוי להתאים לענייננו הוא </w:t>
      </w:r>
      <w:r w:rsidRPr="00EB75FE">
        <w:rPr>
          <w:rFonts w:ascii="Times New Roman" w:hAnsi="Times New Roman" w:hint="cs"/>
          <w:szCs w:val="22"/>
          <w:u w:val="single"/>
          <w:rtl/>
        </w:rPr>
        <w:t>חקיקה אקטיבית</w:t>
      </w:r>
      <w:r w:rsidRPr="00EB75FE">
        <w:rPr>
          <w:rFonts w:ascii="Times New Roman" w:hAnsi="Times New Roman" w:hint="cs"/>
          <w:szCs w:val="22"/>
          <w:rtl/>
        </w:rPr>
        <w:t xml:space="preserve">: דבר חקיקה אשר משנה </w:t>
      </w:r>
      <w:r w:rsidRPr="00EB75FE">
        <w:rPr>
          <w:rFonts w:ascii="Times New Roman" w:hAnsi="Times New Roman" w:cs="Miriam" w:hint="cs"/>
          <w:szCs w:val="22"/>
          <w:rtl/>
        </w:rPr>
        <w:t>כלפי עתיד</w:t>
      </w:r>
      <w:r w:rsidRPr="00EB75FE">
        <w:rPr>
          <w:rFonts w:ascii="Times New Roman" w:hAnsi="Times New Roman" w:hint="cs"/>
          <w:szCs w:val="22"/>
          <w:rtl/>
        </w:rPr>
        <w:t xml:space="preserve"> את תוצאותיו המשפטיות של מצב אשר היה כבר קיים ביום כניסת החיקוק לתוקף. כפי שניכר לעין, קיימת קרבה רבה בין חקיקה אקטיבית לחקיקה רטרוספקטיבית. ההבדל בין השניים הוא שחקיקה אקטיבית חלה על </w:t>
      </w:r>
      <w:r w:rsidRPr="00EB75FE">
        <w:rPr>
          <w:rFonts w:ascii="Times New Roman" w:hAnsi="Times New Roman" w:cs="Miriam" w:hint="cs"/>
          <w:szCs w:val="22"/>
          <w:rtl/>
        </w:rPr>
        <w:t xml:space="preserve">מצב </w:t>
      </w:r>
      <w:r w:rsidRPr="00EB75FE">
        <w:rPr>
          <w:rFonts w:ascii="Times New Roman" w:hAnsi="Times New Roman" w:hint="cs"/>
          <w:szCs w:val="22"/>
          <w:rtl/>
        </w:rPr>
        <w:t xml:space="preserve">שקיים בהווה, בעוד שחקיקה רטרוספקטיבית חלה על </w:t>
      </w:r>
      <w:r w:rsidRPr="00EB75FE">
        <w:rPr>
          <w:rFonts w:ascii="Times New Roman" w:hAnsi="Times New Roman" w:cs="Miriam" w:hint="cs"/>
          <w:szCs w:val="22"/>
          <w:rtl/>
        </w:rPr>
        <w:t xml:space="preserve">פעולה </w:t>
      </w:r>
      <w:r w:rsidRPr="00EB75FE">
        <w:rPr>
          <w:rFonts w:ascii="Times New Roman" w:hAnsi="Times New Roman" w:hint="cs"/>
          <w:szCs w:val="22"/>
          <w:rtl/>
        </w:rPr>
        <w:t xml:space="preserve">שהסתיימה בעבר. בדוגמא שהובאה לעיל, נניח שהחוק החדש היה מניח כי השפעה של עישון במקום ציבורי משאירה את אותותיה לתקופה של חודשיים, ומטיל חיוב בהתאם – זוהי חקיקה אקטיבית. כך ניתן להצדיק באופן אחר חובת השתתפות בסדנה למי שעישן במקום ציבורי חודש לפני כניסת החוק לתוקף, כפי שהצגנו בדוגמא. </w:t>
      </w:r>
    </w:p>
    <w:p w:rsidR="00241BC2" w:rsidRPr="00EB75FE" w:rsidRDefault="00241BC2" w:rsidP="00241BC2">
      <w:pPr>
        <w:pStyle w:val="Ruller41"/>
        <w:spacing w:line="240" w:lineRule="auto"/>
        <w:rPr>
          <w:rFonts w:ascii="Times New Roman" w:hAnsi="Times New Roman"/>
          <w:szCs w:val="22"/>
          <w:rtl/>
        </w:rPr>
      </w:pPr>
    </w:p>
    <w:p w:rsidR="00241BC2" w:rsidRPr="00EB75FE" w:rsidRDefault="00241BC2" w:rsidP="00241BC2">
      <w:pPr>
        <w:pStyle w:val="Ruller41"/>
        <w:spacing w:line="240" w:lineRule="auto"/>
        <w:rPr>
          <w:rFonts w:ascii="Times New Roman" w:hAnsi="Times New Roman"/>
          <w:szCs w:val="22"/>
          <w:rtl/>
        </w:rPr>
      </w:pPr>
      <w:r w:rsidRPr="00EB75FE">
        <w:rPr>
          <w:rFonts w:ascii="Times New Roman" w:hAnsi="Times New Roman" w:hint="cs"/>
          <w:szCs w:val="22"/>
          <w:rtl/>
        </w:rPr>
        <w:tab/>
        <w:t xml:space="preserve">בספרו מביא פרופ' ברק דוגמא אחרת, להמחשת ההבדל בין תחולה רטרוספקטיבית לתחולה אקטיבית. ההבדל יהיה תלוי בפרשנות תכליתית של החוק הרלבנטי: </w:t>
      </w:r>
    </w:p>
    <w:p w:rsidR="00241BC2" w:rsidRPr="00EB75FE" w:rsidRDefault="00241BC2" w:rsidP="00241BC2">
      <w:pPr>
        <w:pStyle w:val="Ruller41"/>
        <w:spacing w:line="240" w:lineRule="auto"/>
        <w:ind w:left="567" w:right="567"/>
        <w:rPr>
          <w:rFonts w:ascii="Times New Roman" w:hAnsi="Times New Roman"/>
          <w:szCs w:val="22"/>
          <w:rtl/>
        </w:rPr>
      </w:pPr>
    </w:p>
    <w:p w:rsidR="00241BC2" w:rsidRPr="00EB75FE" w:rsidRDefault="00241BC2" w:rsidP="00241BC2">
      <w:pPr>
        <w:pStyle w:val="Ruller41"/>
        <w:spacing w:line="240" w:lineRule="auto"/>
        <w:ind w:left="567" w:right="567"/>
        <w:rPr>
          <w:rFonts w:ascii="Times New Roman" w:hAnsi="Times New Roman"/>
          <w:szCs w:val="22"/>
          <w:rtl/>
        </w:rPr>
      </w:pPr>
      <w:r w:rsidRPr="00EB75FE">
        <w:rPr>
          <w:rFonts w:ascii="Times New Roman" w:hAnsi="Times New Roman" w:hint="cs"/>
          <w:szCs w:val="22"/>
          <w:rtl/>
        </w:rPr>
        <w:t xml:space="preserve">"טול חוק חדש, הקובע כי מי שהורשע בעבירה אינו יכול לכהן כחבר כנסת. האם הדיבור 'מי שהורשע בעבירה' מצביע על פעולה או על מצב? האם החלת החוק על מי שהורשע בעבירה לפני כניסתו של החוק לתוקף תהווה החלת רטרוספקטיבית של החוק? [...] אם מטרת החוק הינה לקבוע סנקציה נוספת - מעבר לסנקציה הפלילית - על מי שהורשע, הרי הוא מתייחס אל הפעולות שהביאו להרשעה בעבר. החלת החוק החדש על פעולות אלה תהווה החלה רטרוספקטיבית של החוק. לעומת זאת, אם מטרת החוק היא לקיים אמון הציבור בנבחריו ובמוסדותיו, הרי הוא מתייחס אל המצב של 'מורשע'. החלת החוק החדש על מצב שנתקיים לפני חקיקתו והמשיך להתקיים בהווה אינה החלה רטרוספקטיבית שלו" (אהרן </w:t>
      </w:r>
      <w:hyperlink r:id="rId385" w:history="1">
        <w:r w:rsidRPr="00EB75FE">
          <w:rPr>
            <w:rFonts w:ascii="Times New Roman" w:hAnsi="Times New Roman"/>
            <w:color w:val="0000FF"/>
            <w:szCs w:val="22"/>
            <w:u w:val="single"/>
            <w:rtl/>
          </w:rPr>
          <w:t>ברק פרשנות במשפט כרך שני</w:t>
        </w:r>
      </w:hyperlink>
      <w:r w:rsidRPr="00EB75FE">
        <w:rPr>
          <w:rFonts w:hint="cs"/>
          <w:szCs w:val="22"/>
          <w:rtl/>
        </w:rPr>
        <w:t xml:space="preserve"> - פרשנות החקיקה </w:t>
      </w:r>
      <w:r w:rsidRPr="00EB75FE">
        <w:rPr>
          <w:rFonts w:ascii="Times New Roman" w:hAnsi="Times New Roman" w:hint="cs"/>
          <w:szCs w:val="22"/>
          <w:rtl/>
        </w:rPr>
        <w:t>628 (1994)).</w:t>
      </w:r>
    </w:p>
    <w:p w:rsidR="00241BC2" w:rsidRPr="00EB75FE" w:rsidRDefault="00241BC2" w:rsidP="00241BC2">
      <w:pPr>
        <w:pStyle w:val="Ruller41"/>
        <w:spacing w:line="240" w:lineRule="auto"/>
        <w:rPr>
          <w:rFonts w:ascii="Times New Roman" w:hAnsi="Times New Roman"/>
          <w:szCs w:val="22"/>
        </w:rPr>
      </w:pPr>
    </w:p>
    <w:p w:rsidR="00241BC2" w:rsidRPr="00EB75FE" w:rsidRDefault="00241BC2" w:rsidP="0014333E">
      <w:pPr>
        <w:pStyle w:val="Ruller41"/>
        <w:numPr>
          <w:ilvl w:val="0"/>
          <w:numId w:val="33"/>
        </w:numPr>
        <w:spacing w:line="240" w:lineRule="auto"/>
        <w:rPr>
          <w:rFonts w:ascii="Times New Roman" w:hAnsi="Times New Roman"/>
          <w:szCs w:val="22"/>
          <w:rtl/>
        </w:rPr>
      </w:pPr>
      <w:r w:rsidRPr="00EB75FE">
        <w:rPr>
          <w:rFonts w:ascii="Times New Roman" w:hAnsi="Times New Roman" w:hint="cs"/>
          <w:szCs w:val="22"/>
          <w:rtl/>
        </w:rPr>
        <w:t xml:space="preserve">מצוידים בכלים אלו, נשאל מהו המצב במקרה שלפנינו? סעיף 74 לחוק מטיל על איתנית לשאת בעלויות לסילוק פסולת שהיא הטמינה בקרקע או העבירה למשתמשי קצה. מן העבר האחד, אין מדובר בתחולה רטרואקטיבית: הסעיף איננו משנה את העבר, ואיננו קובע שפעולותיה של איתנית היו בגדר עבירה על החוק או שהיא נושאת בגינן בחבות נזיקית. מן העבר האחר גם אין מדובר בתחולה פרוספקטיבית, שהרי מדובר על סילוק פסולת קיימת ולא על פסולת שתגיע לשם בעתיד. השאלה היא האם מדובר בתחולה אקטיבית או רטרוספקטיבית. מצד אחד, ניתן לטעון שזו תחולה אקטיבית: החוק עוסק במצב העכשווי - פסולת מפוזרת שמסכנת את בריאות הציבור. זו עמדת המדינה. לחלופין, ניתן לטעון שזו תחולה רטרוספקטיבית: החוק משנה את התוצאה המשפטית של פעולות ההטמנה והמסירה שביצעה איתנית בעבר, ומטיל על איתנית סנקציה חדשה. זו למעשה עמדת איתנית. </w:t>
      </w:r>
    </w:p>
    <w:p w:rsidR="00241BC2" w:rsidRPr="00EB75FE" w:rsidRDefault="00241BC2" w:rsidP="00241BC2">
      <w:pPr>
        <w:pStyle w:val="Ruller41"/>
        <w:spacing w:line="240" w:lineRule="auto"/>
        <w:rPr>
          <w:rFonts w:ascii="Times New Roman" w:hAnsi="Times New Roman"/>
          <w:szCs w:val="22"/>
          <w:rtl/>
        </w:rPr>
      </w:pPr>
    </w:p>
    <w:p w:rsidR="00241BC2" w:rsidRPr="00EB75FE" w:rsidRDefault="00241BC2" w:rsidP="00241BC2">
      <w:pPr>
        <w:pStyle w:val="Ruller41"/>
        <w:spacing w:line="240" w:lineRule="auto"/>
        <w:rPr>
          <w:rFonts w:ascii="Times New Roman" w:hAnsi="Times New Roman"/>
          <w:szCs w:val="22"/>
          <w:rtl/>
        </w:rPr>
      </w:pPr>
      <w:r w:rsidRPr="00EB75FE">
        <w:rPr>
          <w:rFonts w:ascii="Times New Roman" w:hAnsi="Times New Roman" w:hint="cs"/>
          <w:szCs w:val="22"/>
          <w:rtl/>
        </w:rPr>
        <w:tab/>
        <w:t>הויכוח בין הצדדים איננו תיאורטי לחלוטין, ויש לסיווג התחולה בזמן של סעיף 74 גם השלכות חוקתיות. הסיבה היא שניתן לסדר את ארבעת המצבים העיקריים של התחולה בזמן - פרוספקטיבית, רטרוספקטיבית, אקטיבית ורטרואקטיבית - על "ציר לגיטימיות". ציר זה משקף את האופן שבו אנו מתייחסים אל דבר החקיקה. הנחת היסוד מאחורי "ציר הלגיטימיות" שלנו היא כזו: ככל שהחוק שולח את זרועותיו כלפי העבר באופן מובהק יותר - כך מתעוררים קשיים רבים יותר בדבר הלגיטימיות שלו. לאינטואיציה שמאחורי הציר יש טעמים מרובים: כללי המשחק צריכים להיות ברורים מראש, משיקולי הגינות וצדק, ואין לאפשר למחוקק לשנות אותם בדיעבד. כמו כן, שינוי למפרע של הכללים פוגם באמון הציבור במחוקק, פוגע בתכלית החוק לכוון התנהגות עתידית, ומערער את היציבות ואת הוודאות. ויודגש: אין לשלול חוק באופן אוטומטי רק בשל מקומו על הציר. אולם הצידוק לתחולה בזמן של החוק צריך להיות משכנע יותר (לא כך הוא המצב בחקיקה פלילית - ראו סעיף 3 ל</w:t>
      </w:r>
      <w:hyperlink r:id="rId386" w:history="1">
        <w:r w:rsidRPr="00EB75FE">
          <w:rPr>
            <w:rFonts w:ascii="Times New Roman" w:hAnsi="Times New Roman"/>
            <w:color w:val="0000FF"/>
            <w:szCs w:val="22"/>
            <w:u w:val="single"/>
            <w:rtl/>
          </w:rPr>
          <w:t>חוק העונשין</w:t>
        </w:r>
      </w:hyperlink>
      <w:r w:rsidRPr="00EB75FE">
        <w:rPr>
          <w:rFonts w:ascii="Times New Roman" w:hAnsi="Times New Roman" w:hint="cs"/>
          <w:szCs w:val="22"/>
          <w:rtl/>
        </w:rPr>
        <w:t>, התשל"ז-1977; מצב דומה שורר בקנדה [</w:t>
      </w:r>
      <w:r w:rsidRPr="00EB75FE">
        <w:rPr>
          <w:rFonts w:ascii="Times New Roman" w:hAnsi="Times New Roman"/>
          <w:smallCaps/>
          <w:szCs w:val="22"/>
        </w:rPr>
        <w:t>Canadian Charter of Rights and Freedoms</w:t>
      </w:r>
      <w:r w:rsidRPr="00EB75FE">
        <w:rPr>
          <w:rFonts w:ascii="Times New Roman" w:hAnsi="Times New Roman"/>
          <w:szCs w:val="22"/>
        </w:rPr>
        <w:t>, §11(g)</w:t>
      </w:r>
      <w:r w:rsidRPr="00EB75FE">
        <w:rPr>
          <w:rFonts w:ascii="Times New Roman" w:hAnsi="Times New Roman" w:hint="cs"/>
          <w:szCs w:val="22"/>
          <w:rtl/>
        </w:rPr>
        <w:t>], בהודו [</w:t>
      </w:r>
      <w:r w:rsidRPr="00EB75FE">
        <w:rPr>
          <w:rFonts w:ascii="Times New Roman" w:hAnsi="Times New Roman"/>
          <w:smallCaps/>
          <w:szCs w:val="22"/>
        </w:rPr>
        <w:t>Constitution of India</w:t>
      </w:r>
      <w:r w:rsidRPr="00EB75FE">
        <w:rPr>
          <w:rFonts w:ascii="Times New Roman" w:hAnsi="Times New Roman"/>
          <w:szCs w:val="22"/>
        </w:rPr>
        <w:t>, §20(1)</w:t>
      </w:r>
      <w:r w:rsidRPr="00EB75FE">
        <w:rPr>
          <w:rFonts w:ascii="Times New Roman" w:hAnsi="Times New Roman" w:hint="cs"/>
          <w:szCs w:val="22"/>
          <w:rtl/>
        </w:rPr>
        <w:t>], בדרום אפריקה [</w:t>
      </w:r>
      <w:r w:rsidRPr="00EB75FE">
        <w:rPr>
          <w:rFonts w:ascii="Times New Roman" w:hAnsi="Times New Roman"/>
          <w:smallCaps/>
          <w:szCs w:val="22"/>
        </w:rPr>
        <w:t>Constitution of South Africa</w:t>
      </w:r>
      <w:r w:rsidRPr="00EB75FE">
        <w:rPr>
          <w:rFonts w:ascii="Times New Roman" w:hAnsi="Times New Roman"/>
          <w:szCs w:val="22"/>
        </w:rPr>
        <w:t xml:space="preserve">, </w:t>
      </w:r>
      <w:r w:rsidRPr="00EB75FE">
        <w:rPr>
          <w:rFonts w:ascii="Times New Roman" w:hAnsi="Times New Roman"/>
          <w:smallCaps/>
          <w:szCs w:val="22"/>
        </w:rPr>
        <w:t>Chapter 2 - Bill of Rights</w:t>
      </w:r>
      <w:r w:rsidRPr="00EB75FE">
        <w:rPr>
          <w:rFonts w:ascii="Times New Roman" w:hAnsi="Times New Roman"/>
          <w:szCs w:val="22"/>
        </w:rPr>
        <w:t>, §35(3)(l)</w:t>
      </w:r>
      <w:r w:rsidRPr="00EB75FE">
        <w:rPr>
          <w:rFonts w:ascii="Times New Roman" w:hAnsi="Times New Roman" w:hint="cs"/>
          <w:szCs w:val="22"/>
          <w:rtl/>
        </w:rPr>
        <w:t>] ובנורווגיה [</w:t>
      </w:r>
      <w:r w:rsidRPr="00EB75FE">
        <w:rPr>
          <w:rFonts w:ascii="Times New Roman" w:hAnsi="Times New Roman"/>
          <w:smallCaps/>
          <w:szCs w:val="22"/>
        </w:rPr>
        <w:t>Kongeriket Norges Grunnlov</w:t>
      </w:r>
      <w:r w:rsidRPr="00EB75FE">
        <w:rPr>
          <w:rFonts w:ascii="Times New Roman" w:hAnsi="Times New Roman"/>
          <w:szCs w:val="22"/>
        </w:rPr>
        <w:t>, §97</w:t>
      </w:r>
      <w:r w:rsidRPr="00EB75FE">
        <w:rPr>
          <w:rFonts w:ascii="Times New Roman" w:hAnsi="Times New Roman" w:hint="cs"/>
          <w:szCs w:val="22"/>
          <w:rtl/>
        </w:rPr>
        <w:t xml:space="preserve">]). </w:t>
      </w:r>
    </w:p>
    <w:p w:rsidR="00241BC2" w:rsidRPr="00EB75FE" w:rsidRDefault="00241BC2" w:rsidP="00241BC2">
      <w:pPr>
        <w:pStyle w:val="Ruller41"/>
        <w:spacing w:line="240" w:lineRule="auto"/>
        <w:rPr>
          <w:rFonts w:ascii="Times New Roman" w:hAnsi="Times New Roman"/>
          <w:szCs w:val="22"/>
          <w:rtl/>
        </w:rPr>
      </w:pPr>
    </w:p>
    <w:p w:rsidR="00241BC2" w:rsidRPr="00EB75FE" w:rsidRDefault="00241BC2" w:rsidP="00241BC2">
      <w:pPr>
        <w:pStyle w:val="Ruller41"/>
        <w:spacing w:line="240" w:lineRule="auto"/>
        <w:rPr>
          <w:rFonts w:ascii="Times New Roman" w:hAnsi="Times New Roman"/>
          <w:szCs w:val="22"/>
          <w:rtl/>
        </w:rPr>
      </w:pPr>
      <w:r w:rsidRPr="00EB75FE">
        <w:rPr>
          <w:rFonts w:ascii="Times New Roman" w:hAnsi="Times New Roman" w:hint="cs"/>
          <w:szCs w:val="22"/>
          <w:rtl/>
        </w:rPr>
        <w:tab/>
        <w:t xml:space="preserve">בקצה אחד של "ציר הלגיטימיות" נמצאת תחולה פרוספקטיבית. זו התחולה ה"מקובלת" ביותר, שכן היא איננה משפיעה כלל על פעולות או מצבים שמקורם בעבר. בקצה השני של הציר נמצאת תחולה רטרואקטיבית. זו התחולה הקשה ביותר לעיכול, שכן היא שומטת את הקרקע מתחת לפעולות שכבר הסתיימו ומשנה בדיעבד את הגדרתן המשפטית. בתווך מצויה התחולה הרטרוספקטיבית, אשר משפיעה רק על תוצאותיהן של פעולות שהסתיימו בעבר. התחולה האקטיבית מצויה בין התחולה הרטרוספקטיבית לבין התחולה הפרוספקטיבית, מכיוון שהיא חלה על מצב שאמנם שורשיו מצויים בעבר אך הוא נמשך גם בהווה. לכן, במובן מסוים, היא יותר "מקובלת" וסבירה מאשר תחולה רטרוספקטיבית, שכל כולה נוגעת לפעולות שהסתיימו כבר בעבר. מכאן חשיבותה היחסית של השאלה שניצבת לפנינו, ביחס לסיווג התחולה של סעיף 74: רטרוספקטיבית, או אקטיבית. </w:t>
      </w:r>
    </w:p>
    <w:p w:rsidR="00241BC2" w:rsidRPr="00EB75FE" w:rsidRDefault="00241BC2" w:rsidP="00241BC2">
      <w:pPr>
        <w:pStyle w:val="Ruller41"/>
        <w:spacing w:line="240" w:lineRule="auto"/>
        <w:rPr>
          <w:rFonts w:ascii="Times New Roman" w:hAnsi="Times New Roman"/>
          <w:szCs w:val="22"/>
          <w:rtl/>
        </w:rPr>
      </w:pPr>
      <w:r w:rsidRPr="00EB75FE">
        <w:rPr>
          <w:rFonts w:ascii="Times New Roman" w:hAnsi="Times New Roman" w:hint="cs"/>
          <w:szCs w:val="22"/>
          <w:rtl/>
        </w:rPr>
        <w:tab/>
      </w:r>
      <w:r w:rsidRPr="00EB75FE">
        <w:rPr>
          <w:rFonts w:ascii="Times New Roman" w:hAnsi="Times New Roman" w:hint="cs"/>
          <w:szCs w:val="22"/>
          <w:rtl/>
        </w:rPr>
        <w:tab/>
      </w:r>
    </w:p>
    <w:p w:rsidR="00241BC2" w:rsidRPr="00EB75FE" w:rsidRDefault="00241BC2" w:rsidP="00241BC2">
      <w:pPr>
        <w:pStyle w:val="Ruller41"/>
        <w:spacing w:line="240" w:lineRule="auto"/>
        <w:rPr>
          <w:rFonts w:ascii="Times New Roman" w:hAnsi="Times New Roman"/>
          <w:szCs w:val="22"/>
          <w:rtl/>
        </w:rPr>
      </w:pPr>
      <w:r w:rsidRPr="00EB75FE">
        <w:rPr>
          <w:rFonts w:ascii="Times New Roman" w:hAnsi="Times New Roman" w:hint="cs"/>
          <w:szCs w:val="22"/>
          <w:rtl/>
        </w:rPr>
        <w:tab/>
        <w:t xml:space="preserve">התחבטתי לא מעט בשאלה זו. נכון הוא שהחוק חל על מצב דברים קיים. עסקינן בסילוק פסולת שכבר מוטמנת בקרקע, או שמשמשת לחיפוי קרקע בצורות שונות (כבישים סלולים וכדומה). במובן זה החוק הוא בעל תחולה אקטיבית. אולם דומני כי שיבוץ סעיף 74 בקטגוריה של תחולה אקטיבית מחמיץ את העיקר. יש לזכור כי אין מדובר במקרה שבו רק חלק מן היסודות העובדתיים התגבשו בעבר. במקרה שלפנינו, כל היסודות העובדתיים של המצב הנוכחי התגבשו במלואם בעבר: הפסולת כבר הוטמנה או הונחה כחיפוי. במקרה כגון דא, קיים ספק בעיניי אם זו אכן תחולה אקטיבית במובנה הסטנדרטי (השוו: </w:t>
      </w:r>
      <w:hyperlink r:id="rId387" w:history="1">
        <w:r w:rsidRPr="00EB75FE">
          <w:rPr>
            <w:rFonts w:ascii="Times New Roman" w:hAnsi="Times New Roman"/>
            <w:color w:val="0000FF"/>
            <w:szCs w:val="22"/>
            <w:u w:val="single"/>
            <w:rtl/>
          </w:rPr>
          <w:t>ע"א 6066/97 עיריית תל-אביב יפו נ' אבן אור, פ"ד נד</w:t>
        </w:r>
      </w:hyperlink>
      <w:r w:rsidRPr="00EB75FE">
        <w:rPr>
          <w:rFonts w:ascii="Times New Roman" w:hAnsi="Times New Roman" w:hint="cs"/>
          <w:szCs w:val="22"/>
          <w:rtl/>
        </w:rPr>
        <w:t xml:space="preserve">(3) 749, 755 (2000)). יתירה מזאת: סעיף 74 איננו מופנה כלל כלפי עתיד. ניקח לשם השוואה את הדוגמא שהבאתי לעיל מפי פרופ' ברק, בעניין החוק החדש שקובע כי מי שהורשע בעבירה לא יכהן כחבר כנסת. חוק היפותטי כזה בחלקו צופה פני עבר - אנשים שכבר הורשעו בעבירה, ובחלקו צופה פני עתיד - אנשים שיורשעו בעתיד בעבירה. ברם סעיף 74 בו עסקינן איננו צופה כלל פני עתיד. הוא עוסק בפסולת אסבסט שהוטמנה בעבר הרחוק או הקרוב על ידי איתנית. הסעיף איננו מטפל, ואף איננו מתיימר לטפל, בהטמנת פסולת אסבסט מכאן ואילך. בכך עוסקים יתר חלקיו של חוק האסבסט, אך לא סעיף 74 דידן. ייתכן שיש לפנינו, אפוא, מעין קטגוריה בפני עצמה, אקטיביות במובן הצר. אם להשתמש ב"ציר הלגיטימיות" שהוצג לעיל, דומני כי סעיף 74 והקטגוריה של אקטיביות במובן הצר קרובים יותר לנקודת הלגיטימיות של התחולה הרטרוספקטיבית, מאשר לנקודה של התחולה האקטיבית. כך או כך, האפשרות המסתברת לפיה סעיף 74 איננו חוק רטרואקטיבי מובהק, מחלישה את הפגיעה הנטענת בזכותה הקניינית של איתנית. </w:t>
      </w:r>
    </w:p>
    <w:p w:rsidR="00241BC2" w:rsidRPr="00EB75FE" w:rsidRDefault="00241BC2" w:rsidP="00241BC2">
      <w:pPr>
        <w:pStyle w:val="Ruller41"/>
        <w:spacing w:line="240" w:lineRule="auto"/>
        <w:rPr>
          <w:rFonts w:ascii="Times New Roman" w:hAnsi="Times New Roman"/>
          <w:szCs w:val="22"/>
          <w:rtl/>
        </w:rPr>
      </w:pPr>
    </w:p>
    <w:p w:rsidR="00241BC2" w:rsidRPr="00EB75FE" w:rsidRDefault="00241BC2" w:rsidP="00241BC2">
      <w:pPr>
        <w:pStyle w:val="Ruller41"/>
        <w:spacing w:line="240" w:lineRule="auto"/>
        <w:rPr>
          <w:rFonts w:ascii="Times New Roman" w:hAnsi="Times New Roman"/>
          <w:szCs w:val="22"/>
          <w:rtl/>
        </w:rPr>
      </w:pPr>
      <w:r w:rsidRPr="00EB75FE">
        <w:rPr>
          <w:rFonts w:ascii="Times New Roman" w:hAnsi="Times New Roman" w:hint="cs"/>
          <w:szCs w:val="22"/>
          <w:rtl/>
        </w:rPr>
        <w:tab/>
        <w:t xml:space="preserve">ברם, מבלי להכריע בנקודה עקרונית זו של סיווג תחולת החוק, יש לזכור כאמור לעיל כי אפילו אם מדובר היה בחוק רטרואקטיבי לעילא - וכך ודאי לא המצב כאן - אין פירושו של דבר שהוא נפסל אוטומטית. עדיין שומה עלינו לבחון את מכלול השיקולים הנוגעים לחוק, בהתאם לתנאי פסקת ההגבלה, לרבות תכלית החוק, תועלתו והפגיעה שהוא מסב לזכויות מוגנות (השוו: </w:t>
      </w:r>
      <w:hyperlink r:id="rId388" w:history="1">
        <w:r w:rsidRPr="00EB75FE">
          <w:rPr>
            <w:rFonts w:ascii="Times New Roman" w:hAnsi="Times New Roman"/>
            <w:color w:val="0000FF"/>
            <w:szCs w:val="22"/>
            <w:u w:val="single"/>
            <w:rtl/>
          </w:rPr>
          <w:t>בג"ץ 1149/95 ארקו תעשיות חשמל בע"מ נ' ראש עירית ראשון לציון, פ"ד נד</w:t>
        </w:r>
      </w:hyperlink>
      <w:r w:rsidRPr="00EB75FE">
        <w:rPr>
          <w:rFonts w:ascii="Times New Roman" w:hAnsi="Times New Roman" w:hint="cs"/>
          <w:szCs w:val="22"/>
          <w:rtl/>
        </w:rPr>
        <w:t xml:space="preserve">(5) 547, פסקה 10 לפסק דינה של השופטת שטרסברג-כהן (2000); </w:t>
      </w:r>
      <w:hyperlink r:id="rId389" w:history="1">
        <w:r w:rsidRPr="00EB75FE">
          <w:rPr>
            <w:rFonts w:ascii="Times New Roman" w:hAnsi="Times New Roman"/>
            <w:color w:val="0000FF"/>
            <w:szCs w:val="22"/>
            <w:u w:val="single"/>
            <w:rtl/>
          </w:rPr>
          <w:t>בג"ץ 4562/92 זנדברג נ' רשות השידור, פ"ד נ</w:t>
        </w:r>
      </w:hyperlink>
      <w:r w:rsidRPr="00EB75FE">
        <w:rPr>
          <w:rFonts w:ascii="Times New Roman" w:hAnsi="Times New Roman" w:hint="cs"/>
          <w:szCs w:val="22"/>
          <w:rtl/>
        </w:rPr>
        <w:t xml:space="preserve">(2) 793, פסקה 33 (1996)). במילים אחרות, הניתוח שערכתי עד כה בשאלת התחולה בזמן - הוא בבחינת שיקול נוסף במאזן התועלת מול הנזק. ודוק: שיקול נוסף, אך לא שיקול מכריע. </w:t>
      </w:r>
    </w:p>
    <w:p w:rsidR="00241BC2" w:rsidRPr="00EB75FE" w:rsidRDefault="00241BC2" w:rsidP="00241BC2">
      <w:pPr>
        <w:pStyle w:val="Ruller41"/>
        <w:spacing w:line="240" w:lineRule="auto"/>
        <w:rPr>
          <w:rFonts w:ascii="Times New Roman" w:hAnsi="Times New Roman"/>
          <w:szCs w:val="22"/>
          <w:rtl/>
        </w:rPr>
      </w:pPr>
    </w:p>
    <w:p w:rsidR="00241BC2" w:rsidRPr="00EB75FE" w:rsidRDefault="00241BC2" w:rsidP="00241BC2">
      <w:pPr>
        <w:pStyle w:val="Ruller41"/>
        <w:spacing w:line="240" w:lineRule="auto"/>
        <w:rPr>
          <w:rFonts w:ascii="Times New Roman" w:hAnsi="Times New Roman"/>
          <w:szCs w:val="22"/>
          <w:rtl/>
        </w:rPr>
      </w:pPr>
      <w:r w:rsidRPr="00EB75FE">
        <w:rPr>
          <w:rFonts w:ascii="Times New Roman" w:hAnsi="Times New Roman" w:hint="cs"/>
          <w:szCs w:val="22"/>
          <w:rtl/>
        </w:rPr>
        <w:tab/>
        <w:t xml:space="preserve">להשקפתי, במאזן התועלת מול הפגיעה בזכות, ישנם שלושה שיקולים אשר תומכים בצד הראשון ומשמשים כמשקל-נגד לפגיעה הנגרמת מתחולתו הרטרואקטיבית של החוק. כאמור, אינני סבור שמדובר בתחולה "רטרואקטיבית" </w:t>
      </w:r>
      <w:r w:rsidRPr="00EB75FE">
        <w:rPr>
          <w:rFonts w:ascii="Times New Roman" w:hAnsi="Times New Roman"/>
          <w:i/>
          <w:iCs/>
          <w:szCs w:val="22"/>
        </w:rPr>
        <w:t>per se</w:t>
      </w:r>
      <w:r w:rsidRPr="00EB75FE">
        <w:rPr>
          <w:rFonts w:ascii="Times New Roman" w:hAnsi="Times New Roman" w:hint="cs"/>
          <w:szCs w:val="22"/>
          <w:rtl/>
        </w:rPr>
        <w:t xml:space="preserve">, אך לשם הנוחות אכנה אותה כך בקיצור. כמובן שאין זה רק עניין של נוחות: סעיף 74, על מבנהו המיוחד שתואר, מעלה מעין ניחוח של חוק רטרואקטיבי, אף אם אין לקטלג אותו בתור שכזה. </w:t>
      </w:r>
    </w:p>
    <w:p w:rsidR="00241BC2" w:rsidRPr="00EB75FE" w:rsidRDefault="00241BC2" w:rsidP="00241BC2">
      <w:pPr>
        <w:pStyle w:val="Ruller41"/>
        <w:spacing w:line="240" w:lineRule="auto"/>
        <w:rPr>
          <w:rFonts w:ascii="Times New Roman" w:hAnsi="Times New Roman"/>
          <w:szCs w:val="22"/>
          <w:rtl/>
        </w:rPr>
      </w:pPr>
    </w:p>
    <w:p w:rsidR="00241BC2" w:rsidRPr="00EB75FE" w:rsidRDefault="00241BC2" w:rsidP="00241BC2">
      <w:pPr>
        <w:pStyle w:val="Ruller41"/>
        <w:spacing w:line="240" w:lineRule="auto"/>
        <w:rPr>
          <w:rFonts w:ascii="Times New Roman" w:hAnsi="Times New Roman"/>
          <w:szCs w:val="22"/>
          <w:rtl/>
        </w:rPr>
      </w:pPr>
      <w:r w:rsidRPr="00EB75FE">
        <w:rPr>
          <w:rFonts w:ascii="Times New Roman" w:hAnsi="Times New Roman" w:hint="cs"/>
          <w:szCs w:val="22"/>
          <w:rtl/>
        </w:rPr>
        <w:tab/>
        <w:t>באשר לשיקול הראשון, עמדתי לעיל על אלמנט הצפיוּת שמאפיין במידה מסוימת את התנהגותה של איתנית. לכך יש השלכה לא רק על שאלת האחריות החמורה, אלא גם על שאלת הרטרואקטיביות. בתי המשפט בארצות הברית, כפי שהוסבר, פירשו את חוק ה-</w:t>
      </w:r>
      <w:r w:rsidRPr="00EB75FE">
        <w:rPr>
          <w:rFonts w:ascii="Times New Roman" w:hAnsi="Times New Roman"/>
          <w:szCs w:val="22"/>
        </w:rPr>
        <w:t>CERCLA</w:t>
      </w:r>
      <w:r w:rsidRPr="00EB75FE">
        <w:rPr>
          <w:rFonts w:ascii="Times New Roman" w:hAnsi="Times New Roman" w:hint="cs"/>
          <w:szCs w:val="22"/>
          <w:rtl/>
        </w:rPr>
        <w:t xml:space="preserve"> כבעל תחולה רטרואקטיבית. זאת על אף שהדבר איננו מצוין במפורש בלשון החוק, וקיימת בשיטה האמריקאית חזקה הניתנת לסתירה נגד תחולה רטרואקטיבית. אחד מן הטעמים לפרשנות זו התקשר ליסוד הצפיוּת: </w:t>
      </w:r>
    </w:p>
    <w:p w:rsidR="00241BC2" w:rsidRPr="00EB75FE" w:rsidRDefault="00241BC2" w:rsidP="00241BC2">
      <w:pPr>
        <w:pStyle w:val="Ruller41"/>
        <w:spacing w:line="240" w:lineRule="auto"/>
        <w:rPr>
          <w:rFonts w:ascii="Times New Roman" w:hAnsi="Times New Roman"/>
          <w:szCs w:val="22"/>
          <w:rtl/>
        </w:rPr>
      </w:pPr>
    </w:p>
    <w:p w:rsidR="00241BC2" w:rsidRPr="00EB75FE" w:rsidRDefault="00241BC2" w:rsidP="00241BC2">
      <w:pPr>
        <w:pStyle w:val="Ruller41"/>
        <w:bidi w:val="0"/>
        <w:spacing w:line="240" w:lineRule="auto"/>
        <w:ind w:left="567" w:right="567"/>
        <w:rPr>
          <w:rFonts w:ascii="Times New Roman" w:hAnsi="Times New Roman"/>
          <w:szCs w:val="22"/>
          <w:rtl/>
        </w:rPr>
      </w:pPr>
      <w:r w:rsidRPr="00EB75FE">
        <w:rPr>
          <w:rFonts w:ascii="Times New Roman" w:hAnsi="Times New Roman"/>
          <w:szCs w:val="22"/>
        </w:rPr>
        <w:t>"While the generator defendants profited from inexpensive waste disposal method that may have been technically 'legal' prior to CERCLA’s enactment… it was certainly foreseeable at the time that improper disposal could cause enormous damage to the environment" (</w:t>
      </w:r>
      <w:smartTag w:uri="urn:schemas-microsoft-com:office:smarttags" w:element="place">
        <w:smartTag w:uri="urn:schemas-microsoft-com:office:smarttags" w:element="country-region">
          <w:r w:rsidRPr="00EB75FE">
            <w:rPr>
              <w:rFonts w:ascii="Times New Roman" w:hAnsi="Times New Roman"/>
              <w:i/>
              <w:szCs w:val="22"/>
            </w:rPr>
            <w:t>U.S.</w:t>
          </w:r>
        </w:smartTag>
      </w:smartTag>
      <w:r w:rsidRPr="00EB75FE">
        <w:rPr>
          <w:rFonts w:ascii="Times New Roman" w:hAnsi="Times New Roman"/>
          <w:i/>
          <w:szCs w:val="22"/>
        </w:rPr>
        <w:t xml:space="preserve"> v. Monsanto Co.</w:t>
      </w:r>
      <w:r w:rsidRPr="00EB75FE">
        <w:rPr>
          <w:rFonts w:ascii="Times New Roman" w:hAnsi="Times New Roman"/>
          <w:szCs w:val="22"/>
        </w:rPr>
        <w:t xml:space="preserve">, </w:t>
      </w:r>
      <w:smartTag w:uri="urn:schemas-microsoft-com:office:smarttags" w:element="metricconverter">
        <w:smartTagPr>
          <w:attr w:name="ProductID" w:val="858 F"/>
        </w:smartTagPr>
        <w:r w:rsidRPr="00EB75FE">
          <w:rPr>
            <w:rFonts w:ascii="Times New Roman" w:hAnsi="Times New Roman"/>
            <w:szCs w:val="22"/>
          </w:rPr>
          <w:t>858 F</w:t>
        </w:r>
      </w:smartTag>
      <w:r w:rsidRPr="00EB75FE">
        <w:rPr>
          <w:rFonts w:ascii="Times New Roman" w:hAnsi="Times New Roman"/>
          <w:szCs w:val="22"/>
        </w:rPr>
        <w:t>.2d 160, 174 (4</w:t>
      </w:r>
      <w:r w:rsidRPr="00EB75FE">
        <w:rPr>
          <w:rFonts w:ascii="Times New Roman" w:hAnsi="Times New Roman"/>
          <w:szCs w:val="22"/>
          <w:vertAlign w:val="superscript"/>
        </w:rPr>
        <w:t>th</w:t>
      </w:r>
      <w:r w:rsidRPr="00EB75FE">
        <w:rPr>
          <w:rFonts w:ascii="Times New Roman" w:hAnsi="Times New Roman"/>
          <w:szCs w:val="22"/>
        </w:rPr>
        <w:t xml:space="preserve"> Cir. 1988)). </w:t>
      </w:r>
    </w:p>
    <w:p w:rsidR="00241BC2" w:rsidRPr="00EB75FE" w:rsidRDefault="00241BC2" w:rsidP="00241BC2">
      <w:pPr>
        <w:pStyle w:val="Ruller41"/>
        <w:spacing w:line="240" w:lineRule="auto"/>
        <w:rPr>
          <w:rFonts w:ascii="Times New Roman" w:hAnsi="Times New Roman"/>
          <w:szCs w:val="22"/>
        </w:rPr>
      </w:pPr>
    </w:p>
    <w:p w:rsidR="00241BC2" w:rsidRPr="00EB75FE" w:rsidRDefault="00241BC2" w:rsidP="00241BC2">
      <w:pPr>
        <w:pStyle w:val="Ruller41"/>
        <w:spacing w:line="240" w:lineRule="auto"/>
        <w:rPr>
          <w:rFonts w:ascii="Times New Roman" w:hAnsi="Times New Roman"/>
          <w:szCs w:val="22"/>
          <w:rtl/>
        </w:rPr>
      </w:pPr>
      <w:r w:rsidRPr="00EB75FE">
        <w:rPr>
          <w:rFonts w:ascii="Times New Roman" w:hAnsi="Times New Roman" w:hint="cs"/>
          <w:szCs w:val="22"/>
          <w:rtl/>
        </w:rPr>
        <w:t xml:space="preserve">כלומר, נכון הוא שהפעולות לסילוק הפסולת היו מותרות בשעת ביצוען מבחינה הדין הפורמאלי, אך בד בבד ניתן היה לצפות כבר באותה עת שהן יסבו נזק חמור לבריאות התושבים ולסביבה. במילים אחרות, צפיוּת או ידיעה בדבר הנזק מהווה צידוק מסוים להטלת אחריות "רטרואקטיבית". קו חשיבה דומה מצינו בהולנד, כפי שהסברתי לעיל: בית המשפט העליון ההולנדי קבע שהחוק משנת 1982 חל רטרואקטיבית מ-1 בינואר 1975 והלאה. הטעם לבחירה בתאריך זה דווקא הוא משום שממנו והלאה - כל מזהם היה צריך להיות מודע לכך שהוא צפוי לשאת באחריות בגין מעשיו. הנה כי כן, צפיוּת או ידיעה של הנזק - לא במובן הנזיקי או הפלילי, אלא לצורך הבחינה החוקתית - עשויות להצדיק תחולה "רטרואקטיבית". </w:t>
      </w:r>
    </w:p>
    <w:p w:rsidR="00241BC2" w:rsidRPr="00EB75FE" w:rsidRDefault="00241BC2" w:rsidP="00241BC2">
      <w:pPr>
        <w:pStyle w:val="Ruller41"/>
        <w:spacing w:line="240" w:lineRule="auto"/>
        <w:rPr>
          <w:rFonts w:ascii="Times New Roman" w:hAnsi="Times New Roman"/>
          <w:szCs w:val="22"/>
          <w:rtl/>
        </w:rPr>
      </w:pPr>
    </w:p>
    <w:p w:rsidR="00241BC2" w:rsidRPr="00EB75FE" w:rsidRDefault="00241BC2" w:rsidP="00241BC2">
      <w:pPr>
        <w:pStyle w:val="Ruller41"/>
        <w:spacing w:line="240" w:lineRule="auto"/>
        <w:rPr>
          <w:rFonts w:ascii="Times New Roman" w:hAnsi="Times New Roman"/>
          <w:szCs w:val="22"/>
          <w:rtl/>
        </w:rPr>
      </w:pPr>
      <w:r w:rsidRPr="00EB75FE">
        <w:rPr>
          <w:rFonts w:ascii="Times New Roman" w:hAnsi="Times New Roman" w:hint="cs"/>
          <w:szCs w:val="22"/>
          <w:rtl/>
        </w:rPr>
        <w:tab/>
        <w:t xml:space="preserve">לכך מצטרף שיקול שני: הסיכון הרב לציבור. סיכון זה איננו פוחת עם הזמן, והוא מחייב טיפול. יש בכך לחזק את התועלת הציבורית בחקיקת סעיף 74, גם אם הוא נושא בחובו אלמנטים מעין-רטרואקטיביים. העדר טיפול בסיכון האסבסט - כמוהו כחשיפת האזרחים לפצצה בריאותית מתקתקת. אין תימה אפוא שהמחוקק מחפש לכך פיתרון. צו השעה הוא לסלק את פסולת האסבסט. העדר טיפול איננו אופציה – "לא תוכל להתעלם" (דברים כב, ג). כך או כך, האחריות על מפגע האסבסט שכבר נוצר תהיה מעין-רטרואקטיבית. לפיכך, השאלה איננה </w:t>
      </w:r>
      <w:r w:rsidRPr="00EB75FE">
        <w:rPr>
          <w:rFonts w:ascii="Times New Roman" w:hAnsi="Times New Roman" w:cs="Miriam" w:hint="cs"/>
          <w:szCs w:val="22"/>
          <w:rtl/>
        </w:rPr>
        <w:t>האם</w:t>
      </w:r>
      <w:r w:rsidRPr="00EB75FE">
        <w:rPr>
          <w:rFonts w:ascii="Times New Roman" w:hAnsi="Times New Roman" w:hint="cs"/>
          <w:szCs w:val="22"/>
          <w:rtl/>
        </w:rPr>
        <w:t xml:space="preserve"> </w:t>
      </w:r>
      <w:r w:rsidRPr="00EB75FE">
        <w:rPr>
          <w:rFonts w:ascii="Times New Roman" w:hAnsi="Times New Roman" w:cs="Miriam" w:hint="cs"/>
          <w:szCs w:val="22"/>
          <w:rtl/>
        </w:rPr>
        <w:t xml:space="preserve">להטיל </w:t>
      </w:r>
      <w:r w:rsidRPr="00EB75FE">
        <w:rPr>
          <w:rFonts w:ascii="Times New Roman" w:hAnsi="Times New Roman" w:hint="cs"/>
          <w:szCs w:val="22"/>
          <w:rtl/>
        </w:rPr>
        <w:t xml:space="preserve">אחריות רטרואקטיבית, אלא </w:t>
      </w:r>
      <w:r w:rsidRPr="00EB75FE">
        <w:rPr>
          <w:rFonts w:ascii="Times New Roman" w:hAnsi="Times New Roman" w:cs="Miriam" w:hint="cs"/>
          <w:szCs w:val="22"/>
          <w:rtl/>
        </w:rPr>
        <w:t xml:space="preserve">על מי להטיל </w:t>
      </w:r>
      <w:r w:rsidRPr="00EB75FE">
        <w:rPr>
          <w:rFonts w:ascii="Times New Roman" w:hAnsi="Times New Roman" w:hint="cs"/>
          <w:szCs w:val="22"/>
          <w:rtl/>
        </w:rPr>
        <w:t xml:space="preserve">(לרבות האפשרות של פיזור העלות בין הגורמים השונים). הוצגה הגישה לפיה בבחירה בין הטלת החיוב הכספי על החברה המזהמת, לבין הטלת החיוב על הציבור הרחב - מטעמי צדק יש מקום להעדיף את האפשרות הראשונה. ודוק: הפיתרון של המחוקק הישראלי, במסגרת סעיף 74, מעוצב באופן שלכל היותר מחצית מההוצאות תוטל על איתנית. </w:t>
      </w:r>
    </w:p>
    <w:p w:rsidR="00241BC2" w:rsidRPr="00EB75FE" w:rsidRDefault="00241BC2" w:rsidP="00241BC2">
      <w:pPr>
        <w:pStyle w:val="Ruller41"/>
        <w:spacing w:line="240" w:lineRule="auto"/>
        <w:rPr>
          <w:rFonts w:ascii="Times New Roman" w:hAnsi="Times New Roman"/>
          <w:szCs w:val="22"/>
          <w:rtl/>
        </w:rPr>
      </w:pPr>
    </w:p>
    <w:p w:rsidR="00241BC2" w:rsidRPr="002572F0" w:rsidRDefault="00241BC2" w:rsidP="00241BC2">
      <w:pPr>
        <w:pStyle w:val="Ruller41"/>
        <w:spacing w:line="240" w:lineRule="auto"/>
        <w:rPr>
          <w:rFonts w:ascii="Times New Roman" w:hAnsi="Times New Roman"/>
          <w:szCs w:val="22"/>
          <w:rtl/>
        </w:rPr>
      </w:pPr>
      <w:r w:rsidRPr="00EB75FE">
        <w:rPr>
          <w:rFonts w:ascii="Times New Roman" w:hAnsi="Times New Roman" w:hint="cs"/>
          <w:szCs w:val="22"/>
          <w:rtl/>
        </w:rPr>
        <w:tab/>
        <w:t>באשר לשיקול השלישי שוב נפנה לתוצאות הבדיקה של המשפט המשווה, אשר מגלות שבמדינות רבות - אם כי לא בכולן - ישנה הכרה בתחולה רטרואקטיבית. לעמדה זו, כפי שהוסבר, אף יש הצדקה, שנשענת בעיקר על טעמי צדק וצורכי השעה.</w:t>
      </w:r>
      <w:r w:rsidRPr="002572F0">
        <w:rPr>
          <w:rFonts w:ascii="Times New Roman" w:hAnsi="Times New Roman" w:hint="cs"/>
          <w:szCs w:val="22"/>
          <w:rtl/>
        </w:rPr>
        <w:t xml:space="preserve"> </w:t>
      </w:r>
    </w:p>
    <w:p w:rsidR="00241BC2" w:rsidRPr="002572F0" w:rsidRDefault="00241BC2" w:rsidP="00241BC2">
      <w:pPr>
        <w:pStyle w:val="Ruller41"/>
        <w:spacing w:line="240" w:lineRule="auto"/>
        <w:rPr>
          <w:rFonts w:ascii="Times New Roman" w:hAnsi="Times New Roman"/>
          <w:szCs w:val="22"/>
          <w:rtl/>
        </w:rPr>
      </w:pPr>
    </w:p>
    <w:p w:rsidR="00241BC2" w:rsidRDefault="00241BC2" w:rsidP="00241BC2">
      <w:pPr>
        <w:pStyle w:val="Ruller41"/>
        <w:spacing w:line="240" w:lineRule="auto"/>
        <w:rPr>
          <w:rFonts w:ascii="Times New Roman" w:hAnsi="Times New Roman"/>
          <w:szCs w:val="22"/>
          <w:rtl/>
        </w:rPr>
      </w:pPr>
      <w:r w:rsidRPr="002572F0">
        <w:rPr>
          <w:rFonts w:ascii="Times New Roman" w:hAnsi="Times New Roman" w:hint="cs"/>
          <w:szCs w:val="22"/>
          <w:rtl/>
        </w:rPr>
        <w:tab/>
        <w:t xml:space="preserve">אינני מתעלם מכך שבכל הנוגע לסעיף 74 יש קשר מסוים, או אף חפיפה חלקית, בין סוגית הרטרואקטיביות לבין סוגית האחריות החמורה. מצב דברים זה הוא מובן. בכל הקשור לפגיעה בקניין של איתנית, האחריות החמורה והרטרואקטיביות צועדות יד ביד. שתיהן כאחת מעלות הסתייגות מכך שאיתנית חייבת לשלם על פעולות שבשעת עשייתן לא היו אסורות, ואף לא נקבע נגדה כי הפרו חובת זהירות. בסופו של שיקול, יש לבחון את פרטי סעיף 74. בחינה זו מגלה כי מצד אחד אין קביעה של אשמה, אך מצד שני יש טעמים של מדיניות משפטית - כפי שפורט - שמבססים את המסקנה שעוצמת הפגיעה נופלת מהיקף התועלת. </w:t>
      </w:r>
    </w:p>
    <w:p w:rsidR="00241BC2" w:rsidRPr="002572F0" w:rsidRDefault="00241BC2" w:rsidP="00241BC2">
      <w:pPr>
        <w:pStyle w:val="Ruller41"/>
        <w:spacing w:line="240" w:lineRule="auto"/>
        <w:rPr>
          <w:rFonts w:ascii="Times New Roman" w:hAnsi="Times New Roman"/>
          <w:szCs w:val="22"/>
          <w:rtl/>
        </w:rPr>
      </w:pPr>
    </w:p>
    <w:p w:rsidR="00241BC2" w:rsidRPr="00245D75" w:rsidRDefault="00241BC2" w:rsidP="00241BC2">
      <w:pPr>
        <w:spacing w:after="60"/>
        <w:rPr>
          <w:rFonts w:cs="FrankRuehl"/>
          <w:sz w:val="22"/>
          <w:szCs w:val="22"/>
          <w:rtl/>
        </w:rPr>
      </w:pPr>
      <w:r w:rsidRPr="00245D75">
        <w:rPr>
          <w:rFonts w:cs="Miriam" w:hint="cs"/>
          <w:sz w:val="22"/>
          <w:szCs w:val="22"/>
          <w:rtl/>
        </w:rPr>
        <w:t>סיכום</w:t>
      </w:r>
    </w:p>
    <w:p w:rsidR="00241BC2" w:rsidRPr="00245D75" w:rsidRDefault="00241BC2" w:rsidP="00241BC2">
      <w:pPr>
        <w:spacing w:after="60"/>
        <w:rPr>
          <w:rFonts w:cs="FrankRuehl"/>
          <w:sz w:val="22"/>
          <w:szCs w:val="22"/>
          <w:rtl/>
        </w:rPr>
      </w:pPr>
      <w:r>
        <w:rPr>
          <w:rFonts w:cs="FrankRuehl" w:hint="cs"/>
          <w:sz w:val="22"/>
          <w:szCs w:val="22"/>
          <w:rtl/>
        </w:rPr>
        <w:t>[...]</w:t>
      </w:r>
    </w:p>
    <w:p w:rsidR="00241BC2" w:rsidRPr="00182E40" w:rsidRDefault="00241BC2" w:rsidP="00241BC2">
      <w:pPr>
        <w:pStyle w:val="Ruller41"/>
        <w:spacing w:after="60" w:line="240" w:lineRule="auto"/>
        <w:rPr>
          <w:rFonts w:ascii="Times New Roman" w:hAnsi="Times New Roman"/>
          <w:szCs w:val="22"/>
          <w:rtl/>
        </w:rPr>
      </w:pPr>
      <w:r>
        <w:rPr>
          <w:rFonts w:ascii="Times New Roman" w:hAnsi="Times New Roman" w:hint="cs"/>
          <w:szCs w:val="22"/>
          <w:rtl/>
        </w:rPr>
        <w:tab/>
      </w:r>
      <w:r w:rsidRPr="00182E40">
        <w:rPr>
          <w:rFonts w:ascii="Times New Roman" w:hAnsi="Times New Roman" w:hint="cs"/>
          <w:szCs w:val="22"/>
          <w:rtl/>
        </w:rPr>
        <w:t xml:space="preserve">התחנה האחרונה היא מבחן המידתיות במובן הצר. בהקשר זה חידדתי שלוש נקודות שעמדו בלב טענותיה של איתנית. בסוגית הכלליות, אין מחלוקת על כך שסעיף 74 לחוק מכוון באופן ספציפי כלפי איתנית לבדה (מלבד המדינה והרשויות המקומיות). אלא שההתמקדות באיתנית איננה רוח-עועים שתקפה את המחוקק, אלא פרי המציאות שנוצרה על ידי איתנית עצמה. הסעיף נועד לתת מענה למצב הייחודי שנוצר: מצבורי פסולת אסבסט בהיקף גדול, באזור גיאוגרפי מוגדר, שנוצרו באופן שיטתי על ידי גורם אחד דומיננטי - הוא איתנית. </w:t>
      </w:r>
    </w:p>
    <w:p w:rsidR="00241BC2" w:rsidRPr="00182E40" w:rsidRDefault="00241BC2" w:rsidP="00241BC2">
      <w:pPr>
        <w:pStyle w:val="Ruller41"/>
        <w:spacing w:after="60" w:line="240" w:lineRule="auto"/>
        <w:rPr>
          <w:rFonts w:ascii="Times New Roman" w:hAnsi="Times New Roman"/>
          <w:szCs w:val="22"/>
          <w:rtl/>
        </w:rPr>
      </w:pPr>
      <w:r w:rsidRPr="00182E40">
        <w:rPr>
          <w:rFonts w:ascii="Times New Roman" w:hAnsi="Times New Roman" w:hint="cs"/>
          <w:szCs w:val="22"/>
          <w:rtl/>
        </w:rPr>
        <w:tab/>
        <w:t xml:space="preserve">בסוגיית האחריות החמורה, נכון הוא שעל פני הדברים מדובר במשטר נוקשה שמעורר סימני שאלה. אלא ששלושה שיקולים מצמצמים את הקושי. ראשית, טעמים כבדי משקל למשטר אחריות חמורה ובראשם שיקולי צדק והגינות, הרתעה והפנמת עלויות, כמו גם הקושי הראייתי במשטר של אחריות מבוססת-אשם. שנית, התמיכה בהטלת אחריות חמורה במדינות רבות באירופה, בארצות הברית ובמדינות נוספות. שלישית, מימד מסוים של צפיוּת עובדתית או ידיעה של איתנית אודות נזקי האסבסט (כמובן לא ברף נזיקי או פלילי). </w:t>
      </w:r>
    </w:p>
    <w:p w:rsidR="00241BC2" w:rsidRPr="00182E40" w:rsidRDefault="00241BC2" w:rsidP="00241BC2">
      <w:pPr>
        <w:pStyle w:val="Ruller41"/>
        <w:spacing w:after="60" w:line="240" w:lineRule="auto"/>
        <w:rPr>
          <w:rFonts w:ascii="Times New Roman" w:hAnsi="Times New Roman"/>
          <w:szCs w:val="22"/>
          <w:rtl/>
        </w:rPr>
      </w:pPr>
      <w:r w:rsidRPr="00245D75">
        <w:rPr>
          <w:rFonts w:ascii="Times New Roman" w:hAnsi="Times New Roman" w:hint="cs"/>
          <w:szCs w:val="22"/>
          <w:highlight w:val="yellow"/>
          <w:rtl/>
        </w:rPr>
        <w:tab/>
        <w:t xml:space="preserve">ולסיום, בסוגיית תחולתו בזמן של החוק, מסקנתי היא כי החוק הוא בעל תחולה אקטיבית במובן הצר. הוא אמנם חל על מצב דברים קיים, אך אין זו תחולה אקטיבית במובן הרגיל: </w:t>
      </w:r>
      <w:r w:rsidRPr="0002565C">
        <w:rPr>
          <w:rFonts w:ascii="Times New Roman" w:hAnsi="Times New Roman" w:hint="cs"/>
          <w:szCs w:val="22"/>
          <w:rtl/>
        </w:rPr>
        <w:t>כל היסודות העובדתיים התגבשו במלואם בעבר, וסעיף 74 איננו מופנה כלל כלפי עתיד</w:t>
      </w:r>
      <w:r w:rsidRPr="00245D75">
        <w:rPr>
          <w:rFonts w:ascii="Times New Roman" w:hAnsi="Times New Roman" w:hint="cs"/>
          <w:szCs w:val="22"/>
          <w:highlight w:val="yellow"/>
          <w:rtl/>
        </w:rPr>
        <w:t xml:space="preserve">. בכל מקרה, אפילו אם מדובר היה בחוק רטרואקטיבי לגמרי - אין זה שיקול מכריע, אלא רק שיקול נוסף במאזן החוקתי. בנקודה זו עמדתי על שלושה אלמנטים שממתיקים את "רוע הגזירה": </w:t>
      </w:r>
      <w:r w:rsidRPr="0002565C">
        <w:rPr>
          <w:rFonts w:ascii="Times New Roman" w:hAnsi="Times New Roman" w:hint="cs"/>
          <w:szCs w:val="22"/>
          <w:rtl/>
        </w:rPr>
        <w:t>ראשית</w:t>
      </w:r>
      <w:r w:rsidRPr="00245D75">
        <w:rPr>
          <w:rFonts w:ascii="Times New Roman" w:hAnsi="Times New Roman" w:hint="cs"/>
          <w:szCs w:val="22"/>
          <w:highlight w:val="yellow"/>
          <w:rtl/>
        </w:rPr>
        <w:t xml:space="preserve">, אלמנט הצפיוּת או הידיעה של הסיכון. </w:t>
      </w:r>
      <w:r w:rsidRPr="0002565C">
        <w:rPr>
          <w:rFonts w:ascii="Times New Roman" w:hAnsi="Times New Roman" w:hint="cs"/>
          <w:szCs w:val="22"/>
          <w:rtl/>
        </w:rPr>
        <w:t>שנית</w:t>
      </w:r>
      <w:r w:rsidRPr="00245D75">
        <w:rPr>
          <w:rFonts w:ascii="Times New Roman" w:hAnsi="Times New Roman" w:hint="cs"/>
          <w:szCs w:val="22"/>
          <w:highlight w:val="yellow"/>
          <w:rtl/>
        </w:rPr>
        <w:t xml:space="preserve">, היקף הסיכון. הנתון לפיו העדר טיפול בפסולת האסבסט - יותיר אזרחים רבים חשופים לפצצת בריאות מתקתקת. לא ניתן להשאיר את המצב על כנו. בתחרות בין הטלת התשלום על כתפי איתנית, לבין הטלת התשלום על כתפי הציבור - זיקתה של איתנית לפסולת בגדר היוצר והמרוויח מטה את הכף, או לכל הפחות מאפשרת זאת. </w:t>
      </w:r>
      <w:r w:rsidRPr="0002565C">
        <w:rPr>
          <w:rFonts w:ascii="Times New Roman" w:hAnsi="Times New Roman" w:hint="cs"/>
          <w:szCs w:val="22"/>
          <w:rtl/>
        </w:rPr>
        <w:t>ושלישית</w:t>
      </w:r>
      <w:r w:rsidRPr="00245D75">
        <w:rPr>
          <w:rFonts w:ascii="Times New Roman" w:hAnsi="Times New Roman" w:hint="cs"/>
          <w:szCs w:val="22"/>
          <w:highlight w:val="yellow"/>
          <w:rtl/>
        </w:rPr>
        <w:t xml:space="preserve">, התמיכה בהטלת אחריות רטרואקטיבית בארצות הברית ובמדינות נוספות (דוגמת ספרד ובריטניה). </w:t>
      </w:r>
    </w:p>
    <w:p w:rsidR="00241BC2" w:rsidRDefault="00241BC2" w:rsidP="00241BC2">
      <w:pPr>
        <w:spacing w:after="60"/>
        <w:rPr>
          <w:rFonts w:cs="FrankRuehl"/>
          <w:sz w:val="22"/>
          <w:szCs w:val="22"/>
          <w:rtl/>
        </w:rPr>
      </w:pPr>
      <w:r w:rsidRPr="00182E40">
        <w:rPr>
          <w:rFonts w:cs="FrankRuehl" w:hint="cs"/>
          <w:sz w:val="22"/>
          <w:szCs w:val="22"/>
          <w:rtl/>
        </w:rPr>
        <w:tab/>
        <w:t>אין להתעלם מהפגיעה בזכויותיה של איתנית, ומכך שהמחוקק יצר מתווה חדש. ברם, דעתי היא כי הפגיעה בזכויות החוקתיות של איתנית - כתוצאה מסעיף 74 - עומדת במבחני פסקת ההגבלה.</w:t>
      </w:r>
    </w:p>
    <w:p w:rsidR="00241BC2" w:rsidRPr="002572F0" w:rsidRDefault="00241BC2" w:rsidP="00241BC2">
      <w:pPr>
        <w:rPr>
          <w:rFonts w:ascii="Arial" w:hAnsi="Arial" w:cs="David"/>
          <w:sz w:val="22"/>
          <w:szCs w:val="22"/>
          <w:rtl/>
        </w:rPr>
      </w:pPr>
    </w:p>
    <w:p w:rsidR="00241BC2" w:rsidRPr="002C3BF8" w:rsidRDefault="00241BC2" w:rsidP="00241BC2">
      <w:pPr>
        <w:rPr>
          <w:rFonts w:ascii="Arial" w:hAnsi="Arial" w:cs="David"/>
          <w:sz w:val="20"/>
          <w:szCs w:val="20"/>
          <w:rtl/>
        </w:rPr>
      </w:pPr>
      <w:r>
        <w:rPr>
          <w:rFonts w:ascii="Arial" w:hAnsi="Arial" w:cs="David" w:hint="cs"/>
          <w:sz w:val="20"/>
          <w:szCs w:val="20"/>
          <w:rtl/>
        </w:rPr>
        <w:t>=-=</w:t>
      </w:r>
    </w:p>
    <w:p w:rsidR="00241BC2" w:rsidRPr="008A1884" w:rsidRDefault="00241BC2" w:rsidP="00241BC2">
      <w:pPr>
        <w:spacing w:after="120"/>
        <w:jc w:val="center"/>
        <w:rPr>
          <w:rFonts w:ascii="Arial" w:hAnsi="Arial" w:cs="Arial"/>
          <w:b/>
          <w:bCs/>
          <w:i/>
          <w:iCs/>
          <w:sz w:val="22"/>
          <w:szCs w:val="22"/>
          <w:rtl/>
        </w:rPr>
      </w:pPr>
      <w:r>
        <w:rPr>
          <w:rFonts w:ascii="Arial" w:hAnsi="Arial" w:cs="Arial" w:hint="cs"/>
          <w:b/>
          <w:bCs/>
          <w:sz w:val="22"/>
          <w:szCs w:val="22"/>
          <w:highlight w:val="yellow"/>
          <w:rtl/>
        </w:rPr>
        <w:t xml:space="preserve">דנג"ץ </w:t>
      </w:r>
      <w:r w:rsidRPr="00F12BF1">
        <w:rPr>
          <w:rFonts w:ascii="Arial" w:hAnsi="Arial" w:cs="Arial" w:hint="cs"/>
          <w:b/>
          <w:bCs/>
          <w:sz w:val="22"/>
          <w:szCs w:val="22"/>
          <w:highlight w:val="yellow"/>
          <w:u w:val="single"/>
          <w:rtl/>
        </w:rPr>
        <w:t>ארקו</w:t>
      </w:r>
      <w:r>
        <w:rPr>
          <w:rFonts w:ascii="Arial" w:hAnsi="Arial" w:cs="Arial" w:hint="cs"/>
          <w:b/>
          <w:bCs/>
          <w:sz w:val="22"/>
          <w:szCs w:val="22"/>
          <w:highlight w:val="yellow"/>
          <w:rtl/>
        </w:rPr>
        <w:t xml:space="preserve">: </w:t>
      </w:r>
      <w:r w:rsidRPr="00826669">
        <w:rPr>
          <w:rFonts w:ascii="Arial" w:hAnsi="Arial" w:cs="Arial"/>
          <w:b/>
          <w:bCs/>
          <w:sz w:val="22"/>
          <w:szCs w:val="22"/>
          <w:highlight w:val="yellow"/>
          <w:rtl/>
        </w:rPr>
        <w:t xml:space="preserve">ההלכה </w:t>
      </w:r>
      <w:r>
        <w:rPr>
          <w:rFonts w:ascii="Arial" w:hAnsi="Arial" w:cs="Arial" w:hint="cs"/>
          <w:b/>
          <w:bCs/>
          <w:sz w:val="22"/>
          <w:szCs w:val="22"/>
          <w:highlight w:val="yellow"/>
          <w:rtl/>
        </w:rPr>
        <w:t xml:space="preserve">הפסוקה </w:t>
      </w:r>
      <w:r>
        <w:rPr>
          <w:rFonts w:ascii="Arial" w:hAnsi="Arial" w:cs="Arial"/>
          <w:b/>
          <w:bCs/>
          <w:sz w:val="22"/>
          <w:szCs w:val="22"/>
          <w:highlight w:val="yellow"/>
          <w:rtl/>
        </w:rPr>
        <w:t xml:space="preserve">ביחס למועד התחולה של </w:t>
      </w:r>
      <w:r w:rsidRPr="00EB75FE">
        <w:rPr>
          <w:rFonts w:ascii="Arial" w:hAnsi="Arial" w:cs="Arial"/>
          <w:b/>
          <w:bCs/>
          <w:i/>
          <w:iCs/>
          <w:sz w:val="22"/>
          <w:szCs w:val="22"/>
          <w:highlight w:val="yellow"/>
          <w:u w:val="single"/>
          <w:rtl/>
        </w:rPr>
        <w:t>חקיקת משנה</w:t>
      </w:r>
    </w:p>
    <w:p w:rsidR="00241BC2" w:rsidRPr="001B2836" w:rsidRDefault="00241BC2" w:rsidP="00241BC2">
      <w:pPr>
        <w:rPr>
          <w:b/>
          <w:bCs/>
          <w:sz w:val="20"/>
          <w:szCs w:val="20"/>
          <w:rtl/>
        </w:rPr>
      </w:pPr>
      <w:r w:rsidRPr="00A07D36">
        <w:rPr>
          <w:sz w:val="20"/>
          <w:szCs w:val="20"/>
          <w:rtl/>
        </w:rPr>
        <w:t xml:space="preserve">בסעיף 10(א) לפקודת סדרי השלטון והמשפט ובסעיף 17 לפקודת הפרשנות נקבעה חזקה כנגד תחולה רטרואקטיבית של נורמות כלליות. </w:t>
      </w:r>
    </w:p>
    <w:p w:rsidR="00241BC2" w:rsidRDefault="00241BC2" w:rsidP="00241BC2">
      <w:pPr>
        <w:rPr>
          <w:sz w:val="20"/>
          <w:szCs w:val="20"/>
          <w:rtl/>
        </w:rPr>
      </w:pPr>
      <w:r w:rsidRPr="00A07D36">
        <w:rPr>
          <w:sz w:val="20"/>
          <w:szCs w:val="20"/>
          <w:rtl/>
        </w:rPr>
        <w:t xml:space="preserve">ההלכה בעבר היתה כי נדרשת לשון מפורשת בחוק כדי לשלול את סמכותו של מחוקק המשנה להעניק לתקנות שהוא קובע תוקף למפרע. </w:t>
      </w:r>
    </w:p>
    <w:p w:rsidR="00241BC2" w:rsidRDefault="00241BC2" w:rsidP="00241BC2">
      <w:pPr>
        <w:rPr>
          <w:sz w:val="20"/>
          <w:szCs w:val="20"/>
          <w:rtl/>
        </w:rPr>
      </w:pPr>
      <w:r w:rsidRPr="008616A8">
        <w:rPr>
          <w:rFonts w:hint="cs"/>
          <w:sz w:val="20"/>
          <w:szCs w:val="20"/>
          <w:rtl/>
        </w:rPr>
        <w:t>בעקבות</w:t>
      </w:r>
      <w:r w:rsidRPr="00A07D36">
        <w:rPr>
          <w:sz w:val="20"/>
          <w:szCs w:val="20"/>
          <w:rtl/>
        </w:rPr>
        <w:t xml:space="preserve"> </w:t>
      </w:r>
      <w:r w:rsidRPr="00A07D36">
        <w:rPr>
          <w:rFonts w:hint="cs"/>
          <w:b/>
          <w:bCs/>
          <w:sz w:val="20"/>
          <w:szCs w:val="20"/>
          <w:rtl/>
        </w:rPr>
        <w:t>ארקו</w:t>
      </w:r>
      <w:r>
        <w:rPr>
          <w:rFonts w:hint="cs"/>
          <w:sz w:val="20"/>
          <w:szCs w:val="20"/>
          <w:rtl/>
        </w:rPr>
        <w:t xml:space="preserve"> (שאימצה את דעת היחיד </w:t>
      </w:r>
      <w:r w:rsidRPr="00A07D36">
        <w:rPr>
          <w:sz w:val="20"/>
          <w:szCs w:val="20"/>
          <w:rtl/>
        </w:rPr>
        <w:t xml:space="preserve">של השופט זמיר בעניין </w:t>
      </w:r>
      <w:r w:rsidRPr="00A07D36">
        <w:rPr>
          <w:b/>
          <w:bCs/>
          <w:sz w:val="20"/>
          <w:szCs w:val="20"/>
          <w:rtl/>
        </w:rPr>
        <w:t>רשות שדות התעופה</w:t>
      </w:r>
      <w:r>
        <w:rPr>
          <w:rFonts w:hint="cs"/>
          <w:sz w:val="20"/>
          <w:szCs w:val="20"/>
          <w:rtl/>
        </w:rPr>
        <w:t>)</w:t>
      </w:r>
      <w:r w:rsidRPr="00A07D36">
        <w:rPr>
          <w:sz w:val="20"/>
          <w:szCs w:val="20"/>
          <w:rtl/>
        </w:rPr>
        <w:t xml:space="preserve"> החזקה היא הפוכה: </w:t>
      </w:r>
    </w:p>
    <w:p w:rsidR="00241BC2" w:rsidRDefault="00241BC2" w:rsidP="00241BC2">
      <w:pPr>
        <w:ind w:left="720"/>
        <w:rPr>
          <w:sz w:val="20"/>
          <w:szCs w:val="20"/>
          <w:rtl/>
        </w:rPr>
      </w:pPr>
      <w:r w:rsidRPr="0084745D">
        <w:rPr>
          <w:sz w:val="20"/>
          <w:szCs w:val="20"/>
          <w:highlight w:val="yellow"/>
          <w:rtl/>
        </w:rPr>
        <w:t xml:space="preserve">"הסמכות לקבוע תחולה למפרע לתקנות מותנית בשני תנאים מצטברים. </w:t>
      </w:r>
      <w:r w:rsidRPr="0084745D">
        <w:rPr>
          <w:b/>
          <w:bCs/>
          <w:sz w:val="20"/>
          <w:szCs w:val="20"/>
          <w:highlight w:val="yellow"/>
          <w:rtl/>
        </w:rPr>
        <w:t>ראשית</w:t>
      </w:r>
      <w:r w:rsidRPr="0084745D">
        <w:rPr>
          <w:sz w:val="20"/>
          <w:szCs w:val="20"/>
          <w:highlight w:val="yellow"/>
          <w:rtl/>
        </w:rPr>
        <w:t xml:space="preserve">, צריך שהחוק המסמיך יקנה לרשות המינהלית סמכות לקבוע תחולה למפרע, בין במפורש ובין במשתמע, ואם אין הוא מקנה סמכות כזאת במפורש, צריכה לחול חזקה פרשנית לפיה המחוקק לא התכוון להקנות סמכות כזאת. </w:t>
      </w:r>
      <w:r w:rsidRPr="0084745D">
        <w:rPr>
          <w:b/>
          <w:bCs/>
          <w:sz w:val="20"/>
          <w:szCs w:val="20"/>
          <w:highlight w:val="yellow"/>
          <w:rtl/>
        </w:rPr>
        <w:t>שנית,</w:t>
      </w:r>
      <w:r w:rsidRPr="0084745D">
        <w:rPr>
          <w:sz w:val="20"/>
          <w:szCs w:val="20"/>
          <w:highlight w:val="yellow"/>
          <w:rtl/>
        </w:rPr>
        <w:t xml:space="preserve"> צריך שהתקנות, הן עצמן, יקבעו תחולה למפרע, בין במפורש ובין במשתמע, ואם לא נקבעה בהן תחולה למפרע במפורש, צריכה לחול חזקה פרשנית לפיה מתקין התקנות לא התכוון להקנות להן תחולה למפרע".</w:t>
      </w:r>
      <w:r w:rsidRPr="00A07D36">
        <w:rPr>
          <w:sz w:val="20"/>
          <w:szCs w:val="20"/>
          <w:rtl/>
        </w:rPr>
        <w:t xml:space="preserve"> </w:t>
      </w:r>
    </w:p>
    <w:p w:rsidR="00241BC2" w:rsidRPr="00A07D36" w:rsidRDefault="00241BC2" w:rsidP="00241BC2">
      <w:pPr>
        <w:rPr>
          <w:sz w:val="20"/>
          <w:szCs w:val="20"/>
          <w:rtl/>
        </w:rPr>
      </w:pPr>
      <w:r w:rsidRPr="00A07D36">
        <w:rPr>
          <w:sz w:val="20"/>
          <w:szCs w:val="20"/>
          <w:rtl/>
        </w:rPr>
        <w:t xml:space="preserve">ההלכה </w:t>
      </w:r>
      <w:r>
        <w:rPr>
          <w:rFonts w:hint="cs"/>
          <w:sz w:val="20"/>
          <w:szCs w:val="20"/>
          <w:rtl/>
        </w:rPr>
        <w:t>[</w:t>
      </w:r>
      <w:r w:rsidRPr="00A07D36">
        <w:rPr>
          <w:rFonts w:hint="cs"/>
          <w:b/>
          <w:bCs/>
          <w:sz w:val="20"/>
          <w:szCs w:val="20"/>
          <w:rtl/>
        </w:rPr>
        <w:t>ארקו</w:t>
      </w:r>
      <w:r>
        <w:rPr>
          <w:rFonts w:hint="cs"/>
          <w:sz w:val="20"/>
          <w:szCs w:val="20"/>
          <w:rtl/>
        </w:rPr>
        <w:t xml:space="preserve">] </w:t>
      </w:r>
      <w:r w:rsidRPr="00A07D36">
        <w:rPr>
          <w:sz w:val="20"/>
          <w:szCs w:val="20"/>
          <w:rtl/>
        </w:rPr>
        <w:t>היא כי הוראת סעיף 15 לחוק הפרשנות, לפיה "הסמכה להתקין תקנות או ליתן הוראת מינהל – משמעה גם הסמכה לתקנן, לשנותן, להתלותן או לבטלן בדרך שהותקנו התקנות או ניתנה ההוראה", אינה מהווה הסמכה לשם החלה למפרע של תיקון או שינוי של נורמה.</w:t>
      </w:r>
    </w:p>
    <w:p w:rsidR="00241BC2" w:rsidRDefault="00241BC2" w:rsidP="00241BC2">
      <w:pPr>
        <w:rPr>
          <w:sz w:val="20"/>
          <w:szCs w:val="20"/>
          <w:rtl/>
        </w:rPr>
      </w:pPr>
      <w:r w:rsidRPr="0084745D">
        <w:rPr>
          <w:b/>
          <w:bCs/>
          <w:sz w:val="20"/>
          <w:szCs w:val="20"/>
          <w:highlight w:val="yellow"/>
          <w:rtl/>
        </w:rPr>
        <w:t>כמו כן,</w:t>
      </w:r>
      <w:r w:rsidRPr="0084745D">
        <w:rPr>
          <w:sz w:val="20"/>
          <w:szCs w:val="20"/>
          <w:highlight w:val="yellow"/>
          <w:rtl/>
        </w:rPr>
        <w:t xml:space="preserve"> בנוסף לבחינת קיומה של סמכות להחיל נורמה באופן רטרואקטיבי, </w:t>
      </w:r>
      <w:r w:rsidRPr="0084745D">
        <w:rPr>
          <w:b/>
          <w:bCs/>
          <w:sz w:val="20"/>
          <w:szCs w:val="20"/>
          <w:highlight w:val="yellow"/>
          <w:rtl/>
        </w:rPr>
        <w:t>יש לבחון את הסבירות של השימוש בסמכות זו</w:t>
      </w:r>
      <w:r w:rsidRPr="0084745D">
        <w:rPr>
          <w:sz w:val="20"/>
          <w:szCs w:val="20"/>
          <w:highlight w:val="yellow"/>
          <w:rtl/>
        </w:rPr>
        <w:t>.</w:t>
      </w:r>
      <w:r>
        <w:rPr>
          <w:rFonts w:hint="cs"/>
          <w:sz w:val="20"/>
          <w:szCs w:val="20"/>
          <w:rtl/>
        </w:rPr>
        <w:t xml:space="preserve"> </w:t>
      </w:r>
    </w:p>
    <w:p w:rsidR="00241BC2" w:rsidRDefault="00241BC2" w:rsidP="00241BC2">
      <w:pPr>
        <w:rPr>
          <w:sz w:val="20"/>
          <w:szCs w:val="20"/>
          <w:rtl/>
        </w:rPr>
      </w:pPr>
    </w:p>
    <w:p w:rsidR="00241BC2" w:rsidRDefault="00241BC2" w:rsidP="00241BC2">
      <w:pPr>
        <w:rPr>
          <w:sz w:val="22"/>
          <w:szCs w:val="22"/>
          <w:highlight w:val="yellow"/>
          <w:rtl/>
        </w:rPr>
      </w:pPr>
      <w:r>
        <w:rPr>
          <w:rFonts w:hint="cs"/>
          <w:sz w:val="22"/>
          <w:szCs w:val="22"/>
          <w:highlight w:val="yellow"/>
          <w:rtl/>
        </w:rPr>
        <w:t xml:space="preserve">ארקו היא פרשה עם כמה גלגולים.  </w:t>
      </w:r>
    </w:p>
    <w:p w:rsidR="00241BC2" w:rsidRDefault="00241BC2" w:rsidP="00241BC2">
      <w:pPr>
        <w:tabs>
          <w:tab w:val="left" w:pos="8224"/>
        </w:tabs>
        <w:rPr>
          <w:sz w:val="22"/>
          <w:szCs w:val="22"/>
          <w:rtl/>
        </w:rPr>
      </w:pPr>
      <w:r>
        <w:rPr>
          <w:rFonts w:hint="cs"/>
          <w:sz w:val="22"/>
          <w:szCs w:val="22"/>
          <w:highlight w:val="yellow"/>
          <w:rtl/>
        </w:rPr>
        <w:t xml:space="preserve">פסק הדין המשלים </w:t>
      </w:r>
      <w:r w:rsidRPr="00A86211">
        <w:rPr>
          <w:rFonts w:hint="cs"/>
          <w:b/>
          <w:bCs/>
          <w:sz w:val="22"/>
          <w:szCs w:val="22"/>
          <w:highlight w:val="yellow"/>
          <w:rtl/>
        </w:rPr>
        <w:t>ב</w:t>
      </w:r>
      <w:r w:rsidRPr="00A86211">
        <w:rPr>
          <w:rFonts w:hint="cs"/>
          <w:b/>
          <w:bCs/>
          <w:sz w:val="22"/>
          <w:szCs w:val="22"/>
          <w:rtl/>
        </w:rPr>
        <w:t>דנג"צ ארקו</w:t>
      </w:r>
      <w:r>
        <w:rPr>
          <w:rFonts w:hint="cs"/>
          <w:sz w:val="22"/>
          <w:szCs w:val="22"/>
          <w:rtl/>
        </w:rPr>
        <w:t xml:space="preserve">, הוא ההלכה היום.  הוא קובע דברים חשובים ומנמק הנמקות חשובות.  הוא מסמן גם התפתחות נוספת בהקשר שבו חקיקת המשנה (ולענייננו חוק העזר המקומי) מגביל זכויות המוגנות בחוקי היסוד.  </w:t>
      </w:r>
    </w:p>
    <w:p w:rsidR="00241BC2" w:rsidRDefault="00241BC2" w:rsidP="00241BC2">
      <w:pPr>
        <w:rPr>
          <w:sz w:val="22"/>
          <w:szCs w:val="22"/>
          <w:rtl/>
        </w:rPr>
      </w:pPr>
    </w:p>
    <w:p w:rsidR="00241BC2" w:rsidRPr="008616A8" w:rsidRDefault="00241BC2" w:rsidP="00241BC2">
      <w:pPr>
        <w:jc w:val="center"/>
        <w:rPr>
          <w:sz w:val="22"/>
          <w:szCs w:val="22"/>
          <w:rtl/>
        </w:rPr>
      </w:pPr>
      <w:r w:rsidRPr="008616A8">
        <w:rPr>
          <w:rFonts w:hint="cs"/>
          <w:sz w:val="22"/>
          <w:szCs w:val="22"/>
          <w:highlight w:val="yellow"/>
          <w:rtl/>
        </w:rPr>
        <w:t xml:space="preserve">דנג"ץ 9411/00 </w:t>
      </w:r>
      <w:r w:rsidRPr="008616A8">
        <w:rPr>
          <w:rFonts w:hint="cs"/>
          <w:b/>
          <w:bCs/>
          <w:sz w:val="22"/>
          <w:szCs w:val="22"/>
          <w:highlight w:val="yellow"/>
          <w:rtl/>
        </w:rPr>
        <w:t>ארקו תעשיות חשמל בע"מ נ' ראש עיריית ראשון לציון</w:t>
      </w:r>
      <w:r w:rsidRPr="008616A8">
        <w:rPr>
          <w:rFonts w:hint="cs"/>
          <w:sz w:val="22"/>
          <w:szCs w:val="22"/>
          <w:highlight w:val="yellow"/>
          <w:rtl/>
        </w:rPr>
        <w:t xml:space="preserve"> (19.10.09)</w:t>
      </w:r>
      <w:r>
        <w:rPr>
          <w:rFonts w:hint="cs"/>
          <w:sz w:val="22"/>
          <w:szCs w:val="22"/>
          <w:rtl/>
        </w:rPr>
        <w:t xml:space="preserve"> [הנשיאה ביניש]</w:t>
      </w:r>
    </w:p>
    <w:p w:rsidR="00241BC2" w:rsidRPr="008616A8" w:rsidRDefault="00241BC2" w:rsidP="00241BC2">
      <w:pPr>
        <w:rPr>
          <w:rFonts w:cs="FrankRuehl"/>
          <w:sz w:val="22"/>
          <w:szCs w:val="22"/>
          <w:rtl/>
        </w:rPr>
      </w:pPr>
    </w:p>
    <w:p w:rsidR="00241BC2" w:rsidRDefault="00241BC2" w:rsidP="00241BC2">
      <w:pPr>
        <w:rPr>
          <w:rFonts w:cs="FrankRuehl"/>
          <w:sz w:val="22"/>
          <w:szCs w:val="22"/>
          <w:rtl/>
        </w:rPr>
      </w:pPr>
      <w:r w:rsidRPr="008616A8">
        <w:rPr>
          <w:rFonts w:cs="FrankRuehl" w:hint="cs"/>
          <w:sz w:val="22"/>
          <w:szCs w:val="22"/>
          <w:rtl/>
        </w:rPr>
        <w:t xml:space="preserve">האם על פי </w:t>
      </w:r>
      <w:hyperlink r:id="rId390" w:history="1">
        <w:r w:rsidRPr="008616A8">
          <w:rPr>
            <w:rStyle w:val="Hyperlink"/>
            <w:rFonts w:cs="FrankRuehl"/>
            <w:sz w:val="22"/>
            <w:szCs w:val="22"/>
            <w:rtl/>
          </w:rPr>
          <w:t>פקודת העיריות</w:t>
        </w:r>
      </w:hyperlink>
      <w:r w:rsidRPr="008616A8">
        <w:rPr>
          <w:rFonts w:cs="FrankRuehl" w:hint="cs"/>
          <w:sz w:val="22"/>
          <w:szCs w:val="22"/>
          <w:rtl/>
        </w:rPr>
        <w:t xml:space="preserve"> [נוסח חדש] (להלן: </w:t>
      </w:r>
      <w:hyperlink r:id="rId391" w:history="1">
        <w:r w:rsidRPr="008616A8">
          <w:rPr>
            <w:rStyle w:val="Hyperlink"/>
            <w:rFonts w:cs="FrankRuehl"/>
            <w:sz w:val="22"/>
            <w:szCs w:val="22"/>
            <w:rtl/>
          </w:rPr>
          <w:t>פקודת העיריות)</w:t>
        </w:r>
      </w:hyperlink>
      <w:r w:rsidRPr="008616A8">
        <w:rPr>
          <w:rFonts w:cs="FrankRuehl" w:hint="cs"/>
          <w:sz w:val="22"/>
          <w:szCs w:val="22"/>
          <w:rtl/>
        </w:rPr>
        <w:t xml:space="preserve"> או </w:t>
      </w:r>
      <w:hyperlink r:id="rId392" w:history="1">
        <w:r w:rsidRPr="008616A8">
          <w:rPr>
            <w:rStyle w:val="Hyperlink"/>
            <w:rFonts w:cs="FrankRuehl"/>
            <w:sz w:val="22"/>
            <w:szCs w:val="22"/>
            <w:rtl/>
          </w:rPr>
          <w:t>חוק הרשויות המקומיות</w:t>
        </w:r>
      </w:hyperlink>
      <w:r w:rsidRPr="008616A8">
        <w:rPr>
          <w:rFonts w:cs="FrankRuehl" w:hint="cs"/>
          <w:sz w:val="22"/>
          <w:szCs w:val="22"/>
          <w:rtl/>
        </w:rPr>
        <w:t xml:space="preserve"> (ביוב), התשכ"ב-1962 (להלן: חוק הביוב) נתונה לרשות מקומית סמכות לחוקק באופן רטרואקטיבי חוקי עזר המאשררים גבייתם של הפרשי הצמדה? זו היא השאלה העומדת להכרעתנו בפסק הדין המשלים בדיון נוסף זה.</w:t>
      </w:r>
    </w:p>
    <w:p w:rsidR="00241BC2" w:rsidRDefault="00241BC2" w:rsidP="00241BC2">
      <w:pPr>
        <w:rPr>
          <w:rFonts w:cs="FrankRuehl"/>
          <w:sz w:val="22"/>
          <w:szCs w:val="22"/>
          <w:rtl/>
        </w:rPr>
      </w:pPr>
    </w:p>
    <w:p w:rsidR="00241BC2" w:rsidRPr="004257B4" w:rsidRDefault="00241BC2" w:rsidP="00241BC2">
      <w:pPr>
        <w:rPr>
          <w:rFonts w:cs="FrankRuehl"/>
          <w:sz w:val="22"/>
          <w:szCs w:val="22"/>
          <w:highlight w:val="yellow"/>
          <w:rtl/>
        </w:rPr>
      </w:pPr>
      <w:r w:rsidRPr="004257B4">
        <w:rPr>
          <w:rFonts w:cs="FrankRuehl" w:hint="cs"/>
          <w:sz w:val="22"/>
          <w:szCs w:val="22"/>
          <w:highlight w:val="yellow"/>
          <w:rtl/>
        </w:rPr>
        <w:t>[להלן מתוך סיכום פסק הדין:</w:t>
      </w:r>
    </w:p>
    <w:p w:rsidR="00241BC2" w:rsidRPr="004257B4" w:rsidRDefault="00241BC2" w:rsidP="00241BC2">
      <w:pPr>
        <w:rPr>
          <w:rFonts w:cs="FrankRuehl"/>
          <w:sz w:val="22"/>
          <w:szCs w:val="22"/>
          <w:highlight w:val="yellow"/>
          <w:rtl/>
        </w:rPr>
      </w:pPr>
      <w:r w:rsidRPr="004257B4">
        <w:rPr>
          <w:rFonts w:cs="FrankRuehl" w:hint="cs"/>
          <w:sz w:val="22"/>
          <w:szCs w:val="22"/>
          <w:highlight w:val="yellow"/>
          <w:rtl/>
        </w:rPr>
        <w:t>26.</w:t>
      </w:r>
      <w:r w:rsidRPr="004257B4">
        <w:rPr>
          <w:rFonts w:cs="FrankRuehl" w:hint="cs"/>
          <w:sz w:val="22"/>
          <w:szCs w:val="22"/>
          <w:highlight w:val="yellow"/>
          <w:rtl/>
        </w:rPr>
        <w:tab/>
        <w:t xml:space="preserve">עיריית ראשון לציון חוקקה חוקי עזר המסדירים את גבייתם של היטלי ביוב. בחוקים אלה נפלו טעויות, אשר הביאו לכך שהיטלי הביוב הועמדו על ערך שאינו ריאלי. משגילתה העירייה את הטעות חוקקה היא חוקי עזר מתקנים, אשר תיקנו את הטעות ואשררו את גבייתם של הפרשי ההצמדה, אשר הושמטו מחוקי העזר המקוריים. על פי ההלכה הנוהגת במישור המשפט המינהלי, חקיקת משנה רטרואקטיבית מחייבת קיומה של הסמכה מפורשת או משתמעת לכך בחוק המסמיך. ברם, במישור החוקתי, ונוכח דרישותיה של פסקת ההגבלה, חקיקת משנה רטרואקטיבית אשר פוגעת בזכויות המוגנות בחוק יסוד מחייבת איתורה של </w:t>
      </w:r>
      <w:r w:rsidRPr="004257B4">
        <w:rPr>
          <w:rFonts w:cs="FrankRuehl" w:hint="cs"/>
          <w:i/>
          <w:iCs/>
          <w:sz w:val="22"/>
          <w:szCs w:val="22"/>
          <w:highlight w:val="yellow"/>
          <w:rtl/>
        </w:rPr>
        <w:t>הסמכה מפורשת</w:t>
      </w:r>
      <w:r w:rsidRPr="004257B4">
        <w:rPr>
          <w:rFonts w:cs="FrankRuehl" w:hint="cs"/>
          <w:sz w:val="22"/>
          <w:szCs w:val="22"/>
          <w:highlight w:val="yellow"/>
          <w:rtl/>
        </w:rPr>
        <w:t xml:space="preserve">, ומשזו אינה נמצאת, לא תוכל חקיקת המשנה לעמוד. </w:t>
      </w:r>
    </w:p>
    <w:p w:rsidR="00241BC2" w:rsidRDefault="00241BC2" w:rsidP="00241BC2">
      <w:pPr>
        <w:rPr>
          <w:rFonts w:cs="FrankRuehl"/>
          <w:sz w:val="22"/>
          <w:szCs w:val="22"/>
          <w:rtl/>
        </w:rPr>
      </w:pPr>
      <w:r w:rsidRPr="004257B4">
        <w:rPr>
          <w:rFonts w:cs="FrankRuehl" w:hint="cs"/>
          <w:sz w:val="22"/>
          <w:szCs w:val="22"/>
          <w:highlight w:val="yellow"/>
          <w:rtl/>
        </w:rPr>
        <w:t>בענייננו, מבחינת תכליתם של חוקי העזר ותכליתם של החוקים המסמיכים כמו גם מבחינת מידת הפגיעה הנגרמת לעותרים מהחלתם הרטרואקטיבית של חוקי העזר, מתחייבת המסקנה כי בנסיבות העניין די בהסמכה המצויה בדברי החקיקה הראשית הרלוונטית, על מנת לעמוד בדרישת ההסמכה המפורשת הקבועה בפסקת ההגבלה, וזאת לנוכח הפרשנות שניתנה לדרישת "ההסמכה המפורשת" בפסק דין זה. מעבר לכך, קבענו כי חוקי העזר המתקנים עומדים אף בדרישת התכלית הראויה והמידתיות. לפיכך, הגענו לכלל מסקנה כי חוקי העזר המתקנים הינם תקפים, וכי המשיבים רשאים היו לגבות את הפרשי ההצמדה בהסתמך עליהם.]</w:t>
      </w:r>
    </w:p>
    <w:p w:rsidR="00241BC2" w:rsidRPr="008616A8" w:rsidRDefault="00241BC2" w:rsidP="00241BC2">
      <w:pPr>
        <w:rPr>
          <w:rFonts w:cs="FrankRuehl"/>
          <w:sz w:val="22"/>
          <w:szCs w:val="22"/>
          <w:rtl/>
        </w:rPr>
      </w:pPr>
    </w:p>
    <w:p w:rsidR="00241BC2" w:rsidRPr="00B87CFD" w:rsidRDefault="00241BC2" w:rsidP="00241BC2">
      <w:pPr>
        <w:rPr>
          <w:rFonts w:cs="FrankRuehl"/>
          <w:b/>
          <w:bCs/>
          <w:sz w:val="22"/>
          <w:szCs w:val="22"/>
          <w:rtl/>
        </w:rPr>
      </w:pPr>
      <w:r w:rsidRPr="00B87CFD">
        <w:rPr>
          <w:rFonts w:cs="FrankRuehl" w:hint="cs"/>
          <w:b/>
          <w:bCs/>
          <w:sz w:val="22"/>
          <w:szCs w:val="22"/>
          <w:rtl/>
        </w:rPr>
        <w:t>נקודת המוצא הדיונית - חזקת אי-תחולתו למפרע של דבר חקיקה</w:t>
      </w:r>
    </w:p>
    <w:p w:rsidR="00241BC2" w:rsidRDefault="00241BC2" w:rsidP="00241BC2">
      <w:pPr>
        <w:rPr>
          <w:rFonts w:cs="FrankRuehl"/>
          <w:sz w:val="22"/>
          <w:szCs w:val="22"/>
          <w:rtl/>
        </w:rPr>
      </w:pPr>
      <w:r w:rsidRPr="008616A8">
        <w:rPr>
          <w:rFonts w:cs="FrankRuehl" w:hint="cs"/>
          <w:sz w:val="22"/>
          <w:szCs w:val="22"/>
          <w:rtl/>
        </w:rPr>
        <w:t>5.</w:t>
      </w:r>
      <w:r w:rsidRPr="008616A8">
        <w:rPr>
          <w:rFonts w:cs="FrankRuehl" w:hint="cs"/>
          <w:sz w:val="22"/>
          <w:szCs w:val="22"/>
          <w:rtl/>
        </w:rPr>
        <w:tab/>
        <w:t>חזקה היא במשפטנו כי ככלל, תכליתו של דבר חקיקה הינה לצפות פני עתיד, ואין הוא חל למפרע. חזקה זו, חזקת אי-הרטרואקטיביות של החקיקה, מושרשת היא בעקרונות היסוד של משפטנו משכבר הימים</w:t>
      </w:r>
      <w:r>
        <w:rPr>
          <w:rFonts w:cs="FrankRuehl" w:hint="cs"/>
          <w:sz w:val="22"/>
          <w:szCs w:val="22"/>
          <w:rtl/>
        </w:rPr>
        <w:t>..</w:t>
      </w:r>
      <w:r w:rsidRPr="008616A8">
        <w:rPr>
          <w:rFonts w:cs="FrankRuehl" w:hint="cs"/>
          <w:sz w:val="22"/>
          <w:szCs w:val="22"/>
          <w:rtl/>
        </w:rPr>
        <w:t>. הטעם שביסוד חזקה זו הינו כי "חקיקה למפרע פוגעת בתפיסות יסוד חוקתיות. היא פוגעת בעקרון שלטון החוק, בוודאות המשפט ובביטחון הציבור בו. היא פוגעת בעקרונות היסוד של צדק ושל הגינות ובאמון הציבור במוסדות השלטון"</w:t>
      </w:r>
      <w:r>
        <w:rPr>
          <w:rFonts w:cs="FrankRuehl" w:hint="cs"/>
          <w:sz w:val="22"/>
          <w:szCs w:val="22"/>
          <w:rtl/>
        </w:rPr>
        <w:t>..</w:t>
      </w:r>
      <w:r w:rsidRPr="008616A8">
        <w:rPr>
          <w:rFonts w:cs="FrankRuehl" w:hint="cs"/>
          <w:sz w:val="22"/>
          <w:szCs w:val="22"/>
          <w:rtl/>
        </w:rPr>
        <w:t>.</w:t>
      </w:r>
    </w:p>
    <w:p w:rsidR="00241BC2" w:rsidRPr="008616A8" w:rsidRDefault="00241BC2" w:rsidP="00241BC2">
      <w:pPr>
        <w:rPr>
          <w:rFonts w:cs="FrankRuehl"/>
          <w:sz w:val="22"/>
          <w:szCs w:val="22"/>
          <w:rtl/>
        </w:rPr>
      </w:pPr>
    </w:p>
    <w:p w:rsidR="00241BC2" w:rsidRPr="008616A8" w:rsidRDefault="00241BC2" w:rsidP="00241BC2">
      <w:pPr>
        <w:rPr>
          <w:rFonts w:cs="FrankRuehl"/>
          <w:sz w:val="22"/>
          <w:szCs w:val="22"/>
          <w:rtl/>
        </w:rPr>
      </w:pPr>
      <w:r w:rsidRPr="008616A8">
        <w:rPr>
          <w:rFonts w:cs="FrankRuehl" w:hint="cs"/>
          <w:sz w:val="22"/>
          <w:szCs w:val="22"/>
          <w:rtl/>
        </w:rPr>
        <w:t>6.</w:t>
      </w:r>
      <w:r w:rsidRPr="008616A8">
        <w:rPr>
          <w:rFonts w:cs="FrankRuehl" w:hint="cs"/>
          <w:sz w:val="22"/>
          <w:szCs w:val="22"/>
          <w:rtl/>
        </w:rPr>
        <w:tab/>
        <w:t>בכל הנוגע לתוקפה של חקיקת משנה רטרואקטיבית חלה התפתחות בגישת המשפט בשיטתנו. בעבר על רקע המסורת שקיבלנו מהמשפט המקובל האנגלי, נהגה ההלכה לפיה מחוקק המשנה מוסמך לחוקק חקיקת משנה בעלת תחולה למפרע, ובלבד שהחוק המסמיך לא אסר זאת, במפורש או מכללא. בהתאם לכך, המבחן העיקרי על פיו נבחן תוקפה של חקיקת משנה היה מבחן הסבירות</w:t>
      </w:r>
      <w:r>
        <w:rPr>
          <w:rFonts w:cs="FrankRuehl" w:hint="cs"/>
          <w:sz w:val="22"/>
          <w:szCs w:val="22"/>
          <w:rtl/>
        </w:rPr>
        <w:t>...</w:t>
      </w:r>
      <w:r w:rsidRPr="008616A8">
        <w:rPr>
          <w:rFonts w:cs="FrankRuehl" w:hint="cs"/>
          <w:sz w:val="22"/>
          <w:szCs w:val="22"/>
          <w:rtl/>
        </w:rPr>
        <w:t xml:space="preserve"> האות לשינויה של הלכה זו ניתן בפסק דינו של השופט י' זמיר ב</w:t>
      </w:r>
      <w:hyperlink r:id="rId393" w:history="1">
        <w:r w:rsidRPr="008616A8">
          <w:rPr>
            <w:rStyle w:val="Hyperlink"/>
            <w:rFonts w:cs="FrankRuehl"/>
            <w:sz w:val="22"/>
            <w:szCs w:val="22"/>
            <w:rtl/>
          </w:rPr>
          <w:t>בג"ץ 2933/94 רשות שדות התעופה נ' בית הדין הארצי לעבודה, פ"ד נ</w:t>
        </w:r>
      </w:hyperlink>
      <w:r w:rsidRPr="008616A8">
        <w:rPr>
          <w:rFonts w:cs="FrankRuehl" w:hint="cs"/>
          <w:sz w:val="22"/>
          <w:szCs w:val="22"/>
          <w:rtl/>
        </w:rPr>
        <w:t xml:space="preserve">(3) 837, 859-865 (1996) </w:t>
      </w:r>
      <w:r>
        <w:rPr>
          <w:rFonts w:cs="FrankRuehl" w:hint="cs"/>
          <w:sz w:val="22"/>
          <w:szCs w:val="22"/>
          <w:rtl/>
        </w:rPr>
        <w:t xml:space="preserve">... </w:t>
      </w:r>
      <w:r w:rsidRPr="008616A8">
        <w:rPr>
          <w:rFonts w:cs="FrankRuehl" w:hint="cs"/>
          <w:sz w:val="22"/>
          <w:szCs w:val="22"/>
          <w:rtl/>
        </w:rPr>
        <w:t>בפסק דין זה אמנם היה השופט זמיר בדעת יחיד, אולם בהמשך אומצה גישתו והייתה להלכה</w:t>
      </w:r>
      <w:r>
        <w:rPr>
          <w:rFonts w:cs="FrankRuehl" w:hint="cs"/>
          <w:sz w:val="22"/>
          <w:szCs w:val="22"/>
          <w:rtl/>
        </w:rPr>
        <w:t>...</w:t>
      </w:r>
      <w:r w:rsidRPr="008616A8">
        <w:rPr>
          <w:rFonts w:cs="FrankRuehl" w:hint="cs"/>
          <w:sz w:val="22"/>
          <w:szCs w:val="22"/>
          <w:rtl/>
        </w:rPr>
        <w:t xml:space="preserve"> על פי הלכה זו, כשם שחזקה על המחוקק שלא התכוון להקנות לחוק תוקף למפרע, כך חזקה שלא התכוון להסמיך את הרשות המנהלית לחוקק חקיקת משנה בעלת תוקף למפרע. משכך, למחוקק המשנה ניתנה סמכות לחוקק חקיקת משנה רטרואקטיבית, רק אם ניתן להצביע על קיומה של הסמכה בחוק הראשי, במפורש או מכללא, באופן המעיד על סתירתה של חזקת אי הרטרואקטיבית. רק לאחר שצלח מחוקק המשנה את שלב בדיקת הסמכות, יש להמשיך ולבדוק אם חקיקת המשנה עומדת גם במבחן הסבירות (ראו עניין שגיא, 597-598). </w:t>
      </w:r>
    </w:p>
    <w:p w:rsidR="00241BC2" w:rsidRPr="008616A8" w:rsidRDefault="00241BC2" w:rsidP="00241BC2">
      <w:pPr>
        <w:rPr>
          <w:rFonts w:cs="FrankRuehl"/>
          <w:sz w:val="22"/>
          <w:szCs w:val="22"/>
          <w:rtl/>
        </w:rPr>
      </w:pPr>
      <w:r w:rsidRPr="008616A8">
        <w:rPr>
          <w:rFonts w:cs="FrankRuehl" w:hint="cs"/>
          <w:sz w:val="22"/>
          <w:szCs w:val="22"/>
          <w:rtl/>
        </w:rPr>
        <w:tab/>
        <w:t>בפסק דינו בפרשת רשות שדות התעופה ניתח השופט זמיר את סוגיית חקיקת המשנה הרטרואקטיבית מנקודת הראות של המשפט המינהלי ושירטט את גבולותיה.</w:t>
      </w:r>
    </w:p>
    <w:p w:rsidR="00241BC2" w:rsidRPr="008616A8" w:rsidRDefault="00241BC2" w:rsidP="00241BC2">
      <w:pPr>
        <w:rPr>
          <w:rFonts w:cs="FrankRuehl"/>
          <w:sz w:val="22"/>
          <w:szCs w:val="22"/>
          <w:rtl/>
        </w:rPr>
      </w:pPr>
      <w:r w:rsidRPr="008616A8">
        <w:rPr>
          <w:rFonts w:cs="FrankRuehl" w:hint="cs"/>
          <w:sz w:val="22"/>
          <w:szCs w:val="22"/>
          <w:rtl/>
        </w:rPr>
        <w:tab/>
        <w:t>חוקי היסוד אשר היקנו מעמד על לזכויות היסוד הוסיפו מימד נוסף לדיון בשאלת התחולה הרטרואקטיבית של חקיקת משנה, בנסיבות בהן מתקיימת פגיעה בזכויות יסוד חוקתיות. בהיבט החוקתי נקבע בפסקת ההגבלה הקבועה בסעיף 8 ל</w:t>
      </w:r>
      <w:hyperlink r:id="rId394" w:history="1">
        <w:r w:rsidRPr="008616A8">
          <w:rPr>
            <w:rStyle w:val="Hyperlink"/>
            <w:rFonts w:cs="FrankRuehl" w:hint="eastAsia"/>
            <w:sz w:val="22"/>
            <w:szCs w:val="22"/>
            <w:rtl/>
          </w:rPr>
          <w:t>חוק</w:t>
        </w:r>
        <w:r w:rsidRPr="008616A8">
          <w:rPr>
            <w:rStyle w:val="Hyperlink"/>
            <w:rFonts w:cs="FrankRuehl"/>
            <w:sz w:val="22"/>
            <w:szCs w:val="22"/>
            <w:rtl/>
          </w:rPr>
          <w:t>-יסוד: כבוד האדם וחירותו</w:t>
        </w:r>
      </w:hyperlink>
      <w:r w:rsidRPr="008616A8">
        <w:rPr>
          <w:rFonts w:cs="FrankRuehl" w:hint="cs"/>
          <w:sz w:val="22"/>
          <w:szCs w:val="22"/>
          <w:rtl/>
        </w:rPr>
        <w:t xml:space="preserve"> כי: </w:t>
      </w:r>
    </w:p>
    <w:p w:rsidR="00241BC2" w:rsidRPr="008616A8" w:rsidRDefault="00241BC2" w:rsidP="00241BC2">
      <w:pPr>
        <w:ind w:left="720"/>
        <w:rPr>
          <w:rFonts w:cs="FrankRuehl"/>
          <w:sz w:val="22"/>
          <w:szCs w:val="22"/>
          <w:rtl/>
        </w:rPr>
      </w:pPr>
      <w:r w:rsidRPr="008616A8">
        <w:rPr>
          <w:rFonts w:cs="FrankRuehl" w:hint="cs"/>
          <w:sz w:val="22"/>
          <w:szCs w:val="22"/>
          <w:rtl/>
        </w:rPr>
        <w:t xml:space="preserve">"אין פוגעים בזכויות שלפי חוק-יסוד זה אלא בחוק ההולם את ערכיה של מדינת ישראל, שנועד לתכלית ראויה, ובמידה שאינה עולה על הנדרש או לפי חוק כאמור </w:t>
      </w:r>
      <w:r w:rsidRPr="008616A8">
        <w:rPr>
          <w:rFonts w:cs="FrankRuehl" w:hint="cs"/>
          <w:b/>
          <w:bCs/>
          <w:sz w:val="22"/>
          <w:szCs w:val="22"/>
          <w:rtl/>
        </w:rPr>
        <w:t>מכוח הסמכה מפורשת בו</w:t>
      </w:r>
      <w:r w:rsidRPr="008616A8">
        <w:rPr>
          <w:rFonts w:cs="FrankRuehl" w:hint="cs"/>
          <w:sz w:val="22"/>
          <w:szCs w:val="22"/>
          <w:rtl/>
        </w:rPr>
        <w:t xml:space="preserve">". [ההדגשה הוספה – ד.ב]. </w:t>
      </w:r>
    </w:p>
    <w:p w:rsidR="00241BC2" w:rsidRDefault="00241BC2" w:rsidP="00241BC2">
      <w:pPr>
        <w:rPr>
          <w:rFonts w:cs="FrankRuehl"/>
          <w:sz w:val="22"/>
          <w:szCs w:val="22"/>
          <w:rtl/>
        </w:rPr>
      </w:pPr>
      <w:r w:rsidRPr="008616A8">
        <w:rPr>
          <w:rFonts w:cs="FrankRuehl" w:hint="cs"/>
          <w:sz w:val="22"/>
          <w:szCs w:val="22"/>
          <w:rtl/>
        </w:rPr>
        <w:t>כעולה מנוסח פסקת ההגבלה, פגיעה בזכות חוקתית המעוגנת ב</w:t>
      </w:r>
      <w:hyperlink r:id="rId395" w:history="1">
        <w:r w:rsidRPr="008616A8">
          <w:rPr>
            <w:rStyle w:val="Hyperlink"/>
            <w:rFonts w:cs="FrankRuehl" w:hint="eastAsia"/>
            <w:sz w:val="22"/>
            <w:szCs w:val="22"/>
            <w:rtl/>
          </w:rPr>
          <w:t>חוק</w:t>
        </w:r>
        <w:r w:rsidRPr="008616A8">
          <w:rPr>
            <w:rStyle w:val="Hyperlink"/>
            <w:rFonts w:cs="FrankRuehl"/>
            <w:sz w:val="22"/>
            <w:szCs w:val="22"/>
            <w:rtl/>
          </w:rPr>
          <w:t>-יסוד: כבוד האדם וחירותו</w:t>
        </w:r>
      </w:hyperlink>
      <w:r w:rsidRPr="008616A8">
        <w:rPr>
          <w:rFonts w:cs="FrankRuehl" w:hint="cs"/>
          <w:sz w:val="22"/>
          <w:szCs w:val="22"/>
          <w:rtl/>
        </w:rPr>
        <w:t xml:space="preserve">, תתאפשר רק מתוקף חוק או הסמכה מפורשת בו (ובכפוף לעמידה ביתר תנאי פסקת ההגבלה). לפיכך, ברי כי בבואנו לתור אחר מקור סמכותו של מחוקק המשנה לקביעתה של חקיקה רטרואקטיבית, </w:t>
      </w:r>
      <w:r w:rsidRPr="00B87CFD">
        <w:rPr>
          <w:rFonts w:cs="FrankRuehl" w:hint="cs"/>
          <w:sz w:val="22"/>
          <w:szCs w:val="22"/>
          <w:highlight w:val="yellow"/>
          <w:rtl/>
        </w:rPr>
        <w:t>לא נוכל עוד להסתפק בקיומה של סמכות משתמעת לעשות כן – כפי שהוכרה בנסיבות המתאימות במסגרת פרשת רשות שדות התעופה - ומקום בו לא תמצא סמכות מפורשת ליצירתה של חקיקה כאמור, לא תוכל עוד חקיקת המשנה לעמוד</w:t>
      </w:r>
      <w:r w:rsidRPr="008616A8">
        <w:rPr>
          <w:rFonts w:cs="FrankRuehl" w:hint="cs"/>
          <w:sz w:val="22"/>
          <w:szCs w:val="22"/>
          <w:rtl/>
        </w:rPr>
        <w:t xml:space="preserve">. </w:t>
      </w:r>
    </w:p>
    <w:p w:rsidR="00241BC2" w:rsidRPr="008616A8" w:rsidRDefault="00241BC2" w:rsidP="00241BC2">
      <w:pPr>
        <w:rPr>
          <w:rFonts w:cs="FrankRuehl"/>
          <w:sz w:val="22"/>
          <w:szCs w:val="22"/>
          <w:rtl/>
        </w:rPr>
      </w:pPr>
    </w:p>
    <w:p w:rsidR="00241BC2" w:rsidRPr="00462496" w:rsidRDefault="00241BC2" w:rsidP="00241BC2">
      <w:pPr>
        <w:rPr>
          <w:rFonts w:cs="FrankRuehl"/>
          <w:sz w:val="22"/>
          <w:szCs w:val="22"/>
          <w:rtl/>
        </w:rPr>
      </w:pPr>
      <w:r w:rsidRPr="00462496">
        <w:rPr>
          <w:rFonts w:cs="FrankRuehl" w:hint="cs"/>
          <w:sz w:val="22"/>
          <w:szCs w:val="22"/>
          <w:rtl/>
        </w:rPr>
        <w:t>8.</w:t>
      </w:r>
      <w:r w:rsidRPr="00462496">
        <w:rPr>
          <w:rFonts w:cs="FrankRuehl" w:hint="cs"/>
          <w:sz w:val="22"/>
          <w:szCs w:val="22"/>
          <w:rtl/>
        </w:rPr>
        <w:tab/>
        <w:t xml:space="preserve">בעקבות חקיקת </w:t>
      </w:r>
      <w:hyperlink r:id="rId396" w:history="1">
        <w:r w:rsidRPr="00462496">
          <w:rPr>
            <w:rStyle w:val="Hyperlink"/>
            <w:rFonts w:cs="FrankRuehl" w:hint="eastAsia"/>
            <w:sz w:val="22"/>
            <w:szCs w:val="22"/>
            <w:rtl/>
          </w:rPr>
          <w:t>חוק</w:t>
        </w:r>
        <w:r w:rsidRPr="00462496">
          <w:rPr>
            <w:rStyle w:val="Hyperlink"/>
            <w:rFonts w:cs="FrankRuehl"/>
            <w:sz w:val="22"/>
            <w:szCs w:val="22"/>
            <w:rtl/>
          </w:rPr>
          <w:t>-יסוד: חופש העיסוק</w:t>
        </w:r>
      </w:hyperlink>
      <w:r w:rsidRPr="00462496">
        <w:rPr>
          <w:rFonts w:cs="FrankRuehl" w:hint="cs"/>
          <w:sz w:val="22"/>
          <w:szCs w:val="22"/>
          <w:rtl/>
        </w:rPr>
        <w:t xml:space="preserve"> ו</w:t>
      </w:r>
      <w:hyperlink r:id="rId397" w:history="1">
        <w:r w:rsidRPr="00462496">
          <w:rPr>
            <w:rStyle w:val="Hyperlink"/>
            <w:rFonts w:cs="FrankRuehl" w:hint="eastAsia"/>
            <w:sz w:val="22"/>
            <w:szCs w:val="22"/>
            <w:rtl/>
          </w:rPr>
          <w:t>חוק</w:t>
        </w:r>
        <w:r w:rsidRPr="00462496">
          <w:rPr>
            <w:rStyle w:val="Hyperlink"/>
            <w:rFonts w:cs="FrankRuehl"/>
            <w:sz w:val="22"/>
            <w:szCs w:val="22"/>
            <w:rtl/>
          </w:rPr>
          <w:t>-יסוד: כבוד האדם וחירותו</w:t>
        </w:r>
      </w:hyperlink>
      <w:r w:rsidRPr="00462496">
        <w:rPr>
          <w:rFonts w:cs="FrankRuehl" w:hint="cs"/>
          <w:sz w:val="22"/>
          <w:szCs w:val="22"/>
          <w:rtl/>
        </w:rPr>
        <w:t xml:space="preserve">, עלה שוב הצורך בבחינת פרשנותה של דרישת ההסמכה המפורשת, אשר עוגנה בהם במסגרת פסקת ההגבלה. כאמור, אין חולק על תפיסת העל שביסוד דרישה זו, המבקשת במהותה להביא לצמצום הפגיעה בזכויות היסוד באמצעות חקיקת משנה. </w:t>
      </w:r>
      <w:r w:rsidRPr="00462496">
        <w:rPr>
          <w:rFonts w:cs="FrankRuehl" w:hint="cs"/>
          <w:sz w:val="22"/>
          <w:szCs w:val="22"/>
          <w:highlight w:val="yellow"/>
          <w:rtl/>
        </w:rPr>
        <w:t>עם זאת, עשויה להתעורר שאלה פרשנית מתי תחשב הסמכה בחוק ל"מפורשת" כמשמעותה בפסקת ההגבלה - כך למשל עשויה להתעורר השאלה האם ניתן להסתפק בהסמכה כללית בחוק המאפשרת פגיעה בזכויות יסוד, או שמא נדרשת הסמכה פרטנית; האם די בהסמכה לקביעת הסדרים בחקיקת משנה, או שנדרש גם פירוט המתייחס לטיב ההסדרים.</w:t>
      </w:r>
      <w:r w:rsidRPr="00462496">
        <w:rPr>
          <w:rFonts w:cs="FrankRuehl" w:hint="cs"/>
          <w:sz w:val="22"/>
          <w:szCs w:val="22"/>
          <w:rtl/>
        </w:rPr>
        <w:t xml:space="preserve"> </w:t>
      </w:r>
    </w:p>
    <w:p w:rsidR="00241BC2" w:rsidRPr="00462496" w:rsidRDefault="00241BC2" w:rsidP="00241BC2">
      <w:pPr>
        <w:rPr>
          <w:rFonts w:cs="FrankRuehl"/>
          <w:sz w:val="22"/>
          <w:szCs w:val="22"/>
          <w:rtl/>
        </w:rPr>
      </w:pPr>
      <w:r w:rsidRPr="00462496">
        <w:rPr>
          <w:rFonts w:cs="FrankRuehl" w:hint="cs"/>
          <w:sz w:val="22"/>
          <w:szCs w:val="22"/>
          <w:rtl/>
        </w:rPr>
        <w:tab/>
        <w:t xml:space="preserve">הכרעה בשאלות פרשניות אלו מחייבת איזון בין מספר שיקולים, עליהם עמדתי בהרחבה במסגרת פרשת המפקד הלאומי. מן הצד האחד, עומדים עקרונות הפרדת הרשויות, שלטון החוק והדמוקרטיה במובנה הפורמאלי-ייצוגי ובמובנה המהותי, המחייבים כי נורמות עיקריות יקבעו בחקיקה ראשית, ורק דרכי ההגשמה ויישום נורמות אלו יכול ויקבעו בחקיקת משנה (וראו לעניין זה בהרחבה: </w:t>
      </w:r>
      <w:hyperlink r:id="rId398" w:history="1">
        <w:r w:rsidRPr="00462496">
          <w:rPr>
            <w:rStyle w:val="Hyperlink"/>
            <w:rFonts w:cs="FrankRuehl"/>
            <w:sz w:val="22"/>
            <w:szCs w:val="22"/>
            <w:rtl/>
          </w:rPr>
          <w:t>בג"ץ 3267/97 רובינשטיין נ' שר הבטחון, פ"ד נב</w:t>
        </w:r>
      </w:hyperlink>
      <w:r w:rsidRPr="00462496">
        <w:rPr>
          <w:rFonts w:cs="FrankRuehl" w:hint="cs"/>
          <w:sz w:val="22"/>
          <w:szCs w:val="22"/>
          <w:rtl/>
        </w:rPr>
        <w:t xml:space="preserve">(5) 481 (1998) (להלן: פרשת רובינשטיין); </w:t>
      </w:r>
      <w:hyperlink r:id="rId399" w:history="1">
        <w:r w:rsidRPr="00462496">
          <w:rPr>
            <w:rStyle w:val="Hyperlink"/>
            <w:rFonts w:cs="FrankRuehl"/>
            <w:sz w:val="22"/>
            <w:szCs w:val="22"/>
            <w:rtl/>
          </w:rPr>
          <w:t>בג"ץ 244/00 עמותת שיח חדש למען השיח הדמוקרטי נ' שר התשתיות הלאומיות, פ"ד נו</w:t>
        </w:r>
      </w:hyperlink>
      <w:r w:rsidRPr="00462496">
        <w:rPr>
          <w:rFonts w:cs="FrankRuehl" w:hint="cs"/>
          <w:sz w:val="22"/>
          <w:szCs w:val="22"/>
          <w:rtl/>
        </w:rPr>
        <w:t>(6) 25, 56 (2002) והאסמכתאות המובאות שם (להלן: פרשת שיח חדש)). תפיסה זו היא אף העומדת בבסיס החזקה הפרשנית לפיה אין בכוונתו של המחוקק הראשי להסמיך את הרשות המבצעת לקבוע הסדרים הפוגעים בזכויות-אדם בחקיקת-משנה (ראו פרשת עמותת שיח חדש עמ' 56-57; פרשת רובינשטיין, עמ' 523). שיקולים חוקתיים אלו, עשויים לתמוך בפרשנות קפדנית ודווקנית לדרישת ההסמכה המפורשת הקבועה בפסקת ההגבלה, כך שלצורך פגיעה בזכויות מוגנות באמצעות חקיקת משנה לא נסתפק בהסמכה כוללנית, סתמית וגורפת כי אם בהרשאה בלשון ברורה המפרטת את מהות הפגיעה.</w:t>
      </w:r>
    </w:p>
    <w:p w:rsidR="00241BC2" w:rsidRDefault="00241BC2" w:rsidP="00241BC2">
      <w:pPr>
        <w:rPr>
          <w:rFonts w:cs="FrankRuehl"/>
          <w:sz w:val="22"/>
          <w:szCs w:val="22"/>
          <w:rtl/>
        </w:rPr>
      </w:pPr>
      <w:r w:rsidRPr="00462496">
        <w:rPr>
          <w:rFonts w:cs="FrankRuehl" w:hint="cs"/>
          <w:sz w:val="22"/>
          <w:szCs w:val="22"/>
          <w:rtl/>
        </w:rPr>
        <w:tab/>
        <w:t xml:space="preserve">מן הצד האחר, עומדת הגישה הפרשנית המחייבת התחשבות בתנאי המציאות המודרנית, בה היקף הנושאים הדורשים הסדר תחיקתי הינו רב עד למאד ואינו מאפשר למחוקק הראשי להידרש בעצמו למכלול הסוגיות. במצב דברים זה, נקיטה בגישה הפרשנית הדווקנית לדרישת ההסמכה המפורשת, עלולה להוביל לחקיקה ראשית איטית ומסורבלת שתקשה על התאמתה לצורכי החיים המשתנים. מצב זה אינו רצוי שכן הוא עלול לפגוע באינטרס הציבורי הרחב וכנגזרת מכך אף בזכויות אדם. זאת ועוד, נראה כי פרשנות קפדנית לדרישת ה"הסמכה המפורשת" עלולה להצר יתר על המידה את רשויות המינהל בקביעת הסדרים בעניינים המסורים לסמכותם ובתחום מומחיותם (ראו גם פסקה 36 לפסק דינה של השופטת מ' נאור בפרשת המפקד הלאומי; </w:t>
      </w:r>
      <w:hyperlink r:id="rId400" w:history="1">
        <w:r w:rsidRPr="00462496">
          <w:rPr>
            <w:rStyle w:val="Hyperlink"/>
            <w:rFonts w:cs="FrankRuehl"/>
            <w:sz w:val="22"/>
            <w:szCs w:val="22"/>
            <w:rtl/>
          </w:rPr>
          <w:t>בג"ץ 1437/02</w:t>
        </w:r>
        <w:r w:rsidRPr="00462496">
          <w:rPr>
            <w:rStyle w:val="Hyperlink"/>
            <w:rFonts w:cs="FrankRuehl" w:hint="cs"/>
            <w:sz w:val="22"/>
            <w:szCs w:val="22"/>
            <w:rtl/>
          </w:rPr>
          <w:t xml:space="preserve"> האגודה לזכויות האזרח נ' השר לבטחון פנים, נח</w:t>
        </w:r>
      </w:hyperlink>
      <w:r w:rsidRPr="00462496">
        <w:rPr>
          <w:rFonts w:cs="FrankRuehl" w:hint="cs"/>
          <w:sz w:val="22"/>
          <w:szCs w:val="22"/>
          <w:rtl/>
        </w:rPr>
        <w:t xml:space="preserve">(2) 746, 759-760 (2004)). </w:t>
      </w:r>
      <w:r w:rsidRPr="00462496">
        <w:rPr>
          <w:rFonts w:cs="FrankRuehl" w:hint="cs"/>
          <w:sz w:val="22"/>
          <w:szCs w:val="22"/>
          <w:highlight w:val="yellow"/>
          <w:rtl/>
        </w:rPr>
        <w:t>היבטים אלה עשויים להצדיק מתן משמעות מרוככת יותר לדרישת "ההסמכה המפורשת", בנסיבות בהן ההרשאה לפגיעה בזכות יסוד תתחייב מתכליתו של החוק המסמיך, מבלי לחייב לשון מפורשת והסדר מפורט בחקיקה ראשית בנוגע לתוכן הפגיעה בזכות המוגנת ובהיקפה</w:t>
      </w:r>
      <w:r w:rsidRPr="00462496">
        <w:rPr>
          <w:rFonts w:cs="FrankRuehl" w:hint="cs"/>
          <w:sz w:val="22"/>
          <w:szCs w:val="22"/>
          <w:rtl/>
        </w:rPr>
        <w:t xml:space="preserve"> </w:t>
      </w:r>
      <w:r w:rsidRPr="00462496">
        <w:rPr>
          <w:rFonts w:cs="FrankRuehl" w:hint="cs"/>
          <w:sz w:val="22"/>
          <w:szCs w:val="22"/>
          <w:highlight w:val="yellow"/>
          <w:rtl/>
        </w:rPr>
        <w:t>(והשוו: מאמרו של גזל הנ"ל, עמ' 416). כפי שציינתי במסגרת פרשת המפקד הלאומי, גישה דומה נוהגת גם בשיטת המשפט האנגלית, במסגרתה נקבע כי לא רק לשון מפורשת כי אם גם כוונה העולה באופן הכרחי מן החקיקה יכולה לסתור את החזקה הפרשנית לפיה מחוקק המשנה אינו מוסמך לקבוע הסדרים שיש בהם משום פגיעה בזכויות ובעקרונות יסוד של השיטה</w:t>
      </w:r>
      <w:r>
        <w:rPr>
          <w:rFonts w:cs="FrankRuehl" w:hint="cs"/>
          <w:sz w:val="22"/>
          <w:szCs w:val="22"/>
          <w:rtl/>
        </w:rPr>
        <w:t>...</w:t>
      </w:r>
    </w:p>
    <w:p w:rsidR="00241BC2" w:rsidRPr="003F52E3" w:rsidRDefault="00241BC2" w:rsidP="00241BC2">
      <w:pPr>
        <w:rPr>
          <w:rFonts w:cs="FrankRuehl"/>
          <w:sz w:val="22"/>
          <w:szCs w:val="22"/>
          <w:rtl/>
        </w:rPr>
      </w:pPr>
    </w:p>
    <w:p w:rsidR="00241BC2" w:rsidRPr="003F52E3" w:rsidRDefault="00241BC2" w:rsidP="00241BC2">
      <w:pPr>
        <w:rPr>
          <w:rFonts w:cs="FrankRuehl"/>
          <w:sz w:val="22"/>
          <w:szCs w:val="22"/>
          <w:rtl/>
        </w:rPr>
      </w:pPr>
      <w:r w:rsidRPr="003F52E3">
        <w:rPr>
          <w:rFonts w:cs="FrankRuehl" w:hint="cs"/>
          <w:sz w:val="22"/>
          <w:szCs w:val="22"/>
          <w:rtl/>
        </w:rPr>
        <w:t>9.</w:t>
      </w:r>
      <w:r w:rsidRPr="003F52E3">
        <w:rPr>
          <w:rFonts w:cs="FrankRuehl" w:hint="cs"/>
          <w:sz w:val="22"/>
          <w:szCs w:val="22"/>
          <w:rtl/>
        </w:rPr>
        <w:tab/>
      </w:r>
      <w:r>
        <w:rPr>
          <w:rFonts w:cs="FrankRuehl" w:hint="cs"/>
          <w:sz w:val="22"/>
          <w:szCs w:val="22"/>
          <w:rtl/>
        </w:rPr>
        <w:t>...</w:t>
      </w:r>
      <w:r w:rsidRPr="003F52E3">
        <w:rPr>
          <w:rFonts w:cs="FrankRuehl" w:hint="cs"/>
          <w:sz w:val="22"/>
          <w:szCs w:val="22"/>
          <w:rtl/>
        </w:rPr>
        <w:t xml:space="preserve">נוכח מורכבות זאת, כבר פסקנו בעבר כי פרשנותה ואופן יישום תנאיה המהותיים של פסקת ההגבלה – ובמיוחד דרישת התכלית הראויה והמידתיות - נעשים באופן תלוי הקשר, תוך התחשבות במהות הזכות הנפגעת, בתכלית אותה מבקשת החקיקה הפוגעת להשיג ובעוצמתה של הפגיעה הנגרמת (ראו </w:t>
      </w:r>
      <w:hyperlink r:id="rId401" w:history="1">
        <w:r w:rsidRPr="003F52E3">
          <w:rPr>
            <w:rStyle w:val="Hyperlink"/>
            <w:rFonts w:cs="FrankRuehl"/>
            <w:sz w:val="22"/>
            <w:szCs w:val="22"/>
            <w:rtl/>
          </w:rPr>
          <w:t>ברק-פרשנות חוקתית</w:t>
        </w:r>
      </w:hyperlink>
      <w:r w:rsidRPr="003F52E3">
        <w:rPr>
          <w:rFonts w:cs="FrankRuehl" w:hint="cs"/>
          <w:sz w:val="22"/>
          <w:szCs w:val="22"/>
          <w:rtl/>
        </w:rPr>
        <w:t xml:space="preserve"> הנ"ל; כן ראו דבריי ב</w:t>
      </w:r>
      <w:hyperlink r:id="rId402" w:history="1">
        <w:r w:rsidRPr="003F52E3">
          <w:rPr>
            <w:rStyle w:val="Hyperlink"/>
            <w:rFonts w:cs="FrankRuehl"/>
            <w:sz w:val="22"/>
            <w:szCs w:val="22"/>
            <w:rtl/>
          </w:rPr>
          <w:t>בג"ץ 4769/95 מנחם נ' שר התחבורה, פ"ד נז</w:t>
        </w:r>
      </w:hyperlink>
      <w:r w:rsidRPr="003F52E3">
        <w:rPr>
          <w:rFonts w:cs="FrankRuehl" w:hint="cs"/>
          <w:sz w:val="22"/>
          <w:szCs w:val="22"/>
          <w:rtl/>
        </w:rPr>
        <w:t>(1) 235, 258-259 (2002) (להלן: פרשת מנחם)). עוד נקבע כבר, כי בהתאם לנסיבות העניין, הזכויות המוגנות השונות אינן בהכרח בעלות מעמד שווה, והן עשויות לזכות למידה שונה של הגנה. גם מעמדה של אותה זכות עצמה עשוי להיות שונה בהקשרים שונים, ומשכך לזכותה במידת הגנה שונה (ראו פרשת חורב, עמ' 49). התייחס לכך השופט זמיר ב</w:t>
      </w:r>
      <w:hyperlink r:id="rId403" w:history="1">
        <w:r w:rsidRPr="003F52E3">
          <w:rPr>
            <w:rStyle w:val="Hyperlink"/>
            <w:rFonts w:cs="FrankRuehl"/>
            <w:sz w:val="22"/>
            <w:szCs w:val="22"/>
            <w:rtl/>
          </w:rPr>
          <w:t>בג"ץ 6055/95 צמח נ' שר הביטחון (פ"ד נג</w:t>
        </w:r>
      </w:hyperlink>
      <w:r w:rsidRPr="003F52E3">
        <w:rPr>
          <w:rFonts w:cs="FrankRuehl" w:hint="cs"/>
          <w:sz w:val="22"/>
          <w:szCs w:val="22"/>
          <w:rtl/>
        </w:rPr>
        <w:t>(5) 241, 262 (1999) (להלן: פרשת צמח):</w:t>
      </w:r>
    </w:p>
    <w:p w:rsidR="00241BC2" w:rsidRPr="003F52E3" w:rsidRDefault="00241BC2" w:rsidP="00241BC2">
      <w:pPr>
        <w:ind w:left="1440"/>
        <w:rPr>
          <w:rFonts w:cs="FrankRuehl"/>
          <w:sz w:val="22"/>
          <w:szCs w:val="22"/>
          <w:rtl/>
        </w:rPr>
      </w:pPr>
      <w:r w:rsidRPr="003F52E3">
        <w:rPr>
          <w:rFonts w:cs="FrankRuehl" w:hint="cs"/>
          <w:sz w:val="22"/>
          <w:szCs w:val="22"/>
          <w:highlight w:val="yellow"/>
          <w:rtl/>
        </w:rPr>
        <w:t>"מבחינה עקרונית, רמת ההגנה על זכות יסוד צריכה לעמוד ביחס ישר לדרגת החשיבות של הזכות ולעוצמת הפגיעה בזכות. בהתאם לכך, יכול להיות הבדל, לדוגמה, בין רמת ההגנה על החירות האישית לבין רמת ההגנה על זכות הקניין, כשם שיכול להיות הבדל ברמת ההגנה בין מקרה של שלילה מוחלטת של החירות לבין מקרה של פגיעה מוגבלת בחירות"</w:t>
      </w:r>
      <w:r w:rsidRPr="003F52E3">
        <w:rPr>
          <w:rFonts w:cs="FrankRuehl" w:hint="cs"/>
          <w:sz w:val="22"/>
          <w:szCs w:val="22"/>
          <w:rtl/>
        </w:rPr>
        <w:t xml:space="preserve">. </w:t>
      </w:r>
    </w:p>
    <w:p w:rsidR="00241BC2" w:rsidRDefault="00241BC2" w:rsidP="00241BC2">
      <w:pPr>
        <w:rPr>
          <w:rFonts w:cs="FrankRuehl"/>
          <w:sz w:val="22"/>
          <w:szCs w:val="22"/>
          <w:rtl/>
        </w:rPr>
      </w:pPr>
      <w:r w:rsidRPr="003F52E3">
        <w:rPr>
          <w:rFonts w:cs="FrankRuehl" w:hint="cs"/>
          <w:sz w:val="22"/>
          <w:szCs w:val="22"/>
          <w:rtl/>
        </w:rPr>
        <w:tab/>
        <w:t>בהתאם לדברים אלה, נקבע בפסיקתינו כי בבואנו לקבוע אם תכלית מסוימת עונה על דרישת "התכלית הראויה" שבפסקת ההגבלה, יש להתחשב במהותה של הזכות הנפגעת. כך נקבע שככל שהזכות הינה זכות חשובה יותר ובעלת ערך חברתי רב, נדרשות מטרות חשובות ומהותיות יותר על מנת להצדיק את הפגיעה בה</w:t>
      </w:r>
      <w:r>
        <w:rPr>
          <w:rFonts w:cs="FrankRuehl" w:hint="cs"/>
          <w:sz w:val="22"/>
          <w:szCs w:val="22"/>
          <w:rtl/>
        </w:rPr>
        <w:t xml:space="preserve">. ... </w:t>
      </w:r>
    </w:p>
    <w:p w:rsidR="00241BC2" w:rsidRPr="003F52E3" w:rsidRDefault="00241BC2" w:rsidP="00241BC2">
      <w:pPr>
        <w:rPr>
          <w:rFonts w:cs="FrankRuehl"/>
          <w:sz w:val="22"/>
          <w:szCs w:val="22"/>
          <w:rtl/>
        </w:rPr>
      </w:pPr>
    </w:p>
    <w:p w:rsidR="00241BC2" w:rsidRPr="003F52E3" w:rsidRDefault="00241BC2" w:rsidP="00241BC2">
      <w:pPr>
        <w:rPr>
          <w:rFonts w:cs="FrankRuehl"/>
          <w:sz w:val="22"/>
          <w:szCs w:val="22"/>
          <w:rtl/>
        </w:rPr>
      </w:pPr>
      <w:r w:rsidRPr="003F52E3">
        <w:rPr>
          <w:rFonts w:cs="FrankRuehl" w:hint="cs"/>
          <w:sz w:val="22"/>
          <w:szCs w:val="22"/>
          <w:rtl/>
        </w:rPr>
        <w:t>10.</w:t>
      </w:r>
      <w:r w:rsidRPr="003F52E3">
        <w:rPr>
          <w:rFonts w:cs="FrankRuehl" w:hint="cs"/>
          <w:sz w:val="22"/>
          <w:szCs w:val="22"/>
          <w:rtl/>
        </w:rPr>
        <w:tab/>
        <w:t>גם באשר לדרישת המידתיות נקבע בפסיקתנו כי "...כעוצמת הזכות הנפגעת או כעוצמתה [של] הפגיעה בזכות כן תהא עוצמת הקפדתנו עם הרשות בעילת המידתיות" (</w:t>
      </w:r>
      <w:hyperlink r:id="rId404" w:history="1">
        <w:r w:rsidRPr="003F52E3">
          <w:rPr>
            <w:rStyle w:val="Hyperlink"/>
            <w:rFonts w:cs="FrankRuehl"/>
            <w:sz w:val="22"/>
            <w:szCs w:val="22"/>
            <w:rtl/>
          </w:rPr>
          <w:t>בג"ץ 3648/97 סטמקה נ' שר הפנים, פ"ד נג</w:t>
        </w:r>
      </w:hyperlink>
      <w:r w:rsidRPr="003F52E3">
        <w:rPr>
          <w:rFonts w:cs="FrankRuehl" w:hint="cs"/>
          <w:sz w:val="22"/>
          <w:szCs w:val="22"/>
          <w:rtl/>
        </w:rPr>
        <w:t xml:space="preserve">(2) 728, 777 (1999) מפי השופט (כתוארו אז) מ' חשין; </w:t>
      </w:r>
      <w:r>
        <w:rPr>
          <w:rFonts w:cs="FrankRuehl" w:hint="cs"/>
          <w:sz w:val="22"/>
          <w:szCs w:val="22"/>
          <w:rtl/>
        </w:rPr>
        <w:t>..</w:t>
      </w:r>
      <w:r w:rsidRPr="003F52E3">
        <w:rPr>
          <w:rFonts w:cs="FrankRuehl" w:hint="cs"/>
          <w:sz w:val="22"/>
          <w:szCs w:val="22"/>
          <w:rtl/>
        </w:rPr>
        <w:t xml:space="preserve">. יצוין כי בכל הנוגע לדרישת המידתיות, בחינתה של עוצמת הפגיעה הינה למעשה חלק אינהרנטי ממבחניה של דרישה זו, ובעיקר ממבחן המשנה השלישי, אשר במסגרתו נבחן היחס בין עוצמת הפגיעה ובין התועלת הצומחת מפגיעה זו (ראו: </w:t>
      </w:r>
      <w:hyperlink r:id="rId405" w:history="1">
        <w:r w:rsidRPr="003F52E3">
          <w:rPr>
            <w:rStyle w:val="Hyperlink"/>
            <w:rFonts w:cs="FrankRuehl"/>
            <w:sz w:val="22"/>
            <w:szCs w:val="22"/>
            <w:rtl/>
          </w:rPr>
          <w:t>בג"ץ 316/03 בכרי נ' המועצה לביקורת סרטים, פ"ד נח</w:t>
        </w:r>
      </w:hyperlink>
      <w:r w:rsidRPr="003F52E3">
        <w:rPr>
          <w:rFonts w:cs="FrankRuehl" w:hint="cs"/>
          <w:sz w:val="22"/>
          <w:szCs w:val="22"/>
          <w:rtl/>
        </w:rPr>
        <w:t>(1) 249, 268 (2003)</w:t>
      </w:r>
      <w:r>
        <w:rPr>
          <w:rFonts w:cs="FrankRuehl" w:hint="cs"/>
          <w:sz w:val="22"/>
          <w:szCs w:val="22"/>
          <w:rtl/>
        </w:rPr>
        <w:t>..</w:t>
      </w:r>
      <w:r w:rsidRPr="003F52E3">
        <w:rPr>
          <w:rFonts w:cs="FrankRuehl" w:hint="cs"/>
          <w:sz w:val="22"/>
          <w:szCs w:val="22"/>
          <w:rtl/>
        </w:rPr>
        <w:t xml:space="preserve">. </w:t>
      </w:r>
    </w:p>
    <w:p w:rsidR="00241BC2" w:rsidRDefault="00241BC2" w:rsidP="00241BC2">
      <w:pPr>
        <w:rPr>
          <w:rFonts w:cs="FrankRuehl"/>
          <w:sz w:val="22"/>
          <w:szCs w:val="22"/>
          <w:rtl/>
        </w:rPr>
      </w:pPr>
      <w:r w:rsidRPr="003F52E3">
        <w:rPr>
          <w:rFonts w:cs="FrankRuehl" w:hint="cs"/>
          <w:sz w:val="22"/>
          <w:szCs w:val="22"/>
          <w:rtl/>
        </w:rPr>
        <w:tab/>
        <w:t xml:space="preserve">הנה כי כן, כבר נקבע בפסיקתו של בית משפט זה כי מהותה של הזכות הנפגעת ועוצמת הפגיעה בזכות משפיעות על האופן בו תיבחנה דרישותיה המהותיות של פסקת ההגבלה. היינו, ככל שהפגיעה בזכות הינה גדולה יותר, כך תידרשנה מטרות חשובות יותר על מנת לעמוד בדרישת התכלית הראויה, וכך ידרשו אינטרסים מהותיים יותר על מנת לעמוד בדרישת המידתיות. </w:t>
      </w:r>
    </w:p>
    <w:p w:rsidR="00241BC2" w:rsidRPr="003F52E3" w:rsidRDefault="00241BC2" w:rsidP="00241BC2">
      <w:pPr>
        <w:rPr>
          <w:rFonts w:cs="FrankRuehl"/>
          <w:sz w:val="22"/>
          <w:szCs w:val="22"/>
          <w:rtl/>
        </w:rPr>
      </w:pPr>
    </w:p>
    <w:p w:rsidR="00241BC2" w:rsidRDefault="00241BC2" w:rsidP="00241BC2">
      <w:pPr>
        <w:rPr>
          <w:rFonts w:cs="FrankRuehl"/>
          <w:sz w:val="22"/>
          <w:szCs w:val="22"/>
          <w:rtl/>
        </w:rPr>
      </w:pPr>
      <w:r w:rsidRPr="003F52E3">
        <w:rPr>
          <w:rFonts w:cs="FrankRuehl" w:hint="cs"/>
          <w:sz w:val="22"/>
          <w:szCs w:val="22"/>
          <w:rtl/>
        </w:rPr>
        <w:t>11.</w:t>
      </w:r>
      <w:r w:rsidRPr="003F52E3">
        <w:rPr>
          <w:rFonts w:cs="FrankRuehl" w:hint="cs"/>
          <w:sz w:val="22"/>
          <w:szCs w:val="22"/>
          <w:rtl/>
        </w:rPr>
        <w:tab/>
        <w:t xml:space="preserve">העמדה הפרשנית לפיה יש לפרש את תנאיה המהותיים של פסקת ההגבלה - הן  דרישת התכלית הראויה והן דרישת המידתיות – תוך התחשבות במהות הזכות ובמידת הפגיעה בה היא בעיניי העמדה הראויה אף ביחס לדרישת ההסמכה המפורשת (וראו לעניין זה עמדתי כפי שפורטה בהרחבה בפרשת המפקד הלאומי). כאמור לעיל, אף המונח "הסמכה מפורשת" איננו מושג בעל משמעות צרה והכרחית אחת. מונח זה יוצר קשת של פרשנויות אפשריות שהבחירה ביניהן תלויה בנסיבות המקרה, </w:t>
      </w:r>
      <w:r w:rsidRPr="003F52E3">
        <w:rPr>
          <w:rFonts w:cs="FrankRuehl" w:hint="cs"/>
          <w:sz w:val="22"/>
          <w:szCs w:val="22"/>
          <w:highlight w:val="yellow"/>
          <w:rtl/>
        </w:rPr>
        <w:t>ובין היתר בטיב הזכות הנפגעת והטעמים שבבסיסה, חשיבותה החברתית היחסית של הזכות, השלכותיה החברתיות, מיהות הרשות הפוגעת [ו]בעוצמת הפגיעה הנגרמת לזכות המוגנת בהקשרם של הדברים.</w:t>
      </w:r>
      <w:r w:rsidRPr="003F52E3">
        <w:rPr>
          <w:rFonts w:cs="FrankRuehl" w:hint="cs"/>
          <w:sz w:val="22"/>
          <w:szCs w:val="22"/>
          <w:rtl/>
        </w:rPr>
        <w:t xml:space="preserve"> </w:t>
      </w:r>
    </w:p>
    <w:p w:rsidR="00241BC2" w:rsidRPr="003F52E3" w:rsidRDefault="00241BC2" w:rsidP="00241BC2">
      <w:pPr>
        <w:rPr>
          <w:rFonts w:cs="FrankRuehl"/>
          <w:sz w:val="22"/>
          <w:szCs w:val="22"/>
          <w:rtl/>
        </w:rPr>
      </w:pPr>
      <w:r w:rsidRPr="003F52E3">
        <w:rPr>
          <w:rFonts w:cs="FrankRuehl" w:hint="cs"/>
          <w:sz w:val="22"/>
          <w:szCs w:val="22"/>
          <w:rtl/>
        </w:rPr>
        <w:t xml:space="preserve">לעניין זה ציינתי בפסקה 12 בפרשת </w:t>
      </w:r>
      <w:r w:rsidRPr="003F52E3">
        <w:rPr>
          <w:rFonts w:cs="FrankRuehl" w:hint="cs"/>
          <w:b/>
          <w:bCs/>
          <w:sz w:val="22"/>
          <w:szCs w:val="22"/>
          <w:rtl/>
        </w:rPr>
        <w:t>המפקד הלאומי</w:t>
      </w:r>
      <w:r w:rsidRPr="003F52E3">
        <w:rPr>
          <w:rFonts w:cs="FrankRuehl" w:hint="cs"/>
          <w:sz w:val="22"/>
          <w:szCs w:val="22"/>
          <w:rtl/>
        </w:rPr>
        <w:t xml:space="preserve">, כי: </w:t>
      </w:r>
    </w:p>
    <w:p w:rsidR="00241BC2" w:rsidRPr="003F52E3" w:rsidRDefault="00241BC2" w:rsidP="00241BC2">
      <w:pPr>
        <w:ind w:left="720"/>
        <w:rPr>
          <w:rFonts w:cs="FrankRuehl"/>
          <w:sz w:val="22"/>
          <w:szCs w:val="22"/>
          <w:rtl/>
        </w:rPr>
      </w:pPr>
      <w:r w:rsidRPr="003F52E3">
        <w:rPr>
          <w:rFonts w:cs="FrankRuehl" w:hint="cs"/>
          <w:sz w:val="22"/>
          <w:szCs w:val="22"/>
          <w:rtl/>
        </w:rPr>
        <w:t>"בהתחשב בכך (בכלל הפרמטרים שפורטו מעלה – ד.ב), ככל שהזכות הנפגעת קשורה בקשר ענייני הדוק לכבוד האדם ולחירותו והיא בעלת חשיבות חברתית גבוהה וככל שעוצמת הפגיעה בזכות רבה ומקיפה, כך נפרש ביתר קפדנות את דרישת "ההסמכה המפורשת" בנסיבותיו של המקרה הקונקרטי. בהתאם לכך, בנסיבות בהן מדובר בזכות יסוד מרכזית שעוצמת הפגיעה בה גבוהה, תידרש הרשאה ברורה בחוק המסמיך הקובעת אמות-מידה כלליות למאפיינים המהותיים של הפגיעה המותרת באמצעות חקיקת-משנה. רמת הפרטנות של ההסמכה הנדרשת תיגזר מעוצמת הפגיעה בזכות המוגנת, ממהות העניין ומהקשר הדברים...".</w:t>
      </w:r>
    </w:p>
    <w:p w:rsidR="00241BC2" w:rsidRPr="003F52E3" w:rsidRDefault="00241BC2" w:rsidP="00241BC2">
      <w:pPr>
        <w:ind w:left="720"/>
        <w:rPr>
          <w:rFonts w:cs="FrankRuehl"/>
          <w:sz w:val="22"/>
          <w:szCs w:val="22"/>
          <w:rtl/>
        </w:rPr>
      </w:pPr>
      <w:r w:rsidRPr="003F52E3">
        <w:rPr>
          <w:rFonts w:cs="FrankRuehl" w:hint="cs"/>
          <w:sz w:val="22"/>
          <w:szCs w:val="22"/>
          <w:rtl/>
        </w:rPr>
        <w:t xml:space="preserve">"לעומת זאת, ככל שהטעמים שבבסיס הזכות המוגנת הינם בעלי חשיבות חברתית נמוכה יחסית, וככל שעוצמת הפגיעה בזכות חלשה בהתחשב בהקשרה ובמכלול נסיבות העניין, כך ניתן לפרש את דרישת "ההסמכה המפורשת" באופן גמיש ומרוכך יותר. בנסיבות כאמור, יכולה חקיקת-המשנה לשאוב כוחה מהסמכה מפורשת המתחייבת מתכליתו הברורה של החוק המסמיך. לשון אחר; כאשר טיב הפגיעה בזכות המוגנת, היקפה ועוצמתה אינם משמעותיים, די בכך שמתכליתו הפרטיקולרית של החוק המסמיך עולה באופן הכרחי קיומה של הסמכה לפגיעה בזכות היסוד. זאת, אף בהעדר לשון ברורה והסדרה של עיקרי הפגיעה בחקיקה ראשית (ראו והשוו: גזל הנ"ל, עמ' 408-403)". </w:t>
      </w:r>
    </w:p>
    <w:p w:rsidR="00241BC2" w:rsidRDefault="00241BC2" w:rsidP="00241BC2">
      <w:pPr>
        <w:rPr>
          <w:rFonts w:cs="FrankRuehl"/>
          <w:b/>
          <w:bCs/>
          <w:sz w:val="22"/>
          <w:szCs w:val="22"/>
          <w:rtl/>
        </w:rPr>
      </w:pPr>
    </w:p>
    <w:p w:rsidR="00241BC2" w:rsidRPr="000A5C79" w:rsidRDefault="00241BC2" w:rsidP="00241BC2">
      <w:pPr>
        <w:rPr>
          <w:rFonts w:cs="FrankRuehl"/>
          <w:b/>
          <w:bCs/>
          <w:sz w:val="22"/>
          <w:szCs w:val="22"/>
          <w:rtl/>
        </w:rPr>
      </w:pPr>
      <w:r w:rsidRPr="000A5C79">
        <w:rPr>
          <w:rFonts w:cs="FrankRuehl" w:hint="cs"/>
          <w:b/>
          <w:bCs/>
          <w:sz w:val="22"/>
          <w:szCs w:val="22"/>
          <w:rtl/>
        </w:rPr>
        <w:t>סיכום ביניים</w:t>
      </w:r>
    </w:p>
    <w:p w:rsidR="00241BC2" w:rsidRPr="003F52E3" w:rsidRDefault="00241BC2" w:rsidP="00241BC2">
      <w:pPr>
        <w:rPr>
          <w:rFonts w:cs="FrankRuehl"/>
          <w:sz w:val="22"/>
          <w:szCs w:val="22"/>
          <w:rtl/>
        </w:rPr>
      </w:pPr>
      <w:r w:rsidRPr="003F52E3">
        <w:rPr>
          <w:rFonts w:cs="FrankRuehl" w:hint="cs"/>
          <w:sz w:val="22"/>
          <w:szCs w:val="22"/>
          <w:rtl/>
        </w:rPr>
        <w:t>13.</w:t>
      </w:r>
      <w:r w:rsidRPr="003F52E3">
        <w:rPr>
          <w:rFonts w:cs="FrankRuehl" w:hint="cs"/>
          <w:sz w:val="22"/>
          <w:szCs w:val="22"/>
          <w:rtl/>
        </w:rPr>
        <w:tab/>
      </w:r>
      <w:r>
        <w:rPr>
          <w:rFonts w:cs="FrankRuehl" w:hint="cs"/>
          <w:sz w:val="22"/>
          <w:szCs w:val="22"/>
          <w:rtl/>
        </w:rPr>
        <w:t xml:space="preserve">... </w:t>
      </w:r>
      <w:r w:rsidRPr="003F52E3">
        <w:rPr>
          <w:rFonts w:cs="FrankRuehl" w:hint="cs"/>
          <w:sz w:val="22"/>
          <w:szCs w:val="22"/>
          <w:rtl/>
        </w:rPr>
        <w:t xml:space="preserve">כפי שצויין לעיל, את הדרישה ל"הסמכה מפורשת" יש לקרוא באופן דומה ליתר תנאיה המהותיים של פסקת ההגבלה – היינו בהתאם למכלול נסיבות העניין וביניהן </w:t>
      </w:r>
      <w:r w:rsidRPr="003F52E3">
        <w:rPr>
          <w:rFonts w:cs="FrankRuehl" w:hint="cs"/>
          <w:sz w:val="22"/>
          <w:szCs w:val="22"/>
          <w:highlight w:val="yellow"/>
          <w:rtl/>
        </w:rPr>
        <w:t>טיב הזכות הנפגעת</w:t>
      </w:r>
      <w:r w:rsidRPr="003F52E3">
        <w:rPr>
          <w:rFonts w:cs="FrankRuehl" w:hint="cs"/>
          <w:sz w:val="22"/>
          <w:szCs w:val="22"/>
          <w:rtl/>
        </w:rPr>
        <w:t xml:space="preserve">, </w:t>
      </w:r>
      <w:r w:rsidRPr="00125EF2">
        <w:rPr>
          <w:rFonts w:cs="FrankRuehl" w:hint="cs"/>
          <w:sz w:val="22"/>
          <w:szCs w:val="22"/>
          <w:rtl/>
        </w:rPr>
        <w:t>הטעמים המונחים בבסיסה</w:t>
      </w:r>
      <w:r w:rsidRPr="003F52E3">
        <w:rPr>
          <w:rFonts w:cs="FrankRuehl" w:hint="cs"/>
          <w:sz w:val="22"/>
          <w:szCs w:val="22"/>
          <w:rtl/>
        </w:rPr>
        <w:t xml:space="preserve"> ו</w:t>
      </w:r>
      <w:r w:rsidRPr="003F52E3">
        <w:rPr>
          <w:rFonts w:cs="FrankRuehl" w:hint="cs"/>
          <w:sz w:val="22"/>
          <w:szCs w:val="22"/>
          <w:highlight w:val="yellow"/>
          <w:rtl/>
        </w:rPr>
        <w:t>עוצמת הפגיעה בה</w:t>
      </w:r>
      <w:r w:rsidRPr="003F52E3">
        <w:rPr>
          <w:rFonts w:cs="FrankRuehl" w:hint="cs"/>
          <w:sz w:val="22"/>
          <w:szCs w:val="22"/>
          <w:rtl/>
        </w:rPr>
        <w:t>. ככל שעוצמת הפגיעה בזכות תפחת, כך גם יקטן הצורך בעמידה דווקנית על דרישת ההסמכה המפורשת, וניתן יהיה להסתפק בלשון מרוככת יותר ואף בבחינת התכלית הפרטיקולרית של דבר החקיקה המסמיך. לעומת זאת, ככל שעוצמת הפגיעה בזכות תגדל, כך יהיה עלינו לקרוא קריאה דווקנית יותר של דרישת ההסמכה המפורשת.</w:t>
      </w:r>
    </w:p>
    <w:p w:rsidR="00241BC2" w:rsidRPr="003F52E3" w:rsidRDefault="00241BC2" w:rsidP="00241BC2">
      <w:pPr>
        <w:rPr>
          <w:rFonts w:cs="FrankRuehl"/>
          <w:sz w:val="22"/>
          <w:szCs w:val="22"/>
          <w:rtl/>
        </w:rPr>
      </w:pPr>
      <w:r w:rsidRPr="003F52E3">
        <w:rPr>
          <w:rFonts w:cs="FrankRuehl" w:hint="cs"/>
          <w:sz w:val="22"/>
          <w:szCs w:val="22"/>
          <w:rtl/>
        </w:rPr>
        <w:tab/>
      </w:r>
      <w:r w:rsidRPr="00125EF2">
        <w:rPr>
          <w:rFonts w:cs="FrankRuehl" w:hint="cs"/>
          <w:sz w:val="22"/>
          <w:szCs w:val="22"/>
          <w:highlight w:val="yellow"/>
          <w:rtl/>
        </w:rPr>
        <w:t>על פי גישה פרשנית זו סברתי בפרשת המפקד הלאומי כי לא ניתן לפגוע בחופש הביטוי הפוליטי ללא הסמכה מפורשת ומפורטת בחקיקה ראשית, בהתחשב במעמדה וחשיבותה החברתית של הזכות שנדונה שם; על פי אותה גישה פרשנית הנני בדעה, מהטעמים שיפורטו להלן, כי בעניין שלפנינו ההסמכה שנקבעה בחוקי העזר הרלוונטיים מאפשרת את חקיקת המשנה שקבעה הוראת הצמדה רטרואקטיבית, הנידונה לפנינו.</w:t>
      </w:r>
      <w:r w:rsidRPr="003F52E3">
        <w:rPr>
          <w:rFonts w:cs="FrankRuehl" w:hint="cs"/>
          <w:sz w:val="22"/>
          <w:szCs w:val="22"/>
          <w:rtl/>
        </w:rPr>
        <w:t xml:space="preserve"> </w:t>
      </w:r>
    </w:p>
    <w:p w:rsidR="00241BC2" w:rsidRPr="003F52E3" w:rsidRDefault="00241BC2" w:rsidP="00241BC2">
      <w:pPr>
        <w:rPr>
          <w:rFonts w:cs="FrankRuehl"/>
          <w:sz w:val="22"/>
          <w:szCs w:val="22"/>
          <w:rtl/>
        </w:rPr>
      </w:pPr>
      <w:r w:rsidRPr="003F52E3">
        <w:rPr>
          <w:rFonts w:cs="FrankRuehl" w:hint="cs"/>
          <w:sz w:val="22"/>
          <w:szCs w:val="22"/>
          <w:rtl/>
        </w:rPr>
        <w:tab/>
        <w:t xml:space="preserve">מצוידים בתשתית הפרשנית האמורה, נעבור עתה ליישום האמור על נסיבות העניין שלפנינו. </w:t>
      </w:r>
    </w:p>
    <w:p w:rsidR="00241BC2" w:rsidRDefault="00241BC2" w:rsidP="00241BC2">
      <w:pPr>
        <w:rPr>
          <w:rFonts w:cs="FrankRuehl"/>
          <w:sz w:val="22"/>
          <w:szCs w:val="22"/>
          <w:rtl/>
        </w:rPr>
      </w:pPr>
      <w:r>
        <w:rPr>
          <w:rFonts w:cs="FrankRuehl" w:hint="cs"/>
          <w:sz w:val="22"/>
          <w:szCs w:val="22"/>
          <w:rtl/>
        </w:rPr>
        <w:t>[...]</w:t>
      </w:r>
    </w:p>
    <w:p w:rsidR="00241BC2" w:rsidRPr="00D22566" w:rsidRDefault="00241BC2" w:rsidP="00241BC2">
      <w:pPr>
        <w:spacing w:after="60"/>
        <w:jc w:val="left"/>
        <w:rPr>
          <w:rFonts w:cs="FrankRuehl"/>
          <w:sz w:val="22"/>
          <w:szCs w:val="22"/>
          <w:u w:val="single"/>
          <w:rtl/>
        </w:rPr>
      </w:pPr>
      <w:r w:rsidRPr="00D22566">
        <w:rPr>
          <w:rFonts w:cs="FrankRuehl" w:hint="cs"/>
          <w:sz w:val="22"/>
          <w:szCs w:val="22"/>
          <w:u w:val="single"/>
          <w:rtl/>
        </w:rPr>
        <w:t>מן הכלל אל הפרט</w:t>
      </w:r>
      <w:r w:rsidRPr="00D22566">
        <w:rPr>
          <w:rFonts w:cs="FrankRuehl" w:hint="cs"/>
          <w:sz w:val="22"/>
          <w:szCs w:val="22"/>
          <w:rtl/>
        </w:rPr>
        <w:tab/>
      </w:r>
      <w:r w:rsidRPr="00D22566">
        <w:rPr>
          <w:rFonts w:cs="FrankRuehl" w:hint="cs"/>
          <w:sz w:val="22"/>
          <w:szCs w:val="22"/>
          <w:rtl/>
        </w:rPr>
        <w:tab/>
        <w:t xml:space="preserve">  </w:t>
      </w:r>
      <w:r w:rsidRPr="00D22566">
        <w:rPr>
          <w:rFonts w:cs="FrankRuehl" w:hint="cs"/>
          <w:sz w:val="22"/>
          <w:szCs w:val="22"/>
          <w:rtl/>
        </w:rPr>
        <w:tab/>
      </w:r>
    </w:p>
    <w:p w:rsidR="00241BC2" w:rsidRPr="00D22566" w:rsidRDefault="00241BC2" w:rsidP="00241BC2">
      <w:pPr>
        <w:spacing w:after="60"/>
        <w:jc w:val="left"/>
        <w:rPr>
          <w:rFonts w:cs="FrankRuehl"/>
          <w:sz w:val="22"/>
          <w:szCs w:val="22"/>
          <w:rtl/>
        </w:rPr>
      </w:pPr>
      <w:r w:rsidRPr="00D22566">
        <w:rPr>
          <w:rFonts w:cs="FrankRuehl" w:hint="cs"/>
          <w:sz w:val="22"/>
          <w:szCs w:val="22"/>
          <w:rtl/>
        </w:rPr>
        <w:t>החוקים המסמיכים</w:t>
      </w:r>
    </w:p>
    <w:p w:rsidR="00241BC2" w:rsidRPr="00D22566" w:rsidRDefault="00241BC2" w:rsidP="00241BC2">
      <w:pPr>
        <w:spacing w:after="60"/>
        <w:jc w:val="left"/>
        <w:rPr>
          <w:rFonts w:cs="FrankRuehl"/>
          <w:sz w:val="22"/>
          <w:szCs w:val="22"/>
          <w:rtl/>
        </w:rPr>
      </w:pPr>
      <w:r w:rsidRPr="00D22566">
        <w:rPr>
          <w:rFonts w:cs="FrankRuehl" w:hint="cs"/>
          <w:sz w:val="22"/>
          <w:szCs w:val="22"/>
          <w:rtl/>
        </w:rPr>
        <w:t>14.</w:t>
      </w:r>
      <w:r w:rsidRPr="00D22566">
        <w:rPr>
          <w:rFonts w:cs="FrankRuehl" w:hint="cs"/>
          <w:sz w:val="22"/>
          <w:szCs w:val="22"/>
          <w:rtl/>
        </w:rPr>
        <w:tab/>
        <w:t xml:space="preserve">בהתאם לקביעות פסק הדין החלקי, נותרה כאמור להכרעה שאלת קיומה של סמכות ליצירתה של חקיקה רטרואקטיבית בחוקים הפרטניים המסמיכים – </w:t>
      </w:r>
      <w:hyperlink r:id="rId406" w:history="1">
        <w:r w:rsidRPr="00D22566">
          <w:rPr>
            <w:rStyle w:val="Hyperlink"/>
            <w:rFonts w:cs="FrankRuehl"/>
            <w:sz w:val="22"/>
            <w:szCs w:val="22"/>
            <w:rtl/>
          </w:rPr>
          <w:t>פקודת העיריות</w:t>
        </w:r>
      </w:hyperlink>
      <w:r w:rsidRPr="00D22566">
        <w:rPr>
          <w:rFonts w:cs="FrankRuehl" w:hint="cs"/>
          <w:sz w:val="22"/>
          <w:szCs w:val="22"/>
          <w:rtl/>
        </w:rPr>
        <w:t xml:space="preserve"> וחוק הביוב. בחינת טיעוני הצדדים מעלה כי המחלוקת באשר לקיומה של סמכות כאמור נעה סביב מספר סעיפים בחוקים אלו. </w:t>
      </w:r>
    </w:p>
    <w:p w:rsidR="00241BC2" w:rsidRPr="00D22566" w:rsidRDefault="00241BC2" w:rsidP="00241BC2">
      <w:pPr>
        <w:spacing w:after="60"/>
        <w:jc w:val="left"/>
        <w:rPr>
          <w:rFonts w:cs="FrankRuehl"/>
          <w:sz w:val="22"/>
          <w:szCs w:val="22"/>
          <w:rtl/>
        </w:rPr>
      </w:pPr>
      <w:r w:rsidRPr="00D22566">
        <w:rPr>
          <w:rFonts w:cs="FrankRuehl" w:hint="cs"/>
          <w:sz w:val="22"/>
          <w:szCs w:val="22"/>
          <w:rtl/>
        </w:rPr>
        <w:tab/>
        <w:t>עם סעיפים אלה נמנים אלו העוסקים בסמכותה של רשות מקומית להתקין חוק עזר שמכוחו יגבה היטל ביוב, הסמכה הקבועה בסעיפים 251-250 ל</w:t>
      </w:r>
      <w:hyperlink r:id="rId407" w:history="1">
        <w:r w:rsidRPr="00D22566">
          <w:rPr>
            <w:rStyle w:val="Hyperlink"/>
            <w:rFonts w:cs="FrankRuehl"/>
            <w:sz w:val="22"/>
            <w:szCs w:val="22"/>
            <w:rtl/>
          </w:rPr>
          <w:t>פקודת העיריות</w:t>
        </w:r>
      </w:hyperlink>
      <w:r w:rsidRPr="00D22566">
        <w:rPr>
          <w:rFonts w:cs="FrankRuehl" w:hint="cs"/>
          <w:sz w:val="22"/>
          <w:szCs w:val="22"/>
          <w:rtl/>
        </w:rPr>
        <w:t>. סעיף 250 לפקודה מקנה לרשות סמכות להתקין חוקי עזר המאפשרים לה הקמת תשתית ביוב, בקובעו כדלקמן:</w:t>
      </w:r>
    </w:p>
    <w:tbl>
      <w:tblPr>
        <w:bidiVisual/>
        <w:tblW w:w="0" w:type="auto"/>
        <w:tblInd w:w="1751" w:type="dxa"/>
        <w:tblLook w:val="00BF"/>
      </w:tblPr>
      <w:tblGrid>
        <w:gridCol w:w="1282"/>
        <w:gridCol w:w="4980"/>
      </w:tblGrid>
      <w:tr w:rsidR="00241BC2" w:rsidRPr="00D22566" w:rsidTr="00354D68">
        <w:tc>
          <w:tcPr>
            <w:tcW w:w="1282" w:type="dxa"/>
          </w:tcPr>
          <w:p w:rsidR="00241BC2" w:rsidRPr="00D22566" w:rsidRDefault="00241BC2" w:rsidP="00354D68">
            <w:pPr>
              <w:spacing w:after="60"/>
              <w:jc w:val="left"/>
              <w:rPr>
                <w:rFonts w:cs="FrankRuehl"/>
                <w:sz w:val="22"/>
                <w:szCs w:val="22"/>
              </w:rPr>
            </w:pPr>
            <w:r w:rsidRPr="00D22566">
              <w:rPr>
                <w:rFonts w:cs="FrankRuehl" w:hint="cs"/>
                <w:sz w:val="22"/>
                <w:szCs w:val="22"/>
                <w:rtl/>
              </w:rPr>
              <w:t>"הסמכות להתקין חוקי עזר</w:t>
            </w:r>
            <w:r w:rsidRPr="00D22566">
              <w:rPr>
                <w:rFonts w:cs="FrankRuehl" w:hint="cs"/>
                <w:b/>
                <w:bCs/>
                <w:sz w:val="22"/>
                <w:szCs w:val="22"/>
                <w:rtl/>
              </w:rPr>
              <w:t xml:space="preserve"> </w:t>
            </w:r>
          </w:p>
        </w:tc>
        <w:tc>
          <w:tcPr>
            <w:tcW w:w="4980" w:type="dxa"/>
          </w:tcPr>
          <w:p w:rsidR="00241BC2" w:rsidRPr="00D22566" w:rsidRDefault="00241BC2" w:rsidP="00354D68">
            <w:pPr>
              <w:spacing w:after="60"/>
              <w:jc w:val="left"/>
              <w:rPr>
                <w:rFonts w:cs="FrankRuehl"/>
                <w:sz w:val="22"/>
                <w:szCs w:val="22"/>
              </w:rPr>
            </w:pPr>
            <w:r w:rsidRPr="00D22566">
              <w:rPr>
                <w:rFonts w:cs="FrankRuehl" w:hint="cs"/>
                <w:sz w:val="22"/>
                <w:szCs w:val="22"/>
                <w:rtl/>
              </w:rPr>
              <w:t>250. מועצה רשאית להתקין חוקי עזר כדי לאפשר לעיריה ביצוע הדברים שהיא נדרשת או מוסמכת לעשותם על פי הפקודה או כל דין אחר או לעזור לה בביצועם, או כדי לדרוש מבעל נכס או מחזיקו לבצע באותו נכס עבודה הנחוצה למטרה האמורה".</w:t>
            </w:r>
          </w:p>
        </w:tc>
      </w:tr>
    </w:tbl>
    <w:p w:rsidR="00241BC2" w:rsidRPr="00D22566" w:rsidRDefault="00241BC2" w:rsidP="00241BC2">
      <w:pPr>
        <w:spacing w:after="60"/>
        <w:jc w:val="left"/>
        <w:rPr>
          <w:rFonts w:cs="FrankRuehl"/>
          <w:sz w:val="22"/>
          <w:szCs w:val="22"/>
          <w:rtl/>
        </w:rPr>
      </w:pPr>
      <w:r w:rsidRPr="00D22566">
        <w:rPr>
          <w:rFonts w:cs="FrankRuehl" w:hint="cs"/>
          <w:sz w:val="22"/>
          <w:szCs w:val="22"/>
          <w:rtl/>
        </w:rPr>
        <w:tab/>
        <w:t xml:space="preserve">סעיף 251 לפקודה ממשיך וקובע כי לשם קידום מטרה זו, רשאית הרשות לקבוע הוראות בדבר הטלת היטלים (השוו </w:t>
      </w:r>
      <w:hyperlink r:id="rId408" w:history="1">
        <w:r w:rsidRPr="00D22566">
          <w:rPr>
            <w:rStyle w:val="Hyperlink"/>
            <w:rFonts w:cs="FrankRuehl"/>
            <w:sz w:val="22"/>
            <w:szCs w:val="22"/>
            <w:rtl/>
          </w:rPr>
          <w:t>ע"א 620/82 מועצת עיריית הרצליה נ' רשף, פ"ד לז</w:t>
        </w:r>
      </w:hyperlink>
      <w:r w:rsidRPr="00D22566">
        <w:rPr>
          <w:rFonts w:cs="FrankRuehl" w:hint="cs"/>
          <w:sz w:val="22"/>
          <w:szCs w:val="22"/>
          <w:rtl/>
        </w:rPr>
        <w:t>(4) 57, 62 (1983) (להלן: פרשת רשף)):</w:t>
      </w:r>
    </w:p>
    <w:tbl>
      <w:tblPr>
        <w:bidiVisual/>
        <w:tblW w:w="0" w:type="auto"/>
        <w:tblInd w:w="1751" w:type="dxa"/>
        <w:tblLook w:val="00BF"/>
      </w:tblPr>
      <w:tblGrid>
        <w:gridCol w:w="1282"/>
        <w:gridCol w:w="4980"/>
      </w:tblGrid>
      <w:tr w:rsidR="00241BC2" w:rsidRPr="00D22566" w:rsidTr="00354D68">
        <w:tc>
          <w:tcPr>
            <w:tcW w:w="1282" w:type="dxa"/>
          </w:tcPr>
          <w:p w:rsidR="00241BC2" w:rsidRPr="00D22566" w:rsidRDefault="00241BC2" w:rsidP="00354D68">
            <w:pPr>
              <w:spacing w:after="60"/>
              <w:jc w:val="left"/>
              <w:rPr>
                <w:rFonts w:cs="FrankRuehl"/>
                <w:sz w:val="22"/>
                <w:szCs w:val="22"/>
              </w:rPr>
            </w:pPr>
            <w:r w:rsidRPr="00D22566">
              <w:rPr>
                <w:rFonts w:cs="FrankRuehl" w:hint="cs"/>
                <w:sz w:val="22"/>
                <w:szCs w:val="22"/>
                <w:rtl/>
              </w:rPr>
              <w:t>"אגרות, היטלים ופיצויים</w:t>
            </w:r>
            <w:r w:rsidRPr="00D22566">
              <w:rPr>
                <w:rFonts w:cs="FrankRuehl" w:hint="cs"/>
                <w:b/>
                <w:bCs/>
                <w:sz w:val="22"/>
                <w:szCs w:val="22"/>
                <w:rtl/>
              </w:rPr>
              <w:t xml:space="preserve"> </w:t>
            </w:r>
          </w:p>
        </w:tc>
        <w:tc>
          <w:tcPr>
            <w:tcW w:w="4980" w:type="dxa"/>
          </w:tcPr>
          <w:p w:rsidR="00241BC2" w:rsidRPr="00D22566" w:rsidRDefault="00241BC2" w:rsidP="00354D68">
            <w:pPr>
              <w:spacing w:after="60"/>
              <w:jc w:val="left"/>
              <w:rPr>
                <w:rFonts w:cs="FrankRuehl"/>
                <w:sz w:val="22"/>
                <w:szCs w:val="22"/>
                <w:rtl/>
              </w:rPr>
            </w:pPr>
            <w:r w:rsidRPr="00D22566">
              <w:rPr>
                <w:rFonts w:cs="FrankRuehl" w:hint="cs"/>
                <w:sz w:val="22"/>
                <w:szCs w:val="22"/>
                <w:rtl/>
              </w:rPr>
              <w:t>251. בחוקי עזר רשאית המועצה לקבוע הוראות בדבר:</w:t>
            </w:r>
          </w:p>
          <w:p w:rsidR="00241BC2" w:rsidRPr="00D22566" w:rsidRDefault="00241BC2" w:rsidP="00354D68">
            <w:pPr>
              <w:spacing w:after="60"/>
              <w:jc w:val="left"/>
              <w:rPr>
                <w:rFonts w:cs="FrankRuehl"/>
                <w:sz w:val="22"/>
                <w:szCs w:val="22"/>
              </w:rPr>
            </w:pPr>
            <w:r w:rsidRPr="00D22566">
              <w:rPr>
                <w:rFonts w:cs="FrankRuehl" w:hint="cs"/>
                <w:sz w:val="22"/>
                <w:szCs w:val="22"/>
                <w:rtl/>
              </w:rPr>
              <w:t>(1) תשלום אגרות, היטלים או דמי השתתפות על ידי כל אדם, זולת העיריה גופה, בקשר לדברים האמורים בסעיף 250...".</w:t>
            </w:r>
          </w:p>
        </w:tc>
      </w:tr>
    </w:tbl>
    <w:p w:rsidR="00241BC2" w:rsidRPr="00D22566" w:rsidRDefault="00241BC2" w:rsidP="00241BC2">
      <w:pPr>
        <w:spacing w:after="60"/>
        <w:ind w:firstLine="720"/>
        <w:jc w:val="left"/>
        <w:rPr>
          <w:rFonts w:cs="FrankRuehl"/>
          <w:sz w:val="22"/>
          <w:szCs w:val="22"/>
          <w:rtl/>
        </w:rPr>
      </w:pPr>
      <w:r w:rsidRPr="00D22566">
        <w:rPr>
          <w:rFonts w:cs="FrankRuehl" w:hint="cs"/>
          <w:sz w:val="22"/>
          <w:szCs w:val="22"/>
          <w:rtl/>
        </w:rPr>
        <w:t>לכך יש להוסיף את סעיף 17 לחוק הביוב, הקובע כי שיעורו של היטל הביוב יקבע בחוק עזר. כן קובע הסעיף כי מטרת ההיטל לכסות את ההוצאות בגין התקנת הביוב או קנייתו:</w:t>
      </w:r>
    </w:p>
    <w:tbl>
      <w:tblPr>
        <w:bidiVisual/>
        <w:tblW w:w="0" w:type="auto"/>
        <w:tblInd w:w="1751" w:type="dxa"/>
        <w:tblLook w:val="00BF"/>
      </w:tblPr>
      <w:tblGrid>
        <w:gridCol w:w="1282"/>
        <w:gridCol w:w="4980"/>
      </w:tblGrid>
      <w:tr w:rsidR="00241BC2" w:rsidRPr="00D22566" w:rsidTr="00354D68">
        <w:tc>
          <w:tcPr>
            <w:tcW w:w="1282" w:type="dxa"/>
          </w:tcPr>
          <w:p w:rsidR="00241BC2" w:rsidRPr="00D22566" w:rsidRDefault="00241BC2" w:rsidP="00354D68">
            <w:pPr>
              <w:spacing w:after="60"/>
              <w:jc w:val="left"/>
              <w:rPr>
                <w:rFonts w:cs="FrankRuehl"/>
                <w:sz w:val="22"/>
                <w:szCs w:val="22"/>
              </w:rPr>
            </w:pPr>
            <w:r w:rsidRPr="00D22566">
              <w:rPr>
                <w:rFonts w:cs="FrankRuehl" w:hint="cs"/>
                <w:sz w:val="22"/>
                <w:szCs w:val="22"/>
                <w:rtl/>
              </w:rPr>
              <w:t>"היטל ביוב ייקבע בחוק עזר</w:t>
            </w:r>
            <w:r w:rsidRPr="00D22566">
              <w:rPr>
                <w:rFonts w:cs="FrankRuehl" w:hint="cs"/>
                <w:b/>
                <w:bCs/>
                <w:sz w:val="22"/>
                <w:szCs w:val="22"/>
                <w:rtl/>
              </w:rPr>
              <w:t xml:space="preserve"> </w:t>
            </w:r>
          </w:p>
        </w:tc>
        <w:tc>
          <w:tcPr>
            <w:tcW w:w="4980" w:type="dxa"/>
          </w:tcPr>
          <w:p w:rsidR="00241BC2" w:rsidRPr="00D22566" w:rsidRDefault="00241BC2" w:rsidP="00354D68">
            <w:pPr>
              <w:spacing w:after="60"/>
              <w:jc w:val="left"/>
              <w:rPr>
                <w:rFonts w:cs="FrankRuehl"/>
                <w:sz w:val="22"/>
                <w:szCs w:val="22"/>
              </w:rPr>
            </w:pPr>
            <w:r w:rsidRPr="00D22566">
              <w:rPr>
                <w:rFonts w:cs="FrankRuehl" w:hint="cs"/>
                <w:sz w:val="22"/>
                <w:szCs w:val="22"/>
                <w:rtl/>
              </w:rPr>
              <w:t>17. בעלי כל נכס שנמסרה להם הודעה כדין על התקנתו או קנייתו של ביוב שישמש אותו נכס, חייבים בהיטל התקנת הביוב (להלן - ההיטל), בשיעור שייקבע בחוק עזר לכל שלב כאמור בסעיף 16; ההיטל מוטל לשם כיסוי הוצאות של התקנת הביוב או של קנייתו".</w:t>
            </w:r>
          </w:p>
        </w:tc>
      </w:tr>
    </w:tbl>
    <w:p w:rsidR="00241BC2" w:rsidRPr="00D22566" w:rsidRDefault="00241BC2" w:rsidP="00241BC2">
      <w:pPr>
        <w:spacing w:after="60"/>
        <w:jc w:val="left"/>
        <w:rPr>
          <w:rFonts w:cs="FrankRuehl"/>
          <w:sz w:val="22"/>
          <w:szCs w:val="22"/>
          <w:rtl/>
        </w:rPr>
      </w:pPr>
      <w:r w:rsidRPr="00D22566">
        <w:rPr>
          <w:rFonts w:cs="FrankRuehl" w:hint="cs"/>
          <w:sz w:val="22"/>
          <w:szCs w:val="22"/>
          <w:rtl/>
        </w:rPr>
        <w:tab/>
        <w:t>מעבר לסעיפים אלו הדנים בסמכות לחקיקת חוקי עזר בעניין הטלת היטלים בכלל והיטלי ביוב בפרט, עולה לדיון שאלת קיומה של סמכות מתוקף הוראות סעיף 260 ל</w:t>
      </w:r>
      <w:hyperlink r:id="rId409" w:history="1">
        <w:r w:rsidRPr="00D22566">
          <w:rPr>
            <w:rStyle w:val="Hyperlink"/>
            <w:rFonts w:cs="FrankRuehl"/>
            <w:sz w:val="22"/>
            <w:szCs w:val="22"/>
            <w:rtl/>
          </w:rPr>
          <w:t>פקודת העיריות</w:t>
        </w:r>
      </w:hyperlink>
      <w:r w:rsidRPr="00D22566">
        <w:rPr>
          <w:rFonts w:cs="FrankRuehl" w:hint="cs"/>
          <w:sz w:val="22"/>
          <w:szCs w:val="22"/>
          <w:rtl/>
        </w:rPr>
        <w:t xml:space="preserve">, המהווה סעיף כללי בעניין החלה למפרע של דרישות בחוקי עזר, ואשר קובע כדלקמן: </w:t>
      </w:r>
    </w:p>
    <w:tbl>
      <w:tblPr>
        <w:bidiVisual/>
        <w:tblW w:w="0" w:type="auto"/>
        <w:tblInd w:w="1751" w:type="dxa"/>
        <w:tblLook w:val="00BF"/>
      </w:tblPr>
      <w:tblGrid>
        <w:gridCol w:w="1282"/>
        <w:gridCol w:w="4980"/>
      </w:tblGrid>
      <w:tr w:rsidR="00241BC2" w:rsidRPr="00D22566" w:rsidTr="00354D68">
        <w:tc>
          <w:tcPr>
            <w:tcW w:w="1282" w:type="dxa"/>
          </w:tcPr>
          <w:p w:rsidR="00241BC2" w:rsidRPr="00D22566" w:rsidRDefault="00241BC2" w:rsidP="00354D68">
            <w:pPr>
              <w:spacing w:after="60"/>
              <w:jc w:val="left"/>
              <w:rPr>
                <w:rFonts w:cs="FrankRuehl"/>
                <w:sz w:val="22"/>
                <w:szCs w:val="22"/>
              </w:rPr>
            </w:pPr>
            <w:r w:rsidRPr="00D22566">
              <w:rPr>
                <w:rFonts w:cs="FrankRuehl" w:hint="cs"/>
                <w:sz w:val="22"/>
                <w:szCs w:val="22"/>
                <w:rtl/>
              </w:rPr>
              <w:t>"תוקף למפרע</w:t>
            </w:r>
            <w:r w:rsidRPr="00D22566">
              <w:rPr>
                <w:rFonts w:cs="FrankRuehl" w:hint="cs"/>
                <w:b/>
                <w:bCs/>
                <w:sz w:val="22"/>
                <w:szCs w:val="22"/>
                <w:rtl/>
              </w:rPr>
              <w:t xml:space="preserve"> </w:t>
            </w:r>
          </w:p>
        </w:tc>
        <w:tc>
          <w:tcPr>
            <w:tcW w:w="4980" w:type="dxa"/>
          </w:tcPr>
          <w:p w:rsidR="00241BC2" w:rsidRPr="00D22566" w:rsidRDefault="00241BC2" w:rsidP="00354D68">
            <w:pPr>
              <w:spacing w:after="60"/>
              <w:jc w:val="left"/>
              <w:rPr>
                <w:rFonts w:cs="FrankRuehl"/>
                <w:sz w:val="22"/>
                <w:szCs w:val="22"/>
              </w:rPr>
            </w:pPr>
            <w:r w:rsidRPr="00D22566">
              <w:rPr>
                <w:rFonts w:cs="FrankRuehl" w:hint="cs"/>
                <w:sz w:val="22"/>
                <w:szCs w:val="22"/>
                <w:rtl/>
              </w:rPr>
              <w:t>260. שום דרישה של חוק עזר בנוגע לבניה או לשינוי של רחובות, בנינים, נקזים או עבודות אחרות, לא תחול על עבודות כאמור שנעשו לפני שחוק העזר נכנס לתקפו, אלא אם יש בחוק העזר הוראה אחרת מפורשת".</w:t>
            </w:r>
          </w:p>
        </w:tc>
      </w:tr>
    </w:tbl>
    <w:p w:rsidR="00241BC2" w:rsidRPr="00D22566" w:rsidRDefault="00241BC2" w:rsidP="00241BC2">
      <w:pPr>
        <w:spacing w:after="60"/>
        <w:jc w:val="left"/>
        <w:rPr>
          <w:rFonts w:cs="FrankRuehl"/>
          <w:sz w:val="22"/>
          <w:szCs w:val="22"/>
          <w:rtl/>
        </w:rPr>
      </w:pPr>
      <w:r w:rsidRPr="00D22566">
        <w:rPr>
          <w:rFonts w:cs="FrankRuehl" w:hint="cs"/>
          <w:sz w:val="22"/>
          <w:szCs w:val="22"/>
          <w:rtl/>
        </w:rPr>
        <w:t>...</w:t>
      </w:r>
    </w:p>
    <w:p w:rsidR="00241BC2" w:rsidRPr="00412C21" w:rsidRDefault="00241BC2" w:rsidP="00241BC2">
      <w:pPr>
        <w:spacing w:after="60"/>
        <w:rPr>
          <w:rFonts w:cs="Miriam"/>
          <w:sz w:val="22"/>
          <w:szCs w:val="22"/>
          <w:rtl/>
        </w:rPr>
      </w:pPr>
      <w:r w:rsidRPr="00412C21">
        <w:rPr>
          <w:rFonts w:cs="Miriam" w:hint="cs"/>
          <w:sz w:val="22"/>
          <w:szCs w:val="22"/>
          <w:rtl/>
        </w:rPr>
        <w:t>דיון והכרעה</w:t>
      </w:r>
    </w:p>
    <w:p w:rsidR="00241BC2" w:rsidRPr="00F912F8" w:rsidRDefault="00241BC2" w:rsidP="00241BC2">
      <w:pPr>
        <w:spacing w:after="60"/>
        <w:rPr>
          <w:rFonts w:cs="FrankRuehl"/>
          <w:sz w:val="22"/>
          <w:szCs w:val="22"/>
          <w:rtl/>
        </w:rPr>
      </w:pPr>
      <w:r w:rsidRPr="00F912F8">
        <w:rPr>
          <w:rFonts w:cs="FrankRuehl" w:hint="cs"/>
          <w:sz w:val="22"/>
          <w:szCs w:val="22"/>
          <w:rtl/>
        </w:rPr>
        <w:t>18.</w:t>
      </w:r>
      <w:r w:rsidRPr="00F912F8">
        <w:rPr>
          <w:rFonts w:cs="FrankRuehl" w:hint="cs"/>
          <w:sz w:val="22"/>
          <w:szCs w:val="22"/>
          <w:rtl/>
        </w:rPr>
        <w:tab/>
        <w:t>כאמור, נטען על-ידי העותרים כי חוקי העזר המתקנים פוגעים בקניינם, בניגוד לאמור בסעיף 3 ל</w:t>
      </w:r>
      <w:hyperlink r:id="rId410" w:history="1">
        <w:r w:rsidRPr="00F912F8">
          <w:rPr>
            <w:rStyle w:val="Hyperlink"/>
            <w:rFonts w:cs="FrankRuehl" w:hint="eastAsia"/>
            <w:sz w:val="22"/>
            <w:szCs w:val="22"/>
            <w:rtl/>
          </w:rPr>
          <w:t>חוק</w:t>
        </w:r>
        <w:r w:rsidRPr="00F912F8">
          <w:rPr>
            <w:rStyle w:val="Hyperlink"/>
            <w:rFonts w:cs="FrankRuehl"/>
            <w:sz w:val="22"/>
            <w:szCs w:val="22"/>
            <w:rtl/>
          </w:rPr>
          <w:t>-יסוד: כבוד האדם וחירותו</w:t>
        </w:r>
      </w:hyperlink>
      <w:r w:rsidRPr="00F912F8">
        <w:rPr>
          <w:rFonts w:cs="FrankRuehl" w:hint="cs"/>
          <w:sz w:val="22"/>
          <w:szCs w:val="22"/>
          <w:rtl/>
        </w:rPr>
        <w:t xml:space="preserve">. ככל שאכן נגרמת פגיעה בזכות יסוד חוקתית – בין אם מדובר בפגיעה אגב חקיקה רטרואקטיבית ובין אם פגיעה אחרת – הרי שעל מנת לקבוע כי חוקי העזר המתקנים הותקנו בסמכות, עלינו לאתר הסמכה מפורשת לחקיקתם (זאת, כמובן, לצד עמידה ביתר מבחני פסקת ההגבלה).  </w:t>
      </w:r>
    </w:p>
    <w:p w:rsidR="00241BC2" w:rsidRPr="00F912F8" w:rsidRDefault="00241BC2" w:rsidP="00241BC2">
      <w:pPr>
        <w:spacing w:after="60"/>
        <w:rPr>
          <w:rFonts w:cs="FrankRuehl"/>
          <w:sz w:val="22"/>
          <w:szCs w:val="22"/>
          <w:rtl/>
        </w:rPr>
      </w:pPr>
      <w:r w:rsidRPr="00F912F8">
        <w:rPr>
          <w:rFonts w:cs="FrankRuehl" w:hint="cs"/>
          <w:sz w:val="22"/>
          <w:szCs w:val="22"/>
          <w:rtl/>
        </w:rPr>
        <w:tab/>
        <w:t xml:space="preserve">לפיכך, תחייב טענתם של העותרים באשר לפגיעה הנגרמת להם דיון בשתי סוגיות: האחת, האם אמנם פוגעים חוקי העזר המתקנים בזכות הקניין, כך שנדרשת הסמכה מפורשת לשם חקיקתם; השניה, ככל שהתשובה לשאלה הראשונה הינה חיובית, האם ניתן למצוא בחוקים המסמיכים הסמכה מפורשת כאמור. </w:t>
      </w:r>
    </w:p>
    <w:p w:rsidR="00241BC2" w:rsidRPr="00F912F8" w:rsidRDefault="00241BC2" w:rsidP="00241BC2">
      <w:pPr>
        <w:spacing w:after="60"/>
        <w:rPr>
          <w:rFonts w:cs="FrankRuehl"/>
          <w:b/>
          <w:bCs/>
          <w:sz w:val="22"/>
          <w:szCs w:val="22"/>
          <w:rtl/>
        </w:rPr>
      </w:pPr>
      <w:r w:rsidRPr="00F912F8">
        <w:rPr>
          <w:rFonts w:cs="FrankRuehl" w:hint="cs"/>
          <w:b/>
          <w:bCs/>
          <w:sz w:val="22"/>
          <w:szCs w:val="22"/>
          <w:rtl/>
        </w:rPr>
        <w:t xml:space="preserve">חוקי העזר המתקנים – האם פגיעה בקניין? </w:t>
      </w:r>
    </w:p>
    <w:p w:rsidR="00241BC2" w:rsidRPr="00F912F8" w:rsidRDefault="00241BC2" w:rsidP="00241BC2">
      <w:pPr>
        <w:spacing w:after="60"/>
        <w:rPr>
          <w:rFonts w:cs="FrankRuehl"/>
          <w:sz w:val="22"/>
          <w:szCs w:val="22"/>
          <w:rtl/>
        </w:rPr>
      </w:pPr>
      <w:r w:rsidRPr="00F912F8">
        <w:rPr>
          <w:rFonts w:cs="FrankRuehl" w:hint="cs"/>
          <w:sz w:val="22"/>
          <w:szCs w:val="22"/>
          <w:rtl/>
        </w:rPr>
        <w:t>19.</w:t>
      </w:r>
      <w:r w:rsidRPr="00F912F8">
        <w:rPr>
          <w:rFonts w:cs="FrankRuehl" w:hint="cs"/>
          <w:sz w:val="22"/>
          <w:szCs w:val="22"/>
          <w:rtl/>
        </w:rPr>
        <w:tab/>
        <w:t xml:space="preserve">לשיטת העותרים, חוקי העזר המתקנים, אשר מטילים חובת תשלום הפרשי הצמדה בגין היטלי ביוב באופן רטרואקטיבי, פוגעים בקניינם. טענתם זו של העותרים מעוררת מספר שאלות משנה מורכבות. ראשית, שאלה לעצמה היא האם בנסיבות העניין שלפנינו ניתן לראות בחוקי העזר חקיקת מס, שכן כאמור עניינם הוא בקביעת הפרשי הצמדה בגין היטלי ביוב, אשר הנטייה הינה לראותם "כתשלומי חובה המשתלמים מתוך זיקה לשירות שהרשות מגישה לאזרח" </w:t>
      </w:r>
      <w:r>
        <w:rPr>
          <w:rFonts w:cs="FrankRuehl" w:hint="cs"/>
          <w:sz w:val="22"/>
          <w:szCs w:val="22"/>
          <w:rtl/>
        </w:rPr>
        <w:t>..</w:t>
      </w:r>
      <w:r w:rsidRPr="00F912F8">
        <w:rPr>
          <w:rFonts w:cs="FrankRuehl" w:hint="cs"/>
          <w:sz w:val="22"/>
          <w:szCs w:val="22"/>
          <w:rtl/>
        </w:rPr>
        <w:t>. אך גם אם נהיה מוכנים להניח, ובלי לקבוע מסמרות בדבר, כי יש לראות בחוקי העזר חקיקת מס, עדיין נותרה לדיון שאלה סבוכה נוספת שטרם הוכרעה בפסיקתנו - האם חקיקה המטילה מס הינה חקיקה הפוגעת בקניין</w:t>
      </w:r>
      <w:r>
        <w:rPr>
          <w:rFonts w:cs="FrankRuehl" w:hint="cs"/>
          <w:sz w:val="22"/>
          <w:szCs w:val="22"/>
          <w:rtl/>
        </w:rPr>
        <w:t>... [סקירת הספרות המשפטית בנדון] ...</w:t>
      </w:r>
      <w:r w:rsidRPr="00F912F8">
        <w:rPr>
          <w:rFonts w:cs="FrankRuehl" w:hint="cs"/>
          <w:sz w:val="22"/>
          <w:szCs w:val="22"/>
          <w:rtl/>
        </w:rPr>
        <w:t xml:space="preserve"> אכן, השאלה האם חקיקת מס מהווה פגיעה בקניין מעלה סוגיות משפטיות רבות, אשר ההכרעה בהן אינה פשוטה. בענייננו אף הפעם אין אנו נדרשים להכריע בשאלה זו, ולפיכך נשאירה לעת הזו בצריך עיון. </w:t>
      </w:r>
    </w:p>
    <w:p w:rsidR="00241BC2" w:rsidRPr="00F912F8" w:rsidRDefault="00241BC2" w:rsidP="00241BC2">
      <w:pPr>
        <w:spacing w:after="60"/>
        <w:rPr>
          <w:rFonts w:cs="FrankRuehl"/>
          <w:sz w:val="22"/>
          <w:szCs w:val="22"/>
          <w:rtl/>
        </w:rPr>
      </w:pPr>
      <w:r w:rsidRPr="00F912F8">
        <w:rPr>
          <w:rFonts w:cs="FrankRuehl" w:hint="cs"/>
          <w:sz w:val="22"/>
          <w:szCs w:val="22"/>
          <w:rtl/>
        </w:rPr>
        <w:tab/>
        <w:t>לצורך הדיון שבפנינו, מוכנים אנו להניח, מבלי לפסוק בדבר, כי חוקי העזר המתקנים אכן פוגעים בקניינם של העותרים. כידוע, הבדיקה אם דבר חקיקה כלשהו פוגע בזכות אדם המעוגנת בחוק יסוד הינה אך השלב הראשון של הבחינה החוקתית. מקום בו נקבע כי אמנם קיימת פגיעה כאמור, יש לעבור לשלב השני, במסגרתו נבחנת השאלה אם הפגיעה בזכות מקיימת את דרישותיה של פסקת ההגבלה – דרישת ההסמכה המפורשת, התכלית הראויה ודרישת המידתיות</w:t>
      </w:r>
      <w:r>
        <w:rPr>
          <w:rFonts w:cs="FrankRuehl" w:hint="cs"/>
          <w:sz w:val="22"/>
          <w:szCs w:val="22"/>
          <w:rtl/>
        </w:rPr>
        <w:t>...</w:t>
      </w:r>
      <w:r w:rsidRPr="00F912F8">
        <w:rPr>
          <w:rFonts w:cs="FrankRuehl" w:hint="cs"/>
          <w:sz w:val="22"/>
          <w:szCs w:val="22"/>
          <w:rtl/>
        </w:rPr>
        <w:t> </w:t>
      </w:r>
    </w:p>
    <w:p w:rsidR="00241BC2" w:rsidRPr="00F912F8" w:rsidRDefault="00241BC2" w:rsidP="00241BC2">
      <w:pPr>
        <w:spacing w:after="60"/>
        <w:rPr>
          <w:rFonts w:cs="FrankRuehl"/>
          <w:b/>
          <w:bCs/>
          <w:sz w:val="22"/>
          <w:szCs w:val="22"/>
          <w:rtl/>
        </w:rPr>
      </w:pPr>
      <w:r w:rsidRPr="00F912F8">
        <w:rPr>
          <w:rFonts w:cs="FrankRuehl" w:hint="cs"/>
          <w:b/>
          <w:bCs/>
          <w:sz w:val="22"/>
          <w:szCs w:val="22"/>
          <w:rtl/>
        </w:rPr>
        <w:t>דרישת ההסמכה המפורשת  - פגיעה "לפי חוק" מכוח "הסמכה מפורשת" בו</w:t>
      </w:r>
    </w:p>
    <w:p w:rsidR="00241BC2" w:rsidRDefault="00241BC2" w:rsidP="00241BC2">
      <w:pPr>
        <w:spacing w:after="60"/>
        <w:rPr>
          <w:rFonts w:cs="FrankRuehl"/>
          <w:sz w:val="22"/>
          <w:szCs w:val="22"/>
          <w:rtl/>
        </w:rPr>
      </w:pPr>
      <w:r w:rsidRPr="00F912F8">
        <w:rPr>
          <w:rFonts w:cs="FrankRuehl" w:hint="cs"/>
          <w:sz w:val="22"/>
          <w:szCs w:val="22"/>
          <w:rtl/>
        </w:rPr>
        <w:t>20.</w:t>
      </w:r>
      <w:r w:rsidRPr="00F912F8">
        <w:rPr>
          <w:rFonts w:cs="FrankRuehl" w:hint="cs"/>
          <w:sz w:val="22"/>
          <w:szCs w:val="22"/>
          <w:rtl/>
        </w:rPr>
        <w:tab/>
      </w:r>
      <w:r w:rsidRPr="00F912F8">
        <w:rPr>
          <w:rFonts w:cs="FrankRuehl" w:hint="cs"/>
          <w:sz w:val="22"/>
          <w:szCs w:val="22"/>
          <w:highlight w:val="yellow"/>
          <w:rtl/>
        </w:rPr>
        <w:t>בענייננו, אף אם כאמור לעיל נקבל את ההנחה כי חוקי העזר המתקנים פוגעים בקניין, מדובר לשיטתנו בפגיעה קלה ביותר.</w:t>
      </w:r>
      <w:r w:rsidRPr="00F912F8">
        <w:rPr>
          <w:rFonts w:cs="FrankRuehl" w:hint="cs"/>
          <w:sz w:val="22"/>
          <w:szCs w:val="22"/>
          <w:rtl/>
        </w:rPr>
        <w:t xml:space="preserve"> חוקי העזר המתקנים אינם מטילים היטל חדש באופן רטרואקטיבי. ההיטל עצמו נקבע כדין, ונגבה מראש בהתאם לחוק. על כך אין העותרים חולקים. עניינם של חוקי העזר המתקנים הינו בגבייתם של הפרשי הצמדה בלבד, ואף זאת רק למספר חודשים. לא דין הטלת מס או היטל באופן רטרואקטיבי כדין גביית הפרשי הצמדות באופן רטרואקטיבי. כידוע, בגבייתו של תשלום כשהוא מוצמד אין משום סנקציה או אלמנט עונשי עבור משלם התשלום, ואף אין בה משום התעשרות עבור גובה התשלום </w:t>
      </w:r>
      <w:r>
        <w:rPr>
          <w:rFonts w:cs="FrankRuehl" w:hint="cs"/>
          <w:sz w:val="22"/>
          <w:szCs w:val="22"/>
          <w:rtl/>
        </w:rPr>
        <w:t>..</w:t>
      </w:r>
      <w:r w:rsidRPr="00F912F8">
        <w:rPr>
          <w:rFonts w:cs="FrankRuehl" w:hint="cs"/>
          <w:sz w:val="22"/>
          <w:szCs w:val="22"/>
          <w:rtl/>
        </w:rPr>
        <w:t>. תפקידה של ההצמדה לשמור על ערכו הריאלי של החיוב הכספי ולמנוע את שחיקתו כתוצאה מחלוף הזמן</w:t>
      </w:r>
      <w:r>
        <w:rPr>
          <w:rFonts w:cs="FrankRuehl" w:hint="cs"/>
          <w:sz w:val="22"/>
          <w:szCs w:val="22"/>
          <w:rtl/>
        </w:rPr>
        <w:t>...</w:t>
      </w:r>
      <w:r w:rsidRPr="00F912F8">
        <w:rPr>
          <w:rFonts w:cs="FrankRuehl" w:hint="cs"/>
          <w:sz w:val="22"/>
          <w:szCs w:val="22"/>
          <w:rtl/>
        </w:rPr>
        <w:t xml:space="preserve"> </w:t>
      </w:r>
    </w:p>
    <w:p w:rsidR="00241BC2" w:rsidRDefault="00241BC2" w:rsidP="00241BC2">
      <w:pPr>
        <w:spacing w:after="60"/>
        <w:rPr>
          <w:rFonts w:cs="FrankRuehl"/>
          <w:sz w:val="22"/>
          <w:szCs w:val="22"/>
          <w:rtl/>
        </w:rPr>
      </w:pPr>
      <w:r w:rsidRPr="00F912F8">
        <w:rPr>
          <w:rFonts w:cs="FrankRuehl" w:hint="cs"/>
          <w:sz w:val="22"/>
          <w:szCs w:val="22"/>
          <w:rtl/>
        </w:rPr>
        <w:t xml:space="preserve">בדומה, גם בפסק הדין בפרשת זנדברג, אשר עסק בפרשנותו של חוק שהטיל אגרה באופן רטרואקטיבי, הבחין בית המשפט בין הפרשי הצמדה, אשר קשורים באופן הדוק לאגרה עצמה, לבין קנסות פיגורים. בית המשפט קבע כי תחולתו הרטרואקטיבית של החוק נפרשת אף על הפרשי ההצמדה, נוכח מטרתם לשמור על ערכה הריאלי של האגרה. לעומת זאת, לגבי קנסות פיגורים נקבע כי אלה מהווים אמצעי אזרחי לייעול אכיפת תשלום אגרה, בעל מימד עונשי, ומשכך אין לראות את החוק שהוחל רטרואקטיבית כחל לגביהם (שם, בעמ' 815-807). </w:t>
      </w:r>
    </w:p>
    <w:p w:rsidR="00241BC2" w:rsidRPr="00F912F8" w:rsidRDefault="00241BC2" w:rsidP="00241BC2">
      <w:pPr>
        <w:spacing w:after="60"/>
        <w:rPr>
          <w:rFonts w:cs="FrankRuehl"/>
          <w:sz w:val="22"/>
          <w:szCs w:val="22"/>
          <w:rtl/>
        </w:rPr>
      </w:pPr>
      <w:r w:rsidRPr="00F912F8">
        <w:rPr>
          <w:rFonts w:cs="FrankRuehl" w:hint="cs"/>
          <w:sz w:val="22"/>
          <w:szCs w:val="22"/>
          <w:rtl/>
        </w:rPr>
        <w:t>מכאן, שגבייתם של הפרשי הצמדה הינה חלק בלתי נפרד ממימונו הריאלי של שירות הניתן לאזרח, ובענייננו הקמת מערכת ביוב. גביית חובות בערך לא ריאלי מטילה על כתפי הרשות את עלותה של שחיקת הכסף, עלות אשר הציבור ישא בה גם אם הוא לא בהכרח נהנה משירות זה. כמו כן - וכטענת המשיבים - קשה להלום כי לפרט קיים אינטרס הסתמכות כלשהוא לתשלום היטל על-פי דין שלא בהתאם לערכו הריאלי, ובעובדה כי נפלה שגגה בפעולת מחוקק המשנה, אין כדי להקים לו אינטרס כאמור.</w:t>
      </w:r>
      <w:r>
        <w:rPr>
          <w:rFonts w:cs="FrankRuehl" w:hint="cs"/>
          <w:sz w:val="22"/>
          <w:szCs w:val="22"/>
          <w:rtl/>
        </w:rPr>
        <w:t>..</w:t>
      </w:r>
    </w:p>
    <w:p w:rsidR="00241BC2" w:rsidRPr="00F912F8" w:rsidRDefault="00241BC2" w:rsidP="00241BC2">
      <w:pPr>
        <w:spacing w:after="60"/>
        <w:rPr>
          <w:rFonts w:cs="FrankRuehl"/>
          <w:sz w:val="22"/>
          <w:szCs w:val="22"/>
          <w:highlight w:val="yellow"/>
          <w:rtl/>
        </w:rPr>
      </w:pPr>
      <w:r w:rsidRPr="00F912F8">
        <w:rPr>
          <w:rFonts w:cs="FrankRuehl" w:hint="cs"/>
          <w:sz w:val="22"/>
          <w:szCs w:val="22"/>
          <w:rtl/>
        </w:rPr>
        <w:t>21.</w:t>
      </w:r>
      <w:r w:rsidRPr="00F912F8">
        <w:rPr>
          <w:rFonts w:cs="FrankRuehl" w:hint="cs"/>
          <w:sz w:val="22"/>
          <w:szCs w:val="22"/>
          <w:rtl/>
        </w:rPr>
        <w:tab/>
      </w:r>
      <w:r w:rsidRPr="00F912F8">
        <w:rPr>
          <w:rFonts w:cs="FrankRuehl" w:hint="cs"/>
          <w:sz w:val="22"/>
          <w:szCs w:val="22"/>
          <w:highlight w:val="yellow"/>
          <w:rtl/>
        </w:rPr>
        <w:t xml:space="preserve">לפיכך, בהתאם לגישה הפרשנית שהוצגה לעיל למתן דרישת "ההסמכה המפורשת" ונוכח אופי הפגיעה בענייננו, הרי שכדי למלא את התיבה "הסמכה מפורשת" בתוכן, אין לעמוד בהכרח על פירוש דווקני. כך, לא נדרוש בהכרח כי הסמכה זו תבוא בצורת לשון חד משמעית, אלא נוכל אף להסתפק בהסמכה מפורשת, אשר עולה מתוך תכליתו החד משמעית של החוק המסמיך. </w:t>
      </w:r>
    </w:p>
    <w:p w:rsidR="00241BC2" w:rsidRPr="00F912F8" w:rsidRDefault="00241BC2" w:rsidP="00241BC2">
      <w:pPr>
        <w:spacing w:after="60"/>
        <w:rPr>
          <w:rFonts w:cs="FrankRuehl"/>
          <w:sz w:val="22"/>
          <w:szCs w:val="22"/>
          <w:highlight w:val="yellow"/>
          <w:rtl/>
        </w:rPr>
      </w:pPr>
      <w:r w:rsidRPr="00F912F8">
        <w:rPr>
          <w:rFonts w:cs="FrankRuehl" w:hint="cs"/>
          <w:sz w:val="22"/>
          <w:szCs w:val="22"/>
          <w:highlight w:val="yellow"/>
          <w:rtl/>
        </w:rPr>
        <w:tab/>
        <w:t xml:space="preserve">למעלה מן הצורך יצוין כי גם לעניין מהותה של הזכות הנפגעת בענייננו, ניתן להעלות טענה לפיה היקף ההגנה אשר יש ליתן לה אינו רחב יחסית. כאמור, היקף ההגנה עשוי להשתנות מזכות לזכות, ואף במסגרת אותה זכות עשויה ההגנה להשתנות, אם מדובר בליבה של הזכות או בשוליה. כך למשל, היקף ההגנה הניתן לזכות הקניין לא בהכרח יהיה זהה להיקף ההגנה הניתן לזכות לחירות (ראו פרשת צמח, בעמ' 262). בענייננו מדובר - אם בכלל - בפגיעה בהיבט מוגבל של הזכות לקניין, אשר הינו היבט כלכלי גרידא, ויתכן כי אף בכך יש כדי להצדיק מתן הגנה בהיקף מצומצם יותר. מכל מקום, אף אם לא נקבל את ההנחה כי מדובר בעניינו בזכות אשר ההגנה עליה, בנסיבות העניין, הינה חלשה, די בעובדת היותה של הפגיעה בזכות קלה יחסית על מנת להצדיק את פרשנותה של דרישת "ההסמכה המפורשת" באופן מרחיב, כפי שפורט. </w:t>
      </w:r>
    </w:p>
    <w:p w:rsidR="00241BC2" w:rsidRPr="00F912F8" w:rsidRDefault="00241BC2" w:rsidP="00241BC2">
      <w:pPr>
        <w:spacing w:after="60"/>
        <w:rPr>
          <w:rFonts w:cs="FrankRuehl"/>
          <w:sz w:val="22"/>
          <w:szCs w:val="22"/>
          <w:rtl/>
        </w:rPr>
      </w:pPr>
      <w:r w:rsidRPr="00F912F8">
        <w:rPr>
          <w:rFonts w:cs="FrankRuehl" w:hint="cs"/>
          <w:sz w:val="22"/>
          <w:szCs w:val="22"/>
          <w:highlight w:val="yellow"/>
          <w:rtl/>
        </w:rPr>
        <w:t>22.</w:t>
      </w:r>
      <w:r w:rsidRPr="00F912F8">
        <w:rPr>
          <w:rFonts w:cs="FrankRuehl" w:hint="cs"/>
          <w:sz w:val="22"/>
          <w:szCs w:val="22"/>
          <w:highlight w:val="yellow"/>
          <w:rtl/>
        </w:rPr>
        <w:tab/>
        <w:t>האם ההסמכה הקיימת בחוקים המסמיכים בענייננו עונה על דרישה "ההסמכה המפורשת" במשמעותה האמורה?</w:t>
      </w:r>
      <w:r w:rsidRPr="00F912F8">
        <w:rPr>
          <w:rFonts w:cs="FrankRuehl" w:hint="cs"/>
          <w:sz w:val="22"/>
          <w:szCs w:val="22"/>
          <w:rtl/>
        </w:rPr>
        <w:t xml:space="preserve"> דעתנו היא כי התשובה על כך הינה חיובית. מספר טעמים עומדים בבסיס מסקנה זאת. חלקם נשענים על נוסח הסעיפים כחלק מהסמכה כללית ופרטנית וחלקם על תכליתם הברורה של סעיפים אלה. </w:t>
      </w:r>
    </w:p>
    <w:p w:rsidR="00241BC2" w:rsidRPr="00F912F8" w:rsidRDefault="00241BC2" w:rsidP="00241BC2">
      <w:pPr>
        <w:spacing w:after="60"/>
        <w:jc w:val="left"/>
        <w:rPr>
          <w:rFonts w:cs="FrankRuehl"/>
          <w:b/>
          <w:bCs/>
          <w:sz w:val="22"/>
          <w:szCs w:val="22"/>
          <w:rtl/>
        </w:rPr>
      </w:pPr>
      <w:r w:rsidRPr="00F912F8">
        <w:rPr>
          <w:rFonts w:cs="FrankRuehl" w:hint="cs"/>
          <w:b/>
          <w:bCs/>
          <w:sz w:val="22"/>
          <w:szCs w:val="22"/>
          <w:rtl/>
        </w:rPr>
        <w:t>א. נוסח הסעיפים המסמיכים</w:t>
      </w:r>
    </w:p>
    <w:p w:rsidR="00241BC2" w:rsidRPr="00F912F8" w:rsidRDefault="00241BC2" w:rsidP="00241BC2">
      <w:pPr>
        <w:spacing w:after="60"/>
        <w:jc w:val="left"/>
        <w:rPr>
          <w:rFonts w:cs="FrankRuehl"/>
          <w:sz w:val="22"/>
          <w:szCs w:val="22"/>
          <w:rtl/>
        </w:rPr>
      </w:pPr>
      <w:r w:rsidRPr="00F912F8">
        <w:rPr>
          <w:rFonts w:cs="FrankRuehl" w:hint="cs"/>
          <w:sz w:val="22"/>
          <w:szCs w:val="22"/>
          <w:rtl/>
        </w:rPr>
        <w:tab/>
        <w:t>הטעם הראשון נשען על הוראותיו המפורשות של סעיף 260 ל</w:t>
      </w:r>
      <w:hyperlink r:id="rId411" w:history="1">
        <w:r w:rsidRPr="00F912F8">
          <w:rPr>
            <w:rStyle w:val="Hyperlink"/>
            <w:rFonts w:cs="FrankRuehl"/>
            <w:sz w:val="22"/>
            <w:szCs w:val="22"/>
            <w:rtl/>
          </w:rPr>
          <w:t>פקודת העיריות</w:t>
        </w:r>
      </w:hyperlink>
      <w:r w:rsidRPr="00F912F8">
        <w:rPr>
          <w:rFonts w:cs="FrankRuehl" w:hint="cs"/>
          <w:sz w:val="22"/>
          <w:szCs w:val="22"/>
          <w:rtl/>
        </w:rPr>
        <w:t xml:space="preserve">. כזכור, קובע סעיף 260 כי: </w:t>
      </w:r>
    </w:p>
    <w:tbl>
      <w:tblPr>
        <w:bidiVisual/>
        <w:tblW w:w="0" w:type="auto"/>
        <w:tblInd w:w="1751" w:type="dxa"/>
        <w:tblLook w:val="00BF"/>
      </w:tblPr>
      <w:tblGrid>
        <w:gridCol w:w="1282"/>
        <w:gridCol w:w="4980"/>
      </w:tblGrid>
      <w:tr w:rsidR="00241BC2" w:rsidRPr="00F912F8" w:rsidTr="00354D68">
        <w:tc>
          <w:tcPr>
            <w:tcW w:w="1282" w:type="dxa"/>
          </w:tcPr>
          <w:p w:rsidR="00241BC2" w:rsidRPr="00F912F8" w:rsidRDefault="00241BC2" w:rsidP="00354D68">
            <w:pPr>
              <w:spacing w:after="60"/>
              <w:jc w:val="left"/>
              <w:rPr>
                <w:rFonts w:cs="FrankRuehl"/>
                <w:sz w:val="22"/>
                <w:szCs w:val="22"/>
              </w:rPr>
            </w:pPr>
            <w:r w:rsidRPr="00F912F8">
              <w:rPr>
                <w:rFonts w:cs="FrankRuehl" w:hint="cs"/>
                <w:sz w:val="22"/>
                <w:szCs w:val="22"/>
                <w:rtl/>
              </w:rPr>
              <w:t>"תוקף למפרע</w:t>
            </w:r>
            <w:r w:rsidRPr="00F912F8">
              <w:rPr>
                <w:rFonts w:cs="FrankRuehl" w:hint="cs"/>
                <w:b/>
                <w:bCs/>
                <w:sz w:val="22"/>
                <w:szCs w:val="22"/>
                <w:rtl/>
              </w:rPr>
              <w:t xml:space="preserve"> </w:t>
            </w:r>
          </w:p>
        </w:tc>
        <w:tc>
          <w:tcPr>
            <w:tcW w:w="4980" w:type="dxa"/>
          </w:tcPr>
          <w:p w:rsidR="00241BC2" w:rsidRPr="00F912F8" w:rsidRDefault="00241BC2" w:rsidP="00354D68">
            <w:pPr>
              <w:spacing w:after="60"/>
              <w:jc w:val="left"/>
              <w:rPr>
                <w:rFonts w:cs="FrankRuehl"/>
                <w:sz w:val="22"/>
                <w:szCs w:val="22"/>
              </w:rPr>
            </w:pPr>
            <w:r w:rsidRPr="00F912F8">
              <w:rPr>
                <w:rFonts w:cs="FrankRuehl" w:hint="cs"/>
                <w:sz w:val="22"/>
                <w:szCs w:val="22"/>
                <w:rtl/>
              </w:rPr>
              <w:t>260. שום דרישה של חוק עזר בנוגע לבניה או לשינוי של רחובות, בנינים, נקזים או עבודות אחרות, לא תחול על עבודות כאמור שנעשו לפני שחוק העזר נכנס לתקפו, אלא אם יש בחוק העזר הוראה אחרת מפורשת".</w:t>
            </w:r>
          </w:p>
        </w:tc>
      </w:tr>
    </w:tbl>
    <w:p w:rsidR="00241BC2" w:rsidRPr="00F912F8" w:rsidRDefault="00241BC2" w:rsidP="00241BC2">
      <w:pPr>
        <w:spacing w:after="60"/>
        <w:rPr>
          <w:rFonts w:cs="FrankRuehl"/>
          <w:sz w:val="22"/>
          <w:szCs w:val="22"/>
          <w:rtl/>
        </w:rPr>
      </w:pPr>
      <w:r w:rsidRPr="00F912F8">
        <w:rPr>
          <w:rFonts w:cs="FrankRuehl" w:hint="cs"/>
          <w:sz w:val="22"/>
          <w:szCs w:val="22"/>
          <w:rtl/>
        </w:rPr>
        <w:tab/>
        <w:t xml:space="preserve">כפי שצוין לעיל, ניתן לקבוע כי סעיף 260 נועד להוות סעיף כללי באשר להחלתם למפרע של חוקי עזר. ההסדר הקבוע בו ביקש להגדיר באופן מפורש כיצד יכולה הרשות המקומית לקנות סמכות ליצירתה של חקיקה רטרואקטיבית במסגרת חוקי העזר. אין חולק כי חוקי העזר המתקנים מציינים במפורש כי תחולתם הינה רטרואקטיבית. המחלוקת בעניין הוראות סעיף 260 נסובה על היבט אחר - לשיטת העותרים, אין כל רלוונטיות לעובדה כי חוקי העזר ציינו במפורש את דבר תחולתם הרטרואקטיבי, נוכח העובדה כי מלכתחילה סעיף זה כלל לא נועד לחול על נסיבות העניין שלפנינו, שכן הוא עוסק בעבודות בעין בלבד. אין לקבל פרשנות זו. מקריאת סעיף 260 עולה כי הקביעה העיקרית המופיעה בו הינה כי על מנת שדרישה בחוק עזר, המתייחסת לעבודה בעין, תחול באופן רטרואקטיבי, על חוק העזר לציין זאת במפורש. עולה מכאן כי התחולה הרטרואקטיבית, אשר לשם קיומה נדרשת אמירה מפורשת בחוק העזר, נוגעת לדרישה באשר לעבודות בעין, ולא לעבודות עצמן. השאלה מה יכול לבוא בגדר אותה דרישה הינה שאלה מורכבת. עם זאת, אף מבלי שנכריע בשאלת רוחב הגדרתה של התיבה "דרישה" שבסעיף 260, נראה כי דרישה לתשלום הפרשי הצמדה בגין עבודה בעין (בענייננו, הקמת תשתית ביוב), אשר ההיטל בגינה נגבה כדין, תמצא בגרעינה של הגדרה זו. זאת, נוכח מטרתה של ההצמדה, עליה עמדנו לעיל, להביא למימון ריאלי של העבודות, והיותה חלק אינהרנטי מהחיוב עצמו. </w:t>
      </w:r>
      <w:r>
        <w:rPr>
          <w:rFonts w:cs="FrankRuehl" w:hint="cs"/>
          <w:sz w:val="22"/>
          <w:szCs w:val="22"/>
          <w:rtl/>
        </w:rPr>
        <w:t>...</w:t>
      </w:r>
    </w:p>
    <w:p w:rsidR="00241BC2" w:rsidRPr="00F912F8" w:rsidRDefault="00241BC2" w:rsidP="00241BC2">
      <w:pPr>
        <w:spacing w:after="60"/>
        <w:rPr>
          <w:rFonts w:cs="FrankRuehl"/>
          <w:sz w:val="22"/>
          <w:szCs w:val="22"/>
          <w:rtl/>
        </w:rPr>
      </w:pPr>
      <w:r w:rsidRPr="00F912F8">
        <w:rPr>
          <w:rFonts w:cs="FrankRuehl" w:hint="cs"/>
          <w:sz w:val="22"/>
          <w:szCs w:val="22"/>
          <w:rtl/>
        </w:rPr>
        <w:tab/>
        <w:t xml:space="preserve">בנסיבות העניין ונוכח טיב הזכות הנפגעת, די, אפוא, בלשונו של סעיף 260 על מנת לבסס את המסקנה באשר לקיומה של הסמכה מפורשת ליצירתה של חקיקה רטרואקטיבית. </w:t>
      </w:r>
      <w:r w:rsidRPr="00C70F8A">
        <w:rPr>
          <w:rFonts w:cs="FrankRuehl" w:hint="cs"/>
          <w:sz w:val="22"/>
          <w:szCs w:val="22"/>
          <w:highlight w:val="yellow"/>
          <w:rtl/>
        </w:rPr>
        <w:t>ברם, מסקנה זו נשענת על טעמים נוספים. כאמור לעיל, ובהתאם לגישה הפרשנית לדרישת "ההסמכה המפורשת", הרי שבנסיבות העניין שלפנינו, ונוכח סוג הפגיעה – אם נגרמת – בזכות העותרים לקניין, מתקיימת דרישת "ההסמכה המפורשת" אף בהתחשב בבחינת תכליתו הפרטיקולרית של החוק המסמיך, כפי שיובהר להלן</w:t>
      </w:r>
      <w:r w:rsidRPr="00F912F8">
        <w:rPr>
          <w:rFonts w:cs="FrankRuehl" w:hint="cs"/>
          <w:sz w:val="22"/>
          <w:szCs w:val="22"/>
          <w:rtl/>
        </w:rPr>
        <w:t>.</w:t>
      </w:r>
    </w:p>
    <w:p w:rsidR="00241BC2" w:rsidRPr="00C70F8A" w:rsidRDefault="00241BC2" w:rsidP="00241BC2">
      <w:pPr>
        <w:spacing w:after="60"/>
        <w:rPr>
          <w:rFonts w:cs="FrankRuehl"/>
          <w:b/>
          <w:bCs/>
          <w:sz w:val="22"/>
          <w:szCs w:val="22"/>
          <w:rtl/>
        </w:rPr>
      </w:pPr>
      <w:r w:rsidRPr="00C70F8A">
        <w:rPr>
          <w:rFonts w:cs="FrankRuehl" w:hint="cs"/>
          <w:b/>
          <w:bCs/>
          <w:sz w:val="22"/>
          <w:szCs w:val="22"/>
          <w:rtl/>
        </w:rPr>
        <w:t>ב. תכליתם של הסעיפים המסמיכים</w:t>
      </w:r>
    </w:p>
    <w:p w:rsidR="00241BC2" w:rsidRPr="00F912F8" w:rsidRDefault="00241BC2" w:rsidP="00241BC2">
      <w:pPr>
        <w:spacing w:after="60"/>
        <w:rPr>
          <w:rFonts w:cs="FrankRuehl"/>
          <w:sz w:val="22"/>
          <w:szCs w:val="22"/>
          <w:rtl/>
        </w:rPr>
      </w:pPr>
      <w:r w:rsidRPr="00F912F8">
        <w:rPr>
          <w:rFonts w:cs="FrankRuehl" w:hint="cs"/>
          <w:sz w:val="22"/>
          <w:szCs w:val="22"/>
          <w:rtl/>
        </w:rPr>
        <w:t>23.</w:t>
      </w:r>
      <w:r w:rsidRPr="00F912F8">
        <w:rPr>
          <w:rFonts w:cs="FrankRuehl" w:hint="cs"/>
          <w:sz w:val="22"/>
          <w:szCs w:val="22"/>
          <w:rtl/>
        </w:rPr>
        <w:tab/>
        <w:t>מקריאת מכלול הסעיפים המסמיכים – סעיפים 250, 251 ו-260 ל</w:t>
      </w:r>
      <w:hyperlink r:id="rId412" w:history="1">
        <w:r w:rsidRPr="00F912F8">
          <w:rPr>
            <w:rStyle w:val="Hyperlink"/>
            <w:rFonts w:cs="FrankRuehl"/>
            <w:sz w:val="22"/>
            <w:szCs w:val="22"/>
            <w:rtl/>
          </w:rPr>
          <w:t>פקודת העיריות</w:t>
        </w:r>
      </w:hyperlink>
      <w:r w:rsidRPr="00F912F8">
        <w:rPr>
          <w:rFonts w:cs="FrankRuehl" w:hint="cs"/>
          <w:sz w:val="22"/>
          <w:szCs w:val="22"/>
          <w:rtl/>
        </w:rPr>
        <w:t xml:space="preserve"> וסעיף 17 לחוק הביוב, עולה כי אכן הם נועדו ליתן בידי הרשות סמכויות לאפשר את התקנתה של מערכת ביוב, וכן סמכויות שיאפשרו מימונה וכיסוי עלויותיה של התקנת מערכת זו </w:t>
      </w:r>
      <w:r>
        <w:rPr>
          <w:rFonts w:cs="FrankRuehl" w:hint="cs"/>
          <w:sz w:val="22"/>
          <w:szCs w:val="22"/>
          <w:rtl/>
        </w:rPr>
        <w:t>..</w:t>
      </w:r>
      <w:r w:rsidRPr="00F912F8">
        <w:rPr>
          <w:rFonts w:cs="FrankRuehl" w:hint="cs"/>
          <w:sz w:val="22"/>
          <w:szCs w:val="22"/>
          <w:rtl/>
        </w:rPr>
        <w:t xml:space="preserve">. כך מסדירות הוראות </w:t>
      </w:r>
      <w:hyperlink r:id="rId413" w:history="1">
        <w:r w:rsidRPr="00F912F8">
          <w:rPr>
            <w:rStyle w:val="Hyperlink"/>
            <w:rFonts w:cs="FrankRuehl"/>
            <w:sz w:val="22"/>
            <w:szCs w:val="22"/>
            <w:rtl/>
          </w:rPr>
          <w:t>פקודת העיריות</w:t>
        </w:r>
      </w:hyperlink>
      <w:r w:rsidRPr="00F912F8">
        <w:rPr>
          <w:rFonts w:cs="FrankRuehl" w:hint="cs"/>
          <w:sz w:val="22"/>
          <w:szCs w:val="22"/>
          <w:rtl/>
        </w:rPr>
        <w:t xml:space="preserve"> את סמכותה של העיריה בחקיקת חוקי עזר שיאפשרו מימונה של מערכת ביוב. לצורך כך, קובעות הוראות סעיף 250 כי "מועצה רשאית להתקין חוקי עזר כדי לאפשר לעיריה ביצוע הדברים שהיא נדרשת או מוסמכת לעשותם על פי הפקודה או כל דין אחר...", כשלצידן קובעות הוראות סעיף 251 כי "בחוקי העזר רשאית המועצה לקבוע הוראות בדבר.. תשלום אגרות, היטלים.... בקשר לדברים האמורים בסעיף 250". סעיף 260 מקנה כאמור לרשות סמכות לחקיקה רטרואקטיבית, ביחס לדרישותיה השונות של הרשות, בהתאם לתנאים הקבועים בו. הוראותיו המפורשות של סעיף 17 לחוק הביוב הקובעות כי "ההיטל מוטל לשם כיסוי הוצאות של התקנת הביוב או של קנייתו", מבהירות כי גבייתו של ההיטל אמורה לשקף, גם אם על דרך האומדן, את הוצאותיה הממשיות של הרשות בגין התקנת או קניית מערכת ביוב. משכך, אין הרשות רשאית לגבות סכומים העולים על הוצאותיה, במטרה להעשיר את קופתה או לממן מטרות אחרות (ראו: </w:t>
      </w:r>
      <w:hyperlink r:id="rId414" w:history="1">
        <w:r w:rsidRPr="00F912F8">
          <w:rPr>
            <w:rStyle w:val="Hyperlink"/>
            <w:rFonts w:cs="FrankRuehl"/>
            <w:sz w:val="22"/>
            <w:szCs w:val="22"/>
            <w:rtl/>
          </w:rPr>
          <w:t>ע"א 263/78 חברת חשמל לישראל בע"מ נ' המועצה המקומית נשר, פ"ד לג</w:t>
        </w:r>
      </w:hyperlink>
      <w:r w:rsidRPr="00F912F8">
        <w:rPr>
          <w:rFonts w:cs="FrankRuehl" w:hint="cs"/>
          <w:sz w:val="22"/>
          <w:szCs w:val="22"/>
          <w:rtl/>
        </w:rPr>
        <w:t xml:space="preserve">(1) 757, 763-764 (1979); פרשת עיריית חולון, בעמ' 942; והשוו לפרשת רשף, בעמ' 66). מנגד, על הרשות להימנע אף מגביית חסר של ההיטלים, באופן שימנע את כיסוי הוצאותיה. גביית חסר כאמור תמנע מהרשות לקיים כראוי את תפקידיה, בכל הנוגע להקמת תשתית ביוב (ראו פרשת יצחקי, שם). </w:t>
      </w:r>
      <w:r w:rsidRPr="00C70F8A">
        <w:rPr>
          <w:rFonts w:cs="FrankRuehl" w:hint="cs"/>
          <w:sz w:val="22"/>
          <w:szCs w:val="22"/>
          <w:highlight w:val="yellow"/>
          <w:rtl/>
        </w:rPr>
        <w:t>פועל יוצא מהאמור הוא כי מימון התקנת או בניית הביוב צריך שיעשה בערכים ריאליים. מכאן, כי במסגרת תכליתם של הסעיפים המסמיכים לאפשר התקנת תשתית ביוב ומימונה, נכללת גם תכלית לפיה גביית הת</w:t>
      </w:r>
      <w:smartTag w:uri="urn:schemas-microsoft-com:office:smarttags" w:element="PersonName">
        <w:r w:rsidRPr="00C70F8A">
          <w:rPr>
            <w:rFonts w:cs="FrankRuehl" w:hint="cs"/>
            <w:sz w:val="22"/>
            <w:szCs w:val="22"/>
            <w:highlight w:val="yellow"/>
            <w:rtl/>
          </w:rPr>
          <w:t>שלומי</w:t>
        </w:r>
      </w:smartTag>
      <w:r w:rsidRPr="00C70F8A">
        <w:rPr>
          <w:rFonts w:cs="FrankRuehl" w:hint="cs"/>
          <w:sz w:val="22"/>
          <w:szCs w:val="22"/>
          <w:highlight w:val="yellow"/>
          <w:rtl/>
        </w:rPr>
        <w:t>ם תיעשה בערך ריאלי</w:t>
      </w:r>
      <w:r w:rsidRPr="00F912F8">
        <w:rPr>
          <w:rFonts w:cs="FrankRuehl" w:hint="cs"/>
          <w:sz w:val="22"/>
          <w:szCs w:val="22"/>
          <w:rtl/>
        </w:rPr>
        <w:t xml:space="preserve">. </w:t>
      </w:r>
    </w:p>
    <w:p w:rsidR="00241BC2" w:rsidRPr="00F912F8" w:rsidRDefault="00241BC2" w:rsidP="00241BC2">
      <w:pPr>
        <w:spacing w:after="60"/>
        <w:rPr>
          <w:rFonts w:cs="FrankRuehl"/>
          <w:sz w:val="22"/>
          <w:szCs w:val="22"/>
          <w:rtl/>
        </w:rPr>
      </w:pPr>
      <w:r w:rsidRPr="00F912F8">
        <w:rPr>
          <w:rFonts w:cs="FrankRuehl" w:hint="cs"/>
          <w:sz w:val="22"/>
          <w:szCs w:val="22"/>
          <w:rtl/>
        </w:rPr>
        <w:tab/>
        <w:t xml:space="preserve">חוקי העזר המקוריים בענייננו קבעו תעריפים להיטלי ביוב, אשר נקבעו בערכים לא ריאליים, בשל טעות שנפלה בחוקי העזר. קביעה זו אינה מתיישבת עם תכליתם של החוקים המסמיכים, כפי שפורשה לעיל. משהתגלתה התקלה האמורה, נחקקו חוקי העזר המתקנים, אשר העמידו את תעריפי היטלי הביוב על ערכם הריאלי. תכליתם של חוקי העזר המתקנים הייתה לאשרר את גביתם של ההיטלים באופן שיכסה על הוצאות הרשות בהקמת תשתית הביוב וימנע גירעון בתקציב הרשות. הגשמתה של תכלית זו מחייבת מעצם מהותה הותרת סמכות בידי מחוקק המשנה ליצירתה של חקיקה רטרואקטיבית מקום בו זו באה לתקן טעות בגביית חסר של רשות, כבענייננו, בוודאי עת מדובר בהצמדה לצורך גביית היטל בערכו הריאלי בלבד. </w:t>
      </w:r>
      <w:r w:rsidRPr="00F912F8">
        <w:rPr>
          <w:rFonts w:cs="FrankRuehl" w:hint="cs"/>
          <w:sz w:val="22"/>
          <w:szCs w:val="22"/>
          <w:rtl/>
        </w:rPr>
        <w:tab/>
      </w:r>
      <w:r>
        <w:rPr>
          <w:rFonts w:cs="FrankRuehl" w:hint="cs"/>
          <w:sz w:val="22"/>
          <w:szCs w:val="22"/>
          <w:rtl/>
        </w:rPr>
        <w:t>...</w:t>
      </w:r>
    </w:p>
    <w:p w:rsidR="00241BC2" w:rsidRPr="00F912F8" w:rsidRDefault="00241BC2" w:rsidP="00241BC2">
      <w:pPr>
        <w:spacing w:after="60"/>
        <w:rPr>
          <w:rFonts w:cs="FrankRuehl"/>
          <w:sz w:val="22"/>
          <w:szCs w:val="22"/>
          <w:rtl/>
        </w:rPr>
      </w:pPr>
      <w:r w:rsidRPr="00F912F8">
        <w:rPr>
          <w:rFonts w:cs="FrankRuehl" w:hint="cs"/>
          <w:sz w:val="22"/>
          <w:szCs w:val="22"/>
          <w:rtl/>
        </w:rPr>
        <w:t>24.</w:t>
      </w:r>
      <w:r w:rsidRPr="00F912F8">
        <w:rPr>
          <w:rFonts w:cs="FrankRuehl" w:hint="cs"/>
          <w:sz w:val="22"/>
          <w:szCs w:val="22"/>
          <w:rtl/>
        </w:rPr>
        <w:tab/>
        <w:t xml:space="preserve">נוכח כל האמור לעיל, ניתן לקבוע כי מכלול ההסדרים שבחוקים המסמיכים, כמו גם תכליתם, מובילים למסקנה כי בנסיבות העניין שלפנינו - ועל רקע אופיה ומהותה של הפגיעה הנגרמת (אם בכלל) בזכות הקניין של העותרים - הוכח דבר קיומה של "הסמכה מפורשת" ליצירתה של חקיקה רטרואקטיבית המאשררת הפרשי הצמדה בגין היטלי ביוב, באופן שיש בו כדי לעמוד בדרישת "ההסמכה המפורשת" בפסקת ההגבלה. </w:t>
      </w:r>
    </w:p>
    <w:p w:rsidR="00241BC2" w:rsidRPr="00F912F8" w:rsidRDefault="00241BC2" w:rsidP="00241BC2">
      <w:pPr>
        <w:spacing w:after="60"/>
        <w:rPr>
          <w:rFonts w:cs="FrankRuehl"/>
          <w:sz w:val="22"/>
          <w:szCs w:val="22"/>
          <w:rtl/>
        </w:rPr>
      </w:pPr>
      <w:r w:rsidRPr="00F912F8">
        <w:rPr>
          <w:rFonts w:cs="FrankRuehl" w:hint="cs"/>
          <w:sz w:val="22"/>
          <w:szCs w:val="22"/>
          <w:rtl/>
        </w:rPr>
        <w:tab/>
        <w:t xml:space="preserve">ויובהר שוב - מסקנה זו נוגעת אך לנסיבות בהן הפגיעה בקניין, ככל שקיימת כזו, מקורה בחיוב בהפרשי הצמדה בלבד כאשר ההיטל עצמו נגבה מראש ובהתאם לדין. פגיעה אשר עוצמתה רבה יותר, כגון הטלת היטל או מס חדש באופן רטרואקטיבי, עשויה להביא לפרשנות דווקנית יותר של התיבה "הסמכה מפורשת", הסמכה אשר לא בהכרח תימצא בחוקים המסמיכים בענייננו (ראו בעניין זה הדרי, בעמ' 43-31). נוכח האמור, יודגש כי חששם של העותרים לפיו פסיקתינו זו תעניק למחוקקי המשנה לגיטימציה לזלזול במלאכת חקיקת המשנה אינו מבוסס, שכן קביעות פסק הדין נסמכות על נסיבות המקרה הפרטניות והייחודיות שלפנינו ויישומן בהתאם לאמות המידה שהוצגו וכך כל מקרה העתיד שיבוא בפנינו ייבחן לגופו בהתאם לנסיבותיו. </w:t>
      </w:r>
    </w:p>
    <w:p w:rsidR="00241BC2" w:rsidRPr="00F912F8" w:rsidRDefault="00241BC2" w:rsidP="00241BC2">
      <w:pPr>
        <w:spacing w:after="60"/>
        <w:rPr>
          <w:rFonts w:cs="FrankRuehl"/>
          <w:sz w:val="22"/>
          <w:szCs w:val="22"/>
          <w:rtl/>
        </w:rPr>
      </w:pPr>
      <w:r w:rsidRPr="00F912F8">
        <w:rPr>
          <w:rFonts w:cs="FrankRuehl" w:hint="cs"/>
          <w:sz w:val="22"/>
          <w:szCs w:val="22"/>
          <w:rtl/>
        </w:rPr>
        <w:tab/>
        <w:t xml:space="preserve">הנה כי כן, בסיומו של הדיון הפרשני הגענו למסקנה כי חוקי העזר המתקנים הותקנו בסמכות. </w:t>
      </w:r>
    </w:p>
    <w:p w:rsidR="00241BC2" w:rsidRPr="008616A8" w:rsidRDefault="00241BC2" w:rsidP="00241BC2">
      <w:pPr>
        <w:rPr>
          <w:rFonts w:cs="FrankRuehl"/>
          <w:sz w:val="22"/>
          <w:szCs w:val="22"/>
          <w:rtl/>
        </w:rPr>
      </w:pPr>
    </w:p>
    <w:p w:rsidR="00241BC2" w:rsidRDefault="00241BC2" w:rsidP="00241BC2">
      <w:pPr>
        <w:rPr>
          <w:sz w:val="20"/>
          <w:szCs w:val="20"/>
          <w:rtl/>
        </w:rPr>
      </w:pPr>
      <w:r>
        <w:rPr>
          <w:rFonts w:hint="cs"/>
          <w:sz w:val="20"/>
          <w:szCs w:val="20"/>
          <w:rtl/>
        </w:rPr>
        <w:t>=-=</w:t>
      </w:r>
    </w:p>
    <w:p w:rsidR="00241BC2" w:rsidRPr="00826669" w:rsidRDefault="00241BC2" w:rsidP="00241BC2">
      <w:pPr>
        <w:spacing w:after="120"/>
        <w:jc w:val="center"/>
        <w:rPr>
          <w:rFonts w:ascii="Arial" w:hAnsi="Arial" w:cs="Arial"/>
          <w:b/>
          <w:bCs/>
          <w:u w:val="single"/>
          <w:rtl/>
        </w:rPr>
      </w:pPr>
      <w:r>
        <w:rPr>
          <w:rFonts w:ascii="Arial" w:hAnsi="Arial" w:cs="Arial" w:hint="cs"/>
          <w:b/>
          <w:bCs/>
          <w:highlight w:val="yellow"/>
          <w:u w:val="single"/>
          <w:rtl/>
        </w:rPr>
        <w:t xml:space="preserve">תחולה בזמן: </w:t>
      </w:r>
      <w:r w:rsidRPr="00826669">
        <w:rPr>
          <w:rFonts w:ascii="Arial" w:hAnsi="Arial" w:cs="Arial"/>
          <w:b/>
          <w:bCs/>
          <w:highlight w:val="yellow"/>
          <w:u w:val="single"/>
          <w:rtl/>
        </w:rPr>
        <w:t>"הוראות מעבר"</w:t>
      </w:r>
    </w:p>
    <w:p w:rsidR="00241BC2" w:rsidRDefault="00241BC2" w:rsidP="00241BC2">
      <w:pPr>
        <w:rPr>
          <w:sz w:val="22"/>
          <w:szCs w:val="22"/>
          <w:rtl/>
        </w:rPr>
      </w:pPr>
      <w:r w:rsidRPr="00826669">
        <w:rPr>
          <w:rFonts w:hint="cs"/>
          <w:b/>
          <w:bCs/>
          <w:sz w:val="22"/>
          <w:szCs w:val="22"/>
          <w:rtl/>
        </w:rPr>
        <w:t xml:space="preserve">סוגיה סמוכה עניינה לא ברטרואקטיביות אלא בסייגים </w:t>
      </w:r>
      <w:r w:rsidRPr="00EB75FE">
        <w:rPr>
          <w:rFonts w:hint="cs"/>
          <w:b/>
          <w:bCs/>
          <w:sz w:val="22"/>
          <w:szCs w:val="22"/>
          <w:u w:val="single"/>
          <w:rtl/>
        </w:rPr>
        <w:t>להחלה אקטיבית</w:t>
      </w:r>
      <w:r w:rsidRPr="00826669">
        <w:rPr>
          <w:rFonts w:hint="cs"/>
          <w:b/>
          <w:bCs/>
          <w:sz w:val="22"/>
          <w:szCs w:val="22"/>
          <w:rtl/>
        </w:rPr>
        <w:t xml:space="preserve"> של נורמה חדשה</w:t>
      </w:r>
      <w:r w:rsidRPr="006325E6">
        <w:rPr>
          <w:rFonts w:hint="cs"/>
          <w:sz w:val="22"/>
          <w:szCs w:val="22"/>
          <w:rtl/>
        </w:rPr>
        <w:t xml:space="preserve">: </w:t>
      </w:r>
    </w:p>
    <w:p w:rsidR="00241BC2" w:rsidRDefault="00241BC2" w:rsidP="00241BC2">
      <w:pPr>
        <w:ind w:left="720"/>
        <w:rPr>
          <w:sz w:val="22"/>
          <w:szCs w:val="22"/>
          <w:rtl/>
        </w:rPr>
      </w:pPr>
      <w:r w:rsidRPr="006325E6">
        <w:rPr>
          <w:rFonts w:hint="cs"/>
          <w:sz w:val="22"/>
          <w:szCs w:val="22"/>
          <w:rtl/>
        </w:rPr>
        <w:t xml:space="preserve">האם </w:t>
      </w:r>
      <w:r>
        <w:rPr>
          <w:rFonts w:hint="cs"/>
          <w:sz w:val="22"/>
          <w:szCs w:val="22"/>
          <w:rtl/>
        </w:rPr>
        <w:t xml:space="preserve">הנורמה תחול </w:t>
      </w:r>
      <w:r w:rsidRPr="006325E6">
        <w:rPr>
          <w:rFonts w:hint="cs"/>
          <w:sz w:val="22"/>
          <w:szCs w:val="22"/>
          <w:rtl/>
        </w:rPr>
        <w:t xml:space="preserve">מייד, מכאן ואילך, או </w:t>
      </w:r>
      <w:r>
        <w:rPr>
          <w:rFonts w:hint="cs"/>
          <w:sz w:val="22"/>
          <w:szCs w:val="22"/>
          <w:rtl/>
        </w:rPr>
        <w:t xml:space="preserve">שמא </w:t>
      </w:r>
      <w:r w:rsidRPr="006325E6">
        <w:rPr>
          <w:rFonts w:hint="cs"/>
          <w:sz w:val="22"/>
          <w:szCs w:val="22"/>
          <w:rtl/>
        </w:rPr>
        <w:t>רק לאחר שהות מסוימת/תקופת מעבר</w:t>
      </w:r>
      <w:r>
        <w:rPr>
          <w:rFonts w:hint="cs"/>
          <w:sz w:val="22"/>
          <w:szCs w:val="22"/>
          <w:rtl/>
        </w:rPr>
        <w:t xml:space="preserve">? שאלת הצורך בקביעת </w:t>
      </w:r>
      <w:r w:rsidRPr="003357FA">
        <w:rPr>
          <w:rFonts w:hint="cs"/>
          <w:b/>
          <w:bCs/>
          <w:sz w:val="22"/>
          <w:szCs w:val="22"/>
          <w:highlight w:val="yellow"/>
          <w:rtl/>
        </w:rPr>
        <w:t>"הוראות מעבר"</w:t>
      </w:r>
      <w:r>
        <w:rPr>
          <w:rFonts w:hint="cs"/>
          <w:sz w:val="22"/>
          <w:szCs w:val="22"/>
          <w:rtl/>
        </w:rPr>
        <w:t>.</w:t>
      </w:r>
    </w:p>
    <w:p w:rsidR="00241BC2" w:rsidRPr="006325E6" w:rsidRDefault="00241BC2" w:rsidP="00241BC2">
      <w:pPr>
        <w:rPr>
          <w:sz w:val="22"/>
          <w:szCs w:val="22"/>
          <w:rtl/>
        </w:rPr>
      </w:pPr>
    </w:p>
    <w:p w:rsidR="00241BC2" w:rsidRPr="009F46AD" w:rsidRDefault="00241BC2" w:rsidP="00241BC2">
      <w:pPr>
        <w:spacing w:after="120"/>
        <w:jc w:val="center"/>
        <w:rPr>
          <w:sz w:val="20"/>
          <w:szCs w:val="20"/>
          <w:rtl/>
        </w:rPr>
      </w:pPr>
      <w:r w:rsidRPr="006325E6">
        <w:rPr>
          <w:rFonts w:hint="cs"/>
          <w:sz w:val="22"/>
          <w:szCs w:val="22"/>
          <w:highlight w:val="yellow"/>
          <w:rtl/>
        </w:rPr>
        <w:t>ב</w:t>
      </w:r>
      <w:r w:rsidRPr="006325E6">
        <w:rPr>
          <w:sz w:val="22"/>
          <w:szCs w:val="22"/>
          <w:highlight w:val="yellow"/>
          <w:rtl/>
        </w:rPr>
        <w:t xml:space="preserve">ג"ץ 5936/97 </w:t>
      </w:r>
      <w:r w:rsidRPr="006325E6">
        <w:rPr>
          <w:b/>
          <w:bCs/>
          <w:sz w:val="22"/>
          <w:szCs w:val="22"/>
          <w:highlight w:val="yellow"/>
          <w:rtl/>
        </w:rPr>
        <w:t xml:space="preserve">ד"ר אורן לם נ' </w:t>
      </w:r>
      <w:r w:rsidRPr="006325E6">
        <w:rPr>
          <w:rFonts w:hint="cs"/>
          <w:b/>
          <w:bCs/>
          <w:sz w:val="22"/>
          <w:szCs w:val="22"/>
          <w:highlight w:val="yellow"/>
          <w:rtl/>
        </w:rPr>
        <w:t>מנכ"ל משרד החינוך</w:t>
      </w:r>
      <w:r w:rsidRPr="006325E6">
        <w:rPr>
          <w:rFonts w:hint="cs"/>
          <w:sz w:val="22"/>
          <w:szCs w:val="22"/>
          <w:highlight w:val="yellow"/>
          <w:rtl/>
        </w:rPr>
        <w:t>,</w:t>
      </w:r>
      <w:r w:rsidRPr="006325E6">
        <w:rPr>
          <w:sz w:val="22"/>
          <w:szCs w:val="22"/>
          <w:highlight w:val="yellow"/>
          <w:rtl/>
        </w:rPr>
        <w:t xml:space="preserve"> פ"ד נג(4) 673</w:t>
      </w:r>
      <w:r w:rsidRPr="009F46AD">
        <w:rPr>
          <w:rFonts w:hint="cs"/>
          <w:sz w:val="20"/>
          <w:szCs w:val="20"/>
          <w:rtl/>
        </w:rPr>
        <w:t xml:space="preserve"> [ההדגשות הוספו]</w:t>
      </w:r>
    </w:p>
    <w:p w:rsidR="00241BC2" w:rsidRPr="009F46AD" w:rsidRDefault="00241BC2" w:rsidP="00241BC2">
      <w:pPr>
        <w:spacing w:after="120"/>
        <w:rPr>
          <w:sz w:val="20"/>
          <w:szCs w:val="20"/>
          <w:rtl/>
        </w:rPr>
      </w:pPr>
      <w:r w:rsidRPr="009F46AD">
        <w:rPr>
          <w:rFonts w:hint="cs"/>
          <w:sz w:val="20"/>
          <w:szCs w:val="20"/>
          <w:rtl/>
        </w:rPr>
        <w:t>[</w:t>
      </w:r>
      <w:r w:rsidRPr="009F46AD">
        <w:rPr>
          <w:sz w:val="20"/>
          <w:szCs w:val="20"/>
          <w:rtl/>
        </w:rPr>
        <w:t xml:space="preserve">פגיעה בחופש העיסוק ע"י משרד החינוך שקבע כי לא יתקבלו ע"י המשרד איבחונים של ליקויי למידה אלא מפסיכולוגים חינוכיים. הצורך בקביעת </w:t>
      </w:r>
      <w:r>
        <w:rPr>
          <w:rFonts w:hint="cs"/>
          <w:sz w:val="20"/>
          <w:szCs w:val="20"/>
          <w:rtl/>
        </w:rPr>
        <w:t>"</w:t>
      </w:r>
      <w:r w:rsidRPr="009F46AD">
        <w:rPr>
          <w:sz w:val="20"/>
          <w:szCs w:val="20"/>
          <w:rtl/>
        </w:rPr>
        <w:t>תקופת מעבר</w:t>
      </w:r>
      <w:r>
        <w:rPr>
          <w:rFonts w:hint="cs"/>
          <w:sz w:val="20"/>
          <w:szCs w:val="20"/>
          <w:rtl/>
        </w:rPr>
        <w:t>"</w:t>
      </w:r>
      <w:r w:rsidRPr="009F46AD">
        <w:rPr>
          <w:sz w:val="20"/>
          <w:szCs w:val="20"/>
          <w:rtl/>
        </w:rPr>
        <w:t xml:space="preserve"> כאשר עוברים למדיניות חדשה הפוגעת באינטרס ההסתמכות של מי שנפגע מהמדיניות החדשה</w:t>
      </w:r>
      <w:r w:rsidRPr="009F46AD">
        <w:rPr>
          <w:rFonts w:hint="cs"/>
          <w:sz w:val="20"/>
          <w:szCs w:val="20"/>
          <w:rtl/>
        </w:rPr>
        <w:t>.]</w:t>
      </w:r>
    </w:p>
    <w:p w:rsidR="00241BC2" w:rsidRPr="009F46AD" w:rsidRDefault="00241BC2" w:rsidP="00241BC2">
      <w:pPr>
        <w:spacing w:after="120"/>
        <w:rPr>
          <w:sz w:val="20"/>
          <w:szCs w:val="20"/>
          <w:rtl/>
        </w:rPr>
      </w:pPr>
      <w:r w:rsidRPr="009F46AD">
        <w:rPr>
          <w:sz w:val="20"/>
          <w:szCs w:val="20"/>
          <w:rtl/>
        </w:rPr>
        <w:t xml:space="preserve">14. </w:t>
      </w:r>
      <w:r w:rsidRPr="009F46AD">
        <w:rPr>
          <w:b/>
          <w:bCs/>
          <w:sz w:val="20"/>
          <w:szCs w:val="20"/>
          <w:u w:val="single"/>
          <w:rtl/>
        </w:rPr>
        <w:t>ההחלטה נושא העתירה פסולה גם משום שתחילתה היא מיידית, ולא נקבעו בה כל הוראות-מעבר.</w:t>
      </w:r>
      <w:r w:rsidRPr="009F46AD">
        <w:rPr>
          <w:sz w:val="20"/>
          <w:szCs w:val="20"/>
          <w:rtl/>
        </w:rPr>
        <w:t xml:space="preserve"> </w:t>
      </w:r>
    </w:p>
    <w:p w:rsidR="00241BC2" w:rsidRPr="009F46AD" w:rsidRDefault="00241BC2" w:rsidP="00241BC2">
      <w:pPr>
        <w:spacing w:after="120"/>
        <w:rPr>
          <w:sz w:val="20"/>
          <w:szCs w:val="20"/>
          <w:rtl/>
        </w:rPr>
      </w:pPr>
      <w:r w:rsidRPr="009F46AD">
        <w:rPr>
          <w:sz w:val="20"/>
          <w:szCs w:val="20"/>
          <w:rtl/>
        </w:rPr>
        <w:t xml:space="preserve">קביעתן של הוראות-מעבר מתבקשת מן הצורך להתחשב באינטרס ההסתמכות, שהוא אינטרס לגיטימי של הפרט, שההגנה עליו עומדת ביסודם של מספר דינים מתחומי המשפט החוקתי והמינהלי. </w:t>
      </w:r>
      <w:r w:rsidRPr="009F46AD">
        <w:rPr>
          <w:rFonts w:hint="cs"/>
          <w:sz w:val="20"/>
          <w:szCs w:val="20"/>
          <w:rtl/>
        </w:rPr>
        <w:t>[…]</w:t>
      </w:r>
      <w:r>
        <w:rPr>
          <w:rFonts w:hint="cs"/>
          <w:sz w:val="20"/>
          <w:szCs w:val="20"/>
          <w:rtl/>
        </w:rPr>
        <w:t xml:space="preserve"> </w:t>
      </w:r>
      <w:r w:rsidRPr="009F46AD">
        <w:rPr>
          <w:sz w:val="20"/>
          <w:szCs w:val="20"/>
          <w:rtl/>
        </w:rPr>
        <w:t xml:space="preserve">החובה להימנע מפגיעה בחופש העיסוק בלא לקבוע הוראות-מעבר ראויות היא איפוא חובה חוקתית. גם הכנסת עצמה כפופה לה בחוקקה חוקים. </w:t>
      </w:r>
      <w:r>
        <w:rPr>
          <w:rFonts w:hint="cs"/>
          <w:sz w:val="20"/>
          <w:szCs w:val="20"/>
          <w:rtl/>
        </w:rPr>
        <w:t>[</w:t>
      </w:r>
      <w:r w:rsidRPr="00B44C50">
        <w:rPr>
          <w:rFonts w:ascii="Arial" w:hAnsi="Arial" w:cs="Arial"/>
          <w:sz w:val="18"/>
          <w:szCs w:val="18"/>
          <w:rtl/>
        </w:rPr>
        <w:t xml:space="preserve">פס"ד </w:t>
      </w:r>
      <w:r w:rsidRPr="00B44C50">
        <w:rPr>
          <w:rFonts w:ascii="Arial" w:hAnsi="Arial" w:cs="Arial"/>
          <w:b/>
          <w:bCs/>
          <w:sz w:val="18"/>
          <w:szCs w:val="18"/>
          <w:rtl/>
        </w:rPr>
        <w:t>מנהלי השקעות</w:t>
      </w:r>
      <w:r w:rsidRPr="00B44C50">
        <w:rPr>
          <w:rFonts w:ascii="Arial" w:hAnsi="Arial" w:cs="Arial"/>
          <w:sz w:val="18"/>
          <w:szCs w:val="18"/>
          <w:rtl/>
        </w:rPr>
        <w:t>, פסה"ד הראשון שלאחר המהפכה החוקתית שבו בוטלה הוראת חוק</w:t>
      </w:r>
      <w:r>
        <w:rPr>
          <w:rFonts w:ascii="Arial" w:hAnsi="Arial" w:cs="Arial" w:hint="cs"/>
          <w:sz w:val="18"/>
          <w:szCs w:val="18"/>
          <w:rtl/>
        </w:rPr>
        <w:t>; זאת</w:t>
      </w:r>
      <w:r w:rsidRPr="00B44C50">
        <w:rPr>
          <w:rFonts w:ascii="Arial" w:hAnsi="Arial" w:cs="Arial"/>
          <w:sz w:val="18"/>
          <w:szCs w:val="18"/>
          <w:rtl/>
        </w:rPr>
        <w:t xml:space="preserve"> משום שהסדירה את העיסוק של מנהלי השקעות</w:t>
      </w:r>
      <w:r>
        <w:rPr>
          <w:rFonts w:ascii="Arial" w:hAnsi="Arial" w:cs="Arial" w:hint="cs"/>
          <w:sz w:val="18"/>
          <w:szCs w:val="18"/>
          <w:rtl/>
        </w:rPr>
        <w:t xml:space="preserve"> וקבעה לו דרישות סף,</w:t>
      </w:r>
      <w:r w:rsidRPr="00B44C50">
        <w:rPr>
          <w:rFonts w:ascii="Arial" w:hAnsi="Arial" w:cs="Arial"/>
          <w:sz w:val="18"/>
          <w:szCs w:val="18"/>
          <w:rtl/>
        </w:rPr>
        <w:t xml:space="preserve"> אך לא קבעה הוראות מעבר ביחס למי שעוסק כבר שנים בעיסוק זה</w:t>
      </w:r>
      <w:r>
        <w:rPr>
          <w:rFonts w:hint="cs"/>
          <w:sz w:val="20"/>
          <w:szCs w:val="20"/>
          <w:rtl/>
        </w:rPr>
        <w:t>].</w:t>
      </w:r>
      <w:r w:rsidRPr="009F46AD">
        <w:rPr>
          <w:sz w:val="20"/>
          <w:szCs w:val="20"/>
          <w:rtl/>
        </w:rPr>
        <w:t xml:space="preserve"> </w:t>
      </w:r>
    </w:p>
    <w:p w:rsidR="00241BC2" w:rsidRPr="009F46AD" w:rsidRDefault="00241BC2" w:rsidP="00241BC2">
      <w:pPr>
        <w:rPr>
          <w:sz w:val="20"/>
          <w:szCs w:val="20"/>
          <w:rtl/>
        </w:rPr>
      </w:pPr>
      <w:r w:rsidRPr="009F46AD">
        <w:rPr>
          <w:sz w:val="20"/>
          <w:szCs w:val="20"/>
          <w:rtl/>
        </w:rPr>
        <w:t xml:space="preserve">15. בעניין זה טענו המשיבים כי ביחס לעותרים כלל אין נדרשות הוראות-מעבר, הואיל ואין כוונה להתנות את עיסוקם כמאבחנים בתנאים, שהעותרים יידרשו להיערך לקראתם, אלא לשלול כליל את יכולתם לעסוק בתחום זה </w:t>
      </w:r>
      <w:r>
        <w:rPr>
          <w:rFonts w:hint="cs"/>
          <w:sz w:val="20"/>
          <w:szCs w:val="20"/>
          <w:rtl/>
        </w:rPr>
        <w:t xml:space="preserve">[רק] </w:t>
      </w:r>
      <w:r w:rsidRPr="009F46AD">
        <w:rPr>
          <w:sz w:val="20"/>
          <w:szCs w:val="20"/>
          <w:rtl/>
        </w:rPr>
        <w:t xml:space="preserve">בגידרי משרד החינוך. דין טענה זאת להידחות. </w:t>
      </w:r>
    </w:p>
    <w:p w:rsidR="00241BC2" w:rsidRPr="009F46AD" w:rsidRDefault="00241BC2" w:rsidP="00241BC2">
      <w:pPr>
        <w:rPr>
          <w:sz w:val="20"/>
          <w:szCs w:val="20"/>
          <w:rtl/>
        </w:rPr>
      </w:pPr>
      <w:r w:rsidRPr="009F46AD">
        <w:rPr>
          <w:sz w:val="20"/>
          <w:szCs w:val="20"/>
          <w:rtl/>
        </w:rPr>
        <w:t xml:space="preserve">הוראות-מעבר, המסדירות כניסתו לתוקף של הסדר נורמטיבי חדש, עשויות לנבוע מטעמים שונים ולהתבטא בהסדרים שונים, הכל לפי נסיבותיו של כל הסדר והסדר. </w:t>
      </w:r>
      <w:r w:rsidRPr="009F46AD">
        <w:rPr>
          <w:rFonts w:hint="cs"/>
          <w:sz w:val="20"/>
          <w:szCs w:val="20"/>
          <w:rtl/>
        </w:rPr>
        <w:t>..</w:t>
      </w:r>
      <w:r w:rsidRPr="009F46AD">
        <w:rPr>
          <w:sz w:val="20"/>
          <w:szCs w:val="20"/>
          <w:rtl/>
        </w:rPr>
        <w:t xml:space="preserve">. כך גם לגבי הוראות מעבר להסדר המגביל את העיסוק בתחום עיסוק מסוים. </w:t>
      </w:r>
    </w:p>
    <w:p w:rsidR="00241BC2" w:rsidRPr="009F46AD" w:rsidRDefault="00241BC2" w:rsidP="00241BC2">
      <w:pPr>
        <w:rPr>
          <w:sz w:val="20"/>
          <w:szCs w:val="20"/>
          <w:rtl/>
        </w:rPr>
      </w:pPr>
      <w:r w:rsidRPr="009F46AD">
        <w:rPr>
          <w:sz w:val="20"/>
          <w:szCs w:val="20"/>
          <w:rtl/>
        </w:rPr>
        <w:t xml:space="preserve">אכן, </w:t>
      </w:r>
      <w:r w:rsidRPr="009F46AD">
        <w:rPr>
          <w:b/>
          <w:bCs/>
          <w:sz w:val="20"/>
          <w:szCs w:val="20"/>
          <w:rtl/>
        </w:rPr>
        <w:t>יש והוראות מעבר מיועדות לאפשר לעוסקים בתחום העיסוק תקופת הסתגלות והתארגנות בכדי לעמוד בדרישות שנקבעו בהסדר הנורמטיבי החדש</w:t>
      </w:r>
      <w:r w:rsidRPr="009F46AD">
        <w:rPr>
          <w:sz w:val="20"/>
          <w:szCs w:val="20"/>
          <w:rtl/>
        </w:rPr>
        <w:t xml:space="preserve">. לשם כך ייקבע, בדרך-כלל, כי ההסדר החדש לא ייכנס לתוקפו אלא כעבור פרק-זמן מסוים, או כי ההסדר החדש יוחל על אלו העוסקים כבר בתחום העיסוק רק לאחר חלוף תקופה שבה יוכלו להיערך להסדר החדש. ראו, למשל, חוק המתווכים במקרקעין, תשנ"ו-1996 (להלן: חוק המתווכים), שבו נקבע בסעיף 20(א): </w:t>
      </w:r>
    </w:p>
    <w:p w:rsidR="00241BC2" w:rsidRPr="009F46AD" w:rsidRDefault="00241BC2" w:rsidP="00241BC2">
      <w:pPr>
        <w:ind w:left="720"/>
        <w:rPr>
          <w:sz w:val="20"/>
          <w:szCs w:val="20"/>
          <w:rtl/>
        </w:rPr>
      </w:pPr>
      <w:r w:rsidRPr="009F46AD">
        <w:rPr>
          <w:sz w:val="20"/>
          <w:szCs w:val="20"/>
          <w:rtl/>
        </w:rPr>
        <w:t xml:space="preserve">...אזרח או תושב ישראל שערב קבלתו של חוק זה עסק בתיווך במקרקעין, רשאי להמשיך ולעסוק בתיווך במקרקעין - גם ללא רשיון - במשך שנתיים מיום קבלתו של חוק זה. </w:t>
      </w:r>
      <w:r>
        <w:rPr>
          <w:rFonts w:hint="cs"/>
          <w:sz w:val="20"/>
          <w:szCs w:val="20"/>
          <w:rtl/>
        </w:rPr>
        <w:t xml:space="preserve"> [...]</w:t>
      </w:r>
    </w:p>
    <w:p w:rsidR="00241BC2" w:rsidRPr="009F46AD" w:rsidRDefault="00241BC2" w:rsidP="00241BC2">
      <w:pPr>
        <w:rPr>
          <w:sz w:val="20"/>
          <w:szCs w:val="20"/>
          <w:rtl/>
        </w:rPr>
      </w:pPr>
      <w:r w:rsidRPr="009F46AD">
        <w:rPr>
          <w:b/>
          <w:bCs/>
          <w:sz w:val="20"/>
          <w:szCs w:val="20"/>
          <w:rtl/>
        </w:rPr>
        <w:t>אך יש והוראות-מעבר מיועדות להוציא כליל אנשים מסוימים מתחולת הוראות ההסדר הנורמטיבי החדש או מחלקן, ולא רק לאפשר לאותם אנשים תקופת הסתגלות להסדר החדש</w:t>
      </w:r>
      <w:r w:rsidRPr="009F46AD">
        <w:rPr>
          <w:sz w:val="20"/>
          <w:szCs w:val="20"/>
          <w:rtl/>
        </w:rPr>
        <w:t xml:space="preserve">. </w:t>
      </w:r>
    </w:p>
    <w:p w:rsidR="00241BC2" w:rsidRPr="009F46AD" w:rsidRDefault="00241BC2" w:rsidP="00241BC2">
      <w:pPr>
        <w:rPr>
          <w:sz w:val="20"/>
          <w:szCs w:val="20"/>
          <w:rtl/>
        </w:rPr>
      </w:pPr>
      <w:r w:rsidRPr="009F46AD">
        <w:rPr>
          <w:sz w:val="20"/>
          <w:szCs w:val="20"/>
          <w:rtl/>
        </w:rPr>
        <w:t xml:space="preserve">הוראות מסוג זה מוחלות בדרך-כלל על אנשים שעסקו בתחום העיסוק במשך שנים רבות וצברו ניסיון כה רב, עד שאין צורך בהחלה של תנאי הכשירות החדשים לגביהם או שהדבר לא יהיה מוצדק. כך, למשל, כאשר נשללו תחומי העיסוק שהותרו בעבר לכותבי-בקשות מאלו מהם שלא היו בעלי רשיון לעריכת-דין, נקבעה הוראת-מעבר, שלפיה מי שעסק ככותב בקשות באופן רצוף מלפני שנת 1949 ועד לקבלת חוק לשכת עורכי הדין בשנת 1961, הורשה להמשיך ולעשות כן באישור שר-המשפטים, וזאת אף ללא רשיון לעריכת-דין. ראו סעיף 112 לחוק לשכת עורכי הדין, תשכ"א-1961. בדומה לכך, גם כאשר נחסם העיסוק ברפואת-שיניים בפני מי שאינו בעל תואר אקדמי ברפואת-שיניים, נקבעה הוראת-מעבר, שלפיה הותר, בין השאר, למי שהיה בן 35 שנים ומעלה ועסק בריפוי שיניים כפרנסתו העיקרית במשך 15 שנים ומעלה, להוסיף ולעסוק בריפוי-שיניים גם ללא הכשרה אקדמית. </w:t>
      </w:r>
      <w:r>
        <w:rPr>
          <w:rFonts w:hint="cs"/>
          <w:sz w:val="20"/>
          <w:szCs w:val="20"/>
          <w:rtl/>
        </w:rPr>
        <w:t>[...]</w:t>
      </w:r>
      <w:r w:rsidRPr="009F46AD">
        <w:rPr>
          <w:sz w:val="20"/>
          <w:szCs w:val="20"/>
          <w:rtl/>
        </w:rPr>
        <w:t xml:space="preserve"> כך נקבע גם בסעיף 20(ב) לחוק המתווכים הנ"ל: </w:t>
      </w:r>
    </w:p>
    <w:p w:rsidR="00241BC2" w:rsidRPr="009F46AD" w:rsidRDefault="00241BC2" w:rsidP="00241BC2">
      <w:pPr>
        <w:ind w:left="720"/>
        <w:rPr>
          <w:sz w:val="20"/>
          <w:szCs w:val="20"/>
          <w:rtl/>
        </w:rPr>
      </w:pPr>
      <w:r w:rsidRPr="009F46AD">
        <w:rPr>
          <w:sz w:val="20"/>
          <w:szCs w:val="20"/>
          <w:rtl/>
        </w:rPr>
        <w:t xml:space="preserve">מי שגילו מעל 60 שנים או שהינו בעל השכלה אקדמית מלאה והוכיח, להנחת דעתו של הרשם, כי עסק בתיווך במקרקעין בשלוש השנים שקדמו לתחילתו של חוק זה, רשאי הרשם לפטור אותו מן הבחינה. </w:t>
      </w:r>
    </w:p>
    <w:p w:rsidR="00241BC2" w:rsidRDefault="00241BC2" w:rsidP="00241BC2">
      <w:pPr>
        <w:spacing w:after="120"/>
        <w:rPr>
          <w:sz w:val="20"/>
          <w:szCs w:val="20"/>
          <w:rtl/>
        </w:rPr>
      </w:pPr>
      <w:r w:rsidRPr="009F46AD">
        <w:rPr>
          <w:b/>
          <w:bCs/>
          <w:sz w:val="20"/>
          <w:szCs w:val="20"/>
          <w:rtl/>
        </w:rPr>
        <w:t>הוראות-מעבר, הפוטרות כליל אנשים מתחולת הסדר נורמטיבי חדש המסדיר תחום עיסוק מסוים, מוחלות לעתים גם על אנשים שהסתמכו על תנאי הכשירות הקודמים של תחום העיסוק והכשירו עצמם על-פיהם, לעיתים תוך הקדשת משאבים רבים לשם כך</w:t>
      </w:r>
      <w:r w:rsidRPr="009F46AD">
        <w:rPr>
          <w:sz w:val="20"/>
          <w:szCs w:val="20"/>
          <w:rtl/>
        </w:rPr>
        <w:t xml:space="preserve">. כך, למשל, נקבע בסעיף 7 לחוק לתיקון פקודת רופאי השיניים (מס' 2), תשנ"ב-1992, כי הוראות הפקודה הקודמות לעניין בחינות מקצוע ומתן רשיון "יוסיפו לחול על מי שביום תחילתו של חוק זה לומד בקורס לריפוי שיניים". </w:t>
      </w:r>
    </w:p>
    <w:p w:rsidR="00241BC2" w:rsidRPr="009F46AD" w:rsidRDefault="00241BC2" w:rsidP="00241BC2">
      <w:pPr>
        <w:rPr>
          <w:sz w:val="20"/>
          <w:szCs w:val="20"/>
          <w:rtl/>
        </w:rPr>
      </w:pPr>
      <w:r w:rsidRPr="009F46AD">
        <w:rPr>
          <w:sz w:val="20"/>
          <w:szCs w:val="20"/>
          <w:rtl/>
        </w:rPr>
        <w:t xml:space="preserve">16. ואולם, מן התשובה לעתירה עולה כי שאלת הוראות-המעבר כלל לא נשקלה על -ידי המשיבים. הימנעות זו מהווה, כשלעצמה, טעם מספיק לפסילת ההחלטה על יסוד העילה של אי-התחשבות בשיקולים רלוואנטיים. </w:t>
      </w:r>
      <w:r w:rsidRPr="009F46AD">
        <w:rPr>
          <w:rFonts w:hint="cs"/>
          <w:sz w:val="20"/>
          <w:szCs w:val="20"/>
          <w:rtl/>
        </w:rPr>
        <w:t>[…]</w:t>
      </w:r>
    </w:p>
    <w:p w:rsidR="00241BC2" w:rsidRPr="009F46AD" w:rsidRDefault="00241BC2" w:rsidP="00241BC2">
      <w:pPr>
        <w:rPr>
          <w:sz w:val="20"/>
          <w:szCs w:val="20"/>
          <w:highlight w:val="yellow"/>
          <w:rtl/>
        </w:rPr>
      </w:pPr>
      <w:r w:rsidRPr="009F46AD">
        <w:rPr>
          <w:sz w:val="20"/>
          <w:szCs w:val="20"/>
          <w:highlight w:val="yellow"/>
          <w:rtl/>
        </w:rPr>
        <w:t xml:space="preserve">מכל מקום, ברור שבהעדרן המוחלט של הוראות-מעבר מחוזרי המנכ"ל נושא העתירה עולה פגיעתם בחופש העיסוק של העותרים על המידה הדרושה. לא שוכנעתי כי האיזון בין הפגיעה בזכויות העותרים לבין הצורך בהסדרת תחום האיבחון מחייב את החלת ההסדר הנורמטיבי החדש באופן מיידי. כאמור, העותרים עוסקים מזה שנים באיבחון, ולא הובא נימוק משכנע כי מתחייבת הפסקה מיידית של האיבחונים הנעשים על-ידיהם. לטענתם של המשיבים, לפיה אין לאפשר מעתה לעותרים להמשיך באיבחון בשל הנזק העלול להיגרם לתלמידים שיאובחנו באופן שהמשיבים סבורים כי אינו מקצועי, אין יסוד. כאמור, מדובר באנשים שהוכשרו לאיבחון על-ידי משרד החינוך עצמו ועסקו בכך במשך שנים. </w:t>
      </w:r>
    </w:p>
    <w:p w:rsidR="00241BC2" w:rsidRDefault="00241BC2" w:rsidP="00241BC2">
      <w:pPr>
        <w:rPr>
          <w:sz w:val="20"/>
          <w:szCs w:val="20"/>
          <w:rtl/>
        </w:rPr>
      </w:pPr>
      <w:r w:rsidRPr="009F46AD">
        <w:rPr>
          <w:sz w:val="20"/>
          <w:szCs w:val="20"/>
          <w:highlight w:val="yellow"/>
          <w:rtl/>
        </w:rPr>
        <w:t>לא הובאה כל ראיה לכך שהאיבחונים שנעשו על-ידיהם עד כה גרמו לנזק כלשהו. כאמור, נראה כי המשיבים עצמם אינם מייחסים לטענת הנזק משקל רב, שכן הם לא ביקשו לאסור על המאבחנים להמשיך בעיסוקם. יתרה מזאת, אף אם קיים חשש כלשהו לנזק, הרי שמעצם טיבן מאזנות הוראות-המעבר בין הנזק הפוטנציאלי לבין שיקולים אחרים העומדים על הפרק, וזאת אף בגידרם של תחומי עיסוק שפוטנציאל הנזק הגלום בהם רב בהרבה מזה שבמקרה שלפנינו. ראו, למשל, הוראות המעבר בנוגע לרפואה, רפואת-שיניים ועריכת-דין שפורטו לעיל</w:t>
      </w:r>
      <w:r w:rsidRPr="009F46AD">
        <w:rPr>
          <w:sz w:val="20"/>
          <w:szCs w:val="20"/>
          <w:rtl/>
        </w:rPr>
        <w:t xml:space="preserve">. </w:t>
      </w:r>
    </w:p>
    <w:p w:rsidR="00241BC2" w:rsidRDefault="00241BC2" w:rsidP="00241BC2">
      <w:pPr>
        <w:rPr>
          <w:rFonts w:ascii="Arial" w:hAnsi="Arial" w:cs="David"/>
          <w:sz w:val="20"/>
          <w:szCs w:val="20"/>
          <w:rtl/>
        </w:rPr>
      </w:pPr>
    </w:p>
    <w:p w:rsidR="00241BC2" w:rsidRDefault="00241BC2" w:rsidP="00241BC2">
      <w:pPr>
        <w:rPr>
          <w:rFonts w:ascii="Arial" w:hAnsi="Arial" w:cs="David"/>
          <w:sz w:val="20"/>
          <w:szCs w:val="20"/>
          <w:rtl/>
        </w:rPr>
      </w:pPr>
      <w:r>
        <w:rPr>
          <w:rFonts w:ascii="Arial" w:hAnsi="Arial" w:cs="David" w:hint="cs"/>
          <w:sz w:val="20"/>
          <w:szCs w:val="20"/>
          <w:rtl/>
        </w:rPr>
        <w:t>=-=</w:t>
      </w:r>
    </w:p>
    <w:p w:rsidR="00241BC2" w:rsidRPr="0015268E" w:rsidRDefault="00241BC2" w:rsidP="00241BC2">
      <w:pPr>
        <w:pStyle w:val="T-body"/>
        <w:spacing w:after="120" w:line="240" w:lineRule="auto"/>
        <w:ind w:left="1440" w:hanging="720"/>
        <w:rPr>
          <w:sz w:val="22"/>
          <w:szCs w:val="22"/>
          <w:rtl/>
        </w:rPr>
      </w:pPr>
      <w:r w:rsidRPr="0015268E">
        <w:rPr>
          <w:rFonts w:hint="cs"/>
          <w:highlight w:val="yellow"/>
          <w:rtl/>
        </w:rPr>
        <w:t xml:space="preserve">בג"צ 1398/07 </w:t>
      </w:r>
      <w:r w:rsidRPr="0015268E">
        <w:rPr>
          <w:rFonts w:hint="cs"/>
          <w:b/>
          <w:bCs/>
          <w:highlight w:val="yellow"/>
          <w:rtl/>
        </w:rPr>
        <w:t xml:space="preserve">לביא-גולדשטיין נ' משרד החינוך </w:t>
      </w:r>
      <w:r w:rsidRPr="0015268E">
        <w:rPr>
          <w:b/>
          <w:bCs/>
          <w:highlight w:val="yellow"/>
          <w:rtl/>
        </w:rPr>
        <w:t>–</w:t>
      </w:r>
      <w:r w:rsidRPr="0015268E">
        <w:rPr>
          <w:rFonts w:hint="cs"/>
          <w:b/>
          <w:bCs/>
          <w:highlight w:val="yellow"/>
          <w:rtl/>
        </w:rPr>
        <w:t xml:space="preserve"> הגף להערכת תארים אקדמיים מחו"ל</w:t>
      </w:r>
      <w:r w:rsidRPr="0015268E">
        <w:rPr>
          <w:rFonts w:hint="cs"/>
          <w:highlight w:val="yellow"/>
          <w:rtl/>
        </w:rPr>
        <w:t xml:space="preserve"> (2010)</w:t>
      </w:r>
    </w:p>
    <w:p w:rsidR="00241BC2" w:rsidRPr="0015268E" w:rsidRDefault="00241BC2" w:rsidP="0014333E">
      <w:pPr>
        <w:numPr>
          <w:ilvl w:val="0"/>
          <w:numId w:val="32"/>
        </w:numPr>
        <w:autoSpaceDE w:val="0"/>
        <w:rPr>
          <w:rFonts w:cs="FrankRuehl"/>
          <w:spacing w:val="10"/>
          <w:sz w:val="22"/>
          <w:szCs w:val="22"/>
          <w:rtl/>
        </w:rPr>
      </w:pPr>
      <w:r w:rsidRPr="0015268E">
        <w:rPr>
          <w:rFonts w:cs="FrankRuehl" w:hint="cs"/>
          <w:spacing w:val="10"/>
          <w:sz w:val="22"/>
          <w:szCs w:val="22"/>
          <w:rtl/>
        </w:rPr>
        <w:t xml:space="preserve">עניינה של העתירה בהכרה בתארים שלישיים שנרכשו על-ידי ישראלים ממוסדות אקדמיים בחו"ל על ידי הגף להערכת תארים אקדמיים ודיפלומות מחו"ל במשרד החינוך (להלן: </w:t>
      </w:r>
      <w:r w:rsidRPr="0015268E">
        <w:rPr>
          <w:rFonts w:cs="Miriam" w:hint="cs"/>
          <w:sz w:val="22"/>
          <w:szCs w:val="22"/>
          <w:rtl/>
        </w:rPr>
        <w:t>הגף להערכת תארים</w:t>
      </w:r>
      <w:r w:rsidRPr="0015268E">
        <w:rPr>
          <w:rFonts w:cs="FrankRuehl" w:hint="cs"/>
          <w:spacing w:val="10"/>
          <w:sz w:val="22"/>
          <w:szCs w:val="22"/>
          <w:rtl/>
        </w:rPr>
        <w:t>, או</w:t>
      </w:r>
      <w:r w:rsidRPr="0015268E">
        <w:rPr>
          <w:rFonts w:cs="Miriam" w:hint="cs"/>
          <w:sz w:val="22"/>
          <w:szCs w:val="22"/>
          <w:rtl/>
        </w:rPr>
        <w:t xml:space="preserve"> הגף</w:t>
      </w:r>
      <w:r w:rsidRPr="0015268E">
        <w:rPr>
          <w:rFonts w:cs="FrankRuehl" w:hint="cs"/>
          <w:spacing w:val="10"/>
          <w:sz w:val="22"/>
          <w:szCs w:val="22"/>
          <w:rtl/>
        </w:rPr>
        <w:t xml:space="preserve">) – כתארים השקולים לתואר ישראלי מקביל לצרכי דירוג ושכר במגזר הציבורי (להלן: </w:t>
      </w:r>
      <w:r w:rsidRPr="0015268E">
        <w:rPr>
          <w:rFonts w:cs="Miriam" w:hint="cs"/>
          <w:sz w:val="22"/>
          <w:szCs w:val="22"/>
          <w:rtl/>
        </w:rPr>
        <w:t>אישור שקילות</w:t>
      </w:r>
      <w:r w:rsidRPr="0015268E">
        <w:rPr>
          <w:rFonts w:cs="FrankRuehl" w:hint="cs"/>
          <w:spacing w:val="10"/>
          <w:sz w:val="22"/>
          <w:szCs w:val="22"/>
          <w:rtl/>
        </w:rPr>
        <w:t>).</w:t>
      </w:r>
    </w:p>
    <w:p w:rsidR="00241BC2" w:rsidRDefault="00241BC2" w:rsidP="00241BC2">
      <w:pPr>
        <w:rPr>
          <w:rFonts w:cs="FrankRuehl"/>
          <w:spacing w:val="10"/>
          <w:sz w:val="22"/>
          <w:szCs w:val="22"/>
          <w:rtl/>
        </w:rPr>
      </w:pPr>
      <w:r w:rsidRPr="0015268E">
        <w:rPr>
          <w:rFonts w:cs="FrankRuehl" w:hint="cs"/>
          <w:spacing w:val="10"/>
          <w:sz w:val="22"/>
          <w:szCs w:val="22"/>
          <w:rtl/>
        </w:rPr>
        <w:t>על בסיס המלצותיה של ועדה שעסקה בנושא, פורסמו תנאים חדשים לשם קבלת אישור שקילות לתואר שלישי מאוניברסיטה זרה, הכוללים, בין היתר, דרישה חדשה של התייצבות בפני ועדת מומחים לצרכי בחינת התואר, הכל כאמור בפיסקאות 6 ו-7 שלהלן. דרישה חדשה זו הוחלה גם על העותרים, שסיימו את לימודיהם והגישו (למעט העותרת 7) בקשות לאישור שקילות לפני פרסומם של הכללים החדשים</w:t>
      </w:r>
      <w:r>
        <w:rPr>
          <w:rFonts w:cs="FrankRuehl" w:hint="cs"/>
          <w:spacing w:val="10"/>
          <w:sz w:val="22"/>
          <w:szCs w:val="22"/>
          <w:rtl/>
        </w:rPr>
        <w:t>.</w:t>
      </w:r>
      <w:r w:rsidRPr="0015268E">
        <w:rPr>
          <w:rFonts w:cs="FrankRuehl" w:hint="cs"/>
          <w:spacing w:val="10"/>
          <w:sz w:val="22"/>
          <w:szCs w:val="22"/>
          <w:rtl/>
        </w:rPr>
        <w:t xml:space="preserve"> </w:t>
      </w:r>
    </w:p>
    <w:p w:rsidR="00241BC2" w:rsidRDefault="00241BC2" w:rsidP="00241BC2">
      <w:pPr>
        <w:rPr>
          <w:rFonts w:cs="FrankRuehl"/>
          <w:spacing w:val="10"/>
          <w:sz w:val="22"/>
          <w:szCs w:val="22"/>
          <w:rtl/>
        </w:rPr>
      </w:pPr>
      <w:r w:rsidRPr="0015268E">
        <w:rPr>
          <w:rFonts w:cs="FrankRuehl" w:hint="cs"/>
          <w:spacing w:val="10"/>
          <w:sz w:val="22"/>
          <w:szCs w:val="22"/>
          <w:rtl/>
        </w:rPr>
        <w:t>מכאן העתירה שלפנינו, שתוקפת את החלתה של הדרישה החדשה על העותרים.</w:t>
      </w:r>
    </w:p>
    <w:p w:rsidR="00241BC2" w:rsidRPr="00B94EC5" w:rsidRDefault="00241BC2" w:rsidP="00241BC2">
      <w:pPr>
        <w:rPr>
          <w:rFonts w:cs="FrankRuehl"/>
          <w:spacing w:val="10"/>
          <w:sz w:val="22"/>
          <w:szCs w:val="22"/>
          <w:rtl/>
        </w:rPr>
      </w:pPr>
      <w:r>
        <w:rPr>
          <w:rFonts w:cs="FrankRuehl" w:hint="cs"/>
          <w:spacing w:val="10"/>
          <w:sz w:val="22"/>
          <w:szCs w:val="22"/>
          <w:rtl/>
        </w:rPr>
        <w:t>[טענות לרטרואקטיביות, להפליה, ולפגיעה "בהסתמכות"]</w:t>
      </w:r>
    </w:p>
    <w:p w:rsidR="00241BC2" w:rsidRDefault="00241BC2" w:rsidP="00241BC2">
      <w:pPr>
        <w:tabs>
          <w:tab w:val="left" w:pos="800"/>
        </w:tabs>
        <w:overflowPunct w:val="0"/>
        <w:autoSpaceDE w:val="0"/>
        <w:autoSpaceDN w:val="0"/>
        <w:adjustRightInd w:val="0"/>
        <w:rPr>
          <w:rFonts w:cs="Miriam"/>
          <w:sz w:val="22"/>
          <w:szCs w:val="22"/>
          <w:rtl/>
        </w:rPr>
      </w:pPr>
      <w:r>
        <w:rPr>
          <w:rFonts w:cs="Miriam" w:hint="cs"/>
          <w:sz w:val="22"/>
          <w:szCs w:val="22"/>
          <w:rtl/>
        </w:rPr>
        <w:t>[...]</w:t>
      </w:r>
    </w:p>
    <w:p w:rsidR="00241BC2" w:rsidRPr="00B94EC5" w:rsidRDefault="00241BC2" w:rsidP="00241BC2">
      <w:pPr>
        <w:tabs>
          <w:tab w:val="left" w:pos="800"/>
        </w:tabs>
        <w:overflowPunct w:val="0"/>
        <w:autoSpaceDE w:val="0"/>
        <w:autoSpaceDN w:val="0"/>
        <w:adjustRightInd w:val="0"/>
        <w:rPr>
          <w:rFonts w:cs="Miriam"/>
          <w:sz w:val="22"/>
          <w:szCs w:val="22"/>
          <w:rtl/>
        </w:rPr>
      </w:pPr>
      <w:r w:rsidRPr="00B94EC5">
        <w:rPr>
          <w:rFonts w:cs="Miriam" w:hint="cs"/>
          <w:sz w:val="22"/>
          <w:szCs w:val="22"/>
          <w:rtl/>
        </w:rPr>
        <w:t>השינוי במדיניות הגף להערכת תארים</w:t>
      </w:r>
    </w:p>
    <w:p w:rsidR="00241BC2" w:rsidRDefault="00241BC2" w:rsidP="00241BC2">
      <w:pPr>
        <w:autoSpaceDE w:val="0"/>
        <w:rPr>
          <w:rFonts w:cs="FrankRuehl"/>
          <w:spacing w:val="10"/>
          <w:sz w:val="22"/>
          <w:szCs w:val="22"/>
          <w:rtl/>
        </w:rPr>
      </w:pPr>
      <w:r w:rsidRPr="00B94EC5">
        <w:rPr>
          <w:rFonts w:cs="FrankRuehl" w:hint="cs"/>
          <w:spacing w:val="10"/>
          <w:sz w:val="22"/>
          <w:szCs w:val="22"/>
          <w:rtl/>
        </w:rPr>
        <w:t xml:space="preserve">ההחלטה בדבר אימוץ כללי ועדת כץ – היה בה משום שינוי במדיניות הגף להערכת תארים. מקובלת עליי עמדת המשיבים, לפיה השינוי במדיניות נעשה לצורך תכלית ראויה: שמירה על רמת השירות הציבורי והשוויון בין בוגרי מוסדות ישראליים לבין אלו שלמדו בחו"ל. </w:t>
      </w:r>
    </w:p>
    <w:p w:rsidR="00241BC2" w:rsidRPr="00B94EC5" w:rsidRDefault="00241BC2" w:rsidP="00241BC2">
      <w:pPr>
        <w:autoSpaceDE w:val="0"/>
        <w:rPr>
          <w:rFonts w:cs="FrankRuehl"/>
          <w:spacing w:val="10"/>
          <w:sz w:val="22"/>
          <w:szCs w:val="22"/>
          <w:rtl/>
        </w:rPr>
      </w:pPr>
      <w:r>
        <w:rPr>
          <w:rFonts w:cs="FrankRuehl" w:hint="cs"/>
          <w:spacing w:val="10"/>
          <w:sz w:val="22"/>
          <w:szCs w:val="22"/>
          <w:rtl/>
        </w:rPr>
        <w:t xml:space="preserve">... </w:t>
      </w:r>
      <w:r w:rsidRPr="00B94EC5">
        <w:rPr>
          <w:rFonts w:cs="FrankRuehl" w:hint="cs"/>
          <w:spacing w:val="10"/>
          <w:sz w:val="22"/>
          <w:szCs w:val="22"/>
          <w:rtl/>
        </w:rPr>
        <w:t xml:space="preserve">במקרה שלפנינו, כמו גם באותן פרשות שאוזכרו לעיל – אינני רואה מקום להתערבות </w:t>
      </w:r>
      <w:r w:rsidRPr="00B94EC5">
        <w:rPr>
          <w:rFonts w:cs="Miriam" w:hint="cs"/>
          <w:sz w:val="22"/>
          <w:szCs w:val="22"/>
          <w:rtl/>
        </w:rPr>
        <w:t>בעצם ההחלטה</w:t>
      </w:r>
      <w:r w:rsidRPr="00B94EC5">
        <w:rPr>
          <w:rFonts w:cs="FrankRuehl" w:hint="cs"/>
          <w:spacing w:val="10"/>
          <w:sz w:val="22"/>
          <w:szCs w:val="22"/>
          <w:rtl/>
        </w:rPr>
        <w:t xml:space="preserve"> לערוך שינוי במדיניות המינהלית. השאלה הניצבת לפתחנו, כפי שעמדה גם בפסקי הדין הנ"ל, נוגעת </w:t>
      </w:r>
      <w:r w:rsidRPr="00B94EC5">
        <w:rPr>
          <w:rFonts w:cs="Miriam" w:hint="cs"/>
          <w:sz w:val="22"/>
          <w:szCs w:val="22"/>
          <w:rtl/>
        </w:rPr>
        <w:t>לדרך</w:t>
      </w:r>
      <w:r w:rsidRPr="00B94EC5">
        <w:rPr>
          <w:rFonts w:cs="FrankRuehl" w:hint="cs"/>
          <w:spacing w:val="10"/>
          <w:sz w:val="22"/>
          <w:szCs w:val="22"/>
          <w:rtl/>
        </w:rPr>
        <w:t xml:space="preserve"> בה נערך השינוי, </w:t>
      </w:r>
      <w:r w:rsidRPr="00B94EC5">
        <w:rPr>
          <w:rFonts w:cs="Miriam" w:hint="cs"/>
          <w:sz w:val="22"/>
          <w:szCs w:val="22"/>
          <w:rtl/>
        </w:rPr>
        <w:t>למימד הזמן שבתחולתו</w:t>
      </w:r>
      <w:r w:rsidRPr="00B94EC5">
        <w:rPr>
          <w:rFonts w:cs="FrankRuehl" w:hint="cs"/>
          <w:spacing w:val="10"/>
          <w:sz w:val="22"/>
          <w:szCs w:val="22"/>
          <w:rtl/>
        </w:rPr>
        <w:t xml:space="preserve"> </w:t>
      </w:r>
      <w:r w:rsidRPr="00B94EC5">
        <w:rPr>
          <w:rFonts w:cs="Miriam" w:hint="cs"/>
          <w:sz w:val="22"/>
          <w:szCs w:val="22"/>
          <w:rtl/>
        </w:rPr>
        <w:t>ולמידת ההתחשבות</w:t>
      </w:r>
      <w:r w:rsidRPr="00B94EC5">
        <w:rPr>
          <w:rFonts w:cs="FrankRuehl" w:hint="cs"/>
          <w:spacing w:val="10"/>
          <w:sz w:val="22"/>
          <w:szCs w:val="22"/>
          <w:rtl/>
        </w:rPr>
        <w:t xml:space="preserve"> באנשים הנפגעים מכך. </w:t>
      </w:r>
    </w:p>
    <w:p w:rsidR="00241BC2" w:rsidRDefault="00241BC2" w:rsidP="00241BC2">
      <w:pPr>
        <w:autoSpaceDE w:val="0"/>
        <w:rPr>
          <w:rFonts w:cs="FrankRuehl"/>
          <w:spacing w:val="10"/>
          <w:sz w:val="22"/>
          <w:szCs w:val="22"/>
          <w:rtl/>
        </w:rPr>
      </w:pPr>
    </w:p>
    <w:p w:rsidR="00241BC2" w:rsidRPr="00B94EC5" w:rsidRDefault="00241BC2" w:rsidP="00241BC2">
      <w:pPr>
        <w:autoSpaceDE w:val="0"/>
        <w:rPr>
          <w:rFonts w:cs="FrankRuehl"/>
          <w:spacing w:val="10"/>
          <w:sz w:val="22"/>
          <w:szCs w:val="22"/>
          <w:rtl/>
        </w:rPr>
      </w:pPr>
      <w:r>
        <w:rPr>
          <w:rFonts w:cs="FrankRuehl" w:hint="cs"/>
          <w:spacing w:val="10"/>
          <w:sz w:val="22"/>
          <w:szCs w:val="22"/>
          <w:rtl/>
        </w:rPr>
        <w:t>ה</w:t>
      </w:r>
      <w:r w:rsidRPr="00B94EC5">
        <w:rPr>
          <w:rFonts w:cs="FrankRuehl" w:hint="cs"/>
          <w:spacing w:val="10"/>
          <w:sz w:val="22"/>
          <w:szCs w:val="22"/>
          <w:rtl/>
        </w:rPr>
        <w:t xml:space="preserve">וראות המעבר בכללי ועדת כץ אמנם מבחינות בין מי שהחל את לימודיו לפני פרסום הכללים לבין מי שהחל את לימודיו לאחר מכן, אך הבחנה זאת נוגעת רק לעניין הדרישות הטכניות של שלב האישור הראשון (משך זמן לימודים מינימאלי, אישור מראש לשפת לימודים, ועוד). לעומת זאת, לעניין שלב הבדיקה השני, הכולל את חובת ההתייצבות בפני ועדת המומחים, מתיימרים כללי ועדת כץ לחול למפרע הן על מי שהחל את לימודיו לפני פרסום הכללים (ואף סיים אותם עובר לפרסום) והן על מי שהחל את לימודיו אחרי הפרסום, ללא אבחנה. המשיבים גורסים בהקשר זה כאמור כי דרישת ההתייצבות בפני ועדת המומחים, בניגוד לתביעות הטכניות החדשות – איננה בגדר דרישה חדשה המוחלת בדיעבד, כיוון שמאז ומעולם היה בסמכות הגף לבחון את שקילות התואר באופן מהותי. </w:t>
      </w:r>
    </w:p>
    <w:p w:rsidR="00241BC2" w:rsidRPr="00B94EC5" w:rsidRDefault="00241BC2" w:rsidP="00241BC2">
      <w:pPr>
        <w:autoSpaceDE w:val="0"/>
        <w:ind w:firstLine="720"/>
        <w:rPr>
          <w:rFonts w:cs="FrankRuehl"/>
          <w:spacing w:val="10"/>
          <w:sz w:val="22"/>
          <w:szCs w:val="22"/>
        </w:rPr>
      </w:pPr>
      <w:r w:rsidRPr="00B94EC5">
        <w:rPr>
          <w:rFonts w:cs="FrankRuehl" w:hint="cs"/>
          <w:spacing w:val="10"/>
          <w:sz w:val="22"/>
          <w:szCs w:val="22"/>
          <w:rtl/>
        </w:rPr>
        <w:t xml:space="preserve">אין בידי לקבל טענה זו. אף אם היה הגף מוסמך לבחון תארים מבחינה מהותית גם קודם לפרסום כללי ועדת כץ, אין חולק כי סמכות זו לא הופעלה בעבר, ובפועל לא נערכו בדיקות מהותיות כלשהן לגבי התארים שהושגו. משכך, הדרישה לעבור עתה ראיון בפני ועדת מומחים, בגדרו נבחנת העבודה מבחינה מהותית אכן מהווה דרישה חדשה העולה כדי שינוי מדיניות, והחלת אותה דרישה על העותרים, שהחלו </w:t>
      </w:r>
      <w:r w:rsidRPr="00B94EC5">
        <w:rPr>
          <w:rFonts w:cs="Miriam" w:hint="cs"/>
          <w:sz w:val="22"/>
          <w:szCs w:val="22"/>
          <w:rtl/>
        </w:rPr>
        <w:t>וסיימו</w:t>
      </w:r>
      <w:r w:rsidRPr="00B94EC5">
        <w:rPr>
          <w:rFonts w:cs="FrankRuehl" w:hint="cs"/>
          <w:spacing w:val="10"/>
          <w:sz w:val="22"/>
          <w:szCs w:val="22"/>
          <w:rtl/>
        </w:rPr>
        <w:t xml:space="preserve"> את לימודיהם לפני פרסומה של דרישה זו, ואף הגישו כולם (למעט העותרת 7) בקשות למתן אישור שקילות טרם פרסום הכללים החדשים, היא בגדר תחולה למפרע. השוו: בג"ץ 6057/00 </w:t>
      </w:r>
      <w:r w:rsidRPr="00B94EC5">
        <w:rPr>
          <w:rFonts w:cs="Miriam" w:hint="cs"/>
          <w:sz w:val="22"/>
          <w:szCs w:val="22"/>
          <w:rtl/>
        </w:rPr>
        <w:t>זוהר נ' שר האוצר</w:t>
      </w:r>
      <w:r w:rsidRPr="00B94EC5">
        <w:rPr>
          <w:rFonts w:cs="FrankRuehl" w:hint="cs"/>
          <w:spacing w:val="10"/>
          <w:sz w:val="22"/>
          <w:szCs w:val="22"/>
          <w:rtl/>
        </w:rPr>
        <w:t xml:space="preserve">, פ"ד נו(3) 569 (2002) (להלן: </w:t>
      </w:r>
      <w:r w:rsidRPr="00B94EC5">
        <w:rPr>
          <w:rFonts w:cs="Miriam" w:hint="cs"/>
          <w:sz w:val="22"/>
          <w:szCs w:val="22"/>
          <w:rtl/>
        </w:rPr>
        <w:t>עניין זוהר</w:t>
      </w:r>
      <w:r w:rsidRPr="00B94EC5">
        <w:rPr>
          <w:rFonts w:cs="FrankRuehl" w:hint="cs"/>
          <w:spacing w:val="10"/>
          <w:sz w:val="22"/>
          <w:szCs w:val="22"/>
          <w:rtl/>
        </w:rPr>
        <w:t>).</w:t>
      </w:r>
    </w:p>
    <w:p w:rsidR="00241BC2" w:rsidRPr="00B94EC5" w:rsidRDefault="00241BC2" w:rsidP="00241BC2">
      <w:pPr>
        <w:tabs>
          <w:tab w:val="left" w:pos="800"/>
        </w:tabs>
        <w:overflowPunct w:val="0"/>
        <w:autoSpaceDE w:val="0"/>
        <w:autoSpaceDN w:val="0"/>
        <w:adjustRightInd w:val="0"/>
        <w:rPr>
          <w:rFonts w:cs="FrankRuehl"/>
          <w:spacing w:val="10"/>
          <w:sz w:val="22"/>
          <w:szCs w:val="22"/>
          <w:rtl/>
        </w:rPr>
      </w:pPr>
    </w:p>
    <w:p w:rsidR="00241BC2" w:rsidRPr="00B94EC5" w:rsidRDefault="00241BC2" w:rsidP="00241BC2">
      <w:pPr>
        <w:autoSpaceDE w:val="0"/>
        <w:rPr>
          <w:rFonts w:cs="FrankRuehl"/>
          <w:spacing w:val="10"/>
          <w:sz w:val="22"/>
          <w:szCs w:val="22"/>
          <w:rtl/>
        </w:rPr>
      </w:pPr>
      <w:r w:rsidRPr="00B94EC5">
        <w:rPr>
          <w:rFonts w:cs="FrankRuehl" w:hint="cs"/>
          <w:spacing w:val="10"/>
          <w:sz w:val="22"/>
          <w:szCs w:val="22"/>
          <w:rtl/>
        </w:rPr>
        <w:t xml:space="preserve">עוד טענו המשיבים, כי הדרישה לעבור ראיון בפני ועדת המומחים איננה מחייבת את העותרים לשנות דבר מדרך פעולתם בעבר, ועל כן אין בכך, לשיטתם, משום תחולה למפרע. גם טענה זו יש לטעמי לדחות. נימוקי ועדת המומחים לשלילת  בקשותיהם של מרבית העותרים נגעו לאופן עריכת המחקר שבסיס העבודה, היקף הביבליוגרפיה וניסוח הדברים בעבודה. מכך משתמע כי על מנת לעבור את שבט הביקורת של ועדת המומחים, היה מצופה מאותם עותרים שינוי באופן בו ערכו את המחקר, או כתבו את העבודה מלכתחילה, ומכאן שהדרישה החדשה חייבה למעשה את העותרים לשנות בדיעבד כביכול את דרך פעולתם בעבר – שהסתיימה. על כן עונה היא להגדרה הרחבה של התחולה למפרע. </w:t>
      </w:r>
    </w:p>
    <w:p w:rsidR="00241BC2" w:rsidRPr="00B94EC5" w:rsidRDefault="00241BC2" w:rsidP="00241BC2">
      <w:pPr>
        <w:tabs>
          <w:tab w:val="left" w:pos="800"/>
        </w:tabs>
        <w:overflowPunct w:val="0"/>
        <w:autoSpaceDE w:val="0"/>
        <w:autoSpaceDN w:val="0"/>
        <w:adjustRightInd w:val="0"/>
        <w:rPr>
          <w:rFonts w:cs="FrankRuehl"/>
          <w:spacing w:val="10"/>
          <w:sz w:val="22"/>
          <w:szCs w:val="22"/>
          <w:rtl/>
        </w:rPr>
      </w:pPr>
    </w:p>
    <w:p w:rsidR="00241BC2" w:rsidRPr="00B94EC5" w:rsidRDefault="00241BC2" w:rsidP="00241BC2">
      <w:pPr>
        <w:autoSpaceDE w:val="0"/>
        <w:rPr>
          <w:rFonts w:cs="FrankRuehl"/>
          <w:spacing w:val="10"/>
          <w:sz w:val="22"/>
          <w:szCs w:val="22"/>
          <w:rtl/>
        </w:rPr>
      </w:pPr>
      <w:r w:rsidRPr="00B94EC5">
        <w:rPr>
          <w:rFonts w:cs="FrankRuehl" w:hint="cs"/>
          <w:spacing w:val="10"/>
          <w:sz w:val="22"/>
          <w:szCs w:val="22"/>
          <w:rtl/>
        </w:rPr>
        <w:t xml:space="preserve">כאמור, במקרה של תחולה למפרע, מוטל על הרשות להציג נימוקים משכנעים באשר לצורך לעשות כן. במקרה זה, הנימוק אותו הציגו המשיבים הוא הרצון למנוע מאנשים שעבודתם אינה עומדת בדרישות המינימאליות הנדרשות מתואר שלישי בארץ לקבל אישור שקילות, וזאת – על מנת שלא לפגוע ברמתו של השירות הציבורי. אינני מוצא בנימוק זה הסבר לצורך להחיל את המדיניות החדשה (המוצדקת כשלעצמה כאמור) גם למפרע, ואינני סבור כי הוראות המעבר בהקשר לעותרים ודומיהם עומדות במבחני המידתיות (אין זה האמצעי שפגיעתו פחותה ("המבחן השני" למידתיות), שהרי כזו היתה המדיניות הקודמת שהסתפקה "בבדיקה טכנית" בלבד, מה גם שהתועלת הצומחת מן ההחלה למפרע איננה עומדת ביחס ראוי לפגיעה הנגרמת למרבית העותרים ("המבחן השלישי" למידתיות)). </w:t>
      </w:r>
    </w:p>
    <w:p w:rsidR="00241BC2" w:rsidRPr="00B94EC5" w:rsidRDefault="00241BC2" w:rsidP="00241BC2">
      <w:pPr>
        <w:tabs>
          <w:tab w:val="left" w:pos="800"/>
        </w:tabs>
        <w:overflowPunct w:val="0"/>
        <w:autoSpaceDE w:val="0"/>
        <w:autoSpaceDN w:val="0"/>
        <w:adjustRightInd w:val="0"/>
        <w:rPr>
          <w:rFonts w:cs="FrankRuehl"/>
          <w:spacing w:val="10"/>
          <w:sz w:val="22"/>
          <w:szCs w:val="22"/>
          <w:rtl/>
        </w:rPr>
      </w:pPr>
      <w:r>
        <w:rPr>
          <w:rFonts w:cs="FrankRuehl" w:hint="cs"/>
          <w:spacing w:val="10"/>
          <w:sz w:val="22"/>
          <w:szCs w:val="22"/>
          <w:rtl/>
        </w:rPr>
        <w:t xml:space="preserve">[...] </w:t>
      </w:r>
      <w:r w:rsidRPr="00B94EC5">
        <w:rPr>
          <w:rFonts w:cs="FrankRuehl" w:hint="cs"/>
          <w:spacing w:val="10"/>
          <w:sz w:val="22"/>
          <w:szCs w:val="22"/>
          <w:rtl/>
        </w:rPr>
        <w:t xml:space="preserve">נראה, כי רמת השירות הציבורי לא הידרדרה לפתע ומספר הלומדים לתואר שלישי בחו"ל לא גדל תוך זמן קצר כל כך, עד שטובת הציבור חייבה את החלתם של הסטנדרטים החדשים שהותקנו למפרע ללא הוראות מעבר נאותות (שתפטורנה, למשל, את מי שהתחילו בלימודיהם, השלימו אותם, קיבלו את התואר והגישו בקשה לאישור שקילות טרם פרסום כללי ועדת כץ – מעולן של הנורמות החדשות). זאת ועוד –  התועלת שבמניעת אישור השקילות מן הקבוצה עליה נמנים העותרים בטלה בשישים ביחס למספר האנשים שזכו בעבר באישור שקילות על פי המדיניות הקודמת, אף שהתואר שלהם אינו עומד בהכרח בסטנדרטים הישראליים. על כן, מתחזקת התמיהה בדבר הצורך הנוקב כביכול בהחלת הסטנדרטים באופן רטרואקטיבי, גם במחיר של פגיעה קשה בעותרים, ולפיכך ראוי ניסיון זה להתבטל. </w:t>
      </w:r>
    </w:p>
    <w:p w:rsidR="00241BC2" w:rsidRPr="00B94EC5" w:rsidRDefault="00241BC2" w:rsidP="00241BC2">
      <w:pPr>
        <w:autoSpaceDE w:val="0"/>
        <w:ind w:firstLine="720"/>
        <w:rPr>
          <w:rFonts w:cs="FrankRuehl"/>
          <w:spacing w:val="10"/>
          <w:sz w:val="22"/>
          <w:szCs w:val="22"/>
          <w:rtl/>
        </w:rPr>
      </w:pPr>
      <w:r>
        <w:rPr>
          <w:rFonts w:cs="FrankRuehl" w:hint="cs"/>
          <w:spacing w:val="10"/>
          <w:sz w:val="22"/>
          <w:szCs w:val="22"/>
          <w:rtl/>
        </w:rPr>
        <w:t>....</w:t>
      </w:r>
    </w:p>
    <w:p w:rsidR="00241BC2" w:rsidRPr="00B94EC5" w:rsidRDefault="00241BC2" w:rsidP="00241BC2">
      <w:pPr>
        <w:autoSpaceDE w:val="0"/>
        <w:rPr>
          <w:rFonts w:cs="FrankRuehl"/>
          <w:spacing w:val="10"/>
          <w:sz w:val="22"/>
          <w:szCs w:val="22"/>
          <w:rtl/>
        </w:rPr>
      </w:pPr>
      <w:r w:rsidRPr="00B94EC5">
        <w:rPr>
          <w:rFonts w:cs="FrankRuehl" w:hint="cs"/>
          <w:spacing w:val="10"/>
          <w:sz w:val="22"/>
          <w:szCs w:val="22"/>
          <w:rtl/>
        </w:rPr>
        <w:t>בסופו של יום, אינני סבור איפוא כי המשיבים עמדו בנטל להציג נימוק המצדיק במקרה זה סטייה מן הכלל של איסור תחולה למפרע. לטעמי, בעת ביצוע האיזון בין האינטרסים השונים המתנגשים בשאלת מועד התחולה של הכללים החדשים (לרבות הוראות המעבר הכלולות בהם) – לא ייחסו המשיבים משקל מספיק לשיקולי צדק והגינות ולא ענו לדרישות הסבירות והמידתיות.</w:t>
      </w:r>
    </w:p>
    <w:p w:rsidR="00241BC2" w:rsidRDefault="00241BC2" w:rsidP="00241BC2">
      <w:pPr>
        <w:rPr>
          <w:rFonts w:ascii="Arial" w:hAnsi="Arial" w:cs="David"/>
          <w:sz w:val="20"/>
          <w:szCs w:val="20"/>
          <w:rtl/>
        </w:rPr>
      </w:pPr>
    </w:p>
    <w:p w:rsidR="00241BC2" w:rsidRDefault="00241BC2" w:rsidP="00241BC2">
      <w:pPr>
        <w:rPr>
          <w:sz w:val="22"/>
          <w:szCs w:val="22"/>
          <w:rtl/>
        </w:rPr>
      </w:pPr>
    </w:p>
    <w:p w:rsidR="00241BC2" w:rsidRDefault="00241BC2" w:rsidP="00241BC2">
      <w:pPr>
        <w:rPr>
          <w:sz w:val="22"/>
          <w:szCs w:val="22"/>
          <w:rtl/>
        </w:rPr>
      </w:pPr>
      <w:r>
        <w:rPr>
          <w:rFonts w:hint="cs"/>
          <w:sz w:val="22"/>
          <w:szCs w:val="22"/>
          <w:rtl/>
        </w:rPr>
        <w:t>=-=</w:t>
      </w:r>
    </w:p>
    <w:p w:rsidR="00241BC2" w:rsidRDefault="00241BC2" w:rsidP="00241BC2">
      <w:pPr>
        <w:rPr>
          <w:rFonts w:ascii="Arial" w:hAnsi="Arial" w:cs="David"/>
          <w:sz w:val="20"/>
          <w:szCs w:val="20"/>
          <w:rtl/>
        </w:rPr>
      </w:pPr>
      <w:r w:rsidRPr="00687330">
        <w:rPr>
          <w:rFonts w:ascii="Arial" w:hAnsi="Arial" w:cs="David" w:hint="cs"/>
          <w:b/>
          <w:bCs/>
          <w:sz w:val="20"/>
          <w:szCs w:val="20"/>
          <w:highlight w:val="green"/>
          <w:u w:val="single"/>
          <w:rtl/>
        </w:rPr>
        <w:t>חומר הקריאה לפגישה הקרובה</w:t>
      </w:r>
      <w:r w:rsidRPr="00687330">
        <w:rPr>
          <w:rFonts w:ascii="Arial" w:hAnsi="Arial" w:cs="David" w:hint="cs"/>
          <w:sz w:val="20"/>
          <w:szCs w:val="20"/>
          <w:highlight w:val="green"/>
          <w:rtl/>
        </w:rPr>
        <w:t>:</w:t>
      </w:r>
    </w:p>
    <w:p w:rsidR="00241BC2" w:rsidRDefault="00241BC2" w:rsidP="00241BC2">
      <w:pPr>
        <w:rPr>
          <w:rFonts w:ascii="Arial" w:hAnsi="Arial" w:cs="David"/>
          <w:sz w:val="20"/>
          <w:szCs w:val="20"/>
          <w:rtl/>
        </w:rPr>
      </w:pPr>
      <w:r>
        <w:rPr>
          <w:rFonts w:ascii="Arial" w:hAnsi="Arial" w:cs="David" w:hint="cs"/>
          <w:sz w:val="20"/>
          <w:szCs w:val="20"/>
          <w:rtl/>
        </w:rPr>
        <w:t xml:space="preserve"> </w:t>
      </w:r>
    </w:p>
    <w:p w:rsidR="00241BC2" w:rsidRDefault="00241BC2" w:rsidP="00241BC2">
      <w:pPr>
        <w:spacing w:after="120"/>
        <w:rPr>
          <w:rFonts w:ascii="Arial" w:hAnsi="Arial" w:cs="David"/>
          <w:sz w:val="20"/>
          <w:szCs w:val="20"/>
          <w:rtl/>
        </w:rPr>
      </w:pPr>
      <w:r>
        <w:rPr>
          <w:rFonts w:ascii="Arial" w:hAnsi="Arial" w:cs="David" w:hint="cs"/>
          <w:sz w:val="20"/>
          <w:szCs w:val="20"/>
          <w:rtl/>
        </w:rPr>
        <w:t xml:space="preserve">נמשיך לדון בנושא הרטרואקטיביות, ואולי גם בחובות הנוגעות לשקיפות. הכירו מקרוב יותר את מנגנוני השקיפות והבקרה שעליהם מדבר פס"ד </w:t>
      </w:r>
      <w:r w:rsidRPr="00D87082">
        <w:rPr>
          <w:rFonts w:ascii="Arial" w:hAnsi="Arial" w:cs="David" w:hint="cs"/>
          <w:b/>
          <w:bCs/>
          <w:sz w:val="20"/>
          <w:szCs w:val="20"/>
          <w:rtl/>
        </w:rPr>
        <w:t>אילן</w:t>
      </w:r>
      <w:r>
        <w:rPr>
          <w:rFonts w:ascii="Arial" w:hAnsi="Arial" w:cs="David" w:hint="cs"/>
          <w:sz w:val="20"/>
          <w:szCs w:val="20"/>
          <w:rtl/>
        </w:rPr>
        <w:t xml:space="preserve"> שחלקים ממנו מובאים לעיל. </w:t>
      </w:r>
    </w:p>
    <w:p w:rsidR="00241BC2" w:rsidRDefault="00241BC2" w:rsidP="00241BC2">
      <w:pPr>
        <w:rPr>
          <w:rFonts w:ascii="Arial" w:hAnsi="Arial" w:cs="David"/>
          <w:sz w:val="20"/>
          <w:szCs w:val="20"/>
          <w:rtl/>
        </w:rPr>
      </w:pPr>
      <w:r>
        <w:rPr>
          <w:rFonts w:ascii="Arial" w:hAnsi="Arial" w:cs="David" w:hint="cs"/>
          <w:sz w:val="20"/>
          <w:szCs w:val="20"/>
          <w:rtl/>
        </w:rPr>
        <w:t xml:space="preserve">נעבור לדיון </w:t>
      </w:r>
      <w:r w:rsidRPr="008502C2">
        <w:rPr>
          <w:rFonts w:ascii="Arial" w:hAnsi="Arial" w:cs="David" w:hint="cs"/>
          <w:b/>
          <w:bCs/>
          <w:sz w:val="20"/>
          <w:szCs w:val="20"/>
          <w:u w:val="single"/>
          <w:rtl/>
        </w:rPr>
        <w:t>בכללי הצדק הטבעי</w:t>
      </w:r>
      <w:r>
        <w:rPr>
          <w:rFonts w:ascii="Arial" w:hAnsi="Arial" w:cs="David" w:hint="cs"/>
          <w:sz w:val="20"/>
          <w:szCs w:val="20"/>
          <w:rtl/>
        </w:rPr>
        <w:t xml:space="preserve"> </w:t>
      </w:r>
      <w:r>
        <w:rPr>
          <w:rFonts w:ascii="Arial" w:hAnsi="Arial" w:cs="David"/>
          <w:sz w:val="20"/>
          <w:szCs w:val="20"/>
          <w:rtl/>
        </w:rPr>
        <w:t>–</w:t>
      </w:r>
      <w:r>
        <w:rPr>
          <w:rFonts w:ascii="Arial" w:hAnsi="Arial" w:cs="David" w:hint="cs"/>
          <w:sz w:val="20"/>
          <w:szCs w:val="20"/>
          <w:rtl/>
        </w:rPr>
        <w:t xml:space="preserve"> </w:t>
      </w:r>
    </w:p>
    <w:p w:rsidR="00241BC2" w:rsidRDefault="00241BC2" w:rsidP="00241BC2">
      <w:pPr>
        <w:rPr>
          <w:sz w:val="22"/>
          <w:szCs w:val="22"/>
          <w:rtl/>
        </w:rPr>
      </w:pPr>
      <w:r>
        <w:rPr>
          <w:rFonts w:ascii="Arial" w:hAnsi="Arial" w:cs="David" w:hint="cs"/>
          <w:sz w:val="20"/>
          <w:szCs w:val="20"/>
          <w:rtl/>
        </w:rPr>
        <w:t xml:space="preserve">חלק א': </w:t>
      </w:r>
      <w:r w:rsidRPr="008502C2">
        <w:rPr>
          <w:rFonts w:ascii="Arial" w:hAnsi="Arial" w:cs="David" w:hint="cs"/>
          <w:b/>
          <w:bCs/>
          <w:sz w:val="20"/>
          <w:szCs w:val="20"/>
          <w:u w:val="single"/>
          <w:rtl/>
        </w:rPr>
        <w:t>זכות הטיעון</w:t>
      </w:r>
      <w:r>
        <w:rPr>
          <w:rFonts w:ascii="Arial" w:hAnsi="Arial" w:cs="David" w:hint="cs"/>
          <w:sz w:val="20"/>
          <w:szCs w:val="20"/>
          <w:rtl/>
        </w:rPr>
        <w:t xml:space="preserve">; פסקי הדין (הסעיפים המבוקשים): </w:t>
      </w:r>
      <w:r w:rsidRPr="0083369D">
        <w:rPr>
          <w:rFonts w:ascii="Arial" w:hAnsi="Arial" w:cs="David" w:hint="cs"/>
          <w:b/>
          <w:bCs/>
          <w:sz w:val="20"/>
          <w:szCs w:val="20"/>
          <w:rtl/>
        </w:rPr>
        <w:t xml:space="preserve">באקי; </w:t>
      </w:r>
      <w:r>
        <w:rPr>
          <w:rFonts w:ascii="Arial" w:hAnsi="Arial" w:cs="David" w:hint="cs"/>
          <w:b/>
          <w:bCs/>
          <w:sz w:val="20"/>
          <w:szCs w:val="20"/>
          <w:rtl/>
        </w:rPr>
        <w:t>אלוני; אוניברסיטת חיפה נ' עוז.</w:t>
      </w:r>
      <w:r>
        <w:rPr>
          <w:rFonts w:ascii="Arial" w:hAnsi="Arial" w:cs="David" w:hint="cs"/>
          <w:sz w:val="20"/>
          <w:szCs w:val="20"/>
          <w:rtl/>
        </w:rPr>
        <w:t xml:space="preserve"> נסו להבין את טעמי הדרישה לזכות הטיעון, את היקפה וכן חריגים אפשריים לתחולתה.</w:t>
      </w:r>
    </w:p>
    <w:p w:rsidR="00241BC2" w:rsidRPr="007022E8" w:rsidRDefault="00241BC2" w:rsidP="00241BC2">
      <w:pPr>
        <w:rPr>
          <w:sz w:val="22"/>
          <w:szCs w:val="22"/>
        </w:rPr>
      </w:pPr>
    </w:p>
    <w:p w:rsidR="0025709E" w:rsidRDefault="0025709E">
      <w:pPr>
        <w:bidi w:val="0"/>
        <w:jc w:val="left"/>
        <w:rPr>
          <w:sz w:val="22"/>
          <w:szCs w:val="22"/>
          <w:rtl/>
        </w:rPr>
      </w:pPr>
      <w:r>
        <w:rPr>
          <w:sz w:val="22"/>
          <w:szCs w:val="22"/>
          <w:rtl/>
        </w:rPr>
        <w:br w:type="page"/>
      </w:r>
    </w:p>
    <w:p w:rsidR="0025709E" w:rsidRDefault="0025709E" w:rsidP="0025709E">
      <w:pPr>
        <w:spacing w:after="120"/>
        <w:jc w:val="right"/>
        <w:rPr>
          <w:sz w:val="22"/>
          <w:szCs w:val="22"/>
          <w:rtl/>
        </w:rPr>
      </w:pPr>
      <w:r w:rsidRPr="00CA4835">
        <w:rPr>
          <w:rFonts w:hint="cs"/>
          <w:b/>
          <w:bCs/>
          <w:sz w:val="22"/>
          <w:szCs w:val="22"/>
          <w:rtl/>
        </w:rPr>
        <w:t>משפט ציבורי</w:t>
      </w:r>
      <w:r w:rsidRPr="00CA4835">
        <w:rPr>
          <w:rFonts w:hint="cs"/>
          <w:sz w:val="22"/>
          <w:szCs w:val="22"/>
          <w:rtl/>
        </w:rPr>
        <w:t xml:space="preserve">, </w:t>
      </w:r>
      <w:r w:rsidRPr="00CA4835">
        <w:rPr>
          <w:rFonts w:hint="cs"/>
          <w:i/>
          <w:iCs/>
          <w:sz w:val="22"/>
          <w:szCs w:val="22"/>
          <w:rtl/>
        </w:rPr>
        <w:t>תשע</w:t>
      </w:r>
      <w:r>
        <w:rPr>
          <w:rFonts w:hint="cs"/>
          <w:i/>
          <w:iCs/>
          <w:sz w:val="22"/>
          <w:szCs w:val="22"/>
          <w:rtl/>
        </w:rPr>
        <w:t>"ה</w:t>
      </w:r>
      <w:r w:rsidRPr="00CA4835">
        <w:rPr>
          <w:rFonts w:hint="cs"/>
          <w:sz w:val="22"/>
          <w:szCs w:val="22"/>
          <w:rtl/>
        </w:rPr>
        <w:t xml:space="preserve">, </w:t>
      </w:r>
      <w:r w:rsidRPr="00CA4835">
        <w:rPr>
          <w:rFonts w:hint="cs"/>
          <w:b/>
          <w:bCs/>
          <w:sz w:val="22"/>
          <w:szCs w:val="22"/>
          <w:rtl/>
        </w:rPr>
        <w:t>סמסטר א',</w:t>
      </w:r>
      <w:r w:rsidRPr="00CA4835">
        <w:rPr>
          <w:rFonts w:hint="cs"/>
          <w:sz w:val="22"/>
          <w:szCs w:val="22"/>
          <w:rtl/>
        </w:rPr>
        <w:t xml:space="preserve"> ד"ר אילן סבן, </w:t>
      </w:r>
      <w:r>
        <w:rPr>
          <w:rFonts w:hint="cs"/>
          <w:sz w:val="22"/>
          <w:szCs w:val="22"/>
          <w:rtl/>
        </w:rPr>
        <w:t>ינואר</w:t>
      </w:r>
      <w:r w:rsidRPr="00CA4835">
        <w:rPr>
          <w:rFonts w:hint="cs"/>
          <w:sz w:val="22"/>
          <w:szCs w:val="22"/>
          <w:rtl/>
        </w:rPr>
        <w:t xml:space="preserve"> 201</w:t>
      </w:r>
      <w:r>
        <w:rPr>
          <w:rFonts w:hint="cs"/>
          <w:sz w:val="22"/>
          <w:szCs w:val="22"/>
          <w:rtl/>
        </w:rPr>
        <w:t>5</w:t>
      </w:r>
      <w:r w:rsidRPr="00CA4835">
        <w:rPr>
          <w:rFonts w:hint="cs"/>
          <w:sz w:val="22"/>
          <w:szCs w:val="22"/>
          <w:rtl/>
        </w:rPr>
        <w:t xml:space="preserve">, </w:t>
      </w:r>
      <w:r w:rsidRPr="00A12318">
        <w:rPr>
          <w:rFonts w:hint="cs"/>
          <w:b/>
          <w:bCs/>
          <w:i/>
          <w:iCs/>
          <w:sz w:val="22"/>
          <w:szCs w:val="22"/>
          <w:highlight w:val="magenta"/>
          <w:u w:val="single"/>
          <w:rtl/>
        </w:rPr>
        <w:t>פגישה 25</w:t>
      </w:r>
    </w:p>
    <w:p w:rsidR="0025709E" w:rsidRDefault="0025709E" w:rsidP="0025709E">
      <w:pPr>
        <w:jc w:val="left"/>
        <w:rPr>
          <w:b/>
          <w:bCs/>
          <w:highlight w:val="yellow"/>
          <w:rtl/>
        </w:rPr>
      </w:pPr>
      <w:r>
        <w:rPr>
          <w:rFonts w:hint="cs"/>
          <w:b/>
          <w:bCs/>
          <w:highlight w:val="yellow"/>
          <w:rtl/>
        </w:rPr>
        <w:t>סיכום תמציתי לפגישה הקודמת</w:t>
      </w:r>
    </w:p>
    <w:p w:rsidR="0025709E" w:rsidRDefault="0025709E" w:rsidP="0025709E">
      <w:pPr>
        <w:jc w:val="left"/>
        <w:rPr>
          <w:b/>
          <w:bCs/>
          <w:highlight w:val="yellow"/>
          <w:rtl/>
        </w:rPr>
      </w:pPr>
    </w:p>
    <w:p w:rsidR="0025709E" w:rsidRDefault="0025709E" w:rsidP="0025709E">
      <w:pPr>
        <w:spacing w:after="120"/>
        <w:jc w:val="left"/>
        <w:rPr>
          <w:sz w:val="22"/>
          <w:szCs w:val="22"/>
          <w:rtl/>
        </w:rPr>
      </w:pPr>
      <w:r w:rsidRPr="009F3233">
        <w:rPr>
          <w:sz w:val="22"/>
          <w:szCs w:val="22"/>
          <w:rtl/>
        </w:rPr>
        <w:t xml:space="preserve">א. </w:t>
      </w:r>
      <w:r>
        <w:rPr>
          <w:rFonts w:hint="cs"/>
          <w:sz w:val="22"/>
          <w:szCs w:val="22"/>
          <w:rtl/>
        </w:rPr>
        <w:t xml:space="preserve">עברנו מהפרק על "הסמכות המינהלית" (קיומה של סמכות שכזו בידי הגורם השלטוני הפועל, יכולתו להאצילה, או לנוטלה מגורם שלטוני אחר, וכדומה), לפרק שעוסק בחובות החלים על </w:t>
      </w:r>
      <w:r w:rsidRPr="00D8001B">
        <w:rPr>
          <w:rFonts w:hint="cs"/>
          <w:sz w:val="22"/>
          <w:szCs w:val="22"/>
          <w:u w:val="single"/>
          <w:rtl/>
        </w:rPr>
        <w:t>הפרוצדורה</w:t>
      </w:r>
      <w:r>
        <w:rPr>
          <w:rFonts w:hint="cs"/>
          <w:sz w:val="22"/>
          <w:szCs w:val="22"/>
          <w:rtl/>
        </w:rPr>
        <w:t xml:space="preserve"> המלווה או המקדימה את הפעולה השלטונית </w:t>
      </w:r>
      <w:r>
        <w:rPr>
          <w:sz w:val="22"/>
          <w:szCs w:val="22"/>
          <w:rtl/>
        </w:rPr>
        <w:t>–</w:t>
      </w:r>
      <w:r>
        <w:rPr>
          <w:rFonts w:hint="cs"/>
          <w:sz w:val="22"/>
          <w:szCs w:val="22"/>
          <w:rtl/>
        </w:rPr>
        <w:t xml:space="preserve"> זהו הפרק של "ההליך המינהלי". בתחילת הסמסטר הבא נעסוק בחובות שמלוות את "שיקול הדעת המינהלי" בעת הפעלת הסמכות.</w:t>
      </w:r>
    </w:p>
    <w:p w:rsidR="0025709E" w:rsidRDefault="0025709E" w:rsidP="0025709E">
      <w:pPr>
        <w:spacing w:after="120"/>
        <w:jc w:val="left"/>
        <w:rPr>
          <w:sz w:val="22"/>
          <w:szCs w:val="22"/>
          <w:rtl/>
        </w:rPr>
      </w:pPr>
      <w:r>
        <w:rPr>
          <w:rFonts w:hint="cs"/>
          <w:sz w:val="22"/>
          <w:szCs w:val="22"/>
          <w:rtl/>
        </w:rPr>
        <w:t xml:space="preserve">ב. אחת מהדרישות הפרוצדוראליות נוגעת </w:t>
      </w:r>
      <w:r w:rsidRPr="00D8001B">
        <w:rPr>
          <w:rFonts w:hint="cs"/>
          <w:b/>
          <w:bCs/>
          <w:sz w:val="22"/>
          <w:szCs w:val="22"/>
          <w:u w:val="single"/>
          <w:rtl/>
        </w:rPr>
        <w:t>לשקיפות הפעולה השלטונית</w:t>
      </w:r>
      <w:r>
        <w:rPr>
          <w:rFonts w:hint="cs"/>
          <w:sz w:val="22"/>
          <w:szCs w:val="22"/>
          <w:rtl/>
        </w:rPr>
        <w:t xml:space="preserve">. הרשות המינהלית (א) אמורה להיות מודרכת על ידי </w:t>
      </w:r>
      <w:r w:rsidRPr="00D8001B">
        <w:rPr>
          <w:rFonts w:hint="cs"/>
          <w:b/>
          <w:bCs/>
          <w:sz w:val="22"/>
          <w:szCs w:val="22"/>
          <w:u w:val="single"/>
          <w:rtl/>
        </w:rPr>
        <w:t>הנחיות</w:t>
      </w:r>
      <w:r>
        <w:rPr>
          <w:rFonts w:hint="cs"/>
          <w:sz w:val="22"/>
          <w:szCs w:val="22"/>
          <w:rtl/>
        </w:rPr>
        <w:t xml:space="preserve"> שונות בבואה להפעיל את סמכותה ואת שיקול דעתה; למשל, הנחיות בסיסיות ביחס לאמות המידה לקבלת ההחלטה; (ב) הנחיות אלו צריכות להיות גלויות ונגישות לציבור. </w:t>
      </w:r>
    </w:p>
    <w:p w:rsidR="0025709E" w:rsidRDefault="0025709E" w:rsidP="0025709E">
      <w:pPr>
        <w:spacing w:after="120"/>
        <w:jc w:val="left"/>
        <w:rPr>
          <w:sz w:val="22"/>
          <w:szCs w:val="22"/>
          <w:rtl/>
        </w:rPr>
      </w:pPr>
      <w:r>
        <w:rPr>
          <w:rFonts w:hint="cs"/>
          <w:sz w:val="22"/>
          <w:szCs w:val="22"/>
          <w:rtl/>
        </w:rPr>
        <w:t xml:space="preserve">ג. </w:t>
      </w:r>
      <w:r w:rsidRPr="00EA2124">
        <w:rPr>
          <w:rFonts w:hint="cs"/>
          <w:sz w:val="22"/>
          <w:szCs w:val="22"/>
          <w:rtl/>
        </w:rPr>
        <w:t>דנו ב</w:t>
      </w:r>
      <w:r>
        <w:rPr>
          <w:rFonts w:hint="cs"/>
          <w:sz w:val="22"/>
          <w:szCs w:val="22"/>
          <w:rtl/>
        </w:rPr>
        <w:t>יתר פירוט ב</w:t>
      </w:r>
      <w:r w:rsidRPr="00834FDD">
        <w:rPr>
          <w:rFonts w:hint="cs"/>
          <w:b/>
          <w:bCs/>
          <w:sz w:val="22"/>
          <w:szCs w:val="22"/>
          <w:rtl/>
        </w:rPr>
        <w:t>"</w:t>
      </w:r>
      <w:r w:rsidRPr="00EA2124">
        <w:rPr>
          <w:b/>
          <w:bCs/>
          <w:sz w:val="22"/>
          <w:szCs w:val="22"/>
          <w:u w:val="single"/>
          <w:rtl/>
        </w:rPr>
        <w:t xml:space="preserve">הנחיות </w:t>
      </w:r>
      <w:r w:rsidRPr="00EA2124">
        <w:rPr>
          <w:rFonts w:hint="cs"/>
          <w:b/>
          <w:bCs/>
          <w:sz w:val="22"/>
          <w:szCs w:val="22"/>
          <w:u w:val="single"/>
          <w:rtl/>
        </w:rPr>
        <w:t>מינהליות</w:t>
      </w:r>
      <w:r w:rsidRPr="00834FDD">
        <w:rPr>
          <w:rFonts w:hint="cs"/>
          <w:b/>
          <w:bCs/>
          <w:sz w:val="22"/>
          <w:szCs w:val="22"/>
          <w:rtl/>
        </w:rPr>
        <w:t>"</w:t>
      </w:r>
      <w:r>
        <w:rPr>
          <w:rFonts w:hint="cs"/>
          <w:sz w:val="22"/>
          <w:szCs w:val="22"/>
          <w:rtl/>
        </w:rPr>
        <w:t xml:space="preserve">. הזכרנו את </w:t>
      </w:r>
      <w:r w:rsidRPr="009F3233">
        <w:rPr>
          <w:sz w:val="22"/>
          <w:szCs w:val="22"/>
          <w:rtl/>
        </w:rPr>
        <w:t>גמישותן ה</w:t>
      </w:r>
      <w:r>
        <w:rPr>
          <w:rFonts w:hint="cs"/>
          <w:sz w:val="22"/>
          <w:szCs w:val="22"/>
          <w:rtl/>
        </w:rPr>
        <w:t>בסיסית (</w:t>
      </w:r>
      <w:r w:rsidRPr="009F3233">
        <w:rPr>
          <w:sz w:val="22"/>
          <w:szCs w:val="22"/>
          <w:rtl/>
        </w:rPr>
        <w:t>ההבדל בינן לבין חקיקת משנה</w:t>
      </w:r>
      <w:r>
        <w:rPr>
          <w:rFonts w:hint="cs"/>
          <w:sz w:val="22"/>
          <w:szCs w:val="22"/>
          <w:rtl/>
        </w:rPr>
        <w:t>)</w:t>
      </w:r>
      <w:r w:rsidRPr="009F3233">
        <w:rPr>
          <w:sz w:val="22"/>
          <w:szCs w:val="22"/>
          <w:rtl/>
        </w:rPr>
        <w:t xml:space="preserve">. </w:t>
      </w:r>
      <w:r>
        <w:rPr>
          <w:rFonts w:hint="cs"/>
          <w:sz w:val="22"/>
          <w:szCs w:val="22"/>
          <w:rtl/>
        </w:rPr>
        <w:t>במקביל</w:t>
      </w:r>
      <w:r w:rsidRPr="009F3233">
        <w:rPr>
          <w:sz w:val="22"/>
          <w:szCs w:val="22"/>
          <w:rtl/>
        </w:rPr>
        <w:t xml:space="preserve">, סטייה מהן </w:t>
      </w:r>
      <w:r>
        <w:rPr>
          <w:rFonts w:hint="cs"/>
          <w:sz w:val="22"/>
          <w:szCs w:val="22"/>
          <w:rtl/>
        </w:rPr>
        <w:t xml:space="preserve">(הפעלת אותה גמישות שהוזכרה) </w:t>
      </w:r>
      <w:r w:rsidRPr="009F3233">
        <w:rPr>
          <w:sz w:val="22"/>
          <w:szCs w:val="22"/>
          <w:rtl/>
        </w:rPr>
        <w:t xml:space="preserve">מצריכה </w:t>
      </w:r>
      <w:r>
        <w:rPr>
          <w:rFonts w:hint="cs"/>
          <w:sz w:val="22"/>
          <w:szCs w:val="22"/>
          <w:rtl/>
        </w:rPr>
        <w:t xml:space="preserve">בכל זאת </w:t>
      </w:r>
      <w:r w:rsidRPr="009F3233">
        <w:rPr>
          <w:sz w:val="22"/>
          <w:szCs w:val="22"/>
          <w:rtl/>
        </w:rPr>
        <w:t>הצדקה מיוחדת</w:t>
      </w:r>
      <w:r>
        <w:rPr>
          <w:rFonts w:hint="cs"/>
          <w:sz w:val="22"/>
          <w:szCs w:val="22"/>
          <w:rtl/>
        </w:rPr>
        <w:t xml:space="preserve">. </w:t>
      </w:r>
    </w:p>
    <w:p w:rsidR="0025709E" w:rsidRPr="009F3233" w:rsidRDefault="0025709E" w:rsidP="0025709E">
      <w:pPr>
        <w:spacing w:after="120"/>
        <w:ind w:left="720"/>
        <w:jc w:val="left"/>
        <w:rPr>
          <w:sz w:val="22"/>
          <w:szCs w:val="22"/>
          <w:rtl/>
        </w:rPr>
      </w:pPr>
      <w:r>
        <w:rPr>
          <w:rFonts w:hint="cs"/>
          <w:sz w:val="22"/>
          <w:szCs w:val="22"/>
          <w:rtl/>
        </w:rPr>
        <w:t>הצורך בהצדקה נובע מכך שלהנחיות יש תכלית של הגברת הוודאות ושל שמירת השוויון הבסיסי בהתנהלות הרשות/ הקטנת השרירותיות, הגחמנות, בהתנהלותה. אשר על כן, סטייה מההנחיות מעוררת את תשומת-לבנו. היא סוג של איתות אזהרה מפני התנהלות שאולי איננה תקינה, ומכאן העברת הנטל לרשות להראות שהסטייה מההנחיות היא מוצדקת, כלומר ראויה ותקינה.</w:t>
      </w:r>
    </w:p>
    <w:p w:rsidR="0025709E" w:rsidRPr="009F3233" w:rsidRDefault="0025709E" w:rsidP="0025709E">
      <w:pPr>
        <w:spacing w:after="120"/>
        <w:jc w:val="left"/>
        <w:rPr>
          <w:sz w:val="22"/>
          <w:szCs w:val="22"/>
        </w:rPr>
      </w:pPr>
      <w:r>
        <w:rPr>
          <w:rFonts w:hint="cs"/>
          <w:sz w:val="22"/>
          <w:szCs w:val="22"/>
          <w:rtl/>
        </w:rPr>
        <w:t>ד</w:t>
      </w:r>
      <w:r w:rsidRPr="009F3233">
        <w:rPr>
          <w:sz w:val="22"/>
          <w:szCs w:val="22"/>
          <w:rtl/>
        </w:rPr>
        <w:t xml:space="preserve">. חובות במישור </w:t>
      </w:r>
      <w:r>
        <w:rPr>
          <w:rFonts w:hint="cs"/>
          <w:sz w:val="22"/>
          <w:szCs w:val="22"/>
          <w:rtl/>
        </w:rPr>
        <w:t>"</w:t>
      </w:r>
      <w:r w:rsidRPr="00834FDD">
        <w:rPr>
          <w:b/>
          <w:bCs/>
          <w:sz w:val="22"/>
          <w:szCs w:val="22"/>
          <w:rtl/>
        </w:rPr>
        <w:t>השקיפות</w:t>
      </w:r>
      <w:r>
        <w:rPr>
          <w:rFonts w:hint="cs"/>
          <w:sz w:val="22"/>
          <w:szCs w:val="22"/>
          <w:rtl/>
        </w:rPr>
        <w:t>":</w:t>
      </w:r>
      <w:r w:rsidRPr="009F3233">
        <w:rPr>
          <w:sz w:val="22"/>
          <w:szCs w:val="22"/>
          <w:rtl/>
        </w:rPr>
        <w:t xml:space="preserve"> בין היתר, חובות </w:t>
      </w:r>
      <w:r>
        <w:rPr>
          <w:rFonts w:hint="cs"/>
          <w:sz w:val="22"/>
          <w:szCs w:val="22"/>
          <w:rtl/>
        </w:rPr>
        <w:t>"</w:t>
      </w:r>
      <w:r w:rsidRPr="00EA2124">
        <w:rPr>
          <w:b/>
          <w:bCs/>
          <w:sz w:val="22"/>
          <w:szCs w:val="22"/>
          <w:u w:val="single"/>
          <w:rtl/>
        </w:rPr>
        <w:t>פרסום</w:t>
      </w:r>
      <w:r>
        <w:rPr>
          <w:rFonts w:hint="cs"/>
          <w:sz w:val="22"/>
          <w:szCs w:val="22"/>
          <w:rtl/>
        </w:rPr>
        <w:t>"</w:t>
      </w:r>
      <w:r w:rsidRPr="009F3233">
        <w:rPr>
          <w:sz w:val="22"/>
          <w:szCs w:val="22"/>
        </w:rPr>
        <w:t>.</w:t>
      </w:r>
    </w:p>
    <w:p w:rsidR="0025709E" w:rsidRPr="009F3233" w:rsidRDefault="0025709E" w:rsidP="0025709E">
      <w:pPr>
        <w:spacing w:after="120"/>
        <w:ind w:left="720"/>
        <w:jc w:val="left"/>
        <w:rPr>
          <w:sz w:val="22"/>
          <w:szCs w:val="22"/>
        </w:rPr>
      </w:pPr>
      <w:r w:rsidRPr="009F3233">
        <w:rPr>
          <w:sz w:val="22"/>
          <w:szCs w:val="22"/>
          <w:rtl/>
        </w:rPr>
        <w:t>פרסום עשוי להיות בנתיבים שונים</w:t>
      </w:r>
      <w:r w:rsidRPr="009F3233">
        <w:rPr>
          <w:sz w:val="22"/>
          <w:szCs w:val="22"/>
        </w:rPr>
        <w:t>.</w:t>
      </w:r>
    </w:p>
    <w:p w:rsidR="0025709E" w:rsidRDefault="0025709E" w:rsidP="0025709E">
      <w:pPr>
        <w:spacing w:after="120"/>
        <w:ind w:left="720"/>
        <w:jc w:val="left"/>
        <w:rPr>
          <w:sz w:val="22"/>
          <w:szCs w:val="22"/>
          <w:rtl/>
        </w:rPr>
      </w:pPr>
      <w:r w:rsidRPr="00EA2124">
        <w:rPr>
          <w:sz w:val="22"/>
          <w:szCs w:val="22"/>
          <w:u w:val="single"/>
          <w:rtl/>
        </w:rPr>
        <w:t xml:space="preserve">מה נדרש כי יפורסם </w:t>
      </w:r>
      <w:r w:rsidRPr="00EA2124">
        <w:rPr>
          <w:rFonts w:hint="cs"/>
          <w:sz w:val="22"/>
          <w:szCs w:val="22"/>
          <w:u w:val="single"/>
          <w:rtl/>
        </w:rPr>
        <w:t>"</w:t>
      </w:r>
      <w:r w:rsidRPr="00EA2124">
        <w:rPr>
          <w:sz w:val="22"/>
          <w:szCs w:val="22"/>
          <w:u w:val="single"/>
          <w:rtl/>
        </w:rPr>
        <w:t>ב</w:t>
      </w:r>
      <w:r w:rsidRPr="00EA2124">
        <w:rPr>
          <w:b/>
          <w:bCs/>
          <w:sz w:val="22"/>
          <w:szCs w:val="22"/>
          <w:u w:val="single"/>
          <w:rtl/>
        </w:rPr>
        <w:t>רשומות</w:t>
      </w:r>
      <w:r w:rsidRPr="00EA2124">
        <w:rPr>
          <w:rFonts w:hint="cs"/>
          <w:sz w:val="22"/>
          <w:szCs w:val="22"/>
          <w:u w:val="single"/>
          <w:rtl/>
        </w:rPr>
        <w:t>"</w:t>
      </w:r>
      <w:r w:rsidRPr="00EA2124">
        <w:rPr>
          <w:sz w:val="22"/>
          <w:szCs w:val="22"/>
          <w:u w:val="single"/>
          <w:rtl/>
        </w:rPr>
        <w:t xml:space="preserve"> לצורך </w:t>
      </w:r>
      <w:r>
        <w:rPr>
          <w:rFonts w:hint="cs"/>
          <w:sz w:val="22"/>
          <w:szCs w:val="22"/>
          <w:u w:val="single"/>
          <w:rtl/>
        </w:rPr>
        <w:t xml:space="preserve">התגבשות </w:t>
      </w:r>
      <w:r w:rsidRPr="00EA2124">
        <w:rPr>
          <w:sz w:val="22"/>
          <w:szCs w:val="22"/>
          <w:u w:val="single"/>
          <w:rtl/>
        </w:rPr>
        <w:t>תוקפו</w:t>
      </w:r>
      <w:r>
        <w:rPr>
          <w:rFonts w:hint="cs"/>
          <w:sz w:val="22"/>
          <w:szCs w:val="22"/>
          <w:u w:val="single"/>
          <w:rtl/>
        </w:rPr>
        <w:t>/ תוקפן</w:t>
      </w:r>
      <w:r w:rsidRPr="00EA2124">
        <w:rPr>
          <w:sz w:val="22"/>
          <w:szCs w:val="22"/>
          <w:u w:val="single"/>
          <w:rtl/>
        </w:rPr>
        <w:t>?</w:t>
      </w:r>
      <w:r w:rsidRPr="009F3233">
        <w:rPr>
          <w:sz w:val="22"/>
          <w:szCs w:val="22"/>
          <w:rtl/>
        </w:rPr>
        <w:t xml:space="preserve"> </w:t>
      </w:r>
      <w:r>
        <w:rPr>
          <w:rFonts w:hint="cs"/>
          <w:b/>
          <w:bCs/>
          <w:sz w:val="22"/>
          <w:szCs w:val="22"/>
          <w:rtl/>
        </w:rPr>
        <w:t>חוקים (וכמובן חוקי-יסוד)</w:t>
      </w:r>
      <w:r w:rsidRPr="00834FDD">
        <w:rPr>
          <w:b/>
          <w:bCs/>
          <w:sz w:val="22"/>
          <w:szCs w:val="22"/>
          <w:rtl/>
        </w:rPr>
        <w:t xml:space="preserve"> ו</w:t>
      </w:r>
      <w:r>
        <w:rPr>
          <w:rFonts w:hint="cs"/>
          <w:b/>
          <w:bCs/>
          <w:sz w:val="22"/>
          <w:szCs w:val="22"/>
          <w:rtl/>
        </w:rPr>
        <w:t>כן "</w:t>
      </w:r>
      <w:r w:rsidRPr="00834FDD">
        <w:rPr>
          <w:b/>
          <w:bCs/>
          <w:sz w:val="22"/>
          <w:szCs w:val="22"/>
          <w:rtl/>
        </w:rPr>
        <w:t>תקנות בנות פועל תחיקתי</w:t>
      </w:r>
      <w:r>
        <w:rPr>
          <w:rFonts w:hint="cs"/>
          <w:b/>
          <w:bCs/>
          <w:sz w:val="22"/>
          <w:szCs w:val="22"/>
          <w:rtl/>
        </w:rPr>
        <w:t>"</w:t>
      </w:r>
      <w:r w:rsidRPr="009F3233">
        <w:rPr>
          <w:sz w:val="22"/>
          <w:szCs w:val="22"/>
          <w:rtl/>
        </w:rPr>
        <w:t xml:space="preserve">. </w:t>
      </w:r>
    </w:p>
    <w:p w:rsidR="0025709E" w:rsidRPr="009F3233" w:rsidRDefault="0025709E" w:rsidP="0025709E">
      <w:pPr>
        <w:spacing w:after="120"/>
        <w:ind w:left="720"/>
        <w:jc w:val="left"/>
        <w:rPr>
          <w:sz w:val="22"/>
          <w:szCs w:val="22"/>
        </w:rPr>
      </w:pPr>
      <w:r w:rsidRPr="009F3233">
        <w:rPr>
          <w:sz w:val="22"/>
          <w:szCs w:val="22"/>
          <w:rtl/>
        </w:rPr>
        <w:t xml:space="preserve">ביחס לתקנות יש </w:t>
      </w:r>
      <w:r>
        <w:rPr>
          <w:rFonts w:hint="cs"/>
          <w:sz w:val="22"/>
          <w:szCs w:val="22"/>
          <w:rtl/>
        </w:rPr>
        <w:t xml:space="preserve">לדרישה זו </w:t>
      </w:r>
      <w:r w:rsidRPr="009F3233">
        <w:rPr>
          <w:sz w:val="22"/>
          <w:szCs w:val="22"/>
          <w:rtl/>
        </w:rPr>
        <w:t xml:space="preserve">חריגים מסוימים, כמו </w:t>
      </w:r>
      <w:r>
        <w:rPr>
          <w:rFonts w:hint="cs"/>
          <w:sz w:val="22"/>
          <w:szCs w:val="22"/>
          <w:rtl/>
        </w:rPr>
        <w:t>ביחס ל</w:t>
      </w:r>
      <w:r w:rsidRPr="009F3233">
        <w:rPr>
          <w:sz w:val="22"/>
          <w:szCs w:val="22"/>
          <w:rtl/>
        </w:rPr>
        <w:t>תקנות שעת חירום</w:t>
      </w:r>
      <w:r>
        <w:rPr>
          <w:rFonts w:hint="cs"/>
          <w:sz w:val="22"/>
          <w:szCs w:val="22"/>
          <w:rtl/>
        </w:rPr>
        <w:t xml:space="preserve"> (אם יש נסיבות חירום מיוחדות במינן);</w:t>
      </w:r>
      <w:r w:rsidRPr="009F3233">
        <w:rPr>
          <w:sz w:val="22"/>
          <w:szCs w:val="22"/>
          <w:rtl/>
        </w:rPr>
        <w:t xml:space="preserve"> וכמו כן גם צווים כלליים, שהם בעצם תקנות, מכוח תקנות ההגנה</w:t>
      </w:r>
      <w:r w:rsidRPr="009F3233">
        <w:rPr>
          <w:sz w:val="22"/>
          <w:szCs w:val="22"/>
        </w:rPr>
        <w:t>.</w:t>
      </w:r>
    </w:p>
    <w:p w:rsidR="0025709E" w:rsidRDefault="0025709E" w:rsidP="0025709E">
      <w:pPr>
        <w:spacing w:after="120"/>
        <w:jc w:val="left"/>
        <w:rPr>
          <w:sz w:val="22"/>
          <w:szCs w:val="22"/>
          <w:rtl/>
        </w:rPr>
      </w:pPr>
      <w:r>
        <w:rPr>
          <w:rFonts w:hint="cs"/>
          <w:sz w:val="22"/>
          <w:szCs w:val="22"/>
          <w:rtl/>
        </w:rPr>
        <w:t>ה</w:t>
      </w:r>
      <w:r w:rsidRPr="009F3233">
        <w:rPr>
          <w:sz w:val="22"/>
          <w:szCs w:val="22"/>
          <w:rtl/>
        </w:rPr>
        <w:t xml:space="preserve">. פסק דין </w:t>
      </w:r>
      <w:r w:rsidRPr="00716921">
        <w:rPr>
          <w:b/>
          <w:bCs/>
          <w:sz w:val="22"/>
          <w:szCs w:val="22"/>
          <w:rtl/>
        </w:rPr>
        <w:t>לוזון</w:t>
      </w:r>
      <w:r w:rsidRPr="009F3233">
        <w:rPr>
          <w:sz w:val="22"/>
          <w:szCs w:val="22"/>
          <w:rtl/>
        </w:rPr>
        <w:t xml:space="preserve">. </w:t>
      </w:r>
    </w:p>
    <w:p w:rsidR="0025709E" w:rsidRPr="009F3233" w:rsidRDefault="0025709E" w:rsidP="0025709E">
      <w:pPr>
        <w:spacing w:after="120"/>
        <w:ind w:left="720"/>
        <w:jc w:val="left"/>
        <w:rPr>
          <w:sz w:val="22"/>
          <w:szCs w:val="22"/>
        </w:rPr>
      </w:pPr>
      <w:r w:rsidRPr="009F3233">
        <w:rPr>
          <w:sz w:val="22"/>
          <w:szCs w:val="22"/>
          <w:rtl/>
        </w:rPr>
        <w:t xml:space="preserve">עוררתי את השאלה, האם בית המשפט בקלות רבה מדי </w:t>
      </w:r>
      <w:r>
        <w:rPr>
          <w:rFonts w:hint="cs"/>
          <w:sz w:val="22"/>
          <w:szCs w:val="22"/>
          <w:rtl/>
        </w:rPr>
        <w:t>סילק</w:t>
      </w:r>
      <w:r w:rsidRPr="009F3233">
        <w:rPr>
          <w:sz w:val="22"/>
          <w:szCs w:val="22"/>
          <w:rtl/>
        </w:rPr>
        <w:t xml:space="preserve"> הצידה את שאלת הזכות לחיים של המערערים</w:t>
      </w:r>
      <w:r>
        <w:rPr>
          <w:rFonts w:hint="cs"/>
          <w:sz w:val="22"/>
          <w:szCs w:val="22"/>
          <w:rtl/>
        </w:rPr>
        <w:t xml:space="preserve"> (אנשי משפחת הפשע של עמיר מולנר)</w:t>
      </w:r>
      <w:r w:rsidRPr="009F3233">
        <w:rPr>
          <w:sz w:val="22"/>
          <w:szCs w:val="22"/>
          <w:rtl/>
        </w:rPr>
        <w:t>. שהרי אם מתעוררת שאלה שכזו</w:t>
      </w:r>
      <w:r>
        <w:rPr>
          <w:rFonts w:hint="cs"/>
          <w:sz w:val="22"/>
          <w:szCs w:val="22"/>
          <w:rtl/>
        </w:rPr>
        <w:t xml:space="preserve"> (של פגיעה בזכות יסוד)</w:t>
      </w:r>
      <w:r w:rsidRPr="009F3233">
        <w:rPr>
          <w:sz w:val="22"/>
          <w:szCs w:val="22"/>
          <w:rtl/>
        </w:rPr>
        <w:t>, כי אז צריכה להופיע הסמכה בחוק או הסמכה מפורשת בחוק, לשם הסדרת ההגבלה</w:t>
      </w:r>
      <w:r w:rsidRPr="009F3233">
        <w:rPr>
          <w:sz w:val="22"/>
          <w:szCs w:val="22"/>
        </w:rPr>
        <w:t>.</w:t>
      </w:r>
    </w:p>
    <w:p w:rsidR="0025709E" w:rsidRPr="009F3233" w:rsidRDefault="0025709E" w:rsidP="0025709E">
      <w:pPr>
        <w:spacing w:after="120"/>
        <w:ind w:left="720"/>
        <w:jc w:val="left"/>
        <w:rPr>
          <w:sz w:val="22"/>
          <w:szCs w:val="22"/>
        </w:rPr>
      </w:pPr>
      <w:r w:rsidRPr="009F3233">
        <w:rPr>
          <w:sz w:val="22"/>
          <w:szCs w:val="22"/>
          <w:rtl/>
        </w:rPr>
        <w:t>בית המשפט לא מקדיש לשאלה זו תשומת לב של ממש</w:t>
      </w:r>
      <w:r w:rsidRPr="009F3233">
        <w:rPr>
          <w:sz w:val="22"/>
          <w:szCs w:val="22"/>
        </w:rPr>
        <w:t>.</w:t>
      </w:r>
      <w:r>
        <w:rPr>
          <w:rFonts w:hint="cs"/>
          <w:sz w:val="22"/>
          <w:szCs w:val="22"/>
          <w:rtl/>
        </w:rPr>
        <w:t xml:space="preserve"> </w:t>
      </w:r>
      <w:r w:rsidRPr="009F3233">
        <w:rPr>
          <w:sz w:val="22"/>
          <w:szCs w:val="22"/>
          <w:rtl/>
        </w:rPr>
        <w:t>אולי משום שהתשובה היא זו שהשמיע אלון</w:t>
      </w:r>
      <w:r>
        <w:rPr>
          <w:rFonts w:hint="cs"/>
          <w:sz w:val="22"/>
          <w:szCs w:val="22"/>
          <w:rtl/>
        </w:rPr>
        <w:t xml:space="preserve"> בפגישה:</w:t>
      </w:r>
      <w:r w:rsidRPr="009F3233">
        <w:rPr>
          <w:sz w:val="22"/>
          <w:szCs w:val="22"/>
          <w:rtl/>
        </w:rPr>
        <w:t xml:space="preserve"> השופטים חושבים כנראה על</w:t>
      </w:r>
      <w:r>
        <w:rPr>
          <w:rFonts w:hint="cs"/>
          <w:sz w:val="22"/>
          <w:szCs w:val="22"/>
          <w:rtl/>
        </w:rPr>
        <w:t xml:space="preserve"> קיומה של </w:t>
      </w:r>
      <w:r w:rsidRPr="009F3233">
        <w:rPr>
          <w:sz w:val="22"/>
          <w:szCs w:val="22"/>
          <w:rtl/>
        </w:rPr>
        <w:t>הסמכה</w:t>
      </w:r>
      <w:r>
        <w:rPr>
          <w:rFonts w:hint="cs"/>
          <w:sz w:val="22"/>
          <w:szCs w:val="22"/>
          <w:rtl/>
        </w:rPr>
        <w:t>, זו</w:t>
      </w:r>
      <w:r w:rsidRPr="009F3233">
        <w:rPr>
          <w:sz w:val="22"/>
          <w:szCs w:val="22"/>
          <w:rtl/>
        </w:rPr>
        <w:t xml:space="preserve"> שנתונה לפקיד כלי היריה במשרד הפנים מכוח </w:t>
      </w:r>
      <w:r w:rsidRPr="00716921">
        <w:rPr>
          <w:b/>
          <w:bCs/>
          <w:sz w:val="22"/>
          <w:szCs w:val="22"/>
          <w:rtl/>
        </w:rPr>
        <w:t>חוק כלי היריה, התש"ט-1949</w:t>
      </w:r>
      <w:r w:rsidRPr="009F3233">
        <w:rPr>
          <w:sz w:val="22"/>
          <w:szCs w:val="22"/>
        </w:rPr>
        <w:t>.</w:t>
      </w:r>
    </w:p>
    <w:p w:rsidR="0025709E" w:rsidRPr="009F3233" w:rsidRDefault="0025709E" w:rsidP="0025709E">
      <w:pPr>
        <w:spacing w:after="120"/>
        <w:ind w:left="720"/>
        <w:jc w:val="left"/>
        <w:rPr>
          <w:sz w:val="22"/>
          <w:szCs w:val="22"/>
        </w:rPr>
      </w:pPr>
      <w:r w:rsidRPr="009F3233">
        <w:rPr>
          <w:sz w:val="22"/>
          <w:szCs w:val="22"/>
          <w:rtl/>
        </w:rPr>
        <w:t xml:space="preserve">ניתן להוסיף את הנקודה הבאה. כדי להגיע לצורך </w:t>
      </w:r>
      <w:r>
        <w:rPr>
          <w:rFonts w:hint="cs"/>
          <w:sz w:val="22"/>
          <w:szCs w:val="22"/>
          <w:rtl/>
        </w:rPr>
        <w:t xml:space="preserve">של הרשות להצביע על </w:t>
      </w:r>
      <w:r w:rsidRPr="009F3233">
        <w:rPr>
          <w:sz w:val="22"/>
          <w:szCs w:val="22"/>
          <w:rtl/>
        </w:rPr>
        <w:t>הסמכה בחוק</w:t>
      </w:r>
      <w:r>
        <w:rPr>
          <w:rFonts w:hint="cs"/>
          <w:sz w:val="22"/>
          <w:szCs w:val="22"/>
          <w:rtl/>
        </w:rPr>
        <w:t xml:space="preserve"> (או הסמכה מפורשת מכוח חוק), הרי ש</w:t>
      </w:r>
      <w:r w:rsidRPr="009F3233">
        <w:rPr>
          <w:sz w:val="22"/>
          <w:szCs w:val="22"/>
          <w:rtl/>
        </w:rPr>
        <w:t xml:space="preserve">המערערים - אלו שנטען כי הם עבריינים ממשפחת מולנר - צריכים להצביע על פגיעה בזכותם לחיים </w:t>
      </w:r>
      <w:r>
        <w:rPr>
          <w:rFonts w:hint="cs"/>
          <w:sz w:val="22"/>
          <w:szCs w:val="22"/>
          <w:rtl/>
        </w:rPr>
        <w:t xml:space="preserve">בעת </w:t>
      </w:r>
      <w:r w:rsidRPr="009F3233">
        <w:rPr>
          <w:sz w:val="22"/>
          <w:szCs w:val="22"/>
          <w:rtl/>
        </w:rPr>
        <w:t>שאוסרים עליהם להתגונן באמצעות שומרי ראש</w:t>
      </w:r>
      <w:r>
        <w:rPr>
          <w:rFonts w:hint="cs"/>
          <w:sz w:val="22"/>
          <w:szCs w:val="22"/>
          <w:rtl/>
        </w:rPr>
        <w:t xml:space="preserve"> חמושים ניידים</w:t>
      </w:r>
      <w:r w:rsidRPr="009F3233">
        <w:rPr>
          <w:sz w:val="22"/>
          <w:szCs w:val="22"/>
          <w:rtl/>
        </w:rPr>
        <w:t>. אפשר לכאורה להגיד להם: כמו שאינכם יכולים להתגונן באמצעות טנק ליד הבית כך אינכם יכולים להתגונן באמצעות שומרי ראש חמושים שמלווים אתכם במרחב הציבורי. הטנק/ כמו שומר הראש החמוש האישי המסתובב איתך אינו חלק מזכותך לחיים. זכותך לחיים היא שלא נפגע בך כמדינה, וגם שנספק לך את ההגנה הרגילה של המדינה - כוחות השיטור</w:t>
      </w:r>
      <w:r w:rsidRPr="009F3233">
        <w:rPr>
          <w:sz w:val="22"/>
          <w:szCs w:val="22"/>
        </w:rPr>
        <w:t>.</w:t>
      </w:r>
    </w:p>
    <w:p w:rsidR="0025709E" w:rsidRPr="009F3233" w:rsidRDefault="0025709E" w:rsidP="0025709E">
      <w:pPr>
        <w:spacing w:after="120"/>
        <w:ind w:left="720"/>
        <w:jc w:val="left"/>
        <w:rPr>
          <w:sz w:val="22"/>
          <w:szCs w:val="22"/>
        </w:rPr>
      </w:pPr>
      <w:r w:rsidRPr="009F3233">
        <w:rPr>
          <w:sz w:val="22"/>
          <w:szCs w:val="22"/>
          <w:rtl/>
        </w:rPr>
        <w:t>זו תשובה לא זניחה אך גם לא נקייה מבעיות</w:t>
      </w:r>
      <w:r w:rsidRPr="009F3233">
        <w:rPr>
          <w:sz w:val="22"/>
          <w:szCs w:val="22"/>
        </w:rPr>
        <w:t>.</w:t>
      </w:r>
    </w:p>
    <w:p w:rsidR="0025709E" w:rsidRPr="009F3233" w:rsidRDefault="0025709E" w:rsidP="0025709E">
      <w:pPr>
        <w:spacing w:after="120"/>
        <w:ind w:left="720"/>
        <w:jc w:val="left"/>
        <w:rPr>
          <w:sz w:val="22"/>
          <w:szCs w:val="22"/>
        </w:rPr>
      </w:pPr>
      <w:r w:rsidRPr="009F3233">
        <w:rPr>
          <w:sz w:val="22"/>
          <w:szCs w:val="22"/>
          <w:rtl/>
        </w:rPr>
        <w:t>מכל מקום, הדגש העיקרי של בית המשפט בפסק דין לוזון הוא על ההנחיות ועל פרסומן, ובמקרה זה אי-פרסומן</w:t>
      </w:r>
      <w:r w:rsidRPr="009F3233">
        <w:rPr>
          <w:sz w:val="22"/>
          <w:szCs w:val="22"/>
        </w:rPr>
        <w:t>.</w:t>
      </w:r>
      <w:r>
        <w:rPr>
          <w:rFonts w:hint="cs"/>
          <w:sz w:val="22"/>
          <w:szCs w:val="22"/>
          <w:rtl/>
        </w:rPr>
        <w:t xml:space="preserve"> אנא חזרו לפסק דין זה כדי להבין את הנמקתו הקונקרטית ביחס לתוצאת פסק הדין.</w:t>
      </w:r>
    </w:p>
    <w:p w:rsidR="0025709E" w:rsidRDefault="0025709E" w:rsidP="0025709E">
      <w:pPr>
        <w:spacing w:after="120"/>
        <w:jc w:val="left"/>
        <w:rPr>
          <w:sz w:val="22"/>
          <w:szCs w:val="22"/>
          <w:rtl/>
        </w:rPr>
      </w:pPr>
      <w:r>
        <w:rPr>
          <w:rFonts w:hint="cs"/>
          <w:sz w:val="22"/>
          <w:szCs w:val="22"/>
          <w:rtl/>
        </w:rPr>
        <w:t>ו. לשקיפות עצמה יש נתיבי מימוש שהם מגוונים מעבר "לפרסום".</w:t>
      </w:r>
    </w:p>
    <w:p w:rsidR="0025709E" w:rsidRPr="00EA2124" w:rsidRDefault="0025709E" w:rsidP="0025709E">
      <w:pPr>
        <w:ind w:left="720"/>
        <w:jc w:val="left"/>
        <w:rPr>
          <w:highlight w:val="yellow"/>
          <w:rtl/>
        </w:rPr>
      </w:pPr>
      <w:r>
        <w:rPr>
          <w:rFonts w:hint="cs"/>
          <w:sz w:val="22"/>
          <w:szCs w:val="22"/>
          <w:rtl/>
        </w:rPr>
        <w:t xml:space="preserve">ראו, בין היתר, את פס"ד </w:t>
      </w:r>
      <w:r w:rsidRPr="00834FDD">
        <w:rPr>
          <w:rFonts w:hint="cs"/>
          <w:b/>
          <w:bCs/>
          <w:sz w:val="22"/>
          <w:szCs w:val="22"/>
          <w:rtl/>
        </w:rPr>
        <w:t>אילן</w:t>
      </w:r>
      <w:r>
        <w:rPr>
          <w:rFonts w:hint="cs"/>
          <w:b/>
          <w:bCs/>
          <w:sz w:val="22"/>
          <w:szCs w:val="22"/>
          <w:rtl/>
        </w:rPr>
        <w:t xml:space="preserve"> </w:t>
      </w:r>
      <w:r w:rsidRPr="00880BC2">
        <w:rPr>
          <w:rFonts w:hint="cs"/>
          <w:sz w:val="22"/>
          <w:szCs w:val="22"/>
          <w:rtl/>
        </w:rPr>
        <w:t xml:space="preserve">(חובת הדיווח וחובת רישום פרוטוקול) </w:t>
      </w:r>
      <w:r w:rsidRPr="00EA2124">
        <w:rPr>
          <w:rFonts w:hint="cs"/>
          <w:sz w:val="22"/>
          <w:szCs w:val="22"/>
          <w:rtl/>
        </w:rPr>
        <w:t>ונקודות נוספות שפרטתי בדפי הפגישה הקודמת.</w:t>
      </w:r>
    </w:p>
    <w:p w:rsidR="0025709E" w:rsidRDefault="0025709E" w:rsidP="0025709E">
      <w:pPr>
        <w:jc w:val="left"/>
        <w:rPr>
          <w:b/>
          <w:bCs/>
          <w:highlight w:val="yellow"/>
          <w:rtl/>
        </w:rPr>
      </w:pPr>
    </w:p>
    <w:p w:rsidR="0025709E" w:rsidRDefault="0025709E" w:rsidP="0025709E">
      <w:pPr>
        <w:jc w:val="left"/>
        <w:rPr>
          <w:b/>
          <w:bCs/>
          <w:highlight w:val="yellow"/>
          <w:rtl/>
        </w:rPr>
      </w:pPr>
      <w:r>
        <w:rPr>
          <w:rFonts w:hint="cs"/>
          <w:b/>
          <w:bCs/>
          <w:highlight w:val="yellow"/>
          <w:rtl/>
        </w:rPr>
        <w:t>=-=</w:t>
      </w:r>
    </w:p>
    <w:p w:rsidR="0025709E" w:rsidRPr="002651AB" w:rsidRDefault="0025709E" w:rsidP="0025709E">
      <w:pPr>
        <w:jc w:val="center"/>
        <w:rPr>
          <w:rFonts w:ascii="Arial" w:hAnsi="Arial" w:cs="Guttman-Soncino"/>
          <w:b/>
          <w:bCs/>
          <w:sz w:val="36"/>
          <w:szCs w:val="36"/>
          <w:rtl/>
        </w:rPr>
      </w:pPr>
      <w:r w:rsidRPr="002651AB">
        <w:rPr>
          <w:rFonts w:ascii="Arial" w:hAnsi="Arial" w:cs="Guttman-Soncino" w:hint="cs"/>
          <w:b/>
          <w:bCs/>
          <w:sz w:val="36"/>
          <w:szCs w:val="36"/>
          <w:highlight w:val="yellow"/>
          <w:rtl/>
        </w:rPr>
        <w:t xml:space="preserve">כללי הצדק הטבעי </w:t>
      </w:r>
      <w:r w:rsidRPr="002651AB">
        <w:rPr>
          <w:rFonts w:ascii="Arial" w:hAnsi="Arial" w:cs="Guttman-Soncino"/>
          <w:b/>
          <w:bCs/>
          <w:sz w:val="36"/>
          <w:szCs w:val="36"/>
          <w:highlight w:val="yellow"/>
          <w:rtl/>
        </w:rPr>
        <w:t>–</w:t>
      </w:r>
      <w:r w:rsidRPr="002651AB">
        <w:rPr>
          <w:rFonts w:ascii="Arial" w:hAnsi="Arial" w:cs="Guttman-Soncino" w:hint="cs"/>
          <w:b/>
          <w:bCs/>
          <w:sz w:val="36"/>
          <w:szCs w:val="36"/>
          <w:highlight w:val="yellow"/>
          <w:rtl/>
        </w:rPr>
        <w:t xml:space="preserve"> א. זכות הטיעון</w:t>
      </w:r>
      <w:r w:rsidRPr="002651AB">
        <w:rPr>
          <w:rFonts w:ascii="Arial" w:hAnsi="Arial" w:cs="Guttman-Soncino" w:hint="cs"/>
          <w:b/>
          <w:bCs/>
          <w:sz w:val="36"/>
          <w:szCs w:val="36"/>
          <w:rtl/>
        </w:rPr>
        <w:t xml:space="preserve"> </w:t>
      </w:r>
    </w:p>
    <w:p w:rsidR="0025709E" w:rsidRPr="002651AB" w:rsidRDefault="0025709E" w:rsidP="0025709E">
      <w:pPr>
        <w:rPr>
          <w:rFonts w:cs="Guttman-Soncino"/>
          <w:sz w:val="36"/>
          <w:szCs w:val="36"/>
          <w:rtl/>
        </w:rPr>
      </w:pPr>
    </w:p>
    <w:p w:rsidR="0025709E" w:rsidRPr="00405089" w:rsidRDefault="0025709E" w:rsidP="0025709E">
      <w:pPr>
        <w:bidi w:val="0"/>
        <w:spacing w:after="120"/>
        <w:ind w:left="720"/>
        <w:rPr>
          <w:sz w:val="22"/>
          <w:szCs w:val="22"/>
        </w:rPr>
      </w:pPr>
      <w:r w:rsidRPr="00405089">
        <w:rPr>
          <w:sz w:val="22"/>
          <w:szCs w:val="22"/>
          <w:highlight w:val="yellow"/>
        </w:rPr>
        <w:t xml:space="preserve">"The </w:t>
      </w:r>
      <w:r w:rsidRPr="00AC5CE5">
        <w:rPr>
          <w:sz w:val="22"/>
          <w:szCs w:val="22"/>
          <w:highlight w:val="yellow"/>
        </w:rPr>
        <w:t>history of liberty has largely been the history of procedural safeguards</w:t>
      </w:r>
      <w:r w:rsidRPr="00405089">
        <w:rPr>
          <w:sz w:val="22"/>
          <w:szCs w:val="22"/>
          <w:highlight w:val="yellow"/>
        </w:rPr>
        <w:t>"</w:t>
      </w:r>
    </w:p>
    <w:p w:rsidR="0025709E" w:rsidRPr="00405089" w:rsidRDefault="0025709E" w:rsidP="0025709E">
      <w:pPr>
        <w:ind w:left="720"/>
        <w:rPr>
          <w:sz w:val="22"/>
          <w:szCs w:val="22"/>
        </w:rPr>
      </w:pPr>
      <w:r>
        <w:rPr>
          <w:rFonts w:hint="cs"/>
          <w:sz w:val="22"/>
          <w:szCs w:val="22"/>
          <w:rtl/>
        </w:rPr>
        <w:t xml:space="preserve">דבריו של </w:t>
      </w:r>
      <w:r w:rsidRPr="00405089">
        <w:rPr>
          <w:rFonts w:hint="cs"/>
          <w:sz w:val="22"/>
          <w:szCs w:val="22"/>
          <w:rtl/>
        </w:rPr>
        <w:t xml:space="preserve">השופט פרנפורטר </w:t>
      </w:r>
      <w:r w:rsidRPr="00AC5CE5">
        <w:rPr>
          <w:sz w:val="22"/>
          <w:szCs w:val="22"/>
        </w:rPr>
        <w:t>Frankfurter</w:t>
      </w:r>
      <w:r w:rsidRPr="00405089">
        <w:rPr>
          <w:rFonts w:hint="cs"/>
          <w:sz w:val="22"/>
          <w:szCs w:val="22"/>
          <w:rtl/>
        </w:rPr>
        <w:t xml:space="preserve"> </w:t>
      </w:r>
      <w:r>
        <w:rPr>
          <w:rFonts w:hint="cs"/>
          <w:sz w:val="22"/>
          <w:szCs w:val="22"/>
          <w:rtl/>
        </w:rPr>
        <w:t xml:space="preserve">שופט </w:t>
      </w:r>
      <w:r w:rsidRPr="00405089">
        <w:rPr>
          <w:rFonts w:hint="cs"/>
          <w:sz w:val="22"/>
          <w:szCs w:val="22"/>
          <w:rtl/>
        </w:rPr>
        <w:t>בית המשפט העליון האמריקאי</w:t>
      </w:r>
      <w:r>
        <w:rPr>
          <w:rFonts w:hint="cs"/>
          <w:sz w:val="22"/>
          <w:szCs w:val="22"/>
          <w:rtl/>
        </w:rPr>
        <w:t>, פרשת</w:t>
      </w:r>
      <w:r w:rsidRPr="00405089">
        <w:rPr>
          <w:rFonts w:hint="cs"/>
          <w:sz w:val="22"/>
          <w:szCs w:val="22"/>
          <w:rtl/>
        </w:rPr>
        <w:t xml:space="preserve"> </w:t>
      </w:r>
      <w:r w:rsidRPr="00AC5CE5">
        <w:rPr>
          <w:sz w:val="22"/>
          <w:szCs w:val="22"/>
        </w:rPr>
        <w:t>McNabb</w:t>
      </w:r>
      <w:r w:rsidRPr="00405089">
        <w:rPr>
          <w:sz w:val="22"/>
          <w:szCs w:val="22"/>
        </w:rPr>
        <w:t xml:space="preserve"> v. US</w:t>
      </w:r>
    </w:p>
    <w:p w:rsidR="0025709E" w:rsidRDefault="0025709E" w:rsidP="0025709E">
      <w:pPr>
        <w:rPr>
          <w:sz w:val="22"/>
          <w:szCs w:val="22"/>
          <w:rtl/>
        </w:rPr>
      </w:pPr>
    </w:p>
    <w:p w:rsidR="0025709E" w:rsidRDefault="0025709E" w:rsidP="0025709E">
      <w:pPr>
        <w:rPr>
          <w:sz w:val="22"/>
          <w:szCs w:val="22"/>
          <w:rtl/>
        </w:rPr>
      </w:pPr>
      <w:r>
        <w:rPr>
          <w:rFonts w:hint="cs"/>
          <w:sz w:val="22"/>
          <w:szCs w:val="22"/>
          <w:rtl/>
        </w:rPr>
        <w:t>=-=</w:t>
      </w:r>
    </w:p>
    <w:p w:rsidR="0025709E" w:rsidRPr="00405089" w:rsidRDefault="0025709E" w:rsidP="0025709E">
      <w:pPr>
        <w:rPr>
          <w:sz w:val="22"/>
          <w:szCs w:val="22"/>
          <w:rtl/>
        </w:rPr>
      </w:pPr>
    </w:p>
    <w:p w:rsidR="0025709E" w:rsidRPr="00A20316" w:rsidRDefault="0025709E" w:rsidP="0025709E">
      <w:pPr>
        <w:spacing w:after="120"/>
        <w:rPr>
          <w:rFonts w:ascii="Arial" w:hAnsi="Arial" w:cs="Arial"/>
          <w:b/>
          <w:bCs/>
          <w:sz w:val="22"/>
          <w:szCs w:val="22"/>
          <w:u w:val="single"/>
          <w:rtl/>
        </w:rPr>
      </w:pPr>
      <w:r w:rsidRPr="00A20316">
        <w:rPr>
          <w:rFonts w:ascii="Arial" w:hAnsi="Arial" w:cs="Arial" w:hint="cs"/>
          <w:b/>
          <w:bCs/>
          <w:sz w:val="22"/>
          <w:szCs w:val="22"/>
          <w:u w:val="single"/>
          <w:rtl/>
        </w:rPr>
        <w:t xml:space="preserve">כללי הצדק הטבעי </w:t>
      </w:r>
      <w:r w:rsidRPr="00A20316">
        <w:rPr>
          <w:rFonts w:ascii="Arial" w:hAnsi="Arial" w:cs="Arial"/>
          <w:b/>
          <w:bCs/>
          <w:sz w:val="22"/>
          <w:szCs w:val="22"/>
          <w:u w:val="single"/>
          <w:rtl/>
        </w:rPr>
        <w:t>–</w:t>
      </w:r>
      <w:r w:rsidRPr="00A20316">
        <w:rPr>
          <w:rFonts w:ascii="Arial" w:hAnsi="Arial" w:cs="Arial" w:hint="cs"/>
          <w:b/>
          <w:bCs/>
          <w:sz w:val="22"/>
          <w:szCs w:val="22"/>
          <w:u w:val="single"/>
          <w:rtl/>
        </w:rPr>
        <w:t xml:space="preserve"> </w:t>
      </w:r>
    </w:p>
    <w:p w:rsidR="0025709E" w:rsidRPr="00364AC8" w:rsidRDefault="0025709E" w:rsidP="0025709E">
      <w:pPr>
        <w:spacing w:after="120"/>
        <w:ind w:left="720" w:hanging="720"/>
        <w:rPr>
          <w:rFonts w:ascii="Arial" w:hAnsi="Arial" w:cs="Arial"/>
          <w:sz w:val="22"/>
          <w:szCs w:val="22"/>
          <w:rtl/>
        </w:rPr>
      </w:pPr>
      <w:r>
        <w:rPr>
          <w:rFonts w:ascii="Arial" w:hAnsi="Arial" w:cs="Arial" w:hint="cs"/>
          <w:sz w:val="22"/>
          <w:szCs w:val="22"/>
          <w:rtl/>
        </w:rPr>
        <w:t xml:space="preserve">היסטורית, ובמידה משמעותית אף בהווה, מדובר </w:t>
      </w:r>
      <w:r w:rsidRPr="007432EC">
        <w:rPr>
          <w:rFonts w:ascii="Arial" w:hAnsi="Arial" w:cs="Arial" w:hint="cs"/>
          <w:b/>
          <w:bCs/>
          <w:sz w:val="22"/>
          <w:szCs w:val="22"/>
          <w:rtl/>
        </w:rPr>
        <w:t>ב</w:t>
      </w:r>
      <w:r w:rsidRPr="007432EC">
        <w:rPr>
          <w:rFonts w:ascii="Arial" w:hAnsi="Arial" w:cs="Arial"/>
          <w:b/>
          <w:bCs/>
          <w:sz w:val="22"/>
          <w:szCs w:val="22"/>
          <w:rtl/>
        </w:rPr>
        <w:t xml:space="preserve">כללים </w:t>
      </w:r>
      <w:r w:rsidRPr="007432EC">
        <w:rPr>
          <w:rFonts w:ascii="Arial" w:hAnsi="Arial" w:cs="Arial" w:hint="cs"/>
          <w:b/>
          <w:bCs/>
          <w:sz w:val="22"/>
          <w:szCs w:val="22"/>
          <w:rtl/>
        </w:rPr>
        <w:t>שהם תוצרי-פסיקה</w:t>
      </w:r>
      <w:r>
        <w:rPr>
          <w:rFonts w:ascii="Arial" w:hAnsi="Arial" w:cs="Arial" w:hint="cs"/>
          <w:sz w:val="22"/>
          <w:szCs w:val="22"/>
          <w:rtl/>
        </w:rPr>
        <w:t xml:space="preserve"> (חלק מ"המשפט המקובל נוסח ישראל")</w:t>
      </w:r>
      <w:r w:rsidRPr="00364AC8">
        <w:rPr>
          <w:rFonts w:ascii="Arial" w:hAnsi="Arial" w:cs="Arial"/>
          <w:sz w:val="22"/>
          <w:szCs w:val="22"/>
          <w:rtl/>
        </w:rPr>
        <w:t>:</w:t>
      </w:r>
    </w:p>
    <w:p w:rsidR="0025709E" w:rsidRPr="007432EC" w:rsidRDefault="0025709E" w:rsidP="0025709E">
      <w:pPr>
        <w:ind w:left="720"/>
        <w:rPr>
          <w:rFonts w:ascii="Arial" w:hAnsi="Arial" w:cs="Arial"/>
          <w:b/>
          <w:bCs/>
          <w:sz w:val="22"/>
          <w:szCs w:val="22"/>
          <w:highlight w:val="yellow"/>
          <w:rtl/>
        </w:rPr>
      </w:pPr>
      <w:r w:rsidRPr="007432EC">
        <w:rPr>
          <w:rFonts w:ascii="Arial" w:hAnsi="Arial" w:cs="Arial" w:hint="cs"/>
          <w:b/>
          <w:bCs/>
          <w:sz w:val="22"/>
          <w:szCs w:val="22"/>
          <w:highlight w:val="yellow"/>
          <w:rtl/>
        </w:rPr>
        <w:t xml:space="preserve">החובה להעניק </w:t>
      </w:r>
      <w:r w:rsidRPr="007432EC">
        <w:rPr>
          <w:rFonts w:ascii="Arial" w:hAnsi="Arial" w:cs="Arial"/>
          <w:b/>
          <w:bCs/>
          <w:sz w:val="22"/>
          <w:szCs w:val="22"/>
          <w:highlight w:val="yellow"/>
          <w:rtl/>
        </w:rPr>
        <w:t>זכות טיעון</w:t>
      </w:r>
      <w:r w:rsidRPr="007432EC">
        <w:rPr>
          <w:rFonts w:ascii="Arial" w:hAnsi="Arial" w:cs="Arial" w:hint="cs"/>
          <w:b/>
          <w:bCs/>
          <w:sz w:val="22"/>
          <w:szCs w:val="22"/>
          <w:highlight w:val="yellow"/>
          <w:rtl/>
        </w:rPr>
        <w:t xml:space="preserve">/ "שימוע" </w:t>
      </w:r>
    </w:p>
    <w:p w:rsidR="0025709E" w:rsidRPr="007432EC" w:rsidRDefault="0025709E" w:rsidP="0025709E">
      <w:pPr>
        <w:ind w:left="720"/>
        <w:rPr>
          <w:rFonts w:ascii="Arial" w:hAnsi="Arial" w:cs="Arial"/>
          <w:b/>
          <w:bCs/>
          <w:sz w:val="22"/>
          <w:szCs w:val="22"/>
          <w:highlight w:val="yellow"/>
          <w:rtl/>
        </w:rPr>
      </w:pPr>
      <w:r w:rsidRPr="007432EC">
        <w:rPr>
          <w:rFonts w:ascii="Arial" w:hAnsi="Arial" w:cs="Arial"/>
          <w:b/>
          <w:bCs/>
          <w:sz w:val="22"/>
          <w:szCs w:val="22"/>
          <w:highlight w:val="yellow"/>
          <w:rtl/>
        </w:rPr>
        <w:t xml:space="preserve">איסור </w:t>
      </w:r>
      <w:r>
        <w:rPr>
          <w:rFonts w:ascii="Arial" w:hAnsi="Arial" w:cs="Arial" w:hint="cs"/>
          <w:b/>
          <w:bCs/>
          <w:sz w:val="22"/>
          <w:szCs w:val="22"/>
          <w:highlight w:val="yellow"/>
          <w:rtl/>
        </w:rPr>
        <w:t>"</w:t>
      </w:r>
      <w:r w:rsidRPr="007432EC">
        <w:rPr>
          <w:rFonts w:ascii="Arial" w:hAnsi="Arial" w:cs="Arial"/>
          <w:b/>
          <w:bCs/>
          <w:sz w:val="22"/>
          <w:szCs w:val="22"/>
          <w:highlight w:val="yellow"/>
          <w:rtl/>
        </w:rPr>
        <w:t>משוא פנים</w:t>
      </w:r>
      <w:r>
        <w:rPr>
          <w:rFonts w:ascii="Arial" w:hAnsi="Arial" w:cs="Arial" w:hint="cs"/>
          <w:b/>
          <w:bCs/>
          <w:sz w:val="22"/>
          <w:szCs w:val="22"/>
          <w:highlight w:val="yellow"/>
          <w:rtl/>
        </w:rPr>
        <w:t>"</w:t>
      </w:r>
      <w:r w:rsidRPr="007432EC">
        <w:rPr>
          <w:rFonts w:ascii="Arial" w:hAnsi="Arial" w:cs="Arial"/>
          <w:b/>
          <w:bCs/>
          <w:sz w:val="22"/>
          <w:szCs w:val="22"/>
          <w:highlight w:val="yellow"/>
          <w:rtl/>
        </w:rPr>
        <w:t xml:space="preserve"> </w:t>
      </w:r>
    </w:p>
    <w:p w:rsidR="0025709E" w:rsidRPr="00364AC8" w:rsidRDefault="0025709E" w:rsidP="0025709E">
      <w:pPr>
        <w:spacing w:after="120"/>
        <w:ind w:left="720"/>
        <w:rPr>
          <w:rFonts w:ascii="Arial" w:hAnsi="Arial" w:cs="Arial"/>
          <w:sz w:val="22"/>
          <w:szCs w:val="22"/>
          <w:rtl/>
        </w:rPr>
      </w:pPr>
      <w:r w:rsidRPr="007432EC">
        <w:rPr>
          <w:rFonts w:ascii="Arial" w:hAnsi="Arial" w:cs="Arial"/>
          <w:b/>
          <w:bCs/>
          <w:sz w:val="22"/>
          <w:szCs w:val="22"/>
          <w:highlight w:val="yellow"/>
          <w:rtl/>
        </w:rPr>
        <w:t xml:space="preserve">איסור </w:t>
      </w:r>
      <w:r>
        <w:rPr>
          <w:rFonts w:ascii="Arial" w:hAnsi="Arial" w:cs="Arial" w:hint="cs"/>
          <w:b/>
          <w:bCs/>
          <w:sz w:val="22"/>
          <w:szCs w:val="22"/>
          <w:highlight w:val="yellow"/>
          <w:rtl/>
        </w:rPr>
        <w:t>"</w:t>
      </w:r>
      <w:r w:rsidRPr="007432EC">
        <w:rPr>
          <w:rFonts w:ascii="Arial" w:hAnsi="Arial" w:cs="Arial"/>
          <w:b/>
          <w:bCs/>
          <w:sz w:val="22"/>
          <w:szCs w:val="22"/>
          <w:highlight w:val="yellow"/>
          <w:rtl/>
        </w:rPr>
        <w:t>ניגוד עניינים</w:t>
      </w:r>
      <w:r>
        <w:rPr>
          <w:rFonts w:ascii="Arial" w:hAnsi="Arial" w:cs="Arial" w:hint="cs"/>
          <w:b/>
          <w:bCs/>
          <w:sz w:val="22"/>
          <w:szCs w:val="22"/>
          <w:rtl/>
        </w:rPr>
        <w:t>"</w:t>
      </w:r>
    </w:p>
    <w:p w:rsidR="0025709E" w:rsidRPr="00364AC8" w:rsidRDefault="0025709E" w:rsidP="0025709E">
      <w:pPr>
        <w:rPr>
          <w:rFonts w:ascii="Arial" w:hAnsi="Arial" w:cs="Arial"/>
          <w:sz w:val="22"/>
          <w:szCs w:val="22"/>
          <w:rtl/>
        </w:rPr>
      </w:pPr>
      <w:r>
        <w:rPr>
          <w:rFonts w:ascii="Arial" w:hAnsi="Arial" w:cs="Arial" w:hint="cs"/>
          <w:sz w:val="22"/>
          <w:szCs w:val="22"/>
          <w:rtl/>
        </w:rPr>
        <w:t xml:space="preserve">חלק מכללי הצדק הטבעי הם עתה </w:t>
      </w:r>
      <w:r w:rsidRPr="007432EC">
        <w:rPr>
          <w:rFonts w:ascii="Arial" w:hAnsi="Arial" w:cs="Arial"/>
          <w:b/>
          <w:bCs/>
          <w:sz w:val="22"/>
          <w:szCs w:val="22"/>
          <w:rtl/>
        </w:rPr>
        <w:t>כלל</w:t>
      </w:r>
      <w:r w:rsidRPr="007432EC">
        <w:rPr>
          <w:rFonts w:ascii="Arial" w:hAnsi="Arial" w:cs="Arial" w:hint="cs"/>
          <w:b/>
          <w:bCs/>
          <w:sz w:val="22"/>
          <w:szCs w:val="22"/>
          <w:rtl/>
        </w:rPr>
        <w:t>ים</w:t>
      </w:r>
      <w:r w:rsidRPr="007432EC">
        <w:rPr>
          <w:rFonts w:ascii="Arial" w:hAnsi="Arial" w:cs="Arial"/>
          <w:b/>
          <w:bCs/>
          <w:sz w:val="22"/>
          <w:szCs w:val="22"/>
          <w:rtl/>
        </w:rPr>
        <w:t xml:space="preserve"> תחיקתי</w:t>
      </w:r>
      <w:r w:rsidRPr="007432EC">
        <w:rPr>
          <w:rFonts w:ascii="Arial" w:hAnsi="Arial" w:cs="Arial" w:hint="cs"/>
          <w:b/>
          <w:bCs/>
          <w:sz w:val="22"/>
          <w:szCs w:val="22"/>
          <w:rtl/>
        </w:rPr>
        <w:t>ים</w:t>
      </w:r>
      <w:r>
        <w:rPr>
          <w:rFonts w:ascii="Arial" w:hAnsi="Arial" w:cs="Arial" w:hint="cs"/>
          <w:sz w:val="22"/>
          <w:szCs w:val="22"/>
          <w:rtl/>
        </w:rPr>
        <w:t>:</w:t>
      </w:r>
    </w:p>
    <w:p w:rsidR="0025709E" w:rsidRPr="007432EC" w:rsidRDefault="0025709E" w:rsidP="0025709E">
      <w:pPr>
        <w:ind w:left="720"/>
        <w:rPr>
          <w:rFonts w:ascii="Arial" w:hAnsi="Arial" w:cs="Arial"/>
          <w:b/>
          <w:bCs/>
          <w:sz w:val="22"/>
          <w:szCs w:val="22"/>
          <w:highlight w:val="yellow"/>
          <w:rtl/>
        </w:rPr>
      </w:pPr>
      <w:r w:rsidRPr="007432EC">
        <w:rPr>
          <w:rFonts w:ascii="Arial" w:hAnsi="Arial" w:cs="Arial"/>
          <w:b/>
          <w:bCs/>
          <w:sz w:val="22"/>
          <w:szCs w:val="22"/>
          <w:highlight w:val="yellow"/>
          <w:rtl/>
        </w:rPr>
        <w:t>חובת ההנמקה</w:t>
      </w:r>
    </w:p>
    <w:p w:rsidR="0025709E" w:rsidRDefault="0025709E" w:rsidP="0025709E">
      <w:pPr>
        <w:spacing w:after="120"/>
        <w:ind w:left="720"/>
        <w:rPr>
          <w:b/>
          <w:bCs/>
          <w:sz w:val="22"/>
          <w:szCs w:val="22"/>
          <w:rtl/>
        </w:rPr>
      </w:pPr>
      <w:r w:rsidRPr="007432EC">
        <w:rPr>
          <w:rFonts w:ascii="Arial" w:hAnsi="Arial" w:cs="Arial" w:hint="cs"/>
          <w:b/>
          <w:bCs/>
          <w:sz w:val="22"/>
          <w:szCs w:val="22"/>
          <w:highlight w:val="yellow"/>
          <w:rtl/>
        </w:rPr>
        <w:t>חובת היוועצות</w:t>
      </w:r>
    </w:p>
    <w:p w:rsidR="0025709E" w:rsidRPr="00A20316" w:rsidRDefault="0025709E" w:rsidP="0025709E">
      <w:pPr>
        <w:rPr>
          <w:rFonts w:ascii="Arial" w:hAnsi="Arial" w:cs="Arial"/>
          <w:sz w:val="22"/>
          <w:szCs w:val="22"/>
          <w:rtl/>
        </w:rPr>
      </w:pPr>
      <w:r w:rsidRPr="00A20316">
        <w:rPr>
          <w:rFonts w:ascii="Arial" w:hAnsi="Arial" w:cs="Arial"/>
          <w:sz w:val="22"/>
          <w:szCs w:val="22"/>
          <w:rtl/>
        </w:rPr>
        <w:t>[</w:t>
      </w:r>
      <w:r w:rsidRPr="00A20316">
        <w:rPr>
          <w:rFonts w:ascii="Arial" w:hAnsi="Arial" w:cs="Arial" w:hint="cs"/>
          <w:sz w:val="22"/>
          <w:szCs w:val="22"/>
          <w:rtl/>
        </w:rPr>
        <w:t>כמובן ש</w:t>
      </w:r>
      <w:r w:rsidRPr="00A20316">
        <w:rPr>
          <w:rFonts w:ascii="Arial" w:hAnsi="Arial" w:cs="Arial"/>
          <w:sz w:val="22"/>
          <w:szCs w:val="22"/>
          <w:rtl/>
        </w:rPr>
        <w:t xml:space="preserve">לעיתים נפגוש בתחיקה עיגון סטטוטורי/תחיקתי של כללים </w:t>
      </w:r>
      <w:r>
        <w:rPr>
          <w:rFonts w:ascii="Arial" w:hAnsi="Arial" w:cs="Arial" w:hint="cs"/>
          <w:sz w:val="22"/>
          <w:szCs w:val="22"/>
          <w:rtl/>
        </w:rPr>
        <w:t xml:space="preserve">שמקורם בפסיקה, </w:t>
      </w:r>
      <w:r w:rsidRPr="00A20316">
        <w:rPr>
          <w:rFonts w:ascii="Arial" w:hAnsi="Arial" w:cs="Arial" w:hint="cs"/>
          <w:sz w:val="22"/>
          <w:szCs w:val="22"/>
          <w:rtl/>
        </w:rPr>
        <w:t>דוגמת זכות הטיעון, איסור ניגוד העניינים וכדומה.</w:t>
      </w:r>
      <w:r w:rsidRPr="00A20316">
        <w:rPr>
          <w:rFonts w:ascii="Arial" w:hAnsi="Arial" w:cs="Arial"/>
          <w:sz w:val="22"/>
          <w:szCs w:val="22"/>
          <w:rtl/>
        </w:rPr>
        <w:t>]</w:t>
      </w:r>
    </w:p>
    <w:p w:rsidR="0025709E" w:rsidRPr="00364AC8" w:rsidRDefault="0025709E" w:rsidP="0025709E">
      <w:pPr>
        <w:pStyle w:val="T-body"/>
        <w:spacing w:line="240" w:lineRule="auto"/>
        <w:ind w:left="-694"/>
        <w:rPr>
          <w:rFonts w:ascii="Arial" w:hAnsi="Arial" w:cs="Arial"/>
          <w:sz w:val="22"/>
          <w:szCs w:val="22"/>
          <w:rtl/>
        </w:rPr>
      </w:pPr>
    </w:p>
    <w:p w:rsidR="0025709E" w:rsidRDefault="0025709E" w:rsidP="0025709E">
      <w:pPr>
        <w:spacing w:after="120"/>
        <w:rPr>
          <w:rFonts w:ascii="Arial" w:hAnsi="Arial" w:cs="Arial"/>
          <w:b/>
          <w:bCs/>
          <w:sz w:val="22"/>
          <w:szCs w:val="22"/>
          <w:rtl/>
        </w:rPr>
      </w:pPr>
      <w:r>
        <w:rPr>
          <w:rFonts w:ascii="Arial" w:hAnsi="Arial" w:cs="Arial" w:hint="cs"/>
          <w:b/>
          <w:bCs/>
          <w:sz w:val="22"/>
          <w:szCs w:val="22"/>
          <w:rtl/>
        </w:rPr>
        <w:t xml:space="preserve">כללי הצדק הטבעי מקימים חובות חשובות החלות על הרשות המינהלית (וכך הן מגוננות על זכויות משמעותיות של הפרט). אלו חובות וזכויות שאינן מוחלטות. </w:t>
      </w:r>
    </w:p>
    <w:p w:rsidR="0025709E" w:rsidRDefault="0025709E" w:rsidP="0025709E">
      <w:pPr>
        <w:spacing w:after="120"/>
        <w:ind w:left="720"/>
        <w:rPr>
          <w:rFonts w:ascii="Arial" w:hAnsi="Arial" w:cs="Arial"/>
          <w:b/>
          <w:bCs/>
          <w:sz w:val="22"/>
          <w:szCs w:val="22"/>
          <w:rtl/>
        </w:rPr>
      </w:pPr>
      <w:r>
        <w:rPr>
          <w:rFonts w:ascii="Arial" w:hAnsi="Arial" w:cs="Arial" w:hint="cs"/>
          <w:b/>
          <w:bCs/>
          <w:sz w:val="22"/>
          <w:szCs w:val="22"/>
          <w:rtl/>
        </w:rPr>
        <w:t>^ מה דורשים כללים אלו, כל אחד מהם?</w:t>
      </w:r>
    </w:p>
    <w:p w:rsidR="0025709E" w:rsidRDefault="0025709E" w:rsidP="0025709E">
      <w:pPr>
        <w:spacing w:after="120"/>
        <w:ind w:left="720"/>
        <w:rPr>
          <w:rFonts w:ascii="Arial" w:hAnsi="Arial" w:cs="Arial"/>
          <w:b/>
          <w:bCs/>
          <w:sz w:val="22"/>
          <w:szCs w:val="22"/>
          <w:rtl/>
        </w:rPr>
      </w:pPr>
      <w:r>
        <w:rPr>
          <w:rFonts w:ascii="Arial" w:hAnsi="Arial" w:cs="Arial" w:hint="cs"/>
          <w:b/>
          <w:bCs/>
          <w:sz w:val="22"/>
          <w:szCs w:val="22"/>
          <w:rtl/>
        </w:rPr>
        <w:t>^ מתי נהיה קפדניים יותר ומתי קפדניים פחות בעניינם? (מתי ניתן לסטות מהם?)</w:t>
      </w:r>
    </w:p>
    <w:p w:rsidR="0025709E" w:rsidRDefault="0025709E" w:rsidP="0025709E">
      <w:pPr>
        <w:spacing w:after="120"/>
        <w:rPr>
          <w:rFonts w:ascii="Arial" w:hAnsi="Arial" w:cs="Arial"/>
          <w:b/>
          <w:bCs/>
          <w:sz w:val="22"/>
          <w:szCs w:val="22"/>
          <w:rtl/>
        </w:rPr>
      </w:pPr>
      <w:r>
        <w:rPr>
          <w:rFonts w:ascii="Arial" w:hAnsi="Arial" w:cs="Arial" w:hint="cs"/>
          <w:b/>
          <w:bCs/>
          <w:sz w:val="22"/>
          <w:szCs w:val="22"/>
          <w:rtl/>
        </w:rPr>
        <w:t>=-=</w:t>
      </w:r>
    </w:p>
    <w:p w:rsidR="0025709E" w:rsidRDefault="0025709E" w:rsidP="0025709E">
      <w:pPr>
        <w:spacing w:after="120"/>
        <w:rPr>
          <w:rFonts w:ascii="Arial" w:hAnsi="Arial" w:cs="Arial"/>
          <w:b/>
          <w:bCs/>
          <w:sz w:val="22"/>
          <w:szCs w:val="22"/>
          <w:rtl/>
        </w:rPr>
      </w:pPr>
    </w:p>
    <w:p w:rsidR="0025709E" w:rsidRPr="00364AC8" w:rsidRDefault="0025709E" w:rsidP="0025709E">
      <w:pPr>
        <w:spacing w:after="120"/>
        <w:rPr>
          <w:rFonts w:ascii="Arial" w:hAnsi="Arial" w:cs="Arial"/>
          <w:b/>
          <w:bCs/>
          <w:sz w:val="22"/>
          <w:szCs w:val="22"/>
          <w:rtl/>
        </w:rPr>
      </w:pPr>
      <w:r>
        <w:rPr>
          <w:rFonts w:ascii="Arial" w:hAnsi="Arial" w:cs="Arial" w:hint="cs"/>
          <w:b/>
          <w:bCs/>
          <w:sz w:val="22"/>
          <w:szCs w:val="22"/>
          <w:rtl/>
        </w:rPr>
        <w:t>בפגישה זו נדון ב</w:t>
      </w:r>
      <w:r w:rsidRPr="00364AC8">
        <w:rPr>
          <w:rFonts w:ascii="Arial" w:hAnsi="Arial" w:cs="Arial"/>
          <w:b/>
          <w:bCs/>
          <w:sz w:val="22"/>
          <w:szCs w:val="22"/>
          <w:rtl/>
        </w:rPr>
        <w:t xml:space="preserve">דרישותיה של </w:t>
      </w:r>
      <w:r w:rsidRPr="00880BC2">
        <w:rPr>
          <w:rFonts w:ascii="Arial" w:hAnsi="Arial" w:cs="Arial"/>
          <w:b/>
          <w:bCs/>
          <w:sz w:val="22"/>
          <w:szCs w:val="22"/>
          <w:highlight w:val="yellow"/>
          <w:u w:val="single"/>
          <w:rtl/>
        </w:rPr>
        <w:t>חובת השמיעה/ זכות הטיעון</w:t>
      </w:r>
    </w:p>
    <w:p w:rsidR="0025709E" w:rsidRPr="00364AC8" w:rsidRDefault="0025709E" w:rsidP="0025709E">
      <w:pPr>
        <w:rPr>
          <w:b/>
          <w:bCs/>
          <w:sz w:val="22"/>
          <w:szCs w:val="22"/>
          <w:rtl/>
        </w:rPr>
      </w:pPr>
      <w:r w:rsidRPr="00364AC8">
        <w:rPr>
          <w:rFonts w:hint="cs"/>
          <w:sz w:val="22"/>
          <w:szCs w:val="22"/>
          <w:rtl/>
        </w:rPr>
        <w:tab/>
      </w:r>
      <w:r w:rsidRPr="00880BC2">
        <w:rPr>
          <w:rFonts w:hint="cs"/>
          <w:b/>
          <w:bCs/>
          <w:i/>
          <w:iCs/>
          <w:sz w:val="22"/>
          <w:szCs w:val="22"/>
          <w:rtl/>
        </w:rPr>
        <w:t>הרציונלים</w:t>
      </w:r>
      <w:r w:rsidRPr="00364AC8">
        <w:rPr>
          <w:rFonts w:hint="cs"/>
          <w:b/>
          <w:bCs/>
          <w:sz w:val="22"/>
          <w:szCs w:val="22"/>
          <w:rtl/>
        </w:rPr>
        <w:t xml:space="preserve"> שביסוד החובה</w:t>
      </w:r>
      <w:r>
        <w:rPr>
          <w:rFonts w:hint="cs"/>
          <w:b/>
          <w:bCs/>
          <w:sz w:val="22"/>
          <w:szCs w:val="22"/>
          <w:rtl/>
        </w:rPr>
        <w:t xml:space="preserve"> הזו</w:t>
      </w:r>
      <w:r w:rsidRPr="00364AC8">
        <w:rPr>
          <w:rFonts w:hint="cs"/>
          <w:b/>
          <w:bCs/>
          <w:sz w:val="22"/>
          <w:szCs w:val="22"/>
          <w:rtl/>
        </w:rPr>
        <w:t xml:space="preserve"> </w:t>
      </w:r>
      <w:r w:rsidRPr="00364AC8">
        <w:rPr>
          <w:b/>
          <w:bCs/>
          <w:sz w:val="22"/>
          <w:szCs w:val="22"/>
          <w:rtl/>
        </w:rPr>
        <w:t>–</w:t>
      </w:r>
      <w:r w:rsidRPr="00364AC8">
        <w:rPr>
          <w:rFonts w:hint="cs"/>
          <w:b/>
          <w:bCs/>
          <w:sz w:val="22"/>
          <w:szCs w:val="22"/>
          <w:rtl/>
        </w:rPr>
        <w:t xml:space="preserve"> </w:t>
      </w:r>
    </w:p>
    <w:p w:rsidR="0025709E" w:rsidRPr="00364AC8" w:rsidRDefault="0025709E" w:rsidP="0025709E">
      <w:pPr>
        <w:ind w:left="2160" w:hanging="720"/>
        <w:rPr>
          <w:sz w:val="22"/>
          <w:szCs w:val="22"/>
          <w:rtl/>
        </w:rPr>
      </w:pPr>
      <w:r w:rsidRPr="00364AC8">
        <w:rPr>
          <w:rFonts w:hint="cs"/>
          <w:sz w:val="22"/>
          <w:szCs w:val="22"/>
          <w:rtl/>
        </w:rPr>
        <w:t xml:space="preserve">היגזרותה </w:t>
      </w:r>
      <w:r w:rsidRPr="00AC1660">
        <w:rPr>
          <w:rFonts w:hint="cs"/>
          <w:b/>
          <w:bCs/>
          <w:sz w:val="22"/>
          <w:szCs w:val="22"/>
          <w:rtl/>
        </w:rPr>
        <w:t>מדרישת ההגינות</w:t>
      </w:r>
      <w:r w:rsidRPr="00364AC8">
        <w:rPr>
          <w:rFonts w:hint="cs"/>
          <w:sz w:val="22"/>
          <w:szCs w:val="22"/>
          <w:rtl/>
        </w:rPr>
        <w:t xml:space="preserve">: הנכונות </w:t>
      </w:r>
      <w:r>
        <w:rPr>
          <w:rFonts w:hint="cs"/>
          <w:sz w:val="22"/>
          <w:szCs w:val="22"/>
          <w:rtl/>
        </w:rPr>
        <w:t xml:space="preserve">של הרשות להקשיב, לשקול שוב, </w:t>
      </w:r>
      <w:r w:rsidRPr="00364AC8">
        <w:rPr>
          <w:rFonts w:hint="cs"/>
          <w:sz w:val="22"/>
          <w:szCs w:val="22"/>
          <w:rtl/>
        </w:rPr>
        <w:t>להשתכנע; מתן הזדמנות נאותה ל</w:t>
      </w:r>
      <w:r>
        <w:rPr>
          <w:rFonts w:hint="cs"/>
          <w:sz w:val="22"/>
          <w:szCs w:val="22"/>
          <w:rtl/>
        </w:rPr>
        <w:t>אדם הצפוי להיפגע, ל</w:t>
      </w:r>
      <w:r w:rsidRPr="00364AC8">
        <w:rPr>
          <w:rFonts w:hint="cs"/>
          <w:sz w:val="22"/>
          <w:szCs w:val="22"/>
          <w:rtl/>
        </w:rPr>
        <w:t>הגיב, להשמיע</w:t>
      </w:r>
      <w:r>
        <w:rPr>
          <w:rFonts w:hint="cs"/>
          <w:sz w:val="22"/>
          <w:szCs w:val="22"/>
          <w:rtl/>
        </w:rPr>
        <w:t>, להפריך טענות, להעמיד דברים על דיוקם,</w:t>
      </w:r>
      <w:r w:rsidRPr="00364AC8">
        <w:rPr>
          <w:rFonts w:hint="cs"/>
          <w:sz w:val="22"/>
          <w:szCs w:val="22"/>
          <w:rtl/>
        </w:rPr>
        <w:t xml:space="preserve"> ולנסות לשכנע</w:t>
      </w:r>
      <w:r>
        <w:rPr>
          <w:rFonts w:hint="cs"/>
          <w:sz w:val="22"/>
          <w:szCs w:val="22"/>
          <w:rtl/>
        </w:rPr>
        <w:t>;</w:t>
      </w:r>
    </w:p>
    <w:p w:rsidR="0025709E" w:rsidRPr="00364AC8" w:rsidRDefault="0025709E" w:rsidP="0025709E">
      <w:pPr>
        <w:ind w:left="2160" w:hanging="720"/>
        <w:rPr>
          <w:sz w:val="22"/>
          <w:szCs w:val="22"/>
          <w:rtl/>
        </w:rPr>
      </w:pPr>
      <w:r w:rsidRPr="00364AC8">
        <w:rPr>
          <w:rFonts w:hint="cs"/>
          <w:sz w:val="22"/>
          <w:szCs w:val="22"/>
          <w:rtl/>
        </w:rPr>
        <w:t>היגזרותה</w:t>
      </w:r>
      <w:r>
        <w:rPr>
          <w:rFonts w:hint="cs"/>
          <w:sz w:val="22"/>
          <w:szCs w:val="22"/>
          <w:rtl/>
        </w:rPr>
        <w:t xml:space="preserve"> של חובה זו</w:t>
      </w:r>
      <w:r w:rsidRPr="00364AC8">
        <w:rPr>
          <w:rFonts w:hint="cs"/>
          <w:sz w:val="22"/>
          <w:szCs w:val="22"/>
          <w:rtl/>
        </w:rPr>
        <w:t xml:space="preserve"> </w:t>
      </w:r>
      <w:r w:rsidRPr="00AC1660">
        <w:rPr>
          <w:rFonts w:hint="cs"/>
          <w:b/>
          <w:bCs/>
          <w:sz w:val="22"/>
          <w:szCs w:val="22"/>
          <w:rtl/>
        </w:rPr>
        <w:t>גם מדרישותיה של היעילות</w:t>
      </w:r>
      <w:r w:rsidRPr="00364AC8">
        <w:rPr>
          <w:rFonts w:hint="cs"/>
          <w:sz w:val="22"/>
          <w:szCs w:val="22"/>
          <w:rtl/>
        </w:rPr>
        <w:t>: הצורך לקבל החלטות על בסיס תשתית עובדתית מקיפה ככל האפשר</w:t>
      </w:r>
      <w:r>
        <w:rPr>
          <w:rFonts w:hint="cs"/>
          <w:sz w:val="22"/>
          <w:szCs w:val="22"/>
          <w:rtl/>
        </w:rPr>
        <w:t>;</w:t>
      </w:r>
    </w:p>
    <w:p w:rsidR="0025709E" w:rsidRPr="00364AC8" w:rsidRDefault="0025709E" w:rsidP="0025709E">
      <w:pPr>
        <w:spacing w:after="120"/>
        <w:ind w:left="1440"/>
        <w:rPr>
          <w:sz w:val="22"/>
          <w:szCs w:val="22"/>
          <w:rtl/>
        </w:rPr>
      </w:pPr>
      <w:r>
        <w:rPr>
          <w:rFonts w:hint="cs"/>
          <w:sz w:val="22"/>
          <w:szCs w:val="22"/>
          <w:rtl/>
        </w:rPr>
        <w:t xml:space="preserve">כמו כן, האינטרס החשוב של </w:t>
      </w:r>
      <w:r w:rsidRPr="00880BC2">
        <w:rPr>
          <w:rFonts w:hint="cs"/>
          <w:b/>
          <w:bCs/>
          <w:sz w:val="22"/>
          <w:szCs w:val="22"/>
          <w:rtl/>
        </w:rPr>
        <w:t>אמון הציבור</w:t>
      </w:r>
      <w:r>
        <w:rPr>
          <w:rFonts w:hint="cs"/>
          <w:sz w:val="22"/>
          <w:szCs w:val="22"/>
          <w:rtl/>
        </w:rPr>
        <w:t xml:space="preserve"> ברשויות השלטון</w:t>
      </w:r>
      <w:r w:rsidRPr="00364AC8">
        <w:rPr>
          <w:rFonts w:hint="cs"/>
          <w:sz w:val="22"/>
          <w:szCs w:val="22"/>
          <w:rtl/>
        </w:rPr>
        <w:t xml:space="preserve">: </w:t>
      </w:r>
      <w:r>
        <w:rPr>
          <w:rFonts w:hint="cs"/>
          <w:sz w:val="22"/>
          <w:szCs w:val="22"/>
          <w:rtl/>
        </w:rPr>
        <w:t xml:space="preserve">שמירה על הצדק ועל </w:t>
      </w:r>
      <w:r w:rsidRPr="00364AC8">
        <w:rPr>
          <w:rFonts w:hint="cs"/>
          <w:sz w:val="22"/>
          <w:szCs w:val="22"/>
          <w:rtl/>
        </w:rPr>
        <w:t>"מראית פני הצדק"</w:t>
      </w:r>
      <w:r>
        <w:rPr>
          <w:rFonts w:hint="cs"/>
          <w:sz w:val="22"/>
          <w:szCs w:val="22"/>
          <w:rtl/>
        </w:rPr>
        <w:t>.</w:t>
      </w:r>
    </w:p>
    <w:p w:rsidR="0025709E" w:rsidRPr="00364AC8" w:rsidRDefault="0025709E" w:rsidP="0025709E">
      <w:pPr>
        <w:rPr>
          <w:sz w:val="22"/>
          <w:szCs w:val="22"/>
          <w:rtl/>
        </w:rPr>
      </w:pPr>
      <w:r w:rsidRPr="00364AC8">
        <w:rPr>
          <w:rFonts w:hint="cs"/>
          <w:sz w:val="22"/>
          <w:szCs w:val="22"/>
          <w:rtl/>
        </w:rPr>
        <w:tab/>
      </w:r>
      <w:r w:rsidRPr="00880BC2">
        <w:rPr>
          <w:rFonts w:hint="cs"/>
          <w:b/>
          <w:bCs/>
          <w:i/>
          <w:iCs/>
          <w:sz w:val="22"/>
          <w:szCs w:val="22"/>
          <w:rtl/>
        </w:rPr>
        <w:t>חובות נגזרות</w:t>
      </w:r>
      <w:r w:rsidRPr="00364AC8">
        <w:rPr>
          <w:rFonts w:hint="cs"/>
          <w:b/>
          <w:bCs/>
          <w:sz w:val="22"/>
          <w:szCs w:val="22"/>
          <w:rtl/>
        </w:rPr>
        <w:t xml:space="preserve"> המוטלות על הרשות בהקשרו של השימוע</w:t>
      </w:r>
      <w:r w:rsidRPr="00364AC8">
        <w:rPr>
          <w:rFonts w:hint="cs"/>
          <w:sz w:val="22"/>
          <w:szCs w:val="22"/>
          <w:rtl/>
        </w:rPr>
        <w:t xml:space="preserve"> </w:t>
      </w:r>
      <w:r w:rsidRPr="00364AC8">
        <w:rPr>
          <w:sz w:val="22"/>
          <w:szCs w:val="22"/>
          <w:rtl/>
        </w:rPr>
        <w:t>–</w:t>
      </w:r>
      <w:r w:rsidRPr="00364AC8">
        <w:rPr>
          <w:rFonts w:hint="cs"/>
          <w:sz w:val="22"/>
          <w:szCs w:val="22"/>
          <w:rtl/>
        </w:rPr>
        <w:t xml:space="preserve"> </w:t>
      </w:r>
    </w:p>
    <w:p w:rsidR="0025709E" w:rsidRDefault="0025709E" w:rsidP="0025709E">
      <w:pPr>
        <w:ind w:left="1440"/>
        <w:rPr>
          <w:sz w:val="22"/>
          <w:szCs w:val="22"/>
          <w:rtl/>
        </w:rPr>
      </w:pPr>
      <w:r w:rsidRPr="00364AC8">
        <w:rPr>
          <w:rFonts w:hint="cs"/>
          <w:sz w:val="22"/>
          <w:szCs w:val="22"/>
          <w:rtl/>
        </w:rPr>
        <w:t xml:space="preserve">פירוט מקדים של הטענות </w:t>
      </w:r>
      <w:r>
        <w:rPr>
          <w:rFonts w:hint="cs"/>
          <w:sz w:val="22"/>
          <w:szCs w:val="22"/>
          <w:rtl/>
        </w:rPr>
        <w:t>שיש לרשות כ</w:t>
      </w:r>
      <w:r w:rsidRPr="00364AC8">
        <w:rPr>
          <w:rFonts w:hint="cs"/>
          <w:sz w:val="22"/>
          <w:szCs w:val="22"/>
          <w:rtl/>
        </w:rPr>
        <w:t>נגד האדם</w:t>
      </w:r>
      <w:r w:rsidRPr="00880BC2">
        <w:rPr>
          <w:rFonts w:hint="cs"/>
          <w:sz w:val="22"/>
          <w:szCs w:val="22"/>
          <w:rtl/>
        </w:rPr>
        <w:t xml:space="preserve"> </w:t>
      </w:r>
      <w:r>
        <w:rPr>
          <w:rFonts w:hint="cs"/>
          <w:sz w:val="22"/>
          <w:szCs w:val="22"/>
          <w:rtl/>
        </w:rPr>
        <w:t>(מתן</w:t>
      </w:r>
      <w:r w:rsidRPr="00364AC8">
        <w:rPr>
          <w:rFonts w:hint="cs"/>
          <w:sz w:val="22"/>
          <w:szCs w:val="22"/>
          <w:rtl/>
        </w:rPr>
        <w:t xml:space="preserve"> הנמקה</w:t>
      </w:r>
      <w:r>
        <w:rPr>
          <w:rFonts w:hint="cs"/>
          <w:sz w:val="22"/>
          <w:szCs w:val="22"/>
          <w:rtl/>
        </w:rPr>
        <w:t xml:space="preserve"> בסיסית);</w:t>
      </w:r>
    </w:p>
    <w:p w:rsidR="0025709E" w:rsidRPr="00364AC8" w:rsidRDefault="0025709E" w:rsidP="0025709E">
      <w:pPr>
        <w:spacing w:after="120"/>
        <w:ind w:left="1440"/>
        <w:rPr>
          <w:sz w:val="22"/>
          <w:szCs w:val="22"/>
          <w:rtl/>
        </w:rPr>
      </w:pPr>
      <w:r>
        <w:rPr>
          <w:rFonts w:hint="cs"/>
          <w:sz w:val="22"/>
          <w:szCs w:val="22"/>
          <w:rtl/>
        </w:rPr>
        <w:t xml:space="preserve">הצגת </w:t>
      </w:r>
      <w:r w:rsidRPr="00364AC8">
        <w:rPr>
          <w:rFonts w:hint="cs"/>
          <w:sz w:val="22"/>
          <w:szCs w:val="22"/>
          <w:rtl/>
        </w:rPr>
        <w:t xml:space="preserve">הראיות </w:t>
      </w:r>
      <w:r>
        <w:rPr>
          <w:rFonts w:hint="cs"/>
          <w:sz w:val="22"/>
          <w:szCs w:val="22"/>
          <w:rtl/>
        </w:rPr>
        <w:t>כ</w:t>
      </w:r>
      <w:r w:rsidRPr="00364AC8">
        <w:rPr>
          <w:rFonts w:hint="cs"/>
          <w:sz w:val="22"/>
          <w:szCs w:val="22"/>
          <w:rtl/>
        </w:rPr>
        <w:t xml:space="preserve">נגד </w:t>
      </w:r>
      <w:r>
        <w:rPr>
          <w:rFonts w:hint="cs"/>
          <w:sz w:val="22"/>
          <w:szCs w:val="22"/>
          <w:rtl/>
        </w:rPr>
        <w:t>האדם, כדי שיוכל להתעמת איתן ואולי להזימן.</w:t>
      </w:r>
      <w:r w:rsidRPr="00364AC8">
        <w:rPr>
          <w:rFonts w:hint="cs"/>
          <w:sz w:val="22"/>
          <w:szCs w:val="22"/>
          <w:rtl/>
        </w:rPr>
        <w:t xml:space="preserve"> </w:t>
      </w:r>
    </w:p>
    <w:p w:rsidR="0025709E" w:rsidRPr="00364AC8" w:rsidRDefault="0025709E" w:rsidP="0025709E">
      <w:pPr>
        <w:ind w:left="720"/>
        <w:rPr>
          <w:sz w:val="22"/>
          <w:szCs w:val="22"/>
          <w:rtl/>
        </w:rPr>
      </w:pPr>
      <w:r w:rsidRPr="00880BC2">
        <w:rPr>
          <w:rFonts w:hint="cs"/>
          <w:b/>
          <w:bCs/>
          <w:i/>
          <w:iCs/>
          <w:sz w:val="22"/>
          <w:szCs w:val="22"/>
          <w:rtl/>
        </w:rPr>
        <w:t>צורת</w:t>
      </w:r>
      <w:r w:rsidRPr="00880BC2">
        <w:rPr>
          <w:rFonts w:hint="cs"/>
          <w:b/>
          <w:bCs/>
          <w:sz w:val="22"/>
          <w:szCs w:val="22"/>
          <w:rtl/>
        </w:rPr>
        <w:t xml:space="preserve"> </w:t>
      </w:r>
      <w:r w:rsidRPr="00364AC8">
        <w:rPr>
          <w:rFonts w:hint="cs"/>
          <w:b/>
          <w:bCs/>
          <w:sz w:val="22"/>
          <w:szCs w:val="22"/>
          <w:rtl/>
        </w:rPr>
        <w:t>השימוע</w:t>
      </w:r>
      <w:r w:rsidRPr="00364AC8">
        <w:rPr>
          <w:rFonts w:hint="cs"/>
          <w:sz w:val="22"/>
          <w:szCs w:val="22"/>
          <w:rtl/>
        </w:rPr>
        <w:t xml:space="preserve">: </w:t>
      </w:r>
    </w:p>
    <w:p w:rsidR="0025709E" w:rsidRDefault="0025709E" w:rsidP="0025709E">
      <w:pPr>
        <w:ind w:left="1440"/>
        <w:rPr>
          <w:sz w:val="22"/>
          <w:szCs w:val="22"/>
          <w:rtl/>
        </w:rPr>
      </w:pPr>
      <w:r>
        <w:rPr>
          <w:rFonts w:hint="cs"/>
          <w:sz w:val="22"/>
          <w:szCs w:val="22"/>
          <w:rtl/>
        </w:rPr>
        <w:t xml:space="preserve">האם על השימוע להתקיים בהכרח </w:t>
      </w:r>
      <w:r w:rsidRPr="00364AC8">
        <w:rPr>
          <w:rFonts w:hint="cs"/>
          <w:sz w:val="22"/>
          <w:szCs w:val="22"/>
          <w:rtl/>
        </w:rPr>
        <w:t xml:space="preserve">בעל-פה או </w:t>
      </w:r>
      <w:r>
        <w:rPr>
          <w:rFonts w:hint="cs"/>
          <w:sz w:val="22"/>
          <w:szCs w:val="22"/>
          <w:rtl/>
        </w:rPr>
        <w:t xml:space="preserve">שמא </w:t>
      </w:r>
      <w:r w:rsidRPr="00364AC8">
        <w:rPr>
          <w:rFonts w:hint="cs"/>
          <w:sz w:val="22"/>
          <w:szCs w:val="22"/>
          <w:rtl/>
        </w:rPr>
        <w:t>ניתן להסתפק בכתב?</w:t>
      </w:r>
      <w:r>
        <w:rPr>
          <w:rFonts w:hint="cs"/>
          <w:sz w:val="22"/>
          <w:szCs w:val="22"/>
          <w:rtl/>
        </w:rPr>
        <w:t xml:space="preserve"> </w:t>
      </w:r>
    </w:p>
    <w:p w:rsidR="0025709E" w:rsidRDefault="0025709E" w:rsidP="0025709E">
      <w:pPr>
        <w:ind w:left="1440"/>
        <w:rPr>
          <w:sz w:val="22"/>
          <w:szCs w:val="22"/>
          <w:rtl/>
        </w:rPr>
      </w:pPr>
      <w:r w:rsidRPr="00364AC8">
        <w:rPr>
          <w:rFonts w:hint="cs"/>
          <w:sz w:val="22"/>
          <w:szCs w:val="22"/>
          <w:rtl/>
        </w:rPr>
        <w:t>ה</w:t>
      </w:r>
      <w:r>
        <w:rPr>
          <w:rFonts w:hint="cs"/>
          <w:sz w:val="22"/>
          <w:szCs w:val="22"/>
          <w:rtl/>
        </w:rPr>
        <w:t>יש זכות ל</w:t>
      </w:r>
      <w:r w:rsidRPr="00364AC8">
        <w:rPr>
          <w:rFonts w:hint="cs"/>
          <w:sz w:val="22"/>
          <w:szCs w:val="22"/>
          <w:rtl/>
        </w:rPr>
        <w:t>ייצוג עו"ד?</w:t>
      </w:r>
      <w:r>
        <w:rPr>
          <w:rFonts w:hint="cs"/>
          <w:sz w:val="22"/>
          <w:szCs w:val="22"/>
          <w:rtl/>
        </w:rPr>
        <w:t xml:space="preserve"> </w:t>
      </w:r>
    </w:p>
    <w:p w:rsidR="0025709E" w:rsidRPr="00364AC8" w:rsidRDefault="0025709E" w:rsidP="0025709E">
      <w:pPr>
        <w:ind w:left="1440"/>
        <w:rPr>
          <w:sz w:val="22"/>
          <w:szCs w:val="22"/>
          <w:rtl/>
        </w:rPr>
      </w:pPr>
      <w:r>
        <w:rPr>
          <w:rFonts w:hint="cs"/>
          <w:sz w:val="22"/>
          <w:szCs w:val="22"/>
          <w:rtl/>
        </w:rPr>
        <w:t xml:space="preserve">היש יכולת להשמעת </w:t>
      </w:r>
      <w:r w:rsidRPr="00364AC8">
        <w:rPr>
          <w:rFonts w:hint="cs"/>
          <w:sz w:val="22"/>
          <w:szCs w:val="22"/>
          <w:rtl/>
        </w:rPr>
        <w:t>עדים</w:t>
      </w:r>
      <w:r>
        <w:rPr>
          <w:rFonts w:hint="cs"/>
          <w:sz w:val="22"/>
          <w:szCs w:val="22"/>
          <w:rtl/>
        </w:rPr>
        <w:t>, המצאת ראיות</w:t>
      </w:r>
      <w:r w:rsidRPr="00364AC8">
        <w:rPr>
          <w:rFonts w:hint="cs"/>
          <w:sz w:val="22"/>
          <w:szCs w:val="22"/>
          <w:rtl/>
        </w:rPr>
        <w:t>?</w:t>
      </w:r>
      <w:r>
        <w:rPr>
          <w:rFonts w:hint="cs"/>
          <w:sz w:val="22"/>
          <w:szCs w:val="22"/>
          <w:rtl/>
        </w:rPr>
        <w:t xml:space="preserve"> ועוד.</w:t>
      </w:r>
    </w:p>
    <w:p w:rsidR="0025709E" w:rsidRPr="00364AC8" w:rsidRDefault="0025709E" w:rsidP="0025709E">
      <w:pPr>
        <w:ind w:left="2160" w:hanging="720"/>
        <w:rPr>
          <w:sz w:val="22"/>
          <w:szCs w:val="22"/>
          <w:rtl/>
        </w:rPr>
      </w:pPr>
      <w:r w:rsidRPr="00364AC8">
        <w:rPr>
          <w:rFonts w:hint="cs"/>
          <w:b/>
          <w:bCs/>
          <w:sz w:val="22"/>
          <w:szCs w:val="22"/>
          <w:rtl/>
        </w:rPr>
        <w:t xml:space="preserve">עיתוי </w:t>
      </w:r>
      <w:r w:rsidRPr="00364AC8">
        <w:rPr>
          <w:rFonts w:hint="cs"/>
          <w:sz w:val="22"/>
          <w:szCs w:val="22"/>
          <w:rtl/>
        </w:rPr>
        <w:t xml:space="preserve">השימוע: ביצוע החובה </w:t>
      </w:r>
      <w:r>
        <w:rPr>
          <w:rFonts w:hint="cs"/>
          <w:sz w:val="22"/>
          <w:szCs w:val="22"/>
          <w:rtl/>
        </w:rPr>
        <w:t xml:space="preserve">על ידי הרשות, האם בהכרח </w:t>
      </w:r>
      <w:r w:rsidRPr="00364AC8">
        <w:rPr>
          <w:rFonts w:hint="cs"/>
          <w:sz w:val="22"/>
          <w:szCs w:val="22"/>
          <w:rtl/>
        </w:rPr>
        <w:t xml:space="preserve">לפני ההחלטה או </w:t>
      </w:r>
      <w:r>
        <w:rPr>
          <w:rFonts w:hint="cs"/>
          <w:sz w:val="22"/>
          <w:szCs w:val="22"/>
          <w:rtl/>
        </w:rPr>
        <w:t xml:space="preserve">שמא אפשר לעיתים גם </w:t>
      </w:r>
      <w:r w:rsidRPr="00364AC8">
        <w:rPr>
          <w:rFonts w:hint="cs"/>
          <w:sz w:val="22"/>
          <w:szCs w:val="22"/>
          <w:rtl/>
        </w:rPr>
        <w:t>לאחריה</w:t>
      </w:r>
      <w:r>
        <w:rPr>
          <w:rFonts w:hint="cs"/>
          <w:sz w:val="22"/>
          <w:szCs w:val="22"/>
          <w:rtl/>
        </w:rPr>
        <w:t xml:space="preserve"> (שימוע מאוחר)</w:t>
      </w:r>
      <w:r w:rsidRPr="00364AC8">
        <w:rPr>
          <w:rFonts w:hint="cs"/>
          <w:sz w:val="22"/>
          <w:szCs w:val="22"/>
          <w:rtl/>
        </w:rPr>
        <w:t>?</w:t>
      </w:r>
    </w:p>
    <w:p w:rsidR="0025709E" w:rsidRPr="00364AC8" w:rsidRDefault="0025709E" w:rsidP="0025709E">
      <w:pPr>
        <w:ind w:left="1440"/>
        <w:rPr>
          <w:sz w:val="22"/>
          <w:szCs w:val="22"/>
          <w:rtl/>
        </w:rPr>
      </w:pPr>
      <w:r>
        <w:rPr>
          <w:rFonts w:hint="cs"/>
          <w:b/>
          <w:bCs/>
          <w:sz w:val="22"/>
          <w:szCs w:val="22"/>
          <w:rtl/>
        </w:rPr>
        <w:t xml:space="preserve">על מי </w:t>
      </w:r>
      <w:r w:rsidRPr="00364AC8">
        <w:rPr>
          <w:rFonts w:hint="cs"/>
          <w:b/>
          <w:bCs/>
          <w:sz w:val="22"/>
          <w:szCs w:val="22"/>
          <w:rtl/>
        </w:rPr>
        <w:t>נטל השכנוע</w:t>
      </w:r>
      <w:r w:rsidRPr="00364AC8">
        <w:rPr>
          <w:rFonts w:hint="cs"/>
          <w:sz w:val="22"/>
          <w:szCs w:val="22"/>
          <w:rtl/>
        </w:rPr>
        <w:t xml:space="preserve"> ב</w:t>
      </w:r>
      <w:r>
        <w:rPr>
          <w:rFonts w:hint="cs"/>
          <w:sz w:val="22"/>
          <w:szCs w:val="22"/>
          <w:rtl/>
        </w:rPr>
        <w:t xml:space="preserve">עת </w:t>
      </w:r>
      <w:r w:rsidRPr="00364AC8">
        <w:rPr>
          <w:rFonts w:hint="cs"/>
          <w:b/>
          <w:bCs/>
          <w:sz w:val="22"/>
          <w:szCs w:val="22"/>
          <w:rtl/>
        </w:rPr>
        <w:t>שימוע מאוחר</w:t>
      </w:r>
      <w:r>
        <w:rPr>
          <w:rFonts w:hint="cs"/>
          <w:b/>
          <w:bCs/>
          <w:sz w:val="22"/>
          <w:szCs w:val="22"/>
          <w:rtl/>
        </w:rPr>
        <w:t>?</w:t>
      </w:r>
      <w:r w:rsidRPr="00364AC8">
        <w:rPr>
          <w:rFonts w:hint="cs"/>
          <w:sz w:val="22"/>
          <w:szCs w:val="22"/>
          <w:rtl/>
        </w:rPr>
        <w:t xml:space="preserve"> (פס"ד </w:t>
      </w:r>
      <w:r w:rsidRPr="00364AC8">
        <w:rPr>
          <w:rFonts w:hint="cs"/>
          <w:b/>
          <w:bCs/>
          <w:sz w:val="22"/>
          <w:szCs w:val="22"/>
          <w:rtl/>
        </w:rPr>
        <w:t>באקי</w:t>
      </w:r>
      <w:r w:rsidRPr="00364AC8">
        <w:rPr>
          <w:rFonts w:hint="cs"/>
          <w:sz w:val="22"/>
          <w:szCs w:val="22"/>
          <w:rtl/>
        </w:rPr>
        <w:t>)</w:t>
      </w:r>
    </w:p>
    <w:p w:rsidR="0025709E" w:rsidRDefault="0025709E" w:rsidP="0025709E">
      <w:pPr>
        <w:rPr>
          <w:sz w:val="22"/>
          <w:szCs w:val="22"/>
          <w:rtl/>
        </w:rPr>
      </w:pPr>
      <w:r w:rsidRPr="00364AC8">
        <w:rPr>
          <w:rFonts w:hint="cs"/>
          <w:b/>
          <w:bCs/>
          <w:sz w:val="22"/>
          <w:szCs w:val="22"/>
          <w:rtl/>
        </w:rPr>
        <w:t>=-=</w:t>
      </w:r>
    </w:p>
    <w:p w:rsidR="0025709E" w:rsidRDefault="0025709E" w:rsidP="0025709E">
      <w:pPr>
        <w:pStyle w:val="BodyText"/>
        <w:spacing w:line="240" w:lineRule="auto"/>
        <w:ind w:left="-686"/>
        <w:jc w:val="left"/>
        <w:rPr>
          <w:b/>
          <w:bCs/>
          <w:szCs w:val="22"/>
          <w:rtl/>
        </w:rPr>
      </w:pPr>
    </w:p>
    <w:p w:rsidR="0025709E" w:rsidRPr="007432EC" w:rsidRDefault="0025709E" w:rsidP="0025709E">
      <w:pPr>
        <w:pStyle w:val="BodyText"/>
        <w:spacing w:after="120" w:line="240" w:lineRule="auto"/>
        <w:ind w:left="720" w:hanging="720"/>
        <w:rPr>
          <w:rFonts w:ascii="Arial" w:hAnsi="Arial" w:cs="Arial"/>
          <w:b/>
          <w:bCs/>
          <w:szCs w:val="22"/>
          <w:rtl/>
        </w:rPr>
      </w:pPr>
      <w:r w:rsidRPr="007432EC">
        <w:rPr>
          <w:rFonts w:ascii="Arial" w:hAnsi="Arial" w:cs="Arial"/>
          <w:b/>
          <w:bCs/>
          <w:szCs w:val="22"/>
          <w:rtl/>
        </w:rPr>
        <w:t>מהם המשתנים המשפיעים על מידת התובענות/ קפדנות בשמירה על</w:t>
      </w:r>
      <w:r>
        <w:rPr>
          <w:rFonts w:ascii="Arial" w:hAnsi="Arial" w:cs="Arial" w:hint="cs"/>
          <w:b/>
          <w:bCs/>
          <w:szCs w:val="22"/>
          <w:rtl/>
        </w:rPr>
        <w:t xml:space="preserve"> כללי הצדק הטבעי</w:t>
      </w:r>
      <w:r w:rsidRPr="007432EC">
        <w:rPr>
          <w:rFonts w:ascii="Arial" w:hAnsi="Arial" w:cs="Arial"/>
          <w:b/>
          <w:bCs/>
          <w:szCs w:val="22"/>
          <w:rtl/>
        </w:rPr>
        <w:t xml:space="preserve"> על ידי בתי המשפט? </w:t>
      </w:r>
    </w:p>
    <w:p w:rsidR="0025709E" w:rsidRPr="00A4618D" w:rsidRDefault="0025709E" w:rsidP="0025709E">
      <w:pPr>
        <w:pStyle w:val="BodyText"/>
        <w:spacing w:line="240" w:lineRule="auto"/>
        <w:ind w:left="1440" w:hanging="720"/>
        <w:rPr>
          <w:b/>
          <w:bCs/>
          <w:sz w:val="20"/>
          <w:szCs w:val="20"/>
          <w:rtl/>
        </w:rPr>
      </w:pPr>
      <w:r w:rsidRPr="00A4618D">
        <w:rPr>
          <w:rFonts w:hint="cs"/>
          <w:b/>
          <w:bCs/>
          <w:sz w:val="20"/>
          <w:szCs w:val="20"/>
          <w:rtl/>
        </w:rPr>
        <w:t xml:space="preserve">[בין שמדובר במשתנים המשפיעים במישור הפעלתו של כלל צדק טבעי כזה או אחר, ובין </w:t>
      </w:r>
      <w:r>
        <w:rPr>
          <w:rFonts w:hint="cs"/>
          <w:b/>
          <w:bCs/>
          <w:sz w:val="20"/>
          <w:szCs w:val="20"/>
          <w:rtl/>
        </w:rPr>
        <w:t xml:space="preserve">אלו </w:t>
      </w:r>
      <w:r w:rsidRPr="00A4618D">
        <w:rPr>
          <w:rFonts w:hint="cs"/>
          <w:b/>
          <w:bCs/>
          <w:sz w:val="20"/>
          <w:szCs w:val="20"/>
          <w:rtl/>
        </w:rPr>
        <w:t xml:space="preserve">המשפיעים על מכלול כללי הצדק הטבעי]. </w:t>
      </w:r>
    </w:p>
    <w:p w:rsidR="0025709E" w:rsidRPr="00A4618D" w:rsidRDefault="0025709E" w:rsidP="0025709E">
      <w:pPr>
        <w:pStyle w:val="BodyText"/>
        <w:spacing w:line="240" w:lineRule="auto"/>
        <w:ind w:left="-686"/>
        <w:jc w:val="left"/>
        <w:rPr>
          <w:sz w:val="20"/>
          <w:szCs w:val="20"/>
          <w:rtl/>
        </w:rPr>
      </w:pPr>
    </w:p>
    <w:p w:rsidR="0025709E" w:rsidRPr="00A4618D" w:rsidRDefault="0025709E" w:rsidP="0025709E">
      <w:pPr>
        <w:pStyle w:val="BodyText"/>
        <w:spacing w:line="240" w:lineRule="auto"/>
        <w:rPr>
          <w:sz w:val="20"/>
          <w:szCs w:val="20"/>
          <w:rtl/>
        </w:rPr>
      </w:pPr>
      <w:r w:rsidRPr="00A4618D">
        <w:rPr>
          <w:rFonts w:hint="cs"/>
          <w:sz w:val="20"/>
          <w:szCs w:val="20"/>
          <w:rtl/>
        </w:rPr>
        <w:t xml:space="preserve">1. </w:t>
      </w:r>
      <w:r w:rsidRPr="001C2817">
        <w:rPr>
          <w:sz w:val="20"/>
          <w:szCs w:val="20"/>
          <w:highlight w:val="yellow"/>
          <w:rtl/>
        </w:rPr>
        <w:t xml:space="preserve">השפעת המשתנה של </w:t>
      </w:r>
      <w:r w:rsidRPr="001B403F">
        <w:rPr>
          <w:b/>
          <w:bCs/>
          <w:sz w:val="20"/>
          <w:szCs w:val="20"/>
          <w:highlight w:val="yellow"/>
          <w:rtl/>
        </w:rPr>
        <w:t>סוג הסמכות</w:t>
      </w:r>
      <w:r>
        <w:rPr>
          <w:rFonts w:hint="cs"/>
          <w:sz w:val="20"/>
          <w:szCs w:val="20"/>
          <w:highlight w:val="yellow"/>
          <w:rtl/>
        </w:rPr>
        <w:t>: האם</w:t>
      </w:r>
      <w:r w:rsidRPr="001C2817">
        <w:rPr>
          <w:sz w:val="20"/>
          <w:szCs w:val="20"/>
          <w:highlight w:val="yellow"/>
          <w:rtl/>
        </w:rPr>
        <w:t xml:space="preserve"> סמכות </w:t>
      </w:r>
      <w:r w:rsidRPr="001C2817">
        <w:rPr>
          <w:rFonts w:hint="cs"/>
          <w:sz w:val="20"/>
          <w:szCs w:val="20"/>
          <w:highlight w:val="yellow"/>
          <w:rtl/>
        </w:rPr>
        <w:t>מינהלית-</w:t>
      </w:r>
      <w:r w:rsidRPr="001C2817">
        <w:rPr>
          <w:sz w:val="20"/>
          <w:szCs w:val="20"/>
          <w:highlight w:val="yellow"/>
          <w:rtl/>
        </w:rPr>
        <w:t xml:space="preserve">תחיקתית, </w:t>
      </w:r>
      <w:r w:rsidRPr="001C2817">
        <w:rPr>
          <w:rFonts w:hint="cs"/>
          <w:sz w:val="20"/>
          <w:szCs w:val="20"/>
          <w:highlight w:val="yellow"/>
          <w:rtl/>
        </w:rPr>
        <w:t>מינהלית-</w:t>
      </w:r>
      <w:r w:rsidRPr="001C2817">
        <w:rPr>
          <w:sz w:val="20"/>
          <w:szCs w:val="20"/>
          <w:highlight w:val="yellow"/>
          <w:rtl/>
        </w:rPr>
        <w:t>שיפוטית</w:t>
      </w:r>
      <w:r w:rsidRPr="001C2817">
        <w:rPr>
          <w:rFonts w:hint="cs"/>
          <w:sz w:val="20"/>
          <w:szCs w:val="20"/>
          <w:highlight w:val="yellow"/>
          <w:rtl/>
        </w:rPr>
        <w:t>/ מעין-שיפוטית</w:t>
      </w:r>
      <w:r w:rsidRPr="001C2817">
        <w:rPr>
          <w:sz w:val="20"/>
          <w:szCs w:val="20"/>
          <w:highlight w:val="yellow"/>
          <w:rtl/>
        </w:rPr>
        <w:t>, או שמא מינהלית-ביצועית</w:t>
      </w:r>
      <w:r w:rsidRPr="001C2817">
        <w:rPr>
          <w:rFonts w:hint="cs"/>
          <w:sz w:val="20"/>
          <w:szCs w:val="20"/>
          <w:highlight w:val="yellow"/>
          <w:rtl/>
        </w:rPr>
        <w:t>.</w:t>
      </w:r>
      <w:r>
        <w:rPr>
          <w:rFonts w:hint="cs"/>
          <w:sz w:val="20"/>
          <w:szCs w:val="20"/>
          <w:rtl/>
        </w:rPr>
        <w:t xml:space="preserve"> </w:t>
      </w:r>
    </w:p>
    <w:p w:rsidR="0025709E" w:rsidRPr="00A4618D" w:rsidRDefault="0025709E" w:rsidP="0025709E">
      <w:pPr>
        <w:pStyle w:val="BodyText"/>
        <w:spacing w:after="120" w:line="240" w:lineRule="auto"/>
        <w:ind w:left="720"/>
        <w:rPr>
          <w:sz w:val="20"/>
          <w:szCs w:val="20"/>
          <w:rtl/>
        </w:rPr>
      </w:pPr>
      <w:r w:rsidRPr="001C2817">
        <w:rPr>
          <w:rFonts w:hint="cs"/>
          <w:sz w:val="20"/>
          <w:szCs w:val="20"/>
          <w:highlight w:val="yellow"/>
          <w:rtl/>
        </w:rPr>
        <w:t>ב</w:t>
      </w:r>
      <w:r>
        <w:rPr>
          <w:rFonts w:hint="cs"/>
          <w:sz w:val="20"/>
          <w:szCs w:val="20"/>
          <w:highlight w:val="yellow"/>
          <w:rtl/>
        </w:rPr>
        <w:t>יחס ל</w:t>
      </w:r>
      <w:r w:rsidRPr="001C2817">
        <w:rPr>
          <w:rFonts w:hint="cs"/>
          <w:sz w:val="20"/>
          <w:szCs w:val="20"/>
          <w:highlight w:val="yellow"/>
          <w:rtl/>
        </w:rPr>
        <w:t>סמכות שיפוטית ומעין-שיפוטית</w:t>
      </w:r>
      <w:r w:rsidRPr="00A4618D">
        <w:rPr>
          <w:rFonts w:hint="cs"/>
          <w:sz w:val="20"/>
          <w:szCs w:val="20"/>
          <w:rtl/>
        </w:rPr>
        <w:t xml:space="preserve"> אנו מקפידים יותר על השמירה על כללי הצדק הטבעי [</w:t>
      </w:r>
      <w:r w:rsidRPr="00A4618D">
        <w:rPr>
          <w:rFonts w:hint="cs"/>
          <w:b/>
          <w:bCs/>
          <w:sz w:val="20"/>
          <w:szCs w:val="20"/>
          <w:rtl/>
        </w:rPr>
        <w:t>בן דוד</w:t>
      </w:r>
      <w:r w:rsidRPr="00A4618D">
        <w:rPr>
          <w:rFonts w:hint="cs"/>
          <w:sz w:val="20"/>
          <w:szCs w:val="20"/>
          <w:rtl/>
        </w:rPr>
        <w:t xml:space="preserve"> </w:t>
      </w:r>
      <w:r w:rsidRPr="00A4618D">
        <w:rPr>
          <w:sz w:val="20"/>
          <w:szCs w:val="20"/>
          <w:rtl/>
        </w:rPr>
        <w:t>–</w:t>
      </w:r>
      <w:r w:rsidRPr="00A4618D">
        <w:rPr>
          <w:rFonts w:hint="cs"/>
          <w:sz w:val="20"/>
          <w:szCs w:val="20"/>
          <w:rtl/>
        </w:rPr>
        <w:t xml:space="preserve"> ועדת החקירה על תרומות הדם של אנשים ממוצא אתיופי ומדיניות בנק הדם]</w:t>
      </w:r>
    </w:p>
    <w:p w:rsidR="0025709E" w:rsidRPr="00A4618D" w:rsidRDefault="0025709E" w:rsidP="0025709E">
      <w:pPr>
        <w:pStyle w:val="BodyText"/>
        <w:spacing w:after="60" w:line="240" w:lineRule="auto"/>
        <w:ind w:left="720"/>
        <w:rPr>
          <w:b/>
          <w:bCs/>
          <w:sz w:val="20"/>
          <w:szCs w:val="20"/>
          <w:rtl/>
        </w:rPr>
      </w:pPr>
      <w:r w:rsidRPr="001C2817">
        <w:rPr>
          <w:rFonts w:hint="cs"/>
          <w:b/>
          <w:bCs/>
          <w:sz w:val="20"/>
          <w:szCs w:val="20"/>
          <w:highlight w:val="yellow"/>
          <w:rtl/>
        </w:rPr>
        <w:t xml:space="preserve">האם קמה חובת שמיעה/ זכות טיעון </w:t>
      </w:r>
      <w:r>
        <w:rPr>
          <w:rFonts w:hint="cs"/>
          <w:b/>
          <w:bCs/>
          <w:sz w:val="20"/>
          <w:szCs w:val="20"/>
          <w:highlight w:val="yellow"/>
          <w:rtl/>
        </w:rPr>
        <w:t>של אדם, של ציבור, של חלקים מהציבור, למול הגוף המפעיל</w:t>
      </w:r>
      <w:r w:rsidRPr="001C2817">
        <w:rPr>
          <w:rFonts w:hint="cs"/>
          <w:b/>
          <w:bCs/>
          <w:sz w:val="20"/>
          <w:szCs w:val="20"/>
          <w:highlight w:val="yellow"/>
          <w:rtl/>
        </w:rPr>
        <w:t xml:space="preserve"> </w:t>
      </w:r>
      <w:r w:rsidRPr="001C2817">
        <w:rPr>
          <w:rFonts w:hint="cs"/>
          <w:b/>
          <w:bCs/>
          <w:i/>
          <w:iCs/>
          <w:sz w:val="20"/>
          <w:szCs w:val="20"/>
          <w:highlight w:val="yellow"/>
          <w:rtl/>
        </w:rPr>
        <w:t>סמכות תחיקתית</w:t>
      </w:r>
      <w:r w:rsidRPr="001C2817">
        <w:rPr>
          <w:rFonts w:hint="cs"/>
          <w:b/>
          <w:bCs/>
          <w:sz w:val="20"/>
          <w:szCs w:val="20"/>
          <w:highlight w:val="yellow"/>
          <w:rtl/>
        </w:rPr>
        <w:t>?</w:t>
      </w:r>
    </w:p>
    <w:p w:rsidR="0025709E" w:rsidRPr="00A4618D" w:rsidRDefault="0025709E" w:rsidP="0025709E">
      <w:pPr>
        <w:pStyle w:val="BodyText"/>
        <w:spacing w:line="240" w:lineRule="auto"/>
        <w:ind w:left="720"/>
        <w:rPr>
          <w:sz w:val="20"/>
          <w:szCs w:val="20"/>
          <w:rtl/>
        </w:rPr>
      </w:pPr>
      <w:r w:rsidRPr="00A4618D">
        <w:rPr>
          <w:rFonts w:hint="cs"/>
          <w:sz w:val="20"/>
          <w:szCs w:val="20"/>
          <w:rtl/>
        </w:rPr>
        <w:tab/>
        <w:t xml:space="preserve">בעניינה של </w:t>
      </w:r>
      <w:r w:rsidRPr="001C2817">
        <w:rPr>
          <w:rFonts w:hint="cs"/>
          <w:b/>
          <w:bCs/>
          <w:sz w:val="20"/>
          <w:szCs w:val="20"/>
          <w:rtl/>
        </w:rPr>
        <w:t>חקיקה ראשית</w:t>
      </w:r>
      <w:r w:rsidRPr="00A4618D">
        <w:rPr>
          <w:rFonts w:hint="cs"/>
          <w:sz w:val="20"/>
          <w:szCs w:val="20"/>
          <w:rtl/>
        </w:rPr>
        <w:t>?</w:t>
      </w:r>
    </w:p>
    <w:p w:rsidR="0025709E" w:rsidRPr="00A4618D" w:rsidRDefault="0025709E" w:rsidP="0025709E">
      <w:pPr>
        <w:pStyle w:val="BodyText"/>
        <w:spacing w:after="60" w:line="240" w:lineRule="auto"/>
        <w:ind w:left="2160"/>
        <w:rPr>
          <w:sz w:val="20"/>
          <w:szCs w:val="20"/>
          <w:rtl/>
        </w:rPr>
      </w:pPr>
      <w:r>
        <w:rPr>
          <w:rFonts w:hint="cs"/>
          <w:sz w:val="20"/>
          <w:szCs w:val="20"/>
          <w:rtl/>
        </w:rPr>
        <w:t>התשובה שלילית</w:t>
      </w:r>
      <w:r w:rsidRPr="00A4618D">
        <w:rPr>
          <w:rFonts w:hint="cs"/>
          <w:sz w:val="20"/>
          <w:szCs w:val="20"/>
          <w:rtl/>
        </w:rPr>
        <w:t xml:space="preserve"> </w:t>
      </w:r>
      <w:r w:rsidRPr="00A4618D">
        <w:rPr>
          <w:sz w:val="20"/>
          <w:szCs w:val="20"/>
          <w:rtl/>
        </w:rPr>
        <w:t>–</w:t>
      </w:r>
      <w:r w:rsidRPr="00A4618D">
        <w:rPr>
          <w:rFonts w:hint="cs"/>
          <w:sz w:val="20"/>
          <w:szCs w:val="20"/>
          <w:rtl/>
        </w:rPr>
        <w:t xml:space="preserve"> היותה של הכנסת ייצוגית והפרוצדורה לקבלת החקיקה מחדיר</w:t>
      </w:r>
      <w:r>
        <w:rPr>
          <w:rFonts w:hint="cs"/>
          <w:sz w:val="20"/>
          <w:szCs w:val="20"/>
          <w:rtl/>
        </w:rPr>
        <w:t>ות</w:t>
      </w:r>
      <w:r w:rsidRPr="00A4618D">
        <w:rPr>
          <w:rFonts w:hint="cs"/>
          <w:sz w:val="20"/>
          <w:szCs w:val="20"/>
          <w:rtl/>
        </w:rPr>
        <w:t xml:space="preserve"> אלמנטים מעין-'שימועיים'.</w:t>
      </w:r>
    </w:p>
    <w:p w:rsidR="0025709E" w:rsidRPr="00A4618D" w:rsidRDefault="0025709E" w:rsidP="0025709E">
      <w:pPr>
        <w:pStyle w:val="BodyText"/>
        <w:spacing w:line="240" w:lineRule="auto"/>
        <w:ind w:left="1440"/>
        <w:rPr>
          <w:sz w:val="20"/>
          <w:szCs w:val="20"/>
          <w:rtl/>
        </w:rPr>
      </w:pPr>
      <w:r w:rsidRPr="00A4618D">
        <w:rPr>
          <w:rFonts w:hint="cs"/>
          <w:sz w:val="20"/>
          <w:szCs w:val="20"/>
          <w:rtl/>
        </w:rPr>
        <w:t>ביחס ל</w:t>
      </w:r>
      <w:r w:rsidRPr="001C2817">
        <w:rPr>
          <w:rFonts w:hint="cs"/>
          <w:b/>
          <w:bCs/>
          <w:sz w:val="20"/>
          <w:szCs w:val="20"/>
          <w:rtl/>
        </w:rPr>
        <w:t>חקיקת משנה</w:t>
      </w:r>
      <w:r w:rsidRPr="00A4618D">
        <w:rPr>
          <w:rFonts w:hint="cs"/>
          <w:sz w:val="20"/>
          <w:szCs w:val="20"/>
          <w:rtl/>
        </w:rPr>
        <w:t>?</w:t>
      </w:r>
      <w:r>
        <w:rPr>
          <w:rFonts w:hint="cs"/>
          <w:sz w:val="20"/>
          <w:szCs w:val="20"/>
          <w:rtl/>
        </w:rPr>
        <w:t xml:space="preserve"> גם כאן לא מופיעה לרוב זכות שימוע, זאת משום כניסה של אלמנטים מעין-שימועיים אפשריים, כולל חובת היוועצות; ראו דוגמאות:</w:t>
      </w:r>
    </w:p>
    <w:p w:rsidR="0025709E" w:rsidRPr="00A4618D" w:rsidRDefault="0025709E" w:rsidP="0025709E">
      <w:pPr>
        <w:pStyle w:val="BodyText"/>
        <w:spacing w:line="240" w:lineRule="auto"/>
        <w:ind w:left="2880" w:hanging="720"/>
        <w:rPr>
          <w:sz w:val="20"/>
          <w:szCs w:val="20"/>
          <w:rtl/>
        </w:rPr>
      </w:pPr>
      <w:r>
        <w:rPr>
          <w:rFonts w:hint="cs"/>
          <w:sz w:val="20"/>
          <w:szCs w:val="20"/>
          <w:rtl/>
        </w:rPr>
        <w:t>א. מופיעה לעיתים התנייה של חקיקת משנה במעורבות של וועדה מוועדות הכנסת. המעורבות עשויה להיות בדרך של "היוועצות" של השר (או מחוקק משנה אחר) עם הוועדה, או בדרך תובענית יותר, של קבלת "אישור" הוועדה. שילוב כוחות זה גורם לכניסת ייצוגיות מכיוון הכנסת</w:t>
      </w:r>
      <w:r w:rsidRPr="00A4618D">
        <w:rPr>
          <w:rFonts w:hint="cs"/>
          <w:sz w:val="20"/>
          <w:szCs w:val="20"/>
          <w:rtl/>
        </w:rPr>
        <w:t>;</w:t>
      </w:r>
    </w:p>
    <w:p w:rsidR="0025709E" w:rsidRPr="00A4618D" w:rsidRDefault="0025709E" w:rsidP="0025709E">
      <w:pPr>
        <w:pStyle w:val="BodyText"/>
        <w:spacing w:line="240" w:lineRule="auto"/>
        <w:ind w:left="2880" w:hanging="720"/>
        <w:rPr>
          <w:sz w:val="20"/>
          <w:szCs w:val="20"/>
          <w:rtl/>
        </w:rPr>
      </w:pPr>
      <w:r>
        <w:rPr>
          <w:rFonts w:hint="cs"/>
          <w:sz w:val="20"/>
          <w:szCs w:val="20"/>
          <w:rtl/>
        </w:rPr>
        <w:t xml:space="preserve">ב. </w:t>
      </w:r>
      <w:r w:rsidRPr="00A4618D">
        <w:rPr>
          <w:rFonts w:hint="cs"/>
          <w:sz w:val="20"/>
          <w:szCs w:val="20"/>
          <w:rtl/>
        </w:rPr>
        <w:t>חוקי-עזר עירוניים מתקבלים על ידי מועצת הרשות המקומית (קרי</w:t>
      </w:r>
      <w:r>
        <w:rPr>
          <w:rFonts w:hint="cs"/>
          <w:sz w:val="20"/>
          <w:szCs w:val="20"/>
          <w:rtl/>
        </w:rPr>
        <w:t>,</w:t>
      </w:r>
      <w:r w:rsidRPr="00A4618D">
        <w:rPr>
          <w:rFonts w:hint="cs"/>
          <w:sz w:val="20"/>
          <w:szCs w:val="20"/>
          <w:rtl/>
        </w:rPr>
        <w:t xml:space="preserve"> בהליך המשתף את כלל חברי</w:t>
      </w:r>
      <w:r>
        <w:rPr>
          <w:rFonts w:hint="cs"/>
          <w:sz w:val="20"/>
          <w:szCs w:val="20"/>
          <w:rtl/>
        </w:rPr>
        <w:t>ה הנבחרים של</w:t>
      </w:r>
      <w:r w:rsidRPr="00A4618D">
        <w:rPr>
          <w:rFonts w:hint="cs"/>
          <w:sz w:val="20"/>
          <w:szCs w:val="20"/>
          <w:rtl/>
        </w:rPr>
        <w:t xml:space="preserve"> המועצה</w:t>
      </w:r>
      <w:r>
        <w:rPr>
          <w:rFonts w:hint="cs"/>
          <w:sz w:val="20"/>
          <w:szCs w:val="20"/>
          <w:rtl/>
        </w:rPr>
        <w:t>, בדומה לדיון והכרעה בכנסת</w:t>
      </w:r>
      <w:r w:rsidRPr="00A4618D">
        <w:rPr>
          <w:rFonts w:hint="cs"/>
          <w:sz w:val="20"/>
          <w:szCs w:val="20"/>
          <w:rtl/>
        </w:rPr>
        <w:t>);</w:t>
      </w:r>
    </w:p>
    <w:p w:rsidR="0025709E" w:rsidRDefault="0025709E" w:rsidP="0025709E">
      <w:pPr>
        <w:pStyle w:val="BodyText"/>
        <w:spacing w:line="240" w:lineRule="auto"/>
        <w:ind w:left="2880" w:hanging="720"/>
        <w:rPr>
          <w:sz w:val="20"/>
          <w:szCs w:val="20"/>
          <w:rtl/>
        </w:rPr>
      </w:pPr>
      <w:r>
        <w:rPr>
          <w:rFonts w:hint="cs"/>
          <w:sz w:val="20"/>
          <w:szCs w:val="20"/>
          <w:rtl/>
        </w:rPr>
        <w:t>ג. לעיתים</w:t>
      </w:r>
      <w:r w:rsidRPr="00A4618D">
        <w:rPr>
          <w:rFonts w:hint="cs"/>
          <w:sz w:val="20"/>
          <w:szCs w:val="20"/>
          <w:rtl/>
        </w:rPr>
        <w:t xml:space="preserve"> קובע </w:t>
      </w:r>
      <w:r>
        <w:rPr>
          <w:rFonts w:hint="cs"/>
          <w:sz w:val="20"/>
          <w:szCs w:val="20"/>
          <w:rtl/>
        </w:rPr>
        <w:t>החוק</w:t>
      </w:r>
      <w:r w:rsidRPr="00A4618D">
        <w:rPr>
          <w:rFonts w:hint="cs"/>
          <w:sz w:val="20"/>
          <w:szCs w:val="20"/>
          <w:rtl/>
        </w:rPr>
        <w:t xml:space="preserve"> </w:t>
      </w:r>
      <w:r w:rsidRPr="00593ADC">
        <w:rPr>
          <w:rFonts w:hint="cs"/>
          <w:b/>
          <w:bCs/>
          <w:sz w:val="20"/>
          <w:szCs w:val="20"/>
          <w:rtl/>
        </w:rPr>
        <w:t>חובת היוועצות</w:t>
      </w:r>
      <w:r w:rsidRPr="00A4618D">
        <w:rPr>
          <w:rFonts w:hint="cs"/>
          <w:sz w:val="20"/>
          <w:szCs w:val="20"/>
          <w:rtl/>
        </w:rPr>
        <w:t xml:space="preserve"> מקדימה עם גורמים רלבנטיים נוספים בעת תחיקת המשנה [פס"ד </w:t>
      </w:r>
      <w:r w:rsidRPr="00A4618D">
        <w:rPr>
          <w:rFonts w:hint="cs"/>
          <w:b/>
          <w:bCs/>
          <w:sz w:val="20"/>
          <w:szCs w:val="20"/>
          <w:rtl/>
        </w:rPr>
        <w:t>יקב הגולן</w:t>
      </w:r>
      <w:r w:rsidRPr="00A4618D">
        <w:rPr>
          <w:rFonts w:hint="cs"/>
          <w:sz w:val="20"/>
          <w:szCs w:val="20"/>
          <w:rtl/>
        </w:rPr>
        <w:t>]</w:t>
      </w:r>
      <w:r>
        <w:rPr>
          <w:rFonts w:hint="cs"/>
          <w:sz w:val="20"/>
          <w:szCs w:val="20"/>
          <w:rtl/>
        </w:rPr>
        <w:t xml:space="preserve"> או בעת פעולת מינהל מרכזית אחרת*</w:t>
      </w:r>
      <w:r w:rsidRPr="00A4618D">
        <w:rPr>
          <w:rFonts w:hint="cs"/>
          <w:sz w:val="20"/>
          <w:szCs w:val="20"/>
          <w:rtl/>
        </w:rPr>
        <w:t>;</w:t>
      </w:r>
      <w:r w:rsidRPr="00AD3260">
        <w:rPr>
          <w:rFonts w:hint="cs"/>
          <w:sz w:val="20"/>
          <w:szCs w:val="20"/>
          <w:rtl/>
        </w:rPr>
        <w:t xml:space="preserve"> </w:t>
      </w:r>
    </w:p>
    <w:p w:rsidR="0025709E" w:rsidRPr="00A4618D" w:rsidRDefault="0025709E" w:rsidP="0025709E">
      <w:pPr>
        <w:pStyle w:val="BodyText"/>
        <w:spacing w:line="240" w:lineRule="auto"/>
        <w:ind w:left="2880" w:hanging="720"/>
        <w:rPr>
          <w:sz w:val="20"/>
          <w:szCs w:val="20"/>
          <w:rtl/>
        </w:rPr>
      </w:pPr>
      <w:r>
        <w:rPr>
          <w:rFonts w:hint="cs"/>
          <w:sz w:val="20"/>
          <w:szCs w:val="20"/>
          <w:rtl/>
        </w:rPr>
        <w:t xml:space="preserve">ד. </w:t>
      </w:r>
      <w:r w:rsidRPr="00403492">
        <w:rPr>
          <w:rFonts w:hint="cs"/>
          <w:sz w:val="20"/>
          <w:szCs w:val="20"/>
          <w:rtl/>
        </w:rPr>
        <w:t xml:space="preserve">במקביל, </w:t>
      </w:r>
      <w:r>
        <w:rPr>
          <w:rFonts w:hint="cs"/>
          <w:sz w:val="20"/>
          <w:szCs w:val="20"/>
          <w:rtl/>
        </w:rPr>
        <w:t>ה</w:t>
      </w:r>
      <w:r w:rsidRPr="00403492">
        <w:rPr>
          <w:rFonts w:hint="cs"/>
          <w:sz w:val="20"/>
          <w:szCs w:val="20"/>
          <w:rtl/>
        </w:rPr>
        <w:t>יועץ המשפטי של ה</w:t>
      </w:r>
      <w:r>
        <w:rPr>
          <w:rFonts w:hint="cs"/>
          <w:sz w:val="20"/>
          <w:szCs w:val="20"/>
          <w:rtl/>
        </w:rPr>
        <w:t xml:space="preserve">רשות אמור להביע דעתו ביחס </w:t>
      </w:r>
      <w:r w:rsidRPr="00E2664F">
        <w:rPr>
          <w:rFonts w:hint="cs"/>
          <w:i/>
          <w:iCs/>
          <w:sz w:val="20"/>
          <w:szCs w:val="20"/>
          <w:rtl/>
        </w:rPr>
        <w:t>לחוקיותה</w:t>
      </w:r>
      <w:r w:rsidRPr="00403492">
        <w:rPr>
          <w:rFonts w:hint="cs"/>
          <w:sz w:val="20"/>
          <w:szCs w:val="20"/>
          <w:rtl/>
        </w:rPr>
        <w:t xml:space="preserve"> של חקיקת המשנה</w:t>
      </w:r>
      <w:r>
        <w:rPr>
          <w:rFonts w:hint="cs"/>
          <w:sz w:val="20"/>
          <w:szCs w:val="20"/>
          <w:rtl/>
        </w:rPr>
        <w:t xml:space="preserve"> או פעולת מינהל מרכזית אחרת [זאת </w:t>
      </w:r>
      <w:r w:rsidRPr="00403492">
        <w:rPr>
          <w:rFonts w:hint="cs"/>
          <w:sz w:val="20"/>
          <w:szCs w:val="20"/>
          <w:rtl/>
        </w:rPr>
        <w:t>להבדיל מתבונתה</w:t>
      </w:r>
      <w:r>
        <w:rPr>
          <w:rFonts w:hint="cs"/>
          <w:sz w:val="20"/>
          <w:szCs w:val="20"/>
          <w:rtl/>
        </w:rPr>
        <w:t>, כלומר מ</w:t>
      </w:r>
      <w:r w:rsidRPr="00403492">
        <w:rPr>
          <w:rFonts w:hint="cs"/>
          <w:sz w:val="20"/>
          <w:szCs w:val="20"/>
          <w:rtl/>
        </w:rPr>
        <w:t>השאלה עד כמה המדיניות המגובשת בה רצויה</w:t>
      </w:r>
      <w:r>
        <w:rPr>
          <w:rFonts w:hint="cs"/>
          <w:sz w:val="20"/>
          <w:szCs w:val="20"/>
          <w:rtl/>
        </w:rPr>
        <w:t>]</w:t>
      </w:r>
      <w:r w:rsidRPr="00403492">
        <w:rPr>
          <w:sz w:val="20"/>
          <w:szCs w:val="20"/>
          <w:rtl/>
        </w:rPr>
        <w:t>.</w:t>
      </w:r>
    </w:p>
    <w:p w:rsidR="0025709E" w:rsidRPr="00A4618D" w:rsidRDefault="0025709E" w:rsidP="0025709E">
      <w:pPr>
        <w:pStyle w:val="BodyText"/>
        <w:spacing w:after="120" w:line="240" w:lineRule="auto"/>
        <w:ind w:left="2880" w:hanging="720"/>
        <w:rPr>
          <w:sz w:val="20"/>
          <w:szCs w:val="20"/>
          <w:rtl/>
        </w:rPr>
      </w:pPr>
      <w:r w:rsidRPr="00A4618D">
        <w:rPr>
          <w:rFonts w:hint="cs"/>
          <w:sz w:val="20"/>
          <w:szCs w:val="20"/>
          <w:rtl/>
        </w:rPr>
        <w:t>[</w:t>
      </w:r>
      <w:r>
        <w:rPr>
          <w:rFonts w:hint="cs"/>
          <w:sz w:val="20"/>
          <w:szCs w:val="20"/>
          <w:rtl/>
        </w:rPr>
        <w:t>*</w:t>
      </w:r>
      <w:r w:rsidRPr="00A4618D">
        <w:rPr>
          <w:rFonts w:hint="cs"/>
          <w:sz w:val="20"/>
          <w:szCs w:val="20"/>
          <w:rtl/>
        </w:rPr>
        <w:t xml:space="preserve">חובת היוועצות מופיעה לעיתים גם ביחס להליכים המקדימים את התגבשותן של </w:t>
      </w:r>
      <w:r w:rsidRPr="00593ADC">
        <w:rPr>
          <w:rFonts w:hint="cs"/>
          <w:b/>
          <w:bCs/>
          <w:sz w:val="20"/>
          <w:szCs w:val="20"/>
          <w:rtl/>
        </w:rPr>
        <w:t>"פעולות מינהל",</w:t>
      </w:r>
      <w:r w:rsidRPr="00A4618D">
        <w:rPr>
          <w:rFonts w:hint="cs"/>
          <w:sz w:val="20"/>
          <w:szCs w:val="20"/>
          <w:rtl/>
        </w:rPr>
        <w:t xml:space="preserve"> ולא רק חקיקת משנה</w:t>
      </w:r>
      <w:r>
        <w:rPr>
          <w:rFonts w:hint="cs"/>
          <w:sz w:val="20"/>
          <w:szCs w:val="20"/>
          <w:rtl/>
        </w:rPr>
        <w:t xml:space="preserve">. כך למשל היא מופיעה בעניינן של </w:t>
      </w:r>
      <w:r w:rsidRPr="00A4618D">
        <w:rPr>
          <w:rFonts w:hint="cs"/>
          <w:sz w:val="20"/>
          <w:szCs w:val="20"/>
          <w:rtl/>
        </w:rPr>
        <w:t>פעולות דוגמת</w:t>
      </w:r>
      <w:r>
        <w:rPr>
          <w:rFonts w:hint="cs"/>
          <w:sz w:val="20"/>
          <w:szCs w:val="20"/>
          <w:rtl/>
        </w:rPr>
        <w:t xml:space="preserve"> כישורים נדרשים לצורך</w:t>
      </w:r>
      <w:r w:rsidRPr="00A4618D">
        <w:rPr>
          <w:rFonts w:hint="cs"/>
          <w:sz w:val="20"/>
          <w:szCs w:val="20"/>
          <w:rtl/>
        </w:rPr>
        <w:t xml:space="preserve"> מינויים לתפקידים חשובים שונים, </w:t>
      </w:r>
      <w:r>
        <w:rPr>
          <w:rFonts w:hint="cs"/>
          <w:sz w:val="20"/>
          <w:szCs w:val="20"/>
          <w:rtl/>
        </w:rPr>
        <w:t>אמות-מידה ל</w:t>
      </w:r>
      <w:r w:rsidRPr="00A4618D">
        <w:rPr>
          <w:rFonts w:hint="cs"/>
          <w:sz w:val="20"/>
          <w:szCs w:val="20"/>
          <w:rtl/>
        </w:rPr>
        <w:t>מתן רשיונות</w:t>
      </w:r>
      <w:r>
        <w:rPr>
          <w:rFonts w:hint="cs"/>
          <w:sz w:val="20"/>
          <w:szCs w:val="20"/>
          <w:rtl/>
        </w:rPr>
        <w:t>/ זיכיונות</w:t>
      </w:r>
      <w:r w:rsidRPr="00A4618D">
        <w:rPr>
          <w:rFonts w:hint="cs"/>
          <w:sz w:val="20"/>
          <w:szCs w:val="20"/>
          <w:rtl/>
        </w:rPr>
        <w:t xml:space="preserve"> בעלי חשיבות גדולה</w:t>
      </w:r>
      <w:r>
        <w:rPr>
          <w:rFonts w:hint="cs"/>
          <w:sz w:val="20"/>
          <w:szCs w:val="20"/>
          <w:rtl/>
        </w:rPr>
        <w:t>,</w:t>
      </w:r>
      <w:r w:rsidRPr="00A4618D">
        <w:rPr>
          <w:rFonts w:hint="cs"/>
          <w:sz w:val="20"/>
          <w:szCs w:val="20"/>
          <w:rtl/>
        </w:rPr>
        <w:t xml:space="preserve"> ו</w:t>
      </w:r>
      <w:r>
        <w:rPr>
          <w:rFonts w:hint="cs"/>
          <w:sz w:val="20"/>
          <w:szCs w:val="20"/>
          <w:rtl/>
        </w:rPr>
        <w:t>עוד</w:t>
      </w:r>
      <w:r w:rsidRPr="00A4618D">
        <w:rPr>
          <w:rFonts w:hint="cs"/>
          <w:sz w:val="20"/>
          <w:szCs w:val="20"/>
          <w:rtl/>
        </w:rPr>
        <w:t>.]</w:t>
      </w:r>
      <w:r w:rsidRPr="00403492">
        <w:rPr>
          <w:rFonts w:hint="cs"/>
          <w:szCs w:val="22"/>
          <w:rtl/>
        </w:rPr>
        <w:t xml:space="preserve"> </w:t>
      </w:r>
    </w:p>
    <w:p w:rsidR="0025709E" w:rsidRPr="00A4618D" w:rsidRDefault="0025709E" w:rsidP="0025709E">
      <w:pPr>
        <w:pStyle w:val="BodyText"/>
        <w:spacing w:after="60" w:line="240" w:lineRule="auto"/>
        <w:rPr>
          <w:sz w:val="20"/>
          <w:szCs w:val="20"/>
          <w:rtl/>
        </w:rPr>
      </w:pPr>
      <w:r w:rsidRPr="00A4618D">
        <w:rPr>
          <w:rFonts w:hint="cs"/>
          <w:sz w:val="20"/>
          <w:szCs w:val="20"/>
          <w:rtl/>
        </w:rPr>
        <w:t xml:space="preserve">2. </w:t>
      </w:r>
      <w:r w:rsidRPr="001C2817">
        <w:rPr>
          <w:sz w:val="20"/>
          <w:szCs w:val="20"/>
          <w:highlight w:val="yellow"/>
          <w:rtl/>
        </w:rPr>
        <w:t xml:space="preserve">השפעת משתנים נוספים </w:t>
      </w:r>
      <w:r w:rsidRPr="001C2817">
        <w:rPr>
          <w:rFonts w:hint="cs"/>
          <w:sz w:val="20"/>
          <w:szCs w:val="20"/>
          <w:highlight w:val="yellow"/>
          <w:rtl/>
        </w:rPr>
        <w:t xml:space="preserve">על התגבשות חובת השמיעה והיקפה </w:t>
      </w:r>
      <w:r w:rsidRPr="001C2817">
        <w:rPr>
          <w:sz w:val="20"/>
          <w:szCs w:val="20"/>
          <w:highlight w:val="yellow"/>
          <w:rtl/>
        </w:rPr>
        <w:t>– מערכת של איזון</w:t>
      </w:r>
      <w:r w:rsidRPr="00A4618D">
        <w:rPr>
          <w:sz w:val="20"/>
          <w:szCs w:val="20"/>
          <w:rtl/>
        </w:rPr>
        <w:t>:</w:t>
      </w:r>
    </w:p>
    <w:p w:rsidR="0025709E" w:rsidRPr="00A4618D" w:rsidRDefault="0025709E" w:rsidP="0025709E">
      <w:pPr>
        <w:pStyle w:val="BodyText"/>
        <w:spacing w:after="60" w:line="240" w:lineRule="auto"/>
        <w:ind w:left="1440" w:hanging="720"/>
        <w:rPr>
          <w:sz w:val="20"/>
          <w:szCs w:val="20"/>
          <w:rtl/>
        </w:rPr>
      </w:pPr>
      <w:r w:rsidRPr="00A4618D">
        <w:rPr>
          <w:rFonts w:hint="cs"/>
          <w:b/>
          <w:bCs/>
          <w:sz w:val="20"/>
          <w:szCs w:val="20"/>
          <w:rtl/>
        </w:rPr>
        <w:t>עוצמת זכות</w:t>
      </w:r>
      <w:r>
        <w:rPr>
          <w:rFonts w:hint="cs"/>
          <w:b/>
          <w:bCs/>
          <w:sz w:val="20"/>
          <w:szCs w:val="20"/>
          <w:rtl/>
        </w:rPr>
        <w:t>ו של האדם</w:t>
      </w:r>
      <w:r w:rsidRPr="00A4618D">
        <w:rPr>
          <w:rFonts w:hint="cs"/>
          <w:b/>
          <w:bCs/>
          <w:sz w:val="20"/>
          <w:szCs w:val="20"/>
          <w:rtl/>
        </w:rPr>
        <w:t xml:space="preserve"> הנפגעת</w:t>
      </w:r>
      <w:r>
        <w:rPr>
          <w:rFonts w:hint="cs"/>
          <w:sz w:val="20"/>
          <w:szCs w:val="20"/>
          <w:rtl/>
        </w:rPr>
        <w:t xml:space="preserve"> על ידי הרשות [</w:t>
      </w:r>
      <w:r w:rsidRPr="00207D3D">
        <w:rPr>
          <w:rFonts w:hint="cs"/>
          <w:b/>
          <w:bCs/>
          <w:sz w:val="20"/>
          <w:szCs w:val="20"/>
          <w:rtl/>
        </w:rPr>
        <w:t>טרנר</w:t>
      </w:r>
      <w:r>
        <w:rPr>
          <w:rFonts w:hint="cs"/>
          <w:sz w:val="20"/>
          <w:szCs w:val="20"/>
          <w:rtl/>
        </w:rPr>
        <w:t xml:space="preserve">, להלן] </w:t>
      </w:r>
      <w:r>
        <w:rPr>
          <w:sz w:val="20"/>
          <w:szCs w:val="20"/>
          <w:rtl/>
        </w:rPr>
        <w:t>–</w:t>
      </w:r>
      <w:r>
        <w:rPr>
          <w:rFonts w:hint="cs"/>
          <w:sz w:val="20"/>
          <w:szCs w:val="20"/>
          <w:rtl/>
        </w:rPr>
        <w:t xml:space="preserve"> בין היתר, ההבחנה בין טענה שלטונית כנגד האדם על רשלנות או חוסר-מקצועיות בהשוואה לטענה כלפיו במישור טוהר-המידות (שחיתות);</w:t>
      </w:r>
    </w:p>
    <w:p w:rsidR="0025709E" w:rsidRPr="00A4618D" w:rsidRDefault="0025709E" w:rsidP="0025709E">
      <w:pPr>
        <w:pStyle w:val="BodyText"/>
        <w:spacing w:after="60" w:line="240" w:lineRule="auto"/>
        <w:ind w:left="720"/>
        <w:rPr>
          <w:sz w:val="20"/>
          <w:szCs w:val="20"/>
          <w:rtl/>
        </w:rPr>
      </w:pPr>
      <w:r w:rsidRPr="00A4618D">
        <w:rPr>
          <w:rFonts w:hint="cs"/>
          <w:b/>
          <w:bCs/>
          <w:sz w:val="20"/>
          <w:szCs w:val="20"/>
          <w:rtl/>
        </w:rPr>
        <w:t>הפיכות הפגיעה</w:t>
      </w:r>
      <w:r w:rsidRPr="00A4618D">
        <w:rPr>
          <w:rFonts w:hint="cs"/>
          <w:sz w:val="20"/>
          <w:szCs w:val="20"/>
          <w:rtl/>
        </w:rPr>
        <w:t xml:space="preserve"> המתרחשת בטרם תינתן זכות טיעון</w:t>
      </w:r>
      <w:r>
        <w:rPr>
          <w:rFonts w:hint="cs"/>
          <w:sz w:val="20"/>
          <w:szCs w:val="20"/>
          <w:rtl/>
        </w:rPr>
        <w:t xml:space="preserve"> [</w:t>
      </w:r>
      <w:r w:rsidRPr="00207D3D">
        <w:rPr>
          <w:rFonts w:hint="cs"/>
          <w:b/>
          <w:bCs/>
          <w:sz w:val="20"/>
          <w:szCs w:val="20"/>
          <w:rtl/>
        </w:rPr>
        <w:t>טרנר</w:t>
      </w:r>
      <w:r>
        <w:rPr>
          <w:rFonts w:hint="cs"/>
          <w:sz w:val="20"/>
          <w:szCs w:val="20"/>
          <w:rtl/>
        </w:rPr>
        <w:t>, להלן];</w:t>
      </w:r>
    </w:p>
    <w:p w:rsidR="0025709E" w:rsidRPr="00A4618D" w:rsidRDefault="0025709E" w:rsidP="0025709E">
      <w:pPr>
        <w:pStyle w:val="BodyText"/>
        <w:spacing w:line="240" w:lineRule="auto"/>
        <w:ind w:left="720"/>
        <w:rPr>
          <w:sz w:val="20"/>
          <w:szCs w:val="20"/>
          <w:rtl/>
        </w:rPr>
      </w:pPr>
      <w:r w:rsidRPr="00A4618D">
        <w:rPr>
          <w:rFonts w:hint="cs"/>
          <w:b/>
          <w:bCs/>
          <w:sz w:val="20"/>
          <w:szCs w:val="20"/>
          <w:rtl/>
        </w:rPr>
        <w:t>הפגיעה באינטרס הציבורי</w:t>
      </w:r>
      <w:r w:rsidRPr="00A4618D">
        <w:rPr>
          <w:rFonts w:hint="cs"/>
          <w:sz w:val="20"/>
          <w:szCs w:val="20"/>
          <w:rtl/>
        </w:rPr>
        <w:t xml:space="preserve"> שתיגרם אם תינתן זכות טיעון מוקדמת או זכות טיעון מקיפה</w:t>
      </w:r>
      <w:r>
        <w:rPr>
          <w:rFonts w:hint="cs"/>
          <w:sz w:val="20"/>
          <w:szCs w:val="20"/>
          <w:rtl/>
        </w:rPr>
        <w:t>:</w:t>
      </w:r>
      <w:r w:rsidRPr="00A4618D">
        <w:rPr>
          <w:rFonts w:hint="cs"/>
          <w:sz w:val="20"/>
          <w:szCs w:val="20"/>
          <w:rtl/>
        </w:rPr>
        <w:t xml:space="preserve"> </w:t>
      </w:r>
    </w:p>
    <w:p w:rsidR="0025709E" w:rsidRDefault="0025709E" w:rsidP="0025709E">
      <w:pPr>
        <w:pStyle w:val="BodyText"/>
        <w:spacing w:line="240" w:lineRule="auto"/>
        <w:ind w:left="1440"/>
        <w:rPr>
          <w:sz w:val="20"/>
          <w:szCs w:val="20"/>
          <w:rtl/>
        </w:rPr>
      </w:pPr>
      <w:r w:rsidRPr="00A4618D">
        <w:rPr>
          <w:rFonts w:hint="cs"/>
          <w:sz w:val="20"/>
          <w:szCs w:val="20"/>
          <w:rtl/>
        </w:rPr>
        <w:t xml:space="preserve">"הצורך השלטוני": דוחק הזמן, הדחיפות, שיקולי יעילות מיוחדים; שיקולי ביטחון </w:t>
      </w:r>
      <w:r w:rsidRPr="00A4618D">
        <w:rPr>
          <w:sz w:val="20"/>
          <w:szCs w:val="20"/>
          <w:rtl/>
        </w:rPr>
        <w:t>–</w:t>
      </w:r>
      <w:r w:rsidRPr="00A4618D">
        <w:rPr>
          <w:rFonts w:hint="cs"/>
          <w:sz w:val="20"/>
          <w:szCs w:val="20"/>
          <w:rtl/>
        </w:rPr>
        <w:t xml:space="preserve"> חיסיון ראיות; ועוד;</w:t>
      </w:r>
    </w:p>
    <w:p w:rsidR="0025709E" w:rsidRPr="00A4618D" w:rsidRDefault="0025709E" w:rsidP="0025709E">
      <w:pPr>
        <w:pStyle w:val="BodyText"/>
        <w:spacing w:line="240" w:lineRule="auto"/>
        <w:ind w:left="1440"/>
        <w:rPr>
          <w:sz w:val="20"/>
          <w:szCs w:val="20"/>
          <w:rtl/>
        </w:rPr>
      </w:pPr>
      <w:r>
        <w:rPr>
          <w:rFonts w:hint="cs"/>
          <w:sz w:val="20"/>
          <w:szCs w:val="20"/>
          <w:rtl/>
        </w:rPr>
        <w:t>"צורך שלטוני": חיסיון של מקורות מידע [</w:t>
      </w:r>
      <w:r w:rsidRPr="00207D3D">
        <w:rPr>
          <w:rFonts w:hint="cs"/>
          <w:b/>
          <w:bCs/>
          <w:sz w:val="20"/>
          <w:szCs w:val="20"/>
          <w:rtl/>
        </w:rPr>
        <w:t>אלוני נ' מבקרת עיריית ירושלים; עוז נ' אוניברסיטת חיפה</w:t>
      </w:r>
      <w:r>
        <w:rPr>
          <w:rFonts w:hint="cs"/>
          <w:sz w:val="20"/>
          <w:szCs w:val="20"/>
          <w:rtl/>
        </w:rPr>
        <w:t>];</w:t>
      </w:r>
    </w:p>
    <w:p w:rsidR="0025709E" w:rsidRPr="00A4618D" w:rsidRDefault="0025709E" w:rsidP="0025709E">
      <w:pPr>
        <w:pStyle w:val="BodyText"/>
        <w:spacing w:after="60" w:line="240" w:lineRule="auto"/>
        <w:ind w:left="2160" w:hanging="720"/>
        <w:rPr>
          <w:sz w:val="20"/>
          <w:szCs w:val="20"/>
          <w:rtl/>
        </w:rPr>
      </w:pPr>
      <w:r w:rsidRPr="00A4618D">
        <w:rPr>
          <w:rFonts w:hint="cs"/>
          <w:sz w:val="20"/>
          <w:szCs w:val="20"/>
          <w:rtl/>
        </w:rPr>
        <w:t xml:space="preserve">"האינטרס של </w:t>
      </w:r>
      <w:r>
        <w:rPr>
          <w:rFonts w:hint="cs"/>
          <w:sz w:val="20"/>
          <w:szCs w:val="20"/>
          <w:rtl/>
        </w:rPr>
        <w:t xml:space="preserve">'האדם השלישי', </w:t>
      </w:r>
      <w:r w:rsidRPr="00A4618D">
        <w:rPr>
          <w:rFonts w:hint="cs"/>
          <w:sz w:val="20"/>
          <w:szCs w:val="20"/>
          <w:rtl/>
        </w:rPr>
        <w:t xml:space="preserve">הפרט העומד מנגד" </w:t>
      </w:r>
      <w:r w:rsidRPr="00A4618D">
        <w:rPr>
          <w:sz w:val="20"/>
          <w:szCs w:val="20"/>
          <w:rtl/>
        </w:rPr>
        <w:t>–</w:t>
      </w:r>
      <w:r w:rsidRPr="00A4618D">
        <w:rPr>
          <w:rFonts w:hint="cs"/>
          <w:sz w:val="20"/>
          <w:szCs w:val="20"/>
          <w:rtl/>
        </w:rPr>
        <w:t xml:space="preserve"> כמו בשאלה האם ראוי להתנות הוצאת צו עיקול זמני בשימוע </w:t>
      </w:r>
      <w:r>
        <w:rPr>
          <w:rFonts w:hint="cs"/>
          <w:sz w:val="20"/>
          <w:szCs w:val="20"/>
          <w:rtl/>
        </w:rPr>
        <w:t>מקדים לבעל הנכס (נכס שבעל-</w:t>
      </w:r>
      <w:r w:rsidRPr="00A4618D">
        <w:rPr>
          <w:rFonts w:hint="cs"/>
          <w:sz w:val="20"/>
          <w:szCs w:val="20"/>
          <w:rtl/>
        </w:rPr>
        <w:t xml:space="preserve">דינו של בעל הנכס מבקש את עיקולו) [הדוגמא שהוזכרה בפס"ד </w:t>
      </w:r>
      <w:r w:rsidRPr="00A4618D">
        <w:rPr>
          <w:rFonts w:hint="cs"/>
          <w:b/>
          <w:bCs/>
          <w:sz w:val="20"/>
          <w:szCs w:val="20"/>
          <w:rtl/>
        </w:rPr>
        <w:t>באקי</w:t>
      </w:r>
      <w:r w:rsidRPr="00A4618D">
        <w:rPr>
          <w:rFonts w:hint="cs"/>
          <w:sz w:val="20"/>
          <w:szCs w:val="20"/>
          <w:rtl/>
        </w:rPr>
        <w:t>].</w:t>
      </w:r>
    </w:p>
    <w:p w:rsidR="0025709E" w:rsidRPr="00A4618D" w:rsidRDefault="0025709E" w:rsidP="0025709E">
      <w:pPr>
        <w:pStyle w:val="BodyText"/>
        <w:spacing w:line="240" w:lineRule="auto"/>
        <w:ind w:left="1440" w:hanging="720"/>
        <w:rPr>
          <w:sz w:val="20"/>
          <w:szCs w:val="20"/>
          <w:rtl/>
        </w:rPr>
      </w:pPr>
      <w:r w:rsidRPr="00A4618D">
        <w:rPr>
          <w:rFonts w:hint="cs"/>
          <w:b/>
          <w:bCs/>
          <w:sz w:val="20"/>
          <w:szCs w:val="20"/>
          <w:rtl/>
        </w:rPr>
        <w:t>האם לא קיימות חלופות פחותות בחומרתן</w:t>
      </w:r>
      <w:r w:rsidRPr="00A4618D">
        <w:rPr>
          <w:rFonts w:hint="cs"/>
          <w:sz w:val="20"/>
          <w:szCs w:val="20"/>
          <w:rtl/>
        </w:rPr>
        <w:t xml:space="preserve"> המאפשרות להקהות את הפגיעה באינטרס הציבורי </w:t>
      </w:r>
      <w:r>
        <w:rPr>
          <w:rFonts w:hint="cs"/>
          <w:sz w:val="20"/>
          <w:szCs w:val="20"/>
          <w:rtl/>
        </w:rPr>
        <w:t xml:space="preserve">שעליו הרשות מגוננת </w:t>
      </w:r>
      <w:r w:rsidRPr="00A4618D">
        <w:rPr>
          <w:rFonts w:hint="cs"/>
          <w:sz w:val="20"/>
          <w:szCs w:val="20"/>
          <w:rtl/>
        </w:rPr>
        <w:t>ללא פגיעה (</w:t>
      </w:r>
      <w:r>
        <w:rPr>
          <w:rFonts w:hint="cs"/>
          <w:sz w:val="20"/>
          <w:szCs w:val="20"/>
          <w:rtl/>
        </w:rPr>
        <w:t xml:space="preserve">ולפחות </w:t>
      </w:r>
      <w:r w:rsidRPr="00A4618D">
        <w:rPr>
          <w:rFonts w:hint="cs"/>
          <w:sz w:val="20"/>
          <w:szCs w:val="20"/>
          <w:rtl/>
        </w:rPr>
        <w:t>ללא פגיעה בעוצמה רבה) בזכות הטיעון?:</w:t>
      </w:r>
    </w:p>
    <w:p w:rsidR="0025709E" w:rsidRPr="00A4618D" w:rsidRDefault="0025709E" w:rsidP="0025709E">
      <w:pPr>
        <w:pStyle w:val="BodyText"/>
        <w:spacing w:line="240" w:lineRule="auto"/>
        <w:ind w:left="2880" w:hanging="720"/>
        <w:rPr>
          <w:sz w:val="20"/>
          <w:szCs w:val="20"/>
          <w:rtl/>
        </w:rPr>
      </w:pPr>
      <w:r>
        <w:rPr>
          <w:rFonts w:hint="cs"/>
          <w:sz w:val="20"/>
          <w:szCs w:val="20"/>
          <w:rtl/>
        </w:rPr>
        <w:t xml:space="preserve">דוגמא: הפעלת תקנת ההגנה המאפשרת הריסת בית של חשודים בפעולות עוינות: העדפת </w:t>
      </w:r>
      <w:r w:rsidRPr="00A4618D">
        <w:rPr>
          <w:rFonts w:hint="cs"/>
          <w:sz w:val="20"/>
          <w:szCs w:val="20"/>
          <w:rtl/>
        </w:rPr>
        <w:t xml:space="preserve">איטום בית </w:t>
      </w:r>
      <w:r>
        <w:rPr>
          <w:rFonts w:hint="cs"/>
          <w:sz w:val="20"/>
          <w:szCs w:val="20"/>
          <w:rtl/>
        </w:rPr>
        <w:t>על פני ה</w:t>
      </w:r>
      <w:r w:rsidRPr="00A4618D">
        <w:rPr>
          <w:rFonts w:hint="cs"/>
          <w:sz w:val="20"/>
          <w:szCs w:val="20"/>
          <w:rtl/>
        </w:rPr>
        <w:t xml:space="preserve">ריסתו [פס"ד </w:t>
      </w:r>
      <w:r w:rsidRPr="001C2817">
        <w:rPr>
          <w:rFonts w:hint="cs"/>
          <w:b/>
          <w:bCs/>
          <w:sz w:val="20"/>
          <w:szCs w:val="20"/>
          <w:rtl/>
        </w:rPr>
        <w:t>האגודה לזכויות האזרח</w:t>
      </w:r>
      <w:r w:rsidRPr="00A4618D">
        <w:rPr>
          <w:rFonts w:hint="cs"/>
          <w:sz w:val="20"/>
          <w:szCs w:val="20"/>
          <w:rtl/>
        </w:rPr>
        <w:t>];</w:t>
      </w:r>
    </w:p>
    <w:p w:rsidR="0025709E" w:rsidRPr="00A4618D" w:rsidRDefault="0025709E" w:rsidP="0025709E">
      <w:pPr>
        <w:pStyle w:val="BodyText"/>
        <w:spacing w:after="120" w:line="240" w:lineRule="auto"/>
        <w:ind w:left="2880" w:hanging="720"/>
        <w:rPr>
          <w:sz w:val="20"/>
          <w:szCs w:val="20"/>
          <w:rtl/>
        </w:rPr>
      </w:pPr>
      <w:r w:rsidRPr="00A4618D">
        <w:rPr>
          <w:rFonts w:hint="cs"/>
          <w:sz w:val="20"/>
          <w:szCs w:val="20"/>
          <w:rtl/>
        </w:rPr>
        <w:t xml:space="preserve">דוגמאות מנגד, של קושי המתעורר אם כופים </w:t>
      </w:r>
      <w:r>
        <w:rPr>
          <w:rFonts w:hint="cs"/>
          <w:sz w:val="20"/>
          <w:szCs w:val="20"/>
          <w:rtl/>
        </w:rPr>
        <w:t xml:space="preserve">על הרשות להעניק </w:t>
      </w:r>
      <w:r w:rsidRPr="00A4618D">
        <w:rPr>
          <w:rFonts w:hint="cs"/>
          <w:sz w:val="20"/>
          <w:szCs w:val="20"/>
          <w:rtl/>
        </w:rPr>
        <w:t>זכות הטיעון</w:t>
      </w:r>
      <w:r>
        <w:rPr>
          <w:rFonts w:hint="cs"/>
          <w:sz w:val="20"/>
          <w:szCs w:val="20"/>
          <w:rtl/>
        </w:rPr>
        <w:t xml:space="preserve"> בטרם הפעולה השלטונית</w:t>
      </w:r>
      <w:r w:rsidRPr="00A4618D">
        <w:rPr>
          <w:rFonts w:hint="cs"/>
          <w:sz w:val="20"/>
          <w:szCs w:val="20"/>
          <w:rtl/>
        </w:rPr>
        <w:t xml:space="preserve">: </w:t>
      </w:r>
      <w:r>
        <w:rPr>
          <w:rFonts w:hint="cs"/>
          <w:sz w:val="20"/>
          <w:szCs w:val="20"/>
          <w:rtl/>
        </w:rPr>
        <w:t>למשל, הסתרת ראיות או הברחת נכסים אם דורשים לתת זכות הטיעון בטרם הענקת צו</w:t>
      </w:r>
      <w:r w:rsidRPr="00A4618D">
        <w:rPr>
          <w:rFonts w:hint="cs"/>
          <w:sz w:val="20"/>
          <w:szCs w:val="20"/>
          <w:rtl/>
        </w:rPr>
        <w:t xml:space="preserve"> חיפוש/ עיקול זמני</w:t>
      </w:r>
      <w:r>
        <w:rPr>
          <w:rFonts w:hint="cs"/>
          <w:sz w:val="20"/>
          <w:szCs w:val="20"/>
          <w:rtl/>
        </w:rPr>
        <w:t>.</w:t>
      </w:r>
    </w:p>
    <w:p w:rsidR="0025709E" w:rsidRPr="00A4618D" w:rsidRDefault="0025709E" w:rsidP="0025709E">
      <w:pPr>
        <w:pStyle w:val="BodyText"/>
        <w:spacing w:line="240" w:lineRule="auto"/>
        <w:rPr>
          <w:sz w:val="20"/>
          <w:szCs w:val="20"/>
          <w:rtl/>
        </w:rPr>
      </w:pPr>
      <w:r w:rsidRPr="00A4618D">
        <w:rPr>
          <w:rFonts w:hint="cs"/>
          <w:sz w:val="20"/>
          <w:szCs w:val="20"/>
          <w:rtl/>
        </w:rPr>
        <w:t>3. לעניין ניגוד עניינים</w:t>
      </w:r>
      <w:r>
        <w:rPr>
          <w:rFonts w:hint="cs"/>
          <w:sz w:val="20"/>
          <w:szCs w:val="20"/>
          <w:rtl/>
        </w:rPr>
        <w:t>, שאליו נגיע בפגישה הבאה:</w:t>
      </w:r>
      <w:r w:rsidRPr="00A4618D">
        <w:rPr>
          <w:rFonts w:hint="cs"/>
          <w:sz w:val="20"/>
          <w:szCs w:val="20"/>
          <w:rtl/>
        </w:rPr>
        <w:t xml:space="preserve"> הקפדה גדולה יותר כאשר ההתנגשות הפוטנציאלית היא בין האינטרס השלטוני עליו אמון בעל הסמכות לבין אינטרס אישי-פרטי שלו </w:t>
      </w:r>
      <w:r w:rsidRPr="00A4618D">
        <w:rPr>
          <w:sz w:val="20"/>
          <w:szCs w:val="20"/>
          <w:rtl/>
        </w:rPr>
        <w:t>–</w:t>
      </w:r>
      <w:r w:rsidRPr="00A4618D">
        <w:rPr>
          <w:rFonts w:hint="cs"/>
          <w:sz w:val="20"/>
          <w:szCs w:val="20"/>
          <w:rtl/>
        </w:rPr>
        <w:t xml:space="preserve"> זאת להבדיל מסיטואציה שבה ההתנגשות הפוטנציאלית היא בין אינטרס שלטוני אחד לאינטרס שלטוני אחר [פס"ד </w:t>
      </w:r>
      <w:r w:rsidRPr="00A4618D">
        <w:rPr>
          <w:rFonts w:hint="cs"/>
          <w:b/>
          <w:bCs/>
          <w:sz w:val="20"/>
          <w:szCs w:val="20"/>
          <w:rtl/>
        </w:rPr>
        <w:t>מושלב</w:t>
      </w:r>
      <w:r w:rsidRPr="00A4618D">
        <w:rPr>
          <w:rFonts w:hint="cs"/>
          <w:sz w:val="20"/>
          <w:szCs w:val="20"/>
          <w:rtl/>
        </w:rPr>
        <w:t xml:space="preserve">]; עם זאת, חשוב </w:t>
      </w:r>
      <w:r>
        <w:rPr>
          <w:rFonts w:hint="cs"/>
          <w:sz w:val="20"/>
          <w:szCs w:val="20"/>
          <w:rtl/>
        </w:rPr>
        <w:t>לדעת</w:t>
      </w:r>
      <w:r w:rsidRPr="00A4618D">
        <w:rPr>
          <w:rFonts w:hint="cs"/>
          <w:sz w:val="20"/>
          <w:szCs w:val="20"/>
          <w:rtl/>
        </w:rPr>
        <w:t xml:space="preserve"> כי ניגוד עניינים יכול להופיע ולפסול את פעולת המינהל גם במקרה השני.</w:t>
      </w:r>
    </w:p>
    <w:p w:rsidR="0025709E" w:rsidRDefault="0025709E" w:rsidP="0025709E">
      <w:pPr>
        <w:ind w:left="-686"/>
        <w:rPr>
          <w:sz w:val="20"/>
          <w:szCs w:val="20"/>
          <w:rtl/>
        </w:rPr>
      </w:pPr>
    </w:p>
    <w:p w:rsidR="0025709E" w:rsidRDefault="0025709E" w:rsidP="0025709E">
      <w:pPr>
        <w:rPr>
          <w:sz w:val="20"/>
          <w:szCs w:val="20"/>
          <w:rtl/>
        </w:rPr>
      </w:pPr>
      <w:r>
        <w:rPr>
          <w:rFonts w:hint="cs"/>
          <w:sz w:val="20"/>
          <w:szCs w:val="20"/>
          <w:rtl/>
        </w:rPr>
        <w:t>=-=</w:t>
      </w:r>
    </w:p>
    <w:p w:rsidR="0025709E" w:rsidRPr="007432EC" w:rsidRDefault="0025709E" w:rsidP="0025709E">
      <w:pPr>
        <w:rPr>
          <w:rFonts w:ascii="Arial" w:hAnsi="Arial" w:cs="Arial"/>
          <w:b/>
          <w:bCs/>
          <w:sz w:val="22"/>
          <w:szCs w:val="22"/>
          <w:rtl/>
        </w:rPr>
      </w:pPr>
      <w:r>
        <w:rPr>
          <w:rFonts w:ascii="Arial" w:hAnsi="Arial" w:cs="Arial" w:hint="cs"/>
          <w:b/>
          <w:bCs/>
          <w:sz w:val="22"/>
          <w:szCs w:val="22"/>
          <w:rtl/>
        </w:rPr>
        <w:t xml:space="preserve">האם נתונה הגנה </w:t>
      </w:r>
      <w:r w:rsidRPr="00092BF9">
        <w:rPr>
          <w:rFonts w:ascii="Arial" w:hAnsi="Arial" w:cs="Arial" w:hint="cs"/>
          <w:b/>
          <w:bCs/>
          <w:sz w:val="22"/>
          <w:szCs w:val="22"/>
          <w:u w:val="single"/>
          <w:rtl/>
        </w:rPr>
        <w:t>חוקתית</w:t>
      </w:r>
      <w:r>
        <w:rPr>
          <w:rFonts w:ascii="Arial" w:hAnsi="Arial" w:cs="Arial" w:hint="cs"/>
          <w:b/>
          <w:bCs/>
          <w:sz w:val="22"/>
          <w:szCs w:val="22"/>
          <w:rtl/>
        </w:rPr>
        <w:t xml:space="preserve"> לכללי הצדק הטבעי?</w:t>
      </w:r>
    </w:p>
    <w:p w:rsidR="0025709E" w:rsidRPr="00A4618D" w:rsidRDefault="0025709E" w:rsidP="0025709E">
      <w:pPr>
        <w:ind w:left="-686"/>
        <w:rPr>
          <w:sz w:val="20"/>
          <w:szCs w:val="20"/>
          <w:rtl/>
        </w:rPr>
      </w:pPr>
    </w:p>
    <w:p w:rsidR="0025709E" w:rsidRPr="00A4618D" w:rsidRDefault="0025709E" w:rsidP="0025709E">
      <w:pPr>
        <w:rPr>
          <w:sz w:val="20"/>
          <w:szCs w:val="20"/>
          <w:rtl/>
        </w:rPr>
      </w:pPr>
      <w:r w:rsidRPr="00A4618D">
        <w:rPr>
          <w:rFonts w:hint="cs"/>
          <w:sz w:val="20"/>
          <w:szCs w:val="20"/>
          <w:rtl/>
        </w:rPr>
        <w:t xml:space="preserve">ההגנה החוקתית על כללי הצדק הטבעי אינה מצויה מפורשות בחוקי היסוד; ואולם ניתן לטעון כי הגנה כזו קמה לכללים הללו מכוח כל אחד משני </w:t>
      </w:r>
      <w:r>
        <w:rPr>
          <w:rFonts w:hint="cs"/>
          <w:sz w:val="20"/>
          <w:szCs w:val="20"/>
          <w:rtl/>
        </w:rPr>
        <w:t>הרציונאלים הבאים</w:t>
      </w:r>
      <w:r w:rsidRPr="00A4618D">
        <w:rPr>
          <w:rFonts w:hint="cs"/>
          <w:sz w:val="20"/>
          <w:szCs w:val="20"/>
          <w:rtl/>
        </w:rPr>
        <w:t>:</w:t>
      </w:r>
    </w:p>
    <w:p w:rsidR="0025709E" w:rsidRPr="00A4618D" w:rsidRDefault="0025709E" w:rsidP="0025709E">
      <w:pPr>
        <w:ind w:left="686"/>
        <w:rPr>
          <w:sz w:val="20"/>
          <w:szCs w:val="20"/>
          <w:rtl/>
        </w:rPr>
      </w:pPr>
      <w:r w:rsidRPr="00A4618D">
        <w:rPr>
          <w:rFonts w:hint="cs"/>
          <w:sz w:val="20"/>
          <w:szCs w:val="20"/>
          <w:rtl/>
        </w:rPr>
        <w:t>1. הדרישה, כי הגבלה של זכויות מוגנות תהיה "במידה שאינה עולה על הנדרש".</w:t>
      </w:r>
      <w:r>
        <w:rPr>
          <w:rFonts w:hint="cs"/>
          <w:sz w:val="20"/>
          <w:szCs w:val="20"/>
          <w:rtl/>
        </w:rPr>
        <w:t xml:space="preserve"> </w:t>
      </w:r>
      <w:r w:rsidRPr="00A4618D">
        <w:rPr>
          <w:rFonts w:hint="cs"/>
          <w:sz w:val="20"/>
          <w:szCs w:val="20"/>
          <w:rtl/>
        </w:rPr>
        <w:t xml:space="preserve">דרישה זו, של מידתיות, משמיעה, כי חוק שיבקש לאפשר פגיעה בזכויות יסוד </w:t>
      </w:r>
      <w:r>
        <w:rPr>
          <w:rFonts w:hint="cs"/>
          <w:sz w:val="20"/>
          <w:szCs w:val="20"/>
          <w:rtl/>
        </w:rPr>
        <w:t>חוקתיות</w:t>
      </w:r>
      <w:r w:rsidRPr="00A4618D">
        <w:rPr>
          <w:rFonts w:hint="cs"/>
          <w:sz w:val="20"/>
          <w:szCs w:val="20"/>
          <w:rtl/>
        </w:rPr>
        <w:t xml:space="preserve"> ללא שמירה </w:t>
      </w:r>
      <w:r w:rsidRPr="00A4618D">
        <w:rPr>
          <w:sz w:val="20"/>
          <w:szCs w:val="20"/>
          <w:rtl/>
        </w:rPr>
        <w:t>–</w:t>
      </w:r>
      <w:r w:rsidRPr="00A4618D">
        <w:rPr>
          <w:rFonts w:hint="cs"/>
          <w:sz w:val="20"/>
          <w:szCs w:val="20"/>
          <w:rtl/>
        </w:rPr>
        <w:t xml:space="preserve"> ראויה, במגבלות הסבירות </w:t>
      </w:r>
      <w:r w:rsidRPr="00A4618D">
        <w:rPr>
          <w:sz w:val="20"/>
          <w:szCs w:val="20"/>
          <w:rtl/>
        </w:rPr>
        <w:t>–</w:t>
      </w:r>
      <w:r w:rsidRPr="00A4618D">
        <w:rPr>
          <w:rFonts w:hint="cs"/>
          <w:sz w:val="20"/>
          <w:szCs w:val="20"/>
          <w:rtl/>
        </w:rPr>
        <w:t xml:space="preserve"> על כללי הצדק הטבעי עשוי להיתפס כחוק לא מידתי</w:t>
      </w:r>
      <w:r>
        <w:rPr>
          <w:rFonts w:hint="cs"/>
          <w:sz w:val="20"/>
          <w:szCs w:val="20"/>
          <w:rtl/>
        </w:rPr>
        <w:t>,</w:t>
      </w:r>
      <w:r w:rsidRPr="00A4618D">
        <w:rPr>
          <w:rFonts w:hint="cs"/>
          <w:sz w:val="20"/>
          <w:szCs w:val="20"/>
          <w:rtl/>
        </w:rPr>
        <w:t xml:space="preserve"> </w:t>
      </w:r>
    </w:p>
    <w:p w:rsidR="0025709E" w:rsidRPr="00A4618D" w:rsidRDefault="0025709E" w:rsidP="0025709E">
      <w:pPr>
        <w:ind w:left="1406"/>
        <w:rPr>
          <w:sz w:val="20"/>
          <w:szCs w:val="20"/>
          <w:rtl/>
        </w:rPr>
      </w:pPr>
      <w:r w:rsidRPr="00A4618D">
        <w:rPr>
          <w:rFonts w:hint="cs"/>
          <w:sz w:val="20"/>
          <w:szCs w:val="20"/>
          <w:rtl/>
        </w:rPr>
        <w:t>(שהרי ברוב המקרים האפשרות הפחותה בחומרתה, והאפשרית, היא פגיעה בזכות המוגנת רק בכפוף להליך השומר על כללי הצדק הטבעי).</w:t>
      </w:r>
      <w:r>
        <w:rPr>
          <w:rFonts w:hint="cs"/>
          <w:sz w:val="20"/>
          <w:szCs w:val="20"/>
          <w:rtl/>
        </w:rPr>
        <w:t xml:space="preserve"> [יש לטיעון זה ביטוי בפס"ד </w:t>
      </w:r>
      <w:r w:rsidRPr="00593ADC">
        <w:rPr>
          <w:rFonts w:hint="cs"/>
          <w:b/>
          <w:bCs/>
          <w:sz w:val="20"/>
          <w:szCs w:val="20"/>
          <w:rtl/>
        </w:rPr>
        <w:t>טרנר</w:t>
      </w:r>
      <w:r>
        <w:rPr>
          <w:rFonts w:hint="cs"/>
          <w:sz w:val="20"/>
          <w:szCs w:val="20"/>
          <w:rtl/>
        </w:rPr>
        <w:t>, להלן].</w:t>
      </w:r>
    </w:p>
    <w:p w:rsidR="0025709E" w:rsidRPr="00A4618D" w:rsidRDefault="0025709E" w:rsidP="0025709E">
      <w:pPr>
        <w:ind w:left="686"/>
        <w:rPr>
          <w:sz w:val="20"/>
          <w:szCs w:val="20"/>
          <w:rtl/>
        </w:rPr>
      </w:pPr>
      <w:r w:rsidRPr="00A4618D">
        <w:rPr>
          <w:rFonts w:hint="cs"/>
          <w:sz w:val="20"/>
          <w:szCs w:val="20"/>
          <w:rtl/>
        </w:rPr>
        <w:t xml:space="preserve">2. זאת ועוד, ניתן לטעון, כי פגיעה בזכות יסוד </w:t>
      </w:r>
      <w:r>
        <w:rPr>
          <w:rFonts w:hint="cs"/>
          <w:sz w:val="20"/>
          <w:szCs w:val="20"/>
          <w:rtl/>
        </w:rPr>
        <w:t xml:space="preserve">(חוקתית או לא-חוקתית) </w:t>
      </w:r>
      <w:r w:rsidRPr="00A4618D">
        <w:rPr>
          <w:rFonts w:hint="cs"/>
          <w:sz w:val="20"/>
          <w:szCs w:val="20"/>
          <w:rtl/>
        </w:rPr>
        <w:t xml:space="preserve">ללא מתן זכות טיעון (למשל), היא פגיעה </w:t>
      </w:r>
      <w:r>
        <w:rPr>
          <w:rFonts w:hint="cs"/>
          <w:sz w:val="20"/>
          <w:szCs w:val="20"/>
          <w:rtl/>
        </w:rPr>
        <w:t xml:space="preserve">גם </w:t>
      </w:r>
      <w:r w:rsidRPr="00A4618D">
        <w:rPr>
          <w:rFonts w:hint="cs"/>
          <w:sz w:val="20"/>
          <w:szCs w:val="20"/>
          <w:rtl/>
        </w:rPr>
        <w:t>בזכות לכבוד האדם</w:t>
      </w:r>
      <w:r>
        <w:rPr>
          <w:rFonts w:hint="cs"/>
          <w:sz w:val="20"/>
          <w:szCs w:val="20"/>
          <w:rtl/>
        </w:rPr>
        <w:t xml:space="preserve"> ו/או בזכותו לחירות. טענה שכזו תאמר כי </w:t>
      </w:r>
      <w:r w:rsidRPr="00A4618D">
        <w:rPr>
          <w:rFonts w:hint="cs"/>
          <w:sz w:val="20"/>
          <w:szCs w:val="20"/>
          <w:rtl/>
        </w:rPr>
        <w:t>האוטונומיה האנושית של</w:t>
      </w:r>
      <w:r>
        <w:rPr>
          <w:rFonts w:hint="cs"/>
          <w:sz w:val="20"/>
          <w:szCs w:val="20"/>
          <w:rtl/>
        </w:rPr>
        <w:t xml:space="preserve"> האדם מחייבת כי פגיעה בו תיעשה תוך התחשבות בהיותו תכלית ולא אמצעי. במילים אחרות, אדם אינו 'פיון'/ כלי שהמדינה יכולה לפגוע בו שלא על בסיס פרוצדורה הוגנת, שבבסיסה כללי הצדק הטבעי. [אין הכרעה חדה בפסיקה ביחס לכך].</w:t>
      </w:r>
    </w:p>
    <w:p w:rsidR="0025709E" w:rsidRPr="00A4618D" w:rsidRDefault="0025709E" w:rsidP="0025709E">
      <w:pPr>
        <w:ind w:left="-686"/>
        <w:rPr>
          <w:sz w:val="20"/>
          <w:szCs w:val="20"/>
          <w:rtl/>
        </w:rPr>
      </w:pPr>
    </w:p>
    <w:p w:rsidR="0025709E" w:rsidRDefault="0025709E" w:rsidP="0025709E">
      <w:pPr>
        <w:rPr>
          <w:sz w:val="22"/>
          <w:szCs w:val="22"/>
          <w:rtl/>
        </w:rPr>
      </w:pPr>
      <w:r>
        <w:rPr>
          <w:rFonts w:hint="cs"/>
          <w:sz w:val="22"/>
          <w:szCs w:val="22"/>
          <w:rtl/>
        </w:rPr>
        <w:t>=-=</w:t>
      </w:r>
    </w:p>
    <w:p w:rsidR="0025709E" w:rsidRPr="002F3CDF" w:rsidRDefault="0025709E" w:rsidP="0025709E">
      <w:pPr>
        <w:ind w:left="-143"/>
        <w:jc w:val="center"/>
        <w:rPr>
          <w:rFonts w:ascii="Arial" w:hAnsi="Arial" w:cs="Arial"/>
          <w:sz w:val="20"/>
          <w:szCs w:val="20"/>
          <w:rtl/>
        </w:rPr>
      </w:pPr>
      <w:r w:rsidRPr="00364AC8">
        <w:rPr>
          <w:rFonts w:ascii="Arial" w:hAnsi="Arial" w:cs="Arial"/>
          <w:sz w:val="22"/>
          <w:szCs w:val="22"/>
          <w:highlight w:val="yellow"/>
          <w:u w:val="single"/>
          <w:rtl/>
        </w:rPr>
        <w:t xml:space="preserve">בג"צ 2911/94 </w:t>
      </w:r>
      <w:r w:rsidRPr="00364AC8">
        <w:rPr>
          <w:rFonts w:ascii="Arial" w:hAnsi="Arial" w:cs="Arial"/>
          <w:b/>
          <w:bCs/>
          <w:sz w:val="22"/>
          <w:szCs w:val="22"/>
          <w:highlight w:val="yellow"/>
          <w:u w:val="single"/>
          <w:rtl/>
        </w:rPr>
        <w:t>באקי נ' מנכ"ל משרד הפנים</w:t>
      </w:r>
      <w:r w:rsidRPr="00364AC8">
        <w:rPr>
          <w:rFonts w:ascii="Arial" w:hAnsi="Arial" w:cs="Arial"/>
          <w:sz w:val="22"/>
          <w:szCs w:val="22"/>
          <w:highlight w:val="yellow"/>
          <w:u w:val="single"/>
          <w:rtl/>
        </w:rPr>
        <w:t>, פ"ד מח(5) 291</w:t>
      </w:r>
      <w:r>
        <w:rPr>
          <w:rFonts w:hint="cs"/>
          <w:sz w:val="20"/>
          <w:szCs w:val="20"/>
          <w:rtl/>
        </w:rPr>
        <w:t xml:space="preserve"> </w:t>
      </w:r>
      <w:r w:rsidRPr="002F3CDF">
        <w:rPr>
          <w:rFonts w:hint="cs"/>
          <w:sz w:val="20"/>
          <w:szCs w:val="20"/>
          <w:rtl/>
        </w:rPr>
        <w:t>[בהשמטת חלק מהאסמכתאות; ההדגשות הוספו]</w:t>
      </w:r>
    </w:p>
    <w:p w:rsidR="0025709E" w:rsidRPr="002F3CDF" w:rsidRDefault="0025709E" w:rsidP="0025709E">
      <w:pPr>
        <w:ind w:left="-143"/>
        <w:jc w:val="center"/>
        <w:rPr>
          <w:sz w:val="20"/>
          <w:szCs w:val="20"/>
          <w:rtl/>
        </w:rPr>
      </w:pPr>
    </w:p>
    <w:p w:rsidR="0025709E" w:rsidRDefault="0025709E" w:rsidP="0025709E">
      <w:pPr>
        <w:ind w:left="1440"/>
        <w:rPr>
          <w:rFonts w:cs="David"/>
          <w:sz w:val="22"/>
          <w:szCs w:val="22"/>
          <w:rtl/>
        </w:rPr>
      </w:pPr>
      <w:r>
        <w:rPr>
          <w:rFonts w:cs="David" w:hint="cs"/>
          <w:sz w:val="22"/>
          <w:szCs w:val="22"/>
          <w:rtl/>
        </w:rPr>
        <w:t>שאלות פסק הדין:</w:t>
      </w:r>
    </w:p>
    <w:p w:rsidR="0025709E" w:rsidRPr="00364AC8" w:rsidRDefault="0025709E" w:rsidP="0025709E">
      <w:pPr>
        <w:ind w:left="1440"/>
        <w:rPr>
          <w:rFonts w:cs="David"/>
          <w:sz w:val="22"/>
          <w:szCs w:val="22"/>
          <w:rtl/>
        </w:rPr>
      </w:pPr>
      <w:r w:rsidRPr="00364AC8">
        <w:rPr>
          <w:rFonts w:cs="David" w:hint="cs"/>
          <w:sz w:val="22"/>
          <w:szCs w:val="22"/>
          <w:rtl/>
        </w:rPr>
        <w:t>האם התגבש מינויו של העותר כחבר הועדה המקומית לתכנון ובנייה?</w:t>
      </w:r>
      <w:r>
        <w:rPr>
          <w:rFonts w:cs="David" w:hint="cs"/>
          <w:sz w:val="22"/>
          <w:szCs w:val="22"/>
          <w:rtl/>
        </w:rPr>
        <w:t xml:space="preserve"> </w:t>
      </w:r>
      <w:r w:rsidRPr="00364AC8">
        <w:rPr>
          <w:rFonts w:cs="David" w:hint="cs"/>
          <w:sz w:val="22"/>
          <w:szCs w:val="22"/>
          <w:rtl/>
        </w:rPr>
        <w:t>ממתי תוקפו?</w:t>
      </w:r>
    </w:p>
    <w:p w:rsidR="0025709E" w:rsidRPr="00364AC8" w:rsidRDefault="0025709E" w:rsidP="0025709E">
      <w:pPr>
        <w:ind w:left="1440"/>
        <w:rPr>
          <w:rFonts w:cs="David"/>
          <w:sz w:val="22"/>
          <w:szCs w:val="22"/>
          <w:rtl/>
        </w:rPr>
      </w:pPr>
      <w:r w:rsidRPr="00364AC8">
        <w:rPr>
          <w:rFonts w:cs="David" w:hint="cs"/>
          <w:sz w:val="22"/>
          <w:szCs w:val="22"/>
          <w:rtl/>
        </w:rPr>
        <w:t xml:space="preserve">היכולת </w:t>
      </w:r>
      <w:r w:rsidRPr="00364AC8">
        <w:rPr>
          <w:rFonts w:cs="David"/>
          <w:sz w:val="22"/>
          <w:szCs w:val="22"/>
          <w:rtl/>
        </w:rPr>
        <w:t>–</w:t>
      </w:r>
      <w:r w:rsidRPr="00364AC8">
        <w:rPr>
          <w:rFonts w:cs="David" w:hint="cs"/>
          <w:sz w:val="22"/>
          <w:szCs w:val="22"/>
          <w:rtl/>
        </w:rPr>
        <w:t xml:space="preserve"> הסמכות </w:t>
      </w:r>
      <w:r w:rsidRPr="00364AC8">
        <w:rPr>
          <w:rFonts w:cs="David"/>
          <w:sz w:val="22"/>
          <w:szCs w:val="22"/>
          <w:rtl/>
        </w:rPr>
        <w:t>–</w:t>
      </w:r>
      <w:r w:rsidRPr="00364AC8">
        <w:rPr>
          <w:rFonts w:cs="David" w:hint="cs"/>
          <w:sz w:val="22"/>
          <w:szCs w:val="22"/>
          <w:rtl/>
        </w:rPr>
        <w:t xml:space="preserve"> של מנכ"ל משרד הפנים לבטל את המינוי</w:t>
      </w:r>
    </w:p>
    <w:p w:rsidR="0025709E" w:rsidRPr="00364AC8" w:rsidRDefault="0025709E" w:rsidP="0025709E">
      <w:pPr>
        <w:ind w:left="1440"/>
        <w:rPr>
          <w:rFonts w:cs="David"/>
          <w:sz w:val="22"/>
          <w:szCs w:val="22"/>
          <w:rtl/>
        </w:rPr>
      </w:pPr>
      <w:r w:rsidRPr="00364AC8">
        <w:rPr>
          <w:rFonts w:cs="David" w:hint="cs"/>
          <w:sz w:val="22"/>
          <w:szCs w:val="22"/>
          <w:rtl/>
        </w:rPr>
        <w:t>שיקול הדעת בהפעלת סמכות ביטול המינוי (ובכללם סוגיית השיקולים הזרים)</w:t>
      </w:r>
    </w:p>
    <w:p w:rsidR="0025709E" w:rsidRPr="00364AC8" w:rsidRDefault="0025709E" w:rsidP="0025709E">
      <w:pPr>
        <w:ind w:left="1440"/>
        <w:rPr>
          <w:rFonts w:cs="David"/>
          <w:sz w:val="22"/>
          <w:szCs w:val="22"/>
          <w:highlight w:val="yellow"/>
          <w:rtl/>
        </w:rPr>
      </w:pPr>
      <w:r w:rsidRPr="00364AC8">
        <w:rPr>
          <w:rFonts w:cs="David" w:hint="cs"/>
          <w:sz w:val="22"/>
          <w:szCs w:val="22"/>
          <w:highlight w:val="yellow"/>
          <w:rtl/>
        </w:rPr>
        <w:t>ההליך בעת הפעלת הסמכות</w:t>
      </w:r>
    </w:p>
    <w:p w:rsidR="0025709E" w:rsidRPr="00364AC8" w:rsidRDefault="0025709E" w:rsidP="0025709E">
      <w:pPr>
        <w:ind w:left="1440"/>
        <w:rPr>
          <w:rFonts w:cs="David"/>
          <w:sz w:val="22"/>
          <w:szCs w:val="22"/>
          <w:rtl/>
        </w:rPr>
      </w:pPr>
      <w:r w:rsidRPr="00364AC8">
        <w:rPr>
          <w:rFonts w:cs="David" w:hint="cs"/>
          <w:sz w:val="22"/>
          <w:szCs w:val="22"/>
          <w:highlight w:val="yellow"/>
          <w:rtl/>
        </w:rPr>
        <w:tab/>
        <w:t>זכות הטיעון (חובת השימוע) / סוגיית "השימוע המאוחר" [להלן]</w:t>
      </w:r>
    </w:p>
    <w:p w:rsidR="0025709E" w:rsidRPr="00364AC8" w:rsidRDefault="0025709E" w:rsidP="0025709E">
      <w:pPr>
        <w:ind w:left="1440"/>
        <w:rPr>
          <w:rFonts w:cs="David"/>
          <w:sz w:val="22"/>
          <w:szCs w:val="22"/>
          <w:rtl/>
        </w:rPr>
      </w:pPr>
      <w:r w:rsidRPr="00364AC8">
        <w:rPr>
          <w:rFonts w:cs="David" w:hint="cs"/>
          <w:sz w:val="22"/>
          <w:szCs w:val="22"/>
          <w:rtl/>
        </w:rPr>
        <w:t>תוצאות ההפרה של הפגיעה בכללי הצדק הטבעי</w:t>
      </w:r>
    </w:p>
    <w:p w:rsidR="0025709E" w:rsidRPr="00364AC8" w:rsidRDefault="0025709E" w:rsidP="0025709E">
      <w:pPr>
        <w:ind w:left="1440"/>
        <w:rPr>
          <w:rFonts w:cs="FrankRuehl"/>
          <w:rtl/>
        </w:rPr>
      </w:pPr>
    </w:p>
    <w:p w:rsidR="0025709E" w:rsidRPr="00364AC8" w:rsidRDefault="0025709E" w:rsidP="0025709E">
      <w:pPr>
        <w:spacing w:after="60"/>
        <w:ind w:left="-285"/>
        <w:rPr>
          <w:rFonts w:cs="FrankRuehl"/>
          <w:rtl/>
        </w:rPr>
      </w:pPr>
      <w:r w:rsidRPr="00364AC8">
        <w:rPr>
          <w:rFonts w:cs="FrankRuehl"/>
          <w:rtl/>
        </w:rPr>
        <w:t xml:space="preserve">15. כאשר העותר קיבל מן המנכ"ל את ההודעה בדבר ההחלטה להעבירו מן הכהונה בועדה לתכנון ולבניה, נזדרז ופנה אל בית משפט זה, וטענה בפיו כי החלטה זאת בטלה משום שנתקבלה ללא שימוע. </w:t>
      </w:r>
    </w:p>
    <w:p w:rsidR="0025709E" w:rsidRPr="00364AC8" w:rsidRDefault="0025709E" w:rsidP="0025709E">
      <w:pPr>
        <w:spacing w:after="60"/>
        <w:ind w:left="-285"/>
        <w:rPr>
          <w:rFonts w:cs="FrankRuehl"/>
          <w:rtl/>
        </w:rPr>
      </w:pPr>
      <w:r w:rsidRPr="00364AC8">
        <w:rPr>
          <w:rFonts w:cs="FrankRuehl"/>
          <w:rtl/>
        </w:rPr>
        <w:t>אכן, הלכה היא, כי הרשות המוסמכת לבטל מינוי חייבת לקיים שימוע, כלומר, לתת הזדמנות נאותה להשמעת טענות, לפני שהיא מחליטה על הביטול.</w:t>
      </w:r>
      <w:r>
        <w:rPr>
          <w:rFonts w:cs="FrankRuehl"/>
          <w:rtl/>
        </w:rPr>
        <w:t xml:space="preserve"> </w:t>
      </w:r>
      <w:r w:rsidRPr="00364AC8">
        <w:rPr>
          <w:rFonts w:cs="FrankRuehl"/>
          <w:rtl/>
        </w:rPr>
        <w:t xml:space="preserve">וכי לא כך צריך היה המנכ"ל לנהוג גם במקרה זה? </w:t>
      </w:r>
    </w:p>
    <w:p w:rsidR="0025709E" w:rsidRPr="00364AC8" w:rsidRDefault="0025709E" w:rsidP="0025709E">
      <w:pPr>
        <w:spacing w:after="60"/>
        <w:ind w:left="-285"/>
        <w:rPr>
          <w:rFonts w:cs="FrankRuehl"/>
          <w:rtl/>
        </w:rPr>
      </w:pPr>
      <w:r w:rsidRPr="00364AC8">
        <w:rPr>
          <w:rFonts w:cs="FrankRuehl"/>
          <w:rtl/>
        </w:rPr>
        <w:t xml:space="preserve">המנכ"ל טוען שבמקרה זה לא היה טעם ולכן גם לא היה צורך בשימוע. וכל כך למה? משום שביטול המינוי של העותר אינו נובע מפסול כלשהו שדבק בעותר, אלא מן העובדה שרוב חברי המועצה המקומית כפר קרע שוב אינם תומכים בו. על כן אין טעם או צורך בשימוע. </w:t>
      </w:r>
      <w:r w:rsidRPr="00364AC8">
        <w:rPr>
          <w:rFonts w:cs="FrankRuehl"/>
          <w:b/>
          <w:bCs/>
          <w:rtl/>
        </w:rPr>
        <w:t>וכי מה היה או יהיה בפי העותר לטעון? התשובה אינה ידועה. אך דווקא בשל כך יש צורך בשימוע: כדי לשמוע אם יש ומה יש לטעון</w:t>
      </w:r>
      <w:r w:rsidRPr="00364AC8">
        <w:rPr>
          <w:rFonts w:cs="FrankRuehl"/>
          <w:rtl/>
        </w:rPr>
        <w:t xml:space="preserve">. ואין זו סיבה למנוע שימוע, מאדם שעשוי להיפגע מהחלטת הרשות, שלדעת הרשות אין בפי אותו אדם טענה שהינה טובה או טענה שאינה ידועה נגד ההחלטה. לעולם אין לדעת. </w:t>
      </w:r>
      <w:r w:rsidRPr="00364AC8">
        <w:rPr>
          <w:rFonts w:cs="FrankRuehl"/>
          <w:b/>
          <w:bCs/>
          <w:rtl/>
        </w:rPr>
        <w:t>יתירה מזאת. גם אם כך הדבר, עדיין ראוי לאפשר שימוע, ולו רק למען מראית פני הצדק.</w:t>
      </w:r>
      <w:r w:rsidRPr="00364AC8">
        <w:rPr>
          <w:rFonts w:cs="FrankRuehl"/>
          <w:rtl/>
        </w:rPr>
        <w:t xml:space="preserve"> </w:t>
      </w:r>
      <w:r w:rsidRPr="00364AC8">
        <w:rPr>
          <w:rFonts w:cs="FrankRuehl" w:hint="cs"/>
          <w:rtl/>
        </w:rPr>
        <w:t>[…]</w:t>
      </w:r>
    </w:p>
    <w:p w:rsidR="0025709E" w:rsidRPr="00364AC8" w:rsidRDefault="0025709E" w:rsidP="0025709E">
      <w:pPr>
        <w:spacing w:after="60"/>
        <w:ind w:left="-285"/>
        <w:rPr>
          <w:rFonts w:cs="FrankRuehl"/>
          <w:rtl/>
        </w:rPr>
      </w:pPr>
      <w:r w:rsidRPr="00364AC8">
        <w:rPr>
          <w:rFonts w:cs="FrankRuehl"/>
          <w:rtl/>
        </w:rPr>
        <w:t xml:space="preserve">16. יש אמנם מקרים בהם הפרה של חובת השימוע, אף שהיא פוגמת, אינה פוסלת החלטה מינהלית. כך, בין היתר, אם ההפרה לא גרמה עוול. לכן אפשר כי החלטה שנתקבלה ללא שימוע תעמוד בתוקף אם נתברר, לאחר מעשה, כי בפועל לא היתה תועלת בשימוע, כלומר שלא היו טענות ראויות להישמע. וכבר היו דברים מעולם. </w:t>
      </w:r>
      <w:r>
        <w:rPr>
          <w:rFonts w:cs="FrankRuehl" w:hint="cs"/>
          <w:rtl/>
        </w:rPr>
        <w:t>...</w:t>
      </w:r>
    </w:p>
    <w:p w:rsidR="0025709E" w:rsidRPr="00364AC8" w:rsidRDefault="0025709E" w:rsidP="0025709E">
      <w:pPr>
        <w:spacing w:after="60"/>
        <w:ind w:left="-285"/>
        <w:rPr>
          <w:rFonts w:cs="FrankRuehl"/>
          <w:b/>
          <w:bCs/>
          <w:rtl/>
        </w:rPr>
      </w:pPr>
      <w:r w:rsidRPr="00F76FBF">
        <w:rPr>
          <w:rFonts w:cs="FrankRuehl"/>
          <w:b/>
          <w:bCs/>
          <w:highlight w:val="yellow"/>
          <w:rtl/>
        </w:rPr>
        <w:t xml:space="preserve">אולם יש להבדיל הבדל היטב בין הכלל המחייב את הרשות המינהלית לבין הסעד על הפרת הכלל הניתן על ידי בית המשפט. הכלל מצוי במישור אחד, והסעד מצוי במישור אחר. בית המשפט עשוי לשקול, לאחר מעשה, שיקולים שונים מן השיקולים המחייבים את הרשות לפני מעשה. לכן, על הרשות לקיים את חובת השימוע, כפי שהיא מצווה על ידי ההלכה, ללא קשר לתוצאה הצפוייה או האפשרית של הפרת החובה. </w:t>
      </w:r>
      <w:r w:rsidRPr="00F76FBF">
        <w:rPr>
          <w:rFonts w:cs="FrankRuehl" w:hint="cs"/>
          <w:b/>
          <w:bCs/>
          <w:highlight w:val="yellow"/>
          <w:rtl/>
        </w:rPr>
        <w:t>[…]</w:t>
      </w:r>
    </w:p>
    <w:p w:rsidR="0025709E" w:rsidRPr="00364AC8" w:rsidRDefault="0025709E" w:rsidP="0025709E">
      <w:pPr>
        <w:spacing w:after="60"/>
        <w:ind w:left="-285"/>
        <w:rPr>
          <w:rFonts w:cs="FrankRuehl"/>
          <w:rtl/>
        </w:rPr>
      </w:pPr>
      <w:r w:rsidRPr="00364AC8">
        <w:rPr>
          <w:rFonts w:cs="FrankRuehl"/>
          <w:b/>
          <w:bCs/>
          <w:rtl/>
        </w:rPr>
        <w:t>אף אין בפי המנכ"ל טעם טוב אחר, כגון, צורך דוחק לנקוט פעולה מיידית באופן שלא איפשר שימוע</w:t>
      </w:r>
      <w:r w:rsidRPr="00364AC8">
        <w:rPr>
          <w:rFonts w:cs="FrankRuehl"/>
          <w:rtl/>
        </w:rPr>
        <w:t xml:space="preserve">. לפיכך חובה היתה על המנכ"ל לקיים שימוע לפני ביטול המינוי. </w:t>
      </w:r>
    </w:p>
    <w:p w:rsidR="0025709E" w:rsidRPr="00364AC8" w:rsidRDefault="0025709E" w:rsidP="0025709E">
      <w:pPr>
        <w:spacing w:after="60"/>
        <w:ind w:left="-285"/>
        <w:rPr>
          <w:rFonts w:cs="FrankRuehl"/>
          <w:rtl/>
        </w:rPr>
      </w:pPr>
      <w:r w:rsidRPr="00364AC8">
        <w:rPr>
          <w:rFonts w:cs="FrankRuehl" w:hint="cs"/>
          <w:rtl/>
        </w:rPr>
        <w:t>18</w:t>
      </w:r>
      <w:r w:rsidRPr="00364AC8">
        <w:rPr>
          <w:rFonts w:cs="FrankRuehl"/>
          <w:rtl/>
        </w:rPr>
        <w:t xml:space="preserve">. </w:t>
      </w:r>
      <w:r w:rsidRPr="00354120">
        <w:rPr>
          <w:rFonts w:cs="FrankRuehl"/>
          <w:highlight w:val="yellow"/>
          <w:rtl/>
        </w:rPr>
        <w:t>יש סוגים של מקרים בהם אין נפקא מינה אם השימוע מוקדם או מאוחר. יש אפילו סוגים של מקרים בהם השימוע יהיה, בדרך כלל, מאוחר.</w:t>
      </w:r>
      <w:r w:rsidRPr="00364AC8">
        <w:rPr>
          <w:rFonts w:cs="FrankRuehl"/>
          <w:rtl/>
        </w:rPr>
        <w:t xml:space="preserve"> כדברי השופט ויתקון בבג"צ 549/75 חברת סרטי נח בע"מ נ' המועצה לבקורת סרטי קולנוע, פ"ד ל(761 ,757 (1: </w:t>
      </w:r>
    </w:p>
    <w:p w:rsidR="0025709E" w:rsidRPr="00BD20E2" w:rsidRDefault="0025709E" w:rsidP="0025709E">
      <w:pPr>
        <w:spacing w:after="60"/>
        <w:ind w:left="720"/>
        <w:rPr>
          <w:rFonts w:cs="FrankRuehl"/>
          <w:rtl/>
        </w:rPr>
      </w:pPr>
      <w:r w:rsidRPr="00BD20E2">
        <w:rPr>
          <w:rFonts w:cs="FrankRuehl"/>
          <w:rtl/>
        </w:rPr>
        <w:t xml:space="preserve">"יש הרבה מקרים שאין בהם הבדל, מבחינת האזרח, אם ניתן לו להשמיע את טענותיו לפני ההחלטה או אחריה. כך, למשל, הדין בכל ההחלטות שיש בהן אמנם משום פגיעה באזרח, אך מטבע בריאתן הן ארעיות בלבד ואינן אלא שלב מוקדם לדיון העיקרי, שבו יוזמן הנפגע להופיע ולהשמיע את טענותיו". </w:t>
      </w:r>
    </w:p>
    <w:p w:rsidR="0025709E" w:rsidRPr="00364AC8" w:rsidRDefault="0025709E" w:rsidP="0025709E">
      <w:pPr>
        <w:spacing w:after="60"/>
        <w:ind w:left="-285"/>
        <w:rPr>
          <w:rFonts w:cs="FrankRuehl"/>
          <w:rtl/>
        </w:rPr>
      </w:pPr>
      <w:r w:rsidRPr="00364AC8">
        <w:rPr>
          <w:rFonts w:cs="FrankRuehl"/>
          <w:rtl/>
        </w:rPr>
        <w:t xml:space="preserve">כזה הוא, לדוגמא, המקרה של הוצאת </w:t>
      </w:r>
      <w:r w:rsidRPr="00354120">
        <w:rPr>
          <w:rFonts w:cs="FrankRuehl"/>
          <w:highlight w:val="yellow"/>
          <w:rtl/>
        </w:rPr>
        <w:t>צו זמני לעיקול נכס</w:t>
      </w:r>
      <w:r w:rsidRPr="00364AC8">
        <w:rPr>
          <w:rFonts w:cs="FrankRuehl"/>
          <w:rtl/>
        </w:rPr>
        <w:t xml:space="preserve">. </w:t>
      </w:r>
      <w:r w:rsidRPr="00364AC8">
        <w:rPr>
          <w:rFonts w:cs="FrankRuehl" w:hint="cs"/>
          <w:rtl/>
        </w:rPr>
        <w:t>…</w:t>
      </w:r>
      <w:r w:rsidRPr="00364AC8">
        <w:rPr>
          <w:rFonts w:cs="FrankRuehl"/>
          <w:rtl/>
        </w:rPr>
        <w:t xml:space="preserve">. אלה הם מקרים מיוחדים. במקרים אלה או דומים לאלה, שימוע מוקדם אינו מתיישב עם מהות הסמכות או עם תכלית החוק, או שהוא עלול לסכל את התפקוד התקין של הרשות המינהלית, או שיש בו כדי לפגוע באופן ממשי באינטרס חשוב אחר. איזון האינטרסים במקרים כאלה מלמד כי הנזק שייגרם לאדם כתוצאה משימוע מאוחר אינו שקול כנגד הנזק שייגרם לאינטרס אחר כתוצאה משימוע מוקדם. לכן צריך אדם, במקרים כאלה, להסתפק בשימוע מאוחר. </w:t>
      </w:r>
    </w:p>
    <w:p w:rsidR="0025709E" w:rsidRPr="00354120" w:rsidRDefault="0025709E" w:rsidP="0025709E">
      <w:pPr>
        <w:spacing w:after="60"/>
        <w:ind w:left="-285"/>
        <w:rPr>
          <w:rFonts w:cs="FrankRuehl"/>
          <w:highlight w:val="yellow"/>
          <w:rtl/>
        </w:rPr>
      </w:pPr>
      <w:r w:rsidRPr="00354120">
        <w:rPr>
          <w:rFonts w:cs="FrankRuehl"/>
          <w:b/>
          <w:bCs/>
          <w:highlight w:val="yellow"/>
          <w:rtl/>
        </w:rPr>
        <w:t>אולם במקרה הרגיל שאני: שימוע, כשהוא מתחייב מן הדין, הוא שימוע מוקדם ולא שימוע מאוחר. "זכות הטיעון משמעותה, כי דברו של הנפגע יישמע בטרם תתקבל החלטה בעניינו"</w:t>
      </w:r>
      <w:r w:rsidRPr="00354120">
        <w:rPr>
          <w:rFonts w:cs="FrankRuehl" w:hint="cs"/>
          <w:highlight w:val="yellow"/>
          <w:rtl/>
        </w:rPr>
        <w:t>..</w:t>
      </w:r>
      <w:r w:rsidRPr="00354120">
        <w:rPr>
          <w:rFonts w:cs="FrankRuehl"/>
          <w:highlight w:val="yellow"/>
          <w:rtl/>
        </w:rPr>
        <w:t xml:space="preserve">. ומדוע? </w:t>
      </w:r>
    </w:p>
    <w:p w:rsidR="0025709E" w:rsidRPr="00364AC8" w:rsidRDefault="0025709E" w:rsidP="0025709E">
      <w:pPr>
        <w:spacing w:after="60"/>
        <w:ind w:left="-285"/>
        <w:rPr>
          <w:rFonts w:cs="FrankRuehl"/>
          <w:rtl/>
        </w:rPr>
      </w:pPr>
      <w:r w:rsidRPr="00354120">
        <w:rPr>
          <w:rFonts w:cs="FrankRuehl"/>
          <w:highlight w:val="yellow"/>
          <w:rtl/>
        </w:rPr>
        <w:t xml:space="preserve">בדרך כלל </w:t>
      </w:r>
      <w:r w:rsidRPr="00354120">
        <w:rPr>
          <w:rFonts w:cs="FrankRuehl"/>
          <w:b/>
          <w:bCs/>
          <w:highlight w:val="yellow"/>
          <w:rtl/>
        </w:rPr>
        <w:t>שימוע מאוחר</w:t>
      </w:r>
      <w:r w:rsidRPr="00354120">
        <w:rPr>
          <w:rFonts w:cs="FrankRuehl"/>
          <w:highlight w:val="yellow"/>
          <w:rtl/>
        </w:rPr>
        <w:t xml:space="preserve"> שונה מבחינות חשובות משימוע מוקדם. בשימוע מאוחר קיים קושי כפול. </w:t>
      </w:r>
      <w:r w:rsidRPr="00354120">
        <w:rPr>
          <w:rFonts w:cs="FrankRuehl"/>
          <w:b/>
          <w:bCs/>
          <w:highlight w:val="yellow"/>
          <w:rtl/>
        </w:rPr>
        <w:t>ראשית,</w:t>
      </w:r>
      <w:r w:rsidRPr="00354120">
        <w:rPr>
          <w:rFonts w:cs="FrankRuehl"/>
          <w:highlight w:val="yellow"/>
          <w:rtl/>
        </w:rPr>
        <w:t xml:space="preserve"> קשה יותר לשנות את דעת הרשות המוסמכת לאחר שנתגבשה מאשר להשפיע עליה לפני שנתגבשה. </w:t>
      </w:r>
      <w:r w:rsidRPr="00354120">
        <w:rPr>
          <w:rFonts w:cs="FrankRuehl"/>
          <w:b/>
          <w:bCs/>
          <w:highlight w:val="yellow"/>
          <w:rtl/>
        </w:rPr>
        <w:t>שנית,</w:t>
      </w:r>
      <w:r w:rsidRPr="00354120">
        <w:rPr>
          <w:rFonts w:cs="FrankRuehl"/>
          <w:highlight w:val="yellow"/>
          <w:rtl/>
        </w:rPr>
        <w:t xml:space="preserve"> קשה להניע את הרשות המוסמכת שתבטל החלטה שקיבלה, במיוחד אם ניתן לה פומבי, וכביכול תודה כי שגתה. והסיכוי להצליח בשימוע מאוחר עומד ביחס הפוך לקושי: ככל שהקושי גדל, הסיכוי קטן. נמצא כי מי שזכאי לשימוע מוקדם, והוא נאלץ להסתפק בשימוע מאוחר, מתקפח בזכותו. </w:t>
      </w:r>
      <w:r w:rsidRPr="00354120">
        <w:rPr>
          <w:rFonts w:cs="FrankRuehl"/>
          <w:b/>
          <w:bCs/>
          <w:highlight w:val="yellow"/>
          <w:rtl/>
        </w:rPr>
        <w:t>ולא זו בלבד.</w:t>
      </w:r>
      <w:r w:rsidRPr="00354120">
        <w:rPr>
          <w:rFonts w:cs="FrankRuehl"/>
          <w:highlight w:val="yellow"/>
          <w:rtl/>
        </w:rPr>
        <w:t xml:space="preserve"> מי שזכאי לשימוע, והשימוע נדחה עד לאחר שנתקבלה החלטת הרשות, עצם ההחלטה עשויה לגרום לו נזק, לרכושו, לעסקו או למעמדו. והנזק הוא נזק, גם אם ההחלטה תשונה לאחר זמן בעקבות שימוע מאוחר. </w:t>
      </w:r>
      <w:r w:rsidRPr="00354120">
        <w:rPr>
          <w:rFonts w:cs="FrankRuehl"/>
          <w:b/>
          <w:bCs/>
          <w:highlight w:val="yellow"/>
          <w:rtl/>
        </w:rPr>
        <w:t>ועל כל אלה יש להוסיף כי</w:t>
      </w:r>
      <w:r w:rsidRPr="00354120">
        <w:rPr>
          <w:rFonts w:cs="FrankRuehl"/>
          <w:highlight w:val="yellow"/>
          <w:rtl/>
        </w:rPr>
        <w:t xml:space="preserve"> שימוע מאוחר פוגם במראית פני הצדק, ולכן הוא עלול לפגוע באמון הציבור כלפי המינהל הציבורי.</w:t>
      </w:r>
      <w:r w:rsidRPr="00364AC8">
        <w:rPr>
          <w:rFonts w:cs="FrankRuehl"/>
          <w:rtl/>
        </w:rPr>
        <w:t xml:space="preserve"> </w:t>
      </w:r>
    </w:p>
    <w:p w:rsidR="0025709E" w:rsidRPr="00364AC8" w:rsidRDefault="0025709E" w:rsidP="0025709E">
      <w:pPr>
        <w:spacing w:after="60"/>
        <w:ind w:left="-285"/>
        <w:rPr>
          <w:rFonts w:cs="FrankRuehl"/>
          <w:rtl/>
        </w:rPr>
      </w:pPr>
      <w:r w:rsidRPr="00364AC8">
        <w:rPr>
          <w:rFonts w:cs="FrankRuehl"/>
          <w:rtl/>
        </w:rPr>
        <w:t xml:space="preserve">לפיכך הכלל הרחב הוא, כי רשות מוסמכת, שמוטלת עליה חובת שימוע, חייבת לקיים את השימוע לפני קבלת ההחלטה. לא עשתה כן, ואפילו הציעה לקיים שימוע לאחר קבלת ההחלטה, הפרה את חובת השימוע. </w:t>
      </w:r>
    </w:p>
    <w:p w:rsidR="0025709E" w:rsidRPr="00364AC8" w:rsidRDefault="0025709E" w:rsidP="0025709E">
      <w:pPr>
        <w:spacing w:after="60"/>
        <w:ind w:left="-257"/>
        <w:rPr>
          <w:rFonts w:cs="FrankRuehl"/>
          <w:rtl/>
        </w:rPr>
      </w:pPr>
      <w:r w:rsidRPr="00364AC8">
        <w:rPr>
          <w:rFonts w:cs="FrankRuehl"/>
          <w:rtl/>
        </w:rPr>
        <w:t>19</w:t>
      </w:r>
      <w:r w:rsidRPr="00364AC8">
        <w:rPr>
          <w:rFonts w:cs="FrankRuehl" w:hint="cs"/>
          <w:rtl/>
        </w:rPr>
        <w:t>.</w:t>
      </w:r>
      <w:r w:rsidRPr="00364AC8">
        <w:rPr>
          <w:rFonts w:cs="FrankRuehl"/>
          <w:rtl/>
        </w:rPr>
        <w:t xml:space="preserve"> עם זאת, עדיין שאלה היא, מה נפקות ההפרה של חובת השימוע. האם ההפרה מבטלת את ההחלטה מעיקרה? לא בהכרח. </w:t>
      </w:r>
      <w:r w:rsidRPr="00364AC8">
        <w:rPr>
          <w:rFonts w:cs="FrankRuehl" w:hint="cs"/>
          <w:rtl/>
        </w:rPr>
        <w:t xml:space="preserve">[...] </w:t>
      </w:r>
      <w:r w:rsidRPr="00364AC8">
        <w:rPr>
          <w:rFonts w:cs="FrankRuehl"/>
          <w:rtl/>
        </w:rPr>
        <w:t xml:space="preserve">"לא תמיד גורמת הפרת אחד מכללי הצדק לבטלות הדיון מעיקרא. המבחן אינו נוקשה אלא גמיש ויחסי הדברים תלויים במידת החומרה של ההפרה ובנסיבותיה". </w:t>
      </w:r>
    </w:p>
    <w:p w:rsidR="0025709E" w:rsidRPr="00364AC8" w:rsidRDefault="0025709E" w:rsidP="0025709E">
      <w:pPr>
        <w:spacing w:after="60"/>
        <w:ind w:left="-257"/>
        <w:rPr>
          <w:rFonts w:cs="FrankRuehl"/>
          <w:rtl/>
        </w:rPr>
      </w:pPr>
      <w:r w:rsidRPr="00364AC8">
        <w:rPr>
          <w:rFonts w:cs="FrankRuehl"/>
          <w:rtl/>
        </w:rPr>
        <w:t xml:space="preserve">דברים אלה הם התמצית של תיאוריה חדשה, הלא היא </w:t>
      </w:r>
      <w:r w:rsidRPr="00364AC8">
        <w:rPr>
          <w:rFonts w:cs="FrankRuehl"/>
          <w:b/>
          <w:bCs/>
          <w:highlight w:val="yellow"/>
          <w:rtl/>
        </w:rPr>
        <w:t>הת</w:t>
      </w:r>
      <w:r w:rsidRPr="00364AC8">
        <w:rPr>
          <w:rFonts w:cs="FrankRuehl" w:hint="cs"/>
          <w:b/>
          <w:bCs/>
          <w:highlight w:val="yellow"/>
          <w:rtl/>
        </w:rPr>
        <w:t>י</w:t>
      </w:r>
      <w:r w:rsidRPr="00364AC8">
        <w:rPr>
          <w:rFonts w:cs="FrankRuehl"/>
          <w:b/>
          <w:bCs/>
          <w:highlight w:val="yellow"/>
          <w:rtl/>
        </w:rPr>
        <w:t>אוריה בדבר הבטלות היחסית,</w:t>
      </w:r>
      <w:r w:rsidRPr="00364AC8">
        <w:rPr>
          <w:rFonts w:cs="FrankRuehl"/>
          <w:rtl/>
        </w:rPr>
        <w:t xml:space="preserve"> ההולכת וקונה לה מהלכים בפסיקה. </w:t>
      </w:r>
      <w:r w:rsidRPr="00364AC8">
        <w:rPr>
          <w:rFonts w:cs="FrankRuehl" w:hint="cs"/>
          <w:rtl/>
        </w:rPr>
        <w:t>[...]</w:t>
      </w:r>
    </w:p>
    <w:p w:rsidR="0025709E" w:rsidRPr="00364AC8" w:rsidRDefault="0025709E" w:rsidP="0025709E">
      <w:pPr>
        <w:spacing w:after="60"/>
        <w:ind w:left="-257"/>
        <w:rPr>
          <w:rFonts w:cs="FrankRuehl"/>
          <w:rtl/>
        </w:rPr>
      </w:pPr>
      <w:r w:rsidRPr="00364AC8">
        <w:rPr>
          <w:rFonts w:cs="FrankRuehl" w:hint="cs"/>
          <w:rtl/>
        </w:rPr>
        <w:t xml:space="preserve">20 […] </w:t>
      </w:r>
      <w:r w:rsidRPr="00E2664F">
        <w:rPr>
          <w:rFonts w:cs="FrankRuehl"/>
          <w:highlight w:val="yellow"/>
          <w:rtl/>
        </w:rPr>
        <w:t>בקצה אחד</w:t>
      </w:r>
      <w:r w:rsidRPr="00364AC8">
        <w:rPr>
          <w:rFonts w:cs="FrankRuehl"/>
          <w:rtl/>
        </w:rPr>
        <w:t>, יש נסיבות מיוחדות, בהן העובדה שלא ניתן שימוע מוקדם פוסלת את ההחלטה, ולא ניתן להחיות את ההחלטה באמצעות שימוע מאוחר. בנסיבות כאלה ההנחה היא כי שימוע מאוחר לא יוכל לתקן את המעוות שנגרם.</w:t>
      </w:r>
      <w:r w:rsidRPr="00364AC8">
        <w:rPr>
          <w:rFonts w:cs="FrankRuehl" w:hint="cs"/>
          <w:rtl/>
        </w:rPr>
        <w:t xml:space="preserve"> […]</w:t>
      </w:r>
      <w:r w:rsidRPr="00364AC8">
        <w:rPr>
          <w:rFonts w:cs="FrankRuehl"/>
          <w:rtl/>
        </w:rPr>
        <w:t xml:space="preserve"> </w:t>
      </w:r>
      <w:r w:rsidRPr="00E2664F">
        <w:rPr>
          <w:rFonts w:cs="FrankRuehl"/>
          <w:highlight w:val="yellow"/>
          <w:rtl/>
        </w:rPr>
        <w:t>בקצה השני</w:t>
      </w:r>
      <w:r w:rsidRPr="00364AC8">
        <w:rPr>
          <w:rFonts w:cs="FrankRuehl"/>
          <w:rtl/>
        </w:rPr>
        <w:t xml:space="preserve"> יש נסיבות בהן, אף שחובת השימוע המוקדם הופרה, לא יראה בית המשפט לבטל את ההחלטה. כך אם מניעת השימוע המוקדם לא גרמה עוול.</w:t>
      </w:r>
      <w:r w:rsidRPr="00364AC8">
        <w:rPr>
          <w:rFonts w:cs="FrankRuehl" w:hint="cs"/>
          <w:rtl/>
        </w:rPr>
        <w:t xml:space="preserve">[…] </w:t>
      </w:r>
      <w:r w:rsidRPr="00E2664F">
        <w:rPr>
          <w:rFonts w:cs="FrankRuehl"/>
          <w:highlight w:val="yellow"/>
          <w:rtl/>
        </w:rPr>
        <w:t>בתווך</w:t>
      </w:r>
      <w:r w:rsidRPr="00364AC8">
        <w:rPr>
          <w:rFonts w:cs="FrankRuehl"/>
          <w:rtl/>
        </w:rPr>
        <w:t xml:space="preserve"> מצויים המקרים הרגילים. במקרים אלה, בהעדר שיקולים המוליכים לקצה האחד או לקצה השני, ההפרה של חובת השימוע המוקדם גורמת לביטול ההחלטה שהתקבלה, אך אינה מונעת קבלת החלטה חדשה לאחר שימוע. </w:t>
      </w:r>
      <w:r w:rsidRPr="00354120">
        <w:rPr>
          <w:rFonts w:cs="FrankRuehl"/>
          <w:highlight w:val="yellow"/>
          <w:rtl/>
        </w:rPr>
        <w:t xml:space="preserve">במקרים כאלה בית המשפט מחזיר את הענין אל הרשות המוסמכת, כדי שתדון בו מחדש, ובמסגרת הדיון תקיים שימוע כהלכתו. השימוע במקרים כאלה יהיה כמו תערובת של שימוע מוקדם ושימוע מאוחר. הוא דומה לשימוע מוקדם, כיוון שההחלטה הראשונה בוטלה על ידי בית המשפט, ועל הרשות המוסמכת לשקול מחדש את הענין, כאילו מעולם לא קיבלה החלטה בענין זה. אך הוא דומה גם לשימוע מאוחר, כיוון שבכל זאת כבר נתקבלה החלטה לגופו של ענין, והגם שבוטלה ספק אם גם הצל שלה נעלם. </w:t>
      </w:r>
      <w:r w:rsidRPr="00354120">
        <w:rPr>
          <w:rFonts w:cs="FrankRuehl"/>
          <w:b/>
          <w:bCs/>
          <w:highlight w:val="yellow"/>
          <w:rtl/>
        </w:rPr>
        <w:t>כדי להשתחרר במידת האפשר מן הצל של אותה החלטה, ניתן לעתים להעביר את הענין לדיון מחדש בפני אדם שלא היה מעורב באותו ענין, במסגרת הרשות המוסמכת. אך לא פעם אין מנוס אלא להחזיר את הענין אל אותו אדם שכבר דן והחליט באותו ענין, להבהיר לו כי עליו לראות עצמו משוחרר מכבלי ההחלטה שבוטלה,</w:t>
      </w:r>
      <w:r w:rsidRPr="00354120">
        <w:rPr>
          <w:rFonts w:cs="FrankRuehl"/>
          <w:highlight w:val="yellow"/>
          <w:rtl/>
        </w:rPr>
        <w:t xml:space="preserve"> ולצפות כי ישכיל לשקול את הענין לגופו, בדעה פתוחה. והרי זה בבחינת כורח השעה.</w:t>
      </w:r>
      <w:r w:rsidRPr="00364AC8">
        <w:rPr>
          <w:rFonts w:cs="FrankRuehl"/>
          <w:rtl/>
        </w:rPr>
        <w:t xml:space="preserve"> </w:t>
      </w:r>
    </w:p>
    <w:p w:rsidR="0025709E" w:rsidRPr="00364AC8" w:rsidRDefault="0025709E" w:rsidP="0025709E">
      <w:pPr>
        <w:spacing w:after="60"/>
        <w:ind w:left="-257"/>
        <w:rPr>
          <w:rFonts w:cs="FrankRuehl"/>
          <w:rtl/>
        </w:rPr>
      </w:pPr>
      <w:r w:rsidRPr="00364AC8">
        <w:rPr>
          <w:rFonts w:cs="FrankRuehl"/>
          <w:rtl/>
        </w:rPr>
        <w:t xml:space="preserve">בסופו של חשבון, בדרך כלל נותר הבדל מהותי בין שימוע מוקדם לבין שימוע מאוחר, וצריך להודות כי שימוע מאוחר אינו אלא הרע במיעוטו. </w:t>
      </w:r>
    </w:p>
    <w:p w:rsidR="0025709E" w:rsidRPr="00364AC8" w:rsidRDefault="0025709E" w:rsidP="0025709E">
      <w:pPr>
        <w:spacing w:after="60"/>
        <w:ind w:left="-257"/>
        <w:rPr>
          <w:rFonts w:cs="FrankRuehl"/>
          <w:rtl/>
        </w:rPr>
      </w:pPr>
      <w:r w:rsidRPr="00364AC8">
        <w:rPr>
          <w:rFonts w:cs="FrankRuehl"/>
          <w:rtl/>
        </w:rPr>
        <w:t xml:space="preserve">21. ההבדל במהות בין שימוע מוקדם לבין שימוע מאוחר הוביל להבדל בדין בין זה לבין זה. עמד על כך השופט שמגר, כתוארו אז, בבג"צ 549/75 חברת סרטי נח בע"מ נ' המועצה לבקורת סרטי קולנוע, פ"ד ל(757 (1, וכך אמר (בעמ' 765): </w:t>
      </w:r>
    </w:p>
    <w:p w:rsidR="0025709E" w:rsidRPr="00F76FBF" w:rsidRDefault="0025709E" w:rsidP="0025709E">
      <w:pPr>
        <w:tabs>
          <w:tab w:val="left" w:pos="423"/>
        </w:tabs>
        <w:spacing w:after="60"/>
        <w:ind w:left="423"/>
        <w:rPr>
          <w:rFonts w:cs="FrankRuehl"/>
          <w:rtl/>
        </w:rPr>
      </w:pPr>
      <w:r w:rsidRPr="00F76FBF">
        <w:rPr>
          <w:rFonts w:cs="FrankRuehl"/>
          <w:highlight w:val="yellow"/>
          <w:rtl/>
        </w:rPr>
        <w:t xml:space="preserve">"הנני סבור כי אמות-המידה על-פיה תיבדק כשרות הפעולה שונות הן כאשר מדובר בשמיעה לפני מתן ההחלטה, מחד גיסא, ובשמיעה לאחר מתן ההחלטה, מאידך גיסא. </w:t>
      </w:r>
      <w:r w:rsidRPr="00F76FBF">
        <w:rPr>
          <w:rFonts w:cs="FrankRuehl"/>
          <w:b/>
          <w:bCs/>
          <w:highlight w:val="yellow"/>
          <w:rtl/>
        </w:rPr>
        <w:t xml:space="preserve">בו בזמן ששמיעתו של הנוגע בדבר לפני ההכרעה יוצרת הנחה לכאורה של הליכים תקינים, בהם קדם ריכוז הנתונים ושיקול הדעת לגיבושה של ההחלטה הסופית, הרי כאשר מדובר על שמיעה לאחר מעשה אין הנחה כאמור ויהיה זה בדרך-כלל מחובתה של הרשות להוסיף ולשכנע כי למרות היפוך סדרי השמיעה וההחלטה, אכן תוקן המעוות לאחר מעשה. </w:t>
      </w:r>
      <w:r w:rsidRPr="00F76FBF">
        <w:rPr>
          <w:rFonts w:cs="FrankRuehl"/>
          <w:highlight w:val="yellow"/>
          <w:rtl/>
        </w:rPr>
        <w:t>ומותר להוסיף כי כל מקרה ייבדק לאור נסיבותיו ונתוניו".</w:t>
      </w:r>
      <w:r w:rsidRPr="00F76FBF">
        <w:rPr>
          <w:rFonts w:cs="FrankRuehl"/>
          <w:rtl/>
        </w:rPr>
        <w:t xml:space="preserve"> </w:t>
      </w:r>
    </w:p>
    <w:p w:rsidR="0025709E" w:rsidRPr="00F76FBF" w:rsidRDefault="0025709E" w:rsidP="0025709E">
      <w:pPr>
        <w:spacing w:after="60"/>
        <w:ind w:left="-257"/>
        <w:rPr>
          <w:rFonts w:cs="FrankRuehl"/>
          <w:rtl/>
        </w:rPr>
      </w:pPr>
      <w:r w:rsidRPr="00F76FBF">
        <w:rPr>
          <w:rFonts w:cs="FrankRuehl"/>
          <w:rtl/>
        </w:rPr>
        <w:t xml:space="preserve">22. ומה נגזר מן הדין לגבי המקרה שלפנינו? במקרה שלפנינו החליט המנכ"ל להעביר את העותר מכהונתו בוועדה לתכנון ולבניה ללא שימוע מוקדם. בכך הפר את חובת השימוע. </w:t>
      </w:r>
      <w:r w:rsidRPr="00F76FBF">
        <w:rPr>
          <w:rFonts w:cs="FrankRuehl"/>
          <w:b/>
          <w:bCs/>
          <w:rtl/>
        </w:rPr>
        <w:t>בדרך כלל, הפרה של חובת השימוע גוררת את ביטול ההחלטה, אלא אם יש טעם שימנע את הביטול. במקרה זה אין טעם כזה. לפיכך יש לקבוע, כמו במקרה רגיל של הפרת החובה לשמוע, כי החלטת המנכ"ל בטלה. יוצא כי העותר עדיין מכהן כחבר בוועדה לתכנון ולבניה.</w:t>
      </w:r>
      <w:r w:rsidRPr="00F76FBF">
        <w:rPr>
          <w:rFonts w:cs="FrankRuehl"/>
          <w:rtl/>
        </w:rPr>
        <w:t xml:space="preserve"> </w:t>
      </w:r>
    </w:p>
    <w:p w:rsidR="0025709E" w:rsidRPr="00F76FBF" w:rsidRDefault="0025709E" w:rsidP="0025709E">
      <w:pPr>
        <w:spacing w:after="60"/>
        <w:ind w:left="-257"/>
        <w:rPr>
          <w:rFonts w:cs="FrankRuehl"/>
          <w:rtl/>
        </w:rPr>
      </w:pPr>
      <w:r w:rsidRPr="00F76FBF">
        <w:rPr>
          <w:rFonts w:cs="FrankRuehl"/>
          <w:b/>
          <w:bCs/>
          <w:rtl/>
        </w:rPr>
        <w:t>אולם, האם המנכ"ל מנוע מלשקול מחדש אם ראוי להעביר את העותר מכהונתו בוועדה לתכנון ולבניה?</w:t>
      </w:r>
      <w:r w:rsidRPr="00F76FBF">
        <w:rPr>
          <w:rFonts w:cs="FrankRuehl"/>
          <w:rtl/>
        </w:rPr>
        <w:t xml:space="preserve"> לו כך אמרנו, נמצא כי שגגה שיצאה מאת המנכ"ל משריינת את מקומו של העותר בוועדה, אף אם יהיה טעם להחליפו באחר, ומסכלת את כוחה של המועצה המקומית כפר קרע, לפי סעיף 19(א)(2) לחוק התכנון והבניה, להציע למנכ"ל מועמד הנראה לה ראוי לכהונה בוועדה לתכנון ולבניה. ואין זו תוצאה רצוייה. </w:t>
      </w:r>
    </w:p>
    <w:p w:rsidR="0025709E" w:rsidRPr="00F76FBF" w:rsidRDefault="0025709E" w:rsidP="0025709E">
      <w:pPr>
        <w:ind w:left="-257"/>
        <w:rPr>
          <w:rFonts w:cs="FrankRuehl"/>
          <w:rtl/>
        </w:rPr>
      </w:pPr>
      <w:r w:rsidRPr="00F76FBF">
        <w:rPr>
          <w:rFonts w:cs="FrankRuehl"/>
          <w:rtl/>
        </w:rPr>
        <w:t xml:space="preserve">לכן רשאי המנכ"ל, אם יראה לנכון, לשקול מחדש אם ראוי להעביר את העותר מכהונתו בוועדה לתכנון ולבניה, מכוח הסמכות המוקנית לו בסעיף 21 לחוק התכנון והבניה. אם המנכ"ל יהיה סבור כי לכאורה יש סיבה המצדיקה את העברת העותר מכהונתו, יהיה עליו להציע לעותר שימוע לפני שיחליט בדבר. וחזקה עליו שיהיה מודע לחובתו לקיים את השימוע, כפי שקיבל על עצמו בפני בית משפט זה, "בלב פתוח ובנפש חפצה". </w:t>
      </w:r>
    </w:p>
    <w:p w:rsidR="0025709E" w:rsidRDefault="0025709E" w:rsidP="0025709E">
      <w:pPr>
        <w:jc w:val="right"/>
        <w:rPr>
          <w:b/>
          <w:bCs/>
          <w:sz w:val="20"/>
          <w:szCs w:val="20"/>
          <w:rtl/>
        </w:rPr>
      </w:pPr>
    </w:p>
    <w:p w:rsidR="0025709E" w:rsidRDefault="0025709E" w:rsidP="0025709E">
      <w:pPr>
        <w:jc w:val="left"/>
        <w:rPr>
          <w:rtl/>
        </w:rPr>
      </w:pPr>
      <w:r>
        <w:rPr>
          <w:rFonts w:hint="cs"/>
          <w:b/>
          <w:bCs/>
          <w:sz w:val="20"/>
          <w:szCs w:val="20"/>
          <w:rtl/>
        </w:rPr>
        <w:t>=-=</w:t>
      </w:r>
    </w:p>
    <w:p w:rsidR="0025709E" w:rsidRPr="00380EEF" w:rsidRDefault="0025709E" w:rsidP="0025709E">
      <w:pPr>
        <w:tabs>
          <w:tab w:val="left" w:pos="423"/>
        </w:tabs>
        <w:spacing w:after="120"/>
        <w:jc w:val="left"/>
        <w:rPr>
          <w:rFonts w:ascii="Arial" w:hAnsi="Arial" w:cs="Arial"/>
          <w:sz w:val="22"/>
          <w:szCs w:val="22"/>
          <w:rtl/>
        </w:rPr>
      </w:pPr>
      <w:r w:rsidRPr="00364AC8">
        <w:rPr>
          <w:rFonts w:ascii="Arial" w:hAnsi="Arial" w:cs="Arial"/>
          <w:highlight w:val="yellow"/>
          <w:u w:val="single"/>
          <w:rtl/>
        </w:rPr>
        <w:t xml:space="preserve">בג"צ 4914/94 </w:t>
      </w:r>
      <w:r w:rsidRPr="00364AC8">
        <w:rPr>
          <w:rFonts w:ascii="Arial" w:hAnsi="Arial" w:cs="Arial"/>
          <w:b/>
          <w:bCs/>
          <w:highlight w:val="yellow"/>
          <w:u w:val="single"/>
          <w:rtl/>
        </w:rPr>
        <w:t>טרנר נ' מבקרת המדינה</w:t>
      </w:r>
      <w:r w:rsidRPr="00364AC8">
        <w:rPr>
          <w:rFonts w:ascii="Arial" w:hAnsi="Arial" w:cs="Arial"/>
          <w:highlight w:val="yellow"/>
          <w:u w:val="single"/>
          <w:rtl/>
        </w:rPr>
        <w:t>, פ"ד מט(3) 771</w:t>
      </w:r>
      <w:r w:rsidRPr="00380EEF">
        <w:rPr>
          <w:rFonts w:ascii="Arial" w:hAnsi="Arial" w:cs="Arial"/>
          <w:highlight w:val="yellow"/>
          <w:rtl/>
        </w:rPr>
        <w:t xml:space="preserve"> </w:t>
      </w:r>
      <w:r w:rsidRPr="00380EEF">
        <w:rPr>
          <w:rFonts w:ascii="Arial" w:hAnsi="Arial" w:cs="Arial"/>
          <w:sz w:val="22"/>
          <w:szCs w:val="22"/>
          <w:rtl/>
        </w:rPr>
        <w:t>[ההדגשות הוספו]</w:t>
      </w:r>
    </w:p>
    <w:p w:rsidR="0025709E" w:rsidRPr="00364AC8" w:rsidRDefault="0025709E" w:rsidP="0025709E">
      <w:pPr>
        <w:tabs>
          <w:tab w:val="left" w:pos="423"/>
        </w:tabs>
        <w:rPr>
          <w:rFonts w:cs="FrankRuehl"/>
          <w:sz w:val="22"/>
          <w:szCs w:val="22"/>
          <w:rtl/>
        </w:rPr>
      </w:pPr>
    </w:p>
    <w:p w:rsidR="0025709E" w:rsidRPr="0022308B" w:rsidRDefault="0025709E" w:rsidP="0025709E">
      <w:pPr>
        <w:tabs>
          <w:tab w:val="left" w:pos="423"/>
        </w:tabs>
        <w:rPr>
          <w:sz w:val="20"/>
          <w:szCs w:val="20"/>
          <w:rtl/>
        </w:rPr>
      </w:pPr>
      <w:r w:rsidRPr="0022308B">
        <w:rPr>
          <w:sz w:val="20"/>
          <w:szCs w:val="20"/>
          <w:rtl/>
        </w:rPr>
        <w:t>הרקע לעתירה ולדו"ח [מבקרת המדינה] אשר עליו העתירה סבה, הוא מחלוקת עובדתית בענין נסיבות</w:t>
      </w:r>
      <w:r>
        <w:rPr>
          <w:sz w:val="20"/>
          <w:szCs w:val="20"/>
          <w:rtl/>
        </w:rPr>
        <w:t xml:space="preserve"> </w:t>
      </w:r>
      <w:r w:rsidRPr="0022308B">
        <w:rPr>
          <w:sz w:val="20"/>
          <w:szCs w:val="20"/>
          <w:rtl/>
        </w:rPr>
        <w:t>וסיבות</w:t>
      </w:r>
      <w:r>
        <w:rPr>
          <w:sz w:val="20"/>
          <w:szCs w:val="20"/>
          <w:rtl/>
        </w:rPr>
        <w:t xml:space="preserve"> </w:t>
      </w:r>
      <w:r w:rsidRPr="0022308B">
        <w:rPr>
          <w:sz w:val="20"/>
          <w:szCs w:val="20"/>
          <w:rtl/>
        </w:rPr>
        <w:t>פרישתו</w:t>
      </w:r>
      <w:r>
        <w:rPr>
          <w:sz w:val="20"/>
          <w:szCs w:val="20"/>
          <w:rtl/>
        </w:rPr>
        <w:t xml:space="preserve"> </w:t>
      </w:r>
      <w:r w:rsidRPr="0022308B">
        <w:rPr>
          <w:sz w:val="20"/>
          <w:szCs w:val="20"/>
          <w:rtl/>
        </w:rPr>
        <w:t>של</w:t>
      </w:r>
      <w:r>
        <w:rPr>
          <w:sz w:val="20"/>
          <w:szCs w:val="20"/>
          <w:rtl/>
        </w:rPr>
        <w:t xml:space="preserve"> </w:t>
      </w:r>
      <w:r w:rsidRPr="0022308B">
        <w:rPr>
          <w:sz w:val="20"/>
          <w:szCs w:val="20"/>
          <w:rtl/>
        </w:rPr>
        <w:t>העותר</w:t>
      </w:r>
      <w:r>
        <w:rPr>
          <w:sz w:val="20"/>
          <w:szCs w:val="20"/>
          <w:rtl/>
        </w:rPr>
        <w:t xml:space="preserve"> </w:t>
      </w:r>
      <w:r w:rsidRPr="0022308B">
        <w:rPr>
          <w:sz w:val="20"/>
          <w:szCs w:val="20"/>
          <w:rtl/>
        </w:rPr>
        <w:t>מתפקידו</w:t>
      </w:r>
      <w:r>
        <w:rPr>
          <w:sz w:val="20"/>
          <w:szCs w:val="20"/>
          <w:rtl/>
        </w:rPr>
        <w:t xml:space="preserve"> </w:t>
      </w:r>
      <w:r w:rsidRPr="0022308B">
        <w:rPr>
          <w:sz w:val="20"/>
          <w:szCs w:val="20"/>
          <w:rtl/>
        </w:rPr>
        <w:t xml:space="preserve">כמפכ"ל [המשטרה]. </w:t>
      </w:r>
    </w:p>
    <w:p w:rsidR="0025709E" w:rsidRPr="0022308B" w:rsidRDefault="0025709E" w:rsidP="0025709E">
      <w:pPr>
        <w:tabs>
          <w:tab w:val="left" w:pos="423"/>
        </w:tabs>
        <w:rPr>
          <w:sz w:val="20"/>
          <w:szCs w:val="20"/>
          <w:rtl/>
        </w:rPr>
      </w:pPr>
      <w:r w:rsidRPr="0022308B">
        <w:rPr>
          <w:sz w:val="20"/>
          <w:szCs w:val="20"/>
          <w:rtl/>
        </w:rPr>
        <w:t xml:space="preserve">העותר הוא רב-ניצב בדימוס במשטרת ישראל. הוא שימש כמפכ"ל משטרת ישראל מחודש אפריל 1990 ועד 31 לחודש מרץ 1993, מועד פרישתו ממשטרת ישראל. לפי גירסתו של העותר, הוא זומן לשיחה עם שר המשטרה ובה נתבקש (העותר) להחליף את צוות החקירה העוסק בחקירתו של שר הפנים דאז [השר דרעי]. לטענתו, סירב העותר לבקשת שר המשטרה, ולפי תחושתו של העותר היה הסירוב למורת רוחו של השר. לפי הטענה, סירוב זה היה הסיבה לקיצור תקופת כהונתו של העותר ולהפסקתה. </w:t>
      </w:r>
    </w:p>
    <w:p w:rsidR="0025709E" w:rsidRPr="0022308B" w:rsidRDefault="0025709E" w:rsidP="0025709E">
      <w:pPr>
        <w:tabs>
          <w:tab w:val="left" w:pos="423"/>
        </w:tabs>
        <w:rPr>
          <w:sz w:val="20"/>
          <w:szCs w:val="20"/>
          <w:rtl/>
        </w:rPr>
      </w:pPr>
      <w:r w:rsidRPr="0022308B">
        <w:rPr>
          <w:sz w:val="20"/>
          <w:szCs w:val="20"/>
          <w:rtl/>
        </w:rPr>
        <w:t xml:space="preserve">לטענת השר, הוא נאלץ להביא את כהונת העותר לידי סיום, בעקבות פגישה שקיים העותר עם מזכ"ל מפלגת העבודה, שבה הוצע לעותר להתמודד בבחירות כמועמד של מפלגת העבודה לראשות עיריית תל-אביב-יפו. </w:t>
      </w:r>
    </w:p>
    <w:p w:rsidR="0025709E" w:rsidRPr="0022308B" w:rsidRDefault="0025709E" w:rsidP="0025709E">
      <w:pPr>
        <w:tabs>
          <w:tab w:val="left" w:pos="423"/>
        </w:tabs>
        <w:rPr>
          <w:sz w:val="20"/>
          <w:szCs w:val="20"/>
          <w:rtl/>
        </w:rPr>
      </w:pPr>
      <w:r w:rsidRPr="0022308B">
        <w:rPr>
          <w:sz w:val="20"/>
          <w:szCs w:val="20"/>
          <w:rtl/>
        </w:rPr>
        <w:t>מבקרת המדינה</w:t>
      </w:r>
      <w:r>
        <w:rPr>
          <w:sz w:val="20"/>
          <w:szCs w:val="20"/>
          <w:rtl/>
        </w:rPr>
        <w:t xml:space="preserve"> </w:t>
      </w:r>
      <w:r w:rsidRPr="0022308B">
        <w:rPr>
          <w:sz w:val="20"/>
          <w:szCs w:val="20"/>
          <w:rtl/>
        </w:rPr>
        <w:t>קיימה את בדיקתה תחילה בדרך של קבלת גירסאות כתובות מאת העותר</w:t>
      </w:r>
      <w:r>
        <w:rPr>
          <w:sz w:val="20"/>
          <w:szCs w:val="20"/>
          <w:rtl/>
        </w:rPr>
        <w:t xml:space="preserve"> </w:t>
      </w:r>
      <w:r w:rsidRPr="0022308B">
        <w:rPr>
          <w:sz w:val="20"/>
          <w:szCs w:val="20"/>
          <w:rtl/>
        </w:rPr>
        <w:t>ומאת</w:t>
      </w:r>
      <w:r>
        <w:rPr>
          <w:sz w:val="20"/>
          <w:szCs w:val="20"/>
          <w:rtl/>
        </w:rPr>
        <w:t xml:space="preserve"> </w:t>
      </w:r>
      <w:r w:rsidRPr="0022308B">
        <w:rPr>
          <w:sz w:val="20"/>
          <w:szCs w:val="20"/>
          <w:rtl/>
        </w:rPr>
        <w:t>שר</w:t>
      </w:r>
      <w:r>
        <w:rPr>
          <w:sz w:val="20"/>
          <w:szCs w:val="20"/>
          <w:rtl/>
        </w:rPr>
        <w:t xml:space="preserve"> </w:t>
      </w:r>
      <w:r w:rsidRPr="0022308B">
        <w:rPr>
          <w:sz w:val="20"/>
          <w:szCs w:val="20"/>
          <w:rtl/>
        </w:rPr>
        <w:t>המשטרה,</w:t>
      </w:r>
      <w:r>
        <w:rPr>
          <w:sz w:val="20"/>
          <w:szCs w:val="20"/>
          <w:rtl/>
        </w:rPr>
        <w:t xml:space="preserve"> </w:t>
      </w:r>
      <w:r w:rsidRPr="0022308B">
        <w:rPr>
          <w:sz w:val="20"/>
          <w:szCs w:val="20"/>
          <w:rtl/>
        </w:rPr>
        <w:t>ולאחר מכן זימנה אליה או אל עובדי משרדה, על-פי שיקול דעתה, עדים שונים ובתוכם גם את העותר עצמו. בחוות הדעת</w:t>
      </w:r>
      <w:r>
        <w:rPr>
          <w:sz w:val="20"/>
          <w:szCs w:val="20"/>
          <w:rtl/>
        </w:rPr>
        <w:t xml:space="preserve"> </w:t>
      </w:r>
      <w:r w:rsidRPr="0022308B">
        <w:rPr>
          <w:sz w:val="20"/>
          <w:szCs w:val="20"/>
          <w:rtl/>
        </w:rPr>
        <w:t>של</w:t>
      </w:r>
      <w:r>
        <w:rPr>
          <w:sz w:val="20"/>
          <w:szCs w:val="20"/>
          <w:rtl/>
        </w:rPr>
        <w:t xml:space="preserve"> </w:t>
      </w:r>
      <w:r w:rsidRPr="0022308B">
        <w:rPr>
          <w:sz w:val="20"/>
          <w:szCs w:val="20"/>
          <w:rtl/>
        </w:rPr>
        <w:t>מבקרת</w:t>
      </w:r>
      <w:r>
        <w:rPr>
          <w:sz w:val="20"/>
          <w:szCs w:val="20"/>
          <w:rtl/>
        </w:rPr>
        <w:t xml:space="preserve"> </w:t>
      </w:r>
      <w:r w:rsidRPr="0022308B">
        <w:rPr>
          <w:sz w:val="20"/>
          <w:szCs w:val="20"/>
          <w:rtl/>
        </w:rPr>
        <w:t>המדינה</w:t>
      </w:r>
      <w:r>
        <w:rPr>
          <w:sz w:val="20"/>
          <w:szCs w:val="20"/>
          <w:rtl/>
        </w:rPr>
        <w:t xml:space="preserve"> </w:t>
      </w:r>
      <w:r w:rsidRPr="0022308B">
        <w:rPr>
          <w:sz w:val="20"/>
          <w:szCs w:val="20"/>
          <w:rtl/>
        </w:rPr>
        <w:t>אותה</w:t>
      </w:r>
      <w:r>
        <w:rPr>
          <w:sz w:val="20"/>
          <w:szCs w:val="20"/>
          <w:rtl/>
        </w:rPr>
        <w:t xml:space="preserve"> </w:t>
      </w:r>
      <w:r w:rsidRPr="0022308B">
        <w:rPr>
          <w:sz w:val="20"/>
          <w:szCs w:val="20"/>
          <w:rtl/>
        </w:rPr>
        <w:t>הגישה לועדה לביקורת המדינה נדחתה כבלתי</w:t>
      </w:r>
      <w:r>
        <w:rPr>
          <w:sz w:val="20"/>
          <w:szCs w:val="20"/>
          <w:rtl/>
        </w:rPr>
        <w:t xml:space="preserve"> </w:t>
      </w:r>
      <w:r w:rsidRPr="0022308B">
        <w:rPr>
          <w:sz w:val="20"/>
          <w:szCs w:val="20"/>
          <w:rtl/>
        </w:rPr>
        <w:t>אמינה</w:t>
      </w:r>
      <w:r>
        <w:rPr>
          <w:sz w:val="20"/>
          <w:szCs w:val="20"/>
          <w:rtl/>
        </w:rPr>
        <w:t xml:space="preserve"> </w:t>
      </w:r>
      <w:r w:rsidRPr="0022308B">
        <w:rPr>
          <w:sz w:val="20"/>
          <w:szCs w:val="20"/>
          <w:rtl/>
        </w:rPr>
        <w:t>גירסת העותר בענין מהות פניותיו של שר המשטרה אליו.</w:t>
      </w:r>
      <w:r>
        <w:rPr>
          <w:sz w:val="20"/>
          <w:szCs w:val="20"/>
          <w:rtl/>
        </w:rPr>
        <w:t xml:space="preserve"> </w:t>
      </w:r>
      <w:r w:rsidRPr="0022308B">
        <w:rPr>
          <w:sz w:val="20"/>
          <w:szCs w:val="20"/>
          <w:rtl/>
        </w:rPr>
        <w:t>כן נדחתה</w:t>
      </w:r>
      <w:r>
        <w:rPr>
          <w:sz w:val="20"/>
          <w:szCs w:val="20"/>
          <w:rtl/>
        </w:rPr>
        <w:t xml:space="preserve"> </w:t>
      </w:r>
      <w:r w:rsidRPr="0022308B">
        <w:rPr>
          <w:sz w:val="20"/>
          <w:szCs w:val="20"/>
          <w:rtl/>
        </w:rPr>
        <w:t>הטענה</w:t>
      </w:r>
      <w:r>
        <w:rPr>
          <w:sz w:val="20"/>
          <w:szCs w:val="20"/>
          <w:rtl/>
        </w:rPr>
        <w:t xml:space="preserve"> </w:t>
      </w:r>
      <w:r w:rsidRPr="0022308B">
        <w:rPr>
          <w:sz w:val="20"/>
          <w:szCs w:val="20"/>
          <w:rtl/>
        </w:rPr>
        <w:t>שההחלטה</w:t>
      </w:r>
      <w:r>
        <w:rPr>
          <w:sz w:val="20"/>
          <w:szCs w:val="20"/>
          <w:rtl/>
        </w:rPr>
        <w:t xml:space="preserve"> </w:t>
      </w:r>
      <w:r w:rsidRPr="0022308B">
        <w:rPr>
          <w:sz w:val="20"/>
          <w:szCs w:val="20"/>
          <w:rtl/>
        </w:rPr>
        <w:t>בדבר</w:t>
      </w:r>
      <w:r>
        <w:rPr>
          <w:sz w:val="20"/>
          <w:szCs w:val="20"/>
          <w:rtl/>
        </w:rPr>
        <w:t xml:space="preserve"> </w:t>
      </w:r>
      <w:r w:rsidRPr="0022308B">
        <w:rPr>
          <w:sz w:val="20"/>
          <w:szCs w:val="20"/>
          <w:rtl/>
        </w:rPr>
        <w:t>סיום תפקידו של העותר היתה קשורה לפרשת דרעי כמובא</w:t>
      </w:r>
      <w:r>
        <w:rPr>
          <w:sz w:val="20"/>
          <w:szCs w:val="20"/>
          <w:rtl/>
        </w:rPr>
        <w:t xml:space="preserve"> </w:t>
      </w:r>
      <w:r w:rsidRPr="0022308B">
        <w:rPr>
          <w:sz w:val="20"/>
          <w:szCs w:val="20"/>
          <w:rtl/>
        </w:rPr>
        <w:t>לעיל.</w:t>
      </w:r>
      <w:r>
        <w:rPr>
          <w:sz w:val="20"/>
          <w:szCs w:val="20"/>
          <w:rtl/>
        </w:rPr>
        <w:t xml:space="preserve"> </w:t>
      </w:r>
      <w:r w:rsidRPr="0022308B">
        <w:rPr>
          <w:sz w:val="20"/>
          <w:szCs w:val="20"/>
          <w:rtl/>
        </w:rPr>
        <w:t>המבקרת גם סמכה ידה על עצם ההחלטה בענין פרישת העותר לאור המפגש</w:t>
      </w:r>
      <w:r>
        <w:rPr>
          <w:sz w:val="20"/>
          <w:szCs w:val="20"/>
          <w:rtl/>
        </w:rPr>
        <w:t xml:space="preserve"> </w:t>
      </w:r>
      <w:r w:rsidRPr="0022308B">
        <w:rPr>
          <w:sz w:val="20"/>
          <w:szCs w:val="20"/>
          <w:rtl/>
        </w:rPr>
        <w:t>בינו</w:t>
      </w:r>
      <w:r>
        <w:rPr>
          <w:sz w:val="20"/>
          <w:szCs w:val="20"/>
          <w:rtl/>
        </w:rPr>
        <w:t xml:space="preserve"> </w:t>
      </w:r>
      <w:r w:rsidRPr="0022308B">
        <w:rPr>
          <w:sz w:val="20"/>
          <w:szCs w:val="20"/>
          <w:rtl/>
        </w:rPr>
        <w:t>לבין</w:t>
      </w:r>
      <w:r>
        <w:rPr>
          <w:sz w:val="20"/>
          <w:szCs w:val="20"/>
          <w:rtl/>
        </w:rPr>
        <w:t xml:space="preserve"> </w:t>
      </w:r>
      <w:r w:rsidRPr="0022308B">
        <w:rPr>
          <w:sz w:val="20"/>
          <w:szCs w:val="20"/>
          <w:rtl/>
        </w:rPr>
        <w:t>אישיות</w:t>
      </w:r>
      <w:r>
        <w:rPr>
          <w:sz w:val="20"/>
          <w:szCs w:val="20"/>
          <w:rtl/>
        </w:rPr>
        <w:t xml:space="preserve"> </w:t>
      </w:r>
      <w:r w:rsidRPr="0022308B">
        <w:rPr>
          <w:sz w:val="20"/>
          <w:szCs w:val="20"/>
          <w:rtl/>
        </w:rPr>
        <w:t>פוליטית</w:t>
      </w:r>
      <w:r>
        <w:rPr>
          <w:sz w:val="20"/>
          <w:szCs w:val="20"/>
          <w:rtl/>
        </w:rPr>
        <w:t xml:space="preserve"> </w:t>
      </w:r>
      <w:r w:rsidRPr="0022308B">
        <w:rPr>
          <w:sz w:val="20"/>
          <w:szCs w:val="20"/>
          <w:rtl/>
        </w:rPr>
        <w:t>שענינה</w:t>
      </w:r>
      <w:r>
        <w:rPr>
          <w:sz w:val="20"/>
          <w:szCs w:val="20"/>
          <w:rtl/>
        </w:rPr>
        <w:t xml:space="preserve"> </w:t>
      </w:r>
      <w:r w:rsidRPr="0022308B">
        <w:rPr>
          <w:sz w:val="20"/>
          <w:szCs w:val="20"/>
          <w:rtl/>
        </w:rPr>
        <w:t>השתתפות העותר במערכת הבחירות לראשות עירית תל-אביב-יפו.</w:t>
      </w:r>
    </w:p>
    <w:p w:rsidR="0025709E" w:rsidRPr="0022308B" w:rsidRDefault="0025709E" w:rsidP="0025709E">
      <w:pPr>
        <w:tabs>
          <w:tab w:val="left" w:pos="423"/>
        </w:tabs>
        <w:rPr>
          <w:sz w:val="20"/>
          <w:szCs w:val="20"/>
          <w:rtl/>
        </w:rPr>
      </w:pPr>
    </w:p>
    <w:p w:rsidR="0025709E" w:rsidRPr="0022308B" w:rsidRDefault="0025709E" w:rsidP="0025709E">
      <w:pPr>
        <w:tabs>
          <w:tab w:val="left" w:pos="423"/>
        </w:tabs>
        <w:rPr>
          <w:sz w:val="20"/>
          <w:szCs w:val="20"/>
          <w:rtl/>
        </w:rPr>
      </w:pPr>
      <w:r w:rsidRPr="0022308B">
        <w:rPr>
          <w:sz w:val="20"/>
          <w:szCs w:val="20"/>
          <w:rtl/>
        </w:rPr>
        <w:t>טענות העותר: השגותיו העיקריות</w:t>
      </w:r>
      <w:r>
        <w:rPr>
          <w:sz w:val="20"/>
          <w:szCs w:val="20"/>
          <w:rtl/>
        </w:rPr>
        <w:t xml:space="preserve"> </w:t>
      </w:r>
      <w:r w:rsidRPr="0022308B">
        <w:rPr>
          <w:sz w:val="20"/>
          <w:szCs w:val="20"/>
          <w:rtl/>
        </w:rPr>
        <w:t>של</w:t>
      </w:r>
      <w:r>
        <w:rPr>
          <w:sz w:val="20"/>
          <w:szCs w:val="20"/>
          <w:rtl/>
        </w:rPr>
        <w:t xml:space="preserve"> </w:t>
      </w:r>
      <w:r w:rsidRPr="0022308B">
        <w:rPr>
          <w:sz w:val="20"/>
          <w:szCs w:val="20"/>
          <w:rtl/>
        </w:rPr>
        <w:t>העותר על דרכי הפעולה של מבקרת המדינה, כפי שהן מובאות בעתירתו, הן אלו:</w:t>
      </w:r>
    </w:p>
    <w:p w:rsidR="0025709E" w:rsidRPr="007A2E51" w:rsidRDefault="0025709E" w:rsidP="0025709E">
      <w:pPr>
        <w:tabs>
          <w:tab w:val="left" w:pos="423"/>
        </w:tabs>
        <w:rPr>
          <w:sz w:val="20"/>
          <w:szCs w:val="20"/>
          <w:highlight w:val="yellow"/>
          <w:rtl/>
        </w:rPr>
      </w:pPr>
      <w:r w:rsidRPr="007A2E51">
        <w:rPr>
          <w:sz w:val="20"/>
          <w:szCs w:val="20"/>
          <w:highlight w:val="yellow"/>
          <w:rtl/>
        </w:rPr>
        <w:t>(א) לא התאפשר לעותר עיון במלוא גירסתו של "הצד שכנגד", בפרט ובמלוא הראיות שנאספו, בכלל.</w:t>
      </w:r>
    </w:p>
    <w:p w:rsidR="0025709E" w:rsidRPr="007A2E51" w:rsidRDefault="0025709E" w:rsidP="0025709E">
      <w:pPr>
        <w:tabs>
          <w:tab w:val="left" w:pos="423"/>
        </w:tabs>
        <w:rPr>
          <w:sz w:val="20"/>
          <w:szCs w:val="20"/>
          <w:highlight w:val="yellow"/>
          <w:rtl/>
        </w:rPr>
      </w:pPr>
      <w:r w:rsidRPr="007A2E51">
        <w:rPr>
          <w:sz w:val="20"/>
          <w:szCs w:val="20"/>
          <w:highlight w:val="yellow"/>
          <w:rtl/>
        </w:rPr>
        <w:t>(ב) לא התבקשה מן העותר תגובה כוללת לכל חומר הראיות שהובא בפני המבקרת.</w:t>
      </w:r>
    </w:p>
    <w:p w:rsidR="0025709E" w:rsidRPr="007A2E51" w:rsidRDefault="0025709E" w:rsidP="0025709E">
      <w:pPr>
        <w:tabs>
          <w:tab w:val="left" w:pos="423"/>
        </w:tabs>
        <w:rPr>
          <w:sz w:val="20"/>
          <w:szCs w:val="20"/>
          <w:highlight w:val="yellow"/>
          <w:rtl/>
        </w:rPr>
      </w:pPr>
      <w:r w:rsidRPr="007A2E51">
        <w:rPr>
          <w:sz w:val="20"/>
          <w:szCs w:val="20"/>
          <w:highlight w:val="yellow"/>
          <w:rtl/>
        </w:rPr>
        <w:t>(ג) המבקרת לא הסכימה לקבל או לגבות ראיות נוספות לבקשת העותר.</w:t>
      </w:r>
    </w:p>
    <w:p w:rsidR="0025709E" w:rsidRPr="007A2E51" w:rsidRDefault="0025709E" w:rsidP="0025709E">
      <w:pPr>
        <w:tabs>
          <w:tab w:val="left" w:pos="423"/>
        </w:tabs>
        <w:rPr>
          <w:sz w:val="20"/>
          <w:szCs w:val="20"/>
          <w:highlight w:val="yellow"/>
          <w:rtl/>
        </w:rPr>
      </w:pPr>
      <w:r w:rsidRPr="007A2E51">
        <w:rPr>
          <w:sz w:val="20"/>
          <w:szCs w:val="20"/>
          <w:highlight w:val="yellow"/>
          <w:rtl/>
        </w:rPr>
        <w:t>(ד) העותר לא הוזהר כי הוא עלול לה</w:t>
      </w:r>
      <w:r w:rsidRPr="007A2E51">
        <w:rPr>
          <w:rFonts w:hint="cs"/>
          <w:sz w:val="20"/>
          <w:szCs w:val="20"/>
          <w:highlight w:val="yellow"/>
          <w:rtl/>
        </w:rPr>
        <w:t>י</w:t>
      </w:r>
      <w:r w:rsidRPr="007A2E51">
        <w:rPr>
          <w:sz w:val="20"/>
          <w:szCs w:val="20"/>
          <w:highlight w:val="yellow"/>
          <w:rtl/>
        </w:rPr>
        <w:t>פגע מן ההחלטה. […]</w:t>
      </w:r>
    </w:p>
    <w:p w:rsidR="0025709E" w:rsidRPr="00364AC8" w:rsidRDefault="0025709E" w:rsidP="0025709E">
      <w:pPr>
        <w:tabs>
          <w:tab w:val="left" w:pos="423"/>
        </w:tabs>
        <w:rPr>
          <w:rFonts w:cs="FrankRuehl"/>
          <w:rtl/>
        </w:rPr>
      </w:pPr>
      <w:r w:rsidRPr="007A2E51">
        <w:rPr>
          <w:sz w:val="20"/>
          <w:szCs w:val="20"/>
          <w:highlight w:val="yellow"/>
          <w:rtl/>
        </w:rPr>
        <w:t>עקב כל אלה נפגעה, לדברי העותר, זכות הטיעון שלו</w:t>
      </w:r>
      <w:r w:rsidRPr="0022308B">
        <w:rPr>
          <w:sz w:val="20"/>
          <w:szCs w:val="20"/>
          <w:rtl/>
        </w:rPr>
        <w:t>. משמעותו של ההליך, מבחינת</w:t>
      </w:r>
      <w:r>
        <w:rPr>
          <w:sz w:val="20"/>
          <w:szCs w:val="20"/>
          <w:rtl/>
        </w:rPr>
        <w:t xml:space="preserve"> </w:t>
      </w:r>
      <w:r w:rsidRPr="0022308B">
        <w:rPr>
          <w:sz w:val="20"/>
          <w:szCs w:val="20"/>
          <w:rtl/>
        </w:rPr>
        <w:t>תוצאותיו כמשמעות פסיקה בענין פלילי: בדו"ח קיבלה המבקרת את גירסתו</w:t>
      </w:r>
      <w:r>
        <w:rPr>
          <w:sz w:val="20"/>
          <w:szCs w:val="20"/>
          <w:rtl/>
        </w:rPr>
        <w:t xml:space="preserve"> </w:t>
      </w:r>
      <w:r w:rsidRPr="0022308B">
        <w:rPr>
          <w:sz w:val="20"/>
          <w:szCs w:val="20"/>
          <w:rtl/>
        </w:rPr>
        <w:t>של</w:t>
      </w:r>
      <w:r>
        <w:rPr>
          <w:sz w:val="20"/>
          <w:szCs w:val="20"/>
          <w:rtl/>
        </w:rPr>
        <w:t xml:space="preserve"> </w:t>
      </w:r>
      <w:r w:rsidRPr="0022308B">
        <w:rPr>
          <w:sz w:val="20"/>
          <w:szCs w:val="20"/>
          <w:rtl/>
        </w:rPr>
        <w:t>שר</w:t>
      </w:r>
      <w:r>
        <w:rPr>
          <w:sz w:val="20"/>
          <w:szCs w:val="20"/>
          <w:rtl/>
        </w:rPr>
        <w:t xml:space="preserve"> </w:t>
      </w:r>
      <w:r w:rsidRPr="0022308B">
        <w:rPr>
          <w:sz w:val="20"/>
          <w:szCs w:val="20"/>
          <w:rtl/>
        </w:rPr>
        <w:t>המשטרה והאשימה ואף הרשיעה את העותר בכך ששיקר לועדה לביקורת המדינה.</w:t>
      </w:r>
      <w:r>
        <w:rPr>
          <w:sz w:val="20"/>
          <w:szCs w:val="20"/>
          <w:rtl/>
        </w:rPr>
        <w:t xml:space="preserve"> </w:t>
      </w:r>
      <w:r w:rsidRPr="0022308B">
        <w:rPr>
          <w:sz w:val="20"/>
          <w:szCs w:val="20"/>
          <w:rtl/>
        </w:rPr>
        <w:t>מכיוון</w:t>
      </w:r>
      <w:r>
        <w:rPr>
          <w:sz w:val="20"/>
          <w:szCs w:val="20"/>
          <w:rtl/>
        </w:rPr>
        <w:t xml:space="preserve"> </w:t>
      </w:r>
      <w:r w:rsidRPr="0022308B">
        <w:rPr>
          <w:sz w:val="20"/>
          <w:szCs w:val="20"/>
          <w:rtl/>
        </w:rPr>
        <w:t>שלא נערך על-ידי המבקרת שימוע מלא והוגן, רצוף דו"ח המבקרת,</w:t>
      </w:r>
      <w:r>
        <w:rPr>
          <w:sz w:val="20"/>
          <w:szCs w:val="20"/>
          <w:rtl/>
        </w:rPr>
        <w:t xml:space="preserve"> </w:t>
      </w:r>
      <w:r w:rsidRPr="0022308B">
        <w:rPr>
          <w:sz w:val="20"/>
          <w:szCs w:val="20"/>
          <w:rtl/>
        </w:rPr>
        <w:t>לפי</w:t>
      </w:r>
      <w:r>
        <w:rPr>
          <w:sz w:val="20"/>
          <w:szCs w:val="20"/>
          <w:rtl/>
        </w:rPr>
        <w:t xml:space="preserve"> </w:t>
      </w:r>
      <w:r w:rsidRPr="0022308B">
        <w:rPr>
          <w:sz w:val="20"/>
          <w:szCs w:val="20"/>
          <w:rtl/>
        </w:rPr>
        <w:t>טענת העותר, סתירות מהותיות, וקביעות תמוהות, ולעומת זאת אין</w:t>
      </w:r>
      <w:r>
        <w:rPr>
          <w:sz w:val="20"/>
          <w:szCs w:val="20"/>
          <w:rtl/>
        </w:rPr>
        <w:t xml:space="preserve"> </w:t>
      </w:r>
      <w:r w:rsidRPr="0022308B">
        <w:rPr>
          <w:sz w:val="20"/>
          <w:szCs w:val="20"/>
          <w:rtl/>
        </w:rPr>
        <w:t>בו</w:t>
      </w:r>
      <w:r>
        <w:rPr>
          <w:sz w:val="20"/>
          <w:szCs w:val="20"/>
          <w:rtl/>
        </w:rPr>
        <w:t xml:space="preserve"> </w:t>
      </w:r>
      <w:r w:rsidRPr="0022308B">
        <w:rPr>
          <w:sz w:val="20"/>
          <w:szCs w:val="20"/>
          <w:rtl/>
        </w:rPr>
        <w:t>התייחסות</w:t>
      </w:r>
      <w:r>
        <w:rPr>
          <w:sz w:val="20"/>
          <w:szCs w:val="20"/>
          <w:rtl/>
        </w:rPr>
        <w:t xml:space="preserve"> </w:t>
      </w:r>
      <w:r w:rsidRPr="0022308B">
        <w:rPr>
          <w:sz w:val="20"/>
          <w:szCs w:val="20"/>
          <w:rtl/>
        </w:rPr>
        <w:t>לנושאים</w:t>
      </w:r>
      <w:r>
        <w:rPr>
          <w:sz w:val="20"/>
          <w:szCs w:val="20"/>
          <w:rtl/>
        </w:rPr>
        <w:t xml:space="preserve"> </w:t>
      </w:r>
      <w:r w:rsidRPr="0022308B">
        <w:rPr>
          <w:sz w:val="20"/>
          <w:szCs w:val="20"/>
          <w:rtl/>
        </w:rPr>
        <w:t>מרכזיים</w:t>
      </w:r>
      <w:r>
        <w:rPr>
          <w:sz w:val="20"/>
          <w:szCs w:val="20"/>
          <w:rtl/>
        </w:rPr>
        <w:t xml:space="preserve"> </w:t>
      </w:r>
      <w:r w:rsidRPr="0022308B">
        <w:rPr>
          <w:sz w:val="20"/>
          <w:szCs w:val="20"/>
          <w:rtl/>
        </w:rPr>
        <w:t>המחייבים בדיקה במסגרת ההכרעה במחלוקת. […] לדבריו של</w:t>
      </w:r>
      <w:r>
        <w:rPr>
          <w:sz w:val="20"/>
          <w:szCs w:val="20"/>
          <w:rtl/>
        </w:rPr>
        <w:t xml:space="preserve"> </w:t>
      </w:r>
      <w:r w:rsidRPr="0022308B">
        <w:rPr>
          <w:sz w:val="20"/>
          <w:szCs w:val="20"/>
          <w:rtl/>
        </w:rPr>
        <w:t>העותר, שמו הטוב נפגע באורח קשה וכפועל יוצא מכך, נפגע גם, בין היתר, מעמדו הכלכלי והאפשרות להתמנות בעתיד לתפקיד ציבורי. מכאן בקשתו כי תוצאותיה של החקירה יבוטלו וכי תיערך חקירה מחודשת על-ידי גורם אחר, […].</w:t>
      </w:r>
    </w:p>
    <w:p w:rsidR="0025709E" w:rsidRPr="00364AC8" w:rsidRDefault="0025709E" w:rsidP="0025709E">
      <w:pPr>
        <w:tabs>
          <w:tab w:val="left" w:pos="423"/>
        </w:tabs>
        <w:rPr>
          <w:rFonts w:cs="FrankRuehl"/>
          <w:rtl/>
        </w:rPr>
      </w:pPr>
    </w:p>
    <w:p w:rsidR="0025709E" w:rsidRPr="00405089" w:rsidRDefault="0025709E" w:rsidP="0025709E">
      <w:pPr>
        <w:tabs>
          <w:tab w:val="left" w:pos="423"/>
        </w:tabs>
        <w:spacing w:after="120"/>
        <w:ind w:left="423"/>
        <w:rPr>
          <w:rFonts w:cs="FrankRuehl"/>
          <w:sz w:val="22"/>
          <w:szCs w:val="22"/>
          <w:rtl/>
        </w:rPr>
      </w:pPr>
      <w:r w:rsidRPr="00364AC8">
        <w:rPr>
          <w:rFonts w:cs="FrankRuehl" w:hint="cs"/>
          <w:rtl/>
        </w:rPr>
        <w:t>[השופט גולדברג, אליו הצטרפו שלשה שופטים נוספים (אל מול דעת המיעוט, של הנשיא שמגר)</w:t>
      </w:r>
      <w:r>
        <w:rPr>
          <w:rFonts w:cs="FrankRuehl" w:hint="cs"/>
          <w:rtl/>
        </w:rPr>
        <w:t xml:space="preserve"> </w:t>
      </w:r>
      <w:r>
        <w:rPr>
          <w:rFonts w:cs="FrankRuehl"/>
          <w:rtl/>
        </w:rPr>
        <w:t>–</w:t>
      </w:r>
      <w:r>
        <w:rPr>
          <w:rFonts w:cs="FrankRuehl" w:hint="cs"/>
          <w:rtl/>
        </w:rPr>
        <w:t xml:space="preserve"> ההדגשות הוספו</w:t>
      </w:r>
      <w:r w:rsidRPr="00364AC8">
        <w:rPr>
          <w:rFonts w:cs="FrankRuehl" w:hint="cs"/>
          <w:rtl/>
        </w:rPr>
        <w:t>]</w:t>
      </w:r>
    </w:p>
    <w:p w:rsidR="0025709E" w:rsidRPr="00405089" w:rsidRDefault="0025709E" w:rsidP="0025709E">
      <w:pPr>
        <w:tabs>
          <w:tab w:val="left" w:pos="423"/>
        </w:tabs>
        <w:spacing w:after="120"/>
        <w:rPr>
          <w:rFonts w:cs="FrankRuehl"/>
          <w:sz w:val="22"/>
          <w:szCs w:val="22"/>
          <w:rtl/>
        </w:rPr>
      </w:pPr>
      <w:r w:rsidRPr="00405089">
        <w:rPr>
          <w:rFonts w:cs="FrankRuehl" w:hint="cs"/>
          <w:sz w:val="22"/>
          <w:szCs w:val="22"/>
          <w:rtl/>
        </w:rPr>
        <w:t>3</w:t>
      </w:r>
      <w:r w:rsidRPr="00405089">
        <w:rPr>
          <w:rFonts w:cs="FrankRuehl" w:hint="cs"/>
          <w:b/>
          <w:bCs/>
          <w:sz w:val="22"/>
          <w:szCs w:val="22"/>
          <w:rtl/>
        </w:rPr>
        <w:t>.</w:t>
      </w:r>
      <w:r>
        <w:rPr>
          <w:rFonts w:cs="FrankRuehl" w:hint="cs"/>
          <w:b/>
          <w:bCs/>
          <w:sz w:val="22"/>
          <w:szCs w:val="22"/>
          <w:rtl/>
        </w:rPr>
        <w:t xml:space="preserve"> </w:t>
      </w:r>
      <w:r w:rsidRPr="00405089">
        <w:rPr>
          <w:rFonts w:cs="FrankRuehl" w:hint="cs"/>
          <w:b/>
          <w:bCs/>
          <w:sz w:val="22"/>
          <w:szCs w:val="22"/>
          <w:rtl/>
        </w:rPr>
        <w:t>השאלה</w:t>
      </w:r>
      <w:r>
        <w:rPr>
          <w:rFonts w:cs="FrankRuehl" w:hint="cs"/>
          <w:b/>
          <w:bCs/>
          <w:sz w:val="22"/>
          <w:szCs w:val="22"/>
          <w:rtl/>
        </w:rPr>
        <w:t xml:space="preserve"> </w:t>
      </w:r>
      <w:r w:rsidRPr="00405089">
        <w:rPr>
          <w:rFonts w:cs="FrankRuehl" w:hint="cs"/>
          <w:b/>
          <w:bCs/>
          <w:sz w:val="22"/>
          <w:szCs w:val="22"/>
          <w:rtl/>
        </w:rPr>
        <w:t>המשפטית</w:t>
      </w:r>
      <w:r>
        <w:rPr>
          <w:rFonts w:cs="FrankRuehl" w:hint="cs"/>
          <w:b/>
          <w:bCs/>
          <w:sz w:val="22"/>
          <w:szCs w:val="22"/>
          <w:rtl/>
        </w:rPr>
        <w:t xml:space="preserve"> </w:t>
      </w:r>
      <w:r w:rsidRPr="00405089">
        <w:rPr>
          <w:rFonts w:cs="FrankRuehl" w:hint="cs"/>
          <w:b/>
          <w:bCs/>
          <w:sz w:val="22"/>
          <w:szCs w:val="22"/>
          <w:rtl/>
        </w:rPr>
        <w:t>היחידה המתעוררת בעתירה זו היא, אם היה על מבקרת המדינה למסור</w:t>
      </w:r>
      <w:r>
        <w:rPr>
          <w:rFonts w:cs="FrankRuehl" w:hint="cs"/>
          <w:b/>
          <w:bCs/>
          <w:sz w:val="22"/>
          <w:szCs w:val="22"/>
          <w:rtl/>
        </w:rPr>
        <w:t xml:space="preserve"> </w:t>
      </w:r>
      <w:r w:rsidRPr="00405089">
        <w:rPr>
          <w:rFonts w:cs="FrankRuehl" w:hint="cs"/>
          <w:b/>
          <w:bCs/>
          <w:sz w:val="22"/>
          <w:szCs w:val="22"/>
          <w:rtl/>
        </w:rPr>
        <w:t>בידי העותר את חומר הראיות טרם שנתנה את חוות דעתה, ואם נשללה מן</w:t>
      </w:r>
      <w:r>
        <w:rPr>
          <w:rFonts w:cs="FrankRuehl" w:hint="cs"/>
          <w:b/>
          <w:bCs/>
          <w:sz w:val="22"/>
          <w:szCs w:val="22"/>
          <w:rtl/>
        </w:rPr>
        <w:t xml:space="preserve"> </w:t>
      </w:r>
      <w:r w:rsidRPr="00405089">
        <w:rPr>
          <w:rFonts w:cs="FrankRuehl" w:hint="cs"/>
          <w:b/>
          <w:bCs/>
          <w:sz w:val="22"/>
          <w:szCs w:val="22"/>
          <w:rtl/>
        </w:rPr>
        <w:t>העותר</w:t>
      </w:r>
      <w:r>
        <w:rPr>
          <w:rFonts w:cs="FrankRuehl" w:hint="cs"/>
          <w:b/>
          <w:bCs/>
          <w:sz w:val="22"/>
          <w:szCs w:val="22"/>
          <w:rtl/>
        </w:rPr>
        <w:t xml:space="preserve"> </w:t>
      </w:r>
      <w:r w:rsidRPr="00405089">
        <w:rPr>
          <w:rFonts w:cs="FrankRuehl" w:hint="cs"/>
          <w:b/>
          <w:bCs/>
          <w:sz w:val="22"/>
          <w:szCs w:val="22"/>
          <w:rtl/>
        </w:rPr>
        <w:t>זכות</w:t>
      </w:r>
      <w:r>
        <w:rPr>
          <w:rFonts w:cs="FrankRuehl" w:hint="cs"/>
          <w:b/>
          <w:bCs/>
          <w:sz w:val="22"/>
          <w:szCs w:val="22"/>
          <w:rtl/>
        </w:rPr>
        <w:t xml:space="preserve"> </w:t>
      </w:r>
      <w:r w:rsidRPr="00405089">
        <w:rPr>
          <w:rFonts w:cs="FrankRuehl" w:hint="cs"/>
          <w:b/>
          <w:bCs/>
          <w:sz w:val="22"/>
          <w:szCs w:val="22"/>
          <w:rtl/>
        </w:rPr>
        <w:t>הטעון</w:t>
      </w:r>
      <w:r>
        <w:rPr>
          <w:rFonts w:cs="FrankRuehl" w:hint="cs"/>
          <w:b/>
          <w:bCs/>
          <w:sz w:val="22"/>
          <w:szCs w:val="22"/>
          <w:rtl/>
        </w:rPr>
        <w:t xml:space="preserve"> </w:t>
      </w:r>
      <w:r w:rsidRPr="00405089">
        <w:rPr>
          <w:rFonts w:cs="FrankRuehl" w:hint="cs"/>
          <w:b/>
          <w:bCs/>
          <w:sz w:val="22"/>
          <w:szCs w:val="22"/>
          <w:rtl/>
        </w:rPr>
        <w:t>משלא עשתה כן.</w:t>
      </w:r>
      <w:r>
        <w:rPr>
          <w:rFonts w:cs="FrankRuehl" w:hint="cs"/>
          <w:sz w:val="22"/>
          <w:szCs w:val="22"/>
          <w:rtl/>
        </w:rPr>
        <w:t xml:space="preserve"> </w:t>
      </w:r>
      <w:r w:rsidRPr="00405089">
        <w:rPr>
          <w:rFonts w:cs="FrankRuehl" w:hint="cs"/>
          <w:sz w:val="22"/>
          <w:szCs w:val="22"/>
          <w:rtl/>
        </w:rPr>
        <w:t>[...] השאלה היא במישור הערכי, בדבר עצם מהותה של זכות הטעון, של מי שעלול להפגע מן החקירה.</w:t>
      </w:r>
    </w:p>
    <w:p w:rsidR="0025709E" w:rsidRPr="00405089" w:rsidRDefault="0025709E" w:rsidP="0025709E">
      <w:pPr>
        <w:tabs>
          <w:tab w:val="left" w:pos="423"/>
        </w:tabs>
        <w:spacing w:after="120"/>
        <w:rPr>
          <w:rFonts w:cs="FrankRuehl"/>
          <w:sz w:val="22"/>
          <w:szCs w:val="22"/>
          <w:rtl/>
        </w:rPr>
      </w:pPr>
      <w:r w:rsidRPr="00405089">
        <w:rPr>
          <w:rFonts w:cs="FrankRuehl" w:hint="cs"/>
          <w:sz w:val="22"/>
          <w:szCs w:val="22"/>
          <w:rtl/>
        </w:rPr>
        <w:t>4.</w:t>
      </w:r>
      <w:r>
        <w:rPr>
          <w:rFonts w:cs="FrankRuehl" w:hint="cs"/>
          <w:sz w:val="22"/>
          <w:szCs w:val="22"/>
          <w:rtl/>
        </w:rPr>
        <w:t xml:space="preserve"> </w:t>
      </w:r>
      <w:r w:rsidRPr="00405089">
        <w:rPr>
          <w:rFonts w:cs="FrankRuehl" w:hint="cs"/>
          <w:sz w:val="22"/>
          <w:szCs w:val="22"/>
          <w:rtl/>
        </w:rPr>
        <w:t>כבר</w:t>
      </w:r>
      <w:r>
        <w:rPr>
          <w:rFonts w:cs="FrankRuehl" w:hint="cs"/>
          <w:sz w:val="22"/>
          <w:szCs w:val="22"/>
          <w:rtl/>
        </w:rPr>
        <w:t xml:space="preserve"> </w:t>
      </w:r>
      <w:r w:rsidRPr="00405089">
        <w:rPr>
          <w:rFonts w:cs="FrankRuehl" w:hint="cs"/>
          <w:sz w:val="22"/>
          <w:szCs w:val="22"/>
          <w:rtl/>
        </w:rPr>
        <w:t>נאמר</w:t>
      </w:r>
      <w:r>
        <w:rPr>
          <w:rFonts w:cs="FrankRuehl" w:hint="cs"/>
          <w:sz w:val="22"/>
          <w:szCs w:val="22"/>
          <w:rtl/>
        </w:rPr>
        <w:t xml:space="preserve"> </w:t>
      </w:r>
      <w:r w:rsidRPr="00405089">
        <w:rPr>
          <w:rFonts w:cs="FrankRuehl" w:hint="cs"/>
          <w:sz w:val="22"/>
          <w:szCs w:val="22"/>
          <w:rtl/>
        </w:rPr>
        <w:t>בבג"צ</w:t>
      </w:r>
      <w:r>
        <w:rPr>
          <w:rFonts w:cs="FrankRuehl" w:hint="cs"/>
          <w:sz w:val="22"/>
          <w:szCs w:val="22"/>
          <w:rtl/>
        </w:rPr>
        <w:t xml:space="preserve"> </w:t>
      </w:r>
      <w:r w:rsidRPr="00405089">
        <w:rPr>
          <w:rFonts w:cs="FrankRuehl" w:hint="cs"/>
          <w:sz w:val="22"/>
          <w:szCs w:val="22"/>
          <w:rtl/>
        </w:rPr>
        <w:t>469/74</w:t>
      </w:r>
      <w:r>
        <w:rPr>
          <w:rFonts w:cs="FrankRuehl" w:hint="cs"/>
          <w:sz w:val="22"/>
          <w:szCs w:val="22"/>
          <w:rtl/>
        </w:rPr>
        <w:t xml:space="preserve"> </w:t>
      </w:r>
      <w:r w:rsidRPr="00405089">
        <w:rPr>
          <w:rFonts w:cs="FrankRuehl" w:hint="cs"/>
          <w:sz w:val="22"/>
          <w:szCs w:val="22"/>
          <w:rtl/>
        </w:rPr>
        <w:t>(גונן</w:t>
      </w:r>
      <w:r>
        <w:rPr>
          <w:rFonts w:cs="FrankRuehl" w:hint="cs"/>
          <w:sz w:val="22"/>
          <w:szCs w:val="22"/>
          <w:rtl/>
        </w:rPr>
        <w:t xml:space="preserve"> </w:t>
      </w:r>
      <w:r w:rsidRPr="00405089">
        <w:rPr>
          <w:rFonts w:cs="FrankRuehl" w:hint="cs"/>
          <w:sz w:val="22"/>
          <w:szCs w:val="22"/>
          <w:rtl/>
        </w:rPr>
        <w:t>נ'</w:t>
      </w:r>
      <w:r>
        <w:rPr>
          <w:rFonts w:cs="FrankRuehl" w:hint="cs"/>
          <w:sz w:val="22"/>
          <w:szCs w:val="22"/>
          <w:rtl/>
        </w:rPr>
        <w:t xml:space="preserve"> </w:t>
      </w:r>
      <w:r w:rsidRPr="00405089">
        <w:rPr>
          <w:rFonts w:cs="FrankRuehl" w:hint="cs"/>
          <w:sz w:val="22"/>
          <w:szCs w:val="22"/>
          <w:rtl/>
        </w:rPr>
        <w:t>ועדת</w:t>
      </w:r>
      <w:r>
        <w:rPr>
          <w:rFonts w:cs="FrankRuehl" w:hint="cs"/>
          <w:sz w:val="22"/>
          <w:szCs w:val="22"/>
          <w:rtl/>
        </w:rPr>
        <w:t xml:space="preserve"> </w:t>
      </w:r>
      <w:r w:rsidRPr="00405089">
        <w:rPr>
          <w:rFonts w:cs="FrankRuehl" w:hint="cs"/>
          <w:sz w:val="22"/>
          <w:szCs w:val="22"/>
          <w:rtl/>
        </w:rPr>
        <w:t>החקירה</w:t>
      </w:r>
      <w:r>
        <w:rPr>
          <w:rFonts w:cs="FrankRuehl" w:hint="cs"/>
          <w:sz w:val="22"/>
          <w:szCs w:val="22"/>
          <w:rtl/>
        </w:rPr>
        <w:t xml:space="preserve"> </w:t>
      </w:r>
      <w:r w:rsidRPr="00405089">
        <w:rPr>
          <w:rFonts w:cs="FrankRuehl" w:hint="cs"/>
          <w:sz w:val="22"/>
          <w:szCs w:val="22"/>
          <w:rtl/>
        </w:rPr>
        <w:t>- מלחמת יום הכיפורים, פ"ד</w:t>
      </w:r>
      <w:r>
        <w:rPr>
          <w:rFonts w:cs="FrankRuehl" w:hint="cs"/>
          <w:sz w:val="22"/>
          <w:szCs w:val="22"/>
          <w:rtl/>
        </w:rPr>
        <w:t xml:space="preserve"> </w:t>
      </w:r>
      <w:r w:rsidRPr="00405089">
        <w:rPr>
          <w:rFonts w:cs="FrankRuehl" w:hint="cs"/>
          <w:sz w:val="22"/>
          <w:szCs w:val="22"/>
          <w:rtl/>
        </w:rPr>
        <w:t>כט(1) 635, 640) כי "הצדק הטבעי מחייב שהנחקר לא ייפגע על-ידי חומר</w:t>
      </w:r>
      <w:r>
        <w:rPr>
          <w:rFonts w:cs="FrankRuehl" w:hint="cs"/>
          <w:sz w:val="22"/>
          <w:szCs w:val="22"/>
          <w:rtl/>
        </w:rPr>
        <w:t xml:space="preserve"> </w:t>
      </w:r>
      <w:r w:rsidRPr="00405089">
        <w:rPr>
          <w:rFonts w:cs="FrankRuehl" w:hint="cs"/>
          <w:sz w:val="22"/>
          <w:szCs w:val="22"/>
          <w:rtl/>
        </w:rPr>
        <w:t>נסתר".</w:t>
      </w:r>
      <w:r>
        <w:rPr>
          <w:rFonts w:cs="FrankRuehl" w:hint="cs"/>
          <w:sz w:val="22"/>
          <w:szCs w:val="22"/>
          <w:rtl/>
        </w:rPr>
        <w:t xml:space="preserve"> </w:t>
      </w:r>
      <w:r w:rsidRPr="00405089">
        <w:rPr>
          <w:rFonts w:cs="FrankRuehl" w:hint="cs"/>
          <w:sz w:val="22"/>
          <w:szCs w:val="22"/>
          <w:rtl/>
        </w:rPr>
        <w:t>מכאן</w:t>
      </w:r>
      <w:r>
        <w:rPr>
          <w:rFonts w:cs="FrankRuehl" w:hint="cs"/>
          <w:sz w:val="22"/>
          <w:szCs w:val="22"/>
          <w:rtl/>
        </w:rPr>
        <w:t xml:space="preserve"> </w:t>
      </w:r>
      <w:r w:rsidRPr="00405089">
        <w:rPr>
          <w:rFonts w:cs="FrankRuehl" w:hint="cs"/>
          <w:sz w:val="22"/>
          <w:szCs w:val="22"/>
          <w:rtl/>
        </w:rPr>
        <w:t>גם הוראותיו של סעיף 15 לחוק ועדות חקירה, תשכ"ט-1968, הבאות</w:t>
      </w:r>
      <w:r>
        <w:rPr>
          <w:rFonts w:cs="FrankRuehl" w:hint="cs"/>
          <w:sz w:val="22"/>
          <w:szCs w:val="22"/>
          <w:rtl/>
        </w:rPr>
        <w:t xml:space="preserve"> </w:t>
      </w:r>
      <w:r w:rsidRPr="00405089">
        <w:rPr>
          <w:rFonts w:cs="FrankRuehl" w:hint="cs"/>
          <w:sz w:val="22"/>
          <w:szCs w:val="22"/>
          <w:rtl/>
        </w:rPr>
        <w:t>"להבטיח,</w:t>
      </w:r>
      <w:r>
        <w:rPr>
          <w:rFonts w:cs="FrankRuehl" w:hint="cs"/>
          <w:sz w:val="22"/>
          <w:szCs w:val="22"/>
          <w:rtl/>
        </w:rPr>
        <w:t xml:space="preserve"> </w:t>
      </w:r>
      <w:r w:rsidRPr="00405089">
        <w:rPr>
          <w:rFonts w:cs="FrankRuehl" w:hint="cs"/>
          <w:sz w:val="22"/>
          <w:szCs w:val="22"/>
          <w:rtl/>
        </w:rPr>
        <w:t>שהנפגע הפוטנציאלי</w:t>
      </w:r>
      <w:r>
        <w:rPr>
          <w:rFonts w:cs="FrankRuehl" w:hint="cs"/>
          <w:sz w:val="22"/>
          <w:szCs w:val="22"/>
          <w:rtl/>
        </w:rPr>
        <w:t xml:space="preserve"> </w:t>
      </w:r>
      <w:r w:rsidRPr="00405089">
        <w:rPr>
          <w:rFonts w:cs="FrankRuehl" w:hint="cs"/>
          <w:sz w:val="22"/>
          <w:szCs w:val="22"/>
          <w:rtl/>
        </w:rPr>
        <w:t>יהיה</w:t>
      </w:r>
      <w:r>
        <w:rPr>
          <w:rFonts w:cs="FrankRuehl" w:hint="cs"/>
          <w:sz w:val="22"/>
          <w:szCs w:val="22"/>
          <w:rtl/>
        </w:rPr>
        <w:t xml:space="preserve"> </w:t>
      </w:r>
      <w:r w:rsidRPr="00405089">
        <w:rPr>
          <w:rFonts w:cs="FrankRuehl" w:hint="cs"/>
          <w:sz w:val="22"/>
          <w:szCs w:val="22"/>
          <w:rtl/>
        </w:rPr>
        <w:t>מבחינת המידע הרלוואנטי, ככל</w:t>
      </w:r>
      <w:r>
        <w:rPr>
          <w:rFonts w:cs="FrankRuehl" w:hint="cs"/>
          <w:sz w:val="22"/>
          <w:szCs w:val="22"/>
          <w:rtl/>
        </w:rPr>
        <w:t xml:space="preserve"> </w:t>
      </w:r>
      <w:r w:rsidRPr="00405089">
        <w:rPr>
          <w:rFonts w:cs="FrankRuehl" w:hint="cs"/>
          <w:sz w:val="22"/>
          <w:szCs w:val="22"/>
          <w:rtl/>
        </w:rPr>
        <w:t>האפשר, באותו מצב שבו נמצא הגוף החוקר" (בג"צ 381/85, 390 בנק לאומי לישראל בע"מ נ' ועדת החקירה לעניין ויסות מניות הבנקים, פ"ד לט(4)</w:t>
      </w:r>
      <w:r>
        <w:rPr>
          <w:rFonts w:cs="FrankRuehl" w:hint="cs"/>
          <w:sz w:val="22"/>
          <w:szCs w:val="22"/>
          <w:rtl/>
        </w:rPr>
        <w:t xml:space="preserve"> </w:t>
      </w:r>
      <w:r w:rsidRPr="00405089">
        <w:rPr>
          <w:rFonts w:cs="FrankRuehl" w:hint="cs"/>
          <w:sz w:val="22"/>
          <w:szCs w:val="22"/>
          <w:rtl/>
        </w:rPr>
        <w:t>244).</w:t>
      </w:r>
      <w:r>
        <w:rPr>
          <w:rFonts w:cs="FrankRuehl" w:hint="cs"/>
          <w:sz w:val="22"/>
          <w:szCs w:val="22"/>
          <w:rtl/>
        </w:rPr>
        <w:t xml:space="preserve"> </w:t>
      </w:r>
      <w:r w:rsidRPr="00405089">
        <w:rPr>
          <w:rFonts w:cs="FrankRuehl" w:hint="cs"/>
          <w:b/>
          <w:bCs/>
          <w:sz w:val="22"/>
          <w:szCs w:val="22"/>
          <w:rtl/>
        </w:rPr>
        <w:t>רק בהצגת המידע הרלוואנטי המלא (בכפוף לסייגים</w:t>
      </w:r>
      <w:r>
        <w:rPr>
          <w:rFonts w:cs="FrankRuehl" w:hint="cs"/>
          <w:b/>
          <w:bCs/>
          <w:sz w:val="22"/>
          <w:szCs w:val="22"/>
          <w:rtl/>
        </w:rPr>
        <w:t xml:space="preserve"> </w:t>
      </w:r>
      <w:r w:rsidRPr="00405089">
        <w:rPr>
          <w:rFonts w:cs="FrankRuehl" w:hint="cs"/>
          <w:b/>
          <w:bCs/>
          <w:sz w:val="22"/>
          <w:szCs w:val="22"/>
          <w:rtl/>
        </w:rPr>
        <w:t>המחייבים את חסיונו), בפני מי שעלול להפגע מן החקירה, באה לידי</w:t>
      </w:r>
      <w:r>
        <w:rPr>
          <w:rFonts w:cs="FrankRuehl" w:hint="cs"/>
          <w:b/>
          <w:bCs/>
          <w:sz w:val="22"/>
          <w:szCs w:val="22"/>
          <w:rtl/>
        </w:rPr>
        <w:t xml:space="preserve"> </w:t>
      </w:r>
      <w:r w:rsidRPr="00405089">
        <w:rPr>
          <w:rFonts w:cs="FrankRuehl" w:hint="cs"/>
          <w:b/>
          <w:bCs/>
          <w:sz w:val="22"/>
          <w:szCs w:val="22"/>
          <w:rtl/>
        </w:rPr>
        <w:t>ביטוי</w:t>
      </w:r>
      <w:r>
        <w:rPr>
          <w:rFonts w:cs="FrankRuehl" w:hint="cs"/>
          <w:b/>
          <w:bCs/>
          <w:sz w:val="22"/>
          <w:szCs w:val="22"/>
          <w:rtl/>
        </w:rPr>
        <w:t xml:space="preserve"> </w:t>
      </w:r>
      <w:r w:rsidRPr="00405089">
        <w:rPr>
          <w:rFonts w:cs="FrankRuehl" w:hint="cs"/>
          <w:b/>
          <w:bCs/>
          <w:sz w:val="22"/>
          <w:szCs w:val="22"/>
          <w:rtl/>
        </w:rPr>
        <w:t>זכותו</w:t>
      </w:r>
      <w:r>
        <w:rPr>
          <w:rFonts w:cs="FrankRuehl" w:hint="cs"/>
          <w:b/>
          <w:bCs/>
          <w:sz w:val="22"/>
          <w:szCs w:val="22"/>
          <w:rtl/>
        </w:rPr>
        <w:t xml:space="preserve"> </w:t>
      </w:r>
      <w:r w:rsidRPr="00405089">
        <w:rPr>
          <w:rFonts w:cs="FrankRuehl" w:hint="cs"/>
          <w:b/>
          <w:bCs/>
          <w:sz w:val="22"/>
          <w:szCs w:val="22"/>
          <w:rtl/>
        </w:rPr>
        <w:t>להציג</w:t>
      </w:r>
      <w:r>
        <w:rPr>
          <w:rFonts w:cs="FrankRuehl" w:hint="cs"/>
          <w:b/>
          <w:bCs/>
          <w:sz w:val="22"/>
          <w:szCs w:val="22"/>
          <w:rtl/>
        </w:rPr>
        <w:t xml:space="preserve"> </w:t>
      </w:r>
      <w:r w:rsidRPr="00405089">
        <w:rPr>
          <w:rFonts w:cs="FrankRuehl" w:hint="cs"/>
          <w:b/>
          <w:bCs/>
          <w:sz w:val="22"/>
          <w:szCs w:val="22"/>
          <w:rtl/>
        </w:rPr>
        <w:t>באופן</w:t>
      </w:r>
      <w:r>
        <w:rPr>
          <w:rFonts w:cs="FrankRuehl" w:hint="cs"/>
          <w:b/>
          <w:bCs/>
          <w:sz w:val="22"/>
          <w:szCs w:val="22"/>
          <w:rtl/>
        </w:rPr>
        <w:t xml:space="preserve"> </w:t>
      </w:r>
      <w:r w:rsidRPr="00405089">
        <w:rPr>
          <w:rFonts w:cs="FrankRuehl" w:hint="cs"/>
          <w:b/>
          <w:bCs/>
          <w:sz w:val="22"/>
          <w:szCs w:val="22"/>
          <w:rtl/>
        </w:rPr>
        <w:t>מושלם</w:t>
      </w:r>
      <w:r>
        <w:rPr>
          <w:rFonts w:cs="FrankRuehl" w:hint="cs"/>
          <w:b/>
          <w:bCs/>
          <w:sz w:val="22"/>
          <w:szCs w:val="22"/>
          <w:rtl/>
        </w:rPr>
        <w:t xml:space="preserve"> </w:t>
      </w:r>
      <w:r w:rsidRPr="00405089">
        <w:rPr>
          <w:rFonts w:cs="FrankRuehl" w:hint="cs"/>
          <w:b/>
          <w:bCs/>
          <w:sz w:val="22"/>
          <w:szCs w:val="22"/>
          <w:rtl/>
        </w:rPr>
        <w:t>את</w:t>
      </w:r>
      <w:r>
        <w:rPr>
          <w:rFonts w:cs="FrankRuehl" w:hint="cs"/>
          <w:b/>
          <w:bCs/>
          <w:sz w:val="22"/>
          <w:szCs w:val="22"/>
          <w:rtl/>
        </w:rPr>
        <w:t xml:space="preserve"> </w:t>
      </w:r>
      <w:r w:rsidRPr="00405089">
        <w:rPr>
          <w:rFonts w:cs="FrankRuehl" w:hint="cs"/>
          <w:b/>
          <w:bCs/>
          <w:sz w:val="22"/>
          <w:szCs w:val="22"/>
          <w:rtl/>
        </w:rPr>
        <w:t>עמדתו</w:t>
      </w:r>
      <w:r>
        <w:rPr>
          <w:rFonts w:cs="FrankRuehl" w:hint="cs"/>
          <w:b/>
          <w:bCs/>
          <w:sz w:val="22"/>
          <w:szCs w:val="22"/>
          <w:rtl/>
        </w:rPr>
        <w:t xml:space="preserve"> </w:t>
      </w:r>
      <w:r w:rsidRPr="00405089">
        <w:rPr>
          <w:rFonts w:cs="FrankRuehl" w:hint="cs"/>
          <w:b/>
          <w:bCs/>
          <w:sz w:val="22"/>
          <w:szCs w:val="22"/>
          <w:rtl/>
        </w:rPr>
        <w:t>כנגד הראיות שנתקבלו, בפני</w:t>
      </w:r>
      <w:r>
        <w:rPr>
          <w:rFonts w:cs="FrankRuehl" w:hint="cs"/>
          <w:b/>
          <w:bCs/>
          <w:sz w:val="22"/>
          <w:szCs w:val="22"/>
          <w:rtl/>
        </w:rPr>
        <w:t xml:space="preserve"> </w:t>
      </w:r>
      <w:r w:rsidRPr="00405089">
        <w:rPr>
          <w:rFonts w:cs="FrankRuehl" w:hint="cs"/>
          <w:b/>
          <w:bCs/>
          <w:sz w:val="22"/>
          <w:szCs w:val="22"/>
          <w:rtl/>
        </w:rPr>
        <w:t>הרשות</w:t>
      </w:r>
      <w:r>
        <w:rPr>
          <w:rFonts w:cs="FrankRuehl" w:hint="cs"/>
          <w:b/>
          <w:bCs/>
          <w:sz w:val="22"/>
          <w:szCs w:val="22"/>
          <w:rtl/>
        </w:rPr>
        <w:t xml:space="preserve"> </w:t>
      </w:r>
      <w:r w:rsidRPr="00405089">
        <w:rPr>
          <w:rFonts w:cs="FrankRuehl" w:hint="cs"/>
          <w:b/>
          <w:bCs/>
          <w:sz w:val="22"/>
          <w:szCs w:val="22"/>
          <w:rtl/>
        </w:rPr>
        <w:t>הציבורית</w:t>
      </w:r>
      <w:r>
        <w:rPr>
          <w:rFonts w:cs="FrankRuehl" w:hint="cs"/>
          <w:b/>
          <w:bCs/>
          <w:sz w:val="22"/>
          <w:szCs w:val="22"/>
          <w:rtl/>
        </w:rPr>
        <w:t xml:space="preserve"> </w:t>
      </w:r>
      <w:r w:rsidRPr="00405089">
        <w:rPr>
          <w:rFonts w:cs="FrankRuehl" w:hint="cs"/>
          <w:b/>
          <w:bCs/>
          <w:sz w:val="22"/>
          <w:szCs w:val="22"/>
          <w:rtl/>
        </w:rPr>
        <w:t>הדנה</w:t>
      </w:r>
      <w:r>
        <w:rPr>
          <w:rFonts w:cs="FrankRuehl" w:hint="cs"/>
          <w:b/>
          <w:bCs/>
          <w:sz w:val="22"/>
          <w:szCs w:val="22"/>
          <w:rtl/>
        </w:rPr>
        <w:t xml:space="preserve"> </w:t>
      </w:r>
      <w:r w:rsidRPr="00405089">
        <w:rPr>
          <w:rFonts w:cs="FrankRuehl" w:hint="cs"/>
          <w:b/>
          <w:bCs/>
          <w:sz w:val="22"/>
          <w:szCs w:val="22"/>
          <w:rtl/>
        </w:rPr>
        <w:t>בעניינו, טרם שזו תכריע את הכף לחובתו.</w:t>
      </w:r>
      <w:r w:rsidRPr="00405089">
        <w:rPr>
          <w:rFonts w:cs="FrankRuehl" w:hint="cs"/>
          <w:sz w:val="22"/>
          <w:szCs w:val="22"/>
          <w:rtl/>
        </w:rPr>
        <w:t xml:space="preserve"> משנמנע</w:t>
      </w:r>
      <w:r>
        <w:rPr>
          <w:rFonts w:cs="FrankRuehl" w:hint="cs"/>
          <w:sz w:val="22"/>
          <w:szCs w:val="22"/>
          <w:rtl/>
        </w:rPr>
        <w:t xml:space="preserve"> </w:t>
      </w:r>
      <w:r w:rsidRPr="00405089">
        <w:rPr>
          <w:rFonts w:cs="FrankRuehl" w:hint="cs"/>
          <w:sz w:val="22"/>
          <w:szCs w:val="22"/>
          <w:rtl/>
        </w:rPr>
        <w:t>מן</w:t>
      </w:r>
      <w:r>
        <w:rPr>
          <w:rFonts w:cs="FrankRuehl" w:hint="cs"/>
          <w:sz w:val="22"/>
          <w:szCs w:val="22"/>
          <w:rtl/>
        </w:rPr>
        <w:t xml:space="preserve"> </w:t>
      </w:r>
      <w:r w:rsidRPr="00405089">
        <w:rPr>
          <w:rFonts w:cs="FrankRuehl" w:hint="cs"/>
          <w:sz w:val="22"/>
          <w:szCs w:val="22"/>
          <w:rtl/>
        </w:rPr>
        <w:t>הנפגע</w:t>
      </w:r>
      <w:r>
        <w:rPr>
          <w:rFonts w:cs="FrankRuehl" w:hint="cs"/>
          <w:sz w:val="22"/>
          <w:szCs w:val="22"/>
          <w:rtl/>
        </w:rPr>
        <w:t xml:space="preserve"> </w:t>
      </w:r>
      <w:r w:rsidRPr="00405089">
        <w:rPr>
          <w:rFonts w:cs="FrankRuehl" w:hint="cs"/>
          <w:sz w:val="22"/>
          <w:szCs w:val="22"/>
          <w:rtl/>
        </w:rPr>
        <w:t>לקבל</w:t>
      </w:r>
      <w:r>
        <w:rPr>
          <w:rFonts w:cs="FrankRuehl" w:hint="cs"/>
          <w:sz w:val="22"/>
          <w:szCs w:val="22"/>
          <w:rtl/>
        </w:rPr>
        <w:t xml:space="preserve"> </w:t>
      </w:r>
      <w:r w:rsidRPr="00405089">
        <w:rPr>
          <w:rFonts w:cs="FrankRuehl" w:hint="cs"/>
          <w:sz w:val="22"/>
          <w:szCs w:val="22"/>
          <w:rtl/>
        </w:rPr>
        <w:t>את</w:t>
      </w:r>
      <w:r>
        <w:rPr>
          <w:rFonts w:cs="FrankRuehl" w:hint="cs"/>
          <w:sz w:val="22"/>
          <w:szCs w:val="22"/>
          <w:rtl/>
        </w:rPr>
        <w:t xml:space="preserve"> </w:t>
      </w:r>
      <w:r w:rsidRPr="00405089">
        <w:rPr>
          <w:rFonts w:cs="FrankRuehl" w:hint="cs"/>
          <w:sz w:val="22"/>
          <w:szCs w:val="22"/>
          <w:rtl/>
        </w:rPr>
        <w:t>כל חומר הראיות, הרי שבכך נפגמה זכותו לטעון,</w:t>
      </w:r>
      <w:r>
        <w:rPr>
          <w:rFonts w:cs="FrankRuehl" w:hint="cs"/>
          <w:sz w:val="22"/>
          <w:szCs w:val="22"/>
          <w:rtl/>
        </w:rPr>
        <w:t xml:space="preserve"> </w:t>
      </w:r>
      <w:r w:rsidRPr="00405089">
        <w:rPr>
          <w:rFonts w:cs="FrankRuehl" w:hint="cs"/>
          <w:sz w:val="22"/>
          <w:szCs w:val="22"/>
          <w:rtl/>
        </w:rPr>
        <w:t>ואין</w:t>
      </w:r>
      <w:r>
        <w:rPr>
          <w:rFonts w:cs="FrankRuehl" w:hint="cs"/>
          <w:sz w:val="22"/>
          <w:szCs w:val="22"/>
          <w:rtl/>
        </w:rPr>
        <w:t xml:space="preserve"> </w:t>
      </w:r>
      <w:r w:rsidRPr="00405089">
        <w:rPr>
          <w:rFonts w:cs="FrankRuehl" w:hint="cs"/>
          <w:sz w:val="22"/>
          <w:szCs w:val="22"/>
          <w:rtl/>
        </w:rPr>
        <w:t>עליו</w:t>
      </w:r>
      <w:r>
        <w:rPr>
          <w:rFonts w:cs="FrankRuehl" w:hint="cs"/>
          <w:sz w:val="22"/>
          <w:szCs w:val="22"/>
          <w:rtl/>
        </w:rPr>
        <w:t xml:space="preserve"> </w:t>
      </w:r>
      <w:r w:rsidRPr="00405089">
        <w:rPr>
          <w:rFonts w:cs="FrankRuehl" w:hint="cs"/>
          <w:sz w:val="22"/>
          <w:szCs w:val="22"/>
          <w:rtl/>
        </w:rPr>
        <w:t>עוד</w:t>
      </w:r>
      <w:r>
        <w:rPr>
          <w:rFonts w:cs="FrankRuehl" w:hint="cs"/>
          <w:sz w:val="22"/>
          <w:szCs w:val="22"/>
          <w:rtl/>
        </w:rPr>
        <w:t xml:space="preserve"> </w:t>
      </w:r>
      <w:r w:rsidRPr="00405089">
        <w:rPr>
          <w:rFonts w:cs="FrankRuehl" w:hint="cs"/>
          <w:sz w:val="22"/>
          <w:szCs w:val="22"/>
          <w:rtl/>
        </w:rPr>
        <w:t>להראות</w:t>
      </w:r>
      <w:r>
        <w:rPr>
          <w:rFonts w:cs="FrankRuehl" w:hint="cs"/>
          <w:sz w:val="22"/>
          <w:szCs w:val="22"/>
          <w:rtl/>
        </w:rPr>
        <w:t xml:space="preserve"> </w:t>
      </w:r>
      <w:r w:rsidRPr="00405089">
        <w:rPr>
          <w:rFonts w:cs="FrankRuehl" w:hint="cs"/>
          <w:sz w:val="22"/>
          <w:szCs w:val="22"/>
          <w:rtl/>
        </w:rPr>
        <w:t>כי במקרה המיוחד גם הביא הדבר לעיוות דין.</w:t>
      </w:r>
      <w:r>
        <w:rPr>
          <w:rFonts w:cs="FrankRuehl" w:hint="cs"/>
          <w:sz w:val="22"/>
          <w:szCs w:val="22"/>
          <w:rtl/>
        </w:rPr>
        <w:t xml:space="preserve"> </w:t>
      </w:r>
      <w:r w:rsidRPr="00405089">
        <w:rPr>
          <w:rFonts w:cs="FrankRuehl" w:hint="cs"/>
          <w:sz w:val="22"/>
          <w:szCs w:val="22"/>
          <w:rtl/>
        </w:rPr>
        <w:t>החשש</w:t>
      </w:r>
      <w:r>
        <w:rPr>
          <w:rFonts w:cs="FrankRuehl" w:hint="cs"/>
          <w:sz w:val="22"/>
          <w:szCs w:val="22"/>
          <w:rtl/>
        </w:rPr>
        <w:t xml:space="preserve"> </w:t>
      </w:r>
      <w:r w:rsidRPr="00405089">
        <w:rPr>
          <w:rFonts w:cs="FrankRuehl" w:hint="cs"/>
          <w:sz w:val="22"/>
          <w:szCs w:val="22"/>
          <w:rtl/>
        </w:rPr>
        <w:t>(גם</w:t>
      </w:r>
      <w:r>
        <w:rPr>
          <w:rFonts w:cs="FrankRuehl" w:hint="cs"/>
          <w:sz w:val="22"/>
          <w:szCs w:val="22"/>
          <w:rtl/>
        </w:rPr>
        <w:t xml:space="preserve"> </w:t>
      </w:r>
      <w:r w:rsidRPr="00405089">
        <w:rPr>
          <w:rFonts w:cs="FrankRuehl" w:hint="cs"/>
          <w:sz w:val="22"/>
          <w:szCs w:val="22"/>
          <w:rtl/>
        </w:rPr>
        <w:t>אם</w:t>
      </w:r>
      <w:r>
        <w:rPr>
          <w:rFonts w:cs="FrankRuehl" w:hint="cs"/>
          <w:sz w:val="22"/>
          <w:szCs w:val="22"/>
          <w:rtl/>
        </w:rPr>
        <w:t xml:space="preserve"> </w:t>
      </w:r>
      <w:r w:rsidRPr="00405089">
        <w:rPr>
          <w:rFonts w:cs="FrankRuehl" w:hint="cs"/>
          <w:sz w:val="22"/>
          <w:szCs w:val="22"/>
          <w:rtl/>
        </w:rPr>
        <w:t>אינו</w:t>
      </w:r>
      <w:r>
        <w:rPr>
          <w:rFonts w:cs="FrankRuehl" w:hint="cs"/>
          <w:sz w:val="22"/>
          <w:szCs w:val="22"/>
          <w:rtl/>
        </w:rPr>
        <w:t xml:space="preserve"> </w:t>
      </w:r>
      <w:r w:rsidRPr="00405089">
        <w:rPr>
          <w:rFonts w:cs="FrankRuehl" w:hint="cs"/>
          <w:sz w:val="22"/>
          <w:szCs w:val="22"/>
          <w:rtl/>
        </w:rPr>
        <w:t>מבוסס)</w:t>
      </w:r>
      <w:r>
        <w:rPr>
          <w:rFonts w:cs="FrankRuehl" w:hint="cs"/>
          <w:sz w:val="22"/>
          <w:szCs w:val="22"/>
          <w:rtl/>
        </w:rPr>
        <w:t xml:space="preserve"> </w:t>
      </w:r>
      <w:r w:rsidRPr="00405089">
        <w:rPr>
          <w:rFonts w:cs="FrankRuehl" w:hint="cs"/>
          <w:sz w:val="22"/>
          <w:szCs w:val="22"/>
          <w:rtl/>
        </w:rPr>
        <w:t>כי</w:t>
      </w:r>
      <w:r>
        <w:rPr>
          <w:rFonts w:cs="FrankRuehl" w:hint="cs"/>
          <w:sz w:val="22"/>
          <w:szCs w:val="22"/>
          <w:rtl/>
        </w:rPr>
        <w:t xml:space="preserve"> </w:t>
      </w:r>
      <w:r w:rsidRPr="00405089">
        <w:rPr>
          <w:rFonts w:cs="FrankRuehl" w:hint="cs"/>
          <w:sz w:val="22"/>
          <w:szCs w:val="22"/>
          <w:rtl/>
        </w:rPr>
        <w:t>נפלה שגגה מלפני הרשות בהחלטתה הפוגעת, מובנה בעצם העובדה כי זכות הטעון כנגד הראיות שנתקבלו לא עמדה לנפגע במלואה.</w:t>
      </w:r>
    </w:p>
    <w:p w:rsidR="0025709E" w:rsidRPr="00405089" w:rsidRDefault="0025709E" w:rsidP="0025709E">
      <w:pPr>
        <w:tabs>
          <w:tab w:val="left" w:pos="423"/>
        </w:tabs>
        <w:spacing w:after="120"/>
        <w:rPr>
          <w:rFonts w:cs="FrankRuehl"/>
          <w:sz w:val="22"/>
          <w:szCs w:val="22"/>
          <w:rtl/>
        </w:rPr>
      </w:pPr>
      <w:r w:rsidRPr="00405089">
        <w:rPr>
          <w:rFonts w:cs="FrankRuehl" w:hint="cs"/>
          <w:b/>
          <w:bCs/>
          <w:sz w:val="22"/>
          <w:szCs w:val="22"/>
          <w:rtl/>
        </w:rPr>
        <w:t>הערך המוגן של כבוד האדם, בחוק-יסוד: כבוד האדם וחירותו, אף הוא מחייב את</w:t>
      </w:r>
      <w:r>
        <w:rPr>
          <w:rFonts w:cs="FrankRuehl" w:hint="cs"/>
          <w:b/>
          <w:bCs/>
          <w:sz w:val="22"/>
          <w:szCs w:val="22"/>
          <w:rtl/>
        </w:rPr>
        <w:t xml:space="preserve"> </w:t>
      </w:r>
      <w:r w:rsidRPr="00405089">
        <w:rPr>
          <w:rFonts w:cs="FrankRuehl" w:hint="cs"/>
          <w:b/>
          <w:bCs/>
          <w:sz w:val="22"/>
          <w:szCs w:val="22"/>
          <w:rtl/>
        </w:rPr>
        <w:t>המסקנה</w:t>
      </w:r>
      <w:r>
        <w:rPr>
          <w:rFonts w:cs="FrankRuehl" w:hint="cs"/>
          <w:b/>
          <w:bCs/>
          <w:sz w:val="22"/>
          <w:szCs w:val="22"/>
          <w:rtl/>
        </w:rPr>
        <w:t xml:space="preserve"> </w:t>
      </w:r>
      <w:r w:rsidRPr="00405089">
        <w:rPr>
          <w:rFonts w:cs="FrankRuehl" w:hint="cs"/>
          <w:b/>
          <w:bCs/>
          <w:sz w:val="22"/>
          <w:szCs w:val="22"/>
          <w:rtl/>
        </w:rPr>
        <w:t>כי</w:t>
      </w:r>
      <w:r>
        <w:rPr>
          <w:rFonts w:cs="FrankRuehl" w:hint="cs"/>
          <w:b/>
          <w:bCs/>
          <w:sz w:val="22"/>
          <w:szCs w:val="22"/>
          <w:rtl/>
        </w:rPr>
        <w:t xml:space="preserve"> </w:t>
      </w:r>
      <w:r w:rsidRPr="00405089">
        <w:rPr>
          <w:rFonts w:cs="FrankRuehl" w:hint="cs"/>
          <w:b/>
          <w:bCs/>
          <w:sz w:val="22"/>
          <w:szCs w:val="22"/>
          <w:rtl/>
        </w:rPr>
        <w:t>גם</w:t>
      </w:r>
      <w:r>
        <w:rPr>
          <w:rFonts w:cs="FrankRuehl" w:hint="cs"/>
          <w:b/>
          <w:bCs/>
          <w:sz w:val="22"/>
          <w:szCs w:val="22"/>
          <w:rtl/>
        </w:rPr>
        <w:t xml:space="preserve"> </w:t>
      </w:r>
      <w:r w:rsidRPr="00405089">
        <w:rPr>
          <w:rFonts w:cs="FrankRuehl" w:hint="cs"/>
          <w:b/>
          <w:bCs/>
          <w:sz w:val="22"/>
          <w:szCs w:val="22"/>
          <w:rtl/>
        </w:rPr>
        <w:t>פגיעה בכבוד האדם לתכלית ראויה, לא ראוי לה שתיעשה קודם</w:t>
      </w:r>
      <w:r>
        <w:rPr>
          <w:rFonts w:cs="FrankRuehl" w:hint="cs"/>
          <w:b/>
          <w:bCs/>
          <w:sz w:val="22"/>
          <w:szCs w:val="22"/>
          <w:rtl/>
        </w:rPr>
        <w:t xml:space="preserve"> </w:t>
      </w:r>
      <w:r w:rsidRPr="00405089">
        <w:rPr>
          <w:rFonts w:cs="FrankRuehl" w:hint="cs"/>
          <w:b/>
          <w:bCs/>
          <w:sz w:val="22"/>
          <w:szCs w:val="22"/>
          <w:rtl/>
        </w:rPr>
        <w:t>שמיצה,</w:t>
      </w:r>
      <w:r>
        <w:rPr>
          <w:rFonts w:cs="FrankRuehl" w:hint="cs"/>
          <w:b/>
          <w:bCs/>
          <w:sz w:val="22"/>
          <w:szCs w:val="22"/>
          <w:rtl/>
        </w:rPr>
        <w:t xml:space="preserve"> </w:t>
      </w:r>
      <w:r w:rsidRPr="00405089">
        <w:rPr>
          <w:rFonts w:cs="FrankRuehl" w:hint="cs"/>
          <w:b/>
          <w:bCs/>
          <w:sz w:val="22"/>
          <w:szCs w:val="22"/>
          <w:rtl/>
        </w:rPr>
        <w:t>מי</w:t>
      </w:r>
      <w:r>
        <w:rPr>
          <w:rFonts w:cs="FrankRuehl" w:hint="cs"/>
          <w:b/>
          <w:bCs/>
          <w:sz w:val="22"/>
          <w:szCs w:val="22"/>
          <w:rtl/>
        </w:rPr>
        <w:t xml:space="preserve"> </w:t>
      </w:r>
      <w:r w:rsidRPr="00405089">
        <w:rPr>
          <w:rFonts w:cs="FrankRuehl" w:hint="cs"/>
          <w:b/>
          <w:bCs/>
          <w:sz w:val="22"/>
          <w:szCs w:val="22"/>
          <w:rtl/>
        </w:rPr>
        <w:t>שכבודו עלול להפגע, את זכות הטעון, במובן של קבלת חומר</w:t>
      </w:r>
      <w:r>
        <w:rPr>
          <w:rFonts w:cs="FrankRuehl" w:hint="cs"/>
          <w:b/>
          <w:bCs/>
          <w:sz w:val="22"/>
          <w:szCs w:val="22"/>
          <w:rtl/>
        </w:rPr>
        <w:t xml:space="preserve"> </w:t>
      </w:r>
      <w:r w:rsidRPr="00405089">
        <w:rPr>
          <w:rFonts w:cs="FrankRuehl" w:hint="cs"/>
          <w:b/>
          <w:bCs/>
          <w:sz w:val="22"/>
          <w:szCs w:val="22"/>
          <w:rtl/>
        </w:rPr>
        <w:t>הראיות</w:t>
      </w:r>
      <w:r>
        <w:rPr>
          <w:rFonts w:cs="FrankRuehl" w:hint="cs"/>
          <w:b/>
          <w:bCs/>
          <w:sz w:val="22"/>
          <w:szCs w:val="22"/>
          <w:rtl/>
        </w:rPr>
        <w:t xml:space="preserve"> </w:t>
      </w:r>
      <w:r w:rsidRPr="00405089">
        <w:rPr>
          <w:rFonts w:cs="FrankRuehl" w:hint="cs"/>
          <w:b/>
          <w:bCs/>
          <w:sz w:val="22"/>
          <w:szCs w:val="22"/>
          <w:rtl/>
        </w:rPr>
        <w:t>בשלמותו</w:t>
      </w:r>
      <w:r>
        <w:rPr>
          <w:rFonts w:cs="FrankRuehl" w:hint="cs"/>
          <w:b/>
          <w:bCs/>
          <w:sz w:val="22"/>
          <w:szCs w:val="22"/>
          <w:rtl/>
        </w:rPr>
        <w:t xml:space="preserve"> </w:t>
      </w:r>
      <w:r w:rsidRPr="00405089">
        <w:rPr>
          <w:rFonts w:cs="FrankRuehl" w:hint="cs"/>
          <w:b/>
          <w:bCs/>
          <w:sz w:val="22"/>
          <w:szCs w:val="22"/>
          <w:rtl/>
        </w:rPr>
        <w:t>והזדמנות</w:t>
      </w:r>
      <w:r>
        <w:rPr>
          <w:rFonts w:cs="FrankRuehl" w:hint="cs"/>
          <w:b/>
          <w:bCs/>
          <w:sz w:val="22"/>
          <w:szCs w:val="22"/>
          <w:rtl/>
        </w:rPr>
        <w:t xml:space="preserve"> </w:t>
      </w:r>
      <w:r w:rsidRPr="00405089">
        <w:rPr>
          <w:rFonts w:cs="FrankRuehl" w:hint="cs"/>
          <w:b/>
          <w:bCs/>
          <w:sz w:val="22"/>
          <w:szCs w:val="22"/>
          <w:rtl/>
        </w:rPr>
        <w:t>להגיב</w:t>
      </w:r>
      <w:r>
        <w:rPr>
          <w:rFonts w:cs="FrankRuehl" w:hint="cs"/>
          <w:b/>
          <w:bCs/>
          <w:sz w:val="22"/>
          <w:szCs w:val="22"/>
          <w:rtl/>
        </w:rPr>
        <w:t xml:space="preserve"> </w:t>
      </w:r>
      <w:r w:rsidRPr="00405089">
        <w:rPr>
          <w:rFonts w:cs="FrankRuehl" w:hint="cs"/>
          <w:b/>
          <w:bCs/>
          <w:sz w:val="22"/>
          <w:szCs w:val="22"/>
          <w:rtl/>
        </w:rPr>
        <w:t xml:space="preserve">עליו, זכות שהיא "חגורת ביטחון" כנגד </w:t>
      </w:r>
      <w:r w:rsidRPr="00405089">
        <w:rPr>
          <w:rFonts w:cs="FrankRuehl" w:hint="cs"/>
          <w:b/>
          <w:bCs/>
          <w:sz w:val="22"/>
          <w:szCs w:val="22"/>
          <w:highlight w:val="yellow"/>
          <w:rtl/>
        </w:rPr>
        <w:t>פגיעה "העולה על הנדרש".</w:t>
      </w:r>
      <w:r w:rsidRPr="00405089">
        <w:rPr>
          <w:rFonts w:cs="FrankRuehl" w:hint="cs"/>
          <w:b/>
          <w:bCs/>
          <w:sz w:val="22"/>
          <w:szCs w:val="22"/>
          <w:rtl/>
        </w:rPr>
        <w:t xml:space="preserve"> </w:t>
      </w:r>
    </w:p>
    <w:p w:rsidR="0025709E" w:rsidRPr="00405089" w:rsidRDefault="0025709E" w:rsidP="0025709E">
      <w:pPr>
        <w:tabs>
          <w:tab w:val="left" w:pos="423"/>
        </w:tabs>
        <w:spacing w:after="120"/>
        <w:rPr>
          <w:rFonts w:cs="FrankRuehl"/>
          <w:sz w:val="22"/>
          <w:szCs w:val="22"/>
          <w:rtl/>
        </w:rPr>
      </w:pPr>
      <w:r w:rsidRPr="00405089">
        <w:rPr>
          <w:rFonts w:cs="FrankRuehl" w:hint="cs"/>
          <w:sz w:val="22"/>
          <w:szCs w:val="22"/>
          <w:rtl/>
        </w:rPr>
        <w:t>5.</w:t>
      </w:r>
      <w:r>
        <w:rPr>
          <w:rFonts w:cs="FrankRuehl" w:hint="cs"/>
          <w:sz w:val="22"/>
          <w:szCs w:val="22"/>
          <w:rtl/>
        </w:rPr>
        <w:t xml:space="preserve"> </w:t>
      </w:r>
      <w:r w:rsidRPr="00405089">
        <w:rPr>
          <w:rFonts w:cs="FrankRuehl" w:hint="cs"/>
          <w:sz w:val="22"/>
          <w:szCs w:val="22"/>
          <w:rtl/>
        </w:rPr>
        <w:t>כאן</w:t>
      </w:r>
      <w:r>
        <w:rPr>
          <w:rFonts w:cs="FrankRuehl" w:hint="cs"/>
          <w:sz w:val="22"/>
          <w:szCs w:val="22"/>
          <w:rtl/>
        </w:rPr>
        <w:t xml:space="preserve"> </w:t>
      </w:r>
      <w:r w:rsidRPr="00405089">
        <w:rPr>
          <w:rFonts w:cs="FrankRuehl" w:hint="cs"/>
          <w:sz w:val="22"/>
          <w:szCs w:val="22"/>
          <w:rtl/>
        </w:rPr>
        <w:t>מגיעים</w:t>
      </w:r>
      <w:r>
        <w:rPr>
          <w:rFonts w:cs="FrankRuehl" w:hint="cs"/>
          <w:sz w:val="22"/>
          <w:szCs w:val="22"/>
          <w:rtl/>
        </w:rPr>
        <w:t xml:space="preserve"> </w:t>
      </w:r>
      <w:r w:rsidRPr="00405089">
        <w:rPr>
          <w:rFonts w:cs="FrankRuehl" w:hint="cs"/>
          <w:sz w:val="22"/>
          <w:szCs w:val="22"/>
          <w:rtl/>
        </w:rPr>
        <w:t>אנו לשאלה אם הזכות האמורה עומדת גם לגבי מי שנפגע מדו"ח או</w:t>
      </w:r>
      <w:r>
        <w:rPr>
          <w:rFonts w:cs="FrankRuehl" w:hint="cs"/>
          <w:sz w:val="22"/>
          <w:szCs w:val="22"/>
          <w:rtl/>
        </w:rPr>
        <w:t xml:space="preserve"> </w:t>
      </w:r>
      <w:r w:rsidRPr="00405089">
        <w:rPr>
          <w:rFonts w:cs="FrankRuehl" w:hint="cs"/>
          <w:sz w:val="22"/>
          <w:szCs w:val="22"/>
          <w:rtl/>
        </w:rPr>
        <w:t>מחוות</w:t>
      </w:r>
      <w:r>
        <w:rPr>
          <w:rFonts w:cs="FrankRuehl" w:hint="cs"/>
          <w:sz w:val="22"/>
          <w:szCs w:val="22"/>
          <w:rtl/>
        </w:rPr>
        <w:t xml:space="preserve"> </w:t>
      </w:r>
      <w:r w:rsidRPr="00405089">
        <w:rPr>
          <w:rFonts w:cs="FrankRuehl" w:hint="cs"/>
          <w:sz w:val="22"/>
          <w:szCs w:val="22"/>
          <w:rtl/>
        </w:rPr>
        <w:t>דעת</w:t>
      </w:r>
      <w:r>
        <w:rPr>
          <w:rFonts w:cs="FrankRuehl" w:hint="cs"/>
          <w:sz w:val="22"/>
          <w:szCs w:val="22"/>
          <w:rtl/>
        </w:rPr>
        <w:t xml:space="preserve"> </w:t>
      </w:r>
      <w:r w:rsidRPr="00405089">
        <w:rPr>
          <w:rFonts w:cs="FrankRuehl" w:hint="cs"/>
          <w:sz w:val="22"/>
          <w:szCs w:val="22"/>
          <w:rtl/>
        </w:rPr>
        <w:t>של</w:t>
      </w:r>
      <w:r>
        <w:rPr>
          <w:rFonts w:cs="FrankRuehl" w:hint="cs"/>
          <w:sz w:val="22"/>
          <w:szCs w:val="22"/>
          <w:rtl/>
        </w:rPr>
        <w:t xml:space="preserve"> </w:t>
      </w:r>
      <w:r w:rsidRPr="00405089">
        <w:rPr>
          <w:rFonts w:cs="FrankRuehl" w:hint="cs"/>
          <w:sz w:val="22"/>
          <w:szCs w:val="22"/>
          <w:rtl/>
        </w:rPr>
        <w:t>מבקר</w:t>
      </w:r>
      <w:r>
        <w:rPr>
          <w:rFonts w:cs="FrankRuehl" w:hint="cs"/>
          <w:sz w:val="22"/>
          <w:szCs w:val="22"/>
          <w:rtl/>
        </w:rPr>
        <w:t xml:space="preserve"> </w:t>
      </w:r>
      <w:r w:rsidRPr="00405089">
        <w:rPr>
          <w:rFonts w:cs="FrankRuehl" w:hint="cs"/>
          <w:sz w:val="22"/>
          <w:szCs w:val="22"/>
          <w:rtl/>
        </w:rPr>
        <w:t>המדינה.</w:t>
      </w:r>
      <w:r>
        <w:rPr>
          <w:rFonts w:cs="FrankRuehl" w:hint="cs"/>
          <w:sz w:val="22"/>
          <w:szCs w:val="22"/>
          <w:rtl/>
        </w:rPr>
        <w:t xml:space="preserve"> </w:t>
      </w:r>
      <w:r w:rsidRPr="00405089">
        <w:rPr>
          <w:rFonts w:cs="FrankRuehl" w:hint="cs"/>
          <w:sz w:val="22"/>
          <w:szCs w:val="22"/>
          <w:rtl/>
        </w:rPr>
        <w:t>וכבר נאמר כי "את כללי הצדק הטבעי, כמו</w:t>
      </w:r>
      <w:r>
        <w:rPr>
          <w:rFonts w:cs="FrankRuehl" w:hint="cs"/>
          <w:sz w:val="22"/>
          <w:szCs w:val="22"/>
          <w:rtl/>
        </w:rPr>
        <w:t xml:space="preserve"> </w:t>
      </w:r>
      <w:r w:rsidRPr="00405089">
        <w:rPr>
          <w:rFonts w:cs="FrankRuehl" w:hint="cs"/>
          <w:sz w:val="22"/>
          <w:szCs w:val="22"/>
          <w:rtl/>
        </w:rPr>
        <w:t>שהם נקבעו לענין אחד, אין מנתקים מנסיבותיו של אותו ענין, ואין מרכיבים אותם על ענין שהם זרים לו" (בג"צ 335/68 המועצה הישראלית לצרכנות נ'</w:t>
      </w:r>
      <w:r>
        <w:rPr>
          <w:rFonts w:cs="FrankRuehl" w:hint="cs"/>
          <w:sz w:val="22"/>
          <w:szCs w:val="22"/>
          <w:rtl/>
        </w:rPr>
        <w:t xml:space="preserve"> </w:t>
      </w:r>
      <w:r w:rsidRPr="00405089">
        <w:rPr>
          <w:rFonts w:cs="FrankRuehl" w:hint="cs"/>
          <w:sz w:val="22"/>
          <w:szCs w:val="22"/>
          <w:rtl/>
        </w:rPr>
        <w:t>יו"ר ועדת החקירה לענין מתן שירותי גז, פ"ד כג(1) 324, 336).</w:t>
      </w:r>
      <w:r>
        <w:rPr>
          <w:rFonts w:cs="FrankRuehl" w:hint="cs"/>
          <w:sz w:val="22"/>
          <w:szCs w:val="22"/>
          <w:rtl/>
        </w:rPr>
        <w:t xml:space="preserve"> </w:t>
      </w:r>
      <w:r w:rsidRPr="00405089">
        <w:rPr>
          <w:rFonts w:cs="FrankRuehl" w:hint="cs"/>
          <w:b/>
          <w:bCs/>
          <w:sz w:val="22"/>
          <w:szCs w:val="22"/>
          <w:rtl/>
        </w:rPr>
        <w:t>סבורני, שאין ספק כי שיבוש הליכי הביקורת לסוגיהם, שמקיים מבקר המדינה, או אף חשש לשיבוש כזה, מצדיקים את צמצומה של הזכות בה אנו דנים. אולם האם ישנה הצדקה לצמצום כזה גם במקרים אחרים?</w:t>
      </w:r>
    </w:p>
    <w:p w:rsidR="0025709E" w:rsidRPr="00405089" w:rsidRDefault="0025709E" w:rsidP="0025709E">
      <w:pPr>
        <w:tabs>
          <w:tab w:val="left" w:pos="423"/>
        </w:tabs>
        <w:spacing w:after="120"/>
        <w:rPr>
          <w:rFonts w:cs="FrankRuehl"/>
          <w:sz w:val="22"/>
          <w:szCs w:val="22"/>
          <w:rtl/>
        </w:rPr>
      </w:pPr>
      <w:r w:rsidRPr="00405089">
        <w:rPr>
          <w:rFonts w:cs="FrankRuehl" w:hint="cs"/>
          <w:sz w:val="22"/>
          <w:szCs w:val="22"/>
          <w:rtl/>
        </w:rPr>
        <w:t>6.</w:t>
      </w:r>
      <w:r>
        <w:rPr>
          <w:rFonts w:cs="FrankRuehl" w:hint="cs"/>
          <w:sz w:val="22"/>
          <w:szCs w:val="22"/>
          <w:rtl/>
        </w:rPr>
        <w:t xml:space="preserve"> </w:t>
      </w:r>
      <w:r w:rsidRPr="00405089">
        <w:rPr>
          <w:rFonts w:cs="FrankRuehl" w:hint="cs"/>
          <w:sz w:val="22"/>
          <w:szCs w:val="22"/>
          <w:rtl/>
        </w:rPr>
        <w:t>סעיף 2(ב) לחוק יסוד: מבקר המדינה, תשמ"ח-1988 קובע כי: "מבקר המדינה</w:t>
      </w:r>
      <w:r>
        <w:rPr>
          <w:rFonts w:cs="FrankRuehl" w:hint="cs"/>
          <w:sz w:val="22"/>
          <w:szCs w:val="22"/>
          <w:rtl/>
        </w:rPr>
        <w:t xml:space="preserve"> </w:t>
      </w:r>
      <w:r w:rsidRPr="00405089">
        <w:rPr>
          <w:rFonts w:cs="FrankRuehl" w:hint="cs"/>
          <w:sz w:val="22"/>
          <w:szCs w:val="22"/>
          <w:rtl/>
        </w:rPr>
        <w:t>יבחן את חוקיות הפעולות, טוהר המידות, הניהול</w:t>
      </w:r>
      <w:r>
        <w:rPr>
          <w:rFonts w:cs="FrankRuehl" w:hint="cs"/>
          <w:sz w:val="22"/>
          <w:szCs w:val="22"/>
          <w:rtl/>
        </w:rPr>
        <w:t xml:space="preserve"> </w:t>
      </w:r>
      <w:r w:rsidRPr="00405089">
        <w:rPr>
          <w:rFonts w:cs="FrankRuehl" w:hint="cs"/>
          <w:sz w:val="22"/>
          <w:szCs w:val="22"/>
          <w:rtl/>
        </w:rPr>
        <w:t>התקין,</w:t>
      </w:r>
      <w:r>
        <w:rPr>
          <w:rFonts w:cs="FrankRuehl" w:hint="cs"/>
          <w:sz w:val="22"/>
          <w:szCs w:val="22"/>
          <w:rtl/>
        </w:rPr>
        <w:t xml:space="preserve"> </w:t>
      </w:r>
      <w:r w:rsidRPr="00405089">
        <w:rPr>
          <w:rFonts w:cs="FrankRuehl" w:hint="cs"/>
          <w:sz w:val="22"/>
          <w:szCs w:val="22"/>
          <w:rtl/>
        </w:rPr>
        <w:t>היעילות והחסכון של הגופים המבוקרים, וכל ענין אחר שיראה בו צורך".</w:t>
      </w:r>
      <w:r>
        <w:rPr>
          <w:rFonts w:cs="FrankRuehl" w:hint="cs"/>
          <w:sz w:val="22"/>
          <w:szCs w:val="22"/>
          <w:rtl/>
        </w:rPr>
        <w:t xml:space="preserve"> </w:t>
      </w:r>
      <w:r w:rsidRPr="00405089">
        <w:rPr>
          <w:rFonts w:cs="FrankRuehl" w:hint="cs"/>
          <w:sz w:val="22"/>
          <w:szCs w:val="22"/>
          <w:rtl/>
        </w:rPr>
        <w:t>אכן, לא מן הנמנע כי גם במהלך הבירור של חוקיות הפעולות, הניהול התקין, והיעילות</w:t>
      </w:r>
      <w:r>
        <w:rPr>
          <w:rFonts w:cs="FrankRuehl" w:hint="cs"/>
          <w:sz w:val="22"/>
          <w:szCs w:val="22"/>
          <w:rtl/>
        </w:rPr>
        <w:t xml:space="preserve"> </w:t>
      </w:r>
      <w:r w:rsidRPr="00405089">
        <w:rPr>
          <w:rFonts w:cs="FrankRuehl" w:hint="cs"/>
          <w:sz w:val="22"/>
          <w:szCs w:val="22"/>
          <w:rtl/>
        </w:rPr>
        <w:t>והחסכון</w:t>
      </w:r>
      <w:r>
        <w:rPr>
          <w:rFonts w:cs="FrankRuehl" w:hint="cs"/>
          <w:sz w:val="22"/>
          <w:szCs w:val="22"/>
          <w:rtl/>
        </w:rPr>
        <w:t xml:space="preserve"> </w:t>
      </w:r>
      <w:r w:rsidRPr="00405089">
        <w:rPr>
          <w:rFonts w:cs="FrankRuehl" w:hint="cs"/>
          <w:sz w:val="22"/>
          <w:szCs w:val="22"/>
          <w:rtl/>
        </w:rPr>
        <w:t xml:space="preserve">של הגופים המבוקרים, עלול שמו של נושא משרה להיות מוכתם </w:t>
      </w:r>
      <w:r w:rsidRPr="00405089">
        <w:rPr>
          <w:rFonts w:cs="FrankRuehl" w:hint="cs"/>
          <w:b/>
          <w:bCs/>
          <w:sz w:val="22"/>
          <w:szCs w:val="22"/>
          <w:highlight w:val="yellow"/>
          <w:rtl/>
        </w:rPr>
        <w:t>בחוסר מיקצועיות, חוסר התאמה לתפקיד, התרשלות, וכל כיוצא באלה</w:t>
      </w:r>
      <w:r w:rsidRPr="00405089">
        <w:rPr>
          <w:rFonts w:cs="FrankRuehl" w:hint="cs"/>
          <w:b/>
          <w:bCs/>
          <w:sz w:val="22"/>
          <w:szCs w:val="22"/>
          <w:rtl/>
        </w:rPr>
        <w:t>.</w:t>
      </w:r>
      <w:r w:rsidRPr="00405089">
        <w:rPr>
          <w:rFonts w:cs="FrankRuehl" w:hint="cs"/>
          <w:sz w:val="22"/>
          <w:szCs w:val="22"/>
          <w:rtl/>
        </w:rPr>
        <w:t xml:space="preserve"> אולם</w:t>
      </w:r>
      <w:r>
        <w:rPr>
          <w:rFonts w:cs="FrankRuehl" w:hint="cs"/>
          <w:sz w:val="22"/>
          <w:szCs w:val="22"/>
          <w:rtl/>
        </w:rPr>
        <w:t xml:space="preserve"> </w:t>
      </w:r>
      <w:r w:rsidRPr="00405089">
        <w:rPr>
          <w:rFonts w:cs="FrankRuehl" w:hint="cs"/>
          <w:sz w:val="22"/>
          <w:szCs w:val="22"/>
          <w:rtl/>
        </w:rPr>
        <w:t>סבורני כי נוכח אופי פגיעה כזאת בערך כבוד האדם, ראוי הוא לקבוע, שככלל</w:t>
      </w:r>
      <w:r>
        <w:rPr>
          <w:rFonts w:cs="FrankRuehl" w:hint="cs"/>
          <w:sz w:val="22"/>
          <w:szCs w:val="22"/>
          <w:rtl/>
        </w:rPr>
        <w:t xml:space="preserve"> </w:t>
      </w:r>
      <w:r w:rsidRPr="00405089">
        <w:rPr>
          <w:rFonts w:cs="FrankRuehl" w:hint="cs"/>
          <w:sz w:val="22"/>
          <w:szCs w:val="22"/>
          <w:rtl/>
        </w:rPr>
        <w:t>ידה</w:t>
      </w:r>
      <w:r>
        <w:rPr>
          <w:rFonts w:cs="FrankRuehl" w:hint="cs"/>
          <w:sz w:val="22"/>
          <w:szCs w:val="22"/>
          <w:rtl/>
        </w:rPr>
        <w:t xml:space="preserve"> </w:t>
      </w:r>
      <w:r w:rsidRPr="00405089">
        <w:rPr>
          <w:rFonts w:cs="FrankRuehl" w:hint="cs"/>
          <w:sz w:val="22"/>
          <w:szCs w:val="22"/>
          <w:rtl/>
        </w:rPr>
        <w:t>של</w:t>
      </w:r>
      <w:r>
        <w:rPr>
          <w:rFonts w:cs="FrankRuehl" w:hint="cs"/>
          <w:sz w:val="22"/>
          <w:szCs w:val="22"/>
          <w:rtl/>
        </w:rPr>
        <w:t xml:space="preserve"> </w:t>
      </w:r>
      <w:r w:rsidRPr="00405089">
        <w:rPr>
          <w:rFonts w:cs="FrankRuehl" w:hint="cs"/>
          <w:sz w:val="22"/>
          <w:szCs w:val="22"/>
          <w:rtl/>
        </w:rPr>
        <w:t>יעילות הביקורת על העליונה. הרחבת היריעה למתן זכות העיון</w:t>
      </w:r>
      <w:r>
        <w:rPr>
          <w:rFonts w:cs="FrankRuehl" w:hint="cs"/>
          <w:sz w:val="22"/>
          <w:szCs w:val="22"/>
          <w:rtl/>
        </w:rPr>
        <w:t xml:space="preserve"> </w:t>
      </w:r>
      <w:r w:rsidRPr="00405089">
        <w:rPr>
          <w:rFonts w:cs="FrankRuehl" w:hint="cs"/>
          <w:sz w:val="22"/>
          <w:szCs w:val="22"/>
          <w:rtl/>
        </w:rPr>
        <w:t>בחומר</w:t>
      </w:r>
      <w:r>
        <w:rPr>
          <w:rFonts w:cs="FrankRuehl" w:hint="cs"/>
          <w:sz w:val="22"/>
          <w:szCs w:val="22"/>
          <w:rtl/>
        </w:rPr>
        <w:t xml:space="preserve"> </w:t>
      </w:r>
      <w:r w:rsidRPr="00405089">
        <w:rPr>
          <w:rFonts w:cs="FrankRuehl" w:hint="cs"/>
          <w:sz w:val="22"/>
          <w:szCs w:val="22"/>
          <w:rtl/>
        </w:rPr>
        <w:t>החקירה</w:t>
      </w:r>
      <w:r>
        <w:rPr>
          <w:rFonts w:cs="FrankRuehl" w:hint="cs"/>
          <w:sz w:val="22"/>
          <w:szCs w:val="22"/>
          <w:rtl/>
        </w:rPr>
        <w:t xml:space="preserve"> </w:t>
      </w:r>
      <w:r w:rsidRPr="00405089">
        <w:rPr>
          <w:rFonts w:cs="FrankRuehl" w:hint="cs"/>
          <w:sz w:val="22"/>
          <w:szCs w:val="22"/>
          <w:rtl/>
        </w:rPr>
        <w:t>ולהגיב</w:t>
      </w:r>
      <w:r>
        <w:rPr>
          <w:rFonts w:cs="FrankRuehl" w:hint="cs"/>
          <w:sz w:val="22"/>
          <w:szCs w:val="22"/>
          <w:rtl/>
        </w:rPr>
        <w:t xml:space="preserve"> </w:t>
      </w:r>
      <w:r w:rsidRPr="00405089">
        <w:rPr>
          <w:rFonts w:cs="FrankRuehl" w:hint="cs"/>
          <w:sz w:val="22"/>
          <w:szCs w:val="22"/>
          <w:rtl/>
        </w:rPr>
        <w:t>עליו</w:t>
      </w:r>
      <w:r>
        <w:rPr>
          <w:rFonts w:cs="FrankRuehl" w:hint="cs"/>
          <w:sz w:val="22"/>
          <w:szCs w:val="22"/>
          <w:rtl/>
        </w:rPr>
        <w:t xml:space="preserve"> </w:t>
      </w:r>
      <w:r w:rsidRPr="00405089">
        <w:rPr>
          <w:rFonts w:cs="FrankRuehl" w:hint="cs"/>
          <w:sz w:val="22"/>
          <w:szCs w:val="22"/>
          <w:rtl/>
        </w:rPr>
        <w:t>גם במקרים כאלה עלולה לפגוע בעבודתו ובתיפקודו</w:t>
      </w:r>
      <w:r>
        <w:rPr>
          <w:rFonts w:cs="FrankRuehl" w:hint="cs"/>
          <w:sz w:val="22"/>
          <w:szCs w:val="22"/>
          <w:rtl/>
        </w:rPr>
        <w:t xml:space="preserve"> </w:t>
      </w:r>
      <w:r w:rsidRPr="00405089">
        <w:rPr>
          <w:rFonts w:cs="FrankRuehl" w:hint="cs"/>
          <w:sz w:val="22"/>
          <w:szCs w:val="22"/>
          <w:rtl/>
        </w:rPr>
        <w:t>התקינים</w:t>
      </w:r>
      <w:r>
        <w:rPr>
          <w:rFonts w:cs="FrankRuehl" w:hint="cs"/>
          <w:sz w:val="22"/>
          <w:szCs w:val="22"/>
          <w:rtl/>
        </w:rPr>
        <w:t xml:space="preserve"> </w:t>
      </w:r>
      <w:r w:rsidRPr="00405089">
        <w:rPr>
          <w:rFonts w:cs="FrankRuehl" w:hint="cs"/>
          <w:sz w:val="22"/>
          <w:szCs w:val="22"/>
          <w:rtl/>
        </w:rPr>
        <w:t>של</w:t>
      </w:r>
      <w:r>
        <w:rPr>
          <w:rFonts w:cs="FrankRuehl" w:hint="cs"/>
          <w:sz w:val="22"/>
          <w:szCs w:val="22"/>
          <w:rtl/>
        </w:rPr>
        <w:t xml:space="preserve"> </w:t>
      </w:r>
      <w:r w:rsidRPr="00405089">
        <w:rPr>
          <w:rFonts w:cs="FrankRuehl" w:hint="cs"/>
          <w:sz w:val="22"/>
          <w:szCs w:val="22"/>
          <w:rtl/>
        </w:rPr>
        <w:t>מבקר</w:t>
      </w:r>
      <w:r>
        <w:rPr>
          <w:rFonts w:cs="FrankRuehl" w:hint="cs"/>
          <w:sz w:val="22"/>
          <w:szCs w:val="22"/>
          <w:rtl/>
        </w:rPr>
        <w:t xml:space="preserve"> </w:t>
      </w:r>
      <w:r w:rsidRPr="00405089">
        <w:rPr>
          <w:rFonts w:cs="FrankRuehl" w:hint="cs"/>
          <w:sz w:val="22"/>
          <w:szCs w:val="22"/>
          <w:rtl/>
        </w:rPr>
        <w:t>המדינה.</w:t>
      </w:r>
      <w:r>
        <w:rPr>
          <w:rFonts w:cs="FrankRuehl" w:hint="cs"/>
          <w:sz w:val="22"/>
          <w:szCs w:val="22"/>
          <w:rtl/>
        </w:rPr>
        <w:t xml:space="preserve"> </w:t>
      </w:r>
      <w:r w:rsidRPr="00405089">
        <w:rPr>
          <w:rFonts w:cs="FrankRuehl" w:hint="cs"/>
          <w:sz w:val="22"/>
          <w:szCs w:val="22"/>
          <w:rtl/>
        </w:rPr>
        <w:t>אם כי ייתכנו, כמובן, מקרים שיצדיקו גישה שונה בכל הנוגע להענקת הזכות האמורה.</w:t>
      </w:r>
    </w:p>
    <w:p w:rsidR="0025709E" w:rsidRPr="00405089" w:rsidRDefault="0025709E" w:rsidP="0025709E">
      <w:pPr>
        <w:tabs>
          <w:tab w:val="left" w:pos="423"/>
        </w:tabs>
        <w:spacing w:after="120"/>
        <w:rPr>
          <w:rFonts w:cs="FrankRuehl"/>
          <w:b/>
          <w:bCs/>
          <w:sz w:val="22"/>
          <w:szCs w:val="22"/>
          <w:rtl/>
        </w:rPr>
      </w:pPr>
      <w:r w:rsidRPr="00405089">
        <w:rPr>
          <w:rFonts w:cs="FrankRuehl" w:hint="cs"/>
          <w:b/>
          <w:bCs/>
          <w:sz w:val="22"/>
          <w:szCs w:val="22"/>
          <w:rtl/>
        </w:rPr>
        <w:t xml:space="preserve">לא כן, כשנושא הביקורת הוא </w:t>
      </w:r>
      <w:r w:rsidRPr="00405089">
        <w:rPr>
          <w:rFonts w:cs="FrankRuehl" w:hint="cs"/>
          <w:b/>
          <w:bCs/>
          <w:sz w:val="22"/>
          <w:szCs w:val="22"/>
          <w:highlight w:val="yellow"/>
          <w:rtl/>
        </w:rPr>
        <w:t>טוהר המידות</w:t>
      </w:r>
      <w:r w:rsidRPr="00405089">
        <w:rPr>
          <w:rFonts w:cs="FrankRuehl" w:hint="cs"/>
          <w:b/>
          <w:bCs/>
          <w:sz w:val="22"/>
          <w:szCs w:val="22"/>
          <w:rtl/>
        </w:rPr>
        <w:t xml:space="preserve">, </w:t>
      </w:r>
      <w:r w:rsidRPr="00405089">
        <w:rPr>
          <w:rFonts w:cs="FrankRuehl" w:hint="cs"/>
          <w:sz w:val="22"/>
          <w:szCs w:val="22"/>
          <w:rtl/>
        </w:rPr>
        <w:t>ובכלל זה חוסר יושרו או חוסר אמינותו של נושא משרה בגוף המבוקר, בין שהוא נקרא בשמו ובין שניתן לזהותו על פי משרתו. כאן נפגע ערך כבוד האדם במלוא משמעותו. הסטיגמה</w:t>
      </w:r>
      <w:r>
        <w:rPr>
          <w:rFonts w:cs="FrankRuehl" w:hint="cs"/>
          <w:sz w:val="22"/>
          <w:szCs w:val="22"/>
          <w:rtl/>
        </w:rPr>
        <w:t xml:space="preserve"> </w:t>
      </w:r>
      <w:r w:rsidRPr="00405089">
        <w:rPr>
          <w:rFonts w:cs="FrankRuehl" w:hint="cs"/>
          <w:sz w:val="22"/>
          <w:szCs w:val="22"/>
          <w:rtl/>
        </w:rPr>
        <w:t>הפומבית</w:t>
      </w:r>
      <w:r>
        <w:rPr>
          <w:rFonts w:cs="FrankRuehl" w:hint="cs"/>
          <w:sz w:val="22"/>
          <w:szCs w:val="22"/>
          <w:rtl/>
        </w:rPr>
        <w:t xml:space="preserve"> </w:t>
      </w:r>
      <w:r w:rsidRPr="00405089">
        <w:rPr>
          <w:rFonts w:cs="FrankRuehl" w:hint="cs"/>
          <w:sz w:val="22"/>
          <w:szCs w:val="22"/>
          <w:rtl/>
        </w:rPr>
        <w:t>המוטבעת</w:t>
      </w:r>
      <w:r>
        <w:rPr>
          <w:rFonts w:cs="FrankRuehl" w:hint="cs"/>
          <w:sz w:val="22"/>
          <w:szCs w:val="22"/>
          <w:rtl/>
        </w:rPr>
        <w:t xml:space="preserve"> </w:t>
      </w:r>
      <w:r w:rsidRPr="00405089">
        <w:rPr>
          <w:rFonts w:cs="FrankRuehl" w:hint="cs"/>
          <w:sz w:val="22"/>
          <w:szCs w:val="22"/>
          <w:rtl/>
        </w:rPr>
        <w:t>על נושא המשרה, עקב</w:t>
      </w:r>
      <w:r>
        <w:rPr>
          <w:rFonts w:cs="FrankRuehl" w:hint="cs"/>
          <w:sz w:val="22"/>
          <w:szCs w:val="22"/>
          <w:rtl/>
        </w:rPr>
        <w:t xml:space="preserve"> </w:t>
      </w:r>
      <w:r w:rsidRPr="00405089">
        <w:rPr>
          <w:rFonts w:cs="FrankRuehl" w:hint="cs"/>
          <w:sz w:val="22"/>
          <w:szCs w:val="22"/>
          <w:rtl/>
        </w:rPr>
        <w:t>הטלת</w:t>
      </w:r>
      <w:r>
        <w:rPr>
          <w:rFonts w:cs="FrankRuehl" w:hint="cs"/>
          <w:sz w:val="22"/>
          <w:szCs w:val="22"/>
          <w:rtl/>
        </w:rPr>
        <w:t xml:space="preserve"> </w:t>
      </w:r>
      <w:r w:rsidRPr="00405089">
        <w:rPr>
          <w:rFonts w:cs="FrankRuehl" w:hint="cs"/>
          <w:sz w:val="22"/>
          <w:szCs w:val="22"/>
          <w:rtl/>
        </w:rPr>
        <w:t>דופי במידותיו, על</w:t>
      </w:r>
      <w:r>
        <w:rPr>
          <w:rFonts w:cs="FrankRuehl" w:hint="cs"/>
          <w:sz w:val="22"/>
          <w:szCs w:val="22"/>
          <w:rtl/>
        </w:rPr>
        <w:t xml:space="preserve"> </w:t>
      </w:r>
      <w:r w:rsidRPr="00405089">
        <w:rPr>
          <w:rFonts w:cs="FrankRuehl" w:hint="cs"/>
          <w:sz w:val="22"/>
          <w:szCs w:val="22"/>
          <w:rtl/>
        </w:rPr>
        <w:t>ידי</w:t>
      </w:r>
      <w:r>
        <w:rPr>
          <w:rFonts w:cs="FrankRuehl" w:hint="cs"/>
          <w:sz w:val="22"/>
          <w:szCs w:val="22"/>
          <w:rtl/>
        </w:rPr>
        <w:t xml:space="preserve"> </w:t>
      </w:r>
      <w:r w:rsidRPr="00405089">
        <w:rPr>
          <w:rFonts w:cs="FrankRuehl" w:hint="cs"/>
          <w:sz w:val="22"/>
          <w:szCs w:val="22"/>
          <w:rtl/>
        </w:rPr>
        <w:t>סמכות</w:t>
      </w:r>
      <w:r>
        <w:rPr>
          <w:rFonts w:cs="FrankRuehl" w:hint="cs"/>
          <w:sz w:val="22"/>
          <w:szCs w:val="22"/>
          <w:rtl/>
        </w:rPr>
        <w:t xml:space="preserve"> </w:t>
      </w:r>
      <w:r w:rsidRPr="00405089">
        <w:rPr>
          <w:rFonts w:cs="FrankRuehl" w:hint="cs"/>
          <w:sz w:val="22"/>
          <w:szCs w:val="22"/>
          <w:rtl/>
        </w:rPr>
        <w:t>כמבקר</w:t>
      </w:r>
      <w:r>
        <w:rPr>
          <w:rFonts w:cs="FrankRuehl" w:hint="cs"/>
          <w:sz w:val="22"/>
          <w:szCs w:val="22"/>
          <w:rtl/>
        </w:rPr>
        <w:t xml:space="preserve"> </w:t>
      </w:r>
      <w:r w:rsidRPr="00405089">
        <w:rPr>
          <w:rFonts w:cs="FrankRuehl" w:hint="cs"/>
          <w:sz w:val="22"/>
          <w:szCs w:val="22"/>
          <w:rtl/>
        </w:rPr>
        <w:t xml:space="preserve">המדינה, והתהודה הציבורית הרחבה שיש לקביעותיו, מחייבות, לכאורה, את מתן זכות הטעון במובנה האמור לעיל. </w:t>
      </w:r>
      <w:r w:rsidRPr="00405089">
        <w:rPr>
          <w:rFonts w:cs="FrankRuehl" w:hint="cs"/>
          <w:b/>
          <w:bCs/>
          <w:sz w:val="22"/>
          <w:szCs w:val="22"/>
          <w:rtl/>
        </w:rPr>
        <w:t>אם כי מאידך</w:t>
      </w:r>
      <w:r>
        <w:rPr>
          <w:rFonts w:cs="FrankRuehl" w:hint="cs"/>
          <w:b/>
          <w:bCs/>
          <w:sz w:val="22"/>
          <w:szCs w:val="22"/>
          <w:rtl/>
        </w:rPr>
        <w:t xml:space="preserve"> </w:t>
      </w:r>
      <w:r w:rsidRPr="00405089">
        <w:rPr>
          <w:rFonts w:cs="FrankRuehl" w:hint="cs"/>
          <w:b/>
          <w:bCs/>
          <w:sz w:val="22"/>
          <w:szCs w:val="22"/>
          <w:rtl/>
        </w:rPr>
        <w:t>גיסא ניתן לטעון כי אם מדובר בקביעה המתייחסת לעבירה פלילית או משמעתית</w:t>
      </w:r>
      <w:r>
        <w:rPr>
          <w:rFonts w:cs="FrankRuehl" w:hint="cs"/>
          <w:b/>
          <w:bCs/>
          <w:sz w:val="22"/>
          <w:szCs w:val="22"/>
          <w:rtl/>
        </w:rPr>
        <w:t xml:space="preserve"> </w:t>
      </w:r>
      <w:r w:rsidRPr="00405089">
        <w:rPr>
          <w:rFonts w:cs="FrankRuehl" w:hint="cs"/>
          <w:b/>
          <w:bCs/>
          <w:sz w:val="22"/>
          <w:szCs w:val="22"/>
          <w:rtl/>
        </w:rPr>
        <w:t>של</w:t>
      </w:r>
      <w:r>
        <w:rPr>
          <w:rFonts w:cs="FrankRuehl" w:hint="cs"/>
          <w:b/>
          <w:bCs/>
          <w:sz w:val="22"/>
          <w:szCs w:val="22"/>
          <w:rtl/>
        </w:rPr>
        <w:t xml:space="preserve"> </w:t>
      </w:r>
      <w:r w:rsidRPr="00405089">
        <w:rPr>
          <w:rFonts w:cs="FrankRuehl" w:hint="cs"/>
          <w:b/>
          <w:bCs/>
          <w:sz w:val="22"/>
          <w:szCs w:val="22"/>
          <w:rtl/>
        </w:rPr>
        <w:t>נושא</w:t>
      </w:r>
      <w:r>
        <w:rPr>
          <w:rFonts w:cs="FrankRuehl" w:hint="cs"/>
          <w:b/>
          <w:bCs/>
          <w:sz w:val="22"/>
          <w:szCs w:val="22"/>
          <w:rtl/>
        </w:rPr>
        <w:t xml:space="preserve"> </w:t>
      </w:r>
      <w:r w:rsidRPr="00405089">
        <w:rPr>
          <w:rFonts w:cs="FrankRuehl" w:hint="cs"/>
          <w:b/>
          <w:bCs/>
          <w:sz w:val="22"/>
          <w:szCs w:val="22"/>
          <w:rtl/>
        </w:rPr>
        <w:t>המשרה,</w:t>
      </w:r>
      <w:r>
        <w:rPr>
          <w:rFonts w:cs="FrankRuehl" w:hint="cs"/>
          <w:b/>
          <w:bCs/>
          <w:sz w:val="22"/>
          <w:szCs w:val="22"/>
          <w:rtl/>
        </w:rPr>
        <w:t xml:space="preserve"> </w:t>
      </w:r>
      <w:r w:rsidRPr="00405089">
        <w:rPr>
          <w:rFonts w:cs="FrankRuehl" w:hint="cs"/>
          <w:b/>
          <w:bCs/>
          <w:sz w:val="22"/>
          <w:szCs w:val="22"/>
          <w:rtl/>
        </w:rPr>
        <w:t>ממילא</w:t>
      </w:r>
      <w:r>
        <w:rPr>
          <w:rFonts w:cs="FrankRuehl" w:hint="cs"/>
          <w:b/>
          <w:bCs/>
          <w:sz w:val="22"/>
          <w:szCs w:val="22"/>
          <w:rtl/>
        </w:rPr>
        <w:t xml:space="preserve"> </w:t>
      </w:r>
      <w:r w:rsidRPr="00405089">
        <w:rPr>
          <w:rFonts w:cs="FrankRuehl" w:hint="cs"/>
          <w:b/>
          <w:bCs/>
          <w:sz w:val="22"/>
          <w:szCs w:val="22"/>
          <w:rtl/>
        </w:rPr>
        <w:t>יזכה</w:t>
      </w:r>
      <w:r>
        <w:rPr>
          <w:rFonts w:cs="FrankRuehl" w:hint="cs"/>
          <w:b/>
          <w:bCs/>
          <w:sz w:val="22"/>
          <w:szCs w:val="22"/>
          <w:rtl/>
        </w:rPr>
        <w:t xml:space="preserve"> </w:t>
      </w:r>
      <w:r w:rsidRPr="00405089">
        <w:rPr>
          <w:rFonts w:cs="FrankRuehl" w:hint="cs"/>
          <w:b/>
          <w:bCs/>
          <w:sz w:val="22"/>
          <w:szCs w:val="22"/>
          <w:rtl/>
        </w:rPr>
        <w:t>עניינו של הנפגע להתיחסות נוספת, מקיפה, במסגרת הליכים חקירתיים או שיפוטיים, שייפתחו לאחר מכן בעקבות קביעתו</w:t>
      </w:r>
      <w:r>
        <w:rPr>
          <w:rFonts w:cs="FrankRuehl" w:hint="cs"/>
          <w:b/>
          <w:bCs/>
          <w:sz w:val="22"/>
          <w:szCs w:val="22"/>
          <w:rtl/>
        </w:rPr>
        <w:t xml:space="preserve"> </w:t>
      </w:r>
      <w:r w:rsidRPr="00405089">
        <w:rPr>
          <w:rFonts w:cs="FrankRuehl" w:hint="cs"/>
          <w:b/>
          <w:bCs/>
          <w:sz w:val="22"/>
          <w:szCs w:val="22"/>
          <w:rtl/>
        </w:rPr>
        <w:t>של</w:t>
      </w:r>
      <w:r>
        <w:rPr>
          <w:rFonts w:cs="FrankRuehl" w:hint="cs"/>
          <w:b/>
          <w:bCs/>
          <w:sz w:val="22"/>
          <w:szCs w:val="22"/>
          <w:rtl/>
        </w:rPr>
        <w:t xml:space="preserve"> </w:t>
      </w:r>
      <w:r w:rsidRPr="00405089">
        <w:rPr>
          <w:rFonts w:cs="FrankRuehl" w:hint="cs"/>
          <w:b/>
          <w:bCs/>
          <w:sz w:val="22"/>
          <w:szCs w:val="22"/>
          <w:rtl/>
        </w:rPr>
        <w:t>מבקר</w:t>
      </w:r>
      <w:r>
        <w:rPr>
          <w:rFonts w:cs="FrankRuehl" w:hint="cs"/>
          <w:b/>
          <w:bCs/>
          <w:sz w:val="22"/>
          <w:szCs w:val="22"/>
          <w:rtl/>
        </w:rPr>
        <w:t xml:space="preserve"> </w:t>
      </w:r>
      <w:r w:rsidRPr="00405089">
        <w:rPr>
          <w:rFonts w:cs="FrankRuehl" w:hint="cs"/>
          <w:b/>
          <w:bCs/>
          <w:sz w:val="22"/>
          <w:szCs w:val="22"/>
          <w:rtl/>
        </w:rPr>
        <w:t>המדינה.</w:t>
      </w:r>
      <w:r>
        <w:rPr>
          <w:rFonts w:cs="FrankRuehl" w:hint="cs"/>
          <w:b/>
          <w:bCs/>
          <w:sz w:val="22"/>
          <w:szCs w:val="22"/>
          <w:rtl/>
        </w:rPr>
        <w:t xml:space="preserve"> </w:t>
      </w:r>
      <w:r w:rsidRPr="00405089">
        <w:rPr>
          <w:rFonts w:cs="FrankRuehl" w:hint="cs"/>
          <w:b/>
          <w:bCs/>
          <w:sz w:val="22"/>
          <w:szCs w:val="22"/>
          <w:rtl/>
        </w:rPr>
        <w:t>על</w:t>
      </w:r>
      <w:r>
        <w:rPr>
          <w:rFonts w:cs="FrankRuehl" w:hint="cs"/>
          <w:b/>
          <w:bCs/>
          <w:sz w:val="22"/>
          <w:szCs w:val="22"/>
          <w:rtl/>
        </w:rPr>
        <w:t xml:space="preserve"> </w:t>
      </w:r>
      <w:r w:rsidRPr="00405089">
        <w:rPr>
          <w:rFonts w:cs="FrankRuehl" w:hint="cs"/>
          <w:b/>
          <w:bCs/>
          <w:sz w:val="22"/>
          <w:szCs w:val="22"/>
          <w:rtl/>
        </w:rPr>
        <w:t xml:space="preserve">פי טענה זו אין מקום להעניק את הערובה הדיונית המקובלת בהליך שיפוטי כבר בעת ההליך שמקיים מבקר המדינה, כשהענקתה תכביד על המבקר למלא את תפקידיו. </w:t>
      </w:r>
    </w:p>
    <w:p w:rsidR="0025709E" w:rsidRPr="00405089" w:rsidRDefault="0025709E" w:rsidP="0025709E">
      <w:pPr>
        <w:tabs>
          <w:tab w:val="left" w:pos="423"/>
        </w:tabs>
        <w:spacing w:after="120"/>
        <w:rPr>
          <w:rFonts w:cs="FrankRuehl"/>
          <w:sz w:val="22"/>
          <w:szCs w:val="22"/>
          <w:rtl/>
        </w:rPr>
      </w:pPr>
      <w:r w:rsidRPr="00405089">
        <w:rPr>
          <w:rFonts w:cs="FrankRuehl" w:hint="cs"/>
          <w:sz w:val="22"/>
          <w:szCs w:val="22"/>
          <w:rtl/>
        </w:rPr>
        <w:t>נסיבותיה של עתירה זו אינן מחייבות קביעת עמדה בסוגיה זו בהיקפה הרחב, ודי</w:t>
      </w:r>
      <w:r>
        <w:rPr>
          <w:rFonts w:cs="FrankRuehl" w:hint="cs"/>
          <w:sz w:val="22"/>
          <w:szCs w:val="22"/>
          <w:rtl/>
        </w:rPr>
        <w:t xml:space="preserve"> </w:t>
      </w:r>
      <w:r w:rsidRPr="00405089">
        <w:rPr>
          <w:rFonts w:cs="FrankRuehl" w:hint="cs"/>
          <w:sz w:val="22"/>
          <w:szCs w:val="22"/>
          <w:rtl/>
        </w:rPr>
        <w:t>אם</w:t>
      </w:r>
      <w:r>
        <w:rPr>
          <w:rFonts w:cs="FrankRuehl" w:hint="cs"/>
          <w:sz w:val="22"/>
          <w:szCs w:val="22"/>
          <w:rtl/>
        </w:rPr>
        <w:t xml:space="preserve"> </w:t>
      </w:r>
      <w:r w:rsidRPr="00405089">
        <w:rPr>
          <w:rFonts w:cs="FrankRuehl" w:hint="cs"/>
          <w:sz w:val="22"/>
          <w:szCs w:val="22"/>
          <w:rtl/>
        </w:rPr>
        <w:t>נאמר</w:t>
      </w:r>
      <w:r>
        <w:rPr>
          <w:rFonts w:cs="FrankRuehl" w:hint="cs"/>
          <w:sz w:val="22"/>
          <w:szCs w:val="22"/>
          <w:rtl/>
        </w:rPr>
        <w:t xml:space="preserve"> </w:t>
      </w:r>
      <w:r w:rsidRPr="00405089">
        <w:rPr>
          <w:rFonts w:cs="FrankRuehl" w:hint="cs"/>
          <w:sz w:val="22"/>
          <w:szCs w:val="22"/>
          <w:rtl/>
        </w:rPr>
        <w:t>כי</w:t>
      </w:r>
      <w:r>
        <w:rPr>
          <w:rFonts w:cs="FrankRuehl" w:hint="cs"/>
          <w:sz w:val="22"/>
          <w:szCs w:val="22"/>
          <w:rtl/>
        </w:rPr>
        <w:t xml:space="preserve"> </w:t>
      </w:r>
      <w:r w:rsidRPr="00405089">
        <w:rPr>
          <w:rFonts w:cs="FrankRuehl" w:hint="cs"/>
          <w:sz w:val="22"/>
          <w:szCs w:val="22"/>
          <w:rtl/>
        </w:rPr>
        <w:t>הענקת</w:t>
      </w:r>
      <w:r>
        <w:rPr>
          <w:rFonts w:cs="FrankRuehl" w:hint="cs"/>
          <w:sz w:val="22"/>
          <w:szCs w:val="22"/>
          <w:rtl/>
        </w:rPr>
        <w:t xml:space="preserve"> </w:t>
      </w:r>
      <w:r w:rsidRPr="00405089">
        <w:rPr>
          <w:rFonts w:cs="FrankRuehl" w:hint="cs"/>
          <w:sz w:val="22"/>
          <w:szCs w:val="22"/>
          <w:rtl/>
        </w:rPr>
        <w:t>זכות</w:t>
      </w:r>
      <w:r>
        <w:rPr>
          <w:rFonts w:cs="FrankRuehl" w:hint="cs"/>
          <w:sz w:val="22"/>
          <w:szCs w:val="22"/>
          <w:rtl/>
        </w:rPr>
        <w:t xml:space="preserve"> </w:t>
      </w:r>
      <w:r w:rsidRPr="00405089">
        <w:rPr>
          <w:rFonts w:cs="FrankRuehl" w:hint="cs"/>
          <w:sz w:val="22"/>
          <w:szCs w:val="22"/>
          <w:rtl/>
        </w:rPr>
        <w:t xml:space="preserve">הטעון, במובן עליו עמדנו לעיל, </w:t>
      </w:r>
      <w:r w:rsidRPr="00405089">
        <w:rPr>
          <w:rFonts w:cs="FrankRuehl" w:hint="cs"/>
          <w:sz w:val="22"/>
          <w:szCs w:val="22"/>
          <w:highlight w:val="yellow"/>
          <w:rtl/>
        </w:rPr>
        <w:t xml:space="preserve">מתחייבת </w:t>
      </w:r>
      <w:r w:rsidRPr="00405089">
        <w:rPr>
          <w:rFonts w:cs="FrankRuehl" w:hint="cs"/>
          <w:b/>
          <w:bCs/>
          <w:sz w:val="22"/>
          <w:szCs w:val="22"/>
          <w:highlight w:val="yellow"/>
          <w:rtl/>
        </w:rPr>
        <w:t>כל</w:t>
      </w:r>
      <w:r>
        <w:rPr>
          <w:rFonts w:cs="FrankRuehl" w:hint="cs"/>
          <w:b/>
          <w:bCs/>
          <w:sz w:val="22"/>
          <w:szCs w:val="22"/>
          <w:highlight w:val="yellow"/>
          <w:rtl/>
        </w:rPr>
        <w:t xml:space="preserve"> </w:t>
      </w:r>
      <w:r w:rsidRPr="00405089">
        <w:rPr>
          <w:rFonts w:cs="FrankRuehl" w:hint="cs"/>
          <w:b/>
          <w:bCs/>
          <w:sz w:val="22"/>
          <w:szCs w:val="22"/>
          <w:highlight w:val="yellow"/>
          <w:rtl/>
        </w:rPr>
        <w:t>אימת</w:t>
      </w:r>
      <w:r>
        <w:rPr>
          <w:rFonts w:cs="FrankRuehl" w:hint="cs"/>
          <w:b/>
          <w:bCs/>
          <w:sz w:val="22"/>
          <w:szCs w:val="22"/>
          <w:highlight w:val="yellow"/>
          <w:rtl/>
        </w:rPr>
        <w:t xml:space="preserve"> </w:t>
      </w:r>
      <w:r w:rsidRPr="00405089">
        <w:rPr>
          <w:rFonts w:cs="FrankRuehl" w:hint="cs"/>
          <w:b/>
          <w:bCs/>
          <w:sz w:val="22"/>
          <w:szCs w:val="22"/>
          <w:highlight w:val="yellow"/>
          <w:rtl/>
        </w:rPr>
        <w:t xml:space="preserve">שברור הוא כי קביעת מבקר המדינה, בה נפגע כבודו של אדם, היא סופית ומוחלטת, ואין אחריה ולא כלום </w:t>
      </w:r>
      <w:r w:rsidRPr="00405089">
        <w:rPr>
          <w:rFonts w:cs="FrankRuehl" w:hint="cs"/>
          <w:sz w:val="22"/>
          <w:szCs w:val="22"/>
          <w:highlight w:val="yellow"/>
          <w:rtl/>
        </w:rPr>
        <w:t>(דוגמת המקרה שלפנינו [בו פרש טרנר מהמשטרה ואין כנגדו כל הליך משמעתי או אחר]).</w:t>
      </w:r>
      <w:r w:rsidRPr="00405089">
        <w:rPr>
          <w:rFonts w:cs="FrankRuehl" w:hint="cs"/>
          <w:sz w:val="22"/>
          <w:szCs w:val="22"/>
          <w:rtl/>
        </w:rPr>
        <w:t xml:space="preserve"> או אז, חייבים שיקולי יעילות להידחות מפני ההגנה על כבוד הנפגע.</w:t>
      </w:r>
      <w:r w:rsidRPr="00405089">
        <w:rPr>
          <w:rFonts w:cs="FrankRuehl" w:hint="cs"/>
          <w:b/>
          <w:bCs/>
          <w:sz w:val="22"/>
          <w:szCs w:val="22"/>
          <w:rtl/>
        </w:rPr>
        <w:t xml:space="preserve"> </w:t>
      </w:r>
      <w:r w:rsidRPr="00405089">
        <w:rPr>
          <w:rFonts w:cs="FrankRuehl" w:hint="cs"/>
          <w:sz w:val="22"/>
          <w:szCs w:val="22"/>
          <w:rtl/>
        </w:rPr>
        <w:t>שכן, בין חוסנה</w:t>
      </w:r>
      <w:r>
        <w:rPr>
          <w:rFonts w:cs="FrankRuehl" w:hint="cs"/>
          <w:sz w:val="22"/>
          <w:szCs w:val="22"/>
          <w:rtl/>
        </w:rPr>
        <w:t xml:space="preserve"> </w:t>
      </w:r>
      <w:r w:rsidRPr="00405089">
        <w:rPr>
          <w:rFonts w:cs="FrankRuehl" w:hint="cs"/>
          <w:sz w:val="22"/>
          <w:szCs w:val="22"/>
          <w:rtl/>
        </w:rPr>
        <w:t>של</w:t>
      </w:r>
      <w:r>
        <w:rPr>
          <w:rFonts w:cs="FrankRuehl" w:hint="cs"/>
          <w:sz w:val="22"/>
          <w:szCs w:val="22"/>
          <w:rtl/>
        </w:rPr>
        <w:t xml:space="preserve"> </w:t>
      </w:r>
      <w:r w:rsidRPr="00405089">
        <w:rPr>
          <w:rFonts w:cs="FrankRuehl" w:hint="cs"/>
          <w:sz w:val="22"/>
          <w:szCs w:val="22"/>
          <w:rtl/>
        </w:rPr>
        <w:t>הערובה</w:t>
      </w:r>
      <w:r>
        <w:rPr>
          <w:rFonts w:cs="FrankRuehl" w:hint="cs"/>
          <w:sz w:val="22"/>
          <w:szCs w:val="22"/>
          <w:rtl/>
        </w:rPr>
        <w:t xml:space="preserve"> </w:t>
      </w:r>
      <w:r w:rsidRPr="00405089">
        <w:rPr>
          <w:rFonts w:cs="FrankRuehl" w:hint="cs"/>
          <w:sz w:val="22"/>
          <w:szCs w:val="22"/>
          <w:rtl/>
        </w:rPr>
        <w:t>הדיונית לבין סופיות הקביעה הפוגעת קיימת זיקת גומלין, והרחבת</w:t>
      </w:r>
      <w:r>
        <w:rPr>
          <w:rFonts w:cs="FrankRuehl" w:hint="cs"/>
          <w:sz w:val="22"/>
          <w:szCs w:val="22"/>
          <w:rtl/>
        </w:rPr>
        <w:t xml:space="preserve"> </w:t>
      </w:r>
      <w:r w:rsidRPr="00405089">
        <w:rPr>
          <w:rFonts w:cs="FrankRuehl" w:hint="cs"/>
          <w:sz w:val="22"/>
          <w:szCs w:val="22"/>
          <w:rtl/>
        </w:rPr>
        <w:t>עובייה</w:t>
      </w:r>
      <w:r>
        <w:rPr>
          <w:rFonts w:cs="FrankRuehl" w:hint="cs"/>
          <w:sz w:val="22"/>
          <w:szCs w:val="22"/>
          <w:rtl/>
        </w:rPr>
        <w:t xml:space="preserve"> </w:t>
      </w:r>
      <w:r w:rsidRPr="00405089">
        <w:rPr>
          <w:rFonts w:cs="FrankRuehl" w:hint="cs"/>
          <w:sz w:val="22"/>
          <w:szCs w:val="22"/>
          <w:rtl/>
        </w:rPr>
        <w:t>של</w:t>
      </w:r>
      <w:r>
        <w:rPr>
          <w:rFonts w:cs="FrankRuehl" w:hint="cs"/>
          <w:sz w:val="22"/>
          <w:szCs w:val="22"/>
          <w:rtl/>
        </w:rPr>
        <w:t xml:space="preserve"> </w:t>
      </w:r>
      <w:r w:rsidRPr="00405089">
        <w:rPr>
          <w:rFonts w:cs="FrankRuehl" w:hint="cs"/>
          <w:sz w:val="22"/>
          <w:szCs w:val="22"/>
          <w:rtl/>
        </w:rPr>
        <w:t>"חגורת הביטחון", מתחייבת כשהקביעה הפוגעת היא סופית, וכך תלווה את הנפגע עד סוף ימיו.</w:t>
      </w:r>
    </w:p>
    <w:p w:rsidR="0025709E" w:rsidRPr="00405089" w:rsidRDefault="0025709E" w:rsidP="0014333E">
      <w:pPr>
        <w:numPr>
          <w:ilvl w:val="0"/>
          <w:numId w:val="34"/>
        </w:numPr>
        <w:spacing w:after="120"/>
        <w:rPr>
          <w:rFonts w:cs="FrankRuehl"/>
          <w:sz w:val="22"/>
          <w:szCs w:val="22"/>
        </w:rPr>
      </w:pPr>
      <w:r w:rsidRPr="00405089">
        <w:rPr>
          <w:rFonts w:cs="FrankRuehl" w:hint="cs"/>
          <w:sz w:val="22"/>
          <w:szCs w:val="22"/>
          <w:rtl/>
        </w:rPr>
        <w:t>בענייננו</w:t>
      </w:r>
      <w:r>
        <w:rPr>
          <w:rFonts w:cs="FrankRuehl" w:hint="cs"/>
          <w:sz w:val="22"/>
          <w:szCs w:val="22"/>
          <w:rtl/>
        </w:rPr>
        <w:t xml:space="preserve"> </w:t>
      </w:r>
      <w:r w:rsidRPr="00405089">
        <w:rPr>
          <w:rFonts w:cs="FrankRuehl" w:hint="cs"/>
          <w:sz w:val="22"/>
          <w:szCs w:val="22"/>
          <w:rtl/>
        </w:rPr>
        <w:t>לא</w:t>
      </w:r>
      <w:r>
        <w:rPr>
          <w:rFonts w:cs="FrankRuehl" w:hint="cs"/>
          <w:sz w:val="22"/>
          <w:szCs w:val="22"/>
          <w:rtl/>
        </w:rPr>
        <w:t xml:space="preserve"> </w:t>
      </w:r>
      <w:r w:rsidRPr="00405089">
        <w:rPr>
          <w:rFonts w:cs="FrankRuehl" w:hint="cs"/>
          <w:sz w:val="22"/>
          <w:szCs w:val="22"/>
          <w:rtl/>
        </w:rPr>
        <w:t>הוענקה</w:t>
      </w:r>
      <w:r>
        <w:rPr>
          <w:rFonts w:cs="FrankRuehl" w:hint="cs"/>
          <w:sz w:val="22"/>
          <w:szCs w:val="22"/>
          <w:rtl/>
        </w:rPr>
        <w:t xml:space="preserve"> </w:t>
      </w:r>
      <w:r w:rsidRPr="00405089">
        <w:rPr>
          <w:rFonts w:cs="FrankRuehl" w:hint="cs"/>
          <w:sz w:val="22"/>
          <w:szCs w:val="22"/>
          <w:rtl/>
        </w:rPr>
        <w:t>לעותר</w:t>
      </w:r>
      <w:r>
        <w:rPr>
          <w:rFonts w:cs="FrankRuehl" w:hint="cs"/>
          <w:sz w:val="22"/>
          <w:szCs w:val="22"/>
          <w:rtl/>
        </w:rPr>
        <w:t xml:space="preserve"> </w:t>
      </w:r>
      <w:r w:rsidRPr="00405089">
        <w:rPr>
          <w:rFonts w:cs="FrankRuehl" w:hint="cs"/>
          <w:sz w:val="22"/>
          <w:szCs w:val="22"/>
          <w:rtl/>
        </w:rPr>
        <w:t>הזכות האמורה, ומטעם זה איני רואה מנוס מקביעה כי המסקנות שבחוות הדעת נושא העתירה אינן תקפות.</w:t>
      </w:r>
    </w:p>
    <w:p w:rsidR="0025709E" w:rsidRDefault="0025709E" w:rsidP="0025709E">
      <w:pPr>
        <w:pStyle w:val="BodyText"/>
        <w:spacing w:line="240" w:lineRule="auto"/>
        <w:ind w:left="-686"/>
        <w:jc w:val="left"/>
        <w:rPr>
          <w:b/>
          <w:bCs/>
          <w:szCs w:val="22"/>
          <w:rtl/>
        </w:rPr>
      </w:pPr>
      <w:r>
        <w:rPr>
          <w:rFonts w:cs="David" w:hint="cs"/>
          <w:szCs w:val="22"/>
          <w:rtl/>
        </w:rPr>
        <w:t>[חשבו על המשתנים שאותם קובע השופט גולדברג כגורמים המשפיעים על מתן זכות הטיעון ו/או משפיעים על היקפה.]</w:t>
      </w:r>
    </w:p>
    <w:p w:rsidR="0025709E" w:rsidRDefault="0025709E" w:rsidP="0025709E">
      <w:pPr>
        <w:ind w:left="-686"/>
        <w:rPr>
          <w:sz w:val="20"/>
          <w:szCs w:val="20"/>
          <w:rtl/>
        </w:rPr>
      </w:pPr>
      <w:r>
        <w:rPr>
          <w:rFonts w:hint="cs"/>
          <w:sz w:val="20"/>
          <w:szCs w:val="20"/>
          <w:rtl/>
        </w:rPr>
        <w:t>=-=</w:t>
      </w:r>
    </w:p>
    <w:p w:rsidR="0025709E" w:rsidRDefault="0025709E" w:rsidP="0025709E">
      <w:pPr>
        <w:ind w:left="-686"/>
        <w:rPr>
          <w:sz w:val="20"/>
          <w:szCs w:val="20"/>
          <w:rtl/>
        </w:rPr>
      </w:pPr>
    </w:p>
    <w:p w:rsidR="0025709E" w:rsidRDefault="0025709E" w:rsidP="0025709E">
      <w:pPr>
        <w:ind w:left="-686"/>
        <w:rPr>
          <w:sz w:val="20"/>
          <w:szCs w:val="20"/>
          <w:rtl/>
        </w:rPr>
      </w:pPr>
      <w:r w:rsidRPr="0022308B">
        <w:rPr>
          <w:highlight w:val="yellow"/>
          <w:rtl/>
        </w:rPr>
        <w:t xml:space="preserve">בג"צ 7805/00 </w:t>
      </w:r>
      <w:r w:rsidRPr="0022308B">
        <w:rPr>
          <w:b/>
          <w:bCs/>
          <w:highlight w:val="yellow"/>
          <w:rtl/>
        </w:rPr>
        <w:t>אלוני נ' מבקרת עירית ירושלים</w:t>
      </w:r>
      <w:r w:rsidRPr="0022308B">
        <w:rPr>
          <w:rFonts w:hint="cs"/>
          <w:highlight w:val="yellow"/>
          <w:rtl/>
        </w:rPr>
        <w:t>, פ"ד נז(4) 577</w:t>
      </w:r>
      <w:r w:rsidRPr="0022308B">
        <w:rPr>
          <w:rFonts w:hint="cs"/>
          <w:sz w:val="20"/>
          <w:szCs w:val="20"/>
          <w:highlight w:val="yellow"/>
          <w:rtl/>
        </w:rPr>
        <w:t xml:space="preserve"> (2003)</w:t>
      </w:r>
    </w:p>
    <w:p w:rsidR="0025709E" w:rsidRPr="00FC1D1A" w:rsidRDefault="0025709E" w:rsidP="0025709E">
      <w:pPr>
        <w:ind w:left="-680"/>
        <w:jc w:val="left"/>
        <w:rPr>
          <w:highlight w:val="yellow"/>
          <w:rtl/>
        </w:rPr>
      </w:pPr>
    </w:p>
    <w:p w:rsidR="0025709E" w:rsidRDefault="0025709E" w:rsidP="0025709E">
      <w:pPr>
        <w:ind w:left="-680"/>
        <w:jc w:val="left"/>
        <w:rPr>
          <w:rFonts w:ascii="Arial" w:hAnsi="Arial" w:cs="Arial"/>
          <w:sz w:val="18"/>
          <w:szCs w:val="18"/>
          <w:highlight w:val="yellow"/>
          <w:rtl/>
        </w:rPr>
      </w:pPr>
      <w:r>
        <w:rPr>
          <w:rFonts w:ascii="Arial" w:hAnsi="Arial" w:cs="Arial" w:hint="cs"/>
          <w:sz w:val="18"/>
          <w:szCs w:val="18"/>
          <w:rtl/>
        </w:rPr>
        <w:t>[</w:t>
      </w:r>
      <w:r w:rsidRPr="00FC1D1A">
        <w:rPr>
          <w:rFonts w:ascii="Arial" w:hAnsi="Arial" w:cs="Arial"/>
          <w:sz w:val="18"/>
          <w:szCs w:val="18"/>
          <w:rtl/>
        </w:rPr>
        <w:t>העותרת נבחרה כחברת מועצת עיריית ירושלים ביום 10.11.1998. היא הועסקה כמנהלת סניף ירושלים של מכון "שחר", שהוא בית ספר פרטי ללימודי בגרות ופסיכומטריה, בטרם נבחרה לחברת מועצה, והמשיכה בעיסוקה זה גם לאחר היבחרה. על</w:t>
      </w:r>
      <w:r w:rsidRPr="00FC1D1A">
        <w:rPr>
          <w:rFonts w:ascii="Arial" w:hAnsi="Arial" w:cs="Arial"/>
          <w:position w:val="3"/>
          <w:sz w:val="18"/>
          <w:szCs w:val="18"/>
          <w:rtl/>
        </w:rPr>
        <w:t>-</w:t>
      </w:r>
      <w:r w:rsidRPr="00FC1D1A">
        <w:rPr>
          <w:rFonts w:ascii="Arial" w:hAnsi="Arial" w:cs="Arial"/>
          <w:sz w:val="18"/>
          <w:szCs w:val="18"/>
          <w:rtl/>
        </w:rPr>
        <w:t>פי דוח ביקורת שהוצא על</w:t>
      </w:r>
      <w:r w:rsidRPr="00FC1D1A">
        <w:rPr>
          <w:rFonts w:ascii="Arial" w:hAnsi="Arial" w:cs="Arial"/>
          <w:position w:val="3"/>
          <w:sz w:val="18"/>
          <w:szCs w:val="18"/>
          <w:rtl/>
        </w:rPr>
        <w:t>-</w:t>
      </w:r>
      <w:r w:rsidRPr="00FC1D1A">
        <w:rPr>
          <w:rFonts w:ascii="Arial" w:hAnsi="Arial" w:cs="Arial"/>
          <w:sz w:val="18"/>
          <w:szCs w:val="18"/>
          <w:rtl/>
        </w:rPr>
        <w:t xml:space="preserve">ידי המשיבה 1 (להלן – המבקרת), </w:t>
      </w:r>
      <w:r w:rsidRPr="007A2E51">
        <w:rPr>
          <w:rFonts w:ascii="Arial" w:hAnsi="Arial" w:cs="Arial"/>
          <w:sz w:val="18"/>
          <w:szCs w:val="18"/>
          <w:highlight w:val="yellow"/>
          <w:rtl/>
        </w:rPr>
        <w:t>העותרת ניצלה את מעמדה כחברת מועצה כדי לקדם את ענייניו של המכון במסגרת מכרז שעמד להתפרסם מטעם אגף הרווחה בעיריית ירושלים, ואשר נועד לבחור במוסד הלימודי שאליו תפנה העירייה מאות דורשי עבודה בעיר לצורך השלמת השכלה, אגב מתן הנחות לתלמידים.</w:t>
      </w:r>
      <w:r w:rsidRPr="00FC1D1A">
        <w:rPr>
          <w:rFonts w:ascii="Arial" w:hAnsi="Arial" w:cs="Arial"/>
          <w:sz w:val="18"/>
          <w:szCs w:val="18"/>
          <w:rtl/>
        </w:rPr>
        <w:t xml:space="preserve"> על</w:t>
      </w:r>
      <w:r w:rsidRPr="00FC1D1A">
        <w:rPr>
          <w:rFonts w:ascii="Arial" w:hAnsi="Arial" w:cs="Arial"/>
          <w:position w:val="3"/>
          <w:sz w:val="18"/>
          <w:szCs w:val="18"/>
          <w:rtl/>
        </w:rPr>
        <w:t>-</w:t>
      </w:r>
      <w:r w:rsidRPr="00FC1D1A">
        <w:rPr>
          <w:rFonts w:ascii="Arial" w:hAnsi="Arial" w:cs="Arial"/>
          <w:sz w:val="18"/>
          <w:szCs w:val="18"/>
          <w:rtl/>
        </w:rPr>
        <w:t>פי דוח הביקורת, העותרת פעלה בניגוד לכללים החלים בנושא זה ובניגוד לתנאים ספציפיים שהוצבו על</w:t>
      </w:r>
      <w:r w:rsidRPr="00FC1D1A">
        <w:rPr>
          <w:rFonts w:ascii="Arial" w:hAnsi="Arial" w:cs="Arial"/>
          <w:position w:val="3"/>
          <w:sz w:val="18"/>
          <w:szCs w:val="18"/>
          <w:rtl/>
        </w:rPr>
        <w:t>-</w:t>
      </w:r>
      <w:r w:rsidRPr="00FC1D1A">
        <w:rPr>
          <w:rFonts w:ascii="Arial" w:hAnsi="Arial" w:cs="Arial"/>
          <w:sz w:val="18"/>
          <w:szCs w:val="18"/>
          <w:rtl/>
        </w:rPr>
        <w:t>ידי היועץ המשפטי לעירייה בעניין זה. דוח הביקורת המליץ לעירייה להימנע מהתקשרות עם מכון שחר עד אשר יובהר כי כללי מניעת ניגוד העניינים מיושמים כהלכה בעניינו. העותרת תוקפת את דוח הביקורת בטענה כי למבקרת אין סמכות מכוח החוק לבקר את פעולתו של נבחר ציבור במועצת העירייה. כמו כן טוענת העותרת כי במהלך הכנת הדוח לא נשמרו זכויות הטיעון והעיון שלה, וכי פרסום דוח הביקורת בציבור נעשה שלא כדין, ובטרם הושלמו מהלכי הביקורת על</w:t>
      </w:r>
      <w:r w:rsidRPr="00FC1D1A">
        <w:rPr>
          <w:rFonts w:ascii="Arial" w:hAnsi="Arial" w:cs="Arial"/>
          <w:position w:val="3"/>
          <w:sz w:val="18"/>
          <w:szCs w:val="18"/>
          <w:rtl/>
        </w:rPr>
        <w:t>-</w:t>
      </w:r>
      <w:r w:rsidRPr="00FC1D1A">
        <w:rPr>
          <w:rFonts w:ascii="Arial" w:hAnsi="Arial" w:cs="Arial"/>
          <w:sz w:val="18"/>
          <w:szCs w:val="18"/>
          <w:rtl/>
        </w:rPr>
        <w:t>פי החוק. לפיכך טוענת העותרת כי דוח הביקורת בעניינה בטל וחסר תוקף במישור המשפטי והציבורי. מכאן העתירה.</w:t>
      </w:r>
      <w:r>
        <w:rPr>
          <w:rFonts w:ascii="Arial" w:hAnsi="Arial" w:cs="Arial" w:hint="cs"/>
          <w:sz w:val="18"/>
          <w:szCs w:val="18"/>
          <w:highlight w:val="yellow"/>
          <w:rtl/>
        </w:rPr>
        <w:t>]</w:t>
      </w:r>
    </w:p>
    <w:p w:rsidR="0025709E" w:rsidRDefault="0025709E" w:rsidP="0025709E">
      <w:pPr>
        <w:ind w:left="-680"/>
        <w:jc w:val="left"/>
        <w:rPr>
          <w:rFonts w:ascii="Arial" w:hAnsi="Arial" w:cs="Arial"/>
          <w:sz w:val="18"/>
          <w:szCs w:val="18"/>
          <w:highlight w:val="yellow"/>
          <w:rtl/>
        </w:rPr>
      </w:pPr>
    </w:p>
    <w:p w:rsidR="0025709E" w:rsidRPr="00DD719C" w:rsidRDefault="0025709E" w:rsidP="0025709E">
      <w:pPr>
        <w:pStyle w:val="a6"/>
        <w:spacing w:after="120" w:line="240" w:lineRule="auto"/>
        <w:ind w:left="-682"/>
        <w:rPr>
          <w:sz w:val="22"/>
          <w:szCs w:val="22"/>
          <w:rtl/>
        </w:rPr>
      </w:pPr>
      <w:r w:rsidRPr="00DD719C">
        <w:rPr>
          <w:rFonts w:hint="cs"/>
          <w:sz w:val="22"/>
          <w:szCs w:val="22"/>
          <w:rtl/>
        </w:rPr>
        <w:t>מתצהירה של המבקרת עולה כי במהלך עבודת הביקורת היו היא וצוותה חשופים למסע השמצות ולהטלת אימה מצד העותרת, אשר פעלה, על</w:t>
      </w:r>
      <w:r w:rsidRPr="00DD719C">
        <w:rPr>
          <w:rFonts w:hint="cs"/>
          <w:position w:val="4"/>
          <w:sz w:val="22"/>
          <w:szCs w:val="22"/>
          <w:rtl/>
        </w:rPr>
        <w:t>-</w:t>
      </w:r>
      <w:r w:rsidRPr="00DD719C">
        <w:rPr>
          <w:rFonts w:hint="cs"/>
          <w:sz w:val="22"/>
          <w:szCs w:val="22"/>
          <w:rtl/>
        </w:rPr>
        <w:t>פי הטענה, בכל דרך אפשרית על</w:t>
      </w:r>
      <w:r w:rsidRPr="00DD719C">
        <w:rPr>
          <w:rFonts w:hint="cs"/>
          <w:position w:val="4"/>
          <w:sz w:val="22"/>
          <w:szCs w:val="22"/>
          <w:rtl/>
        </w:rPr>
        <w:t>-</w:t>
      </w:r>
      <w:r w:rsidRPr="00DD719C">
        <w:rPr>
          <w:rFonts w:hint="cs"/>
          <w:sz w:val="22"/>
          <w:szCs w:val="22"/>
          <w:rtl/>
        </w:rPr>
        <w:t>מנת לשבש את עבודת הביקורת בעניינה. דברים אלה בעיקרם לא נסתרו, ועולה מהם כי עבודת הביקורת נערכה במקרה זה בתנאים קשים ביותר. אולם גם בהינתן מציאות זו על הביקורת לעמוד איתן כנגד כוחות המנסים לדכא את כוחה ולהחלישה בביצוע משימתה, ובד בבד עם כך לדקדק כחוט השערה על זכויותיו הבסיסיות של המבוקר כדי להבטיח את הגינותה של פעולת הביקורת, את שלמות החלטתה, וכדי להגביר את אמון הציבור בה ובפועלה.</w:t>
      </w:r>
    </w:p>
    <w:p w:rsidR="0025709E" w:rsidRPr="00DD719C" w:rsidRDefault="0025709E" w:rsidP="0025709E">
      <w:pPr>
        <w:pStyle w:val="a6"/>
        <w:spacing w:after="120" w:line="240" w:lineRule="auto"/>
        <w:ind w:left="-682"/>
        <w:rPr>
          <w:rFonts w:cs="Miriam"/>
          <w:b/>
          <w:sz w:val="22"/>
          <w:szCs w:val="22"/>
          <w:rtl/>
        </w:rPr>
      </w:pPr>
      <w:r w:rsidRPr="00DD719C">
        <w:rPr>
          <w:rFonts w:cs="Miriam" w:hint="cs"/>
          <w:b/>
          <w:sz w:val="22"/>
          <w:szCs w:val="22"/>
          <w:rtl/>
        </w:rPr>
        <w:t>פרסום מוקדם של דוח הביקורת</w:t>
      </w:r>
    </w:p>
    <w:p w:rsidR="0025709E" w:rsidRPr="00DD719C" w:rsidRDefault="0025709E" w:rsidP="0025709E">
      <w:pPr>
        <w:pStyle w:val="a6"/>
        <w:spacing w:after="120" w:line="240" w:lineRule="auto"/>
        <w:ind w:left="-682"/>
        <w:rPr>
          <w:sz w:val="22"/>
          <w:szCs w:val="22"/>
          <w:rtl/>
        </w:rPr>
      </w:pPr>
      <w:r w:rsidRPr="00DD719C">
        <w:rPr>
          <w:rFonts w:hint="cs"/>
          <w:sz w:val="22"/>
          <w:szCs w:val="22"/>
          <w:rtl/>
        </w:rPr>
        <w:t>21.</w:t>
      </w:r>
      <w:r w:rsidRPr="00DD719C">
        <w:rPr>
          <w:rFonts w:hint="cs"/>
          <w:sz w:val="22"/>
          <w:szCs w:val="22"/>
          <w:rtl/>
        </w:rPr>
        <w:tab/>
        <w:t xml:space="preserve">העותרת טוענת כי נפל פגם בפעולת ועדת הביקורת בעירייה במובן זה שהיא החליטה על פרסום דוח הביקורת לפני שדנה בו לגופו, ולפני שמועצת העירייה החליטה אם לאשרו אם לאו, וכי בכך נגרמה לה פגיעה נוספת ובלתי ראויה. תשובת המשיבים לכך היא כי החוק הסדיר שני מסלולים נפרדים לפרסום דוח ביקורת: האחד </w:t>
      </w:r>
      <w:r w:rsidRPr="00DD719C">
        <w:rPr>
          <w:sz w:val="22"/>
          <w:szCs w:val="22"/>
          <w:rtl/>
        </w:rPr>
        <w:t>–</w:t>
      </w:r>
      <w:r w:rsidRPr="00DD719C">
        <w:rPr>
          <w:rFonts w:hint="cs"/>
          <w:sz w:val="22"/>
          <w:szCs w:val="22"/>
          <w:rtl/>
        </w:rPr>
        <w:t xml:space="preserve"> פרסום בנתיב הרגיל, המחייב העברת הדוח להערות ראש</w:t>
      </w:r>
      <w:r w:rsidRPr="00DD719C">
        <w:rPr>
          <w:rFonts w:hint="cs"/>
          <w:position w:val="4"/>
          <w:sz w:val="22"/>
          <w:szCs w:val="22"/>
          <w:rtl/>
        </w:rPr>
        <w:t>-</w:t>
      </w:r>
      <w:r w:rsidRPr="00DD719C">
        <w:rPr>
          <w:rFonts w:hint="cs"/>
          <w:sz w:val="22"/>
          <w:szCs w:val="22"/>
          <w:rtl/>
        </w:rPr>
        <w:t>העירייה וכן לוועדת הביקורת. ראש</w:t>
      </w:r>
      <w:r w:rsidRPr="00DD719C">
        <w:rPr>
          <w:rFonts w:hint="cs"/>
          <w:position w:val="4"/>
          <w:sz w:val="22"/>
          <w:szCs w:val="22"/>
          <w:rtl/>
        </w:rPr>
        <w:t>-</w:t>
      </w:r>
      <w:r w:rsidRPr="00DD719C">
        <w:rPr>
          <w:rFonts w:hint="cs"/>
          <w:sz w:val="22"/>
          <w:szCs w:val="22"/>
          <w:rtl/>
        </w:rPr>
        <w:t>העירייה מגיש את הערותיו לדוח, לאחר מכן ועדת הביקורת דנה בדוח ובהערות ראש</w:t>
      </w:r>
      <w:r w:rsidRPr="00DD719C">
        <w:rPr>
          <w:rFonts w:hint="cs"/>
          <w:position w:val="4"/>
          <w:sz w:val="22"/>
          <w:szCs w:val="22"/>
          <w:rtl/>
        </w:rPr>
        <w:t>-</w:t>
      </w:r>
      <w:r w:rsidRPr="00DD719C">
        <w:rPr>
          <w:rFonts w:hint="cs"/>
          <w:sz w:val="22"/>
          <w:szCs w:val="22"/>
          <w:rtl/>
        </w:rPr>
        <w:t>העירייה ומעבירה את סיכומיה והמלצותיה לאישור מועצת העירייה (סעיף 170ג לפקודה). על המועצה לדון בדוח המבקר ובהצעותיה של הוועדה, ופרסום הדוח מותר רק לאחר שחלף המועד להגשתו למועצה (סעיף 170ג(ו) רישה). מסלול שני הוא מסלול הפרסום המוקדם, המאפשר, על</w:t>
      </w:r>
      <w:r w:rsidRPr="00DD719C">
        <w:rPr>
          <w:rFonts w:hint="cs"/>
          <w:position w:val="4"/>
          <w:sz w:val="22"/>
          <w:szCs w:val="22"/>
          <w:rtl/>
        </w:rPr>
        <w:t>-</w:t>
      </w:r>
      <w:r w:rsidRPr="00DD719C">
        <w:rPr>
          <w:rFonts w:hint="cs"/>
          <w:sz w:val="22"/>
          <w:szCs w:val="22"/>
          <w:rtl/>
        </w:rPr>
        <w:t>פי סעיף 170ג(ו) סיפה, פרסום מוקדם של דוח ביקורת על</w:t>
      </w:r>
      <w:r w:rsidRPr="00DD719C">
        <w:rPr>
          <w:rFonts w:hint="cs"/>
          <w:position w:val="4"/>
          <w:sz w:val="22"/>
          <w:szCs w:val="22"/>
          <w:rtl/>
        </w:rPr>
        <w:t>-</w:t>
      </w:r>
      <w:r w:rsidRPr="00DD719C">
        <w:rPr>
          <w:rFonts w:hint="cs"/>
          <w:sz w:val="22"/>
          <w:szCs w:val="22"/>
          <w:rtl/>
        </w:rPr>
        <w:t>פי החלטת מבקר העירייה או ראש</w:t>
      </w:r>
      <w:r w:rsidRPr="00DD719C">
        <w:rPr>
          <w:rFonts w:hint="cs"/>
          <w:position w:val="4"/>
          <w:sz w:val="22"/>
          <w:szCs w:val="22"/>
          <w:rtl/>
        </w:rPr>
        <w:t>-</w:t>
      </w:r>
      <w:r w:rsidRPr="00DD719C">
        <w:rPr>
          <w:rFonts w:hint="cs"/>
          <w:sz w:val="22"/>
          <w:szCs w:val="22"/>
          <w:rtl/>
        </w:rPr>
        <w:t>העירייה באישור ועדת הביקורת. לטענת המשיבים, הפרסום המוקדם של הדוח במקרה זה נעשה בהליך מיוחד כאמור. ביוזמת ראש</w:t>
      </w:r>
      <w:r w:rsidRPr="00DD719C">
        <w:rPr>
          <w:rFonts w:hint="cs"/>
          <w:position w:val="4"/>
          <w:sz w:val="22"/>
          <w:szCs w:val="22"/>
          <w:rtl/>
        </w:rPr>
        <w:t>-</w:t>
      </w:r>
      <w:r w:rsidRPr="00DD719C">
        <w:rPr>
          <w:rFonts w:hint="cs"/>
          <w:sz w:val="22"/>
          <w:szCs w:val="22"/>
          <w:rtl/>
        </w:rPr>
        <w:t>העירייה, ועל</w:t>
      </w:r>
      <w:r w:rsidRPr="00DD719C">
        <w:rPr>
          <w:rFonts w:hint="cs"/>
          <w:position w:val="4"/>
          <w:sz w:val="22"/>
          <w:szCs w:val="22"/>
          <w:rtl/>
        </w:rPr>
        <w:t>-</w:t>
      </w:r>
      <w:r w:rsidRPr="00DD719C">
        <w:rPr>
          <w:rFonts w:hint="cs"/>
          <w:sz w:val="22"/>
          <w:szCs w:val="22"/>
          <w:rtl/>
        </w:rPr>
        <w:t>פי בקשת המבקרת, החליטה ועדת הביקורת להתיר פרסום מוקדם של הדוח בטרם דנה בו לגופו. לטענת המשיבים, הפרסום המוקדם נעשה כחוק על</w:t>
      </w:r>
      <w:r w:rsidRPr="00DD719C">
        <w:rPr>
          <w:rFonts w:hint="cs"/>
          <w:position w:val="4"/>
          <w:sz w:val="22"/>
          <w:szCs w:val="22"/>
          <w:rtl/>
        </w:rPr>
        <w:t>-</w:t>
      </w:r>
      <w:r w:rsidRPr="00DD719C">
        <w:rPr>
          <w:rFonts w:hint="cs"/>
          <w:sz w:val="22"/>
          <w:szCs w:val="22"/>
          <w:rtl/>
        </w:rPr>
        <w:t>פי מסלול הפרסום המהיר הקבוע בו, והדבר היה ראוי לגופו מן הטעם שאותה עת החלו הדלפות בתקשורת על מימצאים חלקיים של דוח הביקורת אשר היו עלולים ליצור תמונה מעוותת ומטעה של מימצאי הביקורת שהפרסום ביקש למנוע. נוסף על כך, נוצרה אווירה עכורה של לחצים ואיומים מצד העותרת כלפי עובדי עירייה אשר פגעה בעבודתם והצדיקה פרסום מוקדם כאמור. פרסומם בציבור של מימצאי ביקורת המתבצעת בגוף שלטוני הוא עניין חיוני כחלק מזכות הציבור לדעת וכנגזר מזכותו לקבל דין וחשבון על אודות מהלכי תפקודו של מוסד ציבורי. ערובה לקיומו של ממשל תקין היא בהעמדתו לביקורת, וכדי שהביקורת תהיה יעילה, על מימצאיה להיות גלויים וחשופים לעיני הציבור ולביקורתו. על</w:t>
      </w:r>
      <w:r w:rsidRPr="00DD719C">
        <w:rPr>
          <w:rFonts w:hint="cs"/>
          <w:position w:val="4"/>
          <w:sz w:val="22"/>
          <w:szCs w:val="22"/>
          <w:rtl/>
        </w:rPr>
        <w:t>-</w:t>
      </w:r>
      <w:r w:rsidRPr="00DD719C">
        <w:rPr>
          <w:rFonts w:hint="cs"/>
          <w:sz w:val="22"/>
          <w:szCs w:val="22"/>
          <w:rtl/>
        </w:rPr>
        <w:t>כן פרסום דוח הביקורת הוא תנאי הכרחי לאמון הציבור במוסדות השלטון וליעילות הפיקוח הציבורי עליו.</w:t>
      </w:r>
    </w:p>
    <w:p w:rsidR="0025709E" w:rsidRPr="00DD719C" w:rsidRDefault="0025709E" w:rsidP="0025709E">
      <w:pPr>
        <w:pStyle w:val="a6"/>
        <w:spacing w:after="120" w:line="240" w:lineRule="auto"/>
        <w:ind w:left="-682"/>
        <w:rPr>
          <w:sz w:val="22"/>
          <w:szCs w:val="22"/>
          <w:rtl/>
        </w:rPr>
      </w:pPr>
      <w:r w:rsidRPr="00DD719C">
        <w:rPr>
          <w:rFonts w:hint="cs"/>
          <w:sz w:val="22"/>
          <w:szCs w:val="22"/>
          <w:rtl/>
        </w:rPr>
        <w:t xml:space="preserve">עם זאת בצד העמידה על חובת הפרסום כאמור, יש להגן גם על ערך אחר </w:t>
      </w:r>
      <w:r w:rsidRPr="00DD719C">
        <w:rPr>
          <w:sz w:val="22"/>
          <w:szCs w:val="22"/>
          <w:rtl/>
        </w:rPr>
        <w:t>–</w:t>
      </w:r>
      <w:r w:rsidRPr="00DD719C">
        <w:rPr>
          <w:rFonts w:hint="cs"/>
          <w:sz w:val="22"/>
          <w:szCs w:val="22"/>
          <w:rtl/>
        </w:rPr>
        <w:t xml:space="preserve"> הוא ההגנה על כבודו ושמו הטוב של הגורם המבוקר. אין צריך לומר כי פרסום בציבור של מימצאי ביקורת שליליים על אודות אדם המכהן בתפקיד ציבורי מסבים לו פגיעה שפעמים אינה ניתנת לתיקון, לכן בטרם פרסום יש להקפיד כי הליכי הביקורת נעשו בצורה תקינה ומלאה, וכי כל מהלכי הבחינה והבדיקה של הגופים השונים המעורבים בהליך הביקורת ננקטו והושלמו, וכי הדרך הוכשרה לפרסום המימצאים בציבור. כדי להבטיח את ביסוסם של מימצאי הביקורת ועיגונם כראוי, </w:t>
      </w:r>
      <w:r w:rsidRPr="00DD719C">
        <w:rPr>
          <w:rFonts w:hint="cs"/>
          <w:sz w:val="22"/>
          <w:szCs w:val="22"/>
          <w:highlight w:val="yellow"/>
          <w:rtl/>
        </w:rPr>
        <w:t>יצר המחוקק הליך של "ביקורת על ביקורת",</w:t>
      </w:r>
      <w:r w:rsidRPr="00DD719C">
        <w:rPr>
          <w:rFonts w:hint="cs"/>
          <w:sz w:val="22"/>
          <w:szCs w:val="22"/>
          <w:rtl/>
        </w:rPr>
        <w:t xml:space="preserve"> שהוא שלב חשוב בהליך הנדרש לגיבושו הסופי של דוח הביקורת טרם פרסומו. הליך ביקורת זה מחייב כי דוח מבקר העירייה יובא לדיון בפני ועדת הביקורת לאחר שנתקבלו הערות ראש</w:t>
      </w:r>
      <w:r w:rsidRPr="00DD719C">
        <w:rPr>
          <w:rFonts w:hint="cs"/>
          <w:position w:val="4"/>
          <w:sz w:val="22"/>
          <w:szCs w:val="22"/>
          <w:rtl/>
        </w:rPr>
        <w:t>-</w:t>
      </w:r>
      <w:r w:rsidRPr="00DD719C">
        <w:rPr>
          <w:rFonts w:hint="cs"/>
          <w:sz w:val="22"/>
          <w:szCs w:val="22"/>
          <w:rtl/>
        </w:rPr>
        <w:t>העירייה לאמור בו. לצורך דיוניה רשאית הוועדה להזמין נושאי משרה בעירייה להגיב על הדוח (סעיף 170ג(ד) סיפה לפקודה). יש להניח כי הוועדה רשאית גם להזמין את המבוקר ולשמוע את השגותיו. רק לאחר גיבוש המלצות הוועדה מועבר הדוח לדיון בפני מועצת העירייה, והיא מחליטה אם לאשרו. מהלכים אלה, בטרם פרסום הדוח בציבור, נותנים בידי המבוקר הזדמנות נוספת להציג את עמדתו בפני גופים נוספים המעמידים במבחן את דוח הביקורת של מבקר העירייה. רק לאחר השלמת מהלכים אלה באה, דרך כלל, עת פרסום המימצאים. הפרסום לציבור חושף את מימצאי הביקורת בפני כולי עלמא, על כל המשמעויות מכך לגורם המבוקר. מכאן, פרסום לציבור של מימצאי דוח ביקורת שטרם אושר כאמור הוא בדרך</w:t>
      </w:r>
      <w:r w:rsidRPr="00DD719C">
        <w:rPr>
          <w:rFonts w:hint="cs"/>
          <w:position w:val="4"/>
          <w:sz w:val="22"/>
          <w:szCs w:val="22"/>
          <w:rtl/>
        </w:rPr>
        <w:t>-</w:t>
      </w:r>
      <w:r w:rsidRPr="00DD719C">
        <w:rPr>
          <w:rFonts w:hint="cs"/>
          <w:sz w:val="22"/>
          <w:szCs w:val="22"/>
          <w:rtl/>
        </w:rPr>
        <w:t xml:space="preserve">כלל אסור על שום הנזק הרב שהוא עלול לגרום בראש ובראשונה למבוקר, אך גם למעמדו של מבקר הפנים בעיני הציבור, בייחוד מקום שלאחר הפרסום המוקדם עשויים לחול שינויים במימצאי הביקורת עקב התערבות גופי הביקורת הנוספים. </w:t>
      </w:r>
    </w:p>
    <w:p w:rsidR="0025709E" w:rsidRPr="00DD719C" w:rsidRDefault="0025709E" w:rsidP="0025709E">
      <w:pPr>
        <w:pStyle w:val="a6"/>
        <w:spacing w:after="120" w:line="240" w:lineRule="auto"/>
        <w:ind w:left="-682"/>
        <w:rPr>
          <w:sz w:val="22"/>
          <w:szCs w:val="22"/>
          <w:rtl/>
        </w:rPr>
      </w:pPr>
      <w:r w:rsidRPr="00DD719C">
        <w:rPr>
          <w:rFonts w:hint="cs"/>
          <w:sz w:val="22"/>
          <w:szCs w:val="22"/>
          <w:rtl/>
        </w:rPr>
        <w:t>הליך הפרסום המוקדם על</w:t>
      </w:r>
      <w:r w:rsidRPr="00DD719C">
        <w:rPr>
          <w:rFonts w:hint="cs"/>
          <w:position w:val="4"/>
          <w:sz w:val="22"/>
          <w:szCs w:val="22"/>
          <w:rtl/>
        </w:rPr>
        <w:t>-</w:t>
      </w:r>
      <w:r w:rsidRPr="00DD719C">
        <w:rPr>
          <w:rFonts w:hint="cs"/>
          <w:sz w:val="22"/>
          <w:szCs w:val="22"/>
          <w:rtl/>
        </w:rPr>
        <w:t>פי החוק נועד לעקוף את מנגנון "הביקורת על הביקורת", והוא בבחינת חריג ויוצא מן הכלל לכלל. הוא מכוון לחול על מקרים יוצאי</w:t>
      </w:r>
      <w:r w:rsidRPr="00DD719C">
        <w:rPr>
          <w:rFonts w:hint="cs"/>
          <w:position w:val="4"/>
          <w:sz w:val="22"/>
          <w:szCs w:val="22"/>
          <w:rtl/>
        </w:rPr>
        <w:t>-</w:t>
      </w:r>
      <w:r w:rsidRPr="00DD719C">
        <w:rPr>
          <w:rFonts w:hint="cs"/>
          <w:sz w:val="22"/>
          <w:szCs w:val="22"/>
          <w:rtl/>
        </w:rPr>
        <w:t>דופן שקיים בהם אינטרס ציבורי ראשון במעלה להביא לידיעת הציבור באופן מיידי מימצאי ביקורת שנתקבלו עוד בטרם נדונו אלה לגופם על</w:t>
      </w:r>
      <w:r w:rsidRPr="00DD719C">
        <w:rPr>
          <w:rFonts w:hint="cs"/>
          <w:position w:val="4"/>
          <w:sz w:val="22"/>
          <w:szCs w:val="22"/>
          <w:rtl/>
        </w:rPr>
        <w:t>-</w:t>
      </w:r>
      <w:r w:rsidRPr="00DD719C">
        <w:rPr>
          <w:rFonts w:hint="cs"/>
          <w:sz w:val="22"/>
          <w:szCs w:val="22"/>
          <w:rtl/>
        </w:rPr>
        <w:t>ידי ועדת הביקורת ומועצת העירייה. מצבים אלה הם נדירים, והם נועדו לסיטואציות חריגות שבהן פרסום מיידי הוא חיוני כדי למנוע נזק מיידי למערכת הציבורית אשר אפשר שייגרם אם מסקנות הביקורת לא יובאו לידיעת הציבור לאלתר. בנסיבות מיוחדות אלה גובר אינטרס הציבור בפרסום מוקדם של מימצאי הביקורת גם על פני אינטרס הפרט המבוקר בהגנה על כבודו ושמו הטוב, והוא מצדיק כי הפרסום יקדים אף את מהלכי הבחינה והדיון של ועדת הביקורת ומועצת העירייה.</w:t>
      </w:r>
    </w:p>
    <w:p w:rsidR="0025709E" w:rsidRPr="00A25DC7" w:rsidRDefault="0025709E" w:rsidP="0025709E">
      <w:pPr>
        <w:pStyle w:val="a6"/>
        <w:spacing w:after="120" w:line="240" w:lineRule="auto"/>
        <w:ind w:left="-682"/>
        <w:rPr>
          <w:sz w:val="22"/>
          <w:szCs w:val="22"/>
          <w:rtl/>
        </w:rPr>
      </w:pPr>
      <w:r w:rsidRPr="00A25DC7">
        <w:rPr>
          <w:rFonts w:hint="cs"/>
          <w:sz w:val="22"/>
          <w:szCs w:val="22"/>
          <w:rtl/>
        </w:rPr>
        <w:t>בענייננו ננקט הליך פרסום מוקדם של דוח הביקורת בטרם הוא נדון לגופו בוועדת הביקורת ובמועצת העירייה. בדיון בפנינו אף נמסר על</w:t>
      </w:r>
      <w:r w:rsidRPr="00A25DC7">
        <w:rPr>
          <w:rFonts w:hint="cs"/>
          <w:position w:val="4"/>
          <w:sz w:val="22"/>
          <w:szCs w:val="22"/>
          <w:rtl/>
        </w:rPr>
        <w:t>-</w:t>
      </w:r>
      <w:r w:rsidRPr="00A25DC7">
        <w:rPr>
          <w:rFonts w:hint="cs"/>
          <w:sz w:val="22"/>
          <w:szCs w:val="22"/>
          <w:rtl/>
        </w:rPr>
        <w:t>ידי המשיבים כי הליך כזה ננקט על</w:t>
      </w:r>
      <w:r w:rsidRPr="00A25DC7">
        <w:rPr>
          <w:rFonts w:hint="cs"/>
          <w:position w:val="4"/>
          <w:sz w:val="22"/>
          <w:szCs w:val="22"/>
          <w:rtl/>
        </w:rPr>
        <w:t>-</w:t>
      </w:r>
      <w:r w:rsidRPr="00A25DC7">
        <w:rPr>
          <w:rFonts w:hint="cs"/>
          <w:sz w:val="22"/>
          <w:szCs w:val="22"/>
          <w:rtl/>
        </w:rPr>
        <w:t xml:space="preserve">ידיהם דרך שיגרה. </w:t>
      </w:r>
      <w:r w:rsidRPr="00DD719C">
        <w:rPr>
          <w:rFonts w:hint="cs"/>
          <w:sz w:val="22"/>
          <w:szCs w:val="22"/>
          <w:highlight w:val="yellow"/>
          <w:rtl/>
        </w:rPr>
        <w:t>בענייננו אמנם נתקיימו המהלכים הפורמאליים הנדרשים לצורך הפרסום המוקדם, אך לא נתקיימו העילות המהותיות המצדיקות אותו לגופו. פרסומם המוקדם של מימצאי הדוח במקרה זה אינו מתיישב עם התכלית שלשמה נועד הפרסום המוקדם. לא נתקיים כאן צורך מיידי בהודעה לציבור על קביעות הביקורת, ובפרסומן בטרם עברו את כור ההיתוך של גופי הביקורת הנוספים היה כדי לפגוע הן בעותרת הן בגורמי הביקורת עצמם. הבאת מימצאי הדוח לידיעת הציבור בטרם עת פגעה בכבודה ובשמה הטוב של העותרת בטרם היה סיפק בידי הגופים השונים לבחון את המימצאים, ולפני שלעותרת עצמה ניתנה ההזדמנות להציג את עמדתה בפני ועדת הביקורת ולזכות בהתייחסותה. החשש מפני הדלפות של קטעי מידע על אודות המימצאים וכן החשש מקושי תפקודי של עובדי העירייה עקב מסכת לחצים שנטען כי הופעלה נגדם אינם מצדיקים הסטת נקודת האיזון אל עבר פרסום מוקדם של המימצאים בהיעדר מצב חריג אשר יצדיק זאת. על</w:t>
      </w:r>
      <w:r w:rsidRPr="00DD719C">
        <w:rPr>
          <w:rFonts w:hint="cs"/>
          <w:position w:val="4"/>
          <w:sz w:val="22"/>
          <w:szCs w:val="22"/>
          <w:highlight w:val="yellow"/>
          <w:rtl/>
        </w:rPr>
        <w:t>-</w:t>
      </w:r>
      <w:r w:rsidRPr="00DD719C">
        <w:rPr>
          <w:rFonts w:hint="cs"/>
          <w:sz w:val="22"/>
          <w:szCs w:val="22"/>
          <w:highlight w:val="yellow"/>
          <w:rtl/>
        </w:rPr>
        <w:t>כן מסקנתי היא כי מהלך הפרסום המוקדם של דוח הביקורת היה שגוי במקרה זה, ולא היה מקום לנקוט אותו.</w:t>
      </w:r>
    </w:p>
    <w:p w:rsidR="0025709E" w:rsidRPr="00A25DC7" w:rsidRDefault="0025709E" w:rsidP="0025709E">
      <w:pPr>
        <w:pStyle w:val="a6"/>
        <w:spacing w:after="120" w:line="240" w:lineRule="auto"/>
        <w:ind w:left="-682"/>
        <w:rPr>
          <w:b/>
          <w:sz w:val="22"/>
          <w:szCs w:val="22"/>
          <w:rtl/>
        </w:rPr>
      </w:pPr>
      <w:r w:rsidRPr="00A25DC7">
        <w:rPr>
          <w:rFonts w:hint="cs"/>
          <w:b/>
          <w:sz w:val="22"/>
          <w:szCs w:val="22"/>
          <w:rtl/>
        </w:rPr>
        <w:t>תוצאות</w:t>
      </w:r>
    </w:p>
    <w:p w:rsidR="0025709E" w:rsidRPr="00A25DC7" w:rsidRDefault="0025709E" w:rsidP="0025709E">
      <w:pPr>
        <w:pStyle w:val="a6"/>
        <w:spacing w:after="120" w:line="240" w:lineRule="auto"/>
        <w:ind w:left="-682"/>
        <w:rPr>
          <w:sz w:val="22"/>
          <w:szCs w:val="22"/>
          <w:rtl/>
        </w:rPr>
      </w:pPr>
      <w:r w:rsidRPr="00A25DC7">
        <w:rPr>
          <w:rFonts w:hint="cs"/>
          <w:sz w:val="22"/>
          <w:szCs w:val="22"/>
          <w:rtl/>
        </w:rPr>
        <w:t xml:space="preserve">22. </w:t>
      </w:r>
      <w:r w:rsidRPr="00A25DC7">
        <w:rPr>
          <w:rFonts w:hint="cs"/>
          <w:sz w:val="22"/>
          <w:szCs w:val="22"/>
          <w:rtl/>
        </w:rPr>
        <w:tab/>
      </w:r>
      <w:r w:rsidRPr="007A2E51">
        <w:rPr>
          <w:rFonts w:hint="cs"/>
          <w:sz w:val="22"/>
          <w:szCs w:val="22"/>
          <w:highlight w:val="yellow"/>
          <w:rtl/>
        </w:rPr>
        <w:t>לביקורת הפנים בעירייה סמכות לבקר מעשי נבחר ציבור בעירייה בעניינים הקשורים לפעולות העירייה, ובכלל זה בעניינים של טוהר מידות וניגוד עניינים אפשרי בין חובותיו במילוי תפקידו הציבורי לבין ענייניו האישיים והרכושיים.</w:t>
      </w:r>
      <w:r w:rsidRPr="00A25DC7">
        <w:rPr>
          <w:rFonts w:hint="cs"/>
          <w:sz w:val="22"/>
          <w:szCs w:val="22"/>
          <w:rtl/>
        </w:rPr>
        <w:t xml:space="preserve"> מכאן, שהייתה למבקרת העירייה סמכות לבקר את פעולותיה של העותרת בהקשר כזה. </w:t>
      </w:r>
    </w:p>
    <w:p w:rsidR="0025709E" w:rsidRPr="00A25DC7" w:rsidRDefault="0025709E" w:rsidP="0025709E">
      <w:pPr>
        <w:pStyle w:val="a6"/>
        <w:spacing w:after="120" w:line="240" w:lineRule="auto"/>
        <w:ind w:left="-682"/>
        <w:rPr>
          <w:sz w:val="22"/>
          <w:szCs w:val="22"/>
          <w:rtl/>
        </w:rPr>
      </w:pPr>
      <w:r w:rsidRPr="00A25DC7">
        <w:rPr>
          <w:rFonts w:hint="cs"/>
          <w:sz w:val="22"/>
          <w:szCs w:val="22"/>
          <w:rtl/>
        </w:rPr>
        <w:t>במסגרת הביקורת השיפוטית על עבודת הביקורת איננו אמורים לבחון את מימצאיו ומסקנותיו של דוח הביקורת לגופו, אלא לבדוק אם הליך הביקורת היה תקין על</w:t>
      </w:r>
      <w:r w:rsidRPr="00A25DC7">
        <w:rPr>
          <w:rFonts w:hint="cs"/>
          <w:position w:val="4"/>
          <w:sz w:val="22"/>
          <w:szCs w:val="22"/>
          <w:rtl/>
        </w:rPr>
        <w:t>-</w:t>
      </w:r>
      <w:r w:rsidRPr="00A25DC7">
        <w:rPr>
          <w:rFonts w:hint="cs"/>
          <w:sz w:val="22"/>
          <w:szCs w:val="22"/>
          <w:rtl/>
        </w:rPr>
        <w:t>פי אמות המידה של המשפט המינהלי החלות על העניין. על</w:t>
      </w:r>
      <w:r w:rsidRPr="00A25DC7">
        <w:rPr>
          <w:rFonts w:hint="cs"/>
          <w:position w:val="4"/>
          <w:sz w:val="22"/>
          <w:szCs w:val="22"/>
          <w:rtl/>
        </w:rPr>
        <w:t>-</w:t>
      </w:r>
      <w:r w:rsidRPr="00A25DC7">
        <w:rPr>
          <w:rFonts w:hint="cs"/>
          <w:sz w:val="22"/>
          <w:szCs w:val="22"/>
          <w:rtl/>
        </w:rPr>
        <w:t xml:space="preserve">פי מבחן זה, אני מוצאת כי נפלו </w:t>
      </w:r>
      <w:r w:rsidRPr="007A2E51">
        <w:rPr>
          <w:rFonts w:hint="cs"/>
          <w:sz w:val="22"/>
          <w:szCs w:val="22"/>
          <w:highlight w:val="yellow"/>
          <w:rtl/>
        </w:rPr>
        <w:t>פגמים בהליך הביקורת</w:t>
      </w:r>
      <w:r w:rsidRPr="00A25DC7">
        <w:rPr>
          <w:rFonts w:hint="cs"/>
          <w:sz w:val="22"/>
          <w:szCs w:val="22"/>
          <w:rtl/>
        </w:rPr>
        <w:t xml:space="preserve"> במובנים האלה: ראשית, לעותרת </w:t>
      </w:r>
      <w:r w:rsidRPr="007A2E51">
        <w:rPr>
          <w:rFonts w:hint="cs"/>
          <w:sz w:val="22"/>
          <w:szCs w:val="22"/>
          <w:highlight w:val="yellow"/>
          <w:rtl/>
        </w:rPr>
        <w:t>לא נמסרו מסמכים מהותיים לביקורת כדי לאפשר לה למצות באופן מלא את זכות הטיעון</w:t>
      </w:r>
      <w:r w:rsidRPr="00A25DC7">
        <w:rPr>
          <w:rFonts w:hint="cs"/>
          <w:sz w:val="22"/>
          <w:szCs w:val="22"/>
          <w:rtl/>
        </w:rPr>
        <w:t xml:space="preserve"> כלפי טענות שהועלו נגדה; שנית, בדוח הסופי נכללו </w:t>
      </w:r>
      <w:r w:rsidRPr="007A2E51">
        <w:rPr>
          <w:rFonts w:hint="cs"/>
          <w:sz w:val="22"/>
          <w:szCs w:val="22"/>
          <w:highlight w:val="yellow"/>
          <w:rtl/>
        </w:rPr>
        <w:t>טענות ופירוט עובדתי בעניינים שלגביהם לא ניתנה לעותרת זכות טיעון מלאה</w:t>
      </w:r>
      <w:r w:rsidRPr="00A25DC7">
        <w:rPr>
          <w:rFonts w:hint="cs"/>
          <w:sz w:val="22"/>
          <w:szCs w:val="22"/>
          <w:rtl/>
        </w:rPr>
        <w:t xml:space="preserve">; שלישית, </w:t>
      </w:r>
      <w:r w:rsidRPr="007A2E51">
        <w:rPr>
          <w:rFonts w:hint="cs"/>
          <w:sz w:val="22"/>
          <w:szCs w:val="22"/>
          <w:highlight w:val="yellow"/>
          <w:rtl/>
        </w:rPr>
        <w:t>הדוח פורסם בפרסום מוקדם בטרם נדון לגופו בגופי הביקורת העליונים של העירייה, ובטרם מוצתה זכות הטיעון של העותרת בפניהם</w:t>
      </w:r>
      <w:r w:rsidRPr="00A25DC7">
        <w:rPr>
          <w:rFonts w:hint="cs"/>
          <w:sz w:val="22"/>
          <w:szCs w:val="22"/>
          <w:rtl/>
        </w:rPr>
        <w:t>, ומקום שלא הייתה הצדקה עניינית לפרסום מוקדם כאמור.</w:t>
      </w:r>
    </w:p>
    <w:p w:rsidR="0025709E" w:rsidRPr="00A25DC7" w:rsidRDefault="0025709E" w:rsidP="0025709E">
      <w:pPr>
        <w:pStyle w:val="a6"/>
        <w:spacing w:after="120" w:line="240" w:lineRule="auto"/>
        <w:ind w:left="-682"/>
        <w:rPr>
          <w:sz w:val="22"/>
          <w:szCs w:val="22"/>
          <w:rtl/>
        </w:rPr>
      </w:pPr>
      <w:r w:rsidRPr="00A25DC7">
        <w:rPr>
          <w:rFonts w:hint="cs"/>
          <w:sz w:val="22"/>
          <w:szCs w:val="22"/>
          <w:rtl/>
        </w:rPr>
        <w:t xml:space="preserve">פגמים הנופלים בהליך מינהלי שרשות מינהלית נוקטת אינם מביאים בהכרח לפסילתו מעיקרא. זוהי </w:t>
      </w:r>
      <w:r w:rsidRPr="007A2E51">
        <w:rPr>
          <w:rFonts w:hint="cs"/>
          <w:sz w:val="22"/>
          <w:szCs w:val="22"/>
          <w:highlight w:val="yellow"/>
          <w:rtl/>
        </w:rPr>
        <w:t>דוקטרינת הבטלות היחסית</w:t>
      </w:r>
      <w:r w:rsidRPr="00A25DC7">
        <w:rPr>
          <w:rFonts w:hint="cs"/>
          <w:sz w:val="22"/>
          <w:szCs w:val="22"/>
          <w:rtl/>
        </w:rPr>
        <w:t xml:space="preserve"> אשר מבחן החלתה גמיש ותלוי במידת החומרה של ההפרה ובנסיבותיה (</w:t>
      </w:r>
      <w:hyperlink r:id="rId415" w:history="1">
        <w:r w:rsidRPr="00A25DC7">
          <w:rPr>
            <w:rStyle w:val="Hyperlink"/>
            <w:rFonts w:hint="eastAsia"/>
            <w:sz w:val="22"/>
            <w:szCs w:val="22"/>
            <w:rtl/>
          </w:rPr>
          <w:t>בג</w:t>
        </w:r>
        <w:r w:rsidRPr="00A25DC7">
          <w:rPr>
            <w:rStyle w:val="Hyperlink"/>
            <w:sz w:val="22"/>
            <w:szCs w:val="22"/>
            <w:rtl/>
          </w:rPr>
          <w:t>"ץ 118/80</w:t>
        </w:r>
      </w:hyperlink>
      <w:r w:rsidRPr="00A25DC7">
        <w:rPr>
          <w:rFonts w:hint="cs"/>
          <w:sz w:val="22"/>
          <w:szCs w:val="22"/>
          <w:rtl/>
        </w:rPr>
        <w:t xml:space="preserve"> גרינשטיין נ' פרקליט צבאי ראשי [19], בעמ' 246; </w:t>
      </w:r>
      <w:hyperlink r:id="rId416" w:history="1">
        <w:r w:rsidRPr="00A25DC7">
          <w:rPr>
            <w:rStyle w:val="Hyperlink"/>
            <w:rFonts w:hint="eastAsia"/>
            <w:sz w:val="22"/>
            <w:szCs w:val="22"/>
            <w:rtl/>
          </w:rPr>
          <w:t>בג</w:t>
        </w:r>
        <w:r w:rsidRPr="00A25DC7">
          <w:rPr>
            <w:rStyle w:val="Hyperlink"/>
            <w:sz w:val="22"/>
            <w:szCs w:val="22"/>
            <w:rtl/>
          </w:rPr>
          <w:t>"ץ 2911/94</w:t>
        </w:r>
      </w:hyperlink>
      <w:r w:rsidRPr="00A25DC7">
        <w:rPr>
          <w:rFonts w:hint="cs"/>
          <w:sz w:val="22"/>
          <w:szCs w:val="22"/>
          <w:rtl/>
        </w:rPr>
        <w:t xml:space="preserve"> באקי נ' מנכ"ל משרד הפנים [20], בעמ' 306). על</w:t>
      </w:r>
      <w:r w:rsidRPr="00A25DC7">
        <w:rPr>
          <w:rFonts w:hint="cs"/>
          <w:position w:val="4"/>
          <w:sz w:val="22"/>
          <w:szCs w:val="22"/>
          <w:rtl/>
        </w:rPr>
        <w:t>-</w:t>
      </w:r>
      <w:r w:rsidRPr="00A25DC7">
        <w:rPr>
          <w:rFonts w:hint="cs"/>
          <w:sz w:val="22"/>
          <w:szCs w:val="22"/>
          <w:rtl/>
        </w:rPr>
        <w:t>פי דוקטרינה זו, יש להתאים את הסעד, קרי בטלות מלאה או יחסית, לאופי ההפרה על</w:t>
      </w:r>
      <w:r w:rsidRPr="00A25DC7">
        <w:rPr>
          <w:rFonts w:hint="cs"/>
          <w:position w:val="4"/>
          <w:sz w:val="22"/>
          <w:szCs w:val="22"/>
          <w:rtl/>
        </w:rPr>
        <w:t>-</w:t>
      </w:r>
      <w:r w:rsidRPr="00A25DC7">
        <w:rPr>
          <w:rFonts w:hint="cs"/>
          <w:sz w:val="22"/>
          <w:szCs w:val="22"/>
          <w:rtl/>
        </w:rPr>
        <w:t>פי נסיבות המקרה, והדבר נתון במידה רבה לשיקול</w:t>
      </w:r>
      <w:r w:rsidRPr="00A25DC7">
        <w:rPr>
          <w:rFonts w:hint="cs"/>
          <w:position w:val="4"/>
          <w:sz w:val="22"/>
          <w:szCs w:val="22"/>
          <w:rtl/>
        </w:rPr>
        <w:t>-</w:t>
      </w:r>
      <w:r w:rsidRPr="00A25DC7">
        <w:rPr>
          <w:rFonts w:hint="cs"/>
          <w:sz w:val="22"/>
          <w:szCs w:val="22"/>
          <w:rtl/>
        </w:rPr>
        <w:t>דעתו של בית</w:t>
      </w:r>
      <w:r w:rsidRPr="00A25DC7">
        <w:rPr>
          <w:rFonts w:hint="cs"/>
          <w:position w:val="4"/>
          <w:sz w:val="22"/>
          <w:szCs w:val="22"/>
          <w:rtl/>
        </w:rPr>
        <w:t>-</w:t>
      </w:r>
      <w:r w:rsidRPr="00A25DC7">
        <w:rPr>
          <w:rFonts w:hint="cs"/>
          <w:sz w:val="22"/>
          <w:szCs w:val="22"/>
          <w:rtl/>
        </w:rPr>
        <w:t>המשפט. בין השיקולים הרלוונטיים יש להעריך את חומרת ההפרה, את מיהות הגורם התוקף את ההחלטה המינהלית, את אופי הנזק שנגרם לאדם עקב הפגמים שנפלו בהליך ומהו הסיכוי לרפא את הפגם ולתקן את המעוות.</w:t>
      </w:r>
    </w:p>
    <w:p w:rsidR="0025709E" w:rsidRPr="00A25DC7" w:rsidRDefault="0025709E" w:rsidP="0025709E">
      <w:pPr>
        <w:pStyle w:val="a6"/>
        <w:spacing w:after="120" w:line="240" w:lineRule="auto"/>
        <w:ind w:left="-682"/>
        <w:rPr>
          <w:sz w:val="22"/>
          <w:szCs w:val="22"/>
          <w:rtl/>
        </w:rPr>
      </w:pPr>
      <w:r w:rsidRPr="00A25DC7">
        <w:rPr>
          <w:rFonts w:hint="cs"/>
          <w:sz w:val="22"/>
          <w:szCs w:val="22"/>
          <w:rtl/>
        </w:rPr>
        <w:t>בענייננו נפלו בדוח הביקורת פגמים אשר יש להם תקנה, ולכן אין לבטלו מעיקרא, אלא ניתן לתקנו ולהשלימו במידת הצורך. הפרסום המוקדם של הדוח אמנם פגע בעותרת בטרם הושלמו כל הליכי הביקורת על</w:t>
      </w:r>
      <w:r w:rsidRPr="00A25DC7">
        <w:rPr>
          <w:rFonts w:hint="cs"/>
          <w:position w:val="4"/>
          <w:sz w:val="22"/>
          <w:szCs w:val="22"/>
          <w:rtl/>
        </w:rPr>
        <w:t>-</w:t>
      </w:r>
      <w:r w:rsidRPr="00A25DC7">
        <w:rPr>
          <w:rFonts w:hint="cs"/>
          <w:sz w:val="22"/>
          <w:szCs w:val="22"/>
          <w:rtl/>
        </w:rPr>
        <w:t>פי החוק, אולם היקף הפגיעה מוגבל מאחר שהליכים אלה טרם נתקיימו, ואין לדעת נכון לעת זו מה תהיה עמדת גופי הביקורת העליונים. אם יאושרו על</w:t>
      </w:r>
      <w:r w:rsidRPr="00A25DC7">
        <w:rPr>
          <w:rFonts w:hint="cs"/>
          <w:position w:val="4"/>
          <w:sz w:val="22"/>
          <w:szCs w:val="22"/>
          <w:rtl/>
        </w:rPr>
        <w:t>-</w:t>
      </w:r>
      <w:r w:rsidRPr="00A25DC7">
        <w:rPr>
          <w:rFonts w:hint="cs"/>
          <w:sz w:val="22"/>
          <w:szCs w:val="22"/>
          <w:rtl/>
        </w:rPr>
        <w:t xml:space="preserve">ידיהם קביעות הדוח כפי שנקבעו במקורם, כי אז נזק הפרסום המוקדם הוא מזערי, לעומת זאת אם יהיה בקביעותיהם משום חריגה ממימצאי הדוח המקורי, הרי לכך יינתן פרסום פומבי, ובפני הציבור תוצג תמונת נתונים מלאה. </w:t>
      </w:r>
    </w:p>
    <w:p w:rsidR="0025709E" w:rsidRPr="00A25DC7" w:rsidRDefault="0025709E" w:rsidP="0025709E">
      <w:pPr>
        <w:pStyle w:val="a6"/>
        <w:spacing w:after="120" w:line="240" w:lineRule="auto"/>
        <w:ind w:left="-682"/>
        <w:rPr>
          <w:sz w:val="22"/>
          <w:szCs w:val="22"/>
          <w:rtl/>
        </w:rPr>
      </w:pPr>
      <w:r w:rsidRPr="00DD719C">
        <w:rPr>
          <w:rFonts w:hint="cs"/>
          <w:sz w:val="22"/>
          <w:szCs w:val="22"/>
          <w:highlight w:val="yellow"/>
          <w:rtl/>
        </w:rPr>
        <w:t xml:space="preserve">אשר לפגמים בזכות הטיעון והעיון </w:t>
      </w:r>
      <w:r w:rsidRPr="00DD719C">
        <w:rPr>
          <w:sz w:val="22"/>
          <w:szCs w:val="22"/>
          <w:highlight w:val="yellow"/>
          <w:rtl/>
        </w:rPr>
        <w:t>–</w:t>
      </w:r>
      <w:r w:rsidRPr="00DD719C">
        <w:rPr>
          <w:rFonts w:hint="cs"/>
          <w:sz w:val="22"/>
          <w:szCs w:val="22"/>
          <w:highlight w:val="yellow"/>
          <w:rtl/>
        </w:rPr>
        <w:t xml:space="preserve"> אותם ניתן לרפא בדרכים האלה: דוח הביקורת יוחזר לידי המבקרת, ותתבצענה בעקבות כך הפעולות האלה: </w:t>
      </w:r>
      <w:r w:rsidRPr="007A2E51">
        <w:rPr>
          <w:rFonts w:hint="cs"/>
          <w:sz w:val="22"/>
          <w:szCs w:val="22"/>
          <w:rtl/>
        </w:rPr>
        <w:t xml:space="preserve">ראשית, </w:t>
      </w:r>
      <w:r w:rsidRPr="00DD719C">
        <w:rPr>
          <w:rFonts w:hint="cs"/>
          <w:sz w:val="22"/>
          <w:szCs w:val="22"/>
          <w:highlight w:val="yellow"/>
          <w:rtl/>
        </w:rPr>
        <w:t xml:space="preserve">על המבקרת יהא להעביר לידי העותרת את כל המסמכים שהיוו בסיס לדוח הביקורת ואשר טרם הועברו לעיונה תוך אפשרות השמטת פרטים מזהים המופיעים במסמכים על אודות מקורות מידע, ותוך שמירת חסיונן של תרשומות פנימיות המתעדות מהלכים פנימיים של עבודת הביקורת, </w:t>
      </w:r>
      <w:r w:rsidRPr="001E0B1C">
        <w:rPr>
          <w:rFonts w:hint="cs"/>
          <w:sz w:val="22"/>
          <w:szCs w:val="22"/>
          <w:rtl/>
        </w:rPr>
        <w:t xml:space="preserve">להבדיל </w:t>
      </w:r>
      <w:r w:rsidRPr="00DD719C">
        <w:rPr>
          <w:rFonts w:hint="cs"/>
          <w:sz w:val="22"/>
          <w:szCs w:val="22"/>
          <w:highlight w:val="yellow"/>
          <w:rtl/>
        </w:rPr>
        <w:t>מרישום עדויות מתלוננים או מוסרי מידע שאינן בגדר תרשומות פנימיות על</w:t>
      </w:r>
      <w:r w:rsidRPr="00DD719C">
        <w:rPr>
          <w:rFonts w:hint="cs"/>
          <w:position w:val="4"/>
          <w:sz w:val="22"/>
          <w:szCs w:val="22"/>
          <w:highlight w:val="yellow"/>
          <w:rtl/>
        </w:rPr>
        <w:t>-</w:t>
      </w:r>
      <w:r w:rsidRPr="00DD719C">
        <w:rPr>
          <w:rFonts w:hint="cs"/>
          <w:sz w:val="22"/>
          <w:szCs w:val="22"/>
          <w:highlight w:val="yellow"/>
          <w:rtl/>
        </w:rPr>
        <w:t>פי תוכנן.</w:t>
      </w:r>
      <w:r w:rsidRPr="00A25DC7">
        <w:rPr>
          <w:rFonts w:hint="cs"/>
          <w:sz w:val="22"/>
          <w:szCs w:val="22"/>
          <w:rtl/>
        </w:rPr>
        <w:t xml:space="preserve"> שנית, </w:t>
      </w:r>
      <w:r w:rsidRPr="00DD719C">
        <w:rPr>
          <w:rFonts w:hint="cs"/>
          <w:sz w:val="22"/>
          <w:szCs w:val="22"/>
          <w:highlight w:val="yellow"/>
          <w:rtl/>
        </w:rPr>
        <w:t>יש להשלים את זכות הטיעון של העותרת במתן הזדמנות להציג בפני המבקרת את עמדתה בכתב או בעל</w:t>
      </w:r>
      <w:r w:rsidRPr="00DD719C">
        <w:rPr>
          <w:rFonts w:hint="cs"/>
          <w:position w:val="4"/>
          <w:sz w:val="22"/>
          <w:szCs w:val="22"/>
          <w:highlight w:val="yellow"/>
          <w:rtl/>
        </w:rPr>
        <w:t>-</w:t>
      </w:r>
      <w:r w:rsidRPr="00DD719C">
        <w:rPr>
          <w:rFonts w:hint="cs"/>
          <w:sz w:val="22"/>
          <w:szCs w:val="22"/>
          <w:highlight w:val="yellow"/>
          <w:rtl/>
        </w:rPr>
        <w:t>פה לנוסחו של דוח הביקורת הסופי, כפי שפורסם, ובטרם ייעשה בו שינוי, אם בכלל. זכות הטיעון תעמוד לה כאמור לאחר שתקבל את מלוא חומר המסמכים שעליו התבססו קביעות דוח הביקורת.</w:t>
      </w:r>
      <w:r>
        <w:rPr>
          <w:rFonts w:hint="cs"/>
          <w:sz w:val="22"/>
          <w:szCs w:val="22"/>
          <w:rtl/>
        </w:rPr>
        <w:t xml:space="preserve"> </w:t>
      </w:r>
      <w:r w:rsidRPr="00A25DC7">
        <w:rPr>
          <w:rFonts w:hint="cs"/>
          <w:sz w:val="22"/>
          <w:szCs w:val="22"/>
          <w:rtl/>
        </w:rPr>
        <w:t>בעקבות פעולות אלה יהא על המבקרת לשקול מחדש את מימצאי הדוח, ובמידת הצורך, ולאחר השלמת טיעוניה של העותרת, לערוך בו תיקונים והשלמות ככל הנדרש. לאחר מכן יועבר הדוח המתוקן להערות ולבחינה לראש</w:t>
      </w:r>
      <w:r w:rsidRPr="00A25DC7">
        <w:rPr>
          <w:rFonts w:hint="cs"/>
          <w:position w:val="4"/>
          <w:sz w:val="22"/>
          <w:szCs w:val="22"/>
          <w:rtl/>
        </w:rPr>
        <w:t>-</w:t>
      </w:r>
      <w:r w:rsidRPr="00A25DC7">
        <w:rPr>
          <w:rFonts w:hint="cs"/>
          <w:sz w:val="22"/>
          <w:szCs w:val="22"/>
          <w:rtl/>
        </w:rPr>
        <w:t>העירייה, לוועדת הביקורת ולמועצת העירייה כאמור בחוק. לאחר סיומם של כל מהלכי הביקורת כאמור יהיה ניתן לפרסם בציבור את דוח הביקורת הסופי, בהתאם לקבוע בחוק.</w:t>
      </w:r>
    </w:p>
    <w:p w:rsidR="0025709E" w:rsidRPr="00A25DC7" w:rsidRDefault="0025709E" w:rsidP="0025709E">
      <w:pPr>
        <w:pStyle w:val="a6"/>
        <w:spacing w:after="120" w:line="240" w:lineRule="auto"/>
        <w:rPr>
          <w:b/>
          <w:sz w:val="22"/>
          <w:szCs w:val="22"/>
          <w:rtl/>
        </w:rPr>
      </w:pPr>
      <w:r w:rsidRPr="00A25DC7">
        <w:rPr>
          <w:rFonts w:hint="cs"/>
          <w:b/>
          <w:sz w:val="22"/>
          <w:szCs w:val="22"/>
          <w:rtl/>
        </w:rPr>
        <w:t>סוף דבר</w:t>
      </w:r>
    </w:p>
    <w:p w:rsidR="0025709E" w:rsidRPr="00A25DC7" w:rsidRDefault="0025709E" w:rsidP="0025709E">
      <w:pPr>
        <w:spacing w:after="120"/>
        <w:ind w:left="-680"/>
        <w:jc w:val="left"/>
        <w:rPr>
          <w:rFonts w:cs="FrankRuehl"/>
          <w:sz w:val="22"/>
          <w:szCs w:val="22"/>
          <w:highlight w:val="yellow"/>
          <w:rtl/>
        </w:rPr>
      </w:pPr>
      <w:r w:rsidRPr="00A25DC7">
        <w:rPr>
          <w:rFonts w:cs="FrankRuehl" w:hint="cs"/>
          <w:sz w:val="22"/>
          <w:szCs w:val="22"/>
          <w:rtl/>
        </w:rPr>
        <w:t xml:space="preserve">23. </w:t>
      </w:r>
      <w:r w:rsidRPr="00A25DC7">
        <w:rPr>
          <w:rFonts w:cs="FrankRuehl" w:hint="cs"/>
          <w:sz w:val="22"/>
          <w:szCs w:val="22"/>
          <w:rtl/>
        </w:rPr>
        <w:tab/>
        <w:t>לאור כל האמור אציע לקבל את העתירה ולעשות את הצו</w:t>
      </w:r>
      <w:r w:rsidRPr="00A25DC7">
        <w:rPr>
          <w:rFonts w:cs="FrankRuehl" w:hint="cs"/>
          <w:position w:val="4"/>
          <w:sz w:val="22"/>
          <w:szCs w:val="22"/>
          <w:rtl/>
        </w:rPr>
        <w:t>-</w:t>
      </w:r>
      <w:r w:rsidRPr="00A25DC7">
        <w:rPr>
          <w:rFonts w:cs="FrankRuehl" w:hint="cs"/>
          <w:sz w:val="22"/>
          <w:szCs w:val="22"/>
          <w:rtl/>
        </w:rPr>
        <w:t>על</w:t>
      </w:r>
      <w:r w:rsidRPr="00A25DC7">
        <w:rPr>
          <w:rFonts w:cs="FrankRuehl" w:hint="cs"/>
          <w:position w:val="4"/>
          <w:sz w:val="22"/>
          <w:szCs w:val="22"/>
          <w:rtl/>
        </w:rPr>
        <w:t>-</w:t>
      </w:r>
      <w:r w:rsidRPr="00A25DC7">
        <w:rPr>
          <w:rFonts w:cs="FrankRuehl" w:hint="cs"/>
          <w:sz w:val="22"/>
          <w:szCs w:val="22"/>
          <w:rtl/>
        </w:rPr>
        <w:t>תנאי למוחלט במובן הזה: דוח הביקורת יוחזר לידי מבקרת העירייה ויעמוד לבחינה מחודשת על</w:t>
      </w:r>
      <w:r w:rsidRPr="00A25DC7">
        <w:rPr>
          <w:rFonts w:cs="FrankRuehl" w:hint="cs"/>
          <w:position w:val="4"/>
          <w:sz w:val="22"/>
          <w:szCs w:val="22"/>
          <w:rtl/>
        </w:rPr>
        <w:t>-</w:t>
      </w:r>
      <w:r w:rsidRPr="00A25DC7">
        <w:rPr>
          <w:rFonts w:cs="FrankRuehl" w:hint="cs"/>
          <w:sz w:val="22"/>
          <w:szCs w:val="22"/>
          <w:rtl/>
        </w:rPr>
        <w:t>ידיה לאחר קבלת טיעוניה של העותרת למימצאים הקבועים בו. טיעונים אלה יוגשו למבקרת בכתב או בעל</w:t>
      </w:r>
      <w:r w:rsidRPr="00A25DC7">
        <w:rPr>
          <w:rFonts w:cs="FrankRuehl" w:hint="cs"/>
          <w:position w:val="4"/>
          <w:sz w:val="22"/>
          <w:szCs w:val="22"/>
          <w:rtl/>
        </w:rPr>
        <w:t>-</w:t>
      </w:r>
      <w:r w:rsidRPr="00A25DC7">
        <w:rPr>
          <w:rFonts w:cs="FrankRuehl" w:hint="cs"/>
          <w:sz w:val="22"/>
          <w:szCs w:val="22"/>
          <w:rtl/>
        </w:rPr>
        <w:t xml:space="preserve">פה, לאחר שהמסמכים ששימשו את הביקורת ואשר טרם הועברו לעותרת, יועברו לעיונה בכפוף לחסיונות ולסייגים שפורטו לעיל באשר לחומר שאין חובה להעבירו. המבקרת תשקול את טיעוניה הנוספים של העותרת, ובמידת הצורך תערוך תיקונים והשלמות לדוח הביקורת. דוח הביקורת החדש יועבר טרם פרסום לבחינת הגורמים השונים בעירייה </w:t>
      </w:r>
      <w:r w:rsidRPr="00A25DC7">
        <w:rPr>
          <w:rFonts w:cs="FrankRuehl" w:hint="eastAsia"/>
          <w:sz w:val="22"/>
          <w:szCs w:val="22"/>
          <w:rtl/>
        </w:rPr>
        <w:t>–</w:t>
      </w:r>
      <w:r w:rsidRPr="00A25DC7">
        <w:rPr>
          <w:rFonts w:cs="FrankRuehl" w:hint="cs"/>
          <w:sz w:val="22"/>
          <w:szCs w:val="22"/>
          <w:rtl/>
        </w:rPr>
        <w:t xml:space="preserve"> ראש העירייה, ועדת הביקורת ומועצת העירייה, כקבוע בחוק, ולאחר מכן יהא ניתן לפרסמו בציבור.</w:t>
      </w:r>
    </w:p>
    <w:p w:rsidR="0025709E" w:rsidRDefault="0025709E" w:rsidP="0025709E">
      <w:pPr>
        <w:spacing w:after="120"/>
        <w:ind w:left="-682"/>
        <w:jc w:val="left"/>
        <w:rPr>
          <w:b/>
          <w:bCs/>
          <w:highlight w:val="yellow"/>
          <w:rtl/>
        </w:rPr>
      </w:pPr>
      <w:r>
        <w:rPr>
          <w:rFonts w:hint="cs"/>
          <w:b/>
          <w:bCs/>
          <w:highlight w:val="yellow"/>
          <w:rtl/>
        </w:rPr>
        <w:t>=-=</w:t>
      </w:r>
    </w:p>
    <w:p w:rsidR="0025709E" w:rsidRDefault="0025709E" w:rsidP="0025709E">
      <w:pPr>
        <w:spacing w:after="60"/>
        <w:rPr>
          <w:sz w:val="22"/>
          <w:szCs w:val="22"/>
          <w:rtl/>
        </w:rPr>
      </w:pPr>
      <w:r w:rsidRPr="00ED3930">
        <w:rPr>
          <w:b/>
          <w:bCs/>
          <w:sz w:val="22"/>
          <w:szCs w:val="22"/>
          <w:highlight w:val="yellow"/>
          <w:u w:val="single"/>
          <w:rtl/>
        </w:rPr>
        <w:t>פס"ד אלוני</w:t>
      </w:r>
      <w:r w:rsidRPr="00ED3930">
        <w:rPr>
          <w:sz w:val="22"/>
          <w:szCs w:val="22"/>
          <w:highlight w:val="yellow"/>
          <w:rtl/>
        </w:rPr>
        <w:t>:</w:t>
      </w:r>
      <w:r w:rsidRPr="00456380">
        <w:rPr>
          <w:sz w:val="22"/>
          <w:szCs w:val="22"/>
          <w:rtl/>
        </w:rPr>
        <w:t xml:space="preserve"> </w:t>
      </w:r>
      <w:r>
        <w:rPr>
          <w:rFonts w:hint="cs"/>
          <w:sz w:val="22"/>
          <w:szCs w:val="22"/>
          <w:rtl/>
        </w:rPr>
        <w:t xml:space="preserve">מופיעה כאן מסגרת מורכבת של קבלת הכרעה. </w:t>
      </w:r>
    </w:p>
    <w:p w:rsidR="0025709E" w:rsidRDefault="0025709E" w:rsidP="0025709E">
      <w:pPr>
        <w:spacing w:after="60"/>
        <w:rPr>
          <w:sz w:val="22"/>
          <w:szCs w:val="22"/>
          <w:rtl/>
        </w:rPr>
      </w:pPr>
      <w:r w:rsidRPr="00456380">
        <w:rPr>
          <w:sz w:val="22"/>
          <w:szCs w:val="22"/>
          <w:rtl/>
        </w:rPr>
        <w:t xml:space="preserve">מערכת ביקורת </w:t>
      </w:r>
      <w:r>
        <w:rPr>
          <w:rFonts w:hint="cs"/>
          <w:sz w:val="22"/>
          <w:szCs w:val="22"/>
          <w:rtl/>
        </w:rPr>
        <w:t xml:space="preserve">(מבקר/מבקרת העירייה) </w:t>
      </w:r>
      <w:r w:rsidRPr="00456380">
        <w:rPr>
          <w:sz w:val="22"/>
          <w:szCs w:val="22"/>
          <w:rtl/>
        </w:rPr>
        <w:t>ומערכת של ביקורת על הביקורת</w:t>
      </w:r>
      <w:r>
        <w:rPr>
          <w:rFonts w:hint="cs"/>
          <w:sz w:val="22"/>
          <w:szCs w:val="22"/>
          <w:rtl/>
        </w:rPr>
        <w:t xml:space="preserve"> (ועדת הביקורת של העירייה, ראש העיר ומועצת העיר).</w:t>
      </w:r>
      <w:r w:rsidRPr="00456380">
        <w:rPr>
          <w:sz w:val="22"/>
          <w:szCs w:val="22"/>
          <w:rtl/>
        </w:rPr>
        <w:t xml:space="preserve"> שני שלבים. </w:t>
      </w:r>
    </w:p>
    <w:p w:rsidR="0025709E" w:rsidRDefault="0025709E" w:rsidP="0025709E">
      <w:pPr>
        <w:spacing w:after="60"/>
        <w:rPr>
          <w:sz w:val="22"/>
          <w:szCs w:val="22"/>
          <w:rtl/>
        </w:rPr>
      </w:pPr>
      <w:r w:rsidRPr="00456380">
        <w:rPr>
          <w:sz w:val="22"/>
          <w:szCs w:val="22"/>
          <w:rtl/>
        </w:rPr>
        <w:t>הדין קובע שני מסלולים ביחס לגיבוש של דוח ביקורת</w:t>
      </w:r>
      <w:r>
        <w:rPr>
          <w:rFonts w:hint="cs"/>
          <w:sz w:val="22"/>
          <w:szCs w:val="22"/>
          <w:rtl/>
        </w:rPr>
        <w:t xml:space="preserve"> של מבקרת העירייה:</w:t>
      </w:r>
      <w:r w:rsidRPr="00456380">
        <w:rPr>
          <w:sz w:val="22"/>
          <w:szCs w:val="22"/>
          <w:rtl/>
        </w:rPr>
        <w:t xml:space="preserve"> מסלול מהיר, דחוף, חירום</w:t>
      </w:r>
      <w:r>
        <w:rPr>
          <w:rFonts w:hint="cs"/>
          <w:sz w:val="22"/>
          <w:szCs w:val="22"/>
          <w:rtl/>
        </w:rPr>
        <w:t>;</w:t>
      </w:r>
      <w:r w:rsidRPr="00456380">
        <w:rPr>
          <w:sz w:val="22"/>
          <w:szCs w:val="22"/>
          <w:rtl/>
        </w:rPr>
        <w:t xml:space="preserve"> והמסלול הרגיל של איך הדברים צריכים לפעול באופן בסיסי. </w:t>
      </w:r>
      <w:r>
        <w:rPr>
          <w:rFonts w:hint="cs"/>
          <w:sz w:val="22"/>
          <w:szCs w:val="22"/>
          <w:rtl/>
        </w:rPr>
        <w:t xml:space="preserve">המסלול הרגיל, </w:t>
      </w:r>
      <w:r w:rsidRPr="00456380">
        <w:rPr>
          <w:sz w:val="22"/>
          <w:szCs w:val="22"/>
          <w:rtl/>
        </w:rPr>
        <w:t>הבסיסי</w:t>
      </w:r>
      <w:r>
        <w:rPr>
          <w:rFonts w:hint="cs"/>
          <w:sz w:val="22"/>
          <w:szCs w:val="22"/>
          <w:rtl/>
        </w:rPr>
        <w:t>,</w:t>
      </w:r>
      <w:r w:rsidRPr="00456380">
        <w:rPr>
          <w:sz w:val="22"/>
          <w:szCs w:val="22"/>
          <w:rtl/>
        </w:rPr>
        <w:t xml:space="preserve"> מכיל את שני השלבים </w:t>
      </w:r>
      <w:r>
        <w:rPr>
          <w:rFonts w:hint="cs"/>
          <w:sz w:val="22"/>
          <w:szCs w:val="22"/>
          <w:rtl/>
        </w:rPr>
        <w:t xml:space="preserve">(כלומר </w:t>
      </w:r>
      <w:r w:rsidRPr="00456380">
        <w:rPr>
          <w:sz w:val="22"/>
          <w:szCs w:val="22"/>
          <w:rtl/>
        </w:rPr>
        <w:t>ביקורת וביקורת על הביקורת</w:t>
      </w:r>
      <w:r>
        <w:rPr>
          <w:rFonts w:hint="cs"/>
          <w:sz w:val="22"/>
          <w:szCs w:val="22"/>
          <w:rtl/>
        </w:rPr>
        <w:t>)</w:t>
      </w:r>
      <w:r w:rsidRPr="00456380">
        <w:rPr>
          <w:sz w:val="22"/>
          <w:szCs w:val="22"/>
          <w:rtl/>
        </w:rPr>
        <w:t xml:space="preserve">. הדוח </w:t>
      </w:r>
      <w:r>
        <w:rPr>
          <w:rFonts w:hint="cs"/>
          <w:sz w:val="22"/>
          <w:szCs w:val="22"/>
          <w:rtl/>
        </w:rPr>
        <w:t xml:space="preserve">הראשוני </w:t>
      </w:r>
      <w:r w:rsidRPr="00456380">
        <w:rPr>
          <w:sz w:val="22"/>
          <w:szCs w:val="22"/>
          <w:rtl/>
        </w:rPr>
        <w:t>צריך להיות מוגש לוועדת הביקורת ולראש העירייה ואז צריך להגי</w:t>
      </w:r>
      <w:r>
        <w:rPr>
          <w:rFonts w:hint="cs"/>
          <w:sz w:val="22"/>
          <w:szCs w:val="22"/>
          <w:rtl/>
        </w:rPr>
        <w:t>ע</w:t>
      </w:r>
      <w:r w:rsidRPr="00456380">
        <w:rPr>
          <w:sz w:val="22"/>
          <w:szCs w:val="22"/>
          <w:rtl/>
        </w:rPr>
        <w:t xml:space="preserve"> למועצת העיר לאישור.  בפועל, ל</w:t>
      </w:r>
      <w:r>
        <w:rPr>
          <w:rFonts w:hint="cs"/>
          <w:sz w:val="22"/>
          <w:szCs w:val="22"/>
          <w:rtl/>
        </w:rPr>
        <w:t>גורם המבוקר,</w:t>
      </w:r>
      <w:r w:rsidRPr="00456380">
        <w:rPr>
          <w:sz w:val="22"/>
          <w:szCs w:val="22"/>
          <w:rtl/>
        </w:rPr>
        <w:t xml:space="preserve"> </w:t>
      </w:r>
      <w:r>
        <w:rPr>
          <w:rFonts w:hint="cs"/>
          <w:sz w:val="22"/>
          <w:szCs w:val="22"/>
          <w:rtl/>
        </w:rPr>
        <w:t xml:space="preserve">כאן חברת מועצת העיר רוני אלוני, </w:t>
      </w:r>
      <w:r w:rsidRPr="00456380">
        <w:rPr>
          <w:sz w:val="22"/>
          <w:szCs w:val="22"/>
          <w:rtl/>
        </w:rPr>
        <w:t>יש זכות טיעון בשתי המערכות</w:t>
      </w:r>
      <w:r>
        <w:rPr>
          <w:rFonts w:hint="cs"/>
          <w:sz w:val="22"/>
          <w:szCs w:val="22"/>
          <w:rtl/>
        </w:rPr>
        <w:t>,</w:t>
      </w:r>
      <w:r w:rsidRPr="00456380">
        <w:rPr>
          <w:sz w:val="22"/>
          <w:szCs w:val="22"/>
          <w:rtl/>
        </w:rPr>
        <w:t xml:space="preserve"> ואם פונים למסלול המהיר אז</w:t>
      </w:r>
      <w:r>
        <w:rPr>
          <w:rFonts w:hint="cs"/>
          <w:sz w:val="22"/>
          <w:szCs w:val="22"/>
          <w:rtl/>
        </w:rPr>
        <w:t>י</w:t>
      </w:r>
      <w:r w:rsidRPr="00456380">
        <w:rPr>
          <w:sz w:val="22"/>
          <w:szCs w:val="22"/>
          <w:rtl/>
        </w:rPr>
        <w:t xml:space="preserve"> מ</w:t>
      </w:r>
      <w:r>
        <w:rPr>
          <w:rFonts w:hint="cs"/>
          <w:sz w:val="22"/>
          <w:szCs w:val="22"/>
          <w:rtl/>
        </w:rPr>
        <w:t>שמיטים</w:t>
      </w:r>
      <w:r w:rsidRPr="00456380">
        <w:rPr>
          <w:sz w:val="22"/>
          <w:szCs w:val="22"/>
          <w:rtl/>
        </w:rPr>
        <w:t xml:space="preserve"> מרכיבים מסוימים</w:t>
      </w:r>
      <w:r>
        <w:rPr>
          <w:rFonts w:hint="cs"/>
          <w:sz w:val="22"/>
          <w:szCs w:val="22"/>
          <w:rtl/>
        </w:rPr>
        <w:t xml:space="preserve"> של הגנה עליה וליבון הטענות כלפיה</w:t>
      </w:r>
      <w:r w:rsidRPr="00456380">
        <w:rPr>
          <w:sz w:val="22"/>
          <w:szCs w:val="22"/>
          <w:rtl/>
        </w:rPr>
        <w:t>, כולל זכות הטיעון הנוספת שיש בפני אותם גורמים. ביהמ"ש מצא פגם בזה ש</w:t>
      </w:r>
      <w:r>
        <w:rPr>
          <w:rFonts w:hint="cs"/>
          <w:sz w:val="22"/>
          <w:szCs w:val="22"/>
          <w:rtl/>
        </w:rPr>
        <w:t>כאן הופעל 'מסלול ה</w:t>
      </w:r>
      <w:r w:rsidRPr="00456380">
        <w:rPr>
          <w:sz w:val="22"/>
          <w:szCs w:val="22"/>
          <w:rtl/>
        </w:rPr>
        <w:t>חירום</w:t>
      </w:r>
      <w:r>
        <w:rPr>
          <w:rFonts w:hint="cs"/>
          <w:sz w:val="22"/>
          <w:szCs w:val="22"/>
          <w:rtl/>
        </w:rPr>
        <w:t>'</w:t>
      </w:r>
      <w:r w:rsidRPr="00456380">
        <w:rPr>
          <w:sz w:val="22"/>
          <w:szCs w:val="22"/>
          <w:rtl/>
        </w:rPr>
        <w:t xml:space="preserve">. </w:t>
      </w:r>
      <w:r>
        <w:rPr>
          <w:rFonts w:hint="cs"/>
          <w:sz w:val="22"/>
          <w:szCs w:val="22"/>
          <w:rtl/>
        </w:rPr>
        <w:t>[אך הוא הפעיל כלפיו את דוקטרינת "הבטלות היחסית" ולא ביטל אותו לגמרי].</w:t>
      </w:r>
    </w:p>
    <w:p w:rsidR="0025709E" w:rsidRPr="00456380" w:rsidRDefault="0025709E" w:rsidP="0025709E">
      <w:pPr>
        <w:spacing w:after="60"/>
        <w:rPr>
          <w:sz w:val="22"/>
          <w:szCs w:val="22"/>
          <w:rtl/>
        </w:rPr>
      </w:pPr>
      <w:r>
        <w:rPr>
          <w:rFonts w:hint="cs"/>
          <w:sz w:val="22"/>
          <w:szCs w:val="22"/>
          <w:rtl/>
        </w:rPr>
        <w:t>במקביל, מופיעה בפסק הדין נקודה משמעותית נוספת</w:t>
      </w:r>
      <w:r w:rsidRPr="00456380">
        <w:rPr>
          <w:sz w:val="22"/>
          <w:szCs w:val="22"/>
          <w:rtl/>
        </w:rPr>
        <w:t>.</w:t>
      </w:r>
      <w:r>
        <w:rPr>
          <w:rFonts w:hint="cs"/>
          <w:b/>
          <w:bCs/>
          <w:sz w:val="22"/>
          <w:szCs w:val="22"/>
          <w:rtl/>
        </w:rPr>
        <w:t xml:space="preserve"> </w:t>
      </w:r>
      <w:r w:rsidRPr="00456380">
        <w:rPr>
          <w:b/>
          <w:bCs/>
          <w:sz w:val="22"/>
          <w:szCs w:val="22"/>
          <w:rtl/>
        </w:rPr>
        <w:t>זכות הטיעון נקשרת בזכות העיון</w:t>
      </w:r>
      <w:r>
        <w:rPr>
          <w:rFonts w:hint="cs"/>
          <w:b/>
          <w:bCs/>
          <w:sz w:val="22"/>
          <w:szCs w:val="22"/>
          <w:rtl/>
        </w:rPr>
        <w:t>. משמע,</w:t>
      </w:r>
      <w:r w:rsidRPr="00456380">
        <w:rPr>
          <w:b/>
          <w:bCs/>
          <w:sz w:val="22"/>
          <w:szCs w:val="22"/>
          <w:rtl/>
        </w:rPr>
        <w:t xml:space="preserve"> עיון בתשתית הראייתית</w:t>
      </w:r>
      <w:r w:rsidRPr="00456380">
        <w:rPr>
          <w:sz w:val="22"/>
          <w:szCs w:val="22"/>
          <w:rtl/>
        </w:rPr>
        <w:t xml:space="preserve">, </w:t>
      </w:r>
      <w:r>
        <w:rPr>
          <w:rFonts w:hint="cs"/>
          <w:sz w:val="22"/>
          <w:szCs w:val="22"/>
          <w:rtl/>
        </w:rPr>
        <w:t xml:space="preserve">כלומר </w:t>
      </w:r>
      <w:r w:rsidRPr="00456380">
        <w:rPr>
          <w:sz w:val="22"/>
          <w:szCs w:val="22"/>
          <w:rtl/>
        </w:rPr>
        <w:t xml:space="preserve">בטענות </w:t>
      </w:r>
      <w:r>
        <w:rPr>
          <w:rFonts w:hint="cs"/>
          <w:sz w:val="22"/>
          <w:szCs w:val="22"/>
          <w:rtl/>
        </w:rPr>
        <w:t xml:space="preserve">ובבסיס העובדתי של הטענות </w:t>
      </w:r>
      <w:r w:rsidRPr="00456380">
        <w:rPr>
          <w:sz w:val="22"/>
          <w:szCs w:val="22"/>
          <w:rtl/>
        </w:rPr>
        <w:t xml:space="preserve">שיש כנגד אדם. </w:t>
      </w:r>
      <w:r>
        <w:rPr>
          <w:rFonts w:hint="cs"/>
          <w:sz w:val="22"/>
          <w:szCs w:val="22"/>
          <w:rtl/>
        </w:rPr>
        <w:t xml:space="preserve">במילים אחרות, </w:t>
      </w:r>
      <w:r w:rsidRPr="00456380">
        <w:rPr>
          <w:sz w:val="22"/>
          <w:szCs w:val="22"/>
          <w:rtl/>
        </w:rPr>
        <w:t xml:space="preserve">כדי שיהיה לאדם שימוע הוגן </w:t>
      </w:r>
      <w:r>
        <w:rPr>
          <w:rFonts w:hint="cs"/>
          <w:sz w:val="22"/>
          <w:szCs w:val="22"/>
          <w:rtl/>
        </w:rPr>
        <w:t xml:space="preserve">הוא </w:t>
      </w:r>
      <w:r w:rsidRPr="00456380">
        <w:rPr>
          <w:sz w:val="22"/>
          <w:szCs w:val="22"/>
          <w:rtl/>
        </w:rPr>
        <w:t>צריך להבין בפני איזה טענות הוא עומד.</w:t>
      </w:r>
    </w:p>
    <w:p w:rsidR="0025709E" w:rsidRDefault="0025709E" w:rsidP="0025709E">
      <w:pPr>
        <w:spacing w:after="60"/>
        <w:rPr>
          <w:sz w:val="22"/>
          <w:szCs w:val="22"/>
          <w:rtl/>
        </w:rPr>
      </w:pPr>
      <w:r w:rsidRPr="00456380">
        <w:rPr>
          <w:sz w:val="22"/>
          <w:szCs w:val="22"/>
          <w:rtl/>
        </w:rPr>
        <w:t xml:space="preserve">המבקרת של העירייה אומרת שלא חשפה את כל המידע כי זה היה מסכן את </w:t>
      </w:r>
      <w:r w:rsidRPr="00456380">
        <w:rPr>
          <w:sz w:val="22"/>
          <w:szCs w:val="22"/>
          <w:u w:val="single"/>
          <w:rtl/>
        </w:rPr>
        <w:t>יעילות העבודה ומקורות מידע.</w:t>
      </w:r>
      <w:r w:rsidRPr="00456380">
        <w:rPr>
          <w:sz w:val="22"/>
          <w:szCs w:val="22"/>
          <w:rtl/>
        </w:rPr>
        <w:t xml:space="preserve">  על כף המאזניים </w:t>
      </w:r>
      <w:r>
        <w:rPr>
          <w:rFonts w:hint="cs"/>
          <w:sz w:val="22"/>
          <w:szCs w:val="22"/>
          <w:rtl/>
        </w:rPr>
        <w:t xml:space="preserve">לכאורה </w:t>
      </w:r>
      <w:r w:rsidRPr="00456380">
        <w:rPr>
          <w:sz w:val="22"/>
          <w:szCs w:val="22"/>
          <w:rtl/>
        </w:rPr>
        <w:t xml:space="preserve">פגיעה משמעותית </w:t>
      </w:r>
      <w:r>
        <w:rPr>
          <w:rFonts w:hint="cs"/>
          <w:sz w:val="22"/>
          <w:szCs w:val="22"/>
          <w:rtl/>
        </w:rPr>
        <w:t>באפקטיביות הביקורת אל מול הפגיעה באדם מושא</w:t>
      </w:r>
      <w:r w:rsidRPr="00456380">
        <w:rPr>
          <w:sz w:val="22"/>
          <w:szCs w:val="22"/>
          <w:rtl/>
        </w:rPr>
        <w:t xml:space="preserve"> הביקורת. </w:t>
      </w:r>
      <w:r>
        <w:rPr>
          <w:rFonts w:hint="cs"/>
          <w:sz w:val="22"/>
          <w:szCs w:val="22"/>
          <w:rtl/>
        </w:rPr>
        <w:t xml:space="preserve">(ראו גם </w:t>
      </w:r>
      <w:r>
        <w:rPr>
          <w:rFonts w:hint="cs"/>
          <w:b/>
          <w:bCs/>
          <w:sz w:val="22"/>
          <w:szCs w:val="22"/>
          <w:rtl/>
        </w:rPr>
        <w:t>אוניברסיטת</w:t>
      </w:r>
      <w:r w:rsidRPr="003F338E">
        <w:rPr>
          <w:rFonts w:hint="cs"/>
          <w:b/>
          <w:bCs/>
          <w:sz w:val="22"/>
          <w:szCs w:val="22"/>
          <w:rtl/>
        </w:rPr>
        <w:t xml:space="preserve"> חיפה נ' עוז</w:t>
      </w:r>
      <w:r>
        <w:rPr>
          <w:rFonts w:hint="cs"/>
          <w:sz w:val="22"/>
          <w:szCs w:val="22"/>
          <w:rtl/>
        </w:rPr>
        <w:t>)</w:t>
      </w:r>
      <w:r w:rsidRPr="00456380">
        <w:rPr>
          <w:sz w:val="22"/>
          <w:szCs w:val="22"/>
          <w:rtl/>
        </w:rPr>
        <w:t>. כש</w:t>
      </w:r>
      <w:r>
        <w:rPr>
          <w:rFonts w:hint="cs"/>
          <w:sz w:val="22"/>
          <w:szCs w:val="22"/>
          <w:rtl/>
        </w:rPr>
        <w:t>צפויה פגיעה משמעותית במבוקר,</w:t>
      </w:r>
      <w:r w:rsidRPr="00456380">
        <w:rPr>
          <w:sz w:val="22"/>
          <w:szCs w:val="22"/>
          <w:rtl/>
        </w:rPr>
        <w:t xml:space="preserve"> זכות הטיעון היא רחבה</w:t>
      </w:r>
      <w:r>
        <w:rPr>
          <w:rFonts w:hint="cs"/>
          <w:sz w:val="22"/>
          <w:szCs w:val="22"/>
          <w:rtl/>
        </w:rPr>
        <w:t>.</w:t>
      </w:r>
    </w:p>
    <w:p w:rsidR="0025709E" w:rsidRDefault="0025709E" w:rsidP="0025709E">
      <w:pPr>
        <w:spacing w:after="60"/>
        <w:rPr>
          <w:sz w:val="22"/>
          <w:szCs w:val="22"/>
          <w:rtl/>
        </w:rPr>
      </w:pPr>
      <w:r>
        <w:rPr>
          <w:rFonts w:hint="cs"/>
          <w:sz w:val="22"/>
          <w:szCs w:val="22"/>
          <w:rtl/>
        </w:rPr>
        <w:t xml:space="preserve">התעוררות הצורך באיזון בין האינטרסים המתנגשים מפנה אותנו לשאול </w:t>
      </w:r>
      <w:r w:rsidRPr="00456380">
        <w:rPr>
          <w:sz w:val="22"/>
          <w:szCs w:val="22"/>
          <w:rtl/>
        </w:rPr>
        <w:t>שאלות</w:t>
      </w:r>
      <w:r>
        <w:rPr>
          <w:rFonts w:hint="cs"/>
          <w:sz w:val="22"/>
          <w:szCs w:val="22"/>
          <w:rtl/>
        </w:rPr>
        <w:t>, שאלות שנוגעות למשתנים שהוזכרו לעיל, בפתח הדפים. למשל,</w:t>
      </w:r>
      <w:r w:rsidRPr="00456380">
        <w:rPr>
          <w:sz w:val="22"/>
          <w:szCs w:val="22"/>
          <w:rtl/>
        </w:rPr>
        <w:t xml:space="preserve"> האם זו </w:t>
      </w:r>
      <w:r>
        <w:rPr>
          <w:rFonts w:hint="cs"/>
          <w:sz w:val="22"/>
          <w:szCs w:val="22"/>
          <w:rtl/>
        </w:rPr>
        <w:t xml:space="preserve">(החלטת/פעולת הרשות) היא </w:t>
      </w:r>
      <w:r w:rsidRPr="00456380">
        <w:rPr>
          <w:sz w:val="22"/>
          <w:szCs w:val="22"/>
          <w:rtl/>
        </w:rPr>
        <w:t>רק החלטת ביניים</w:t>
      </w:r>
      <w:r>
        <w:rPr>
          <w:rFonts w:hint="cs"/>
          <w:sz w:val="22"/>
          <w:szCs w:val="22"/>
          <w:rtl/>
        </w:rPr>
        <w:t xml:space="preserve"> (</w:t>
      </w:r>
      <w:r w:rsidRPr="00456380">
        <w:rPr>
          <w:sz w:val="22"/>
          <w:szCs w:val="22"/>
          <w:rtl/>
        </w:rPr>
        <w:t xml:space="preserve">כשבהמשך </w:t>
      </w:r>
      <w:r>
        <w:rPr>
          <w:rFonts w:hint="cs"/>
          <w:sz w:val="22"/>
          <w:szCs w:val="22"/>
          <w:rtl/>
        </w:rPr>
        <w:t>ה</w:t>
      </w:r>
      <w:r w:rsidRPr="00456380">
        <w:rPr>
          <w:sz w:val="22"/>
          <w:szCs w:val="22"/>
          <w:rtl/>
        </w:rPr>
        <w:t xml:space="preserve">דברים יכולים </w:t>
      </w:r>
      <w:r>
        <w:rPr>
          <w:rFonts w:hint="cs"/>
          <w:sz w:val="22"/>
          <w:szCs w:val="22"/>
          <w:rtl/>
        </w:rPr>
        <w:t>להתלבן ו</w:t>
      </w:r>
      <w:r w:rsidRPr="00456380">
        <w:rPr>
          <w:sz w:val="22"/>
          <w:szCs w:val="22"/>
          <w:rtl/>
        </w:rPr>
        <w:t>להתבהר ו</w:t>
      </w:r>
      <w:r>
        <w:rPr>
          <w:rFonts w:hint="cs"/>
          <w:sz w:val="22"/>
          <w:szCs w:val="22"/>
          <w:rtl/>
        </w:rPr>
        <w:t>הפגיעה תרוכך או תימנע)?</w:t>
      </w:r>
      <w:r w:rsidRPr="00456380">
        <w:rPr>
          <w:sz w:val="22"/>
          <w:szCs w:val="22"/>
          <w:rtl/>
        </w:rPr>
        <w:t xml:space="preserve"> נקודה </w:t>
      </w:r>
      <w:r>
        <w:rPr>
          <w:rFonts w:hint="cs"/>
          <w:sz w:val="22"/>
          <w:szCs w:val="22"/>
          <w:rtl/>
        </w:rPr>
        <w:t>נוספת נוגעת ל</w:t>
      </w:r>
      <w:r w:rsidRPr="00456380">
        <w:rPr>
          <w:sz w:val="22"/>
          <w:szCs w:val="22"/>
          <w:rtl/>
        </w:rPr>
        <w:t>הפעלה של מידתיות</w:t>
      </w:r>
      <w:r>
        <w:rPr>
          <w:rFonts w:hint="cs"/>
          <w:sz w:val="22"/>
          <w:szCs w:val="22"/>
          <w:rtl/>
        </w:rPr>
        <w:t xml:space="preserve">: יש חובה (גם אם לא מוחלטת) </w:t>
      </w:r>
      <w:r w:rsidRPr="00456380">
        <w:rPr>
          <w:sz w:val="22"/>
          <w:szCs w:val="22"/>
          <w:rtl/>
        </w:rPr>
        <w:t>לחשוף את המבוקר למידע שנגדו</w:t>
      </w:r>
      <w:r>
        <w:rPr>
          <w:rFonts w:hint="cs"/>
          <w:sz w:val="22"/>
          <w:szCs w:val="22"/>
          <w:rtl/>
        </w:rPr>
        <w:t>; במקביל, אם קריטי ממש להסתיר את זהות מוסרי המידע, כי אז הדרך המידתית יותר היא לחשוף את המידע תוך השמטת</w:t>
      </w:r>
      <w:r w:rsidRPr="00456380">
        <w:rPr>
          <w:sz w:val="22"/>
          <w:szCs w:val="22"/>
          <w:rtl/>
        </w:rPr>
        <w:t xml:space="preserve"> פרטים מזהים ביחס ל</w:t>
      </w:r>
      <w:r>
        <w:rPr>
          <w:rFonts w:hint="cs"/>
          <w:sz w:val="22"/>
          <w:szCs w:val="22"/>
          <w:rtl/>
        </w:rPr>
        <w:t>מוסרי</w:t>
      </w:r>
      <w:r w:rsidRPr="00456380">
        <w:rPr>
          <w:sz w:val="22"/>
          <w:szCs w:val="22"/>
          <w:rtl/>
        </w:rPr>
        <w:t xml:space="preserve"> המידע.</w:t>
      </w:r>
    </w:p>
    <w:p w:rsidR="0025709E" w:rsidRDefault="0025709E" w:rsidP="0025709E">
      <w:pPr>
        <w:spacing w:after="60"/>
        <w:ind w:left="720"/>
        <w:rPr>
          <w:sz w:val="22"/>
          <w:szCs w:val="22"/>
          <w:rtl/>
        </w:rPr>
      </w:pPr>
      <w:r>
        <w:rPr>
          <w:rFonts w:hint="cs"/>
          <w:sz w:val="22"/>
          <w:szCs w:val="22"/>
          <w:rtl/>
        </w:rPr>
        <w:t xml:space="preserve">במקביל, עולות בפס"ד </w:t>
      </w:r>
      <w:r w:rsidRPr="009104D4">
        <w:rPr>
          <w:rFonts w:hint="cs"/>
          <w:b/>
          <w:bCs/>
          <w:sz w:val="22"/>
          <w:szCs w:val="22"/>
          <w:u w:val="single"/>
          <w:rtl/>
        </w:rPr>
        <w:t>אוניברסיטת חיפה נ' עוז</w:t>
      </w:r>
      <w:r>
        <w:rPr>
          <w:rFonts w:hint="cs"/>
          <w:sz w:val="22"/>
          <w:szCs w:val="22"/>
          <w:rtl/>
        </w:rPr>
        <w:t xml:space="preserve"> שתי נקודות מרכזיות נוספות:</w:t>
      </w:r>
    </w:p>
    <w:p w:rsidR="0025709E" w:rsidRDefault="0025709E" w:rsidP="0025709E">
      <w:pPr>
        <w:spacing w:after="60"/>
        <w:ind w:left="720"/>
        <w:rPr>
          <w:sz w:val="22"/>
          <w:szCs w:val="22"/>
          <w:rtl/>
        </w:rPr>
      </w:pPr>
      <w:r>
        <w:rPr>
          <w:rFonts w:hint="cs"/>
          <w:sz w:val="22"/>
          <w:szCs w:val="22"/>
          <w:rtl/>
        </w:rPr>
        <w:t xml:space="preserve">א. האם לגורם השלטוני (או ל"גוף דו-מהותי", דוגמת האוניברסיטה) יש כלל </w:t>
      </w:r>
      <w:r w:rsidRPr="007C2462">
        <w:rPr>
          <w:rFonts w:hint="cs"/>
          <w:b/>
          <w:bCs/>
          <w:sz w:val="22"/>
          <w:szCs w:val="22"/>
          <w:rtl/>
        </w:rPr>
        <w:t>סמכות</w:t>
      </w:r>
      <w:r>
        <w:rPr>
          <w:rFonts w:hint="cs"/>
          <w:sz w:val="22"/>
          <w:szCs w:val="22"/>
          <w:rtl/>
        </w:rPr>
        <w:t xml:space="preserve"> לחסות את המידע?</w:t>
      </w:r>
    </w:p>
    <w:p w:rsidR="0025709E" w:rsidRDefault="0025709E" w:rsidP="0025709E">
      <w:pPr>
        <w:spacing w:after="60"/>
        <w:ind w:left="720"/>
        <w:rPr>
          <w:sz w:val="22"/>
          <w:szCs w:val="22"/>
          <w:rtl/>
        </w:rPr>
      </w:pPr>
      <w:r>
        <w:rPr>
          <w:rFonts w:hint="cs"/>
          <w:sz w:val="22"/>
          <w:szCs w:val="22"/>
          <w:rtl/>
        </w:rPr>
        <w:t xml:space="preserve">ב. האם יש אכן </w:t>
      </w:r>
      <w:r w:rsidRPr="001E0B1C">
        <w:rPr>
          <w:rFonts w:hint="cs"/>
          <w:b/>
          <w:bCs/>
          <w:sz w:val="22"/>
          <w:szCs w:val="22"/>
          <w:rtl/>
        </w:rPr>
        <w:t>הצדקה עניינית</w:t>
      </w:r>
      <w:r>
        <w:rPr>
          <w:rFonts w:hint="cs"/>
          <w:sz w:val="22"/>
          <w:szCs w:val="22"/>
          <w:rtl/>
        </w:rPr>
        <w:t xml:space="preserve"> להשמטת פרט המידע המושמט? ראו למשל את הקטע הבא בפסק הדין?</w:t>
      </w:r>
    </w:p>
    <w:p w:rsidR="0025709E" w:rsidRPr="00ED3930" w:rsidRDefault="0025709E" w:rsidP="0025709E">
      <w:pPr>
        <w:spacing w:after="60"/>
        <w:ind w:left="1440"/>
        <w:rPr>
          <w:sz w:val="22"/>
          <w:szCs w:val="22"/>
          <w:rtl/>
        </w:rPr>
      </w:pPr>
      <w:r>
        <w:rPr>
          <w:rFonts w:ascii="Arial TUR" w:hAnsi="Arial TUR" w:cs="FrankRuehl" w:hint="cs"/>
          <w:spacing w:val="10"/>
          <w:sz w:val="22"/>
          <w:szCs w:val="22"/>
          <w:highlight w:val="yellow"/>
          <w:rtl/>
        </w:rPr>
        <w:t xml:space="preserve">21. ... </w:t>
      </w:r>
      <w:r w:rsidRPr="00ED3930">
        <w:rPr>
          <w:rFonts w:ascii="Arial TUR" w:hAnsi="Arial TUR" w:cs="FrankRuehl" w:hint="cs"/>
          <w:spacing w:val="10"/>
          <w:sz w:val="22"/>
          <w:szCs w:val="22"/>
          <w:highlight w:val="yellow"/>
          <w:rtl/>
        </w:rPr>
        <w:t xml:space="preserve">ואכן, הנימוק המרכזי שחזר ונשנה מפי העותרת לעניין הצורך לחסות את התלונות ואת הפרוטוקולים אינו מבוסס על החשש כי ייחשף מידע בעניין פרטי כלשהו הנוגע למתלוננים ולעדים אלא על החשש שאם יזכו המשיבים בהליך המשפטי שהגישו וישובו לעבודתם בחוג הם עלולים להתנכל להם כמי שהתלוננו והעידו נגדם. העותרת ביקשה ללמוד בעניין זה היקש מן החיסיון שהוכר בדין הישראלי באשר לזהותם של </w:t>
      </w:r>
      <w:r w:rsidRPr="00ED3930">
        <w:rPr>
          <w:rFonts w:ascii="Arial TUR" w:hAnsi="Arial TUR" w:cs="FrankRuehl" w:hint="cs"/>
          <w:spacing w:val="10"/>
          <w:sz w:val="22"/>
          <w:szCs w:val="22"/>
          <w:rtl/>
        </w:rPr>
        <w:t xml:space="preserve">מודיעים משטרתיים </w:t>
      </w:r>
      <w:r w:rsidRPr="00ED3930">
        <w:rPr>
          <w:rFonts w:ascii="Arial TUR" w:hAnsi="Arial TUR" w:cs="FrankRuehl" w:hint="cs"/>
          <w:spacing w:val="10"/>
          <w:sz w:val="22"/>
          <w:szCs w:val="22"/>
          <w:highlight w:val="yellow"/>
          <w:rtl/>
        </w:rPr>
        <w:t>ובאשר למידע הנמסר על ידם. אין הנדון דומה לראייה. ההצדקה לחיסיון שהוכר לגבי מודיעים משטרתיים אינה נעוצה בזכות לפרטיות. על הרציונאל שביסוד חיסיון זה עמד בית המשפט ב</w:t>
      </w:r>
      <w:r w:rsidRPr="00ED3930">
        <w:rPr>
          <w:rFonts w:cs="FrankRuehl" w:hint="cs"/>
          <w:spacing w:val="10"/>
          <w:sz w:val="22"/>
          <w:szCs w:val="22"/>
          <w:highlight w:val="yellow"/>
          <w:rtl/>
        </w:rPr>
        <w:t xml:space="preserve">ע"א 2629/98 </w:t>
      </w:r>
      <w:r w:rsidRPr="00ED3930">
        <w:rPr>
          <w:rFonts w:cs="Miriam" w:hint="cs"/>
          <w:sz w:val="22"/>
          <w:szCs w:val="22"/>
          <w:highlight w:val="yellow"/>
          <w:rtl/>
        </w:rPr>
        <w:t>השר לביטחון פנים נ' וולפא</w:t>
      </w:r>
      <w:r w:rsidRPr="00ED3930">
        <w:rPr>
          <w:rFonts w:cs="FrankRuehl" w:hint="cs"/>
          <w:spacing w:val="10"/>
          <w:sz w:val="22"/>
          <w:szCs w:val="22"/>
          <w:highlight w:val="yellow"/>
          <w:rtl/>
        </w:rPr>
        <w:t xml:space="preserve">, פ"ד נו(1) 786, 795 (2001)), בציינו "הגיונו של האינטרס בדבר חיסוי זהותם של מודיעים נובע בעיקר משניים אלה: </w:t>
      </w:r>
      <w:r w:rsidRPr="00ED3930">
        <w:rPr>
          <w:rFonts w:cs="Miriam" w:hint="cs"/>
          <w:sz w:val="22"/>
          <w:szCs w:val="22"/>
          <w:highlight w:val="yellow"/>
          <w:rtl/>
        </w:rPr>
        <w:t>ראשית</w:t>
      </w:r>
      <w:r w:rsidRPr="00ED3930">
        <w:rPr>
          <w:rFonts w:cs="FrankRuehl" w:hint="cs"/>
          <w:spacing w:val="10"/>
          <w:sz w:val="22"/>
          <w:szCs w:val="22"/>
          <w:highlight w:val="yellow"/>
          <w:rtl/>
        </w:rPr>
        <w:t xml:space="preserve">, הגנה על שלומו וביטחונו של המודיע; </w:t>
      </w:r>
      <w:r w:rsidRPr="00ED3930">
        <w:rPr>
          <w:rFonts w:cs="Miriam" w:hint="cs"/>
          <w:sz w:val="22"/>
          <w:szCs w:val="22"/>
          <w:highlight w:val="yellow"/>
          <w:rtl/>
        </w:rPr>
        <w:t>שנית</w:t>
      </w:r>
      <w:r w:rsidRPr="00ED3930">
        <w:rPr>
          <w:rFonts w:cs="FrankRuehl" w:hint="cs"/>
          <w:spacing w:val="10"/>
          <w:sz w:val="22"/>
          <w:szCs w:val="22"/>
          <w:highlight w:val="yellow"/>
          <w:rtl/>
        </w:rPr>
        <w:t xml:space="preserve">, עידוד מסירת מידע לרשויות החקירה - מידע שלא היה נמסר אלמלא הייתה נותרת זהות המודיע חסויה" </w:t>
      </w:r>
      <w:r>
        <w:rPr>
          <w:rFonts w:cs="FrankRuehl" w:hint="cs"/>
          <w:spacing w:val="10"/>
          <w:sz w:val="22"/>
          <w:szCs w:val="22"/>
          <w:highlight w:val="yellow"/>
          <w:rtl/>
        </w:rPr>
        <w:t>..</w:t>
      </w:r>
      <w:r w:rsidRPr="00ED3930">
        <w:rPr>
          <w:rFonts w:ascii="Arial TUR" w:hAnsi="Arial TUR" w:cs="FrankRuehl" w:hint="cs"/>
          <w:spacing w:val="10"/>
          <w:sz w:val="22"/>
          <w:szCs w:val="22"/>
          <w:highlight w:val="yellow"/>
          <w:rtl/>
        </w:rPr>
        <w:t xml:space="preserve">. </w:t>
      </w:r>
      <w:r w:rsidRPr="00ED3930">
        <w:rPr>
          <w:rFonts w:cs="FrankRuehl" w:hint="cs"/>
          <w:spacing w:val="10"/>
          <w:sz w:val="22"/>
          <w:szCs w:val="22"/>
          <w:highlight w:val="yellow"/>
          <w:rtl/>
        </w:rPr>
        <w:t>בענייננו אין מדובר על סיכון לחייהם של המתלוננים והעדים, רחמנא ליצלן, וכמו כן אין מדובר באינטרס ציבורי ראשון במעלה דוגמת האינטרס לסייע למשטרה בביצוע משימותיה.</w:t>
      </w:r>
      <w:r w:rsidRPr="00ED3930">
        <w:rPr>
          <w:rFonts w:cs="FrankRuehl" w:hint="cs"/>
          <w:spacing w:val="10"/>
          <w:sz w:val="22"/>
          <w:szCs w:val="22"/>
          <w:rtl/>
        </w:rPr>
        <w:t xml:space="preserve"> זאת ועוד, </w:t>
      </w:r>
      <w:r w:rsidRPr="00ED3930">
        <w:rPr>
          <w:rFonts w:cs="FrankRuehl" w:hint="cs"/>
          <w:spacing w:val="10"/>
          <w:sz w:val="22"/>
          <w:szCs w:val="22"/>
          <w:highlight w:val="yellow"/>
          <w:rtl/>
        </w:rPr>
        <w:t xml:space="preserve">מקום שבו נטען לחיסיון של מקורות מידע בהליך משפטי על הטוען לבסס את הטענה  בתעודת חיסיון מתאימה (ראו סעיפים 44 ו-45 לפקודת הראיות אותם הזכרנו לעיל) ותעודה זו עומדת לבחינה שיפוטית במסגרתה עורך בית המשפט את האיזונים הדרושים (ראו ע"פ 1335/91 </w:t>
      </w:r>
      <w:r w:rsidRPr="00ED3930">
        <w:rPr>
          <w:rFonts w:cs="Miriam" w:hint="cs"/>
          <w:sz w:val="22"/>
          <w:szCs w:val="22"/>
          <w:highlight w:val="yellow"/>
          <w:rtl/>
        </w:rPr>
        <w:t>אבו פאדה נ' מדינת ישראל</w:t>
      </w:r>
      <w:r w:rsidRPr="00ED3930">
        <w:rPr>
          <w:rFonts w:cs="FrankRuehl" w:hint="cs"/>
          <w:spacing w:val="10"/>
          <w:sz w:val="22"/>
          <w:szCs w:val="22"/>
          <w:highlight w:val="yellow"/>
          <w:rtl/>
        </w:rPr>
        <w:t>, פ"ד מו(2) 120, 129 (1992))</w:t>
      </w:r>
      <w:r w:rsidRPr="00ED3930">
        <w:rPr>
          <w:rFonts w:cs="FrankRuehl" w:hint="cs"/>
          <w:spacing w:val="10"/>
          <w:sz w:val="22"/>
          <w:szCs w:val="22"/>
          <w:rtl/>
        </w:rPr>
        <w:t xml:space="preserve">. העותרת הפנתה בהקשר זה לפסיקתו של בית המשפט בעניין </w:t>
      </w:r>
      <w:r w:rsidRPr="00ED3930">
        <w:rPr>
          <w:rFonts w:cs="Miriam" w:hint="cs"/>
          <w:sz w:val="22"/>
          <w:szCs w:val="22"/>
          <w:rtl/>
        </w:rPr>
        <w:t>אלוני</w:t>
      </w:r>
      <w:r w:rsidRPr="00ED3930">
        <w:rPr>
          <w:rFonts w:cs="FrankRuehl" w:hint="cs"/>
          <w:spacing w:val="10"/>
          <w:sz w:val="22"/>
          <w:szCs w:val="22"/>
          <w:rtl/>
        </w:rPr>
        <w:t xml:space="preserve">, </w:t>
      </w:r>
      <w:r w:rsidRPr="00ED3930">
        <w:rPr>
          <w:rFonts w:cs="FrankRuehl" w:hint="cs"/>
          <w:spacing w:val="10"/>
          <w:sz w:val="22"/>
          <w:szCs w:val="22"/>
          <w:highlight w:val="yellow"/>
          <w:rtl/>
        </w:rPr>
        <w:t>שם</w:t>
      </w:r>
      <w:r w:rsidRPr="00ED3930">
        <w:rPr>
          <w:rFonts w:cs="Miriam" w:hint="cs"/>
          <w:sz w:val="22"/>
          <w:szCs w:val="22"/>
          <w:highlight w:val="yellow"/>
          <w:rtl/>
        </w:rPr>
        <w:t xml:space="preserve"> </w:t>
      </w:r>
      <w:r w:rsidRPr="00ED3930">
        <w:rPr>
          <w:rFonts w:cs="FrankRuehl" w:hint="cs"/>
          <w:spacing w:val="10"/>
          <w:sz w:val="22"/>
          <w:szCs w:val="22"/>
          <w:highlight w:val="yellow"/>
          <w:rtl/>
        </w:rPr>
        <w:t xml:space="preserve">איפשר בית המשפט למבקרת הפנים של עיריית ירושלים שלא לחשוף בפני המבוקרת את שמותיהם של מתלוננים ומוסרי מידע תוך כדי הליך הביקורת. קביעותיו של בית משפט זה בעניין </w:t>
      </w:r>
      <w:r w:rsidRPr="00ED3930">
        <w:rPr>
          <w:rFonts w:cs="Miriam" w:hint="cs"/>
          <w:sz w:val="22"/>
          <w:szCs w:val="22"/>
          <w:highlight w:val="yellow"/>
          <w:rtl/>
        </w:rPr>
        <w:t>אלוני</w:t>
      </w:r>
      <w:r w:rsidRPr="00ED3930">
        <w:rPr>
          <w:rFonts w:cs="FrankRuehl" w:hint="cs"/>
          <w:spacing w:val="10"/>
          <w:sz w:val="22"/>
          <w:szCs w:val="22"/>
          <w:highlight w:val="yellow"/>
          <w:rtl/>
        </w:rPr>
        <w:t xml:space="preserve"> אין בהן כדי לסייע לעותרת ולו</w:t>
      </w:r>
      <w:r>
        <w:rPr>
          <w:rFonts w:cs="FrankRuehl" w:hint="cs"/>
          <w:spacing w:val="10"/>
          <w:sz w:val="22"/>
          <w:szCs w:val="22"/>
          <w:highlight w:val="yellow"/>
          <w:rtl/>
        </w:rPr>
        <w:t>ּ</w:t>
      </w:r>
      <w:r w:rsidRPr="00ED3930">
        <w:rPr>
          <w:rFonts w:cs="FrankRuehl" w:hint="cs"/>
          <w:spacing w:val="10"/>
          <w:sz w:val="22"/>
          <w:szCs w:val="22"/>
          <w:highlight w:val="yellow"/>
          <w:rtl/>
        </w:rPr>
        <w:t xml:space="preserve"> משום שבאותו עניין הורה בית המשפט על מסירת מלוא החומר הרלוונטי לידי המבוקרת על מנת לממש את זכות הטיעון המוקנית לה. מה גם שההוראה בדבר מחיקת שמות המתלוננים ומוסרי המידע מתוך חומר זה אינה שונה במהותה מן הסייג שקבע בית הדין הארצי במקרה שלפנינו ולכך אתייחס להלן.</w:t>
      </w:r>
      <w:r w:rsidRPr="00ED3930">
        <w:rPr>
          <w:rFonts w:cs="FrankRuehl" w:hint="cs"/>
          <w:spacing w:val="10"/>
          <w:sz w:val="22"/>
          <w:szCs w:val="22"/>
          <w:rtl/>
        </w:rPr>
        <w:t xml:space="preserve">  </w:t>
      </w:r>
    </w:p>
    <w:p w:rsidR="0025709E" w:rsidRDefault="0025709E" w:rsidP="0025709E">
      <w:pPr>
        <w:rPr>
          <w:sz w:val="22"/>
          <w:szCs w:val="22"/>
          <w:rtl/>
        </w:rPr>
      </w:pPr>
      <w:r>
        <w:rPr>
          <w:rFonts w:hint="cs"/>
          <w:sz w:val="22"/>
          <w:szCs w:val="22"/>
          <w:rtl/>
        </w:rPr>
        <w:t xml:space="preserve">אם לשוב לפס"ד </w:t>
      </w:r>
      <w:r w:rsidRPr="001E0B1C">
        <w:rPr>
          <w:rFonts w:hint="cs"/>
          <w:b/>
          <w:bCs/>
          <w:sz w:val="22"/>
          <w:szCs w:val="22"/>
          <w:rtl/>
        </w:rPr>
        <w:t>אלוני</w:t>
      </w:r>
      <w:r>
        <w:rPr>
          <w:rFonts w:hint="cs"/>
          <w:sz w:val="22"/>
          <w:szCs w:val="22"/>
          <w:rtl/>
        </w:rPr>
        <w:t xml:space="preserve">. </w:t>
      </w:r>
      <w:r w:rsidRPr="00456380">
        <w:rPr>
          <w:sz w:val="22"/>
          <w:szCs w:val="22"/>
          <w:rtl/>
        </w:rPr>
        <w:t xml:space="preserve">במקרה זה, בית המשפט אומר שהיה אפשר לחשוף את המידע תוך השמטת פרטים </w:t>
      </w:r>
      <w:r>
        <w:rPr>
          <w:rFonts w:hint="cs"/>
          <w:sz w:val="22"/>
          <w:szCs w:val="22"/>
          <w:rtl/>
        </w:rPr>
        <w:t xml:space="preserve">ביחס לזהות מקורותיו, </w:t>
      </w:r>
      <w:r w:rsidRPr="00456380">
        <w:rPr>
          <w:sz w:val="22"/>
          <w:szCs w:val="22"/>
          <w:rtl/>
        </w:rPr>
        <w:t xml:space="preserve">וזה שזה לא נעשה </w:t>
      </w:r>
      <w:r>
        <w:rPr>
          <w:rFonts w:hint="cs"/>
          <w:sz w:val="22"/>
          <w:szCs w:val="22"/>
          <w:rtl/>
        </w:rPr>
        <w:t>יצר</w:t>
      </w:r>
      <w:r w:rsidRPr="00456380">
        <w:rPr>
          <w:sz w:val="22"/>
          <w:szCs w:val="22"/>
          <w:rtl/>
        </w:rPr>
        <w:t xml:space="preserve"> פגם של ממש. ביהמ"ש מחזיר את </w:t>
      </w:r>
      <w:r>
        <w:rPr>
          <w:rFonts w:hint="cs"/>
          <w:sz w:val="22"/>
          <w:szCs w:val="22"/>
          <w:rtl/>
        </w:rPr>
        <w:t xml:space="preserve">דו"ח הביקורת </w:t>
      </w:r>
      <w:r w:rsidRPr="00456380">
        <w:rPr>
          <w:sz w:val="22"/>
          <w:szCs w:val="22"/>
          <w:rtl/>
        </w:rPr>
        <w:t>ל</w:t>
      </w:r>
      <w:r>
        <w:rPr>
          <w:rFonts w:hint="cs"/>
          <w:sz w:val="22"/>
          <w:szCs w:val="22"/>
          <w:rtl/>
        </w:rPr>
        <w:t>מבקרת העירייה ולגורמים הנוספים, תוך הבהרה שההחזרה היא (א) ל</w:t>
      </w:r>
      <w:r w:rsidRPr="00456380">
        <w:rPr>
          <w:sz w:val="22"/>
          <w:szCs w:val="22"/>
          <w:rtl/>
        </w:rPr>
        <w:t xml:space="preserve">מסלול </w:t>
      </w:r>
      <w:r>
        <w:rPr>
          <w:rFonts w:hint="cs"/>
          <w:sz w:val="22"/>
          <w:szCs w:val="22"/>
          <w:rtl/>
        </w:rPr>
        <w:t xml:space="preserve">הביקורת </w:t>
      </w:r>
      <w:r w:rsidRPr="00456380">
        <w:rPr>
          <w:sz w:val="22"/>
          <w:szCs w:val="22"/>
          <w:rtl/>
        </w:rPr>
        <w:t>הרגיל ולא למסלול החירום</w:t>
      </w:r>
      <w:r>
        <w:rPr>
          <w:rFonts w:hint="cs"/>
          <w:sz w:val="22"/>
          <w:szCs w:val="22"/>
          <w:rtl/>
        </w:rPr>
        <w:t xml:space="preserve">, ו-(ב) תוך </w:t>
      </w:r>
      <w:r w:rsidRPr="00456380">
        <w:rPr>
          <w:sz w:val="22"/>
          <w:szCs w:val="22"/>
          <w:rtl/>
        </w:rPr>
        <w:t xml:space="preserve">צורך </w:t>
      </w:r>
      <w:r>
        <w:rPr>
          <w:rFonts w:hint="cs"/>
          <w:sz w:val="22"/>
          <w:szCs w:val="22"/>
          <w:rtl/>
        </w:rPr>
        <w:t>ב</w:t>
      </w:r>
      <w:r w:rsidRPr="00456380">
        <w:rPr>
          <w:sz w:val="22"/>
          <w:szCs w:val="22"/>
          <w:rtl/>
        </w:rPr>
        <w:t xml:space="preserve">שימוע מהותי ומקיף </w:t>
      </w:r>
      <w:r>
        <w:rPr>
          <w:rFonts w:hint="cs"/>
          <w:sz w:val="22"/>
          <w:szCs w:val="22"/>
          <w:rtl/>
        </w:rPr>
        <w:t>של המבוקרת, רוני אלוני. זה יקרה לאחר ש</w:t>
      </w:r>
      <w:r w:rsidRPr="00456380">
        <w:rPr>
          <w:sz w:val="22"/>
          <w:szCs w:val="22"/>
          <w:rtl/>
        </w:rPr>
        <w:t xml:space="preserve">מבקרת </w:t>
      </w:r>
      <w:r>
        <w:rPr>
          <w:rFonts w:hint="cs"/>
          <w:sz w:val="22"/>
          <w:szCs w:val="22"/>
          <w:rtl/>
        </w:rPr>
        <w:t xml:space="preserve">העירייה </w:t>
      </w:r>
      <w:r w:rsidRPr="00456380">
        <w:rPr>
          <w:sz w:val="22"/>
          <w:szCs w:val="22"/>
          <w:rtl/>
        </w:rPr>
        <w:t>תחשוף את כל המידע שהיה בפניה</w:t>
      </w:r>
      <w:r>
        <w:rPr>
          <w:rFonts w:hint="cs"/>
          <w:sz w:val="22"/>
          <w:szCs w:val="22"/>
          <w:rtl/>
        </w:rPr>
        <w:t>, בסייג שהוזכר</w:t>
      </w:r>
      <w:r w:rsidRPr="00456380">
        <w:rPr>
          <w:sz w:val="22"/>
          <w:szCs w:val="22"/>
          <w:rtl/>
        </w:rPr>
        <w:t xml:space="preserve">.  </w:t>
      </w:r>
    </w:p>
    <w:p w:rsidR="0025709E" w:rsidRDefault="0025709E" w:rsidP="0025709E">
      <w:pPr>
        <w:rPr>
          <w:highlight w:val="yellow"/>
          <w:rtl/>
        </w:rPr>
      </w:pPr>
      <w:r>
        <w:rPr>
          <w:rFonts w:hint="cs"/>
          <w:sz w:val="22"/>
          <w:szCs w:val="22"/>
          <w:rtl/>
        </w:rPr>
        <w:t>=-=</w:t>
      </w:r>
    </w:p>
    <w:p w:rsidR="0025709E" w:rsidRDefault="0025709E" w:rsidP="0025709E">
      <w:pPr>
        <w:spacing w:after="120"/>
        <w:ind w:left="-682"/>
        <w:jc w:val="left"/>
        <w:rPr>
          <w:b/>
          <w:bCs/>
          <w:highlight w:val="yellow"/>
          <w:rtl/>
        </w:rPr>
      </w:pPr>
    </w:p>
    <w:p w:rsidR="0025709E" w:rsidRDefault="0025709E" w:rsidP="0025709E">
      <w:pPr>
        <w:spacing w:after="120"/>
        <w:ind w:left="-682"/>
        <w:jc w:val="left"/>
        <w:rPr>
          <w:rFonts w:ascii="Arial" w:hAnsi="Arial" w:cs="Arial"/>
          <w:sz w:val="20"/>
          <w:szCs w:val="20"/>
          <w:rtl/>
        </w:rPr>
      </w:pPr>
      <w:r>
        <w:rPr>
          <w:rFonts w:ascii="Arial" w:hAnsi="Arial" w:cs="Arial" w:hint="cs"/>
          <w:sz w:val="20"/>
          <w:szCs w:val="20"/>
          <w:rtl/>
        </w:rPr>
        <w:t xml:space="preserve">בג"צ 844/06 </w:t>
      </w:r>
      <w:r w:rsidRPr="00D20CCB">
        <w:rPr>
          <w:rFonts w:ascii="Arial" w:hAnsi="Arial" w:cs="Arial" w:hint="cs"/>
          <w:b/>
          <w:bCs/>
          <w:sz w:val="20"/>
          <w:szCs w:val="20"/>
          <w:rtl/>
        </w:rPr>
        <w:t xml:space="preserve">אוניברסיטת חיפה נ' </w:t>
      </w:r>
      <w:r>
        <w:rPr>
          <w:rFonts w:ascii="Arial" w:hAnsi="Arial" w:cs="Arial" w:hint="cs"/>
          <w:b/>
          <w:bCs/>
          <w:sz w:val="20"/>
          <w:szCs w:val="20"/>
          <w:rtl/>
        </w:rPr>
        <w:t xml:space="preserve">פרופ' אבי </w:t>
      </w:r>
      <w:r w:rsidRPr="00D20CCB">
        <w:rPr>
          <w:rFonts w:ascii="Arial" w:hAnsi="Arial" w:cs="Arial" w:hint="cs"/>
          <w:b/>
          <w:bCs/>
          <w:sz w:val="20"/>
          <w:szCs w:val="20"/>
          <w:rtl/>
        </w:rPr>
        <w:t>עוז</w:t>
      </w:r>
      <w:r>
        <w:rPr>
          <w:rFonts w:ascii="Arial" w:hAnsi="Arial" w:cs="Arial" w:hint="cs"/>
          <w:b/>
          <w:bCs/>
          <w:sz w:val="20"/>
          <w:szCs w:val="20"/>
          <w:rtl/>
        </w:rPr>
        <w:t xml:space="preserve"> ואח'</w:t>
      </w:r>
      <w:r>
        <w:rPr>
          <w:rFonts w:ascii="Arial" w:hAnsi="Arial" w:cs="Arial" w:hint="cs"/>
          <w:sz w:val="20"/>
          <w:szCs w:val="20"/>
          <w:rtl/>
        </w:rPr>
        <w:t xml:space="preserve"> (2008)</w:t>
      </w:r>
    </w:p>
    <w:p w:rsidR="0025709E" w:rsidRPr="00D96279" w:rsidRDefault="0025709E" w:rsidP="0025709E">
      <w:pPr>
        <w:tabs>
          <w:tab w:val="left" w:pos="800"/>
        </w:tabs>
        <w:overflowPunct w:val="0"/>
        <w:autoSpaceDE w:val="0"/>
        <w:autoSpaceDN w:val="0"/>
        <w:adjustRightInd w:val="0"/>
        <w:ind w:left="-682"/>
        <w:rPr>
          <w:rFonts w:cs="Miriam"/>
          <w:sz w:val="22"/>
          <w:szCs w:val="22"/>
          <w:rtl/>
        </w:rPr>
      </w:pPr>
      <w:r w:rsidRPr="00D96279">
        <w:rPr>
          <w:rFonts w:cs="Miriam" w:hint="cs"/>
          <w:sz w:val="22"/>
          <w:szCs w:val="22"/>
          <w:rtl/>
        </w:rPr>
        <w:t>העובדות הצריכות לעניין</w:t>
      </w:r>
    </w:p>
    <w:p w:rsidR="0025709E" w:rsidRPr="00D96279" w:rsidRDefault="0025709E" w:rsidP="0025709E">
      <w:pPr>
        <w:tabs>
          <w:tab w:val="left" w:pos="800"/>
        </w:tabs>
        <w:overflowPunct w:val="0"/>
        <w:autoSpaceDE w:val="0"/>
        <w:autoSpaceDN w:val="0"/>
        <w:adjustRightInd w:val="0"/>
        <w:ind w:left="-682"/>
        <w:rPr>
          <w:rFonts w:ascii="Arial TUR" w:hAnsi="Arial TUR" w:cs="FrankRuehl"/>
          <w:spacing w:val="10"/>
          <w:sz w:val="22"/>
          <w:szCs w:val="22"/>
          <w:rtl/>
        </w:rPr>
      </w:pPr>
    </w:p>
    <w:p w:rsidR="0025709E" w:rsidRPr="00D96279" w:rsidRDefault="0025709E" w:rsidP="0025709E">
      <w:pPr>
        <w:tabs>
          <w:tab w:val="left" w:pos="800"/>
        </w:tabs>
        <w:overflowPunct w:val="0"/>
        <w:autoSpaceDE w:val="0"/>
        <w:autoSpaceDN w:val="0"/>
        <w:adjustRightInd w:val="0"/>
        <w:ind w:left="-682"/>
        <w:rPr>
          <w:rFonts w:ascii="Arial TUR" w:hAnsi="Arial TUR" w:cs="FrankRuehl"/>
          <w:spacing w:val="10"/>
          <w:sz w:val="22"/>
          <w:szCs w:val="22"/>
          <w:rtl/>
        </w:rPr>
      </w:pPr>
      <w:r w:rsidRPr="00D96279">
        <w:rPr>
          <w:rFonts w:ascii="Arial TUR" w:hAnsi="Arial TUR" w:cs="FrankRuehl" w:hint="cs"/>
          <w:spacing w:val="10"/>
          <w:sz w:val="22"/>
          <w:szCs w:val="22"/>
          <w:rtl/>
        </w:rPr>
        <w:t>1.</w:t>
      </w:r>
      <w:r w:rsidRPr="00D96279">
        <w:rPr>
          <w:rFonts w:ascii="Arial TUR" w:hAnsi="Arial TUR" w:cs="FrankRuehl" w:hint="cs"/>
          <w:spacing w:val="10"/>
          <w:sz w:val="22"/>
          <w:szCs w:val="22"/>
          <w:rtl/>
        </w:rPr>
        <w:tab/>
        <w:t xml:space="preserve">אוניברסיטת חיפה (להלן: </w:t>
      </w:r>
      <w:r w:rsidRPr="00D96279">
        <w:rPr>
          <w:rFonts w:cs="Miriam" w:hint="cs"/>
          <w:sz w:val="22"/>
          <w:szCs w:val="22"/>
          <w:rtl/>
        </w:rPr>
        <w:t>העותרת</w:t>
      </w:r>
      <w:r w:rsidRPr="00D96279">
        <w:rPr>
          <w:rFonts w:ascii="Arial TUR" w:hAnsi="Arial TUR" w:cs="FrankRuehl" w:hint="cs"/>
          <w:spacing w:val="10"/>
          <w:sz w:val="22"/>
          <w:szCs w:val="22"/>
          <w:rtl/>
        </w:rPr>
        <w:t xml:space="preserve">) היא "מוסד מוכר" כמשמעותו בחוק המועצה להשכלה גבוהה, התשי"ח-1958 (להלן: </w:t>
      </w:r>
      <w:r w:rsidRPr="00D96279">
        <w:rPr>
          <w:rFonts w:cs="Miriam" w:hint="cs"/>
          <w:sz w:val="22"/>
          <w:szCs w:val="22"/>
          <w:rtl/>
        </w:rPr>
        <w:t>חוק המועצה להשכלה גבוהה</w:t>
      </w:r>
      <w:r w:rsidRPr="00D96279">
        <w:rPr>
          <w:rFonts w:ascii="Arial TUR" w:hAnsi="Arial TUR" w:cs="FrankRuehl" w:hint="cs"/>
          <w:spacing w:val="10"/>
          <w:sz w:val="22"/>
          <w:szCs w:val="22"/>
          <w:rtl/>
        </w:rPr>
        <w:t xml:space="preserve">) והמשיבים 3-1 (להלן: </w:t>
      </w:r>
      <w:r w:rsidRPr="00D96279">
        <w:rPr>
          <w:rFonts w:cs="Miriam" w:hint="cs"/>
          <w:sz w:val="22"/>
          <w:szCs w:val="22"/>
          <w:rtl/>
        </w:rPr>
        <w:t>המשיבים</w:t>
      </w:r>
      <w:r w:rsidRPr="00D96279">
        <w:rPr>
          <w:rFonts w:ascii="Arial TUR" w:hAnsi="Arial TUR" w:cs="FrankRuehl" w:hint="cs"/>
          <w:spacing w:val="10"/>
          <w:sz w:val="22"/>
          <w:szCs w:val="22"/>
          <w:rtl/>
        </w:rPr>
        <w:t xml:space="preserve">) הועסקו על ידה כמרצים בחוג לתיאטרון שבפקולטה למדעי הרוח (להלן: </w:t>
      </w:r>
      <w:r w:rsidRPr="00D96279">
        <w:rPr>
          <w:rFonts w:cs="Miriam" w:hint="cs"/>
          <w:sz w:val="22"/>
          <w:szCs w:val="22"/>
          <w:rtl/>
        </w:rPr>
        <w:t>החוג</w:t>
      </w:r>
      <w:r w:rsidRPr="00D96279">
        <w:rPr>
          <w:rFonts w:ascii="Arial TUR" w:hAnsi="Arial TUR" w:cs="FrankRuehl" w:hint="cs"/>
          <w:spacing w:val="10"/>
          <w:sz w:val="22"/>
          <w:szCs w:val="22"/>
          <w:rtl/>
        </w:rPr>
        <w:t xml:space="preserve"> או </w:t>
      </w:r>
      <w:r w:rsidRPr="00D96279">
        <w:rPr>
          <w:rFonts w:cs="Miriam" w:hint="cs"/>
          <w:sz w:val="22"/>
          <w:szCs w:val="22"/>
          <w:rtl/>
        </w:rPr>
        <w:t>החוג לתיאטרון</w:t>
      </w:r>
      <w:r w:rsidRPr="00D96279">
        <w:rPr>
          <w:rFonts w:ascii="Arial TUR" w:hAnsi="Arial TUR" w:cs="FrankRuehl" w:hint="cs"/>
          <w:spacing w:val="10"/>
          <w:sz w:val="22"/>
          <w:szCs w:val="22"/>
          <w:rtl/>
        </w:rPr>
        <w:t xml:space="preserve">). </w:t>
      </w:r>
      <w:r>
        <w:rPr>
          <w:rFonts w:ascii="Arial TUR" w:hAnsi="Arial TUR" w:cs="FrankRuehl" w:hint="cs"/>
          <w:spacing w:val="10"/>
          <w:sz w:val="22"/>
          <w:szCs w:val="22"/>
          <w:rtl/>
        </w:rPr>
        <w:t>...</w:t>
      </w:r>
    </w:p>
    <w:p w:rsidR="0025709E" w:rsidRPr="00D96279" w:rsidRDefault="0025709E" w:rsidP="0025709E">
      <w:pPr>
        <w:tabs>
          <w:tab w:val="left" w:pos="800"/>
        </w:tabs>
        <w:overflowPunct w:val="0"/>
        <w:autoSpaceDE w:val="0"/>
        <w:autoSpaceDN w:val="0"/>
        <w:adjustRightInd w:val="0"/>
        <w:ind w:left="-682"/>
        <w:rPr>
          <w:rFonts w:ascii="Arial TUR" w:hAnsi="Arial TUR" w:cs="FrankRuehl"/>
          <w:spacing w:val="10"/>
          <w:sz w:val="22"/>
          <w:szCs w:val="22"/>
          <w:rtl/>
        </w:rPr>
      </w:pPr>
    </w:p>
    <w:p w:rsidR="0025709E" w:rsidRPr="00D96279" w:rsidRDefault="0025709E" w:rsidP="0025709E">
      <w:pPr>
        <w:tabs>
          <w:tab w:val="left" w:pos="800"/>
        </w:tabs>
        <w:overflowPunct w:val="0"/>
        <w:autoSpaceDE w:val="0"/>
        <w:autoSpaceDN w:val="0"/>
        <w:adjustRightInd w:val="0"/>
        <w:ind w:left="-682"/>
        <w:rPr>
          <w:rFonts w:ascii="Arial TUR" w:hAnsi="Arial TUR" w:cs="FrankRuehl"/>
          <w:spacing w:val="10"/>
          <w:sz w:val="22"/>
          <w:szCs w:val="22"/>
          <w:rtl/>
        </w:rPr>
      </w:pPr>
      <w:r w:rsidRPr="00D96279">
        <w:rPr>
          <w:rFonts w:ascii="Arial TUR" w:hAnsi="Arial TUR" w:cs="FrankRuehl" w:hint="cs"/>
          <w:spacing w:val="10"/>
          <w:sz w:val="22"/>
          <w:szCs w:val="22"/>
          <w:rtl/>
        </w:rPr>
        <w:t>2.</w:t>
      </w:r>
      <w:r w:rsidRPr="00D96279">
        <w:rPr>
          <w:rFonts w:ascii="Arial TUR" w:hAnsi="Arial TUR" w:cs="FrankRuehl" w:hint="cs"/>
          <w:spacing w:val="10"/>
          <w:sz w:val="22"/>
          <w:szCs w:val="22"/>
          <w:rtl/>
        </w:rPr>
        <w:tab/>
        <w:t xml:space="preserve">על רקע טענות שעלו בדבר קשיים בהתנהלותו של החוג לתיאטרון, החליטה ועדת ההוראה של הפקולטה למדעי הרוח ביום 14.7.2003 להקים "ועדת בדיקה והערכה" לחוג (להלן: </w:t>
      </w:r>
      <w:r w:rsidRPr="00D96279">
        <w:rPr>
          <w:rFonts w:cs="Miriam" w:hint="cs"/>
          <w:sz w:val="22"/>
          <w:szCs w:val="22"/>
          <w:rtl/>
        </w:rPr>
        <w:t xml:space="preserve">הוועדה </w:t>
      </w:r>
      <w:r w:rsidRPr="00D96279">
        <w:rPr>
          <w:rFonts w:ascii="Arial TUR" w:hAnsi="Arial TUR" w:cs="FrankRuehl" w:hint="cs"/>
          <w:spacing w:val="10"/>
          <w:sz w:val="22"/>
          <w:szCs w:val="22"/>
          <w:rtl/>
        </w:rPr>
        <w:t xml:space="preserve">או </w:t>
      </w:r>
      <w:r w:rsidRPr="00D96279">
        <w:rPr>
          <w:rFonts w:cs="Miriam" w:hint="cs"/>
          <w:sz w:val="22"/>
          <w:szCs w:val="22"/>
          <w:rtl/>
        </w:rPr>
        <w:t>ועדת הבדיקה</w:t>
      </w:r>
      <w:r w:rsidRPr="00D96279">
        <w:rPr>
          <w:rFonts w:ascii="Arial TUR" w:hAnsi="Arial TUR" w:cs="FrankRuehl" w:hint="cs"/>
          <w:spacing w:val="10"/>
          <w:sz w:val="22"/>
          <w:szCs w:val="22"/>
          <w:rtl/>
        </w:rPr>
        <w:t xml:space="preserve">). ועדת הבדיקה מנתה שלושה מרצים מן האוניברסיטה העותרת ומרצה נוסף מן החוג לתיאטרון באוניברסיטת תל אביב. לפי כתב המינוי שהוצא לוועדה, היה עליה "לבחון את החוג על כל מרכיביו בתחומי ההוראה, המחקר וההפקה, ולהגיש מסקנות והמלצות שיובילו לפיתוחו ולקידומו". הוועדה קיימה שתים-עשרה פגישות ונעזרה בחומרים כתובים ממקורות שונים ובראיונות שערכה. בפני הוועדה הופיעו שלושה-עשר מורים מן החוג לתיאטרון וכן דיקן הפקולטה למדעי הרוח, ראש החוג לתיאטרון אותה עת, מזכירת החוג וכן סטודנטית שלמדה בו. המשיבים הופיעו אף הם בפני הוועדה וכן הוסיפו ומסרו לה את עמדותיהם בכתובים. ביום 22.3.2004 הגישה הוועדה דין וחשבון מפורט המונה שורה של קשיים ובעיות שנתגלו בהתנהלות החוג מן ההיבט האקדמי וכן מן ההיבט האדמיניסטרטיבי. בין היתר התייחס הדו"ח בהקשר זה לתפקוד סגל ההוראה של החוג וצוין בו כי הוועדה התרשמה מקיומם של יחסים קשים בין המשיבים שהינם "נותני הטון" בחוג ליתר חברי החוג, וכי מן העדויות שהובאו בפניה מצטיירת תמונה לפיה המשיבים "שולטים בחוג שלטון ללא מצרים, הן בקביעת תוכנית הלימודים, העסקת מורים ופיטוריהם, והן בקשר עם התלמידים" וכי התנהלות זו תוארה כעולה כדי הנהגת "שלטון טרור" בחוג. מסקנתה של הוועדה הייתה כי קיים "קשר ברור בין הפגימה האקדמית והמבנה הפרסונלי" בחוג וכי "[]לא ניתן לתקן את הליקויים האקדמיים והמינהליים בחוג בלי שינויים פרסונליים משמעותיים" בו. הוועדה המליצה אפוא, בין היתר, שלא לחדש את חוזי ההעסקה של ארבעה מורים בחוג ובהם המשיבים 2 ו-3. אשר למשיב 1, שהוא בעל קביעות באוניברסיטה, הומלץ לבחון "דרכי פעולה המקובלות באוניברסיטה במקרים כאלו, כדי למנוע את הישנות המצב, שבו מי שייסד את החוג ועמד בראשו בעבר ימשיך להוות אופוזיציה לראש חוג מכהן, שתפקידו להבריא ולשקם את החוג". </w:t>
      </w:r>
      <w:r w:rsidRPr="00D96279">
        <w:rPr>
          <w:rFonts w:ascii="Arial TUR" w:hAnsi="Arial TUR" w:cs="FrankRuehl" w:hint="cs"/>
          <w:spacing w:val="10"/>
          <w:sz w:val="22"/>
          <w:szCs w:val="22"/>
          <w:highlight w:val="yellow"/>
          <w:rtl/>
        </w:rPr>
        <w:t>כמו כן נכללו בדו"ח המלצות ביחס לתוכנית הלימודים וביחס לנוהלי העבודה והארגון. הדו"ח כולל ציטוטים מן העדויות ומן המסמכים שהוצגו בפני הוועדה, אך אלה הובאו בעילום שם והוועדה ציינה לעניין זה בפתח הדברים כי כך נעשה משום שהיא "התחייבה לסודיות גמורה באשר לפרטי העדויות ומוסריהם, כדי לאפשר למרואיינים לומר את דבריהם מתוך כנות, חופשיות וללא מורא".</w:t>
      </w:r>
    </w:p>
    <w:p w:rsidR="0025709E" w:rsidRPr="00D96279" w:rsidRDefault="0025709E" w:rsidP="0025709E">
      <w:pPr>
        <w:tabs>
          <w:tab w:val="left" w:pos="800"/>
        </w:tabs>
        <w:overflowPunct w:val="0"/>
        <w:autoSpaceDE w:val="0"/>
        <w:autoSpaceDN w:val="0"/>
        <w:adjustRightInd w:val="0"/>
        <w:ind w:left="-682"/>
        <w:rPr>
          <w:rFonts w:ascii="Arial TUR" w:hAnsi="Arial TUR" w:cs="FrankRuehl"/>
          <w:spacing w:val="10"/>
          <w:sz w:val="22"/>
          <w:szCs w:val="22"/>
          <w:rtl/>
        </w:rPr>
      </w:pPr>
    </w:p>
    <w:p w:rsidR="0025709E" w:rsidRDefault="0025709E" w:rsidP="0025709E">
      <w:pPr>
        <w:spacing w:after="120"/>
        <w:ind w:left="-682"/>
        <w:jc w:val="left"/>
        <w:rPr>
          <w:sz w:val="22"/>
          <w:szCs w:val="22"/>
          <w:highlight w:val="yellow"/>
          <w:rtl/>
        </w:rPr>
      </w:pPr>
      <w:r w:rsidRPr="00AB3D66">
        <w:rPr>
          <w:rFonts w:hint="cs"/>
          <w:sz w:val="22"/>
          <w:szCs w:val="22"/>
          <w:highlight w:val="yellow"/>
          <w:rtl/>
        </w:rPr>
        <w:t>הנשיאה ביניש</w:t>
      </w:r>
    </w:p>
    <w:p w:rsidR="0025709E" w:rsidRPr="00AB3D66" w:rsidRDefault="0025709E" w:rsidP="0025709E">
      <w:pPr>
        <w:tabs>
          <w:tab w:val="left" w:pos="800"/>
        </w:tabs>
        <w:overflowPunct w:val="0"/>
        <w:autoSpaceDE w:val="0"/>
        <w:autoSpaceDN w:val="0"/>
        <w:adjustRightInd w:val="0"/>
        <w:ind w:left="-682"/>
        <w:rPr>
          <w:rFonts w:cs="Miriam"/>
          <w:sz w:val="22"/>
          <w:szCs w:val="22"/>
          <w:rtl/>
        </w:rPr>
      </w:pPr>
    </w:p>
    <w:p w:rsidR="0025709E" w:rsidRPr="00AB3D66" w:rsidRDefault="0025709E" w:rsidP="0025709E">
      <w:pPr>
        <w:tabs>
          <w:tab w:val="left" w:pos="800"/>
        </w:tabs>
        <w:overflowPunct w:val="0"/>
        <w:autoSpaceDE w:val="0"/>
        <w:autoSpaceDN w:val="0"/>
        <w:adjustRightInd w:val="0"/>
        <w:ind w:left="-682"/>
        <w:rPr>
          <w:rFonts w:cs="FrankRuehl"/>
          <w:spacing w:val="10"/>
          <w:sz w:val="22"/>
          <w:szCs w:val="22"/>
          <w:rtl/>
        </w:rPr>
      </w:pPr>
      <w:r w:rsidRPr="00AB3D66">
        <w:rPr>
          <w:rFonts w:ascii="Arial TUR" w:hAnsi="Arial TUR" w:cs="FrankRuehl" w:hint="cs"/>
          <w:spacing w:val="10"/>
          <w:sz w:val="22"/>
          <w:szCs w:val="22"/>
          <w:rtl/>
        </w:rPr>
        <w:t>2.</w:t>
      </w:r>
      <w:r w:rsidRPr="00AB3D66">
        <w:rPr>
          <w:rFonts w:ascii="Arial TUR" w:hAnsi="Arial TUR" w:cs="FrankRuehl" w:hint="cs"/>
          <w:spacing w:val="10"/>
          <w:sz w:val="22"/>
          <w:szCs w:val="22"/>
          <w:rtl/>
        </w:rPr>
        <w:tab/>
        <w:t xml:space="preserve">מן הטעמים שפורטו באופן מקיף בפסק-דינה של חברתי השופטת </w:t>
      </w:r>
      <w:r w:rsidRPr="00AB3D66">
        <w:rPr>
          <w:rFonts w:cs="Miriam" w:hint="cs"/>
          <w:sz w:val="22"/>
          <w:szCs w:val="22"/>
          <w:rtl/>
        </w:rPr>
        <w:t>חיות</w:t>
      </w:r>
      <w:r w:rsidRPr="00AB3D66">
        <w:rPr>
          <w:rFonts w:ascii="Arial TUR" w:hAnsi="Arial TUR" w:cs="FrankRuehl" w:hint="cs"/>
          <w:spacing w:val="10"/>
          <w:sz w:val="22"/>
          <w:szCs w:val="22"/>
          <w:rtl/>
        </w:rPr>
        <w:t>, אף אני בדעה כי הפרוטוקולים ויתר המסמכים הנדונים לפנינו רלוונטיים לסכסוך העומד לבירור בין הצדדים בפני בית-הדין האזורי לעבודה, וכי האוניברסיטה לא הצביעה על חיסיון מוכר בדין שיש בכוחו למנוע את גילוי החומר המבוקש</w:t>
      </w:r>
      <w:r w:rsidRPr="00AB3D66">
        <w:rPr>
          <w:rFonts w:cs="FrankRuehl" w:hint="cs"/>
          <w:spacing w:val="10"/>
          <w:sz w:val="22"/>
          <w:szCs w:val="22"/>
          <w:rtl/>
        </w:rPr>
        <w:t>.</w:t>
      </w:r>
    </w:p>
    <w:p w:rsidR="0025709E" w:rsidRPr="00AB3D66" w:rsidRDefault="0025709E" w:rsidP="0025709E">
      <w:pPr>
        <w:tabs>
          <w:tab w:val="left" w:pos="800"/>
        </w:tabs>
        <w:overflowPunct w:val="0"/>
        <w:autoSpaceDE w:val="0"/>
        <w:autoSpaceDN w:val="0"/>
        <w:adjustRightInd w:val="0"/>
        <w:ind w:left="-682"/>
        <w:rPr>
          <w:rFonts w:cs="Miriam"/>
          <w:sz w:val="22"/>
          <w:szCs w:val="22"/>
          <w:rtl/>
        </w:rPr>
      </w:pPr>
    </w:p>
    <w:p w:rsidR="0025709E" w:rsidRPr="00AB3D66" w:rsidRDefault="0025709E" w:rsidP="0025709E">
      <w:pPr>
        <w:tabs>
          <w:tab w:val="left" w:pos="800"/>
        </w:tabs>
        <w:overflowPunct w:val="0"/>
        <w:autoSpaceDE w:val="0"/>
        <w:autoSpaceDN w:val="0"/>
        <w:adjustRightInd w:val="0"/>
        <w:ind w:left="-682"/>
        <w:rPr>
          <w:rFonts w:ascii="Arial TUR" w:hAnsi="Arial TUR" w:cs="FrankRuehl"/>
          <w:spacing w:val="10"/>
          <w:sz w:val="22"/>
          <w:szCs w:val="22"/>
          <w:highlight w:val="yellow"/>
          <w:rtl/>
        </w:rPr>
      </w:pPr>
      <w:r w:rsidRPr="00AB3D66">
        <w:rPr>
          <w:rFonts w:cs="Miriam" w:hint="cs"/>
          <w:sz w:val="22"/>
          <w:szCs w:val="22"/>
          <w:rtl/>
        </w:rPr>
        <w:tab/>
      </w:r>
      <w:r w:rsidRPr="00AB3D66">
        <w:rPr>
          <w:rFonts w:cs="FrankRuehl" w:hint="cs"/>
          <w:spacing w:val="10"/>
          <w:sz w:val="22"/>
          <w:szCs w:val="22"/>
          <w:rtl/>
        </w:rPr>
        <w:t>בין הצדדים לפנינו</w:t>
      </w:r>
      <w:r w:rsidRPr="00AB3D66">
        <w:rPr>
          <w:rFonts w:cs="Miriam" w:hint="cs"/>
          <w:sz w:val="22"/>
          <w:szCs w:val="22"/>
          <w:rtl/>
        </w:rPr>
        <w:t xml:space="preserve"> </w:t>
      </w:r>
      <w:r w:rsidRPr="00AB3D66">
        <w:rPr>
          <w:rFonts w:ascii="Arial TUR" w:hAnsi="Arial TUR" w:cs="FrankRuehl" w:hint="cs"/>
          <w:spacing w:val="10"/>
          <w:sz w:val="22"/>
          <w:szCs w:val="22"/>
          <w:rtl/>
        </w:rPr>
        <w:t xml:space="preserve">לא היתה מחלוקת של ממש כי אין בנמצא חיסיון סטטוטורי שחל בנסיבות המקרה. טענתה המרכזית של האוניברסיטה היתה כי ראוי להכיר בחיסיון הלכתי חדש שימנע את גילוי החומר המבוקש, נוכח הצורך להגן על זכותם החוקתית לפרטיות של העדים שהופיעו בפני ועדת הבדיקה, ונוכח האינטרס הציבורי להגן על תפקודן של ועדות בדיקה וולנטריות במוסדות אקדמיים. בעניין זה, כבר נקבע בפסיקתנו כי "הכלל הוא שבהתדיינות אזרחית יש להבטיח גילוי רחב ככל הניתן של מידע הרלוונטי למחלוקת הנדונה בפני בית-המשפט", וכי בהתאם לכך "...הגישה כלפי החיסיון הינה חשדנית. רק במקרים מיוחדים וחריגים יוכר החיסיון" (דברי השופטת </w:t>
      </w:r>
      <w:r w:rsidRPr="00AB3D66">
        <w:rPr>
          <w:rFonts w:cs="Miriam" w:hint="cs"/>
          <w:sz w:val="22"/>
          <w:szCs w:val="22"/>
          <w:rtl/>
        </w:rPr>
        <w:t>ד' דורנר</w:t>
      </w:r>
      <w:r w:rsidRPr="00AB3D66">
        <w:rPr>
          <w:rFonts w:ascii="Arial TUR" w:hAnsi="Arial TUR" w:cs="FrankRuehl" w:hint="cs"/>
          <w:spacing w:val="10"/>
          <w:sz w:val="22"/>
          <w:szCs w:val="22"/>
          <w:rtl/>
        </w:rPr>
        <w:t xml:space="preserve"> ברע"א 2534/02 </w:t>
      </w:r>
      <w:r w:rsidRPr="00AB3D66">
        <w:rPr>
          <w:rFonts w:cs="Miriam" w:hint="cs"/>
          <w:sz w:val="22"/>
          <w:szCs w:val="22"/>
          <w:rtl/>
        </w:rPr>
        <w:t>שמשון נ' בנק הפועלים בע"מ</w:t>
      </w:r>
      <w:r w:rsidRPr="00AB3D66">
        <w:rPr>
          <w:rFonts w:ascii="Arial TUR" w:hAnsi="Arial TUR" w:cs="FrankRuehl" w:hint="cs"/>
          <w:spacing w:val="10"/>
          <w:sz w:val="22"/>
          <w:szCs w:val="22"/>
          <w:rtl/>
        </w:rPr>
        <w:t xml:space="preserve">, פ"ד נו(5) 193 (2002); דברי הנשיא </w:t>
      </w:r>
      <w:r w:rsidRPr="00AB3D66">
        <w:rPr>
          <w:rFonts w:cs="Miriam" w:hint="cs"/>
          <w:sz w:val="22"/>
          <w:szCs w:val="22"/>
          <w:rtl/>
        </w:rPr>
        <w:t>א' ברק</w:t>
      </w:r>
      <w:r w:rsidRPr="00AB3D66">
        <w:rPr>
          <w:rFonts w:ascii="Arial TUR" w:hAnsi="Arial TUR" w:cs="FrankRuehl" w:hint="cs"/>
          <w:spacing w:val="10"/>
          <w:sz w:val="22"/>
          <w:szCs w:val="22"/>
          <w:rtl/>
        </w:rPr>
        <w:t xml:space="preserve"> ברע"א 1412/94 </w:t>
      </w:r>
      <w:r w:rsidRPr="00AB3D66">
        <w:rPr>
          <w:rFonts w:cs="Miriam" w:hint="cs"/>
          <w:sz w:val="22"/>
          <w:szCs w:val="22"/>
          <w:rtl/>
        </w:rPr>
        <w:t>הסתדרות מדיצינית הדסה נ' גלעד</w:t>
      </w:r>
      <w:r w:rsidRPr="00AB3D66">
        <w:rPr>
          <w:rFonts w:ascii="Arial TUR" w:hAnsi="Arial TUR" w:cs="FrankRuehl" w:hint="cs"/>
          <w:spacing w:val="10"/>
          <w:sz w:val="22"/>
          <w:szCs w:val="22"/>
          <w:rtl/>
        </w:rPr>
        <w:t xml:space="preserve">, פ"ד מט(2) 516, פס' 5 (1995)). </w:t>
      </w:r>
      <w:r w:rsidRPr="00AB3D66">
        <w:rPr>
          <w:rFonts w:ascii="Arial TUR" w:hAnsi="Arial TUR" w:cs="FrankRuehl" w:hint="cs"/>
          <w:spacing w:val="10"/>
          <w:sz w:val="22"/>
          <w:szCs w:val="22"/>
          <w:highlight w:val="yellow"/>
          <w:rtl/>
        </w:rPr>
        <w:t xml:space="preserve">בנסיבות העניין שלפנינו, בדומה לחברותיי השופטת </w:t>
      </w:r>
      <w:r w:rsidRPr="00AB3D66">
        <w:rPr>
          <w:rFonts w:cs="Miriam" w:hint="cs"/>
          <w:sz w:val="22"/>
          <w:szCs w:val="22"/>
          <w:highlight w:val="yellow"/>
          <w:rtl/>
        </w:rPr>
        <w:t>חיות</w:t>
      </w:r>
      <w:r w:rsidRPr="00AB3D66">
        <w:rPr>
          <w:rFonts w:ascii="Arial TUR" w:hAnsi="Arial TUR" w:cs="FrankRuehl" w:hint="cs"/>
          <w:spacing w:val="10"/>
          <w:sz w:val="22"/>
          <w:szCs w:val="22"/>
          <w:highlight w:val="yellow"/>
          <w:rtl/>
        </w:rPr>
        <w:t xml:space="preserve"> והשופטת </w:t>
      </w:r>
      <w:r w:rsidRPr="00AB3D66">
        <w:rPr>
          <w:rFonts w:cs="Miriam" w:hint="cs"/>
          <w:sz w:val="22"/>
          <w:szCs w:val="22"/>
          <w:highlight w:val="yellow"/>
          <w:rtl/>
        </w:rPr>
        <w:t>נאור</w:t>
      </w:r>
      <w:r w:rsidRPr="00AB3D66">
        <w:rPr>
          <w:rFonts w:ascii="Arial TUR" w:hAnsi="Arial TUR" w:cs="FrankRuehl" w:hint="cs"/>
          <w:spacing w:val="10"/>
          <w:sz w:val="22"/>
          <w:szCs w:val="22"/>
          <w:highlight w:val="yellow"/>
          <w:rtl/>
        </w:rPr>
        <w:t>, אף אני סבורה כי עוצמת הפגיעה בעיסוקם ובכבודם של המשיבים והצורך לאפשר הליך הוגן במסגרתו יוכלו להתגונן כראוי מפני הטענות שהועלו נגדם, מחייבים את גילוי תוכנם של הפרוטוקולים ויתר המסמכים שהיו בפני ועדת הבדיקה; זאת, אף בהנחה שעקב גילוי החומר, עשויה להתקיים פגיעה – שהיקפה לא התברר לפנינו – בפרטיותם של העדים ובפעילותן של ועדות בדיקה וולנטריות פנים-אוניברסיטאיות</w:t>
      </w:r>
      <w:r w:rsidRPr="00AB3D66">
        <w:rPr>
          <w:rFonts w:ascii="Arial TUR" w:hAnsi="Arial TUR" w:cs="FrankRuehl" w:hint="cs"/>
          <w:spacing w:val="10"/>
          <w:sz w:val="22"/>
          <w:szCs w:val="22"/>
          <w:rtl/>
        </w:rPr>
        <w:t xml:space="preserve">. </w:t>
      </w:r>
    </w:p>
    <w:p w:rsidR="0025709E" w:rsidRPr="00AB3D66" w:rsidRDefault="0025709E" w:rsidP="0025709E">
      <w:pPr>
        <w:tabs>
          <w:tab w:val="left" w:pos="800"/>
        </w:tabs>
        <w:overflowPunct w:val="0"/>
        <w:autoSpaceDE w:val="0"/>
        <w:autoSpaceDN w:val="0"/>
        <w:adjustRightInd w:val="0"/>
        <w:ind w:left="-682"/>
        <w:rPr>
          <w:rFonts w:ascii="Arial TUR" w:hAnsi="Arial TUR" w:cs="FrankRuehl"/>
          <w:spacing w:val="10"/>
          <w:sz w:val="22"/>
          <w:szCs w:val="22"/>
          <w:highlight w:val="yellow"/>
          <w:rtl/>
        </w:rPr>
      </w:pPr>
    </w:p>
    <w:p w:rsidR="0025709E" w:rsidRPr="00AB3D66" w:rsidRDefault="0025709E" w:rsidP="0025709E">
      <w:pPr>
        <w:tabs>
          <w:tab w:val="left" w:pos="800"/>
        </w:tabs>
        <w:overflowPunct w:val="0"/>
        <w:autoSpaceDE w:val="0"/>
        <w:autoSpaceDN w:val="0"/>
        <w:adjustRightInd w:val="0"/>
        <w:ind w:left="-682"/>
        <w:rPr>
          <w:rFonts w:ascii="Arial TUR" w:hAnsi="Arial TUR" w:cs="FrankRuehl"/>
          <w:spacing w:val="10"/>
          <w:sz w:val="22"/>
          <w:szCs w:val="22"/>
          <w:rtl/>
        </w:rPr>
      </w:pPr>
      <w:r w:rsidRPr="00AB3D66">
        <w:rPr>
          <w:rFonts w:ascii="Arial TUR" w:hAnsi="Arial TUR" w:cs="FrankRuehl" w:hint="cs"/>
          <w:spacing w:val="10"/>
          <w:sz w:val="22"/>
          <w:szCs w:val="22"/>
          <w:rtl/>
        </w:rPr>
        <w:tab/>
        <w:t xml:space="preserve">בהקשר זה יוער כי לא עיינו במסמכים המבוקשים ולפיכך מסכימות אנו כי אין לשלול החלטית אפשרות של פגיעה בפרטיות של העדים כתוצאה מחשיפת החומר המבוקש. השופטת </w:t>
      </w:r>
      <w:r w:rsidRPr="00AB3D66">
        <w:rPr>
          <w:rFonts w:cs="Miriam" w:hint="cs"/>
          <w:sz w:val="22"/>
          <w:szCs w:val="22"/>
          <w:rtl/>
        </w:rPr>
        <w:t>חיות</w:t>
      </w:r>
      <w:r w:rsidRPr="00AB3D66">
        <w:rPr>
          <w:rFonts w:ascii="Arial TUR" w:hAnsi="Arial TUR" w:cs="FrankRuehl" w:hint="cs"/>
          <w:spacing w:val="10"/>
          <w:sz w:val="22"/>
          <w:szCs w:val="22"/>
          <w:rtl/>
        </w:rPr>
        <w:t xml:space="preserve"> ציינה כי: "...יש לכאורה בחשיפתו של המידע בהליך המתנהל בין העותרת למשיבים בבית הדין האזורי לעבודה משום פגיעה בפרטיותם של המתלוננים והעדים ככל שניתנה להם התחייבות לסודיות המגבילה את היקף חשיפתו של המידע...", אלא שלשיטתה עוצמתה של הפגיעה נמוכה יחסית ואינה שקולה כנגד זכותם של המשיבים להליך הוגן שתיפגע אם לא יחשפו הפרוטוקולים ויתר מהמסכים המבוקשים (פס' 21 עמ' 27 לפסק-דינה). אף השופטת </w:t>
      </w:r>
      <w:r w:rsidRPr="00AB3D66">
        <w:rPr>
          <w:rFonts w:cs="Miriam" w:hint="cs"/>
          <w:sz w:val="22"/>
          <w:szCs w:val="22"/>
          <w:rtl/>
        </w:rPr>
        <w:t>נאור</w:t>
      </w:r>
      <w:r w:rsidRPr="00AB3D66">
        <w:rPr>
          <w:rFonts w:ascii="Arial TUR" w:hAnsi="Arial TUR" w:cs="FrankRuehl" w:hint="cs"/>
          <w:spacing w:val="10"/>
          <w:sz w:val="22"/>
          <w:szCs w:val="22"/>
          <w:rtl/>
        </w:rPr>
        <w:t xml:space="preserve"> ציינה כי "כיוון שהעדויות אינן לפנינו, מוכנה אני </w:t>
      </w:r>
      <w:r w:rsidRPr="00AB3D66">
        <w:rPr>
          <w:rFonts w:cs="Miriam" w:hint="cs"/>
          <w:sz w:val="22"/>
          <w:szCs w:val="22"/>
          <w:rtl/>
        </w:rPr>
        <w:t>להניח</w:t>
      </w:r>
      <w:r w:rsidRPr="00AB3D66">
        <w:rPr>
          <w:rFonts w:ascii="Arial TUR" w:hAnsi="Arial TUR" w:cs="FrankRuehl" w:hint="cs"/>
          <w:spacing w:val="10"/>
          <w:sz w:val="22"/>
          <w:szCs w:val="22"/>
          <w:rtl/>
        </w:rPr>
        <w:t xml:space="preserve"> לצורך הדיון כי נפגעה הזכות לפרטיות ביחס לחלק מהתלונות או העדויות... גם בהנחה שיש פגיעה מסוימת בפרטיות, הרי כשמניחים על כפות המאזניים את הפגיעה במתלוננים מול הפגיעה במשיבים, יד המשיבים על העליונה" (פס' 4 לפסק-דינה; ההדגשה במקור- ד.ב). </w:t>
      </w:r>
      <w:r w:rsidRPr="00AB3D66">
        <w:rPr>
          <w:rFonts w:ascii="Arial TUR" w:hAnsi="Arial TUR" w:cs="FrankRuehl" w:hint="cs"/>
          <w:spacing w:val="10"/>
          <w:sz w:val="22"/>
          <w:szCs w:val="22"/>
          <w:highlight w:val="yellow"/>
          <w:rtl/>
        </w:rPr>
        <w:t>כתמיכה בדברים אלה, ראוי להדגיש כי מאחר ובנסיבות העניין שלפנינו המשיבים אינם מתנגדים לקבלת החומר תוך השמטת שמות העדים ופרטים מזהים אחרים, ממילא טענות האוניברסיטה לפיהן מסירת החומר תפגע בפרטיות העדים וכתוצאה מכך יווצר "אפקט מצנן" בנוגע לפעולותיהן של ועדות בדיקה וולנטריות - מאבדות מעוצמתן</w:t>
      </w:r>
      <w:r w:rsidRPr="00AB3D66">
        <w:rPr>
          <w:rFonts w:ascii="Arial TUR" w:hAnsi="Arial TUR" w:cs="FrankRuehl" w:hint="cs"/>
          <w:spacing w:val="10"/>
          <w:sz w:val="22"/>
          <w:szCs w:val="22"/>
          <w:rtl/>
        </w:rPr>
        <w:t>. הנה כי כן, לשיטתי, גם בלא לעיין בחומר שהמשיבים מבקשים את גילויו, ניתן לומר כי עוצמת הפגיעה בזכות לפרטיות העדים נמוכה, ולו מן הטעם שקיימת הסכמה שלא לחשוף את שמות העדים ופרטים מזהים אחרים לגביהם. בהתחשב בכל אלה, אף אני סבורה כי אין בנסיבות המקרה כדי להצדיק את אי גילוי החומר המבוקש.</w:t>
      </w:r>
    </w:p>
    <w:p w:rsidR="0025709E" w:rsidRPr="00AB3D66" w:rsidRDefault="0025709E" w:rsidP="0025709E">
      <w:pPr>
        <w:tabs>
          <w:tab w:val="left" w:pos="800"/>
        </w:tabs>
        <w:overflowPunct w:val="0"/>
        <w:autoSpaceDE w:val="0"/>
        <w:autoSpaceDN w:val="0"/>
        <w:adjustRightInd w:val="0"/>
        <w:ind w:left="-682"/>
        <w:rPr>
          <w:rFonts w:ascii="Arial TUR" w:hAnsi="Arial TUR" w:cs="FrankRuehl"/>
          <w:spacing w:val="10"/>
          <w:sz w:val="22"/>
          <w:szCs w:val="22"/>
          <w:rtl/>
        </w:rPr>
      </w:pPr>
    </w:p>
    <w:p w:rsidR="0025709E" w:rsidRPr="00AB3D66" w:rsidRDefault="0025709E" w:rsidP="0025709E">
      <w:pPr>
        <w:tabs>
          <w:tab w:val="left" w:pos="800"/>
        </w:tabs>
        <w:overflowPunct w:val="0"/>
        <w:autoSpaceDE w:val="0"/>
        <w:autoSpaceDN w:val="0"/>
        <w:adjustRightInd w:val="0"/>
        <w:ind w:left="-682"/>
        <w:rPr>
          <w:rFonts w:ascii="Arial TUR" w:hAnsi="Arial TUR" w:cs="FrankRuehl"/>
          <w:spacing w:val="10"/>
          <w:sz w:val="22"/>
          <w:szCs w:val="22"/>
          <w:rtl/>
        </w:rPr>
      </w:pPr>
      <w:r w:rsidRPr="00AB3D66">
        <w:rPr>
          <w:rFonts w:ascii="Arial TUR" w:hAnsi="Arial TUR" w:cs="FrankRuehl" w:hint="cs"/>
          <w:spacing w:val="10"/>
          <w:sz w:val="22"/>
          <w:szCs w:val="22"/>
          <w:rtl/>
        </w:rPr>
        <w:tab/>
      </w:r>
      <w:r w:rsidRPr="00AB3D66">
        <w:rPr>
          <w:rFonts w:ascii="Arial TUR" w:hAnsi="Arial TUR" w:cs="FrankRuehl" w:hint="cs"/>
          <w:spacing w:val="10"/>
          <w:sz w:val="22"/>
          <w:szCs w:val="22"/>
          <w:highlight w:val="yellow"/>
          <w:rtl/>
        </w:rPr>
        <w:t>בהמשך לדברים האמורים ובלא להכריע בדבר, אעיר כי לדעתי, אין לשלול מראש אפשרות שבמקרים יוצאי-דופן, עשוי האינטרס הציבורי להצדיק הכרה בחיסיון הלכתי למניעת חשיפתם של מקורות שהעידו גם בפני ועדות בדיקה וולנטריות. כך למשל, בנוגע לועדות שתפקידן לבחון נושאים שיש אינטרס ציבורי מובהק לקבל מידע בעניינם, כאשר אי חשיפת המידע היה תנאי למסירתו או כאשר גילוי המידע עלול לפגוע בהמשך קבלתו (ראו והשוו להסדר הקבוע בסעיף 9(ב)(7) לחוק חופש המידע, התשנ"ח-1998). נסיבות יוצאות-דופן כאמור אינן מתקיימות במקרה שלפנינו</w:t>
      </w:r>
      <w:r w:rsidRPr="00AB3D66">
        <w:rPr>
          <w:rFonts w:ascii="Arial TUR" w:hAnsi="Arial TUR" w:cs="FrankRuehl" w:hint="cs"/>
          <w:spacing w:val="10"/>
          <w:sz w:val="22"/>
          <w:szCs w:val="22"/>
          <w:rtl/>
        </w:rPr>
        <w:t>. ועדת הבדיקה הוולנטרית שהוקמה על-ידי האוניברסיטה נועדה לבחון קשיים בהתנהלותו של החוג לתיאטרון בהיבט האקדמי והאדמיניסטרטיבי. אף שאין להמעיט בחשיבותן של ועדות מסוג זה לשיפור איכות ההוראה ולייעול ניהולן של מערכות התמך במוסדות אקדמיים, אין לומר כי קיים אינטרס ציבורי חיוני הגובר על הכלל הרחב של גילוי שטעמיו נעוצים הן בטובת הכלל ובחתירה לחשיפת האמת ולעשיית צדק בהליך השיפוטי, והן באינטרס האישי של המשיבים להתגונן כראוי מפני הפגיעה בעיסוקם ובכבודם.</w:t>
      </w:r>
    </w:p>
    <w:p w:rsidR="0025709E" w:rsidRPr="00AB3D66" w:rsidRDefault="0025709E" w:rsidP="0025709E">
      <w:pPr>
        <w:tabs>
          <w:tab w:val="left" w:pos="800"/>
        </w:tabs>
        <w:overflowPunct w:val="0"/>
        <w:autoSpaceDE w:val="0"/>
        <w:autoSpaceDN w:val="0"/>
        <w:adjustRightInd w:val="0"/>
        <w:ind w:left="-682"/>
        <w:rPr>
          <w:rFonts w:ascii="Arial TUR" w:hAnsi="Arial TUR" w:cs="FrankRuehl"/>
          <w:spacing w:val="10"/>
          <w:sz w:val="22"/>
          <w:szCs w:val="22"/>
          <w:rtl/>
        </w:rPr>
      </w:pPr>
      <w:r w:rsidRPr="00AB3D66">
        <w:rPr>
          <w:rFonts w:ascii="Arial TUR" w:hAnsi="Arial TUR" w:cs="FrankRuehl" w:hint="cs"/>
          <w:spacing w:val="10"/>
          <w:sz w:val="22"/>
          <w:szCs w:val="22"/>
          <w:rtl/>
        </w:rPr>
        <w:t xml:space="preserve"> </w:t>
      </w:r>
    </w:p>
    <w:p w:rsidR="0025709E" w:rsidRPr="00AB3D66" w:rsidRDefault="0025709E" w:rsidP="0025709E">
      <w:pPr>
        <w:tabs>
          <w:tab w:val="left" w:pos="800"/>
        </w:tabs>
        <w:overflowPunct w:val="0"/>
        <w:autoSpaceDE w:val="0"/>
        <w:autoSpaceDN w:val="0"/>
        <w:adjustRightInd w:val="0"/>
        <w:ind w:left="-682"/>
        <w:rPr>
          <w:rFonts w:ascii="Arial TUR" w:hAnsi="Arial TUR" w:cs="FrankRuehl"/>
          <w:spacing w:val="10"/>
          <w:sz w:val="22"/>
          <w:szCs w:val="22"/>
          <w:rtl/>
        </w:rPr>
      </w:pPr>
      <w:r w:rsidRPr="00AB3D66">
        <w:rPr>
          <w:rFonts w:ascii="Arial TUR" w:hAnsi="Arial TUR" w:cs="FrankRuehl" w:hint="cs"/>
          <w:spacing w:val="10"/>
          <w:sz w:val="22"/>
          <w:szCs w:val="22"/>
          <w:rtl/>
        </w:rPr>
        <w:t>3.</w:t>
      </w:r>
      <w:r w:rsidRPr="00AB3D66">
        <w:rPr>
          <w:rFonts w:ascii="Arial TUR" w:hAnsi="Arial TUR" w:cs="FrankRuehl" w:hint="cs"/>
          <w:spacing w:val="10"/>
          <w:sz w:val="22"/>
          <w:szCs w:val="22"/>
          <w:rtl/>
        </w:rPr>
        <w:tab/>
      </w:r>
      <w:r w:rsidRPr="00AB3D66">
        <w:rPr>
          <w:rFonts w:ascii="Arial TUR" w:hAnsi="Arial TUR" w:cs="FrankRuehl" w:hint="cs"/>
          <w:spacing w:val="10"/>
          <w:sz w:val="22"/>
          <w:szCs w:val="22"/>
          <w:highlight w:val="yellow"/>
          <w:rtl/>
        </w:rPr>
        <w:t xml:space="preserve">אשר להתחייבות החוזית לסודיות - דומה כי ההבדלים בין דעת השופטת </w:t>
      </w:r>
      <w:r w:rsidRPr="00AB3D66">
        <w:rPr>
          <w:rFonts w:cs="Miriam" w:hint="cs"/>
          <w:sz w:val="22"/>
          <w:szCs w:val="22"/>
          <w:highlight w:val="yellow"/>
          <w:rtl/>
        </w:rPr>
        <w:t>חיות</w:t>
      </w:r>
      <w:r w:rsidRPr="00AB3D66">
        <w:rPr>
          <w:rFonts w:ascii="Arial TUR" w:hAnsi="Arial TUR" w:cs="FrankRuehl" w:hint="cs"/>
          <w:spacing w:val="10"/>
          <w:sz w:val="22"/>
          <w:szCs w:val="22"/>
          <w:highlight w:val="yellow"/>
          <w:rtl/>
        </w:rPr>
        <w:t xml:space="preserve"> לדעתה של השופטת </w:t>
      </w:r>
      <w:r w:rsidRPr="00AB3D66">
        <w:rPr>
          <w:rFonts w:cs="Miriam" w:hint="cs"/>
          <w:sz w:val="22"/>
          <w:szCs w:val="22"/>
          <w:highlight w:val="yellow"/>
          <w:rtl/>
        </w:rPr>
        <w:t>נאור</w:t>
      </w:r>
      <w:r w:rsidRPr="00AB3D66">
        <w:rPr>
          <w:rFonts w:ascii="Arial TUR" w:hAnsi="Arial TUR" w:cs="FrankRuehl" w:hint="cs"/>
          <w:spacing w:val="10"/>
          <w:sz w:val="22"/>
          <w:szCs w:val="22"/>
          <w:highlight w:val="yellow"/>
          <w:rtl/>
        </w:rPr>
        <w:t xml:space="preserve"> בעניין זה אינם משמעותיים. הנחת הדיון הינה כי היה על ועדת הבדיקה לצפות אפשרות כי מסקנותיה ישמשו בסיס לנקיטת צעדים נגד המשיבים, ואף לניהול הליך משפטי בעניין.</w:t>
      </w:r>
      <w:r w:rsidRPr="00AB3D66">
        <w:rPr>
          <w:rFonts w:ascii="Arial TUR" w:hAnsi="Arial TUR" w:cs="FrankRuehl" w:hint="cs"/>
          <w:spacing w:val="10"/>
          <w:sz w:val="22"/>
          <w:szCs w:val="22"/>
          <w:rtl/>
        </w:rPr>
        <w:t xml:space="preserve"> בהתחשב בכך, מסכימות שתי חברותיי כי לא היה בכוחה של ועדת הבדיקה להתחייב בפני העדים לסודיות מוחלטת של עדויותיהם, באופן ובהיקף העומדים בסתירה לדין החל בעניין גילוי מסמכים; כך המצב, בהעדר אינטרס ציבורי חיוני וכבד-משקל, שבכוחו להצדיק גזירת חיסיון מעצם קיומה של התחייבות חוזית לסודיות. </w:t>
      </w:r>
    </w:p>
    <w:p w:rsidR="0025709E" w:rsidRPr="00AB3D66" w:rsidRDefault="0025709E" w:rsidP="0025709E">
      <w:pPr>
        <w:tabs>
          <w:tab w:val="left" w:pos="800"/>
        </w:tabs>
        <w:overflowPunct w:val="0"/>
        <w:autoSpaceDE w:val="0"/>
        <w:autoSpaceDN w:val="0"/>
        <w:adjustRightInd w:val="0"/>
        <w:ind w:left="-682"/>
        <w:rPr>
          <w:rFonts w:ascii="Arial TUR" w:hAnsi="Arial TUR" w:cs="FrankRuehl"/>
          <w:spacing w:val="10"/>
          <w:sz w:val="22"/>
          <w:szCs w:val="22"/>
          <w:rtl/>
        </w:rPr>
      </w:pPr>
    </w:p>
    <w:p w:rsidR="0025709E" w:rsidRPr="00AB3D66" w:rsidRDefault="0025709E" w:rsidP="0025709E">
      <w:pPr>
        <w:tabs>
          <w:tab w:val="left" w:pos="800"/>
        </w:tabs>
        <w:overflowPunct w:val="0"/>
        <w:autoSpaceDE w:val="0"/>
        <w:autoSpaceDN w:val="0"/>
        <w:adjustRightInd w:val="0"/>
        <w:ind w:left="-682"/>
        <w:rPr>
          <w:rFonts w:ascii="Arial TUR" w:hAnsi="Arial TUR" w:cs="FrankRuehl"/>
          <w:spacing w:val="10"/>
          <w:sz w:val="22"/>
          <w:szCs w:val="22"/>
          <w:rtl/>
        </w:rPr>
      </w:pPr>
      <w:r w:rsidRPr="00AB3D66">
        <w:rPr>
          <w:rFonts w:ascii="Arial TUR" w:hAnsi="Arial TUR" w:cs="FrankRuehl" w:hint="cs"/>
          <w:spacing w:val="10"/>
          <w:sz w:val="22"/>
          <w:szCs w:val="22"/>
          <w:rtl/>
        </w:rPr>
        <w:tab/>
        <w:t xml:space="preserve">כפי שצוין בפסקה 21 לפסק-דינה של השופטת </w:t>
      </w:r>
      <w:r w:rsidRPr="00AB3D66">
        <w:rPr>
          <w:rFonts w:cs="Miriam" w:hint="cs"/>
          <w:sz w:val="22"/>
          <w:szCs w:val="22"/>
          <w:rtl/>
        </w:rPr>
        <w:t>חיות</w:t>
      </w:r>
      <w:r w:rsidRPr="00AB3D66">
        <w:rPr>
          <w:rFonts w:ascii="Arial TUR" w:hAnsi="Arial TUR" w:cs="FrankRuehl" w:hint="cs"/>
          <w:spacing w:val="10"/>
          <w:sz w:val="22"/>
          <w:szCs w:val="22"/>
          <w:rtl/>
        </w:rPr>
        <w:t xml:space="preserve">, הנימוק המרכזי שהעלתה האוניברסיטה כנגד חשיפת החומר המבוקש, </w:t>
      </w:r>
      <w:r w:rsidRPr="00AB3D66">
        <w:rPr>
          <w:rFonts w:ascii="Arial TUR" w:hAnsi="Arial TUR" w:cs="FrankRuehl" w:hint="cs"/>
          <w:spacing w:val="10"/>
          <w:sz w:val="22"/>
          <w:szCs w:val="22"/>
          <w:highlight w:val="yellow"/>
          <w:rtl/>
        </w:rPr>
        <w:t>התבסס על החשש שמא המשיבים יתנכלו למי שהעיד נגדם. מבלי להביע כל עמדה בשאלה האם חשש זה מבוסס ומוצדק כשלעצמו, דומה כי המענה לו מבחינתה של האוניברסיטה, טמון באי חשיפת שמות ופרטים מזהים אחרים של העדים - להבדיל מחשיפת פרטי העדויות עצמן.</w:t>
      </w:r>
      <w:r w:rsidRPr="00AB3D66">
        <w:rPr>
          <w:rFonts w:ascii="Arial TUR" w:hAnsi="Arial TUR" w:cs="FrankRuehl" w:hint="cs"/>
          <w:spacing w:val="10"/>
          <w:sz w:val="22"/>
          <w:szCs w:val="22"/>
          <w:rtl/>
        </w:rPr>
        <w:t xml:space="preserve"> לגישתי, </w:t>
      </w:r>
      <w:r w:rsidRPr="00AB3D66">
        <w:rPr>
          <w:rFonts w:ascii="Arial TUR" w:hAnsi="Arial TUR" w:cs="FrankRuehl" w:hint="cs"/>
          <w:spacing w:val="10"/>
          <w:sz w:val="22"/>
          <w:szCs w:val="22"/>
          <w:highlight w:val="yellow"/>
          <w:rtl/>
        </w:rPr>
        <w:t xml:space="preserve">בהעדר חיסיון מוכר בדין כמבואר לעיל, יכולה היתה ועדת הבדיקה להתחייב בפני העדים רק כי </w:t>
      </w:r>
      <w:r w:rsidRPr="00AB3D66">
        <w:rPr>
          <w:rFonts w:cs="Miriam" w:hint="cs"/>
          <w:sz w:val="22"/>
          <w:szCs w:val="22"/>
          <w:highlight w:val="yellow"/>
          <w:rtl/>
        </w:rPr>
        <w:t>תעשה מאמץ</w:t>
      </w:r>
      <w:r w:rsidRPr="00AB3D66">
        <w:rPr>
          <w:rFonts w:ascii="Arial TUR" w:hAnsi="Arial TUR" w:cs="FrankRuehl" w:hint="cs"/>
          <w:spacing w:val="10"/>
          <w:sz w:val="22"/>
          <w:szCs w:val="22"/>
          <w:highlight w:val="yellow"/>
          <w:rtl/>
        </w:rPr>
        <w:t xml:space="preserve"> שלא לחשוף את שמותיהם או כל פרט מזהה אחר בעניינם - להבדיל מתוכן עדותם. ניתן לראות בכך מעין התחייבות </w:t>
      </w:r>
      <w:r w:rsidRPr="00AB3D66">
        <w:rPr>
          <w:rFonts w:cs="Miriam" w:hint="cs"/>
          <w:sz w:val="22"/>
          <w:szCs w:val="22"/>
          <w:highlight w:val="yellow"/>
          <w:rtl/>
        </w:rPr>
        <w:t>להשתדלות</w:t>
      </w:r>
      <w:r w:rsidRPr="00AB3D66">
        <w:rPr>
          <w:rFonts w:ascii="Arial TUR" w:hAnsi="Arial TUR" w:cs="FrankRuehl" w:hint="cs"/>
          <w:spacing w:val="10"/>
          <w:sz w:val="22"/>
          <w:szCs w:val="22"/>
          <w:highlight w:val="yellow"/>
          <w:rtl/>
        </w:rPr>
        <w:t xml:space="preserve"> שלא לחשוף את זהות העדים בנסיבות בהן יתקיים הליך משפטי, על-מנת לעודד שיתוף פעולה של מוסרי מידע עם הוועדה, בלא לסתור את הוראות הדין החלות על העניין</w:t>
      </w:r>
      <w:r w:rsidRPr="00AB3D66">
        <w:rPr>
          <w:rFonts w:ascii="Arial TUR" w:hAnsi="Arial TUR" w:cs="FrankRuehl" w:hint="cs"/>
          <w:spacing w:val="10"/>
          <w:sz w:val="22"/>
          <w:szCs w:val="22"/>
          <w:rtl/>
        </w:rPr>
        <w:t xml:space="preserve"> (לעניין "חיוב להשתדלות" ראו והשוו: ע"א 444/94 </w:t>
      </w:r>
      <w:r w:rsidRPr="00AB3D66">
        <w:rPr>
          <w:rFonts w:cs="Miriam" w:hint="cs"/>
          <w:sz w:val="22"/>
          <w:szCs w:val="22"/>
          <w:rtl/>
        </w:rPr>
        <w:t>אורות ייצוג אמנים נ' עטרי</w:t>
      </w:r>
      <w:r w:rsidRPr="00AB3D66">
        <w:rPr>
          <w:rFonts w:cs="FrankRuehl" w:hint="cs"/>
          <w:spacing w:val="10"/>
          <w:sz w:val="22"/>
          <w:szCs w:val="22"/>
          <w:rtl/>
        </w:rPr>
        <w:t>,</w:t>
      </w:r>
      <w:r w:rsidRPr="00AB3D66">
        <w:rPr>
          <w:rFonts w:cs="Miriam" w:hint="cs"/>
          <w:sz w:val="22"/>
          <w:szCs w:val="22"/>
          <w:rtl/>
        </w:rPr>
        <w:t xml:space="preserve"> </w:t>
      </w:r>
      <w:r w:rsidRPr="00AB3D66">
        <w:rPr>
          <w:rFonts w:ascii="Arial TUR" w:hAnsi="Arial TUR" w:cs="FrankRuehl" w:hint="cs"/>
          <w:spacing w:val="10"/>
          <w:sz w:val="22"/>
          <w:szCs w:val="22"/>
          <w:rtl/>
        </w:rPr>
        <w:t xml:space="preserve">פ"ד נא(5) 241, פס' 7 (1997)). </w:t>
      </w:r>
    </w:p>
    <w:p w:rsidR="0025709E" w:rsidRPr="00AB3D66" w:rsidRDefault="0025709E" w:rsidP="0025709E">
      <w:pPr>
        <w:tabs>
          <w:tab w:val="left" w:pos="800"/>
        </w:tabs>
        <w:overflowPunct w:val="0"/>
        <w:autoSpaceDE w:val="0"/>
        <w:autoSpaceDN w:val="0"/>
        <w:adjustRightInd w:val="0"/>
        <w:ind w:left="-682"/>
        <w:rPr>
          <w:rFonts w:ascii="Arial TUR" w:hAnsi="Arial TUR" w:cs="FrankRuehl"/>
          <w:spacing w:val="10"/>
          <w:sz w:val="22"/>
          <w:szCs w:val="22"/>
          <w:rtl/>
        </w:rPr>
      </w:pPr>
    </w:p>
    <w:p w:rsidR="0025709E" w:rsidRPr="00AB3D66" w:rsidRDefault="0025709E" w:rsidP="0025709E">
      <w:pPr>
        <w:tabs>
          <w:tab w:val="left" w:pos="800"/>
        </w:tabs>
        <w:overflowPunct w:val="0"/>
        <w:autoSpaceDE w:val="0"/>
        <w:autoSpaceDN w:val="0"/>
        <w:adjustRightInd w:val="0"/>
        <w:ind w:left="-682"/>
        <w:rPr>
          <w:rFonts w:ascii="Arial TUR" w:hAnsi="Arial TUR" w:cs="FrankRuehl"/>
          <w:spacing w:val="10"/>
          <w:sz w:val="22"/>
          <w:szCs w:val="22"/>
          <w:rtl/>
        </w:rPr>
      </w:pPr>
      <w:r w:rsidRPr="00AB3D66">
        <w:rPr>
          <w:rFonts w:ascii="Arial TUR" w:hAnsi="Arial TUR" w:cs="FrankRuehl" w:hint="cs"/>
          <w:spacing w:val="10"/>
          <w:sz w:val="22"/>
          <w:szCs w:val="22"/>
          <w:rtl/>
        </w:rPr>
        <w:tab/>
        <w:t xml:space="preserve">בנסיבות המקרה שלפנינו, המאמץ שלא לחשוף את זהות העדים שהופיעו בפני הוועדה נשא פרי, כיוון שכאמור, הושגה הסכמה - או, למצער, העדר התנגדות - מצד המשיבים לעיין בחומר המבוקש ללא גילוי שמותיהם של העדים ופרטים מזהים אחרים. לולא ההסכמה כאמור, יתכן שמשמעות ההתחייבות האמורה ל"השתדלות", עשויה היתה להיות העלאת טענה מצד האוניברסיטה במסגרת הליך גילוי המסמכים, ולפיה מן הראוי לברר תחילה האם חשיפת זהותם של העדים אמנם </w:t>
      </w:r>
      <w:r w:rsidRPr="00AB3D66">
        <w:rPr>
          <w:rFonts w:cs="Miriam" w:hint="cs"/>
          <w:sz w:val="22"/>
          <w:szCs w:val="22"/>
          <w:rtl/>
        </w:rPr>
        <w:t>חיונית</w:t>
      </w:r>
      <w:r w:rsidRPr="00AB3D66">
        <w:rPr>
          <w:rFonts w:ascii="Arial TUR" w:hAnsi="Arial TUR" w:cs="FrankRuehl" w:hint="cs"/>
          <w:spacing w:val="10"/>
          <w:sz w:val="22"/>
          <w:szCs w:val="22"/>
          <w:rtl/>
        </w:rPr>
        <w:t xml:space="preserve"> להגנת המשיבים, נוכח הפגיעה בפרטיות העדים שאינם צד להליך ושדבריהם בעניין חשיפת החומר לא נשמעו (ראו והשוו בהקשר אחר: בע"מ 3542/04 </w:t>
      </w:r>
      <w:r w:rsidRPr="00AB3D66">
        <w:rPr>
          <w:rFonts w:cs="Miriam" w:hint="cs"/>
          <w:sz w:val="22"/>
          <w:szCs w:val="22"/>
          <w:rtl/>
        </w:rPr>
        <w:t>סלס נ' סלס</w:t>
      </w:r>
      <w:r w:rsidRPr="00AB3D66">
        <w:rPr>
          <w:rFonts w:ascii="Arial TUR" w:hAnsi="Arial TUR" w:cs="FrankRuehl" w:hint="cs"/>
          <w:spacing w:val="10"/>
          <w:sz w:val="22"/>
          <w:szCs w:val="22"/>
          <w:rtl/>
        </w:rPr>
        <w:t xml:space="preserve"> (טרם פורסם, 20.6.2005), פס' 14 להחלטתה של השופטת </w:t>
      </w:r>
      <w:r w:rsidRPr="00AB3D66">
        <w:rPr>
          <w:rFonts w:cs="Miriam" w:hint="cs"/>
          <w:sz w:val="22"/>
          <w:szCs w:val="22"/>
          <w:rtl/>
        </w:rPr>
        <w:t>א' פרוקצ'יה</w:t>
      </w:r>
      <w:r w:rsidRPr="00AB3D66">
        <w:rPr>
          <w:rFonts w:ascii="Arial TUR" w:hAnsi="Arial TUR" w:cs="FrankRuehl" w:hint="cs"/>
          <w:spacing w:val="10"/>
          <w:sz w:val="22"/>
          <w:szCs w:val="22"/>
          <w:rtl/>
        </w:rPr>
        <w:t xml:space="preserve">, שם נדונה בקשה לגילוי חומר פרטי המצוי בידי צד שלישי שאינו בעל דין בהליך). </w:t>
      </w:r>
      <w:r w:rsidRPr="00AB3D66">
        <w:rPr>
          <w:rFonts w:ascii="Arial TUR" w:hAnsi="Arial TUR" w:cs="FrankRuehl" w:hint="cs"/>
          <w:spacing w:val="10"/>
          <w:sz w:val="22"/>
          <w:szCs w:val="22"/>
          <w:highlight w:val="lightGray"/>
          <w:rtl/>
        </w:rPr>
        <w:t>בין כך ובין אחרת, היתה נותרת בידי האוניברסיטה האפשרות לשקול האם להימנע מחשיפת זהותם של העדים על-ידי מתן הסכמה לקבלת התביעה בפני בית-הדין לעבודה</w:t>
      </w:r>
      <w:r w:rsidRPr="00AB3D66">
        <w:rPr>
          <w:rFonts w:ascii="Arial TUR" w:hAnsi="Arial TUR" w:cs="FrankRuehl" w:hint="cs"/>
          <w:spacing w:val="10"/>
          <w:sz w:val="22"/>
          <w:szCs w:val="22"/>
          <w:rtl/>
        </w:rPr>
        <w:t xml:space="preserve"> (ראו בעניין זה: פס' 6 לפסק-דינה של השופטת </w:t>
      </w:r>
      <w:r w:rsidRPr="00AB3D66">
        <w:rPr>
          <w:rFonts w:cs="Miriam" w:hint="cs"/>
          <w:sz w:val="22"/>
          <w:szCs w:val="22"/>
          <w:rtl/>
        </w:rPr>
        <w:t>נאור</w:t>
      </w:r>
      <w:r w:rsidRPr="00AB3D66">
        <w:rPr>
          <w:rFonts w:ascii="Arial TUR" w:hAnsi="Arial TUR" w:cs="FrankRuehl" w:hint="cs"/>
          <w:spacing w:val="10"/>
          <w:sz w:val="22"/>
          <w:szCs w:val="22"/>
          <w:rtl/>
        </w:rPr>
        <w:t xml:space="preserve">). </w:t>
      </w:r>
    </w:p>
    <w:p w:rsidR="0025709E" w:rsidRPr="00AB3D66" w:rsidRDefault="0025709E" w:rsidP="0025709E">
      <w:pPr>
        <w:tabs>
          <w:tab w:val="left" w:pos="800"/>
        </w:tabs>
        <w:overflowPunct w:val="0"/>
        <w:autoSpaceDE w:val="0"/>
        <w:autoSpaceDN w:val="0"/>
        <w:adjustRightInd w:val="0"/>
        <w:ind w:left="-682"/>
        <w:rPr>
          <w:rFonts w:ascii="Arial TUR" w:hAnsi="Arial TUR" w:cs="FrankRuehl"/>
          <w:spacing w:val="10"/>
          <w:sz w:val="22"/>
          <w:szCs w:val="22"/>
          <w:rtl/>
        </w:rPr>
      </w:pPr>
    </w:p>
    <w:p w:rsidR="0025709E" w:rsidRPr="00AB3D66" w:rsidRDefault="0025709E" w:rsidP="0025709E">
      <w:pPr>
        <w:tabs>
          <w:tab w:val="left" w:pos="800"/>
        </w:tabs>
        <w:overflowPunct w:val="0"/>
        <w:autoSpaceDE w:val="0"/>
        <w:autoSpaceDN w:val="0"/>
        <w:adjustRightInd w:val="0"/>
        <w:ind w:left="-682"/>
        <w:rPr>
          <w:rFonts w:cs="FrankRuehl"/>
          <w:sz w:val="22"/>
          <w:szCs w:val="22"/>
          <w:highlight w:val="yellow"/>
          <w:rtl/>
        </w:rPr>
      </w:pPr>
      <w:r w:rsidRPr="00AB3D66">
        <w:rPr>
          <w:rFonts w:ascii="Arial TUR" w:hAnsi="Arial TUR" w:cs="FrankRuehl" w:hint="cs"/>
          <w:spacing w:val="10"/>
          <w:sz w:val="22"/>
          <w:szCs w:val="22"/>
          <w:rtl/>
        </w:rPr>
        <w:tab/>
      </w:r>
      <w:r w:rsidRPr="00AB3D66">
        <w:rPr>
          <w:rFonts w:ascii="Arial TUR" w:hAnsi="Arial TUR" w:cs="FrankRuehl" w:hint="cs"/>
          <w:spacing w:val="10"/>
          <w:sz w:val="22"/>
          <w:szCs w:val="22"/>
          <w:highlight w:val="yellow"/>
          <w:rtl/>
        </w:rPr>
        <w:t>הנה כי כן, שלא כעולה מפסיקתו של בית-הדין הארצי לעבודה, אני סבורה כי העדר חיסיון אין משמעותו כי ועדת הבדיקה לא היתה רשאית להבטיח דבר כלשהוא בעניין חשיפת העדויות שהובאו בפניה. עם זאת, מהות והיקף ההתחייבות בעניין זה צריכים להיגזר מהוראות הדין החלות על העניין. על-פני הדברים, דומה כי בנסיבות המקרה שלפנינו, ההתחייבות שנתנה ועדת הבדיקה לעדים לא הופרה בעיקרה, נוכח הקביעה לפיה החומר יימסר למשיבים ללא גילוי זהותם של העדים.</w:t>
      </w:r>
      <w:r w:rsidRPr="00AB3D66">
        <w:rPr>
          <w:rFonts w:ascii="Arial TUR" w:hAnsi="Arial TUR" w:cs="FrankRuehl" w:hint="cs"/>
          <w:spacing w:val="10"/>
          <w:sz w:val="22"/>
          <w:szCs w:val="22"/>
          <w:rtl/>
        </w:rPr>
        <w:t xml:space="preserve"> עם זאת, הסוגיה הנוגעת למערכת היחסים החוזית שבין ועדת הבדיקה לבין העדים שהופיעו בפניה אינה עומדת לדיון לפנינו, ולפיכך אינני רואה להכריע בה.    </w:t>
      </w:r>
    </w:p>
    <w:p w:rsidR="0025709E" w:rsidRDefault="0025709E" w:rsidP="0025709E">
      <w:pPr>
        <w:spacing w:after="120"/>
        <w:ind w:left="-682"/>
        <w:jc w:val="left"/>
        <w:rPr>
          <w:b/>
          <w:bCs/>
          <w:highlight w:val="yellow"/>
          <w:rtl/>
        </w:rPr>
      </w:pPr>
      <w:r>
        <w:rPr>
          <w:rFonts w:hint="cs"/>
          <w:b/>
          <w:bCs/>
          <w:highlight w:val="yellow"/>
          <w:rtl/>
        </w:rPr>
        <w:t>=-=</w:t>
      </w:r>
    </w:p>
    <w:p w:rsidR="0025709E" w:rsidRPr="009340EA" w:rsidRDefault="0025709E" w:rsidP="0025709E">
      <w:pPr>
        <w:spacing w:after="240"/>
        <w:ind w:left="-680"/>
        <w:jc w:val="center"/>
        <w:rPr>
          <w:rFonts w:cs="Guttman-Soncino"/>
          <w:b/>
          <w:bCs/>
          <w:sz w:val="28"/>
          <w:szCs w:val="28"/>
          <w:rtl/>
        </w:rPr>
      </w:pPr>
      <w:r w:rsidRPr="009340EA">
        <w:rPr>
          <w:rFonts w:cs="Guttman-Soncino" w:hint="cs"/>
          <w:b/>
          <w:bCs/>
          <w:sz w:val="28"/>
          <w:szCs w:val="28"/>
          <w:highlight w:val="yellow"/>
          <w:rtl/>
        </w:rPr>
        <w:t>חובה סמוכה, "חובת ההיוועצות"</w:t>
      </w:r>
    </w:p>
    <w:p w:rsidR="0025709E" w:rsidRPr="00A03B53" w:rsidRDefault="0025709E" w:rsidP="0025709E">
      <w:pPr>
        <w:ind w:left="-682"/>
        <w:jc w:val="left"/>
        <w:rPr>
          <w:sz w:val="22"/>
          <w:szCs w:val="22"/>
          <w:rtl/>
        </w:rPr>
      </w:pPr>
      <w:r w:rsidRPr="00A03B53">
        <w:rPr>
          <w:sz w:val="22"/>
          <w:szCs w:val="22"/>
          <w:highlight w:val="yellow"/>
          <w:rtl/>
        </w:rPr>
        <w:t xml:space="preserve">בג"צ 5933/98 </w:t>
      </w:r>
      <w:r w:rsidRPr="00A03B53">
        <w:rPr>
          <w:b/>
          <w:bCs/>
          <w:sz w:val="22"/>
          <w:szCs w:val="22"/>
          <w:highlight w:val="yellow"/>
          <w:rtl/>
        </w:rPr>
        <w:t>פורום היוצרים הדוקומנטריים נ' נשיא המדינה</w:t>
      </w:r>
      <w:r w:rsidRPr="00A03B53">
        <w:rPr>
          <w:sz w:val="22"/>
          <w:szCs w:val="22"/>
          <w:highlight w:val="yellow"/>
          <w:rtl/>
        </w:rPr>
        <w:t>, פ"ד נד(3) 496</w:t>
      </w:r>
      <w:r w:rsidRPr="00A03B53">
        <w:rPr>
          <w:rFonts w:hint="cs"/>
          <w:sz w:val="22"/>
          <w:szCs w:val="22"/>
          <w:highlight w:val="yellow"/>
          <w:rtl/>
        </w:rPr>
        <w:t xml:space="preserve"> (2000)</w:t>
      </w:r>
    </w:p>
    <w:p w:rsidR="0025709E" w:rsidRDefault="0025709E" w:rsidP="0025709E">
      <w:pPr>
        <w:spacing w:after="60"/>
        <w:ind w:left="-682"/>
        <w:jc w:val="left"/>
        <w:rPr>
          <w:rFonts w:cs="FrankRuehl"/>
          <w:sz w:val="22"/>
          <w:szCs w:val="22"/>
          <w:rtl/>
        </w:rPr>
      </w:pPr>
    </w:p>
    <w:p w:rsidR="0025709E" w:rsidRPr="0039522C" w:rsidRDefault="0025709E" w:rsidP="0025709E">
      <w:pPr>
        <w:spacing w:after="60"/>
        <w:ind w:left="-682"/>
        <w:jc w:val="left"/>
        <w:rPr>
          <w:rFonts w:ascii="Arial" w:hAnsi="Arial" w:cs="Arial"/>
          <w:sz w:val="18"/>
          <w:szCs w:val="18"/>
          <w:rtl/>
        </w:rPr>
      </w:pPr>
      <w:r w:rsidRPr="0039522C">
        <w:rPr>
          <w:rFonts w:ascii="Arial" w:hAnsi="Arial" w:cs="Arial"/>
          <w:sz w:val="18"/>
          <w:szCs w:val="18"/>
          <w:rtl/>
        </w:rPr>
        <w:t>[סעיף 7(א) ל</w:t>
      </w:r>
      <w:hyperlink r:id="rId417" w:history="1">
        <w:r w:rsidRPr="0039522C">
          <w:rPr>
            <w:rStyle w:val="Hyperlink"/>
            <w:rFonts w:ascii="Arial" w:hAnsi="Arial" w:cs="Arial"/>
            <w:sz w:val="18"/>
            <w:szCs w:val="18"/>
            <w:rtl/>
          </w:rPr>
          <w:t>חוק רשות השידור</w:t>
        </w:r>
      </w:hyperlink>
      <w:r w:rsidRPr="0039522C">
        <w:rPr>
          <w:rFonts w:ascii="Arial" w:hAnsi="Arial" w:cs="Arial"/>
          <w:sz w:val="18"/>
          <w:szCs w:val="18"/>
          <w:rtl/>
        </w:rPr>
        <w:t>, תשכ"ה-1965 (להלן – החוק) קובע כי 30 מתוך 31 חברי מליאת רשות השידור (להלן – המליאה) ימונו על-ידי נשיא המדינה על-פי המלצת הממשלה, וזאת לאחר שהממשלה תקיים התייעצות עם הארגונים היציגים של הסופרים, של המורים ושל האמנים בישראל, עם מוסדות ההשכלה הגבוהה, עם האקדמיה ללשון עברית ועם גופים ציבוריים אחרים שיש להם זיקה לענייני שידור. העותרים טוענים כי הממשלה כשלה במילוי חובת ההתייעצות המוקדמת שהוטלה עליה בחוק. הם מבקשים להורות על בטלות מינוייהם של חברי המליאה שמונו.]</w:t>
      </w:r>
    </w:p>
    <w:p w:rsidR="0025709E" w:rsidRDefault="0025709E" w:rsidP="0025709E">
      <w:pPr>
        <w:spacing w:after="60"/>
        <w:ind w:left="-682"/>
        <w:jc w:val="left"/>
        <w:rPr>
          <w:rFonts w:cs="FrankRuehl"/>
          <w:sz w:val="22"/>
          <w:szCs w:val="22"/>
          <w:rtl/>
        </w:rPr>
      </w:pPr>
      <w:r w:rsidRPr="00DF7963">
        <w:rPr>
          <w:rFonts w:cs="FrankRuehl"/>
          <w:sz w:val="22"/>
          <w:szCs w:val="22"/>
          <w:rtl/>
        </w:rPr>
        <w:t>ענייננו זו הפעם סב-הולך סביב הסוגיה של התייעצות סטטוטורית. חוק מקנה סמכות לרשות פלונית לעשות מעשה או להחליט החלטה, אך מוסיף הוא וקובע כי אותה רשות לא תעשה מעשה שהוסמכה לעשותו או לא תחליט החלטה שהוסמכה להחליטה, עד שתיוועץ באדם או בגוף פלונים. כיצד תמלא הרשות בת-הסמך אותה חובת התייעצות שהוטלה עליה, ומה מסקנה נסיק אם כשלה הרשות במילוי חובתה זו, כולה או חלקה? בשאלות אלו ובשאלות נלוות אליהן נהפוך בחוות-דעתנו זו.</w:t>
      </w:r>
    </w:p>
    <w:p w:rsidR="0025709E" w:rsidRPr="00F955CA" w:rsidRDefault="0025709E" w:rsidP="0025709E">
      <w:pPr>
        <w:pStyle w:val="a6"/>
        <w:spacing w:after="60" w:line="240" w:lineRule="auto"/>
        <w:ind w:left="-682"/>
        <w:rPr>
          <w:b/>
          <w:bCs/>
          <w:sz w:val="22"/>
          <w:szCs w:val="22"/>
          <w:rtl/>
        </w:rPr>
      </w:pPr>
      <w:r w:rsidRPr="00F955CA">
        <w:rPr>
          <w:b/>
          <w:bCs/>
          <w:sz w:val="22"/>
          <w:szCs w:val="22"/>
          <w:rtl/>
        </w:rPr>
        <w:t>מקצת הוראות החוק שלעניין והשאלה שבמחלוקת</w:t>
      </w:r>
    </w:p>
    <w:p w:rsidR="0025709E" w:rsidRPr="00F955CA" w:rsidRDefault="0025709E" w:rsidP="0025709E">
      <w:pPr>
        <w:pStyle w:val="a6"/>
        <w:spacing w:after="60" w:line="240" w:lineRule="auto"/>
        <w:ind w:left="-682"/>
        <w:rPr>
          <w:sz w:val="22"/>
          <w:szCs w:val="22"/>
          <w:rtl/>
        </w:rPr>
      </w:pPr>
      <w:r>
        <w:rPr>
          <w:rFonts w:hint="cs"/>
          <w:sz w:val="22"/>
          <w:szCs w:val="22"/>
          <w:rtl/>
        </w:rPr>
        <w:t>...</w:t>
      </w:r>
    </w:p>
    <w:p w:rsidR="0025709E" w:rsidRPr="00F955CA" w:rsidRDefault="0025709E" w:rsidP="0025709E">
      <w:pPr>
        <w:pStyle w:val="a6"/>
        <w:spacing w:after="60" w:line="240" w:lineRule="auto"/>
        <w:ind w:left="-682"/>
        <w:rPr>
          <w:sz w:val="22"/>
          <w:szCs w:val="22"/>
          <w:rtl/>
        </w:rPr>
      </w:pPr>
      <w:r w:rsidRPr="00F955CA">
        <w:rPr>
          <w:sz w:val="22"/>
          <w:szCs w:val="22"/>
          <w:rtl/>
        </w:rPr>
        <w:t>3.</w:t>
      </w:r>
      <w:r w:rsidRPr="00F955CA">
        <w:rPr>
          <w:sz w:val="22"/>
          <w:szCs w:val="22"/>
          <w:rtl/>
        </w:rPr>
        <w:tab/>
        <w:t>החוק מורה אותנו כי במליאת רשות השידור יכהנו שלושים ואחד חברים – שאותם ממנה נשיא המדינה – ומוסיף הוא ומפרט בדרך המינוי. וזו לשונו של סעיף 7(א) ל</w:t>
      </w:r>
      <w:hyperlink r:id="rId418" w:history="1">
        <w:r w:rsidRPr="00F955CA">
          <w:rPr>
            <w:rStyle w:val="Hyperlink"/>
            <w:sz w:val="22"/>
            <w:szCs w:val="22"/>
            <w:rtl/>
          </w:rPr>
          <w:t>חוק רשות השידור</w:t>
        </w:r>
      </w:hyperlink>
      <w:r w:rsidRPr="00F955CA">
        <w:rPr>
          <w:sz w:val="22"/>
          <w:szCs w:val="22"/>
          <w:rtl/>
        </w:rPr>
        <w:t xml:space="preserve">: </w:t>
      </w:r>
    </w:p>
    <w:p w:rsidR="0025709E" w:rsidRPr="00F955CA" w:rsidRDefault="0025709E" w:rsidP="0025709E">
      <w:pPr>
        <w:pStyle w:val="a7"/>
        <w:spacing w:after="60" w:line="240" w:lineRule="auto"/>
        <w:ind w:left="1236" w:hanging="1956"/>
        <w:rPr>
          <w:rFonts w:cs="David"/>
          <w:szCs w:val="20"/>
          <w:rtl/>
        </w:rPr>
      </w:pPr>
      <w:r w:rsidRPr="00F955CA">
        <w:rPr>
          <w:rFonts w:cs="David"/>
          <w:b/>
          <w:szCs w:val="20"/>
          <w:rtl/>
        </w:rPr>
        <w:t>"הרכב המליאה</w:t>
      </w:r>
      <w:r>
        <w:rPr>
          <w:rFonts w:cs="David"/>
          <w:b/>
          <w:szCs w:val="20"/>
          <w:rtl/>
        </w:rPr>
        <w:t xml:space="preserve"> </w:t>
      </w:r>
      <w:r w:rsidRPr="00F955CA">
        <w:rPr>
          <w:rFonts w:cs="David"/>
          <w:b/>
          <w:szCs w:val="20"/>
          <w:rtl/>
        </w:rPr>
        <w:t xml:space="preserve"> </w:t>
      </w:r>
      <w:r w:rsidRPr="00F955CA">
        <w:rPr>
          <w:rFonts w:cs="David"/>
          <w:szCs w:val="20"/>
          <w:rtl/>
        </w:rPr>
        <w:t>7. (א)</w:t>
      </w:r>
      <w:r w:rsidRPr="00F955CA">
        <w:rPr>
          <w:rFonts w:cs="David"/>
          <w:szCs w:val="20"/>
          <w:rtl/>
        </w:rPr>
        <w:tab/>
        <w:t>לרשות תהיה מליאה של שלושים ואחד חברים שימנה נשיא המדינה והם:</w:t>
      </w:r>
    </w:p>
    <w:p w:rsidR="0025709E" w:rsidRPr="00F955CA" w:rsidRDefault="0025709E" w:rsidP="0025709E">
      <w:pPr>
        <w:pStyle w:val="a7"/>
        <w:spacing w:after="60" w:line="240" w:lineRule="auto"/>
        <w:ind w:left="1236" w:hanging="425"/>
        <w:rPr>
          <w:rFonts w:cs="David"/>
          <w:szCs w:val="20"/>
          <w:rtl/>
        </w:rPr>
      </w:pPr>
      <w:r w:rsidRPr="00F955CA">
        <w:rPr>
          <w:rFonts w:cs="David"/>
          <w:szCs w:val="20"/>
          <w:rtl/>
        </w:rPr>
        <w:t>(1)</w:t>
      </w:r>
      <w:r w:rsidRPr="00F955CA">
        <w:rPr>
          <w:rFonts w:cs="David"/>
          <w:szCs w:val="20"/>
          <w:rtl/>
        </w:rPr>
        <w:tab/>
      </w:r>
      <w:r w:rsidRPr="00F955CA">
        <w:rPr>
          <w:rFonts w:cs="David"/>
          <w:szCs w:val="20"/>
          <w:highlight w:val="yellow"/>
          <w:rtl/>
        </w:rPr>
        <w:t>שלושים אנשי ציבור שהמליצה עליהם הממשלה לאחר התייעצות עם הארגונים היציגים של הסופרים, המורים והאמנים בישראל, עם מוסדות ההשכלה הגבוהה והאקדמיה ללשון העברית</w:t>
      </w:r>
      <w:r w:rsidRPr="00F955CA">
        <w:rPr>
          <w:rFonts w:cs="David"/>
          <w:szCs w:val="20"/>
          <w:rtl/>
        </w:rPr>
        <w:t xml:space="preserve"> ועם </w:t>
      </w:r>
      <w:r w:rsidRPr="00F955CA">
        <w:rPr>
          <w:rFonts w:cs="David"/>
          <w:szCs w:val="20"/>
          <w:highlight w:val="yellow"/>
          <w:rtl/>
        </w:rPr>
        <w:t>גופים ציבוריים אחרים שיש להם זיקה לעניני שידור</w:t>
      </w:r>
      <w:r w:rsidRPr="00F955CA">
        <w:rPr>
          <w:rFonts w:cs="David"/>
          <w:szCs w:val="20"/>
          <w:rtl/>
        </w:rPr>
        <w:t>, ובלבד שלא יהיו ביניהם יותר מארבעה עובדי המדינה; לעניין פסקה זו לא ייחשב מורה כעובד המדינה;</w:t>
      </w:r>
    </w:p>
    <w:p w:rsidR="0025709E" w:rsidRPr="00F955CA" w:rsidRDefault="0025709E" w:rsidP="0025709E">
      <w:pPr>
        <w:pStyle w:val="a7"/>
        <w:spacing w:after="60" w:line="240" w:lineRule="auto"/>
        <w:ind w:left="1236" w:hanging="425"/>
        <w:rPr>
          <w:sz w:val="22"/>
          <w:szCs w:val="22"/>
          <w:rtl/>
        </w:rPr>
      </w:pPr>
      <w:r w:rsidRPr="00F955CA">
        <w:rPr>
          <w:rFonts w:cs="David"/>
          <w:szCs w:val="20"/>
          <w:rtl/>
        </w:rPr>
        <w:t>(2)</w:t>
      </w:r>
      <w:r w:rsidRPr="00F955CA">
        <w:rPr>
          <w:rFonts w:cs="David"/>
          <w:szCs w:val="20"/>
          <w:rtl/>
        </w:rPr>
        <w:tab/>
        <w:t>נציג אחד של הסוכנות היהודית שיומלץ על ידיה".</w:t>
      </w:r>
    </w:p>
    <w:p w:rsidR="0025709E" w:rsidRPr="00DF7963" w:rsidRDefault="005D7968" w:rsidP="0025709E">
      <w:pPr>
        <w:spacing w:after="60"/>
        <w:ind w:left="-682"/>
        <w:jc w:val="left"/>
        <w:rPr>
          <w:rFonts w:cs="FrankRuehl"/>
          <w:sz w:val="22"/>
          <w:szCs w:val="22"/>
          <w:rtl/>
        </w:rPr>
      </w:pPr>
      <w:r>
        <w:rPr>
          <w:rFonts w:cs="FrankRuehl"/>
          <w:sz w:val="22"/>
          <w:szCs w:val="22"/>
          <w:rtl/>
        </w:rPr>
        <w:pict>
          <v:group id="_x0000_s1252" style="position:absolute;left:0;text-align:left;margin-left:348.7pt;margin-top:25.5pt;width:14.25pt;height:408.3pt;z-index:251859968;mso-position-vertical-relative:margin" coordsize="20000,20000" o:allowincell="f">
            <v:rect id="_x0000_s1253" style="position:absolute;width:20000;height:698" filled="f" stroked="f" strokeweight=".25pt">
              <v:textbox inset="1pt,1pt,1pt,1pt">
                <w:txbxContent>
                  <w:p w:rsidR="0025709E" w:rsidRPr="00F955CA" w:rsidRDefault="0025709E" w:rsidP="0025709E">
                    <w:pPr>
                      <w:rPr>
                        <w:rtl/>
                      </w:rPr>
                    </w:pPr>
                  </w:p>
                </w:txbxContent>
              </v:textbox>
            </v:rect>
            <v:rect id="_x0000_s1254" style="position:absolute;top:3262;width:20000;height:698" filled="f" stroked="f">
              <v:textbox inset="1pt,1pt,1pt,1pt">
                <w:txbxContent>
                  <w:p w:rsidR="0025709E" w:rsidRPr="00F955CA" w:rsidRDefault="0025709E" w:rsidP="0025709E">
                    <w:pPr>
                      <w:rPr>
                        <w:rtl/>
                      </w:rPr>
                    </w:pPr>
                  </w:p>
                </w:txbxContent>
              </v:textbox>
            </v:rect>
            <v:rect id="_x0000_s1255" style="position:absolute;top:6458;width:20000;height:698" filled="f" stroked="f">
              <v:textbox inset="1pt,1pt,1pt,1pt">
                <w:txbxContent>
                  <w:p w:rsidR="0025709E" w:rsidRDefault="0025709E" w:rsidP="0025709E">
                    <w:pPr>
                      <w:rPr>
                        <w:rtl/>
                      </w:rPr>
                    </w:pPr>
                  </w:p>
                </w:txbxContent>
              </v:textbox>
            </v:rect>
            <v:rect id="_x0000_s1256" style="position:absolute;top:9652;width:20000;height:698" filled="f" stroked="f">
              <v:textbox inset="1pt,1pt,1pt,1pt">
                <w:txbxContent>
                  <w:p w:rsidR="0025709E" w:rsidRDefault="0025709E" w:rsidP="0025709E">
                    <w:pPr>
                      <w:rPr>
                        <w:rtl/>
                      </w:rPr>
                    </w:pPr>
                  </w:p>
                </w:txbxContent>
              </v:textbox>
            </v:rect>
            <v:rect id="_x0000_s1257" style="position:absolute;top:12846;width:20000;height:698" filled="f" stroked="f">
              <v:textbox inset="1pt,1pt,1pt,1pt">
                <w:txbxContent>
                  <w:p w:rsidR="0025709E" w:rsidRPr="00F955CA" w:rsidRDefault="0025709E" w:rsidP="0025709E">
                    <w:pPr>
                      <w:rPr>
                        <w:rtl/>
                      </w:rPr>
                    </w:pPr>
                  </w:p>
                </w:txbxContent>
              </v:textbox>
            </v:rect>
            <v:rect id="_x0000_s1258" style="position:absolute;top:16108;width:20000;height:698" filled="f" stroked="f">
              <v:textbox inset="1pt,1pt,1pt,1pt">
                <w:txbxContent>
                  <w:p w:rsidR="0025709E" w:rsidRPr="00F955CA" w:rsidRDefault="0025709E" w:rsidP="0025709E">
                    <w:pPr>
                      <w:rPr>
                        <w:rtl/>
                      </w:rPr>
                    </w:pPr>
                  </w:p>
                </w:txbxContent>
              </v:textbox>
            </v:rect>
            <v:rect id="_x0000_s1259" style="position:absolute;top:19302;width:20000;height:698" filled="f" stroked="f">
              <v:textbox inset="1pt,1pt,1pt,1pt">
                <w:txbxContent>
                  <w:p w:rsidR="0025709E" w:rsidRPr="00F955CA" w:rsidRDefault="0025709E" w:rsidP="0025709E">
                    <w:pPr>
                      <w:rPr>
                        <w:rtl/>
                      </w:rPr>
                    </w:pPr>
                  </w:p>
                </w:txbxContent>
              </v:textbox>
            </v:rect>
            <w10:wrap anchory="margin"/>
          </v:group>
        </w:pict>
      </w:r>
      <w:r w:rsidR="0025709E" w:rsidRPr="00F955CA">
        <w:rPr>
          <w:rFonts w:cs="FrankRuehl"/>
          <w:sz w:val="22"/>
          <w:szCs w:val="22"/>
          <w:rtl/>
        </w:rPr>
        <w:t>שלושים מחברי המליאה – אנשי ציבור – אמורים אפוא להתמנות על</w:t>
      </w:r>
      <w:r w:rsidR="0025709E" w:rsidRPr="00F955CA">
        <w:rPr>
          <w:rFonts w:cs="FrankRuehl"/>
          <w:position w:val="4"/>
          <w:sz w:val="22"/>
          <w:szCs w:val="22"/>
          <w:rtl/>
        </w:rPr>
        <w:t>-</w:t>
      </w:r>
      <w:r w:rsidR="0025709E" w:rsidRPr="00F955CA">
        <w:rPr>
          <w:rFonts w:cs="FrankRuehl"/>
          <w:sz w:val="22"/>
          <w:szCs w:val="22"/>
          <w:rtl/>
        </w:rPr>
        <w:t>פי המלצת הממשלה, והממשלה תיתן את המלצתה – כך מוסיף ומלמד אותנו החוק – לאחר התייעצות עם גופים ועם ארגונים המתוארים בסעיף 7(א). הכוח העיקרי ניתן אפוא בידי הממשלה, אך הממשלה לא תקיים את סמכותה כראוי אלא אם תיקח דברים ("לאחר התייעצות") עם גופי</w:t>
      </w:r>
      <w:r w:rsidR="0025709E" w:rsidRPr="00F955CA">
        <w:rPr>
          <w:rFonts w:cs="FrankRuehl"/>
          <w:position w:val="4"/>
          <w:sz w:val="22"/>
          <w:szCs w:val="22"/>
          <w:rtl/>
        </w:rPr>
        <w:t>-</w:t>
      </w:r>
      <w:r w:rsidR="0025709E" w:rsidRPr="00F955CA">
        <w:rPr>
          <w:rFonts w:cs="FrankRuehl"/>
          <w:sz w:val="22"/>
          <w:szCs w:val="22"/>
          <w:rtl/>
        </w:rPr>
        <w:t xml:space="preserve">תרבות אלה ואחרים "ועם גופים ציבוריים אחרים שיש להם זיקה לעניני שידור". לשון אחר: הגם שסמכות ההמלצה – קרא, סמכות ההחלטה – היא בידי הממשלה, </w:t>
      </w:r>
      <w:r w:rsidR="0025709E" w:rsidRPr="00F955CA">
        <w:rPr>
          <w:rFonts w:cs="FrankRuehl"/>
          <w:b/>
          <w:sz w:val="22"/>
          <w:szCs w:val="22"/>
          <w:rtl/>
        </w:rPr>
        <w:t>חובה</w:t>
      </w:r>
      <w:r w:rsidR="0025709E" w:rsidRPr="00F955CA">
        <w:rPr>
          <w:rFonts w:cs="FrankRuehl"/>
          <w:sz w:val="22"/>
          <w:szCs w:val="22"/>
          <w:rtl/>
        </w:rPr>
        <w:t xml:space="preserve"> היא המוטלת עליה – חובה שזמנה הוא קודם מעשה ההמלצה – להיוועץ בגופים מסוימים בשאלה מִי</w:t>
      </w:r>
      <w:r w:rsidR="0025709E" w:rsidRPr="00F955CA">
        <w:rPr>
          <w:rFonts w:cs="FrankRuehl"/>
          <w:position w:val="4"/>
          <w:sz w:val="22"/>
          <w:szCs w:val="22"/>
          <w:rtl/>
        </w:rPr>
        <w:t>-</w:t>
      </w:r>
      <w:r w:rsidR="0025709E" w:rsidRPr="00F955CA">
        <w:rPr>
          <w:rFonts w:cs="FrankRuehl"/>
          <w:sz w:val="22"/>
          <w:szCs w:val="22"/>
          <w:rtl/>
        </w:rPr>
        <w:t>וָמִי יהיו במומלצים.</w:t>
      </w:r>
      <w:r w:rsidR="0025709E">
        <w:rPr>
          <w:rFonts w:cs="FrankRuehl" w:hint="cs"/>
          <w:sz w:val="22"/>
          <w:szCs w:val="22"/>
          <w:rtl/>
        </w:rPr>
        <w:t xml:space="preserve"> [...]</w:t>
      </w:r>
    </w:p>
    <w:p w:rsidR="0025709E" w:rsidRPr="00DF7963" w:rsidRDefault="0025709E" w:rsidP="0025709E">
      <w:pPr>
        <w:pStyle w:val="a6"/>
        <w:spacing w:after="60" w:line="240" w:lineRule="auto"/>
        <w:ind w:left="-682"/>
        <w:rPr>
          <w:b/>
          <w:bCs/>
          <w:sz w:val="22"/>
          <w:szCs w:val="22"/>
          <w:rtl/>
        </w:rPr>
      </w:pPr>
      <w:r w:rsidRPr="00DF7963">
        <w:rPr>
          <w:b/>
          <w:bCs/>
          <w:sz w:val="22"/>
          <w:szCs w:val="22"/>
          <w:rtl/>
        </w:rPr>
        <w:t>על משמעותה ועל דרכיה של התייעצות</w:t>
      </w:r>
    </w:p>
    <w:p w:rsidR="0025709E" w:rsidRDefault="0025709E" w:rsidP="0025709E">
      <w:pPr>
        <w:pStyle w:val="a6"/>
        <w:spacing w:after="60" w:line="240" w:lineRule="auto"/>
        <w:ind w:left="-682"/>
        <w:rPr>
          <w:sz w:val="22"/>
          <w:szCs w:val="22"/>
          <w:rtl/>
        </w:rPr>
      </w:pPr>
      <w:r>
        <w:rPr>
          <w:rFonts w:hint="cs"/>
          <w:sz w:val="22"/>
          <w:szCs w:val="22"/>
          <w:rtl/>
        </w:rPr>
        <w:t>[...]</w:t>
      </w:r>
    </w:p>
    <w:p w:rsidR="0025709E" w:rsidRPr="00DF7963" w:rsidRDefault="005D7968" w:rsidP="0025709E">
      <w:pPr>
        <w:pStyle w:val="a6"/>
        <w:spacing w:after="60" w:line="240" w:lineRule="auto"/>
        <w:ind w:left="-682"/>
        <w:rPr>
          <w:sz w:val="22"/>
          <w:szCs w:val="22"/>
          <w:rtl/>
        </w:rPr>
      </w:pPr>
      <w:r>
        <w:rPr>
          <w:sz w:val="22"/>
          <w:szCs w:val="22"/>
          <w:rtl/>
        </w:rPr>
        <w:pict>
          <v:group id="_x0000_s1212" style="position:absolute;left:0;text-align:left;margin-left:348.7pt;margin-top:25.5pt;width:14.25pt;height:408.3pt;z-index:251854848;mso-position-vertical-relative:margin" coordsize="20000,20000" o:allowincell="f">
            <v:rect id="_x0000_s1213" style="position:absolute;width:20000;height:698" filled="f" stroked="f" strokeweight=".25pt">
              <v:textbox inset="1pt,1pt,1pt,1pt">
                <w:txbxContent>
                  <w:p w:rsidR="0025709E" w:rsidRDefault="0025709E" w:rsidP="0025709E">
                    <w:pPr>
                      <w:rPr>
                        <w:rtl/>
                      </w:rPr>
                    </w:pPr>
                  </w:p>
                </w:txbxContent>
              </v:textbox>
            </v:rect>
            <v:rect id="_x0000_s1214" style="position:absolute;top:3262;width:20000;height:698" filled="f" stroked="f">
              <v:textbox inset="1pt,1pt,1pt,1pt">
                <w:txbxContent>
                  <w:p w:rsidR="0025709E" w:rsidRPr="00DF7963" w:rsidRDefault="0025709E" w:rsidP="0025709E">
                    <w:pPr>
                      <w:rPr>
                        <w:rtl/>
                      </w:rPr>
                    </w:pPr>
                  </w:p>
                </w:txbxContent>
              </v:textbox>
            </v:rect>
            <v:rect id="_x0000_s1215" style="position:absolute;top:6458;width:20000;height:698" filled="f" stroked="f">
              <v:textbox inset="1pt,1pt,1pt,1pt">
                <w:txbxContent>
                  <w:p w:rsidR="0025709E" w:rsidRDefault="0025709E" w:rsidP="0025709E">
                    <w:pPr>
                      <w:rPr>
                        <w:rtl/>
                      </w:rPr>
                    </w:pPr>
                  </w:p>
                </w:txbxContent>
              </v:textbox>
            </v:rect>
            <v:rect id="_x0000_s1216" style="position:absolute;top:9652;width:20000;height:698" filled="f" stroked="f">
              <v:textbox inset="1pt,1pt,1pt,1pt">
                <w:txbxContent>
                  <w:p w:rsidR="0025709E" w:rsidRDefault="0025709E" w:rsidP="0025709E">
                    <w:pPr>
                      <w:rPr>
                        <w:rtl/>
                      </w:rPr>
                    </w:pPr>
                  </w:p>
                </w:txbxContent>
              </v:textbox>
            </v:rect>
            <v:rect id="_x0000_s1217" style="position:absolute;top:12846;width:20000;height:698" filled="f" stroked="f">
              <v:textbox inset="1pt,1pt,1pt,1pt">
                <w:txbxContent>
                  <w:p w:rsidR="0025709E" w:rsidRDefault="0025709E" w:rsidP="0025709E">
                    <w:pPr>
                      <w:rPr>
                        <w:rtl/>
                      </w:rPr>
                    </w:pPr>
                  </w:p>
                </w:txbxContent>
              </v:textbox>
            </v:rect>
            <v:rect id="_x0000_s1218" style="position:absolute;top:16108;width:20000;height:698" filled="f" stroked="f">
              <v:textbox inset="1pt,1pt,1pt,1pt">
                <w:txbxContent>
                  <w:p w:rsidR="0025709E" w:rsidRPr="00DF7963" w:rsidRDefault="0025709E" w:rsidP="0025709E">
                    <w:pPr>
                      <w:rPr>
                        <w:rtl/>
                      </w:rPr>
                    </w:pPr>
                  </w:p>
                </w:txbxContent>
              </v:textbox>
            </v:rect>
            <v:rect id="_x0000_s1219" style="position:absolute;top:19302;width:20000;height:698" filled="f" stroked="f">
              <v:textbox inset="1pt,1pt,1pt,1pt">
                <w:txbxContent>
                  <w:p w:rsidR="0025709E" w:rsidRDefault="0025709E" w:rsidP="0025709E">
                    <w:pPr>
                      <w:rPr>
                        <w:rtl/>
                      </w:rPr>
                    </w:pPr>
                  </w:p>
                </w:txbxContent>
              </v:textbox>
            </v:rect>
            <w10:wrap anchory="margin"/>
          </v:group>
        </w:pict>
      </w:r>
      <w:r w:rsidR="0025709E" w:rsidRPr="00DF7963">
        <w:rPr>
          <w:sz w:val="22"/>
          <w:szCs w:val="22"/>
          <w:rtl/>
        </w:rPr>
        <w:t>29.</w:t>
      </w:r>
      <w:r w:rsidR="0025709E" w:rsidRPr="00DF7963">
        <w:rPr>
          <w:sz w:val="22"/>
          <w:szCs w:val="22"/>
          <w:rtl/>
        </w:rPr>
        <w:tab/>
        <w:t>עקרון</w:t>
      </w:r>
      <w:r w:rsidR="0025709E" w:rsidRPr="00DF7963">
        <w:rPr>
          <w:position w:val="4"/>
          <w:sz w:val="22"/>
          <w:szCs w:val="22"/>
          <w:rtl/>
        </w:rPr>
        <w:t>-</w:t>
      </w:r>
      <w:r w:rsidR="0025709E" w:rsidRPr="00DF7963">
        <w:rPr>
          <w:sz w:val="22"/>
          <w:szCs w:val="22"/>
          <w:rtl/>
        </w:rPr>
        <w:t xml:space="preserve">העל </w:t>
      </w:r>
      <w:r w:rsidR="0025709E">
        <w:rPr>
          <w:rFonts w:hint="cs"/>
          <w:sz w:val="22"/>
          <w:szCs w:val="22"/>
          <w:rtl/>
        </w:rPr>
        <w:t xml:space="preserve">[של חובת ההיוועצות] </w:t>
      </w:r>
      <w:r w:rsidR="0025709E" w:rsidRPr="00DF7963">
        <w:rPr>
          <w:sz w:val="22"/>
          <w:szCs w:val="22"/>
          <w:rtl/>
        </w:rPr>
        <w:t>מוליד בנים ובני</w:t>
      </w:r>
      <w:r w:rsidR="0025709E" w:rsidRPr="00DF7963">
        <w:rPr>
          <w:position w:val="4"/>
          <w:sz w:val="22"/>
          <w:szCs w:val="22"/>
          <w:rtl/>
        </w:rPr>
        <w:t>-</w:t>
      </w:r>
      <w:r w:rsidR="0025709E" w:rsidRPr="00DF7963">
        <w:rPr>
          <w:sz w:val="22"/>
          <w:szCs w:val="22"/>
          <w:rtl/>
        </w:rPr>
        <w:t>בנים, ובכל אותם צאצאים מנשבת רוחו. מבין כל אותם עקרונות</w:t>
      </w:r>
      <w:r w:rsidR="0025709E" w:rsidRPr="00DF7963">
        <w:rPr>
          <w:position w:val="4"/>
          <w:sz w:val="22"/>
          <w:szCs w:val="22"/>
          <w:rtl/>
        </w:rPr>
        <w:t>-</w:t>
      </w:r>
      <w:r w:rsidR="0025709E" w:rsidRPr="00DF7963">
        <w:rPr>
          <w:sz w:val="22"/>
          <w:szCs w:val="22"/>
          <w:rtl/>
        </w:rPr>
        <w:t>משנה נעמוד על שלושה (החופפים בחלקם זה</w:t>
      </w:r>
      <w:r w:rsidR="0025709E" w:rsidRPr="00DF7963">
        <w:rPr>
          <w:position w:val="4"/>
          <w:sz w:val="22"/>
          <w:szCs w:val="22"/>
          <w:rtl/>
        </w:rPr>
        <w:t>-</w:t>
      </w:r>
      <w:r w:rsidR="0025709E" w:rsidRPr="00DF7963">
        <w:rPr>
          <w:sz w:val="22"/>
          <w:szCs w:val="22"/>
          <w:rtl/>
        </w:rPr>
        <w:t>את</w:t>
      </w:r>
      <w:r w:rsidR="0025709E" w:rsidRPr="00DF7963">
        <w:rPr>
          <w:position w:val="4"/>
          <w:sz w:val="22"/>
          <w:szCs w:val="22"/>
          <w:rtl/>
        </w:rPr>
        <w:t>-</w:t>
      </w:r>
      <w:r w:rsidR="0025709E" w:rsidRPr="00DF7963">
        <w:rPr>
          <w:sz w:val="22"/>
          <w:szCs w:val="22"/>
          <w:rtl/>
        </w:rPr>
        <w:t xml:space="preserve">זה), והם לענייננו עתה. </w:t>
      </w:r>
    </w:p>
    <w:p w:rsidR="0025709E" w:rsidRDefault="0025709E" w:rsidP="0025709E">
      <w:pPr>
        <w:pStyle w:val="a6"/>
        <w:spacing w:after="60" w:line="240" w:lineRule="auto"/>
        <w:ind w:left="-682"/>
        <w:rPr>
          <w:sz w:val="22"/>
          <w:szCs w:val="22"/>
          <w:rtl/>
        </w:rPr>
      </w:pPr>
      <w:r w:rsidRPr="00DF7963">
        <w:rPr>
          <w:sz w:val="22"/>
          <w:szCs w:val="22"/>
          <w:rtl/>
        </w:rPr>
        <w:t>עקרון</w:t>
      </w:r>
      <w:r w:rsidRPr="00DF7963">
        <w:rPr>
          <w:position w:val="4"/>
          <w:sz w:val="22"/>
          <w:szCs w:val="22"/>
          <w:rtl/>
        </w:rPr>
        <w:t>-</w:t>
      </w:r>
      <w:r w:rsidRPr="00DF7963">
        <w:rPr>
          <w:sz w:val="22"/>
          <w:szCs w:val="22"/>
          <w:rtl/>
        </w:rPr>
        <w:t xml:space="preserve">משנה אחד: </w:t>
      </w:r>
      <w:r w:rsidRPr="00F955CA">
        <w:rPr>
          <w:sz w:val="22"/>
          <w:szCs w:val="22"/>
          <w:highlight w:val="yellow"/>
          <w:rtl/>
        </w:rPr>
        <w:t>חובה היא המוטלת על הרשות מקבלת העצה לפרוש לפני הרשות המייעצת את כל המידע הרלוונטי – ככל שמידע זה אינו מצוי ממילא בידי זו האחרונה – והרי רק כך תוכל הרשות המייעצת להשפיע מטוּב עצתה על הרשות מקבלת העצה.</w:t>
      </w:r>
      <w:r w:rsidRPr="00DF7963">
        <w:rPr>
          <w:sz w:val="22"/>
          <w:szCs w:val="22"/>
          <w:rtl/>
        </w:rPr>
        <w:t xml:space="preserve"> פשוט וברור הוא, שאם לא תדע הרשות המייעצת את כל הנתונים שלעניין, ממילא תהא עצתה חלקית וקטועה, וכמסקנה נדרשת מכאן נדע כי השיג</w:t>
      </w:r>
      <w:r w:rsidRPr="00DF7963">
        <w:rPr>
          <w:position w:val="4"/>
          <w:sz w:val="22"/>
          <w:szCs w:val="22"/>
          <w:rtl/>
        </w:rPr>
        <w:t>-</w:t>
      </w:r>
      <w:r w:rsidRPr="00DF7963">
        <w:rPr>
          <w:sz w:val="22"/>
          <w:szCs w:val="22"/>
          <w:rtl/>
        </w:rPr>
        <w:t xml:space="preserve">והשיח בין המייעץ לבין מקבל העצה לא ימלא את תכלית חובת ההתייעצות. אמר על כך השופט בקניל </w:t>
      </w:r>
      <w:r w:rsidRPr="00DF7963">
        <w:rPr>
          <w:sz w:val="22"/>
          <w:szCs w:val="22"/>
        </w:rPr>
        <w:t>(</w:t>
      </w:r>
      <w:r w:rsidRPr="00DF7963">
        <w:rPr>
          <w:i/>
          <w:iCs/>
          <w:sz w:val="22"/>
          <w:szCs w:val="22"/>
        </w:rPr>
        <w:t>Bucknill, L.J.</w:t>
      </w:r>
      <w:r w:rsidRPr="00DF7963">
        <w:rPr>
          <w:sz w:val="22"/>
          <w:szCs w:val="22"/>
        </w:rPr>
        <w:t>)</w:t>
      </w:r>
      <w:r w:rsidRPr="00DF7963">
        <w:rPr>
          <w:sz w:val="22"/>
          <w:szCs w:val="22"/>
          <w:rtl/>
        </w:rPr>
        <w:t xml:space="preserve"> בפרשה הידועה של </w:t>
      </w:r>
      <w:r w:rsidRPr="00DF7963">
        <w:rPr>
          <w:i/>
          <w:iCs/>
          <w:sz w:val="22"/>
          <w:szCs w:val="22"/>
        </w:rPr>
        <w:t>Rollo v. Minister of Town Planning</w:t>
      </w:r>
      <w:r w:rsidRPr="00DF7963">
        <w:rPr>
          <w:sz w:val="22"/>
          <w:szCs w:val="22"/>
        </w:rPr>
        <w:t xml:space="preserve"> (1948) [18], </w:t>
      </w:r>
      <w:r w:rsidRPr="00DF7963">
        <w:rPr>
          <w:i/>
          <w:iCs/>
          <w:sz w:val="22"/>
          <w:szCs w:val="22"/>
        </w:rPr>
        <w:t>at p. 17</w:t>
      </w:r>
      <w:r w:rsidRPr="00DF7963">
        <w:rPr>
          <w:sz w:val="22"/>
          <w:szCs w:val="22"/>
          <w:rtl/>
        </w:rPr>
        <w:t xml:space="preserve">: </w:t>
      </w:r>
    </w:p>
    <w:p w:rsidR="0025709E" w:rsidRPr="00DF7963" w:rsidRDefault="0025709E" w:rsidP="0025709E">
      <w:pPr>
        <w:pStyle w:val="a7"/>
        <w:bidi w:val="0"/>
        <w:spacing w:after="60" w:line="240" w:lineRule="auto"/>
        <w:ind w:left="-682"/>
        <w:rPr>
          <w:sz w:val="22"/>
          <w:szCs w:val="22"/>
        </w:rPr>
      </w:pPr>
      <w:r w:rsidRPr="00DF7963">
        <w:rPr>
          <w:sz w:val="22"/>
          <w:szCs w:val="22"/>
        </w:rPr>
        <w:t xml:space="preserve"> “...the Minister must supply sufficient information to the local authority to enable them to tender advice...”.</w:t>
      </w:r>
    </w:p>
    <w:p w:rsidR="0025709E" w:rsidRPr="00DF7963" w:rsidRDefault="0025709E" w:rsidP="0025709E">
      <w:pPr>
        <w:pStyle w:val="a6"/>
        <w:spacing w:after="60" w:line="240" w:lineRule="auto"/>
        <w:ind w:left="-682"/>
        <w:rPr>
          <w:sz w:val="22"/>
          <w:szCs w:val="22"/>
          <w:rtl/>
        </w:rPr>
      </w:pPr>
      <w:bookmarkStart w:id="63" w:name="GIVEN_AT_DATE"/>
      <w:bookmarkStart w:id="64" w:name="GIVEN_AT_GDATE"/>
      <w:bookmarkEnd w:id="63"/>
      <w:bookmarkEnd w:id="64"/>
      <w:r w:rsidRPr="00DF7963">
        <w:rPr>
          <w:sz w:val="22"/>
          <w:szCs w:val="22"/>
          <w:rtl/>
        </w:rPr>
        <w:t>דברים אלה אומצו ב</w:t>
      </w:r>
      <w:hyperlink r:id="rId419" w:history="1">
        <w:r w:rsidRPr="00DF7963">
          <w:rPr>
            <w:rStyle w:val="Hyperlink"/>
            <w:sz w:val="22"/>
            <w:szCs w:val="22"/>
            <w:rtl/>
          </w:rPr>
          <w:t>בג"ץ 384/66</w:t>
        </w:r>
      </w:hyperlink>
      <w:r w:rsidRPr="00DF7963">
        <w:rPr>
          <w:sz w:val="22"/>
          <w:szCs w:val="22"/>
          <w:rtl/>
        </w:rPr>
        <w:t xml:space="preserve"> פוקסמן נ' המפקח על התעבורה (פרשת פוקסמן [12]), בעמ' 225. לתחום התפרשותו של המושג </w:t>
      </w:r>
      <w:r w:rsidRPr="00DF7963">
        <w:rPr>
          <w:sz w:val="22"/>
          <w:szCs w:val="22"/>
        </w:rPr>
        <w:t>“sufficient”</w:t>
      </w:r>
      <w:r w:rsidRPr="00DF7963">
        <w:rPr>
          <w:sz w:val="22"/>
          <w:szCs w:val="22"/>
          <w:rtl/>
        </w:rPr>
        <w:t xml:space="preserve">, ראו </w:t>
      </w:r>
      <w:r w:rsidRPr="00DF7963">
        <w:rPr>
          <w:i/>
          <w:iCs/>
          <w:sz w:val="22"/>
          <w:szCs w:val="22"/>
        </w:rPr>
        <w:t>Reg. v. Social Services</w:t>
      </w:r>
      <w:r w:rsidRPr="00DF7963">
        <w:rPr>
          <w:sz w:val="22"/>
          <w:szCs w:val="22"/>
        </w:rPr>
        <w:t xml:space="preserve"> </w:t>
      </w:r>
      <w:r w:rsidRPr="00DF7963">
        <w:rPr>
          <w:i/>
          <w:iCs/>
          <w:sz w:val="22"/>
          <w:szCs w:val="22"/>
        </w:rPr>
        <w:t>Sec., Ex p. A.M.A.</w:t>
      </w:r>
      <w:r w:rsidRPr="00DF7963">
        <w:rPr>
          <w:sz w:val="22"/>
          <w:szCs w:val="22"/>
        </w:rPr>
        <w:t xml:space="preserve"> (1986) [19], </w:t>
      </w:r>
      <w:r w:rsidRPr="00DF7963">
        <w:rPr>
          <w:i/>
          <w:iCs/>
          <w:sz w:val="22"/>
          <w:szCs w:val="22"/>
        </w:rPr>
        <w:t>at p. 4</w:t>
      </w:r>
      <w:r w:rsidRPr="00DF7963">
        <w:rPr>
          <w:sz w:val="22"/>
          <w:szCs w:val="22"/>
        </w:rPr>
        <w:t xml:space="preserve">; Jergesen </w:t>
      </w:r>
      <w:r w:rsidRPr="00DF7963">
        <w:rPr>
          <w:i/>
          <w:iCs/>
          <w:sz w:val="22"/>
          <w:szCs w:val="22"/>
        </w:rPr>
        <w:t xml:space="preserve">supra </w:t>
      </w:r>
      <w:r w:rsidRPr="00DF7963">
        <w:rPr>
          <w:sz w:val="22"/>
          <w:szCs w:val="22"/>
        </w:rPr>
        <w:t>[23],</w:t>
      </w:r>
      <w:r w:rsidRPr="00DF7963">
        <w:rPr>
          <w:sz w:val="22"/>
          <w:szCs w:val="22"/>
        </w:rPr>
        <w:br/>
      </w:r>
      <w:r w:rsidRPr="00DF7963">
        <w:rPr>
          <w:i/>
          <w:iCs/>
          <w:sz w:val="22"/>
          <w:szCs w:val="22"/>
        </w:rPr>
        <w:t>at pp. 305-307</w:t>
      </w:r>
      <w:r w:rsidRPr="00DF7963">
        <w:rPr>
          <w:sz w:val="22"/>
          <w:szCs w:val="22"/>
          <w:rtl/>
        </w:rPr>
        <w:t>.</w:t>
      </w:r>
      <w:r w:rsidRPr="00DF7963">
        <w:rPr>
          <w:sz w:val="22"/>
          <w:szCs w:val="22"/>
        </w:rPr>
        <w:t xml:space="preserve"> </w:t>
      </w:r>
    </w:p>
    <w:p w:rsidR="0025709E" w:rsidRPr="00DF7963" w:rsidRDefault="0025709E" w:rsidP="0025709E">
      <w:pPr>
        <w:pStyle w:val="a6"/>
        <w:spacing w:after="60" w:line="240" w:lineRule="auto"/>
        <w:ind w:left="-682"/>
        <w:rPr>
          <w:sz w:val="22"/>
          <w:szCs w:val="22"/>
          <w:rtl/>
        </w:rPr>
      </w:pPr>
      <w:r w:rsidRPr="00F955CA">
        <w:rPr>
          <w:sz w:val="22"/>
          <w:szCs w:val="22"/>
          <w:highlight w:val="yellow"/>
          <w:rtl/>
        </w:rPr>
        <w:t>עקרון</w:t>
      </w:r>
      <w:r w:rsidRPr="00F955CA">
        <w:rPr>
          <w:position w:val="4"/>
          <w:sz w:val="22"/>
          <w:szCs w:val="22"/>
          <w:highlight w:val="yellow"/>
          <w:rtl/>
        </w:rPr>
        <w:t>-</w:t>
      </w:r>
      <w:r w:rsidRPr="00F955CA">
        <w:rPr>
          <w:sz w:val="22"/>
          <w:szCs w:val="22"/>
          <w:highlight w:val="yellow"/>
          <w:rtl/>
        </w:rPr>
        <w:t>משנה שני – והוא בהמשכו לעקרון</w:t>
      </w:r>
      <w:r w:rsidRPr="00F955CA">
        <w:rPr>
          <w:position w:val="4"/>
          <w:sz w:val="22"/>
          <w:szCs w:val="22"/>
          <w:highlight w:val="yellow"/>
          <w:rtl/>
        </w:rPr>
        <w:t>-</w:t>
      </w:r>
      <w:r w:rsidRPr="00F955CA">
        <w:rPr>
          <w:sz w:val="22"/>
          <w:szCs w:val="22"/>
          <w:highlight w:val="yellow"/>
          <w:rtl/>
        </w:rPr>
        <w:t>המשנה הראשון: שומה עליה על הרשות המתייעצת לאפשר לרשות המייעצת – ליתן לה הזדמנות – למלא את משימת הייעוץ כהילכתה, ומכל בחינה שהיא. כך, למשל, מבחינת השהות הניתנת לגוף המייעץ: חייבת היא הרשות מבקשת העצה ליתן לגוף המייעץ שהות ראויה למחשבה ולשיקול עד שיחויב ליתן את עצתו. בהיעדר נסיבות יוצאות</w:t>
      </w:r>
      <w:r w:rsidRPr="00F955CA">
        <w:rPr>
          <w:position w:val="4"/>
          <w:sz w:val="22"/>
          <w:szCs w:val="22"/>
          <w:highlight w:val="yellow"/>
          <w:rtl/>
        </w:rPr>
        <w:t>-</w:t>
      </w:r>
      <w:r w:rsidRPr="00F955CA">
        <w:rPr>
          <w:sz w:val="22"/>
          <w:szCs w:val="22"/>
          <w:highlight w:val="yellow"/>
          <w:rtl/>
        </w:rPr>
        <w:t>דופן במיוחד,</w:t>
      </w:r>
      <w:r w:rsidRPr="00DF7963">
        <w:rPr>
          <w:sz w:val="22"/>
          <w:szCs w:val="22"/>
          <w:rtl/>
        </w:rPr>
        <w:t xml:space="preserve"> דרישה לעת</w:t>
      </w:r>
      <w:r w:rsidRPr="00DF7963">
        <w:rPr>
          <w:position w:val="4"/>
          <w:sz w:val="22"/>
          <w:szCs w:val="22"/>
          <w:rtl/>
        </w:rPr>
        <w:t>-</w:t>
      </w:r>
      <w:r w:rsidRPr="00DF7963">
        <w:rPr>
          <w:sz w:val="22"/>
          <w:szCs w:val="22"/>
          <w:rtl/>
        </w:rPr>
        <w:t>ערב כי ייעוץ יינתן על</w:t>
      </w:r>
      <w:r w:rsidRPr="00DF7963">
        <w:rPr>
          <w:position w:val="4"/>
          <w:sz w:val="22"/>
          <w:szCs w:val="22"/>
          <w:rtl/>
        </w:rPr>
        <w:t>-</w:t>
      </w:r>
      <w:r w:rsidRPr="00DF7963">
        <w:rPr>
          <w:sz w:val="22"/>
          <w:szCs w:val="22"/>
          <w:rtl/>
        </w:rPr>
        <w:t xml:space="preserve">אתר ולכל המאוחר עד למחרת השכם בבוקר, לא תעמוד במבחן ההתייעצות הראויה. נביא שוב מדבריו של השופט בקניל בפרשת </w:t>
      </w:r>
      <w:r w:rsidRPr="00DF7963">
        <w:rPr>
          <w:b/>
          <w:sz w:val="22"/>
          <w:szCs w:val="22"/>
          <w:rtl/>
        </w:rPr>
        <w:t>רולו [</w:t>
      </w:r>
      <w:r w:rsidRPr="00DF7963">
        <w:rPr>
          <w:sz w:val="22"/>
          <w:szCs w:val="22"/>
          <w:rtl/>
        </w:rPr>
        <w:t>18</w:t>
      </w:r>
      <w:r w:rsidRPr="00DF7963">
        <w:rPr>
          <w:b/>
          <w:sz w:val="22"/>
          <w:szCs w:val="22"/>
          <w:rtl/>
        </w:rPr>
        <w:t>]</w:t>
      </w:r>
      <w:r w:rsidRPr="00DF7963">
        <w:rPr>
          <w:sz w:val="22"/>
          <w:szCs w:val="22"/>
          <w:rtl/>
        </w:rPr>
        <w:t xml:space="preserve">, בעמ' 17: </w:t>
      </w:r>
    </w:p>
    <w:p w:rsidR="0025709E" w:rsidRPr="00DF7963" w:rsidRDefault="005D7968" w:rsidP="0025709E">
      <w:pPr>
        <w:pStyle w:val="a7"/>
        <w:bidi w:val="0"/>
        <w:spacing w:after="60" w:line="240" w:lineRule="auto"/>
        <w:ind w:left="0"/>
        <w:rPr>
          <w:sz w:val="22"/>
          <w:szCs w:val="22"/>
        </w:rPr>
      </w:pPr>
      <w:r>
        <w:rPr>
          <w:sz w:val="22"/>
          <w:szCs w:val="22"/>
        </w:rPr>
        <w:pict>
          <v:group id="_x0000_s1220" style="position:absolute;left:0;text-align:left;margin-left:-36.85pt;margin-top:25.5pt;width:14.25pt;height:408.3pt;z-index:251855872;mso-position-vertical-relative:margin" coordsize="20000,20000" o:allowincell="f">
            <v:rect id="_x0000_s1221" style="position:absolute;width:20000;height:698" filled="f" stroked="f" strokeweight=".25pt">
              <v:textbox inset="1pt,1pt,1pt,1pt">
                <w:txbxContent>
                  <w:p w:rsidR="0025709E" w:rsidRDefault="0025709E" w:rsidP="0025709E">
                    <w:pPr>
                      <w:rPr>
                        <w:rtl/>
                      </w:rPr>
                    </w:pPr>
                    <w:r>
                      <w:rPr>
                        <w:rFonts w:cs="Miriam"/>
                        <w:szCs w:val="28"/>
                        <w:rtl/>
                      </w:rPr>
                      <w:t>א</w:t>
                    </w:r>
                  </w:p>
                </w:txbxContent>
              </v:textbox>
            </v:rect>
            <v:rect id="_x0000_s1222" style="position:absolute;top:3262;width:20000;height:698" filled="f" stroked="f">
              <v:textbox inset="1pt,1pt,1pt,1pt">
                <w:txbxContent>
                  <w:p w:rsidR="0025709E" w:rsidRDefault="0025709E" w:rsidP="0025709E">
                    <w:pPr>
                      <w:rPr>
                        <w:rtl/>
                      </w:rPr>
                    </w:pPr>
                    <w:r>
                      <w:rPr>
                        <w:rFonts w:cs="Miriam"/>
                        <w:szCs w:val="28"/>
                        <w:rtl/>
                      </w:rPr>
                      <w:t>ב</w:t>
                    </w:r>
                  </w:p>
                </w:txbxContent>
              </v:textbox>
            </v:rect>
            <v:rect id="_x0000_s1223" style="position:absolute;top:6458;width:20000;height:698" filled="f" stroked="f">
              <v:textbox inset="1pt,1pt,1pt,1pt">
                <w:txbxContent>
                  <w:p w:rsidR="0025709E" w:rsidRDefault="0025709E" w:rsidP="0025709E">
                    <w:pPr>
                      <w:rPr>
                        <w:rtl/>
                      </w:rPr>
                    </w:pPr>
                    <w:r>
                      <w:rPr>
                        <w:rFonts w:cs="Miriam"/>
                        <w:szCs w:val="28"/>
                        <w:rtl/>
                      </w:rPr>
                      <w:t>ג</w:t>
                    </w:r>
                  </w:p>
                </w:txbxContent>
              </v:textbox>
            </v:rect>
            <v:rect id="_x0000_s1224" style="position:absolute;top:9652;width:20000;height:698" filled="f" stroked="f">
              <v:textbox inset="1pt,1pt,1pt,1pt">
                <w:txbxContent>
                  <w:p w:rsidR="0025709E" w:rsidRDefault="0025709E" w:rsidP="0025709E">
                    <w:pPr>
                      <w:rPr>
                        <w:rtl/>
                      </w:rPr>
                    </w:pPr>
                    <w:r>
                      <w:rPr>
                        <w:rFonts w:cs="Miriam"/>
                        <w:szCs w:val="28"/>
                        <w:rtl/>
                      </w:rPr>
                      <w:t>ד</w:t>
                    </w:r>
                  </w:p>
                </w:txbxContent>
              </v:textbox>
            </v:rect>
            <v:rect id="_x0000_s1225" style="position:absolute;top:12846;width:20000;height:698" filled="f" stroked="f">
              <v:textbox inset="1pt,1pt,1pt,1pt">
                <w:txbxContent>
                  <w:p w:rsidR="0025709E" w:rsidRDefault="0025709E" w:rsidP="0025709E">
                    <w:pPr>
                      <w:rPr>
                        <w:rtl/>
                      </w:rPr>
                    </w:pPr>
                    <w:r>
                      <w:rPr>
                        <w:rFonts w:cs="Miriam"/>
                        <w:szCs w:val="28"/>
                        <w:rtl/>
                      </w:rPr>
                      <w:t>ה</w:t>
                    </w:r>
                  </w:p>
                </w:txbxContent>
              </v:textbox>
            </v:rect>
            <v:rect id="_x0000_s1226" style="position:absolute;top:16108;width:20000;height:698" filled="f" stroked="f">
              <v:textbox inset="1pt,1pt,1pt,1pt">
                <w:txbxContent>
                  <w:p w:rsidR="0025709E" w:rsidRDefault="0025709E" w:rsidP="0025709E">
                    <w:pPr>
                      <w:rPr>
                        <w:rtl/>
                      </w:rPr>
                    </w:pPr>
                    <w:r>
                      <w:rPr>
                        <w:rFonts w:cs="Miriam"/>
                        <w:szCs w:val="28"/>
                        <w:rtl/>
                      </w:rPr>
                      <w:t>ו</w:t>
                    </w:r>
                  </w:p>
                </w:txbxContent>
              </v:textbox>
            </v:rect>
            <v:rect id="_x0000_s1227" style="position:absolute;top:19302;width:20000;height:698" filled="f" stroked="f">
              <v:textbox inset="1pt,1pt,1pt,1pt">
                <w:txbxContent>
                  <w:p w:rsidR="0025709E" w:rsidRDefault="0025709E" w:rsidP="0025709E">
                    <w:pPr>
                      <w:rPr>
                        <w:rtl/>
                      </w:rPr>
                    </w:pPr>
                    <w:r>
                      <w:rPr>
                        <w:rFonts w:cs="Miriam"/>
                        <w:szCs w:val="28"/>
                        <w:rtl/>
                      </w:rPr>
                      <w:t>ז</w:t>
                    </w:r>
                  </w:p>
                </w:txbxContent>
              </v:textbox>
            </v:rect>
            <w10:wrap anchory="margin"/>
          </v:group>
        </w:pict>
      </w:r>
      <w:r w:rsidR="0025709E" w:rsidRPr="00DF7963">
        <w:rPr>
          <w:sz w:val="22"/>
          <w:szCs w:val="22"/>
        </w:rPr>
        <w:t>“...on the one side, the Minister must supply sufficient information to the local authority to enable them to tender advice, and, on the other hand, a sufficient opportunity must be given to the local authority to tender that advice”.</w:t>
      </w:r>
    </w:p>
    <w:p w:rsidR="0025709E" w:rsidRPr="00DF7963" w:rsidRDefault="0025709E" w:rsidP="0025709E">
      <w:pPr>
        <w:pStyle w:val="a6"/>
        <w:spacing w:after="60" w:line="240" w:lineRule="auto"/>
        <w:ind w:left="-682"/>
        <w:rPr>
          <w:sz w:val="22"/>
          <w:szCs w:val="22"/>
          <w:rtl/>
        </w:rPr>
      </w:pPr>
      <w:r w:rsidRPr="00DF7963">
        <w:rPr>
          <w:sz w:val="22"/>
          <w:szCs w:val="22"/>
          <w:rtl/>
        </w:rPr>
        <w:t xml:space="preserve">עיקר בהתייעצות הוא, כך לימדנו השופט בייסקי בפרשת </w:t>
      </w:r>
      <w:r w:rsidRPr="00DF7963">
        <w:rPr>
          <w:b/>
          <w:sz w:val="22"/>
          <w:szCs w:val="22"/>
          <w:rtl/>
        </w:rPr>
        <w:t>עזבה [3]</w:t>
      </w:r>
      <w:r w:rsidRPr="00DF7963">
        <w:rPr>
          <w:sz w:val="22"/>
          <w:szCs w:val="22"/>
          <w:rtl/>
        </w:rPr>
        <w:t>, בעמ' 600:</w:t>
      </w:r>
    </w:p>
    <w:p w:rsidR="0025709E" w:rsidRPr="00DF7963" w:rsidRDefault="0025709E" w:rsidP="0025709E">
      <w:pPr>
        <w:pStyle w:val="a7"/>
        <w:spacing w:after="60" w:line="240" w:lineRule="auto"/>
        <w:ind w:left="-682"/>
        <w:rPr>
          <w:sz w:val="22"/>
          <w:szCs w:val="22"/>
          <w:rtl/>
        </w:rPr>
      </w:pPr>
      <w:r w:rsidRPr="00DF7963">
        <w:rPr>
          <w:sz w:val="22"/>
          <w:szCs w:val="22"/>
          <w:rtl/>
        </w:rPr>
        <w:t>"...שמבחינה מהותית, לגבי העניין העומד להתייעצות, תהא האפשרות לכל אחד להציג עמדתו, להביע דעתו ואף לנסות להשפיע על רעהו".</w:t>
      </w:r>
    </w:p>
    <w:p w:rsidR="0025709E" w:rsidRPr="00DF7963" w:rsidRDefault="0025709E" w:rsidP="0025709E">
      <w:pPr>
        <w:pStyle w:val="a6"/>
        <w:spacing w:after="60" w:line="240" w:lineRule="auto"/>
        <w:ind w:left="-682"/>
        <w:rPr>
          <w:sz w:val="22"/>
          <w:szCs w:val="22"/>
          <w:rtl/>
        </w:rPr>
      </w:pPr>
      <w:r w:rsidRPr="00F955CA">
        <w:rPr>
          <w:sz w:val="22"/>
          <w:szCs w:val="22"/>
          <w:highlight w:val="yellow"/>
          <w:rtl/>
        </w:rPr>
        <w:t>כנגזר מעקרון</w:t>
      </w:r>
      <w:r w:rsidRPr="00F955CA">
        <w:rPr>
          <w:position w:val="4"/>
          <w:sz w:val="22"/>
          <w:szCs w:val="22"/>
          <w:highlight w:val="yellow"/>
          <w:rtl/>
        </w:rPr>
        <w:t>-</w:t>
      </w:r>
      <w:r w:rsidRPr="00F955CA">
        <w:rPr>
          <w:sz w:val="22"/>
          <w:szCs w:val="22"/>
          <w:highlight w:val="yellow"/>
          <w:rtl/>
        </w:rPr>
        <w:t>משנה זה של מתן הזדמנות נאותה לייעוץ – כך קבעה ההלכה – חייבת היא הרשות המתייעצת להביא לידיעת הגוף המייעץ הצעת</w:t>
      </w:r>
      <w:r w:rsidRPr="00F955CA">
        <w:rPr>
          <w:position w:val="4"/>
          <w:sz w:val="22"/>
          <w:szCs w:val="22"/>
          <w:highlight w:val="yellow"/>
          <w:rtl/>
        </w:rPr>
        <w:t>-</w:t>
      </w:r>
      <w:r w:rsidRPr="00F955CA">
        <w:rPr>
          <w:sz w:val="22"/>
          <w:szCs w:val="22"/>
          <w:highlight w:val="yellow"/>
          <w:rtl/>
        </w:rPr>
        <w:t>החלטה ששוקלת היא להופכה להחלטה, שרק כך יתאפשר לגוף המייעץ לחוות דעתו ולייעץ כראוי</w:t>
      </w:r>
      <w:r w:rsidRPr="00DF7963">
        <w:rPr>
          <w:sz w:val="22"/>
          <w:szCs w:val="22"/>
          <w:rtl/>
        </w:rPr>
        <w:t>. ובלשונו של השופט מצא ב</w:t>
      </w:r>
      <w:hyperlink r:id="rId420" w:history="1">
        <w:r w:rsidRPr="00DF7963">
          <w:rPr>
            <w:rStyle w:val="Hyperlink"/>
            <w:sz w:val="22"/>
            <w:szCs w:val="22"/>
            <w:rtl/>
          </w:rPr>
          <w:t>בג"ץ 1934/95</w:t>
        </w:r>
      </w:hyperlink>
      <w:r w:rsidRPr="00DF7963">
        <w:rPr>
          <w:sz w:val="22"/>
          <w:szCs w:val="22"/>
          <w:rtl/>
        </w:rPr>
        <w:t xml:space="preserve"> תה ויסוצקי (ישראל) בע"מ נ' שר הבריאות [13], בעמ' 644:</w:t>
      </w:r>
    </w:p>
    <w:p w:rsidR="0025709E" w:rsidRDefault="0025709E" w:rsidP="0025709E">
      <w:pPr>
        <w:pStyle w:val="a7"/>
        <w:spacing w:after="60" w:line="240" w:lineRule="auto"/>
        <w:ind w:left="-682"/>
        <w:rPr>
          <w:sz w:val="22"/>
          <w:szCs w:val="22"/>
          <w:rtl/>
        </w:rPr>
      </w:pPr>
      <w:r w:rsidRPr="00DF7963">
        <w:rPr>
          <w:sz w:val="22"/>
          <w:szCs w:val="22"/>
          <w:rtl/>
        </w:rPr>
        <w:t>"בבקשה את עצת הגורמים המייעצים מוטל על הרשות המחליטה להביא לפניהם את תוכן ההחלטה. מטרת ההיוועצות היא לעמת את הגורמים המייעצים עם ההחלטה המתגבשת ולאפשר להם להביע את עמדתם".</w:t>
      </w:r>
    </w:p>
    <w:p w:rsidR="0025709E" w:rsidRPr="00DF7963" w:rsidRDefault="0025709E" w:rsidP="0025709E">
      <w:pPr>
        <w:pStyle w:val="a6"/>
        <w:spacing w:after="60" w:line="240" w:lineRule="auto"/>
        <w:ind w:left="-682"/>
        <w:rPr>
          <w:sz w:val="22"/>
          <w:szCs w:val="22"/>
          <w:rtl/>
        </w:rPr>
      </w:pPr>
      <w:r w:rsidRPr="00DF7963">
        <w:rPr>
          <w:sz w:val="22"/>
          <w:szCs w:val="22"/>
          <w:rtl/>
        </w:rPr>
        <w:t>באומרו דברים אלה שאמר, סמך השופט מצא עצמו לדבריו של השופט י' כַּהַן ב</w:t>
      </w:r>
      <w:hyperlink r:id="rId421" w:history="1">
        <w:r w:rsidRPr="00DF7963">
          <w:rPr>
            <w:rStyle w:val="Hyperlink"/>
            <w:sz w:val="22"/>
            <w:szCs w:val="22"/>
            <w:rtl/>
          </w:rPr>
          <w:t>בג"ץ 512/81</w:t>
        </w:r>
      </w:hyperlink>
      <w:r w:rsidRPr="00DF7963">
        <w:rPr>
          <w:sz w:val="22"/>
          <w:szCs w:val="22"/>
          <w:rtl/>
        </w:rPr>
        <w:t xml:space="preserve"> המכון לארכיאולוגיה של האוניברסיטה העברית, ירושלים נ' שר החינוך והתרבות (פרשת המכון לארכיאולוגיה [14]), בעמ' 546:</w:t>
      </w:r>
    </w:p>
    <w:p w:rsidR="0025709E" w:rsidRPr="00DF7963" w:rsidRDefault="0025709E" w:rsidP="0025709E">
      <w:pPr>
        <w:pStyle w:val="a7"/>
        <w:spacing w:after="60" w:line="240" w:lineRule="auto"/>
        <w:ind w:left="-682"/>
        <w:rPr>
          <w:sz w:val="22"/>
          <w:szCs w:val="22"/>
          <w:rtl/>
        </w:rPr>
      </w:pPr>
      <w:r w:rsidRPr="00DF7963">
        <w:rPr>
          <w:sz w:val="22"/>
          <w:szCs w:val="22"/>
          <w:rtl/>
        </w:rPr>
        <w:t xml:space="preserve">"כאשר הרשות חייבת להתייעץ עם רשות אחרת, מן ההכרח שהיא תביא בפני הרשות המייעצת הצעה מסוימת, ואין לראות בהבאת הצעה כזו כל קביעת עמדה סופית, אלא רק קביעת עמדת ביניים, שתוכל להשתנות עקב העצה שתתקבל או מסיבות אחרות". </w:t>
      </w:r>
    </w:p>
    <w:p w:rsidR="0025709E" w:rsidRPr="00DF7963" w:rsidRDefault="0025709E" w:rsidP="0025709E">
      <w:pPr>
        <w:pStyle w:val="a6"/>
        <w:spacing w:after="60" w:line="240" w:lineRule="auto"/>
        <w:ind w:left="-682"/>
        <w:rPr>
          <w:sz w:val="22"/>
          <w:szCs w:val="22"/>
          <w:rtl/>
        </w:rPr>
      </w:pPr>
      <w:r w:rsidRPr="00DF7963">
        <w:rPr>
          <w:sz w:val="22"/>
          <w:szCs w:val="22"/>
          <w:rtl/>
        </w:rPr>
        <w:t>אלה טיבה וטבעה של התייעצות</w:t>
      </w:r>
      <w:r w:rsidRPr="00DF7963">
        <w:rPr>
          <w:position w:val="4"/>
          <w:sz w:val="22"/>
          <w:szCs w:val="22"/>
          <w:rtl/>
        </w:rPr>
        <w:t>-</w:t>
      </w:r>
      <w:r w:rsidRPr="00DF7963">
        <w:rPr>
          <w:sz w:val="22"/>
          <w:szCs w:val="22"/>
          <w:rtl/>
        </w:rPr>
        <w:t xml:space="preserve">אמת, שתהא "...החלפת דעות, שמיעת עמדות ובחינתן וקבלת מידע ומסירתו" (פרשת </w:t>
      </w:r>
      <w:r w:rsidRPr="00DF7963">
        <w:rPr>
          <w:b/>
          <w:sz w:val="22"/>
          <w:szCs w:val="22"/>
          <w:rtl/>
        </w:rPr>
        <w:t>יקב הגליל [2]</w:t>
      </w:r>
      <w:r w:rsidRPr="00DF7963">
        <w:rPr>
          <w:sz w:val="22"/>
          <w:szCs w:val="22"/>
          <w:rtl/>
        </w:rPr>
        <w:t>, בעמ' 17). בהיעדר כל אלה, לא תהיה התייעצות – לא כהוראתה ולא כמשמעותה. אכן, החוק לא קבע דרכי הליכים מוגדרות וקשיחות להתייעצות, ואולם תהא דרכו של ההליך כאשר</w:t>
      </w:r>
      <w:r w:rsidRPr="00DF7963">
        <w:rPr>
          <w:position w:val="4"/>
          <w:sz w:val="22"/>
          <w:szCs w:val="22"/>
          <w:rtl/>
        </w:rPr>
        <w:t>-</w:t>
      </w:r>
      <w:r w:rsidRPr="00DF7963">
        <w:rPr>
          <w:sz w:val="22"/>
          <w:szCs w:val="22"/>
          <w:rtl/>
        </w:rPr>
        <w:t xml:space="preserve">תהא, חייבת היא לשרת את המטרה שלשמה נועדה. וכך, בהיעדר שימוש נאות בהליך הנכון, לא תמלא הרשות המתייעצת את חובת ההתייעצות המוטלת עליה. </w:t>
      </w:r>
    </w:p>
    <w:p w:rsidR="0025709E" w:rsidRPr="00DF7963" w:rsidRDefault="005D7968" w:rsidP="0025709E">
      <w:pPr>
        <w:pStyle w:val="a6"/>
        <w:spacing w:after="60" w:line="240" w:lineRule="auto"/>
        <w:ind w:left="-682"/>
        <w:rPr>
          <w:sz w:val="22"/>
          <w:szCs w:val="22"/>
          <w:rtl/>
        </w:rPr>
      </w:pPr>
      <w:r>
        <w:rPr>
          <w:sz w:val="22"/>
          <w:szCs w:val="22"/>
          <w:rtl/>
        </w:rPr>
        <w:pict>
          <v:group id="_x0000_s1228" style="position:absolute;left:0;text-align:left;margin-left:348.7pt;margin-top:25.5pt;width:14.25pt;height:408.3pt;z-index:251856896;mso-position-vertical-relative:margin" coordsize="20000,20000" o:allowincell="f">
            <v:rect id="_x0000_s1229" style="position:absolute;width:20000;height:698" filled="f" stroked="f" strokeweight=".25pt">
              <v:textbox inset="1pt,1pt,1pt,1pt">
                <w:txbxContent>
                  <w:p w:rsidR="0025709E" w:rsidRDefault="0025709E" w:rsidP="0025709E">
                    <w:pPr>
                      <w:rPr>
                        <w:rtl/>
                      </w:rPr>
                    </w:pPr>
                  </w:p>
                </w:txbxContent>
              </v:textbox>
            </v:rect>
            <v:rect id="_x0000_s1230" style="position:absolute;top:3262;width:20000;height:698" filled="f" stroked="f">
              <v:textbox inset="1pt,1pt,1pt,1pt">
                <w:txbxContent>
                  <w:p w:rsidR="0025709E" w:rsidRPr="00DF7963" w:rsidRDefault="0025709E" w:rsidP="0025709E">
                    <w:pPr>
                      <w:rPr>
                        <w:rtl/>
                      </w:rPr>
                    </w:pPr>
                  </w:p>
                </w:txbxContent>
              </v:textbox>
            </v:rect>
            <v:rect id="_x0000_s1231" style="position:absolute;top:6458;width:20000;height:698" filled="f" stroked="f">
              <v:textbox inset="1pt,1pt,1pt,1pt">
                <w:txbxContent>
                  <w:p w:rsidR="0025709E" w:rsidRPr="00DF7963" w:rsidRDefault="0025709E" w:rsidP="0025709E">
                    <w:pPr>
                      <w:rPr>
                        <w:rtl/>
                      </w:rPr>
                    </w:pPr>
                  </w:p>
                </w:txbxContent>
              </v:textbox>
            </v:rect>
            <v:rect id="_x0000_s1232" style="position:absolute;top:9652;width:20000;height:698" filled="f" stroked="f">
              <v:textbox inset="1pt,1pt,1pt,1pt">
                <w:txbxContent>
                  <w:p w:rsidR="0025709E" w:rsidRPr="00DF7963" w:rsidRDefault="0025709E" w:rsidP="0025709E">
                    <w:pPr>
                      <w:rPr>
                        <w:rtl/>
                      </w:rPr>
                    </w:pPr>
                  </w:p>
                </w:txbxContent>
              </v:textbox>
            </v:rect>
            <v:rect id="_x0000_s1233" style="position:absolute;top:12846;width:20000;height:698" filled="f" stroked="f">
              <v:textbox inset="1pt,1pt,1pt,1pt">
                <w:txbxContent>
                  <w:p w:rsidR="0025709E" w:rsidRPr="00F955CA" w:rsidRDefault="0025709E" w:rsidP="0025709E">
                    <w:pPr>
                      <w:rPr>
                        <w:rtl/>
                      </w:rPr>
                    </w:pPr>
                  </w:p>
                </w:txbxContent>
              </v:textbox>
            </v:rect>
            <v:rect id="_x0000_s1234" style="position:absolute;top:16108;width:20000;height:698" filled="f" stroked="f">
              <v:textbox inset="1pt,1pt,1pt,1pt">
                <w:txbxContent>
                  <w:p w:rsidR="0025709E" w:rsidRDefault="0025709E" w:rsidP="0025709E">
                    <w:pPr>
                      <w:rPr>
                        <w:rtl/>
                      </w:rPr>
                    </w:pPr>
                  </w:p>
                </w:txbxContent>
              </v:textbox>
            </v:rect>
            <v:rect id="_x0000_s1235" style="position:absolute;top:19302;width:20000;height:698" filled="f" stroked="f">
              <v:textbox inset="1pt,1pt,1pt,1pt">
                <w:txbxContent>
                  <w:p w:rsidR="0025709E" w:rsidRDefault="0025709E" w:rsidP="0025709E">
                    <w:pPr>
                      <w:rPr>
                        <w:rtl/>
                      </w:rPr>
                    </w:pPr>
                  </w:p>
                </w:txbxContent>
              </v:textbox>
            </v:rect>
            <w10:wrap anchory="margin"/>
          </v:group>
        </w:pict>
      </w:r>
      <w:r w:rsidR="0025709E" w:rsidRPr="00DF7963">
        <w:rPr>
          <w:sz w:val="22"/>
          <w:szCs w:val="22"/>
          <w:rtl/>
        </w:rPr>
        <w:t>30.</w:t>
      </w:r>
      <w:r w:rsidR="0025709E" w:rsidRPr="00DF7963">
        <w:rPr>
          <w:sz w:val="22"/>
          <w:szCs w:val="22"/>
          <w:rtl/>
        </w:rPr>
        <w:tab/>
        <w:t>משפירטנו חובה עיקרית להתייעצות – חובה עיקרית ועמה חובות</w:t>
      </w:r>
      <w:r w:rsidR="0025709E" w:rsidRPr="00DF7963">
        <w:rPr>
          <w:position w:val="4"/>
          <w:sz w:val="22"/>
          <w:szCs w:val="22"/>
          <w:rtl/>
        </w:rPr>
        <w:t>-</w:t>
      </w:r>
      <w:r w:rsidR="0025709E" w:rsidRPr="00DF7963">
        <w:rPr>
          <w:sz w:val="22"/>
          <w:szCs w:val="22"/>
          <w:rtl/>
        </w:rPr>
        <w:t xml:space="preserve">משנה – נוסיף ונעיר דברים אלה. אכן, </w:t>
      </w:r>
      <w:r w:rsidR="0025709E" w:rsidRPr="00F955CA">
        <w:rPr>
          <w:sz w:val="22"/>
          <w:szCs w:val="22"/>
          <w:highlight w:val="yellow"/>
          <w:rtl/>
        </w:rPr>
        <w:t>אסורה היא הרשות לגבש החלטה סופית קודם שמיעת עצתה של הרשות המייעצת, שאם כך תעשה תייתר בעצם החלטתה את הליך ההתייעצות ותהפוך אותו לכלי ריק. עם</w:t>
      </w:r>
      <w:r w:rsidR="0025709E" w:rsidRPr="00F955CA">
        <w:rPr>
          <w:position w:val="4"/>
          <w:sz w:val="22"/>
          <w:szCs w:val="22"/>
          <w:highlight w:val="yellow"/>
          <w:rtl/>
        </w:rPr>
        <w:t xml:space="preserve"> </w:t>
      </w:r>
      <w:r w:rsidR="0025709E" w:rsidRPr="00F955CA">
        <w:rPr>
          <w:sz w:val="22"/>
          <w:szCs w:val="22"/>
          <w:highlight w:val="yellow"/>
          <w:rtl/>
        </w:rPr>
        <w:t>זאת אין מניעה – בנסיבות מתאימות – שהרשות תקבע עמדת</w:t>
      </w:r>
      <w:r w:rsidR="0025709E" w:rsidRPr="00F955CA">
        <w:rPr>
          <w:position w:val="4"/>
          <w:sz w:val="22"/>
          <w:szCs w:val="22"/>
          <w:highlight w:val="yellow"/>
          <w:rtl/>
        </w:rPr>
        <w:t>-</w:t>
      </w:r>
      <w:r w:rsidR="0025709E" w:rsidRPr="00F955CA">
        <w:rPr>
          <w:sz w:val="22"/>
          <w:szCs w:val="22"/>
          <w:highlight w:val="yellow"/>
          <w:rtl/>
        </w:rPr>
        <w:t>ביניים; כי תציג עמדת</w:t>
      </w:r>
      <w:r w:rsidR="0025709E" w:rsidRPr="00F955CA">
        <w:rPr>
          <w:position w:val="4"/>
          <w:sz w:val="22"/>
          <w:szCs w:val="22"/>
          <w:highlight w:val="yellow"/>
          <w:rtl/>
        </w:rPr>
        <w:t>-</w:t>
      </w:r>
      <w:r w:rsidR="0025709E" w:rsidRPr="00F955CA">
        <w:rPr>
          <w:sz w:val="22"/>
          <w:szCs w:val="22"/>
          <w:highlight w:val="yellow"/>
          <w:rtl/>
        </w:rPr>
        <w:t>ביניים זו לפני הרשות המייעצת; כי הרשות המייעצת תביע דעתה על אותה עמדה וכי הרשות בעלת</w:t>
      </w:r>
      <w:r w:rsidR="0025709E" w:rsidRPr="00F955CA">
        <w:rPr>
          <w:position w:val="4"/>
          <w:sz w:val="22"/>
          <w:szCs w:val="22"/>
          <w:highlight w:val="yellow"/>
          <w:rtl/>
        </w:rPr>
        <w:t>-</w:t>
      </w:r>
      <w:r w:rsidR="0025709E" w:rsidRPr="00F955CA">
        <w:rPr>
          <w:sz w:val="22"/>
          <w:szCs w:val="22"/>
          <w:highlight w:val="yellow"/>
          <w:rtl/>
        </w:rPr>
        <w:t>הסמכות תשקול את הצעתה של הרשות המייעצת בתום</w:t>
      </w:r>
      <w:r w:rsidR="0025709E" w:rsidRPr="00F955CA">
        <w:rPr>
          <w:position w:val="4"/>
          <w:sz w:val="22"/>
          <w:szCs w:val="22"/>
          <w:highlight w:val="yellow"/>
          <w:rtl/>
        </w:rPr>
        <w:t>-</w:t>
      </w:r>
      <w:r w:rsidR="0025709E" w:rsidRPr="00F955CA">
        <w:rPr>
          <w:sz w:val="22"/>
          <w:szCs w:val="22"/>
          <w:highlight w:val="yellow"/>
          <w:rtl/>
        </w:rPr>
        <w:t>לב, בלב פתוח ובנפש חפצה</w:t>
      </w:r>
      <w:r w:rsidR="0025709E" w:rsidRPr="00DF7963">
        <w:rPr>
          <w:sz w:val="22"/>
          <w:szCs w:val="22"/>
          <w:rtl/>
        </w:rPr>
        <w:t xml:space="preserve">. ראו דברי השופט י' כַּהַן שהבאנו בפיסקה 29 לעיל (מפרשת </w:t>
      </w:r>
      <w:r w:rsidR="0025709E" w:rsidRPr="00DF7963">
        <w:rPr>
          <w:b/>
          <w:sz w:val="22"/>
          <w:szCs w:val="22"/>
          <w:rtl/>
        </w:rPr>
        <w:t>המכון לארכיאולוגיה [14])</w:t>
      </w:r>
      <w:r w:rsidR="0025709E" w:rsidRPr="00DF7963">
        <w:rPr>
          <w:sz w:val="22"/>
          <w:szCs w:val="22"/>
          <w:rtl/>
        </w:rPr>
        <w:t xml:space="preserve">. </w:t>
      </w:r>
    </w:p>
    <w:p w:rsidR="0025709E" w:rsidRDefault="0025709E" w:rsidP="0025709E">
      <w:pPr>
        <w:pStyle w:val="a6"/>
        <w:spacing w:after="60" w:line="240" w:lineRule="auto"/>
        <w:ind w:left="-682"/>
        <w:rPr>
          <w:sz w:val="22"/>
          <w:szCs w:val="22"/>
          <w:rtl/>
        </w:rPr>
      </w:pPr>
      <w:r w:rsidRPr="00DF7963">
        <w:rPr>
          <w:sz w:val="22"/>
          <w:szCs w:val="22"/>
          <w:rtl/>
        </w:rPr>
        <w:t>31.</w:t>
      </w:r>
      <w:r w:rsidRPr="00DF7963">
        <w:rPr>
          <w:sz w:val="22"/>
          <w:szCs w:val="22"/>
          <w:rtl/>
        </w:rPr>
        <w:tab/>
        <w:t>אשר לענייננו</w:t>
      </w:r>
      <w:r w:rsidRPr="00DF7963">
        <w:rPr>
          <w:position w:val="4"/>
          <w:sz w:val="22"/>
          <w:szCs w:val="22"/>
          <w:rtl/>
        </w:rPr>
        <w:t>-</w:t>
      </w:r>
      <w:r w:rsidRPr="00DF7963">
        <w:rPr>
          <w:sz w:val="22"/>
          <w:szCs w:val="22"/>
          <w:rtl/>
        </w:rPr>
        <w:t>שלנו: הבה נשַוֶוה נגד עינינו את העיקרים שעמדנו עליהם; נבחן את שעשו נציגי הממשלה – את שעשו וחדלו ולא ייוותר ספק</w:t>
      </w:r>
      <w:r w:rsidRPr="00DF7963">
        <w:rPr>
          <w:position w:val="4"/>
          <w:sz w:val="22"/>
          <w:szCs w:val="22"/>
          <w:rtl/>
        </w:rPr>
        <w:t>-</w:t>
      </w:r>
      <w:r w:rsidRPr="00DF7963">
        <w:rPr>
          <w:sz w:val="22"/>
          <w:szCs w:val="22"/>
          <w:rtl/>
        </w:rPr>
        <w:t>ספקא בלבנו כי נציגי הממשלה עוולו לחובת ההתייעצות – למתחילה ועד סוף. בבקשנו ליתן מובן ומשמעות כלשהם למושג ההתייעצות, אין מנוס ממסקנה כי הממשלה לא נועצה באותם גופים שחובה מפורשת הוטלה עליה להיוועץ בהם; לא</w:t>
      </w:r>
      <w:r w:rsidRPr="00DF7963">
        <w:rPr>
          <w:position w:val="4"/>
          <w:sz w:val="22"/>
          <w:szCs w:val="22"/>
          <w:rtl/>
        </w:rPr>
        <w:t>-</w:t>
      </w:r>
      <w:r w:rsidRPr="00DF7963">
        <w:rPr>
          <w:sz w:val="22"/>
          <w:szCs w:val="22"/>
          <w:rtl/>
        </w:rPr>
        <w:t>כל</w:t>
      </w:r>
      <w:r w:rsidRPr="00DF7963">
        <w:rPr>
          <w:position w:val="4"/>
          <w:sz w:val="22"/>
          <w:szCs w:val="22"/>
          <w:rtl/>
        </w:rPr>
        <w:t>-</w:t>
      </w:r>
      <w:r w:rsidRPr="00DF7963">
        <w:rPr>
          <w:sz w:val="22"/>
          <w:szCs w:val="22"/>
          <w:rtl/>
        </w:rPr>
        <w:t>שכן, שבהפרה כל אותן חובות</w:t>
      </w:r>
      <w:r w:rsidRPr="00DF7963">
        <w:rPr>
          <w:position w:val="4"/>
          <w:sz w:val="22"/>
          <w:szCs w:val="22"/>
          <w:rtl/>
        </w:rPr>
        <w:t>-</w:t>
      </w:r>
      <w:r w:rsidRPr="00DF7963">
        <w:rPr>
          <w:sz w:val="22"/>
          <w:szCs w:val="22"/>
          <w:rtl/>
        </w:rPr>
        <w:t>משנה הכרוכות בחובת ההתייעצות, לא נועצה בהם בלב פתוח ובנפש קולטת. אכן, סקירת העובדות לימדה אותנו, כי לאחר שנועצו בנציגי המפלגות השונות – וקודם שפנו אל גופי</w:t>
      </w:r>
      <w:r w:rsidRPr="00DF7963">
        <w:rPr>
          <w:position w:val="4"/>
          <w:sz w:val="22"/>
          <w:szCs w:val="22"/>
          <w:rtl/>
        </w:rPr>
        <w:t>-</w:t>
      </w:r>
      <w:r w:rsidRPr="00DF7963">
        <w:rPr>
          <w:sz w:val="22"/>
          <w:szCs w:val="22"/>
          <w:rtl/>
        </w:rPr>
        <w:t xml:space="preserve">הייעוץ המנויים בחוק – ערכו נציגי הממשלה רשימת מועמדים, ואותם מועמדים עצמם הם אף שהיו המועמדים שעליהם המליצה הממשלה להיותם חברי מליאת רשות השידור. </w:t>
      </w:r>
    </w:p>
    <w:p w:rsidR="0025709E" w:rsidRPr="00DF7963" w:rsidRDefault="0025709E" w:rsidP="0025709E">
      <w:pPr>
        <w:pStyle w:val="a6"/>
        <w:spacing w:after="60" w:line="240" w:lineRule="auto"/>
        <w:ind w:left="-682"/>
        <w:rPr>
          <w:sz w:val="22"/>
          <w:szCs w:val="22"/>
          <w:rtl/>
        </w:rPr>
      </w:pPr>
      <w:r w:rsidRPr="00DF7963">
        <w:rPr>
          <w:sz w:val="22"/>
          <w:szCs w:val="22"/>
          <w:rtl/>
        </w:rPr>
        <w:t>המלצות הגופים שהמחוקק קרא בשמם או בתוארם בסעיף 7(א)(1) ל</w:t>
      </w:r>
      <w:hyperlink r:id="rId422" w:history="1">
        <w:r w:rsidRPr="00DF7963">
          <w:rPr>
            <w:rStyle w:val="Hyperlink"/>
            <w:sz w:val="22"/>
            <w:szCs w:val="22"/>
            <w:rtl/>
          </w:rPr>
          <w:t>חוק רשות השידור</w:t>
        </w:r>
      </w:hyperlink>
      <w:r w:rsidRPr="00DF7963">
        <w:rPr>
          <w:sz w:val="22"/>
          <w:szCs w:val="22"/>
          <w:rtl/>
        </w:rPr>
        <w:t xml:space="preserve"> עברו ליד אוזנה של הממשלה כזמזום דבורה במעופה, או שמא נאמר: המלצותיהם הונחו במקום שהונחו ולא נודע כי היו כלל. נשיאי אוניברסיטאות ומכובדים אחרים המליצו את אשר המליצו, ופקידי משרד ראש</w:t>
      </w:r>
      <w:r w:rsidRPr="00DF7963">
        <w:rPr>
          <w:position w:val="4"/>
          <w:sz w:val="22"/>
          <w:szCs w:val="22"/>
          <w:rtl/>
        </w:rPr>
        <w:t>-</w:t>
      </w:r>
      <w:r w:rsidRPr="00DF7963">
        <w:rPr>
          <w:sz w:val="22"/>
          <w:szCs w:val="22"/>
          <w:rtl/>
        </w:rPr>
        <w:t>הממשלה תייקו את המלצותיהם בתיקים. לא נמסר לנו אם אותם פקידים הביאו את ההמלצות לידיעת ראש</w:t>
      </w:r>
      <w:r w:rsidRPr="00DF7963">
        <w:rPr>
          <w:position w:val="4"/>
          <w:sz w:val="22"/>
          <w:szCs w:val="22"/>
          <w:rtl/>
        </w:rPr>
        <w:t>-</w:t>
      </w:r>
      <w:r w:rsidRPr="00DF7963">
        <w:rPr>
          <w:sz w:val="22"/>
          <w:szCs w:val="22"/>
          <w:rtl/>
        </w:rPr>
        <w:t>הממשלה או לידיעת שרים משרי הממשלה, אם לאו, וגם לא נדע מה אירע: אם חדלו הפקידים ולא הביאו את ההמלצות לידיעת ראש</w:t>
      </w:r>
      <w:r w:rsidRPr="00DF7963">
        <w:rPr>
          <w:position w:val="4"/>
          <w:sz w:val="22"/>
          <w:szCs w:val="22"/>
          <w:rtl/>
        </w:rPr>
        <w:t>-</w:t>
      </w:r>
      <w:r w:rsidRPr="00DF7963">
        <w:rPr>
          <w:sz w:val="22"/>
          <w:szCs w:val="22"/>
          <w:rtl/>
        </w:rPr>
        <w:t>הממשלה והשרים, או אם הביאו אותן המלצות לידיעת ראש</w:t>
      </w:r>
      <w:r w:rsidRPr="00DF7963">
        <w:rPr>
          <w:position w:val="4"/>
          <w:sz w:val="22"/>
          <w:szCs w:val="22"/>
          <w:rtl/>
        </w:rPr>
        <w:t>-</w:t>
      </w:r>
      <w:r w:rsidRPr="00DF7963">
        <w:rPr>
          <w:sz w:val="22"/>
          <w:szCs w:val="22"/>
          <w:rtl/>
        </w:rPr>
        <w:t>הממשלה והשרים ואלה התעלמו מהן כמו</w:t>
      </w:r>
      <w:r w:rsidRPr="00DF7963">
        <w:rPr>
          <w:position w:val="4"/>
          <w:sz w:val="22"/>
          <w:szCs w:val="22"/>
          <w:rtl/>
        </w:rPr>
        <w:t>-</w:t>
      </w:r>
      <w:r w:rsidRPr="00DF7963">
        <w:rPr>
          <w:sz w:val="22"/>
          <w:szCs w:val="22"/>
          <w:rtl/>
        </w:rPr>
        <w:t>לא</w:t>
      </w:r>
      <w:r w:rsidRPr="00DF7963">
        <w:rPr>
          <w:position w:val="4"/>
          <w:sz w:val="22"/>
          <w:szCs w:val="22"/>
          <w:rtl/>
        </w:rPr>
        <w:t>-</w:t>
      </w:r>
      <w:r w:rsidRPr="00DF7963">
        <w:rPr>
          <w:sz w:val="22"/>
          <w:szCs w:val="22"/>
          <w:rtl/>
        </w:rPr>
        <w:t>היו. אלא שסוף מעשה יעיד על תחילתו, וסוף המעשה יזעק באוזנינו, כי הממשלה לא נתנה כלל דעתה להמלצותיהם של גופי</w:t>
      </w:r>
      <w:r w:rsidRPr="00DF7963">
        <w:rPr>
          <w:position w:val="4"/>
          <w:sz w:val="22"/>
          <w:szCs w:val="22"/>
          <w:rtl/>
        </w:rPr>
        <w:t>-</w:t>
      </w:r>
      <w:r w:rsidRPr="00DF7963">
        <w:rPr>
          <w:sz w:val="22"/>
          <w:szCs w:val="22"/>
          <w:rtl/>
        </w:rPr>
        <w:t>הייעוץ. אכן, הממשלה עשתה חוכא</w:t>
      </w:r>
      <w:r w:rsidRPr="00DF7963">
        <w:rPr>
          <w:position w:val="4"/>
          <w:sz w:val="22"/>
          <w:szCs w:val="22"/>
          <w:rtl/>
        </w:rPr>
        <w:t>-</w:t>
      </w:r>
      <w:r w:rsidRPr="00DF7963">
        <w:rPr>
          <w:sz w:val="22"/>
          <w:szCs w:val="22"/>
          <w:rtl/>
        </w:rPr>
        <w:t>ואטלולה מחובתה להתייעץ בגופי</w:t>
      </w:r>
      <w:r w:rsidRPr="00DF7963">
        <w:rPr>
          <w:position w:val="4"/>
          <w:sz w:val="22"/>
          <w:szCs w:val="22"/>
          <w:rtl/>
        </w:rPr>
        <w:t>-</w:t>
      </w:r>
      <w:r w:rsidRPr="00DF7963">
        <w:rPr>
          <w:sz w:val="22"/>
          <w:szCs w:val="22"/>
          <w:rtl/>
        </w:rPr>
        <w:t>תרבות ובגופי</w:t>
      </w:r>
      <w:r w:rsidRPr="00DF7963">
        <w:rPr>
          <w:position w:val="4"/>
          <w:sz w:val="22"/>
          <w:szCs w:val="22"/>
          <w:rtl/>
        </w:rPr>
        <w:t>-</w:t>
      </w:r>
      <w:r w:rsidRPr="00DF7963">
        <w:rPr>
          <w:sz w:val="22"/>
          <w:szCs w:val="22"/>
          <w:rtl/>
        </w:rPr>
        <w:t>תקשורת שהחוק חייב אותה להיוועץ בהם, וממילא הפרה בעליל את חובת</w:t>
      </w:r>
      <w:r w:rsidRPr="00DF7963">
        <w:rPr>
          <w:position w:val="4"/>
          <w:sz w:val="22"/>
          <w:szCs w:val="22"/>
          <w:rtl/>
        </w:rPr>
        <w:t>-</w:t>
      </w:r>
      <w:r w:rsidRPr="00DF7963">
        <w:rPr>
          <w:sz w:val="22"/>
          <w:szCs w:val="22"/>
          <w:rtl/>
        </w:rPr>
        <w:t xml:space="preserve">ההתייעצות שהוטלה עליה. </w:t>
      </w:r>
    </w:p>
    <w:p w:rsidR="0025709E" w:rsidRPr="00DF7963" w:rsidRDefault="005D7968" w:rsidP="0025709E">
      <w:pPr>
        <w:pStyle w:val="a6"/>
        <w:spacing w:after="60" w:line="240" w:lineRule="auto"/>
        <w:ind w:left="-682"/>
        <w:rPr>
          <w:sz w:val="22"/>
          <w:szCs w:val="22"/>
          <w:rtl/>
        </w:rPr>
      </w:pPr>
      <w:r>
        <w:rPr>
          <w:sz w:val="22"/>
          <w:szCs w:val="22"/>
          <w:rtl/>
        </w:rPr>
        <w:pict>
          <v:group id="_x0000_s1236" style="position:absolute;left:0;text-align:left;margin-left:-36.85pt;margin-top:25.5pt;width:14.25pt;height:408.3pt;z-index:251857920;mso-position-vertical-relative:margin" coordsize="20000,20000" o:allowincell="f">
            <v:rect id="_x0000_s1237" style="position:absolute;width:20000;height:698" filled="f" stroked="f" strokeweight=".25pt">
              <v:textbox inset="1pt,1pt,1pt,1pt">
                <w:txbxContent>
                  <w:p w:rsidR="0025709E" w:rsidRDefault="0025709E" w:rsidP="0025709E">
                    <w:pPr>
                      <w:rPr>
                        <w:rtl/>
                      </w:rPr>
                    </w:pPr>
                    <w:r>
                      <w:rPr>
                        <w:rFonts w:cs="Miriam"/>
                        <w:szCs w:val="28"/>
                        <w:rtl/>
                      </w:rPr>
                      <w:t>א</w:t>
                    </w:r>
                  </w:p>
                </w:txbxContent>
              </v:textbox>
            </v:rect>
            <v:rect id="_x0000_s1238" style="position:absolute;top:3262;width:20000;height:698" filled="f" stroked="f">
              <v:textbox inset="1pt,1pt,1pt,1pt">
                <w:txbxContent>
                  <w:p w:rsidR="0025709E" w:rsidRDefault="0025709E" w:rsidP="0025709E">
                    <w:pPr>
                      <w:rPr>
                        <w:rtl/>
                      </w:rPr>
                    </w:pPr>
                    <w:r>
                      <w:rPr>
                        <w:rFonts w:cs="Miriam"/>
                        <w:szCs w:val="28"/>
                        <w:rtl/>
                      </w:rPr>
                      <w:t>ב</w:t>
                    </w:r>
                  </w:p>
                </w:txbxContent>
              </v:textbox>
            </v:rect>
            <v:rect id="_x0000_s1239" style="position:absolute;top:6458;width:20000;height:698" filled="f" stroked="f">
              <v:textbox inset="1pt,1pt,1pt,1pt">
                <w:txbxContent>
                  <w:p w:rsidR="0025709E" w:rsidRDefault="0025709E" w:rsidP="0025709E">
                    <w:pPr>
                      <w:rPr>
                        <w:rtl/>
                      </w:rPr>
                    </w:pPr>
                    <w:r>
                      <w:rPr>
                        <w:rFonts w:cs="Miriam"/>
                        <w:szCs w:val="28"/>
                        <w:rtl/>
                      </w:rPr>
                      <w:t>ג</w:t>
                    </w:r>
                  </w:p>
                </w:txbxContent>
              </v:textbox>
            </v:rect>
            <v:rect id="_x0000_s1240" style="position:absolute;top:9652;width:20000;height:698" filled="f" stroked="f">
              <v:textbox inset="1pt,1pt,1pt,1pt">
                <w:txbxContent>
                  <w:p w:rsidR="0025709E" w:rsidRDefault="0025709E" w:rsidP="0025709E">
                    <w:pPr>
                      <w:rPr>
                        <w:rtl/>
                      </w:rPr>
                    </w:pPr>
                    <w:r>
                      <w:rPr>
                        <w:rFonts w:cs="Miriam"/>
                        <w:szCs w:val="28"/>
                        <w:rtl/>
                      </w:rPr>
                      <w:t>ד</w:t>
                    </w:r>
                  </w:p>
                </w:txbxContent>
              </v:textbox>
            </v:rect>
            <v:rect id="_x0000_s1241" style="position:absolute;top:12846;width:20000;height:698" filled="f" stroked="f">
              <v:textbox inset="1pt,1pt,1pt,1pt">
                <w:txbxContent>
                  <w:p w:rsidR="0025709E" w:rsidRDefault="0025709E" w:rsidP="0025709E">
                    <w:pPr>
                      <w:rPr>
                        <w:rtl/>
                      </w:rPr>
                    </w:pPr>
                    <w:r>
                      <w:rPr>
                        <w:rFonts w:cs="Miriam"/>
                        <w:szCs w:val="28"/>
                        <w:rtl/>
                      </w:rPr>
                      <w:t>ה</w:t>
                    </w:r>
                  </w:p>
                </w:txbxContent>
              </v:textbox>
            </v:rect>
            <v:rect id="_x0000_s1242" style="position:absolute;top:16108;width:20000;height:698" filled="f" stroked="f">
              <v:textbox inset="1pt,1pt,1pt,1pt">
                <w:txbxContent>
                  <w:p w:rsidR="0025709E" w:rsidRDefault="0025709E" w:rsidP="0025709E">
                    <w:pPr>
                      <w:rPr>
                        <w:rtl/>
                      </w:rPr>
                    </w:pPr>
                    <w:r>
                      <w:rPr>
                        <w:rFonts w:cs="Miriam"/>
                        <w:szCs w:val="28"/>
                        <w:rtl/>
                      </w:rPr>
                      <w:t>ו</w:t>
                    </w:r>
                  </w:p>
                </w:txbxContent>
              </v:textbox>
            </v:rect>
            <v:rect id="_x0000_s1243" style="position:absolute;top:19302;width:20000;height:698" filled="f" stroked="f">
              <v:textbox inset="1pt,1pt,1pt,1pt">
                <w:txbxContent>
                  <w:p w:rsidR="0025709E" w:rsidRDefault="0025709E" w:rsidP="0025709E">
                    <w:pPr>
                      <w:rPr>
                        <w:rtl/>
                      </w:rPr>
                    </w:pPr>
                    <w:r>
                      <w:rPr>
                        <w:rFonts w:cs="Miriam"/>
                        <w:szCs w:val="28"/>
                        <w:rtl/>
                      </w:rPr>
                      <w:t>ז</w:t>
                    </w:r>
                  </w:p>
                </w:txbxContent>
              </v:textbox>
            </v:rect>
            <w10:wrap anchory="margin"/>
          </v:group>
        </w:pict>
      </w:r>
      <w:r w:rsidR="0025709E" w:rsidRPr="00DF7963">
        <w:rPr>
          <w:sz w:val="22"/>
          <w:szCs w:val="22"/>
          <w:rtl/>
        </w:rPr>
        <w:t>חמור מכך. סקירת אירועי</w:t>
      </w:r>
      <w:r w:rsidR="0025709E" w:rsidRPr="00DF7963">
        <w:rPr>
          <w:position w:val="4"/>
          <w:sz w:val="22"/>
          <w:szCs w:val="22"/>
          <w:rtl/>
        </w:rPr>
        <w:t>-</w:t>
      </w:r>
      <w:r w:rsidR="0025709E" w:rsidRPr="00DF7963">
        <w:rPr>
          <w:sz w:val="22"/>
          <w:szCs w:val="22"/>
          <w:rtl/>
        </w:rPr>
        <w:t>ההתייעצות תלמדנו – ובאורח חד</w:t>
      </w:r>
      <w:r w:rsidR="0025709E" w:rsidRPr="00DF7963">
        <w:rPr>
          <w:position w:val="4"/>
          <w:sz w:val="22"/>
          <w:szCs w:val="22"/>
          <w:rtl/>
        </w:rPr>
        <w:t>-</w:t>
      </w:r>
      <w:r w:rsidR="0025709E" w:rsidRPr="00DF7963">
        <w:rPr>
          <w:sz w:val="22"/>
          <w:szCs w:val="22"/>
          <w:rtl/>
        </w:rPr>
        <w:t>משמעי – כי הממשלה ונציגיה לא נתכוונו כלל – מלכתחילה – להיוועץ באמת</w:t>
      </w:r>
      <w:r w:rsidR="0025709E" w:rsidRPr="00DF7963">
        <w:rPr>
          <w:position w:val="4"/>
          <w:sz w:val="22"/>
          <w:szCs w:val="22"/>
          <w:rtl/>
        </w:rPr>
        <w:t>-</w:t>
      </w:r>
      <w:r w:rsidR="0025709E" w:rsidRPr="00DF7963">
        <w:rPr>
          <w:sz w:val="22"/>
          <w:szCs w:val="22"/>
          <w:rtl/>
        </w:rPr>
        <w:t>ובתמים באותם גופים שהחוק הטיל על הממשלה חובה להיוועץ בהם. כך היה שעה שנציגי הממשלה פנו אל גופי</w:t>
      </w:r>
      <w:r w:rsidR="0025709E" w:rsidRPr="00DF7963">
        <w:rPr>
          <w:position w:val="4"/>
          <w:sz w:val="22"/>
          <w:szCs w:val="22"/>
          <w:rtl/>
        </w:rPr>
        <w:t>-</w:t>
      </w:r>
      <w:r w:rsidR="0025709E" w:rsidRPr="00DF7963">
        <w:rPr>
          <w:sz w:val="22"/>
          <w:szCs w:val="22"/>
          <w:rtl/>
        </w:rPr>
        <w:t>הייעוץ לאחר פקיעת כהונתה של המליאה היוצאת; כך היה שעה שלא ניתנה לגופי</w:t>
      </w:r>
      <w:r w:rsidR="0025709E" w:rsidRPr="00DF7963">
        <w:rPr>
          <w:position w:val="4"/>
          <w:sz w:val="22"/>
          <w:szCs w:val="22"/>
          <w:rtl/>
        </w:rPr>
        <w:t>-</w:t>
      </w:r>
      <w:r w:rsidR="0025709E" w:rsidRPr="00DF7963">
        <w:rPr>
          <w:sz w:val="22"/>
          <w:szCs w:val="22"/>
          <w:rtl/>
        </w:rPr>
        <w:t>הייעוץ שהות ראויה "לייעץ" וכך היה כאשר המלצות שהמליצו מקצת גופי</w:t>
      </w:r>
      <w:r w:rsidR="0025709E" w:rsidRPr="00DF7963">
        <w:rPr>
          <w:position w:val="4"/>
          <w:sz w:val="22"/>
          <w:szCs w:val="22"/>
          <w:rtl/>
        </w:rPr>
        <w:t>-</w:t>
      </w:r>
      <w:r w:rsidR="0025709E" w:rsidRPr="00DF7963">
        <w:rPr>
          <w:sz w:val="22"/>
          <w:szCs w:val="22"/>
          <w:rtl/>
        </w:rPr>
        <w:t>ייעוץ לא זכו לכל תשומת</w:t>
      </w:r>
      <w:r w:rsidR="0025709E" w:rsidRPr="00DF7963">
        <w:rPr>
          <w:position w:val="4"/>
          <w:sz w:val="22"/>
          <w:szCs w:val="22"/>
          <w:rtl/>
        </w:rPr>
        <w:t>-</w:t>
      </w:r>
      <w:r w:rsidR="0025709E" w:rsidRPr="00DF7963">
        <w:rPr>
          <w:sz w:val="22"/>
          <w:szCs w:val="22"/>
          <w:rtl/>
        </w:rPr>
        <w:t xml:space="preserve">לב שהיא. </w:t>
      </w:r>
    </w:p>
    <w:p w:rsidR="0025709E" w:rsidRPr="00DF7963" w:rsidRDefault="0025709E" w:rsidP="0025709E">
      <w:pPr>
        <w:pStyle w:val="a6"/>
        <w:spacing w:after="60" w:line="240" w:lineRule="auto"/>
        <w:ind w:left="-682"/>
        <w:rPr>
          <w:sz w:val="22"/>
          <w:szCs w:val="22"/>
          <w:rtl/>
        </w:rPr>
      </w:pPr>
      <w:r w:rsidRPr="00DF7963">
        <w:rPr>
          <w:sz w:val="22"/>
          <w:szCs w:val="22"/>
          <w:rtl/>
        </w:rPr>
        <w:t>32.</w:t>
      </w:r>
      <w:r w:rsidRPr="00DF7963">
        <w:rPr>
          <w:sz w:val="22"/>
          <w:szCs w:val="22"/>
          <w:rtl/>
        </w:rPr>
        <w:tab/>
        <w:t>בהפרה את עקרון</w:t>
      </w:r>
      <w:r w:rsidRPr="00DF7963">
        <w:rPr>
          <w:position w:val="4"/>
          <w:sz w:val="22"/>
          <w:szCs w:val="22"/>
          <w:rtl/>
        </w:rPr>
        <w:t>-</w:t>
      </w:r>
      <w:r w:rsidRPr="00DF7963">
        <w:rPr>
          <w:sz w:val="22"/>
          <w:szCs w:val="22"/>
          <w:rtl/>
        </w:rPr>
        <w:t>העל שבחובת ההתייעצות, הפרה הממשלה, ממילא, את עקרונות</w:t>
      </w:r>
      <w:r w:rsidRPr="00DF7963">
        <w:rPr>
          <w:position w:val="4"/>
          <w:sz w:val="22"/>
          <w:szCs w:val="22"/>
          <w:rtl/>
        </w:rPr>
        <w:t>-</w:t>
      </w:r>
      <w:r w:rsidRPr="00DF7963">
        <w:rPr>
          <w:sz w:val="22"/>
          <w:szCs w:val="22"/>
          <w:rtl/>
        </w:rPr>
        <w:t>המשנה הנגזרים מאותו עקרון</w:t>
      </w:r>
      <w:r w:rsidRPr="00DF7963">
        <w:rPr>
          <w:position w:val="4"/>
          <w:sz w:val="22"/>
          <w:szCs w:val="22"/>
          <w:rtl/>
        </w:rPr>
        <w:t>-</w:t>
      </w:r>
      <w:r w:rsidRPr="00DF7963">
        <w:rPr>
          <w:sz w:val="22"/>
          <w:szCs w:val="22"/>
          <w:rtl/>
        </w:rPr>
        <w:t>על. אין צורך שנעמוד על הדברים בפרוטרוט; המעיין יעיין והדברים יימצאו לו בנקל. אכן, הממשלה החליטה מראש מִי</w:t>
      </w:r>
      <w:r w:rsidRPr="00DF7963">
        <w:rPr>
          <w:position w:val="4"/>
          <w:sz w:val="22"/>
          <w:szCs w:val="22"/>
          <w:rtl/>
        </w:rPr>
        <w:t>-</w:t>
      </w:r>
      <w:r w:rsidRPr="00DF7963">
        <w:rPr>
          <w:sz w:val="22"/>
          <w:szCs w:val="22"/>
          <w:rtl/>
        </w:rPr>
        <w:t>וָמִי יהיו במועמדים לכהן במליאת רשות השידור, ומועמדים אלה אכן נתמנו לחברות במליאה. הממשלה לא נועצה בגופי</w:t>
      </w:r>
      <w:r w:rsidRPr="00DF7963">
        <w:rPr>
          <w:position w:val="4"/>
          <w:sz w:val="22"/>
          <w:szCs w:val="22"/>
          <w:rtl/>
        </w:rPr>
        <w:t>-</w:t>
      </w:r>
      <w:r w:rsidRPr="00DF7963">
        <w:rPr>
          <w:sz w:val="22"/>
          <w:szCs w:val="22"/>
          <w:rtl/>
        </w:rPr>
        <w:t>הייעוץ התייעצות</w:t>
      </w:r>
      <w:r w:rsidRPr="00DF7963">
        <w:rPr>
          <w:position w:val="4"/>
          <w:sz w:val="22"/>
          <w:szCs w:val="22"/>
          <w:rtl/>
        </w:rPr>
        <w:t>-</w:t>
      </w:r>
      <w:r w:rsidRPr="00DF7963">
        <w:rPr>
          <w:sz w:val="22"/>
          <w:szCs w:val="22"/>
          <w:rtl/>
        </w:rPr>
        <w:t>של</w:t>
      </w:r>
      <w:r w:rsidRPr="00DF7963">
        <w:rPr>
          <w:position w:val="4"/>
          <w:sz w:val="22"/>
          <w:szCs w:val="22"/>
          <w:rtl/>
        </w:rPr>
        <w:t>-</w:t>
      </w:r>
      <w:r w:rsidRPr="00DF7963">
        <w:rPr>
          <w:sz w:val="22"/>
          <w:szCs w:val="22"/>
          <w:rtl/>
        </w:rPr>
        <w:t>אמת; הממשלה לא סיפקה לאותם גופי</w:t>
      </w:r>
      <w:r w:rsidRPr="00DF7963">
        <w:rPr>
          <w:position w:val="4"/>
          <w:sz w:val="22"/>
          <w:szCs w:val="22"/>
          <w:rtl/>
        </w:rPr>
        <w:t>-</w:t>
      </w:r>
      <w:r w:rsidRPr="00DF7963">
        <w:rPr>
          <w:sz w:val="22"/>
          <w:szCs w:val="22"/>
          <w:rtl/>
        </w:rPr>
        <w:t>ייעוץ מידע באשר לאמות</w:t>
      </w:r>
      <w:r w:rsidRPr="00DF7963">
        <w:rPr>
          <w:position w:val="4"/>
          <w:sz w:val="22"/>
          <w:szCs w:val="22"/>
          <w:rtl/>
        </w:rPr>
        <w:t>-</w:t>
      </w:r>
      <w:r w:rsidRPr="00DF7963">
        <w:rPr>
          <w:sz w:val="22"/>
          <w:szCs w:val="22"/>
          <w:rtl/>
        </w:rPr>
        <w:t xml:space="preserve">המידה לבחירתם של חברי המליאה; הממשלה לא נתנה שהות ראויה לגופי הייעוץ לייעץ לה (ומשנתבקשו העושים במלאכה להרחיב את המועד למתן הייעוץ – התעלמו מן הבקשה); הממשלה לא שתה דעתה כלל לייעוץ. פצע וחבורה ומכה טרייה, בוקה ומבוקה ומבולקה. </w:t>
      </w:r>
    </w:p>
    <w:p w:rsidR="0025709E" w:rsidRPr="00DF7963" w:rsidRDefault="0025709E" w:rsidP="0025709E">
      <w:pPr>
        <w:pStyle w:val="a6"/>
        <w:spacing w:after="60" w:line="240" w:lineRule="auto"/>
        <w:ind w:left="-682"/>
        <w:rPr>
          <w:b/>
          <w:bCs/>
          <w:sz w:val="22"/>
          <w:szCs w:val="22"/>
          <w:rtl/>
        </w:rPr>
      </w:pPr>
      <w:r w:rsidRPr="00DF7963">
        <w:rPr>
          <w:b/>
          <w:bCs/>
          <w:sz w:val="22"/>
          <w:szCs w:val="22"/>
          <w:rtl/>
        </w:rPr>
        <w:t>באילו גופים נתחייבה הממשלה להיוועץ?</w:t>
      </w:r>
    </w:p>
    <w:p w:rsidR="0025709E" w:rsidRPr="00DF7963" w:rsidRDefault="0025709E" w:rsidP="0025709E">
      <w:pPr>
        <w:pStyle w:val="a6"/>
        <w:spacing w:after="60" w:line="240" w:lineRule="auto"/>
        <w:ind w:left="-682"/>
        <w:rPr>
          <w:sz w:val="22"/>
          <w:szCs w:val="22"/>
          <w:rtl/>
        </w:rPr>
      </w:pPr>
      <w:r w:rsidRPr="00DF7963">
        <w:rPr>
          <w:sz w:val="22"/>
          <w:szCs w:val="22"/>
          <w:rtl/>
        </w:rPr>
        <w:t>33.</w:t>
      </w:r>
      <w:r w:rsidRPr="00DF7963">
        <w:rPr>
          <w:sz w:val="22"/>
          <w:szCs w:val="22"/>
          <w:rtl/>
        </w:rPr>
        <w:tab/>
        <w:t xml:space="preserve">העותרים שלפנינו – גופים המאגדים יוצרים, בימאים, תסריטאים ואמנים שתחום עיסוקם הפקות לטלוויזיה ולקולנוע – טוענים כי הממשלה לא נועצה בהם קודם מינוייהם של חברי המליאה, </w:t>
      </w:r>
      <w:r w:rsidRPr="00DF7963">
        <w:rPr>
          <w:spacing w:val="-8"/>
          <w:sz w:val="22"/>
          <w:szCs w:val="22"/>
          <w:rtl/>
        </w:rPr>
        <w:t>ומכאן שנפל פגם – פגם מהותי</w:t>
      </w:r>
      <w:r w:rsidRPr="00DF7963">
        <w:rPr>
          <w:sz w:val="22"/>
          <w:szCs w:val="22"/>
          <w:rtl/>
        </w:rPr>
        <w:t xml:space="preserve"> – בהליך המינוי. </w:t>
      </w:r>
      <w:r w:rsidRPr="00F955CA">
        <w:rPr>
          <w:spacing w:val="8"/>
          <w:sz w:val="22"/>
          <w:szCs w:val="22"/>
          <w:highlight w:val="yellow"/>
          <w:rtl/>
        </w:rPr>
        <w:t>על כך</w:t>
      </w:r>
      <w:r w:rsidRPr="00F955CA">
        <w:rPr>
          <w:sz w:val="22"/>
          <w:szCs w:val="22"/>
          <w:highlight w:val="yellow"/>
          <w:rtl/>
        </w:rPr>
        <w:t xml:space="preserve"> משיבים המשיבים, וכך הם טוענים: תהא</w:t>
      </w:r>
      <w:r w:rsidRPr="00F955CA">
        <w:rPr>
          <w:position w:val="4"/>
          <w:sz w:val="22"/>
          <w:szCs w:val="22"/>
          <w:highlight w:val="yellow"/>
          <w:rtl/>
        </w:rPr>
        <w:t>-</w:t>
      </w:r>
      <w:r w:rsidRPr="00F955CA">
        <w:rPr>
          <w:sz w:val="22"/>
          <w:szCs w:val="22"/>
          <w:highlight w:val="yellow"/>
          <w:rtl/>
        </w:rPr>
        <w:t>אשר</w:t>
      </w:r>
      <w:r w:rsidRPr="00F955CA">
        <w:rPr>
          <w:position w:val="4"/>
          <w:sz w:val="22"/>
          <w:szCs w:val="22"/>
          <w:highlight w:val="yellow"/>
          <w:rtl/>
        </w:rPr>
        <w:t>-</w:t>
      </w:r>
      <w:r w:rsidRPr="00F955CA">
        <w:rPr>
          <w:sz w:val="22"/>
          <w:szCs w:val="22"/>
          <w:highlight w:val="yellow"/>
          <w:rtl/>
        </w:rPr>
        <w:t>תהא חובת הממשלה על</w:t>
      </w:r>
      <w:r w:rsidRPr="00F955CA">
        <w:rPr>
          <w:position w:val="4"/>
          <w:sz w:val="22"/>
          <w:szCs w:val="22"/>
          <w:highlight w:val="yellow"/>
          <w:rtl/>
        </w:rPr>
        <w:t>-</w:t>
      </w:r>
      <w:r w:rsidRPr="00F955CA">
        <w:rPr>
          <w:sz w:val="22"/>
          <w:szCs w:val="22"/>
          <w:highlight w:val="yellow"/>
          <w:rtl/>
        </w:rPr>
        <w:t>פי חוק להיוועץ בגופי</w:t>
      </w:r>
      <w:r w:rsidRPr="00F955CA">
        <w:rPr>
          <w:position w:val="4"/>
          <w:sz w:val="22"/>
          <w:szCs w:val="22"/>
          <w:highlight w:val="yellow"/>
          <w:rtl/>
        </w:rPr>
        <w:t>-</w:t>
      </w:r>
      <w:r w:rsidRPr="00F955CA">
        <w:rPr>
          <w:sz w:val="22"/>
          <w:szCs w:val="22"/>
          <w:highlight w:val="yellow"/>
          <w:rtl/>
        </w:rPr>
        <w:t>תרבות אלה ואחרים, מכל מקום לא הוטלה עליה חובה להיוועץ בעותרים. ומדוע כך? שהחוק לא הטיל על הממשלה חובה ספציפית להיוועץ בעותרים; שהעוסקים מטעם הממשלה בנושא לא ידעו כלל על קיומם של העותרים</w:t>
      </w:r>
      <w:r w:rsidRPr="00DF7963">
        <w:rPr>
          <w:sz w:val="22"/>
          <w:szCs w:val="22"/>
          <w:rtl/>
        </w:rPr>
        <w:t xml:space="preserve"> – שאין הם גופי</w:t>
      </w:r>
      <w:r w:rsidRPr="00DF7963">
        <w:rPr>
          <w:position w:val="4"/>
          <w:sz w:val="22"/>
          <w:szCs w:val="22"/>
          <w:rtl/>
        </w:rPr>
        <w:t>-</w:t>
      </w:r>
      <w:r w:rsidRPr="00DF7963">
        <w:rPr>
          <w:sz w:val="22"/>
          <w:szCs w:val="22"/>
          <w:rtl/>
        </w:rPr>
        <w:t>תקשורת או גופי</w:t>
      </w:r>
      <w:r w:rsidRPr="00DF7963">
        <w:rPr>
          <w:position w:val="4"/>
          <w:sz w:val="22"/>
          <w:szCs w:val="22"/>
          <w:rtl/>
        </w:rPr>
        <w:t>-</w:t>
      </w:r>
      <w:r w:rsidRPr="00DF7963">
        <w:rPr>
          <w:sz w:val="22"/>
          <w:szCs w:val="22"/>
          <w:rtl/>
        </w:rPr>
        <w:t xml:space="preserve">אמנות מפורסמים, וכמסקנה נדרשת מכאן, שאין לומר כי הממשלה הפרה חובתה כלפיהם. </w:t>
      </w:r>
    </w:p>
    <w:p w:rsidR="0025709E" w:rsidRPr="00DF7963" w:rsidRDefault="0025709E" w:rsidP="0025709E">
      <w:pPr>
        <w:pStyle w:val="a6"/>
        <w:spacing w:after="60" w:line="240" w:lineRule="auto"/>
        <w:ind w:left="-682"/>
        <w:rPr>
          <w:sz w:val="22"/>
          <w:szCs w:val="22"/>
          <w:rtl/>
        </w:rPr>
      </w:pPr>
      <w:r w:rsidRPr="00DF7963">
        <w:rPr>
          <w:sz w:val="22"/>
          <w:szCs w:val="22"/>
          <w:rtl/>
        </w:rPr>
        <w:t>טענה</w:t>
      </w:r>
      <w:r w:rsidRPr="00DF7963">
        <w:rPr>
          <w:position w:val="4"/>
          <w:sz w:val="22"/>
          <w:szCs w:val="22"/>
          <w:rtl/>
        </w:rPr>
        <w:t>-</w:t>
      </w:r>
      <w:r w:rsidRPr="00DF7963">
        <w:rPr>
          <w:sz w:val="22"/>
          <w:szCs w:val="22"/>
          <w:rtl/>
        </w:rPr>
        <w:t>תשובה זו צורמת את האוזן וממליחה את העין. מה לה לממשלה שטוענת היא כי לא ידעה על קיומם של העותרים, וכי גופי</w:t>
      </w:r>
      <w:r w:rsidRPr="00DF7963">
        <w:rPr>
          <w:position w:val="4"/>
          <w:sz w:val="22"/>
          <w:szCs w:val="22"/>
          <w:rtl/>
        </w:rPr>
        <w:t>-</w:t>
      </w:r>
      <w:r w:rsidRPr="00DF7963">
        <w:rPr>
          <w:sz w:val="22"/>
          <w:szCs w:val="22"/>
          <w:rtl/>
        </w:rPr>
        <w:t>תרבות וגופי</w:t>
      </w:r>
      <w:r w:rsidRPr="00DF7963">
        <w:rPr>
          <w:position w:val="4"/>
          <w:sz w:val="22"/>
          <w:szCs w:val="22"/>
          <w:rtl/>
        </w:rPr>
        <w:t>-</w:t>
      </w:r>
      <w:r w:rsidRPr="00DF7963">
        <w:rPr>
          <w:sz w:val="22"/>
          <w:szCs w:val="22"/>
          <w:rtl/>
        </w:rPr>
        <w:t>תקשורת שהממשלה ידעה עליהם זכו כי ייוועצו בהם? והרי גם אותם גופי</w:t>
      </w:r>
      <w:r w:rsidRPr="00DF7963">
        <w:rPr>
          <w:position w:val="4"/>
          <w:sz w:val="22"/>
          <w:szCs w:val="22"/>
          <w:rtl/>
        </w:rPr>
        <w:t>-</w:t>
      </w:r>
      <w:r w:rsidRPr="00DF7963">
        <w:rPr>
          <w:sz w:val="22"/>
          <w:szCs w:val="22"/>
          <w:rtl/>
        </w:rPr>
        <w:t>תרבות וגופי</w:t>
      </w:r>
      <w:r w:rsidRPr="00DF7963">
        <w:rPr>
          <w:position w:val="4"/>
          <w:sz w:val="22"/>
          <w:szCs w:val="22"/>
          <w:rtl/>
        </w:rPr>
        <w:t>-</w:t>
      </w:r>
      <w:r w:rsidRPr="00DF7963">
        <w:rPr>
          <w:sz w:val="22"/>
          <w:szCs w:val="22"/>
          <w:rtl/>
        </w:rPr>
        <w:t xml:space="preserve">תקשורת שהכול יודעים עליהם, גם עליהם לא נתנה הממשלה את דעתה, ואת מכתבי התשובה שקיבלה אך תייקה בתיקים. אכן, משנהגה הממשלה כפי שנהגה, לא נשמע לטענתה זו. טענה בלתי ראויה היא. </w:t>
      </w:r>
    </w:p>
    <w:p w:rsidR="0025709E" w:rsidRPr="00DF7963" w:rsidRDefault="005D7968" w:rsidP="0025709E">
      <w:pPr>
        <w:pStyle w:val="a6"/>
        <w:spacing w:after="60" w:line="240" w:lineRule="auto"/>
        <w:ind w:left="-682"/>
        <w:rPr>
          <w:sz w:val="22"/>
          <w:szCs w:val="22"/>
          <w:rtl/>
        </w:rPr>
      </w:pPr>
      <w:r>
        <w:rPr>
          <w:sz w:val="22"/>
          <w:szCs w:val="22"/>
          <w:rtl/>
        </w:rPr>
        <w:pict>
          <v:group id="_x0000_s1244" style="position:absolute;left:0;text-align:left;margin-left:348.7pt;margin-top:25.5pt;width:14.25pt;height:408.3pt;z-index:251858944;mso-position-vertical-relative:margin" coordsize="20000,20000" o:allowincell="f">
            <v:rect id="_x0000_s1245" style="position:absolute;width:20000;height:698" filled="f" stroked="f" strokeweight=".25pt">
              <v:textbox inset="1pt,1pt,1pt,1pt">
                <w:txbxContent>
                  <w:p w:rsidR="0025709E" w:rsidRPr="00DF7963" w:rsidRDefault="0025709E" w:rsidP="0025709E">
                    <w:pPr>
                      <w:rPr>
                        <w:rtl/>
                      </w:rPr>
                    </w:pPr>
                  </w:p>
                </w:txbxContent>
              </v:textbox>
            </v:rect>
            <v:rect id="_x0000_s1246" style="position:absolute;top:3262;width:20000;height:698" filled="f" stroked="f">
              <v:textbox inset="1pt,1pt,1pt,1pt">
                <w:txbxContent>
                  <w:p w:rsidR="0025709E" w:rsidRPr="00DF7963" w:rsidRDefault="0025709E" w:rsidP="0025709E">
                    <w:pPr>
                      <w:rPr>
                        <w:rtl/>
                      </w:rPr>
                    </w:pPr>
                  </w:p>
                </w:txbxContent>
              </v:textbox>
            </v:rect>
            <v:rect id="_x0000_s1247" style="position:absolute;top:6458;width:20000;height:698" filled="f" stroked="f">
              <v:textbox inset="1pt,1pt,1pt,1pt">
                <w:txbxContent>
                  <w:p w:rsidR="0025709E" w:rsidRPr="00DF7963" w:rsidRDefault="0025709E" w:rsidP="0025709E">
                    <w:pPr>
                      <w:rPr>
                        <w:rtl/>
                      </w:rPr>
                    </w:pPr>
                  </w:p>
                </w:txbxContent>
              </v:textbox>
            </v:rect>
            <v:rect id="_x0000_s1248" style="position:absolute;top:9652;width:20000;height:698" filled="f" stroked="f">
              <v:textbox inset="1pt,1pt,1pt,1pt">
                <w:txbxContent>
                  <w:p w:rsidR="0025709E" w:rsidRPr="00DF7963" w:rsidRDefault="0025709E" w:rsidP="0025709E">
                    <w:pPr>
                      <w:rPr>
                        <w:rtl/>
                      </w:rPr>
                    </w:pPr>
                  </w:p>
                </w:txbxContent>
              </v:textbox>
            </v:rect>
            <v:rect id="_x0000_s1249" style="position:absolute;top:12846;width:20000;height:698" filled="f" stroked="f">
              <v:textbox inset="1pt,1pt,1pt,1pt">
                <w:txbxContent>
                  <w:p w:rsidR="0025709E" w:rsidRPr="00DF7963" w:rsidRDefault="0025709E" w:rsidP="0025709E">
                    <w:pPr>
                      <w:rPr>
                        <w:rtl/>
                      </w:rPr>
                    </w:pPr>
                  </w:p>
                </w:txbxContent>
              </v:textbox>
            </v:rect>
            <v:rect id="_x0000_s1250" style="position:absolute;top:16108;width:20000;height:698" filled="f" stroked="f">
              <v:textbox inset="1pt,1pt,1pt,1pt">
                <w:txbxContent>
                  <w:p w:rsidR="0025709E" w:rsidRPr="00DF7963" w:rsidRDefault="0025709E" w:rsidP="0025709E">
                    <w:pPr>
                      <w:rPr>
                        <w:rtl/>
                      </w:rPr>
                    </w:pPr>
                  </w:p>
                </w:txbxContent>
              </v:textbox>
            </v:rect>
            <v:rect id="_x0000_s1251" style="position:absolute;top:19302;width:20000;height:698" filled="f" stroked="f">
              <v:textbox inset="1pt,1pt,1pt,1pt">
                <w:txbxContent>
                  <w:p w:rsidR="0025709E" w:rsidRDefault="0025709E" w:rsidP="0025709E">
                    <w:pPr>
                      <w:rPr>
                        <w:rtl/>
                      </w:rPr>
                    </w:pPr>
                  </w:p>
                </w:txbxContent>
              </v:textbox>
            </v:rect>
            <w10:wrap anchory="margin"/>
          </v:group>
        </w:pict>
      </w:r>
      <w:r w:rsidR="0025709E" w:rsidRPr="00DF7963">
        <w:rPr>
          <w:sz w:val="22"/>
          <w:szCs w:val="22"/>
          <w:rtl/>
        </w:rPr>
        <w:t>34.</w:t>
      </w:r>
      <w:r w:rsidR="0025709E" w:rsidRPr="00DF7963">
        <w:rPr>
          <w:sz w:val="22"/>
          <w:szCs w:val="22"/>
          <w:rtl/>
        </w:rPr>
        <w:tab/>
        <w:t>אשר לגופה של הטענה: כפי שראינו למעלה, כמה סוגי גופים מייעצים מנויים בסעיף 7(א)(1) לחוק, מהם שהחוק קורא מפורשות בשמם או בתוארם (הארגונים היציגים של הסופרים, המורים והאמנים, מוסדות ההשכלה הגבוהה והאקדמיה ללשון העברית) ומהם גופים המתוארים אך באופן כללי בלבד (גופים ציבוריים אחרים שיש להם זיקה לענייני שידור). אשר לסוג הגופים הראשון, אין ספק שהממשלה חייבת להיוועץ בכל אחד מאותם גופים, ואי</w:t>
      </w:r>
      <w:r w:rsidR="0025709E" w:rsidRPr="00DF7963">
        <w:rPr>
          <w:position w:val="4"/>
          <w:sz w:val="22"/>
          <w:szCs w:val="22"/>
          <w:rtl/>
        </w:rPr>
        <w:t>-</w:t>
      </w:r>
      <w:r w:rsidR="0025709E" w:rsidRPr="00DF7963">
        <w:rPr>
          <w:sz w:val="22"/>
          <w:szCs w:val="22"/>
          <w:rtl/>
        </w:rPr>
        <w:t xml:space="preserve">ההתייעצות בגופים אלה – או באחד מהם – יפגום בהליך ההתייעצות (בלא שאמרנו מה תהא תוצאת הפגם). העותרים אינם פוקדים עצמם עם סוג גופים זה, וממילא אין לומר כי במובן זה הפרה הממשלה את חובתה כלפיהם. </w:t>
      </w:r>
    </w:p>
    <w:p w:rsidR="0025709E" w:rsidRPr="00DF7963" w:rsidRDefault="0025709E" w:rsidP="0025709E">
      <w:pPr>
        <w:pStyle w:val="a6"/>
        <w:spacing w:after="60" w:line="240" w:lineRule="auto"/>
        <w:ind w:left="-682"/>
        <w:rPr>
          <w:sz w:val="22"/>
          <w:szCs w:val="22"/>
          <w:rtl/>
        </w:rPr>
      </w:pPr>
      <w:r w:rsidRPr="00F955CA">
        <w:rPr>
          <w:sz w:val="22"/>
          <w:szCs w:val="22"/>
          <w:highlight w:val="yellow"/>
          <w:rtl/>
        </w:rPr>
        <w:t>אשר לסוג הגופים השני, אלה "גופים ציבוריים אחרים שיש להם זיקה לענייני שידור": גוף מסוג זה, אם גוף ידוע ובעל</w:t>
      </w:r>
      <w:r w:rsidRPr="00F955CA">
        <w:rPr>
          <w:position w:val="4"/>
          <w:sz w:val="22"/>
          <w:szCs w:val="22"/>
          <w:highlight w:val="yellow"/>
          <w:rtl/>
        </w:rPr>
        <w:t>-</w:t>
      </w:r>
      <w:r w:rsidRPr="00F955CA">
        <w:rPr>
          <w:sz w:val="22"/>
          <w:szCs w:val="22"/>
          <w:highlight w:val="yellow"/>
          <w:rtl/>
        </w:rPr>
        <w:t>משמעות הוא, קרוב להניח כי תקום חובה להיוועץ בו – ולגוף תקום זכות לייעץ</w:t>
      </w:r>
      <w:r w:rsidRPr="00DF7963">
        <w:rPr>
          <w:sz w:val="22"/>
          <w:szCs w:val="22"/>
          <w:rtl/>
        </w:rPr>
        <w:t xml:space="preserve">; השוו: </w:t>
      </w:r>
      <w:r w:rsidRPr="00DF7963">
        <w:rPr>
          <w:sz w:val="22"/>
          <w:szCs w:val="22"/>
        </w:rPr>
        <w:t xml:space="preserve">Jergesen </w:t>
      </w:r>
      <w:r w:rsidRPr="00DF7963">
        <w:rPr>
          <w:i/>
          <w:iCs/>
          <w:sz w:val="22"/>
          <w:szCs w:val="22"/>
        </w:rPr>
        <w:t xml:space="preserve">supra </w:t>
      </w:r>
      <w:r w:rsidRPr="00DF7963">
        <w:rPr>
          <w:sz w:val="22"/>
          <w:szCs w:val="22"/>
        </w:rPr>
        <w:t xml:space="preserve">[23], </w:t>
      </w:r>
      <w:r w:rsidRPr="00DF7963">
        <w:rPr>
          <w:i/>
          <w:iCs/>
          <w:sz w:val="22"/>
          <w:szCs w:val="22"/>
        </w:rPr>
        <w:t>at pp. 296-299</w:t>
      </w:r>
      <w:r w:rsidRPr="00DF7963">
        <w:rPr>
          <w:sz w:val="22"/>
          <w:szCs w:val="22"/>
          <w:rtl/>
        </w:rPr>
        <w:t xml:space="preserve">. ראו עוד ד"ר ברכה </w:t>
      </w:r>
      <w:r w:rsidRPr="00DF7963">
        <w:rPr>
          <w:b/>
          <w:sz w:val="22"/>
          <w:szCs w:val="22"/>
          <w:rtl/>
        </w:rPr>
        <w:t xml:space="preserve">בספרו הנ"ל </w:t>
      </w:r>
      <w:r w:rsidRPr="00DF7963">
        <w:rPr>
          <w:sz w:val="22"/>
          <w:szCs w:val="22"/>
          <w:rtl/>
        </w:rPr>
        <w:t>(כרך א)</w:t>
      </w:r>
      <w:r w:rsidRPr="00DF7963">
        <w:rPr>
          <w:b/>
          <w:sz w:val="22"/>
          <w:szCs w:val="22"/>
          <w:rtl/>
        </w:rPr>
        <w:t xml:space="preserve"> [20]</w:t>
      </w:r>
      <w:r w:rsidRPr="00DF7963">
        <w:rPr>
          <w:sz w:val="22"/>
          <w:szCs w:val="22"/>
          <w:rtl/>
        </w:rPr>
        <w:t xml:space="preserve">, בעמ' 211. ואולם, אין צורך שנקבע מסמרות בדבר. המשיבים טוענים כי לא ידעו כלל על קיומם של העותרים, ובנסיבות העניין לא נאמר כי אכן קמה ונהייתה חובה להיוועץ בהם. </w:t>
      </w:r>
      <w:r w:rsidRPr="00F955CA">
        <w:rPr>
          <w:sz w:val="22"/>
          <w:szCs w:val="22"/>
          <w:highlight w:val="yellow"/>
          <w:rtl/>
        </w:rPr>
        <w:t xml:space="preserve">זאת נוכל לומר, שמחדל הממשלה להיוועץ בעותרים אינו אלא רכיב במחדל הכללי להיערך לקראת הליך בחירתה של מליאה חדשה. לו נערכה הממשלה מראש לקראת הליך מינויה של המליאה החדשה, כפי שהיה ניתן לצפות כי תיערך – והיערכות מראש פירושה, בין היתר, עריכת בירורים חודשים </w:t>
      </w:r>
      <w:r w:rsidRPr="00F955CA">
        <w:rPr>
          <w:spacing w:val="8"/>
          <w:sz w:val="22"/>
          <w:szCs w:val="22"/>
          <w:highlight w:val="yellow"/>
          <w:rtl/>
        </w:rPr>
        <w:t>מספר מראש מִי-וָמִי יהיו במייעצים – קרוב להניח כי הייתה שומעת על העותרים והעותרים היו שומעים על הליך ההתייעצות</w:t>
      </w:r>
      <w:r w:rsidRPr="00DF7963">
        <w:rPr>
          <w:spacing w:val="8"/>
          <w:sz w:val="22"/>
          <w:szCs w:val="22"/>
          <w:rtl/>
        </w:rPr>
        <w:t>, ונאמנת עלינו</w:t>
      </w:r>
      <w:r w:rsidRPr="00DF7963">
        <w:rPr>
          <w:sz w:val="22"/>
          <w:szCs w:val="22"/>
          <w:rtl/>
        </w:rPr>
        <w:t xml:space="preserve"> הצהרת הממשלה בתשובתה, כי לו ידעה על העותרים, הייתה נועצת בהם. ואולם הממשלה החלה בפעילות של</w:t>
      </w:r>
      <w:r w:rsidRPr="00DF7963">
        <w:rPr>
          <w:position w:val="4"/>
          <w:sz w:val="22"/>
          <w:szCs w:val="22"/>
          <w:rtl/>
        </w:rPr>
        <w:t>-</w:t>
      </w:r>
      <w:r w:rsidRPr="00DF7963">
        <w:rPr>
          <w:sz w:val="22"/>
          <w:szCs w:val="22"/>
          <w:rtl/>
        </w:rPr>
        <w:t>ממש, כפי שראינו, רק לאחר מלאות ימיה של המליאה היוצאת, ובנסיבות אלו אין פלא בדבר שלא ידעה על קיום העותרים. מחדלה של הממשלה הוא</w:t>
      </w:r>
      <w:r w:rsidRPr="00DF7963">
        <w:rPr>
          <w:position w:val="4"/>
          <w:sz w:val="22"/>
          <w:szCs w:val="22"/>
          <w:rtl/>
        </w:rPr>
        <w:t>-</w:t>
      </w:r>
      <w:r w:rsidRPr="00DF7963">
        <w:rPr>
          <w:sz w:val="22"/>
          <w:szCs w:val="22"/>
          <w:rtl/>
        </w:rPr>
        <w:t>הוא שהביא לאי</w:t>
      </w:r>
      <w:r w:rsidRPr="00DF7963">
        <w:rPr>
          <w:position w:val="4"/>
          <w:sz w:val="22"/>
          <w:szCs w:val="22"/>
          <w:rtl/>
        </w:rPr>
        <w:t>-</w:t>
      </w:r>
      <w:r w:rsidRPr="00DF7963">
        <w:rPr>
          <w:sz w:val="22"/>
          <w:szCs w:val="22"/>
          <w:rtl/>
        </w:rPr>
        <w:t xml:space="preserve">היוועצות בעותרים, וכך עוולה הממשלה גם לעותרים. </w:t>
      </w:r>
    </w:p>
    <w:p w:rsidR="0025709E" w:rsidRPr="00DF7963" w:rsidRDefault="0025709E" w:rsidP="0025709E">
      <w:pPr>
        <w:spacing w:after="60"/>
        <w:ind w:left="-682"/>
        <w:jc w:val="left"/>
        <w:rPr>
          <w:rFonts w:cs="FrankRuehl"/>
          <w:sz w:val="22"/>
          <w:szCs w:val="22"/>
          <w:rtl/>
        </w:rPr>
      </w:pPr>
      <w:r w:rsidRPr="00DF7963">
        <w:rPr>
          <w:rFonts w:cs="FrankRuehl"/>
          <w:sz w:val="22"/>
          <w:szCs w:val="22"/>
          <w:rtl/>
        </w:rPr>
        <w:t>35.</w:t>
      </w:r>
      <w:r w:rsidRPr="00DF7963">
        <w:rPr>
          <w:rFonts w:cs="FrankRuehl"/>
          <w:sz w:val="22"/>
          <w:szCs w:val="22"/>
          <w:rtl/>
        </w:rPr>
        <w:tab/>
        <w:t>בין כך ובין אחרת, משנמצא לנו כי הממשלה חדלה מכול</w:t>
      </w:r>
      <w:r w:rsidRPr="00DF7963">
        <w:rPr>
          <w:rFonts w:cs="FrankRuehl"/>
          <w:position w:val="4"/>
          <w:sz w:val="22"/>
          <w:szCs w:val="22"/>
          <w:rtl/>
        </w:rPr>
        <w:t>-</w:t>
      </w:r>
      <w:r w:rsidRPr="00DF7963">
        <w:rPr>
          <w:rFonts w:cs="FrankRuehl"/>
          <w:sz w:val="22"/>
          <w:szCs w:val="22"/>
          <w:rtl/>
        </w:rPr>
        <w:t>וכול למלא את חובתה להיוועץ בגופי הייעוץ הקבועים בחוק, ממילא נפל פגם כבד ומהותי בהחלטתה על המועמדים לאייש את המליאה הנכנסת של רשות השידור</w:t>
      </w:r>
      <w:r>
        <w:rPr>
          <w:rFonts w:cs="FrankRuehl" w:hint="cs"/>
          <w:sz w:val="22"/>
          <w:szCs w:val="22"/>
          <w:rtl/>
        </w:rPr>
        <w:t>.</w:t>
      </w:r>
    </w:p>
    <w:p w:rsidR="0025709E" w:rsidRDefault="0025709E" w:rsidP="0025709E">
      <w:pPr>
        <w:rPr>
          <w:sz w:val="20"/>
          <w:szCs w:val="20"/>
          <w:rtl/>
        </w:rPr>
      </w:pPr>
      <w:r w:rsidRPr="00326EEB">
        <w:rPr>
          <w:sz w:val="20"/>
          <w:szCs w:val="20"/>
          <w:rtl/>
        </w:rPr>
        <w:t>[</w:t>
      </w:r>
      <w:r>
        <w:rPr>
          <w:rFonts w:hint="cs"/>
          <w:sz w:val="20"/>
          <w:szCs w:val="20"/>
          <w:rtl/>
        </w:rPr>
        <w:t xml:space="preserve">בשלב זה </w:t>
      </w:r>
      <w:r w:rsidRPr="00326EEB">
        <w:rPr>
          <w:sz w:val="20"/>
          <w:szCs w:val="20"/>
          <w:rtl/>
        </w:rPr>
        <w:t>המשיבים מבקשים להתגונן באמצעות דוקטרינת "הבטלות היחסית" – בית המשפט דוחה זאת</w:t>
      </w:r>
      <w:r>
        <w:rPr>
          <w:rFonts w:hint="cs"/>
          <w:sz w:val="20"/>
          <w:szCs w:val="20"/>
          <w:rtl/>
        </w:rPr>
        <w:t>].</w:t>
      </w:r>
    </w:p>
    <w:p w:rsidR="0025709E" w:rsidRDefault="0025709E" w:rsidP="0025709E">
      <w:pPr>
        <w:ind w:left="-686"/>
        <w:rPr>
          <w:sz w:val="20"/>
          <w:szCs w:val="20"/>
          <w:rtl/>
        </w:rPr>
      </w:pPr>
    </w:p>
    <w:p w:rsidR="0025709E" w:rsidRDefault="0025709E" w:rsidP="0025709E">
      <w:pPr>
        <w:ind w:left="-686"/>
        <w:rPr>
          <w:sz w:val="20"/>
          <w:szCs w:val="20"/>
          <w:rtl/>
        </w:rPr>
      </w:pPr>
    </w:p>
    <w:p w:rsidR="0025709E" w:rsidRPr="00DE7E83" w:rsidRDefault="0025709E" w:rsidP="0025709E">
      <w:pPr>
        <w:ind w:left="-686"/>
        <w:rPr>
          <w:rFonts w:ascii="Arial" w:hAnsi="Arial" w:cs="Arial"/>
          <w:sz w:val="20"/>
          <w:szCs w:val="20"/>
          <w:rtl/>
        </w:rPr>
      </w:pPr>
      <w:r>
        <w:rPr>
          <w:rFonts w:hint="cs"/>
          <w:sz w:val="20"/>
          <w:szCs w:val="20"/>
          <w:rtl/>
        </w:rPr>
        <w:t>=-=</w:t>
      </w:r>
    </w:p>
    <w:p w:rsidR="0025709E" w:rsidRPr="00DE7E83" w:rsidRDefault="0025709E" w:rsidP="0025709E">
      <w:pPr>
        <w:ind w:left="-686"/>
        <w:rPr>
          <w:rFonts w:ascii="Arial" w:hAnsi="Arial" w:cs="Arial"/>
          <w:sz w:val="20"/>
          <w:szCs w:val="20"/>
          <w:rtl/>
        </w:rPr>
      </w:pPr>
      <w:r w:rsidRPr="00DE7E83">
        <w:rPr>
          <w:rFonts w:ascii="Arial" w:hAnsi="Arial" w:cs="Arial"/>
          <w:b/>
          <w:bCs/>
          <w:sz w:val="20"/>
          <w:szCs w:val="20"/>
          <w:highlight w:val="yellow"/>
          <w:u w:val="single"/>
          <w:rtl/>
        </w:rPr>
        <w:t>קריאה לפגישה הבאה:</w:t>
      </w:r>
      <w:r w:rsidRPr="00DE7E83">
        <w:rPr>
          <w:rFonts w:ascii="Arial" w:hAnsi="Arial" w:cs="Arial"/>
          <w:sz w:val="20"/>
          <w:szCs w:val="20"/>
          <w:rtl/>
        </w:rPr>
        <w:t xml:space="preserve"> – כללי הצדק הטבעי – חלק ב': </w:t>
      </w:r>
    </w:p>
    <w:p w:rsidR="0025709E" w:rsidRDefault="0025709E" w:rsidP="0025709E">
      <w:pPr>
        <w:ind w:left="-686"/>
        <w:rPr>
          <w:rFonts w:ascii="Arial" w:hAnsi="Arial" w:cs="Arial"/>
          <w:sz w:val="20"/>
          <w:szCs w:val="20"/>
          <w:rtl/>
        </w:rPr>
      </w:pPr>
      <w:r w:rsidRPr="00DE7E83">
        <w:rPr>
          <w:rFonts w:ascii="Arial" w:hAnsi="Arial" w:cs="Arial"/>
          <w:b/>
          <w:bCs/>
          <w:sz w:val="20"/>
          <w:szCs w:val="20"/>
          <w:rtl/>
        </w:rPr>
        <w:t>האיסור על "משוא פנים" והאיסור הסמוך על "ניגוד עניינים".</w:t>
      </w:r>
      <w:r w:rsidRPr="00DE7E83">
        <w:rPr>
          <w:rFonts w:ascii="Arial" w:hAnsi="Arial" w:cs="Arial"/>
          <w:sz w:val="20"/>
          <w:szCs w:val="20"/>
          <w:rtl/>
        </w:rPr>
        <w:t xml:space="preserve"> </w:t>
      </w:r>
    </w:p>
    <w:p w:rsidR="0025709E" w:rsidRDefault="0025709E" w:rsidP="0025709E">
      <w:pPr>
        <w:ind w:left="-686"/>
        <w:rPr>
          <w:rFonts w:ascii="Arial" w:hAnsi="Arial" w:cs="Arial"/>
          <w:sz w:val="20"/>
          <w:szCs w:val="20"/>
          <w:rtl/>
        </w:rPr>
      </w:pPr>
      <w:r w:rsidRPr="00DE7E83">
        <w:rPr>
          <w:rFonts w:ascii="Arial" w:hAnsi="Arial" w:cs="Arial"/>
          <w:sz w:val="20"/>
          <w:szCs w:val="20"/>
          <w:rtl/>
        </w:rPr>
        <w:t xml:space="preserve">אלו כללים מהחשובים והסבוכים שבמשפט המינהלי. אנא קראו את שלשת פסקי הדין הבאים ונסו לפענח את הכללים האמורים לאורם: </w:t>
      </w:r>
      <w:r w:rsidRPr="00DE7E83">
        <w:rPr>
          <w:rFonts w:ascii="Arial" w:hAnsi="Arial" w:cs="Arial"/>
          <w:b/>
          <w:bCs/>
          <w:sz w:val="20"/>
          <w:szCs w:val="20"/>
          <w:rtl/>
        </w:rPr>
        <w:t>בן-דוד, מושלב</w:t>
      </w:r>
      <w:r w:rsidRPr="00DE7E83">
        <w:rPr>
          <w:rFonts w:ascii="Arial" w:hAnsi="Arial" w:cs="Arial"/>
          <w:sz w:val="20"/>
          <w:szCs w:val="20"/>
          <w:rtl/>
        </w:rPr>
        <w:t xml:space="preserve"> (ש</w:t>
      </w:r>
      <w:r>
        <w:rPr>
          <w:rFonts w:ascii="Arial" w:hAnsi="Arial" w:cs="Arial" w:hint="cs"/>
          <w:sz w:val="20"/>
          <w:szCs w:val="20"/>
          <w:rtl/>
        </w:rPr>
        <w:t>פגשנו</w:t>
      </w:r>
      <w:r w:rsidRPr="00DE7E83">
        <w:rPr>
          <w:rFonts w:ascii="Arial" w:hAnsi="Arial" w:cs="Arial"/>
          <w:sz w:val="20"/>
          <w:szCs w:val="20"/>
          <w:rtl/>
        </w:rPr>
        <w:t xml:space="preserve"> כבר בתחילת השנה)</w:t>
      </w:r>
      <w:r w:rsidRPr="00DE7E83">
        <w:rPr>
          <w:rFonts w:ascii="Arial" w:hAnsi="Arial" w:cs="Arial"/>
          <w:b/>
          <w:bCs/>
          <w:sz w:val="20"/>
          <w:szCs w:val="20"/>
          <w:rtl/>
        </w:rPr>
        <w:t>, רמות</w:t>
      </w:r>
      <w:r w:rsidRPr="00DE7E83">
        <w:rPr>
          <w:rFonts w:ascii="Arial" w:hAnsi="Arial" w:cs="Arial"/>
          <w:sz w:val="20"/>
          <w:szCs w:val="20"/>
          <w:rtl/>
        </w:rPr>
        <w:t xml:space="preserve"> (הפסקאות המבוקשות בו).</w:t>
      </w:r>
    </w:p>
    <w:p w:rsidR="0025709E" w:rsidRDefault="0025709E">
      <w:pPr>
        <w:bidi w:val="0"/>
        <w:jc w:val="left"/>
        <w:rPr>
          <w:sz w:val="22"/>
          <w:szCs w:val="22"/>
          <w:rtl/>
        </w:rPr>
      </w:pPr>
      <w:r>
        <w:rPr>
          <w:sz w:val="22"/>
          <w:szCs w:val="22"/>
          <w:rtl/>
        </w:rPr>
        <w:br w:type="page"/>
      </w:r>
    </w:p>
    <w:p w:rsidR="0025709E" w:rsidRPr="00456380" w:rsidRDefault="0025709E" w:rsidP="0025709E">
      <w:pPr>
        <w:tabs>
          <w:tab w:val="left" w:pos="423"/>
        </w:tabs>
        <w:spacing w:after="240"/>
        <w:jc w:val="right"/>
        <w:rPr>
          <w:sz w:val="22"/>
          <w:szCs w:val="22"/>
          <w:rtl/>
        </w:rPr>
      </w:pPr>
      <w:r w:rsidRPr="00456380">
        <w:rPr>
          <w:b/>
          <w:bCs/>
          <w:sz w:val="22"/>
          <w:szCs w:val="22"/>
          <w:rtl/>
        </w:rPr>
        <w:t>משפט ציבורי</w:t>
      </w:r>
      <w:r w:rsidRPr="00456380">
        <w:rPr>
          <w:sz w:val="22"/>
          <w:szCs w:val="22"/>
          <w:rtl/>
        </w:rPr>
        <w:t xml:space="preserve">, </w:t>
      </w:r>
      <w:r w:rsidRPr="00456380">
        <w:rPr>
          <w:i/>
          <w:iCs/>
          <w:sz w:val="22"/>
          <w:szCs w:val="22"/>
          <w:rtl/>
        </w:rPr>
        <w:t>תשע</w:t>
      </w:r>
      <w:r>
        <w:rPr>
          <w:rFonts w:hint="cs"/>
          <w:i/>
          <w:iCs/>
          <w:sz w:val="22"/>
          <w:szCs w:val="22"/>
          <w:rtl/>
        </w:rPr>
        <w:t>"ה</w:t>
      </w:r>
      <w:r w:rsidRPr="00456380">
        <w:rPr>
          <w:sz w:val="22"/>
          <w:szCs w:val="22"/>
          <w:rtl/>
        </w:rPr>
        <w:t>, ד"ר אילן סבן, ינואר 201</w:t>
      </w:r>
      <w:r>
        <w:rPr>
          <w:rFonts w:hint="cs"/>
          <w:sz w:val="22"/>
          <w:szCs w:val="22"/>
          <w:rtl/>
        </w:rPr>
        <w:t>5</w:t>
      </w:r>
      <w:r w:rsidRPr="00456380">
        <w:rPr>
          <w:sz w:val="22"/>
          <w:szCs w:val="22"/>
          <w:rtl/>
        </w:rPr>
        <w:t>,</w:t>
      </w:r>
      <w:r>
        <w:rPr>
          <w:rFonts w:hint="cs"/>
          <w:sz w:val="22"/>
          <w:szCs w:val="22"/>
          <w:rtl/>
        </w:rPr>
        <w:t xml:space="preserve"> </w:t>
      </w:r>
      <w:r w:rsidRPr="007248B9">
        <w:rPr>
          <w:rFonts w:hint="cs"/>
          <w:b/>
          <w:bCs/>
          <w:sz w:val="22"/>
          <w:szCs w:val="22"/>
          <w:highlight w:val="yellow"/>
          <w:rtl/>
        </w:rPr>
        <w:t>סוף סמסטר א</w:t>
      </w:r>
      <w:r>
        <w:rPr>
          <w:rFonts w:hint="cs"/>
          <w:sz w:val="22"/>
          <w:szCs w:val="22"/>
          <w:rtl/>
        </w:rPr>
        <w:t>,</w:t>
      </w:r>
      <w:r w:rsidRPr="00456380">
        <w:rPr>
          <w:sz w:val="22"/>
          <w:szCs w:val="22"/>
          <w:rtl/>
        </w:rPr>
        <w:t xml:space="preserve"> </w:t>
      </w:r>
      <w:r w:rsidRPr="00A12318">
        <w:rPr>
          <w:b/>
          <w:bCs/>
          <w:i/>
          <w:iCs/>
          <w:sz w:val="22"/>
          <w:szCs w:val="22"/>
          <w:highlight w:val="magenta"/>
          <w:u w:val="single"/>
          <w:rtl/>
        </w:rPr>
        <w:t>פגישה 26</w:t>
      </w:r>
    </w:p>
    <w:p w:rsidR="0025709E" w:rsidRPr="00456380" w:rsidRDefault="0025709E" w:rsidP="0025709E">
      <w:pPr>
        <w:spacing w:after="120"/>
        <w:jc w:val="left"/>
        <w:rPr>
          <w:sz w:val="22"/>
          <w:szCs w:val="22"/>
          <w:highlight w:val="yellow"/>
          <w:rtl/>
        </w:rPr>
      </w:pPr>
      <w:r w:rsidRPr="00456380">
        <w:rPr>
          <w:sz w:val="22"/>
          <w:szCs w:val="22"/>
          <w:highlight w:val="yellow"/>
          <w:rtl/>
        </w:rPr>
        <w:t>המשך לפגישה הקודמת</w:t>
      </w:r>
    </w:p>
    <w:p w:rsidR="0025709E" w:rsidRDefault="0025709E" w:rsidP="0025709E">
      <w:pPr>
        <w:spacing w:after="240"/>
        <w:jc w:val="center"/>
        <w:rPr>
          <w:rFonts w:asciiTheme="minorBidi" w:hAnsiTheme="minorBidi" w:cstheme="minorBidi"/>
          <w:b/>
          <w:bCs/>
          <w:rtl/>
        </w:rPr>
      </w:pPr>
      <w:r w:rsidRPr="006C32F7">
        <w:rPr>
          <w:rFonts w:asciiTheme="minorBidi" w:hAnsiTheme="minorBidi" w:cstheme="minorBidi"/>
          <w:b/>
          <w:bCs/>
          <w:highlight w:val="yellow"/>
          <w:rtl/>
        </w:rPr>
        <w:t xml:space="preserve">מהם המשתנים המשפיעים על מידת </w:t>
      </w:r>
      <w:r>
        <w:rPr>
          <w:rFonts w:asciiTheme="minorBidi" w:hAnsiTheme="minorBidi" w:cstheme="minorBidi" w:hint="cs"/>
          <w:b/>
          <w:bCs/>
          <w:highlight w:val="yellow"/>
          <w:rtl/>
        </w:rPr>
        <w:t>ה</w:t>
      </w:r>
      <w:r w:rsidRPr="006C32F7">
        <w:rPr>
          <w:rFonts w:asciiTheme="minorBidi" w:hAnsiTheme="minorBidi" w:cstheme="minorBidi"/>
          <w:b/>
          <w:bCs/>
          <w:highlight w:val="yellow"/>
          <w:rtl/>
        </w:rPr>
        <w:t xml:space="preserve">קפדנות </w:t>
      </w:r>
      <w:r>
        <w:rPr>
          <w:rFonts w:asciiTheme="minorBidi" w:hAnsiTheme="minorBidi" w:cstheme="minorBidi" w:hint="cs"/>
          <w:b/>
          <w:bCs/>
          <w:highlight w:val="yellow"/>
          <w:rtl/>
        </w:rPr>
        <w:t>שננקוט ביחס ל</w:t>
      </w:r>
      <w:r w:rsidRPr="006C32F7">
        <w:rPr>
          <w:rFonts w:asciiTheme="minorBidi" w:hAnsiTheme="minorBidi" w:cstheme="minorBidi"/>
          <w:b/>
          <w:bCs/>
          <w:highlight w:val="yellow"/>
          <w:rtl/>
        </w:rPr>
        <w:t>כללי הצדק הטבעי?</w:t>
      </w:r>
    </w:p>
    <w:p w:rsidR="0025709E" w:rsidRDefault="0025709E" w:rsidP="0025709E">
      <w:pPr>
        <w:rPr>
          <w:rFonts w:asciiTheme="minorBidi" w:hAnsiTheme="minorBidi" w:cstheme="minorBidi"/>
          <w:sz w:val="22"/>
          <w:szCs w:val="22"/>
          <w:rtl/>
        </w:rPr>
      </w:pPr>
      <w:r>
        <w:rPr>
          <w:rFonts w:asciiTheme="minorBidi" w:hAnsiTheme="minorBidi" w:cstheme="minorBidi" w:hint="cs"/>
          <w:sz w:val="22"/>
          <w:szCs w:val="22"/>
          <w:rtl/>
        </w:rPr>
        <w:t xml:space="preserve">הדיון להלן עוסק בעיקר באחד מכללי הצדק הטבעי – זה שבו עסקנו בפגישה הקודמת: </w:t>
      </w:r>
    </w:p>
    <w:p w:rsidR="0025709E" w:rsidRPr="00436369" w:rsidRDefault="0025709E" w:rsidP="0025709E">
      <w:pPr>
        <w:spacing w:after="240"/>
        <w:rPr>
          <w:rFonts w:asciiTheme="minorBidi" w:hAnsiTheme="minorBidi" w:cstheme="minorBidi"/>
          <w:sz w:val="22"/>
          <w:szCs w:val="22"/>
          <w:rtl/>
        </w:rPr>
      </w:pPr>
      <w:r w:rsidRPr="00436369">
        <w:rPr>
          <w:rFonts w:asciiTheme="minorBidi" w:hAnsiTheme="minorBidi" w:cstheme="minorBidi" w:hint="cs"/>
          <w:b/>
          <w:bCs/>
          <w:sz w:val="22"/>
          <w:szCs w:val="22"/>
          <w:u w:val="single"/>
          <w:rtl/>
        </w:rPr>
        <w:t>"זכות הטיעון"</w:t>
      </w:r>
      <w:r>
        <w:rPr>
          <w:rFonts w:asciiTheme="minorBidi" w:hAnsiTheme="minorBidi" w:cstheme="minorBidi" w:hint="cs"/>
          <w:sz w:val="22"/>
          <w:szCs w:val="22"/>
          <w:rtl/>
        </w:rPr>
        <w:t xml:space="preserve"> (=הזכות לשימוע), ואולם הדברים נכונים עקרונית גם לכללי צדק טבעי נוספים, שאליהם נגיע מייד.</w:t>
      </w:r>
    </w:p>
    <w:p w:rsidR="0025709E" w:rsidRDefault="0025709E" w:rsidP="0014333E">
      <w:pPr>
        <w:pStyle w:val="ListParagraph"/>
        <w:numPr>
          <w:ilvl w:val="0"/>
          <w:numId w:val="36"/>
        </w:numPr>
        <w:spacing w:after="120" w:line="240" w:lineRule="auto"/>
        <w:ind w:left="714" w:right="-142" w:hanging="357"/>
        <w:rPr>
          <w:rFonts w:ascii="Times New Roman" w:hAnsi="Times New Roman" w:cs="Times New Roman"/>
        </w:rPr>
      </w:pPr>
      <w:r w:rsidRPr="00436369">
        <w:rPr>
          <w:rFonts w:ascii="Times New Roman" w:hAnsi="Times New Roman" w:cs="Times New Roman"/>
          <w:b/>
          <w:bCs/>
          <w:highlight w:val="yellow"/>
          <w:u w:val="single"/>
          <w:rtl/>
        </w:rPr>
        <w:t>סוג הסמכות</w:t>
      </w:r>
      <w:r w:rsidRPr="00436369">
        <w:rPr>
          <w:rFonts w:ascii="Times New Roman" w:hAnsi="Times New Roman" w:cs="Times New Roman" w:hint="cs"/>
          <w:b/>
          <w:bCs/>
          <w:highlight w:val="yellow"/>
          <w:u w:val="single"/>
          <w:rtl/>
        </w:rPr>
        <w:t xml:space="preserve"> המינהלית</w:t>
      </w:r>
      <w:r w:rsidRPr="00456380">
        <w:rPr>
          <w:rFonts w:ascii="Times New Roman" w:hAnsi="Times New Roman" w:cs="Times New Roman"/>
          <w:rtl/>
        </w:rPr>
        <w:t xml:space="preserve">: האם מדובר בסמכות </w:t>
      </w:r>
      <w:r>
        <w:rPr>
          <w:rFonts w:ascii="Times New Roman" w:hAnsi="Times New Roman" w:cs="Times New Roman" w:hint="cs"/>
          <w:rtl/>
        </w:rPr>
        <w:t>מינהלית-</w:t>
      </w:r>
      <w:r w:rsidRPr="00456380">
        <w:rPr>
          <w:rFonts w:ascii="Times New Roman" w:hAnsi="Times New Roman" w:cs="Times New Roman"/>
          <w:rtl/>
        </w:rPr>
        <w:t xml:space="preserve">תחיקתית, </w:t>
      </w:r>
      <w:r>
        <w:rPr>
          <w:rFonts w:ascii="Times New Roman" w:hAnsi="Times New Roman" w:cs="Times New Roman" w:hint="cs"/>
          <w:rtl/>
        </w:rPr>
        <w:t>סמכות מינהלית מעין-</w:t>
      </w:r>
      <w:r w:rsidRPr="00456380">
        <w:rPr>
          <w:rFonts w:ascii="Times New Roman" w:hAnsi="Times New Roman" w:cs="Times New Roman"/>
          <w:rtl/>
        </w:rPr>
        <w:t xml:space="preserve">שיפוטית או </w:t>
      </w:r>
      <w:r>
        <w:rPr>
          <w:rFonts w:ascii="Times New Roman" w:hAnsi="Times New Roman" w:cs="Times New Roman" w:hint="cs"/>
          <w:rtl/>
        </w:rPr>
        <w:t>סמכות מינהלית-</w:t>
      </w:r>
      <w:r w:rsidRPr="00456380">
        <w:rPr>
          <w:rFonts w:ascii="Times New Roman" w:hAnsi="Times New Roman" w:cs="Times New Roman"/>
          <w:rtl/>
        </w:rPr>
        <w:t>ביצועית</w:t>
      </w:r>
      <w:r>
        <w:rPr>
          <w:rFonts w:ascii="Times New Roman" w:hAnsi="Times New Roman" w:cs="Times New Roman" w:hint="cs"/>
          <w:rtl/>
        </w:rPr>
        <w:t>?</w:t>
      </w:r>
      <w:r w:rsidRPr="00456380">
        <w:rPr>
          <w:rFonts w:ascii="Times New Roman" w:hAnsi="Times New Roman" w:cs="Times New Roman"/>
          <w:rtl/>
        </w:rPr>
        <w:t xml:space="preserve"> </w:t>
      </w:r>
    </w:p>
    <w:p w:rsidR="0025709E" w:rsidRDefault="0025709E" w:rsidP="0025709E">
      <w:pPr>
        <w:pStyle w:val="ListParagraph"/>
        <w:spacing w:after="120" w:line="240" w:lineRule="auto"/>
        <w:ind w:left="714"/>
        <w:rPr>
          <w:rFonts w:ascii="Times New Roman" w:hAnsi="Times New Roman" w:cs="Times New Roman"/>
        </w:rPr>
      </w:pPr>
    </w:p>
    <w:p w:rsidR="0025709E" w:rsidRDefault="0025709E" w:rsidP="0025709E">
      <w:pPr>
        <w:pStyle w:val="ListParagraph"/>
        <w:spacing w:after="60" w:line="240" w:lineRule="auto"/>
        <w:ind w:left="1440"/>
        <w:rPr>
          <w:rFonts w:ascii="Times New Roman" w:hAnsi="Times New Roman" w:cs="Times New Roman"/>
          <w:rtl/>
        </w:rPr>
      </w:pPr>
      <w:r w:rsidRPr="00D2633F">
        <w:rPr>
          <w:rFonts w:ascii="Times New Roman" w:hAnsi="Times New Roman" w:cs="Times New Roman"/>
          <w:u w:val="single"/>
          <w:rtl/>
        </w:rPr>
        <w:t>ב</w:t>
      </w:r>
      <w:r w:rsidRPr="00D2633F">
        <w:rPr>
          <w:rFonts w:ascii="Times New Roman" w:hAnsi="Times New Roman" w:cs="Times New Roman"/>
          <w:b/>
          <w:bCs/>
          <w:u w:val="single"/>
          <w:rtl/>
        </w:rPr>
        <w:t>סמכות מעין</w:t>
      </w:r>
      <w:r w:rsidRPr="00D2633F">
        <w:rPr>
          <w:rFonts w:ascii="Times New Roman" w:hAnsi="Times New Roman" w:cs="Times New Roman" w:hint="cs"/>
          <w:b/>
          <w:bCs/>
          <w:u w:val="single"/>
          <w:rtl/>
        </w:rPr>
        <w:t>-</w:t>
      </w:r>
      <w:r w:rsidRPr="00D2633F">
        <w:rPr>
          <w:rFonts w:ascii="Times New Roman" w:hAnsi="Times New Roman" w:cs="Times New Roman"/>
          <w:b/>
          <w:bCs/>
          <w:u w:val="single"/>
          <w:rtl/>
        </w:rPr>
        <w:t>שיפוטית</w:t>
      </w:r>
      <w:r w:rsidRPr="00456380">
        <w:rPr>
          <w:rFonts w:ascii="Times New Roman" w:hAnsi="Times New Roman" w:cs="Times New Roman"/>
          <w:b/>
          <w:bCs/>
          <w:rtl/>
        </w:rPr>
        <w:t xml:space="preserve"> אנו מקפידים יותר על שמיר</w:t>
      </w:r>
      <w:r>
        <w:rPr>
          <w:rFonts w:ascii="Times New Roman" w:hAnsi="Times New Roman" w:cs="Times New Roman" w:hint="cs"/>
          <w:b/>
          <w:bCs/>
          <w:rtl/>
        </w:rPr>
        <w:t>תם</w:t>
      </w:r>
      <w:r w:rsidRPr="00456380">
        <w:rPr>
          <w:rFonts w:ascii="Times New Roman" w:hAnsi="Times New Roman" w:cs="Times New Roman"/>
          <w:b/>
          <w:bCs/>
          <w:rtl/>
        </w:rPr>
        <w:t xml:space="preserve"> של כללי הצדק הטבעי</w:t>
      </w:r>
      <w:r>
        <w:rPr>
          <w:rFonts w:ascii="Times New Roman" w:hAnsi="Times New Roman" w:cs="Times New Roman" w:hint="cs"/>
          <w:rtl/>
        </w:rPr>
        <w:t xml:space="preserve"> (פס"ד </w:t>
      </w:r>
      <w:r w:rsidRPr="003F338E">
        <w:rPr>
          <w:rFonts w:ascii="Times New Roman" w:hAnsi="Times New Roman" w:cs="Times New Roman" w:hint="cs"/>
          <w:b/>
          <w:bCs/>
          <w:rtl/>
        </w:rPr>
        <w:t>פלונית</w:t>
      </w:r>
      <w:r>
        <w:rPr>
          <w:rFonts w:ascii="Times New Roman" w:hAnsi="Times New Roman" w:cs="Times New Roman" w:hint="cs"/>
          <w:rtl/>
        </w:rPr>
        <w:t xml:space="preserve">, </w:t>
      </w:r>
      <w:r w:rsidRPr="00173EB6">
        <w:rPr>
          <w:rFonts w:ascii="Times New Roman" w:hAnsi="Times New Roman" w:cs="Times New Roman" w:hint="cs"/>
          <w:b/>
          <w:bCs/>
          <w:rtl/>
        </w:rPr>
        <w:t>בן-דוד</w:t>
      </w:r>
      <w:r>
        <w:rPr>
          <w:rFonts w:ascii="Times New Roman" w:hAnsi="Times New Roman" w:cs="Times New Roman" w:hint="cs"/>
          <w:rtl/>
        </w:rPr>
        <w:t>)</w:t>
      </w:r>
      <w:r w:rsidRPr="00456380">
        <w:rPr>
          <w:rFonts w:ascii="Times New Roman" w:hAnsi="Times New Roman" w:cs="Times New Roman"/>
          <w:rtl/>
        </w:rPr>
        <w:t xml:space="preserve">. </w:t>
      </w:r>
    </w:p>
    <w:p w:rsidR="0025709E" w:rsidRDefault="0025709E" w:rsidP="0025709E">
      <w:pPr>
        <w:pStyle w:val="ListParagraph"/>
        <w:spacing w:after="60" w:line="240" w:lineRule="auto"/>
        <w:rPr>
          <w:rFonts w:ascii="Times New Roman" w:hAnsi="Times New Roman" w:cs="Times New Roman"/>
          <w:b/>
          <w:bCs/>
          <w:rtl/>
        </w:rPr>
      </w:pPr>
    </w:p>
    <w:p w:rsidR="0025709E" w:rsidRPr="00456380" w:rsidRDefault="0025709E" w:rsidP="0025709E">
      <w:pPr>
        <w:pStyle w:val="ListParagraph"/>
        <w:spacing w:after="60" w:line="240" w:lineRule="auto"/>
        <w:ind w:left="1440"/>
        <w:rPr>
          <w:rFonts w:ascii="Times New Roman" w:hAnsi="Times New Roman" w:cs="Times New Roman"/>
          <w:rtl/>
        </w:rPr>
      </w:pPr>
      <w:r w:rsidRPr="00456380">
        <w:rPr>
          <w:rFonts w:ascii="Times New Roman" w:hAnsi="Times New Roman" w:cs="Times New Roman"/>
          <w:b/>
          <w:bCs/>
          <w:rtl/>
        </w:rPr>
        <w:t xml:space="preserve">ביחס </w:t>
      </w:r>
      <w:r w:rsidRPr="00D2633F">
        <w:rPr>
          <w:rFonts w:ascii="Times New Roman" w:hAnsi="Times New Roman" w:cs="Times New Roman"/>
          <w:b/>
          <w:bCs/>
          <w:u w:val="single"/>
          <w:rtl/>
        </w:rPr>
        <w:t>ל</w:t>
      </w:r>
      <w:r w:rsidRPr="00D2633F">
        <w:rPr>
          <w:rFonts w:ascii="Times New Roman" w:hAnsi="Times New Roman" w:cs="Times New Roman" w:hint="cs"/>
          <w:b/>
          <w:bCs/>
          <w:u w:val="single"/>
          <w:rtl/>
        </w:rPr>
        <w:t>סמכות מינהלית-תחיקתית</w:t>
      </w:r>
      <w:r>
        <w:rPr>
          <w:rFonts w:ascii="Times New Roman" w:hAnsi="Times New Roman" w:cs="Times New Roman" w:hint="cs"/>
          <w:rtl/>
        </w:rPr>
        <w:t>:</w:t>
      </w:r>
      <w:r w:rsidRPr="00456380">
        <w:rPr>
          <w:rFonts w:ascii="Times New Roman" w:hAnsi="Times New Roman" w:cs="Times New Roman"/>
          <w:rtl/>
        </w:rPr>
        <w:t xml:space="preserve"> האם </w:t>
      </w:r>
      <w:r w:rsidRPr="006C32F7">
        <w:rPr>
          <w:rFonts w:ascii="Times New Roman" w:hAnsi="Times New Roman" w:cs="Times New Roman"/>
          <w:b/>
          <w:bCs/>
          <w:rtl/>
        </w:rPr>
        <w:t xml:space="preserve">קמה </w:t>
      </w:r>
      <w:r w:rsidRPr="006C32F7">
        <w:rPr>
          <w:rFonts w:ascii="Times New Roman" w:hAnsi="Times New Roman" w:cs="Times New Roman"/>
          <w:b/>
          <w:bCs/>
          <w:u w:val="single"/>
          <w:rtl/>
        </w:rPr>
        <w:t>חובת שמיעה</w:t>
      </w:r>
      <w:r w:rsidRPr="006C32F7">
        <w:rPr>
          <w:rFonts w:ascii="Times New Roman" w:hAnsi="Times New Roman" w:cs="Times New Roman" w:hint="cs"/>
          <w:b/>
          <w:bCs/>
          <w:u w:val="single"/>
          <w:rtl/>
        </w:rPr>
        <w:t>/ זכות טיעון</w:t>
      </w:r>
      <w:r w:rsidRPr="006C32F7">
        <w:rPr>
          <w:rFonts w:ascii="Times New Roman" w:hAnsi="Times New Roman" w:cs="Times New Roman"/>
          <w:b/>
          <w:bCs/>
          <w:u w:val="single"/>
          <w:rtl/>
        </w:rPr>
        <w:t xml:space="preserve"> ביחס לסמכות תחיקתית</w:t>
      </w:r>
      <w:r w:rsidRPr="00456380">
        <w:rPr>
          <w:rFonts w:ascii="Times New Roman" w:hAnsi="Times New Roman" w:cs="Times New Roman"/>
          <w:rtl/>
        </w:rPr>
        <w:t>?</w:t>
      </w:r>
    </w:p>
    <w:p w:rsidR="0025709E" w:rsidRDefault="0025709E" w:rsidP="0025709E">
      <w:pPr>
        <w:spacing w:after="60"/>
        <w:ind w:left="1440"/>
        <w:rPr>
          <w:sz w:val="22"/>
          <w:szCs w:val="22"/>
          <w:rtl/>
        </w:rPr>
      </w:pPr>
      <w:r w:rsidRPr="001A42B8">
        <w:rPr>
          <w:rFonts w:hint="cs"/>
          <w:sz w:val="22"/>
          <w:szCs w:val="22"/>
          <w:rtl/>
        </w:rPr>
        <w:t>[</w:t>
      </w:r>
      <w:r w:rsidRPr="00D2633F">
        <w:rPr>
          <w:b/>
          <w:bCs/>
          <w:sz w:val="22"/>
          <w:szCs w:val="22"/>
          <w:u w:val="single"/>
          <w:rtl/>
        </w:rPr>
        <w:t>חקיקה ראשית</w:t>
      </w:r>
      <w:r>
        <w:rPr>
          <w:rFonts w:hint="cs"/>
          <w:sz w:val="22"/>
          <w:szCs w:val="22"/>
          <w:rtl/>
        </w:rPr>
        <w:t xml:space="preserve"> </w:t>
      </w:r>
      <w:r>
        <w:rPr>
          <w:sz w:val="22"/>
          <w:szCs w:val="22"/>
          <w:rtl/>
        </w:rPr>
        <w:t>–</w:t>
      </w:r>
      <w:r w:rsidRPr="00456380">
        <w:rPr>
          <w:sz w:val="22"/>
          <w:szCs w:val="22"/>
          <w:rtl/>
        </w:rPr>
        <w:t xml:space="preserve"> לא נעניק זכות טיעון</w:t>
      </w:r>
      <w:r>
        <w:rPr>
          <w:rFonts w:hint="cs"/>
          <w:sz w:val="22"/>
          <w:szCs w:val="22"/>
          <w:rtl/>
        </w:rPr>
        <w:t xml:space="preserve"> באופן ישיר</w:t>
      </w:r>
      <w:r w:rsidRPr="00456380">
        <w:rPr>
          <w:sz w:val="22"/>
          <w:szCs w:val="22"/>
          <w:rtl/>
        </w:rPr>
        <w:t xml:space="preserve">. יש את הכנסת, גוף קולקטיבי, השקפות עולם רבות שמספקות את המידע והחשיבה הרחבה והם הנציגים של הציבור. </w:t>
      </w:r>
    </w:p>
    <w:p w:rsidR="0025709E" w:rsidRDefault="0025709E" w:rsidP="0025709E">
      <w:pPr>
        <w:spacing w:after="60"/>
        <w:ind w:left="2160"/>
        <w:rPr>
          <w:sz w:val="22"/>
          <w:szCs w:val="22"/>
          <w:rtl/>
        </w:rPr>
      </w:pPr>
      <w:r>
        <w:rPr>
          <w:rFonts w:hint="cs"/>
          <w:sz w:val="22"/>
          <w:szCs w:val="22"/>
          <w:rtl/>
        </w:rPr>
        <w:t>עם זאת, ועדות הכנסת נוטות להזמין גורמים מעוניינים לדיוניהן, כולל בעת שנשקלת חקיקה וחקיקת משנה, וכך מושמעים קולותיהם של המוזמנים; יתר על כן, יש בכנסת פעולה של "שתדלנים" (לוביסטים) – שמייצגים גורמים כלכליים שונים או גורמים של החברה האזרחית (עמותות בעיקר).]</w:t>
      </w:r>
      <w:r w:rsidRPr="00456380">
        <w:rPr>
          <w:sz w:val="22"/>
          <w:szCs w:val="22"/>
          <w:rtl/>
        </w:rPr>
        <w:t xml:space="preserve"> </w:t>
      </w:r>
    </w:p>
    <w:p w:rsidR="0025709E" w:rsidRPr="00456380" w:rsidRDefault="0025709E" w:rsidP="0025709E">
      <w:pPr>
        <w:spacing w:after="60"/>
        <w:ind w:left="2160"/>
        <w:rPr>
          <w:sz w:val="22"/>
          <w:szCs w:val="22"/>
          <w:rtl/>
        </w:rPr>
      </w:pPr>
      <w:r>
        <w:rPr>
          <w:rFonts w:hint="cs"/>
          <w:sz w:val="22"/>
          <w:szCs w:val="22"/>
          <w:rtl/>
        </w:rPr>
        <w:t>{הסוגריים המרובעות שלעיל מגיעות משום שמדובר במחוקק ולא במינהל הציבורי, שבו אנו עוסקים בפרק זה של הקורס}.</w:t>
      </w:r>
    </w:p>
    <w:p w:rsidR="0025709E" w:rsidRDefault="0025709E" w:rsidP="0025709E">
      <w:pPr>
        <w:spacing w:after="60"/>
        <w:ind w:left="1440"/>
        <w:rPr>
          <w:sz w:val="22"/>
          <w:szCs w:val="22"/>
          <w:rtl/>
        </w:rPr>
      </w:pPr>
      <w:r w:rsidRPr="00D2633F">
        <w:rPr>
          <w:b/>
          <w:bCs/>
          <w:sz w:val="22"/>
          <w:szCs w:val="22"/>
          <w:u w:val="single"/>
          <w:rtl/>
        </w:rPr>
        <w:t>חקיקת משנה</w:t>
      </w:r>
      <w:r>
        <w:rPr>
          <w:rFonts w:hint="cs"/>
          <w:sz w:val="22"/>
          <w:szCs w:val="22"/>
          <w:rtl/>
        </w:rPr>
        <w:t xml:space="preserve"> </w:t>
      </w:r>
      <w:r>
        <w:rPr>
          <w:sz w:val="22"/>
          <w:szCs w:val="22"/>
          <w:rtl/>
        </w:rPr>
        <w:t>–</w:t>
      </w:r>
      <w:r w:rsidRPr="00456380">
        <w:rPr>
          <w:sz w:val="22"/>
          <w:szCs w:val="22"/>
          <w:rtl/>
        </w:rPr>
        <w:t xml:space="preserve"> </w:t>
      </w:r>
      <w:r>
        <w:rPr>
          <w:rFonts w:hint="cs"/>
          <w:sz w:val="22"/>
          <w:szCs w:val="22"/>
          <w:rtl/>
        </w:rPr>
        <w:t xml:space="preserve">מדובר בהכרעות של הרשות המינהלית המקבלות גיבוש פורמאלי כ"תקנות", "כללים" וכדומה. </w:t>
      </w:r>
    </w:p>
    <w:p w:rsidR="0025709E" w:rsidRDefault="0025709E" w:rsidP="0025709E">
      <w:pPr>
        <w:spacing w:after="60"/>
        <w:ind w:left="1440"/>
        <w:rPr>
          <w:sz w:val="22"/>
          <w:szCs w:val="22"/>
          <w:rtl/>
        </w:rPr>
      </w:pPr>
      <w:r>
        <w:rPr>
          <w:rFonts w:hint="cs"/>
          <w:sz w:val="22"/>
          <w:szCs w:val="22"/>
          <w:rtl/>
        </w:rPr>
        <w:t xml:space="preserve">הכרעות אלו נעשות לרוב על ידי ראשי הפירמידה של גורמי המינהל – משמע, השר המתקין תקנות מכוח חקיקה שהוא מופקד על יישומה, או המועצה של התאגיד הסטטוטורי המתקינה את הכללים מטעם התאגיד. </w:t>
      </w:r>
    </w:p>
    <w:p w:rsidR="0025709E" w:rsidRDefault="0025709E" w:rsidP="0025709E">
      <w:pPr>
        <w:spacing w:after="60"/>
        <w:ind w:left="2160"/>
        <w:rPr>
          <w:sz w:val="22"/>
          <w:szCs w:val="22"/>
          <w:rtl/>
        </w:rPr>
      </w:pPr>
      <w:r>
        <w:rPr>
          <w:rFonts w:hint="cs"/>
          <w:sz w:val="22"/>
          <w:szCs w:val="22"/>
          <w:rtl/>
        </w:rPr>
        <w:t xml:space="preserve">(כללים של הסדרה עצמית, אם מדובר בתאגיד סטטוטורי שהוא נותן שירותים, דוגמת מגן דוד אדום, או כללים המסדירים את התנהלותם של האחרים, דוגמת פעולתה הרגולטיבית של מועצת הרשות השנייה לטלוויזיה ורדיו, המפקחת על ערוצי הטלוויזיה המסחריים ועל תחנות הרדיו האיזוריות). </w:t>
      </w:r>
    </w:p>
    <w:p w:rsidR="0025709E" w:rsidRDefault="0025709E" w:rsidP="0025709E">
      <w:pPr>
        <w:spacing w:after="60"/>
        <w:ind w:left="1440"/>
        <w:rPr>
          <w:sz w:val="22"/>
          <w:szCs w:val="22"/>
          <w:rtl/>
        </w:rPr>
      </w:pPr>
      <w:r>
        <w:rPr>
          <w:rFonts w:hint="cs"/>
          <w:sz w:val="22"/>
          <w:szCs w:val="22"/>
          <w:rtl/>
        </w:rPr>
        <w:t xml:space="preserve">משום שתקנות וכללים מתקבלות כך, הרי שהן מגיעות תכופות מזווית-ראייה שהיא מצומצמת יותר מזו של הכנסת, על קשת נבחרי הציבור שבה. כך למשל, </w:t>
      </w:r>
      <w:r w:rsidRPr="00456380">
        <w:rPr>
          <w:sz w:val="22"/>
          <w:szCs w:val="22"/>
          <w:rtl/>
        </w:rPr>
        <w:t xml:space="preserve">שר מייצג את הרוב הפוליטי של היום </w:t>
      </w:r>
      <w:r>
        <w:rPr>
          <w:rFonts w:hint="cs"/>
          <w:sz w:val="22"/>
          <w:szCs w:val="22"/>
          <w:rtl/>
        </w:rPr>
        <w:t xml:space="preserve">והוא לכן פחות נחשף לעמדות שהן שונות משלו, </w:t>
      </w:r>
      <w:r w:rsidRPr="00456380">
        <w:rPr>
          <w:sz w:val="22"/>
          <w:szCs w:val="22"/>
          <w:rtl/>
        </w:rPr>
        <w:t>ו</w:t>
      </w:r>
      <w:r>
        <w:rPr>
          <w:rFonts w:hint="cs"/>
          <w:sz w:val="22"/>
          <w:szCs w:val="22"/>
          <w:rtl/>
        </w:rPr>
        <w:t xml:space="preserve">כמו כן הוא גם </w:t>
      </w:r>
      <w:r w:rsidRPr="00456380">
        <w:rPr>
          <w:sz w:val="22"/>
          <w:szCs w:val="22"/>
          <w:rtl/>
        </w:rPr>
        <w:t xml:space="preserve">קרוב </w:t>
      </w:r>
      <w:r>
        <w:rPr>
          <w:rFonts w:hint="cs"/>
          <w:sz w:val="22"/>
          <w:szCs w:val="22"/>
          <w:rtl/>
        </w:rPr>
        <w:t xml:space="preserve">מדי </w:t>
      </w:r>
      <w:r w:rsidRPr="00456380">
        <w:rPr>
          <w:sz w:val="22"/>
          <w:szCs w:val="22"/>
          <w:rtl/>
        </w:rPr>
        <w:t>להחלטות ש</w:t>
      </w:r>
      <w:r>
        <w:rPr>
          <w:rFonts w:hint="cs"/>
          <w:sz w:val="22"/>
          <w:szCs w:val="22"/>
          <w:rtl/>
        </w:rPr>
        <w:t>מדגישות, ואולי מדגישות מדי, את אינטרס ה"</w:t>
      </w:r>
      <w:r>
        <w:rPr>
          <w:sz w:val="22"/>
          <w:szCs w:val="22"/>
          <w:rtl/>
        </w:rPr>
        <w:t>יעילות</w:t>
      </w:r>
      <w:r>
        <w:rPr>
          <w:rFonts w:hint="cs"/>
          <w:sz w:val="22"/>
          <w:szCs w:val="22"/>
          <w:rtl/>
        </w:rPr>
        <w:t>", זאת לעיתים על חשבון "ההגינות"</w:t>
      </w:r>
      <w:r w:rsidRPr="00456380">
        <w:rPr>
          <w:sz w:val="22"/>
          <w:szCs w:val="22"/>
          <w:rtl/>
        </w:rPr>
        <w:t xml:space="preserve">. </w:t>
      </w:r>
    </w:p>
    <w:p w:rsidR="0025709E" w:rsidRDefault="0025709E" w:rsidP="0025709E">
      <w:pPr>
        <w:spacing w:after="60"/>
        <w:ind w:left="2160"/>
        <w:rPr>
          <w:sz w:val="22"/>
          <w:szCs w:val="22"/>
          <w:rtl/>
        </w:rPr>
      </w:pPr>
      <w:r>
        <w:rPr>
          <w:rFonts w:hint="cs"/>
          <w:sz w:val="22"/>
          <w:szCs w:val="22"/>
          <w:rtl/>
        </w:rPr>
        <w:t>[חוקי-עזר עירוניים הם המקרה החריג, שכן מועצת הרשות המקומית המחוקקת את חוקי-העזר העירוניים מייצגת את הקולות השונים בקרב התושבים.]</w:t>
      </w:r>
    </w:p>
    <w:p w:rsidR="0025709E" w:rsidRDefault="0025709E" w:rsidP="0025709E">
      <w:pPr>
        <w:spacing w:after="60"/>
        <w:ind w:left="1440"/>
        <w:rPr>
          <w:sz w:val="22"/>
          <w:szCs w:val="22"/>
          <w:rtl/>
        </w:rPr>
      </w:pPr>
      <w:r>
        <w:rPr>
          <w:rFonts w:hint="cs"/>
          <w:sz w:val="22"/>
          <w:szCs w:val="22"/>
          <w:rtl/>
        </w:rPr>
        <w:t xml:space="preserve">משום הבעייה הנזכרת, של זווית המבט הצרה ואולי המוטה מדי של חלק ממחוקקי המשנה, מופיעים לעיתים </w:t>
      </w:r>
      <w:r w:rsidRPr="00D2633F">
        <w:rPr>
          <w:b/>
          <w:bCs/>
          <w:sz w:val="22"/>
          <w:szCs w:val="22"/>
          <w:u w:val="single"/>
          <w:rtl/>
        </w:rPr>
        <w:t>מנגנונים של שיתוף בהחלטה או היווע</w:t>
      </w:r>
      <w:r w:rsidRPr="00D2633F">
        <w:rPr>
          <w:rFonts w:hint="cs"/>
          <w:b/>
          <w:bCs/>
          <w:sz w:val="22"/>
          <w:szCs w:val="22"/>
          <w:u w:val="single"/>
          <w:rtl/>
        </w:rPr>
        <w:t>צ</w:t>
      </w:r>
      <w:r w:rsidRPr="00D2633F">
        <w:rPr>
          <w:b/>
          <w:bCs/>
          <w:sz w:val="22"/>
          <w:szCs w:val="22"/>
          <w:u w:val="single"/>
          <w:rtl/>
        </w:rPr>
        <w:t>ות</w:t>
      </w:r>
      <w:r>
        <w:rPr>
          <w:rFonts w:hint="cs"/>
          <w:sz w:val="22"/>
          <w:szCs w:val="22"/>
          <w:rtl/>
        </w:rPr>
        <w:t>. למשל, שיתוף של ועדה של הכנסת בתהליך התקנת התקנות או הכללים;</w:t>
      </w:r>
      <w:r w:rsidRPr="00456380">
        <w:rPr>
          <w:sz w:val="22"/>
          <w:szCs w:val="22"/>
          <w:rtl/>
        </w:rPr>
        <w:t xml:space="preserve"> </w:t>
      </w:r>
      <w:r>
        <w:rPr>
          <w:rFonts w:hint="cs"/>
          <w:sz w:val="22"/>
          <w:szCs w:val="22"/>
          <w:rtl/>
        </w:rPr>
        <w:t xml:space="preserve">או מופיעה </w:t>
      </w:r>
      <w:r w:rsidRPr="00456380">
        <w:rPr>
          <w:sz w:val="22"/>
          <w:szCs w:val="22"/>
          <w:rtl/>
        </w:rPr>
        <w:t xml:space="preserve">חובת היוועצות </w:t>
      </w:r>
      <w:r>
        <w:rPr>
          <w:rFonts w:hint="cs"/>
          <w:sz w:val="22"/>
          <w:szCs w:val="22"/>
          <w:rtl/>
        </w:rPr>
        <w:t xml:space="preserve">סטטוטורית </w:t>
      </w:r>
      <w:r>
        <w:rPr>
          <w:sz w:val="22"/>
          <w:szCs w:val="22"/>
          <w:rtl/>
        </w:rPr>
        <w:t>–</w:t>
      </w:r>
      <w:r>
        <w:rPr>
          <w:rFonts w:hint="cs"/>
          <w:sz w:val="22"/>
          <w:szCs w:val="22"/>
          <w:rtl/>
        </w:rPr>
        <w:t xml:space="preserve"> כזו הקבועה בחוק </w:t>
      </w:r>
      <w:r>
        <w:rPr>
          <w:sz w:val="22"/>
          <w:szCs w:val="22"/>
          <w:rtl/>
        </w:rPr>
        <w:t>–</w:t>
      </w:r>
      <w:r>
        <w:rPr>
          <w:rFonts w:hint="cs"/>
          <w:sz w:val="22"/>
          <w:szCs w:val="22"/>
          <w:rtl/>
        </w:rPr>
        <w:t xml:space="preserve"> </w:t>
      </w:r>
      <w:r w:rsidRPr="00456380">
        <w:rPr>
          <w:sz w:val="22"/>
          <w:szCs w:val="22"/>
          <w:rtl/>
        </w:rPr>
        <w:t>עם גורמים רלוונטיים</w:t>
      </w:r>
      <w:r>
        <w:rPr>
          <w:rFonts w:hint="cs"/>
          <w:sz w:val="22"/>
          <w:szCs w:val="22"/>
          <w:rtl/>
        </w:rPr>
        <w:t xml:space="preserve"> כאלה ואחרים. </w:t>
      </w:r>
    </w:p>
    <w:p w:rsidR="0025709E" w:rsidRDefault="0025709E" w:rsidP="0025709E">
      <w:pPr>
        <w:spacing w:after="60"/>
        <w:ind w:left="2160"/>
        <w:rPr>
          <w:sz w:val="22"/>
          <w:szCs w:val="22"/>
          <w:rtl/>
        </w:rPr>
      </w:pPr>
      <w:r>
        <w:rPr>
          <w:rFonts w:hint="cs"/>
          <w:sz w:val="22"/>
          <w:szCs w:val="22"/>
          <w:rtl/>
        </w:rPr>
        <w:t>(יש להבחין בין שיתוף, בדרך של צורך באישור של הגורם שאותו משתפים, לבין שיתוף בדרך של היוועצות, שמיעת עצתו של הגורם האחר).</w:t>
      </w:r>
    </w:p>
    <w:p w:rsidR="0025709E" w:rsidRDefault="0025709E" w:rsidP="0025709E">
      <w:pPr>
        <w:spacing w:after="60"/>
        <w:ind w:left="2160"/>
        <w:rPr>
          <w:sz w:val="22"/>
          <w:szCs w:val="22"/>
          <w:rtl/>
        </w:rPr>
      </w:pPr>
      <w:r>
        <w:rPr>
          <w:rFonts w:hint="cs"/>
          <w:sz w:val="22"/>
          <w:szCs w:val="22"/>
          <w:rtl/>
        </w:rPr>
        <w:t>(במקביל, נעשית היוועצות ביועץ המשפטי של המשרד הממשלתי, אך זאת לעניין חוקיותה של חקיקת המשנה, להבדיל מתבונתה, קרי, להבדיל מהשאלה עד כמה המדיניות המגובשת בה היא רצויה)</w:t>
      </w:r>
      <w:r w:rsidRPr="00456380">
        <w:rPr>
          <w:sz w:val="22"/>
          <w:szCs w:val="22"/>
          <w:rtl/>
        </w:rPr>
        <w:t xml:space="preserve">. </w:t>
      </w:r>
    </w:p>
    <w:p w:rsidR="0025709E" w:rsidRPr="00456380" w:rsidRDefault="0025709E" w:rsidP="0025709E">
      <w:pPr>
        <w:spacing w:after="60"/>
        <w:ind w:left="1440"/>
        <w:rPr>
          <w:sz w:val="22"/>
          <w:szCs w:val="22"/>
          <w:rtl/>
        </w:rPr>
      </w:pPr>
    </w:p>
    <w:p w:rsidR="0025709E" w:rsidRDefault="0025709E" w:rsidP="0014333E">
      <w:pPr>
        <w:pStyle w:val="ListParagraph"/>
        <w:numPr>
          <w:ilvl w:val="0"/>
          <w:numId w:val="36"/>
        </w:numPr>
        <w:spacing w:after="60" w:line="240" w:lineRule="auto"/>
        <w:ind w:left="714" w:hanging="357"/>
        <w:rPr>
          <w:rFonts w:ascii="Times New Roman" w:hAnsi="Times New Roman" w:cs="Times New Roman"/>
        </w:rPr>
      </w:pPr>
      <w:r w:rsidRPr="00436369">
        <w:rPr>
          <w:rFonts w:ascii="Times New Roman" w:hAnsi="Times New Roman" w:cs="Times New Roman"/>
          <w:b/>
          <w:bCs/>
          <w:highlight w:val="yellow"/>
          <w:u w:val="single"/>
          <w:rtl/>
        </w:rPr>
        <w:t>עוצמת הזכות</w:t>
      </w:r>
      <w:r w:rsidRPr="00436369">
        <w:rPr>
          <w:rFonts w:ascii="Times New Roman" w:hAnsi="Times New Roman" w:cs="Times New Roman" w:hint="cs"/>
          <w:b/>
          <w:bCs/>
          <w:highlight w:val="yellow"/>
          <w:u w:val="single"/>
          <w:rtl/>
        </w:rPr>
        <w:t xml:space="preserve"> וסוג הזכות</w:t>
      </w:r>
      <w:r>
        <w:rPr>
          <w:rFonts w:ascii="Times New Roman" w:hAnsi="Times New Roman" w:cs="Times New Roman" w:hint="cs"/>
          <w:b/>
          <w:bCs/>
          <w:highlight w:val="yellow"/>
          <w:u w:val="single"/>
          <w:rtl/>
        </w:rPr>
        <w:t xml:space="preserve"> של הפרט (או התאגיד הפרטי)</w:t>
      </w:r>
      <w:r w:rsidRPr="00436369">
        <w:rPr>
          <w:rFonts w:ascii="Times New Roman" w:hAnsi="Times New Roman" w:cs="Times New Roman"/>
          <w:b/>
          <w:bCs/>
          <w:highlight w:val="yellow"/>
          <w:u w:val="single"/>
          <w:rtl/>
        </w:rPr>
        <w:t xml:space="preserve"> הנפגעת</w:t>
      </w:r>
      <w:r w:rsidRPr="00456380">
        <w:rPr>
          <w:rFonts w:ascii="Times New Roman" w:hAnsi="Times New Roman" w:cs="Times New Roman"/>
          <w:rtl/>
        </w:rPr>
        <w:t xml:space="preserve"> ע"י הרשות</w:t>
      </w:r>
      <w:r>
        <w:rPr>
          <w:rFonts w:ascii="Times New Roman" w:hAnsi="Times New Roman" w:cs="Times New Roman" w:hint="cs"/>
          <w:rtl/>
        </w:rPr>
        <w:t xml:space="preserve"> (השוו לפס"ד </w:t>
      </w:r>
      <w:r w:rsidRPr="007C2462">
        <w:rPr>
          <w:rFonts w:ascii="Times New Roman" w:hAnsi="Times New Roman" w:cs="Times New Roman" w:hint="cs"/>
          <w:b/>
          <w:bCs/>
          <w:rtl/>
        </w:rPr>
        <w:t>טרנר</w:t>
      </w:r>
      <w:r>
        <w:rPr>
          <w:rFonts w:ascii="Times New Roman" w:hAnsi="Times New Roman" w:cs="Times New Roman" w:hint="cs"/>
          <w:rtl/>
        </w:rPr>
        <w:t>)</w:t>
      </w:r>
      <w:r w:rsidRPr="00456380">
        <w:rPr>
          <w:rFonts w:ascii="Times New Roman" w:hAnsi="Times New Roman" w:cs="Times New Roman"/>
          <w:rtl/>
        </w:rPr>
        <w:t>.</w:t>
      </w:r>
    </w:p>
    <w:p w:rsidR="0025709E" w:rsidRDefault="0025709E" w:rsidP="0025709E">
      <w:pPr>
        <w:pStyle w:val="ListParagraph"/>
        <w:spacing w:after="60" w:line="240" w:lineRule="auto"/>
        <w:ind w:left="1440"/>
        <w:rPr>
          <w:rFonts w:ascii="Times New Roman" w:hAnsi="Times New Roman" w:cs="Times New Roman"/>
          <w:rtl/>
        </w:rPr>
      </w:pPr>
      <w:r>
        <w:rPr>
          <w:rFonts w:ascii="Times New Roman" w:hAnsi="Times New Roman" w:cs="Times New Roman" w:hint="cs"/>
          <w:rtl/>
        </w:rPr>
        <w:t xml:space="preserve">אנא שימו לב לכך שיש לתת זכות טיעון לא רק בעת מהלך שלטוני שבו צפויה להיפגע או נפגעת זכות יסוד של אדם – דוגמת קניינו, פרטיותו, חופש התנועה שלו, חופש הביטוי שלו וכדומה – אלא גם בעת שהרשות צפויה לפגוע או פוגעת </w:t>
      </w:r>
      <w:r w:rsidRPr="009E7AAB">
        <w:rPr>
          <w:rFonts w:ascii="Times New Roman" w:hAnsi="Times New Roman" w:cs="Times New Roman" w:hint="cs"/>
          <w:b/>
          <w:bCs/>
          <w:rtl/>
        </w:rPr>
        <w:t>ב"זכות מוקנית"</w:t>
      </w:r>
      <w:r>
        <w:rPr>
          <w:rFonts w:ascii="Times New Roman" w:hAnsi="Times New Roman" w:cs="Times New Roman" w:hint="cs"/>
          <w:rtl/>
        </w:rPr>
        <w:t xml:space="preserve"> של אדם. </w:t>
      </w:r>
    </w:p>
    <w:p w:rsidR="0025709E" w:rsidRDefault="0025709E" w:rsidP="0025709E">
      <w:pPr>
        <w:pStyle w:val="ListParagraph"/>
        <w:spacing w:after="60" w:line="240" w:lineRule="auto"/>
        <w:ind w:left="1440"/>
        <w:rPr>
          <w:rFonts w:ascii="Times New Roman" w:hAnsi="Times New Roman" w:cs="Times New Roman"/>
          <w:rtl/>
        </w:rPr>
      </w:pPr>
      <w:r>
        <w:rPr>
          <w:rFonts w:ascii="Times New Roman" w:hAnsi="Times New Roman" w:cs="Times New Roman" w:hint="cs"/>
          <w:rtl/>
        </w:rPr>
        <w:t xml:space="preserve">ראו למשל, רישיון לשאת נשק. יש הבדל בין השלב שבו נבחנת בקשה של אדם לשאת אקדח לבין מצב שבו הרשות שוקלת לבטל רישיון שנתנה לנשיאת אקדח. בשלב הראשון אין לאדם, לא זכות יסוד לשאת נשק ולא זכות מוקנית לשאת נשק, ואילו לאחר שקיבל את הרישיון הרי שהוקנתה לו זכות שכזו. </w:t>
      </w:r>
    </w:p>
    <w:p w:rsidR="0025709E" w:rsidRDefault="0025709E" w:rsidP="0025709E">
      <w:pPr>
        <w:pStyle w:val="ListParagraph"/>
        <w:spacing w:after="120" w:line="240" w:lineRule="auto"/>
        <w:ind w:left="1440"/>
        <w:rPr>
          <w:rFonts w:ascii="Times New Roman" w:hAnsi="Times New Roman" w:cs="Times New Roman"/>
        </w:rPr>
      </w:pPr>
      <w:r>
        <w:rPr>
          <w:rFonts w:ascii="Times New Roman" w:hAnsi="Times New Roman" w:cs="Times New Roman" w:hint="cs"/>
          <w:rtl/>
        </w:rPr>
        <w:t>אשר על כן, על הרשות להעניק זכות טיעון משמעותית בטרם ביטול שכזה או סמוך לאחריו.</w:t>
      </w:r>
    </w:p>
    <w:p w:rsidR="0025709E" w:rsidRPr="00173EB6" w:rsidRDefault="0025709E" w:rsidP="0025709E">
      <w:pPr>
        <w:pStyle w:val="ListParagraph"/>
        <w:spacing w:after="120" w:line="240" w:lineRule="auto"/>
        <w:ind w:left="714"/>
        <w:rPr>
          <w:rFonts w:ascii="Times New Roman" w:hAnsi="Times New Roman" w:cs="Times New Roman"/>
        </w:rPr>
      </w:pPr>
      <w:r w:rsidRPr="00173EB6">
        <w:rPr>
          <w:rFonts w:ascii="Times New Roman" w:hAnsi="Times New Roman" w:cs="Times New Roman"/>
          <w:rtl/>
        </w:rPr>
        <w:t xml:space="preserve"> </w:t>
      </w:r>
    </w:p>
    <w:p w:rsidR="0025709E" w:rsidRDefault="0025709E" w:rsidP="0014333E">
      <w:pPr>
        <w:pStyle w:val="ListParagraph"/>
        <w:numPr>
          <w:ilvl w:val="0"/>
          <w:numId w:val="36"/>
        </w:numPr>
        <w:spacing w:after="120" w:line="240" w:lineRule="auto"/>
        <w:ind w:left="714" w:hanging="357"/>
        <w:rPr>
          <w:rFonts w:ascii="Times New Roman" w:hAnsi="Times New Roman" w:cs="Times New Roman"/>
          <w:b/>
          <w:bCs/>
        </w:rPr>
      </w:pPr>
      <w:r w:rsidRPr="00436369">
        <w:rPr>
          <w:rFonts w:ascii="Times New Roman" w:hAnsi="Times New Roman" w:cs="Times New Roman"/>
          <w:b/>
          <w:bCs/>
          <w:highlight w:val="yellow"/>
          <w:u w:val="single"/>
          <w:rtl/>
        </w:rPr>
        <w:t>הפיכות הפגיעה</w:t>
      </w:r>
      <w:r w:rsidRPr="00436369">
        <w:rPr>
          <w:rFonts w:ascii="Times New Roman" w:hAnsi="Times New Roman" w:cs="Times New Roman" w:hint="cs"/>
          <w:b/>
          <w:bCs/>
          <w:highlight w:val="yellow"/>
          <w:rtl/>
        </w:rPr>
        <w:t xml:space="preserve"> בזכות</w:t>
      </w:r>
      <w:r>
        <w:rPr>
          <w:rFonts w:ascii="Times New Roman" w:hAnsi="Times New Roman" w:cs="Times New Roman" w:hint="cs"/>
          <w:rtl/>
        </w:rPr>
        <w:t xml:space="preserve"> של האדם או התאגיד הפרטי</w:t>
      </w:r>
      <w:r w:rsidRPr="00173EB6">
        <w:rPr>
          <w:rFonts w:ascii="Times New Roman" w:hAnsi="Times New Roman" w:cs="Times New Roman" w:hint="cs"/>
          <w:rtl/>
        </w:rPr>
        <w:t xml:space="preserve"> (דוגמא?</w:t>
      </w:r>
      <w:r>
        <w:rPr>
          <w:rFonts w:ascii="Times New Roman" w:hAnsi="Times New Roman" w:cs="Times New Roman" w:hint="cs"/>
          <w:rtl/>
        </w:rPr>
        <w:t xml:space="preserve"> – ראו דפי הפגישה הקודמת</w:t>
      </w:r>
      <w:r w:rsidRPr="00173EB6">
        <w:rPr>
          <w:rFonts w:ascii="Times New Roman" w:hAnsi="Times New Roman" w:cs="Times New Roman" w:hint="cs"/>
          <w:rtl/>
        </w:rPr>
        <w:t>)</w:t>
      </w:r>
      <w:r>
        <w:rPr>
          <w:rFonts w:ascii="Times New Roman" w:hAnsi="Times New Roman" w:cs="Times New Roman" w:hint="cs"/>
          <w:b/>
          <w:bCs/>
          <w:rtl/>
        </w:rPr>
        <w:t>.</w:t>
      </w:r>
      <w:r w:rsidRPr="00456380">
        <w:rPr>
          <w:rFonts w:ascii="Times New Roman" w:hAnsi="Times New Roman" w:cs="Times New Roman"/>
          <w:b/>
          <w:bCs/>
          <w:rtl/>
        </w:rPr>
        <w:t xml:space="preserve"> </w:t>
      </w:r>
    </w:p>
    <w:p w:rsidR="0025709E" w:rsidRPr="00D2633F" w:rsidRDefault="0025709E" w:rsidP="0025709E">
      <w:pPr>
        <w:pStyle w:val="ListParagraph"/>
        <w:spacing w:after="120" w:line="240" w:lineRule="auto"/>
        <w:ind w:left="714"/>
        <w:rPr>
          <w:rFonts w:ascii="Times New Roman" w:hAnsi="Times New Roman" w:cs="Times New Roman"/>
          <w:b/>
          <w:bCs/>
        </w:rPr>
      </w:pPr>
    </w:p>
    <w:p w:rsidR="0025709E" w:rsidRDefault="0025709E" w:rsidP="0014333E">
      <w:pPr>
        <w:pStyle w:val="ListParagraph"/>
        <w:numPr>
          <w:ilvl w:val="0"/>
          <w:numId w:val="36"/>
        </w:numPr>
        <w:spacing w:after="120" w:line="240" w:lineRule="auto"/>
        <w:ind w:left="714" w:hanging="357"/>
        <w:rPr>
          <w:rFonts w:ascii="Times New Roman" w:hAnsi="Times New Roman" w:cs="Times New Roman"/>
        </w:rPr>
      </w:pPr>
      <w:r w:rsidRPr="00436369">
        <w:rPr>
          <w:rFonts w:ascii="Times New Roman" w:hAnsi="Times New Roman" w:cs="Times New Roman"/>
          <w:b/>
          <w:bCs/>
          <w:highlight w:val="yellow"/>
          <w:u w:val="single"/>
          <w:rtl/>
        </w:rPr>
        <w:t>הפגיעה באינטרס הציבורי שתיגרם אם</w:t>
      </w:r>
      <w:r w:rsidRPr="00436369">
        <w:rPr>
          <w:rFonts w:ascii="Times New Roman" w:hAnsi="Times New Roman" w:cs="Times New Roman"/>
          <w:b/>
          <w:bCs/>
          <w:highlight w:val="yellow"/>
          <w:rtl/>
        </w:rPr>
        <w:t xml:space="preserve"> תינתן זכות טיעון</w:t>
      </w:r>
      <w:r w:rsidRPr="00456380">
        <w:rPr>
          <w:rFonts w:ascii="Times New Roman" w:hAnsi="Times New Roman" w:cs="Times New Roman"/>
          <w:b/>
          <w:bCs/>
          <w:rtl/>
        </w:rPr>
        <w:t xml:space="preserve"> </w:t>
      </w:r>
      <w:r>
        <w:rPr>
          <w:rFonts w:ascii="Times New Roman" w:hAnsi="Times New Roman" w:cs="Times New Roman" w:hint="cs"/>
          <w:b/>
          <w:bCs/>
          <w:rtl/>
        </w:rPr>
        <w:t xml:space="preserve">(זכות טיעון </w:t>
      </w:r>
      <w:r w:rsidRPr="00456380">
        <w:rPr>
          <w:rFonts w:ascii="Times New Roman" w:hAnsi="Times New Roman" w:cs="Times New Roman"/>
          <w:b/>
          <w:bCs/>
          <w:rtl/>
        </w:rPr>
        <w:t>מוקדמת</w:t>
      </w:r>
      <w:r>
        <w:rPr>
          <w:rFonts w:ascii="Times New Roman" w:hAnsi="Times New Roman" w:cs="Times New Roman" w:hint="cs"/>
          <w:b/>
          <w:bCs/>
          <w:rtl/>
        </w:rPr>
        <w:t>, ולחלופין</w:t>
      </w:r>
      <w:r w:rsidRPr="00456380">
        <w:rPr>
          <w:rFonts w:ascii="Times New Roman" w:hAnsi="Times New Roman" w:cs="Times New Roman"/>
          <w:b/>
          <w:bCs/>
          <w:rtl/>
        </w:rPr>
        <w:t xml:space="preserve"> מאוחרת</w:t>
      </w:r>
      <w:r>
        <w:rPr>
          <w:rFonts w:ascii="Times New Roman" w:hAnsi="Times New Roman" w:cs="Times New Roman" w:hint="cs"/>
          <w:b/>
          <w:bCs/>
          <w:rtl/>
        </w:rPr>
        <w:t>) למי שטוען לה?</w:t>
      </w:r>
    </w:p>
    <w:p w:rsidR="0025709E" w:rsidRDefault="0025709E" w:rsidP="0025709E">
      <w:pPr>
        <w:pStyle w:val="ListParagraph"/>
        <w:spacing w:after="120" w:line="240" w:lineRule="auto"/>
        <w:ind w:left="1037"/>
        <w:rPr>
          <w:rFonts w:ascii="Times New Roman" w:hAnsi="Times New Roman" w:cs="Times New Roman"/>
        </w:rPr>
      </w:pPr>
      <w:r>
        <w:rPr>
          <w:rFonts w:ascii="Times New Roman" w:hAnsi="Times New Roman" w:cs="Times New Roman" w:hint="cs"/>
          <w:rtl/>
        </w:rPr>
        <w:t>[דוגמת צו החיפוש]</w:t>
      </w:r>
    </w:p>
    <w:p w:rsidR="0025709E" w:rsidRPr="00456380" w:rsidRDefault="0025709E" w:rsidP="0025709E">
      <w:pPr>
        <w:pStyle w:val="ListParagraph"/>
        <w:spacing w:after="120" w:line="240" w:lineRule="auto"/>
        <w:ind w:left="714"/>
        <w:rPr>
          <w:rFonts w:ascii="Times New Roman" w:hAnsi="Times New Roman" w:cs="Times New Roman"/>
        </w:rPr>
      </w:pPr>
    </w:p>
    <w:p w:rsidR="0025709E" w:rsidRDefault="0025709E" w:rsidP="0014333E">
      <w:pPr>
        <w:pStyle w:val="ListParagraph"/>
        <w:numPr>
          <w:ilvl w:val="0"/>
          <w:numId w:val="36"/>
        </w:numPr>
        <w:spacing w:after="120" w:line="240" w:lineRule="auto"/>
        <w:ind w:left="1037" w:hanging="680"/>
        <w:rPr>
          <w:rFonts w:ascii="Times New Roman" w:hAnsi="Times New Roman" w:cs="Times New Roman"/>
        </w:rPr>
      </w:pPr>
      <w:r w:rsidRPr="00436369">
        <w:rPr>
          <w:rFonts w:ascii="Times New Roman" w:hAnsi="Times New Roman" w:cs="Times New Roman" w:hint="cs"/>
          <w:rtl/>
        </w:rPr>
        <w:t xml:space="preserve">בסמוך לנקודה הקודמת אך מנגד, </w:t>
      </w:r>
      <w:r w:rsidRPr="00436369">
        <w:rPr>
          <w:rFonts w:ascii="Times New Roman" w:hAnsi="Times New Roman" w:cs="Times New Roman"/>
          <w:b/>
          <w:bCs/>
          <w:highlight w:val="yellow"/>
          <w:rtl/>
        </w:rPr>
        <w:t xml:space="preserve">האם לא קיימות </w:t>
      </w:r>
      <w:r w:rsidRPr="00436369">
        <w:rPr>
          <w:rFonts w:ascii="Times New Roman" w:hAnsi="Times New Roman" w:cs="Times New Roman"/>
          <w:b/>
          <w:bCs/>
          <w:highlight w:val="yellow"/>
          <w:u w:val="single"/>
          <w:rtl/>
        </w:rPr>
        <w:t>חלופות פחותות בחומרתן</w:t>
      </w:r>
      <w:r w:rsidRPr="00436369">
        <w:rPr>
          <w:rFonts w:ascii="Times New Roman" w:hAnsi="Times New Roman" w:cs="Times New Roman"/>
          <w:highlight w:val="yellow"/>
          <w:rtl/>
        </w:rPr>
        <w:t xml:space="preserve"> </w:t>
      </w:r>
      <w:r w:rsidRPr="00436369">
        <w:rPr>
          <w:rFonts w:ascii="Times New Roman" w:hAnsi="Times New Roman" w:cs="Times New Roman" w:hint="cs"/>
          <w:highlight w:val="yellow"/>
          <w:rtl/>
        </w:rPr>
        <w:t>ש</w:t>
      </w:r>
      <w:r w:rsidRPr="00436369">
        <w:rPr>
          <w:rFonts w:ascii="Times New Roman" w:hAnsi="Times New Roman" w:cs="Times New Roman"/>
          <w:highlight w:val="yellow"/>
          <w:rtl/>
        </w:rPr>
        <w:t>מאפשרות להקטין את הפגיעה באינטרס הציבורי בלי למנוע את זכות הטיעון</w:t>
      </w:r>
      <w:r w:rsidRPr="00436369">
        <w:rPr>
          <w:rFonts w:ascii="Times New Roman" w:hAnsi="Times New Roman" w:cs="Times New Roman" w:hint="cs"/>
          <w:highlight w:val="yellow"/>
          <w:rtl/>
        </w:rPr>
        <w:t>?</w:t>
      </w:r>
      <w:r>
        <w:rPr>
          <w:rFonts w:ascii="Times New Roman" w:hAnsi="Times New Roman" w:cs="Times New Roman" w:hint="cs"/>
          <w:rtl/>
        </w:rPr>
        <w:t xml:space="preserve"> דוגמא?</w:t>
      </w:r>
      <w:r w:rsidRPr="00456380">
        <w:rPr>
          <w:rFonts w:ascii="Times New Roman" w:hAnsi="Times New Roman" w:cs="Times New Roman"/>
          <w:rtl/>
        </w:rPr>
        <w:t xml:space="preserve"> </w:t>
      </w:r>
    </w:p>
    <w:p w:rsidR="0025709E" w:rsidRDefault="0025709E" w:rsidP="0025709E">
      <w:pPr>
        <w:rPr>
          <w:highlight w:val="yellow"/>
          <w:rtl/>
        </w:rPr>
      </w:pPr>
      <w:r>
        <w:rPr>
          <w:rFonts w:hint="cs"/>
          <w:sz w:val="22"/>
          <w:szCs w:val="22"/>
          <w:rtl/>
        </w:rPr>
        <w:t>=-=</w:t>
      </w:r>
    </w:p>
    <w:p w:rsidR="0025709E" w:rsidRPr="00456380" w:rsidRDefault="0025709E" w:rsidP="0025709E">
      <w:pPr>
        <w:rPr>
          <w:highlight w:val="yellow"/>
          <w:rtl/>
        </w:rPr>
      </w:pPr>
    </w:p>
    <w:p w:rsidR="0025709E" w:rsidRPr="0080693F" w:rsidRDefault="0025709E" w:rsidP="0025709E">
      <w:pPr>
        <w:jc w:val="center"/>
        <w:rPr>
          <w:rFonts w:ascii="Arial" w:hAnsi="Arial" w:cs="Guttman-Soncino"/>
          <w:b/>
          <w:bCs/>
          <w:sz w:val="36"/>
          <w:szCs w:val="36"/>
          <w:highlight w:val="yellow"/>
          <w:rtl/>
        </w:rPr>
      </w:pPr>
      <w:r w:rsidRPr="0080693F">
        <w:rPr>
          <w:rFonts w:ascii="Arial" w:hAnsi="Arial" w:cs="Guttman-Soncino"/>
          <w:b/>
          <w:bCs/>
          <w:sz w:val="36"/>
          <w:szCs w:val="36"/>
          <w:highlight w:val="yellow"/>
          <w:rtl/>
        </w:rPr>
        <w:t xml:space="preserve">כללי הצדק הטבעי – ב' </w:t>
      </w:r>
    </w:p>
    <w:p w:rsidR="0025709E" w:rsidRPr="0080693F" w:rsidRDefault="0025709E" w:rsidP="0025709E">
      <w:pPr>
        <w:jc w:val="center"/>
        <w:rPr>
          <w:rFonts w:ascii="Arial" w:hAnsi="Arial" w:cs="Guttman-Soncino"/>
          <w:b/>
          <w:bCs/>
          <w:sz w:val="36"/>
          <w:szCs w:val="36"/>
          <w:rtl/>
        </w:rPr>
      </w:pPr>
      <w:r w:rsidRPr="0080693F">
        <w:rPr>
          <w:rFonts w:ascii="Arial" w:hAnsi="Arial" w:cs="Guttman-Soncino"/>
          <w:b/>
          <w:bCs/>
          <w:sz w:val="36"/>
          <w:szCs w:val="36"/>
          <w:highlight w:val="yellow"/>
          <w:u w:val="single"/>
          <w:rtl/>
        </w:rPr>
        <w:t>משוא פנים וניגוד עניינים</w:t>
      </w:r>
    </w:p>
    <w:p w:rsidR="0025709E" w:rsidRPr="001F1CCB" w:rsidRDefault="0025709E" w:rsidP="0025709E">
      <w:pPr>
        <w:tabs>
          <w:tab w:val="left" w:pos="423"/>
        </w:tabs>
        <w:rPr>
          <w:rFonts w:cs="FrankRuehl"/>
          <w:sz w:val="22"/>
          <w:szCs w:val="22"/>
          <w:rtl/>
        </w:rPr>
      </w:pPr>
    </w:p>
    <w:p w:rsidR="0025709E" w:rsidRPr="00404A1D" w:rsidRDefault="0025709E" w:rsidP="0025709E">
      <w:pPr>
        <w:tabs>
          <w:tab w:val="left" w:pos="423"/>
        </w:tabs>
        <w:jc w:val="left"/>
        <w:rPr>
          <w:rFonts w:ascii="Arial" w:hAnsi="Arial" w:cs="Arial"/>
          <w:b/>
          <w:bCs/>
          <w:sz w:val="36"/>
          <w:szCs w:val="36"/>
          <w:highlight w:val="yellow"/>
          <w:rtl/>
        </w:rPr>
      </w:pPr>
      <w:r w:rsidRPr="00404A1D">
        <w:rPr>
          <w:rFonts w:ascii="Arial" w:hAnsi="Arial" w:cs="Arial"/>
          <w:b/>
          <w:bCs/>
          <w:sz w:val="36"/>
          <w:szCs w:val="36"/>
          <w:highlight w:val="yellow"/>
          <w:rtl/>
        </w:rPr>
        <w:t xml:space="preserve">הכלל בדבר איסור </w:t>
      </w:r>
      <w:r>
        <w:rPr>
          <w:rFonts w:ascii="Arial" w:hAnsi="Arial" w:cs="Arial" w:hint="cs"/>
          <w:b/>
          <w:bCs/>
          <w:sz w:val="36"/>
          <w:szCs w:val="36"/>
          <w:highlight w:val="yellow"/>
          <w:rtl/>
        </w:rPr>
        <w:t>"</w:t>
      </w:r>
      <w:r w:rsidRPr="00404A1D">
        <w:rPr>
          <w:rFonts w:ascii="Arial" w:hAnsi="Arial" w:cs="Arial"/>
          <w:b/>
          <w:bCs/>
          <w:sz w:val="36"/>
          <w:szCs w:val="36"/>
          <w:highlight w:val="yellow"/>
          <w:rtl/>
        </w:rPr>
        <w:t>משוא פנים</w:t>
      </w:r>
      <w:r>
        <w:rPr>
          <w:rFonts w:ascii="Arial" w:hAnsi="Arial" w:cs="Arial" w:hint="cs"/>
          <w:b/>
          <w:bCs/>
          <w:sz w:val="36"/>
          <w:szCs w:val="36"/>
          <w:highlight w:val="yellow"/>
          <w:rtl/>
        </w:rPr>
        <w:t>"</w:t>
      </w:r>
    </w:p>
    <w:p w:rsidR="0025709E" w:rsidRPr="00FB4E80" w:rsidRDefault="0025709E" w:rsidP="0025709E">
      <w:pPr>
        <w:tabs>
          <w:tab w:val="left" w:pos="423"/>
        </w:tabs>
        <w:jc w:val="left"/>
        <w:rPr>
          <w:rFonts w:ascii="Arial" w:hAnsi="Arial" w:cs="Arial"/>
          <w:b/>
          <w:bCs/>
          <w:highlight w:val="yellow"/>
          <w:rtl/>
        </w:rPr>
      </w:pPr>
    </w:p>
    <w:p w:rsidR="0025709E" w:rsidRPr="006432F1" w:rsidRDefault="0025709E" w:rsidP="0025709E">
      <w:pPr>
        <w:pStyle w:val="T-body"/>
        <w:spacing w:after="120" w:line="240" w:lineRule="auto"/>
        <w:ind w:left="720"/>
        <w:jc w:val="left"/>
        <w:rPr>
          <w:rtl/>
        </w:rPr>
      </w:pPr>
      <w:r w:rsidRPr="006432F1">
        <w:rPr>
          <w:highlight w:val="yellow"/>
          <w:rtl/>
        </w:rPr>
        <w:t xml:space="preserve">בג"צ 1356/96 </w:t>
      </w:r>
      <w:r w:rsidRPr="006432F1">
        <w:rPr>
          <w:b/>
          <w:bCs/>
          <w:highlight w:val="yellow"/>
          <w:rtl/>
        </w:rPr>
        <w:t>בן דוד נ' ראש ממשלת ישראל</w:t>
      </w:r>
      <w:r w:rsidRPr="006432F1">
        <w:rPr>
          <w:highlight w:val="yellow"/>
          <w:rtl/>
        </w:rPr>
        <w:t xml:space="preserve">, פ"ד נ(1) 661 </w:t>
      </w:r>
      <w:r w:rsidRPr="006432F1">
        <w:rPr>
          <w:rtl/>
        </w:rPr>
        <w:t>(1996)</w:t>
      </w:r>
    </w:p>
    <w:p w:rsidR="0025709E" w:rsidRPr="006A2967" w:rsidRDefault="0025709E" w:rsidP="0025709E">
      <w:pPr>
        <w:tabs>
          <w:tab w:val="left" w:pos="423"/>
        </w:tabs>
        <w:spacing w:after="60"/>
        <w:rPr>
          <w:rFonts w:cs="FrankRuehl"/>
          <w:sz w:val="22"/>
          <w:szCs w:val="22"/>
          <w:rtl/>
        </w:rPr>
      </w:pPr>
      <w:r w:rsidRPr="006A2967">
        <w:rPr>
          <w:rFonts w:cs="FrankRuehl"/>
          <w:sz w:val="22"/>
          <w:szCs w:val="22"/>
        </w:rPr>
        <w:t>.1</w:t>
      </w:r>
      <w:r w:rsidRPr="006A2967">
        <w:rPr>
          <w:rFonts w:cs="FrankRuehl"/>
          <w:sz w:val="22"/>
          <w:szCs w:val="22"/>
          <w:rtl/>
        </w:rPr>
        <w:t xml:space="preserve">בעיתון "מעריב" פורסמה (ביום </w:t>
      </w:r>
      <w:r w:rsidRPr="006A2967">
        <w:rPr>
          <w:rFonts w:cs="FrankRuehl"/>
          <w:sz w:val="22"/>
          <w:szCs w:val="22"/>
        </w:rPr>
        <w:t>24.1.96</w:t>
      </w:r>
      <w:r w:rsidRPr="006A2967">
        <w:rPr>
          <w:rFonts w:cs="FrankRuehl"/>
          <w:sz w:val="22"/>
          <w:szCs w:val="22"/>
          <w:rtl/>
        </w:rPr>
        <w:t>) כתבה בדבר</w:t>
      </w:r>
      <w:r w:rsidRPr="006A2967">
        <w:rPr>
          <w:rFonts w:cs="FrankRuehl"/>
          <w:sz w:val="22"/>
          <w:szCs w:val="22"/>
        </w:rPr>
        <w:t xml:space="preserve"> </w:t>
      </w:r>
      <w:r w:rsidRPr="006A2967">
        <w:rPr>
          <w:rFonts w:cs="FrankRuehl"/>
          <w:sz w:val="22"/>
          <w:szCs w:val="22"/>
          <w:rtl/>
        </w:rPr>
        <w:t>אי-שימוש בתרומות דם שתרמו למגן-דויד-אדום עולים מאתיופיה. פירסום הכתבה גרר תגובה ציבורית חריפה. בשיאה נערכה הפגנה אלימה של בני הקהילה האתיופית מול משרד ראש הממשלה. בהפגנה זו נפצעו מפגינים ושוטרים. נגרם נזק לרכוש. בעקבות</w:t>
      </w:r>
      <w:r w:rsidRPr="006A2967">
        <w:rPr>
          <w:rFonts w:cs="FrankRuehl"/>
          <w:sz w:val="22"/>
          <w:szCs w:val="22"/>
        </w:rPr>
        <w:t xml:space="preserve"> </w:t>
      </w:r>
      <w:r w:rsidRPr="006A2967">
        <w:rPr>
          <w:rFonts w:cs="FrankRuehl"/>
          <w:sz w:val="22"/>
          <w:szCs w:val="22"/>
          <w:rtl/>
        </w:rPr>
        <w:t xml:space="preserve">הסערה הציבורית החליט ראש הממשלה, בו ביום, למנות ועדה ציבורית לבירור הנושא. בכתב המינוי (שנחתם ביום </w:t>
      </w:r>
      <w:r w:rsidRPr="006A2967">
        <w:rPr>
          <w:rFonts w:cs="FrankRuehl"/>
          <w:sz w:val="22"/>
          <w:szCs w:val="22"/>
        </w:rPr>
        <w:t>12.2.96</w:t>
      </w:r>
      <w:r w:rsidRPr="006A2967">
        <w:rPr>
          <w:rFonts w:cs="FrankRuehl"/>
          <w:sz w:val="22"/>
          <w:szCs w:val="22"/>
          <w:rtl/>
        </w:rPr>
        <w:t xml:space="preserve">) נקבע כי הוועדה מונתה כוועדת בירור, על-פי סעיף </w:t>
      </w:r>
      <w:r w:rsidRPr="006A2967">
        <w:rPr>
          <w:rFonts w:cs="FrankRuehl"/>
          <w:sz w:val="22"/>
          <w:szCs w:val="22"/>
        </w:rPr>
        <w:t>28</w:t>
      </w:r>
      <w:r w:rsidRPr="006A2967">
        <w:rPr>
          <w:rFonts w:cs="FrankRuehl"/>
          <w:sz w:val="22"/>
          <w:szCs w:val="22"/>
          <w:rtl/>
        </w:rPr>
        <w:t>(א) לחוק ועדות חקירה, תשכ"ט-</w:t>
      </w:r>
      <w:r w:rsidRPr="006A2967">
        <w:rPr>
          <w:rFonts w:cs="FrankRuehl"/>
          <w:sz w:val="22"/>
          <w:szCs w:val="22"/>
        </w:rPr>
        <w:t xml:space="preserve"> .1968</w:t>
      </w:r>
      <w:r w:rsidRPr="006A2967">
        <w:rPr>
          <w:rFonts w:cs="FrankRuehl"/>
          <w:sz w:val="22"/>
          <w:szCs w:val="22"/>
          <w:rtl/>
        </w:rPr>
        <w:t>על הוועדה הוטל לבדוק "את פרשת תרומות הדם של עולי אתיופיה על היבטיה השונים, כולל השלכותיה החברתיות והציבוריות". כן נקבע בכתב המינוי כי "הוועדה תהיה רשאית להתמקד בהיבטים מסויימים כפי שתמצא לנכון לאור טענות ועובדות שיובאו בפניה".</w:t>
      </w:r>
      <w:r>
        <w:rPr>
          <w:rFonts w:cs="FrankRuehl" w:hint="cs"/>
          <w:sz w:val="22"/>
          <w:szCs w:val="22"/>
          <w:rtl/>
        </w:rPr>
        <w:t xml:space="preserve"> ...</w:t>
      </w:r>
    </w:p>
    <w:p w:rsidR="0025709E" w:rsidRPr="006A2967" w:rsidRDefault="0025709E" w:rsidP="0025709E">
      <w:pPr>
        <w:tabs>
          <w:tab w:val="left" w:pos="423"/>
        </w:tabs>
        <w:spacing w:after="60"/>
        <w:rPr>
          <w:rFonts w:cs="FrankRuehl"/>
          <w:sz w:val="22"/>
          <w:szCs w:val="22"/>
          <w:rtl/>
        </w:rPr>
      </w:pPr>
      <w:r w:rsidRPr="006A2967">
        <w:rPr>
          <w:rFonts w:cs="FrankRuehl"/>
          <w:sz w:val="22"/>
          <w:szCs w:val="22"/>
        </w:rPr>
        <w:t>.2</w:t>
      </w:r>
      <w:r w:rsidRPr="006A2967">
        <w:rPr>
          <w:rFonts w:cs="FrankRuehl"/>
          <w:sz w:val="22"/>
          <w:szCs w:val="22"/>
          <w:rtl/>
        </w:rPr>
        <w:t>העותר (ד"ר אמנון בן דוד) הוא מנהל אגף שירותי הדם במגן-דויד-אדום</w:t>
      </w:r>
      <w:r w:rsidRPr="006A2967">
        <w:rPr>
          <w:rFonts w:cs="FrankRuehl"/>
          <w:sz w:val="22"/>
          <w:szCs w:val="22"/>
        </w:rPr>
        <w:t>.</w:t>
      </w:r>
    </w:p>
    <w:p w:rsidR="0025709E" w:rsidRPr="001F1CCB" w:rsidRDefault="0025709E" w:rsidP="0025709E">
      <w:pPr>
        <w:tabs>
          <w:tab w:val="left" w:pos="423"/>
        </w:tabs>
        <w:spacing w:after="60"/>
        <w:rPr>
          <w:rFonts w:cs="FrankRuehl"/>
          <w:sz w:val="22"/>
          <w:szCs w:val="22"/>
          <w:rtl/>
        </w:rPr>
      </w:pPr>
      <w:r w:rsidRPr="001F1CCB">
        <w:rPr>
          <w:rFonts w:cs="FrankRuehl" w:hint="cs"/>
          <w:sz w:val="22"/>
          <w:szCs w:val="22"/>
          <w:rtl/>
        </w:rPr>
        <w:t xml:space="preserve">4. [...] </w:t>
      </w:r>
      <w:r w:rsidRPr="001F1CCB">
        <w:rPr>
          <w:rFonts w:cs="FrankRuehl"/>
          <w:sz w:val="22"/>
          <w:szCs w:val="22"/>
          <w:rtl/>
        </w:rPr>
        <w:t xml:space="preserve">עוד בטרם החלה הוועדה בפעולותיה התראיין מר אדיסו מסאלה (ביום 14.2.96) </w:t>
      </w:r>
      <w:r>
        <w:rPr>
          <w:rFonts w:cs="FrankRuehl" w:hint="cs"/>
          <w:sz w:val="22"/>
          <w:szCs w:val="22"/>
          <w:rtl/>
        </w:rPr>
        <w:t xml:space="preserve">[חבר הוועדה] </w:t>
      </w:r>
      <w:r w:rsidRPr="001F1CCB">
        <w:rPr>
          <w:rFonts w:cs="FrankRuehl"/>
          <w:sz w:val="22"/>
          <w:szCs w:val="22"/>
          <w:rtl/>
        </w:rPr>
        <w:t>בעיתון "מעריב". נאמר בכתבה - ודברים אלה אושרו בפנינו - כי מר מסאלה אמר כי "העדה האתיופית מצפה לכך שהוועדה תוציא מסקנות אישיות נגד מנהל בנק הדם, ד"ר אמנון בן-דוד, האחראי לדבריו למדיניות השקרים של בנק הדם, ולמדיניות השלכת תרומות הדם של בני העדה לפח". כן נמסר מפיו של מר אדיסו מסאלה כי "בפחות מזה לא נסתפק. אני והעדה כולה מצפים שהוועדה תמצה את הדין עם האחראי לפרשה שגרמה לעדה ולשמה הטוב נזק בלתי הפיך. לא אתן למרוח ולא אסכים שמסקנות הוועדה לא יכללו, גם המלצות אישיות. מי שהיה אחראי להחלטה האומללה הזו, אסור לו שימשיך ויכהן בתפקיד ציבורי כלשהו".</w:t>
      </w:r>
    </w:p>
    <w:p w:rsidR="0025709E" w:rsidRPr="001F1CCB" w:rsidRDefault="0025709E" w:rsidP="0025709E">
      <w:pPr>
        <w:tabs>
          <w:tab w:val="left" w:pos="423"/>
        </w:tabs>
        <w:spacing w:after="60"/>
        <w:rPr>
          <w:rFonts w:cs="FrankRuehl"/>
          <w:sz w:val="22"/>
          <w:szCs w:val="22"/>
          <w:rtl/>
        </w:rPr>
      </w:pPr>
      <w:r w:rsidRPr="001F1CCB">
        <w:rPr>
          <w:rFonts w:cs="FrankRuehl" w:hint="cs"/>
          <w:sz w:val="22"/>
          <w:szCs w:val="22"/>
          <w:rtl/>
        </w:rPr>
        <w:t xml:space="preserve">7. הוועדה אשר מונתה על ידי ראש הממשלה, נועדה לבדוק "את פרשת תרומות הדם של עולי אתיופיה על היבטיה השונים". נקבע כי הוועדה רשאית "להתמקד בהיבטים מסוימים כפי שתמצא לנכון לאור טענות ועובדות שיובאו בפניה". </w:t>
      </w:r>
      <w:r w:rsidRPr="001F1CCB">
        <w:rPr>
          <w:rFonts w:cs="FrankRuehl" w:hint="cs"/>
          <w:b/>
          <w:bCs/>
          <w:sz w:val="22"/>
          <w:szCs w:val="22"/>
          <w:rtl/>
        </w:rPr>
        <w:t xml:space="preserve">יש להניח כי הוועדה תדון, בין שאר ההיבטים של עניין תרומות הדם של עולי אתיופיה, לא רק בשאלות החברתיות והציבוריות אלא גם בתפקודו של העותר, תוך שהיא תוכל ליתן המלצות בעניינו. נמצא, כי עניינו של העותר מונח בכפה של הוועדה. </w:t>
      </w:r>
      <w:r w:rsidRPr="001F1CCB">
        <w:rPr>
          <w:rFonts w:cs="FrankRuehl" w:hint="cs"/>
          <w:sz w:val="22"/>
          <w:szCs w:val="22"/>
          <w:rtl/>
        </w:rPr>
        <w:t>בנסיבות אלה, מוסכם הוא על הכל - וגם מר בלס לא טען בפנינו אחרת - כי הכלל הבסיסי האוסר על משוא פנים חל באשר לחברותו של מר אדיסו מסאלה בועדה. [...]</w:t>
      </w:r>
    </w:p>
    <w:p w:rsidR="0025709E" w:rsidRDefault="0025709E" w:rsidP="0025709E">
      <w:pPr>
        <w:tabs>
          <w:tab w:val="left" w:pos="423"/>
        </w:tabs>
        <w:rPr>
          <w:rFonts w:cs="FrankRuehl"/>
          <w:sz w:val="22"/>
          <w:szCs w:val="22"/>
          <w:rtl/>
        </w:rPr>
      </w:pPr>
      <w:r w:rsidRPr="001F1CCB">
        <w:rPr>
          <w:rFonts w:cs="FrankRuehl" w:hint="cs"/>
          <w:sz w:val="22"/>
          <w:szCs w:val="22"/>
          <w:rtl/>
        </w:rPr>
        <w:t>8. […]</w:t>
      </w:r>
      <w:r>
        <w:rPr>
          <w:rFonts w:cs="FrankRuehl" w:hint="cs"/>
          <w:sz w:val="22"/>
          <w:szCs w:val="22"/>
          <w:rtl/>
        </w:rPr>
        <w:t xml:space="preserve"> </w:t>
      </w:r>
      <w:r w:rsidRPr="006432F1">
        <w:rPr>
          <w:rFonts w:cs="FrankRuehl" w:hint="cs"/>
          <w:sz w:val="22"/>
          <w:szCs w:val="22"/>
          <w:highlight w:val="yellow"/>
          <w:rtl/>
        </w:rPr>
        <w:t>ודוק: הכלל אינו אוסר על חברות בועדה של אדם, שעם מינויו יש לו דעות משלו בעניין נשוא הוועדה. לעיתים קרובות מתמנים לועדה מומחים, אשר להם דעות מקצועיות בעניינים נשוא דיוני הוועדה. האיסור על חברות בועדה חל מקום שיש לו לחבר הוועדה דעה קדומה, שאין סיכוי סביר כי תשתנה במהלך דיוני הוועדה. פסילתו של חבר ועדה מלכהן בה בא מקום שדעתו של החבר "נעולה", ואין הוא "פתוח" לשכנוע ולשינוי.</w:t>
      </w:r>
      <w:r w:rsidRPr="001F1CCB">
        <w:rPr>
          <w:rFonts w:cs="FrankRuehl" w:hint="cs"/>
          <w:sz w:val="22"/>
          <w:szCs w:val="22"/>
          <w:rtl/>
        </w:rPr>
        <w:t xml:space="preserve"> ביסוד גישה זו מונח האינטרס (הפרטי) של מי שעלול להיפגע מהמלצות הוועדה, הזכאי לכך כי ההמלצה בעניינו תעשה על יסוד מכלול החומר המצוי בפני הוועדה, ולא על יסוד דעותיו הקדומות של חבר הוועדה. ביסוד גישה זו מונח גם האינטרס (הציבורי) של אמון הציבור בפעילות הוועדה, בתקינותה ובאובייקטיביות שלה. זהו אמון הציבור כי המלצות הוועדה "נובעות מבירור ענייני והוגן ומשקפות את האמת, ללא משוא פנים או דעה קדומה".</w:t>
      </w:r>
    </w:p>
    <w:p w:rsidR="0025709E" w:rsidRDefault="0025709E" w:rsidP="0025709E">
      <w:pPr>
        <w:tabs>
          <w:tab w:val="left" w:pos="423"/>
        </w:tabs>
        <w:rPr>
          <w:rFonts w:cs="FrankRuehl"/>
          <w:sz w:val="22"/>
          <w:szCs w:val="22"/>
          <w:rtl/>
        </w:rPr>
      </w:pPr>
    </w:p>
    <w:p w:rsidR="0025709E" w:rsidRDefault="0025709E" w:rsidP="0025709E">
      <w:pPr>
        <w:tabs>
          <w:tab w:val="left" w:pos="423"/>
        </w:tabs>
        <w:rPr>
          <w:rFonts w:ascii="Arial" w:hAnsi="Arial" w:cs="Arial"/>
          <w:sz w:val="18"/>
          <w:szCs w:val="18"/>
          <w:rtl/>
        </w:rPr>
      </w:pPr>
      <w:r>
        <w:rPr>
          <w:rFonts w:ascii="Arial" w:hAnsi="Arial" w:cs="Arial" w:hint="cs"/>
          <w:sz w:val="18"/>
          <w:szCs w:val="18"/>
          <w:rtl/>
        </w:rPr>
        <w:t>מהם הטעמים המצטברים שבשלהם נפסלת חברותו של מר מסאלה בוועדת הבירור?</w:t>
      </w:r>
    </w:p>
    <w:p w:rsidR="0025709E" w:rsidRPr="0093290B" w:rsidRDefault="0025709E" w:rsidP="0025709E">
      <w:pPr>
        <w:tabs>
          <w:tab w:val="left" w:pos="423"/>
        </w:tabs>
        <w:rPr>
          <w:rFonts w:ascii="Arial" w:hAnsi="Arial" w:cs="Arial"/>
          <w:sz w:val="18"/>
          <w:szCs w:val="18"/>
          <w:rtl/>
        </w:rPr>
      </w:pPr>
    </w:p>
    <w:p w:rsidR="0025709E" w:rsidRDefault="0025709E" w:rsidP="0025709E">
      <w:pPr>
        <w:pStyle w:val="a7"/>
        <w:spacing w:after="0" w:line="240" w:lineRule="auto"/>
        <w:ind w:left="0" w:right="0"/>
        <w:rPr>
          <w:sz w:val="22"/>
          <w:szCs w:val="22"/>
          <w:rtl/>
        </w:rPr>
      </w:pPr>
      <w:r>
        <w:rPr>
          <w:rFonts w:hint="cs"/>
          <w:sz w:val="22"/>
          <w:szCs w:val="22"/>
          <w:rtl/>
        </w:rPr>
        <w:t>=-=</w:t>
      </w:r>
    </w:p>
    <w:p w:rsidR="0025709E" w:rsidRPr="00A27D6D" w:rsidRDefault="0025709E" w:rsidP="0025709E">
      <w:pPr>
        <w:pStyle w:val="a7"/>
        <w:spacing w:after="0" w:line="240" w:lineRule="auto"/>
        <w:ind w:left="0" w:right="0"/>
        <w:rPr>
          <w:rFonts w:cs="Times New Roman"/>
          <w:b/>
          <w:bCs/>
          <w:szCs w:val="20"/>
          <w:rtl/>
        </w:rPr>
      </w:pPr>
      <w:r>
        <w:rPr>
          <w:rFonts w:cs="Times New Roman"/>
          <w:szCs w:val="20"/>
          <w:rtl/>
        </w:rPr>
        <w:t>להלן</w:t>
      </w:r>
      <w:r>
        <w:rPr>
          <w:rFonts w:cs="Times New Roman" w:hint="cs"/>
          <w:szCs w:val="20"/>
          <w:rtl/>
        </w:rPr>
        <w:t>, שוב, קטעים מ</w:t>
      </w:r>
      <w:r w:rsidRPr="003F1415">
        <w:rPr>
          <w:rFonts w:cs="Times New Roman"/>
          <w:szCs w:val="20"/>
          <w:rtl/>
        </w:rPr>
        <w:t xml:space="preserve">פסק דין </w:t>
      </w:r>
      <w:r>
        <w:rPr>
          <w:rFonts w:cs="Times New Roman" w:hint="cs"/>
          <w:szCs w:val="20"/>
          <w:rtl/>
        </w:rPr>
        <w:t xml:space="preserve">מעניין שמופיע בסילבוס אך כקריאת רשות. הוא עוסק בחובות </w:t>
      </w:r>
      <w:r w:rsidRPr="003F1415">
        <w:rPr>
          <w:rFonts w:cs="Times New Roman"/>
          <w:szCs w:val="20"/>
          <w:rtl/>
        </w:rPr>
        <w:t xml:space="preserve">של </w:t>
      </w:r>
      <w:r>
        <w:rPr>
          <w:rFonts w:cs="Times New Roman" w:hint="cs"/>
          <w:szCs w:val="20"/>
          <w:rtl/>
        </w:rPr>
        <w:t>"</w:t>
      </w:r>
      <w:r w:rsidRPr="003F1415">
        <w:rPr>
          <w:rFonts w:cs="Times New Roman"/>
          <w:szCs w:val="20"/>
          <w:rtl/>
        </w:rPr>
        <w:t>שקיפות</w:t>
      </w:r>
      <w:r>
        <w:rPr>
          <w:rFonts w:cs="Times New Roman" w:hint="cs"/>
          <w:szCs w:val="20"/>
          <w:rtl/>
        </w:rPr>
        <w:t>" של הרשות המינהלית. [</w:t>
      </w:r>
      <w:r w:rsidRPr="003F1415">
        <w:rPr>
          <w:rFonts w:cs="Times New Roman"/>
          <w:szCs w:val="20"/>
          <w:rtl/>
        </w:rPr>
        <w:t>בלשונו של השופט חשין: "</w:t>
      </w:r>
      <w:r w:rsidRPr="003F1415">
        <w:rPr>
          <w:rFonts w:cs="Times New Roman"/>
          <w:b/>
          <w:bCs/>
          <w:szCs w:val="20"/>
          <w:rtl/>
        </w:rPr>
        <w:t>שקיפות: דיווח, תיעוד, גילוי"</w:t>
      </w:r>
      <w:r w:rsidRPr="00A27D6D">
        <w:rPr>
          <w:rFonts w:cs="Times New Roman" w:hint="cs"/>
          <w:b/>
          <w:bCs/>
          <w:szCs w:val="20"/>
          <w:rtl/>
        </w:rPr>
        <w:t>]</w:t>
      </w:r>
      <w:r w:rsidRPr="00A27D6D">
        <w:rPr>
          <w:rFonts w:cs="Times New Roman"/>
          <w:b/>
          <w:bCs/>
          <w:szCs w:val="20"/>
          <w:rtl/>
        </w:rPr>
        <w:t>.</w:t>
      </w:r>
      <w:r>
        <w:rPr>
          <w:rFonts w:cs="Times New Roman" w:hint="cs"/>
          <w:b/>
          <w:bCs/>
          <w:szCs w:val="20"/>
          <w:rtl/>
        </w:rPr>
        <w:t xml:space="preserve"> </w:t>
      </w:r>
      <w:r>
        <w:rPr>
          <w:rFonts w:cs="Times New Roman" w:hint="cs"/>
          <w:szCs w:val="20"/>
          <w:rtl/>
        </w:rPr>
        <w:t xml:space="preserve">והוא עוסק </w:t>
      </w:r>
      <w:r w:rsidRPr="00A27D6D">
        <w:rPr>
          <w:rFonts w:cs="Times New Roman" w:hint="cs"/>
          <w:b/>
          <w:bCs/>
          <w:szCs w:val="20"/>
          <w:rtl/>
        </w:rPr>
        <w:t>בקשר שבין חובות השקיפות לבין היכולת לשמור (לבקר שמירה) על כללי הצדק הטבעי.</w:t>
      </w:r>
    </w:p>
    <w:p w:rsidR="0025709E" w:rsidRPr="003F1415" w:rsidRDefault="0025709E" w:rsidP="0025709E">
      <w:pPr>
        <w:pStyle w:val="a7"/>
        <w:spacing w:after="0" w:line="240" w:lineRule="auto"/>
        <w:ind w:left="0" w:right="0"/>
        <w:rPr>
          <w:rFonts w:cs="Times New Roman"/>
          <w:szCs w:val="20"/>
          <w:rtl/>
        </w:rPr>
      </w:pPr>
    </w:p>
    <w:p w:rsidR="0025709E" w:rsidRPr="006432F1" w:rsidRDefault="0025709E" w:rsidP="0025709E">
      <w:pPr>
        <w:spacing w:after="120"/>
        <w:ind w:left="720"/>
        <w:jc w:val="left"/>
        <w:rPr>
          <w:rtl/>
        </w:rPr>
      </w:pPr>
      <w:r w:rsidRPr="006432F1">
        <w:rPr>
          <w:highlight w:val="yellow"/>
          <w:rtl/>
        </w:rPr>
        <w:t xml:space="preserve">בג"ץ 3751/03 </w:t>
      </w:r>
      <w:r w:rsidRPr="006432F1">
        <w:rPr>
          <w:b/>
          <w:bCs/>
          <w:highlight w:val="yellow"/>
          <w:rtl/>
        </w:rPr>
        <w:t>יוסי אילן נ' עיריית תל-אביב-יפו</w:t>
      </w:r>
      <w:r w:rsidRPr="006432F1">
        <w:rPr>
          <w:highlight w:val="yellow"/>
          <w:rtl/>
        </w:rPr>
        <w:t>, פ"ד נט(3) 817 (2004)</w:t>
      </w:r>
    </w:p>
    <w:p w:rsidR="0025709E" w:rsidRPr="0093290B" w:rsidRDefault="0025709E" w:rsidP="0025709E">
      <w:pPr>
        <w:spacing w:after="60"/>
        <w:rPr>
          <w:rFonts w:ascii="Arial" w:hAnsi="Arial" w:cs="Arial"/>
          <w:sz w:val="18"/>
          <w:szCs w:val="18"/>
          <w:rtl/>
        </w:rPr>
      </w:pPr>
      <w:r w:rsidRPr="0093290B">
        <w:rPr>
          <w:rFonts w:ascii="Arial" w:hAnsi="Arial" w:cs="Arial"/>
          <w:sz w:val="18"/>
          <w:szCs w:val="18"/>
          <w:rtl/>
        </w:rPr>
        <w:t xml:space="preserve">[העותר היה מועמד במכרז פנימי שערכה המשיבה 1 למשרת מנהל תחנת הצלה. </w:t>
      </w:r>
      <w:r w:rsidRPr="0093290B">
        <w:rPr>
          <w:rFonts w:ascii="Arial" w:hAnsi="Arial" w:cs="Arial"/>
          <w:sz w:val="18"/>
          <w:szCs w:val="18"/>
          <w:highlight w:val="yellow"/>
          <w:rtl/>
        </w:rPr>
        <w:t>לטענת העותר, נציג ועד העובדים נפגש טרם ישיבת ועדת המכרזים עם חלק מהמועמדים ועם נציגי ועד המצילים והחליט עוד לפני הישיבה לתמוך במועמדים המועדפים על ועד המצילים. העותר טוען עוד שנציג ועד העובדים לא דיווח לוועדת המכרזים על פגישות אלה ועל החלטתו המוקדמת.</w:t>
      </w:r>
      <w:r w:rsidRPr="0093290B">
        <w:rPr>
          <w:rFonts w:ascii="Arial" w:hAnsi="Arial" w:cs="Arial"/>
          <w:sz w:val="18"/>
          <w:szCs w:val="18"/>
          <w:rtl/>
        </w:rPr>
        <w:t xml:space="preserve"> לנוכח אלה העותר טוען שנפגם הליך המכרז ויש לבטלו. טענותיו נדחו על</w:t>
      </w:r>
      <w:r w:rsidRPr="0093290B">
        <w:rPr>
          <w:rFonts w:ascii="Arial" w:hAnsi="Arial" w:cs="Arial"/>
          <w:position w:val="3"/>
          <w:sz w:val="18"/>
          <w:szCs w:val="18"/>
          <w:rtl/>
        </w:rPr>
        <w:t>-</w:t>
      </w:r>
      <w:r w:rsidRPr="0093290B">
        <w:rPr>
          <w:rFonts w:ascii="Arial" w:hAnsi="Arial" w:cs="Arial"/>
          <w:sz w:val="18"/>
          <w:szCs w:val="18"/>
          <w:rtl/>
        </w:rPr>
        <w:t>ידי בית</w:t>
      </w:r>
      <w:r w:rsidRPr="0093290B">
        <w:rPr>
          <w:rFonts w:ascii="Arial" w:hAnsi="Arial" w:cs="Arial"/>
          <w:position w:val="3"/>
          <w:sz w:val="18"/>
          <w:szCs w:val="18"/>
          <w:rtl/>
        </w:rPr>
        <w:t>-</w:t>
      </w:r>
      <w:r w:rsidRPr="0093290B">
        <w:rPr>
          <w:rFonts w:ascii="Arial" w:hAnsi="Arial" w:cs="Arial"/>
          <w:sz w:val="18"/>
          <w:szCs w:val="18"/>
          <w:rtl/>
        </w:rPr>
        <w:t>הדין האזורי ועל</w:t>
      </w:r>
      <w:r w:rsidRPr="0093290B">
        <w:rPr>
          <w:rFonts w:ascii="Arial" w:hAnsi="Arial" w:cs="Arial"/>
          <w:position w:val="3"/>
          <w:sz w:val="18"/>
          <w:szCs w:val="18"/>
          <w:rtl/>
        </w:rPr>
        <w:t>-</w:t>
      </w:r>
      <w:r w:rsidRPr="0093290B">
        <w:rPr>
          <w:rFonts w:ascii="Arial" w:hAnsi="Arial" w:cs="Arial"/>
          <w:sz w:val="18"/>
          <w:szCs w:val="18"/>
          <w:rtl/>
        </w:rPr>
        <w:t>ידי בית</w:t>
      </w:r>
      <w:r w:rsidRPr="0093290B">
        <w:rPr>
          <w:rFonts w:ascii="Arial" w:hAnsi="Arial" w:cs="Arial"/>
          <w:position w:val="3"/>
          <w:sz w:val="18"/>
          <w:szCs w:val="18"/>
          <w:rtl/>
        </w:rPr>
        <w:t>-</w:t>
      </w:r>
      <w:r w:rsidRPr="0093290B">
        <w:rPr>
          <w:rFonts w:ascii="Arial" w:hAnsi="Arial" w:cs="Arial"/>
          <w:sz w:val="18"/>
          <w:szCs w:val="18"/>
          <w:rtl/>
        </w:rPr>
        <w:t>הדין הארצי לעבודה, ומכאן העתירה.]</w:t>
      </w:r>
    </w:p>
    <w:p w:rsidR="0025709E" w:rsidRDefault="0025709E" w:rsidP="0025709E">
      <w:pPr>
        <w:spacing w:after="120"/>
        <w:rPr>
          <w:rFonts w:ascii="Arial" w:hAnsi="Arial" w:cs="Arial"/>
          <w:sz w:val="18"/>
          <w:szCs w:val="18"/>
          <w:rtl/>
        </w:rPr>
      </w:pPr>
      <w:r w:rsidRPr="0093290B">
        <w:rPr>
          <w:rFonts w:ascii="Arial" w:hAnsi="Arial" w:cs="Arial"/>
          <w:sz w:val="18"/>
          <w:szCs w:val="18"/>
          <w:rtl/>
        </w:rPr>
        <w:t>[</w:t>
      </w:r>
      <w:r w:rsidRPr="00F630F1">
        <w:rPr>
          <w:rFonts w:ascii="Arial" w:hAnsi="Arial" w:cs="Arial"/>
          <w:sz w:val="18"/>
          <w:szCs w:val="18"/>
          <w:highlight w:val="yellow"/>
          <w:rtl/>
        </w:rPr>
        <w:t>הדרישות</w:t>
      </w:r>
      <w:r>
        <w:rPr>
          <w:rFonts w:ascii="Arial" w:hAnsi="Arial" w:cs="Arial" w:hint="cs"/>
          <w:sz w:val="18"/>
          <w:szCs w:val="18"/>
          <w:highlight w:val="yellow"/>
          <w:rtl/>
        </w:rPr>
        <w:t xml:space="preserve">/ החובות המופיעות כאן ביחס ל"שקיפות" הנדרשת מהרשות המינהלית, </w:t>
      </w:r>
      <w:r w:rsidRPr="00F630F1">
        <w:rPr>
          <w:rFonts w:ascii="Arial" w:hAnsi="Arial" w:cs="Arial"/>
          <w:sz w:val="18"/>
          <w:szCs w:val="18"/>
          <w:highlight w:val="yellow"/>
          <w:rtl/>
        </w:rPr>
        <w:t>נקשרות ל</w:t>
      </w:r>
      <w:r>
        <w:rPr>
          <w:rFonts w:ascii="Arial" w:hAnsi="Arial" w:cs="Arial" w:hint="cs"/>
          <w:sz w:val="18"/>
          <w:szCs w:val="18"/>
          <w:highlight w:val="yellow"/>
          <w:rtl/>
        </w:rPr>
        <w:t>חובה/ ל</w:t>
      </w:r>
      <w:r w:rsidRPr="00F630F1">
        <w:rPr>
          <w:rFonts w:ascii="Arial" w:hAnsi="Arial" w:cs="Arial"/>
          <w:sz w:val="18"/>
          <w:szCs w:val="18"/>
          <w:highlight w:val="yellow"/>
          <w:rtl/>
        </w:rPr>
        <w:t xml:space="preserve">כלל האוסר </w:t>
      </w:r>
      <w:r>
        <w:rPr>
          <w:rFonts w:ascii="Arial" w:hAnsi="Arial" w:cs="Arial" w:hint="cs"/>
          <w:sz w:val="18"/>
          <w:szCs w:val="18"/>
          <w:highlight w:val="yellow"/>
          <w:rtl/>
        </w:rPr>
        <w:t>"</w:t>
      </w:r>
      <w:r w:rsidRPr="00F630F1">
        <w:rPr>
          <w:rFonts w:ascii="Arial" w:hAnsi="Arial" w:cs="Arial"/>
          <w:sz w:val="18"/>
          <w:szCs w:val="18"/>
          <w:highlight w:val="yellow"/>
          <w:rtl/>
        </w:rPr>
        <w:t>משוא הפנים</w:t>
      </w:r>
      <w:r>
        <w:rPr>
          <w:rFonts w:ascii="Arial" w:hAnsi="Arial" w:cs="Arial" w:hint="cs"/>
          <w:sz w:val="18"/>
          <w:szCs w:val="18"/>
          <w:highlight w:val="yellow"/>
          <w:rtl/>
        </w:rPr>
        <w:t xml:space="preserve">". השקיפות משמשת </w:t>
      </w:r>
      <w:r w:rsidRPr="00F630F1">
        <w:rPr>
          <w:rFonts w:ascii="Arial" w:hAnsi="Arial" w:cs="Arial"/>
          <w:sz w:val="18"/>
          <w:szCs w:val="18"/>
          <w:highlight w:val="yellow"/>
          <w:rtl/>
        </w:rPr>
        <w:t>מנגנון</w:t>
      </w:r>
      <w:r w:rsidRPr="00F630F1">
        <w:rPr>
          <w:rFonts w:ascii="Arial" w:hAnsi="Arial" w:cs="Arial" w:hint="cs"/>
          <w:sz w:val="18"/>
          <w:szCs w:val="18"/>
          <w:highlight w:val="yellow"/>
          <w:rtl/>
        </w:rPr>
        <w:t>-</w:t>
      </w:r>
      <w:r w:rsidRPr="00F630F1">
        <w:rPr>
          <w:rFonts w:ascii="Arial" w:hAnsi="Arial" w:cs="Arial"/>
          <w:sz w:val="18"/>
          <w:szCs w:val="18"/>
          <w:highlight w:val="yellow"/>
          <w:rtl/>
        </w:rPr>
        <w:t>בקרה</w:t>
      </w:r>
      <w:r w:rsidRPr="00F630F1">
        <w:rPr>
          <w:rFonts w:ascii="Arial" w:hAnsi="Arial" w:cs="Arial" w:hint="cs"/>
          <w:sz w:val="18"/>
          <w:szCs w:val="18"/>
          <w:highlight w:val="yellow"/>
          <w:rtl/>
        </w:rPr>
        <w:t xml:space="preserve"> או </w:t>
      </w:r>
      <w:r>
        <w:rPr>
          <w:rFonts w:ascii="Arial" w:hAnsi="Arial" w:cs="Arial" w:hint="cs"/>
          <w:sz w:val="18"/>
          <w:szCs w:val="18"/>
          <w:highlight w:val="yellow"/>
          <w:rtl/>
        </w:rPr>
        <w:t xml:space="preserve">מספקת </w:t>
      </w:r>
      <w:r w:rsidRPr="00F630F1">
        <w:rPr>
          <w:rFonts w:ascii="Arial" w:hAnsi="Arial" w:cs="Arial"/>
          <w:sz w:val="18"/>
          <w:szCs w:val="18"/>
          <w:highlight w:val="yellow"/>
          <w:rtl/>
        </w:rPr>
        <w:t>כלים למיתון בעייה אפשרית של משוא פנים</w:t>
      </w:r>
      <w:r w:rsidRPr="0093290B">
        <w:rPr>
          <w:rFonts w:ascii="Arial" w:hAnsi="Arial" w:cs="Arial"/>
          <w:sz w:val="18"/>
          <w:szCs w:val="18"/>
          <w:rtl/>
        </w:rPr>
        <w:t>].</w:t>
      </w:r>
    </w:p>
    <w:p w:rsidR="0025709E" w:rsidRPr="00F146C9" w:rsidRDefault="0025709E" w:rsidP="0025709E">
      <w:pPr>
        <w:pStyle w:val="a6"/>
        <w:spacing w:after="60" w:line="240" w:lineRule="auto"/>
        <w:ind w:firstLine="288"/>
        <w:rPr>
          <w:sz w:val="24"/>
          <w:rtl/>
        </w:rPr>
      </w:pPr>
      <w:r w:rsidRPr="00F146C9">
        <w:rPr>
          <w:rFonts w:hint="cs"/>
          <w:sz w:val="24"/>
          <w:rtl/>
        </w:rPr>
        <w:t>עיקרי העובדות שלעניין</w:t>
      </w:r>
    </w:p>
    <w:p w:rsidR="0025709E" w:rsidRPr="00F146C9" w:rsidRDefault="0025709E" w:rsidP="0025709E">
      <w:pPr>
        <w:pStyle w:val="a6"/>
        <w:spacing w:after="60" w:line="240" w:lineRule="auto"/>
        <w:ind w:firstLine="288"/>
        <w:rPr>
          <w:sz w:val="24"/>
          <w:rtl/>
        </w:rPr>
      </w:pPr>
      <w:r w:rsidRPr="00F146C9">
        <w:rPr>
          <w:rFonts w:hint="cs"/>
          <w:sz w:val="24"/>
          <w:rtl/>
        </w:rPr>
        <w:t>2.</w:t>
      </w:r>
      <w:r w:rsidRPr="00F146C9">
        <w:rPr>
          <w:rFonts w:hint="cs"/>
          <w:sz w:val="24"/>
          <w:rtl/>
        </w:rPr>
        <w:tab/>
        <w:t>עיריית תל</w:t>
      </w:r>
      <w:r w:rsidRPr="00F146C9">
        <w:rPr>
          <w:rFonts w:hint="cs"/>
          <w:position w:val="4"/>
          <w:sz w:val="24"/>
          <w:rtl/>
        </w:rPr>
        <w:t>-</w:t>
      </w:r>
      <w:r w:rsidRPr="00F146C9">
        <w:rPr>
          <w:rFonts w:hint="cs"/>
          <w:sz w:val="24"/>
          <w:rtl/>
        </w:rPr>
        <w:t>אביב</w:t>
      </w:r>
      <w:r w:rsidRPr="00F146C9">
        <w:rPr>
          <w:rFonts w:hint="cs"/>
          <w:position w:val="4"/>
          <w:sz w:val="24"/>
          <w:rtl/>
        </w:rPr>
        <w:t>-</w:t>
      </w:r>
      <w:r w:rsidRPr="00F146C9">
        <w:rPr>
          <w:rFonts w:hint="cs"/>
          <w:sz w:val="24"/>
          <w:rtl/>
        </w:rPr>
        <w:t>יפו פרסמה מכרז פנימי לאיוש שתי משרות של מנהל תחנת הצלה בחוף העירייה. עובדים מספר הגישו מועמדותם למכרז, ובהם העותר והמשיבים 2 ו</w:t>
      </w:r>
      <w:r w:rsidRPr="00F146C9">
        <w:rPr>
          <w:rFonts w:hint="cs"/>
          <w:position w:val="4"/>
          <w:sz w:val="24"/>
          <w:rtl/>
        </w:rPr>
        <w:t>-</w:t>
      </w:r>
      <w:r w:rsidRPr="00F146C9">
        <w:rPr>
          <w:rFonts w:hint="cs"/>
          <w:sz w:val="24"/>
          <w:rtl/>
        </w:rPr>
        <w:t>3. ועדת המכרזים מנתה חמישה חברים ואלה הם: מר משה שץ, סמנכ"ל העירייה (יושב</w:t>
      </w:r>
      <w:r w:rsidRPr="00F146C9">
        <w:rPr>
          <w:rFonts w:hint="cs"/>
          <w:position w:val="4"/>
          <w:sz w:val="24"/>
          <w:rtl/>
        </w:rPr>
        <w:t>-</w:t>
      </w:r>
      <w:r w:rsidRPr="00F146C9">
        <w:rPr>
          <w:rFonts w:hint="cs"/>
          <w:sz w:val="24"/>
          <w:rtl/>
        </w:rPr>
        <w:t>ראש הוועדה); מר ישראל פרנקל, ממלא</w:t>
      </w:r>
      <w:r w:rsidRPr="00F146C9">
        <w:rPr>
          <w:rFonts w:hint="cs"/>
          <w:position w:val="4"/>
          <w:sz w:val="24"/>
          <w:rtl/>
        </w:rPr>
        <w:t>-</w:t>
      </w:r>
      <w:r w:rsidRPr="00F146C9">
        <w:rPr>
          <w:rFonts w:hint="cs"/>
          <w:sz w:val="24"/>
          <w:rtl/>
        </w:rPr>
        <w:t>מקומו של מנהל אגף כוח אדם בעירייה; שני נציגים של ארגון העובדים: מר ארנון בר</w:t>
      </w:r>
      <w:r w:rsidRPr="00F146C9">
        <w:rPr>
          <w:rFonts w:hint="cs"/>
          <w:position w:val="4"/>
          <w:sz w:val="24"/>
          <w:rtl/>
        </w:rPr>
        <w:t>-</w:t>
      </w:r>
      <w:r w:rsidRPr="00F146C9">
        <w:rPr>
          <w:rFonts w:hint="cs"/>
          <w:sz w:val="24"/>
          <w:rtl/>
        </w:rPr>
        <w:t>דוד, יושב</w:t>
      </w:r>
      <w:r w:rsidRPr="00F146C9">
        <w:rPr>
          <w:rFonts w:hint="cs"/>
          <w:position w:val="4"/>
          <w:sz w:val="24"/>
          <w:rtl/>
        </w:rPr>
        <w:t>-</w:t>
      </w:r>
      <w:r w:rsidRPr="00F146C9">
        <w:rPr>
          <w:rFonts w:hint="cs"/>
          <w:sz w:val="24"/>
          <w:rtl/>
        </w:rPr>
        <w:t>ראש ארגון העובדים, ונציג נוסף; גב' אורלי רכט, נציגת ציבור. כן נכחו בישיבת הוועדה, במעמד של יועצים, מר אלקיים, סמנכ"ל בפועל בעירייה, ומר יוסף ברנע, מנהל מחלקת החופים בעירייה.</w:t>
      </w:r>
    </w:p>
    <w:p w:rsidR="0025709E" w:rsidRPr="00F146C9" w:rsidRDefault="0025709E" w:rsidP="0025709E">
      <w:pPr>
        <w:pStyle w:val="a6"/>
        <w:spacing w:after="60" w:line="240" w:lineRule="auto"/>
        <w:ind w:firstLine="288"/>
        <w:rPr>
          <w:sz w:val="24"/>
          <w:rtl/>
        </w:rPr>
      </w:pPr>
      <w:r w:rsidRPr="00F146C9">
        <w:rPr>
          <w:rFonts w:hint="cs"/>
          <w:sz w:val="24"/>
          <w:rtl/>
        </w:rPr>
        <w:t>3.</w:t>
      </w:r>
      <w:r w:rsidRPr="00F146C9">
        <w:rPr>
          <w:rFonts w:hint="cs"/>
          <w:sz w:val="24"/>
          <w:rtl/>
        </w:rPr>
        <w:tab/>
        <w:t>העותר והמשיבים 2 ו</w:t>
      </w:r>
      <w:r w:rsidRPr="00F146C9">
        <w:rPr>
          <w:rFonts w:hint="cs"/>
          <w:position w:val="4"/>
          <w:sz w:val="24"/>
          <w:rtl/>
        </w:rPr>
        <w:t>-</w:t>
      </w:r>
      <w:r w:rsidRPr="00F146C9">
        <w:rPr>
          <w:rFonts w:hint="cs"/>
          <w:sz w:val="24"/>
          <w:rtl/>
        </w:rPr>
        <w:t>3 עמדו בתנאים הפורמאליים הנדרשים לאיוש המשרה של מנהל תחנת הצלה, ולפי הזמנת הוועדה התייצבו לריאיון לפניה, השיבו לשאלות שנשאלו ואמרו את שיש בפיהם לומר. לסוף בחרה הוועדה במשיבים 2 ו</w:t>
      </w:r>
      <w:r w:rsidRPr="00F146C9">
        <w:rPr>
          <w:rFonts w:hint="cs"/>
          <w:position w:val="4"/>
          <w:sz w:val="24"/>
          <w:rtl/>
        </w:rPr>
        <w:t>-</w:t>
      </w:r>
      <w:r w:rsidRPr="00F146C9">
        <w:rPr>
          <w:rFonts w:hint="cs"/>
          <w:sz w:val="24"/>
          <w:rtl/>
        </w:rPr>
        <w:t>3 ודחתה את מועמדותו של העותר.</w:t>
      </w:r>
    </w:p>
    <w:p w:rsidR="0025709E" w:rsidRPr="00F146C9" w:rsidRDefault="0025709E" w:rsidP="0025709E">
      <w:pPr>
        <w:pStyle w:val="a6"/>
        <w:spacing w:after="60" w:line="240" w:lineRule="auto"/>
        <w:ind w:firstLine="288"/>
        <w:rPr>
          <w:sz w:val="24"/>
          <w:rtl/>
        </w:rPr>
      </w:pPr>
      <w:r w:rsidRPr="00F146C9">
        <w:rPr>
          <w:rFonts w:hint="cs"/>
          <w:sz w:val="24"/>
          <w:rtl/>
        </w:rPr>
        <w:t>4.</w:t>
      </w:r>
      <w:r w:rsidRPr="00F146C9">
        <w:rPr>
          <w:rFonts w:hint="cs"/>
          <w:sz w:val="24"/>
          <w:rtl/>
        </w:rPr>
        <w:tab/>
        <w:t>העותר פנה לבית</w:t>
      </w:r>
      <w:r w:rsidRPr="00F146C9">
        <w:rPr>
          <w:rFonts w:hint="cs"/>
          <w:position w:val="4"/>
          <w:sz w:val="24"/>
          <w:rtl/>
        </w:rPr>
        <w:t>-</w:t>
      </w:r>
      <w:r w:rsidRPr="00F146C9">
        <w:rPr>
          <w:rFonts w:hint="cs"/>
          <w:sz w:val="24"/>
          <w:rtl/>
        </w:rPr>
        <w:t>הדין האזורי לעבודה ועתר לסעד הצהרתי שלפיו בטלה החלטתה של ועדת המכרזים, ובטל מינוים של המשיבים 2 ו</w:t>
      </w:r>
      <w:r w:rsidRPr="00F146C9">
        <w:rPr>
          <w:rFonts w:hint="cs"/>
          <w:position w:val="4"/>
          <w:sz w:val="24"/>
          <w:rtl/>
        </w:rPr>
        <w:t>-</w:t>
      </w:r>
      <w:r w:rsidRPr="00F146C9">
        <w:rPr>
          <w:rFonts w:hint="cs"/>
          <w:sz w:val="24"/>
          <w:rtl/>
        </w:rPr>
        <w:t>3 שבא בעקבות אותה החלטה. בית</w:t>
      </w:r>
      <w:r w:rsidRPr="00F146C9">
        <w:rPr>
          <w:rFonts w:hint="cs"/>
          <w:position w:val="4"/>
          <w:sz w:val="24"/>
          <w:rtl/>
        </w:rPr>
        <w:t>-</w:t>
      </w:r>
      <w:r w:rsidRPr="00F146C9">
        <w:rPr>
          <w:rFonts w:hint="cs"/>
          <w:sz w:val="24"/>
          <w:rtl/>
        </w:rPr>
        <w:t>הדין האזורי לעבודה (כבוד השופטת ו' סמט) דחה את התביעה בקבעו כי לא נפלו בהליכי המכרז פגמים המצדיקים התערבות בהחלטתה של ועדת המכרזים. ערעור שהגיש העותר לבית</w:t>
      </w:r>
      <w:r w:rsidRPr="00F146C9">
        <w:rPr>
          <w:rFonts w:hint="cs"/>
          <w:position w:val="4"/>
          <w:sz w:val="24"/>
          <w:rtl/>
        </w:rPr>
        <w:t>-</w:t>
      </w:r>
      <w:r w:rsidRPr="00F146C9">
        <w:rPr>
          <w:rFonts w:hint="cs"/>
          <w:sz w:val="24"/>
          <w:rtl/>
        </w:rPr>
        <w:t>הדין הארצי לעבודה נדחה אף הוא. מכאן העתירה שלפנינו, שבה העותר (שלא יוצג בידי עורך-דין) מעלה אותן טענות עצמן שהעלה לפני בתי-הדין לעבודה, ואשר בתי-הדין ראו לדחותן.</w:t>
      </w:r>
    </w:p>
    <w:p w:rsidR="0025709E" w:rsidRPr="00F146C9" w:rsidRDefault="0025709E" w:rsidP="0025709E">
      <w:pPr>
        <w:pStyle w:val="a6"/>
        <w:spacing w:after="60" w:line="240" w:lineRule="auto"/>
        <w:ind w:firstLine="288"/>
        <w:rPr>
          <w:sz w:val="24"/>
          <w:rtl/>
        </w:rPr>
      </w:pPr>
      <w:r w:rsidRPr="00F146C9">
        <w:rPr>
          <w:rFonts w:hint="cs"/>
          <w:sz w:val="24"/>
          <w:rtl/>
        </w:rPr>
        <w:t>5.</w:t>
      </w:r>
      <w:r w:rsidRPr="00F146C9">
        <w:rPr>
          <w:rFonts w:hint="cs"/>
          <w:sz w:val="24"/>
          <w:rtl/>
        </w:rPr>
        <w:tab/>
        <w:t>שלוש טענות העלה העותר לפני בתי-הדין לעבודה, ואלו היו הטענות: טענה אחת הייתה כי בישיבת הוועדה נכח כל העת, כיועץ מומחה, מר יוסף ברנע, מנהל מחלקת החופים בעירייה (ברנע). טען העותר כי ברנע מסוכסך עמו ומתנכל לו זמן רב, וכי היה בנתון זה בלבד כדי לפגום ביכולתו לחוות-דעתו לוועדה כמומחה. בית-הדין דחה טענה זו משלא הוכח כי ברנע דיבר בישיבת הוועדה נגד העותר. עוד קבע בית-הדין כי העותר לא העלה טענתו זו במועדה, דהיינו בעת שראה כי ברנע נוכח בישיבת הוועדה, אלא רק לאחר שהודע לו כי מועמדותו נדחתה. טענתו השנייה של העותר הייתה זו שכישוריו עולים על כישוריהם של המשיבים 2 ו-3, וכי הוועדה לא הייתה ערה כלל לכישוריהם היחסיים של המועמדים, וממילא לא שקלה כראוי את נושא הכישורים. בית-הדין דחה גם טענה זו וקבע כי מועמדותם של המשיבים 2 ו-3 נתקבלה משיקולים שלעניין.</w:t>
      </w:r>
    </w:p>
    <w:p w:rsidR="0025709E" w:rsidRPr="00F146C9" w:rsidRDefault="0025709E" w:rsidP="0025709E">
      <w:pPr>
        <w:pStyle w:val="a6"/>
        <w:spacing w:after="60" w:line="240" w:lineRule="auto"/>
        <w:ind w:firstLine="288"/>
        <w:rPr>
          <w:sz w:val="24"/>
          <w:rtl/>
        </w:rPr>
      </w:pPr>
      <w:r w:rsidRPr="00F146C9">
        <w:rPr>
          <w:rFonts w:hint="cs"/>
          <w:sz w:val="24"/>
          <w:rtl/>
        </w:rPr>
        <w:t xml:space="preserve">אותן טענות עצמן הוסיף העותר והעלה גם לפני בית-הדין הארצי לעבודה גם לפנינו, אך גם אנו – כמונו כבית-הדין האזורי וכבית-הדין הארצי – לא נמצא לנו כי יש בהן כדי לפגום בהליכי המכרז. אשר לנוכחותו של ברנע בישיבת הוועדה, הלכה שמכבר היא כי טענות נגד הרכבה של ועדת מכרזים – והכרעה בשאלת נוכחותו של ברנע בישיבת הוועדה נגזרת מאותה הלכה – יש להעלותה בהזדמנות הראשונה הנקרית על דרכו של הטוען להיותו נפגע. טענה שהייתה ידועה בעת הליכי המכרז אך הועלתה רק לאחר שפלוני יצא מן המכרז וידו על התחתונה, טענה מעין-זו לא תישמע. ראו והשוו: ע"א 4683/97 ידע מחשבים ותוכנה בע"מ נ' מדינת ישראל </w:t>
      </w:r>
      <w:r w:rsidRPr="00F146C9">
        <w:rPr>
          <w:rFonts w:hint="eastAsia"/>
          <w:sz w:val="24"/>
          <w:rtl/>
        </w:rPr>
        <w:t>– משרד הביטחון</w:t>
      </w:r>
      <w:r w:rsidRPr="00F146C9">
        <w:rPr>
          <w:rFonts w:hint="cs"/>
          <w:sz w:val="24"/>
          <w:rtl/>
        </w:rPr>
        <w:t xml:space="preserve"> [1], בעמ' 646; בג"ץ 528/85 חזאן נ' המנהל הכללי של משרד החינוך והתרבות (פרשת חזאן [2]), בעמ' 495. עניינו של העותר עולה ברשתה של ההלכה, וטענתו בהקשר זה דינה דחייה. אשר לכישורי המועמדים, הכרעה בשאלה זו נתונה במובהק לוועדת המכרזים, ובהיעדר נתון מכריע נוסף – ונתון מעין-זה לא הובא לפנינו – גם היא נדונה לדחייה.</w:t>
      </w:r>
    </w:p>
    <w:p w:rsidR="0025709E" w:rsidRPr="00F146C9" w:rsidRDefault="0025709E" w:rsidP="0025709E">
      <w:pPr>
        <w:pStyle w:val="a6"/>
        <w:spacing w:after="60" w:line="240" w:lineRule="auto"/>
        <w:ind w:firstLine="288"/>
        <w:rPr>
          <w:sz w:val="24"/>
          <w:rtl/>
        </w:rPr>
      </w:pPr>
      <w:r w:rsidRPr="00F146C9">
        <w:rPr>
          <w:rFonts w:hint="cs"/>
          <w:sz w:val="24"/>
          <w:rtl/>
        </w:rPr>
        <w:t>6.</w:t>
      </w:r>
      <w:r w:rsidRPr="00F146C9">
        <w:rPr>
          <w:rFonts w:hint="cs"/>
          <w:sz w:val="24"/>
          <w:rtl/>
        </w:rPr>
        <w:tab/>
        <w:t>טענתו השלישית של העותר בה רואים אנו עיקר, ובה נלוש בהמשך דברינו להלן. הטענה הייתה – והינה – זו שמר ארנון בר-דוד, אחד משני נציגיו של ארגון העובדים בוועדת המכרזים (בר-דוד), נפגש לפני המכרז עם מקצת המועמדים במכרז – לא עם העותר – וכן עם נציגי ועד המצילים, וכי ועד המצילים ביקש ממנו לבחור במשיבים 2 ו-3 למשרות שהוכרז עליהן במכרז. בעקבות פגישות אלו, כך הילוך טענת העותר, גיבש בר-דוד את עמדתו לבחור במשיבים 2 ו-3 כבר לפני ישיבתה של ועדת</w:t>
      </w:r>
      <w:r w:rsidRPr="00F146C9">
        <w:rPr>
          <w:rFonts w:hint="cs"/>
          <w:noProof/>
          <w:sz w:val="24"/>
          <w:rtl/>
        </w:rPr>
        <w:t xml:space="preserve"> </w:t>
      </w:r>
      <w:r w:rsidRPr="00F146C9">
        <w:rPr>
          <w:rFonts w:hint="cs"/>
          <w:sz w:val="24"/>
          <w:rtl/>
        </w:rPr>
        <w:t>המכרזים, וממילא לא ניתן לעותר סיכוי של-אמת לזכות במכרז. יתר-על-כן: בר-דוד אף לא דיווח בישיבת הוועדה לחברים האחרים על פגישותיו עם המועמדים ועם ועד המצילים, וגם בכך נפגם הליך המכרז. [...]</w:t>
      </w:r>
    </w:p>
    <w:p w:rsidR="0025709E" w:rsidRPr="00F146C9" w:rsidRDefault="0025709E" w:rsidP="0025709E">
      <w:pPr>
        <w:pStyle w:val="a6"/>
        <w:spacing w:after="60" w:line="240" w:lineRule="auto"/>
        <w:ind w:firstLine="288"/>
        <w:rPr>
          <w:sz w:val="24"/>
          <w:rtl/>
        </w:rPr>
      </w:pPr>
      <w:r w:rsidRPr="00F146C9">
        <w:rPr>
          <w:rFonts w:hint="cs"/>
          <w:sz w:val="24"/>
          <w:rtl/>
        </w:rPr>
        <w:t>השאלה שבמחלוקת</w:t>
      </w:r>
    </w:p>
    <w:p w:rsidR="0025709E" w:rsidRPr="00F146C9" w:rsidRDefault="0025709E" w:rsidP="0025709E">
      <w:pPr>
        <w:pStyle w:val="a6"/>
        <w:spacing w:after="60" w:line="240" w:lineRule="auto"/>
        <w:ind w:firstLine="288"/>
        <w:rPr>
          <w:sz w:val="24"/>
          <w:rtl/>
        </w:rPr>
      </w:pPr>
      <w:r w:rsidRPr="00F146C9">
        <w:rPr>
          <w:rFonts w:hint="cs"/>
          <w:sz w:val="24"/>
          <w:rtl/>
        </w:rPr>
        <w:t>8.</w:t>
      </w:r>
      <w:r w:rsidRPr="00F146C9">
        <w:rPr>
          <w:rFonts w:hint="cs"/>
          <w:sz w:val="24"/>
          <w:rtl/>
        </w:rPr>
        <w:tab/>
        <w:t>וזו היא אפוא השאלה העיקרית השנויה במחלוקת בין בעלי-הדין: האם פגישותיו של בר-דוד, חבר ועדת המכרזים, עם מקצת המועמדים במכרז ועם נציגי ועד המצילים – אשר המליצו לפניו, כנטען, כי יש לבחור במשיבים 2 ו-3 כדי שיזכו במכרז; האם ההליכים אשר היו בוועדת המכרזים לאחר מכן; האם אותן פגישות ואותם הליכים פגמו במכרז כדי ביטולו, כטענת העותר, או שמא – כהחלטות בתי-הדין לעבודה – לא היה בהן באותן פגישות ובאותם הליכים כדי לפגום במכרז.</w:t>
      </w:r>
    </w:p>
    <w:p w:rsidR="0025709E" w:rsidRPr="00F146C9" w:rsidRDefault="0025709E" w:rsidP="0025709E">
      <w:pPr>
        <w:pStyle w:val="a6"/>
        <w:spacing w:after="60" w:line="240" w:lineRule="auto"/>
        <w:ind w:firstLine="288"/>
        <w:rPr>
          <w:sz w:val="24"/>
          <w:rtl/>
        </w:rPr>
      </w:pPr>
      <w:r w:rsidRPr="00F146C9">
        <w:rPr>
          <w:rFonts w:hint="cs"/>
          <w:sz w:val="24"/>
          <w:rtl/>
        </w:rPr>
        <w:t>9.</w:t>
      </w:r>
      <w:r w:rsidRPr="00F146C9">
        <w:rPr>
          <w:rFonts w:hint="cs"/>
          <w:sz w:val="24"/>
          <w:rtl/>
        </w:rPr>
        <w:tab/>
        <w:t>נקדים ונאמר כי בעלי-הדין לא הפנו אותנו לכל דברי-חוק שהם – חקיקה ראשית או חקיקת-משנה – האמורים להסדיר את נושא המכרז הפנימי. כן לא צוטט בפסקי-הדין של בתי-הדין לעבודה כל דבר חוק שהוא השולט על הנושא. הנחת היסוד של בעלי-הדין הייתה כמסתבר זו שהמכרז הפנימי נשלט בידי עקרונות-יסוד של דין המכרזים, ועל דרך ההיקש ובשינויים המחויבים מן העניין – על-ידי תקנות העיריות (מכרזים לקבלת עובדים), תש"ם</w:t>
      </w:r>
      <w:r w:rsidRPr="00F146C9">
        <w:rPr>
          <w:rFonts w:hint="cs"/>
          <w:b/>
          <w:sz w:val="24"/>
          <w:rtl/>
        </w:rPr>
        <w:t>-</w:t>
      </w:r>
      <w:r w:rsidRPr="00F146C9">
        <w:rPr>
          <w:rFonts w:hint="cs"/>
          <w:sz w:val="24"/>
          <w:rtl/>
        </w:rPr>
        <w:t>1979 (</w:t>
      </w:r>
      <w:r w:rsidRPr="00F146C9">
        <w:rPr>
          <w:rFonts w:hint="cs"/>
          <w:b/>
          <w:sz w:val="24"/>
          <w:rtl/>
        </w:rPr>
        <w:t>תקנות המכרזים</w:t>
      </w:r>
      <w:r w:rsidRPr="00F146C9">
        <w:rPr>
          <w:rFonts w:hint="cs"/>
          <w:sz w:val="24"/>
          <w:rtl/>
        </w:rPr>
        <w:t>), הנסבות על מכרזים פומביים. ואמנם, הסוגיה שהונחה לפתחנו מוליכה אותנו היישר אל מעבה העיקרים והדוקטרינות שהליכי מכרז אמורים לקיים, ובדוקטרינות אלו נפתח את דברינו.</w:t>
      </w:r>
    </w:p>
    <w:p w:rsidR="0025709E" w:rsidRPr="00F146C9" w:rsidRDefault="0025709E" w:rsidP="0025709E">
      <w:pPr>
        <w:spacing w:after="120"/>
        <w:rPr>
          <w:rFonts w:ascii="Arial" w:hAnsi="Arial" w:cs="FrankRuehl"/>
          <w:rtl/>
        </w:rPr>
      </w:pPr>
      <w:r w:rsidRPr="00F146C9">
        <w:rPr>
          <w:rFonts w:ascii="Arial" w:hAnsi="Arial" w:cs="FrankRuehl" w:hint="cs"/>
          <w:rtl/>
        </w:rPr>
        <w:t>[...]</w:t>
      </w:r>
    </w:p>
    <w:p w:rsidR="0025709E" w:rsidRPr="0051498E" w:rsidRDefault="0025709E" w:rsidP="0025709E">
      <w:pPr>
        <w:spacing w:after="60"/>
        <w:rPr>
          <w:rFonts w:cs="FrankRuehl"/>
          <w:rtl/>
        </w:rPr>
      </w:pPr>
      <w:r w:rsidRPr="0051498E">
        <w:rPr>
          <w:rFonts w:cs="FrankRuehl" w:hint="cs"/>
          <w:rtl/>
        </w:rPr>
        <w:t>13.</w:t>
      </w:r>
      <w:r w:rsidRPr="0051498E">
        <w:rPr>
          <w:rFonts w:cs="FrankRuehl" w:hint="cs"/>
          <w:rtl/>
        </w:rPr>
        <w:tab/>
        <w:t xml:space="preserve">החלת עקרונות שוויון אלה בטהרתם על מכרז פנימי להעסקת עובדים תביאנו לכלל מסקנה כי רק אנשים שמחוץ למקום העבודה – או מלאכים משמים – יוכלו לשמש כחברים בוועדת המכרזים. מסקנה זו לוּ אכן הוסקה הייתה בבחינת גזרה שרוב הציבור אינם יכולין לעמוד בה. ואמנם, לא כך ינהגו במקומנו מאז ומקדם. </w:t>
      </w:r>
      <w:r w:rsidRPr="0051498E">
        <w:rPr>
          <w:rFonts w:cs="FrankRuehl" w:hint="cs"/>
          <w:highlight w:val="yellow"/>
          <w:rtl/>
        </w:rPr>
        <w:t>בוועדות מכרזים במכרזים פנימיים לאיוש משרות יושבים באורח תדיר אנשים המכירים את המועמדים – לעתים היכרות רבת</w:t>
      </w:r>
      <w:r w:rsidRPr="0051498E">
        <w:rPr>
          <w:rFonts w:cs="FrankRuehl" w:hint="cs"/>
          <w:position w:val="4"/>
          <w:highlight w:val="yellow"/>
          <w:rtl/>
        </w:rPr>
        <w:t>-</w:t>
      </w:r>
      <w:r w:rsidRPr="0051498E">
        <w:rPr>
          <w:rFonts w:cs="FrankRuehl" w:hint="cs"/>
          <w:highlight w:val="yellow"/>
          <w:rtl/>
        </w:rPr>
        <w:t>שנים – בין שחברי הוועדה נציגים הם של ועד העובדים ובין שמכירים הם את המועמדים ממקום העבודה. היכרויות אלו גוררות מטבעם של דברים התרשמויות קודמות מן המועמדים והערכות וידע על</w:t>
      </w:r>
      <w:r w:rsidRPr="0051498E">
        <w:rPr>
          <w:rFonts w:cs="FrankRuehl" w:hint="cs"/>
          <w:position w:val="4"/>
          <w:highlight w:val="yellow"/>
          <w:rtl/>
        </w:rPr>
        <w:t>-</w:t>
      </w:r>
      <w:r w:rsidRPr="0051498E">
        <w:rPr>
          <w:rFonts w:cs="FrankRuehl" w:hint="cs"/>
          <w:highlight w:val="yellow"/>
          <w:rtl/>
        </w:rPr>
        <w:t>אודותם. התרשמויות, ידע והערכות אלה יפעלו לעתים לשלילה לעתים לחיוב, ומכל מקום, חברי ועדת המכרזים – כולם או מקצתם – אינם פועלים כדרכו של שופט המרוחק מן המתדיינים שלפניו.</w:t>
      </w:r>
      <w:r w:rsidRPr="0051498E">
        <w:rPr>
          <w:rFonts w:cs="FrankRuehl" w:hint="cs"/>
          <w:rtl/>
        </w:rPr>
        <w:t xml:space="preserve"> ההלכה הסכינה עם תופעה זו – נמצא כי החלופה של ועדות מכרזים שחבריהן אינם מכירים כלל את המועמדים ניגעת בפגמים לא פחות חמורים – והשלימה עמה. </w:t>
      </w:r>
      <w:r w:rsidRPr="0051498E">
        <w:rPr>
          <w:rFonts w:cs="FrankRuehl" w:hint="cs"/>
          <w:highlight w:val="yellow"/>
          <w:rtl/>
        </w:rPr>
        <w:t>כך נקבע אפוא כי היכרות מוקדמת עם מועמדים, הערכה מוקדמת על מועמדים ואף פגישות עם חברי ועדת מינויים וניסיון להשפיע עליהם – כל אלה אין בהם בהכרח כדי להביא לפסילתו של מכרז. [...]</w:t>
      </w:r>
      <w:r>
        <w:rPr>
          <w:rFonts w:cs="FrankRuehl" w:hint="cs"/>
          <w:highlight w:val="yellow"/>
        </w:rPr>
        <w:t xml:space="preserve"> </w:t>
      </w:r>
      <w:r w:rsidRPr="0051498E">
        <w:rPr>
          <w:rFonts w:cs="FrankRuehl" w:hint="cs"/>
          <w:highlight w:val="yellow"/>
          <w:rtl/>
        </w:rPr>
        <w:t xml:space="preserve">בהקשר זה הבחינה ההלכה </w:t>
      </w:r>
      <w:r w:rsidRPr="0051498E">
        <w:rPr>
          <w:rFonts w:cs="FrankRuehl" w:hint="cs"/>
          <w:rtl/>
        </w:rPr>
        <w:t xml:space="preserve">בין "דעה מוקדמת" לבין "דעה קדומה", </w:t>
      </w:r>
      <w:r w:rsidRPr="0051498E">
        <w:rPr>
          <w:rFonts w:cs="FrankRuehl" w:hint="cs"/>
          <w:highlight w:val="yellow"/>
          <w:rtl/>
        </w:rPr>
        <w:t>שאחרונה תפסול את פלוני מהיותו חבר ועדת מכרזים – שכן דעה היא שאינה ניתנת להבקעה – לבין ראשונה, שאין בה כדי לפסול את אלמוני מהיותו חבר הוועדה</w:t>
      </w:r>
      <w:r w:rsidRPr="0051498E">
        <w:rPr>
          <w:rFonts w:cs="FrankRuehl" w:hint="cs"/>
          <w:rtl/>
        </w:rPr>
        <w:t>. [...]</w:t>
      </w:r>
    </w:p>
    <w:p w:rsidR="0025709E" w:rsidRPr="0051498E" w:rsidRDefault="0025709E" w:rsidP="0025709E">
      <w:pPr>
        <w:spacing w:after="60"/>
        <w:rPr>
          <w:rFonts w:cs="FrankRuehl"/>
          <w:rtl/>
        </w:rPr>
      </w:pPr>
      <w:r w:rsidRPr="0051498E">
        <w:rPr>
          <w:rFonts w:cs="FrankRuehl" w:hint="cs"/>
          <w:rtl/>
        </w:rPr>
        <w:t>14.</w:t>
      </w:r>
      <w:r w:rsidRPr="0051498E">
        <w:rPr>
          <w:rFonts w:cs="FrankRuehl" w:hint="cs"/>
          <w:rtl/>
        </w:rPr>
        <w:tab/>
      </w:r>
      <w:r w:rsidRPr="0051498E">
        <w:rPr>
          <w:rFonts w:cs="FrankRuehl" w:hint="cs"/>
          <w:highlight w:val="yellow"/>
          <w:rtl/>
        </w:rPr>
        <w:t xml:space="preserve">כללם של דברים: לא הרי מכרזים פנימיים במקום עבודה לאיוש משרות פנויות כהרי מכרזים ציבוריים שעניינם קניית שירותים או נכסים. מכרזים מן הסוג הראשון מקלים בהם ככל שהמדובר הוא בעיקרון של משוא פנים – במובנו הרחב של המושג – כגון בעניינה של היכרות מוקדמת, דעה קודמת על המועמדים וכו'. הוא הדין בפגישות בין מועמדים או מי מטעמם לבין חברי ועדה בניסיון להשפיע על חברי הוועדה כי יבחרו במועמד פלוני או כי לא יבחרו במועמד אלמוני. </w:t>
      </w:r>
      <w:r w:rsidRPr="0051498E">
        <w:rPr>
          <w:rFonts w:cs="FrankRuehl" w:hint="cs"/>
          <w:rtl/>
        </w:rPr>
        <w:t>נוהג זה אפשר אין הוא רצוי, אך נאלצים אנו להשלים עמו</w:t>
      </w:r>
      <w:r w:rsidRPr="0051498E">
        <w:rPr>
          <w:rFonts w:cs="FrankRuehl" w:hint="cs"/>
          <w:highlight w:val="yellow"/>
          <w:rtl/>
        </w:rPr>
        <w:t xml:space="preserve">. ואולם גם </w:t>
      </w:r>
      <w:r w:rsidRPr="0051498E">
        <w:rPr>
          <w:rFonts w:cs="FrankRuehl" w:hint="cs"/>
          <w:rtl/>
        </w:rPr>
        <w:t xml:space="preserve">להקלות אלו הושמו גבולות, ונוסף על כך יִיצְרָה ההלכה כלים </w:t>
      </w:r>
      <w:r w:rsidRPr="0051498E">
        <w:rPr>
          <w:rFonts w:cs="FrankRuehl" w:hint="cs"/>
          <w:highlight w:val="yellow"/>
          <w:rtl/>
        </w:rPr>
        <w:t>להבטחה כי לא יהא ניצול לרעה של הליך המכרז לניהולם של מכרזי-דֶמֶה שתוצאותיהם ידועות מראש והעושים לחוכא ואיטלולא את הליך המכרז כולו. וכך, עם הנוהג נשלים, אך נוסיף ונעשה לפיקוח ולבקרה כדי שלא נחרוג מגבולות הרצוי. בנושאים אלו נוסיף ונדבר עוד להלן.</w:t>
      </w:r>
    </w:p>
    <w:p w:rsidR="0025709E" w:rsidRPr="0051498E" w:rsidRDefault="0025709E" w:rsidP="0025709E">
      <w:pPr>
        <w:spacing w:after="60"/>
        <w:rPr>
          <w:rFonts w:cs="FrankRuehl"/>
          <w:b/>
          <w:bCs/>
          <w:rtl/>
        </w:rPr>
      </w:pPr>
      <w:r w:rsidRPr="0051498E">
        <w:rPr>
          <w:rFonts w:cs="FrankRuehl"/>
          <w:b/>
          <w:bCs/>
          <w:rtl/>
        </w:rPr>
        <w:t>שקיפות: דיווח, תיעוד, גילוי</w:t>
      </w:r>
    </w:p>
    <w:p w:rsidR="0025709E" w:rsidRPr="0051498E" w:rsidRDefault="0025709E" w:rsidP="0025709E">
      <w:pPr>
        <w:spacing w:after="60"/>
        <w:rPr>
          <w:rFonts w:cs="FrankRuehl"/>
          <w:rtl/>
        </w:rPr>
      </w:pPr>
      <w:r w:rsidRPr="0051498E">
        <w:rPr>
          <w:rFonts w:cs="FrankRuehl" w:hint="cs"/>
          <w:rtl/>
        </w:rPr>
        <w:t>15.</w:t>
      </w:r>
      <w:r w:rsidRPr="0051498E">
        <w:rPr>
          <w:rFonts w:cs="FrankRuehl" w:hint="cs"/>
          <w:rtl/>
        </w:rPr>
        <w:tab/>
        <w:t>להבטחת תקינות פעילותו של המינהל הציבורי נוצק כלל התנהגות שמקומו בכותל המזרח של התנהלות המינהל הציבורי. העיקרון הוא עקרון השקיפות. [...] ומשידענו כי עובד הציבור עושה בנאמנות כשליח הציבור, חייב הוא ממילא בחובותיו של שליח, ובהן החובה ליתן דין-וחשבון על מעשיו, ... כך, רק כך, יוכל הציבור לדעת אם עשה עובד הציבור באמונה; כך, רק כך, יאמין הציבור במינהל ובעובדיו. המינהל חייב אפוא בשקיפות פעילותו והחלטותיו. ...</w:t>
      </w:r>
    </w:p>
    <w:p w:rsidR="0025709E" w:rsidRPr="0051498E" w:rsidRDefault="0025709E" w:rsidP="0025709E">
      <w:pPr>
        <w:spacing w:after="60"/>
        <w:rPr>
          <w:rFonts w:cs="FrankRuehl"/>
          <w:rtl/>
        </w:rPr>
      </w:pPr>
      <w:r w:rsidRPr="0051498E">
        <w:rPr>
          <w:rFonts w:cs="FrankRuehl" w:hint="cs"/>
          <w:highlight w:val="yellow"/>
          <w:rtl/>
        </w:rPr>
        <w:t>16.</w:t>
      </w:r>
      <w:r w:rsidRPr="0051498E">
        <w:rPr>
          <w:rFonts w:cs="FrankRuehl" w:hint="cs"/>
          <w:highlight w:val="yellow"/>
          <w:rtl/>
        </w:rPr>
        <w:tab/>
        <w:t xml:space="preserve">על דרך הכלל, שקיפות פעולתו של המינהל היא כלי יעיל בידינו לפיקוח ולבקרת מעשי המינהל והחלטותיו. חשיבות יתרה נודעת לה לשקיפות בעניינם של מכרזים פנימיים כבענייננו. טעם הדבר: ההקלות הרבות שההלכה הכירה בהן לעניינם של מכרזים לאיוש משרות פנויות, בייחוד בנושאים הבאים בגדרי הכלל של איסור משוא פנים. אכן, ככל שתרבינה ההקלות – וההקלות אכן רבות הן – וככל שגבולות המותר יִרְחֲבוּ וילכו – והגבולות בענייננו אכן רָחֲבוּ והלכו – כן תגבר ותלך חשיבותם של </w:t>
      </w:r>
      <w:r w:rsidRPr="0051498E">
        <w:rPr>
          <w:rFonts w:cs="FrankRuehl" w:hint="cs"/>
          <w:rtl/>
        </w:rPr>
        <w:t>אותם כללי-משפט שייעודם הוא להקיף בטבעת-מגן את פעילות המינהל</w:t>
      </w:r>
      <w:r w:rsidRPr="0051498E">
        <w:rPr>
          <w:rFonts w:cs="FrankRuehl" w:hint="cs"/>
          <w:highlight w:val="yellow"/>
          <w:rtl/>
        </w:rPr>
        <w:t xml:space="preserve"> ולהבטיח ככל הניתן כי אותה פעילות תהא בגבולות המותר ולא תחרוג מהם. הקלה מימין חייבת מעצמה להביא להחמרה משמאל, ולהפך. </w:t>
      </w:r>
      <w:r w:rsidRPr="0051498E">
        <w:rPr>
          <w:rFonts w:cs="FrankRuehl" w:hint="cs"/>
          <w:rtl/>
        </w:rPr>
        <w:t xml:space="preserve">כך על דרך הכלל וכך בנושא אמצעי השקיפות, אותו אמצעי המאפשר בקרת מעשי השלטון ופיקוח עליהם. כיצד תְּתַרְגֵם עצמה השקיפות בענייננו? </w:t>
      </w:r>
      <w:r w:rsidRPr="0051498E">
        <w:rPr>
          <w:rFonts w:cs="FrankRuehl" w:hint="cs"/>
          <w:highlight w:val="yellow"/>
          <w:rtl/>
        </w:rPr>
        <w:t xml:space="preserve">עיקר הדברים יהא בבניית מערך כולל לדיווח, לגילוי ולתיעוד. </w:t>
      </w:r>
      <w:r w:rsidRPr="0051498E">
        <w:rPr>
          <w:rFonts w:cs="FrankRuehl" w:hint="cs"/>
          <w:rtl/>
        </w:rPr>
        <w:t xml:space="preserve">באמצעי בקרה אלה – המשלימים זה-את-זה – נדון עתה ונלמד כיצד משרתים הם את עקרון השקיפות. </w:t>
      </w:r>
      <w:r w:rsidRPr="0051498E">
        <w:rPr>
          <w:rFonts w:cs="FrankRuehl" w:hint="cs"/>
          <w:highlight w:val="yellow"/>
          <w:rtl/>
        </w:rPr>
        <w:t>אכן, ללא דיווח וגילוי לא תהא שקיפות, וללא תיעוד עלולה חובת הגילוי להתרוקן מתוכן של-ממש.</w:t>
      </w:r>
    </w:p>
    <w:p w:rsidR="0025709E" w:rsidRPr="0051498E" w:rsidRDefault="0025709E" w:rsidP="0025709E">
      <w:pPr>
        <w:pStyle w:val="a6"/>
        <w:spacing w:after="60" w:line="240" w:lineRule="auto"/>
        <w:rPr>
          <w:sz w:val="24"/>
          <w:rtl/>
        </w:rPr>
      </w:pPr>
      <w:r w:rsidRPr="0051498E">
        <w:rPr>
          <w:rFonts w:hint="cs"/>
          <w:sz w:val="24"/>
          <w:rtl/>
        </w:rPr>
        <w:t>17.</w:t>
      </w:r>
      <w:r w:rsidRPr="0051498E">
        <w:rPr>
          <w:rFonts w:hint="cs"/>
          <w:sz w:val="24"/>
          <w:rtl/>
        </w:rPr>
        <w:tab/>
      </w:r>
      <w:r w:rsidRPr="0051498E">
        <w:rPr>
          <w:rFonts w:hint="cs"/>
          <w:b/>
          <w:bCs/>
          <w:sz w:val="24"/>
          <w:highlight w:val="yellow"/>
          <w:rtl/>
        </w:rPr>
        <w:t>דיווח</w:t>
      </w:r>
      <w:r w:rsidRPr="0051498E">
        <w:rPr>
          <w:rFonts w:hint="cs"/>
          <w:sz w:val="24"/>
          <w:rtl/>
        </w:rPr>
        <w:t>: עקרון הדיווח משמיע חובה המוטלת על בעל הסמכות – לענייננו: חבר ועדת המכרזים – לדווח לוועדת המכרזים על כל נתונים שיש בהם כדי להשליך על ההחלטה של הוועדה לגופה, לרבות נתונים אישיים של חבר הוועדה העשויים להשפיע על החלטתו. ...</w:t>
      </w:r>
    </w:p>
    <w:p w:rsidR="0025709E" w:rsidRDefault="0025709E" w:rsidP="0025709E">
      <w:pPr>
        <w:pStyle w:val="a6"/>
        <w:spacing w:after="60" w:line="240" w:lineRule="auto"/>
        <w:rPr>
          <w:sz w:val="24"/>
          <w:rtl/>
        </w:rPr>
      </w:pPr>
      <w:r w:rsidRPr="0051498E">
        <w:rPr>
          <w:rFonts w:hint="cs"/>
          <w:sz w:val="24"/>
          <w:rtl/>
        </w:rPr>
        <w:t>18.</w:t>
      </w:r>
      <w:r w:rsidRPr="0051498E">
        <w:rPr>
          <w:rFonts w:hint="cs"/>
          <w:sz w:val="24"/>
          <w:rtl/>
        </w:rPr>
        <w:tab/>
      </w:r>
      <w:r w:rsidRPr="0051498E">
        <w:rPr>
          <w:rFonts w:hint="cs"/>
          <w:b/>
          <w:bCs/>
          <w:sz w:val="24"/>
          <w:highlight w:val="yellow"/>
          <w:rtl/>
        </w:rPr>
        <w:t>פרוטוקול</w:t>
      </w:r>
      <w:r w:rsidRPr="0051498E">
        <w:rPr>
          <w:rFonts w:hint="cs"/>
          <w:sz w:val="24"/>
          <w:highlight w:val="yellow"/>
          <w:rtl/>
        </w:rPr>
        <w:t xml:space="preserve"> [</w:t>
      </w:r>
      <w:r w:rsidRPr="0051498E">
        <w:rPr>
          <w:rFonts w:hint="cs"/>
          <w:b/>
          <w:bCs/>
          <w:sz w:val="24"/>
          <w:highlight w:val="yellow"/>
          <w:rtl/>
        </w:rPr>
        <w:t>תיעוד</w:t>
      </w:r>
      <w:r w:rsidRPr="0051498E">
        <w:rPr>
          <w:rFonts w:hint="cs"/>
          <w:sz w:val="24"/>
          <w:highlight w:val="yellow"/>
          <w:rtl/>
        </w:rPr>
        <w:t>]:</w:t>
      </w:r>
      <w:r w:rsidRPr="0051498E">
        <w:rPr>
          <w:rFonts w:hint="cs"/>
          <w:sz w:val="24"/>
          <w:rtl/>
        </w:rPr>
        <w:t xml:space="preserve"> כסדרי המינהל התקינים, חייבת ועדה לרשום פרוטוקול אשר ישקף את עיקרי המידע שהובא לפניה ואת ההחלטות שנתקבלו בעקבות אותו מידע. לעניינו של מכרז פומבי נקבעה חובת הפרוטוקול מפורשות בתקנה 29 לתקנות המכרזים (זו אף הוראת תקנה 10 לתקנות חובת המכרזים, תשנ"ג</w:t>
      </w:r>
      <w:r w:rsidRPr="0051498E">
        <w:rPr>
          <w:rFonts w:ascii="Arial" w:hAnsi="Arial" w:hint="cs"/>
          <w:b/>
          <w:sz w:val="24"/>
          <w:rtl/>
        </w:rPr>
        <w:t>-</w:t>
      </w:r>
      <w:r w:rsidRPr="0051498E">
        <w:rPr>
          <w:rFonts w:hint="cs"/>
          <w:sz w:val="24"/>
          <w:rtl/>
        </w:rPr>
        <w:t xml:space="preserve">1993), ואולם החובה לכתיבת פרוטוקול שורשיה במשפט המינהלי הכללי ובעקרון שקיפות פעילותו של המינהל. </w:t>
      </w:r>
    </w:p>
    <w:p w:rsidR="0025709E" w:rsidRPr="0051498E" w:rsidRDefault="0025709E" w:rsidP="0025709E">
      <w:pPr>
        <w:pStyle w:val="a6"/>
        <w:spacing w:after="60" w:line="240" w:lineRule="auto"/>
        <w:rPr>
          <w:sz w:val="24"/>
          <w:rtl/>
        </w:rPr>
      </w:pPr>
      <w:r w:rsidRPr="0051498E">
        <w:rPr>
          <w:rFonts w:hint="cs"/>
          <w:sz w:val="24"/>
          <w:rtl/>
        </w:rPr>
        <w:t>על החובה לנהל פרוטוקול מלא ומפורט שישקף את ישיבות הוועד המרכזי של לשכת עורכי</w:t>
      </w:r>
      <w:r w:rsidRPr="0051498E">
        <w:rPr>
          <w:position w:val="4"/>
          <w:sz w:val="24"/>
          <w:rtl/>
        </w:rPr>
        <w:t>-</w:t>
      </w:r>
      <w:r w:rsidRPr="0051498E">
        <w:rPr>
          <w:rFonts w:hint="cs"/>
          <w:sz w:val="24"/>
          <w:rtl/>
        </w:rPr>
        <w:t>הדין נאמרו דברים אלה בבג"ץ 954/97  כהן, עו"ד נ' ראש לשכת עורכי</w:t>
      </w:r>
      <w:r w:rsidRPr="0051498E">
        <w:rPr>
          <w:position w:val="4"/>
          <w:sz w:val="24"/>
          <w:rtl/>
        </w:rPr>
        <w:t>-</w:t>
      </w:r>
      <w:r w:rsidRPr="0051498E">
        <w:rPr>
          <w:rFonts w:hint="cs"/>
          <w:sz w:val="24"/>
          <w:rtl/>
        </w:rPr>
        <w:t>הדין (פרשת שלמה כהן [20]), בעמ' 526:</w:t>
      </w:r>
    </w:p>
    <w:p w:rsidR="0025709E" w:rsidRPr="0051498E" w:rsidRDefault="0025709E" w:rsidP="0025709E">
      <w:pPr>
        <w:pStyle w:val="a7"/>
        <w:spacing w:after="60" w:line="240" w:lineRule="auto"/>
        <w:rPr>
          <w:sz w:val="24"/>
          <w:rtl/>
        </w:rPr>
      </w:pPr>
      <w:r w:rsidRPr="0051498E">
        <w:rPr>
          <w:rFonts w:hint="cs"/>
          <w:sz w:val="24"/>
          <w:rtl/>
        </w:rPr>
        <w:t>ההכרעה בנושא רישום פרוטוקול של הדברים הנאמרים בישיבות הוועד המרכזי של הלשכה – עצם הרישום והיקף הרישום – תיגזר לאחר שקלול האינטרסים שלעניין. אינטרסים אלה הם, בעיקרם: זכותו של ציבור עורכי</w:t>
      </w:r>
      <w:r w:rsidRPr="0051498E">
        <w:rPr>
          <w:rFonts w:hint="cs"/>
          <w:position w:val="4"/>
          <w:sz w:val="24"/>
          <w:rtl/>
        </w:rPr>
        <w:t>-</w:t>
      </w:r>
      <w:r w:rsidRPr="0051498E">
        <w:rPr>
          <w:rFonts w:hint="cs"/>
          <w:sz w:val="24"/>
          <w:rtl/>
        </w:rPr>
        <w:t>הדין לדעת כיצד פועלים מנהיגיו ומה הם השיקולים המדריכים אותם בהחלטותיהם; זכותם של חברי הוועד כי ציבור עורכי</w:t>
      </w:r>
      <w:r w:rsidRPr="0051498E">
        <w:rPr>
          <w:rFonts w:hint="cs"/>
          <w:position w:val="4"/>
          <w:sz w:val="24"/>
          <w:rtl/>
        </w:rPr>
        <w:t>-</w:t>
      </w:r>
      <w:r w:rsidRPr="0051498E">
        <w:rPr>
          <w:rFonts w:hint="cs"/>
          <w:sz w:val="24"/>
          <w:rtl/>
        </w:rPr>
        <w:t>הדין ידע את דרכיהם וכיצד ממלאים הם את חובתם כאנשי</w:t>
      </w:r>
      <w:r w:rsidRPr="0051498E">
        <w:rPr>
          <w:rFonts w:hint="cs"/>
          <w:position w:val="4"/>
          <w:sz w:val="24"/>
          <w:rtl/>
        </w:rPr>
        <w:t>-</w:t>
      </w:r>
      <w:r w:rsidRPr="0051498E">
        <w:rPr>
          <w:rFonts w:hint="cs"/>
          <w:sz w:val="24"/>
          <w:rtl/>
        </w:rPr>
        <w:t>ציבור נבחרים; זכותם של אלה ושל אלה לגילוי האמת, גילוי שיאפשר ביקורת ציבורית ומשפטית; העומד [כך] המינהלי והכספי הכרוך בעריכתם של פרוטוקולים. ועל כל אלה: הצורך הדוחק לחשיפת האמת על דרכי הנהלתו והנהגתו של גוף נבחר.</w:t>
      </w:r>
    </w:p>
    <w:p w:rsidR="0025709E" w:rsidRPr="0051498E" w:rsidRDefault="0025709E" w:rsidP="0025709E">
      <w:pPr>
        <w:pStyle w:val="a6"/>
        <w:spacing w:after="60" w:line="240" w:lineRule="auto"/>
        <w:rPr>
          <w:sz w:val="24"/>
          <w:rtl/>
        </w:rPr>
      </w:pPr>
      <w:r w:rsidRPr="0051498E">
        <w:rPr>
          <w:rFonts w:hint="cs"/>
          <w:sz w:val="24"/>
          <w:rtl/>
        </w:rPr>
        <w:t>דברים שנאמרו על הוועד המרכזי של לשכת עורכי</w:t>
      </w:r>
      <w:r w:rsidRPr="0051498E">
        <w:rPr>
          <w:position w:val="4"/>
          <w:sz w:val="24"/>
          <w:rtl/>
        </w:rPr>
        <w:t>-</w:t>
      </w:r>
      <w:r w:rsidRPr="0051498E">
        <w:rPr>
          <w:rFonts w:hint="cs"/>
          <w:sz w:val="24"/>
          <w:rtl/>
        </w:rPr>
        <w:t>הדין ייאמרו – בעיקריהם – אף על ועדת מכרזים במכרז פנימי כשלנו: זכותו של הציבור וזכותם של המועמדים לדעת כיצד ועל יסוד איזה מידע נתקבלו החלטות שנתקבלו; זכותם של חברי הוועדה היא כי הציבור והמועמדים ידעו כיצד ניהגו את דרכיהם וכיצד מילאו הם את חובתם; זכותם של אלה ושל אלה לגילוי האמת, גילוי שיאפשר ביקורת ציבורית ומשפטית. ועל כל אלה: הצורך הדוחק לחשיפת האמת ולהבטחה כי המכרז אכן מילא את ייעודו והעניק שוויון הזדמנויות מלא למתַחֲרים בו.</w:t>
      </w:r>
    </w:p>
    <w:p w:rsidR="0025709E" w:rsidRPr="0051498E" w:rsidRDefault="0025709E" w:rsidP="0025709E">
      <w:pPr>
        <w:pStyle w:val="a6"/>
        <w:spacing w:after="60" w:line="240" w:lineRule="auto"/>
        <w:rPr>
          <w:sz w:val="24"/>
          <w:rtl/>
        </w:rPr>
      </w:pPr>
      <w:r w:rsidRPr="0051498E">
        <w:rPr>
          <w:rFonts w:hint="cs"/>
          <w:sz w:val="24"/>
          <w:rtl/>
        </w:rPr>
        <w:t>19.</w:t>
      </w:r>
      <w:r w:rsidRPr="0051498E">
        <w:rPr>
          <w:rFonts w:hint="cs"/>
          <w:sz w:val="24"/>
          <w:rtl/>
        </w:rPr>
        <w:tab/>
        <w:t>אשר לפרוטוקול ישיבתה של ועדה במכרז פנימי לאיוש משרה; כפי שציינו לעיל, חובה היא המוטלת על הוועדה להעניק למועמדים שוויון הזדמנויות לזכות במכרז, ועל כך אין חולקים. עוד ראינו כי במכרז פנימי לאיוש משרה אין אפשרות ליישם בקפדנות את הכללים הקובעים בסוגיה של משוא פנים. על רקע דברים אלה לא נותר לנו – וגם על כך עמדנו – אלא להגביר את הפיקוח והבקרה על התנהלותה של הוועדה, שאם לא נעשה כן נימצא מסכלים במו</w:t>
      </w:r>
      <w:r w:rsidRPr="0051498E">
        <w:rPr>
          <w:rFonts w:hint="cs"/>
          <w:position w:val="4"/>
          <w:sz w:val="24"/>
          <w:rtl/>
        </w:rPr>
        <w:t>-</w:t>
      </w:r>
      <w:r w:rsidRPr="0051498E">
        <w:rPr>
          <w:rFonts w:hint="cs"/>
          <w:sz w:val="24"/>
          <w:rtl/>
        </w:rPr>
        <w:t>ידינו את ייעודו של המכרז. פיקוח ובקרה אלה יהיו אפקטיביים רק אם נדאג מראש לדיווח מהימן וראוי באשר להליכי קבלת ההחלטות בוועדה, ותרגום צורך זה לענייננו יחייב מעצמו עריכתו של פרוטוקול אשר ידבר בעד עצמו ויספק מידע נדרש וראוי לביקורת ולפיקוח על עבודת הוועדה, להבטחה כי פעלה כהלכה וכי העניקה שוויון הזדמנויות לכל המועמדים שהופיעו לפניה.</w:t>
      </w:r>
    </w:p>
    <w:p w:rsidR="0025709E" w:rsidRPr="0051498E" w:rsidRDefault="0025709E" w:rsidP="0025709E">
      <w:pPr>
        <w:pStyle w:val="a6"/>
        <w:spacing w:after="60" w:line="240" w:lineRule="auto"/>
        <w:rPr>
          <w:sz w:val="24"/>
          <w:rtl/>
        </w:rPr>
      </w:pPr>
      <w:r w:rsidRPr="0051498E">
        <w:rPr>
          <w:rFonts w:hint="cs"/>
          <w:sz w:val="24"/>
          <w:rtl/>
        </w:rPr>
        <w:t>20.</w:t>
      </w:r>
      <w:r w:rsidRPr="0051498E">
        <w:rPr>
          <w:rFonts w:hint="cs"/>
          <w:sz w:val="24"/>
          <w:rtl/>
        </w:rPr>
        <w:tab/>
      </w:r>
      <w:r w:rsidRPr="0051498E">
        <w:rPr>
          <w:rFonts w:hint="cs"/>
          <w:sz w:val="24"/>
          <w:highlight w:val="yellow"/>
          <w:rtl/>
        </w:rPr>
        <w:t>פרוטוקול מעין</w:t>
      </w:r>
      <w:r w:rsidRPr="0051498E">
        <w:rPr>
          <w:rFonts w:hint="cs"/>
          <w:position w:val="4"/>
          <w:sz w:val="24"/>
          <w:highlight w:val="yellow"/>
          <w:rtl/>
        </w:rPr>
        <w:t>-</w:t>
      </w:r>
      <w:r w:rsidRPr="0051498E">
        <w:rPr>
          <w:rFonts w:hint="cs"/>
          <w:sz w:val="24"/>
          <w:highlight w:val="yellow"/>
          <w:rtl/>
        </w:rPr>
        <w:t>זה ראוי לו שידווח, למצער, על עיקרי ההתרחשויות שהיו בוועדה, ובהם דיווח חברי הוועדה על דברים שנאמרו להם, על פגישות שהיו להם וכו'</w:t>
      </w:r>
      <w:r w:rsidRPr="0051498E">
        <w:rPr>
          <w:rFonts w:hint="cs"/>
          <w:sz w:val="24"/>
          <w:rtl/>
        </w:rPr>
        <w:t xml:space="preserve">. ראו והשוו פרשת חזאן [2]. ראו עוד דברים שנאמרו בפרשת שלמה כהן [20], לעיל, שם, בעמ' 527: </w:t>
      </w:r>
    </w:p>
    <w:p w:rsidR="0025709E" w:rsidRPr="0051498E" w:rsidRDefault="0025709E" w:rsidP="0025709E">
      <w:pPr>
        <w:pStyle w:val="a7"/>
        <w:spacing w:after="60" w:line="240" w:lineRule="auto"/>
        <w:rPr>
          <w:sz w:val="24"/>
          <w:rtl/>
        </w:rPr>
      </w:pPr>
      <w:r w:rsidRPr="0051498E">
        <w:rPr>
          <w:rFonts w:hint="cs"/>
          <w:sz w:val="24"/>
          <w:rtl/>
        </w:rPr>
        <w:t>הכול מסכימים כי פרוטוקול חייב לשקף את האמת בלי כחל</w:t>
      </w:r>
      <w:r w:rsidRPr="0051498E">
        <w:rPr>
          <w:rFonts w:hint="cs"/>
          <w:position w:val="4"/>
          <w:sz w:val="24"/>
          <w:rtl/>
        </w:rPr>
        <w:t>-</w:t>
      </w:r>
      <w:r w:rsidRPr="0051498E">
        <w:rPr>
          <w:rFonts w:hint="cs"/>
          <w:sz w:val="24"/>
          <w:rtl/>
        </w:rPr>
        <w:t>ושרק: גם אם אמת מרה היא, גם אם אמת מכוערת. פרוטוקול נדמה הוא למצלמה – בימינו נאמר: למצלמת</w:t>
      </w:r>
      <w:r w:rsidRPr="0051498E">
        <w:rPr>
          <w:rFonts w:hint="cs"/>
          <w:position w:val="4"/>
          <w:sz w:val="24"/>
          <w:rtl/>
        </w:rPr>
        <w:t>-</w:t>
      </w:r>
      <w:r w:rsidRPr="0051498E">
        <w:rPr>
          <w:rFonts w:hint="cs"/>
          <w:sz w:val="24"/>
          <w:rtl/>
        </w:rPr>
        <w:t>וידאו – ומצלמה תקלוט ותדפיס גם מחזות שאינם מרניני</w:t>
      </w:r>
      <w:r w:rsidRPr="0051498E">
        <w:rPr>
          <w:rFonts w:hint="cs"/>
          <w:position w:val="4"/>
          <w:sz w:val="24"/>
          <w:rtl/>
        </w:rPr>
        <w:t>-</w:t>
      </w:r>
      <w:r w:rsidRPr="0051498E">
        <w:rPr>
          <w:rFonts w:hint="cs"/>
          <w:sz w:val="24"/>
          <w:rtl/>
        </w:rPr>
        <w:t>לב. פרוטוקול חייב שיאמר אמת; וכדבר הנביא (זכריה, ח, טז): "דַּבְּרוּ אֱמֶת אִישׁ אֶת</w:t>
      </w:r>
      <w:r w:rsidRPr="0051498E">
        <w:rPr>
          <w:rFonts w:ascii="Arial" w:hAnsi="Arial" w:hint="cs"/>
          <w:b/>
          <w:position w:val="4"/>
          <w:sz w:val="24"/>
          <w:rtl/>
        </w:rPr>
        <w:t>-</w:t>
      </w:r>
      <w:r w:rsidRPr="0051498E">
        <w:rPr>
          <w:rFonts w:hint="cs"/>
          <w:sz w:val="24"/>
          <w:rtl/>
        </w:rPr>
        <w:t>רֵעֵהוּ". אמר על</w:t>
      </w:r>
      <w:r w:rsidRPr="0051498E">
        <w:rPr>
          <w:rFonts w:hint="cs"/>
          <w:position w:val="4"/>
          <w:sz w:val="24"/>
          <w:rtl/>
        </w:rPr>
        <w:t>-</w:t>
      </w:r>
      <w:r w:rsidRPr="0051498E">
        <w:rPr>
          <w:rFonts w:hint="cs"/>
          <w:sz w:val="24"/>
          <w:rtl/>
        </w:rPr>
        <w:t>כך השופט ברק בבג"ץ 990/92 מורדוב נ' עיריית תל</w:t>
      </w:r>
      <w:r w:rsidRPr="0051498E">
        <w:rPr>
          <w:rFonts w:hint="cs"/>
          <w:position w:val="4"/>
          <w:sz w:val="24"/>
          <w:rtl/>
        </w:rPr>
        <w:t>-</w:t>
      </w:r>
      <w:r w:rsidRPr="0051498E">
        <w:rPr>
          <w:rFonts w:hint="cs"/>
          <w:sz w:val="24"/>
          <w:rtl/>
        </w:rPr>
        <w:t>אביב</w:t>
      </w:r>
      <w:r w:rsidRPr="0051498E">
        <w:rPr>
          <w:rFonts w:hint="cs"/>
          <w:position w:val="4"/>
          <w:sz w:val="24"/>
          <w:rtl/>
        </w:rPr>
        <w:t>-</w:t>
      </w:r>
      <w:r w:rsidRPr="0051498E">
        <w:rPr>
          <w:rFonts w:hint="cs"/>
          <w:sz w:val="24"/>
          <w:rtl/>
        </w:rPr>
        <w:t>יפו ואח', בעמ' 478:</w:t>
      </w:r>
    </w:p>
    <w:p w:rsidR="0025709E" w:rsidRPr="0051498E" w:rsidRDefault="0025709E" w:rsidP="0025709E">
      <w:pPr>
        <w:pStyle w:val="a7"/>
        <w:spacing w:after="60" w:line="240" w:lineRule="auto"/>
        <w:ind w:left="709" w:right="709"/>
        <w:rPr>
          <w:sz w:val="24"/>
          <w:highlight w:val="yellow"/>
          <w:rtl/>
        </w:rPr>
      </w:pPr>
      <w:r w:rsidRPr="0051498E">
        <w:rPr>
          <w:rFonts w:hint="cs"/>
          <w:sz w:val="24"/>
          <w:highlight w:val="yellow"/>
          <w:rtl/>
        </w:rPr>
        <w:t>"...הפרוטוקול הוא כלי לשיקוף המציאות. השיקוף של המציאות יכול להיות מלא או מתומצת. הוא חייב להיות אמיתי. אם האמת היא מרה, חייב הפרוטוקול לשקף (באופן מלא או מתומצת) אמת מרה זו. אין להוציא מהפרוטוקול דברים שאינם ראויים להישמע. אין לתקן פרוטוקול בשל אי הנחת (המוצדקת או הבלתי מוצדקת) מתוכנם של הדברים שנאמרו. הפרוטוקול הוא 'עיוור צבעים'. הוא צילום של מציאות. שינוי בפרוטוקול יכול להיעשות רק כדי להתאימו למציאות. אין לשנות את הפרוטוקול כדי שהלה לא ישקף את המציאות".</w:t>
      </w:r>
    </w:p>
    <w:p w:rsidR="0025709E" w:rsidRPr="0051498E" w:rsidRDefault="0025709E" w:rsidP="0025709E">
      <w:pPr>
        <w:pStyle w:val="a6"/>
        <w:spacing w:after="60" w:line="240" w:lineRule="auto"/>
        <w:rPr>
          <w:sz w:val="24"/>
          <w:highlight w:val="yellow"/>
          <w:rtl/>
        </w:rPr>
      </w:pPr>
      <w:r w:rsidRPr="0051498E">
        <w:rPr>
          <w:rFonts w:hint="cs"/>
          <w:sz w:val="24"/>
          <w:highlight w:val="yellow"/>
          <w:rtl/>
        </w:rPr>
        <w:t>אכן, רק פרוטוקול אמין בהליכיה של ועדת מכרזים יכול שיקיים את עקרון השקיפות, ופרוטוקול מעין</w:t>
      </w:r>
      <w:r w:rsidRPr="0051498E">
        <w:rPr>
          <w:rFonts w:hint="cs"/>
          <w:position w:val="4"/>
          <w:sz w:val="24"/>
          <w:highlight w:val="yellow"/>
          <w:rtl/>
        </w:rPr>
        <w:t>-</w:t>
      </w:r>
      <w:r w:rsidRPr="0051498E">
        <w:rPr>
          <w:rFonts w:hint="cs"/>
          <w:sz w:val="24"/>
          <w:highlight w:val="yellow"/>
          <w:rtl/>
        </w:rPr>
        <w:t>זה יחזק את ביטחוננו כי הליכי הוועדה התנהלו כשורה.</w:t>
      </w:r>
    </w:p>
    <w:p w:rsidR="0025709E" w:rsidRPr="0051498E" w:rsidRDefault="0025709E" w:rsidP="0025709E">
      <w:pPr>
        <w:pStyle w:val="a6"/>
        <w:spacing w:after="60" w:line="240" w:lineRule="auto"/>
        <w:rPr>
          <w:sz w:val="24"/>
          <w:rtl/>
        </w:rPr>
      </w:pPr>
      <w:r w:rsidRPr="0051498E">
        <w:rPr>
          <w:rFonts w:hint="cs"/>
          <w:sz w:val="24"/>
          <w:highlight w:val="yellow"/>
          <w:rtl/>
        </w:rPr>
        <w:t>21.</w:t>
      </w:r>
      <w:r w:rsidRPr="0051498E">
        <w:rPr>
          <w:rFonts w:hint="cs"/>
          <w:sz w:val="24"/>
          <w:highlight w:val="yellow"/>
          <w:rtl/>
        </w:rPr>
        <w:tab/>
        <w:t xml:space="preserve">מסקנתנו הינה אפוא זו כי חובה היא המוטלת על ועדת המכרזים לנהל פרוטוקול של דיוניה והחלטותיה, לרבות מידע הנמסר לה כנדרש בידי חברי הוועדה. </w:t>
      </w:r>
      <w:r w:rsidRPr="0051498E">
        <w:rPr>
          <w:rFonts w:hint="cs"/>
          <w:sz w:val="24"/>
          <w:rtl/>
        </w:rPr>
        <w:t>השאלה מה דין הוא במקום שלא נוהל בו פרוטוקול כלל, או שהפרוטוקול נרשם אך בחֶסֶר</w:t>
      </w:r>
      <w:r w:rsidRPr="0051498E">
        <w:rPr>
          <w:rFonts w:hint="cs"/>
          <w:sz w:val="24"/>
          <w:highlight w:val="yellow"/>
          <w:rtl/>
        </w:rPr>
        <w:t>, תיבחן בנסיבותיו של כל מקרה ומקרה, וההכרעה תיפול – בעיקרה – על</w:t>
      </w:r>
      <w:r w:rsidRPr="0051498E">
        <w:rPr>
          <w:rFonts w:hint="cs"/>
          <w:position w:val="4"/>
          <w:sz w:val="24"/>
          <w:highlight w:val="yellow"/>
          <w:rtl/>
        </w:rPr>
        <w:t>-</w:t>
      </w:r>
      <w:r w:rsidRPr="0051498E">
        <w:rPr>
          <w:rFonts w:hint="cs"/>
          <w:sz w:val="24"/>
          <w:highlight w:val="yellow"/>
          <w:rtl/>
        </w:rPr>
        <w:t>פי עוצמת הפגיעה בטוען כי נפגע. ...</w:t>
      </w:r>
    </w:p>
    <w:p w:rsidR="0025709E" w:rsidRPr="0051498E" w:rsidRDefault="0025709E" w:rsidP="0025709E">
      <w:pPr>
        <w:spacing w:after="60"/>
        <w:rPr>
          <w:rFonts w:cs="FrankRuehl"/>
          <w:rtl/>
        </w:rPr>
      </w:pPr>
      <w:r w:rsidRPr="0051498E">
        <w:rPr>
          <w:rFonts w:cs="FrankRuehl" w:hint="cs"/>
          <w:rtl/>
        </w:rPr>
        <w:t>23.</w:t>
      </w:r>
      <w:r w:rsidRPr="0051498E">
        <w:rPr>
          <w:rFonts w:cs="FrankRuehl" w:hint="cs"/>
          <w:rtl/>
        </w:rPr>
        <w:tab/>
      </w:r>
      <w:r w:rsidRPr="0051498E">
        <w:rPr>
          <w:rFonts w:cs="FrankRuehl" w:hint="cs"/>
          <w:highlight w:val="yellow"/>
          <w:rtl/>
        </w:rPr>
        <w:t xml:space="preserve">כללם של דברים: כדי להבטיח כי ועדת מכרזים במכרז פנימי לאיוש משרה תמלא תפקידה נאמנה, </w:t>
      </w:r>
      <w:r w:rsidRPr="0051498E">
        <w:rPr>
          <w:rFonts w:cs="FrankRuehl" w:hint="cs"/>
          <w:rtl/>
        </w:rPr>
        <w:t xml:space="preserve">שומה עליהם </w:t>
      </w:r>
      <w:r w:rsidRPr="0051498E">
        <w:rPr>
          <w:rFonts w:cs="FrankRuehl" w:hint="cs"/>
          <w:highlight w:val="yellow"/>
          <w:rtl/>
        </w:rPr>
        <w:t>על חברי הוועדה לדווח לוועדה בפרוטרוט על קשריהם עם המועמדים או עם מקצתם, על שיחות שהיו להם על אודות המועמדים עם אנשים שלישיים או עם חברי הוועדה שלא במושב הוועדה</w:t>
      </w:r>
      <w:r w:rsidRPr="0051498E">
        <w:rPr>
          <w:rFonts w:cs="FrankRuehl" w:hint="cs"/>
          <w:rtl/>
        </w:rPr>
        <w:t xml:space="preserve"> וכו'; </w:t>
      </w:r>
      <w:r w:rsidRPr="0051498E">
        <w:rPr>
          <w:rFonts w:cs="FrankRuehl" w:hint="cs"/>
          <w:highlight w:val="yellow"/>
          <w:rtl/>
        </w:rPr>
        <w:t>חובה היא המוטלת על הוועדה לנהל פרוטוקול שישקף למצער את עיקרי הדברים שהיו בדיוני הוועדה ואת נימוקי הוועדה להחלטתה</w:t>
      </w:r>
      <w:r w:rsidRPr="0051498E">
        <w:rPr>
          <w:rFonts w:cs="FrankRuehl" w:hint="cs"/>
          <w:rtl/>
        </w:rPr>
        <w:t xml:space="preserve">. </w:t>
      </w:r>
      <w:r w:rsidRPr="0051498E">
        <w:rPr>
          <w:rFonts w:cs="FrankRuehl" w:hint="cs"/>
          <w:highlight w:val="yellow"/>
          <w:rtl/>
        </w:rPr>
        <w:t>פרוטוקול זה – בכפיפות לחריגים המקובלים כגון פגיעה בצנעת הפרט, גילוי סוד מסחרי וכיו"ב – יהיה פתוח לעיונם של כל המועמדים כולם</w:t>
      </w:r>
      <w:r w:rsidRPr="0051498E">
        <w:rPr>
          <w:rFonts w:cs="FrankRuehl" w:hint="cs"/>
          <w:rtl/>
        </w:rPr>
        <w:t>. כך יהא ניתן להבטיח, למצער לכאורה, כי הוועדה פעלה כשורה, וכי קוים עקרון שוויון ההזדמנויות.</w:t>
      </w:r>
    </w:p>
    <w:p w:rsidR="0025709E" w:rsidRPr="0051498E" w:rsidRDefault="0025709E" w:rsidP="0025709E">
      <w:pPr>
        <w:spacing w:after="60"/>
        <w:rPr>
          <w:rFonts w:cs="FrankRuehl"/>
          <w:b/>
          <w:bCs/>
          <w:rtl/>
        </w:rPr>
      </w:pPr>
      <w:r w:rsidRPr="0051498E">
        <w:rPr>
          <w:rFonts w:cs="FrankRuehl" w:hint="cs"/>
          <w:b/>
          <w:bCs/>
          <w:rtl/>
        </w:rPr>
        <w:t>ומן הכלל אל הפרט</w:t>
      </w:r>
    </w:p>
    <w:p w:rsidR="0025709E" w:rsidRPr="0051498E" w:rsidRDefault="0025709E" w:rsidP="0025709E">
      <w:pPr>
        <w:spacing w:after="60"/>
        <w:rPr>
          <w:rFonts w:cs="FrankRuehl"/>
          <w:highlight w:val="yellow"/>
          <w:rtl/>
        </w:rPr>
      </w:pPr>
      <w:r w:rsidRPr="0051498E">
        <w:rPr>
          <w:rFonts w:cs="FrankRuehl" w:hint="cs"/>
          <w:rtl/>
        </w:rPr>
        <w:t>[...] אני מתקשה לקבל את מסקנתו של בית-הדין הארצי.</w:t>
      </w:r>
    </w:p>
    <w:p w:rsidR="0025709E" w:rsidRPr="0051498E" w:rsidRDefault="0025709E" w:rsidP="0025709E">
      <w:pPr>
        <w:spacing w:after="60"/>
        <w:ind w:firstLine="284"/>
        <w:rPr>
          <w:rFonts w:cs="FrankRuehl"/>
          <w:rtl/>
        </w:rPr>
      </w:pPr>
      <w:r w:rsidRPr="0051498E">
        <w:rPr>
          <w:rFonts w:cs="FrankRuehl" w:hint="cs"/>
          <w:highlight w:val="yellow"/>
          <w:rtl/>
        </w:rPr>
        <w:t>27.</w:t>
      </w:r>
      <w:r w:rsidRPr="0051498E">
        <w:rPr>
          <w:rFonts w:cs="FrankRuehl" w:hint="cs"/>
          <w:highlight w:val="yellow"/>
          <w:rtl/>
        </w:rPr>
        <w:tab/>
        <w:t>אני נכון להסכים – כיצד אוכל אחרת – כי היעדרו של פרוטוקול "מלא ואמין" אין בו, תמיד ובכל נסיבות שהן, כדי להביא לביטולו של מכרז. השאלה אילו תוצאות יגרור אחריו היעדרו של פרוטוקול – או היעדרו של פרוטוקול "מלא ואמין" – שאלה של נסיבות היא:</w:t>
      </w:r>
      <w:r w:rsidRPr="0051498E">
        <w:rPr>
          <w:rFonts w:cs="FrankRuehl" w:hint="cs"/>
          <w:rtl/>
        </w:rPr>
        <w:t xml:space="preserve"> יש שיהיה כך ויש שיהיה אחרת. </w:t>
      </w:r>
      <w:r w:rsidRPr="0051498E">
        <w:rPr>
          <w:rFonts w:cs="FrankRuehl" w:hint="cs"/>
          <w:highlight w:val="yellow"/>
          <w:rtl/>
        </w:rPr>
        <w:t>בענייננו-שלנו נודע להיעדרו של פרוטוקול משקל מכריע. כך למשל אין אנו יודעים אם דיווח בר-דוד לוועדה על אודות פגישות שהיו לו עם פלונים ואלמונים – ואם דיווח, מה דיווח – ואין אנו יודעים מה אמרו חברי הוועדה על דיווחים שהיו או שלא היו. אין אנו יודעים מה אמרו היועצים לוועדה, מה השמיעו חברי הוועדה, ועדויות על-פה שנשמעו לפני בית-הדין אינן מקדמות אותנו</w:t>
      </w:r>
      <w:r w:rsidRPr="0051498E">
        <w:rPr>
          <w:rFonts w:cs="FrankRuehl" w:hint="cs"/>
          <w:rtl/>
        </w:rPr>
        <w:t xml:space="preserve"> בהרבה. </w:t>
      </w:r>
      <w:r w:rsidRPr="0051498E">
        <w:rPr>
          <w:rFonts w:cs="FrankRuehl" w:hint="cs"/>
          <w:highlight w:val="yellow"/>
          <w:rtl/>
        </w:rPr>
        <w:t>אך באשר לא נרשם פרוטוקול אין עומדת לה לוועדה חזקת התקינות המינהלית, ובנסיבות אלו הנטל לא על העותר אלא על הוועדה מוטל הוא להראות כי פעלה כדין וכשורה</w:t>
      </w:r>
      <w:r w:rsidRPr="0051498E">
        <w:rPr>
          <w:rFonts w:cs="FrankRuehl" w:hint="cs"/>
          <w:rtl/>
        </w:rPr>
        <w:t xml:space="preserve"> (ואין זה מעלה או מוריד אם נטל השכנוע מוטל על הוועדה, או אם נטל השכנוע מוטל על העותר דווקא, אלא שהנטל הטקטי עבר אל שכמה של הוועדה). אמירת בית-המשפט כי העותר כשל בהסרת נטל השכנוע מעל כתפיו פועלת כבומרנג ופוגעת בוועדה דווקא. לשון אחר: כֶּשֶל שנמצא לו לבית-הדין במערכת העובדות שהציג העותר לפניו, מחזיר פניו לאחור ופוגע דווקא במערכת שהציגה  ועדת המכרזים לפניו. </w:t>
      </w:r>
      <w:r w:rsidRPr="0051498E">
        <w:rPr>
          <w:rFonts w:cs="FrankRuehl" w:hint="cs"/>
          <w:highlight w:val="yellow"/>
          <w:rtl/>
        </w:rPr>
        <w:t>וכך, משלא עלה בידיה של הוועדה להציג פרוטוקול ראוי על מהלך ישיבתה, הנטל – למצער הנטל הטקטי – עליה הוטל, להוכיח כי ישיבתה נוהלה כדין וכראוי. על רקע כל אלה נדע כי משהוכח מה שהוכח, כשלה הוועדה בהוכחה כי פעלה כשורה וכהלכה, כי בר-דוד דיווח לה את שהיה עליו לדווח וכו'.</w:t>
      </w:r>
      <w:r w:rsidRPr="0051498E">
        <w:rPr>
          <w:rFonts w:cs="FrankRuehl" w:hint="cs"/>
          <w:rtl/>
        </w:rPr>
        <w:t xml:space="preserve"> בבואנו לברר מה אירע בישיבת הוועדה היינו כסומים בארובה, ואת העלטה הביאה עלינו הוועדה. ומי שהביא את העלטה הוא אף שיישא בתוצאות.</w:t>
      </w:r>
    </w:p>
    <w:p w:rsidR="0025709E" w:rsidRPr="0051498E" w:rsidRDefault="0025709E" w:rsidP="0025709E">
      <w:pPr>
        <w:spacing w:after="60"/>
        <w:rPr>
          <w:rFonts w:cs="FrankRuehl"/>
          <w:rtl/>
        </w:rPr>
      </w:pPr>
      <w:r w:rsidRPr="0051498E">
        <w:rPr>
          <w:rFonts w:cs="FrankRuehl" w:hint="cs"/>
          <w:rtl/>
        </w:rPr>
        <w:t>28.</w:t>
      </w:r>
      <w:r w:rsidRPr="0051498E">
        <w:rPr>
          <w:rFonts w:cs="FrankRuehl" w:hint="cs"/>
          <w:rtl/>
        </w:rPr>
        <w:tab/>
      </w:r>
      <w:r w:rsidRPr="0051498E">
        <w:rPr>
          <w:rFonts w:cs="FrankRuehl" w:hint="cs"/>
          <w:highlight w:val="yellow"/>
          <w:rtl/>
        </w:rPr>
        <w:t>בית-הדין האזורי פטר עצמו מקביעת מימצאים באשר למַה שהתרחש בוועדה בקבעו כי "קולו של בן-דוד [בר-דוד] בוועדה מהווה חמישית מכלל הקולות המחליטים, ואף אם נציג ועד העובדים הנוסף בוועדה היה שותף לעמדתו, הרי שאין מדובר ברוב חברי הוועדה". פירוש: גם אם אמרנו כי קולו של בר-דוד וקולו של חברו לארגון העובדים – קולות פסולים הם, הנה שניים מתוך חמישה הם מיעוט, ועל-כן אין בהם כדי לפגום בהליכי הוועדה ובהחלטותיה. אני חולק על דברים אלה</w:t>
      </w:r>
      <w:r w:rsidRPr="0051498E">
        <w:rPr>
          <w:rFonts w:cs="FrankRuehl" w:hint="cs"/>
          <w:rtl/>
        </w:rPr>
        <w:t xml:space="preserve">, ומאותו טעם עצמו שתפוח מקולקל בתיבה </w:t>
      </w:r>
      <w:r w:rsidRPr="0051498E">
        <w:rPr>
          <w:rFonts w:cs="FrankRuehl" w:hint="cs"/>
          <w:highlight w:val="yellow"/>
          <w:rtl/>
        </w:rPr>
        <w:t>עלול להגיע תפוחים אחרים אף הם. אכן, חבר ועדה שגיבש עמדתו – או חבר ועדה המחזיק בדעה קדומה – יכול להשפיע על חבריו האחרים לוועדה, בין באמירות מפורשות בין באמירות עקיפין, ואם יכול הוא להשפיע, חזקה עליו שינסה להשפיע.</w:t>
      </w:r>
      <w:r w:rsidRPr="0051498E">
        <w:rPr>
          <w:rFonts w:cs="FrankRuehl" w:hint="cs"/>
          <w:rtl/>
        </w:rPr>
        <w:t xml:space="preserve"> וכך, אם עמדתו של אותו חבר ועדה נתגבשה בנסיבות הפוסלות את קולו, מעביר הוא ממילא את נגיף הפסלות לחבריו האחרים לוועדה אף-הם. [...].</w:t>
      </w:r>
    </w:p>
    <w:p w:rsidR="0025709E" w:rsidRPr="0051498E" w:rsidRDefault="0025709E" w:rsidP="0025709E">
      <w:pPr>
        <w:spacing w:after="60"/>
        <w:ind w:firstLine="284"/>
        <w:rPr>
          <w:rFonts w:cs="FrankRuehl"/>
          <w:rtl/>
        </w:rPr>
      </w:pPr>
      <w:r w:rsidRPr="0051498E">
        <w:rPr>
          <w:rFonts w:cs="FrankRuehl" w:hint="cs"/>
          <w:highlight w:val="yellow"/>
          <w:rtl/>
        </w:rPr>
        <w:t>29. [...] ערים אנו כמובן לרגישות הנלווית לבחירתם של מועמדים לאיוש משרה פנויה. שיקולים אישיים – בחלקם אף אינטימיים – מתרוצצים במערכת. לא כל אשר יילחש אף ייאמר בקול, ולא כל אשר ייאמר בקול יירשם. הכול יודעין, וגם אנו נדע. לא בכדי נקבע בסעיף 3 לחוק סדרי המינהל כי אין חובה לנמק סירוב למנות את המבקש למשרה פלונית. ואולם ענייננו רחוק מאותם מקרים מיוחדים. מקום שאיש ועד לוחש באוזנו של חבר ועדת מכרזים כי שומה עליו לבחור בפלוני ולא באלמוני, חייבים כל חברי ועדת המכרזים לדעת על דבר אותה לחישה, וחייבים הדברים שיירשמו בפרוטוקול.  בהיעדר פרוטוקול לא ידענו מה שאירע במהלך ישיבתה של הוועדה, ואך ראוי הוא שנניח דברים לחובתה של הוועדה.</w:t>
      </w:r>
      <w:r w:rsidRPr="0051498E">
        <w:rPr>
          <w:rFonts w:cs="FrankRuehl" w:hint="cs"/>
          <w:rtl/>
        </w:rPr>
        <w:t xml:space="preserve"> פירוש הדברים הוא, בנסיבות העניין, כי בר-דוד [חבר הוועדה] הִגִּיעַ את הוועדה בפגם של משוא פנים, ועל רקע זה אחת דינו של המכרז – להיבטל.</w:t>
      </w:r>
    </w:p>
    <w:p w:rsidR="0025709E" w:rsidRPr="001F1CCB" w:rsidRDefault="0025709E" w:rsidP="0025709E">
      <w:pPr>
        <w:spacing w:after="60"/>
        <w:rPr>
          <w:rFonts w:cs="FrankRuehl"/>
          <w:sz w:val="22"/>
          <w:szCs w:val="22"/>
          <w:rtl/>
        </w:rPr>
      </w:pPr>
    </w:p>
    <w:p w:rsidR="0025709E" w:rsidRDefault="0025709E" w:rsidP="0025709E">
      <w:pPr>
        <w:tabs>
          <w:tab w:val="left" w:pos="423"/>
        </w:tabs>
        <w:jc w:val="left"/>
        <w:rPr>
          <w:highlight w:val="yellow"/>
          <w:rtl/>
        </w:rPr>
      </w:pPr>
      <w:r>
        <w:rPr>
          <w:rFonts w:hint="cs"/>
          <w:highlight w:val="yellow"/>
          <w:rtl/>
        </w:rPr>
        <w:t>=-=</w:t>
      </w:r>
    </w:p>
    <w:p w:rsidR="0025709E" w:rsidRPr="00404A1D" w:rsidRDefault="0025709E" w:rsidP="0025709E">
      <w:pPr>
        <w:tabs>
          <w:tab w:val="left" w:pos="423"/>
        </w:tabs>
        <w:jc w:val="left"/>
        <w:rPr>
          <w:rFonts w:ascii="Arial" w:hAnsi="Arial" w:cs="Arial"/>
          <w:b/>
          <w:bCs/>
          <w:sz w:val="36"/>
          <w:szCs w:val="36"/>
          <w:highlight w:val="yellow"/>
          <w:rtl/>
        </w:rPr>
      </w:pPr>
      <w:r w:rsidRPr="00404A1D">
        <w:rPr>
          <w:rFonts w:ascii="Arial" w:hAnsi="Arial" w:cs="Arial"/>
          <w:b/>
          <w:bCs/>
          <w:sz w:val="36"/>
          <w:szCs w:val="36"/>
          <w:highlight w:val="yellow"/>
          <w:rtl/>
        </w:rPr>
        <w:t xml:space="preserve">הכלל בדבר איסור </w:t>
      </w:r>
      <w:r>
        <w:rPr>
          <w:rFonts w:ascii="Arial" w:hAnsi="Arial" w:cs="Arial" w:hint="cs"/>
          <w:b/>
          <w:bCs/>
          <w:sz w:val="36"/>
          <w:szCs w:val="36"/>
          <w:highlight w:val="yellow"/>
          <w:rtl/>
        </w:rPr>
        <w:t>"ניגוד עניינים"</w:t>
      </w:r>
    </w:p>
    <w:p w:rsidR="0025709E" w:rsidRDefault="0025709E" w:rsidP="0025709E">
      <w:pPr>
        <w:tabs>
          <w:tab w:val="left" w:pos="423"/>
        </w:tabs>
        <w:jc w:val="left"/>
        <w:rPr>
          <w:highlight w:val="yellow"/>
          <w:rtl/>
        </w:rPr>
      </w:pPr>
    </w:p>
    <w:p w:rsidR="0025709E" w:rsidRDefault="0025709E" w:rsidP="0025709E">
      <w:pPr>
        <w:tabs>
          <w:tab w:val="left" w:pos="423"/>
        </w:tabs>
        <w:rPr>
          <w:rFonts w:ascii="Arial" w:hAnsi="Arial" w:cs="Arial"/>
          <w:b/>
          <w:bCs/>
          <w:highlight w:val="yellow"/>
          <w:rtl/>
        </w:rPr>
      </w:pPr>
      <w:r>
        <w:rPr>
          <w:rFonts w:ascii="Arial" w:hAnsi="Arial" w:cs="Arial" w:hint="cs"/>
          <w:b/>
          <w:bCs/>
          <w:highlight w:val="yellow"/>
          <w:rtl/>
        </w:rPr>
        <w:t>על האופן שבו ניגוד עניינים נכרך בחשש מ</w:t>
      </w:r>
      <w:r w:rsidRPr="00FB4E80">
        <w:rPr>
          <w:rFonts w:ascii="Arial" w:hAnsi="Arial" w:cs="Arial"/>
          <w:b/>
          <w:bCs/>
          <w:highlight w:val="yellow"/>
          <w:rtl/>
        </w:rPr>
        <w:t>משוא פנים</w:t>
      </w:r>
      <w:r>
        <w:rPr>
          <w:rFonts w:ascii="Arial" w:hAnsi="Arial" w:cs="Arial" w:hint="cs"/>
          <w:b/>
          <w:bCs/>
          <w:highlight w:val="yellow"/>
          <w:rtl/>
        </w:rPr>
        <w:t>;</w:t>
      </w:r>
    </w:p>
    <w:p w:rsidR="0025709E" w:rsidRDefault="0025709E" w:rsidP="0025709E">
      <w:pPr>
        <w:tabs>
          <w:tab w:val="left" w:pos="423"/>
        </w:tabs>
        <w:rPr>
          <w:highlight w:val="yellow"/>
          <w:rtl/>
        </w:rPr>
      </w:pPr>
      <w:r>
        <w:rPr>
          <w:rFonts w:ascii="Arial" w:hAnsi="Arial" w:cs="Arial" w:hint="cs"/>
          <w:b/>
          <w:bCs/>
          <w:highlight w:val="yellow"/>
          <w:rtl/>
        </w:rPr>
        <w:t xml:space="preserve">וכן מה הגיונו של הכלל הנוגע למשוא פנים, ומהם גבולותיו? </w:t>
      </w:r>
    </w:p>
    <w:p w:rsidR="0025709E" w:rsidRDefault="0025709E" w:rsidP="0025709E">
      <w:pPr>
        <w:tabs>
          <w:tab w:val="left" w:pos="423"/>
        </w:tabs>
        <w:jc w:val="left"/>
        <w:rPr>
          <w:highlight w:val="yellow"/>
          <w:rtl/>
        </w:rPr>
      </w:pPr>
    </w:p>
    <w:p w:rsidR="0025709E" w:rsidRDefault="0025709E" w:rsidP="0025709E">
      <w:pPr>
        <w:tabs>
          <w:tab w:val="left" w:pos="423"/>
        </w:tabs>
        <w:jc w:val="left"/>
        <w:rPr>
          <w:highlight w:val="yellow"/>
          <w:rtl/>
        </w:rPr>
      </w:pPr>
      <w:r>
        <w:rPr>
          <w:rFonts w:hint="cs"/>
          <w:highlight w:val="yellow"/>
          <w:rtl/>
        </w:rPr>
        <w:t>מקרה של ניגוד עניינים מוסדי</w:t>
      </w:r>
    </w:p>
    <w:p w:rsidR="0025709E" w:rsidRPr="00840FE5" w:rsidRDefault="0025709E" w:rsidP="0025709E">
      <w:pPr>
        <w:tabs>
          <w:tab w:val="left" w:pos="423"/>
        </w:tabs>
        <w:spacing w:after="120"/>
        <w:ind w:left="425"/>
        <w:rPr>
          <w:rFonts w:cs="FrankRuehl"/>
          <w:sz w:val="26"/>
          <w:szCs w:val="26"/>
          <w:rtl/>
        </w:rPr>
      </w:pPr>
      <w:r w:rsidRPr="00840FE5">
        <w:rPr>
          <w:rFonts w:cs="FrankRuehl"/>
          <w:sz w:val="26"/>
          <w:szCs w:val="26"/>
          <w:rtl/>
        </w:rPr>
        <w:t>השופט ח</w:t>
      </w:r>
      <w:r w:rsidRPr="00840FE5">
        <w:rPr>
          <w:rFonts w:cs="FrankRuehl" w:hint="cs"/>
          <w:sz w:val="26"/>
          <w:szCs w:val="26"/>
          <w:rtl/>
        </w:rPr>
        <w:t>יים</w:t>
      </w:r>
      <w:r w:rsidRPr="00840FE5">
        <w:rPr>
          <w:rFonts w:cs="FrankRuehl"/>
          <w:sz w:val="26"/>
          <w:szCs w:val="26"/>
          <w:rtl/>
        </w:rPr>
        <w:t xml:space="preserve"> כהן</w:t>
      </w:r>
      <w:r w:rsidRPr="00840FE5">
        <w:rPr>
          <w:rFonts w:cs="FrankRuehl" w:hint="cs"/>
          <w:sz w:val="26"/>
          <w:szCs w:val="26"/>
          <w:rtl/>
        </w:rPr>
        <w:t xml:space="preserve"> [</w:t>
      </w:r>
      <w:r w:rsidRPr="00840FE5">
        <w:rPr>
          <w:rFonts w:cs="FrankRuehl"/>
          <w:sz w:val="26"/>
          <w:szCs w:val="26"/>
          <w:rtl/>
        </w:rPr>
        <w:t xml:space="preserve">בג"צ 279/60 </w:t>
      </w:r>
      <w:r w:rsidRPr="00840FE5">
        <w:rPr>
          <w:rFonts w:cs="FrankRuehl"/>
          <w:b/>
          <w:bCs/>
          <w:sz w:val="26"/>
          <w:szCs w:val="26"/>
          <w:rtl/>
        </w:rPr>
        <w:t>אולמי גיל</w:t>
      </w:r>
      <w:r>
        <w:rPr>
          <w:rFonts w:cs="FrankRuehl" w:hint="cs"/>
          <w:sz w:val="26"/>
          <w:szCs w:val="26"/>
          <w:rtl/>
        </w:rPr>
        <w:t xml:space="preserve"> נ' משה יערי ועירית תל-אביב-יפו</w:t>
      </w:r>
      <w:r w:rsidRPr="00840FE5">
        <w:rPr>
          <w:rFonts w:cs="FrankRuehl" w:hint="cs"/>
          <w:sz w:val="26"/>
          <w:szCs w:val="26"/>
          <w:rtl/>
        </w:rPr>
        <w:t>]</w:t>
      </w:r>
      <w:r w:rsidRPr="00840FE5">
        <w:rPr>
          <w:rFonts w:cs="FrankRuehl"/>
          <w:sz w:val="26"/>
          <w:szCs w:val="26"/>
          <w:rtl/>
        </w:rPr>
        <w:t xml:space="preserve">: </w:t>
      </w:r>
    </w:p>
    <w:p w:rsidR="0025709E" w:rsidRPr="00404A1D" w:rsidRDefault="0025709E" w:rsidP="0025709E">
      <w:pPr>
        <w:tabs>
          <w:tab w:val="left" w:pos="423"/>
        </w:tabs>
        <w:rPr>
          <w:rFonts w:asciiTheme="minorBidi" w:hAnsiTheme="minorBidi" w:cstheme="minorBidi"/>
          <w:sz w:val="18"/>
          <w:szCs w:val="18"/>
          <w:rtl/>
        </w:rPr>
      </w:pPr>
      <w:r w:rsidRPr="00404A1D">
        <w:rPr>
          <w:rFonts w:asciiTheme="minorBidi" w:hAnsiTheme="minorBidi" w:cstheme="minorBidi"/>
          <w:sz w:val="18"/>
          <w:szCs w:val="18"/>
          <w:rtl/>
        </w:rPr>
        <w:t>מנהל מחלקת מסי עקיפין לשעבד בעירית תל־אביב, המקבל מעיריה גימלה, נתמנה על-ידי שר־הפנים ליושב־ראש ועדת העררים שמתפקידה, בין היתר, לדון בעניני היטל סעד ונופש,</w:t>
      </w:r>
      <w:r w:rsidRPr="00404A1D">
        <w:rPr>
          <w:rFonts w:asciiTheme="minorBidi" w:hAnsiTheme="minorBidi" w:cstheme="minorBidi"/>
          <w:sz w:val="18"/>
          <w:szCs w:val="18"/>
        </w:rPr>
        <w:t xml:space="preserve"> </w:t>
      </w:r>
      <w:r w:rsidRPr="00404A1D">
        <w:rPr>
          <w:rFonts w:asciiTheme="minorBidi" w:hAnsiTheme="minorBidi" w:cstheme="minorBidi"/>
          <w:sz w:val="18"/>
          <w:szCs w:val="18"/>
          <w:rtl/>
        </w:rPr>
        <w:t xml:space="preserve">עניינים בהם טיפל קודם לכן כמנהל המחלקה וחיווה בהם דעתו. </w:t>
      </w:r>
    </w:p>
    <w:p w:rsidR="0025709E" w:rsidRPr="00404A1D" w:rsidRDefault="0025709E" w:rsidP="0025709E">
      <w:pPr>
        <w:tabs>
          <w:tab w:val="left" w:pos="423"/>
        </w:tabs>
        <w:rPr>
          <w:rFonts w:asciiTheme="minorBidi" w:hAnsiTheme="minorBidi" w:cstheme="minorBidi"/>
          <w:sz w:val="18"/>
          <w:szCs w:val="18"/>
          <w:rtl/>
        </w:rPr>
      </w:pPr>
      <w:r w:rsidRPr="00404A1D">
        <w:rPr>
          <w:rFonts w:asciiTheme="minorBidi" w:hAnsiTheme="minorBidi" w:cstheme="minorBidi"/>
          <w:sz w:val="18"/>
          <w:szCs w:val="18"/>
          <w:rtl/>
        </w:rPr>
        <w:t>המבקשת, בראותה אותו כפסול לשבת בדין בגוף מעין־שיפוטי מחמת משוא פנים, ביקשה לתת צו שימנע ממנו מלשבת בבירור</w:t>
      </w:r>
      <w:r w:rsidRPr="00404A1D">
        <w:rPr>
          <w:rFonts w:asciiTheme="minorBidi" w:hAnsiTheme="minorBidi" w:cstheme="minorBidi"/>
          <w:sz w:val="18"/>
          <w:szCs w:val="18"/>
        </w:rPr>
        <w:t xml:space="preserve"> </w:t>
      </w:r>
      <w:r w:rsidRPr="00404A1D">
        <w:rPr>
          <w:rFonts w:asciiTheme="minorBidi" w:hAnsiTheme="minorBidi" w:cstheme="minorBidi"/>
          <w:sz w:val="18"/>
          <w:szCs w:val="18"/>
          <w:rtl/>
        </w:rPr>
        <w:t xml:space="preserve">עררה, וכן לבטל כל דיוני הוועדה שנתקיימו קודם לכן לגבי אותו ערר, בהשתתפותו. </w:t>
      </w:r>
    </w:p>
    <w:p w:rsidR="0025709E" w:rsidRPr="00404A1D" w:rsidRDefault="0025709E" w:rsidP="0025709E">
      <w:pPr>
        <w:tabs>
          <w:tab w:val="left" w:pos="423"/>
        </w:tabs>
        <w:rPr>
          <w:rFonts w:asciiTheme="minorBidi" w:hAnsiTheme="minorBidi" w:cstheme="minorBidi"/>
          <w:sz w:val="18"/>
          <w:szCs w:val="18"/>
          <w:rtl/>
        </w:rPr>
      </w:pPr>
      <w:r w:rsidRPr="00404A1D">
        <w:rPr>
          <w:rFonts w:asciiTheme="minorBidi" w:hAnsiTheme="minorBidi" w:cstheme="minorBidi"/>
          <w:sz w:val="18"/>
          <w:szCs w:val="18"/>
          <w:rtl/>
        </w:rPr>
        <w:t>בית המשפט הגבוה לצדק, בעשותו את הצו־על־תנאי החלטי, פסק:</w:t>
      </w:r>
    </w:p>
    <w:p w:rsidR="0025709E" w:rsidRPr="00404A1D" w:rsidRDefault="0025709E" w:rsidP="0025709E">
      <w:pPr>
        <w:tabs>
          <w:tab w:val="left" w:pos="423"/>
        </w:tabs>
        <w:rPr>
          <w:rFonts w:asciiTheme="minorBidi" w:hAnsiTheme="minorBidi" w:cstheme="minorBidi"/>
          <w:sz w:val="18"/>
          <w:szCs w:val="18"/>
          <w:rtl/>
        </w:rPr>
      </w:pPr>
      <w:r w:rsidRPr="00404A1D">
        <w:rPr>
          <w:rFonts w:asciiTheme="minorBidi" w:hAnsiTheme="minorBidi" w:cstheme="minorBidi"/>
          <w:sz w:val="18"/>
          <w:szCs w:val="18"/>
          <w:rtl/>
        </w:rPr>
        <w:t>1. אף אם הדעה המשוחדת ומשוא הפנים במובנם ב־בג״צ 174/54 אינם קיימים למעשה, מן הדין הוא שענייני הצדק, והליכים מעין־שיפוטיים בכלל זה, יתנהלו כך שכל אדם סביר יראה את הצדק בעשייתו, ולא יעלה על דעתו שהממונים על עשיית צדק נוהגים במשוא פנים ובדעה משוחדת, ואפילו שלא במזיד ובלא יודעין.</w:t>
      </w:r>
    </w:p>
    <w:p w:rsidR="0025709E" w:rsidRPr="00404A1D" w:rsidRDefault="0025709E" w:rsidP="0025709E">
      <w:pPr>
        <w:tabs>
          <w:tab w:val="left" w:pos="423"/>
        </w:tabs>
        <w:rPr>
          <w:rFonts w:asciiTheme="minorBidi" w:hAnsiTheme="minorBidi" w:cstheme="minorBidi"/>
          <w:sz w:val="18"/>
          <w:szCs w:val="18"/>
          <w:rtl/>
        </w:rPr>
      </w:pPr>
      <w:r w:rsidRPr="00404A1D">
        <w:rPr>
          <w:rFonts w:asciiTheme="minorBidi" w:hAnsiTheme="minorBidi" w:cstheme="minorBidi"/>
          <w:sz w:val="18"/>
          <w:szCs w:val="18"/>
          <w:rtl/>
        </w:rPr>
        <w:t>2. משום כך במקרה כגון זה שלפנינו יהיה</w:t>
      </w:r>
      <w:r>
        <w:rPr>
          <w:rFonts w:asciiTheme="minorBidi" w:hAnsiTheme="minorBidi" w:cstheme="minorBidi" w:hint="cs"/>
          <w:sz w:val="18"/>
          <w:szCs w:val="18"/>
          <w:rtl/>
        </w:rPr>
        <w:t xml:space="preserve"> אדם</w:t>
      </w:r>
      <w:r w:rsidRPr="00404A1D">
        <w:rPr>
          <w:rFonts w:asciiTheme="minorBidi" w:hAnsiTheme="minorBidi" w:cstheme="minorBidi"/>
          <w:sz w:val="18"/>
          <w:szCs w:val="18"/>
          <w:rtl/>
        </w:rPr>
        <w:t xml:space="preserve"> פסול</w:t>
      </w:r>
      <w:r>
        <w:rPr>
          <w:rFonts w:asciiTheme="minorBidi" w:hAnsiTheme="minorBidi" w:cstheme="minorBidi" w:hint="cs"/>
          <w:sz w:val="18"/>
          <w:szCs w:val="18"/>
          <w:rtl/>
        </w:rPr>
        <w:t xml:space="preserve"> מ</w:t>
      </w:r>
      <w:r w:rsidRPr="00404A1D">
        <w:rPr>
          <w:rFonts w:asciiTheme="minorBidi" w:hAnsiTheme="minorBidi" w:cstheme="minorBidi"/>
          <w:sz w:val="18"/>
          <w:szCs w:val="18"/>
          <w:rtl/>
        </w:rPr>
        <w:t>לכהן כיושב־ראש</w:t>
      </w:r>
      <w:r>
        <w:rPr>
          <w:rFonts w:asciiTheme="minorBidi" w:hAnsiTheme="minorBidi" w:cstheme="minorBidi" w:hint="cs"/>
          <w:sz w:val="18"/>
          <w:szCs w:val="18"/>
          <w:rtl/>
        </w:rPr>
        <w:t xml:space="preserve"> ועדת </w:t>
      </w:r>
      <w:r w:rsidRPr="00404A1D">
        <w:rPr>
          <w:rFonts w:asciiTheme="minorBidi" w:hAnsiTheme="minorBidi" w:cstheme="minorBidi"/>
          <w:sz w:val="18"/>
          <w:szCs w:val="18"/>
          <w:rtl/>
        </w:rPr>
        <w:t xml:space="preserve">העררים באותה עיריה. </w:t>
      </w:r>
    </w:p>
    <w:p w:rsidR="0025709E" w:rsidRDefault="0025709E" w:rsidP="0025709E">
      <w:pPr>
        <w:tabs>
          <w:tab w:val="left" w:pos="423"/>
        </w:tabs>
        <w:rPr>
          <w:rtl/>
        </w:rPr>
      </w:pPr>
      <w:r w:rsidRPr="00404A1D">
        <w:rPr>
          <w:rFonts w:asciiTheme="minorBidi" w:hAnsiTheme="minorBidi" w:cstheme="minorBidi"/>
          <w:sz w:val="18"/>
          <w:szCs w:val="18"/>
          <w:rtl/>
        </w:rPr>
        <w:t>3. שונה יהיה המצב אם יתמנה, כבעל־נסיון וידע הדרושים, לכהן בתפקיד זה ברשויות מקומיות אחרות, או ידון בעניינים שלא טיפל בהם קודם לכן.</w:t>
      </w:r>
    </w:p>
    <w:p w:rsidR="0025709E" w:rsidRDefault="0025709E" w:rsidP="0025709E">
      <w:pPr>
        <w:tabs>
          <w:tab w:val="left" w:pos="423"/>
        </w:tabs>
        <w:rPr>
          <w:rFonts w:cs="FrankRuehl"/>
          <w:sz w:val="22"/>
          <w:szCs w:val="22"/>
          <w:rtl/>
        </w:rPr>
      </w:pPr>
    </w:p>
    <w:p w:rsidR="0025709E" w:rsidRDefault="0025709E" w:rsidP="0025709E">
      <w:pPr>
        <w:tabs>
          <w:tab w:val="left" w:pos="423"/>
        </w:tabs>
        <w:rPr>
          <w:highlight w:val="yellow"/>
          <w:rtl/>
        </w:rPr>
      </w:pPr>
      <w:r w:rsidRPr="001F1CCB">
        <w:rPr>
          <w:rFonts w:cs="FrankRuehl"/>
          <w:sz w:val="22"/>
          <w:szCs w:val="22"/>
          <w:rtl/>
        </w:rPr>
        <w:t xml:space="preserve">"כשנוקטים אנחנו לענין זה לשון משוא-פנים, אין כוונתנו לכך שהמשיב ישא במזיד וביודעין פני צד אחד, וכשנוקטים אנחנו לענין זה לשון דעה משוחדת, אין כוונתנו לכך שדעתו של המשיב שוחדה בשוחד ממש. </w:t>
      </w:r>
      <w:r w:rsidRPr="000A508A">
        <w:rPr>
          <w:rFonts w:cs="FrankRuehl"/>
          <w:sz w:val="22"/>
          <w:szCs w:val="22"/>
          <w:highlight w:val="yellow"/>
          <w:rtl/>
        </w:rPr>
        <w:t>הכוונה היא שמשוא-הפנים הוא, מטבע הדברים, מחוייב המציאות, או קרוב לוודאי, אפילו שלא במזיד ובלא יודעין, שהרי קרוב אדם אצל עצמו, ואין אדם רואה חובה לעצמו</w:t>
      </w:r>
      <w:r w:rsidRPr="001F1CCB">
        <w:rPr>
          <w:rFonts w:cs="FrankRuehl"/>
          <w:sz w:val="22"/>
          <w:szCs w:val="22"/>
          <w:rtl/>
        </w:rPr>
        <w:t>: העמדה שנקט, ואשר מתוך שכנוע פנימי וכנה נקט, בתפקידו הקודם, והאינטרסים שייצג, ואשר מתוך הכרת צדקתם וחוקיותם ייצג, בתפקידו הקודם, הם מטבע הדברים קרובים ללבו עד כדי הזדהות עמם, ולו גם באורח תת-הכרתי בלבד</w:t>
      </w:r>
      <w:r w:rsidRPr="00404A1D">
        <w:rPr>
          <w:rFonts w:cs="FrankRuehl"/>
          <w:sz w:val="22"/>
          <w:szCs w:val="22"/>
          <w:highlight w:val="yellow"/>
          <w:rtl/>
        </w:rPr>
        <w:t>: והוא הדין לדעה שיצר לעצמו בענין פלוני שעמד לפניו בתפקידו הקודם, ואשר הוא הענין העומד לפניו בתפקידו החדש:</w:t>
      </w:r>
      <w:r w:rsidRPr="001F1CCB">
        <w:rPr>
          <w:rFonts w:cs="FrankRuehl"/>
          <w:sz w:val="22"/>
          <w:szCs w:val="22"/>
          <w:rtl/>
        </w:rPr>
        <w:t xml:space="preserve"> מה שהדעה ההיא היתה אז כנה ובטוחה יותר, יקשה על אדם בתפקיד חדש לנער חצנו ממנה ולהשתחרר מרישומה</w:t>
      </w:r>
      <w:r w:rsidRPr="001F1CCB">
        <w:rPr>
          <w:rFonts w:cs="FrankRuehl" w:hint="cs"/>
          <w:sz w:val="22"/>
          <w:szCs w:val="22"/>
          <w:rtl/>
        </w:rPr>
        <w:t>.</w:t>
      </w:r>
      <w:r w:rsidRPr="001F1CCB">
        <w:rPr>
          <w:rFonts w:cs="FrankRuehl"/>
          <w:sz w:val="22"/>
          <w:szCs w:val="22"/>
          <w:rtl/>
        </w:rPr>
        <w:t>"</w:t>
      </w:r>
    </w:p>
    <w:p w:rsidR="0025709E" w:rsidRDefault="0025709E" w:rsidP="0025709E">
      <w:pPr>
        <w:tabs>
          <w:tab w:val="left" w:pos="423"/>
        </w:tabs>
        <w:jc w:val="left"/>
        <w:rPr>
          <w:highlight w:val="yellow"/>
          <w:rtl/>
        </w:rPr>
      </w:pPr>
    </w:p>
    <w:p w:rsidR="0025709E" w:rsidRDefault="0025709E" w:rsidP="0025709E">
      <w:pPr>
        <w:tabs>
          <w:tab w:val="left" w:pos="423"/>
        </w:tabs>
        <w:jc w:val="left"/>
        <w:rPr>
          <w:highlight w:val="yellow"/>
          <w:rtl/>
        </w:rPr>
      </w:pPr>
      <w:r>
        <w:rPr>
          <w:rFonts w:hint="cs"/>
          <w:highlight w:val="yellow"/>
          <w:rtl/>
        </w:rPr>
        <w:t>=-=</w:t>
      </w:r>
    </w:p>
    <w:p w:rsidR="0025709E" w:rsidRDefault="0025709E" w:rsidP="0025709E">
      <w:pPr>
        <w:tabs>
          <w:tab w:val="left" w:pos="423"/>
        </w:tabs>
        <w:jc w:val="left"/>
        <w:rPr>
          <w:rFonts w:ascii="Arial" w:hAnsi="Arial" w:cs="Arial"/>
          <w:b/>
          <w:bCs/>
          <w:highlight w:val="yellow"/>
          <w:rtl/>
        </w:rPr>
      </w:pPr>
      <w:r>
        <w:rPr>
          <w:rFonts w:ascii="Arial" w:hAnsi="Arial" w:cs="Arial" w:hint="cs"/>
          <w:b/>
          <w:bCs/>
          <w:highlight w:val="yellow"/>
          <w:rtl/>
        </w:rPr>
        <w:t>פסק הדין המנחה ביחס ל</w:t>
      </w:r>
      <w:r w:rsidRPr="00FB4E80">
        <w:rPr>
          <w:rFonts w:ascii="Arial" w:hAnsi="Arial" w:cs="Arial"/>
          <w:b/>
          <w:bCs/>
          <w:highlight w:val="yellow"/>
          <w:rtl/>
        </w:rPr>
        <w:t xml:space="preserve">איסור </w:t>
      </w:r>
      <w:r>
        <w:rPr>
          <w:rFonts w:ascii="Arial" w:hAnsi="Arial" w:cs="Arial" w:hint="cs"/>
          <w:b/>
          <w:bCs/>
          <w:highlight w:val="yellow"/>
          <w:rtl/>
        </w:rPr>
        <w:t>ניגוד עניינים בהקשר המוסדי – ניגוד עניינים בין אינטרס ציבורי אחד לאינטרס ציבורי אחר:</w:t>
      </w:r>
    </w:p>
    <w:p w:rsidR="0025709E" w:rsidRDefault="0025709E" w:rsidP="0025709E">
      <w:pPr>
        <w:tabs>
          <w:tab w:val="left" w:pos="423"/>
        </w:tabs>
        <w:jc w:val="left"/>
        <w:rPr>
          <w:highlight w:val="yellow"/>
          <w:rtl/>
        </w:rPr>
      </w:pPr>
    </w:p>
    <w:p w:rsidR="0025709E" w:rsidRPr="006432F1" w:rsidRDefault="0025709E" w:rsidP="0025709E">
      <w:pPr>
        <w:tabs>
          <w:tab w:val="left" w:pos="423"/>
        </w:tabs>
        <w:spacing w:after="120"/>
        <w:jc w:val="left"/>
        <w:rPr>
          <w:rtl/>
        </w:rPr>
      </w:pPr>
      <w:r w:rsidRPr="006432F1">
        <w:rPr>
          <w:highlight w:val="yellow"/>
          <w:rtl/>
        </w:rPr>
        <w:t xml:space="preserve">בג"צ 531/79 </w:t>
      </w:r>
      <w:r w:rsidRPr="006432F1">
        <w:rPr>
          <w:b/>
          <w:bCs/>
          <w:highlight w:val="yellow"/>
          <w:rtl/>
        </w:rPr>
        <w:t>סיעת "הליכוד" בעיריית פתח-תקווה נ' מועצת עיריית פתח-תקווה</w:t>
      </w:r>
      <w:r w:rsidRPr="006432F1">
        <w:rPr>
          <w:highlight w:val="yellow"/>
          <w:rtl/>
        </w:rPr>
        <w:t>, פ"ד לד(2) 566</w:t>
      </w:r>
      <w:r>
        <w:rPr>
          <w:rFonts w:hint="cs"/>
          <w:highlight w:val="yellow"/>
          <w:rtl/>
        </w:rPr>
        <w:t xml:space="preserve"> (1980)</w:t>
      </w:r>
      <w:r w:rsidRPr="006432F1">
        <w:rPr>
          <w:highlight w:val="yellow"/>
          <w:rtl/>
        </w:rPr>
        <w:t xml:space="preserve"> </w:t>
      </w:r>
    </w:p>
    <w:p w:rsidR="0025709E" w:rsidRDefault="0025709E" w:rsidP="0025709E">
      <w:pPr>
        <w:tabs>
          <w:tab w:val="left" w:pos="423"/>
        </w:tabs>
        <w:spacing w:after="120"/>
        <w:rPr>
          <w:rFonts w:cs="FrankRuehl"/>
          <w:sz w:val="22"/>
          <w:szCs w:val="22"/>
          <w:rtl/>
        </w:rPr>
      </w:pPr>
      <w:r w:rsidRPr="001F1CCB">
        <w:rPr>
          <w:rFonts w:cs="FrankRuehl" w:hint="cs"/>
          <w:sz w:val="22"/>
          <w:szCs w:val="22"/>
          <w:rtl/>
        </w:rPr>
        <w:t xml:space="preserve">[...] </w:t>
      </w:r>
      <w:r w:rsidRPr="001F1CCB">
        <w:rPr>
          <w:rFonts w:cs="FrankRuehl"/>
          <w:sz w:val="22"/>
          <w:szCs w:val="22"/>
          <w:rtl/>
        </w:rPr>
        <w:t xml:space="preserve">שתיים הן השאלות המתעוררות לפנינו: </w:t>
      </w:r>
    </w:p>
    <w:p w:rsidR="0025709E" w:rsidRDefault="0025709E" w:rsidP="0025709E">
      <w:pPr>
        <w:tabs>
          <w:tab w:val="left" w:pos="423"/>
        </w:tabs>
        <w:spacing w:after="120"/>
        <w:rPr>
          <w:rFonts w:cs="FrankRuehl"/>
          <w:sz w:val="22"/>
          <w:szCs w:val="22"/>
          <w:rtl/>
        </w:rPr>
      </w:pPr>
      <w:r w:rsidRPr="001F1CCB">
        <w:rPr>
          <w:rFonts w:cs="FrankRuehl"/>
          <w:sz w:val="22"/>
          <w:szCs w:val="22"/>
          <w:rtl/>
        </w:rPr>
        <w:t xml:space="preserve">האחת, האם בחירתו של </w:t>
      </w:r>
      <w:r w:rsidRPr="006D2D24">
        <w:rPr>
          <w:rFonts w:cs="FrankRuehl"/>
          <w:b/>
          <w:bCs/>
          <w:sz w:val="22"/>
          <w:szCs w:val="22"/>
          <w:rtl/>
        </w:rPr>
        <w:t xml:space="preserve">חבר הנהלה </w:t>
      </w:r>
      <w:r w:rsidRPr="006D2D24">
        <w:rPr>
          <w:rFonts w:cs="FrankRuehl" w:hint="cs"/>
          <w:b/>
          <w:bCs/>
          <w:sz w:val="22"/>
          <w:szCs w:val="22"/>
          <w:rtl/>
        </w:rPr>
        <w:t xml:space="preserve">[חבר הנהלת העיר] </w:t>
      </w:r>
      <w:r w:rsidRPr="006D2D24">
        <w:rPr>
          <w:rFonts w:cs="FrankRuehl"/>
          <w:b/>
          <w:bCs/>
          <w:sz w:val="22"/>
          <w:szCs w:val="22"/>
          <w:rtl/>
        </w:rPr>
        <w:t>כיושב-ראש הוועדה לעניני ביקורת</w:t>
      </w:r>
      <w:r w:rsidRPr="001F1CCB">
        <w:rPr>
          <w:rFonts w:cs="FrankRuehl"/>
          <w:sz w:val="22"/>
          <w:szCs w:val="22"/>
          <w:rtl/>
        </w:rPr>
        <w:t xml:space="preserve"> היא כדין</w:t>
      </w:r>
      <w:r>
        <w:rPr>
          <w:rFonts w:cs="FrankRuehl" w:hint="cs"/>
          <w:sz w:val="22"/>
          <w:szCs w:val="22"/>
          <w:rtl/>
        </w:rPr>
        <w:t>;</w:t>
      </w:r>
      <w:r w:rsidRPr="001F1CCB">
        <w:rPr>
          <w:rFonts w:cs="FrankRuehl"/>
          <w:sz w:val="22"/>
          <w:szCs w:val="22"/>
          <w:rtl/>
        </w:rPr>
        <w:t xml:space="preserve"> </w:t>
      </w:r>
    </w:p>
    <w:p w:rsidR="0025709E" w:rsidRPr="001F1CCB" w:rsidRDefault="0025709E" w:rsidP="0025709E">
      <w:pPr>
        <w:tabs>
          <w:tab w:val="left" w:pos="423"/>
        </w:tabs>
        <w:spacing w:after="120"/>
        <w:rPr>
          <w:rFonts w:cs="FrankRuehl"/>
          <w:sz w:val="22"/>
          <w:szCs w:val="22"/>
          <w:rtl/>
        </w:rPr>
      </w:pPr>
      <w:r w:rsidRPr="001F1CCB">
        <w:rPr>
          <w:rFonts w:cs="FrankRuehl"/>
          <w:sz w:val="22"/>
          <w:szCs w:val="22"/>
          <w:rtl/>
        </w:rPr>
        <w:t xml:space="preserve">השנייה, </w:t>
      </w:r>
      <w:r w:rsidRPr="006D2D24">
        <w:rPr>
          <w:rFonts w:cs="FrankRuehl"/>
          <w:b/>
          <w:bCs/>
          <w:sz w:val="22"/>
          <w:szCs w:val="22"/>
          <w:rtl/>
        </w:rPr>
        <w:t>האם חייב יושב-ראש הוועדה לעניני ביקורת להיות מסיעה אופוזיציונית דווקא</w:t>
      </w:r>
      <w:r w:rsidRPr="001F1CCB">
        <w:rPr>
          <w:rFonts w:cs="FrankRuehl"/>
          <w:sz w:val="22"/>
          <w:szCs w:val="22"/>
          <w:rtl/>
        </w:rPr>
        <w:t>. שתי שאלות אלה נפרדות הן זו מזו, ונדון בהן בנפרד.</w:t>
      </w:r>
      <w:r w:rsidRPr="001F1CCB">
        <w:rPr>
          <w:rFonts w:cs="FrankRuehl" w:hint="cs"/>
          <w:sz w:val="22"/>
          <w:szCs w:val="22"/>
          <w:rtl/>
        </w:rPr>
        <w:t xml:space="preserve"> [...]</w:t>
      </w:r>
    </w:p>
    <w:p w:rsidR="0025709E" w:rsidRPr="001F1CCB" w:rsidRDefault="0025709E" w:rsidP="0025709E">
      <w:pPr>
        <w:tabs>
          <w:tab w:val="left" w:pos="423"/>
        </w:tabs>
        <w:spacing w:after="120"/>
        <w:rPr>
          <w:rFonts w:cs="FrankRuehl"/>
          <w:sz w:val="22"/>
          <w:szCs w:val="22"/>
          <w:rtl/>
        </w:rPr>
      </w:pPr>
      <w:r w:rsidRPr="001F1CCB">
        <w:rPr>
          <w:rFonts w:cs="FrankRuehl" w:hint="cs"/>
          <w:sz w:val="22"/>
          <w:szCs w:val="22"/>
          <w:rtl/>
        </w:rPr>
        <w:t xml:space="preserve">4. [...] </w:t>
      </w:r>
      <w:r w:rsidRPr="001F1CCB">
        <w:rPr>
          <w:rFonts w:cs="FrankRuehl"/>
          <w:sz w:val="22"/>
          <w:szCs w:val="22"/>
          <w:rtl/>
        </w:rPr>
        <w:t xml:space="preserve">(ב) </w:t>
      </w:r>
      <w:r w:rsidRPr="001F1CCB">
        <w:rPr>
          <w:rFonts w:cs="FrankRuehl"/>
          <w:sz w:val="22"/>
          <w:szCs w:val="22"/>
          <w:highlight w:val="yellow"/>
          <w:rtl/>
        </w:rPr>
        <w:t>ההיקף: היקפו של הכלל בדבר ניגוד ענינים משתרע, בראש ובראשונה, על ניגוד בין האינטרס השלטוני לבין האינטרס הפרטי - הן אינטרס אישי והן אינטרס רכושי</w:t>
      </w:r>
      <w:r w:rsidRPr="001F1CCB">
        <w:rPr>
          <w:rFonts w:cs="FrankRuehl"/>
          <w:sz w:val="22"/>
          <w:szCs w:val="22"/>
          <w:rtl/>
        </w:rPr>
        <w:t xml:space="preserve">. על כן נאסר על עובד ציבור להשתתף בוועדת מכרז הדנה בענינו של קרוב משפחה. אך אין הכלל בדבר ניגוד ענינים מוגבל לניגוד זה בלבד. </w:t>
      </w:r>
      <w:r w:rsidRPr="001F1CCB">
        <w:rPr>
          <w:rFonts w:cs="FrankRuehl"/>
          <w:sz w:val="22"/>
          <w:szCs w:val="22"/>
          <w:highlight w:val="yellow"/>
          <w:rtl/>
        </w:rPr>
        <w:t>על עובד הציבור נאסר אף להימצא במצב של ניגוד ענינים בין שני אינטרסים שלטוניים, אשר על שניהם הוא מופקד.</w:t>
      </w:r>
      <w:r w:rsidRPr="001F1CCB">
        <w:rPr>
          <w:rFonts w:cs="FrankRuehl"/>
          <w:sz w:val="22"/>
          <w:szCs w:val="22"/>
          <w:rtl/>
        </w:rPr>
        <w:t xml:space="preserve"> כך, למשל, נפסק כי עובד ציבור אינו רשאי, בעת ובעונה אחת, לשמש הן כרשות מוסמכת לפי חוק החכרת מקרקעין (הוראות שעה), תשי"ט-1959, והן כסגן מנהל כללי של מינהל מקרקעי ישראל, אשר במסגרתה פועלת אותה רשות (בג"צ 293/64 (רג'א עלי חסין נגד ח' אלוני, בתור רשות מוסמכת לפי חוק החכרת מקרקעין (הוראות שעה), תשי"ט-1959, ואח' פ"ד יט (576 ,572 (1.) ). אומר השופט ברנזון : </w:t>
      </w:r>
    </w:p>
    <w:p w:rsidR="0025709E" w:rsidRPr="001F1CCB" w:rsidRDefault="0025709E" w:rsidP="0025709E">
      <w:pPr>
        <w:tabs>
          <w:tab w:val="left" w:pos="423"/>
        </w:tabs>
        <w:spacing w:after="120"/>
        <w:ind w:left="425"/>
        <w:rPr>
          <w:rFonts w:cs="FrankRuehl"/>
          <w:sz w:val="22"/>
          <w:szCs w:val="22"/>
          <w:rtl/>
        </w:rPr>
      </w:pPr>
      <w:r w:rsidRPr="001F1CCB">
        <w:rPr>
          <w:rFonts w:cs="FrankRuehl"/>
          <w:sz w:val="22"/>
          <w:szCs w:val="22"/>
          <w:rtl/>
        </w:rPr>
        <w:t xml:space="preserve">"אולם אדם קרוב לעצמו, למשרדו, למחלקתו ולעניניהם, והוא עלול על נקלה להזדהות שלא בכוונה עמהם מבלי שיחוש כלל שהוא נוקט עמדה לא בלתי משוחדת כלפי הגוף שבראשו הוא עומד ולעניניו הוא דואג. </w:t>
      </w:r>
      <w:r w:rsidRPr="00B36103">
        <w:rPr>
          <w:rFonts w:cs="FrankRuehl"/>
          <w:sz w:val="22"/>
          <w:szCs w:val="22"/>
          <w:highlight w:val="yellow"/>
          <w:rtl/>
        </w:rPr>
        <w:t>כידוע, במקרים כאלה יש למנוע לא רק את הסכנה של אי עשיית צדק, אלא גם את האפשרות שלא ייראה שהצדק נעשה. ואם חשוב כל כך שתיראה עשיית הצדק, הרי עוד יותר חשוב שאמנם הצדק ייעשה".</w:t>
      </w:r>
      <w:r w:rsidRPr="001F1CCB">
        <w:rPr>
          <w:rFonts w:cs="FrankRuehl"/>
          <w:sz w:val="22"/>
          <w:szCs w:val="22"/>
          <w:rtl/>
        </w:rPr>
        <w:t xml:space="preserve"> </w:t>
      </w:r>
    </w:p>
    <w:p w:rsidR="0025709E" w:rsidRPr="001F1CCB" w:rsidRDefault="0025709E" w:rsidP="0025709E">
      <w:pPr>
        <w:tabs>
          <w:tab w:val="left" w:pos="423"/>
        </w:tabs>
        <w:spacing w:after="120"/>
        <w:rPr>
          <w:rFonts w:cs="FrankRuehl"/>
          <w:sz w:val="22"/>
          <w:szCs w:val="22"/>
          <w:rtl/>
        </w:rPr>
      </w:pPr>
      <w:r w:rsidRPr="001F1CCB">
        <w:rPr>
          <w:rFonts w:cs="FrankRuehl" w:hint="cs"/>
          <w:sz w:val="22"/>
          <w:szCs w:val="22"/>
          <w:rtl/>
        </w:rPr>
        <w:t xml:space="preserve">[...] </w:t>
      </w:r>
      <w:r w:rsidRPr="00B36103">
        <w:rPr>
          <w:rFonts w:cs="FrankRuehl"/>
          <w:sz w:val="22"/>
          <w:szCs w:val="22"/>
          <w:highlight w:val="yellow"/>
          <w:rtl/>
        </w:rPr>
        <w:t xml:space="preserve">זאת ועוד: האיסור אינו רק על שיקול הדעת עצמו בביצוע הפעולה או התפקיד. האיסור הוא על הימצאות במצב בו עלול להיות ניגוד ענינים. מטרת הכלל היא למנוע את הרע בטרם יארע. הכלל צופה פני העתיד. אין זה מעלה ואין זה מוריד אם בפועל שיקול הדעת הוא ראוי. מטרת הכלל היא למנוע פיתוי מאדם ישר והגון, בחינת אל תביאונו לידי ניסיון. </w:t>
      </w:r>
      <w:r w:rsidRPr="00B36103">
        <w:rPr>
          <w:rFonts w:cs="FrankRuehl"/>
          <w:sz w:val="22"/>
          <w:szCs w:val="22"/>
          <w:rtl/>
        </w:rPr>
        <w:t xml:space="preserve">על כן, </w:t>
      </w:r>
      <w:r w:rsidRPr="00B36103">
        <w:rPr>
          <w:rFonts w:cs="FrankRuehl"/>
          <w:sz w:val="22"/>
          <w:szCs w:val="22"/>
          <w:highlight w:val="yellow"/>
          <w:rtl/>
        </w:rPr>
        <w:t>אין צורך להוכיח בפועל קיומו של ניגוד ענינים. די בכך שקיימת אפשרות ממשית של ניגוד ענינים. אפשרות ממשית זו נמדדת באמות מידה אוביקטיביות, ולא על-פי חששותיו הסוביקטיביים של צד זה או אחר. שאלה יפה היא, אם נדרשת אפשרות ממשית של ניגוד ענינים, או שמא די בחשש סביר כי עשוי להתקיים ניגוד ענינים. בפסיקתו של בית-משפט זה יש סימוכין לשתי ההשקפות</w:t>
      </w:r>
      <w:r w:rsidRPr="00B36103">
        <w:rPr>
          <w:rFonts w:cs="FrankRuehl" w:hint="cs"/>
          <w:sz w:val="22"/>
          <w:szCs w:val="22"/>
          <w:highlight w:val="yellow"/>
          <w:rtl/>
        </w:rPr>
        <w:t>.</w:t>
      </w:r>
    </w:p>
    <w:p w:rsidR="0025709E" w:rsidRPr="001F1CCB" w:rsidRDefault="0025709E" w:rsidP="0025709E">
      <w:pPr>
        <w:tabs>
          <w:tab w:val="left" w:pos="423"/>
        </w:tabs>
        <w:rPr>
          <w:rFonts w:cs="FrankRuehl"/>
          <w:sz w:val="22"/>
          <w:szCs w:val="22"/>
          <w:rtl/>
        </w:rPr>
      </w:pPr>
      <w:r w:rsidRPr="001F1CCB">
        <w:rPr>
          <w:rFonts w:cs="FrankRuehl"/>
          <w:sz w:val="22"/>
          <w:szCs w:val="22"/>
          <w:rtl/>
        </w:rPr>
        <w:t xml:space="preserve">(ג) </w:t>
      </w:r>
      <w:r w:rsidRPr="00E819EC">
        <w:rPr>
          <w:rFonts w:cs="FrankRuehl"/>
          <w:sz w:val="22"/>
          <w:szCs w:val="22"/>
          <w:highlight w:val="yellow"/>
          <w:rtl/>
        </w:rPr>
        <w:t>התוצאות: תוצאותיו של האיסור בדבר ניגוד ענינים משתרעות על שטחי המשפט כולם. כך, למשל, בתחומי המשפט הפרטי עשויה התנהגות שיש בה ניגוד ענינים לשמש בסיס לזכות השבה של כספים שנתקבלו תוך הפרתו של הכלל. בתחומי המשפט הפלילי, עשויה התנהגותו של עובד ציבור תוך ניגוד ענינים לקיים את היסודות של עבירת השוחד והפרת האמונים. לעיתים תהווה התנהגות זו עבירה משמעתית. להפרתו של האיסור תוצאות גם במשפט המינהלי באופן שאם הפעולה כבר בוצעה, ניתן לבטלה ואם הפעולה טרם בוצעה, ניתן למנוע את ביצועה. אם ניגוד הענינים אינו משתרע על פעולה בודדת, אלא על גזרה רחבה ותחום נרחב של ביצוע התפקיד, עשוי ניגוד הענינים ליצור פגם בעצם המינוי או הבחירה לאותו תפקיד.</w:t>
      </w:r>
      <w:r w:rsidRPr="001F1CCB">
        <w:rPr>
          <w:rFonts w:cs="FrankRuehl"/>
          <w:sz w:val="22"/>
          <w:szCs w:val="22"/>
          <w:rtl/>
        </w:rPr>
        <w:t xml:space="preserve"> </w:t>
      </w:r>
    </w:p>
    <w:p w:rsidR="0025709E" w:rsidRPr="001F1CCB" w:rsidRDefault="0025709E" w:rsidP="0025709E">
      <w:pPr>
        <w:tabs>
          <w:tab w:val="left" w:pos="423"/>
        </w:tabs>
        <w:rPr>
          <w:rFonts w:cs="FrankRuehl"/>
          <w:sz w:val="22"/>
          <w:szCs w:val="22"/>
          <w:rtl/>
        </w:rPr>
      </w:pPr>
    </w:p>
    <w:p w:rsidR="0025709E" w:rsidRPr="001F1CCB" w:rsidRDefault="0025709E" w:rsidP="0025709E">
      <w:pPr>
        <w:tabs>
          <w:tab w:val="left" w:pos="423"/>
        </w:tabs>
        <w:spacing w:after="120"/>
        <w:rPr>
          <w:rFonts w:cs="FrankRuehl"/>
          <w:sz w:val="22"/>
          <w:szCs w:val="22"/>
          <w:rtl/>
        </w:rPr>
      </w:pPr>
      <w:r w:rsidRPr="001F1CCB">
        <w:rPr>
          <w:rFonts w:cs="FrankRuehl"/>
          <w:sz w:val="22"/>
          <w:szCs w:val="22"/>
          <w:rtl/>
        </w:rPr>
        <w:t>8. הוועדה לעניני ביקורת</w:t>
      </w:r>
      <w:r>
        <w:rPr>
          <w:rFonts w:cs="FrankRuehl" w:hint="cs"/>
          <w:sz w:val="22"/>
          <w:szCs w:val="22"/>
          <w:rtl/>
        </w:rPr>
        <w:t xml:space="preserve"> [של העיריה]</w:t>
      </w:r>
      <w:r w:rsidRPr="001F1CCB">
        <w:rPr>
          <w:rFonts w:cs="FrankRuehl"/>
          <w:sz w:val="22"/>
          <w:szCs w:val="22"/>
          <w:rtl/>
        </w:rPr>
        <w:t xml:space="preserve">, כוועדה סטטוטורית קבועה, אשר כל מועצה חייבת לבחור, נקבעה בחוק לתיקון פקודת העיריות (מס' 24), תשל"ט-1978, אשר הוסיף לפקודת העיריות את סעיף 149ג הקובע: </w:t>
      </w:r>
    </w:p>
    <w:p w:rsidR="0025709E" w:rsidRPr="00A72676" w:rsidRDefault="0025709E" w:rsidP="0025709E">
      <w:pPr>
        <w:tabs>
          <w:tab w:val="left" w:pos="423"/>
        </w:tabs>
        <w:ind w:left="423"/>
        <w:rPr>
          <w:rFonts w:cs="David"/>
          <w:sz w:val="20"/>
          <w:szCs w:val="20"/>
          <w:rtl/>
        </w:rPr>
      </w:pPr>
      <w:r w:rsidRPr="00A72676">
        <w:rPr>
          <w:rFonts w:cs="David"/>
          <w:sz w:val="20"/>
          <w:szCs w:val="20"/>
          <w:rtl/>
        </w:rPr>
        <w:t xml:space="preserve">"(א) המועצה תבחר מבין חבריה ועדה לעניני ביקורת שתפקידה לדון בכל דו"ח של מבקר המדינה על בקורת העיריה ובכל דו"ח של מבקר העיריה ולהגיש למועצה את סיכומיה והצעותיה. </w:t>
      </w:r>
    </w:p>
    <w:p w:rsidR="0025709E" w:rsidRPr="00A72676" w:rsidRDefault="0025709E" w:rsidP="0025709E">
      <w:pPr>
        <w:tabs>
          <w:tab w:val="left" w:pos="423"/>
        </w:tabs>
        <w:ind w:left="423"/>
        <w:rPr>
          <w:rFonts w:cs="David"/>
          <w:sz w:val="20"/>
          <w:szCs w:val="20"/>
          <w:rtl/>
        </w:rPr>
      </w:pPr>
      <w:r w:rsidRPr="00A72676">
        <w:rPr>
          <w:rFonts w:cs="David"/>
          <w:sz w:val="20"/>
          <w:szCs w:val="20"/>
          <w:rtl/>
        </w:rPr>
        <w:t xml:space="preserve">(ב) </w:t>
      </w:r>
      <w:r w:rsidRPr="00A72676">
        <w:rPr>
          <w:rFonts w:cs="David"/>
          <w:sz w:val="20"/>
          <w:szCs w:val="20"/>
          <w:highlight w:val="yellow"/>
          <w:rtl/>
        </w:rPr>
        <w:t>מספר חברי הועדה לא יעלה על שבעה; הרכב הועדה יהיה תואם, ככל שניתן, את ההרכב הסיעתי של המועצה; ראש העיריה וסגניו לא יהיו חברים בועדה לעניני ביקורת.</w:t>
      </w:r>
      <w:r w:rsidRPr="00A72676">
        <w:rPr>
          <w:rFonts w:cs="David"/>
          <w:sz w:val="20"/>
          <w:szCs w:val="20"/>
          <w:rtl/>
        </w:rPr>
        <w:t xml:space="preserve"> </w:t>
      </w:r>
    </w:p>
    <w:p w:rsidR="0025709E" w:rsidRPr="001F1CCB" w:rsidRDefault="0025709E" w:rsidP="0025709E">
      <w:pPr>
        <w:tabs>
          <w:tab w:val="left" w:pos="423"/>
        </w:tabs>
        <w:spacing w:after="120"/>
        <w:ind w:left="425"/>
        <w:rPr>
          <w:rFonts w:cs="FrankRuehl"/>
          <w:sz w:val="20"/>
          <w:szCs w:val="20"/>
          <w:rtl/>
        </w:rPr>
      </w:pPr>
      <w:r w:rsidRPr="00A72676">
        <w:rPr>
          <w:rFonts w:cs="David"/>
          <w:sz w:val="20"/>
          <w:szCs w:val="20"/>
          <w:rtl/>
        </w:rPr>
        <w:t>(ג) יושב ראש הועדה לעניני ביקורת יהיה מסיעה שונה מזו של ראש העיריה, זולת אם היתה במועצה סיעה אחת בלבד".</w:t>
      </w:r>
      <w:r w:rsidRPr="001F1CCB">
        <w:rPr>
          <w:rFonts w:cs="FrankRuehl"/>
          <w:sz w:val="20"/>
          <w:szCs w:val="20"/>
          <w:rtl/>
        </w:rPr>
        <w:t xml:space="preserve"> </w:t>
      </w:r>
    </w:p>
    <w:p w:rsidR="0025709E" w:rsidRPr="001F1CCB" w:rsidRDefault="0025709E" w:rsidP="0025709E">
      <w:pPr>
        <w:tabs>
          <w:tab w:val="left" w:pos="423"/>
        </w:tabs>
        <w:rPr>
          <w:rFonts w:cs="FrankRuehl"/>
          <w:sz w:val="22"/>
          <w:szCs w:val="22"/>
          <w:rtl/>
        </w:rPr>
      </w:pPr>
      <w:r w:rsidRPr="001F1CCB">
        <w:rPr>
          <w:rFonts w:cs="FrankRuehl"/>
          <w:sz w:val="22"/>
          <w:szCs w:val="22"/>
          <w:rtl/>
        </w:rPr>
        <w:t>הוועדה לעניני ביקורת היא ועדה של המועצה, ואת סיכומיה והמלצותיה היא מגישה למועצה (סעיף 170 ג(ד) לפקודת העיריות). תפקידה של הוועדה הוא לקבל ממבקר המדינה וממבקר העירייה את ממצאי הביקורת שערכו, לקבל מראש העירייה את הערותיו לדין וחשבון מבקר העירייה, לדון בדו"חות אלה, לגבש "סיכומיה והצעותיה" ולהגישם למועצה. ההסטוריה החקיקתית מלמדת כי בד בבד עם חיזוק מעמדו של ראש העיר כתוצאה משינוי שיטת הבחירות, ובחירת ראש העיר בבחירות אישיות ישירות ובמקביל לריכוז סמכות הביצוע בידי ראש העיר, ביקש המחוקק לחזק את הביקורת על פעולותיו של ראש העיר (</w:t>
      </w:r>
      <w:r w:rsidRPr="001F1CCB">
        <w:rPr>
          <w:rFonts w:cs="FrankRuehl" w:hint="cs"/>
          <w:sz w:val="22"/>
          <w:szCs w:val="22"/>
          <w:rtl/>
        </w:rPr>
        <w:t>...</w:t>
      </w:r>
      <w:r w:rsidRPr="001F1CCB">
        <w:rPr>
          <w:rFonts w:cs="FrankRuehl"/>
          <w:sz w:val="22"/>
          <w:szCs w:val="22"/>
          <w:rtl/>
        </w:rPr>
        <w:t>). לשם כך שונתה פקודת העיריות ונקבע בה כי תפקידו של מבקר העירייה</w:t>
      </w:r>
      <w:r w:rsidRPr="001F1CCB">
        <w:rPr>
          <w:rFonts w:cs="FrankRuehl" w:hint="cs"/>
          <w:sz w:val="22"/>
          <w:szCs w:val="22"/>
          <w:rtl/>
        </w:rPr>
        <w:t xml:space="preserve"> (...).</w:t>
      </w:r>
    </w:p>
    <w:p w:rsidR="0025709E" w:rsidRPr="001F1CCB" w:rsidRDefault="0025709E" w:rsidP="0025709E">
      <w:pPr>
        <w:tabs>
          <w:tab w:val="left" w:pos="423"/>
        </w:tabs>
        <w:rPr>
          <w:rFonts w:cs="FrankRuehl"/>
          <w:sz w:val="22"/>
          <w:szCs w:val="22"/>
          <w:rtl/>
        </w:rPr>
      </w:pPr>
    </w:p>
    <w:p w:rsidR="0025709E" w:rsidRPr="001F1CCB" w:rsidRDefault="0025709E" w:rsidP="0025709E">
      <w:pPr>
        <w:tabs>
          <w:tab w:val="left" w:pos="423"/>
        </w:tabs>
        <w:rPr>
          <w:rFonts w:cs="FrankRuehl"/>
          <w:sz w:val="22"/>
          <w:szCs w:val="22"/>
          <w:rtl/>
        </w:rPr>
      </w:pPr>
      <w:r w:rsidRPr="001F1CCB">
        <w:rPr>
          <w:rFonts w:cs="FrankRuehl"/>
          <w:sz w:val="22"/>
          <w:szCs w:val="22"/>
          <w:rtl/>
        </w:rPr>
        <w:t xml:space="preserve">9. </w:t>
      </w:r>
      <w:r w:rsidRPr="00331FEE">
        <w:rPr>
          <w:rFonts w:cs="FrankRuehl"/>
          <w:sz w:val="22"/>
          <w:szCs w:val="22"/>
          <w:highlight w:val="yellow"/>
          <w:rtl/>
        </w:rPr>
        <w:t xml:space="preserve">מר מוכתר הוא חבר ועדת ההנהלה. בתפקידו זה עליו לייעץ לראש העיר בכל הנוגע לביצוע תפקידיו. מר מוכתר הוא </w:t>
      </w:r>
      <w:r w:rsidRPr="00331FEE">
        <w:rPr>
          <w:rFonts w:cs="FrankRuehl" w:hint="cs"/>
          <w:sz w:val="22"/>
          <w:szCs w:val="22"/>
          <w:highlight w:val="yellow"/>
          <w:rtl/>
        </w:rPr>
        <w:t xml:space="preserve">[במקביל] </w:t>
      </w:r>
      <w:r w:rsidRPr="00331FEE">
        <w:rPr>
          <w:rFonts w:cs="FrankRuehl"/>
          <w:sz w:val="22"/>
          <w:szCs w:val="22"/>
          <w:highlight w:val="yellow"/>
          <w:rtl/>
        </w:rPr>
        <w:t>חבר הוועדה לעניני ביקורת, ויושב-הראש שלה. בתפקידו זה עליו לנקוט עמדה ולהסיק מסקנות המתבקשות מממצאי הביקורת באשר לפעילותו של ראש העיר ועצותיה של ועדת ההנהלה. נמצא, כי בתפקידו כחבר וכיושב- ראש הוועדה לעניני ביקורת, על מר מוכתר לנקוט עמדה כלפי פעולותיו הוא כחבר ועדת ההנהלה</w:t>
      </w:r>
      <w:r w:rsidRPr="00331FEE">
        <w:rPr>
          <w:rFonts w:cs="FrankRuehl" w:hint="cs"/>
          <w:sz w:val="22"/>
          <w:szCs w:val="22"/>
          <w:highlight w:val="yellow"/>
          <w:rtl/>
        </w:rPr>
        <w:t>. [...]</w:t>
      </w:r>
      <w:r w:rsidRPr="00331FEE">
        <w:rPr>
          <w:rFonts w:cs="FrankRuehl"/>
          <w:sz w:val="22"/>
          <w:szCs w:val="22"/>
          <w:highlight w:val="yellow"/>
          <w:rtl/>
        </w:rPr>
        <w:t xml:space="preserve">. </w:t>
      </w:r>
      <w:r w:rsidRPr="00331FEE">
        <w:rPr>
          <w:rFonts w:cs="FrankRuehl"/>
          <w:b/>
          <w:bCs/>
          <w:sz w:val="22"/>
          <w:szCs w:val="22"/>
          <w:highlight w:val="yellow"/>
          <w:rtl/>
        </w:rPr>
        <w:t>אין מבוקר נעשה מבקר.</w:t>
      </w:r>
      <w:r w:rsidRPr="001F1CCB">
        <w:rPr>
          <w:rFonts w:cs="FrankRuehl"/>
          <w:sz w:val="22"/>
          <w:szCs w:val="22"/>
          <w:rtl/>
        </w:rPr>
        <w:t xml:space="preserve"> אמת הדבר, </w:t>
      </w:r>
      <w:r w:rsidRPr="00331FEE">
        <w:rPr>
          <w:rFonts w:cs="FrankRuehl"/>
          <w:sz w:val="22"/>
          <w:szCs w:val="22"/>
          <w:highlight w:val="yellow"/>
          <w:rtl/>
        </w:rPr>
        <w:t>ניגוד הענינים שלפנינו אינו בין אינטרס ציבורי לבין אינטרס פרטי, אלא בין שני אינטרסים שלטוניים, אך גם ניגוד ענינים זה אסור הוא בענין שלפנינו</w:t>
      </w:r>
      <w:r w:rsidRPr="001F1CCB">
        <w:rPr>
          <w:rFonts w:cs="FrankRuehl"/>
          <w:sz w:val="22"/>
          <w:szCs w:val="22"/>
          <w:rtl/>
        </w:rPr>
        <w:t xml:space="preserve">. חזקה על מר מוכתר כי יעשה הכל כדי למלא כראוי את שני התפקידים בהם הוא נושא, אך הדין מבקש למנוע ממנו מלהימצא במצב בו יהא עליו להמליץ המלצות ביקורתיות על פעולותיו הוא כדי שלא להעמידו בניסיון שלא יוכל לעמוד בו. לא רק עבודתה של הוועדה לעניני ביקורת נפגעת בשל כך, אלא אמון הציבור במערכת הביקורת מתערער. </w:t>
      </w:r>
      <w:r w:rsidRPr="001F1CCB">
        <w:rPr>
          <w:rFonts w:cs="FrankRuehl" w:hint="cs"/>
          <w:sz w:val="22"/>
          <w:szCs w:val="22"/>
          <w:rtl/>
        </w:rPr>
        <w:t>[...]</w:t>
      </w:r>
    </w:p>
    <w:p w:rsidR="0025709E" w:rsidRPr="001F1CCB" w:rsidRDefault="0025709E" w:rsidP="0025709E">
      <w:pPr>
        <w:tabs>
          <w:tab w:val="left" w:pos="423"/>
        </w:tabs>
        <w:rPr>
          <w:rFonts w:cs="FrankRuehl"/>
          <w:sz w:val="22"/>
          <w:szCs w:val="22"/>
          <w:rtl/>
        </w:rPr>
      </w:pPr>
    </w:p>
    <w:p w:rsidR="0025709E" w:rsidRPr="001F1CCB" w:rsidRDefault="0025709E" w:rsidP="0025709E">
      <w:pPr>
        <w:tabs>
          <w:tab w:val="left" w:pos="423"/>
        </w:tabs>
        <w:rPr>
          <w:rFonts w:cs="FrankRuehl"/>
          <w:sz w:val="22"/>
          <w:szCs w:val="22"/>
          <w:rtl/>
        </w:rPr>
      </w:pPr>
      <w:r w:rsidRPr="001F1CCB">
        <w:rPr>
          <w:rFonts w:cs="FrankRuehl"/>
          <w:sz w:val="22"/>
          <w:szCs w:val="22"/>
          <w:rtl/>
        </w:rPr>
        <w:t xml:space="preserve">10. ציינתי, כי לעיתים במהותה של המאטריה בה עסקינן טמון גרעין של ניגוד ענינים, ועל כן מצטמצמת תחולתו של הכלל בדבר איסור על ניגוד ענינים. אין אני סבור כי כזה הוא הענין שלפנינו. </w:t>
      </w:r>
      <w:r w:rsidRPr="001F1CCB">
        <w:rPr>
          <w:rFonts w:cs="FrankRuehl"/>
          <w:sz w:val="22"/>
          <w:szCs w:val="22"/>
          <w:highlight w:val="yellow"/>
          <w:rtl/>
        </w:rPr>
        <w:t>עצם העובדה כי ענין לנו בגוף פוליטי נבחר אין בה כדי לשלול את תחולתם של הכללים בדבר ניגוד ענינים. כל משרתי הציבור חייבים להימנע מניגוד ענינים, ודבר זה חל במיוחד על נבחרי הציבור, החשופים לעין הציבור והחייבים לשמש דוגמא לציבור.</w:t>
      </w:r>
      <w:r w:rsidRPr="001F1CCB">
        <w:rPr>
          <w:rFonts w:cs="FrankRuehl"/>
          <w:sz w:val="22"/>
          <w:szCs w:val="22"/>
          <w:rtl/>
        </w:rPr>
        <w:t xml:space="preserve"> </w:t>
      </w:r>
      <w:r w:rsidRPr="001F1CCB">
        <w:rPr>
          <w:rFonts w:cs="FrankRuehl" w:hint="cs"/>
          <w:sz w:val="22"/>
          <w:szCs w:val="22"/>
          <w:rtl/>
        </w:rPr>
        <w:t>[...]</w:t>
      </w:r>
      <w:r w:rsidRPr="001F1CCB">
        <w:rPr>
          <w:rFonts w:cs="FrankRuehl"/>
          <w:sz w:val="22"/>
          <w:szCs w:val="22"/>
          <w:rtl/>
        </w:rPr>
        <w:t xml:space="preserve">. </w:t>
      </w:r>
    </w:p>
    <w:p w:rsidR="0025709E" w:rsidRPr="001F1CCB" w:rsidRDefault="0025709E" w:rsidP="0025709E">
      <w:pPr>
        <w:tabs>
          <w:tab w:val="left" w:pos="423"/>
        </w:tabs>
        <w:rPr>
          <w:rFonts w:cs="FrankRuehl"/>
          <w:sz w:val="22"/>
          <w:szCs w:val="22"/>
          <w:rtl/>
        </w:rPr>
      </w:pPr>
    </w:p>
    <w:p w:rsidR="0025709E" w:rsidRPr="001F1CCB" w:rsidRDefault="0025709E" w:rsidP="0025709E">
      <w:pPr>
        <w:tabs>
          <w:tab w:val="left" w:pos="423"/>
        </w:tabs>
        <w:spacing w:after="120"/>
        <w:rPr>
          <w:rFonts w:cs="FrankRuehl"/>
          <w:sz w:val="20"/>
          <w:szCs w:val="20"/>
          <w:rtl/>
        </w:rPr>
      </w:pPr>
      <w:r w:rsidRPr="001F1CCB">
        <w:rPr>
          <w:rFonts w:cs="FrankRuehl"/>
          <w:sz w:val="22"/>
          <w:szCs w:val="22"/>
          <w:rtl/>
        </w:rPr>
        <w:t xml:space="preserve">11. </w:t>
      </w:r>
      <w:r w:rsidRPr="001F1CCB">
        <w:rPr>
          <w:rFonts w:cs="FrankRuehl"/>
          <w:sz w:val="22"/>
          <w:szCs w:val="22"/>
          <w:highlight w:val="yellow"/>
          <w:rtl/>
        </w:rPr>
        <w:t>עמדנו על כך כי לעיתים נדחים הכללים בדבר איסור ניגוד ענינים בפני "כורח השעה". אכן, לעיתים אין מנוס מכך כי עובדי ציבור המכהנים בוועדה לעניני ביקורת יתבקשו לנקוט עמדה ולהסיק מסקנות מתחום הביקורת ביחס לפעולותיהם הם במערכת השלטונית. טול לדוגמא את ממצאי הביקורת באשר לפעולות העירייה לפי חוק התכנון והבניה, תשכ"ה-1965. ביקורת זו תתיחס מטבעה לפעולותיה של הוועדה המקומית לתכנון ולבניה. כידוע, מועצת העירייה היא הוועדה המקומית (סעיף 18(א) לחוק התכנון והבניה, תשכ"ה-1965) וכל חברי הוועדה לעניני ביקורת הם גם חברי הוועדה המקומית. בתפקידם כחברי הוועדה לעניני ביקורת עליהם לנקוט עמדה, להסיק מסקנות ולהמליץ המלצות באשר לפעילותם הם כחברי הוועדה המקומית. מצב דברים זה אינו רצוי כלל ועיקר, שכן קיים ניגוד ענינים ברור. אך אין מנוס מכך, שכן הוראתה של פקודת העיריות היא כי חברי הוועדה לעניני ביקורת ייבחרו מבין חברי המועצה.</w:t>
      </w:r>
      <w:r w:rsidRPr="001F1CCB">
        <w:rPr>
          <w:rFonts w:cs="FrankRuehl"/>
          <w:sz w:val="22"/>
          <w:szCs w:val="22"/>
          <w:rtl/>
        </w:rPr>
        <w:t xml:space="preserve"> </w:t>
      </w:r>
      <w:r w:rsidRPr="001F1CCB">
        <w:rPr>
          <w:rFonts w:cs="FrankRuehl" w:hint="cs"/>
          <w:sz w:val="22"/>
          <w:szCs w:val="22"/>
          <w:rtl/>
        </w:rPr>
        <w:t>[...]</w:t>
      </w:r>
      <w:r>
        <w:rPr>
          <w:rFonts w:cs="FrankRuehl" w:hint="cs"/>
          <w:sz w:val="22"/>
          <w:szCs w:val="22"/>
          <w:rtl/>
        </w:rPr>
        <w:t xml:space="preserve"> [ואילו]</w:t>
      </w:r>
      <w:r w:rsidRPr="001F1CCB">
        <w:rPr>
          <w:rFonts w:cs="FrankRuehl" w:hint="cs"/>
          <w:sz w:val="22"/>
          <w:szCs w:val="22"/>
          <w:rtl/>
        </w:rPr>
        <w:t xml:space="preserve"> </w:t>
      </w:r>
      <w:r w:rsidRPr="00A72676">
        <w:rPr>
          <w:rFonts w:cs="FrankRuehl"/>
          <w:sz w:val="22"/>
          <w:szCs w:val="22"/>
          <w:highlight w:val="yellow"/>
          <w:rtl/>
        </w:rPr>
        <w:t>בענין שלפנינו לא מצאנו כל "כורח שעה"</w:t>
      </w:r>
      <w:r w:rsidRPr="001F1CCB">
        <w:rPr>
          <w:rFonts w:cs="FrankRuehl"/>
          <w:sz w:val="22"/>
          <w:szCs w:val="22"/>
          <w:rtl/>
        </w:rPr>
        <w:t xml:space="preserve"> המחייב התעלמות מהכללים בדבר איסור על ניגוד ענינים. על-פי פקודת העיריות אין כל מניעה לכך כי חלוקת התפקידים בין חברי המועצה תהא כזו שחברי הוועדה לעניני ביקורת לא יכהנו כחברים בוועדת ההנהלה. הפקודה אינה קובעת מספר חברים מינימלי בוועדת ההנהלה ובוועדה לעניני ביקורת וניתן להרכיב את הוועדות ללא חפיפה פרסונלית.</w:t>
      </w:r>
      <w:r w:rsidRPr="001F1CCB">
        <w:rPr>
          <w:rFonts w:cs="FrankRuehl"/>
          <w:sz w:val="20"/>
          <w:szCs w:val="20"/>
          <w:rtl/>
        </w:rPr>
        <w:t xml:space="preserve"> </w:t>
      </w:r>
    </w:p>
    <w:p w:rsidR="0025709E" w:rsidRDefault="0025709E" w:rsidP="0025709E">
      <w:pPr>
        <w:tabs>
          <w:tab w:val="left" w:pos="423"/>
        </w:tabs>
        <w:rPr>
          <w:rFonts w:cs="FrankRuehl"/>
          <w:sz w:val="20"/>
          <w:szCs w:val="20"/>
          <w:rtl/>
        </w:rPr>
      </w:pPr>
      <w:r>
        <w:rPr>
          <w:rFonts w:cs="FrankRuehl" w:hint="cs"/>
          <w:sz w:val="20"/>
          <w:szCs w:val="20"/>
          <w:rtl/>
        </w:rPr>
        <w:t>[...]</w:t>
      </w:r>
    </w:p>
    <w:p w:rsidR="0025709E" w:rsidRPr="001A408C" w:rsidRDefault="0025709E" w:rsidP="0025709E">
      <w:pPr>
        <w:tabs>
          <w:tab w:val="left" w:pos="423"/>
        </w:tabs>
        <w:rPr>
          <w:rFonts w:cs="FrankRuehl"/>
          <w:sz w:val="22"/>
          <w:szCs w:val="22"/>
          <w:rtl/>
        </w:rPr>
      </w:pPr>
      <w:r w:rsidRPr="001A408C">
        <w:rPr>
          <w:rFonts w:cs="FrankRuehl"/>
          <w:sz w:val="22"/>
          <w:szCs w:val="22"/>
          <w:rtl/>
        </w:rPr>
        <w:t>השופט ח' כהן</w:t>
      </w:r>
    </w:p>
    <w:p w:rsidR="0025709E" w:rsidRPr="001A408C" w:rsidRDefault="0025709E" w:rsidP="0025709E">
      <w:pPr>
        <w:tabs>
          <w:tab w:val="left" w:pos="423"/>
        </w:tabs>
        <w:rPr>
          <w:rFonts w:cs="FrankRuehl"/>
          <w:sz w:val="22"/>
          <w:szCs w:val="22"/>
          <w:rtl/>
        </w:rPr>
      </w:pPr>
    </w:p>
    <w:p w:rsidR="0025709E" w:rsidRPr="001A408C" w:rsidRDefault="0025709E" w:rsidP="0025709E">
      <w:pPr>
        <w:tabs>
          <w:tab w:val="left" w:pos="423"/>
        </w:tabs>
        <w:rPr>
          <w:rFonts w:cs="FrankRuehl"/>
          <w:sz w:val="22"/>
          <w:szCs w:val="22"/>
          <w:rtl/>
        </w:rPr>
      </w:pPr>
      <w:r w:rsidRPr="001A408C">
        <w:rPr>
          <w:rFonts w:cs="FrankRuehl"/>
          <w:sz w:val="22"/>
          <w:szCs w:val="22"/>
          <w:rtl/>
        </w:rPr>
        <w:t xml:space="preserve">המחלוקת שנפלה בין שני חברי הנכבדים שישבו עמי לדין בעתירה זו, מחלוקת פוסקים היא מימים ימימה. במאי קא מיפלגי. בדרכי פרשנות החוק: זה אומר, אין לך בחוק אלא מה שעיניך רואות בו. והוא לשונו של המחוקק; וזה אומר, יש לך בחוק יותר ממה שעיניך רואות בו. והוא ענינו של החוק וכוונתו של המחוקק. זה אומר. מפרשים את החוק פירוש מלולי. מדוייק ומדוקדק; וזה אומר. מפרשים את החוק פירוש עניני, ויורדים מאחורי המלים עד לסוף כוונתו המשוערת של המחוקק על מנת שתושג מטרתו. ואין צריך לומר ששניהם צודקים. </w:t>
      </w:r>
    </w:p>
    <w:p w:rsidR="0025709E" w:rsidRPr="001A408C" w:rsidRDefault="0025709E" w:rsidP="0025709E">
      <w:pPr>
        <w:tabs>
          <w:tab w:val="left" w:pos="423"/>
        </w:tabs>
        <w:rPr>
          <w:rFonts w:cs="FrankRuehl"/>
          <w:sz w:val="22"/>
          <w:szCs w:val="22"/>
          <w:rtl/>
        </w:rPr>
      </w:pPr>
      <w:r>
        <w:rPr>
          <w:rFonts w:cs="FrankRuehl" w:hint="cs"/>
          <w:sz w:val="22"/>
          <w:szCs w:val="22"/>
          <w:rtl/>
        </w:rPr>
        <w:t>...</w:t>
      </w:r>
      <w:r w:rsidRPr="001A408C">
        <w:rPr>
          <w:rFonts w:cs="FrankRuehl"/>
          <w:sz w:val="22"/>
          <w:szCs w:val="22"/>
          <w:rtl/>
        </w:rPr>
        <w:t xml:space="preserve"> </w:t>
      </w:r>
    </w:p>
    <w:p w:rsidR="0025709E" w:rsidRPr="001A408C" w:rsidRDefault="0025709E" w:rsidP="0025709E">
      <w:pPr>
        <w:tabs>
          <w:tab w:val="left" w:pos="423"/>
        </w:tabs>
        <w:rPr>
          <w:rFonts w:cs="FrankRuehl"/>
          <w:sz w:val="22"/>
          <w:szCs w:val="22"/>
          <w:rtl/>
        </w:rPr>
      </w:pPr>
      <w:r w:rsidRPr="001A408C">
        <w:rPr>
          <w:rFonts w:cs="FrankRuehl"/>
          <w:sz w:val="22"/>
          <w:szCs w:val="22"/>
          <w:rtl/>
        </w:rPr>
        <w:t xml:space="preserve">החוק המדובר בו, הוא סעיף 149 ג לפקודת העיריות, בא להוסיף על ועדות מועצת העירייה עוד "ועדה לעניני ביקורת", שתפקידה הוא להביא לפני המועצה את סיכום ביקורותיהם של מבקר המדינה ושל מבקר העירייה ולהציע לה הצעות בדבר המסקנות שיש להסיק מן הביקורת והמעשים שיש לעשותם כדי להביא תקלות על תיקונן. ביקורת היא, מטבע ברייתה, אמצעי לרסן את יצר השלטון של הרשות המבוקרת: היא באה להבטיח לא רק שהרשות תגביל את עצמה בתוך ארבע אמות סמכויותיה על-פי החוק, אלא גם שתקפיד על טוהר מידותיה. בין כה וכה יש בעצם הביקורת משום הגנה על האזרח מפני תעלוליה האפשריים של הרשות המבוקרת - או, אם לא הגנה מושלמת, על כל פנים משום הכנת החומר הדרוש להגנתו היעילה והמושלמת של האזרח. </w:t>
      </w:r>
    </w:p>
    <w:p w:rsidR="0025709E" w:rsidRPr="001A408C" w:rsidRDefault="0025709E" w:rsidP="0025709E">
      <w:pPr>
        <w:tabs>
          <w:tab w:val="left" w:pos="423"/>
        </w:tabs>
        <w:rPr>
          <w:rFonts w:cs="FrankRuehl"/>
          <w:sz w:val="22"/>
          <w:szCs w:val="22"/>
          <w:rtl/>
        </w:rPr>
      </w:pPr>
      <w:r w:rsidRPr="001A408C">
        <w:rPr>
          <w:rFonts w:cs="FrankRuehl"/>
          <w:sz w:val="22"/>
          <w:szCs w:val="22"/>
          <w:rtl/>
        </w:rPr>
        <w:t xml:space="preserve">בחייבו כל מועצת עירייה להקים ועדה לעניני ביקורת, כוונת המחוקק - כפי שהיא באה לידי ביטוי מפורש בחוק - היתה להבטיח שדברי הביקורת של מבקר המדינה ומבקר העירייה לא יפלו על אזניים אטומות, אלא יובאו לדיון במועצה, והיא תיתן דעתה להמלצות המעשיות אשר אותה ועדה תביא לפניה בעקבות הביקורת. נמצא שהוועדה ממלאת תפקיד נכבד מאד בהליכי הביקורת: לא במעט תלוי הדבר ביעילותה ובמיומנותה של הוועדה, אם מובאת הביקורת לפני המועצה בצורה נאותה או בצורה מרושלת ומקוטעת, ואם יוסקו מן הביקורת מסקנות נאותות או אם תישאר אות מתה. וכדי שעבודת הוועדה תוכל להיות יעילה ומיומנת, תנאי הוא שיהא לכל אחד מחבריה ענין בביקורת, בעידודה ובהצלחת משימותיה, ושלא יהא בוועדה אף חבר אחד שענינו הוא בהכשלת הביקורת ובגניזת ממצאיה. ואין בשום פנים לומר שרק לאנשי האופוזיציה יש ענין בהצלחת הביקורת, ואילו לכל אנשי הקואליציה יש ענין בהכשלתה : מותר לו למחוקק להעמיד כל חבר מועצה בחזקתו שהוא רוצה בכנות שתהיה ביקורת ושממצאי הביקורת יביאו לידי מעשים מצד המועצה. </w:t>
      </w:r>
    </w:p>
    <w:p w:rsidR="0025709E" w:rsidRPr="001A408C" w:rsidRDefault="0025709E" w:rsidP="0025709E">
      <w:pPr>
        <w:tabs>
          <w:tab w:val="left" w:pos="423"/>
        </w:tabs>
        <w:rPr>
          <w:rFonts w:cs="FrankRuehl"/>
          <w:sz w:val="22"/>
          <w:szCs w:val="22"/>
          <w:rtl/>
        </w:rPr>
      </w:pPr>
      <w:r w:rsidRPr="001A408C">
        <w:rPr>
          <w:rFonts w:cs="FrankRuehl"/>
          <w:sz w:val="22"/>
          <w:szCs w:val="22"/>
          <w:rtl/>
        </w:rPr>
        <w:t xml:space="preserve">אילו אמר המחוקק שכל חבר מועצה כשיר להיות חבר בוועדה לעניני ביקורת, לא היה לי אלא לבטל חששותי מפני רצונו. לא זו בלבד שהוא לא אמר כך, אלא הוא הוציא במפורש חברי מועצה מסוימים מכלל המועמדים הכשירים לחברות בוועדה, כשם שהוציא חברי סיעתו של ראש העירייה מכלל המועמדים הכשירים לשמש יושב-ראש הוועדה. ועל שום מה הוציא את "ראש העירייה וסגניו" מכלל חברי המועצה הכשירים לכהן כחברי הוועדה לעניני ביקורת, על שום שהם המה המבוקרים: הם המנהלים את עניני העיר, ומעשיהם ומחדליהם הם המשמשים נושא לביקורת. יודע המחוקק נפש האדם, שאדם קרוב אצל עצמו, ואין אדם רואה חובה לעצמו, ואין אדם טורח בסעודה ואוהב להפסידה. אך טבעי הוא שאדם ידחה כל ביקורת על מעשיו וישתדל להביא לידי גניזתה והשכחתה. ואפילו תמצא חמישה צדיקים בתוך העיר שעוז רוחם עמם לקדם ביקורת על מעשיהם בברכה ולקבלה באהבה, הרי אף גם זאת יודע המחוקק שמוטב ולא יביא אותם לידי ניסיון ; ולא עוד אלא חייב המחוקק לעשות דין אחד לצדיקים ולרשעים, שמחוקק בשר ודם הוא, ואין הוא בוחן כליות ולב; ובמקום שאלה עומדים היום, עלולים אלה לעמוד מחר. </w:t>
      </w:r>
    </w:p>
    <w:p w:rsidR="0025709E" w:rsidRPr="001A408C" w:rsidRDefault="0025709E" w:rsidP="0025709E">
      <w:pPr>
        <w:tabs>
          <w:tab w:val="left" w:pos="423"/>
        </w:tabs>
        <w:rPr>
          <w:rFonts w:cs="FrankRuehl"/>
          <w:sz w:val="22"/>
          <w:szCs w:val="22"/>
          <w:rtl/>
        </w:rPr>
      </w:pPr>
      <w:r>
        <w:rPr>
          <w:rFonts w:cs="FrankRuehl" w:hint="cs"/>
          <w:sz w:val="22"/>
          <w:szCs w:val="22"/>
          <w:rtl/>
        </w:rPr>
        <w:t>...</w:t>
      </w:r>
      <w:r w:rsidRPr="001A408C">
        <w:rPr>
          <w:rFonts w:cs="FrankRuehl"/>
          <w:sz w:val="22"/>
          <w:szCs w:val="22"/>
          <w:rtl/>
        </w:rPr>
        <w:t xml:space="preserve"> </w:t>
      </w:r>
    </w:p>
    <w:p w:rsidR="0025709E" w:rsidRPr="001A408C" w:rsidRDefault="0025709E" w:rsidP="0025709E">
      <w:pPr>
        <w:tabs>
          <w:tab w:val="left" w:pos="423"/>
        </w:tabs>
        <w:rPr>
          <w:rFonts w:cs="FrankRuehl"/>
          <w:sz w:val="22"/>
          <w:szCs w:val="22"/>
          <w:rtl/>
        </w:rPr>
      </w:pPr>
      <w:r w:rsidRPr="001A408C">
        <w:rPr>
          <w:rFonts w:cs="FrankRuehl"/>
          <w:sz w:val="22"/>
          <w:szCs w:val="22"/>
          <w:highlight w:val="yellow"/>
          <w:rtl/>
        </w:rPr>
        <w:t>אמת נכון הדבר שסעיף 149ג לפקודה, המקים את הוועדה לעניני ביקורת, חוקק רק בשנת תשל"ט-1978, כשלוש שנים לאחר חקיקת סעיף 17 הנ"ל, ובכל זאת נקט בו המחוקק לשון "ראש העיריה וסגניו" ולא נקט בו לשון "ראש העיריה וסגניו וחברי ועדת ההנהלה", או אף לשון "חברי ועדת ההנהלה" בלבד, שראש העירייה וסגניו ממילא בכלל זה. אבל השאלה העומדת לפנינו היא אם פסל המחוקק את "ראש העיריה וסגניו" באשר הם ראש העירייה וסגני ראש העירייה, כלומר באשר הם בעלי התארים הנכבדים הללו, או שמא פסל אותם באשר הם מהווים, בפועל ובכוח, את הרשות המבצעת שבעירייה שכנגדה מכוונת עיקר הביקורת : שאם תאמר, בעלי תארים פסל, כי אז בעל כורחך אתה אומר שמיצה את רשימתם, ואין אתה רשאי להוסיף עליהם: אך אם תאמר, אנשי הרשות המבצעת שבעירייה פסל, כי אז אין מנוס מן המסקנה של לאו דווקא קתני, ואי אתה רשאי לראות ב"ראש העיריה וסגניו" אלא את הפרט הבא ללמד על הכלל. ואם פסול הוא הדבק בראש העירייה וסגניו אך באשר הם הרשות המבצעת שבעירייה בפועל ובכוח, פסול הוא אשר צריך להידבק גם בחברי ועדת ההנהלה הנמנים אף הם עתה, כאמור, על הרשות המבצעת שבעירייה, לפחות בכוח.</w:t>
      </w:r>
      <w:r w:rsidRPr="001A408C">
        <w:rPr>
          <w:rFonts w:cs="FrankRuehl"/>
          <w:sz w:val="22"/>
          <w:szCs w:val="22"/>
          <w:rtl/>
        </w:rPr>
        <w:t xml:space="preserve"> </w:t>
      </w:r>
    </w:p>
    <w:p w:rsidR="0025709E" w:rsidRPr="001A408C" w:rsidRDefault="0025709E" w:rsidP="0025709E">
      <w:pPr>
        <w:tabs>
          <w:tab w:val="left" w:pos="423"/>
        </w:tabs>
        <w:rPr>
          <w:rFonts w:cs="FrankRuehl"/>
          <w:sz w:val="22"/>
          <w:szCs w:val="22"/>
          <w:rtl/>
        </w:rPr>
      </w:pPr>
      <w:r>
        <w:rPr>
          <w:rFonts w:cs="FrankRuehl" w:hint="cs"/>
          <w:sz w:val="22"/>
          <w:szCs w:val="22"/>
          <w:rtl/>
        </w:rPr>
        <w:t>...</w:t>
      </w:r>
    </w:p>
    <w:p w:rsidR="0025709E" w:rsidRPr="001A408C" w:rsidRDefault="0025709E" w:rsidP="0025709E">
      <w:pPr>
        <w:tabs>
          <w:tab w:val="left" w:pos="423"/>
        </w:tabs>
        <w:rPr>
          <w:rFonts w:cs="FrankRuehl"/>
          <w:sz w:val="22"/>
          <w:szCs w:val="22"/>
          <w:rtl/>
        </w:rPr>
      </w:pPr>
      <w:r w:rsidRPr="004A1627">
        <w:rPr>
          <w:rFonts w:cs="FrankRuehl"/>
          <w:sz w:val="22"/>
          <w:szCs w:val="22"/>
          <w:highlight w:val="yellow"/>
          <w:rtl/>
        </w:rPr>
        <w:t>כדי להגשים כוונתו השקופה של המחוקק ולהשיג מטרת החוק, עלינו לפרש הדיבור "ראש העיריה וסגניו" שבסעיף 149ג(ב) לפקודת העיריות כאילו גם יתר חברי ועדת ההנהלה הקבועה במשמע.</w:t>
      </w:r>
      <w:r w:rsidRPr="001A408C">
        <w:rPr>
          <w:rFonts w:cs="FrankRuehl"/>
          <w:sz w:val="22"/>
          <w:szCs w:val="22"/>
          <w:rtl/>
        </w:rPr>
        <w:t xml:space="preserve"> פירוש מרחיב זה אינו בא אלא להגן על אזרחי העיר, משלמי ארנונותיה, שהליכי הביקורת על ניהול עניני עירם יהיו יעילים וייראו אוביקטיביים, ושהמבוקרים לא ייעשו מבקרים, ולא ישימו עצמם שופטים על מבקריהם. </w:t>
      </w:r>
    </w:p>
    <w:p w:rsidR="0025709E" w:rsidRPr="001A408C" w:rsidRDefault="0025709E" w:rsidP="0025709E">
      <w:pPr>
        <w:tabs>
          <w:tab w:val="left" w:pos="423"/>
        </w:tabs>
        <w:rPr>
          <w:rFonts w:cs="FrankRuehl"/>
          <w:sz w:val="22"/>
          <w:szCs w:val="22"/>
          <w:rtl/>
        </w:rPr>
      </w:pPr>
      <w:r w:rsidRPr="001A408C">
        <w:rPr>
          <w:rFonts w:cs="FrankRuehl"/>
          <w:sz w:val="22"/>
          <w:szCs w:val="22"/>
          <w:rtl/>
        </w:rPr>
        <w:t xml:space="preserve">מאחר שהמשיב מוכתר הוא חבר בוועדת ההנהלה, פסול הוא מהיות חבר בוועדה לעניני ביקורת, ומכל שכן פסול הוא מהיות יושב-ראש הוועדה לעניני ביקורת. </w:t>
      </w:r>
    </w:p>
    <w:p w:rsidR="0025709E" w:rsidRPr="001A408C" w:rsidRDefault="0025709E" w:rsidP="0025709E">
      <w:pPr>
        <w:tabs>
          <w:tab w:val="left" w:pos="423"/>
        </w:tabs>
        <w:rPr>
          <w:rFonts w:cs="FrankRuehl"/>
          <w:sz w:val="22"/>
          <w:szCs w:val="22"/>
          <w:rtl/>
        </w:rPr>
      </w:pPr>
      <w:r w:rsidRPr="001A408C">
        <w:rPr>
          <w:rFonts w:cs="FrankRuehl"/>
          <w:sz w:val="22"/>
          <w:szCs w:val="22"/>
          <w:rtl/>
        </w:rPr>
        <w:t>גם אני מסכים שבעתירת העותרים לצוות על מועצת העירייה שתבחר ליושב-ראש הוועדה לעניני ביקורת דווקא איש מסיעות האופוזיציה, לא היה כל ממש. שום פסול אינו דבק בחבר המועצה, שאינו חבר בוועדת ההנהלה ואינו איש סיעתו של ראש העירייה, מלהיבחר יושב-ראש הוועדה לעניני ביקורת.</w:t>
      </w:r>
    </w:p>
    <w:p w:rsidR="0025709E" w:rsidRDefault="0025709E" w:rsidP="0025709E">
      <w:pPr>
        <w:tabs>
          <w:tab w:val="left" w:pos="423"/>
        </w:tabs>
        <w:rPr>
          <w:rFonts w:cs="FrankRuehl"/>
          <w:sz w:val="20"/>
          <w:szCs w:val="20"/>
          <w:rtl/>
        </w:rPr>
      </w:pPr>
    </w:p>
    <w:p w:rsidR="0025709E" w:rsidRDefault="0025709E" w:rsidP="0025709E">
      <w:pPr>
        <w:tabs>
          <w:tab w:val="left" w:pos="423"/>
        </w:tabs>
        <w:rPr>
          <w:rFonts w:cs="FrankRuehl"/>
          <w:sz w:val="20"/>
          <w:szCs w:val="20"/>
          <w:rtl/>
        </w:rPr>
      </w:pPr>
      <w:r>
        <w:rPr>
          <w:rFonts w:cs="FrankRuehl" w:hint="cs"/>
          <w:sz w:val="20"/>
          <w:szCs w:val="20"/>
          <w:rtl/>
        </w:rPr>
        <w:t>=-=</w:t>
      </w:r>
    </w:p>
    <w:p w:rsidR="0025709E" w:rsidRDefault="0025709E" w:rsidP="0025709E">
      <w:pPr>
        <w:tabs>
          <w:tab w:val="left" w:pos="423"/>
        </w:tabs>
        <w:rPr>
          <w:rFonts w:cs="FrankRuehl"/>
          <w:sz w:val="20"/>
          <w:szCs w:val="20"/>
          <w:rtl/>
        </w:rPr>
      </w:pPr>
    </w:p>
    <w:p w:rsidR="0025709E" w:rsidRPr="003F579E" w:rsidRDefault="0025709E" w:rsidP="0025709E">
      <w:pPr>
        <w:tabs>
          <w:tab w:val="left" w:pos="423"/>
        </w:tabs>
        <w:rPr>
          <w:rFonts w:asciiTheme="minorBidi" w:hAnsiTheme="minorBidi" w:cstheme="minorBidi"/>
          <w:b/>
          <w:bCs/>
          <w:sz w:val="22"/>
          <w:szCs w:val="22"/>
          <w:rtl/>
        </w:rPr>
      </w:pPr>
      <w:r w:rsidRPr="003F579E">
        <w:rPr>
          <w:rFonts w:asciiTheme="minorBidi" w:hAnsiTheme="minorBidi" w:cstheme="minorBidi"/>
          <w:b/>
          <w:bCs/>
          <w:sz w:val="22"/>
          <w:szCs w:val="22"/>
          <w:rtl/>
        </w:rPr>
        <w:t>פסק דין</w:t>
      </w:r>
      <w:r>
        <w:rPr>
          <w:rFonts w:asciiTheme="minorBidi" w:hAnsiTheme="minorBidi" w:cstheme="minorBidi" w:hint="cs"/>
          <w:b/>
          <w:bCs/>
          <w:sz w:val="22"/>
          <w:szCs w:val="22"/>
          <w:rtl/>
        </w:rPr>
        <w:t>, אותו פגשנו בתחילת השנה,</w:t>
      </w:r>
      <w:r w:rsidRPr="003F579E">
        <w:rPr>
          <w:rFonts w:asciiTheme="minorBidi" w:hAnsiTheme="minorBidi" w:cstheme="minorBidi"/>
          <w:b/>
          <w:bCs/>
          <w:sz w:val="22"/>
          <w:szCs w:val="22"/>
          <w:rtl/>
        </w:rPr>
        <w:t xml:space="preserve"> המדגים ניגוד עניינים בהקשר שבו "נגיעה אישית" – ניגוד</w:t>
      </w:r>
      <w:r>
        <w:rPr>
          <w:rFonts w:asciiTheme="minorBidi" w:hAnsiTheme="minorBidi" w:cstheme="minorBidi"/>
          <w:b/>
          <w:bCs/>
          <w:sz w:val="22"/>
          <w:szCs w:val="22"/>
          <w:rtl/>
        </w:rPr>
        <w:t xml:space="preserve"> בין אינטרס ציבורי לאינטרס פרטי</w:t>
      </w:r>
      <w:r>
        <w:rPr>
          <w:rFonts w:asciiTheme="minorBidi" w:hAnsiTheme="minorBidi" w:cstheme="minorBidi" w:hint="cs"/>
          <w:b/>
          <w:bCs/>
          <w:sz w:val="22"/>
          <w:szCs w:val="22"/>
          <w:rtl/>
        </w:rPr>
        <w:t>:</w:t>
      </w:r>
    </w:p>
    <w:p w:rsidR="0025709E" w:rsidRPr="001F1CCB" w:rsidRDefault="0025709E" w:rsidP="0025709E">
      <w:pPr>
        <w:tabs>
          <w:tab w:val="left" w:pos="423"/>
        </w:tabs>
        <w:rPr>
          <w:rFonts w:cs="FrankRuehl"/>
          <w:sz w:val="20"/>
          <w:szCs w:val="20"/>
          <w:rtl/>
        </w:rPr>
      </w:pPr>
    </w:p>
    <w:p w:rsidR="0025709E" w:rsidRPr="006432F1" w:rsidRDefault="0025709E" w:rsidP="0025709E">
      <w:pPr>
        <w:pStyle w:val="T-body"/>
        <w:spacing w:after="120" w:line="240" w:lineRule="auto"/>
        <w:jc w:val="left"/>
        <w:rPr>
          <w:rtl/>
        </w:rPr>
      </w:pPr>
      <w:r w:rsidRPr="006432F1">
        <w:rPr>
          <w:highlight w:val="yellow"/>
          <w:rtl/>
        </w:rPr>
        <w:t xml:space="preserve">בג"צ 3132/92 </w:t>
      </w:r>
      <w:r w:rsidRPr="006432F1">
        <w:rPr>
          <w:b/>
          <w:bCs/>
          <w:highlight w:val="yellow"/>
          <w:rtl/>
        </w:rPr>
        <w:t>מושלב נ' הוועדה המחוזית לתכנון ולבנייה, מחוז הצפון</w:t>
      </w:r>
      <w:r w:rsidRPr="006432F1">
        <w:rPr>
          <w:highlight w:val="yellow"/>
          <w:rtl/>
        </w:rPr>
        <w:t xml:space="preserve">, פ"ד מז(3) 741 </w:t>
      </w:r>
      <w:r w:rsidRPr="006432F1">
        <w:rPr>
          <w:rtl/>
        </w:rPr>
        <w:t>(1993)</w:t>
      </w:r>
    </w:p>
    <w:p w:rsidR="0025709E" w:rsidRPr="001F1CCB" w:rsidRDefault="0025709E" w:rsidP="0025709E">
      <w:pPr>
        <w:rPr>
          <w:rFonts w:cs="FrankRuehl"/>
          <w:sz w:val="22"/>
          <w:szCs w:val="22"/>
          <w:rtl/>
        </w:rPr>
      </w:pPr>
      <w:r w:rsidRPr="001F1CCB">
        <w:rPr>
          <w:rFonts w:cs="FrankRuehl"/>
          <w:sz w:val="22"/>
          <w:szCs w:val="22"/>
          <w:rtl/>
        </w:rPr>
        <w:t xml:space="preserve">1. </w:t>
      </w:r>
      <w:r w:rsidRPr="00AB7D33">
        <w:rPr>
          <w:rFonts w:cs="FrankRuehl"/>
          <w:sz w:val="22"/>
          <w:szCs w:val="22"/>
          <w:highlight w:val="yellow"/>
          <w:rtl/>
        </w:rPr>
        <w:t>העותר</w:t>
      </w:r>
      <w:r w:rsidRPr="001F1CCB">
        <w:rPr>
          <w:rFonts w:cs="FrankRuehl"/>
          <w:sz w:val="22"/>
          <w:szCs w:val="22"/>
          <w:rtl/>
        </w:rPr>
        <w:t xml:space="preserve"> הוא בעליה של חלקת אדמה באבו-סנאן, הגובלת בכביש שלומי-אחיהוד. גם </w:t>
      </w:r>
      <w:r w:rsidRPr="00AB7D33">
        <w:rPr>
          <w:rFonts w:cs="FrankRuehl"/>
          <w:sz w:val="22"/>
          <w:szCs w:val="22"/>
          <w:highlight w:val="yellow"/>
          <w:rtl/>
        </w:rPr>
        <w:t>לקיבוץ כברי</w:t>
      </w:r>
      <w:r w:rsidRPr="001F1CCB">
        <w:rPr>
          <w:rFonts w:cs="FrankRuehl"/>
          <w:sz w:val="22"/>
          <w:szCs w:val="22"/>
          <w:rtl/>
        </w:rPr>
        <w:t xml:space="preserve"> (להלן: הקיבוץ) קרקע באותו צד של הכביש הנ"ל במרחק של פחות מ-15 ק"מ מאדמת העותר. הן העותר והן הקיבוץ מבקשים להקים על אדמותיהם תחנת דלק, שירותי דלק ומסעדה. </w:t>
      </w:r>
    </w:p>
    <w:p w:rsidR="0025709E" w:rsidRPr="001F1CCB" w:rsidRDefault="0025709E" w:rsidP="0025709E">
      <w:pPr>
        <w:spacing w:after="60"/>
        <w:rPr>
          <w:rFonts w:cs="FrankRuehl"/>
          <w:sz w:val="22"/>
          <w:szCs w:val="22"/>
          <w:rtl/>
        </w:rPr>
      </w:pPr>
      <w:r w:rsidRPr="001F1CCB">
        <w:rPr>
          <w:rFonts w:cs="FrankRuehl"/>
          <w:sz w:val="22"/>
          <w:szCs w:val="22"/>
          <w:rtl/>
        </w:rPr>
        <w:t xml:space="preserve">הקמת תחנה כזו טעונה אישור תוכנית מפורטת על-פי חוק התכנון והבניה, תשכ"ה-1965 (להלן: החוק). </w:t>
      </w:r>
    </w:p>
    <w:p w:rsidR="0025709E" w:rsidRPr="001F1CCB" w:rsidRDefault="0025709E" w:rsidP="0025709E">
      <w:pPr>
        <w:rPr>
          <w:rFonts w:cs="FrankRuehl"/>
          <w:sz w:val="22"/>
          <w:szCs w:val="22"/>
          <w:rtl/>
        </w:rPr>
      </w:pPr>
      <w:r w:rsidRPr="001F1CCB">
        <w:rPr>
          <w:rFonts w:cs="FrankRuehl"/>
          <w:sz w:val="22"/>
          <w:szCs w:val="22"/>
          <w:rtl/>
        </w:rPr>
        <w:t xml:space="preserve">2. ההסדר הקבוע בחוק למתן האישור הוא דו-שלבי. תחילה יש להגיש את התוכנית המפורטת לוועדה מקומית לתכנון ולבניה שהקרקע אליה מתייחסת התוכנית נמצאת במרחב תכנונה. תוכנית המאושרת על-ידי הועדה המקומית מועברת על-ידיה לוועדה מחוזית לתכנון ולבניה, שמרחב התכנון הרלוואנטי נמצא בתחום מחוזה (סעיפים 67ו-68 לחוק). </w:t>
      </w:r>
    </w:p>
    <w:p w:rsidR="0025709E" w:rsidRPr="001F1CCB" w:rsidRDefault="0025709E" w:rsidP="0025709E">
      <w:pPr>
        <w:spacing w:after="60"/>
        <w:rPr>
          <w:rFonts w:cs="FrankRuehl"/>
          <w:sz w:val="22"/>
          <w:szCs w:val="22"/>
          <w:rtl/>
        </w:rPr>
      </w:pPr>
      <w:r w:rsidRPr="001F1CCB">
        <w:rPr>
          <w:rFonts w:cs="FrankRuehl"/>
          <w:sz w:val="22"/>
          <w:szCs w:val="22"/>
          <w:rtl/>
        </w:rPr>
        <w:t xml:space="preserve">חלקת העותר נמצאת במרחב התכנון שעליו מופקדת הוועדה המקומית הגליל המרכזי. </w:t>
      </w:r>
      <w:r w:rsidRPr="00AB7D33">
        <w:rPr>
          <w:rFonts w:cs="FrankRuehl"/>
          <w:sz w:val="22"/>
          <w:szCs w:val="22"/>
          <w:highlight w:val="yellow"/>
          <w:rtl/>
        </w:rPr>
        <w:t>אדמת הקיבוץ היא בגבולות מרחב התכנון הנשלט על-ידי הוועדה המקומית מטה אשר (להלן: הועדה המקומית), שהיושב-ראש שלה הוא חבר הקיבוץ יחזקל בריט.</w:t>
      </w:r>
      <w:r w:rsidRPr="001F1CCB">
        <w:rPr>
          <w:rFonts w:cs="FrankRuehl"/>
          <w:sz w:val="22"/>
          <w:szCs w:val="22"/>
          <w:rtl/>
        </w:rPr>
        <w:t xml:space="preserve"> שתי הוועדות המקומיות נמצאות במרחב תכנון מחוז הצפון. </w:t>
      </w:r>
    </w:p>
    <w:p w:rsidR="0025709E" w:rsidRPr="001F1CCB" w:rsidRDefault="0025709E" w:rsidP="0025709E">
      <w:pPr>
        <w:spacing w:after="60"/>
        <w:rPr>
          <w:rFonts w:cs="FrankRuehl"/>
          <w:sz w:val="22"/>
          <w:szCs w:val="22"/>
          <w:rtl/>
        </w:rPr>
      </w:pPr>
      <w:r w:rsidRPr="001F1CCB">
        <w:rPr>
          <w:rFonts w:cs="FrankRuehl"/>
          <w:sz w:val="22"/>
          <w:szCs w:val="22"/>
          <w:rtl/>
        </w:rPr>
        <w:t xml:space="preserve">3. העורר הגיש את התוכנית המפורטת (להלן: תוכנית אבו-סנאן) לוועדה המקומית הגליל המרכזי ביום 1.12.1987. הוועדה המקומית אישרה את התוכנית והעבירה אותה לוועדה המחוזית ביום 22.1.89. המשך הטיפול בתוכנית אבו-סנאן בוועדה המחוזית התעכב בשל הצורך לקבל את אישור הוועדה לשימור קרקעות חקלאיות (ולק"ח). בתוך כך, ביום 19.6.1990, הקיבוץ הגיש תוכנית מפורטת לוועדה המקומית מטה אשר (להלן: תוכנית כברי). ביום 16.7.1990 אישרה הועדה המקומית בראשותו של בריט, שאף השתתף בהצבעה, פה-אחד את תוכנית כברי, והעבירה אותה לוועדה המחוזית. המסלול שתוכנית כברי עברה היה קצר למדי, וכך שתי התוכניות אושרו להפקדה על-ידי הוועדה המחוזית באותו יום - 16.11.1990. תוכנית כברי פורסמה ברשומות שבוע לפני פרסום תוכנית אבן-סנאן. </w:t>
      </w:r>
    </w:p>
    <w:p w:rsidR="0025709E" w:rsidRPr="001F1CCB" w:rsidRDefault="0025709E" w:rsidP="0025709E">
      <w:pPr>
        <w:spacing w:after="60"/>
        <w:rPr>
          <w:rFonts w:cs="FrankRuehl"/>
          <w:sz w:val="20"/>
          <w:szCs w:val="20"/>
        </w:rPr>
      </w:pPr>
      <w:r>
        <w:rPr>
          <w:rFonts w:cs="FrankRuehl" w:hint="cs"/>
          <w:sz w:val="22"/>
          <w:szCs w:val="22"/>
          <w:rtl/>
        </w:rPr>
        <w:t xml:space="preserve">9. </w:t>
      </w:r>
      <w:r w:rsidRPr="001F1CCB">
        <w:rPr>
          <w:rFonts w:cs="FrankRuehl" w:hint="cs"/>
          <w:sz w:val="22"/>
          <w:szCs w:val="22"/>
          <w:rtl/>
        </w:rPr>
        <w:t xml:space="preserve"> </w:t>
      </w:r>
      <w:r w:rsidRPr="001F1CCB">
        <w:rPr>
          <w:rFonts w:cs="FrankRuehl"/>
          <w:sz w:val="22"/>
          <w:szCs w:val="22"/>
          <w:rtl/>
        </w:rPr>
        <w:t xml:space="preserve">סעיף </w:t>
      </w:r>
      <w:r>
        <w:rPr>
          <w:rFonts w:cs="FrankRuehl" w:hint="cs"/>
          <w:sz w:val="22"/>
          <w:szCs w:val="22"/>
          <w:rtl/>
        </w:rPr>
        <w:t>47</w:t>
      </w:r>
      <w:r w:rsidRPr="001F1CCB">
        <w:rPr>
          <w:rFonts w:cs="FrankRuehl" w:hint="cs"/>
          <w:sz w:val="22"/>
          <w:szCs w:val="22"/>
          <w:rtl/>
        </w:rPr>
        <w:t xml:space="preserve"> </w:t>
      </w:r>
      <w:r w:rsidRPr="001F1CCB">
        <w:rPr>
          <w:rFonts w:cs="FrankRuehl"/>
          <w:sz w:val="22"/>
          <w:szCs w:val="22"/>
          <w:rtl/>
        </w:rPr>
        <w:t xml:space="preserve">לחוק </w:t>
      </w:r>
      <w:r w:rsidRPr="001F1CCB">
        <w:rPr>
          <w:rFonts w:cs="FrankRuehl" w:hint="cs"/>
          <w:sz w:val="22"/>
          <w:szCs w:val="22"/>
          <w:rtl/>
        </w:rPr>
        <w:t xml:space="preserve">[חוק התכנון והבניה, התשכ"ה-1965] </w:t>
      </w:r>
      <w:r w:rsidRPr="001F1CCB">
        <w:rPr>
          <w:rFonts w:cs="FrankRuehl"/>
          <w:sz w:val="22"/>
          <w:szCs w:val="22"/>
          <w:rtl/>
        </w:rPr>
        <w:t>קובע</w:t>
      </w:r>
      <w:r w:rsidRPr="001F1CCB">
        <w:rPr>
          <w:rFonts w:cs="FrankRuehl"/>
          <w:sz w:val="22"/>
          <w:szCs w:val="22"/>
        </w:rPr>
        <w:t>:</w:t>
      </w:r>
    </w:p>
    <w:p w:rsidR="0025709E" w:rsidRPr="001F1CCB" w:rsidRDefault="0025709E" w:rsidP="0025709E">
      <w:pPr>
        <w:spacing w:after="60"/>
        <w:ind w:left="720"/>
        <w:rPr>
          <w:rFonts w:cs="David"/>
          <w:sz w:val="20"/>
          <w:szCs w:val="20"/>
          <w:rtl/>
        </w:rPr>
      </w:pPr>
      <w:r w:rsidRPr="001F1CCB">
        <w:rPr>
          <w:rFonts w:cs="David"/>
          <w:sz w:val="20"/>
          <w:szCs w:val="20"/>
        </w:rPr>
        <w:t>"</w:t>
      </w:r>
      <w:r w:rsidRPr="001F1CCB">
        <w:rPr>
          <w:rFonts w:cs="David"/>
          <w:sz w:val="20"/>
          <w:szCs w:val="20"/>
          <w:rtl/>
        </w:rPr>
        <w:t>(א) חבר במוסד תכנון שיש לו, במישרין או בעקיפין, בעצמו או על-ידי קרובו, סוכנו או שותפו או על-ידי קרוביהם, כל חלק או טובת הנאה בכל תכנית או ענין העומדים לדיון במוסד או בועדה מועדותיו -</w:t>
      </w:r>
    </w:p>
    <w:p w:rsidR="0025709E" w:rsidRPr="001F1CCB" w:rsidRDefault="0025709E" w:rsidP="0025709E">
      <w:pPr>
        <w:spacing w:after="60"/>
        <w:ind w:left="1440"/>
        <w:rPr>
          <w:rFonts w:cs="David"/>
          <w:sz w:val="20"/>
          <w:szCs w:val="20"/>
        </w:rPr>
      </w:pPr>
      <w:r w:rsidRPr="00331FEE">
        <w:rPr>
          <w:rFonts w:cs="David"/>
          <w:sz w:val="20"/>
          <w:szCs w:val="20"/>
          <w:highlight w:val="yellow"/>
          <w:rtl/>
        </w:rPr>
        <w:t>(</w:t>
      </w:r>
      <w:r w:rsidRPr="00331FEE">
        <w:rPr>
          <w:rFonts w:cs="David"/>
          <w:sz w:val="20"/>
          <w:szCs w:val="20"/>
          <w:highlight w:val="yellow"/>
        </w:rPr>
        <w:t>1</w:t>
      </w:r>
      <w:r w:rsidRPr="00331FEE">
        <w:rPr>
          <w:rFonts w:cs="David"/>
          <w:sz w:val="20"/>
          <w:szCs w:val="20"/>
          <w:highlight w:val="yellow"/>
          <w:rtl/>
        </w:rPr>
        <w:t>)</w:t>
      </w:r>
      <w:r w:rsidRPr="00331FEE">
        <w:rPr>
          <w:rFonts w:cs="David"/>
          <w:sz w:val="20"/>
          <w:szCs w:val="20"/>
          <w:highlight w:val="yellow"/>
        </w:rPr>
        <w:t xml:space="preserve"> </w:t>
      </w:r>
      <w:r w:rsidRPr="00331FEE">
        <w:rPr>
          <w:rFonts w:cs="David"/>
          <w:sz w:val="20"/>
          <w:szCs w:val="20"/>
          <w:highlight w:val="yellow"/>
          <w:rtl/>
        </w:rPr>
        <w:t>יודיע על כך ליושב ראש בכתב או בעל פה מיד לאחר שנודע לו כי</w:t>
      </w:r>
      <w:r w:rsidRPr="00331FEE">
        <w:rPr>
          <w:rFonts w:cs="David"/>
          <w:sz w:val="20"/>
          <w:szCs w:val="20"/>
          <w:highlight w:val="yellow"/>
        </w:rPr>
        <w:t xml:space="preserve"> </w:t>
      </w:r>
      <w:r w:rsidRPr="00331FEE">
        <w:rPr>
          <w:rFonts w:cs="David"/>
          <w:sz w:val="20"/>
          <w:szCs w:val="20"/>
          <w:highlight w:val="yellow"/>
          <w:rtl/>
        </w:rPr>
        <w:t>התכנית או הענין האמורים עומדים לדיון</w:t>
      </w:r>
      <w:r w:rsidRPr="001F1CCB">
        <w:rPr>
          <w:rFonts w:cs="David"/>
          <w:sz w:val="20"/>
          <w:szCs w:val="20"/>
          <w:rtl/>
        </w:rPr>
        <w:t xml:space="preserve">; נמסרה ההודעה בעל פה, </w:t>
      </w:r>
      <w:r w:rsidRPr="00331FEE">
        <w:rPr>
          <w:rFonts w:cs="David"/>
          <w:sz w:val="20"/>
          <w:szCs w:val="20"/>
          <w:highlight w:val="yellow"/>
          <w:rtl/>
        </w:rPr>
        <w:t>תירשם בפרוטוקול</w:t>
      </w:r>
      <w:r w:rsidRPr="001F1CCB">
        <w:rPr>
          <w:rFonts w:cs="David"/>
          <w:sz w:val="20"/>
          <w:szCs w:val="20"/>
          <w:rtl/>
        </w:rPr>
        <w:t xml:space="preserve"> הישיבה הקרובה של המוסד או הועדה;</w:t>
      </w:r>
      <w:r w:rsidRPr="001F1CCB">
        <w:rPr>
          <w:rFonts w:cs="David"/>
          <w:sz w:val="20"/>
          <w:szCs w:val="20"/>
        </w:rPr>
        <w:t xml:space="preserve"> </w:t>
      </w:r>
      <w:r w:rsidRPr="001F1CCB">
        <w:rPr>
          <w:rFonts w:cs="David"/>
          <w:sz w:val="20"/>
          <w:szCs w:val="20"/>
          <w:rtl/>
        </w:rPr>
        <w:t>(</w:t>
      </w:r>
      <w:r w:rsidRPr="001F1CCB">
        <w:rPr>
          <w:rFonts w:cs="David"/>
          <w:sz w:val="20"/>
          <w:szCs w:val="20"/>
        </w:rPr>
        <w:t>2</w:t>
      </w:r>
      <w:r w:rsidRPr="00331FEE">
        <w:rPr>
          <w:rFonts w:cs="David"/>
          <w:sz w:val="20"/>
          <w:szCs w:val="20"/>
          <w:highlight w:val="yellow"/>
          <w:rtl/>
        </w:rPr>
        <w:t>)</w:t>
      </w:r>
      <w:r w:rsidRPr="00331FEE">
        <w:rPr>
          <w:rFonts w:cs="David"/>
          <w:sz w:val="20"/>
          <w:szCs w:val="20"/>
          <w:highlight w:val="yellow"/>
        </w:rPr>
        <w:t xml:space="preserve"> </w:t>
      </w:r>
      <w:r w:rsidRPr="00331FEE">
        <w:rPr>
          <w:rFonts w:cs="David"/>
          <w:sz w:val="20"/>
          <w:szCs w:val="20"/>
          <w:highlight w:val="yellow"/>
          <w:rtl/>
        </w:rPr>
        <w:t>לא יהיה נוכח בדיוני</w:t>
      </w:r>
      <w:r w:rsidRPr="001F1CCB">
        <w:rPr>
          <w:rFonts w:cs="David"/>
          <w:sz w:val="20"/>
          <w:szCs w:val="20"/>
          <w:rtl/>
        </w:rPr>
        <w:t xml:space="preserve"> המוסד או הועדה באותם תכנית או ענין </w:t>
      </w:r>
      <w:r w:rsidRPr="00331FEE">
        <w:rPr>
          <w:rFonts w:cs="David"/>
          <w:sz w:val="20"/>
          <w:szCs w:val="20"/>
          <w:highlight w:val="yellow"/>
          <w:rtl/>
        </w:rPr>
        <w:t>ולא יצביע בהחלטה</w:t>
      </w:r>
      <w:r w:rsidRPr="001F1CCB">
        <w:rPr>
          <w:rFonts w:cs="David"/>
          <w:sz w:val="20"/>
          <w:szCs w:val="20"/>
          <w:rtl/>
        </w:rPr>
        <w:t xml:space="preserve"> על כל אלה בקשר אליהם</w:t>
      </w:r>
      <w:r w:rsidRPr="001F1CCB">
        <w:rPr>
          <w:rFonts w:cs="David"/>
          <w:sz w:val="20"/>
          <w:szCs w:val="20"/>
        </w:rPr>
        <w:t>.</w:t>
      </w:r>
      <w:r w:rsidRPr="001F1CCB">
        <w:rPr>
          <w:rFonts w:cs="David" w:hint="cs"/>
          <w:sz w:val="20"/>
          <w:szCs w:val="20"/>
          <w:rtl/>
        </w:rPr>
        <w:t xml:space="preserve">  [...]</w:t>
      </w:r>
    </w:p>
    <w:p w:rsidR="0025709E" w:rsidRPr="001F1CCB" w:rsidRDefault="0025709E" w:rsidP="0025709E">
      <w:pPr>
        <w:spacing w:after="60"/>
        <w:ind w:left="720"/>
        <w:rPr>
          <w:rFonts w:cs="David"/>
          <w:sz w:val="20"/>
          <w:szCs w:val="20"/>
          <w:rtl/>
        </w:rPr>
      </w:pPr>
      <w:r w:rsidRPr="001F1CCB">
        <w:rPr>
          <w:rFonts w:cs="David"/>
          <w:sz w:val="20"/>
          <w:szCs w:val="20"/>
          <w:rtl/>
        </w:rPr>
        <w:t xml:space="preserve">(ג) העובר על הוראות סעיף זה, דינו - מאסר שנה אחת או קנס </w:t>
      </w:r>
      <w:r w:rsidRPr="001F1CCB">
        <w:rPr>
          <w:rFonts w:cs="David"/>
          <w:sz w:val="20"/>
          <w:szCs w:val="20"/>
        </w:rPr>
        <w:t>000</w:t>
      </w:r>
      <w:r w:rsidRPr="001F1CCB">
        <w:rPr>
          <w:rFonts w:cs="David"/>
          <w:sz w:val="20"/>
          <w:szCs w:val="20"/>
          <w:rtl/>
        </w:rPr>
        <w:t>,</w:t>
      </w:r>
      <w:r w:rsidRPr="001F1CCB">
        <w:rPr>
          <w:rFonts w:cs="David"/>
          <w:sz w:val="20"/>
          <w:szCs w:val="20"/>
        </w:rPr>
        <w:t xml:space="preserve"> 50</w:t>
      </w:r>
      <w:r w:rsidRPr="001F1CCB">
        <w:rPr>
          <w:rFonts w:cs="David"/>
          <w:sz w:val="20"/>
          <w:szCs w:val="20"/>
          <w:rtl/>
        </w:rPr>
        <w:t>לירות</w:t>
      </w:r>
      <w:r w:rsidRPr="001F1CCB">
        <w:rPr>
          <w:rFonts w:cs="David"/>
          <w:sz w:val="20"/>
          <w:szCs w:val="20"/>
        </w:rPr>
        <w:t xml:space="preserve">; </w:t>
      </w:r>
      <w:r w:rsidRPr="001F1CCB">
        <w:rPr>
          <w:rFonts w:cs="David"/>
          <w:sz w:val="20"/>
          <w:szCs w:val="20"/>
          <w:rtl/>
        </w:rPr>
        <w:t>הוראה זו אינה גורעת מאחריותו הפלילית או האזרחית של אדם על-פי כל דין</w:t>
      </w:r>
      <w:r w:rsidRPr="001F1CCB">
        <w:rPr>
          <w:rFonts w:cs="David"/>
          <w:sz w:val="20"/>
          <w:szCs w:val="20"/>
        </w:rPr>
        <w:t xml:space="preserve"> </w:t>
      </w:r>
      <w:r w:rsidRPr="001F1CCB">
        <w:rPr>
          <w:rFonts w:cs="David"/>
          <w:sz w:val="20"/>
          <w:szCs w:val="20"/>
          <w:rtl/>
        </w:rPr>
        <w:t>אחר</w:t>
      </w:r>
      <w:r w:rsidRPr="001F1CCB">
        <w:rPr>
          <w:rFonts w:cs="David"/>
          <w:sz w:val="20"/>
          <w:szCs w:val="20"/>
        </w:rPr>
        <w:t>.</w:t>
      </w:r>
    </w:p>
    <w:p w:rsidR="0025709E" w:rsidRPr="001F1CCB" w:rsidRDefault="0025709E" w:rsidP="0025709E">
      <w:pPr>
        <w:spacing w:after="60"/>
        <w:ind w:left="720"/>
        <w:rPr>
          <w:rFonts w:cs="David"/>
          <w:sz w:val="20"/>
          <w:szCs w:val="20"/>
          <w:rtl/>
        </w:rPr>
      </w:pPr>
      <w:r w:rsidRPr="001F1CCB">
        <w:rPr>
          <w:rFonts w:cs="David"/>
          <w:sz w:val="20"/>
          <w:szCs w:val="20"/>
          <w:rtl/>
        </w:rPr>
        <w:t>(ד)בסעיף זה קרוב לאדם פלוני</w:t>
      </w:r>
      <w:r w:rsidRPr="001F1CCB">
        <w:rPr>
          <w:rFonts w:cs="David"/>
          <w:sz w:val="20"/>
          <w:szCs w:val="20"/>
        </w:rPr>
        <w:t xml:space="preserve"> -</w:t>
      </w:r>
    </w:p>
    <w:p w:rsidR="0025709E" w:rsidRPr="001F1CCB" w:rsidRDefault="0025709E" w:rsidP="0025709E">
      <w:pPr>
        <w:spacing w:after="60"/>
        <w:ind w:left="1440"/>
        <w:rPr>
          <w:rFonts w:cs="David"/>
          <w:sz w:val="20"/>
          <w:szCs w:val="20"/>
          <w:rtl/>
        </w:rPr>
      </w:pPr>
      <w:r w:rsidRPr="001F1CCB">
        <w:rPr>
          <w:rFonts w:cs="David"/>
          <w:sz w:val="20"/>
          <w:szCs w:val="20"/>
          <w:rtl/>
        </w:rPr>
        <w:t>(</w:t>
      </w:r>
      <w:r w:rsidRPr="001F1CCB">
        <w:rPr>
          <w:rFonts w:cs="David"/>
          <w:sz w:val="20"/>
          <w:szCs w:val="20"/>
        </w:rPr>
        <w:t>1</w:t>
      </w:r>
      <w:r w:rsidRPr="001F1CCB">
        <w:rPr>
          <w:rFonts w:cs="David"/>
          <w:sz w:val="20"/>
          <w:szCs w:val="20"/>
          <w:rtl/>
        </w:rPr>
        <w:t>)</w:t>
      </w:r>
      <w:r w:rsidRPr="001F1CCB">
        <w:rPr>
          <w:rFonts w:cs="David"/>
          <w:sz w:val="20"/>
          <w:szCs w:val="20"/>
        </w:rPr>
        <w:t xml:space="preserve"> </w:t>
      </w:r>
      <w:r w:rsidRPr="001F1CCB">
        <w:rPr>
          <w:rFonts w:cs="David"/>
          <w:sz w:val="20"/>
          <w:szCs w:val="20"/>
          <w:rtl/>
        </w:rPr>
        <w:t>בן זוג</w:t>
      </w:r>
      <w:r w:rsidRPr="001F1CCB">
        <w:rPr>
          <w:rFonts w:cs="David"/>
          <w:sz w:val="20"/>
          <w:szCs w:val="20"/>
        </w:rPr>
        <w:t>;</w:t>
      </w:r>
      <w:r w:rsidRPr="001F1CCB">
        <w:rPr>
          <w:rFonts w:cs="David" w:hint="cs"/>
          <w:sz w:val="20"/>
          <w:szCs w:val="20"/>
          <w:rtl/>
        </w:rPr>
        <w:t xml:space="preserve"> </w:t>
      </w:r>
      <w:r w:rsidRPr="001F1CCB">
        <w:rPr>
          <w:rFonts w:cs="David"/>
          <w:sz w:val="20"/>
          <w:szCs w:val="20"/>
          <w:rtl/>
        </w:rPr>
        <w:t>(</w:t>
      </w:r>
      <w:r w:rsidRPr="001F1CCB">
        <w:rPr>
          <w:rFonts w:cs="David"/>
          <w:sz w:val="20"/>
          <w:szCs w:val="20"/>
        </w:rPr>
        <w:t>2</w:t>
      </w:r>
      <w:r w:rsidRPr="001F1CCB">
        <w:rPr>
          <w:rFonts w:cs="David"/>
          <w:sz w:val="20"/>
          <w:szCs w:val="20"/>
          <w:rtl/>
        </w:rPr>
        <w:t>)</w:t>
      </w:r>
      <w:r w:rsidRPr="001F1CCB">
        <w:rPr>
          <w:rFonts w:cs="David"/>
          <w:sz w:val="20"/>
          <w:szCs w:val="20"/>
        </w:rPr>
        <w:t xml:space="preserve"> </w:t>
      </w:r>
      <w:r w:rsidRPr="001F1CCB">
        <w:rPr>
          <w:rFonts w:cs="David"/>
          <w:sz w:val="20"/>
          <w:szCs w:val="20"/>
          <w:rtl/>
        </w:rPr>
        <w:t>הורה, הורי הורה, צאצא, צאצאי בן זוג ובני זוגם של כל אחד מאלה; (3) אח או אחות ובני זוגם</w:t>
      </w:r>
      <w:r w:rsidRPr="001F1CCB">
        <w:rPr>
          <w:rFonts w:cs="David"/>
          <w:sz w:val="20"/>
          <w:szCs w:val="20"/>
        </w:rPr>
        <w:t xml:space="preserve">; </w:t>
      </w:r>
      <w:r w:rsidRPr="001F1CCB">
        <w:rPr>
          <w:rFonts w:cs="David"/>
          <w:sz w:val="20"/>
          <w:szCs w:val="20"/>
          <w:rtl/>
        </w:rPr>
        <w:t>(</w:t>
      </w:r>
      <w:r w:rsidRPr="001F1CCB">
        <w:rPr>
          <w:rFonts w:cs="David"/>
          <w:sz w:val="20"/>
          <w:szCs w:val="20"/>
        </w:rPr>
        <w:t>4</w:t>
      </w:r>
      <w:r w:rsidRPr="001F1CCB">
        <w:rPr>
          <w:rFonts w:cs="David"/>
          <w:sz w:val="20"/>
          <w:szCs w:val="20"/>
          <w:rtl/>
        </w:rPr>
        <w:t>)</w:t>
      </w:r>
      <w:r w:rsidRPr="001F1CCB">
        <w:rPr>
          <w:rFonts w:cs="David"/>
          <w:sz w:val="20"/>
          <w:szCs w:val="20"/>
        </w:rPr>
        <w:t xml:space="preserve"> </w:t>
      </w:r>
      <w:r w:rsidRPr="001F1CCB">
        <w:rPr>
          <w:rFonts w:cs="David"/>
          <w:sz w:val="20"/>
          <w:szCs w:val="20"/>
          <w:rtl/>
        </w:rPr>
        <w:t>איגוד שהוא מנהלו או שחלקו בהונו או ברווחיו עולה על</w:t>
      </w:r>
      <w:r w:rsidRPr="001F1CCB">
        <w:rPr>
          <w:rFonts w:cs="David" w:hint="cs"/>
          <w:sz w:val="20"/>
          <w:szCs w:val="20"/>
          <w:rtl/>
        </w:rPr>
        <w:t xml:space="preserve"> 5%</w:t>
      </w:r>
      <w:r w:rsidRPr="001F1CCB">
        <w:rPr>
          <w:rFonts w:cs="David"/>
          <w:sz w:val="20"/>
          <w:szCs w:val="20"/>
          <w:rtl/>
        </w:rPr>
        <w:t>".</w:t>
      </w:r>
    </w:p>
    <w:p w:rsidR="0025709E" w:rsidRPr="001F1CCB" w:rsidRDefault="0025709E" w:rsidP="0025709E">
      <w:pPr>
        <w:spacing w:after="60"/>
        <w:rPr>
          <w:rFonts w:cs="FrankRuehl"/>
          <w:sz w:val="22"/>
          <w:szCs w:val="22"/>
          <w:rtl/>
        </w:rPr>
      </w:pPr>
      <w:r w:rsidRPr="001F1CCB">
        <w:rPr>
          <w:rFonts w:cs="FrankRuehl"/>
          <w:sz w:val="22"/>
          <w:szCs w:val="22"/>
          <w:rtl/>
        </w:rPr>
        <w:t xml:space="preserve">האיסור הוא רחב, והוא מתייחס גם לאינטרסים של האנשים הקשורים לחבר במוסד תכנון. ואולם בענייננו יש לראות בבריט עצמו בעל עניין. לדעתי, לעניין סעיף </w:t>
      </w:r>
      <w:r>
        <w:rPr>
          <w:rFonts w:cs="FrankRuehl" w:hint="cs"/>
          <w:sz w:val="22"/>
          <w:szCs w:val="22"/>
          <w:rtl/>
        </w:rPr>
        <w:t>47</w:t>
      </w:r>
      <w:r w:rsidRPr="001F1CCB">
        <w:rPr>
          <w:rFonts w:cs="FrankRuehl" w:hint="cs"/>
          <w:sz w:val="22"/>
          <w:szCs w:val="22"/>
          <w:rtl/>
        </w:rPr>
        <w:t xml:space="preserve"> </w:t>
      </w:r>
      <w:r w:rsidRPr="001F1CCB">
        <w:rPr>
          <w:rFonts w:cs="FrankRuehl"/>
          <w:sz w:val="22"/>
          <w:szCs w:val="22"/>
          <w:rtl/>
        </w:rPr>
        <w:t>קיימת זהות בין חבר קיבוץ לקיבוצו כדי כך שיש לראות בטובת הנאה של הקיבוץ כטובת הנאה שיש לחבר "בעצמו".</w:t>
      </w:r>
    </w:p>
    <w:p w:rsidR="0025709E" w:rsidRPr="001F1CCB" w:rsidRDefault="0025709E" w:rsidP="0025709E">
      <w:pPr>
        <w:tabs>
          <w:tab w:val="left" w:pos="423"/>
        </w:tabs>
        <w:rPr>
          <w:rFonts w:cs="FrankRuehl"/>
          <w:sz w:val="22"/>
          <w:szCs w:val="22"/>
          <w:rtl/>
        </w:rPr>
      </w:pPr>
      <w:r w:rsidRPr="001F1CCB">
        <w:rPr>
          <w:rFonts w:cs="FrankRuehl"/>
          <w:sz w:val="22"/>
          <w:szCs w:val="22"/>
          <w:rtl/>
        </w:rPr>
        <w:t xml:space="preserve">10. הרעיון המונח ביסוד האידיאולוגיה הקיבוצית הוא שיתוף מלא בין חברי הקבוצה. שיתוף זה, המבוסס על הזדהות חברתית של הפרט עם הקבוצה, בא לביטוי מבחינה כלכלית בערבות הדדית על-פי העקרון "כל אחד לפי יכולתו, ולכל אחד לפי צרכיו" ובשוויון בהנאה הכלכלית. </w:t>
      </w:r>
    </w:p>
    <w:p w:rsidR="0025709E" w:rsidRPr="001F1CCB" w:rsidRDefault="0025709E" w:rsidP="0025709E">
      <w:pPr>
        <w:tabs>
          <w:tab w:val="left" w:pos="423"/>
        </w:tabs>
        <w:rPr>
          <w:rFonts w:cs="FrankRuehl"/>
          <w:sz w:val="22"/>
          <w:szCs w:val="22"/>
          <w:rtl/>
        </w:rPr>
      </w:pPr>
      <w:r w:rsidRPr="001F1CCB">
        <w:rPr>
          <w:rFonts w:cs="FrankRuehl"/>
          <w:sz w:val="22"/>
          <w:szCs w:val="22"/>
          <w:rtl/>
        </w:rPr>
        <w:t>במהותו, הקיבוץ הוא מעין משפחה גדולה, שכל חבריה סובלים במידה שווה ממצוקותיה ונהנים באותה מידה מיכולתה הכלכלית. טובת הנאה הצומחת לקיבוץ מצמיחה טובת הנאה לכל אחד מחבריו,</w:t>
      </w:r>
      <w:r w:rsidRPr="001F1CCB">
        <w:rPr>
          <w:rFonts w:cs="FrankRuehl" w:hint="cs"/>
          <w:sz w:val="22"/>
          <w:szCs w:val="22"/>
          <w:rtl/>
        </w:rPr>
        <w:t xml:space="preserve">[...] </w:t>
      </w:r>
    </w:p>
    <w:p w:rsidR="0025709E" w:rsidRPr="001F1CCB" w:rsidRDefault="0025709E" w:rsidP="0025709E">
      <w:pPr>
        <w:tabs>
          <w:tab w:val="left" w:pos="423"/>
        </w:tabs>
        <w:rPr>
          <w:rFonts w:cs="FrankRuehl"/>
          <w:sz w:val="22"/>
          <w:szCs w:val="22"/>
          <w:rtl/>
        </w:rPr>
      </w:pPr>
      <w:r w:rsidRPr="00AB7D33">
        <w:rPr>
          <w:rFonts w:cs="FrankRuehl"/>
          <w:sz w:val="22"/>
          <w:szCs w:val="22"/>
          <w:highlight w:val="yellow"/>
          <w:rtl/>
        </w:rPr>
        <w:t>אישור הקמתם של תחנת דלק, שירותי דלק ומסעדה מהווה טובת הנאה בעלת ערך כלכלי ניכר לקיבוץ בכללותו ומכאן שגם לכל אחד מחבריו.</w:t>
      </w:r>
      <w:r w:rsidRPr="001F1CCB">
        <w:rPr>
          <w:rFonts w:cs="FrankRuehl"/>
          <w:sz w:val="22"/>
          <w:szCs w:val="22"/>
          <w:rtl/>
        </w:rPr>
        <w:t xml:space="preserve"> </w:t>
      </w:r>
    </w:p>
    <w:p w:rsidR="0025709E" w:rsidRPr="001F1CCB" w:rsidRDefault="0025709E" w:rsidP="0025709E">
      <w:pPr>
        <w:tabs>
          <w:tab w:val="left" w:pos="423"/>
        </w:tabs>
        <w:spacing w:after="60"/>
        <w:rPr>
          <w:rFonts w:cs="FrankRuehl"/>
          <w:sz w:val="22"/>
          <w:szCs w:val="22"/>
          <w:rtl/>
        </w:rPr>
      </w:pPr>
      <w:r w:rsidRPr="001F1CCB">
        <w:rPr>
          <w:rFonts w:cs="FrankRuehl"/>
          <w:sz w:val="22"/>
          <w:szCs w:val="22"/>
          <w:rtl/>
        </w:rPr>
        <w:t xml:space="preserve">עולה מן המקובץ כי בריט, בהשתתפו בדיון הוועדה המקומית בתוכנית כברי, פעל בניגוד להוראת סעיף 47(א) לחוק. </w:t>
      </w:r>
    </w:p>
    <w:p w:rsidR="0025709E" w:rsidRPr="001F1CCB" w:rsidRDefault="0025709E" w:rsidP="0025709E">
      <w:pPr>
        <w:pStyle w:val="T-body"/>
        <w:spacing w:after="60" w:line="240" w:lineRule="auto"/>
        <w:rPr>
          <w:rFonts w:cs="FrankRuehl"/>
          <w:sz w:val="22"/>
          <w:szCs w:val="22"/>
          <w:rtl/>
        </w:rPr>
      </w:pPr>
      <w:r w:rsidRPr="001F1CCB">
        <w:rPr>
          <w:rFonts w:cs="FrankRuehl" w:hint="cs"/>
          <w:sz w:val="22"/>
          <w:szCs w:val="22"/>
          <w:rtl/>
        </w:rPr>
        <w:t xml:space="preserve">11. [...] </w:t>
      </w:r>
      <w:r w:rsidRPr="00331FEE">
        <w:rPr>
          <w:rFonts w:cs="FrankRuehl" w:hint="cs"/>
          <w:sz w:val="22"/>
          <w:szCs w:val="22"/>
          <w:highlight w:val="yellow"/>
          <w:rtl/>
        </w:rPr>
        <w:t xml:space="preserve">עם-זאת, לא כל ניגוד עניינים פוסל את ההחלטה המינהלית. פסלותה של ההחלטה היא פועל יוצא מעוצמתו של ניגוד העניינים. על-כן, ניגוד רחוק המקים חשש תיאורטי להשפעה של אינטרסים זרים על ההחלטה, אינו מספיק לפסילת  ההחלטה.  המבחן  לניגוד עניינים בין עניין  ציבורי לבין  עניין  פרטי הוא </w:t>
      </w:r>
      <w:r w:rsidRPr="00331FEE">
        <w:rPr>
          <w:rFonts w:cs="FrankRuehl" w:hint="cs"/>
          <w:b/>
          <w:bCs/>
          <w:sz w:val="22"/>
          <w:szCs w:val="22"/>
          <w:highlight w:val="yellow"/>
          <w:rtl/>
        </w:rPr>
        <w:t>מבחן החשש הסביר</w:t>
      </w:r>
      <w:r w:rsidRPr="00331FEE">
        <w:rPr>
          <w:rFonts w:cs="FrankRuehl" w:hint="cs"/>
          <w:sz w:val="22"/>
          <w:szCs w:val="22"/>
          <w:highlight w:val="yellow"/>
          <w:rtl/>
        </w:rPr>
        <w:t xml:space="preserve">. על-פי מבחן זה,  </w:t>
      </w:r>
      <w:r w:rsidRPr="00331FEE">
        <w:rPr>
          <w:rFonts w:cs="FrankRuehl" w:hint="cs"/>
          <w:b/>
          <w:bCs/>
          <w:sz w:val="22"/>
          <w:szCs w:val="22"/>
          <w:highlight w:val="yellow"/>
          <w:rtl/>
        </w:rPr>
        <w:t>עובד  הציבור  יהיה  מנוע  מלדון בנושא שבו יש לו עניין פרטי, אם מתקיים חשש סביר כי ההחלטה תושפע מעניינו הפרטי</w:t>
      </w:r>
      <w:r w:rsidRPr="00331FEE">
        <w:rPr>
          <w:rFonts w:cs="FrankRuehl" w:hint="cs"/>
          <w:sz w:val="22"/>
          <w:szCs w:val="22"/>
          <w:highlight w:val="yellow"/>
          <w:rtl/>
        </w:rPr>
        <w:t xml:space="preserve">, וזאת </w:t>
      </w:r>
      <w:r w:rsidRPr="00331FEE">
        <w:rPr>
          <w:rFonts w:cs="FrankRuehl" w:hint="cs"/>
          <w:b/>
          <w:bCs/>
          <w:sz w:val="22"/>
          <w:szCs w:val="22"/>
          <w:highlight w:val="yellow"/>
          <w:rtl/>
        </w:rPr>
        <w:t>אף אם חשש זה אינו עולה כדי אפשרות ממשית</w:t>
      </w:r>
      <w:r w:rsidRPr="00331FEE">
        <w:rPr>
          <w:rFonts w:cs="FrankRuehl" w:hint="cs"/>
          <w:sz w:val="22"/>
          <w:szCs w:val="22"/>
          <w:highlight w:val="yellow"/>
          <w:rtl/>
        </w:rPr>
        <w:t xml:space="preserve"> (בג"צ 244/86, שם, 186). לגישה שונה,  שעל-פיה  - להבדיל ממקרה של ניגוד בין אינטרס שלטוני לאינטרס פרטי  - דרושה אפשרות ממשית של השפעת ניגוד העניינים כאשר ההתנגשות היא  בין  שני  אינטרסים  שלטוניים,</w:t>
      </w:r>
      <w:r w:rsidRPr="001F1CCB">
        <w:rPr>
          <w:rFonts w:cs="FrankRuehl" w:hint="cs"/>
          <w:sz w:val="22"/>
          <w:szCs w:val="22"/>
          <w:rtl/>
        </w:rPr>
        <w:t xml:space="preserve">  השווה  לדברי המשנה לנשיא, השופט אלון, בבג"צ 244/86 הנ"ל שם, 188.</w:t>
      </w:r>
    </w:p>
    <w:p w:rsidR="0025709E" w:rsidRPr="001F1CCB" w:rsidRDefault="0025709E" w:rsidP="0025709E">
      <w:pPr>
        <w:pStyle w:val="T-body"/>
        <w:spacing w:after="60" w:line="240" w:lineRule="auto"/>
        <w:rPr>
          <w:rFonts w:cs="FrankRuehl"/>
          <w:sz w:val="22"/>
          <w:szCs w:val="22"/>
          <w:rtl/>
        </w:rPr>
      </w:pPr>
      <w:r w:rsidRPr="001F1CCB">
        <w:rPr>
          <w:rFonts w:cs="FrankRuehl" w:hint="cs"/>
          <w:sz w:val="22"/>
          <w:szCs w:val="22"/>
          <w:rtl/>
        </w:rPr>
        <w:t xml:space="preserve">12. </w:t>
      </w:r>
      <w:r w:rsidRPr="001F1CCB">
        <w:rPr>
          <w:rFonts w:cs="FrankRuehl" w:hint="cs"/>
          <w:b/>
          <w:bCs/>
          <w:sz w:val="22"/>
          <w:szCs w:val="22"/>
          <w:rtl/>
        </w:rPr>
        <w:t>מבחן  החשש  הסביר מבוסס על אמת מידה אובייקטיבית. השאלה אינה מה הן אישיותו ותכונותיו של עובד ציבור מסויים זה או אחר,</w:t>
      </w:r>
      <w:r w:rsidRPr="001F1CCB">
        <w:rPr>
          <w:rFonts w:cs="FrankRuehl" w:hint="cs"/>
          <w:sz w:val="22"/>
          <w:szCs w:val="22"/>
          <w:rtl/>
        </w:rPr>
        <w:t xml:space="preserve"> אלא מהי עוצמתו של  הניגוד  בין  העניין  הציבורי  לבין  עניינו  הפרטי של עובד הציבור הנוגע בדבר. עוצמת ניגוד העניינים נקבעת על-פי הקירבה בין האינטרסים המנוגדים. </w:t>
      </w:r>
    </w:p>
    <w:p w:rsidR="0025709E" w:rsidRPr="001F1CCB" w:rsidRDefault="0025709E" w:rsidP="0025709E">
      <w:pPr>
        <w:pStyle w:val="T-body"/>
        <w:spacing w:after="60" w:line="240" w:lineRule="auto"/>
        <w:rPr>
          <w:rFonts w:cs="FrankRuehl"/>
          <w:sz w:val="22"/>
          <w:szCs w:val="22"/>
          <w:rtl/>
        </w:rPr>
      </w:pPr>
      <w:r w:rsidRPr="001F1CCB">
        <w:rPr>
          <w:rFonts w:cs="FrankRuehl"/>
          <w:sz w:val="22"/>
          <w:szCs w:val="22"/>
        </w:rPr>
        <w:t>.</w:t>
      </w:r>
      <w:r>
        <w:rPr>
          <w:rFonts w:cs="FrankRuehl" w:hint="cs"/>
          <w:sz w:val="22"/>
          <w:szCs w:val="22"/>
          <w:rtl/>
        </w:rPr>
        <w:t>13</w:t>
      </w:r>
      <w:r w:rsidRPr="001F1CCB">
        <w:rPr>
          <w:rFonts w:cs="FrankRuehl"/>
          <w:sz w:val="22"/>
          <w:szCs w:val="22"/>
          <w:rtl/>
        </w:rPr>
        <w:t xml:space="preserve"> לנוכח הרגישות המיוחדת של תחום התכנון והבנייה וההשלכות הכספיות של החלטות ועדות התכנון, ראה המחוקק להגביר את ההגנה על הערך החברתי שבטוהר ההליך המינהלי על-ידי קביעת נורמה פלילית בסעיף </w:t>
      </w:r>
      <w:r>
        <w:rPr>
          <w:rFonts w:cs="FrankRuehl" w:hint="cs"/>
          <w:sz w:val="22"/>
          <w:szCs w:val="22"/>
          <w:rtl/>
        </w:rPr>
        <w:t>47</w:t>
      </w:r>
      <w:r w:rsidRPr="001F1CCB">
        <w:rPr>
          <w:rFonts w:cs="FrankRuehl"/>
          <w:sz w:val="22"/>
          <w:szCs w:val="22"/>
          <w:rtl/>
        </w:rPr>
        <w:t xml:space="preserve">(א) לחוק </w:t>
      </w:r>
      <w:r>
        <w:rPr>
          <w:rFonts w:cs="FrankRuehl" w:hint="cs"/>
          <w:sz w:val="22"/>
          <w:szCs w:val="22"/>
          <w:rtl/>
        </w:rPr>
        <w:t>...</w:t>
      </w:r>
    </w:p>
    <w:p w:rsidR="0025709E" w:rsidRPr="001F1CCB" w:rsidRDefault="0025709E" w:rsidP="0025709E">
      <w:pPr>
        <w:rPr>
          <w:rFonts w:cs="FrankRuehl"/>
          <w:sz w:val="22"/>
          <w:szCs w:val="22"/>
          <w:rtl/>
        </w:rPr>
      </w:pPr>
      <w:r w:rsidRPr="001F1CCB">
        <w:rPr>
          <w:rFonts w:cs="FrankRuehl"/>
          <w:sz w:val="22"/>
          <w:szCs w:val="22"/>
          <w:rtl/>
        </w:rPr>
        <w:t xml:space="preserve">15. </w:t>
      </w:r>
      <w:r w:rsidRPr="001F1CCB">
        <w:rPr>
          <w:rFonts w:cs="FrankRuehl"/>
          <w:sz w:val="22"/>
          <w:szCs w:val="22"/>
          <w:highlight w:val="yellow"/>
          <w:rtl/>
        </w:rPr>
        <w:t>יש גם לדחות את הטענה בדבר ניתוק בין החלטת הוועדה המקומית להחלטת הוועדה המחוזית.</w:t>
      </w:r>
      <w:r w:rsidRPr="001F1CCB">
        <w:rPr>
          <w:rFonts w:cs="FrankRuehl"/>
          <w:sz w:val="22"/>
          <w:szCs w:val="22"/>
          <w:rtl/>
        </w:rPr>
        <w:t xml:space="preserve"> טענה זו נסמכת על סעיף 134(א) לחוק, שעל-פיו רשאית ועדה מחוזית להתחיל בהליכי האישור ללא קבלת חוות-דעתה של ועדה מקומית. כן מסתמכים המשיבים על בג"צ 518/80 דיקמן נ' עירית אשדוד</w:t>
      </w:r>
      <w:r w:rsidRPr="001F1CCB">
        <w:rPr>
          <w:rFonts w:cs="FrankRuehl" w:hint="cs"/>
          <w:sz w:val="22"/>
          <w:szCs w:val="22"/>
          <w:rtl/>
        </w:rPr>
        <w:t>...</w:t>
      </w:r>
      <w:r w:rsidRPr="001F1CCB">
        <w:rPr>
          <w:rFonts w:cs="FrankRuehl"/>
          <w:sz w:val="22"/>
          <w:szCs w:val="22"/>
          <w:rtl/>
        </w:rPr>
        <w:t xml:space="preserve">, בו נפסק כי אין לפסול החלטה של רשות, אף שבהמלצת ועדת-משנה שלה, שהיתה חוליה אחת בשרשרת ארוכה של החלטות מינהליות, נפל פסול בשל ניגוד עניינים. </w:t>
      </w:r>
    </w:p>
    <w:p w:rsidR="0025709E" w:rsidRPr="001F1CCB" w:rsidRDefault="0025709E" w:rsidP="0025709E">
      <w:pPr>
        <w:rPr>
          <w:rFonts w:cs="FrankRuehl"/>
          <w:sz w:val="22"/>
          <w:szCs w:val="22"/>
          <w:rtl/>
        </w:rPr>
      </w:pPr>
      <w:r w:rsidRPr="001F1CCB">
        <w:rPr>
          <w:rFonts w:cs="FrankRuehl"/>
          <w:sz w:val="22"/>
          <w:szCs w:val="22"/>
          <w:rtl/>
        </w:rPr>
        <w:t>בענייננו, הועדה המחוזית לא טיפלה בתוכנית כברי בדרך המותווית בסעיף 134(א) הנ"ל שהיא חריג, אלא הלכה בדרך המקובלת הקבועה כאמור בסעיפים 67</w:t>
      </w:r>
      <w:r w:rsidRPr="001F1CCB">
        <w:rPr>
          <w:rFonts w:cs="FrankRuehl" w:hint="cs"/>
          <w:sz w:val="22"/>
          <w:szCs w:val="22"/>
          <w:rtl/>
        </w:rPr>
        <w:t xml:space="preserve"> </w:t>
      </w:r>
      <w:r w:rsidRPr="001F1CCB">
        <w:rPr>
          <w:rFonts w:cs="FrankRuehl"/>
          <w:sz w:val="22"/>
          <w:szCs w:val="22"/>
          <w:rtl/>
        </w:rPr>
        <w:t xml:space="preserve">ו-68 לחוק. </w:t>
      </w:r>
      <w:r w:rsidRPr="001F1CCB">
        <w:rPr>
          <w:rFonts w:cs="FrankRuehl"/>
          <w:sz w:val="22"/>
          <w:szCs w:val="22"/>
          <w:highlight w:val="yellow"/>
          <w:rtl/>
        </w:rPr>
        <w:t>על-פי דרך זו החלטת ועדה מקומית אינה המלצה מינהלית רחוקה, אלא תשתית שהחוק דורש לקבלת ההחלטה של הועדה המחוזית. יצויין כי בסעיף 68(ג) לחוק ניתנת זכות ערר בפני ועדה מחוזית על דחיית תוכנית מפורטת על-ידי ועדה מקומית. מכאן שבענייננו, אישור הוועדה המקומית היה תנאי להעברת התוכנית לוועדה המחוזית, והיפוכו של דבר - אלמלא אישרה הועדה המקומית את תוכנית כברי, התוכנית לא היתה באה לדיון בפני הוועדה המחוזית. התקיים כאן איפוא קשר שאינו ניתן לניתוק בין ההחלטות של שתי הוועדות. מקשר זה מתחייב לפסול לא רק את אישור הוועדה המקומית, אלא גם את החלטת הוועדה המחוזית</w:t>
      </w:r>
      <w:r w:rsidRPr="001F1CCB">
        <w:rPr>
          <w:rFonts w:cs="FrankRuehl"/>
          <w:sz w:val="22"/>
          <w:szCs w:val="22"/>
          <w:rtl/>
        </w:rPr>
        <w:t xml:space="preserve">. </w:t>
      </w:r>
    </w:p>
    <w:p w:rsidR="0025709E" w:rsidRDefault="0025709E" w:rsidP="0025709E">
      <w:pPr>
        <w:tabs>
          <w:tab w:val="left" w:pos="423"/>
        </w:tabs>
        <w:spacing w:after="120"/>
        <w:jc w:val="left"/>
        <w:rPr>
          <w:rFonts w:cs="FrankRuehl"/>
          <w:b/>
          <w:bCs/>
          <w:sz w:val="22"/>
          <w:szCs w:val="22"/>
          <w:rtl/>
        </w:rPr>
      </w:pPr>
      <w:r>
        <w:rPr>
          <w:rFonts w:cs="FrankRuehl" w:hint="cs"/>
          <w:b/>
          <w:bCs/>
          <w:sz w:val="22"/>
          <w:szCs w:val="22"/>
          <w:rtl/>
        </w:rPr>
        <w:t>=-=</w:t>
      </w:r>
    </w:p>
    <w:p w:rsidR="0025709E" w:rsidRDefault="0025709E" w:rsidP="0025709E">
      <w:pPr>
        <w:tabs>
          <w:tab w:val="left" w:pos="423"/>
        </w:tabs>
        <w:spacing w:after="120"/>
        <w:jc w:val="left"/>
        <w:rPr>
          <w:rFonts w:cs="FrankRuehl"/>
          <w:b/>
          <w:bCs/>
          <w:sz w:val="22"/>
          <w:szCs w:val="22"/>
          <w:rtl/>
        </w:rPr>
      </w:pPr>
    </w:p>
    <w:p w:rsidR="0025709E" w:rsidRPr="006432F1" w:rsidRDefault="005D7968" w:rsidP="0025709E">
      <w:pPr>
        <w:spacing w:after="120"/>
        <w:ind w:left="720"/>
        <w:jc w:val="left"/>
        <w:rPr>
          <w:rtl/>
        </w:rPr>
      </w:pPr>
      <w:r w:rsidRPr="005D7968">
        <w:rPr>
          <w:highlight w:val="yellow"/>
          <w:rtl/>
        </w:rPr>
        <w:pict>
          <v:group id="_x0000_s1260" style="position:absolute;left:0;text-align:left;margin-left:496.35pt;margin-top:20.2pt;width:14.25pt;height:408.3pt;z-index:251862016;mso-position-vertical-relative:margin" coordsize="20000,20000">
            <v:rect id="_x0000_s1261" style="position:absolute;width:20000;height:698" filled="f" stroked="f" strokeweight=".25pt">
              <v:textbox inset="1pt,1pt,1pt,1pt">
                <w:txbxContent>
                  <w:p w:rsidR="0025709E" w:rsidRDefault="0025709E" w:rsidP="0025709E">
                    <w:pPr>
                      <w:rPr>
                        <w:rtl/>
                      </w:rPr>
                    </w:pPr>
                  </w:p>
                </w:txbxContent>
              </v:textbox>
            </v:rect>
            <v:rect id="_x0000_s1262" style="position:absolute;top:3262;width:20000;height:698" filled="f" stroked="f">
              <v:textbox inset="1pt,1pt,1pt,1pt">
                <w:txbxContent>
                  <w:p w:rsidR="0025709E" w:rsidRDefault="0025709E" w:rsidP="0025709E">
                    <w:pPr>
                      <w:rPr>
                        <w:rtl/>
                      </w:rPr>
                    </w:pPr>
                  </w:p>
                </w:txbxContent>
              </v:textbox>
            </v:rect>
            <v:rect id="_x0000_s1263" style="position:absolute;top:6458;width:20000;height:698" filled="f" stroked="f">
              <v:textbox inset="1pt,1pt,1pt,1pt">
                <w:txbxContent>
                  <w:p w:rsidR="0025709E" w:rsidRPr="004E7D33" w:rsidRDefault="0025709E" w:rsidP="0025709E">
                    <w:pPr>
                      <w:rPr>
                        <w:rtl/>
                      </w:rPr>
                    </w:pPr>
                  </w:p>
                </w:txbxContent>
              </v:textbox>
            </v:rect>
            <v:rect id="_x0000_s1264" style="position:absolute;top:9652;width:20000;height:698" filled="f" stroked="f">
              <v:textbox inset="1pt,1pt,1pt,1pt">
                <w:txbxContent>
                  <w:p w:rsidR="0025709E" w:rsidRDefault="0025709E" w:rsidP="0025709E">
                    <w:pPr>
                      <w:rPr>
                        <w:rtl/>
                      </w:rPr>
                    </w:pPr>
                  </w:p>
                </w:txbxContent>
              </v:textbox>
            </v:rect>
            <v:rect id="_x0000_s1265" style="position:absolute;top:12846;width:20000;height:698" filled="f" stroked="f">
              <v:textbox inset="1pt,1pt,1pt,1pt">
                <w:txbxContent>
                  <w:p w:rsidR="0025709E" w:rsidRPr="004E7D33" w:rsidRDefault="0025709E" w:rsidP="0025709E">
                    <w:pPr>
                      <w:rPr>
                        <w:rtl/>
                      </w:rPr>
                    </w:pPr>
                  </w:p>
                </w:txbxContent>
              </v:textbox>
            </v:rect>
            <v:rect id="_x0000_s1266" style="position:absolute;top:16108;width:20000;height:698" filled="f" stroked="f">
              <v:textbox inset="1pt,1pt,1pt,1pt">
                <w:txbxContent>
                  <w:p w:rsidR="0025709E" w:rsidRDefault="0025709E" w:rsidP="0025709E">
                    <w:pPr>
                      <w:rPr>
                        <w:rtl/>
                      </w:rPr>
                    </w:pPr>
                  </w:p>
                </w:txbxContent>
              </v:textbox>
            </v:rect>
            <v:rect id="_x0000_s1267" style="position:absolute;top:19302;width:20000;height:698" filled="f" stroked="f">
              <v:textbox inset="1pt,1pt,1pt,1pt">
                <w:txbxContent>
                  <w:p w:rsidR="0025709E" w:rsidRDefault="0025709E" w:rsidP="0025709E">
                    <w:pPr>
                      <w:rPr>
                        <w:rtl/>
                      </w:rPr>
                    </w:pPr>
                  </w:p>
                </w:txbxContent>
              </v:textbox>
            </v:rect>
            <w10:wrap anchory="margin"/>
          </v:group>
        </w:pict>
      </w:r>
      <w:r w:rsidR="0025709E" w:rsidRPr="006432F1">
        <w:rPr>
          <w:highlight w:val="yellow"/>
          <w:rtl/>
        </w:rPr>
        <w:t xml:space="preserve">בג"ץ 5734/98 </w:t>
      </w:r>
      <w:r w:rsidR="0025709E" w:rsidRPr="006432F1">
        <w:rPr>
          <w:b/>
          <w:bCs/>
          <w:highlight w:val="yellow"/>
          <w:rtl/>
        </w:rPr>
        <w:t>עזריאל נ' ועדת המשנה של מועצת מינהל מקרקעי ישראל</w:t>
      </w:r>
      <w:r w:rsidR="0025709E" w:rsidRPr="006432F1">
        <w:rPr>
          <w:highlight w:val="yellow"/>
          <w:rtl/>
        </w:rPr>
        <w:t>, פ"ד נג(2) 8</w:t>
      </w:r>
      <w:r w:rsidR="0025709E">
        <w:rPr>
          <w:rFonts w:hint="cs"/>
          <w:rtl/>
        </w:rPr>
        <w:t xml:space="preserve"> (1999)</w:t>
      </w:r>
    </w:p>
    <w:p w:rsidR="0025709E" w:rsidRDefault="0025709E" w:rsidP="0025709E">
      <w:pPr>
        <w:pStyle w:val="a6"/>
        <w:spacing w:after="60" w:line="240" w:lineRule="auto"/>
        <w:ind w:firstLine="0"/>
        <w:rPr>
          <w:rFonts w:ascii="Arial" w:hAnsi="Arial"/>
          <w:sz w:val="22"/>
          <w:szCs w:val="22"/>
          <w:rtl/>
        </w:rPr>
      </w:pPr>
      <w:r w:rsidRPr="006432F1">
        <w:rPr>
          <w:rFonts w:ascii="Arial" w:hAnsi="Arial"/>
          <w:sz w:val="22"/>
          <w:szCs w:val="22"/>
          <w:rtl/>
        </w:rPr>
        <w:t xml:space="preserve">בעקבות ההלכה שנפסקה בבג"ץ 5575/94 (להלן – הילכת מהדרין), ובהסתמך על חוק מינהל מקרקעי ישראל, תש"ך1960- (להלן – החוק) כפי שתוקן בחוק מינהל מקרקעי ישראל (תיקון), תשנ"ה1995-, הנחה היועץ המשפטי לממשלה את מינהל מקרקעי ישראל (להלן – המינהל), </w:t>
      </w:r>
      <w:r w:rsidRPr="00A72676">
        <w:rPr>
          <w:rFonts w:ascii="Arial" w:hAnsi="Arial"/>
          <w:sz w:val="22"/>
          <w:szCs w:val="22"/>
          <w:highlight w:val="yellow"/>
          <w:rtl/>
        </w:rPr>
        <w:t xml:space="preserve">כי חבר מועצת מקרקעי ישראל (להלן – המועצה) שהוא נציג תנועה התיישבותית או חבר קיבוץ או מושב או שהוא חוכר חקלאי "פרטי" לא ישתתף בדיון או בהצבעה </w:t>
      </w:r>
      <w:r w:rsidRPr="008A16B3">
        <w:rPr>
          <w:rFonts w:ascii="Arial" w:hAnsi="Arial"/>
          <w:i/>
          <w:iCs/>
          <w:sz w:val="22"/>
          <w:szCs w:val="22"/>
          <w:highlight w:val="yellow"/>
          <w:rtl/>
        </w:rPr>
        <w:t>בוועדת המשנה של המועצה בנושא שינוי ייעודה של קרקע חקלאית</w:t>
      </w:r>
      <w:r w:rsidRPr="00A72676">
        <w:rPr>
          <w:rFonts w:ascii="Arial" w:hAnsi="Arial"/>
          <w:sz w:val="22"/>
          <w:szCs w:val="22"/>
          <w:highlight w:val="yellow"/>
          <w:rtl/>
        </w:rPr>
        <w:t>, וזאת במטרה למנוע מצב של ניגוד עניינים.</w:t>
      </w:r>
      <w:r w:rsidRPr="006432F1">
        <w:rPr>
          <w:rFonts w:ascii="Arial" w:hAnsi="Arial"/>
          <w:sz w:val="22"/>
          <w:szCs w:val="22"/>
          <w:rtl/>
        </w:rPr>
        <w:t xml:space="preserve"> העותר 1 מתגורר במושב ומכהן כמזכיר איגוד המושבים של הפועל המזרחי בישראל. העותר 2 הוא חבר בקיבוץ. שני העותרים מכהנים בוועדת המשנה של מועצת מקרקעי ישראל האמורה לדון בנושאי שינוי ייעוד של קרקעות חקלאיות. העותרים תוקפים את הנחייתו של היועץ המשפטי בטענה כי הילכת מהדרין אינה חלה על עניינם.</w:t>
      </w:r>
    </w:p>
    <w:p w:rsidR="0025709E" w:rsidRPr="006432F1" w:rsidRDefault="0025709E" w:rsidP="0025709E">
      <w:pPr>
        <w:pStyle w:val="a6"/>
        <w:spacing w:after="60" w:line="240" w:lineRule="auto"/>
        <w:ind w:firstLine="0"/>
        <w:rPr>
          <w:rFonts w:ascii="Arial" w:hAnsi="Arial"/>
          <w:sz w:val="22"/>
          <w:szCs w:val="22"/>
          <w:rtl/>
        </w:rPr>
      </w:pPr>
      <w:r>
        <w:rPr>
          <w:rFonts w:ascii="Arial" w:hAnsi="Arial" w:hint="cs"/>
          <w:sz w:val="22"/>
          <w:szCs w:val="22"/>
          <w:rtl/>
        </w:rPr>
        <w:t>[מועצת מינהל מקרקעי ישראל -&gt; מפעילה ועדות משנה שונות -&gt; אחת מהן היא ועדת המשנה בנושא שינוי ייעוד של קרקעות חקלאיות]</w:t>
      </w:r>
    </w:p>
    <w:p w:rsidR="0025709E" w:rsidRPr="001F1CCB" w:rsidRDefault="0025709E" w:rsidP="0025709E">
      <w:pPr>
        <w:pStyle w:val="a6"/>
        <w:spacing w:after="60" w:line="240" w:lineRule="auto"/>
        <w:ind w:firstLine="0"/>
        <w:rPr>
          <w:sz w:val="22"/>
          <w:szCs w:val="22"/>
          <w:rtl/>
        </w:rPr>
      </w:pPr>
      <w:r w:rsidRPr="001F1CCB">
        <w:rPr>
          <w:sz w:val="22"/>
          <w:szCs w:val="22"/>
          <w:rtl/>
        </w:rPr>
        <w:t>1.</w:t>
      </w:r>
      <w:r w:rsidRPr="001F1CCB">
        <w:rPr>
          <w:sz w:val="22"/>
          <w:szCs w:val="22"/>
          <w:rtl/>
        </w:rPr>
        <w:tab/>
        <w:t>מינהל מקרקעי ישראל (להלן – המינהל) הוקם מכוח חוק מינהל מקרקעי ישראל, תש"ך1960- (להלן – החוק). תפקידו של המינהל הוא כאמור בסעיף 2(א) לחוק, לנהל את מקרקעי ישראל (כלומר: "...המקרקעין בישראל של המדינה, של רשות הפיתוח או של הקרן הקימת לישראל", כהגדרת סעיף 1 לחוק</w:t>
      </w:r>
      <w:r w:rsidRPr="001F1CCB">
        <w:rPr>
          <w:position w:val="4"/>
          <w:sz w:val="22"/>
          <w:szCs w:val="22"/>
          <w:rtl/>
        </w:rPr>
        <w:t>-</w:t>
      </w:r>
      <w:r w:rsidRPr="001F1CCB">
        <w:rPr>
          <w:sz w:val="22"/>
          <w:szCs w:val="22"/>
          <w:rtl/>
        </w:rPr>
        <w:t>יסוד: מקרקעי ישראל). על</w:t>
      </w:r>
      <w:r w:rsidRPr="001F1CCB">
        <w:rPr>
          <w:position w:val="4"/>
          <w:sz w:val="22"/>
          <w:szCs w:val="22"/>
          <w:rtl/>
        </w:rPr>
        <w:t>-</w:t>
      </w:r>
      <w:r w:rsidRPr="001F1CCB">
        <w:rPr>
          <w:sz w:val="22"/>
          <w:szCs w:val="22"/>
          <w:rtl/>
        </w:rPr>
        <w:t xml:space="preserve">פי סעיף 3 לחוק, הוקמה מועצת מקרקעי ישראל </w:t>
      </w:r>
      <w:r w:rsidRPr="001F1CCB">
        <w:rPr>
          <w:rFonts w:hint="cs"/>
          <w:sz w:val="22"/>
          <w:szCs w:val="22"/>
          <w:rtl/>
        </w:rPr>
        <w:t>..</w:t>
      </w:r>
      <w:r w:rsidRPr="001F1CCB">
        <w:rPr>
          <w:sz w:val="22"/>
          <w:szCs w:val="22"/>
          <w:rtl/>
        </w:rPr>
        <w:t>. על</w:t>
      </w:r>
      <w:r w:rsidRPr="001F1CCB">
        <w:rPr>
          <w:rFonts w:hint="cs"/>
          <w:sz w:val="22"/>
          <w:szCs w:val="22"/>
          <w:rtl/>
        </w:rPr>
        <w:t>-</w:t>
      </w:r>
      <w:r w:rsidRPr="001F1CCB">
        <w:rPr>
          <w:sz w:val="22"/>
          <w:szCs w:val="22"/>
          <w:rtl/>
        </w:rPr>
        <w:t xml:space="preserve">פי הסעיף האמור, המועצה היא "שתקבע את המדיניות הקרקעית שלפיה יפעל המינהל, תפקח על פעולות המינהל ותאשר הצעת תקציבו שייקבע בחוק". </w:t>
      </w:r>
    </w:p>
    <w:p w:rsidR="0025709E" w:rsidRPr="00331FEE" w:rsidRDefault="0025709E" w:rsidP="0025709E">
      <w:pPr>
        <w:pStyle w:val="a6"/>
        <w:spacing w:after="60" w:line="240" w:lineRule="auto"/>
        <w:ind w:firstLine="0"/>
        <w:rPr>
          <w:sz w:val="22"/>
          <w:szCs w:val="22"/>
          <w:rtl/>
        </w:rPr>
      </w:pPr>
      <w:r w:rsidRPr="00331FEE">
        <w:rPr>
          <w:sz w:val="22"/>
          <w:szCs w:val="22"/>
          <w:rtl/>
        </w:rPr>
        <w:t>על</w:t>
      </w:r>
      <w:r w:rsidRPr="00331FEE">
        <w:rPr>
          <w:position w:val="4"/>
          <w:sz w:val="22"/>
          <w:szCs w:val="22"/>
          <w:rtl/>
        </w:rPr>
        <w:t>-</w:t>
      </w:r>
      <w:r w:rsidRPr="00331FEE">
        <w:rPr>
          <w:sz w:val="22"/>
          <w:szCs w:val="22"/>
          <w:rtl/>
        </w:rPr>
        <w:t>פי סעיף 4י לחוק המינהל (סעיף שהוסף לחוק במסגרת חוק מינהל מקרקעי ישראל (תיקון), תשנ"ה1995-; להלן – החוק המתקן):</w:t>
      </w:r>
      <w:r w:rsidRPr="00331FEE">
        <w:rPr>
          <w:rFonts w:hint="cs"/>
          <w:sz w:val="22"/>
          <w:szCs w:val="22"/>
          <w:rtl/>
        </w:rPr>
        <w:t xml:space="preserve"> [...]</w:t>
      </w:r>
    </w:p>
    <w:p w:rsidR="0025709E" w:rsidRPr="00A72676" w:rsidRDefault="0025709E" w:rsidP="0025709E">
      <w:pPr>
        <w:pStyle w:val="a7"/>
        <w:spacing w:after="60" w:line="240" w:lineRule="auto"/>
        <w:ind w:left="992" w:hanging="538"/>
        <w:rPr>
          <w:rFonts w:cs="David"/>
          <w:sz w:val="22"/>
          <w:szCs w:val="22"/>
          <w:rtl/>
        </w:rPr>
      </w:pPr>
      <w:r w:rsidRPr="00A72676">
        <w:rPr>
          <w:rFonts w:cs="David"/>
          <w:szCs w:val="20"/>
          <w:rtl/>
        </w:rPr>
        <w:t xml:space="preserve"> (ג)</w:t>
      </w:r>
      <w:r w:rsidRPr="00A72676">
        <w:rPr>
          <w:rFonts w:cs="David"/>
          <w:szCs w:val="20"/>
          <w:rtl/>
        </w:rPr>
        <w:tab/>
      </w:r>
      <w:r w:rsidRPr="00A72676">
        <w:rPr>
          <w:rFonts w:cs="David"/>
          <w:b/>
          <w:bCs/>
          <w:szCs w:val="20"/>
          <w:rtl/>
        </w:rPr>
        <w:t>יושב ראש ועדה לא יהיה בעל ענין במדיניות הקרקעית שבתחום טיפולה של הועדה, וחברי הועדה שהם בעלי ענין כאמור לא יהוו יותר משליש ממספר חבריה.</w:t>
      </w:r>
    </w:p>
    <w:p w:rsidR="0025709E" w:rsidRPr="000A508A" w:rsidRDefault="0025709E" w:rsidP="0025709E">
      <w:pPr>
        <w:pStyle w:val="a6"/>
        <w:spacing w:after="60" w:line="240" w:lineRule="auto"/>
        <w:ind w:firstLine="0"/>
        <w:rPr>
          <w:sz w:val="18"/>
          <w:szCs w:val="18"/>
          <w:rtl/>
        </w:rPr>
      </w:pPr>
      <w:r w:rsidRPr="001F1CCB">
        <w:rPr>
          <w:sz w:val="22"/>
          <w:szCs w:val="22"/>
          <w:rtl/>
        </w:rPr>
        <w:t>7.</w:t>
      </w:r>
      <w:r w:rsidRPr="001F1CCB">
        <w:rPr>
          <w:sz w:val="22"/>
          <w:szCs w:val="22"/>
          <w:rtl/>
        </w:rPr>
        <w:tab/>
      </w:r>
      <w:r w:rsidRPr="008A16B3">
        <w:rPr>
          <w:sz w:val="22"/>
          <w:szCs w:val="22"/>
          <w:highlight w:val="yellow"/>
          <w:rtl/>
        </w:rPr>
        <w:t xml:space="preserve">סוגיית ניגוד העניינים בכהונתם של חברי המועצה ושל חברי ועדת המשנה של המינהל נדונה והוסדרה לאחרונה הן בפסיקתו של בית-משפט זה (במסגרת </w:t>
      </w:r>
      <w:r w:rsidRPr="008A16B3">
        <w:rPr>
          <w:i/>
          <w:sz w:val="22"/>
          <w:szCs w:val="22"/>
          <w:highlight w:val="yellow"/>
          <w:rtl/>
        </w:rPr>
        <w:t xml:space="preserve">פרשת </w:t>
      </w:r>
      <w:r w:rsidRPr="008A16B3">
        <w:rPr>
          <w:b/>
          <w:bCs/>
          <w:i/>
          <w:sz w:val="22"/>
          <w:szCs w:val="22"/>
          <w:highlight w:val="yellow"/>
          <w:rtl/>
        </w:rPr>
        <w:t>מהדרין</w:t>
      </w:r>
      <w:r w:rsidRPr="008A16B3">
        <w:rPr>
          <w:sz w:val="22"/>
          <w:szCs w:val="22"/>
          <w:highlight w:val="yellow"/>
          <w:rtl/>
        </w:rPr>
        <w:t>) והן במסגרת החוק המתקן.. כיום קובע החוק את ההוראות הבאות:</w:t>
      </w:r>
    </w:p>
    <w:p w:rsidR="0025709E" w:rsidRPr="00AB56EC" w:rsidRDefault="0025709E" w:rsidP="0025709E">
      <w:pPr>
        <w:pStyle w:val="a6"/>
        <w:spacing w:after="60" w:line="240" w:lineRule="auto"/>
        <w:ind w:left="720" w:firstLine="0"/>
        <w:rPr>
          <w:rFonts w:cs="David"/>
          <w:szCs w:val="20"/>
          <w:rtl/>
        </w:rPr>
      </w:pPr>
      <w:r w:rsidRPr="00AB56EC">
        <w:rPr>
          <w:rFonts w:cs="David"/>
          <w:szCs w:val="20"/>
          <w:rtl/>
        </w:rPr>
        <w:t xml:space="preserve">"4א. (א) </w:t>
      </w:r>
      <w:r w:rsidRPr="000F211E">
        <w:rPr>
          <w:rFonts w:cs="David"/>
          <w:b/>
          <w:bCs/>
          <w:szCs w:val="20"/>
          <w:rtl/>
        </w:rPr>
        <w:t>במועצה</w:t>
      </w:r>
      <w:r w:rsidRPr="00AB56EC">
        <w:rPr>
          <w:rFonts w:cs="David"/>
          <w:szCs w:val="20"/>
          <w:rtl/>
        </w:rPr>
        <w:t xml:space="preserve"> יכהנו השר, שיהיה היושב ראש, וכן חברים שמספרם לא יפחת משמונה עשר ולא יעלה על עשרים וארבעה, שתמנה הממשלה, לפי הצעת השרים, כמפורט להלן:</w:t>
      </w:r>
    </w:p>
    <w:p w:rsidR="0025709E" w:rsidRPr="00AB56EC" w:rsidRDefault="0025709E" w:rsidP="0025709E">
      <w:pPr>
        <w:pStyle w:val="a7"/>
        <w:spacing w:after="60" w:line="240" w:lineRule="auto"/>
        <w:ind w:left="1559" w:right="0" w:hanging="425"/>
        <w:rPr>
          <w:rFonts w:cs="David"/>
          <w:szCs w:val="20"/>
          <w:rtl/>
        </w:rPr>
      </w:pPr>
      <w:r w:rsidRPr="00AB56EC">
        <w:rPr>
          <w:rFonts w:cs="David"/>
          <w:szCs w:val="20"/>
          <w:rtl/>
        </w:rPr>
        <w:t>(1)</w:t>
      </w:r>
      <w:r w:rsidRPr="00AB56EC">
        <w:rPr>
          <w:rFonts w:cs="David"/>
          <w:szCs w:val="20"/>
          <w:rtl/>
        </w:rPr>
        <w:tab/>
        <w:t>מחצית מחברי המועצה יהיו מטעם הממשלה, ומחציתם יהיו מטעם קק"ל ועל פי הצעתה;</w:t>
      </w:r>
      <w:r w:rsidRPr="00AB56EC">
        <w:rPr>
          <w:rFonts w:cs="David" w:hint="cs"/>
          <w:szCs w:val="20"/>
          <w:rtl/>
        </w:rPr>
        <w:t xml:space="preserve"> [...]</w:t>
      </w:r>
    </w:p>
    <w:p w:rsidR="0025709E" w:rsidRPr="00AB56EC" w:rsidRDefault="0025709E" w:rsidP="0025709E">
      <w:pPr>
        <w:pStyle w:val="a7"/>
        <w:spacing w:after="60" w:line="240" w:lineRule="auto"/>
        <w:ind w:left="1559" w:right="0" w:hanging="425"/>
        <w:rPr>
          <w:szCs w:val="20"/>
          <w:rtl/>
        </w:rPr>
      </w:pPr>
      <w:r w:rsidRPr="00AB56EC">
        <w:rPr>
          <w:rFonts w:cs="David"/>
          <w:szCs w:val="20"/>
          <w:rtl/>
        </w:rPr>
        <w:t xml:space="preserve"> (3)</w:t>
      </w:r>
      <w:r w:rsidRPr="00AB56EC">
        <w:rPr>
          <w:rFonts w:cs="David"/>
          <w:szCs w:val="20"/>
          <w:rtl/>
        </w:rPr>
        <w:tab/>
      </w:r>
      <w:r w:rsidRPr="00AB56EC">
        <w:rPr>
          <w:rFonts w:cs="David"/>
          <w:b/>
          <w:bCs/>
          <w:szCs w:val="20"/>
          <w:rtl/>
        </w:rPr>
        <w:t>חברי המועצה שהם בעלי תפקידים שלא בשירות המדינה או בשירות קק"ל, ושבתפקידיהם אלה יש להם ענין במדיניות הקרקעית (להלן – בעל ענין במדיניות הקרקעית), לא יהוו יותר משליש ממספר חברי המועצה, ומהם לא יותר ממחצית יהיו בעלי תפקידים במגזר החקלאי...</w:t>
      </w:r>
      <w:r w:rsidRPr="00AB56EC">
        <w:rPr>
          <w:rFonts w:cs="David"/>
          <w:color w:val="FFFFFF"/>
          <w:szCs w:val="20"/>
          <w:rtl/>
        </w:rPr>
        <w:t>ב</w:t>
      </w:r>
    </w:p>
    <w:p w:rsidR="0025709E" w:rsidRPr="00AB56EC" w:rsidRDefault="0025709E" w:rsidP="0025709E">
      <w:pPr>
        <w:pStyle w:val="a7"/>
        <w:spacing w:after="60" w:line="240" w:lineRule="auto"/>
        <w:ind w:left="1146" w:right="0" w:hanging="426"/>
        <w:rPr>
          <w:rFonts w:cs="David"/>
          <w:szCs w:val="20"/>
          <w:rtl/>
        </w:rPr>
      </w:pPr>
      <w:r w:rsidRPr="00AB56EC">
        <w:rPr>
          <w:rFonts w:cs="David"/>
          <w:szCs w:val="20"/>
          <w:rtl/>
        </w:rPr>
        <w:t>4ג.</w:t>
      </w:r>
      <w:r w:rsidRPr="00AB56EC">
        <w:rPr>
          <w:rFonts w:cs="David"/>
          <w:szCs w:val="20"/>
          <w:rtl/>
        </w:rPr>
        <w:tab/>
        <w:t>לא יתמנה אדם חבר המועצה אם נתקיים בו אחד מאלה:</w:t>
      </w:r>
      <w:r w:rsidRPr="00AB56EC">
        <w:rPr>
          <w:rFonts w:cs="David" w:hint="cs"/>
          <w:szCs w:val="20"/>
          <w:rtl/>
        </w:rPr>
        <w:t xml:space="preserve"> </w:t>
      </w:r>
      <w:r w:rsidRPr="00AB56EC">
        <w:rPr>
          <w:rFonts w:cs="David"/>
          <w:szCs w:val="20"/>
          <w:rtl/>
        </w:rPr>
        <w:t>...</w:t>
      </w:r>
      <w:r w:rsidRPr="00AB56EC">
        <w:rPr>
          <w:rFonts w:cs="David"/>
          <w:color w:val="FFFFFF"/>
          <w:szCs w:val="20"/>
          <w:rtl/>
        </w:rPr>
        <w:t>ו</w:t>
      </w:r>
    </w:p>
    <w:p w:rsidR="0025709E" w:rsidRPr="00AB56EC" w:rsidRDefault="0025709E" w:rsidP="0025709E">
      <w:pPr>
        <w:pStyle w:val="a7"/>
        <w:spacing w:after="60" w:line="240" w:lineRule="auto"/>
        <w:ind w:left="1559" w:right="0" w:hanging="425"/>
        <w:rPr>
          <w:rFonts w:cs="David"/>
          <w:szCs w:val="20"/>
          <w:rtl/>
        </w:rPr>
      </w:pPr>
      <w:r w:rsidRPr="00AB56EC">
        <w:rPr>
          <w:rFonts w:cs="David"/>
          <w:szCs w:val="20"/>
          <w:rtl/>
        </w:rPr>
        <w:t>(6)</w:t>
      </w:r>
      <w:r w:rsidRPr="00AB56EC">
        <w:rPr>
          <w:rFonts w:cs="David"/>
          <w:szCs w:val="20"/>
          <w:rtl/>
        </w:rPr>
        <w:tab/>
        <w:t>הוא בעל זיקה אישית או פוליטית לשר משרי הממשלה, ואולם בעל זיקה כאמור יוכל להתמנות כחבר המועצה אם ועדה שמינתה הממשלה, לענין זה, מצאה כי יש לו כישורים מיוחדים בתחומי סמכותה של המועצה או שקיימים לגביו שיקולים של כשירות מיוחדת אחרת לכהונה; לעניין זה, 'בעל זיקה אישית' – בן זוג, אח, הורה, צאצא, צאצא בן הזוג או בן זוגו של כל אחד מאלה...</w:t>
      </w:r>
      <w:r w:rsidRPr="00AB56EC">
        <w:rPr>
          <w:rFonts w:cs="David"/>
          <w:color w:val="FFFFFF"/>
          <w:szCs w:val="20"/>
          <w:rtl/>
        </w:rPr>
        <w:t>נ</w:t>
      </w:r>
    </w:p>
    <w:p w:rsidR="0025709E" w:rsidRPr="00AB56EC" w:rsidRDefault="0025709E" w:rsidP="0025709E">
      <w:pPr>
        <w:pStyle w:val="a7"/>
        <w:spacing w:after="60" w:line="240" w:lineRule="auto"/>
        <w:ind w:left="1247" w:right="0" w:hanging="538"/>
        <w:rPr>
          <w:rFonts w:cs="David"/>
          <w:szCs w:val="20"/>
          <w:rtl/>
        </w:rPr>
      </w:pPr>
      <w:r w:rsidRPr="00AB56EC">
        <w:rPr>
          <w:rFonts w:cs="David"/>
          <w:szCs w:val="20"/>
          <w:rtl/>
        </w:rPr>
        <w:t>4ו. (א</w:t>
      </w:r>
      <w:r w:rsidRPr="00AB56EC">
        <w:rPr>
          <w:rFonts w:cs="David"/>
          <w:b/>
          <w:bCs/>
          <w:szCs w:val="20"/>
          <w:rtl/>
        </w:rPr>
        <w:t>) חבר המועצה, או תאגיד שהוא בעל ענין בו, לא יתקשר עם המינהל ולא ייצג את מי שהתקשר עם המינהל בעסקה או בסוגי עסקאות</w:t>
      </w:r>
      <w:r w:rsidRPr="00AB56EC">
        <w:rPr>
          <w:rFonts w:cs="David"/>
          <w:szCs w:val="20"/>
          <w:rtl/>
        </w:rPr>
        <w:t xml:space="preserve">, </w:t>
      </w:r>
      <w:r w:rsidRPr="00AB56EC">
        <w:rPr>
          <w:rFonts w:cs="David"/>
          <w:b/>
          <w:bCs/>
          <w:szCs w:val="20"/>
          <w:rtl/>
        </w:rPr>
        <w:t xml:space="preserve">למעט </w:t>
      </w:r>
      <w:r w:rsidRPr="00AB56EC">
        <w:rPr>
          <w:rFonts w:cs="David"/>
          <w:szCs w:val="20"/>
          <w:rtl/>
        </w:rPr>
        <w:t xml:space="preserve">עסקה שאינה בעלת אופי מסחרי, </w:t>
      </w:r>
      <w:r w:rsidRPr="00AB56EC">
        <w:rPr>
          <w:rFonts w:cs="David"/>
          <w:b/>
          <w:bCs/>
          <w:szCs w:val="20"/>
          <w:rtl/>
        </w:rPr>
        <w:t>זולת אם</w:t>
      </w:r>
      <w:r w:rsidRPr="00AB56EC">
        <w:rPr>
          <w:rFonts w:cs="David"/>
          <w:szCs w:val="20"/>
          <w:rtl/>
        </w:rPr>
        <w:t xml:space="preserve"> התירה המועצה את סוג העסקאות או התירה ועדת המשנה לביקורת של המועצה את העסקה המסוימת, מנימוקים שיירשמו.</w:t>
      </w:r>
      <w:r w:rsidRPr="00AB56EC">
        <w:rPr>
          <w:rFonts w:cs="David"/>
          <w:color w:val="FFFFFF"/>
          <w:szCs w:val="20"/>
          <w:rtl/>
        </w:rPr>
        <w:t>ב</w:t>
      </w:r>
    </w:p>
    <w:p w:rsidR="0025709E" w:rsidRPr="00AB56EC" w:rsidRDefault="0025709E" w:rsidP="0025709E">
      <w:pPr>
        <w:pStyle w:val="a7"/>
        <w:spacing w:after="60" w:line="240" w:lineRule="auto"/>
        <w:ind w:left="1247" w:right="0" w:hanging="283"/>
        <w:rPr>
          <w:rFonts w:cs="David"/>
          <w:szCs w:val="20"/>
          <w:rtl/>
        </w:rPr>
      </w:pPr>
      <w:r w:rsidRPr="00AB56EC">
        <w:rPr>
          <w:rFonts w:cs="David"/>
          <w:szCs w:val="20"/>
          <w:rtl/>
        </w:rPr>
        <w:t>(ב)</w:t>
      </w:r>
      <w:r w:rsidRPr="00AB56EC">
        <w:rPr>
          <w:rFonts w:cs="David"/>
          <w:szCs w:val="20"/>
          <w:rtl/>
        </w:rPr>
        <w:tab/>
        <w:t>בסעיף זה ובסעיף 4ז, 'בעל ענין' – כמשמעותו בחוק ניירות ערך, התשכ"ח1968-.</w:t>
      </w:r>
      <w:r w:rsidRPr="00AB56EC">
        <w:rPr>
          <w:rFonts w:cs="David"/>
          <w:color w:val="FFFFFF"/>
          <w:szCs w:val="20"/>
          <w:rtl/>
        </w:rPr>
        <w:t>ו</w:t>
      </w:r>
    </w:p>
    <w:p w:rsidR="0025709E" w:rsidRPr="00AB56EC" w:rsidRDefault="0025709E" w:rsidP="0025709E">
      <w:pPr>
        <w:pStyle w:val="a7"/>
        <w:spacing w:after="120" w:line="240" w:lineRule="auto"/>
        <w:ind w:left="1106" w:right="0" w:hanging="397"/>
        <w:rPr>
          <w:rFonts w:cs="David"/>
          <w:szCs w:val="20"/>
          <w:rtl/>
        </w:rPr>
      </w:pPr>
      <w:r w:rsidRPr="00AB56EC">
        <w:rPr>
          <w:rFonts w:cs="David"/>
          <w:szCs w:val="20"/>
          <w:rtl/>
        </w:rPr>
        <w:t>4ז.</w:t>
      </w:r>
      <w:r w:rsidRPr="00AB56EC">
        <w:rPr>
          <w:rFonts w:cs="David"/>
          <w:szCs w:val="20"/>
          <w:rtl/>
        </w:rPr>
        <w:tab/>
      </w:r>
      <w:r w:rsidRPr="00AB56EC">
        <w:rPr>
          <w:rFonts w:cs="David"/>
          <w:szCs w:val="20"/>
          <w:highlight w:val="yellow"/>
          <w:rtl/>
        </w:rPr>
        <w:t xml:space="preserve">מבלי לגרוע מהוראות סעיף 4ו, חבר מועצה המשתתף בישיבת המועצה אשר דנה בנושא שיש או שעלול להיות לו או לתאגיד שהוא בעל ענין בו, במישרין או בעקיפין, ענין אישי בו, </w:t>
      </w:r>
      <w:r w:rsidRPr="00AB56EC">
        <w:rPr>
          <w:rFonts w:cs="David"/>
          <w:b/>
          <w:bCs/>
          <w:szCs w:val="20"/>
          <w:highlight w:val="yellow"/>
          <w:rtl/>
        </w:rPr>
        <w:t>יודיע על כך למועצה לפני תחילת הדיון ולא ישתתף בדיון ובהצבעה באותו נושא".</w:t>
      </w:r>
      <w:r w:rsidRPr="00AB56EC">
        <w:rPr>
          <w:rFonts w:cs="David"/>
          <w:color w:val="FFFFFF"/>
          <w:szCs w:val="20"/>
          <w:rtl/>
        </w:rPr>
        <w:t>נ</w:t>
      </w:r>
    </w:p>
    <w:p w:rsidR="0025709E" w:rsidRPr="001F1CCB" w:rsidRDefault="0025709E" w:rsidP="0025709E">
      <w:pPr>
        <w:pStyle w:val="a6"/>
        <w:spacing w:after="120" w:line="240" w:lineRule="auto"/>
        <w:ind w:firstLine="0"/>
        <w:rPr>
          <w:sz w:val="22"/>
          <w:szCs w:val="22"/>
          <w:rtl/>
        </w:rPr>
      </w:pPr>
      <w:r w:rsidRPr="001F1CCB">
        <w:rPr>
          <w:rFonts w:hint="cs"/>
          <w:sz w:val="22"/>
          <w:szCs w:val="22"/>
          <w:rtl/>
        </w:rPr>
        <w:t>8.</w:t>
      </w:r>
      <w:r w:rsidRPr="001F1CCB">
        <w:rPr>
          <w:rFonts w:hint="cs"/>
          <w:sz w:val="22"/>
          <w:szCs w:val="22"/>
          <w:rtl/>
        </w:rPr>
        <w:tab/>
        <w:t xml:space="preserve">[טענות העותרים] </w:t>
      </w:r>
      <w:r w:rsidRPr="001F1CCB">
        <w:rPr>
          <w:sz w:val="22"/>
          <w:szCs w:val="22"/>
          <w:rtl/>
        </w:rPr>
        <w:t>[...]</w:t>
      </w:r>
      <w:r w:rsidRPr="001F1CCB">
        <w:rPr>
          <w:rFonts w:hint="cs"/>
          <w:sz w:val="22"/>
          <w:szCs w:val="22"/>
          <w:rtl/>
        </w:rPr>
        <w:t xml:space="preserve"> </w:t>
      </w:r>
      <w:r w:rsidRPr="001F1CCB">
        <w:rPr>
          <w:sz w:val="22"/>
          <w:szCs w:val="22"/>
          <w:rtl/>
        </w:rPr>
        <w:t>שנית</w:t>
      </w:r>
      <w:r w:rsidRPr="001F1CCB">
        <w:rPr>
          <w:b/>
          <w:sz w:val="22"/>
          <w:szCs w:val="22"/>
          <w:rtl/>
        </w:rPr>
        <w:t xml:space="preserve">: להבדיל מהמועצה, ועדת המשנה </w:t>
      </w:r>
      <w:r>
        <w:rPr>
          <w:rFonts w:hint="cs"/>
          <w:b/>
          <w:sz w:val="22"/>
          <w:szCs w:val="22"/>
          <w:rtl/>
        </w:rPr>
        <w:t>[</w:t>
      </w:r>
      <w:r w:rsidRPr="000B436C">
        <w:rPr>
          <w:b/>
          <w:sz w:val="22"/>
          <w:szCs w:val="22"/>
          <w:rtl/>
        </w:rPr>
        <w:t>וועדת המשנה בנושא שינוי ייעודה של קרקע חקלאית</w:t>
      </w:r>
      <w:r>
        <w:rPr>
          <w:rFonts w:hint="cs"/>
          <w:b/>
          <w:sz w:val="22"/>
          <w:szCs w:val="22"/>
          <w:rtl/>
        </w:rPr>
        <w:t>]</w:t>
      </w:r>
      <w:r w:rsidRPr="000B436C">
        <w:rPr>
          <w:b/>
          <w:sz w:val="22"/>
          <w:szCs w:val="22"/>
          <w:rtl/>
        </w:rPr>
        <w:t xml:space="preserve"> </w:t>
      </w:r>
      <w:r w:rsidRPr="001F1CCB">
        <w:rPr>
          <w:b/>
          <w:sz w:val="22"/>
          <w:szCs w:val="22"/>
          <w:rtl/>
        </w:rPr>
        <w:t>אינה מוסמכת לקבל החלטות, תפקידה מתמצה במתן המלצות;</w:t>
      </w:r>
      <w:r w:rsidRPr="001F1CCB">
        <w:rPr>
          <w:rFonts w:hint="cs"/>
          <w:b/>
          <w:sz w:val="22"/>
          <w:szCs w:val="22"/>
          <w:rtl/>
        </w:rPr>
        <w:t xml:space="preserve"> ...</w:t>
      </w:r>
      <w:r w:rsidRPr="001F1CCB">
        <w:rPr>
          <w:b/>
          <w:sz w:val="22"/>
          <w:szCs w:val="22"/>
          <w:rtl/>
        </w:rPr>
        <w:t xml:space="preserve"> </w:t>
      </w:r>
      <w:r w:rsidRPr="001F1CCB">
        <w:rPr>
          <w:sz w:val="22"/>
          <w:szCs w:val="22"/>
          <w:rtl/>
        </w:rPr>
        <w:t>רביעית:</w:t>
      </w:r>
      <w:r w:rsidRPr="001F1CCB">
        <w:rPr>
          <w:b/>
          <w:sz w:val="22"/>
          <w:szCs w:val="22"/>
          <w:rtl/>
        </w:rPr>
        <w:t xml:space="preserve"> החוק המתקן הכיר בחשיבות הדיון הפלורליסטי במועצה ובוועדות, ומתוך כך קבע את האיזון הראוי באשר להרכבן של המועצה ושל ועדת המשנה: סעיף 4א(א)(3) מתיר כיום את חברותם במועצה של מי "שהם בעלי תפקידים שלא בשירות המדינה או בשירות קק"ל, ושבתפקידיהם אלה יש להם ענין במדיניות קרקעית...", ובלבד שלא יהוו למעלה משליש ממספר חברי המועצה, ומהם לא יותר ממחצית יהיו בעלי תפקידים במגזר החקלאי. סעיף 4י(ג) קובע, כי יושב</w:t>
      </w:r>
      <w:r w:rsidRPr="001F1CCB">
        <w:rPr>
          <w:position w:val="4"/>
          <w:sz w:val="22"/>
          <w:szCs w:val="22"/>
          <w:rtl/>
        </w:rPr>
        <w:t>-</w:t>
      </w:r>
      <w:r w:rsidRPr="001F1CCB">
        <w:rPr>
          <w:b/>
          <w:sz w:val="22"/>
          <w:szCs w:val="22"/>
          <w:rtl/>
        </w:rPr>
        <w:t>ראש ועדת משנה לא יהיה בעל עניין במדיניות חקלאית (כהגדרתו בסעיף 4א(א)(3)) וכי חברי ועדה שהם בעלי עניין כאמור לא יהוו למעלה משליש מחברי הוועדה. העותרים באים בגדרם של סייגים אלה – ואין מקום להוסיף ולהטיל עליהם סייגים ומגבלות, שיסכלו את תכלית החוק המתקן.</w:t>
      </w:r>
      <w:r w:rsidRPr="001F1CCB">
        <w:rPr>
          <w:b/>
          <w:color w:val="FFFFFF"/>
          <w:sz w:val="22"/>
          <w:szCs w:val="22"/>
          <w:rtl/>
        </w:rPr>
        <w:t>ו</w:t>
      </w:r>
    </w:p>
    <w:p w:rsidR="0025709E" w:rsidRPr="00D85527" w:rsidRDefault="0025709E" w:rsidP="0025709E">
      <w:pPr>
        <w:spacing w:after="120"/>
        <w:rPr>
          <w:rFonts w:ascii="Arial" w:hAnsi="Arial" w:cs="Arial"/>
          <w:sz w:val="18"/>
          <w:szCs w:val="18"/>
          <w:rtl/>
        </w:rPr>
      </w:pPr>
      <w:r w:rsidRPr="001F1CCB">
        <w:rPr>
          <w:rFonts w:cs="FrankRuehl" w:hint="cs"/>
          <w:sz w:val="22"/>
          <w:szCs w:val="22"/>
          <w:rtl/>
        </w:rPr>
        <w:t>11.</w:t>
      </w:r>
      <w:r w:rsidRPr="001F1CCB">
        <w:rPr>
          <w:rFonts w:cs="FrankRuehl" w:hint="cs"/>
          <w:sz w:val="22"/>
          <w:szCs w:val="22"/>
          <w:rtl/>
        </w:rPr>
        <w:tab/>
      </w:r>
      <w:r>
        <w:rPr>
          <w:rFonts w:cs="FrankRuehl" w:hint="cs"/>
          <w:sz w:val="22"/>
          <w:szCs w:val="22"/>
          <w:rtl/>
        </w:rPr>
        <w:t xml:space="preserve">[הכרעת בית המשפט] </w:t>
      </w:r>
      <w:r w:rsidRPr="001F1CCB">
        <w:rPr>
          <w:rFonts w:cs="FrankRuehl" w:hint="cs"/>
          <w:sz w:val="22"/>
          <w:szCs w:val="22"/>
          <w:rtl/>
        </w:rPr>
        <w:t>[...]</w:t>
      </w:r>
      <w:r w:rsidRPr="001F1CCB">
        <w:rPr>
          <w:rFonts w:cs="FrankRuehl" w:hint="cs"/>
          <w:b/>
          <w:sz w:val="22"/>
          <w:szCs w:val="22"/>
          <w:rtl/>
        </w:rPr>
        <w:t xml:space="preserve"> </w:t>
      </w:r>
      <w:r w:rsidRPr="001F1CCB">
        <w:rPr>
          <w:rFonts w:cs="FrankRuehl"/>
          <w:b/>
          <w:sz w:val="22"/>
          <w:szCs w:val="22"/>
          <w:rtl/>
        </w:rPr>
        <w:t>ב</w:t>
      </w:r>
      <w:r w:rsidRPr="001F1CCB">
        <w:rPr>
          <w:rFonts w:cs="FrankRuehl"/>
          <w:sz w:val="22"/>
          <w:szCs w:val="22"/>
          <w:rtl/>
        </w:rPr>
        <w:t xml:space="preserve">ענייננו, להבדיל </w:t>
      </w:r>
      <w:r w:rsidRPr="001F1CCB">
        <w:rPr>
          <w:rFonts w:cs="FrankRuehl"/>
          <w:i/>
          <w:sz w:val="22"/>
          <w:szCs w:val="22"/>
          <w:rtl/>
        </w:rPr>
        <w:t xml:space="preserve">מפרשת </w:t>
      </w:r>
      <w:r w:rsidRPr="001F1CCB">
        <w:rPr>
          <w:rFonts w:cs="FrankRuehl"/>
          <w:b/>
          <w:bCs/>
          <w:i/>
          <w:sz w:val="22"/>
          <w:szCs w:val="22"/>
          <w:rtl/>
        </w:rPr>
        <w:t>מהדרין</w:t>
      </w:r>
      <w:r w:rsidRPr="001F1CCB">
        <w:rPr>
          <w:rFonts w:cs="FrankRuehl"/>
          <w:sz w:val="22"/>
          <w:szCs w:val="22"/>
          <w:rtl/>
        </w:rPr>
        <w:t xml:space="preserve">, מתייחסת העתירה לדיונים הנערכים בוועדת המשנה, המוסמכת להמליץ – ולא לדיונים במועצה, המוסמכת לקבל החלטות. האם לייחס נפקות לשוני זה? לדעתי, התשובה היא בשלילה. </w:t>
      </w:r>
      <w:r w:rsidRPr="000B436C">
        <w:rPr>
          <w:rFonts w:cs="FrankRuehl"/>
          <w:sz w:val="22"/>
          <w:szCs w:val="22"/>
          <w:highlight w:val="yellow"/>
          <w:rtl/>
        </w:rPr>
        <w:t>הכללים בדבר ניגוד עניינים חלים על כל עובד ציבור, בלא הבחנה במהותה של הפונקציה המתבצעת על</w:t>
      </w:r>
      <w:r w:rsidRPr="000B436C">
        <w:rPr>
          <w:rFonts w:cs="FrankRuehl"/>
          <w:position w:val="4"/>
          <w:sz w:val="22"/>
          <w:szCs w:val="22"/>
          <w:highlight w:val="yellow"/>
          <w:rtl/>
        </w:rPr>
        <w:t>-</w:t>
      </w:r>
      <w:r w:rsidRPr="000B436C">
        <w:rPr>
          <w:rFonts w:cs="FrankRuehl"/>
          <w:sz w:val="22"/>
          <w:szCs w:val="22"/>
          <w:highlight w:val="yellow"/>
          <w:rtl/>
        </w:rPr>
        <w:t>ידיו. לעניין זה, אין כל חשיבות להבחנה בין סמכות לקבל החלטה לבין סמכות להמליץ המלצה.</w:t>
      </w:r>
      <w:r w:rsidRPr="001F1CCB">
        <w:rPr>
          <w:rFonts w:cs="FrankRuehl"/>
          <w:sz w:val="22"/>
          <w:szCs w:val="22"/>
          <w:rtl/>
        </w:rPr>
        <w:t xml:space="preserve"> גם מי שסמכותו היא ממליצה בלבד חייב להישמר בפני ניגוד עניינים, והאיסורים בדבר ניגוד עניינים חלים עליו. אכן, סמכות ההמלצה חשובה היא. על הממליץ לפעול בלב פתוח, ומתוך שמירה על כל הכללים של המשפט המינהלי, לרבות הכלל בדבר האיסור להימצא במצב של ניגוד עניינים. בדומה, על מקבל ההמלצה לקבלה בלב פתוח, ומתוך שמירה על כל הכללים של המשפט המינהלי, ובהם הכלל בדבר ניגוד עניינים. אכן, סמכות ההמלצה היא סמכות חשובה. על המחליט להתחשב בהמלצה. יש לה משקל בגדרי שיקוליו. כל אלה מובילים לכך, שאין מקום להבחין, לעניין תחולתם של הכללים בדבר איסור על ניגוד עניינים, בין בעל סמכות להחליט לבין בעל סמכות להמליץ. זה כזה חבים באותן חובות לעניין ניגוד העניינים. על</w:t>
      </w:r>
      <w:r w:rsidRPr="001F1CCB">
        <w:rPr>
          <w:rFonts w:cs="FrankRuehl"/>
          <w:position w:val="4"/>
          <w:sz w:val="22"/>
          <w:szCs w:val="22"/>
          <w:rtl/>
        </w:rPr>
        <w:t>-</w:t>
      </w:r>
      <w:r w:rsidRPr="001F1CCB">
        <w:rPr>
          <w:rFonts w:cs="FrankRuehl"/>
          <w:sz w:val="22"/>
          <w:szCs w:val="22"/>
          <w:rtl/>
        </w:rPr>
        <w:t>כן, חלים הכללים בדבר ניגוד עניינים גם על ועדת משנה, שכל תפקידה אינו אלא להמליץ למליאה. כך בדרך</w:t>
      </w:r>
      <w:r w:rsidRPr="001F1CCB">
        <w:rPr>
          <w:rFonts w:cs="FrankRuehl"/>
          <w:position w:val="4"/>
          <w:sz w:val="22"/>
          <w:szCs w:val="22"/>
          <w:rtl/>
        </w:rPr>
        <w:t>-</w:t>
      </w:r>
      <w:r w:rsidRPr="001F1CCB">
        <w:rPr>
          <w:rFonts w:cs="FrankRuehl"/>
          <w:sz w:val="22"/>
          <w:szCs w:val="22"/>
          <w:rtl/>
        </w:rPr>
        <w:t>כלל; כך גם לעניין ועדות המשנה המוקמות על</w:t>
      </w:r>
      <w:r w:rsidRPr="001F1CCB">
        <w:rPr>
          <w:rFonts w:cs="FrankRuehl"/>
          <w:position w:val="4"/>
          <w:sz w:val="22"/>
          <w:szCs w:val="22"/>
          <w:rtl/>
        </w:rPr>
        <w:t>-</w:t>
      </w:r>
      <w:r w:rsidRPr="001F1CCB">
        <w:rPr>
          <w:rFonts w:cs="FrankRuehl"/>
          <w:sz w:val="22"/>
          <w:szCs w:val="22"/>
          <w:rtl/>
        </w:rPr>
        <w:t>ידי המועצה.</w:t>
      </w:r>
      <w:r>
        <w:rPr>
          <w:rFonts w:cs="FrankRuehl" w:hint="cs"/>
          <w:sz w:val="22"/>
          <w:szCs w:val="22"/>
          <w:rtl/>
        </w:rPr>
        <w:t xml:space="preserve"> </w:t>
      </w:r>
    </w:p>
    <w:p w:rsidR="0025709E" w:rsidRDefault="0025709E" w:rsidP="0025709E">
      <w:pPr>
        <w:pStyle w:val="a7"/>
        <w:spacing w:after="0" w:line="240" w:lineRule="auto"/>
        <w:ind w:left="0" w:right="0"/>
        <w:rPr>
          <w:sz w:val="22"/>
          <w:szCs w:val="22"/>
          <w:rtl/>
        </w:rPr>
      </w:pPr>
      <w:r w:rsidRPr="001F1CCB">
        <w:rPr>
          <w:sz w:val="22"/>
          <w:szCs w:val="22"/>
          <w:rtl/>
        </w:rPr>
        <w:t xml:space="preserve">12. </w:t>
      </w:r>
      <w:r w:rsidRPr="001F1CCB">
        <w:rPr>
          <w:sz w:val="22"/>
          <w:szCs w:val="22"/>
          <w:rtl/>
        </w:rPr>
        <w:tab/>
        <w:t xml:space="preserve">נותרה אך שאלת השפעתו של החוק המתקן על ההלכה שנפסקה </w:t>
      </w:r>
      <w:r w:rsidRPr="001F1CCB">
        <w:rPr>
          <w:i/>
          <w:sz w:val="22"/>
          <w:szCs w:val="22"/>
          <w:rtl/>
        </w:rPr>
        <w:t xml:space="preserve">בפרשת </w:t>
      </w:r>
      <w:r w:rsidRPr="001F1CCB">
        <w:rPr>
          <w:b/>
          <w:bCs/>
          <w:i/>
          <w:sz w:val="22"/>
          <w:szCs w:val="22"/>
          <w:rtl/>
        </w:rPr>
        <w:t>מהדרין</w:t>
      </w:r>
      <w:r w:rsidRPr="001F1CCB">
        <w:rPr>
          <w:sz w:val="22"/>
          <w:szCs w:val="22"/>
          <w:rtl/>
        </w:rPr>
        <w:t xml:space="preserve">. האם החוק המתקן ממצה את ההסדרים והאיסורים החלים על חברי המועצה ועל ועדת המשנה? [...] אין מקום לראות את ההסדר שנקבע בחוק המתקן כהסדר הממצה בהכרח את כל ההיבטים הנוגעים להסדר ניגוד עניינים וכשולל את תחולתה הרחבה של ההלכה הפסוקה. אכן, סביב ההסדר הסטטוטורי בעניין ניגוד עניינים אין נוצרת מעטפת של "הסדר שלילי" באשר לעניינים שלא הוסדרו בחקיקה. </w:t>
      </w:r>
      <w:r w:rsidRPr="000B436C">
        <w:rPr>
          <w:sz w:val="22"/>
          <w:szCs w:val="22"/>
          <w:highlight w:val="yellow"/>
          <w:rtl/>
        </w:rPr>
        <w:t>סביב חקיקה המסדירה סוגיה של ניגוד עניינים ממשיכים לחול הדינים ההילכתיים בדבר ניגוד עניינים, אלא אם תחולתם נשללת במפורש</w:t>
      </w:r>
      <w:r w:rsidRPr="001F1CCB">
        <w:rPr>
          <w:sz w:val="22"/>
          <w:szCs w:val="22"/>
          <w:rtl/>
        </w:rPr>
        <w:t xml:space="preserve"> (ראו בג"ץ </w:t>
      </w:r>
      <w:r w:rsidRPr="001F1CCB">
        <w:rPr>
          <w:b/>
          <w:bCs/>
          <w:sz w:val="22"/>
          <w:szCs w:val="22"/>
          <w:rtl/>
        </w:rPr>
        <w:t>סיעת הליכוד</w:t>
      </w:r>
      <w:r w:rsidRPr="001F1CCB">
        <w:rPr>
          <w:sz w:val="22"/>
          <w:szCs w:val="22"/>
          <w:rtl/>
        </w:rPr>
        <w:t>). אין בלשון החוק, בהיסטוריה החקיקתית שלו ובנסיבות שקדמו לחקיקתו כדי לסתור הלכות אלו. ההפך הוא הנכון. תופעת ניגוד העניינים במועצה ובוועדות המשנה הוצגה במלוא חומרתה בדוח 44 של מבקר המדינה. גם בהצעת החוק שהוגשה על בסיס הדוח (הצעת חוק מינהל מקרקעי ישראל (תיקון) (מועצת מינהל מקרקעי ישראל), תשנ"ה1994-), כמו גם בדברי חברי</w:t>
      </w:r>
      <w:r w:rsidRPr="001F1CCB">
        <w:rPr>
          <w:position w:val="4"/>
          <w:sz w:val="22"/>
          <w:szCs w:val="22"/>
          <w:rtl/>
        </w:rPr>
        <w:t>-</w:t>
      </w:r>
      <w:r w:rsidRPr="001F1CCB">
        <w:rPr>
          <w:sz w:val="22"/>
          <w:szCs w:val="22"/>
          <w:rtl/>
        </w:rPr>
        <w:t>הכנסת שנדרשו לה, אין למצוא כל עדות לכוונה ליצור הסדר ייחודי שישלול את תחולתה של ההלכה הפסוקה.</w:t>
      </w:r>
    </w:p>
    <w:p w:rsidR="0025709E" w:rsidRDefault="0025709E" w:rsidP="0025709E">
      <w:pPr>
        <w:pStyle w:val="a7"/>
        <w:spacing w:after="0" w:line="240" w:lineRule="auto"/>
        <w:ind w:left="0" w:right="0"/>
        <w:rPr>
          <w:sz w:val="22"/>
          <w:szCs w:val="22"/>
          <w:rtl/>
        </w:rPr>
      </w:pPr>
      <w:r>
        <w:rPr>
          <w:rFonts w:hint="cs"/>
          <w:sz w:val="22"/>
          <w:szCs w:val="22"/>
          <w:rtl/>
        </w:rPr>
        <w:t>=-=</w:t>
      </w:r>
    </w:p>
    <w:p w:rsidR="0025709E" w:rsidRDefault="0025709E" w:rsidP="0025709E">
      <w:pPr>
        <w:pStyle w:val="a7"/>
        <w:spacing w:after="0" w:line="240" w:lineRule="auto"/>
        <w:ind w:left="0" w:right="0"/>
        <w:rPr>
          <w:sz w:val="22"/>
          <w:szCs w:val="22"/>
          <w:rtl/>
        </w:rPr>
      </w:pPr>
    </w:p>
    <w:p w:rsidR="0025709E" w:rsidRPr="004C1890" w:rsidRDefault="0025709E" w:rsidP="0025709E">
      <w:pPr>
        <w:pStyle w:val="a7"/>
        <w:spacing w:after="0" w:line="240" w:lineRule="auto"/>
        <w:ind w:left="0" w:right="0"/>
        <w:rPr>
          <w:rFonts w:cs="Times New Roman"/>
          <w:sz w:val="22"/>
          <w:szCs w:val="22"/>
          <w:rtl/>
        </w:rPr>
      </w:pPr>
      <w:r w:rsidRPr="004C1890">
        <w:rPr>
          <w:rFonts w:cs="Times New Roman"/>
          <w:highlight w:val="yellow"/>
          <w:rtl/>
        </w:rPr>
        <w:t xml:space="preserve">בג"צ 11745/04 </w:t>
      </w:r>
      <w:r w:rsidRPr="004C1890">
        <w:rPr>
          <w:rFonts w:cs="Times New Roman"/>
          <w:b/>
          <w:bCs/>
          <w:highlight w:val="yellow"/>
          <w:rtl/>
        </w:rPr>
        <w:t>רמות למען הסביבה נ' המועצה הארצית לתכנון ולבניה</w:t>
      </w:r>
      <w:r w:rsidRPr="004C1890">
        <w:rPr>
          <w:rFonts w:cs="Times New Roman"/>
          <w:highlight w:val="yellow"/>
          <w:rtl/>
        </w:rPr>
        <w:t xml:space="preserve"> (2008), סעיפים 19-13</w:t>
      </w:r>
    </w:p>
    <w:p w:rsidR="0025709E" w:rsidRPr="00612710" w:rsidRDefault="0025709E" w:rsidP="0025709E">
      <w:pPr>
        <w:pStyle w:val="a7"/>
        <w:spacing w:after="0" w:line="240" w:lineRule="auto"/>
        <w:ind w:left="0" w:right="0"/>
        <w:rPr>
          <w:rFonts w:cs="Times New Roman"/>
          <w:sz w:val="22"/>
          <w:szCs w:val="22"/>
          <w:rtl/>
        </w:rPr>
      </w:pPr>
    </w:p>
    <w:p w:rsidR="0025709E" w:rsidRPr="00A61BCB" w:rsidRDefault="0025709E" w:rsidP="0025709E">
      <w:pPr>
        <w:pStyle w:val="Ruller41"/>
        <w:spacing w:after="120" w:line="240" w:lineRule="auto"/>
        <w:rPr>
          <w:szCs w:val="22"/>
          <w:rtl/>
        </w:rPr>
      </w:pPr>
      <w:r w:rsidRPr="00612710">
        <w:rPr>
          <w:rFonts w:hint="cs"/>
          <w:szCs w:val="22"/>
          <w:rtl/>
        </w:rPr>
        <w:tab/>
        <w:t xml:space="preserve">שתי העתירות שלפנינו מופנות כנגד תכנית המתאר המחוזית תמ"מ 47/1 (להלן: </w:t>
      </w:r>
      <w:r w:rsidRPr="00612710">
        <w:rPr>
          <w:rFonts w:ascii="Times New Roman" w:hAnsi="Times New Roman" w:cs="Miriam" w:hint="cs"/>
          <w:spacing w:val="0"/>
          <w:szCs w:val="22"/>
          <w:rtl/>
        </w:rPr>
        <w:t>תמ"מ 47/1</w:t>
      </w:r>
      <w:r w:rsidRPr="00612710">
        <w:rPr>
          <w:rFonts w:hint="cs"/>
          <w:szCs w:val="22"/>
          <w:rtl/>
        </w:rPr>
        <w:t xml:space="preserve"> או </w:t>
      </w:r>
      <w:r w:rsidRPr="00612710">
        <w:rPr>
          <w:rFonts w:ascii="Times New Roman" w:hAnsi="Times New Roman" w:cs="Miriam" w:hint="cs"/>
          <w:spacing w:val="0"/>
          <w:szCs w:val="22"/>
          <w:rtl/>
        </w:rPr>
        <w:t>התכנית</w:t>
      </w:r>
      <w:r w:rsidRPr="00612710">
        <w:rPr>
          <w:rFonts w:hint="cs"/>
          <w:szCs w:val="22"/>
          <w:rtl/>
        </w:rPr>
        <w:t xml:space="preserve">) שנועדה להביא להקמתה של שכונת מגורים חדשה באזור גבעת מצפה נפתוח שבסמוך לשכונת רמות בירושלים. האם אושרה התכנית כדין, זו ההכרעה שהונחה לפתחנו. </w:t>
      </w:r>
    </w:p>
    <w:p w:rsidR="0025709E" w:rsidRPr="00A61BCB" w:rsidRDefault="0025709E" w:rsidP="0025709E">
      <w:pPr>
        <w:pStyle w:val="Ruller41"/>
        <w:spacing w:line="240" w:lineRule="auto"/>
        <w:rPr>
          <w:b/>
          <w:bCs/>
          <w:szCs w:val="22"/>
          <w:u w:val="single"/>
          <w:rtl/>
        </w:rPr>
      </w:pPr>
      <w:r w:rsidRPr="00A61BCB">
        <w:rPr>
          <w:rFonts w:hint="cs"/>
          <w:b/>
          <w:bCs/>
          <w:szCs w:val="22"/>
          <w:u w:val="single"/>
          <w:rtl/>
        </w:rPr>
        <w:t>רקע עובדתי והשתלשלות ההליכים</w:t>
      </w:r>
    </w:p>
    <w:p w:rsidR="0025709E" w:rsidRDefault="0025709E" w:rsidP="0025709E">
      <w:pPr>
        <w:pStyle w:val="a7"/>
        <w:spacing w:after="120" w:line="240" w:lineRule="auto"/>
        <w:ind w:left="0" w:right="0"/>
        <w:rPr>
          <w:rFonts w:cs="Times New Roman"/>
          <w:sz w:val="22"/>
          <w:szCs w:val="22"/>
          <w:rtl/>
        </w:rPr>
      </w:pPr>
      <w:r w:rsidRPr="00A61BCB">
        <w:rPr>
          <w:rFonts w:hint="cs"/>
          <w:sz w:val="22"/>
          <w:szCs w:val="22"/>
          <w:rtl/>
        </w:rPr>
        <w:t>1.</w:t>
      </w:r>
      <w:r w:rsidRPr="00A61BCB">
        <w:rPr>
          <w:rFonts w:hint="cs"/>
          <w:sz w:val="22"/>
          <w:szCs w:val="22"/>
          <w:rtl/>
        </w:rPr>
        <w:tab/>
        <w:t xml:space="preserve">העתירות הוגשו על ידי גורמים שונים המתנגדים להקמת השכונה החדשה מטעמים סביבתיים - ובהם תושבי שכונת רמות וארגונים שונים - והן תוקפות את תמ"מ 47/1 מטעמים שהעיקריים שבהם יפורטו להלן. תמ"מ 47/1 היא תכנית מתאר מחוזית המשנה את ייעוד הקרקע בשטח של כ-670 דונם באזור גבעת מצפה נפתוח מייעוד של קרקע חקלאית לייעוד של שטח לפיתוח עירוני, והיא נועדה לשם הקמתה במקום של שכונת מגורים הצפויה לכלול כ-2000 יחידות דיור. אין חולק כי מימושה של תמ"מ 47/1 מחייב סטייה (בדרך של "הקלות") מהוראות תמ"א 31 - תכנית מתאר ארצית משולבת לבניה פיתוח ולקליטת עלייה, ומהוראות תמ"א 22 - תכנית מתאר ארצית ליער ולייעור. ביום 23.7.02, לאחר שהוצג בפניה תזכיר בנוגע למיצוי עתודות הקרקע בירושלים כנדרש על פי הוראות תמ"א 31, אישרה </w:t>
      </w:r>
      <w:r w:rsidRPr="00A61BCB">
        <w:rPr>
          <w:rFonts w:hint="cs"/>
          <w:sz w:val="22"/>
          <w:szCs w:val="22"/>
          <w:highlight w:val="yellow"/>
          <w:rtl/>
        </w:rPr>
        <w:t>הולנת"ע (ועדת המשנה של המועצה הארצית לתכנון ולבניה לנושאים תכנונים עקרוניים)</w:t>
      </w:r>
      <w:r w:rsidRPr="00A61BCB">
        <w:rPr>
          <w:rFonts w:hint="cs"/>
          <w:sz w:val="22"/>
          <w:szCs w:val="22"/>
          <w:rtl/>
        </w:rPr>
        <w:t xml:space="preserve"> את ההקלה הנדרשת מתמ"א 31 לשם הרחבת השטח העירוני של ירושלים ב-0.5%. כמו כן החליטה הולנת"ע כי המלצת המשיבה 2 ב</w:t>
      </w:r>
      <w:hyperlink r:id="rId423" w:history="1">
        <w:r w:rsidRPr="00A61BCB">
          <w:rPr>
            <w:color w:val="0000FF"/>
            <w:sz w:val="22"/>
            <w:szCs w:val="22"/>
            <w:u w:val="single"/>
            <w:rtl/>
          </w:rPr>
          <w:t>בג"ץ 11745/04</w:t>
        </w:r>
      </w:hyperlink>
      <w:r w:rsidRPr="00A61BCB">
        <w:rPr>
          <w:rFonts w:hint="cs"/>
          <w:sz w:val="22"/>
          <w:szCs w:val="22"/>
          <w:rtl/>
        </w:rPr>
        <w:t xml:space="preserve"> (</w:t>
      </w:r>
      <w:r w:rsidRPr="00A61BCB">
        <w:rPr>
          <w:rFonts w:cs="David"/>
          <w:sz w:val="22"/>
          <w:szCs w:val="22"/>
          <w:rtl/>
        </w:rPr>
        <w:t>[פורסם בנבו]</w:t>
      </w:r>
      <w:r w:rsidRPr="00A61BCB">
        <w:rPr>
          <w:sz w:val="22"/>
          <w:szCs w:val="22"/>
          <w:rtl/>
        </w:rPr>
        <w:t>,</w:t>
      </w:r>
      <w:r w:rsidRPr="00A61BCB">
        <w:rPr>
          <w:rFonts w:hint="cs"/>
          <w:sz w:val="22"/>
          <w:szCs w:val="22"/>
          <w:rtl/>
        </w:rPr>
        <w:t xml:space="preserve"> להלן: </w:t>
      </w:r>
      <w:r w:rsidRPr="00A61BCB">
        <w:rPr>
          <w:rFonts w:cs="Miriam" w:hint="cs"/>
          <w:sz w:val="22"/>
          <w:szCs w:val="22"/>
          <w:rtl/>
        </w:rPr>
        <w:t>הוועדה המחוזית</w:t>
      </w:r>
      <w:r w:rsidRPr="00A61BCB">
        <w:rPr>
          <w:rFonts w:hint="cs"/>
          <w:sz w:val="22"/>
          <w:szCs w:val="22"/>
          <w:rtl/>
        </w:rPr>
        <w:t xml:space="preserve">) להפקיד את התכנית תידון בפני המשיבה 1 בבג"ץ 11745/04 (להלן: </w:t>
      </w:r>
      <w:r w:rsidRPr="00A61BCB">
        <w:rPr>
          <w:rFonts w:cs="Miriam" w:hint="cs"/>
          <w:sz w:val="22"/>
          <w:szCs w:val="22"/>
          <w:rtl/>
        </w:rPr>
        <w:t>המועצה הארצית</w:t>
      </w:r>
      <w:r w:rsidRPr="00A61BCB">
        <w:rPr>
          <w:rFonts w:hint="cs"/>
          <w:sz w:val="22"/>
          <w:szCs w:val="22"/>
          <w:rtl/>
        </w:rPr>
        <w:t xml:space="preserve">). </w:t>
      </w:r>
      <w:r>
        <w:rPr>
          <w:rFonts w:hint="cs"/>
          <w:sz w:val="22"/>
          <w:szCs w:val="22"/>
          <w:rtl/>
        </w:rPr>
        <w:t xml:space="preserve">... </w:t>
      </w:r>
      <w:r w:rsidRPr="00A61BCB">
        <w:rPr>
          <w:rFonts w:hint="cs"/>
          <w:sz w:val="22"/>
          <w:szCs w:val="22"/>
          <w:rtl/>
        </w:rPr>
        <w:t>ביום 10.8.04 דנה הולנת"ע בדו"ח שהגיש החוקר בעקבות שמיעת ההתנגדויות ובהמלצותיו, והחליטה לדחות את ההתנגדויות ולאשר את התכנית, תוך אימוץ המלצות החוקר ביחס להתנגדויות בתיקונים מסוימים. נגד החלטה זו של הולנת"ע הוגשו העתירות שלפנינו.</w:t>
      </w:r>
      <w:r w:rsidRPr="00A61BCB">
        <w:rPr>
          <w:rFonts w:cs="Times New Roman" w:hint="cs"/>
          <w:sz w:val="22"/>
          <w:szCs w:val="22"/>
          <w:rtl/>
        </w:rPr>
        <w:t xml:space="preserve"> ...</w:t>
      </w:r>
    </w:p>
    <w:p w:rsidR="0025709E" w:rsidRDefault="0025709E" w:rsidP="0025709E">
      <w:pPr>
        <w:pStyle w:val="a7"/>
        <w:spacing w:after="0" w:line="240" w:lineRule="auto"/>
        <w:ind w:left="-57" w:right="0"/>
        <w:rPr>
          <w:rFonts w:ascii="Arial" w:hAnsi="Arial" w:cs="Arial"/>
          <w:sz w:val="18"/>
          <w:szCs w:val="18"/>
          <w:rtl/>
        </w:rPr>
      </w:pPr>
      <w:r>
        <w:rPr>
          <w:rFonts w:ascii="Arial" w:hAnsi="Arial" w:cs="Arial" w:hint="cs"/>
          <w:sz w:val="18"/>
          <w:szCs w:val="18"/>
          <w:rtl/>
        </w:rPr>
        <w:t xml:space="preserve">תמצית </w:t>
      </w:r>
      <w:r w:rsidRPr="000F211E">
        <w:rPr>
          <w:rFonts w:ascii="Arial" w:hAnsi="Arial" w:cs="Arial" w:hint="cs"/>
          <w:sz w:val="18"/>
          <w:szCs w:val="18"/>
          <w:u w:val="single"/>
          <w:rtl/>
        </w:rPr>
        <w:t>הכרעת בית המשפט</w:t>
      </w:r>
      <w:r>
        <w:rPr>
          <w:rFonts w:ascii="Arial" w:hAnsi="Arial" w:cs="Arial" w:hint="cs"/>
          <w:sz w:val="18"/>
          <w:szCs w:val="18"/>
          <w:rtl/>
        </w:rPr>
        <w:t>:</w:t>
      </w:r>
    </w:p>
    <w:p w:rsidR="0025709E" w:rsidRDefault="0025709E" w:rsidP="0025709E">
      <w:pPr>
        <w:pStyle w:val="a7"/>
        <w:spacing w:after="0" w:line="240" w:lineRule="auto"/>
        <w:ind w:left="-57" w:right="0"/>
        <w:rPr>
          <w:rFonts w:ascii="Arial" w:hAnsi="Arial" w:cs="Arial"/>
          <w:sz w:val="18"/>
          <w:szCs w:val="18"/>
          <w:rtl/>
        </w:rPr>
      </w:pPr>
      <w:r w:rsidRPr="00BF3C82">
        <w:rPr>
          <w:rFonts w:ascii="Arial" w:hAnsi="Arial" w:cs="Arial"/>
          <w:sz w:val="18"/>
          <w:szCs w:val="18"/>
          <w:rtl/>
        </w:rPr>
        <w:t xml:space="preserve">בענייננו, הולנת"ע אישרה שינוי ייעוד של שטח, שלפי תמ"א 22 יש לו ייעוד של "יער טבעי לשימור", בלא לנקוט בהליכים שבס' 9 לתמ"א 22, ובכך חרגה מסמכותה. </w:t>
      </w:r>
      <w:r>
        <w:rPr>
          <w:rFonts w:ascii="Arial" w:hAnsi="Arial" w:cs="Arial" w:hint="cs"/>
          <w:sz w:val="18"/>
          <w:szCs w:val="18"/>
          <w:rtl/>
        </w:rPr>
        <w:t>[לא התבקשתם לקרוא קטע זה של פסק הדין].</w:t>
      </w:r>
    </w:p>
    <w:p w:rsidR="0025709E" w:rsidRDefault="0025709E" w:rsidP="0025709E">
      <w:pPr>
        <w:pStyle w:val="a7"/>
        <w:spacing w:after="0" w:line="240" w:lineRule="auto"/>
        <w:ind w:left="-57" w:right="0"/>
        <w:rPr>
          <w:rFonts w:ascii="Arial" w:hAnsi="Arial" w:cs="Arial"/>
          <w:sz w:val="18"/>
          <w:szCs w:val="18"/>
          <w:rtl/>
        </w:rPr>
      </w:pPr>
      <w:r w:rsidRPr="00BF3C82">
        <w:rPr>
          <w:rFonts w:ascii="Arial" w:hAnsi="Arial" w:cs="Arial" w:hint="cs"/>
          <w:sz w:val="18"/>
          <w:szCs w:val="18"/>
          <w:highlight w:val="yellow"/>
          <w:rtl/>
        </w:rPr>
        <w:t>כמו כן</w:t>
      </w:r>
      <w:r w:rsidRPr="00BF3C82">
        <w:rPr>
          <w:rFonts w:ascii="Arial" w:hAnsi="Arial" w:cs="Arial"/>
          <w:sz w:val="18"/>
          <w:szCs w:val="18"/>
          <w:highlight w:val="yellow"/>
          <w:rtl/>
        </w:rPr>
        <w:t xml:space="preserve">, בהחלטת הולנת"ע לאשר את התכנית נפל </w:t>
      </w:r>
      <w:r w:rsidRPr="000F211E">
        <w:rPr>
          <w:rFonts w:ascii="Arial" w:hAnsi="Arial" w:cs="Arial"/>
          <w:sz w:val="18"/>
          <w:szCs w:val="18"/>
          <w:highlight w:val="yellow"/>
          <w:u w:val="single"/>
          <w:rtl/>
        </w:rPr>
        <w:t>פגם של קיום אפשרות ממשית לניגוד עניינים מוסדי</w:t>
      </w:r>
      <w:r w:rsidRPr="00BF3C82">
        <w:rPr>
          <w:rFonts w:ascii="Arial" w:hAnsi="Arial" w:cs="Arial"/>
          <w:sz w:val="18"/>
          <w:szCs w:val="18"/>
          <w:highlight w:val="yellow"/>
          <w:rtl/>
        </w:rPr>
        <w:t>, שמקורו בהשתתפות מתכננת המחוז בדיון הפנימי של הולתנ"ע.</w:t>
      </w:r>
      <w:r w:rsidRPr="00BF3C82">
        <w:rPr>
          <w:rFonts w:ascii="Arial" w:hAnsi="Arial" w:cs="Arial"/>
          <w:sz w:val="18"/>
          <w:szCs w:val="18"/>
          <w:rtl/>
        </w:rPr>
        <w:t xml:space="preserve"> </w:t>
      </w:r>
    </w:p>
    <w:p w:rsidR="0025709E" w:rsidRDefault="0025709E" w:rsidP="0025709E">
      <w:pPr>
        <w:pStyle w:val="a7"/>
        <w:spacing w:after="120" w:line="240" w:lineRule="auto"/>
        <w:ind w:left="-57" w:right="0"/>
        <w:rPr>
          <w:rFonts w:ascii="Arial" w:hAnsi="Arial" w:cs="Arial"/>
          <w:sz w:val="18"/>
          <w:szCs w:val="18"/>
          <w:rtl/>
        </w:rPr>
      </w:pPr>
      <w:r w:rsidRPr="009537A8">
        <w:rPr>
          <w:rFonts w:ascii="Arial" w:hAnsi="Arial" w:cs="Arial"/>
          <w:sz w:val="18"/>
          <w:szCs w:val="18"/>
          <w:highlight w:val="yellow"/>
          <w:rtl/>
        </w:rPr>
        <w:t xml:space="preserve">פגם נוסף שנפל הוא </w:t>
      </w:r>
      <w:r w:rsidRPr="000F211E">
        <w:rPr>
          <w:rFonts w:ascii="Arial" w:hAnsi="Arial" w:cs="Arial"/>
          <w:sz w:val="18"/>
          <w:szCs w:val="18"/>
          <w:highlight w:val="yellow"/>
          <w:u w:val="single"/>
          <w:rtl/>
        </w:rPr>
        <w:t>אי מתן זכות טיעון בפני הולנת"ע למתנגדים לתכנית</w:t>
      </w:r>
      <w:r w:rsidRPr="00BF3C82">
        <w:rPr>
          <w:rFonts w:ascii="Arial" w:hAnsi="Arial" w:cs="Arial"/>
          <w:sz w:val="18"/>
          <w:szCs w:val="18"/>
          <w:rtl/>
        </w:rPr>
        <w:t xml:space="preserve">, כאשר למתכננת המחוז ניתנה זכות כזו. שמיעת עמדתו של צד אחד ע"י הרשות המנהלית מבלי לשמוע את עמדת הצד שכנגד, מנוגדת לכללי הצדק הטבעי ולעקרונות המשפט המנהלי. חובת השמיעה היא חלק מחובת ההגינות המוטלת על הרשות המנהלית בכל פעולותיה, בין אם יסווג תפקידה כתפקיד מעין-שיפוטי ובין אם לאו. </w:t>
      </w:r>
      <w:r w:rsidRPr="009537A8">
        <w:rPr>
          <w:rFonts w:ascii="Arial" w:hAnsi="Arial" w:cs="Arial"/>
          <w:sz w:val="18"/>
          <w:szCs w:val="18"/>
          <w:highlight w:val="yellow"/>
          <w:rtl/>
        </w:rPr>
        <w:t>הפגיעה בזכות הטיעון של העותרים לעומת זכות הטיעון ה"מוגברת" שניתנה למתכננת המחוז, מצדיקה התערבות שיפוטית בהחלטה.</w:t>
      </w:r>
    </w:p>
    <w:p w:rsidR="0025709E" w:rsidRPr="009537A8" w:rsidRDefault="0025709E" w:rsidP="0025709E">
      <w:pPr>
        <w:pStyle w:val="a7"/>
        <w:spacing w:after="120" w:line="240" w:lineRule="auto"/>
        <w:ind w:left="-57" w:right="0"/>
        <w:rPr>
          <w:rFonts w:cs="Times New Roman"/>
          <w:i/>
          <w:iCs/>
          <w:sz w:val="22"/>
          <w:szCs w:val="22"/>
          <w:rtl/>
        </w:rPr>
      </w:pPr>
      <w:r w:rsidRPr="009537A8">
        <w:rPr>
          <w:rFonts w:ascii="Arial" w:hAnsi="Arial" w:cs="Arial" w:hint="cs"/>
          <w:i/>
          <w:iCs/>
          <w:sz w:val="18"/>
          <w:szCs w:val="18"/>
          <w:highlight w:val="yellow"/>
          <w:rtl/>
        </w:rPr>
        <w:t>להלן הרחבה קצרה לעניין ניגוד העניינים המוסדי.</w:t>
      </w:r>
    </w:p>
    <w:p w:rsidR="0025709E" w:rsidRPr="00A61BCB" w:rsidRDefault="0025709E" w:rsidP="0025709E">
      <w:pPr>
        <w:pStyle w:val="a7"/>
        <w:spacing w:after="120" w:line="240" w:lineRule="auto"/>
        <w:ind w:left="0" w:right="0"/>
        <w:rPr>
          <w:sz w:val="22"/>
          <w:szCs w:val="22"/>
          <w:rtl/>
        </w:rPr>
      </w:pPr>
      <w:r w:rsidRPr="00A61BCB">
        <w:rPr>
          <w:rFonts w:cs="Times New Roman" w:hint="cs"/>
          <w:sz w:val="22"/>
          <w:szCs w:val="22"/>
          <w:rtl/>
        </w:rPr>
        <w:t xml:space="preserve">15. [...] </w:t>
      </w:r>
      <w:r w:rsidRPr="00986266">
        <w:rPr>
          <w:rFonts w:hint="cs"/>
          <w:sz w:val="22"/>
          <w:szCs w:val="22"/>
          <w:highlight w:val="yellow"/>
          <w:rtl/>
        </w:rPr>
        <w:t>המבחן לקיומו של ניגוד עניינים הוא מבחן אובייקטיבי. השאלה הנשאלת בגדרו של מבחן זה היא האם אדם סביר היודע את כל פרטי העניין היה מוצא שמילוי תפקיד ציבורי מסוים על ידי עובד ציבור נעשה ללא משוא פנים על אף תפקיד אחר שיש לאותו עובד ציבור או על אף עסקיו הפרטיים; או שמא עיסוקיו האחרים של עובד הציבור מצביעים על כך, על-פי ניסיון החיים, שלא יוכל לפעול במסגרת תפקידו ללא דעה קדומה ומשוא פנים. אולם, אין די בקיומו של חשש תיאורטי ורחוק לקיום ניגוד עניינים בפעולותיו של עובד ציבור כדי למנוע ממנו לעסוק בעניין מסוים, ואף לא בחשש סובייקטיבי של אדם זה או אחר. מאידך גיסא, אין צורך להשתכנע כי ניגוד עניינים כאמור אכן מתקיים הלכה למעשה, ודי בפוטנציאל לניגוד עניינים הנובע מעיסוק בעניין מסוים כאשר בה בעת יש אינטרס אחר,</w:t>
      </w:r>
      <w:r w:rsidRPr="00A61BCB">
        <w:rPr>
          <w:rFonts w:hint="cs"/>
          <w:sz w:val="22"/>
          <w:szCs w:val="22"/>
          <w:rtl/>
        </w:rPr>
        <w:t xml:space="preserve"> שעלול לעמוד בניגוד לאינטרס שבעל התפקיד או העניין מייצג. </w:t>
      </w:r>
      <w:r w:rsidRPr="00A61BCB">
        <w:rPr>
          <w:rFonts w:hint="cs"/>
          <w:sz w:val="22"/>
          <w:szCs w:val="22"/>
          <w:highlight w:val="yellow"/>
          <w:rtl/>
        </w:rPr>
        <w:t>בהקשר זה יש לציין, כי בפסיקת בית משפט זה טרם נפלה הכרעה בסוגיה של רמת ההסתברות לקיום ניגוד עניינים, הנדרשת כדי למנוע מעובד ציבור לעסוק בנושא מסוים שקיים לגביו פוטנציאל לניגוד עניינים עם עיסוק אחר של אותו עובד – האם די בחשש סביר לקיום ניגוד עניינים בין שני העיסוקים, או שמא נדרשת אפשרות ממשית לניגוד עניינים</w:t>
      </w:r>
      <w:r w:rsidRPr="00A61BCB">
        <w:rPr>
          <w:rFonts w:hint="cs"/>
          <w:sz w:val="22"/>
          <w:szCs w:val="22"/>
          <w:rtl/>
        </w:rPr>
        <w:t xml:space="preserve"> (ראו: </w:t>
      </w:r>
      <w:hyperlink r:id="rId424" w:history="1">
        <w:r w:rsidRPr="00A61BCB">
          <w:rPr>
            <w:color w:val="0000FF"/>
            <w:sz w:val="22"/>
            <w:szCs w:val="22"/>
            <w:u w:val="single"/>
            <w:rtl/>
          </w:rPr>
          <w:t>בג"ץ 202/90 י.ב.מ. ישראל בע"מ נ' משרד המשפטים, פ"ד מה</w:t>
        </w:r>
      </w:hyperlink>
      <w:r w:rsidRPr="00A61BCB">
        <w:rPr>
          <w:rFonts w:hint="cs"/>
          <w:sz w:val="22"/>
          <w:szCs w:val="22"/>
          <w:rtl/>
        </w:rPr>
        <w:t xml:space="preserve">(2) 265, 272 (1990); </w:t>
      </w:r>
      <w:hyperlink r:id="rId425" w:history="1">
        <w:r w:rsidRPr="00A61BCB">
          <w:rPr>
            <w:color w:val="0000FF"/>
            <w:sz w:val="22"/>
            <w:szCs w:val="22"/>
            <w:u w:val="single"/>
            <w:rtl/>
          </w:rPr>
          <w:t>בג"ץ 5575/94 מהדרין בע"מ נ' ממשלת ישראל, פ"ד מט</w:t>
        </w:r>
      </w:hyperlink>
      <w:r w:rsidRPr="00A61BCB">
        <w:rPr>
          <w:rFonts w:hint="cs"/>
          <w:sz w:val="22"/>
          <w:szCs w:val="22"/>
          <w:rtl/>
        </w:rPr>
        <w:t xml:space="preserve">(3) 133, 143-142 (1995); </w:t>
      </w:r>
      <w:hyperlink r:id="rId426" w:history="1">
        <w:r w:rsidRPr="00A61BCB">
          <w:rPr>
            <w:color w:val="0000FF"/>
            <w:sz w:val="22"/>
            <w:szCs w:val="22"/>
            <w:u w:val="single"/>
            <w:rtl/>
          </w:rPr>
          <w:t>בג"ץ 6641/93</w:t>
        </w:r>
      </w:hyperlink>
      <w:r w:rsidRPr="00A61BCB">
        <w:rPr>
          <w:rFonts w:hint="cs"/>
          <w:sz w:val="22"/>
          <w:szCs w:val="22"/>
          <w:rtl/>
        </w:rPr>
        <w:t xml:space="preserve"> הנ"ל בעמ' 560-559; </w:t>
      </w:r>
      <w:hyperlink r:id="rId427" w:history="1">
        <w:r w:rsidRPr="00A61BCB">
          <w:rPr>
            <w:color w:val="0000FF"/>
            <w:sz w:val="22"/>
            <w:szCs w:val="22"/>
            <w:u w:val="single"/>
            <w:rtl/>
          </w:rPr>
          <w:t>בג"ץ 1100/95</w:t>
        </w:r>
      </w:hyperlink>
      <w:r w:rsidRPr="00A61BCB">
        <w:rPr>
          <w:rFonts w:hint="cs"/>
          <w:sz w:val="22"/>
          <w:szCs w:val="22"/>
          <w:rtl/>
        </w:rPr>
        <w:t xml:space="preserve"> הנ"ל בעמ' 698; </w:t>
      </w:r>
      <w:hyperlink r:id="rId428" w:history="1">
        <w:r w:rsidRPr="00A61BCB">
          <w:rPr>
            <w:color w:val="0000FF"/>
            <w:sz w:val="22"/>
            <w:szCs w:val="22"/>
            <w:u w:val="single"/>
            <w:rtl/>
          </w:rPr>
          <w:t>ע"א 6983/94 פחימה נ' פרץ, פ"ד נא</w:t>
        </w:r>
      </w:hyperlink>
      <w:r w:rsidRPr="00A61BCB">
        <w:rPr>
          <w:rFonts w:hint="cs"/>
          <w:sz w:val="22"/>
          <w:szCs w:val="22"/>
          <w:rtl/>
        </w:rPr>
        <w:t xml:space="preserve">(5) 829, 836-835 (1998); </w:t>
      </w:r>
      <w:hyperlink r:id="rId429" w:history="1">
        <w:r w:rsidRPr="00A61BCB">
          <w:rPr>
            <w:color w:val="0000FF"/>
            <w:sz w:val="22"/>
            <w:szCs w:val="22"/>
            <w:u w:val="single"/>
            <w:rtl/>
          </w:rPr>
          <w:t>בג"ץ 10408/06</w:t>
        </w:r>
      </w:hyperlink>
      <w:r w:rsidRPr="00A61BCB">
        <w:rPr>
          <w:rFonts w:hint="cs"/>
          <w:sz w:val="22"/>
          <w:szCs w:val="22"/>
          <w:rtl/>
        </w:rPr>
        <w:t xml:space="preserve"> </w:t>
      </w:r>
      <w:r w:rsidRPr="00A61BCB">
        <w:rPr>
          <w:rFonts w:cs="Miriam" w:hint="cs"/>
          <w:sz w:val="22"/>
          <w:szCs w:val="22"/>
          <w:rtl/>
        </w:rPr>
        <w:t>קבהה נ' מועצת התכנון העליונה באזור יהודה ושומרון</w:t>
      </w:r>
      <w:r w:rsidRPr="00A61BCB">
        <w:rPr>
          <w:rFonts w:hint="cs"/>
          <w:sz w:val="22"/>
          <w:szCs w:val="22"/>
          <w:rtl/>
        </w:rPr>
        <w:t xml:space="preserve"> (</w:t>
      </w:r>
      <w:r w:rsidRPr="00A61BCB">
        <w:rPr>
          <w:rFonts w:cs="David"/>
          <w:sz w:val="22"/>
          <w:szCs w:val="22"/>
          <w:rtl/>
        </w:rPr>
        <w:t>[פורסם בנבו]</w:t>
      </w:r>
      <w:r w:rsidRPr="00A61BCB">
        <w:rPr>
          <w:rFonts w:hint="cs"/>
          <w:sz w:val="22"/>
          <w:szCs w:val="22"/>
          <w:rtl/>
        </w:rPr>
        <w:t xml:space="preserve">, 25.9.07), פסקאות 8-7 לפסק הדין. כן ראו ט' שפניץ וו' לוסטהויז "ניגוד עניינים בשירות הציבורי" </w:t>
      </w:r>
      <w:r w:rsidRPr="00A61BCB">
        <w:rPr>
          <w:rFonts w:cs="Miriam" w:hint="cs"/>
          <w:sz w:val="22"/>
          <w:szCs w:val="22"/>
          <w:rtl/>
        </w:rPr>
        <w:t>ספר אורי ידין</w:t>
      </w:r>
      <w:r w:rsidRPr="00A61BCB">
        <w:rPr>
          <w:rFonts w:hint="cs"/>
          <w:sz w:val="22"/>
          <w:szCs w:val="22"/>
          <w:rtl/>
        </w:rPr>
        <w:t xml:space="preserve"> (כרך ב, 1990) 315). </w:t>
      </w:r>
      <w:r w:rsidRPr="00A61BCB">
        <w:rPr>
          <w:rFonts w:hint="cs"/>
          <w:sz w:val="22"/>
          <w:szCs w:val="22"/>
          <w:highlight w:val="yellow"/>
          <w:rtl/>
        </w:rPr>
        <w:t xml:space="preserve">מכל מקום, יש לזכור כי גם כאשר מדובר בשאלת האפשרות למלא תפקיד מסוים בעל פוטנציאל לניגוד עניינים, הרי פסילה מוחלטת של אדם מלמלא תפקיד מסוים הינה האמצעי הקיצוני ביותר להתמודד עם החשש מפני ניגוד עניינים וככלל תועדף נקיטתו של אמצעי חמור פחות, שיהיה בו כדי לנטרל את ניגוד העניינים הפוטנציאלי בעניין הקונקרטי העומד על הפרק, </w:t>
      </w:r>
      <w:r w:rsidRPr="00986266">
        <w:rPr>
          <w:rFonts w:hint="cs"/>
          <w:sz w:val="22"/>
          <w:szCs w:val="22"/>
          <w:rtl/>
        </w:rPr>
        <w:t xml:space="preserve">כגון </w:t>
      </w:r>
      <w:r w:rsidRPr="00A61BCB">
        <w:rPr>
          <w:rFonts w:hint="cs"/>
          <w:sz w:val="22"/>
          <w:szCs w:val="22"/>
          <w:highlight w:val="yellow"/>
          <w:rtl/>
        </w:rPr>
        <w:t>הימנעות מהשתתפות בהצבעה או בדיון בנושא שלגביו מתעורר החשש לניגוד עניינים</w:t>
      </w:r>
      <w:r w:rsidRPr="00A61BCB">
        <w:rPr>
          <w:rFonts w:hint="cs"/>
          <w:sz w:val="22"/>
          <w:szCs w:val="22"/>
          <w:rtl/>
        </w:rPr>
        <w:t>.</w:t>
      </w:r>
    </w:p>
    <w:p w:rsidR="0025709E" w:rsidRPr="00A61BCB" w:rsidRDefault="0025709E" w:rsidP="0025709E">
      <w:pPr>
        <w:pStyle w:val="a7"/>
        <w:spacing w:after="120" w:line="240" w:lineRule="auto"/>
        <w:ind w:left="0"/>
        <w:rPr>
          <w:sz w:val="22"/>
          <w:szCs w:val="22"/>
          <w:rtl/>
        </w:rPr>
      </w:pPr>
      <w:r w:rsidRPr="00A61BCB">
        <w:rPr>
          <w:rFonts w:hint="cs"/>
          <w:sz w:val="22"/>
          <w:szCs w:val="22"/>
          <w:rtl/>
        </w:rPr>
        <w:t>16.</w:t>
      </w:r>
      <w:r w:rsidRPr="00A61BCB">
        <w:rPr>
          <w:rFonts w:hint="cs"/>
          <w:sz w:val="22"/>
          <w:szCs w:val="22"/>
          <w:rtl/>
        </w:rPr>
        <w:tab/>
        <w:t>בכל הנוגע לפעילות מוסדות התכנון קובע סעיף 47א ל</w:t>
      </w:r>
      <w:hyperlink r:id="rId430" w:history="1">
        <w:r w:rsidRPr="00A61BCB">
          <w:rPr>
            <w:rStyle w:val="Hyperlink"/>
            <w:sz w:val="22"/>
            <w:szCs w:val="22"/>
            <w:rtl/>
          </w:rPr>
          <w:t>חוק התכנון והבניה</w:t>
        </w:r>
      </w:hyperlink>
      <w:r w:rsidRPr="00A61BCB">
        <w:rPr>
          <w:rFonts w:hint="cs"/>
          <w:sz w:val="22"/>
          <w:szCs w:val="22"/>
          <w:rtl/>
        </w:rPr>
        <w:t xml:space="preserve"> איסור ספציפי</w:t>
      </w:r>
      <w:r>
        <w:rPr>
          <w:rFonts w:hint="cs"/>
          <w:sz w:val="22"/>
          <w:szCs w:val="22"/>
          <w:rtl/>
        </w:rPr>
        <w:t xml:space="preserve"> </w:t>
      </w:r>
      <w:r w:rsidRPr="00A61BCB">
        <w:rPr>
          <w:rFonts w:hint="cs"/>
          <w:sz w:val="22"/>
          <w:szCs w:val="22"/>
          <w:rtl/>
        </w:rPr>
        <w:t>ומפורש על הימצאותו של חבר במוסד תכנון בניגוד עניינים</w:t>
      </w:r>
      <w:r>
        <w:rPr>
          <w:rFonts w:hint="cs"/>
          <w:sz w:val="22"/>
          <w:szCs w:val="22"/>
          <w:rtl/>
        </w:rPr>
        <w:t>,</w:t>
      </w:r>
      <w:r w:rsidRPr="00A61BCB">
        <w:rPr>
          <w:rFonts w:hint="cs"/>
          <w:sz w:val="22"/>
          <w:szCs w:val="22"/>
          <w:rtl/>
        </w:rPr>
        <w:t xml:space="preserve"> בזו הלשון:</w:t>
      </w:r>
    </w:p>
    <w:tbl>
      <w:tblPr>
        <w:bidiVisual/>
        <w:tblW w:w="0" w:type="auto"/>
        <w:tblInd w:w="1751" w:type="dxa"/>
        <w:tblLook w:val="00BF"/>
      </w:tblPr>
      <w:tblGrid>
        <w:gridCol w:w="1657"/>
        <w:gridCol w:w="6280"/>
      </w:tblGrid>
      <w:tr w:rsidR="0025709E" w:rsidRPr="00A61BCB" w:rsidTr="00354D68">
        <w:trPr>
          <w:trHeight w:val="80"/>
        </w:trPr>
        <w:tc>
          <w:tcPr>
            <w:tcW w:w="1657" w:type="dxa"/>
          </w:tcPr>
          <w:p w:rsidR="0025709E" w:rsidRPr="00A61BCB" w:rsidRDefault="0025709E" w:rsidP="00354D68">
            <w:pPr>
              <w:pStyle w:val="a7"/>
              <w:spacing w:after="120" w:line="240" w:lineRule="auto"/>
              <w:rPr>
                <w:b/>
                <w:bCs/>
                <w:sz w:val="22"/>
                <w:szCs w:val="22"/>
              </w:rPr>
            </w:pPr>
            <w:r w:rsidRPr="00A61BCB">
              <w:rPr>
                <w:rFonts w:hint="cs"/>
                <w:sz w:val="22"/>
                <w:szCs w:val="22"/>
                <w:rtl/>
              </w:rPr>
              <w:t>"</w:t>
            </w:r>
            <w:r w:rsidRPr="00A61BCB">
              <w:rPr>
                <w:rFonts w:hint="cs"/>
                <w:b/>
                <w:bCs/>
                <w:sz w:val="22"/>
                <w:szCs w:val="22"/>
                <w:rtl/>
              </w:rPr>
              <w:t xml:space="preserve">ניגוד עניינים </w:t>
            </w:r>
          </w:p>
        </w:tc>
        <w:tc>
          <w:tcPr>
            <w:tcW w:w="6280" w:type="dxa"/>
          </w:tcPr>
          <w:p w:rsidR="0025709E" w:rsidRPr="00A61BCB" w:rsidRDefault="0025709E" w:rsidP="00354D68">
            <w:pPr>
              <w:pStyle w:val="a7"/>
              <w:spacing w:after="120" w:line="240" w:lineRule="auto"/>
              <w:ind w:right="0"/>
              <w:rPr>
                <w:sz w:val="22"/>
                <w:szCs w:val="22"/>
                <w:rtl/>
              </w:rPr>
            </w:pPr>
            <w:r w:rsidRPr="00A61BCB">
              <w:rPr>
                <w:rFonts w:hint="cs"/>
                <w:sz w:val="22"/>
                <w:szCs w:val="22"/>
                <w:rtl/>
              </w:rPr>
              <w:t>47א. (א)</w:t>
            </w:r>
            <w:r w:rsidRPr="00A61BCB">
              <w:rPr>
                <w:rFonts w:hint="cs"/>
                <w:sz w:val="22"/>
                <w:szCs w:val="22"/>
                <w:rtl/>
              </w:rPr>
              <w:tab/>
              <w:t>חבר מוסד תכנון לא ישתתף בדיון ובהצבעה בקשר להתנגדות או לערר, למעט בהליך לפי סעיף 62(ד), אם נתקיים בו אחד מאלה:</w:t>
            </w:r>
          </w:p>
          <w:p w:rsidR="0025709E" w:rsidRPr="00A61BCB" w:rsidRDefault="0025709E" w:rsidP="00354D68">
            <w:pPr>
              <w:pStyle w:val="a7"/>
              <w:spacing w:after="120" w:line="240" w:lineRule="auto"/>
              <w:ind w:left="0" w:right="0"/>
              <w:rPr>
                <w:sz w:val="22"/>
                <w:szCs w:val="22"/>
                <w:rtl/>
              </w:rPr>
            </w:pPr>
            <w:r w:rsidRPr="00A61BCB">
              <w:rPr>
                <w:rFonts w:hint="cs"/>
                <w:sz w:val="22"/>
                <w:szCs w:val="22"/>
                <w:rtl/>
              </w:rPr>
              <w:t>(1)</w:t>
            </w:r>
            <w:r w:rsidRPr="00A61BCB">
              <w:rPr>
                <w:rFonts w:hint="cs"/>
                <w:sz w:val="22"/>
                <w:szCs w:val="22"/>
                <w:rtl/>
              </w:rPr>
              <w:tab/>
              <w:t>הוא נציג של גוף אשר יזם את התכנית המובאת לדיון, או של גוף אשר הגיש התנגדות או ערר לאותה תכנית;</w:t>
            </w:r>
          </w:p>
          <w:p w:rsidR="0025709E" w:rsidRPr="00A61BCB" w:rsidRDefault="0025709E" w:rsidP="00354D68">
            <w:pPr>
              <w:pStyle w:val="a7"/>
              <w:spacing w:after="120" w:line="240" w:lineRule="auto"/>
              <w:ind w:left="0" w:right="0"/>
              <w:rPr>
                <w:sz w:val="22"/>
                <w:szCs w:val="22"/>
              </w:rPr>
            </w:pPr>
            <w:r w:rsidRPr="00A61BCB">
              <w:rPr>
                <w:rFonts w:hint="cs"/>
                <w:sz w:val="22"/>
                <w:szCs w:val="22"/>
                <w:rtl/>
              </w:rPr>
              <w:t>(2)</w:t>
            </w:r>
            <w:r w:rsidRPr="00A61BCB">
              <w:rPr>
                <w:rFonts w:hint="cs"/>
                <w:sz w:val="22"/>
                <w:szCs w:val="22"/>
                <w:rtl/>
              </w:rPr>
              <w:tab/>
              <w:t>הוא נטל, כחבר, חלק בהחלטת אותו מוסד התכנון שעל החלטתו הוגשו ההתנגדות או הערר".</w:t>
            </w:r>
          </w:p>
        </w:tc>
      </w:tr>
    </w:tbl>
    <w:p w:rsidR="0025709E" w:rsidRPr="00861A24" w:rsidRDefault="0025709E" w:rsidP="0025709E">
      <w:pPr>
        <w:pStyle w:val="a7"/>
        <w:spacing w:line="240" w:lineRule="auto"/>
        <w:ind w:left="0" w:right="-142"/>
        <w:rPr>
          <w:sz w:val="22"/>
          <w:szCs w:val="22"/>
          <w:rtl/>
        </w:rPr>
      </w:pPr>
      <w:r w:rsidRPr="00861A24">
        <w:rPr>
          <w:rFonts w:hint="cs"/>
          <w:sz w:val="22"/>
          <w:szCs w:val="22"/>
          <w:rtl/>
        </w:rPr>
        <w:t xml:space="preserve">אין חולק כי הוראות סעיף 47א הנ"ל אינן חלות ישירות בענייננו, שכן הסעיף חל על חברים במוסדות תכנון ואילו </w:t>
      </w:r>
      <w:r w:rsidRPr="00BC463A">
        <w:rPr>
          <w:rFonts w:hint="cs"/>
          <w:sz w:val="22"/>
          <w:szCs w:val="22"/>
          <w:highlight w:val="yellow"/>
          <w:rtl/>
        </w:rPr>
        <w:t>מתכננת המחוז</w:t>
      </w:r>
      <w:r w:rsidRPr="00861A24">
        <w:rPr>
          <w:rFonts w:hint="cs"/>
          <w:sz w:val="22"/>
          <w:szCs w:val="22"/>
          <w:rtl/>
        </w:rPr>
        <w:t xml:space="preserve"> אינה חברה בולנת"ע. </w:t>
      </w:r>
      <w:r w:rsidRPr="00BC463A">
        <w:rPr>
          <w:rFonts w:hint="cs"/>
          <w:sz w:val="22"/>
          <w:szCs w:val="22"/>
          <w:highlight w:val="yellow"/>
          <w:rtl/>
        </w:rPr>
        <w:t xml:space="preserve">עם זאת, בפסיקתנו נקבע כי אין לפרש דבר חקיקה הקובע איסורים ספציפיים על ניגוד עניינים בפעולותיה של רשות ציבורית מסוימת </w:t>
      </w:r>
      <w:r w:rsidRPr="00986266">
        <w:rPr>
          <w:rFonts w:hint="cs"/>
          <w:sz w:val="22"/>
          <w:szCs w:val="22"/>
          <w:rtl/>
        </w:rPr>
        <w:t xml:space="preserve">כ"הסדר שלילי", </w:t>
      </w:r>
      <w:r w:rsidRPr="00BC463A">
        <w:rPr>
          <w:rFonts w:hint="cs"/>
          <w:sz w:val="22"/>
          <w:szCs w:val="22"/>
          <w:highlight w:val="yellow"/>
          <w:rtl/>
        </w:rPr>
        <w:t>המונע את תחולתו של הכלל בדבר איסור המצאות במצב של ניגוד עניינים במקרים נוספים</w:t>
      </w:r>
      <w:r w:rsidRPr="00861A24">
        <w:rPr>
          <w:rFonts w:hint="cs"/>
          <w:sz w:val="22"/>
          <w:szCs w:val="22"/>
          <w:rtl/>
        </w:rPr>
        <w:t xml:space="preserve"> (ראו עניין סיעת הליכוד, בעמ' 573; </w:t>
      </w:r>
      <w:hyperlink r:id="rId431" w:history="1">
        <w:r w:rsidRPr="00861A24">
          <w:rPr>
            <w:rStyle w:val="Hyperlink"/>
            <w:sz w:val="22"/>
            <w:szCs w:val="22"/>
            <w:rtl/>
          </w:rPr>
          <w:t>בג"ץ 595/89</w:t>
        </w:r>
      </w:hyperlink>
      <w:r w:rsidRPr="00861A24">
        <w:rPr>
          <w:rFonts w:hint="cs"/>
          <w:sz w:val="22"/>
          <w:szCs w:val="22"/>
          <w:rtl/>
        </w:rPr>
        <w:t xml:space="preserve"> הנ"ל, בעמ' 415-414). ...</w:t>
      </w:r>
    </w:p>
    <w:p w:rsidR="0025709E" w:rsidRPr="00861A24" w:rsidRDefault="0025709E" w:rsidP="0025709E">
      <w:pPr>
        <w:pStyle w:val="a7"/>
        <w:spacing w:after="120" w:line="240" w:lineRule="auto"/>
        <w:ind w:left="0" w:right="-142"/>
        <w:rPr>
          <w:sz w:val="22"/>
          <w:szCs w:val="22"/>
          <w:rtl/>
        </w:rPr>
      </w:pPr>
      <w:r w:rsidRPr="00861A24">
        <w:rPr>
          <w:rFonts w:hint="cs"/>
          <w:sz w:val="22"/>
          <w:szCs w:val="22"/>
          <w:rtl/>
        </w:rPr>
        <w:t xml:space="preserve">בכל הנוגע לחשיבות הייעוץ המקצועי אותו סיפקה מתכננת המחוז לולנת"ע, אכן נקבע בפסיקתו של בית משפט זה כי </w:t>
      </w:r>
      <w:r w:rsidRPr="00BC463A">
        <w:rPr>
          <w:rFonts w:hint="cs"/>
          <w:sz w:val="22"/>
          <w:szCs w:val="22"/>
          <w:highlight w:val="yellow"/>
          <w:rtl/>
        </w:rPr>
        <w:t>נסיבות של "צורך"</w:t>
      </w:r>
      <w:r w:rsidRPr="00861A24">
        <w:rPr>
          <w:rFonts w:hint="cs"/>
          <w:sz w:val="22"/>
          <w:szCs w:val="22"/>
          <w:rtl/>
        </w:rPr>
        <w:t xml:space="preserve"> עשויות לעיתים (נדירות) לגבור על האיסור בדבר הימצאותו של עובד ציבור בניגוד עניינים (ראו עניין </w:t>
      </w:r>
      <w:r w:rsidRPr="00861A24">
        <w:rPr>
          <w:rFonts w:cs="Miriam" w:hint="cs"/>
          <w:sz w:val="22"/>
          <w:szCs w:val="22"/>
          <w:rtl/>
        </w:rPr>
        <w:t>"סיעת הליכוד"</w:t>
      </w:r>
      <w:r w:rsidRPr="00861A24">
        <w:rPr>
          <w:rFonts w:hint="cs"/>
          <w:sz w:val="22"/>
          <w:szCs w:val="22"/>
          <w:rtl/>
        </w:rPr>
        <w:t xml:space="preserve">, בעמ' 576-575). עם זאת, כאשר מתעוררת אפשרות כזו, הנטל להראות כי מתקיימות במקרה פלוני נסיבות של "צורך", הגוברות על הכלל בדבר איסור ניגוד עניינים, מוטל על הטוען לקיומן של נסיבות מעין אלה. </w:t>
      </w:r>
      <w:r w:rsidRPr="00BC463A">
        <w:rPr>
          <w:rFonts w:hint="cs"/>
          <w:sz w:val="22"/>
          <w:szCs w:val="22"/>
          <w:highlight w:val="yellow"/>
          <w:rtl/>
        </w:rPr>
        <w:t>במקרה דנן המדינה לא עמדה בנטל זה, שכן העותרים הצביעו על האפשרות העומדת בפני הולנת"ע בהיותה ועדת משנה של המועצה הארצית לקבל סיוע תכנוני-מקצועי ממינהל התכנון במשרד הפנים והמדינה לא הסבירה מדוע אין ניתן להסתפק בסיוע תכנוני-מקצועי זה.</w:t>
      </w:r>
      <w:r w:rsidRPr="00861A24">
        <w:rPr>
          <w:rFonts w:hint="cs"/>
          <w:sz w:val="22"/>
          <w:szCs w:val="22"/>
          <w:rtl/>
        </w:rPr>
        <w:t xml:space="preserve"> ...</w:t>
      </w:r>
    </w:p>
    <w:p w:rsidR="0025709E" w:rsidRDefault="0025709E" w:rsidP="0025709E">
      <w:pPr>
        <w:pStyle w:val="a7"/>
        <w:spacing w:after="120" w:line="240" w:lineRule="auto"/>
        <w:ind w:left="0"/>
        <w:rPr>
          <w:sz w:val="22"/>
          <w:szCs w:val="22"/>
          <w:rtl/>
        </w:rPr>
      </w:pPr>
      <w:r>
        <w:rPr>
          <w:rFonts w:hint="cs"/>
          <w:rtl/>
        </w:rPr>
        <w:t>=</w:t>
      </w:r>
      <w:r>
        <w:rPr>
          <w:rFonts w:hint="cs"/>
          <w:sz w:val="22"/>
          <w:szCs w:val="22"/>
          <w:rtl/>
        </w:rPr>
        <w:t>=-=</w:t>
      </w:r>
    </w:p>
    <w:p w:rsidR="0025709E" w:rsidRDefault="0025709E" w:rsidP="0025709E">
      <w:pPr>
        <w:pStyle w:val="a7"/>
        <w:spacing w:after="120" w:line="240" w:lineRule="auto"/>
        <w:ind w:left="0"/>
        <w:rPr>
          <w:sz w:val="22"/>
          <w:szCs w:val="22"/>
          <w:rtl/>
        </w:rPr>
      </w:pPr>
    </w:p>
    <w:p w:rsidR="0025709E" w:rsidRPr="000F211E" w:rsidRDefault="0025709E" w:rsidP="0025709E">
      <w:pPr>
        <w:rPr>
          <w:rFonts w:ascii="Arial" w:hAnsi="Arial" w:cs="Arial"/>
          <w:sz w:val="22"/>
          <w:szCs w:val="22"/>
          <w:rtl/>
        </w:rPr>
      </w:pPr>
      <w:r w:rsidRPr="000F211E">
        <w:rPr>
          <w:rFonts w:ascii="Arial" w:hAnsi="Arial" w:cs="Arial"/>
          <w:sz w:val="22"/>
          <w:szCs w:val="22"/>
          <w:highlight w:val="yellow"/>
          <w:u w:val="single"/>
          <w:rtl/>
        </w:rPr>
        <w:t xml:space="preserve">האם בכל סיטואציה של ניגוד עניינים עפ"י המשפט המנהלי תופיע חובה על הרשות שלא לפעול או </w:t>
      </w:r>
      <w:r>
        <w:rPr>
          <w:rFonts w:ascii="Arial" w:hAnsi="Arial" w:cs="Arial" w:hint="cs"/>
          <w:sz w:val="22"/>
          <w:szCs w:val="22"/>
          <w:highlight w:val="yellow"/>
          <w:u w:val="single"/>
          <w:rtl/>
        </w:rPr>
        <w:t xml:space="preserve">(אם פעלה) תיפסל </w:t>
      </w:r>
      <w:r w:rsidRPr="000F211E">
        <w:rPr>
          <w:rFonts w:ascii="Arial" w:hAnsi="Arial" w:cs="Arial"/>
          <w:sz w:val="22"/>
          <w:szCs w:val="22"/>
          <w:highlight w:val="yellow"/>
          <w:u w:val="single"/>
          <w:rtl/>
        </w:rPr>
        <w:t>החלטתה</w:t>
      </w:r>
      <w:r w:rsidRPr="000F211E">
        <w:rPr>
          <w:rFonts w:ascii="Arial" w:hAnsi="Arial" w:cs="Arial"/>
          <w:sz w:val="22"/>
          <w:szCs w:val="22"/>
          <w:highlight w:val="yellow"/>
          <w:rtl/>
        </w:rPr>
        <w:t>?</w:t>
      </w:r>
    </w:p>
    <w:p w:rsidR="0025709E" w:rsidRDefault="0025709E" w:rsidP="0025709E">
      <w:pPr>
        <w:rPr>
          <w:sz w:val="20"/>
          <w:szCs w:val="20"/>
          <w:rtl/>
        </w:rPr>
      </w:pPr>
    </w:p>
    <w:p w:rsidR="0025709E" w:rsidRDefault="0025709E" w:rsidP="0025709E">
      <w:pPr>
        <w:rPr>
          <w:sz w:val="20"/>
          <w:szCs w:val="20"/>
          <w:rtl/>
        </w:rPr>
      </w:pPr>
      <w:r w:rsidRPr="00A61BCB">
        <w:rPr>
          <w:sz w:val="20"/>
          <w:szCs w:val="20"/>
          <w:rtl/>
        </w:rPr>
        <w:t xml:space="preserve">התשובה שלילית. </w:t>
      </w:r>
    </w:p>
    <w:p w:rsidR="0025709E" w:rsidRDefault="0025709E" w:rsidP="0025709E">
      <w:pPr>
        <w:ind w:left="720" w:hanging="720"/>
        <w:rPr>
          <w:sz w:val="20"/>
          <w:szCs w:val="20"/>
          <w:rtl/>
        </w:rPr>
      </w:pPr>
      <w:r w:rsidRPr="00A61BCB">
        <w:rPr>
          <w:sz w:val="20"/>
          <w:szCs w:val="20"/>
          <w:rtl/>
        </w:rPr>
        <w:t xml:space="preserve">א. </w:t>
      </w:r>
      <w:r>
        <w:rPr>
          <w:rFonts w:hint="cs"/>
          <w:sz w:val="20"/>
          <w:szCs w:val="20"/>
          <w:rtl/>
        </w:rPr>
        <w:t xml:space="preserve">יש </w:t>
      </w:r>
      <w:r w:rsidRPr="00A61BCB">
        <w:rPr>
          <w:sz w:val="20"/>
          <w:szCs w:val="20"/>
          <w:rtl/>
        </w:rPr>
        <w:t xml:space="preserve">מצבים חריגים של </w:t>
      </w:r>
      <w:r w:rsidRPr="00A61BCB">
        <w:rPr>
          <w:b/>
          <w:bCs/>
          <w:sz w:val="20"/>
          <w:szCs w:val="20"/>
          <w:rtl/>
        </w:rPr>
        <w:t>צורך/כורח</w:t>
      </w:r>
      <w:r w:rsidRPr="00A61BCB">
        <w:rPr>
          <w:sz w:val="20"/>
          <w:szCs w:val="20"/>
          <w:rtl/>
        </w:rPr>
        <w:t xml:space="preserve"> [</w:t>
      </w:r>
      <w:r>
        <w:rPr>
          <w:rFonts w:hint="cs"/>
          <w:sz w:val="20"/>
          <w:szCs w:val="20"/>
          <w:rtl/>
        </w:rPr>
        <w:t xml:space="preserve">ראו דוגמא </w:t>
      </w:r>
      <w:r w:rsidRPr="00A61BCB">
        <w:rPr>
          <w:sz w:val="20"/>
          <w:szCs w:val="20"/>
          <w:rtl/>
        </w:rPr>
        <w:t>להלן</w:t>
      </w:r>
      <w:r>
        <w:rPr>
          <w:rFonts w:hint="cs"/>
          <w:sz w:val="20"/>
          <w:szCs w:val="20"/>
          <w:rtl/>
        </w:rPr>
        <w:t xml:space="preserve">, וראו את ההתייחסות לעיל בפס"ד </w:t>
      </w:r>
      <w:r w:rsidRPr="00BC463A">
        <w:rPr>
          <w:rFonts w:hint="cs"/>
          <w:b/>
          <w:bCs/>
          <w:sz w:val="20"/>
          <w:szCs w:val="20"/>
          <w:rtl/>
        </w:rPr>
        <w:t>רמות</w:t>
      </w:r>
      <w:r>
        <w:rPr>
          <w:rFonts w:hint="cs"/>
          <w:b/>
          <w:bCs/>
          <w:sz w:val="20"/>
          <w:szCs w:val="20"/>
          <w:rtl/>
        </w:rPr>
        <w:t xml:space="preserve">, </w:t>
      </w:r>
      <w:r w:rsidRPr="00E819EC">
        <w:rPr>
          <w:rFonts w:hint="cs"/>
          <w:sz w:val="20"/>
          <w:szCs w:val="20"/>
          <w:rtl/>
        </w:rPr>
        <w:t xml:space="preserve">ובעיקר את הדוגמא המופיעה </w:t>
      </w:r>
      <w:r>
        <w:rPr>
          <w:rFonts w:hint="cs"/>
          <w:sz w:val="20"/>
          <w:szCs w:val="20"/>
          <w:rtl/>
        </w:rPr>
        <w:t xml:space="preserve">לעיל </w:t>
      </w:r>
      <w:r w:rsidRPr="00E819EC">
        <w:rPr>
          <w:rFonts w:hint="cs"/>
          <w:sz w:val="20"/>
          <w:szCs w:val="20"/>
          <w:rtl/>
        </w:rPr>
        <w:t>ב</w:t>
      </w:r>
      <w:r>
        <w:rPr>
          <w:rFonts w:hint="cs"/>
          <w:sz w:val="20"/>
          <w:szCs w:val="20"/>
          <w:rtl/>
        </w:rPr>
        <w:t>פסקה 11 ב</w:t>
      </w:r>
      <w:r w:rsidRPr="00E819EC">
        <w:rPr>
          <w:rFonts w:hint="cs"/>
          <w:sz w:val="20"/>
          <w:szCs w:val="20"/>
          <w:rtl/>
        </w:rPr>
        <w:t>עניין</w:t>
      </w:r>
      <w:r>
        <w:rPr>
          <w:rFonts w:hint="cs"/>
          <w:b/>
          <w:bCs/>
          <w:sz w:val="20"/>
          <w:szCs w:val="20"/>
          <w:rtl/>
        </w:rPr>
        <w:t xml:space="preserve"> סיעת הליכוד</w:t>
      </w:r>
      <w:r w:rsidRPr="00A61BCB">
        <w:rPr>
          <w:sz w:val="20"/>
          <w:szCs w:val="20"/>
          <w:rtl/>
        </w:rPr>
        <w:t xml:space="preserve">]. </w:t>
      </w:r>
    </w:p>
    <w:p w:rsidR="0025709E" w:rsidRPr="00A61BCB" w:rsidRDefault="0025709E" w:rsidP="0025709E">
      <w:pPr>
        <w:ind w:left="720" w:hanging="720"/>
        <w:rPr>
          <w:sz w:val="20"/>
          <w:szCs w:val="20"/>
          <w:rtl/>
        </w:rPr>
      </w:pPr>
      <w:r w:rsidRPr="00A61BCB">
        <w:rPr>
          <w:sz w:val="20"/>
          <w:szCs w:val="20"/>
          <w:rtl/>
        </w:rPr>
        <w:t xml:space="preserve">ב. קיים גם מצב נוסף של </w:t>
      </w:r>
      <w:r w:rsidRPr="00A61BCB">
        <w:rPr>
          <w:b/>
          <w:bCs/>
          <w:sz w:val="20"/>
          <w:szCs w:val="20"/>
          <w:rtl/>
        </w:rPr>
        <w:t>"זוטי דברים"</w:t>
      </w:r>
      <w:r w:rsidRPr="00A61BCB">
        <w:rPr>
          <w:sz w:val="20"/>
          <w:szCs w:val="20"/>
          <w:rtl/>
        </w:rPr>
        <w:t xml:space="preserve">. למשל, אם </w:t>
      </w:r>
      <w:r>
        <w:rPr>
          <w:rFonts w:hint="cs"/>
          <w:sz w:val="20"/>
          <w:szCs w:val="20"/>
          <w:rtl/>
        </w:rPr>
        <w:t>מי שמשמש כ</w:t>
      </w:r>
      <w:r w:rsidRPr="00A61BCB">
        <w:rPr>
          <w:sz w:val="20"/>
          <w:szCs w:val="20"/>
          <w:rtl/>
        </w:rPr>
        <w:t>נגיד בנק ישראל י</w:t>
      </w:r>
      <w:r>
        <w:rPr>
          <w:rFonts w:hint="cs"/>
          <w:sz w:val="20"/>
          <w:szCs w:val="20"/>
          <w:rtl/>
        </w:rPr>
        <w:t>קנה לפתע אחוזי בעלות ב</w:t>
      </w:r>
      <w:r w:rsidRPr="00A61BCB">
        <w:rPr>
          <w:sz w:val="20"/>
          <w:szCs w:val="20"/>
          <w:rtl/>
        </w:rPr>
        <w:t>בנק, יפסלו אותו לאור ניגוד עניינים</w:t>
      </w:r>
      <w:r>
        <w:rPr>
          <w:rFonts w:hint="cs"/>
          <w:sz w:val="20"/>
          <w:szCs w:val="20"/>
          <w:rtl/>
        </w:rPr>
        <w:t>;</w:t>
      </w:r>
      <w:r w:rsidRPr="00A61BCB">
        <w:rPr>
          <w:sz w:val="20"/>
          <w:szCs w:val="20"/>
          <w:rtl/>
        </w:rPr>
        <w:t xml:space="preserve"> אבל לא יפסלו אותו בגלל שהוא בעלים של חשבון עו"ש. ניגוד העניינים במקרה זה הוא ניגוד קלוש.</w:t>
      </w:r>
    </w:p>
    <w:p w:rsidR="0025709E" w:rsidRPr="00A61BCB" w:rsidRDefault="0025709E" w:rsidP="0025709E">
      <w:pPr>
        <w:rPr>
          <w:sz w:val="20"/>
          <w:szCs w:val="20"/>
          <w:rtl/>
        </w:rPr>
      </w:pPr>
    </w:p>
    <w:p w:rsidR="0025709E" w:rsidRPr="00A61BCB" w:rsidRDefault="0025709E" w:rsidP="0025709E">
      <w:pPr>
        <w:rPr>
          <w:sz w:val="20"/>
          <w:szCs w:val="20"/>
          <w:rtl/>
        </w:rPr>
      </w:pPr>
      <w:r w:rsidRPr="00A61BCB">
        <w:rPr>
          <w:sz w:val="20"/>
          <w:szCs w:val="20"/>
          <w:rtl/>
        </w:rPr>
        <w:t xml:space="preserve">צריך לזכור שכללי הצדק הטבעי עצמם אינם מנוסחים ככללים מוחלטים. </w:t>
      </w:r>
      <w:r>
        <w:rPr>
          <w:rFonts w:hint="cs"/>
          <w:sz w:val="20"/>
          <w:szCs w:val="20"/>
          <w:rtl/>
        </w:rPr>
        <w:t>[</w:t>
      </w:r>
      <w:r w:rsidRPr="00A61BCB">
        <w:rPr>
          <w:sz w:val="20"/>
          <w:szCs w:val="20"/>
          <w:rtl/>
        </w:rPr>
        <w:t>ישנם מקרים שבהם אין חובה</w:t>
      </w:r>
      <w:r>
        <w:rPr>
          <w:rFonts w:hint="cs"/>
          <w:sz w:val="20"/>
          <w:szCs w:val="20"/>
          <w:rtl/>
        </w:rPr>
        <w:t>, למשל,</w:t>
      </w:r>
      <w:r w:rsidRPr="00A61BCB">
        <w:rPr>
          <w:sz w:val="20"/>
          <w:szCs w:val="20"/>
          <w:rtl/>
        </w:rPr>
        <w:t xml:space="preserve"> לתת זכות טיעון </w:t>
      </w:r>
      <w:r>
        <w:rPr>
          <w:rFonts w:hint="cs"/>
          <w:sz w:val="20"/>
          <w:szCs w:val="20"/>
          <w:rtl/>
        </w:rPr>
        <w:t xml:space="preserve">מראש, או זכות טיעון מקיפה, </w:t>
      </w:r>
      <w:r w:rsidRPr="00A61BCB">
        <w:rPr>
          <w:sz w:val="20"/>
          <w:szCs w:val="20"/>
          <w:rtl/>
        </w:rPr>
        <w:t>וכו'</w:t>
      </w:r>
      <w:r>
        <w:rPr>
          <w:rFonts w:hint="cs"/>
          <w:sz w:val="20"/>
          <w:szCs w:val="20"/>
          <w:rtl/>
        </w:rPr>
        <w:t>]</w:t>
      </w:r>
      <w:r w:rsidRPr="00A61BCB">
        <w:rPr>
          <w:sz w:val="20"/>
          <w:szCs w:val="20"/>
          <w:rtl/>
        </w:rPr>
        <w:t xml:space="preserve">. </w:t>
      </w:r>
      <w:r>
        <w:rPr>
          <w:rFonts w:hint="cs"/>
          <w:sz w:val="20"/>
          <w:szCs w:val="20"/>
          <w:rtl/>
        </w:rPr>
        <w:t xml:space="preserve">גם הכלל של איסור ניגוד עניינים אינו מוחלט: ראו דוגמא הנוגעת לא לגורם מינהלי אלא לגורם שיפוטי </w:t>
      </w:r>
      <w:r>
        <w:rPr>
          <w:sz w:val="20"/>
          <w:szCs w:val="20"/>
          <w:rtl/>
        </w:rPr>
        <w:t>–</w:t>
      </w:r>
      <w:r>
        <w:rPr>
          <w:rFonts w:hint="cs"/>
          <w:sz w:val="20"/>
          <w:szCs w:val="20"/>
          <w:rtl/>
        </w:rPr>
        <w:t xml:space="preserve"> </w:t>
      </w:r>
      <w:r w:rsidRPr="00A61BCB">
        <w:rPr>
          <w:sz w:val="20"/>
          <w:szCs w:val="20"/>
          <w:rtl/>
        </w:rPr>
        <w:t xml:space="preserve">עתירה לבג"צ בעניינים שנוגעים לבית המשפט העליון עצמו. ברור שיש ניגוד עניינים. אבל, מכיוון שבכל זאת צריך לשפוט בעניין, בעתירה מהסוג הזה כן יאפשרו לשופטים לשפוט, כי צריך לזכור (וזה עקרון חשוב מאוד, שהוזכר גם בקשר להליכי המנהל) הליכי המנהל מטרתם היא לאפשר לרשויות לקבל את ההחלטות הטובות ביותר, </w:t>
      </w:r>
      <w:r>
        <w:rPr>
          <w:rFonts w:hint="cs"/>
          <w:sz w:val="20"/>
          <w:szCs w:val="20"/>
          <w:rtl/>
        </w:rPr>
        <w:t>צריך להיזה לפיכך מ</w:t>
      </w:r>
      <w:r w:rsidRPr="00A61BCB">
        <w:rPr>
          <w:sz w:val="20"/>
          <w:szCs w:val="20"/>
          <w:rtl/>
        </w:rPr>
        <w:t>מצב ש</w:t>
      </w:r>
      <w:r>
        <w:rPr>
          <w:rFonts w:hint="cs"/>
          <w:sz w:val="20"/>
          <w:szCs w:val="20"/>
          <w:rtl/>
        </w:rPr>
        <w:t xml:space="preserve">בו </w:t>
      </w:r>
      <w:r w:rsidRPr="00A61BCB">
        <w:rPr>
          <w:sz w:val="20"/>
          <w:szCs w:val="20"/>
          <w:rtl/>
        </w:rPr>
        <w:t>כתוצאה מ</w:t>
      </w:r>
      <w:r>
        <w:rPr>
          <w:rFonts w:hint="cs"/>
          <w:sz w:val="20"/>
          <w:szCs w:val="20"/>
          <w:rtl/>
        </w:rPr>
        <w:t>חובות החלות על המינהל תהא ה</w:t>
      </w:r>
      <w:r w:rsidRPr="00A61BCB">
        <w:rPr>
          <w:sz w:val="20"/>
          <w:szCs w:val="20"/>
          <w:rtl/>
        </w:rPr>
        <w:t xml:space="preserve">רשות משותקת. </w:t>
      </w:r>
      <w:r>
        <w:rPr>
          <w:rFonts w:hint="cs"/>
          <w:sz w:val="20"/>
          <w:szCs w:val="20"/>
          <w:rtl/>
        </w:rPr>
        <w:t xml:space="preserve">יש לחפש </w:t>
      </w:r>
      <w:r w:rsidRPr="00A61BCB">
        <w:rPr>
          <w:sz w:val="20"/>
          <w:szCs w:val="20"/>
          <w:rtl/>
        </w:rPr>
        <w:t>מענה מידתי</w:t>
      </w:r>
      <w:r>
        <w:rPr>
          <w:rFonts w:hint="cs"/>
          <w:sz w:val="20"/>
          <w:szCs w:val="20"/>
          <w:rtl/>
        </w:rPr>
        <w:t xml:space="preserve"> לקושי המתגלע כאן</w:t>
      </w:r>
      <w:r w:rsidRPr="00A61BCB">
        <w:rPr>
          <w:sz w:val="20"/>
          <w:szCs w:val="20"/>
          <w:rtl/>
        </w:rPr>
        <w:t xml:space="preserve">. </w:t>
      </w:r>
    </w:p>
    <w:p w:rsidR="0025709E" w:rsidRPr="00A61BCB" w:rsidRDefault="0025709E" w:rsidP="0025709E">
      <w:pPr>
        <w:rPr>
          <w:sz w:val="20"/>
          <w:szCs w:val="20"/>
          <w:rtl/>
        </w:rPr>
      </w:pPr>
      <w:r w:rsidRPr="00A61BCB">
        <w:rPr>
          <w:sz w:val="20"/>
          <w:szCs w:val="20"/>
          <w:rtl/>
        </w:rPr>
        <w:t xml:space="preserve">לדוגמא: בבג"צ 5771/93 </w:t>
      </w:r>
      <w:r w:rsidRPr="00A61BCB">
        <w:rPr>
          <w:b/>
          <w:bCs/>
          <w:sz w:val="20"/>
          <w:szCs w:val="20"/>
          <w:rtl/>
        </w:rPr>
        <w:t>ציטרין נ' שר המשפטים</w:t>
      </w:r>
      <w:r w:rsidRPr="00A61BCB">
        <w:rPr>
          <w:sz w:val="20"/>
          <w:szCs w:val="20"/>
          <w:rtl/>
        </w:rPr>
        <w:t xml:space="preserve"> הוגשה עתירה כנגד נוהלי הועדה לבחירת שופטים (ועדה בה חברים שלשה משופטי בית המשפט העליון).  שלושת השופטים שישבו בוועדה לבחירת שופטים לא ישבו בהרכב</w:t>
      </w:r>
      <w:r>
        <w:rPr>
          <w:rFonts w:hint="cs"/>
          <w:sz w:val="20"/>
          <w:szCs w:val="20"/>
          <w:rtl/>
        </w:rPr>
        <w:t xml:space="preserve"> שדן בעתירה</w:t>
      </w:r>
      <w:r w:rsidRPr="00A61BCB">
        <w:rPr>
          <w:sz w:val="20"/>
          <w:szCs w:val="20"/>
          <w:rtl/>
        </w:rPr>
        <w:t xml:space="preserve">, וגם שופטים שישבו </w:t>
      </w:r>
      <w:r>
        <w:rPr>
          <w:rFonts w:hint="cs"/>
          <w:sz w:val="20"/>
          <w:szCs w:val="20"/>
          <w:rtl/>
        </w:rPr>
        <w:t xml:space="preserve">בעבר </w:t>
      </w:r>
      <w:r w:rsidRPr="00A61BCB">
        <w:rPr>
          <w:sz w:val="20"/>
          <w:szCs w:val="20"/>
          <w:rtl/>
        </w:rPr>
        <w:t xml:space="preserve">בוועדה לא ישבו </w:t>
      </w:r>
      <w:r>
        <w:rPr>
          <w:rFonts w:hint="cs"/>
          <w:sz w:val="20"/>
          <w:szCs w:val="20"/>
          <w:rtl/>
        </w:rPr>
        <w:t>בהרכב</w:t>
      </w:r>
      <w:r w:rsidRPr="00A61BCB">
        <w:rPr>
          <w:sz w:val="20"/>
          <w:szCs w:val="20"/>
          <w:rtl/>
        </w:rPr>
        <w:t xml:space="preserve">. עשו סינון ומצאו שני שופטים קבועים של ביהמ"ש העליון שלא ישבו בוועדה אף פעם והם שפטו וגם לקחו את </w:t>
      </w:r>
      <w:r>
        <w:rPr>
          <w:rFonts w:hint="cs"/>
          <w:sz w:val="20"/>
          <w:szCs w:val="20"/>
          <w:rtl/>
        </w:rPr>
        <w:t xml:space="preserve">השופט </w:t>
      </w:r>
      <w:r w:rsidRPr="00A61BCB">
        <w:rPr>
          <w:sz w:val="20"/>
          <w:szCs w:val="20"/>
          <w:rtl/>
        </w:rPr>
        <w:t>שלמה לוין, שישב בוועדה ל</w:t>
      </w:r>
      <w:r>
        <w:rPr>
          <w:rFonts w:hint="cs"/>
          <w:sz w:val="20"/>
          <w:szCs w:val="20"/>
          <w:rtl/>
        </w:rPr>
        <w:t>בחירת</w:t>
      </w:r>
      <w:r w:rsidRPr="00A61BCB">
        <w:rPr>
          <w:sz w:val="20"/>
          <w:szCs w:val="20"/>
          <w:rtl/>
        </w:rPr>
        <w:t xml:space="preserve"> שופטים לפני הכי הרבה זמן. </w:t>
      </w:r>
    </w:p>
    <w:p w:rsidR="0025709E" w:rsidRPr="00A61BCB" w:rsidRDefault="0025709E" w:rsidP="0025709E">
      <w:pPr>
        <w:tabs>
          <w:tab w:val="left" w:pos="423"/>
        </w:tabs>
        <w:rPr>
          <w:sz w:val="20"/>
          <w:szCs w:val="20"/>
          <w:rtl/>
        </w:rPr>
      </w:pPr>
    </w:p>
    <w:p w:rsidR="0025709E" w:rsidRPr="00A61BCB" w:rsidRDefault="0025709E" w:rsidP="0025709E">
      <w:pPr>
        <w:tabs>
          <w:tab w:val="left" w:pos="423"/>
        </w:tabs>
        <w:rPr>
          <w:sz w:val="20"/>
          <w:szCs w:val="20"/>
          <w:rtl/>
        </w:rPr>
      </w:pPr>
      <w:r w:rsidRPr="00A61BCB">
        <w:rPr>
          <w:sz w:val="20"/>
          <w:szCs w:val="20"/>
          <w:rtl/>
        </w:rPr>
        <w:t xml:space="preserve">^אם יש טענה למשוא פנים (והיא ידועה לצד שמשוא הפנים פועל נגדו) – יש לטעון אותה לפני </w:t>
      </w:r>
      <w:r>
        <w:rPr>
          <w:rFonts w:hint="cs"/>
          <w:sz w:val="20"/>
          <w:szCs w:val="20"/>
          <w:rtl/>
        </w:rPr>
        <w:t>שהדיין/ הרשות מחליטה בעניין (לא לחכות לראות מה תהיה ההחלטה, ואז לשלוף את 'קלף' טענת משוא הפנים).</w:t>
      </w:r>
    </w:p>
    <w:p w:rsidR="0025709E" w:rsidRPr="00A61BCB" w:rsidRDefault="0025709E" w:rsidP="0025709E">
      <w:pPr>
        <w:tabs>
          <w:tab w:val="left" w:pos="423"/>
        </w:tabs>
        <w:rPr>
          <w:sz w:val="20"/>
          <w:szCs w:val="20"/>
          <w:rtl/>
        </w:rPr>
      </w:pPr>
    </w:p>
    <w:p w:rsidR="0025709E" w:rsidRDefault="0025709E" w:rsidP="0025709E">
      <w:pPr>
        <w:tabs>
          <w:tab w:val="left" w:pos="423"/>
        </w:tabs>
        <w:rPr>
          <w:sz w:val="20"/>
          <w:szCs w:val="20"/>
          <w:highlight w:val="yellow"/>
          <w:rtl/>
        </w:rPr>
      </w:pPr>
      <w:r w:rsidRPr="00A61BCB">
        <w:rPr>
          <w:sz w:val="20"/>
          <w:szCs w:val="20"/>
          <w:highlight w:val="yellow"/>
          <w:rtl/>
        </w:rPr>
        <w:t>משוא פנים וניגוד עניינים – החשש הוא מפני שיקולים זרים – כאשר החשש אינו זניח [לעניין עוצמת החשש הנדרש, ראו הויכוח בין "החשש הסביר" לבין "האפשרות הממשית"]</w:t>
      </w:r>
      <w:r>
        <w:rPr>
          <w:rFonts w:hint="cs"/>
          <w:sz w:val="20"/>
          <w:szCs w:val="20"/>
          <w:highlight w:val="yellow"/>
          <w:rtl/>
        </w:rPr>
        <w:t>.</w:t>
      </w:r>
      <w:r w:rsidRPr="00A61BCB">
        <w:rPr>
          <w:sz w:val="20"/>
          <w:szCs w:val="20"/>
          <w:highlight w:val="yellow"/>
          <w:rtl/>
        </w:rPr>
        <w:t xml:space="preserve"> </w:t>
      </w:r>
    </w:p>
    <w:p w:rsidR="0025709E" w:rsidRPr="00A61BCB" w:rsidRDefault="0025709E" w:rsidP="0025709E">
      <w:pPr>
        <w:tabs>
          <w:tab w:val="left" w:pos="423"/>
        </w:tabs>
        <w:rPr>
          <w:sz w:val="20"/>
          <w:szCs w:val="20"/>
          <w:rtl/>
        </w:rPr>
      </w:pPr>
      <w:r w:rsidRPr="00A61BCB">
        <w:rPr>
          <w:sz w:val="20"/>
          <w:szCs w:val="20"/>
          <w:highlight w:val="yellow"/>
          <w:rtl/>
        </w:rPr>
        <w:t xml:space="preserve">הנקודה החשובה היא </w:t>
      </w:r>
      <w:r w:rsidRPr="00A61BCB">
        <w:rPr>
          <w:b/>
          <w:bCs/>
          <w:sz w:val="20"/>
          <w:szCs w:val="20"/>
          <w:highlight w:val="yellow"/>
          <w:rtl/>
        </w:rPr>
        <w:t xml:space="preserve">שלא צריך להוכיח </w:t>
      </w:r>
      <w:r w:rsidRPr="00A61BCB">
        <w:rPr>
          <w:sz w:val="20"/>
          <w:szCs w:val="20"/>
          <w:highlight w:val="yellow"/>
          <w:rtl/>
        </w:rPr>
        <w:t>את קיום השיקולים הזרים, ולא נדרש להוכיח כי שיקולים זרים הם שהובילו להחלטה השלטונית.  די בחשש שאיננו מבוטל הנובע מאופי הסיטואציה של ניגוד העניינים, לא עוסקים באופיו/ חוסנו של האדם הספציפי הממלא את התפקיד.  הרציונל: חשוב לא רק שיקול הצדק אלא גם שיקול "מראית הצדק" – אמון הציבור ברשויות השלטוניות.</w:t>
      </w:r>
    </w:p>
    <w:p w:rsidR="0025709E" w:rsidRPr="00A61BCB" w:rsidRDefault="0025709E" w:rsidP="0025709E">
      <w:pPr>
        <w:tabs>
          <w:tab w:val="left" w:pos="423"/>
        </w:tabs>
        <w:rPr>
          <w:sz w:val="20"/>
          <w:szCs w:val="20"/>
          <w:rtl/>
        </w:rPr>
      </w:pPr>
    </w:p>
    <w:p w:rsidR="0025709E" w:rsidRDefault="0025709E" w:rsidP="0025709E">
      <w:pPr>
        <w:tabs>
          <w:tab w:val="left" w:pos="423"/>
        </w:tabs>
        <w:rPr>
          <w:sz w:val="20"/>
          <w:szCs w:val="20"/>
          <w:u w:val="single"/>
          <w:rtl/>
        </w:rPr>
      </w:pPr>
      <w:r w:rsidRPr="00A61BCB">
        <w:rPr>
          <w:sz w:val="20"/>
          <w:szCs w:val="20"/>
          <w:rtl/>
        </w:rPr>
        <w:t xml:space="preserve">לענין עוצמת החשש מפני משוא פנים הנדרשת לצורך מניעת הסיטואציה או ביטול החלטה שנתקבלה: האם קיים הבדל ממשי בין שני סוגי ההתנגשויות הרווחות בסיטואציות של ניגוד אינטרסים? </w:t>
      </w:r>
    </w:p>
    <w:p w:rsidR="0025709E" w:rsidRDefault="0025709E" w:rsidP="0025709E">
      <w:pPr>
        <w:tabs>
          <w:tab w:val="left" w:pos="423"/>
        </w:tabs>
        <w:ind w:left="423"/>
        <w:rPr>
          <w:sz w:val="20"/>
          <w:szCs w:val="20"/>
          <w:rtl/>
        </w:rPr>
      </w:pPr>
      <w:r w:rsidRPr="00A61BCB">
        <w:rPr>
          <w:sz w:val="20"/>
          <w:szCs w:val="20"/>
          <w:u w:val="single"/>
          <w:rtl/>
        </w:rPr>
        <w:t>התנגשות א':</w:t>
      </w:r>
      <w:r w:rsidRPr="00A61BCB">
        <w:rPr>
          <w:sz w:val="20"/>
          <w:szCs w:val="20"/>
          <w:rtl/>
        </w:rPr>
        <w:t xml:space="preserve"> התנגשות בין אינטרס פרטי (של בעל הסמכות) לבין האינטרס השלטוני (מילוי התפקיד כנאמן של הציבור); </w:t>
      </w:r>
      <w:r w:rsidRPr="00A61BCB">
        <w:rPr>
          <w:sz w:val="20"/>
          <w:szCs w:val="20"/>
          <w:u w:val="single"/>
          <w:rtl/>
        </w:rPr>
        <w:t>ב':</w:t>
      </w:r>
      <w:r w:rsidRPr="00A61BCB">
        <w:rPr>
          <w:sz w:val="20"/>
          <w:szCs w:val="20"/>
          <w:rtl/>
        </w:rPr>
        <w:t xml:space="preserve"> התנגשות בין שני אינטרסים שלטוניים.  </w:t>
      </w:r>
    </w:p>
    <w:p w:rsidR="0025709E" w:rsidRPr="00A61BCB" w:rsidRDefault="0025709E" w:rsidP="0025709E">
      <w:pPr>
        <w:tabs>
          <w:tab w:val="left" w:pos="423"/>
        </w:tabs>
        <w:rPr>
          <w:sz w:val="20"/>
          <w:szCs w:val="20"/>
          <w:rtl/>
        </w:rPr>
      </w:pPr>
      <w:r w:rsidRPr="00A61BCB">
        <w:rPr>
          <w:b/>
          <w:bCs/>
          <w:sz w:val="20"/>
          <w:szCs w:val="20"/>
          <w:rtl/>
        </w:rPr>
        <w:t>אין הכרעה ברורה בפסיקה בין אפשרויות שונות שהושמעו</w:t>
      </w:r>
      <w:r w:rsidRPr="00A61BCB">
        <w:rPr>
          <w:sz w:val="20"/>
          <w:szCs w:val="20"/>
          <w:rtl/>
        </w:rPr>
        <w:t>:</w:t>
      </w:r>
    </w:p>
    <w:p w:rsidR="0025709E" w:rsidRPr="00A61BCB" w:rsidRDefault="0025709E" w:rsidP="0014333E">
      <w:pPr>
        <w:numPr>
          <w:ilvl w:val="0"/>
          <w:numId w:val="35"/>
        </w:numPr>
        <w:tabs>
          <w:tab w:val="left" w:pos="423"/>
        </w:tabs>
        <w:rPr>
          <w:sz w:val="20"/>
          <w:szCs w:val="20"/>
          <w:rtl/>
        </w:rPr>
      </w:pPr>
      <w:r w:rsidRPr="00A61BCB">
        <w:rPr>
          <w:sz w:val="20"/>
          <w:szCs w:val="20"/>
          <w:rtl/>
        </w:rPr>
        <w:t>יחול אותו המבחן בשני סוגי ההתנגשויות – מבחן "חשש סביר"</w:t>
      </w:r>
    </w:p>
    <w:p w:rsidR="0025709E" w:rsidRPr="00A61BCB" w:rsidRDefault="0025709E" w:rsidP="0014333E">
      <w:pPr>
        <w:numPr>
          <w:ilvl w:val="0"/>
          <w:numId w:val="35"/>
        </w:numPr>
        <w:tabs>
          <w:tab w:val="left" w:pos="423"/>
        </w:tabs>
        <w:rPr>
          <w:sz w:val="20"/>
          <w:szCs w:val="20"/>
        </w:rPr>
      </w:pPr>
      <w:r w:rsidRPr="00A61BCB">
        <w:rPr>
          <w:sz w:val="20"/>
          <w:szCs w:val="20"/>
          <w:rtl/>
        </w:rPr>
        <w:t>יחול אותו מבחן – "אפשרות ממשית"</w:t>
      </w:r>
    </w:p>
    <w:p w:rsidR="0025709E" w:rsidRPr="00A61BCB" w:rsidRDefault="0025709E" w:rsidP="0014333E">
      <w:pPr>
        <w:numPr>
          <w:ilvl w:val="0"/>
          <w:numId w:val="35"/>
        </w:numPr>
        <w:tabs>
          <w:tab w:val="left" w:pos="423"/>
        </w:tabs>
        <w:rPr>
          <w:sz w:val="20"/>
          <w:szCs w:val="20"/>
        </w:rPr>
      </w:pPr>
      <w:r w:rsidRPr="00A61BCB">
        <w:rPr>
          <w:sz w:val="20"/>
          <w:szCs w:val="20"/>
          <w:rtl/>
        </w:rPr>
        <w:t>יחול מבחן "החשש הסביר" כאשר יש נגיעה אישית/ אינטרס פרטי; ו"אפשרות ממשית" בהתנגשות האחרת</w:t>
      </w:r>
      <w:r>
        <w:rPr>
          <w:rFonts w:hint="cs"/>
          <w:sz w:val="20"/>
          <w:szCs w:val="20"/>
          <w:rtl/>
        </w:rPr>
        <w:t xml:space="preserve"> (בין שני אינטרסים ציבוריים)</w:t>
      </w:r>
    </w:p>
    <w:p w:rsidR="0025709E" w:rsidRPr="00A61BCB" w:rsidRDefault="0025709E" w:rsidP="0014333E">
      <w:pPr>
        <w:numPr>
          <w:ilvl w:val="0"/>
          <w:numId w:val="35"/>
        </w:numPr>
        <w:tabs>
          <w:tab w:val="left" w:pos="423"/>
        </w:tabs>
        <w:rPr>
          <w:sz w:val="20"/>
          <w:szCs w:val="20"/>
          <w:rtl/>
        </w:rPr>
      </w:pPr>
      <w:r w:rsidRPr="00A61BCB">
        <w:rPr>
          <w:sz w:val="20"/>
          <w:szCs w:val="20"/>
          <w:rtl/>
        </w:rPr>
        <w:t xml:space="preserve">יחול אותו מבחן – "אפשרות ממשית", אך אם יש נגיעה אישית, </w:t>
      </w:r>
      <w:r>
        <w:rPr>
          <w:rFonts w:hint="cs"/>
          <w:sz w:val="20"/>
          <w:szCs w:val="20"/>
          <w:rtl/>
        </w:rPr>
        <w:t xml:space="preserve">כי אז </w:t>
      </w:r>
      <w:r w:rsidRPr="00A61BCB">
        <w:rPr>
          <w:sz w:val="20"/>
          <w:szCs w:val="20"/>
          <w:rtl/>
        </w:rPr>
        <w:t>הנטל יעבור לרשות</w:t>
      </w:r>
      <w:r>
        <w:rPr>
          <w:rFonts w:hint="cs"/>
          <w:sz w:val="20"/>
          <w:szCs w:val="20"/>
          <w:rtl/>
        </w:rPr>
        <w:t>/ איש-הרשות שטענת ניגוד העניינים מופנית כלפיו</w:t>
      </w:r>
      <w:r w:rsidRPr="00A61BCB">
        <w:rPr>
          <w:sz w:val="20"/>
          <w:szCs w:val="20"/>
          <w:rtl/>
        </w:rPr>
        <w:t xml:space="preserve"> להוכיח שהחשש אינו מגבש את המבחן</w:t>
      </w:r>
    </w:p>
    <w:p w:rsidR="0025709E" w:rsidRPr="00A61BCB" w:rsidRDefault="0025709E" w:rsidP="0025709E">
      <w:pPr>
        <w:tabs>
          <w:tab w:val="left" w:pos="423"/>
        </w:tabs>
        <w:rPr>
          <w:sz w:val="20"/>
          <w:szCs w:val="20"/>
          <w:rtl/>
        </w:rPr>
      </w:pPr>
    </w:p>
    <w:p w:rsidR="0025709E" w:rsidRDefault="0025709E" w:rsidP="0025709E">
      <w:pPr>
        <w:tabs>
          <w:tab w:val="left" w:pos="423"/>
        </w:tabs>
        <w:rPr>
          <w:rFonts w:cs="FrankRuehl"/>
          <w:rtl/>
        </w:rPr>
      </w:pPr>
      <w:r>
        <w:rPr>
          <w:rFonts w:hint="cs"/>
          <w:sz w:val="20"/>
          <w:szCs w:val="20"/>
          <w:highlight w:val="yellow"/>
          <w:rtl/>
        </w:rPr>
        <w:t xml:space="preserve">כזכור יש </w:t>
      </w:r>
      <w:r w:rsidRPr="00A61BCB">
        <w:rPr>
          <w:sz w:val="20"/>
          <w:szCs w:val="20"/>
          <w:highlight w:val="yellow"/>
          <w:rtl/>
        </w:rPr>
        <w:t>השפע</w:t>
      </w:r>
      <w:r>
        <w:rPr>
          <w:rFonts w:hint="cs"/>
          <w:sz w:val="20"/>
          <w:szCs w:val="20"/>
          <w:highlight w:val="yellow"/>
          <w:rtl/>
        </w:rPr>
        <w:t>ה</w:t>
      </w:r>
      <w:r w:rsidRPr="00A61BCB">
        <w:rPr>
          <w:sz w:val="20"/>
          <w:szCs w:val="20"/>
          <w:highlight w:val="yellow"/>
          <w:rtl/>
        </w:rPr>
        <w:t xml:space="preserve"> </w:t>
      </w:r>
      <w:r>
        <w:rPr>
          <w:rFonts w:hint="cs"/>
          <w:sz w:val="20"/>
          <w:szCs w:val="20"/>
          <w:highlight w:val="yellow"/>
          <w:rtl/>
        </w:rPr>
        <w:t>ל</w:t>
      </w:r>
      <w:r w:rsidRPr="00A61BCB">
        <w:rPr>
          <w:sz w:val="20"/>
          <w:szCs w:val="20"/>
          <w:highlight w:val="yellow"/>
          <w:rtl/>
        </w:rPr>
        <w:t xml:space="preserve">סוג הפעולה השלטונית/ סוג ההחלטה השלטונית.  ההקפדה הגדולה יותר עם פעולה </w:t>
      </w:r>
      <w:r>
        <w:rPr>
          <w:rFonts w:hint="cs"/>
          <w:sz w:val="20"/>
          <w:szCs w:val="20"/>
          <w:highlight w:val="yellow"/>
          <w:rtl/>
        </w:rPr>
        <w:t xml:space="preserve">מינהלית שהיא </w:t>
      </w:r>
      <w:r w:rsidRPr="00A61BCB">
        <w:rPr>
          <w:sz w:val="20"/>
          <w:szCs w:val="20"/>
          <w:highlight w:val="yellow"/>
          <w:rtl/>
        </w:rPr>
        <w:t>בעלת אופי מעין-שיפוטי</w:t>
      </w:r>
      <w:r>
        <w:rPr>
          <w:rFonts w:hint="cs"/>
          <w:sz w:val="20"/>
          <w:szCs w:val="20"/>
          <w:rtl/>
        </w:rPr>
        <w:t>.</w:t>
      </w:r>
    </w:p>
    <w:p w:rsidR="0025709E" w:rsidRDefault="0025709E" w:rsidP="0025709E">
      <w:pPr>
        <w:rPr>
          <w:rFonts w:cs="FrankRuehl"/>
          <w:rtl/>
        </w:rPr>
      </w:pPr>
    </w:p>
    <w:p w:rsidR="0025709E" w:rsidRDefault="0025709E" w:rsidP="0025709E">
      <w:pPr>
        <w:rPr>
          <w:rFonts w:cs="FrankRuehl"/>
          <w:rtl/>
        </w:rPr>
      </w:pPr>
      <w:r>
        <w:rPr>
          <w:rFonts w:cs="FrankRuehl" w:hint="cs"/>
          <w:rtl/>
        </w:rPr>
        <w:t>=-=</w:t>
      </w:r>
    </w:p>
    <w:p w:rsidR="0025709E" w:rsidRDefault="0025709E" w:rsidP="0025709E">
      <w:pPr>
        <w:rPr>
          <w:rFonts w:cs="FrankRuehl"/>
          <w:rtl/>
        </w:rPr>
      </w:pPr>
      <w:r>
        <w:rPr>
          <w:rFonts w:cs="FrankRuehl" w:hint="cs"/>
          <w:rtl/>
        </w:rPr>
        <w:t>ראו להלן מספר קטעי עיתונות העוסקים בשאלות של ניגוד עניינים ושל שומרי סף.</w:t>
      </w:r>
    </w:p>
    <w:p w:rsidR="0025709E" w:rsidRDefault="0025709E" w:rsidP="0025709E">
      <w:pPr>
        <w:rPr>
          <w:rFonts w:cs="FrankRuehl"/>
          <w:rtl/>
        </w:rPr>
      </w:pPr>
      <w:r>
        <w:rPr>
          <w:rFonts w:cs="FrankRuehl" w:hint="cs"/>
          <w:rtl/>
        </w:rPr>
        <w:t>* זוהי קריאה רשות.</w:t>
      </w:r>
    </w:p>
    <w:p w:rsidR="0025709E" w:rsidRDefault="0025709E" w:rsidP="0025709E">
      <w:pPr>
        <w:rPr>
          <w:rFonts w:cs="FrankRuehl"/>
          <w:rtl/>
        </w:rPr>
      </w:pPr>
      <w:r>
        <w:rPr>
          <w:rFonts w:cs="FrankRuehl" w:hint="cs"/>
          <w:rtl/>
        </w:rPr>
        <w:t xml:space="preserve">שימו לב שאין מדובר בקטעים מתוך פסקי דין אלא מתוך תחקירים עיתונאיים. </w:t>
      </w:r>
    </w:p>
    <w:p w:rsidR="0025709E" w:rsidRDefault="0025709E" w:rsidP="0025709E">
      <w:pPr>
        <w:rPr>
          <w:rFonts w:cs="FrankRuehl"/>
          <w:rtl/>
        </w:rPr>
      </w:pPr>
    </w:p>
    <w:p w:rsidR="0025709E" w:rsidRDefault="0025709E" w:rsidP="0025709E">
      <w:pPr>
        <w:rPr>
          <w:rFonts w:asciiTheme="majorBidi" w:hAnsiTheme="majorBidi" w:cstheme="majorBidi"/>
          <w:rtl/>
        </w:rPr>
      </w:pPr>
    </w:p>
    <w:p w:rsidR="0025709E" w:rsidRPr="00596A56" w:rsidRDefault="0025709E" w:rsidP="0025709E">
      <w:pPr>
        <w:rPr>
          <w:rFonts w:asciiTheme="majorBidi" w:hAnsiTheme="majorBidi" w:cstheme="majorBidi"/>
          <w:b/>
          <w:bCs/>
        </w:rPr>
      </w:pPr>
      <w:r w:rsidRPr="00596A56">
        <w:rPr>
          <w:rFonts w:asciiTheme="majorBidi" w:hAnsiTheme="majorBidi" w:cstheme="majorBidi"/>
          <w:b/>
          <w:bCs/>
          <w:rtl/>
        </w:rPr>
        <w:t>תחקיר</w:t>
      </w:r>
      <w:r w:rsidRPr="00596A56">
        <w:rPr>
          <w:rFonts w:asciiTheme="majorBidi" w:hAnsiTheme="majorBidi" w:cstheme="majorBidi"/>
          <w:b/>
          <w:bCs/>
        </w:rPr>
        <w:t xml:space="preserve"> // </w:t>
      </w:r>
      <w:r w:rsidRPr="00596A56">
        <w:rPr>
          <w:rFonts w:asciiTheme="majorBidi" w:hAnsiTheme="majorBidi" w:cstheme="majorBidi"/>
          <w:b/>
          <w:bCs/>
          <w:rtl/>
        </w:rPr>
        <w:t>השיטה: כך השתלטה ישראל ביתנו על מיליארדים בחברות הממשלתיות</w:t>
      </w:r>
    </w:p>
    <w:p w:rsidR="0025709E" w:rsidRPr="00596A56" w:rsidRDefault="0025709E" w:rsidP="0025709E">
      <w:pPr>
        <w:rPr>
          <w:rFonts w:asciiTheme="majorBidi" w:hAnsiTheme="majorBidi" w:cstheme="majorBidi"/>
        </w:rPr>
      </w:pPr>
      <w:r w:rsidRPr="00596A56">
        <w:rPr>
          <w:rFonts w:asciiTheme="majorBidi" w:hAnsiTheme="majorBidi" w:cstheme="majorBidi"/>
          <w:rtl/>
        </w:rPr>
        <w:t>הפרקליט של ליברמן קיבל 4.5 מיליון ש' ממעצ ■ אשת ראש המטה של ליברמן קודמה ליועמ"ש של החברה ■ גיסתו של גדעון סער מונתה ליועצת המשפטית של נ.ת.ע ■ כך ניהלה לכאורה ישראל ביתנו מפעל מינויים פוליטיים ושלטה במיליארדים - מבלי שאיש יצלצל בפעמוני האזהרה</w:t>
      </w:r>
    </w:p>
    <w:p w:rsidR="0025709E" w:rsidRPr="00596A56" w:rsidRDefault="0025709E" w:rsidP="0014333E">
      <w:pPr>
        <w:numPr>
          <w:ilvl w:val="0"/>
          <w:numId w:val="37"/>
        </w:numPr>
        <w:spacing w:after="60"/>
        <w:jc w:val="left"/>
        <w:rPr>
          <w:rFonts w:asciiTheme="majorBidi" w:hAnsiTheme="majorBidi" w:cstheme="majorBidi"/>
        </w:rPr>
      </w:pPr>
      <w:r w:rsidRPr="00596A56">
        <w:rPr>
          <w:rFonts w:asciiTheme="majorBidi" w:hAnsiTheme="majorBidi" w:cstheme="majorBidi"/>
        </w:rPr>
        <w:t>10:00</w:t>
      </w:r>
    </w:p>
    <w:p w:rsidR="0025709E" w:rsidRPr="00596A56" w:rsidRDefault="0025709E" w:rsidP="0014333E">
      <w:pPr>
        <w:numPr>
          <w:ilvl w:val="0"/>
          <w:numId w:val="37"/>
        </w:numPr>
        <w:spacing w:after="60"/>
        <w:jc w:val="left"/>
        <w:rPr>
          <w:rFonts w:asciiTheme="majorBidi" w:hAnsiTheme="majorBidi" w:cstheme="majorBidi"/>
        </w:rPr>
      </w:pPr>
      <w:r w:rsidRPr="00596A56">
        <w:rPr>
          <w:rFonts w:asciiTheme="majorBidi" w:hAnsiTheme="majorBidi" w:cstheme="majorBidi"/>
        </w:rPr>
        <w:t>21.01.2015</w:t>
      </w:r>
    </w:p>
    <w:p w:rsidR="0025709E" w:rsidRPr="00596A56" w:rsidRDefault="0025709E" w:rsidP="0014333E">
      <w:pPr>
        <w:numPr>
          <w:ilvl w:val="0"/>
          <w:numId w:val="37"/>
        </w:numPr>
        <w:spacing w:after="60"/>
        <w:jc w:val="left"/>
        <w:rPr>
          <w:rFonts w:asciiTheme="majorBidi" w:hAnsiTheme="majorBidi" w:cstheme="majorBidi"/>
        </w:rPr>
      </w:pPr>
      <w:r w:rsidRPr="00596A56">
        <w:rPr>
          <w:rFonts w:asciiTheme="majorBidi" w:hAnsiTheme="majorBidi" w:cstheme="majorBidi"/>
          <w:rtl/>
        </w:rPr>
        <w:t>מאת</w:t>
      </w:r>
      <w:r w:rsidRPr="00596A56">
        <w:rPr>
          <w:rFonts w:asciiTheme="majorBidi" w:hAnsiTheme="majorBidi" w:cstheme="majorBidi"/>
        </w:rPr>
        <w:t>: </w:t>
      </w:r>
      <w:hyperlink r:id="rId432" w:history="1">
        <w:r w:rsidRPr="00596A56">
          <w:rPr>
            <w:rStyle w:val="Hyperlink"/>
            <w:rFonts w:asciiTheme="majorBidi" w:hAnsiTheme="majorBidi" w:cstheme="majorBidi"/>
            <w:b/>
            <w:bCs/>
            <w:rtl/>
          </w:rPr>
          <w:t>אבי בר-אלי</w:t>
        </w:r>
      </w:hyperlink>
    </w:p>
    <w:p w:rsidR="0025709E" w:rsidRPr="00596A56" w:rsidRDefault="0025709E" w:rsidP="0014333E">
      <w:pPr>
        <w:numPr>
          <w:ilvl w:val="0"/>
          <w:numId w:val="37"/>
        </w:numPr>
        <w:spacing w:after="60"/>
        <w:jc w:val="left"/>
        <w:rPr>
          <w:rFonts w:asciiTheme="majorBidi" w:hAnsiTheme="majorBidi" w:cstheme="majorBidi"/>
        </w:rPr>
      </w:pP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tl/>
        </w:rPr>
        <w:t>בטקס חגיגי שנערך במעמד ראש הממשלה, בנימין נתניהו, חנכה בספטמבר 2012</w:t>
      </w:r>
      <w:r w:rsidRPr="0025709E">
        <w:rPr>
          <w:rFonts w:asciiTheme="majorBidi" w:hAnsiTheme="majorBidi" w:cstheme="majorBidi"/>
          <w:sz w:val="22"/>
          <w:szCs w:val="22"/>
        </w:rPr>
        <w:t> </w:t>
      </w:r>
      <w:hyperlink r:id="rId433" w:history="1">
        <w:r w:rsidRPr="0025709E">
          <w:rPr>
            <w:rStyle w:val="Hyperlink"/>
            <w:rFonts w:asciiTheme="majorBidi" w:hAnsiTheme="majorBidi" w:cstheme="majorBidi"/>
            <w:sz w:val="22"/>
            <w:szCs w:val="22"/>
            <w:rtl/>
          </w:rPr>
          <w:t>חברת נתיבי ישראל</w:t>
        </w:r>
      </w:hyperlink>
      <w:r w:rsidRPr="0025709E">
        <w:rPr>
          <w:rFonts w:asciiTheme="majorBidi" w:hAnsiTheme="majorBidi" w:cstheme="majorBidi"/>
          <w:sz w:val="22"/>
          <w:szCs w:val="22"/>
        </w:rPr>
        <w:t> (</w:t>
      </w:r>
      <w:r w:rsidRPr="0025709E">
        <w:rPr>
          <w:rFonts w:asciiTheme="majorBidi" w:hAnsiTheme="majorBidi" w:cstheme="majorBidi"/>
          <w:sz w:val="22"/>
          <w:szCs w:val="22"/>
          <w:rtl/>
        </w:rPr>
        <w:t>מעצ לשעבר) את כביש עוקף הקריות, מהחשובים בכבישי הצפון</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tl/>
        </w:rPr>
        <w:t>המשכו של כביש החוף הישן משתרע לאורך 14 ק"מ, חולף על פני 19 גשרים ועובר בשטחן של שש רשויות מקומיות. שלוש שנים ארכה סלילתו בהשקעת עתק של 1.7 מיליארד שקל מתקציב המדינה. "עוקף קריות הוא חוליה נוספת בהשקעת המיליארדים שלנו בתוכניות התחבורה", אמר נתניהו בטקס. "הפרויקט מקדים את לוחות הזמנים וזהו חיסכון נטו למשק הלאומי", הוסיף שר התחבורה ישראל כ"ץ</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tl/>
        </w:rPr>
        <w:t>אלא שבחלוף חודשים ספורים הוסרו החיוכים החגיגיים ואת מקומם תפסו סימני דאגה, שלא מצאו עדיין את דרכם אל התקשורת. קבלן הפרויקט, שפיר הנדסה, הגיש נגד</w:t>
      </w:r>
      <w:r w:rsidRPr="0025709E">
        <w:rPr>
          <w:rFonts w:asciiTheme="majorBidi" w:hAnsiTheme="majorBidi" w:cstheme="majorBidi"/>
          <w:sz w:val="22"/>
          <w:szCs w:val="22"/>
        </w:rPr>
        <w:t> </w:t>
      </w:r>
      <w:hyperlink r:id="rId434" w:history="1">
        <w:r w:rsidRPr="0025709E">
          <w:rPr>
            <w:rStyle w:val="Hyperlink"/>
            <w:rFonts w:asciiTheme="majorBidi" w:hAnsiTheme="majorBidi" w:cstheme="majorBidi"/>
            <w:sz w:val="22"/>
            <w:szCs w:val="22"/>
            <w:rtl/>
          </w:rPr>
          <w:t>מעצ</w:t>
        </w:r>
      </w:hyperlink>
      <w:r>
        <w:rPr>
          <w:rFonts w:asciiTheme="majorBidi" w:hAnsiTheme="majorBidi" w:cstheme="majorBidi" w:hint="cs"/>
          <w:sz w:val="22"/>
          <w:szCs w:val="22"/>
          <w:rtl/>
        </w:rPr>
        <w:t xml:space="preserve"> </w:t>
      </w:r>
      <w:r w:rsidRPr="0025709E">
        <w:rPr>
          <w:rFonts w:asciiTheme="majorBidi" w:hAnsiTheme="majorBidi" w:cstheme="majorBidi"/>
          <w:sz w:val="22"/>
          <w:szCs w:val="22"/>
          <w:rtl/>
        </w:rPr>
        <w:t>תביעת ענק בסך 800 מיליון שקל - מחצית מתקציב הפרויקט כולו. בתביעתה טענה שפיר כי הוראות שהכתיבה מעצ בעת ביצוע הפרויקט, לצד "בקשות" שהונחתו על ידי ראשי רשויות מקומיות, הביאו לייקור התוכניות המוקדמות, שאותו שפיר נאלצה לכאורה לכסות במאות מיליוני שקלים</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tl/>
        </w:rPr>
        <w:t>תביעות כאלה נהפכו לשגרה בענף התשתיות. הקבלנים, יש מעירים באירוניה, מתמחרים את הפיצויים שלהם יזכו בעתיד כבר בהצעת המחיר שהם מגישים למכרז בהווה. אלא שהפעם זו לא היתה "עוד תביעה". ככלות הכל, מדובר בהיקף הפיצויים הגבוה ביותר שנדרש בשנים האחרונות מחברה ממשלתית כלשהי - ובין שהיא מוצדקת ובין שלא, מעמידה התביעה את המדינה עצמה בפני אחת החשיפות התקציביות הגדולות שלה</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tl/>
        </w:rPr>
        <w:t>על אף התקדים המסוכן, במעצ לא נרשמה תכונה מיוחדת. גם לא כשכתב התביעה עב הכרס הונח על שולחנה של ממלאת מקום היועץ המשפטי, עורכת הדין סימה לוי</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highlight w:val="yellow"/>
          <w:rtl/>
        </w:rPr>
        <w:t>על אף היקפי התביעה ומורכבותה, הוחלט להפקיד את הטיפול בתיק הרגיש והיקר בידיו של עורך דין חיצוני יואב מני, שליווה את הפרויקט מטעם מעצ</w:t>
      </w:r>
      <w:r w:rsidRPr="0025709E">
        <w:rPr>
          <w:rFonts w:asciiTheme="majorBidi" w:hAnsiTheme="majorBidi" w:cstheme="majorBidi"/>
          <w:sz w:val="22"/>
          <w:szCs w:val="22"/>
          <w:highlight w:val="yellow"/>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tl/>
        </w:rPr>
        <w:t xml:space="preserve">מני, </w:t>
      </w:r>
      <w:r w:rsidRPr="0025709E">
        <w:rPr>
          <w:rFonts w:asciiTheme="majorBidi" w:hAnsiTheme="majorBidi" w:cstheme="majorBidi"/>
          <w:sz w:val="22"/>
          <w:szCs w:val="22"/>
          <w:highlight w:val="yellow"/>
          <w:rtl/>
        </w:rPr>
        <w:t>יועצה המשפטי של</w:t>
      </w:r>
      <w:r w:rsidRPr="0025709E">
        <w:rPr>
          <w:rFonts w:asciiTheme="majorBidi" w:hAnsiTheme="majorBidi" w:cstheme="majorBidi"/>
          <w:sz w:val="22"/>
          <w:szCs w:val="22"/>
          <w:highlight w:val="yellow"/>
        </w:rPr>
        <w:t> </w:t>
      </w:r>
      <w:hyperlink r:id="rId435" w:history="1">
        <w:r w:rsidRPr="0025709E">
          <w:rPr>
            <w:rStyle w:val="Hyperlink"/>
            <w:rFonts w:asciiTheme="majorBidi" w:hAnsiTheme="majorBidi" w:cstheme="majorBidi"/>
            <w:sz w:val="22"/>
            <w:szCs w:val="22"/>
            <w:rtl/>
          </w:rPr>
          <w:t>מפלגת ישראל ביתנו</w:t>
        </w:r>
      </w:hyperlink>
      <w:r w:rsidRPr="0025709E">
        <w:rPr>
          <w:rFonts w:asciiTheme="majorBidi" w:hAnsiTheme="majorBidi" w:cstheme="majorBidi"/>
          <w:sz w:val="22"/>
          <w:szCs w:val="22"/>
          <w:highlight w:val="yellow"/>
        </w:rPr>
        <w:t> </w:t>
      </w:r>
      <w:r w:rsidRPr="0025709E">
        <w:rPr>
          <w:rFonts w:asciiTheme="majorBidi" w:hAnsiTheme="majorBidi" w:cstheme="majorBidi"/>
          <w:sz w:val="22"/>
          <w:szCs w:val="22"/>
          <w:highlight w:val="yellow"/>
          <w:rtl/>
        </w:rPr>
        <w:t>ופרקליטו לשעבר של היו"ר ושר החוץ</w:t>
      </w:r>
      <w:r w:rsidRPr="0025709E">
        <w:rPr>
          <w:rFonts w:asciiTheme="majorBidi" w:hAnsiTheme="majorBidi" w:cstheme="majorBidi"/>
          <w:sz w:val="22"/>
          <w:szCs w:val="22"/>
          <w:highlight w:val="yellow"/>
        </w:rPr>
        <w:t>,</w:t>
      </w:r>
      <w:hyperlink r:id="rId436" w:history="1">
        <w:r w:rsidRPr="0025709E">
          <w:rPr>
            <w:rStyle w:val="Hyperlink"/>
            <w:rFonts w:asciiTheme="majorBidi" w:hAnsiTheme="majorBidi" w:cstheme="majorBidi"/>
            <w:sz w:val="22"/>
            <w:szCs w:val="22"/>
            <w:rtl/>
          </w:rPr>
          <w:t>אביגדור ליברמן</w:t>
        </w:r>
      </w:hyperlink>
      <w:r w:rsidRPr="0025709E">
        <w:rPr>
          <w:rFonts w:asciiTheme="majorBidi" w:hAnsiTheme="majorBidi" w:cstheme="majorBidi"/>
          <w:sz w:val="22"/>
          <w:szCs w:val="22"/>
          <w:highlight w:val="yellow"/>
        </w:rPr>
        <w:t xml:space="preserve">, </w:t>
      </w:r>
      <w:r w:rsidRPr="0025709E">
        <w:rPr>
          <w:rFonts w:asciiTheme="majorBidi" w:hAnsiTheme="majorBidi" w:cstheme="majorBidi"/>
          <w:sz w:val="22"/>
          <w:szCs w:val="22"/>
          <w:highlight w:val="yellow"/>
          <w:rtl/>
        </w:rPr>
        <w:t>נעצר ב–2009 על ידי היחידה לחקירות הונאה בחשד שהגה את מנגנון הכספים המתוחכם שדרכו העבירו לכאורה אילי הון זרים וישראלים מיליוני דולרים למקורביו של ליברמן. מני נחשד אז כי פעל להסוואת הכספים באמצעות אנשי קש וחשבונות פיקטיביים</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highlight w:val="yellow"/>
          <w:rtl/>
        </w:rPr>
        <w:t>בעוד שהוא ממתין להכרעת היועץ המשפטי לממשלה</w:t>
      </w:r>
      <w:r w:rsidRPr="0025709E">
        <w:rPr>
          <w:rFonts w:asciiTheme="majorBidi" w:hAnsiTheme="majorBidi" w:cstheme="majorBidi"/>
          <w:sz w:val="22"/>
          <w:szCs w:val="22"/>
          <w:highlight w:val="yellow"/>
        </w:rPr>
        <w:t>, </w:t>
      </w:r>
      <w:hyperlink r:id="rId437" w:history="1">
        <w:r w:rsidRPr="0025709E">
          <w:rPr>
            <w:rStyle w:val="Hyperlink"/>
            <w:rFonts w:asciiTheme="majorBidi" w:hAnsiTheme="majorBidi" w:cstheme="majorBidi"/>
            <w:sz w:val="22"/>
            <w:szCs w:val="22"/>
            <w:rtl/>
          </w:rPr>
          <w:t>יהודה וינשטיין</w:t>
        </w:r>
      </w:hyperlink>
      <w:r w:rsidRPr="0025709E">
        <w:rPr>
          <w:rFonts w:asciiTheme="majorBidi" w:hAnsiTheme="majorBidi" w:cstheme="majorBidi"/>
          <w:sz w:val="22"/>
          <w:szCs w:val="22"/>
          <w:highlight w:val="yellow"/>
        </w:rPr>
        <w:t xml:space="preserve">, </w:t>
      </w:r>
      <w:r w:rsidRPr="0025709E">
        <w:rPr>
          <w:rFonts w:asciiTheme="majorBidi" w:hAnsiTheme="majorBidi" w:cstheme="majorBidi"/>
          <w:sz w:val="22"/>
          <w:szCs w:val="22"/>
          <w:highlight w:val="yellow"/>
          <w:rtl/>
        </w:rPr>
        <w:t>אם להאשימו בעבירות של שותפות למרמה, הפרת אמונים וקבלת דבר במרמה, זכה מני לחוזה מכניס במיוחד כיועץ משפטי חיצוני למעצ. בראש החברה הממשלתית עמד באותה תקופה מקורבו של ליברמן, אלכס ויז'ניצר, שנעצר בחודש שעבר בפרשת השחיתות לכאורה סביב מוסדות ישראל ביתנו</w:t>
      </w:r>
      <w:r w:rsidRPr="0025709E">
        <w:rPr>
          <w:rFonts w:asciiTheme="majorBidi" w:hAnsiTheme="majorBidi" w:cstheme="majorBidi"/>
          <w:sz w:val="22"/>
          <w:szCs w:val="22"/>
        </w:rPr>
        <w:t>.</w:t>
      </w:r>
    </w:p>
    <w:p w:rsidR="0025709E" w:rsidRPr="0025709E" w:rsidRDefault="005D7968" w:rsidP="0025709E">
      <w:pPr>
        <w:rPr>
          <w:rFonts w:asciiTheme="majorBidi" w:hAnsiTheme="majorBidi" w:cstheme="majorBidi"/>
          <w:sz w:val="22"/>
          <w:szCs w:val="22"/>
        </w:rPr>
      </w:pPr>
      <w:hyperlink r:id="rId438" w:history="1">
        <w:r w:rsidR="0025709E" w:rsidRPr="0025709E">
          <w:rPr>
            <w:rStyle w:val="Hyperlink"/>
            <w:rFonts w:asciiTheme="majorBidi" w:hAnsiTheme="majorBidi" w:cstheme="majorBidi"/>
            <w:sz w:val="22"/>
            <w:szCs w:val="22"/>
            <w:rtl/>
          </w:rPr>
          <w:t>תחקיר שפורסם לפני ארבע שנים ב"הארץ</w:t>
        </w:r>
        <w:r w:rsidR="0025709E" w:rsidRPr="0025709E">
          <w:rPr>
            <w:rStyle w:val="Hyperlink"/>
            <w:rFonts w:asciiTheme="majorBidi" w:hAnsiTheme="majorBidi" w:cstheme="majorBidi"/>
            <w:sz w:val="22"/>
            <w:szCs w:val="22"/>
          </w:rPr>
          <w:t>"</w:t>
        </w:r>
      </w:hyperlink>
      <w:r w:rsidR="0025709E" w:rsidRPr="0025709E">
        <w:rPr>
          <w:rFonts w:asciiTheme="majorBidi" w:hAnsiTheme="majorBidi" w:cstheme="majorBidi"/>
          <w:sz w:val="22"/>
          <w:szCs w:val="22"/>
        </w:rPr>
        <w:t> (</w:t>
      </w:r>
      <w:r w:rsidR="0025709E" w:rsidRPr="0025709E">
        <w:rPr>
          <w:rFonts w:asciiTheme="majorBidi" w:hAnsiTheme="majorBidi" w:cstheme="majorBidi"/>
          <w:sz w:val="22"/>
          <w:szCs w:val="22"/>
          <w:rtl/>
        </w:rPr>
        <w:t>שרון שפורר, "מעצמה של ג'ובים", 24 ביוני 2011) חשף כי ב–2007–2009 העבירה מעצ למשרדו של מני 2</w:t>
      </w:r>
      <w:r w:rsidR="0025709E" w:rsidRPr="0025709E">
        <w:rPr>
          <w:rFonts w:asciiTheme="majorBidi" w:hAnsiTheme="majorBidi" w:cstheme="majorBidi"/>
          <w:sz w:val="22"/>
          <w:szCs w:val="22"/>
        </w:rPr>
        <w:t xml:space="preserve">.2 </w:t>
      </w:r>
      <w:r w:rsidR="0025709E" w:rsidRPr="0025709E">
        <w:rPr>
          <w:rFonts w:asciiTheme="majorBidi" w:hAnsiTheme="majorBidi" w:cstheme="majorBidi"/>
          <w:sz w:val="22"/>
          <w:szCs w:val="22"/>
          <w:rtl/>
        </w:rPr>
        <w:t>מיליון שקל בעבור ייצוגה בתיקים שונים, עד שהחוזה בין הצדדים הסתיים</w:t>
      </w:r>
      <w:r w:rsidR="0025709E"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highlight w:val="yellow"/>
          <w:rtl/>
        </w:rPr>
        <w:t>כעת מתברר כי הקשר בין מעצ למני דווקא המשיך, ובעצימות גבוהה יותר. זאת, עוד לפני הכרעת היועץ המשפטי לממשלה אם לסגור את תיק החקירה "הגדול" בפרשת ליברמן, ולפני שסגר ב–2013 את התיקים נגד החשודים בפרשה, לרבות מני, מחוסר ראיות מספקות</w:t>
      </w:r>
      <w:r w:rsidRPr="0025709E">
        <w:rPr>
          <w:rFonts w:asciiTheme="majorBidi" w:hAnsiTheme="majorBidi" w:cstheme="majorBidi"/>
          <w:sz w:val="22"/>
          <w:szCs w:val="22"/>
          <w:highlight w:val="yellow"/>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tl/>
        </w:rPr>
        <w:t>כך, ב–2010 זכה מני מתקציב מעצ לשכר טרחה כולל של 670 אלף שקל. ב–2011 הסתכם שכרו בגין ייצוג החברה בתיקים משפטיים שונים ב–665 אלף שקל וב–2012 פחת שכרו ל–310 אלף שקל. ב–2013, לעומת זאת, זינקו התשלומים שקיבל ממעצ פי שניים, ל–709 אלף שקל. נתוני 2014 עדיין לא סוכמו. אלה ישקללו את הייצוג היקר יחסית של מעצ בתביעה של שפיר</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highlight w:val="yellow"/>
          <w:rtl/>
        </w:rPr>
        <w:t>בסך הכל, בתוך שבע שנים, גרף בא כוחה של המפלגה 4.55 מיליון שקל מתקציב החברה הממשלתית שאותה ניהל מקורבו של ליברמן. זאת, יש להזכיר, בעוד שמני וליברמן נחקרים בחלק מהתקופה זה לצד זה באותה פרשה פלילית</w:t>
      </w:r>
      <w:r w:rsidRPr="0025709E">
        <w:rPr>
          <w:rFonts w:asciiTheme="majorBidi" w:hAnsiTheme="majorBidi" w:cstheme="majorBidi"/>
          <w:sz w:val="22"/>
          <w:szCs w:val="22"/>
          <w:highlight w:val="yellow"/>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b/>
          <w:bCs/>
          <w:sz w:val="22"/>
          <w:szCs w:val="22"/>
          <w:rtl/>
        </w:rPr>
        <w:t>אבא דוד לוי,</w:t>
      </w:r>
      <w:r w:rsidRPr="0025709E">
        <w:rPr>
          <w:rFonts w:hint="cs"/>
          <w:b/>
          <w:bCs/>
          <w:sz w:val="22"/>
          <w:szCs w:val="22"/>
          <w:rtl/>
        </w:rPr>
        <w:t xml:space="preserve"> הדוד יובל שטייניץ</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tl/>
        </w:rPr>
        <w:t>לפני חודש געשה ישראל בעקבות מעצרם של 30 חשודים ב</w:t>
      </w:r>
      <w:hyperlink r:id="rId439" w:history="1">
        <w:r w:rsidRPr="0025709E">
          <w:rPr>
            <w:rStyle w:val="Hyperlink"/>
            <w:rFonts w:asciiTheme="majorBidi" w:hAnsiTheme="majorBidi" w:cstheme="majorBidi"/>
            <w:sz w:val="22"/>
            <w:szCs w:val="22"/>
            <w:rtl/>
          </w:rPr>
          <w:t>רשת שחיתות</w:t>
        </w:r>
      </w:hyperlink>
      <w:r w:rsidRPr="0025709E">
        <w:rPr>
          <w:rFonts w:asciiTheme="majorBidi" w:hAnsiTheme="majorBidi" w:cstheme="majorBidi"/>
          <w:sz w:val="22"/>
          <w:szCs w:val="22"/>
        </w:rPr>
        <w:t> </w:t>
      </w:r>
      <w:r w:rsidRPr="0025709E">
        <w:rPr>
          <w:rFonts w:asciiTheme="majorBidi" w:hAnsiTheme="majorBidi" w:cstheme="majorBidi"/>
          <w:sz w:val="22"/>
          <w:szCs w:val="22"/>
          <w:rtl/>
        </w:rPr>
        <w:t>ענפה שפעלה לכאורה סביב מוסדות ישראל ביתנו. לטענת המשטרה, תכלית המנגנון שחשפה היתה מינוי מקורבים וניוד כספי ציבור לכיסם של בכירים במפלגת ישראל ביתנו</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highlight w:val="lightGray"/>
          <w:rtl/>
        </w:rPr>
        <w:t>בעוד שהמשטרה מתמקדת בנעשה במשרדי הממשלה, נותרה בצל פעילות ישראל ביתנו בחברות הממשלתיות שעליהן הופקדו שריה. זאת, אף שבחינה מדוקדקת של הנעשה בחברות האלה בעשור האחרון מלמדת על דפוס עקבי ומתוחכם של מינוי מקורבים, ועשויה גם להסביר כיצד הצליחו אנשי ישראל ביתנו לחמוק מעינם הפקוחה של שומרי הסף על הכסף הציבורי: הם פשוט מינו אותם</w:t>
      </w:r>
      <w:r w:rsidRPr="0025709E">
        <w:rPr>
          <w:rFonts w:asciiTheme="majorBidi" w:hAnsiTheme="majorBidi" w:cstheme="majorBidi"/>
          <w:sz w:val="22"/>
          <w:szCs w:val="22"/>
          <w:highlight w:val="lightGray"/>
        </w:rPr>
        <w:t>.</w:t>
      </w:r>
    </w:p>
    <w:p w:rsidR="0025709E" w:rsidRPr="0025709E" w:rsidRDefault="0025709E" w:rsidP="0025709E">
      <w:pPr>
        <w:rPr>
          <w:rFonts w:asciiTheme="majorBidi" w:hAnsiTheme="majorBidi" w:cstheme="majorBidi"/>
          <w:sz w:val="22"/>
          <w:szCs w:val="22"/>
          <w:highlight w:val="yellow"/>
        </w:rPr>
      </w:pPr>
      <w:r w:rsidRPr="0025709E">
        <w:rPr>
          <w:rFonts w:asciiTheme="majorBidi" w:hAnsiTheme="majorBidi" w:cstheme="majorBidi"/>
          <w:sz w:val="22"/>
          <w:szCs w:val="22"/>
          <w:highlight w:val="yellow"/>
          <w:rtl/>
        </w:rPr>
        <w:t>כך, מי שהיתה אמונה מטעם מעצ על הקשר עם מני היא הלשכה המשפטית בחברה הממשלתית. באופן הדרגתי אוישה זו במשך השנים בדמויות נוספות הקשורות במישרין או בעקיפין לישראל ביתנו</w:t>
      </w:r>
      <w:r w:rsidRPr="0025709E">
        <w:rPr>
          <w:rFonts w:asciiTheme="majorBidi" w:hAnsiTheme="majorBidi" w:cstheme="majorBidi"/>
          <w:sz w:val="22"/>
          <w:szCs w:val="22"/>
          <w:highlight w:val="yellow"/>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highlight w:val="yellow"/>
          <w:rtl/>
        </w:rPr>
        <w:t>יחד עם מני נעצר ב–2009 מי שנחשב ליד ימינו הפוליטית של ליברמן ולאחד מהמקורבים ביותר לו, שרון שלום. שלום מכהן כיום כראש מטה שר החוץ, לאחר שליברמן ניסה למנותו למנכ"ל המשרד</w:t>
      </w:r>
      <w:r w:rsidRPr="0025709E">
        <w:rPr>
          <w:rFonts w:asciiTheme="majorBidi" w:hAnsiTheme="majorBidi" w:cstheme="majorBidi"/>
          <w:sz w:val="22"/>
          <w:szCs w:val="22"/>
          <w:highlight w:val="yellow"/>
        </w:rPr>
        <w:t>.</w:t>
      </w:r>
    </w:p>
    <w:p w:rsidR="0025709E" w:rsidRPr="0025709E" w:rsidRDefault="0025709E" w:rsidP="0025709E">
      <w:pPr>
        <w:rPr>
          <w:rFonts w:asciiTheme="majorBidi" w:hAnsiTheme="majorBidi" w:cstheme="majorBidi"/>
          <w:sz w:val="22"/>
          <w:szCs w:val="22"/>
          <w:highlight w:val="yellow"/>
        </w:rPr>
      </w:pPr>
      <w:r w:rsidRPr="0025709E">
        <w:rPr>
          <w:rFonts w:asciiTheme="majorBidi" w:hAnsiTheme="majorBidi" w:cstheme="majorBidi"/>
          <w:sz w:val="22"/>
          <w:szCs w:val="22"/>
          <w:highlight w:val="yellow"/>
          <w:rtl/>
        </w:rPr>
        <w:t>שלום שימש מנכ"ל מ.ל–1 - החברה הקפריסאית שבבעלות מיכל ליברמן, בתו של אביגדור ליברמן, שלפי חשד המשטרה דרכה הולבנו המיליונים שהוזרמו מאילי ההון דוגמת מרטין שלאף, מיכאל צ'רנוי ודן גרטלר. בחקירתו טען שלום כי לא מדובר היה חלילה בכספי שוחד או בהלבנת כספים לא חוקית, אלא בתמורה לעסקות מכירת יין במולדובה - הסבר שלימים הניח את דעתו של וינשטיין</w:t>
      </w:r>
      <w:r w:rsidRPr="0025709E">
        <w:rPr>
          <w:rFonts w:asciiTheme="majorBidi" w:hAnsiTheme="majorBidi" w:cstheme="majorBidi"/>
          <w:sz w:val="22"/>
          <w:szCs w:val="22"/>
          <w:highlight w:val="yellow"/>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highlight w:val="yellow"/>
          <w:rtl/>
        </w:rPr>
        <w:t>כיצד קשור שלום לענייננו? רעייתו של שלום היא עורכת הדין סימה לוי, מי שהפקידה כאמור את ייצוגה של מעצ בתביעת הענק שהגישה שפיר לידי יואב מני, המוכר היטב לבן זוגה</w:t>
      </w:r>
      <w:r w:rsidRPr="0025709E">
        <w:rPr>
          <w:rFonts w:asciiTheme="majorBidi" w:hAnsiTheme="majorBidi" w:cstheme="majorBidi"/>
          <w:sz w:val="22"/>
          <w:szCs w:val="22"/>
          <w:highlight w:val="yellow"/>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Pr>
        <w:t>"</w:t>
      </w:r>
      <w:r w:rsidRPr="0025709E">
        <w:rPr>
          <w:rFonts w:asciiTheme="majorBidi" w:hAnsiTheme="majorBidi" w:cstheme="majorBidi"/>
          <w:sz w:val="22"/>
          <w:szCs w:val="22"/>
          <w:rtl/>
        </w:rPr>
        <w:t>שם המשפחה של אשה או של כל אדם, לא מונע את חופש העיסוק המעוגן בחוק היסוד. הדבר נכון במיוחד למי שסיימה את לימודיה האקדמיים בהצטיינות יתרה, וכל חברה, פרטית או ציבורית, היתה שמחה לזכות בשירותיה", מסר בתגובה שרון שלום</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highlight w:val="yellow"/>
          <w:rtl/>
        </w:rPr>
        <w:t>לוי, שגויסה לשורות מעצ בימיו של ויז'ניצר, מחזיקה בייחוס משפחתי־פוליטי משלה. היא בתו של השר לשעבר דוד לוי, ואחותה של חברת הכנסת מטעם ישראל ביתנו, אורלי לוי־אבקסיס</w:t>
      </w:r>
      <w:r w:rsidRPr="0025709E">
        <w:rPr>
          <w:rFonts w:asciiTheme="majorBidi" w:hAnsiTheme="majorBidi" w:cstheme="majorBidi"/>
          <w:sz w:val="22"/>
          <w:szCs w:val="22"/>
          <w:rtl/>
        </w:rPr>
        <w:t>, ששובצה שלשום בידי ליברמן למקום השני ברשימת המפלגה בבחירות הקרובות</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tl/>
        </w:rPr>
        <w:t>אגב, לוי לא אמורה היתה להיות זו שמשבצת את מני לתיקים של מעצ. בימים כתיקונם היא מכהנת כסגנית היועץ המשפטי לחברה ולמעשה ממלאת כיום את מקומו של היועץ המשפטי הנבחר</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highlight w:val="yellow"/>
        </w:rPr>
      </w:pPr>
      <w:r w:rsidRPr="0025709E">
        <w:rPr>
          <w:rFonts w:asciiTheme="majorBidi" w:hAnsiTheme="majorBidi" w:cstheme="majorBidi"/>
          <w:sz w:val="22"/>
          <w:szCs w:val="22"/>
          <w:rtl/>
        </w:rPr>
        <w:t xml:space="preserve">מי שכיהן בתפקיד זה עד לפני חצי שנה היה עורך דין יואב ליסון, שנאלץ לפרוש בנסיבות בריאותיות שמונה חודשים בלבד לאחר שנבחר לתפקיד. </w:t>
      </w:r>
      <w:r w:rsidRPr="0025709E">
        <w:rPr>
          <w:rFonts w:asciiTheme="majorBidi" w:hAnsiTheme="majorBidi" w:cstheme="majorBidi"/>
          <w:sz w:val="22"/>
          <w:szCs w:val="22"/>
          <w:highlight w:val="yellow"/>
          <w:rtl/>
        </w:rPr>
        <w:t>ליסון הוא בנו של עורך הדין זאב ליסון, ממייסדי ישראל ביתנו. ליסון האב נמנה עם ראשוני היועצים המשפטיים החיצוניים של מעצ עם הפיכתה לחברה ב–2005 — תחת ניהולו של ויז'ניצר. במשך שש שנים הוא ליווה את מעצ כיועץ חיצוני עד שהחברה נדרשה להפסיק את ההתקשרות מולו ולצאת במכרז לבחירת המשרדים החיצוניים שלה, וכן לתפקיד יועץ משפטי פנימי</w:t>
      </w:r>
      <w:r w:rsidRPr="0025709E">
        <w:rPr>
          <w:rFonts w:asciiTheme="majorBidi" w:hAnsiTheme="majorBidi" w:cstheme="majorBidi"/>
          <w:sz w:val="22"/>
          <w:szCs w:val="22"/>
          <w:highlight w:val="yellow"/>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highlight w:val="yellow"/>
          <w:rtl/>
        </w:rPr>
        <w:t>במעצ התחמקו תקופה ממושכת ממינוי יועץ משפטי פנימי, והעדיפו לשכור את שירותיהם של יועצים פרטיים חיצוניים. כך או כך, עד שפורסם המכרז לתפקיד היועץ המשפטי הפנימי, זכה בו למרבה הפלא ליסון הבן</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tl/>
        </w:rPr>
        <w:t>גם ליסון הוא לא היחיד ביחידה המשפטית של מעצ שהתברך באב בעל קשרים פוליטיים. כזו היא גם עורכת הדין דנה חכים, שעוד ב–2007 צדה את עינו של מבקר המדינה. חכים היא בתו של גרי חכים, גיסו של השר יובל שטייניץ (הליכוד) ובעל קשרים ענפים בליכוד ובענף התשתיות</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highlight w:val="yellow"/>
          <w:rtl/>
        </w:rPr>
        <w:t>חכים התקבלה למעצ של ויז'ניצר כעובדת חברת כוח אדם. בחלוף ארבעה חודשים בלבד היה מי שזיהה כנראה את הפוטנציאל הנסתר בעובדת הצעירה, והיא נמשכה לשורות החברה ומונתה לתפקיד ממונה באגף השיווק והפיתוח העסקי. לאחר מכן השלימה את הסיבוב וחזרה לתפקיד מנהלת מחלקה בייעוץ המשפטי, שם היא כפופה כיום לסימה לוי</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highlight w:val="yellow"/>
          <w:rtl/>
        </w:rPr>
        <w:t>מבט כללי על המתואר לעיל מצייר תמונה סכמטית מדאיגה. לכאורה, המנגנון המשפטי בחברה ממשלתית שחולשת על תקציב פרויקטים שנתי של 5 מיליארד שקל נכבש על ידי קבוצה פוליטית</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highlight w:val="yellow"/>
          <w:rtl/>
        </w:rPr>
        <w:t>היועץ המשפטי הוא בנו של מייסד מפלגת ישראל ביתנו, סגניתו נשואה לראש מטה יו"ר המפלגה, אחותה היא חברת הכנסת מטעם המפלגה, והכפיפה שלה היא בתו של מקורב לשעבר למפלגה. כל אלה דואגים לחלוקת תיקים במיליוני שקלים עבור פרקליטה של המפלגה — וכל זאת בחברה שאותה ניהל ביד רמה אחד ממקורבי היו"ר, שרוחו עדיין שורה במסדרונות</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b/>
          <w:bCs/>
          <w:sz w:val="22"/>
          <w:szCs w:val="22"/>
        </w:rPr>
        <w:t>"</w:t>
      </w:r>
      <w:r w:rsidRPr="0025709E">
        <w:rPr>
          <w:rFonts w:asciiTheme="majorBidi" w:hAnsiTheme="majorBidi" w:cstheme="majorBidi"/>
          <w:b/>
          <w:bCs/>
          <w:sz w:val="22"/>
          <w:szCs w:val="22"/>
          <w:rtl/>
        </w:rPr>
        <w:t>יועץ משפטי יכול לשאול שאלות</w:t>
      </w:r>
      <w:r w:rsidRPr="0025709E">
        <w:rPr>
          <w:rFonts w:asciiTheme="majorBidi" w:hAnsiTheme="majorBidi" w:cstheme="majorBidi"/>
          <w:b/>
          <w:bCs/>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tl/>
        </w:rPr>
        <w:t>ויז'ניצר מונה לתפקידו במעצ ב–2003 על ידי שר התחבורה דאז, ליברמן. הוא הופקד על הקמתה מאפס של מעצ החדשה במהלך נדיר ואגרסיבי של "סגירה־פתיחה", שבמסגרתו נסגרה בן לילה מעצ הישנה ותחתה הוקמה חברה חדשה ורזה, המשוחררת מכבלי הסכמי העבודה שבחברה הישנה</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tl/>
        </w:rPr>
        <w:t xml:space="preserve">לויז'ניצר ניתנה אז יד חופשית באיוש התפקידים בחברה החדשה. כצפוי, חופש זה גרר לימים דו"ח חריף מאת מבקר המדינה. ואולם ויז'ניצר התאהב כנראה בניסיונו במעצ וניסה ליישמו גם בשתי תחנותיו הבאות במגזר הציבורי. זאת, לפי מודל: הצנחת ויז'ניצר ליו"ר/מנכ"ל חברת ממשלתית על ידי שר משורות ישראל ביתנו - </w:t>
      </w:r>
      <w:r w:rsidRPr="0025709E">
        <w:rPr>
          <w:rFonts w:asciiTheme="majorBidi" w:hAnsiTheme="majorBidi" w:cstheme="majorBidi"/>
          <w:sz w:val="22"/>
          <w:szCs w:val="22"/>
          <w:highlight w:val="yellow"/>
          <w:rtl/>
        </w:rPr>
        <w:t>"טיהור" השדרה הניהולית הקיימת בחברה - מינוי מחליפים כראות עיניו של ויז'ניצר, תוך דגש על חילופי גברי בלשכות המשפטיות</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highlight w:val="lightGray"/>
        </w:rPr>
      </w:pPr>
      <w:r w:rsidRPr="0025709E">
        <w:rPr>
          <w:rFonts w:asciiTheme="majorBidi" w:hAnsiTheme="majorBidi" w:cstheme="majorBidi"/>
          <w:sz w:val="22"/>
          <w:szCs w:val="22"/>
          <w:highlight w:val="lightGray"/>
          <w:rtl/>
        </w:rPr>
        <w:t>כדי להבין את משמעות השליטה ביחידה משפטית של כל</w:t>
      </w:r>
      <w:r w:rsidRPr="0025709E">
        <w:rPr>
          <w:rFonts w:asciiTheme="majorBidi" w:hAnsiTheme="majorBidi" w:cstheme="majorBidi"/>
          <w:sz w:val="22"/>
          <w:szCs w:val="22"/>
          <w:highlight w:val="lightGray"/>
        </w:rPr>
        <w:t> </w:t>
      </w:r>
      <w:hyperlink r:id="rId440" w:history="1">
        <w:r w:rsidRPr="0025709E">
          <w:rPr>
            <w:rStyle w:val="Hyperlink"/>
            <w:rFonts w:asciiTheme="majorBidi" w:hAnsiTheme="majorBidi" w:cstheme="majorBidi"/>
            <w:sz w:val="22"/>
            <w:szCs w:val="22"/>
            <w:rtl/>
          </w:rPr>
          <w:t>חברה ממשלתית</w:t>
        </w:r>
      </w:hyperlink>
      <w:r w:rsidRPr="0025709E">
        <w:rPr>
          <w:rFonts w:asciiTheme="majorBidi" w:hAnsiTheme="majorBidi" w:cstheme="majorBidi"/>
          <w:sz w:val="22"/>
          <w:szCs w:val="22"/>
          <w:highlight w:val="lightGray"/>
        </w:rPr>
        <w:t xml:space="preserve">, </w:t>
      </w:r>
      <w:r w:rsidRPr="0025709E">
        <w:rPr>
          <w:rFonts w:asciiTheme="majorBidi" w:hAnsiTheme="majorBidi" w:cstheme="majorBidi"/>
          <w:sz w:val="22"/>
          <w:szCs w:val="22"/>
          <w:highlight w:val="lightGray"/>
          <w:rtl/>
        </w:rPr>
        <w:t>ולא רק מעצ, יש לתאר קודם את סמכויותיה. יועץ משפטי בחברה ממשלתית הוא שומר הסף הראשון בה. הוא קרוב ומעורה בליבת פעילותה השוטפת. הוא שאחראי על כל ההיבטים המשפטיים בפעילותה, ומלווה את מנגנון קבלת ההחלטות בהנהלת החברה והדירקטוריון</w:t>
      </w:r>
      <w:r w:rsidRPr="0025709E">
        <w:rPr>
          <w:rFonts w:asciiTheme="majorBidi" w:hAnsiTheme="majorBidi" w:cstheme="majorBidi"/>
          <w:sz w:val="22"/>
          <w:szCs w:val="22"/>
          <w:highlight w:val="lightGray"/>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highlight w:val="lightGray"/>
          <w:rtl/>
        </w:rPr>
        <w:t>בפועל, הוא גם זה שמחזיק בזכות וטו על הכרעות המתקבלות בוועדות המכרזים, ומשמש משקיף בוועדות האיתור למינוי בכירים. במלים אחרות, היועץ המשפטי - והלשכה המשפטית כולה — הם חותמת הכשרות בדרך למיליארדי השקלים מכספי ציבור שמשולמים מדי שנה לקבלנים ולספקים. על הדרך, הם גם אלה שיושבים בצומת הבקרה על המינויים הפוליטיים</w:t>
      </w:r>
      <w:r w:rsidRPr="0025709E">
        <w:rPr>
          <w:rFonts w:asciiTheme="majorBidi" w:hAnsiTheme="majorBidi" w:cstheme="majorBidi"/>
          <w:sz w:val="22"/>
          <w:szCs w:val="22"/>
          <w:highlight w:val="lightGray"/>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tl/>
        </w:rPr>
        <w:t>ואמנם, ועדות המכרזים של מעצ ריכזו בשנים האחרונות תשומת לב יתירה. באחד התחקירים שפורסמו לפני כשנתיים ב</w:t>
      </w:r>
      <w:r w:rsidRPr="0025709E">
        <w:rPr>
          <w:rFonts w:asciiTheme="majorBidi" w:hAnsiTheme="majorBidi" w:cstheme="majorBidi"/>
          <w:sz w:val="22"/>
          <w:szCs w:val="22"/>
        </w:rPr>
        <w:t>–TheMarker ("</w:t>
      </w:r>
      <w:r w:rsidRPr="0025709E">
        <w:rPr>
          <w:rFonts w:asciiTheme="majorBidi" w:hAnsiTheme="majorBidi" w:cstheme="majorBidi"/>
          <w:sz w:val="22"/>
          <w:szCs w:val="22"/>
          <w:rtl/>
        </w:rPr>
        <w:t>המיליארדים של מהפכת התחבורה זורמים למקורבים", 13 בספטמבר 2012) תועדו שני מקרים שבהם גורמים בחברה לחצו לאשר בדיעבד לקבלנים פיצויים בסך עשרות מיליוני שקלים בגין "שינוי הוראות" לכאורה שבוצע במהלך הפרויקט, ללא הצדקה ובניגוד לעמדת הייעוץ המשפטי הפנימי</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tl/>
        </w:rPr>
        <w:t>כך, לציבור אין מושג כיצד התנהל במשך העשור האחרון מנגנון תשלומי העתק לקבלני התשתיות בכלל החברות הממשלתיות, וכיצד פועל מנגנון קנסות המיליונים שנקבעו ואז בוטלו שרירותית, כמו גם מאות המיליונים שחולקו ללא מכרז למנהלי פרויקטים. בבקרה על כל אלה שמה הממשלה את מבטחה ביועצים המשפטיים של החברה</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highlight w:val="lightGray"/>
          <w:rtl/>
        </w:rPr>
        <w:t>לפיכך, הצנחת מועמדים־מטעם למחלקות הכספים או משאבי אנוש — אין בה די כדי לשלוט בחברה. רק דריסת רגל בלשכה המשפטית עשויה להביא ליד חופשית בחלוקת כספים למקורבים ובהשתקת מינויים פוליטיים, כל עוד אלה נדרשים, כמובן</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highlight w:val="lightGray"/>
          <w:rtl/>
        </w:rPr>
        <w:t>גורם בענף התשתיות התנדב בעבר להסביר מדוע מעצ מנסה להימנע מפרסום מכרזים להעסקת יועץ משפטי פנימי של הלשכה המשפטית שלה ומעדיפה להיסמך על חוות דעת שהיא מקבלת מעורכי דין חיצוניים. "הפונקציה של יועץ משפטי היא בעייתית בכל חברה", הסביר הגורם. "הוא יכול לתקוע מהלכים, לשאול שאלות. כך, אם הוא ייהפך רק לסדרן עבודה של עובדים חיצוניים, הוא יוכל לקבל איזו חוות דעת שירצה המנכ"ל מעורכי דין חיצוניים — או למעשה לקנות אותה</w:t>
      </w:r>
      <w:r w:rsidRPr="0025709E">
        <w:rPr>
          <w:rFonts w:asciiTheme="majorBidi" w:hAnsiTheme="majorBidi" w:cstheme="majorBidi"/>
          <w:sz w:val="22"/>
          <w:szCs w:val="22"/>
          <w:highlight w:val="lightGray"/>
        </w:rPr>
        <w:t>".</w:t>
      </w:r>
    </w:p>
    <w:p w:rsidR="0025709E" w:rsidRPr="0025709E" w:rsidRDefault="0025709E" w:rsidP="0025709E">
      <w:pPr>
        <w:rPr>
          <w:rFonts w:asciiTheme="majorBidi" w:hAnsiTheme="majorBidi" w:cstheme="majorBidi"/>
          <w:sz w:val="22"/>
          <w:szCs w:val="22"/>
          <w:rtl/>
        </w:rPr>
      </w:pPr>
      <w:r w:rsidRPr="0025709E">
        <w:rPr>
          <w:rFonts w:asciiTheme="majorBidi" w:hAnsiTheme="majorBidi" w:cstheme="majorBidi"/>
          <w:sz w:val="22"/>
          <w:szCs w:val="22"/>
          <w:rtl/>
        </w:rPr>
        <w:t>אך מדוע חייבים לשכור עורכי דין חיצוניים אם אפשר למנות מקורב ליועץ משפטי פנימי</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b/>
          <w:bCs/>
          <w:sz w:val="22"/>
          <w:szCs w:val="22"/>
          <w:rtl/>
        </w:rPr>
        <w:t>הבוררות מול וינוגרד</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highlight w:val="yellow"/>
          <w:rtl/>
        </w:rPr>
        <w:t>הסיכון בהשתלטות פוליטית על לשכות משפטיות אינו חייב להגיע עד כדי מעילה בכספי ציבור או הלבנת מינויי מקורבים. הוא יכול להסתכם ב"סתם" תפקוד חסר, ניסוח לקוי של חוזים או חלוקה מוטית ולא מושכלת של תיקי ייצוג. זאת, כעוד מסלול כשר לכאורה לצ'פר מקורבים מכספי ציבור</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highlight w:val="yellow"/>
          <w:rtl/>
        </w:rPr>
        <w:t>הרי מסירת טיפול בתיק משפטי כבד, כזה שצפוי להתדיינות ממושכת — תחילה בהליכי משא ומתן, לאחר מכן בגישור ולבסוף בבית משפט או בבוררות — משמעותה בוננזה כלכלית לצוות המשפטנים בזכות רישום שעות עבודה רבות, קל וחומר כשמדובר בעורך דין אחד</w:t>
      </w:r>
      <w:r w:rsidRPr="0025709E">
        <w:rPr>
          <w:rFonts w:asciiTheme="majorBidi" w:hAnsiTheme="majorBidi" w:cstheme="majorBidi"/>
          <w:sz w:val="22"/>
          <w:szCs w:val="22"/>
          <w:highlight w:val="yellow"/>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highlight w:val="yellow"/>
          <w:rtl/>
        </w:rPr>
        <w:t>בניגוד למגזר העסקי, איש לא שאל מעולם חברה ממשלתית מדוע הפסידה בתיק משפטי, מדוע נדרשה לשלם פיצויים ואם יכולה היתה להימנע בכלל מההליך. מדובר בכיס עמוק שתחת אצטלה של ערכאות משפטיות ניתן לשאוב דרכו כספים באין מפריע ותחת כסות חוקית לחלוטין</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tl/>
        </w:rPr>
        <w:t>התוצאה היא ניכוס של כספי ציבור בערוץ טבעי שאינו מעורר כל חשד. גם אם היה מעורר חשד כזה, אין הרי טעם לאכוף טעויות בהפעלת שיקול דעת. זאת, כשממילא אין כיום מי שמבקר הוצאת כספי ציבור בפשרות משפטיות, אין מי שבולש אחר גובה הפיצויים שמשלמות חברות ממשלתיות בתום הפרויקט, ואין מי שמסוגל לנתח הפסדים בבתי משפט או לבקר חלוקת תיק לעורך דין</w:t>
      </w:r>
      <w:r w:rsidRPr="0025709E">
        <w:rPr>
          <w:rFonts w:asciiTheme="majorBidi" w:hAnsiTheme="majorBidi" w:cstheme="majorBidi"/>
          <w:sz w:val="22"/>
          <w:szCs w:val="22"/>
        </w:rPr>
        <w:t xml:space="preserve"> X </w:t>
      </w:r>
      <w:r w:rsidRPr="0025709E">
        <w:rPr>
          <w:rFonts w:asciiTheme="majorBidi" w:hAnsiTheme="majorBidi" w:cstheme="majorBidi"/>
          <w:sz w:val="22"/>
          <w:szCs w:val="22"/>
          <w:rtl/>
        </w:rPr>
        <w:t>במקום ל</w:t>
      </w:r>
      <w:r w:rsidRPr="0025709E">
        <w:rPr>
          <w:rFonts w:asciiTheme="majorBidi" w:hAnsiTheme="majorBidi" w:cstheme="majorBidi"/>
          <w:sz w:val="22"/>
          <w:szCs w:val="22"/>
        </w:rPr>
        <w:t>–Y.</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tl/>
        </w:rPr>
        <w:t xml:space="preserve">כך, ורק לשם הדוגמה, ניתן להעמיד עורך דין אלמוני מול סוללת עורכי הדין מטעם אחד ממשרדי הליטיגציה המובילים בישראל, לפחות עד שיידרדרו המגעים לכדי תביעה בבית משפט — ועד אז להבטיח לו בלעדיות על רישום שעות ייצוג. באמצעות אותה פרצה, </w:t>
      </w:r>
      <w:r w:rsidRPr="0025709E">
        <w:rPr>
          <w:rFonts w:asciiTheme="majorBidi" w:hAnsiTheme="majorBidi" w:cstheme="majorBidi"/>
          <w:sz w:val="22"/>
          <w:szCs w:val="22"/>
          <w:highlight w:val="lightGray"/>
          <w:rtl/>
        </w:rPr>
        <w:t>יכולה באופן תיאורטי אשת חשוד בפרשת שחיתות להעביר מיליוני שקלים לנחקר אחר בתיק, שיכול לסבך את בעלה — על חשבון כספי ציבור</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Pr>
        <w:t>"</w:t>
      </w:r>
      <w:r w:rsidRPr="0025709E">
        <w:rPr>
          <w:rFonts w:asciiTheme="majorBidi" w:hAnsiTheme="majorBidi" w:cstheme="majorBidi"/>
          <w:sz w:val="22"/>
          <w:szCs w:val="22"/>
          <w:rtl/>
        </w:rPr>
        <w:t>ההחלטה אם לשמור תיק לעצמי — או להוציא אותו למיקור חוץ, ואם כן, אז להוציא אותו לעורך דין זה או אחר — היא שלי ורק שלי", מעיד יועץ משפטי לשעבר באחת החברות הממשלתיות. "אני זה שמחליט אם יש לי את היתרון היחסי בטיפול בתיק או שמבחינת ידע, ניסיון וכוח אדם, מוטב להוציאו לעורך דין חיצוני</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tl/>
        </w:rPr>
        <w:t>ואמנם, במעצ הבינו לימים את הבעייתיות שבמסירת הייצוג בתיק התביעה הענקית של שפיר לעורך דין בודד — טוב ככל שיהיה — לאחר שההליך המשפטי בין החברה לבין שפיר הסתבכו. בתום התדיינות עקרה בת חודשים בניסיון להגיע לפשרה ולהניא את שפיר מהגשת תביעה, פנתה שפיר לערכאות והגישה את תביעתה הכספית האסטרונומית</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tl/>
        </w:rPr>
        <w:t>הצדדים פנו לבוררות בפני השופט לשעבר אורי גורן, אך בעקבות מחלוקת על שכר טרחתו הועבר התיק לשופט בדימוס אליהו וינוגרד. או אז החליטה מעצ לעבות את הצוות המשפטי שתעמיד מול סוללת עורכי הדין של שפיר מטעם משרד ש. הורוביץ, ממשרדי הליטיגציה המובילים בישראל. שהרי בכל זאת, מדובר בתביעה בגובה תקציבה השוטף של מעצ בחמש השנים האחרונות גם יחד</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tl/>
        </w:rPr>
        <w:t>לקראת ההתדיינות המשפטיות הוחלט לצרף לעורך הדין מני את משרד עורכי הדין לוי, מי־דן ושות' — מהמובילים בישראל בנישת מיזמי התשתית. המהלך נומק בעומס החומרים שהגישה שפיר לבוררות, ובהם 1,000 עמודי תביעה בשבעה ארגזים</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tl/>
        </w:rPr>
        <w:t xml:space="preserve">מה הבינו בלשכה המשפטית של מעצ בשלב זה שלא הבינו קודם לכן? </w:t>
      </w:r>
      <w:r w:rsidRPr="0025709E">
        <w:rPr>
          <w:rFonts w:asciiTheme="majorBidi" w:hAnsiTheme="majorBidi" w:cstheme="majorBidi"/>
          <w:sz w:val="22"/>
          <w:szCs w:val="22"/>
          <w:highlight w:val="yellow"/>
          <w:rtl/>
        </w:rPr>
        <w:t>אין לדעת. האם הבחירה במני לייצוג החברה הממשלתית היתה מוצדקת מבחינה מקצועית ושירתה את האינטרס הציבורי? ייתכן שכן. בכל זאת, מדובר בעורך דין שניהל לפני שנתיים עבור ישראל ביתנו משא ומתן קואליציוני (במקביל לעבודתו עבור מעצ</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tl/>
        </w:rPr>
        <w:t>ואולם אם נחזור לדיון במנגנון הפוליטי לכאורה שנוצר ביחידה המשפטית של מעצ, ולשאלה אם מדובר ביד המקרה - או שמא בדפוס חוזר בהתנהלות השגורה בחברות התשתית הממשלתיות - ראוי לבחון את המהלכים שביצעה גם חברת המים הלאומית מקורות בקרב חוג יועציה המשפטיים, לאחר מינויו של ויז'ניצר ב–2010 ליו"ר הדירקטוריון שלה</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b/>
          <w:bCs/>
          <w:sz w:val="22"/>
          <w:szCs w:val="22"/>
        </w:rPr>
        <w:t xml:space="preserve">27 </w:t>
      </w:r>
      <w:r w:rsidRPr="0025709E">
        <w:rPr>
          <w:rFonts w:asciiTheme="majorBidi" w:hAnsiTheme="majorBidi" w:cstheme="majorBidi" w:hint="cs"/>
          <w:b/>
          <w:bCs/>
          <w:sz w:val="22"/>
          <w:szCs w:val="22"/>
          <w:rtl/>
        </w:rPr>
        <w:t xml:space="preserve"> </w:t>
      </w:r>
      <w:r w:rsidRPr="0025709E">
        <w:rPr>
          <w:rFonts w:asciiTheme="majorBidi" w:hAnsiTheme="majorBidi" w:cstheme="majorBidi"/>
          <w:b/>
          <w:bCs/>
          <w:sz w:val="22"/>
          <w:szCs w:val="22"/>
          <w:rtl/>
        </w:rPr>
        <w:t>מיליון שקל לטובת ההילולה במירון</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highlight w:val="yellow"/>
          <w:rtl/>
        </w:rPr>
        <w:t>ויז'ניצר מונה ליו"ר מקורות על ידי שר התשתיות דאז וחבר ישראל ביתנו, עוזי לנדאו. בתוך שנה החליף ויז'ניצר את מנכ"ל החברה, היועץ המשפטי, סמנכ"ל הכספים, סמנכ"ל משאבי האנוש, מנהל מרחב צפון ומנכ"ל החברה הבת, מקורות ייזום</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highlight w:val="yellow"/>
        </w:rPr>
      </w:pPr>
      <w:r w:rsidRPr="0025709E">
        <w:rPr>
          <w:rFonts w:asciiTheme="majorBidi" w:hAnsiTheme="majorBidi" w:cstheme="majorBidi"/>
          <w:sz w:val="22"/>
          <w:szCs w:val="22"/>
          <w:highlight w:val="yellow"/>
          <w:rtl/>
        </w:rPr>
        <w:t>לתפקיד יועצת משפטית קידם ויז'ניצר עורכת דין צעירה יחסית מתוך החברה, שאותה החזיק זמן מה על תקן רעוע של ממלאת מקום. במקביל, מינה לתפקיד חדש של מזכיר חברה, בתקן משפטן, את עורכת הדין איילת עציון, בתה של עליזה בראשי, מנהלת סיעת הליכוד בכנסת</w:t>
      </w:r>
      <w:r w:rsidRPr="0025709E">
        <w:rPr>
          <w:rFonts w:asciiTheme="majorBidi" w:hAnsiTheme="majorBidi" w:cstheme="majorBidi"/>
          <w:sz w:val="22"/>
          <w:szCs w:val="22"/>
          <w:highlight w:val="yellow"/>
        </w:rPr>
        <w:t>.</w:t>
      </w:r>
    </w:p>
    <w:p w:rsidR="0025709E" w:rsidRPr="0025709E" w:rsidRDefault="0025709E" w:rsidP="0025709E">
      <w:pPr>
        <w:rPr>
          <w:rFonts w:asciiTheme="majorBidi" w:hAnsiTheme="majorBidi" w:cstheme="majorBidi"/>
          <w:sz w:val="22"/>
          <w:szCs w:val="22"/>
          <w:highlight w:val="yellow"/>
        </w:rPr>
      </w:pPr>
      <w:r w:rsidRPr="0025709E">
        <w:rPr>
          <w:rFonts w:asciiTheme="majorBidi" w:hAnsiTheme="majorBidi" w:cstheme="majorBidi"/>
          <w:sz w:val="22"/>
          <w:szCs w:val="22"/>
          <w:highlight w:val="yellow"/>
          <w:rtl/>
        </w:rPr>
        <w:t>לתפקיד מנכ"ל מקורות בחר ויז'ניצר בשמעון בן חמו, לשעבר המשנה למנהל רשות החברות הממשלתיות, שמולו עבד בעת כהונתו במעצ. על כס מנכ"ל מקורות ייזום הושיב את עופר לאופמן, לשעבר יו"ר ומנכ"ל החטיבה להתיישבות — שכיום עומדת במרכז פרשת השחיתות לכאורה במנגנון ישראל ביתנו. עם כניסתו לתפקיד, נחתה בלשכת לאופמן עוזרת מוכשרת בשנות ה–20 לחייה בשם שירלה שלום. מדובר באחותו של שרון שלום, יד ימינו של ליברמן, שרעייתו מכהנת כזכור כסגנית היועץ המשפטי במעצ</w:t>
      </w:r>
      <w:r w:rsidRPr="0025709E">
        <w:rPr>
          <w:rFonts w:asciiTheme="majorBidi" w:hAnsiTheme="majorBidi" w:cstheme="majorBidi"/>
          <w:sz w:val="22"/>
          <w:szCs w:val="22"/>
          <w:highlight w:val="yellow"/>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highlight w:val="yellow"/>
          <w:rtl/>
        </w:rPr>
        <w:t>על רקע הקשיים ההנדסיים והפיננסיים שאליהם נקלע פרויקט הדגל של מקורות ייזום — הקמת מתקן ההתפלה הגדול באשדוד — עזב לאופמן את תפקידו בתוך פחות משנתיים. עוזרתו, לעומת זאת, נותרה בחברה. אף שמונתה תחילה למשרת אמון בלא מכרז — הוכנסה שלום אל הלשכה המשפטית של מקורות ייזום וכיום היא עובדת תחת היועץ המשפטי של החברה</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Pr>
        <w:t>"</w:t>
      </w:r>
      <w:r w:rsidRPr="0025709E">
        <w:rPr>
          <w:rFonts w:asciiTheme="majorBidi" w:hAnsiTheme="majorBidi" w:cstheme="majorBidi"/>
          <w:sz w:val="22"/>
          <w:szCs w:val="22"/>
          <w:rtl/>
        </w:rPr>
        <w:t>לאחר פרישת המנכ"ל היה ערך מוסף להיכרותה של שלום עם החברה, ולהשכלתה המשפטית עבור קליטתה בתקן זוטר בלשכה המשפטית", מסרה מקורות בתגובה</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tl/>
        </w:rPr>
        <w:t>לאחר שהשלים את "טיהור" השדרה הניהולית ואת כיבוש הלשכות המשפטיות, נערך ויז'ניצר לקצירת הפירות, אלא שאז חלה תפנית מפתיעה בעלילה המוכרת. שר האנרגיה הטרי, סילבן שלום, הדהים כשסירב להאריך את כהונתו של ויז'ניצר לקדנציה שנייה, ותוכניותיו של ויז'ניצר נגדעו באחת</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highlight w:val="yellow"/>
          <w:rtl/>
        </w:rPr>
        <w:t>לפני שעזב עוד הספיקה מקורות ייזום לאייש תקן נוסף של שומר סף — מבקר הפנים. לתפקיד רגיש זה נבחר מוטי ברעלי, מכר של רו"ח משה ליאון ובן כיתתו בתקופת לימודיהם בבית הספר</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tl/>
        </w:rPr>
        <w:t>ליאון, מהמקורבים ביותר לליברמן ולאחרונה מועמדו לתפקיד ראש עיריית ירושלים, נחקר אף הוא בחודש שעבר באזהרה בפרשת ישראל ביתנו, לאחר שב–2013 הוביל יחד עם מני את המשא ומתן הקואליציוני מטעם ישראל ביתנו. מובן שאין בציון הקרבה של השניים כדי להעיד על זיקה כלשהי של לאון למינוי של ברעלי או לפעילותו בחברה</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tl/>
        </w:rPr>
        <w:t>למרות עזיבתו המפתיעה של ויז'ניצר ולנוכח הגב הפוליטי שבו נתמך, ברור היה כי יהיה זה עניין של זמן עד שיימצא עבורו תפקיד באחת החברות הממשלתיות האחרות. ואמנם, החברים בישראל ביתנו דאגו כי ידיו לא יישארו מחוסרות עבודה</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highlight w:val="yellow"/>
          <w:rtl/>
        </w:rPr>
        <w:t>ב–2012 החליט שר התיירות, סטס מיסז'ניקוב, למנות את ויז'ניצר לתפקיד יו"ר דירקטוריון חברה ממשלתית חדשה שתופקד על ניהול מתחם קבר רבי שמעון בר יוחאי (הרשב"י) שבמירון</w:t>
      </w:r>
      <w:r w:rsidRPr="0025709E">
        <w:rPr>
          <w:rFonts w:asciiTheme="majorBidi" w:hAnsiTheme="majorBidi" w:cstheme="majorBidi"/>
          <w:sz w:val="22"/>
          <w:szCs w:val="22"/>
          <w:highlight w:val="yellow"/>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tl/>
        </w:rPr>
        <w:t>על המינוי הסופי בחברה, שחולשת על תקציב שנתי של 27 מיליון שקל, חתם כבר שר התיירות הבא, עוזי לנדאו. ואולם עוד לפני שטיפלה החברה בהילולת ל"ג בעומר אחת, התבשר ויז'ניצר כי יקבל לידיו את ראשות דירקטוריון נ.ת.ע, החברה הממשלתית שהופקדה על מיזמי הסעת ההמונים בגוש דן, ובראשם פרויקט הקו האדום התקוע של הרכבת הקלה</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b/>
          <w:bCs/>
          <w:sz w:val="22"/>
          <w:szCs w:val="22"/>
          <w:rtl/>
        </w:rPr>
        <w:t>שבעה מיוצאי מעצ יובאו לנ.ת.ע</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highlight w:val="yellow"/>
          <w:rtl/>
        </w:rPr>
        <w:t>מינויו של ויז'ניצר ליו"ר נ.ת.ע לא הפתיע. ייכתב מה שייכתב, אין עוד אנשי ביצוע כמותו בשירות הציבורי, ויכולותיו הניהוליות והתכליתיות של ויז'ניצר — גם אם נהג באגרסיביות לעתים — הותירו לאורך השנים חותם פרויקטלי מרשים בשטח</w:t>
      </w:r>
      <w:r w:rsidRPr="0025709E">
        <w:rPr>
          <w:rFonts w:asciiTheme="majorBidi" w:hAnsiTheme="majorBidi" w:cstheme="majorBidi"/>
          <w:sz w:val="22"/>
          <w:szCs w:val="22"/>
          <w:highlight w:val="yellow"/>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tl/>
        </w:rPr>
        <w:t>חותם נוסף הספיק ויז'ניצר לרשום לזכותו גם בשנה וחצי בלבד של כהונה בנ.ת.ע, שבה הוביל את אחד המהלכים המאסיביים ביותר בניהול כוח האדם בחברות הממשלתיות</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tl/>
        </w:rPr>
      </w:pPr>
      <w:r w:rsidRPr="0025709E">
        <w:rPr>
          <w:rFonts w:asciiTheme="majorBidi" w:hAnsiTheme="majorBidi" w:cstheme="majorBidi"/>
          <w:sz w:val="22"/>
          <w:szCs w:val="22"/>
          <w:rtl/>
        </w:rPr>
        <w:t>נאמן לדרכו ולאנשי אמונו, בנה ויז'ניצר מחדש את השדרה הניהולית בנ.ת.ע תוך שהוא מחליף בזה אחר זה את כל הבכירים בחברה באנשיו. לא פחות משבעה יוצאי מעצ מצאו את דרכם אל צמרת האכסניה החדשה, כולל ויז'ניצר. תחתיו, הביא לתפקיד מנכ"ל נ.ת.ע את יד ימינו במעצ, יהודה בר־און, שנעתר לחזור למגזר הציבורי ולאחד כוחות עם מנהלו בעבר</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tl/>
        </w:rPr>
        <w:t>תחת בר־און, מונו משנה למנכ"ל, שי יפתח (לשעבר סמנכ"ל הכספים במעצ), סמנכ"ל תכנון, ניר קוגל (לשעבר מנהל אגף תכנון במעצ), סמנכ"ל ביצוע ארז כוכבי (לשעבר ראש מינהלת פרויקטים מסילתיים במעצ), סמנכ"לית קיימות ואיכות, גלי גלט שמחי (לשעבר עוזרת סמנכ"ל תכנון וביצוע במעצ), וראש מטה, שרון וולפר (לשעבר סגן מנהל אגף תקציבים במעצ</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highlight w:val="yellow"/>
        </w:rPr>
      </w:pPr>
      <w:r w:rsidRPr="0025709E">
        <w:rPr>
          <w:rFonts w:asciiTheme="majorBidi" w:hAnsiTheme="majorBidi" w:cstheme="majorBidi"/>
          <w:sz w:val="22"/>
          <w:szCs w:val="22"/>
          <w:highlight w:val="yellow"/>
          <w:rtl/>
        </w:rPr>
        <w:t>ומה באשר לייעוץ המשפטי? שם חיכתה לויז'ניצר ירושה קשה. ימים לפני שקודמו בתפקיד, יצחק זוכמן, פינה את הכיסא, הוא מינה לתפקיד היועצת המשפטית של החברה את עורכת הדין חנה פרנקל, שלה היכרות מוקדמת ומאתגרת עם ויז'ניצר: היא כיהנה לפני כן כיועצת המשפטית של רשות המים, הרגולטור ממרר החיים של חברת מקורות</w:t>
      </w:r>
      <w:r w:rsidRPr="0025709E">
        <w:rPr>
          <w:rFonts w:asciiTheme="majorBidi" w:hAnsiTheme="majorBidi" w:cstheme="majorBidi"/>
          <w:sz w:val="22"/>
          <w:szCs w:val="22"/>
          <w:highlight w:val="yellow"/>
        </w:rPr>
        <w:t>.</w:t>
      </w:r>
    </w:p>
    <w:p w:rsidR="0025709E" w:rsidRPr="0025709E" w:rsidRDefault="0025709E" w:rsidP="0025709E">
      <w:pPr>
        <w:rPr>
          <w:rFonts w:asciiTheme="majorBidi" w:hAnsiTheme="majorBidi" w:cstheme="majorBidi"/>
          <w:sz w:val="22"/>
          <w:szCs w:val="22"/>
          <w:highlight w:val="yellow"/>
        </w:rPr>
      </w:pPr>
      <w:r w:rsidRPr="0025709E">
        <w:rPr>
          <w:rFonts w:asciiTheme="majorBidi" w:hAnsiTheme="majorBidi" w:cstheme="majorBidi"/>
          <w:sz w:val="22"/>
          <w:szCs w:val="22"/>
          <w:highlight w:val="yellow"/>
          <w:rtl/>
        </w:rPr>
        <w:t>ואמנם לא חלפו שמונה חודשים מכניסתו של ויז'ניצר למשרדי נ.ת.ע, ופרנקל הודיעה במפתיע, או שלא, על כוונתה לפרוש מהתפקיד. בענף התחבורה יש מי שתיאר את פרנקל כ"נמלטת על נפשה</w:t>
      </w:r>
      <w:r w:rsidRPr="0025709E">
        <w:rPr>
          <w:rFonts w:asciiTheme="majorBidi" w:hAnsiTheme="majorBidi" w:cstheme="majorBidi"/>
          <w:sz w:val="22"/>
          <w:szCs w:val="22"/>
          <w:highlight w:val="yellow"/>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highlight w:val="yellow"/>
          <w:rtl/>
        </w:rPr>
        <w:t>הנהלת נ.ת.ע מצדה לא השתהתה במינוי ממלאת מקום לפרנקל. היא בחרה לשם כך בעורכת הדין בשמת פלג־סרצ'נסקי, גיסתו של שר הפנים לשעבר, גדעון סער (הליכוד). מתחת לאפו של סער במשרד הפנים, כך חושדת המשטרה, פעל באין מפריע מפעל השוחד לכאורה של ישראל ביתנו, בהנהגת סגניתו</w:t>
      </w:r>
      <w:r w:rsidRPr="0025709E">
        <w:rPr>
          <w:rFonts w:asciiTheme="majorBidi" w:hAnsiTheme="majorBidi" w:cstheme="majorBidi"/>
          <w:sz w:val="22"/>
          <w:szCs w:val="22"/>
          <w:highlight w:val="yellow"/>
        </w:rPr>
        <w:t> </w:t>
      </w:r>
      <w:hyperlink r:id="rId441" w:history="1">
        <w:r w:rsidRPr="0025709E">
          <w:rPr>
            <w:rStyle w:val="Hyperlink"/>
            <w:rFonts w:asciiTheme="majorBidi" w:hAnsiTheme="majorBidi" w:cstheme="majorBidi"/>
            <w:sz w:val="22"/>
            <w:szCs w:val="22"/>
            <w:rtl/>
          </w:rPr>
          <w:t>פאינה קירשנבאום</w:t>
        </w:r>
      </w:hyperlink>
      <w:r w:rsidRPr="0025709E">
        <w:rPr>
          <w:rFonts w:asciiTheme="majorBidi" w:hAnsiTheme="majorBidi" w:cstheme="majorBidi"/>
          <w:sz w:val="22"/>
          <w:szCs w:val="22"/>
          <w:highlight w:val="yellow"/>
        </w:rPr>
        <w:t>.</w:t>
      </w:r>
    </w:p>
    <w:p w:rsidR="0025709E" w:rsidRPr="0025709E" w:rsidRDefault="0025709E" w:rsidP="0025709E">
      <w:pPr>
        <w:rPr>
          <w:rFonts w:asciiTheme="majorBidi" w:hAnsiTheme="majorBidi" w:cstheme="majorBidi"/>
          <w:sz w:val="22"/>
          <w:szCs w:val="22"/>
          <w:rtl/>
        </w:rPr>
      </w:pPr>
      <w:r w:rsidRPr="0025709E">
        <w:rPr>
          <w:rFonts w:asciiTheme="majorBidi" w:hAnsiTheme="majorBidi" w:cstheme="majorBidi"/>
          <w:sz w:val="22"/>
          <w:szCs w:val="22"/>
          <w:rtl/>
        </w:rPr>
        <w:t xml:space="preserve">בדיוק כפי שתועד במקורות, גם פלג־סרצ'נסקי לא היתה הבכירה בין עובדי הלשכה המשפטית בנ.ת.ע, לאחר פרישת פרנקל. קדם לה בלשכה עורך דין ותיק ממנה. ואולם מדובר בזוטות </w:t>
      </w:r>
      <w:r w:rsidRPr="0025709E">
        <w:rPr>
          <w:rFonts w:asciiTheme="majorBidi" w:hAnsiTheme="majorBidi" w:cstheme="majorBidi"/>
          <w:sz w:val="22"/>
          <w:szCs w:val="22"/>
          <w:highlight w:val="yellow"/>
          <w:rtl/>
        </w:rPr>
        <w:t>אם נזכרים בהליך קליטתה אל שורות נ.ת.ע. אז, נדרשה החברה לכונן שתי ועדות איתור לאיוש התפקיד הזוטר יחסית בלשכה המשפטית, לאחר שהוועדה הראשונה דירגה את פלג־סרצ'נסקי רק במקום השלישי מקרב המועמדים - ופורקה</w:t>
      </w:r>
      <w:r w:rsidRPr="0025709E">
        <w:rPr>
          <w:rFonts w:asciiTheme="majorBidi" w:hAnsiTheme="majorBidi" w:cstheme="majorBidi"/>
          <w:sz w:val="22"/>
          <w:szCs w:val="22"/>
          <w:rtl/>
        </w:rPr>
        <w:t>. לשכת סער הגיבה בעבר כי לא היה לו כל קשר לנ.ת.ע וכל זיקה למינויים בה</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b/>
          <w:bCs/>
          <w:sz w:val="22"/>
          <w:szCs w:val="22"/>
          <w:highlight w:val="lightGray"/>
          <w:rtl/>
        </w:rPr>
        <w:t>מעצ:</w:t>
      </w:r>
      <w:r w:rsidRPr="0025709E">
        <w:rPr>
          <w:rFonts w:asciiTheme="majorBidi" w:hAnsiTheme="majorBidi" w:cstheme="majorBidi"/>
          <w:b/>
          <w:bCs/>
          <w:sz w:val="22"/>
          <w:szCs w:val="22"/>
          <w:rtl/>
        </w:rPr>
        <w:t xml:space="preserve"> "שכר הטרחה של עו"ד יואב מני נמוך מהתעריף המאושר</w:t>
      </w:r>
      <w:r w:rsidRPr="0025709E">
        <w:rPr>
          <w:rFonts w:asciiTheme="majorBidi" w:hAnsiTheme="majorBidi" w:cstheme="majorBidi"/>
          <w:b/>
          <w:bCs/>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Pr>
        <w:t>"</w:t>
      </w:r>
      <w:r w:rsidRPr="0025709E">
        <w:rPr>
          <w:rFonts w:asciiTheme="majorBidi" w:hAnsiTheme="majorBidi" w:cstheme="majorBidi"/>
          <w:sz w:val="22"/>
          <w:szCs w:val="22"/>
          <w:rtl/>
        </w:rPr>
        <w:t>עו"ד יואב מני מלווה את פרויקט עוקף קריות משלב הביצוע, ומטבע הדברים הוא מלווה את הפרויקט גם בשלב הנוכחי, שבו מתבררות תביעות משפטיות הדדיות בין הקבלן לחברה" - כך מסרה חברת נתיבי ישראל בתגובה לשאלה אודות העסקת פרקליטו לשעבר של יו"ר מפלגת ישראל ביתנו, אביגדור ליברמן, כיועץ משפטי מטעמה בתיק זה</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Pr>
        <w:t>"</w:t>
      </w:r>
      <w:r w:rsidRPr="0025709E">
        <w:rPr>
          <w:rFonts w:asciiTheme="majorBidi" w:hAnsiTheme="majorBidi" w:cstheme="majorBidi"/>
          <w:sz w:val="22"/>
          <w:szCs w:val="22"/>
          <w:highlight w:val="yellow"/>
          <w:rtl/>
        </w:rPr>
        <w:t>משיקולים מקצועיים ברורים נוטה חברת נתיבי ישראל למנות עו"ד שילווה את הפרויקט לכל אורכו, שכן הכרת הפרויקט על בוריו חיונית והוכיחה את עצמה במספר רב של מקרים</w:t>
      </w:r>
      <w:r w:rsidRPr="0025709E">
        <w:rPr>
          <w:rFonts w:asciiTheme="majorBidi" w:hAnsiTheme="majorBidi" w:cstheme="majorBidi"/>
          <w:sz w:val="22"/>
          <w:szCs w:val="22"/>
          <w:rtl/>
        </w:rPr>
        <w:t>. בפרויקטים מורכבים דוגמת עוקף קריות הדבר מקבל משנה חשיבות. שכר הטרחה המשולם לעו"ד מני ולכל עורכי הדין מטעם החברה נמוך אף מהתעריף המאושר על ידי רשות החברות", נמסר עוד</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tl/>
        </w:rPr>
        <w:t>באשר לתהיה אודות עיתוי גיבויו של מני בעורכי דין נוספים מסרה נתיבי ישראל כי "בשל מורכבות התביעות והיקפן הוחלט לעבות את הצוות המשפטי במשרד נוסף בעל התמחות ספציפית בבוררויות מסוג זה. הדברים נעשו בידיעת ובאישור רשות החברות הממשלתיות. שילוב של שני משרדי עורכי הדין, המשלימים זה את זה, נותן מענה משפטי אשר ישמור על האינטרס הציבורי בבוררות ובמאבק המשפטי מול הקבלנים</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tl/>
        </w:rPr>
        <w:t>באשר לתפקידה של עו"ד סימה לוי, כממלאת מקום יועמ"ש החברה נמסר כי זו "נקלטה בחברה לפני תשע שנים במסגרת מכרז פומבי לתפקיד ביחידה המשפטית", וכי הליך מינויו של יועץ משפטי קבוע לחברה יתחדש לאחר מינוי מנכ"ל חדש לחברה</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tl/>
        </w:rPr>
        <w:t>באשר לעו"ד דנה חכים נמסר כי "אין כל דופי בגיוס עובדים דרך חברת כוח אדם והפיכתם לעובדים מן המניין לאחר שמתעורר צורך והם נמצאו מתאימים. עם הקמת חברה ממשלתית חדשה במקום מעצ הישנה היה צורך בגיוס עובדים חדשים במהירות כדי להבטיח רצף והמשכיות של פעילות החברה</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rtl/>
        </w:rPr>
        <w:t>חברת מקורות מסרה בהתייחס למינויו של מוטי ברעלי כי הוא "נבחר למבקר פנים בהליך מכרזי פומבי שאושר על ידי רשות החברות הממשלתיות ונוהל על ידי ועדת הביקורת בדירקטוריון החברה</w:t>
      </w:r>
      <w:r w:rsidRPr="0025709E">
        <w:rPr>
          <w:rFonts w:asciiTheme="majorBidi" w:hAnsiTheme="majorBidi" w:cstheme="majorBidi"/>
          <w:sz w:val="22"/>
          <w:szCs w:val="22"/>
        </w:rPr>
        <w:t>".</w:t>
      </w:r>
    </w:p>
    <w:p w:rsidR="0025709E" w:rsidRPr="0025709E" w:rsidRDefault="0025709E" w:rsidP="0025709E">
      <w:pPr>
        <w:rPr>
          <w:rFonts w:asciiTheme="majorBidi" w:hAnsiTheme="majorBidi" w:cstheme="majorBidi"/>
          <w:sz w:val="22"/>
          <w:szCs w:val="22"/>
        </w:rPr>
      </w:pPr>
      <w:r w:rsidRPr="0025709E">
        <w:rPr>
          <w:rFonts w:asciiTheme="majorBidi" w:hAnsiTheme="majorBidi" w:cstheme="majorBidi"/>
          <w:sz w:val="22"/>
          <w:szCs w:val="22"/>
          <w:highlight w:val="yellow"/>
          <w:rtl/>
        </w:rPr>
        <w:t>ממפלגת ישראל ביתנו נמסר: "זהו חלק מהקמפיין רצוף השקרים שמנהל</w:t>
      </w:r>
      <w:r w:rsidRPr="0025709E">
        <w:rPr>
          <w:rFonts w:asciiTheme="majorBidi" w:hAnsiTheme="majorBidi" w:cstheme="majorBidi"/>
          <w:sz w:val="22"/>
          <w:szCs w:val="22"/>
          <w:highlight w:val="yellow"/>
        </w:rPr>
        <w:t xml:space="preserve"> TheMarker </w:t>
      </w:r>
      <w:r w:rsidRPr="0025709E">
        <w:rPr>
          <w:rFonts w:asciiTheme="majorBidi" w:hAnsiTheme="majorBidi" w:cstheme="majorBidi"/>
          <w:sz w:val="22"/>
          <w:szCs w:val="22"/>
          <w:highlight w:val="yellow"/>
          <w:rtl/>
        </w:rPr>
        <w:t>נגד ישראל ביתנו כבר זמן רב, ובמסגרתו הוא מעוות עובדות ונתונים כדי לצייר תמונה שאינה קשורה כלל למציאות, וזאת כדי לפגוע ולהכפיש את המפלגה</w:t>
      </w:r>
      <w:r w:rsidRPr="0025709E">
        <w:rPr>
          <w:rFonts w:asciiTheme="majorBidi" w:hAnsiTheme="majorBidi" w:cstheme="majorBidi"/>
          <w:sz w:val="22"/>
          <w:szCs w:val="22"/>
        </w:rPr>
        <w:t>".</w:t>
      </w:r>
      <w:r w:rsidRPr="0025709E">
        <w:rPr>
          <w:rFonts w:asciiTheme="majorBidi" w:hAnsiTheme="majorBidi" w:cstheme="majorBidi"/>
          <w:sz w:val="22"/>
          <w:szCs w:val="22"/>
        </w:rPr>
        <w:br/>
      </w:r>
      <w:r w:rsidRPr="0025709E">
        <w:rPr>
          <w:rFonts w:asciiTheme="majorBidi" w:hAnsiTheme="majorBidi" w:cstheme="majorBidi"/>
          <w:sz w:val="22"/>
          <w:szCs w:val="22"/>
          <w:rtl/>
        </w:rPr>
        <w:t>את תגובת אלכס ויז'ניצר לא היה ניתן להשיג. חברת נ.ת.ע ומשה ליאון סירבו להגיב</w:t>
      </w:r>
      <w:r w:rsidRPr="0025709E">
        <w:rPr>
          <w:rFonts w:asciiTheme="majorBidi" w:hAnsiTheme="majorBidi" w:cstheme="majorBidi"/>
          <w:sz w:val="22"/>
          <w:szCs w:val="22"/>
        </w:rPr>
        <w:t>.</w:t>
      </w:r>
    </w:p>
    <w:p w:rsidR="0025709E" w:rsidRDefault="0025709E" w:rsidP="0025709E">
      <w:pPr>
        <w:rPr>
          <w:rFonts w:cs="FrankRuehl"/>
          <w:rtl/>
        </w:rPr>
      </w:pPr>
    </w:p>
    <w:p w:rsidR="0025709E" w:rsidRDefault="0025709E" w:rsidP="0025709E">
      <w:pPr>
        <w:rPr>
          <w:rFonts w:cs="FrankRuehl"/>
          <w:rtl/>
        </w:rPr>
      </w:pPr>
    </w:p>
    <w:p w:rsidR="0025709E" w:rsidRDefault="0025709E" w:rsidP="0025709E">
      <w:pPr>
        <w:rPr>
          <w:rFonts w:cs="FrankRuehl"/>
          <w:rtl/>
        </w:rPr>
      </w:pPr>
      <w:r>
        <w:rPr>
          <w:rFonts w:cs="FrankRuehl" w:hint="cs"/>
          <w:rtl/>
        </w:rPr>
        <w:t>=-=</w:t>
      </w:r>
    </w:p>
    <w:p w:rsidR="0025709E" w:rsidRPr="00DC6B20" w:rsidRDefault="0025709E" w:rsidP="0025709E">
      <w:pPr>
        <w:rPr>
          <w:rFonts w:asciiTheme="majorBidi" w:hAnsiTheme="majorBidi" w:cstheme="majorBidi"/>
          <w:b/>
          <w:bCs/>
          <w:sz w:val="22"/>
          <w:szCs w:val="22"/>
        </w:rPr>
      </w:pPr>
      <w:r w:rsidRPr="00DC6B20">
        <w:rPr>
          <w:rFonts w:asciiTheme="majorBidi" w:hAnsiTheme="majorBidi" w:cstheme="majorBidi"/>
          <w:b/>
          <w:bCs/>
          <w:sz w:val="22"/>
          <w:szCs w:val="22"/>
          <w:rtl/>
        </w:rPr>
        <w:t>טוב שיש חברים, במינהל: ליברמן, לנגנטל והחשד לקידום עסקי קרדן</w:t>
      </w:r>
    </w:p>
    <w:p w:rsidR="0025709E" w:rsidRPr="00DC6B20" w:rsidRDefault="0025709E" w:rsidP="0025709E">
      <w:pPr>
        <w:rPr>
          <w:rFonts w:asciiTheme="majorBidi" w:hAnsiTheme="majorBidi" w:cstheme="majorBidi"/>
          <w:sz w:val="22"/>
          <w:szCs w:val="22"/>
        </w:rPr>
      </w:pPr>
      <w:r>
        <w:rPr>
          <w:rFonts w:asciiTheme="majorBidi" w:hAnsiTheme="majorBidi" w:cstheme="majorBidi" w:hint="cs"/>
          <w:sz w:val="22"/>
          <w:szCs w:val="22"/>
          <w:rtl/>
        </w:rPr>
        <w:t xml:space="preserve">[בנצי] </w:t>
      </w:r>
      <w:r w:rsidRPr="00DC6B20">
        <w:rPr>
          <w:rFonts w:asciiTheme="majorBidi" w:hAnsiTheme="majorBidi" w:cstheme="majorBidi"/>
          <w:sz w:val="22"/>
          <w:szCs w:val="22"/>
          <w:rtl/>
        </w:rPr>
        <w:t>ליברמן ייעץ בעבר לקרדן ועם מינויו למנהל רמ"י - התחייב שלא יעסוק בענייני קרדן ■ ואולם, לפי החשד הוא יזם ישיבה של המינהל כדי לאשר לקרדן מכירת זכויות בקרקע בלוד, והאריך חכירה שלה על שטח בת"א ■ מקורבי ליברמן: לא נפל רבב בפעולתיו</w:t>
      </w:r>
    </w:p>
    <w:p w:rsidR="0025709E" w:rsidRPr="00DC6B20" w:rsidRDefault="0025709E" w:rsidP="0014333E">
      <w:pPr>
        <w:numPr>
          <w:ilvl w:val="0"/>
          <w:numId w:val="38"/>
        </w:numPr>
        <w:spacing w:after="60"/>
        <w:jc w:val="left"/>
        <w:rPr>
          <w:rFonts w:asciiTheme="majorBidi" w:hAnsiTheme="majorBidi" w:cstheme="majorBidi"/>
          <w:sz w:val="22"/>
          <w:szCs w:val="22"/>
        </w:rPr>
      </w:pPr>
      <w:r w:rsidRPr="00DC6B20">
        <w:rPr>
          <w:rFonts w:asciiTheme="majorBidi" w:hAnsiTheme="majorBidi" w:cstheme="majorBidi"/>
          <w:sz w:val="22"/>
          <w:szCs w:val="22"/>
        </w:rPr>
        <w:t>20.01.2015</w:t>
      </w:r>
    </w:p>
    <w:p w:rsidR="0025709E" w:rsidRPr="00DC6B20" w:rsidRDefault="0025709E" w:rsidP="0014333E">
      <w:pPr>
        <w:numPr>
          <w:ilvl w:val="0"/>
          <w:numId w:val="38"/>
        </w:numPr>
        <w:spacing w:after="60"/>
        <w:jc w:val="left"/>
        <w:rPr>
          <w:rFonts w:asciiTheme="majorBidi" w:hAnsiTheme="majorBidi" w:cstheme="majorBidi"/>
          <w:sz w:val="22"/>
          <w:szCs w:val="22"/>
        </w:rPr>
      </w:pPr>
      <w:r w:rsidRPr="00DC6B20">
        <w:rPr>
          <w:rFonts w:asciiTheme="majorBidi" w:hAnsiTheme="majorBidi" w:cstheme="majorBidi"/>
          <w:sz w:val="22"/>
          <w:szCs w:val="22"/>
          <w:rtl/>
        </w:rPr>
        <w:t>מאת</w:t>
      </w:r>
      <w:r w:rsidRPr="00DC6B20">
        <w:rPr>
          <w:rFonts w:asciiTheme="majorBidi" w:hAnsiTheme="majorBidi" w:cstheme="majorBidi"/>
          <w:sz w:val="22"/>
          <w:szCs w:val="22"/>
        </w:rPr>
        <w:t>: </w:t>
      </w:r>
      <w:hyperlink r:id="rId442" w:history="1">
        <w:r w:rsidRPr="00DC6B20">
          <w:rPr>
            <w:rStyle w:val="Hyperlink"/>
            <w:rFonts w:asciiTheme="majorBidi" w:hAnsiTheme="majorBidi" w:cstheme="majorBidi"/>
            <w:b/>
            <w:bCs/>
            <w:sz w:val="22"/>
            <w:szCs w:val="22"/>
            <w:rtl/>
          </w:rPr>
          <w:t>נמרוד בוסו</w:t>
        </w:r>
      </w:hyperlink>
      <w:r w:rsidRPr="00DC6B20">
        <w:rPr>
          <w:rFonts w:asciiTheme="majorBidi" w:hAnsiTheme="majorBidi" w:cstheme="majorBidi"/>
          <w:b/>
          <w:bCs/>
          <w:sz w:val="22"/>
          <w:szCs w:val="22"/>
        </w:rPr>
        <w:t xml:space="preserve">, </w:t>
      </w:r>
      <w:hyperlink r:id="rId443" w:history="1">
        <w:r w:rsidRPr="00DC6B20">
          <w:rPr>
            <w:rStyle w:val="Hyperlink"/>
            <w:rFonts w:asciiTheme="majorBidi" w:hAnsiTheme="majorBidi" w:cstheme="majorBidi"/>
            <w:b/>
            <w:bCs/>
            <w:sz w:val="22"/>
            <w:szCs w:val="22"/>
            <w:rtl/>
          </w:rPr>
          <w:t>יסמין גואטה</w:t>
        </w:r>
      </w:hyperlink>
    </w:p>
    <w:p w:rsidR="0025709E" w:rsidRPr="00DC6B20" w:rsidRDefault="0025709E" w:rsidP="0014333E">
      <w:pPr>
        <w:numPr>
          <w:ilvl w:val="0"/>
          <w:numId w:val="39"/>
        </w:numPr>
        <w:spacing w:after="60"/>
        <w:jc w:val="left"/>
        <w:rPr>
          <w:rFonts w:asciiTheme="majorBidi" w:hAnsiTheme="majorBidi" w:cstheme="majorBidi"/>
          <w:sz w:val="22"/>
          <w:szCs w:val="22"/>
          <w:u w:val="single"/>
        </w:rPr>
      </w:pPr>
      <w:r w:rsidRPr="00DC6B20">
        <w:rPr>
          <w:rFonts w:asciiTheme="majorBidi" w:hAnsiTheme="majorBidi" w:cstheme="majorBidi"/>
          <w:sz w:val="22"/>
          <w:szCs w:val="22"/>
          <w:u w:val="single"/>
        </w:rPr>
        <w:t>:</w:t>
      </w:r>
    </w:p>
    <w:p w:rsidR="0025709E" w:rsidRPr="00DC6B20" w:rsidRDefault="0025709E" w:rsidP="0025709E">
      <w:pPr>
        <w:rPr>
          <w:rFonts w:asciiTheme="majorBidi" w:hAnsiTheme="majorBidi" w:cstheme="majorBidi"/>
          <w:sz w:val="22"/>
          <w:szCs w:val="22"/>
        </w:rPr>
      </w:pPr>
      <w:r w:rsidRPr="00DC6B20">
        <w:rPr>
          <w:rFonts w:asciiTheme="majorBidi" w:hAnsiTheme="majorBidi" w:cstheme="majorBidi"/>
          <w:sz w:val="22"/>
          <w:szCs w:val="22"/>
          <w:rtl/>
        </w:rPr>
        <w:t>על רקע הפרסומים אודות הפרשיות שבהן היו מעורבים לכאורה מנהל רשות מקרקעי ישראל</w:t>
      </w:r>
      <w:r w:rsidRPr="00DC6B20">
        <w:rPr>
          <w:rFonts w:asciiTheme="majorBidi" w:hAnsiTheme="majorBidi" w:cstheme="majorBidi"/>
          <w:sz w:val="22"/>
          <w:szCs w:val="22"/>
        </w:rPr>
        <w:t>, </w:t>
      </w:r>
      <w:hyperlink r:id="rId444" w:history="1">
        <w:r w:rsidRPr="00DC6B20">
          <w:rPr>
            <w:rStyle w:val="Hyperlink"/>
            <w:rFonts w:asciiTheme="majorBidi" w:hAnsiTheme="majorBidi" w:cstheme="majorBidi"/>
            <w:sz w:val="22"/>
            <w:szCs w:val="22"/>
            <w:rtl/>
          </w:rPr>
          <w:t>בנצי ליברמן</w:t>
        </w:r>
      </w:hyperlink>
      <w:r w:rsidRPr="00DC6B20">
        <w:rPr>
          <w:rFonts w:asciiTheme="majorBidi" w:hAnsiTheme="majorBidi" w:cstheme="majorBidi"/>
          <w:sz w:val="22"/>
          <w:szCs w:val="22"/>
        </w:rPr>
        <w:t xml:space="preserve">, </w:t>
      </w:r>
      <w:r w:rsidRPr="00DC6B20">
        <w:rPr>
          <w:rFonts w:asciiTheme="majorBidi" w:hAnsiTheme="majorBidi" w:cstheme="majorBidi"/>
          <w:sz w:val="22"/>
          <w:szCs w:val="22"/>
          <w:rtl/>
        </w:rPr>
        <w:t>וחברו, הח"כ לשעבר עו"ד נחום לנגנטל, מסתמן כעת כי העניין המרכזי שבגינו נחקרים השניים בחשד לפלילים הוא הפרה חמורה לכאורה של הסכם ניגוד עניינים. על ההסכם חתם ליברמן עם כניסתו לתפקיד ברשות, ובו התחייב כי לא יעסוק בענייניה של חברת קרדן, ובפרט בפרויקט של החברה בלוד שבו הועסק בעבר כיועץ</w:t>
      </w:r>
      <w:r w:rsidRPr="00DC6B20">
        <w:rPr>
          <w:rFonts w:asciiTheme="majorBidi" w:hAnsiTheme="majorBidi" w:cstheme="majorBidi"/>
          <w:sz w:val="22"/>
          <w:szCs w:val="22"/>
        </w:rPr>
        <w:t>.</w:t>
      </w:r>
    </w:p>
    <w:p w:rsidR="0025709E" w:rsidRPr="00DC6B20" w:rsidRDefault="0025709E" w:rsidP="0025709E">
      <w:pPr>
        <w:rPr>
          <w:rFonts w:asciiTheme="majorBidi" w:hAnsiTheme="majorBidi" w:cstheme="majorBidi"/>
          <w:sz w:val="22"/>
          <w:szCs w:val="22"/>
        </w:rPr>
      </w:pPr>
      <w:r w:rsidRPr="00DC6B20">
        <w:rPr>
          <w:rFonts w:asciiTheme="majorBidi" w:hAnsiTheme="majorBidi" w:cstheme="majorBidi"/>
          <w:sz w:val="22"/>
          <w:szCs w:val="22"/>
          <w:rtl/>
        </w:rPr>
        <w:t>על פי החשד, לא רק שליברמן לא נמנע מעיסוק בפרויקט שקידם לנגנטל - שהיה שותף עמו בעבר במשרד עו"ד - אלא שאף היה זה שיזם את כינוסה של ישיבה ברשות מקרקעי ישראל, שבה הוחלט כי יש לאשר לחברה למכור את זכויותיה בחלק מהקרקע</w:t>
      </w:r>
      <w:r w:rsidRPr="00DC6B20">
        <w:rPr>
          <w:rFonts w:asciiTheme="majorBidi" w:hAnsiTheme="majorBidi" w:cstheme="majorBidi"/>
          <w:sz w:val="22"/>
          <w:szCs w:val="22"/>
        </w:rPr>
        <w:t>.</w:t>
      </w:r>
    </w:p>
    <w:p w:rsidR="0025709E" w:rsidRPr="00DC6B20" w:rsidRDefault="0025709E" w:rsidP="0025709E">
      <w:pPr>
        <w:rPr>
          <w:rFonts w:asciiTheme="majorBidi" w:hAnsiTheme="majorBidi" w:cstheme="majorBidi"/>
          <w:sz w:val="22"/>
          <w:szCs w:val="22"/>
        </w:rPr>
      </w:pPr>
      <w:r w:rsidRPr="00DC6B20">
        <w:rPr>
          <w:rFonts w:asciiTheme="majorBidi" w:hAnsiTheme="majorBidi" w:cstheme="majorBidi"/>
          <w:sz w:val="22"/>
          <w:szCs w:val="22"/>
          <w:rtl/>
        </w:rPr>
        <w:t>את הקרקע המדוברת, לבנייתן של 352 דירות בשכונת רמת אלישיב בלוד, רכשה חברת קרדן ב-2009 תמורת 180 אלף שקל, בנוסף להוצאות פיתוח ופינוי פולשים בהיקף של 18.6 מיליון שקל. לאחר הזכייה הועסק ליברמן כיועץ לחברה בפרויקט, וחברת אל־הר הנדסה, שבה מחזיקה קרדן בשותפות עם חברת מסיקה־חסון, מונתה לקבלן המבצע של הפרויקט. יו"ר הדירקטוריון של אל־הר הוא לנגנטל</w:t>
      </w:r>
      <w:r w:rsidRPr="00DC6B20">
        <w:rPr>
          <w:rFonts w:asciiTheme="majorBidi" w:hAnsiTheme="majorBidi" w:cstheme="majorBidi"/>
          <w:sz w:val="22"/>
          <w:szCs w:val="22"/>
        </w:rPr>
        <w:t>.</w:t>
      </w:r>
    </w:p>
    <w:p w:rsidR="0025709E" w:rsidRPr="00DC6B20" w:rsidRDefault="0025709E" w:rsidP="0025709E">
      <w:pPr>
        <w:rPr>
          <w:rFonts w:asciiTheme="majorBidi" w:hAnsiTheme="majorBidi" w:cstheme="majorBidi"/>
          <w:sz w:val="22"/>
          <w:szCs w:val="22"/>
        </w:rPr>
      </w:pPr>
      <w:r w:rsidRPr="00DC6B20">
        <w:rPr>
          <w:rFonts w:asciiTheme="majorBidi" w:hAnsiTheme="majorBidi" w:cstheme="majorBidi"/>
          <w:sz w:val="22"/>
          <w:szCs w:val="22"/>
          <w:rtl/>
        </w:rPr>
        <w:t>ליברמן סיים את תפקידו בפרויקט, ועם מינויו לתפקיד מנהל הרשות, נערך עמו הסכם למניעת ניגודי עניינים, כפי שמקובל ברוב המקרים שבהם ממונים מועמדים בעלי עבר עסקי לתפקידים ציבוריים. בהסכם התחייב ליברמן להתרחק מכל עניין הנוגע לעסקיה של קרדן, ובפרט להימנע מעיסוק בפרויקט שזו מקדמת בלוד</w:t>
      </w:r>
      <w:r w:rsidRPr="00DC6B20">
        <w:rPr>
          <w:rFonts w:asciiTheme="majorBidi" w:hAnsiTheme="majorBidi" w:cstheme="majorBidi"/>
          <w:sz w:val="22"/>
          <w:szCs w:val="22"/>
        </w:rPr>
        <w:t>.</w:t>
      </w:r>
    </w:p>
    <w:p w:rsidR="0025709E" w:rsidRPr="00DC6B20" w:rsidRDefault="0025709E" w:rsidP="0025709E">
      <w:pPr>
        <w:rPr>
          <w:rFonts w:asciiTheme="majorBidi" w:hAnsiTheme="majorBidi" w:cstheme="majorBidi"/>
          <w:sz w:val="22"/>
          <w:szCs w:val="22"/>
        </w:rPr>
      </w:pPr>
      <w:r w:rsidRPr="00DC6B20">
        <w:rPr>
          <w:rFonts w:asciiTheme="majorBidi" w:hAnsiTheme="majorBidi" w:cstheme="majorBidi"/>
          <w:sz w:val="22"/>
          <w:szCs w:val="22"/>
          <w:rtl/>
        </w:rPr>
        <w:t>ואולם, לאחר שבנתה כ-250 דירות בקרקע שרכשה מהרשות, ביקשה החברה להעביר זכויותיה ביתרת הקרקע, שבה זכויות לבניית 94 דירות נוספות, לחברת רוטשטיין, תמורת 20.2 מיליון שקל - סכום שהיה מקנה לה רווח נקי של יותר מ-5 מיליון שקל. אף ששני הצדדים לעסקה הגיעו ביניהם להבנות, עדיין נדרשה הסכמת בעל הקרקע - הרשות - למהלך. לשם כך פנו הצדדים לקבלת אישורה של הרשות, ולאחר כמה חודשים כונסה על פי החשד ישיבה בנושא על ידי ליברמן, ובה כאמור אושרה העברת הבעלות</w:t>
      </w:r>
      <w:r w:rsidRPr="00DC6B20">
        <w:rPr>
          <w:rFonts w:asciiTheme="majorBidi" w:hAnsiTheme="majorBidi" w:cstheme="majorBidi"/>
          <w:sz w:val="22"/>
          <w:szCs w:val="22"/>
        </w:rPr>
        <w:t>.</w:t>
      </w:r>
    </w:p>
    <w:p w:rsidR="0025709E" w:rsidRPr="00DC6B20" w:rsidRDefault="0025709E" w:rsidP="0025709E">
      <w:pPr>
        <w:rPr>
          <w:rFonts w:asciiTheme="majorBidi" w:hAnsiTheme="majorBidi" w:cstheme="majorBidi"/>
          <w:sz w:val="22"/>
          <w:szCs w:val="22"/>
        </w:rPr>
      </w:pPr>
      <w:r w:rsidRPr="00DC6B20">
        <w:rPr>
          <w:rFonts w:asciiTheme="majorBidi" w:hAnsiTheme="majorBidi" w:cstheme="majorBidi"/>
          <w:sz w:val="22"/>
          <w:szCs w:val="22"/>
          <w:rtl/>
        </w:rPr>
        <w:t>מקורות ברשות ששוחחו עם</w:t>
      </w:r>
      <w:r w:rsidRPr="00DC6B20">
        <w:rPr>
          <w:rFonts w:asciiTheme="majorBidi" w:hAnsiTheme="majorBidi" w:cstheme="majorBidi"/>
          <w:sz w:val="22"/>
          <w:szCs w:val="22"/>
        </w:rPr>
        <w:t xml:space="preserve"> TheMarker </w:t>
      </w:r>
      <w:r w:rsidRPr="00DC6B20">
        <w:rPr>
          <w:rFonts w:asciiTheme="majorBidi" w:hAnsiTheme="majorBidi" w:cstheme="majorBidi"/>
          <w:sz w:val="22"/>
          <w:szCs w:val="22"/>
          <w:rtl/>
        </w:rPr>
        <w:t>אמרו כי ייתכן שהבקשה היתה מאושרת גם ללא מעורבותו של מנהל הרשות, וכי נראה שככל שליברמן אכן נקט בצעד זה, המטרה היתה לקצר את זמן ההמתנה הממושך בדרך כלל בפניות מסוג זה, המקשה על יזמים</w:t>
      </w:r>
      <w:r w:rsidRPr="00DC6B20">
        <w:rPr>
          <w:rFonts w:asciiTheme="majorBidi" w:hAnsiTheme="majorBidi" w:cstheme="majorBidi"/>
          <w:sz w:val="22"/>
          <w:szCs w:val="22"/>
        </w:rPr>
        <w:t>.</w:t>
      </w:r>
    </w:p>
    <w:p w:rsidR="0025709E" w:rsidRPr="00DC6B20" w:rsidRDefault="0025709E" w:rsidP="0025709E">
      <w:pPr>
        <w:rPr>
          <w:rFonts w:asciiTheme="majorBidi" w:hAnsiTheme="majorBidi" w:cstheme="majorBidi"/>
          <w:sz w:val="22"/>
          <w:szCs w:val="22"/>
        </w:rPr>
      </w:pPr>
      <w:r w:rsidRPr="00DC6B20">
        <w:rPr>
          <w:rFonts w:asciiTheme="majorBidi" w:hAnsiTheme="majorBidi" w:cstheme="majorBidi"/>
          <w:b/>
          <w:bCs/>
          <w:sz w:val="22"/>
          <w:szCs w:val="22"/>
          <w:rtl/>
        </w:rPr>
        <w:t>המאבק על קרקעות מלח הארץ</w:t>
      </w:r>
    </w:p>
    <w:p w:rsidR="0025709E" w:rsidRPr="00DC6B20" w:rsidRDefault="0025709E" w:rsidP="0025709E">
      <w:pPr>
        <w:rPr>
          <w:rFonts w:asciiTheme="majorBidi" w:hAnsiTheme="majorBidi" w:cstheme="majorBidi"/>
          <w:sz w:val="22"/>
          <w:szCs w:val="22"/>
        </w:rPr>
      </w:pPr>
      <w:r w:rsidRPr="00DC6B20">
        <w:rPr>
          <w:rFonts w:asciiTheme="majorBidi" w:hAnsiTheme="majorBidi" w:cstheme="majorBidi"/>
          <w:sz w:val="22"/>
          <w:szCs w:val="22"/>
          <w:rtl/>
        </w:rPr>
        <w:t>מקרה נוסף שבו נבדק חשד לפעילות של ליברמן בניגוד להסכם ניגוד העניינים, הוא החלטת המינהל להאריך את זכויות החכירה של חברת קרדן בשטח בית קרדן בשדרות מנחם בגין בתל אביב. עם זאת, יש לציין כי קרדן עצמה אינה חשודה בדבר במסגרת החקירה המתנהלת</w:t>
      </w:r>
      <w:r w:rsidRPr="00DC6B20">
        <w:rPr>
          <w:rFonts w:asciiTheme="majorBidi" w:hAnsiTheme="majorBidi" w:cstheme="majorBidi"/>
          <w:sz w:val="22"/>
          <w:szCs w:val="22"/>
        </w:rPr>
        <w:t>.</w:t>
      </w:r>
    </w:p>
    <w:p w:rsidR="0025709E" w:rsidRPr="00DC6B20" w:rsidRDefault="0025709E" w:rsidP="0025709E">
      <w:pPr>
        <w:rPr>
          <w:rFonts w:asciiTheme="majorBidi" w:hAnsiTheme="majorBidi" w:cstheme="majorBidi"/>
          <w:sz w:val="22"/>
          <w:szCs w:val="22"/>
        </w:rPr>
      </w:pPr>
      <w:r w:rsidRPr="00DC6B20">
        <w:rPr>
          <w:rFonts w:asciiTheme="majorBidi" w:hAnsiTheme="majorBidi" w:cstheme="majorBidi"/>
          <w:sz w:val="22"/>
          <w:szCs w:val="22"/>
          <w:rtl/>
        </w:rPr>
        <w:t>בנוסף לשתי הפרשיות האמורות, העלתה חקירתם של ליברמן ולנגנטל שני מקרים נוספים שבהם ייתכן כי ליברמן היה נתון לכאורה בניגוד עניינים, אף כי במקרים אלה לא מדובר בנושאים המוזכרים בהסכם למניעת ניגוד עניינים שעליו חתם</w:t>
      </w:r>
      <w:r w:rsidRPr="00DC6B20">
        <w:rPr>
          <w:rFonts w:asciiTheme="majorBidi" w:hAnsiTheme="majorBidi" w:cstheme="majorBidi"/>
          <w:sz w:val="22"/>
          <w:szCs w:val="22"/>
        </w:rPr>
        <w:t>.</w:t>
      </w:r>
    </w:p>
    <w:p w:rsidR="0025709E" w:rsidRPr="00DC6B20" w:rsidRDefault="0025709E" w:rsidP="0025709E">
      <w:pPr>
        <w:rPr>
          <w:rFonts w:asciiTheme="majorBidi" w:hAnsiTheme="majorBidi" w:cstheme="majorBidi"/>
          <w:sz w:val="22"/>
          <w:szCs w:val="22"/>
        </w:rPr>
      </w:pPr>
      <w:r w:rsidRPr="00DC6B20">
        <w:rPr>
          <w:rFonts w:asciiTheme="majorBidi" w:hAnsiTheme="majorBidi" w:cstheme="majorBidi"/>
          <w:sz w:val="22"/>
          <w:szCs w:val="22"/>
          <w:rtl/>
        </w:rPr>
        <w:t>הראשון הוא השתתפות ליברמן בדיונים אודות עתידן של קרקעות חברת מלח הארץ שבשליטת שרי אריסון, בעתלית ובאילת. מדובר באלפי דונמים של קרקעות בקרבת קו החוף, אשר כבר מאמצע שנות ה-90 ביקשו בעליהן - אז היו אלה בני משפחת דנקנר - לשנות את ייעודן למגורים, מהלך שהיה משביח את ערכן במאות מיליוני שקלים. בג"ץ אף הקפיא בעבר הסכם שנעשה לשינוי ייעודן</w:t>
      </w:r>
      <w:r w:rsidRPr="00DC6B20">
        <w:rPr>
          <w:rFonts w:asciiTheme="majorBidi" w:hAnsiTheme="majorBidi" w:cstheme="majorBidi"/>
          <w:sz w:val="22"/>
          <w:szCs w:val="22"/>
        </w:rPr>
        <w:t>.</w:t>
      </w:r>
    </w:p>
    <w:p w:rsidR="0025709E" w:rsidRPr="00DC6B20" w:rsidRDefault="0025709E" w:rsidP="0025709E">
      <w:pPr>
        <w:rPr>
          <w:rFonts w:asciiTheme="majorBidi" w:hAnsiTheme="majorBidi" w:cstheme="majorBidi"/>
          <w:sz w:val="22"/>
          <w:szCs w:val="22"/>
        </w:rPr>
      </w:pPr>
      <w:r w:rsidRPr="00DC6B20">
        <w:rPr>
          <w:rFonts w:asciiTheme="majorBidi" w:hAnsiTheme="majorBidi" w:cstheme="majorBidi"/>
          <w:sz w:val="22"/>
          <w:szCs w:val="22"/>
          <w:rtl/>
        </w:rPr>
        <w:t>לפני כשנה הגיעה הפרשה לסופה, כשהחלטת המינהל על גובה הפיצויים המגיעים למלח הארץ במקרה של שינוי ייעוד קרקע, קיבלה את אישור בג"ץ. ואולם כעת נבדקת האפשרות שחברותו של לנגנטל בצוות המשפטי שייצג את מלח הארץ מול הרשות העמידה את ליברמן בניגוד עניינים לכאורה</w:t>
      </w:r>
      <w:r w:rsidRPr="00DC6B20">
        <w:rPr>
          <w:rFonts w:asciiTheme="majorBidi" w:hAnsiTheme="majorBidi" w:cstheme="majorBidi"/>
          <w:sz w:val="22"/>
          <w:szCs w:val="22"/>
        </w:rPr>
        <w:t>.</w:t>
      </w:r>
    </w:p>
    <w:p w:rsidR="0025709E" w:rsidRPr="00DC6B20" w:rsidRDefault="0025709E" w:rsidP="0025709E">
      <w:pPr>
        <w:rPr>
          <w:rFonts w:asciiTheme="majorBidi" w:hAnsiTheme="majorBidi" w:cstheme="majorBidi"/>
          <w:sz w:val="22"/>
          <w:szCs w:val="22"/>
        </w:rPr>
      </w:pPr>
      <w:r w:rsidRPr="00DC6B20">
        <w:rPr>
          <w:rFonts w:asciiTheme="majorBidi" w:hAnsiTheme="majorBidi" w:cstheme="majorBidi"/>
          <w:sz w:val="22"/>
          <w:szCs w:val="22"/>
          <w:rtl/>
        </w:rPr>
        <w:t>מקרה נוסף שבו ייתכן ניגוד עניינים לכאורה של ליברמן ולנגנטל, הוא במשא ומתן שניהלה המדינה לחילופי קרקע עם חברה קדישא, המיוצגת בין היתר על ידי לנגנטל. חברה קדישא מחזיקה בקרקעות יקרות בייעוד קבורה באזור שכונת רמת אביב ג' בתל אביב, אך בשל מיקומן האטרקטיבי, מעוניינת המדינה להסב את ייעודן למגורים. מזה כמה שנים מצויים הצדדים במשא ומתן להעברת קרקע חלופית לחברה קדישא, בתמורה למסירת הקרקע ברמת אביב לידי המדינה - אך עדיין ללא תוצאות</w:t>
      </w:r>
      <w:r w:rsidRPr="00DC6B20">
        <w:rPr>
          <w:rFonts w:asciiTheme="majorBidi" w:hAnsiTheme="majorBidi" w:cstheme="majorBidi"/>
          <w:sz w:val="22"/>
          <w:szCs w:val="22"/>
        </w:rPr>
        <w:t>.</w:t>
      </w:r>
    </w:p>
    <w:p w:rsidR="0025709E" w:rsidRPr="00DC6B20" w:rsidRDefault="0025709E" w:rsidP="0025709E">
      <w:pPr>
        <w:rPr>
          <w:rFonts w:asciiTheme="majorBidi" w:hAnsiTheme="majorBidi" w:cstheme="majorBidi"/>
          <w:sz w:val="22"/>
          <w:szCs w:val="22"/>
        </w:rPr>
      </w:pPr>
      <w:r w:rsidRPr="00DC6B20">
        <w:rPr>
          <w:rFonts w:asciiTheme="majorBidi" w:hAnsiTheme="majorBidi" w:cstheme="majorBidi"/>
          <w:sz w:val="22"/>
          <w:szCs w:val="22"/>
          <w:rtl/>
        </w:rPr>
        <w:t>כך או כך, מאמצי החקירה המרכזיים מתמקדים בהפרתו לכאורה של הסכם ניגוד העניינים, כששני המקרים האחרונים - מלח הארץ וחברה קדישא, מצויים בתחום האפור שבו בלבד לא די היה, ככל הנראה, לפתוח חקירה</w:t>
      </w:r>
      <w:r w:rsidRPr="00DC6B20">
        <w:rPr>
          <w:rFonts w:asciiTheme="majorBidi" w:hAnsiTheme="majorBidi" w:cstheme="majorBidi"/>
          <w:sz w:val="22"/>
          <w:szCs w:val="22"/>
        </w:rPr>
        <w:t>.</w:t>
      </w:r>
    </w:p>
    <w:p w:rsidR="0025709E" w:rsidRPr="00DC6B20" w:rsidRDefault="0025709E" w:rsidP="0025709E">
      <w:pPr>
        <w:rPr>
          <w:rFonts w:asciiTheme="majorBidi" w:hAnsiTheme="majorBidi" w:cstheme="majorBidi"/>
          <w:sz w:val="22"/>
          <w:szCs w:val="22"/>
        </w:rPr>
      </w:pPr>
      <w:r w:rsidRPr="00DC6B20">
        <w:rPr>
          <w:rFonts w:asciiTheme="majorBidi" w:hAnsiTheme="majorBidi" w:cstheme="majorBidi"/>
          <w:sz w:val="22"/>
          <w:szCs w:val="22"/>
          <w:rtl/>
        </w:rPr>
        <w:t>ממקורביו של ליברמן נמסר בתגובה: "אור השמש הוא המחטא הטוב ביותר ומשפט זה מתאים ביותר לכל פעולותיו של בנצי ליברמן בתפקידיו הציבוריים. כל החלטותיו היו שקופות, תוך שיתוף פעולה מול כל הגורמים הרלוונטיים. יש לבנצי ליברמן אמון מלא ברשויות החקירה והוא בטוח כי בסיום החקירה יוכח מעל לכל ספק שלא רק שלא נפל רבב בפעולותיו, אלא גם שהאינטרס הציבורי הוא זה שעמד לנגד עיניו</w:t>
      </w:r>
      <w:r w:rsidRPr="00DC6B20">
        <w:rPr>
          <w:rFonts w:asciiTheme="majorBidi" w:hAnsiTheme="majorBidi" w:cstheme="majorBidi"/>
          <w:sz w:val="22"/>
          <w:szCs w:val="22"/>
        </w:rPr>
        <w:t>".</w:t>
      </w:r>
    </w:p>
    <w:p w:rsidR="0025709E" w:rsidRPr="00DC6B20" w:rsidRDefault="0025709E" w:rsidP="0025709E">
      <w:pPr>
        <w:rPr>
          <w:rFonts w:asciiTheme="majorBidi" w:hAnsiTheme="majorBidi" w:cstheme="majorBidi"/>
          <w:sz w:val="22"/>
          <w:szCs w:val="22"/>
        </w:rPr>
      </w:pPr>
      <w:r w:rsidRPr="00DC6B20">
        <w:rPr>
          <w:rFonts w:asciiTheme="majorBidi" w:hAnsiTheme="majorBidi" w:cstheme="majorBidi"/>
          <w:sz w:val="22"/>
          <w:szCs w:val="22"/>
          <w:rtl/>
        </w:rPr>
        <w:t>עורכות הדין נוית נגב ואיריס ניב סבאג, המייצגות את עו"ד לנגנטל, מסרו בתגובה: "עו"ד נחום לנגנטל הוא איש עשייה שפעל ללא רבב בעבר בתפקידיו הציבוריים וכך הוא נוהג גם היום כאדם פרטי. מאחר ועו"ד לנגנטל פעל בתום לב ואין לו, ולא היה לו מה להסתיר - הוא שיתף פעולה בחקירה והשיב בפירוט לכל שאלה שעלתה</w:t>
      </w:r>
      <w:r w:rsidRPr="00DC6B20">
        <w:rPr>
          <w:rFonts w:asciiTheme="majorBidi" w:hAnsiTheme="majorBidi" w:cstheme="majorBidi"/>
          <w:sz w:val="22"/>
          <w:szCs w:val="22"/>
        </w:rPr>
        <w:t>".</w:t>
      </w:r>
    </w:p>
    <w:p w:rsidR="0025709E" w:rsidRPr="00DC6B20" w:rsidRDefault="0025709E" w:rsidP="0025709E">
      <w:pPr>
        <w:rPr>
          <w:rFonts w:asciiTheme="majorBidi" w:hAnsiTheme="majorBidi" w:cstheme="majorBidi"/>
          <w:sz w:val="22"/>
          <w:szCs w:val="22"/>
        </w:rPr>
      </w:pPr>
      <w:r w:rsidRPr="00DC6B20">
        <w:rPr>
          <w:rFonts w:asciiTheme="majorBidi" w:hAnsiTheme="majorBidi" w:cstheme="majorBidi"/>
          <w:sz w:val="22"/>
          <w:szCs w:val="22"/>
          <w:rtl/>
        </w:rPr>
        <w:t>מחברת מלח הארץ נמסר: "חברת מלח הארץ מבקשת להבהיר כי לא מיוחסים לחברה כל חשד. החברה נדרשה לנושא במסגרת הליך פורמלי שאותו יזם מינהל מקרקעי ישראל לגבי המדיניות שחלה על קרקעות תעשייתיות. ההליך הובל על ידי המחלקה המשפטית של מינהל מקרקעי ישראל, בליווי פרקליטות המדינה, וזאת בהמשך להחלטת בג"ץ בנושא. החברה פעלה ופועלת בהתאם להוראות הדין, ולכך גם מחויבים כל יועציה המשפטיים</w:t>
      </w:r>
      <w:r w:rsidRPr="00DC6B20">
        <w:rPr>
          <w:rFonts w:asciiTheme="majorBidi" w:hAnsiTheme="majorBidi" w:cstheme="majorBidi"/>
          <w:sz w:val="22"/>
          <w:szCs w:val="22"/>
        </w:rPr>
        <w:t>".</w:t>
      </w:r>
    </w:p>
    <w:p w:rsidR="0025709E" w:rsidRPr="00DC6B20" w:rsidRDefault="0025709E" w:rsidP="0025709E">
      <w:pPr>
        <w:rPr>
          <w:rFonts w:asciiTheme="majorBidi" w:hAnsiTheme="majorBidi" w:cstheme="majorBidi"/>
          <w:sz w:val="22"/>
          <w:szCs w:val="22"/>
        </w:rPr>
      </w:pPr>
      <w:r w:rsidRPr="00DC6B20">
        <w:rPr>
          <w:rFonts w:asciiTheme="majorBidi" w:hAnsiTheme="majorBidi" w:cstheme="majorBidi"/>
          <w:b/>
          <w:bCs/>
          <w:sz w:val="22"/>
          <w:szCs w:val="22"/>
          <w:rtl/>
        </w:rPr>
        <w:t>טעות של 10 מיליון שקל לטובת היזם</w:t>
      </w:r>
    </w:p>
    <w:p w:rsidR="0025709E" w:rsidRPr="00DC6B20" w:rsidRDefault="0025709E" w:rsidP="0025709E">
      <w:pPr>
        <w:rPr>
          <w:rFonts w:asciiTheme="majorBidi" w:hAnsiTheme="majorBidi" w:cstheme="majorBidi"/>
          <w:sz w:val="22"/>
          <w:szCs w:val="22"/>
        </w:rPr>
      </w:pPr>
      <w:r w:rsidRPr="00DC6B20">
        <w:rPr>
          <w:rFonts w:asciiTheme="majorBidi" w:hAnsiTheme="majorBidi" w:cstheme="majorBidi"/>
          <w:sz w:val="22"/>
          <w:szCs w:val="22"/>
          <w:rtl/>
        </w:rPr>
        <w:t>בתוך כך, וללא קשר לחקירה המתקיימת כעת, פרשייה נוספת שהתפוצצה לפני כמה שבועות עוררה סערה במינהל מקרקעי ישראל, ואף הגיעה לשולחנו של היועץ המשפטי לממשלה, יהודה וינשטיין. במוקד הפרשה עמדה הארכת הסכם חכירה של מלון "רימונים" (לשעבר נפטון) באילת על ידי בעלת הנכס, חברת הכשרת היישוב - הסכם שאושר סופית על ידי הנהלת המינהל ב-30 בדצמבר 2014</w:t>
      </w:r>
      <w:r w:rsidRPr="00DC6B20">
        <w:rPr>
          <w:rFonts w:asciiTheme="majorBidi" w:hAnsiTheme="majorBidi" w:cstheme="majorBidi"/>
          <w:sz w:val="22"/>
          <w:szCs w:val="22"/>
        </w:rPr>
        <w:t>.</w:t>
      </w:r>
    </w:p>
    <w:p w:rsidR="0025709E" w:rsidRPr="00DC6B20" w:rsidRDefault="0025709E" w:rsidP="0025709E">
      <w:pPr>
        <w:rPr>
          <w:rFonts w:asciiTheme="majorBidi" w:hAnsiTheme="majorBidi" w:cstheme="majorBidi"/>
          <w:sz w:val="22"/>
          <w:szCs w:val="22"/>
        </w:rPr>
      </w:pPr>
      <w:r w:rsidRPr="00DC6B20">
        <w:rPr>
          <w:rFonts w:asciiTheme="majorBidi" w:hAnsiTheme="majorBidi" w:cstheme="majorBidi"/>
          <w:sz w:val="22"/>
          <w:szCs w:val="22"/>
          <w:rtl/>
        </w:rPr>
        <w:t>אולם בטרם אישורה של העסקה על ידי ההנהלה, אישר אותה מרחב עסקי דרום ברשות - לכאורה תוך חריגה מסמכות, שכן עסקות בסדר גודל כזה כלל אינן מצויות בסמכותו - וכן תוך ביצוע תחשיבים שגויים, שהביאו לכך שסך התשלום הנדרש מחברת הכשרת היישוב עבור הארכת חוזה החכירה היה נמוך בכ-10 מיליון שקל ממה שהיה עליה לשלם בפועל. רק לאחר אישור העסקה על ידי המרחב גילו חשבת הרשות ויועצה המשפטי על דבר קיומה, ובעקבות זאת הובא הנושא לאישור מחודש בהנהלה, תוך שהשגיאות בדרישת התשלום תוקנו</w:t>
      </w:r>
      <w:r w:rsidRPr="00DC6B20">
        <w:rPr>
          <w:rFonts w:asciiTheme="majorBidi" w:hAnsiTheme="majorBidi" w:cstheme="majorBidi"/>
          <w:sz w:val="22"/>
          <w:szCs w:val="22"/>
        </w:rPr>
        <w:t>.</w:t>
      </w:r>
    </w:p>
    <w:p w:rsidR="0025709E" w:rsidRPr="00DC6B20" w:rsidRDefault="0025709E" w:rsidP="0025709E">
      <w:pPr>
        <w:rPr>
          <w:rFonts w:asciiTheme="majorBidi" w:hAnsiTheme="majorBidi" w:cstheme="majorBidi"/>
          <w:sz w:val="22"/>
          <w:szCs w:val="22"/>
        </w:rPr>
      </w:pPr>
      <w:r w:rsidRPr="00DC6B20">
        <w:rPr>
          <w:rFonts w:asciiTheme="majorBidi" w:hAnsiTheme="majorBidi" w:cstheme="majorBidi"/>
          <w:sz w:val="22"/>
          <w:szCs w:val="22"/>
          <w:rtl/>
        </w:rPr>
        <w:t>בעקבות זאת, שלח המשנה ליועץ המשפטי לממשלה, עו"ד ארז קמיניץ, מכתב חריף למנהל המינהל ליברמן, שבו דרש כי ייערך ברשות בירור לגבי הנסיבות שבהן אירע מספר כה גדול של כשלים. "אני סבור כי קיים הכרח לבחון כיצד אירעו כשלים פרוצדורליים ומהותיים אלה, שעלולים היו לפגוע מהותית בתקבולים שעל היזם לשלם לרשות ומשכך לפגוע בקופה הציבורית, והכל לכאורה בניגוד למספר כללים", כתב</w:t>
      </w:r>
      <w:r w:rsidRPr="00DC6B20">
        <w:rPr>
          <w:rFonts w:asciiTheme="majorBidi" w:hAnsiTheme="majorBidi" w:cstheme="majorBidi"/>
          <w:sz w:val="22"/>
          <w:szCs w:val="22"/>
        </w:rPr>
        <w:t>.</w:t>
      </w:r>
    </w:p>
    <w:p w:rsidR="0025709E" w:rsidRPr="00DC6B20" w:rsidRDefault="0025709E" w:rsidP="0025709E">
      <w:pPr>
        <w:rPr>
          <w:rFonts w:asciiTheme="majorBidi" w:hAnsiTheme="majorBidi" w:cstheme="majorBidi"/>
          <w:sz w:val="22"/>
          <w:szCs w:val="22"/>
        </w:rPr>
      </w:pPr>
      <w:r w:rsidRPr="00DC6B20">
        <w:rPr>
          <w:rFonts w:asciiTheme="majorBidi" w:hAnsiTheme="majorBidi" w:cstheme="majorBidi"/>
          <w:sz w:val="22"/>
          <w:szCs w:val="22"/>
          <w:rtl/>
        </w:rPr>
        <w:t>מרשות מקרקעי ישראל נמסר בתגובה כי "העסקה אושרה לאחר שבוצעו הבדיקות הנדרשות וניתן מענה לשאלות שעלו. סוגיית השתלשלות האירועים שהתקיימו טרם העלאת העסקה לאישור ההנהלה נמצאת בבדיקה, בין השאר על ידי מבקר הפנים של הרשות</w:t>
      </w:r>
      <w:r w:rsidRPr="00DC6B20">
        <w:rPr>
          <w:rFonts w:asciiTheme="majorBidi" w:hAnsiTheme="majorBidi" w:cstheme="majorBidi"/>
          <w:sz w:val="22"/>
          <w:szCs w:val="22"/>
        </w:rPr>
        <w:t>".</w:t>
      </w:r>
    </w:p>
    <w:p w:rsidR="0025709E" w:rsidRDefault="0025709E" w:rsidP="0025709E">
      <w:pPr>
        <w:rPr>
          <w:rFonts w:asciiTheme="majorBidi" w:hAnsiTheme="majorBidi" w:cstheme="majorBidi"/>
          <w:rtl/>
        </w:rPr>
      </w:pPr>
    </w:p>
    <w:p w:rsidR="0025709E" w:rsidRDefault="0025709E" w:rsidP="0025709E">
      <w:pPr>
        <w:rPr>
          <w:rFonts w:ascii="Arial" w:hAnsi="Arial" w:cs="David"/>
          <w:sz w:val="22"/>
          <w:szCs w:val="22"/>
          <w:rtl/>
        </w:rPr>
      </w:pPr>
      <w:r w:rsidRPr="00222F08">
        <w:rPr>
          <w:rFonts w:ascii="Arial" w:hAnsi="Arial" w:cs="David" w:hint="cs"/>
          <w:sz w:val="22"/>
          <w:szCs w:val="22"/>
          <w:highlight w:val="green"/>
          <w:rtl/>
        </w:rPr>
        <w:t>=-=</w:t>
      </w:r>
    </w:p>
    <w:p w:rsidR="0025709E" w:rsidRDefault="0025709E" w:rsidP="0025709E">
      <w:pPr>
        <w:rPr>
          <w:rFonts w:ascii="Arial" w:hAnsi="Arial" w:cs="David"/>
          <w:sz w:val="22"/>
          <w:szCs w:val="22"/>
          <w:rtl/>
        </w:rPr>
      </w:pPr>
      <w:r>
        <w:rPr>
          <w:rFonts w:ascii="Arial" w:hAnsi="Arial" w:cs="David" w:hint="cs"/>
          <w:b/>
          <w:bCs/>
          <w:sz w:val="22"/>
          <w:szCs w:val="22"/>
          <w:u w:val="single"/>
          <w:rtl/>
        </w:rPr>
        <w:t>הסילבוס של סמסטר ב' יועלה למודל סמוך לתחילת הסמסטר, וכך גם בקשת הקריאה לפגישה הפותחת, שתהיה אי-שם בחודש מרץ.., יום ג' 10.3</w:t>
      </w:r>
      <w:r>
        <w:rPr>
          <w:rFonts w:ascii="Arial" w:hAnsi="Arial" w:cs="David" w:hint="cs"/>
          <w:sz w:val="22"/>
          <w:szCs w:val="22"/>
          <w:rtl/>
        </w:rPr>
        <w:t xml:space="preserve">; אנא התאמצו להתגבר על הגעגוע.. </w:t>
      </w:r>
    </w:p>
    <w:p w:rsidR="0025709E" w:rsidRPr="001F1CCB" w:rsidRDefault="0025709E" w:rsidP="0025709E">
      <w:pPr>
        <w:rPr>
          <w:rFonts w:cs="FrankRuehl"/>
          <w:sz w:val="20"/>
          <w:szCs w:val="20"/>
          <w:rtl/>
        </w:rPr>
      </w:pPr>
      <w:r>
        <w:rPr>
          <w:rFonts w:ascii="Arial" w:hAnsi="Arial" w:cs="David" w:hint="cs"/>
          <w:sz w:val="22"/>
          <w:szCs w:val="22"/>
          <w:rtl/>
        </w:rPr>
        <w:t xml:space="preserve">בהצלחה רבה בבחינות, ולא לשכוח לעבוד גם על עבודת המחקר במקורות. </w:t>
      </w:r>
    </w:p>
    <w:p w:rsidR="007E5DAE" w:rsidRPr="00241BC2" w:rsidRDefault="007E5DAE" w:rsidP="005366A8">
      <w:pPr>
        <w:rPr>
          <w:sz w:val="22"/>
          <w:szCs w:val="22"/>
          <w:rtl/>
        </w:rPr>
      </w:pPr>
    </w:p>
    <w:sectPr w:rsidR="007E5DAE" w:rsidRPr="00241BC2" w:rsidSect="00D53B7B">
      <w:footerReference w:type="even" r:id="rId445"/>
      <w:footerReference w:type="default" r:id="rId446"/>
      <w:pgSz w:w="11906" w:h="16838"/>
      <w:pgMar w:top="737" w:right="964" w:bottom="737" w:left="964" w:header="720" w:footer="720" w:gutter="0"/>
      <w:cols w:space="720"/>
      <w:titlePg/>
      <w:bidi/>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152C" w:rsidRDefault="0002152C">
      <w:r>
        <w:separator/>
      </w:r>
    </w:p>
  </w:endnote>
  <w:endnote w:type="continuationSeparator" w:id="1">
    <w:p w:rsidR="0002152C" w:rsidRDefault="0002152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riam">
    <w:panose1 w:val="020B0502050101010101"/>
    <w:charset w:val="B1"/>
    <w:family w:val="swiss"/>
    <w:pitch w:val="variable"/>
    <w:sig w:usb0="00000801" w:usb1="00000000" w:usb2="00000000" w:usb3="00000000" w:csb0="00000020" w:csb1="00000000"/>
  </w:font>
  <w:font w:name="FrankRuehl">
    <w:panose1 w:val="020E050306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Hadasa Roso SL">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TUR">
    <w:altName w:val="Arial"/>
    <w:charset w:val="00"/>
    <w:family w:val="swiss"/>
    <w:pitch w:val="variable"/>
    <w:sig w:usb0="00000000"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onotype Hadassah">
    <w:panose1 w:val="00000000000000000000"/>
    <w:charset w:val="B1"/>
    <w:family w:val="auto"/>
    <w:pitch w:val="variable"/>
    <w:sig w:usb0="00000801" w:usb1="00000000" w:usb2="00000000" w:usb3="00000000" w:csb0="00000020"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Guttman-Soncino">
    <w:panose1 w:val="02010401010101010101"/>
    <w:charset w:val="B1"/>
    <w:family w:val="auto"/>
    <w:pitch w:val="variable"/>
    <w:sig w:usb0="00000801" w:usb1="40000000" w:usb2="00000000" w:usb3="00000000" w:csb0="00000020" w:csb1="00000000"/>
  </w:font>
  <w:font w:name="TimelT">
    <w:altName w:val="Times New Roman"/>
    <w:panose1 w:val="00000000000000000000"/>
    <w:charset w:val="00"/>
    <w:family w:val="auto"/>
    <w:notTrueType/>
    <w:pitch w:val="variable"/>
    <w:sig w:usb0="00001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9DE" w:rsidRDefault="005D7968" w:rsidP="00515AB3">
    <w:pPr>
      <w:pStyle w:val="Footer"/>
      <w:framePr w:wrap="around" w:vAnchor="text" w:hAnchor="text" w:y="1"/>
      <w:rPr>
        <w:rStyle w:val="PageNumber"/>
        <w:rtl/>
      </w:rPr>
    </w:pPr>
    <w:r>
      <w:rPr>
        <w:rStyle w:val="PageNumber"/>
        <w:rtl/>
      </w:rPr>
      <w:fldChar w:fldCharType="begin"/>
    </w:r>
    <w:r w:rsidR="004209DE">
      <w:rPr>
        <w:rStyle w:val="PageNumber"/>
      </w:rPr>
      <w:instrText xml:space="preserve">PAGE  </w:instrText>
    </w:r>
    <w:r>
      <w:rPr>
        <w:rStyle w:val="PageNumber"/>
        <w:rtl/>
      </w:rPr>
      <w:fldChar w:fldCharType="separate"/>
    </w:r>
    <w:r w:rsidR="004209DE">
      <w:rPr>
        <w:rStyle w:val="PageNumber"/>
        <w:rtl/>
      </w:rPr>
      <w:t>1</w:t>
    </w:r>
    <w:r>
      <w:rPr>
        <w:rStyle w:val="PageNumber"/>
        <w:rtl/>
      </w:rPr>
      <w:fldChar w:fldCharType="end"/>
    </w:r>
  </w:p>
  <w:p w:rsidR="004209DE" w:rsidRDefault="004209DE">
    <w:pPr>
      <w:pStyle w:val="Footer"/>
      <w:ind w:right="360"/>
      <w:rPr>
        <w:rtl/>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AB3" w:rsidRDefault="005D7968" w:rsidP="003A67D4">
    <w:pPr>
      <w:pStyle w:val="Footer"/>
      <w:framePr w:wrap="around" w:vAnchor="text" w:hAnchor="text" w:y="1"/>
      <w:rPr>
        <w:rStyle w:val="PageNumber"/>
      </w:rPr>
    </w:pPr>
    <w:r>
      <w:rPr>
        <w:rStyle w:val="PageNumber"/>
        <w:rtl/>
      </w:rPr>
      <w:fldChar w:fldCharType="begin"/>
    </w:r>
    <w:r w:rsidR="00515AB3">
      <w:rPr>
        <w:rStyle w:val="PageNumber"/>
      </w:rPr>
      <w:instrText xml:space="preserve">PAGE  </w:instrText>
    </w:r>
    <w:r>
      <w:rPr>
        <w:rStyle w:val="PageNumber"/>
        <w:rtl/>
      </w:rPr>
      <w:fldChar w:fldCharType="separate"/>
    </w:r>
    <w:r w:rsidR="00657FAA">
      <w:rPr>
        <w:rStyle w:val="PageNumber"/>
        <w:noProof/>
        <w:rtl/>
      </w:rPr>
      <w:t>2</w:t>
    </w:r>
    <w:r>
      <w:rPr>
        <w:rStyle w:val="PageNumber"/>
        <w:rtl/>
      </w:rPr>
      <w:fldChar w:fldCharType="end"/>
    </w:r>
  </w:p>
  <w:p w:rsidR="004209DE" w:rsidRDefault="004209DE" w:rsidP="00515AB3">
    <w:pPr>
      <w:pStyle w:val="Footer"/>
      <w:framePr w:wrap="around" w:vAnchor="text" w:hAnchor="margin" w:y="1"/>
      <w:ind w:right="360"/>
      <w:rPr>
        <w:rStyle w:val="PageNumber"/>
        <w:rtl/>
      </w:rPr>
    </w:pPr>
  </w:p>
  <w:p w:rsidR="004209DE" w:rsidRDefault="004209DE">
    <w:pPr>
      <w:pStyle w:val="Footer"/>
      <w:ind w:right="360"/>
      <w:rPr>
        <w:rt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152C" w:rsidRDefault="0002152C">
      <w:r>
        <w:separator/>
      </w:r>
    </w:p>
  </w:footnote>
  <w:footnote w:type="continuationSeparator" w:id="1">
    <w:p w:rsidR="0002152C" w:rsidRDefault="0002152C">
      <w:r>
        <w:continuationSeparator/>
      </w:r>
    </w:p>
  </w:footnote>
  <w:footnote w:id="2">
    <w:p w:rsidR="00C4540A" w:rsidRPr="006140A2" w:rsidRDefault="00C4540A" w:rsidP="007E5DAE">
      <w:pPr>
        <w:pStyle w:val="FootnoteText"/>
        <w:spacing w:after="120"/>
        <w:rPr>
          <w:rFonts w:cs="David"/>
          <w:szCs w:val="20"/>
          <w:rtl/>
        </w:rPr>
      </w:pPr>
      <w:r w:rsidRPr="006140A2">
        <w:rPr>
          <w:rStyle w:val="FootnoteReference"/>
          <w:rFonts w:cs="David"/>
          <w:szCs w:val="20"/>
          <w:rtl/>
        </w:rPr>
        <w:footnoteRef/>
      </w:r>
      <w:r w:rsidRPr="006140A2">
        <w:rPr>
          <w:rFonts w:cs="David"/>
          <w:szCs w:val="20"/>
          <w:rtl/>
        </w:rPr>
        <w:t xml:space="preserve"> </w:t>
      </w:r>
      <w:r w:rsidRPr="00104F01">
        <w:rPr>
          <w:szCs w:val="20"/>
          <w:rtl/>
        </w:rPr>
        <w:t xml:space="preserve">בג"ץ 3091/99 </w:t>
      </w:r>
      <w:r w:rsidRPr="00104F01">
        <w:rPr>
          <w:b/>
          <w:bCs/>
          <w:szCs w:val="20"/>
          <w:rtl/>
        </w:rPr>
        <w:t>האגודה לזכויות האזרח נ' הכנסת וממשלת ישראל</w:t>
      </w:r>
      <w:r w:rsidRPr="00104F01">
        <w:rPr>
          <w:szCs w:val="20"/>
          <w:rtl/>
        </w:rPr>
        <w:t xml:space="preserve"> (</w:t>
      </w:r>
      <w:r w:rsidR="007E5DAE">
        <w:rPr>
          <w:rFonts w:hint="cs"/>
          <w:szCs w:val="20"/>
          <w:rtl/>
        </w:rPr>
        <w:t>2012</w:t>
      </w:r>
      <w:r w:rsidRPr="00104F01">
        <w:rPr>
          <w:szCs w:val="20"/>
          <w:rtl/>
        </w:rPr>
        <w:t>).</w:t>
      </w:r>
    </w:p>
  </w:footnote>
  <w:footnote w:id="3">
    <w:p w:rsidR="005366A8" w:rsidRPr="00BF323D" w:rsidRDefault="005366A8" w:rsidP="005366A8">
      <w:pPr>
        <w:pStyle w:val="FootnoteText"/>
        <w:ind w:firstLine="454"/>
        <w:rPr>
          <w:rFonts w:ascii="Arial" w:hAnsi="Arial" w:cs="Arial"/>
          <w:sz w:val="18"/>
          <w:szCs w:val="18"/>
          <w:rtl/>
        </w:rPr>
      </w:pPr>
      <w:r w:rsidRPr="002A63C2">
        <w:rPr>
          <w:rStyle w:val="FootnoteReference"/>
          <w:rFonts w:ascii="Arial" w:hAnsi="Arial" w:cs="Arial"/>
          <w:sz w:val="18"/>
          <w:szCs w:val="18"/>
        </w:rPr>
        <w:footnoteRef/>
      </w:r>
      <w:r w:rsidRPr="002A63C2">
        <w:rPr>
          <w:rFonts w:ascii="Arial" w:hAnsi="Arial" w:cs="Arial"/>
          <w:sz w:val="18"/>
          <w:szCs w:val="18"/>
          <w:rtl/>
        </w:rPr>
        <w:t xml:space="preserve"> </w:t>
      </w:r>
      <w:r w:rsidRPr="00BF323D">
        <w:rPr>
          <w:rFonts w:ascii="Arial" w:hAnsi="Arial" w:cs="Arial"/>
          <w:sz w:val="18"/>
          <w:szCs w:val="18"/>
          <w:rtl/>
        </w:rPr>
        <w:t xml:space="preserve">הדיון </w:t>
      </w:r>
      <w:r>
        <w:rPr>
          <w:rFonts w:ascii="Arial" w:hAnsi="Arial" w:cs="Arial" w:hint="cs"/>
          <w:sz w:val="18"/>
          <w:szCs w:val="18"/>
          <w:rtl/>
        </w:rPr>
        <w:t xml:space="preserve">כאן </w:t>
      </w:r>
      <w:r w:rsidRPr="00BF323D">
        <w:rPr>
          <w:rFonts w:ascii="Arial" w:hAnsi="Arial" w:cs="Arial"/>
          <w:sz w:val="18"/>
          <w:szCs w:val="18"/>
          <w:rtl/>
        </w:rPr>
        <w:t xml:space="preserve">מסתייע </w:t>
      </w:r>
      <w:r>
        <w:rPr>
          <w:rFonts w:ascii="Arial" w:hAnsi="Arial" w:cs="Arial" w:hint="cs"/>
          <w:sz w:val="18"/>
          <w:szCs w:val="18"/>
          <w:rtl/>
        </w:rPr>
        <w:t xml:space="preserve">מאד </w:t>
      </w:r>
      <w:r w:rsidRPr="00BF323D">
        <w:rPr>
          <w:rFonts w:ascii="Arial" w:hAnsi="Arial" w:cs="Arial"/>
          <w:sz w:val="18"/>
          <w:szCs w:val="18"/>
          <w:rtl/>
        </w:rPr>
        <w:t>במאמר</w:t>
      </w:r>
      <w:r>
        <w:rPr>
          <w:rFonts w:ascii="Arial" w:hAnsi="Arial" w:cs="Arial" w:hint="cs"/>
          <w:sz w:val="18"/>
          <w:szCs w:val="18"/>
          <w:rtl/>
        </w:rPr>
        <w:t xml:space="preserve"> הבא</w:t>
      </w:r>
      <w:r w:rsidRPr="00BF323D">
        <w:rPr>
          <w:rFonts w:ascii="Arial" w:hAnsi="Arial" w:cs="Arial"/>
          <w:sz w:val="18"/>
          <w:szCs w:val="18"/>
          <w:rtl/>
        </w:rPr>
        <w:t xml:space="preserve">: יואב דותן "חוקה למדינת ישראל? הדיאלוג הקונסטיטוציוני לאחר 'המהפכה החוקתית'" </w:t>
      </w:r>
      <w:r w:rsidRPr="00BF323D">
        <w:rPr>
          <w:rFonts w:ascii="Arial" w:hAnsi="Arial" w:cs="Arial"/>
          <w:b/>
          <w:bCs/>
          <w:sz w:val="18"/>
          <w:szCs w:val="18"/>
          <w:rtl/>
        </w:rPr>
        <w:t>משפטים</w:t>
      </w:r>
      <w:r w:rsidRPr="00BF323D">
        <w:rPr>
          <w:rFonts w:ascii="Arial" w:hAnsi="Arial" w:cs="Arial"/>
          <w:sz w:val="18"/>
          <w:szCs w:val="18"/>
          <w:rtl/>
        </w:rPr>
        <w:t xml:space="preserve"> כח 149 (1997).</w:t>
      </w:r>
    </w:p>
  </w:footnote>
  <w:footnote w:id="4">
    <w:p w:rsidR="005366A8" w:rsidRPr="00B2600D" w:rsidRDefault="005366A8" w:rsidP="005366A8">
      <w:pPr>
        <w:pStyle w:val="FootnoteText"/>
        <w:spacing w:after="120"/>
        <w:rPr>
          <w:szCs w:val="20"/>
          <w:rtl/>
        </w:rPr>
      </w:pPr>
      <w:r w:rsidRPr="00B2600D">
        <w:rPr>
          <w:rStyle w:val="FootnoteReference"/>
          <w:szCs w:val="20"/>
          <w:rtl/>
        </w:rPr>
        <w:footnoteRef/>
      </w:r>
      <w:r w:rsidRPr="00B2600D">
        <w:rPr>
          <w:szCs w:val="20"/>
          <w:rtl/>
        </w:rPr>
        <w:t xml:space="preserve"> </w:t>
      </w:r>
      <w:r w:rsidRPr="00333E14">
        <w:rPr>
          <w:sz w:val="18"/>
          <w:szCs w:val="18"/>
          <w:rtl/>
        </w:rPr>
        <w:t xml:space="preserve">אם לדייק, הרי שחוק הפוגע בזכות המוגנת חוקתית והמקיים את תנאי פיסקת ההגבלה אינו "פוגע" בחוק היסוד אלא תואם אותו </w:t>
      </w:r>
      <w:r w:rsidRPr="00333E14">
        <w:rPr>
          <w:rFonts w:hint="cs"/>
          <w:sz w:val="18"/>
          <w:szCs w:val="18"/>
          <w:rtl/>
        </w:rPr>
        <w:t>[</w:t>
      </w:r>
      <w:r w:rsidRPr="00333E14">
        <w:rPr>
          <w:sz w:val="18"/>
          <w:szCs w:val="18"/>
          <w:rtl/>
        </w:rPr>
        <w:t>שלא כמו חוק בחירות שאינו תואם את סע' 4 לחוק יסוד: הכנסת, או "חוק חורג" הפוגע בחופש העיסוק באופן שאינו מתיישב עם פיסקת ההגבלה</w:t>
      </w:r>
      <w:r>
        <w:rPr>
          <w:rFonts w:hint="cs"/>
          <w:sz w:val="18"/>
          <w:szCs w:val="18"/>
          <w:rtl/>
        </w:rPr>
        <w:t>,</w:t>
      </w:r>
      <w:r w:rsidRPr="00333E14">
        <w:rPr>
          <w:rFonts w:hint="cs"/>
          <w:sz w:val="18"/>
          <w:szCs w:val="18"/>
          <w:rtl/>
        </w:rPr>
        <w:t xml:space="preserve"> אך שהתקבל על-פי פסקת ההתגברות]</w:t>
      </w:r>
      <w:r w:rsidRPr="00333E14">
        <w:rPr>
          <w:sz w:val="18"/>
          <w:szCs w:val="18"/>
          <w:rtl/>
        </w:rPr>
        <w:t xml:space="preserve">.  זאת משום שפסקות ההגבלה </w:t>
      </w:r>
      <w:r w:rsidRPr="00333E14">
        <w:rPr>
          <w:rFonts w:hint="cs"/>
          <w:sz w:val="18"/>
          <w:szCs w:val="18"/>
          <w:rtl/>
        </w:rPr>
        <w:t>הן הגנה</w:t>
      </w:r>
      <w:r>
        <w:rPr>
          <w:rFonts w:hint="cs"/>
          <w:sz w:val="18"/>
          <w:szCs w:val="18"/>
          <w:rtl/>
        </w:rPr>
        <w:t xml:space="preserve"> מוגברת אך לא מוחלטת</w:t>
      </w:r>
      <w:r w:rsidRPr="00333E14">
        <w:rPr>
          <w:rFonts w:hint="cs"/>
          <w:sz w:val="18"/>
          <w:szCs w:val="18"/>
          <w:rtl/>
        </w:rPr>
        <w:t xml:space="preserve"> ע</w:t>
      </w:r>
      <w:r w:rsidRPr="00333E14">
        <w:rPr>
          <w:sz w:val="18"/>
          <w:szCs w:val="18"/>
          <w:rtl/>
        </w:rPr>
        <w:t xml:space="preserve">ל זכויות יסוד.  </w:t>
      </w:r>
      <w:r>
        <w:rPr>
          <w:rFonts w:hint="cs"/>
          <w:sz w:val="18"/>
          <w:szCs w:val="18"/>
          <w:rtl/>
        </w:rPr>
        <w:t>הרשות המכוננת</w:t>
      </w:r>
      <w:r w:rsidRPr="00333E14">
        <w:rPr>
          <w:sz w:val="18"/>
          <w:szCs w:val="18"/>
          <w:rtl/>
        </w:rPr>
        <w:t xml:space="preserve"> רואה הצדקה להגבלה על זכויות היסוד</w:t>
      </w:r>
      <w:r>
        <w:rPr>
          <w:rFonts w:hint="cs"/>
          <w:sz w:val="18"/>
          <w:szCs w:val="18"/>
          <w:rtl/>
        </w:rPr>
        <w:t xml:space="preserve"> בהתקיים תנאים שונים</w:t>
      </w:r>
      <w:r w:rsidRPr="00333E14">
        <w:rPr>
          <w:sz w:val="18"/>
          <w:szCs w:val="18"/>
          <w:rtl/>
        </w:rPr>
        <w:t>, ו</w:t>
      </w:r>
      <w:r w:rsidRPr="00333E14">
        <w:rPr>
          <w:rFonts w:hint="cs"/>
          <w:sz w:val="18"/>
          <w:szCs w:val="18"/>
          <w:rtl/>
        </w:rPr>
        <w:t>פסקת ההגבלה</w:t>
      </w:r>
      <w:r w:rsidRPr="00333E14">
        <w:rPr>
          <w:sz w:val="18"/>
          <w:szCs w:val="18"/>
          <w:rtl/>
        </w:rPr>
        <w:t xml:space="preserve"> מפרטת את </w:t>
      </w:r>
      <w:r>
        <w:rPr>
          <w:rFonts w:hint="cs"/>
          <w:sz w:val="18"/>
          <w:szCs w:val="18"/>
          <w:rtl/>
        </w:rPr>
        <w:t>אותם תנאים</w:t>
      </w:r>
      <w:r w:rsidRPr="00333E14">
        <w:rPr>
          <w:sz w:val="18"/>
          <w:szCs w:val="18"/>
          <w:rtl/>
        </w:rPr>
        <w:t xml:space="preserve">. [בנדור, </w:t>
      </w:r>
      <w:r w:rsidRPr="00333E14">
        <w:rPr>
          <w:rFonts w:hint="cs"/>
          <w:sz w:val="18"/>
          <w:szCs w:val="18"/>
          <w:rtl/>
        </w:rPr>
        <w:t xml:space="preserve">"המעמד המשפטי של חוקי היסוד", </w:t>
      </w:r>
      <w:r w:rsidRPr="00333E14">
        <w:rPr>
          <w:sz w:val="18"/>
          <w:szCs w:val="18"/>
          <w:rtl/>
        </w:rPr>
        <w:t>עמ' 160-158].</w:t>
      </w:r>
    </w:p>
  </w:footnote>
  <w:footnote w:id="5">
    <w:p w:rsidR="005366A8" w:rsidRPr="004109CB" w:rsidRDefault="005366A8" w:rsidP="005366A8">
      <w:pPr>
        <w:pStyle w:val="FootnoteText"/>
        <w:spacing w:after="120"/>
        <w:rPr>
          <w:sz w:val="18"/>
          <w:szCs w:val="18"/>
        </w:rPr>
      </w:pPr>
      <w:r w:rsidRPr="004109CB">
        <w:rPr>
          <w:rStyle w:val="FootnoteReference"/>
          <w:sz w:val="18"/>
          <w:szCs w:val="18"/>
        </w:rPr>
        <w:footnoteRef/>
      </w:r>
      <w:r w:rsidRPr="004109CB">
        <w:rPr>
          <w:sz w:val="18"/>
          <w:szCs w:val="18"/>
          <w:rtl/>
        </w:rPr>
        <w:t xml:space="preserve"> </w:t>
      </w:r>
      <w:r w:rsidRPr="004109CB">
        <w:rPr>
          <w:rFonts w:hint="cs"/>
          <w:sz w:val="18"/>
          <w:szCs w:val="18"/>
          <w:rtl/>
        </w:rPr>
        <w:t>ראו רובינשטיין מדינה (</w:t>
      </w:r>
      <w:r>
        <w:rPr>
          <w:rFonts w:hint="cs"/>
          <w:sz w:val="18"/>
          <w:szCs w:val="18"/>
          <w:rtl/>
        </w:rPr>
        <w:t>הערה..</w:t>
      </w:r>
      <w:r w:rsidRPr="004109CB">
        <w:rPr>
          <w:rFonts w:hint="cs"/>
          <w:sz w:val="18"/>
          <w:szCs w:val="18"/>
          <w:rtl/>
        </w:rPr>
        <w:t xml:space="preserve">), עמ' 74; קלוד קליין, הרשות המכוננת במדינת ישראל </w:t>
      </w:r>
      <w:r w:rsidRPr="004109CB">
        <w:rPr>
          <w:rFonts w:hint="cs"/>
          <w:b/>
          <w:bCs/>
          <w:sz w:val="18"/>
          <w:szCs w:val="18"/>
          <w:rtl/>
        </w:rPr>
        <w:t>משפטים ב'</w:t>
      </w:r>
      <w:r w:rsidRPr="004109CB">
        <w:rPr>
          <w:rFonts w:hint="cs"/>
          <w:sz w:val="18"/>
          <w:szCs w:val="18"/>
          <w:rtl/>
        </w:rPr>
        <w:t xml:space="preserve"> 51 (1970); קלוד קליין, "בעקבות פסק הדין בנק המזרחי </w:t>
      </w:r>
      <w:r w:rsidRPr="004109CB">
        <w:rPr>
          <w:sz w:val="18"/>
          <w:szCs w:val="18"/>
          <w:rtl/>
        </w:rPr>
        <w:t>–</w:t>
      </w:r>
      <w:r w:rsidRPr="004109CB">
        <w:rPr>
          <w:rFonts w:hint="cs"/>
          <w:sz w:val="18"/>
          <w:szCs w:val="18"/>
          <w:rtl/>
        </w:rPr>
        <w:t xml:space="preserve"> הסמכות המכוננת בראי בית המשפט העליון", </w:t>
      </w:r>
      <w:r w:rsidRPr="004109CB">
        <w:rPr>
          <w:rFonts w:hint="cs"/>
          <w:b/>
          <w:bCs/>
          <w:sz w:val="18"/>
          <w:szCs w:val="18"/>
          <w:rtl/>
        </w:rPr>
        <w:t>משפטים</w:t>
      </w:r>
      <w:r w:rsidRPr="004109CB">
        <w:rPr>
          <w:rFonts w:hint="cs"/>
          <w:sz w:val="18"/>
          <w:szCs w:val="18"/>
          <w:rtl/>
        </w:rPr>
        <w:t xml:space="preserve"> כח 341 (1997); אריאל בנדור, "המעמד המשפטי של חוקי היסוד", </w:t>
      </w:r>
      <w:r w:rsidRPr="004109CB">
        <w:rPr>
          <w:rFonts w:hint="cs"/>
          <w:b/>
          <w:bCs/>
          <w:sz w:val="18"/>
          <w:szCs w:val="18"/>
          <w:rtl/>
        </w:rPr>
        <w:t xml:space="preserve">ספר ברנזון </w:t>
      </w:r>
      <w:r w:rsidRPr="004109CB">
        <w:rPr>
          <w:rFonts w:hint="cs"/>
          <w:sz w:val="18"/>
          <w:szCs w:val="18"/>
          <w:rtl/>
        </w:rPr>
        <w:t xml:space="preserve">(אהרן ברק וחיים ברנזון, עורכים) 119 (2000). </w:t>
      </w:r>
    </w:p>
  </w:footnote>
  <w:footnote w:id="6">
    <w:p w:rsidR="005366A8" w:rsidRPr="004109CB" w:rsidRDefault="005366A8" w:rsidP="005366A8">
      <w:pPr>
        <w:pStyle w:val="FootnoteText"/>
        <w:spacing w:after="120"/>
        <w:rPr>
          <w:sz w:val="18"/>
          <w:szCs w:val="18"/>
        </w:rPr>
      </w:pPr>
      <w:r w:rsidRPr="004109CB">
        <w:rPr>
          <w:rStyle w:val="FootnoteReference"/>
          <w:sz w:val="18"/>
          <w:szCs w:val="18"/>
        </w:rPr>
        <w:footnoteRef/>
      </w:r>
      <w:r w:rsidRPr="004109CB">
        <w:rPr>
          <w:sz w:val="18"/>
          <w:szCs w:val="18"/>
          <w:rtl/>
        </w:rPr>
        <w:t xml:space="preserve"> </w:t>
      </w:r>
      <w:r w:rsidRPr="004109CB">
        <w:rPr>
          <w:rFonts w:hint="cs"/>
          <w:sz w:val="18"/>
          <w:szCs w:val="18"/>
          <w:rtl/>
        </w:rPr>
        <w:t xml:space="preserve">ראו בג"ץ 4676/94 </w:t>
      </w:r>
      <w:r w:rsidRPr="004109CB">
        <w:rPr>
          <w:rFonts w:hint="cs"/>
          <w:b/>
          <w:bCs/>
          <w:sz w:val="18"/>
          <w:szCs w:val="18"/>
          <w:rtl/>
        </w:rPr>
        <w:t>מיטראל בע"מ נ' כנסת ישראל</w:t>
      </w:r>
      <w:r w:rsidRPr="004109CB">
        <w:rPr>
          <w:rFonts w:hint="cs"/>
          <w:sz w:val="18"/>
          <w:szCs w:val="18"/>
          <w:rtl/>
        </w:rPr>
        <w:t>, פ"ד נ(5) 15, 28. התיקון החוקתי אינו כפוף לפסקת הגבלה.</w:t>
      </w:r>
      <w:r>
        <w:rPr>
          <w:rFonts w:hint="cs"/>
          <w:sz w:val="18"/>
          <w:szCs w:val="18"/>
          <w:rtl/>
        </w:rPr>
        <w:t xml:space="preserve"> [..] פסקת ההגבלה נועדה להגביל את "המחוקק הרגיל". היא לא נועדה להגביל את הכנסת כרשות מכוננת.</w:t>
      </w:r>
    </w:p>
  </w:footnote>
  <w:footnote w:id="7">
    <w:p w:rsidR="005366A8" w:rsidRPr="004109CB" w:rsidRDefault="005366A8" w:rsidP="005366A8">
      <w:pPr>
        <w:pStyle w:val="FootnoteText"/>
        <w:spacing w:after="120"/>
        <w:rPr>
          <w:sz w:val="18"/>
          <w:szCs w:val="18"/>
        </w:rPr>
      </w:pPr>
      <w:r w:rsidRPr="004109CB">
        <w:rPr>
          <w:rStyle w:val="FootnoteReference"/>
          <w:sz w:val="18"/>
          <w:szCs w:val="18"/>
        </w:rPr>
        <w:footnoteRef/>
      </w:r>
      <w:r w:rsidRPr="004109CB">
        <w:rPr>
          <w:sz w:val="18"/>
          <w:szCs w:val="18"/>
          <w:rtl/>
        </w:rPr>
        <w:t xml:space="preserve"> </w:t>
      </w:r>
      <w:r w:rsidRPr="004109CB">
        <w:rPr>
          <w:rFonts w:hint="cs"/>
          <w:sz w:val="18"/>
          <w:szCs w:val="18"/>
          <w:rtl/>
        </w:rPr>
        <w:t xml:space="preserve">ראו בג"ץ 6927/02 </w:t>
      </w:r>
      <w:r w:rsidRPr="004109CB">
        <w:rPr>
          <w:rFonts w:hint="cs"/>
          <w:b/>
          <w:bCs/>
          <w:sz w:val="18"/>
          <w:szCs w:val="18"/>
          <w:rtl/>
        </w:rPr>
        <w:t>התנועה לאיכות השלטון נ' הכנסת</w:t>
      </w:r>
      <w:r w:rsidRPr="004109CB">
        <w:rPr>
          <w:rFonts w:hint="cs"/>
          <w:sz w:val="18"/>
          <w:szCs w:val="18"/>
          <w:rtl/>
        </w:rPr>
        <w:t xml:space="preserve"> (טרם פורסם), פסקה 74 לפסק הדין של הנשיא א' ברק.</w:t>
      </w:r>
    </w:p>
  </w:footnote>
  <w:footnote w:id="8">
    <w:p w:rsidR="005366A8" w:rsidRPr="004109CB" w:rsidRDefault="005366A8" w:rsidP="005366A8">
      <w:pPr>
        <w:pStyle w:val="FootnoteText"/>
        <w:spacing w:after="120"/>
        <w:rPr>
          <w:sz w:val="18"/>
          <w:szCs w:val="18"/>
        </w:rPr>
      </w:pPr>
      <w:r w:rsidRPr="004109CB">
        <w:rPr>
          <w:rStyle w:val="FootnoteReference"/>
          <w:sz w:val="18"/>
          <w:szCs w:val="18"/>
        </w:rPr>
        <w:footnoteRef/>
      </w:r>
      <w:r w:rsidRPr="004109CB">
        <w:rPr>
          <w:sz w:val="18"/>
          <w:szCs w:val="18"/>
          <w:rtl/>
        </w:rPr>
        <w:t xml:space="preserve"> </w:t>
      </w:r>
      <w:r>
        <w:rPr>
          <w:rFonts w:hint="cs"/>
          <w:sz w:val="18"/>
          <w:szCs w:val="18"/>
          <w:rtl/>
        </w:rPr>
        <w:t>בג"ץ 4676/94 (הערה ..</w:t>
      </w:r>
      <w:r w:rsidRPr="004109CB">
        <w:rPr>
          <w:rFonts w:hint="cs"/>
          <w:sz w:val="18"/>
          <w:szCs w:val="18"/>
          <w:rtl/>
        </w:rPr>
        <w:t xml:space="preserve">) עמ' 28. </w:t>
      </w:r>
    </w:p>
  </w:footnote>
  <w:footnote w:id="9">
    <w:p w:rsidR="005366A8" w:rsidRPr="004C2995" w:rsidRDefault="005366A8" w:rsidP="005366A8">
      <w:pPr>
        <w:pStyle w:val="FootnoteText"/>
        <w:spacing w:after="120"/>
        <w:rPr>
          <w:sz w:val="18"/>
          <w:szCs w:val="18"/>
          <w:rtl/>
        </w:rPr>
      </w:pPr>
      <w:r w:rsidRPr="004109CB">
        <w:rPr>
          <w:rStyle w:val="FootnoteReference"/>
          <w:sz w:val="18"/>
          <w:szCs w:val="18"/>
        </w:rPr>
        <w:footnoteRef/>
      </w:r>
      <w:r w:rsidRPr="004109CB">
        <w:rPr>
          <w:sz w:val="18"/>
          <w:szCs w:val="18"/>
          <w:rtl/>
        </w:rPr>
        <w:t xml:space="preserve"> </w:t>
      </w:r>
      <w:r w:rsidRPr="004109CB">
        <w:rPr>
          <w:rFonts w:hint="cs"/>
          <w:sz w:val="18"/>
          <w:szCs w:val="18"/>
          <w:rtl/>
        </w:rPr>
        <w:t xml:space="preserve">שם, </w:t>
      </w:r>
      <w:r w:rsidRPr="004109CB">
        <w:rPr>
          <w:rFonts w:hint="cs"/>
          <w:b/>
          <w:bCs/>
          <w:sz w:val="18"/>
          <w:szCs w:val="18"/>
          <w:rtl/>
        </w:rPr>
        <w:t>שם</w:t>
      </w:r>
      <w:r w:rsidRPr="004109CB">
        <w:rPr>
          <w:rFonts w:hint="cs"/>
          <w:sz w:val="18"/>
          <w:szCs w:val="18"/>
          <w:rtl/>
        </w:rPr>
        <w:t>.</w:t>
      </w:r>
    </w:p>
  </w:footnote>
  <w:footnote w:id="10">
    <w:p w:rsidR="005366A8" w:rsidRPr="004C2995" w:rsidRDefault="005366A8" w:rsidP="005366A8">
      <w:pPr>
        <w:pStyle w:val="FootnoteText"/>
        <w:spacing w:after="120"/>
        <w:rPr>
          <w:sz w:val="18"/>
          <w:szCs w:val="18"/>
          <w:rtl/>
        </w:rPr>
      </w:pPr>
      <w:r w:rsidRPr="004C2995">
        <w:rPr>
          <w:rStyle w:val="FootnoteReference"/>
          <w:sz w:val="18"/>
          <w:szCs w:val="18"/>
        </w:rPr>
        <w:footnoteRef/>
      </w:r>
      <w:r w:rsidRPr="004C2995">
        <w:rPr>
          <w:sz w:val="18"/>
          <w:szCs w:val="18"/>
          <w:rtl/>
        </w:rPr>
        <w:t xml:space="preserve"> </w:t>
      </w:r>
      <w:r w:rsidRPr="004C2995">
        <w:rPr>
          <w:rFonts w:hint="cs"/>
          <w:sz w:val="18"/>
          <w:szCs w:val="18"/>
          <w:rtl/>
        </w:rPr>
        <w:t xml:space="preserve">ראו בג"ץ 6427/02 (הערה </w:t>
      </w:r>
      <w:r>
        <w:rPr>
          <w:rFonts w:hint="cs"/>
          <w:sz w:val="18"/>
          <w:szCs w:val="18"/>
          <w:rtl/>
        </w:rPr>
        <w:t>..</w:t>
      </w:r>
      <w:r w:rsidRPr="004C2995">
        <w:rPr>
          <w:rFonts w:hint="cs"/>
          <w:sz w:val="18"/>
          <w:szCs w:val="18"/>
          <w:rtl/>
        </w:rPr>
        <w:t xml:space="preserve">). אך ראו גם את דעת המיעוט של המישנה לנשיא מ' חשין. </w:t>
      </w:r>
      <w:r>
        <w:rPr>
          <w:rFonts w:hint="cs"/>
          <w:sz w:val="18"/>
          <w:szCs w:val="18"/>
          <w:rtl/>
        </w:rPr>
        <w:t xml:space="preserve"> השוויון ימשיך להיות כחלק מהמשפט המקובל הישראלי.</w:t>
      </w:r>
    </w:p>
  </w:footnote>
  <w:footnote w:id="11">
    <w:p w:rsidR="005366A8" w:rsidRPr="00C97664" w:rsidRDefault="005366A8" w:rsidP="005366A8">
      <w:pPr>
        <w:pStyle w:val="FootnoteText"/>
        <w:spacing w:after="120"/>
        <w:rPr>
          <w:rFonts w:cs="David"/>
          <w:sz w:val="18"/>
          <w:szCs w:val="18"/>
          <w:rtl/>
        </w:rPr>
      </w:pPr>
      <w:r w:rsidRPr="00C97664">
        <w:rPr>
          <w:rStyle w:val="FootnoteReference"/>
          <w:sz w:val="18"/>
          <w:szCs w:val="18"/>
          <w:rtl/>
        </w:rPr>
        <w:footnoteRef/>
      </w:r>
      <w:r w:rsidRPr="00C97664">
        <w:rPr>
          <w:rFonts w:cs="David"/>
          <w:sz w:val="18"/>
          <w:szCs w:val="18"/>
          <w:rtl/>
        </w:rPr>
        <w:t xml:space="preserve"> נוסח מעובד ומורחב של ההרצאה התפרסם לאחרונה בכרך י"ד של </w:t>
      </w:r>
      <w:r w:rsidRPr="00C97664">
        <w:rPr>
          <w:rFonts w:cs="David"/>
          <w:b/>
          <w:bCs/>
          <w:sz w:val="18"/>
          <w:szCs w:val="18"/>
          <w:rtl/>
        </w:rPr>
        <w:t>משפט וממשל</w:t>
      </w:r>
      <w:r w:rsidRPr="00C97664">
        <w:rPr>
          <w:rFonts w:cs="David" w:hint="cs"/>
          <w:sz w:val="18"/>
          <w:szCs w:val="18"/>
          <w:rtl/>
        </w:rPr>
        <w:t xml:space="preserve">: אריאל בנדור "מגמות במשפט ציבורי בישראל: בין משפט לשפיטה" </w:t>
      </w:r>
      <w:r w:rsidRPr="00C97664">
        <w:rPr>
          <w:rFonts w:cs="David" w:hint="cs"/>
          <w:b/>
          <w:bCs/>
          <w:sz w:val="18"/>
          <w:szCs w:val="18"/>
          <w:rtl/>
        </w:rPr>
        <w:t>משפט וממשל</w:t>
      </w:r>
      <w:r w:rsidRPr="00C97664">
        <w:rPr>
          <w:rFonts w:cs="David" w:hint="cs"/>
          <w:sz w:val="18"/>
          <w:szCs w:val="18"/>
          <w:rtl/>
        </w:rPr>
        <w:t xml:space="preserve"> יד 377 (2012)</w:t>
      </w:r>
      <w:r w:rsidRPr="00C97664">
        <w:rPr>
          <w:rFonts w:cs="David"/>
          <w:sz w:val="18"/>
          <w:szCs w:val="18"/>
          <w:rtl/>
        </w:rPr>
        <w:t>.</w:t>
      </w:r>
    </w:p>
  </w:footnote>
  <w:footnote w:id="12">
    <w:p w:rsidR="005366A8" w:rsidRPr="00C97664" w:rsidRDefault="005366A8" w:rsidP="005366A8">
      <w:pPr>
        <w:pStyle w:val="FootnoteText"/>
        <w:spacing w:after="120"/>
        <w:rPr>
          <w:rFonts w:cs="David"/>
          <w:sz w:val="18"/>
          <w:szCs w:val="18"/>
          <w:rtl/>
        </w:rPr>
      </w:pPr>
      <w:r w:rsidRPr="00C97664">
        <w:rPr>
          <w:rStyle w:val="FootnoteReference"/>
          <w:sz w:val="18"/>
          <w:szCs w:val="18"/>
          <w:rtl/>
        </w:rPr>
        <w:footnoteRef/>
      </w:r>
      <w:r w:rsidRPr="00C97664">
        <w:rPr>
          <w:rFonts w:cs="David"/>
          <w:sz w:val="18"/>
          <w:szCs w:val="18"/>
          <w:rtl/>
        </w:rPr>
        <w:t xml:space="preserve"> לעניין "ההליכים המתגלגלים" ראו, בין היתר: </w:t>
      </w:r>
      <w:r w:rsidRPr="00C97664">
        <w:rPr>
          <w:rFonts w:cs="David" w:hint="cs"/>
          <w:sz w:val="18"/>
          <w:szCs w:val="18"/>
          <w:rtl/>
        </w:rPr>
        <w:t xml:space="preserve">בג"ץ 6298/07 </w:t>
      </w:r>
      <w:r w:rsidRPr="00C97664">
        <w:rPr>
          <w:rFonts w:cs="David" w:hint="cs"/>
          <w:b/>
          <w:bCs/>
          <w:sz w:val="18"/>
          <w:szCs w:val="18"/>
          <w:rtl/>
        </w:rPr>
        <w:t>רסלר נ' כנסת ישראל</w:t>
      </w:r>
      <w:r w:rsidRPr="00C97664">
        <w:rPr>
          <w:rFonts w:cs="David" w:hint="cs"/>
          <w:sz w:val="18"/>
          <w:szCs w:val="18"/>
          <w:rtl/>
        </w:rPr>
        <w:t xml:space="preserve"> (טרם פורסם, 21.2.2012) בעניין </w:t>
      </w:r>
      <w:r w:rsidRPr="00C97664">
        <w:rPr>
          <w:rFonts w:cs="David"/>
          <w:b/>
          <w:bCs/>
          <w:sz w:val="18"/>
          <w:szCs w:val="18"/>
          <w:rtl/>
        </w:rPr>
        <w:t>חוק טל</w:t>
      </w:r>
      <w:r w:rsidRPr="00C97664">
        <w:rPr>
          <w:rFonts w:cs="David"/>
          <w:sz w:val="18"/>
          <w:szCs w:val="18"/>
          <w:rtl/>
        </w:rPr>
        <w:t xml:space="preserve">; </w:t>
      </w:r>
      <w:r w:rsidRPr="00C97664">
        <w:rPr>
          <w:rFonts w:cs="David" w:hint="cs"/>
          <w:sz w:val="18"/>
          <w:szCs w:val="18"/>
          <w:rtl/>
        </w:rPr>
        <w:t xml:space="preserve">בג"ץ 8300/02 </w:t>
      </w:r>
      <w:r w:rsidRPr="00C97664">
        <w:rPr>
          <w:rFonts w:cs="David"/>
          <w:b/>
          <w:bCs/>
          <w:sz w:val="18"/>
          <w:szCs w:val="18"/>
          <w:rtl/>
        </w:rPr>
        <w:t>נסר</w:t>
      </w:r>
      <w:r w:rsidRPr="00C97664">
        <w:rPr>
          <w:rFonts w:cs="David" w:hint="cs"/>
          <w:b/>
          <w:bCs/>
          <w:sz w:val="18"/>
          <w:szCs w:val="18"/>
          <w:rtl/>
        </w:rPr>
        <w:t xml:space="preserve"> נ' ממשלת ישראל</w:t>
      </w:r>
      <w:r w:rsidRPr="00C97664">
        <w:rPr>
          <w:rFonts w:cs="David" w:hint="cs"/>
          <w:sz w:val="18"/>
          <w:szCs w:val="18"/>
          <w:rtl/>
        </w:rPr>
        <w:t xml:space="preserve"> (טרם פורסם, 22.05.2012) </w:t>
      </w:r>
      <w:r w:rsidRPr="00C97664">
        <w:rPr>
          <w:rFonts w:cs="David"/>
          <w:sz w:val="18"/>
          <w:szCs w:val="18"/>
          <w:rtl/>
        </w:rPr>
        <w:t xml:space="preserve">– הטבות לישובים על דרך פטור חלקי ממס הכנסה (אדון בו בהמשך); </w:t>
      </w:r>
      <w:r w:rsidRPr="00C97664">
        <w:rPr>
          <w:rFonts w:cs="David" w:hint="cs"/>
          <w:sz w:val="18"/>
          <w:szCs w:val="18"/>
          <w:rtl/>
        </w:rPr>
        <w:t>בג"ץ</w:t>
      </w:r>
      <w:r w:rsidRPr="00C97664">
        <w:rPr>
          <w:rFonts w:cs="David"/>
          <w:sz w:val="18"/>
          <w:szCs w:val="18"/>
          <w:rtl/>
        </w:rPr>
        <w:t xml:space="preserve"> 7302/07 ‏</w:t>
      </w:r>
      <w:r w:rsidRPr="00C97664">
        <w:rPr>
          <w:rFonts w:cs="David" w:hint="cs"/>
          <w:b/>
          <w:bCs/>
          <w:sz w:val="18"/>
          <w:szCs w:val="18"/>
          <w:rtl/>
        </w:rPr>
        <w:t>מוקד</w:t>
      </w:r>
      <w:r w:rsidRPr="00C97664">
        <w:rPr>
          <w:rFonts w:cs="David"/>
          <w:b/>
          <w:bCs/>
          <w:sz w:val="18"/>
          <w:szCs w:val="18"/>
          <w:rtl/>
        </w:rPr>
        <w:t xml:space="preserve"> </w:t>
      </w:r>
      <w:r w:rsidRPr="00C97664">
        <w:rPr>
          <w:rFonts w:cs="David" w:hint="cs"/>
          <w:b/>
          <w:bCs/>
          <w:sz w:val="18"/>
          <w:szCs w:val="18"/>
          <w:rtl/>
        </w:rPr>
        <w:t>סיוע</w:t>
      </w:r>
      <w:r w:rsidRPr="00C97664">
        <w:rPr>
          <w:rFonts w:cs="David"/>
          <w:b/>
          <w:bCs/>
          <w:sz w:val="18"/>
          <w:szCs w:val="18"/>
          <w:rtl/>
        </w:rPr>
        <w:t xml:space="preserve"> </w:t>
      </w:r>
      <w:r w:rsidRPr="00C97664">
        <w:rPr>
          <w:rFonts w:cs="David" w:hint="cs"/>
          <w:b/>
          <w:bCs/>
          <w:sz w:val="18"/>
          <w:szCs w:val="18"/>
          <w:rtl/>
        </w:rPr>
        <w:t>לעובדים</w:t>
      </w:r>
      <w:r w:rsidRPr="00C97664">
        <w:rPr>
          <w:rFonts w:cs="David"/>
          <w:b/>
          <w:bCs/>
          <w:sz w:val="18"/>
          <w:szCs w:val="18"/>
          <w:rtl/>
        </w:rPr>
        <w:t xml:space="preserve"> </w:t>
      </w:r>
      <w:r w:rsidRPr="00C97664">
        <w:rPr>
          <w:rFonts w:cs="David" w:hint="cs"/>
          <w:b/>
          <w:bCs/>
          <w:sz w:val="18"/>
          <w:szCs w:val="18"/>
          <w:rtl/>
        </w:rPr>
        <w:t>זרים</w:t>
      </w:r>
      <w:r w:rsidRPr="00C97664">
        <w:rPr>
          <w:rFonts w:cs="David"/>
          <w:b/>
          <w:bCs/>
          <w:sz w:val="18"/>
          <w:szCs w:val="18"/>
          <w:rtl/>
        </w:rPr>
        <w:t xml:space="preserve"> </w:t>
      </w:r>
      <w:r w:rsidRPr="00C97664">
        <w:rPr>
          <w:rFonts w:cs="David" w:hint="cs"/>
          <w:b/>
          <w:bCs/>
          <w:sz w:val="18"/>
          <w:szCs w:val="18"/>
          <w:rtl/>
        </w:rPr>
        <w:t>נ</w:t>
      </w:r>
      <w:r w:rsidRPr="00C97664">
        <w:rPr>
          <w:rFonts w:cs="David"/>
          <w:b/>
          <w:bCs/>
          <w:sz w:val="18"/>
          <w:szCs w:val="18"/>
          <w:rtl/>
        </w:rPr>
        <w:t xml:space="preserve">' </w:t>
      </w:r>
      <w:r w:rsidRPr="00C97664">
        <w:rPr>
          <w:rFonts w:cs="David" w:hint="cs"/>
          <w:b/>
          <w:bCs/>
          <w:sz w:val="18"/>
          <w:szCs w:val="18"/>
          <w:rtl/>
        </w:rPr>
        <w:t>שר</w:t>
      </w:r>
      <w:r w:rsidRPr="00C97664">
        <w:rPr>
          <w:rFonts w:cs="David"/>
          <w:b/>
          <w:bCs/>
          <w:sz w:val="18"/>
          <w:szCs w:val="18"/>
          <w:rtl/>
        </w:rPr>
        <w:t xml:space="preserve"> </w:t>
      </w:r>
      <w:r w:rsidRPr="00C97664">
        <w:rPr>
          <w:rFonts w:cs="David" w:hint="cs"/>
          <w:b/>
          <w:bCs/>
          <w:sz w:val="18"/>
          <w:szCs w:val="18"/>
          <w:rtl/>
        </w:rPr>
        <w:t>הביטחון</w:t>
      </w:r>
      <w:r w:rsidRPr="00C97664">
        <w:rPr>
          <w:rFonts w:cs="David"/>
          <w:sz w:val="18"/>
          <w:szCs w:val="18"/>
          <w:rtl/>
        </w:rPr>
        <w:t xml:space="preserve"> </w:t>
      </w:r>
      <w:r w:rsidRPr="00C97664">
        <w:rPr>
          <w:rFonts w:cs="David" w:hint="cs"/>
          <w:sz w:val="18"/>
          <w:szCs w:val="18"/>
          <w:rtl/>
        </w:rPr>
        <w:t>(טרם פורסם, 7.7.2011)</w:t>
      </w:r>
      <w:r w:rsidRPr="00C97664">
        <w:rPr>
          <w:rFonts w:cs="David"/>
          <w:sz w:val="18"/>
          <w:szCs w:val="18"/>
          <w:rtl/>
        </w:rPr>
        <w:t xml:space="preserve">; </w:t>
      </w:r>
      <w:r w:rsidRPr="00C97664">
        <w:rPr>
          <w:rFonts w:cs="David" w:hint="cs"/>
          <w:sz w:val="18"/>
          <w:szCs w:val="18"/>
          <w:rtl/>
        </w:rPr>
        <w:t>בג"ץ</w:t>
      </w:r>
      <w:r w:rsidRPr="00C97664">
        <w:rPr>
          <w:rFonts w:cs="David"/>
          <w:sz w:val="18"/>
          <w:szCs w:val="18"/>
          <w:rtl/>
        </w:rPr>
        <w:t xml:space="preserve"> 2779/07 </w:t>
      </w:r>
      <w:r w:rsidRPr="00C97664">
        <w:rPr>
          <w:rFonts w:cs="David" w:hint="cs"/>
          <w:b/>
          <w:bCs/>
          <w:sz w:val="18"/>
          <w:szCs w:val="18"/>
          <w:rtl/>
        </w:rPr>
        <w:t>מועצת</w:t>
      </w:r>
      <w:r w:rsidRPr="00C97664">
        <w:rPr>
          <w:rFonts w:cs="David"/>
          <w:b/>
          <w:bCs/>
          <w:sz w:val="18"/>
          <w:szCs w:val="18"/>
          <w:rtl/>
        </w:rPr>
        <w:t xml:space="preserve"> </w:t>
      </w:r>
      <w:r w:rsidRPr="00C97664">
        <w:rPr>
          <w:rFonts w:cs="David" w:hint="cs"/>
          <w:b/>
          <w:bCs/>
          <w:sz w:val="18"/>
          <w:szCs w:val="18"/>
          <w:rtl/>
        </w:rPr>
        <w:t>הכפר</w:t>
      </w:r>
      <w:r w:rsidRPr="00C97664">
        <w:rPr>
          <w:rFonts w:cs="David"/>
          <w:b/>
          <w:bCs/>
          <w:sz w:val="18"/>
          <w:szCs w:val="18"/>
          <w:rtl/>
        </w:rPr>
        <w:t xml:space="preserve"> </w:t>
      </w:r>
      <w:r w:rsidRPr="00C97664">
        <w:rPr>
          <w:rFonts w:cs="David" w:hint="cs"/>
          <w:b/>
          <w:bCs/>
          <w:sz w:val="18"/>
          <w:szCs w:val="18"/>
          <w:rtl/>
        </w:rPr>
        <w:t>בתיר</w:t>
      </w:r>
      <w:r w:rsidRPr="00C97664">
        <w:rPr>
          <w:rFonts w:cs="David"/>
          <w:b/>
          <w:bCs/>
          <w:sz w:val="18"/>
          <w:szCs w:val="18"/>
          <w:rtl/>
        </w:rPr>
        <w:t xml:space="preserve"> </w:t>
      </w:r>
      <w:r w:rsidRPr="00C97664">
        <w:rPr>
          <w:rFonts w:cs="David" w:hint="cs"/>
          <w:b/>
          <w:bCs/>
          <w:sz w:val="18"/>
          <w:szCs w:val="18"/>
          <w:rtl/>
        </w:rPr>
        <w:t>נ</w:t>
      </w:r>
      <w:r w:rsidRPr="00C97664">
        <w:rPr>
          <w:rFonts w:cs="David"/>
          <w:b/>
          <w:bCs/>
          <w:sz w:val="18"/>
          <w:szCs w:val="18"/>
          <w:rtl/>
        </w:rPr>
        <w:t xml:space="preserve">' </w:t>
      </w:r>
      <w:r w:rsidRPr="00C97664">
        <w:rPr>
          <w:rFonts w:cs="David" w:hint="cs"/>
          <w:b/>
          <w:bCs/>
          <w:sz w:val="18"/>
          <w:szCs w:val="18"/>
          <w:rtl/>
        </w:rPr>
        <w:t>המפקד</w:t>
      </w:r>
      <w:r w:rsidRPr="00C97664">
        <w:rPr>
          <w:rFonts w:cs="David"/>
          <w:b/>
          <w:bCs/>
          <w:sz w:val="18"/>
          <w:szCs w:val="18"/>
          <w:rtl/>
        </w:rPr>
        <w:t xml:space="preserve"> </w:t>
      </w:r>
      <w:r w:rsidRPr="00C97664">
        <w:rPr>
          <w:rFonts w:cs="David" w:hint="cs"/>
          <w:b/>
          <w:bCs/>
          <w:sz w:val="18"/>
          <w:szCs w:val="18"/>
          <w:rtl/>
        </w:rPr>
        <w:t>הצבאי</w:t>
      </w:r>
      <w:r w:rsidRPr="00C97664">
        <w:rPr>
          <w:rFonts w:cs="David"/>
          <w:b/>
          <w:bCs/>
          <w:sz w:val="18"/>
          <w:szCs w:val="18"/>
          <w:rtl/>
        </w:rPr>
        <w:t xml:space="preserve"> </w:t>
      </w:r>
      <w:r w:rsidRPr="00C97664">
        <w:rPr>
          <w:rFonts w:cs="David" w:hint="cs"/>
          <w:b/>
          <w:bCs/>
          <w:sz w:val="18"/>
          <w:szCs w:val="18"/>
          <w:rtl/>
        </w:rPr>
        <w:t>הגדה</w:t>
      </w:r>
      <w:r w:rsidRPr="00C97664">
        <w:rPr>
          <w:rFonts w:cs="David"/>
          <w:b/>
          <w:bCs/>
          <w:sz w:val="18"/>
          <w:szCs w:val="18"/>
          <w:rtl/>
        </w:rPr>
        <w:t xml:space="preserve"> </w:t>
      </w:r>
      <w:r w:rsidRPr="00C97664">
        <w:rPr>
          <w:rFonts w:cs="David" w:hint="cs"/>
          <w:b/>
          <w:bCs/>
          <w:sz w:val="18"/>
          <w:szCs w:val="18"/>
          <w:rtl/>
        </w:rPr>
        <w:t xml:space="preserve">המערבית </w:t>
      </w:r>
      <w:r w:rsidRPr="00C97664">
        <w:rPr>
          <w:rFonts w:cs="David" w:hint="cs"/>
          <w:sz w:val="18"/>
          <w:szCs w:val="18"/>
          <w:rtl/>
        </w:rPr>
        <w:t>(טרם פורסם, 25.1.2012)</w:t>
      </w:r>
      <w:r w:rsidRPr="00C97664">
        <w:rPr>
          <w:rFonts w:cs="David"/>
          <w:sz w:val="18"/>
          <w:szCs w:val="18"/>
          <w:rtl/>
        </w:rPr>
        <w:t xml:space="preserve">; </w:t>
      </w:r>
      <w:r w:rsidRPr="00C97664">
        <w:rPr>
          <w:rFonts w:cs="David" w:hint="cs"/>
          <w:sz w:val="18"/>
          <w:szCs w:val="18"/>
          <w:rtl/>
        </w:rPr>
        <w:t xml:space="preserve">בג"ץ 4797/07 </w:t>
      </w:r>
      <w:r w:rsidRPr="00C97664">
        <w:rPr>
          <w:rFonts w:cs="David" w:hint="cs"/>
          <w:b/>
          <w:bCs/>
          <w:sz w:val="18"/>
          <w:szCs w:val="18"/>
          <w:rtl/>
        </w:rPr>
        <w:t xml:space="preserve">האגודה לזכויות האזרח בישראל נ' רשות שדות התעופה </w:t>
      </w:r>
      <w:r w:rsidRPr="00C97664">
        <w:rPr>
          <w:rFonts w:cs="David" w:hint="cs"/>
          <w:sz w:val="18"/>
          <w:szCs w:val="18"/>
          <w:rtl/>
        </w:rPr>
        <w:t xml:space="preserve">(טרם פורסם, 22.5.2012) </w:t>
      </w:r>
      <w:r w:rsidRPr="00C97664">
        <w:rPr>
          <w:rFonts w:cs="David"/>
          <w:sz w:val="18"/>
          <w:szCs w:val="18"/>
          <w:rtl/>
        </w:rPr>
        <w:t>–</w:t>
      </w:r>
      <w:r w:rsidRPr="00C97664">
        <w:rPr>
          <w:rFonts w:cs="David" w:hint="cs"/>
          <w:sz w:val="18"/>
          <w:szCs w:val="18"/>
          <w:rtl/>
        </w:rPr>
        <w:t xml:space="preserve"> החלטת בינתיים ב</w:t>
      </w:r>
      <w:r w:rsidRPr="00C97664">
        <w:rPr>
          <w:rFonts w:cs="David"/>
          <w:sz w:val="18"/>
          <w:szCs w:val="18"/>
          <w:rtl/>
        </w:rPr>
        <w:t xml:space="preserve">עתירת האגודה לזכויות האזרח בעניין </w:t>
      </w:r>
      <w:r w:rsidRPr="00C97664">
        <w:rPr>
          <w:rFonts w:cs="David"/>
          <w:b/>
          <w:bCs/>
          <w:sz w:val="18"/>
          <w:szCs w:val="18"/>
          <w:rtl/>
        </w:rPr>
        <w:t>התיוג האתני בשדות התעופה</w:t>
      </w:r>
      <w:r w:rsidRPr="00C97664">
        <w:rPr>
          <w:rFonts w:cs="David"/>
          <w:sz w:val="18"/>
          <w:szCs w:val="18"/>
          <w:rtl/>
        </w:rPr>
        <w:t xml:space="preserve">; והדוגמא הבולטת מכל היא </w:t>
      </w:r>
      <w:r w:rsidRPr="00C97664">
        <w:rPr>
          <w:rFonts w:cs="David" w:hint="cs"/>
          <w:sz w:val="18"/>
          <w:szCs w:val="18"/>
          <w:rtl/>
        </w:rPr>
        <w:t xml:space="preserve">בג"ץ 3091/99 </w:t>
      </w:r>
      <w:r w:rsidRPr="00C97664">
        <w:rPr>
          <w:rFonts w:cs="David" w:hint="cs"/>
          <w:b/>
          <w:bCs/>
          <w:sz w:val="18"/>
          <w:szCs w:val="18"/>
          <w:rtl/>
        </w:rPr>
        <w:t xml:space="preserve">האגודה לזכויות האזרח נ' הכנסת </w:t>
      </w:r>
      <w:r w:rsidRPr="00C97664">
        <w:rPr>
          <w:rFonts w:cs="David" w:hint="cs"/>
          <w:sz w:val="18"/>
          <w:szCs w:val="18"/>
          <w:rtl/>
        </w:rPr>
        <w:t xml:space="preserve">(טרם פורסם, 8.5.2012) </w:t>
      </w:r>
      <w:r w:rsidRPr="00C97664">
        <w:rPr>
          <w:rFonts w:cs="David"/>
          <w:sz w:val="18"/>
          <w:szCs w:val="18"/>
          <w:rtl/>
        </w:rPr>
        <w:t>–</w:t>
      </w:r>
      <w:r w:rsidRPr="00C97664">
        <w:rPr>
          <w:rFonts w:cs="David" w:hint="cs"/>
          <w:sz w:val="18"/>
          <w:szCs w:val="18"/>
          <w:rtl/>
        </w:rPr>
        <w:t xml:space="preserve"> </w:t>
      </w:r>
      <w:r w:rsidRPr="00C97664">
        <w:rPr>
          <w:rFonts w:cs="David"/>
          <w:sz w:val="18"/>
          <w:szCs w:val="18"/>
          <w:rtl/>
        </w:rPr>
        <w:t>עתירה משנת 1999 (!) לביטול ההכרזה המתמשכת על קיומו של מצב חירום.</w:t>
      </w:r>
    </w:p>
  </w:footnote>
  <w:footnote w:id="13">
    <w:p w:rsidR="005366A8" w:rsidRPr="00C97664" w:rsidRDefault="005366A8" w:rsidP="005366A8">
      <w:pPr>
        <w:pStyle w:val="FootnoteText"/>
        <w:spacing w:after="120"/>
        <w:rPr>
          <w:rFonts w:cs="David"/>
          <w:sz w:val="18"/>
          <w:szCs w:val="18"/>
        </w:rPr>
      </w:pPr>
      <w:r w:rsidRPr="00C97664">
        <w:rPr>
          <w:rStyle w:val="FootnoteReference"/>
          <w:sz w:val="18"/>
          <w:szCs w:val="18"/>
        </w:rPr>
        <w:footnoteRef/>
      </w:r>
      <w:r w:rsidRPr="00C97664">
        <w:rPr>
          <w:rFonts w:cs="David"/>
          <w:sz w:val="18"/>
          <w:szCs w:val="18"/>
          <w:rtl/>
        </w:rPr>
        <w:t xml:space="preserve"> </w:t>
      </w:r>
      <w:r w:rsidRPr="00C97664">
        <w:rPr>
          <w:rFonts w:cs="David" w:hint="cs"/>
          <w:sz w:val="18"/>
          <w:szCs w:val="18"/>
          <w:rtl/>
        </w:rPr>
        <w:t>בג"ץ</w:t>
      </w:r>
      <w:r w:rsidRPr="00C97664">
        <w:rPr>
          <w:rFonts w:cs="David"/>
          <w:sz w:val="18"/>
          <w:szCs w:val="18"/>
          <w:rtl/>
        </w:rPr>
        <w:t xml:space="preserve"> 2164/09 </w:t>
      </w:r>
      <w:r w:rsidRPr="00C97664">
        <w:rPr>
          <w:rFonts w:cs="David" w:hint="cs"/>
          <w:b/>
          <w:bCs/>
          <w:sz w:val="18"/>
          <w:szCs w:val="18"/>
          <w:rtl/>
        </w:rPr>
        <w:t>יש</w:t>
      </w:r>
      <w:r w:rsidRPr="00C97664">
        <w:rPr>
          <w:rFonts w:cs="David"/>
          <w:b/>
          <w:bCs/>
          <w:sz w:val="18"/>
          <w:szCs w:val="18"/>
          <w:rtl/>
        </w:rPr>
        <w:t xml:space="preserve"> </w:t>
      </w:r>
      <w:r w:rsidRPr="00C97664">
        <w:rPr>
          <w:rFonts w:cs="David" w:hint="cs"/>
          <w:b/>
          <w:bCs/>
          <w:sz w:val="18"/>
          <w:szCs w:val="18"/>
          <w:rtl/>
        </w:rPr>
        <w:t>דין</w:t>
      </w:r>
      <w:r w:rsidRPr="00C97664">
        <w:rPr>
          <w:rFonts w:cs="David"/>
          <w:b/>
          <w:bCs/>
          <w:sz w:val="18"/>
          <w:szCs w:val="18"/>
          <w:rtl/>
        </w:rPr>
        <w:t xml:space="preserve"> - </w:t>
      </w:r>
      <w:r w:rsidRPr="00C97664">
        <w:rPr>
          <w:rFonts w:cs="David" w:hint="cs"/>
          <w:b/>
          <w:bCs/>
          <w:sz w:val="18"/>
          <w:szCs w:val="18"/>
          <w:rtl/>
        </w:rPr>
        <w:t>ארגון</w:t>
      </w:r>
      <w:r w:rsidRPr="00C97664">
        <w:rPr>
          <w:rFonts w:cs="David"/>
          <w:b/>
          <w:bCs/>
          <w:sz w:val="18"/>
          <w:szCs w:val="18"/>
          <w:rtl/>
        </w:rPr>
        <w:t xml:space="preserve"> </w:t>
      </w:r>
      <w:r w:rsidRPr="00C97664">
        <w:rPr>
          <w:rFonts w:cs="David" w:hint="cs"/>
          <w:b/>
          <w:bCs/>
          <w:sz w:val="18"/>
          <w:szCs w:val="18"/>
          <w:rtl/>
        </w:rPr>
        <w:t>מתנדבים</w:t>
      </w:r>
      <w:r w:rsidRPr="00C97664">
        <w:rPr>
          <w:rFonts w:cs="David"/>
          <w:b/>
          <w:bCs/>
          <w:sz w:val="18"/>
          <w:szCs w:val="18"/>
          <w:rtl/>
        </w:rPr>
        <w:t xml:space="preserve"> </w:t>
      </w:r>
      <w:r w:rsidRPr="00C97664">
        <w:rPr>
          <w:rFonts w:cs="David" w:hint="cs"/>
          <w:b/>
          <w:bCs/>
          <w:sz w:val="18"/>
          <w:szCs w:val="18"/>
          <w:rtl/>
        </w:rPr>
        <w:t>למען</w:t>
      </w:r>
      <w:r w:rsidRPr="00C97664">
        <w:rPr>
          <w:rFonts w:cs="David"/>
          <w:b/>
          <w:bCs/>
          <w:sz w:val="18"/>
          <w:szCs w:val="18"/>
          <w:rtl/>
        </w:rPr>
        <w:t xml:space="preserve"> </w:t>
      </w:r>
      <w:r w:rsidRPr="00C97664">
        <w:rPr>
          <w:rFonts w:cs="David" w:hint="cs"/>
          <w:b/>
          <w:bCs/>
          <w:sz w:val="18"/>
          <w:szCs w:val="18"/>
          <w:rtl/>
        </w:rPr>
        <w:t>זכויות</w:t>
      </w:r>
      <w:r w:rsidRPr="00C97664">
        <w:rPr>
          <w:rFonts w:cs="David"/>
          <w:b/>
          <w:bCs/>
          <w:sz w:val="18"/>
          <w:szCs w:val="18"/>
          <w:rtl/>
        </w:rPr>
        <w:t xml:space="preserve"> </w:t>
      </w:r>
      <w:r w:rsidRPr="00C97664">
        <w:rPr>
          <w:rFonts w:cs="David" w:hint="cs"/>
          <w:b/>
          <w:bCs/>
          <w:sz w:val="18"/>
          <w:szCs w:val="18"/>
          <w:rtl/>
        </w:rPr>
        <w:t>אדם</w:t>
      </w:r>
      <w:r w:rsidRPr="00C97664">
        <w:rPr>
          <w:rFonts w:cs="David"/>
          <w:b/>
          <w:bCs/>
          <w:sz w:val="18"/>
          <w:szCs w:val="18"/>
          <w:rtl/>
        </w:rPr>
        <w:t xml:space="preserve"> </w:t>
      </w:r>
      <w:r w:rsidRPr="00C97664">
        <w:rPr>
          <w:rFonts w:cs="David" w:hint="cs"/>
          <w:b/>
          <w:bCs/>
          <w:sz w:val="18"/>
          <w:szCs w:val="18"/>
          <w:rtl/>
        </w:rPr>
        <w:t>נ</w:t>
      </w:r>
      <w:r w:rsidRPr="00C97664">
        <w:rPr>
          <w:rFonts w:cs="David"/>
          <w:b/>
          <w:bCs/>
          <w:sz w:val="18"/>
          <w:szCs w:val="18"/>
          <w:rtl/>
        </w:rPr>
        <w:t xml:space="preserve">' </w:t>
      </w:r>
      <w:r w:rsidRPr="00C97664">
        <w:rPr>
          <w:rFonts w:cs="David" w:hint="cs"/>
          <w:b/>
          <w:bCs/>
          <w:sz w:val="18"/>
          <w:szCs w:val="18"/>
          <w:rtl/>
        </w:rPr>
        <w:t>מפקד</w:t>
      </w:r>
      <w:r w:rsidRPr="00C97664">
        <w:rPr>
          <w:rFonts w:cs="David"/>
          <w:b/>
          <w:bCs/>
          <w:sz w:val="18"/>
          <w:szCs w:val="18"/>
          <w:rtl/>
        </w:rPr>
        <w:t xml:space="preserve"> </w:t>
      </w:r>
      <w:r w:rsidRPr="00C97664">
        <w:rPr>
          <w:rFonts w:cs="David" w:hint="cs"/>
          <w:b/>
          <w:bCs/>
          <w:sz w:val="18"/>
          <w:szCs w:val="18"/>
          <w:rtl/>
        </w:rPr>
        <w:t>כוחות</w:t>
      </w:r>
      <w:r w:rsidRPr="00C97664">
        <w:rPr>
          <w:rFonts w:cs="David"/>
          <w:b/>
          <w:bCs/>
          <w:sz w:val="18"/>
          <w:szCs w:val="18"/>
          <w:rtl/>
        </w:rPr>
        <w:t xml:space="preserve"> </w:t>
      </w:r>
      <w:r w:rsidRPr="00C97664">
        <w:rPr>
          <w:rFonts w:cs="David" w:hint="cs"/>
          <w:b/>
          <w:bCs/>
          <w:sz w:val="18"/>
          <w:szCs w:val="18"/>
          <w:rtl/>
        </w:rPr>
        <w:t>צה</w:t>
      </w:r>
      <w:r w:rsidRPr="00C97664">
        <w:rPr>
          <w:rFonts w:cs="David"/>
          <w:b/>
          <w:bCs/>
          <w:sz w:val="18"/>
          <w:szCs w:val="18"/>
          <w:rtl/>
        </w:rPr>
        <w:t>"</w:t>
      </w:r>
      <w:r w:rsidRPr="00C97664">
        <w:rPr>
          <w:rFonts w:cs="David" w:hint="cs"/>
          <w:b/>
          <w:bCs/>
          <w:sz w:val="18"/>
          <w:szCs w:val="18"/>
          <w:rtl/>
        </w:rPr>
        <w:t>ל</w:t>
      </w:r>
      <w:r w:rsidRPr="00C97664">
        <w:rPr>
          <w:rFonts w:cs="David"/>
          <w:b/>
          <w:bCs/>
          <w:sz w:val="18"/>
          <w:szCs w:val="18"/>
          <w:rtl/>
        </w:rPr>
        <w:t xml:space="preserve"> </w:t>
      </w:r>
      <w:r w:rsidRPr="00C97664">
        <w:rPr>
          <w:rFonts w:cs="David" w:hint="cs"/>
          <w:b/>
          <w:bCs/>
          <w:sz w:val="18"/>
          <w:szCs w:val="18"/>
          <w:rtl/>
        </w:rPr>
        <w:t>בגדה</w:t>
      </w:r>
      <w:r w:rsidRPr="00C97664">
        <w:rPr>
          <w:rFonts w:cs="David"/>
          <w:b/>
          <w:bCs/>
          <w:sz w:val="18"/>
          <w:szCs w:val="18"/>
          <w:rtl/>
        </w:rPr>
        <w:t xml:space="preserve"> </w:t>
      </w:r>
      <w:r w:rsidRPr="00C97664">
        <w:rPr>
          <w:rFonts w:cs="David" w:hint="cs"/>
          <w:b/>
          <w:bCs/>
          <w:sz w:val="18"/>
          <w:szCs w:val="18"/>
          <w:rtl/>
        </w:rPr>
        <w:t>המערבית</w:t>
      </w:r>
      <w:r w:rsidRPr="00C97664">
        <w:rPr>
          <w:rFonts w:cs="David" w:hint="cs"/>
          <w:sz w:val="18"/>
          <w:szCs w:val="18"/>
          <w:rtl/>
        </w:rPr>
        <w:t xml:space="preserve"> (טרם פורסם, 26.12.2011)</w:t>
      </w:r>
    </w:p>
  </w:footnote>
  <w:footnote w:id="14">
    <w:p w:rsidR="005366A8" w:rsidRPr="00C97664" w:rsidRDefault="005366A8" w:rsidP="005366A8">
      <w:pPr>
        <w:pStyle w:val="FootnoteText"/>
        <w:spacing w:after="120"/>
        <w:rPr>
          <w:rFonts w:cs="David"/>
          <w:sz w:val="18"/>
          <w:szCs w:val="18"/>
        </w:rPr>
      </w:pPr>
      <w:r w:rsidRPr="00C97664">
        <w:rPr>
          <w:rStyle w:val="FootnoteReference"/>
          <w:sz w:val="18"/>
          <w:szCs w:val="18"/>
        </w:rPr>
        <w:footnoteRef/>
      </w:r>
      <w:r w:rsidRPr="00C97664">
        <w:rPr>
          <w:rFonts w:cs="David"/>
          <w:sz w:val="18"/>
          <w:szCs w:val="18"/>
          <w:rtl/>
        </w:rPr>
        <w:t xml:space="preserve"> </w:t>
      </w:r>
      <w:r w:rsidRPr="00C97664">
        <w:rPr>
          <w:rFonts w:cs="David" w:hint="cs"/>
          <w:sz w:val="18"/>
          <w:szCs w:val="18"/>
          <w:rtl/>
        </w:rPr>
        <w:t>בג"ץ</w:t>
      </w:r>
      <w:r w:rsidRPr="00C97664">
        <w:rPr>
          <w:rFonts w:cs="David"/>
          <w:sz w:val="18"/>
          <w:szCs w:val="18"/>
          <w:rtl/>
        </w:rPr>
        <w:t xml:space="preserve"> 281/11 </w:t>
      </w:r>
      <w:r w:rsidRPr="00C97664">
        <w:rPr>
          <w:rFonts w:cs="David" w:hint="cs"/>
          <w:b/>
          <w:bCs/>
          <w:sz w:val="18"/>
          <w:szCs w:val="18"/>
          <w:rtl/>
        </w:rPr>
        <w:t>ראש</w:t>
      </w:r>
      <w:r w:rsidRPr="00C97664">
        <w:rPr>
          <w:rFonts w:cs="David"/>
          <w:b/>
          <w:bCs/>
          <w:sz w:val="18"/>
          <w:szCs w:val="18"/>
          <w:rtl/>
        </w:rPr>
        <w:t xml:space="preserve"> </w:t>
      </w:r>
      <w:r w:rsidRPr="00C97664">
        <w:rPr>
          <w:rFonts w:cs="David" w:hint="cs"/>
          <w:b/>
          <w:bCs/>
          <w:sz w:val="18"/>
          <w:szCs w:val="18"/>
          <w:rtl/>
        </w:rPr>
        <w:t>מועצת</w:t>
      </w:r>
      <w:r w:rsidRPr="00C97664">
        <w:rPr>
          <w:rFonts w:cs="David"/>
          <w:b/>
          <w:bCs/>
          <w:sz w:val="18"/>
          <w:szCs w:val="18"/>
          <w:rtl/>
        </w:rPr>
        <w:t xml:space="preserve"> </w:t>
      </w:r>
      <w:r w:rsidRPr="00C97664">
        <w:rPr>
          <w:rFonts w:cs="David" w:hint="cs"/>
          <w:b/>
          <w:bCs/>
          <w:sz w:val="18"/>
          <w:szCs w:val="18"/>
          <w:rtl/>
        </w:rPr>
        <w:t>בית</w:t>
      </w:r>
      <w:r w:rsidRPr="00C97664">
        <w:rPr>
          <w:rFonts w:cs="David"/>
          <w:b/>
          <w:bCs/>
          <w:sz w:val="18"/>
          <w:szCs w:val="18"/>
          <w:rtl/>
        </w:rPr>
        <w:t xml:space="preserve"> </w:t>
      </w:r>
      <w:r w:rsidRPr="00C97664">
        <w:rPr>
          <w:rFonts w:cs="David" w:hint="cs"/>
          <w:b/>
          <w:bCs/>
          <w:sz w:val="18"/>
          <w:szCs w:val="18"/>
          <w:rtl/>
        </w:rPr>
        <w:t>איכסא</w:t>
      </w:r>
      <w:r w:rsidRPr="00C97664">
        <w:rPr>
          <w:rFonts w:cs="David"/>
          <w:b/>
          <w:bCs/>
          <w:sz w:val="18"/>
          <w:szCs w:val="18"/>
          <w:rtl/>
        </w:rPr>
        <w:t xml:space="preserve"> </w:t>
      </w:r>
      <w:r w:rsidRPr="00C97664">
        <w:rPr>
          <w:rFonts w:cs="David" w:hint="cs"/>
          <w:b/>
          <w:bCs/>
          <w:sz w:val="18"/>
          <w:szCs w:val="18"/>
          <w:rtl/>
        </w:rPr>
        <w:t>נ</w:t>
      </w:r>
      <w:r w:rsidRPr="00C97664">
        <w:rPr>
          <w:rFonts w:cs="David"/>
          <w:b/>
          <w:bCs/>
          <w:sz w:val="18"/>
          <w:szCs w:val="18"/>
          <w:rtl/>
        </w:rPr>
        <w:t xml:space="preserve">' </w:t>
      </w:r>
      <w:r w:rsidRPr="00C97664">
        <w:rPr>
          <w:rFonts w:cs="David" w:hint="cs"/>
          <w:b/>
          <w:bCs/>
          <w:sz w:val="18"/>
          <w:szCs w:val="18"/>
          <w:rtl/>
        </w:rPr>
        <w:t>שר</w:t>
      </w:r>
      <w:r w:rsidRPr="00C97664">
        <w:rPr>
          <w:rFonts w:cs="David"/>
          <w:b/>
          <w:bCs/>
          <w:sz w:val="18"/>
          <w:szCs w:val="18"/>
          <w:rtl/>
        </w:rPr>
        <w:t xml:space="preserve"> </w:t>
      </w:r>
      <w:r w:rsidRPr="00C97664">
        <w:rPr>
          <w:rFonts w:cs="David" w:hint="cs"/>
          <w:b/>
          <w:bCs/>
          <w:sz w:val="18"/>
          <w:szCs w:val="18"/>
          <w:rtl/>
        </w:rPr>
        <w:t>הביטחון</w:t>
      </w:r>
      <w:r w:rsidRPr="00C97664">
        <w:rPr>
          <w:rFonts w:cs="David" w:hint="cs"/>
          <w:sz w:val="18"/>
          <w:szCs w:val="18"/>
          <w:rtl/>
        </w:rPr>
        <w:t xml:space="preserve"> (טרם פורסם, 6.9.2011).</w:t>
      </w:r>
    </w:p>
  </w:footnote>
  <w:footnote w:id="15">
    <w:p w:rsidR="005366A8" w:rsidRPr="00C97664" w:rsidRDefault="005366A8" w:rsidP="005366A8">
      <w:pPr>
        <w:pStyle w:val="FootnoteText"/>
        <w:spacing w:after="120"/>
        <w:rPr>
          <w:rFonts w:cs="David"/>
          <w:sz w:val="18"/>
          <w:szCs w:val="18"/>
          <w:rtl/>
        </w:rPr>
      </w:pPr>
      <w:r w:rsidRPr="00C97664">
        <w:rPr>
          <w:rStyle w:val="FootnoteReference"/>
          <w:sz w:val="18"/>
          <w:szCs w:val="18"/>
        </w:rPr>
        <w:footnoteRef/>
      </w:r>
      <w:r w:rsidRPr="00C97664">
        <w:rPr>
          <w:rFonts w:cs="David"/>
          <w:sz w:val="18"/>
          <w:szCs w:val="18"/>
          <w:rtl/>
        </w:rPr>
        <w:t xml:space="preserve"> </w:t>
      </w:r>
      <w:r w:rsidRPr="00C97664">
        <w:rPr>
          <w:rFonts w:cs="David" w:hint="cs"/>
          <w:sz w:val="18"/>
          <w:szCs w:val="18"/>
          <w:rtl/>
        </w:rPr>
        <w:t xml:space="preserve">אדם שנער "החזרת עטרה ליושנה בעילות הסף של בג"ץ </w:t>
      </w:r>
      <w:r w:rsidRPr="00C97664">
        <w:rPr>
          <w:rFonts w:cs="David"/>
          <w:sz w:val="18"/>
          <w:szCs w:val="18"/>
          <w:rtl/>
        </w:rPr>
        <w:t>–</w:t>
      </w:r>
      <w:r w:rsidRPr="00C97664">
        <w:rPr>
          <w:rFonts w:cs="David" w:hint="cs"/>
          <w:sz w:val="18"/>
          <w:szCs w:val="18"/>
          <w:rtl/>
        </w:rPr>
        <w:t xml:space="preserve"> מבט אחר על פסק הדין בעניין הנכבה" </w:t>
      </w:r>
      <w:r w:rsidRPr="00C97664">
        <w:rPr>
          <w:rFonts w:cs="David" w:hint="cs"/>
          <w:b/>
          <w:bCs/>
          <w:sz w:val="18"/>
          <w:szCs w:val="18"/>
          <w:rtl/>
        </w:rPr>
        <w:t>הטרקלין</w:t>
      </w:r>
      <w:r w:rsidRPr="00C97664">
        <w:rPr>
          <w:rFonts w:cs="David" w:hint="cs"/>
          <w:sz w:val="18"/>
          <w:szCs w:val="18"/>
          <w:rtl/>
        </w:rPr>
        <w:t xml:space="preserve"> (6.1.2012) </w:t>
      </w:r>
      <w:r w:rsidRPr="00C97664">
        <w:rPr>
          <w:rFonts w:cs="David"/>
          <w:sz w:val="18"/>
          <w:szCs w:val="18"/>
        </w:rPr>
        <w:t>www.hatraklin.org/2012/01/06</w:t>
      </w:r>
    </w:p>
  </w:footnote>
  <w:footnote w:id="16">
    <w:p w:rsidR="005366A8" w:rsidRDefault="005366A8" w:rsidP="005366A8">
      <w:pPr>
        <w:pStyle w:val="FootnoteText"/>
      </w:pPr>
      <w:r>
        <w:rPr>
          <w:rStyle w:val="FootnoteReference"/>
        </w:rPr>
        <w:footnoteRef/>
      </w:r>
      <w:r>
        <w:rPr>
          <w:rFonts w:cs="David"/>
          <w:sz w:val="20"/>
          <w:rtl/>
        </w:rPr>
        <w:t xml:space="preserve"> ס"ח התשל"ו, עמ' 228.</w:t>
      </w:r>
    </w:p>
  </w:footnote>
  <w:footnote w:id="17">
    <w:p w:rsidR="005366A8" w:rsidRDefault="005366A8" w:rsidP="005366A8">
      <w:pPr>
        <w:pStyle w:val="FootnoteText"/>
        <w:rPr>
          <w:rtl/>
        </w:rPr>
      </w:pPr>
      <w:r w:rsidRPr="00C4365F">
        <w:rPr>
          <w:rStyle w:val="FootnoteReference"/>
          <w:sz w:val="18"/>
          <w:szCs w:val="18"/>
          <w:rtl/>
        </w:rPr>
        <w:footnoteRef/>
      </w:r>
      <w:r w:rsidRPr="00C4365F">
        <w:rPr>
          <w:sz w:val="18"/>
          <w:szCs w:val="18"/>
          <w:rtl/>
        </w:rPr>
        <w:t xml:space="preserve"> הדיון </w:t>
      </w:r>
      <w:r>
        <w:rPr>
          <w:rFonts w:hint="cs"/>
          <w:sz w:val="18"/>
          <w:szCs w:val="18"/>
          <w:rtl/>
        </w:rPr>
        <w:t>כאן מסתייע רבות ב</w:t>
      </w:r>
      <w:r w:rsidRPr="00C4365F">
        <w:rPr>
          <w:sz w:val="18"/>
          <w:szCs w:val="18"/>
          <w:rtl/>
        </w:rPr>
        <w:t xml:space="preserve">מאמרה של דליה דורנר, "מידתיות", </w:t>
      </w:r>
      <w:r w:rsidRPr="00C4365F">
        <w:rPr>
          <w:b/>
          <w:bCs/>
          <w:sz w:val="18"/>
          <w:szCs w:val="18"/>
          <w:rtl/>
        </w:rPr>
        <w:t>ספר ברנזון</w:t>
      </w:r>
      <w:r w:rsidRPr="00C4365F">
        <w:rPr>
          <w:sz w:val="18"/>
          <w:szCs w:val="18"/>
          <w:rtl/>
        </w:rPr>
        <w:t xml:space="preserve"> ב 119 (</w:t>
      </w:r>
      <w:r>
        <w:rPr>
          <w:rFonts w:hint="cs"/>
          <w:sz w:val="18"/>
          <w:szCs w:val="18"/>
          <w:rtl/>
        </w:rPr>
        <w:t>2000</w:t>
      </w:r>
      <w:r w:rsidRPr="00C4365F">
        <w:rPr>
          <w:sz w:val="18"/>
          <w:szCs w:val="18"/>
          <w:rtl/>
        </w:rPr>
        <w:t>).</w:t>
      </w:r>
    </w:p>
  </w:footnote>
  <w:footnote w:id="18">
    <w:p w:rsidR="005366A8" w:rsidRPr="00DB5B9B" w:rsidRDefault="005366A8" w:rsidP="005366A8">
      <w:pPr>
        <w:pStyle w:val="FootnoteText"/>
        <w:rPr>
          <w:sz w:val="16"/>
          <w:szCs w:val="16"/>
        </w:rPr>
      </w:pPr>
      <w:r>
        <w:rPr>
          <w:rStyle w:val="FootnoteReference"/>
        </w:rPr>
        <w:footnoteRef/>
      </w:r>
      <w:r>
        <w:rPr>
          <w:rFonts w:cs="David"/>
          <w:sz w:val="20"/>
          <w:rtl/>
        </w:rPr>
        <w:t xml:space="preserve"> </w:t>
      </w:r>
      <w:r w:rsidRPr="00DB5B9B">
        <w:rPr>
          <w:rFonts w:cs="David"/>
          <w:sz w:val="16"/>
          <w:szCs w:val="16"/>
          <w:rtl/>
        </w:rPr>
        <w:t>דיני מדינת ישראל, נוסח חדש 6, עמ' 120.</w:t>
      </w:r>
    </w:p>
  </w:footnote>
  <w:footnote w:id="19">
    <w:p w:rsidR="005366A8" w:rsidRPr="00DB5B9B" w:rsidRDefault="005366A8" w:rsidP="005366A8">
      <w:pPr>
        <w:pStyle w:val="FootnoteText"/>
        <w:rPr>
          <w:sz w:val="16"/>
          <w:szCs w:val="16"/>
        </w:rPr>
      </w:pPr>
      <w:r w:rsidRPr="00DB5B9B">
        <w:rPr>
          <w:rStyle w:val="FootnoteReference"/>
          <w:sz w:val="16"/>
          <w:szCs w:val="16"/>
        </w:rPr>
        <w:footnoteRef/>
      </w:r>
      <w:r w:rsidRPr="00DB5B9B">
        <w:rPr>
          <w:rFonts w:cs="David"/>
          <w:sz w:val="16"/>
          <w:szCs w:val="16"/>
          <w:rtl/>
        </w:rPr>
        <w:t xml:space="preserve"> </w:t>
      </w:r>
      <w:hyperlink r:id="rId1" w:history="1">
        <w:r w:rsidRPr="00DB5B9B">
          <w:rPr>
            <w:rFonts w:cs="David"/>
            <w:sz w:val="16"/>
            <w:szCs w:val="16"/>
            <w:rtl/>
          </w:rPr>
          <w:t>ס"ח התשנ"ה, עמ</w:t>
        </w:r>
      </w:hyperlink>
      <w:r w:rsidRPr="00DB5B9B">
        <w:rPr>
          <w:rFonts w:cs="David"/>
          <w:sz w:val="16"/>
          <w:szCs w:val="16"/>
          <w:rtl/>
        </w:rPr>
        <w:t xml:space="preserve">' 210. </w:t>
      </w:r>
    </w:p>
  </w:footnote>
  <w:footnote w:id="20">
    <w:p w:rsidR="005366A8" w:rsidRPr="00DB5B9B" w:rsidRDefault="005366A8" w:rsidP="005366A8">
      <w:pPr>
        <w:pStyle w:val="FootnoteText"/>
        <w:rPr>
          <w:sz w:val="16"/>
          <w:szCs w:val="16"/>
        </w:rPr>
      </w:pPr>
      <w:r w:rsidRPr="00DB5B9B">
        <w:rPr>
          <w:rStyle w:val="FootnoteReference"/>
          <w:sz w:val="16"/>
          <w:szCs w:val="16"/>
        </w:rPr>
        <w:footnoteRef/>
      </w:r>
      <w:r w:rsidRPr="00DB5B9B">
        <w:rPr>
          <w:rFonts w:cs="David"/>
          <w:sz w:val="16"/>
          <w:szCs w:val="16"/>
          <w:rtl/>
        </w:rPr>
        <w:t xml:space="preserve"> </w:t>
      </w:r>
      <w:hyperlink r:id="rId2" w:history="1">
        <w:r w:rsidRPr="00DB5B9B">
          <w:rPr>
            <w:rFonts w:cs="David"/>
            <w:sz w:val="16"/>
            <w:szCs w:val="16"/>
            <w:rtl/>
          </w:rPr>
          <w:t>ס"ח התשמ"א, עמ'</w:t>
        </w:r>
      </w:hyperlink>
      <w:r w:rsidRPr="00DB5B9B">
        <w:rPr>
          <w:rFonts w:cs="David"/>
          <w:sz w:val="16"/>
          <w:szCs w:val="16"/>
          <w:rtl/>
        </w:rPr>
        <w:t xml:space="preserve"> 30. </w:t>
      </w:r>
    </w:p>
  </w:footnote>
  <w:footnote w:id="21">
    <w:p w:rsidR="005366A8" w:rsidRPr="00DB5B9B" w:rsidRDefault="005366A8" w:rsidP="005366A8">
      <w:pPr>
        <w:pStyle w:val="FootnoteText"/>
        <w:rPr>
          <w:sz w:val="16"/>
          <w:szCs w:val="16"/>
        </w:rPr>
      </w:pPr>
      <w:r w:rsidRPr="00DB5B9B">
        <w:rPr>
          <w:rStyle w:val="FootnoteReference"/>
          <w:sz w:val="16"/>
          <w:szCs w:val="16"/>
        </w:rPr>
        <w:footnoteRef/>
      </w:r>
      <w:r w:rsidRPr="00DB5B9B">
        <w:rPr>
          <w:rFonts w:cs="David"/>
          <w:sz w:val="16"/>
          <w:szCs w:val="16"/>
          <w:rtl/>
        </w:rPr>
        <w:t xml:space="preserve"> </w:t>
      </w:r>
      <w:hyperlink r:id="rId3" w:history="1">
        <w:r w:rsidRPr="00DB5B9B">
          <w:rPr>
            <w:rFonts w:cs="David"/>
            <w:sz w:val="16"/>
            <w:szCs w:val="16"/>
            <w:rtl/>
          </w:rPr>
          <w:t>ס"ח התשל"ב, עמ'</w:t>
        </w:r>
      </w:hyperlink>
      <w:r w:rsidRPr="00DB5B9B">
        <w:rPr>
          <w:rFonts w:cs="David"/>
          <w:sz w:val="16"/>
          <w:szCs w:val="16"/>
          <w:rtl/>
        </w:rPr>
        <w:t xml:space="preserve"> 87.</w:t>
      </w:r>
    </w:p>
  </w:footnote>
  <w:footnote w:id="22">
    <w:p w:rsidR="005366A8" w:rsidRPr="00DB5B9B" w:rsidRDefault="005366A8" w:rsidP="005366A8">
      <w:pPr>
        <w:pStyle w:val="FootnoteText"/>
        <w:rPr>
          <w:sz w:val="16"/>
          <w:szCs w:val="16"/>
        </w:rPr>
      </w:pPr>
      <w:r w:rsidRPr="00DB5B9B">
        <w:rPr>
          <w:rStyle w:val="FootnoteReference"/>
          <w:sz w:val="16"/>
          <w:szCs w:val="16"/>
        </w:rPr>
        <w:footnoteRef/>
      </w:r>
      <w:r w:rsidRPr="00DB5B9B">
        <w:rPr>
          <w:rFonts w:cs="David"/>
          <w:sz w:val="16"/>
          <w:szCs w:val="16"/>
          <w:rtl/>
        </w:rPr>
        <w:t xml:space="preserve"> </w:t>
      </w:r>
      <w:hyperlink r:id="rId4" w:history="1">
        <w:r w:rsidRPr="00DB5B9B">
          <w:rPr>
            <w:rFonts w:cs="David"/>
            <w:sz w:val="16"/>
            <w:szCs w:val="16"/>
            <w:rtl/>
          </w:rPr>
          <w:t>ס"ח התשמ"ה, עמ'</w:t>
        </w:r>
      </w:hyperlink>
      <w:r w:rsidRPr="00DB5B9B">
        <w:rPr>
          <w:rFonts w:cs="David"/>
          <w:sz w:val="16"/>
          <w:szCs w:val="16"/>
          <w:rtl/>
        </w:rPr>
        <w:t xml:space="preserve"> 60.</w:t>
      </w:r>
    </w:p>
  </w:footnote>
  <w:footnote w:id="23">
    <w:p w:rsidR="005366A8" w:rsidRPr="00DB5B9B" w:rsidRDefault="005366A8" w:rsidP="005366A8">
      <w:pPr>
        <w:pStyle w:val="FootnoteText"/>
        <w:rPr>
          <w:sz w:val="16"/>
          <w:szCs w:val="16"/>
        </w:rPr>
      </w:pPr>
      <w:r w:rsidRPr="00DB5B9B">
        <w:rPr>
          <w:rStyle w:val="FootnoteReference"/>
          <w:sz w:val="16"/>
          <w:szCs w:val="16"/>
        </w:rPr>
        <w:footnoteRef/>
      </w:r>
      <w:r w:rsidRPr="00DB5B9B">
        <w:rPr>
          <w:rFonts w:cs="David"/>
          <w:sz w:val="16"/>
          <w:szCs w:val="16"/>
          <w:rtl/>
        </w:rPr>
        <w:t xml:space="preserve"> דיני מדינת ישראל, נוסח חדש 7, עמ' 173.</w:t>
      </w:r>
    </w:p>
  </w:footnote>
  <w:footnote w:id="24">
    <w:p w:rsidR="005366A8" w:rsidRDefault="005366A8" w:rsidP="005366A8">
      <w:pPr>
        <w:pStyle w:val="footnote"/>
        <w:tabs>
          <w:tab w:val="left" w:pos="624"/>
          <w:tab w:val="left" w:pos="1021"/>
          <w:tab w:val="left" w:pos="1474"/>
          <w:tab w:val="left" w:pos="1928"/>
          <w:tab w:val="left" w:pos="2381"/>
          <w:tab w:val="left" w:pos="2835"/>
          <w:tab w:val="right" w:leader="dot" w:pos="6259"/>
        </w:tabs>
        <w:spacing w:before="72"/>
        <w:ind w:left="0" w:right="1134"/>
        <w:rPr>
          <w:rtl/>
        </w:rPr>
      </w:pPr>
      <w:r w:rsidRPr="008237ED">
        <w:rPr>
          <w:rtl/>
        </w:rPr>
        <w:t xml:space="preserve">* </w:t>
      </w:r>
      <w:r>
        <w:rPr>
          <w:rtl/>
        </w:rPr>
        <w:t>פו</w:t>
      </w:r>
      <w:r>
        <w:rPr>
          <w:rFonts w:hint="cs"/>
          <w:rtl/>
        </w:rPr>
        <w:t xml:space="preserve">רסם </w:t>
      </w:r>
      <w:hyperlink r:id="rId5" w:history="1">
        <w:r w:rsidRPr="003B1D2B">
          <w:rPr>
            <w:rStyle w:val="Hyperlink"/>
            <w:rFonts w:hint="cs"/>
            <w:rtl/>
          </w:rPr>
          <w:t>ס"ח תשנ"ד מס' 1456</w:t>
        </w:r>
      </w:hyperlink>
      <w:r>
        <w:rPr>
          <w:rFonts w:hint="cs"/>
          <w:rtl/>
        </w:rPr>
        <w:t xml:space="preserve"> מיום 22.3.1994 עמ' 104 (</w:t>
      </w:r>
      <w:hyperlink r:id="rId6" w:history="1">
        <w:r w:rsidRPr="003B1D2B">
          <w:rPr>
            <w:rStyle w:val="Hyperlink"/>
            <w:rFonts w:hint="cs"/>
            <w:rtl/>
          </w:rPr>
          <w:t>ה"ח תשנ"ד מס' 2243</w:t>
        </w:r>
      </w:hyperlink>
      <w:r>
        <w:rPr>
          <w:rFonts w:hint="cs"/>
          <w:rtl/>
        </w:rPr>
        <w:t xml:space="preserve"> עמ' 206).</w:t>
      </w:r>
    </w:p>
    <w:p w:rsidR="005366A8" w:rsidRPr="008237ED" w:rsidRDefault="005366A8" w:rsidP="005366A8">
      <w:pPr>
        <w:pStyle w:val="footnote"/>
        <w:tabs>
          <w:tab w:val="left" w:pos="624"/>
          <w:tab w:val="left" w:pos="1021"/>
          <w:tab w:val="left" w:pos="1474"/>
          <w:tab w:val="left" w:pos="1928"/>
          <w:tab w:val="left" w:pos="2381"/>
          <w:tab w:val="left" w:pos="2835"/>
          <w:tab w:val="right" w:leader="dot" w:pos="6259"/>
        </w:tabs>
        <w:spacing w:before="72"/>
        <w:ind w:left="0" w:right="1134"/>
      </w:pPr>
      <w:r>
        <w:rPr>
          <w:rFonts w:hint="cs"/>
          <w:rtl/>
        </w:rPr>
        <w:t>ת</w:t>
      </w:r>
      <w:r>
        <w:rPr>
          <w:rtl/>
        </w:rPr>
        <w:t>ו</w:t>
      </w:r>
      <w:r>
        <w:rPr>
          <w:rFonts w:hint="cs"/>
          <w:rtl/>
        </w:rPr>
        <w:t xml:space="preserve">קן </w:t>
      </w:r>
      <w:hyperlink r:id="rId7" w:history="1">
        <w:r w:rsidRPr="003B1D2B">
          <w:rPr>
            <w:rStyle w:val="Hyperlink"/>
            <w:rFonts w:hint="cs"/>
            <w:rtl/>
          </w:rPr>
          <w:t>ס"ח תשנ"ה מס' 1499</w:t>
        </w:r>
      </w:hyperlink>
      <w:r>
        <w:rPr>
          <w:rFonts w:hint="cs"/>
          <w:rtl/>
        </w:rPr>
        <w:t xml:space="preserve"> מיום 4.1.1995 עמ' 92 (</w:t>
      </w:r>
      <w:hyperlink r:id="rId8" w:history="1">
        <w:r w:rsidRPr="003B1D2B">
          <w:rPr>
            <w:rStyle w:val="Hyperlink"/>
            <w:rFonts w:hint="cs"/>
            <w:rtl/>
          </w:rPr>
          <w:t>ה"ח תשנ"ה מס' 2343</w:t>
        </w:r>
      </w:hyperlink>
      <w:r>
        <w:rPr>
          <w:rFonts w:hint="cs"/>
          <w:rtl/>
        </w:rPr>
        <w:t xml:space="preserve"> </w:t>
      </w:r>
      <w:r>
        <w:rPr>
          <w:rtl/>
        </w:rPr>
        <w:t>ע</w:t>
      </w:r>
      <w:r>
        <w:rPr>
          <w:rFonts w:hint="cs"/>
          <w:rtl/>
        </w:rPr>
        <w:t>מ'</w:t>
      </w:r>
      <w:r>
        <w:rPr>
          <w:rtl/>
        </w:rPr>
        <w:t xml:space="preserve"> 208) – </w:t>
      </w:r>
      <w:r>
        <w:rPr>
          <w:rFonts w:hint="cs"/>
          <w:rtl/>
        </w:rPr>
        <w:t>תיקון מס' 1</w:t>
      </w:r>
      <w:r>
        <w:rPr>
          <w:rtl/>
        </w:rPr>
        <w:t>;</w:t>
      </w:r>
      <w:r>
        <w:rPr>
          <w:rFonts w:hint="cs"/>
          <w:rtl/>
        </w:rPr>
        <w:t xml:space="preserve"> תחילתו ביום 30.12.1994.</w:t>
      </w:r>
    </w:p>
  </w:footnote>
  <w:footnote w:id="25">
    <w:p w:rsidR="005366A8" w:rsidRPr="00BF75E8" w:rsidRDefault="005366A8" w:rsidP="005366A8">
      <w:pPr>
        <w:pStyle w:val="FootnoteText"/>
        <w:spacing w:after="60"/>
        <w:rPr>
          <w:rFonts w:cs="David"/>
          <w:sz w:val="18"/>
          <w:szCs w:val="18"/>
          <w:rtl/>
        </w:rPr>
      </w:pPr>
      <w:r w:rsidRPr="00BF75E8">
        <w:rPr>
          <w:rStyle w:val="FootnoteReference"/>
          <w:sz w:val="18"/>
          <w:szCs w:val="18"/>
        </w:rPr>
        <w:footnoteRef/>
      </w:r>
      <w:r w:rsidRPr="00BF75E8">
        <w:rPr>
          <w:rFonts w:cs="David"/>
          <w:sz w:val="18"/>
          <w:szCs w:val="18"/>
          <w:rtl/>
        </w:rPr>
        <w:t xml:space="preserve"> </w:t>
      </w:r>
      <w:r w:rsidRPr="00BF75E8">
        <w:rPr>
          <w:rFonts w:cs="David" w:hint="cs"/>
          <w:sz w:val="18"/>
          <w:szCs w:val="18"/>
          <w:rtl/>
        </w:rPr>
        <w:t>בורק, הערה 11 לעיל.</w:t>
      </w:r>
    </w:p>
  </w:footnote>
  <w:footnote w:id="26">
    <w:p w:rsidR="005366A8" w:rsidRPr="00BF75E8" w:rsidRDefault="005366A8" w:rsidP="005366A8">
      <w:pPr>
        <w:pStyle w:val="FootnoteText"/>
        <w:spacing w:after="60"/>
        <w:rPr>
          <w:rFonts w:cs="David"/>
          <w:sz w:val="18"/>
          <w:szCs w:val="18"/>
          <w:rtl/>
        </w:rPr>
      </w:pPr>
      <w:r w:rsidRPr="00BF75E8">
        <w:rPr>
          <w:rStyle w:val="FootnoteReference"/>
          <w:sz w:val="18"/>
          <w:szCs w:val="18"/>
        </w:rPr>
        <w:footnoteRef/>
      </w:r>
      <w:r w:rsidRPr="00BF75E8">
        <w:rPr>
          <w:rFonts w:cs="David"/>
          <w:sz w:val="18"/>
          <w:szCs w:val="18"/>
          <w:rtl/>
        </w:rPr>
        <w:t xml:space="preserve"> </w:t>
      </w:r>
      <w:r w:rsidRPr="00BF75E8">
        <w:rPr>
          <w:rFonts w:cs="David" w:hint="cs"/>
          <w:sz w:val="18"/>
          <w:szCs w:val="18"/>
          <w:rtl/>
        </w:rPr>
        <w:t xml:space="preserve">פוזנר טוען כי </w:t>
      </w:r>
      <w:r w:rsidRPr="00BF75E8">
        <w:rPr>
          <w:rFonts w:cs="David"/>
          <w:sz w:val="18"/>
          <w:szCs w:val="18"/>
        </w:rPr>
        <w:t>“What Barak created out of whole cloth was a degree of judicial power undreamed of even by our most aggressive Supreme Court justices. He puts Marshall, who did less with more, in the shade”: Posner, supra n. 12</w:t>
      </w:r>
      <w:r w:rsidRPr="00BF75E8">
        <w:rPr>
          <w:rFonts w:cs="David" w:hint="cs"/>
          <w:sz w:val="18"/>
          <w:szCs w:val="18"/>
          <w:rtl/>
        </w:rPr>
        <w:t>.</w:t>
      </w:r>
    </w:p>
  </w:footnote>
  <w:footnote w:id="27">
    <w:p w:rsidR="005366A8" w:rsidRPr="00BF75E8" w:rsidRDefault="005366A8" w:rsidP="005366A8">
      <w:pPr>
        <w:pStyle w:val="FootnoteText"/>
        <w:spacing w:after="60"/>
        <w:rPr>
          <w:rFonts w:cs="David"/>
          <w:sz w:val="18"/>
          <w:szCs w:val="18"/>
          <w:rtl/>
        </w:rPr>
      </w:pPr>
      <w:r w:rsidRPr="00BF75E8">
        <w:rPr>
          <w:rStyle w:val="FootnoteReference"/>
          <w:sz w:val="18"/>
          <w:szCs w:val="18"/>
        </w:rPr>
        <w:footnoteRef/>
      </w:r>
      <w:r w:rsidRPr="00BF75E8">
        <w:rPr>
          <w:rFonts w:cs="David"/>
          <w:sz w:val="18"/>
          <w:szCs w:val="18"/>
          <w:rtl/>
        </w:rPr>
        <w:t xml:space="preserve"> </w:t>
      </w:r>
      <w:r w:rsidRPr="00BF75E8">
        <w:rPr>
          <w:rFonts w:cs="David"/>
          <w:sz w:val="18"/>
          <w:szCs w:val="18"/>
        </w:rPr>
        <w:t>Posner, supra n. 12</w:t>
      </w:r>
      <w:r w:rsidRPr="00BF75E8">
        <w:rPr>
          <w:rFonts w:cs="David" w:hint="cs"/>
          <w:sz w:val="18"/>
          <w:szCs w:val="18"/>
          <w:rtl/>
        </w:rPr>
        <w:t>. התרגום מבוסס על תרגומה של לילית וגנר שפורסם בידיעות אחרונות, בשינויים קלים.</w:t>
      </w:r>
    </w:p>
  </w:footnote>
  <w:footnote w:id="28">
    <w:p w:rsidR="005366A8" w:rsidRPr="00BF75E8" w:rsidRDefault="005366A8" w:rsidP="005366A8">
      <w:pPr>
        <w:pStyle w:val="FootnoteText"/>
        <w:spacing w:after="60"/>
        <w:rPr>
          <w:rFonts w:cs="David"/>
          <w:sz w:val="18"/>
          <w:szCs w:val="18"/>
          <w:rtl/>
        </w:rPr>
      </w:pPr>
      <w:r w:rsidRPr="00BF75E8">
        <w:rPr>
          <w:rStyle w:val="FootnoteReference"/>
          <w:sz w:val="18"/>
          <w:szCs w:val="18"/>
        </w:rPr>
        <w:footnoteRef/>
      </w:r>
      <w:r w:rsidRPr="00BF75E8">
        <w:rPr>
          <w:rFonts w:cs="David"/>
          <w:sz w:val="18"/>
          <w:szCs w:val="18"/>
          <w:rtl/>
        </w:rPr>
        <w:t xml:space="preserve"> </w:t>
      </w:r>
      <w:r w:rsidRPr="00DC5067">
        <w:rPr>
          <w:rFonts w:cs="David" w:hint="cs"/>
          <w:sz w:val="18"/>
          <w:szCs w:val="18"/>
          <w:highlight w:val="yellow"/>
          <w:rtl/>
        </w:rPr>
        <w:t xml:space="preserve">טענתם של בורק ופוזנר מתייחסת, כך נראה, לחוק-יסוד: כבוד האדם וחירותו, שהתקבל ב- 1992 </w:t>
      </w:r>
      <w:r w:rsidRPr="00DC5067">
        <w:rPr>
          <w:rFonts w:cs="David"/>
          <w:sz w:val="18"/>
          <w:szCs w:val="18"/>
          <w:highlight w:val="yellow"/>
          <w:rtl/>
        </w:rPr>
        <w:t xml:space="preserve">ברוב של 32 מול 21 </w:t>
      </w:r>
      <w:r w:rsidRPr="00DC5067">
        <w:rPr>
          <w:rFonts w:cs="David" w:hint="cs"/>
          <w:sz w:val="18"/>
          <w:szCs w:val="18"/>
          <w:highlight w:val="yellow"/>
          <w:rtl/>
        </w:rPr>
        <w:t xml:space="preserve">בקריאה השלישית. אולם, מרבית חוקי היסוד האחרים התקבלו ברוב מכריע של חברי הכנסת. במיוחד חשובה בהקשר זה התמיכה של למעלה מ- 80 חברי כנסת בחוק-יסוד: חופש העיסוק שהתקבל ב- 1994, שכלל גם תיקון חשוב לחוק-יסוד: כבוד האדם וחירותו, וזאת לאחר שכבר פורסמה עמדתו של אהרן ברק, באותה עת רק בכתיבה אקדמית, בדבר מעמדם של חוקי היסוד. בעקבות זאת טען </w:t>
      </w:r>
      <w:r w:rsidRPr="00DC5067">
        <w:rPr>
          <w:rFonts w:cs="David"/>
          <w:sz w:val="18"/>
          <w:szCs w:val="18"/>
          <w:highlight w:val="yellow"/>
          <w:rtl/>
        </w:rPr>
        <w:t>שר המשפטים לשעבר, ד</w:t>
      </w:r>
      <w:r w:rsidRPr="00DC5067">
        <w:rPr>
          <w:rFonts w:cs="David" w:hint="cs"/>
          <w:sz w:val="18"/>
          <w:szCs w:val="18"/>
          <w:highlight w:val="yellow"/>
          <w:rtl/>
        </w:rPr>
        <w:t>ן</w:t>
      </w:r>
      <w:r w:rsidRPr="00DC5067">
        <w:rPr>
          <w:rFonts w:cs="David"/>
          <w:sz w:val="18"/>
          <w:szCs w:val="18"/>
          <w:highlight w:val="yellow"/>
          <w:rtl/>
        </w:rPr>
        <w:t xml:space="preserve"> מרידור, </w:t>
      </w:r>
      <w:r w:rsidRPr="00DC5067">
        <w:rPr>
          <w:rFonts w:cs="David" w:hint="cs"/>
          <w:sz w:val="18"/>
          <w:szCs w:val="18"/>
          <w:highlight w:val="yellow"/>
          <w:rtl/>
        </w:rPr>
        <w:t>כי ב</w:t>
      </w:r>
      <w:r w:rsidRPr="00DC5067">
        <w:rPr>
          <w:rFonts w:cs="David"/>
          <w:sz w:val="18"/>
          <w:szCs w:val="18"/>
          <w:highlight w:val="yellow"/>
          <w:rtl/>
        </w:rPr>
        <w:t>עקבות קבלת התיקון של שני חוקי היסוד בתשנ"ד, "לא ניתן עוד לטעון שהכנסת קיבלה באי-ידיעה את החוקים. עתה, מתוך ידיעת המשמעות והפרשנות, אישרה הכנסת מחדש ברוב עצום... את החוקים ואת עקרונותיהם":</w:t>
      </w:r>
      <w:r w:rsidRPr="00BF75E8">
        <w:rPr>
          <w:rFonts w:cs="David"/>
          <w:sz w:val="18"/>
          <w:szCs w:val="18"/>
          <w:rtl/>
        </w:rPr>
        <w:t xml:space="preserve"> ד</w:t>
      </w:r>
      <w:r w:rsidRPr="00BF75E8">
        <w:rPr>
          <w:rFonts w:cs="David" w:hint="cs"/>
          <w:sz w:val="18"/>
          <w:szCs w:val="18"/>
          <w:rtl/>
        </w:rPr>
        <w:t>ן</w:t>
      </w:r>
      <w:r w:rsidRPr="00BF75E8">
        <w:rPr>
          <w:rFonts w:cs="David"/>
          <w:sz w:val="18"/>
          <w:szCs w:val="18"/>
          <w:rtl/>
        </w:rPr>
        <w:t xml:space="preserve"> מרידור, "הכרעות לאור חוקי היסוד", </w:t>
      </w:r>
      <w:r w:rsidRPr="00BF75E8">
        <w:rPr>
          <w:rFonts w:cs="David"/>
          <w:b/>
          <w:bCs/>
          <w:sz w:val="18"/>
          <w:szCs w:val="18"/>
          <w:rtl/>
        </w:rPr>
        <w:t>רפורמה קונסטיטוציונית בישראל והשלכותיה – כנס שנערך בחודש יוני 1994</w:t>
      </w:r>
      <w:r w:rsidRPr="00BF75E8">
        <w:rPr>
          <w:rFonts w:cs="David"/>
          <w:sz w:val="18"/>
          <w:szCs w:val="18"/>
          <w:rtl/>
        </w:rPr>
        <w:t xml:space="preserve"> (תשנ"ה) 69, 71.</w:t>
      </w:r>
      <w:r w:rsidRPr="00BF75E8">
        <w:rPr>
          <w:rFonts w:cs="David" w:hint="cs"/>
          <w:sz w:val="18"/>
          <w:szCs w:val="18"/>
          <w:rtl/>
        </w:rPr>
        <w:t xml:space="preserve"> העובדה שחוק-יסוד: כבוד האדם וחירותו זכה ב- 1992 לתמיכתם של 32 חברי כנסת בלבד היא, בין היתר, תוצאה של סיבה פרוזאית – העובדה שבאותה עת התקיימו הבחירות המקדימות במפלגת העבודה, ומרבית חברי הכנסת של מפלגה זו, שתמכו באופן נחרץ בהצעת החוק, העריכו כי קבלת החוק ממילא מובטחת ולפיכך נעדרו מן ההצבעה. הדיונים הממושכים שקדמו להצבעה, שכללו פשרות רבות, הבטיחו תמיכה רחבה מאד בחוק היסוד. ראו </w:t>
      </w:r>
      <w:r w:rsidRPr="00BF75E8">
        <w:rPr>
          <w:rFonts w:cs="David"/>
          <w:sz w:val="18"/>
          <w:szCs w:val="18"/>
          <w:rtl/>
        </w:rPr>
        <w:t>א</w:t>
      </w:r>
      <w:r w:rsidRPr="00BF75E8">
        <w:rPr>
          <w:rFonts w:cs="David" w:hint="cs"/>
          <w:sz w:val="18"/>
          <w:szCs w:val="18"/>
          <w:rtl/>
        </w:rPr>
        <w:t>מנון</w:t>
      </w:r>
      <w:r w:rsidRPr="00BF75E8">
        <w:rPr>
          <w:rFonts w:cs="David"/>
          <w:sz w:val="18"/>
          <w:szCs w:val="18"/>
          <w:rtl/>
        </w:rPr>
        <w:t xml:space="preserve"> רובינשטיין</w:t>
      </w:r>
      <w:r w:rsidRPr="00BF75E8">
        <w:rPr>
          <w:rFonts w:cs="David" w:hint="cs"/>
          <w:sz w:val="18"/>
          <w:szCs w:val="18"/>
          <w:rtl/>
        </w:rPr>
        <w:t>,</w:t>
      </w:r>
      <w:r w:rsidRPr="00BF75E8">
        <w:rPr>
          <w:rFonts w:cs="David"/>
          <w:sz w:val="18"/>
          <w:szCs w:val="18"/>
          <w:rtl/>
        </w:rPr>
        <w:t xml:space="preserve"> "הכנסת וחוקי היסוד על זכויות האדם" </w:t>
      </w:r>
      <w:r w:rsidRPr="00BF75E8">
        <w:rPr>
          <w:rFonts w:cs="David"/>
          <w:b/>
          <w:bCs/>
          <w:sz w:val="18"/>
          <w:szCs w:val="18"/>
          <w:rtl/>
        </w:rPr>
        <w:t>משפט וממשל</w:t>
      </w:r>
      <w:r w:rsidRPr="00BF75E8">
        <w:rPr>
          <w:rFonts w:cs="David"/>
          <w:sz w:val="18"/>
          <w:szCs w:val="18"/>
          <w:rtl/>
        </w:rPr>
        <w:t xml:space="preserve"> ה (תש"ס) 339</w:t>
      </w:r>
      <w:r w:rsidRPr="00BF75E8">
        <w:rPr>
          <w:rFonts w:cs="David" w:hint="cs"/>
          <w:sz w:val="18"/>
          <w:szCs w:val="18"/>
          <w:rtl/>
        </w:rPr>
        <w:t>, 339-351.</w:t>
      </w:r>
    </w:p>
  </w:footnote>
  <w:footnote w:id="29">
    <w:p w:rsidR="005366A8" w:rsidRPr="00BF75E8" w:rsidRDefault="005366A8" w:rsidP="005366A8">
      <w:pPr>
        <w:pStyle w:val="FootnoteText"/>
        <w:spacing w:after="60"/>
        <w:rPr>
          <w:rFonts w:cs="David"/>
          <w:sz w:val="18"/>
          <w:szCs w:val="18"/>
        </w:rPr>
      </w:pPr>
      <w:r w:rsidRPr="00BF75E8">
        <w:rPr>
          <w:rStyle w:val="FootnoteReference"/>
          <w:sz w:val="18"/>
          <w:szCs w:val="18"/>
        </w:rPr>
        <w:footnoteRef/>
      </w:r>
      <w:r w:rsidRPr="00BF75E8">
        <w:rPr>
          <w:rFonts w:cs="David" w:hint="cs"/>
          <w:sz w:val="18"/>
          <w:szCs w:val="18"/>
          <w:rtl/>
        </w:rPr>
        <w:t xml:space="preserve"> </w:t>
      </w:r>
      <w:r w:rsidRPr="003B6C36">
        <w:rPr>
          <w:rFonts w:cs="David"/>
          <w:sz w:val="18"/>
          <w:szCs w:val="18"/>
          <w:rtl/>
        </w:rPr>
        <w:t xml:space="preserve">כך </w:t>
      </w:r>
      <w:r w:rsidRPr="003B6C36">
        <w:rPr>
          <w:rFonts w:cs="David" w:hint="cs"/>
          <w:sz w:val="18"/>
          <w:szCs w:val="18"/>
          <w:rtl/>
        </w:rPr>
        <w:t xml:space="preserve">למשל, הסמכות לשנות את החוקה מסורה לבית המחוקקים </w:t>
      </w:r>
      <w:r w:rsidRPr="003B6C36">
        <w:rPr>
          <w:rFonts w:cs="David"/>
          <w:sz w:val="18"/>
          <w:szCs w:val="18"/>
          <w:rtl/>
        </w:rPr>
        <w:t xml:space="preserve">בארצות סקנדינביה, </w:t>
      </w:r>
      <w:r w:rsidRPr="003B6C36">
        <w:rPr>
          <w:rFonts w:cs="David" w:hint="cs"/>
          <w:sz w:val="18"/>
          <w:szCs w:val="18"/>
          <w:rtl/>
        </w:rPr>
        <w:t>ב</w:t>
      </w:r>
      <w:r w:rsidRPr="003B6C36">
        <w:rPr>
          <w:rFonts w:cs="David"/>
          <w:sz w:val="18"/>
          <w:szCs w:val="18"/>
          <w:rtl/>
        </w:rPr>
        <w:t xml:space="preserve">הולנד, </w:t>
      </w:r>
      <w:r w:rsidRPr="003B6C36">
        <w:rPr>
          <w:rFonts w:cs="David" w:hint="cs"/>
          <w:sz w:val="18"/>
          <w:szCs w:val="18"/>
          <w:rtl/>
        </w:rPr>
        <w:t>ב</w:t>
      </w:r>
      <w:r w:rsidRPr="003B6C36">
        <w:rPr>
          <w:rFonts w:cs="David"/>
          <w:sz w:val="18"/>
          <w:szCs w:val="18"/>
          <w:rtl/>
        </w:rPr>
        <w:t xml:space="preserve">בלגיה, </w:t>
      </w:r>
      <w:r w:rsidRPr="003B6C36">
        <w:rPr>
          <w:rFonts w:cs="David" w:hint="cs"/>
          <w:sz w:val="18"/>
          <w:szCs w:val="18"/>
          <w:rtl/>
        </w:rPr>
        <w:t>ב</w:t>
      </w:r>
      <w:r w:rsidRPr="003B6C36">
        <w:rPr>
          <w:rFonts w:cs="David"/>
          <w:sz w:val="18"/>
          <w:szCs w:val="18"/>
          <w:rtl/>
        </w:rPr>
        <w:t xml:space="preserve">אוסטריה, </w:t>
      </w:r>
      <w:r w:rsidRPr="003B6C36">
        <w:rPr>
          <w:rFonts w:cs="David" w:hint="cs"/>
          <w:sz w:val="18"/>
          <w:szCs w:val="18"/>
          <w:rtl/>
        </w:rPr>
        <w:t>ב</w:t>
      </w:r>
      <w:r w:rsidRPr="003B6C36">
        <w:rPr>
          <w:rFonts w:cs="David"/>
          <w:sz w:val="18"/>
          <w:szCs w:val="18"/>
          <w:rtl/>
        </w:rPr>
        <w:t>גרמניה ו</w:t>
      </w:r>
      <w:r w:rsidRPr="003B6C36">
        <w:rPr>
          <w:rFonts w:cs="David" w:hint="cs"/>
          <w:sz w:val="18"/>
          <w:szCs w:val="18"/>
          <w:rtl/>
        </w:rPr>
        <w:t>ב</w:t>
      </w:r>
      <w:r w:rsidRPr="003B6C36">
        <w:rPr>
          <w:rFonts w:cs="David"/>
          <w:sz w:val="18"/>
          <w:szCs w:val="18"/>
          <w:rtl/>
        </w:rPr>
        <w:t>הודו. לסקירה ראו</w:t>
      </w:r>
      <w:r w:rsidRPr="003B6C36">
        <w:rPr>
          <w:rFonts w:cs="David"/>
          <w:sz w:val="18"/>
          <w:szCs w:val="18"/>
        </w:rPr>
        <w:t xml:space="preserve">V.C. Jackson and M. Tushnet eds. </w:t>
      </w:r>
      <w:r w:rsidRPr="003B6C36">
        <w:rPr>
          <w:rFonts w:cs="David"/>
          <w:i/>
          <w:iCs/>
          <w:sz w:val="18"/>
          <w:szCs w:val="18"/>
        </w:rPr>
        <w:t xml:space="preserve">Comparative Constitutional Law </w:t>
      </w:r>
      <w:r w:rsidRPr="003B6C36">
        <w:rPr>
          <w:rFonts w:cs="David"/>
          <w:sz w:val="18"/>
          <w:szCs w:val="18"/>
        </w:rPr>
        <w:t>(19</w:t>
      </w:r>
      <w:r w:rsidRPr="00BF75E8">
        <w:rPr>
          <w:rFonts w:cs="David"/>
          <w:sz w:val="18"/>
          <w:szCs w:val="18"/>
        </w:rPr>
        <w:t>99) 251-454</w:t>
      </w:r>
      <w:r w:rsidRPr="00BF75E8">
        <w:rPr>
          <w:rFonts w:cs="David" w:hint="cs"/>
          <w:sz w:val="18"/>
          <w:szCs w:val="18"/>
          <w:rtl/>
        </w:rPr>
        <w:t>.</w:t>
      </w:r>
    </w:p>
  </w:footnote>
  <w:footnote w:id="30">
    <w:p w:rsidR="005366A8" w:rsidRPr="00BF75E8" w:rsidRDefault="005366A8" w:rsidP="005366A8">
      <w:pPr>
        <w:pStyle w:val="FootnoteText"/>
        <w:spacing w:after="60"/>
        <w:rPr>
          <w:rFonts w:cs="David"/>
          <w:sz w:val="18"/>
          <w:szCs w:val="18"/>
          <w:rtl/>
        </w:rPr>
      </w:pPr>
      <w:r w:rsidRPr="00BF75E8">
        <w:rPr>
          <w:rStyle w:val="FootnoteReference"/>
          <w:sz w:val="18"/>
          <w:szCs w:val="18"/>
        </w:rPr>
        <w:footnoteRef/>
      </w:r>
      <w:r w:rsidRPr="00BF75E8">
        <w:rPr>
          <w:rFonts w:cs="David"/>
          <w:sz w:val="18"/>
          <w:szCs w:val="18"/>
          <w:rtl/>
        </w:rPr>
        <w:t xml:space="preserve"> </w:t>
      </w:r>
      <w:r w:rsidRPr="00BF75E8">
        <w:rPr>
          <w:rFonts w:cs="David" w:hint="cs"/>
          <w:sz w:val="18"/>
          <w:szCs w:val="18"/>
          <w:rtl/>
        </w:rPr>
        <w:t xml:space="preserve">לדיון בהיסטוריה החוקתית של מדינת ישראל ראו, למשל, רובינשטיין ומדינה, הערה </w:t>
      </w:r>
      <w:fldSimple w:instr=" NOTEREF _Ref166381005 \h  \* MERGEFORMAT ">
        <w:r w:rsidRPr="00BF75E8">
          <w:rPr>
            <w:rFonts w:cs="David"/>
            <w:sz w:val="18"/>
            <w:szCs w:val="18"/>
            <w:rtl/>
          </w:rPr>
          <w:t>10</w:t>
        </w:r>
      </w:fldSimple>
      <w:r w:rsidRPr="00BF75E8">
        <w:rPr>
          <w:rFonts w:cs="David" w:hint="cs"/>
          <w:sz w:val="18"/>
          <w:szCs w:val="18"/>
          <w:rtl/>
        </w:rPr>
        <w:t xml:space="preserve"> לעיל, בעמ' 38-35 ו- 85-79.</w:t>
      </w:r>
    </w:p>
  </w:footnote>
  <w:footnote w:id="31">
    <w:p w:rsidR="005366A8" w:rsidRPr="00BF75E8" w:rsidRDefault="005366A8" w:rsidP="005366A8">
      <w:pPr>
        <w:pStyle w:val="FootnoteText"/>
        <w:spacing w:after="60"/>
        <w:rPr>
          <w:rFonts w:cs="David"/>
          <w:sz w:val="18"/>
          <w:szCs w:val="18"/>
          <w:rtl/>
        </w:rPr>
      </w:pPr>
      <w:r w:rsidRPr="00BF75E8">
        <w:rPr>
          <w:rStyle w:val="FootnoteReference"/>
          <w:sz w:val="18"/>
          <w:szCs w:val="18"/>
        </w:rPr>
        <w:footnoteRef/>
      </w:r>
      <w:r w:rsidRPr="00BF75E8">
        <w:rPr>
          <w:rFonts w:cs="David"/>
          <w:sz w:val="18"/>
          <w:szCs w:val="18"/>
          <w:rtl/>
        </w:rPr>
        <w:t xml:space="preserve"> </w:t>
      </w:r>
      <w:r w:rsidRPr="00BF75E8">
        <w:rPr>
          <w:rFonts w:cs="David" w:hint="cs"/>
          <w:sz w:val="18"/>
          <w:szCs w:val="18"/>
          <w:rtl/>
        </w:rPr>
        <w:t xml:space="preserve">ראו, למשל, </w:t>
      </w:r>
      <w:r w:rsidRPr="00BF75E8">
        <w:rPr>
          <w:rFonts w:cs="David"/>
          <w:sz w:val="18"/>
          <w:szCs w:val="18"/>
          <w:rtl/>
        </w:rPr>
        <w:t xml:space="preserve">א' רובינשטיין "הכנסת וחוקי היסוד על זכויות האדם" </w:t>
      </w:r>
      <w:r w:rsidRPr="00BF75E8">
        <w:rPr>
          <w:rFonts w:cs="David"/>
          <w:b/>
          <w:bCs/>
          <w:sz w:val="18"/>
          <w:szCs w:val="18"/>
          <w:rtl/>
        </w:rPr>
        <w:t>משפט וממשל</w:t>
      </w:r>
      <w:r w:rsidRPr="00BF75E8">
        <w:rPr>
          <w:rFonts w:cs="David"/>
          <w:sz w:val="18"/>
          <w:szCs w:val="18"/>
          <w:rtl/>
        </w:rPr>
        <w:t xml:space="preserve"> ה (תש"ס) 339</w:t>
      </w:r>
      <w:r w:rsidRPr="00BF75E8">
        <w:rPr>
          <w:rFonts w:cs="David" w:hint="cs"/>
          <w:sz w:val="18"/>
          <w:szCs w:val="18"/>
          <w:rtl/>
        </w:rPr>
        <w:t>.</w:t>
      </w:r>
    </w:p>
  </w:footnote>
  <w:footnote w:id="32">
    <w:p w:rsidR="005366A8" w:rsidRPr="00BF75E8" w:rsidRDefault="005366A8" w:rsidP="005366A8">
      <w:pPr>
        <w:pStyle w:val="FootnoteText"/>
        <w:spacing w:after="60"/>
        <w:rPr>
          <w:rFonts w:cs="David"/>
          <w:sz w:val="18"/>
          <w:szCs w:val="18"/>
          <w:rtl/>
        </w:rPr>
      </w:pPr>
      <w:r w:rsidRPr="00BF75E8">
        <w:rPr>
          <w:rStyle w:val="FootnoteReference"/>
          <w:sz w:val="18"/>
          <w:szCs w:val="18"/>
        </w:rPr>
        <w:footnoteRef/>
      </w:r>
      <w:r w:rsidRPr="00BF75E8">
        <w:rPr>
          <w:rFonts w:cs="David"/>
          <w:sz w:val="18"/>
          <w:szCs w:val="18"/>
          <w:rtl/>
        </w:rPr>
        <w:t xml:space="preserve"> </w:t>
      </w:r>
      <w:r w:rsidRPr="00BF75E8">
        <w:rPr>
          <w:rFonts w:cs="David" w:hint="cs"/>
          <w:sz w:val="18"/>
          <w:szCs w:val="18"/>
          <w:rtl/>
        </w:rPr>
        <w:t xml:space="preserve">משום כך, רבים סבורים כי </w:t>
      </w:r>
      <w:r w:rsidRPr="00BF75E8">
        <w:rPr>
          <w:rFonts w:cs="David"/>
          <w:sz w:val="18"/>
          <w:szCs w:val="18"/>
          <w:rtl/>
        </w:rPr>
        <w:t xml:space="preserve">חוקה </w:t>
      </w:r>
      <w:r w:rsidRPr="00BF75E8">
        <w:rPr>
          <w:rFonts w:cs="David" w:hint="cs"/>
          <w:sz w:val="18"/>
          <w:szCs w:val="18"/>
          <w:rtl/>
        </w:rPr>
        <w:t>"</w:t>
      </w:r>
      <w:r w:rsidRPr="00BF75E8">
        <w:rPr>
          <w:rFonts w:cs="David"/>
          <w:sz w:val="18"/>
          <w:szCs w:val="18"/>
          <w:rtl/>
        </w:rPr>
        <w:t xml:space="preserve">פורמלית" אינה תנאי </w:t>
      </w:r>
      <w:r w:rsidRPr="00BF75E8">
        <w:rPr>
          <w:rFonts w:cs="David" w:hint="cs"/>
          <w:sz w:val="18"/>
          <w:szCs w:val="18"/>
          <w:rtl/>
        </w:rPr>
        <w:t>מספיק</w:t>
      </w:r>
      <w:r w:rsidRPr="00BF75E8">
        <w:rPr>
          <w:rFonts w:cs="David"/>
          <w:sz w:val="18"/>
          <w:szCs w:val="18"/>
          <w:rtl/>
        </w:rPr>
        <w:t xml:space="preserve"> – ואף אינה תנאי </w:t>
      </w:r>
      <w:r w:rsidRPr="00BF75E8">
        <w:rPr>
          <w:rFonts w:cs="David" w:hint="cs"/>
          <w:sz w:val="18"/>
          <w:szCs w:val="18"/>
          <w:rtl/>
        </w:rPr>
        <w:t>הכרחי</w:t>
      </w:r>
      <w:r w:rsidRPr="00BF75E8">
        <w:rPr>
          <w:rFonts w:cs="David"/>
          <w:sz w:val="18"/>
          <w:szCs w:val="18"/>
          <w:rtl/>
        </w:rPr>
        <w:t xml:space="preserve"> – להגבלת סמכותו של המחוקק</w:t>
      </w:r>
      <w:r w:rsidRPr="00BF75E8">
        <w:rPr>
          <w:rFonts w:cs="David" w:hint="cs"/>
          <w:sz w:val="18"/>
          <w:szCs w:val="18"/>
          <w:rtl/>
        </w:rPr>
        <w:t xml:space="preserve">, וכי </w:t>
      </w:r>
      <w:r w:rsidRPr="00BF75E8">
        <w:rPr>
          <w:rFonts w:cs="David"/>
          <w:sz w:val="18"/>
          <w:szCs w:val="18"/>
          <w:rtl/>
        </w:rPr>
        <w:t xml:space="preserve">ההגבלה </w:t>
      </w:r>
      <w:r w:rsidRPr="00BF75E8">
        <w:rPr>
          <w:rFonts w:cs="David" w:hint="cs"/>
          <w:sz w:val="18"/>
          <w:szCs w:val="18"/>
          <w:rtl/>
        </w:rPr>
        <w:t xml:space="preserve">נובעת בעיקרה </w:t>
      </w:r>
      <w:r w:rsidRPr="00BF75E8">
        <w:rPr>
          <w:rFonts w:cs="David"/>
          <w:sz w:val="18"/>
          <w:szCs w:val="18"/>
          <w:rtl/>
        </w:rPr>
        <w:t>מן התפיסה המקובלת בציבור:</w:t>
      </w:r>
      <w:r w:rsidRPr="00BF75E8">
        <w:rPr>
          <w:rFonts w:cs="David"/>
          <w:sz w:val="18"/>
          <w:szCs w:val="18"/>
        </w:rPr>
        <w:t xml:space="preserve">Lawrence H. Tribe, “Five Reigning Myths about Constitutionalism and Judicial Review” </w:t>
      </w:r>
      <w:r w:rsidRPr="00BF75E8">
        <w:rPr>
          <w:rFonts w:cs="David"/>
          <w:smallCaps/>
          <w:sz w:val="18"/>
          <w:szCs w:val="18"/>
        </w:rPr>
        <w:t xml:space="preserve">The Israel Academy of Sciences and Humanities </w:t>
      </w:r>
      <w:r w:rsidRPr="00BF75E8">
        <w:rPr>
          <w:rFonts w:cs="David"/>
          <w:sz w:val="18"/>
          <w:szCs w:val="18"/>
        </w:rPr>
        <w:t>(1994) 12-14</w:t>
      </w:r>
      <w:r w:rsidRPr="00BF75E8">
        <w:rPr>
          <w:rFonts w:cs="David" w:hint="cs"/>
          <w:sz w:val="18"/>
          <w:szCs w:val="18"/>
          <w:rtl/>
        </w:rPr>
        <w:t xml:space="preserve">. ראו גם </w:t>
      </w:r>
      <w:r w:rsidRPr="00BF75E8">
        <w:rPr>
          <w:rFonts w:cs="David"/>
          <w:smallCaps/>
          <w:sz w:val="18"/>
          <w:szCs w:val="18"/>
        </w:rPr>
        <w:t>Ronald Dworkin, A Bill of Rights for Britain</w:t>
      </w:r>
      <w:r w:rsidRPr="00BF75E8">
        <w:rPr>
          <w:rFonts w:cs="David"/>
          <w:sz w:val="18"/>
          <w:szCs w:val="18"/>
        </w:rPr>
        <w:t xml:space="preserve"> (1990) 27</w:t>
      </w:r>
      <w:r w:rsidRPr="00BF75E8">
        <w:rPr>
          <w:rFonts w:cs="David" w:hint="cs"/>
          <w:sz w:val="18"/>
          <w:szCs w:val="18"/>
          <w:rtl/>
        </w:rPr>
        <w:t xml:space="preserve">, שם </w:t>
      </w:r>
      <w:r w:rsidRPr="00BF75E8">
        <w:rPr>
          <w:rFonts w:cs="David"/>
          <w:sz w:val="18"/>
          <w:szCs w:val="18"/>
          <w:rtl/>
        </w:rPr>
        <w:t>נטען כי כדי שהאמנה האירופית לזכויות האדם תהפוך לבעלת מעמד "חוקתי" במשפט האנגלי</w:t>
      </w:r>
      <w:r w:rsidRPr="00BF75E8">
        <w:rPr>
          <w:rFonts w:cs="David" w:hint="cs"/>
          <w:sz w:val="18"/>
          <w:szCs w:val="18"/>
          <w:rtl/>
        </w:rPr>
        <w:t>,</w:t>
      </w:r>
      <w:r w:rsidRPr="00BF75E8">
        <w:rPr>
          <w:rFonts w:cs="David"/>
          <w:sz w:val="18"/>
          <w:szCs w:val="18"/>
          <w:rtl/>
        </w:rPr>
        <w:t xml:space="preserve"> אין די באימוצה בחוק מפורש של הפרלמנט (כפי שאכן נעשה בחוק מ</w:t>
      </w:r>
      <w:r w:rsidRPr="00BF75E8">
        <w:rPr>
          <w:rFonts w:cs="David"/>
          <w:position w:val="3"/>
          <w:sz w:val="18"/>
          <w:szCs w:val="18"/>
          <w:rtl/>
        </w:rPr>
        <w:t>-</w:t>
      </w:r>
      <w:r w:rsidRPr="00BF75E8">
        <w:rPr>
          <w:rFonts w:cs="David"/>
          <w:sz w:val="18"/>
          <w:szCs w:val="18"/>
          <w:rtl/>
        </w:rPr>
        <w:t>1998, שנכנס לתוקף בשנת 2000), אלא גם בקבלתה ככזו על</w:t>
      </w:r>
      <w:r w:rsidRPr="00BF75E8">
        <w:rPr>
          <w:rFonts w:cs="David"/>
          <w:position w:val="3"/>
          <w:sz w:val="18"/>
          <w:szCs w:val="18"/>
          <w:rtl/>
        </w:rPr>
        <w:t>-</w:t>
      </w:r>
      <w:r w:rsidRPr="00BF75E8">
        <w:rPr>
          <w:rFonts w:cs="David"/>
          <w:sz w:val="18"/>
          <w:szCs w:val="18"/>
          <w:rtl/>
        </w:rPr>
        <w:t>ידי הציבור.</w:t>
      </w:r>
    </w:p>
  </w:footnote>
  <w:footnote w:id="33">
    <w:p w:rsidR="005366A8" w:rsidRPr="00BF75E8" w:rsidRDefault="005366A8" w:rsidP="005366A8">
      <w:pPr>
        <w:pStyle w:val="FootnoteText"/>
        <w:spacing w:after="60"/>
        <w:rPr>
          <w:rFonts w:cs="David"/>
          <w:sz w:val="18"/>
          <w:szCs w:val="18"/>
          <w:rtl/>
        </w:rPr>
      </w:pPr>
      <w:r w:rsidRPr="00BF75E8">
        <w:rPr>
          <w:rStyle w:val="FootnoteReference"/>
          <w:sz w:val="18"/>
          <w:szCs w:val="18"/>
        </w:rPr>
        <w:footnoteRef/>
      </w:r>
      <w:r w:rsidRPr="00BF75E8">
        <w:rPr>
          <w:rFonts w:cs="David"/>
          <w:sz w:val="18"/>
          <w:szCs w:val="18"/>
          <w:rtl/>
        </w:rPr>
        <w:t xml:space="preserve"> </w:t>
      </w:r>
      <w:r w:rsidRPr="00BF75E8">
        <w:rPr>
          <w:rFonts w:cs="David" w:hint="cs"/>
          <w:sz w:val="18"/>
          <w:szCs w:val="18"/>
          <w:rtl/>
        </w:rPr>
        <w:t xml:space="preserve">ראו, למשל, </w:t>
      </w:r>
      <w:r w:rsidRPr="00BF75E8">
        <w:rPr>
          <w:rFonts w:cs="David"/>
          <w:sz w:val="18"/>
          <w:szCs w:val="18"/>
          <w:rtl/>
        </w:rPr>
        <w:t xml:space="preserve">ר' גביזון "המהפכה החוקתית – תיאור המציאות או נבואה המגשימה את עצמה?" </w:t>
      </w:r>
      <w:r w:rsidRPr="00BF75E8">
        <w:rPr>
          <w:rFonts w:cs="David"/>
          <w:b/>
          <w:bCs/>
          <w:sz w:val="18"/>
          <w:szCs w:val="18"/>
          <w:rtl/>
        </w:rPr>
        <w:t xml:space="preserve">משפטים </w:t>
      </w:r>
      <w:r w:rsidRPr="00BF75E8">
        <w:rPr>
          <w:rFonts w:cs="David"/>
          <w:sz w:val="18"/>
          <w:szCs w:val="18"/>
          <w:rtl/>
        </w:rPr>
        <w:t>כח (תשנ"ז) 21</w:t>
      </w:r>
      <w:r w:rsidRPr="00BF75E8">
        <w:rPr>
          <w:rFonts w:cs="David" w:hint="cs"/>
          <w:sz w:val="18"/>
          <w:szCs w:val="18"/>
          <w:rtl/>
        </w:rPr>
        <w:t>.</w:t>
      </w:r>
    </w:p>
  </w:footnote>
  <w:footnote w:id="34">
    <w:p w:rsidR="005366A8" w:rsidRPr="00BF75E8" w:rsidRDefault="005366A8" w:rsidP="005366A8">
      <w:pPr>
        <w:pStyle w:val="FootnoteText"/>
        <w:spacing w:after="60"/>
        <w:rPr>
          <w:rFonts w:cs="David"/>
          <w:sz w:val="18"/>
          <w:szCs w:val="18"/>
          <w:rtl/>
        </w:rPr>
      </w:pPr>
      <w:r w:rsidRPr="00BF75E8">
        <w:rPr>
          <w:rStyle w:val="FootnoteReference"/>
          <w:sz w:val="18"/>
          <w:szCs w:val="18"/>
        </w:rPr>
        <w:footnoteRef/>
      </w:r>
      <w:r w:rsidRPr="00BF75E8">
        <w:rPr>
          <w:rFonts w:cs="David"/>
          <w:sz w:val="18"/>
          <w:szCs w:val="18"/>
          <w:rtl/>
        </w:rPr>
        <w:t xml:space="preserve"> </w:t>
      </w:r>
      <w:r w:rsidRPr="00BF75E8">
        <w:rPr>
          <w:rFonts w:cs="David" w:hint="cs"/>
          <w:sz w:val="18"/>
          <w:szCs w:val="18"/>
          <w:rtl/>
        </w:rPr>
        <w:t xml:space="preserve">לכך נוספת גם האפשרות, הזוכה לתמיכה גוברת בשנים האחרונות, להכיר בכוחה של הכנסת להגיב לביקורת השיפוטית בדרך של חקיקה מחדש של חוק שהוכרז כבטל, בלא צורך בתיקון חוקי היסוד. לדיון מקיף בדיאלוג בין המחוקק לבין בית המשפט ראו גדעון ספיר, "שלושה מודלים של חוקה" </w:t>
      </w:r>
      <w:r w:rsidRPr="00BF75E8">
        <w:rPr>
          <w:rFonts w:cs="David" w:hint="cs"/>
          <w:b/>
          <w:bCs/>
          <w:sz w:val="18"/>
          <w:szCs w:val="18"/>
          <w:rtl/>
        </w:rPr>
        <w:t>משפטים</w:t>
      </w:r>
      <w:r w:rsidRPr="00BF75E8">
        <w:rPr>
          <w:rFonts w:cs="David" w:hint="cs"/>
          <w:sz w:val="18"/>
          <w:szCs w:val="18"/>
          <w:rtl/>
        </w:rPr>
        <w:t xml:space="preserve"> לז (תשל"ז) __.</w:t>
      </w:r>
    </w:p>
  </w:footnote>
  <w:footnote w:id="35">
    <w:p w:rsidR="005366A8" w:rsidRPr="00BF75E8" w:rsidRDefault="005366A8" w:rsidP="005366A8">
      <w:pPr>
        <w:pStyle w:val="FootnoteText"/>
        <w:spacing w:after="60"/>
        <w:rPr>
          <w:rFonts w:cs="David"/>
          <w:sz w:val="18"/>
          <w:szCs w:val="18"/>
          <w:rtl/>
        </w:rPr>
      </w:pPr>
      <w:r w:rsidRPr="00BF75E8">
        <w:rPr>
          <w:rStyle w:val="FootnoteReference"/>
          <w:sz w:val="18"/>
          <w:szCs w:val="18"/>
        </w:rPr>
        <w:footnoteRef/>
      </w:r>
      <w:r w:rsidRPr="00BF75E8">
        <w:rPr>
          <w:rFonts w:cs="David"/>
          <w:sz w:val="18"/>
          <w:szCs w:val="18"/>
          <w:rtl/>
        </w:rPr>
        <w:t xml:space="preserve"> </w:t>
      </w:r>
      <w:r w:rsidRPr="00BF75E8">
        <w:rPr>
          <w:rFonts w:cs="David" w:hint="cs"/>
          <w:sz w:val="18"/>
          <w:szCs w:val="18"/>
          <w:rtl/>
        </w:rPr>
        <w:t xml:space="preserve">אגב, לקראת סוף רשימת הביקורת שלו, מציין לפתע פוזנר דברים ברוח זו: </w:t>
      </w:r>
      <w:r w:rsidRPr="00BF75E8">
        <w:rPr>
          <w:rFonts w:cs="David"/>
          <w:sz w:val="18"/>
          <w:szCs w:val="18"/>
        </w:rPr>
        <w:t>“The ‘Basic Laws’ may not be a constitution, but they provide an adequate textual basis, even in American terms, for decisions that Barak has written forbidding discrimination against homosexuals and against Israel's Arab citizens”: Posner, supra note 12</w:t>
      </w:r>
      <w:r w:rsidRPr="00BF75E8">
        <w:rPr>
          <w:rFonts w:cs="David" w:hint="cs"/>
          <w:sz w:val="18"/>
          <w:szCs w:val="18"/>
          <w:rtl/>
        </w:rPr>
        <w:t xml:space="preserve">. פוזנר אינו מנמק כיצד דברים אלה עולים בקנה אחד עם עמדתו לפיה חוקי היסוד אינם אלא </w:t>
      </w:r>
      <w:r w:rsidRPr="00BF75E8">
        <w:rPr>
          <w:rFonts w:cs="David"/>
          <w:sz w:val="18"/>
          <w:szCs w:val="18"/>
        </w:rPr>
        <w:t>“whole cloth”</w:t>
      </w:r>
      <w:r w:rsidRPr="00BF75E8">
        <w:rPr>
          <w:rFonts w:cs="David" w:hint="cs"/>
          <w:sz w:val="18"/>
          <w:szCs w:val="18"/>
          <w:rtl/>
        </w:rPr>
        <w:t>, ואינו מסביר מדוע חוקי היסוד עשויים לשמש בסיס נאות דווקא לאכיפת איסור הפליה (אף שהזכות לשוויון כלל אינה מוזכרת בחוקי היסוד) אך לא לעניינים אחרים, למשל להגנה על זכויות יסוד המנויות במפורש בחוק-יסוד: כבוד האדם וחירותו.</w:t>
      </w:r>
    </w:p>
  </w:footnote>
  <w:footnote w:id="36">
    <w:p w:rsidR="005366A8" w:rsidRPr="00BF75E8" w:rsidRDefault="005366A8" w:rsidP="005366A8">
      <w:pPr>
        <w:pStyle w:val="FootnoteText"/>
        <w:spacing w:after="60"/>
        <w:rPr>
          <w:rFonts w:cs="David"/>
          <w:sz w:val="18"/>
          <w:szCs w:val="18"/>
          <w:rtl/>
        </w:rPr>
      </w:pPr>
      <w:r w:rsidRPr="00BF75E8">
        <w:rPr>
          <w:rStyle w:val="FootnoteReference"/>
          <w:sz w:val="18"/>
          <w:szCs w:val="18"/>
        </w:rPr>
        <w:footnoteRef/>
      </w:r>
      <w:r w:rsidRPr="00BF75E8">
        <w:rPr>
          <w:rFonts w:cs="David"/>
          <w:sz w:val="18"/>
          <w:szCs w:val="18"/>
          <w:rtl/>
        </w:rPr>
        <w:t xml:space="preserve"> </w:t>
      </w:r>
      <w:r w:rsidRPr="00BF75E8">
        <w:rPr>
          <w:rFonts w:cs="David" w:hint="cs"/>
          <w:sz w:val="18"/>
          <w:szCs w:val="18"/>
          <w:rtl/>
        </w:rPr>
        <w:t xml:space="preserve">עניין </w:t>
      </w:r>
      <w:r w:rsidRPr="00BF75E8">
        <w:rPr>
          <w:rFonts w:cs="David" w:hint="cs"/>
          <w:b/>
          <w:bCs/>
          <w:sz w:val="18"/>
          <w:szCs w:val="18"/>
          <w:rtl/>
        </w:rPr>
        <w:t>בנק המזרחי נ' מגדל</w:t>
      </w:r>
      <w:r w:rsidRPr="00BF75E8">
        <w:rPr>
          <w:rFonts w:cs="David" w:hint="cs"/>
          <w:sz w:val="18"/>
          <w:szCs w:val="18"/>
          <w:rtl/>
        </w:rPr>
        <w:t xml:space="preserve">, הערה </w:t>
      </w:r>
      <w:fldSimple w:instr=" NOTEREF _Ref166667986 \h  \* MERGEFORMAT ">
        <w:r w:rsidRPr="00BF75E8">
          <w:rPr>
            <w:rFonts w:cs="David"/>
            <w:sz w:val="18"/>
            <w:szCs w:val="18"/>
            <w:rtl/>
          </w:rPr>
          <w:t>29</w:t>
        </w:r>
      </w:fldSimple>
      <w:r w:rsidRPr="00BF75E8">
        <w:rPr>
          <w:rFonts w:cs="David" w:hint="cs"/>
          <w:sz w:val="18"/>
          <w:szCs w:val="18"/>
          <w:rtl/>
        </w:rPr>
        <w:t xml:space="preserve"> לעיל. ראו גם, למשל, גביזון, הערה </w:t>
      </w:r>
      <w:fldSimple w:instr=" NOTEREF _Ref166668092 \h  \* MERGEFORMAT ">
        <w:r w:rsidRPr="00BF75E8">
          <w:rPr>
            <w:rFonts w:cs="David"/>
            <w:sz w:val="18"/>
            <w:szCs w:val="18"/>
            <w:rtl/>
          </w:rPr>
          <w:t>27</w:t>
        </w:r>
      </w:fldSimple>
      <w:r w:rsidRPr="00BF75E8">
        <w:rPr>
          <w:rFonts w:cs="David" w:hint="cs"/>
          <w:sz w:val="18"/>
          <w:szCs w:val="18"/>
          <w:rtl/>
        </w:rPr>
        <w:t xml:space="preserve"> לעיל; יהושע (שוקי) </w:t>
      </w:r>
      <w:r w:rsidRPr="00BF75E8">
        <w:rPr>
          <w:rFonts w:cs="David"/>
          <w:sz w:val="18"/>
          <w:szCs w:val="18"/>
          <w:rtl/>
        </w:rPr>
        <w:t>שגב</w:t>
      </w:r>
      <w:r w:rsidRPr="00BF75E8">
        <w:rPr>
          <w:rFonts w:cs="David" w:hint="cs"/>
          <w:sz w:val="18"/>
          <w:szCs w:val="18"/>
          <w:rtl/>
        </w:rPr>
        <w:t xml:space="preserve">, </w:t>
      </w:r>
      <w:r w:rsidRPr="00BF75E8">
        <w:rPr>
          <w:rFonts w:cs="David"/>
          <w:sz w:val="18"/>
          <w:szCs w:val="18"/>
          <w:rtl/>
        </w:rPr>
        <w:t xml:space="preserve">"מדוע לישראל אין ולא תהיה חוקה (לפחות בעתיד הנראה לעין)? על סגולותיה של 'ההחלטה שלא להחליט'" </w:t>
      </w:r>
      <w:r w:rsidRPr="00BF75E8">
        <w:rPr>
          <w:rFonts w:cs="David"/>
          <w:b/>
          <w:bCs/>
          <w:sz w:val="18"/>
          <w:szCs w:val="18"/>
          <w:rtl/>
        </w:rPr>
        <w:t xml:space="preserve">מאזני משפט </w:t>
      </w:r>
      <w:r w:rsidRPr="00BF75E8">
        <w:rPr>
          <w:rFonts w:cs="David"/>
          <w:sz w:val="18"/>
          <w:szCs w:val="18"/>
          <w:rtl/>
        </w:rPr>
        <w:t>ה (תשס"ו) 125</w:t>
      </w:r>
      <w:r w:rsidRPr="00BF75E8">
        <w:rPr>
          <w:rFonts w:cs="David" w:hint="cs"/>
          <w:sz w:val="18"/>
          <w:szCs w:val="18"/>
          <w:rtl/>
        </w:rPr>
        <w:t xml:space="preserve">; </w:t>
      </w:r>
      <w:r w:rsidRPr="00BF75E8">
        <w:rPr>
          <w:rFonts w:cs="David"/>
          <w:sz w:val="18"/>
          <w:szCs w:val="18"/>
        </w:rPr>
        <w:t xml:space="preserve">Michael Mandel, "Democracy and the New Constitutionalism in Israel" 33 </w:t>
      </w:r>
      <w:r w:rsidRPr="00BF75E8">
        <w:rPr>
          <w:rFonts w:cs="David"/>
          <w:smallCaps/>
          <w:sz w:val="18"/>
          <w:szCs w:val="18"/>
        </w:rPr>
        <w:t>Isr. L. Rev</w:t>
      </w:r>
      <w:r w:rsidRPr="00BF75E8">
        <w:rPr>
          <w:rFonts w:cs="David"/>
          <w:i/>
          <w:iCs/>
          <w:sz w:val="18"/>
          <w:szCs w:val="18"/>
        </w:rPr>
        <w:t xml:space="preserve">. </w:t>
      </w:r>
      <w:r w:rsidRPr="00BF75E8">
        <w:rPr>
          <w:rFonts w:cs="David"/>
          <w:sz w:val="18"/>
          <w:szCs w:val="18"/>
        </w:rPr>
        <w:t>(1999) 259</w:t>
      </w:r>
      <w:r w:rsidRPr="00BF75E8">
        <w:rPr>
          <w:rFonts w:cs="David"/>
          <w:sz w:val="18"/>
          <w:szCs w:val="18"/>
          <w:rtl/>
        </w:rPr>
        <w:t>;</w:t>
      </w:r>
      <w:r w:rsidRPr="00BF75E8">
        <w:rPr>
          <w:rFonts w:cs="David" w:hint="cs"/>
          <w:sz w:val="18"/>
          <w:szCs w:val="18"/>
          <w:rtl/>
        </w:rPr>
        <w:t xml:space="preserve"> </w:t>
      </w:r>
      <w:r w:rsidRPr="00BF75E8">
        <w:rPr>
          <w:rFonts w:cs="David"/>
          <w:sz w:val="18"/>
          <w:szCs w:val="18"/>
          <w:rtl/>
        </w:rPr>
        <w:t>ד</w:t>
      </w:r>
      <w:r w:rsidRPr="00BF75E8">
        <w:rPr>
          <w:rFonts w:cs="David" w:hint="cs"/>
          <w:sz w:val="18"/>
          <w:szCs w:val="18"/>
          <w:rtl/>
        </w:rPr>
        <w:t>ן</w:t>
      </w:r>
      <w:r w:rsidRPr="00BF75E8">
        <w:rPr>
          <w:rFonts w:cs="David"/>
          <w:sz w:val="18"/>
          <w:szCs w:val="18"/>
          <w:rtl/>
        </w:rPr>
        <w:t xml:space="preserve"> אבנון "ההיבט הלא-דמוקרטי של חוקי היסוד בנושא זכויות האדם" </w:t>
      </w:r>
      <w:r w:rsidRPr="00BF75E8">
        <w:rPr>
          <w:rFonts w:cs="David"/>
          <w:b/>
          <w:bCs/>
          <w:sz w:val="18"/>
          <w:szCs w:val="18"/>
          <w:rtl/>
        </w:rPr>
        <w:t xml:space="preserve">פוליטיקה </w:t>
      </w:r>
      <w:r w:rsidRPr="00BF75E8">
        <w:rPr>
          <w:rFonts w:cs="David"/>
          <w:sz w:val="18"/>
          <w:szCs w:val="18"/>
          <w:rtl/>
        </w:rPr>
        <w:t>2 (תשנ"ט)</w:t>
      </w:r>
      <w:r w:rsidRPr="00BF75E8">
        <w:rPr>
          <w:rFonts w:cs="David"/>
          <w:b/>
          <w:bCs/>
          <w:sz w:val="18"/>
          <w:szCs w:val="18"/>
          <w:rtl/>
        </w:rPr>
        <w:t xml:space="preserve"> </w:t>
      </w:r>
      <w:r w:rsidRPr="00BF75E8">
        <w:rPr>
          <w:rFonts w:cs="David"/>
          <w:sz w:val="18"/>
          <w:szCs w:val="18"/>
          <w:rtl/>
        </w:rPr>
        <w:t>53</w:t>
      </w:r>
      <w:r w:rsidRPr="00BF75E8">
        <w:rPr>
          <w:rFonts w:cs="David" w:hint="cs"/>
          <w:sz w:val="18"/>
          <w:szCs w:val="18"/>
          <w:rtl/>
        </w:rPr>
        <w:t xml:space="preserve">; </w:t>
      </w:r>
      <w:r w:rsidRPr="00BF75E8">
        <w:rPr>
          <w:rFonts w:cs="David"/>
          <w:sz w:val="18"/>
          <w:szCs w:val="18"/>
          <w:rtl/>
        </w:rPr>
        <w:t xml:space="preserve"> </w:t>
      </w:r>
      <w:r w:rsidRPr="00BF75E8">
        <w:rPr>
          <w:rFonts w:cs="David" w:hint="cs"/>
          <w:sz w:val="18"/>
          <w:szCs w:val="18"/>
          <w:rtl/>
        </w:rPr>
        <w:t xml:space="preserve">י' מייזלר "'המהפכה החוקתית' </w:t>
      </w:r>
      <w:r w:rsidRPr="00BF75E8">
        <w:rPr>
          <w:rFonts w:cs="David"/>
          <w:sz w:val="18"/>
          <w:szCs w:val="18"/>
          <w:rtl/>
        </w:rPr>
        <w:t>–</w:t>
      </w:r>
      <w:r w:rsidRPr="00BF75E8">
        <w:rPr>
          <w:rFonts w:cs="David" w:hint="cs"/>
          <w:sz w:val="18"/>
          <w:szCs w:val="18"/>
          <w:rtl/>
        </w:rPr>
        <w:t xml:space="preserve"> עשור וקצת אחרי: הדין והחשבון" </w:t>
      </w:r>
      <w:r w:rsidRPr="00BF75E8">
        <w:rPr>
          <w:rFonts w:cs="David" w:hint="cs"/>
          <w:b/>
          <w:bCs/>
          <w:sz w:val="18"/>
          <w:szCs w:val="18"/>
          <w:rtl/>
        </w:rPr>
        <w:t xml:space="preserve">תרבות דמוקרטית </w:t>
      </w:r>
      <w:r w:rsidRPr="00BF75E8">
        <w:rPr>
          <w:rFonts w:cs="David" w:hint="cs"/>
          <w:sz w:val="18"/>
          <w:szCs w:val="18"/>
          <w:rtl/>
        </w:rPr>
        <w:t>7 (תשס"ג) 131.</w:t>
      </w:r>
    </w:p>
  </w:footnote>
  <w:footnote w:id="37">
    <w:p w:rsidR="005366A8" w:rsidRPr="00BF75E8" w:rsidRDefault="005366A8" w:rsidP="005366A8">
      <w:pPr>
        <w:pStyle w:val="FootnoteText"/>
        <w:spacing w:after="60"/>
        <w:rPr>
          <w:rFonts w:cs="David"/>
          <w:sz w:val="18"/>
          <w:szCs w:val="18"/>
        </w:rPr>
      </w:pPr>
      <w:r w:rsidRPr="00BF75E8">
        <w:rPr>
          <w:rStyle w:val="FootnoteReference"/>
          <w:sz w:val="18"/>
          <w:szCs w:val="18"/>
        </w:rPr>
        <w:footnoteRef/>
      </w:r>
      <w:r w:rsidRPr="00BF75E8">
        <w:rPr>
          <w:rFonts w:cs="David"/>
          <w:sz w:val="18"/>
          <w:szCs w:val="18"/>
          <w:rtl/>
        </w:rPr>
        <w:t xml:space="preserve"> א' דה</w:t>
      </w:r>
      <w:r w:rsidRPr="00BF75E8">
        <w:rPr>
          <w:rFonts w:cs="David"/>
          <w:position w:val="3"/>
          <w:sz w:val="18"/>
          <w:szCs w:val="18"/>
          <w:rtl/>
        </w:rPr>
        <w:t>-</w:t>
      </w:r>
      <w:r w:rsidRPr="00BF75E8">
        <w:rPr>
          <w:rFonts w:cs="David"/>
          <w:sz w:val="18"/>
          <w:szCs w:val="18"/>
          <w:rtl/>
        </w:rPr>
        <w:t xml:space="preserve">טוקוויל </w:t>
      </w:r>
      <w:r w:rsidRPr="00BF75E8">
        <w:rPr>
          <w:rFonts w:cs="David"/>
          <w:b/>
          <w:bCs/>
          <w:sz w:val="18"/>
          <w:szCs w:val="18"/>
          <w:rtl/>
        </w:rPr>
        <w:t>הדמוקרטיה האמריקאית</w:t>
      </w:r>
      <w:r w:rsidRPr="00BF75E8">
        <w:rPr>
          <w:rFonts w:cs="David"/>
          <w:sz w:val="18"/>
          <w:szCs w:val="18"/>
          <w:rtl/>
        </w:rPr>
        <w:t xml:space="preserve"> (1835, י' טברסי וי' מרגלית תרגמו, תש"ל) </w:t>
      </w:r>
      <w:r w:rsidRPr="00BF75E8">
        <w:rPr>
          <w:rFonts w:cs="David" w:hint="cs"/>
          <w:sz w:val="18"/>
          <w:szCs w:val="18"/>
          <w:rtl/>
        </w:rPr>
        <w:t>84</w:t>
      </w:r>
      <w:r w:rsidRPr="00BF75E8">
        <w:rPr>
          <w:rFonts w:cs="David"/>
          <w:sz w:val="18"/>
          <w:szCs w:val="18"/>
          <w:rtl/>
        </w:rPr>
        <w:t>-</w:t>
      </w:r>
      <w:r w:rsidRPr="00BF75E8">
        <w:rPr>
          <w:rFonts w:cs="David" w:hint="cs"/>
          <w:sz w:val="18"/>
          <w:szCs w:val="18"/>
          <w:rtl/>
        </w:rPr>
        <w:t>90</w:t>
      </w:r>
      <w:r w:rsidRPr="00BF75E8">
        <w:rPr>
          <w:rFonts w:cs="David"/>
          <w:sz w:val="18"/>
          <w:szCs w:val="18"/>
          <w:rtl/>
        </w:rPr>
        <w:t>. לדיון בעמדה זו ראו ד' אוחנה "אלכסיס דה</w:t>
      </w:r>
      <w:r w:rsidRPr="00BF75E8">
        <w:rPr>
          <w:rFonts w:cs="David"/>
          <w:position w:val="3"/>
          <w:sz w:val="18"/>
          <w:szCs w:val="18"/>
          <w:rtl/>
        </w:rPr>
        <w:t>-</w:t>
      </w:r>
      <w:r w:rsidRPr="00BF75E8">
        <w:rPr>
          <w:rFonts w:cs="David"/>
          <w:sz w:val="18"/>
          <w:szCs w:val="18"/>
          <w:rtl/>
        </w:rPr>
        <w:t xml:space="preserve">טוקוויל: אמריקה כנבואה לעתיד העולם המודרני" </w:t>
      </w:r>
      <w:r w:rsidRPr="00BF75E8">
        <w:rPr>
          <w:rFonts w:cs="David"/>
          <w:b/>
          <w:bCs/>
          <w:sz w:val="18"/>
          <w:szCs w:val="18"/>
          <w:rtl/>
        </w:rPr>
        <w:t>בעקבות קולומבוס: אמריקה</w:t>
      </w:r>
      <w:r w:rsidRPr="00BF75E8">
        <w:rPr>
          <w:rFonts w:cs="David" w:hint="cs"/>
          <w:b/>
          <w:bCs/>
          <w:sz w:val="18"/>
          <w:szCs w:val="18"/>
          <w:rtl/>
        </w:rPr>
        <w:t xml:space="preserve"> 1492-1992</w:t>
      </w:r>
      <w:r w:rsidRPr="00BF75E8">
        <w:rPr>
          <w:rFonts w:cs="David" w:hint="cs"/>
          <w:sz w:val="18"/>
          <w:szCs w:val="18"/>
          <w:rtl/>
        </w:rPr>
        <w:t xml:space="preserve"> </w:t>
      </w:r>
      <w:r w:rsidRPr="00BF75E8">
        <w:rPr>
          <w:rFonts w:cs="David"/>
          <w:sz w:val="18"/>
          <w:szCs w:val="18"/>
          <w:rtl/>
        </w:rPr>
        <w:t>(מ' אליאב</w:t>
      </w:r>
      <w:r w:rsidRPr="00BF75E8">
        <w:rPr>
          <w:rFonts w:cs="David"/>
          <w:position w:val="3"/>
          <w:sz w:val="18"/>
          <w:szCs w:val="18"/>
          <w:rtl/>
        </w:rPr>
        <w:t>-</w:t>
      </w:r>
      <w:r w:rsidRPr="00BF75E8">
        <w:rPr>
          <w:rFonts w:cs="David"/>
          <w:sz w:val="18"/>
          <w:szCs w:val="18"/>
          <w:rtl/>
        </w:rPr>
        <w:t>פלדון עורכת, תשנ"ז) 93, 109.</w:t>
      </w:r>
    </w:p>
  </w:footnote>
  <w:footnote w:id="38">
    <w:p w:rsidR="005366A8" w:rsidRPr="00BF75E8" w:rsidRDefault="005366A8" w:rsidP="005366A8">
      <w:pPr>
        <w:pStyle w:val="FootnoteText"/>
        <w:spacing w:after="60"/>
        <w:rPr>
          <w:rFonts w:cs="David"/>
          <w:sz w:val="18"/>
          <w:szCs w:val="18"/>
        </w:rPr>
      </w:pPr>
      <w:r w:rsidRPr="00BF75E8">
        <w:rPr>
          <w:rStyle w:val="FootnoteReference"/>
          <w:sz w:val="18"/>
          <w:szCs w:val="18"/>
        </w:rPr>
        <w:footnoteRef/>
      </w:r>
      <w:r w:rsidRPr="00BF75E8">
        <w:rPr>
          <w:rFonts w:cs="David"/>
          <w:sz w:val="18"/>
          <w:szCs w:val="18"/>
          <w:rtl/>
        </w:rPr>
        <w:t xml:space="preserve"> </w:t>
      </w:r>
      <w:r w:rsidRPr="00BF75E8">
        <w:rPr>
          <w:rFonts w:cs="David" w:hint="cs"/>
          <w:sz w:val="18"/>
          <w:szCs w:val="18"/>
          <w:rtl/>
        </w:rPr>
        <w:t xml:space="preserve">למשל, </w:t>
      </w:r>
      <w:r w:rsidRPr="00BF75E8">
        <w:rPr>
          <w:rFonts w:cs="David"/>
          <w:sz w:val="18"/>
          <w:szCs w:val="18"/>
          <w:rtl/>
        </w:rPr>
        <w:t xml:space="preserve">ר' גביזון "מעורבות ציבורית של בג"ץ: מבט ביקורתי" </w:t>
      </w:r>
      <w:r w:rsidRPr="00BF75E8">
        <w:rPr>
          <w:rFonts w:cs="David"/>
          <w:b/>
          <w:bCs/>
          <w:sz w:val="18"/>
          <w:szCs w:val="18"/>
          <w:rtl/>
        </w:rPr>
        <w:t>אקטיביזם שיפוטי: בעד ונגד</w:t>
      </w:r>
      <w:r w:rsidRPr="00BF75E8">
        <w:rPr>
          <w:rFonts w:cs="David"/>
          <w:sz w:val="18"/>
          <w:szCs w:val="18"/>
          <w:rtl/>
        </w:rPr>
        <w:t xml:space="preserve"> (תש"ס) 69</w:t>
      </w:r>
      <w:r w:rsidRPr="00BF75E8">
        <w:rPr>
          <w:rFonts w:cs="David" w:hint="cs"/>
          <w:sz w:val="18"/>
          <w:szCs w:val="18"/>
          <w:rtl/>
        </w:rPr>
        <w:t>, 107-106.</w:t>
      </w:r>
    </w:p>
  </w:footnote>
  <w:footnote w:id="39">
    <w:p w:rsidR="005366A8" w:rsidRPr="00BF75E8" w:rsidRDefault="005366A8" w:rsidP="005366A8">
      <w:pPr>
        <w:pStyle w:val="FootnoteText"/>
        <w:spacing w:after="60"/>
        <w:rPr>
          <w:rFonts w:cs="David"/>
          <w:sz w:val="18"/>
          <w:szCs w:val="18"/>
        </w:rPr>
      </w:pPr>
      <w:r w:rsidRPr="00BF75E8">
        <w:rPr>
          <w:rStyle w:val="FootnoteReference"/>
          <w:sz w:val="18"/>
          <w:szCs w:val="18"/>
        </w:rPr>
        <w:footnoteRef/>
      </w:r>
      <w:r w:rsidRPr="00BF75E8">
        <w:rPr>
          <w:rFonts w:cs="David"/>
          <w:sz w:val="18"/>
          <w:szCs w:val="18"/>
          <w:rtl/>
        </w:rPr>
        <w:t xml:space="preserve"> </w:t>
      </w:r>
      <w:r w:rsidRPr="00BF75E8">
        <w:rPr>
          <w:rFonts w:cs="David" w:hint="cs"/>
          <w:sz w:val="18"/>
          <w:szCs w:val="18"/>
          <w:rtl/>
        </w:rPr>
        <w:t>בורק, הערה 11 לעיל.</w:t>
      </w:r>
    </w:p>
  </w:footnote>
  <w:footnote w:id="40">
    <w:p w:rsidR="005366A8" w:rsidRPr="00BF75E8" w:rsidRDefault="005366A8" w:rsidP="005366A8">
      <w:pPr>
        <w:pStyle w:val="10"/>
        <w:spacing w:after="60" w:line="240" w:lineRule="auto"/>
        <w:ind w:left="0" w:right="0" w:firstLine="340"/>
        <w:rPr>
          <w:rFonts w:cs="David"/>
          <w:sz w:val="18"/>
          <w:szCs w:val="18"/>
          <w:rtl/>
        </w:rPr>
      </w:pPr>
      <w:r w:rsidRPr="00BF75E8">
        <w:rPr>
          <w:rFonts w:cs="David" w:hint="cs"/>
          <w:sz w:val="18"/>
          <w:szCs w:val="18"/>
          <w:rtl/>
        </w:rPr>
        <w:tab/>
      </w:r>
      <w:r w:rsidRPr="00BF75E8">
        <w:rPr>
          <w:rStyle w:val="FootnoteReference"/>
          <w:sz w:val="18"/>
          <w:szCs w:val="18"/>
          <w:rtl/>
        </w:rPr>
        <w:footnoteRef/>
      </w:r>
      <w:r w:rsidRPr="00BF75E8">
        <w:rPr>
          <w:rFonts w:cs="David" w:hint="cs"/>
          <w:sz w:val="18"/>
          <w:szCs w:val="18"/>
          <w:rtl/>
        </w:rPr>
        <w:t xml:space="preserve"> ראו </w:t>
      </w:r>
      <w:r w:rsidRPr="00BF75E8">
        <w:rPr>
          <w:rFonts w:cs="David"/>
          <w:sz w:val="18"/>
          <w:szCs w:val="18"/>
          <w:rtl/>
        </w:rPr>
        <w:t xml:space="preserve">בג"ץ 4481/91 </w:t>
      </w:r>
      <w:r w:rsidRPr="00BF75E8">
        <w:rPr>
          <w:rFonts w:cs="David"/>
          <w:b/>
          <w:bCs/>
          <w:sz w:val="18"/>
          <w:szCs w:val="18"/>
          <w:rtl/>
        </w:rPr>
        <w:t>ברגיל נ' ממשלת ישראל</w:t>
      </w:r>
      <w:r w:rsidRPr="00BF75E8">
        <w:rPr>
          <w:rFonts w:cs="David"/>
          <w:sz w:val="18"/>
          <w:szCs w:val="18"/>
          <w:rtl/>
        </w:rPr>
        <w:t>, פ"ד מז(4) 210, 215 (הנשיא שמגר)</w:t>
      </w:r>
      <w:r w:rsidRPr="00BF75E8">
        <w:rPr>
          <w:rFonts w:cs="David" w:hint="cs"/>
          <w:sz w:val="18"/>
          <w:szCs w:val="18"/>
          <w:rtl/>
        </w:rPr>
        <w:t xml:space="preserve">, שם נקבע כי </w:t>
      </w:r>
      <w:r w:rsidRPr="00BF75E8">
        <w:rPr>
          <w:rFonts w:cs="David"/>
          <w:spacing w:val="-2"/>
          <w:sz w:val="18"/>
          <w:szCs w:val="18"/>
          <w:rtl/>
        </w:rPr>
        <w:t>טענה</w:t>
      </w:r>
      <w:r w:rsidRPr="00BF75E8">
        <w:rPr>
          <w:rFonts w:cs="David" w:hint="cs"/>
          <w:spacing w:val="-2"/>
          <w:sz w:val="18"/>
          <w:szCs w:val="18"/>
          <w:rtl/>
        </w:rPr>
        <w:t xml:space="preserve"> כנגד חוקיות ההתנחלויות היא טענה</w:t>
      </w:r>
      <w:r w:rsidRPr="00BF75E8">
        <w:rPr>
          <w:rFonts w:cs="David"/>
          <w:spacing w:val="-2"/>
          <w:sz w:val="18"/>
          <w:szCs w:val="18"/>
          <w:rtl/>
        </w:rPr>
        <w:t xml:space="preserve"> "המתייחסת לנושאי מדיניות השמורים לזרועות אחרות של הממשל הדמוקרטי, [ואשר] מעלה נושא שהסממנים המדיניים שבו הם דומינאנטיים</w:t>
      </w:r>
      <w:r w:rsidRPr="00BF75E8">
        <w:rPr>
          <w:rFonts w:cs="David" w:hint="cs"/>
          <w:sz w:val="18"/>
          <w:szCs w:val="18"/>
          <w:rtl/>
        </w:rPr>
        <w:t xml:space="preserve"> </w:t>
      </w:r>
      <w:r w:rsidRPr="00BF75E8">
        <w:rPr>
          <w:rFonts w:cs="David"/>
          <w:sz w:val="18"/>
          <w:szCs w:val="18"/>
          <w:rtl/>
        </w:rPr>
        <w:t>וגוברים בעליל על כל קטעי הקטעים המשפטיים שבו. אופיו השליט של הנושא המועלה בעתירה הוא מדיני מובהק"</w:t>
      </w:r>
      <w:r w:rsidRPr="00BF75E8">
        <w:rPr>
          <w:rFonts w:cs="David" w:hint="cs"/>
          <w:sz w:val="18"/>
          <w:szCs w:val="18"/>
          <w:rtl/>
        </w:rPr>
        <w:t xml:space="preserve">. </w:t>
      </w:r>
      <w:r w:rsidRPr="00BF75E8">
        <w:rPr>
          <w:rFonts w:cs="David"/>
          <w:sz w:val="18"/>
          <w:szCs w:val="18"/>
          <w:rtl/>
        </w:rPr>
        <w:t xml:space="preserve">ראו גם בג"ץ 3125/98 </w:t>
      </w:r>
      <w:r w:rsidRPr="00BF75E8">
        <w:rPr>
          <w:rFonts w:cs="David"/>
          <w:b/>
          <w:bCs/>
          <w:sz w:val="18"/>
          <w:szCs w:val="18"/>
          <w:rtl/>
        </w:rPr>
        <w:t>עיאד נ' מפקד כוחות צה"ל באזור יהודה ושומרון</w:t>
      </w:r>
      <w:r w:rsidRPr="00BF75E8">
        <w:rPr>
          <w:rFonts w:cs="David"/>
          <w:sz w:val="18"/>
          <w:szCs w:val="18"/>
          <w:rtl/>
        </w:rPr>
        <w:t>, פ"ד נה(1) 913, שם נדחתה על הסף עתירה כנגד חוקיות ת</w:t>
      </w:r>
      <w:r w:rsidRPr="00BF75E8">
        <w:rPr>
          <w:rFonts w:cs="David" w:hint="cs"/>
          <w:sz w:val="18"/>
          <w:szCs w:val="18"/>
          <w:rtl/>
        </w:rPr>
        <w:t>ו</w:t>
      </w:r>
      <w:r w:rsidRPr="00BF75E8">
        <w:rPr>
          <w:rFonts w:cs="David"/>
          <w:sz w:val="18"/>
          <w:szCs w:val="18"/>
          <w:rtl/>
        </w:rPr>
        <w:t xml:space="preserve">כנית </w:t>
      </w:r>
      <w:r w:rsidRPr="00BF75E8">
        <w:rPr>
          <w:rFonts w:cs="David" w:hint="cs"/>
          <w:sz w:val="18"/>
          <w:szCs w:val="18"/>
          <w:rtl/>
        </w:rPr>
        <w:t>ל</w:t>
      </w:r>
      <w:r w:rsidRPr="00BF75E8">
        <w:rPr>
          <w:rFonts w:cs="David"/>
          <w:sz w:val="18"/>
          <w:szCs w:val="18"/>
          <w:rtl/>
        </w:rPr>
        <w:t>הרחבת מעלה אדומים</w:t>
      </w:r>
      <w:r w:rsidRPr="00BF75E8">
        <w:rPr>
          <w:rFonts w:cs="David" w:hint="cs"/>
          <w:sz w:val="18"/>
          <w:szCs w:val="18"/>
          <w:rtl/>
        </w:rPr>
        <w:t>,</w:t>
      </w:r>
      <w:r w:rsidRPr="00BF75E8">
        <w:rPr>
          <w:rFonts w:cs="David"/>
          <w:sz w:val="18"/>
          <w:szCs w:val="18"/>
          <w:rtl/>
        </w:rPr>
        <w:t xml:space="preserve"> שנועדה ליצור רצף אורבני בי</w:t>
      </w:r>
      <w:r w:rsidRPr="00BF75E8">
        <w:rPr>
          <w:rFonts w:cs="David" w:hint="cs"/>
          <w:sz w:val="18"/>
          <w:szCs w:val="18"/>
          <w:rtl/>
        </w:rPr>
        <w:t xml:space="preserve">ן היישוב </w:t>
      </w:r>
      <w:r w:rsidRPr="00BF75E8">
        <w:rPr>
          <w:rFonts w:cs="David"/>
          <w:sz w:val="18"/>
          <w:szCs w:val="18"/>
          <w:rtl/>
        </w:rPr>
        <w:t>ובין תחום השיפוט של ירושלים. השופטת שטרסברג</w:t>
      </w:r>
      <w:r w:rsidRPr="00BF75E8">
        <w:rPr>
          <w:rFonts w:cs="David"/>
          <w:position w:val="3"/>
          <w:sz w:val="18"/>
          <w:szCs w:val="18"/>
          <w:rtl/>
        </w:rPr>
        <w:t>-</w:t>
      </w:r>
      <w:r w:rsidRPr="00BF75E8">
        <w:rPr>
          <w:rFonts w:cs="David"/>
          <w:sz w:val="18"/>
          <w:szCs w:val="18"/>
          <w:rtl/>
        </w:rPr>
        <w:t xml:space="preserve">כהן קבעה כי "סוגיית ההתיישבות הישראלית הנה חלק מן הנושאים הנמצאים על שולחן הדיונים בין ישראל ואש"ף במסגרת הדיונים על הסכם הקבע. </w:t>
      </w:r>
      <w:r w:rsidRPr="00BF75E8">
        <w:rPr>
          <w:rFonts w:cs="David" w:hint="cs"/>
          <w:sz w:val="18"/>
          <w:szCs w:val="18"/>
          <w:rtl/>
        </w:rPr>
        <w:t>...</w:t>
      </w:r>
      <w:r w:rsidRPr="00BF75E8">
        <w:rPr>
          <w:rFonts w:cs="David"/>
          <w:sz w:val="18"/>
          <w:szCs w:val="18"/>
          <w:rtl/>
        </w:rPr>
        <w:t xml:space="preserve">אין בית משפט זה אמור להידרש לסוגיה זו בעצומם של המגעים המדיניים ולהתערב בעקיפין בשרטוט המפות. זוהי מלאכתה המובהקת של הממשלה לזרועותיה": </w:t>
      </w:r>
      <w:r w:rsidRPr="00BF75E8">
        <w:rPr>
          <w:rFonts w:cs="David"/>
          <w:b/>
          <w:bCs/>
          <w:sz w:val="18"/>
          <w:szCs w:val="18"/>
          <w:rtl/>
        </w:rPr>
        <w:t>שם</w:t>
      </w:r>
      <w:r w:rsidRPr="00BF75E8">
        <w:rPr>
          <w:rFonts w:cs="David"/>
          <w:sz w:val="18"/>
          <w:szCs w:val="18"/>
          <w:rtl/>
        </w:rPr>
        <w:t>, בעמ' 918. לביקורת כנגד גישה זו ראו</w:t>
      </w:r>
      <w:r w:rsidRPr="00BF75E8">
        <w:rPr>
          <w:rFonts w:cs="David" w:hint="cs"/>
          <w:sz w:val="18"/>
          <w:szCs w:val="18"/>
          <w:rtl/>
        </w:rPr>
        <w:t xml:space="preserve"> </w:t>
      </w:r>
      <w:r w:rsidRPr="00BF75E8">
        <w:rPr>
          <w:rFonts w:cs="David"/>
          <w:smallCaps/>
          <w:sz w:val="18"/>
          <w:szCs w:val="18"/>
        </w:rPr>
        <w:t>David Kretzmer, The Occupation of Justice</w:t>
      </w:r>
      <w:r w:rsidRPr="00BF75E8">
        <w:rPr>
          <w:rFonts w:cs="David"/>
          <w:sz w:val="18"/>
          <w:szCs w:val="18"/>
        </w:rPr>
        <w:t xml:space="preserve"> (2002) 187-198 </w:t>
      </w:r>
      <w:r w:rsidRPr="00BF75E8">
        <w:rPr>
          <w:rFonts w:cs="David"/>
          <w:sz w:val="18"/>
          <w:szCs w:val="18"/>
          <w:rtl/>
        </w:rPr>
        <w:t>. ראו בהקשר זה גם ר</w:t>
      </w:r>
      <w:r w:rsidRPr="00BF75E8">
        <w:rPr>
          <w:rFonts w:cs="David" w:hint="cs"/>
          <w:sz w:val="18"/>
          <w:szCs w:val="18"/>
          <w:rtl/>
        </w:rPr>
        <w:t>ובי</w:t>
      </w:r>
      <w:r w:rsidRPr="00BF75E8">
        <w:rPr>
          <w:rFonts w:cs="David"/>
          <w:sz w:val="18"/>
          <w:szCs w:val="18"/>
          <w:rtl/>
        </w:rPr>
        <w:t xml:space="preserve"> סייבל </w:t>
      </w:r>
      <w:r w:rsidRPr="00BF75E8">
        <w:rPr>
          <w:rFonts w:cs="David"/>
          <w:b/>
          <w:bCs/>
          <w:sz w:val="18"/>
          <w:szCs w:val="18"/>
          <w:rtl/>
        </w:rPr>
        <w:t>משפט בינלאומי</w:t>
      </w:r>
      <w:r w:rsidRPr="00BF75E8">
        <w:rPr>
          <w:rFonts w:cs="David"/>
          <w:sz w:val="18"/>
          <w:szCs w:val="18"/>
          <w:rtl/>
        </w:rPr>
        <w:t xml:space="preserve"> (תשס"ג) 4</w:t>
      </w:r>
      <w:r w:rsidRPr="00BF75E8">
        <w:rPr>
          <w:rFonts w:cs="David" w:hint="cs"/>
          <w:sz w:val="18"/>
          <w:szCs w:val="18"/>
          <w:rtl/>
        </w:rPr>
        <w:t>69</w:t>
      </w:r>
      <w:r w:rsidRPr="00BF75E8">
        <w:rPr>
          <w:rFonts w:cs="David"/>
          <w:sz w:val="18"/>
          <w:szCs w:val="18"/>
          <w:rtl/>
        </w:rPr>
        <w:t>-4</w:t>
      </w:r>
      <w:r w:rsidRPr="00BF75E8">
        <w:rPr>
          <w:rFonts w:cs="David" w:hint="cs"/>
          <w:sz w:val="18"/>
          <w:szCs w:val="18"/>
          <w:rtl/>
        </w:rPr>
        <w:t>73</w:t>
      </w:r>
      <w:r w:rsidRPr="00BF75E8">
        <w:rPr>
          <w:rFonts w:cs="David"/>
          <w:sz w:val="18"/>
          <w:szCs w:val="18"/>
          <w:rtl/>
        </w:rPr>
        <w:t>.</w:t>
      </w:r>
      <w:r w:rsidRPr="00BF75E8">
        <w:rPr>
          <w:rFonts w:cs="David" w:hint="cs"/>
          <w:sz w:val="18"/>
          <w:szCs w:val="18"/>
          <w:rtl/>
        </w:rPr>
        <w:t xml:space="preserve"> הנכונות של בית המשפט להתערב בהקשר זה מוגבלת למקרים בהם </w:t>
      </w:r>
      <w:r w:rsidRPr="00BF75E8">
        <w:rPr>
          <w:rFonts w:cs="David"/>
          <w:sz w:val="18"/>
          <w:szCs w:val="18"/>
          <w:rtl/>
        </w:rPr>
        <w:t>הועלו טענות שעניינן פגיעה בזכויות המוקנות לפרטים – הפקעת קרקעות בבעלות של פלסטינים לצורך הקמת יישוב יהודי בשטחים</w:t>
      </w:r>
      <w:r w:rsidRPr="00BF75E8">
        <w:rPr>
          <w:rFonts w:cs="David" w:hint="cs"/>
          <w:sz w:val="18"/>
          <w:szCs w:val="18"/>
          <w:rtl/>
        </w:rPr>
        <w:t xml:space="preserve">: </w:t>
      </w:r>
      <w:r w:rsidRPr="00BF75E8">
        <w:rPr>
          <w:rFonts w:cs="David"/>
          <w:sz w:val="18"/>
          <w:szCs w:val="18"/>
          <w:rtl/>
        </w:rPr>
        <w:t xml:space="preserve">בג"צ 390/79 </w:t>
      </w:r>
      <w:r w:rsidRPr="00BF75E8">
        <w:rPr>
          <w:rFonts w:cs="David"/>
          <w:b/>
          <w:bCs/>
          <w:sz w:val="18"/>
          <w:szCs w:val="18"/>
          <w:rtl/>
        </w:rPr>
        <w:t>דויקאת נ' ממשלת ישראל</w:t>
      </w:r>
      <w:r w:rsidRPr="00BF75E8">
        <w:rPr>
          <w:rFonts w:cs="David"/>
          <w:sz w:val="18"/>
          <w:szCs w:val="18"/>
          <w:rtl/>
        </w:rPr>
        <w:t>, פ"ד לד(1) 1</w:t>
      </w:r>
      <w:r w:rsidRPr="00BF75E8">
        <w:rPr>
          <w:rFonts w:cs="David" w:hint="cs"/>
          <w:sz w:val="18"/>
          <w:szCs w:val="18"/>
          <w:rtl/>
        </w:rPr>
        <w:t xml:space="preserve">; </w:t>
      </w:r>
      <w:r>
        <w:rPr>
          <w:rFonts w:cs="David" w:hint="cs"/>
          <w:sz w:val="18"/>
          <w:szCs w:val="18"/>
          <w:rtl/>
        </w:rPr>
        <w:t>..</w:t>
      </w:r>
      <w:r w:rsidRPr="00BF75E8">
        <w:rPr>
          <w:rFonts w:cs="David" w:hint="cs"/>
          <w:sz w:val="18"/>
          <w:szCs w:val="18"/>
          <w:rtl/>
        </w:rPr>
        <w:t>.</w:t>
      </w:r>
    </w:p>
  </w:footnote>
  <w:footnote w:id="41">
    <w:p w:rsidR="005366A8" w:rsidRPr="00BF75E8" w:rsidRDefault="005366A8" w:rsidP="005366A8">
      <w:pPr>
        <w:pStyle w:val="FootnoteText"/>
        <w:spacing w:after="60"/>
        <w:rPr>
          <w:rFonts w:cs="David"/>
          <w:sz w:val="18"/>
          <w:szCs w:val="18"/>
        </w:rPr>
      </w:pPr>
      <w:r w:rsidRPr="00BF75E8">
        <w:rPr>
          <w:rStyle w:val="FootnoteReference"/>
          <w:sz w:val="18"/>
          <w:szCs w:val="18"/>
        </w:rPr>
        <w:footnoteRef/>
      </w:r>
      <w:r w:rsidRPr="00BF75E8">
        <w:rPr>
          <w:rFonts w:cs="David"/>
          <w:sz w:val="18"/>
          <w:szCs w:val="18"/>
          <w:rtl/>
        </w:rPr>
        <w:t xml:space="preserve"> </w:t>
      </w:r>
      <w:r w:rsidRPr="00BF75E8">
        <w:rPr>
          <w:rFonts w:cs="David" w:hint="cs"/>
          <w:sz w:val="18"/>
          <w:szCs w:val="18"/>
          <w:rtl/>
        </w:rPr>
        <w:t xml:space="preserve">למשל, בג"ץ 2645/04 </w:t>
      </w:r>
      <w:r w:rsidRPr="00BF75E8">
        <w:rPr>
          <w:rFonts w:cs="David" w:hint="cs"/>
          <w:b/>
          <w:bCs/>
          <w:sz w:val="18"/>
          <w:szCs w:val="18"/>
          <w:rtl/>
        </w:rPr>
        <w:t>נאסר נ' ראש הממשלה</w:t>
      </w:r>
      <w:r w:rsidRPr="00BF75E8">
        <w:rPr>
          <w:rFonts w:cs="David" w:hint="cs"/>
          <w:sz w:val="18"/>
          <w:szCs w:val="18"/>
          <w:rtl/>
        </w:rPr>
        <w:t xml:space="preserve"> (טרם פורסם) (2007): "על פי אמות המידה שהתווה בית משפט זה, סמכותו של המפקד הצבאי להקים גדר הפרדה כוללת גם סמכות להקים גדר להגנה על חייהם וביטחונם של ישראלים המתגוררים בישובים ישראלים באזור יהודה והשומרון. זאת, אף שהישראלים הגרים באזור אינם בגדר "אנשים מוגנים" (</w:t>
      </w:r>
      <w:r w:rsidRPr="00BF75E8">
        <w:rPr>
          <w:rFonts w:cs="David"/>
          <w:sz w:val="18"/>
          <w:szCs w:val="18"/>
        </w:rPr>
        <w:t>protected persons</w:t>
      </w:r>
      <w:r w:rsidRPr="00BF75E8">
        <w:rPr>
          <w:rFonts w:cs="David" w:hint="cs"/>
          <w:sz w:val="18"/>
          <w:szCs w:val="18"/>
          <w:rtl/>
        </w:rPr>
        <w:t xml:space="preserve">), כמשמעות ביטוי זה בסעיף 4 לאמנת ג'נבה הרביעית"; בג"ץ 7957/04 </w:t>
      </w:r>
      <w:r w:rsidRPr="00BF75E8">
        <w:rPr>
          <w:rFonts w:cs="David" w:hint="cs"/>
          <w:b/>
          <w:bCs/>
          <w:sz w:val="18"/>
          <w:szCs w:val="18"/>
          <w:rtl/>
        </w:rPr>
        <w:t>מראעבה נ' ראש ממשלת ישראל</w:t>
      </w:r>
      <w:r w:rsidRPr="00BF75E8">
        <w:rPr>
          <w:rFonts w:cs="David" w:hint="cs"/>
          <w:sz w:val="18"/>
          <w:szCs w:val="18"/>
          <w:rtl/>
        </w:rPr>
        <w:t xml:space="preserve"> (טרם פורסם); בג"ץ 3680/05 </w:t>
      </w:r>
      <w:r w:rsidRPr="00BF75E8">
        <w:rPr>
          <w:rFonts w:cs="David" w:hint="cs"/>
          <w:b/>
          <w:bCs/>
          <w:sz w:val="18"/>
          <w:szCs w:val="18"/>
          <w:rtl/>
        </w:rPr>
        <w:t>ועד הישוב טנא נ' ראש ממשלת ישראל</w:t>
      </w:r>
      <w:r w:rsidRPr="00BF75E8">
        <w:rPr>
          <w:rFonts w:cs="David" w:hint="cs"/>
          <w:sz w:val="18"/>
          <w:szCs w:val="18"/>
          <w:rtl/>
        </w:rPr>
        <w:t xml:space="preserve"> (טרם פורסם); בג"ץ 1348/05 </w:t>
      </w:r>
      <w:r w:rsidRPr="00BF75E8">
        <w:rPr>
          <w:rFonts w:cs="David" w:hint="cs"/>
          <w:b/>
          <w:bCs/>
          <w:sz w:val="18"/>
          <w:szCs w:val="18"/>
          <w:rtl/>
        </w:rPr>
        <w:t>ראש עיריית סלפית נ' מדינת ישראל</w:t>
      </w:r>
      <w:r w:rsidRPr="00BF75E8">
        <w:rPr>
          <w:rFonts w:cs="David" w:hint="cs"/>
          <w:sz w:val="18"/>
          <w:szCs w:val="18"/>
          <w:rtl/>
        </w:rPr>
        <w:t xml:space="preserve"> (טרם פורסם).</w:t>
      </w:r>
    </w:p>
  </w:footnote>
  <w:footnote w:id="42">
    <w:p w:rsidR="005366A8" w:rsidRPr="00BF75E8" w:rsidRDefault="005366A8" w:rsidP="005366A8">
      <w:pPr>
        <w:pStyle w:val="FootnoteText"/>
        <w:spacing w:after="60"/>
        <w:rPr>
          <w:rFonts w:cs="David"/>
          <w:sz w:val="18"/>
          <w:szCs w:val="18"/>
          <w:rtl/>
        </w:rPr>
      </w:pPr>
      <w:r w:rsidRPr="00BF75E8">
        <w:rPr>
          <w:rStyle w:val="FootnoteReference"/>
          <w:sz w:val="18"/>
          <w:szCs w:val="18"/>
        </w:rPr>
        <w:footnoteRef/>
      </w:r>
      <w:r w:rsidRPr="00BF75E8">
        <w:rPr>
          <w:rFonts w:cs="David"/>
          <w:sz w:val="18"/>
          <w:szCs w:val="18"/>
          <w:rtl/>
        </w:rPr>
        <w:t xml:space="preserve"> </w:t>
      </w:r>
      <w:r w:rsidRPr="00BF75E8">
        <w:rPr>
          <w:rFonts w:cs="David" w:hint="cs"/>
          <w:sz w:val="18"/>
          <w:szCs w:val="18"/>
          <w:rtl/>
        </w:rPr>
        <w:t xml:space="preserve">ראו יואב דותן וברק מדינה, "חוקיות ההפרטה של אספקת שירותים ציבוריים", </w:t>
      </w:r>
      <w:r w:rsidRPr="00BF75E8">
        <w:rPr>
          <w:rFonts w:cs="David" w:hint="cs"/>
          <w:b/>
          <w:bCs/>
          <w:sz w:val="18"/>
          <w:szCs w:val="18"/>
          <w:rtl/>
        </w:rPr>
        <w:t xml:space="preserve">משפטים </w:t>
      </w:r>
      <w:r w:rsidRPr="00BF75E8">
        <w:rPr>
          <w:rFonts w:cs="David" w:hint="cs"/>
          <w:sz w:val="18"/>
          <w:szCs w:val="18"/>
          <w:rtl/>
        </w:rPr>
        <w:t>לז (תשס"ז) _.</w:t>
      </w:r>
      <w:r>
        <w:rPr>
          <w:rFonts w:cs="David" w:hint="cs"/>
          <w:sz w:val="18"/>
          <w:szCs w:val="18"/>
          <w:rtl/>
        </w:rPr>
        <w:t xml:space="preserve"> {* בינתיים הופיע חריג אחד: בית המשפט העליון פסל תיקון לחוק שהתיר את הפעלתו של בית סוהר פרטי}</w:t>
      </w:r>
    </w:p>
  </w:footnote>
  <w:footnote w:id="43">
    <w:p w:rsidR="005366A8" w:rsidRPr="00BF75E8" w:rsidRDefault="005366A8" w:rsidP="005366A8">
      <w:pPr>
        <w:spacing w:after="60"/>
        <w:ind w:firstLine="720"/>
        <w:rPr>
          <w:rFonts w:cs="David"/>
          <w:sz w:val="18"/>
          <w:szCs w:val="18"/>
          <w:rtl/>
        </w:rPr>
      </w:pPr>
      <w:r w:rsidRPr="00BF75E8">
        <w:rPr>
          <w:rStyle w:val="FootnoteReference"/>
          <w:sz w:val="18"/>
          <w:szCs w:val="18"/>
          <w:rtl/>
        </w:rPr>
        <w:footnoteRef/>
      </w:r>
      <w:r w:rsidRPr="00BF75E8">
        <w:rPr>
          <w:rFonts w:cs="David" w:hint="cs"/>
          <w:sz w:val="18"/>
          <w:szCs w:val="18"/>
          <w:rtl/>
        </w:rPr>
        <w:t xml:space="preserve"> למשל, </w:t>
      </w:r>
      <w:r w:rsidRPr="00BF75E8">
        <w:rPr>
          <w:rFonts w:cs="David"/>
          <w:sz w:val="18"/>
          <w:szCs w:val="18"/>
          <w:rtl/>
        </w:rPr>
        <w:t>פ</w:t>
      </w:r>
      <w:r w:rsidRPr="00BF75E8">
        <w:rPr>
          <w:rFonts w:cs="David" w:hint="cs"/>
          <w:sz w:val="18"/>
          <w:szCs w:val="18"/>
          <w:rtl/>
        </w:rPr>
        <w:t>רנסס</w:t>
      </w:r>
      <w:r w:rsidRPr="00BF75E8">
        <w:rPr>
          <w:rFonts w:cs="David"/>
          <w:sz w:val="18"/>
          <w:szCs w:val="18"/>
          <w:rtl/>
        </w:rPr>
        <w:t xml:space="preserve"> רדאי "על השוויון" </w:t>
      </w:r>
      <w:r w:rsidRPr="00BF75E8">
        <w:rPr>
          <w:rFonts w:cs="David"/>
          <w:b/>
          <w:bCs/>
          <w:sz w:val="18"/>
          <w:szCs w:val="18"/>
          <w:rtl/>
        </w:rPr>
        <w:t>משפטים</w:t>
      </w:r>
      <w:r w:rsidRPr="00BF75E8">
        <w:rPr>
          <w:rFonts w:cs="David"/>
          <w:sz w:val="18"/>
          <w:szCs w:val="18"/>
          <w:rtl/>
        </w:rPr>
        <w:t xml:space="preserve"> כד (תשנ"ד) 241, 266; כ</w:t>
      </w:r>
      <w:r w:rsidRPr="00BF75E8">
        <w:rPr>
          <w:rFonts w:cs="David" w:hint="cs"/>
          <w:sz w:val="18"/>
          <w:szCs w:val="18"/>
          <w:rtl/>
        </w:rPr>
        <w:t>רמל</w:t>
      </w:r>
      <w:r w:rsidRPr="00BF75E8">
        <w:rPr>
          <w:rFonts w:cs="David"/>
          <w:sz w:val="18"/>
          <w:szCs w:val="18"/>
          <w:rtl/>
        </w:rPr>
        <w:t xml:space="preserve"> שלו "צדק במשפחה והעיקרון של שוויון המינים" </w:t>
      </w:r>
      <w:r w:rsidRPr="00BF75E8">
        <w:rPr>
          <w:rFonts w:cs="David"/>
          <w:b/>
          <w:bCs/>
          <w:sz w:val="18"/>
          <w:szCs w:val="18"/>
          <w:rtl/>
        </w:rPr>
        <w:t>המשפט</w:t>
      </w:r>
      <w:r w:rsidRPr="00BF75E8">
        <w:rPr>
          <w:rFonts w:cs="David"/>
          <w:sz w:val="18"/>
          <w:szCs w:val="18"/>
          <w:rtl/>
        </w:rPr>
        <w:t xml:space="preserve"> ב (1994) 21</w:t>
      </w:r>
      <w:r w:rsidRPr="00BF75E8">
        <w:rPr>
          <w:rFonts w:cs="David" w:hint="cs"/>
          <w:sz w:val="18"/>
          <w:szCs w:val="18"/>
          <w:rtl/>
        </w:rPr>
        <w:t>.</w:t>
      </w:r>
    </w:p>
  </w:footnote>
  <w:footnote w:id="44">
    <w:p w:rsidR="005366A8" w:rsidRPr="00BF75E8" w:rsidRDefault="005366A8" w:rsidP="005366A8">
      <w:pPr>
        <w:spacing w:after="60"/>
        <w:ind w:firstLine="720"/>
        <w:rPr>
          <w:rFonts w:ascii="Arial" w:hAnsi="Arial" w:cs="David"/>
          <w:sz w:val="18"/>
          <w:szCs w:val="18"/>
          <w:rtl/>
        </w:rPr>
      </w:pPr>
      <w:r w:rsidRPr="00BF75E8">
        <w:rPr>
          <w:rStyle w:val="FootnoteReference"/>
          <w:rFonts w:ascii="Arial" w:hAnsi="Arial"/>
          <w:sz w:val="18"/>
          <w:szCs w:val="18"/>
          <w:rtl/>
        </w:rPr>
        <w:footnoteRef/>
      </w:r>
      <w:r w:rsidRPr="00BF75E8">
        <w:rPr>
          <w:rFonts w:ascii="Arial" w:hAnsi="Arial" w:cs="David" w:hint="cs"/>
          <w:sz w:val="18"/>
          <w:szCs w:val="18"/>
          <w:rtl/>
        </w:rPr>
        <w:t xml:space="preserve"> </w:t>
      </w:r>
      <w:r w:rsidRPr="00BF75E8">
        <w:rPr>
          <w:rFonts w:ascii="Arial" w:hAnsi="Arial" w:cs="David"/>
          <w:sz w:val="18"/>
          <w:szCs w:val="18"/>
          <w:rtl/>
        </w:rPr>
        <w:t xml:space="preserve">למשל, סעיף 16(1) להכרזה האוניברסאלית של האו"ם בדבר זכויות האדם, 1948; סעיף 23(2) לאמנה הבינלאומית על זכויות אזרחיות </w:t>
      </w:r>
      <w:r w:rsidRPr="00BF75E8">
        <w:rPr>
          <w:rFonts w:ascii="Arial" w:hAnsi="Arial" w:cs="David" w:hint="cs"/>
          <w:sz w:val="18"/>
          <w:szCs w:val="18"/>
          <w:rtl/>
        </w:rPr>
        <w:t>ומדיניות</w:t>
      </w:r>
      <w:r w:rsidRPr="00BF75E8">
        <w:rPr>
          <w:rFonts w:ascii="Arial" w:hAnsi="Arial" w:cs="David"/>
          <w:sz w:val="18"/>
          <w:szCs w:val="18"/>
          <w:rtl/>
        </w:rPr>
        <w:t>, 1966; וסעיף 5 לאמנה הבינלאומית בדבר חיסול ההפליה הגזעית לכל צורותיה, 1966. ראו בהקשר זה א</w:t>
      </w:r>
      <w:r w:rsidRPr="00BF75E8">
        <w:rPr>
          <w:rFonts w:ascii="Arial" w:hAnsi="Arial" w:cs="David" w:hint="cs"/>
          <w:sz w:val="18"/>
          <w:szCs w:val="18"/>
          <w:rtl/>
        </w:rPr>
        <w:t>מנון</w:t>
      </w:r>
      <w:r w:rsidRPr="00BF75E8">
        <w:rPr>
          <w:rFonts w:ascii="Arial" w:hAnsi="Arial" w:cs="David"/>
          <w:sz w:val="18"/>
          <w:szCs w:val="18"/>
          <w:rtl/>
        </w:rPr>
        <w:t xml:space="preserve"> רובינשטיין "הזכות לנישואין" </w:t>
      </w:r>
      <w:r w:rsidRPr="00BF75E8">
        <w:rPr>
          <w:rFonts w:ascii="Arial" w:hAnsi="Arial" w:cs="David"/>
          <w:b/>
          <w:bCs/>
          <w:sz w:val="18"/>
          <w:szCs w:val="18"/>
          <w:rtl/>
        </w:rPr>
        <w:t>עיוני משפט</w:t>
      </w:r>
      <w:r w:rsidRPr="00BF75E8">
        <w:rPr>
          <w:rFonts w:ascii="Arial" w:hAnsi="Arial" w:cs="David"/>
          <w:sz w:val="18"/>
          <w:szCs w:val="18"/>
          <w:rtl/>
        </w:rPr>
        <w:t xml:space="preserve"> ג (תשל"ג-תשל"ד) 433.</w:t>
      </w:r>
    </w:p>
  </w:footnote>
  <w:footnote w:id="45">
    <w:p w:rsidR="005366A8" w:rsidRPr="00BF75E8" w:rsidRDefault="005366A8" w:rsidP="005366A8">
      <w:pPr>
        <w:pStyle w:val="10"/>
        <w:spacing w:after="60" w:line="240" w:lineRule="auto"/>
        <w:ind w:left="0" w:right="0" w:firstLine="340"/>
        <w:rPr>
          <w:rFonts w:cs="David"/>
          <w:sz w:val="18"/>
          <w:szCs w:val="18"/>
        </w:rPr>
      </w:pPr>
      <w:r w:rsidRPr="00BF75E8">
        <w:rPr>
          <w:rFonts w:cs="David" w:hint="cs"/>
          <w:sz w:val="18"/>
          <w:szCs w:val="18"/>
          <w:rtl/>
        </w:rPr>
        <w:tab/>
      </w:r>
      <w:r w:rsidRPr="00BF75E8">
        <w:rPr>
          <w:rStyle w:val="FootnoteReference"/>
          <w:sz w:val="18"/>
          <w:szCs w:val="18"/>
          <w:rtl/>
        </w:rPr>
        <w:footnoteRef/>
      </w:r>
      <w:r w:rsidRPr="00BF75E8">
        <w:rPr>
          <w:rFonts w:cs="David" w:hint="cs"/>
          <w:sz w:val="18"/>
          <w:szCs w:val="18"/>
          <w:rtl/>
        </w:rPr>
        <w:t xml:space="preserve"> ראו </w:t>
      </w:r>
      <w:r w:rsidRPr="00BF75E8">
        <w:rPr>
          <w:rFonts w:cs="David"/>
          <w:sz w:val="18"/>
          <w:szCs w:val="18"/>
          <w:rtl/>
        </w:rPr>
        <w:t xml:space="preserve">בג"ץ 4058/95 </w:t>
      </w:r>
      <w:r w:rsidRPr="00BF75E8">
        <w:rPr>
          <w:rFonts w:cs="David"/>
          <w:b/>
          <w:bCs/>
          <w:sz w:val="18"/>
          <w:szCs w:val="18"/>
          <w:rtl/>
        </w:rPr>
        <w:t>בן מנשה נ' שר הדתות</w:t>
      </w:r>
      <w:r w:rsidRPr="00BF75E8">
        <w:rPr>
          <w:rFonts w:cs="David"/>
          <w:sz w:val="18"/>
          <w:szCs w:val="18"/>
          <w:rtl/>
        </w:rPr>
        <w:t>, פ"ד נא(3) 876, 879 (הנשיא ברק)</w:t>
      </w:r>
      <w:r w:rsidRPr="00BF75E8">
        <w:rPr>
          <w:rFonts w:cs="David" w:hint="cs"/>
          <w:sz w:val="18"/>
          <w:szCs w:val="18"/>
          <w:rtl/>
        </w:rPr>
        <w:t xml:space="preserve">: </w:t>
      </w:r>
      <w:r w:rsidRPr="00BF75E8">
        <w:rPr>
          <w:rFonts w:cs="David"/>
          <w:sz w:val="18"/>
          <w:szCs w:val="18"/>
          <w:rtl/>
        </w:rPr>
        <w:t>"שאלת הנהגתם של הנישואין האזרחיים... היא שאלה קשה וסבוכה. אין לגביה הסכמה לאומית [ולפיכך]... המוסד הראוי לטיפול ולהסדרת הנושא היא הכנסת ולא בית המשפט"</w:t>
      </w:r>
      <w:r w:rsidRPr="00BF75E8">
        <w:rPr>
          <w:rFonts w:cs="David" w:hint="cs"/>
          <w:sz w:val="18"/>
          <w:szCs w:val="18"/>
          <w:rtl/>
        </w:rPr>
        <w:t xml:space="preserve">; </w:t>
      </w:r>
      <w:r w:rsidRPr="00BF75E8">
        <w:rPr>
          <w:rFonts w:cs="David"/>
          <w:spacing w:val="-2"/>
          <w:sz w:val="18"/>
          <w:szCs w:val="18"/>
          <w:rtl/>
        </w:rPr>
        <w:t xml:space="preserve">בג"ץ 693/91 </w:t>
      </w:r>
      <w:r w:rsidRPr="00BF75E8">
        <w:rPr>
          <w:rFonts w:cs="David"/>
          <w:b/>
          <w:bCs/>
          <w:spacing w:val="-2"/>
          <w:sz w:val="18"/>
          <w:szCs w:val="18"/>
          <w:rtl/>
        </w:rPr>
        <w:t>אפרת נ' הממונה על מרשם האוכלוסין במשרד הפנים</w:t>
      </w:r>
      <w:r w:rsidRPr="00BF75E8">
        <w:rPr>
          <w:rFonts w:cs="David"/>
          <w:spacing w:val="-2"/>
          <w:sz w:val="18"/>
          <w:szCs w:val="18"/>
          <w:rtl/>
        </w:rPr>
        <w:t>, פ"ד מז(1) 749,</w:t>
      </w:r>
      <w:r w:rsidRPr="00BF75E8">
        <w:rPr>
          <w:rFonts w:cs="David"/>
          <w:sz w:val="18"/>
          <w:szCs w:val="18"/>
          <w:rtl/>
        </w:rPr>
        <w:t xml:space="preserve"> 78</w:t>
      </w:r>
      <w:r w:rsidRPr="00BF75E8">
        <w:rPr>
          <w:rFonts w:cs="David" w:hint="cs"/>
          <w:sz w:val="18"/>
          <w:szCs w:val="18"/>
          <w:rtl/>
        </w:rPr>
        <w:t>3</w:t>
      </w:r>
      <w:r w:rsidRPr="00BF75E8">
        <w:rPr>
          <w:rFonts w:cs="David"/>
          <w:sz w:val="18"/>
          <w:szCs w:val="18"/>
          <w:rtl/>
        </w:rPr>
        <w:t xml:space="preserve"> (השופט ברק)</w:t>
      </w:r>
      <w:r w:rsidRPr="00BF75E8">
        <w:rPr>
          <w:rFonts w:cs="David" w:hint="cs"/>
          <w:sz w:val="18"/>
          <w:szCs w:val="18"/>
          <w:rtl/>
        </w:rPr>
        <w:t xml:space="preserve">: </w:t>
      </w:r>
      <w:r w:rsidRPr="00BF75E8">
        <w:rPr>
          <w:rFonts w:cs="David"/>
          <w:spacing w:val="-2"/>
          <w:sz w:val="18"/>
          <w:szCs w:val="18"/>
          <w:rtl/>
        </w:rPr>
        <w:t>"אין לצפות מבית</w:t>
      </w:r>
      <w:r w:rsidRPr="00BF75E8">
        <w:rPr>
          <w:rFonts w:cs="David"/>
          <w:spacing w:val="-2"/>
          <w:position w:val="4"/>
          <w:sz w:val="18"/>
          <w:szCs w:val="18"/>
          <w:rtl/>
        </w:rPr>
        <w:t>-</w:t>
      </w:r>
      <w:r w:rsidRPr="00BF75E8">
        <w:rPr>
          <w:rFonts w:cs="David"/>
          <w:spacing w:val="-2"/>
          <w:sz w:val="18"/>
          <w:szCs w:val="18"/>
          <w:rtl/>
        </w:rPr>
        <w:t>המשפט...</w:t>
      </w:r>
      <w:r w:rsidRPr="00BF75E8">
        <w:rPr>
          <w:rFonts w:cs="David" w:hint="cs"/>
          <w:spacing w:val="-2"/>
          <w:sz w:val="18"/>
          <w:szCs w:val="18"/>
          <w:rtl/>
        </w:rPr>
        <w:t xml:space="preserve"> </w:t>
      </w:r>
      <w:r w:rsidRPr="00BF75E8">
        <w:rPr>
          <w:rFonts w:cs="David"/>
          <w:spacing w:val="-2"/>
          <w:sz w:val="18"/>
          <w:szCs w:val="18"/>
          <w:rtl/>
        </w:rPr>
        <w:t>כי יורה על קיומם של נישואין</w:t>
      </w:r>
      <w:r w:rsidRPr="00BF75E8">
        <w:rPr>
          <w:rFonts w:cs="David" w:hint="cs"/>
          <w:spacing w:val="-2"/>
          <w:sz w:val="18"/>
          <w:szCs w:val="18"/>
          <w:rtl/>
        </w:rPr>
        <w:t xml:space="preserve"> </w:t>
      </w:r>
      <w:r w:rsidRPr="00BF75E8">
        <w:rPr>
          <w:rFonts w:cs="David"/>
          <w:spacing w:val="-2"/>
          <w:sz w:val="18"/>
          <w:szCs w:val="18"/>
          <w:rtl/>
        </w:rPr>
        <w:t>אזרחיים"</w:t>
      </w:r>
      <w:r w:rsidRPr="00BF75E8">
        <w:rPr>
          <w:rFonts w:cs="David" w:hint="cs"/>
          <w:spacing w:val="-2"/>
          <w:sz w:val="18"/>
          <w:szCs w:val="18"/>
          <w:rtl/>
        </w:rPr>
        <w:t>.</w:t>
      </w:r>
    </w:p>
  </w:footnote>
  <w:footnote w:id="46">
    <w:p w:rsidR="005366A8" w:rsidRPr="00BF75E8" w:rsidRDefault="005366A8" w:rsidP="005366A8">
      <w:pPr>
        <w:pStyle w:val="FootnoteText"/>
        <w:spacing w:after="60"/>
        <w:rPr>
          <w:rFonts w:cs="David"/>
          <w:sz w:val="18"/>
          <w:szCs w:val="18"/>
          <w:rtl/>
        </w:rPr>
      </w:pPr>
      <w:r w:rsidRPr="00BF75E8">
        <w:rPr>
          <w:rStyle w:val="FootnoteReference"/>
          <w:sz w:val="18"/>
          <w:szCs w:val="18"/>
        </w:rPr>
        <w:footnoteRef/>
      </w:r>
      <w:r w:rsidRPr="00BF75E8">
        <w:rPr>
          <w:rFonts w:cs="David"/>
          <w:sz w:val="18"/>
          <w:szCs w:val="18"/>
          <w:rtl/>
        </w:rPr>
        <w:t xml:space="preserve"> </w:t>
      </w:r>
      <w:r w:rsidRPr="00BF75E8">
        <w:rPr>
          <w:rFonts w:cs="David" w:hint="cs"/>
          <w:sz w:val="18"/>
          <w:szCs w:val="18"/>
          <w:rtl/>
        </w:rPr>
        <w:t xml:space="preserve">פסק הדין העיקרי בהקשר זה הוא </w:t>
      </w:r>
      <w:r w:rsidRPr="00BF75E8">
        <w:rPr>
          <w:rFonts w:cs="David"/>
          <w:sz w:val="18"/>
          <w:szCs w:val="18"/>
          <w:rtl/>
        </w:rPr>
        <w:t xml:space="preserve">א"ב 11280/02 </w:t>
      </w:r>
      <w:r w:rsidRPr="00BF75E8">
        <w:rPr>
          <w:rFonts w:cs="David"/>
          <w:b/>
          <w:bCs/>
          <w:sz w:val="18"/>
          <w:szCs w:val="18"/>
          <w:rtl/>
        </w:rPr>
        <w:t>ועדת הבחירות המרכזית לכנסת השש-עשרה נ' טיבי</w:t>
      </w:r>
      <w:r w:rsidRPr="00BF75E8">
        <w:rPr>
          <w:rFonts w:cs="David"/>
          <w:sz w:val="18"/>
          <w:szCs w:val="18"/>
          <w:rtl/>
        </w:rPr>
        <w:t xml:space="preserve">, פ"ד </w:t>
      </w:r>
      <w:r w:rsidRPr="00BF75E8">
        <w:rPr>
          <w:rFonts w:cs="David" w:hint="cs"/>
          <w:sz w:val="18"/>
          <w:szCs w:val="18"/>
          <w:rtl/>
        </w:rPr>
        <w:t>נז(4) 1. אגב, פוזנר מבקר את ברק על-כך שפסק כי אין לאפשר למפלגה אנטי-דמוקרטית להשתתף בבחירות, ואף טוען כי ניתן לייחס זאת לרקע האישי של ברק, כניצול שואה. פוזנר טועה כאן טעות כפולה: ראשית, המדיניות של שלילת הזכות להיבחר נקבעה כידוע על-ידי הכנסת (בסעיף 7א לחוק-יסוד: הכנסת), ולא על-ידי ברק; ושנית, בפסיקתו הביא ברק דווקא לצמצום ניכר של האפשרות לשלול מרשימה או ממועמד את הזכות להשתתף בבחירות</w:t>
      </w:r>
      <w:r>
        <w:rPr>
          <w:rFonts w:cs="David" w:hint="cs"/>
          <w:b/>
          <w:sz w:val="18"/>
          <w:szCs w:val="18"/>
          <w:rtl/>
        </w:rPr>
        <w:t xml:space="preserve"> [...]</w:t>
      </w:r>
      <w:r w:rsidRPr="00BF75E8">
        <w:rPr>
          <w:rFonts w:cs="David" w:hint="cs"/>
          <w:b/>
          <w:sz w:val="18"/>
          <w:szCs w:val="18"/>
          <w:rtl/>
        </w:rPr>
        <w:t>.</w:t>
      </w:r>
    </w:p>
  </w:footnote>
  <w:footnote w:id="47">
    <w:p w:rsidR="005366A8" w:rsidRPr="00BF75E8" w:rsidRDefault="005366A8" w:rsidP="005366A8">
      <w:pPr>
        <w:pStyle w:val="10"/>
        <w:spacing w:after="60" w:line="240" w:lineRule="auto"/>
        <w:ind w:left="0" w:right="0" w:firstLine="340"/>
        <w:rPr>
          <w:rFonts w:cs="David"/>
          <w:sz w:val="18"/>
          <w:szCs w:val="18"/>
          <w:rtl/>
        </w:rPr>
      </w:pPr>
      <w:r w:rsidRPr="00BF75E8">
        <w:rPr>
          <w:rFonts w:cs="David" w:hint="cs"/>
          <w:sz w:val="18"/>
          <w:szCs w:val="18"/>
          <w:rtl/>
        </w:rPr>
        <w:tab/>
      </w:r>
      <w:r w:rsidRPr="00BF75E8">
        <w:rPr>
          <w:rStyle w:val="FootnoteReference"/>
          <w:sz w:val="18"/>
          <w:szCs w:val="18"/>
          <w:rtl/>
        </w:rPr>
        <w:footnoteRef/>
      </w:r>
      <w:r w:rsidRPr="00BF75E8">
        <w:rPr>
          <w:rFonts w:cs="David" w:hint="cs"/>
          <w:sz w:val="18"/>
          <w:szCs w:val="18"/>
          <w:rtl/>
        </w:rPr>
        <w:t xml:space="preserve">  ראו </w:t>
      </w:r>
      <w:r w:rsidRPr="00BF75E8">
        <w:rPr>
          <w:rFonts w:cs="David"/>
          <w:sz w:val="18"/>
          <w:szCs w:val="18"/>
          <w:rtl/>
        </w:rPr>
        <w:t>י</w:t>
      </w:r>
      <w:r w:rsidRPr="00BF75E8">
        <w:rPr>
          <w:rFonts w:cs="David" w:hint="cs"/>
          <w:sz w:val="18"/>
          <w:szCs w:val="18"/>
          <w:rtl/>
        </w:rPr>
        <w:t>ואב</w:t>
      </w:r>
      <w:r w:rsidRPr="00BF75E8">
        <w:rPr>
          <w:rFonts w:cs="David"/>
          <w:sz w:val="18"/>
          <w:szCs w:val="18"/>
          <w:rtl/>
        </w:rPr>
        <w:t xml:space="preserve"> דותן</w:t>
      </w:r>
      <w:r w:rsidRPr="00BF75E8">
        <w:rPr>
          <w:rFonts w:cs="David" w:hint="cs"/>
          <w:sz w:val="18"/>
          <w:szCs w:val="18"/>
          <w:rtl/>
        </w:rPr>
        <w:t>,</w:t>
      </w:r>
      <w:r w:rsidRPr="00BF75E8">
        <w:rPr>
          <w:rFonts w:cs="David"/>
          <w:sz w:val="18"/>
          <w:szCs w:val="18"/>
          <w:rtl/>
        </w:rPr>
        <w:t xml:space="preserve"> "'קדם-בג"ץ' ודילמות חוקתיות לגבי תפקידה של פרקליטות המדינה במסגרת ההתדיינות בבג"ץ" </w:t>
      </w:r>
      <w:r w:rsidRPr="00BF75E8">
        <w:rPr>
          <w:rFonts w:cs="David"/>
          <w:b/>
          <w:bCs/>
          <w:sz w:val="18"/>
          <w:szCs w:val="18"/>
          <w:rtl/>
        </w:rPr>
        <w:t>משפט וממשל</w:t>
      </w:r>
      <w:r w:rsidRPr="00BF75E8">
        <w:rPr>
          <w:rFonts w:cs="David"/>
          <w:sz w:val="18"/>
          <w:szCs w:val="18"/>
          <w:rtl/>
        </w:rPr>
        <w:t xml:space="preserve"> ז (תשס"ד)</w:t>
      </w:r>
      <w:r w:rsidRPr="00BF75E8">
        <w:rPr>
          <w:rFonts w:cs="David" w:hint="cs"/>
          <w:sz w:val="18"/>
          <w:szCs w:val="18"/>
          <w:rtl/>
        </w:rPr>
        <w:t xml:space="preserve"> </w:t>
      </w:r>
      <w:r>
        <w:rPr>
          <w:rFonts w:cs="David" w:hint="cs"/>
          <w:sz w:val="18"/>
          <w:szCs w:val="18"/>
          <w:rtl/>
        </w:rPr>
        <w:t>...</w:t>
      </w:r>
    </w:p>
  </w:footnote>
  <w:footnote w:id="48">
    <w:p w:rsidR="005366A8" w:rsidRPr="00BF75E8" w:rsidRDefault="005366A8" w:rsidP="005366A8">
      <w:pPr>
        <w:pStyle w:val="FootnoteText"/>
        <w:spacing w:after="60"/>
        <w:rPr>
          <w:rFonts w:cs="David"/>
          <w:sz w:val="18"/>
          <w:szCs w:val="18"/>
        </w:rPr>
      </w:pPr>
      <w:r w:rsidRPr="00BF75E8">
        <w:rPr>
          <w:rStyle w:val="FootnoteReference"/>
          <w:sz w:val="18"/>
          <w:szCs w:val="18"/>
        </w:rPr>
        <w:footnoteRef/>
      </w:r>
      <w:r w:rsidRPr="00BF75E8">
        <w:rPr>
          <w:rFonts w:cs="David"/>
          <w:sz w:val="18"/>
          <w:szCs w:val="18"/>
          <w:rtl/>
        </w:rPr>
        <w:t xml:space="preserve"> </w:t>
      </w:r>
      <w:r w:rsidRPr="00BF75E8">
        <w:rPr>
          <w:rFonts w:cs="David" w:hint="cs"/>
          <w:sz w:val="18"/>
          <w:szCs w:val="18"/>
          <w:rtl/>
        </w:rPr>
        <w:t xml:space="preserve">ראו, למשל, </w:t>
      </w:r>
      <w:r w:rsidRPr="00BF75E8">
        <w:rPr>
          <w:rFonts w:cs="David"/>
          <w:spacing w:val="4"/>
          <w:sz w:val="18"/>
          <w:szCs w:val="18"/>
          <w:rtl/>
        </w:rPr>
        <w:t>בג"ץ</w:t>
      </w:r>
      <w:r w:rsidRPr="00BF75E8">
        <w:rPr>
          <w:rFonts w:cs="David"/>
          <w:spacing w:val="2"/>
          <w:sz w:val="18"/>
          <w:szCs w:val="18"/>
          <w:rtl/>
        </w:rPr>
        <w:t xml:space="preserve"> 5167/00 </w:t>
      </w:r>
      <w:r w:rsidRPr="00BF75E8">
        <w:rPr>
          <w:rFonts w:cs="David"/>
          <w:b/>
          <w:bCs/>
          <w:spacing w:val="2"/>
          <w:sz w:val="18"/>
          <w:szCs w:val="18"/>
          <w:rtl/>
        </w:rPr>
        <w:t>וייס נ' ראש הממשלה</w:t>
      </w:r>
      <w:r w:rsidRPr="00BF75E8">
        <w:rPr>
          <w:rFonts w:cs="David"/>
          <w:spacing w:val="2"/>
          <w:sz w:val="18"/>
          <w:szCs w:val="18"/>
          <w:rtl/>
        </w:rPr>
        <w:t xml:space="preserve">, </w:t>
      </w:r>
      <w:r w:rsidRPr="00BF75E8">
        <w:rPr>
          <w:rFonts w:cs="David"/>
          <w:spacing w:val="4"/>
          <w:sz w:val="18"/>
          <w:szCs w:val="18"/>
          <w:rtl/>
        </w:rPr>
        <w:t>פ"ד נה(2)</w:t>
      </w:r>
      <w:r w:rsidRPr="00BF75E8">
        <w:rPr>
          <w:rFonts w:cs="David"/>
          <w:spacing w:val="2"/>
          <w:sz w:val="18"/>
          <w:szCs w:val="18"/>
          <w:rtl/>
        </w:rPr>
        <w:t xml:space="preserve"> 455</w:t>
      </w:r>
      <w:r w:rsidRPr="00BF75E8">
        <w:rPr>
          <w:rFonts w:cs="David" w:hint="cs"/>
          <w:spacing w:val="2"/>
          <w:sz w:val="18"/>
          <w:szCs w:val="18"/>
          <w:rtl/>
        </w:rPr>
        <w:t>.</w:t>
      </w:r>
      <w:r w:rsidRPr="00BF75E8">
        <w:rPr>
          <w:rFonts w:cs="David" w:hint="cs"/>
          <w:sz w:val="18"/>
          <w:szCs w:val="18"/>
          <w:rtl/>
        </w:rPr>
        <w:t xml:space="preserve"> להערכה דומה ראו </w:t>
      </w:r>
      <w:r w:rsidRPr="00BF75E8">
        <w:rPr>
          <w:rFonts w:cs="David"/>
          <w:sz w:val="18"/>
          <w:szCs w:val="18"/>
          <w:rtl/>
        </w:rPr>
        <w:t>מ</w:t>
      </w:r>
      <w:r w:rsidRPr="00BF75E8">
        <w:rPr>
          <w:rFonts w:cs="David" w:hint="cs"/>
          <w:sz w:val="18"/>
          <w:szCs w:val="18"/>
          <w:rtl/>
        </w:rPr>
        <w:t>רדכי</w:t>
      </w:r>
      <w:r w:rsidRPr="00BF75E8">
        <w:rPr>
          <w:rFonts w:cs="David"/>
          <w:sz w:val="18"/>
          <w:szCs w:val="18"/>
          <w:rtl/>
        </w:rPr>
        <w:t xml:space="preserve"> קרמניצר "בג"ץ והתפיסה הרחבה של תפקידו: כתב הגנה" </w:t>
      </w:r>
      <w:r w:rsidRPr="00BF75E8">
        <w:rPr>
          <w:rFonts w:cs="David"/>
          <w:b/>
          <w:bCs/>
          <w:sz w:val="18"/>
          <w:szCs w:val="18"/>
          <w:rtl/>
        </w:rPr>
        <w:t>אקטיביזם שיפוטי: בעד ונגד</w:t>
      </w:r>
      <w:r w:rsidRPr="00BF75E8">
        <w:rPr>
          <w:rFonts w:cs="David"/>
          <w:sz w:val="18"/>
          <w:szCs w:val="18"/>
          <w:rtl/>
        </w:rPr>
        <w:t xml:space="preserve"> (תש"ס) 165</w:t>
      </w:r>
      <w:r w:rsidRPr="00BF75E8">
        <w:rPr>
          <w:rFonts w:cs="David" w:hint="cs"/>
          <w:sz w:val="18"/>
          <w:szCs w:val="18"/>
          <w:rtl/>
        </w:rPr>
        <w:t>, 190-189.</w:t>
      </w:r>
    </w:p>
  </w:footnote>
  <w:footnote w:id="49">
    <w:p w:rsidR="005366A8" w:rsidRPr="00BF75E8" w:rsidRDefault="005366A8" w:rsidP="005366A8">
      <w:pPr>
        <w:pStyle w:val="FootnoteText"/>
        <w:spacing w:after="60"/>
        <w:rPr>
          <w:rFonts w:cs="David"/>
          <w:sz w:val="18"/>
          <w:szCs w:val="18"/>
          <w:rtl/>
        </w:rPr>
      </w:pPr>
      <w:r w:rsidRPr="00BF75E8">
        <w:rPr>
          <w:rStyle w:val="FootnoteReference"/>
          <w:sz w:val="18"/>
          <w:szCs w:val="18"/>
        </w:rPr>
        <w:footnoteRef/>
      </w:r>
      <w:r w:rsidRPr="00BF75E8">
        <w:rPr>
          <w:rFonts w:cs="David"/>
          <w:sz w:val="18"/>
          <w:szCs w:val="18"/>
          <w:rtl/>
        </w:rPr>
        <w:t xml:space="preserve"> </w:t>
      </w:r>
      <w:r w:rsidRPr="00BF75E8">
        <w:rPr>
          <w:rFonts w:cs="David" w:hint="cs"/>
          <w:sz w:val="18"/>
          <w:szCs w:val="18"/>
          <w:rtl/>
        </w:rPr>
        <w:t xml:space="preserve">בג"צ 2056/04 </w:t>
      </w:r>
      <w:r w:rsidRPr="00BF75E8">
        <w:rPr>
          <w:rFonts w:cs="David" w:hint="cs"/>
          <w:b/>
          <w:bCs/>
          <w:sz w:val="18"/>
          <w:szCs w:val="18"/>
          <w:rtl/>
        </w:rPr>
        <w:t>מועצת הכפר בית סוריק נ' ממשלת ישראל</w:t>
      </w:r>
      <w:r w:rsidRPr="00BF75E8">
        <w:rPr>
          <w:rFonts w:cs="David" w:hint="cs"/>
          <w:sz w:val="18"/>
          <w:szCs w:val="18"/>
          <w:rtl/>
        </w:rPr>
        <w:t>, פ"ד _.</w:t>
      </w:r>
    </w:p>
  </w:footnote>
  <w:footnote w:id="50">
    <w:p w:rsidR="005366A8" w:rsidRPr="00CA4835" w:rsidRDefault="005366A8" w:rsidP="005366A8">
      <w:pPr>
        <w:pStyle w:val="FootnoteText"/>
        <w:spacing w:after="60"/>
        <w:rPr>
          <w:sz w:val="18"/>
          <w:szCs w:val="18"/>
        </w:rPr>
      </w:pPr>
      <w:r w:rsidRPr="00CA4835">
        <w:rPr>
          <w:rStyle w:val="FootnoteReference"/>
          <w:sz w:val="18"/>
          <w:szCs w:val="18"/>
        </w:rPr>
        <w:footnoteRef/>
      </w:r>
      <w:r w:rsidRPr="00CA4835">
        <w:rPr>
          <w:sz w:val="18"/>
          <w:szCs w:val="18"/>
          <w:rtl/>
        </w:rPr>
        <w:t xml:space="preserve"> הקטע שלהלן וזה שלאחריו מבוססים על פרק 10 בספרם של רובינשטיין ומדינה.</w:t>
      </w:r>
    </w:p>
  </w:footnote>
  <w:footnote w:id="51">
    <w:p w:rsidR="005366A8" w:rsidRPr="00CA4835" w:rsidRDefault="005366A8" w:rsidP="005366A8">
      <w:pPr>
        <w:pStyle w:val="FootnoteText"/>
        <w:spacing w:after="60"/>
        <w:rPr>
          <w:sz w:val="18"/>
          <w:szCs w:val="18"/>
          <w:rtl/>
        </w:rPr>
      </w:pPr>
      <w:r w:rsidRPr="00CA4835">
        <w:rPr>
          <w:rStyle w:val="FootnoteReference"/>
          <w:sz w:val="18"/>
          <w:szCs w:val="18"/>
        </w:rPr>
        <w:footnoteRef/>
      </w:r>
      <w:r w:rsidRPr="00CA4835">
        <w:rPr>
          <w:sz w:val="18"/>
          <w:szCs w:val="18"/>
          <w:rtl/>
        </w:rPr>
        <w:t xml:space="preserve"> עניין </w:t>
      </w:r>
      <w:r w:rsidRPr="00CA4835">
        <w:rPr>
          <w:b/>
          <w:bCs/>
          <w:sz w:val="18"/>
          <w:szCs w:val="18"/>
          <w:rtl/>
        </w:rPr>
        <w:t>נמרודי</w:t>
      </w:r>
      <w:r w:rsidRPr="00CA4835">
        <w:rPr>
          <w:sz w:val="18"/>
          <w:szCs w:val="18"/>
          <w:rtl/>
        </w:rPr>
        <w:t xml:space="preserve">, בעמ' 157 (השופט ברק). ראו גם עניין </w:t>
      </w:r>
      <w:r w:rsidRPr="00CA4835">
        <w:rPr>
          <w:b/>
          <w:bCs/>
          <w:sz w:val="18"/>
          <w:szCs w:val="18"/>
          <w:rtl/>
        </w:rPr>
        <w:t>ליצמן</w:t>
      </w:r>
      <w:r w:rsidRPr="00CA4835">
        <w:rPr>
          <w:sz w:val="18"/>
          <w:szCs w:val="18"/>
          <w:rtl/>
        </w:rPr>
        <w:t xml:space="preserve">, לעיל, סעיף 18 לפסק הדין של הנשיא ברק: </w:t>
      </w:r>
      <w:r w:rsidRPr="00226DEA">
        <w:rPr>
          <w:sz w:val="18"/>
          <w:szCs w:val="18"/>
          <w:highlight w:val="yellow"/>
          <w:rtl/>
        </w:rPr>
        <w:t>"ההוראות בתקנון הכנסת באשר להליכי החקיקה מחייבות את הכנסת. אמת, הכנסת יכולה, במגבלות מסוימות, לשנות את הוראות התקנון. כל עוד לא עשתה כן, היא חייבת לכבדן. ... חוק המתקבל תוך הפרת ערכי היסוד המונחים ביסוד הוראות בתקנונה של הכנסת הוא חוק שתוקפו נפגם". לפיכך נקבע שם כי יש לשלול תוקפו של חוק אם הוא "נתקבל בלא שנערכו הקריאות הנדרשות או שנתקיימו הקריאות הנדרשות אך לא הושג בהן הרוב הדרוש"</w:t>
      </w:r>
      <w:r w:rsidRPr="00CA4835">
        <w:rPr>
          <w:sz w:val="18"/>
          <w:szCs w:val="18"/>
          <w:rtl/>
        </w:rPr>
        <w:t xml:space="preserve">. </w:t>
      </w:r>
    </w:p>
  </w:footnote>
  <w:footnote w:id="52">
    <w:p w:rsidR="005366A8" w:rsidRPr="00CA4835" w:rsidRDefault="005366A8" w:rsidP="005366A8">
      <w:pPr>
        <w:pStyle w:val="FootnoteText"/>
        <w:spacing w:after="60"/>
        <w:rPr>
          <w:sz w:val="18"/>
          <w:szCs w:val="18"/>
          <w:rtl/>
        </w:rPr>
      </w:pPr>
      <w:r w:rsidRPr="00CA4835">
        <w:rPr>
          <w:rStyle w:val="FootnoteReference"/>
          <w:sz w:val="18"/>
          <w:szCs w:val="18"/>
        </w:rPr>
        <w:footnoteRef/>
      </w:r>
      <w:r w:rsidRPr="00CA4835">
        <w:rPr>
          <w:sz w:val="18"/>
          <w:szCs w:val="18"/>
          <w:rtl/>
        </w:rPr>
        <w:t xml:space="preserve"> בג"ץ 4885/03 </w:t>
      </w:r>
      <w:r w:rsidRPr="00CA4835">
        <w:rPr>
          <w:b/>
          <w:bCs/>
          <w:sz w:val="18"/>
          <w:szCs w:val="18"/>
          <w:rtl/>
        </w:rPr>
        <w:t>ארגון מגדלי העופות בישראל אגודה חקלאית שיתופית בע"מ נ' ממשלת ישראל</w:t>
      </w:r>
      <w:r w:rsidRPr="00CA4835">
        <w:rPr>
          <w:sz w:val="18"/>
          <w:szCs w:val="18"/>
          <w:rtl/>
        </w:rPr>
        <w:t>, סעיפים 24-18 לפסק הדין של השופטת ביניש.</w:t>
      </w:r>
    </w:p>
  </w:footnote>
  <w:footnote w:id="53">
    <w:p w:rsidR="005366A8" w:rsidRPr="00CA4835" w:rsidRDefault="005366A8" w:rsidP="005366A8">
      <w:pPr>
        <w:pStyle w:val="a8"/>
        <w:tabs>
          <w:tab w:val="left" w:pos="567"/>
        </w:tabs>
        <w:spacing w:after="60" w:line="240" w:lineRule="auto"/>
        <w:ind w:firstLine="720"/>
        <w:rPr>
          <w:rFonts w:ascii="Times New Roman" w:hAnsi="Times New Roman" w:cs="Times New Roman"/>
          <w:sz w:val="18"/>
          <w:szCs w:val="18"/>
          <w:rtl/>
        </w:rPr>
      </w:pPr>
      <w:r w:rsidRPr="00CA4835">
        <w:rPr>
          <w:rStyle w:val="FootnoteReference"/>
          <w:rFonts w:ascii="Times New Roman" w:hAnsi="Times New Roman" w:cs="Times New Roman"/>
          <w:sz w:val="18"/>
          <w:szCs w:val="18"/>
        </w:rPr>
        <w:footnoteRef/>
      </w:r>
      <w:r w:rsidRPr="00CA4835">
        <w:rPr>
          <w:rFonts w:ascii="Times New Roman" w:hAnsi="Times New Roman" w:cs="Times New Roman"/>
          <w:sz w:val="18"/>
          <w:szCs w:val="18"/>
          <w:rtl/>
        </w:rPr>
        <w:t xml:space="preserve"> </w:t>
      </w:r>
      <w:r w:rsidRPr="00CA4835">
        <w:rPr>
          <w:rFonts w:ascii="Times New Roman" w:hAnsi="Times New Roman" w:cs="Times New Roman"/>
          <w:b/>
          <w:bCs/>
          <w:sz w:val="18"/>
          <w:szCs w:val="18"/>
          <w:rtl/>
        </w:rPr>
        <w:t>שם</w:t>
      </w:r>
      <w:r w:rsidRPr="00CA4835">
        <w:rPr>
          <w:rFonts w:ascii="Times New Roman" w:hAnsi="Times New Roman" w:cs="Times New Roman"/>
          <w:sz w:val="18"/>
          <w:szCs w:val="18"/>
          <w:rtl/>
        </w:rPr>
        <w:t xml:space="preserve">, סעיף 22 לפסק הדין של השופטת ביניש. ראו גם </w:t>
      </w:r>
      <w:r w:rsidRPr="00CA4835">
        <w:rPr>
          <w:rFonts w:ascii="Times New Roman" w:hAnsi="Times New Roman" w:cs="Times New Roman"/>
          <w:b/>
          <w:bCs/>
          <w:sz w:val="18"/>
          <w:szCs w:val="18"/>
          <w:rtl/>
        </w:rPr>
        <w:t>שם</w:t>
      </w:r>
      <w:r w:rsidRPr="00CA4835">
        <w:rPr>
          <w:rFonts w:ascii="Times New Roman" w:hAnsi="Times New Roman" w:cs="Times New Roman"/>
          <w:sz w:val="18"/>
          <w:szCs w:val="18"/>
          <w:rtl/>
        </w:rPr>
        <w:t>, סעיף 23:</w:t>
      </w:r>
      <w:r w:rsidRPr="00CA4835">
        <w:rPr>
          <w:rFonts w:ascii="Times New Roman" w:hAnsi="Times New Roman" w:cs="Times New Roman"/>
          <w:b/>
          <w:bCs/>
          <w:sz w:val="18"/>
          <w:szCs w:val="18"/>
          <w:rtl/>
        </w:rPr>
        <w:t xml:space="preserve"> </w:t>
      </w:r>
      <w:r w:rsidRPr="00226DEA">
        <w:rPr>
          <w:rFonts w:ascii="Times New Roman" w:hAnsi="Times New Roman" w:cs="Times New Roman"/>
          <w:sz w:val="18"/>
          <w:szCs w:val="18"/>
          <w:highlight w:val="yellow"/>
          <w:rtl/>
        </w:rPr>
        <w:t>"טול למשל מקרה קיצוני בו יושב ראש הכנסת, המעוניין בחקיקתו של חוק מסוים, מרחיק שלא כדין מאולם המליאה את חברי הכנסת המתנגדים להצעת החוק על מנת להבטיח 'רוב' באחת הקריאות. ברי כי הליך זה הוא פגום במידה שתחייב את התערבותו של בית המשפט".</w:t>
      </w:r>
    </w:p>
  </w:footnote>
  <w:footnote w:id="54">
    <w:p w:rsidR="005366A8" w:rsidRPr="00CA4835" w:rsidRDefault="005366A8" w:rsidP="005366A8">
      <w:pPr>
        <w:pStyle w:val="FootnoteText"/>
        <w:spacing w:after="60"/>
        <w:rPr>
          <w:sz w:val="18"/>
          <w:szCs w:val="18"/>
          <w:rtl/>
        </w:rPr>
      </w:pPr>
      <w:r w:rsidRPr="00CA4835">
        <w:rPr>
          <w:rStyle w:val="FootnoteReference"/>
          <w:sz w:val="18"/>
          <w:szCs w:val="18"/>
        </w:rPr>
        <w:footnoteRef/>
      </w:r>
      <w:r w:rsidRPr="00CA4835">
        <w:rPr>
          <w:sz w:val="18"/>
          <w:szCs w:val="18"/>
          <w:rtl/>
        </w:rPr>
        <w:t xml:space="preserve"> ראו עניין </w:t>
      </w:r>
      <w:r w:rsidRPr="00CA4835">
        <w:rPr>
          <w:b/>
          <w:bCs/>
          <w:sz w:val="18"/>
          <w:szCs w:val="18"/>
          <w:rtl/>
        </w:rPr>
        <w:t>ליצמן</w:t>
      </w:r>
      <w:r w:rsidRPr="00CA4835">
        <w:rPr>
          <w:sz w:val="18"/>
          <w:szCs w:val="18"/>
          <w:rtl/>
        </w:rPr>
        <w:t xml:space="preserve">, שם נקבע כי </w:t>
      </w:r>
      <w:r w:rsidRPr="00226DEA">
        <w:rPr>
          <w:sz w:val="18"/>
          <w:szCs w:val="18"/>
          <w:highlight w:val="yellow"/>
          <w:rtl/>
        </w:rPr>
        <w:t>אם הפגם בהליכי ההצבעה לא השפיע על תוצאות ההצבעה, אין מקום להכריז על בטלות החוק: "התרופה המידתית במצב דברים זה אינה בפגיעה בתוקפו של החוק, אלא בנקיטה בהליכים כנגד חבר הכנסת שהצביע שלא כדין"</w:t>
      </w:r>
      <w:r w:rsidRPr="00CA4835">
        <w:rPr>
          <w:sz w:val="18"/>
          <w:szCs w:val="18"/>
          <w:rtl/>
        </w:rPr>
        <w:t xml:space="preserve">. </w:t>
      </w:r>
    </w:p>
  </w:footnote>
  <w:footnote w:id="55">
    <w:p w:rsidR="005366A8" w:rsidRPr="00CA4835" w:rsidRDefault="005366A8" w:rsidP="005366A8">
      <w:pPr>
        <w:pStyle w:val="FootnoteText"/>
        <w:spacing w:after="60"/>
        <w:rPr>
          <w:sz w:val="18"/>
          <w:szCs w:val="18"/>
          <w:rtl/>
        </w:rPr>
      </w:pPr>
      <w:r w:rsidRPr="00CA4835">
        <w:rPr>
          <w:rStyle w:val="FootnoteReference"/>
          <w:sz w:val="18"/>
          <w:szCs w:val="18"/>
        </w:rPr>
        <w:footnoteRef/>
      </w:r>
      <w:r w:rsidRPr="00CA4835">
        <w:rPr>
          <w:sz w:val="18"/>
          <w:szCs w:val="18"/>
          <w:rtl/>
        </w:rPr>
        <w:t xml:space="preserve"> ראו בג"ץ 6061/99 </w:t>
      </w:r>
      <w:r w:rsidRPr="00CA4835">
        <w:rPr>
          <w:b/>
          <w:bCs/>
          <w:sz w:val="18"/>
          <w:szCs w:val="18"/>
          <w:rtl/>
        </w:rPr>
        <w:t>זאבי נ' ממשלת ישראל</w:t>
      </w:r>
      <w:r w:rsidRPr="00CA4835">
        <w:rPr>
          <w:sz w:val="18"/>
          <w:szCs w:val="18"/>
          <w:rtl/>
        </w:rPr>
        <w:t xml:space="preserve"> (לא פורסם) ו- בג"ץ 6124/95 </w:t>
      </w:r>
      <w:r w:rsidRPr="00CA4835">
        <w:rPr>
          <w:b/>
          <w:bCs/>
          <w:sz w:val="18"/>
          <w:szCs w:val="18"/>
          <w:rtl/>
        </w:rPr>
        <w:t>זאבי נ' יושב ראש הכנסת</w:t>
      </w:r>
      <w:r w:rsidRPr="00CA4835">
        <w:rPr>
          <w:sz w:val="18"/>
          <w:szCs w:val="18"/>
          <w:rtl/>
        </w:rPr>
        <w:t xml:space="preserve"> (לא פורסם), בעניין חובת הממשלה לאפשר לחברי הכנסת לעיין במפות ובמכלול המידע הרלבנטי הנוגע למשא ומתן עם הרשות הפלסטינית.</w:t>
      </w:r>
    </w:p>
  </w:footnote>
  <w:footnote w:id="56">
    <w:p w:rsidR="005366A8" w:rsidRPr="00CA4835" w:rsidRDefault="005366A8" w:rsidP="005366A8">
      <w:pPr>
        <w:pStyle w:val="FootnoteText"/>
        <w:spacing w:after="60"/>
        <w:rPr>
          <w:sz w:val="18"/>
          <w:szCs w:val="18"/>
          <w:rtl/>
        </w:rPr>
      </w:pPr>
      <w:r w:rsidRPr="00CA4835">
        <w:rPr>
          <w:rStyle w:val="FootnoteReference"/>
          <w:sz w:val="18"/>
          <w:szCs w:val="18"/>
        </w:rPr>
        <w:footnoteRef/>
      </w:r>
      <w:r w:rsidRPr="00CA4835">
        <w:rPr>
          <w:sz w:val="18"/>
          <w:szCs w:val="18"/>
          <w:rtl/>
        </w:rPr>
        <w:t xml:space="preserve"> ראו עניין </w:t>
      </w:r>
      <w:r w:rsidRPr="00CA4835">
        <w:rPr>
          <w:b/>
          <w:bCs/>
          <w:sz w:val="18"/>
          <w:szCs w:val="18"/>
          <w:rtl/>
        </w:rPr>
        <w:t>ארגון מגדלי העופות</w:t>
      </w:r>
      <w:r w:rsidRPr="00CA4835">
        <w:rPr>
          <w:sz w:val="18"/>
          <w:szCs w:val="18"/>
          <w:rtl/>
        </w:rPr>
        <w:t xml:space="preserve">: </w:t>
      </w:r>
      <w:r w:rsidRPr="00CA4835">
        <w:rPr>
          <w:sz w:val="18"/>
          <w:szCs w:val="18"/>
          <w:highlight w:val="yellow"/>
          <w:rtl/>
        </w:rPr>
        <w:t>"... אין להטיל על הליך החקיקה של הכנסת דרישה לקיום הליך נאות של קבלת החלטות כפי שמוטל על הרשויות המנהליות; ולפיכך לא כל פגם בהליך אשר היה נחשב פגם היורד לשורשו של עניין, לו היה מדובר בהחלטה מנהלית של רשות מבצעת (או אפילו לו היה מדובר בהליך מעין שיפוטי של הכנסת), ייחשב כפגם היורד לשורשו של הליך החקיקה של הכנסת. תפקידה של הביקורת השיפוטית על הליך החקיקה אינו להבטיח כי בכנסת יתקיים הליך חקיקה אופטימאלי. תפקידה של הביקורת השיפוטית על הליך החקיקה אף אינו להבטיח כי יתקיים בכנסת דיון אחראי ושקול בכל הצעת חוק. תפקידה של הביקורת השיפוטית על הליך החקיקה הינו להגן מפני פגיעה קשה וניכרת בעקרונות היסוד של הליך החקיקה במשטרנו הפרלמנטארי והחוקתי. ... משניתנה לחברי הכנסת במסגרת הליך החקיקה אפשרות מעשית להשתתף בהליך, אלא שהם בחרו שלא לממשה, לא יהיה זה מתפקידו של בית המשפט לחייבם לעשות כן"</w:t>
      </w:r>
      <w:r w:rsidRPr="00CA4835">
        <w:rPr>
          <w:sz w:val="18"/>
          <w:szCs w:val="18"/>
          <w:rtl/>
        </w:rPr>
        <w:t>.</w:t>
      </w:r>
    </w:p>
  </w:footnote>
  <w:footnote w:id="57">
    <w:p w:rsidR="005366A8" w:rsidRPr="007A6778" w:rsidRDefault="005366A8" w:rsidP="005366A8">
      <w:pPr>
        <w:pStyle w:val="FootnoteText"/>
        <w:rPr>
          <w:sz w:val="18"/>
          <w:szCs w:val="18"/>
        </w:rPr>
      </w:pPr>
      <w:r w:rsidRPr="007A6778">
        <w:rPr>
          <w:rStyle w:val="FootnoteReference"/>
          <w:rFonts w:cs="Arial"/>
          <w:sz w:val="18"/>
          <w:szCs w:val="18"/>
        </w:rPr>
        <w:footnoteRef/>
      </w:r>
      <w:r w:rsidRPr="007A6778">
        <w:rPr>
          <w:sz w:val="18"/>
          <w:szCs w:val="18"/>
          <w:rtl/>
        </w:rPr>
        <w:t xml:space="preserve"> בג"צ 1843/93 </w:t>
      </w:r>
      <w:r w:rsidRPr="007A6778">
        <w:rPr>
          <w:b/>
          <w:bCs/>
          <w:sz w:val="18"/>
          <w:szCs w:val="18"/>
          <w:rtl/>
        </w:rPr>
        <w:t>פנחסי נ' כנסת ישראל</w:t>
      </w:r>
      <w:r w:rsidRPr="007A6778">
        <w:rPr>
          <w:sz w:val="18"/>
          <w:szCs w:val="18"/>
          <w:rtl/>
        </w:rPr>
        <w:t>, פ"ד מט(1) 661, 698: "הליך נטילת החסינות</w:t>
      </w:r>
      <w:r w:rsidRPr="007A6778">
        <w:rPr>
          <w:rFonts w:hint="cs"/>
          <w:sz w:val="18"/>
          <w:szCs w:val="18"/>
          <w:rtl/>
        </w:rPr>
        <w:t>...</w:t>
      </w:r>
      <w:r w:rsidRPr="007A6778">
        <w:rPr>
          <w:sz w:val="18"/>
          <w:szCs w:val="18"/>
          <w:rtl/>
        </w:rPr>
        <w:t xml:space="preserve"> הוא בעל אופי 'מעין-שיפוטי'</w:t>
      </w:r>
      <w:r w:rsidRPr="007A6778">
        <w:rPr>
          <w:rFonts w:hint="cs"/>
          <w:sz w:val="18"/>
          <w:szCs w:val="18"/>
          <w:rtl/>
        </w:rPr>
        <w:t>...</w:t>
      </w:r>
      <w:r w:rsidRPr="007A6778">
        <w:rPr>
          <w:sz w:val="18"/>
          <w:szCs w:val="18"/>
          <w:rtl/>
        </w:rPr>
        <w:t xml:space="preserve"> בשל האפקט שיש [לו] על זכויות (היתר) של חבר הכנסת. </w:t>
      </w:r>
      <w:r w:rsidRPr="007A6778">
        <w:rPr>
          <w:rFonts w:hint="cs"/>
          <w:sz w:val="18"/>
          <w:szCs w:val="18"/>
          <w:rtl/>
        </w:rPr>
        <w:t xml:space="preserve">... </w:t>
      </w:r>
      <w:r w:rsidRPr="007A6778">
        <w:rPr>
          <w:sz w:val="18"/>
          <w:szCs w:val="18"/>
          <w:rtl/>
        </w:rPr>
        <w:t>נוצר מעין 'סכסוך' בו משמשת הכנסת כגורם מכריע".</w:t>
      </w:r>
    </w:p>
  </w:footnote>
  <w:footnote w:id="58">
    <w:p w:rsidR="005366A8" w:rsidRPr="007A6778" w:rsidRDefault="005366A8" w:rsidP="005366A8">
      <w:pPr>
        <w:pStyle w:val="FootnoteText"/>
        <w:rPr>
          <w:sz w:val="18"/>
          <w:szCs w:val="18"/>
          <w:rtl/>
        </w:rPr>
      </w:pPr>
      <w:r w:rsidRPr="007A6778">
        <w:rPr>
          <w:rStyle w:val="FootnoteReference"/>
          <w:rFonts w:cs="Arial"/>
          <w:sz w:val="18"/>
          <w:szCs w:val="18"/>
        </w:rPr>
        <w:footnoteRef/>
      </w:r>
      <w:r w:rsidRPr="007A6778">
        <w:rPr>
          <w:sz w:val="18"/>
          <w:szCs w:val="18"/>
          <w:rtl/>
        </w:rPr>
        <w:t xml:space="preserve"> עניין </w:t>
      </w:r>
      <w:r w:rsidRPr="007A6778">
        <w:rPr>
          <w:b/>
          <w:bCs/>
          <w:sz w:val="18"/>
          <w:szCs w:val="18"/>
          <w:rtl/>
        </w:rPr>
        <w:t>מיעארי</w:t>
      </w:r>
      <w:r w:rsidRPr="007A6778">
        <w:rPr>
          <w:sz w:val="18"/>
          <w:szCs w:val="18"/>
          <w:rtl/>
        </w:rPr>
        <w:t xml:space="preserve"> (הנשיא שמגר). ראו גם עניין </w:t>
      </w:r>
      <w:r w:rsidRPr="007A6778">
        <w:rPr>
          <w:b/>
          <w:bCs/>
          <w:sz w:val="18"/>
          <w:szCs w:val="18"/>
          <w:rtl/>
        </w:rPr>
        <w:t>פלאטו שרון</w:t>
      </w:r>
      <w:r>
        <w:rPr>
          <w:sz w:val="18"/>
          <w:szCs w:val="18"/>
          <w:rtl/>
        </w:rPr>
        <w:t>,</w:t>
      </w:r>
      <w:r w:rsidRPr="007A6778">
        <w:rPr>
          <w:sz w:val="18"/>
          <w:szCs w:val="18"/>
          <w:rtl/>
        </w:rPr>
        <w:t xml:space="preserve"> (השופט שמגר): "יש לזכור, שכאן אין אנו דנים בשאלה 'פוליטית' ואף אין מדובר בתפקיד חקיקה של הכנסת או וועדה מוועדותיה, אלא בתפקיד שיפוטי או מעין-שיפוטי, שהמחוקק הטיל על ועדת הכנסת. לא יתכן שבמילוי תפקיד זה תהיה לוועדה של הכנסת חסינות מפני ביקורת שיפוטית, ושהוועדה היא שתוכל לקבוע סופית את גבולות סמכותה". </w:t>
      </w:r>
    </w:p>
  </w:footnote>
  <w:footnote w:id="59">
    <w:p w:rsidR="005366A8" w:rsidRPr="007A6778" w:rsidRDefault="005366A8" w:rsidP="005366A8">
      <w:pPr>
        <w:pStyle w:val="FootnoteText"/>
        <w:rPr>
          <w:sz w:val="18"/>
          <w:szCs w:val="18"/>
          <w:rtl/>
        </w:rPr>
      </w:pPr>
      <w:r w:rsidRPr="007A6778">
        <w:rPr>
          <w:rStyle w:val="FootnoteReference"/>
          <w:rFonts w:cs="Arial"/>
          <w:sz w:val="18"/>
          <w:szCs w:val="18"/>
        </w:rPr>
        <w:footnoteRef/>
      </w:r>
      <w:r w:rsidRPr="007A6778">
        <w:rPr>
          <w:sz w:val="18"/>
          <w:szCs w:val="18"/>
          <w:rtl/>
        </w:rPr>
        <w:t xml:space="preserve"> עניין </w:t>
      </w:r>
      <w:r w:rsidRPr="007A6778">
        <w:rPr>
          <w:b/>
          <w:bCs/>
          <w:sz w:val="18"/>
          <w:szCs w:val="18"/>
          <w:rtl/>
        </w:rPr>
        <w:t>מיעארי</w:t>
      </w:r>
      <w:r w:rsidRPr="007A6778">
        <w:rPr>
          <w:sz w:val="18"/>
          <w:szCs w:val="18"/>
          <w:rtl/>
        </w:rPr>
        <w:t xml:space="preserve">, (הנשיא שמגר). ראו גם </w:t>
      </w:r>
      <w:r w:rsidRPr="007A6778">
        <w:rPr>
          <w:b/>
          <w:bCs/>
          <w:sz w:val="18"/>
          <w:szCs w:val="18"/>
          <w:rtl/>
        </w:rPr>
        <w:t>שם</w:t>
      </w:r>
      <w:r w:rsidRPr="007A6778">
        <w:rPr>
          <w:sz w:val="18"/>
          <w:szCs w:val="18"/>
          <w:rtl/>
        </w:rPr>
        <w:t>, בעמ' 244 (השופט אלון); ובעמ' 270 (השופט ברק): "</w:t>
      </w:r>
      <w:r w:rsidRPr="007A6778">
        <w:rPr>
          <w:sz w:val="18"/>
          <w:szCs w:val="18"/>
          <w:highlight w:val="yellow"/>
          <w:rtl/>
        </w:rPr>
        <w:t>מכל סמכויותיה של הכנסת</w:t>
      </w:r>
      <w:r w:rsidRPr="007A6778">
        <w:rPr>
          <w:rFonts w:hint="cs"/>
          <w:sz w:val="18"/>
          <w:szCs w:val="18"/>
          <w:highlight w:val="yellow"/>
          <w:rtl/>
        </w:rPr>
        <w:t>...</w:t>
      </w:r>
      <w:r w:rsidRPr="007A6778">
        <w:rPr>
          <w:sz w:val="18"/>
          <w:szCs w:val="18"/>
          <w:highlight w:val="yellow"/>
          <w:rtl/>
        </w:rPr>
        <w:t xml:space="preserve"> הסמכות הכעין-שיפוטית היא הפחות פוליטית. בה טבעי לדרוש אפילו מבית הנבחרים כי ינהג על פי אמות מידה שיפוטיות. ...</w:t>
      </w:r>
      <w:r w:rsidRPr="007A6778">
        <w:rPr>
          <w:rFonts w:hint="cs"/>
          <w:sz w:val="18"/>
          <w:szCs w:val="18"/>
          <w:highlight w:val="yellow"/>
          <w:rtl/>
        </w:rPr>
        <w:t xml:space="preserve"> </w:t>
      </w:r>
      <w:r w:rsidRPr="007A6778">
        <w:rPr>
          <w:sz w:val="18"/>
          <w:szCs w:val="18"/>
          <w:highlight w:val="yellow"/>
          <w:rtl/>
        </w:rPr>
        <w:t xml:space="preserve">ביקורת שיפוטית על החלטה כעין שיפוטית של הכנסת אין בה אותו מתח המאפיין ביקורת שיפוטית של ענייניה הפנימיים של הכנסת. </w:t>
      </w:r>
      <w:r w:rsidRPr="007A6778">
        <w:rPr>
          <w:rFonts w:hint="cs"/>
          <w:sz w:val="18"/>
          <w:szCs w:val="18"/>
          <w:highlight w:val="yellow"/>
          <w:rtl/>
        </w:rPr>
        <w:t xml:space="preserve">... </w:t>
      </w:r>
      <w:r w:rsidRPr="007A6778">
        <w:rPr>
          <w:sz w:val="18"/>
          <w:szCs w:val="18"/>
          <w:highlight w:val="yellow"/>
          <w:rtl/>
        </w:rPr>
        <w:t>יש בה תמיד אמות מידה שיפוטיות לעריכת הביקורת, ועל כן אין מקום לרוב לטענה של 'חוסר שפיטות'".</w:t>
      </w:r>
      <w:r w:rsidRPr="007A6778">
        <w:rPr>
          <w:sz w:val="18"/>
          <w:szCs w:val="18"/>
          <w:rtl/>
        </w:rPr>
        <w:t xml:space="preserve"> </w:t>
      </w:r>
    </w:p>
  </w:footnote>
  <w:footnote w:id="60">
    <w:p w:rsidR="005366A8" w:rsidRDefault="005366A8" w:rsidP="005366A8">
      <w:pPr>
        <w:pStyle w:val="FootnoteText"/>
        <w:rPr>
          <w:rtl/>
        </w:rPr>
      </w:pPr>
      <w:r>
        <w:rPr>
          <w:rStyle w:val="FootnoteReference"/>
        </w:rPr>
        <w:footnoteRef/>
      </w:r>
      <w:r>
        <w:rPr>
          <w:rFonts w:hint="cs"/>
          <w:rtl/>
        </w:rPr>
        <w:t xml:space="preserve"> </w:t>
      </w:r>
      <w:r>
        <w:rPr>
          <w:rtl/>
        </w:rPr>
        <w:t xml:space="preserve"> </w:t>
      </w:r>
      <w:r>
        <w:rPr>
          <w:rFonts w:hint="cs"/>
          <w:sz w:val="20"/>
          <w:szCs w:val="20"/>
          <w:rtl/>
        </w:rPr>
        <w:t xml:space="preserve">הדיון להלן ודוגמאותיו מבוססים על הפסיקה שהתבקשתם לקרוא, וכן על </w:t>
      </w:r>
      <w:r w:rsidRPr="008056D1">
        <w:rPr>
          <w:rFonts w:hint="cs"/>
          <w:sz w:val="20"/>
          <w:szCs w:val="20"/>
          <w:rtl/>
        </w:rPr>
        <w:t xml:space="preserve">יצחק זמיר, </w:t>
      </w:r>
      <w:r w:rsidRPr="008056D1">
        <w:rPr>
          <w:rFonts w:hint="cs"/>
          <w:b/>
          <w:bCs/>
          <w:sz w:val="20"/>
          <w:szCs w:val="20"/>
          <w:rtl/>
        </w:rPr>
        <w:t>הסמכות המינהלית</w:t>
      </w:r>
      <w:r w:rsidRPr="008056D1">
        <w:rPr>
          <w:rFonts w:hint="cs"/>
          <w:sz w:val="20"/>
          <w:szCs w:val="20"/>
          <w:rtl/>
        </w:rPr>
        <w:t>, חלק א'</w:t>
      </w:r>
      <w:r>
        <w:rPr>
          <w:rFonts w:hint="cs"/>
          <w:sz w:val="20"/>
          <w:szCs w:val="20"/>
          <w:rtl/>
        </w:rPr>
        <w:t>.</w:t>
      </w:r>
    </w:p>
  </w:footnote>
  <w:footnote w:id="61">
    <w:p w:rsidR="005366A8" w:rsidRPr="00BA6284" w:rsidRDefault="005366A8" w:rsidP="005366A8">
      <w:pPr>
        <w:pStyle w:val="FootnoteText"/>
        <w:spacing w:after="60"/>
        <w:ind w:firstLine="284"/>
        <w:rPr>
          <w:sz w:val="20"/>
          <w:szCs w:val="20"/>
          <w:rtl/>
        </w:rPr>
      </w:pPr>
      <w:r w:rsidRPr="00BA6284">
        <w:rPr>
          <w:rStyle w:val="FootnoteReference"/>
          <w:sz w:val="20"/>
          <w:szCs w:val="20"/>
        </w:rPr>
        <w:footnoteRef/>
      </w:r>
      <w:r w:rsidRPr="00BA6284">
        <w:rPr>
          <w:sz w:val="20"/>
          <w:szCs w:val="20"/>
          <w:rtl/>
        </w:rPr>
        <w:tab/>
        <w:t xml:space="preserve">המועצות הקצו כספים מתקציביהן לעמותה ששמה "עמותת ישובי הגולן", שמטרתה המרכזית הייתה "לפעול באופן חוקי לשם שמירה על ריבונות ישראל בכל שטח רמת הגולן ובהתאם לחוק רמת הגולן". </w:t>
      </w:r>
    </w:p>
  </w:footnote>
  <w:footnote w:id="62">
    <w:p w:rsidR="005366A8" w:rsidRPr="00BA6284" w:rsidRDefault="005366A8" w:rsidP="005366A8">
      <w:pPr>
        <w:pStyle w:val="FootnoteText"/>
        <w:spacing w:after="60"/>
        <w:ind w:firstLine="284"/>
        <w:rPr>
          <w:sz w:val="20"/>
          <w:szCs w:val="20"/>
          <w:rtl/>
        </w:rPr>
      </w:pPr>
      <w:r w:rsidRPr="00BA6284">
        <w:rPr>
          <w:rStyle w:val="FootnoteReference"/>
          <w:sz w:val="20"/>
          <w:szCs w:val="20"/>
        </w:rPr>
        <w:footnoteRef/>
      </w:r>
      <w:r w:rsidRPr="00BA6284">
        <w:rPr>
          <w:sz w:val="20"/>
          <w:szCs w:val="20"/>
          <w:rtl/>
        </w:rPr>
        <w:tab/>
        <w:t>ראו ס' 146 לצו המועצות המקומיות וס' 63(א) לצו המועצות האזוריות.</w:t>
      </w:r>
    </w:p>
  </w:footnote>
  <w:footnote w:id="63">
    <w:p w:rsidR="005366A8" w:rsidRPr="00BA6284" w:rsidRDefault="005366A8" w:rsidP="005366A8">
      <w:pPr>
        <w:pStyle w:val="FootnoteText"/>
        <w:spacing w:after="60"/>
        <w:ind w:firstLine="284"/>
        <w:rPr>
          <w:sz w:val="20"/>
          <w:szCs w:val="20"/>
          <w:rtl/>
        </w:rPr>
      </w:pPr>
      <w:r w:rsidRPr="00BA6284">
        <w:rPr>
          <w:rStyle w:val="FootnoteReference"/>
          <w:sz w:val="20"/>
          <w:szCs w:val="20"/>
        </w:rPr>
        <w:footnoteRef/>
      </w:r>
      <w:r w:rsidRPr="00BA6284">
        <w:rPr>
          <w:sz w:val="20"/>
          <w:szCs w:val="20"/>
          <w:rtl/>
        </w:rPr>
        <w:tab/>
        <w:t>מועצת יש"ע, ובשמה המלא "מועצת היישובים היהודיים ביהודה, שומרון וחבל עזה", היא [ארגון פרטי] ארגון-על המנהיג את ציבור המתנחלים ביהודה ושומרון (ובעבר גם ברצועת עזה), שמהם נגזר גם שמו של הארגון כראשי-תיבות. המועצה מאגדת את כל ראשי הערים, המועצות המקומיות והמועצות האזוריות בתחומי יהודה ושומרון וכן ברמת-הגולן, ומטרתה היא קידום מפעל ההתיישבות, ייצוג האינטרסים של המתיישבים וכן הסברה על חשיבות המפעל כלפי פנים והסברה פרו-ישראלית כלפי חוץ. ...</w:t>
      </w:r>
    </w:p>
  </w:footnote>
  <w:footnote w:id="64">
    <w:p w:rsidR="005366A8" w:rsidRPr="00BA6284" w:rsidRDefault="005366A8" w:rsidP="005366A8">
      <w:pPr>
        <w:pStyle w:val="FootnoteText"/>
        <w:spacing w:after="60"/>
        <w:ind w:firstLine="284"/>
        <w:rPr>
          <w:sz w:val="20"/>
          <w:szCs w:val="20"/>
          <w:rtl/>
        </w:rPr>
      </w:pPr>
      <w:r w:rsidRPr="00BA6284">
        <w:rPr>
          <w:rStyle w:val="FootnoteReference"/>
          <w:sz w:val="20"/>
          <w:szCs w:val="20"/>
        </w:rPr>
        <w:footnoteRef/>
      </w:r>
      <w:r w:rsidRPr="00BA6284">
        <w:rPr>
          <w:sz w:val="20"/>
          <w:szCs w:val="20"/>
          <w:rtl/>
        </w:rPr>
        <w:tab/>
        <w:t>עמדת הרוב בחלקו הראשון של פסק-הדין היא של השופטים רובינשטיין, ברק וגרוניס. עמדת המיעוט היא של השופטים חשין וביניש.</w:t>
      </w:r>
    </w:p>
  </w:footnote>
  <w:footnote w:id="65">
    <w:p w:rsidR="005366A8" w:rsidRPr="00BA6284" w:rsidRDefault="005366A8" w:rsidP="005366A8">
      <w:pPr>
        <w:pStyle w:val="FootnoteText"/>
        <w:spacing w:after="60"/>
        <w:ind w:firstLine="284"/>
        <w:rPr>
          <w:sz w:val="20"/>
          <w:szCs w:val="20"/>
          <w:rtl/>
        </w:rPr>
      </w:pPr>
      <w:r w:rsidRPr="00BA6284">
        <w:rPr>
          <w:rStyle w:val="FootnoteReference"/>
          <w:sz w:val="20"/>
          <w:szCs w:val="20"/>
        </w:rPr>
        <w:footnoteRef/>
      </w:r>
      <w:r w:rsidRPr="00BA6284">
        <w:rPr>
          <w:sz w:val="20"/>
          <w:szCs w:val="20"/>
          <w:rtl/>
        </w:rPr>
        <w:tab/>
        <w:t>בחלק השני של פסק-הדין כללה דעת הרוב את השופטים ברק, גרוניס, חשין וביניש, ואילו השופט רובינשטיין נותר בדעת מיעוט.</w:t>
      </w:r>
    </w:p>
  </w:footnote>
  <w:footnote w:id="66">
    <w:p w:rsidR="005366A8" w:rsidRPr="00BA6284" w:rsidRDefault="005366A8" w:rsidP="005366A8">
      <w:pPr>
        <w:pStyle w:val="FootnoteText"/>
        <w:spacing w:after="60"/>
        <w:ind w:firstLine="284"/>
        <w:rPr>
          <w:sz w:val="20"/>
          <w:szCs w:val="20"/>
          <w:rtl/>
        </w:rPr>
      </w:pPr>
      <w:r w:rsidRPr="00BA6284">
        <w:rPr>
          <w:rStyle w:val="FootnoteReference"/>
          <w:sz w:val="20"/>
          <w:szCs w:val="20"/>
        </w:rPr>
        <w:footnoteRef/>
      </w:r>
      <w:r w:rsidRPr="00BA6284">
        <w:rPr>
          <w:sz w:val="20"/>
          <w:szCs w:val="20"/>
          <w:rtl/>
        </w:rPr>
        <w:tab/>
        <w:t xml:space="preserve">על התיחום הטריטוריאלי למדה המדינה מדברי החקיקה השונים המקנים לרשות המקומית סמכות לפעול "בתוך תחומה", בין היתר ס' 233 לפקודת העיריות, ס' 146 לצו המועצות המקומיות וס' 63 לצו המועצות האזוריות. </w:t>
      </w:r>
      <w:r w:rsidRPr="00BA6284">
        <w:rPr>
          <w:rFonts w:hint="cs"/>
          <w:sz w:val="20"/>
          <w:szCs w:val="20"/>
          <w:rtl/>
        </w:rPr>
        <w:t>..</w:t>
      </w:r>
      <w:r w:rsidRPr="00BA6284">
        <w:rPr>
          <w:sz w:val="20"/>
          <w:szCs w:val="20"/>
          <w:rtl/>
        </w:rPr>
        <w:t>.</w:t>
      </w:r>
    </w:p>
  </w:footnote>
  <w:footnote w:id="67">
    <w:p w:rsidR="005366A8" w:rsidRPr="00BA6284" w:rsidRDefault="005366A8" w:rsidP="005366A8">
      <w:pPr>
        <w:pStyle w:val="FootnoteText"/>
        <w:spacing w:after="60"/>
        <w:ind w:firstLine="284"/>
        <w:rPr>
          <w:sz w:val="20"/>
          <w:szCs w:val="20"/>
          <w:rtl/>
        </w:rPr>
      </w:pPr>
      <w:r w:rsidRPr="00BA6284">
        <w:rPr>
          <w:rStyle w:val="FootnoteReference"/>
          <w:sz w:val="20"/>
          <w:szCs w:val="20"/>
        </w:rPr>
        <w:footnoteRef/>
      </w:r>
      <w:r w:rsidRPr="00BA6284">
        <w:rPr>
          <w:sz w:val="20"/>
          <w:szCs w:val="20"/>
          <w:rtl/>
        </w:rPr>
        <w:tab/>
        <w:t xml:space="preserve">על התיחום המהותי למדה המדינה מפסיקות של בית-המשפט העליון, בעיקר בנושאים של דת ומדינה – למשל, מבג"ץ 155/60 </w:t>
      </w:r>
      <w:r w:rsidRPr="00BA6284">
        <w:rPr>
          <w:b/>
          <w:bCs/>
          <w:sz w:val="20"/>
          <w:szCs w:val="20"/>
          <w:rtl/>
        </w:rPr>
        <w:t>יצחק אלעזר נ' ראש עיריית בת ים</w:t>
      </w:r>
      <w:r w:rsidRPr="00BA6284">
        <w:rPr>
          <w:sz w:val="20"/>
          <w:szCs w:val="20"/>
          <w:rtl/>
        </w:rPr>
        <w:t>, פ"ד יד 1511 (1960), שבו נקבע כי "המחלוקות האידיאולוגיות השונות בין חלקי האוכלוסייה... זירת ההתגוששות שלהן היא בכנסת או במוסדות המרכזיים של הממשלה, ולא העירייה או המועצה המקומית היא האחראית להסדרתן".</w:t>
      </w:r>
    </w:p>
  </w:footnote>
  <w:footnote w:id="68">
    <w:p w:rsidR="005366A8" w:rsidRPr="00BA6284" w:rsidRDefault="005366A8" w:rsidP="005366A8">
      <w:pPr>
        <w:pStyle w:val="FootnoteText"/>
        <w:spacing w:after="60"/>
        <w:ind w:firstLine="284"/>
        <w:rPr>
          <w:sz w:val="20"/>
          <w:szCs w:val="20"/>
          <w:rtl/>
        </w:rPr>
      </w:pPr>
      <w:r w:rsidRPr="00BA6284">
        <w:rPr>
          <w:rStyle w:val="FootnoteReference"/>
          <w:sz w:val="20"/>
          <w:szCs w:val="20"/>
        </w:rPr>
        <w:footnoteRef/>
      </w:r>
      <w:r w:rsidRPr="00BA6284">
        <w:rPr>
          <w:sz w:val="20"/>
          <w:szCs w:val="20"/>
          <w:rtl/>
        </w:rPr>
        <w:tab/>
        <w:t>השופט רובינשטיין מבסס את עמדתו על דוּגמות רבות מן התחום הסביבתי. ראו שם, פס' סד לפסק-דינו של השופט רובינשטיין.</w:t>
      </w:r>
    </w:p>
  </w:footnote>
  <w:footnote w:id="69">
    <w:p w:rsidR="005366A8" w:rsidRPr="00C9224A" w:rsidRDefault="005366A8" w:rsidP="005366A8">
      <w:pPr>
        <w:pStyle w:val="FootnoteText"/>
        <w:rPr>
          <w:sz w:val="18"/>
          <w:szCs w:val="18"/>
          <w:rtl/>
        </w:rPr>
      </w:pPr>
      <w:r w:rsidRPr="002A63C2">
        <w:rPr>
          <w:rStyle w:val="FootnoteReference"/>
          <w:rFonts w:ascii="Arial" w:hAnsi="Arial" w:cs="Arial"/>
          <w:sz w:val="18"/>
          <w:szCs w:val="18"/>
        </w:rPr>
        <w:footnoteRef/>
      </w:r>
      <w:r w:rsidRPr="002A63C2">
        <w:rPr>
          <w:rFonts w:ascii="Arial" w:hAnsi="Arial" w:cs="Arial"/>
          <w:sz w:val="18"/>
          <w:szCs w:val="18"/>
          <w:rtl/>
        </w:rPr>
        <w:t xml:space="preserve"> </w:t>
      </w:r>
      <w:r w:rsidRPr="00C9224A">
        <w:rPr>
          <w:sz w:val="18"/>
          <w:szCs w:val="18"/>
          <w:rtl/>
        </w:rPr>
        <w:t xml:space="preserve">ההגדרות והאיפיונים של הסוגים השונים של גופי המינהל לקוחים מספרו של פרופ' יצחק זמיר, </w:t>
      </w:r>
      <w:r w:rsidRPr="00C9224A">
        <w:rPr>
          <w:b/>
          <w:bCs/>
          <w:sz w:val="18"/>
          <w:szCs w:val="18"/>
          <w:rtl/>
        </w:rPr>
        <w:t>הסמכות המינהלית</w:t>
      </w:r>
      <w:r w:rsidRPr="00C9224A">
        <w:rPr>
          <w:sz w:val="18"/>
          <w:szCs w:val="18"/>
          <w:rtl/>
        </w:rPr>
        <w:t xml:space="preserve">, חלק א'. </w:t>
      </w:r>
      <w:r w:rsidRPr="00EC3504">
        <w:rPr>
          <w:i/>
          <w:iCs/>
          <w:sz w:val="18"/>
          <w:szCs w:val="18"/>
          <w:rtl/>
        </w:rPr>
        <w:t>לא כללנו כאן את השלטון המקומי</w:t>
      </w:r>
      <w:r w:rsidRPr="00C9224A">
        <w:rPr>
          <w:sz w:val="18"/>
          <w:szCs w:val="18"/>
          <w:rtl/>
        </w:rPr>
        <w:t xml:space="preserve"> (הרשויות המקומיות וכן החברות העירוניות שהן מפעילות). הרשויות המקומיות עצמן אף הן כמובן בגדר "רשות מינהלית", שכן הן ממלאות "תפקידים ציבוריים על פי דין".</w:t>
      </w:r>
    </w:p>
  </w:footnote>
  <w:footnote w:id="70">
    <w:p w:rsidR="00241BC2" w:rsidRPr="00314ED3" w:rsidRDefault="00241BC2" w:rsidP="00241BC2">
      <w:pPr>
        <w:pStyle w:val="FootnoteText"/>
        <w:spacing w:after="80"/>
        <w:rPr>
          <w:rFonts w:ascii="Arial" w:hAnsi="Arial" w:cs="Arial"/>
          <w:sz w:val="18"/>
          <w:szCs w:val="18"/>
          <w:rtl/>
        </w:rPr>
      </w:pPr>
      <w:r w:rsidRPr="00314ED3">
        <w:rPr>
          <w:rStyle w:val="FootnoteReference"/>
          <w:rFonts w:ascii="Arial" w:hAnsi="Arial" w:cs="Arial"/>
          <w:sz w:val="18"/>
          <w:szCs w:val="18"/>
        </w:rPr>
        <w:footnoteRef/>
      </w:r>
      <w:r w:rsidRPr="00314ED3">
        <w:rPr>
          <w:rFonts w:ascii="Arial" w:hAnsi="Arial" w:cs="Arial"/>
          <w:sz w:val="18"/>
          <w:szCs w:val="18"/>
          <w:rtl/>
        </w:rPr>
        <w:t xml:space="preserve"> ראו, למשל, סעיף 120(ג) לחוק רשות הדואר, תשמ"ו-1986, שם נקבע כי הכללים שקובעת מועצת רשות הדואר, לפי סעיף 22 לחוק, "אינם טעונים פרסום ברשומות אך הם יהיו פתוחים לעיון הציבור בכל סניפי הדואר"; סעיף 343 לפקודת העיריות; סעיפים 11ב' ו-15(ז) לחוק התגוננות האזרחית, תשי"א-1951.</w:t>
      </w:r>
    </w:p>
  </w:footnote>
  <w:footnote w:id="71">
    <w:p w:rsidR="00241BC2" w:rsidRPr="00314ED3" w:rsidRDefault="00241BC2" w:rsidP="00241BC2">
      <w:pPr>
        <w:pStyle w:val="FootnoteText"/>
        <w:spacing w:after="80"/>
        <w:rPr>
          <w:rFonts w:ascii="Arial" w:hAnsi="Arial" w:cs="Arial"/>
          <w:sz w:val="18"/>
          <w:szCs w:val="18"/>
          <w:rtl/>
        </w:rPr>
      </w:pPr>
      <w:r w:rsidRPr="00314ED3">
        <w:rPr>
          <w:rStyle w:val="FootnoteReference"/>
          <w:rFonts w:ascii="Arial" w:hAnsi="Arial" w:cs="Arial"/>
          <w:sz w:val="18"/>
          <w:szCs w:val="18"/>
        </w:rPr>
        <w:footnoteRef/>
      </w:r>
      <w:r w:rsidRPr="00314ED3">
        <w:rPr>
          <w:rFonts w:ascii="Arial" w:hAnsi="Arial" w:cs="Arial"/>
          <w:sz w:val="18"/>
          <w:szCs w:val="18"/>
          <w:rtl/>
        </w:rPr>
        <w:t xml:space="preserve"> נקבע שם כי על צווים המוצאים מכוח תקנות ההגנה לא יחול סעיף 20 לפקודת הפירושים, 1935, שהוחלף בסעיף 17 לפקודת הפרשנות, מכוחו מוטלת חובת פרסום ברשומות של תקנות בנות פועל תחיקתי.</w:t>
      </w:r>
    </w:p>
  </w:footnote>
  <w:footnote w:id="72">
    <w:p w:rsidR="00241BC2" w:rsidRPr="00314ED3" w:rsidRDefault="00241BC2" w:rsidP="00241BC2">
      <w:pPr>
        <w:pStyle w:val="a0"/>
        <w:spacing w:after="80" w:line="240" w:lineRule="auto"/>
        <w:ind w:firstLine="720"/>
        <w:rPr>
          <w:rFonts w:ascii="Arial" w:hAnsi="Arial" w:cs="Arial"/>
          <w:sz w:val="18"/>
          <w:szCs w:val="18"/>
        </w:rPr>
      </w:pPr>
      <w:r w:rsidRPr="00314ED3">
        <w:rPr>
          <w:rStyle w:val="FootnoteReference"/>
          <w:rFonts w:ascii="Arial" w:hAnsi="Arial" w:cs="Arial"/>
          <w:sz w:val="18"/>
          <w:szCs w:val="18"/>
        </w:rPr>
        <w:footnoteRef/>
      </w:r>
      <w:r w:rsidRPr="00314ED3">
        <w:rPr>
          <w:rFonts w:ascii="Arial" w:hAnsi="Arial" w:cs="Arial"/>
          <w:sz w:val="18"/>
          <w:szCs w:val="18"/>
          <w:rtl/>
        </w:rPr>
        <w:t xml:space="preserve"> ראו בהקשר זה עניין </w:t>
      </w:r>
      <w:r w:rsidRPr="00314ED3">
        <w:rPr>
          <w:rFonts w:ascii="Arial" w:hAnsi="Arial" w:cs="Arial"/>
          <w:b/>
          <w:bCs/>
          <w:sz w:val="18"/>
          <w:szCs w:val="18"/>
          <w:rtl/>
        </w:rPr>
        <w:t>קליין</w:t>
      </w:r>
      <w:r w:rsidRPr="00314ED3">
        <w:rPr>
          <w:rFonts w:ascii="Arial" w:hAnsi="Arial" w:cs="Arial"/>
          <w:sz w:val="18"/>
          <w:szCs w:val="18"/>
          <w:rtl/>
        </w:rPr>
        <w:t xml:space="preserve">, הערה </w:t>
      </w:r>
      <w:r w:rsidR="005D7968">
        <w:fldChar w:fldCharType="begin"/>
      </w:r>
      <w:r>
        <w:instrText xml:space="preserve"> NOTEREF _Ref39564086 \h  \* MERGEFORMAT </w:instrText>
      </w:r>
      <w:r w:rsidR="005D7968">
        <w:fldChar w:fldCharType="separate"/>
      </w:r>
      <w:r>
        <w:rPr>
          <w:rFonts w:ascii="Arial" w:hAnsi="Arial" w:cs="Arial"/>
          <w:b/>
          <w:bCs/>
          <w:sz w:val="18"/>
          <w:szCs w:val="18"/>
        </w:rPr>
        <w:t>Error! Bookmark not defined.</w:t>
      </w:r>
      <w:r w:rsidR="005D7968">
        <w:fldChar w:fldCharType="end"/>
      </w:r>
      <w:r w:rsidRPr="00314ED3">
        <w:rPr>
          <w:rFonts w:ascii="Arial" w:hAnsi="Arial" w:cs="Arial"/>
          <w:sz w:val="18"/>
          <w:szCs w:val="18"/>
          <w:rtl/>
        </w:rPr>
        <w:t xml:space="preserve"> לעיל; וכן עניין </w:t>
      </w:r>
      <w:r w:rsidRPr="00314ED3">
        <w:rPr>
          <w:rFonts w:ascii="Arial" w:hAnsi="Arial" w:cs="Arial"/>
          <w:b/>
          <w:bCs/>
          <w:sz w:val="18"/>
          <w:szCs w:val="18"/>
          <w:rtl/>
        </w:rPr>
        <w:t>פרנס</w:t>
      </w:r>
      <w:r w:rsidRPr="00314ED3">
        <w:rPr>
          <w:rFonts w:ascii="Arial" w:hAnsi="Arial" w:cs="Arial"/>
          <w:sz w:val="18"/>
          <w:szCs w:val="18"/>
          <w:rtl/>
        </w:rPr>
        <w:t xml:space="preserve">, הערה </w:t>
      </w:r>
      <w:r w:rsidR="005D7968">
        <w:fldChar w:fldCharType="begin"/>
      </w:r>
      <w:r>
        <w:instrText xml:space="preserve"> NOTEREF _Ref40507852 \h  \* MERGEFORMAT </w:instrText>
      </w:r>
      <w:r w:rsidR="005D7968">
        <w:fldChar w:fldCharType="separate"/>
      </w:r>
      <w:r>
        <w:rPr>
          <w:rFonts w:ascii="Arial" w:hAnsi="Arial" w:cs="Arial"/>
          <w:b/>
          <w:bCs/>
          <w:sz w:val="18"/>
          <w:szCs w:val="18"/>
        </w:rPr>
        <w:t>Error! Bookmark not defined.</w:t>
      </w:r>
      <w:r w:rsidR="005D7968">
        <w:fldChar w:fldCharType="end"/>
      </w:r>
      <w:r w:rsidRPr="00314ED3">
        <w:rPr>
          <w:rFonts w:ascii="Arial" w:hAnsi="Arial" w:cs="Arial"/>
          <w:sz w:val="18"/>
          <w:szCs w:val="18"/>
          <w:rtl/>
        </w:rPr>
        <w:t xml:space="preserve"> לעיל. אגב, התיקון של סעיף 10(ג) לפקודת סדרי השלטון והמשפט הוחל למפרע, וזאת משום שבסעיף 10(ג) עצמו אין קבוע פטור מפורש מחובת פרסום. הפטור נובע מסעיף 3(2) לתקנות ההגנה, שבוטל עם חקיקת סעיף 10(ג) המקורי לפקודה. השינוי למפרע של סעיף 10(ג) החייה את הפטור הקבוע בסעיף 3(2) לתקנות ההגנה.</w:t>
      </w:r>
    </w:p>
  </w:footnote>
  <w:footnote w:id="73">
    <w:p w:rsidR="00241BC2" w:rsidRPr="00314ED3" w:rsidRDefault="00241BC2" w:rsidP="00241BC2">
      <w:pPr>
        <w:pStyle w:val="a0"/>
        <w:spacing w:after="80" w:line="240" w:lineRule="auto"/>
        <w:ind w:firstLine="720"/>
        <w:rPr>
          <w:rFonts w:ascii="Arial" w:hAnsi="Arial" w:cs="Arial"/>
          <w:sz w:val="18"/>
          <w:szCs w:val="18"/>
          <w:rtl/>
        </w:rPr>
      </w:pPr>
      <w:r w:rsidRPr="00314ED3">
        <w:rPr>
          <w:rStyle w:val="FootnoteReference"/>
          <w:rFonts w:ascii="Arial" w:hAnsi="Arial" w:cs="Arial"/>
          <w:sz w:val="18"/>
          <w:szCs w:val="18"/>
        </w:rPr>
        <w:footnoteRef/>
      </w:r>
      <w:r w:rsidRPr="00314ED3">
        <w:rPr>
          <w:rFonts w:ascii="Arial" w:hAnsi="Arial" w:cs="Arial"/>
          <w:sz w:val="18"/>
          <w:szCs w:val="18"/>
          <w:rtl/>
        </w:rPr>
        <w:t xml:space="preserve"> בג"צ 5808/93 </w:t>
      </w:r>
      <w:r w:rsidRPr="00314ED3">
        <w:rPr>
          <w:rFonts w:ascii="Arial" w:hAnsi="Arial" w:cs="Arial"/>
          <w:b/>
          <w:bCs/>
          <w:sz w:val="18"/>
          <w:szCs w:val="18"/>
          <w:rtl/>
        </w:rPr>
        <w:t>חברה כלכלית לירושלים נ' מפקד כוחות צה"ל</w:t>
      </w:r>
      <w:r w:rsidRPr="00314ED3">
        <w:rPr>
          <w:rFonts w:ascii="Arial" w:hAnsi="Arial" w:cs="Arial"/>
          <w:sz w:val="18"/>
          <w:szCs w:val="18"/>
          <w:rtl/>
        </w:rPr>
        <w:t xml:space="preserve">, פ"ד מט(1) 89, </w:t>
      </w:r>
      <w:r w:rsidRPr="00314ED3">
        <w:rPr>
          <w:rFonts w:ascii="Arial" w:hAnsi="Arial" w:cs="Arial" w:hint="cs"/>
          <w:sz w:val="18"/>
          <w:szCs w:val="18"/>
          <w:rtl/>
        </w:rPr>
        <w:t>100 (השופט גולדברג)</w:t>
      </w:r>
      <w:r w:rsidRPr="00314ED3">
        <w:rPr>
          <w:rFonts w:ascii="Arial" w:hAnsi="Arial" w:cs="Arial"/>
          <w:sz w:val="18"/>
          <w:szCs w:val="18"/>
          <w:rtl/>
        </w:rPr>
        <w:t xml:space="preserve">: "[הוראת] סעיף 17 לפקודת הפרשנות... חלה על תקנות כאלה המותקנות בתחומי מדינת ישראל, והיא לא הוחלה בדרך אקסטרא-טריטוריאלית על ישובים או אזרחים ישראליים באזור. לפיכך הצורך בפומביות החקיקה אינו נובע מכוחה". עם זאת, חלה החובה לפרסם צווים אלה בדרך יעילה. ראו </w:t>
      </w:r>
      <w:r>
        <w:rPr>
          <w:rFonts w:ascii="Arial" w:hAnsi="Arial" w:cs="Arial" w:hint="cs"/>
          <w:sz w:val="18"/>
          <w:szCs w:val="18"/>
          <w:rtl/>
        </w:rPr>
        <w:t>..</w:t>
      </w:r>
      <w:r w:rsidRPr="00314ED3">
        <w:rPr>
          <w:rFonts w:ascii="Arial" w:hAnsi="Arial" w:cs="Arial"/>
          <w:sz w:val="18"/>
          <w:szCs w:val="18"/>
          <w:rtl/>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D768A"/>
    <w:multiLevelType w:val="multilevel"/>
    <w:tmpl w:val="B4943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C080F"/>
    <w:multiLevelType w:val="singleLevel"/>
    <w:tmpl w:val="B6320C9C"/>
    <w:lvl w:ilvl="0">
      <w:start w:val="1"/>
      <w:numFmt w:val="hebrew1"/>
      <w:lvlText w:val="(%1)"/>
      <w:lvlJc w:val="left"/>
      <w:pPr>
        <w:tabs>
          <w:tab w:val="num" w:pos="1440"/>
        </w:tabs>
        <w:ind w:hanging="720"/>
      </w:pPr>
      <w:rPr>
        <w:rFonts w:cs="Miriam" w:hint="cs"/>
        <w:sz w:val="24"/>
        <w:szCs w:val="20"/>
      </w:rPr>
    </w:lvl>
  </w:abstractNum>
  <w:abstractNum w:abstractNumId="2">
    <w:nsid w:val="06536045"/>
    <w:multiLevelType w:val="multilevel"/>
    <w:tmpl w:val="DF648A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6633C67"/>
    <w:multiLevelType w:val="singleLevel"/>
    <w:tmpl w:val="49826D84"/>
    <w:lvl w:ilvl="0">
      <w:start w:val="1"/>
      <w:numFmt w:val="chosung"/>
      <w:pStyle w:val="T-arrow"/>
      <w:lvlText w:val=""/>
      <w:lvlJc w:val="center"/>
      <w:pPr>
        <w:tabs>
          <w:tab w:val="num" w:pos="648"/>
        </w:tabs>
        <w:ind w:left="360" w:right="360" w:hanging="72"/>
      </w:pPr>
      <w:rPr>
        <w:rFonts w:ascii="Wingdings" w:hAnsi="Wingdings" w:hint="default"/>
      </w:rPr>
    </w:lvl>
  </w:abstractNum>
  <w:abstractNum w:abstractNumId="4">
    <w:nsid w:val="08A6001B"/>
    <w:multiLevelType w:val="hybridMultilevel"/>
    <w:tmpl w:val="B2C4B5E4"/>
    <w:lvl w:ilvl="0" w:tplc="5F9C772A">
      <w:start w:val="1"/>
      <w:numFmt w:val="decimal"/>
      <w:pStyle w:val="Ruller4"/>
      <w:lvlText w:val="%1."/>
      <w:lvlJc w:val="left"/>
      <w:pPr>
        <w:tabs>
          <w:tab w:val="num" w:pos="907"/>
        </w:tabs>
        <w:ind w:left="0" w:firstLine="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D720A09"/>
    <w:multiLevelType w:val="hybridMultilevel"/>
    <w:tmpl w:val="3BAC9202"/>
    <w:lvl w:ilvl="0" w:tplc="C428C2A2">
      <w:start w:val="1"/>
      <w:numFmt w:val="decimal"/>
      <w:lvlText w:val="%1."/>
      <w:lvlJc w:val="left"/>
      <w:pPr>
        <w:tabs>
          <w:tab w:val="num" w:pos="720"/>
        </w:tabs>
        <w:ind w:left="0" w:firstLine="0"/>
      </w:pPr>
      <w:rPr>
        <w:rFonts w:ascii="Times New Roman" w:hAnsi="Times New Roman" w:cs="FrankRuehl" w:hint="default"/>
        <w:b w:val="0"/>
        <w:bCs w:val="0"/>
        <w:i w:val="0"/>
        <w:iCs w:val="0"/>
        <w:caps w:val="0"/>
        <w:smallCaps w:val="0"/>
        <w:strike w:val="0"/>
        <w:dstrike w:val="0"/>
        <w:outline w:val="0"/>
        <w:shadow w:val="0"/>
        <w:emboss w:val="0"/>
        <w:imprint w:val="0"/>
        <w:vanish w:val="0"/>
        <w:webHidden w:val="0"/>
        <w:color w:val="auto"/>
        <w:spacing w:val="10"/>
        <w:w w:val="100"/>
        <w:kern w:val="0"/>
        <w:position w:val="0"/>
        <w:sz w:val="28"/>
        <w:szCs w:val="28"/>
        <w:u w:val="none" w:color="000000"/>
        <w:effect w:val="none"/>
        <w:vertAlign w:val="baseline"/>
        <w:lang w:bidi="he-IL"/>
        <w:specVanish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E266991"/>
    <w:multiLevelType w:val="multilevel"/>
    <w:tmpl w:val="525CF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D03CDC"/>
    <w:multiLevelType w:val="hybridMultilevel"/>
    <w:tmpl w:val="ACA6E3FA"/>
    <w:lvl w:ilvl="0" w:tplc="A7D2BC3A">
      <w:start w:val="2"/>
      <w:numFmt w:val="hebrew1"/>
      <w:lvlText w:val="%1."/>
      <w:lvlJc w:val="left"/>
      <w:pPr>
        <w:tabs>
          <w:tab w:val="num" w:pos="799"/>
        </w:tabs>
        <w:ind w:left="0" w:firstLine="57"/>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48A180C"/>
    <w:multiLevelType w:val="singleLevel"/>
    <w:tmpl w:val="63B0E672"/>
    <w:lvl w:ilvl="0">
      <w:start w:val="1"/>
      <w:numFmt w:val="decimal"/>
      <w:lvlText w:val="(%1)"/>
      <w:lvlJc w:val="left"/>
      <w:pPr>
        <w:tabs>
          <w:tab w:val="num" w:pos="5007"/>
        </w:tabs>
        <w:ind w:hanging="720"/>
      </w:pPr>
      <w:rPr>
        <w:rFonts w:cs="Miriam" w:hint="cs"/>
        <w:sz w:val="24"/>
      </w:rPr>
    </w:lvl>
  </w:abstractNum>
  <w:abstractNum w:abstractNumId="9">
    <w:nsid w:val="1C5A63E8"/>
    <w:multiLevelType w:val="multilevel"/>
    <w:tmpl w:val="292A7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265976"/>
    <w:multiLevelType w:val="multilevel"/>
    <w:tmpl w:val="A8FAF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2A4D0D"/>
    <w:multiLevelType w:val="hybridMultilevel"/>
    <w:tmpl w:val="4EEE6E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864C3E"/>
    <w:multiLevelType w:val="multilevel"/>
    <w:tmpl w:val="6E40F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E73B64"/>
    <w:multiLevelType w:val="multilevel"/>
    <w:tmpl w:val="6F28E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8519E3"/>
    <w:multiLevelType w:val="hybridMultilevel"/>
    <w:tmpl w:val="19D8D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246DED"/>
    <w:multiLevelType w:val="hybridMultilevel"/>
    <w:tmpl w:val="74020754"/>
    <w:lvl w:ilvl="0" w:tplc="6A92C4A8">
      <w:start w:val="1"/>
      <w:numFmt w:val="decimal"/>
      <w:lvlText w:val="%1."/>
      <w:lvlJc w:val="left"/>
      <w:pPr>
        <w:tabs>
          <w:tab w:val="num" w:pos="-720"/>
        </w:tabs>
        <w:ind w:left="0" w:firstLine="0"/>
      </w:pPr>
      <w:rPr>
        <w:lang w:bidi="he-IL"/>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2E633EA5"/>
    <w:multiLevelType w:val="hybridMultilevel"/>
    <w:tmpl w:val="EA38E964"/>
    <w:lvl w:ilvl="0" w:tplc="D390CD2E">
      <w:start w:val="1"/>
      <w:numFmt w:val="decimal"/>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7">
    <w:nsid w:val="2E7C146F"/>
    <w:multiLevelType w:val="multilevel"/>
    <w:tmpl w:val="18781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19591F"/>
    <w:multiLevelType w:val="multilevel"/>
    <w:tmpl w:val="A7EEC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4477F9"/>
    <w:multiLevelType w:val="hybridMultilevel"/>
    <w:tmpl w:val="99B8CB2C"/>
    <w:lvl w:ilvl="0" w:tplc="DEAAB4F6">
      <w:start w:val="1"/>
      <w:numFmt w:val="decimal"/>
      <w:lvlText w:val="(%1)"/>
      <w:lvlJc w:val="left"/>
      <w:pPr>
        <w:ind w:left="1080" w:hanging="360"/>
      </w:pPr>
      <w:rPr>
        <w:rFonts w:hint="default"/>
      </w:rPr>
    </w:lvl>
    <w:lvl w:ilvl="1" w:tplc="FE103C80">
      <w:start w:val="5"/>
      <w:numFmt w:val="bullet"/>
      <w:lvlText w:val="–"/>
      <w:lvlJc w:val="left"/>
      <w:pPr>
        <w:tabs>
          <w:tab w:val="num" w:pos="1800"/>
        </w:tabs>
        <w:ind w:left="1800" w:hanging="360"/>
      </w:pPr>
      <w:rPr>
        <w:rFonts w:ascii="Times New Roman" w:eastAsia="Times New Roman" w:hAnsi="Times New Roman" w:cs="Times New Roman"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AA87839"/>
    <w:multiLevelType w:val="multilevel"/>
    <w:tmpl w:val="E2D6D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3F60F2"/>
    <w:multiLevelType w:val="multilevel"/>
    <w:tmpl w:val="B9745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313A15"/>
    <w:multiLevelType w:val="multilevel"/>
    <w:tmpl w:val="D9D0B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217389F"/>
    <w:multiLevelType w:val="hybridMultilevel"/>
    <w:tmpl w:val="A5AC41A0"/>
    <w:lvl w:ilvl="0" w:tplc="727447D2">
      <w:start w:val="1"/>
      <w:numFmt w:val="decimal"/>
      <w:lvlText w:val="%1."/>
      <w:lvlJc w:val="left"/>
      <w:pPr>
        <w:tabs>
          <w:tab w:val="num" w:pos="720"/>
        </w:tabs>
        <w:ind w:left="720" w:right="720" w:hanging="360"/>
      </w:pPr>
      <w:rPr>
        <w:rFonts w:hint="default"/>
      </w:rPr>
    </w:lvl>
    <w:lvl w:ilvl="1" w:tplc="0E401C64">
      <w:start w:val="1"/>
      <w:numFmt w:val="hebrew1"/>
      <w:lvlText w:val="%2."/>
      <w:lvlJc w:val="left"/>
      <w:pPr>
        <w:tabs>
          <w:tab w:val="num" w:pos="1440"/>
        </w:tabs>
        <w:ind w:left="1440" w:right="1440" w:hanging="360"/>
      </w:pPr>
      <w:rPr>
        <w:rFonts w:hint="cs"/>
      </w:r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4">
    <w:nsid w:val="42207AD1"/>
    <w:multiLevelType w:val="hybridMultilevel"/>
    <w:tmpl w:val="D6285D7E"/>
    <w:lvl w:ilvl="0" w:tplc="E946B824">
      <w:start w:val="1"/>
      <w:numFmt w:val="decimal"/>
      <w:lvlText w:val="(%1)"/>
      <w:lvlJc w:val="left"/>
      <w:pPr>
        <w:tabs>
          <w:tab w:val="num" w:pos="1080"/>
        </w:tabs>
        <w:ind w:left="108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2365529"/>
    <w:multiLevelType w:val="multilevel"/>
    <w:tmpl w:val="B5BA2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5B3AD2"/>
    <w:multiLevelType w:val="multilevel"/>
    <w:tmpl w:val="83DE6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243FF8"/>
    <w:multiLevelType w:val="hybridMultilevel"/>
    <w:tmpl w:val="8154F896"/>
    <w:lvl w:ilvl="0" w:tplc="952E9FD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8A00B4"/>
    <w:multiLevelType w:val="multilevel"/>
    <w:tmpl w:val="64267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C745062"/>
    <w:multiLevelType w:val="hybridMultilevel"/>
    <w:tmpl w:val="F98066DE"/>
    <w:lvl w:ilvl="0" w:tplc="E200B144">
      <w:start w:val="7"/>
      <w:numFmt w:val="decimal"/>
      <w:lvlText w:val="%1."/>
      <w:lvlJc w:val="left"/>
      <w:pPr>
        <w:tabs>
          <w:tab w:val="num" w:pos="360"/>
        </w:tabs>
        <w:ind w:left="360" w:hanging="360"/>
      </w:pPr>
      <w:rPr>
        <w:rFonts w:hint="default"/>
        <w:sz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nsid w:val="4CCA1C4B"/>
    <w:multiLevelType w:val="hybridMultilevel"/>
    <w:tmpl w:val="6060C92A"/>
    <w:lvl w:ilvl="0" w:tplc="D366782C">
      <w:start w:val="37"/>
      <w:numFmt w:val="decimal"/>
      <w:lvlText w:val="%1."/>
      <w:lvlJc w:val="left"/>
      <w:pPr>
        <w:tabs>
          <w:tab w:val="num" w:pos="810"/>
        </w:tabs>
        <w:ind w:left="90" w:firstLine="0"/>
      </w:pPr>
      <w:rPr>
        <w:rFonts w:ascii="Times New Roman" w:hAnsi="Times New Roman" w:cs="FrankRuehl" w:hint="default"/>
        <w:b w:val="0"/>
        <w:bCs w:val="0"/>
        <w:i w:val="0"/>
        <w:iCs w:val="0"/>
        <w:caps w:val="0"/>
        <w:smallCaps w:val="0"/>
        <w:strike w:val="0"/>
        <w:dstrike w:val="0"/>
        <w:outline w:val="0"/>
        <w:shadow w:val="0"/>
        <w:emboss w:val="0"/>
        <w:imprint w:val="0"/>
        <w:vanish w:val="0"/>
        <w:color w:val="auto"/>
        <w:spacing w:val="10"/>
        <w:w w:val="100"/>
        <w:kern w:val="0"/>
        <w:position w:val="0"/>
        <w:sz w:val="28"/>
        <w:szCs w:val="28"/>
        <w:u w:val="none" w:color="000000"/>
        <w:effec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422F74"/>
    <w:multiLevelType w:val="hybridMultilevel"/>
    <w:tmpl w:val="2082718E"/>
    <w:lvl w:ilvl="0" w:tplc="2206BC4C">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49F22CE"/>
    <w:multiLevelType w:val="hybridMultilevel"/>
    <w:tmpl w:val="7CE27720"/>
    <w:lvl w:ilvl="0" w:tplc="B70E455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C2600C"/>
    <w:multiLevelType w:val="multilevel"/>
    <w:tmpl w:val="0668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DA6025"/>
    <w:multiLevelType w:val="singleLevel"/>
    <w:tmpl w:val="7D84906C"/>
    <w:lvl w:ilvl="0">
      <w:start w:val="1"/>
      <w:numFmt w:val="hebrew1"/>
      <w:lvlText w:val="(%1)"/>
      <w:lvlJc w:val="left"/>
      <w:pPr>
        <w:tabs>
          <w:tab w:val="num" w:pos="1440"/>
        </w:tabs>
        <w:ind w:hanging="720"/>
      </w:pPr>
      <w:rPr>
        <w:rFonts w:cs="Miriam" w:hint="cs"/>
        <w:sz w:val="24"/>
        <w:szCs w:val="20"/>
      </w:rPr>
    </w:lvl>
  </w:abstractNum>
  <w:abstractNum w:abstractNumId="35">
    <w:nsid w:val="65F07888"/>
    <w:multiLevelType w:val="multilevel"/>
    <w:tmpl w:val="73DAD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71D01B8"/>
    <w:multiLevelType w:val="multilevel"/>
    <w:tmpl w:val="30548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D9290C"/>
    <w:multiLevelType w:val="hybridMultilevel"/>
    <w:tmpl w:val="798EDDD0"/>
    <w:lvl w:ilvl="0" w:tplc="2B8AC162">
      <w:start w:val="3"/>
      <w:numFmt w:val="hebrew1"/>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nsid w:val="6A6C7A19"/>
    <w:multiLevelType w:val="multilevel"/>
    <w:tmpl w:val="A3301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34"/>
  </w:num>
  <w:num w:numId="4">
    <w:abstractNumId w:val="20"/>
  </w:num>
  <w:num w:numId="5">
    <w:abstractNumId w:val="26"/>
  </w:num>
  <w:num w:numId="6">
    <w:abstractNumId w:val="13"/>
  </w:num>
  <w:num w:numId="7">
    <w:abstractNumId w:val="23"/>
  </w:num>
  <w:num w:numId="8">
    <w:abstractNumId w:val="22"/>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num>
  <w:num w:numId="11">
    <w:abstractNumId w:val="16"/>
  </w:num>
  <w:num w:numId="12">
    <w:abstractNumId w:val="38"/>
  </w:num>
  <w:num w:numId="13">
    <w:abstractNumId w:val="14"/>
  </w:num>
  <w:num w:numId="14">
    <w:abstractNumId w:val="10"/>
  </w:num>
  <w:num w:numId="15">
    <w:abstractNumId w:val="32"/>
  </w:num>
  <w:num w:numId="16">
    <w:abstractNumId w:val="19"/>
  </w:num>
  <w:num w:numId="17">
    <w:abstractNumId w:val="27"/>
  </w:num>
  <w:num w:numId="18">
    <w:abstractNumId w:val="36"/>
  </w:num>
  <w:num w:numId="19">
    <w:abstractNumId w:val="0"/>
  </w:num>
  <w:num w:numId="20">
    <w:abstractNumId w:val="18"/>
  </w:num>
  <w:num w:numId="21">
    <w:abstractNumId w:val="9"/>
  </w:num>
  <w:num w:numId="22">
    <w:abstractNumId w:val="33"/>
  </w:num>
  <w:num w:numId="23">
    <w:abstractNumId w:val="35"/>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25"/>
  </w:num>
  <w:num w:numId="27">
    <w:abstractNumId w:val="3"/>
  </w:num>
  <w:num w:numId="28">
    <w:abstractNumId w:val="24"/>
  </w:num>
  <w:num w:numId="29">
    <w:abstractNumId w:val="17"/>
  </w:num>
  <w:num w:numId="30">
    <w:abstractNumId w:val="7"/>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29"/>
  </w:num>
  <w:num w:numId="35">
    <w:abstractNumId w:val="31"/>
  </w:num>
  <w:num w:numId="36">
    <w:abstractNumId w:val="11"/>
  </w:num>
  <w:num w:numId="37">
    <w:abstractNumId w:val="6"/>
  </w:num>
  <w:num w:numId="38">
    <w:abstractNumId w:val="28"/>
  </w:num>
  <w:num w:numId="39">
    <w:abstractNumId w:val="12"/>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doNotDisplayPageBoundaries/>
  <w:embedSystemFonts/>
  <w:attachedTemplate r:id="rId1"/>
  <w:stylePaneFormatFilter w:val="3F01"/>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864E35"/>
    <w:rsid w:val="00007747"/>
    <w:rsid w:val="00007BDB"/>
    <w:rsid w:val="0002152C"/>
    <w:rsid w:val="00045F24"/>
    <w:rsid w:val="00050D0D"/>
    <w:rsid w:val="000728BE"/>
    <w:rsid w:val="000A0C0B"/>
    <w:rsid w:val="000A0DB5"/>
    <w:rsid w:val="000A1312"/>
    <w:rsid w:val="000A774A"/>
    <w:rsid w:val="000B0210"/>
    <w:rsid w:val="000B7168"/>
    <w:rsid w:val="000C6522"/>
    <w:rsid w:val="000D34E8"/>
    <w:rsid w:val="000D56E8"/>
    <w:rsid w:val="000F3827"/>
    <w:rsid w:val="00101A7C"/>
    <w:rsid w:val="00102EA8"/>
    <w:rsid w:val="00103D71"/>
    <w:rsid w:val="00104F01"/>
    <w:rsid w:val="001142CA"/>
    <w:rsid w:val="00122E27"/>
    <w:rsid w:val="00133E22"/>
    <w:rsid w:val="00135C3D"/>
    <w:rsid w:val="0014333E"/>
    <w:rsid w:val="0016643D"/>
    <w:rsid w:val="001A3F2D"/>
    <w:rsid w:val="001B401A"/>
    <w:rsid w:val="001E55B6"/>
    <w:rsid w:val="00234900"/>
    <w:rsid w:val="00241BC2"/>
    <w:rsid w:val="0025709E"/>
    <w:rsid w:val="00264628"/>
    <w:rsid w:val="002742B0"/>
    <w:rsid w:val="0029559E"/>
    <w:rsid w:val="002A0AB8"/>
    <w:rsid w:val="002A4932"/>
    <w:rsid w:val="002B1718"/>
    <w:rsid w:val="002C29C5"/>
    <w:rsid w:val="002C4577"/>
    <w:rsid w:val="002C6FC9"/>
    <w:rsid w:val="002D6168"/>
    <w:rsid w:val="002E10EF"/>
    <w:rsid w:val="002F0044"/>
    <w:rsid w:val="002F01DD"/>
    <w:rsid w:val="002F173B"/>
    <w:rsid w:val="002F4617"/>
    <w:rsid w:val="00307520"/>
    <w:rsid w:val="00315C5C"/>
    <w:rsid w:val="00341645"/>
    <w:rsid w:val="00357DC8"/>
    <w:rsid w:val="00372965"/>
    <w:rsid w:val="00374B4B"/>
    <w:rsid w:val="003901D0"/>
    <w:rsid w:val="003A67D4"/>
    <w:rsid w:val="003B6D6D"/>
    <w:rsid w:val="003C2930"/>
    <w:rsid w:val="003D2427"/>
    <w:rsid w:val="00405D26"/>
    <w:rsid w:val="00414CC2"/>
    <w:rsid w:val="004209DE"/>
    <w:rsid w:val="004239FB"/>
    <w:rsid w:val="00424E7D"/>
    <w:rsid w:val="00435066"/>
    <w:rsid w:val="004355C8"/>
    <w:rsid w:val="004447F4"/>
    <w:rsid w:val="00444A6E"/>
    <w:rsid w:val="00445FA6"/>
    <w:rsid w:val="00450337"/>
    <w:rsid w:val="00450B27"/>
    <w:rsid w:val="00451563"/>
    <w:rsid w:val="004547D3"/>
    <w:rsid w:val="004568E4"/>
    <w:rsid w:val="00464433"/>
    <w:rsid w:val="004B375E"/>
    <w:rsid w:val="004B4305"/>
    <w:rsid w:val="004B4410"/>
    <w:rsid w:val="004C013C"/>
    <w:rsid w:val="00503091"/>
    <w:rsid w:val="005062F0"/>
    <w:rsid w:val="00515AB3"/>
    <w:rsid w:val="0052613A"/>
    <w:rsid w:val="005366A8"/>
    <w:rsid w:val="00540775"/>
    <w:rsid w:val="005438B1"/>
    <w:rsid w:val="00546451"/>
    <w:rsid w:val="00564C81"/>
    <w:rsid w:val="005A3810"/>
    <w:rsid w:val="005A7F84"/>
    <w:rsid w:val="005B0C91"/>
    <w:rsid w:val="005C19D8"/>
    <w:rsid w:val="005C1E83"/>
    <w:rsid w:val="005D21C2"/>
    <w:rsid w:val="005D7968"/>
    <w:rsid w:val="005E052B"/>
    <w:rsid w:val="00614C71"/>
    <w:rsid w:val="00614D0F"/>
    <w:rsid w:val="00614FF7"/>
    <w:rsid w:val="006273C4"/>
    <w:rsid w:val="00657FAA"/>
    <w:rsid w:val="00663141"/>
    <w:rsid w:val="00670C79"/>
    <w:rsid w:val="006719C6"/>
    <w:rsid w:val="006729C3"/>
    <w:rsid w:val="00692191"/>
    <w:rsid w:val="006A1FFA"/>
    <w:rsid w:val="006A4435"/>
    <w:rsid w:val="006B43CB"/>
    <w:rsid w:val="006C1AD7"/>
    <w:rsid w:val="007517E3"/>
    <w:rsid w:val="00786C59"/>
    <w:rsid w:val="00787813"/>
    <w:rsid w:val="007A2883"/>
    <w:rsid w:val="007B1129"/>
    <w:rsid w:val="007E5DAE"/>
    <w:rsid w:val="007E7BB8"/>
    <w:rsid w:val="007F6E4F"/>
    <w:rsid w:val="00804038"/>
    <w:rsid w:val="008062AE"/>
    <w:rsid w:val="00817BDA"/>
    <w:rsid w:val="00824B06"/>
    <w:rsid w:val="00825C79"/>
    <w:rsid w:val="00864E35"/>
    <w:rsid w:val="008843BB"/>
    <w:rsid w:val="008900AD"/>
    <w:rsid w:val="008B07EB"/>
    <w:rsid w:val="008B17FE"/>
    <w:rsid w:val="008B796E"/>
    <w:rsid w:val="008B7FD0"/>
    <w:rsid w:val="008D0B1F"/>
    <w:rsid w:val="008D294F"/>
    <w:rsid w:val="008E7AEF"/>
    <w:rsid w:val="008F30A1"/>
    <w:rsid w:val="009261F6"/>
    <w:rsid w:val="00934C93"/>
    <w:rsid w:val="0094492A"/>
    <w:rsid w:val="00955C91"/>
    <w:rsid w:val="0096554C"/>
    <w:rsid w:val="00974447"/>
    <w:rsid w:val="009853FD"/>
    <w:rsid w:val="00986937"/>
    <w:rsid w:val="009A1EBA"/>
    <w:rsid w:val="009B3692"/>
    <w:rsid w:val="009E1086"/>
    <w:rsid w:val="00A01776"/>
    <w:rsid w:val="00A0360D"/>
    <w:rsid w:val="00A12318"/>
    <w:rsid w:val="00A14A3F"/>
    <w:rsid w:val="00A53114"/>
    <w:rsid w:val="00A61866"/>
    <w:rsid w:val="00A7421D"/>
    <w:rsid w:val="00A758AD"/>
    <w:rsid w:val="00A82B48"/>
    <w:rsid w:val="00A87CB5"/>
    <w:rsid w:val="00AA403D"/>
    <w:rsid w:val="00AB6AB5"/>
    <w:rsid w:val="00AC609C"/>
    <w:rsid w:val="00AD2A58"/>
    <w:rsid w:val="00AE44B8"/>
    <w:rsid w:val="00AF0FF6"/>
    <w:rsid w:val="00AF768C"/>
    <w:rsid w:val="00B00D29"/>
    <w:rsid w:val="00B0339F"/>
    <w:rsid w:val="00B10386"/>
    <w:rsid w:val="00B129B0"/>
    <w:rsid w:val="00B2559F"/>
    <w:rsid w:val="00B56B87"/>
    <w:rsid w:val="00B6173F"/>
    <w:rsid w:val="00B66FA3"/>
    <w:rsid w:val="00B84BE8"/>
    <w:rsid w:val="00B9429B"/>
    <w:rsid w:val="00BA02FC"/>
    <w:rsid w:val="00BC4D39"/>
    <w:rsid w:val="00BE5D45"/>
    <w:rsid w:val="00BF093A"/>
    <w:rsid w:val="00C208F5"/>
    <w:rsid w:val="00C25C5E"/>
    <w:rsid w:val="00C330B8"/>
    <w:rsid w:val="00C34DC1"/>
    <w:rsid w:val="00C4131E"/>
    <w:rsid w:val="00C4540A"/>
    <w:rsid w:val="00C547E2"/>
    <w:rsid w:val="00C56D53"/>
    <w:rsid w:val="00C57228"/>
    <w:rsid w:val="00C61B0D"/>
    <w:rsid w:val="00C64248"/>
    <w:rsid w:val="00C755AD"/>
    <w:rsid w:val="00C93447"/>
    <w:rsid w:val="00CB264C"/>
    <w:rsid w:val="00CE3BB2"/>
    <w:rsid w:val="00CE48CE"/>
    <w:rsid w:val="00CE6041"/>
    <w:rsid w:val="00CF35E6"/>
    <w:rsid w:val="00D31602"/>
    <w:rsid w:val="00D50DC1"/>
    <w:rsid w:val="00D53B7B"/>
    <w:rsid w:val="00D65B42"/>
    <w:rsid w:val="00D71E41"/>
    <w:rsid w:val="00D755F5"/>
    <w:rsid w:val="00D75A2A"/>
    <w:rsid w:val="00D90261"/>
    <w:rsid w:val="00D93971"/>
    <w:rsid w:val="00D93C38"/>
    <w:rsid w:val="00DA551E"/>
    <w:rsid w:val="00E1049D"/>
    <w:rsid w:val="00E1290D"/>
    <w:rsid w:val="00E21DA5"/>
    <w:rsid w:val="00E304D0"/>
    <w:rsid w:val="00E32167"/>
    <w:rsid w:val="00E3281A"/>
    <w:rsid w:val="00E35C09"/>
    <w:rsid w:val="00E3767C"/>
    <w:rsid w:val="00E538A2"/>
    <w:rsid w:val="00E81C0A"/>
    <w:rsid w:val="00EB2E8D"/>
    <w:rsid w:val="00EC025C"/>
    <w:rsid w:val="00EE2276"/>
    <w:rsid w:val="00EE3B75"/>
    <w:rsid w:val="00F0757B"/>
    <w:rsid w:val="00F12A03"/>
    <w:rsid w:val="00F21D74"/>
    <w:rsid w:val="00F47D76"/>
    <w:rsid w:val="00F54697"/>
    <w:rsid w:val="00F60785"/>
    <w:rsid w:val="00F65E77"/>
    <w:rsid w:val="00F71E26"/>
    <w:rsid w:val="00F82320"/>
    <w:rsid w:val="00FB0AA9"/>
    <w:rsid w:val="00FC2C4B"/>
    <w:rsid w:val="00FD4905"/>
    <w:rsid w:val="00FE2A56"/>
    <w:rsid w:val="00FE564D"/>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metricconverter"/>
  <w:smartTagType w:namespaceuri="urn:schemas-microsoft-com:office:smarttags" w:name="stockticker"/>
  <w:smartTagType w:namespaceuri="urn:schemas-microsoft-com:office:smarttags" w:name="PersonNam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semiHidden="1" w:unhideWhenUsed="1" w:qFormat="1"/>
    <w:lsdException w:name="annotation reference" w:uiPriority="99"/>
    <w:lsdException w:name="endnote reference" w:uiPriority="99"/>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28BE"/>
    <w:pPr>
      <w:bidi/>
      <w:jc w:val="both"/>
    </w:pPr>
    <w:rPr>
      <w:rFonts w:cs="Times New Roman"/>
      <w:sz w:val="24"/>
      <w:szCs w:val="24"/>
    </w:rPr>
  </w:style>
  <w:style w:type="paragraph" w:styleId="Heading1">
    <w:name w:val="heading 1"/>
    <w:basedOn w:val="Normal"/>
    <w:next w:val="Normal"/>
    <w:link w:val="Heading1Char"/>
    <w:qFormat/>
    <w:rsid w:val="000728BE"/>
    <w:pPr>
      <w:keepNext/>
      <w:outlineLvl w:val="0"/>
    </w:pPr>
    <w:rPr>
      <w:b/>
      <w:bCs/>
      <w:sz w:val="22"/>
    </w:rPr>
  </w:style>
  <w:style w:type="paragraph" w:styleId="Heading2">
    <w:name w:val="heading 2"/>
    <w:basedOn w:val="Normal"/>
    <w:next w:val="Normal"/>
    <w:link w:val="Heading2Char"/>
    <w:qFormat/>
    <w:rsid w:val="000728BE"/>
    <w:pPr>
      <w:keepNext/>
      <w:ind w:firstLine="720"/>
      <w:outlineLvl w:val="1"/>
    </w:pPr>
    <w:rPr>
      <w:b/>
      <w:bCs/>
      <w:i/>
      <w:iCs/>
      <w:sz w:val="22"/>
      <w:u w:val="single"/>
    </w:rPr>
  </w:style>
  <w:style w:type="paragraph" w:styleId="Heading3">
    <w:name w:val="heading 3"/>
    <w:basedOn w:val="Normal"/>
    <w:next w:val="Normal"/>
    <w:link w:val="Heading3Char"/>
    <w:qFormat/>
    <w:rsid w:val="000728BE"/>
    <w:pPr>
      <w:keepNext/>
      <w:jc w:val="center"/>
      <w:outlineLvl w:val="2"/>
    </w:pPr>
    <w:rPr>
      <w:b/>
      <w:bCs/>
      <w:sz w:val="22"/>
    </w:rPr>
  </w:style>
  <w:style w:type="paragraph" w:styleId="Heading4">
    <w:name w:val="heading 4"/>
    <w:basedOn w:val="Normal"/>
    <w:next w:val="Normal"/>
    <w:link w:val="Heading4Char"/>
    <w:qFormat/>
    <w:rsid w:val="000728BE"/>
    <w:pPr>
      <w:keepNext/>
      <w:jc w:val="center"/>
      <w:outlineLvl w:val="3"/>
    </w:pPr>
    <w:rPr>
      <w:b/>
      <w:bCs/>
    </w:rPr>
  </w:style>
  <w:style w:type="paragraph" w:styleId="Heading5">
    <w:name w:val="heading 5"/>
    <w:basedOn w:val="Normal"/>
    <w:next w:val="Normal"/>
    <w:link w:val="Heading5Char"/>
    <w:qFormat/>
    <w:rsid w:val="000728BE"/>
    <w:pPr>
      <w:keepNext/>
      <w:spacing w:after="120"/>
      <w:jc w:val="left"/>
      <w:outlineLvl w:val="4"/>
    </w:pPr>
    <w:rPr>
      <w:b/>
      <w:bCs/>
    </w:rPr>
  </w:style>
  <w:style w:type="paragraph" w:styleId="Heading6">
    <w:name w:val="heading 6"/>
    <w:basedOn w:val="Normal"/>
    <w:next w:val="Normal"/>
    <w:link w:val="Heading6Char"/>
    <w:qFormat/>
    <w:rsid w:val="000728BE"/>
    <w:pPr>
      <w:keepNext/>
      <w:spacing w:after="120"/>
      <w:jc w:val="left"/>
      <w:outlineLvl w:val="5"/>
    </w:pPr>
    <w:rPr>
      <w:b/>
      <w:bCs/>
      <w:u w:val="single"/>
    </w:rPr>
  </w:style>
  <w:style w:type="paragraph" w:styleId="Heading7">
    <w:name w:val="heading 7"/>
    <w:basedOn w:val="Normal"/>
    <w:next w:val="Normal"/>
    <w:qFormat/>
    <w:rsid w:val="000728BE"/>
    <w:pPr>
      <w:keepNext/>
      <w:spacing w:line="230" w:lineRule="auto"/>
      <w:jc w:val="center"/>
      <w:outlineLvl w:val="6"/>
    </w:pPr>
    <w:rPr>
      <w:b/>
      <w:bCs/>
      <w:u w:val="single"/>
    </w:rPr>
  </w:style>
  <w:style w:type="paragraph" w:styleId="Heading8">
    <w:name w:val="heading 8"/>
    <w:basedOn w:val="Normal"/>
    <w:next w:val="Normal"/>
    <w:link w:val="Heading8Char"/>
    <w:qFormat/>
    <w:rsid w:val="000728BE"/>
    <w:pPr>
      <w:keepNext/>
      <w:jc w:val="center"/>
      <w:outlineLvl w:val="7"/>
    </w:pPr>
    <w:rPr>
      <w:b/>
      <w:bCs/>
      <w:szCs w:val="22"/>
    </w:rPr>
  </w:style>
  <w:style w:type="paragraph" w:styleId="Heading9">
    <w:name w:val="heading 9"/>
    <w:basedOn w:val="Normal"/>
    <w:next w:val="Normal"/>
    <w:qFormat/>
    <w:rsid w:val="000728BE"/>
    <w:pPr>
      <w:keepNext/>
      <w:jc w:val="center"/>
      <w:outlineLvl w:val="8"/>
    </w:pPr>
    <w:rPr>
      <w:b/>
      <w:bCs/>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הערות,?????,????? Char,????? Char Char"/>
    <w:basedOn w:val="Normal"/>
    <w:link w:val="FootnoteTextChar"/>
    <w:rsid w:val="000728BE"/>
    <w:pPr>
      <w:ind w:firstLine="720"/>
    </w:pPr>
    <w:rPr>
      <w:sz w:val="22"/>
      <w:szCs w:val="22"/>
    </w:rPr>
  </w:style>
  <w:style w:type="character" w:styleId="FootnoteReference">
    <w:name w:val="footnote reference"/>
    <w:aliases w:val="header 3,Footnotes refss"/>
    <w:basedOn w:val="DefaultParagraphFont"/>
    <w:rsid w:val="000728BE"/>
    <w:rPr>
      <w:vertAlign w:val="superscript"/>
    </w:rPr>
  </w:style>
  <w:style w:type="paragraph" w:customStyle="1" w:styleId="T-body">
    <w:name w:val="T-body"/>
    <w:rsid w:val="000728BE"/>
    <w:pPr>
      <w:bidi/>
      <w:spacing w:line="480" w:lineRule="auto"/>
      <w:jc w:val="both"/>
    </w:pPr>
    <w:rPr>
      <w:rFonts w:cs="Times New Roman"/>
      <w:sz w:val="24"/>
      <w:szCs w:val="24"/>
    </w:rPr>
  </w:style>
  <w:style w:type="paragraph" w:customStyle="1" w:styleId="T-quotation">
    <w:name w:val="T-quotation"/>
    <w:basedOn w:val="T-body"/>
    <w:next w:val="T-body"/>
    <w:rsid w:val="000728BE"/>
    <w:pPr>
      <w:spacing w:after="240" w:line="240" w:lineRule="auto"/>
      <w:ind w:left="567" w:right="567"/>
    </w:pPr>
    <w:rPr>
      <w:snapToGrid w:val="0"/>
      <w:sz w:val="22"/>
      <w:szCs w:val="22"/>
      <w:lang w:eastAsia="he-IL"/>
    </w:rPr>
  </w:style>
  <w:style w:type="paragraph" w:styleId="BlockText">
    <w:name w:val="Block Text"/>
    <w:basedOn w:val="Normal"/>
    <w:rsid w:val="000728BE"/>
    <w:pPr>
      <w:spacing w:line="230" w:lineRule="auto"/>
      <w:ind w:left="1440"/>
    </w:pPr>
    <w:rPr>
      <w:szCs w:val="22"/>
    </w:rPr>
  </w:style>
  <w:style w:type="paragraph" w:styleId="Footer">
    <w:name w:val="footer"/>
    <w:basedOn w:val="Normal"/>
    <w:link w:val="FooterChar"/>
    <w:rsid w:val="000728BE"/>
    <w:pPr>
      <w:tabs>
        <w:tab w:val="center" w:pos="4153"/>
        <w:tab w:val="right" w:pos="8306"/>
      </w:tabs>
    </w:pPr>
  </w:style>
  <w:style w:type="character" w:styleId="PageNumber">
    <w:name w:val="page number"/>
    <w:basedOn w:val="DefaultParagraphFont"/>
    <w:rsid w:val="000728BE"/>
  </w:style>
  <w:style w:type="paragraph" w:styleId="BodyText">
    <w:name w:val="Body Text"/>
    <w:basedOn w:val="Normal"/>
    <w:rsid w:val="000728BE"/>
    <w:pPr>
      <w:spacing w:line="360" w:lineRule="auto"/>
    </w:pPr>
    <w:rPr>
      <w:rFonts w:cs="Miriam"/>
    </w:rPr>
  </w:style>
  <w:style w:type="paragraph" w:styleId="BodyText2">
    <w:name w:val="Body Text 2"/>
    <w:basedOn w:val="Normal"/>
    <w:link w:val="BodyText2Char"/>
    <w:rsid w:val="000728BE"/>
    <w:pPr>
      <w:spacing w:line="360" w:lineRule="auto"/>
    </w:pPr>
    <w:rPr>
      <w:rFonts w:cs="Miriam"/>
      <w:color w:val="FF0000"/>
    </w:rPr>
  </w:style>
  <w:style w:type="paragraph" w:styleId="Header">
    <w:name w:val="header"/>
    <w:basedOn w:val="Normal"/>
    <w:link w:val="HeaderChar"/>
    <w:rsid w:val="000728BE"/>
    <w:pPr>
      <w:tabs>
        <w:tab w:val="center" w:pos="4153"/>
        <w:tab w:val="right" w:pos="8306"/>
      </w:tabs>
    </w:pPr>
  </w:style>
  <w:style w:type="table" w:styleId="TableGrid">
    <w:name w:val="Table Grid"/>
    <w:basedOn w:val="TableNormal"/>
    <w:rsid w:val="00D755F5"/>
    <w:pPr>
      <w:bidi/>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3C2930"/>
    <w:rPr>
      <w:rFonts w:ascii="Tahoma" w:hAnsi="Tahoma" w:cs="Tahoma"/>
      <w:sz w:val="16"/>
      <w:szCs w:val="16"/>
    </w:rPr>
  </w:style>
  <w:style w:type="character" w:customStyle="1" w:styleId="default">
    <w:name w:val="default"/>
    <w:basedOn w:val="DefaultParagraphFont"/>
    <w:rsid w:val="00817BDA"/>
    <w:rPr>
      <w:rFonts w:ascii="Times New Roman" w:hAnsi="Times New Roman" w:cs="Times New Roman"/>
      <w:sz w:val="20"/>
      <w:szCs w:val="26"/>
    </w:rPr>
  </w:style>
  <w:style w:type="paragraph" w:customStyle="1" w:styleId="P00">
    <w:name w:val="P00"/>
    <w:rsid w:val="00817BDA"/>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big-number">
    <w:name w:val="big-number"/>
    <w:basedOn w:val="default"/>
    <w:rsid w:val="00817BDA"/>
    <w:rPr>
      <w:sz w:val="32"/>
      <w:szCs w:val="32"/>
    </w:rPr>
  </w:style>
  <w:style w:type="paragraph" w:customStyle="1" w:styleId="P22">
    <w:name w:val="P22"/>
    <w:basedOn w:val="P00"/>
    <w:rsid w:val="00817BDA"/>
    <w:pPr>
      <w:tabs>
        <w:tab w:val="clear" w:pos="624"/>
        <w:tab w:val="clear" w:pos="1021"/>
      </w:tabs>
      <w:ind w:right="1021"/>
    </w:pPr>
  </w:style>
  <w:style w:type="paragraph" w:customStyle="1" w:styleId="4">
    <w:name w:val="סרגל4"/>
    <w:basedOn w:val="Normal"/>
    <w:rsid w:val="00B0339F"/>
    <w:pPr>
      <w:tabs>
        <w:tab w:val="left" w:pos="800"/>
      </w:tabs>
      <w:spacing w:line="480" w:lineRule="auto"/>
    </w:pPr>
    <w:rPr>
      <w:rFonts w:ascii="Arial" w:hAnsi="Arial"/>
      <w:sz w:val="22"/>
      <w:szCs w:val="20"/>
      <w:lang w:eastAsia="he-IL"/>
    </w:rPr>
  </w:style>
  <w:style w:type="character" w:customStyle="1" w:styleId="FootnoteTextChar">
    <w:name w:val="Footnote Text Char"/>
    <w:aliases w:val="הערות Char,????? Char1,????? Char Char1,????? Char Char Char"/>
    <w:link w:val="FootnoteText"/>
    <w:rsid w:val="00F60785"/>
    <w:rPr>
      <w:rFonts w:cs="Times New Roman"/>
      <w:sz w:val="22"/>
      <w:szCs w:val="22"/>
    </w:rPr>
  </w:style>
  <w:style w:type="character" w:styleId="Hyperlink">
    <w:name w:val="Hyperlink"/>
    <w:basedOn w:val="DefaultParagraphFont"/>
    <w:rsid w:val="00F47D76"/>
    <w:rPr>
      <w:color w:val="0000FF" w:themeColor="hyperlink"/>
      <w:u w:val="single"/>
    </w:rPr>
  </w:style>
  <w:style w:type="paragraph" w:styleId="NormalWeb">
    <w:name w:val="Normal (Web)"/>
    <w:basedOn w:val="Normal"/>
    <w:uiPriority w:val="99"/>
    <w:unhideWhenUsed/>
    <w:rsid w:val="00AB6AB5"/>
    <w:pPr>
      <w:bidi w:val="0"/>
      <w:spacing w:before="100" w:beforeAutospacing="1" w:after="100" w:afterAutospacing="1"/>
      <w:jc w:val="left"/>
    </w:pPr>
  </w:style>
  <w:style w:type="character" w:customStyle="1" w:styleId="apple-converted-space">
    <w:name w:val="apple-converted-space"/>
    <w:basedOn w:val="DefaultParagraphFont"/>
    <w:rsid w:val="00AB6AB5"/>
  </w:style>
  <w:style w:type="paragraph" w:customStyle="1" w:styleId="5">
    <w:name w:val="סרגל5"/>
    <w:basedOn w:val="Normal"/>
    <w:rsid w:val="005366A8"/>
    <w:pPr>
      <w:autoSpaceDE w:val="0"/>
      <w:autoSpaceDN w:val="0"/>
      <w:ind w:left="1276" w:right="1644"/>
    </w:pPr>
    <w:rPr>
      <w:rFonts w:ascii="Arial" w:hAnsi="Arial" w:cs="Miriam"/>
      <w:sz w:val="22"/>
      <w:szCs w:val="22"/>
    </w:rPr>
  </w:style>
  <w:style w:type="paragraph" w:customStyle="1" w:styleId="T-heading2">
    <w:name w:val="T-heading2"/>
    <w:next w:val="Normal"/>
    <w:rsid w:val="005366A8"/>
    <w:pPr>
      <w:keepNext/>
      <w:bidi/>
      <w:spacing w:before="120" w:after="120" w:line="360" w:lineRule="auto"/>
      <w:jc w:val="both"/>
      <w:outlineLvl w:val="1"/>
    </w:pPr>
    <w:rPr>
      <w:rFonts w:cs="Times New Roman"/>
      <w:b/>
      <w:bCs/>
      <w:sz w:val="32"/>
      <w:szCs w:val="30"/>
    </w:rPr>
  </w:style>
  <w:style w:type="paragraph" w:customStyle="1" w:styleId="T-heading3">
    <w:name w:val="T-heading3"/>
    <w:next w:val="T-body"/>
    <w:rsid w:val="005366A8"/>
    <w:pPr>
      <w:keepNext/>
      <w:keepLines/>
      <w:bidi/>
      <w:spacing w:before="120" w:after="60" w:line="360" w:lineRule="auto"/>
      <w:jc w:val="both"/>
      <w:outlineLvl w:val="2"/>
    </w:pPr>
    <w:rPr>
      <w:b/>
      <w:bCs/>
      <w:i/>
      <w:iCs/>
      <w:sz w:val="28"/>
      <w:szCs w:val="28"/>
    </w:rPr>
  </w:style>
  <w:style w:type="paragraph" w:styleId="BodyTextIndent">
    <w:name w:val="Body Text Indent"/>
    <w:basedOn w:val="Normal"/>
    <w:link w:val="BodyTextIndentChar"/>
    <w:rsid w:val="005366A8"/>
    <w:pPr>
      <w:spacing w:after="120"/>
      <w:ind w:left="360"/>
      <w:jc w:val="left"/>
    </w:pPr>
  </w:style>
  <w:style w:type="character" w:customStyle="1" w:styleId="BodyTextIndentChar">
    <w:name w:val="Body Text Indent Char"/>
    <w:basedOn w:val="DefaultParagraphFont"/>
    <w:link w:val="BodyTextIndent"/>
    <w:rsid w:val="005366A8"/>
    <w:rPr>
      <w:rFonts w:cs="Times New Roman"/>
      <w:sz w:val="24"/>
      <w:szCs w:val="24"/>
    </w:rPr>
  </w:style>
  <w:style w:type="paragraph" w:customStyle="1" w:styleId="a">
    <w:name w:val="סגנון מספר תיק"/>
    <w:basedOn w:val="Normal"/>
    <w:rsid w:val="005366A8"/>
    <w:pPr>
      <w:autoSpaceDE w:val="0"/>
      <w:autoSpaceDN w:val="0"/>
      <w:spacing w:line="360" w:lineRule="auto"/>
      <w:jc w:val="right"/>
    </w:pPr>
    <w:rPr>
      <w:rFonts w:cs="Miriam"/>
      <w:sz w:val="20"/>
      <w:szCs w:val="20"/>
    </w:rPr>
  </w:style>
  <w:style w:type="paragraph" w:customStyle="1" w:styleId="medium-header">
    <w:name w:val="medium-header"/>
    <w:basedOn w:val="Normal"/>
    <w:rsid w:val="005366A8"/>
    <w:pPr>
      <w:keepNext/>
      <w:keepLines/>
      <w:widowControl w:val="0"/>
      <w:tabs>
        <w:tab w:val="left" w:pos="624"/>
        <w:tab w:val="left" w:pos="1021"/>
        <w:tab w:val="left" w:pos="1474"/>
        <w:tab w:val="left" w:pos="1928"/>
        <w:tab w:val="left" w:pos="2381"/>
        <w:tab w:val="left" w:pos="2835"/>
      </w:tabs>
      <w:suppressAutoHyphens/>
      <w:autoSpaceDE w:val="0"/>
      <w:autoSpaceDN w:val="0"/>
      <w:spacing w:before="72"/>
      <w:ind w:left="2835"/>
      <w:jc w:val="center"/>
    </w:pPr>
    <w:rPr>
      <w:rFonts w:cs="FrankRuehl"/>
      <w:noProof/>
      <w:sz w:val="20"/>
      <w:szCs w:val="26"/>
      <w:lang w:eastAsia="he-IL"/>
    </w:rPr>
  </w:style>
  <w:style w:type="paragraph" w:customStyle="1" w:styleId="medium2-header">
    <w:name w:val="medium2-header"/>
    <w:basedOn w:val="medium-header"/>
    <w:rsid w:val="005366A8"/>
    <w:pPr>
      <w:spacing w:before="240"/>
    </w:pPr>
    <w:rPr>
      <w:bCs/>
      <w:noProof w:val="0"/>
      <w:sz w:val="24"/>
      <w:szCs w:val="24"/>
    </w:rPr>
  </w:style>
  <w:style w:type="paragraph" w:styleId="BodyText3">
    <w:name w:val="Body Text 3"/>
    <w:basedOn w:val="Normal"/>
    <w:link w:val="BodyText3Char"/>
    <w:rsid w:val="005366A8"/>
    <w:pPr>
      <w:spacing w:after="120"/>
    </w:pPr>
    <w:rPr>
      <w:sz w:val="16"/>
      <w:szCs w:val="16"/>
    </w:rPr>
  </w:style>
  <w:style w:type="character" w:customStyle="1" w:styleId="BodyText3Char">
    <w:name w:val="Body Text 3 Char"/>
    <w:basedOn w:val="DefaultParagraphFont"/>
    <w:link w:val="BodyText3"/>
    <w:rsid w:val="005366A8"/>
    <w:rPr>
      <w:rFonts w:cs="Times New Roman"/>
      <w:sz w:val="16"/>
      <w:szCs w:val="16"/>
    </w:rPr>
  </w:style>
  <w:style w:type="paragraph" w:customStyle="1" w:styleId="a0">
    <w:name w:val="טקסט"/>
    <w:basedOn w:val="Normal"/>
    <w:link w:val="a1"/>
    <w:rsid w:val="005366A8"/>
    <w:pPr>
      <w:widowControl w:val="0"/>
      <w:suppressAutoHyphens/>
      <w:spacing w:line="280" w:lineRule="exact"/>
    </w:pPr>
    <w:rPr>
      <w:rFonts w:cs="Miriam"/>
      <w:sz w:val="20"/>
      <w:szCs w:val="20"/>
    </w:rPr>
  </w:style>
  <w:style w:type="paragraph" w:styleId="Title">
    <w:name w:val="Title"/>
    <w:basedOn w:val="Normal"/>
    <w:link w:val="TitleChar"/>
    <w:qFormat/>
    <w:rsid w:val="005366A8"/>
    <w:pPr>
      <w:jc w:val="center"/>
    </w:pPr>
    <w:rPr>
      <w:rFonts w:cs="David"/>
      <w:b/>
      <w:bCs/>
      <w:sz w:val="28"/>
      <w:szCs w:val="28"/>
      <w:u w:val="single"/>
      <w:lang w:eastAsia="he-IL"/>
    </w:rPr>
  </w:style>
  <w:style w:type="character" w:customStyle="1" w:styleId="TitleChar">
    <w:name w:val="Title Char"/>
    <w:basedOn w:val="DefaultParagraphFont"/>
    <w:link w:val="Title"/>
    <w:uiPriority w:val="10"/>
    <w:rsid w:val="005366A8"/>
    <w:rPr>
      <w:rFonts w:cs="David"/>
      <w:b/>
      <w:bCs/>
      <w:sz w:val="28"/>
      <w:szCs w:val="28"/>
      <w:u w:val="single"/>
      <w:lang w:eastAsia="he-IL"/>
    </w:rPr>
  </w:style>
  <w:style w:type="paragraph" w:customStyle="1" w:styleId="HeadHatzaotHok">
    <w:name w:val="Head HatzaotHok"/>
    <w:basedOn w:val="Normal"/>
    <w:link w:val="HeadHatzaotHok0"/>
    <w:rsid w:val="005366A8"/>
    <w:pPr>
      <w:keepNext/>
      <w:keepLines/>
      <w:widowControl w:val="0"/>
      <w:autoSpaceDE w:val="0"/>
      <w:autoSpaceDN w:val="0"/>
      <w:adjustRightInd w:val="0"/>
      <w:snapToGrid w:val="0"/>
      <w:spacing w:before="240" w:line="360" w:lineRule="auto"/>
      <w:jc w:val="center"/>
      <w:textAlignment w:val="center"/>
    </w:pPr>
    <w:rPr>
      <w:rFonts w:ascii="Arial" w:eastAsia="Arial Unicode MS" w:hAnsi="Arial" w:cs="Arial Unicode MS"/>
      <w:b/>
      <w:bCs/>
      <w:color w:val="000000"/>
      <w:sz w:val="20"/>
      <w:szCs w:val="26"/>
      <w:lang w:eastAsia="ja-JP"/>
    </w:rPr>
  </w:style>
  <w:style w:type="paragraph" w:customStyle="1" w:styleId="David">
    <w:name w:val="רגיל + (עברית ושפות אחרות) David"/>
    <w:aliases w:val="‏13 נק',מודגש,אחרי:  6 נק'"/>
    <w:basedOn w:val="Normal"/>
    <w:rsid w:val="005366A8"/>
    <w:pPr>
      <w:widowControl w:val="0"/>
      <w:autoSpaceDE w:val="0"/>
      <w:autoSpaceDN w:val="0"/>
      <w:adjustRightInd w:val="0"/>
      <w:spacing w:before="102" w:line="204" w:lineRule="atLeast"/>
      <w:jc w:val="left"/>
      <w:textAlignment w:val="center"/>
    </w:pPr>
    <w:rPr>
      <w:rFonts w:ascii="Hadasa Roso SL" w:eastAsia="MS Mincho" w:hAnsi="Hadasa Roso SL" w:cs="MS Mincho"/>
      <w:color w:val="000000"/>
      <w:spacing w:val="1"/>
      <w:sz w:val="26"/>
      <w:szCs w:val="26"/>
      <w:lang w:eastAsia="ja-JP"/>
    </w:rPr>
  </w:style>
  <w:style w:type="paragraph" w:customStyle="1" w:styleId="TableText">
    <w:name w:val="Table Text"/>
    <w:basedOn w:val="Normal"/>
    <w:rsid w:val="005366A8"/>
    <w:pPr>
      <w:keepLines/>
      <w:widowControl w:val="0"/>
      <w:tabs>
        <w:tab w:val="left" w:pos="624"/>
        <w:tab w:val="left" w:pos="1247"/>
      </w:tabs>
      <w:autoSpaceDE w:val="0"/>
      <w:autoSpaceDN w:val="0"/>
      <w:adjustRightInd w:val="0"/>
      <w:snapToGrid w:val="0"/>
      <w:spacing w:line="360" w:lineRule="auto"/>
      <w:ind w:right="57"/>
      <w:jc w:val="left"/>
      <w:textAlignment w:val="center"/>
    </w:pPr>
    <w:rPr>
      <w:rFonts w:ascii="Arial" w:eastAsia="Arial Unicode MS" w:hAnsi="Arial" w:cs="Arial Unicode MS"/>
      <w:color w:val="000000"/>
      <w:sz w:val="20"/>
      <w:szCs w:val="26"/>
      <w:lang w:eastAsia="ja-JP"/>
    </w:rPr>
  </w:style>
  <w:style w:type="paragraph" w:customStyle="1" w:styleId="TableBlock">
    <w:name w:val="Table Block"/>
    <w:basedOn w:val="TableText"/>
    <w:rsid w:val="005366A8"/>
    <w:pPr>
      <w:ind w:right="0"/>
      <w:jc w:val="both"/>
    </w:pPr>
  </w:style>
  <w:style w:type="paragraph" w:customStyle="1" w:styleId="TableInnerSideHeading">
    <w:name w:val="Table InnerSideHeading"/>
    <w:basedOn w:val="Normal"/>
    <w:rsid w:val="005366A8"/>
    <w:pPr>
      <w:keepLines/>
      <w:widowControl w:val="0"/>
      <w:tabs>
        <w:tab w:val="left" w:pos="624"/>
        <w:tab w:val="left" w:pos="1247"/>
      </w:tabs>
      <w:autoSpaceDE w:val="0"/>
      <w:autoSpaceDN w:val="0"/>
      <w:adjustRightInd w:val="0"/>
      <w:snapToGrid w:val="0"/>
      <w:spacing w:line="360" w:lineRule="auto"/>
      <w:ind w:right="57"/>
      <w:jc w:val="left"/>
      <w:textAlignment w:val="center"/>
    </w:pPr>
    <w:rPr>
      <w:rFonts w:ascii="Arial" w:eastAsia="Arial Unicode MS" w:hAnsi="Arial" w:cs="Arial Unicode MS"/>
      <w:color w:val="000000"/>
      <w:sz w:val="20"/>
      <w:szCs w:val="26"/>
      <w:lang w:eastAsia="ja-JP"/>
    </w:rPr>
  </w:style>
  <w:style w:type="paragraph" w:customStyle="1" w:styleId="TableSideHeading">
    <w:name w:val="Table SideHeading"/>
    <w:basedOn w:val="TableText"/>
    <w:rsid w:val="005366A8"/>
  </w:style>
  <w:style w:type="paragraph" w:customStyle="1" w:styleId="Hesber">
    <w:name w:val="Hesber"/>
    <w:basedOn w:val="Normal"/>
    <w:rsid w:val="005366A8"/>
    <w:pPr>
      <w:widowControl w:val="0"/>
      <w:autoSpaceDE w:val="0"/>
      <w:autoSpaceDN w:val="0"/>
      <w:adjustRightInd w:val="0"/>
      <w:snapToGrid w:val="0"/>
      <w:spacing w:line="360" w:lineRule="auto"/>
      <w:ind w:firstLine="340"/>
      <w:textAlignment w:val="center"/>
    </w:pPr>
    <w:rPr>
      <w:rFonts w:ascii="Arial" w:eastAsia="Arial Unicode MS" w:hAnsi="Arial" w:cs="Arial Unicode MS"/>
      <w:color w:val="000000"/>
      <w:sz w:val="20"/>
      <w:szCs w:val="26"/>
      <w:lang w:eastAsia="ja-JP"/>
    </w:rPr>
  </w:style>
  <w:style w:type="paragraph" w:customStyle="1" w:styleId="HeadDivreiHesber">
    <w:name w:val="Head DivreiHesber"/>
    <w:basedOn w:val="Normal"/>
    <w:rsid w:val="005366A8"/>
    <w:pPr>
      <w:widowControl w:val="0"/>
      <w:autoSpaceDE w:val="0"/>
      <w:autoSpaceDN w:val="0"/>
      <w:adjustRightInd w:val="0"/>
      <w:snapToGrid w:val="0"/>
      <w:spacing w:before="360" w:after="120" w:line="360" w:lineRule="auto"/>
      <w:jc w:val="center"/>
      <w:textAlignment w:val="center"/>
    </w:pPr>
    <w:rPr>
      <w:rFonts w:ascii="Arial" w:eastAsia="Arial Unicode MS" w:hAnsi="Arial" w:cs="Arial Unicode MS"/>
      <w:b/>
      <w:color w:val="000000"/>
      <w:spacing w:val="40"/>
      <w:sz w:val="20"/>
      <w:szCs w:val="26"/>
      <w:lang w:eastAsia="ja-JP"/>
    </w:rPr>
  </w:style>
  <w:style w:type="paragraph" w:customStyle="1" w:styleId="Cover3-Haknesset">
    <w:name w:val="Cover 3-Haknesset"/>
    <w:basedOn w:val="Normal"/>
    <w:rsid w:val="005366A8"/>
    <w:pPr>
      <w:widowControl w:val="0"/>
      <w:tabs>
        <w:tab w:val="left" w:pos="1191"/>
        <w:tab w:val="left" w:pos="1587"/>
      </w:tabs>
      <w:autoSpaceDE w:val="0"/>
      <w:autoSpaceDN w:val="0"/>
      <w:adjustRightInd w:val="0"/>
      <w:snapToGrid w:val="0"/>
      <w:spacing w:before="240" w:after="240" w:line="480" w:lineRule="auto"/>
      <w:ind w:firstLine="340"/>
      <w:jc w:val="center"/>
      <w:textAlignment w:val="center"/>
    </w:pPr>
    <w:rPr>
      <w:rFonts w:ascii="Arial" w:eastAsia="Arial Unicode MS" w:hAnsi="Arial" w:cs="David"/>
      <w:b/>
      <w:bCs/>
      <w:color w:val="000000"/>
      <w:spacing w:val="60"/>
      <w:sz w:val="20"/>
      <w:szCs w:val="26"/>
      <w:lang w:eastAsia="ja-JP"/>
    </w:rPr>
  </w:style>
  <w:style w:type="character" w:styleId="EndnoteReference">
    <w:name w:val="endnote reference"/>
    <w:basedOn w:val="DefaultParagraphFont"/>
    <w:uiPriority w:val="99"/>
    <w:rsid w:val="005366A8"/>
    <w:rPr>
      <w:rFonts w:cs="Times New Roman"/>
      <w:vertAlign w:val="superscript"/>
    </w:rPr>
  </w:style>
  <w:style w:type="paragraph" w:customStyle="1" w:styleId="Ragil">
    <w:name w:val="Ragil"/>
    <w:basedOn w:val="Normal"/>
    <w:rsid w:val="005366A8"/>
    <w:pPr>
      <w:widowControl w:val="0"/>
      <w:autoSpaceDE w:val="0"/>
      <w:autoSpaceDN w:val="0"/>
      <w:adjustRightInd w:val="0"/>
      <w:snapToGrid w:val="0"/>
      <w:spacing w:before="102" w:line="360" w:lineRule="auto"/>
      <w:ind w:firstLine="340"/>
      <w:textAlignment w:val="center"/>
    </w:pPr>
    <w:rPr>
      <w:rFonts w:ascii="Arial" w:eastAsia="Arial Unicode MS" w:hAnsi="Arial" w:cs="David"/>
      <w:color w:val="000000"/>
      <w:spacing w:val="1"/>
      <w:sz w:val="20"/>
      <w:szCs w:val="26"/>
      <w:lang w:eastAsia="ja-JP"/>
    </w:rPr>
  </w:style>
  <w:style w:type="paragraph" w:customStyle="1" w:styleId="TableBlockOutdent">
    <w:name w:val="Table BlockOutdent"/>
    <w:basedOn w:val="TableBlock"/>
    <w:uiPriority w:val="99"/>
    <w:rsid w:val="005366A8"/>
    <w:pPr>
      <w:spacing w:before="102"/>
      <w:ind w:left="624" w:hanging="624"/>
    </w:pPr>
    <w:rPr>
      <w:rFonts w:cs="David"/>
      <w:spacing w:val="1"/>
    </w:rPr>
  </w:style>
  <w:style w:type="paragraph" w:customStyle="1" w:styleId="Noparagraphstyle">
    <w:name w:val="[No paragraph style]"/>
    <w:rsid w:val="005366A8"/>
    <w:pPr>
      <w:widowControl w:val="0"/>
      <w:autoSpaceDE w:val="0"/>
      <w:autoSpaceDN w:val="0"/>
      <w:bidi/>
      <w:adjustRightInd w:val="0"/>
      <w:snapToGrid w:val="0"/>
      <w:spacing w:line="360" w:lineRule="auto"/>
      <w:textAlignment w:val="center"/>
    </w:pPr>
    <w:rPr>
      <w:rFonts w:ascii="Arial" w:eastAsia="Arial Unicode MS" w:hAnsi="Arial" w:cs="David"/>
      <w:color w:val="000000"/>
      <w:szCs w:val="26"/>
      <w:lang w:eastAsia="ja-JP"/>
    </w:rPr>
  </w:style>
  <w:style w:type="character" w:customStyle="1" w:styleId="HeadHatzaotHok0">
    <w:name w:val="Head HatzaotHok תו"/>
    <w:basedOn w:val="DefaultParagraphFont"/>
    <w:link w:val="HeadHatzaotHok"/>
    <w:locked/>
    <w:rsid w:val="005366A8"/>
    <w:rPr>
      <w:rFonts w:ascii="Arial" w:eastAsia="Arial Unicode MS" w:hAnsi="Arial" w:cs="Arial Unicode MS"/>
      <w:b/>
      <w:bCs/>
      <w:color w:val="000000"/>
      <w:szCs w:val="26"/>
      <w:lang w:eastAsia="ja-JP"/>
    </w:rPr>
  </w:style>
  <w:style w:type="paragraph" w:customStyle="1" w:styleId="kot">
    <w:name w:val="kot"/>
    <w:basedOn w:val="Normal"/>
    <w:rsid w:val="005366A8"/>
    <w:pPr>
      <w:keepNext/>
      <w:spacing w:before="100" w:after="100"/>
      <w:jc w:val="center"/>
    </w:pPr>
    <w:rPr>
      <w:rFonts w:cs="Miriam"/>
      <w:b/>
      <w:bCs/>
    </w:rPr>
  </w:style>
  <w:style w:type="paragraph" w:customStyle="1" w:styleId="ruller40">
    <w:name w:val="ruller4"/>
    <w:basedOn w:val="Normal"/>
    <w:rsid w:val="005366A8"/>
    <w:pPr>
      <w:overflowPunct w:val="0"/>
      <w:autoSpaceDE w:val="0"/>
      <w:autoSpaceDN w:val="0"/>
      <w:spacing w:line="360" w:lineRule="auto"/>
    </w:pPr>
    <w:rPr>
      <w:rFonts w:ascii="Arial TUR" w:hAnsi="Arial TUR" w:cs="Arial TUR"/>
      <w:spacing w:val="10"/>
      <w:sz w:val="22"/>
      <w:szCs w:val="22"/>
      <w:lang w:eastAsia="he-IL"/>
    </w:rPr>
  </w:style>
  <w:style w:type="paragraph" w:customStyle="1" w:styleId="Ruller41">
    <w:name w:val="Ruller4"/>
    <w:basedOn w:val="Normal"/>
    <w:link w:val="Ruller42"/>
    <w:rsid w:val="005366A8"/>
    <w:pPr>
      <w:tabs>
        <w:tab w:val="left" w:pos="800"/>
      </w:tabs>
      <w:overflowPunct w:val="0"/>
      <w:autoSpaceDE w:val="0"/>
      <w:autoSpaceDN w:val="0"/>
      <w:adjustRightInd w:val="0"/>
      <w:spacing w:line="360" w:lineRule="auto"/>
    </w:pPr>
    <w:rPr>
      <w:rFonts w:ascii="Arial TUR" w:hAnsi="Arial TUR" w:cs="FrankRuehl"/>
      <w:spacing w:val="10"/>
      <w:sz w:val="22"/>
      <w:szCs w:val="28"/>
      <w:lang w:eastAsia="he-IL"/>
    </w:rPr>
  </w:style>
  <w:style w:type="character" w:customStyle="1" w:styleId="Ruller42">
    <w:name w:val="Ruller4 תו"/>
    <w:basedOn w:val="DefaultParagraphFont"/>
    <w:link w:val="Ruller41"/>
    <w:locked/>
    <w:rsid w:val="005366A8"/>
    <w:rPr>
      <w:rFonts w:ascii="Arial TUR" w:hAnsi="Arial TUR" w:cs="FrankRuehl"/>
      <w:spacing w:val="10"/>
      <w:sz w:val="22"/>
      <w:szCs w:val="28"/>
      <w:lang w:eastAsia="he-IL"/>
    </w:rPr>
  </w:style>
  <w:style w:type="character" w:customStyle="1" w:styleId="a2">
    <w:name w:val="מרים תו תו"/>
    <w:basedOn w:val="DefaultParagraphFont"/>
    <w:link w:val="a3"/>
    <w:locked/>
    <w:rsid w:val="005366A8"/>
    <w:rPr>
      <w:sz w:val="28"/>
      <w:szCs w:val="24"/>
    </w:rPr>
  </w:style>
  <w:style w:type="paragraph" w:customStyle="1" w:styleId="a3">
    <w:name w:val="מרים תו"/>
    <w:basedOn w:val="Normal"/>
    <w:link w:val="a2"/>
    <w:autoRedefine/>
    <w:rsid w:val="005366A8"/>
    <w:pPr>
      <w:spacing w:line="360" w:lineRule="auto"/>
    </w:pPr>
    <w:rPr>
      <w:rFonts w:cs="Miriam"/>
      <w:sz w:val="28"/>
    </w:rPr>
  </w:style>
  <w:style w:type="paragraph" w:customStyle="1" w:styleId="BODYVERDICT">
    <w:name w:val="BODY VERDICT"/>
    <w:basedOn w:val="Normal"/>
    <w:rsid w:val="005366A8"/>
    <w:pPr>
      <w:overflowPunct w:val="0"/>
      <w:autoSpaceDE w:val="0"/>
      <w:autoSpaceDN w:val="0"/>
      <w:adjustRightInd w:val="0"/>
      <w:jc w:val="left"/>
    </w:pPr>
    <w:rPr>
      <w:rFonts w:cs="FrankRuehl"/>
      <w:spacing w:val="10"/>
      <w:sz w:val="22"/>
      <w:szCs w:val="28"/>
    </w:rPr>
  </w:style>
  <w:style w:type="paragraph" w:customStyle="1" w:styleId="1">
    <w:name w:val="1"/>
    <w:basedOn w:val="Normal"/>
    <w:rsid w:val="005366A8"/>
    <w:pPr>
      <w:widowControl w:val="0"/>
      <w:tabs>
        <w:tab w:val="center" w:pos="4153"/>
        <w:tab w:val="right" w:pos="8306"/>
      </w:tabs>
      <w:autoSpaceDE w:val="0"/>
      <w:autoSpaceDN w:val="0"/>
      <w:adjustRightInd w:val="0"/>
      <w:spacing w:line="360" w:lineRule="auto"/>
      <w:ind w:firstLine="510"/>
      <w:jc w:val="left"/>
    </w:pPr>
    <w:rPr>
      <w:rFonts w:ascii="Book Antiqua" w:hAnsi="Book Antiqua" w:cs="Monotype Hadassah"/>
      <w:sz w:val="20"/>
      <w:szCs w:val="18"/>
      <w:lang w:eastAsia="he-IL"/>
    </w:rPr>
  </w:style>
  <w:style w:type="character" w:styleId="Strong">
    <w:name w:val="Strong"/>
    <w:basedOn w:val="DefaultParagraphFont"/>
    <w:uiPriority w:val="22"/>
    <w:qFormat/>
    <w:rsid w:val="005366A8"/>
    <w:rPr>
      <w:b/>
      <w:bCs/>
    </w:rPr>
  </w:style>
  <w:style w:type="character" w:styleId="FollowedHyperlink">
    <w:name w:val="FollowedHyperlink"/>
    <w:basedOn w:val="DefaultParagraphFont"/>
    <w:rsid w:val="005366A8"/>
    <w:rPr>
      <w:color w:val="800080"/>
      <w:u w:val="single"/>
    </w:rPr>
  </w:style>
  <w:style w:type="paragraph" w:customStyle="1" w:styleId="ruller5">
    <w:name w:val="ruller5"/>
    <w:basedOn w:val="Normal"/>
    <w:rsid w:val="005366A8"/>
    <w:pPr>
      <w:overflowPunct w:val="0"/>
      <w:autoSpaceDE w:val="0"/>
      <w:autoSpaceDN w:val="0"/>
      <w:ind w:left="1642" w:right="1282"/>
    </w:pPr>
    <w:rPr>
      <w:rFonts w:ascii="Arial TUR" w:hAnsi="Arial TUR" w:cs="Arial TUR"/>
      <w:spacing w:val="10"/>
      <w:sz w:val="22"/>
      <w:szCs w:val="22"/>
      <w:lang w:eastAsia="he-IL"/>
    </w:rPr>
  </w:style>
  <w:style w:type="paragraph" w:customStyle="1" w:styleId="40">
    <w:name w:val="4"/>
    <w:basedOn w:val="Normal"/>
    <w:rsid w:val="005366A8"/>
    <w:pPr>
      <w:overflowPunct w:val="0"/>
      <w:autoSpaceDE w:val="0"/>
      <w:autoSpaceDN w:val="0"/>
      <w:spacing w:line="480" w:lineRule="auto"/>
    </w:pPr>
    <w:rPr>
      <w:b/>
      <w:bCs/>
      <w:sz w:val="22"/>
      <w:szCs w:val="22"/>
      <w:lang w:eastAsia="he-IL"/>
    </w:rPr>
  </w:style>
  <w:style w:type="character" w:customStyle="1" w:styleId="1005">
    <w:name w:val="סגנון ‏10 נק הורחב ב  0.5 נק"/>
    <w:basedOn w:val="DefaultParagraphFont"/>
    <w:rsid w:val="005366A8"/>
    <w:rPr>
      <w:rFonts w:cs="Times New Roman"/>
      <w:spacing w:val="10"/>
      <w:sz w:val="20"/>
      <w:szCs w:val="20"/>
    </w:rPr>
  </w:style>
  <w:style w:type="paragraph" w:customStyle="1" w:styleId="a4">
    <w:name w:val="לשוןחוק"/>
    <w:rsid w:val="005366A8"/>
    <w:pPr>
      <w:tabs>
        <w:tab w:val="left" w:pos="567"/>
        <w:tab w:val="left" w:pos="1134"/>
        <w:tab w:val="left" w:pos="1701"/>
      </w:tabs>
      <w:bidi/>
      <w:spacing w:line="360" w:lineRule="auto"/>
      <w:jc w:val="both"/>
    </w:pPr>
    <w:rPr>
      <w:rFonts w:cs="David"/>
      <w:szCs w:val="24"/>
      <w:lang w:eastAsia="he-IL"/>
    </w:rPr>
  </w:style>
  <w:style w:type="paragraph" w:customStyle="1" w:styleId="a5">
    <w:name w:val="כותרתחוק"/>
    <w:rsid w:val="005366A8"/>
    <w:pPr>
      <w:bidi/>
      <w:spacing w:line="360" w:lineRule="auto"/>
    </w:pPr>
    <w:rPr>
      <w:rFonts w:cs="David"/>
      <w:bCs/>
      <w:lang w:eastAsia="he-IL"/>
    </w:rPr>
  </w:style>
  <w:style w:type="paragraph" w:customStyle="1" w:styleId="a6">
    <w:name w:val="כללי"/>
    <w:basedOn w:val="Normal"/>
    <w:rsid w:val="005366A8"/>
    <w:pPr>
      <w:overflowPunct w:val="0"/>
      <w:autoSpaceDE w:val="0"/>
      <w:autoSpaceDN w:val="0"/>
      <w:adjustRightInd w:val="0"/>
      <w:spacing w:after="240" w:line="280" w:lineRule="exact"/>
      <w:ind w:firstLine="284"/>
      <w:textAlignment w:val="baseline"/>
    </w:pPr>
    <w:rPr>
      <w:rFonts w:cs="FrankRuehl"/>
      <w:sz w:val="20"/>
      <w:lang w:eastAsia="he-IL"/>
    </w:rPr>
  </w:style>
  <w:style w:type="paragraph" w:customStyle="1" w:styleId="a7">
    <w:name w:val="ציטוט"/>
    <w:basedOn w:val="a6"/>
    <w:rsid w:val="005366A8"/>
    <w:pPr>
      <w:ind w:left="454" w:right="454" w:firstLine="0"/>
    </w:pPr>
  </w:style>
  <w:style w:type="paragraph" w:customStyle="1" w:styleId="a8">
    <w:name w:val="è÷ñè"/>
    <w:basedOn w:val="Normal"/>
    <w:rsid w:val="005366A8"/>
    <w:pPr>
      <w:spacing w:after="80" w:line="280" w:lineRule="exact"/>
    </w:pPr>
    <w:rPr>
      <w:rFonts w:ascii="Arial" w:hAnsi="Arial" w:cs="David"/>
    </w:rPr>
  </w:style>
  <w:style w:type="paragraph" w:customStyle="1" w:styleId="a9">
    <w:name w:val="סגנון מיושר לשני הצדדים"/>
    <w:basedOn w:val="Normal"/>
    <w:rsid w:val="005366A8"/>
  </w:style>
  <w:style w:type="paragraph" w:customStyle="1" w:styleId="aa">
    <w:name w:val="הערת שוליים"/>
    <w:basedOn w:val="FootnoteText"/>
    <w:rsid w:val="005366A8"/>
    <w:pPr>
      <w:spacing w:before="40"/>
      <w:ind w:firstLine="0"/>
    </w:pPr>
    <w:rPr>
      <w:rFonts w:cs="David"/>
      <w:sz w:val="18"/>
      <w:szCs w:val="20"/>
      <w:lang w:val="en-GB" w:eastAsia="en-GB"/>
    </w:rPr>
  </w:style>
  <w:style w:type="paragraph" w:customStyle="1" w:styleId="3">
    <w:name w:val="סרגל3"/>
    <w:basedOn w:val="Normal"/>
    <w:rsid w:val="005366A8"/>
    <w:pPr>
      <w:tabs>
        <w:tab w:val="left" w:pos="3210"/>
        <w:tab w:val="left" w:pos="6753"/>
      </w:tabs>
      <w:jc w:val="left"/>
    </w:pPr>
    <w:rPr>
      <w:rFonts w:ascii="Arial" w:hAnsi="Arial"/>
      <w:sz w:val="22"/>
      <w:szCs w:val="20"/>
    </w:rPr>
  </w:style>
  <w:style w:type="paragraph" w:customStyle="1" w:styleId="Ruller50">
    <w:name w:val="Ruller5"/>
    <w:basedOn w:val="Normal"/>
    <w:link w:val="Ruller51"/>
    <w:rsid w:val="005366A8"/>
    <w:pPr>
      <w:overflowPunct w:val="0"/>
      <w:autoSpaceDE w:val="0"/>
      <w:autoSpaceDN w:val="0"/>
      <w:adjustRightInd w:val="0"/>
      <w:ind w:left="1642" w:right="1282"/>
    </w:pPr>
    <w:rPr>
      <w:rFonts w:ascii="Arial TUR" w:hAnsi="Arial TUR" w:cs="FrankRuehl"/>
      <w:spacing w:val="10"/>
      <w:sz w:val="22"/>
      <w:szCs w:val="28"/>
      <w:lang w:eastAsia="he-IL"/>
    </w:rPr>
  </w:style>
  <w:style w:type="paragraph" w:customStyle="1" w:styleId="header-2">
    <w:name w:val="header-2"/>
    <w:basedOn w:val="P00"/>
    <w:rsid w:val="005366A8"/>
    <w:pPr>
      <w:keepNext/>
      <w:keepLines/>
      <w:tabs>
        <w:tab w:val="clear" w:pos="6259"/>
      </w:tabs>
      <w:spacing w:before="240"/>
      <w:jc w:val="center"/>
    </w:pPr>
    <w:rPr>
      <w:rFonts w:cs="Times New Roman"/>
      <w:szCs w:val="20"/>
    </w:rPr>
  </w:style>
  <w:style w:type="paragraph" w:styleId="ListParagraph">
    <w:name w:val="List Paragraph"/>
    <w:basedOn w:val="Normal"/>
    <w:uiPriority w:val="34"/>
    <w:qFormat/>
    <w:rsid w:val="005366A8"/>
    <w:pPr>
      <w:spacing w:after="200" w:line="276" w:lineRule="auto"/>
      <w:ind w:left="720"/>
      <w:contextualSpacing/>
      <w:jc w:val="left"/>
    </w:pPr>
    <w:rPr>
      <w:rFonts w:ascii="Calibri" w:eastAsia="Calibri" w:hAnsi="Calibri" w:cs="Arial"/>
      <w:sz w:val="22"/>
      <w:szCs w:val="22"/>
    </w:rPr>
  </w:style>
  <w:style w:type="paragraph" w:customStyle="1" w:styleId="big-header">
    <w:name w:val="big-header"/>
    <w:basedOn w:val="Normal"/>
    <w:rsid w:val="005366A8"/>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noProof/>
      <w:sz w:val="20"/>
      <w:szCs w:val="32"/>
      <w:lang w:eastAsia="he-IL"/>
    </w:rPr>
  </w:style>
  <w:style w:type="character" w:customStyle="1" w:styleId="Heading2Char">
    <w:name w:val="Heading 2 Char"/>
    <w:basedOn w:val="DefaultParagraphFont"/>
    <w:link w:val="Heading2"/>
    <w:rsid w:val="005366A8"/>
    <w:rPr>
      <w:rFonts w:cs="Times New Roman"/>
      <w:b/>
      <w:bCs/>
      <w:i/>
      <w:iCs/>
      <w:sz w:val="22"/>
      <w:szCs w:val="24"/>
      <w:u w:val="single"/>
    </w:rPr>
  </w:style>
  <w:style w:type="character" w:customStyle="1" w:styleId="Heading3Char">
    <w:name w:val="Heading 3 Char"/>
    <w:basedOn w:val="DefaultParagraphFont"/>
    <w:link w:val="Heading3"/>
    <w:rsid w:val="005366A8"/>
    <w:rPr>
      <w:rFonts w:cs="Times New Roman"/>
      <w:b/>
      <w:bCs/>
      <w:sz w:val="22"/>
      <w:szCs w:val="24"/>
    </w:rPr>
  </w:style>
  <w:style w:type="paragraph" w:customStyle="1" w:styleId="footnote">
    <w:name w:val="footnote"/>
    <w:basedOn w:val="P00"/>
    <w:rsid w:val="005366A8"/>
    <w:pPr>
      <w:tabs>
        <w:tab w:val="clear" w:pos="624"/>
        <w:tab w:val="clear" w:pos="1021"/>
        <w:tab w:val="clear" w:pos="1474"/>
        <w:tab w:val="clear" w:pos="1928"/>
        <w:tab w:val="clear" w:pos="2381"/>
        <w:tab w:val="clear" w:pos="2835"/>
        <w:tab w:val="clear" w:pos="6259"/>
      </w:tabs>
      <w:spacing w:before="0"/>
    </w:pPr>
    <w:rPr>
      <w:sz w:val="22"/>
      <w:szCs w:val="22"/>
    </w:rPr>
  </w:style>
  <w:style w:type="character" w:customStyle="1" w:styleId="Heading1Char">
    <w:name w:val="Heading 1 Char"/>
    <w:basedOn w:val="DefaultParagraphFont"/>
    <w:link w:val="Heading1"/>
    <w:rsid w:val="005366A8"/>
    <w:rPr>
      <w:rFonts w:cs="Times New Roman"/>
      <w:b/>
      <w:bCs/>
      <w:sz w:val="22"/>
      <w:szCs w:val="24"/>
    </w:rPr>
  </w:style>
  <w:style w:type="character" w:customStyle="1" w:styleId="Heading5Char">
    <w:name w:val="Heading 5 Char"/>
    <w:basedOn w:val="DefaultParagraphFont"/>
    <w:link w:val="Heading5"/>
    <w:rsid w:val="005366A8"/>
    <w:rPr>
      <w:rFonts w:cs="Times New Roman"/>
      <w:b/>
      <w:bCs/>
      <w:sz w:val="24"/>
      <w:szCs w:val="24"/>
    </w:rPr>
  </w:style>
  <w:style w:type="character" w:customStyle="1" w:styleId="FooterChar">
    <w:name w:val="Footer Char"/>
    <w:basedOn w:val="DefaultParagraphFont"/>
    <w:link w:val="Footer"/>
    <w:rsid w:val="005366A8"/>
    <w:rPr>
      <w:rFonts w:cs="Times New Roman"/>
      <w:sz w:val="24"/>
      <w:szCs w:val="24"/>
    </w:rPr>
  </w:style>
  <w:style w:type="character" w:customStyle="1" w:styleId="HeaderChar">
    <w:name w:val="Header Char"/>
    <w:basedOn w:val="DefaultParagraphFont"/>
    <w:link w:val="Header"/>
    <w:rsid w:val="005366A8"/>
    <w:rPr>
      <w:rFonts w:cs="Times New Roman"/>
      <w:sz w:val="24"/>
      <w:szCs w:val="24"/>
    </w:rPr>
  </w:style>
  <w:style w:type="character" w:styleId="CommentReference">
    <w:name w:val="annotation reference"/>
    <w:basedOn w:val="DefaultParagraphFont"/>
    <w:uiPriority w:val="99"/>
    <w:unhideWhenUsed/>
    <w:rsid w:val="005366A8"/>
    <w:rPr>
      <w:sz w:val="16"/>
      <w:szCs w:val="16"/>
    </w:rPr>
  </w:style>
  <w:style w:type="paragraph" w:styleId="CommentText">
    <w:name w:val="annotation text"/>
    <w:basedOn w:val="Normal"/>
    <w:link w:val="CommentTextChar"/>
    <w:uiPriority w:val="99"/>
    <w:unhideWhenUsed/>
    <w:rsid w:val="005366A8"/>
    <w:pPr>
      <w:spacing w:after="200" w:line="276" w:lineRule="auto"/>
      <w:jc w:val="left"/>
    </w:pPr>
    <w:rPr>
      <w:rFonts w:ascii="Calibri" w:eastAsia="Calibri" w:hAnsi="Calibri" w:cs="Arial"/>
      <w:sz w:val="20"/>
      <w:szCs w:val="20"/>
    </w:rPr>
  </w:style>
  <w:style w:type="character" w:customStyle="1" w:styleId="CommentTextChar">
    <w:name w:val="Comment Text Char"/>
    <w:basedOn w:val="DefaultParagraphFont"/>
    <w:link w:val="CommentText"/>
    <w:uiPriority w:val="99"/>
    <w:rsid w:val="005366A8"/>
    <w:rPr>
      <w:rFonts w:ascii="Calibri" w:eastAsia="Calibri" w:hAnsi="Calibri" w:cs="Arial"/>
    </w:rPr>
  </w:style>
  <w:style w:type="character" w:customStyle="1" w:styleId="BalloonTextChar">
    <w:name w:val="Balloon Text Char"/>
    <w:basedOn w:val="DefaultParagraphFont"/>
    <w:link w:val="BalloonText"/>
    <w:uiPriority w:val="99"/>
    <w:rsid w:val="005366A8"/>
    <w:rPr>
      <w:rFonts w:ascii="Tahoma" w:hAnsi="Tahoma" w:cs="Tahoma"/>
      <w:sz w:val="16"/>
      <w:szCs w:val="16"/>
    </w:rPr>
  </w:style>
  <w:style w:type="character" w:customStyle="1" w:styleId="QuoteChar">
    <w:name w:val="Quote Char"/>
    <w:basedOn w:val="DefaultParagraphFont"/>
    <w:link w:val="Quote"/>
    <w:uiPriority w:val="29"/>
    <w:rsid w:val="005366A8"/>
    <w:rPr>
      <w:i/>
      <w:iCs/>
      <w:color w:val="000000"/>
      <w:sz w:val="28"/>
      <w:szCs w:val="28"/>
    </w:rPr>
  </w:style>
  <w:style w:type="paragraph" w:styleId="Quote">
    <w:name w:val="Quote"/>
    <w:basedOn w:val="Normal"/>
    <w:next w:val="Normal"/>
    <w:link w:val="QuoteChar"/>
    <w:uiPriority w:val="29"/>
    <w:qFormat/>
    <w:rsid w:val="005366A8"/>
    <w:pPr>
      <w:spacing w:before="60" w:afterLines="60" w:line="360" w:lineRule="auto"/>
      <w:ind w:left="714"/>
    </w:pPr>
    <w:rPr>
      <w:rFonts w:cs="Miriam"/>
      <w:i/>
      <w:iCs/>
      <w:color w:val="000000"/>
      <w:sz w:val="28"/>
      <w:szCs w:val="28"/>
    </w:rPr>
  </w:style>
  <w:style w:type="character" w:customStyle="1" w:styleId="QuoteChar1">
    <w:name w:val="Quote Char1"/>
    <w:basedOn w:val="DefaultParagraphFont"/>
    <w:link w:val="Quote"/>
    <w:uiPriority w:val="29"/>
    <w:rsid w:val="005366A8"/>
    <w:rPr>
      <w:rFonts w:cs="Times New Roman"/>
      <w:i/>
      <w:iCs/>
      <w:color w:val="000000" w:themeColor="text1"/>
      <w:sz w:val="24"/>
      <w:szCs w:val="24"/>
    </w:rPr>
  </w:style>
  <w:style w:type="character" w:customStyle="1" w:styleId="CommentSubjectChar">
    <w:name w:val="Comment Subject Char"/>
    <w:basedOn w:val="CommentTextChar"/>
    <w:link w:val="CommentSubject"/>
    <w:uiPriority w:val="99"/>
    <w:rsid w:val="005366A8"/>
    <w:rPr>
      <w:b/>
      <w:bCs/>
    </w:rPr>
  </w:style>
  <w:style w:type="paragraph" w:styleId="CommentSubject">
    <w:name w:val="annotation subject"/>
    <w:basedOn w:val="CommentText"/>
    <w:next w:val="CommentText"/>
    <w:link w:val="CommentSubjectChar"/>
    <w:uiPriority w:val="99"/>
    <w:unhideWhenUsed/>
    <w:rsid w:val="005366A8"/>
    <w:pPr>
      <w:spacing w:after="0" w:line="240" w:lineRule="auto"/>
    </w:pPr>
    <w:rPr>
      <w:b/>
      <w:bCs/>
    </w:rPr>
  </w:style>
  <w:style w:type="character" w:customStyle="1" w:styleId="CommentSubjectChar1">
    <w:name w:val="Comment Subject Char1"/>
    <w:basedOn w:val="CommentTextChar"/>
    <w:link w:val="CommentSubject"/>
    <w:rsid w:val="005366A8"/>
    <w:rPr>
      <w:b/>
      <w:bCs/>
    </w:rPr>
  </w:style>
  <w:style w:type="paragraph" w:customStyle="1" w:styleId="P02">
    <w:name w:val="P02"/>
    <w:basedOn w:val="P00"/>
    <w:rsid w:val="005366A8"/>
    <w:pPr>
      <w:ind w:right="1021" w:hanging="1021"/>
    </w:pPr>
    <w:rPr>
      <w:rFonts w:cs="Times New Roman"/>
    </w:rPr>
  </w:style>
  <w:style w:type="paragraph" w:customStyle="1" w:styleId="story-info">
    <w:name w:val="story-info"/>
    <w:basedOn w:val="Normal"/>
    <w:rsid w:val="005366A8"/>
    <w:pPr>
      <w:bidi w:val="0"/>
      <w:spacing w:before="100" w:beforeAutospacing="1" w:after="100" w:afterAutospacing="1"/>
      <w:jc w:val="left"/>
    </w:pPr>
  </w:style>
  <w:style w:type="paragraph" w:customStyle="1" w:styleId="story-tags">
    <w:name w:val="story-tags"/>
    <w:basedOn w:val="Normal"/>
    <w:rsid w:val="005366A8"/>
    <w:pPr>
      <w:bidi w:val="0"/>
      <w:spacing w:before="100" w:beforeAutospacing="1" w:after="100" w:afterAutospacing="1"/>
      <w:jc w:val="left"/>
    </w:pPr>
  </w:style>
  <w:style w:type="paragraph" w:customStyle="1" w:styleId="10">
    <w:name w:val="הערות שוליים1"/>
    <w:basedOn w:val="Normal"/>
    <w:rsid w:val="005366A8"/>
    <w:pPr>
      <w:widowControl w:val="0"/>
      <w:tabs>
        <w:tab w:val="left" w:pos="340"/>
      </w:tabs>
      <w:spacing w:line="240" w:lineRule="exact"/>
      <w:ind w:left="340" w:right="340" w:hanging="340"/>
    </w:pPr>
    <w:rPr>
      <w:rFonts w:cs="FrankRuehl"/>
      <w:sz w:val="16"/>
      <w:szCs w:val="20"/>
    </w:rPr>
  </w:style>
  <w:style w:type="character" w:customStyle="1" w:styleId="toctoggle">
    <w:name w:val="toctoggle"/>
    <w:basedOn w:val="DefaultParagraphFont"/>
    <w:rsid w:val="005366A8"/>
  </w:style>
  <w:style w:type="character" w:customStyle="1" w:styleId="tocnumber">
    <w:name w:val="tocnumber"/>
    <w:basedOn w:val="DefaultParagraphFont"/>
    <w:rsid w:val="005366A8"/>
  </w:style>
  <w:style w:type="character" w:customStyle="1" w:styleId="toctext">
    <w:name w:val="toctext"/>
    <w:basedOn w:val="DefaultParagraphFont"/>
    <w:rsid w:val="005366A8"/>
  </w:style>
  <w:style w:type="character" w:customStyle="1" w:styleId="editsection">
    <w:name w:val="editsection"/>
    <w:basedOn w:val="DefaultParagraphFont"/>
    <w:rsid w:val="005366A8"/>
  </w:style>
  <w:style w:type="character" w:customStyle="1" w:styleId="mw-headline">
    <w:name w:val="mw-headline"/>
    <w:basedOn w:val="DefaultParagraphFont"/>
    <w:rsid w:val="005366A8"/>
  </w:style>
  <w:style w:type="paragraph" w:customStyle="1" w:styleId="ab">
    <w:name w:val="????"/>
    <w:basedOn w:val="Normal"/>
    <w:rsid w:val="005366A8"/>
    <w:pPr>
      <w:spacing w:after="80" w:line="360" w:lineRule="auto"/>
      <w:jc w:val="center"/>
    </w:pPr>
    <w:rPr>
      <w:rFonts w:ascii="Arial" w:hAnsi="Arial" w:cs="David"/>
      <w:noProof/>
      <w:kern w:val="20"/>
    </w:rPr>
  </w:style>
  <w:style w:type="paragraph" w:customStyle="1" w:styleId="2">
    <w:name w:val="סגנון2"/>
    <w:basedOn w:val="Normal"/>
    <w:rsid w:val="005366A8"/>
    <w:pPr>
      <w:spacing w:after="80" w:line="360" w:lineRule="auto"/>
    </w:pPr>
    <w:rPr>
      <w:rFonts w:ascii="Arial" w:hAnsi="Arial" w:cs="David"/>
      <w:noProof/>
    </w:rPr>
  </w:style>
  <w:style w:type="character" w:customStyle="1" w:styleId="a1">
    <w:name w:val="טקסט תו"/>
    <w:basedOn w:val="DefaultParagraphFont"/>
    <w:link w:val="a0"/>
    <w:rsid w:val="005366A8"/>
  </w:style>
  <w:style w:type="paragraph" w:customStyle="1" w:styleId="page">
    <w:name w:val="page"/>
    <w:rsid w:val="005366A8"/>
    <w:pPr>
      <w:widowControl w:val="0"/>
      <w:autoSpaceDE w:val="0"/>
      <w:autoSpaceDN w:val="0"/>
      <w:bidi/>
    </w:pPr>
    <w:rPr>
      <w:rFonts w:cs="Times New Roman"/>
      <w:noProof/>
      <w:position w:val="4"/>
      <w:szCs w:val="22"/>
      <w:lang w:eastAsia="he-IL"/>
    </w:rPr>
  </w:style>
  <w:style w:type="paragraph" w:customStyle="1" w:styleId="ac">
    <w:name w:val="תקציר"/>
    <w:basedOn w:val="Normal"/>
    <w:rsid w:val="005366A8"/>
    <w:pPr>
      <w:tabs>
        <w:tab w:val="left" w:pos="340"/>
        <w:tab w:val="left" w:pos="680"/>
      </w:tabs>
      <w:overflowPunct w:val="0"/>
      <w:autoSpaceDE w:val="0"/>
      <w:autoSpaceDN w:val="0"/>
      <w:adjustRightInd w:val="0"/>
      <w:spacing w:line="250" w:lineRule="exact"/>
      <w:ind w:firstLine="284"/>
      <w:textAlignment w:val="baseline"/>
    </w:pPr>
    <w:rPr>
      <w:rFonts w:cs="FrankRuehl"/>
      <w:sz w:val="18"/>
      <w:szCs w:val="22"/>
      <w:lang w:eastAsia="he-IL"/>
    </w:rPr>
  </w:style>
  <w:style w:type="paragraph" w:styleId="NoSpacing">
    <w:name w:val="No Spacing"/>
    <w:uiPriority w:val="1"/>
    <w:qFormat/>
    <w:rsid w:val="005366A8"/>
    <w:pPr>
      <w:bidi/>
      <w:ind w:right="45"/>
    </w:pPr>
    <w:rPr>
      <w:rFonts w:cs="David"/>
      <w:spacing w:val="20"/>
      <w:sz w:val="24"/>
      <w:szCs w:val="24"/>
      <w:lang w:eastAsia="he-IL"/>
    </w:rPr>
  </w:style>
  <w:style w:type="paragraph" w:styleId="PlainText">
    <w:name w:val="Plain Text"/>
    <w:basedOn w:val="Normal"/>
    <w:link w:val="PlainTextChar"/>
    <w:uiPriority w:val="99"/>
    <w:unhideWhenUsed/>
    <w:rsid w:val="005366A8"/>
    <w:pPr>
      <w:bidi w:val="0"/>
      <w:spacing w:before="100" w:beforeAutospacing="1" w:after="100" w:afterAutospacing="1"/>
      <w:jc w:val="left"/>
    </w:pPr>
    <w:rPr>
      <w:rFonts w:eastAsia="Calibri"/>
    </w:rPr>
  </w:style>
  <w:style w:type="character" w:customStyle="1" w:styleId="PlainTextChar">
    <w:name w:val="Plain Text Char"/>
    <w:basedOn w:val="DefaultParagraphFont"/>
    <w:link w:val="PlainText"/>
    <w:uiPriority w:val="99"/>
    <w:rsid w:val="005366A8"/>
    <w:rPr>
      <w:rFonts w:eastAsia="Calibri" w:cs="Times New Roman"/>
      <w:sz w:val="24"/>
      <w:szCs w:val="24"/>
    </w:rPr>
  </w:style>
  <w:style w:type="character" w:customStyle="1" w:styleId="spelle">
    <w:name w:val="spelle"/>
    <w:basedOn w:val="DefaultParagraphFont"/>
    <w:rsid w:val="005366A8"/>
  </w:style>
  <w:style w:type="character" w:customStyle="1" w:styleId="Heading4Char">
    <w:name w:val="Heading 4 Char"/>
    <w:basedOn w:val="DefaultParagraphFont"/>
    <w:link w:val="Heading4"/>
    <w:rsid w:val="005366A8"/>
    <w:rPr>
      <w:rFonts w:cs="Times New Roman"/>
      <w:b/>
      <w:bCs/>
      <w:sz w:val="24"/>
      <w:szCs w:val="24"/>
    </w:rPr>
  </w:style>
  <w:style w:type="character" w:customStyle="1" w:styleId="Heading6Char">
    <w:name w:val="Heading 6 Char"/>
    <w:basedOn w:val="DefaultParagraphFont"/>
    <w:link w:val="Heading6"/>
    <w:rsid w:val="005366A8"/>
    <w:rPr>
      <w:rFonts w:cs="Times New Roman"/>
      <w:b/>
      <w:bCs/>
      <w:sz w:val="24"/>
      <w:szCs w:val="24"/>
      <w:u w:val="single"/>
    </w:rPr>
  </w:style>
  <w:style w:type="character" w:customStyle="1" w:styleId="Heading8Char">
    <w:name w:val="Heading 8 Char"/>
    <w:basedOn w:val="DefaultParagraphFont"/>
    <w:link w:val="Heading8"/>
    <w:rsid w:val="005366A8"/>
    <w:rPr>
      <w:rFonts w:cs="Times New Roman"/>
      <w:b/>
      <w:bCs/>
      <w:sz w:val="24"/>
      <w:szCs w:val="22"/>
    </w:rPr>
  </w:style>
  <w:style w:type="character" w:customStyle="1" w:styleId="BodyText2Char">
    <w:name w:val="Body Text 2 Char"/>
    <w:basedOn w:val="DefaultParagraphFont"/>
    <w:link w:val="BodyText2"/>
    <w:rsid w:val="005366A8"/>
    <w:rPr>
      <w:color w:val="FF0000"/>
      <w:sz w:val="24"/>
      <w:szCs w:val="24"/>
    </w:rPr>
  </w:style>
  <w:style w:type="paragraph" w:customStyle="1" w:styleId="T-arrow">
    <w:name w:val="T-arrow"/>
    <w:next w:val="T-body"/>
    <w:rsid w:val="005366A8"/>
    <w:pPr>
      <w:keepNext/>
      <w:numPr>
        <w:numId w:val="27"/>
      </w:numPr>
      <w:bidi/>
      <w:spacing w:before="480" w:after="240" w:line="480" w:lineRule="auto"/>
      <w:ind w:left="363" w:hanging="74"/>
      <w:outlineLvl w:val="4"/>
    </w:pPr>
    <w:rPr>
      <w:rFonts w:cs="Times New Roman"/>
      <w:i/>
      <w:iCs/>
      <w:snapToGrid w:val="0"/>
      <w:sz w:val="28"/>
      <w:szCs w:val="28"/>
      <w:lang w:eastAsia="he-IL"/>
    </w:rPr>
  </w:style>
  <w:style w:type="paragraph" w:customStyle="1" w:styleId="ad">
    <w:name w:val="פסקי דין"/>
    <w:basedOn w:val="Normal"/>
    <w:rsid w:val="005366A8"/>
    <w:rPr>
      <w:rFonts w:cs="David"/>
    </w:rPr>
  </w:style>
  <w:style w:type="character" w:customStyle="1" w:styleId="redheading1">
    <w:name w:val="redheading1"/>
    <w:basedOn w:val="DefaultParagraphFont"/>
    <w:rsid w:val="005366A8"/>
    <w:rPr>
      <w:rFonts w:ascii="Arial" w:hAnsi="Arial" w:cs="Arial" w:hint="default"/>
      <w:b/>
      <w:bCs/>
      <w:strike w:val="0"/>
      <w:dstrike w:val="0"/>
      <w:color w:val="552200"/>
      <w:sz w:val="24"/>
      <w:szCs w:val="24"/>
      <w:u w:val="none"/>
      <w:effect w:val="none"/>
    </w:rPr>
  </w:style>
  <w:style w:type="character" w:styleId="Emphasis">
    <w:name w:val="Emphasis"/>
    <w:basedOn w:val="DefaultParagraphFont"/>
    <w:uiPriority w:val="20"/>
    <w:qFormat/>
    <w:rsid w:val="005366A8"/>
    <w:rPr>
      <w:i/>
      <w:iCs/>
    </w:rPr>
  </w:style>
  <w:style w:type="paragraph" w:customStyle="1" w:styleId="P33">
    <w:name w:val="P33"/>
    <w:basedOn w:val="P00"/>
    <w:rsid w:val="005366A8"/>
    <w:pPr>
      <w:tabs>
        <w:tab w:val="clear" w:pos="624"/>
        <w:tab w:val="clear" w:pos="1021"/>
        <w:tab w:val="clear" w:pos="1474"/>
      </w:tabs>
      <w:ind w:right="1474"/>
    </w:pPr>
    <w:rPr>
      <w:rFonts w:cs="Times New Roman"/>
    </w:rPr>
  </w:style>
  <w:style w:type="character" w:customStyle="1" w:styleId="Ruller51">
    <w:name w:val="Ruller5 תו"/>
    <w:basedOn w:val="DefaultParagraphFont"/>
    <w:link w:val="Ruller50"/>
    <w:locked/>
    <w:rsid w:val="00241BC2"/>
    <w:rPr>
      <w:rFonts w:ascii="Arial TUR" w:hAnsi="Arial TUR" w:cs="FrankRuehl"/>
      <w:spacing w:val="10"/>
      <w:sz w:val="22"/>
      <w:szCs w:val="28"/>
      <w:lang w:eastAsia="he-IL"/>
    </w:rPr>
  </w:style>
  <w:style w:type="paragraph" w:customStyle="1" w:styleId="Ruller4">
    <w:name w:val="Ruller 4 ממוספר"/>
    <w:basedOn w:val="Ruller41"/>
    <w:next w:val="Ruller41"/>
    <w:rsid w:val="00241BC2"/>
    <w:pPr>
      <w:numPr>
        <w:numId w:val="31"/>
      </w:numPr>
    </w:pPr>
    <w:rPr>
      <w:rFonts w:ascii="Garamond" w:hAnsi="Garamond"/>
      <w:sz w:val="24"/>
      <w:lang w:eastAsia="en-US"/>
    </w:rPr>
  </w:style>
  <w:style w:type="paragraph" w:styleId="BodyTextIndent2">
    <w:name w:val="Body Text Indent 2"/>
    <w:basedOn w:val="Normal"/>
    <w:link w:val="BodyTextIndent2Char"/>
    <w:rsid w:val="00241BC2"/>
    <w:pPr>
      <w:spacing w:after="120" w:line="480" w:lineRule="auto"/>
      <w:ind w:left="283"/>
    </w:pPr>
  </w:style>
  <w:style w:type="character" w:customStyle="1" w:styleId="BodyTextIndent2Char">
    <w:name w:val="Body Text Indent 2 Char"/>
    <w:basedOn w:val="DefaultParagraphFont"/>
    <w:link w:val="BodyTextIndent2"/>
    <w:rsid w:val="00241BC2"/>
    <w:rPr>
      <w:rFonts w:cs="Times New Roman"/>
      <w:sz w:val="24"/>
      <w:szCs w:val="24"/>
    </w:rPr>
  </w:style>
  <w:style w:type="paragraph" w:customStyle="1" w:styleId="ae">
    <w:name w:val="טקסט מוזח"/>
    <w:basedOn w:val="a0"/>
    <w:rsid w:val="00241BC2"/>
    <w:pPr>
      <w:overflowPunct w:val="0"/>
      <w:autoSpaceDE w:val="0"/>
      <w:autoSpaceDN w:val="0"/>
      <w:adjustRightInd w:val="0"/>
      <w:ind w:left="397"/>
      <w:textAlignment w:val="baseline"/>
    </w:pPr>
    <w:rPr>
      <w:rFonts w:cs="FrankRuehl"/>
      <w:noProof/>
      <w:sz w:val="24"/>
      <w:szCs w:val="24"/>
    </w:rPr>
  </w:style>
  <w:style w:type="paragraph" w:customStyle="1" w:styleId="David82">
    <w:name w:val="סגנון טקסט + (מורכב) David ‏8 נק הוגבה ב  2 נק תו"/>
    <w:basedOn w:val="a0"/>
    <w:link w:val="David820"/>
    <w:autoRedefine/>
    <w:rsid w:val="00241BC2"/>
    <w:pPr>
      <w:overflowPunct w:val="0"/>
      <w:autoSpaceDE w:val="0"/>
      <w:autoSpaceDN w:val="0"/>
      <w:adjustRightInd w:val="0"/>
      <w:textAlignment w:val="baseline"/>
    </w:pPr>
    <w:rPr>
      <w:rFonts w:ascii="Arial" w:hAnsi="Arial" w:cs="David"/>
      <w:noProof/>
      <w:sz w:val="24"/>
      <w:szCs w:val="24"/>
      <w:vertAlign w:val="superscript"/>
    </w:rPr>
  </w:style>
  <w:style w:type="character" w:customStyle="1" w:styleId="David820">
    <w:name w:val="סגנון טקסט + (מורכב) David ‏8 נק הוגבה ב  2 נק תו תו"/>
    <w:basedOn w:val="a1"/>
    <w:link w:val="David82"/>
    <w:rsid w:val="00241BC2"/>
    <w:rPr>
      <w:rFonts w:ascii="Arial" w:hAnsi="Arial" w:cs="David"/>
      <w:noProof/>
      <w:sz w:val="24"/>
      <w:szCs w:val="24"/>
      <w:vertAlign w:val="superscript"/>
    </w:rPr>
  </w:style>
  <w:style w:type="character" w:customStyle="1" w:styleId="header3TimesNewRoman">
    <w:name w:val="סגנון הפנייה להערת שולייםheader 3 + (לטיני) Times New Roman (מורכ..."/>
    <w:basedOn w:val="FootnoteReference"/>
    <w:rsid w:val="00241BC2"/>
    <w:rPr>
      <w:rFonts w:ascii="Times New Roman" w:hAnsi="Times New Roman" w:cs="David"/>
      <w:position w:val="0"/>
      <w:sz w:val="24"/>
      <w:szCs w:val="24"/>
    </w:rPr>
  </w:style>
  <w:style w:type="character" w:customStyle="1" w:styleId="ico-phone">
    <w:name w:val="ico-phone"/>
    <w:basedOn w:val="DefaultParagraphFont"/>
    <w:rsid w:val="0025709E"/>
  </w:style>
  <w:style w:type="character" w:customStyle="1" w:styleId="link-social-links-counter">
    <w:name w:val="link-social-links-counter"/>
    <w:basedOn w:val="DefaultParagraphFont"/>
    <w:rsid w:val="0025709E"/>
  </w:style>
  <w:style w:type="character" w:customStyle="1" w:styleId="readinglist">
    <w:name w:val="readinglist"/>
    <w:basedOn w:val="DefaultParagraphFont"/>
    <w:rsid w:val="0025709E"/>
  </w:style>
  <w:style w:type="paragraph" w:customStyle="1" w:styleId="af">
    <w:name w:val="שם פרק"/>
    <w:basedOn w:val="Normal"/>
    <w:next w:val="Normal"/>
    <w:rsid w:val="0025709E"/>
    <w:pPr>
      <w:widowControl w:val="0"/>
      <w:suppressAutoHyphens/>
      <w:overflowPunct w:val="0"/>
      <w:autoSpaceDE w:val="0"/>
      <w:autoSpaceDN w:val="0"/>
      <w:adjustRightInd w:val="0"/>
      <w:spacing w:after="800" w:line="360" w:lineRule="exact"/>
      <w:jc w:val="center"/>
      <w:textAlignment w:val="baseline"/>
    </w:pPr>
    <w:rPr>
      <w:rFonts w:cs="David"/>
      <w:b/>
      <w:bCs/>
      <w:szCs w:val="32"/>
    </w:rPr>
  </w:style>
  <w:style w:type="paragraph" w:customStyle="1" w:styleId="Ruller3">
    <w:name w:val="Ruller 3"/>
    <w:basedOn w:val="Normal"/>
    <w:rsid w:val="0025709E"/>
    <w:pPr>
      <w:tabs>
        <w:tab w:val="left" w:pos="3210"/>
        <w:tab w:val="left" w:pos="6753"/>
      </w:tabs>
      <w:overflowPunct w:val="0"/>
      <w:autoSpaceDE w:val="0"/>
      <w:autoSpaceDN w:val="0"/>
      <w:adjustRightInd w:val="0"/>
      <w:spacing w:line="360" w:lineRule="auto"/>
      <w:jc w:val="left"/>
    </w:pPr>
    <w:rPr>
      <w:rFonts w:cs="FrankRuehl"/>
      <w:spacing w:val="10"/>
      <w:sz w:val="22"/>
      <w:szCs w:val="28"/>
    </w:rPr>
  </w:style>
  <w:style w:type="character" w:customStyle="1" w:styleId="autorbarwriters">
    <w:name w:val="autorbarwriters"/>
    <w:basedOn w:val="DefaultParagraphFont"/>
    <w:rsid w:val="0025709E"/>
  </w:style>
  <w:style w:type="character" w:customStyle="1" w:styleId="heading">
    <w:name w:val="heading"/>
    <w:basedOn w:val="DefaultParagraphFont"/>
    <w:rsid w:val="0025709E"/>
  </w:style>
  <w:style w:type="character" w:customStyle="1" w:styleId="date">
    <w:name w:val="date"/>
    <w:basedOn w:val="DefaultParagraphFont"/>
    <w:rsid w:val="0025709E"/>
  </w:style>
</w:styles>
</file>

<file path=word/webSettings.xml><?xml version="1.0" encoding="utf-8"?>
<w:webSettings xmlns:r="http://schemas.openxmlformats.org/officeDocument/2006/relationships" xmlns:w="http://schemas.openxmlformats.org/wordprocessingml/2006/main">
  <w:divs>
    <w:div w:id="349651073">
      <w:bodyDiv w:val="1"/>
      <w:marLeft w:val="0"/>
      <w:marRight w:val="0"/>
      <w:marTop w:val="0"/>
      <w:marBottom w:val="0"/>
      <w:divBdr>
        <w:top w:val="none" w:sz="0" w:space="0" w:color="auto"/>
        <w:left w:val="none" w:sz="0" w:space="0" w:color="auto"/>
        <w:bottom w:val="none" w:sz="0" w:space="0" w:color="auto"/>
        <w:right w:val="none" w:sz="0" w:space="0" w:color="auto"/>
      </w:divBdr>
      <w:divsChild>
        <w:div w:id="248734130">
          <w:marLeft w:val="0"/>
          <w:marRight w:val="0"/>
          <w:marTop w:val="0"/>
          <w:marBottom w:val="0"/>
          <w:divBdr>
            <w:top w:val="none" w:sz="0" w:space="0" w:color="auto"/>
            <w:left w:val="none" w:sz="0" w:space="0" w:color="auto"/>
            <w:bottom w:val="none" w:sz="0" w:space="0" w:color="auto"/>
            <w:right w:val="none" w:sz="0" w:space="0" w:color="auto"/>
          </w:divBdr>
          <w:divsChild>
            <w:div w:id="1834029107">
              <w:marLeft w:val="0"/>
              <w:marRight w:val="0"/>
              <w:marTop w:val="0"/>
              <w:marBottom w:val="0"/>
              <w:divBdr>
                <w:top w:val="none" w:sz="0" w:space="0" w:color="auto"/>
                <w:left w:val="none" w:sz="0" w:space="0" w:color="auto"/>
                <w:bottom w:val="none" w:sz="0" w:space="0" w:color="auto"/>
                <w:right w:val="none" w:sz="0" w:space="0" w:color="auto"/>
              </w:divBdr>
              <w:divsChild>
                <w:div w:id="1892231863">
                  <w:marLeft w:val="0"/>
                  <w:marRight w:val="0"/>
                  <w:marTop w:val="0"/>
                  <w:marBottom w:val="0"/>
                  <w:divBdr>
                    <w:top w:val="none" w:sz="0" w:space="0" w:color="auto"/>
                    <w:left w:val="none" w:sz="0" w:space="0" w:color="auto"/>
                    <w:bottom w:val="none" w:sz="0" w:space="0" w:color="auto"/>
                    <w:right w:val="none" w:sz="0" w:space="0" w:color="auto"/>
                  </w:divBdr>
                  <w:divsChild>
                    <w:div w:id="586815970">
                      <w:marLeft w:val="0"/>
                      <w:marRight w:val="0"/>
                      <w:marTop w:val="0"/>
                      <w:marBottom w:val="0"/>
                      <w:divBdr>
                        <w:top w:val="none" w:sz="0" w:space="0" w:color="auto"/>
                        <w:left w:val="none" w:sz="0" w:space="0" w:color="auto"/>
                        <w:bottom w:val="none" w:sz="0" w:space="0" w:color="auto"/>
                        <w:right w:val="none" w:sz="0" w:space="0" w:color="auto"/>
                      </w:divBdr>
                      <w:divsChild>
                        <w:div w:id="15735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25110">
                  <w:marLeft w:val="0"/>
                  <w:marRight w:val="0"/>
                  <w:marTop w:val="0"/>
                  <w:marBottom w:val="0"/>
                  <w:divBdr>
                    <w:top w:val="none" w:sz="0" w:space="0" w:color="auto"/>
                    <w:left w:val="none" w:sz="0" w:space="0" w:color="auto"/>
                    <w:bottom w:val="none" w:sz="0" w:space="0" w:color="auto"/>
                    <w:right w:val="none" w:sz="0" w:space="0" w:color="auto"/>
                  </w:divBdr>
                </w:div>
                <w:div w:id="2056156773">
                  <w:marLeft w:val="0"/>
                  <w:marRight w:val="0"/>
                  <w:marTop w:val="0"/>
                  <w:marBottom w:val="61"/>
                  <w:divBdr>
                    <w:top w:val="none" w:sz="0" w:space="0" w:color="auto"/>
                    <w:left w:val="none" w:sz="0" w:space="0" w:color="auto"/>
                    <w:bottom w:val="none" w:sz="0" w:space="0" w:color="auto"/>
                    <w:right w:val="none" w:sz="0" w:space="0" w:color="auto"/>
                  </w:divBdr>
                </w:div>
                <w:div w:id="883710983">
                  <w:marLeft w:val="0"/>
                  <w:marRight w:val="51"/>
                  <w:marTop w:val="0"/>
                  <w:marBottom w:val="61"/>
                  <w:divBdr>
                    <w:top w:val="none" w:sz="0" w:space="0" w:color="auto"/>
                    <w:left w:val="none" w:sz="0" w:space="0" w:color="auto"/>
                    <w:bottom w:val="none" w:sz="0" w:space="0" w:color="auto"/>
                    <w:right w:val="none" w:sz="0" w:space="0" w:color="auto"/>
                  </w:divBdr>
                </w:div>
                <w:div w:id="362101221">
                  <w:marLeft w:val="0"/>
                  <w:marRight w:val="0"/>
                  <w:marTop w:val="0"/>
                  <w:marBottom w:val="0"/>
                  <w:divBdr>
                    <w:top w:val="none" w:sz="0" w:space="0" w:color="auto"/>
                    <w:left w:val="none" w:sz="0" w:space="0" w:color="auto"/>
                    <w:bottom w:val="none" w:sz="0" w:space="0" w:color="auto"/>
                    <w:right w:val="none" w:sz="0" w:space="0" w:color="auto"/>
                  </w:divBdr>
                  <w:divsChild>
                    <w:div w:id="521238102">
                      <w:marLeft w:val="0"/>
                      <w:marRight w:val="101"/>
                      <w:marTop w:val="0"/>
                      <w:marBottom w:val="0"/>
                      <w:divBdr>
                        <w:top w:val="none" w:sz="0" w:space="0" w:color="auto"/>
                        <w:left w:val="none" w:sz="0" w:space="0" w:color="auto"/>
                        <w:bottom w:val="none" w:sz="0" w:space="0" w:color="auto"/>
                        <w:right w:val="none" w:sz="0" w:space="0" w:color="auto"/>
                      </w:divBdr>
                    </w:div>
                    <w:div w:id="1460881931">
                      <w:marLeft w:val="0"/>
                      <w:marRight w:val="0"/>
                      <w:marTop w:val="0"/>
                      <w:marBottom w:val="0"/>
                      <w:divBdr>
                        <w:top w:val="none" w:sz="0" w:space="0" w:color="auto"/>
                        <w:left w:val="none" w:sz="0" w:space="0" w:color="auto"/>
                        <w:bottom w:val="none" w:sz="0" w:space="0" w:color="auto"/>
                        <w:right w:val="none" w:sz="0" w:space="0" w:color="auto"/>
                      </w:divBdr>
                      <w:divsChild>
                        <w:div w:id="1126965706">
                          <w:marLeft w:val="71"/>
                          <w:marRight w:val="254"/>
                          <w:marTop w:val="0"/>
                          <w:marBottom w:val="0"/>
                          <w:divBdr>
                            <w:top w:val="none" w:sz="0" w:space="0" w:color="auto"/>
                            <w:left w:val="none" w:sz="0" w:space="0" w:color="auto"/>
                            <w:bottom w:val="none" w:sz="0" w:space="0" w:color="auto"/>
                            <w:right w:val="none" w:sz="0" w:space="0" w:color="auto"/>
                          </w:divBdr>
                          <w:divsChild>
                            <w:div w:id="1512839602">
                              <w:marLeft w:val="0"/>
                              <w:marRight w:val="0"/>
                              <w:marTop w:val="0"/>
                              <w:marBottom w:val="0"/>
                              <w:divBdr>
                                <w:top w:val="none" w:sz="0" w:space="0" w:color="auto"/>
                                <w:left w:val="none" w:sz="0" w:space="0" w:color="auto"/>
                                <w:bottom w:val="none" w:sz="0" w:space="0" w:color="auto"/>
                                <w:right w:val="none" w:sz="0" w:space="0" w:color="auto"/>
                              </w:divBdr>
                            </w:div>
                          </w:divsChild>
                        </w:div>
                        <w:div w:id="1215199670">
                          <w:marLeft w:val="71"/>
                          <w:marRight w:val="0"/>
                          <w:marTop w:val="10"/>
                          <w:marBottom w:val="0"/>
                          <w:divBdr>
                            <w:top w:val="none" w:sz="0" w:space="0" w:color="auto"/>
                            <w:left w:val="single" w:sz="4" w:space="4" w:color="DDDDDD"/>
                            <w:bottom w:val="none" w:sz="0" w:space="0" w:color="auto"/>
                            <w:right w:val="single" w:sz="4" w:space="5" w:color="DDDDDD"/>
                          </w:divBdr>
                        </w:div>
                      </w:divsChild>
                    </w:div>
                  </w:divsChild>
                </w:div>
                <w:div w:id="1254170639">
                  <w:marLeft w:val="0"/>
                  <w:marRight w:val="0"/>
                  <w:marTop w:val="0"/>
                  <w:marBottom w:val="0"/>
                  <w:divBdr>
                    <w:top w:val="none" w:sz="0" w:space="0" w:color="auto"/>
                    <w:left w:val="none" w:sz="0" w:space="0" w:color="auto"/>
                    <w:bottom w:val="none" w:sz="0" w:space="0" w:color="auto"/>
                    <w:right w:val="none" w:sz="0" w:space="0" w:color="auto"/>
                  </w:divBdr>
                  <w:divsChild>
                    <w:div w:id="1930775996">
                      <w:marLeft w:val="0"/>
                      <w:marRight w:val="0"/>
                      <w:marTop w:val="0"/>
                      <w:marBottom w:val="0"/>
                      <w:divBdr>
                        <w:top w:val="none" w:sz="0" w:space="0" w:color="auto"/>
                        <w:left w:val="none" w:sz="0" w:space="0" w:color="auto"/>
                        <w:bottom w:val="none" w:sz="0" w:space="0" w:color="auto"/>
                        <w:right w:val="none" w:sz="0" w:space="0" w:color="auto"/>
                      </w:divBdr>
                      <w:divsChild>
                        <w:div w:id="59638303">
                          <w:marLeft w:val="0"/>
                          <w:marRight w:val="0"/>
                          <w:marTop w:val="0"/>
                          <w:marBottom w:val="0"/>
                          <w:divBdr>
                            <w:top w:val="none" w:sz="0" w:space="0" w:color="auto"/>
                            <w:left w:val="none" w:sz="0" w:space="0" w:color="auto"/>
                            <w:bottom w:val="none" w:sz="0" w:space="0" w:color="auto"/>
                            <w:right w:val="none" w:sz="0" w:space="0" w:color="auto"/>
                          </w:divBdr>
                          <w:divsChild>
                            <w:div w:id="24406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50919">
                      <w:marLeft w:val="0"/>
                      <w:marRight w:val="0"/>
                      <w:marTop w:val="0"/>
                      <w:marBottom w:val="0"/>
                      <w:divBdr>
                        <w:top w:val="none" w:sz="0" w:space="0" w:color="auto"/>
                        <w:left w:val="none" w:sz="0" w:space="0" w:color="auto"/>
                        <w:bottom w:val="none" w:sz="0" w:space="0" w:color="auto"/>
                        <w:right w:val="none" w:sz="0" w:space="0" w:color="auto"/>
                      </w:divBdr>
                      <w:divsChild>
                        <w:div w:id="880703163">
                          <w:marLeft w:val="0"/>
                          <w:marRight w:val="0"/>
                          <w:marTop w:val="0"/>
                          <w:marBottom w:val="0"/>
                          <w:divBdr>
                            <w:top w:val="none" w:sz="0" w:space="0" w:color="auto"/>
                            <w:left w:val="none" w:sz="0" w:space="0" w:color="auto"/>
                            <w:bottom w:val="none" w:sz="0" w:space="0" w:color="auto"/>
                            <w:right w:val="none" w:sz="0" w:space="0" w:color="auto"/>
                          </w:divBdr>
                          <w:divsChild>
                            <w:div w:id="85650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669015">
                      <w:marLeft w:val="0"/>
                      <w:marRight w:val="0"/>
                      <w:marTop w:val="0"/>
                      <w:marBottom w:val="0"/>
                      <w:divBdr>
                        <w:top w:val="none" w:sz="0" w:space="0" w:color="auto"/>
                        <w:left w:val="none" w:sz="0" w:space="0" w:color="auto"/>
                        <w:bottom w:val="none" w:sz="0" w:space="0" w:color="auto"/>
                        <w:right w:val="none" w:sz="0" w:space="0" w:color="auto"/>
                      </w:divBdr>
                      <w:divsChild>
                        <w:div w:id="1696732976">
                          <w:marLeft w:val="0"/>
                          <w:marRight w:val="0"/>
                          <w:marTop w:val="0"/>
                          <w:marBottom w:val="0"/>
                          <w:divBdr>
                            <w:top w:val="none" w:sz="0" w:space="0" w:color="auto"/>
                            <w:left w:val="none" w:sz="0" w:space="0" w:color="auto"/>
                            <w:bottom w:val="none" w:sz="0" w:space="0" w:color="auto"/>
                            <w:right w:val="none" w:sz="0" w:space="0" w:color="auto"/>
                          </w:divBdr>
                        </w:div>
                        <w:div w:id="2111929058">
                          <w:marLeft w:val="0"/>
                          <w:marRight w:val="0"/>
                          <w:marTop w:val="0"/>
                          <w:marBottom w:val="0"/>
                          <w:divBdr>
                            <w:top w:val="none" w:sz="0" w:space="0" w:color="auto"/>
                            <w:left w:val="none" w:sz="0" w:space="0" w:color="auto"/>
                            <w:bottom w:val="none" w:sz="0" w:space="0" w:color="auto"/>
                            <w:right w:val="none" w:sz="0" w:space="0" w:color="auto"/>
                          </w:divBdr>
                          <w:divsChild>
                            <w:div w:id="53104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674171">
                  <w:marLeft w:val="0"/>
                  <w:marRight w:val="0"/>
                  <w:marTop w:val="0"/>
                  <w:marBottom w:val="0"/>
                  <w:divBdr>
                    <w:top w:val="none" w:sz="0" w:space="0" w:color="auto"/>
                    <w:left w:val="none" w:sz="0" w:space="0" w:color="auto"/>
                    <w:bottom w:val="none" w:sz="0" w:space="0" w:color="auto"/>
                    <w:right w:val="none" w:sz="0" w:space="0" w:color="auto"/>
                  </w:divBdr>
                  <w:divsChild>
                    <w:div w:id="369382037">
                      <w:marLeft w:val="0"/>
                      <w:marRight w:val="0"/>
                      <w:marTop w:val="0"/>
                      <w:marBottom w:val="142"/>
                      <w:divBdr>
                        <w:top w:val="none" w:sz="0" w:space="0" w:color="auto"/>
                        <w:left w:val="none" w:sz="0" w:space="0" w:color="auto"/>
                        <w:bottom w:val="none" w:sz="0" w:space="0" w:color="auto"/>
                        <w:right w:val="none" w:sz="0" w:space="0" w:color="auto"/>
                      </w:divBdr>
                      <w:divsChild>
                        <w:div w:id="557320473">
                          <w:marLeft w:val="0"/>
                          <w:marRight w:val="0"/>
                          <w:marTop w:val="0"/>
                          <w:marBottom w:val="142"/>
                          <w:divBdr>
                            <w:top w:val="none" w:sz="0" w:space="0" w:color="auto"/>
                            <w:left w:val="none" w:sz="0" w:space="0" w:color="auto"/>
                            <w:bottom w:val="none" w:sz="0" w:space="0" w:color="auto"/>
                            <w:right w:val="none" w:sz="0" w:space="0" w:color="auto"/>
                          </w:divBdr>
                          <w:divsChild>
                            <w:div w:id="1687437506">
                              <w:marLeft w:val="0"/>
                              <w:marRight w:val="0"/>
                              <w:marTop w:val="0"/>
                              <w:marBottom w:val="142"/>
                              <w:divBdr>
                                <w:top w:val="none" w:sz="0" w:space="0" w:color="auto"/>
                                <w:left w:val="none" w:sz="0" w:space="0" w:color="auto"/>
                                <w:bottom w:val="none" w:sz="0" w:space="0" w:color="auto"/>
                                <w:right w:val="none" w:sz="0" w:space="0" w:color="auto"/>
                              </w:divBdr>
                            </w:div>
                            <w:div w:id="1616516942">
                              <w:marLeft w:val="0"/>
                              <w:marRight w:val="0"/>
                              <w:marTop w:val="0"/>
                              <w:marBottom w:val="142"/>
                              <w:divBdr>
                                <w:top w:val="none" w:sz="0" w:space="0" w:color="auto"/>
                                <w:left w:val="none" w:sz="0" w:space="0" w:color="auto"/>
                                <w:bottom w:val="none" w:sz="0" w:space="0" w:color="auto"/>
                                <w:right w:val="none" w:sz="0" w:space="0" w:color="auto"/>
                              </w:divBdr>
                            </w:div>
                            <w:div w:id="708526802">
                              <w:marLeft w:val="0"/>
                              <w:marRight w:val="0"/>
                              <w:marTop w:val="0"/>
                              <w:marBottom w:val="142"/>
                              <w:divBdr>
                                <w:top w:val="none" w:sz="0" w:space="0" w:color="auto"/>
                                <w:left w:val="none" w:sz="0" w:space="0" w:color="auto"/>
                                <w:bottom w:val="none" w:sz="0" w:space="0" w:color="auto"/>
                                <w:right w:val="none" w:sz="0" w:space="0" w:color="auto"/>
                              </w:divBdr>
                            </w:div>
                            <w:div w:id="522087599">
                              <w:marLeft w:val="0"/>
                              <w:marRight w:val="0"/>
                              <w:marTop w:val="0"/>
                              <w:marBottom w:val="142"/>
                              <w:divBdr>
                                <w:top w:val="none" w:sz="0" w:space="0" w:color="auto"/>
                                <w:left w:val="none" w:sz="0" w:space="0" w:color="auto"/>
                                <w:bottom w:val="none" w:sz="0" w:space="0" w:color="auto"/>
                                <w:right w:val="none" w:sz="0" w:space="0" w:color="auto"/>
                              </w:divBdr>
                            </w:div>
                            <w:div w:id="616915105">
                              <w:marLeft w:val="0"/>
                              <w:marRight w:val="0"/>
                              <w:marTop w:val="0"/>
                              <w:marBottom w:val="142"/>
                              <w:divBdr>
                                <w:top w:val="none" w:sz="0" w:space="0" w:color="auto"/>
                                <w:left w:val="none" w:sz="0" w:space="0" w:color="auto"/>
                                <w:bottom w:val="none" w:sz="0" w:space="0" w:color="auto"/>
                                <w:right w:val="none" w:sz="0" w:space="0" w:color="auto"/>
                              </w:divBdr>
                            </w:div>
                            <w:div w:id="494145358">
                              <w:marLeft w:val="0"/>
                              <w:marRight w:val="0"/>
                              <w:marTop w:val="0"/>
                              <w:marBottom w:val="142"/>
                              <w:divBdr>
                                <w:top w:val="none" w:sz="0" w:space="0" w:color="auto"/>
                                <w:left w:val="none" w:sz="0" w:space="0" w:color="auto"/>
                                <w:bottom w:val="none" w:sz="0" w:space="0" w:color="auto"/>
                                <w:right w:val="none" w:sz="0" w:space="0" w:color="auto"/>
                              </w:divBdr>
                            </w:div>
                            <w:div w:id="782920290">
                              <w:marLeft w:val="0"/>
                              <w:marRight w:val="0"/>
                              <w:marTop w:val="0"/>
                              <w:marBottom w:val="142"/>
                              <w:divBdr>
                                <w:top w:val="none" w:sz="0" w:space="0" w:color="auto"/>
                                <w:left w:val="none" w:sz="0" w:space="0" w:color="auto"/>
                                <w:bottom w:val="none" w:sz="0" w:space="0" w:color="auto"/>
                                <w:right w:val="none" w:sz="0" w:space="0" w:color="auto"/>
                              </w:divBdr>
                            </w:div>
                            <w:div w:id="1413697966">
                              <w:marLeft w:val="0"/>
                              <w:marRight w:val="0"/>
                              <w:marTop w:val="0"/>
                              <w:marBottom w:val="142"/>
                              <w:divBdr>
                                <w:top w:val="none" w:sz="0" w:space="0" w:color="auto"/>
                                <w:left w:val="none" w:sz="0" w:space="0" w:color="auto"/>
                                <w:bottom w:val="none" w:sz="0" w:space="0" w:color="auto"/>
                                <w:right w:val="none" w:sz="0" w:space="0" w:color="auto"/>
                              </w:divBdr>
                            </w:div>
                            <w:div w:id="577254915">
                              <w:marLeft w:val="0"/>
                              <w:marRight w:val="0"/>
                              <w:marTop w:val="0"/>
                              <w:marBottom w:val="142"/>
                              <w:divBdr>
                                <w:top w:val="none" w:sz="0" w:space="0" w:color="auto"/>
                                <w:left w:val="none" w:sz="0" w:space="0" w:color="auto"/>
                                <w:bottom w:val="none" w:sz="0" w:space="0" w:color="auto"/>
                                <w:right w:val="none" w:sz="0" w:space="0" w:color="auto"/>
                              </w:divBdr>
                            </w:div>
                            <w:div w:id="869102119">
                              <w:marLeft w:val="0"/>
                              <w:marRight w:val="0"/>
                              <w:marTop w:val="0"/>
                              <w:marBottom w:val="142"/>
                              <w:divBdr>
                                <w:top w:val="none" w:sz="0" w:space="0" w:color="auto"/>
                                <w:left w:val="none" w:sz="0" w:space="0" w:color="auto"/>
                                <w:bottom w:val="none" w:sz="0" w:space="0" w:color="auto"/>
                                <w:right w:val="none" w:sz="0" w:space="0" w:color="auto"/>
                              </w:divBdr>
                            </w:div>
                            <w:div w:id="1811244554">
                              <w:marLeft w:val="0"/>
                              <w:marRight w:val="0"/>
                              <w:marTop w:val="0"/>
                              <w:marBottom w:val="142"/>
                              <w:divBdr>
                                <w:top w:val="none" w:sz="0" w:space="0" w:color="auto"/>
                                <w:left w:val="none" w:sz="0" w:space="0" w:color="auto"/>
                                <w:bottom w:val="none" w:sz="0" w:space="0" w:color="auto"/>
                                <w:right w:val="none" w:sz="0" w:space="0" w:color="auto"/>
                              </w:divBdr>
                              <w:divsChild>
                                <w:div w:id="1813325177">
                                  <w:marLeft w:val="0"/>
                                  <w:marRight w:val="0"/>
                                  <w:marTop w:val="0"/>
                                  <w:marBottom w:val="142"/>
                                  <w:divBdr>
                                    <w:top w:val="none" w:sz="0" w:space="0" w:color="auto"/>
                                    <w:left w:val="none" w:sz="0" w:space="0" w:color="auto"/>
                                    <w:bottom w:val="none" w:sz="0" w:space="0" w:color="auto"/>
                                    <w:right w:val="none" w:sz="0" w:space="0" w:color="auto"/>
                                  </w:divBdr>
                                  <w:divsChild>
                                    <w:div w:id="884561962">
                                      <w:marLeft w:val="0"/>
                                      <w:marRight w:val="0"/>
                                      <w:marTop w:val="0"/>
                                      <w:marBottom w:val="142"/>
                                      <w:divBdr>
                                        <w:top w:val="none" w:sz="0" w:space="0" w:color="auto"/>
                                        <w:left w:val="none" w:sz="0" w:space="0" w:color="auto"/>
                                        <w:bottom w:val="none" w:sz="0" w:space="0" w:color="auto"/>
                                        <w:right w:val="none" w:sz="0" w:space="0" w:color="auto"/>
                                      </w:divBdr>
                                      <w:divsChild>
                                        <w:div w:id="1414086275">
                                          <w:marLeft w:val="0"/>
                                          <w:marRight w:val="0"/>
                                          <w:marTop w:val="0"/>
                                          <w:marBottom w:val="142"/>
                                          <w:divBdr>
                                            <w:top w:val="none" w:sz="0" w:space="0" w:color="auto"/>
                                            <w:left w:val="none" w:sz="0" w:space="0" w:color="auto"/>
                                            <w:bottom w:val="none" w:sz="0" w:space="0" w:color="auto"/>
                                            <w:right w:val="none" w:sz="0" w:space="0" w:color="auto"/>
                                          </w:divBdr>
                                        </w:div>
                                        <w:div w:id="1246114661">
                                          <w:marLeft w:val="0"/>
                                          <w:marRight w:val="0"/>
                                          <w:marTop w:val="0"/>
                                          <w:marBottom w:val="142"/>
                                          <w:divBdr>
                                            <w:top w:val="none" w:sz="0" w:space="0" w:color="auto"/>
                                            <w:left w:val="none" w:sz="0" w:space="0" w:color="auto"/>
                                            <w:bottom w:val="none" w:sz="0" w:space="0" w:color="auto"/>
                                            <w:right w:val="none" w:sz="0" w:space="0" w:color="auto"/>
                                          </w:divBdr>
                                        </w:div>
                                      </w:divsChild>
                                    </w:div>
                                  </w:divsChild>
                                </w:div>
                                <w:div w:id="477842453">
                                  <w:marLeft w:val="0"/>
                                  <w:marRight w:val="0"/>
                                  <w:marTop w:val="0"/>
                                  <w:marBottom w:val="142"/>
                                  <w:divBdr>
                                    <w:top w:val="none" w:sz="0" w:space="0" w:color="auto"/>
                                    <w:left w:val="none" w:sz="0" w:space="0" w:color="auto"/>
                                    <w:bottom w:val="none" w:sz="0" w:space="0" w:color="auto"/>
                                    <w:right w:val="none" w:sz="0" w:space="0" w:color="auto"/>
                                  </w:divBdr>
                                </w:div>
                              </w:divsChild>
                            </w:div>
                            <w:div w:id="593324841">
                              <w:marLeft w:val="0"/>
                              <w:marRight w:val="0"/>
                              <w:marTop w:val="0"/>
                              <w:marBottom w:val="14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953305">
      <w:bodyDiv w:val="1"/>
      <w:marLeft w:val="0"/>
      <w:marRight w:val="0"/>
      <w:marTop w:val="0"/>
      <w:marBottom w:val="0"/>
      <w:divBdr>
        <w:top w:val="none" w:sz="0" w:space="0" w:color="auto"/>
        <w:left w:val="none" w:sz="0" w:space="0" w:color="auto"/>
        <w:bottom w:val="none" w:sz="0" w:space="0" w:color="auto"/>
        <w:right w:val="none" w:sz="0" w:space="0" w:color="auto"/>
      </w:divBdr>
      <w:divsChild>
        <w:div w:id="1137138995">
          <w:marLeft w:val="0"/>
          <w:marRight w:val="0"/>
          <w:marTop w:val="0"/>
          <w:marBottom w:val="0"/>
          <w:divBdr>
            <w:top w:val="none" w:sz="0" w:space="0" w:color="auto"/>
            <w:left w:val="none" w:sz="0" w:space="0" w:color="auto"/>
            <w:bottom w:val="none" w:sz="0" w:space="0" w:color="auto"/>
            <w:right w:val="none" w:sz="0" w:space="0" w:color="auto"/>
          </w:divBdr>
          <w:divsChild>
            <w:div w:id="270206935">
              <w:marLeft w:val="0"/>
              <w:marRight w:val="0"/>
              <w:marTop w:val="0"/>
              <w:marBottom w:val="0"/>
              <w:divBdr>
                <w:top w:val="none" w:sz="0" w:space="0" w:color="auto"/>
                <w:left w:val="none" w:sz="0" w:space="0" w:color="auto"/>
                <w:bottom w:val="none" w:sz="0" w:space="0" w:color="auto"/>
                <w:right w:val="none" w:sz="0" w:space="0" w:color="auto"/>
              </w:divBdr>
              <w:divsChild>
                <w:div w:id="964433714">
                  <w:marLeft w:val="0"/>
                  <w:marRight w:val="0"/>
                  <w:marTop w:val="0"/>
                  <w:marBottom w:val="0"/>
                  <w:divBdr>
                    <w:top w:val="none" w:sz="0" w:space="0" w:color="auto"/>
                    <w:left w:val="none" w:sz="0" w:space="0" w:color="auto"/>
                    <w:bottom w:val="none" w:sz="0" w:space="0" w:color="auto"/>
                    <w:right w:val="none" w:sz="0" w:space="0" w:color="auto"/>
                  </w:divBdr>
                  <w:divsChild>
                    <w:div w:id="9645170">
                      <w:marLeft w:val="0"/>
                      <w:marRight w:val="0"/>
                      <w:marTop w:val="0"/>
                      <w:marBottom w:val="0"/>
                      <w:divBdr>
                        <w:top w:val="none" w:sz="0" w:space="0" w:color="auto"/>
                        <w:left w:val="none" w:sz="0" w:space="0" w:color="auto"/>
                        <w:bottom w:val="none" w:sz="0" w:space="0" w:color="auto"/>
                        <w:right w:val="none" w:sz="0" w:space="0" w:color="auto"/>
                      </w:divBdr>
                      <w:divsChild>
                        <w:div w:id="205292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68920">
                  <w:marLeft w:val="0"/>
                  <w:marRight w:val="0"/>
                  <w:marTop w:val="0"/>
                  <w:marBottom w:val="0"/>
                  <w:divBdr>
                    <w:top w:val="none" w:sz="0" w:space="0" w:color="auto"/>
                    <w:left w:val="none" w:sz="0" w:space="0" w:color="auto"/>
                    <w:bottom w:val="none" w:sz="0" w:space="0" w:color="auto"/>
                    <w:right w:val="none" w:sz="0" w:space="0" w:color="auto"/>
                  </w:divBdr>
                </w:div>
                <w:div w:id="1259944883">
                  <w:marLeft w:val="0"/>
                  <w:marRight w:val="0"/>
                  <w:marTop w:val="0"/>
                  <w:marBottom w:val="61"/>
                  <w:divBdr>
                    <w:top w:val="none" w:sz="0" w:space="0" w:color="auto"/>
                    <w:left w:val="none" w:sz="0" w:space="0" w:color="auto"/>
                    <w:bottom w:val="none" w:sz="0" w:space="0" w:color="auto"/>
                    <w:right w:val="none" w:sz="0" w:space="0" w:color="auto"/>
                  </w:divBdr>
                </w:div>
                <w:div w:id="1633486011">
                  <w:marLeft w:val="0"/>
                  <w:marRight w:val="51"/>
                  <w:marTop w:val="0"/>
                  <w:marBottom w:val="61"/>
                  <w:divBdr>
                    <w:top w:val="none" w:sz="0" w:space="0" w:color="auto"/>
                    <w:left w:val="none" w:sz="0" w:space="0" w:color="auto"/>
                    <w:bottom w:val="none" w:sz="0" w:space="0" w:color="auto"/>
                    <w:right w:val="none" w:sz="0" w:space="0" w:color="auto"/>
                  </w:divBdr>
                </w:div>
                <w:div w:id="1686982549">
                  <w:marLeft w:val="0"/>
                  <w:marRight w:val="0"/>
                  <w:marTop w:val="0"/>
                  <w:marBottom w:val="0"/>
                  <w:divBdr>
                    <w:top w:val="none" w:sz="0" w:space="0" w:color="auto"/>
                    <w:left w:val="none" w:sz="0" w:space="0" w:color="auto"/>
                    <w:bottom w:val="none" w:sz="0" w:space="0" w:color="auto"/>
                    <w:right w:val="none" w:sz="0" w:space="0" w:color="auto"/>
                  </w:divBdr>
                  <w:divsChild>
                    <w:div w:id="82646234">
                      <w:marLeft w:val="0"/>
                      <w:marRight w:val="101"/>
                      <w:marTop w:val="0"/>
                      <w:marBottom w:val="0"/>
                      <w:divBdr>
                        <w:top w:val="none" w:sz="0" w:space="0" w:color="auto"/>
                        <w:left w:val="none" w:sz="0" w:space="0" w:color="auto"/>
                        <w:bottom w:val="none" w:sz="0" w:space="0" w:color="auto"/>
                        <w:right w:val="none" w:sz="0" w:space="0" w:color="auto"/>
                      </w:divBdr>
                    </w:div>
                    <w:div w:id="1700666589">
                      <w:marLeft w:val="0"/>
                      <w:marRight w:val="0"/>
                      <w:marTop w:val="0"/>
                      <w:marBottom w:val="0"/>
                      <w:divBdr>
                        <w:top w:val="none" w:sz="0" w:space="0" w:color="auto"/>
                        <w:left w:val="none" w:sz="0" w:space="0" w:color="auto"/>
                        <w:bottom w:val="none" w:sz="0" w:space="0" w:color="auto"/>
                        <w:right w:val="none" w:sz="0" w:space="0" w:color="auto"/>
                      </w:divBdr>
                      <w:divsChild>
                        <w:div w:id="1291475720">
                          <w:marLeft w:val="71"/>
                          <w:marRight w:val="254"/>
                          <w:marTop w:val="0"/>
                          <w:marBottom w:val="0"/>
                          <w:divBdr>
                            <w:top w:val="none" w:sz="0" w:space="0" w:color="auto"/>
                            <w:left w:val="none" w:sz="0" w:space="0" w:color="auto"/>
                            <w:bottom w:val="none" w:sz="0" w:space="0" w:color="auto"/>
                            <w:right w:val="none" w:sz="0" w:space="0" w:color="auto"/>
                          </w:divBdr>
                          <w:divsChild>
                            <w:div w:id="157766644">
                              <w:marLeft w:val="0"/>
                              <w:marRight w:val="0"/>
                              <w:marTop w:val="0"/>
                              <w:marBottom w:val="0"/>
                              <w:divBdr>
                                <w:top w:val="none" w:sz="0" w:space="0" w:color="auto"/>
                                <w:left w:val="none" w:sz="0" w:space="0" w:color="auto"/>
                                <w:bottom w:val="none" w:sz="0" w:space="0" w:color="auto"/>
                                <w:right w:val="none" w:sz="0" w:space="0" w:color="auto"/>
                              </w:divBdr>
                            </w:div>
                          </w:divsChild>
                        </w:div>
                        <w:div w:id="1615601932">
                          <w:marLeft w:val="71"/>
                          <w:marRight w:val="0"/>
                          <w:marTop w:val="10"/>
                          <w:marBottom w:val="0"/>
                          <w:divBdr>
                            <w:top w:val="none" w:sz="0" w:space="0" w:color="auto"/>
                            <w:left w:val="single" w:sz="4" w:space="4" w:color="DDDDDD"/>
                            <w:bottom w:val="none" w:sz="0" w:space="0" w:color="auto"/>
                            <w:right w:val="single" w:sz="4" w:space="5" w:color="DDDDDD"/>
                          </w:divBdr>
                        </w:div>
                      </w:divsChild>
                    </w:div>
                  </w:divsChild>
                </w:div>
                <w:div w:id="688677470">
                  <w:marLeft w:val="0"/>
                  <w:marRight w:val="0"/>
                  <w:marTop w:val="0"/>
                  <w:marBottom w:val="0"/>
                  <w:divBdr>
                    <w:top w:val="none" w:sz="0" w:space="0" w:color="auto"/>
                    <w:left w:val="none" w:sz="0" w:space="0" w:color="auto"/>
                    <w:bottom w:val="none" w:sz="0" w:space="0" w:color="auto"/>
                    <w:right w:val="none" w:sz="0" w:space="0" w:color="auto"/>
                  </w:divBdr>
                  <w:divsChild>
                    <w:div w:id="970793753">
                      <w:marLeft w:val="0"/>
                      <w:marRight w:val="0"/>
                      <w:marTop w:val="0"/>
                      <w:marBottom w:val="0"/>
                      <w:divBdr>
                        <w:top w:val="none" w:sz="0" w:space="0" w:color="auto"/>
                        <w:left w:val="none" w:sz="0" w:space="0" w:color="auto"/>
                        <w:bottom w:val="none" w:sz="0" w:space="0" w:color="auto"/>
                        <w:right w:val="none" w:sz="0" w:space="0" w:color="auto"/>
                      </w:divBdr>
                      <w:divsChild>
                        <w:div w:id="1752653255">
                          <w:marLeft w:val="0"/>
                          <w:marRight w:val="0"/>
                          <w:marTop w:val="0"/>
                          <w:marBottom w:val="0"/>
                          <w:divBdr>
                            <w:top w:val="none" w:sz="0" w:space="0" w:color="auto"/>
                            <w:left w:val="none" w:sz="0" w:space="0" w:color="auto"/>
                            <w:bottom w:val="none" w:sz="0" w:space="0" w:color="auto"/>
                            <w:right w:val="none" w:sz="0" w:space="0" w:color="auto"/>
                          </w:divBdr>
                          <w:divsChild>
                            <w:div w:id="35850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887639">
                      <w:marLeft w:val="0"/>
                      <w:marRight w:val="0"/>
                      <w:marTop w:val="0"/>
                      <w:marBottom w:val="0"/>
                      <w:divBdr>
                        <w:top w:val="none" w:sz="0" w:space="0" w:color="auto"/>
                        <w:left w:val="none" w:sz="0" w:space="0" w:color="auto"/>
                        <w:bottom w:val="none" w:sz="0" w:space="0" w:color="auto"/>
                        <w:right w:val="none" w:sz="0" w:space="0" w:color="auto"/>
                      </w:divBdr>
                      <w:divsChild>
                        <w:div w:id="77597642">
                          <w:marLeft w:val="0"/>
                          <w:marRight w:val="0"/>
                          <w:marTop w:val="0"/>
                          <w:marBottom w:val="0"/>
                          <w:divBdr>
                            <w:top w:val="none" w:sz="0" w:space="0" w:color="auto"/>
                            <w:left w:val="none" w:sz="0" w:space="0" w:color="auto"/>
                            <w:bottom w:val="none" w:sz="0" w:space="0" w:color="auto"/>
                            <w:right w:val="none" w:sz="0" w:space="0" w:color="auto"/>
                          </w:divBdr>
                          <w:divsChild>
                            <w:div w:id="210811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92920">
                      <w:marLeft w:val="0"/>
                      <w:marRight w:val="0"/>
                      <w:marTop w:val="0"/>
                      <w:marBottom w:val="0"/>
                      <w:divBdr>
                        <w:top w:val="none" w:sz="0" w:space="0" w:color="auto"/>
                        <w:left w:val="none" w:sz="0" w:space="0" w:color="auto"/>
                        <w:bottom w:val="none" w:sz="0" w:space="0" w:color="auto"/>
                        <w:right w:val="none" w:sz="0" w:space="0" w:color="auto"/>
                      </w:divBdr>
                      <w:divsChild>
                        <w:div w:id="922109596">
                          <w:marLeft w:val="0"/>
                          <w:marRight w:val="0"/>
                          <w:marTop w:val="0"/>
                          <w:marBottom w:val="0"/>
                          <w:divBdr>
                            <w:top w:val="none" w:sz="0" w:space="0" w:color="auto"/>
                            <w:left w:val="none" w:sz="0" w:space="0" w:color="auto"/>
                            <w:bottom w:val="none" w:sz="0" w:space="0" w:color="auto"/>
                            <w:right w:val="none" w:sz="0" w:space="0" w:color="auto"/>
                          </w:divBdr>
                        </w:div>
                        <w:div w:id="290982594">
                          <w:marLeft w:val="0"/>
                          <w:marRight w:val="0"/>
                          <w:marTop w:val="0"/>
                          <w:marBottom w:val="0"/>
                          <w:divBdr>
                            <w:top w:val="none" w:sz="0" w:space="0" w:color="auto"/>
                            <w:left w:val="none" w:sz="0" w:space="0" w:color="auto"/>
                            <w:bottom w:val="none" w:sz="0" w:space="0" w:color="auto"/>
                            <w:right w:val="none" w:sz="0" w:space="0" w:color="auto"/>
                          </w:divBdr>
                          <w:divsChild>
                            <w:div w:id="169476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2599">
                  <w:marLeft w:val="0"/>
                  <w:marRight w:val="0"/>
                  <w:marTop w:val="0"/>
                  <w:marBottom w:val="0"/>
                  <w:divBdr>
                    <w:top w:val="none" w:sz="0" w:space="0" w:color="auto"/>
                    <w:left w:val="none" w:sz="0" w:space="0" w:color="auto"/>
                    <w:bottom w:val="none" w:sz="0" w:space="0" w:color="auto"/>
                    <w:right w:val="none" w:sz="0" w:space="0" w:color="auto"/>
                  </w:divBdr>
                  <w:divsChild>
                    <w:div w:id="769474757">
                      <w:marLeft w:val="0"/>
                      <w:marRight w:val="0"/>
                      <w:marTop w:val="0"/>
                      <w:marBottom w:val="142"/>
                      <w:divBdr>
                        <w:top w:val="none" w:sz="0" w:space="0" w:color="auto"/>
                        <w:left w:val="none" w:sz="0" w:space="0" w:color="auto"/>
                        <w:bottom w:val="none" w:sz="0" w:space="0" w:color="auto"/>
                        <w:right w:val="none" w:sz="0" w:space="0" w:color="auto"/>
                      </w:divBdr>
                      <w:divsChild>
                        <w:div w:id="769858406">
                          <w:marLeft w:val="0"/>
                          <w:marRight w:val="0"/>
                          <w:marTop w:val="0"/>
                          <w:marBottom w:val="142"/>
                          <w:divBdr>
                            <w:top w:val="none" w:sz="0" w:space="0" w:color="auto"/>
                            <w:left w:val="none" w:sz="0" w:space="0" w:color="auto"/>
                            <w:bottom w:val="none" w:sz="0" w:space="0" w:color="auto"/>
                            <w:right w:val="none" w:sz="0" w:space="0" w:color="auto"/>
                          </w:divBdr>
                          <w:divsChild>
                            <w:div w:id="1316765802">
                              <w:marLeft w:val="0"/>
                              <w:marRight w:val="0"/>
                              <w:marTop w:val="0"/>
                              <w:marBottom w:val="142"/>
                              <w:divBdr>
                                <w:top w:val="none" w:sz="0" w:space="0" w:color="auto"/>
                                <w:left w:val="none" w:sz="0" w:space="0" w:color="auto"/>
                                <w:bottom w:val="none" w:sz="0" w:space="0" w:color="auto"/>
                                <w:right w:val="none" w:sz="0" w:space="0" w:color="auto"/>
                              </w:divBdr>
                            </w:div>
                            <w:div w:id="1307588116">
                              <w:marLeft w:val="0"/>
                              <w:marRight w:val="0"/>
                              <w:marTop w:val="0"/>
                              <w:marBottom w:val="142"/>
                              <w:divBdr>
                                <w:top w:val="none" w:sz="0" w:space="0" w:color="auto"/>
                                <w:left w:val="none" w:sz="0" w:space="0" w:color="auto"/>
                                <w:bottom w:val="none" w:sz="0" w:space="0" w:color="auto"/>
                                <w:right w:val="none" w:sz="0" w:space="0" w:color="auto"/>
                              </w:divBdr>
                            </w:div>
                            <w:div w:id="1161702625">
                              <w:marLeft w:val="0"/>
                              <w:marRight w:val="0"/>
                              <w:marTop w:val="0"/>
                              <w:marBottom w:val="142"/>
                              <w:divBdr>
                                <w:top w:val="none" w:sz="0" w:space="0" w:color="auto"/>
                                <w:left w:val="none" w:sz="0" w:space="0" w:color="auto"/>
                                <w:bottom w:val="none" w:sz="0" w:space="0" w:color="auto"/>
                                <w:right w:val="none" w:sz="0" w:space="0" w:color="auto"/>
                              </w:divBdr>
                            </w:div>
                            <w:div w:id="904297646">
                              <w:marLeft w:val="0"/>
                              <w:marRight w:val="0"/>
                              <w:marTop w:val="0"/>
                              <w:marBottom w:val="142"/>
                              <w:divBdr>
                                <w:top w:val="none" w:sz="0" w:space="0" w:color="auto"/>
                                <w:left w:val="none" w:sz="0" w:space="0" w:color="auto"/>
                                <w:bottom w:val="none" w:sz="0" w:space="0" w:color="auto"/>
                                <w:right w:val="none" w:sz="0" w:space="0" w:color="auto"/>
                              </w:divBdr>
                            </w:div>
                            <w:div w:id="1014183904">
                              <w:marLeft w:val="0"/>
                              <w:marRight w:val="0"/>
                              <w:marTop w:val="0"/>
                              <w:marBottom w:val="142"/>
                              <w:divBdr>
                                <w:top w:val="none" w:sz="0" w:space="0" w:color="auto"/>
                                <w:left w:val="none" w:sz="0" w:space="0" w:color="auto"/>
                                <w:bottom w:val="none" w:sz="0" w:space="0" w:color="auto"/>
                                <w:right w:val="none" w:sz="0" w:space="0" w:color="auto"/>
                              </w:divBdr>
                            </w:div>
                            <w:div w:id="731469838">
                              <w:marLeft w:val="0"/>
                              <w:marRight w:val="0"/>
                              <w:marTop w:val="0"/>
                              <w:marBottom w:val="142"/>
                              <w:divBdr>
                                <w:top w:val="none" w:sz="0" w:space="0" w:color="auto"/>
                                <w:left w:val="none" w:sz="0" w:space="0" w:color="auto"/>
                                <w:bottom w:val="none" w:sz="0" w:space="0" w:color="auto"/>
                                <w:right w:val="none" w:sz="0" w:space="0" w:color="auto"/>
                              </w:divBdr>
                            </w:div>
                            <w:div w:id="866796922">
                              <w:marLeft w:val="0"/>
                              <w:marRight w:val="0"/>
                              <w:marTop w:val="0"/>
                              <w:marBottom w:val="142"/>
                              <w:divBdr>
                                <w:top w:val="none" w:sz="0" w:space="0" w:color="auto"/>
                                <w:left w:val="none" w:sz="0" w:space="0" w:color="auto"/>
                                <w:bottom w:val="none" w:sz="0" w:space="0" w:color="auto"/>
                                <w:right w:val="none" w:sz="0" w:space="0" w:color="auto"/>
                              </w:divBdr>
                            </w:div>
                            <w:div w:id="1707945423">
                              <w:marLeft w:val="0"/>
                              <w:marRight w:val="0"/>
                              <w:marTop w:val="0"/>
                              <w:marBottom w:val="142"/>
                              <w:divBdr>
                                <w:top w:val="none" w:sz="0" w:space="0" w:color="auto"/>
                                <w:left w:val="none" w:sz="0" w:space="0" w:color="auto"/>
                                <w:bottom w:val="none" w:sz="0" w:space="0" w:color="auto"/>
                                <w:right w:val="none" w:sz="0" w:space="0" w:color="auto"/>
                              </w:divBdr>
                            </w:div>
                            <w:div w:id="107435095">
                              <w:marLeft w:val="0"/>
                              <w:marRight w:val="0"/>
                              <w:marTop w:val="0"/>
                              <w:marBottom w:val="142"/>
                              <w:divBdr>
                                <w:top w:val="none" w:sz="0" w:space="0" w:color="auto"/>
                                <w:left w:val="none" w:sz="0" w:space="0" w:color="auto"/>
                                <w:bottom w:val="none" w:sz="0" w:space="0" w:color="auto"/>
                                <w:right w:val="none" w:sz="0" w:space="0" w:color="auto"/>
                              </w:divBdr>
                            </w:div>
                            <w:div w:id="880090823">
                              <w:marLeft w:val="0"/>
                              <w:marRight w:val="0"/>
                              <w:marTop w:val="0"/>
                              <w:marBottom w:val="142"/>
                              <w:divBdr>
                                <w:top w:val="none" w:sz="0" w:space="0" w:color="auto"/>
                                <w:left w:val="none" w:sz="0" w:space="0" w:color="auto"/>
                                <w:bottom w:val="none" w:sz="0" w:space="0" w:color="auto"/>
                                <w:right w:val="none" w:sz="0" w:space="0" w:color="auto"/>
                              </w:divBdr>
                            </w:div>
                            <w:div w:id="1220097709">
                              <w:marLeft w:val="0"/>
                              <w:marRight w:val="0"/>
                              <w:marTop w:val="0"/>
                              <w:marBottom w:val="142"/>
                              <w:divBdr>
                                <w:top w:val="none" w:sz="0" w:space="0" w:color="auto"/>
                                <w:left w:val="none" w:sz="0" w:space="0" w:color="auto"/>
                                <w:bottom w:val="none" w:sz="0" w:space="0" w:color="auto"/>
                                <w:right w:val="none" w:sz="0" w:space="0" w:color="auto"/>
                              </w:divBdr>
                              <w:divsChild>
                                <w:div w:id="616642721">
                                  <w:marLeft w:val="0"/>
                                  <w:marRight w:val="0"/>
                                  <w:marTop w:val="0"/>
                                  <w:marBottom w:val="142"/>
                                  <w:divBdr>
                                    <w:top w:val="none" w:sz="0" w:space="0" w:color="auto"/>
                                    <w:left w:val="none" w:sz="0" w:space="0" w:color="auto"/>
                                    <w:bottom w:val="none" w:sz="0" w:space="0" w:color="auto"/>
                                    <w:right w:val="none" w:sz="0" w:space="0" w:color="auto"/>
                                  </w:divBdr>
                                  <w:divsChild>
                                    <w:div w:id="470710888">
                                      <w:marLeft w:val="0"/>
                                      <w:marRight w:val="0"/>
                                      <w:marTop w:val="0"/>
                                      <w:marBottom w:val="142"/>
                                      <w:divBdr>
                                        <w:top w:val="none" w:sz="0" w:space="0" w:color="auto"/>
                                        <w:left w:val="none" w:sz="0" w:space="0" w:color="auto"/>
                                        <w:bottom w:val="none" w:sz="0" w:space="0" w:color="auto"/>
                                        <w:right w:val="none" w:sz="0" w:space="0" w:color="auto"/>
                                      </w:divBdr>
                                      <w:divsChild>
                                        <w:div w:id="1444959734">
                                          <w:marLeft w:val="0"/>
                                          <w:marRight w:val="0"/>
                                          <w:marTop w:val="0"/>
                                          <w:marBottom w:val="142"/>
                                          <w:divBdr>
                                            <w:top w:val="none" w:sz="0" w:space="0" w:color="auto"/>
                                            <w:left w:val="none" w:sz="0" w:space="0" w:color="auto"/>
                                            <w:bottom w:val="none" w:sz="0" w:space="0" w:color="auto"/>
                                            <w:right w:val="none" w:sz="0" w:space="0" w:color="auto"/>
                                          </w:divBdr>
                                        </w:div>
                                        <w:div w:id="1311784625">
                                          <w:marLeft w:val="0"/>
                                          <w:marRight w:val="0"/>
                                          <w:marTop w:val="0"/>
                                          <w:marBottom w:val="142"/>
                                          <w:divBdr>
                                            <w:top w:val="none" w:sz="0" w:space="0" w:color="auto"/>
                                            <w:left w:val="none" w:sz="0" w:space="0" w:color="auto"/>
                                            <w:bottom w:val="none" w:sz="0" w:space="0" w:color="auto"/>
                                            <w:right w:val="none" w:sz="0" w:space="0" w:color="auto"/>
                                          </w:divBdr>
                                        </w:div>
                                      </w:divsChild>
                                    </w:div>
                                  </w:divsChild>
                                </w:div>
                                <w:div w:id="565602660">
                                  <w:marLeft w:val="0"/>
                                  <w:marRight w:val="0"/>
                                  <w:marTop w:val="0"/>
                                  <w:marBottom w:val="142"/>
                                  <w:divBdr>
                                    <w:top w:val="none" w:sz="0" w:space="0" w:color="auto"/>
                                    <w:left w:val="none" w:sz="0" w:space="0" w:color="auto"/>
                                    <w:bottom w:val="none" w:sz="0" w:space="0" w:color="auto"/>
                                    <w:right w:val="none" w:sz="0" w:space="0" w:color="auto"/>
                                  </w:divBdr>
                                </w:div>
                              </w:divsChild>
                            </w:div>
                            <w:div w:id="452021004">
                              <w:marLeft w:val="0"/>
                              <w:marRight w:val="0"/>
                              <w:marTop w:val="0"/>
                              <w:marBottom w:val="14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544165">
      <w:bodyDiv w:val="1"/>
      <w:marLeft w:val="0"/>
      <w:marRight w:val="0"/>
      <w:marTop w:val="0"/>
      <w:marBottom w:val="0"/>
      <w:divBdr>
        <w:top w:val="none" w:sz="0" w:space="0" w:color="auto"/>
        <w:left w:val="none" w:sz="0" w:space="0" w:color="auto"/>
        <w:bottom w:val="none" w:sz="0" w:space="0" w:color="auto"/>
        <w:right w:val="none" w:sz="0" w:space="0" w:color="auto"/>
      </w:divBdr>
      <w:divsChild>
        <w:div w:id="776750911">
          <w:marLeft w:val="0"/>
          <w:marRight w:val="0"/>
          <w:marTop w:val="0"/>
          <w:marBottom w:val="0"/>
          <w:divBdr>
            <w:top w:val="none" w:sz="0" w:space="0" w:color="auto"/>
            <w:left w:val="none" w:sz="0" w:space="0" w:color="auto"/>
            <w:bottom w:val="none" w:sz="0" w:space="0" w:color="auto"/>
            <w:right w:val="none" w:sz="0" w:space="0" w:color="auto"/>
          </w:divBdr>
        </w:div>
        <w:div w:id="2040352094">
          <w:marLeft w:val="0"/>
          <w:marRight w:val="0"/>
          <w:marTop w:val="0"/>
          <w:marBottom w:val="0"/>
          <w:divBdr>
            <w:top w:val="none" w:sz="0" w:space="0" w:color="auto"/>
            <w:left w:val="none" w:sz="0" w:space="0" w:color="auto"/>
            <w:bottom w:val="none" w:sz="0" w:space="0" w:color="auto"/>
            <w:right w:val="none" w:sz="0" w:space="0" w:color="auto"/>
          </w:divBdr>
          <w:divsChild>
            <w:div w:id="61686418">
              <w:marLeft w:val="0"/>
              <w:marRight w:val="0"/>
              <w:marTop w:val="0"/>
              <w:marBottom w:val="0"/>
              <w:divBdr>
                <w:top w:val="none" w:sz="0" w:space="0" w:color="auto"/>
                <w:left w:val="none" w:sz="0" w:space="0" w:color="auto"/>
                <w:bottom w:val="none" w:sz="0" w:space="0" w:color="auto"/>
                <w:right w:val="none" w:sz="0" w:space="0" w:color="auto"/>
              </w:divBdr>
              <w:divsChild>
                <w:div w:id="1737585592">
                  <w:marLeft w:val="0"/>
                  <w:marRight w:val="336"/>
                  <w:marTop w:val="120"/>
                  <w:marBottom w:val="312"/>
                  <w:divBdr>
                    <w:top w:val="none" w:sz="0" w:space="0" w:color="auto"/>
                    <w:left w:val="none" w:sz="0" w:space="0" w:color="auto"/>
                    <w:bottom w:val="none" w:sz="0" w:space="0" w:color="auto"/>
                    <w:right w:val="none" w:sz="0" w:space="0" w:color="auto"/>
                  </w:divBdr>
                  <w:divsChild>
                    <w:div w:id="1272593638">
                      <w:marLeft w:val="0"/>
                      <w:marRight w:val="0"/>
                      <w:marTop w:val="0"/>
                      <w:marBottom w:val="0"/>
                      <w:divBdr>
                        <w:top w:val="single" w:sz="4" w:space="0" w:color="CCCCCC"/>
                        <w:left w:val="single" w:sz="4" w:space="0" w:color="CCCCCC"/>
                        <w:bottom w:val="single" w:sz="4" w:space="0" w:color="CCCCCC"/>
                        <w:right w:val="single" w:sz="4" w:space="0" w:color="CCCCCC"/>
                      </w:divBdr>
                    </w:div>
                  </w:divsChild>
                </w:div>
              </w:divsChild>
            </w:div>
          </w:divsChild>
        </w:div>
      </w:divsChild>
    </w:div>
    <w:div w:id="2052486476">
      <w:bodyDiv w:val="1"/>
      <w:marLeft w:val="0"/>
      <w:marRight w:val="0"/>
      <w:marTop w:val="0"/>
      <w:marBottom w:val="0"/>
      <w:divBdr>
        <w:top w:val="none" w:sz="0" w:space="0" w:color="auto"/>
        <w:left w:val="none" w:sz="0" w:space="0" w:color="auto"/>
        <w:bottom w:val="none" w:sz="0" w:space="0" w:color="auto"/>
        <w:right w:val="none" w:sz="0" w:space="0" w:color="auto"/>
      </w:divBdr>
      <w:divsChild>
        <w:div w:id="1305617517">
          <w:marLeft w:val="0"/>
          <w:marRight w:val="0"/>
          <w:marTop w:val="0"/>
          <w:marBottom w:val="0"/>
          <w:divBdr>
            <w:top w:val="none" w:sz="0" w:space="0" w:color="auto"/>
            <w:left w:val="none" w:sz="0" w:space="0" w:color="auto"/>
            <w:bottom w:val="none" w:sz="0" w:space="0" w:color="auto"/>
            <w:right w:val="none" w:sz="0" w:space="0" w:color="auto"/>
          </w:divBdr>
          <w:divsChild>
            <w:div w:id="2090883153">
              <w:marLeft w:val="0"/>
              <w:marRight w:val="0"/>
              <w:marTop w:val="0"/>
              <w:marBottom w:val="0"/>
              <w:divBdr>
                <w:top w:val="none" w:sz="0" w:space="0" w:color="auto"/>
                <w:left w:val="none" w:sz="0" w:space="0" w:color="auto"/>
                <w:bottom w:val="none" w:sz="0" w:space="0" w:color="auto"/>
                <w:right w:val="none" w:sz="0" w:space="0" w:color="auto"/>
              </w:divBdr>
              <w:divsChild>
                <w:div w:id="773330398">
                  <w:marLeft w:val="0"/>
                  <w:marRight w:val="0"/>
                  <w:marTop w:val="0"/>
                  <w:marBottom w:val="0"/>
                  <w:divBdr>
                    <w:top w:val="none" w:sz="0" w:space="0" w:color="auto"/>
                    <w:left w:val="none" w:sz="0" w:space="0" w:color="auto"/>
                    <w:bottom w:val="none" w:sz="0" w:space="0" w:color="auto"/>
                    <w:right w:val="none" w:sz="0" w:space="0" w:color="auto"/>
                  </w:divBdr>
                  <w:divsChild>
                    <w:div w:id="120811559">
                      <w:marLeft w:val="0"/>
                      <w:marRight w:val="0"/>
                      <w:marTop w:val="0"/>
                      <w:marBottom w:val="0"/>
                      <w:divBdr>
                        <w:top w:val="none" w:sz="0" w:space="0" w:color="auto"/>
                        <w:left w:val="none" w:sz="0" w:space="0" w:color="auto"/>
                        <w:bottom w:val="none" w:sz="0" w:space="0" w:color="auto"/>
                        <w:right w:val="none" w:sz="0" w:space="0" w:color="auto"/>
                      </w:divBdr>
                      <w:divsChild>
                        <w:div w:id="106876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66904">
                  <w:marLeft w:val="0"/>
                  <w:marRight w:val="0"/>
                  <w:marTop w:val="0"/>
                  <w:marBottom w:val="0"/>
                  <w:divBdr>
                    <w:top w:val="none" w:sz="0" w:space="0" w:color="auto"/>
                    <w:left w:val="none" w:sz="0" w:space="0" w:color="auto"/>
                    <w:bottom w:val="none" w:sz="0" w:space="0" w:color="auto"/>
                    <w:right w:val="none" w:sz="0" w:space="0" w:color="auto"/>
                  </w:divBdr>
                </w:div>
                <w:div w:id="1155880184">
                  <w:marLeft w:val="0"/>
                  <w:marRight w:val="0"/>
                  <w:marTop w:val="0"/>
                  <w:marBottom w:val="61"/>
                  <w:divBdr>
                    <w:top w:val="none" w:sz="0" w:space="0" w:color="auto"/>
                    <w:left w:val="none" w:sz="0" w:space="0" w:color="auto"/>
                    <w:bottom w:val="none" w:sz="0" w:space="0" w:color="auto"/>
                    <w:right w:val="none" w:sz="0" w:space="0" w:color="auto"/>
                  </w:divBdr>
                </w:div>
                <w:div w:id="1248422879">
                  <w:marLeft w:val="0"/>
                  <w:marRight w:val="51"/>
                  <w:marTop w:val="0"/>
                  <w:marBottom w:val="61"/>
                  <w:divBdr>
                    <w:top w:val="none" w:sz="0" w:space="0" w:color="auto"/>
                    <w:left w:val="none" w:sz="0" w:space="0" w:color="auto"/>
                    <w:bottom w:val="none" w:sz="0" w:space="0" w:color="auto"/>
                    <w:right w:val="none" w:sz="0" w:space="0" w:color="auto"/>
                  </w:divBdr>
                </w:div>
                <w:div w:id="149828702">
                  <w:marLeft w:val="0"/>
                  <w:marRight w:val="0"/>
                  <w:marTop w:val="0"/>
                  <w:marBottom w:val="0"/>
                  <w:divBdr>
                    <w:top w:val="none" w:sz="0" w:space="0" w:color="auto"/>
                    <w:left w:val="none" w:sz="0" w:space="0" w:color="auto"/>
                    <w:bottom w:val="none" w:sz="0" w:space="0" w:color="auto"/>
                    <w:right w:val="none" w:sz="0" w:space="0" w:color="auto"/>
                  </w:divBdr>
                  <w:divsChild>
                    <w:div w:id="1686130547">
                      <w:marLeft w:val="0"/>
                      <w:marRight w:val="101"/>
                      <w:marTop w:val="0"/>
                      <w:marBottom w:val="0"/>
                      <w:divBdr>
                        <w:top w:val="none" w:sz="0" w:space="0" w:color="auto"/>
                        <w:left w:val="none" w:sz="0" w:space="0" w:color="auto"/>
                        <w:bottom w:val="none" w:sz="0" w:space="0" w:color="auto"/>
                        <w:right w:val="none" w:sz="0" w:space="0" w:color="auto"/>
                      </w:divBdr>
                    </w:div>
                    <w:div w:id="519975399">
                      <w:marLeft w:val="0"/>
                      <w:marRight w:val="0"/>
                      <w:marTop w:val="0"/>
                      <w:marBottom w:val="0"/>
                      <w:divBdr>
                        <w:top w:val="none" w:sz="0" w:space="0" w:color="auto"/>
                        <w:left w:val="none" w:sz="0" w:space="0" w:color="auto"/>
                        <w:bottom w:val="none" w:sz="0" w:space="0" w:color="auto"/>
                        <w:right w:val="none" w:sz="0" w:space="0" w:color="auto"/>
                      </w:divBdr>
                      <w:divsChild>
                        <w:div w:id="456795744">
                          <w:marLeft w:val="71"/>
                          <w:marRight w:val="254"/>
                          <w:marTop w:val="0"/>
                          <w:marBottom w:val="0"/>
                          <w:divBdr>
                            <w:top w:val="none" w:sz="0" w:space="0" w:color="auto"/>
                            <w:left w:val="none" w:sz="0" w:space="0" w:color="auto"/>
                            <w:bottom w:val="none" w:sz="0" w:space="0" w:color="auto"/>
                            <w:right w:val="none" w:sz="0" w:space="0" w:color="auto"/>
                          </w:divBdr>
                          <w:divsChild>
                            <w:div w:id="510334538">
                              <w:marLeft w:val="0"/>
                              <w:marRight w:val="0"/>
                              <w:marTop w:val="0"/>
                              <w:marBottom w:val="0"/>
                              <w:divBdr>
                                <w:top w:val="none" w:sz="0" w:space="0" w:color="auto"/>
                                <w:left w:val="none" w:sz="0" w:space="0" w:color="auto"/>
                                <w:bottom w:val="none" w:sz="0" w:space="0" w:color="auto"/>
                                <w:right w:val="none" w:sz="0" w:space="0" w:color="auto"/>
                              </w:divBdr>
                            </w:div>
                          </w:divsChild>
                        </w:div>
                        <w:div w:id="940915637">
                          <w:marLeft w:val="71"/>
                          <w:marRight w:val="0"/>
                          <w:marTop w:val="10"/>
                          <w:marBottom w:val="0"/>
                          <w:divBdr>
                            <w:top w:val="none" w:sz="0" w:space="0" w:color="auto"/>
                            <w:left w:val="single" w:sz="4" w:space="4" w:color="DDDDDD"/>
                            <w:bottom w:val="none" w:sz="0" w:space="0" w:color="auto"/>
                            <w:right w:val="single" w:sz="4" w:space="5" w:color="DDDDDD"/>
                          </w:divBdr>
                        </w:div>
                      </w:divsChild>
                    </w:div>
                  </w:divsChild>
                </w:div>
                <w:div w:id="1609846118">
                  <w:marLeft w:val="0"/>
                  <w:marRight w:val="0"/>
                  <w:marTop w:val="0"/>
                  <w:marBottom w:val="0"/>
                  <w:divBdr>
                    <w:top w:val="none" w:sz="0" w:space="0" w:color="auto"/>
                    <w:left w:val="none" w:sz="0" w:space="0" w:color="auto"/>
                    <w:bottom w:val="none" w:sz="0" w:space="0" w:color="auto"/>
                    <w:right w:val="none" w:sz="0" w:space="0" w:color="auto"/>
                  </w:divBdr>
                  <w:divsChild>
                    <w:div w:id="2012488641">
                      <w:marLeft w:val="0"/>
                      <w:marRight w:val="0"/>
                      <w:marTop w:val="0"/>
                      <w:marBottom w:val="0"/>
                      <w:divBdr>
                        <w:top w:val="none" w:sz="0" w:space="0" w:color="auto"/>
                        <w:left w:val="none" w:sz="0" w:space="0" w:color="auto"/>
                        <w:bottom w:val="none" w:sz="0" w:space="0" w:color="auto"/>
                        <w:right w:val="none" w:sz="0" w:space="0" w:color="auto"/>
                      </w:divBdr>
                      <w:divsChild>
                        <w:div w:id="1511025474">
                          <w:marLeft w:val="0"/>
                          <w:marRight w:val="0"/>
                          <w:marTop w:val="0"/>
                          <w:marBottom w:val="0"/>
                          <w:divBdr>
                            <w:top w:val="none" w:sz="0" w:space="0" w:color="auto"/>
                            <w:left w:val="none" w:sz="0" w:space="0" w:color="auto"/>
                            <w:bottom w:val="none" w:sz="0" w:space="0" w:color="auto"/>
                            <w:right w:val="none" w:sz="0" w:space="0" w:color="auto"/>
                          </w:divBdr>
                          <w:divsChild>
                            <w:div w:id="178939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17734">
                      <w:marLeft w:val="0"/>
                      <w:marRight w:val="0"/>
                      <w:marTop w:val="0"/>
                      <w:marBottom w:val="0"/>
                      <w:divBdr>
                        <w:top w:val="none" w:sz="0" w:space="0" w:color="auto"/>
                        <w:left w:val="none" w:sz="0" w:space="0" w:color="auto"/>
                        <w:bottom w:val="none" w:sz="0" w:space="0" w:color="auto"/>
                        <w:right w:val="none" w:sz="0" w:space="0" w:color="auto"/>
                      </w:divBdr>
                      <w:divsChild>
                        <w:div w:id="1928415248">
                          <w:marLeft w:val="0"/>
                          <w:marRight w:val="0"/>
                          <w:marTop w:val="0"/>
                          <w:marBottom w:val="0"/>
                          <w:divBdr>
                            <w:top w:val="none" w:sz="0" w:space="0" w:color="auto"/>
                            <w:left w:val="none" w:sz="0" w:space="0" w:color="auto"/>
                            <w:bottom w:val="none" w:sz="0" w:space="0" w:color="auto"/>
                            <w:right w:val="none" w:sz="0" w:space="0" w:color="auto"/>
                          </w:divBdr>
                          <w:divsChild>
                            <w:div w:id="100108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840">
                      <w:marLeft w:val="0"/>
                      <w:marRight w:val="0"/>
                      <w:marTop w:val="0"/>
                      <w:marBottom w:val="0"/>
                      <w:divBdr>
                        <w:top w:val="none" w:sz="0" w:space="0" w:color="auto"/>
                        <w:left w:val="none" w:sz="0" w:space="0" w:color="auto"/>
                        <w:bottom w:val="none" w:sz="0" w:space="0" w:color="auto"/>
                        <w:right w:val="none" w:sz="0" w:space="0" w:color="auto"/>
                      </w:divBdr>
                      <w:divsChild>
                        <w:div w:id="70582929">
                          <w:marLeft w:val="0"/>
                          <w:marRight w:val="0"/>
                          <w:marTop w:val="0"/>
                          <w:marBottom w:val="0"/>
                          <w:divBdr>
                            <w:top w:val="none" w:sz="0" w:space="0" w:color="auto"/>
                            <w:left w:val="none" w:sz="0" w:space="0" w:color="auto"/>
                            <w:bottom w:val="none" w:sz="0" w:space="0" w:color="auto"/>
                            <w:right w:val="none" w:sz="0" w:space="0" w:color="auto"/>
                          </w:divBdr>
                        </w:div>
                        <w:div w:id="890731629">
                          <w:marLeft w:val="0"/>
                          <w:marRight w:val="0"/>
                          <w:marTop w:val="0"/>
                          <w:marBottom w:val="0"/>
                          <w:divBdr>
                            <w:top w:val="none" w:sz="0" w:space="0" w:color="auto"/>
                            <w:left w:val="none" w:sz="0" w:space="0" w:color="auto"/>
                            <w:bottom w:val="none" w:sz="0" w:space="0" w:color="auto"/>
                            <w:right w:val="none" w:sz="0" w:space="0" w:color="auto"/>
                          </w:divBdr>
                          <w:divsChild>
                            <w:div w:id="182145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89179">
                  <w:marLeft w:val="0"/>
                  <w:marRight w:val="0"/>
                  <w:marTop w:val="0"/>
                  <w:marBottom w:val="0"/>
                  <w:divBdr>
                    <w:top w:val="none" w:sz="0" w:space="0" w:color="auto"/>
                    <w:left w:val="none" w:sz="0" w:space="0" w:color="auto"/>
                    <w:bottom w:val="none" w:sz="0" w:space="0" w:color="auto"/>
                    <w:right w:val="none" w:sz="0" w:space="0" w:color="auto"/>
                  </w:divBdr>
                  <w:divsChild>
                    <w:div w:id="694891253">
                      <w:marLeft w:val="0"/>
                      <w:marRight w:val="0"/>
                      <w:marTop w:val="0"/>
                      <w:marBottom w:val="142"/>
                      <w:divBdr>
                        <w:top w:val="none" w:sz="0" w:space="0" w:color="auto"/>
                        <w:left w:val="none" w:sz="0" w:space="0" w:color="auto"/>
                        <w:bottom w:val="none" w:sz="0" w:space="0" w:color="auto"/>
                        <w:right w:val="none" w:sz="0" w:space="0" w:color="auto"/>
                      </w:divBdr>
                      <w:divsChild>
                        <w:div w:id="686445932">
                          <w:marLeft w:val="0"/>
                          <w:marRight w:val="0"/>
                          <w:marTop w:val="0"/>
                          <w:marBottom w:val="142"/>
                          <w:divBdr>
                            <w:top w:val="none" w:sz="0" w:space="0" w:color="auto"/>
                            <w:left w:val="none" w:sz="0" w:space="0" w:color="auto"/>
                            <w:bottom w:val="none" w:sz="0" w:space="0" w:color="auto"/>
                            <w:right w:val="none" w:sz="0" w:space="0" w:color="auto"/>
                          </w:divBdr>
                          <w:divsChild>
                            <w:div w:id="1419059482">
                              <w:marLeft w:val="0"/>
                              <w:marRight w:val="0"/>
                              <w:marTop w:val="0"/>
                              <w:marBottom w:val="142"/>
                              <w:divBdr>
                                <w:top w:val="none" w:sz="0" w:space="0" w:color="auto"/>
                                <w:left w:val="none" w:sz="0" w:space="0" w:color="auto"/>
                                <w:bottom w:val="none" w:sz="0" w:space="0" w:color="auto"/>
                                <w:right w:val="none" w:sz="0" w:space="0" w:color="auto"/>
                              </w:divBdr>
                            </w:div>
                            <w:div w:id="1811708662">
                              <w:marLeft w:val="0"/>
                              <w:marRight w:val="0"/>
                              <w:marTop w:val="0"/>
                              <w:marBottom w:val="142"/>
                              <w:divBdr>
                                <w:top w:val="none" w:sz="0" w:space="0" w:color="auto"/>
                                <w:left w:val="none" w:sz="0" w:space="0" w:color="auto"/>
                                <w:bottom w:val="none" w:sz="0" w:space="0" w:color="auto"/>
                                <w:right w:val="none" w:sz="0" w:space="0" w:color="auto"/>
                              </w:divBdr>
                            </w:div>
                            <w:div w:id="1321889843">
                              <w:marLeft w:val="0"/>
                              <w:marRight w:val="0"/>
                              <w:marTop w:val="0"/>
                              <w:marBottom w:val="142"/>
                              <w:divBdr>
                                <w:top w:val="none" w:sz="0" w:space="0" w:color="auto"/>
                                <w:left w:val="none" w:sz="0" w:space="0" w:color="auto"/>
                                <w:bottom w:val="none" w:sz="0" w:space="0" w:color="auto"/>
                                <w:right w:val="none" w:sz="0" w:space="0" w:color="auto"/>
                              </w:divBdr>
                            </w:div>
                            <w:div w:id="287860365">
                              <w:marLeft w:val="0"/>
                              <w:marRight w:val="0"/>
                              <w:marTop w:val="0"/>
                              <w:marBottom w:val="142"/>
                              <w:divBdr>
                                <w:top w:val="none" w:sz="0" w:space="0" w:color="auto"/>
                                <w:left w:val="none" w:sz="0" w:space="0" w:color="auto"/>
                                <w:bottom w:val="none" w:sz="0" w:space="0" w:color="auto"/>
                                <w:right w:val="none" w:sz="0" w:space="0" w:color="auto"/>
                              </w:divBdr>
                            </w:div>
                            <w:div w:id="1177766494">
                              <w:marLeft w:val="0"/>
                              <w:marRight w:val="0"/>
                              <w:marTop w:val="0"/>
                              <w:marBottom w:val="142"/>
                              <w:divBdr>
                                <w:top w:val="none" w:sz="0" w:space="0" w:color="auto"/>
                                <w:left w:val="none" w:sz="0" w:space="0" w:color="auto"/>
                                <w:bottom w:val="none" w:sz="0" w:space="0" w:color="auto"/>
                                <w:right w:val="none" w:sz="0" w:space="0" w:color="auto"/>
                              </w:divBdr>
                            </w:div>
                            <w:div w:id="100539842">
                              <w:marLeft w:val="0"/>
                              <w:marRight w:val="0"/>
                              <w:marTop w:val="0"/>
                              <w:marBottom w:val="142"/>
                              <w:divBdr>
                                <w:top w:val="none" w:sz="0" w:space="0" w:color="auto"/>
                                <w:left w:val="none" w:sz="0" w:space="0" w:color="auto"/>
                                <w:bottom w:val="none" w:sz="0" w:space="0" w:color="auto"/>
                                <w:right w:val="none" w:sz="0" w:space="0" w:color="auto"/>
                              </w:divBdr>
                            </w:div>
                            <w:div w:id="640574215">
                              <w:marLeft w:val="0"/>
                              <w:marRight w:val="0"/>
                              <w:marTop w:val="0"/>
                              <w:marBottom w:val="142"/>
                              <w:divBdr>
                                <w:top w:val="none" w:sz="0" w:space="0" w:color="auto"/>
                                <w:left w:val="none" w:sz="0" w:space="0" w:color="auto"/>
                                <w:bottom w:val="none" w:sz="0" w:space="0" w:color="auto"/>
                                <w:right w:val="none" w:sz="0" w:space="0" w:color="auto"/>
                              </w:divBdr>
                            </w:div>
                            <w:div w:id="881019196">
                              <w:marLeft w:val="0"/>
                              <w:marRight w:val="0"/>
                              <w:marTop w:val="0"/>
                              <w:marBottom w:val="142"/>
                              <w:divBdr>
                                <w:top w:val="none" w:sz="0" w:space="0" w:color="auto"/>
                                <w:left w:val="none" w:sz="0" w:space="0" w:color="auto"/>
                                <w:bottom w:val="none" w:sz="0" w:space="0" w:color="auto"/>
                                <w:right w:val="none" w:sz="0" w:space="0" w:color="auto"/>
                              </w:divBdr>
                            </w:div>
                            <w:div w:id="244531789">
                              <w:marLeft w:val="0"/>
                              <w:marRight w:val="0"/>
                              <w:marTop w:val="0"/>
                              <w:marBottom w:val="142"/>
                              <w:divBdr>
                                <w:top w:val="none" w:sz="0" w:space="0" w:color="auto"/>
                                <w:left w:val="none" w:sz="0" w:space="0" w:color="auto"/>
                                <w:bottom w:val="none" w:sz="0" w:space="0" w:color="auto"/>
                                <w:right w:val="none" w:sz="0" w:space="0" w:color="auto"/>
                              </w:divBdr>
                            </w:div>
                            <w:div w:id="479616477">
                              <w:marLeft w:val="0"/>
                              <w:marRight w:val="0"/>
                              <w:marTop w:val="0"/>
                              <w:marBottom w:val="142"/>
                              <w:divBdr>
                                <w:top w:val="none" w:sz="0" w:space="0" w:color="auto"/>
                                <w:left w:val="none" w:sz="0" w:space="0" w:color="auto"/>
                                <w:bottom w:val="none" w:sz="0" w:space="0" w:color="auto"/>
                                <w:right w:val="none" w:sz="0" w:space="0" w:color="auto"/>
                              </w:divBdr>
                            </w:div>
                            <w:div w:id="775291647">
                              <w:marLeft w:val="0"/>
                              <w:marRight w:val="0"/>
                              <w:marTop w:val="0"/>
                              <w:marBottom w:val="142"/>
                              <w:divBdr>
                                <w:top w:val="none" w:sz="0" w:space="0" w:color="auto"/>
                                <w:left w:val="none" w:sz="0" w:space="0" w:color="auto"/>
                                <w:bottom w:val="none" w:sz="0" w:space="0" w:color="auto"/>
                                <w:right w:val="none" w:sz="0" w:space="0" w:color="auto"/>
                              </w:divBdr>
                              <w:divsChild>
                                <w:div w:id="1674793112">
                                  <w:marLeft w:val="0"/>
                                  <w:marRight w:val="0"/>
                                  <w:marTop w:val="0"/>
                                  <w:marBottom w:val="142"/>
                                  <w:divBdr>
                                    <w:top w:val="none" w:sz="0" w:space="0" w:color="auto"/>
                                    <w:left w:val="none" w:sz="0" w:space="0" w:color="auto"/>
                                    <w:bottom w:val="none" w:sz="0" w:space="0" w:color="auto"/>
                                    <w:right w:val="none" w:sz="0" w:space="0" w:color="auto"/>
                                  </w:divBdr>
                                  <w:divsChild>
                                    <w:div w:id="1360937471">
                                      <w:marLeft w:val="0"/>
                                      <w:marRight w:val="0"/>
                                      <w:marTop w:val="0"/>
                                      <w:marBottom w:val="142"/>
                                      <w:divBdr>
                                        <w:top w:val="none" w:sz="0" w:space="0" w:color="auto"/>
                                        <w:left w:val="none" w:sz="0" w:space="0" w:color="auto"/>
                                        <w:bottom w:val="none" w:sz="0" w:space="0" w:color="auto"/>
                                        <w:right w:val="none" w:sz="0" w:space="0" w:color="auto"/>
                                      </w:divBdr>
                                      <w:divsChild>
                                        <w:div w:id="2072920565">
                                          <w:marLeft w:val="0"/>
                                          <w:marRight w:val="0"/>
                                          <w:marTop w:val="0"/>
                                          <w:marBottom w:val="142"/>
                                          <w:divBdr>
                                            <w:top w:val="none" w:sz="0" w:space="0" w:color="auto"/>
                                            <w:left w:val="none" w:sz="0" w:space="0" w:color="auto"/>
                                            <w:bottom w:val="none" w:sz="0" w:space="0" w:color="auto"/>
                                            <w:right w:val="none" w:sz="0" w:space="0" w:color="auto"/>
                                          </w:divBdr>
                                        </w:div>
                                        <w:div w:id="1735659330">
                                          <w:marLeft w:val="0"/>
                                          <w:marRight w:val="0"/>
                                          <w:marTop w:val="0"/>
                                          <w:marBottom w:val="142"/>
                                          <w:divBdr>
                                            <w:top w:val="none" w:sz="0" w:space="0" w:color="auto"/>
                                            <w:left w:val="none" w:sz="0" w:space="0" w:color="auto"/>
                                            <w:bottom w:val="none" w:sz="0" w:space="0" w:color="auto"/>
                                            <w:right w:val="none" w:sz="0" w:space="0" w:color="auto"/>
                                          </w:divBdr>
                                        </w:div>
                                      </w:divsChild>
                                    </w:div>
                                  </w:divsChild>
                                </w:div>
                                <w:div w:id="2027100990">
                                  <w:marLeft w:val="0"/>
                                  <w:marRight w:val="0"/>
                                  <w:marTop w:val="0"/>
                                  <w:marBottom w:val="142"/>
                                  <w:divBdr>
                                    <w:top w:val="none" w:sz="0" w:space="0" w:color="auto"/>
                                    <w:left w:val="none" w:sz="0" w:space="0" w:color="auto"/>
                                    <w:bottom w:val="none" w:sz="0" w:space="0" w:color="auto"/>
                                    <w:right w:val="none" w:sz="0" w:space="0" w:color="auto"/>
                                  </w:divBdr>
                                </w:div>
                              </w:divsChild>
                            </w:div>
                            <w:div w:id="2069837575">
                              <w:marLeft w:val="0"/>
                              <w:marRight w:val="0"/>
                              <w:marTop w:val="0"/>
                              <w:marBottom w:val="14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he.wikipedia.org/wiki/%D7%91%D7%A0%D7%99_%D7%AA%D7%95%D7%A8%D7%94_(%D7%9E%D7%A4%D7%9C%D7%92%D7%94)" TargetMode="External"/><Relationship Id="rId299" Type="http://schemas.openxmlformats.org/officeDocument/2006/relationships/hyperlink" Target="http://www.nevo.co.il/law_html/law01/P182_001.htm" TargetMode="External"/><Relationship Id="rId21" Type="http://schemas.openxmlformats.org/officeDocument/2006/relationships/hyperlink" Target="http://library.kiwix.org/wikipedia_he_all/A/%D7%94%D7%A8%D7%A9%D7%95%D7%AA%20%D7%94%D7%A4%D7%9C%D7%A1%D7%98%D7%99%D7%A0%D7%99%D7%AA.html" TargetMode="External"/><Relationship Id="rId63" Type="http://schemas.openxmlformats.org/officeDocument/2006/relationships/hyperlink" Target="http://www.haaretz.co.il/news/education/1.1639370" TargetMode="External"/><Relationship Id="rId159" Type="http://schemas.openxmlformats.org/officeDocument/2006/relationships/hyperlink" Target="http://www.nevo.co.il/Law_word/law17/PROP-2908.pdf" TargetMode="External"/><Relationship Id="rId324" Type="http://schemas.openxmlformats.org/officeDocument/2006/relationships/hyperlink" Target="http://www.nevo.co.il/law_html/law01/P182_001.htm" TargetMode="External"/><Relationship Id="rId366" Type="http://schemas.openxmlformats.org/officeDocument/2006/relationships/hyperlink" Target="http://www.nevo.co.il/law_html/law01/p197_001.htm" TargetMode="External"/><Relationship Id="rId170" Type="http://schemas.openxmlformats.org/officeDocument/2006/relationships/hyperlink" Target="http://www.nevo.co.il/Law_word/law14/LAW-1704.pdf" TargetMode="External"/><Relationship Id="rId226" Type="http://schemas.openxmlformats.org/officeDocument/2006/relationships/hyperlink" Target="http://he.wikipedia.org/wiki/%D7%9E%D7%9C%D7%97%D7%9E%D7%AA_%D7%94%D7%90%D7%96%D7%A8%D7%97%D7%99%D7%9D_%D7%A9%D7%9C_%D7%90%D7%A8%D7%A6%D7%95%D7%AA_%D7%94%D7%91%D7%A8%D7%99%D7%AA" TargetMode="External"/><Relationship Id="rId433" Type="http://schemas.openxmlformats.org/officeDocument/2006/relationships/hyperlink" Target="http://www.themarker.com/news/1.2538605" TargetMode="External"/><Relationship Id="rId268" Type="http://schemas.openxmlformats.org/officeDocument/2006/relationships/hyperlink" Target="http://www.nevo.co.il/law_html/law01/184_001.htm" TargetMode="External"/><Relationship Id="rId32" Type="http://schemas.openxmlformats.org/officeDocument/2006/relationships/hyperlink" Target="http://library.kiwix.org/wikipedia_he_all/A/%D7%A4%D7%9C%D7%A1%D7%98%D7%99%D7%A0%D7%99%D7%9D.html" TargetMode="External"/><Relationship Id="rId74" Type="http://schemas.openxmlformats.org/officeDocument/2006/relationships/hyperlink" Target="http://www.haaretz.co.il/news/education/1.1878964" TargetMode="External"/><Relationship Id="rId128" Type="http://schemas.openxmlformats.org/officeDocument/2006/relationships/hyperlink" Target="http://www.concourt.cz/view/pl-27-09" TargetMode="External"/><Relationship Id="rId335" Type="http://schemas.openxmlformats.org/officeDocument/2006/relationships/hyperlink" Target="http://www.nevo.co.il/law_html/law01/073_002.htm" TargetMode="External"/><Relationship Id="rId377" Type="http://schemas.openxmlformats.org/officeDocument/2006/relationships/hyperlink" Target="http://www.nevo.co.il/law_html/law01/145_002.htm" TargetMode="External"/><Relationship Id="rId5" Type="http://schemas.openxmlformats.org/officeDocument/2006/relationships/webSettings" Target="webSettings.xml"/><Relationship Id="rId181" Type="http://schemas.openxmlformats.org/officeDocument/2006/relationships/hyperlink" Target="http://www.haaretz.co.il/news/politics/1.1226350" TargetMode="External"/><Relationship Id="rId237" Type="http://schemas.openxmlformats.org/officeDocument/2006/relationships/hyperlink" Target="http://he.wikipedia.org/w/index.php?title=%D7%94%D7%90%D7%AA%D7%A8_%D7%94%D7%94%D7%99%D7%A1%D7%98%D7%95%D7%A8%D7%99_%D7%91%D7%A8%D7%90%D7%95%D7%9F_%D7%A0%D7%92%D7%93_%D7%9E%D7%95%D7%A2%D7%A6%D7%AA_%D7%94%D7%97%D7%99%D7%A0%D7%95%D7%9A&amp;action=edit&amp;redlink=1" TargetMode="External"/><Relationship Id="rId402" Type="http://schemas.openxmlformats.org/officeDocument/2006/relationships/hyperlink" Target="http://www.nevo.co.il/Psika_word/elyon/9504769.doc" TargetMode="External"/><Relationship Id="rId279" Type="http://schemas.openxmlformats.org/officeDocument/2006/relationships/hyperlink" Target="http://www.nevo.co.il/law_html/law01/184_001.htm" TargetMode="External"/><Relationship Id="rId444" Type="http://schemas.openxmlformats.org/officeDocument/2006/relationships/hyperlink" Target="http://www.themarker.com/realestate/1.2541334" TargetMode="External"/><Relationship Id="rId43" Type="http://schemas.openxmlformats.org/officeDocument/2006/relationships/hyperlink" Target="javascript:getWord('force.htm')" TargetMode="External"/><Relationship Id="rId139" Type="http://schemas.openxmlformats.org/officeDocument/2006/relationships/hyperlink" Target="http://www.itga.org.il/ArticleDetails.aspx?Id=314" TargetMode="External"/><Relationship Id="rId290" Type="http://schemas.openxmlformats.org/officeDocument/2006/relationships/hyperlink" Target="http://www.themarker.com/news/1.2517510" TargetMode="External"/><Relationship Id="rId304" Type="http://schemas.openxmlformats.org/officeDocument/2006/relationships/hyperlink" Target="http://www.nevo.co.il/law_html/law01/P182_001.htm" TargetMode="External"/><Relationship Id="rId346" Type="http://schemas.openxmlformats.org/officeDocument/2006/relationships/hyperlink" Target="http://www.nevo.co.il/links/psika/?link=&#1506;&#1506;&#1502;%206848/10" TargetMode="External"/><Relationship Id="rId388" Type="http://schemas.openxmlformats.org/officeDocument/2006/relationships/hyperlink" Target="http://www.nevo.co.il/links/psika/?link=&#1489;&#1490;&#1509;%201149/95&amp;Pvol=&#1504;&#1491;" TargetMode="External"/><Relationship Id="rId85" Type="http://schemas.openxmlformats.org/officeDocument/2006/relationships/hyperlink" Target="http://www.nevo.co.il/links/psika/?link=&#1506;&#1488;%206821/93&amp;Pvol=&#1502;&#1496;" TargetMode="External"/><Relationship Id="rId150" Type="http://schemas.openxmlformats.org/officeDocument/2006/relationships/hyperlink" Target="http://he.wikipedia.org/wiki/2014" TargetMode="External"/><Relationship Id="rId192" Type="http://schemas.openxmlformats.org/officeDocument/2006/relationships/hyperlink" Target="http://www.nevo.co.il/Law_word/law14/LAW-1499.pdf" TargetMode="External"/><Relationship Id="rId206" Type="http://schemas.openxmlformats.org/officeDocument/2006/relationships/hyperlink" Target="https://market.android.com/details?id=com.haaretz" TargetMode="External"/><Relationship Id="rId413" Type="http://schemas.openxmlformats.org/officeDocument/2006/relationships/hyperlink" Target="http://www.nevo.co.il/law_html/law01/P182_001.htm" TargetMode="External"/><Relationship Id="rId248" Type="http://schemas.openxmlformats.org/officeDocument/2006/relationships/hyperlink" Target="http://he.wikipedia.org/wiki/%D7%97%D7%95%D7%A7_%D7%96%D7%9B%D7%95%D7%99%D7%95%D7%AA_%D7%94%D7%90%D7%96%D7%A8%D7%97_%D7%A9%D7%9C_1964" TargetMode="External"/><Relationship Id="rId12" Type="http://schemas.openxmlformats.org/officeDocument/2006/relationships/hyperlink" Target="http://www.haaretz.co.il/opinions/1.1223583" TargetMode="External"/><Relationship Id="rId108" Type="http://schemas.openxmlformats.org/officeDocument/2006/relationships/hyperlink" Target="http://he.wikipedia.org/wiki/%D7%92%D7%99%D7%95%D7%A1_%D7%91%D7%A0%D7%99_%D7%99%D7%A9%D7%99%D7%91%D7%95%D7%AA" TargetMode="External"/><Relationship Id="rId315" Type="http://schemas.openxmlformats.org/officeDocument/2006/relationships/hyperlink" Target="http://www.nevo.co.il/safrut/book/3926" TargetMode="External"/><Relationship Id="rId357" Type="http://schemas.openxmlformats.org/officeDocument/2006/relationships/hyperlink" Target="http://www.nevo.co.il/links/psika/?NEWPROC=&#1514;&#1514;&amp;NEWPARTA=45&amp;NEWPARTC=44" TargetMode="External"/><Relationship Id="rId54" Type="http://schemas.openxmlformats.org/officeDocument/2006/relationships/hyperlink" Target="javascript:getWord('nation.htm')" TargetMode="External"/><Relationship Id="rId75" Type="http://schemas.openxmlformats.org/officeDocument/2006/relationships/hyperlink" Target="http://www.haaretz.co.il/news/whatis/1.1884608" TargetMode="External"/><Relationship Id="rId96" Type="http://schemas.openxmlformats.org/officeDocument/2006/relationships/hyperlink" Target="http://he.wikipedia.org/wiki/%D7%99%D7%A2%D7%A7%D7%91_%D7%A4%D7%A8%D7%99" TargetMode="External"/><Relationship Id="rId140" Type="http://schemas.openxmlformats.org/officeDocument/2006/relationships/hyperlink" Target="http://www.ir-amim.org.il/_Uploads/dbsAttachedFiles/tguva.doc" TargetMode="External"/><Relationship Id="rId161" Type="http://schemas.openxmlformats.org/officeDocument/2006/relationships/hyperlink" Target="http://www.nevo.co.il/Law_word/law17/PROP-2499.pdf" TargetMode="External"/><Relationship Id="rId182" Type="http://schemas.openxmlformats.org/officeDocument/2006/relationships/hyperlink" Target="mailto:eldar@haaretz.co.il" TargetMode="External"/><Relationship Id="rId217" Type="http://schemas.openxmlformats.org/officeDocument/2006/relationships/hyperlink" Target="http://he.wikipedia.org/wiki/%D7%A4%D7%A1%D7%A7_%D7%93%D7%99%D7%9F" TargetMode="External"/><Relationship Id="rId378" Type="http://schemas.openxmlformats.org/officeDocument/2006/relationships/hyperlink" Target="http://www.nevo.co.il/law_html/law01/188_001.htm" TargetMode="External"/><Relationship Id="rId399" Type="http://schemas.openxmlformats.org/officeDocument/2006/relationships/hyperlink" Target="http://www.nevo.co.il/Psika_word/elyon/9903939-padi.doc" TargetMode="External"/><Relationship Id="rId403" Type="http://schemas.openxmlformats.org/officeDocument/2006/relationships/hyperlink" Target="http://www.nevo.co.il/Psika_word/elyon/9506055.doc" TargetMode="External"/><Relationship Id="rId6" Type="http://schemas.openxmlformats.org/officeDocument/2006/relationships/footnotes" Target="footnotes.xml"/><Relationship Id="rId238" Type="http://schemas.openxmlformats.org/officeDocument/2006/relationships/hyperlink" Target="http://he.wikipedia.org/wiki/%D7%A4%D7%A1%D7%A7_%D7%93%D7%99%D7%9F_%D7%A4%D7%9C%D7%A1%D7%99_%D7%A0%D7%92%D7%93_%D7%A4%D7%A8%D7%92%D7%95%D7%A1%D7%95%D7%9F" TargetMode="External"/><Relationship Id="rId259" Type="http://schemas.openxmlformats.org/officeDocument/2006/relationships/hyperlink" Target="http://he.wikipedia.org/wiki/%D7%9E%D7%95%D7%A9%D7%9C" TargetMode="External"/><Relationship Id="rId424" Type="http://schemas.openxmlformats.org/officeDocument/2006/relationships/hyperlink" Target="http://www.nevo.co.il/links/psika/?link=&#1489;&#1490;&#1509;%20202/90&amp;Pvol=&#1502;&#1492;" TargetMode="External"/><Relationship Id="rId445" Type="http://schemas.openxmlformats.org/officeDocument/2006/relationships/footer" Target="footer1.xml"/><Relationship Id="rId23" Type="http://schemas.openxmlformats.org/officeDocument/2006/relationships/hyperlink" Target="http://library.kiwix.org/wikipedia_he_all/A/%D7%91%D7%A2%D7%99%D7%99%D7%AA%20%D7%94%D7%A4%D7%9C%D7%99%D7%98%D7%99%D7%9D%20%D7%94%D7%A4%D7%9C%D7%A1%D7%98%D7%99%D7%A0%D7%99%D7%9D.html" TargetMode="External"/><Relationship Id="rId119" Type="http://schemas.openxmlformats.org/officeDocument/2006/relationships/hyperlink" Target="http://he.wikipedia.org/wiki/%D7%93%D7%95%D7%93_%D7%91%D7%A6%D7%A8%D7%99" TargetMode="External"/><Relationship Id="rId270" Type="http://schemas.openxmlformats.org/officeDocument/2006/relationships/hyperlink" Target="http://www.nevo.co.il/links/psika/?link=&#1489;&#1490;&#1509;%205427/02&amp;Pvol=&#1505;&#1488;" TargetMode="External"/><Relationship Id="rId291" Type="http://schemas.openxmlformats.org/officeDocument/2006/relationships/hyperlink" Target="http://www.themarker.com/law/1.2523072" TargetMode="External"/><Relationship Id="rId305" Type="http://schemas.openxmlformats.org/officeDocument/2006/relationships/hyperlink" Target="http://www.nevo.co.il/law_html/law01/P182_001.htm" TargetMode="External"/><Relationship Id="rId326" Type="http://schemas.openxmlformats.org/officeDocument/2006/relationships/hyperlink" Target="http://www.nevo.co.il/links/psika/?link=&#1489;&#1490;&#1509;%203180/94&amp;Pvol=&#1502;&#1495;" TargetMode="External"/><Relationship Id="rId347" Type="http://schemas.openxmlformats.org/officeDocument/2006/relationships/hyperlink" Target="http://www.nevo.co.il/links/psika/?link=&#1489;&#1490;&#1509;%205031/10" TargetMode="External"/><Relationship Id="rId44" Type="http://schemas.openxmlformats.org/officeDocument/2006/relationships/hyperlink" Target="javascript:getWord('pioner.htm')" TargetMode="External"/><Relationship Id="rId65" Type="http://schemas.openxmlformats.org/officeDocument/2006/relationships/hyperlink" Target="http://www.haaretz.co.il/news/education/1.1472313" TargetMode="External"/><Relationship Id="rId86" Type="http://schemas.openxmlformats.org/officeDocument/2006/relationships/hyperlink" Target="http://he.wikipedia.org/wiki/21_%D7%91%D7%A4%D7%91%D7%A8%D7%95%D7%90%D7%A8" TargetMode="External"/><Relationship Id="rId130" Type="http://schemas.openxmlformats.org/officeDocument/2006/relationships/hyperlink" Target="http://www.haaretz.co.il/opinions/1.1870635" TargetMode="External"/><Relationship Id="rId151" Type="http://schemas.openxmlformats.org/officeDocument/2006/relationships/hyperlink" Target="http://he.wikipedia.org/wiki/%D7%90%D7%95%D7%A4%D7%95%D7%96%D7%99%D7%A6%D7%99%D7%94" TargetMode="External"/><Relationship Id="rId368" Type="http://schemas.openxmlformats.org/officeDocument/2006/relationships/hyperlink" Target="http://www.nevo.co.il/links/psika/?link=&#1489;&#1490;&#1509;%202271/98&amp;Pvol=&#1504;&#1492;" TargetMode="External"/><Relationship Id="rId389" Type="http://schemas.openxmlformats.org/officeDocument/2006/relationships/hyperlink" Target="http://www.nevo.co.il/links/psika/?link=&#1489;&#1490;&#1509;%204562/92&amp;Pvol=&#1504;" TargetMode="External"/><Relationship Id="rId172" Type="http://schemas.openxmlformats.org/officeDocument/2006/relationships/hyperlink" Target="http://hebrewu-law.blogspot.com/2010/10/blog-post_28.html" TargetMode="External"/><Relationship Id="rId193" Type="http://schemas.openxmlformats.org/officeDocument/2006/relationships/hyperlink" Target="http://www.nevo.co.il/Law_word/law17/PROP-2343.pdf" TargetMode="External"/><Relationship Id="rId207" Type="http://schemas.openxmlformats.org/officeDocument/2006/relationships/hyperlink" Target="http://www.haaretz.co.il/misc/article-print-page/1.1782574" TargetMode="External"/><Relationship Id="rId228" Type="http://schemas.openxmlformats.org/officeDocument/2006/relationships/hyperlink" Target="http://he.wikipedia.org/wiki/%D7%A7%D7%95%D7%A0%D7%A4%D7%93%D7%A8%D7%A6%D7%99%D7%99%D7%AA_%D7%94%D7%9E%D7%93%D7%99%D7%A0%D7%95%D7%AA_%D7%A9%D7%9C_%D7%90%D7%9E%D7%A8%D7%99%D7%A7%D7%94" TargetMode="External"/><Relationship Id="rId249" Type="http://schemas.openxmlformats.org/officeDocument/2006/relationships/hyperlink" Target="http://he.wikipedia.org/wiki/1970" TargetMode="External"/><Relationship Id="rId414" Type="http://schemas.openxmlformats.org/officeDocument/2006/relationships/hyperlink" Target="http://www.nevo.co.il/links/psika/?link=&#1506;&#1488;%20263/78&amp;Pvol=&#1500;&#1490;" TargetMode="External"/><Relationship Id="rId435" Type="http://schemas.openxmlformats.org/officeDocument/2006/relationships/hyperlink" Target="http://www.themarker.com/law/1.2538598" TargetMode="External"/><Relationship Id="rId13" Type="http://schemas.openxmlformats.org/officeDocument/2006/relationships/hyperlink" Target="http://library.kiwix.org/wikipedia_he_all/A/%D7%A8%D7%A6%D7%95%D7%A2%D7%AA%20%D7%A2%D7%96%D7%94.html" TargetMode="External"/><Relationship Id="rId109" Type="http://schemas.openxmlformats.org/officeDocument/2006/relationships/hyperlink" Target="http://he.wikipedia.org/wiki/12_%D7%91%D7%9E%D7%A8%D7%A5" TargetMode="External"/><Relationship Id="rId260" Type="http://schemas.openxmlformats.org/officeDocument/2006/relationships/hyperlink" Target="http://he.wikipedia.org/wiki/%D7%93%D7%95%D7%95%D7%99%D7%99%D7%98_%D7%90%D7%99%D7%99%D7%96%D7%A0%D7%94%D7%90%D7%95%D7%90%D7%A8" TargetMode="External"/><Relationship Id="rId281" Type="http://schemas.openxmlformats.org/officeDocument/2006/relationships/hyperlink" Target="http://www.nevo.co.il/links/psika/?link=&#1489;&#1490;&#1509;%2010202/06" TargetMode="External"/><Relationship Id="rId316" Type="http://schemas.openxmlformats.org/officeDocument/2006/relationships/hyperlink" Target="http://www.nevo.co.il/links/psika/?link=&#1506;&#1488;%202765/98&amp;Pvol=&#1504;&#1490;" TargetMode="External"/><Relationship Id="rId337" Type="http://schemas.openxmlformats.org/officeDocument/2006/relationships/hyperlink" Target="http://www.nevo.co.il/law_html/law01/073_002.htm" TargetMode="External"/><Relationship Id="rId34" Type="http://schemas.openxmlformats.org/officeDocument/2006/relationships/hyperlink" Target="http://library.kiwix.org/wikipedia_he_all/A/%D7%90%D7%95%D7%9B%D7%9C%D7%95%D7%A1%D7%99%D7%99%D7%94.html" TargetMode="External"/><Relationship Id="rId55" Type="http://schemas.openxmlformats.org/officeDocument/2006/relationships/hyperlink" Target="javascript:getWord('sherit_apleta.htm')" TargetMode="External"/><Relationship Id="rId76" Type="http://schemas.openxmlformats.org/officeDocument/2006/relationships/hyperlink" Target="http://www.haaretz.co.il/misc/1.911089" TargetMode="External"/><Relationship Id="rId97" Type="http://schemas.openxmlformats.org/officeDocument/2006/relationships/hyperlink" Target="http://he.wikipedia.org/wiki/%D7%92%D7%99%D7%95%D7%A1_%D7%91%D7%A0%D7%99_%D7%99%D7%A9%D7%99%D7%91%D7%95%D7%AA" TargetMode="External"/><Relationship Id="rId120" Type="http://schemas.openxmlformats.org/officeDocument/2006/relationships/hyperlink" Target="http://he.wikipedia.org/wiki/%D7%91%D7%9F_%D7%A6%D7%99%D7%95%D7%9F_%D7%9E%D7%95%D7%A6%D7%A4%D7%99" TargetMode="External"/><Relationship Id="rId141" Type="http://schemas.openxmlformats.org/officeDocument/2006/relationships/hyperlink" Target="http://www.adalah.org/newsletter/ara/oct10/tourism.pdf" TargetMode="External"/><Relationship Id="rId358" Type="http://schemas.openxmlformats.org/officeDocument/2006/relationships/hyperlink" Target="http://www.nevo.co.il/Books_word/zamir/zamir-30.pdf;&#1505;&#1508;&#1512;&#1493;&#1514;" TargetMode="External"/><Relationship Id="rId379" Type="http://schemas.openxmlformats.org/officeDocument/2006/relationships/hyperlink" Target="http://www.nevo.co.il/law_html/law01/145_002.htm" TargetMode="External"/><Relationship Id="rId7" Type="http://schemas.openxmlformats.org/officeDocument/2006/relationships/endnotes" Target="endnotes.xml"/><Relationship Id="rId162" Type="http://schemas.openxmlformats.org/officeDocument/2006/relationships/hyperlink" Target="http://www.nevo.co.il/Law_word/law14/LAW-1568.pdf" TargetMode="External"/><Relationship Id="rId183" Type="http://schemas.openxmlformats.org/officeDocument/2006/relationships/hyperlink" Target="http://www.haaretz.co.il/misc/writers/1.815" TargetMode="External"/><Relationship Id="rId218" Type="http://schemas.openxmlformats.org/officeDocument/2006/relationships/hyperlink" Target="http://he.wikipedia.org/wiki/%D7%AA%D7%A7%D7%93%D7%99%D7%9D" TargetMode="External"/><Relationship Id="rId239" Type="http://schemas.openxmlformats.org/officeDocument/2006/relationships/hyperlink" Target="http://he.wikipedia.org/wiki/%D7%A0%D7%A4%D7%A8%D7%93_%D7%90%D7%91%D7%9C_%D7%A9%D7%95%D7%95%D7%94" TargetMode="External"/><Relationship Id="rId390" Type="http://schemas.openxmlformats.org/officeDocument/2006/relationships/hyperlink" Target="http://www.nevo.co.il/law_html/law01/P182_001.htm" TargetMode="External"/><Relationship Id="rId404" Type="http://schemas.openxmlformats.org/officeDocument/2006/relationships/hyperlink" Target="http://www.nevo.co.il/Psika_word/elyon/9703648-padi.doc" TargetMode="External"/><Relationship Id="rId425" Type="http://schemas.openxmlformats.org/officeDocument/2006/relationships/hyperlink" Target="http://www.nevo.co.il/links/psika/?link=&#1489;&#1490;&#1509;%205575/94&amp;Pvol=&#1502;&#1496;" TargetMode="External"/><Relationship Id="rId446" Type="http://schemas.openxmlformats.org/officeDocument/2006/relationships/footer" Target="footer2.xml"/><Relationship Id="rId250" Type="http://schemas.openxmlformats.org/officeDocument/2006/relationships/hyperlink" Target="http://he.wikipedia.org/wiki/1971" TargetMode="External"/><Relationship Id="rId271" Type="http://schemas.openxmlformats.org/officeDocument/2006/relationships/hyperlink" Target="http://www.nevo.co.il/links/psika/?link=&#1489;&#1490;&#1509;%206304/09" TargetMode="External"/><Relationship Id="rId292" Type="http://schemas.openxmlformats.org/officeDocument/2006/relationships/image" Target="media/image6.jpeg"/><Relationship Id="rId306" Type="http://schemas.openxmlformats.org/officeDocument/2006/relationships/hyperlink" Target="http://www.nevo.co.il/law_html/law01/P182_001.htm" TargetMode="External"/><Relationship Id="rId24" Type="http://schemas.openxmlformats.org/officeDocument/2006/relationships/hyperlink" Target="http://library.kiwix.org/wikipedia_he_all/A/%D7%9E%D7%97%D7%A0%D7%94%20%D7%A4%D7%9C%D7%99%D7%98%D7%99%D7%9D.html" TargetMode="External"/><Relationship Id="rId45" Type="http://schemas.openxmlformats.org/officeDocument/2006/relationships/hyperlink" Target="javascript:getWord('live.htm')" TargetMode="External"/><Relationship Id="rId66" Type="http://schemas.openxmlformats.org/officeDocument/2006/relationships/image" Target="media/image2.jpeg"/><Relationship Id="rId87" Type="http://schemas.openxmlformats.org/officeDocument/2006/relationships/hyperlink" Target="http://he.wikipedia.org/wiki/2012" TargetMode="External"/><Relationship Id="rId110" Type="http://schemas.openxmlformats.org/officeDocument/2006/relationships/hyperlink" Target="http://he.wikipedia.org/wiki/2014" TargetMode="External"/><Relationship Id="rId131" Type="http://schemas.openxmlformats.org/officeDocument/2006/relationships/hyperlink" Target="http://www.haaretz.co.il/misc/search-results?searchType=textSearch&amp;text=%D7%A2%D7%9E%D7%95%D7%93%20%D7%A2%D7%A0%D7%9F%20" TargetMode="External"/><Relationship Id="rId327" Type="http://schemas.openxmlformats.org/officeDocument/2006/relationships/hyperlink" Target="http://www.nevo.co.il/links/psika/?link=&#1506;&#1514;&#1502;%20204/02" TargetMode="External"/><Relationship Id="rId348" Type="http://schemas.openxmlformats.org/officeDocument/2006/relationships/hyperlink" Target="http://www.nevo.co.il/law_html/law01/073_002.htm" TargetMode="External"/><Relationship Id="rId369" Type="http://schemas.openxmlformats.org/officeDocument/2006/relationships/hyperlink" Target="http://www.nevo.co.il/links/psika/?link=&#1506;&#1488;%204275/94" TargetMode="External"/><Relationship Id="rId152" Type="http://schemas.openxmlformats.org/officeDocument/2006/relationships/hyperlink" Target="http://www.nevo.co.il/Law_word/law14/LAW-1760.pdf" TargetMode="External"/><Relationship Id="rId173" Type="http://schemas.openxmlformats.org/officeDocument/2006/relationships/hyperlink" Target="http://elyon1.court.gov.il/files/00/240/041/n43/00041240.n43.pdf" TargetMode="External"/><Relationship Id="rId194" Type="http://schemas.openxmlformats.org/officeDocument/2006/relationships/hyperlink" Target="http://www.nevo.co.il/Law_word/law14/LAW-1499.pdf" TargetMode="External"/><Relationship Id="rId208" Type="http://schemas.openxmlformats.org/officeDocument/2006/relationships/hyperlink" Target="http://www.haaretz.co.il/misc/article-print-page/1.1782574" TargetMode="External"/><Relationship Id="rId229" Type="http://schemas.openxmlformats.org/officeDocument/2006/relationships/hyperlink" Target="http://he.wikipedia.org/wiki/%D7%90%D7%A7%D7%98%D7%99%D7%91%D7%99%D7%96%D7%9D_%D7%A9%D7%99%D7%A4%D7%95%D7%98%D7%99" TargetMode="External"/><Relationship Id="rId380" Type="http://schemas.openxmlformats.org/officeDocument/2006/relationships/hyperlink" Target="http://www.nevo.co.il/law_html/law01/p197_001.htm" TargetMode="External"/><Relationship Id="rId415" Type="http://schemas.openxmlformats.org/officeDocument/2006/relationships/hyperlink" Target="http://www.nevo.co.il/links/psika/?link=&#1489;&#1490;&#1509;%20118/80" TargetMode="External"/><Relationship Id="rId436" Type="http://schemas.openxmlformats.org/officeDocument/2006/relationships/hyperlink" Target="http://www.themarker.com/dynamo/1.2524910" TargetMode="External"/><Relationship Id="rId240" Type="http://schemas.openxmlformats.org/officeDocument/2006/relationships/hyperlink" Target="http://he.wikipedia.org/wiki/%D7%90%D7%A8%D7%9C_%D7%95%D7%95%D7%A8%D7%9F" TargetMode="External"/><Relationship Id="rId261" Type="http://schemas.openxmlformats.org/officeDocument/2006/relationships/hyperlink" Target="http://he.wikipedia.org/wiki/%D7%9E%D7%A9%D7%91%D7%A8_%D7%9C%D7%99%D7%98%D7%9C_%D7%A8%D7%95%D7%A7" TargetMode="External"/><Relationship Id="rId14" Type="http://schemas.openxmlformats.org/officeDocument/2006/relationships/hyperlink" Target="http://library.kiwix.org/wikipedia_he_all/A/%D7%A2%D7%A8%D7%91%D7%99%D7%AA.html" TargetMode="External"/><Relationship Id="rId35" Type="http://schemas.openxmlformats.org/officeDocument/2006/relationships/hyperlink" Target="http://library.kiwix.org/wikipedia_he_all/A/%D7%A8%D7%A6%D7%95%D7%A2%D7%AA%20%D7%A2%D7%96%D7%94.html" TargetMode="External"/><Relationship Id="rId56" Type="http://schemas.openxmlformats.org/officeDocument/2006/relationships/hyperlink" Target="javascript:getWord('nazim.htm')" TargetMode="External"/><Relationship Id="rId77" Type="http://schemas.openxmlformats.org/officeDocument/2006/relationships/hyperlink" Target="http://www.haaretz.co.il/news/education/1.1472313" TargetMode="External"/><Relationship Id="rId100" Type="http://schemas.openxmlformats.org/officeDocument/2006/relationships/hyperlink" Target="http://he.wikipedia.org/wiki/%D7%92%D7%99%D7%95%D7%A1_%D7%91%D7%A0%D7%99_%D7%99%D7%A9%D7%99%D7%91%D7%95%D7%AA" TargetMode="External"/><Relationship Id="rId282" Type="http://schemas.openxmlformats.org/officeDocument/2006/relationships/hyperlink" Target="http://www.nevo.co.il/law_html/law01/999_586.htm" TargetMode="External"/><Relationship Id="rId317" Type="http://schemas.openxmlformats.org/officeDocument/2006/relationships/hyperlink" Target="http://www.nevo.co.il/links/psika/?link=&#1506;&#1506;&#1502;%201721/10" TargetMode="External"/><Relationship Id="rId338" Type="http://schemas.openxmlformats.org/officeDocument/2006/relationships/hyperlink" Target="http://www.nevo.co.il/law_html/law01/073_002.htm" TargetMode="External"/><Relationship Id="rId359" Type="http://schemas.openxmlformats.org/officeDocument/2006/relationships/hyperlink" Target="http://www.nevo.co.il/links/law/?link=&#1495;&#1493;&#1511;%20&#1492;&#1512;&#1513;&#1493;&#1497;&#1493;&#1514;%20&#1492;&#1502;&#1511;&#1493;&#1502;&#1497;&#1493;&#1514;" TargetMode="External"/><Relationship Id="rId8" Type="http://schemas.openxmlformats.org/officeDocument/2006/relationships/hyperlink" Target="http://www.themarker.com/misc/writers/1.474" TargetMode="External"/><Relationship Id="rId98" Type="http://schemas.openxmlformats.org/officeDocument/2006/relationships/hyperlink" Target="http://he.wikipedia.org/wiki/%D7%94%D7%A6%D7%A2%D7%AA_%D7%97%D7%95%D7%A7" TargetMode="External"/><Relationship Id="rId121" Type="http://schemas.openxmlformats.org/officeDocument/2006/relationships/hyperlink" Target="http://he.wikipedia.org/wiki/%D7%92%D7%99%D7%95%D7%A1_%D7%91%D7%A0%D7%99_%D7%99%D7%A9%D7%99%D7%91%D7%95%D7%AA" TargetMode="External"/><Relationship Id="rId142" Type="http://schemas.openxmlformats.org/officeDocument/2006/relationships/hyperlink" Target="http://www.nrg.co.il/online/54/ART2/156/074.html" TargetMode="External"/><Relationship Id="rId163" Type="http://schemas.openxmlformats.org/officeDocument/2006/relationships/hyperlink" Target="http://www.nevo.co.il/Law_word/law17/PROP-2514.pdf" TargetMode="External"/><Relationship Id="rId184" Type="http://schemas.openxmlformats.org/officeDocument/2006/relationships/hyperlink" Target="http://www.haaretz.co.il/news/law/1.1778950" TargetMode="External"/><Relationship Id="rId219" Type="http://schemas.openxmlformats.org/officeDocument/2006/relationships/hyperlink" Target="http://he.wikipedia.org/wiki/%D7%91%D7%99%D7%AA_%D7%94%D7%9E%D7%A9%D7%A4%D7%98_%D7%94%D7%A2%D7%9C%D7%99%D7%95%D7%9F_%D7%A9%D7%9C_%D7%90%D7%A8%D7%A6%D7%95%D7%AA_%D7%94%D7%91%D7%A8%D7%99%D7%AA" TargetMode="External"/><Relationship Id="rId370" Type="http://schemas.openxmlformats.org/officeDocument/2006/relationships/hyperlink" Target="http://www.nevo.co.il/law_html/law01/144M1_001.htm" TargetMode="External"/><Relationship Id="rId391" Type="http://schemas.openxmlformats.org/officeDocument/2006/relationships/hyperlink" Target="http://www.nevo.co.il/law_html/law01/P182_001.htm" TargetMode="External"/><Relationship Id="rId405" Type="http://schemas.openxmlformats.org/officeDocument/2006/relationships/hyperlink" Target="http://www.nevo.co.il/Psika_word/elyon/0300316-padi.doc" TargetMode="External"/><Relationship Id="rId426" Type="http://schemas.openxmlformats.org/officeDocument/2006/relationships/hyperlink" Target="http://www.nevo.co.il/links/psika/?link=&#1489;&#1490;&#1509;%206641/93" TargetMode="External"/><Relationship Id="rId447" Type="http://schemas.openxmlformats.org/officeDocument/2006/relationships/fontTable" Target="fontTable.xml"/><Relationship Id="rId230" Type="http://schemas.openxmlformats.org/officeDocument/2006/relationships/hyperlink" Target="http://he.wikipedia.org/wiki/1951" TargetMode="External"/><Relationship Id="rId251" Type="http://schemas.openxmlformats.org/officeDocument/2006/relationships/hyperlink" Target="http://he.wikipedia.org/w/index.php?title=%D7%A4%D7%A1%D7%A7_%D7%93%D7%99%D7%9F_%D7%A1%D7%95%D7%95%D7%90%D7%9F_%D7%A0%D7%92%D7%93_%D7%9E%D7%95%D7%A2%D7%A6%D7%AA_%D7%94%D7%97%D7%99%D7%A0%D7%95%D7%9A_%D7%A9%D7%90%D7%A8%D7%9C%D7%95%D7%98_%D7%9E%D7%A7%D7%9C%D7%A0%D7%91%D7%95%D7%A8%D7%92&amp;action=edit&amp;redlink=1" TargetMode="External"/><Relationship Id="rId25" Type="http://schemas.openxmlformats.org/officeDocument/2006/relationships/hyperlink" Target="http://library.kiwix.org/wikipedia_he_all/A/%D7%A8%D7%A6%D7%95%D7%A2%D7%AA%20%D7%A2%D7%96%D7%94.html" TargetMode="External"/><Relationship Id="rId46" Type="http://schemas.openxmlformats.org/officeDocument/2006/relationships/hyperlink" Target="javascript:getWord('year.htm')" TargetMode="External"/><Relationship Id="rId67" Type="http://schemas.openxmlformats.org/officeDocument/2006/relationships/hyperlink" Target="http://www.haaretz.co.il/news/education/1.1478177" TargetMode="External"/><Relationship Id="rId272" Type="http://schemas.openxmlformats.org/officeDocument/2006/relationships/hyperlink" Target="http://www.nevo.co.il/links/psika/?link=&#1489;&#1490;&#1509;%204593/05" TargetMode="External"/><Relationship Id="rId293" Type="http://schemas.openxmlformats.org/officeDocument/2006/relationships/hyperlink" Target="http://www.nevo.co.il/Law_word/law10/yalkut-6285.pdf" TargetMode="External"/><Relationship Id="rId307" Type="http://schemas.openxmlformats.org/officeDocument/2006/relationships/hyperlink" Target="http://www.nevo.co.il/links/psika/?link=&#1489;&#1490;&#1509;%207186/06" TargetMode="External"/><Relationship Id="rId328" Type="http://schemas.openxmlformats.org/officeDocument/2006/relationships/hyperlink" Target="http://www.nevo.co.il/psika_word/minhali/mm06000219-9.doc" TargetMode="External"/><Relationship Id="rId349" Type="http://schemas.openxmlformats.org/officeDocument/2006/relationships/hyperlink" Target="http://www.nevo.co.il/law_html/law01/073_002.htm" TargetMode="External"/><Relationship Id="rId88" Type="http://schemas.openxmlformats.org/officeDocument/2006/relationships/hyperlink" Target="http://he.wikipedia.org/wiki/%D7%91%D7%92%22%D7%A5" TargetMode="External"/><Relationship Id="rId111" Type="http://schemas.openxmlformats.org/officeDocument/2006/relationships/hyperlink" Target="http://he.wikipedia.org/wiki/%D7%92%D7%99%D7%95%D7%A1_%D7%91%D7%A0%D7%99_%D7%99%D7%A9%D7%99%D7%91%D7%95%D7%AA" TargetMode="External"/><Relationship Id="rId132" Type="http://schemas.openxmlformats.org/officeDocument/2006/relationships/hyperlink" Target="http://www.nevo.co.il/law_html/law01/190_001.htm" TargetMode="External"/><Relationship Id="rId153" Type="http://schemas.openxmlformats.org/officeDocument/2006/relationships/hyperlink" Target="http://www.nevo.co.il/Law_word/law17/PROP-2908.pdf" TargetMode="External"/><Relationship Id="rId174" Type="http://schemas.openxmlformats.org/officeDocument/2006/relationships/hyperlink" Target="http://hebrewu-law.blogspot.com/2010/10/blog-post_28.html" TargetMode="External"/><Relationship Id="rId195" Type="http://schemas.openxmlformats.org/officeDocument/2006/relationships/hyperlink" Target="http://www.nevo.co.il/Law_word/law17/PROP-2343.pdf" TargetMode="External"/><Relationship Id="rId209" Type="http://schemas.openxmlformats.org/officeDocument/2006/relationships/image" Target="media/image4.gif"/><Relationship Id="rId360" Type="http://schemas.openxmlformats.org/officeDocument/2006/relationships/hyperlink" Target="http://www.nevo.co.il/links/psika/?link=&#1506;&#1488;%206705/04" TargetMode="External"/><Relationship Id="rId381" Type="http://schemas.openxmlformats.org/officeDocument/2006/relationships/hyperlink" Target="http://www.nevo.co.il/law_html/law01/184_001.htm" TargetMode="External"/><Relationship Id="rId416" Type="http://schemas.openxmlformats.org/officeDocument/2006/relationships/hyperlink" Target="http://www.nevo.co.il/links/psika/?link=&#1489;&#1490;&#1509;%202911/94" TargetMode="External"/><Relationship Id="rId220" Type="http://schemas.openxmlformats.org/officeDocument/2006/relationships/hyperlink" Target="http://he.wikipedia.org/wiki/%D7%90%D7%A8%D7%A6%D7%95%D7%AA_%D7%94%D7%91%D7%A8%D7%99%D7%AA" TargetMode="External"/><Relationship Id="rId241" Type="http://schemas.openxmlformats.org/officeDocument/2006/relationships/hyperlink" Target="http://he.wikipedia.org/wiki/%D7%93%D7%95%D7%95%D7%99%D7%99%D7%98_%D7%90%D7%99%D7%99%D7%96%D7%A0%D7%94%D7%90%D7%95%D7%90%D7%A8" TargetMode="External"/><Relationship Id="rId437" Type="http://schemas.openxmlformats.org/officeDocument/2006/relationships/hyperlink" Target="http://www.themarker.com/law/1.2528019" TargetMode="External"/><Relationship Id="rId15" Type="http://schemas.openxmlformats.org/officeDocument/2006/relationships/hyperlink" Target="http://library.kiwix.org/wikipedia_he_all/A/%D7%97%D7%95%D7%A3.html" TargetMode="External"/><Relationship Id="rId36" Type="http://schemas.openxmlformats.org/officeDocument/2006/relationships/hyperlink" Target="http://library.kiwix.org/wikipedia_he_all/A/%D7%A8%D7%A6%D7%95%D7%A2%D7%AA%20%D7%A2%D7%96%D7%94.html" TargetMode="External"/><Relationship Id="rId57" Type="http://schemas.openxmlformats.org/officeDocument/2006/relationships/hyperlink" Target="javascript:getWord('haafala.htm')" TargetMode="External"/><Relationship Id="rId262" Type="http://schemas.openxmlformats.org/officeDocument/2006/relationships/hyperlink" Target="http://he.wikipedia.org/wiki/1953" TargetMode="External"/><Relationship Id="rId283" Type="http://schemas.openxmlformats.org/officeDocument/2006/relationships/hyperlink" Target="http://he.wikipedia.org/wiki/%D7%94%D7%AA%D7%99%D7%A7%D7%95%D7%9F_%D7%94%D7%A9%D7%A0%D7%99_%D7%9C%D7%97%D7%95%D7%A7%D7%AA_%D7%90%D7%A8%D7%A6%D7%95%D7%AA_%D7%94%D7%91%D7%A8%D7%99%D7%AA" TargetMode="External"/><Relationship Id="rId318" Type="http://schemas.openxmlformats.org/officeDocument/2006/relationships/hyperlink" Target="http://www.nevo.co.il/links/psika/?link=&#1489;&#1490;&#1509;%207712/04&amp;Pvol=&#1505;&#1488;" TargetMode="External"/><Relationship Id="rId339" Type="http://schemas.openxmlformats.org/officeDocument/2006/relationships/hyperlink" Target="http://www.nevo.co.il/safrut/book/14535" TargetMode="External"/><Relationship Id="rId78" Type="http://schemas.openxmlformats.org/officeDocument/2006/relationships/hyperlink" Target="http://www.haaretz.co.il/misc/writers/1.681421" TargetMode="External"/><Relationship Id="rId99" Type="http://schemas.openxmlformats.org/officeDocument/2006/relationships/hyperlink" Target="http://he.wikipedia.org/wiki/%D7%92%D7%99%D7%95%D7%A1_%D7%91%D7%A0%D7%99_%D7%99%D7%A9%D7%99%D7%91%D7%95%D7%AA" TargetMode="External"/><Relationship Id="rId101" Type="http://schemas.openxmlformats.org/officeDocument/2006/relationships/hyperlink" Target="http://he.wikipedia.org/wiki/%D7%97%D7%91%D7%A8%D7%AA_%D7%94%D7%9B%D7%A0%D7%A1%D7%AA" TargetMode="External"/><Relationship Id="rId122" Type="http://schemas.openxmlformats.org/officeDocument/2006/relationships/hyperlink" Target="http://he.wikipedia.org/wiki/4_%D7%91%D7%A4%D7%91%D7%A8%D7%95%D7%90%D7%A8" TargetMode="External"/><Relationship Id="rId143" Type="http://schemas.openxmlformats.org/officeDocument/2006/relationships/hyperlink" Target="http://www.nrg.co.il/online/55/ART2/164/861.html" TargetMode="External"/><Relationship Id="rId164" Type="http://schemas.openxmlformats.org/officeDocument/2006/relationships/hyperlink" Target="http://he.wikipedia.org/wiki/12_%D7%91%D7%9E%D7%A8%D7%A5" TargetMode="External"/><Relationship Id="rId185" Type="http://schemas.openxmlformats.org/officeDocument/2006/relationships/hyperlink" Target="http://www.haaretz.co.il/misc/tags/1.681726" TargetMode="External"/><Relationship Id="rId350" Type="http://schemas.openxmlformats.org/officeDocument/2006/relationships/hyperlink" Target="http://www.nevo.co.il/law_html/law01/055_128.htm" TargetMode="External"/><Relationship Id="rId371" Type="http://schemas.openxmlformats.org/officeDocument/2006/relationships/hyperlink" Target="http://www.nevo.co.il/law_html/law01/144M1_001.htm" TargetMode="External"/><Relationship Id="rId406" Type="http://schemas.openxmlformats.org/officeDocument/2006/relationships/hyperlink" Target="http://www.nevo.co.il/law_html/law01/P182_001.htm" TargetMode="External"/><Relationship Id="rId9" Type="http://schemas.openxmlformats.org/officeDocument/2006/relationships/hyperlink" Target="http://www.haaretz.co.il/misc/writers/1.815" TargetMode="External"/><Relationship Id="rId210" Type="http://schemas.openxmlformats.org/officeDocument/2006/relationships/hyperlink" Target="http://www.haaretz.co.il/news/world/1.1781593" TargetMode="External"/><Relationship Id="rId392" Type="http://schemas.openxmlformats.org/officeDocument/2006/relationships/hyperlink" Target="http://www.nevo.co.il/links/law/?link=&#1495;&#1493;&#1511;%20&#1492;&#1512;&#1513;&#1493;&#1497;&#1493;&#1514;%20&#1492;&#1502;&#1511;&#1493;&#1502;&#1497;&#1493;&#1514;" TargetMode="External"/><Relationship Id="rId427" Type="http://schemas.openxmlformats.org/officeDocument/2006/relationships/hyperlink" Target="http://www.nevo.co.il/links/psika/?link=&#1489;&#1490;&#1509;%201100/95" TargetMode="External"/><Relationship Id="rId448" Type="http://schemas.openxmlformats.org/officeDocument/2006/relationships/theme" Target="theme/theme1.xml"/><Relationship Id="rId26" Type="http://schemas.openxmlformats.org/officeDocument/2006/relationships/hyperlink" Target="http://library.kiwix.org/wikipedia_he_all/A/%D7%94%D7%A1%D7%9B%D7%9E%D7%99%20%D7%A9%D7%91%D7%99%D7%AA%D7%AA%20%D7%94%D7%A0%D7%A9%D7%A7%20%D7%91%D7%AA%D7%95%D7%9D%20%D7%9E%D7%9C%D7%97%D7%9E%D7%AA%20%D7%94%D7%A2%D7%A6%D7%9E%D7%90%D7%95%D7%AA.html" TargetMode="External"/><Relationship Id="rId231" Type="http://schemas.openxmlformats.org/officeDocument/2006/relationships/hyperlink" Target="http://he.wikipedia.org/wiki/%D7%AA%D7%95%D7%91%D7%A2%D7%A0%D7%94_%D7%99%D7%99%D7%A6%D7%95%D7%92%D7%99%D7%AA" TargetMode="External"/><Relationship Id="rId252" Type="http://schemas.openxmlformats.org/officeDocument/2006/relationships/hyperlink" Target="http://he.wikipedia.org/wiki/1974" TargetMode="External"/><Relationship Id="rId273" Type="http://schemas.openxmlformats.org/officeDocument/2006/relationships/hyperlink" Target="http://www.nevo.co.il/links/psika/?link=&#1489;&#1490;&#1509;%20956/06" TargetMode="External"/><Relationship Id="rId294" Type="http://schemas.openxmlformats.org/officeDocument/2006/relationships/hyperlink" Target="http://www.nevo.co.il/law_html/law01/p183k1_001.htm" TargetMode="External"/><Relationship Id="rId308" Type="http://schemas.openxmlformats.org/officeDocument/2006/relationships/hyperlink" Target="http://www.nevo.co.il/links/psika/?link=&#1489;&#1490;&#1509;%205394/92" TargetMode="External"/><Relationship Id="rId329" Type="http://schemas.openxmlformats.org/officeDocument/2006/relationships/hyperlink" Target="http://www.nevo.co.il/law_html/law01/p213_057.htm" TargetMode="External"/><Relationship Id="rId47" Type="http://schemas.openxmlformats.org/officeDocument/2006/relationships/hyperlink" Target="javascript:getWord('congres.htm')" TargetMode="External"/><Relationship Id="rId68" Type="http://schemas.openxmlformats.org/officeDocument/2006/relationships/hyperlink" Target="http://www.haaretz.co.il/news/education/1.1639370" TargetMode="External"/><Relationship Id="rId89" Type="http://schemas.openxmlformats.org/officeDocument/2006/relationships/hyperlink" Target="http://he.wikipedia.org/wiki/1_%D7%91%D7%90%D7%95%D7%92%D7%95%D7%A1%D7%98" TargetMode="External"/><Relationship Id="rId112" Type="http://schemas.openxmlformats.org/officeDocument/2006/relationships/hyperlink" Target="http://he.wikipedia.org/wiki/%D7%99%D7%95%D7%A0%D7%99_%D7%A9%D7%98%D7%91%D7%95%D7%9F" TargetMode="External"/><Relationship Id="rId133" Type="http://schemas.openxmlformats.org/officeDocument/2006/relationships/hyperlink" Target="http://www.nevo.co.il/law_html/law01/190_026.htm" TargetMode="External"/><Relationship Id="rId154" Type="http://schemas.openxmlformats.org/officeDocument/2006/relationships/hyperlink" Target="http://www.nevo.co.il/Law_word/law14/LAW-1760.pdf" TargetMode="External"/><Relationship Id="rId175" Type="http://schemas.openxmlformats.org/officeDocument/2006/relationships/hyperlink" Target="http://www.knesset.gov.il/mmm/data/pdf/m02629.pdf" TargetMode="External"/><Relationship Id="rId340" Type="http://schemas.openxmlformats.org/officeDocument/2006/relationships/hyperlink" Target="http://www.nevo.co.il/links/psika/?link=&#1489;&#1490;&#1509;%20606/93&amp;Pvol=&#1502;&#1495;" TargetMode="External"/><Relationship Id="rId361" Type="http://schemas.openxmlformats.org/officeDocument/2006/relationships/hyperlink" Target="http://www.nevo.co.il/links/psika/?link=&#1512;&#1506;&#1488;%2010565/07" TargetMode="External"/><Relationship Id="rId196" Type="http://schemas.openxmlformats.org/officeDocument/2006/relationships/hyperlink" Target="http://www.themarker.com/misc/writers/1.480" TargetMode="External"/><Relationship Id="rId200" Type="http://schemas.openxmlformats.org/officeDocument/2006/relationships/hyperlink" Target="http://www.haaretz.co.il/misc/writers/1.681412" TargetMode="External"/><Relationship Id="rId382" Type="http://schemas.openxmlformats.org/officeDocument/2006/relationships/hyperlink" Target="http://www.nevo.co.il/links/psika/?link=&#1506;&#1488;%201613/91&amp;Pvol=&#1502;&#1493;" TargetMode="External"/><Relationship Id="rId417" Type="http://schemas.openxmlformats.org/officeDocument/2006/relationships/hyperlink" Target="http://www.nevo.co.il/law_html/law01/p213m1_001.htm" TargetMode="External"/><Relationship Id="rId438" Type="http://schemas.openxmlformats.org/officeDocument/2006/relationships/hyperlink" Target="http://www.haaretz.co.il/news/investigations/1.1178220" TargetMode="External"/><Relationship Id="rId16" Type="http://schemas.openxmlformats.org/officeDocument/2006/relationships/hyperlink" Target="http://library.kiwix.org/wikipedia_he_all/A/%D7%9E%D7%99%D7%A9%D7%95%D7%A8%20%D7%94%D7%97%D7%95%D7%A3%20%D7%94%D7%93%D7%A8%D7%95%D7%9E%D7%99.html" TargetMode="External"/><Relationship Id="rId221" Type="http://schemas.openxmlformats.org/officeDocument/2006/relationships/hyperlink" Target="http://he.wikipedia.org/wiki/1954" TargetMode="External"/><Relationship Id="rId242" Type="http://schemas.openxmlformats.org/officeDocument/2006/relationships/hyperlink" Target="http://he.wikipedia.org/wiki/%D7%A4%D7%94_%D7%90%D7%97%D7%93" TargetMode="External"/><Relationship Id="rId263" Type="http://schemas.openxmlformats.org/officeDocument/2006/relationships/hyperlink" Target="http://he.wikipedia.org/w/index.php?title=%D7%94%D7%90%D7%AA%D7%A8_%D7%94%D7%94%D7%99%D7%A1%D7%98%D7%95%D7%A8%D7%99_%D7%94%D7%9C%D7%90%D7%95%D7%9E%D7%99_%D7%91%D7%A8%D7%90%D7%95%D7%9F_%D7%A0%D7%92%D7%93_%D7%9E%D7%95%D7%A2%D7%A6%D7%AA_%D7%94%D7%97%D7%99%D7%A0%D7%95%D7%9A&amp;action=edit&amp;redlink=1" TargetMode="External"/><Relationship Id="rId284" Type="http://schemas.openxmlformats.org/officeDocument/2006/relationships/image" Target="media/image5.jpeg"/><Relationship Id="rId319" Type="http://schemas.openxmlformats.org/officeDocument/2006/relationships/hyperlink" Target="http://www.nevo.co.il/law_html/law01/P182_001.htm" TargetMode="External"/><Relationship Id="rId37" Type="http://schemas.openxmlformats.org/officeDocument/2006/relationships/hyperlink" Target="https://www.cia.gov/library/publications/the-world-factbook/geos/gz.html" TargetMode="External"/><Relationship Id="rId58" Type="http://schemas.openxmlformats.org/officeDocument/2006/relationships/hyperlink" Target="javascript:getWord('war2.htm')" TargetMode="External"/><Relationship Id="rId79" Type="http://schemas.openxmlformats.org/officeDocument/2006/relationships/hyperlink" Target="http://www.haaretz.co.il/misc/writers/1.641" TargetMode="External"/><Relationship Id="rId102" Type="http://schemas.openxmlformats.org/officeDocument/2006/relationships/hyperlink" Target="http://he.wikipedia.org/wiki/%D7%90%D7%99%D7%99%D7%9C%D7%AA_%D7%A9%D7%A7%D7%93" TargetMode="External"/><Relationship Id="rId123" Type="http://schemas.openxmlformats.org/officeDocument/2006/relationships/hyperlink" Target="http://he.wikipedia.org/wiki/2014" TargetMode="External"/><Relationship Id="rId144" Type="http://schemas.openxmlformats.org/officeDocument/2006/relationships/hyperlink" Target="http://zope.gush-shalom.org/home/he/channels/avnery/1287833216/" TargetMode="External"/><Relationship Id="rId330" Type="http://schemas.openxmlformats.org/officeDocument/2006/relationships/hyperlink" Target="http://www.themarker.com/misc/writers/1.878" TargetMode="External"/><Relationship Id="rId90" Type="http://schemas.openxmlformats.org/officeDocument/2006/relationships/hyperlink" Target="http://he.wikipedia.org/wiki/2012" TargetMode="External"/><Relationship Id="rId165" Type="http://schemas.openxmlformats.org/officeDocument/2006/relationships/hyperlink" Target="http://he.wikipedia.org/wiki/2014" TargetMode="External"/><Relationship Id="rId186" Type="http://schemas.openxmlformats.org/officeDocument/2006/relationships/hyperlink" Target="http://www.haaretz.co.il/news/politics/1.1536222" TargetMode="External"/><Relationship Id="rId351" Type="http://schemas.openxmlformats.org/officeDocument/2006/relationships/hyperlink" Target="http://www.nevo.co.il/law_html/law01/073_002.htm" TargetMode="External"/><Relationship Id="rId372" Type="http://schemas.openxmlformats.org/officeDocument/2006/relationships/hyperlink" Target="http://www.nevo.co.il/law_html/law01/144M1_001.htm" TargetMode="External"/><Relationship Id="rId393" Type="http://schemas.openxmlformats.org/officeDocument/2006/relationships/hyperlink" Target="http://www.nevo.co.il/Psika_word/elyon/PADI-P-3-837-L.doc" TargetMode="External"/><Relationship Id="rId407" Type="http://schemas.openxmlformats.org/officeDocument/2006/relationships/hyperlink" Target="http://www.nevo.co.il/law_html/law01/P182_001.htm" TargetMode="External"/><Relationship Id="rId428" Type="http://schemas.openxmlformats.org/officeDocument/2006/relationships/hyperlink" Target="http://www.nevo.co.il/links/psika/?link=&#1506;&#1488;%206983/94&amp;Pvol=&#1504;&#1488;" TargetMode="External"/><Relationship Id="rId211" Type="http://schemas.openxmlformats.org/officeDocument/2006/relationships/hyperlink" Target="http://jessicaredfield.wordpress.com/2012/06/05/late-night-thoughts-on-the-eaton-center-shooting/" TargetMode="External"/><Relationship Id="rId232" Type="http://schemas.openxmlformats.org/officeDocument/2006/relationships/hyperlink" Target="http://he.wikipedia.org/wiki/%D7%98%D7%95%D7%A4%D7%A7%D7%94" TargetMode="External"/><Relationship Id="rId253" Type="http://schemas.openxmlformats.org/officeDocument/2006/relationships/hyperlink" Target="http://he.wikipedia.org/w/index.php?title=%D7%A4%D7%A1%D7%A7_%D7%93%D7%99%D7%9F_%D7%9E%D7%99%D7%9C%D7%99%D7%A7%D7%9F_%D7%A0%D7%92%D7%93_%D7%91%D7%A8%D7%93%D7%9C%D7%99&amp;action=edit&amp;redlink=1" TargetMode="External"/><Relationship Id="rId274" Type="http://schemas.openxmlformats.org/officeDocument/2006/relationships/hyperlink" Target="http://www.nevo.co.il/safrut/book/12636" TargetMode="External"/><Relationship Id="rId295" Type="http://schemas.openxmlformats.org/officeDocument/2006/relationships/hyperlink" Target="http://www.nevo.co.il/law_html/law01/190_065.htm" TargetMode="External"/><Relationship Id="rId309" Type="http://schemas.openxmlformats.org/officeDocument/2006/relationships/hyperlink" Target="http://www.nevo.co.il/links/psika/?link=&#1489;&#1490;&#1509;%208676/00" TargetMode="External"/><Relationship Id="rId27" Type="http://schemas.openxmlformats.org/officeDocument/2006/relationships/hyperlink" Target="http://library.kiwix.org/wikipedia_he_all/A/%D7%A8%D7%95%D7%93%D7%95%D7%A1.html" TargetMode="External"/><Relationship Id="rId48" Type="http://schemas.openxmlformats.org/officeDocument/2006/relationships/hyperlink" Target="javascript:getWord('herzel.htm')" TargetMode="External"/><Relationship Id="rId69" Type="http://schemas.openxmlformats.org/officeDocument/2006/relationships/hyperlink" Target="http://www.haaretz.co.il/news/education/1.1714622" TargetMode="External"/><Relationship Id="rId113" Type="http://schemas.openxmlformats.org/officeDocument/2006/relationships/hyperlink" Target="http://he.wikipedia.org/wiki/%D7%92%D7%99%D7%95%D7%A1_%D7%91%D7%A0%D7%99_%D7%99%D7%A9%D7%99%D7%91%D7%95%D7%AA" TargetMode="External"/><Relationship Id="rId134" Type="http://schemas.openxmlformats.org/officeDocument/2006/relationships/hyperlink" Target="http://www.nevo.co.il/law_html/law01/236_001.htm" TargetMode="External"/><Relationship Id="rId320" Type="http://schemas.openxmlformats.org/officeDocument/2006/relationships/hyperlink" Target="http://www.nevo.co.il/links/psika/?link=&#1491;&#1504;&#1490;&#1509;%203299/93&amp;Pvol=&#1502;&#1496;" TargetMode="External"/><Relationship Id="rId80" Type="http://schemas.openxmlformats.org/officeDocument/2006/relationships/hyperlink" Target="http://www.haaretz.co.il/news/education/1.1878964" TargetMode="External"/><Relationship Id="rId155" Type="http://schemas.openxmlformats.org/officeDocument/2006/relationships/hyperlink" Target="http://www.nevo.co.il/Law_word/law17/PROP-2908.pdf" TargetMode="External"/><Relationship Id="rId176" Type="http://schemas.openxmlformats.org/officeDocument/2006/relationships/hyperlink" Target="http://www.knesset.gov.il/privatelaw/data/18/2657.rtf" TargetMode="External"/><Relationship Id="rId197" Type="http://schemas.openxmlformats.org/officeDocument/2006/relationships/hyperlink" Target="http://www.themarker.com/law/1.2521427" TargetMode="External"/><Relationship Id="rId341" Type="http://schemas.openxmlformats.org/officeDocument/2006/relationships/hyperlink" Target="http://www.nevo.co.il/law_html/law01/073_002.htm" TargetMode="External"/><Relationship Id="rId362" Type="http://schemas.openxmlformats.org/officeDocument/2006/relationships/hyperlink" Target="http://www.nevo.co.il/law_html/law01/p197_001.htm" TargetMode="External"/><Relationship Id="rId383" Type="http://schemas.openxmlformats.org/officeDocument/2006/relationships/hyperlink" Target="http://www.nevo.co.il/safrut/bookgroup/358" TargetMode="External"/><Relationship Id="rId418" Type="http://schemas.openxmlformats.org/officeDocument/2006/relationships/hyperlink" Target="http://www.nevo.co.il/law_html/law01/p213m1_001.htm" TargetMode="External"/><Relationship Id="rId439" Type="http://schemas.openxmlformats.org/officeDocument/2006/relationships/hyperlink" Target="http://www.themarker.com/markerweek/1.1900372" TargetMode="External"/><Relationship Id="rId201" Type="http://schemas.openxmlformats.org/officeDocument/2006/relationships/hyperlink" Target="http://www.haaretz.co.il/news/world/1.1886166" TargetMode="External"/><Relationship Id="rId222" Type="http://schemas.openxmlformats.org/officeDocument/2006/relationships/hyperlink" Target="http://he.wikipedia.org/wiki/%D7%94%D7%A4%D7%A8%D7%93%D7%94_%D7%A2%D7%9C_%D7%A8%D7%A7%D7%A2_%D7%92%D7%96%D7%A2%D7%99" TargetMode="External"/><Relationship Id="rId243" Type="http://schemas.openxmlformats.org/officeDocument/2006/relationships/hyperlink" Target="http://he.wikipedia.org/wiki/17_%D7%91%D7%9E%D7%90%D7%99" TargetMode="External"/><Relationship Id="rId264" Type="http://schemas.openxmlformats.org/officeDocument/2006/relationships/hyperlink" Target="http://he.wikipedia.org/wiki/26_%D7%91%D7%90%D7%95%D7%A7%D7%98%D7%95%D7%91%D7%A8" TargetMode="External"/><Relationship Id="rId285" Type="http://schemas.openxmlformats.org/officeDocument/2006/relationships/hyperlink" Target="https://www.facebook.com/pages/%D7%94%D7%90%D7%A7%D7%93%D7%97-%D7%A2%D7%9C-%D7%A9%D7%95%D7%9C%D7%97%D7%9F-%D7%94%D7%9E%D7%98%D7%91%D7%97/160175817353648?fref=ts" TargetMode="External"/><Relationship Id="rId17" Type="http://schemas.openxmlformats.org/officeDocument/2006/relationships/hyperlink" Target="http://library.kiwix.org/wikipedia_he_all/A/%D7%90%D7%A8%D7%A5%20%D7%99%D7%A9%D7%A8%D7%90%D7%9C.html" TargetMode="External"/><Relationship Id="rId38" Type="http://schemas.openxmlformats.org/officeDocument/2006/relationships/hyperlink" Target="http://library.kiwix.org/wikipedia_he_all/A/CIA.html" TargetMode="External"/><Relationship Id="rId59" Type="http://schemas.openxmlformats.org/officeDocument/2006/relationships/hyperlink" Target="javascript:getWord('fight.htm')" TargetMode="External"/><Relationship Id="rId103" Type="http://schemas.openxmlformats.org/officeDocument/2006/relationships/hyperlink" Target="http://he.wikipedia.org/wiki/%D7%94%D7%91%D7%99%D7%AA_%D7%94%D7%99%D7%94%D7%95%D7%93%D7%99" TargetMode="External"/><Relationship Id="rId124" Type="http://schemas.openxmlformats.org/officeDocument/2006/relationships/hyperlink" Target="http://he.wikipedia.org/wiki/%D7%91%D7%92%22%D7%A5" TargetMode="External"/><Relationship Id="rId310" Type="http://schemas.openxmlformats.org/officeDocument/2006/relationships/hyperlink" Target="http://www.nevo.co.il/law_html/law01/p190m3_001.htm" TargetMode="External"/><Relationship Id="rId70" Type="http://schemas.openxmlformats.org/officeDocument/2006/relationships/hyperlink" Target="http://www.haaretz.co.il/news/politics/1.1626216" TargetMode="External"/><Relationship Id="rId91" Type="http://schemas.openxmlformats.org/officeDocument/2006/relationships/hyperlink" Target="http://he.wikipedia.org/wiki/%D7%A9%D7%9E%D7%95%D7%90%D7%9C_%D7%90%D7%95%D7%99%D7%A2%D7%A8%D7%91%D7%9A" TargetMode="External"/><Relationship Id="rId145" Type="http://schemas.openxmlformats.org/officeDocument/2006/relationships/hyperlink" Target="http://www.hahem.co.il/friendsofgeorge/?p=1958" TargetMode="External"/><Relationship Id="rId166" Type="http://schemas.openxmlformats.org/officeDocument/2006/relationships/hyperlink" Target="http://he.wikipedia.org/wiki/%D7%90%D7%95%D7%A4%D7%95%D7%96%D7%99%D7%A6%D7%99%D7%94" TargetMode="External"/><Relationship Id="rId187" Type="http://schemas.openxmlformats.org/officeDocument/2006/relationships/hyperlink" Target="http://www.haaretz.co.il/news/politics/1.1608639" TargetMode="External"/><Relationship Id="rId331" Type="http://schemas.openxmlformats.org/officeDocument/2006/relationships/hyperlink" Target="http://www.nevo.co.il/Law_word/law14/LAW-0519.pdf" TargetMode="External"/><Relationship Id="rId352" Type="http://schemas.openxmlformats.org/officeDocument/2006/relationships/hyperlink" Target="http://www.nevo.co.il/law_html/law01/184_001.htm" TargetMode="External"/><Relationship Id="rId373" Type="http://schemas.openxmlformats.org/officeDocument/2006/relationships/hyperlink" Target="http://www.nevo.co.il/law_html/law01/144M1_001.htm" TargetMode="External"/><Relationship Id="rId394" Type="http://schemas.openxmlformats.org/officeDocument/2006/relationships/hyperlink" Target="http://www.nevo.co.il/law_html/law01/184_001.htm" TargetMode="External"/><Relationship Id="rId408" Type="http://schemas.openxmlformats.org/officeDocument/2006/relationships/hyperlink" Target="http://www.nevo.co.il/Psika_word/elyon/PADI-LF-4-057-L.doc" TargetMode="External"/><Relationship Id="rId429" Type="http://schemas.openxmlformats.org/officeDocument/2006/relationships/hyperlink" Target="http://www.nevo.co.il/links/psika/?link=&#1489;&#1490;&#1509;%2010408/06" TargetMode="External"/><Relationship Id="rId1" Type="http://schemas.openxmlformats.org/officeDocument/2006/relationships/customXml" Target="../customXml/item1.xml"/><Relationship Id="rId212" Type="http://schemas.openxmlformats.org/officeDocument/2006/relationships/hyperlink" Target="http://gawker.com/5927974/american-family-association-news-director-blames-mass-shooting-on-aclu-gays-liberal-churches" TargetMode="External"/><Relationship Id="rId233" Type="http://schemas.openxmlformats.org/officeDocument/2006/relationships/hyperlink" Target="http://he.wikipedia.org/wiki/%D7%A7%D7%A0%D7%96%D7%A1" TargetMode="External"/><Relationship Id="rId254" Type="http://schemas.openxmlformats.org/officeDocument/2006/relationships/hyperlink" Target="http://he.wikipedia.org/wiki/%D7%90%D7%A4%D7%9C%D7%99%D7%94_%D7%9E%D7%AA%D7%A7%D7%A0%D7%AA" TargetMode="External"/><Relationship Id="rId440" Type="http://schemas.openxmlformats.org/officeDocument/2006/relationships/hyperlink" Target="http://www.themarker.com/news/1.2536505" TargetMode="External"/><Relationship Id="rId28" Type="http://schemas.openxmlformats.org/officeDocument/2006/relationships/hyperlink" Target="http://library.kiwix.org/wikipedia_he_all/A/%D7%99%D7%A9%D7%A8%D7%90%D7%9C.html" TargetMode="External"/><Relationship Id="rId49" Type="http://schemas.openxmlformats.org/officeDocument/2006/relationships/hyperlink" Target="javascript:getWord('balfur.htm')" TargetMode="External"/><Relationship Id="rId114" Type="http://schemas.openxmlformats.org/officeDocument/2006/relationships/hyperlink" Target="http://he.wikipedia.org/wiki/%D7%92%D7%99%D7%95%D7%A1_%D7%91%D7%A0%D7%99_%D7%99%D7%A9%D7%99%D7%91%D7%95%D7%AA" TargetMode="External"/><Relationship Id="rId275" Type="http://schemas.openxmlformats.org/officeDocument/2006/relationships/hyperlink" Target="http://www.nevo.co.il/links/psika/?link=&#1489;&#1490;&#1509;%2010203/03" TargetMode="External"/><Relationship Id="rId296" Type="http://schemas.openxmlformats.org/officeDocument/2006/relationships/hyperlink" Target="http://www.nevo.co.il/links/law/?link=&#1495;&#1493;&#1511;%20&#1506;&#1494;&#1512;%20&#1500;&#1495;&#1493;&#1500;&#1493;&#1503;" TargetMode="External"/><Relationship Id="rId300" Type="http://schemas.openxmlformats.org/officeDocument/2006/relationships/hyperlink" Target="http://www.nevo.co.il/law_html/law01/P182_001.htm" TargetMode="External"/><Relationship Id="rId60" Type="http://schemas.openxmlformats.org/officeDocument/2006/relationships/hyperlink" Target="javascript:getWord('division.htm')" TargetMode="External"/><Relationship Id="rId81" Type="http://schemas.openxmlformats.org/officeDocument/2006/relationships/hyperlink" Target="http://www.nevo.co.il/links/psika/?link=&#1489;&#1490;&#1509;%206427/02" TargetMode="External"/><Relationship Id="rId135" Type="http://schemas.openxmlformats.org/officeDocument/2006/relationships/hyperlink" Target="javascript:getWord('aliaa.htm')" TargetMode="External"/><Relationship Id="rId156" Type="http://schemas.openxmlformats.org/officeDocument/2006/relationships/hyperlink" Target="http://www.nevo.co.il/Law_word/law14/LAW-1760.pdf" TargetMode="External"/><Relationship Id="rId177" Type="http://schemas.openxmlformats.org/officeDocument/2006/relationships/hyperlink" Target="http://www.pmo.gov.il/NR/rdonlyres/1A80BB40-DB3E-40C4-8B4D-A0E9A2796988/0/UltraOrtodox_Employment_NEC_final.pdf" TargetMode="External"/><Relationship Id="rId198" Type="http://schemas.openxmlformats.org/officeDocument/2006/relationships/hyperlink" Target="http://www.themarker.com/markerweek/1.2521925" TargetMode="External"/><Relationship Id="rId321" Type="http://schemas.openxmlformats.org/officeDocument/2006/relationships/hyperlink" Target="mailto:nirh@haaretz.co.il" TargetMode="External"/><Relationship Id="rId342" Type="http://schemas.openxmlformats.org/officeDocument/2006/relationships/hyperlink" Target="http://www.nevo.co.il/links/psika/?link=&#1489;&#1490;&#1509;%202303/90&amp;Pvol=&#1502;&#1493;" TargetMode="External"/><Relationship Id="rId363" Type="http://schemas.openxmlformats.org/officeDocument/2006/relationships/hyperlink" Target="http://www.nevo.co.il/law_html/law01/p197_001.htm" TargetMode="External"/><Relationship Id="rId384" Type="http://schemas.openxmlformats.org/officeDocument/2006/relationships/hyperlink" Target="http://www.nevo.co.il/safrut/book/5688" TargetMode="External"/><Relationship Id="rId419" Type="http://schemas.openxmlformats.org/officeDocument/2006/relationships/hyperlink" Target="http://www.nevo.co.il/links/psika/?link=&#1489;&#1490;&#1509;%20384/66" TargetMode="External"/><Relationship Id="rId202" Type="http://schemas.openxmlformats.org/officeDocument/2006/relationships/hyperlink" Target="http://www.haaretz.co.il/news/world/1.1886421" TargetMode="External"/><Relationship Id="rId223" Type="http://schemas.openxmlformats.org/officeDocument/2006/relationships/hyperlink" Target="http://he.wikipedia.org/wiki/%D7%97%D7%95%D7%A7%D7%AA_%D7%90%D7%A8%D7%A6%D7%95%D7%AA_%D7%94%D7%91%D7%A8%D7%99%D7%AA" TargetMode="External"/><Relationship Id="rId244" Type="http://schemas.openxmlformats.org/officeDocument/2006/relationships/hyperlink" Target="http://he.wikipedia.org/wiki/1954" TargetMode="External"/><Relationship Id="rId430" Type="http://schemas.openxmlformats.org/officeDocument/2006/relationships/hyperlink" Target="http://www.nevo.co.il/law_html/law01/044_001.htm" TargetMode="External"/><Relationship Id="rId18" Type="http://schemas.openxmlformats.org/officeDocument/2006/relationships/hyperlink" Target="http://library.kiwix.org/wikipedia_he_all/A/%D7%9E%D7%A6%D7%A8%D7%99%D7%9D.html" TargetMode="External"/><Relationship Id="rId39" Type="http://schemas.openxmlformats.org/officeDocument/2006/relationships/image" Target="media/image1.jpeg"/><Relationship Id="rId265" Type="http://schemas.openxmlformats.org/officeDocument/2006/relationships/hyperlink" Target="http://he.wikipedia.org/wiki/1992" TargetMode="External"/><Relationship Id="rId286" Type="http://schemas.openxmlformats.org/officeDocument/2006/relationships/hyperlink" Target="http://www.haaretz.co.il/news/politics/.premium-1.2101967" TargetMode="External"/><Relationship Id="rId50" Type="http://schemas.openxmlformats.org/officeDocument/2006/relationships/hyperlink" Target="javascript:getWord('chever.htm')" TargetMode="External"/><Relationship Id="rId104" Type="http://schemas.openxmlformats.org/officeDocument/2006/relationships/hyperlink" Target="http://he.wikipedia.org/wiki/%D7%99%D7%A9_%D7%A2%D7%AA%D7%99%D7%93" TargetMode="External"/><Relationship Id="rId125" Type="http://schemas.openxmlformats.org/officeDocument/2006/relationships/hyperlink" Target="http://he.wikipedia.org/wiki/%D7%A6%D7%95_%D7%91%D7%99%D7%A0%D7%99%D7%99%D7%9D" TargetMode="External"/><Relationship Id="rId146" Type="http://schemas.openxmlformats.org/officeDocument/2006/relationships/hyperlink" Target="mailto:contact@haaretz.co.il" TargetMode="External"/><Relationship Id="rId167" Type="http://schemas.openxmlformats.org/officeDocument/2006/relationships/image" Target="media/image3.gif"/><Relationship Id="rId188" Type="http://schemas.openxmlformats.org/officeDocument/2006/relationships/hyperlink" Target="http://www.nevo.co.il/Law_word/law14/LAW-1499.pdf" TargetMode="External"/><Relationship Id="rId311" Type="http://schemas.openxmlformats.org/officeDocument/2006/relationships/hyperlink" Target="http://www.nevo.co.il/law_html/law01/p190m3_001.htm" TargetMode="External"/><Relationship Id="rId332" Type="http://schemas.openxmlformats.org/officeDocument/2006/relationships/hyperlink" Target="http://www.nevo.co.il/Law_word/law17/PROP-0755.pdf" TargetMode="External"/><Relationship Id="rId353" Type="http://schemas.openxmlformats.org/officeDocument/2006/relationships/hyperlink" Target="http://www.nevo.co.il/safrut/bookgroup/355;356" TargetMode="External"/><Relationship Id="rId374" Type="http://schemas.openxmlformats.org/officeDocument/2006/relationships/hyperlink" Target="http://www.nevo.co.il/law_html/law01/144M1_001.htm" TargetMode="External"/><Relationship Id="rId395" Type="http://schemas.openxmlformats.org/officeDocument/2006/relationships/hyperlink" Target="http://www.nevo.co.il/law_html/law01/184_001.htm" TargetMode="External"/><Relationship Id="rId409" Type="http://schemas.openxmlformats.org/officeDocument/2006/relationships/hyperlink" Target="http://www.nevo.co.il/law_html/law01/P182_001.htm" TargetMode="External"/><Relationship Id="rId71" Type="http://schemas.openxmlformats.org/officeDocument/2006/relationships/hyperlink" Target="http://www.haaretz.co.il/news/law/1.1879734" TargetMode="External"/><Relationship Id="rId92" Type="http://schemas.openxmlformats.org/officeDocument/2006/relationships/hyperlink" Target="http://he.wikipedia.org/wiki/%D7%92%D7%99%D7%95%D7%A1_%D7%91%D7%A0%D7%99_%D7%99%D7%A9%D7%99%D7%91%D7%95%D7%AA" TargetMode="External"/><Relationship Id="rId213" Type="http://schemas.openxmlformats.org/officeDocument/2006/relationships/hyperlink" Target="http://www.haaretz.co.il/news/world/1.1782220" TargetMode="External"/><Relationship Id="rId234" Type="http://schemas.openxmlformats.org/officeDocument/2006/relationships/hyperlink" Target="http://he.wikipedia.org/wiki/1879" TargetMode="External"/><Relationship Id="rId420" Type="http://schemas.openxmlformats.org/officeDocument/2006/relationships/hyperlink" Target="http://www.nevo.co.il/links/psika/?link=&#1489;&#1490;&#1509;%201934/95" TargetMode="External"/><Relationship Id="rId2" Type="http://schemas.openxmlformats.org/officeDocument/2006/relationships/numbering" Target="numbering.xml"/><Relationship Id="rId29" Type="http://schemas.openxmlformats.org/officeDocument/2006/relationships/hyperlink" Target="http://library.kiwix.org/wikipedia_he_all/A/%D7%9E%D7%A6%D7%A8%D7%99%D7%9D.html" TargetMode="External"/><Relationship Id="rId255" Type="http://schemas.openxmlformats.org/officeDocument/2006/relationships/hyperlink" Target="http://he.wikipedia.org/wiki/%D7%95%D7%99%D7%A8%D7%92%27%D7%99%D7%A0%D7%99%D7%94" TargetMode="External"/><Relationship Id="rId276" Type="http://schemas.openxmlformats.org/officeDocument/2006/relationships/hyperlink" Target="http://www.nevo.co.il/links/psika/?link=&#1506;&#1488;%202342/09" TargetMode="External"/><Relationship Id="rId297" Type="http://schemas.openxmlformats.org/officeDocument/2006/relationships/hyperlink" Target="http://www.nevo.co.il/links/law/?link=&#1495;&#1493;&#1511;%20&#1492;&#1492;&#1505;&#1491;&#1512;&#1497;&#1501;%20&#1489;&#1502;&#1513;&#1511;%20&#1492;&#1502;&#1491;&#1497;&#1504;&#1492;" TargetMode="External"/><Relationship Id="rId441" Type="http://schemas.openxmlformats.org/officeDocument/2006/relationships/hyperlink" Target="http://www.themarker.com/news/1.2543219" TargetMode="External"/><Relationship Id="rId40" Type="http://schemas.openxmlformats.org/officeDocument/2006/relationships/hyperlink" Target="javascript:getWord('israel.htm" TargetMode="External"/><Relationship Id="rId115" Type="http://schemas.openxmlformats.org/officeDocument/2006/relationships/hyperlink" Target="http://he.wikipedia.org/wiki/%D7%90%D7%94%D7%A8%D7%9F_%D7%9C%D7%99%D7%99%D7%91_%D7%A9%D7%98%D7%99%D7%99%D7%A0%D7%9E%D7%9F" TargetMode="External"/><Relationship Id="rId136" Type="http://schemas.openxmlformats.org/officeDocument/2006/relationships/hyperlink" Target="javascript:getWord('prop.htm')" TargetMode="External"/><Relationship Id="rId157" Type="http://schemas.openxmlformats.org/officeDocument/2006/relationships/hyperlink" Target="http://www.nevo.co.il/Law_word/law17/PROP-2908.pdf" TargetMode="External"/><Relationship Id="rId178" Type="http://schemas.openxmlformats.org/officeDocument/2006/relationships/hyperlink" Target="http://www.calcalist.co.il/local/articles/0,7340,L-3412522,00.html" TargetMode="External"/><Relationship Id="rId301" Type="http://schemas.openxmlformats.org/officeDocument/2006/relationships/hyperlink" Target="http://www.nevo.co.il/law_html/law01/P182_001.htm" TargetMode="External"/><Relationship Id="rId322" Type="http://schemas.openxmlformats.org/officeDocument/2006/relationships/hyperlink" Target="http://www.nevo.co.il/law_html/law01/P182_031.htm" TargetMode="External"/><Relationship Id="rId343" Type="http://schemas.openxmlformats.org/officeDocument/2006/relationships/hyperlink" Target="http://www.nevo.co.il/links/psika/?link=&#1489;&#1490;&#1509;%202605/05" TargetMode="External"/><Relationship Id="rId364" Type="http://schemas.openxmlformats.org/officeDocument/2006/relationships/hyperlink" Target="http://www.nevo.co.il/law_html/law01/p197_001.htm" TargetMode="External"/><Relationship Id="rId61" Type="http://schemas.openxmlformats.org/officeDocument/2006/relationships/hyperlink" Target="http://www.nevo.co.il/law_html/law01/181_001.htm" TargetMode="External"/><Relationship Id="rId82" Type="http://schemas.openxmlformats.org/officeDocument/2006/relationships/hyperlink" Target="http://www.nevo.co.il/law_html/law01/999_152.htm" TargetMode="External"/><Relationship Id="rId199" Type="http://schemas.openxmlformats.org/officeDocument/2006/relationships/hyperlink" Target="http://www.themarker.com/markerweek/1.2521989" TargetMode="External"/><Relationship Id="rId203" Type="http://schemas.openxmlformats.org/officeDocument/2006/relationships/hyperlink" Target="http://www.haaretz.co.il/misc/tags/1.3481" TargetMode="External"/><Relationship Id="rId385" Type="http://schemas.openxmlformats.org/officeDocument/2006/relationships/hyperlink" Target="http://www.nevo.co.il/safrut/bookgroup/358" TargetMode="External"/><Relationship Id="rId19" Type="http://schemas.openxmlformats.org/officeDocument/2006/relationships/hyperlink" Target="http://library.kiwix.org/wikipedia_he_all/A/%D7%99%D7%A9%D7%A8%D7%90%D7%9C.html" TargetMode="External"/><Relationship Id="rId224" Type="http://schemas.openxmlformats.org/officeDocument/2006/relationships/hyperlink" Target="http://he.wikipedia.org/wiki/%D7%A0%D7%A4%D7%A8%D7%93_%D7%90%D7%91%D7%9C_%D7%A9%D7%95%D7%95%D7%94" TargetMode="External"/><Relationship Id="rId245" Type="http://schemas.openxmlformats.org/officeDocument/2006/relationships/hyperlink" Target="http://he.wikipedia.org/wiki/%D7%9E%D7%93%D7%A2%D7%99_%D7%94%D7%97%D7%91%D7%A8%D7%94" TargetMode="External"/><Relationship Id="rId266" Type="http://schemas.openxmlformats.org/officeDocument/2006/relationships/hyperlink" Target="http://he.wikipedia.org/wiki/%D7%90%D7%94%D7%A8%D7%9F_%D7%91%D7%A8%D7%A7" TargetMode="External"/><Relationship Id="rId287" Type="http://schemas.openxmlformats.org/officeDocument/2006/relationships/hyperlink" Target="http://www.themarker.com/misc/writers/1.480" TargetMode="External"/><Relationship Id="rId410" Type="http://schemas.openxmlformats.org/officeDocument/2006/relationships/hyperlink" Target="http://www.nevo.co.il/law_html/law01/184_001.htm" TargetMode="External"/><Relationship Id="rId431" Type="http://schemas.openxmlformats.org/officeDocument/2006/relationships/hyperlink" Target="http://www.nevo.co.il/links/psika/?link=&#1489;&#1490;&#1509;%20595/89" TargetMode="External"/><Relationship Id="rId30" Type="http://schemas.openxmlformats.org/officeDocument/2006/relationships/hyperlink" Target="http://library.kiwix.org/wikipedia_he_all/A/1949.html" TargetMode="External"/><Relationship Id="rId105" Type="http://schemas.openxmlformats.org/officeDocument/2006/relationships/hyperlink" Target="http://he.wikipedia.org/wiki/%D7%94%D7%91%D7%99%D7%AA_%D7%94%D7%99%D7%94%D7%95%D7%93%D7%99" TargetMode="External"/><Relationship Id="rId126" Type="http://schemas.openxmlformats.org/officeDocument/2006/relationships/hyperlink" Target="http://he.wikipedia.org/wiki/%D7%92%D7%99%D7%95%D7%A1_%D7%91%D7%A0%D7%99_%D7%99%D7%A9%D7%99%D7%91%D7%95%D7%AA" TargetMode="External"/><Relationship Id="rId147" Type="http://schemas.openxmlformats.org/officeDocument/2006/relationships/hyperlink" Target="http://www.haaretz.co.il/hasite/spages/1199963.html" TargetMode="External"/><Relationship Id="rId168" Type="http://schemas.openxmlformats.org/officeDocument/2006/relationships/hyperlink" Target="http://www.nevo.co.il/Law_word/law14/LAW-1222.pdf" TargetMode="External"/><Relationship Id="rId312" Type="http://schemas.openxmlformats.org/officeDocument/2006/relationships/hyperlink" Target="http://www.nevo.co.il/law_html/law01/999_725.htm" TargetMode="External"/><Relationship Id="rId333" Type="http://schemas.openxmlformats.org/officeDocument/2006/relationships/hyperlink" Target="http://www.nevo.co.il/Law_word/law14/LAW-2116.pdf" TargetMode="External"/><Relationship Id="rId354" Type="http://schemas.openxmlformats.org/officeDocument/2006/relationships/hyperlink" Target="http://www.nevo.co.il/law_html/law01/073_002.htm" TargetMode="External"/><Relationship Id="rId51" Type="http://schemas.openxmlformats.org/officeDocument/2006/relationships/hyperlink" Target="javascript:getWord('hazarat_balfor.htm')" TargetMode="External"/><Relationship Id="rId72" Type="http://schemas.openxmlformats.org/officeDocument/2006/relationships/hyperlink" Target="http://www.haaretz.co.il/misc/writers/1.681421" TargetMode="External"/><Relationship Id="rId93" Type="http://schemas.openxmlformats.org/officeDocument/2006/relationships/hyperlink" Target="http://he.wikipedia.org/wiki/%D7%94%D7%95%D7%95%D7%A2%D7%93%D7%94_%D7%9C%D7%A7%D7%99%D7%93%D7%95%D7%9D_%D7%94%D7%A9%D7%95%D7%95%D7%99%D7%95%D7%9F_%D7%91%D7%A0%D7%98%D7%9C" TargetMode="External"/><Relationship Id="rId189" Type="http://schemas.openxmlformats.org/officeDocument/2006/relationships/hyperlink" Target="http://www.nevo.co.il/Law_word/law17/PROP-2343.pdf" TargetMode="External"/><Relationship Id="rId375" Type="http://schemas.openxmlformats.org/officeDocument/2006/relationships/hyperlink" Target="http://www.nevo.co.il/law_html/law01/144M1_001.htm" TargetMode="External"/><Relationship Id="rId396" Type="http://schemas.openxmlformats.org/officeDocument/2006/relationships/hyperlink" Target="http://www.nevo.co.il/law_html/law01/145_002.htm" TargetMode="External"/><Relationship Id="rId3" Type="http://schemas.openxmlformats.org/officeDocument/2006/relationships/styles" Target="styles.xml"/><Relationship Id="rId214" Type="http://schemas.openxmlformats.org/officeDocument/2006/relationships/hyperlink" Target="http://www.nytimes.com/2012/07/21/us/shooting-at-colorado-theater-showing-batman-movie.html?_r=2&amp;pagewanted=3&amp;ref=opinion" TargetMode="External"/><Relationship Id="rId235" Type="http://schemas.openxmlformats.org/officeDocument/2006/relationships/hyperlink" Target="http://he.wikipedia.org/w/index.php?title=NAACP&amp;action=edit&amp;redlink=1" TargetMode="External"/><Relationship Id="rId256" Type="http://schemas.openxmlformats.org/officeDocument/2006/relationships/hyperlink" Target="http://he.wikipedia.org/w/index.php?title=%D7%94%D7%90%D7%A8%D7%99_%D7%A4._%D7%91%D7%99%D7%A8%D7%93_%D7%94%D7%90%D7%91&amp;action=edit&amp;redlink=1" TargetMode="External"/><Relationship Id="rId277" Type="http://schemas.openxmlformats.org/officeDocument/2006/relationships/hyperlink" Target="http://www.nevo.co.il/links/psika/?link=&#1512;&#1506;&#1488;%205695/06" TargetMode="External"/><Relationship Id="rId298" Type="http://schemas.openxmlformats.org/officeDocument/2006/relationships/hyperlink" Target="http://www.nevo.co.il/links/law/?link=&#1495;&#1493;&#1511;%20&#1506;&#1494;&#1512;%20&#1500;&#1495;&#1493;&#1500;&#1493;&#1503;" TargetMode="External"/><Relationship Id="rId400" Type="http://schemas.openxmlformats.org/officeDocument/2006/relationships/hyperlink" Target="http://www.nevo.co.il/Psika_word/elyon/0201437-padi.doc" TargetMode="External"/><Relationship Id="rId421" Type="http://schemas.openxmlformats.org/officeDocument/2006/relationships/hyperlink" Target="http://www.nevo.co.il/links/psika/?link=&#1489;&#1490;&#1509;%20512/81" TargetMode="External"/><Relationship Id="rId442" Type="http://schemas.openxmlformats.org/officeDocument/2006/relationships/hyperlink" Target="http://www.themarker.com/misc/writers/1.1410430" TargetMode="External"/><Relationship Id="rId116" Type="http://schemas.openxmlformats.org/officeDocument/2006/relationships/hyperlink" Target="http://he.wikipedia.org/wiki/%D7%A9%D7%9E%D7%95%D7%90%D7%9C_%D7%90%D7%95%D7%99%D7%A8%D7%91%D7%9A" TargetMode="External"/><Relationship Id="rId137" Type="http://schemas.openxmlformats.org/officeDocument/2006/relationships/hyperlink" Target="javascript:getWord('megilat_aum.htm')" TargetMode="External"/><Relationship Id="rId158" Type="http://schemas.openxmlformats.org/officeDocument/2006/relationships/hyperlink" Target="http://www.nevo.co.il/Law_word/law14/LAW-1760.pdf" TargetMode="External"/><Relationship Id="rId302" Type="http://schemas.openxmlformats.org/officeDocument/2006/relationships/hyperlink" Target="http://www.nevo.co.il/law_html/law01/P224K2_001.htm" TargetMode="External"/><Relationship Id="rId323" Type="http://schemas.openxmlformats.org/officeDocument/2006/relationships/hyperlink" Target="http://www.nevo.co.il/links/law/?link=&#1514;&#1511;&#1504;&#1493;&#1514;%20&#1492;&#1506;&#1497;&#1512;&#1497;&#1493;&#1514;" TargetMode="External"/><Relationship Id="rId344" Type="http://schemas.openxmlformats.org/officeDocument/2006/relationships/hyperlink" Target="http://www.nevo.co.il/law_html/law01/073_002.htm" TargetMode="External"/><Relationship Id="rId20" Type="http://schemas.openxmlformats.org/officeDocument/2006/relationships/hyperlink" Target="http://library.kiwix.org/wikipedia_he_all/A/%D7%A7%D7%99%D7%9C%D7%95%D7%9E%D7%98%D7%A8.html" TargetMode="External"/><Relationship Id="rId41" Type="http://schemas.openxmlformats.org/officeDocument/2006/relationships/hyperlink" Target="javascript:getWord('independ.htm')" TargetMode="External"/><Relationship Id="rId62" Type="http://schemas.openxmlformats.org/officeDocument/2006/relationships/hyperlink" Target="http://www.haaretz.co.il/misc/writers/1.641" TargetMode="External"/><Relationship Id="rId83" Type="http://schemas.openxmlformats.org/officeDocument/2006/relationships/hyperlink" Target="http://www.nevo.co.il/links/psika/?link=&#1489;&#1490;&#1509;%206427/02" TargetMode="External"/><Relationship Id="rId179" Type="http://schemas.openxmlformats.org/officeDocument/2006/relationships/hyperlink" Target="http://www.haaretz.co.il/misc/writers/1.718" TargetMode="External"/><Relationship Id="rId365" Type="http://schemas.openxmlformats.org/officeDocument/2006/relationships/hyperlink" Target="http://www.nevo.co.il/links/psika/?link=&#1506;&#1508;%20213/56&amp;Pvol=&#1497;&#1488;" TargetMode="External"/><Relationship Id="rId386" Type="http://schemas.openxmlformats.org/officeDocument/2006/relationships/hyperlink" Target="http://www.nevo.co.il/law_html/law01/073_002.htm" TargetMode="External"/><Relationship Id="rId190" Type="http://schemas.openxmlformats.org/officeDocument/2006/relationships/hyperlink" Target="http://www.nevo.co.il/Law_word/law14/LAW-1499.pdf" TargetMode="External"/><Relationship Id="rId204" Type="http://schemas.openxmlformats.org/officeDocument/2006/relationships/hyperlink" Target="http://www.haaretz.co.il/misc/writers/1.681405" TargetMode="External"/><Relationship Id="rId225" Type="http://schemas.openxmlformats.org/officeDocument/2006/relationships/hyperlink" Target="http://he.wikipedia.org/wiki/%D7%90%D7%A4%D7%9C%D7%99%D7%94" TargetMode="External"/><Relationship Id="rId246" Type="http://schemas.openxmlformats.org/officeDocument/2006/relationships/hyperlink" Target="http://he.wikipedia.org/wiki/%D7%A4%D7%A1%D7%99%D7%9B%D7%95%D7%9C%D7%95%D7%92%D7%99%D7%94" TargetMode="External"/><Relationship Id="rId267" Type="http://schemas.openxmlformats.org/officeDocument/2006/relationships/hyperlink" Target="http://he.wikipedia.org/wiki/%D7%94%D7%AA%D7%99%D7%A7%D7%95%D7%9F_%D7%94%D7%A9%D7%A0%D7%99_%D7%9C%D7%97%D7%95%D7%A7%D7%AA_%D7%90%D7%A8%D7%A6%D7%95%D7%AA_%D7%94%D7%91%D7%A8%D7%99%D7%AA" TargetMode="External"/><Relationship Id="rId288" Type="http://schemas.openxmlformats.org/officeDocument/2006/relationships/hyperlink" Target="http://www.themarker.com/news/1.2519557" TargetMode="External"/><Relationship Id="rId411" Type="http://schemas.openxmlformats.org/officeDocument/2006/relationships/hyperlink" Target="http://www.nevo.co.il/law_html/law01/P182_001.htm" TargetMode="External"/><Relationship Id="rId432" Type="http://schemas.openxmlformats.org/officeDocument/2006/relationships/hyperlink" Target="http://www.themarker.com/misc/writers/1.425" TargetMode="External"/><Relationship Id="rId106" Type="http://schemas.openxmlformats.org/officeDocument/2006/relationships/hyperlink" Target="http://he.wikipedia.org/wiki/2014" TargetMode="External"/><Relationship Id="rId127" Type="http://schemas.openxmlformats.org/officeDocument/2006/relationships/hyperlink" Target="http://www.nevo.co.il/law_html/law01/055_096.htm" TargetMode="External"/><Relationship Id="rId313" Type="http://schemas.openxmlformats.org/officeDocument/2006/relationships/hyperlink" Target="http://www.nevo.co.il/law_html/law01/P224K2_001.htm" TargetMode="External"/><Relationship Id="rId10" Type="http://schemas.openxmlformats.org/officeDocument/2006/relationships/hyperlink" Target="http://www.haaretz.co.il/news/politics/1.2052435" TargetMode="External"/><Relationship Id="rId31" Type="http://schemas.openxmlformats.org/officeDocument/2006/relationships/hyperlink" Target="http://library.kiwix.org/wikipedia_he_all/A/2008.html" TargetMode="External"/><Relationship Id="rId52" Type="http://schemas.openxmlformats.org/officeDocument/2006/relationships/hyperlink" Target="javascript:getWord('soaa.htm')" TargetMode="External"/><Relationship Id="rId73" Type="http://schemas.openxmlformats.org/officeDocument/2006/relationships/hyperlink" Target="http://www.haaretz.co.il/misc/writers/1.641" TargetMode="External"/><Relationship Id="rId94" Type="http://schemas.openxmlformats.org/officeDocument/2006/relationships/hyperlink" Target="http://he.wikipedia.org/wiki/%D7%99%D7%95%D7%97%D7%A0%D7%9F_%D7%A4%D7%9C%D7%A1%D7%A0%D7%A8" TargetMode="External"/><Relationship Id="rId148" Type="http://schemas.openxmlformats.org/officeDocument/2006/relationships/hyperlink" Target="mailto:contact@haaretz.co.il" TargetMode="External"/><Relationship Id="rId169" Type="http://schemas.openxmlformats.org/officeDocument/2006/relationships/hyperlink" Target="http://www.nevo.co.il/Law_word/law17/PROP-1837.pdf" TargetMode="External"/><Relationship Id="rId334" Type="http://schemas.openxmlformats.org/officeDocument/2006/relationships/hyperlink" Target="http://www.nevo.co.il/Law_word/law16/KNESSET-164.pdf" TargetMode="External"/><Relationship Id="rId355" Type="http://schemas.openxmlformats.org/officeDocument/2006/relationships/hyperlink" Target="http://www.nevo.co.il/law_html/law01/290_002.htm" TargetMode="External"/><Relationship Id="rId376" Type="http://schemas.openxmlformats.org/officeDocument/2006/relationships/hyperlink" Target="http://www.nevo.co.il/law_html/law01/144M1_001.htm" TargetMode="External"/><Relationship Id="rId397" Type="http://schemas.openxmlformats.org/officeDocument/2006/relationships/hyperlink" Target="http://www.nevo.co.il/law_html/law01/184_001.htm" TargetMode="External"/><Relationship Id="rId4" Type="http://schemas.openxmlformats.org/officeDocument/2006/relationships/settings" Target="settings.xml"/><Relationship Id="rId180" Type="http://schemas.openxmlformats.org/officeDocument/2006/relationships/hyperlink" Target="http://www.haaretz.co.il/news/education/1.1863170" TargetMode="External"/><Relationship Id="rId215" Type="http://schemas.openxmlformats.org/officeDocument/2006/relationships/hyperlink" Target="http://www.haaretz.co.il/news/world/1.1181383" TargetMode="External"/><Relationship Id="rId236" Type="http://schemas.openxmlformats.org/officeDocument/2006/relationships/hyperlink" Target="http://he.wikipedia.org/wiki/%D7%90%D7%95%D7%98%D7%95%D7%91%D7%95%D7%A1" TargetMode="External"/><Relationship Id="rId257" Type="http://schemas.openxmlformats.org/officeDocument/2006/relationships/hyperlink" Target="http://he.wikipedia.org/w/index.php?title=%D7%93%D7%94_%D7%A1%D7%92%D7%A8%D7%92%D7%A6%D7%99%D7%94&amp;action=edit&amp;redlink=1" TargetMode="External"/><Relationship Id="rId278" Type="http://schemas.openxmlformats.org/officeDocument/2006/relationships/hyperlink" Target="http://www.nevo.co.il/law_html/law01/184_001.htm" TargetMode="External"/><Relationship Id="rId401" Type="http://schemas.openxmlformats.org/officeDocument/2006/relationships/hyperlink" Target="http://www.nevo.co.il/links/books/?link=&#1508;&#1512;&#1513;&#1504;&#1493;&#1514;%20&#1489;&#1502;&#1513;&#1508;&#1496;%20-%20&#1508;&#1512;&#1513;&#1504;&#1493;&#1514;%20&#1495;&#1493;&#1511;&#1514;&#1497;&#1514;" TargetMode="External"/><Relationship Id="rId422" Type="http://schemas.openxmlformats.org/officeDocument/2006/relationships/hyperlink" Target="http://www.nevo.co.il/law_html/law01/p213m1_001.htm" TargetMode="External"/><Relationship Id="rId443" Type="http://schemas.openxmlformats.org/officeDocument/2006/relationships/hyperlink" Target="http://www.themarker.com/misc/writers/1.1632680" TargetMode="External"/><Relationship Id="rId303" Type="http://schemas.openxmlformats.org/officeDocument/2006/relationships/hyperlink" Target="http://www.nevo.co.il/law_html/law01/P224K2_001.htm" TargetMode="External"/><Relationship Id="rId42" Type="http://schemas.openxmlformats.org/officeDocument/2006/relationships/hyperlink" Target="javascript:getWord('book.htm')" TargetMode="External"/><Relationship Id="rId84" Type="http://schemas.openxmlformats.org/officeDocument/2006/relationships/hyperlink" Target="http://www.nevo.co.il/links/psika/?link=&#1489;&#1490;&#1509;%20466/07" TargetMode="External"/><Relationship Id="rId138" Type="http://schemas.openxmlformats.org/officeDocument/2006/relationships/hyperlink" Target="http://www.haaretz.co.il/hasite/spages/1194258.html" TargetMode="External"/><Relationship Id="rId345" Type="http://schemas.openxmlformats.org/officeDocument/2006/relationships/hyperlink" Target="http://www.nevo.co.il/law_html/law01/p197_002.htm" TargetMode="External"/><Relationship Id="rId387" Type="http://schemas.openxmlformats.org/officeDocument/2006/relationships/hyperlink" Target="http://www.nevo.co.il/links/psika/?link=&#1506;&#1488;%206066/97&amp;Pvol=&#1504;&#1491;" TargetMode="External"/><Relationship Id="rId191" Type="http://schemas.openxmlformats.org/officeDocument/2006/relationships/hyperlink" Target="http://www.nevo.co.il/Law_word/law17/PROP-2343.pdf" TargetMode="External"/><Relationship Id="rId205" Type="http://schemas.openxmlformats.org/officeDocument/2006/relationships/hyperlink" Target="http://itunes.apple.com/us/app/id521559643" TargetMode="External"/><Relationship Id="rId247" Type="http://schemas.openxmlformats.org/officeDocument/2006/relationships/hyperlink" Target="http://he.wikipedia.org/wiki/%D7%94%D7%AA%D7%99%D7%A7%D7%95%D7%9F_%D7%94-14_%D7%9C%D7%97%D7%95%D7%A7%D7%AA_%D7%90%D7%A8%D7%A6%D7%95%D7%AA_%D7%94%D7%91%D7%A8%D7%99%D7%AA" TargetMode="External"/><Relationship Id="rId412" Type="http://schemas.openxmlformats.org/officeDocument/2006/relationships/hyperlink" Target="http://www.nevo.co.il/law_html/law01/P182_001.htm" TargetMode="External"/><Relationship Id="rId107" Type="http://schemas.openxmlformats.org/officeDocument/2006/relationships/hyperlink" Target="http://he.wikipedia.org/wiki/%D7%92%D7%99%D7%95%D7%A1_%D7%91%D7%A0%D7%99_%D7%99%D7%A9%D7%99%D7%91%D7%95%D7%AA" TargetMode="External"/><Relationship Id="rId289" Type="http://schemas.openxmlformats.org/officeDocument/2006/relationships/hyperlink" Target="http://www.themarker.com/news/1.2506533" TargetMode="External"/><Relationship Id="rId11" Type="http://schemas.openxmlformats.org/officeDocument/2006/relationships/hyperlink" Target="http://www.haaretz.co.il/opinions/.premium-1.2057018" TargetMode="External"/><Relationship Id="rId53" Type="http://schemas.openxmlformats.org/officeDocument/2006/relationships/hyperlink" Target="javascript:getWord('million_jews.htm')" TargetMode="External"/><Relationship Id="rId149" Type="http://schemas.openxmlformats.org/officeDocument/2006/relationships/hyperlink" Target="http://he.wikipedia.org/wiki/12_%D7%91%D7%9E%D7%A8%D7%A5" TargetMode="External"/><Relationship Id="rId314" Type="http://schemas.openxmlformats.org/officeDocument/2006/relationships/hyperlink" Target="http://www.nevo.co.il/links/psika/?link=&#1489;&#1490;&#1509;%202671/98&amp;Pvol=&#1504;&#1489;" TargetMode="External"/><Relationship Id="rId356" Type="http://schemas.openxmlformats.org/officeDocument/2006/relationships/hyperlink" Target="http://www.nevo.co.il/law_html/law01/073_002.htm" TargetMode="External"/><Relationship Id="rId398" Type="http://schemas.openxmlformats.org/officeDocument/2006/relationships/hyperlink" Target="http://www.nevo.co.il/Psika_word/elyon/97032670.doc" TargetMode="External"/><Relationship Id="rId95" Type="http://schemas.openxmlformats.org/officeDocument/2006/relationships/hyperlink" Target="http://he.wikipedia.org/wiki/%D7%92%D7%99%D7%95%D7%A1_%D7%91%D7%A0%D7%99_%D7%99%D7%A9%D7%99%D7%91%D7%95%D7%AA" TargetMode="External"/><Relationship Id="rId160" Type="http://schemas.openxmlformats.org/officeDocument/2006/relationships/hyperlink" Target="http://www.nevo.co.il/Law_word/law14/LAW-1566.pdf" TargetMode="External"/><Relationship Id="rId216" Type="http://schemas.openxmlformats.org/officeDocument/2006/relationships/hyperlink" Target="http://he.wikipedia.org/wiki/%D7%90%D7%A0%D7%92%D7%9C%D7%99%D7%AA" TargetMode="External"/><Relationship Id="rId423" Type="http://schemas.openxmlformats.org/officeDocument/2006/relationships/hyperlink" Target="http://www.nevo.co.il/links/psika/?link=&#1489;&#1490;&#1509;%2011745/04" TargetMode="External"/><Relationship Id="rId258" Type="http://schemas.openxmlformats.org/officeDocument/2006/relationships/hyperlink" Target="http://he.wikipedia.org/wiki/%D7%90%D7%A8%D7%A7%D7%A0%D7%A1%D7%95" TargetMode="External"/><Relationship Id="rId22" Type="http://schemas.openxmlformats.org/officeDocument/2006/relationships/hyperlink" Target="http://library.kiwix.org/wikipedia_he_all/A/2007.html" TargetMode="External"/><Relationship Id="rId64" Type="http://schemas.openxmlformats.org/officeDocument/2006/relationships/hyperlink" Target="http://www.haaretz.co.il/misc/1.911089" TargetMode="External"/><Relationship Id="rId118" Type="http://schemas.openxmlformats.org/officeDocument/2006/relationships/hyperlink" Target="http://he.wikipedia.org/wiki/%D7%94%D7%A2%D7%93%D7%94_%D7%94%D7%97%D7%A8%D7%93%D7%99%D7%AA" TargetMode="External"/><Relationship Id="rId325" Type="http://schemas.openxmlformats.org/officeDocument/2006/relationships/hyperlink" Target="http://www.nevo.co.il/law_html/law01/p213_057.htm" TargetMode="External"/><Relationship Id="rId367" Type="http://schemas.openxmlformats.org/officeDocument/2006/relationships/hyperlink" Target="http://www.nevo.co.il/links/psika/?link=&#1489;&#1490;&#1509;%203648/97&amp;Pvol=&#1504;&#1490;" TargetMode="External"/><Relationship Id="rId171" Type="http://schemas.openxmlformats.org/officeDocument/2006/relationships/hyperlink" Target="http://www.nevo.co.il/Law_word/law17/PROP-2785.pdf" TargetMode="External"/><Relationship Id="rId227" Type="http://schemas.openxmlformats.org/officeDocument/2006/relationships/hyperlink" Target="http://he.wikipedia.org/wiki/%D7%94%D7%AA%D7%99%D7%A7%D7%95%D7%9F_%D7%94-14_%D7%9C%D7%97%D7%95%D7%A7%D7%AA_%D7%90%D7%A8%D7%A6%D7%95%D7%AA_%D7%94%D7%91%D7%A8%D7%99%D7%AA" TargetMode="External"/><Relationship Id="rId269" Type="http://schemas.openxmlformats.org/officeDocument/2006/relationships/hyperlink" Target="http://www.nevo.co.il/links/psika/?link=&#1489;&#1490;&#1509;%204885/03" TargetMode="External"/><Relationship Id="rId434" Type="http://schemas.openxmlformats.org/officeDocument/2006/relationships/hyperlink" Target="http://www.themarker.com/dynamo/1.2330267" TargetMode="External"/><Relationship Id="rId33" Type="http://schemas.openxmlformats.org/officeDocument/2006/relationships/hyperlink" Target="http://library.kiwix.org/wikipedia_he_all/A/%D7%A2%D7%96%D7%94.html" TargetMode="External"/><Relationship Id="rId129" Type="http://schemas.openxmlformats.org/officeDocument/2006/relationships/hyperlink" Target="http://www.haaretz.co.il/misc/writers/1.1878592" TargetMode="External"/><Relationship Id="rId280" Type="http://schemas.openxmlformats.org/officeDocument/2006/relationships/hyperlink" Target="http://www.nevo.co.il/links/psika/?link=&#1489;&#1490;&#1509;%202605/05" TargetMode="External"/><Relationship Id="rId336" Type="http://schemas.openxmlformats.org/officeDocument/2006/relationships/hyperlink" Target="http://www.nevo.co.il/law_html/law01/073_002.ht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nevo.co.il/Law_word/law17/PROP-2343.pdf" TargetMode="External"/><Relationship Id="rId3" Type="http://schemas.openxmlformats.org/officeDocument/2006/relationships/hyperlink" Target="http://www.nevo.co.il/Law_word/law14/LAW-0654.pdf" TargetMode="External"/><Relationship Id="rId7" Type="http://schemas.openxmlformats.org/officeDocument/2006/relationships/hyperlink" Target="http://www.nevo.co.il/Law_word/law14/LAW-1499.pdf" TargetMode="External"/><Relationship Id="rId2" Type="http://schemas.openxmlformats.org/officeDocument/2006/relationships/hyperlink" Target="http://www.nevo.co.il/Law_word/law14/LAW-0991.pdf" TargetMode="External"/><Relationship Id="rId1" Type="http://schemas.openxmlformats.org/officeDocument/2006/relationships/hyperlink" Target="http://www.nevo.co.il/Law_word/law14/LAW-1522.pdf" TargetMode="External"/><Relationship Id="rId6" Type="http://schemas.openxmlformats.org/officeDocument/2006/relationships/hyperlink" Target="http://www.nevo.co.il/Law_word/law17/PROP-2243.pdf" TargetMode="External"/><Relationship Id="rId5" Type="http://schemas.openxmlformats.org/officeDocument/2006/relationships/hyperlink" Target="http://www.nevo.co.il/Law_word/law14/LAW-1456.pdf" TargetMode="External"/><Relationship Id="rId4" Type="http://schemas.openxmlformats.org/officeDocument/2006/relationships/hyperlink" Target="http://www.nevo.co.il/Law_word/law14/law-1139.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ilan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1143A-2373-4B1A-8A98-9512CA53D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ilan2</Template>
  <TotalTime>8</TotalTime>
  <Pages>2</Pages>
  <Words>232818</Words>
  <Characters>1164095</Characters>
  <Application>Microsoft Office Word</Application>
  <DocSecurity>0</DocSecurity>
  <Lines>9700</Lines>
  <Paragraphs>2788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הפקולטה למשפטים, אוניברסיטת חיפה, משפט ציבורי, תשס"א</vt:lpstr>
      <vt:lpstr>הפקולטה למשפטים, אוניברסיטת חיפה, משפט ציבורי, תשס"א</vt:lpstr>
    </vt:vector>
  </TitlesOfParts>
  <Company>Hewlett-Packard Company</Company>
  <LinksUpToDate>false</LinksUpToDate>
  <CharactersWithSpaces>1394125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הפקולטה למשפטים, אוניברסיטת חיפה, משפט ציבורי, תשס"א</dc:title>
  <dc:creator>אוניברסיטת  חיפה</dc:creator>
  <cp:lastModifiedBy>isaban</cp:lastModifiedBy>
  <cp:revision>6</cp:revision>
  <cp:lastPrinted>2012-10-23T13:09:00Z</cp:lastPrinted>
  <dcterms:created xsi:type="dcterms:W3CDTF">2015-02-01T20:02:00Z</dcterms:created>
  <dcterms:modified xsi:type="dcterms:W3CDTF">2015-06-23T09:42:00Z</dcterms:modified>
</cp:coreProperties>
</file>